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3CDAE" w14:textId="77777777" w:rsidR="007E7FCA" w:rsidRDefault="005474E5" w:rsidP="00D46D76">
      <w:pPr>
        <w:spacing w:line="360" w:lineRule="auto"/>
        <w:contextualSpacing/>
        <w:jc w:val="right"/>
        <w:rPr>
          <w:rFonts w:ascii="Times New Roman" w:hAnsi="Times New Roman"/>
          <w:b/>
          <w:sz w:val="28"/>
          <w:szCs w:val="28"/>
        </w:rPr>
      </w:pPr>
      <w:bookmarkStart w:id="0" w:name="_GoBack"/>
      <w:bookmarkEnd w:id="0"/>
      <w:r>
        <w:rPr>
          <w:rFonts w:ascii="Times New Roman" w:hAnsi="Times New Roman"/>
          <w:b/>
          <w:sz w:val="28"/>
          <w:szCs w:val="28"/>
        </w:rPr>
        <w:t>OF INTEREST</w:t>
      </w:r>
    </w:p>
    <w:p w14:paraId="3BE67496" w14:textId="77777777" w:rsidR="005F0118" w:rsidRPr="000D03EE" w:rsidRDefault="005F0118" w:rsidP="00D46D76">
      <w:pPr>
        <w:spacing w:line="360" w:lineRule="auto"/>
        <w:contextualSpacing/>
        <w:jc w:val="right"/>
        <w:rPr>
          <w:rFonts w:ascii="Times New Roman" w:hAnsi="Times New Roman"/>
          <w:b/>
          <w:sz w:val="28"/>
          <w:szCs w:val="28"/>
        </w:rPr>
      </w:pPr>
    </w:p>
    <w:p w14:paraId="13137962" w14:textId="77777777" w:rsidR="007E7FCA" w:rsidRDefault="007E7FCA" w:rsidP="00D46D76">
      <w:pPr>
        <w:spacing w:line="360" w:lineRule="auto"/>
        <w:contextualSpacing/>
        <w:rPr>
          <w:rFonts w:ascii="Times New Roman" w:hAnsi="Times New Roman"/>
          <w:b/>
          <w:sz w:val="28"/>
          <w:szCs w:val="28"/>
        </w:rPr>
      </w:pPr>
      <w:r w:rsidRPr="000D03EE">
        <w:rPr>
          <w:rFonts w:ascii="Times New Roman" w:hAnsi="Times New Roman"/>
          <w:b/>
          <w:sz w:val="28"/>
          <w:szCs w:val="28"/>
        </w:rPr>
        <w:t>IN THE HIGH COURT OF SOUTH AFRICA</w:t>
      </w:r>
    </w:p>
    <w:p w14:paraId="6D2464BD" w14:textId="77777777" w:rsidR="007E7FCA" w:rsidRDefault="007E7FCA" w:rsidP="00D46D76">
      <w:pPr>
        <w:spacing w:line="360" w:lineRule="auto"/>
        <w:contextualSpacing/>
        <w:rPr>
          <w:rFonts w:ascii="Times New Roman" w:hAnsi="Times New Roman"/>
          <w:b/>
          <w:sz w:val="28"/>
          <w:szCs w:val="28"/>
        </w:rPr>
      </w:pPr>
      <w:r>
        <w:rPr>
          <w:rFonts w:ascii="Times New Roman" w:hAnsi="Times New Roman"/>
          <w:b/>
          <w:sz w:val="28"/>
          <w:szCs w:val="28"/>
        </w:rPr>
        <w:t>(EAST LONDON CIRCUIT LOCAL DIVISION)</w:t>
      </w:r>
    </w:p>
    <w:p w14:paraId="28399315" w14:textId="77777777" w:rsidR="005F0118" w:rsidRDefault="005F0118" w:rsidP="00D46D76">
      <w:pPr>
        <w:spacing w:line="360" w:lineRule="auto"/>
        <w:contextualSpacing/>
        <w:rPr>
          <w:rFonts w:ascii="Times New Roman" w:hAnsi="Times New Roman"/>
          <w:b/>
          <w:sz w:val="28"/>
          <w:szCs w:val="28"/>
        </w:rPr>
      </w:pPr>
    </w:p>
    <w:p w14:paraId="43CC602D" w14:textId="77777777" w:rsidR="007E7FCA" w:rsidRDefault="007E7FCA" w:rsidP="00D46D76">
      <w:pPr>
        <w:spacing w:line="360" w:lineRule="auto"/>
        <w:contextualSpacing/>
        <w:rPr>
          <w:rFonts w:ascii="Times New Roman" w:hAnsi="Times New Roman"/>
          <w:b/>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Case No. EL748/2021</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12926622" w14:textId="77777777" w:rsidR="007E7FCA" w:rsidRDefault="007E7FCA" w:rsidP="00D46D76">
      <w:pPr>
        <w:spacing w:line="360" w:lineRule="auto"/>
        <w:contextualSpacing/>
        <w:rPr>
          <w:rFonts w:ascii="Times New Roman" w:hAnsi="Times New Roman"/>
          <w:sz w:val="28"/>
          <w:szCs w:val="28"/>
        </w:rPr>
      </w:pPr>
      <w:r w:rsidRPr="000D03EE">
        <w:rPr>
          <w:rFonts w:ascii="Times New Roman" w:hAnsi="Times New Roman"/>
          <w:sz w:val="28"/>
          <w:szCs w:val="28"/>
        </w:rPr>
        <w:t>In the matter between</w:t>
      </w:r>
      <w:r>
        <w:rPr>
          <w:rFonts w:ascii="Times New Roman" w:hAnsi="Times New Roman"/>
          <w:sz w:val="28"/>
          <w:szCs w:val="28"/>
        </w:rPr>
        <w:t>:</w:t>
      </w:r>
    </w:p>
    <w:p w14:paraId="1564DA48" w14:textId="77777777" w:rsidR="007E7FCA" w:rsidRPr="000D03EE" w:rsidRDefault="007E7FCA" w:rsidP="00D46D76">
      <w:pPr>
        <w:spacing w:line="360" w:lineRule="auto"/>
        <w:contextualSpacing/>
        <w:rPr>
          <w:rFonts w:ascii="Times New Roman" w:hAnsi="Times New Roman"/>
          <w:sz w:val="28"/>
          <w:szCs w:val="28"/>
        </w:rPr>
      </w:pPr>
    </w:p>
    <w:p w14:paraId="5916AAE9" w14:textId="77777777" w:rsidR="007E7FCA" w:rsidRDefault="007E7FCA" w:rsidP="00D46D76">
      <w:pPr>
        <w:spacing w:line="360" w:lineRule="auto"/>
        <w:contextualSpacing/>
        <w:rPr>
          <w:rFonts w:ascii="Times New Roman" w:hAnsi="Times New Roman"/>
          <w:b/>
          <w:sz w:val="28"/>
          <w:szCs w:val="28"/>
        </w:rPr>
      </w:pPr>
      <w:r>
        <w:rPr>
          <w:rFonts w:ascii="Times New Roman" w:hAnsi="Times New Roman"/>
          <w:b/>
          <w:sz w:val="28"/>
          <w:szCs w:val="28"/>
        </w:rPr>
        <w:t>THE TRUSTEES FOR THE TIME</w:t>
      </w:r>
    </w:p>
    <w:p w14:paraId="55A793AC" w14:textId="77777777" w:rsidR="007E7FCA" w:rsidRDefault="007E7FCA" w:rsidP="00D46D76">
      <w:pPr>
        <w:spacing w:line="360" w:lineRule="auto"/>
        <w:contextualSpacing/>
        <w:rPr>
          <w:rFonts w:ascii="Times New Roman" w:hAnsi="Times New Roman"/>
          <w:b/>
          <w:sz w:val="28"/>
          <w:szCs w:val="28"/>
        </w:rPr>
      </w:pPr>
      <w:r>
        <w:rPr>
          <w:rFonts w:ascii="Times New Roman" w:hAnsi="Times New Roman"/>
          <w:b/>
          <w:sz w:val="28"/>
          <w:szCs w:val="28"/>
        </w:rPr>
        <w:t>BEING OF THE EAST LONDON</w:t>
      </w:r>
    </w:p>
    <w:p w14:paraId="18D8FDF6" w14:textId="77777777" w:rsidR="007E7FCA" w:rsidRDefault="007E7FCA" w:rsidP="00D46D76">
      <w:pPr>
        <w:spacing w:line="360" w:lineRule="auto"/>
        <w:contextualSpacing/>
        <w:rPr>
          <w:rFonts w:ascii="Times New Roman" w:hAnsi="Times New Roman"/>
          <w:b/>
          <w:sz w:val="28"/>
          <w:szCs w:val="28"/>
        </w:rPr>
      </w:pPr>
      <w:r>
        <w:rPr>
          <w:rFonts w:ascii="Times New Roman" w:hAnsi="Times New Roman"/>
          <w:b/>
          <w:sz w:val="28"/>
          <w:szCs w:val="28"/>
        </w:rPr>
        <w:t xml:space="preserve">HEBREW CONGREGATION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Applicant</w:t>
      </w:r>
    </w:p>
    <w:p w14:paraId="57937CFD" w14:textId="77777777" w:rsidR="007E7FCA" w:rsidRPr="000D03EE" w:rsidRDefault="007E7FCA" w:rsidP="00D46D76">
      <w:pPr>
        <w:spacing w:line="360" w:lineRule="auto"/>
        <w:contextualSpacing/>
        <w:rPr>
          <w:rFonts w:ascii="Times New Roman" w:hAnsi="Times New Roman"/>
          <w:b/>
          <w:sz w:val="28"/>
          <w:szCs w:val="28"/>
        </w:rPr>
      </w:pPr>
    </w:p>
    <w:p w14:paraId="502EDFB5" w14:textId="77777777" w:rsidR="007E7FCA" w:rsidRPr="000D03EE" w:rsidRDefault="007E7FCA" w:rsidP="00D46D76">
      <w:pPr>
        <w:spacing w:line="360" w:lineRule="auto"/>
        <w:contextualSpacing/>
        <w:rPr>
          <w:rFonts w:ascii="Times New Roman" w:hAnsi="Times New Roman"/>
          <w:sz w:val="28"/>
          <w:szCs w:val="28"/>
        </w:rPr>
      </w:pPr>
      <w:r>
        <w:rPr>
          <w:rFonts w:ascii="Times New Roman" w:hAnsi="Times New Roman"/>
          <w:sz w:val="28"/>
          <w:szCs w:val="28"/>
        </w:rPr>
        <w:t>and</w:t>
      </w:r>
    </w:p>
    <w:p w14:paraId="31490EE0" w14:textId="77777777" w:rsidR="007E7FCA" w:rsidRDefault="007E7FCA" w:rsidP="00D46D76">
      <w:pPr>
        <w:pBdr>
          <w:bottom w:val="single" w:sz="12" w:space="1" w:color="auto"/>
        </w:pBdr>
        <w:spacing w:line="360" w:lineRule="auto"/>
        <w:contextualSpacing/>
        <w:rPr>
          <w:rFonts w:ascii="Times New Roman" w:hAnsi="Times New Roman"/>
          <w:sz w:val="28"/>
          <w:szCs w:val="28"/>
        </w:rPr>
      </w:pPr>
    </w:p>
    <w:p w14:paraId="5ACC8555" w14:textId="77777777" w:rsidR="007E7FCA" w:rsidRDefault="007E7FCA" w:rsidP="00D46D76">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CHANOCH GALPERIN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First Respondent</w:t>
      </w:r>
    </w:p>
    <w:p w14:paraId="73240589" w14:textId="77777777" w:rsidR="007E7FCA" w:rsidRDefault="007E7FCA" w:rsidP="00D46D76">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SARA RAZELLE GAL</w:t>
      </w:r>
      <w:r w:rsidR="004F6CF4">
        <w:rPr>
          <w:rFonts w:ascii="Times New Roman" w:hAnsi="Times New Roman"/>
          <w:b/>
          <w:sz w:val="28"/>
          <w:szCs w:val="28"/>
        </w:rPr>
        <w:t>PER</w:t>
      </w:r>
      <w:r>
        <w:rPr>
          <w:rFonts w:ascii="Times New Roman" w:hAnsi="Times New Roman"/>
          <w:b/>
          <w:sz w:val="28"/>
          <w:szCs w:val="28"/>
        </w:rPr>
        <w:t xml:space="preserve">IN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Second Respondent </w:t>
      </w:r>
    </w:p>
    <w:p w14:paraId="47F55C0B" w14:textId="77777777" w:rsidR="007E7FCA" w:rsidRDefault="007E7FCA" w:rsidP="00D46D76">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 xml:space="preserve">THE BUFFALO CITY </w:t>
      </w:r>
    </w:p>
    <w:p w14:paraId="2AD8F4D4" w14:textId="77777777" w:rsidR="007E7FCA" w:rsidRDefault="007E7FCA" w:rsidP="00D46D76">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 xml:space="preserve">METROPOLITAN MUNICIPALITY </w:t>
      </w:r>
      <w:r>
        <w:rPr>
          <w:rFonts w:ascii="Times New Roman" w:hAnsi="Times New Roman"/>
          <w:b/>
          <w:sz w:val="28"/>
          <w:szCs w:val="28"/>
        </w:rPr>
        <w:tab/>
      </w:r>
      <w:r>
        <w:rPr>
          <w:rFonts w:ascii="Times New Roman" w:hAnsi="Times New Roman"/>
          <w:b/>
          <w:sz w:val="28"/>
          <w:szCs w:val="28"/>
        </w:rPr>
        <w:tab/>
        <w:t xml:space="preserve">Third Respondent </w:t>
      </w:r>
    </w:p>
    <w:p w14:paraId="603532E5" w14:textId="77777777" w:rsidR="007E7FCA" w:rsidRPr="009379AE" w:rsidRDefault="007E7FCA" w:rsidP="00D46D76">
      <w:pPr>
        <w:pBdr>
          <w:bottom w:val="single" w:sz="12" w:space="1" w:color="auto"/>
        </w:pBdr>
        <w:spacing w:line="360" w:lineRule="auto"/>
        <w:contextualSpacing/>
        <w:rPr>
          <w:rFonts w:ascii="Times New Roman" w:hAnsi="Times New Roman"/>
          <w:b/>
          <w:sz w:val="28"/>
          <w:szCs w:val="28"/>
        </w:rPr>
      </w:pPr>
    </w:p>
    <w:p w14:paraId="73EE58C6" w14:textId="77777777" w:rsidR="007E7FCA" w:rsidRPr="009379AE" w:rsidRDefault="007E7FCA" w:rsidP="00D46D76">
      <w:pPr>
        <w:spacing w:line="360" w:lineRule="auto"/>
        <w:contextualSpacing/>
        <w:rPr>
          <w:rFonts w:ascii="Times New Roman" w:hAnsi="Times New Roman"/>
          <w:sz w:val="28"/>
          <w:szCs w:val="28"/>
        </w:rPr>
      </w:pPr>
      <w:r w:rsidRPr="009379AE">
        <w:rPr>
          <w:rFonts w:ascii="Times New Roman" w:hAnsi="Times New Roman"/>
        </w:rPr>
        <w:t xml:space="preserve"> </w:t>
      </w:r>
    </w:p>
    <w:p w14:paraId="19D09F1D" w14:textId="77777777" w:rsidR="007E7FCA" w:rsidRDefault="007E7FCA" w:rsidP="00D46D76">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p>
    <w:p w14:paraId="7374E6AF" w14:textId="77777777" w:rsidR="007E7FCA" w:rsidRDefault="007E7FCA" w:rsidP="00D46D76">
      <w:pPr>
        <w:tabs>
          <w:tab w:val="left" w:pos="567"/>
        </w:tabs>
        <w:spacing w:line="360" w:lineRule="auto"/>
        <w:ind w:hanging="709"/>
        <w:contextualSpacing/>
        <w:rPr>
          <w:rFonts w:ascii="Times New Roman" w:hAnsi="Times New Roman"/>
          <w:sz w:val="28"/>
          <w:szCs w:val="28"/>
        </w:rPr>
      </w:pPr>
    </w:p>
    <w:p w14:paraId="66C2CEE5" w14:textId="77777777" w:rsidR="00D46D76" w:rsidRPr="009379AE" w:rsidRDefault="00D46D76" w:rsidP="00D46D76">
      <w:pPr>
        <w:tabs>
          <w:tab w:val="left" w:pos="567"/>
        </w:tabs>
        <w:spacing w:line="360" w:lineRule="auto"/>
        <w:ind w:hanging="709"/>
        <w:contextualSpacing/>
        <w:rPr>
          <w:rFonts w:ascii="Times New Roman" w:hAnsi="Times New Roman"/>
          <w:sz w:val="28"/>
          <w:szCs w:val="28"/>
        </w:rPr>
      </w:pPr>
    </w:p>
    <w:p w14:paraId="5A8802D4" w14:textId="77777777" w:rsidR="007E7FCA" w:rsidRDefault="007E7FCA" w:rsidP="00D46D76">
      <w:pPr>
        <w:pStyle w:val="ListParagraph"/>
        <w:tabs>
          <w:tab w:val="left" w:pos="0"/>
        </w:tabs>
        <w:spacing w:after="0" w:line="360" w:lineRule="auto"/>
        <w:ind w:left="0"/>
        <w:rPr>
          <w:rFonts w:ascii="Times New Roman" w:hAnsi="Times New Roman"/>
          <w:b/>
          <w:sz w:val="28"/>
          <w:szCs w:val="28"/>
        </w:rPr>
      </w:pPr>
      <w:r>
        <w:rPr>
          <w:rFonts w:ascii="Times New Roman" w:hAnsi="Times New Roman"/>
          <w:b/>
          <w:sz w:val="28"/>
          <w:szCs w:val="28"/>
        </w:rPr>
        <w:t>HARTLE J</w:t>
      </w:r>
    </w:p>
    <w:p w14:paraId="2EE15E7A" w14:textId="77777777" w:rsidR="00FE6F41" w:rsidRDefault="00FE6F41" w:rsidP="00D46D76">
      <w:pPr>
        <w:pStyle w:val="ListParagraph"/>
        <w:tabs>
          <w:tab w:val="left" w:pos="0"/>
        </w:tabs>
        <w:spacing w:after="0" w:line="360" w:lineRule="auto"/>
        <w:ind w:left="0"/>
        <w:rPr>
          <w:rFonts w:ascii="Times New Roman" w:hAnsi="Times New Roman"/>
          <w:b/>
          <w:sz w:val="28"/>
          <w:szCs w:val="28"/>
          <w:u w:val="single"/>
        </w:rPr>
      </w:pPr>
    </w:p>
    <w:p w14:paraId="16F23189" w14:textId="77777777" w:rsidR="00A3750E" w:rsidRPr="00281EB4" w:rsidRDefault="00A3750E" w:rsidP="00D46D76">
      <w:pPr>
        <w:pStyle w:val="ListParagraph"/>
        <w:tabs>
          <w:tab w:val="left" w:pos="0"/>
        </w:tabs>
        <w:spacing w:after="0" w:line="360" w:lineRule="auto"/>
        <w:ind w:left="0"/>
        <w:rPr>
          <w:rFonts w:ascii="Times New Roman" w:hAnsi="Times New Roman"/>
          <w:b/>
          <w:sz w:val="28"/>
          <w:szCs w:val="28"/>
          <w:u w:val="single"/>
        </w:rPr>
      </w:pPr>
      <w:r w:rsidRPr="00281EB4">
        <w:rPr>
          <w:rFonts w:ascii="Times New Roman" w:hAnsi="Times New Roman"/>
          <w:b/>
          <w:sz w:val="28"/>
          <w:szCs w:val="28"/>
          <w:u w:val="single"/>
        </w:rPr>
        <w:t>Introduction:</w:t>
      </w:r>
    </w:p>
    <w:p w14:paraId="6463059F" w14:textId="77777777" w:rsidR="00A3750E" w:rsidRDefault="00A3750E" w:rsidP="00D46D76">
      <w:pPr>
        <w:pStyle w:val="ListParagraph"/>
        <w:tabs>
          <w:tab w:val="left" w:pos="0"/>
        </w:tabs>
        <w:spacing w:after="0" w:line="360" w:lineRule="auto"/>
        <w:ind w:left="0"/>
        <w:rPr>
          <w:rFonts w:ascii="Times New Roman" w:hAnsi="Times New Roman"/>
          <w:b/>
          <w:sz w:val="28"/>
          <w:szCs w:val="28"/>
        </w:rPr>
      </w:pPr>
    </w:p>
    <w:p w14:paraId="45DB8F16" w14:textId="77777777" w:rsidR="007E7FCA" w:rsidRP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lastRenderedPageBreak/>
        <w:t>The applicant, The East London</w:t>
      </w:r>
      <w:r>
        <w:rPr>
          <w:rFonts w:ascii="Times New Roman" w:hAnsi="Times New Roman"/>
          <w:color w:val="000000"/>
          <w:sz w:val="28"/>
          <w:szCs w:val="28"/>
        </w:rPr>
        <w:t xml:space="preserve"> Hebrew C</w:t>
      </w:r>
      <w:r w:rsidRPr="007E7FCA">
        <w:rPr>
          <w:rFonts w:ascii="Times New Roman" w:hAnsi="Times New Roman"/>
          <w:color w:val="000000"/>
          <w:sz w:val="28"/>
          <w:szCs w:val="28"/>
        </w:rPr>
        <w:t>ongregation (“the Congregation”),</w:t>
      </w:r>
      <w:r w:rsidR="00F128D3">
        <w:rPr>
          <w:rStyle w:val="FootnoteReference"/>
          <w:rFonts w:ascii="Times New Roman" w:hAnsi="Times New Roman"/>
          <w:color w:val="000000"/>
          <w:sz w:val="28"/>
          <w:szCs w:val="28"/>
        </w:rPr>
        <w:footnoteReference w:id="1"/>
      </w:r>
      <w:r w:rsidRPr="007E7FCA">
        <w:rPr>
          <w:rFonts w:ascii="Times New Roman" w:hAnsi="Times New Roman"/>
          <w:color w:val="000000"/>
          <w:sz w:val="28"/>
          <w:szCs w:val="28"/>
        </w:rPr>
        <w:t xml:space="preserve"> issued out an application for the eviction of the first and second respondents (“the respondents”)</w:t>
      </w:r>
      <w:r w:rsidR="004F6CF4">
        <w:rPr>
          <w:rStyle w:val="FootnoteReference"/>
          <w:rFonts w:ascii="Times New Roman" w:hAnsi="Times New Roman"/>
          <w:color w:val="000000"/>
          <w:sz w:val="28"/>
          <w:szCs w:val="28"/>
        </w:rPr>
        <w:footnoteReference w:id="2"/>
      </w:r>
      <w:r w:rsidRPr="007E7FCA">
        <w:rPr>
          <w:rFonts w:ascii="Times New Roman" w:hAnsi="Times New Roman"/>
          <w:color w:val="000000"/>
          <w:sz w:val="28"/>
          <w:szCs w:val="28"/>
        </w:rPr>
        <w:t xml:space="preserve"> from premises owned by it situated at 7 Osborne Road, Selborne, East London ("the property").</w:t>
      </w:r>
      <w:r w:rsidR="004F6CF4">
        <w:rPr>
          <w:rStyle w:val="FootnoteReference"/>
          <w:rFonts w:ascii="Times New Roman" w:hAnsi="Times New Roman"/>
          <w:color w:val="000000"/>
          <w:sz w:val="28"/>
          <w:szCs w:val="28"/>
        </w:rPr>
        <w:footnoteReference w:id="3"/>
      </w:r>
      <w:r w:rsidRPr="007E7FCA">
        <w:rPr>
          <w:rFonts w:ascii="Times New Roman" w:hAnsi="Times New Roman"/>
          <w:color w:val="000000"/>
          <w:sz w:val="28"/>
          <w:szCs w:val="28"/>
        </w:rPr>
        <w:t xml:space="preserve"> </w:t>
      </w:r>
    </w:p>
    <w:p w14:paraId="130D0F2B" w14:textId="77777777" w:rsidR="007E7FCA" w:rsidRPr="007E7FCA" w:rsidRDefault="007E7FCA" w:rsidP="00D46D76">
      <w:pPr>
        <w:pStyle w:val="ListParagraph"/>
        <w:tabs>
          <w:tab w:val="left" w:pos="0"/>
        </w:tabs>
        <w:spacing w:after="0" w:line="360" w:lineRule="auto"/>
        <w:ind w:left="0"/>
        <w:rPr>
          <w:rFonts w:ascii="Times New Roman" w:hAnsi="Times New Roman"/>
          <w:b/>
          <w:sz w:val="28"/>
          <w:szCs w:val="28"/>
        </w:rPr>
      </w:pPr>
    </w:p>
    <w:p w14:paraId="770BA5BB" w14:textId="77777777" w:rsidR="007E7FCA" w:rsidRPr="007E7FCA" w:rsidRDefault="004F6CF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It alleges that t</w:t>
      </w:r>
      <w:r w:rsidR="007E7FCA" w:rsidRPr="007E7FCA">
        <w:rPr>
          <w:rFonts w:ascii="Times New Roman" w:hAnsi="Times New Roman"/>
          <w:color w:val="000000"/>
          <w:sz w:val="28"/>
          <w:szCs w:val="28"/>
        </w:rPr>
        <w:t xml:space="preserve">he respondents came to occupy the property, initially lawfully, as an incidence of the </w:t>
      </w:r>
      <w:r w:rsidR="0062100D" w:rsidRPr="00AC7811">
        <w:rPr>
          <w:rFonts w:ascii="Times New Roman" w:hAnsi="Times New Roman"/>
          <w:i/>
          <w:iCs/>
          <w:color w:val="000000"/>
          <w:sz w:val="28"/>
          <w:szCs w:val="28"/>
        </w:rPr>
        <w:t>first</w:t>
      </w:r>
      <w:r w:rsidR="0062100D">
        <w:rPr>
          <w:rFonts w:ascii="Times New Roman" w:hAnsi="Times New Roman"/>
          <w:color w:val="000000"/>
          <w:sz w:val="28"/>
          <w:szCs w:val="28"/>
        </w:rPr>
        <w:t xml:space="preserve"> </w:t>
      </w:r>
      <w:r w:rsidR="007E7FCA" w:rsidRPr="007E7FCA">
        <w:rPr>
          <w:rFonts w:ascii="Times New Roman" w:hAnsi="Times New Roman"/>
          <w:color w:val="000000"/>
          <w:sz w:val="28"/>
          <w:szCs w:val="28"/>
        </w:rPr>
        <w:t>respondents</w:t>
      </w:r>
      <w:r w:rsidR="00EC269F">
        <w:rPr>
          <w:rFonts w:ascii="Times New Roman" w:hAnsi="Times New Roman"/>
          <w:color w:val="000000"/>
          <w:sz w:val="28"/>
          <w:szCs w:val="28"/>
        </w:rPr>
        <w:t>’</w:t>
      </w:r>
      <w:r w:rsidR="007E7FCA" w:rsidRPr="007E7FCA">
        <w:rPr>
          <w:rFonts w:ascii="Times New Roman" w:hAnsi="Times New Roman"/>
          <w:color w:val="000000"/>
          <w:sz w:val="28"/>
          <w:szCs w:val="28"/>
        </w:rPr>
        <w:t xml:space="preserve"> employment with </w:t>
      </w:r>
      <w:r w:rsidR="0062100D">
        <w:rPr>
          <w:rFonts w:ascii="Times New Roman" w:hAnsi="Times New Roman"/>
          <w:color w:val="000000"/>
          <w:sz w:val="28"/>
          <w:szCs w:val="28"/>
        </w:rPr>
        <w:t>it</w:t>
      </w:r>
      <w:r w:rsidR="00AC7811">
        <w:rPr>
          <w:rFonts w:ascii="Times New Roman" w:hAnsi="Times New Roman"/>
          <w:color w:val="000000"/>
          <w:sz w:val="28"/>
          <w:szCs w:val="28"/>
        </w:rPr>
        <w:t>. It alleges</w:t>
      </w:r>
      <w:r w:rsidR="0062100D">
        <w:rPr>
          <w:rFonts w:ascii="Times New Roman" w:hAnsi="Times New Roman"/>
          <w:color w:val="000000"/>
          <w:sz w:val="28"/>
          <w:szCs w:val="28"/>
        </w:rPr>
        <w:t xml:space="preserve"> </w:t>
      </w:r>
      <w:r w:rsidR="00AC7811">
        <w:rPr>
          <w:rFonts w:ascii="Times New Roman" w:hAnsi="Times New Roman"/>
          <w:color w:val="000000"/>
          <w:sz w:val="28"/>
          <w:szCs w:val="28"/>
        </w:rPr>
        <w:t>that</w:t>
      </w:r>
      <w:r w:rsidR="0062100D">
        <w:rPr>
          <w:rFonts w:ascii="Times New Roman" w:hAnsi="Times New Roman"/>
          <w:color w:val="000000"/>
          <w:sz w:val="28"/>
          <w:szCs w:val="28"/>
        </w:rPr>
        <w:t xml:space="preserve"> the second respondent</w:t>
      </w:r>
      <w:r w:rsidR="00AC7811">
        <w:rPr>
          <w:rFonts w:ascii="Times New Roman" w:hAnsi="Times New Roman"/>
          <w:color w:val="000000"/>
          <w:sz w:val="28"/>
          <w:szCs w:val="28"/>
        </w:rPr>
        <w:t xml:space="preserve">, who is married to the first respondent, acquired her right to occupy </w:t>
      </w:r>
      <w:r w:rsidR="000B2D35">
        <w:rPr>
          <w:rFonts w:ascii="Times New Roman" w:hAnsi="Times New Roman"/>
          <w:color w:val="000000"/>
          <w:sz w:val="28"/>
          <w:szCs w:val="28"/>
        </w:rPr>
        <w:t xml:space="preserve">the home </w:t>
      </w:r>
      <w:r w:rsidR="00AC7811">
        <w:rPr>
          <w:rFonts w:ascii="Times New Roman" w:hAnsi="Times New Roman"/>
          <w:color w:val="000000"/>
          <w:sz w:val="28"/>
          <w:szCs w:val="28"/>
        </w:rPr>
        <w:t xml:space="preserve">“through” </w:t>
      </w:r>
      <w:r w:rsidR="003D0322">
        <w:rPr>
          <w:rFonts w:ascii="Times New Roman" w:hAnsi="Times New Roman"/>
          <w:color w:val="000000"/>
          <w:sz w:val="28"/>
          <w:szCs w:val="28"/>
        </w:rPr>
        <w:t>her spouse</w:t>
      </w:r>
      <w:r w:rsidR="007E7FCA" w:rsidRPr="007E7FCA">
        <w:rPr>
          <w:rFonts w:ascii="Times New Roman" w:hAnsi="Times New Roman"/>
          <w:color w:val="000000"/>
          <w:sz w:val="28"/>
          <w:szCs w:val="28"/>
        </w:rPr>
        <w:t>.</w:t>
      </w:r>
    </w:p>
    <w:p w14:paraId="14E1F138" w14:textId="77777777" w:rsidR="00867040" w:rsidRDefault="00867040" w:rsidP="00D46D76">
      <w:pPr>
        <w:pStyle w:val="ListParagraph"/>
        <w:spacing w:after="0" w:line="360" w:lineRule="auto"/>
        <w:rPr>
          <w:rFonts w:ascii="Times New Roman" w:hAnsi="Times New Roman"/>
          <w:color w:val="000000"/>
          <w:sz w:val="28"/>
          <w:szCs w:val="28"/>
        </w:rPr>
      </w:pPr>
    </w:p>
    <w:p w14:paraId="3AEFB59B" w14:textId="77777777" w:rsidR="00D46D76" w:rsidRDefault="00D46D76" w:rsidP="00D46D76">
      <w:pPr>
        <w:pStyle w:val="ListParagraph"/>
        <w:spacing w:after="0" w:line="360" w:lineRule="auto"/>
        <w:rPr>
          <w:rFonts w:ascii="Times New Roman" w:hAnsi="Times New Roman"/>
          <w:color w:val="000000"/>
          <w:sz w:val="28"/>
          <w:szCs w:val="28"/>
        </w:rPr>
      </w:pPr>
    </w:p>
    <w:p w14:paraId="1916C0FF" w14:textId="77777777" w:rsidR="00D46D76" w:rsidRDefault="00D46D76" w:rsidP="00D46D76">
      <w:pPr>
        <w:pStyle w:val="ListParagraph"/>
        <w:spacing w:after="0" w:line="360" w:lineRule="auto"/>
        <w:rPr>
          <w:rFonts w:ascii="Times New Roman" w:hAnsi="Times New Roman"/>
          <w:color w:val="000000"/>
          <w:sz w:val="28"/>
          <w:szCs w:val="28"/>
        </w:rPr>
      </w:pPr>
    </w:p>
    <w:p w14:paraId="18F6A745" w14:textId="77777777" w:rsidR="00D46D76" w:rsidRDefault="00D46D76" w:rsidP="00D46D76">
      <w:pPr>
        <w:pStyle w:val="ListParagraph"/>
        <w:spacing w:after="0" w:line="360" w:lineRule="auto"/>
        <w:rPr>
          <w:rFonts w:ascii="Times New Roman" w:hAnsi="Times New Roman"/>
          <w:color w:val="000000"/>
          <w:sz w:val="28"/>
          <w:szCs w:val="28"/>
        </w:rPr>
      </w:pPr>
    </w:p>
    <w:p w14:paraId="497BB11F" w14:textId="77777777" w:rsidR="00D46D76" w:rsidRDefault="00D46D76" w:rsidP="00D46D76">
      <w:pPr>
        <w:pStyle w:val="ListParagraph"/>
        <w:spacing w:after="0" w:line="360" w:lineRule="auto"/>
        <w:rPr>
          <w:rFonts w:ascii="Times New Roman" w:hAnsi="Times New Roman"/>
          <w:color w:val="000000"/>
          <w:sz w:val="28"/>
          <w:szCs w:val="28"/>
        </w:rPr>
      </w:pPr>
    </w:p>
    <w:p w14:paraId="2946CECD" w14:textId="77777777" w:rsidR="00D46D76" w:rsidRDefault="00D46D76" w:rsidP="00D46D76">
      <w:pPr>
        <w:pStyle w:val="ListParagraph"/>
        <w:spacing w:after="0" w:line="360" w:lineRule="auto"/>
        <w:rPr>
          <w:rFonts w:ascii="Times New Roman" w:hAnsi="Times New Roman"/>
          <w:color w:val="000000"/>
          <w:sz w:val="28"/>
          <w:szCs w:val="28"/>
        </w:rPr>
      </w:pPr>
    </w:p>
    <w:p w14:paraId="1C784E77" w14:textId="77777777" w:rsidR="00D46D76" w:rsidRDefault="00D46D76" w:rsidP="00D46D76">
      <w:pPr>
        <w:pStyle w:val="ListParagraph"/>
        <w:spacing w:after="0" w:line="360" w:lineRule="auto"/>
        <w:rPr>
          <w:rFonts w:ascii="Times New Roman" w:hAnsi="Times New Roman"/>
          <w:color w:val="000000"/>
          <w:sz w:val="28"/>
          <w:szCs w:val="28"/>
        </w:rPr>
      </w:pPr>
    </w:p>
    <w:p w14:paraId="4E66E35A" w14:textId="77777777" w:rsidR="00D46D76" w:rsidRDefault="00D46D76" w:rsidP="00D46D76">
      <w:pPr>
        <w:pStyle w:val="ListParagraph"/>
        <w:spacing w:after="0" w:line="360" w:lineRule="auto"/>
        <w:rPr>
          <w:rFonts w:ascii="Times New Roman" w:hAnsi="Times New Roman"/>
          <w:color w:val="000000"/>
          <w:sz w:val="28"/>
          <w:szCs w:val="28"/>
        </w:rPr>
      </w:pPr>
    </w:p>
    <w:p w14:paraId="5C2CCF68" w14:textId="77777777" w:rsidR="00D46D76" w:rsidRDefault="00D46D76" w:rsidP="00D46D76">
      <w:pPr>
        <w:pStyle w:val="ListParagraph"/>
        <w:spacing w:after="0" w:line="360" w:lineRule="auto"/>
        <w:rPr>
          <w:rFonts w:ascii="Times New Roman" w:hAnsi="Times New Roman"/>
          <w:color w:val="000000"/>
          <w:sz w:val="28"/>
          <w:szCs w:val="28"/>
        </w:rPr>
      </w:pPr>
    </w:p>
    <w:p w14:paraId="3E1DAF35" w14:textId="77777777" w:rsidR="00D46D76" w:rsidRDefault="00D46D76" w:rsidP="00D46D76">
      <w:pPr>
        <w:pStyle w:val="ListParagraph"/>
        <w:spacing w:after="0" w:line="360" w:lineRule="auto"/>
        <w:rPr>
          <w:rFonts w:ascii="Times New Roman" w:hAnsi="Times New Roman"/>
          <w:color w:val="000000"/>
          <w:sz w:val="28"/>
          <w:szCs w:val="28"/>
        </w:rPr>
      </w:pPr>
    </w:p>
    <w:p w14:paraId="13D769B6" w14:textId="77777777" w:rsidR="00D46D76" w:rsidRDefault="00D46D76" w:rsidP="00D46D76">
      <w:pPr>
        <w:pStyle w:val="ListParagraph"/>
        <w:spacing w:after="0" w:line="360" w:lineRule="auto"/>
        <w:rPr>
          <w:rFonts w:ascii="Times New Roman" w:hAnsi="Times New Roman"/>
          <w:color w:val="000000"/>
          <w:sz w:val="28"/>
          <w:szCs w:val="28"/>
        </w:rPr>
      </w:pPr>
    </w:p>
    <w:p w14:paraId="49FF1C58" w14:textId="77777777" w:rsidR="007E7FCA" w:rsidRPr="007E7FCA" w:rsidRDefault="003D0322"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lastRenderedPageBreak/>
        <w:t>It is apparent from the</w:t>
      </w:r>
      <w:r w:rsidR="00BB6B76">
        <w:rPr>
          <w:rFonts w:ascii="Times New Roman" w:hAnsi="Times New Roman"/>
          <w:color w:val="000000"/>
          <w:sz w:val="28"/>
          <w:szCs w:val="28"/>
        </w:rPr>
        <w:t xml:space="preserve"> applicable</w:t>
      </w:r>
      <w:r>
        <w:rPr>
          <w:rFonts w:ascii="Times New Roman" w:hAnsi="Times New Roman"/>
          <w:color w:val="000000"/>
          <w:sz w:val="28"/>
          <w:szCs w:val="28"/>
        </w:rPr>
        <w:t xml:space="preserve"> employment agreement that</w:t>
      </w:r>
      <w:r w:rsidR="004F6CF4">
        <w:rPr>
          <w:rFonts w:ascii="Times New Roman" w:hAnsi="Times New Roman"/>
          <w:color w:val="000000"/>
          <w:sz w:val="28"/>
          <w:szCs w:val="28"/>
        </w:rPr>
        <w:t xml:space="preserve"> t</w:t>
      </w:r>
      <w:r w:rsidR="007E7FCA" w:rsidRPr="007E7FCA">
        <w:rPr>
          <w:rFonts w:ascii="Times New Roman" w:hAnsi="Times New Roman"/>
          <w:color w:val="000000"/>
          <w:sz w:val="28"/>
          <w:szCs w:val="28"/>
        </w:rPr>
        <w:t>he first respond</w:t>
      </w:r>
      <w:r w:rsidR="004F6CF4">
        <w:rPr>
          <w:rFonts w:ascii="Times New Roman" w:hAnsi="Times New Roman"/>
          <w:color w:val="000000"/>
          <w:sz w:val="28"/>
          <w:szCs w:val="28"/>
        </w:rPr>
        <w:t>ent was appointed to serve the C</w:t>
      </w:r>
      <w:r w:rsidR="007E7FCA" w:rsidRPr="007E7FCA">
        <w:rPr>
          <w:rFonts w:ascii="Times New Roman" w:hAnsi="Times New Roman"/>
          <w:color w:val="000000"/>
          <w:sz w:val="28"/>
          <w:szCs w:val="28"/>
        </w:rPr>
        <w:t xml:space="preserve">ongregation as its Rabbi and spiritual leader, and the second respondent as Rebbetzin, teacher and </w:t>
      </w:r>
      <w:r w:rsidR="00D5574B" w:rsidRPr="007E7FCA">
        <w:rPr>
          <w:rFonts w:ascii="Times New Roman" w:hAnsi="Times New Roman"/>
          <w:color w:val="000000"/>
          <w:sz w:val="28"/>
          <w:szCs w:val="28"/>
        </w:rPr>
        <w:t>Mashgiac</w:t>
      </w:r>
      <w:r w:rsidR="00D5574B">
        <w:rPr>
          <w:rFonts w:ascii="Times New Roman" w:hAnsi="Times New Roman"/>
          <w:color w:val="000000"/>
          <w:sz w:val="28"/>
          <w:szCs w:val="28"/>
        </w:rPr>
        <w:t>h</w:t>
      </w:r>
      <w:r w:rsidR="00B21F08">
        <w:rPr>
          <w:rFonts w:ascii="Times New Roman" w:hAnsi="Times New Roman"/>
          <w:color w:val="000000"/>
          <w:sz w:val="28"/>
          <w:szCs w:val="28"/>
        </w:rPr>
        <w:t xml:space="preserve"> within the C</w:t>
      </w:r>
      <w:r w:rsidR="007E7FCA" w:rsidRPr="007E7FCA">
        <w:rPr>
          <w:rFonts w:ascii="Times New Roman" w:hAnsi="Times New Roman"/>
          <w:color w:val="000000"/>
          <w:sz w:val="28"/>
          <w:szCs w:val="28"/>
        </w:rPr>
        <w:t>ongregation</w:t>
      </w:r>
      <w:r>
        <w:rPr>
          <w:rFonts w:ascii="Times New Roman" w:hAnsi="Times New Roman"/>
          <w:color w:val="000000"/>
          <w:sz w:val="28"/>
          <w:szCs w:val="28"/>
        </w:rPr>
        <w:t xml:space="preserve">.  The </w:t>
      </w:r>
      <w:r w:rsidR="003526CE">
        <w:rPr>
          <w:rFonts w:ascii="Times New Roman" w:hAnsi="Times New Roman"/>
          <w:color w:val="000000"/>
          <w:sz w:val="28"/>
          <w:szCs w:val="28"/>
        </w:rPr>
        <w:t>employment agreement</w:t>
      </w:r>
      <w:r w:rsidR="007E7FCA" w:rsidRPr="007E7FCA">
        <w:rPr>
          <w:rFonts w:ascii="Times New Roman" w:hAnsi="Times New Roman"/>
          <w:color w:val="000000"/>
          <w:sz w:val="28"/>
          <w:szCs w:val="28"/>
        </w:rPr>
        <w:t xml:space="preserve"> </w:t>
      </w:r>
      <w:r>
        <w:rPr>
          <w:rFonts w:ascii="Times New Roman" w:hAnsi="Times New Roman"/>
          <w:color w:val="000000"/>
          <w:sz w:val="28"/>
          <w:szCs w:val="28"/>
        </w:rPr>
        <w:t xml:space="preserve">was </w:t>
      </w:r>
      <w:r w:rsidR="007E7FCA" w:rsidRPr="007E7FCA">
        <w:rPr>
          <w:rFonts w:ascii="Times New Roman" w:hAnsi="Times New Roman"/>
          <w:color w:val="000000"/>
          <w:sz w:val="28"/>
          <w:szCs w:val="28"/>
        </w:rPr>
        <w:t xml:space="preserve">concluded with them in June 2016 </w:t>
      </w:r>
      <w:r>
        <w:rPr>
          <w:rFonts w:ascii="Times New Roman" w:hAnsi="Times New Roman"/>
          <w:color w:val="000000"/>
          <w:sz w:val="28"/>
          <w:szCs w:val="28"/>
        </w:rPr>
        <w:t>and</w:t>
      </w:r>
      <w:r w:rsidR="007E7FCA" w:rsidRPr="007E7FCA">
        <w:rPr>
          <w:rFonts w:ascii="Times New Roman" w:hAnsi="Times New Roman"/>
          <w:color w:val="000000"/>
          <w:sz w:val="28"/>
          <w:szCs w:val="28"/>
        </w:rPr>
        <w:t xml:space="preserve"> would</w:t>
      </w:r>
      <w:r w:rsidR="004F6CF4">
        <w:rPr>
          <w:rFonts w:ascii="Times New Roman" w:hAnsi="Times New Roman"/>
          <w:color w:val="000000"/>
          <w:sz w:val="28"/>
          <w:szCs w:val="28"/>
        </w:rPr>
        <w:t>,</w:t>
      </w:r>
      <w:r w:rsidR="007E7FCA" w:rsidRPr="007E7FCA">
        <w:rPr>
          <w:rFonts w:ascii="Times New Roman" w:hAnsi="Times New Roman"/>
          <w:color w:val="000000"/>
          <w:sz w:val="28"/>
          <w:szCs w:val="28"/>
        </w:rPr>
        <w:t xml:space="preserve"> in the ordinary course</w:t>
      </w:r>
      <w:r w:rsidR="004F6CF4">
        <w:rPr>
          <w:rFonts w:ascii="Times New Roman" w:hAnsi="Times New Roman"/>
          <w:color w:val="000000"/>
          <w:sz w:val="28"/>
          <w:szCs w:val="28"/>
        </w:rPr>
        <w:t>, have terminated</w:t>
      </w:r>
      <w:r w:rsidR="007E7FCA" w:rsidRPr="007E7FCA">
        <w:rPr>
          <w:rFonts w:ascii="Times New Roman" w:hAnsi="Times New Roman"/>
          <w:color w:val="000000"/>
          <w:sz w:val="28"/>
          <w:szCs w:val="28"/>
        </w:rPr>
        <w:t xml:space="preserve"> on 31 May 2024.</w:t>
      </w:r>
      <w:r w:rsidR="004F6CF4">
        <w:rPr>
          <w:rStyle w:val="FootnoteReference"/>
          <w:rFonts w:ascii="Times New Roman" w:hAnsi="Times New Roman"/>
          <w:color w:val="000000"/>
          <w:sz w:val="28"/>
          <w:szCs w:val="28"/>
        </w:rPr>
        <w:footnoteReference w:id="4"/>
      </w:r>
    </w:p>
    <w:p w14:paraId="5AEF42C5" w14:textId="77777777" w:rsidR="007E7FCA" w:rsidRPr="007E7FCA" w:rsidRDefault="007E7FCA" w:rsidP="00D46D76">
      <w:pPr>
        <w:pStyle w:val="ListParagraph"/>
        <w:spacing w:after="0" w:line="360" w:lineRule="auto"/>
        <w:rPr>
          <w:rFonts w:ascii="Times New Roman" w:hAnsi="Times New Roman"/>
          <w:color w:val="000000"/>
          <w:sz w:val="28"/>
          <w:szCs w:val="28"/>
        </w:rPr>
      </w:pPr>
    </w:p>
    <w:p w14:paraId="27E16180" w14:textId="77777777" w:rsid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 xml:space="preserve">The relevant clause in the </w:t>
      </w:r>
      <w:r w:rsidR="003526CE">
        <w:rPr>
          <w:rFonts w:ascii="Times New Roman" w:hAnsi="Times New Roman"/>
          <w:color w:val="000000"/>
          <w:sz w:val="28"/>
          <w:szCs w:val="28"/>
        </w:rPr>
        <w:t>agreement</w:t>
      </w:r>
      <w:r w:rsidRPr="007E7FCA">
        <w:rPr>
          <w:rFonts w:ascii="Times New Roman" w:hAnsi="Times New Roman"/>
          <w:color w:val="000000"/>
          <w:sz w:val="28"/>
          <w:szCs w:val="28"/>
        </w:rPr>
        <w:t xml:space="preserve"> that</w:t>
      </w:r>
      <w:r w:rsidR="00FE6F41">
        <w:rPr>
          <w:rFonts w:ascii="Times New Roman" w:hAnsi="Times New Roman"/>
          <w:color w:val="000000"/>
          <w:sz w:val="28"/>
          <w:szCs w:val="28"/>
        </w:rPr>
        <w:t xml:space="preserve"> provides for</w:t>
      </w:r>
      <w:r w:rsidR="00C11F45">
        <w:rPr>
          <w:rFonts w:ascii="Times New Roman" w:hAnsi="Times New Roman"/>
          <w:color w:val="000000"/>
          <w:sz w:val="28"/>
          <w:szCs w:val="28"/>
        </w:rPr>
        <w:t xml:space="preserve"> </w:t>
      </w:r>
      <w:r w:rsidR="00A3750E">
        <w:rPr>
          <w:rFonts w:ascii="Times New Roman" w:hAnsi="Times New Roman"/>
          <w:color w:val="000000"/>
          <w:sz w:val="28"/>
          <w:szCs w:val="28"/>
        </w:rPr>
        <w:t>the respondents</w:t>
      </w:r>
      <w:r w:rsidR="0058500C">
        <w:rPr>
          <w:rFonts w:ascii="Times New Roman" w:hAnsi="Times New Roman"/>
          <w:color w:val="000000"/>
          <w:sz w:val="28"/>
          <w:szCs w:val="28"/>
        </w:rPr>
        <w:t xml:space="preserve">’ right to occupation of the </w:t>
      </w:r>
      <w:r w:rsidR="00C11F45">
        <w:rPr>
          <w:rFonts w:ascii="Times New Roman" w:hAnsi="Times New Roman"/>
          <w:color w:val="000000"/>
          <w:sz w:val="28"/>
          <w:szCs w:val="28"/>
        </w:rPr>
        <w:t xml:space="preserve">rabbinical home </w:t>
      </w:r>
      <w:r w:rsidR="0058500C">
        <w:rPr>
          <w:rFonts w:ascii="Times New Roman" w:hAnsi="Times New Roman"/>
          <w:color w:val="000000"/>
          <w:sz w:val="28"/>
          <w:szCs w:val="28"/>
        </w:rPr>
        <w:t xml:space="preserve">for </w:t>
      </w:r>
      <w:r w:rsidR="00EC269F">
        <w:rPr>
          <w:rFonts w:ascii="Times New Roman" w:hAnsi="Times New Roman"/>
          <w:color w:val="000000"/>
          <w:sz w:val="28"/>
          <w:szCs w:val="28"/>
        </w:rPr>
        <w:t>the natural duration of their employment</w:t>
      </w:r>
      <w:r w:rsidR="0058500C">
        <w:rPr>
          <w:rFonts w:ascii="Times New Roman" w:hAnsi="Times New Roman"/>
          <w:color w:val="000000"/>
          <w:sz w:val="28"/>
          <w:szCs w:val="28"/>
        </w:rPr>
        <w:t>, is made provision for as follows</w:t>
      </w:r>
      <w:r w:rsidRPr="007E7FCA">
        <w:rPr>
          <w:rFonts w:ascii="Times New Roman" w:hAnsi="Times New Roman"/>
          <w:color w:val="000000"/>
          <w:sz w:val="28"/>
          <w:szCs w:val="28"/>
        </w:rPr>
        <w:t>:</w:t>
      </w:r>
    </w:p>
    <w:p w14:paraId="0C662E7D" w14:textId="77777777" w:rsidR="007E7FCA" w:rsidRDefault="007E7FCA" w:rsidP="00D46D76">
      <w:pPr>
        <w:pStyle w:val="ListParagraph"/>
        <w:spacing w:after="0" w:line="360" w:lineRule="auto"/>
        <w:rPr>
          <w:rFonts w:ascii="Times New Roman" w:hAnsi="Times New Roman"/>
          <w:color w:val="000000"/>
          <w:sz w:val="28"/>
          <w:szCs w:val="28"/>
        </w:rPr>
      </w:pPr>
    </w:p>
    <w:p w14:paraId="471233B9" w14:textId="77777777" w:rsidR="007E7FCA" w:rsidRPr="00901201" w:rsidRDefault="007E7FCA" w:rsidP="00D46D76">
      <w:pPr>
        <w:pStyle w:val="ListParagraph"/>
        <w:tabs>
          <w:tab w:val="left" w:pos="0"/>
        </w:tabs>
        <w:spacing w:after="0" w:line="360" w:lineRule="auto"/>
        <w:ind w:left="0"/>
        <w:rPr>
          <w:rFonts w:ascii="Times New Roman" w:hAnsi="Times New Roman"/>
          <w:b/>
        </w:rPr>
      </w:pPr>
      <w:r>
        <w:rPr>
          <w:rFonts w:ascii="Times New Roman" w:hAnsi="Times New Roman"/>
          <w:b/>
          <w:sz w:val="28"/>
          <w:szCs w:val="28"/>
        </w:rPr>
        <w:tab/>
      </w:r>
      <w:r w:rsidRPr="00901201">
        <w:rPr>
          <w:rFonts w:ascii="Times New Roman" w:hAnsi="Times New Roman"/>
        </w:rPr>
        <w:t>“</w:t>
      </w:r>
      <w:r w:rsidR="00274504" w:rsidRPr="00901201">
        <w:rPr>
          <w:rFonts w:ascii="Times New Roman" w:hAnsi="Times New Roman"/>
        </w:rPr>
        <w:t>5.</w:t>
      </w:r>
      <w:r w:rsidR="00274504" w:rsidRPr="00901201">
        <w:rPr>
          <w:rFonts w:ascii="Times New Roman" w:hAnsi="Times New Roman"/>
          <w:b/>
        </w:rPr>
        <w:tab/>
        <w:t>Accommodation</w:t>
      </w:r>
    </w:p>
    <w:p w14:paraId="20571088" w14:textId="77777777" w:rsidR="00FB63C3" w:rsidRPr="00901201" w:rsidRDefault="00FB63C3" w:rsidP="00D46D76">
      <w:pPr>
        <w:pStyle w:val="ListParagraph"/>
        <w:tabs>
          <w:tab w:val="left" w:pos="0"/>
        </w:tabs>
        <w:spacing w:after="0" w:line="360" w:lineRule="auto"/>
        <w:ind w:left="0"/>
        <w:rPr>
          <w:rFonts w:ascii="Times New Roman" w:hAnsi="Times New Roman"/>
          <w:b/>
        </w:rPr>
      </w:pPr>
    </w:p>
    <w:p w14:paraId="47220075" w14:textId="77777777" w:rsidR="00274504" w:rsidRPr="00901201" w:rsidRDefault="00274504" w:rsidP="00D46D76">
      <w:pPr>
        <w:pStyle w:val="ListParagraph"/>
        <w:tabs>
          <w:tab w:val="left" w:pos="0"/>
        </w:tabs>
        <w:spacing w:after="0" w:line="360" w:lineRule="auto"/>
        <w:ind w:left="1440" w:hanging="1440"/>
        <w:rPr>
          <w:rFonts w:ascii="Times New Roman" w:hAnsi="Times New Roman"/>
        </w:rPr>
      </w:pPr>
      <w:r w:rsidRPr="00901201">
        <w:rPr>
          <w:rFonts w:ascii="Times New Roman" w:hAnsi="Times New Roman"/>
          <w:b/>
        </w:rPr>
        <w:tab/>
      </w:r>
      <w:r w:rsidRPr="00901201">
        <w:rPr>
          <w:rFonts w:ascii="Times New Roman" w:hAnsi="Times New Roman"/>
        </w:rPr>
        <w:t>5.1</w:t>
      </w:r>
      <w:r w:rsidRPr="00901201">
        <w:rPr>
          <w:rFonts w:ascii="Times New Roman" w:hAnsi="Times New Roman"/>
        </w:rPr>
        <w:tab/>
        <w:t>In addition to the above remuneration and allowances, the Official and the Official’s Wife shall be provided with accommodation, free of charge, at the Congregation’s partly furnished house in Osborne Road, Selborne, East London or such alternative accommodation of a similar nature, as specified by the Congregation.”</w:t>
      </w:r>
    </w:p>
    <w:p w14:paraId="7E78542E" w14:textId="77777777" w:rsidR="005F0118" w:rsidRPr="007E7FCA" w:rsidRDefault="005F0118" w:rsidP="00D46D76">
      <w:pPr>
        <w:pStyle w:val="ListParagraph"/>
        <w:spacing w:after="0" w:line="360" w:lineRule="auto"/>
        <w:rPr>
          <w:rFonts w:ascii="Times New Roman" w:hAnsi="Times New Roman"/>
          <w:color w:val="000000"/>
          <w:sz w:val="28"/>
          <w:szCs w:val="28"/>
        </w:rPr>
      </w:pPr>
    </w:p>
    <w:p w14:paraId="69425415" w14:textId="77777777" w:rsidR="007E7FCA" w:rsidRP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 xml:space="preserve">The </w:t>
      </w:r>
      <w:r w:rsidR="00FE6F41">
        <w:rPr>
          <w:rFonts w:ascii="Times New Roman" w:hAnsi="Times New Roman"/>
          <w:color w:val="000000"/>
          <w:sz w:val="28"/>
          <w:szCs w:val="28"/>
        </w:rPr>
        <w:t>agreement</w:t>
      </w:r>
      <w:r w:rsidRPr="007E7FCA">
        <w:rPr>
          <w:rFonts w:ascii="Times New Roman" w:hAnsi="Times New Roman"/>
          <w:color w:val="000000"/>
          <w:sz w:val="28"/>
          <w:szCs w:val="28"/>
        </w:rPr>
        <w:t xml:space="preserve"> </w:t>
      </w:r>
      <w:r w:rsidR="00C11F45">
        <w:rPr>
          <w:rFonts w:ascii="Times New Roman" w:hAnsi="Times New Roman"/>
          <w:color w:val="000000"/>
          <w:sz w:val="28"/>
          <w:szCs w:val="28"/>
        </w:rPr>
        <w:t>provides in clause 13 for i</w:t>
      </w:r>
      <w:r w:rsidRPr="007E7FCA">
        <w:rPr>
          <w:rFonts w:ascii="Times New Roman" w:hAnsi="Times New Roman"/>
          <w:color w:val="000000"/>
          <w:sz w:val="28"/>
          <w:szCs w:val="28"/>
        </w:rPr>
        <w:t>ts termination</w:t>
      </w:r>
      <w:r w:rsidR="00C11F45">
        <w:rPr>
          <w:rFonts w:ascii="Times New Roman" w:hAnsi="Times New Roman"/>
          <w:color w:val="000000"/>
          <w:sz w:val="28"/>
          <w:szCs w:val="28"/>
        </w:rPr>
        <w:t>,</w:t>
      </w:r>
      <w:r w:rsidRPr="007E7FCA">
        <w:rPr>
          <w:rFonts w:ascii="Times New Roman" w:hAnsi="Times New Roman"/>
          <w:color w:val="000000"/>
          <w:sz w:val="28"/>
          <w:szCs w:val="28"/>
        </w:rPr>
        <w:t xml:space="preserve"> other than in circumstances where it expires by effluxion of time or on notice</w:t>
      </w:r>
      <w:r w:rsidR="00C11F45">
        <w:rPr>
          <w:rFonts w:ascii="Times New Roman" w:hAnsi="Times New Roman"/>
          <w:color w:val="000000"/>
          <w:sz w:val="28"/>
          <w:szCs w:val="28"/>
        </w:rPr>
        <w:t>,</w:t>
      </w:r>
      <w:r w:rsidRPr="007E7FCA">
        <w:rPr>
          <w:rFonts w:ascii="Times New Roman" w:hAnsi="Times New Roman"/>
          <w:color w:val="000000"/>
          <w:sz w:val="28"/>
          <w:szCs w:val="28"/>
        </w:rPr>
        <w:t xml:space="preserve"> as follows</w:t>
      </w:r>
      <w:r>
        <w:rPr>
          <w:rFonts w:ascii="Times New Roman" w:hAnsi="Times New Roman"/>
          <w:color w:val="000000"/>
          <w:sz w:val="28"/>
          <w:szCs w:val="28"/>
        </w:rPr>
        <w:t>:</w:t>
      </w:r>
    </w:p>
    <w:p w14:paraId="30A08EB5" w14:textId="77777777" w:rsidR="007E7FCA" w:rsidRDefault="007E7FCA" w:rsidP="00D46D76">
      <w:pPr>
        <w:pStyle w:val="ListParagraph"/>
        <w:tabs>
          <w:tab w:val="left" w:pos="0"/>
        </w:tabs>
        <w:spacing w:after="0" w:line="360" w:lineRule="auto"/>
        <w:ind w:left="0"/>
        <w:rPr>
          <w:rFonts w:ascii="Times New Roman" w:hAnsi="Times New Roman"/>
          <w:b/>
          <w:sz w:val="28"/>
          <w:szCs w:val="28"/>
        </w:rPr>
      </w:pPr>
    </w:p>
    <w:p w14:paraId="1A8F90DF" w14:textId="77777777" w:rsidR="00324D48" w:rsidRPr="00901201" w:rsidRDefault="007E7FCA" w:rsidP="00D46D76">
      <w:pPr>
        <w:pStyle w:val="ListParagraph"/>
        <w:tabs>
          <w:tab w:val="left" w:pos="0"/>
        </w:tabs>
        <w:spacing w:after="0" w:line="360" w:lineRule="auto"/>
        <w:ind w:left="0"/>
        <w:rPr>
          <w:rFonts w:ascii="Times New Roman" w:hAnsi="Times New Roman"/>
        </w:rPr>
      </w:pPr>
      <w:r>
        <w:rPr>
          <w:rFonts w:ascii="Times New Roman" w:hAnsi="Times New Roman"/>
          <w:b/>
          <w:sz w:val="28"/>
          <w:szCs w:val="28"/>
        </w:rPr>
        <w:lastRenderedPageBreak/>
        <w:tab/>
      </w:r>
      <w:r w:rsidRPr="00901201">
        <w:rPr>
          <w:rFonts w:ascii="Times New Roman" w:hAnsi="Times New Roman"/>
        </w:rPr>
        <w:t>“</w:t>
      </w:r>
      <w:r w:rsidR="00324D48" w:rsidRPr="00901201">
        <w:rPr>
          <w:rFonts w:ascii="Times New Roman" w:hAnsi="Times New Roman"/>
        </w:rPr>
        <w:t>13.</w:t>
      </w:r>
      <w:r w:rsidR="00324D48" w:rsidRPr="00901201">
        <w:rPr>
          <w:rFonts w:ascii="Times New Roman" w:hAnsi="Times New Roman"/>
        </w:rPr>
        <w:tab/>
      </w:r>
      <w:r w:rsidR="00324D48" w:rsidRPr="00901201">
        <w:rPr>
          <w:rFonts w:ascii="Times New Roman" w:hAnsi="Times New Roman"/>
          <w:b/>
        </w:rPr>
        <w:t>Termination</w:t>
      </w:r>
    </w:p>
    <w:p w14:paraId="10B569B2" w14:textId="77777777" w:rsidR="00324D48" w:rsidRPr="00901201" w:rsidRDefault="00324D48" w:rsidP="00D46D76">
      <w:pPr>
        <w:pStyle w:val="ListParagraph"/>
        <w:tabs>
          <w:tab w:val="left" w:pos="0"/>
        </w:tabs>
        <w:spacing w:after="0" w:line="360" w:lineRule="auto"/>
        <w:ind w:left="0"/>
        <w:rPr>
          <w:rFonts w:ascii="Times New Roman" w:hAnsi="Times New Roman"/>
        </w:rPr>
      </w:pPr>
    </w:p>
    <w:p w14:paraId="1AA48B5D" w14:textId="77777777" w:rsidR="00324D48" w:rsidRPr="00901201" w:rsidRDefault="00324D48" w:rsidP="00D46D76">
      <w:pPr>
        <w:pStyle w:val="ListParagraph"/>
        <w:tabs>
          <w:tab w:val="left" w:pos="0"/>
        </w:tabs>
        <w:spacing w:after="0" w:line="360" w:lineRule="auto"/>
        <w:ind w:left="1440"/>
        <w:rPr>
          <w:rFonts w:ascii="Times New Roman" w:hAnsi="Times New Roman"/>
        </w:rPr>
      </w:pPr>
      <w:r w:rsidRPr="00901201">
        <w:rPr>
          <w:rFonts w:ascii="Times New Roman" w:hAnsi="Times New Roman"/>
        </w:rPr>
        <w:t>The parties record that termination of the agreement due to misconduct, incapacity and operation</w:t>
      </w:r>
      <w:r w:rsidR="00C11F45" w:rsidRPr="00901201">
        <w:rPr>
          <w:rFonts w:ascii="Times New Roman" w:hAnsi="Times New Roman"/>
        </w:rPr>
        <w:t>al</w:t>
      </w:r>
      <w:r w:rsidRPr="00901201">
        <w:rPr>
          <w:rFonts w:ascii="Times New Roman" w:hAnsi="Times New Roman"/>
        </w:rPr>
        <w:t xml:space="preserve"> requirements shall be effected through the procedures prescribed in the Labour Relations Act.</w:t>
      </w:r>
    </w:p>
    <w:p w14:paraId="35831D04" w14:textId="77777777" w:rsidR="00FB63C3" w:rsidRPr="00901201" w:rsidRDefault="00324D48" w:rsidP="00D46D76">
      <w:pPr>
        <w:pStyle w:val="ListParagraph"/>
        <w:tabs>
          <w:tab w:val="left" w:pos="0"/>
        </w:tabs>
        <w:spacing w:after="0" w:line="360" w:lineRule="auto"/>
        <w:ind w:left="0"/>
        <w:rPr>
          <w:rFonts w:ascii="Times New Roman" w:hAnsi="Times New Roman"/>
        </w:rPr>
      </w:pPr>
      <w:r w:rsidRPr="00901201">
        <w:rPr>
          <w:rFonts w:ascii="Times New Roman" w:hAnsi="Times New Roman"/>
        </w:rPr>
        <w:tab/>
      </w:r>
    </w:p>
    <w:p w14:paraId="01FCFF12" w14:textId="77777777" w:rsidR="007E7FCA" w:rsidRPr="00901201" w:rsidRDefault="00324D48" w:rsidP="00D46D76">
      <w:pPr>
        <w:pStyle w:val="ListParagraph"/>
        <w:tabs>
          <w:tab w:val="left" w:pos="0"/>
        </w:tabs>
        <w:spacing w:after="0" w:line="360" w:lineRule="auto"/>
        <w:ind w:left="1440"/>
        <w:rPr>
          <w:rFonts w:ascii="Times New Roman" w:hAnsi="Times New Roman"/>
        </w:rPr>
      </w:pPr>
      <w:r w:rsidRPr="00901201">
        <w:rPr>
          <w:rFonts w:ascii="Times New Roman" w:hAnsi="Times New Roman"/>
        </w:rPr>
        <w:t>The parties further specifically record that the failure to fulfil th</w:t>
      </w:r>
      <w:r w:rsidR="00FB63C3" w:rsidRPr="00901201">
        <w:rPr>
          <w:rFonts w:ascii="Times New Roman" w:hAnsi="Times New Roman"/>
        </w:rPr>
        <w:t xml:space="preserve">e duties specified in Clause 9 </w:t>
      </w:r>
      <w:r w:rsidRPr="00901201">
        <w:rPr>
          <w:rFonts w:ascii="Times New Roman" w:hAnsi="Times New Roman"/>
        </w:rPr>
        <w:t xml:space="preserve">would </w:t>
      </w:r>
      <w:r w:rsidR="00FB63C3" w:rsidRPr="00901201">
        <w:rPr>
          <w:rFonts w:ascii="Times New Roman" w:hAnsi="Times New Roman"/>
        </w:rPr>
        <w:t>amount to misconduct.</w:t>
      </w:r>
      <w:r w:rsidR="007E7FCA" w:rsidRPr="00901201">
        <w:rPr>
          <w:rFonts w:ascii="Times New Roman" w:hAnsi="Times New Roman"/>
        </w:rPr>
        <w:t>”</w:t>
      </w:r>
      <w:r w:rsidR="00C11F45" w:rsidRPr="0058500C">
        <w:rPr>
          <w:rStyle w:val="FootnoteReference"/>
          <w:rFonts w:ascii="Times New Roman" w:hAnsi="Times New Roman"/>
          <w:sz w:val="28"/>
          <w:szCs w:val="28"/>
        </w:rPr>
        <w:footnoteReference w:id="5"/>
      </w:r>
      <w:r w:rsidR="005F0118">
        <w:rPr>
          <w:rFonts w:ascii="Times New Roman" w:hAnsi="Times New Roman"/>
        </w:rPr>
        <w:t xml:space="preserve">   </w:t>
      </w:r>
    </w:p>
    <w:p w14:paraId="61D1F622" w14:textId="77777777" w:rsidR="005F0118" w:rsidRPr="00FB63C3" w:rsidRDefault="005F0118" w:rsidP="00D46D76">
      <w:pPr>
        <w:pStyle w:val="ListParagraph"/>
        <w:tabs>
          <w:tab w:val="left" w:pos="0"/>
        </w:tabs>
        <w:spacing w:after="0" w:line="360" w:lineRule="auto"/>
        <w:ind w:left="0"/>
        <w:rPr>
          <w:rFonts w:ascii="Times New Roman" w:hAnsi="Times New Roman"/>
          <w:sz w:val="24"/>
          <w:szCs w:val="24"/>
        </w:rPr>
      </w:pPr>
    </w:p>
    <w:p w14:paraId="4EDC50B8" w14:textId="4FC7C576" w:rsidR="007E7FCA" w:rsidRPr="007E7FCA" w:rsidRDefault="00FD393E"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Clause </w:t>
      </w:r>
      <w:r w:rsidR="007E7FCA" w:rsidRPr="00FB63C3">
        <w:rPr>
          <w:rFonts w:ascii="Times New Roman" w:hAnsi="Times New Roman"/>
          <w:color w:val="000000"/>
          <w:sz w:val="28"/>
          <w:szCs w:val="28"/>
        </w:rPr>
        <w:t xml:space="preserve">15 </w:t>
      </w:r>
      <w:r>
        <w:rPr>
          <w:rFonts w:ascii="Times New Roman" w:hAnsi="Times New Roman"/>
          <w:color w:val="000000"/>
          <w:sz w:val="28"/>
          <w:szCs w:val="28"/>
        </w:rPr>
        <w:t>is</w:t>
      </w:r>
      <w:r w:rsidR="007E7FCA" w:rsidRPr="00FB63C3">
        <w:rPr>
          <w:rFonts w:ascii="Times New Roman" w:hAnsi="Times New Roman"/>
          <w:color w:val="000000"/>
          <w:sz w:val="28"/>
          <w:szCs w:val="28"/>
        </w:rPr>
        <w:t xml:space="preserve"> also of</w:t>
      </w:r>
      <w:r w:rsidR="007E7FCA" w:rsidRPr="007E7FCA">
        <w:rPr>
          <w:rFonts w:ascii="Times New Roman" w:hAnsi="Times New Roman"/>
          <w:color w:val="000000"/>
          <w:sz w:val="28"/>
          <w:szCs w:val="28"/>
        </w:rPr>
        <w:t xml:space="preserve"> significance since the</w:t>
      </w:r>
      <w:r w:rsidR="00511E11">
        <w:rPr>
          <w:rFonts w:ascii="Times New Roman" w:hAnsi="Times New Roman"/>
          <w:color w:val="000000"/>
          <w:sz w:val="28"/>
          <w:szCs w:val="28"/>
        </w:rPr>
        <w:t xml:space="preserve"> parties rely on it</w:t>
      </w:r>
      <w:r w:rsidR="00C11F45">
        <w:rPr>
          <w:rFonts w:ascii="Times New Roman" w:hAnsi="Times New Roman"/>
          <w:color w:val="000000"/>
          <w:sz w:val="28"/>
          <w:szCs w:val="28"/>
        </w:rPr>
        <w:t xml:space="preserve"> for different reasons.  The applicant </w:t>
      </w:r>
      <w:r w:rsidR="0058500C">
        <w:rPr>
          <w:rFonts w:ascii="Times New Roman" w:hAnsi="Times New Roman"/>
          <w:color w:val="000000"/>
          <w:sz w:val="28"/>
          <w:szCs w:val="28"/>
        </w:rPr>
        <w:t>alleges that</w:t>
      </w:r>
      <w:r w:rsidR="00C11F45">
        <w:rPr>
          <w:rFonts w:ascii="Times New Roman" w:hAnsi="Times New Roman"/>
          <w:color w:val="000000"/>
          <w:sz w:val="28"/>
          <w:szCs w:val="28"/>
        </w:rPr>
        <w:t xml:space="preserve"> a dispute that arose between itself and the first responde</w:t>
      </w:r>
      <w:r>
        <w:rPr>
          <w:rFonts w:ascii="Times New Roman" w:hAnsi="Times New Roman"/>
          <w:color w:val="000000"/>
          <w:sz w:val="28"/>
          <w:szCs w:val="28"/>
        </w:rPr>
        <w:t xml:space="preserve">nt </w:t>
      </w:r>
      <w:r w:rsidR="00511E11">
        <w:rPr>
          <w:rFonts w:ascii="Times New Roman" w:hAnsi="Times New Roman"/>
          <w:color w:val="000000"/>
          <w:sz w:val="28"/>
          <w:szCs w:val="28"/>
        </w:rPr>
        <w:t>following his dismissal</w:t>
      </w:r>
      <w:r w:rsidR="00EC269F">
        <w:rPr>
          <w:rFonts w:ascii="Times New Roman" w:hAnsi="Times New Roman"/>
          <w:color w:val="000000"/>
          <w:sz w:val="28"/>
          <w:szCs w:val="28"/>
        </w:rPr>
        <w:t xml:space="preserve"> -</w:t>
      </w:r>
      <w:r w:rsidR="0058500C">
        <w:rPr>
          <w:rFonts w:ascii="Times New Roman" w:hAnsi="Times New Roman"/>
          <w:color w:val="000000"/>
          <w:sz w:val="28"/>
          <w:szCs w:val="28"/>
        </w:rPr>
        <w:t xml:space="preserve"> if it was his desire to challenge it</w:t>
      </w:r>
      <w:r w:rsidR="00EC269F">
        <w:rPr>
          <w:rFonts w:ascii="Times New Roman" w:hAnsi="Times New Roman"/>
          <w:color w:val="000000"/>
          <w:sz w:val="28"/>
          <w:szCs w:val="28"/>
        </w:rPr>
        <w:t>,</w:t>
      </w:r>
      <w:r w:rsidR="00FE6F41">
        <w:rPr>
          <w:rFonts w:ascii="Times New Roman" w:hAnsi="Times New Roman"/>
          <w:color w:val="000000"/>
          <w:sz w:val="28"/>
          <w:szCs w:val="28"/>
        </w:rPr>
        <w:t xml:space="preserve"> (which he did not)</w:t>
      </w:r>
      <w:r w:rsidR="0058500C">
        <w:rPr>
          <w:rFonts w:ascii="Times New Roman" w:hAnsi="Times New Roman"/>
          <w:color w:val="000000"/>
          <w:sz w:val="28"/>
          <w:szCs w:val="28"/>
        </w:rPr>
        <w:t xml:space="preserve">, </w:t>
      </w:r>
      <w:r>
        <w:rPr>
          <w:rFonts w:ascii="Times New Roman" w:hAnsi="Times New Roman"/>
          <w:color w:val="000000"/>
          <w:sz w:val="28"/>
          <w:szCs w:val="28"/>
        </w:rPr>
        <w:t>fell to</w:t>
      </w:r>
      <w:r w:rsidR="00C11F45">
        <w:rPr>
          <w:rFonts w:ascii="Times New Roman" w:hAnsi="Times New Roman"/>
          <w:color w:val="000000"/>
          <w:sz w:val="28"/>
          <w:szCs w:val="28"/>
        </w:rPr>
        <w:t xml:space="preserve"> be settled in terms of the standard procedures outlined and prescribed in the Labour Relations Act</w:t>
      </w:r>
      <w:r w:rsidR="00511E11">
        <w:rPr>
          <w:rFonts w:ascii="Times New Roman" w:hAnsi="Times New Roman"/>
          <w:color w:val="000000"/>
          <w:sz w:val="28"/>
          <w:szCs w:val="28"/>
        </w:rPr>
        <w:t xml:space="preserve"> </w:t>
      </w:r>
      <w:r w:rsidR="0058500C">
        <w:rPr>
          <w:rFonts w:ascii="Times New Roman" w:hAnsi="Times New Roman"/>
          <w:color w:val="000000"/>
          <w:sz w:val="28"/>
          <w:szCs w:val="28"/>
        </w:rPr>
        <w:t>as is provided for in clause</w:t>
      </w:r>
      <w:r w:rsidR="00FE6F41">
        <w:rPr>
          <w:rFonts w:ascii="Times New Roman" w:hAnsi="Times New Roman"/>
          <w:color w:val="000000"/>
          <w:sz w:val="28"/>
          <w:szCs w:val="28"/>
        </w:rPr>
        <w:t xml:space="preserve"> </w:t>
      </w:r>
      <w:r w:rsidR="0058500C">
        <w:rPr>
          <w:rFonts w:ascii="Times New Roman" w:hAnsi="Times New Roman"/>
          <w:color w:val="000000"/>
          <w:sz w:val="28"/>
          <w:szCs w:val="28"/>
        </w:rPr>
        <w:t xml:space="preserve">13.  In this regard </w:t>
      </w:r>
      <w:r w:rsidR="00FE6F41">
        <w:rPr>
          <w:rFonts w:ascii="Times New Roman" w:hAnsi="Times New Roman"/>
          <w:color w:val="000000"/>
          <w:sz w:val="28"/>
          <w:szCs w:val="28"/>
        </w:rPr>
        <w:t xml:space="preserve">the applicant </w:t>
      </w:r>
      <w:r w:rsidR="0058500C">
        <w:rPr>
          <w:rFonts w:ascii="Times New Roman" w:hAnsi="Times New Roman"/>
          <w:color w:val="000000"/>
          <w:sz w:val="28"/>
          <w:szCs w:val="28"/>
        </w:rPr>
        <w:t xml:space="preserve">claims that these procedures were properly adhered to which </w:t>
      </w:r>
      <w:r>
        <w:rPr>
          <w:rFonts w:ascii="Times New Roman" w:hAnsi="Times New Roman"/>
          <w:color w:val="000000"/>
          <w:sz w:val="28"/>
          <w:szCs w:val="28"/>
        </w:rPr>
        <w:t>rendered the matter final</w:t>
      </w:r>
      <w:r w:rsidR="0058500C">
        <w:rPr>
          <w:rFonts w:ascii="Times New Roman" w:hAnsi="Times New Roman"/>
          <w:color w:val="000000"/>
          <w:sz w:val="28"/>
          <w:szCs w:val="28"/>
        </w:rPr>
        <w:t>,</w:t>
      </w:r>
      <w:r w:rsidR="00511E11">
        <w:rPr>
          <w:rFonts w:ascii="Times New Roman" w:hAnsi="Times New Roman"/>
          <w:color w:val="000000"/>
          <w:sz w:val="28"/>
          <w:szCs w:val="28"/>
        </w:rPr>
        <w:t xml:space="preserve"> </w:t>
      </w:r>
      <w:r w:rsidR="00FE6F41">
        <w:rPr>
          <w:rFonts w:ascii="Times New Roman" w:hAnsi="Times New Roman"/>
          <w:color w:val="000000"/>
          <w:sz w:val="28"/>
          <w:szCs w:val="28"/>
        </w:rPr>
        <w:t>thus</w:t>
      </w:r>
      <w:r>
        <w:rPr>
          <w:rFonts w:ascii="Times New Roman" w:hAnsi="Times New Roman"/>
          <w:color w:val="000000"/>
          <w:sz w:val="28"/>
          <w:szCs w:val="28"/>
        </w:rPr>
        <w:t xml:space="preserve"> entitling them to bring the present application</w:t>
      </w:r>
      <w:r w:rsidR="00EC269F">
        <w:rPr>
          <w:rFonts w:ascii="Times New Roman" w:hAnsi="Times New Roman"/>
          <w:color w:val="000000"/>
          <w:sz w:val="28"/>
          <w:szCs w:val="28"/>
        </w:rPr>
        <w:t xml:space="preserve"> as the right to occupy would have fallen away together with the termination of the first respondent’s employment.</w:t>
      </w:r>
      <w:r w:rsidR="00C11F45">
        <w:rPr>
          <w:rFonts w:ascii="Times New Roman" w:hAnsi="Times New Roman"/>
          <w:color w:val="000000"/>
          <w:sz w:val="28"/>
          <w:szCs w:val="28"/>
        </w:rPr>
        <w:t xml:space="preserve">  The</w:t>
      </w:r>
      <w:r w:rsidR="007E7FCA" w:rsidRPr="007E7FCA">
        <w:rPr>
          <w:rFonts w:ascii="Times New Roman" w:hAnsi="Times New Roman"/>
          <w:color w:val="000000"/>
          <w:sz w:val="28"/>
          <w:szCs w:val="28"/>
        </w:rPr>
        <w:t xml:space="preserve"> respondents</w:t>
      </w:r>
      <w:r w:rsidR="00FE6F41">
        <w:rPr>
          <w:rFonts w:ascii="Times New Roman" w:hAnsi="Times New Roman"/>
          <w:color w:val="000000"/>
          <w:sz w:val="28"/>
          <w:szCs w:val="28"/>
        </w:rPr>
        <w:t>,</w:t>
      </w:r>
      <w:r w:rsidR="00C11F45">
        <w:rPr>
          <w:rFonts w:ascii="Times New Roman" w:hAnsi="Times New Roman"/>
          <w:color w:val="000000"/>
          <w:sz w:val="28"/>
          <w:szCs w:val="28"/>
        </w:rPr>
        <w:t xml:space="preserve"> on the other hand</w:t>
      </w:r>
      <w:r w:rsidR="00FE6F41">
        <w:rPr>
          <w:rFonts w:ascii="Times New Roman" w:hAnsi="Times New Roman"/>
          <w:color w:val="000000"/>
          <w:sz w:val="28"/>
          <w:szCs w:val="28"/>
        </w:rPr>
        <w:t>,</w:t>
      </w:r>
      <w:r w:rsidR="007E7FCA" w:rsidRPr="007E7FCA">
        <w:rPr>
          <w:rFonts w:ascii="Times New Roman" w:hAnsi="Times New Roman"/>
          <w:color w:val="000000"/>
          <w:sz w:val="28"/>
          <w:szCs w:val="28"/>
        </w:rPr>
        <w:t xml:space="preserve"> assert that</w:t>
      </w:r>
      <w:r w:rsidR="00C11F45">
        <w:rPr>
          <w:rFonts w:ascii="Times New Roman" w:hAnsi="Times New Roman"/>
          <w:color w:val="000000"/>
          <w:sz w:val="28"/>
          <w:szCs w:val="28"/>
        </w:rPr>
        <w:t xml:space="preserve"> </w:t>
      </w:r>
      <w:r>
        <w:rPr>
          <w:rFonts w:ascii="Times New Roman" w:hAnsi="Times New Roman"/>
          <w:color w:val="000000"/>
          <w:sz w:val="28"/>
          <w:szCs w:val="28"/>
        </w:rPr>
        <w:t xml:space="preserve">the </w:t>
      </w:r>
      <w:r w:rsidR="00511E11">
        <w:rPr>
          <w:rFonts w:ascii="Times New Roman" w:hAnsi="Times New Roman"/>
          <w:color w:val="000000"/>
          <w:sz w:val="28"/>
          <w:szCs w:val="28"/>
        </w:rPr>
        <w:t xml:space="preserve">dispute </w:t>
      </w:r>
      <w:r w:rsidR="00C11F45">
        <w:rPr>
          <w:rFonts w:ascii="Times New Roman" w:hAnsi="Times New Roman"/>
          <w:color w:val="000000"/>
          <w:sz w:val="28"/>
          <w:szCs w:val="28"/>
        </w:rPr>
        <w:t>fell</w:t>
      </w:r>
      <w:r w:rsidR="00D365B3">
        <w:rPr>
          <w:rFonts w:ascii="Times New Roman" w:hAnsi="Times New Roman"/>
          <w:color w:val="000000"/>
          <w:sz w:val="28"/>
          <w:szCs w:val="28"/>
        </w:rPr>
        <w:t xml:space="preserve"> -</w:t>
      </w:r>
      <w:r w:rsidR="00FE6F41">
        <w:rPr>
          <w:rFonts w:ascii="Times New Roman" w:hAnsi="Times New Roman"/>
          <w:color w:val="000000"/>
          <w:sz w:val="28"/>
          <w:szCs w:val="28"/>
        </w:rPr>
        <w:t xml:space="preserve"> or </w:t>
      </w:r>
      <w:r w:rsidR="00EC269F">
        <w:rPr>
          <w:rFonts w:ascii="Times New Roman" w:hAnsi="Times New Roman"/>
          <w:color w:val="000000"/>
          <w:sz w:val="28"/>
          <w:szCs w:val="28"/>
        </w:rPr>
        <w:t>since it is a live one</w:t>
      </w:r>
      <w:r w:rsidR="0058500C">
        <w:rPr>
          <w:rFonts w:ascii="Times New Roman" w:hAnsi="Times New Roman"/>
          <w:color w:val="000000"/>
          <w:sz w:val="28"/>
          <w:szCs w:val="28"/>
        </w:rPr>
        <w:t xml:space="preserve"> still</w:t>
      </w:r>
      <w:r w:rsidR="003258D1">
        <w:rPr>
          <w:rFonts w:ascii="Times New Roman" w:hAnsi="Times New Roman"/>
          <w:color w:val="000000"/>
          <w:sz w:val="28"/>
          <w:szCs w:val="28"/>
        </w:rPr>
        <w:t>,</w:t>
      </w:r>
      <w:r w:rsidR="0058500C">
        <w:rPr>
          <w:rFonts w:ascii="Times New Roman" w:hAnsi="Times New Roman"/>
          <w:color w:val="000000"/>
          <w:sz w:val="28"/>
          <w:szCs w:val="28"/>
        </w:rPr>
        <w:t xml:space="preserve"> </w:t>
      </w:r>
      <w:r w:rsidR="00FE6F41">
        <w:rPr>
          <w:rFonts w:ascii="Times New Roman" w:hAnsi="Times New Roman"/>
          <w:color w:val="000000"/>
          <w:sz w:val="28"/>
          <w:szCs w:val="28"/>
        </w:rPr>
        <w:t>fall</w:t>
      </w:r>
      <w:r w:rsidR="00EC269F">
        <w:rPr>
          <w:rFonts w:ascii="Times New Roman" w:hAnsi="Times New Roman"/>
          <w:color w:val="000000"/>
          <w:sz w:val="28"/>
          <w:szCs w:val="28"/>
        </w:rPr>
        <w:t>s</w:t>
      </w:r>
      <w:r w:rsidR="00FE6F41">
        <w:rPr>
          <w:rFonts w:ascii="Times New Roman" w:hAnsi="Times New Roman"/>
          <w:color w:val="000000"/>
          <w:sz w:val="28"/>
          <w:szCs w:val="28"/>
        </w:rPr>
        <w:t xml:space="preserve"> </w:t>
      </w:r>
      <w:r w:rsidR="00C11F45">
        <w:rPr>
          <w:rFonts w:ascii="Times New Roman" w:hAnsi="Times New Roman"/>
          <w:color w:val="000000"/>
          <w:sz w:val="28"/>
          <w:szCs w:val="28"/>
        </w:rPr>
        <w:t>to be</w:t>
      </w:r>
      <w:r>
        <w:rPr>
          <w:rFonts w:ascii="Times New Roman" w:hAnsi="Times New Roman"/>
          <w:color w:val="000000"/>
          <w:sz w:val="28"/>
          <w:szCs w:val="28"/>
        </w:rPr>
        <w:t xml:space="preserve"> resolved</w:t>
      </w:r>
      <w:r w:rsidR="00C11F45">
        <w:rPr>
          <w:rFonts w:ascii="Times New Roman" w:hAnsi="Times New Roman"/>
          <w:color w:val="000000"/>
          <w:sz w:val="28"/>
          <w:szCs w:val="28"/>
        </w:rPr>
        <w:t xml:space="preserve"> exclusively before </w:t>
      </w:r>
      <w:r>
        <w:rPr>
          <w:rFonts w:ascii="Times New Roman" w:hAnsi="Times New Roman"/>
          <w:color w:val="000000"/>
          <w:sz w:val="28"/>
          <w:szCs w:val="28"/>
        </w:rPr>
        <w:t>the J</w:t>
      </w:r>
      <w:r w:rsidR="00511E11">
        <w:rPr>
          <w:rFonts w:ascii="Times New Roman" w:hAnsi="Times New Roman"/>
          <w:color w:val="000000"/>
          <w:sz w:val="28"/>
          <w:szCs w:val="28"/>
        </w:rPr>
        <w:t xml:space="preserve">ewish </w:t>
      </w:r>
      <w:r w:rsidR="00326A09">
        <w:rPr>
          <w:rFonts w:ascii="Times New Roman" w:hAnsi="Times New Roman"/>
          <w:color w:val="000000"/>
          <w:sz w:val="28"/>
          <w:szCs w:val="28"/>
        </w:rPr>
        <w:t>Eccles</w:t>
      </w:r>
      <w:r w:rsidR="00EC269F">
        <w:rPr>
          <w:rFonts w:ascii="Times New Roman" w:hAnsi="Times New Roman"/>
          <w:color w:val="000000"/>
          <w:sz w:val="28"/>
          <w:szCs w:val="28"/>
        </w:rPr>
        <w:t xml:space="preserve">iastical </w:t>
      </w:r>
      <w:r w:rsidR="00511E11">
        <w:rPr>
          <w:rFonts w:ascii="Times New Roman" w:hAnsi="Times New Roman"/>
          <w:color w:val="000000"/>
          <w:sz w:val="28"/>
          <w:szCs w:val="28"/>
        </w:rPr>
        <w:t xml:space="preserve">Court </w:t>
      </w:r>
      <w:r>
        <w:rPr>
          <w:rFonts w:ascii="Times New Roman" w:hAnsi="Times New Roman"/>
          <w:color w:val="000000"/>
          <w:sz w:val="28"/>
          <w:szCs w:val="28"/>
        </w:rPr>
        <w:t>(“the Beth-Din”). The clause reads as follows</w:t>
      </w:r>
      <w:r w:rsidR="007E7FCA">
        <w:rPr>
          <w:rFonts w:ascii="Times New Roman" w:hAnsi="Times New Roman"/>
          <w:color w:val="000000"/>
          <w:sz w:val="28"/>
          <w:szCs w:val="28"/>
        </w:rPr>
        <w:t>:</w:t>
      </w:r>
    </w:p>
    <w:p w14:paraId="75116F91" w14:textId="77777777" w:rsidR="007E7FCA" w:rsidRDefault="007E7FCA" w:rsidP="00D46D76">
      <w:pPr>
        <w:pStyle w:val="ListParagraph"/>
        <w:tabs>
          <w:tab w:val="left" w:pos="0"/>
        </w:tabs>
        <w:spacing w:after="0" w:line="360" w:lineRule="auto"/>
        <w:ind w:left="0"/>
        <w:rPr>
          <w:rFonts w:ascii="Times New Roman" w:hAnsi="Times New Roman"/>
          <w:b/>
        </w:rPr>
      </w:pPr>
    </w:p>
    <w:p w14:paraId="38F20DE1" w14:textId="77777777" w:rsidR="00CE5337" w:rsidRDefault="00CE5337" w:rsidP="00D46D76">
      <w:pPr>
        <w:pStyle w:val="ListParagraph"/>
        <w:tabs>
          <w:tab w:val="left" w:pos="0"/>
        </w:tabs>
        <w:spacing w:after="0" w:line="360" w:lineRule="auto"/>
        <w:ind w:left="0"/>
        <w:rPr>
          <w:rFonts w:ascii="Times New Roman" w:hAnsi="Times New Roman"/>
          <w:b/>
        </w:rPr>
      </w:pPr>
    </w:p>
    <w:p w14:paraId="390B427C" w14:textId="77777777" w:rsidR="00CE5337" w:rsidRDefault="00CE5337" w:rsidP="00D46D76">
      <w:pPr>
        <w:pStyle w:val="ListParagraph"/>
        <w:tabs>
          <w:tab w:val="left" w:pos="0"/>
        </w:tabs>
        <w:spacing w:after="0" w:line="360" w:lineRule="auto"/>
        <w:ind w:left="0"/>
        <w:rPr>
          <w:rFonts w:ascii="Times New Roman" w:hAnsi="Times New Roman"/>
          <w:b/>
        </w:rPr>
      </w:pPr>
    </w:p>
    <w:p w14:paraId="00026F69" w14:textId="77777777" w:rsidR="00CE5337" w:rsidRDefault="00CE5337" w:rsidP="00D46D76">
      <w:pPr>
        <w:pStyle w:val="ListParagraph"/>
        <w:tabs>
          <w:tab w:val="left" w:pos="0"/>
        </w:tabs>
        <w:spacing w:after="0" w:line="360" w:lineRule="auto"/>
        <w:ind w:left="0"/>
        <w:rPr>
          <w:rFonts w:ascii="Times New Roman" w:hAnsi="Times New Roman"/>
          <w:b/>
        </w:rPr>
      </w:pPr>
    </w:p>
    <w:p w14:paraId="7878B2E2" w14:textId="77777777" w:rsidR="00CE5337" w:rsidRPr="00901201" w:rsidRDefault="00CE5337" w:rsidP="00D46D76">
      <w:pPr>
        <w:pStyle w:val="ListParagraph"/>
        <w:tabs>
          <w:tab w:val="left" w:pos="0"/>
        </w:tabs>
        <w:spacing w:after="0" w:line="360" w:lineRule="auto"/>
        <w:ind w:left="0"/>
        <w:rPr>
          <w:rFonts w:ascii="Times New Roman" w:hAnsi="Times New Roman"/>
          <w:b/>
        </w:rPr>
      </w:pPr>
    </w:p>
    <w:p w14:paraId="49737A98" w14:textId="77777777" w:rsidR="007E7FCA" w:rsidRPr="00901201" w:rsidRDefault="007E7FCA" w:rsidP="00D46D76">
      <w:pPr>
        <w:pStyle w:val="ListParagraph"/>
        <w:tabs>
          <w:tab w:val="left" w:pos="0"/>
        </w:tabs>
        <w:spacing w:after="0" w:line="360" w:lineRule="auto"/>
        <w:ind w:left="0"/>
        <w:rPr>
          <w:rFonts w:ascii="Times New Roman" w:hAnsi="Times New Roman"/>
        </w:rPr>
      </w:pPr>
      <w:r w:rsidRPr="00901201">
        <w:rPr>
          <w:rFonts w:ascii="Times New Roman" w:hAnsi="Times New Roman"/>
          <w:b/>
        </w:rPr>
        <w:lastRenderedPageBreak/>
        <w:tab/>
      </w:r>
      <w:r w:rsidRPr="00901201">
        <w:rPr>
          <w:rFonts w:ascii="Times New Roman" w:hAnsi="Times New Roman"/>
        </w:rPr>
        <w:t>“</w:t>
      </w:r>
      <w:r w:rsidR="00FB63C3" w:rsidRPr="00901201">
        <w:rPr>
          <w:rFonts w:ascii="Times New Roman" w:hAnsi="Times New Roman"/>
        </w:rPr>
        <w:t>15.</w:t>
      </w:r>
      <w:r w:rsidR="00FB63C3" w:rsidRPr="00901201">
        <w:rPr>
          <w:rFonts w:ascii="Times New Roman" w:hAnsi="Times New Roman"/>
        </w:rPr>
        <w:tab/>
      </w:r>
      <w:r w:rsidR="00FB63C3" w:rsidRPr="00901201">
        <w:rPr>
          <w:rFonts w:ascii="Times New Roman" w:hAnsi="Times New Roman"/>
          <w:b/>
        </w:rPr>
        <w:t>Beth Din</w:t>
      </w:r>
    </w:p>
    <w:p w14:paraId="6E32EF9C" w14:textId="77777777" w:rsidR="00FB63C3" w:rsidRPr="00901201" w:rsidRDefault="00FB63C3" w:rsidP="00D46D76">
      <w:pPr>
        <w:pStyle w:val="ListParagraph"/>
        <w:tabs>
          <w:tab w:val="left" w:pos="0"/>
        </w:tabs>
        <w:spacing w:after="0" w:line="360" w:lineRule="auto"/>
        <w:ind w:left="0"/>
        <w:rPr>
          <w:rFonts w:ascii="Times New Roman" w:hAnsi="Times New Roman"/>
        </w:rPr>
      </w:pPr>
    </w:p>
    <w:p w14:paraId="331F1E12" w14:textId="77777777" w:rsidR="00FB63C3" w:rsidRDefault="00FB63C3" w:rsidP="00D46D76">
      <w:pPr>
        <w:pStyle w:val="ListParagraph"/>
        <w:tabs>
          <w:tab w:val="left" w:pos="0"/>
        </w:tabs>
        <w:spacing w:after="0" w:line="360" w:lineRule="auto"/>
        <w:ind w:left="1440"/>
        <w:rPr>
          <w:rFonts w:ascii="Times New Roman" w:hAnsi="Times New Roman"/>
        </w:rPr>
      </w:pPr>
      <w:r w:rsidRPr="00901201">
        <w:rPr>
          <w:rFonts w:ascii="Times New Roman" w:hAnsi="Times New Roman"/>
        </w:rPr>
        <w:t xml:space="preserve">The Official, the Official’s Wife and the Congregation agree to accept the authority of the Beth Din to make final and binding decisions in all matters of the Jewish Law </w:t>
      </w:r>
      <w:r w:rsidRPr="00901201">
        <w:rPr>
          <w:rFonts w:ascii="Times New Roman" w:hAnsi="Times New Roman"/>
          <w:b/>
        </w:rPr>
        <w:t>other than in the instance of disputes to be settled in terms of Clause 13</w:t>
      </w:r>
      <w:r w:rsidRPr="00901201">
        <w:rPr>
          <w:rFonts w:ascii="Times New Roman" w:hAnsi="Times New Roman"/>
        </w:rPr>
        <w:t>.”</w:t>
      </w:r>
    </w:p>
    <w:p w14:paraId="4BD16FAE" w14:textId="77777777" w:rsidR="00EC269F" w:rsidRPr="00901201" w:rsidRDefault="00EC269F" w:rsidP="00D46D76">
      <w:pPr>
        <w:pStyle w:val="ListParagraph"/>
        <w:tabs>
          <w:tab w:val="left" w:pos="0"/>
        </w:tabs>
        <w:spacing w:after="0" w:line="360" w:lineRule="auto"/>
        <w:ind w:left="1440"/>
        <w:rPr>
          <w:rFonts w:ascii="Times New Roman" w:hAnsi="Times New Roman"/>
        </w:rPr>
      </w:pPr>
    </w:p>
    <w:p w14:paraId="3CB64991" w14:textId="77777777" w:rsidR="00FB63C3" w:rsidRPr="00EC269F" w:rsidRDefault="00FB63C3" w:rsidP="00D46D76">
      <w:pPr>
        <w:pStyle w:val="ListParagraph"/>
        <w:tabs>
          <w:tab w:val="left" w:pos="0"/>
        </w:tabs>
        <w:spacing w:after="0" w:line="360" w:lineRule="auto"/>
        <w:ind w:left="0"/>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4213BB" w:rsidRPr="00EC269F">
        <w:rPr>
          <w:rFonts w:ascii="Times New Roman" w:hAnsi="Times New Roman"/>
          <w:sz w:val="28"/>
          <w:szCs w:val="28"/>
        </w:rPr>
        <w:t>(Emphasis added)</w:t>
      </w:r>
    </w:p>
    <w:p w14:paraId="383113F9" w14:textId="77777777" w:rsidR="004213BB" w:rsidRPr="007E7FCA" w:rsidRDefault="004213BB" w:rsidP="00D46D76">
      <w:pPr>
        <w:pStyle w:val="ListParagraph"/>
        <w:tabs>
          <w:tab w:val="left" w:pos="0"/>
        </w:tabs>
        <w:spacing w:after="0" w:line="360" w:lineRule="auto"/>
        <w:ind w:left="0"/>
        <w:rPr>
          <w:rFonts w:ascii="Times New Roman" w:hAnsi="Times New Roman"/>
          <w:b/>
          <w:sz w:val="28"/>
          <w:szCs w:val="28"/>
        </w:rPr>
      </w:pPr>
    </w:p>
    <w:p w14:paraId="4DD7F832" w14:textId="77777777" w:rsidR="004213BB" w:rsidRPr="004213BB" w:rsidRDefault="004213BB"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power of the B</w:t>
      </w:r>
      <w:r w:rsidR="00511E11">
        <w:rPr>
          <w:rFonts w:ascii="Times New Roman" w:hAnsi="Times New Roman"/>
          <w:sz w:val="28"/>
          <w:szCs w:val="28"/>
        </w:rPr>
        <w:t>eth-Din</w:t>
      </w:r>
      <w:r>
        <w:rPr>
          <w:rFonts w:ascii="Times New Roman" w:hAnsi="Times New Roman"/>
          <w:sz w:val="28"/>
          <w:szCs w:val="28"/>
        </w:rPr>
        <w:t xml:space="preserve"> to settle disputes (ostensibly other than those referred to in clause 13 of the</w:t>
      </w:r>
      <w:r w:rsidR="00511E11">
        <w:rPr>
          <w:rFonts w:ascii="Times New Roman" w:hAnsi="Times New Roman"/>
          <w:sz w:val="28"/>
          <w:szCs w:val="28"/>
        </w:rPr>
        <w:t xml:space="preserve"> parties’</w:t>
      </w:r>
      <w:r w:rsidR="00FE6F41">
        <w:rPr>
          <w:rFonts w:ascii="Times New Roman" w:hAnsi="Times New Roman"/>
          <w:sz w:val="28"/>
          <w:szCs w:val="28"/>
        </w:rPr>
        <w:t xml:space="preserve"> employment agreement</w:t>
      </w:r>
      <w:r>
        <w:rPr>
          <w:rFonts w:ascii="Times New Roman" w:hAnsi="Times New Roman"/>
          <w:sz w:val="28"/>
          <w:szCs w:val="28"/>
        </w:rPr>
        <w:t>) is outlined in paragraph 10 of the Articles of Association of the Union of Orthodox Synagogues of Sout</w:t>
      </w:r>
      <w:r w:rsidR="00326A09">
        <w:rPr>
          <w:rFonts w:ascii="Times New Roman" w:hAnsi="Times New Roman"/>
          <w:sz w:val="28"/>
          <w:szCs w:val="28"/>
        </w:rPr>
        <w:t>h Africa (“the Council</w:t>
      </w:r>
      <w:r>
        <w:rPr>
          <w:rFonts w:ascii="Times New Roman" w:hAnsi="Times New Roman"/>
          <w:sz w:val="28"/>
          <w:szCs w:val="28"/>
        </w:rPr>
        <w:t xml:space="preserve">”), </w:t>
      </w:r>
      <w:r w:rsidR="00D549BD">
        <w:rPr>
          <w:rFonts w:ascii="Times New Roman" w:hAnsi="Times New Roman"/>
          <w:sz w:val="28"/>
          <w:szCs w:val="28"/>
        </w:rPr>
        <w:t>of which the Congregation</w:t>
      </w:r>
      <w:r w:rsidR="00326A09">
        <w:rPr>
          <w:rFonts w:ascii="Times New Roman" w:hAnsi="Times New Roman"/>
          <w:sz w:val="28"/>
          <w:szCs w:val="28"/>
        </w:rPr>
        <w:t xml:space="preserve"> is both a member and constituent,</w:t>
      </w:r>
      <w:r>
        <w:rPr>
          <w:rFonts w:ascii="Times New Roman" w:hAnsi="Times New Roman"/>
          <w:sz w:val="28"/>
          <w:szCs w:val="28"/>
        </w:rPr>
        <w:t xml:space="preserve"> as follows:</w:t>
      </w:r>
    </w:p>
    <w:p w14:paraId="71596D9A" w14:textId="77777777" w:rsidR="004213BB" w:rsidRDefault="004213BB" w:rsidP="00D46D76">
      <w:pPr>
        <w:pStyle w:val="ListParagraph"/>
        <w:tabs>
          <w:tab w:val="left" w:pos="0"/>
        </w:tabs>
        <w:spacing w:after="0" w:line="360" w:lineRule="auto"/>
        <w:ind w:left="0"/>
        <w:rPr>
          <w:rFonts w:ascii="Times New Roman" w:hAnsi="Times New Roman"/>
          <w:sz w:val="28"/>
          <w:szCs w:val="28"/>
        </w:rPr>
      </w:pPr>
    </w:p>
    <w:p w14:paraId="0ECEAC2D" w14:textId="77777777" w:rsidR="004213BB" w:rsidRPr="00901201" w:rsidRDefault="004213BB" w:rsidP="00D46D76">
      <w:pPr>
        <w:pStyle w:val="ListParagraph"/>
        <w:tabs>
          <w:tab w:val="left" w:pos="0"/>
        </w:tabs>
        <w:spacing w:after="0" w:line="360" w:lineRule="auto"/>
        <w:ind w:left="0"/>
        <w:rPr>
          <w:rFonts w:ascii="Times New Roman" w:hAnsi="Times New Roman"/>
        </w:rPr>
      </w:pPr>
      <w:r>
        <w:rPr>
          <w:rFonts w:ascii="Times New Roman" w:hAnsi="Times New Roman"/>
          <w:sz w:val="28"/>
          <w:szCs w:val="28"/>
        </w:rPr>
        <w:tab/>
      </w:r>
      <w:r w:rsidR="00901201" w:rsidRPr="00901201">
        <w:rPr>
          <w:rFonts w:ascii="Times New Roman" w:hAnsi="Times New Roman"/>
        </w:rPr>
        <w:t>“</w:t>
      </w:r>
      <w:r w:rsidR="00901201" w:rsidRPr="00901201">
        <w:rPr>
          <w:rFonts w:ascii="Times New Roman" w:hAnsi="Times New Roman"/>
          <w:b/>
        </w:rPr>
        <w:t>10.</w:t>
      </w:r>
      <w:r w:rsidR="00901201" w:rsidRPr="00901201">
        <w:rPr>
          <w:rFonts w:ascii="Times New Roman" w:hAnsi="Times New Roman"/>
          <w:b/>
        </w:rPr>
        <w:tab/>
        <w:t>ARBITRATION</w:t>
      </w:r>
    </w:p>
    <w:p w14:paraId="29AFFE4F" w14:textId="77777777" w:rsidR="00901201" w:rsidRPr="00901201" w:rsidRDefault="00901201" w:rsidP="00D46D76">
      <w:pPr>
        <w:pStyle w:val="ListParagraph"/>
        <w:tabs>
          <w:tab w:val="left" w:pos="0"/>
        </w:tabs>
        <w:spacing w:after="0" w:line="360" w:lineRule="auto"/>
        <w:ind w:left="0"/>
        <w:rPr>
          <w:rFonts w:ascii="Times New Roman" w:hAnsi="Times New Roman"/>
        </w:rPr>
      </w:pPr>
    </w:p>
    <w:p w14:paraId="5FBBECDF" w14:textId="77777777" w:rsidR="00901201" w:rsidRDefault="00901201" w:rsidP="00D46D76">
      <w:pPr>
        <w:pStyle w:val="ListParagraph"/>
        <w:tabs>
          <w:tab w:val="left" w:pos="0"/>
        </w:tabs>
        <w:spacing w:after="0" w:line="360" w:lineRule="auto"/>
        <w:ind w:left="1440"/>
        <w:rPr>
          <w:rFonts w:ascii="Times New Roman" w:hAnsi="Times New Roman"/>
        </w:rPr>
      </w:pPr>
      <w:r w:rsidRPr="00901201">
        <w:rPr>
          <w:rFonts w:ascii="Times New Roman" w:hAnsi="Times New Roman"/>
        </w:rPr>
        <w:t xml:space="preserve">Disputes </w:t>
      </w:r>
      <w:r>
        <w:rPr>
          <w:rFonts w:ascii="Times New Roman" w:hAnsi="Times New Roman"/>
        </w:rPr>
        <w:t xml:space="preserve">between any Constituents shall be submitted for arbitration to the Management Committee, with the right of appeal to the Johannesburg Beth Din.  </w:t>
      </w:r>
      <w:r w:rsidRPr="00EC269F">
        <w:rPr>
          <w:rFonts w:ascii="Times New Roman" w:hAnsi="Times New Roman"/>
          <w:b/>
        </w:rPr>
        <w:t>Disputes between any Constituents and officials in their employ shall be submitted to the Johannesburg Beth Din, whose decision/s shall be final and binding.</w:t>
      </w:r>
      <w:r>
        <w:rPr>
          <w:rFonts w:ascii="Times New Roman" w:hAnsi="Times New Roman"/>
        </w:rPr>
        <w:t>”</w:t>
      </w:r>
    </w:p>
    <w:p w14:paraId="477B0E7D" w14:textId="77777777" w:rsidR="00D76A85" w:rsidRDefault="00D76A85" w:rsidP="00D46D76">
      <w:pPr>
        <w:pStyle w:val="ListParagraph"/>
        <w:tabs>
          <w:tab w:val="left" w:pos="0"/>
        </w:tabs>
        <w:spacing w:after="0" w:line="360" w:lineRule="auto"/>
        <w:ind w:left="1440"/>
        <w:rPr>
          <w:rFonts w:ascii="Times New Roman" w:hAnsi="Times New Roman"/>
        </w:rPr>
      </w:pPr>
    </w:p>
    <w:p w14:paraId="56E7A554" w14:textId="77777777" w:rsidR="00D76A85" w:rsidRPr="00D76A85" w:rsidRDefault="00D76A85" w:rsidP="00D46D76">
      <w:pPr>
        <w:pStyle w:val="ListParagraph"/>
        <w:tabs>
          <w:tab w:val="left" w:pos="0"/>
        </w:tabs>
        <w:spacing w:after="0" w:line="360" w:lineRule="auto"/>
        <w:ind w:left="1440"/>
        <w:rPr>
          <w:rFonts w:ascii="Times New Roman" w:hAnsi="Times New Roman"/>
          <w:sz w:val="28"/>
          <w:szCs w:val="28"/>
        </w:rPr>
      </w:pPr>
      <w:r>
        <w:rPr>
          <w:rFonts w:ascii="Times New Roman" w:hAnsi="Times New Roman"/>
          <w:sz w:val="28"/>
          <w:szCs w:val="28"/>
        </w:rPr>
        <w:t>(Emphasis added.)</w:t>
      </w:r>
    </w:p>
    <w:p w14:paraId="0FBE7224" w14:textId="77777777" w:rsidR="00901201" w:rsidRDefault="00901201" w:rsidP="00D46D76">
      <w:pPr>
        <w:pStyle w:val="ListParagraph"/>
        <w:tabs>
          <w:tab w:val="left" w:pos="0"/>
        </w:tabs>
        <w:spacing w:after="0" w:line="360" w:lineRule="auto"/>
        <w:ind w:left="1440"/>
        <w:rPr>
          <w:rFonts w:ascii="Times New Roman" w:hAnsi="Times New Roman"/>
        </w:rPr>
      </w:pPr>
    </w:p>
    <w:p w14:paraId="182D94C4" w14:textId="77777777" w:rsidR="00901201" w:rsidRPr="00901201" w:rsidRDefault="00326A0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respondents, until the first respondent’s dismissal, would ostensibly have been officials in the employ of a constituent of the Council.</w:t>
      </w:r>
      <w:r w:rsidR="00901201">
        <w:rPr>
          <w:rFonts w:ascii="Times New Roman" w:hAnsi="Times New Roman"/>
          <w:sz w:val="28"/>
          <w:szCs w:val="28"/>
        </w:rPr>
        <w:t xml:space="preserve"> </w:t>
      </w:r>
    </w:p>
    <w:p w14:paraId="27B0D3D5" w14:textId="77777777" w:rsidR="00901201" w:rsidRDefault="00901201" w:rsidP="00D46D76">
      <w:pPr>
        <w:pStyle w:val="ListParagraph"/>
        <w:tabs>
          <w:tab w:val="left" w:pos="0"/>
        </w:tabs>
        <w:spacing w:after="0" w:line="360" w:lineRule="auto"/>
        <w:ind w:left="0"/>
        <w:rPr>
          <w:rFonts w:ascii="Times New Roman" w:hAnsi="Times New Roman"/>
          <w:sz w:val="28"/>
          <w:szCs w:val="28"/>
        </w:rPr>
      </w:pPr>
    </w:p>
    <w:p w14:paraId="45BB67CC" w14:textId="77777777" w:rsidR="00901201" w:rsidRPr="00901201" w:rsidRDefault="00511E11" w:rsidP="00D46D76">
      <w:pPr>
        <w:pStyle w:val="ListParagraph"/>
        <w:tabs>
          <w:tab w:val="left" w:pos="0"/>
        </w:tabs>
        <w:spacing w:after="0" w:line="360" w:lineRule="auto"/>
        <w:ind w:left="0"/>
        <w:rPr>
          <w:rFonts w:ascii="Times New Roman" w:hAnsi="Times New Roman"/>
          <w:b/>
          <w:sz w:val="28"/>
          <w:szCs w:val="28"/>
          <w:u w:val="single"/>
        </w:rPr>
      </w:pPr>
      <w:r>
        <w:rPr>
          <w:rFonts w:ascii="Times New Roman" w:hAnsi="Times New Roman"/>
          <w:b/>
          <w:sz w:val="28"/>
          <w:szCs w:val="28"/>
          <w:u w:val="single"/>
        </w:rPr>
        <w:t>The applicant’s cause of action</w:t>
      </w:r>
      <w:r w:rsidR="00901201" w:rsidRPr="00901201">
        <w:rPr>
          <w:rFonts w:ascii="Times New Roman" w:hAnsi="Times New Roman"/>
          <w:b/>
          <w:sz w:val="28"/>
          <w:szCs w:val="28"/>
          <w:u w:val="single"/>
        </w:rPr>
        <w:t>:</w:t>
      </w:r>
    </w:p>
    <w:p w14:paraId="4189D9A5" w14:textId="77777777" w:rsidR="00901201" w:rsidRPr="00901201" w:rsidRDefault="00901201" w:rsidP="00D46D76">
      <w:pPr>
        <w:pStyle w:val="ListParagraph"/>
        <w:tabs>
          <w:tab w:val="left" w:pos="0"/>
        </w:tabs>
        <w:spacing w:after="0" w:line="360" w:lineRule="auto"/>
        <w:ind w:left="0"/>
        <w:rPr>
          <w:rFonts w:ascii="Times New Roman" w:hAnsi="Times New Roman"/>
          <w:b/>
          <w:sz w:val="28"/>
          <w:szCs w:val="28"/>
        </w:rPr>
      </w:pPr>
    </w:p>
    <w:p w14:paraId="606F754B" w14:textId="77777777" w:rsidR="007E7FCA" w:rsidRPr="0001313D"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672461">
        <w:rPr>
          <w:rFonts w:ascii="Times New Roman" w:hAnsi="Times New Roman"/>
          <w:color w:val="000000"/>
          <w:sz w:val="28"/>
          <w:szCs w:val="28"/>
        </w:rPr>
        <w:t>The applicant</w:t>
      </w:r>
      <w:r w:rsidR="004213BB" w:rsidRPr="00672461">
        <w:rPr>
          <w:rFonts w:ascii="Times New Roman" w:hAnsi="Times New Roman"/>
          <w:color w:val="000000"/>
          <w:sz w:val="28"/>
          <w:szCs w:val="28"/>
        </w:rPr>
        <w:t xml:space="preserve"> as owner of the property and duly authorized by resolution</w:t>
      </w:r>
      <w:r w:rsidRPr="00672461">
        <w:rPr>
          <w:rFonts w:ascii="Times New Roman" w:hAnsi="Times New Roman"/>
          <w:color w:val="000000"/>
          <w:sz w:val="28"/>
          <w:szCs w:val="28"/>
        </w:rPr>
        <w:t xml:space="preserve"> asserts that the respondents’ occupation of the property</w:t>
      </w:r>
      <w:r w:rsidR="004213BB" w:rsidRPr="00672461">
        <w:rPr>
          <w:rFonts w:ascii="Times New Roman" w:hAnsi="Times New Roman"/>
          <w:color w:val="000000"/>
          <w:sz w:val="28"/>
          <w:szCs w:val="28"/>
        </w:rPr>
        <w:t>,</w:t>
      </w:r>
      <w:r w:rsidR="00C11F45" w:rsidRPr="00672461">
        <w:rPr>
          <w:rFonts w:ascii="Times New Roman" w:hAnsi="Times New Roman"/>
          <w:color w:val="000000"/>
          <w:sz w:val="28"/>
          <w:szCs w:val="28"/>
        </w:rPr>
        <w:t xml:space="preserve"> which is subsidiary to the employment contract</w:t>
      </w:r>
      <w:r w:rsidR="004213BB" w:rsidRPr="00672461">
        <w:rPr>
          <w:rFonts w:ascii="Times New Roman" w:hAnsi="Times New Roman"/>
          <w:color w:val="000000"/>
          <w:sz w:val="28"/>
          <w:szCs w:val="28"/>
        </w:rPr>
        <w:t>,</w:t>
      </w:r>
      <w:r w:rsidRPr="00672461">
        <w:rPr>
          <w:rFonts w:ascii="Times New Roman" w:hAnsi="Times New Roman"/>
          <w:color w:val="000000"/>
          <w:sz w:val="28"/>
          <w:szCs w:val="28"/>
        </w:rPr>
        <w:t xml:space="preserve"> became unlawful when it terminated the first</w:t>
      </w:r>
      <w:r w:rsidR="00326A09" w:rsidRPr="00672461">
        <w:rPr>
          <w:rFonts w:ascii="Times New Roman" w:hAnsi="Times New Roman"/>
          <w:color w:val="000000"/>
          <w:sz w:val="28"/>
          <w:szCs w:val="28"/>
        </w:rPr>
        <w:t xml:space="preserve"> </w:t>
      </w:r>
      <w:r w:rsidRPr="00672461">
        <w:rPr>
          <w:rFonts w:ascii="Times New Roman" w:hAnsi="Times New Roman"/>
          <w:color w:val="000000"/>
          <w:sz w:val="28"/>
          <w:szCs w:val="28"/>
        </w:rPr>
        <w:t>respondent's services under the contract</w:t>
      </w:r>
      <w:r w:rsidR="00326A09" w:rsidRPr="00672461">
        <w:rPr>
          <w:rFonts w:ascii="Times New Roman" w:hAnsi="Times New Roman"/>
          <w:color w:val="000000"/>
          <w:sz w:val="28"/>
          <w:szCs w:val="28"/>
        </w:rPr>
        <w:t xml:space="preserve">, including the right to occupy the </w:t>
      </w:r>
      <w:r w:rsidR="00326A09" w:rsidRPr="00672461">
        <w:rPr>
          <w:rFonts w:ascii="Times New Roman" w:hAnsi="Times New Roman"/>
          <w:color w:val="000000"/>
          <w:sz w:val="28"/>
          <w:szCs w:val="28"/>
        </w:rPr>
        <w:lastRenderedPageBreak/>
        <w:t>rabbi</w:t>
      </w:r>
      <w:r w:rsidR="000E4BD7">
        <w:rPr>
          <w:rFonts w:ascii="Times New Roman" w:hAnsi="Times New Roman"/>
          <w:color w:val="000000"/>
          <w:sz w:val="28"/>
          <w:szCs w:val="28"/>
        </w:rPr>
        <w:t>ni</w:t>
      </w:r>
      <w:r w:rsidR="00326A09" w:rsidRPr="00672461">
        <w:rPr>
          <w:rFonts w:ascii="Times New Roman" w:hAnsi="Times New Roman"/>
          <w:color w:val="000000"/>
          <w:sz w:val="28"/>
          <w:szCs w:val="28"/>
        </w:rPr>
        <w:t xml:space="preserve">cal home, </w:t>
      </w:r>
      <w:r w:rsidRPr="00672461">
        <w:rPr>
          <w:rFonts w:ascii="Times New Roman" w:hAnsi="Times New Roman"/>
          <w:color w:val="000000"/>
          <w:sz w:val="28"/>
          <w:szCs w:val="28"/>
        </w:rPr>
        <w:t>due to</w:t>
      </w:r>
      <w:r w:rsidR="00326A09" w:rsidRPr="00672461">
        <w:rPr>
          <w:rFonts w:ascii="Times New Roman" w:hAnsi="Times New Roman"/>
          <w:color w:val="000000"/>
          <w:sz w:val="28"/>
          <w:szCs w:val="28"/>
        </w:rPr>
        <w:t xml:space="preserve"> claimed misconduct on his part, ostensibly after resort by it to prior internal disciplinary </w:t>
      </w:r>
      <w:r w:rsidR="00D76A85">
        <w:rPr>
          <w:rFonts w:ascii="Times New Roman" w:hAnsi="Times New Roman"/>
          <w:color w:val="000000"/>
          <w:sz w:val="28"/>
          <w:szCs w:val="28"/>
        </w:rPr>
        <w:t>proceedings</w:t>
      </w:r>
      <w:r w:rsidR="00326A09" w:rsidRPr="00672461">
        <w:rPr>
          <w:rFonts w:ascii="Times New Roman" w:hAnsi="Times New Roman"/>
          <w:color w:val="000000"/>
          <w:sz w:val="28"/>
          <w:szCs w:val="28"/>
        </w:rPr>
        <w:t>.  What that procedure was is given some co</w:t>
      </w:r>
      <w:r w:rsidR="00672461" w:rsidRPr="00672461">
        <w:rPr>
          <w:rFonts w:ascii="Times New Roman" w:hAnsi="Times New Roman"/>
          <w:color w:val="000000"/>
          <w:sz w:val="28"/>
          <w:szCs w:val="28"/>
        </w:rPr>
        <w:t xml:space="preserve">ntext in the termination letter </w:t>
      </w:r>
      <w:r w:rsidR="00AC543A">
        <w:rPr>
          <w:rFonts w:ascii="Times New Roman" w:hAnsi="Times New Roman"/>
          <w:color w:val="000000"/>
          <w:sz w:val="28"/>
          <w:szCs w:val="28"/>
        </w:rPr>
        <w:t>that</w:t>
      </w:r>
      <w:r w:rsidR="00672461" w:rsidRPr="00672461">
        <w:rPr>
          <w:rFonts w:ascii="Times New Roman" w:hAnsi="Times New Roman"/>
          <w:color w:val="000000"/>
          <w:sz w:val="28"/>
          <w:szCs w:val="28"/>
        </w:rPr>
        <w:t xml:space="preserve"> the applicant </w:t>
      </w:r>
      <w:r w:rsidR="00AC543A">
        <w:rPr>
          <w:rFonts w:ascii="Times New Roman" w:hAnsi="Times New Roman"/>
          <w:color w:val="000000"/>
          <w:sz w:val="28"/>
          <w:szCs w:val="28"/>
        </w:rPr>
        <w:t>put up as proof</w:t>
      </w:r>
      <w:r w:rsidRPr="00672461">
        <w:rPr>
          <w:rFonts w:ascii="Times New Roman" w:hAnsi="Times New Roman"/>
          <w:color w:val="000000"/>
          <w:sz w:val="28"/>
          <w:szCs w:val="28"/>
        </w:rPr>
        <w:t xml:space="preserve"> of the allegation that it terminated the first respondent’s employment with the Congregation </w:t>
      </w:r>
      <w:r w:rsidR="000E4BD7">
        <w:rPr>
          <w:rFonts w:ascii="Times New Roman" w:hAnsi="Times New Roman"/>
          <w:color w:val="000000"/>
          <w:sz w:val="28"/>
          <w:szCs w:val="28"/>
        </w:rPr>
        <w:t>and su</w:t>
      </w:r>
      <w:r w:rsidR="00672461">
        <w:rPr>
          <w:rFonts w:ascii="Times New Roman" w:hAnsi="Times New Roman"/>
          <w:color w:val="000000"/>
          <w:sz w:val="28"/>
          <w:szCs w:val="28"/>
        </w:rPr>
        <w:t xml:space="preserve">bsidiary tenancy </w:t>
      </w:r>
      <w:r w:rsidR="000E4BD7">
        <w:rPr>
          <w:rFonts w:ascii="Times New Roman" w:hAnsi="Times New Roman"/>
          <w:color w:val="000000"/>
          <w:sz w:val="28"/>
          <w:szCs w:val="28"/>
        </w:rPr>
        <w:t>i</w:t>
      </w:r>
      <w:r w:rsidRPr="00672461">
        <w:rPr>
          <w:rFonts w:ascii="Times New Roman" w:hAnsi="Times New Roman"/>
          <w:color w:val="000000"/>
          <w:sz w:val="28"/>
          <w:szCs w:val="28"/>
        </w:rPr>
        <w:t xml:space="preserve">n a notice addressed to </w:t>
      </w:r>
      <w:r w:rsidRPr="00AC543A">
        <w:rPr>
          <w:rFonts w:ascii="Times New Roman" w:hAnsi="Times New Roman"/>
          <w:iCs/>
          <w:color w:val="000000"/>
          <w:sz w:val="28"/>
          <w:szCs w:val="28"/>
        </w:rPr>
        <w:t>him</w:t>
      </w:r>
      <w:r w:rsidRPr="00672461">
        <w:rPr>
          <w:rFonts w:ascii="Times New Roman" w:hAnsi="Times New Roman"/>
          <w:color w:val="000000"/>
          <w:sz w:val="28"/>
          <w:szCs w:val="28"/>
        </w:rPr>
        <w:t xml:space="preserve"> dated 3 February 2020 </w:t>
      </w:r>
      <w:r w:rsidR="00C11F45" w:rsidRPr="00672461">
        <w:rPr>
          <w:rFonts w:ascii="Times New Roman" w:hAnsi="Times New Roman"/>
          <w:color w:val="000000"/>
          <w:sz w:val="28"/>
          <w:szCs w:val="28"/>
        </w:rPr>
        <w:t>(“the termination letter”)</w:t>
      </w:r>
      <w:r w:rsidR="000E4BD7">
        <w:rPr>
          <w:rFonts w:ascii="Times New Roman" w:hAnsi="Times New Roman"/>
          <w:color w:val="000000"/>
          <w:sz w:val="28"/>
          <w:szCs w:val="28"/>
        </w:rPr>
        <w:t>.  The letter</w:t>
      </w:r>
      <w:r w:rsidR="00511E11" w:rsidRPr="00672461">
        <w:rPr>
          <w:rFonts w:ascii="Times New Roman" w:hAnsi="Times New Roman"/>
          <w:color w:val="000000"/>
          <w:sz w:val="28"/>
          <w:szCs w:val="28"/>
        </w:rPr>
        <w:t xml:space="preserve"> reads as follows: </w:t>
      </w:r>
    </w:p>
    <w:p w14:paraId="2EF39CBB" w14:textId="77777777" w:rsidR="0001313D" w:rsidRPr="00672461" w:rsidRDefault="0001313D" w:rsidP="0001313D">
      <w:pPr>
        <w:pStyle w:val="ListParagraph"/>
        <w:tabs>
          <w:tab w:val="left" w:pos="0"/>
        </w:tabs>
        <w:spacing w:after="0" w:line="360" w:lineRule="auto"/>
        <w:ind w:left="0"/>
        <w:rPr>
          <w:rFonts w:ascii="Times New Roman" w:hAnsi="Times New Roman"/>
          <w:b/>
          <w:sz w:val="28"/>
          <w:szCs w:val="28"/>
        </w:rPr>
      </w:pPr>
    </w:p>
    <w:p w14:paraId="52D08DA5" w14:textId="77777777" w:rsidR="007E7FCA" w:rsidRPr="00901201" w:rsidRDefault="007E7FCA" w:rsidP="00D46D76">
      <w:pPr>
        <w:widowControl w:val="0"/>
        <w:autoSpaceDE w:val="0"/>
        <w:autoSpaceDN w:val="0"/>
        <w:adjustRightInd w:val="0"/>
        <w:spacing w:line="360" w:lineRule="auto"/>
        <w:ind w:firstLine="720"/>
        <w:contextualSpacing/>
        <w:rPr>
          <w:rFonts w:ascii="Times New Roman" w:hAnsi="Times New Roman" w:cs="Times New Roman"/>
          <w:b/>
          <w:bCs/>
          <w:color w:val="000000"/>
        </w:rPr>
      </w:pPr>
      <w:r w:rsidRPr="00901201">
        <w:rPr>
          <w:rFonts w:ascii="Times New Roman" w:hAnsi="Times New Roman" w:cs="Times New Roman"/>
          <w:b/>
          <w:bCs/>
          <w:color w:val="000000"/>
        </w:rPr>
        <w:t>“R</w:t>
      </w:r>
      <w:r w:rsidR="00C11F45" w:rsidRPr="00901201">
        <w:rPr>
          <w:rFonts w:ascii="Times New Roman" w:hAnsi="Times New Roman" w:cs="Times New Roman"/>
          <w:b/>
          <w:bCs/>
          <w:color w:val="000000"/>
        </w:rPr>
        <w:t>E: DISCIPLINARY INQUIRY</w:t>
      </w:r>
    </w:p>
    <w:p w14:paraId="25D6D95F" w14:textId="77777777" w:rsidR="007E7FCA" w:rsidRPr="00901201" w:rsidRDefault="007E7FCA" w:rsidP="00D46D76">
      <w:pPr>
        <w:widowControl w:val="0"/>
        <w:autoSpaceDE w:val="0"/>
        <w:autoSpaceDN w:val="0"/>
        <w:adjustRightInd w:val="0"/>
        <w:spacing w:line="360" w:lineRule="auto"/>
        <w:ind w:firstLine="720"/>
        <w:contextualSpacing/>
        <w:rPr>
          <w:rFonts w:ascii="Times New Roman" w:hAnsi="Times New Roman" w:cs="Times New Roman"/>
          <w:color w:val="000000"/>
        </w:rPr>
      </w:pPr>
      <w:r w:rsidRPr="00901201">
        <w:rPr>
          <w:rFonts w:ascii="Times New Roman" w:hAnsi="Times New Roman" w:cs="Times New Roman"/>
          <w:color w:val="000000"/>
        </w:rPr>
        <w:t>We refer to the disciplinary inquiry held on Wednesday, 29 January 2020.</w:t>
      </w:r>
    </w:p>
    <w:p w14:paraId="3E5DD09A"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We attach hereto, for your attention, a copy of the chairperson’s findings and recommendation.</w:t>
      </w:r>
      <w:r w:rsidR="00C11F45" w:rsidRPr="00511E11">
        <w:rPr>
          <w:rStyle w:val="FootnoteReference"/>
          <w:rFonts w:ascii="Times New Roman" w:hAnsi="Times New Roman" w:cs="Times New Roman"/>
          <w:color w:val="000000"/>
          <w:sz w:val="28"/>
          <w:szCs w:val="28"/>
        </w:rPr>
        <w:footnoteReference w:id="6"/>
      </w:r>
    </w:p>
    <w:p w14:paraId="30187B8A"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The committee</w:t>
      </w:r>
      <w:r w:rsidR="00511E11" w:rsidRPr="00511E11">
        <w:rPr>
          <w:rStyle w:val="FootnoteReference"/>
          <w:rFonts w:ascii="Times New Roman" w:hAnsi="Times New Roman" w:cs="Times New Roman"/>
          <w:color w:val="000000"/>
          <w:sz w:val="28"/>
          <w:szCs w:val="28"/>
        </w:rPr>
        <w:footnoteReference w:id="7"/>
      </w:r>
      <w:r w:rsidR="00511E11">
        <w:rPr>
          <w:rFonts w:ascii="Times New Roman" w:hAnsi="Times New Roman" w:cs="Times New Roman"/>
          <w:color w:val="000000"/>
          <w:sz w:val="28"/>
          <w:szCs w:val="28"/>
        </w:rPr>
        <w:t xml:space="preserve"> </w:t>
      </w:r>
      <w:r w:rsidRPr="00901201">
        <w:rPr>
          <w:rFonts w:ascii="Times New Roman" w:hAnsi="Times New Roman" w:cs="Times New Roman"/>
          <w:color w:val="000000"/>
        </w:rPr>
        <w:t>has considered the recommendation and has decided to implement the recommended sanction.</w:t>
      </w:r>
    </w:p>
    <w:p w14:paraId="36481D92"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In light of the above, you are hereby advised that your employment as Rabbi of the East London Hebrew Congregation is hereby terminated with immediate effect.</w:t>
      </w:r>
    </w:p>
    <w:p w14:paraId="07A34BF9"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 xml:space="preserve">Your right to reside in accommodation provided by the Congregation terminates with your employment. Despite the </w:t>
      </w:r>
      <w:r w:rsidR="00381B31" w:rsidRPr="00901201">
        <w:rPr>
          <w:rFonts w:ascii="Times New Roman" w:hAnsi="Times New Roman" w:cs="Times New Roman"/>
          <w:color w:val="000000"/>
        </w:rPr>
        <w:t>foregoing</w:t>
      </w:r>
      <w:r w:rsidRPr="00901201">
        <w:rPr>
          <w:rFonts w:ascii="Times New Roman" w:hAnsi="Times New Roman" w:cs="Times New Roman"/>
          <w:color w:val="000000"/>
        </w:rPr>
        <w:t>, a decision has been taken to allow you to remain in your current accommodation subject to your expressly agreeing:</w:t>
      </w:r>
    </w:p>
    <w:p w14:paraId="1EA65272" w14:textId="77777777" w:rsidR="007E7FCA" w:rsidRPr="00901201" w:rsidRDefault="007E7FCA" w:rsidP="00D46D76">
      <w:pPr>
        <w:pStyle w:val="ListParagraph"/>
        <w:widowControl w:val="0"/>
        <w:numPr>
          <w:ilvl w:val="0"/>
          <w:numId w:val="1"/>
        </w:numPr>
        <w:autoSpaceDE w:val="0"/>
        <w:autoSpaceDN w:val="0"/>
        <w:adjustRightInd w:val="0"/>
        <w:spacing w:after="0" w:line="360" w:lineRule="auto"/>
        <w:rPr>
          <w:rFonts w:ascii="Times New Roman" w:hAnsi="Times New Roman"/>
          <w:color w:val="000000"/>
        </w:rPr>
      </w:pPr>
      <w:r w:rsidRPr="00901201">
        <w:rPr>
          <w:rFonts w:ascii="Times New Roman" w:hAnsi="Times New Roman"/>
          <w:color w:val="000000"/>
        </w:rPr>
        <w:t xml:space="preserve"> vacate the premises by no later than 31 March 2020; and</w:t>
      </w:r>
    </w:p>
    <w:p w14:paraId="6DB5A1B9" w14:textId="77777777" w:rsidR="007E7FCA" w:rsidRPr="00901201" w:rsidRDefault="007E7FCA" w:rsidP="00D46D76">
      <w:pPr>
        <w:pStyle w:val="ListParagraph"/>
        <w:widowControl w:val="0"/>
        <w:numPr>
          <w:ilvl w:val="0"/>
          <w:numId w:val="1"/>
        </w:numPr>
        <w:autoSpaceDE w:val="0"/>
        <w:autoSpaceDN w:val="0"/>
        <w:adjustRightInd w:val="0"/>
        <w:spacing w:after="0" w:line="360" w:lineRule="auto"/>
        <w:rPr>
          <w:rFonts w:ascii="Times New Roman" w:hAnsi="Times New Roman"/>
          <w:color w:val="000000"/>
        </w:rPr>
      </w:pPr>
      <w:r w:rsidRPr="00901201">
        <w:rPr>
          <w:rFonts w:ascii="Times New Roman" w:hAnsi="Times New Roman"/>
          <w:color w:val="000000"/>
        </w:rPr>
        <w:t xml:space="preserve"> agree to representatives of the Congregation and/or those appointed by the Congregation having reasonable access to the premises for purposes of measuring with a view to drafting plans for anticipated alterations.</w:t>
      </w:r>
    </w:p>
    <w:p w14:paraId="6C0A2CE4"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It is emphasized that the access to the premises will be on reasonable notice and on the basis of terms arranged with you and/or Rebbetzin Galperin.</w:t>
      </w:r>
    </w:p>
    <w:p w14:paraId="5D691C3D" w14:textId="77777777" w:rsidR="007E7FCA" w:rsidRPr="00901201"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901201">
        <w:rPr>
          <w:rFonts w:ascii="Times New Roman" w:hAnsi="Times New Roman" w:cs="Times New Roman"/>
          <w:color w:val="000000"/>
        </w:rPr>
        <w:t>Should we not receive your express agreement and conditions set out in paragraphs 1 and 2 above, the offer in respect of the accommodation will be withdrawn and steps taken to vacate you from the premises without delay.</w:t>
      </w:r>
    </w:p>
    <w:p w14:paraId="246D4247" w14:textId="77777777" w:rsidR="007E7FCA" w:rsidRPr="007E7FCA" w:rsidRDefault="007E7FCA" w:rsidP="00D46D76">
      <w:pPr>
        <w:widowControl w:val="0"/>
        <w:autoSpaceDE w:val="0"/>
        <w:autoSpaceDN w:val="0"/>
        <w:adjustRightInd w:val="0"/>
        <w:spacing w:line="360" w:lineRule="auto"/>
        <w:ind w:left="720"/>
        <w:contextualSpacing/>
        <w:rPr>
          <w:rFonts w:ascii="Times New Roman" w:hAnsi="Times New Roman" w:cs="Times New Roman"/>
          <w:color w:val="000000"/>
          <w:sz w:val="24"/>
          <w:szCs w:val="24"/>
        </w:rPr>
      </w:pPr>
      <w:r w:rsidRPr="00901201">
        <w:rPr>
          <w:rFonts w:ascii="Times New Roman" w:hAnsi="Times New Roman" w:cs="Times New Roman"/>
          <w:color w:val="000000"/>
        </w:rPr>
        <w:t>Should you believe that your dismissal is unfair, you are reminded of your right to refer a dispute to the CCMA, within 30 (thirty)</w:t>
      </w:r>
      <w:r w:rsidR="00523797" w:rsidRPr="00901201">
        <w:rPr>
          <w:rFonts w:ascii="Times New Roman" w:hAnsi="Times New Roman" w:cs="Times New Roman"/>
          <w:color w:val="000000"/>
        </w:rPr>
        <w:t xml:space="preserve"> days from today.”</w:t>
      </w:r>
    </w:p>
    <w:p w14:paraId="0E9469C6" w14:textId="77777777" w:rsidR="007E7FCA" w:rsidRPr="007E7FCA" w:rsidRDefault="007E7FCA" w:rsidP="00D46D76">
      <w:pPr>
        <w:pStyle w:val="ListParagraph"/>
        <w:spacing w:after="0" w:line="360" w:lineRule="auto"/>
        <w:rPr>
          <w:rFonts w:ascii="Times New Roman" w:hAnsi="Times New Roman"/>
          <w:color w:val="000000"/>
          <w:sz w:val="28"/>
          <w:szCs w:val="28"/>
        </w:rPr>
      </w:pPr>
    </w:p>
    <w:p w14:paraId="6EAA8B72" w14:textId="77777777" w:rsidR="007E7FCA" w:rsidRP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This was followed by a further letter dated 9 February 2020 addressed by the applic</w:t>
      </w:r>
      <w:r w:rsidR="00511E11">
        <w:rPr>
          <w:rFonts w:ascii="Times New Roman" w:hAnsi="Times New Roman"/>
          <w:color w:val="000000"/>
          <w:sz w:val="28"/>
          <w:szCs w:val="28"/>
        </w:rPr>
        <w:t xml:space="preserve">ant’s attorneys of record to </w:t>
      </w:r>
      <w:r w:rsidR="00511E11" w:rsidRPr="00EC269F">
        <w:rPr>
          <w:rFonts w:ascii="Times New Roman" w:hAnsi="Times New Roman"/>
          <w:i/>
          <w:color w:val="000000"/>
          <w:sz w:val="28"/>
          <w:szCs w:val="28"/>
        </w:rPr>
        <w:t>both respondents</w:t>
      </w:r>
      <w:r w:rsidRPr="007E7FCA">
        <w:rPr>
          <w:rFonts w:ascii="Times New Roman" w:hAnsi="Times New Roman"/>
          <w:color w:val="000000"/>
          <w:sz w:val="28"/>
          <w:szCs w:val="28"/>
        </w:rPr>
        <w:t xml:space="preserve"> (ostensibly emailed on the </w:t>
      </w:r>
      <w:r w:rsidRPr="007E7FCA">
        <w:rPr>
          <w:rFonts w:ascii="Times New Roman" w:hAnsi="Times New Roman"/>
          <w:color w:val="000000"/>
          <w:sz w:val="28"/>
          <w:szCs w:val="28"/>
        </w:rPr>
        <w:lastRenderedPageBreak/>
        <w:t>11</w:t>
      </w:r>
      <w:r w:rsidRPr="007E7FCA">
        <w:rPr>
          <w:rFonts w:ascii="Times New Roman" w:hAnsi="Times New Roman"/>
          <w:color w:val="000000"/>
          <w:sz w:val="28"/>
          <w:szCs w:val="28"/>
          <w:vertAlign w:val="superscript"/>
        </w:rPr>
        <w:t>th</w:t>
      </w:r>
      <w:r w:rsidRPr="007E7FCA">
        <w:rPr>
          <w:rFonts w:ascii="Times New Roman" w:hAnsi="Times New Roman"/>
          <w:color w:val="000000"/>
          <w:sz w:val="28"/>
          <w:szCs w:val="28"/>
        </w:rPr>
        <w:t>)</w:t>
      </w:r>
      <w:r w:rsidR="00511E11">
        <w:rPr>
          <w:rFonts w:ascii="Times New Roman" w:hAnsi="Times New Roman"/>
          <w:color w:val="000000"/>
          <w:sz w:val="28"/>
          <w:szCs w:val="28"/>
        </w:rPr>
        <w:t xml:space="preserve"> declaring that they</w:t>
      </w:r>
      <w:r w:rsidRPr="007E7FCA">
        <w:rPr>
          <w:rFonts w:ascii="Times New Roman" w:hAnsi="Times New Roman"/>
          <w:color w:val="000000"/>
          <w:sz w:val="28"/>
          <w:szCs w:val="28"/>
        </w:rPr>
        <w:t xml:space="preserve"> are in “illeg</w:t>
      </w:r>
      <w:r w:rsidR="00D76A85">
        <w:rPr>
          <w:rFonts w:ascii="Times New Roman" w:hAnsi="Times New Roman"/>
          <w:color w:val="000000"/>
          <w:sz w:val="28"/>
          <w:szCs w:val="28"/>
        </w:rPr>
        <w:t xml:space="preserve">al occupation” of the property - </w:t>
      </w:r>
      <w:r w:rsidRPr="007E7FCA">
        <w:rPr>
          <w:rFonts w:ascii="Times New Roman" w:hAnsi="Times New Roman"/>
          <w:color w:val="000000"/>
          <w:sz w:val="28"/>
          <w:szCs w:val="28"/>
        </w:rPr>
        <w:t xml:space="preserve">presumably the </w:t>
      </w:r>
      <w:r w:rsidR="00511E11">
        <w:rPr>
          <w:rFonts w:ascii="Times New Roman" w:hAnsi="Times New Roman"/>
          <w:color w:val="000000"/>
          <w:sz w:val="28"/>
          <w:szCs w:val="28"/>
        </w:rPr>
        <w:t>first respondent</w:t>
      </w:r>
      <w:r w:rsidRPr="007E7FCA">
        <w:rPr>
          <w:rFonts w:ascii="Times New Roman" w:hAnsi="Times New Roman"/>
          <w:color w:val="000000"/>
          <w:sz w:val="28"/>
          <w:szCs w:val="28"/>
        </w:rPr>
        <w:t xml:space="preserve"> must have spurned the Congregation’s offer to warrant the stance </w:t>
      </w:r>
      <w:r w:rsidR="00D20618">
        <w:rPr>
          <w:rFonts w:ascii="Times New Roman" w:hAnsi="Times New Roman"/>
          <w:color w:val="000000"/>
          <w:sz w:val="28"/>
          <w:szCs w:val="28"/>
        </w:rPr>
        <w:t xml:space="preserve">being </w:t>
      </w:r>
      <w:r w:rsidRPr="007E7FCA">
        <w:rPr>
          <w:rFonts w:ascii="Times New Roman" w:hAnsi="Times New Roman"/>
          <w:color w:val="000000"/>
          <w:sz w:val="28"/>
          <w:szCs w:val="28"/>
        </w:rPr>
        <w:t xml:space="preserve">adopted </w:t>
      </w:r>
      <w:r w:rsidR="004213BB">
        <w:rPr>
          <w:rFonts w:ascii="Times New Roman" w:hAnsi="Times New Roman"/>
          <w:color w:val="000000"/>
          <w:sz w:val="28"/>
          <w:szCs w:val="28"/>
        </w:rPr>
        <w:t xml:space="preserve">days after </w:t>
      </w:r>
      <w:r w:rsidRPr="007E7FCA">
        <w:rPr>
          <w:rFonts w:ascii="Times New Roman" w:hAnsi="Times New Roman"/>
          <w:color w:val="000000"/>
          <w:sz w:val="28"/>
          <w:szCs w:val="28"/>
        </w:rPr>
        <w:t xml:space="preserve">the </w:t>
      </w:r>
      <w:r w:rsidR="00D20618">
        <w:rPr>
          <w:rFonts w:ascii="Times New Roman" w:hAnsi="Times New Roman"/>
          <w:color w:val="000000"/>
          <w:sz w:val="28"/>
          <w:szCs w:val="28"/>
        </w:rPr>
        <w:t>t</w:t>
      </w:r>
      <w:r w:rsidRPr="007E7FCA">
        <w:rPr>
          <w:rFonts w:ascii="Times New Roman" w:hAnsi="Times New Roman"/>
          <w:color w:val="000000"/>
          <w:sz w:val="28"/>
          <w:szCs w:val="28"/>
        </w:rPr>
        <w:t>ermination</w:t>
      </w:r>
      <w:r w:rsidR="00D20618">
        <w:rPr>
          <w:rFonts w:ascii="Times New Roman" w:hAnsi="Times New Roman"/>
          <w:color w:val="000000"/>
          <w:sz w:val="28"/>
          <w:szCs w:val="28"/>
        </w:rPr>
        <w:t xml:space="preserve"> letter</w:t>
      </w:r>
      <w:r w:rsidRPr="007E7FCA">
        <w:rPr>
          <w:rFonts w:ascii="Times New Roman" w:hAnsi="Times New Roman"/>
          <w:color w:val="000000"/>
          <w:sz w:val="28"/>
          <w:szCs w:val="28"/>
        </w:rPr>
        <w:t xml:space="preserve"> had been sent </w:t>
      </w:r>
      <w:r w:rsidR="004213BB">
        <w:rPr>
          <w:rFonts w:ascii="Times New Roman" w:hAnsi="Times New Roman"/>
          <w:color w:val="000000"/>
          <w:sz w:val="28"/>
          <w:szCs w:val="28"/>
        </w:rPr>
        <w:t>t</w:t>
      </w:r>
      <w:r w:rsidRPr="007E7FCA">
        <w:rPr>
          <w:rFonts w:ascii="Times New Roman" w:hAnsi="Times New Roman"/>
          <w:color w:val="000000"/>
          <w:sz w:val="28"/>
          <w:szCs w:val="28"/>
        </w:rPr>
        <w:t xml:space="preserve">hat </w:t>
      </w:r>
      <w:r w:rsidR="00511E11">
        <w:rPr>
          <w:rFonts w:ascii="Times New Roman" w:hAnsi="Times New Roman"/>
          <w:color w:val="000000"/>
          <w:sz w:val="28"/>
          <w:szCs w:val="28"/>
        </w:rPr>
        <w:t xml:space="preserve">he and his wife </w:t>
      </w:r>
      <w:r w:rsidRPr="007E7FCA">
        <w:rPr>
          <w:rFonts w:ascii="Times New Roman" w:hAnsi="Times New Roman"/>
          <w:color w:val="000000"/>
          <w:sz w:val="28"/>
          <w:szCs w:val="28"/>
        </w:rPr>
        <w:t xml:space="preserve">were </w:t>
      </w:r>
      <w:r w:rsidR="004213BB">
        <w:rPr>
          <w:rFonts w:ascii="Times New Roman" w:hAnsi="Times New Roman"/>
          <w:color w:val="000000"/>
          <w:sz w:val="28"/>
          <w:szCs w:val="28"/>
        </w:rPr>
        <w:t>already</w:t>
      </w:r>
      <w:r w:rsidR="00D20618">
        <w:rPr>
          <w:rFonts w:ascii="Times New Roman" w:hAnsi="Times New Roman"/>
          <w:color w:val="000000"/>
          <w:sz w:val="28"/>
          <w:szCs w:val="28"/>
        </w:rPr>
        <w:t xml:space="preserve"> </w:t>
      </w:r>
      <w:r w:rsidRPr="007E7FCA">
        <w:rPr>
          <w:rFonts w:ascii="Times New Roman" w:hAnsi="Times New Roman"/>
          <w:color w:val="000000"/>
          <w:sz w:val="28"/>
          <w:szCs w:val="28"/>
        </w:rPr>
        <w:t xml:space="preserve">regarded as </w:t>
      </w:r>
      <w:r w:rsidR="000E4BD7">
        <w:rPr>
          <w:rFonts w:ascii="Times New Roman" w:hAnsi="Times New Roman"/>
          <w:color w:val="000000"/>
          <w:sz w:val="28"/>
          <w:szCs w:val="28"/>
        </w:rPr>
        <w:t xml:space="preserve">occupying </w:t>
      </w:r>
      <w:r w:rsidR="00D76A85">
        <w:rPr>
          <w:rFonts w:ascii="Times New Roman" w:hAnsi="Times New Roman"/>
          <w:color w:val="000000"/>
          <w:sz w:val="28"/>
          <w:szCs w:val="28"/>
        </w:rPr>
        <w:t xml:space="preserve">the </w:t>
      </w:r>
      <w:r w:rsidR="00D20618">
        <w:rPr>
          <w:rFonts w:ascii="Times New Roman" w:hAnsi="Times New Roman"/>
          <w:color w:val="000000"/>
          <w:sz w:val="28"/>
          <w:szCs w:val="28"/>
        </w:rPr>
        <w:t>property</w:t>
      </w:r>
      <w:r w:rsidR="000E4BD7">
        <w:rPr>
          <w:rFonts w:ascii="Times New Roman" w:hAnsi="Times New Roman"/>
          <w:color w:val="000000"/>
          <w:sz w:val="28"/>
          <w:szCs w:val="28"/>
        </w:rPr>
        <w:t xml:space="preserve"> without its consent</w:t>
      </w:r>
      <w:r w:rsidRPr="007E7FCA">
        <w:rPr>
          <w:rFonts w:ascii="Times New Roman" w:hAnsi="Times New Roman"/>
          <w:color w:val="000000"/>
          <w:sz w:val="28"/>
          <w:szCs w:val="28"/>
        </w:rPr>
        <w:t>, directing them to pay all charges due to the municipality other than the rates - which until that point had</w:t>
      </w:r>
      <w:r w:rsidR="00D20618">
        <w:rPr>
          <w:rFonts w:ascii="Times New Roman" w:hAnsi="Times New Roman"/>
          <w:color w:val="000000"/>
          <w:sz w:val="28"/>
          <w:szCs w:val="28"/>
        </w:rPr>
        <w:t xml:space="preserve"> ostensibly</w:t>
      </w:r>
      <w:r w:rsidRPr="007E7FCA">
        <w:rPr>
          <w:rFonts w:ascii="Times New Roman" w:hAnsi="Times New Roman"/>
          <w:color w:val="000000"/>
          <w:sz w:val="28"/>
          <w:szCs w:val="28"/>
        </w:rPr>
        <w:t xml:space="preserve"> been covered by the Congregation as a term of the employment</w:t>
      </w:r>
      <w:r w:rsidR="00511E11">
        <w:rPr>
          <w:rFonts w:ascii="Times New Roman" w:hAnsi="Times New Roman"/>
          <w:color w:val="000000"/>
          <w:sz w:val="28"/>
          <w:szCs w:val="28"/>
        </w:rPr>
        <w:t xml:space="preserve"> agreement</w:t>
      </w:r>
      <w:r w:rsidRPr="007E7FCA">
        <w:rPr>
          <w:rFonts w:ascii="Times New Roman" w:hAnsi="Times New Roman"/>
          <w:color w:val="000000"/>
          <w:sz w:val="28"/>
          <w:szCs w:val="28"/>
        </w:rPr>
        <w:t>, and foreshadowing that eviction proceedings would ensue “shortly”.</w:t>
      </w:r>
    </w:p>
    <w:p w14:paraId="1FB48F4C" w14:textId="77777777" w:rsidR="007E7FCA" w:rsidRPr="007E7FCA" w:rsidRDefault="007E7FCA" w:rsidP="00D46D76">
      <w:pPr>
        <w:pStyle w:val="ListParagraph"/>
        <w:tabs>
          <w:tab w:val="left" w:pos="0"/>
        </w:tabs>
        <w:spacing w:after="0" w:line="360" w:lineRule="auto"/>
        <w:ind w:left="0"/>
        <w:rPr>
          <w:rFonts w:ascii="Times New Roman" w:hAnsi="Times New Roman"/>
          <w:b/>
          <w:sz w:val="28"/>
          <w:szCs w:val="28"/>
        </w:rPr>
      </w:pPr>
    </w:p>
    <w:p w14:paraId="6CEA2C40" w14:textId="77777777" w:rsidR="007E7FCA" w:rsidRP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 xml:space="preserve">The applicant claims that “written requests” forwarded by its attorneys to the respondents to vacate the premises (the letter of 9 February </w:t>
      </w:r>
      <w:r w:rsidR="004213BB">
        <w:rPr>
          <w:rFonts w:ascii="Times New Roman" w:hAnsi="Times New Roman"/>
          <w:color w:val="000000"/>
          <w:sz w:val="28"/>
          <w:szCs w:val="28"/>
        </w:rPr>
        <w:t xml:space="preserve">2020 </w:t>
      </w:r>
      <w:r w:rsidR="00D20618">
        <w:rPr>
          <w:rFonts w:ascii="Times New Roman" w:hAnsi="Times New Roman"/>
          <w:color w:val="000000"/>
          <w:sz w:val="28"/>
          <w:szCs w:val="28"/>
        </w:rPr>
        <w:t xml:space="preserve">aforesaid </w:t>
      </w:r>
      <w:r w:rsidRPr="007E7FCA">
        <w:rPr>
          <w:rFonts w:ascii="Times New Roman" w:hAnsi="Times New Roman"/>
          <w:color w:val="000000"/>
          <w:sz w:val="28"/>
          <w:szCs w:val="28"/>
        </w:rPr>
        <w:t xml:space="preserve">held up as the only example) did not </w:t>
      </w:r>
      <w:r w:rsidR="00D20618">
        <w:rPr>
          <w:rFonts w:ascii="Times New Roman" w:hAnsi="Times New Roman"/>
          <w:color w:val="000000"/>
          <w:sz w:val="28"/>
          <w:szCs w:val="28"/>
        </w:rPr>
        <w:t>have the desired effect and was taken as the respondents’</w:t>
      </w:r>
      <w:r w:rsidRPr="007E7FCA">
        <w:rPr>
          <w:rFonts w:ascii="Times New Roman" w:hAnsi="Times New Roman"/>
          <w:color w:val="000000"/>
          <w:sz w:val="28"/>
          <w:szCs w:val="28"/>
        </w:rPr>
        <w:t xml:space="preserve"> refusal to meet the Congrega</w:t>
      </w:r>
      <w:r w:rsidR="00D76A85">
        <w:rPr>
          <w:rFonts w:ascii="Times New Roman" w:hAnsi="Times New Roman"/>
          <w:color w:val="000000"/>
          <w:sz w:val="28"/>
          <w:szCs w:val="28"/>
        </w:rPr>
        <w:t>tion’s request, hence the need</w:t>
      </w:r>
      <w:r w:rsidRPr="007E7FCA">
        <w:rPr>
          <w:rFonts w:ascii="Times New Roman" w:hAnsi="Times New Roman"/>
          <w:color w:val="000000"/>
          <w:sz w:val="28"/>
          <w:szCs w:val="28"/>
        </w:rPr>
        <w:t xml:space="preserve"> for the present application which could not launched at the end of March 2020 as had been forewarned. This is because by then the COVID-19 pandemic had hit home, a state of national emergency </w:t>
      </w:r>
      <w:r w:rsidR="004213BB">
        <w:rPr>
          <w:rFonts w:ascii="Times New Roman" w:hAnsi="Times New Roman"/>
          <w:color w:val="000000"/>
          <w:sz w:val="28"/>
          <w:szCs w:val="28"/>
        </w:rPr>
        <w:t>was</w:t>
      </w:r>
      <w:r w:rsidRPr="007E7FCA">
        <w:rPr>
          <w:rFonts w:ascii="Times New Roman" w:hAnsi="Times New Roman"/>
          <w:color w:val="000000"/>
          <w:sz w:val="28"/>
          <w:szCs w:val="28"/>
        </w:rPr>
        <w:t xml:space="preserve"> declared by </w:t>
      </w:r>
      <w:r w:rsidR="004213BB">
        <w:rPr>
          <w:rFonts w:ascii="Times New Roman" w:hAnsi="Times New Roman"/>
          <w:color w:val="000000"/>
          <w:sz w:val="28"/>
          <w:szCs w:val="28"/>
        </w:rPr>
        <w:t xml:space="preserve">the </w:t>
      </w:r>
      <w:r w:rsidRPr="007E7FCA">
        <w:rPr>
          <w:rFonts w:ascii="Times New Roman" w:hAnsi="Times New Roman"/>
          <w:color w:val="000000"/>
          <w:sz w:val="28"/>
          <w:szCs w:val="28"/>
        </w:rPr>
        <w:t>government pursuant to the provisions of the Disaster Management Act, No</w:t>
      </w:r>
      <w:r>
        <w:rPr>
          <w:rFonts w:ascii="Times New Roman" w:hAnsi="Times New Roman"/>
          <w:color w:val="000000"/>
          <w:sz w:val="28"/>
          <w:szCs w:val="28"/>
        </w:rPr>
        <w:t>.</w:t>
      </w:r>
      <w:r w:rsidRPr="007E7FCA">
        <w:rPr>
          <w:rFonts w:ascii="Times New Roman" w:hAnsi="Times New Roman"/>
          <w:color w:val="000000"/>
          <w:sz w:val="28"/>
          <w:szCs w:val="28"/>
        </w:rPr>
        <w:t xml:space="preserve"> </w:t>
      </w:r>
      <w:r>
        <w:rPr>
          <w:rFonts w:ascii="Times New Roman" w:hAnsi="Times New Roman"/>
          <w:color w:val="000000"/>
          <w:sz w:val="28"/>
          <w:szCs w:val="28"/>
        </w:rPr>
        <w:t>57 of 2002</w:t>
      </w:r>
      <w:r w:rsidRPr="007E7FCA">
        <w:rPr>
          <w:rFonts w:ascii="Times New Roman" w:hAnsi="Times New Roman"/>
          <w:color w:val="000000"/>
          <w:sz w:val="28"/>
          <w:szCs w:val="28"/>
        </w:rPr>
        <w:t xml:space="preserve"> (“the DMA”), and the country placed under a hard lockdown. Because the eviction of persons from residential premises was not permitted at the time under constraint of </w:t>
      </w:r>
      <w:r w:rsidR="00511E11">
        <w:rPr>
          <w:rFonts w:ascii="Times New Roman" w:hAnsi="Times New Roman"/>
          <w:color w:val="000000"/>
          <w:sz w:val="28"/>
          <w:szCs w:val="28"/>
        </w:rPr>
        <w:t xml:space="preserve">the </w:t>
      </w:r>
      <w:r w:rsidRPr="007E7FCA">
        <w:rPr>
          <w:rFonts w:ascii="Times New Roman" w:hAnsi="Times New Roman"/>
          <w:color w:val="000000"/>
          <w:sz w:val="28"/>
          <w:szCs w:val="28"/>
        </w:rPr>
        <w:t xml:space="preserve">regulations promulgated under the DMA, the </w:t>
      </w:r>
      <w:r w:rsidR="000E4BD7">
        <w:rPr>
          <w:rFonts w:ascii="Times New Roman" w:hAnsi="Times New Roman"/>
          <w:color w:val="000000"/>
          <w:sz w:val="28"/>
          <w:szCs w:val="28"/>
        </w:rPr>
        <w:t>respondents</w:t>
      </w:r>
      <w:r w:rsidR="00511E11">
        <w:rPr>
          <w:rFonts w:ascii="Times New Roman" w:hAnsi="Times New Roman"/>
          <w:color w:val="000000"/>
          <w:sz w:val="28"/>
          <w:szCs w:val="28"/>
        </w:rPr>
        <w:t xml:space="preserve"> were by default </w:t>
      </w:r>
      <w:r w:rsidRPr="007E7FCA">
        <w:rPr>
          <w:rFonts w:ascii="Times New Roman" w:hAnsi="Times New Roman"/>
          <w:color w:val="000000"/>
          <w:sz w:val="28"/>
          <w:szCs w:val="28"/>
        </w:rPr>
        <w:t>given some respite over the period of the hard lockdown, but the request for them to vacate the premises took on formal proportions in mid-June 2020 when the present applicat</w:t>
      </w:r>
      <w:r w:rsidR="00511E11">
        <w:rPr>
          <w:rFonts w:ascii="Times New Roman" w:hAnsi="Times New Roman"/>
          <w:color w:val="000000"/>
          <w:sz w:val="28"/>
          <w:szCs w:val="28"/>
        </w:rPr>
        <w:t>ion was issued to vindicate the</w:t>
      </w:r>
      <w:r w:rsidRPr="007E7FCA">
        <w:rPr>
          <w:rFonts w:ascii="Times New Roman" w:hAnsi="Times New Roman"/>
          <w:color w:val="000000"/>
          <w:sz w:val="28"/>
          <w:szCs w:val="28"/>
        </w:rPr>
        <w:t xml:space="preserve"> claimed unlawful occupa</w:t>
      </w:r>
      <w:r w:rsidR="00427036">
        <w:rPr>
          <w:rFonts w:ascii="Times New Roman" w:hAnsi="Times New Roman"/>
          <w:color w:val="000000"/>
          <w:sz w:val="28"/>
          <w:szCs w:val="28"/>
        </w:rPr>
        <w:t>tion of the applicant’s property</w:t>
      </w:r>
      <w:r w:rsidRPr="007E7FCA">
        <w:rPr>
          <w:rFonts w:ascii="Times New Roman" w:hAnsi="Times New Roman"/>
          <w:color w:val="000000"/>
          <w:sz w:val="28"/>
          <w:szCs w:val="28"/>
        </w:rPr>
        <w:t xml:space="preserve">. </w:t>
      </w:r>
    </w:p>
    <w:p w14:paraId="6EB084B0" w14:textId="77777777" w:rsidR="007E7FCA" w:rsidRPr="007E7FCA" w:rsidRDefault="007E7FCA" w:rsidP="00D46D76">
      <w:pPr>
        <w:pStyle w:val="ListParagraph"/>
        <w:tabs>
          <w:tab w:val="left" w:pos="0"/>
        </w:tabs>
        <w:spacing w:after="0" w:line="360" w:lineRule="auto"/>
        <w:ind w:left="0"/>
        <w:rPr>
          <w:rFonts w:ascii="Times New Roman" w:hAnsi="Times New Roman"/>
          <w:b/>
          <w:sz w:val="28"/>
          <w:szCs w:val="28"/>
        </w:rPr>
      </w:pPr>
    </w:p>
    <w:p w14:paraId="04DF5472" w14:textId="77777777" w:rsidR="007E7FCA" w:rsidRPr="007E7FCA"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lastRenderedPageBreak/>
        <w:t>It is common cause that the respondents have remained in occupation since 3 February 2020 and oppose the present application.</w:t>
      </w:r>
      <w:r w:rsidR="00427036">
        <w:rPr>
          <w:rStyle w:val="FootnoteReference"/>
          <w:rFonts w:ascii="Times New Roman" w:hAnsi="Times New Roman"/>
          <w:color w:val="000000"/>
          <w:sz w:val="28"/>
          <w:szCs w:val="28"/>
        </w:rPr>
        <w:footnoteReference w:id="8"/>
      </w:r>
      <w:r w:rsidRPr="007E7FCA">
        <w:rPr>
          <w:rFonts w:ascii="Times New Roman" w:hAnsi="Times New Roman"/>
          <w:color w:val="000000"/>
          <w:sz w:val="28"/>
          <w:szCs w:val="28"/>
        </w:rPr>
        <w:t xml:space="preserve">  The </w:t>
      </w:r>
      <w:r w:rsidR="00427036">
        <w:rPr>
          <w:rFonts w:ascii="Times New Roman" w:hAnsi="Times New Roman"/>
          <w:color w:val="000000"/>
          <w:sz w:val="28"/>
          <w:szCs w:val="28"/>
        </w:rPr>
        <w:t>municipality</w:t>
      </w:r>
      <w:r w:rsidRPr="007E7FCA">
        <w:rPr>
          <w:rFonts w:ascii="Times New Roman" w:hAnsi="Times New Roman"/>
          <w:color w:val="000000"/>
          <w:sz w:val="28"/>
          <w:szCs w:val="28"/>
        </w:rPr>
        <w:t xml:space="preserve"> has not entered the fray.</w:t>
      </w:r>
    </w:p>
    <w:p w14:paraId="06B73A50" w14:textId="77777777" w:rsidR="007E7FCA" w:rsidRPr="007E7FCA" w:rsidRDefault="007E7FCA" w:rsidP="00D46D76">
      <w:pPr>
        <w:pStyle w:val="ListParagraph"/>
        <w:spacing w:after="0" w:line="360" w:lineRule="auto"/>
        <w:rPr>
          <w:rFonts w:ascii="Times New Roman" w:hAnsi="Times New Roman"/>
          <w:color w:val="000000"/>
          <w:sz w:val="28"/>
          <w:szCs w:val="28"/>
        </w:rPr>
      </w:pPr>
    </w:p>
    <w:p w14:paraId="3E44B893" w14:textId="77777777" w:rsidR="007E7FCA" w:rsidRPr="00E00BA1" w:rsidRDefault="00427036"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Apart from asserting </w:t>
      </w:r>
      <w:r w:rsidR="000E4BD7">
        <w:rPr>
          <w:rFonts w:ascii="Times New Roman" w:hAnsi="Times New Roman"/>
          <w:color w:val="000000"/>
          <w:sz w:val="28"/>
          <w:szCs w:val="28"/>
        </w:rPr>
        <w:t xml:space="preserve">in the founding affidavit </w:t>
      </w:r>
      <w:r>
        <w:rPr>
          <w:rFonts w:ascii="Times New Roman" w:hAnsi="Times New Roman"/>
          <w:color w:val="000000"/>
          <w:sz w:val="28"/>
          <w:szCs w:val="28"/>
        </w:rPr>
        <w:t>that it had</w:t>
      </w:r>
      <w:r w:rsidR="007E7FCA" w:rsidRPr="007E7FCA">
        <w:rPr>
          <w:rFonts w:ascii="Times New Roman" w:hAnsi="Times New Roman"/>
          <w:color w:val="000000"/>
          <w:sz w:val="28"/>
          <w:szCs w:val="28"/>
        </w:rPr>
        <w:t xml:space="preserve"> met the jurisdictional grounds  postulated by the relevant provisions of the Prevention</w:t>
      </w:r>
      <w:r w:rsidR="007E7FCA">
        <w:rPr>
          <w:rFonts w:ascii="Times New Roman" w:hAnsi="Times New Roman"/>
          <w:color w:val="000000"/>
          <w:sz w:val="28"/>
          <w:szCs w:val="28"/>
        </w:rPr>
        <w:t xml:space="preserve"> of Illegal Eviction from Unlawful Occupation of Land Act, No. 19 of 1998 (“</w:t>
      </w:r>
      <w:r w:rsidR="00D20618">
        <w:rPr>
          <w:rFonts w:ascii="Times New Roman" w:hAnsi="Times New Roman"/>
          <w:color w:val="000000"/>
          <w:sz w:val="28"/>
          <w:szCs w:val="28"/>
        </w:rPr>
        <w:t>the PIE Act”)</w:t>
      </w:r>
      <w:r w:rsidR="007E7FCA" w:rsidRPr="007E7FCA">
        <w:rPr>
          <w:rFonts w:ascii="Times New Roman" w:hAnsi="Times New Roman"/>
          <w:color w:val="000000"/>
          <w:sz w:val="28"/>
          <w:szCs w:val="28"/>
        </w:rPr>
        <w:t xml:space="preserve"> as well as the procedural requirement of </w:t>
      </w:r>
      <w:r w:rsidR="00D76A85">
        <w:rPr>
          <w:rFonts w:ascii="Times New Roman" w:hAnsi="Times New Roman"/>
          <w:color w:val="000000"/>
          <w:sz w:val="28"/>
          <w:szCs w:val="28"/>
        </w:rPr>
        <w:t>service</w:t>
      </w:r>
      <w:r w:rsidR="000E4BD7">
        <w:rPr>
          <w:rFonts w:ascii="Times New Roman" w:hAnsi="Times New Roman"/>
          <w:color w:val="000000"/>
          <w:sz w:val="28"/>
          <w:szCs w:val="28"/>
        </w:rPr>
        <w:t xml:space="preserve"> of </w:t>
      </w:r>
      <w:r w:rsidR="007E7FCA" w:rsidRPr="007E7FCA">
        <w:rPr>
          <w:rFonts w:ascii="Times New Roman" w:hAnsi="Times New Roman"/>
          <w:color w:val="000000"/>
          <w:sz w:val="28"/>
          <w:szCs w:val="28"/>
        </w:rPr>
        <w:t>effective notice of the proceedings stipulated by section 4</w:t>
      </w:r>
      <w:r w:rsidR="00F128D3">
        <w:rPr>
          <w:rFonts w:ascii="Times New Roman" w:hAnsi="Times New Roman"/>
          <w:color w:val="000000"/>
          <w:sz w:val="28"/>
          <w:szCs w:val="28"/>
        </w:rPr>
        <w:t xml:space="preserve"> (2)</w:t>
      </w:r>
      <w:r w:rsidR="00D20618">
        <w:rPr>
          <w:rFonts w:ascii="Times New Roman" w:hAnsi="Times New Roman"/>
          <w:color w:val="000000"/>
          <w:sz w:val="28"/>
          <w:szCs w:val="28"/>
        </w:rPr>
        <w:t>,</w:t>
      </w:r>
      <w:r w:rsidR="007E7FCA" w:rsidRPr="007E7FCA">
        <w:rPr>
          <w:rFonts w:ascii="Times New Roman" w:hAnsi="Times New Roman"/>
          <w:color w:val="000000"/>
          <w:sz w:val="28"/>
          <w:szCs w:val="28"/>
        </w:rPr>
        <w:t xml:space="preserve"> the applicant assert</w:t>
      </w:r>
      <w:r w:rsidR="000E4BD7">
        <w:rPr>
          <w:rFonts w:ascii="Times New Roman" w:hAnsi="Times New Roman"/>
          <w:color w:val="000000"/>
          <w:sz w:val="28"/>
          <w:szCs w:val="28"/>
        </w:rPr>
        <w:t>ed</w:t>
      </w:r>
      <w:r w:rsidR="007E7FCA" w:rsidRPr="007E7FCA">
        <w:rPr>
          <w:rFonts w:ascii="Times New Roman" w:hAnsi="Times New Roman"/>
          <w:color w:val="000000"/>
          <w:sz w:val="28"/>
          <w:szCs w:val="28"/>
        </w:rPr>
        <w:t xml:space="preserve"> that the respondents have </w:t>
      </w:r>
      <w:r w:rsidR="00D20618">
        <w:rPr>
          <w:rFonts w:ascii="Times New Roman" w:hAnsi="Times New Roman"/>
          <w:color w:val="000000"/>
          <w:sz w:val="28"/>
          <w:szCs w:val="28"/>
        </w:rPr>
        <w:t>raised “</w:t>
      </w:r>
      <w:r w:rsidR="007E7FCA" w:rsidRPr="007E7FCA">
        <w:rPr>
          <w:rFonts w:ascii="Times New Roman" w:hAnsi="Times New Roman"/>
          <w:color w:val="000000"/>
          <w:sz w:val="28"/>
          <w:szCs w:val="28"/>
        </w:rPr>
        <w:t>n</w:t>
      </w:r>
      <w:r w:rsidR="00D20618">
        <w:rPr>
          <w:rFonts w:ascii="Times New Roman" w:hAnsi="Times New Roman"/>
          <w:color w:val="000000"/>
          <w:sz w:val="28"/>
          <w:szCs w:val="28"/>
        </w:rPr>
        <w:t>o valid defence”</w:t>
      </w:r>
      <w:r w:rsidR="007E7FCA" w:rsidRPr="007E7FCA">
        <w:rPr>
          <w:rFonts w:ascii="Times New Roman" w:hAnsi="Times New Roman"/>
          <w:color w:val="000000"/>
          <w:sz w:val="28"/>
          <w:szCs w:val="28"/>
        </w:rPr>
        <w:t xml:space="preserve"> to the applicant’s claim for their eviction from the property and that it is </w:t>
      </w:r>
      <w:r>
        <w:rPr>
          <w:rFonts w:ascii="Times New Roman" w:hAnsi="Times New Roman"/>
          <w:color w:val="000000"/>
          <w:sz w:val="28"/>
          <w:szCs w:val="28"/>
        </w:rPr>
        <w:t>“</w:t>
      </w:r>
      <w:r w:rsidR="007E7FCA" w:rsidRPr="007E7FCA">
        <w:rPr>
          <w:rFonts w:ascii="Times New Roman" w:hAnsi="Times New Roman"/>
          <w:color w:val="000000"/>
          <w:sz w:val="28"/>
          <w:szCs w:val="28"/>
        </w:rPr>
        <w:t>just and equitable</w:t>
      </w:r>
      <w:r>
        <w:rPr>
          <w:rFonts w:ascii="Times New Roman" w:hAnsi="Times New Roman"/>
          <w:color w:val="000000"/>
          <w:sz w:val="28"/>
          <w:szCs w:val="28"/>
        </w:rPr>
        <w:t>”</w:t>
      </w:r>
      <w:r w:rsidR="007E7FCA" w:rsidRPr="007E7FCA">
        <w:rPr>
          <w:rFonts w:ascii="Times New Roman" w:hAnsi="Times New Roman"/>
          <w:color w:val="000000"/>
          <w:sz w:val="28"/>
          <w:szCs w:val="28"/>
        </w:rPr>
        <w:t xml:space="preserve"> within the meaning contended for in the PIE Act in the particular circumstances that they be ordered to vacate the property within</w:t>
      </w:r>
      <w:r w:rsidR="000E4BD7">
        <w:rPr>
          <w:rFonts w:ascii="Times New Roman" w:hAnsi="Times New Roman"/>
          <w:color w:val="000000"/>
          <w:sz w:val="28"/>
          <w:szCs w:val="28"/>
        </w:rPr>
        <w:t xml:space="preserve"> a suggested time frame</w:t>
      </w:r>
      <w:r w:rsidR="007E7FCA" w:rsidRPr="007E7FCA">
        <w:rPr>
          <w:rFonts w:ascii="Times New Roman" w:hAnsi="Times New Roman"/>
          <w:color w:val="000000"/>
          <w:sz w:val="28"/>
          <w:szCs w:val="28"/>
        </w:rPr>
        <w:t>.</w:t>
      </w:r>
      <w:r w:rsidR="000E4BD7">
        <w:rPr>
          <w:rStyle w:val="FootnoteReference"/>
          <w:rFonts w:ascii="Times New Roman" w:hAnsi="Times New Roman"/>
          <w:color w:val="000000"/>
          <w:sz w:val="28"/>
          <w:szCs w:val="28"/>
        </w:rPr>
        <w:footnoteReference w:id="9"/>
      </w:r>
    </w:p>
    <w:p w14:paraId="6D69AB01" w14:textId="77777777" w:rsidR="00E00BA1" w:rsidRPr="00E00BA1" w:rsidRDefault="00E00BA1" w:rsidP="00D46D76">
      <w:pPr>
        <w:pStyle w:val="ListParagraph"/>
        <w:spacing w:after="0" w:line="360" w:lineRule="auto"/>
        <w:rPr>
          <w:rFonts w:ascii="Times New Roman" w:hAnsi="Times New Roman"/>
          <w:b/>
          <w:sz w:val="28"/>
          <w:szCs w:val="28"/>
        </w:rPr>
      </w:pPr>
    </w:p>
    <w:p w14:paraId="09D229C5" w14:textId="77777777" w:rsidR="00E00BA1" w:rsidRPr="000E4BD7" w:rsidRDefault="00E00BA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applicant asserts in this respect that it is being inconvenienced by the respondents’ holding over their occupation of the property since this effectively precludes them from appointi</w:t>
      </w:r>
      <w:r w:rsidR="000E4BD7">
        <w:rPr>
          <w:rFonts w:ascii="Times New Roman" w:hAnsi="Times New Roman"/>
          <w:sz w:val="28"/>
          <w:szCs w:val="28"/>
        </w:rPr>
        <w:t>ng a Rabbi for the Congregation who is expected to be accommodated</w:t>
      </w:r>
      <w:r w:rsidR="00D76A85">
        <w:rPr>
          <w:rFonts w:ascii="Times New Roman" w:hAnsi="Times New Roman"/>
          <w:sz w:val="28"/>
          <w:szCs w:val="28"/>
        </w:rPr>
        <w:t xml:space="preserve"> in the designated rabbinical home</w:t>
      </w:r>
      <w:r w:rsidR="000E4BD7">
        <w:rPr>
          <w:rFonts w:ascii="Times New Roman" w:hAnsi="Times New Roman"/>
          <w:sz w:val="28"/>
          <w:szCs w:val="28"/>
        </w:rPr>
        <w:t>.  Apart from the compromise of t</w:t>
      </w:r>
      <w:r w:rsidR="00D76A85">
        <w:rPr>
          <w:rFonts w:ascii="Times New Roman" w:hAnsi="Times New Roman"/>
          <w:sz w:val="28"/>
          <w:szCs w:val="28"/>
        </w:rPr>
        <w:t>heir owner’s right to</w:t>
      </w:r>
      <w:r w:rsidR="000E4BD7">
        <w:rPr>
          <w:rFonts w:ascii="Times New Roman" w:hAnsi="Times New Roman"/>
          <w:sz w:val="28"/>
          <w:szCs w:val="28"/>
        </w:rPr>
        <w:t xml:space="preserve"> possession of the property</w:t>
      </w:r>
      <w:r w:rsidR="00D76A85">
        <w:rPr>
          <w:rFonts w:ascii="Times New Roman" w:hAnsi="Times New Roman"/>
          <w:sz w:val="28"/>
          <w:szCs w:val="28"/>
        </w:rPr>
        <w:t>,</w:t>
      </w:r>
      <w:r w:rsidR="000E4BD7">
        <w:rPr>
          <w:rFonts w:ascii="Times New Roman" w:hAnsi="Times New Roman"/>
          <w:sz w:val="28"/>
          <w:szCs w:val="28"/>
        </w:rPr>
        <w:t xml:space="preserve"> they</w:t>
      </w:r>
      <w:r w:rsidR="00D76A85">
        <w:rPr>
          <w:rFonts w:ascii="Times New Roman" w:hAnsi="Times New Roman"/>
          <w:sz w:val="28"/>
          <w:szCs w:val="28"/>
        </w:rPr>
        <w:t xml:space="preserve"> also</w:t>
      </w:r>
      <w:r w:rsidR="000E4BD7">
        <w:rPr>
          <w:rFonts w:ascii="Times New Roman" w:hAnsi="Times New Roman"/>
          <w:sz w:val="28"/>
          <w:szCs w:val="28"/>
        </w:rPr>
        <w:t xml:space="preserve"> allude to the fact that </w:t>
      </w:r>
      <w:r w:rsidR="00AC543A">
        <w:rPr>
          <w:rFonts w:ascii="Times New Roman" w:hAnsi="Times New Roman"/>
          <w:sz w:val="28"/>
          <w:szCs w:val="28"/>
        </w:rPr>
        <w:t xml:space="preserve">the </w:t>
      </w:r>
      <w:r w:rsidR="008E31D6">
        <w:rPr>
          <w:rFonts w:ascii="Times New Roman" w:hAnsi="Times New Roman"/>
          <w:sz w:val="28"/>
          <w:szCs w:val="28"/>
        </w:rPr>
        <w:t>Congregation</w:t>
      </w:r>
      <w:r w:rsidR="00AC543A">
        <w:rPr>
          <w:rFonts w:ascii="Times New Roman" w:hAnsi="Times New Roman"/>
          <w:sz w:val="28"/>
          <w:szCs w:val="28"/>
        </w:rPr>
        <w:t xml:space="preserve"> has been hampered in</w:t>
      </w:r>
      <w:r w:rsidR="008E31D6">
        <w:rPr>
          <w:rFonts w:ascii="Times New Roman" w:hAnsi="Times New Roman"/>
          <w:sz w:val="28"/>
          <w:szCs w:val="28"/>
        </w:rPr>
        <w:t xml:space="preserve"> </w:t>
      </w:r>
      <w:r w:rsidR="00AC543A">
        <w:rPr>
          <w:rFonts w:ascii="Times New Roman" w:hAnsi="Times New Roman"/>
          <w:sz w:val="28"/>
          <w:szCs w:val="28"/>
        </w:rPr>
        <w:t>its ability</w:t>
      </w:r>
      <w:r w:rsidR="000E4BD7">
        <w:rPr>
          <w:rFonts w:ascii="Times New Roman" w:hAnsi="Times New Roman"/>
          <w:sz w:val="28"/>
          <w:szCs w:val="28"/>
        </w:rPr>
        <w:t xml:space="preserve"> to administer to the spiritual need</w:t>
      </w:r>
      <w:r w:rsidR="00EC269F">
        <w:rPr>
          <w:rFonts w:ascii="Times New Roman" w:hAnsi="Times New Roman"/>
          <w:sz w:val="28"/>
          <w:szCs w:val="28"/>
        </w:rPr>
        <w:t xml:space="preserve">s of </w:t>
      </w:r>
      <w:r w:rsidR="00AC543A">
        <w:rPr>
          <w:rFonts w:ascii="Times New Roman" w:hAnsi="Times New Roman"/>
          <w:sz w:val="28"/>
          <w:szCs w:val="28"/>
        </w:rPr>
        <w:t>its members</w:t>
      </w:r>
      <w:r w:rsidR="008E31D6">
        <w:rPr>
          <w:rFonts w:ascii="Times New Roman" w:hAnsi="Times New Roman"/>
          <w:sz w:val="28"/>
          <w:szCs w:val="28"/>
        </w:rPr>
        <w:t xml:space="preserve">, I would venture to suggest as a result of </w:t>
      </w:r>
      <w:r w:rsidR="00512E5A">
        <w:rPr>
          <w:rFonts w:ascii="Times New Roman" w:hAnsi="Times New Roman"/>
          <w:sz w:val="28"/>
          <w:szCs w:val="28"/>
        </w:rPr>
        <w:t xml:space="preserve">an </w:t>
      </w:r>
      <w:r w:rsidR="00BB6B76">
        <w:rPr>
          <w:rFonts w:ascii="Times New Roman" w:hAnsi="Times New Roman"/>
          <w:sz w:val="28"/>
          <w:szCs w:val="28"/>
        </w:rPr>
        <w:t>ongoing spat between it and the first respondent</w:t>
      </w:r>
      <w:r w:rsidR="00512E5A">
        <w:rPr>
          <w:rFonts w:ascii="Times New Roman" w:hAnsi="Times New Roman"/>
          <w:sz w:val="28"/>
          <w:szCs w:val="28"/>
        </w:rPr>
        <w:t>, the details of which I will shortly relate.</w:t>
      </w:r>
    </w:p>
    <w:p w14:paraId="5E992D53" w14:textId="77777777" w:rsidR="000E4BD7" w:rsidRDefault="000E4BD7" w:rsidP="00D46D76">
      <w:pPr>
        <w:pStyle w:val="ListParagraph"/>
        <w:spacing w:after="0" w:line="360" w:lineRule="auto"/>
        <w:rPr>
          <w:rFonts w:ascii="Times New Roman" w:hAnsi="Times New Roman"/>
          <w:b/>
          <w:sz w:val="28"/>
          <w:szCs w:val="28"/>
        </w:rPr>
      </w:pPr>
    </w:p>
    <w:p w14:paraId="356CC349" w14:textId="77777777" w:rsidR="00C83939" w:rsidRDefault="00C83939" w:rsidP="00D46D76">
      <w:pPr>
        <w:pStyle w:val="ListParagraph"/>
        <w:spacing w:after="0" w:line="360" w:lineRule="auto"/>
        <w:rPr>
          <w:rFonts w:ascii="Times New Roman" w:hAnsi="Times New Roman"/>
          <w:b/>
          <w:sz w:val="28"/>
          <w:szCs w:val="28"/>
        </w:rPr>
      </w:pPr>
    </w:p>
    <w:p w14:paraId="288CA435" w14:textId="77777777" w:rsidR="00427036" w:rsidRDefault="000E4BD7" w:rsidP="00D46D76">
      <w:pPr>
        <w:spacing w:line="360" w:lineRule="auto"/>
        <w:contextualSpacing/>
        <w:rPr>
          <w:rFonts w:ascii="Times New Roman" w:hAnsi="Times New Roman"/>
          <w:b/>
          <w:color w:val="000000"/>
          <w:sz w:val="28"/>
          <w:szCs w:val="28"/>
          <w:u w:val="single"/>
        </w:rPr>
      </w:pPr>
      <w:r>
        <w:rPr>
          <w:rFonts w:ascii="Times New Roman" w:hAnsi="Times New Roman"/>
          <w:b/>
          <w:color w:val="000000"/>
          <w:sz w:val="28"/>
          <w:szCs w:val="28"/>
          <w:u w:val="single"/>
        </w:rPr>
        <w:lastRenderedPageBreak/>
        <w:t>The respondents’ defence</w:t>
      </w:r>
      <w:r w:rsidR="00427036" w:rsidRPr="00901201">
        <w:rPr>
          <w:rFonts w:ascii="Times New Roman" w:hAnsi="Times New Roman"/>
          <w:b/>
          <w:color w:val="000000"/>
          <w:sz w:val="28"/>
          <w:szCs w:val="28"/>
          <w:u w:val="single"/>
        </w:rPr>
        <w:t>:</w:t>
      </w:r>
    </w:p>
    <w:p w14:paraId="3684532E" w14:textId="77777777" w:rsidR="00E00BA1" w:rsidRDefault="00E00BA1" w:rsidP="00D46D76">
      <w:pPr>
        <w:spacing w:line="360" w:lineRule="auto"/>
        <w:contextualSpacing/>
        <w:rPr>
          <w:rFonts w:ascii="Times New Roman" w:hAnsi="Times New Roman"/>
          <w:b/>
          <w:color w:val="000000"/>
          <w:sz w:val="28"/>
          <w:szCs w:val="28"/>
          <w:u w:val="single"/>
        </w:rPr>
      </w:pPr>
      <w:r>
        <w:rPr>
          <w:rFonts w:ascii="Times New Roman" w:hAnsi="Times New Roman"/>
          <w:b/>
          <w:color w:val="000000"/>
          <w:sz w:val="28"/>
          <w:szCs w:val="28"/>
          <w:u w:val="single"/>
        </w:rPr>
        <w:t>Preliminary issues:</w:t>
      </w:r>
    </w:p>
    <w:p w14:paraId="0D77E1F5" w14:textId="77777777" w:rsidR="005F0118" w:rsidRPr="00901201" w:rsidRDefault="005F0118" w:rsidP="00D46D76">
      <w:pPr>
        <w:spacing w:line="360" w:lineRule="auto"/>
        <w:contextualSpacing/>
        <w:rPr>
          <w:rFonts w:ascii="Times New Roman" w:hAnsi="Times New Roman"/>
          <w:b/>
          <w:color w:val="000000"/>
          <w:sz w:val="28"/>
          <w:szCs w:val="28"/>
          <w:u w:val="single"/>
        </w:rPr>
      </w:pPr>
    </w:p>
    <w:p w14:paraId="4B242A1A" w14:textId="77777777" w:rsidR="000E4BD7" w:rsidRPr="000E4BD7" w:rsidRDefault="00D20618"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The respondents relied</w:t>
      </w:r>
      <w:r w:rsidR="007E7FCA" w:rsidRPr="007E7FCA">
        <w:rPr>
          <w:rFonts w:ascii="Times New Roman" w:hAnsi="Times New Roman"/>
          <w:color w:val="000000"/>
          <w:sz w:val="28"/>
          <w:szCs w:val="28"/>
        </w:rPr>
        <w:t xml:space="preserve"> on several points </w:t>
      </w:r>
      <w:r w:rsidR="007E7FCA" w:rsidRPr="007E7FCA">
        <w:rPr>
          <w:rFonts w:ascii="Times New Roman" w:hAnsi="Times New Roman"/>
          <w:i/>
          <w:color w:val="000000"/>
          <w:sz w:val="28"/>
          <w:szCs w:val="28"/>
        </w:rPr>
        <w:t>in limine</w:t>
      </w:r>
      <w:r w:rsidR="007E7FCA" w:rsidRPr="007E7FCA">
        <w:rPr>
          <w:rFonts w:ascii="Times New Roman" w:hAnsi="Times New Roman"/>
          <w:color w:val="000000"/>
          <w:sz w:val="28"/>
          <w:szCs w:val="28"/>
        </w:rPr>
        <w:t xml:space="preserve"> in resisting the application for their eviction. </w:t>
      </w:r>
    </w:p>
    <w:p w14:paraId="457006D4" w14:textId="77777777" w:rsidR="000E4BD7" w:rsidRPr="000E4BD7" w:rsidRDefault="000E4BD7" w:rsidP="00D46D76">
      <w:pPr>
        <w:pStyle w:val="ListParagraph"/>
        <w:tabs>
          <w:tab w:val="left" w:pos="0"/>
        </w:tabs>
        <w:spacing w:after="0" w:line="360" w:lineRule="auto"/>
        <w:ind w:left="0"/>
        <w:rPr>
          <w:rFonts w:ascii="Times New Roman" w:hAnsi="Times New Roman"/>
          <w:b/>
          <w:sz w:val="28"/>
          <w:szCs w:val="28"/>
        </w:rPr>
      </w:pPr>
    </w:p>
    <w:p w14:paraId="75C2D59E" w14:textId="77777777" w:rsidR="00427036" w:rsidRPr="00427036"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 xml:space="preserve">The first point raises </w:t>
      </w:r>
      <w:r w:rsidR="000E4BD7">
        <w:rPr>
          <w:rFonts w:ascii="Times New Roman" w:hAnsi="Times New Roman"/>
          <w:color w:val="000000"/>
          <w:sz w:val="28"/>
          <w:szCs w:val="28"/>
        </w:rPr>
        <w:t xml:space="preserve">a procedural issue that the applicant did not comply with the peremptory provisions of section 4 </w:t>
      </w:r>
      <w:r w:rsidR="00F128D3">
        <w:rPr>
          <w:rFonts w:ascii="Times New Roman" w:hAnsi="Times New Roman"/>
          <w:color w:val="000000"/>
          <w:sz w:val="28"/>
          <w:szCs w:val="28"/>
        </w:rPr>
        <w:t xml:space="preserve">(2) </w:t>
      </w:r>
      <w:r w:rsidR="000E4BD7">
        <w:rPr>
          <w:rFonts w:ascii="Times New Roman" w:hAnsi="Times New Roman"/>
          <w:color w:val="000000"/>
          <w:sz w:val="28"/>
          <w:szCs w:val="28"/>
        </w:rPr>
        <w:t xml:space="preserve">of the PIE </w:t>
      </w:r>
      <w:r w:rsidR="00400973">
        <w:rPr>
          <w:rFonts w:ascii="Times New Roman" w:hAnsi="Times New Roman"/>
          <w:color w:val="000000"/>
          <w:sz w:val="28"/>
          <w:szCs w:val="28"/>
        </w:rPr>
        <w:t xml:space="preserve">Act </w:t>
      </w:r>
      <w:r w:rsidR="000E4BD7">
        <w:rPr>
          <w:rFonts w:ascii="Times New Roman" w:hAnsi="Times New Roman"/>
          <w:color w:val="000000"/>
          <w:sz w:val="28"/>
          <w:szCs w:val="28"/>
        </w:rPr>
        <w:t>regarding service of effective notice of</w:t>
      </w:r>
      <w:r w:rsidR="00B0035E">
        <w:rPr>
          <w:rFonts w:ascii="Times New Roman" w:hAnsi="Times New Roman"/>
          <w:color w:val="000000"/>
          <w:sz w:val="28"/>
          <w:szCs w:val="28"/>
        </w:rPr>
        <w:t xml:space="preserve"> the proceeding</w:t>
      </w:r>
      <w:r w:rsidR="00381B31">
        <w:rPr>
          <w:rFonts w:ascii="Times New Roman" w:hAnsi="Times New Roman"/>
          <w:color w:val="000000"/>
          <w:sz w:val="28"/>
          <w:szCs w:val="28"/>
        </w:rPr>
        <w:t>s</w:t>
      </w:r>
      <w:r w:rsidR="00B0035E">
        <w:rPr>
          <w:rFonts w:ascii="Times New Roman" w:hAnsi="Times New Roman"/>
          <w:color w:val="000000"/>
          <w:sz w:val="28"/>
          <w:szCs w:val="28"/>
        </w:rPr>
        <w:t>.  T</w:t>
      </w:r>
      <w:r w:rsidRPr="007E7FCA">
        <w:rPr>
          <w:rFonts w:ascii="Times New Roman" w:hAnsi="Times New Roman"/>
          <w:color w:val="000000"/>
          <w:sz w:val="28"/>
          <w:szCs w:val="28"/>
        </w:rPr>
        <w:t>hey claim</w:t>
      </w:r>
      <w:r w:rsidR="00B0035E">
        <w:rPr>
          <w:rFonts w:ascii="Times New Roman" w:hAnsi="Times New Roman"/>
          <w:color w:val="000000"/>
          <w:sz w:val="28"/>
          <w:szCs w:val="28"/>
        </w:rPr>
        <w:t xml:space="preserve"> that this</w:t>
      </w:r>
      <w:r w:rsidRPr="007E7FCA">
        <w:rPr>
          <w:rFonts w:ascii="Times New Roman" w:hAnsi="Times New Roman"/>
          <w:color w:val="000000"/>
          <w:sz w:val="28"/>
          <w:szCs w:val="28"/>
        </w:rPr>
        <w:t xml:space="preserve"> render</w:t>
      </w:r>
      <w:r w:rsidR="00B0035E">
        <w:rPr>
          <w:rFonts w:ascii="Times New Roman" w:hAnsi="Times New Roman"/>
          <w:color w:val="000000"/>
          <w:sz w:val="28"/>
          <w:szCs w:val="28"/>
        </w:rPr>
        <w:t>s</w:t>
      </w:r>
      <w:r w:rsidRPr="007E7FCA">
        <w:rPr>
          <w:rFonts w:ascii="Times New Roman" w:hAnsi="Times New Roman"/>
          <w:color w:val="000000"/>
          <w:sz w:val="28"/>
          <w:szCs w:val="28"/>
        </w:rPr>
        <w:t xml:space="preserve"> the application fatally defective.</w:t>
      </w:r>
      <w:r w:rsidR="00D20618">
        <w:rPr>
          <w:rFonts w:ascii="Times New Roman" w:hAnsi="Times New Roman"/>
          <w:color w:val="000000"/>
          <w:sz w:val="28"/>
          <w:szCs w:val="28"/>
        </w:rPr>
        <w:t xml:space="preserve">  I deal with this aspect further below.</w:t>
      </w:r>
      <w:r w:rsidRPr="007E7FCA">
        <w:rPr>
          <w:rFonts w:ascii="Times New Roman" w:hAnsi="Times New Roman"/>
          <w:color w:val="000000"/>
          <w:sz w:val="28"/>
          <w:szCs w:val="28"/>
        </w:rPr>
        <w:t xml:space="preserve">  </w:t>
      </w:r>
    </w:p>
    <w:p w14:paraId="4E8A1019" w14:textId="77777777" w:rsidR="00427036" w:rsidRPr="00427036" w:rsidRDefault="00427036" w:rsidP="00D46D76">
      <w:pPr>
        <w:pStyle w:val="ListParagraph"/>
        <w:tabs>
          <w:tab w:val="left" w:pos="0"/>
        </w:tabs>
        <w:spacing w:after="0" w:line="360" w:lineRule="auto"/>
        <w:ind w:left="0"/>
        <w:rPr>
          <w:rFonts w:ascii="Times New Roman" w:hAnsi="Times New Roman"/>
          <w:b/>
          <w:sz w:val="28"/>
          <w:szCs w:val="28"/>
        </w:rPr>
      </w:pPr>
    </w:p>
    <w:p w14:paraId="2198791C" w14:textId="77777777" w:rsidR="00222AEE" w:rsidRPr="00222AEE"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The second point is that the Congregation</w:t>
      </w:r>
      <w:r w:rsidR="00D76A85">
        <w:rPr>
          <w:rFonts w:ascii="Times New Roman" w:hAnsi="Times New Roman"/>
          <w:color w:val="000000"/>
          <w:sz w:val="28"/>
          <w:szCs w:val="28"/>
        </w:rPr>
        <w:t>,</w:t>
      </w:r>
      <w:r w:rsidR="00E00BA1">
        <w:rPr>
          <w:rFonts w:ascii="Times New Roman" w:hAnsi="Times New Roman"/>
          <w:color w:val="000000"/>
          <w:sz w:val="28"/>
          <w:szCs w:val="28"/>
        </w:rPr>
        <w:t xml:space="preserve"> </w:t>
      </w:r>
      <w:r w:rsidR="00B0035E">
        <w:rPr>
          <w:rFonts w:ascii="Times New Roman" w:hAnsi="Times New Roman"/>
          <w:color w:val="000000"/>
          <w:sz w:val="28"/>
          <w:szCs w:val="28"/>
        </w:rPr>
        <w:t>together with the respondents</w:t>
      </w:r>
      <w:r w:rsidR="00D76A85">
        <w:rPr>
          <w:rFonts w:ascii="Times New Roman" w:hAnsi="Times New Roman"/>
          <w:color w:val="000000"/>
          <w:sz w:val="28"/>
          <w:szCs w:val="28"/>
        </w:rPr>
        <w:t xml:space="preserve"> as</w:t>
      </w:r>
      <w:r w:rsidR="00427036">
        <w:rPr>
          <w:rFonts w:ascii="Times New Roman" w:hAnsi="Times New Roman"/>
          <w:color w:val="000000"/>
          <w:sz w:val="28"/>
          <w:szCs w:val="28"/>
        </w:rPr>
        <w:t xml:space="preserve"> member</w:t>
      </w:r>
      <w:r w:rsidR="00B0035E">
        <w:rPr>
          <w:rFonts w:ascii="Times New Roman" w:hAnsi="Times New Roman"/>
          <w:color w:val="000000"/>
          <w:sz w:val="28"/>
          <w:szCs w:val="28"/>
        </w:rPr>
        <w:t>s</w:t>
      </w:r>
      <w:r w:rsidRPr="007E7FCA">
        <w:rPr>
          <w:rFonts w:ascii="Times New Roman" w:hAnsi="Times New Roman"/>
          <w:color w:val="000000"/>
          <w:sz w:val="28"/>
          <w:szCs w:val="28"/>
        </w:rPr>
        <w:t xml:space="preserve"> a</w:t>
      </w:r>
      <w:r w:rsidR="00E00BA1">
        <w:rPr>
          <w:rFonts w:ascii="Times New Roman" w:hAnsi="Times New Roman"/>
          <w:color w:val="000000"/>
          <w:sz w:val="28"/>
          <w:szCs w:val="28"/>
        </w:rPr>
        <w:t>nd</w:t>
      </w:r>
      <w:r w:rsidRPr="007E7FCA">
        <w:rPr>
          <w:rFonts w:ascii="Times New Roman" w:hAnsi="Times New Roman"/>
          <w:color w:val="000000"/>
          <w:sz w:val="28"/>
          <w:szCs w:val="28"/>
        </w:rPr>
        <w:t xml:space="preserve"> constituent </w:t>
      </w:r>
      <w:r w:rsidR="00B0035E">
        <w:rPr>
          <w:rFonts w:ascii="Times New Roman" w:hAnsi="Times New Roman"/>
          <w:color w:val="000000"/>
          <w:sz w:val="28"/>
          <w:szCs w:val="28"/>
        </w:rPr>
        <w:t xml:space="preserve">respectively of the Council, are </w:t>
      </w:r>
      <w:r w:rsidR="00E00BA1">
        <w:rPr>
          <w:rFonts w:ascii="Times New Roman" w:hAnsi="Times New Roman"/>
          <w:color w:val="000000"/>
          <w:sz w:val="28"/>
          <w:szCs w:val="28"/>
        </w:rPr>
        <w:t xml:space="preserve">obliged by </w:t>
      </w:r>
      <w:r w:rsidR="00B0035E">
        <w:rPr>
          <w:rFonts w:ascii="Times New Roman" w:hAnsi="Times New Roman"/>
          <w:color w:val="000000"/>
          <w:sz w:val="28"/>
          <w:szCs w:val="28"/>
        </w:rPr>
        <w:t>its</w:t>
      </w:r>
      <w:r w:rsidRPr="007E7FCA">
        <w:rPr>
          <w:rFonts w:ascii="Times New Roman" w:hAnsi="Times New Roman"/>
          <w:color w:val="000000"/>
          <w:sz w:val="28"/>
          <w:szCs w:val="28"/>
        </w:rPr>
        <w:t xml:space="preserve"> Articles of Association</w:t>
      </w:r>
      <w:r w:rsidR="00E00BA1">
        <w:rPr>
          <w:rFonts w:ascii="Times New Roman" w:hAnsi="Times New Roman"/>
          <w:color w:val="000000"/>
          <w:sz w:val="28"/>
          <w:szCs w:val="28"/>
        </w:rPr>
        <w:t>,</w:t>
      </w:r>
      <w:r w:rsidRPr="007E7FCA">
        <w:rPr>
          <w:rFonts w:ascii="Times New Roman" w:hAnsi="Times New Roman"/>
          <w:color w:val="000000"/>
          <w:sz w:val="28"/>
          <w:szCs w:val="28"/>
        </w:rPr>
        <w:t xml:space="preserve"> to accept and subject </w:t>
      </w:r>
      <w:r w:rsidR="00381B31">
        <w:rPr>
          <w:rFonts w:ascii="Times New Roman" w:hAnsi="Times New Roman"/>
          <w:color w:val="000000"/>
          <w:sz w:val="28"/>
          <w:szCs w:val="28"/>
        </w:rPr>
        <w:t xml:space="preserve">themselves </w:t>
      </w:r>
      <w:r w:rsidRPr="007E7FCA">
        <w:rPr>
          <w:rFonts w:ascii="Times New Roman" w:hAnsi="Times New Roman"/>
          <w:color w:val="000000"/>
          <w:sz w:val="28"/>
          <w:szCs w:val="28"/>
        </w:rPr>
        <w:t>to the authority of the Chief Rabbi and the Beth-Din with regard to all matters falling under the Halachic authority of the Chief Rabbi and in the manner directed by the Council’s Articles of Association. This</w:t>
      </w:r>
      <w:r w:rsidR="00222AEE">
        <w:rPr>
          <w:rFonts w:ascii="Times New Roman" w:hAnsi="Times New Roman"/>
          <w:color w:val="000000"/>
          <w:sz w:val="28"/>
          <w:szCs w:val="28"/>
        </w:rPr>
        <w:t xml:space="preserve">, </w:t>
      </w:r>
      <w:r w:rsidR="00427036">
        <w:rPr>
          <w:rFonts w:ascii="Times New Roman" w:hAnsi="Times New Roman"/>
          <w:color w:val="000000"/>
          <w:sz w:val="28"/>
          <w:szCs w:val="28"/>
        </w:rPr>
        <w:t>with reference to clause 10 of the Arti</w:t>
      </w:r>
      <w:r w:rsidR="00222AEE">
        <w:rPr>
          <w:rFonts w:ascii="Times New Roman" w:hAnsi="Times New Roman"/>
          <w:color w:val="000000"/>
          <w:sz w:val="28"/>
          <w:szCs w:val="28"/>
        </w:rPr>
        <w:t>cles of Association cited above,</w:t>
      </w:r>
      <w:r w:rsidR="00427036">
        <w:rPr>
          <w:rFonts w:ascii="Times New Roman" w:hAnsi="Times New Roman"/>
          <w:color w:val="000000"/>
          <w:sz w:val="28"/>
          <w:szCs w:val="28"/>
        </w:rPr>
        <w:t xml:space="preserve"> </w:t>
      </w:r>
      <w:r w:rsidR="00B0035E">
        <w:rPr>
          <w:rFonts w:ascii="Times New Roman" w:hAnsi="Times New Roman"/>
          <w:color w:val="000000"/>
          <w:sz w:val="28"/>
          <w:szCs w:val="28"/>
        </w:rPr>
        <w:t>entails the submission of all disputes between the applicant and the first respondent</w:t>
      </w:r>
      <w:r w:rsidR="00512E5A">
        <w:rPr>
          <w:rFonts w:ascii="Times New Roman" w:hAnsi="Times New Roman"/>
          <w:color w:val="000000"/>
          <w:sz w:val="28"/>
          <w:szCs w:val="28"/>
        </w:rPr>
        <w:t xml:space="preserve"> </w:t>
      </w:r>
      <w:r w:rsidR="00B0035E">
        <w:rPr>
          <w:rFonts w:ascii="Times New Roman" w:hAnsi="Times New Roman"/>
          <w:color w:val="000000"/>
          <w:sz w:val="28"/>
          <w:szCs w:val="28"/>
        </w:rPr>
        <w:t>(as an official</w:t>
      </w:r>
      <w:r w:rsidR="00E326D7">
        <w:rPr>
          <w:rFonts w:ascii="Times New Roman" w:hAnsi="Times New Roman"/>
          <w:color w:val="000000"/>
          <w:sz w:val="28"/>
          <w:szCs w:val="28"/>
        </w:rPr>
        <w:t xml:space="preserve"> in its employ</w:t>
      </w:r>
      <w:r w:rsidR="00400973">
        <w:rPr>
          <w:rFonts w:ascii="Times New Roman" w:hAnsi="Times New Roman"/>
          <w:color w:val="000000"/>
          <w:sz w:val="28"/>
          <w:szCs w:val="28"/>
        </w:rPr>
        <w:t>)</w:t>
      </w:r>
      <w:r w:rsidR="00E326D7">
        <w:rPr>
          <w:rFonts w:ascii="Times New Roman" w:hAnsi="Times New Roman"/>
          <w:color w:val="000000"/>
          <w:sz w:val="28"/>
          <w:szCs w:val="28"/>
        </w:rPr>
        <w:t xml:space="preserve"> to the Beth-Din.</w:t>
      </w:r>
    </w:p>
    <w:p w14:paraId="716ADB78" w14:textId="77777777" w:rsidR="00222AEE" w:rsidRPr="00222AEE" w:rsidRDefault="00222AEE" w:rsidP="00D46D76">
      <w:pPr>
        <w:pStyle w:val="ListParagraph"/>
        <w:spacing w:after="0" w:line="360" w:lineRule="auto"/>
        <w:rPr>
          <w:rFonts w:ascii="Times New Roman" w:hAnsi="Times New Roman"/>
          <w:color w:val="000000"/>
          <w:sz w:val="28"/>
          <w:szCs w:val="28"/>
        </w:rPr>
      </w:pPr>
    </w:p>
    <w:p w14:paraId="2B72828E" w14:textId="77777777" w:rsidR="00E326D7" w:rsidRPr="00382F90" w:rsidRDefault="00222AEE"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The first respondent </w:t>
      </w:r>
      <w:r w:rsidR="007E7FCA" w:rsidRPr="007E7FCA">
        <w:rPr>
          <w:rFonts w:ascii="Times New Roman" w:hAnsi="Times New Roman"/>
          <w:color w:val="000000"/>
          <w:sz w:val="28"/>
          <w:szCs w:val="28"/>
        </w:rPr>
        <w:t>point</w:t>
      </w:r>
      <w:r>
        <w:rPr>
          <w:rFonts w:ascii="Times New Roman" w:hAnsi="Times New Roman"/>
          <w:color w:val="000000"/>
          <w:sz w:val="28"/>
          <w:szCs w:val="28"/>
        </w:rPr>
        <w:t>s out</w:t>
      </w:r>
      <w:r w:rsidR="007E7FCA" w:rsidRPr="007E7FCA">
        <w:rPr>
          <w:rFonts w:ascii="Times New Roman" w:hAnsi="Times New Roman"/>
          <w:color w:val="000000"/>
          <w:sz w:val="28"/>
          <w:szCs w:val="28"/>
        </w:rPr>
        <w:t xml:space="preserve"> that the Congregation</w:t>
      </w:r>
      <w:r w:rsidR="00427036">
        <w:rPr>
          <w:rFonts w:ascii="Times New Roman" w:hAnsi="Times New Roman"/>
          <w:color w:val="000000"/>
          <w:sz w:val="28"/>
          <w:szCs w:val="28"/>
        </w:rPr>
        <w:t>’s own Constitution</w:t>
      </w:r>
      <w:r>
        <w:rPr>
          <w:rFonts w:ascii="Times New Roman" w:hAnsi="Times New Roman"/>
          <w:color w:val="000000"/>
          <w:sz w:val="28"/>
          <w:szCs w:val="28"/>
        </w:rPr>
        <w:t>,</w:t>
      </w:r>
      <w:r w:rsidR="00427036">
        <w:rPr>
          <w:rFonts w:ascii="Times New Roman" w:hAnsi="Times New Roman"/>
          <w:color w:val="000000"/>
          <w:sz w:val="28"/>
          <w:szCs w:val="28"/>
        </w:rPr>
        <w:t xml:space="preserve"> which clearly defines the powers of the trustees of the </w:t>
      </w:r>
      <w:r w:rsidR="00901201">
        <w:rPr>
          <w:rFonts w:ascii="Times New Roman" w:hAnsi="Times New Roman"/>
          <w:color w:val="000000"/>
          <w:sz w:val="28"/>
          <w:szCs w:val="28"/>
        </w:rPr>
        <w:t>Congregation</w:t>
      </w:r>
      <w:r>
        <w:rPr>
          <w:rFonts w:ascii="Times New Roman" w:hAnsi="Times New Roman"/>
          <w:color w:val="000000"/>
          <w:sz w:val="28"/>
          <w:szCs w:val="28"/>
        </w:rPr>
        <w:t>,</w:t>
      </w:r>
      <w:r w:rsidR="00427036">
        <w:rPr>
          <w:rFonts w:ascii="Times New Roman" w:hAnsi="Times New Roman"/>
          <w:color w:val="000000"/>
          <w:sz w:val="28"/>
          <w:szCs w:val="28"/>
        </w:rPr>
        <w:t xml:space="preserve"> does not afford it the power or authority to bring the present </w:t>
      </w:r>
      <w:r>
        <w:rPr>
          <w:rFonts w:ascii="Times New Roman" w:hAnsi="Times New Roman"/>
          <w:color w:val="000000"/>
          <w:sz w:val="28"/>
          <w:szCs w:val="28"/>
        </w:rPr>
        <w:t>p</w:t>
      </w:r>
      <w:r w:rsidR="00427036">
        <w:rPr>
          <w:rFonts w:ascii="Times New Roman" w:hAnsi="Times New Roman"/>
          <w:color w:val="000000"/>
          <w:sz w:val="28"/>
          <w:szCs w:val="28"/>
        </w:rPr>
        <w:t>roceedings.  This is “understandable”, so the applicant asserts, as the Council’s Articles of Association make it plain that exclusive jurisdiction lies with the Beth-Din in regard to “disputes of this nature”</w:t>
      </w:r>
      <w:r w:rsidR="00882AEA">
        <w:rPr>
          <w:rFonts w:ascii="Times New Roman" w:hAnsi="Times New Roman"/>
          <w:color w:val="000000"/>
          <w:sz w:val="28"/>
          <w:szCs w:val="28"/>
        </w:rPr>
        <w:t>.</w:t>
      </w:r>
      <w:r w:rsidR="00400973">
        <w:rPr>
          <w:rStyle w:val="FootnoteReference"/>
          <w:rFonts w:ascii="Times New Roman" w:hAnsi="Times New Roman"/>
          <w:color w:val="000000"/>
          <w:sz w:val="28"/>
          <w:szCs w:val="28"/>
        </w:rPr>
        <w:footnoteReference w:id="10"/>
      </w:r>
      <w:r w:rsidR="00882AEA">
        <w:rPr>
          <w:rFonts w:ascii="Times New Roman" w:hAnsi="Times New Roman"/>
          <w:color w:val="000000"/>
          <w:sz w:val="28"/>
          <w:szCs w:val="28"/>
        </w:rPr>
        <w:t xml:space="preserve">  </w:t>
      </w:r>
    </w:p>
    <w:p w14:paraId="63075415" w14:textId="77777777" w:rsidR="00382F90" w:rsidRPr="00382F90" w:rsidRDefault="00382F90" w:rsidP="00D46D76">
      <w:pPr>
        <w:pStyle w:val="ListParagraph"/>
        <w:tabs>
          <w:tab w:val="left" w:pos="0"/>
        </w:tabs>
        <w:spacing w:after="0" w:line="360" w:lineRule="auto"/>
        <w:ind w:left="0"/>
        <w:rPr>
          <w:rFonts w:ascii="Times New Roman" w:hAnsi="Times New Roman"/>
          <w:b/>
          <w:sz w:val="28"/>
          <w:szCs w:val="28"/>
        </w:rPr>
      </w:pPr>
    </w:p>
    <w:p w14:paraId="2B3182F2" w14:textId="77777777" w:rsidR="007B580C" w:rsidRPr="007B580C"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The third point is that the application is fatally defective for want of any mention</w:t>
      </w:r>
      <w:r w:rsidR="00EC269F">
        <w:rPr>
          <w:rFonts w:ascii="Times New Roman" w:hAnsi="Times New Roman"/>
          <w:color w:val="000000"/>
          <w:sz w:val="28"/>
          <w:szCs w:val="28"/>
        </w:rPr>
        <w:t xml:space="preserve"> at all of the relevant provisions</w:t>
      </w:r>
      <w:r w:rsidRPr="007E7FCA">
        <w:rPr>
          <w:rFonts w:ascii="Times New Roman" w:hAnsi="Times New Roman"/>
          <w:color w:val="000000"/>
          <w:sz w:val="28"/>
          <w:szCs w:val="28"/>
        </w:rPr>
        <w:t xml:space="preserve"> of the Disaster Management Regulations </w:t>
      </w:r>
      <w:r w:rsidR="00F128D3">
        <w:rPr>
          <w:rFonts w:ascii="Times New Roman" w:hAnsi="Times New Roman"/>
          <w:color w:val="000000"/>
          <w:sz w:val="28"/>
          <w:szCs w:val="28"/>
        </w:rPr>
        <w:t xml:space="preserve">promulgated under the Disaster Management Act </w:t>
      </w:r>
      <w:r w:rsidRPr="007E7FCA">
        <w:rPr>
          <w:rFonts w:ascii="Times New Roman" w:hAnsi="Times New Roman"/>
          <w:color w:val="000000"/>
          <w:sz w:val="28"/>
          <w:szCs w:val="28"/>
        </w:rPr>
        <w:t>applicable at the time of the launch of the application and their peculiar application to the circumstances of the matter.</w:t>
      </w:r>
      <w:r w:rsidR="00DE30A3">
        <w:rPr>
          <w:rFonts w:ascii="Times New Roman" w:hAnsi="Times New Roman"/>
          <w:color w:val="000000"/>
          <w:sz w:val="28"/>
          <w:szCs w:val="28"/>
        </w:rPr>
        <w:t xml:space="preserve"> </w:t>
      </w:r>
    </w:p>
    <w:p w14:paraId="2579452C" w14:textId="77777777" w:rsidR="007B580C" w:rsidRPr="007B580C" w:rsidRDefault="007B580C" w:rsidP="00D46D76">
      <w:pPr>
        <w:pStyle w:val="ListParagraph"/>
        <w:spacing w:after="0" w:line="360" w:lineRule="auto"/>
        <w:rPr>
          <w:rFonts w:ascii="Times New Roman" w:hAnsi="Times New Roman"/>
          <w:color w:val="000000"/>
          <w:sz w:val="28"/>
          <w:szCs w:val="28"/>
        </w:rPr>
      </w:pPr>
    </w:p>
    <w:p w14:paraId="385F78DC" w14:textId="77777777" w:rsidR="007B580C" w:rsidRPr="007B580C" w:rsidRDefault="00DE30A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The fourth point is</w:t>
      </w:r>
      <w:r w:rsidR="007E7FCA" w:rsidRPr="007E7FCA">
        <w:rPr>
          <w:rFonts w:ascii="Times New Roman" w:hAnsi="Times New Roman"/>
          <w:color w:val="000000"/>
          <w:sz w:val="28"/>
          <w:szCs w:val="28"/>
        </w:rPr>
        <w:t xml:space="preserve"> </w:t>
      </w:r>
      <w:r>
        <w:rPr>
          <w:rFonts w:ascii="Times New Roman" w:hAnsi="Times New Roman"/>
          <w:color w:val="000000"/>
          <w:sz w:val="28"/>
          <w:szCs w:val="28"/>
        </w:rPr>
        <w:t>that there is an arbitral process that was set in motion</w:t>
      </w:r>
      <w:r w:rsidR="007B580C">
        <w:rPr>
          <w:rFonts w:ascii="Times New Roman" w:hAnsi="Times New Roman"/>
          <w:color w:val="000000"/>
          <w:sz w:val="28"/>
          <w:szCs w:val="28"/>
        </w:rPr>
        <w:t xml:space="preserve"> pursuant to which the first respondent is</w:t>
      </w:r>
      <w:r w:rsidR="00D76A85">
        <w:rPr>
          <w:rFonts w:ascii="Times New Roman" w:hAnsi="Times New Roman"/>
          <w:color w:val="000000"/>
          <w:sz w:val="28"/>
          <w:szCs w:val="28"/>
        </w:rPr>
        <w:t xml:space="preserve"> already</w:t>
      </w:r>
      <w:r w:rsidR="007B580C">
        <w:rPr>
          <w:rFonts w:ascii="Times New Roman" w:hAnsi="Times New Roman"/>
          <w:color w:val="000000"/>
          <w:sz w:val="28"/>
          <w:szCs w:val="28"/>
        </w:rPr>
        <w:t xml:space="preserve"> challenging his dismissal</w:t>
      </w:r>
      <w:r w:rsidR="00E326D7">
        <w:rPr>
          <w:rFonts w:ascii="Times New Roman" w:hAnsi="Times New Roman"/>
          <w:color w:val="000000"/>
          <w:sz w:val="28"/>
          <w:szCs w:val="28"/>
        </w:rPr>
        <w:t xml:space="preserve"> by the applicant</w:t>
      </w:r>
      <w:r w:rsidR="007B580C">
        <w:rPr>
          <w:rFonts w:ascii="Times New Roman" w:hAnsi="Times New Roman"/>
          <w:color w:val="000000"/>
          <w:sz w:val="28"/>
          <w:szCs w:val="28"/>
        </w:rPr>
        <w:t xml:space="preserve"> before </w:t>
      </w:r>
      <w:r w:rsidR="007E7FCA" w:rsidRPr="007E7FCA">
        <w:rPr>
          <w:rFonts w:ascii="Times New Roman" w:hAnsi="Times New Roman"/>
          <w:color w:val="000000"/>
          <w:sz w:val="28"/>
          <w:szCs w:val="28"/>
        </w:rPr>
        <w:t>the Beth-Din (which has now spilled over into the secular court along its trajectory as I will shortly explain) and which dispute is still pending as it were</w:t>
      </w:r>
      <w:r w:rsidR="00222AEE">
        <w:rPr>
          <w:rFonts w:ascii="Times New Roman" w:hAnsi="Times New Roman"/>
          <w:color w:val="000000"/>
          <w:sz w:val="28"/>
          <w:szCs w:val="28"/>
        </w:rPr>
        <w:t>,</w:t>
      </w:r>
      <w:r w:rsidR="007B580C">
        <w:rPr>
          <w:rFonts w:ascii="Times New Roman" w:hAnsi="Times New Roman"/>
          <w:color w:val="000000"/>
          <w:sz w:val="28"/>
          <w:szCs w:val="28"/>
        </w:rPr>
        <w:t xml:space="preserve"> thus precluding a finding that his and the second respondent’s occupation of the premises</w:t>
      </w:r>
      <w:r w:rsidR="00222AEE">
        <w:rPr>
          <w:rFonts w:ascii="Times New Roman" w:hAnsi="Times New Roman"/>
          <w:color w:val="000000"/>
          <w:sz w:val="28"/>
          <w:szCs w:val="28"/>
        </w:rPr>
        <w:t xml:space="preserve">, subsidiary to the employment </w:t>
      </w:r>
      <w:r w:rsidR="00D76A85">
        <w:rPr>
          <w:rFonts w:ascii="Times New Roman" w:hAnsi="Times New Roman"/>
          <w:color w:val="000000"/>
          <w:sz w:val="28"/>
          <w:szCs w:val="28"/>
        </w:rPr>
        <w:t>agreement</w:t>
      </w:r>
      <w:r w:rsidR="00222AEE">
        <w:rPr>
          <w:rFonts w:ascii="Times New Roman" w:hAnsi="Times New Roman"/>
          <w:color w:val="000000"/>
          <w:sz w:val="28"/>
          <w:szCs w:val="28"/>
        </w:rPr>
        <w:t>,</w:t>
      </w:r>
      <w:r w:rsidR="007B580C">
        <w:rPr>
          <w:rFonts w:ascii="Times New Roman" w:hAnsi="Times New Roman"/>
          <w:color w:val="000000"/>
          <w:sz w:val="28"/>
          <w:szCs w:val="28"/>
        </w:rPr>
        <w:t xml:space="preserve"> is unlawful.    </w:t>
      </w:r>
    </w:p>
    <w:p w14:paraId="41AC5B86" w14:textId="77777777" w:rsidR="007B580C" w:rsidRPr="007B580C" w:rsidRDefault="007B580C" w:rsidP="00D46D76">
      <w:pPr>
        <w:pStyle w:val="ListParagraph"/>
        <w:spacing w:after="0" w:line="360" w:lineRule="auto"/>
        <w:rPr>
          <w:rFonts w:ascii="Times New Roman" w:hAnsi="Times New Roman"/>
          <w:color w:val="000000"/>
          <w:sz w:val="28"/>
          <w:szCs w:val="28"/>
        </w:rPr>
      </w:pPr>
    </w:p>
    <w:p w14:paraId="0C400816" w14:textId="77777777" w:rsidR="00274504" w:rsidRPr="00222AEE"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7E7FCA">
        <w:rPr>
          <w:rFonts w:ascii="Times New Roman" w:hAnsi="Times New Roman"/>
          <w:color w:val="000000"/>
          <w:sz w:val="28"/>
          <w:szCs w:val="28"/>
        </w:rPr>
        <w:t xml:space="preserve">Also contended under the mantle of the </w:t>
      </w:r>
      <w:r w:rsidR="00DE30A3">
        <w:rPr>
          <w:rFonts w:ascii="Times New Roman" w:hAnsi="Times New Roman"/>
          <w:color w:val="000000"/>
          <w:sz w:val="28"/>
          <w:szCs w:val="28"/>
        </w:rPr>
        <w:t>“</w:t>
      </w:r>
      <w:r w:rsidRPr="007E7FCA">
        <w:rPr>
          <w:rFonts w:ascii="Times New Roman" w:hAnsi="Times New Roman"/>
          <w:color w:val="000000"/>
          <w:sz w:val="28"/>
          <w:szCs w:val="28"/>
        </w:rPr>
        <w:t>4</w:t>
      </w:r>
      <w:r w:rsidRPr="007E7FCA">
        <w:rPr>
          <w:rFonts w:ascii="Times New Roman" w:hAnsi="Times New Roman"/>
          <w:color w:val="000000"/>
          <w:sz w:val="28"/>
          <w:szCs w:val="28"/>
          <w:vertAlign w:val="superscript"/>
        </w:rPr>
        <w:t>th</w:t>
      </w:r>
      <w:r w:rsidRPr="007E7FCA">
        <w:rPr>
          <w:rFonts w:ascii="Times New Roman" w:hAnsi="Times New Roman"/>
          <w:color w:val="000000"/>
          <w:sz w:val="28"/>
          <w:szCs w:val="28"/>
        </w:rPr>
        <w:t xml:space="preserve"> point </w:t>
      </w:r>
      <w:r w:rsidRPr="007E7FCA">
        <w:rPr>
          <w:rFonts w:ascii="Times New Roman" w:hAnsi="Times New Roman"/>
          <w:i/>
          <w:color w:val="000000"/>
          <w:sz w:val="28"/>
          <w:szCs w:val="28"/>
        </w:rPr>
        <w:t>in limine</w:t>
      </w:r>
      <w:r w:rsidR="00DE30A3">
        <w:rPr>
          <w:rFonts w:ascii="Times New Roman" w:hAnsi="Times New Roman"/>
          <w:i/>
          <w:color w:val="000000"/>
          <w:sz w:val="28"/>
          <w:szCs w:val="28"/>
        </w:rPr>
        <w:t>”</w:t>
      </w:r>
      <w:r w:rsidRPr="007E7FCA">
        <w:rPr>
          <w:rFonts w:ascii="Times New Roman" w:hAnsi="Times New Roman"/>
          <w:i/>
          <w:color w:val="000000"/>
          <w:sz w:val="28"/>
          <w:szCs w:val="28"/>
        </w:rPr>
        <w:t xml:space="preserve"> </w:t>
      </w:r>
      <w:r w:rsidR="007B580C">
        <w:rPr>
          <w:rFonts w:ascii="Times New Roman" w:hAnsi="Times New Roman"/>
          <w:color w:val="000000"/>
          <w:sz w:val="28"/>
          <w:szCs w:val="28"/>
        </w:rPr>
        <w:t xml:space="preserve">(possibly a fifth point) </w:t>
      </w:r>
      <w:r w:rsidRPr="007E7FCA">
        <w:rPr>
          <w:rFonts w:ascii="Times New Roman" w:hAnsi="Times New Roman"/>
          <w:color w:val="000000"/>
          <w:sz w:val="28"/>
          <w:szCs w:val="28"/>
        </w:rPr>
        <w:t>is that the applicant has not satisfied the requirements set forth in section 4 (7) of the PIE Act which it ought to have dealt with since the institution of the present application occurred more than six months after the respondents’ alleged “unlawful occupation” of the property.</w:t>
      </w:r>
      <w:r w:rsidR="00DE30A3">
        <w:rPr>
          <w:rStyle w:val="FootnoteReference"/>
          <w:rFonts w:ascii="Times New Roman" w:hAnsi="Times New Roman"/>
          <w:color w:val="000000"/>
          <w:sz w:val="28"/>
          <w:szCs w:val="28"/>
        </w:rPr>
        <w:footnoteReference w:id="11"/>
      </w:r>
    </w:p>
    <w:p w14:paraId="0F82F6C2" w14:textId="77777777" w:rsidR="00D344DB" w:rsidRDefault="00D344DB" w:rsidP="00D46D76">
      <w:pPr>
        <w:pStyle w:val="ListParagraph"/>
        <w:spacing w:after="0" w:line="360" w:lineRule="auto"/>
        <w:rPr>
          <w:rFonts w:ascii="Times New Roman" w:hAnsi="Times New Roman"/>
          <w:b/>
          <w:sz w:val="28"/>
          <w:szCs w:val="28"/>
        </w:rPr>
      </w:pPr>
    </w:p>
    <w:p w14:paraId="2E411DE2" w14:textId="77777777" w:rsidR="00222AEE" w:rsidRPr="00222AEE" w:rsidRDefault="00222AEE" w:rsidP="00D46D76">
      <w:pPr>
        <w:pStyle w:val="ListParagraph"/>
        <w:tabs>
          <w:tab w:val="left" w:pos="0"/>
        </w:tabs>
        <w:spacing w:after="0" w:line="360" w:lineRule="auto"/>
        <w:ind w:left="0"/>
        <w:rPr>
          <w:rFonts w:ascii="Times New Roman" w:hAnsi="Times New Roman"/>
          <w:b/>
          <w:sz w:val="28"/>
          <w:szCs w:val="28"/>
          <w:u w:val="single"/>
        </w:rPr>
      </w:pPr>
      <w:r>
        <w:rPr>
          <w:rFonts w:ascii="Times New Roman" w:hAnsi="Times New Roman"/>
          <w:b/>
          <w:sz w:val="28"/>
          <w:szCs w:val="28"/>
          <w:u w:val="single"/>
        </w:rPr>
        <w:t>The substantive issue:</w:t>
      </w:r>
    </w:p>
    <w:p w14:paraId="132443CA" w14:textId="77777777" w:rsidR="00D344DB" w:rsidRPr="00D344DB" w:rsidRDefault="00D344DB" w:rsidP="00D46D76">
      <w:pPr>
        <w:pStyle w:val="ListParagraph"/>
        <w:tabs>
          <w:tab w:val="left" w:pos="0"/>
        </w:tabs>
        <w:spacing w:after="0" w:line="360" w:lineRule="auto"/>
        <w:ind w:left="0"/>
        <w:rPr>
          <w:rFonts w:ascii="Times New Roman" w:hAnsi="Times New Roman"/>
          <w:b/>
          <w:sz w:val="28"/>
          <w:szCs w:val="28"/>
        </w:rPr>
      </w:pPr>
    </w:p>
    <w:p w14:paraId="71496A4E" w14:textId="77777777" w:rsidR="00F128D3" w:rsidRPr="00F128D3"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dispute in respect of the substantive issue revolves around what Mr. Smuts (who together with Mr. Miller</w:t>
      </w:r>
      <w:r w:rsidR="005176AB">
        <w:rPr>
          <w:rFonts w:ascii="Times New Roman" w:hAnsi="Times New Roman"/>
          <w:color w:val="000000"/>
          <w:sz w:val="28"/>
          <w:szCs w:val="28"/>
        </w:rPr>
        <w:t xml:space="preserve"> appeared</w:t>
      </w:r>
      <w:r w:rsidRPr="00274504">
        <w:rPr>
          <w:rFonts w:ascii="Times New Roman" w:hAnsi="Times New Roman"/>
          <w:color w:val="000000"/>
          <w:sz w:val="28"/>
          <w:szCs w:val="28"/>
        </w:rPr>
        <w:t xml:space="preserve"> on behalf of the first and second </w:t>
      </w:r>
    </w:p>
    <w:p w14:paraId="28802EF2" w14:textId="77777777" w:rsidR="00F128D3" w:rsidRDefault="00F128D3" w:rsidP="00F128D3">
      <w:pPr>
        <w:pStyle w:val="ListParagraph"/>
        <w:tabs>
          <w:tab w:val="left" w:pos="0"/>
        </w:tabs>
        <w:spacing w:after="0" w:line="360" w:lineRule="auto"/>
        <w:ind w:left="0"/>
        <w:rPr>
          <w:rFonts w:ascii="Times New Roman" w:hAnsi="Times New Roman"/>
          <w:color w:val="000000"/>
          <w:sz w:val="28"/>
          <w:szCs w:val="28"/>
        </w:rPr>
      </w:pPr>
    </w:p>
    <w:p w14:paraId="5895B016" w14:textId="77777777" w:rsidR="00274504" w:rsidRPr="00274504" w:rsidRDefault="007E7FCA" w:rsidP="00F128D3">
      <w:pPr>
        <w:pStyle w:val="ListParagraph"/>
        <w:tabs>
          <w:tab w:val="left" w:pos="0"/>
        </w:tabs>
        <w:spacing w:after="0" w:line="360" w:lineRule="auto"/>
        <w:ind w:left="0"/>
        <w:rPr>
          <w:rFonts w:ascii="Times New Roman" w:hAnsi="Times New Roman"/>
          <w:b/>
          <w:sz w:val="28"/>
          <w:szCs w:val="28"/>
        </w:rPr>
      </w:pPr>
      <w:r w:rsidRPr="00274504">
        <w:rPr>
          <w:rFonts w:ascii="Times New Roman" w:hAnsi="Times New Roman"/>
          <w:color w:val="000000"/>
          <w:sz w:val="28"/>
          <w:szCs w:val="28"/>
        </w:rPr>
        <w:t xml:space="preserve">respondents) refers to as the </w:t>
      </w:r>
      <w:r w:rsidR="00222AEE">
        <w:rPr>
          <w:rFonts w:ascii="Times New Roman" w:hAnsi="Times New Roman"/>
          <w:color w:val="000000"/>
          <w:sz w:val="28"/>
          <w:szCs w:val="28"/>
        </w:rPr>
        <w:t>“</w:t>
      </w:r>
      <w:r w:rsidRPr="00274504">
        <w:rPr>
          <w:rFonts w:ascii="Times New Roman" w:hAnsi="Times New Roman"/>
          <w:color w:val="000000"/>
          <w:sz w:val="28"/>
          <w:szCs w:val="28"/>
        </w:rPr>
        <w:t>purported</w:t>
      </w:r>
      <w:r w:rsidR="00222AEE">
        <w:rPr>
          <w:rFonts w:ascii="Times New Roman" w:hAnsi="Times New Roman"/>
          <w:color w:val="000000"/>
          <w:sz w:val="28"/>
          <w:szCs w:val="28"/>
        </w:rPr>
        <w:t>”</w:t>
      </w:r>
      <w:r w:rsidRPr="00274504">
        <w:rPr>
          <w:rFonts w:ascii="Times New Roman" w:hAnsi="Times New Roman"/>
          <w:color w:val="000000"/>
          <w:sz w:val="28"/>
          <w:szCs w:val="28"/>
        </w:rPr>
        <w:t xml:space="preserve"> termination of the first respondent's services</w:t>
      </w:r>
      <w:r w:rsidR="00722E84">
        <w:rPr>
          <w:rFonts w:ascii="Times New Roman" w:hAnsi="Times New Roman"/>
          <w:color w:val="000000"/>
          <w:sz w:val="28"/>
          <w:szCs w:val="28"/>
        </w:rPr>
        <w:t>.  T</w:t>
      </w:r>
      <w:r w:rsidRPr="00274504">
        <w:rPr>
          <w:rFonts w:ascii="Times New Roman" w:hAnsi="Times New Roman"/>
          <w:color w:val="000000"/>
          <w:sz w:val="28"/>
          <w:szCs w:val="28"/>
        </w:rPr>
        <w:t xml:space="preserve">he first respondent admits that he was </w:t>
      </w:r>
      <w:r w:rsidR="00C8595C" w:rsidRPr="00274504">
        <w:rPr>
          <w:rFonts w:ascii="Times New Roman" w:hAnsi="Times New Roman"/>
          <w:color w:val="000000"/>
          <w:sz w:val="28"/>
          <w:szCs w:val="28"/>
        </w:rPr>
        <w:t>dismissed</w:t>
      </w:r>
      <w:r w:rsidR="00C8595C">
        <w:rPr>
          <w:rFonts w:ascii="Times New Roman" w:hAnsi="Times New Roman"/>
          <w:color w:val="000000"/>
          <w:sz w:val="28"/>
          <w:szCs w:val="28"/>
        </w:rPr>
        <w:t xml:space="preserve"> but</w:t>
      </w:r>
      <w:r w:rsidR="00722E84">
        <w:rPr>
          <w:rFonts w:ascii="Times New Roman" w:hAnsi="Times New Roman"/>
          <w:color w:val="000000"/>
          <w:sz w:val="28"/>
          <w:szCs w:val="28"/>
        </w:rPr>
        <w:t xml:space="preserve"> asserts</w:t>
      </w:r>
      <w:r w:rsidRPr="00274504">
        <w:rPr>
          <w:rFonts w:ascii="Times New Roman" w:hAnsi="Times New Roman"/>
          <w:color w:val="000000"/>
          <w:sz w:val="28"/>
          <w:szCs w:val="28"/>
        </w:rPr>
        <w:t xml:space="preserve"> that </w:t>
      </w:r>
      <w:r w:rsidR="00222AEE">
        <w:rPr>
          <w:rFonts w:ascii="Times New Roman" w:hAnsi="Times New Roman"/>
          <w:color w:val="000000"/>
          <w:sz w:val="28"/>
          <w:szCs w:val="28"/>
        </w:rPr>
        <w:t>such dismissal was</w:t>
      </w:r>
      <w:r w:rsidRPr="00274504">
        <w:rPr>
          <w:rFonts w:ascii="Times New Roman" w:hAnsi="Times New Roman"/>
          <w:color w:val="000000"/>
          <w:sz w:val="28"/>
          <w:szCs w:val="28"/>
        </w:rPr>
        <w:t xml:space="preserve"> “wrongful and unlawful” and that that dispute, concerning the Congregation’s </w:t>
      </w:r>
      <w:r w:rsidR="00722E84">
        <w:rPr>
          <w:rFonts w:ascii="Times New Roman" w:hAnsi="Times New Roman"/>
          <w:color w:val="000000"/>
          <w:sz w:val="28"/>
          <w:szCs w:val="28"/>
        </w:rPr>
        <w:t xml:space="preserve">misplaced </w:t>
      </w:r>
      <w:r w:rsidRPr="00274504">
        <w:rPr>
          <w:rFonts w:ascii="Times New Roman" w:hAnsi="Times New Roman"/>
          <w:color w:val="000000"/>
          <w:sz w:val="28"/>
          <w:szCs w:val="28"/>
        </w:rPr>
        <w:t xml:space="preserve">entitlement to have </w:t>
      </w:r>
      <w:r w:rsidR="00222AEE">
        <w:rPr>
          <w:rFonts w:ascii="Times New Roman" w:hAnsi="Times New Roman"/>
          <w:color w:val="000000"/>
          <w:sz w:val="28"/>
          <w:szCs w:val="28"/>
        </w:rPr>
        <w:t xml:space="preserve">so </w:t>
      </w:r>
      <w:r w:rsidR="00722E84">
        <w:rPr>
          <w:rFonts w:ascii="Times New Roman" w:hAnsi="Times New Roman"/>
          <w:color w:val="000000"/>
          <w:sz w:val="28"/>
          <w:szCs w:val="28"/>
        </w:rPr>
        <w:t>“</w:t>
      </w:r>
      <w:r w:rsidRPr="00274504">
        <w:rPr>
          <w:rFonts w:ascii="Times New Roman" w:hAnsi="Times New Roman"/>
          <w:color w:val="000000"/>
          <w:sz w:val="28"/>
          <w:szCs w:val="28"/>
        </w:rPr>
        <w:t>dismissed</w:t>
      </w:r>
      <w:r w:rsidR="00222AEE">
        <w:rPr>
          <w:rFonts w:ascii="Times New Roman" w:hAnsi="Times New Roman"/>
          <w:color w:val="000000"/>
          <w:sz w:val="28"/>
          <w:szCs w:val="28"/>
        </w:rPr>
        <w:t>”</w:t>
      </w:r>
      <w:r w:rsidRPr="00274504">
        <w:rPr>
          <w:rFonts w:ascii="Times New Roman" w:hAnsi="Times New Roman"/>
          <w:color w:val="000000"/>
          <w:sz w:val="28"/>
          <w:szCs w:val="28"/>
        </w:rPr>
        <w:t xml:space="preserve"> him, is still pending before the High Court and the Beth-Din.</w:t>
      </w:r>
      <w:r w:rsidR="00222AEE">
        <w:rPr>
          <w:rFonts w:ascii="Times New Roman" w:hAnsi="Times New Roman"/>
          <w:color w:val="000000"/>
          <w:sz w:val="28"/>
          <w:szCs w:val="28"/>
        </w:rPr>
        <w:t xml:space="preserve"> </w:t>
      </w:r>
      <w:r w:rsidR="00722E84">
        <w:rPr>
          <w:rFonts w:ascii="Times New Roman" w:hAnsi="Times New Roman"/>
          <w:color w:val="000000"/>
          <w:sz w:val="28"/>
          <w:szCs w:val="28"/>
        </w:rPr>
        <w:t xml:space="preserve">He </w:t>
      </w:r>
      <w:r w:rsidR="00222AEE">
        <w:rPr>
          <w:rFonts w:ascii="Times New Roman" w:hAnsi="Times New Roman"/>
          <w:color w:val="000000"/>
          <w:sz w:val="28"/>
          <w:szCs w:val="28"/>
        </w:rPr>
        <w:t>claims</w:t>
      </w:r>
      <w:r w:rsidR="00722E84">
        <w:rPr>
          <w:rFonts w:ascii="Times New Roman" w:hAnsi="Times New Roman"/>
          <w:color w:val="000000"/>
          <w:sz w:val="28"/>
          <w:szCs w:val="28"/>
        </w:rPr>
        <w:t xml:space="preserve"> in this </w:t>
      </w:r>
      <w:r w:rsidR="00E326D7">
        <w:rPr>
          <w:rFonts w:ascii="Times New Roman" w:hAnsi="Times New Roman"/>
          <w:color w:val="000000"/>
          <w:sz w:val="28"/>
          <w:szCs w:val="28"/>
        </w:rPr>
        <w:t xml:space="preserve">respect </w:t>
      </w:r>
      <w:r w:rsidR="00222AEE">
        <w:rPr>
          <w:rFonts w:ascii="Times New Roman" w:hAnsi="Times New Roman"/>
          <w:color w:val="000000"/>
          <w:sz w:val="28"/>
          <w:szCs w:val="28"/>
        </w:rPr>
        <w:t xml:space="preserve">to have a </w:t>
      </w:r>
      <w:r w:rsidR="00722E84" w:rsidRPr="006E5021">
        <w:rPr>
          <w:rFonts w:ascii="Times New Roman" w:hAnsi="Times New Roman"/>
          <w:i/>
          <w:color w:val="000000"/>
          <w:sz w:val="28"/>
          <w:szCs w:val="28"/>
        </w:rPr>
        <w:t>pending</w:t>
      </w:r>
      <w:r w:rsidR="00722E84">
        <w:rPr>
          <w:rFonts w:ascii="Times New Roman" w:hAnsi="Times New Roman"/>
          <w:color w:val="000000"/>
          <w:sz w:val="28"/>
          <w:szCs w:val="28"/>
        </w:rPr>
        <w:t xml:space="preserve"> referral “for </w:t>
      </w:r>
      <w:r w:rsidR="00722E84" w:rsidRPr="00722E84">
        <w:rPr>
          <w:rFonts w:ascii="Times New Roman" w:hAnsi="Times New Roman"/>
          <w:i/>
          <w:color w:val="000000"/>
          <w:sz w:val="28"/>
          <w:szCs w:val="28"/>
        </w:rPr>
        <w:t>inter alia</w:t>
      </w:r>
      <w:r w:rsidR="00722E84">
        <w:rPr>
          <w:rFonts w:ascii="Times New Roman" w:hAnsi="Times New Roman"/>
          <w:color w:val="000000"/>
          <w:sz w:val="28"/>
          <w:szCs w:val="28"/>
        </w:rPr>
        <w:t xml:space="preserve"> (his) reinstatement,</w:t>
      </w:r>
      <w:r w:rsidR="006E5021">
        <w:rPr>
          <w:rFonts w:ascii="Times New Roman" w:hAnsi="Times New Roman"/>
          <w:color w:val="000000"/>
          <w:sz w:val="28"/>
          <w:szCs w:val="28"/>
        </w:rPr>
        <w:t xml:space="preserve"> arrear salaries, and benefits”</w:t>
      </w:r>
      <w:r w:rsidRPr="00274504">
        <w:rPr>
          <w:rFonts w:ascii="Times New Roman" w:hAnsi="Times New Roman"/>
          <w:color w:val="000000"/>
          <w:sz w:val="28"/>
          <w:szCs w:val="28"/>
        </w:rPr>
        <w:t xml:space="preserve">. </w:t>
      </w:r>
      <w:r w:rsidR="00D344DB">
        <w:rPr>
          <w:rFonts w:ascii="Times New Roman" w:hAnsi="Times New Roman"/>
          <w:color w:val="000000"/>
          <w:sz w:val="28"/>
          <w:szCs w:val="28"/>
        </w:rPr>
        <w:t xml:space="preserve"> On this basis</w:t>
      </w:r>
      <w:r w:rsidR="00EC269F">
        <w:rPr>
          <w:rFonts w:ascii="Times New Roman" w:hAnsi="Times New Roman"/>
          <w:color w:val="000000"/>
          <w:sz w:val="28"/>
          <w:szCs w:val="28"/>
        </w:rPr>
        <w:t>, so it was contended,</w:t>
      </w:r>
      <w:r w:rsidR="00D344DB">
        <w:rPr>
          <w:rFonts w:ascii="Times New Roman" w:hAnsi="Times New Roman"/>
          <w:color w:val="000000"/>
          <w:sz w:val="28"/>
          <w:szCs w:val="28"/>
        </w:rPr>
        <w:t xml:space="preserve"> they would therefore not be unlawful occupiers within the meaning of the PIE Act.</w:t>
      </w:r>
    </w:p>
    <w:p w14:paraId="01912259"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37DF6874" w14:textId="77777777" w:rsidR="00274504" w:rsidRPr="00274504" w:rsidRDefault="00DE30A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He admits that he</w:t>
      </w:r>
      <w:r w:rsidR="007E7FCA" w:rsidRPr="00274504">
        <w:rPr>
          <w:rFonts w:ascii="Times New Roman" w:hAnsi="Times New Roman"/>
          <w:color w:val="000000"/>
          <w:sz w:val="28"/>
          <w:szCs w:val="28"/>
        </w:rPr>
        <w:t xml:space="preserve"> eschewed the option of referring his </w:t>
      </w:r>
      <w:r w:rsidR="00722E84">
        <w:rPr>
          <w:rFonts w:ascii="Times New Roman" w:hAnsi="Times New Roman"/>
          <w:color w:val="000000"/>
          <w:sz w:val="28"/>
          <w:szCs w:val="28"/>
        </w:rPr>
        <w:t>“</w:t>
      </w:r>
      <w:r w:rsidR="007E7FCA" w:rsidRPr="00274504">
        <w:rPr>
          <w:rFonts w:ascii="Times New Roman" w:hAnsi="Times New Roman"/>
          <w:color w:val="000000"/>
          <w:sz w:val="28"/>
          <w:szCs w:val="28"/>
        </w:rPr>
        <w:t>labour dispute</w:t>
      </w:r>
      <w:r w:rsidR="00722E84">
        <w:rPr>
          <w:rFonts w:ascii="Times New Roman" w:hAnsi="Times New Roman"/>
          <w:color w:val="000000"/>
          <w:sz w:val="28"/>
          <w:szCs w:val="28"/>
        </w:rPr>
        <w:t>”</w:t>
      </w:r>
      <w:r w:rsidR="007E7FCA" w:rsidRPr="00274504">
        <w:rPr>
          <w:rFonts w:ascii="Times New Roman" w:hAnsi="Times New Roman"/>
          <w:color w:val="000000"/>
          <w:sz w:val="28"/>
          <w:szCs w:val="28"/>
        </w:rPr>
        <w:t xml:space="preserve"> to the CCMA or the Labour Court based on advice given to him that the Beth-Din has exclusi</w:t>
      </w:r>
      <w:r w:rsidR="00722E84">
        <w:rPr>
          <w:rFonts w:ascii="Times New Roman" w:hAnsi="Times New Roman"/>
          <w:color w:val="000000"/>
          <w:sz w:val="28"/>
          <w:szCs w:val="28"/>
        </w:rPr>
        <w:t>v</w:t>
      </w:r>
      <w:r w:rsidR="00E326D7">
        <w:rPr>
          <w:rFonts w:ascii="Times New Roman" w:hAnsi="Times New Roman"/>
          <w:color w:val="000000"/>
          <w:sz w:val="28"/>
          <w:szCs w:val="28"/>
        </w:rPr>
        <w:t>e jurisdiction to determine same</w:t>
      </w:r>
      <w:r w:rsidR="007E7FCA" w:rsidRPr="00274504">
        <w:rPr>
          <w:rFonts w:ascii="Times New Roman" w:hAnsi="Times New Roman"/>
          <w:color w:val="000000"/>
          <w:sz w:val="28"/>
          <w:szCs w:val="28"/>
        </w:rPr>
        <w:t xml:space="preserve"> in terms of the </w:t>
      </w:r>
      <w:r w:rsidR="00E326D7">
        <w:rPr>
          <w:rFonts w:ascii="Times New Roman" w:hAnsi="Times New Roman"/>
          <w:color w:val="000000"/>
          <w:sz w:val="28"/>
          <w:szCs w:val="28"/>
        </w:rPr>
        <w:t>Council’s</w:t>
      </w:r>
      <w:r w:rsidR="007E7FCA" w:rsidRPr="00274504">
        <w:rPr>
          <w:rFonts w:ascii="Times New Roman" w:hAnsi="Times New Roman"/>
          <w:color w:val="000000"/>
          <w:sz w:val="28"/>
          <w:szCs w:val="28"/>
        </w:rPr>
        <w:t xml:space="preserve"> Articles of Association. Hence</w:t>
      </w:r>
      <w:r>
        <w:rPr>
          <w:rFonts w:ascii="Times New Roman" w:hAnsi="Times New Roman"/>
          <w:color w:val="000000"/>
          <w:sz w:val="28"/>
          <w:szCs w:val="28"/>
        </w:rPr>
        <w:t>,</w:t>
      </w:r>
      <w:r w:rsidR="007E7FCA" w:rsidRPr="00274504">
        <w:rPr>
          <w:rFonts w:ascii="Times New Roman" w:hAnsi="Times New Roman"/>
          <w:color w:val="000000"/>
          <w:sz w:val="28"/>
          <w:szCs w:val="28"/>
        </w:rPr>
        <w:t xml:space="preserve"> when he received the applicant’s correspondence advising him that his employment had been terminated together with the right to reside in the accommodation pr</w:t>
      </w:r>
      <w:r>
        <w:rPr>
          <w:rFonts w:ascii="Times New Roman" w:hAnsi="Times New Roman"/>
          <w:color w:val="000000"/>
          <w:sz w:val="28"/>
          <w:szCs w:val="28"/>
        </w:rPr>
        <w:t>ovided by the Co</w:t>
      </w:r>
      <w:r w:rsidR="00722E84">
        <w:rPr>
          <w:rFonts w:ascii="Times New Roman" w:hAnsi="Times New Roman"/>
          <w:color w:val="000000"/>
          <w:sz w:val="28"/>
          <w:szCs w:val="28"/>
        </w:rPr>
        <w:t>ngregation, he believed that he and the second respondent</w:t>
      </w:r>
      <w:r>
        <w:rPr>
          <w:rFonts w:ascii="Times New Roman" w:hAnsi="Times New Roman"/>
          <w:color w:val="000000"/>
          <w:sz w:val="28"/>
          <w:szCs w:val="28"/>
        </w:rPr>
        <w:t xml:space="preserve"> were justified in their </w:t>
      </w:r>
      <w:r w:rsidR="007E7FCA" w:rsidRPr="00274504">
        <w:rPr>
          <w:rFonts w:ascii="Times New Roman" w:hAnsi="Times New Roman"/>
          <w:color w:val="000000"/>
          <w:sz w:val="28"/>
          <w:szCs w:val="28"/>
        </w:rPr>
        <w:t>refusal to vacate the</w:t>
      </w:r>
      <w:r w:rsidR="00722E84">
        <w:rPr>
          <w:rFonts w:ascii="Times New Roman" w:hAnsi="Times New Roman"/>
          <w:color w:val="000000"/>
          <w:sz w:val="28"/>
          <w:szCs w:val="28"/>
        </w:rPr>
        <w:t xml:space="preserve"> property “as a result of (our</w:t>
      </w:r>
      <w:r w:rsidR="007E7FCA" w:rsidRPr="00274504">
        <w:rPr>
          <w:rFonts w:ascii="Times New Roman" w:hAnsi="Times New Roman"/>
          <w:color w:val="000000"/>
          <w:sz w:val="28"/>
          <w:szCs w:val="28"/>
        </w:rPr>
        <w:t>) pending referral to the Beth-Din and the High Court.”</w:t>
      </w:r>
    </w:p>
    <w:p w14:paraId="10B705DB"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58686E16" w14:textId="77777777" w:rsidR="00F128D3" w:rsidRPr="00F128D3"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If he is successful in the Beth-Din and “reinstated,” so he asserts, he will remain the appointed Rabbi for the Congregation. He is furthermore confident that his prospects of success are extremely good</w:t>
      </w:r>
      <w:r w:rsidR="002831A3">
        <w:rPr>
          <w:rFonts w:ascii="Times New Roman" w:hAnsi="Times New Roman"/>
          <w:color w:val="000000"/>
          <w:sz w:val="28"/>
          <w:szCs w:val="28"/>
        </w:rPr>
        <w:t xml:space="preserve"> </w:t>
      </w:r>
      <w:r w:rsidRPr="00274504">
        <w:rPr>
          <w:rFonts w:ascii="Times New Roman" w:hAnsi="Times New Roman"/>
          <w:color w:val="000000"/>
          <w:sz w:val="28"/>
          <w:szCs w:val="28"/>
        </w:rPr>
        <w:t>given the fact that the Congregation, and the chair</w:t>
      </w:r>
      <w:r w:rsidR="00EC269F">
        <w:rPr>
          <w:rFonts w:ascii="Times New Roman" w:hAnsi="Times New Roman"/>
          <w:color w:val="000000"/>
          <w:sz w:val="28"/>
          <w:szCs w:val="28"/>
        </w:rPr>
        <w:t>person appointed by the C</w:t>
      </w:r>
      <w:r w:rsidRPr="00274504">
        <w:rPr>
          <w:rFonts w:ascii="Times New Roman" w:hAnsi="Times New Roman"/>
          <w:color w:val="000000"/>
          <w:sz w:val="28"/>
          <w:szCs w:val="28"/>
        </w:rPr>
        <w:t>ongregation, had no authority to dismiss him, this in his view being within the exclusive jurisdiction</w:t>
      </w:r>
      <w:r w:rsidR="00CE5337">
        <w:rPr>
          <w:rFonts w:ascii="Times New Roman" w:hAnsi="Times New Roman"/>
          <w:color w:val="000000"/>
          <w:sz w:val="28"/>
          <w:szCs w:val="28"/>
        </w:rPr>
        <w:t xml:space="preserve"> </w:t>
      </w:r>
    </w:p>
    <w:p w14:paraId="39541F6E" w14:textId="77777777" w:rsidR="00F128D3" w:rsidRPr="00F128D3" w:rsidRDefault="00F128D3" w:rsidP="00F128D3">
      <w:pPr>
        <w:pStyle w:val="ListParagraph"/>
        <w:rPr>
          <w:rFonts w:ascii="Times New Roman" w:hAnsi="Times New Roman"/>
          <w:color w:val="000000"/>
          <w:sz w:val="28"/>
          <w:szCs w:val="28"/>
        </w:rPr>
      </w:pPr>
    </w:p>
    <w:p w14:paraId="6B4685D7" w14:textId="77777777" w:rsidR="00F128D3" w:rsidRDefault="00F128D3" w:rsidP="00F128D3">
      <w:pPr>
        <w:pStyle w:val="ListParagraph"/>
        <w:tabs>
          <w:tab w:val="left" w:pos="0"/>
        </w:tabs>
        <w:spacing w:after="0" w:line="360" w:lineRule="auto"/>
        <w:ind w:left="0"/>
        <w:rPr>
          <w:rFonts w:ascii="Times New Roman" w:hAnsi="Times New Roman"/>
          <w:color w:val="000000"/>
          <w:sz w:val="28"/>
          <w:szCs w:val="28"/>
        </w:rPr>
      </w:pPr>
    </w:p>
    <w:p w14:paraId="0B8982DE" w14:textId="77777777" w:rsidR="00722E84" w:rsidRPr="00722E84" w:rsidRDefault="007E7FCA" w:rsidP="00F128D3">
      <w:pPr>
        <w:pStyle w:val="ListParagraph"/>
        <w:tabs>
          <w:tab w:val="left" w:pos="0"/>
        </w:tabs>
        <w:spacing w:after="0" w:line="360" w:lineRule="auto"/>
        <w:ind w:left="0"/>
        <w:rPr>
          <w:rFonts w:ascii="Times New Roman" w:hAnsi="Times New Roman"/>
          <w:b/>
          <w:sz w:val="28"/>
          <w:szCs w:val="28"/>
        </w:rPr>
      </w:pPr>
      <w:r w:rsidRPr="00274504">
        <w:rPr>
          <w:rFonts w:ascii="Times New Roman" w:hAnsi="Times New Roman"/>
          <w:color w:val="000000"/>
          <w:sz w:val="28"/>
          <w:szCs w:val="28"/>
        </w:rPr>
        <w:lastRenderedPageBreak/>
        <w:t>of the Beth-Din in terms</w:t>
      </w:r>
      <w:r w:rsidR="00722E84">
        <w:rPr>
          <w:rFonts w:ascii="Times New Roman" w:hAnsi="Times New Roman"/>
          <w:color w:val="000000"/>
          <w:sz w:val="28"/>
          <w:szCs w:val="28"/>
        </w:rPr>
        <w:t xml:space="preserve"> of the Articles of Association</w:t>
      </w:r>
      <w:r w:rsidRPr="00274504">
        <w:rPr>
          <w:rFonts w:ascii="Times New Roman" w:hAnsi="Times New Roman"/>
          <w:color w:val="000000"/>
          <w:sz w:val="28"/>
          <w:szCs w:val="28"/>
        </w:rPr>
        <w:t xml:space="preserve"> </w:t>
      </w:r>
      <w:r w:rsidR="00722E84">
        <w:rPr>
          <w:rFonts w:ascii="Times New Roman" w:hAnsi="Times New Roman"/>
          <w:color w:val="000000"/>
          <w:sz w:val="28"/>
          <w:szCs w:val="28"/>
        </w:rPr>
        <w:t xml:space="preserve">on the basis indicated above, </w:t>
      </w:r>
      <w:r w:rsidRPr="00274504">
        <w:rPr>
          <w:rFonts w:ascii="Times New Roman" w:hAnsi="Times New Roman"/>
          <w:color w:val="000000"/>
          <w:sz w:val="28"/>
          <w:szCs w:val="28"/>
        </w:rPr>
        <w:t>by w</w:t>
      </w:r>
      <w:r w:rsidR="00EC269F">
        <w:rPr>
          <w:rFonts w:ascii="Times New Roman" w:hAnsi="Times New Roman"/>
          <w:color w:val="000000"/>
          <w:sz w:val="28"/>
          <w:szCs w:val="28"/>
        </w:rPr>
        <w:t>hich the Congregation is bound.</w:t>
      </w:r>
      <w:r w:rsidR="00EC269F">
        <w:rPr>
          <w:rStyle w:val="FootnoteReference"/>
          <w:rFonts w:ascii="Times New Roman" w:hAnsi="Times New Roman"/>
          <w:color w:val="000000"/>
          <w:sz w:val="28"/>
          <w:szCs w:val="28"/>
        </w:rPr>
        <w:footnoteReference w:id="12"/>
      </w:r>
    </w:p>
    <w:p w14:paraId="356E3892" w14:textId="77777777" w:rsidR="00722E84" w:rsidRPr="00722E84" w:rsidRDefault="00722E84" w:rsidP="00D46D76">
      <w:pPr>
        <w:pStyle w:val="ListParagraph"/>
        <w:spacing w:after="0" w:line="360" w:lineRule="auto"/>
        <w:rPr>
          <w:rFonts w:ascii="Times New Roman" w:hAnsi="Times New Roman"/>
          <w:color w:val="000000"/>
          <w:sz w:val="28"/>
          <w:szCs w:val="28"/>
        </w:rPr>
      </w:pPr>
    </w:p>
    <w:p w14:paraId="607CFC2C" w14:textId="77777777" w:rsidR="00722E84" w:rsidRPr="006E5021"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6E5021">
        <w:rPr>
          <w:rFonts w:ascii="Times New Roman" w:hAnsi="Times New Roman"/>
          <w:color w:val="000000"/>
          <w:sz w:val="28"/>
          <w:szCs w:val="28"/>
        </w:rPr>
        <w:t xml:space="preserve">He recognizes that his and the second respondent’s right of residence is subsidiary to his employee </w:t>
      </w:r>
      <w:r w:rsidR="00C8595C" w:rsidRPr="006E5021">
        <w:rPr>
          <w:rFonts w:ascii="Times New Roman" w:hAnsi="Times New Roman"/>
          <w:color w:val="000000"/>
          <w:sz w:val="28"/>
          <w:szCs w:val="28"/>
        </w:rPr>
        <w:t>status but</w:t>
      </w:r>
      <w:r w:rsidR="00722E84" w:rsidRPr="006E5021">
        <w:rPr>
          <w:rFonts w:ascii="Times New Roman" w:hAnsi="Times New Roman"/>
          <w:color w:val="000000"/>
          <w:sz w:val="28"/>
          <w:szCs w:val="28"/>
        </w:rPr>
        <w:t xml:space="preserve"> avers that </w:t>
      </w:r>
      <w:r w:rsidR="006E5021" w:rsidRPr="006E5021">
        <w:rPr>
          <w:rFonts w:ascii="Times New Roman" w:hAnsi="Times New Roman"/>
          <w:color w:val="000000"/>
          <w:sz w:val="28"/>
          <w:szCs w:val="28"/>
        </w:rPr>
        <w:t>such status</w:t>
      </w:r>
      <w:r w:rsidRPr="006E5021">
        <w:rPr>
          <w:rFonts w:ascii="Times New Roman" w:hAnsi="Times New Roman"/>
          <w:color w:val="000000"/>
          <w:sz w:val="28"/>
          <w:szCs w:val="28"/>
        </w:rPr>
        <w:t xml:space="preserve"> remains undetermined</w:t>
      </w:r>
      <w:r w:rsidR="00DE30A3" w:rsidRPr="006E5021">
        <w:rPr>
          <w:rFonts w:ascii="Times New Roman" w:hAnsi="Times New Roman"/>
          <w:color w:val="000000"/>
          <w:sz w:val="28"/>
          <w:szCs w:val="28"/>
        </w:rPr>
        <w:t xml:space="preserve"> in his view</w:t>
      </w:r>
      <w:r w:rsidRPr="006E5021">
        <w:rPr>
          <w:rFonts w:ascii="Times New Roman" w:hAnsi="Times New Roman"/>
          <w:color w:val="000000"/>
          <w:sz w:val="28"/>
          <w:szCs w:val="28"/>
        </w:rPr>
        <w:t xml:space="preserve"> until “the High Court matters are determined.”</w:t>
      </w:r>
      <w:r w:rsidR="00A816BB">
        <w:rPr>
          <w:rStyle w:val="FootnoteReference"/>
          <w:rFonts w:ascii="Times New Roman" w:hAnsi="Times New Roman"/>
          <w:color w:val="000000"/>
          <w:sz w:val="28"/>
          <w:szCs w:val="28"/>
        </w:rPr>
        <w:footnoteReference w:id="13"/>
      </w:r>
      <w:r w:rsidR="006E5021" w:rsidRPr="006E5021">
        <w:rPr>
          <w:rFonts w:ascii="Times New Roman" w:hAnsi="Times New Roman"/>
          <w:color w:val="000000"/>
          <w:sz w:val="28"/>
          <w:szCs w:val="28"/>
        </w:rPr>
        <w:t xml:space="preserve">  </w:t>
      </w:r>
      <w:r w:rsidR="00722E84" w:rsidRPr="006E5021">
        <w:rPr>
          <w:rFonts w:ascii="Times New Roman" w:hAnsi="Times New Roman"/>
          <w:sz w:val="28"/>
          <w:szCs w:val="28"/>
        </w:rPr>
        <w:t>He adds in this re</w:t>
      </w:r>
      <w:r w:rsidR="006E5021">
        <w:rPr>
          <w:rFonts w:ascii="Times New Roman" w:hAnsi="Times New Roman"/>
          <w:sz w:val="28"/>
          <w:szCs w:val="28"/>
        </w:rPr>
        <w:t>spect</w:t>
      </w:r>
      <w:r w:rsidR="00722E84" w:rsidRPr="006E5021">
        <w:rPr>
          <w:rFonts w:ascii="Times New Roman" w:hAnsi="Times New Roman"/>
          <w:sz w:val="28"/>
          <w:szCs w:val="28"/>
        </w:rPr>
        <w:t xml:space="preserve"> that the determination of “the dispute of the labour matter” is “clearly (as a matter of law) a </w:t>
      </w:r>
      <w:r w:rsidR="00722E84" w:rsidRPr="00E326D7">
        <w:rPr>
          <w:rFonts w:ascii="Times New Roman" w:hAnsi="Times New Roman"/>
          <w:i/>
          <w:sz w:val="28"/>
          <w:szCs w:val="28"/>
        </w:rPr>
        <w:t xml:space="preserve">pre-condition </w:t>
      </w:r>
      <w:r w:rsidR="00722E84" w:rsidRPr="006E5021">
        <w:rPr>
          <w:rFonts w:ascii="Times New Roman" w:hAnsi="Times New Roman"/>
          <w:sz w:val="28"/>
          <w:szCs w:val="28"/>
        </w:rPr>
        <w:t>for the termination of our right of residence”</w:t>
      </w:r>
      <w:r w:rsidR="006E5021">
        <w:rPr>
          <w:rFonts w:ascii="Times New Roman" w:hAnsi="Times New Roman"/>
          <w:sz w:val="28"/>
          <w:szCs w:val="28"/>
        </w:rPr>
        <w:t xml:space="preserve"> based on</w:t>
      </w:r>
      <w:r w:rsidR="00180C05">
        <w:rPr>
          <w:rFonts w:ascii="Times New Roman" w:hAnsi="Times New Roman"/>
          <w:sz w:val="28"/>
          <w:szCs w:val="28"/>
        </w:rPr>
        <w:t xml:space="preserve"> the authority of</w:t>
      </w:r>
      <w:r w:rsidR="006E5021">
        <w:rPr>
          <w:rFonts w:ascii="Times New Roman" w:hAnsi="Times New Roman"/>
          <w:sz w:val="28"/>
          <w:szCs w:val="28"/>
        </w:rPr>
        <w:t xml:space="preserve"> </w:t>
      </w:r>
      <w:r w:rsidR="00BB6B76">
        <w:rPr>
          <w:rFonts w:ascii="Times New Roman" w:hAnsi="Times New Roman"/>
          <w:sz w:val="28"/>
          <w:szCs w:val="28"/>
        </w:rPr>
        <w:t>Snyers v Mgro Properties (Pty) Ltd</w:t>
      </w:r>
      <w:r w:rsidR="009C5A5D">
        <w:rPr>
          <w:rStyle w:val="FootnoteReference"/>
          <w:rFonts w:ascii="Times New Roman" w:hAnsi="Times New Roman"/>
          <w:sz w:val="28"/>
          <w:szCs w:val="28"/>
        </w:rPr>
        <w:footnoteReference w:id="14"/>
      </w:r>
      <w:r w:rsidR="006E5021">
        <w:rPr>
          <w:rFonts w:ascii="Times New Roman" w:hAnsi="Times New Roman"/>
          <w:sz w:val="28"/>
          <w:szCs w:val="28"/>
        </w:rPr>
        <w:t xml:space="preserve"> to which I will shortly allude. </w:t>
      </w:r>
      <w:r w:rsidR="00722E84" w:rsidRPr="006E5021">
        <w:rPr>
          <w:rFonts w:ascii="Times New Roman" w:hAnsi="Times New Roman"/>
          <w:sz w:val="28"/>
          <w:szCs w:val="28"/>
        </w:rPr>
        <w:t xml:space="preserve"> </w:t>
      </w:r>
    </w:p>
    <w:p w14:paraId="35E31A99" w14:textId="77777777" w:rsidR="00722E84" w:rsidRPr="00722E84" w:rsidRDefault="00722E84" w:rsidP="00D46D76">
      <w:pPr>
        <w:pStyle w:val="ListParagraph"/>
        <w:spacing w:after="0" w:line="360" w:lineRule="auto"/>
        <w:rPr>
          <w:rFonts w:ascii="Times New Roman" w:hAnsi="Times New Roman"/>
          <w:b/>
          <w:sz w:val="28"/>
          <w:szCs w:val="28"/>
        </w:rPr>
      </w:pPr>
    </w:p>
    <w:p w14:paraId="648027A9" w14:textId="5575EFDC" w:rsidR="00722E84" w:rsidRPr="006E5021" w:rsidRDefault="00D76A85"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respondents</w:t>
      </w:r>
      <w:r w:rsidR="00722E84">
        <w:rPr>
          <w:rFonts w:ascii="Times New Roman" w:hAnsi="Times New Roman"/>
          <w:sz w:val="28"/>
          <w:szCs w:val="28"/>
        </w:rPr>
        <w:t xml:space="preserve"> contend</w:t>
      </w:r>
      <w:r>
        <w:rPr>
          <w:rFonts w:ascii="Times New Roman" w:hAnsi="Times New Roman"/>
          <w:sz w:val="28"/>
          <w:szCs w:val="28"/>
        </w:rPr>
        <w:t xml:space="preserve"> further and in any event</w:t>
      </w:r>
      <w:r w:rsidR="00722E84">
        <w:rPr>
          <w:rFonts w:ascii="Times New Roman" w:hAnsi="Times New Roman"/>
          <w:sz w:val="28"/>
          <w:szCs w:val="28"/>
        </w:rPr>
        <w:t xml:space="preserve"> that it is not just and equitable for this court to evict them for variou</w:t>
      </w:r>
      <w:r w:rsidR="006E5021">
        <w:rPr>
          <w:rFonts w:ascii="Times New Roman" w:hAnsi="Times New Roman"/>
          <w:sz w:val="28"/>
          <w:szCs w:val="28"/>
        </w:rPr>
        <w:t xml:space="preserve">s </w:t>
      </w:r>
      <w:r w:rsidR="005A5348">
        <w:rPr>
          <w:rFonts w:ascii="Times New Roman" w:hAnsi="Times New Roman"/>
          <w:sz w:val="28"/>
          <w:szCs w:val="28"/>
        </w:rPr>
        <w:t xml:space="preserve">other </w:t>
      </w:r>
      <w:r w:rsidR="00F128D3">
        <w:rPr>
          <w:rFonts w:ascii="Times New Roman" w:hAnsi="Times New Roman"/>
          <w:sz w:val="28"/>
          <w:szCs w:val="28"/>
        </w:rPr>
        <w:t xml:space="preserve">reasons.  </w:t>
      </w:r>
    </w:p>
    <w:p w14:paraId="237E748F" w14:textId="77777777" w:rsidR="006E5021" w:rsidRPr="006E5021" w:rsidRDefault="006E5021" w:rsidP="00D46D76">
      <w:pPr>
        <w:pStyle w:val="ListParagraph"/>
        <w:spacing w:after="0" w:line="360" w:lineRule="auto"/>
        <w:rPr>
          <w:rFonts w:ascii="Times New Roman" w:hAnsi="Times New Roman"/>
          <w:b/>
          <w:sz w:val="28"/>
          <w:szCs w:val="28"/>
        </w:rPr>
      </w:pPr>
    </w:p>
    <w:p w14:paraId="454A5695" w14:textId="77777777" w:rsidR="006E5021" w:rsidRDefault="006E5021" w:rsidP="00D46D76">
      <w:pPr>
        <w:spacing w:line="360" w:lineRule="auto"/>
        <w:contextualSpacing/>
        <w:rPr>
          <w:rFonts w:ascii="Times New Roman" w:hAnsi="Times New Roman"/>
          <w:b/>
          <w:color w:val="000000"/>
          <w:sz w:val="28"/>
          <w:szCs w:val="28"/>
          <w:u w:val="single"/>
        </w:rPr>
      </w:pPr>
      <w:r>
        <w:rPr>
          <w:rFonts w:ascii="Times New Roman" w:hAnsi="Times New Roman"/>
          <w:b/>
          <w:color w:val="000000"/>
          <w:sz w:val="28"/>
          <w:szCs w:val="28"/>
          <w:u w:val="single"/>
        </w:rPr>
        <w:t xml:space="preserve">The first respondent’s </w:t>
      </w:r>
      <w:r w:rsidR="00E326D7">
        <w:rPr>
          <w:rFonts w:ascii="Times New Roman" w:hAnsi="Times New Roman"/>
          <w:b/>
          <w:color w:val="000000"/>
          <w:sz w:val="28"/>
          <w:szCs w:val="28"/>
          <w:u w:val="single"/>
        </w:rPr>
        <w:t>“</w:t>
      </w:r>
      <w:r>
        <w:rPr>
          <w:rFonts w:ascii="Times New Roman" w:hAnsi="Times New Roman"/>
          <w:b/>
          <w:color w:val="000000"/>
          <w:sz w:val="28"/>
          <w:szCs w:val="28"/>
          <w:u w:val="single"/>
        </w:rPr>
        <w:t>dispute</w:t>
      </w:r>
      <w:r w:rsidR="00E326D7">
        <w:rPr>
          <w:rFonts w:ascii="Times New Roman" w:hAnsi="Times New Roman"/>
          <w:b/>
          <w:color w:val="000000"/>
          <w:sz w:val="28"/>
          <w:szCs w:val="28"/>
          <w:u w:val="single"/>
        </w:rPr>
        <w:t>”</w:t>
      </w:r>
      <w:r>
        <w:rPr>
          <w:rFonts w:ascii="Times New Roman" w:hAnsi="Times New Roman"/>
          <w:b/>
          <w:color w:val="000000"/>
          <w:sz w:val="28"/>
          <w:szCs w:val="28"/>
          <w:u w:val="single"/>
        </w:rPr>
        <w:t>:</w:t>
      </w:r>
    </w:p>
    <w:p w14:paraId="4FE87AA7" w14:textId="77777777" w:rsidR="00A816BB" w:rsidRPr="00A816BB" w:rsidRDefault="00A816BB" w:rsidP="00D46D76">
      <w:pPr>
        <w:pStyle w:val="ListParagraph"/>
        <w:tabs>
          <w:tab w:val="left" w:pos="0"/>
        </w:tabs>
        <w:spacing w:after="0" w:line="360" w:lineRule="auto"/>
        <w:ind w:left="0"/>
        <w:rPr>
          <w:rFonts w:ascii="Times New Roman" w:hAnsi="Times New Roman"/>
          <w:b/>
          <w:sz w:val="28"/>
          <w:szCs w:val="28"/>
        </w:rPr>
      </w:pPr>
    </w:p>
    <w:p w14:paraId="24B6416B"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It is necessary to have regard to</w:t>
      </w:r>
      <w:r w:rsidR="00E326D7">
        <w:rPr>
          <w:rFonts w:ascii="Times New Roman" w:hAnsi="Times New Roman"/>
          <w:color w:val="000000"/>
          <w:sz w:val="28"/>
          <w:szCs w:val="28"/>
        </w:rPr>
        <w:t xml:space="preserve"> the</w:t>
      </w:r>
      <w:r w:rsidR="006E5021">
        <w:rPr>
          <w:rFonts w:ascii="Times New Roman" w:hAnsi="Times New Roman"/>
          <w:color w:val="000000"/>
          <w:sz w:val="28"/>
          <w:szCs w:val="28"/>
        </w:rPr>
        <w:t xml:space="preserve"> </w:t>
      </w:r>
      <w:r w:rsidR="00E326D7">
        <w:rPr>
          <w:rFonts w:ascii="Times New Roman" w:hAnsi="Times New Roman"/>
          <w:color w:val="000000"/>
          <w:sz w:val="28"/>
          <w:szCs w:val="28"/>
        </w:rPr>
        <w:t>“</w:t>
      </w:r>
      <w:r w:rsidR="006E5021">
        <w:rPr>
          <w:rFonts w:ascii="Times New Roman" w:hAnsi="Times New Roman"/>
          <w:color w:val="000000"/>
          <w:sz w:val="28"/>
          <w:szCs w:val="28"/>
        </w:rPr>
        <w:t>dispute</w:t>
      </w:r>
      <w:r w:rsidR="00E326D7">
        <w:rPr>
          <w:rFonts w:ascii="Times New Roman" w:hAnsi="Times New Roman"/>
          <w:color w:val="000000"/>
          <w:sz w:val="28"/>
          <w:szCs w:val="28"/>
        </w:rPr>
        <w:t>”</w:t>
      </w:r>
      <w:r w:rsidR="00722E84">
        <w:rPr>
          <w:rFonts w:ascii="Times New Roman" w:hAnsi="Times New Roman"/>
          <w:color w:val="000000"/>
          <w:sz w:val="28"/>
          <w:szCs w:val="28"/>
        </w:rPr>
        <w:t xml:space="preserve"> i</w:t>
      </w:r>
      <w:r w:rsidR="006E5021">
        <w:rPr>
          <w:rFonts w:ascii="Times New Roman" w:hAnsi="Times New Roman"/>
          <w:color w:val="000000"/>
          <w:sz w:val="28"/>
          <w:szCs w:val="28"/>
        </w:rPr>
        <w:t xml:space="preserve">n existence between the parties, the determination of </w:t>
      </w:r>
      <w:r w:rsidR="00722E84">
        <w:rPr>
          <w:rFonts w:ascii="Times New Roman" w:hAnsi="Times New Roman"/>
          <w:color w:val="000000"/>
          <w:sz w:val="28"/>
          <w:szCs w:val="28"/>
        </w:rPr>
        <w:t>which the first respondent says is pending</w:t>
      </w:r>
      <w:r w:rsidR="006E5021">
        <w:rPr>
          <w:rFonts w:ascii="Times New Roman" w:hAnsi="Times New Roman"/>
          <w:color w:val="000000"/>
          <w:sz w:val="28"/>
          <w:szCs w:val="28"/>
        </w:rPr>
        <w:t>,</w:t>
      </w:r>
      <w:r w:rsidR="00722E84">
        <w:rPr>
          <w:rFonts w:ascii="Times New Roman" w:hAnsi="Times New Roman"/>
          <w:color w:val="000000"/>
          <w:sz w:val="28"/>
          <w:szCs w:val="28"/>
        </w:rPr>
        <w:t xml:space="preserve"> and</w:t>
      </w:r>
      <w:r w:rsidR="00E326D7">
        <w:rPr>
          <w:rFonts w:ascii="Times New Roman" w:hAnsi="Times New Roman"/>
          <w:color w:val="000000"/>
          <w:sz w:val="28"/>
          <w:szCs w:val="28"/>
        </w:rPr>
        <w:t xml:space="preserve"> more especially</w:t>
      </w:r>
      <w:r w:rsidR="00D76A85">
        <w:rPr>
          <w:rFonts w:ascii="Times New Roman" w:hAnsi="Times New Roman"/>
          <w:color w:val="000000"/>
          <w:sz w:val="28"/>
          <w:szCs w:val="28"/>
        </w:rPr>
        <w:t xml:space="preserve"> what brought the parties to this point</w:t>
      </w:r>
      <w:r w:rsidR="00274504">
        <w:rPr>
          <w:rFonts w:ascii="Times New Roman" w:hAnsi="Times New Roman"/>
          <w:color w:val="000000"/>
          <w:sz w:val="28"/>
          <w:szCs w:val="28"/>
        </w:rPr>
        <w:t>.</w:t>
      </w:r>
    </w:p>
    <w:p w14:paraId="7EF87D29"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1DE67F30"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 xml:space="preserve">The termination of the first respondent's services </w:t>
      </w:r>
      <w:r w:rsidR="006E5021">
        <w:rPr>
          <w:rFonts w:ascii="Times New Roman" w:hAnsi="Times New Roman"/>
          <w:color w:val="000000"/>
          <w:sz w:val="28"/>
          <w:szCs w:val="28"/>
        </w:rPr>
        <w:t xml:space="preserve">was ostensibly </w:t>
      </w:r>
      <w:r w:rsidRPr="00274504">
        <w:rPr>
          <w:rFonts w:ascii="Times New Roman" w:hAnsi="Times New Roman"/>
          <w:color w:val="000000"/>
          <w:sz w:val="28"/>
          <w:szCs w:val="28"/>
        </w:rPr>
        <w:t xml:space="preserve">related to certain misconduct </w:t>
      </w:r>
      <w:r w:rsidR="006E5021">
        <w:rPr>
          <w:rFonts w:ascii="Times New Roman" w:hAnsi="Times New Roman"/>
          <w:color w:val="000000"/>
          <w:sz w:val="28"/>
          <w:szCs w:val="28"/>
        </w:rPr>
        <w:t>alleged</w:t>
      </w:r>
      <w:r w:rsidR="00E326D7">
        <w:rPr>
          <w:rFonts w:ascii="Times New Roman" w:hAnsi="Times New Roman"/>
          <w:color w:val="000000"/>
          <w:sz w:val="28"/>
          <w:szCs w:val="28"/>
        </w:rPr>
        <w:t>ly</w:t>
      </w:r>
      <w:r w:rsidR="006E5021">
        <w:rPr>
          <w:rFonts w:ascii="Times New Roman" w:hAnsi="Times New Roman"/>
          <w:color w:val="000000"/>
          <w:sz w:val="28"/>
          <w:szCs w:val="28"/>
        </w:rPr>
        <w:t xml:space="preserve"> </w:t>
      </w:r>
      <w:r w:rsidRPr="00274504">
        <w:rPr>
          <w:rFonts w:ascii="Times New Roman" w:hAnsi="Times New Roman"/>
          <w:color w:val="000000"/>
          <w:sz w:val="28"/>
          <w:szCs w:val="28"/>
        </w:rPr>
        <w:t xml:space="preserve">committed by him, which the applicant considered </w:t>
      </w:r>
      <w:r w:rsidRPr="00274504">
        <w:rPr>
          <w:rFonts w:ascii="Times New Roman" w:hAnsi="Times New Roman"/>
          <w:color w:val="000000"/>
          <w:sz w:val="28"/>
          <w:szCs w:val="28"/>
        </w:rPr>
        <w:lastRenderedPageBreak/>
        <w:t>justified his dismissal from its employment with immediate effect pursuant to receipt of a recommendation by “the Committee”</w:t>
      </w:r>
      <w:r w:rsidR="00DE30A3">
        <w:rPr>
          <w:rStyle w:val="FootnoteReference"/>
          <w:rFonts w:ascii="Times New Roman" w:hAnsi="Times New Roman"/>
          <w:color w:val="000000"/>
          <w:sz w:val="28"/>
          <w:szCs w:val="28"/>
        </w:rPr>
        <w:footnoteReference w:id="15"/>
      </w:r>
      <w:r w:rsidRPr="00274504">
        <w:rPr>
          <w:rFonts w:ascii="Times New Roman" w:hAnsi="Times New Roman"/>
          <w:color w:val="000000"/>
          <w:sz w:val="28"/>
          <w:szCs w:val="28"/>
        </w:rPr>
        <w:t xml:space="preserve"> that such a sanction should be implemented. What this conduct was is not disclosed in the applicant's founding affidavit,</w:t>
      </w:r>
      <w:r w:rsidR="00E326D7">
        <w:rPr>
          <w:rFonts w:ascii="Times New Roman" w:hAnsi="Times New Roman"/>
          <w:color w:val="000000"/>
          <w:sz w:val="28"/>
          <w:szCs w:val="28"/>
        </w:rPr>
        <w:t xml:space="preserve"> </w:t>
      </w:r>
      <w:r w:rsidR="009D30DC">
        <w:rPr>
          <w:rFonts w:ascii="Times New Roman" w:hAnsi="Times New Roman"/>
          <w:color w:val="000000"/>
          <w:sz w:val="28"/>
          <w:szCs w:val="28"/>
        </w:rPr>
        <w:t>but in its</w:t>
      </w:r>
      <w:r w:rsidRPr="00274504">
        <w:rPr>
          <w:rFonts w:ascii="Times New Roman" w:hAnsi="Times New Roman"/>
          <w:color w:val="000000"/>
          <w:sz w:val="28"/>
          <w:szCs w:val="28"/>
        </w:rPr>
        <w:t xml:space="preserve"> replying affidavit it sets the record straight that </w:t>
      </w:r>
      <w:r w:rsidR="00DE30A3">
        <w:rPr>
          <w:rFonts w:ascii="Times New Roman" w:hAnsi="Times New Roman"/>
          <w:color w:val="000000"/>
          <w:sz w:val="28"/>
          <w:szCs w:val="28"/>
        </w:rPr>
        <w:t>t</w:t>
      </w:r>
      <w:r w:rsidRPr="00274504">
        <w:rPr>
          <w:rFonts w:ascii="Times New Roman" w:hAnsi="Times New Roman"/>
          <w:color w:val="000000"/>
          <w:sz w:val="28"/>
          <w:szCs w:val="28"/>
        </w:rPr>
        <w:t>he</w:t>
      </w:r>
      <w:r w:rsidR="00DE30A3">
        <w:rPr>
          <w:rFonts w:ascii="Times New Roman" w:hAnsi="Times New Roman"/>
          <w:color w:val="000000"/>
          <w:sz w:val="28"/>
          <w:szCs w:val="28"/>
        </w:rPr>
        <w:t xml:space="preserve"> first respondent was </w:t>
      </w:r>
      <w:r w:rsidR="006E5021">
        <w:rPr>
          <w:rFonts w:ascii="Times New Roman" w:hAnsi="Times New Roman"/>
          <w:color w:val="000000"/>
          <w:sz w:val="28"/>
          <w:szCs w:val="28"/>
        </w:rPr>
        <w:t>“</w:t>
      </w:r>
      <w:r w:rsidR="00DE30A3">
        <w:rPr>
          <w:rFonts w:ascii="Times New Roman" w:hAnsi="Times New Roman"/>
          <w:color w:val="000000"/>
          <w:sz w:val="28"/>
          <w:szCs w:val="28"/>
        </w:rPr>
        <w:t>found guilty</w:t>
      </w:r>
      <w:r w:rsidR="006E5021">
        <w:rPr>
          <w:rFonts w:ascii="Times New Roman" w:hAnsi="Times New Roman"/>
          <w:color w:val="000000"/>
          <w:sz w:val="28"/>
          <w:szCs w:val="28"/>
        </w:rPr>
        <w:t>”</w:t>
      </w:r>
      <w:r w:rsidR="00DE30A3">
        <w:rPr>
          <w:rFonts w:ascii="Times New Roman" w:hAnsi="Times New Roman"/>
          <w:color w:val="000000"/>
          <w:sz w:val="28"/>
          <w:szCs w:val="28"/>
        </w:rPr>
        <w:t xml:space="preserve"> </w:t>
      </w:r>
      <w:r w:rsidRPr="00274504">
        <w:rPr>
          <w:rFonts w:ascii="Times New Roman" w:hAnsi="Times New Roman"/>
          <w:color w:val="000000"/>
          <w:sz w:val="28"/>
          <w:szCs w:val="28"/>
        </w:rPr>
        <w:t xml:space="preserve">on 11 separate charges, involving </w:t>
      </w:r>
      <w:r w:rsidRPr="00DE30A3">
        <w:rPr>
          <w:rFonts w:ascii="Times New Roman" w:hAnsi="Times New Roman"/>
          <w:i/>
          <w:color w:val="000000"/>
          <w:sz w:val="28"/>
          <w:szCs w:val="28"/>
        </w:rPr>
        <w:t>inter alia</w:t>
      </w:r>
      <w:r w:rsidRPr="00274504">
        <w:rPr>
          <w:rFonts w:ascii="Times New Roman" w:hAnsi="Times New Roman"/>
          <w:color w:val="000000"/>
          <w:sz w:val="28"/>
          <w:szCs w:val="28"/>
        </w:rPr>
        <w:t xml:space="preserve"> dishonesty, which w</w:t>
      </w:r>
      <w:r w:rsidR="00DE30A3">
        <w:rPr>
          <w:rFonts w:ascii="Times New Roman" w:hAnsi="Times New Roman"/>
          <w:color w:val="000000"/>
          <w:sz w:val="28"/>
          <w:szCs w:val="28"/>
        </w:rPr>
        <w:t>ere</w:t>
      </w:r>
      <w:r w:rsidRPr="00274504">
        <w:rPr>
          <w:rFonts w:ascii="Times New Roman" w:hAnsi="Times New Roman"/>
          <w:color w:val="000000"/>
          <w:sz w:val="28"/>
          <w:szCs w:val="28"/>
        </w:rPr>
        <w:t xml:space="preserve"> not limited only to the steps taken by him to benefit from the will of the late Mr. Israel Bayer</w:t>
      </w:r>
      <w:r w:rsidR="00DE30A3">
        <w:rPr>
          <w:rFonts w:ascii="Times New Roman" w:hAnsi="Times New Roman"/>
          <w:color w:val="000000"/>
          <w:sz w:val="28"/>
          <w:szCs w:val="28"/>
        </w:rPr>
        <w:t>”</w:t>
      </w:r>
      <w:r w:rsidRPr="00274504">
        <w:rPr>
          <w:rFonts w:ascii="Times New Roman" w:hAnsi="Times New Roman"/>
          <w:color w:val="000000"/>
          <w:sz w:val="28"/>
          <w:szCs w:val="28"/>
        </w:rPr>
        <w:t xml:space="preserve">.  </w:t>
      </w:r>
    </w:p>
    <w:p w14:paraId="2EAA207E"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4FAD4343"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first</w:t>
      </w:r>
      <w:r w:rsidR="00D76A85">
        <w:rPr>
          <w:rFonts w:ascii="Times New Roman" w:hAnsi="Times New Roman"/>
          <w:color w:val="000000"/>
          <w:sz w:val="28"/>
          <w:szCs w:val="28"/>
        </w:rPr>
        <w:t xml:space="preserve"> respondent volunteered in his answering</w:t>
      </w:r>
      <w:r w:rsidRPr="00274504">
        <w:rPr>
          <w:rFonts w:ascii="Times New Roman" w:hAnsi="Times New Roman"/>
          <w:color w:val="000000"/>
          <w:sz w:val="28"/>
          <w:szCs w:val="28"/>
        </w:rPr>
        <w:t xml:space="preserve"> affidavit what had happened regarding the will of the late Mr. Bayer</w:t>
      </w:r>
      <w:r w:rsidR="00391C39">
        <w:rPr>
          <w:rFonts w:ascii="Times New Roman" w:hAnsi="Times New Roman"/>
          <w:color w:val="000000"/>
          <w:sz w:val="28"/>
          <w:szCs w:val="28"/>
        </w:rPr>
        <w:t xml:space="preserve"> (“the deceased”)</w:t>
      </w:r>
      <w:r w:rsidR="00A816BB">
        <w:rPr>
          <w:rFonts w:ascii="Times New Roman" w:hAnsi="Times New Roman"/>
          <w:color w:val="000000"/>
          <w:sz w:val="28"/>
          <w:szCs w:val="28"/>
        </w:rPr>
        <w:t>,</w:t>
      </w:r>
      <w:r w:rsidR="006E5021">
        <w:rPr>
          <w:rFonts w:ascii="Times New Roman" w:hAnsi="Times New Roman"/>
          <w:color w:val="000000"/>
          <w:sz w:val="28"/>
          <w:szCs w:val="28"/>
        </w:rPr>
        <w:t xml:space="preserve"> although this is not the d</w:t>
      </w:r>
      <w:r w:rsidR="00D76A85">
        <w:rPr>
          <w:rFonts w:ascii="Times New Roman" w:hAnsi="Times New Roman"/>
          <w:color w:val="000000"/>
          <w:sz w:val="28"/>
          <w:szCs w:val="28"/>
        </w:rPr>
        <w:t>ispute on which their plea</w:t>
      </w:r>
      <w:r w:rsidR="00E326D7">
        <w:rPr>
          <w:rFonts w:ascii="Times New Roman" w:hAnsi="Times New Roman"/>
          <w:color w:val="000000"/>
          <w:sz w:val="28"/>
          <w:szCs w:val="28"/>
        </w:rPr>
        <w:t xml:space="preserve"> of </w:t>
      </w:r>
      <w:r w:rsidR="00D76A85">
        <w:rPr>
          <w:rFonts w:ascii="Times New Roman" w:hAnsi="Times New Roman"/>
          <w:color w:val="000000"/>
          <w:sz w:val="28"/>
          <w:szCs w:val="28"/>
        </w:rPr>
        <w:t>“</w:t>
      </w:r>
      <w:r w:rsidR="00E326D7" w:rsidRPr="00E326D7">
        <w:rPr>
          <w:rFonts w:ascii="Times New Roman" w:hAnsi="Times New Roman"/>
          <w:i/>
          <w:color w:val="000000"/>
          <w:sz w:val="28"/>
          <w:szCs w:val="28"/>
        </w:rPr>
        <w:t>lis pendens</w:t>
      </w:r>
      <w:r w:rsidR="00D76A85">
        <w:rPr>
          <w:rFonts w:ascii="Times New Roman" w:hAnsi="Times New Roman"/>
          <w:i/>
          <w:color w:val="000000"/>
          <w:sz w:val="28"/>
          <w:szCs w:val="28"/>
        </w:rPr>
        <w:t>”</w:t>
      </w:r>
      <w:r w:rsidR="00E326D7" w:rsidRPr="00E326D7">
        <w:rPr>
          <w:rFonts w:ascii="Times New Roman" w:hAnsi="Times New Roman"/>
          <w:i/>
          <w:color w:val="000000"/>
          <w:sz w:val="28"/>
          <w:szCs w:val="28"/>
        </w:rPr>
        <w:t xml:space="preserve"> </w:t>
      </w:r>
      <w:r w:rsidR="00E326D7">
        <w:rPr>
          <w:rFonts w:ascii="Times New Roman" w:hAnsi="Times New Roman"/>
          <w:color w:val="000000"/>
          <w:sz w:val="28"/>
          <w:szCs w:val="28"/>
        </w:rPr>
        <w:t xml:space="preserve">is </w:t>
      </w:r>
      <w:r w:rsidR="00B94175">
        <w:rPr>
          <w:rFonts w:ascii="Times New Roman" w:hAnsi="Times New Roman"/>
          <w:color w:val="000000"/>
          <w:sz w:val="28"/>
          <w:szCs w:val="28"/>
        </w:rPr>
        <w:t xml:space="preserve">directly </w:t>
      </w:r>
      <w:r w:rsidR="00E326D7">
        <w:rPr>
          <w:rFonts w:ascii="Times New Roman" w:hAnsi="Times New Roman"/>
          <w:color w:val="000000"/>
          <w:sz w:val="28"/>
          <w:szCs w:val="28"/>
        </w:rPr>
        <w:t>founded</w:t>
      </w:r>
      <w:r w:rsidRPr="00274504">
        <w:rPr>
          <w:rFonts w:ascii="Times New Roman" w:hAnsi="Times New Roman"/>
          <w:color w:val="000000"/>
          <w:sz w:val="28"/>
          <w:szCs w:val="28"/>
        </w:rPr>
        <w:t>. He explained that he had developed a personal relationship with the deceased and assisted him with his affairs. The latter, in his last will and testament dated 22 March 2018, had bequeathed one third of his estate to him, the first respondent. The congregation and the East London Chevra Kadisha</w:t>
      </w:r>
      <w:r w:rsidR="00391C39">
        <w:rPr>
          <w:rFonts w:ascii="Times New Roman" w:hAnsi="Times New Roman"/>
          <w:color w:val="000000"/>
          <w:sz w:val="28"/>
          <w:szCs w:val="28"/>
        </w:rPr>
        <w:t xml:space="preserve"> (also known as the EL Helping Hand and Burial Society</w:t>
      </w:r>
      <w:r w:rsidR="009C49D8">
        <w:rPr>
          <w:rFonts w:ascii="Times New Roman" w:hAnsi="Times New Roman"/>
          <w:color w:val="000000"/>
          <w:sz w:val="28"/>
          <w:szCs w:val="28"/>
        </w:rPr>
        <w:t xml:space="preserve"> (“the Society”)</w:t>
      </w:r>
      <w:r w:rsidR="00F128D3">
        <w:rPr>
          <w:rFonts w:ascii="Times New Roman" w:hAnsi="Times New Roman"/>
          <w:color w:val="000000"/>
          <w:sz w:val="28"/>
          <w:szCs w:val="28"/>
        </w:rPr>
        <w:t>)</w:t>
      </w:r>
      <w:r w:rsidRPr="00274504">
        <w:rPr>
          <w:rFonts w:ascii="Times New Roman" w:hAnsi="Times New Roman"/>
          <w:color w:val="000000"/>
          <w:sz w:val="28"/>
          <w:szCs w:val="28"/>
        </w:rPr>
        <w:t xml:space="preserve"> alleged that this last will and testament was a forgery and that the first respondent had, in his own hand, written a portion of the </w:t>
      </w:r>
      <w:r w:rsidR="00391C39">
        <w:rPr>
          <w:rFonts w:ascii="Times New Roman" w:hAnsi="Times New Roman"/>
          <w:color w:val="000000"/>
          <w:sz w:val="28"/>
          <w:szCs w:val="28"/>
        </w:rPr>
        <w:t xml:space="preserve">deceased’s </w:t>
      </w:r>
      <w:r w:rsidRPr="00274504">
        <w:rPr>
          <w:rFonts w:ascii="Times New Roman" w:hAnsi="Times New Roman"/>
          <w:color w:val="000000"/>
          <w:sz w:val="28"/>
          <w:szCs w:val="28"/>
        </w:rPr>
        <w:t>will himself, expunging the</w:t>
      </w:r>
      <w:r w:rsidR="009C49D8">
        <w:rPr>
          <w:rFonts w:ascii="Times New Roman" w:hAnsi="Times New Roman"/>
          <w:color w:val="000000"/>
          <w:sz w:val="28"/>
          <w:szCs w:val="28"/>
        </w:rPr>
        <w:t xml:space="preserve"> Society</w:t>
      </w:r>
      <w:r w:rsidRPr="00274504">
        <w:rPr>
          <w:rFonts w:ascii="Times New Roman" w:hAnsi="Times New Roman"/>
          <w:color w:val="000000"/>
          <w:sz w:val="28"/>
          <w:szCs w:val="28"/>
        </w:rPr>
        <w:t xml:space="preserve"> as a beneficiary and substituting himself </w:t>
      </w:r>
      <w:r w:rsidR="00391C39">
        <w:rPr>
          <w:rFonts w:ascii="Times New Roman" w:hAnsi="Times New Roman"/>
          <w:color w:val="000000"/>
          <w:sz w:val="28"/>
          <w:szCs w:val="28"/>
        </w:rPr>
        <w:t xml:space="preserve">in </w:t>
      </w:r>
      <w:r w:rsidR="009C49D8">
        <w:rPr>
          <w:rFonts w:ascii="Times New Roman" w:hAnsi="Times New Roman"/>
          <w:color w:val="000000"/>
          <w:sz w:val="28"/>
          <w:szCs w:val="28"/>
        </w:rPr>
        <w:t>its</w:t>
      </w:r>
      <w:r w:rsidR="00391C39">
        <w:rPr>
          <w:rFonts w:ascii="Times New Roman" w:hAnsi="Times New Roman"/>
          <w:color w:val="000000"/>
          <w:sz w:val="28"/>
          <w:szCs w:val="28"/>
        </w:rPr>
        <w:t xml:space="preserve"> place in respect of the one third portion tha</w:t>
      </w:r>
      <w:r w:rsidR="009C49D8">
        <w:rPr>
          <w:rFonts w:ascii="Times New Roman" w:hAnsi="Times New Roman"/>
          <w:color w:val="000000"/>
          <w:sz w:val="28"/>
          <w:szCs w:val="28"/>
        </w:rPr>
        <w:t>t the deceased had in his penultimate w</w:t>
      </w:r>
      <w:r w:rsidR="00391C39">
        <w:rPr>
          <w:rFonts w:ascii="Times New Roman" w:hAnsi="Times New Roman"/>
          <w:color w:val="000000"/>
          <w:sz w:val="28"/>
          <w:szCs w:val="28"/>
        </w:rPr>
        <w:t xml:space="preserve">ill </w:t>
      </w:r>
      <w:r w:rsidR="00722E84">
        <w:rPr>
          <w:rFonts w:ascii="Times New Roman" w:hAnsi="Times New Roman"/>
          <w:color w:val="000000"/>
          <w:sz w:val="28"/>
          <w:szCs w:val="28"/>
        </w:rPr>
        <w:t xml:space="preserve">bequeathed </w:t>
      </w:r>
      <w:r w:rsidR="00391C39">
        <w:rPr>
          <w:rFonts w:ascii="Times New Roman" w:hAnsi="Times New Roman"/>
          <w:color w:val="000000"/>
          <w:sz w:val="28"/>
          <w:szCs w:val="28"/>
        </w:rPr>
        <w:t>t</w:t>
      </w:r>
      <w:r w:rsidR="00722E84">
        <w:rPr>
          <w:rFonts w:ascii="Times New Roman" w:hAnsi="Times New Roman"/>
          <w:color w:val="000000"/>
          <w:sz w:val="28"/>
          <w:szCs w:val="28"/>
        </w:rPr>
        <w:t xml:space="preserve">o </w:t>
      </w:r>
      <w:r w:rsidR="00D76A85">
        <w:rPr>
          <w:rFonts w:ascii="Times New Roman" w:hAnsi="Times New Roman"/>
          <w:color w:val="000000"/>
          <w:sz w:val="28"/>
          <w:szCs w:val="28"/>
        </w:rPr>
        <w:t>it</w:t>
      </w:r>
      <w:r w:rsidRPr="00274504">
        <w:rPr>
          <w:rFonts w:ascii="Times New Roman" w:hAnsi="Times New Roman"/>
          <w:color w:val="000000"/>
          <w:sz w:val="28"/>
          <w:szCs w:val="28"/>
        </w:rPr>
        <w:t xml:space="preserve">. </w:t>
      </w:r>
    </w:p>
    <w:p w14:paraId="44FA31BD"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4D52F5AD" w14:textId="77777777" w:rsidR="00274504" w:rsidRPr="00274504" w:rsidRDefault="006E502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His accusers</w:t>
      </w:r>
      <w:r w:rsidR="009C49D8">
        <w:rPr>
          <w:rFonts w:ascii="Times New Roman" w:hAnsi="Times New Roman"/>
          <w:color w:val="000000"/>
          <w:sz w:val="28"/>
          <w:szCs w:val="28"/>
        </w:rPr>
        <w:t xml:space="preserve"> (both the applicant and the Society)</w:t>
      </w:r>
      <w:r w:rsidR="007E7FCA" w:rsidRPr="00274504">
        <w:rPr>
          <w:rFonts w:ascii="Times New Roman" w:hAnsi="Times New Roman"/>
          <w:color w:val="000000"/>
          <w:sz w:val="28"/>
          <w:szCs w:val="28"/>
        </w:rPr>
        <w:t xml:space="preserve"> further alleged that the two persons who had signed as witnesses to the will had not been present when the deceased signed the will,</w:t>
      </w:r>
      <w:r w:rsidR="00391C39">
        <w:rPr>
          <w:rFonts w:ascii="Times New Roman" w:hAnsi="Times New Roman"/>
          <w:color w:val="000000"/>
          <w:sz w:val="28"/>
          <w:szCs w:val="28"/>
        </w:rPr>
        <w:t xml:space="preserve"> but this acco</w:t>
      </w:r>
      <w:r w:rsidR="00722E84">
        <w:rPr>
          <w:rFonts w:ascii="Times New Roman" w:hAnsi="Times New Roman"/>
          <w:color w:val="000000"/>
          <w:sz w:val="28"/>
          <w:szCs w:val="28"/>
        </w:rPr>
        <w:t xml:space="preserve">rding to the first respondent </w:t>
      </w:r>
      <w:r w:rsidR="009C49D8">
        <w:rPr>
          <w:rFonts w:ascii="Times New Roman" w:hAnsi="Times New Roman"/>
          <w:color w:val="000000"/>
          <w:sz w:val="28"/>
          <w:szCs w:val="28"/>
        </w:rPr>
        <w:t>is</w:t>
      </w:r>
      <w:r w:rsidR="007E7FCA" w:rsidRPr="00274504">
        <w:rPr>
          <w:rFonts w:ascii="Times New Roman" w:hAnsi="Times New Roman"/>
          <w:color w:val="000000"/>
          <w:sz w:val="28"/>
          <w:szCs w:val="28"/>
        </w:rPr>
        <w:t xml:space="preserve"> an unfounded allegation.</w:t>
      </w:r>
    </w:p>
    <w:p w14:paraId="02A7DBC6"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7CA6D9F2"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lastRenderedPageBreak/>
        <w:t>The culmination of the Co</w:t>
      </w:r>
      <w:r w:rsidR="009C49D8">
        <w:rPr>
          <w:rFonts w:ascii="Times New Roman" w:hAnsi="Times New Roman"/>
          <w:color w:val="000000"/>
          <w:sz w:val="28"/>
          <w:szCs w:val="28"/>
        </w:rPr>
        <w:t>ngregation and the Society’s</w:t>
      </w:r>
      <w:r w:rsidRPr="00274504">
        <w:rPr>
          <w:rFonts w:ascii="Times New Roman" w:hAnsi="Times New Roman"/>
          <w:color w:val="000000"/>
          <w:sz w:val="28"/>
          <w:szCs w:val="28"/>
        </w:rPr>
        <w:t xml:space="preserve"> concerns in this respect led to them requesting the Beth-Din to arbitrate</w:t>
      </w:r>
      <w:r w:rsidR="009C49D8">
        <w:rPr>
          <w:rFonts w:ascii="Times New Roman" w:hAnsi="Times New Roman"/>
          <w:color w:val="000000"/>
          <w:sz w:val="28"/>
          <w:szCs w:val="28"/>
        </w:rPr>
        <w:t xml:space="preserve"> </w:t>
      </w:r>
      <w:r w:rsidRPr="00274504">
        <w:rPr>
          <w:rFonts w:ascii="Times New Roman" w:hAnsi="Times New Roman"/>
          <w:color w:val="000000"/>
          <w:sz w:val="28"/>
          <w:szCs w:val="28"/>
        </w:rPr>
        <w:t>th</w:t>
      </w:r>
      <w:r w:rsidR="006E5021">
        <w:rPr>
          <w:rFonts w:ascii="Times New Roman" w:hAnsi="Times New Roman"/>
          <w:color w:val="000000"/>
          <w:sz w:val="28"/>
          <w:szCs w:val="28"/>
        </w:rPr>
        <w:t>at dispute</w:t>
      </w:r>
      <w:r w:rsidR="00A816BB">
        <w:rPr>
          <w:rFonts w:ascii="Times New Roman" w:hAnsi="Times New Roman"/>
          <w:color w:val="000000"/>
          <w:sz w:val="28"/>
          <w:szCs w:val="28"/>
        </w:rPr>
        <w:t xml:space="preserve"> (“the will</w:t>
      </w:r>
      <w:r w:rsidR="00535CC5">
        <w:rPr>
          <w:rFonts w:ascii="Times New Roman" w:hAnsi="Times New Roman"/>
          <w:color w:val="000000"/>
          <w:sz w:val="28"/>
          <w:szCs w:val="28"/>
        </w:rPr>
        <w:t>s dispute</w:t>
      </w:r>
      <w:r w:rsidR="00A816BB">
        <w:rPr>
          <w:rFonts w:ascii="Times New Roman" w:hAnsi="Times New Roman"/>
          <w:color w:val="000000"/>
          <w:sz w:val="28"/>
          <w:szCs w:val="28"/>
        </w:rPr>
        <w:t>”</w:t>
      </w:r>
      <w:r w:rsidR="00535CC5">
        <w:rPr>
          <w:rFonts w:ascii="Times New Roman" w:hAnsi="Times New Roman"/>
          <w:color w:val="000000"/>
          <w:sz w:val="28"/>
          <w:szCs w:val="28"/>
        </w:rPr>
        <w:t>)</w:t>
      </w:r>
      <w:r w:rsidRPr="00274504">
        <w:rPr>
          <w:rFonts w:ascii="Times New Roman" w:hAnsi="Times New Roman"/>
          <w:color w:val="000000"/>
          <w:sz w:val="28"/>
          <w:szCs w:val="28"/>
        </w:rPr>
        <w:t>. A copy of their agreement in this respect, dated 19 September 2019</w:t>
      </w:r>
      <w:r w:rsidR="009C49D8">
        <w:rPr>
          <w:rFonts w:ascii="Times New Roman" w:hAnsi="Times New Roman"/>
          <w:color w:val="000000"/>
          <w:sz w:val="28"/>
          <w:szCs w:val="28"/>
        </w:rPr>
        <w:t>,</w:t>
      </w:r>
      <w:r w:rsidRPr="00274504">
        <w:rPr>
          <w:rFonts w:ascii="Times New Roman" w:hAnsi="Times New Roman"/>
          <w:color w:val="000000"/>
          <w:sz w:val="28"/>
          <w:szCs w:val="28"/>
        </w:rPr>
        <w:t xml:space="preserve"> confirms that the “parties voluntarily agree to submit the matters of controversy between them concerning the will of the late Israel Bayer” and “</w:t>
      </w:r>
      <w:r w:rsidRPr="00770DC8">
        <w:rPr>
          <w:rFonts w:ascii="Times New Roman" w:hAnsi="Times New Roman"/>
          <w:i/>
          <w:color w:val="000000"/>
          <w:sz w:val="28"/>
          <w:szCs w:val="28"/>
        </w:rPr>
        <w:t>all related matters”</w:t>
      </w:r>
      <w:r w:rsidRPr="00274504">
        <w:rPr>
          <w:rFonts w:ascii="Times New Roman" w:hAnsi="Times New Roman"/>
          <w:color w:val="000000"/>
          <w:sz w:val="28"/>
          <w:szCs w:val="28"/>
        </w:rPr>
        <w:t xml:space="preserve"> to the arbitration of the Johannesbur</w:t>
      </w:r>
      <w:r w:rsidR="00535CC5">
        <w:rPr>
          <w:rFonts w:ascii="Times New Roman" w:hAnsi="Times New Roman"/>
          <w:color w:val="000000"/>
          <w:sz w:val="28"/>
          <w:szCs w:val="28"/>
        </w:rPr>
        <w:t>g Beth-Din comprising of two named Dayanim (</w:t>
      </w:r>
      <w:r w:rsidR="00AA29D5">
        <w:rPr>
          <w:rFonts w:ascii="Times New Roman" w:hAnsi="Times New Roman"/>
          <w:color w:val="000000"/>
          <w:sz w:val="28"/>
          <w:szCs w:val="28"/>
        </w:rPr>
        <w:t>Rabbinic</w:t>
      </w:r>
      <w:r w:rsidR="00D344DB">
        <w:rPr>
          <w:rFonts w:ascii="Times New Roman" w:hAnsi="Times New Roman"/>
          <w:color w:val="000000"/>
          <w:sz w:val="28"/>
          <w:szCs w:val="28"/>
        </w:rPr>
        <w:t xml:space="preserve"> Judges)</w:t>
      </w:r>
      <w:r w:rsidRPr="00274504">
        <w:rPr>
          <w:rFonts w:ascii="Times New Roman" w:hAnsi="Times New Roman"/>
          <w:color w:val="000000"/>
          <w:sz w:val="28"/>
          <w:szCs w:val="28"/>
        </w:rPr>
        <w:t xml:space="preserve">. </w:t>
      </w:r>
    </w:p>
    <w:p w14:paraId="280420C3"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4169AF62" w14:textId="77777777" w:rsidR="00274504" w:rsidRPr="00C83939"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 xml:space="preserve">It was a material term of this </w:t>
      </w:r>
      <w:r w:rsidR="006E5021">
        <w:rPr>
          <w:rFonts w:ascii="Times New Roman" w:hAnsi="Times New Roman"/>
          <w:color w:val="000000"/>
          <w:sz w:val="28"/>
          <w:szCs w:val="28"/>
        </w:rPr>
        <w:t xml:space="preserve">arbitration </w:t>
      </w:r>
      <w:r w:rsidRPr="00274504">
        <w:rPr>
          <w:rFonts w:ascii="Times New Roman" w:hAnsi="Times New Roman"/>
          <w:color w:val="000000"/>
          <w:sz w:val="28"/>
          <w:szCs w:val="28"/>
        </w:rPr>
        <w:t>agreement, so the first respondent points out, that the decision of the Beth-Din would be final and binding on them and that the “matters contained therein would remain in the sole jurisdiction of the Beis Din, not subject to that of any other Beis Din or court, to modify, appeal or enforce, without the written consent of the Beis Din.”</w:t>
      </w:r>
      <w:r w:rsidR="00391C39">
        <w:rPr>
          <w:rStyle w:val="FootnoteReference"/>
          <w:rFonts w:ascii="Times New Roman" w:hAnsi="Times New Roman"/>
          <w:color w:val="000000"/>
          <w:sz w:val="28"/>
          <w:szCs w:val="28"/>
        </w:rPr>
        <w:footnoteReference w:id="16"/>
      </w:r>
      <w:r w:rsidR="00391C39">
        <w:rPr>
          <w:rFonts w:ascii="Times New Roman" w:hAnsi="Times New Roman"/>
          <w:color w:val="000000"/>
          <w:sz w:val="28"/>
          <w:szCs w:val="28"/>
        </w:rPr>
        <w:t xml:space="preserve"> </w:t>
      </w:r>
      <w:r w:rsidRPr="00274504">
        <w:rPr>
          <w:rFonts w:ascii="Times New Roman" w:hAnsi="Times New Roman"/>
          <w:color w:val="000000"/>
          <w:sz w:val="28"/>
          <w:szCs w:val="28"/>
        </w:rPr>
        <w:t xml:space="preserve"> In a copy of the decision of the Beth Din put up by the first respondent</w:t>
      </w:r>
      <w:r w:rsidR="00A816BB">
        <w:rPr>
          <w:rFonts w:ascii="Times New Roman" w:hAnsi="Times New Roman"/>
          <w:color w:val="000000"/>
          <w:sz w:val="28"/>
          <w:szCs w:val="28"/>
        </w:rPr>
        <w:t>,</w:t>
      </w:r>
      <w:r w:rsidRPr="00274504">
        <w:rPr>
          <w:rFonts w:ascii="Times New Roman" w:hAnsi="Times New Roman"/>
          <w:color w:val="000000"/>
          <w:sz w:val="28"/>
          <w:szCs w:val="28"/>
        </w:rPr>
        <w:t xml:space="preserve"> </w:t>
      </w:r>
      <w:r w:rsidR="00391C39">
        <w:rPr>
          <w:rFonts w:ascii="Times New Roman" w:hAnsi="Times New Roman"/>
          <w:color w:val="000000"/>
          <w:sz w:val="28"/>
          <w:szCs w:val="28"/>
        </w:rPr>
        <w:t xml:space="preserve">on the face of it </w:t>
      </w:r>
      <w:r w:rsidRPr="00274504">
        <w:rPr>
          <w:rFonts w:ascii="Times New Roman" w:hAnsi="Times New Roman"/>
          <w:color w:val="000000"/>
          <w:sz w:val="28"/>
          <w:szCs w:val="28"/>
        </w:rPr>
        <w:t>t</w:t>
      </w:r>
      <w:r w:rsidR="00391C39">
        <w:rPr>
          <w:rFonts w:ascii="Times New Roman" w:hAnsi="Times New Roman"/>
          <w:color w:val="000000"/>
          <w:sz w:val="28"/>
          <w:szCs w:val="28"/>
        </w:rPr>
        <w:t>he parties (as claimants) i</w:t>
      </w:r>
      <w:r w:rsidRPr="00274504">
        <w:rPr>
          <w:rFonts w:ascii="Times New Roman" w:hAnsi="Times New Roman"/>
          <w:color w:val="000000"/>
          <w:sz w:val="28"/>
          <w:szCs w:val="28"/>
        </w:rPr>
        <w:t xml:space="preserve">nclude both the Congregation and the </w:t>
      </w:r>
      <w:r w:rsidR="009C49D8">
        <w:rPr>
          <w:rFonts w:ascii="Times New Roman" w:hAnsi="Times New Roman"/>
          <w:color w:val="000000"/>
          <w:sz w:val="28"/>
          <w:szCs w:val="28"/>
        </w:rPr>
        <w:t>Society</w:t>
      </w:r>
      <w:r w:rsidRPr="00274504">
        <w:rPr>
          <w:rFonts w:ascii="Times New Roman" w:hAnsi="Times New Roman"/>
          <w:color w:val="000000"/>
          <w:sz w:val="28"/>
          <w:szCs w:val="28"/>
        </w:rPr>
        <w:t xml:space="preserve"> (represented by </w:t>
      </w:r>
      <w:r w:rsidR="00AA29D5" w:rsidRPr="00274504">
        <w:rPr>
          <w:rFonts w:ascii="Times New Roman" w:hAnsi="Times New Roman"/>
          <w:color w:val="000000"/>
          <w:sz w:val="28"/>
          <w:szCs w:val="28"/>
        </w:rPr>
        <w:t>Messrs.</w:t>
      </w:r>
      <w:r w:rsidRPr="00274504">
        <w:rPr>
          <w:rFonts w:ascii="Times New Roman" w:hAnsi="Times New Roman"/>
          <w:color w:val="000000"/>
          <w:sz w:val="28"/>
          <w:szCs w:val="28"/>
        </w:rPr>
        <w:t xml:space="preserve"> Aufrichtig and Robinson,</w:t>
      </w:r>
      <w:r w:rsidR="00D344DB">
        <w:rPr>
          <w:rStyle w:val="FootnoteReference"/>
          <w:rFonts w:ascii="Times New Roman" w:hAnsi="Times New Roman"/>
          <w:color w:val="000000"/>
          <w:sz w:val="28"/>
          <w:szCs w:val="28"/>
        </w:rPr>
        <w:footnoteReference w:id="17"/>
      </w:r>
      <w:r w:rsidRPr="00274504">
        <w:rPr>
          <w:rFonts w:ascii="Times New Roman" w:hAnsi="Times New Roman"/>
          <w:color w:val="000000"/>
          <w:sz w:val="28"/>
          <w:szCs w:val="28"/>
        </w:rPr>
        <w:t xml:space="preserve"> and </w:t>
      </w:r>
      <w:r w:rsidR="00AA29D5" w:rsidRPr="00274504">
        <w:rPr>
          <w:rFonts w:ascii="Times New Roman" w:hAnsi="Times New Roman"/>
          <w:color w:val="000000"/>
          <w:sz w:val="28"/>
          <w:szCs w:val="28"/>
        </w:rPr>
        <w:t>Mrs.</w:t>
      </w:r>
      <w:r w:rsidRPr="00274504">
        <w:rPr>
          <w:rFonts w:ascii="Times New Roman" w:hAnsi="Times New Roman"/>
          <w:color w:val="000000"/>
          <w:sz w:val="28"/>
          <w:szCs w:val="28"/>
        </w:rPr>
        <w:t xml:space="preserve"> Ettinger respectively). The claim is defined in the following terms:</w:t>
      </w:r>
    </w:p>
    <w:p w14:paraId="0E7A1494" w14:textId="77777777" w:rsidR="00C83939" w:rsidRPr="00C83939" w:rsidRDefault="00C83939" w:rsidP="00C83939">
      <w:pPr>
        <w:pStyle w:val="ListParagraph"/>
        <w:rPr>
          <w:rFonts w:ascii="Times New Roman" w:hAnsi="Times New Roman"/>
          <w:b/>
          <w:sz w:val="28"/>
          <w:szCs w:val="28"/>
        </w:rPr>
      </w:pPr>
    </w:p>
    <w:p w14:paraId="7C741A4C" w14:textId="77777777" w:rsidR="00274504" w:rsidRPr="00AE7D13" w:rsidRDefault="00AE7D13" w:rsidP="00D46D76">
      <w:pPr>
        <w:widowControl w:val="0"/>
        <w:tabs>
          <w:tab w:val="left" w:pos="1134"/>
        </w:tabs>
        <w:autoSpaceDE w:val="0"/>
        <w:autoSpaceDN w:val="0"/>
        <w:adjustRightInd w:val="0"/>
        <w:spacing w:line="360" w:lineRule="auto"/>
        <w:ind w:firstLine="720"/>
        <w:contextualSpacing/>
        <w:rPr>
          <w:rFonts w:ascii="Times New Roman" w:hAnsi="Times New Roman" w:cs="Times New Roman"/>
          <w:color w:val="000000"/>
        </w:rPr>
      </w:pPr>
      <w:r w:rsidRPr="00AE7D13">
        <w:rPr>
          <w:rFonts w:ascii="Times New Roman" w:hAnsi="Times New Roman" w:cs="Times New Roman"/>
          <w:color w:val="000000"/>
        </w:rPr>
        <w:t>“</w:t>
      </w:r>
      <w:r w:rsidRPr="00AE7D13">
        <w:rPr>
          <w:rFonts w:ascii="Times New Roman" w:hAnsi="Times New Roman" w:cs="Times New Roman"/>
          <w:b/>
          <w:color w:val="000000"/>
        </w:rPr>
        <w:t>CLAIM</w:t>
      </w:r>
    </w:p>
    <w:p w14:paraId="0D21E015" w14:textId="77777777" w:rsidR="00AE7D13" w:rsidRPr="00AE7D13" w:rsidRDefault="00AE7D13"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AE7D13">
        <w:rPr>
          <w:rFonts w:ascii="Times New Roman" w:hAnsi="Times New Roman" w:cs="Times New Roman"/>
          <w:color w:val="000000"/>
        </w:rPr>
        <w:t>The claimant avers that the final Will, dated the 22</w:t>
      </w:r>
      <w:r w:rsidRPr="00AE7D13">
        <w:rPr>
          <w:rFonts w:ascii="Times New Roman" w:hAnsi="Times New Roman" w:cs="Times New Roman"/>
          <w:color w:val="000000"/>
          <w:vertAlign w:val="superscript"/>
        </w:rPr>
        <w:t>nd</w:t>
      </w:r>
      <w:r w:rsidRPr="00AE7D13">
        <w:rPr>
          <w:rFonts w:ascii="Times New Roman" w:hAnsi="Times New Roman" w:cs="Times New Roman"/>
          <w:color w:val="000000"/>
        </w:rPr>
        <w:t xml:space="preserve"> of March 2018, was in fact a forgery.  The assertion is that the Respondent wrote the handwritten portion of the Will himself, expunging the ELCK</w:t>
      </w:r>
      <w:r w:rsidR="00D344DB" w:rsidRPr="00D344DB">
        <w:rPr>
          <w:rStyle w:val="FootnoteReference"/>
          <w:rFonts w:ascii="Times New Roman" w:hAnsi="Times New Roman" w:cs="Times New Roman"/>
          <w:color w:val="000000"/>
          <w:sz w:val="28"/>
          <w:szCs w:val="28"/>
        </w:rPr>
        <w:footnoteReference w:id="18"/>
      </w:r>
      <w:r w:rsidRPr="00AE7D13">
        <w:rPr>
          <w:rFonts w:ascii="Times New Roman" w:hAnsi="Times New Roman" w:cs="Times New Roman"/>
          <w:color w:val="000000"/>
        </w:rPr>
        <w:t xml:space="preserve"> from the Will and placing himself as a beneficiary instead.  The Claimant further contends that the signature of the deceased was a forgery and that the witnesses who signed as witnesses to the Will, were not present when the deceased appended his signature to said Will.</w:t>
      </w:r>
    </w:p>
    <w:p w14:paraId="679E2C84" w14:textId="77777777" w:rsidR="00AE7D13" w:rsidRDefault="00AE7D13" w:rsidP="00D46D76">
      <w:pPr>
        <w:widowControl w:val="0"/>
        <w:autoSpaceDE w:val="0"/>
        <w:autoSpaceDN w:val="0"/>
        <w:adjustRightInd w:val="0"/>
        <w:spacing w:line="360" w:lineRule="auto"/>
        <w:contextualSpacing/>
        <w:rPr>
          <w:rFonts w:ascii="Times New Roman" w:hAnsi="Times New Roman" w:cs="Times New Roman"/>
          <w:color w:val="000000"/>
        </w:rPr>
      </w:pPr>
      <w:r w:rsidRPr="00AE7D13">
        <w:rPr>
          <w:rFonts w:ascii="Times New Roman" w:hAnsi="Times New Roman" w:cs="Times New Roman"/>
          <w:color w:val="000000"/>
        </w:rPr>
        <w:tab/>
      </w:r>
    </w:p>
    <w:p w14:paraId="3A1EA835" w14:textId="77777777" w:rsidR="00AE7D13" w:rsidRPr="00AE7D13" w:rsidRDefault="00AE7D13" w:rsidP="00D46D76">
      <w:pPr>
        <w:widowControl w:val="0"/>
        <w:autoSpaceDE w:val="0"/>
        <w:autoSpaceDN w:val="0"/>
        <w:adjustRightInd w:val="0"/>
        <w:spacing w:line="360" w:lineRule="auto"/>
        <w:ind w:left="720"/>
        <w:contextualSpacing/>
        <w:rPr>
          <w:rFonts w:ascii="Times New Roman" w:hAnsi="Times New Roman" w:cs="Times New Roman"/>
          <w:color w:val="000000"/>
        </w:rPr>
      </w:pPr>
      <w:r w:rsidRPr="00AE7D13">
        <w:rPr>
          <w:rFonts w:ascii="Times New Roman" w:hAnsi="Times New Roman" w:cs="Times New Roman"/>
          <w:color w:val="000000"/>
        </w:rPr>
        <w:t xml:space="preserve">The Respondent denies having written the hand-written portion of the third and final Will and </w:t>
      </w:r>
      <w:r w:rsidRPr="00AE7D13">
        <w:rPr>
          <w:rFonts w:ascii="Times New Roman" w:hAnsi="Times New Roman" w:cs="Times New Roman"/>
          <w:color w:val="000000"/>
        </w:rPr>
        <w:lastRenderedPageBreak/>
        <w:t>denies having forged the signature on said Will.”</w:t>
      </w:r>
    </w:p>
    <w:p w14:paraId="4527D471" w14:textId="77777777" w:rsidR="00274504" w:rsidRDefault="00274504" w:rsidP="00D46D76">
      <w:pPr>
        <w:pStyle w:val="ListParagraph"/>
        <w:spacing w:after="0" w:line="360" w:lineRule="auto"/>
        <w:rPr>
          <w:rFonts w:ascii="Times New Roman" w:hAnsi="Times New Roman"/>
          <w:color w:val="000000"/>
          <w:sz w:val="28"/>
          <w:szCs w:val="28"/>
        </w:rPr>
      </w:pPr>
    </w:p>
    <w:p w14:paraId="240DCF11" w14:textId="77777777" w:rsidR="00274504" w:rsidRPr="0041033B"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c</w:t>
      </w:r>
      <w:r w:rsidR="00BF2F61">
        <w:rPr>
          <w:rFonts w:ascii="Times New Roman" w:hAnsi="Times New Roman"/>
          <w:color w:val="000000"/>
          <w:sz w:val="28"/>
          <w:szCs w:val="28"/>
        </w:rPr>
        <w:t>onclusion reached in the arbitration</w:t>
      </w:r>
      <w:r w:rsidRPr="00274504">
        <w:rPr>
          <w:rFonts w:ascii="Times New Roman" w:hAnsi="Times New Roman"/>
          <w:color w:val="000000"/>
          <w:sz w:val="28"/>
          <w:szCs w:val="28"/>
        </w:rPr>
        <w:t xml:space="preserve"> by </w:t>
      </w:r>
      <w:r w:rsidR="00D344DB">
        <w:rPr>
          <w:rFonts w:ascii="Times New Roman" w:hAnsi="Times New Roman"/>
          <w:color w:val="000000"/>
          <w:sz w:val="28"/>
          <w:szCs w:val="28"/>
        </w:rPr>
        <w:t>the dayanim</w:t>
      </w:r>
      <w:r w:rsidRPr="00274504">
        <w:rPr>
          <w:rFonts w:ascii="Times New Roman" w:hAnsi="Times New Roman"/>
          <w:color w:val="000000"/>
          <w:sz w:val="28"/>
          <w:szCs w:val="28"/>
        </w:rPr>
        <w:t xml:space="preserve"> after hearing evidence, which included handwriting experts, is </w:t>
      </w:r>
      <w:r w:rsidR="00BF2F61">
        <w:rPr>
          <w:rFonts w:ascii="Times New Roman" w:hAnsi="Times New Roman"/>
          <w:color w:val="000000"/>
          <w:sz w:val="28"/>
          <w:szCs w:val="28"/>
        </w:rPr>
        <w:t xml:space="preserve">recorded </w:t>
      </w:r>
      <w:r w:rsidRPr="00274504">
        <w:rPr>
          <w:rFonts w:ascii="Times New Roman" w:hAnsi="Times New Roman"/>
          <w:color w:val="000000"/>
          <w:sz w:val="28"/>
          <w:szCs w:val="28"/>
        </w:rPr>
        <w:t>as follows:</w:t>
      </w:r>
    </w:p>
    <w:p w14:paraId="40CD74C0" w14:textId="77777777" w:rsidR="0041033B" w:rsidRDefault="0041033B" w:rsidP="0041033B">
      <w:pPr>
        <w:pStyle w:val="ListParagraph"/>
        <w:tabs>
          <w:tab w:val="left" w:pos="0"/>
        </w:tabs>
        <w:spacing w:after="0" w:line="360" w:lineRule="auto"/>
        <w:ind w:left="0"/>
        <w:rPr>
          <w:rFonts w:ascii="Times New Roman" w:hAnsi="Times New Roman"/>
          <w:b/>
          <w:sz w:val="28"/>
          <w:szCs w:val="28"/>
        </w:rPr>
      </w:pPr>
    </w:p>
    <w:p w14:paraId="2504BEB8" w14:textId="77777777" w:rsidR="00274504" w:rsidRDefault="00AE7D13" w:rsidP="00D46D76">
      <w:pPr>
        <w:widowControl w:val="0"/>
        <w:autoSpaceDE w:val="0"/>
        <w:autoSpaceDN w:val="0"/>
        <w:adjustRightInd w:val="0"/>
        <w:spacing w:line="360" w:lineRule="auto"/>
        <w:ind w:left="720"/>
        <w:contextualSpacing/>
        <w:rPr>
          <w:rFonts w:ascii="Times New Roman" w:hAnsi="Times New Roman"/>
        </w:rPr>
      </w:pPr>
      <w:r w:rsidRPr="001F22B0">
        <w:rPr>
          <w:rFonts w:ascii="Times New Roman" w:hAnsi="Times New Roman"/>
        </w:rPr>
        <w:t>“</w:t>
      </w:r>
      <w:r w:rsidR="0046465D" w:rsidRPr="00C83939">
        <w:rPr>
          <w:rFonts w:ascii="Times New Roman" w:hAnsi="Times New Roman"/>
          <w:b/>
        </w:rPr>
        <w:t>CONCLUSION</w:t>
      </w:r>
    </w:p>
    <w:p w14:paraId="421571EF" w14:textId="77777777" w:rsidR="0046465D" w:rsidRDefault="0046465D" w:rsidP="00D46D76">
      <w:pPr>
        <w:widowControl w:val="0"/>
        <w:autoSpaceDE w:val="0"/>
        <w:autoSpaceDN w:val="0"/>
        <w:adjustRightInd w:val="0"/>
        <w:spacing w:line="360" w:lineRule="auto"/>
        <w:ind w:left="720"/>
        <w:contextualSpacing/>
        <w:rPr>
          <w:rFonts w:ascii="Times New Roman" w:hAnsi="Times New Roman"/>
        </w:rPr>
      </w:pPr>
    </w:p>
    <w:p w14:paraId="4BC0B68A" w14:textId="77777777" w:rsidR="0046465D" w:rsidRDefault="0046465D" w:rsidP="00D46D76">
      <w:pPr>
        <w:widowControl w:val="0"/>
        <w:autoSpaceDE w:val="0"/>
        <w:autoSpaceDN w:val="0"/>
        <w:adjustRightInd w:val="0"/>
        <w:spacing w:line="360" w:lineRule="auto"/>
        <w:ind w:left="720"/>
        <w:contextualSpacing/>
        <w:rPr>
          <w:rFonts w:ascii="Times New Roman" w:hAnsi="Times New Roman"/>
        </w:rPr>
      </w:pPr>
      <w:r>
        <w:rPr>
          <w:rFonts w:ascii="Times New Roman" w:hAnsi="Times New Roman"/>
        </w:rPr>
        <w:t>Based on the above the Beth Din finds:</w:t>
      </w:r>
    </w:p>
    <w:p w14:paraId="3B27A85F" w14:textId="77777777" w:rsidR="0046465D" w:rsidRDefault="0046465D" w:rsidP="00D46D76">
      <w:pPr>
        <w:widowControl w:val="0"/>
        <w:autoSpaceDE w:val="0"/>
        <w:autoSpaceDN w:val="0"/>
        <w:adjustRightInd w:val="0"/>
        <w:spacing w:line="360" w:lineRule="auto"/>
        <w:ind w:left="720"/>
        <w:contextualSpacing/>
        <w:rPr>
          <w:rFonts w:ascii="Times New Roman" w:hAnsi="Times New Roman"/>
        </w:rPr>
      </w:pPr>
    </w:p>
    <w:p w14:paraId="7B730EFD" w14:textId="77777777" w:rsidR="0046465D" w:rsidRPr="0046465D" w:rsidRDefault="0046465D" w:rsidP="00D46D76">
      <w:pPr>
        <w:pStyle w:val="ListParagraph"/>
        <w:widowControl w:val="0"/>
        <w:numPr>
          <w:ilvl w:val="0"/>
          <w:numId w:val="8"/>
        </w:numPr>
        <w:autoSpaceDE w:val="0"/>
        <w:autoSpaceDN w:val="0"/>
        <w:adjustRightInd w:val="0"/>
        <w:spacing w:after="0" w:line="360" w:lineRule="auto"/>
        <w:rPr>
          <w:rFonts w:ascii="Times New Roman" w:hAnsi="Times New Roman"/>
        </w:rPr>
      </w:pPr>
      <w:r w:rsidRPr="0046465D">
        <w:rPr>
          <w:rFonts w:ascii="Times New Roman" w:hAnsi="Times New Roman"/>
        </w:rPr>
        <w:t>The Respondent did not write the hand-written portion of the Will.</w:t>
      </w:r>
    </w:p>
    <w:p w14:paraId="0812EEE2" w14:textId="77777777" w:rsidR="0046465D" w:rsidRDefault="0046465D" w:rsidP="00D46D76">
      <w:pPr>
        <w:pStyle w:val="ListParagraph"/>
        <w:widowControl w:val="0"/>
        <w:numPr>
          <w:ilvl w:val="0"/>
          <w:numId w:val="8"/>
        </w:numPr>
        <w:tabs>
          <w:tab w:val="left" w:pos="1134"/>
        </w:tabs>
        <w:autoSpaceDE w:val="0"/>
        <w:autoSpaceDN w:val="0"/>
        <w:adjustRightInd w:val="0"/>
        <w:spacing w:after="0" w:line="360" w:lineRule="auto"/>
        <w:rPr>
          <w:rFonts w:ascii="Times New Roman" w:hAnsi="Times New Roman"/>
        </w:rPr>
      </w:pPr>
      <w:r w:rsidRPr="0046465D">
        <w:rPr>
          <w:rFonts w:ascii="Times New Roman" w:hAnsi="Times New Roman"/>
        </w:rPr>
        <w:t>The Will was signed by the deceased in the presence of the two witnesses who signed on the Will.</w:t>
      </w:r>
    </w:p>
    <w:p w14:paraId="59630807" w14:textId="77777777" w:rsidR="0046465D" w:rsidRPr="0046465D" w:rsidRDefault="0046465D" w:rsidP="00D46D76">
      <w:pPr>
        <w:pStyle w:val="ListParagraph"/>
        <w:widowControl w:val="0"/>
        <w:numPr>
          <w:ilvl w:val="0"/>
          <w:numId w:val="8"/>
        </w:numPr>
        <w:tabs>
          <w:tab w:val="left" w:pos="1134"/>
        </w:tabs>
        <w:autoSpaceDE w:val="0"/>
        <w:autoSpaceDN w:val="0"/>
        <w:adjustRightInd w:val="0"/>
        <w:spacing w:after="0" w:line="360" w:lineRule="auto"/>
        <w:rPr>
          <w:rFonts w:ascii="Times New Roman" w:hAnsi="Times New Roman"/>
        </w:rPr>
      </w:pPr>
      <w:r w:rsidRPr="0046465D">
        <w:rPr>
          <w:rFonts w:ascii="Times New Roman" w:hAnsi="Times New Roman"/>
        </w:rPr>
        <w:t xml:space="preserve">In view of the above, the charge that he forged the signature of the deceased, and </w:t>
      </w:r>
      <w:r w:rsidR="00AA29D5" w:rsidRPr="0046465D">
        <w:rPr>
          <w:rFonts w:ascii="Times New Roman" w:hAnsi="Times New Roman"/>
        </w:rPr>
        <w:t>altered</w:t>
      </w:r>
      <w:r w:rsidRPr="0046465D">
        <w:rPr>
          <w:rFonts w:ascii="Times New Roman" w:hAnsi="Times New Roman"/>
        </w:rPr>
        <w:t xml:space="preserve"> the Will of his own accord in his favour, is rejected and without any merit.”</w:t>
      </w:r>
    </w:p>
    <w:p w14:paraId="4737C9A9" w14:textId="77777777" w:rsidR="001F22B0" w:rsidRDefault="001F22B0" w:rsidP="00D46D76">
      <w:pPr>
        <w:widowControl w:val="0"/>
        <w:autoSpaceDE w:val="0"/>
        <w:autoSpaceDN w:val="0"/>
        <w:adjustRightInd w:val="0"/>
        <w:spacing w:line="360" w:lineRule="auto"/>
        <w:ind w:left="720"/>
        <w:contextualSpacing/>
        <w:rPr>
          <w:rFonts w:ascii="Times New Roman" w:hAnsi="Times New Roman" w:cs="Times New Roman"/>
          <w:color w:val="000000"/>
        </w:rPr>
      </w:pPr>
    </w:p>
    <w:p w14:paraId="42403F6C" w14:textId="77777777" w:rsidR="009C49D8" w:rsidRPr="009C49D8"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13C7B">
        <w:rPr>
          <w:rFonts w:ascii="Times New Roman" w:hAnsi="Times New Roman"/>
          <w:color w:val="000000"/>
          <w:sz w:val="28"/>
          <w:szCs w:val="28"/>
        </w:rPr>
        <w:t>Despite ostensibly</w:t>
      </w:r>
      <w:r w:rsidR="00213C7B" w:rsidRPr="00213C7B">
        <w:rPr>
          <w:rFonts w:ascii="Times New Roman" w:hAnsi="Times New Roman"/>
          <w:color w:val="000000"/>
          <w:sz w:val="28"/>
          <w:szCs w:val="28"/>
        </w:rPr>
        <w:t xml:space="preserve"> having been</w:t>
      </w:r>
      <w:r w:rsidRPr="00213C7B">
        <w:rPr>
          <w:rFonts w:ascii="Times New Roman" w:hAnsi="Times New Roman"/>
          <w:color w:val="000000"/>
          <w:sz w:val="28"/>
          <w:szCs w:val="28"/>
        </w:rPr>
        <w:t xml:space="preserve"> being exonerated of the “claim” by the claimants (including the Congregation</w:t>
      </w:r>
      <w:r w:rsidR="00722E84" w:rsidRPr="00213C7B">
        <w:rPr>
          <w:rFonts w:ascii="Times New Roman" w:hAnsi="Times New Roman"/>
          <w:color w:val="000000"/>
          <w:sz w:val="28"/>
          <w:szCs w:val="28"/>
        </w:rPr>
        <w:t xml:space="preserve"> who was ostensibly a party to</w:t>
      </w:r>
      <w:r w:rsidR="00A816BB">
        <w:rPr>
          <w:rFonts w:ascii="Times New Roman" w:hAnsi="Times New Roman"/>
          <w:color w:val="000000"/>
          <w:sz w:val="28"/>
          <w:szCs w:val="28"/>
        </w:rPr>
        <w:t xml:space="preserve"> the will</w:t>
      </w:r>
      <w:r w:rsidR="009C49D8">
        <w:rPr>
          <w:rFonts w:ascii="Times New Roman" w:hAnsi="Times New Roman"/>
          <w:color w:val="000000"/>
          <w:sz w:val="28"/>
          <w:szCs w:val="28"/>
        </w:rPr>
        <w:t>s dispute</w:t>
      </w:r>
      <w:r w:rsidRPr="00213C7B">
        <w:rPr>
          <w:rFonts w:ascii="Times New Roman" w:hAnsi="Times New Roman"/>
          <w:color w:val="000000"/>
          <w:sz w:val="28"/>
          <w:szCs w:val="28"/>
        </w:rPr>
        <w:t xml:space="preserve">), </w:t>
      </w:r>
      <w:r w:rsidR="00213C7B" w:rsidRPr="00213C7B">
        <w:rPr>
          <w:rFonts w:ascii="Times New Roman" w:hAnsi="Times New Roman"/>
          <w:color w:val="000000"/>
          <w:sz w:val="28"/>
          <w:szCs w:val="28"/>
        </w:rPr>
        <w:t xml:space="preserve">which </w:t>
      </w:r>
      <w:r w:rsidR="009C49D8">
        <w:rPr>
          <w:rFonts w:ascii="Times New Roman" w:hAnsi="Times New Roman"/>
          <w:color w:val="000000"/>
          <w:sz w:val="28"/>
          <w:szCs w:val="28"/>
        </w:rPr>
        <w:t xml:space="preserve">one expects would </w:t>
      </w:r>
      <w:r w:rsidR="00213C7B" w:rsidRPr="00213C7B">
        <w:rPr>
          <w:rFonts w:ascii="Times New Roman" w:hAnsi="Times New Roman"/>
          <w:color w:val="000000"/>
          <w:sz w:val="28"/>
          <w:szCs w:val="28"/>
        </w:rPr>
        <w:t>have removed the taint of any misc</w:t>
      </w:r>
      <w:r w:rsidR="00D344DB">
        <w:rPr>
          <w:rFonts w:ascii="Times New Roman" w:hAnsi="Times New Roman"/>
          <w:color w:val="000000"/>
          <w:sz w:val="28"/>
          <w:szCs w:val="28"/>
        </w:rPr>
        <w:t>onduct on his</w:t>
      </w:r>
      <w:r w:rsidR="00213C7B" w:rsidRPr="00213C7B">
        <w:rPr>
          <w:rFonts w:ascii="Times New Roman" w:hAnsi="Times New Roman"/>
          <w:color w:val="000000"/>
          <w:sz w:val="28"/>
          <w:szCs w:val="28"/>
        </w:rPr>
        <w:t xml:space="preserve"> part, </w:t>
      </w:r>
      <w:r w:rsidRPr="00213C7B">
        <w:rPr>
          <w:rFonts w:ascii="Times New Roman" w:hAnsi="Times New Roman"/>
          <w:color w:val="000000"/>
          <w:sz w:val="28"/>
          <w:szCs w:val="28"/>
        </w:rPr>
        <w:t xml:space="preserve">the </w:t>
      </w:r>
      <w:r w:rsidR="00391C39" w:rsidRPr="00213C7B">
        <w:rPr>
          <w:rFonts w:ascii="Times New Roman" w:hAnsi="Times New Roman"/>
          <w:color w:val="000000"/>
          <w:sz w:val="28"/>
          <w:szCs w:val="28"/>
        </w:rPr>
        <w:t xml:space="preserve">first respondent avers that the </w:t>
      </w:r>
      <w:r w:rsidRPr="00213C7B">
        <w:rPr>
          <w:rFonts w:ascii="Times New Roman" w:hAnsi="Times New Roman"/>
          <w:color w:val="000000"/>
          <w:sz w:val="28"/>
          <w:szCs w:val="28"/>
        </w:rPr>
        <w:t>applicant</w:t>
      </w:r>
      <w:r w:rsidR="00213C7B" w:rsidRPr="00213C7B">
        <w:rPr>
          <w:rFonts w:ascii="Times New Roman" w:hAnsi="Times New Roman"/>
          <w:color w:val="000000"/>
          <w:sz w:val="28"/>
          <w:szCs w:val="28"/>
        </w:rPr>
        <w:t xml:space="preserve"> nonetheless</w:t>
      </w:r>
      <w:r w:rsidRPr="00213C7B">
        <w:rPr>
          <w:rFonts w:ascii="Times New Roman" w:hAnsi="Times New Roman"/>
          <w:color w:val="000000"/>
          <w:sz w:val="28"/>
          <w:szCs w:val="28"/>
        </w:rPr>
        <w:t xml:space="preserve"> proceeded on 29 November 2019 to bring disciplinary charges against him. </w:t>
      </w:r>
    </w:p>
    <w:p w14:paraId="35CDE2B5" w14:textId="77777777" w:rsidR="009C49D8" w:rsidRPr="009C49D8" w:rsidRDefault="009C49D8" w:rsidP="00D46D76">
      <w:pPr>
        <w:pStyle w:val="ListParagraph"/>
        <w:tabs>
          <w:tab w:val="left" w:pos="0"/>
        </w:tabs>
        <w:spacing w:after="0" w:line="360" w:lineRule="auto"/>
        <w:ind w:left="0"/>
        <w:rPr>
          <w:rFonts w:ascii="Times New Roman" w:hAnsi="Times New Roman"/>
          <w:b/>
          <w:sz w:val="28"/>
          <w:szCs w:val="28"/>
        </w:rPr>
      </w:pPr>
    </w:p>
    <w:p w14:paraId="367F16BE" w14:textId="77777777" w:rsidR="00274504" w:rsidRPr="00213C7B" w:rsidRDefault="00DC54A6"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Neither party has </w:t>
      </w:r>
      <w:r w:rsidR="009D2CB0">
        <w:rPr>
          <w:rFonts w:ascii="Times New Roman" w:hAnsi="Times New Roman"/>
          <w:color w:val="000000"/>
          <w:sz w:val="28"/>
          <w:szCs w:val="28"/>
        </w:rPr>
        <w:t>clearly outlined</w:t>
      </w:r>
      <w:r>
        <w:rPr>
          <w:rFonts w:ascii="Times New Roman" w:hAnsi="Times New Roman"/>
          <w:color w:val="000000"/>
          <w:sz w:val="28"/>
          <w:szCs w:val="28"/>
        </w:rPr>
        <w:t xml:space="preserve"> the nature of the misconduct </w:t>
      </w:r>
      <w:r w:rsidR="009C49D8">
        <w:rPr>
          <w:rFonts w:ascii="Times New Roman" w:hAnsi="Times New Roman"/>
          <w:color w:val="000000"/>
          <w:sz w:val="28"/>
          <w:szCs w:val="28"/>
        </w:rPr>
        <w:t xml:space="preserve">he was </w:t>
      </w:r>
      <w:r>
        <w:rPr>
          <w:rFonts w:ascii="Times New Roman" w:hAnsi="Times New Roman"/>
          <w:color w:val="000000"/>
          <w:sz w:val="28"/>
          <w:szCs w:val="28"/>
        </w:rPr>
        <w:t>accused of</w:t>
      </w:r>
      <w:r w:rsidR="009C49D8">
        <w:rPr>
          <w:rFonts w:ascii="Times New Roman" w:hAnsi="Times New Roman"/>
          <w:color w:val="000000"/>
          <w:sz w:val="28"/>
          <w:szCs w:val="28"/>
        </w:rPr>
        <w:t xml:space="preserve">.  </w:t>
      </w:r>
      <w:r w:rsidR="00213C7B" w:rsidRPr="00213C7B">
        <w:rPr>
          <w:rFonts w:ascii="Times New Roman" w:hAnsi="Times New Roman"/>
          <w:color w:val="000000"/>
          <w:sz w:val="28"/>
          <w:szCs w:val="28"/>
        </w:rPr>
        <w:t xml:space="preserve">  </w:t>
      </w:r>
      <w:r w:rsidR="00722E84" w:rsidRPr="00213C7B">
        <w:rPr>
          <w:rFonts w:ascii="Times New Roman" w:hAnsi="Times New Roman"/>
          <w:color w:val="000000"/>
          <w:sz w:val="28"/>
          <w:szCs w:val="28"/>
        </w:rPr>
        <w:t xml:space="preserve">  </w:t>
      </w:r>
    </w:p>
    <w:p w14:paraId="44983A75" w14:textId="77777777" w:rsidR="00213C7B" w:rsidRPr="00213C7B" w:rsidRDefault="00213C7B" w:rsidP="00D46D76">
      <w:pPr>
        <w:pStyle w:val="ListParagraph"/>
        <w:tabs>
          <w:tab w:val="left" w:pos="0"/>
        </w:tabs>
        <w:spacing w:after="0" w:line="360" w:lineRule="auto"/>
        <w:ind w:left="0"/>
        <w:rPr>
          <w:rFonts w:ascii="Times New Roman" w:hAnsi="Times New Roman"/>
          <w:b/>
          <w:sz w:val="28"/>
          <w:szCs w:val="28"/>
        </w:rPr>
      </w:pPr>
    </w:p>
    <w:p w14:paraId="1F0786A1"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disciplinary hearing commenced on 9 December 2019.</w:t>
      </w:r>
    </w:p>
    <w:p w14:paraId="7EC48615"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5458CB4A" w14:textId="77777777" w:rsidR="00B06E0F" w:rsidRPr="00B06E0F" w:rsidRDefault="00A012D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T</w:t>
      </w:r>
      <w:r w:rsidR="007E7FCA" w:rsidRPr="00274504">
        <w:rPr>
          <w:rFonts w:ascii="Times New Roman" w:hAnsi="Times New Roman"/>
          <w:color w:val="000000"/>
          <w:sz w:val="28"/>
          <w:szCs w:val="28"/>
        </w:rPr>
        <w:t xml:space="preserve">he first respondent </w:t>
      </w:r>
      <w:r w:rsidR="00213C7B">
        <w:rPr>
          <w:rFonts w:ascii="Times New Roman" w:hAnsi="Times New Roman"/>
          <w:color w:val="000000"/>
          <w:sz w:val="28"/>
          <w:szCs w:val="28"/>
        </w:rPr>
        <w:t xml:space="preserve">explains </w:t>
      </w:r>
      <w:r>
        <w:rPr>
          <w:rFonts w:ascii="Times New Roman" w:hAnsi="Times New Roman"/>
          <w:color w:val="000000"/>
          <w:sz w:val="28"/>
          <w:szCs w:val="28"/>
        </w:rPr>
        <w:t xml:space="preserve">that </w:t>
      </w:r>
      <w:r w:rsidR="007E7FCA" w:rsidRPr="00274504">
        <w:rPr>
          <w:rFonts w:ascii="Times New Roman" w:hAnsi="Times New Roman"/>
          <w:color w:val="000000"/>
          <w:sz w:val="28"/>
          <w:szCs w:val="28"/>
        </w:rPr>
        <w:t xml:space="preserve">he did not accept the authority </w:t>
      </w:r>
      <w:r w:rsidR="00391C39">
        <w:rPr>
          <w:rFonts w:ascii="Times New Roman" w:hAnsi="Times New Roman"/>
          <w:color w:val="000000"/>
          <w:sz w:val="28"/>
          <w:szCs w:val="28"/>
        </w:rPr>
        <w:t>of the person appointed by the C</w:t>
      </w:r>
      <w:r w:rsidR="00213C7B">
        <w:rPr>
          <w:rFonts w:ascii="Times New Roman" w:hAnsi="Times New Roman"/>
          <w:color w:val="000000"/>
          <w:sz w:val="28"/>
          <w:szCs w:val="28"/>
        </w:rPr>
        <w:t>ongregation to conduct the</w:t>
      </w:r>
      <w:r w:rsidR="007E7FCA" w:rsidRPr="00274504">
        <w:rPr>
          <w:rFonts w:ascii="Times New Roman" w:hAnsi="Times New Roman"/>
          <w:color w:val="000000"/>
          <w:sz w:val="28"/>
          <w:szCs w:val="28"/>
        </w:rPr>
        <w:t xml:space="preserve"> disciplinary hearing</w:t>
      </w:r>
      <w:r w:rsidR="00213C7B">
        <w:rPr>
          <w:rFonts w:ascii="Times New Roman" w:hAnsi="Times New Roman"/>
          <w:color w:val="000000"/>
          <w:sz w:val="28"/>
          <w:szCs w:val="28"/>
        </w:rPr>
        <w:t xml:space="preserve"> against him</w:t>
      </w:r>
      <w:r w:rsidR="00D344DB">
        <w:rPr>
          <w:rFonts w:ascii="Times New Roman" w:hAnsi="Times New Roman"/>
          <w:color w:val="000000"/>
          <w:sz w:val="28"/>
          <w:szCs w:val="28"/>
        </w:rPr>
        <w:t>.  As</w:t>
      </w:r>
      <w:r w:rsidR="007E7FCA" w:rsidRPr="00274504">
        <w:rPr>
          <w:rFonts w:ascii="Times New Roman" w:hAnsi="Times New Roman"/>
          <w:color w:val="000000"/>
          <w:sz w:val="28"/>
          <w:szCs w:val="28"/>
        </w:rPr>
        <w:t xml:space="preserve"> a </w:t>
      </w:r>
      <w:r w:rsidR="00DC54A6" w:rsidRPr="00274504">
        <w:rPr>
          <w:rFonts w:ascii="Times New Roman" w:hAnsi="Times New Roman"/>
          <w:color w:val="000000"/>
          <w:sz w:val="28"/>
          <w:szCs w:val="28"/>
        </w:rPr>
        <w:t>result,</w:t>
      </w:r>
      <w:r w:rsidR="007E7FCA" w:rsidRPr="00274504">
        <w:rPr>
          <w:rFonts w:ascii="Times New Roman" w:hAnsi="Times New Roman"/>
          <w:color w:val="000000"/>
          <w:sz w:val="28"/>
          <w:szCs w:val="28"/>
        </w:rPr>
        <w:t xml:space="preserve"> the hearing was convened and heard in his absence on 29 January 2020, culminating in the result indicated in the</w:t>
      </w:r>
      <w:r w:rsidR="00213C7B">
        <w:rPr>
          <w:rFonts w:ascii="Times New Roman" w:hAnsi="Times New Roman"/>
          <w:color w:val="000000"/>
          <w:sz w:val="28"/>
          <w:szCs w:val="28"/>
        </w:rPr>
        <w:t xml:space="preserve"> termination letter aforesaid. </w:t>
      </w:r>
    </w:p>
    <w:p w14:paraId="6D7BB2DE"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3D89D873"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Despite the arbitration award of the Beth-Din</w:t>
      </w:r>
      <w:r w:rsidR="00213C7B">
        <w:rPr>
          <w:rFonts w:ascii="Times New Roman" w:hAnsi="Times New Roman"/>
          <w:color w:val="000000"/>
          <w:sz w:val="28"/>
          <w:szCs w:val="28"/>
        </w:rPr>
        <w:t xml:space="preserve"> concerning the underlying claim of misconduct against him</w:t>
      </w:r>
      <w:r w:rsidRPr="00274504">
        <w:rPr>
          <w:rFonts w:ascii="Times New Roman" w:hAnsi="Times New Roman"/>
          <w:color w:val="000000"/>
          <w:sz w:val="28"/>
          <w:szCs w:val="28"/>
        </w:rPr>
        <w:t xml:space="preserve"> </w:t>
      </w:r>
      <w:r w:rsidR="00F535BD">
        <w:rPr>
          <w:rFonts w:ascii="Times New Roman" w:hAnsi="Times New Roman"/>
          <w:color w:val="000000"/>
          <w:sz w:val="28"/>
          <w:szCs w:val="28"/>
        </w:rPr>
        <w:t>in the will</w:t>
      </w:r>
      <w:r w:rsidR="00F51310">
        <w:rPr>
          <w:rFonts w:ascii="Times New Roman" w:hAnsi="Times New Roman"/>
          <w:color w:val="000000"/>
          <w:sz w:val="28"/>
          <w:szCs w:val="28"/>
        </w:rPr>
        <w:t xml:space="preserve">s dispute </w:t>
      </w:r>
      <w:r w:rsidRPr="00274504">
        <w:rPr>
          <w:rFonts w:ascii="Times New Roman" w:hAnsi="Times New Roman"/>
          <w:color w:val="000000"/>
          <w:sz w:val="28"/>
          <w:szCs w:val="28"/>
        </w:rPr>
        <w:t>being final and binding</w:t>
      </w:r>
      <w:r w:rsidR="00391C39">
        <w:rPr>
          <w:rFonts w:ascii="Times New Roman" w:hAnsi="Times New Roman"/>
          <w:color w:val="000000"/>
          <w:sz w:val="28"/>
          <w:szCs w:val="28"/>
        </w:rPr>
        <w:t xml:space="preserve"> on</w:t>
      </w:r>
      <w:r w:rsidRPr="00274504">
        <w:rPr>
          <w:rFonts w:ascii="Times New Roman" w:hAnsi="Times New Roman"/>
          <w:color w:val="000000"/>
          <w:sz w:val="28"/>
          <w:szCs w:val="28"/>
        </w:rPr>
        <w:t xml:space="preserve"> the Congregation, the</w:t>
      </w:r>
      <w:r w:rsidR="00391C39">
        <w:rPr>
          <w:rFonts w:ascii="Times New Roman" w:hAnsi="Times New Roman"/>
          <w:color w:val="000000"/>
          <w:sz w:val="28"/>
          <w:szCs w:val="28"/>
        </w:rPr>
        <w:t xml:space="preserve"> first respondent </w:t>
      </w:r>
      <w:r w:rsidR="00213C7B">
        <w:rPr>
          <w:rFonts w:ascii="Times New Roman" w:hAnsi="Times New Roman"/>
          <w:color w:val="000000"/>
          <w:sz w:val="28"/>
          <w:szCs w:val="28"/>
        </w:rPr>
        <w:t>relates</w:t>
      </w:r>
      <w:r w:rsidR="00391C39">
        <w:rPr>
          <w:rFonts w:ascii="Times New Roman" w:hAnsi="Times New Roman"/>
          <w:color w:val="000000"/>
          <w:sz w:val="28"/>
          <w:szCs w:val="28"/>
        </w:rPr>
        <w:t xml:space="preserve"> that the </w:t>
      </w:r>
      <w:r w:rsidRPr="00274504">
        <w:rPr>
          <w:rFonts w:ascii="Times New Roman" w:hAnsi="Times New Roman"/>
          <w:color w:val="000000"/>
          <w:sz w:val="28"/>
          <w:szCs w:val="28"/>
        </w:rPr>
        <w:t xml:space="preserve">applicant then brought an application in the High Court on 7 July 2020 </w:t>
      </w:r>
      <w:r w:rsidR="00391C39">
        <w:rPr>
          <w:rFonts w:ascii="Times New Roman" w:hAnsi="Times New Roman"/>
          <w:color w:val="000000"/>
          <w:sz w:val="28"/>
          <w:szCs w:val="28"/>
        </w:rPr>
        <w:t xml:space="preserve">(East London case number </w:t>
      </w:r>
      <w:r w:rsidRPr="00274504">
        <w:rPr>
          <w:rFonts w:ascii="Times New Roman" w:hAnsi="Times New Roman"/>
          <w:color w:val="000000"/>
          <w:sz w:val="28"/>
          <w:szCs w:val="28"/>
        </w:rPr>
        <w:t>1356/2020</w:t>
      </w:r>
      <w:r w:rsidR="00391C39">
        <w:rPr>
          <w:rFonts w:ascii="Times New Roman" w:hAnsi="Times New Roman"/>
          <w:color w:val="000000"/>
          <w:sz w:val="28"/>
          <w:szCs w:val="28"/>
        </w:rPr>
        <w:t xml:space="preserve"> refers)</w:t>
      </w:r>
      <w:r w:rsidRPr="00274504">
        <w:rPr>
          <w:rFonts w:ascii="Times New Roman" w:hAnsi="Times New Roman"/>
          <w:color w:val="000000"/>
          <w:sz w:val="28"/>
          <w:szCs w:val="28"/>
        </w:rPr>
        <w:t xml:space="preserve"> to have the la</w:t>
      </w:r>
      <w:r w:rsidR="00213C7B">
        <w:rPr>
          <w:rFonts w:ascii="Times New Roman" w:hAnsi="Times New Roman"/>
          <w:color w:val="000000"/>
          <w:sz w:val="28"/>
          <w:szCs w:val="28"/>
        </w:rPr>
        <w:t>st</w:t>
      </w:r>
      <w:r w:rsidRPr="00274504">
        <w:rPr>
          <w:rFonts w:ascii="Times New Roman" w:hAnsi="Times New Roman"/>
          <w:color w:val="000000"/>
          <w:sz w:val="28"/>
          <w:szCs w:val="28"/>
        </w:rPr>
        <w:t xml:space="preserve"> will of</w:t>
      </w:r>
      <w:r w:rsidR="00391C39">
        <w:rPr>
          <w:rFonts w:ascii="Times New Roman" w:hAnsi="Times New Roman"/>
          <w:color w:val="000000"/>
          <w:sz w:val="28"/>
          <w:szCs w:val="28"/>
        </w:rPr>
        <w:t xml:space="preserve"> the deceased</w:t>
      </w:r>
      <w:r w:rsidR="00770DC8">
        <w:rPr>
          <w:rFonts w:ascii="Times New Roman" w:hAnsi="Times New Roman"/>
          <w:color w:val="000000"/>
          <w:sz w:val="28"/>
          <w:szCs w:val="28"/>
        </w:rPr>
        <w:t xml:space="preserve"> declared invalid.</w:t>
      </w:r>
      <w:r w:rsidR="00770DC8">
        <w:rPr>
          <w:rStyle w:val="FootnoteReference"/>
          <w:rFonts w:ascii="Times New Roman" w:hAnsi="Times New Roman"/>
          <w:color w:val="000000"/>
          <w:sz w:val="28"/>
          <w:szCs w:val="28"/>
        </w:rPr>
        <w:footnoteReference w:id="19"/>
      </w:r>
    </w:p>
    <w:p w14:paraId="6C417989"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26E05ABB"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first respondent followed suit</w:t>
      </w:r>
      <w:r w:rsidR="00F535BD">
        <w:rPr>
          <w:rFonts w:ascii="Times New Roman" w:hAnsi="Times New Roman"/>
          <w:color w:val="000000"/>
          <w:sz w:val="28"/>
          <w:szCs w:val="28"/>
        </w:rPr>
        <w:t xml:space="preserve"> on 27 August 2020</w:t>
      </w:r>
      <w:r w:rsidRPr="00274504">
        <w:rPr>
          <w:rFonts w:ascii="Times New Roman" w:hAnsi="Times New Roman"/>
          <w:color w:val="000000"/>
          <w:sz w:val="28"/>
          <w:szCs w:val="28"/>
        </w:rPr>
        <w:t xml:space="preserve"> by resort to the secular court</w:t>
      </w:r>
      <w:r w:rsidR="00391C39">
        <w:rPr>
          <w:rFonts w:ascii="Times New Roman" w:hAnsi="Times New Roman"/>
          <w:color w:val="000000"/>
          <w:sz w:val="28"/>
          <w:szCs w:val="28"/>
        </w:rPr>
        <w:t>s</w:t>
      </w:r>
      <w:r w:rsidRPr="00274504">
        <w:rPr>
          <w:rFonts w:ascii="Times New Roman" w:hAnsi="Times New Roman"/>
          <w:color w:val="000000"/>
          <w:sz w:val="28"/>
          <w:szCs w:val="28"/>
        </w:rPr>
        <w:t xml:space="preserve"> to have the </w:t>
      </w:r>
      <w:r w:rsidR="00213C7B">
        <w:rPr>
          <w:rFonts w:ascii="Times New Roman" w:hAnsi="Times New Roman"/>
          <w:color w:val="000000"/>
          <w:sz w:val="28"/>
          <w:szCs w:val="28"/>
        </w:rPr>
        <w:t xml:space="preserve">same </w:t>
      </w:r>
      <w:r w:rsidRPr="00274504">
        <w:rPr>
          <w:rFonts w:ascii="Times New Roman" w:hAnsi="Times New Roman"/>
          <w:color w:val="000000"/>
          <w:sz w:val="28"/>
          <w:szCs w:val="28"/>
        </w:rPr>
        <w:t xml:space="preserve">award made an order of court </w:t>
      </w:r>
      <w:r w:rsidR="00F51310">
        <w:rPr>
          <w:rFonts w:ascii="Times New Roman" w:hAnsi="Times New Roman"/>
          <w:color w:val="000000"/>
          <w:sz w:val="28"/>
          <w:szCs w:val="28"/>
        </w:rPr>
        <w:t>pursuant to</w:t>
      </w:r>
      <w:r w:rsidRPr="00274504">
        <w:rPr>
          <w:rFonts w:ascii="Times New Roman" w:hAnsi="Times New Roman"/>
          <w:color w:val="000000"/>
          <w:sz w:val="28"/>
          <w:szCs w:val="28"/>
        </w:rPr>
        <w:t xml:space="preserve"> the</w:t>
      </w:r>
      <w:r w:rsidR="00F51310">
        <w:rPr>
          <w:rFonts w:ascii="Times New Roman" w:hAnsi="Times New Roman"/>
          <w:color w:val="000000"/>
          <w:sz w:val="28"/>
          <w:szCs w:val="28"/>
        </w:rPr>
        <w:t xml:space="preserve"> provisions</w:t>
      </w:r>
      <w:r w:rsidRPr="00274504">
        <w:rPr>
          <w:rFonts w:ascii="Times New Roman" w:hAnsi="Times New Roman"/>
          <w:color w:val="000000"/>
          <w:sz w:val="28"/>
          <w:szCs w:val="28"/>
        </w:rPr>
        <w:t xml:space="preserve"> </w:t>
      </w:r>
      <w:r w:rsidR="00F535BD">
        <w:rPr>
          <w:rFonts w:ascii="Times New Roman" w:hAnsi="Times New Roman"/>
          <w:color w:val="000000"/>
          <w:sz w:val="28"/>
          <w:szCs w:val="28"/>
        </w:rPr>
        <w:t xml:space="preserve">of the </w:t>
      </w:r>
      <w:r w:rsidRPr="00274504">
        <w:rPr>
          <w:rFonts w:ascii="Times New Roman" w:hAnsi="Times New Roman"/>
          <w:color w:val="000000"/>
          <w:sz w:val="28"/>
          <w:szCs w:val="28"/>
        </w:rPr>
        <w:t>Arbitration Act, No</w:t>
      </w:r>
      <w:r w:rsidR="00274504" w:rsidRPr="00A012D1">
        <w:rPr>
          <w:rFonts w:ascii="Times New Roman" w:hAnsi="Times New Roman"/>
          <w:color w:val="000000"/>
          <w:sz w:val="28"/>
          <w:szCs w:val="28"/>
        </w:rPr>
        <w:t>. 42 of 1965</w:t>
      </w:r>
      <w:r w:rsidR="00F128D3">
        <w:rPr>
          <w:rFonts w:ascii="Times New Roman" w:hAnsi="Times New Roman"/>
          <w:color w:val="000000"/>
          <w:sz w:val="28"/>
          <w:szCs w:val="28"/>
        </w:rPr>
        <w:t>.</w:t>
      </w:r>
      <w:r w:rsidR="00F128D3">
        <w:rPr>
          <w:rStyle w:val="FootnoteReference"/>
          <w:rFonts w:ascii="Times New Roman" w:hAnsi="Times New Roman"/>
          <w:color w:val="000000"/>
          <w:sz w:val="28"/>
          <w:szCs w:val="28"/>
        </w:rPr>
        <w:footnoteReference w:id="20"/>
      </w:r>
      <w:r w:rsidRPr="00274504">
        <w:rPr>
          <w:rFonts w:ascii="Times New Roman" w:hAnsi="Times New Roman"/>
          <w:color w:val="000000"/>
          <w:sz w:val="28"/>
          <w:szCs w:val="28"/>
        </w:rPr>
        <w:t xml:space="preserve"> </w:t>
      </w:r>
      <w:r w:rsidR="00F128D3">
        <w:rPr>
          <w:rFonts w:ascii="Times New Roman" w:hAnsi="Times New Roman"/>
          <w:color w:val="000000"/>
          <w:sz w:val="28"/>
          <w:szCs w:val="28"/>
        </w:rPr>
        <w:t xml:space="preserve"> </w:t>
      </w:r>
      <w:r w:rsidRPr="00274504">
        <w:rPr>
          <w:rFonts w:ascii="Times New Roman" w:hAnsi="Times New Roman"/>
          <w:color w:val="000000"/>
          <w:sz w:val="28"/>
          <w:szCs w:val="28"/>
        </w:rPr>
        <w:t>On 1 October 2020 the Congregation filed its answering affidavit in that matter.</w:t>
      </w:r>
    </w:p>
    <w:p w14:paraId="08058962"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57743916" w14:textId="3F896E38"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On the same date the first respondent referred his wrongful and unlawful dismissal dispute to the Beth-Din</w:t>
      </w:r>
      <w:r w:rsidR="00F51310">
        <w:rPr>
          <w:rFonts w:ascii="Times New Roman" w:hAnsi="Times New Roman"/>
          <w:color w:val="000000"/>
          <w:sz w:val="28"/>
          <w:szCs w:val="28"/>
        </w:rPr>
        <w:t xml:space="preserve">.  How </w:t>
      </w:r>
      <w:r w:rsidR="00213C7B">
        <w:rPr>
          <w:rFonts w:ascii="Times New Roman" w:hAnsi="Times New Roman"/>
          <w:color w:val="000000"/>
          <w:sz w:val="28"/>
          <w:szCs w:val="28"/>
        </w:rPr>
        <w:t xml:space="preserve">this referral </w:t>
      </w:r>
      <w:r w:rsidR="0051113B">
        <w:rPr>
          <w:rFonts w:ascii="Times New Roman" w:hAnsi="Times New Roman"/>
          <w:color w:val="000000"/>
          <w:sz w:val="28"/>
          <w:szCs w:val="28"/>
        </w:rPr>
        <w:t>was</w:t>
      </w:r>
      <w:r w:rsidR="00213C7B">
        <w:rPr>
          <w:rFonts w:ascii="Times New Roman" w:hAnsi="Times New Roman"/>
          <w:color w:val="000000"/>
          <w:sz w:val="28"/>
          <w:szCs w:val="28"/>
        </w:rPr>
        <w:t xml:space="preserve"> framed </w:t>
      </w:r>
      <w:r w:rsidR="003258D1">
        <w:rPr>
          <w:rFonts w:ascii="Times New Roman" w:hAnsi="Times New Roman"/>
          <w:color w:val="000000"/>
          <w:sz w:val="28"/>
          <w:szCs w:val="28"/>
        </w:rPr>
        <w:t>has</w:t>
      </w:r>
      <w:r w:rsidR="00213C7B">
        <w:rPr>
          <w:rFonts w:ascii="Times New Roman" w:hAnsi="Times New Roman"/>
          <w:color w:val="000000"/>
          <w:sz w:val="28"/>
          <w:szCs w:val="28"/>
        </w:rPr>
        <w:t xml:space="preserve"> not </w:t>
      </w:r>
      <w:r w:rsidR="003258D1">
        <w:rPr>
          <w:rFonts w:ascii="Times New Roman" w:hAnsi="Times New Roman"/>
          <w:color w:val="000000"/>
          <w:sz w:val="28"/>
          <w:szCs w:val="28"/>
        </w:rPr>
        <w:t xml:space="preserve">been </w:t>
      </w:r>
      <w:r w:rsidR="00213C7B">
        <w:rPr>
          <w:rFonts w:ascii="Times New Roman" w:hAnsi="Times New Roman"/>
          <w:color w:val="000000"/>
          <w:sz w:val="28"/>
          <w:szCs w:val="28"/>
        </w:rPr>
        <w:t>disclosed to th</w:t>
      </w:r>
      <w:r w:rsidR="00F51310">
        <w:rPr>
          <w:rFonts w:ascii="Times New Roman" w:hAnsi="Times New Roman"/>
          <w:color w:val="000000"/>
          <w:sz w:val="28"/>
          <w:szCs w:val="28"/>
        </w:rPr>
        <w:t>e</w:t>
      </w:r>
      <w:r w:rsidR="00213C7B">
        <w:rPr>
          <w:rFonts w:ascii="Times New Roman" w:hAnsi="Times New Roman"/>
          <w:color w:val="000000"/>
          <w:sz w:val="28"/>
          <w:szCs w:val="28"/>
        </w:rPr>
        <w:t xml:space="preserve"> court.  </w:t>
      </w:r>
      <w:r w:rsidR="00A012D1">
        <w:rPr>
          <w:rFonts w:ascii="Times New Roman" w:hAnsi="Times New Roman"/>
          <w:color w:val="000000"/>
          <w:sz w:val="28"/>
          <w:szCs w:val="28"/>
        </w:rPr>
        <w:t xml:space="preserve"> </w:t>
      </w:r>
    </w:p>
    <w:p w14:paraId="20BEDB95"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54FAADC2" w14:textId="77777777" w:rsidR="00274504" w:rsidRPr="00274504" w:rsidRDefault="00D6235E"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On 2 October 2020 the C</w:t>
      </w:r>
      <w:r w:rsidR="007E7FCA" w:rsidRPr="00274504">
        <w:rPr>
          <w:rFonts w:ascii="Times New Roman" w:hAnsi="Times New Roman"/>
          <w:color w:val="000000"/>
          <w:sz w:val="28"/>
          <w:szCs w:val="28"/>
        </w:rPr>
        <w:t>ongregation</w:t>
      </w:r>
      <w:r>
        <w:rPr>
          <w:rFonts w:ascii="Times New Roman" w:hAnsi="Times New Roman"/>
          <w:color w:val="000000"/>
          <w:sz w:val="28"/>
          <w:szCs w:val="28"/>
        </w:rPr>
        <w:t xml:space="preserve"> (</w:t>
      </w:r>
      <w:r w:rsidRPr="00D6235E">
        <w:rPr>
          <w:rFonts w:ascii="Times New Roman" w:hAnsi="Times New Roman"/>
          <w:i/>
          <w:color w:val="000000"/>
          <w:sz w:val="28"/>
          <w:szCs w:val="28"/>
        </w:rPr>
        <w:t>sic</w:t>
      </w:r>
      <w:r>
        <w:rPr>
          <w:rFonts w:ascii="Times New Roman" w:hAnsi="Times New Roman"/>
          <w:color w:val="000000"/>
          <w:sz w:val="28"/>
          <w:szCs w:val="28"/>
        </w:rPr>
        <w:t>)</w:t>
      </w:r>
      <w:r w:rsidR="007E7FCA" w:rsidRPr="00274504">
        <w:rPr>
          <w:rFonts w:ascii="Times New Roman" w:hAnsi="Times New Roman"/>
          <w:color w:val="000000"/>
          <w:sz w:val="28"/>
          <w:szCs w:val="28"/>
        </w:rPr>
        <w:t xml:space="preserve"> brought action proceedings in the High Court in case number 2067/2020 to declare the will of the deceased invalid.</w:t>
      </w:r>
      <w:r>
        <w:rPr>
          <w:rStyle w:val="FootnoteReference"/>
          <w:rFonts w:ascii="Times New Roman" w:hAnsi="Times New Roman"/>
          <w:color w:val="000000"/>
          <w:sz w:val="28"/>
          <w:szCs w:val="28"/>
        </w:rPr>
        <w:footnoteReference w:id="21"/>
      </w:r>
      <w:r w:rsidR="007E7FCA" w:rsidRPr="00274504">
        <w:rPr>
          <w:rFonts w:ascii="Times New Roman" w:hAnsi="Times New Roman"/>
          <w:color w:val="000000"/>
          <w:sz w:val="28"/>
          <w:szCs w:val="28"/>
        </w:rPr>
        <w:t xml:space="preserve"> The first respondent filed a counter application in that action to have the arbitration award made an order of the High Court together with ancillary relief (</w:t>
      </w:r>
      <w:r w:rsidR="00213C7B">
        <w:rPr>
          <w:rFonts w:ascii="Times New Roman" w:hAnsi="Times New Roman"/>
          <w:color w:val="000000"/>
          <w:sz w:val="28"/>
          <w:szCs w:val="28"/>
        </w:rPr>
        <w:t xml:space="preserve">which </w:t>
      </w:r>
      <w:r w:rsidR="007E7FCA" w:rsidRPr="00274504">
        <w:rPr>
          <w:rFonts w:ascii="Times New Roman" w:hAnsi="Times New Roman"/>
          <w:color w:val="000000"/>
          <w:sz w:val="28"/>
          <w:szCs w:val="28"/>
        </w:rPr>
        <w:t>appears to entail a declarator that he is competent to receive the benefits from the will of the deceased in terms of section 4A(2) (a) of the Wills Act, No</w:t>
      </w:r>
      <w:r w:rsidR="00FB63C3">
        <w:rPr>
          <w:rFonts w:ascii="Times New Roman" w:hAnsi="Times New Roman"/>
          <w:color w:val="000000"/>
          <w:sz w:val="28"/>
          <w:szCs w:val="28"/>
        </w:rPr>
        <w:t>.</w:t>
      </w:r>
      <w:r w:rsidR="007E7FCA" w:rsidRPr="00274504">
        <w:rPr>
          <w:rFonts w:ascii="Times New Roman" w:hAnsi="Times New Roman"/>
          <w:color w:val="000000"/>
          <w:sz w:val="28"/>
          <w:szCs w:val="28"/>
        </w:rPr>
        <w:t xml:space="preserve"> 7 of 1953)</w:t>
      </w:r>
      <w:r w:rsidR="00213C7B">
        <w:rPr>
          <w:rFonts w:ascii="Times New Roman" w:hAnsi="Times New Roman"/>
          <w:color w:val="000000"/>
          <w:sz w:val="28"/>
          <w:szCs w:val="28"/>
        </w:rPr>
        <w:t xml:space="preserve">.  He also </w:t>
      </w:r>
      <w:r w:rsidR="007E7FCA" w:rsidRPr="00274504">
        <w:rPr>
          <w:rFonts w:ascii="Times New Roman" w:hAnsi="Times New Roman"/>
          <w:color w:val="000000"/>
          <w:sz w:val="28"/>
          <w:szCs w:val="28"/>
        </w:rPr>
        <w:t>withdrew his earlier application in case number 1770/2020 for “procedural reasons”. This was on 17 November 2020.</w:t>
      </w:r>
      <w:r w:rsidR="00274504">
        <w:rPr>
          <w:rFonts w:ascii="Times New Roman" w:hAnsi="Times New Roman"/>
          <w:color w:val="000000"/>
          <w:sz w:val="28"/>
          <w:szCs w:val="28"/>
        </w:rPr>
        <w:t xml:space="preserve"> </w:t>
      </w:r>
    </w:p>
    <w:p w14:paraId="2FE8C205"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0F680BCB"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lastRenderedPageBreak/>
        <w:t>On 15 December 2020 the first respondent brought an application to the Beth-Din requesting them to make</w:t>
      </w:r>
      <w:r w:rsidR="00D6235E">
        <w:rPr>
          <w:rFonts w:ascii="Times New Roman" w:hAnsi="Times New Roman"/>
          <w:color w:val="000000"/>
          <w:sz w:val="28"/>
          <w:szCs w:val="28"/>
        </w:rPr>
        <w:t xml:space="preserve"> a ruling</w:t>
      </w:r>
      <w:r w:rsidRPr="00274504">
        <w:rPr>
          <w:rFonts w:ascii="Times New Roman" w:hAnsi="Times New Roman"/>
          <w:color w:val="000000"/>
          <w:sz w:val="28"/>
          <w:szCs w:val="28"/>
        </w:rPr>
        <w:t xml:space="preserve"> in regard to the labour dispute which he had referred to them </w:t>
      </w:r>
      <w:r w:rsidR="00A012D1">
        <w:rPr>
          <w:rFonts w:ascii="Times New Roman" w:hAnsi="Times New Roman"/>
          <w:color w:val="000000"/>
          <w:sz w:val="28"/>
          <w:szCs w:val="28"/>
        </w:rPr>
        <w:t>concerning</w:t>
      </w:r>
      <w:r w:rsidRPr="00274504">
        <w:rPr>
          <w:rFonts w:ascii="Times New Roman" w:hAnsi="Times New Roman"/>
          <w:color w:val="000000"/>
          <w:sz w:val="28"/>
          <w:szCs w:val="28"/>
        </w:rPr>
        <w:t xml:space="preserve"> his “wrongful and unlawful dismissal</w:t>
      </w:r>
      <w:r w:rsidR="00D6235E">
        <w:rPr>
          <w:rFonts w:ascii="Times New Roman" w:hAnsi="Times New Roman"/>
          <w:color w:val="000000"/>
          <w:sz w:val="28"/>
          <w:szCs w:val="28"/>
        </w:rPr>
        <w:t xml:space="preserve">”. </w:t>
      </w:r>
    </w:p>
    <w:p w14:paraId="25991349"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7C859542" w14:textId="77777777" w:rsidR="00274504" w:rsidRPr="00274504" w:rsidRDefault="00F535BD"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In this respect, t</w:t>
      </w:r>
      <w:r w:rsidR="007E7FCA" w:rsidRPr="00274504">
        <w:rPr>
          <w:rFonts w:ascii="Times New Roman" w:hAnsi="Times New Roman"/>
          <w:color w:val="000000"/>
          <w:sz w:val="28"/>
          <w:szCs w:val="28"/>
        </w:rPr>
        <w:t xml:space="preserve">he Beth-Din </w:t>
      </w:r>
      <w:r>
        <w:rPr>
          <w:rFonts w:ascii="Times New Roman" w:hAnsi="Times New Roman"/>
          <w:color w:val="000000"/>
          <w:sz w:val="28"/>
          <w:szCs w:val="28"/>
        </w:rPr>
        <w:t>had indicated</w:t>
      </w:r>
      <w:r w:rsidR="006F760C">
        <w:rPr>
          <w:rFonts w:ascii="Times New Roman" w:hAnsi="Times New Roman"/>
          <w:color w:val="000000"/>
          <w:sz w:val="28"/>
          <w:szCs w:val="28"/>
        </w:rPr>
        <w:t xml:space="preserve"> </w:t>
      </w:r>
      <w:r w:rsidR="007E7FCA" w:rsidRPr="00274504">
        <w:rPr>
          <w:rFonts w:ascii="Times New Roman" w:hAnsi="Times New Roman"/>
          <w:color w:val="000000"/>
          <w:sz w:val="28"/>
          <w:szCs w:val="28"/>
        </w:rPr>
        <w:t>that it could not deal with the</w:t>
      </w:r>
      <w:r>
        <w:rPr>
          <w:rFonts w:ascii="Times New Roman" w:hAnsi="Times New Roman"/>
          <w:color w:val="000000"/>
          <w:sz w:val="28"/>
          <w:szCs w:val="28"/>
        </w:rPr>
        <w:t xml:space="preserve"> labour dispute referred to it</w:t>
      </w:r>
      <w:r w:rsidR="006F760C">
        <w:rPr>
          <w:rFonts w:ascii="Times New Roman" w:hAnsi="Times New Roman"/>
          <w:color w:val="000000"/>
          <w:sz w:val="28"/>
          <w:szCs w:val="28"/>
        </w:rPr>
        <w:t xml:space="preserve"> on the basis that </w:t>
      </w:r>
      <w:r w:rsidR="007E7FCA" w:rsidRPr="00274504">
        <w:rPr>
          <w:rFonts w:ascii="Times New Roman" w:hAnsi="Times New Roman"/>
          <w:color w:val="000000"/>
          <w:sz w:val="28"/>
          <w:szCs w:val="28"/>
        </w:rPr>
        <w:t>the Congregation was not prepared to attend a hearing</w:t>
      </w:r>
      <w:r w:rsidR="006F760C">
        <w:rPr>
          <w:rFonts w:ascii="Times New Roman" w:hAnsi="Times New Roman"/>
          <w:color w:val="000000"/>
          <w:sz w:val="28"/>
          <w:szCs w:val="28"/>
        </w:rPr>
        <w:t xml:space="preserve"> before it</w:t>
      </w:r>
      <w:r w:rsidR="007E7FCA" w:rsidRPr="00274504">
        <w:rPr>
          <w:rFonts w:ascii="Times New Roman" w:hAnsi="Times New Roman"/>
          <w:color w:val="000000"/>
          <w:sz w:val="28"/>
          <w:szCs w:val="28"/>
        </w:rPr>
        <w:t xml:space="preserve"> </w:t>
      </w:r>
      <w:r w:rsidR="00274504">
        <w:rPr>
          <w:rFonts w:ascii="Times New Roman" w:hAnsi="Times New Roman"/>
          <w:color w:val="000000"/>
          <w:sz w:val="28"/>
          <w:szCs w:val="28"/>
        </w:rPr>
        <w:t xml:space="preserve">to determine </w:t>
      </w:r>
      <w:r>
        <w:rPr>
          <w:rFonts w:ascii="Times New Roman" w:hAnsi="Times New Roman"/>
          <w:color w:val="000000"/>
          <w:sz w:val="28"/>
          <w:szCs w:val="28"/>
        </w:rPr>
        <w:t>his</w:t>
      </w:r>
      <w:r w:rsidR="00274504">
        <w:rPr>
          <w:rFonts w:ascii="Times New Roman" w:hAnsi="Times New Roman"/>
          <w:color w:val="000000"/>
          <w:sz w:val="28"/>
          <w:szCs w:val="28"/>
        </w:rPr>
        <w:t xml:space="preserve"> claims</w:t>
      </w:r>
      <w:r>
        <w:rPr>
          <w:rFonts w:ascii="Times New Roman" w:hAnsi="Times New Roman"/>
          <w:color w:val="000000"/>
          <w:sz w:val="28"/>
          <w:szCs w:val="28"/>
        </w:rPr>
        <w:t xml:space="preserve"> in this regard</w:t>
      </w:r>
      <w:r w:rsidR="00274504">
        <w:rPr>
          <w:rFonts w:ascii="Times New Roman" w:hAnsi="Times New Roman"/>
          <w:color w:val="000000"/>
          <w:sz w:val="28"/>
          <w:szCs w:val="28"/>
        </w:rPr>
        <w:t>.</w:t>
      </w:r>
    </w:p>
    <w:p w14:paraId="2BBBF898"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653C9D2F"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 xml:space="preserve">The first respondent sought to resolve this impasse by bringing an </w:t>
      </w:r>
      <w:r w:rsidR="006F760C">
        <w:rPr>
          <w:rFonts w:ascii="Times New Roman" w:hAnsi="Times New Roman"/>
          <w:color w:val="000000"/>
          <w:sz w:val="28"/>
          <w:szCs w:val="28"/>
        </w:rPr>
        <w:t>application in the High Court</w:t>
      </w:r>
      <w:r w:rsidRPr="00274504">
        <w:rPr>
          <w:rFonts w:ascii="Times New Roman" w:hAnsi="Times New Roman"/>
          <w:color w:val="000000"/>
          <w:sz w:val="28"/>
          <w:szCs w:val="28"/>
        </w:rPr>
        <w:t xml:space="preserve"> </w:t>
      </w:r>
      <w:r w:rsidR="006F760C">
        <w:rPr>
          <w:rFonts w:ascii="Times New Roman" w:hAnsi="Times New Roman"/>
          <w:color w:val="000000"/>
          <w:sz w:val="28"/>
          <w:szCs w:val="28"/>
        </w:rPr>
        <w:t>(</w:t>
      </w:r>
      <w:r w:rsidRPr="00274504">
        <w:rPr>
          <w:rFonts w:ascii="Times New Roman" w:hAnsi="Times New Roman"/>
          <w:color w:val="000000"/>
          <w:sz w:val="28"/>
          <w:szCs w:val="28"/>
        </w:rPr>
        <w:t>Makhanda case numbe</w:t>
      </w:r>
      <w:r w:rsidR="006F760C">
        <w:rPr>
          <w:rFonts w:ascii="Times New Roman" w:hAnsi="Times New Roman"/>
          <w:color w:val="000000"/>
          <w:sz w:val="28"/>
          <w:szCs w:val="28"/>
        </w:rPr>
        <w:t>r 1340/2021 refers)</w:t>
      </w:r>
      <w:r w:rsidRPr="00274504">
        <w:rPr>
          <w:rFonts w:ascii="Times New Roman" w:hAnsi="Times New Roman"/>
          <w:color w:val="000000"/>
          <w:sz w:val="28"/>
          <w:szCs w:val="28"/>
        </w:rPr>
        <w:t xml:space="preserve"> to</w:t>
      </w:r>
      <w:r w:rsidR="006F760C">
        <w:rPr>
          <w:rFonts w:ascii="Times New Roman" w:hAnsi="Times New Roman"/>
          <w:color w:val="000000"/>
          <w:sz w:val="28"/>
          <w:szCs w:val="28"/>
        </w:rPr>
        <w:t xml:space="preserve"> </w:t>
      </w:r>
      <w:r w:rsidR="00F51310">
        <w:rPr>
          <w:rFonts w:ascii="Times New Roman" w:hAnsi="Times New Roman"/>
          <w:color w:val="000000"/>
          <w:sz w:val="28"/>
          <w:szCs w:val="28"/>
        </w:rPr>
        <w:t xml:space="preserve">compel </w:t>
      </w:r>
      <w:r w:rsidR="006F760C">
        <w:rPr>
          <w:rFonts w:ascii="Times New Roman" w:hAnsi="Times New Roman"/>
          <w:color w:val="000000"/>
          <w:sz w:val="28"/>
          <w:szCs w:val="28"/>
        </w:rPr>
        <w:t>the</w:t>
      </w:r>
      <w:r w:rsidR="00D43E73">
        <w:rPr>
          <w:rFonts w:ascii="Times New Roman" w:hAnsi="Times New Roman"/>
          <w:color w:val="000000"/>
          <w:sz w:val="28"/>
          <w:szCs w:val="28"/>
        </w:rPr>
        <w:t xml:space="preserve"> Beth-Din</w:t>
      </w:r>
      <w:r w:rsidR="00F51310">
        <w:rPr>
          <w:rFonts w:ascii="Times New Roman" w:hAnsi="Times New Roman"/>
          <w:color w:val="000000"/>
          <w:sz w:val="28"/>
          <w:szCs w:val="28"/>
        </w:rPr>
        <w:t xml:space="preserve"> to hear his dismissal dispute</w:t>
      </w:r>
      <w:r w:rsidR="006F760C">
        <w:rPr>
          <w:rFonts w:ascii="Times New Roman" w:hAnsi="Times New Roman"/>
          <w:color w:val="000000"/>
          <w:sz w:val="28"/>
          <w:szCs w:val="28"/>
        </w:rPr>
        <w:t>.  J</w:t>
      </w:r>
      <w:r w:rsidRPr="00274504">
        <w:rPr>
          <w:rFonts w:ascii="Times New Roman" w:hAnsi="Times New Roman"/>
          <w:color w:val="000000"/>
          <w:sz w:val="28"/>
          <w:szCs w:val="28"/>
        </w:rPr>
        <w:t>udgment in th</w:t>
      </w:r>
      <w:r w:rsidR="00A012D1">
        <w:rPr>
          <w:rFonts w:ascii="Times New Roman" w:hAnsi="Times New Roman"/>
          <w:color w:val="000000"/>
          <w:sz w:val="28"/>
          <w:szCs w:val="28"/>
        </w:rPr>
        <w:t>at</w:t>
      </w:r>
      <w:r w:rsidRPr="00274504">
        <w:rPr>
          <w:rFonts w:ascii="Times New Roman" w:hAnsi="Times New Roman"/>
          <w:color w:val="000000"/>
          <w:sz w:val="28"/>
          <w:szCs w:val="28"/>
        </w:rPr>
        <w:t xml:space="preserve"> matter was han</w:t>
      </w:r>
      <w:r w:rsidR="00A012D1">
        <w:rPr>
          <w:rFonts w:ascii="Times New Roman" w:hAnsi="Times New Roman"/>
          <w:color w:val="000000"/>
          <w:sz w:val="28"/>
          <w:szCs w:val="28"/>
        </w:rPr>
        <w:t>ded down on 18 January 2022 shortly before t</w:t>
      </w:r>
      <w:r w:rsidR="00D43E73">
        <w:rPr>
          <w:rFonts w:ascii="Times New Roman" w:hAnsi="Times New Roman"/>
          <w:color w:val="000000"/>
          <w:sz w:val="28"/>
          <w:szCs w:val="28"/>
        </w:rPr>
        <w:t>his matter was argued before me with</w:t>
      </w:r>
      <w:r w:rsidR="00A012D1">
        <w:rPr>
          <w:rFonts w:ascii="Times New Roman" w:hAnsi="Times New Roman"/>
          <w:color w:val="000000"/>
          <w:sz w:val="28"/>
          <w:szCs w:val="28"/>
        </w:rPr>
        <w:t xml:space="preserve"> the </w:t>
      </w:r>
      <w:r w:rsidR="006929D3">
        <w:rPr>
          <w:rFonts w:ascii="Times New Roman" w:hAnsi="Times New Roman"/>
          <w:color w:val="000000"/>
          <w:sz w:val="28"/>
          <w:szCs w:val="28"/>
        </w:rPr>
        <w:t>H</w:t>
      </w:r>
      <w:r w:rsidR="00A012D1">
        <w:rPr>
          <w:rFonts w:ascii="Times New Roman" w:hAnsi="Times New Roman"/>
          <w:color w:val="000000"/>
          <w:sz w:val="28"/>
          <w:szCs w:val="28"/>
        </w:rPr>
        <w:t xml:space="preserve">igh </w:t>
      </w:r>
      <w:r w:rsidR="006929D3">
        <w:rPr>
          <w:rFonts w:ascii="Times New Roman" w:hAnsi="Times New Roman"/>
          <w:color w:val="000000"/>
          <w:sz w:val="28"/>
          <w:szCs w:val="28"/>
        </w:rPr>
        <w:t>C</w:t>
      </w:r>
      <w:r w:rsidRPr="00274504">
        <w:rPr>
          <w:rFonts w:ascii="Times New Roman" w:hAnsi="Times New Roman"/>
          <w:color w:val="000000"/>
          <w:sz w:val="28"/>
          <w:szCs w:val="28"/>
        </w:rPr>
        <w:t>ourt</w:t>
      </w:r>
      <w:r w:rsidR="006F760C">
        <w:rPr>
          <w:rFonts w:ascii="Times New Roman" w:hAnsi="Times New Roman"/>
          <w:color w:val="000000"/>
          <w:sz w:val="28"/>
          <w:szCs w:val="28"/>
        </w:rPr>
        <w:t xml:space="preserve"> dismissing the application.</w:t>
      </w:r>
    </w:p>
    <w:p w14:paraId="6166F63B"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46010D53"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I was advised from the bar by Mr</w:t>
      </w:r>
      <w:r w:rsidR="00274504">
        <w:rPr>
          <w:rFonts w:ascii="Times New Roman" w:hAnsi="Times New Roman"/>
          <w:color w:val="000000"/>
          <w:sz w:val="28"/>
          <w:szCs w:val="28"/>
        </w:rPr>
        <w:t>.</w:t>
      </w:r>
      <w:r w:rsidRPr="00274504">
        <w:rPr>
          <w:rFonts w:ascii="Times New Roman" w:hAnsi="Times New Roman"/>
          <w:color w:val="000000"/>
          <w:sz w:val="28"/>
          <w:szCs w:val="28"/>
        </w:rPr>
        <w:t xml:space="preserve"> Smuts that </w:t>
      </w:r>
      <w:r w:rsidR="00F51310">
        <w:rPr>
          <w:rFonts w:ascii="Times New Roman" w:hAnsi="Times New Roman"/>
          <w:color w:val="000000"/>
          <w:sz w:val="28"/>
          <w:szCs w:val="28"/>
        </w:rPr>
        <w:t xml:space="preserve">the court’s judgment is presently under </w:t>
      </w:r>
      <w:r w:rsidR="00D4403C">
        <w:rPr>
          <w:rFonts w:ascii="Times New Roman" w:hAnsi="Times New Roman"/>
          <w:color w:val="000000"/>
          <w:sz w:val="28"/>
          <w:szCs w:val="28"/>
        </w:rPr>
        <w:t xml:space="preserve">appeal, </w:t>
      </w:r>
      <w:r w:rsidR="00A012D1">
        <w:rPr>
          <w:rFonts w:ascii="Times New Roman" w:hAnsi="Times New Roman"/>
          <w:color w:val="000000"/>
          <w:sz w:val="28"/>
          <w:szCs w:val="28"/>
        </w:rPr>
        <w:t>rendering the provisions of</w:t>
      </w:r>
      <w:r w:rsidR="00D43E73">
        <w:rPr>
          <w:rFonts w:ascii="Times New Roman" w:hAnsi="Times New Roman"/>
          <w:color w:val="000000"/>
          <w:sz w:val="28"/>
          <w:szCs w:val="28"/>
        </w:rPr>
        <w:t xml:space="preserve"> </w:t>
      </w:r>
      <w:r w:rsidR="00F535BD">
        <w:rPr>
          <w:rFonts w:ascii="Times New Roman" w:hAnsi="Times New Roman"/>
          <w:color w:val="000000"/>
          <w:sz w:val="28"/>
          <w:szCs w:val="28"/>
        </w:rPr>
        <w:t xml:space="preserve">section </w:t>
      </w:r>
      <w:r w:rsidR="00F535BD" w:rsidRPr="00A8173C">
        <w:rPr>
          <w:rFonts w:ascii="Times New Roman" w:hAnsi="Times New Roman"/>
          <w:color w:val="000000"/>
          <w:sz w:val="28"/>
          <w:szCs w:val="28"/>
        </w:rPr>
        <w:t>1</w:t>
      </w:r>
      <w:r w:rsidR="00F535BD" w:rsidRPr="00B94175">
        <w:rPr>
          <w:rFonts w:ascii="Times New Roman" w:hAnsi="Times New Roman"/>
          <w:color w:val="000000"/>
          <w:sz w:val="28"/>
          <w:szCs w:val="28"/>
        </w:rPr>
        <w:t>8</w:t>
      </w:r>
      <w:r w:rsidR="00B94175">
        <w:rPr>
          <w:rFonts w:ascii="Times New Roman" w:hAnsi="Times New Roman"/>
          <w:color w:val="000000"/>
          <w:sz w:val="28"/>
          <w:szCs w:val="28"/>
        </w:rPr>
        <w:t xml:space="preserve"> (1)</w:t>
      </w:r>
      <w:r w:rsidR="00A816BB">
        <w:rPr>
          <w:rFonts w:ascii="Times New Roman" w:hAnsi="Times New Roman"/>
          <w:color w:val="000000"/>
          <w:sz w:val="28"/>
          <w:szCs w:val="28"/>
        </w:rPr>
        <w:t xml:space="preserve"> of the Superior Court’s Act, No. 10 of 2013</w:t>
      </w:r>
      <w:r w:rsidR="00A012D1">
        <w:rPr>
          <w:rFonts w:ascii="Times New Roman" w:hAnsi="Times New Roman"/>
          <w:color w:val="000000"/>
          <w:sz w:val="28"/>
          <w:szCs w:val="28"/>
        </w:rPr>
        <w:t xml:space="preserve">, applicable </w:t>
      </w:r>
      <w:r w:rsidR="00A012D1" w:rsidRPr="001F22B0">
        <w:rPr>
          <w:rFonts w:ascii="Times New Roman" w:hAnsi="Times New Roman"/>
          <w:i/>
          <w:color w:val="000000"/>
          <w:sz w:val="28"/>
          <w:szCs w:val="28"/>
        </w:rPr>
        <w:t>vis-á-vis</w:t>
      </w:r>
      <w:r w:rsidR="00A012D1">
        <w:rPr>
          <w:rFonts w:ascii="Times New Roman" w:hAnsi="Times New Roman"/>
          <w:color w:val="000000"/>
          <w:sz w:val="28"/>
          <w:szCs w:val="28"/>
        </w:rPr>
        <w:t xml:space="preserve"> its impact for the moment.</w:t>
      </w:r>
    </w:p>
    <w:p w14:paraId="31690577"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250377AE" w14:textId="6B36CAE4" w:rsidR="00D43E73" w:rsidRPr="00D43E73" w:rsidRDefault="00D43E7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It is quite apparent that all the litigation in the </w:t>
      </w:r>
      <w:r w:rsidR="006929D3">
        <w:rPr>
          <w:rFonts w:ascii="Times New Roman" w:hAnsi="Times New Roman"/>
          <w:sz w:val="28"/>
          <w:szCs w:val="28"/>
        </w:rPr>
        <w:t>H</w:t>
      </w:r>
      <w:r>
        <w:rPr>
          <w:rFonts w:ascii="Times New Roman" w:hAnsi="Times New Roman"/>
          <w:sz w:val="28"/>
          <w:szCs w:val="28"/>
        </w:rPr>
        <w:t xml:space="preserve">igh </w:t>
      </w:r>
      <w:r w:rsidR="006929D3">
        <w:rPr>
          <w:rFonts w:ascii="Times New Roman" w:hAnsi="Times New Roman"/>
          <w:sz w:val="28"/>
          <w:szCs w:val="28"/>
        </w:rPr>
        <w:t>C</w:t>
      </w:r>
      <w:r>
        <w:rPr>
          <w:rFonts w:ascii="Times New Roman" w:hAnsi="Times New Roman"/>
          <w:sz w:val="28"/>
          <w:szCs w:val="28"/>
        </w:rPr>
        <w:t xml:space="preserve">ourt and the proceedings before the Beth-Din have </w:t>
      </w:r>
      <w:r w:rsidR="0051113B">
        <w:rPr>
          <w:rFonts w:ascii="Times New Roman" w:hAnsi="Times New Roman"/>
          <w:sz w:val="28"/>
          <w:szCs w:val="28"/>
        </w:rPr>
        <w:t>has been vociferously opposed</w:t>
      </w:r>
      <w:r w:rsidR="00F535BD">
        <w:rPr>
          <w:rFonts w:ascii="Times New Roman" w:hAnsi="Times New Roman"/>
          <w:sz w:val="28"/>
          <w:szCs w:val="28"/>
        </w:rPr>
        <w:t xml:space="preserve"> </w:t>
      </w:r>
      <w:r>
        <w:rPr>
          <w:rFonts w:ascii="Times New Roman" w:hAnsi="Times New Roman"/>
          <w:sz w:val="28"/>
          <w:szCs w:val="28"/>
        </w:rPr>
        <w:t>and that, depending</w:t>
      </w:r>
      <w:r w:rsidR="00A816BB">
        <w:rPr>
          <w:rFonts w:ascii="Times New Roman" w:hAnsi="Times New Roman"/>
          <w:sz w:val="28"/>
          <w:szCs w:val="28"/>
        </w:rPr>
        <w:t xml:space="preserve"> on </w:t>
      </w:r>
      <w:r>
        <w:rPr>
          <w:rFonts w:ascii="Times New Roman" w:hAnsi="Times New Roman"/>
          <w:sz w:val="28"/>
          <w:szCs w:val="28"/>
        </w:rPr>
        <w:t>the</w:t>
      </w:r>
      <w:r w:rsidR="00A816BB">
        <w:rPr>
          <w:rFonts w:ascii="Times New Roman" w:hAnsi="Times New Roman"/>
          <w:sz w:val="28"/>
          <w:szCs w:val="28"/>
        </w:rPr>
        <w:t xml:space="preserve"> outcome of the</w:t>
      </w:r>
      <w:r>
        <w:rPr>
          <w:rFonts w:ascii="Times New Roman" w:hAnsi="Times New Roman"/>
          <w:sz w:val="28"/>
          <w:szCs w:val="28"/>
        </w:rPr>
        <w:t xml:space="preserve"> appeal</w:t>
      </w:r>
      <w:r w:rsidR="0051113B">
        <w:rPr>
          <w:rFonts w:ascii="Times New Roman" w:hAnsi="Times New Roman"/>
          <w:sz w:val="28"/>
          <w:szCs w:val="28"/>
        </w:rPr>
        <w:t xml:space="preserve"> (or hopefully </w:t>
      </w:r>
      <w:r w:rsidR="00512620">
        <w:rPr>
          <w:rFonts w:ascii="Times New Roman" w:hAnsi="Times New Roman"/>
          <w:sz w:val="28"/>
          <w:szCs w:val="28"/>
        </w:rPr>
        <w:t xml:space="preserve">the applicant earlier submitting itself to the jurisdiction of the ecclesiastical court </w:t>
      </w:r>
      <w:r w:rsidR="003258D1">
        <w:rPr>
          <w:rFonts w:ascii="Times New Roman" w:hAnsi="Times New Roman"/>
          <w:sz w:val="28"/>
          <w:szCs w:val="28"/>
        </w:rPr>
        <w:t xml:space="preserve">as a means </w:t>
      </w:r>
      <w:r w:rsidR="00512620">
        <w:rPr>
          <w:rFonts w:ascii="Times New Roman" w:hAnsi="Times New Roman"/>
          <w:sz w:val="28"/>
          <w:szCs w:val="28"/>
        </w:rPr>
        <w:t>to finally determine the issues between them)</w:t>
      </w:r>
      <w:r>
        <w:rPr>
          <w:rFonts w:ascii="Times New Roman" w:hAnsi="Times New Roman"/>
          <w:sz w:val="28"/>
          <w:szCs w:val="28"/>
        </w:rPr>
        <w:t xml:space="preserve">, the parties have essentially reached a stalemate with their respective positions being stubbornly entrenched. </w:t>
      </w:r>
    </w:p>
    <w:p w14:paraId="111312B3" w14:textId="77777777" w:rsidR="009D30DC" w:rsidRDefault="009D30DC" w:rsidP="00D46D76">
      <w:pPr>
        <w:spacing w:line="360" w:lineRule="auto"/>
        <w:contextualSpacing/>
        <w:rPr>
          <w:rFonts w:ascii="Times New Roman" w:hAnsi="Times New Roman"/>
          <w:b/>
          <w:color w:val="000000"/>
          <w:sz w:val="28"/>
          <w:szCs w:val="28"/>
          <w:u w:val="single"/>
        </w:rPr>
      </w:pPr>
    </w:p>
    <w:p w14:paraId="23C11141" w14:textId="09BB5CF4" w:rsidR="00875331" w:rsidRDefault="00875331" w:rsidP="00D46D76">
      <w:pPr>
        <w:spacing w:line="360" w:lineRule="auto"/>
        <w:contextualSpacing/>
        <w:rPr>
          <w:rFonts w:ascii="Times New Roman" w:hAnsi="Times New Roman"/>
          <w:b/>
          <w:color w:val="000000"/>
          <w:sz w:val="28"/>
          <w:szCs w:val="28"/>
          <w:u w:val="single"/>
        </w:rPr>
      </w:pPr>
    </w:p>
    <w:p w14:paraId="73E9A0FA" w14:textId="77777777" w:rsidR="00172C23" w:rsidRDefault="00172C23" w:rsidP="00D46D76">
      <w:pPr>
        <w:spacing w:line="360" w:lineRule="auto"/>
        <w:contextualSpacing/>
        <w:rPr>
          <w:rFonts w:ascii="Times New Roman" w:hAnsi="Times New Roman"/>
          <w:b/>
          <w:color w:val="000000"/>
          <w:sz w:val="28"/>
          <w:szCs w:val="28"/>
          <w:u w:val="single"/>
        </w:rPr>
      </w:pPr>
    </w:p>
    <w:p w14:paraId="40BFB53E" w14:textId="77777777" w:rsidR="00875331" w:rsidRDefault="00875331" w:rsidP="00D46D76">
      <w:pPr>
        <w:spacing w:line="360" w:lineRule="auto"/>
        <w:contextualSpacing/>
        <w:rPr>
          <w:rFonts w:ascii="Times New Roman" w:hAnsi="Times New Roman"/>
          <w:b/>
          <w:color w:val="000000"/>
          <w:sz w:val="28"/>
          <w:szCs w:val="28"/>
          <w:u w:val="single"/>
        </w:rPr>
      </w:pPr>
    </w:p>
    <w:p w14:paraId="1598E212" w14:textId="77777777" w:rsidR="00875331" w:rsidRDefault="00875331" w:rsidP="00D46D76">
      <w:pPr>
        <w:spacing w:line="360" w:lineRule="auto"/>
        <w:contextualSpacing/>
        <w:rPr>
          <w:rFonts w:ascii="Times New Roman" w:hAnsi="Times New Roman"/>
          <w:b/>
          <w:color w:val="000000"/>
          <w:sz w:val="28"/>
          <w:szCs w:val="28"/>
          <w:u w:val="single"/>
        </w:rPr>
      </w:pPr>
    </w:p>
    <w:p w14:paraId="25257826" w14:textId="77777777" w:rsidR="00274504" w:rsidRDefault="00D4403C" w:rsidP="00D46D76">
      <w:pPr>
        <w:spacing w:line="360" w:lineRule="auto"/>
        <w:contextualSpacing/>
        <w:rPr>
          <w:rFonts w:ascii="Times New Roman" w:hAnsi="Times New Roman"/>
          <w:b/>
          <w:color w:val="000000"/>
          <w:sz w:val="28"/>
          <w:szCs w:val="28"/>
          <w:u w:val="single"/>
        </w:rPr>
      </w:pPr>
      <w:r>
        <w:rPr>
          <w:rFonts w:ascii="Times New Roman" w:hAnsi="Times New Roman"/>
          <w:b/>
          <w:color w:val="000000"/>
          <w:sz w:val="28"/>
          <w:szCs w:val="28"/>
          <w:u w:val="single"/>
        </w:rPr>
        <w:lastRenderedPageBreak/>
        <w:t>T</w:t>
      </w:r>
      <w:r w:rsidR="00D009D4" w:rsidRPr="00C94274">
        <w:rPr>
          <w:rFonts w:ascii="Times New Roman" w:hAnsi="Times New Roman"/>
          <w:b/>
          <w:color w:val="000000"/>
          <w:sz w:val="28"/>
          <w:szCs w:val="28"/>
          <w:u w:val="single"/>
        </w:rPr>
        <w:t>he applicant’s reply:</w:t>
      </w:r>
    </w:p>
    <w:p w14:paraId="297F18B5" w14:textId="77777777" w:rsidR="00D46D76" w:rsidRPr="00D46D76" w:rsidRDefault="00D46D76" w:rsidP="00D46D76">
      <w:pPr>
        <w:pStyle w:val="ListParagraph"/>
        <w:tabs>
          <w:tab w:val="left" w:pos="0"/>
        </w:tabs>
        <w:spacing w:after="0" w:line="360" w:lineRule="auto"/>
        <w:ind w:left="0"/>
        <w:rPr>
          <w:rFonts w:ascii="Times New Roman" w:hAnsi="Times New Roman"/>
          <w:b/>
          <w:sz w:val="28"/>
          <w:szCs w:val="28"/>
        </w:rPr>
      </w:pPr>
    </w:p>
    <w:p w14:paraId="0BE39580" w14:textId="77777777" w:rsidR="00274504" w:rsidRPr="0027450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The approach that the applicant adopts</w:t>
      </w:r>
      <w:r w:rsidR="00D43E73">
        <w:rPr>
          <w:rFonts w:ascii="Times New Roman" w:hAnsi="Times New Roman"/>
          <w:color w:val="000000"/>
          <w:sz w:val="28"/>
          <w:szCs w:val="28"/>
        </w:rPr>
        <w:t xml:space="preserve"> in reply </w:t>
      </w:r>
      <w:r w:rsidRPr="00274504">
        <w:rPr>
          <w:rFonts w:ascii="Times New Roman" w:hAnsi="Times New Roman"/>
          <w:color w:val="000000"/>
          <w:sz w:val="28"/>
          <w:szCs w:val="28"/>
        </w:rPr>
        <w:t>is that the first respondent’s right to</w:t>
      </w:r>
      <w:r w:rsidR="00D4403C">
        <w:rPr>
          <w:rFonts w:ascii="Times New Roman" w:hAnsi="Times New Roman"/>
          <w:color w:val="000000"/>
          <w:sz w:val="28"/>
          <w:szCs w:val="28"/>
        </w:rPr>
        <w:t xml:space="preserve"> have</w:t>
      </w:r>
      <w:r w:rsidRPr="00274504">
        <w:rPr>
          <w:rFonts w:ascii="Times New Roman" w:hAnsi="Times New Roman"/>
          <w:color w:val="000000"/>
          <w:sz w:val="28"/>
          <w:szCs w:val="28"/>
        </w:rPr>
        <w:t xml:space="preserve"> challenge</w:t>
      </w:r>
      <w:r w:rsidR="00D4403C">
        <w:rPr>
          <w:rFonts w:ascii="Times New Roman" w:hAnsi="Times New Roman"/>
          <w:color w:val="000000"/>
          <w:sz w:val="28"/>
          <w:szCs w:val="28"/>
        </w:rPr>
        <w:t>d</w:t>
      </w:r>
      <w:r w:rsidRPr="00274504">
        <w:rPr>
          <w:rFonts w:ascii="Times New Roman" w:hAnsi="Times New Roman"/>
          <w:color w:val="000000"/>
          <w:sz w:val="28"/>
          <w:szCs w:val="28"/>
        </w:rPr>
        <w:t xml:space="preserve"> his dismissal and concomitantly his </w:t>
      </w:r>
      <w:r w:rsidR="006929D3">
        <w:rPr>
          <w:rFonts w:ascii="Times New Roman" w:hAnsi="Times New Roman"/>
          <w:color w:val="000000"/>
          <w:sz w:val="28"/>
          <w:szCs w:val="28"/>
        </w:rPr>
        <w:t xml:space="preserve">(and the second respondent’s) </w:t>
      </w:r>
      <w:r w:rsidRPr="00274504">
        <w:rPr>
          <w:rFonts w:ascii="Times New Roman" w:hAnsi="Times New Roman"/>
          <w:color w:val="000000"/>
          <w:sz w:val="28"/>
          <w:szCs w:val="28"/>
        </w:rPr>
        <w:t>right of occupation of the pr</w:t>
      </w:r>
      <w:r w:rsidR="00F535BD">
        <w:rPr>
          <w:rFonts w:ascii="Times New Roman" w:hAnsi="Times New Roman"/>
          <w:color w:val="000000"/>
          <w:sz w:val="28"/>
          <w:szCs w:val="28"/>
        </w:rPr>
        <w:t>operty</w:t>
      </w:r>
      <w:r w:rsidRPr="00274504">
        <w:rPr>
          <w:rFonts w:ascii="Times New Roman" w:hAnsi="Times New Roman"/>
          <w:color w:val="000000"/>
          <w:sz w:val="28"/>
          <w:szCs w:val="28"/>
        </w:rPr>
        <w:t xml:space="preserve"> was limited under the circumstances to an approach to the CCMA and/or the Labour Court</w:t>
      </w:r>
      <w:r w:rsidR="00D4403C">
        <w:rPr>
          <w:rFonts w:ascii="Times New Roman" w:hAnsi="Times New Roman"/>
          <w:color w:val="000000"/>
          <w:sz w:val="28"/>
          <w:szCs w:val="28"/>
        </w:rPr>
        <w:t xml:space="preserve"> (with reference to the provisions of clause 13 of the employment agreement),</w:t>
      </w:r>
      <w:r w:rsidRPr="00274504">
        <w:rPr>
          <w:rFonts w:ascii="Times New Roman" w:hAnsi="Times New Roman"/>
          <w:color w:val="000000"/>
          <w:sz w:val="28"/>
          <w:szCs w:val="28"/>
        </w:rPr>
        <w:t xml:space="preserve"> which he has chosen not to pursue and that his dismissal is therefore final and incontestable.</w:t>
      </w:r>
      <w:r w:rsidR="00EB7E70">
        <w:rPr>
          <w:rFonts w:ascii="Times New Roman" w:hAnsi="Times New Roman"/>
          <w:color w:val="000000"/>
          <w:sz w:val="28"/>
          <w:szCs w:val="28"/>
        </w:rPr>
        <w:t xml:space="preserve">  That, on its own </w:t>
      </w:r>
      <w:r w:rsidR="00D43E73">
        <w:rPr>
          <w:rFonts w:ascii="Times New Roman" w:hAnsi="Times New Roman"/>
          <w:color w:val="000000"/>
          <w:sz w:val="28"/>
          <w:szCs w:val="28"/>
        </w:rPr>
        <w:t>says the applicant</w:t>
      </w:r>
      <w:r w:rsidR="00D4403C">
        <w:rPr>
          <w:rFonts w:ascii="Times New Roman" w:hAnsi="Times New Roman"/>
          <w:color w:val="000000"/>
          <w:sz w:val="28"/>
          <w:szCs w:val="28"/>
        </w:rPr>
        <w:t>,</w:t>
      </w:r>
      <w:r w:rsidR="00D43E73">
        <w:rPr>
          <w:rFonts w:ascii="Times New Roman" w:hAnsi="Times New Roman"/>
          <w:color w:val="000000"/>
          <w:sz w:val="28"/>
          <w:szCs w:val="28"/>
        </w:rPr>
        <w:t xml:space="preserve"> </w:t>
      </w:r>
      <w:r w:rsidR="00EB7E70">
        <w:rPr>
          <w:rFonts w:ascii="Times New Roman" w:hAnsi="Times New Roman"/>
          <w:color w:val="000000"/>
          <w:sz w:val="28"/>
          <w:szCs w:val="28"/>
        </w:rPr>
        <w:t>renders the respondents’ occupation of the property unlawful and warrants their eviction.</w:t>
      </w:r>
    </w:p>
    <w:p w14:paraId="34EAF664"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34FB1838" w14:textId="77777777" w:rsidR="00274504" w:rsidRPr="00274504" w:rsidRDefault="00EB7E7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Whilst the applicant </w:t>
      </w:r>
      <w:r w:rsidR="007E7FCA" w:rsidRPr="00274504">
        <w:rPr>
          <w:rFonts w:ascii="Times New Roman" w:hAnsi="Times New Roman"/>
          <w:color w:val="000000"/>
          <w:sz w:val="28"/>
          <w:szCs w:val="28"/>
        </w:rPr>
        <w:t>acknowledges that the first respondent sought to have the Beth-Din determine his labour dispute by way of notice of referral dated 1 October 2020</w:t>
      </w:r>
      <w:r>
        <w:rPr>
          <w:rFonts w:ascii="Times New Roman" w:hAnsi="Times New Roman"/>
          <w:color w:val="000000"/>
          <w:sz w:val="28"/>
          <w:szCs w:val="28"/>
        </w:rPr>
        <w:t>, it</w:t>
      </w:r>
      <w:r w:rsidR="007E7FCA" w:rsidRPr="00274504">
        <w:rPr>
          <w:rFonts w:ascii="Times New Roman" w:hAnsi="Times New Roman"/>
          <w:color w:val="000000"/>
          <w:sz w:val="28"/>
          <w:szCs w:val="28"/>
        </w:rPr>
        <w:t xml:space="preserve"> </w:t>
      </w:r>
      <w:r w:rsidR="00A816BB">
        <w:rPr>
          <w:rFonts w:ascii="Times New Roman" w:hAnsi="Times New Roman"/>
          <w:color w:val="000000"/>
          <w:sz w:val="28"/>
          <w:szCs w:val="28"/>
        </w:rPr>
        <w:t xml:space="preserve">makes no bones about the fact that </w:t>
      </w:r>
      <w:r w:rsidR="00D43E73">
        <w:rPr>
          <w:rFonts w:ascii="Times New Roman" w:hAnsi="Times New Roman"/>
          <w:color w:val="000000"/>
          <w:sz w:val="28"/>
          <w:szCs w:val="28"/>
        </w:rPr>
        <w:t>it does not</w:t>
      </w:r>
      <w:r w:rsidR="00F535BD">
        <w:rPr>
          <w:rFonts w:ascii="Times New Roman" w:hAnsi="Times New Roman"/>
          <w:color w:val="000000"/>
          <w:sz w:val="28"/>
          <w:szCs w:val="28"/>
        </w:rPr>
        <w:t>, as far as it is concerned,</w:t>
      </w:r>
      <w:r w:rsidR="00D43E73">
        <w:rPr>
          <w:rFonts w:ascii="Times New Roman" w:hAnsi="Times New Roman"/>
          <w:color w:val="000000"/>
          <w:sz w:val="28"/>
          <w:szCs w:val="28"/>
        </w:rPr>
        <w:t xml:space="preserve"> consider this </w:t>
      </w:r>
      <w:r w:rsidR="00F535BD">
        <w:rPr>
          <w:rFonts w:ascii="Times New Roman" w:hAnsi="Times New Roman"/>
          <w:color w:val="000000"/>
          <w:sz w:val="28"/>
          <w:szCs w:val="28"/>
        </w:rPr>
        <w:t xml:space="preserve">to be </w:t>
      </w:r>
      <w:r w:rsidR="00D43E73">
        <w:rPr>
          <w:rFonts w:ascii="Times New Roman" w:hAnsi="Times New Roman"/>
          <w:color w:val="000000"/>
          <w:sz w:val="28"/>
          <w:szCs w:val="28"/>
        </w:rPr>
        <w:t>an option open to the first respondent</w:t>
      </w:r>
      <w:r w:rsidR="00D4403C">
        <w:rPr>
          <w:rFonts w:ascii="Times New Roman" w:hAnsi="Times New Roman"/>
          <w:color w:val="000000"/>
          <w:sz w:val="28"/>
          <w:szCs w:val="28"/>
        </w:rPr>
        <w:t xml:space="preserve"> to pursue</w:t>
      </w:r>
      <w:r w:rsidR="00D43E73">
        <w:rPr>
          <w:rFonts w:ascii="Times New Roman" w:hAnsi="Times New Roman"/>
          <w:color w:val="000000"/>
          <w:sz w:val="28"/>
          <w:szCs w:val="28"/>
        </w:rPr>
        <w:t xml:space="preserve">.  </w:t>
      </w:r>
      <w:r w:rsidR="00D4403C">
        <w:rPr>
          <w:rFonts w:ascii="Times New Roman" w:hAnsi="Times New Roman"/>
          <w:color w:val="000000"/>
          <w:sz w:val="28"/>
          <w:szCs w:val="28"/>
        </w:rPr>
        <w:t>It transpires that the reason for this is that the applicant advised the Beth-Din that it was</w:t>
      </w:r>
      <w:r w:rsidR="00A816BB">
        <w:rPr>
          <w:rFonts w:ascii="Times New Roman" w:hAnsi="Times New Roman"/>
          <w:color w:val="000000"/>
          <w:sz w:val="28"/>
          <w:szCs w:val="28"/>
        </w:rPr>
        <w:t>,</w:t>
      </w:r>
      <w:r w:rsidR="00D4403C">
        <w:rPr>
          <w:rFonts w:ascii="Times New Roman" w:hAnsi="Times New Roman"/>
          <w:color w:val="000000"/>
          <w:sz w:val="28"/>
          <w:szCs w:val="28"/>
        </w:rPr>
        <w:t xml:space="preserve"> and I assume from the context</w:t>
      </w:r>
      <w:r w:rsidR="006929D3">
        <w:rPr>
          <w:rFonts w:ascii="Times New Roman" w:hAnsi="Times New Roman"/>
          <w:color w:val="000000"/>
          <w:sz w:val="28"/>
          <w:szCs w:val="28"/>
        </w:rPr>
        <w:t>,</w:t>
      </w:r>
      <w:r w:rsidR="00D4403C">
        <w:rPr>
          <w:rFonts w:ascii="Times New Roman" w:hAnsi="Times New Roman"/>
          <w:color w:val="000000"/>
          <w:sz w:val="28"/>
          <w:szCs w:val="28"/>
        </w:rPr>
        <w:t xml:space="preserve"> </w:t>
      </w:r>
      <w:r w:rsidR="00D4403C" w:rsidRPr="006929D3">
        <w:rPr>
          <w:rFonts w:ascii="Times New Roman" w:hAnsi="Times New Roman"/>
          <w:i/>
          <w:iCs/>
          <w:color w:val="000000"/>
          <w:sz w:val="28"/>
          <w:szCs w:val="28"/>
        </w:rPr>
        <w:t>is not</w:t>
      </w:r>
      <w:r w:rsidR="00A816BB">
        <w:rPr>
          <w:rFonts w:ascii="Times New Roman" w:hAnsi="Times New Roman"/>
          <w:color w:val="000000"/>
          <w:sz w:val="28"/>
          <w:szCs w:val="28"/>
        </w:rPr>
        <w:t>,</w:t>
      </w:r>
      <w:r w:rsidR="00D4403C">
        <w:rPr>
          <w:rFonts w:ascii="Times New Roman" w:hAnsi="Times New Roman"/>
          <w:color w:val="000000"/>
          <w:sz w:val="28"/>
          <w:szCs w:val="28"/>
        </w:rPr>
        <w:t xml:space="preserve"> prepared to subject itself to the ecclesia</w:t>
      </w:r>
      <w:r w:rsidR="00A816BB">
        <w:rPr>
          <w:rFonts w:ascii="Times New Roman" w:hAnsi="Times New Roman"/>
          <w:color w:val="000000"/>
          <w:sz w:val="28"/>
          <w:szCs w:val="28"/>
        </w:rPr>
        <w:t>stic</w:t>
      </w:r>
      <w:r w:rsidR="00D4403C">
        <w:rPr>
          <w:rFonts w:ascii="Times New Roman" w:hAnsi="Times New Roman"/>
          <w:color w:val="000000"/>
          <w:sz w:val="28"/>
          <w:szCs w:val="28"/>
        </w:rPr>
        <w:t xml:space="preserve">al court’s jurisdiction for purposes of determining the first respondent’s </w:t>
      </w:r>
      <w:r w:rsidR="00F535BD">
        <w:rPr>
          <w:rFonts w:ascii="Times New Roman" w:hAnsi="Times New Roman"/>
          <w:color w:val="000000"/>
          <w:sz w:val="28"/>
          <w:szCs w:val="28"/>
        </w:rPr>
        <w:t xml:space="preserve">dismissal </w:t>
      </w:r>
      <w:r w:rsidR="00D4403C">
        <w:rPr>
          <w:rFonts w:ascii="Times New Roman" w:hAnsi="Times New Roman"/>
          <w:color w:val="000000"/>
          <w:sz w:val="28"/>
          <w:szCs w:val="28"/>
        </w:rPr>
        <w:t>dispute.</w:t>
      </w:r>
    </w:p>
    <w:p w14:paraId="1FDCF789"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7B10F86A" w14:textId="77777777" w:rsidR="00D4403C" w:rsidRPr="00D4403C" w:rsidRDefault="00D4403C"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The approach taken by the Beth-</w:t>
      </w:r>
      <w:r w:rsidR="006929D3">
        <w:rPr>
          <w:rFonts w:ascii="Times New Roman" w:hAnsi="Times New Roman"/>
          <w:color w:val="000000"/>
          <w:sz w:val="28"/>
          <w:szCs w:val="28"/>
        </w:rPr>
        <w:t>Din</w:t>
      </w:r>
      <w:r>
        <w:rPr>
          <w:rFonts w:ascii="Times New Roman" w:hAnsi="Times New Roman"/>
          <w:color w:val="000000"/>
          <w:sz w:val="28"/>
          <w:szCs w:val="28"/>
        </w:rPr>
        <w:t xml:space="preserve"> is that where one party refuses to subject itself to its jurisdiction, it </w:t>
      </w:r>
      <w:r w:rsidR="007E7FCA" w:rsidRPr="00274504">
        <w:rPr>
          <w:rFonts w:ascii="Times New Roman" w:hAnsi="Times New Roman"/>
          <w:color w:val="000000"/>
          <w:sz w:val="28"/>
          <w:szCs w:val="28"/>
        </w:rPr>
        <w:t>has the right and obligation to allow the other disputant to approach the secular courts</w:t>
      </w:r>
      <w:r w:rsidR="00D009D4">
        <w:rPr>
          <w:rFonts w:ascii="Times New Roman" w:hAnsi="Times New Roman"/>
          <w:color w:val="000000"/>
          <w:sz w:val="28"/>
          <w:szCs w:val="28"/>
        </w:rPr>
        <w:t xml:space="preserve"> which it did by giving </w:t>
      </w:r>
      <w:r w:rsidR="007E7FCA" w:rsidRPr="00274504">
        <w:rPr>
          <w:rFonts w:ascii="Times New Roman" w:hAnsi="Times New Roman"/>
          <w:color w:val="000000"/>
          <w:sz w:val="28"/>
          <w:szCs w:val="28"/>
        </w:rPr>
        <w:t>permission</w:t>
      </w:r>
      <w:r w:rsidR="00D009D4">
        <w:rPr>
          <w:rFonts w:ascii="Times New Roman" w:hAnsi="Times New Roman"/>
          <w:color w:val="000000"/>
          <w:sz w:val="28"/>
          <w:szCs w:val="28"/>
        </w:rPr>
        <w:t xml:space="preserve"> to the first respondent to vindicate his situation in such </w:t>
      </w:r>
      <w:r>
        <w:rPr>
          <w:rFonts w:ascii="Times New Roman" w:hAnsi="Times New Roman"/>
          <w:color w:val="000000"/>
          <w:sz w:val="28"/>
          <w:szCs w:val="28"/>
        </w:rPr>
        <w:t xml:space="preserve">a </w:t>
      </w:r>
      <w:r w:rsidR="00D009D4">
        <w:rPr>
          <w:rFonts w:ascii="Times New Roman" w:hAnsi="Times New Roman"/>
          <w:color w:val="000000"/>
          <w:sz w:val="28"/>
          <w:szCs w:val="28"/>
        </w:rPr>
        <w:t>manner.</w:t>
      </w:r>
      <w:r>
        <w:rPr>
          <w:rFonts w:ascii="Times New Roman" w:hAnsi="Times New Roman"/>
          <w:color w:val="000000"/>
          <w:sz w:val="28"/>
          <w:szCs w:val="28"/>
        </w:rPr>
        <w:t xml:space="preserve">  </w:t>
      </w:r>
    </w:p>
    <w:p w14:paraId="5516FCCF" w14:textId="77777777" w:rsidR="00D4403C" w:rsidRPr="00D4403C" w:rsidRDefault="00D4403C" w:rsidP="00D46D76">
      <w:pPr>
        <w:pStyle w:val="ListParagraph"/>
        <w:spacing w:after="0" w:line="360" w:lineRule="auto"/>
        <w:rPr>
          <w:rFonts w:ascii="Times New Roman" w:hAnsi="Times New Roman"/>
          <w:color w:val="000000"/>
          <w:sz w:val="28"/>
          <w:szCs w:val="28"/>
        </w:rPr>
      </w:pPr>
    </w:p>
    <w:p w14:paraId="6DED663E" w14:textId="77777777" w:rsidR="00274504" w:rsidRPr="00D4403C" w:rsidRDefault="00D4403C"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Whereas thi</w:t>
      </w:r>
      <w:r w:rsidR="00F535BD">
        <w:rPr>
          <w:rFonts w:ascii="Times New Roman" w:hAnsi="Times New Roman"/>
          <w:color w:val="000000"/>
          <w:sz w:val="28"/>
          <w:szCs w:val="28"/>
        </w:rPr>
        <w:t>s would have been the end of the matter</w:t>
      </w:r>
      <w:r>
        <w:rPr>
          <w:rFonts w:ascii="Times New Roman" w:hAnsi="Times New Roman"/>
          <w:color w:val="000000"/>
          <w:sz w:val="28"/>
          <w:szCs w:val="28"/>
        </w:rPr>
        <w:t xml:space="preserve">, so the applicant relates, </w:t>
      </w:r>
      <w:r w:rsidR="007E7FCA" w:rsidRPr="00D4403C">
        <w:rPr>
          <w:rFonts w:ascii="Times New Roman" w:hAnsi="Times New Roman"/>
          <w:color w:val="000000"/>
          <w:sz w:val="28"/>
          <w:szCs w:val="28"/>
        </w:rPr>
        <w:t xml:space="preserve">the first respondent persisted in his “misplaced </w:t>
      </w:r>
      <w:r w:rsidR="006929D3" w:rsidRPr="00D4403C">
        <w:rPr>
          <w:rFonts w:ascii="Times New Roman" w:hAnsi="Times New Roman"/>
          <w:color w:val="000000"/>
          <w:sz w:val="28"/>
          <w:szCs w:val="28"/>
        </w:rPr>
        <w:t>endeavo</w:t>
      </w:r>
      <w:r w:rsidR="006929D3">
        <w:rPr>
          <w:rFonts w:ascii="Times New Roman" w:hAnsi="Times New Roman"/>
          <w:color w:val="000000"/>
          <w:sz w:val="28"/>
          <w:szCs w:val="28"/>
        </w:rPr>
        <w:t>u</w:t>
      </w:r>
      <w:r w:rsidR="006929D3" w:rsidRPr="00D4403C">
        <w:rPr>
          <w:rFonts w:ascii="Times New Roman" w:hAnsi="Times New Roman"/>
          <w:color w:val="000000"/>
          <w:sz w:val="28"/>
          <w:szCs w:val="28"/>
        </w:rPr>
        <w:t>r</w:t>
      </w:r>
      <w:r w:rsidR="007E7FCA" w:rsidRPr="00D4403C">
        <w:rPr>
          <w:rFonts w:ascii="Times New Roman" w:hAnsi="Times New Roman"/>
          <w:color w:val="000000"/>
          <w:sz w:val="28"/>
          <w:szCs w:val="28"/>
        </w:rPr>
        <w:t>”</w:t>
      </w:r>
      <w:r w:rsidR="00F535BD">
        <w:rPr>
          <w:rFonts w:ascii="Times New Roman" w:hAnsi="Times New Roman"/>
          <w:color w:val="000000"/>
          <w:sz w:val="28"/>
          <w:szCs w:val="28"/>
        </w:rPr>
        <w:t>,</w:t>
      </w:r>
      <w:r>
        <w:rPr>
          <w:rFonts w:ascii="Times New Roman" w:hAnsi="Times New Roman"/>
          <w:color w:val="000000"/>
          <w:sz w:val="28"/>
          <w:szCs w:val="28"/>
        </w:rPr>
        <w:t xml:space="preserve"> as it calls it</w:t>
      </w:r>
      <w:r w:rsidR="00F535BD">
        <w:rPr>
          <w:rFonts w:ascii="Times New Roman" w:hAnsi="Times New Roman"/>
          <w:color w:val="000000"/>
          <w:sz w:val="28"/>
          <w:szCs w:val="28"/>
        </w:rPr>
        <w:t>,</w:t>
      </w:r>
      <w:r w:rsidR="00EB7E70" w:rsidRPr="00D4403C">
        <w:rPr>
          <w:rFonts w:ascii="Times New Roman" w:hAnsi="Times New Roman"/>
          <w:color w:val="000000"/>
          <w:sz w:val="28"/>
          <w:szCs w:val="28"/>
        </w:rPr>
        <w:t xml:space="preserve"> </w:t>
      </w:r>
      <w:r w:rsidR="007E7FCA" w:rsidRPr="00D4403C">
        <w:rPr>
          <w:rFonts w:ascii="Times New Roman" w:hAnsi="Times New Roman"/>
          <w:color w:val="000000"/>
          <w:sz w:val="28"/>
          <w:szCs w:val="28"/>
        </w:rPr>
        <w:t xml:space="preserve">to have the </w:t>
      </w:r>
      <w:r>
        <w:rPr>
          <w:rFonts w:ascii="Times New Roman" w:hAnsi="Times New Roman"/>
          <w:color w:val="000000"/>
          <w:sz w:val="28"/>
          <w:szCs w:val="28"/>
        </w:rPr>
        <w:t>labour dispute determined by the Beth-Din</w:t>
      </w:r>
      <w:r w:rsidR="007E7FCA" w:rsidRPr="00D4403C">
        <w:rPr>
          <w:rFonts w:ascii="Times New Roman" w:hAnsi="Times New Roman"/>
          <w:color w:val="000000"/>
          <w:sz w:val="28"/>
          <w:szCs w:val="28"/>
        </w:rPr>
        <w:t xml:space="preserve"> by filing an application for </w:t>
      </w:r>
      <w:r w:rsidR="00A816BB">
        <w:rPr>
          <w:rFonts w:ascii="Times New Roman" w:hAnsi="Times New Roman"/>
          <w:color w:val="000000"/>
          <w:sz w:val="28"/>
          <w:szCs w:val="28"/>
        </w:rPr>
        <w:t>a ruling</w:t>
      </w:r>
      <w:r w:rsidR="007E7FCA" w:rsidRPr="00D4403C">
        <w:rPr>
          <w:rFonts w:ascii="Times New Roman" w:hAnsi="Times New Roman"/>
          <w:color w:val="000000"/>
          <w:sz w:val="28"/>
          <w:szCs w:val="28"/>
        </w:rPr>
        <w:t xml:space="preserve"> </w:t>
      </w:r>
      <w:r w:rsidR="00875331">
        <w:rPr>
          <w:rFonts w:ascii="Times New Roman" w:hAnsi="Times New Roman"/>
          <w:color w:val="000000"/>
          <w:sz w:val="28"/>
          <w:szCs w:val="28"/>
        </w:rPr>
        <w:t>document dated 15 December 2020</w:t>
      </w:r>
      <w:r w:rsidR="007E7FCA" w:rsidRPr="00D4403C">
        <w:rPr>
          <w:rFonts w:ascii="Times New Roman" w:hAnsi="Times New Roman"/>
          <w:color w:val="000000"/>
          <w:sz w:val="28"/>
          <w:szCs w:val="28"/>
        </w:rPr>
        <w:t xml:space="preserve"> wherein he asked </w:t>
      </w:r>
      <w:r>
        <w:rPr>
          <w:rFonts w:ascii="Times New Roman" w:hAnsi="Times New Roman"/>
          <w:color w:val="000000"/>
          <w:sz w:val="28"/>
          <w:szCs w:val="28"/>
        </w:rPr>
        <w:t>th</w:t>
      </w:r>
      <w:r w:rsidR="00757918">
        <w:rPr>
          <w:rFonts w:ascii="Times New Roman" w:hAnsi="Times New Roman"/>
          <w:color w:val="000000"/>
          <w:sz w:val="28"/>
          <w:szCs w:val="28"/>
        </w:rPr>
        <w:t xml:space="preserve">e Beth-Din </w:t>
      </w:r>
      <w:r>
        <w:rPr>
          <w:rFonts w:ascii="Times New Roman" w:hAnsi="Times New Roman"/>
          <w:color w:val="000000"/>
          <w:sz w:val="28"/>
          <w:szCs w:val="28"/>
        </w:rPr>
        <w:lastRenderedPageBreak/>
        <w:t>to</w:t>
      </w:r>
      <w:r w:rsidR="002D4F99" w:rsidRPr="00D4403C">
        <w:rPr>
          <w:rFonts w:ascii="Times New Roman" w:hAnsi="Times New Roman"/>
          <w:color w:val="000000"/>
          <w:sz w:val="28"/>
          <w:szCs w:val="28"/>
        </w:rPr>
        <w:t xml:space="preserve"> formally</w:t>
      </w:r>
      <w:r w:rsidR="007E7FCA" w:rsidRPr="00D4403C">
        <w:rPr>
          <w:rFonts w:ascii="Times New Roman" w:hAnsi="Times New Roman"/>
          <w:color w:val="000000"/>
          <w:sz w:val="28"/>
          <w:szCs w:val="28"/>
        </w:rPr>
        <w:t xml:space="preserve"> rule </w:t>
      </w:r>
      <w:r w:rsidR="002D4F99" w:rsidRPr="00D4403C">
        <w:rPr>
          <w:rFonts w:ascii="Times New Roman" w:hAnsi="Times New Roman"/>
          <w:color w:val="000000"/>
          <w:sz w:val="28"/>
          <w:szCs w:val="28"/>
        </w:rPr>
        <w:t xml:space="preserve">on the issue of its </w:t>
      </w:r>
      <w:r w:rsidR="007E7FCA" w:rsidRPr="00D4403C">
        <w:rPr>
          <w:rFonts w:ascii="Times New Roman" w:hAnsi="Times New Roman"/>
          <w:color w:val="000000"/>
          <w:sz w:val="28"/>
          <w:szCs w:val="28"/>
        </w:rPr>
        <w:t>jurisdiction over the labour dispute belatedly referred to</w:t>
      </w:r>
      <w:r w:rsidR="002D4F99" w:rsidRPr="00D4403C">
        <w:rPr>
          <w:rFonts w:ascii="Times New Roman" w:hAnsi="Times New Roman"/>
          <w:color w:val="000000"/>
          <w:sz w:val="28"/>
          <w:szCs w:val="28"/>
        </w:rPr>
        <w:t xml:space="preserve"> </w:t>
      </w:r>
      <w:r w:rsidR="00757918">
        <w:rPr>
          <w:rFonts w:ascii="Times New Roman" w:hAnsi="Times New Roman"/>
          <w:color w:val="000000"/>
          <w:sz w:val="28"/>
          <w:szCs w:val="28"/>
        </w:rPr>
        <w:t>it</w:t>
      </w:r>
      <w:r w:rsidR="007E7FCA" w:rsidRPr="00D4403C">
        <w:rPr>
          <w:rFonts w:ascii="Times New Roman" w:hAnsi="Times New Roman"/>
          <w:color w:val="000000"/>
          <w:sz w:val="28"/>
          <w:szCs w:val="28"/>
        </w:rPr>
        <w:t>.</w:t>
      </w:r>
      <w:r>
        <w:rPr>
          <w:rFonts w:ascii="Times New Roman" w:hAnsi="Times New Roman"/>
          <w:color w:val="000000"/>
          <w:sz w:val="28"/>
          <w:szCs w:val="28"/>
        </w:rPr>
        <w:t xml:space="preserve">  </w:t>
      </w:r>
      <w:r w:rsidR="007E7FCA" w:rsidRPr="00D4403C">
        <w:rPr>
          <w:rFonts w:ascii="Times New Roman" w:hAnsi="Times New Roman"/>
          <w:color w:val="000000"/>
          <w:sz w:val="28"/>
          <w:szCs w:val="28"/>
        </w:rPr>
        <w:t>The applicant</w:t>
      </w:r>
      <w:r>
        <w:rPr>
          <w:rFonts w:ascii="Times New Roman" w:hAnsi="Times New Roman"/>
          <w:color w:val="000000"/>
          <w:sz w:val="28"/>
          <w:szCs w:val="28"/>
        </w:rPr>
        <w:t xml:space="preserve"> in this next round </w:t>
      </w:r>
      <w:r w:rsidR="00D43E73" w:rsidRPr="00D4403C">
        <w:rPr>
          <w:rFonts w:ascii="Times New Roman" w:hAnsi="Times New Roman"/>
          <w:color w:val="000000"/>
          <w:sz w:val="28"/>
          <w:szCs w:val="28"/>
        </w:rPr>
        <w:t xml:space="preserve">once </w:t>
      </w:r>
      <w:r w:rsidR="007E7FCA" w:rsidRPr="00D4403C">
        <w:rPr>
          <w:rFonts w:ascii="Times New Roman" w:hAnsi="Times New Roman"/>
          <w:color w:val="000000"/>
          <w:sz w:val="28"/>
          <w:szCs w:val="28"/>
        </w:rPr>
        <w:t xml:space="preserve">again </w:t>
      </w:r>
      <w:r w:rsidR="00D43E73" w:rsidRPr="00D4403C">
        <w:rPr>
          <w:rFonts w:ascii="Times New Roman" w:hAnsi="Times New Roman"/>
          <w:color w:val="000000"/>
          <w:sz w:val="28"/>
          <w:szCs w:val="28"/>
        </w:rPr>
        <w:t xml:space="preserve">asserted to the Beth-Din </w:t>
      </w:r>
      <w:r w:rsidR="007E7FCA" w:rsidRPr="00D4403C">
        <w:rPr>
          <w:rFonts w:ascii="Times New Roman" w:hAnsi="Times New Roman"/>
          <w:color w:val="000000"/>
          <w:sz w:val="28"/>
          <w:szCs w:val="28"/>
        </w:rPr>
        <w:t>that it was not agreeable to the first respondent's request t</w:t>
      </w:r>
      <w:r w:rsidR="00D43E73" w:rsidRPr="00D4403C">
        <w:rPr>
          <w:rFonts w:ascii="Times New Roman" w:hAnsi="Times New Roman"/>
          <w:color w:val="000000"/>
          <w:sz w:val="28"/>
          <w:szCs w:val="28"/>
        </w:rPr>
        <w:t xml:space="preserve">hat it </w:t>
      </w:r>
      <w:r w:rsidR="007E7FCA" w:rsidRPr="00D4403C">
        <w:rPr>
          <w:rFonts w:ascii="Times New Roman" w:hAnsi="Times New Roman"/>
          <w:color w:val="000000"/>
          <w:sz w:val="28"/>
          <w:szCs w:val="28"/>
        </w:rPr>
        <w:t xml:space="preserve">submit itself to </w:t>
      </w:r>
      <w:r w:rsidR="00D43E73" w:rsidRPr="00D4403C">
        <w:rPr>
          <w:rFonts w:ascii="Times New Roman" w:hAnsi="Times New Roman"/>
          <w:color w:val="000000"/>
          <w:sz w:val="28"/>
          <w:szCs w:val="28"/>
        </w:rPr>
        <w:t>it</w:t>
      </w:r>
      <w:r w:rsidR="00D009D4" w:rsidRPr="00D4403C">
        <w:rPr>
          <w:rFonts w:ascii="Times New Roman" w:hAnsi="Times New Roman"/>
          <w:color w:val="000000"/>
          <w:sz w:val="28"/>
          <w:szCs w:val="28"/>
        </w:rPr>
        <w:t>s j</w:t>
      </w:r>
      <w:r w:rsidR="007E7FCA" w:rsidRPr="00D4403C">
        <w:rPr>
          <w:rFonts w:ascii="Times New Roman" w:hAnsi="Times New Roman"/>
          <w:color w:val="000000"/>
          <w:sz w:val="28"/>
          <w:szCs w:val="28"/>
        </w:rPr>
        <w:t>urisdiction.</w:t>
      </w:r>
      <w:r>
        <w:rPr>
          <w:rFonts w:ascii="Times New Roman" w:hAnsi="Times New Roman"/>
          <w:color w:val="000000"/>
          <w:sz w:val="28"/>
          <w:szCs w:val="28"/>
        </w:rPr>
        <w:t xml:space="preserve">  A study of the correspondence addressed by the Beth-Din’s attorney to the parties</w:t>
      </w:r>
      <w:r w:rsidR="00757918">
        <w:rPr>
          <w:rFonts w:ascii="Times New Roman" w:hAnsi="Times New Roman"/>
          <w:color w:val="000000"/>
          <w:sz w:val="28"/>
          <w:szCs w:val="28"/>
        </w:rPr>
        <w:t>’ attorneys</w:t>
      </w:r>
      <w:r>
        <w:rPr>
          <w:rFonts w:ascii="Times New Roman" w:hAnsi="Times New Roman"/>
          <w:color w:val="000000"/>
          <w:sz w:val="28"/>
          <w:szCs w:val="28"/>
        </w:rPr>
        <w:t xml:space="preserve"> concerning this issue reveals its view that it does</w:t>
      </w:r>
      <w:r w:rsidR="00757918">
        <w:rPr>
          <w:rFonts w:ascii="Times New Roman" w:hAnsi="Times New Roman"/>
          <w:color w:val="000000"/>
          <w:sz w:val="28"/>
          <w:szCs w:val="28"/>
        </w:rPr>
        <w:t xml:space="preserve"> indeed</w:t>
      </w:r>
      <w:r>
        <w:rPr>
          <w:rFonts w:ascii="Times New Roman" w:hAnsi="Times New Roman"/>
          <w:color w:val="000000"/>
          <w:sz w:val="28"/>
          <w:szCs w:val="28"/>
        </w:rPr>
        <w:t xml:space="preserve"> have jurisdiction over the dispute, but that its hands </w:t>
      </w:r>
      <w:r w:rsidR="00DD55A5">
        <w:rPr>
          <w:rFonts w:ascii="Times New Roman" w:hAnsi="Times New Roman"/>
          <w:color w:val="000000"/>
          <w:sz w:val="28"/>
          <w:szCs w:val="28"/>
        </w:rPr>
        <w:t>are</w:t>
      </w:r>
      <w:r>
        <w:rPr>
          <w:rFonts w:ascii="Times New Roman" w:hAnsi="Times New Roman"/>
          <w:color w:val="000000"/>
          <w:sz w:val="28"/>
          <w:szCs w:val="28"/>
        </w:rPr>
        <w:t xml:space="preserve"> tied as it were, because of the stance adopted by the applicant that it will not accept </w:t>
      </w:r>
      <w:r w:rsidR="006929D3">
        <w:rPr>
          <w:rFonts w:ascii="Times New Roman" w:hAnsi="Times New Roman"/>
          <w:color w:val="000000"/>
          <w:sz w:val="28"/>
          <w:szCs w:val="28"/>
        </w:rPr>
        <w:t xml:space="preserve">its </w:t>
      </w:r>
      <w:r>
        <w:rPr>
          <w:rFonts w:ascii="Times New Roman" w:hAnsi="Times New Roman"/>
          <w:color w:val="000000"/>
          <w:sz w:val="28"/>
          <w:szCs w:val="28"/>
        </w:rPr>
        <w:t>jurisdiction and will not partake in any such hearing before it.</w:t>
      </w:r>
    </w:p>
    <w:p w14:paraId="47783895"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6A1F80DF" w14:textId="77777777" w:rsidR="00274504" w:rsidRPr="00274504" w:rsidRDefault="00EB7E7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rPr>
        <w:t xml:space="preserve">The </w:t>
      </w:r>
      <w:r w:rsidR="007E7FCA" w:rsidRPr="00274504">
        <w:rPr>
          <w:rFonts w:ascii="Times New Roman" w:hAnsi="Times New Roman"/>
          <w:color w:val="000000"/>
          <w:sz w:val="28"/>
          <w:szCs w:val="28"/>
        </w:rPr>
        <w:t>applicant</w:t>
      </w:r>
      <w:r w:rsidR="002D4F99">
        <w:rPr>
          <w:rFonts w:ascii="Times New Roman" w:hAnsi="Times New Roman"/>
          <w:color w:val="000000"/>
          <w:sz w:val="28"/>
          <w:szCs w:val="28"/>
        </w:rPr>
        <w:t xml:space="preserve"> </w:t>
      </w:r>
      <w:r w:rsidR="007E7FCA" w:rsidRPr="00274504">
        <w:rPr>
          <w:rFonts w:ascii="Times New Roman" w:hAnsi="Times New Roman"/>
          <w:color w:val="000000"/>
          <w:sz w:val="28"/>
          <w:szCs w:val="28"/>
        </w:rPr>
        <w:t>reveals</w:t>
      </w:r>
      <w:r w:rsidR="00D4403C">
        <w:rPr>
          <w:rFonts w:ascii="Times New Roman" w:hAnsi="Times New Roman"/>
          <w:color w:val="000000"/>
          <w:sz w:val="28"/>
          <w:szCs w:val="28"/>
        </w:rPr>
        <w:t xml:space="preserve"> in its replying affidavit, </w:t>
      </w:r>
      <w:r w:rsidR="00DD55A5">
        <w:rPr>
          <w:rFonts w:ascii="Times New Roman" w:hAnsi="Times New Roman"/>
          <w:color w:val="000000"/>
          <w:sz w:val="28"/>
          <w:szCs w:val="28"/>
        </w:rPr>
        <w:t>(</w:t>
      </w:r>
      <w:r w:rsidR="00D4403C">
        <w:rPr>
          <w:rFonts w:ascii="Times New Roman" w:hAnsi="Times New Roman"/>
          <w:color w:val="000000"/>
          <w:sz w:val="28"/>
          <w:szCs w:val="28"/>
        </w:rPr>
        <w:t xml:space="preserve">although, evidently not in its correspondence with the Beth-Din), </w:t>
      </w:r>
      <w:r w:rsidR="007E7FCA" w:rsidRPr="00274504">
        <w:rPr>
          <w:rFonts w:ascii="Times New Roman" w:hAnsi="Times New Roman"/>
          <w:color w:val="000000"/>
          <w:sz w:val="28"/>
          <w:szCs w:val="28"/>
        </w:rPr>
        <w:t>tha</w:t>
      </w:r>
      <w:r w:rsidR="009E7ACE">
        <w:rPr>
          <w:rFonts w:ascii="Times New Roman" w:hAnsi="Times New Roman"/>
          <w:color w:val="000000"/>
          <w:sz w:val="28"/>
          <w:szCs w:val="28"/>
        </w:rPr>
        <w:t>t one of the reasons why it does</w:t>
      </w:r>
      <w:r w:rsidR="007E7FCA" w:rsidRPr="00274504">
        <w:rPr>
          <w:rFonts w:ascii="Times New Roman" w:hAnsi="Times New Roman"/>
          <w:color w:val="000000"/>
          <w:sz w:val="28"/>
          <w:szCs w:val="28"/>
        </w:rPr>
        <w:t xml:space="preserve"> not wish to submit </w:t>
      </w:r>
      <w:r w:rsidR="002D4F99">
        <w:rPr>
          <w:rFonts w:ascii="Times New Roman" w:hAnsi="Times New Roman"/>
          <w:color w:val="000000"/>
          <w:sz w:val="28"/>
          <w:szCs w:val="28"/>
        </w:rPr>
        <w:t xml:space="preserve">itself </w:t>
      </w:r>
      <w:r w:rsidR="007E7FCA" w:rsidRPr="00274504">
        <w:rPr>
          <w:rFonts w:ascii="Times New Roman" w:hAnsi="Times New Roman"/>
          <w:color w:val="000000"/>
          <w:sz w:val="28"/>
          <w:szCs w:val="28"/>
        </w:rPr>
        <w:t xml:space="preserve">to the </w:t>
      </w:r>
      <w:r w:rsidR="006929D3">
        <w:rPr>
          <w:rFonts w:ascii="Times New Roman" w:hAnsi="Times New Roman"/>
          <w:color w:val="000000"/>
          <w:sz w:val="28"/>
          <w:szCs w:val="28"/>
        </w:rPr>
        <w:t xml:space="preserve">ecclesiastical court’s </w:t>
      </w:r>
      <w:r w:rsidR="007E7FCA" w:rsidRPr="00274504">
        <w:rPr>
          <w:rFonts w:ascii="Times New Roman" w:hAnsi="Times New Roman"/>
          <w:color w:val="000000"/>
          <w:sz w:val="28"/>
          <w:szCs w:val="28"/>
        </w:rPr>
        <w:t xml:space="preserve">jurisdiction </w:t>
      </w:r>
      <w:r>
        <w:rPr>
          <w:rFonts w:ascii="Times New Roman" w:hAnsi="Times New Roman"/>
          <w:color w:val="000000"/>
          <w:sz w:val="28"/>
          <w:szCs w:val="28"/>
        </w:rPr>
        <w:t>to determine the first respondent’s claim that his dismissal was wrong</w:t>
      </w:r>
      <w:r w:rsidR="00D461FA">
        <w:rPr>
          <w:rFonts w:ascii="Times New Roman" w:hAnsi="Times New Roman"/>
          <w:color w:val="000000"/>
          <w:sz w:val="28"/>
          <w:szCs w:val="28"/>
        </w:rPr>
        <w:t>ful</w:t>
      </w:r>
      <w:r>
        <w:rPr>
          <w:rFonts w:ascii="Times New Roman" w:hAnsi="Times New Roman"/>
          <w:color w:val="000000"/>
          <w:sz w:val="28"/>
          <w:szCs w:val="28"/>
        </w:rPr>
        <w:t xml:space="preserve"> and unlawful </w:t>
      </w:r>
      <w:r w:rsidR="007E7FCA" w:rsidRPr="00274504">
        <w:rPr>
          <w:rFonts w:ascii="Times New Roman" w:hAnsi="Times New Roman"/>
          <w:color w:val="000000"/>
          <w:sz w:val="28"/>
          <w:szCs w:val="28"/>
        </w:rPr>
        <w:t xml:space="preserve">is that the </w:t>
      </w:r>
      <w:r w:rsidR="009E7ACE">
        <w:rPr>
          <w:rFonts w:ascii="Times New Roman" w:hAnsi="Times New Roman"/>
          <w:color w:val="000000"/>
          <w:sz w:val="28"/>
          <w:szCs w:val="28"/>
        </w:rPr>
        <w:t>Society</w:t>
      </w:r>
      <w:r w:rsidR="00D009D4">
        <w:rPr>
          <w:rFonts w:ascii="Times New Roman" w:hAnsi="Times New Roman"/>
          <w:color w:val="000000"/>
          <w:sz w:val="28"/>
          <w:szCs w:val="28"/>
        </w:rPr>
        <w:t>,</w:t>
      </w:r>
      <w:r>
        <w:rPr>
          <w:rFonts w:ascii="Times New Roman" w:hAnsi="Times New Roman"/>
          <w:color w:val="000000"/>
          <w:sz w:val="28"/>
          <w:szCs w:val="28"/>
        </w:rPr>
        <w:t xml:space="preserve"> and </w:t>
      </w:r>
      <w:r w:rsidR="007E7FCA" w:rsidRPr="00274504">
        <w:rPr>
          <w:rFonts w:ascii="Times New Roman" w:hAnsi="Times New Roman"/>
          <w:color w:val="000000"/>
          <w:sz w:val="28"/>
          <w:szCs w:val="28"/>
        </w:rPr>
        <w:t xml:space="preserve">by extension </w:t>
      </w:r>
      <w:r>
        <w:rPr>
          <w:rFonts w:ascii="Times New Roman" w:hAnsi="Times New Roman"/>
          <w:color w:val="000000"/>
          <w:sz w:val="28"/>
          <w:szCs w:val="28"/>
        </w:rPr>
        <w:t>itself</w:t>
      </w:r>
      <w:r w:rsidR="00DD55A5">
        <w:rPr>
          <w:rFonts w:ascii="Times New Roman" w:hAnsi="Times New Roman"/>
          <w:color w:val="000000"/>
          <w:sz w:val="28"/>
          <w:szCs w:val="28"/>
        </w:rPr>
        <w:t>,</w:t>
      </w:r>
      <w:r w:rsidR="009E7ACE">
        <w:rPr>
          <w:rFonts w:ascii="Times New Roman" w:hAnsi="Times New Roman"/>
          <w:color w:val="000000"/>
          <w:sz w:val="28"/>
          <w:szCs w:val="28"/>
        </w:rPr>
        <w:t xml:space="preserve"> </w:t>
      </w:r>
      <w:r w:rsidR="00D009D4">
        <w:rPr>
          <w:rFonts w:ascii="Times New Roman" w:hAnsi="Times New Roman"/>
          <w:color w:val="000000"/>
          <w:sz w:val="28"/>
          <w:szCs w:val="28"/>
        </w:rPr>
        <w:t>both</w:t>
      </w:r>
      <w:r>
        <w:rPr>
          <w:rFonts w:ascii="Times New Roman" w:hAnsi="Times New Roman"/>
          <w:color w:val="000000"/>
          <w:sz w:val="28"/>
          <w:szCs w:val="28"/>
        </w:rPr>
        <w:t xml:space="preserve"> have </w:t>
      </w:r>
      <w:r w:rsidR="007E7FCA" w:rsidRPr="00274504">
        <w:rPr>
          <w:rFonts w:ascii="Times New Roman" w:hAnsi="Times New Roman"/>
          <w:color w:val="000000"/>
          <w:sz w:val="28"/>
          <w:szCs w:val="28"/>
        </w:rPr>
        <w:t xml:space="preserve">a reasonable apprehension of bias </w:t>
      </w:r>
      <w:r w:rsidR="00D461FA">
        <w:rPr>
          <w:rFonts w:ascii="Times New Roman" w:hAnsi="Times New Roman"/>
          <w:color w:val="000000"/>
          <w:sz w:val="28"/>
          <w:szCs w:val="28"/>
        </w:rPr>
        <w:t xml:space="preserve">against </w:t>
      </w:r>
      <w:r w:rsidR="009E7ACE">
        <w:rPr>
          <w:rFonts w:ascii="Times New Roman" w:hAnsi="Times New Roman"/>
          <w:color w:val="000000"/>
          <w:sz w:val="28"/>
          <w:szCs w:val="28"/>
        </w:rPr>
        <w:t xml:space="preserve"> </w:t>
      </w:r>
      <w:r w:rsidR="00D461FA">
        <w:rPr>
          <w:rFonts w:ascii="Times New Roman" w:hAnsi="Times New Roman"/>
          <w:color w:val="000000"/>
          <w:sz w:val="28"/>
          <w:szCs w:val="28"/>
        </w:rPr>
        <w:t xml:space="preserve">it </w:t>
      </w:r>
      <w:r w:rsidR="007E7FCA" w:rsidRPr="00274504">
        <w:rPr>
          <w:rFonts w:ascii="Times New Roman" w:hAnsi="Times New Roman"/>
          <w:color w:val="000000"/>
          <w:sz w:val="28"/>
          <w:szCs w:val="28"/>
        </w:rPr>
        <w:t>because it took relevant and material evidence from the respondents in the will</w:t>
      </w:r>
      <w:r w:rsidR="009E7ACE">
        <w:rPr>
          <w:rFonts w:ascii="Times New Roman" w:hAnsi="Times New Roman"/>
          <w:color w:val="000000"/>
          <w:sz w:val="28"/>
          <w:szCs w:val="28"/>
        </w:rPr>
        <w:t>s</w:t>
      </w:r>
      <w:r w:rsidR="00DD55A5">
        <w:rPr>
          <w:rFonts w:ascii="Times New Roman" w:hAnsi="Times New Roman"/>
          <w:color w:val="000000"/>
          <w:sz w:val="28"/>
          <w:szCs w:val="28"/>
        </w:rPr>
        <w:t xml:space="preserve"> dispute</w:t>
      </w:r>
      <w:r w:rsidR="007E7FCA" w:rsidRPr="00274504">
        <w:rPr>
          <w:rFonts w:ascii="Times New Roman" w:hAnsi="Times New Roman"/>
          <w:color w:val="000000"/>
          <w:sz w:val="28"/>
          <w:szCs w:val="28"/>
        </w:rPr>
        <w:t xml:space="preserve"> hearing in the absence of the </w:t>
      </w:r>
      <w:r w:rsidR="009E7ACE">
        <w:rPr>
          <w:rFonts w:ascii="Times New Roman" w:hAnsi="Times New Roman"/>
          <w:color w:val="000000"/>
          <w:sz w:val="28"/>
          <w:szCs w:val="28"/>
        </w:rPr>
        <w:t>Society</w:t>
      </w:r>
      <w:r w:rsidR="002D4F99">
        <w:rPr>
          <w:rFonts w:ascii="Times New Roman" w:hAnsi="Times New Roman"/>
          <w:color w:val="000000"/>
          <w:sz w:val="28"/>
          <w:szCs w:val="28"/>
        </w:rPr>
        <w:t xml:space="preserve"> and omitted to declare</w:t>
      </w:r>
      <w:r w:rsidR="007E7FCA" w:rsidRPr="00274504">
        <w:rPr>
          <w:rFonts w:ascii="Times New Roman" w:hAnsi="Times New Roman"/>
          <w:color w:val="000000"/>
          <w:sz w:val="28"/>
          <w:szCs w:val="28"/>
        </w:rPr>
        <w:t xml:space="preserve"> that the second respondent had disclosed</w:t>
      </w:r>
      <w:r>
        <w:rPr>
          <w:rFonts w:ascii="Times New Roman" w:hAnsi="Times New Roman"/>
          <w:color w:val="000000"/>
          <w:sz w:val="28"/>
          <w:szCs w:val="28"/>
        </w:rPr>
        <w:t xml:space="preserve"> to it</w:t>
      </w:r>
      <w:r w:rsidR="007E7FCA" w:rsidRPr="00274504">
        <w:rPr>
          <w:rFonts w:ascii="Times New Roman" w:hAnsi="Times New Roman"/>
          <w:color w:val="000000"/>
          <w:sz w:val="28"/>
          <w:szCs w:val="28"/>
        </w:rPr>
        <w:t xml:space="preserve"> that it was she who had written the contentious portion of the deceased’s will in her own hand. The applicant</w:t>
      </w:r>
      <w:r w:rsidR="00274504">
        <w:rPr>
          <w:rFonts w:ascii="Times New Roman" w:hAnsi="Times New Roman"/>
          <w:color w:val="000000"/>
          <w:sz w:val="28"/>
          <w:szCs w:val="28"/>
        </w:rPr>
        <w:t>’</w:t>
      </w:r>
      <w:r w:rsidR="007E7FCA" w:rsidRPr="00274504">
        <w:rPr>
          <w:rFonts w:ascii="Times New Roman" w:hAnsi="Times New Roman"/>
          <w:color w:val="000000"/>
          <w:sz w:val="28"/>
          <w:szCs w:val="28"/>
        </w:rPr>
        <w:t xml:space="preserve">s points to the fact that the first respondent revealed for the first time in the action </w:t>
      </w:r>
      <w:r>
        <w:rPr>
          <w:rFonts w:ascii="Times New Roman" w:hAnsi="Times New Roman"/>
          <w:color w:val="000000"/>
          <w:sz w:val="28"/>
          <w:szCs w:val="28"/>
        </w:rPr>
        <w:t xml:space="preserve">underway in the High Court </w:t>
      </w:r>
      <w:r w:rsidR="00D009D4">
        <w:rPr>
          <w:rFonts w:ascii="Times New Roman" w:hAnsi="Times New Roman"/>
          <w:color w:val="000000"/>
          <w:sz w:val="28"/>
          <w:szCs w:val="28"/>
        </w:rPr>
        <w:t xml:space="preserve">against him by the </w:t>
      </w:r>
      <w:r w:rsidR="009E7ACE">
        <w:rPr>
          <w:rFonts w:ascii="Times New Roman" w:hAnsi="Times New Roman"/>
          <w:color w:val="000000"/>
          <w:sz w:val="28"/>
          <w:szCs w:val="28"/>
        </w:rPr>
        <w:t>Society</w:t>
      </w:r>
      <w:r w:rsidR="00D009D4">
        <w:rPr>
          <w:rFonts w:ascii="Times New Roman" w:hAnsi="Times New Roman"/>
          <w:color w:val="000000"/>
          <w:sz w:val="28"/>
          <w:szCs w:val="28"/>
        </w:rPr>
        <w:t xml:space="preserve"> </w:t>
      </w:r>
      <w:r w:rsidR="007E7FCA" w:rsidRPr="00274504">
        <w:rPr>
          <w:rFonts w:ascii="Times New Roman" w:hAnsi="Times New Roman"/>
          <w:color w:val="000000"/>
          <w:sz w:val="28"/>
          <w:szCs w:val="28"/>
        </w:rPr>
        <w:t xml:space="preserve">that it was the second respondent who had </w:t>
      </w:r>
      <w:r w:rsidR="00DD55A5">
        <w:rPr>
          <w:rFonts w:ascii="Times New Roman" w:hAnsi="Times New Roman"/>
          <w:color w:val="000000"/>
          <w:sz w:val="28"/>
          <w:szCs w:val="28"/>
        </w:rPr>
        <w:t xml:space="preserve">in fact </w:t>
      </w:r>
      <w:r w:rsidR="007E7FCA" w:rsidRPr="00274504">
        <w:rPr>
          <w:rFonts w:ascii="Times New Roman" w:hAnsi="Times New Roman"/>
          <w:color w:val="000000"/>
          <w:sz w:val="28"/>
          <w:szCs w:val="28"/>
        </w:rPr>
        <w:t xml:space="preserve">written out the deceased’s </w:t>
      </w:r>
      <w:r w:rsidR="00A8173C">
        <w:rPr>
          <w:rFonts w:ascii="Times New Roman" w:hAnsi="Times New Roman"/>
          <w:color w:val="000000"/>
          <w:sz w:val="28"/>
          <w:szCs w:val="28"/>
        </w:rPr>
        <w:t xml:space="preserve">contested </w:t>
      </w:r>
      <w:r>
        <w:rPr>
          <w:rFonts w:ascii="Times New Roman" w:hAnsi="Times New Roman"/>
          <w:color w:val="000000"/>
          <w:sz w:val="28"/>
          <w:szCs w:val="28"/>
        </w:rPr>
        <w:t>will</w:t>
      </w:r>
      <w:r w:rsidR="00DD55A5">
        <w:rPr>
          <w:rFonts w:ascii="Times New Roman" w:hAnsi="Times New Roman"/>
          <w:color w:val="000000"/>
          <w:sz w:val="28"/>
          <w:szCs w:val="28"/>
        </w:rPr>
        <w:t>.  This, so the applicant contends,</w:t>
      </w:r>
      <w:r>
        <w:rPr>
          <w:rFonts w:ascii="Times New Roman" w:hAnsi="Times New Roman"/>
          <w:color w:val="000000"/>
          <w:sz w:val="28"/>
          <w:szCs w:val="28"/>
        </w:rPr>
        <w:t xml:space="preserve"> </w:t>
      </w:r>
      <w:r w:rsidR="007E7FCA" w:rsidRPr="00274504">
        <w:rPr>
          <w:rFonts w:ascii="Times New Roman" w:hAnsi="Times New Roman"/>
          <w:color w:val="000000"/>
          <w:sz w:val="28"/>
          <w:szCs w:val="28"/>
        </w:rPr>
        <w:t xml:space="preserve">would automatically have disqualified </w:t>
      </w:r>
      <w:r w:rsidR="00DD55A5">
        <w:rPr>
          <w:rFonts w:ascii="Times New Roman" w:hAnsi="Times New Roman"/>
          <w:color w:val="000000"/>
          <w:sz w:val="28"/>
          <w:szCs w:val="28"/>
        </w:rPr>
        <w:t>the first respondent</w:t>
      </w:r>
      <w:r w:rsidR="007E7FCA" w:rsidRPr="00274504">
        <w:rPr>
          <w:rFonts w:ascii="Times New Roman" w:hAnsi="Times New Roman"/>
          <w:color w:val="000000"/>
          <w:sz w:val="28"/>
          <w:szCs w:val="28"/>
        </w:rPr>
        <w:t xml:space="preserve"> from inheriting under </w:t>
      </w:r>
      <w:r w:rsidR="00DD55A5">
        <w:rPr>
          <w:rFonts w:ascii="Times New Roman" w:hAnsi="Times New Roman"/>
          <w:color w:val="000000"/>
          <w:sz w:val="28"/>
          <w:szCs w:val="28"/>
        </w:rPr>
        <w:t>the will.</w:t>
      </w:r>
      <w:r w:rsidR="00881BB2">
        <w:rPr>
          <w:rStyle w:val="FootnoteReference"/>
          <w:rFonts w:ascii="Times New Roman" w:hAnsi="Times New Roman"/>
          <w:color w:val="000000"/>
          <w:sz w:val="28"/>
          <w:szCs w:val="28"/>
        </w:rPr>
        <w:footnoteReference w:id="22"/>
      </w:r>
    </w:p>
    <w:p w14:paraId="559FD58F"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6FD0B406" w14:textId="77777777" w:rsidR="00274504" w:rsidRDefault="007E7FCA" w:rsidP="00D46D76">
      <w:pPr>
        <w:pStyle w:val="ListParagraph"/>
        <w:numPr>
          <w:ilvl w:val="0"/>
          <w:numId w:val="2"/>
        </w:numPr>
        <w:tabs>
          <w:tab w:val="left" w:pos="0"/>
        </w:tabs>
        <w:spacing w:after="0" w:line="360" w:lineRule="auto"/>
        <w:ind w:left="0" w:firstLine="0"/>
        <w:rPr>
          <w:rFonts w:ascii="Times New Roman" w:hAnsi="Times New Roman"/>
          <w:color w:val="000000"/>
          <w:sz w:val="28"/>
          <w:szCs w:val="28"/>
        </w:rPr>
      </w:pPr>
      <w:r w:rsidRPr="001D1789">
        <w:rPr>
          <w:rFonts w:ascii="Times New Roman" w:hAnsi="Times New Roman"/>
          <w:color w:val="000000"/>
          <w:sz w:val="28"/>
          <w:szCs w:val="28"/>
        </w:rPr>
        <w:t>It also appears to have emerged in the action</w:t>
      </w:r>
      <w:r w:rsidR="00D009D4" w:rsidRPr="001D1789">
        <w:rPr>
          <w:rFonts w:ascii="Times New Roman" w:hAnsi="Times New Roman"/>
          <w:color w:val="000000"/>
          <w:sz w:val="28"/>
          <w:szCs w:val="28"/>
        </w:rPr>
        <w:t xml:space="preserve"> between the </w:t>
      </w:r>
      <w:r w:rsidR="009E7ACE" w:rsidRPr="001D1789">
        <w:rPr>
          <w:rFonts w:ascii="Times New Roman" w:hAnsi="Times New Roman"/>
          <w:color w:val="000000"/>
          <w:sz w:val="28"/>
          <w:szCs w:val="28"/>
        </w:rPr>
        <w:t>Society</w:t>
      </w:r>
      <w:r w:rsidR="00D009D4" w:rsidRPr="001D1789">
        <w:rPr>
          <w:rFonts w:ascii="Times New Roman" w:hAnsi="Times New Roman"/>
          <w:color w:val="000000"/>
          <w:sz w:val="28"/>
          <w:szCs w:val="28"/>
        </w:rPr>
        <w:t xml:space="preserve"> and the second respondent</w:t>
      </w:r>
      <w:r w:rsidR="00D461FA" w:rsidRPr="001D1789">
        <w:rPr>
          <w:rFonts w:ascii="Times New Roman" w:hAnsi="Times New Roman"/>
          <w:color w:val="000000"/>
          <w:sz w:val="28"/>
          <w:szCs w:val="28"/>
        </w:rPr>
        <w:t>,</w:t>
      </w:r>
      <w:r w:rsidRPr="001D1789">
        <w:rPr>
          <w:rFonts w:ascii="Times New Roman" w:hAnsi="Times New Roman"/>
          <w:color w:val="000000"/>
          <w:sz w:val="28"/>
          <w:szCs w:val="28"/>
        </w:rPr>
        <w:t xml:space="preserve"> </w:t>
      </w:r>
      <w:r w:rsidR="00A816BB" w:rsidRPr="001D1789">
        <w:rPr>
          <w:rFonts w:ascii="Times New Roman" w:hAnsi="Times New Roman"/>
          <w:color w:val="000000"/>
          <w:sz w:val="28"/>
          <w:szCs w:val="28"/>
        </w:rPr>
        <w:t xml:space="preserve">so this court is told, </w:t>
      </w:r>
      <w:r w:rsidRPr="001D1789">
        <w:rPr>
          <w:rFonts w:ascii="Times New Roman" w:hAnsi="Times New Roman"/>
          <w:color w:val="000000"/>
          <w:sz w:val="28"/>
          <w:szCs w:val="28"/>
        </w:rPr>
        <w:t xml:space="preserve">that one of the witnesses to the will made </w:t>
      </w:r>
      <w:r w:rsidRPr="001D1789">
        <w:rPr>
          <w:rFonts w:ascii="Times New Roman" w:hAnsi="Times New Roman"/>
          <w:color w:val="000000"/>
          <w:sz w:val="28"/>
          <w:szCs w:val="28"/>
        </w:rPr>
        <w:lastRenderedPageBreak/>
        <w:t>an affidavit stating that she did not witness and was not present when the deceased signed the will</w:t>
      </w:r>
      <w:r w:rsidR="0005771F" w:rsidRPr="001D1789">
        <w:rPr>
          <w:rFonts w:ascii="Times New Roman" w:hAnsi="Times New Roman"/>
          <w:color w:val="000000"/>
          <w:sz w:val="28"/>
          <w:szCs w:val="28"/>
        </w:rPr>
        <w:t xml:space="preserve"> despite her testimony before the Beth-Din </w:t>
      </w:r>
      <w:r w:rsidR="001D1789" w:rsidRPr="001D1789">
        <w:rPr>
          <w:rFonts w:ascii="Times New Roman" w:hAnsi="Times New Roman"/>
          <w:color w:val="000000"/>
          <w:sz w:val="28"/>
          <w:szCs w:val="28"/>
        </w:rPr>
        <w:t xml:space="preserve">having been </w:t>
      </w:r>
      <w:r w:rsidR="0005771F" w:rsidRPr="001D1789">
        <w:rPr>
          <w:rFonts w:ascii="Times New Roman" w:hAnsi="Times New Roman"/>
          <w:color w:val="000000"/>
          <w:sz w:val="28"/>
          <w:szCs w:val="28"/>
        </w:rPr>
        <w:t>to the contrary in support of the first respondent</w:t>
      </w:r>
      <w:r w:rsidR="001D1789" w:rsidRPr="001D1789">
        <w:rPr>
          <w:rFonts w:ascii="Times New Roman" w:hAnsi="Times New Roman"/>
          <w:color w:val="000000"/>
          <w:sz w:val="28"/>
          <w:szCs w:val="28"/>
        </w:rPr>
        <w:t>.</w:t>
      </w:r>
    </w:p>
    <w:p w14:paraId="34974BA8" w14:textId="77777777" w:rsidR="001D1789" w:rsidRPr="001D1789" w:rsidRDefault="001D1789" w:rsidP="00D46D76">
      <w:pPr>
        <w:pStyle w:val="ListParagraph"/>
        <w:tabs>
          <w:tab w:val="left" w:pos="0"/>
        </w:tabs>
        <w:spacing w:after="0" w:line="360" w:lineRule="auto"/>
        <w:ind w:left="0"/>
        <w:rPr>
          <w:rFonts w:ascii="Times New Roman" w:hAnsi="Times New Roman"/>
          <w:color w:val="000000"/>
          <w:sz w:val="28"/>
          <w:szCs w:val="28"/>
        </w:rPr>
      </w:pPr>
    </w:p>
    <w:p w14:paraId="2B3E4114" w14:textId="77777777" w:rsidR="00274504" w:rsidRPr="00D009D4"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Also not revealed by the first respondent in the papers before this court</w:t>
      </w:r>
      <w:r w:rsidR="002D4F99">
        <w:rPr>
          <w:rFonts w:ascii="Times New Roman" w:hAnsi="Times New Roman"/>
          <w:color w:val="000000"/>
          <w:sz w:val="28"/>
          <w:szCs w:val="28"/>
        </w:rPr>
        <w:t>,</w:t>
      </w:r>
      <w:r w:rsidRPr="00274504">
        <w:rPr>
          <w:rFonts w:ascii="Times New Roman" w:hAnsi="Times New Roman"/>
          <w:color w:val="000000"/>
          <w:sz w:val="28"/>
          <w:szCs w:val="28"/>
        </w:rPr>
        <w:t xml:space="preserve"> according to the applicant</w:t>
      </w:r>
      <w:r w:rsidR="002D4F99">
        <w:rPr>
          <w:rFonts w:ascii="Times New Roman" w:hAnsi="Times New Roman"/>
          <w:color w:val="000000"/>
          <w:sz w:val="28"/>
          <w:szCs w:val="28"/>
        </w:rPr>
        <w:t>,</w:t>
      </w:r>
      <w:r w:rsidRPr="00274504">
        <w:rPr>
          <w:rFonts w:ascii="Times New Roman" w:hAnsi="Times New Roman"/>
          <w:color w:val="000000"/>
          <w:sz w:val="28"/>
          <w:szCs w:val="28"/>
        </w:rPr>
        <w:t xml:space="preserve"> is the fact that the Beth-Din</w:t>
      </w:r>
      <w:r w:rsidR="002D4F99">
        <w:rPr>
          <w:rFonts w:ascii="Times New Roman" w:hAnsi="Times New Roman"/>
          <w:color w:val="000000"/>
          <w:sz w:val="28"/>
          <w:szCs w:val="28"/>
        </w:rPr>
        <w:t xml:space="preserve"> in </w:t>
      </w:r>
      <w:r w:rsidR="009E7ACE">
        <w:rPr>
          <w:rFonts w:ascii="Times New Roman" w:hAnsi="Times New Roman"/>
          <w:color w:val="000000"/>
          <w:sz w:val="28"/>
          <w:szCs w:val="28"/>
        </w:rPr>
        <w:t xml:space="preserve">the </w:t>
      </w:r>
      <w:r w:rsidR="002D4F99">
        <w:rPr>
          <w:rFonts w:ascii="Times New Roman" w:hAnsi="Times New Roman"/>
          <w:color w:val="000000"/>
          <w:sz w:val="28"/>
          <w:szCs w:val="28"/>
        </w:rPr>
        <w:t>will</w:t>
      </w:r>
      <w:r w:rsidR="009E7ACE">
        <w:rPr>
          <w:rFonts w:ascii="Times New Roman" w:hAnsi="Times New Roman"/>
          <w:color w:val="000000"/>
          <w:sz w:val="28"/>
          <w:szCs w:val="28"/>
        </w:rPr>
        <w:t>s dispute</w:t>
      </w:r>
      <w:r w:rsidR="002D4F99">
        <w:rPr>
          <w:rFonts w:ascii="Times New Roman" w:hAnsi="Times New Roman"/>
          <w:color w:val="000000"/>
          <w:sz w:val="28"/>
          <w:szCs w:val="28"/>
        </w:rPr>
        <w:t xml:space="preserve"> referral</w:t>
      </w:r>
      <w:r w:rsidR="009E7ACE">
        <w:rPr>
          <w:rFonts w:ascii="Times New Roman" w:hAnsi="Times New Roman"/>
          <w:color w:val="000000"/>
          <w:sz w:val="28"/>
          <w:szCs w:val="28"/>
        </w:rPr>
        <w:t xml:space="preserve"> by way of correspondence dated 24 June 2020</w:t>
      </w:r>
      <w:r w:rsidRPr="00274504">
        <w:rPr>
          <w:rFonts w:ascii="Times New Roman" w:hAnsi="Times New Roman"/>
          <w:color w:val="000000"/>
          <w:sz w:val="28"/>
          <w:szCs w:val="28"/>
        </w:rPr>
        <w:t xml:space="preserve"> </w:t>
      </w:r>
      <w:r w:rsidR="00984141">
        <w:rPr>
          <w:rFonts w:ascii="Times New Roman" w:hAnsi="Times New Roman"/>
          <w:color w:val="000000"/>
          <w:sz w:val="28"/>
          <w:szCs w:val="28"/>
        </w:rPr>
        <w:t xml:space="preserve">and after the fact </w:t>
      </w:r>
      <w:r w:rsidRPr="00274504">
        <w:rPr>
          <w:rFonts w:ascii="Times New Roman" w:hAnsi="Times New Roman"/>
          <w:color w:val="000000"/>
          <w:sz w:val="28"/>
          <w:szCs w:val="28"/>
        </w:rPr>
        <w:t xml:space="preserve">withdrew its original ruling </w:t>
      </w:r>
      <w:r w:rsidR="00D009D4">
        <w:rPr>
          <w:rFonts w:ascii="Times New Roman" w:hAnsi="Times New Roman"/>
          <w:color w:val="000000"/>
          <w:sz w:val="28"/>
          <w:szCs w:val="28"/>
        </w:rPr>
        <w:t>that the first respondent</w:t>
      </w:r>
      <w:r w:rsidR="00EB7E70">
        <w:rPr>
          <w:rFonts w:ascii="Times New Roman" w:hAnsi="Times New Roman"/>
          <w:color w:val="000000"/>
          <w:sz w:val="28"/>
          <w:szCs w:val="28"/>
        </w:rPr>
        <w:t xml:space="preserve"> holds onto as being in his favour</w:t>
      </w:r>
      <w:r w:rsidRPr="00274504">
        <w:rPr>
          <w:rFonts w:ascii="Times New Roman" w:hAnsi="Times New Roman"/>
          <w:color w:val="000000"/>
          <w:sz w:val="28"/>
          <w:szCs w:val="28"/>
        </w:rPr>
        <w:t xml:space="preserve">. </w:t>
      </w:r>
      <w:r w:rsidR="00EB7E70">
        <w:rPr>
          <w:rFonts w:ascii="Times New Roman" w:hAnsi="Times New Roman"/>
          <w:color w:val="000000"/>
          <w:sz w:val="28"/>
          <w:szCs w:val="28"/>
        </w:rPr>
        <w:t xml:space="preserve"> It is apparent from this communication </w:t>
      </w:r>
      <w:r w:rsidR="002D4F99">
        <w:rPr>
          <w:rFonts w:ascii="Times New Roman" w:hAnsi="Times New Roman"/>
          <w:color w:val="000000"/>
          <w:sz w:val="28"/>
          <w:szCs w:val="28"/>
        </w:rPr>
        <w:t xml:space="preserve">alluded to </w:t>
      </w:r>
      <w:r w:rsidR="00C97B43">
        <w:rPr>
          <w:rFonts w:ascii="Times New Roman" w:hAnsi="Times New Roman"/>
          <w:color w:val="000000"/>
          <w:sz w:val="28"/>
          <w:szCs w:val="28"/>
        </w:rPr>
        <w:t xml:space="preserve">by </w:t>
      </w:r>
      <w:r w:rsidR="002D4F99">
        <w:rPr>
          <w:rFonts w:ascii="Times New Roman" w:hAnsi="Times New Roman"/>
          <w:color w:val="000000"/>
          <w:sz w:val="28"/>
          <w:szCs w:val="28"/>
        </w:rPr>
        <w:t xml:space="preserve">the applicant </w:t>
      </w:r>
      <w:r w:rsidR="00EB7E70">
        <w:rPr>
          <w:rFonts w:ascii="Times New Roman" w:hAnsi="Times New Roman"/>
          <w:color w:val="000000"/>
          <w:sz w:val="28"/>
          <w:szCs w:val="28"/>
        </w:rPr>
        <w:t xml:space="preserve">that </w:t>
      </w:r>
      <w:r w:rsidR="001D1789">
        <w:rPr>
          <w:rFonts w:ascii="Times New Roman" w:hAnsi="Times New Roman"/>
          <w:color w:val="000000"/>
          <w:sz w:val="28"/>
          <w:szCs w:val="28"/>
        </w:rPr>
        <w:t>it</w:t>
      </w:r>
      <w:r w:rsidR="00EB7E70">
        <w:rPr>
          <w:rFonts w:ascii="Times New Roman" w:hAnsi="Times New Roman"/>
          <w:color w:val="000000"/>
          <w:sz w:val="28"/>
          <w:szCs w:val="28"/>
        </w:rPr>
        <w:t xml:space="preserve"> was inclined to move away from its original finding in favour of the first respondent on the basis that new evidence had come to light justifying a retrial of the issues before it.</w:t>
      </w:r>
      <w:r w:rsidR="00C86867">
        <w:rPr>
          <w:rStyle w:val="FootnoteReference"/>
          <w:rFonts w:ascii="Times New Roman" w:hAnsi="Times New Roman"/>
          <w:color w:val="000000"/>
          <w:sz w:val="28"/>
          <w:szCs w:val="28"/>
        </w:rPr>
        <w:footnoteReference w:id="23"/>
      </w:r>
    </w:p>
    <w:p w14:paraId="0E5355F7" w14:textId="77777777" w:rsidR="00D009D4" w:rsidRPr="00D009D4" w:rsidRDefault="00D009D4" w:rsidP="00D46D76">
      <w:pPr>
        <w:pStyle w:val="ListParagraph"/>
        <w:spacing w:after="0" w:line="360" w:lineRule="auto"/>
        <w:rPr>
          <w:rFonts w:ascii="Times New Roman" w:hAnsi="Times New Roman"/>
          <w:b/>
          <w:sz w:val="28"/>
          <w:szCs w:val="28"/>
        </w:rPr>
      </w:pPr>
    </w:p>
    <w:p w14:paraId="2E1592F6" w14:textId="77777777" w:rsidR="00D009D4" w:rsidRPr="00274504" w:rsidRDefault="00D009D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274504">
        <w:rPr>
          <w:rFonts w:ascii="Times New Roman" w:hAnsi="Times New Roman"/>
          <w:color w:val="000000"/>
          <w:sz w:val="28"/>
          <w:szCs w:val="28"/>
        </w:rPr>
        <w:t>Although on the face of it the dispute before the Beth-Din that went in favour of the first respondent</w:t>
      </w:r>
      <w:r>
        <w:rPr>
          <w:rFonts w:ascii="Times New Roman" w:hAnsi="Times New Roman"/>
          <w:color w:val="000000"/>
          <w:sz w:val="28"/>
          <w:szCs w:val="28"/>
        </w:rPr>
        <w:t>’s favor</w:t>
      </w:r>
      <w:r w:rsidRPr="00274504">
        <w:rPr>
          <w:rFonts w:ascii="Times New Roman" w:hAnsi="Times New Roman"/>
          <w:color w:val="000000"/>
          <w:sz w:val="28"/>
          <w:szCs w:val="28"/>
        </w:rPr>
        <w:t xml:space="preserve"> is</w:t>
      </w:r>
      <w:r w:rsidR="00C97B43">
        <w:rPr>
          <w:rFonts w:ascii="Times New Roman" w:hAnsi="Times New Roman"/>
          <w:color w:val="000000"/>
          <w:sz w:val="28"/>
          <w:szCs w:val="28"/>
        </w:rPr>
        <w:t xml:space="preserve"> strictly</w:t>
      </w:r>
      <w:r w:rsidRPr="00274504">
        <w:rPr>
          <w:rFonts w:ascii="Times New Roman" w:hAnsi="Times New Roman"/>
          <w:color w:val="000000"/>
          <w:sz w:val="28"/>
          <w:szCs w:val="28"/>
        </w:rPr>
        <w:t xml:space="preserve"> between him and </w:t>
      </w:r>
      <w:r w:rsidR="00C97B43">
        <w:rPr>
          <w:rFonts w:ascii="Times New Roman" w:hAnsi="Times New Roman"/>
          <w:color w:val="000000"/>
          <w:sz w:val="28"/>
          <w:szCs w:val="28"/>
        </w:rPr>
        <w:t>Society</w:t>
      </w:r>
      <w:r w:rsidR="00984141">
        <w:rPr>
          <w:rFonts w:ascii="Times New Roman" w:hAnsi="Times New Roman"/>
          <w:color w:val="000000"/>
          <w:sz w:val="28"/>
          <w:szCs w:val="28"/>
        </w:rPr>
        <w:t>,</w:t>
      </w:r>
      <w:r w:rsidR="00C97B43">
        <w:rPr>
          <w:rFonts w:ascii="Times New Roman" w:hAnsi="Times New Roman"/>
          <w:color w:val="000000"/>
          <w:sz w:val="28"/>
          <w:szCs w:val="28"/>
        </w:rPr>
        <w:t xml:space="preserve"> </w:t>
      </w:r>
      <w:r>
        <w:rPr>
          <w:rFonts w:ascii="Times New Roman" w:hAnsi="Times New Roman"/>
          <w:color w:val="000000"/>
          <w:sz w:val="28"/>
          <w:szCs w:val="28"/>
        </w:rPr>
        <w:t>it</w:t>
      </w:r>
      <w:r w:rsidRPr="00274504">
        <w:rPr>
          <w:rFonts w:ascii="Times New Roman" w:hAnsi="Times New Roman"/>
          <w:color w:val="000000"/>
          <w:sz w:val="28"/>
          <w:szCs w:val="28"/>
        </w:rPr>
        <w:t xml:space="preserve"> was self-evidently a </w:t>
      </w:r>
      <w:r>
        <w:rPr>
          <w:rFonts w:ascii="Times New Roman" w:hAnsi="Times New Roman"/>
          <w:color w:val="000000"/>
          <w:sz w:val="28"/>
          <w:szCs w:val="28"/>
        </w:rPr>
        <w:t xml:space="preserve">precursor </w:t>
      </w:r>
      <w:r w:rsidRPr="00274504">
        <w:rPr>
          <w:rFonts w:ascii="Times New Roman" w:hAnsi="Times New Roman"/>
          <w:color w:val="000000"/>
          <w:sz w:val="28"/>
          <w:szCs w:val="28"/>
        </w:rPr>
        <w:t>to the disciplinary proceedings against him</w:t>
      </w:r>
      <w:r>
        <w:rPr>
          <w:rFonts w:ascii="Times New Roman" w:hAnsi="Times New Roman"/>
          <w:color w:val="000000"/>
          <w:sz w:val="28"/>
          <w:szCs w:val="28"/>
        </w:rPr>
        <w:t xml:space="preserve"> and </w:t>
      </w:r>
      <w:r w:rsidR="001D1789">
        <w:rPr>
          <w:rFonts w:ascii="Times New Roman" w:hAnsi="Times New Roman"/>
          <w:color w:val="000000"/>
          <w:sz w:val="28"/>
          <w:szCs w:val="28"/>
        </w:rPr>
        <w:t xml:space="preserve">underpins </w:t>
      </w:r>
      <w:r>
        <w:rPr>
          <w:rFonts w:ascii="Times New Roman" w:hAnsi="Times New Roman"/>
          <w:color w:val="000000"/>
          <w:sz w:val="28"/>
          <w:szCs w:val="28"/>
        </w:rPr>
        <w:t>the charges of misconduct</w:t>
      </w:r>
      <w:r w:rsidR="00984141">
        <w:rPr>
          <w:rFonts w:ascii="Times New Roman" w:hAnsi="Times New Roman"/>
          <w:color w:val="000000"/>
          <w:sz w:val="28"/>
          <w:szCs w:val="28"/>
        </w:rPr>
        <w:t xml:space="preserve"> against him</w:t>
      </w:r>
      <w:r w:rsidR="00C97B43">
        <w:rPr>
          <w:rFonts w:ascii="Times New Roman" w:hAnsi="Times New Roman"/>
          <w:color w:val="000000"/>
          <w:sz w:val="28"/>
          <w:szCs w:val="28"/>
        </w:rPr>
        <w:t xml:space="preserve">.  </w:t>
      </w:r>
    </w:p>
    <w:p w14:paraId="0CB3C3FB" w14:textId="77777777" w:rsidR="00274504" w:rsidRPr="00274504" w:rsidRDefault="00274504" w:rsidP="00D46D76">
      <w:pPr>
        <w:pStyle w:val="ListParagraph"/>
        <w:spacing w:after="0" w:line="360" w:lineRule="auto"/>
        <w:rPr>
          <w:rFonts w:ascii="Times New Roman" w:hAnsi="Times New Roman"/>
          <w:color w:val="000000"/>
          <w:sz w:val="28"/>
          <w:szCs w:val="28"/>
        </w:rPr>
      </w:pPr>
    </w:p>
    <w:p w14:paraId="67723B23" w14:textId="30127BB9" w:rsidR="00274504" w:rsidRPr="003258D1"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C97B43">
        <w:rPr>
          <w:rFonts w:ascii="Times New Roman" w:hAnsi="Times New Roman"/>
          <w:color w:val="000000"/>
          <w:sz w:val="28"/>
          <w:szCs w:val="28"/>
        </w:rPr>
        <w:t>Howsoever these issues may be dealt with</w:t>
      </w:r>
      <w:r w:rsidR="002D4F99" w:rsidRPr="00C97B43">
        <w:rPr>
          <w:rFonts w:ascii="Times New Roman" w:hAnsi="Times New Roman"/>
          <w:color w:val="000000"/>
          <w:sz w:val="28"/>
          <w:szCs w:val="28"/>
        </w:rPr>
        <w:t xml:space="preserve"> in time</w:t>
      </w:r>
      <w:r w:rsidRPr="00C97B43">
        <w:rPr>
          <w:rFonts w:ascii="Times New Roman" w:hAnsi="Times New Roman"/>
          <w:color w:val="000000"/>
          <w:sz w:val="28"/>
          <w:szCs w:val="28"/>
        </w:rPr>
        <w:t xml:space="preserve">, the vital fact </w:t>
      </w:r>
      <w:r w:rsidRPr="00C97B43">
        <w:rPr>
          <w:rFonts w:ascii="Times New Roman" w:hAnsi="Times New Roman"/>
          <w:i/>
          <w:color w:val="000000"/>
          <w:sz w:val="28"/>
          <w:szCs w:val="28"/>
        </w:rPr>
        <w:t>in casu</w:t>
      </w:r>
      <w:r w:rsidRPr="00C97B43">
        <w:rPr>
          <w:rFonts w:ascii="Times New Roman" w:hAnsi="Times New Roman"/>
          <w:color w:val="000000"/>
          <w:sz w:val="28"/>
          <w:szCs w:val="28"/>
        </w:rPr>
        <w:t xml:space="preserve"> </w:t>
      </w:r>
      <w:r w:rsidR="00470C37" w:rsidRPr="00C97B43">
        <w:rPr>
          <w:rFonts w:ascii="Times New Roman" w:hAnsi="Times New Roman"/>
          <w:color w:val="000000"/>
          <w:sz w:val="28"/>
          <w:szCs w:val="28"/>
        </w:rPr>
        <w:t xml:space="preserve">says the applicant, </w:t>
      </w:r>
      <w:r w:rsidRPr="00C97B43">
        <w:rPr>
          <w:rFonts w:ascii="Times New Roman" w:hAnsi="Times New Roman"/>
          <w:color w:val="000000"/>
          <w:sz w:val="28"/>
          <w:szCs w:val="28"/>
        </w:rPr>
        <w:t xml:space="preserve">is that the first respondent was charged with dishonesty </w:t>
      </w:r>
      <w:r w:rsidRPr="00C97B43">
        <w:rPr>
          <w:rFonts w:ascii="Times New Roman" w:hAnsi="Times New Roman"/>
          <w:i/>
          <w:color w:val="000000"/>
          <w:sz w:val="28"/>
          <w:szCs w:val="28"/>
        </w:rPr>
        <w:t>inter alia</w:t>
      </w:r>
      <w:r w:rsidRPr="00C97B43">
        <w:rPr>
          <w:rFonts w:ascii="Times New Roman" w:hAnsi="Times New Roman"/>
          <w:color w:val="000000"/>
          <w:sz w:val="28"/>
          <w:szCs w:val="28"/>
        </w:rPr>
        <w:t xml:space="preserve"> and </w:t>
      </w:r>
      <w:r w:rsidR="00C97B43" w:rsidRPr="00C97B43">
        <w:rPr>
          <w:rFonts w:ascii="Times New Roman" w:hAnsi="Times New Roman"/>
          <w:color w:val="000000"/>
          <w:sz w:val="28"/>
          <w:szCs w:val="28"/>
        </w:rPr>
        <w:t xml:space="preserve">that </w:t>
      </w:r>
      <w:r w:rsidRPr="00C97B43">
        <w:rPr>
          <w:rFonts w:ascii="Times New Roman" w:hAnsi="Times New Roman"/>
          <w:color w:val="000000"/>
          <w:sz w:val="28"/>
          <w:szCs w:val="28"/>
        </w:rPr>
        <w:t>there has been an irretrievable breakdown of any trust relationship b</w:t>
      </w:r>
      <w:r w:rsidR="00C97B43" w:rsidRPr="00C97B43">
        <w:rPr>
          <w:rFonts w:ascii="Times New Roman" w:hAnsi="Times New Roman"/>
          <w:color w:val="000000"/>
          <w:sz w:val="28"/>
          <w:szCs w:val="28"/>
        </w:rPr>
        <w:t>etween him and the Congregation</w:t>
      </w:r>
      <w:r w:rsidR="00984141">
        <w:rPr>
          <w:rFonts w:ascii="Times New Roman" w:hAnsi="Times New Roman"/>
          <w:color w:val="000000"/>
          <w:sz w:val="28"/>
          <w:szCs w:val="28"/>
        </w:rPr>
        <w:t>.  T</w:t>
      </w:r>
      <w:r w:rsidR="00C97B43" w:rsidRPr="00C97B43">
        <w:rPr>
          <w:rFonts w:ascii="Times New Roman" w:hAnsi="Times New Roman"/>
          <w:color w:val="000000"/>
          <w:sz w:val="28"/>
          <w:szCs w:val="28"/>
        </w:rPr>
        <w:t>hus</w:t>
      </w:r>
      <w:r w:rsidR="00C97B43">
        <w:rPr>
          <w:rFonts w:ascii="Times New Roman" w:hAnsi="Times New Roman"/>
          <w:color w:val="000000"/>
          <w:sz w:val="28"/>
          <w:szCs w:val="28"/>
        </w:rPr>
        <w:t>,</w:t>
      </w:r>
      <w:r w:rsidR="00C97B43" w:rsidRPr="00C97B43">
        <w:rPr>
          <w:rFonts w:ascii="Times New Roman" w:hAnsi="Times New Roman"/>
          <w:color w:val="000000"/>
          <w:sz w:val="28"/>
          <w:szCs w:val="28"/>
        </w:rPr>
        <w:t xml:space="preserve"> </w:t>
      </w:r>
      <w:r w:rsidRPr="00C97B43">
        <w:rPr>
          <w:rFonts w:ascii="Times New Roman" w:hAnsi="Times New Roman"/>
          <w:color w:val="000000"/>
          <w:sz w:val="28"/>
          <w:szCs w:val="28"/>
        </w:rPr>
        <w:t xml:space="preserve">even for a moment assuming that the Beth-Din were to be seized </w:t>
      </w:r>
      <w:r w:rsidR="00A816BB">
        <w:rPr>
          <w:rFonts w:ascii="Times New Roman" w:hAnsi="Times New Roman"/>
          <w:color w:val="000000"/>
          <w:sz w:val="28"/>
          <w:szCs w:val="28"/>
        </w:rPr>
        <w:t>of</w:t>
      </w:r>
      <w:r w:rsidRPr="00C97B43">
        <w:rPr>
          <w:rFonts w:ascii="Times New Roman" w:hAnsi="Times New Roman"/>
          <w:color w:val="000000"/>
          <w:sz w:val="28"/>
          <w:szCs w:val="28"/>
        </w:rPr>
        <w:t xml:space="preserve"> the </w:t>
      </w:r>
      <w:r w:rsidR="00A816BB">
        <w:rPr>
          <w:rFonts w:ascii="Times New Roman" w:hAnsi="Times New Roman"/>
          <w:color w:val="000000"/>
          <w:sz w:val="28"/>
          <w:szCs w:val="28"/>
        </w:rPr>
        <w:t xml:space="preserve">dismissal </w:t>
      </w:r>
      <w:r w:rsidRPr="00C97B43">
        <w:rPr>
          <w:rFonts w:ascii="Times New Roman" w:hAnsi="Times New Roman"/>
          <w:color w:val="000000"/>
          <w:sz w:val="28"/>
          <w:szCs w:val="28"/>
        </w:rPr>
        <w:t>dispute</w:t>
      </w:r>
      <w:r w:rsidR="00470C37" w:rsidRPr="00C97B43">
        <w:rPr>
          <w:rFonts w:ascii="Times New Roman" w:hAnsi="Times New Roman"/>
          <w:color w:val="000000"/>
          <w:sz w:val="28"/>
          <w:szCs w:val="28"/>
        </w:rPr>
        <w:t xml:space="preserve"> (which it </w:t>
      </w:r>
      <w:r w:rsidR="00D009D4" w:rsidRPr="00C97B43">
        <w:rPr>
          <w:rFonts w:ascii="Times New Roman" w:hAnsi="Times New Roman"/>
          <w:color w:val="000000"/>
          <w:sz w:val="28"/>
          <w:szCs w:val="28"/>
        </w:rPr>
        <w:t>submits</w:t>
      </w:r>
      <w:r w:rsidR="00470C37" w:rsidRPr="00C97B43">
        <w:rPr>
          <w:rFonts w:ascii="Times New Roman" w:hAnsi="Times New Roman"/>
          <w:color w:val="000000"/>
          <w:sz w:val="28"/>
          <w:szCs w:val="28"/>
        </w:rPr>
        <w:t xml:space="preserve"> is a</w:t>
      </w:r>
      <w:r w:rsidR="00D009D4" w:rsidRPr="00C97B43">
        <w:rPr>
          <w:rFonts w:ascii="Times New Roman" w:hAnsi="Times New Roman"/>
          <w:color w:val="000000"/>
          <w:sz w:val="28"/>
          <w:szCs w:val="28"/>
        </w:rPr>
        <w:t xml:space="preserve"> most</w:t>
      </w:r>
      <w:r w:rsidR="00470C37" w:rsidRPr="00C97B43">
        <w:rPr>
          <w:rFonts w:ascii="Times New Roman" w:hAnsi="Times New Roman"/>
          <w:color w:val="000000"/>
          <w:sz w:val="28"/>
          <w:szCs w:val="28"/>
        </w:rPr>
        <w:t xml:space="preserve"> unlikely prospect)</w:t>
      </w:r>
      <w:r w:rsidRPr="00C97B43">
        <w:rPr>
          <w:rFonts w:ascii="Times New Roman" w:hAnsi="Times New Roman"/>
          <w:color w:val="000000"/>
          <w:sz w:val="28"/>
          <w:szCs w:val="28"/>
        </w:rPr>
        <w:t xml:space="preserve">, the applicant does not consider there to be any realistic basis upon which </w:t>
      </w:r>
      <w:r w:rsidR="00C97B43">
        <w:rPr>
          <w:rFonts w:ascii="Times New Roman" w:hAnsi="Times New Roman"/>
          <w:color w:val="000000"/>
          <w:sz w:val="28"/>
          <w:szCs w:val="28"/>
        </w:rPr>
        <w:t xml:space="preserve">the first respondent may be </w:t>
      </w:r>
      <w:r w:rsidRPr="00C97B43">
        <w:rPr>
          <w:rFonts w:ascii="Times New Roman" w:hAnsi="Times New Roman"/>
          <w:color w:val="000000"/>
          <w:sz w:val="28"/>
          <w:szCs w:val="28"/>
        </w:rPr>
        <w:t xml:space="preserve">reinstated as its Rabbi. </w:t>
      </w:r>
    </w:p>
    <w:p w14:paraId="2453AE72" w14:textId="77777777" w:rsidR="00470C37" w:rsidRDefault="00D009D4" w:rsidP="00D46D76">
      <w:pPr>
        <w:spacing w:line="360" w:lineRule="auto"/>
        <w:contextualSpacing/>
        <w:rPr>
          <w:rFonts w:ascii="Times New Roman" w:hAnsi="Times New Roman"/>
          <w:b/>
          <w:sz w:val="28"/>
          <w:szCs w:val="28"/>
          <w:u w:val="single"/>
        </w:rPr>
      </w:pPr>
      <w:r w:rsidRPr="00C94274">
        <w:rPr>
          <w:rFonts w:ascii="Times New Roman" w:hAnsi="Times New Roman"/>
          <w:b/>
          <w:sz w:val="28"/>
          <w:szCs w:val="28"/>
          <w:u w:val="single"/>
        </w:rPr>
        <w:lastRenderedPageBreak/>
        <w:t>The legal framework:</w:t>
      </w:r>
    </w:p>
    <w:p w14:paraId="39580123" w14:textId="77777777" w:rsidR="00A816BB" w:rsidRPr="00C94274" w:rsidRDefault="00A816BB" w:rsidP="00D46D76">
      <w:pPr>
        <w:spacing w:line="360" w:lineRule="auto"/>
        <w:contextualSpacing/>
        <w:rPr>
          <w:rFonts w:ascii="Times New Roman" w:hAnsi="Times New Roman"/>
          <w:b/>
          <w:sz w:val="28"/>
          <w:szCs w:val="28"/>
          <w:u w:val="single"/>
        </w:rPr>
      </w:pPr>
    </w:p>
    <w:p w14:paraId="00307EA0" w14:textId="1D722D5F" w:rsidR="001D1789" w:rsidRPr="001D1789" w:rsidRDefault="0098414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Whereas the applicant predicated its application on the provisions of the PIE Act,</w:t>
      </w:r>
      <w:r w:rsidR="001D1789">
        <w:rPr>
          <w:rFonts w:ascii="Times New Roman" w:hAnsi="Times New Roman"/>
          <w:sz w:val="28"/>
          <w:szCs w:val="28"/>
        </w:rPr>
        <w:t xml:space="preserve"> as it must,</w:t>
      </w:r>
      <w:r>
        <w:rPr>
          <w:rFonts w:ascii="Times New Roman" w:hAnsi="Times New Roman"/>
          <w:sz w:val="28"/>
          <w:szCs w:val="28"/>
        </w:rPr>
        <w:t xml:space="preserve"> the respondents deny that they are unlawful occupiers within the contemplation of the </w:t>
      </w:r>
      <w:r w:rsidR="003258D1">
        <w:rPr>
          <w:rFonts w:ascii="Times New Roman" w:hAnsi="Times New Roman"/>
          <w:sz w:val="28"/>
          <w:szCs w:val="28"/>
        </w:rPr>
        <w:t>act yet</w:t>
      </w:r>
      <w:r>
        <w:rPr>
          <w:rFonts w:ascii="Times New Roman" w:hAnsi="Times New Roman"/>
          <w:sz w:val="28"/>
          <w:szCs w:val="28"/>
        </w:rPr>
        <w:t xml:space="preserve"> raised the preliminary objection that the application is fatal for want of compliance with its provisions.</w:t>
      </w:r>
    </w:p>
    <w:p w14:paraId="5F766A9C" w14:textId="77777777" w:rsidR="001D1789" w:rsidRPr="001D1789" w:rsidRDefault="001D1789" w:rsidP="00D46D76">
      <w:pPr>
        <w:pStyle w:val="ListParagraph"/>
        <w:tabs>
          <w:tab w:val="left" w:pos="0"/>
        </w:tabs>
        <w:spacing w:after="0" w:line="360" w:lineRule="auto"/>
        <w:ind w:left="0"/>
        <w:rPr>
          <w:rFonts w:ascii="Times New Roman" w:hAnsi="Times New Roman"/>
          <w:b/>
          <w:sz w:val="28"/>
          <w:szCs w:val="28"/>
        </w:rPr>
      </w:pPr>
    </w:p>
    <w:p w14:paraId="5CE4BC23" w14:textId="77777777" w:rsidR="00984141" w:rsidRPr="00984141" w:rsidRDefault="0098414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  It is necessary to advert to these provisions.</w:t>
      </w:r>
    </w:p>
    <w:p w14:paraId="4E126E4B" w14:textId="77777777" w:rsidR="00984141" w:rsidRPr="00984141" w:rsidRDefault="00984141" w:rsidP="00D46D76">
      <w:pPr>
        <w:pStyle w:val="ListParagraph"/>
        <w:tabs>
          <w:tab w:val="left" w:pos="0"/>
        </w:tabs>
        <w:spacing w:after="0" w:line="360" w:lineRule="auto"/>
        <w:ind w:left="0"/>
        <w:rPr>
          <w:rFonts w:ascii="Times New Roman" w:hAnsi="Times New Roman"/>
          <w:b/>
          <w:sz w:val="28"/>
          <w:szCs w:val="28"/>
        </w:rPr>
      </w:pPr>
    </w:p>
    <w:p w14:paraId="341E1C72" w14:textId="77777777" w:rsidR="00470C37" w:rsidRPr="009A0E84" w:rsidRDefault="00470C37"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Section 4 of the PIE Act provides </w:t>
      </w:r>
      <w:r w:rsidR="00C97B43">
        <w:rPr>
          <w:rFonts w:ascii="Times New Roman" w:hAnsi="Times New Roman"/>
          <w:sz w:val="28"/>
          <w:szCs w:val="28"/>
        </w:rPr>
        <w:t xml:space="preserve">in the following terms </w:t>
      </w:r>
      <w:r>
        <w:rPr>
          <w:rFonts w:ascii="Times New Roman" w:hAnsi="Times New Roman"/>
          <w:sz w:val="28"/>
          <w:szCs w:val="28"/>
        </w:rPr>
        <w:t xml:space="preserve">for the eviction of unlawful occupiers: </w:t>
      </w:r>
    </w:p>
    <w:p w14:paraId="02361C28" w14:textId="77777777" w:rsidR="005F0118" w:rsidRDefault="005F0118" w:rsidP="00D46D76">
      <w:pPr>
        <w:spacing w:line="360" w:lineRule="auto"/>
        <w:ind w:left="601"/>
        <w:contextualSpacing/>
        <w:rPr>
          <w:rFonts w:ascii="Times New Roman" w:eastAsia="Times New Roman" w:hAnsi="Times New Roman" w:cs="Times New Roman"/>
          <w:b/>
          <w:bCs/>
          <w:color w:val="000000"/>
          <w:lang w:eastAsia="en-ZA"/>
        </w:rPr>
      </w:pPr>
    </w:p>
    <w:p w14:paraId="70E2DCBB" w14:textId="77777777" w:rsidR="007F3EFC" w:rsidRPr="00D009D4" w:rsidRDefault="007F3EFC" w:rsidP="00D46D76">
      <w:pPr>
        <w:spacing w:line="360" w:lineRule="auto"/>
        <w:ind w:left="60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b/>
          <w:bCs/>
          <w:color w:val="000000"/>
          <w:lang w:eastAsia="en-ZA"/>
        </w:rPr>
        <w:t>“4.     Eviction of unlawful occupiers.</w:t>
      </w:r>
      <w:r w:rsidRPr="00D009D4">
        <w:rPr>
          <w:rFonts w:ascii="Times New Roman" w:eastAsia="Times New Roman" w:hAnsi="Times New Roman" w:cs="Times New Roman"/>
          <w:color w:val="000000"/>
          <w:lang w:eastAsia="en-ZA"/>
        </w:rPr>
        <w:t>—</w:t>
      </w:r>
    </w:p>
    <w:p w14:paraId="4A3AE699"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 xml:space="preserve">(1)  Notwithstanding anything to the contrary contained in any law or the common law, the provisions of this section apply to proceedings by an owner or person in charge of land for the eviction of an </w:t>
      </w:r>
      <w:r w:rsidRPr="00984141">
        <w:rPr>
          <w:rFonts w:ascii="Times New Roman" w:eastAsia="Times New Roman" w:hAnsi="Times New Roman" w:cs="Times New Roman"/>
          <w:i/>
          <w:color w:val="000000"/>
          <w:lang w:eastAsia="en-ZA"/>
        </w:rPr>
        <w:t>unlawful occupier</w:t>
      </w:r>
      <w:r w:rsidRPr="00D009D4">
        <w:rPr>
          <w:rFonts w:ascii="Times New Roman" w:eastAsia="Times New Roman" w:hAnsi="Times New Roman" w:cs="Times New Roman"/>
          <w:color w:val="000000"/>
          <w:lang w:eastAsia="en-ZA"/>
        </w:rPr>
        <w:t>.</w:t>
      </w:r>
    </w:p>
    <w:p w14:paraId="50AD654E"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(2)  At least 14 days before the hearing of the proceedings contemplated in </w:t>
      </w:r>
      <w:hyperlink r:id="rId8" w:anchor="g1" w:history="1">
        <w:r w:rsidRPr="00D009D4">
          <w:rPr>
            <w:rFonts w:ascii="Times New Roman" w:eastAsia="Times New Roman" w:hAnsi="Times New Roman" w:cs="Times New Roman"/>
            <w:color w:val="0000FF"/>
            <w:u w:val="single"/>
            <w:lang w:eastAsia="en-ZA"/>
          </w:rPr>
          <w:t>subsection (1)</w:t>
        </w:r>
      </w:hyperlink>
      <w:r w:rsidRPr="00D009D4">
        <w:rPr>
          <w:rFonts w:ascii="Times New Roman" w:eastAsia="Times New Roman" w:hAnsi="Times New Roman" w:cs="Times New Roman"/>
          <w:color w:val="000000"/>
          <w:lang w:eastAsia="en-ZA"/>
        </w:rPr>
        <w:t>, the court must serve written and effective notice of the proceedings on the unlawful occupier and the municipality having jurisdiction.</w:t>
      </w:r>
    </w:p>
    <w:p w14:paraId="2714467E"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(3)  Subject to the provisions of </w:t>
      </w:r>
      <w:hyperlink r:id="rId9" w:anchor="g2" w:history="1">
        <w:r w:rsidRPr="00D009D4">
          <w:rPr>
            <w:rFonts w:ascii="Times New Roman" w:eastAsia="Times New Roman" w:hAnsi="Times New Roman" w:cs="Times New Roman"/>
            <w:color w:val="0000FF"/>
            <w:u w:val="single"/>
            <w:lang w:eastAsia="en-ZA"/>
          </w:rPr>
          <w:t>subsection (2)</w:t>
        </w:r>
      </w:hyperlink>
      <w:r w:rsidRPr="00D009D4">
        <w:rPr>
          <w:rFonts w:ascii="Times New Roman" w:eastAsia="Times New Roman" w:hAnsi="Times New Roman" w:cs="Times New Roman"/>
          <w:color w:val="000000"/>
          <w:lang w:eastAsia="en-ZA"/>
        </w:rPr>
        <w:t>, the procedure for the serving of notices and filing of papers is as prescribed by the rules of the court in question.</w:t>
      </w:r>
    </w:p>
    <w:p w14:paraId="4FE10B7E"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(4)  Subject to the provisions of </w:t>
      </w:r>
      <w:hyperlink r:id="rId10" w:anchor="g2" w:history="1">
        <w:r w:rsidRPr="00D009D4">
          <w:rPr>
            <w:rFonts w:ascii="Times New Roman" w:eastAsia="Times New Roman" w:hAnsi="Times New Roman" w:cs="Times New Roman"/>
            <w:color w:val="0000FF"/>
            <w:u w:val="single"/>
            <w:lang w:eastAsia="en-ZA"/>
          </w:rPr>
          <w:t>subsection (2)</w:t>
        </w:r>
      </w:hyperlink>
      <w:r w:rsidRPr="00D009D4">
        <w:rPr>
          <w:rFonts w:ascii="Times New Roman" w:eastAsia="Times New Roman" w:hAnsi="Times New Roman" w:cs="Times New Roman"/>
          <w:color w:val="000000"/>
          <w:lang w:eastAsia="en-ZA"/>
        </w:rPr>
        <w:t>, if a court is satisfied that service cannot conveniently or expeditiously be effected in the manner provided in the rules of the court, service must be effected in the manner directed by the court: Provided that the court must consider the rights of the unlawful occupier to receive adequate notice and to defend the case.</w:t>
      </w:r>
    </w:p>
    <w:p w14:paraId="0782B1B3" w14:textId="77777777" w:rsidR="007F3EFC" w:rsidRPr="00D009D4" w:rsidRDefault="007F3EFC" w:rsidP="00D46D76">
      <w:pPr>
        <w:spacing w:line="360" w:lineRule="auto"/>
        <w:ind w:left="601" w:firstLine="60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(5)  The notice of proceedings contemplated in </w:t>
      </w:r>
      <w:hyperlink r:id="rId11" w:anchor="g2" w:history="1">
        <w:r w:rsidRPr="00D009D4">
          <w:rPr>
            <w:rFonts w:ascii="Times New Roman" w:eastAsia="Times New Roman" w:hAnsi="Times New Roman" w:cs="Times New Roman"/>
            <w:color w:val="0000FF"/>
            <w:u w:val="single"/>
            <w:lang w:eastAsia="en-ZA"/>
          </w:rPr>
          <w:t>subsection (2)</w:t>
        </w:r>
      </w:hyperlink>
      <w:r w:rsidRPr="00D009D4">
        <w:rPr>
          <w:rFonts w:ascii="Times New Roman" w:eastAsia="Times New Roman" w:hAnsi="Times New Roman" w:cs="Times New Roman"/>
          <w:color w:val="000000"/>
          <w:lang w:eastAsia="en-ZA"/>
        </w:rPr>
        <w:t> must—</w:t>
      </w:r>
    </w:p>
    <w:p w14:paraId="3BE7DA19"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a</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state that proceedings are being instituted in terms of </w:t>
      </w:r>
      <w:hyperlink r:id="rId12" w:anchor="g1" w:history="1">
        <w:r w:rsidRPr="00D009D4">
          <w:rPr>
            <w:rFonts w:ascii="Times New Roman" w:eastAsia="Times New Roman" w:hAnsi="Times New Roman" w:cs="Times New Roman"/>
            <w:color w:val="0000FF"/>
            <w:u w:val="single"/>
            <w:lang w:eastAsia="en-ZA"/>
          </w:rPr>
          <w:t>subsection (1)</w:t>
        </w:r>
      </w:hyperlink>
      <w:r w:rsidRPr="00D009D4">
        <w:rPr>
          <w:rFonts w:ascii="Times New Roman" w:eastAsia="Times New Roman" w:hAnsi="Times New Roman" w:cs="Times New Roman"/>
          <w:color w:val="000000"/>
          <w:lang w:eastAsia="en-ZA"/>
        </w:rPr>
        <w:t> for an order for the eviction of the unlawful occupier;</w:t>
      </w:r>
    </w:p>
    <w:p w14:paraId="48A6C227"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b</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indicate on what date and at what time the court will hear the proceedings;</w:t>
      </w:r>
    </w:p>
    <w:p w14:paraId="4073408A"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c</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set out the grounds for the proposed eviction; and</w:t>
      </w:r>
    </w:p>
    <w:p w14:paraId="207FB6F7"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d</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state that the unlawful occupier is entitled to appear before the court and defend the case and, where necessary, has the right to apply for legal aid.</w:t>
      </w:r>
    </w:p>
    <w:p w14:paraId="5E9AEA7C"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lastRenderedPageBreak/>
        <w:t>(6)  If an unlawful occupier has occupied the land in question for less than six months at the time when the proceedings are initiated, a court may grant an order for eviction if it is of the opinion that it is just and equitable to do so, after considering all the relevant circumstances, including the rights and needs of the elderly, children, disabled persons and households headed by women.</w:t>
      </w:r>
    </w:p>
    <w:p w14:paraId="78227F32"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(7)  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p>
    <w:p w14:paraId="5E768D6F"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(8)  If the court is satisfied that all the requirements of this section have been complied with and that no valid defence has been raised by the unlawful occupier, it must grant an order for the eviction of the unlawful occupier, and determine—</w:t>
      </w:r>
    </w:p>
    <w:p w14:paraId="051CC74D"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a</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a just and equitable date on which the unlawful occupier must vacate the land under the circumstances; and</w:t>
      </w:r>
    </w:p>
    <w:p w14:paraId="3C167EA2" w14:textId="77777777" w:rsidR="007F3EFC" w:rsidRPr="00D009D4" w:rsidRDefault="007F3EFC" w:rsidP="00D46D76">
      <w:pPr>
        <w:spacing w:line="360" w:lineRule="auto"/>
        <w:ind w:left="1962" w:hanging="681"/>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i/>
          <w:iCs/>
          <w:color w:val="000000"/>
          <w:lang w:eastAsia="en-ZA"/>
        </w:rPr>
        <w:t>b</w:t>
      </w:r>
      <w:r w:rsidRPr="00D009D4">
        <w:rPr>
          <w:rFonts w:ascii="Times New Roman" w:eastAsia="Times New Roman" w:hAnsi="Times New Roman" w:cs="Times New Roman"/>
          <w:color w:val="000000"/>
          <w:lang w:eastAsia="en-ZA"/>
        </w:rPr>
        <w:t>)</w:t>
      </w:r>
      <w:r w:rsidRPr="00D009D4">
        <w:rPr>
          <w:rFonts w:ascii="Times New Roman" w:eastAsia="Times New Roman" w:hAnsi="Times New Roman" w:cs="Times New Roman"/>
          <w:color w:val="000000"/>
          <w:lang w:eastAsia="en-ZA"/>
        </w:rPr>
        <w:tab/>
        <w:t>the date on which an eviction order may be carried out if the unlawful occupier has not vacated the land on the date contemplated in </w:t>
      </w:r>
      <w:hyperlink r:id="rId13" w:anchor="gd" w:history="1">
        <w:r w:rsidRPr="00D009D4">
          <w:rPr>
            <w:rFonts w:ascii="Times New Roman" w:eastAsia="Times New Roman" w:hAnsi="Times New Roman" w:cs="Times New Roman"/>
            <w:color w:val="0000FF"/>
            <w:u w:val="single"/>
            <w:lang w:eastAsia="en-ZA"/>
          </w:rPr>
          <w:t>paragraph (</w:t>
        </w:r>
        <w:r w:rsidRPr="00D009D4">
          <w:rPr>
            <w:rFonts w:ascii="Times New Roman" w:eastAsia="Times New Roman" w:hAnsi="Times New Roman" w:cs="Times New Roman"/>
            <w:i/>
            <w:iCs/>
            <w:color w:val="0000FF"/>
            <w:u w:val="single"/>
            <w:lang w:eastAsia="en-ZA"/>
          </w:rPr>
          <w:t>a</w:t>
        </w:r>
        <w:r w:rsidRPr="00D009D4">
          <w:rPr>
            <w:rFonts w:ascii="Times New Roman" w:eastAsia="Times New Roman" w:hAnsi="Times New Roman" w:cs="Times New Roman"/>
            <w:color w:val="0000FF"/>
            <w:u w:val="single"/>
            <w:lang w:eastAsia="en-ZA"/>
          </w:rPr>
          <w:t>)</w:t>
        </w:r>
      </w:hyperlink>
      <w:r w:rsidRPr="00D009D4">
        <w:rPr>
          <w:rFonts w:ascii="Times New Roman" w:eastAsia="Times New Roman" w:hAnsi="Times New Roman" w:cs="Times New Roman"/>
          <w:color w:val="000000"/>
          <w:lang w:eastAsia="en-ZA"/>
        </w:rPr>
        <w:t>.</w:t>
      </w:r>
    </w:p>
    <w:p w14:paraId="4604E664"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(9)  In determining a just and equitable date contemplated in </w:t>
      </w:r>
      <w:hyperlink r:id="rId14" w:anchor="gc" w:history="1">
        <w:r w:rsidRPr="00D009D4">
          <w:rPr>
            <w:rFonts w:ascii="Times New Roman" w:eastAsia="Times New Roman" w:hAnsi="Times New Roman" w:cs="Times New Roman"/>
            <w:color w:val="0000FF"/>
            <w:u w:val="single"/>
            <w:lang w:eastAsia="en-ZA"/>
          </w:rPr>
          <w:t>subsection (8)</w:t>
        </w:r>
      </w:hyperlink>
      <w:r w:rsidRPr="00D009D4">
        <w:rPr>
          <w:rFonts w:ascii="Times New Roman" w:eastAsia="Times New Roman" w:hAnsi="Times New Roman" w:cs="Times New Roman"/>
          <w:color w:val="000000"/>
          <w:lang w:eastAsia="en-ZA"/>
        </w:rPr>
        <w:t>, the court must have regard to all relevant factors, including the period the unlawful occupier and his or her family have resided on the land in question.</w:t>
      </w:r>
    </w:p>
    <w:p w14:paraId="4507667D"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(10)  The court which orders the eviction of any person in terms of this section may make an order for the demolition and removal of the buildings or structures that were occupied by such person on the land in question.</w:t>
      </w:r>
    </w:p>
    <w:p w14:paraId="47F3B349" w14:textId="77777777" w:rsidR="007F3EFC" w:rsidRPr="00D009D4"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(11)  A court may, at the request of the sheriff, authorise any person to assist the sheriff to carry out an order for eviction, demolition or removal subject to conditions determined by the court: Provided that the sheriff must at all times be present during such eviction, demolition or removal.</w:t>
      </w:r>
    </w:p>
    <w:p w14:paraId="6B31C43E" w14:textId="77777777" w:rsidR="007F3EFC" w:rsidRDefault="007F3EFC" w:rsidP="00D46D76">
      <w:pPr>
        <w:spacing w:line="360" w:lineRule="auto"/>
        <w:ind w:left="1202"/>
        <w:contextualSpacing/>
        <w:rPr>
          <w:rFonts w:ascii="Times New Roman" w:eastAsia="Times New Roman" w:hAnsi="Times New Roman" w:cs="Times New Roman"/>
          <w:color w:val="000000"/>
          <w:lang w:eastAsia="en-ZA"/>
        </w:rPr>
      </w:pPr>
      <w:r w:rsidRPr="00D009D4">
        <w:rPr>
          <w:rFonts w:ascii="Times New Roman" w:eastAsia="Times New Roman" w:hAnsi="Times New Roman" w:cs="Times New Roman"/>
          <w:color w:val="000000"/>
          <w:lang w:eastAsia="en-ZA"/>
        </w:rPr>
        <w:t>(12)  Any order for the eviction of an unlawful occupier or for the demolition or removal of buildings or structures in terms of this section is subject to the conditions deemed reasonable by the court, and the court may, on good cause shown, vary any condition for an eviction order.”</w:t>
      </w:r>
    </w:p>
    <w:p w14:paraId="6F427EB9" w14:textId="77777777" w:rsidR="005F0118" w:rsidRDefault="005F0118" w:rsidP="00D46D76">
      <w:pPr>
        <w:spacing w:line="360" w:lineRule="auto"/>
        <w:ind w:left="1202"/>
        <w:contextualSpacing/>
        <w:rPr>
          <w:rFonts w:ascii="Times New Roman" w:eastAsia="Times New Roman" w:hAnsi="Times New Roman" w:cs="Times New Roman"/>
          <w:color w:val="000000"/>
          <w:sz w:val="28"/>
          <w:szCs w:val="28"/>
          <w:lang w:eastAsia="en-ZA"/>
        </w:rPr>
      </w:pPr>
    </w:p>
    <w:p w14:paraId="65047751" w14:textId="77777777" w:rsidR="00984141" w:rsidRPr="00984141" w:rsidRDefault="00984141" w:rsidP="00D46D76">
      <w:pPr>
        <w:spacing w:line="360" w:lineRule="auto"/>
        <w:ind w:left="1202"/>
        <w:contextualSpacing/>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(Emphasis added.)</w:t>
      </w:r>
    </w:p>
    <w:p w14:paraId="77623EDB" w14:textId="77777777" w:rsidR="009A0E84" w:rsidRPr="009A0E84" w:rsidRDefault="009A0E84" w:rsidP="00D46D76">
      <w:pPr>
        <w:pStyle w:val="ListParagraph"/>
        <w:spacing w:after="0" w:line="360" w:lineRule="auto"/>
        <w:rPr>
          <w:rFonts w:ascii="Times New Roman" w:hAnsi="Times New Roman"/>
          <w:b/>
          <w:sz w:val="28"/>
          <w:szCs w:val="28"/>
        </w:rPr>
      </w:pPr>
    </w:p>
    <w:p w14:paraId="0F124EFF" w14:textId="77777777" w:rsidR="00FC42E7" w:rsidRPr="00FC42E7" w:rsidRDefault="00D009D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w:t>
      </w:r>
      <w:r w:rsidR="00FC42E7">
        <w:rPr>
          <w:rFonts w:ascii="Times New Roman" w:hAnsi="Times New Roman"/>
          <w:sz w:val="28"/>
          <w:szCs w:val="28"/>
        </w:rPr>
        <w:t>PIE</w:t>
      </w:r>
      <w:r>
        <w:rPr>
          <w:rFonts w:ascii="Times New Roman" w:hAnsi="Times New Roman"/>
          <w:sz w:val="28"/>
          <w:szCs w:val="28"/>
        </w:rPr>
        <w:t xml:space="preserve"> Act</w:t>
      </w:r>
      <w:r w:rsidR="00FC42E7">
        <w:rPr>
          <w:rFonts w:ascii="Times New Roman" w:hAnsi="Times New Roman"/>
          <w:sz w:val="28"/>
          <w:szCs w:val="28"/>
        </w:rPr>
        <w:t xml:space="preserve"> was enacted to regulate the eviction of unlawful occupiers f</w:t>
      </w:r>
      <w:r w:rsidR="002D4F99">
        <w:rPr>
          <w:rFonts w:ascii="Times New Roman" w:hAnsi="Times New Roman"/>
          <w:sz w:val="28"/>
          <w:szCs w:val="28"/>
        </w:rPr>
        <w:t>rom land in a fair manner, whilst</w:t>
      </w:r>
      <w:r w:rsidR="00FC42E7">
        <w:rPr>
          <w:rFonts w:ascii="Times New Roman" w:hAnsi="Times New Roman"/>
          <w:sz w:val="28"/>
          <w:szCs w:val="28"/>
        </w:rPr>
        <w:t xml:space="preserve"> recognizing the right of land-owners to apply to a court for an eviction order in appropriate circumstances.</w:t>
      </w:r>
      <w:r w:rsidR="00FC42E7">
        <w:rPr>
          <w:rStyle w:val="FootnoteReference"/>
          <w:rFonts w:ascii="Times New Roman" w:hAnsi="Times New Roman"/>
          <w:sz w:val="28"/>
          <w:szCs w:val="28"/>
        </w:rPr>
        <w:footnoteReference w:id="24"/>
      </w:r>
      <w:r w:rsidR="00FC42E7">
        <w:rPr>
          <w:rFonts w:ascii="Times New Roman" w:hAnsi="Times New Roman"/>
          <w:sz w:val="28"/>
          <w:szCs w:val="28"/>
        </w:rPr>
        <w:t xml:space="preserve">  Although this is the</w:t>
      </w:r>
      <w:r>
        <w:rPr>
          <w:rFonts w:ascii="Times New Roman" w:hAnsi="Times New Roman"/>
          <w:sz w:val="28"/>
          <w:szCs w:val="28"/>
        </w:rPr>
        <w:t xml:space="preserve"> basic principle underlying </w:t>
      </w:r>
      <w:r w:rsidR="00984141">
        <w:rPr>
          <w:rFonts w:ascii="Times New Roman" w:hAnsi="Times New Roman"/>
          <w:sz w:val="28"/>
          <w:szCs w:val="28"/>
        </w:rPr>
        <w:t xml:space="preserve">the </w:t>
      </w:r>
      <w:r>
        <w:rPr>
          <w:rFonts w:ascii="Times New Roman" w:hAnsi="Times New Roman"/>
          <w:sz w:val="28"/>
          <w:szCs w:val="28"/>
        </w:rPr>
        <w:t>PIE</w:t>
      </w:r>
      <w:r w:rsidR="00984141">
        <w:rPr>
          <w:rFonts w:ascii="Times New Roman" w:hAnsi="Times New Roman"/>
          <w:sz w:val="28"/>
          <w:szCs w:val="28"/>
        </w:rPr>
        <w:t xml:space="preserve"> Act</w:t>
      </w:r>
      <w:r w:rsidR="00B42401">
        <w:rPr>
          <w:rFonts w:ascii="Times New Roman" w:hAnsi="Times New Roman"/>
          <w:sz w:val="28"/>
          <w:szCs w:val="28"/>
        </w:rPr>
        <w:t>,</w:t>
      </w:r>
      <w:r w:rsidR="00FC42E7">
        <w:rPr>
          <w:rFonts w:ascii="Times New Roman" w:hAnsi="Times New Roman"/>
          <w:sz w:val="28"/>
          <w:szCs w:val="28"/>
        </w:rPr>
        <w:t xml:space="preserve"> it is no</w:t>
      </w:r>
      <w:r w:rsidR="00B42401">
        <w:rPr>
          <w:rFonts w:ascii="Times New Roman" w:hAnsi="Times New Roman"/>
          <w:sz w:val="28"/>
          <w:szCs w:val="28"/>
        </w:rPr>
        <w:t>w</w:t>
      </w:r>
      <w:r w:rsidR="00FC42E7">
        <w:rPr>
          <w:rFonts w:ascii="Times New Roman" w:hAnsi="Times New Roman"/>
          <w:sz w:val="28"/>
          <w:szCs w:val="28"/>
        </w:rPr>
        <w:t xml:space="preserve"> accepted law that, due to various procedural requirements and measures contained in the Act, it has effectively disposed of certain common law rights relating to eviction.</w:t>
      </w:r>
      <w:r w:rsidR="00FC42E7">
        <w:rPr>
          <w:rStyle w:val="FootnoteReference"/>
          <w:rFonts w:ascii="Times New Roman" w:hAnsi="Times New Roman"/>
          <w:sz w:val="28"/>
          <w:szCs w:val="28"/>
        </w:rPr>
        <w:footnoteReference w:id="25"/>
      </w:r>
      <w:r w:rsidR="00FC42E7">
        <w:rPr>
          <w:rFonts w:ascii="Times New Roman" w:hAnsi="Times New Roman"/>
          <w:sz w:val="28"/>
          <w:szCs w:val="28"/>
        </w:rPr>
        <w:t xml:space="preserve">  PIE has its roots, inter alia, in section 26 (3) of the Constitution which provides that “no one may be evicted from their home or have their home demolished without an order of court made after consideration of all the relevant circumstances</w:t>
      </w:r>
      <w:r w:rsidR="00B42401">
        <w:rPr>
          <w:rFonts w:ascii="Times New Roman" w:hAnsi="Times New Roman"/>
          <w:sz w:val="28"/>
          <w:szCs w:val="28"/>
        </w:rPr>
        <w:t>”</w:t>
      </w:r>
      <w:r w:rsidR="00FC42E7">
        <w:rPr>
          <w:rFonts w:ascii="Times New Roman" w:hAnsi="Times New Roman"/>
          <w:sz w:val="28"/>
          <w:szCs w:val="28"/>
        </w:rPr>
        <w:t>.</w:t>
      </w:r>
    </w:p>
    <w:p w14:paraId="4C6D54CB" w14:textId="77777777" w:rsidR="00B42401" w:rsidRDefault="00B42401" w:rsidP="00D46D76">
      <w:pPr>
        <w:pStyle w:val="ListParagraph"/>
        <w:tabs>
          <w:tab w:val="left" w:pos="0"/>
        </w:tabs>
        <w:spacing w:after="0" w:line="360" w:lineRule="auto"/>
        <w:ind w:left="0"/>
        <w:rPr>
          <w:rFonts w:ascii="Times New Roman" w:hAnsi="Times New Roman"/>
          <w:b/>
          <w:sz w:val="28"/>
          <w:szCs w:val="28"/>
        </w:rPr>
      </w:pPr>
    </w:p>
    <w:p w14:paraId="195AC684" w14:textId="77777777" w:rsidR="009A0E84" w:rsidRPr="00FC42E7" w:rsidRDefault="009A0E8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Section 1 of the PIE </w:t>
      </w:r>
      <w:r w:rsidR="00984141">
        <w:rPr>
          <w:rFonts w:ascii="Times New Roman" w:hAnsi="Times New Roman"/>
          <w:sz w:val="28"/>
          <w:szCs w:val="28"/>
        </w:rPr>
        <w:t xml:space="preserve">Act </w:t>
      </w:r>
      <w:r>
        <w:rPr>
          <w:rFonts w:ascii="Times New Roman" w:hAnsi="Times New Roman"/>
          <w:sz w:val="28"/>
          <w:szCs w:val="28"/>
        </w:rPr>
        <w:t>defines</w:t>
      </w:r>
      <w:r w:rsidR="00FC42E7">
        <w:rPr>
          <w:rFonts w:ascii="Times New Roman" w:hAnsi="Times New Roman"/>
          <w:sz w:val="28"/>
          <w:szCs w:val="28"/>
        </w:rPr>
        <w:t xml:space="preserve"> an “unlawful occupier” as:</w:t>
      </w:r>
    </w:p>
    <w:p w14:paraId="4A7E7677" w14:textId="77777777" w:rsidR="00FC42E7" w:rsidRDefault="00FC42E7" w:rsidP="00D46D76">
      <w:pPr>
        <w:pStyle w:val="ListParagraph"/>
        <w:spacing w:after="0" w:line="360" w:lineRule="auto"/>
        <w:rPr>
          <w:rFonts w:ascii="Times New Roman" w:hAnsi="Times New Roman"/>
          <w:b/>
          <w:sz w:val="28"/>
          <w:szCs w:val="28"/>
        </w:rPr>
      </w:pPr>
    </w:p>
    <w:p w14:paraId="70939C21" w14:textId="77777777" w:rsidR="00FC42E7" w:rsidRDefault="00FC42E7" w:rsidP="00D46D76">
      <w:pPr>
        <w:pStyle w:val="ListParagraph"/>
        <w:spacing w:after="0" w:line="360" w:lineRule="auto"/>
        <w:rPr>
          <w:rFonts w:ascii="Times New Roman" w:hAnsi="Times New Roman"/>
        </w:rPr>
      </w:pPr>
      <w:r w:rsidRPr="00B42401">
        <w:rPr>
          <w:rFonts w:ascii="Times New Roman" w:hAnsi="Times New Roman"/>
          <w:b/>
        </w:rPr>
        <w:t>“</w:t>
      </w:r>
      <w:r w:rsidRPr="00B42401">
        <w:rPr>
          <w:rFonts w:ascii="Times New Roman" w:hAnsi="Times New Roman"/>
        </w:rPr>
        <w:t>a person who occupies land without the express or tacit consent of the owner or person in charge, or without any other right in law to occupy such land, excluding a person who is an occupier in terms of the Extension of Security of Tenure Act, 1997, and excluding a person whose formal right to land, but for the provision of this Act, would be protected by the pr</w:t>
      </w:r>
      <w:r w:rsidR="008346A8" w:rsidRPr="00B42401">
        <w:rPr>
          <w:rFonts w:ascii="Times New Roman" w:hAnsi="Times New Roman"/>
        </w:rPr>
        <w:t>otected by the provisions of the Interim Protection of Informal Land Rights, Act, 1996 (Act 31 of 1996).”</w:t>
      </w:r>
    </w:p>
    <w:p w14:paraId="69D98337" w14:textId="77777777" w:rsidR="00C97B43" w:rsidRPr="00C97B43" w:rsidRDefault="00C97B43" w:rsidP="00D46D76">
      <w:pPr>
        <w:pStyle w:val="ListParagraph"/>
        <w:spacing w:after="0" w:line="360" w:lineRule="auto"/>
        <w:rPr>
          <w:rFonts w:ascii="Times New Roman" w:hAnsi="Times New Roman"/>
          <w:i/>
          <w:u w:val="single"/>
        </w:rPr>
      </w:pPr>
    </w:p>
    <w:p w14:paraId="588BBE1B" w14:textId="77777777" w:rsidR="009A0E84" w:rsidRPr="00C97B43" w:rsidRDefault="00984141" w:rsidP="00D46D76">
      <w:pPr>
        <w:spacing w:line="360" w:lineRule="auto"/>
        <w:contextualSpacing/>
        <w:rPr>
          <w:rFonts w:ascii="Times New Roman" w:hAnsi="Times New Roman"/>
          <w:b/>
          <w:i/>
          <w:sz w:val="28"/>
          <w:szCs w:val="28"/>
          <w:u w:val="single"/>
        </w:rPr>
      </w:pPr>
      <w:r>
        <w:rPr>
          <w:rFonts w:ascii="Times New Roman" w:hAnsi="Times New Roman"/>
          <w:b/>
          <w:sz w:val="28"/>
          <w:szCs w:val="28"/>
          <w:u w:val="single"/>
        </w:rPr>
        <w:t>The applicant’s substantive claim for ejectment</w:t>
      </w:r>
      <w:r w:rsidR="00C97B43" w:rsidRPr="00C97B43">
        <w:rPr>
          <w:rFonts w:ascii="Times New Roman" w:hAnsi="Times New Roman"/>
          <w:b/>
          <w:i/>
          <w:sz w:val="28"/>
          <w:szCs w:val="28"/>
          <w:u w:val="single"/>
        </w:rPr>
        <w:t>:</w:t>
      </w:r>
    </w:p>
    <w:p w14:paraId="0408E595" w14:textId="77777777" w:rsidR="00A816BB" w:rsidRPr="00A816BB" w:rsidRDefault="00A816BB" w:rsidP="00D46D76">
      <w:pPr>
        <w:pStyle w:val="ListParagraph"/>
        <w:tabs>
          <w:tab w:val="left" w:pos="0"/>
        </w:tabs>
        <w:spacing w:after="0" w:line="360" w:lineRule="auto"/>
        <w:ind w:left="0"/>
        <w:rPr>
          <w:rFonts w:ascii="Times New Roman" w:hAnsi="Times New Roman"/>
          <w:b/>
          <w:sz w:val="28"/>
          <w:szCs w:val="28"/>
        </w:rPr>
      </w:pPr>
    </w:p>
    <w:p w14:paraId="645C3B73" w14:textId="77777777" w:rsidR="009A0E84" w:rsidRPr="009A0E84" w:rsidRDefault="009A0E8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There can be no question that the applicant is the owner of the </w:t>
      </w:r>
      <w:r w:rsidR="00C97B43">
        <w:rPr>
          <w:rFonts w:ascii="Times New Roman" w:hAnsi="Times New Roman"/>
          <w:sz w:val="28"/>
          <w:szCs w:val="28"/>
        </w:rPr>
        <w:t>property a</w:t>
      </w:r>
      <w:r>
        <w:rPr>
          <w:rFonts w:ascii="Times New Roman" w:hAnsi="Times New Roman"/>
          <w:sz w:val="28"/>
          <w:szCs w:val="28"/>
        </w:rPr>
        <w:t>nd that it is</w:t>
      </w:r>
      <w:r w:rsidR="00B42401">
        <w:rPr>
          <w:rFonts w:ascii="Times New Roman" w:hAnsi="Times New Roman"/>
          <w:sz w:val="28"/>
          <w:szCs w:val="28"/>
        </w:rPr>
        <w:t xml:space="preserve"> in the ordinary course</w:t>
      </w:r>
      <w:r>
        <w:rPr>
          <w:rFonts w:ascii="Times New Roman" w:hAnsi="Times New Roman"/>
          <w:sz w:val="28"/>
          <w:szCs w:val="28"/>
        </w:rPr>
        <w:t xml:space="preserve"> vested with </w:t>
      </w:r>
      <w:r w:rsidRPr="009A0E84">
        <w:rPr>
          <w:rFonts w:ascii="Times New Roman" w:hAnsi="Times New Roman"/>
          <w:i/>
          <w:sz w:val="28"/>
          <w:szCs w:val="28"/>
        </w:rPr>
        <w:t>locus standi</w:t>
      </w:r>
      <w:r w:rsidR="00C97B43">
        <w:rPr>
          <w:rFonts w:ascii="Times New Roman" w:hAnsi="Times New Roman"/>
          <w:sz w:val="28"/>
          <w:szCs w:val="28"/>
        </w:rPr>
        <w:t xml:space="preserve"> to vindicate its</w:t>
      </w:r>
      <w:r>
        <w:rPr>
          <w:rFonts w:ascii="Times New Roman" w:hAnsi="Times New Roman"/>
          <w:sz w:val="28"/>
          <w:szCs w:val="28"/>
        </w:rPr>
        <w:t xml:space="preserve"> rights</w:t>
      </w:r>
      <w:r w:rsidR="00C97B43">
        <w:rPr>
          <w:rFonts w:ascii="Times New Roman" w:hAnsi="Times New Roman"/>
          <w:sz w:val="28"/>
          <w:szCs w:val="28"/>
        </w:rPr>
        <w:t xml:space="preserve"> that flow from its ownership of the property</w:t>
      </w:r>
      <w:r w:rsidR="00A816BB">
        <w:rPr>
          <w:rFonts w:ascii="Times New Roman" w:hAnsi="Times New Roman"/>
          <w:sz w:val="28"/>
          <w:szCs w:val="28"/>
        </w:rPr>
        <w:t>,</w:t>
      </w:r>
      <w:r w:rsidR="00C97B43">
        <w:rPr>
          <w:rFonts w:ascii="Times New Roman" w:hAnsi="Times New Roman"/>
          <w:sz w:val="28"/>
          <w:szCs w:val="28"/>
        </w:rPr>
        <w:t xml:space="preserve"> including the right to recover lost possession </w:t>
      </w:r>
      <w:r>
        <w:rPr>
          <w:rFonts w:ascii="Times New Roman" w:hAnsi="Times New Roman"/>
          <w:sz w:val="28"/>
          <w:szCs w:val="28"/>
        </w:rPr>
        <w:t xml:space="preserve">by resort to the </w:t>
      </w:r>
      <w:r w:rsidRPr="00B42401">
        <w:rPr>
          <w:rFonts w:ascii="Times New Roman" w:hAnsi="Times New Roman"/>
          <w:i/>
          <w:sz w:val="28"/>
          <w:szCs w:val="28"/>
        </w:rPr>
        <w:t>re</w:t>
      </w:r>
      <w:r w:rsidR="00B42401" w:rsidRPr="00B42401">
        <w:rPr>
          <w:rFonts w:ascii="Times New Roman" w:hAnsi="Times New Roman"/>
          <w:i/>
          <w:sz w:val="28"/>
          <w:szCs w:val="28"/>
        </w:rPr>
        <w:t>i</w:t>
      </w:r>
      <w:r w:rsidRPr="00B42401">
        <w:rPr>
          <w:rFonts w:ascii="Times New Roman" w:hAnsi="Times New Roman"/>
          <w:i/>
          <w:sz w:val="28"/>
          <w:szCs w:val="28"/>
        </w:rPr>
        <w:t>-vindicatio</w:t>
      </w:r>
      <w:r>
        <w:rPr>
          <w:rFonts w:ascii="Times New Roman" w:hAnsi="Times New Roman"/>
          <w:sz w:val="28"/>
          <w:szCs w:val="28"/>
        </w:rPr>
        <w:t>.</w:t>
      </w:r>
    </w:p>
    <w:p w14:paraId="41619F11" w14:textId="77777777" w:rsidR="009A0E84" w:rsidRPr="009A0E84" w:rsidRDefault="009A0E84" w:rsidP="00D46D76">
      <w:pPr>
        <w:pStyle w:val="ListParagraph"/>
        <w:spacing w:after="0" w:line="360" w:lineRule="auto"/>
        <w:rPr>
          <w:rFonts w:ascii="Times New Roman" w:hAnsi="Times New Roman"/>
          <w:b/>
          <w:sz w:val="28"/>
          <w:szCs w:val="28"/>
        </w:rPr>
      </w:pPr>
    </w:p>
    <w:p w14:paraId="5920256B" w14:textId="77777777" w:rsidR="009A0E84" w:rsidRPr="009A0E84" w:rsidRDefault="00C97B4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lastRenderedPageBreak/>
        <w:t xml:space="preserve">The applicant further </w:t>
      </w:r>
      <w:r w:rsidR="009A0E84">
        <w:rPr>
          <w:rFonts w:ascii="Times New Roman" w:hAnsi="Times New Roman"/>
          <w:sz w:val="28"/>
          <w:szCs w:val="28"/>
        </w:rPr>
        <w:t>claims to enjoy the</w:t>
      </w:r>
      <w:r w:rsidR="00B42401">
        <w:rPr>
          <w:rFonts w:ascii="Times New Roman" w:hAnsi="Times New Roman"/>
          <w:sz w:val="28"/>
          <w:szCs w:val="28"/>
        </w:rPr>
        <w:t xml:space="preserve"> formal</w:t>
      </w:r>
      <w:r w:rsidR="009A0E84">
        <w:rPr>
          <w:rFonts w:ascii="Times New Roman" w:hAnsi="Times New Roman"/>
          <w:sz w:val="28"/>
          <w:szCs w:val="28"/>
        </w:rPr>
        <w:t xml:space="preserve"> support of the Congregation in bringing these proceedings, an assertion that has not in essence been challenged.</w:t>
      </w:r>
      <w:r w:rsidR="00B42401">
        <w:rPr>
          <w:rStyle w:val="FootnoteReference"/>
          <w:rFonts w:ascii="Times New Roman" w:hAnsi="Times New Roman"/>
          <w:sz w:val="28"/>
          <w:szCs w:val="28"/>
        </w:rPr>
        <w:footnoteReference w:id="26"/>
      </w:r>
    </w:p>
    <w:p w14:paraId="41485655" w14:textId="77777777" w:rsidR="009A0E84" w:rsidRPr="009A0E84" w:rsidRDefault="009A0E84" w:rsidP="00D46D76">
      <w:pPr>
        <w:pStyle w:val="ListParagraph"/>
        <w:spacing w:after="0" w:line="360" w:lineRule="auto"/>
        <w:rPr>
          <w:rFonts w:ascii="Times New Roman" w:hAnsi="Times New Roman"/>
          <w:b/>
          <w:sz w:val="28"/>
          <w:szCs w:val="28"/>
        </w:rPr>
      </w:pPr>
    </w:p>
    <w:p w14:paraId="0F24DA44" w14:textId="77777777" w:rsidR="009A0E84" w:rsidRPr="009A0E84" w:rsidRDefault="009A0E8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onus which the applicant bears for its case founded on the </w:t>
      </w:r>
      <w:r w:rsidR="00B42401" w:rsidRPr="00B42401">
        <w:rPr>
          <w:rFonts w:ascii="Times New Roman" w:hAnsi="Times New Roman"/>
          <w:i/>
          <w:sz w:val="28"/>
          <w:szCs w:val="28"/>
        </w:rPr>
        <w:t>rei-</w:t>
      </w:r>
      <w:r w:rsidRPr="00B42401">
        <w:rPr>
          <w:rFonts w:ascii="Times New Roman" w:hAnsi="Times New Roman"/>
          <w:i/>
          <w:sz w:val="28"/>
          <w:szCs w:val="28"/>
        </w:rPr>
        <w:t>vindicatio</w:t>
      </w:r>
      <w:r>
        <w:rPr>
          <w:rFonts w:ascii="Times New Roman" w:hAnsi="Times New Roman"/>
          <w:sz w:val="28"/>
          <w:szCs w:val="28"/>
        </w:rPr>
        <w:t xml:space="preserve"> is </w:t>
      </w:r>
      <w:r w:rsidR="00B42401">
        <w:rPr>
          <w:rFonts w:ascii="Times New Roman" w:hAnsi="Times New Roman"/>
          <w:sz w:val="28"/>
          <w:szCs w:val="28"/>
        </w:rPr>
        <w:t xml:space="preserve">to prove </w:t>
      </w:r>
      <w:r>
        <w:rPr>
          <w:rFonts w:ascii="Times New Roman" w:hAnsi="Times New Roman"/>
          <w:sz w:val="28"/>
          <w:szCs w:val="28"/>
        </w:rPr>
        <w:t>that (1) it is the owner of the property and (2) that the respondents are in possession thereof.</w:t>
      </w:r>
      <w:r w:rsidR="00B42401">
        <w:rPr>
          <w:rStyle w:val="FootnoteReference"/>
          <w:rFonts w:ascii="Times New Roman" w:hAnsi="Times New Roman"/>
          <w:sz w:val="28"/>
          <w:szCs w:val="28"/>
        </w:rPr>
        <w:footnoteReference w:id="27"/>
      </w:r>
      <w:r>
        <w:rPr>
          <w:rFonts w:ascii="Times New Roman" w:hAnsi="Times New Roman"/>
          <w:sz w:val="28"/>
          <w:szCs w:val="28"/>
        </w:rPr>
        <w:t xml:space="preserve">  These essential allegations are not in contention.</w:t>
      </w:r>
    </w:p>
    <w:p w14:paraId="13D61EF3" w14:textId="77777777" w:rsidR="009A0E84" w:rsidRPr="009A0E84" w:rsidRDefault="009A0E84" w:rsidP="00D46D76">
      <w:pPr>
        <w:pStyle w:val="ListParagraph"/>
        <w:spacing w:after="0" w:line="360" w:lineRule="auto"/>
        <w:rPr>
          <w:rFonts w:ascii="Times New Roman" w:hAnsi="Times New Roman"/>
          <w:b/>
          <w:sz w:val="28"/>
          <w:szCs w:val="28"/>
        </w:rPr>
      </w:pPr>
    </w:p>
    <w:p w14:paraId="186E0541" w14:textId="77777777" w:rsidR="009A0E84" w:rsidRPr="009A0E84" w:rsidRDefault="00B4240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If t</w:t>
      </w:r>
      <w:r w:rsidR="008346A8">
        <w:rPr>
          <w:rFonts w:ascii="Times New Roman" w:hAnsi="Times New Roman"/>
          <w:sz w:val="28"/>
          <w:szCs w:val="28"/>
        </w:rPr>
        <w:t>he owner of a property pleads that the person in possession would have had a right to possession, had that right not been terminated, the owner must prove the termination of the aforesaid right.</w:t>
      </w:r>
      <w:r w:rsidR="008346A8">
        <w:rPr>
          <w:rStyle w:val="FootnoteReference"/>
          <w:rFonts w:ascii="Times New Roman" w:hAnsi="Times New Roman"/>
          <w:sz w:val="28"/>
          <w:szCs w:val="28"/>
        </w:rPr>
        <w:footnoteReference w:id="28"/>
      </w:r>
    </w:p>
    <w:p w14:paraId="4FCC5233" w14:textId="77777777" w:rsidR="009A0E84" w:rsidRPr="009A0E84" w:rsidRDefault="009A0E84" w:rsidP="00D46D76">
      <w:pPr>
        <w:pStyle w:val="ListParagraph"/>
        <w:spacing w:after="0" w:line="360" w:lineRule="auto"/>
        <w:rPr>
          <w:rFonts w:ascii="Times New Roman" w:hAnsi="Times New Roman"/>
          <w:b/>
          <w:sz w:val="28"/>
          <w:szCs w:val="28"/>
        </w:rPr>
      </w:pPr>
    </w:p>
    <w:p w14:paraId="6C7A4238" w14:textId="77777777" w:rsidR="00984141" w:rsidRPr="00984141" w:rsidRDefault="009A0E8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applicant relies in this respect on the termination letter as proof that the respondents’ rights to </w:t>
      </w:r>
      <w:r w:rsidR="00BB0DF9">
        <w:rPr>
          <w:rFonts w:ascii="Times New Roman" w:hAnsi="Times New Roman"/>
          <w:sz w:val="28"/>
          <w:szCs w:val="28"/>
        </w:rPr>
        <w:t>occupy the</w:t>
      </w:r>
      <w:r w:rsidR="00B42401">
        <w:rPr>
          <w:rFonts w:ascii="Times New Roman" w:hAnsi="Times New Roman"/>
          <w:sz w:val="28"/>
          <w:szCs w:val="28"/>
        </w:rPr>
        <w:t xml:space="preserve"> property </w:t>
      </w:r>
      <w:r w:rsidR="00851330">
        <w:rPr>
          <w:rFonts w:ascii="Times New Roman" w:hAnsi="Times New Roman"/>
          <w:sz w:val="28"/>
          <w:szCs w:val="28"/>
        </w:rPr>
        <w:t>(</w:t>
      </w:r>
      <w:r w:rsidR="002D4F99">
        <w:rPr>
          <w:rFonts w:ascii="Times New Roman" w:hAnsi="Times New Roman"/>
          <w:sz w:val="28"/>
          <w:szCs w:val="28"/>
        </w:rPr>
        <w:t>subsidiary to the</w:t>
      </w:r>
      <w:r w:rsidR="007E1787">
        <w:rPr>
          <w:rFonts w:ascii="Times New Roman" w:hAnsi="Times New Roman"/>
          <w:sz w:val="28"/>
          <w:szCs w:val="28"/>
        </w:rPr>
        <w:t>ir</w:t>
      </w:r>
      <w:r w:rsidR="002D4F99">
        <w:rPr>
          <w:rFonts w:ascii="Times New Roman" w:hAnsi="Times New Roman"/>
          <w:sz w:val="28"/>
          <w:szCs w:val="28"/>
        </w:rPr>
        <w:t xml:space="preserve"> employment</w:t>
      </w:r>
      <w:r w:rsidR="003062C1">
        <w:rPr>
          <w:rFonts w:ascii="Times New Roman" w:hAnsi="Times New Roman"/>
          <w:sz w:val="28"/>
          <w:szCs w:val="28"/>
        </w:rPr>
        <w:t xml:space="preserve"> agreement</w:t>
      </w:r>
      <w:r w:rsidR="00984141">
        <w:rPr>
          <w:rFonts w:ascii="Times New Roman" w:hAnsi="Times New Roman"/>
          <w:sz w:val="28"/>
          <w:szCs w:val="28"/>
        </w:rPr>
        <w:t>)</w:t>
      </w:r>
      <w:r w:rsidR="00A816BB">
        <w:rPr>
          <w:rFonts w:ascii="Times New Roman" w:hAnsi="Times New Roman"/>
          <w:sz w:val="28"/>
          <w:szCs w:val="28"/>
        </w:rPr>
        <w:t xml:space="preserve"> was </w:t>
      </w:r>
      <w:r w:rsidR="00851330">
        <w:rPr>
          <w:rFonts w:ascii="Times New Roman" w:hAnsi="Times New Roman"/>
          <w:sz w:val="28"/>
          <w:szCs w:val="28"/>
        </w:rPr>
        <w:t>terminated</w:t>
      </w:r>
      <w:r w:rsidR="00A816BB">
        <w:rPr>
          <w:rFonts w:ascii="Times New Roman" w:hAnsi="Times New Roman"/>
          <w:sz w:val="28"/>
          <w:szCs w:val="28"/>
        </w:rPr>
        <w:t xml:space="preserve"> when the first respondent was dismissed by the Congregation as its Rabbi</w:t>
      </w:r>
      <w:r w:rsidR="00B42401">
        <w:rPr>
          <w:rFonts w:ascii="Times New Roman" w:hAnsi="Times New Roman"/>
          <w:sz w:val="28"/>
          <w:szCs w:val="28"/>
        </w:rPr>
        <w:t xml:space="preserve">.  </w:t>
      </w:r>
      <w:r w:rsidR="00851330">
        <w:rPr>
          <w:rFonts w:ascii="Times New Roman" w:hAnsi="Times New Roman"/>
          <w:sz w:val="28"/>
          <w:szCs w:val="28"/>
        </w:rPr>
        <w:t xml:space="preserve">In its </w:t>
      </w:r>
      <w:r w:rsidR="00DC7177">
        <w:rPr>
          <w:rFonts w:ascii="Times New Roman" w:hAnsi="Times New Roman"/>
          <w:sz w:val="28"/>
          <w:szCs w:val="28"/>
        </w:rPr>
        <w:t xml:space="preserve">replying </w:t>
      </w:r>
      <w:r w:rsidR="00851330">
        <w:rPr>
          <w:rFonts w:ascii="Times New Roman" w:hAnsi="Times New Roman"/>
          <w:sz w:val="28"/>
          <w:szCs w:val="28"/>
        </w:rPr>
        <w:t>papers it submits further that such term</w:t>
      </w:r>
      <w:r w:rsidR="00984141">
        <w:rPr>
          <w:rFonts w:ascii="Times New Roman" w:hAnsi="Times New Roman"/>
          <w:sz w:val="28"/>
          <w:szCs w:val="28"/>
        </w:rPr>
        <w:t>ination</w:t>
      </w:r>
      <w:r w:rsidR="00851330">
        <w:rPr>
          <w:rFonts w:ascii="Times New Roman" w:hAnsi="Times New Roman"/>
          <w:sz w:val="28"/>
          <w:szCs w:val="28"/>
        </w:rPr>
        <w:t xml:space="preserve"> was valid and lawful and fair in all the circumstances and that</w:t>
      </w:r>
      <w:r w:rsidR="00984141">
        <w:rPr>
          <w:rFonts w:ascii="Times New Roman" w:hAnsi="Times New Roman"/>
          <w:sz w:val="28"/>
          <w:szCs w:val="28"/>
        </w:rPr>
        <w:t xml:space="preserve"> since</w:t>
      </w:r>
      <w:r w:rsidR="00851330">
        <w:rPr>
          <w:rFonts w:ascii="Times New Roman" w:hAnsi="Times New Roman"/>
          <w:sz w:val="28"/>
          <w:szCs w:val="28"/>
        </w:rPr>
        <w:t xml:space="preserve"> the first respondent did not challenge his dismissal before the CCMA or in the </w:t>
      </w:r>
      <w:r w:rsidR="007E1787">
        <w:rPr>
          <w:rFonts w:ascii="Times New Roman" w:hAnsi="Times New Roman"/>
          <w:sz w:val="28"/>
          <w:szCs w:val="28"/>
        </w:rPr>
        <w:t>L</w:t>
      </w:r>
      <w:r w:rsidR="00851330">
        <w:rPr>
          <w:rFonts w:ascii="Times New Roman" w:hAnsi="Times New Roman"/>
          <w:sz w:val="28"/>
          <w:szCs w:val="28"/>
        </w:rPr>
        <w:t xml:space="preserve">abour </w:t>
      </w:r>
      <w:r w:rsidR="007E1787">
        <w:rPr>
          <w:rFonts w:ascii="Times New Roman" w:hAnsi="Times New Roman"/>
          <w:sz w:val="28"/>
          <w:szCs w:val="28"/>
        </w:rPr>
        <w:t>C</w:t>
      </w:r>
      <w:r w:rsidR="00851330">
        <w:rPr>
          <w:rFonts w:ascii="Times New Roman" w:hAnsi="Times New Roman"/>
          <w:sz w:val="28"/>
          <w:szCs w:val="28"/>
        </w:rPr>
        <w:t>ourt</w:t>
      </w:r>
      <w:r w:rsidR="00A816BB">
        <w:rPr>
          <w:rFonts w:ascii="Times New Roman" w:hAnsi="Times New Roman"/>
          <w:sz w:val="28"/>
          <w:szCs w:val="28"/>
        </w:rPr>
        <w:t xml:space="preserve">, their </w:t>
      </w:r>
      <w:r w:rsidR="00984141">
        <w:rPr>
          <w:rFonts w:ascii="Times New Roman" w:hAnsi="Times New Roman"/>
          <w:sz w:val="28"/>
          <w:szCs w:val="28"/>
        </w:rPr>
        <w:t xml:space="preserve">right to occupy the rabbinical home </w:t>
      </w:r>
      <w:r w:rsidR="006D2773">
        <w:rPr>
          <w:rFonts w:ascii="Times New Roman" w:hAnsi="Times New Roman"/>
          <w:sz w:val="28"/>
          <w:szCs w:val="28"/>
        </w:rPr>
        <w:t>has come</w:t>
      </w:r>
      <w:r w:rsidR="00984141">
        <w:rPr>
          <w:rFonts w:ascii="Times New Roman" w:hAnsi="Times New Roman"/>
          <w:sz w:val="28"/>
          <w:szCs w:val="28"/>
        </w:rPr>
        <w:t xml:space="preserve"> to an end.</w:t>
      </w:r>
    </w:p>
    <w:p w14:paraId="294B5A6D" w14:textId="77777777" w:rsidR="00984141" w:rsidRPr="00984141" w:rsidRDefault="00984141" w:rsidP="00D46D76">
      <w:pPr>
        <w:pStyle w:val="ListParagraph"/>
        <w:spacing w:after="0" w:line="360" w:lineRule="auto"/>
        <w:rPr>
          <w:rFonts w:ascii="Times New Roman" w:hAnsi="Times New Roman"/>
          <w:sz w:val="28"/>
          <w:szCs w:val="28"/>
        </w:rPr>
      </w:pPr>
    </w:p>
    <w:p w14:paraId="4AD8D9A5" w14:textId="77777777" w:rsidR="00D72AB9" w:rsidRPr="00851330" w:rsidRDefault="0098414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An</w:t>
      </w:r>
      <w:r w:rsidR="00851330">
        <w:rPr>
          <w:rFonts w:ascii="Times New Roman" w:hAnsi="Times New Roman"/>
          <w:sz w:val="28"/>
          <w:szCs w:val="28"/>
        </w:rPr>
        <w:t xml:space="preserve"> examination of </w:t>
      </w:r>
      <w:r>
        <w:rPr>
          <w:rFonts w:ascii="Times New Roman" w:hAnsi="Times New Roman"/>
          <w:sz w:val="28"/>
          <w:szCs w:val="28"/>
        </w:rPr>
        <w:t>what</w:t>
      </w:r>
      <w:r w:rsidR="00851330">
        <w:rPr>
          <w:rFonts w:ascii="Times New Roman" w:hAnsi="Times New Roman"/>
          <w:sz w:val="28"/>
          <w:szCs w:val="28"/>
        </w:rPr>
        <w:t xml:space="preserve"> transpired is that after the wills dispute was finalized, </w:t>
      </w:r>
      <w:r w:rsidR="007E1787">
        <w:rPr>
          <w:rFonts w:ascii="Times New Roman" w:hAnsi="Times New Roman"/>
          <w:sz w:val="28"/>
          <w:szCs w:val="28"/>
        </w:rPr>
        <w:t>at that early stage</w:t>
      </w:r>
      <w:r w:rsidR="00851330">
        <w:rPr>
          <w:rFonts w:ascii="Times New Roman" w:hAnsi="Times New Roman"/>
          <w:sz w:val="28"/>
          <w:szCs w:val="28"/>
        </w:rPr>
        <w:t xml:space="preserve"> in favour of the first respondent, the applicant commenced disciplinary proceedings </w:t>
      </w:r>
      <w:r w:rsidR="006D2773">
        <w:rPr>
          <w:rFonts w:ascii="Times New Roman" w:hAnsi="Times New Roman"/>
          <w:sz w:val="28"/>
          <w:szCs w:val="28"/>
        </w:rPr>
        <w:t xml:space="preserve">against him </w:t>
      </w:r>
      <w:r w:rsidR="00851330">
        <w:rPr>
          <w:rFonts w:ascii="Times New Roman" w:hAnsi="Times New Roman"/>
          <w:sz w:val="28"/>
          <w:szCs w:val="28"/>
        </w:rPr>
        <w:t xml:space="preserve">due to his claimed misconduct </w:t>
      </w:r>
      <w:r w:rsidR="00851330" w:rsidRPr="00851330">
        <w:rPr>
          <w:rFonts w:ascii="Times New Roman" w:hAnsi="Times New Roman"/>
          <w:i/>
          <w:sz w:val="28"/>
          <w:szCs w:val="28"/>
        </w:rPr>
        <w:t>inter alia</w:t>
      </w:r>
      <w:r w:rsidR="00851330">
        <w:rPr>
          <w:rFonts w:ascii="Times New Roman" w:hAnsi="Times New Roman"/>
          <w:sz w:val="28"/>
          <w:szCs w:val="28"/>
        </w:rPr>
        <w:t xml:space="preserve"> relating to the </w:t>
      </w:r>
      <w:r w:rsidR="00974835">
        <w:rPr>
          <w:rFonts w:ascii="Times New Roman" w:hAnsi="Times New Roman"/>
          <w:sz w:val="28"/>
          <w:szCs w:val="28"/>
        </w:rPr>
        <w:t>accusations</w:t>
      </w:r>
      <w:r w:rsidR="00851330">
        <w:rPr>
          <w:rFonts w:ascii="Times New Roman" w:hAnsi="Times New Roman"/>
          <w:sz w:val="28"/>
          <w:szCs w:val="28"/>
        </w:rPr>
        <w:t xml:space="preserve"> made against him by the Congregation and </w:t>
      </w:r>
      <w:r w:rsidR="00851330">
        <w:rPr>
          <w:rFonts w:ascii="Times New Roman" w:hAnsi="Times New Roman"/>
          <w:sz w:val="28"/>
          <w:szCs w:val="28"/>
        </w:rPr>
        <w:lastRenderedPageBreak/>
        <w:t>the Society before the Beth-Din</w:t>
      </w:r>
      <w:r w:rsidR="00974835">
        <w:rPr>
          <w:rFonts w:ascii="Times New Roman" w:hAnsi="Times New Roman"/>
          <w:sz w:val="28"/>
          <w:szCs w:val="28"/>
        </w:rPr>
        <w:t xml:space="preserve"> concerning that dispute</w:t>
      </w:r>
      <w:r w:rsidR="00851330">
        <w:rPr>
          <w:rFonts w:ascii="Times New Roman" w:hAnsi="Times New Roman"/>
          <w:sz w:val="28"/>
          <w:szCs w:val="28"/>
        </w:rPr>
        <w:t xml:space="preserve">.  </w:t>
      </w:r>
      <w:r w:rsidR="007E1787">
        <w:rPr>
          <w:rFonts w:ascii="Times New Roman" w:hAnsi="Times New Roman"/>
          <w:sz w:val="28"/>
          <w:szCs w:val="28"/>
        </w:rPr>
        <w:t>The</w:t>
      </w:r>
      <w:r>
        <w:rPr>
          <w:rFonts w:ascii="Times New Roman" w:hAnsi="Times New Roman"/>
          <w:sz w:val="28"/>
          <w:szCs w:val="28"/>
        </w:rPr>
        <w:t xml:space="preserve"> applicant avers that the</w:t>
      </w:r>
      <w:r w:rsidR="007E1787">
        <w:rPr>
          <w:rFonts w:ascii="Times New Roman" w:hAnsi="Times New Roman"/>
          <w:sz w:val="28"/>
          <w:szCs w:val="28"/>
        </w:rPr>
        <w:t xml:space="preserve"> charges</w:t>
      </w:r>
      <w:r>
        <w:rPr>
          <w:rFonts w:ascii="Times New Roman" w:hAnsi="Times New Roman"/>
          <w:sz w:val="28"/>
          <w:szCs w:val="28"/>
        </w:rPr>
        <w:t xml:space="preserve"> </w:t>
      </w:r>
      <w:r w:rsidR="00974835">
        <w:rPr>
          <w:rFonts w:ascii="Times New Roman" w:hAnsi="Times New Roman"/>
          <w:sz w:val="28"/>
          <w:szCs w:val="28"/>
        </w:rPr>
        <w:t xml:space="preserve">against the first respondent </w:t>
      </w:r>
      <w:r>
        <w:rPr>
          <w:rFonts w:ascii="Times New Roman" w:hAnsi="Times New Roman"/>
          <w:sz w:val="28"/>
          <w:szCs w:val="28"/>
        </w:rPr>
        <w:t xml:space="preserve">were of a serious nature relating to misconduct.  </w:t>
      </w:r>
      <w:r w:rsidR="00851330">
        <w:rPr>
          <w:rFonts w:ascii="Times New Roman" w:hAnsi="Times New Roman"/>
          <w:sz w:val="28"/>
          <w:szCs w:val="28"/>
        </w:rPr>
        <w:t xml:space="preserve">The first respondent has not explained why he did not appear before the appointed chairperson at the enquiry to state his case.  The chairperson </w:t>
      </w:r>
      <w:r w:rsidR="009D30DC">
        <w:rPr>
          <w:rFonts w:ascii="Times New Roman" w:hAnsi="Times New Roman"/>
          <w:sz w:val="28"/>
          <w:szCs w:val="28"/>
        </w:rPr>
        <w:t xml:space="preserve">ostensibly </w:t>
      </w:r>
      <w:r w:rsidR="00851330">
        <w:rPr>
          <w:rFonts w:ascii="Times New Roman" w:hAnsi="Times New Roman"/>
          <w:sz w:val="28"/>
          <w:szCs w:val="28"/>
        </w:rPr>
        <w:t xml:space="preserve">came to a finding </w:t>
      </w:r>
      <w:r w:rsidR="009D30DC">
        <w:rPr>
          <w:rFonts w:ascii="Times New Roman" w:hAnsi="Times New Roman"/>
          <w:sz w:val="28"/>
          <w:szCs w:val="28"/>
        </w:rPr>
        <w:t xml:space="preserve">in </w:t>
      </w:r>
      <w:r w:rsidR="00851330">
        <w:rPr>
          <w:rFonts w:ascii="Times New Roman" w:hAnsi="Times New Roman"/>
          <w:sz w:val="28"/>
          <w:szCs w:val="28"/>
        </w:rPr>
        <w:t>the firs</w:t>
      </w:r>
      <w:r>
        <w:rPr>
          <w:rFonts w:ascii="Times New Roman" w:hAnsi="Times New Roman"/>
          <w:sz w:val="28"/>
          <w:szCs w:val="28"/>
        </w:rPr>
        <w:t>t</w:t>
      </w:r>
      <w:r w:rsidR="00851330">
        <w:rPr>
          <w:rFonts w:ascii="Times New Roman" w:hAnsi="Times New Roman"/>
          <w:sz w:val="28"/>
          <w:szCs w:val="28"/>
        </w:rPr>
        <w:t xml:space="preserve"> respondent</w:t>
      </w:r>
      <w:r w:rsidR="009D30DC">
        <w:rPr>
          <w:rFonts w:ascii="Times New Roman" w:hAnsi="Times New Roman"/>
          <w:sz w:val="28"/>
          <w:szCs w:val="28"/>
        </w:rPr>
        <w:t>’s absence that he</w:t>
      </w:r>
      <w:r w:rsidR="00851330">
        <w:rPr>
          <w:rFonts w:ascii="Times New Roman" w:hAnsi="Times New Roman"/>
          <w:sz w:val="28"/>
          <w:szCs w:val="28"/>
        </w:rPr>
        <w:t xml:space="preserve"> had made himself guilty of cert</w:t>
      </w:r>
      <w:r>
        <w:rPr>
          <w:rFonts w:ascii="Times New Roman" w:hAnsi="Times New Roman"/>
          <w:sz w:val="28"/>
          <w:szCs w:val="28"/>
        </w:rPr>
        <w:t>ain misconduct and recommended the</w:t>
      </w:r>
      <w:r w:rsidR="00851330">
        <w:rPr>
          <w:rFonts w:ascii="Times New Roman" w:hAnsi="Times New Roman"/>
          <w:sz w:val="28"/>
          <w:szCs w:val="28"/>
        </w:rPr>
        <w:t xml:space="preserve"> sanction</w:t>
      </w:r>
      <w:r>
        <w:rPr>
          <w:rFonts w:ascii="Times New Roman" w:hAnsi="Times New Roman"/>
          <w:sz w:val="28"/>
          <w:szCs w:val="28"/>
        </w:rPr>
        <w:t xml:space="preserve"> of dismissal</w:t>
      </w:r>
      <w:r w:rsidR="00851330">
        <w:rPr>
          <w:rFonts w:ascii="Times New Roman" w:hAnsi="Times New Roman"/>
          <w:sz w:val="28"/>
          <w:szCs w:val="28"/>
        </w:rPr>
        <w:t xml:space="preserve"> to the Committee.  </w:t>
      </w:r>
    </w:p>
    <w:p w14:paraId="7C2264CE" w14:textId="77777777" w:rsidR="00851330" w:rsidRPr="00851330" w:rsidRDefault="00851330" w:rsidP="00D46D76">
      <w:pPr>
        <w:pStyle w:val="ListParagraph"/>
        <w:spacing w:after="0" w:line="360" w:lineRule="auto"/>
        <w:rPr>
          <w:rFonts w:ascii="Times New Roman" w:hAnsi="Times New Roman"/>
          <w:b/>
          <w:sz w:val="28"/>
          <w:szCs w:val="28"/>
        </w:rPr>
      </w:pPr>
    </w:p>
    <w:p w14:paraId="4E82392F" w14:textId="77777777" w:rsidR="00851330" w:rsidRPr="00851330" w:rsidRDefault="0085133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applicant,</w:t>
      </w:r>
      <w:r w:rsidR="007E1787">
        <w:rPr>
          <w:rFonts w:ascii="Times New Roman" w:hAnsi="Times New Roman"/>
          <w:sz w:val="28"/>
          <w:szCs w:val="28"/>
        </w:rPr>
        <w:t xml:space="preserve"> </w:t>
      </w:r>
      <w:r w:rsidR="00984141">
        <w:rPr>
          <w:rFonts w:ascii="Times New Roman" w:hAnsi="Times New Roman"/>
          <w:sz w:val="28"/>
          <w:szCs w:val="28"/>
        </w:rPr>
        <w:t>ostensibly</w:t>
      </w:r>
      <w:r>
        <w:rPr>
          <w:rFonts w:ascii="Times New Roman" w:hAnsi="Times New Roman"/>
          <w:sz w:val="28"/>
          <w:szCs w:val="28"/>
        </w:rPr>
        <w:t xml:space="preserve"> act</w:t>
      </w:r>
      <w:r w:rsidR="007E1787">
        <w:rPr>
          <w:rFonts w:ascii="Times New Roman" w:hAnsi="Times New Roman"/>
          <w:sz w:val="28"/>
          <w:szCs w:val="28"/>
        </w:rPr>
        <w:t>ing</w:t>
      </w:r>
      <w:r>
        <w:rPr>
          <w:rFonts w:ascii="Times New Roman" w:hAnsi="Times New Roman"/>
          <w:sz w:val="28"/>
          <w:szCs w:val="28"/>
        </w:rPr>
        <w:t xml:space="preserve"> through </w:t>
      </w:r>
      <w:r w:rsidR="00984141">
        <w:rPr>
          <w:rFonts w:ascii="Times New Roman" w:hAnsi="Times New Roman"/>
          <w:sz w:val="28"/>
          <w:szCs w:val="28"/>
        </w:rPr>
        <w:t>its</w:t>
      </w:r>
      <w:r>
        <w:rPr>
          <w:rFonts w:ascii="Times New Roman" w:hAnsi="Times New Roman"/>
          <w:sz w:val="28"/>
          <w:szCs w:val="28"/>
        </w:rPr>
        <w:t xml:space="preserve"> “Committee”</w:t>
      </w:r>
      <w:r w:rsidR="00984141">
        <w:rPr>
          <w:rFonts w:ascii="Times New Roman" w:hAnsi="Times New Roman"/>
          <w:sz w:val="28"/>
          <w:szCs w:val="28"/>
        </w:rPr>
        <w:t>,</w:t>
      </w:r>
      <w:r>
        <w:rPr>
          <w:rFonts w:ascii="Times New Roman" w:hAnsi="Times New Roman"/>
          <w:sz w:val="28"/>
          <w:szCs w:val="28"/>
        </w:rPr>
        <w:t xml:space="preserve"> immediately terminated the first respondent’s employ</w:t>
      </w:r>
      <w:r w:rsidR="00984141">
        <w:rPr>
          <w:rFonts w:ascii="Times New Roman" w:hAnsi="Times New Roman"/>
          <w:sz w:val="28"/>
          <w:szCs w:val="28"/>
        </w:rPr>
        <w:t>ment</w:t>
      </w:r>
      <w:r>
        <w:rPr>
          <w:rFonts w:ascii="Times New Roman" w:hAnsi="Times New Roman"/>
          <w:sz w:val="28"/>
          <w:szCs w:val="28"/>
        </w:rPr>
        <w:t xml:space="preserve"> as well as the respondents’ right to occupy the property.  </w:t>
      </w:r>
    </w:p>
    <w:p w14:paraId="74D88DC6" w14:textId="77777777" w:rsidR="00851330" w:rsidRPr="00851330" w:rsidRDefault="00851330" w:rsidP="00D46D76">
      <w:pPr>
        <w:pStyle w:val="ListParagraph"/>
        <w:spacing w:after="0" w:line="360" w:lineRule="auto"/>
        <w:rPr>
          <w:rFonts w:ascii="Times New Roman" w:hAnsi="Times New Roman"/>
          <w:b/>
          <w:sz w:val="28"/>
          <w:szCs w:val="28"/>
        </w:rPr>
      </w:pPr>
    </w:p>
    <w:p w14:paraId="32C3CCA2" w14:textId="77777777" w:rsidR="00851330" w:rsidRPr="00851330" w:rsidRDefault="0085133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first respondent was warned in the communication of his </w:t>
      </w:r>
      <w:r w:rsidR="00653092">
        <w:rPr>
          <w:rFonts w:ascii="Times New Roman" w:hAnsi="Times New Roman"/>
          <w:sz w:val="28"/>
          <w:szCs w:val="28"/>
        </w:rPr>
        <w:t>right if</w:t>
      </w:r>
      <w:r>
        <w:rPr>
          <w:rFonts w:ascii="Times New Roman" w:hAnsi="Times New Roman"/>
          <w:sz w:val="28"/>
          <w:szCs w:val="28"/>
        </w:rPr>
        <w:t xml:space="preserve"> he considered his termination to be unfair to refer a dispute </w:t>
      </w:r>
      <w:r w:rsidR="00653092">
        <w:rPr>
          <w:rFonts w:ascii="Times New Roman" w:hAnsi="Times New Roman"/>
          <w:sz w:val="28"/>
          <w:szCs w:val="28"/>
        </w:rPr>
        <w:t xml:space="preserve">regarding his dismissal </w:t>
      </w:r>
      <w:r>
        <w:rPr>
          <w:rFonts w:ascii="Times New Roman" w:hAnsi="Times New Roman"/>
          <w:sz w:val="28"/>
          <w:szCs w:val="28"/>
        </w:rPr>
        <w:t>to the CCMA within thirty days.</w:t>
      </w:r>
    </w:p>
    <w:p w14:paraId="1C8E2551" w14:textId="77777777" w:rsidR="00851330" w:rsidRPr="00851330" w:rsidRDefault="00851330" w:rsidP="00D46D76">
      <w:pPr>
        <w:pStyle w:val="ListParagraph"/>
        <w:spacing w:after="0" w:line="360" w:lineRule="auto"/>
        <w:rPr>
          <w:rFonts w:ascii="Times New Roman" w:hAnsi="Times New Roman"/>
          <w:b/>
          <w:sz w:val="28"/>
          <w:szCs w:val="28"/>
        </w:rPr>
      </w:pPr>
    </w:p>
    <w:p w14:paraId="143A4C53" w14:textId="77777777" w:rsidR="00851330" w:rsidRPr="003A4A91" w:rsidRDefault="0085133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3A4A91">
        <w:rPr>
          <w:rFonts w:ascii="Times New Roman" w:hAnsi="Times New Roman"/>
          <w:sz w:val="28"/>
          <w:szCs w:val="28"/>
        </w:rPr>
        <w:t xml:space="preserve">It is common </w:t>
      </w:r>
      <w:r w:rsidR="003A4A91" w:rsidRPr="003A4A91">
        <w:rPr>
          <w:rFonts w:ascii="Times New Roman" w:hAnsi="Times New Roman"/>
          <w:sz w:val="28"/>
          <w:szCs w:val="28"/>
        </w:rPr>
        <w:t xml:space="preserve">cause that he did not </w:t>
      </w:r>
      <w:r w:rsidRPr="003A4A91">
        <w:rPr>
          <w:rFonts w:ascii="Times New Roman" w:hAnsi="Times New Roman"/>
          <w:sz w:val="28"/>
          <w:szCs w:val="28"/>
        </w:rPr>
        <w:t>refer a</w:t>
      </w:r>
      <w:r w:rsidR="003A4A91" w:rsidRPr="003A4A91">
        <w:rPr>
          <w:rFonts w:ascii="Times New Roman" w:hAnsi="Times New Roman"/>
          <w:sz w:val="28"/>
          <w:szCs w:val="28"/>
        </w:rPr>
        <w:t>ny</w:t>
      </w:r>
      <w:r w:rsidRPr="003A4A91">
        <w:rPr>
          <w:rFonts w:ascii="Times New Roman" w:hAnsi="Times New Roman"/>
          <w:sz w:val="28"/>
          <w:szCs w:val="28"/>
        </w:rPr>
        <w:t xml:space="preserve"> dispute to the CCMA.</w:t>
      </w:r>
      <w:r w:rsidR="003A4A91" w:rsidRPr="003A4A91">
        <w:rPr>
          <w:rFonts w:ascii="Times New Roman" w:hAnsi="Times New Roman"/>
          <w:sz w:val="28"/>
          <w:szCs w:val="28"/>
        </w:rPr>
        <w:t xml:space="preserve">  </w:t>
      </w:r>
      <w:r w:rsidRPr="003A4A91">
        <w:rPr>
          <w:rFonts w:ascii="Times New Roman" w:hAnsi="Times New Roman"/>
          <w:sz w:val="28"/>
          <w:szCs w:val="28"/>
        </w:rPr>
        <w:t xml:space="preserve">Indeed, he consciously elected not to follow through </w:t>
      </w:r>
      <w:r w:rsidR="00D76115">
        <w:rPr>
          <w:rFonts w:ascii="Times New Roman" w:hAnsi="Times New Roman"/>
          <w:sz w:val="28"/>
          <w:szCs w:val="28"/>
        </w:rPr>
        <w:t xml:space="preserve">with such an </w:t>
      </w:r>
      <w:r w:rsidRPr="003A4A91">
        <w:rPr>
          <w:rFonts w:ascii="Times New Roman" w:hAnsi="Times New Roman"/>
          <w:sz w:val="28"/>
          <w:szCs w:val="28"/>
        </w:rPr>
        <w:t xml:space="preserve">option which the applicant contends was the only </w:t>
      </w:r>
      <w:r w:rsidR="00D76115">
        <w:rPr>
          <w:rFonts w:ascii="Times New Roman" w:hAnsi="Times New Roman"/>
          <w:sz w:val="28"/>
          <w:szCs w:val="28"/>
        </w:rPr>
        <w:t>avenue</w:t>
      </w:r>
      <w:r w:rsidRPr="003A4A91">
        <w:rPr>
          <w:rFonts w:ascii="Times New Roman" w:hAnsi="Times New Roman"/>
          <w:sz w:val="28"/>
          <w:szCs w:val="28"/>
        </w:rPr>
        <w:t xml:space="preserve"> open to him if he wished to challenge his dis</w:t>
      </w:r>
      <w:r w:rsidR="00D76115">
        <w:rPr>
          <w:rFonts w:ascii="Times New Roman" w:hAnsi="Times New Roman"/>
          <w:sz w:val="28"/>
          <w:szCs w:val="28"/>
        </w:rPr>
        <w:t>missal</w:t>
      </w:r>
      <w:r w:rsidRPr="003A4A91">
        <w:rPr>
          <w:rFonts w:ascii="Times New Roman" w:hAnsi="Times New Roman"/>
          <w:sz w:val="28"/>
          <w:szCs w:val="28"/>
        </w:rPr>
        <w:t xml:space="preserve">. </w:t>
      </w:r>
    </w:p>
    <w:p w14:paraId="1B8ED2F6" w14:textId="77777777" w:rsidR="003A4A91" w:rsidRPr="003A4A91" w:rsidRDefault="003A4A91" w:rsidP="00D46D76">
      <w:pPr>
        <w:pStyle w:val="ListParagraph"/>
        <w:spacing w:after="0" w:line="360" w:lineRule="auto"/>
        <w:rPr>
          <w:rFonts w:ascii="Times New Roman" w:hAnsi="Times New Roman"/>
          <w:b/>
          <w:sz w:val="28"/>
          <w:szCs w:val="28"/>
        </w:rPr>
      </w:pPr>
    </w:p>
    <w:p w14:paraId="513FF3CB" w14:textId="77777777" w:rsidR="003A4A91" w:rsidRPr="003A4A91" w:rsidRDefault="003A4A9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It is hard to discern the real nature of the defence to the eviction claim.  The first respondent appears to equivocate between a plea that suggests that the employment agreement still exists because it was not lawfully cancelled or </w:t>
      </w:r>
      <w:r w:rsidR="00653092">
        <w:rPr>
          <w:rFonts w:ascii="Times New Roman" w:hAnsi="Times New Roman"/>
          <w:sz w:val="28"/>
          <w:szCs w:val="28"/>
        </w:rPr>
        <w:t xml:space="preserve">that </w:t>
      </w:r>
      <w:r>
        <w:rPr>
          <w:rFonts w:ascii="Times New Roman" w:hAnsi="Times New Roman"/>
          <w:sz w:val="28"/>
          <w:szCs w:val="28"/>
        </w:rPr>
        <w:t xml:space="preserve">its cancellation was a nullity as it were (giving him and the second respondent a </w:t>
      </w:r>
      <w:r w:rsidRPr="000558D7">
        <w:rPr>
          <w:rFonts w:ascii="Times New Roman" w:hAnsi="Times New Roman"/>
          <w:i/>
          <w:iCs/>
          <w:sz w:val="28"/>
          <w:szCs w:val="28"/>
        </w:rPr>
        <w:t>right</w:t>
      </w:r>
      <w:r>
        <w:rPr>
          <w:rFonts w:ascii="Times New Roman" w:hAnsi="Times New Roman"/>
          <w:sz w:val="28"/>
          <w:szCs w:val="28"/>
        </w:rPr>
        <w:t xml:space="preserve"> still to occupy), and an acceptance </w:t>
      </w:r>
      <w:r w:rsidR="00653092">
        <w:rPr>
          <w:rFonts w:ascii="Times New Roman" w:hAnsi="Times New Roman"/>
          <w:sz w:val="28"/>
          <w:szCs w:val="28"/>
        </w:rPr>
        <w:t xml:space="preserve">on the other hand </w:t>
      </w:r>
      <w:r>
        <w:rPr>
          <w:rFonts w:ascii="Times New Roman" w:hAnsi="Times New Roman"/>
          <w:sz w:val="28"/>
          <w:szCs w:val="28"/>
        </w:rPr>
        <w:t xml:space="preserve">that the agreement </w:t>
      </w:r>
      <w:r w:rsidR="00653092">
        <w:rPr>
          <w:rFonts w:ascii="Times New Roman" w:hAnsi="Times New Roman"/>
          <w:sz w:val="28"/>
          <w:szCs w:val="28"/>
        </w:rPr>
        <w:t>was indeed</w:t>
      </w:r>
      <w:r>
        <w:rPr>
          <w:rFonts w:ascii="Times New Roman" w:hAnsi="Times New Roman"/>
          <w:sz w:val="28"/>
          <w:szCs w:val="28"/>
        </w:rPr>
        <w:t xml:space="preserve"> cancelled, but that the termination is assailable.  Allied to the latter defence is the claim that the only forum that can decide finally whether the contract was </w:t>
      </w:r>
      <w:r w:rsidR="000558D7">
        <w:rPr>
          <w:rFonts w:ascii="Times New Roman" w:hAnsi="Times New Roman"/>
          <w:sz w:val="28"/>
          <w:szCs w:val="28"/>
        </w:rPr>
        <w:t>“</w:t>
      </w:r>
      <w:r>
        <w:rPr>
          <w:rFonts w:ascii="Times New Roman" w:hAnsi="Times New Roman"/>
          <w:sz w:val="28"/>
          <w:szCs w:val="28"/>
        </w:rPr>
        <w:t>lawfully</w:t>
      </w:r>
      <w:r w:rsidR="000558D7">
        <w:rPr>
          <w:rFonts w:ascii="Times New Roman" w:hAnsi="Times New Roman"/>
          <w:sz w:val="28"/>
          <w:szCs w:val="28"/>
        </w:rPr>
        <w:t>”</w:t>
      </w:r>
      <w:r>
        <w:rPr>
          <w:rFonts w:ascii="Times New Roman" w:hAnsi="Times New Roman"/>
          <w:sz w:val="28"/>
          <w:szCs w:val="28"/>
        </w:rPr>
        <w:t xml:space="preserve"> cancelled is the Beth-Din and that it is a pre-requisite for that dispute </w:t>
      </w:r>
      <w:r>
        <w:rPr>
          <w:rFonts w:ascii="Times New Roman" w:hAnsi="Times New Roman"/>
          <w:sz w:val="28"/>
          <w:szCs w:val="28"/>
        </w:rPr>
        <w:lastRenderedPageBreak/>
        <w:t>to be determined before the respondents can be evicted b</w:t>
      </w:r>
      <w:r w:rsidR="00D76115">
        <w:rPr>
          <w:rFonts w:ascii="Times New Roman" w:hAnsi="Times New Roman"/>
          <w:sz w:val="28"/>
          <w:szCs w:val="28"/>
        </w:rPr>
        <w:t>ecause their right to occupy rid</w:t>
      </w:r>
      <w:r>
        <w:rPr>
          <w:rFonts w:ascii="Times New Roman" w:hAnsi="Times New Roman"/>
          <w:sz w:val="28"/>
          <w:szCs w:val="28"/>
        </w:rPr>
        <w:t>es on the coattails as it were of that dispute determination.  Interestingly, and perhaps strategically so, the first respondent does not claim that his dismissal was unfair, whether substantively or procedurally, as if to avoid any concession that the termination of the employment agreement due to his claimed misconduct was to be effected through the procedures described in the Labour Relations Act</w:t>
      </w:r>
      <w:r w:rsidR="009D30DC">
        <w:rPr>
          <w:rFonts w:ascii="Times New Roman" w:hAnsi="Times New Roman"/>
          <w:sz w:val="28"/>
          <w:szCs w:val="28"/>
        </w:rPr>
        <w:t>, more particularly by resort to the CCMA, or the Labour Court</w:t>
      </w:r>
      <w:r w:rsidR="000558D7">
        <w:rPr>
          <w:rFonts w:ascii="Times New Roman" w:hAnsi="Times New Roman"/>
          <w:sz w:val="28"/>
          <w:szCs w:val="28"/>
        </w:rPr>
        <w:t xml:space="preserve"> as the case </w:t>
      </w:r>
      <w:r w:rsidR="00974835">
        <w:rPr>
          <w:rFonts w:ascii="Times New Roman" w:hAnsi="Times New Roman"/>
          <w:sz w:val="28"/>
          <w:szCs w:val="28"/>
        </w:rPr>
        <w:t xml:space="preserve">may </w:t>
      </w:r>
      <w:r w:rsidR="000558D7">
        <w:rPr>
          <w:rFonts w:ascii="Times New Roman" w:hAnsi="Times New Roman"/>
          <w:sz w:val="28"/>
          <w:szCs w:val="28"/>
        </w:rPr>
        <w:t>be</w:t>
      </w:r>
      <w:r w:rsidR="009D30DC">
        <w:rPr>
          <w:rFonts w:ascii="Times New Roman" w:hAnsi="Times New Roman"/>
          <w:sz w:val="28"/>
          <w:szCs w:val="28"/>
        </w:rPr>
        <w:t>, to challenge his dismissal</w:t>
      </w:r>
      <w:r>
        <w:rPr>
          <w:rFonts w:ascii="Times New Roman" w:hAnsi="Times New Roman"/>
          <w:sz w:val="28"/>
          <w:szCs w:val="28"/>
        </w:rPr>
        <w:t>.</w:t>
      </w:r>
    </w:p>
    <w:p w14:paraId="1D789714" w14:textId="77777777" w:rsidR="003A4A91" w:rsidRPr="003A4A91" w:rsidRDefault="003A4A91" w:rsidP="00D46D76">
      <w:pPr>
        <w:pStyle w:val="ListParagraph"/>
        <w:tabs>
          <w:tab w:val="left" w:pos="0"/>
        </w:tabs>
        <w:spacing w:after="0" w:line="360" w:lineRule="auto"/>
        <w:ind w:left="0"/>
        <w:rPr>
          <w:rFonts w:ascii="Times New Roman" w:hAnsi="Times New Roman"/>
          <w:b/>
          <w:sz w:val="28"/>
          <w:szCs w:val="28"/>
        </w:rPr>
      </w:pPr>
    </w:p>
    <w:p w14:paraId="3648960F" w14:textId="77777777" w:rsidR="003A4A91" w:rsidRPr="003A4A91" w:rsidRDefault="003A4A9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Whereas the applicant bears the onus to prove the termination of both the right to occupy and of the first respondent’s employment agreement (the rig</w:t>
      </w:r>
      <w:r w:rsidR="00D76115">
        <w:rPr>
          <w:rFonts w:ascii="Times New Roman" w:hAnsi="Times New Roman"/>
          <w:sz w:val="28"/>
          <w:szCs w:val="28"/>
        </w:rPr>
        <w:t>ht to occupy being subsidiar</w:t>
      </w:r>
      <w:r w:rsidR="00653092">
        <w:rPr>
          <w:rFonts w:ascii="Times New Roman" w:hAnsi="Times New Roman"/>
          <w:sz w:val="28"/>
          <w:szCs w:val="28"/>
        </w:rPr>
        <w:t>y thereto)</w:t>
      </w:r>
      <w:r>
        <w:rPr>
          <w:rFonts w:ascii="Times New Roman" w:hAnsi="Times New Roman"/>
          <w:sz w:val="28"/>
          <w:szCs w:val="28"/>
        </w:rPr>
        <w:t xml:space="preserve">, the respondents bear an evidentiary burden to allege and prove the facts necessary to justify </w:t>
      </w:r>
      <w:r w:rsidR="000558D7">
        <w:rPr>
          <w:rFonts w:ascii="Times New Roman" w:hAnsi="Times New Roman"/>
          <w:sz w:val="28"/>
          <w:szCs w:val="28"/>
        </w:rPr>
        <w:t>their plea that they are not in unlawful occupation of the property</w:t>
      </w:r>
      <w:r>
        <w:rPr>
          <w:rFonts w:ascii="Times New Roman" w:hAnsi="Times New Roman"/>
          <w:sz w:val="28"/>
          <w:szCs w:val="28"/>
        </w:rPr>
        <w:t>.</w:t>
      </w:r>
    </w:p>
    <w:p w14:paraId="19B19558" w14:textId="77777777" w:rsidR="005F40C9" w:rsidRPr="005F40C9" w:rsidRDefault="005F40C9" w:rsidP="00D46D76">
      <w:pPr>
        <w:pStyle w:val="ListParagraph"/>
        <w:spacing w:after="0" w:line="360" w:lineRule="auto"/>
        <w:rPr>
          <w:rFonts w:ascii="Times New Roman" w:hAnsi="Times New Roman"/>
          <w:b/>
          <w:sz w:val="28"/>
          <w:szCs w:val="28"/>
        </w:rPr>
      </w:pPr>
    </w:p>
    <w:p w14:paraId="4CBB06EB" w14:textId="77777777" w:rsidR="006D6870" w:rsidRPr="006D6870" w:rsidRDefault="003A4A9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It is common cause that </w:t>
      </w:r>
      <w:r w:rsidR="0021062C">
        <w:rPr>
          <w:rFonts w:ascii="Times New Roman" w:hAnsi="Times New Roman"/>
          <w:sz w:val="28"/>
          <w:szCs w:val="28"/>
        </w:rPr>
        <w:t xml:space="preserve">the applicant convened disciplinary proceedings against the first respondent before a chairperson which </w:t>
      </w:r>
      <w:r>
        <w:rPr>
          <w:rFonts w:ascii="Times New Roman" w:hAnsi="Times New Roman"/>
          <w:sz w:val="28"/>
          <w:szCs w:val="28"/>
        </w:rPr>
        <w:t>he</w:t>
      </w:r>
      <w:r w:rsidR="0021062C">
        <w:rPr>
          <w:rFonts w:ascii="Times New Roman" w:hAnsi="Times New Roman"/>
          <w:sz w:val="28"/>
          <w:szCs w:val="28"/>
        </w:rPr>
        <w:t xml:space="preserve"> chose not to attend</w:t>
      </w:r>
      <w:r w:rsidR="00062F61">
        <w:rPr>
          <w:rFonts w:ascii="Times New Roman" w:hAnsi="Times New Roman"/>
          <w:sz w:val="28"/>
          <w:szCs w:val="28"/>
        </w:rPr>
        <w:t>,</w:t>
      </w:r>
      <w:r w:rsidR="0021062C">
        <w:rPr>
          <w:rFonts w:ascii="Times New Roman" w:hAnsi="Times New Roman"/>
          <w:sz w:val="28"/>
          <w:szCs w:val="28"/>
        </w:rPr>
        <w:t xml:space="preserve"> and</w:t>
      </w:r>
      <w:r w:rsidR="00062F61">
        <w:rPr>
          <w:rFonts w:ascii="Times New Roman" w:hAnsi="Times New Roman"/>
          <w:sz w:val="28"/>
          <w:szCs w:val="28"/>
        </w:rPr>
        <w:t xml:space="preserve"> that</w:t>
      </w:r>
      <w:r w:rsidR="0021062C">
        <w:rPr>
          <w:rFonts w:ascii="Times New Roman" w:hAnsi="Times New Roman"/>
          <w:sz w:val="28"/>
          <w:szCs w:val="28"/>
        </w:rPr>
        <w:t xml:space="preserve"> his dismissal followed</w:t>
      </w:r>
      <w:r w:rsidR="00062F61">
        <w:rPr>
          <w:rFonts w:ascii="Times New Roman" w:hAnsi="Times New Roman"/>
          <w:sz w:val="28"/>
          <w:szCs w:val="28"/>
        </w:rPr>
        <w:t xml:space="preserve"> that</w:t>
      </w:r>
      <w:r w:rsidR="0021062C">
        <w:rPr>
          <w:rFonts w:ascii="Times New Roman" w:hAnsi="Times New Roman"/>
          <w:sz w:val="28"/>
          <w:szCs w:val="28"/>
        </w:rPr>
        <w:t xml:space="preserve"> </w:t>
      </w:r>
      <w:r w:rsidR="00062F61">
        <w:rPr>
          <w:rFonts w:ascii="Times New Roman" w:hAnsi="Times New Roman"/>
          <w:sz w:val="28"/>
          <w:szCs w:val="28"/>
        </w:rPr>
        <w:t>process</w:t>
      </w:r>
      <w:r w:rsidR="00DC7177">
        <w:rPr>
          <w:rFonts w:ascii="Times New Roman" w:hAnsi="Times New Roman"/>
          <w:sz w:val="28"/>
          <w:szCs w:val="28"/>
        </w:rPr>
        <w:t xml:space="preserve">.  </w:t>
      </w:r>
      <w:r w:rsidR="006D6870">
        <w:rPr>
          <w:rFonts w:ascii="Times New Roman" w:hAnsi="Times New Roman"/>
          <w:sz w:val="28"/>
          <w:szCs w:val="28"/>
        </w:rPr>
        <w:t xml:space="preserve">He asserts that he took </w:t>
      </w:r>
      <w:r w:rsidR="00DC7177">
        <w:rPr>
          <w:rFonts w:ascii="Times New Roman" w:hAnsi="Times New Roman"/>
          <w:sz w:val="28"/>
          <w:szCs w:val="28"/>
        </w:rPr>
        <w:t xml:space="preserve">issue with the standing of the </w:t>
      </w:r>
      <w:r w:rsidR="00653092">
        <w:rPr>
          <w:rFonts w:ascii="Times New Roman" w:hAnsi="Times New Roman"/>
          <w:sz w:val="28"/>
          <w:szCs w:val="28"/>
        </w:rPr>
        <w:t>chairperson but</w:t>
      </w:r>
      <w:r w:rsidR="006D6870">
        <w:rPr>
          <w:rFonts w:ascii="Times New Roman" w:hAnsi="Times New Roman"/>
          <w:sz w:val="28"/>
          <w:szCs w:val="28"/>
        </w:rPr>
        <w:t xml:space="preserve"> has not taken the court into his confidence in this respect</w:t>
      </w:r>
      <w:r w:rsidR="00062F61">
        <w:rPr>
          <w:rFonts w:ascii="Times New Roman" w:hAnsi="Times New Roman"/>
          <w:sz w:val="28"/>
          <w:szCs w:val="28"/>
        </w:rPr>
        <w:t xml:space="preserve"> to explain why</w:t>
      </w:r>
      <w:r w:rsidR="006D6870">
        <w:rPr>
          <w:rFonts w:ascii="Times New Roman" w:hAnsi="Times New Roman"/>
          <w:sz w:val="28"/>
          <w:szCs w:val="28"/>
        </w:rPr>
        <w:t>.  Later he ref</w:t>
      </w:r>
      <w:r w:rsidR="00DC7177">
        <w:rPr>
          <w:rFonts w:ascii="Times New Roman" w:hAnsi="Times New Roman"/>
          <w:sz w:val="28"/>
          <w:szCs w:val="28"/>
        </w:rPr>
        <w:t>erred a dispute to the Beth-Din arising from his dismissal</w:t>
      </w:r>
      <w:r w:rsidR="006D6870">
        <w:rPr>
          <w:rFonts w:ascii="Times New Roman" w:hAnsi="Times New Roman"/>
          <w:sz w:val="28"/>
          <w:szCs w:val="28"/>
        </w:rPr>
        <w:t>,</w:t>
      </w:r>
      <w:r w:rsidR="00DC7177">
        <w:rPr>
          <w:rFonts w:ascii="Times New Roman" w:hAnsi="Times New Roman"/>
          <w:sz w:val="28"/>
          <w:szCs w:val="28"/>
        </w:rPr>
        <w:t xml:space="preserve"> </w:t>
      </w:r>
      <w:r w:rsidR="006D6870">
        <w:rPr>
          <w:rFonts w:ascii="Times New Roman" w:hAnsi="Times New Roman"/>
          <w:sz w:val="28"/>
          <w:szCs w:val="28"/>
        </w:rPr>
        <w:t>which is the referral he relies on for his plea of “</w:t>
      </w:r>
      <w:r w:rsidR="006D6870" w:rsidRPr="006D6870">
        <w:rPr>
          <w:rFonts w:ascii="Times New Roman" w:hAnsi="Times New Roman"/>
          <w:i/>
          <w:sz w:val="28"/>
          <w:szCs w:val="28"/>
        </w:rPr>
        <w:t>lis pendens</w:t>
      </w:r>
      <w:r w:rsidR="006D6870">
        <w:rPr>
          <w:rFonts w:ascii="Times New Roman" w:hAnsi="Times New Roman"/>
          <w:sz w:val="28"/>
          <w:szCs w:val="28"/>
        </w:rPr>
        <w:t>” as it were.</w:t>
      </w:r>
    </w:p>
    <w:p w14:paraId="3E0536D2" w14:textId="77777777" w:rsidR="006D6870" w:rsidRPr="006D6870" w:rsidRDefault="006D6870" w:rsidP="00D46D76">
      <w:pPr>
        <w:pStyle w:val="ListParagraph"/>
        <w:spacing w:after="0" w:line="360" w:lineRule="auto"/>
        <w:rPr>
          <w:rFonts w:ascii="Times New Roman" w:hAnsi="Times New Roman"/>
          <w:sz w:val="28"/>
          <w:szCs w:val="28"/>
        </w:rPr>
      </w:pPr>
    </w:p>
    <w:p w14:paraId="6914DAC5" w14:textId="77777777" w:rsidR="006D6870" w:rsidRPr="009946FB" w:rsidRDefault="006D687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applicant has established through its averments and the common cause evidence that the basis for the termination of the first respondent’s employment was due to claimed misconduct on </w:t>
      </w:r>
      <w:r w:rsidR="00062F61">
        <w:rPr>
          <w:rFonts w:ascii="Times New Roman" w:hAnsi="Times New Roman"/>
          <w:sz w:val="28"/>
          <w:szCs w:val="28"/>
        </w:rPr>
        <w:t>his part;</w:t>
      </w:r>
      <w:r>
        <w:rPr>
          <w:rFonts w:ascii="Times New Roman" w:hAnsi="Times New Roman"/>
          <w:sz w:val="28"/>
          <w:szCs w:val="28"/>
        </w:rPr>
        <w:t xml:space="preserve"> that it followed a</w:t>
      </w:r>
      <w:r w:rsidR="00875331">
        <w:rPr>
          <w:rFonts w:ascii="Times New Roman" w:hAnsi="Times New Roman"/>
          <w:sz w:val="28"/>
          <w:szCs w:val="28"/>
        </w:rPr>
        <w:t>n ostensibly</w:t>
      </w:r>
      <w:r>
        <w:rPr>
          <w:rFonts w:ascii="Times New Roman" w:hAnsi="Times New Roman"/>
          <w:sz w:val="28"/>
          <w:szCs w:val="28"/>
        </w:rPr>
        <w:t xml:space="preserve"> fair procedure prior </w:t>
      </w:r>
      <w:r w:rsidR="000558D7">
        <w:rPr>
          <w:rFonts w:ascii="Times New Roman" w:hAnsi="Times New Roman"/>
          <w:sz w:val="28"/>
          <w:szCs w:val="28"/>
        </w:rPr>
        <w:t>to</w:t>
      </w:r>
      <w:r>
        <w:rPr>
          <w:rFonts w:ascii="Times New Roman" w:hAnsi="Times New Roman"/>
          <w:sz w:val="28"/>
          <w:szCs w:val="28"/>
        </w:rPr>
        <w:t xml:space="preserve"> terminating his services </w:t>
      </w:r>
      <w:r w:rsidR="000558D7">
        <w:rPr>
          <w:rFonts w:ascii="Times New Roman" w:hAnsi="Times New Roman"/>
          <w:sz w:val="28"/>
          <w:szCs w:val="28"/>
        </w:rPr>
        <w:t>for such reason</w:t>
      </w:r>
      <w:r w:rsidR="008F7306">
        <w:rPr>
          <w:rFonts w:ascii="Times New Roman" w:hAnsi="Times New Roman"/>
          <w:sz w:val="28"/>
          <w:szCs w:val="28"/>
        </w:rPr>
        <w:t xml:space="preserve">, </w:t>
      </w:r>
      <w:r w:rsidR="003062C1">
        <w:rPr>
          <w:rFonts w:ascii="Times New Roman" w:hAnsi="Times New Roman"/>
          <w:sz w:val="28"/>
          <w:szCs w:val="28"/>
        </w:rPr>
        <w:t>which entailed</w:t>
      </w:r>
      <w:r>
        <w:rPr>
          <w:rFonts w:ascii="Times New Roman" w:hAnsi="Times New Roman"/>
          <w:sz w:val="28"/>
          <w:szCs w:val="28"/>
        </w:rPr>
        <w:t xml:space="preserve"> inviting </w:t>
      </w:r>
      <w:r w:rsidR="008F7306">
        <w:rPr>
          <w:rFonts w:ascii="Times New Roman" w:hAnsi="Times New Roman"/>
          <w:sz w:val="28"/>
          <w:szCs w:val="28"/>
        </w:rPr>
        <w:t xml:space="preserve">the first respondent </w:t>
      </w:r>
      <w:r>
        <w:rPr>
          <w:rFonts w:ascii="Times New Roman" w:hAnsi="Times New Roman"/>
          <w:sz w:val="28"/>
          <w:szCs w:val="28"/>
        </w:rPr>
        <w:t>t</w:t>
      </w:r>
      <w:r w:rsidR="00062F61">
        <w:rPr>
          <w:rFonts w:ascii="Times New Roman" w:hAnsi="Times New Roman"/>
          <w:sz w:val="28"/>
          <w:szCs w:val="28"/>
        </w:rPr>
        <w:t xml:space="preserve">o make representations before a </w:t>
      </w:r>
      <w:r>
        <w:rPr>
          <w:rFonts w:ascii="Times New Roman" w:hAnsi="Times New Roman"/>
          <w:sz w:val="28"/>
          <w:szCs w:val="28"/>
        </w:rPr>
        <w:t>disciplinary enquiry</w:t>
      </w:r>
      <w:r w:rsidR="00062F61">
        <w:rPr>
          <w:rFonts w:ascii="Times New Roman" w:hAnsi="Times New Roman"/>
          <w:sz w:val="28"/>
          <w:szCs w:val="28"/>
        </w:rPr>
        <w:t xml:space="preserve"> </w:t>
      </w:r>
      <w:r w:rsidR="008F7306">
        <w:rPr>
          <w:rFonts w:ascii="Times New Roman" w:hAnsi="Times New Roman"/>
          <w:sz w:val="28"/>
          <w:szCs w:val="28"/>
        </w:rPr>
        <w:t>that</w:t>
      </w:r>
      <w:r w:rsidR="00062F61">
        <w:rPr>
          <w:rFonts w:ascii="Times New Roman" w:hAnsi="Times New Roman"/>
          <w:sz w:val="28"/>
          <w:szCs w:val="28"/>
        </w:rPr>
        <w:t xml:space="preserve"> it convened </w:t>
      </w:r>
      <w:r w:rsidR="008F7306">
        <w:rPr>
          <w:rFonts w:ascii="Times New Roman" w:hAnsi="Times New Roman"/>
          <w:sz w:val="28"/>
          <w:szCs w:val="28"/>
        </w:rPr>
        <w:t xml:space="preserve">for such purposes </w:t>
      </w:r>
      <w:r w:rsidR="00062F61">
        <w:rPr>
          <w:rFonts w:ascii="Times New Roman" w:hAnsi="Times New Roman"/>
          <w:sz w:val="28"/>
          <w:szCs w:val="28"/>
        </w:rPr>
        <w:t>(</w:t>
      </w:r>
      <w:r w:rsidR="00653092">
        <w:rPr>
          <w:rFonts w:ascii="Times New Roman" w:hAnsi="Times New Roman"/>
          <w:sz w:val="28"/>
          <w:szCs w:val="28"/>
        </w:rPr>
        <w:t>an</w:t>
      </w:r>
      <w:r w:rsidRPr="00062F61">
        <w:rPr>
          <w:rFonts w:ascii="Times New Roman" w:hAnsi="Times New Roman"/>
          <w:sz w:val="28"/>
          <w:szCs w:val="28"/>
        </w:rPr>
        <w:t xml:space="preserve"> opportunity </w:t>
      </w:r>
      <w:r w:rsidR="008F7306">
        <w:rPr>
          <w:rFonts w:ascii="Times New Roman" w:hAnsi="Times New Roman"/>
          <w:sz w:val="28"/>
          <w:szCs w:val="28"/>
        </w:rPr>
        <w:t xml:space="preserve">he </w:t>
      </w:r>
      <w:r w:rsidRPr="00062F61">
        <w:rPr>
          <w:rFonts w:ascii="Times New Roman" w:hAnsi="Times New Roman"/>
          <w:sz w:val="28"/>
          <w:szCs w:val="28"/>
        </w:rPr>
        <w:t xml:space="preserve">admits was afforded to him </w:t>
      </w:r>
      <w:r w:rsidRPr="00062F61">
        <w:rPr>
          <w:rFonts w:ascii="Times New Roman" w:hAnsi="Times New Roman"/>
          <w:sz w:val="28"/>
          <w:szCs w:val="28"/>
        </w:rPr>
        <w:lastRenderedPageBreak/>
        <w:t xml:space="preserve">but which he </w:t>
      </w:r>
      <w:r w:rsidR="00062F61">
        <w:rPr>
          <w:rFonts w:ascii="Times New Roman" w:hAnsi="Times New Roman"/>
          <w:sz w:val="28"/>
          <w:szCs w:val="28"/>
        </w:rPr>
        <w:t>spurned),</w:t>
      </w:r>
      <w:r w:rsidRPr="00062F61">
        <w:rPr>
          <w:rFonts w:ascii="Times New Roman" w:hAnsi="Times New Roman"/>
          <w:sz w:val="28"/>
          <w:szCs w:val="28"/>
        </w:rPr>
        <w:t xml:space="preserve"> and that the</w:t>
      </w:r>
      <w:r w:rsidR="00D76115" w:rsidRPr="00062F61">
        <w:rPr>
          <w:rFonts w:ascii="Times New Roman" w:hAnsi="Times New Roman"/>
          <w:sz w:val="28"/>
          <w:szCs w:val="28"/>
        </w:rPr>
        <w:t xml:space="preserve"> claimed</w:t>
      </w:r>
      <w:r w:rsidR="00062F61">
        <w:rPr>
          <w:rFonts w:ascii="Times New Roman" w:hAnsi="Times New Roman"/>
          <w:sz w:val="28"/>
          <w:szCs w:val="28"/>
        </w:rPr>
        <w:t xml:space="preserve"> </w:t>
      </w:r>
      <w:r w:rsidRPr="00062F61">
        <w:rPr>
          <w:rFonts w:ascii="Times New Roman" w:hAnsi="Times New Roman"/>
          <w:sz w:val="28"/>
          <w:szCs w:val="28"/>
        </w:rPr>
        <w:t>misconduct entailed dishonesty and was of the nature warranting his immediate dismissal</w:t>
      </w:r>
      <w:r w:rsidR="00653092">
        <w:rPr>
          <w:rFonts w:ascii="Times New Roman" w:hAnsi="Times New Roman"/>
          <w:sz w:val="28"/>
          <w:szCs w:val="28"/>
        </w:rPr>
        <w:t xml:space="preserve"> upon a conf</w:t>
      </w:r>
      <w:r w:rsidR="005059B3">
        <w:rPr>
          <w:rFonts w:ascii="Times New Roman" w:hAnsi="Times New Roman"/>
          <w:sz w:val="28"/>
          <w:szCs w:val="28"/>
        </w:rPr>
        <w:t>irmed</w:t>
      </w:r>
      <w:r w:rsidR="00653092">
        <w:rPr>
          <w:rFonts w:ascii="Times New Roman" w:hAnsi="Times New Roman"/>
          <w:sz w:val="28"/>
          <w:szCs w:val="28"/>
        </w:rPr>
        <w:t xml:space="preserve"> finding of </w:t>
      </w:r>
      <w:r w:rsidR="005059B3">
        <w:rPr>
          <w:rFonts w:ascii="Times New Roman" w:hAnsi="Times New Roman"/>
          <w:sz w:val="28"/>
          <w:szCs w:val="28"/>
        </w:rPr>
        <w:t>misconduct</w:t>
      </w:r>
      <w:r w:rsidR="00653092">
        <w:rPr>
          <w:rFonts w:ascii="Times New Roman" w:hAnsi="Times New Roman"/>
          <w:sz w:val="28"/>
          <w:szCs w:val="28"/>
        </w:rPr>
        <w:t xml:space="preserve"> on his part</w:t>
      </w:r>
      <w:r w:rsidRPr="00062F61">
        <w:rPr>
          <w:rFonts w:ascii="Times New Roman" w:hAnsi="Times New Roman"/>
          <w:sz w:val="28"/>
          <w:szCs w:val="28"/>
        </w:rPr>
        <w:t>.  It further allud</w:t>
      </w:r>
      <w:r w:rsidR="00062F61">
        <w:rPr>
          <w:rFonts w:ascii="Times New Roman" w:hAnsi="Times New Roman"/>
          <w:sz w:val="28"/>
          <w:szCs w:val="28"/>
        </w:rPr>
        <w:t>ed to its contractual entitlement</w:t>
      </w:r>
      <w:r w:rsidRPr="00062F61">
        <w:rPr>
          <w:rFonts w:ascii="Times New Roman" w:hAnsi="Times New Roman"/>
          <w:sz w:val="28"/>
          <w:szCs w:val="28"/>
        </w:rPr>
        <w:t xml:space="preserve"> to effect the termination</w:t>
      </w:r>
      <w:r w:rsidR="00062F61">
        <w:rPr>
          <w:rFonts w:ascii="Times New Roman" w:hAnsi="Times New Roman"/>
          <w:sz w:val="28"/>
          <w:szCs w:val="28"/>
        </w:rPr>
        <w:t xml:space="preserve"> (at least of </w:t>
      </w:r>
      <w:r w:rsidR="005059B3">
        <w:rPr>
          <w:rFonts w:ascii="Times New Roman" w:hAnsi="Times New Roman"/>
          <w:sz w:val="28"/>
          <w:szCs w:val="28"/>
        </w:rPr>
        <w:t>the first respondent’s services</w:t>
      </w:r>
      <w:r w:rsidR="00062F61">
        <w:rPr>
          <w:rFonts w:ascii="Times New Roman" w:hAnsi="Times New Roman"/>
          <w:sz w:val="28"/>
          <w:szCs w:val="28"/>
        </w:rPr>
        <w:t>)</w:t>
      </w:r>
      <w:r w:rsidRPr="00062F61">
        <w:rPr>
          <w:rFonts w:ascii="Times New Roman" w:hAnsi="Times New Roman"/>
          <w:sz w:val="28"/>
          <w:szCs w:val="28"/>
        </w:rPr>
        <w:t xml:space="preserve"> through the procedures prescribed in the Labour Relations Act.</w:t>
      </w:r>
    </w:p>
    <w:p w14:paraId="6019B884" w14:textId="77777777" w:rsidR="006D6870" w:rsidRPr="006D6870" w:rsidRDefault="006D6870" w:rsidP="00D46D76">
      <w:pPr>
        <w:pStyle w:val="ListParagraph"/>
        <w:spacing w:after="0" w:line="360" w:lineRule="auto"/>
        <w:rPr>
          <w:rFonts w:ascii="Times New Roman" w:hAnsi="Times New Roman"/>
          <w:b/>
          <w:sz w:val="28"/>
          <w:szCs w:val="28"/>
        </w:rPr>
      </w:pPr>
    </w:p>
    <w:p w14:paraId="55C890F2" w14:textId="77777777" w:rsidR="009946FB" w:rsidRPr="009946FB" w:rsidRDefault="005059B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Moreover,</w:t>
      </w:r>
      <w:r w:rsidR="006D6870">
        <w:rPr>
          <w:rFonts w:ascii="Times New Roman" w:hAnsi="Times New Roman"/>
          <w:sz w:val="28"/>
          <w:szCs w:val="28"/>
        </w:rPr>
        <w:t xml:space="preserve"> the applicant as the employer was the proper entity, acting through its </w:t>
      </w:r>
      <w:r>
        <w:rPr>
          <w:rFonts w:ascii="Times New Roman" w:hAnsi="Times New Roman"/>
          <w:sz w:val="28"/>
          <w:szCs w:val="28"/>
        </w:rPr>
        <w:t>committee</w:t>
      </w:r>
      <w:r w:rsidR="006D6870">
        <w:rPr>
          <w:rFonts w:ascii="Times New Roman" w:hAnsi="Times New Roman"/>
          <w:sz w:val="28"/>
          <w:szCs w:val="28"/>
        </w:rPr>
        <w:t xml:space="preserve">, to take this decision.  </w:t>
      </w:r>
      <w:r w:rsidR="0080756F">
        <w:rPr>
          <w:rFonts w:ascii="Times New Roman" w:hAnsi="Times New Roman"/>
          <w:sz w:val="28"/>
          <w:szCs w:val="28"/>
        </w:rPr>
        <w:t>Indeed,</w:t>
      </w:r>
      <w:r w:rsidR="008F7306">
        <w:rPr>
          <w:rFonts w:ascii="Times New Roman" w:hAnsi="Times New Roman"/>
          <w:sz w:val="28"/>
          <w:szCs w:val="28"/>
        </w:rPr>
        <w:t xml:space="preserve"> </w:t>
      </w:r>
      <w:r w:rsidR="006D6870">
        <w:rPr>
          <w:rFonts w:ascii="Times New Roman" w:hAnsi="Times New Roman"/>
          <w:sz w:val="28"/>
          <w:szCs w:val="28"/>
        </w:rPr>
        <w:t xml:space="preserve">in my view </w:t>
      </w:r>
      <w:r w:rsidR="008F7306">
        <w:rPr>
          <w:rFonts w:ascii="Times New Roman" w:hAnsi="Times New Roman"/>
          <w:sz w:val="28"/>
          <w:szCs w:val="28"/>
        </w:rPr>
        <w:t xml:space="preserve">it was </w:t>
      </w:r>
      <w:r w:rsidR="006D6870">
        <w:rPr>
          <w:rFonts w:ascii="Times New Roman" w:hAnsi="Times New Roman"/>
          <w:sz w:val="28"/>
          <w:szCs w:val="28"/>
        </w:rPr>
        <w:t>never the Beth-Din’s to make</w:t>
      </w:r>
      <w:r w:rsidR="00D76115">
        <w:rPr>
          <w:rFonts w:ascii="Times New Roman" w:hAnsi="Times New Roman"/>
          <w:sz w:val="28"/>
          <w:szCs w:val="28"/>
        </w:rPr>
        <w:t xml:space="preserve"> i</w:t>
      </w:r>
      <w:r w:rsidR="006D6870">
        <w:rPr>
          <w:rFonts w:ascii="Times New Roman" w:hAnsi="Times New Roman"/>
          <w:sz w:val="28"/>
          <w:szCs w:val="28"/>
        </w:rPr>
        <w:t xml:space="preserve">f that is what the first respondent seeks to suggest by the </w:t>
      </w:r>
      <w:r w:rsidR="008F7306">
        <w:rPr>
          <w:rFonts w:ascii="Times New Roman" w:hAnsi="Times New Roman"/>
          <w:sz w:val="28"/>
          <w:szCs w:val="28"/>
        </w:rPr>
        <w:t>proposal</w:t>
      </w:r>
      <w:r w:rsidR="006D6870">
        <w:rPr>
          <w:rFonts w:ascii="Times New Roman" w:hAnsi="Times New Roman"/>
          <w:sz w:val="28"/>
          <w:szCs w:val="28"/>
        </w:rPr>
        <w:t xml:space="preserve"> that the dismissal was a “purported” one.</w:t>
      </w:r>
    </w:p>
    <w:p w14:paraId="0A6D6A76" w14:textId="77777777" w:rsidR="009946FB" w:rsidRPr="009946FB" w:rsidRDefault="009946FB" w:rsidP="00D46D76">
      <w:pPr>
        <w:pStyle w:val="ListParagraph"/>
        <w:spacing w:after="0" w:line="360" w:lineRule="auto"/>
        <w:rPr>
          <w:rFonts w:ascii="Times New Roman" w:hAnsi="Times New Roman"/>
          <w:sz w:val="28"/>
          <w:szCs w:val="28"/>
        </w:rPr>
      </w:pPr>
    </w:p>
    <w:p w14:paraId="2299DC7A" w14:textId="77777777" w:rsidR="006D6870" w:rsidRPr="009946FB" w:rsidRDefault="009946FB"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9946FB">
        <w:rPr>
          <w:rFonts w:ascii="Times New Roman" w:hAnsi="Times New Roman"/>
          <w:sz w:val="28"/>
          <w:szCs w:val="28"/>
        </w:rPr>
        <w:t xml:space="preserve"> </w:t>
      </w:r>
      <w:r>
        <w:rPr>
          <w:rFonts w:ascii="Times New Roman" w:hAnsi="Times New Roman"/>
          <w:sz w:val="28"/>
          <w:szCs w:val="28"/>
        </w:rPr>
        <w:t>The</w:t>
      </w:r>
      <w:r w:rsidRPr="006D6870">
        <w:rPr>
          <w:rFonts w:ascii="Times New Roman" w:hAnsi="Times New Roman"/>
          <w:sz w:val="28"/>
          <w:szCs w:val="28"/>
        </w:rPr>
        <w:t xml:space="preserve"> first respondent</w:t>
      </w:r>
      <w:r>
        <w:rPr>
          <w:rFonts w:ascii="Times New Roman" w:hAnsi="Times New Roman"/>
          <w:sz w:val="28"/>
          <w:szCs w:val="28"/>
        </w:rPr>
        <w:t xml:space="preserve"> has faintly</w:t>
      </w:r>
      <w:r w:rsidRPr="006D6870">
        <w:rPr>
          <w:rFonts w:ascii="Times New Roman" w:hAnsi="Times New Roman"/>
          <w:sz w:val="28"/>
          <w:szCs w:val="28"/>
        </w:rPr>
        <w:t xml:space="preserve"> suggest</w:t>
      </w:r>
      <w:r>
        <w:rPr>
          <w:rFonts w:ascii="Times New Roman" w:hAnsi="Times New Roman"/>
          <w:sz w:val="28"/>
          <w:szCs w:val="28"/>
        </w:rPr>
        <w:t>ed</w:t>
      </w:r>
      <w:r w:rsidRPr="006D6870">
        <w:rPr>
          <w:rFonts w:ascii="Times New Roman" w:hAnsi="Times New Roman"/>
          <w:sz w:val="28"/>
          <w:szCs w:val="28"/>
        </w:rPr>
        <w:t xml:space="preserve"> </w:t>
      </w:r>
      <w:r>
        <w:rPr>
          <w:rFonts w:ascii="Times New Roman" w:hAnsi="Times New Roman"/>
          <w:sz w:val="28"/>
          <w:szCs w:val="28"/>
        </w:rPr>
        <w:t>that</w:t>
      </w:r>
      <w:r w:rsidRPr="006D6870">
        <w:rPr>
          <w:rFonts w:ascii="Times New Roman" w:hAnsi="Times New Roman"/>
          <w:sz w:val="28"/>
          <w:szCs w:val="28"/>
        </w:rPr>
        <w:t xml:space="preserve"> this court should not conclude that there was a </w:t>
      </w:r>
      <w:r w:rsidRPr="008F7306">
        <w:rPr>
          <w:rFonts w:ascii="Times New Roman" w:hAnsi="Times New Roman"/>
          <w:i/>
          <w:iCs/>
          <w:sz w:val="28"/>
          <w:szCs w:val="28"/>
        </w:rPr>
        <w:t>valid</w:t>
      </w:r>
      <w:r w:rsidRPr="006D6870">
        <w:rPr>
          <w:rFonts w:ascii="Times New Roman" w:hAnsi="Times New Roman"/>
          <w:sz w:val="28"/>
          <w:szCs w:val="28"/>
        </w:rPr>
        <w:t xml:space="preserve"> termination of his services</w:t>
      </w:r>
      <w:r w:rsidR="00D6629A">
        <w:rPr>
          <w:rFonts w:ascii="Times New Roman" w:hAnsi="Times New Roman"/>
          <w:sz w:val="28"/>
          <w:szCs w:val="28"/>
        </w:rPr>
        <w:t xml:space="preserve">, without </w:t>
      </w:r>
      <w:r w:rsidR="00221F49">
        <w:rPr>
          <w:rFonts w:ascii="Times New Roman" w:hAnsi="Times New Roman"/>
          <w:sz w:val="28"/>
          <w:szCs w:val="28"/>
        </w:rPr>
        <w:t>explicitly</w:t>
      </w:r>
      <w:r w:rsidR="00D6629A">
        <w:rPr>
          <w:rFonts w:ascii="Times New Roman" w:hAnsi="Times New Roman"/>
          <w:sz w:val="28"/>
          <w:szCs w:val="28"/>
        </w:rPr>
        <w:t xml:space="preserve"> revealing why. </w:t>
      </w:r>
    </w:p>
    <w:p w14:paraId="03AC0339" w14:textId="77777777" w:rsidR="006D6870" w:rsidRPr="006D6870" w:rsidRDefault="006D6870" w:rsidP="00D46D76">
      <w:pPr>
        <w:pStyle w:val="ListParagraph"/>
        <w:spacing w:after="0" w:line="360" w:lineRule="auto"/>
        <w:rPr>
          <w:rFonts w:ascii="Times New Roman" w:hAnsi="Times New Roman"/>
          <w:b/>
          <w:sz w:val="28"/>
          <w:szCs w:val="28"/>
        </w:rPr>
      </w:pPr>
    </w:p>
    <w:p w14:paraId="79045F72" w14:textId="77777777" w:rsidR="006D6870" w:rsidRPr="008F07C4" w:rsidRDefault="00062F61"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C</w:t>
      </w:r>
      <w:r w:rsidR="006D6870" w:rsidRPr="00A913C9">
        <w:rPr>
          <w:rFonts w:ascii="Times New Roman" w:hAnsi="Times New Roman"/>
          <w:sz w:val="28"/>
          <w:szCs w:val="28"/>
        </w:rPr>
        <w:t>alling the termination a “purported dismissal”</w:t>
      </w:r>
      <w:r w:rsidR="006D6870">
        <w:rPr>
          <w:rFonts w:ascii="Times New Roman" w:hAnsi="Times New Roman"/>
          <w:sz w:val="28"/>
          <w:szCs w:val="28"/>
        </w:rPr>
        <w:t>, because it is subject to challenge</w:t>
      </w:r>
      <w:r w:rsidR="006D6870" w:rsidRPr="00A913C9">
        <w:rPr>
          <w:rFonts w:ascii="Times New Roman" w:hAnsi="Times New Roman"/>
          <w:sz w:val="28"/>
          <w:szCs w:val="28"/>
        </w:rPr>
        <w:t xml:space="preserve"> </w:t>
      </w:r>
      <w:r w:rsidR="002964C8">
        <w:rPr>
          <w:rFonts w:ascii="Times New Roman" w:hAnsi="Times New Roman"/>
          <w:sz w:val="28"/>
          <w:szCs w:val="28"/>
        </w:rPr>
        <w:t xml:space="preserve">(as frequently occurs with any dismissal) </w:t>
      </w:r>
      <w:r w:rsidR="006D6870" w:rsidRPr="00A913C9">
        <w:rPr>
          <w:rFonts w:ascii="Times New Roman" w:hAnsi="Times New Roman"/>
          <w:sz w:val="28"/>
          <w:szCs w:val="28"/>
        </w:rPr>
        <w:t>does not in my view change the premise that the first respondent’s employment was as a fact terminated.</w:t>
      </w:r>
      <w:r w:rsidR="009D30DC">
        <w:rPr>
          <w:rStyle w:val="FootnoteReference"/>
          <w:rFonts w:ascii="Times New Roman" w:hAnsi="Times New Roman"/>
          <w:sz w:val="28"/>
          <w:szCs w:val="28"/>
        </w:rPr>
        <w:footnoteReference w:id="29"/>
      </w:r>
      <w:r w:rsidR="006D6870" w:rsidRPr="00A913C9">
        <w:rPr>
          <w:rFonts w:ascii="Times New Roman" w:hAnsi="Times New Roman"/>
          <w:sz w:val="28"/>
          <w:szCs w:val="28"/>
        </w:rPr>
        <w:t xml:space="preserve">  Whether that dismissal was </w:t>
      </w:r>
      <w:r w:rsidR="0032403B">
        <w:rPr>
          <w:rFonts w:ascii="Times New Roman" w:hAnsi="Times New Roman"/>
          <w:sz w:val="28"/>
          <w:szCs w:val="28"/>
        </w:rPr>
        <w:t>fair</w:t>
      </w:r>
      <w:r w:rsidR="006D6870" w:rsidRPr="00A913C9">
        <w:rPr>
          <w:rFonts w:ascii="Times New Roman" w:hAnsi="Times New Roman"/>
          <w:sz w:val="28"/>
          <w:szCs w:val="28"/>
        </w:rPr>
        <w:t xml:space="preserve"> is a different enquiry to the one at hand.</w:t>
      </w:r>
      <w:r w:rsidR="009D30DC">
        <w:rPr>
          <w:rStyle w:val="FootnoteReference"/>
          <w:rFonts w:ascii="Times New Roman" w:hAnsi="Times New Roman"/>
          <w:sz w:val="28"/>
          <w:szCs w:val="28"/>
        </w:rPr>
        <w:footnoteReference w:id="30"/>
      </w:r>
      <w:r w:rsidR="006D6870" w:rsidRPr="00A913C9">
        <w:rPr>
          <w:rFonts w:ascii="Times New Roman" w:hAnsi="Times New Roman"/>
          <w:sz w:val="28"/>
          <w:szCs w:val="28"/>
        </w:rPr>
        <w:t xml:space="preserve">  </w:t>
      </w:r>
      <w:r w:rsidR="00221F49" w:rsidRPr="00A913C9">
        <w:rPr>
          <w:rFonts w:ascii="Times New Roman" w:hAnsi="Times New Roman"/>
          <w:sz w:val="28"/>
          <w:szCs w:val="28"/>
        </w:rPr>
        <w:t>Indeed,</w:t>
      </w:r>
      <w:r w:rsidR="006D6870" w:rsidRPr="00A913C9">
        <w:rPr>
          <w:rFonts w:ascii="Times New Roman" w:hAnsi="Times New Roman"/>
          <w:sz w:val="28"/>
          <w:szCs w:val="28"/>
        </w:rPr>
        <w:t xml:space="preserve"> every enquiry into the </w:t>
      </w:r>
      <w:r w:rsidR="00221F49">
        <w:rPr>
          <w:rFonts w:ascii="Times New Roman" w:hAnsi="Times New Roman"/>
          <w:sz w:val="28"/>
          <w:szCs w:val="28"/>
        </w:rPr>
        <w:t>fairness</w:t>
      </w:r>
      <w:r w:rsidR="006D6870" w:rsidRPr="00A913C9">
        <w:rPr>
          <w:rFonts w:ascii="Times New Roman" w:hAnsi="Times New Roman"/>
          <w:sz w:val="28"/>
          <w:szCs w:val="28"/>
        </w:rPr>
        <w:t xml:space="preserve"> of a dismissal</w:t>
      </w:r>
      <w:r w:rsidR="00221F49">
        <w:rPr>
          <w:rFonts w:ascii="Times New Roman" w:hAnsi="Times New Roman"/>
          <w:sz w:val="28"/>
          <w:szCs w:val="28"/>
        </w:rPr>
        <w:t xml:space="preserve"> (which is what the labour law dispensation concerns itself with in </w:t>
      </w:r>
      <w:r w:rsidR="00221F49" w:rsidRPr="00221F49">
        <w:rPr>
          <w:rFonts w:ascii="Times New Roman" w:hAnsi="Times New Roman"/>
          <w:i/>
          <w:iCs/>
          <w:sz w:val="28"/>
          <w:szCs w:val="28"/>
        </w:rPr>
        <w:t>all</w:t>
      </w:r>
      <w:r w:rsidR="00221F49">
        <w:rPr>
          <w:rFonts w:ascii="Times New Roman" w:hAnsi="Times New Roman"/>
          <w:sz w:val="28"/>
          <w:szCs w:val="28"/>
        </w:rPr>
        <w:t xml:space="preserve"> employment relationships)</w:t>
      </w:r>
      <w:r w:rsidR="006D6870" w:rsidRPr="00A913C9">
        <w:rPr>
          <w:rFonts w:ascii="Times New Roman" w:hAnsi="Times New Roman"/>
          <w:sz w:val="28"/>
          <w:szCs w:val="28"/>
        </w:rPr>
        <w:t xml:space="preserve"> begins with </w:t>
      </w:r>
      <w:r w:rsidR="007A3E89">
        <w:rPr>
          <w:rFonts w:ascii="Times New Roman" w:hAnsi="Times New Roman"/>
          <w:sz w:val="28"/>
          <w:szCs w:val="28"/>
        </w:rPr>
        <w:t xml:space="preserve">the </w:t>
      </w:r>
      <w:r w:rsidR="006D6870" w:rsidRPr="00A913C9">
        <w:rPr>
          <w:rFonts w:ascii="Times New Roman" w:hAnsi="Times New Roman"/>
          <w:sz w:val="28"/>
          <w:szCs w:val="28"/>
        </w:rPr>
        <w:t xml:space="preserve">necessary jurisdictional fact that his/her services were </w:t>
      </w:r>
      <w:r w:rsidR="00221F49">
        <w:rPr>
          <w:rFonts w:ascii="Times New Roman" w:hAnsi="Times New Roman"/>
          <w:sz w:val="28"/>
          <w:szCs w:val="28"/>
        </w:rPr>
        <w:t>as a</w:t>
      </w:r>
      <w:r w:rsidR="006D6870" w:rsidRPr="00A913C9">
        <w:rPr>
          <w:rFonts w:ascii="Times New Roman" w:hAnsi="Times New Roman"/>
          <w:sz w:val="28"/>
          <w:szCs w:val="28"/>
        </w:rPr>
        <w:t xml:space="preserve"> fact terminated and this indeed appears to me to be the very basis upon which the firs</w:t>
      </w:r>
      <w:r w:rsidR="00D76115">
        <w:rPr>
          <w:rFonts w:ascii="Times New Roman" w:hAnsi="Times New Roman"/>
          <w:sz w:val="28"/>
          <w:szCs w:val="28"/>
        </w:rPr>
        <w:t xml:space="preserve">t respondent </w:t>
      </w:r>
      <w:r w:rsidR="002964C8">
        <w:rPr>
          <w:rFonts w:ascii="Times New Roman" w:hAnsi="Times New Roman"/>
          <w:sz w:val="28"/>
          <w:szCs w:val="28"/>
        </w:rPr>
        <w:t xml:space="preserve">ultimately </w:t>
      </w:r>
      <w:r w:rsidR="00D76115">
        <w:rPr>
          <w:rFonts w:ascii="Times New Roman" w:hAnsi="Times New Roman"/>
          <w:sz w:val="28"/>
          <w:szCs w:val="28"/>
        </w:rPr>
        <w:t xml:space="preserve">sought to refer a </w:t>
      </w:r>
      <w:r w:rsidR="006D6870" w:rsidRPr="00A913C9">
        <w:rPr>
          <w:rFonts w:ascii="Times New Roman" w:hAnsi="Times New Roman"/>
          <w:sz w:val="28"/>
          <w:szCs w:val="28"/>
        </w:rPr>
        <w:t>dispute</w:t>
      </w:r>
      <w:r w:rsidR="00D76115">
        <w:rPr>
          <w:rFonts w:ascii="Times New Roman" w:hAnsi="Times New Roman"/>
          <w:sz w:val="28"/>
          <w:szCs w:val="28"/>
        </w:rPr>
        <w:t xml:space="preserve"> over his dismissal</w:t>
      </w:r>
      <w:r w:rsidR="006D6870" w:rsidRPr="00A913C9">
        <w:rPr>
          <w:rFonts w:ascii="Times New Roman" w:hAnsi="Times New Roman"/>
          <w:sz w:val="28"/>
          <w:szCs w:val="28"/>
        </w:rPr>
        <w:t xml:space="preserve"> to the Beth-Din</w:t>
      </w:r>
      <w:r w:rsidR="008F07C4">
        <w:rPr>
          <w:rFonts w:ascii="Times New Roman" w:hAnsi="Times New Roman"/>
          <w:sz w:val="28"/>
          <w:szCs w:val="28"/>
        </w:rPr>
        <w:t>, albeit months later.</w:t>
      </w:r>
    </w:p>
    <w:p w14:paraId="37CE8C07" w14:textId="77777777" w:rsidR="008F07C4" w:rsidRPr="00BB0DF9" w:rsidRDefault="006D6870" w:rsidP="00D46D76">
      <w:pPr>
        <w:pStyle w:val="ListParagraph"/>
        <w:spacing w:after="0" w:line="360" w:lineRule="auto"/>
        <w:rPr>
          <w:rFonts w:ascii="Times New Roman" w:hAnsi="Times New Roman"/>
          <w:b/>
          <w:sz w:val="28"/>
          <w:szCs w:val="28"/>
        </w:rPr>
      </w:pPr>
      <w:r w:rsidRPr="00A913C9">
        <w:rPr>
          <w:rFonts w:ascii="Times New Roman" w:hAnsi="Times New Roman"/>
          <w:sz w:val="28"/>
          <w:szCs w:val="28"/>
        </w:rPr>
        <w:lastRenderedPageBreak/>
        <w:t xml:space="preserve"> </w:t>
      </w:r>
    </w:p>
    <w:p w14:paraId="09DECCE0" w14:textId="77777777" w:rsidR="00D76115" w:rsidRPr="00D76115" w:rsidRDefault="008F07C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I am satisfied that whether wrong or right</w:t>
      </w:r>
      <w:r w:rsidR="00221F49">
        <w:rPr>
          <w:rFonts w:ascii="Times New Roman" w:hAnsi="Times New Roman"/>
          <w:sz w:val="28"/>
          <w:szCs w:val="28"/>
        </w:rPr>
        <w:t xml:space="preserve"> in the first respondent’s view</w:t>
      </w:r>
      <w:r>
        <w:rPr>
          <w:rFonts w:ascii="Times New Roman" w:hAnsi="Times New Roman"/>
          <w:sz w:val="28"/>
          <w:szCs w:val="28"/>
        </w:rPr>
        <w:t xml:space="preserve">, </w:t>
      </w:r>
      <w:r w:rsidR="00221F49">
        <w:rPr>
          <w:rFonts w:ascii="Times New Roman" w:hAnsi="Times New Roman"/>
          <w:sz w:val="28"/>
          <w:szCs w:val="28"/>
        </w:rPr>
        <w:t>whether timely</w:t>
      </w:r>
      <w:r w:rsidR="000B38ED">
        <w:rPr>
          <w:rFonts w:ascii="Times New Roman" w:hAnsi="Times New Roman"/>
          <w:sz w:val="28"/>
          <w:szCs w:val="28"/>
        </w:rPr>
        <w:t>,</w:t>
      </w:r>
      <w:r w:rsidR="00221F49">
        <w:rPr>
          <w:rFonts w:ascii="Times New Roman" w:hAnsi="Times New Roman"/>
          <w:sz w:val="28"/>
          <w:szCs w:val="28"/>
        </w:rPr>
        <w:t xml:space="preserve"> </w:t>
      </w:r>
      <w:r>
        <w:rPr>
          <w:rFonts w:ascii="Times New Roman" w:hAnsi="Times New Roman"/>
          <w:sz w:val="28"/>
          <w:szCs w:val="28"/>
        </w:rPr>
        <w:t xml:space="preserve">or whether the Congregation followed a fair procedure, or was properly constituted when it dismissed </w:t>
      </w:r>
      <w:r w:rsidR="000B38ED">
        <w:rPr>
          <w:rFonts w:ascii="Times New Roman" w:hAnsi="Times New Roman"/>
          <w:sz w:val="28"/>
          <w:szCs w:val="28"/>
        </w:rPr>
        <w:t>him</w:t>
      </w:r>
      <w:r>
        <w:rPr>
          <w:rFonts w:ascii="Times New Roman" w:hAnsi="Times New Roman"/>
          <w:sz w:val="28"/>
          <w:szCs w:val="28"/>
        </w:rPr>
        <w:t xml:space="preserve"> from its employ, the respondents can hardly wish away the fact that the first respondent’s services were, as a fact, terminated on 3 February 2020</w:t>
      </w:r>
      <w:r w:rsidR="000B38ED">
        <w:rPr>
          <w:rFonts w:ascii="Times New Roman" w:hAnsi="Times New Roman"/>
          <w:sz w:val="28"/>
          <w:szCs w:val="28"/>
        </w:rPr>
        <w:t xml:space="preserve"> upending their contractual entitlement to remain in occupation of the property.</w:t>
      </w:r>
    </w:p>
    <w:p w14:paraId="4366692B" w14:textId="77777777" w:rsidR="00D76115" w:rsidRPr="00D76115" w:rsidRDefault="00D76115" w:rsidP="00D46D76">
      <w:pPr>
        <w:pStyle w:val="ListParagraph"/>
        <w:spacing w:after="0" w:line="360" w:lineRule="auto"/>
        <w:rPr>
          <w:rFonts w:ascii="Times New Roman" w:hAnsi="Times New Roman"/>
          <w:sz w:val="28"/>
          <w:szCs w:val="28"/>
        </w:rPr>
      </w:pPr>
    </w:p>
    <w:p w14:paraId="4ADD6E83" w14:textId="77777777" w:rsidR="008F07C4" w:rsidRPr="00BB0DF9" w:rsidRDefault="008F07C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In the result I am satisfied that the applicant has the</w:t>
      </w:r>
      <w:r w:rsidR="00D76115">
        <w:rPr>
          <w:rFonts w:ascii="Times New Roman" w:hAnsi="Times New Roman"/>
          <w:sz w:val="28"/>
          <w:szCs w:val="28"/>
        </w:rPr>
        <w:t xml:space="preserve"> met</w:t>
      </w:r>
      <w:r>
        <w:rPr>
          <w:rFonts w:ascii="Times New Roman" w:hAnsi="Times New Roman"/>
          <w:sz w:val="28"/>
          <w:szCs w:val="28"/>
        </w:rPr>
        <w:t xml:space="preserve"> onus which it bears to prove the termination of the </w:t>
      </w:r>
      <w:r w:rsidR="0080756F">
        <w:rPr>
          <w:rFonts w:ascii="Times New Roman" w:hAnsi="Times New Roman"/>
          <w:sz w:val="28"/>
          <w:szCs w:val="28"/>
        </w:rPr>
        <w:t xml:space="preserve">contractual </w:t>
      </w:r>
      <w:r>
        <w:rPr>
          <w:rFonts w:ascii="Times New Roman" w:hAnsi="Times New Roman"/>
          <w:sz w:val="28"/>
          <w:szCs w:val="28"/>
        </w:rPr>
        <w:t>right to possession which the</w:t>
      </w:r>
      <w:r w:rsidR="00062F61">
        <w:rPr>
          <w:rFonts w:ascii="Times New Roman" w:hAnsi="Times New Roman"/>
          <w:sz w:val="28"/>
          <w:szCs w:val="28"/>
        </w:rPr>
        <w:t xml:space="preserve"> first</w:t>
      </w:r>
      <w:r>
        <w:rPr>
          <w:rFonts w:ascii="Times New Roman" w:hAnsi="Times New Roman"/>
          <w:sz w:val="28"/>
          <w:szCs w:val="28"/>
        </w:rPr>
        <w:t xml:space="preserve"> respondent would have had</w:t>
      </w:r>
      <w:r w:rsidR="00561F2C">
        <w:rPr>
          <w:rFonts w:ascii="Times New Roman" w:hAnsi="Times New Roman"/>
          <w:sz w:val="28"/>
          <w:szCs w:val="28"/>
        </w:rPr>
        <w:t xml:space="preserve"> but for the fact that he was dismissed from the applicant’s employ</w:t>
      </w:r>
      <w:r>
        <w:rPr>
          <w:rFonts w:ascii="Times New Roman" w:hAnsi="Times New Roman"/>
          <w:sz w:val="28"/>
          <w:szCs w:val="28"/>
        </w:rPr>
        <w:t>.</w:t>
      </w:r>
    </w:p>
    <w:p w14:paraId="2BE573E7" w14:textId="77777777" w:rsidR="008F07C4" w:rsidRPr="00BB0DF9" w:rsidRDefault="008F07C4" w:rsidP="00D46D76">
      <w:pPr>
        <w:pStyle w:val="ListParagraph"/>
        <w:spacing w:after="0" w:line="360" w:lineRule="auto"/>
        <w:rPr>
          <w:rFonts w:ascii="Times New Roman" w:hAnsi="Times New Roman"/>
          <w:b/>
          <w:sz w:val="28"/>
          <w:szCs w:val="28"/>
        </w:rPr>
      </w:pPr>
    </w:p>
    <w:p w14:paraId="1C9C365E" w14:textId="77777777" w:rsidR="008F07C4" w:rsidRPr="00BB0DF9" w:rsidRDefault="008F07C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This then brings the respondents within the purview of the PIE Act as “unlawful occupiers”, entitling them to the benefit and prot</w:t>
      </w:r>
      <w:r w:rsidR="00062F61">
        <w:rPr>
          <w:rFonts w:ascii="Times New Roman" w:hAnsi="Times New Roman"/>
          <w:sz w:val="28"/>
          <w:szCs w:val="28"/>
        </w:rPr>
        <w:t xml:space="preserve">ection of the provisions of the </w:t>
      </w:r>
      <w:r w:rsidR="002964C8">
        <w:rPr>
          <w:rFonts w:ascii="Times New Roman" w:hAnsi="Times New Roman"/>
          <w:sz w:val="28"/>
          <w:szCs w:val="28"/>
        </w:rPr>
        <w:t>A</w:t>
      </w:r>
      <w:r w:rsidR="00062F61">
        <w:rPr>
          <w:rFonts w:ascii="Times New Roman" w:hAnsi="Times New Roman"/>
          <w:sz w:val="28"/>
          <w:szCs w:val="28"/>
        </w:rPr>
        <w:t>ct.</w:t>
      </w:r>
      <w:r>
        <w:rPr>
          <w:rFonts w:ascii="Times New Roman" w:hAnsi="Times New Roman"/>
          <w:sz w:val="28"/>
          <w:szCs w:val="28"/>
        </w:rPr>
        <w:t xml:space="preserve">  </w:t>
      </w:r>
      <w:r w:rsidR="002964C8">
        <w:rPr>
          <w:rFonts w:ascii="Times New Roman" w:hAnsi="Times New Roman"/>
          <w:sz w:val="28"/>
          <w:szCs w:val="28"/>
        </w:rPr>
        <w:t>Indeed,</w:t>
      </w:r>
      <w:r>
        <w:rPr>
          <w:rFonts w:ascii="Times New Roman" w:hAnsi="Times New Roman"/>
          <w:sz w:val="28"/>
          <w:szCs w:val="28"/>
        </w:rPr>
        <w:t xml:space="preserve"> it seems counter-intuitive to suggest that the</w:t>
      </w:r>
      <w:r w:rsidR="00561F2C">
        <w:rPr>
          <w:rFonts w:ascii="Times New Roman" w:hAnsi="Times New Roman"/>
          <w:sz w:val="28"/>
          <w:szCs w:val="28"/>
        </w:rPr>
        <w:t xml:space="preserve"> </w:t>
      </w:r>
      <w:r w:rsidR="0032403B">
        <w:rPr>
          <w:rFonts w:ascii="Times New Roman" w:hAnsi="Times New Roman"/>
          <w:sz w:val="28"/>
          <w:szCs w:val="28"/>
        </w:rPr>
        <w:t>A</w:t>
      </w:r>
      <w:r w:rsidR="00561F2C">
        <w:rPr>
          <w:rFonts w:ascii="Times New Roman" w:hAnsi="Times New Roman"/>
          <w:sz w:val="28"/>
          <w:szCs w:val="28"/>
        </w:rPr>
        <w:t xml:space="preserve">ct’s </w:t>
      </w:r>
      <w:r>
        <w:rPr>
          <w:rFonts w:ascii="Times New Roman" w:hAnsi="Times New Roman"/>
          <w:sz w:val="28"/>
          <w:szCs w:val="28"/>
        </w:rPr>
        <w:t>provisions do not apply to their peculiar situation.</w:t>
      </w:r>
    </w:p>
    <w:p w14:paraId="2FDE78A2" w14:textId="77777777" w:rsidR="008F07C4" w:rsidRPr="008F07C4" w:rsidRDefault="008F07C4" w:rsidP="00D46D76">
      <w:pPr>
        <w:pStyle w:val="ListParagraph"/>
        <w:tabs>
          <w:tab w:val="left" w:pos="0"/>
        </w:tabs>
        <w:spacing w:after="0" w:line="360" w:lineRule="auto"/>
        <w:ind w:left="0"/>
        <w:rPr>
          <w:rFonts w:ascii="Times New Roman" w:hAnsi="Times New Roman"/>
          <w:b/>
          <w:sz w:val="28"/>
          <w:szCs w:val="28"/>
        </w:rPr>
      </w:pPr>
    </w:p>
    <w:p w14:paraId="04C6B972" w14:textId="77777777" w:rsidR="00875331" w:rsidRPr="00875331" w:rsidRDefault="008F07C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To bring it back to the PIE Act’s definition of “unlawful occupier” the respondents</w:t>
      </w:r>
      <w:r w:rsidR="00062F61">
        <w:rPr>
          <w:rFonts w:ascii="Times New Roman" w:hAnsi="Times New Roman"/>
          <w:sz w:val="28"/>
          <w:szCs w:val="28"/>
        </w:rPr>
        <w:t>’</w:t>
      </w:r>
      <w:r>
        <w:rPr>
          <w:rFonts w:ascii="Times New Roman" w:hAnsi="Times New Roman"/>
          <w:sz w:val="28"/>
          <w:szCs w:val="28"/>
        </w:rPr>
        <w:t xml:space="preserve"> express consent </w:t>
      </w:r>
      <w:r w:rsidR="0080756F">
        <w:rPr>
          <w:rFonts w:ascii="Times New Roman" w:hAnsi="Times New Roman"/>
          <w:sz w:val="28"/>
          <w:szCs w:val="28"/>
        </w:rPr>
        <w:t xml:space="preserve">initially afforded to them by the applicant </w:t>
      </w:r>
      <w:r>
        <w:rPr>
          <w:rFonts w:ascii="Times New Roman" w:hAnsi="Times New Roman"/>
          <w:sz w:val="28"/>
          <w:szCs w:val="28"/>
        </w:rPr>
        <w:t xml:space="preserve">to occupy the property has been revoked.   </w:t>
      </w:r>
    </w:p>
    <w:p w14:paraId="56C4EEAE" w14:textId="77777777" w:rsidR="00875331" w:rsidRPr="00875331" w:rsidRDefault="00875331" w:rsidP="00875331">
      <w:pPr>
        <w:pStyle w:val="ListParagraph"/>
        <w:rPr>
          <w:rFonts w:ascii="Times New Roman" w:hAnsi="Times New Roman"/>
          <w:sz w:val="28"/>
          <w:szCs w:val="28"/>
        </w:rPr>
      </w:pPr>
    </w:p>
    <w:p w14:paraId="5C055FC0" w14:textId="77777777" w:rsidR="002964C8" w:rsidRPr="002964C8" w:rsidRDefault="008F07C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It has further </w:t>
      </w:r>
      <w:r w:rsidR="00B42401" w:rsidRPr="000A41F9">
        <w:rPr>
          <w:rFonts w:ascii="Times New Roman" w:hAnsi="Times New Roman"/>
          <w:sz w:val="28"/>
          <w:szCs w:val="28"/>
        </w:rPr>
        <w:t>not been suggested on</w:t>
      </w:r>
      <w:r w:rsidR="00062F61">
        <w:rPr>
          <w:rFonts w:ascii="Times New Roman" w:hAnsi="Times New Roman"/>
          <w:sz w:val="28"/>
          <w:szCs w:val="28"/>
        </w:rPr>
        <w:t xml:space="preserve"> their</w:t>
      </w:r>
      <w:r w:rsidR="00B42401" w:rsidRPr="000A41F9">
        <w:rPr>
          <w:rFonts w:ascii="Times New Roman" w:hAnsi="Times New Roman"/>
          <w:sz w:val="28"/>
          <w:szCs w:val="28"/>
        </w:rPr>
        <w:t xml:space="preserve"> behalf that any </w:t>
      </w:r>
      <w:r w:rsidR="00DC7177" w:rsidRPr="000A41F9">
        <w:rPr>
          <w:rFonts w:ascii="Times New Roman" w:hAnsi="Times New Roman"/>
          <w:sz w:val="28"/>
          <w:szCs w:val="28"/>
        </w:rPr>
        <w:t>“</w:t>
      </w:r>
      <w:r w:rsidR="00B42401" w:rsidRPr="000A41F9">
        <w:rPr>
          <w:rFonts w:ascii="Times New Roman" w:hAnsi="Times New Roman"/>
          <w:sz w:val="28"/>
          <w:szCs w:val="28"/>
        </w:rPr>
        <w:t>tacit consent</w:t>
      </w:r>
      <w:r w:rsidR="00DC7177" w:rsidRPr="000A41F9">
        <w:rPr>
          <w:rFonts w:ascii="Times New Roman" w:hAnsi="Times New Roman"/>
          <w:sz w:val="28"/>
          <w:szCs w:val="28"/>
        </w:rPr>
        <w:t>”</w:t>
      </w:r>
      <w:r w:rsidR="000A41F9" w:rsidRPr="000A41F9">
        <w:rPr>
          <w:rFonts w:ascii="Times New Roman" w:hAnsi="Times New Roman"/>
          <w:sz w:val="28"/>
          <w:szCs w:val="28"/>
        </w:rPr>
        <w:t xml:space="preserve"> to </w:t>
      </w:r>
      <w:r>
        <w:rPr>
          <w:rFonts w:ascii="Times New Roman" w:hAnsi="Times New Roman"/>
          <w:sz w:val="28"/>
          <w:szCs w:val="28"/>
        </w:rPr>
        <w:t>their continued occupation is at play</w:t>
      </w:r>
      <w:r w:rsidR="000A41F9" w:rsidRPr="000A41F9">
        <w:rPr>
          <w:rFonts w:ascii="Times New Roman" w:hAnsi="Times New Roman"/>
          <w:sz w:val="28"/>
          <w:szCs w:val="28"/>
        </w:rPr>
        <w:t>.</w:t>
      </w:r>
    </w:p>
    <w:p w14:paraId="55374115" w14:textId="77777777" w:rsidR="002964C8" w:rsidRPr="002964C8" w:rsidRDefault="002964C8" w:rsidP="00D46D76">
      <w:pPr>
        <w:pStyle w:val="ListParagraph"/>
        <w:spacing w:after="0" w:line="360" w:lineRule="auto"/>
        <w:rPr>
          <w:rFonts w:ascii="Times New Roman" w:hAnsi="Times New Roman"/>
          <w:sz w:val="28"/>
          <w:szCs w:val="28"/>
        </w:rPr>
      </w:pPr>
    </w:p>
    <w:p w14:paraId="43C8B7E4" w14:textId="77777777" w:rsidR="000A41F9" w:rsidRPr="008F07C4" w:rsidRDefault="000A41F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0A41F9">
        <w:rPr>
          <w:rFonts w:ascii="Times New Roman" w:hAnsi="Times New Roman"/>
          <w:sz w:val="28"/>
          <w:szCs w:val="28"/>
        </w:rPr>
        <w:t xml:space="preserve"> </w:t>
      </w:r>
      <w:r w:rsidR="002964C8">
        <w:rPr>
          <w:rFonts w:ascii="Times New Roman" w:hAnsi="Times New Roman"/>
          <w:sz w:val="28"/>
          <w:szCs w:val="28"/>
        </w:rPr>
        <w:t>It was finally contended</w:t>
      </w:r>
      <w:r w:rsidRPr="008F07C4">
        <w:rPr>
          <w:rFonts w:ascii="Times New Roman" w:hAnsi="Times New Roman"/>
          <w:sz w:val="28"/>
          <w:szCs w:val="28"/>
        </w:rPr>
        <w:t xml:space="preserve"> </w:t>
      </w:r>
      <w:r w:rsidR="008F07C4">
        <w:rPr>
          <w:rFonts w:ascii="Times New Roman" w:hAnsi="Times New Roman"/>
          <w:sz w:val="28"/>
          <w:szCs w:val="28"/>
        </w:rPr>
        <w:t xml:space="preserve">on </w:t>
      </w:r>
      <w:r w:rsidR="002964C8">
        <w:rPr>
          <w:rFonts w:ascii="Times New Roman" w:hAnsi="Times New Roman"/>
          <w:sz w:val="28"/>
          <w:szCs w:val="28"/>
        </w:rPr>
        <w:t xml:space="preserve">their </w:t>
      </w:r>
      <w:r w:rsidR="008F07C4">
        <w:rPr>
          <w:rFonts w:ascii="Times New Roman" w:hAnsi="Times New Roman"/>
          <w:sz w:val="28"/>
          <w:szCs w:val="28"/>
        </w:rPr>
        <w:t xml:space="preserve">behalf </w:t>
      </w:r>
      <w:r w:rsidR="002964C8">
        <w:rPr>
          <w:rFonts w:ascii="Times New Roman" w:hAnsi="Times New Roman"/>
          <w:sz w:val="28"/>
          <w:szCs w:val="28"/>
        </w:rPr>
        <w:t xml:space="preserve">that </w:t>
      </w:r>
      <w:r w:rsidRPr="008F07C4">
        <w:rPr>
          <w:rFonts w:ascii="Times New Roman" w:hAnsi="Times New Roman"/>
          <w:sz w:val="28"/>
          <w:szCs w:val="28"/>
        </w:rPr>
        <w:t xml:space="preserve">they </w:t>
      </w:r>
      <w:r w:rsidR="008F07C4">
        <w:rPr>
          <w:rFonts w:ascii="Times New Roman" w:hAnsi="Times New Roman"/>
          <w:sz w:val="28"/>
          <w:szCs w:val="28"/>
        </w:rPr>
        <w:t xml:space="preserve">may </w:t>
      </w:r>
      <w:r w:rsidRPr="008F07C4">
        <w:rPr>
          <w:rFonts w:ascii="Times New Roman" w:hAnsi="Times New Roman"/>
          <w:sz w:val="28"/>
          <w:szCs w:val="28"/>
        </w:rPr>
        <w:t xml:space="preserve">have a “right in law to occupy” because the </w:t>
      </w:r>
      <w:r w:rsidR="00BF7C24">
        <w:rPr>
          <w:rFonts w:ascii="Times New Roman" w:hAnsi="Times New Roman"/>
          <w:sz w:val="28"/>
          <w:szCs w:val="28"/>
        </w:rPr>
        <w:t xml:space="preserve">final </w:t>
      </w:r>
      <w:r w:rsidRPr="008F07C4">
        <w:rPr>
          <w:rFonts w:ascii="Times New Roman" w:hAnsi="Times New Roman"/>
          <w:sz w:val="28"/>
          <w:szCs w:val="28"/>
        </w:rPr>
        <w:t xml:space="preserve">determination of a labour dispute is a </w:t>
      </w:r>
      <w:r w:rsidRPr="0080756F">
        <w:rPr>
          <w:rFonts w:ascii="Times New Roman" w:hAnsi="Times New Roman"/>
          <w:i/>
          <w:iCs/>
          <w:sz w:val="28"/>
          <w:szCs w:val="28"/>
        </w:rPr>
        <w:t>pre-condition</w:t>
      </w:r>
      <w:r w:rsidRPr="008F07C4">
        <w:rPr>
          <w:rFonts w:ascii="Times New Roman" w:hAnsi="Times New Roman"/>
          <w:sz w:val="28"/>
          <w:szCs w:val="28"/>
        </w:rPr>
        <w:t xml:space="preserve"> for the termination of a right of residenc</w:t>
      </w:r>
      <w:r w:rsidR="00BF7C24">
        <w:rPr>
          <w:rFonts w:ascii="Times New Roman" w:hAnsi="Times New Roman"/>
          <w:sz w:val="28"/>
          <w:szCs w:val="28"/>
        </w:rPr>
        <w:t>y</w:t>
      </w:r>
      <w:r w:rsidRPr="008F07C4">
        <w:rPr>
          <w:rFonts w:ascii="Times New Roman" w:hAnsi="Times New Roman"/>
          <w:sz w:val="28"/>
          <w:szCs w:val="28"/>
        </w:rPr>
        <w:t xml:space="preserve"> subs</w:t>
      </w:r>
      <w:r w:rsidR="00B230DB">
        <w:rPr>
          <w:rFonts w:ascii="Times New Roman" w:hAnsi="Times New Roman"/>
          <w:sz w:val="28"/>
          <w:szCs w:val="28"/>
        </w:rPr>
        <w:t>idiary to such agreement</w:t>
      </w:r>
      <w:r w:rsidRPr="008F07C4">
        <w:rPr>
          <w:rFonts w:ascii="Times New Roman" w:hAnsi="Times New Roman"/>
          <w:sz w:val="28"/>
          <w:szCs w:val="28"/>
        </w:rPr>
        <w:t xml:space="preserve">.  </w:t>
      </w:r>
    </w:p>
    <w:p w14:paraId="064389F0" w14:textId="77777777" w:rsidR="000A41F9" w:rsidRPr="000A41F9" w:rsidRDefault="000A41F9" w:rsidP="00D46D76">
      <w:pPr>
        <w:pStyle w:val="ListParagraph"/>
        <w:spacing w:after="0" w:line="360" w:lineRule="auto"/>
        <w:rPr>
          <w:rFonts w:ascii="Times New Roman" w:hAnsi="Times New Roman"/>
          <w:sz w:val="28"/>
          <w:szCs w:val="28"/>
        </w:rPr>
      </w:pPr>
    </w:p>
    <w:p w14:paraId="680F6313" w14:textId="77777777" w:rsidR="0049178F" w:rsidRPr="0006044D" w:rsidRDefault="00B230DB" w:rsidP="00C83939">
      <w:pPr>
        <w:pStyle w:val="ListParagraph"/>
        <w:numPr>
          <w:ilvl w:val="0"/>
          <w:numId w:val="2"/>
        </w:numPr>
        <w:tabs>
          <w:tab w:val="left" w:pos="0"/>
        </w:tabs>
        <w:spacing w:after="0" w:line="360" w:lineRule="auto"/>
        <w:ind w:left="0" w:firstLine="0"/>
        <w:rPr>
          <w:rFonts w:ascii="Times New Roman" w:hAnsi="Times New Roman"/>
          <w:b/>
          <w:sz w:val="28"/>
          <w:szCs w:val="28"/>
        </w:rPr>
      </w:pPr>
      <w:r w:rsidRPr="009D3763">
        <w:rPr>
          <w:rFonts w:ascii="Times New Roman" w:hAnsi="Times New Roman"/>
          <w:sz w:val="28"/>
          <w:szCs w:val="28"/>
        </w:rPr>
        <w:lastRenderedPageBreak/>
        <w:t>I</w:t>
      </w:r>
      <w:r w:rsidR="00062F61" w:rsidRPr="009D3763">
        <w:rPr>
          <w:rFonts w:ascii="Times New Roman" w:hAnsi="Times New Roman"/>
          <w:sz w:val="28"/>
          <w:szCs w:val="28"/>
        </w:rPr>
        <w:t xml:space="preserve">n this </w:t>
      </w:r>
      <w:r w:rsidR="00BF7C24" w:rsidRPr="009D3763">
        <w:rPr>
          <w:rFonts w:ascii="Times New Roman" w:hAnsi="Times New Roman"/>
          <w:sz w:val="28"/>
          <w:szCs w:val="28"/>
        </w:rPr>
        <w:t xml:space="preserve">respect, I </w:t>
      </w:r>
      <w:r w:rsidRPr="009D3763">
        <w:rPr>
          <w:rFonts w:ascii="Times New Roman" w:hAnsi="Times New Roman"/>
          <w:sz w:val="28"/>
          <w:szCs w:val="28"/>
        </w:rPr>
        <w:t xml:space="preserve">was referred </w:t>
      </w:r>
      <w:r w:rsidR="00D84CEB" w:rsidRPr="009D3763">
        <w:rPr>
          <w:rFonts w:ascii="Times New Roman" w:hAnsi="Times New Roman"/>
          <w:sz w:val="28"/>
          <w:szCs w:val="28"/>
        </w:rPr>
        <w:t>to Snyers v Mgro Properties (Pty) Ltd</w:t>
      </w:r>
      <w:r w:rsidR="00D84CEB" w:rsidRPr="009D3763">
        <w:rPr>
          <w:rStyle w:val="FootnoteReference"/>
          <w:rFonts w:ascii="Times New Roman" w:hAnsi="Times New Roman"/>
          <w:sz w:val="28"/>
          <w:szCs w:val="28"/>
        </w:rPr>
        <w:footnoteReference w:id="31"/>
      </w:r>
      <w:r w:rsidR="00D84CEB" w:rsidRPr="009D3763">
        <w:rPr>
          <w:rFonts w:ascii="Times New Roman" w:hAnsi="Times New Roman"/>
          <w:sz w:val="28"/>
          <w:szCs w:val="28"/>
        </w:rPr>
        <w:t xml:space="preserve"> in </w:t>
      </w:r>
      <w:r w:rsidR="00D84CEB" w:rsidRPr="0006044D">
        <w:rPr>
          <w:rFonts w:ascii="Times New Roman" w:hAnsi="Times New Roman"/>
          <w:sz w:val="28"/>
          <w:szCs w:val="28"/>
        </w:rPr>
        <w:t xml:space="preserve">which the court held that </w:t>
      </w:r>
      <w:r w:rsidR="00F336E2" w:rsidRPr="0006044D">
        <w:rPr>
          <w:rFonts w:ascii="Times New Roman" w:hAnsi="Times New Roman"/>
          <w:sz w:val="28"/>
          <w:szCs w:val="28"/>
        </w:rPr>
        <w:t>the determination of a disputed labour matter</w:t>
      </w:r>
      <w:r w:rsidR="009D3763">
        <w:rPr>
          <w:rStyle w:val="FootnoteReference"/>
          <w:rFonts w:ascii="Times New Roman" w:hAnsi="Times New Roman"/>
          <w:sz w:val="28"/>
          <w:szCs w:val="28"/>
        </w:rPr>
        <w:footnoteReference w:id="32"/>
      </w:r>
      <w:r w:rsidR="00F336E2" w:rsidRPr="0006044D">
        <w:rPr>
          <w:rFonts w:ascii="Times New Roman" w:hAnsi="Times New Roman"/>
          <w:sz w:val="28"/>
          <w:szCs w:val="28"/>
        </w:rPr>
        <w:t xml:space="preserve"> is a precondition for terminating the occupier’s right of residence under </w:t>
      </w:r>
      <w:r w:rsidR="009D3763" w:rsidRPr="0006044D">
        <w:rPr>
          <w:rFonts w:ascii="Times New Roman" w:hAnsi="Times New Roman"/>
          <w:sz w:val="28"/>
          <w:szCs w:val="28"/>
        </w:rPr>
        <w:t>section 8</w:t>
      </w:r>
      <w:r w:rsidR="00F336E2" w:rsidRPr="0006044D">
        <w:rPr>
          <w:rFonts w:ascii="Times New Roman" w:hAnsi="Times New Roman"/>
          <w:sz w:val="28"/>
          <w:szCs w:val="28"/>
        </w:rPr>
        <w:t xml:space="preserve"> of</w:t>
      </w:r>
      <w:r w:rsidR="00D84CEB" w:rsidRPr="0006044D">
        <w:rPr>
          <w:rFonts w:ascii="Times New Roman" w:hAnsi="Times New Roman"/>
          <w:sz w:val="28"/>
          <w:szCs w:val="28"/>
        </w:rPr>
        <w:t xml:space="preserve"> the Extension of Security of Tenure Act, No. 62 of 1997 (“ESTA”)</w:t>
      </w:r>
      <w:r w:rsidR="009D3763" w:rsidRPr="0006044D">
        <w:rPr>
          <w:rFonts w:ascii="Times New Roman" w:hAnsi="Times New Roman"/>
          <w:sz w:val="28"/>
          <w:szCs w:val="28"/>
        </w:rPr>
        <w:t>,</w:t>
      </w:r>
      <w:r w:rsidR="00D84CEB" w:rsidRPr="0006044D">
        <w:rPr>
          <w:rFonts w:ascii="Times New Roman" w:hAnsi="Times New Roman"/>
          <w:sz w:val="28"/>
          <w:szCs w:val="28"/>
        </w:rPr>
        <w:t xml:space="preserve"> </w:t>
      </w:r>
      <w:r w:rsidR="00F336E2" w:rsidRPr="0006044D">
        <w:rPr>
          <w:rFonts w:ascii="Times New Roman" w:hAnsi="Times New Roman"/>
          <w:sz w:val="28"/>
          <w:szCs w:val="28"/>
        </w:rPr>
        <w:t xml:space="preserve">which </w:t>
      </w:r>
      <w:r w:rsidR="009D3763" w:rsidRPr="0006044D">
        <w:rPr>
          <w:rFonts w:ascii="Times New Roman" w:hAnsi="Times New Roman"/>
          <w:sz w:val="28"/>
          <w:szCs w:val="28"/>
        </w:rPr>
        <w:t xml:space="preserve">Act’s provisions </w:t>
      </w:r>
      <w:r w:rsidR="00F336E2" w:rsidRPr="0006044D">
        <w:rPr>
          <w:rFonts w:ascii="Times New Roman" w:hAnsi="Times New Roman"/>
          <w:sz w:val="28"/>
          <w:szCs w:val="28"/>
        </w:rPr>
        <w:t xml:space="preserve">were applicable to that occupier’s entitlement to resist the </w:t>
      </w:r>
      <w:r w:rsidR="00853D55" w:rsidRPr="0006044D">
        <w:rPr>
          <w:rFonts w:ascii="Times New Roman" w:hAnsi="Times New Roman"/>
          <w:sz w:val="28"/>
          <w:szCs w:val="28"/>
        </w:rPr>
        <w:t>employee</w:t>
      </w:r>
      <w:r w:rsidR="00F336E2" w:rsidRPr="0006044D">
        <w:rPr>
          <w:rFonts w:ascii="Times New Roman" w:hAnsi="Times New Roman"/>
          <w:sz w:val="28"/>
          <w:szCs w:val="28"/>
        </w:rPr>
        <w:t xml:space="preserve"> owner’s claim </w:t>
      </w:r>
      <w:r w:rsidR="00853D55" w:rsidRPr="0006044D">
        <w:rPr>
          <w:rFonts w:ascii="Times New Roman" w:hAnsi="Times New Roman"/>
          <w:sz w:val="28"/>
          <w:szCs w:val="28"/>
        </w:rPr>
        <w:t>to vacate premises occupied by him which he had acquired tenancy</w:t>
      </w:r>
      <w:r w:rsidR="0006044D">
        <w:rPr>
          <w:rFonts w:ascii="Times New Roman" w:hAnsi="Times New Roman"/>
          <w:sz w:val="28"/>
          <w:szCs w:val="28"/>
        </w:rPr>
        <w:t xml:space="preserve"> of </w:t>
      </w:r>
      <w:r w:rsidR="00853D55" w:rsidRPr="0006044D">
        <w:rPr>
          <w:rFonts w:ascii="Times New Roman" w:hAnsi="Times New Roman"/>
          <w:sz w:val="28"/>
          <w:szCs w:val="28"/>
        </w:rPr>
        <w:t xml:space="preserve">under a housing allowance </w:t>
      </w:r>
      <w:r w:rsidR="0006044D">
        <w:rPr>
          <w:rFonts w:ascii="Times New Roman" w:hAnsi="Times New Roman"/>
          <w:sz w:val="28"/>
          <w:szCs w:val="28"/>
        </w:rPr>
        <w:t>stemming</w:t>
      </w:r>
      <w:r w:rsidR="00853D55" w:rsidRPr="0006044D">
        <w:rPr>
          <w:rFonts w:ascii="Times New Roman" w:hAnsi="Times New Roman"/>
          <w:sz w:val="28"/>
          <w:szCs w:val="28"/>
        </w:rPr>
        <w:t xml:space="preserve"> from his employment</w:t>
      </w:r>
      <w:r w:rsidR="00F336E2" w:rsidRPr="0006044D">
        <w:rPr>
          <w:rFonts w:ascii="Times New Roman" w:hAnsi="Times New Roman"/>
          <w:sz w:val="28"/>
          <w:szCs w:val="28"/>
        </w:rPr>
        <w:t xml:space="preserve"> </w:t>
      </w:r>
      <w:r w:rsidR="00853D55" w:rsidRPr="0006044D">
        <w:rPr>
          <w:rFonts w:ascii="Times New Roman" w:hAnsi="Times New Roman"/>
          <w:sz w:val="28"/>
          <w:szCs w:val="28"/>
        </w:rPr>
        <w:t>agreement.</w:t>
      </w:r>
      <w:r w:rsidR="00D84CEB" w:rsidRPr="0006044D">
        <w:rPr>
          <w:rFonts w:ascii="Times New Roman" w:hAnsi="Times New Roman"/>
          <w:sz w:val="28"/>
          <w:szCs w:val="28"/>
        </w:rPr>
        <w:t xml:space="preserve">  Although counsel </w:t>
      </w:r>
      <w:r w:rsidR="00561F2C" w:rsidRPr="0006044D">
        <w:rPr>
          <w:rFonts w:ascii="Times New Roman" w:hAnsi="Times New Roman"/>
          <w:sz w:val="28"/>
          <w:szCs w:val="28"/>
        </w:rPr>
        <w:t xml:space="preserve">for the respondents </w:t>
      </w:r>
      <w:r w:rsidR="00432EC7" w:rsidRPr="0006044D">
        <w:rPr>
          <w:rFonts w:ascii="Times New Roman" w:hAnsi="Times New Roman"/>
          <w:i/>
          <w:iCs/>
          <w:sz w:val="28"/>
          <w:szCs w:val="28"/>
        </w:rPr>
        <w:t>in casu</w:t>
      </w:r>
      <w:r w:rsidR="00432EC7" w:rsidRPr="0006044D">
        <w:rPr>
          <w:rFonts w:ascii="Times New Roman" w:hAnsi="Times New Roman"/>
          <w:sz w:val="28"/>
          <w:szCs w:val="28"/>
        </w:rPr>
        <w:t xml:space="preserve"> </w:t>
      </w:r>
      <w:r w:rsidR="00561F2C" w:rsidRPr="0006044D">
        <w:rPr>
          <w:rFonts w:ascii="Times New Roman" w:hAnsi="Times New Roman"/>
          <w:sz w:val="28"/>
          <w:szCs w:val="28"/>
        </w:rPr>
        <w:t xml:space="preserve">did </w:t>
      </w:r>
      <w:r w:rsidR="00D84CEB" w:rsidRPr="0006044D">
        <w:rPr>
          <w:rFonts w:ascii="Times New Roman" w:hAnsi="Times New Roman"/>
          <w:sz w:val="28"/>
          <w:szCs w:val="28"/>
        </w:rPr>
        <w:t>not suggest that ESTA applies to the facts</w:t>
      </w:r>
      <w:r w:rsidR="00D72AB9" w:rsidRPr="0006044D">
        <w:rPr>
          <w:rFonts w:ascii="Times New Roman" w:hAnsi="Times New Roman"/>
          <w:sz w:val="28"/>
          <w:szCs w:val="28"/>
        </w:rPr>
        <w:t xml:space="preserve"> of the present matter</w:t>
      </w:r>
      <w:r w:rsidR="00D84CEB" w:rsidRPr="0006044D">
        <w:rPr>
          <w:rFonts w:ascii="Times New Roman" w:hAnsi="Times New Roman"/>
          <w:sz w:val="28"/>
          <w:szCs w:val="28"/>
        </w:rPr>
        <w:t xml:space="preserve">, they prevailed upon me to find that the situation pertaining </w:t>
      </w:r>
      <w:r w:rsidR="00432EC7" w:rsidRPr="0006044D">
        <w:rPr>
          <w:rFonts w:ascii="Times New Roman" w:hAnsi="Times New Roman"/>
          <w:sz w:val="28"/>
          <w:szCs w:val="28"/>
        </w:rPr>
        <w:t>to an employee under ESTA</w:t>
      </w:r>
      <w:r w:rsidR="00D84CEB" w:rsidRPr="0006044D">
        <w:rPr>
          <w:rFonts w:ascii="Times New Roman" w:hAnsi="Times New Roman"/>
          <w:sz w:val="28"/>
          <w:szCs w:val="28"/>
        </w:rPr>
        <w:t xml:space="preserve"> was </w:t>
      </w:r>
      <w:r w:rsidR="000A41F9" w:rsidRPr="0006044D">
        <w:rPr>
          <w:rFonts w:ascii="Times New Roman" w:hAnsi="Times New Roman"/>
          <w:sz w:val="28"/>
          <w:szCs w:val="28"/>
        </w:rPr>
        <w:t>analogous to the scenario applicable in this instance</w:t>
      </w:r>
      <w:r w:rsidR="0049178F" w:rsidRPr="0006044D">
        <w:rPr>
          <w:rFonts w:ascii="Times New Roman" w:hAnsi="Times New Roman"/>
          <w:sz w:val="28"/>
          <w:szCs w:val="28"/>
        </w:rPr>
        <w:t xml:space="preserve"> where the respondents assert a right to remain in occupation until the Beth-Din has determined the first respondent’s labour </w:t>
      </w:r>
      <w:r w:rsidR="00062F61" w:rsidRPr="0006044D">
        <w:rPr>
          <w:rFonts w:ascii="Times New Roman" w:hAnsi="Times New Roman"/>
          <w:sz w:val="28"/>
          <w:szCs w:val="28"/>
        </w:rPr>
        <w:t xml:space="preserve">(or </w:t>
      </w:r>
      <w:r w:rsidR="00381E0B" w:rsidRPr="0006044D">
        <w:rPr>
          <w:rFonts w:ascii="Times New Roman" w:hAnsi="Times New Roman"/>
          <w:sz w:val="28"/>
          <w:szCs w:val="28"/>
        </w:rPr>
        <w:t xml:space="preserve">earlier </w:t>
      </w:r>
      <w:r w:rsidR="00062F61" w:rsidRPr="0006044D">
        <w:rPr>
          <w:rFonts w:ascii="Times New Roman" w:hAnsi="Times New Roman"/>
          <w:sz w:val="28"/>
          <w:szCs w:val="28"/>
        </w:rPr>
        <w:t xml:space="preserve">underlying) </w:t>
      </w:r>
      <w:r w:rsidR="0049178F" w:rsidRPr="0006044D">
        <w:rPr>
          <w:rFonts w:ascii="Times New Roman" w:hAnsi="Times New Roman"/>
          <w:sz w:val="28"/>
          <w:szCs w:val="28"/>
        </w:rPr>
        <w:t>dispute one way or the other.</w:t>
      </w:r>
    </w:p>
    <w:p w14:paraId="3158B428" w14:textId="77777777" w:rsidR="0049178F" w:rsidRPr="0049178F" w:rsidRDefault="0049178F" w:rsidP="00D46D76">
      <w:pPr>
        <w:pStyle w:val="ListParagraph"/>
        <w:spacing w:after="0" w:line="360" w:lineRule="auto"/>
        <w:rPr>
          <w:rFonts w:ascii="Times New Roman" w:hAnsi="Times New Roman"/>
          <w:sz w:val="28"/>
          <w:szCs w:val="28"/>
        </w:rPr>
      </w:pPr>
    </w:p>
    <w:p w14:paraId="33043DB8" w14:textId="77777777" w:rsidR="00D84CEB" w:rsidRPr="00D46D76" w:rsidRDefault="00D84CEB"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court in Snyers observed what an owner in </w:t>
      </w:r>
      <w:r w:rsidR="00432EC7">
        <w:rPr>
          <w:rFonts w:ascii="Times New Roman" w:hAnsi="Times New Roman"/>
          <w:sz w:val="28"/>
          <w:szCs w:val="28"/>
        </w:rPr>
        <w:t xml:space="preserve">the </w:t>
      </w:r>
      <w:r>
        <w:rPr>
          <w:rFonts w:ascii="Times New Roman" w:hAnsi="Times New Roman"/>
          <w:sz w:val="28"/>
          <w:szCs w:val="28"/>
        </w:rPr>
        <w:t xml:space="preserve">unique circumstances under ESTA </w:t>
      </w:r>
      <w:r w:rsidR="000A41F9">
        <w:rPr>
          <w:rFonts w:ascii="Times New Roman" w:hAnsi="Times New Roman"/>
          <w:sz w:val="28"/>
          <w:szCs w:val="28"/>
        </w:rPr>
        <w:t>had</w:t>
      </w:r>
      <w:r w:rsidR="00D72AB9">
        <w:rPr>
          <w:rFonts w:ascii="Times New Roman" w:hAnsi="Times New Roman"/>
          <w:sz w:val="28"/>
          <w:szCs w:val="28"/>
        </w:rPr>
        <w:t xml:space="preserve"> to prove </w:t>
      </w:r>
      <w:r>
        <w:rPr>
          <w:rFonts w:ascii="Times New Roman" w:hAnsi="Times New Roman"/>
          <w:sz w:val="28"/>
          <w:szCs w:val="28"/>
        </w:rPr>
        <w:t>as follows:</w:t>
      </w:r>
    </w:p>
    <w:p w14:paraId="44C097DB" w14:textId="77777777" w:rsidR="00D46D76" w:rsidRPr="00D46D76" w:rsidRDefault="00D46D76" w:rsidP="00D46D76">
      <w:pPr>
        <w:pStyle w:val="ListParagraph"/>
        <w:rPr>
          <w:rFonts w:ascii="Times New Roman" w:hAnsi="Times New Roman"/>
          <w:b/>
          <w:sz w:val="28"/>
          <w:szCs w:val="28"/>
        </w:rPr>
      </w:pPr>
    </w:p>
    <w:p w14:paraId="2B8E887F" w14:textId="77777777" w:rsidR="00A51490" w:rsidRPr="00A51490" w:rsidRDefault="00A51490" w:rsidP="00D46D76">
      <w:pPr>
        <w:spacing w:line="360" w:lineRule="auto"/>
        <w:ind w:left="1440" w:hanging="720"/>
        <w:contextualSpacing/>
        <w:rPr>
          <w:rFonts w:ascii="Times New Roman" w:hAnsi="Times New Roman" w:cs="Times New Roman"/>
        </w:rPr>
      </w:pPr>
      <w:r w:rsidRPr="00A51490">
        <w:rPr>
          <w:rFonts w:ascii="Times New Roman" w:hAnsi="Times New Roman"/>
        </w:rPr>
        <w:t>“</w:t>
      </w:r>
      <w:r w:rsidRPr="00A51490">
        <w:rPr>
          <w:rFonts w:ascii="Times New Roman" w:hAnsi="Times New Roman" w:cs="Times New Roman"/>
        </w:rPr>
        <w:t>[6]</w:t>
      </w:r>
      <w:r w:rsidRPr="00A51490">
        <w:rPr>
          <w:rFonts w:ascii="Times New Roman" w:hAnsi="Times New Roman" w:cs="Times New Roman"/>
        </w:rPr>
        <w:tab/>
      </w:r>
      <w:r w:rsidR="000A41F9">
        <w:rPr>
          <w:rFonts w:ascii="Times New Roman" w:hAnsi="Times New Roman" w:cs="Times New Roman"/>
        </w:rPr>
        <w:t xml:space="preserve">… </w:t>
      </w:r>
      <w:r w:rsidRPr="00A51490">
        <w:rPr>
          <w:rFonts w:ascii="Times New Roman" w:hAnsi="Times New Roman" w:cs="Times New Roman"/>
        </w:rPr>
        <w:t>Under ESTA, an owner’s right to apply for eviction is dependent on a number of prerequisites, one of which is that the right of occupation should be validly terminated in terms of s 8. Sections 8(2) and (3) of ESTA provide the following:</w:t>
      </w:r>
      <w:r w:rsidRPr="00A51490">
        <w:rPr>
          <w:rStyle w:val="FootnoteReference"/>
          <w:rFonts w:ascii="Times New Roman" w:hAnsi="Times New Roman" w:cs="Times New Roman"/>
          <w:lang w:val="en-GB"/>
        </w:rPr>
        <w:t xml:space="preserve"> </w:t>
      </w:r>
    </w:p>
    <w:p w14:paraId="1617451C" w14:textId="77777777" w:rsidR="00A51490" w:rsidRPr="00A51490" w:rsidRDefault="00A51490" w:rsidP="00D46D76">
      <w:pPr>
        <w:autoSpaceDE w:val="0"/>
        <w:autoSpaceDN w:val="0"/>
        <w:adjustRightInd w:val="0"/>
        <w:spacing w:line="360" w:lineRule="auto"/>
        <w:ind w:left="1440"/>
        <w:contextualSpacing/>
        <w:rPr>
          <w:rFonts w:ascii="Times New Roman" w:hAnsi="Times New Roman" w:cs="Times New Roman"/>
          <w:lang w:val="en-GB"/>
        </w:rPr>
      </w:pPr>
      <w:r w:rsidRPr="00A51490">
        <w:rPr>
          <w:rFonts w:ascii="Times New Roman" w:hAnsi="Times New Roman" w:cs="Times New Roman"/>
          <w:lang w:val="en-GB"/>
        </w:rPr>
        <w:t xml:space="preserve">‘The right of residence of an occupier who is an employee and whose right of residence arises solely from an employment agreement, may be terminated if the occupier resigns </w:t>
      </w:r>
      <w:r w:rsidRPr="00A51490">
        <w:rPr>
          <w:rFonts w:ascii="Times New Roman" w:hAnsi="Times New Roman" w:cs="Times New Roman"/>
          <w:lang w:val="en-GB"/>
        </w:rPr>
        <w:lastRenderedPageBreak/>
        <w:t xml:space="preserve">from employment or is dismissed in accordance with the provisions of the Labour Relations Act </w:t>
      </w:r>
      <w:r w:rsidRPr="00A51490">
        <w:rPr>
          <w:rFonts w:ascii="Times New Roman" w:hAnsi="Times New Roman" w:cs="Times New Roman"/>
        </w:rPr>
        <w:t>[66 of 1996]</w:t>
      </w:r>
      <w:r w:rsidRPr="00A51490">
        <w:rPr>
          <w:rFonts w:ascii="Times New Roman" w:hAnsi="Times New Roman" w:cs="Times New Roman"/>
          <w:lang w:val="en-GB"/>
        </w:rPr>
        <w:t>.</w:t>
      </w:r>
    </w:p>
    <w:p w14:paraId="15C2F5E7" w14:textId="77777777" w:rsidR="00A51490" w:rsidRPr="00A51490" w:rsidRDefault="00A51490" w:rsidP="00D46D76">
      <w:pPr>
        <w:spacing w:line="360" w:lineRule="auto"/>
        <w:ind w:left="1440"/>
        <w:contextualSpacing/>
        <w:rPr>
          <w:rFonts w:ascii="Times New Roman" w:hAnsi="Times New Roman" w:cs="Times New Roman"/>
        </w:rPr>
      </w:pPr>
      <w:r w:rsidRPr="00A51490">
        <w:rPr>
          <w:rFonts w:ascii="Times New Roman" w:hAnsi="Times New Roman" w:cs="Times New Roman"/>
        </w:rPr>
        <w:t xml:space="preserve">Any dispute over whether an occupier’s employment has terminated as contemplated in subsection (2), shall be dealt with in accordance with the provisions of the Labour Relations Act, and </w:t>
      </w:r>
      <w:r w:rsidRPr="00A51490">
        <w:rPr>
          <w:rFonts w:ascii="Times New Roman" w:hAnsi="Times New Roman" w:cs="Times New Roman"/>
          <w:i/>
        </w:rPr>
        <w:t>the termination shall take effect when any dispute over the termination has been determined in accordance with that Act</w:t>
      </w:r>
      <w:r w:rsidR="0032403B">
        <w:rPr>
          <w:rFonts w:ascii="Times New Roman" w:hAnsi="Times New Roman" w:cs="Times New Roman"/>
        </w:rPr>
        <w:t>.’ …</w:t>
      </w:r>
      <w:r w:rsidRPr="00A51490">
        <w:rPr>
          <w:rFonts w:ascii="Times New Roman" w:hAnsi="Times New Roman"/>
        </w:rPr>
        <w:t>”</w:t>
      </w:r>
    </w:p>
    <w:p w14:paraId="73605144" w14:textId="77777777" w:rsidR="000A41F9" w:rsidRPr="000A41F9" w:rsidRDefault="000A41F9" w:rsidP="00D46D76">
      <w:pPr>
        <w:pStyle w:val="ListParagraph"/>
        <w:tabs>
          <w:tab w:val="left" w:pos="0"/>
        </w:tabs>
        <w:spacing w:after="0" w:line="360" w:lineRule="auto"/>
        <w:ind w:left="0"/>
        <w:rPr>
          <w:rFonts w:ascii="Times New Roman" w:hAnsi="Times New Roman"/>
          <w:b/>
          <w:sz w:val="28"/>
          <w:szCs w:val="28"/>
        </w:rPr>
      </w:pPr>
    </w:p>
    <w:p w14:paraId="511AA04D" w14:textId="77777777" w:rsidR="00927283" w:rsidRPr="000E25D9" w:rsidRDefault="0006044D"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bCs/>
          <w:sz w:val="28"/>
          <w:szCs w:val="28"/>
        </w:rPr>
        <w:t>The court went</w:t>
      </w:r>
      <w:r w:rsidR="00927283">
        <w:rPr>
          <w:rFonts w:ascii="Times New Roman" w:hAnsi="Times New Roman"/>
          <w:bCs/>
          <w:sz w:val="28"/>
          <w:szCs w:val="28"/>
        </w:rPr>
        <w:t xml:space="preserve"> on to conclude as follows regarding the validity of the notice to vacate </w:t>
      </w:r>
      <w:r>
        <w:rPr>
          <w:rFonts w:ascii="Times New Roman" w:hAnsi="Times New Roman"/>
          <w:bCs/>
          <w:sz w:val="28"/>
          <w:szCs w:val="28"/>
        </w:rPr>
        <w:t xml:space="preserve">that had been </w:t>
      </w:r>
      <w:r w:rsidR="00927283">
        <w:rPr>
          <w:rFonts w:ascii="Times New Roman" w:hAnsi="Times New Roman"/>
          <w:bCs/>
          <w:sz w:val="28"/>
          <w:szCs w:val="28"/>
        </w:rPr>
        <w:t>given to Snyers</w:t>
      </w:r>
      <w:r>
        <w:rPr>
          <w:rFonts w:ascii="Times New Roman" w:hAnsi="Times New Roman"/>
          <w:bCs/>
          <w:sz w:val="28"/>
          <w:szCs w:val="28"/>
        </w:rPr>
        <w:t xml:space="preserve"> by the farm owners/employer</w:t>
      </w:r>
      <w:r w:rsidR="00927283">
        <w:rPr>
          <w:rFonts w:ascii="Times New Roman" w:hAnsi="Times New Roman"/>
          <w:bCs/>
          <w:sz w:val="28"/>
          <w:szCs w:val="28"/>
        </w:rPr>
        <w:t>:</w:t>
      </w:r>
    </w:p>
    <w:p w14:paraId="05849AE5" w14:textId="77777777" w:rsidR="0006044D" w:rsidRDefault="0006044D" w:rsidP="00C83939">
      <w:pPr>
        <w:shd w:val="clear" w:color="auto" w:fill="FFFFFF"/>
        <w:spacing w:line="360" w:lineRule="auto"/>
        <w:ind w:left="567"/>
        <w:contextualSpacing/>
        <w:rPr>
          <w:rFonts w:ascii="Times New Roman" w:hAnsi="Times New Roman" w:cs="Times New Roman"/>
          <w:bCs/>
        </w:rPr>
      </w:pPr>
    </w:p>
    <w:p w14:paraId="4B36EC67" w14:textId="77777777" w:rsidR="000E25D9" w:rsidRPr="00C83939" w:rsidRDefault="000E25D9" w:rsidP="0006044D">
      <w:pPr>
        <w:shd w:val="clear" w:color="auto" w:fill="FFFFFF"/>
        <w:spacing w:line="360" w:lineRule="auto"/>
        <w:ind w:left="1437" w:hanging="870"/>
        <w:contextualSpacing/>
        <w:rPr>
          <w:rFonts w:ascii="Times New Roman" w:eastAsia="Times New Roman" w:hAnsi="Times New Roman" w:cs="Times New Roman"/>
          <w:color w:val="000000"/>
          <w:lang w:eastAsia="en-ZA"/>
        </w:rPr>
      </w:pPr>
      <w:r w:rsidRPr="00C83939">
        <w:rPr>
          <w:rFonts w:ascii="Times New Roman" w:hAnsi="Times New Roman" w:cs="Times New Roman"/>
          <w:bCs/>
        </w:rPr>
        <w:t>“</w:t>
      </w:r>
      <w:r w:rsidR="0006044D">
        <w:rPr>
          <w:rFonts w:ascii="Times New Roman" w:eastAsia="Times New Roman" w:hAnsi="Times New Roman" w:cs="Times New Roman"/>
          <w:color w:val="000000"/>
          <w:lang w:eastAsia="en-ZA"/>
        </w:rPr>
        <w:t>[18]</w:t>
      </w:r>
      <w:r w:rsidR="0006044D">
        <w:rPr>
          <w:rFonts w:ascii="Times New Roman" w:eastAsia="Times New Roman" w:hAnsi="Times New Roman" w:cs="Times New Roman"/>
          <w:color w:val="000000"/>
          <w:lang w:eastAsia="en-ZA"/>
        </w:rPr>
        <w:tab/>
        <w:t>I</w:t>
      </w:r>
      <w:r w:rsidRPr="00C83939">
        <w:rPr>
          <w:rFonts w:ascii="Times New Roman" w:eastAsia="Times New Roman" w:hAnsi="Times New Roman" w:cs="Times New Roman"/>
          <w:color w:val="000000"/>
          <w:lang w:eastAsia="en-ZA"/>
        </w:rPr>
        <w:t>n my view, when the respondents served the notice to vacate on Snyers, his labour dispute in the CCMA had not yet been determined. That contravened the provisions of section 8(3) requiring that where there is a labour dispute relating to the termination of the occupier’s right of residence, the termination only takes effect when such dispute is determined in accordance with the LRA. In </w:t>
      </w:r>
      <w:r w:rsidRPr="00C83939">
        <w:rPr>
          <w:rFonts w:ascii="Times New Roman" w:eastAsia="Times New Roman" w:hAnsi="Times New Roman" w:cs="Times New Roman"/>
          <w:i/>
          <w:iCs/>
          <w:color w:val="000000"/>
          <w:lang w:eastAsia="en-ZA"/>
        </w:rPr>
        <w:t>Karabo and others v Kok and others </w:t>
      </w:r>
      <w:r w:rsidRPr="00C83939">
        <w:rPr>
          <w:rFonts w:ascii="Times New Roman" w:eastAsia="Times New Roman" w:hAnsi="Times New Roman" w:cs="Times New Roman"/>
          <w:color w:val="000000"/>
          <w:lang w:eastAsia="en-ZA"/>
        </w:rPr>
        <w:t>1998 (4) SA 1014 (LCC) at paragraph 14 [also reported at [1998] 3 All SA625 (LCC) – Ed], the LCC, in a judgment by Gildenhuys J (Moloto J concurring), correctly held that:</w:t>
      </w:r>
    </w:p>
    <w:p w14:paraId="15180183" w14:textId="77777777" w:rsidR="000E25D9" w:rsidRPr="00C83939" w:rsidRDefault="000E25D9" w:rsidP="0006044D">
      <w:pPr>
        <w:shd w:val="clear" w:color="auto" w:fill="FFFFFF"/>
        <w:spacing w:line="360" w:lineRule="auto"/>
        <w:ind w:left="2160"/>
        <w:contextualSpacing/>
        <w:rPr>
          <w:rFonts w:ascii="Times New Roman" w:eastAsia="Times New Roman" w:hAnsi="Times New Roman" w:cs="Times New Roman"/>
          <w:color w:val="000000"/>
          <w:sz w:val="18"/>
          <w:szCs w:val="18"/>
          <w:lang w:eastAsia="en-ZA"/>
        </w:rPr>
      </w:pPr>
      <w:r w:rsidRPr="00C83939">
        <w:rPr>
          <w:rFonts w:ascii="Times New Roman" w:eastAsia="Times New Roman" w:hAnsi="Times New Roman" w:cs="Times New Roman"/>
          <w:color w:val="000000"/>
          <w:sz w:val="18"/>
          <w:szCs w:val="18"/>
          <w:lang w:eastAsia="en-ZA"/>
        </w:rPr>
        <w:t>“The right of residence of a person which arises solely from an employment agreement, may be terminated if the person resigns from his or her employment or is dismissed in accordance with the provisions of the Labour Relations Act. Any dispute over whether a person’s employment has been lawfully terminated must be dealt with in accordance with the provisions of the Labour Relations Act, and the termination shall take effect only when that dispute has been determined in accordance with that Act.” (Footnotes omitted.)</w:t>
      </w:r>
    </w:p>
    <w:p w14:paraId="54FECD1D" w14:textId="77777777" w:rsidR="000E25D9" w:rsidRPr="00C83939" w:rsidRDefault="000E25D9" w:rsidP="0006044D">
      <w:pPr>
        <w:shd w:val="clear" w:color="auto" w:fill="FFFFFF"/>
        <w:spacing w:line="360" w:lineRule="auto"/>
        <w:ind w:left="1287" w:firstLine="153"/>
        <w:contextualSpacing/>
        <w:rPr>
          <w:rFonts w:ascii="Times New Roman" w:eastAsia="Times New Roman" w:hAnsi="Times New Roman" w:cs="Times New Roman"/>
          <w:color w:val="000000"/>
          <w:lang w:eastAsia="en-ZA"/>
        </w:rPr>
      </w:pPr>
      <w:r w:rsidRPr="00C83939">
        <w:rPr>
          <w:rFonts w:ascii="Times New Roman" w:eastAsia="Times New Roman" w:hAnsi="Times New Roman" w:cs="Times New Roman"/>
          <w:color w:val="000000"/>
          <w:lang w:eastAsia="en-ZA"/>
        </w:rPr>
        <w:t>In paragraph 15, the LCC went on to say:</w:t>
      </w:r>
    </w:p>
    <w:p w14:paraId="4E0FB929" w14:textId="77777777" w:rsidR="000E25D9" w:rsidRPr="00C83939" w:rsidRDefault="000E25D9" w:rsidP="0006044D">
      <w:pPr>
        <w:shd w:val="clear" w:color="auto" w:fill="FFFFFF"/>
        <w:spacing w:line="360" w:lineRule="auto"/>
        <w:ind w:left="2160"/>
        <w:contextualSpacing/>
        <w:rPr>
          <w:rFonts w:ascii="Times New Roman" w:eastAsia="Times New Roman" w:hAnsi="Times New Roman" w:cs="Times New Roman"/>
          <w:color w:val="000000"/>
          <w:sz w:val="18"/>
          <w:szCs w:val="18"/>
          <w:lang w:eastAsia="en-ZA"/>
        </w:rPr>
      </w:pPr>
      <w:r w:rsidRPr="00C83939">
        <w:rPr>
          <w:rFonts w:ascii="Times New Roman" w:eastAsia="Times New Roman" w:hAnsi="Times New Roman" w:cs="Times New Roman"/>
          <w:color w:val="000000"/>
          <w:sz w:val="18"/>
          <w:szCs w:val="18"/>
          <w:lang w:eastAsia="en-ZA"/>
        </w:rPr>
        <w:t>“In this case, there is a dispute over the validity of the termination of the employment of the labourers, and this dispute is being dealt with under the provisions of the Labour Relations Act. Because the dispute is still pending, the termination of the employment for purposes of the Tenure Act [ESTA] has not yet taken effect.”</w:t>
      </w:r>
    </w:p>
    <w:p w14:paraId="4C3F3BC0" w14:textId="77777777" w:rsidR="000E25D9" w:rsidRPr="00C83939" w:rsidRDefault="000E25D9" w:rsidP="0006044D">
      <w:pPr>
        <w:shd w:val="clear" w:color="auto" w:fill="FFFFFF"/>
        <w:spacing w:line="360" w:lineRule="auto"/>
        <w:ind w:left="1287" w:firstLine="153"/>
        <w:contextualSpacing/>
        <w:rPr>
          <w:rFonts w:ascii="Times New Roman" w:eastAsia="Times New Roman" w:hAnsi="Times New Roman" w:cs="Times New Roman"/>
          <w:color w:val="000000"/>
          <w:lang w:eastAsia="en-ZA"/>
        </w:rPr>
      </w:pPr>
      <w:r w:rsidRPr="00C83939">
        <w:rPr>
          <w:rFonts w:ascii="Times New Roman" w:eastAsia="Times New Roman" w:hAnsi="Times New Roman" w:cs="Times New Roman"/>
          <w:color w:val="000000"/>
          <w:lang w:eastAsia="en-ZA"/>
        </w:rPr>
        <w:t>And in paragraph 22, the LCC held:</w:t>
      </w:r>
    </w:p>
    <w:p w14:paraId="30E41722" w14:textId="77777777" w:rsidR="000E25D9" w:rsidRPr="00C83939" w:rsidRDefault="0006044D" w:rsidP="0006044D">
      <w:pPr>
        <w:shd w:val="clear" w:color="auto" w:fill="FFFFFF"/>
        <w:spacing w:line="360" w:lineRule="auto"/>
        <w:ind w:left="2160"/>
        <w:contextualSpacing/>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“I</w:t>
      </w:r>
      <w:r w:rsidR="000E25D9" w:rsidRPr="00C83939">
        <w:rPr>
          <w:rFonts w:ascii="Times New Roman" w:eastAsia="Times New Roman" w:hAnsi="Times New Roman" w:cs="Times New Roman"/>
          <w:color w:val="000000"/>
          <w:lang w:eastAsia="en-ZA"/>
        </w:rPr>
        <w:t xml:space="preserve">t was submitted on behalf of the [farm owners] that the phrase ‘dispute over whether an occupier’s employment has been terminated as contemplated in [subsec] (2)’ refers to a dispute on whether a termination actually occurred, and not to a dispute over the lawfulness of the termination. I do not agree with the submission. Subsection (3) refers back to [subsec] (2), which provides that the right of residence of an occupier may be terminated if he or she resigns or is dismissed in accordance with the provisions of the Labour Relations Act. The termination of the occupier’s employment as envisaged in [subsec] (3) </w:t>
      </w:r>
      <w:r w:rsidR="000E25D9" w:rsidRPr="00C83939">
        <w:rPr>
          <w:rFonts w:ascii="Times New Roman" w:eastAsia="Times New Roman" w:hAnsi="Times New Roman" w:cs="Times New Roman"/>
          <w:color w:val="000000"/>
          <w:lang w:eastAsia="en-ZA"/>
        </w:rPr>
        <w:lastRenderedPageBreak/>
        <w:t>must, under the provisions of [subsec] (2), be in accordance with the provisions of the Labour Relations Act. This means that the validity of the termination is at issue. It is so, as pointed out on behalf of the [farm owners], that such an interpretation would oblige the owner of land to continue housing dismissed employees while a dispute on the validity of the dismissal is pending. Such a dispute may take months to resolve. The interpretation I have given to s[ubsec]s (2) and (3) is, in my view, the only possible interpretation. I cannot deviate from it because the consequences are alleged to be unfair. The fairness or otherwise of a legal provision is for Parliament to decide. I should point out, however, that in suitable circumstances, the owner or person in charge may be entitled to relief under s 15 of the Tenure Act.”</w:t>
      </w:r>
    </w:p>
    <w:p w14:paraId="395839C9" w14:textId="77777777" w:rsidR="000E25D9" w:rsidRDefault="000E25D9" w:rsidP="0006044D">
      <w:pPr>
        <w:shd w:val="clear" w:color="auto" w:fill="FFFFFF"/>
        <w:tabs>
          <w:tab w:val="left" w:pos="1134"/>
        </w:tabs>
        <w:spacing w:line="360" w:lineRule="auto"/>
        <w:ind w:left="1440" w:hanging="567"/>
        <w:contextualSpacing/>
        <w:rPr>
          <w:rFonts w:ascii="Times New Roman" w:eastAsia="Times New Roman" w:hAnsi="Times New Roman" w:cs="Times New Roman"/>
          <w:color w:val="000000"/>
          <w:lang w:eastAsia="en-ZA"/>
        </w:rPr>
      </w:pPr>
      <w:r w:rsidRPr="00C83939">
        <w:rPr>
          <w:rFonts w:ascii="Times New Roman" w:eastAsia="Times New Roman" w:hAnsi="Times New Roman" w:cs="Times New Roman"/>
          <w:color w:val="000000"/>
          <w:lang w:eastAsia="en-ZA"/>
        </w:rPr>
        <w:t>[19]</w:t>
      </w:r>
      <w:r w:rsidR="00C83939">
        <w:rPr>
          <w:rFonts w:ascii="Times New Roman" w:eastAsia="Times New Roman" w:hAnsi="Times New Roman" w:cs="Times New Roman"/>
          <w:color w:val="000000"/>
          <w:lang w:eastAsia="en-ZA"/>
        </w:rPr>
        <w:tab/>
      </w:r>
      <w:r w:rsidRPr="00C83939">
        <w:rPr>
          <w:rFonts w:ascii="Times New Roman" w:eastAsia="Times New Roman" w:hAnsi="Times New Roman" w:cs="Times New Roman"/>
          <w:color w:val="000000"/>
          <w:lang w:eastAsia="en-ZA"/>
        </w:rPr>
        <w:t>Determination of the disputed labour matter is thus clearly a pre-condition for terminating the occupier’s right of residence under ESTA. Given the objects of ESTA stated in the above </w:t>
      </w:r>
      <w:r w:rsidRPr="00C83939">
        <w:rPr>
          <w:rFonts w:ascii="Times New Roman" w:eastAsia="Times New Roman" w:hAnsi="Times New Roman" w:cs="Times New Roman"/>
          <w:i/>
          <w:iCs/>
          <w:color w:val="000000"/>
          <w:lang w:eastAsia="en-ZA"/>
        </w:rPr>
        <w:t>dicta </w:t>
      </w:r>
      <w:r w:rsidRPr="00C83939">
        <w:rPr>
          <w:rFonts w:ascii="Times New Roman" w:eastAsia="Times New Roman" w:hAnsi="Times New Roman" w:cs="Times New Roman"/>
          <w:color w:val="000000"/>
          <w:lang w:eastAsia="en-ZA"/>
        </w:rPr>
        <w:t>of the Constitutional Court, it necessarily follows where an occupier’s tenancy is subsidiary to his or her employment on a farm, that where a dismissal is disputed, the dispute over its fairness must be finally determined before the subsidiary tenancy is terminated. Accordingly, ESTA does not countenance notice given in terms of section 8 while a labour dispute remains undetermined. The validity of the notice so given is vitiated by the lack of determination of the labour matter. For these reasons, and as section 9(2)(a) of ESTA makes the granting by a court of an eviction order subject to the prior termination of the right of residence in terms of section 8, the notices given by the respondents to Snyers were invalid and consequently vitiated the entire eviction proceedings against him.”</w:t>
      </w:r>
    </w:p>
    <w:p w14:paraId="08ADA3F9" w14:textId="77777777" w:rsidR="00A52828" w:rsidRPr="00770DC8" w:rsidRDefault="00A52828" w:rsidP="0006044D">
      <w:pPr>
        <w:shd w:val="clear" w:color="auto" w:fill="FFFFFF"/>
        <w:tabs>
          <w:tab w:val="left" w:pos="1134"/>
        </w:tabs>
        <w:spacing w:line="360" w:lineRule="auto"/>
        <w:ind w:left="1440" w:hanging="567"/>
        <w:contextualSpacing/>
        <w:rPr>
          <w:rFonts w:ascii="Times New Roman" w:eastAsia="Times New Roman" w:hAnsi="Times New Roman" w:cs="Times New Roman"/>
          <w:color w:val="000000"/>
          <w:sz w:val="28"/>
          <w:szCs w:val="28"/>
          <w:lang w:eastAsia="en-ZA"/>
        </w:rPr>
      </w:pPr>
    </w:p>
    <w:p w14:paraId="087833AB" w14:textId="77777777" w:rsidR="00A52828" w:rsidRPr="00770DC8" w:rsidRDefault="00A52828" w:rsidP="0006044D">
      <w:pPr>
        <w:shd w:val="clear" w:color="auto" w:fill="FFFFFF"/>
        <w:tabs>
          <w:tab w:val="left" w:pos="1134"/>
        </w:tabs>
        <w:spacing w:line="360" w:lineRule="auto"/>
        <w:ind w:left="1440" w:hanging="567"/>
        <w:contextualSpacing/>
        <w:rPr>
          <w:rFonts w:ascii="Verdana" w:eastAsia="Times New Roman" w:hAnsi="Verdana" w:cs="Times New Roman"/>
          <w:color w:val="000000"/>
          <w:sz w:val="28"/>
          <w:szCs w:val="28"/>
          <w:lang w:eastAsia="en-ZA"/>
        </w:rPr>
      </w:pPr>
      <w:r w:rsidRPr="00770DC8">
        <w:rPr>
          <w:rFonts w:ascii="Times New Roman" w:eastAsia="Times New Roman" w:hAnsi="Times New Roman" w:cs="Times New Roman"/>
          <w:color w:val="000000"/>
          <w:sz w:val="28"/>
          <w:szCs w:val="28"/>
          <w:lang w:eastAsia="en-ZA"/>
        </w:rPr>
        <w:t>(Footnotes omitted.)</w:t>
      </w:r>
    </w:p>
    <w:p w14:paraId="0662E10B" w14:textId="77777777" w:rsidR="00927283" w:rsidRPr="00927283" w:rsidRDefault="00927283" w:rsidP="00927283">
      <w:pPr>
        <w:pStyle w:val="ListParagraph"/>
        <w:tabs>
          <w:tab w:val="left" w:pos="0"/>
        </w:tabs>
        <w:spacing w:after="0" w:line="360" w:lineRule="auto"/>
        <w:ind w:left="0"/>
        <w:rPr>
          <w:rFonts w:ascii="Times New Roman" w:hAnsi="Times New Roman"/>
          <w:b/>
          <w:sz w:val="28"/>
          <w:szCs w:val="28"/>
        </w:rPr>
      </w:pPr>
      <w:r>
        <w:rPr>
          <w:rFonts w:ascii="Times New Roman" w:hAnsi="Times New Roman"/>
          <w:bCs/>
          <w:sz w:val="28"/>
          <w:szCs w:val="28"/>
        </w:rPr>
        <w:tab/>
      </w:r>
    </w:p>
    <w:p w14:paraId="1A602622" w14:textId="02845D26" w:rsidR="00932C88" w:rsidRPr="00932C88" w:rsidRDefault="00BF7C2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D72AB9">
        <w:rPr>
          <w:rFonts w:ascii="Times New Roman" w:hAnsi="Times New Roman"/>
          <w:sz w:val="28"/>
          <w:szCs w:val="28"/>
        </w:rPr>
        <w:t>However,</w:t>
      </w:r>
      <w:r w:rsidR="00D84CEB" w:rsidRPr="00D72AB9">
        <w:rPr>
          <w:rFonts w:ascii="Times New Roman" w:hAnsi="Times New Roman"/>
          <w:sz w:val="28"/>
          <w:szCs w:val="28"/>
        </w:rPr>
        <w:t xml:space="preserve"> no such requirement</w:t>
      </w:r>
      <w:r w:rsidR="009811FB">
        <w:rPr>
          <w:rFonts w:ascii="Times New Roman" w:hAnsi="Times New Roman"/>
          <w:sz w:val="28"/>
          <w:szCs w:val="28"/>
        </w:rPr>
        <w:t xml:space="preserve">, namely that the determination of a labour dispute is a pre-condition for terminating </w:t>
      </w:r>
      <w:r w:rsidR="00A52828">
        <w:rPr>
          <w:rFonts w:ascii="Times New Roman" w:hAnsi="Times New Roman"/>
          <w:sz w:val="28"/>
          <w:szCs w:val="28"/>
        </w:rPr>
        <w:t xml:space="preserve">an employee’s </w:t>
      </w:r>
      <w:r w:rsidR="009811FB">
        <w:rPr>
          <w:rFonts w:ascii="Times New Roman" w:hAnsi="Times New Roman"/>
          <w:sz w:val="28"/>
          <w:szCs w:val="28"/>
        </w:rPr>
        <w:t xml:space="preserve">subsidiary right to occupy </w:t>
      </w:r>
      <w:r w:rsidR="00A52828">
        <w:rPr>
          <w:rFonts w:ascii="Times New Roman" w:hAnsi="Times New Roman"/>
          <w:sz w:val="28"/>
          <w:szCs w:val="28"/>
        </w:rPr>
        <w:t xml:space="preserve">property arising from an </w:t>
      </w:r>
      <w:r w:rsidR="003258D1">
        <w:rPr>
          <w:rFonts w:ascii="Times New Roman" w:hAnsi="Times New Roman"/>
          <w:sz w:val="28"/>
          <w:szCs w:val="28"/>
        </w:rPr>
        <w:t xml:space="preserve">ordinary </w:t>
      </w:r>
      <w:r w:rsidR="00A52828">
        <w:rPr>
          <w:rFonts w:ascii="Times New Roman" w:hAnsi="Times New Roman"/>
          <w:sz w:val="28"/>
          <w:szCs w:val="28"/>
        </w:rPr>
        <w:t>employment agreement</w:t>
      </w:r>
      <w:r w:rsidR="009811FB">
        <w:rPr>
          <w:rFonts w:ascii="Times New Roman" w:hAnsi="Times New Roman"/>
          <w:sz w:val="28"/>
          <w:szCs w:val="28"/>
        </w:rPr>
        <w:t>,</w:t>
      </w:r>
      <w:r w:rsidR="00D84CEB" w:rsidRPr="00D72AB9">
        <w:rPr>
          <w:rFonts w:ascii="Times New Roman" w:hAnsi="Times New Roman"/>
          <w:sz w:val="28"/>
          <w:szCs w:val="28"/>
        </w:rPr>
        <w:t xml:space="preserve"> exists </w:t>
      </w:r>
      <w:r w:rsidR="009811FB">
        <w:rPr>
          <w:rFonts w:ascii="Times New Roman" w:hAnsi="Times New Roman"/>
          <w:sz w:val="28"/>
          <w:szCs w:val="28"/>
        </w:rPr>
        <w:t>under</w:t>
      </w:r>
      <w:r w:rsidR="00D84CEB" w:rsidRPr="00D72AB9">
        <w:rPr>
          <w:rFonts w:ascii="Times New Roman" w:hAnsi="Times New Roman"/>
          <w:sz w:val="28"/>
          <w:szCs w:val="28"/>
        </w:rPr>
        <w:t xml:space="preserve"> </w:t>
      </w:r>
      <w:r w:rsidR="00D72AB9" w:rsidRPr="00D72AB9">
        <w:rPr>
          <w:rFonts w:ascii="Times New Roman" w:hAnsi="Times New Roman"/>
          <w:sz w:val="28"/>
          <w:szCs w:val="28"/>
        </w:rPr>
        <w:t xml:space="preserve">the </w:t>
      </w:r>
      <w:r w:rsidR="00D84CEB" w:rsidRPr="00D72AB9">
        <w:rPr>
          <w:rFonts w:ascii="Times New Roman" w:hAnsi="Times New Roman"/>
          <w:sz w:val="28"/>
          <w:szCs w:val="28"/>
        </w:rPr>
        <w:t>PIE</w:t>
      </w:r>
      <w:r w:rsidR="00D72AB9" w:rsidRPr="00D72AB9">
        <w:rPr>
          <w:rFonts w:ascii="Times New Roman" w:hAnsi="Times New Roman"/>
          <w:sz w:val="28"/>
          <w:szCs w:val="28"/>
        </w:rPr>
        <w:t xml:space="preserve"> Act</w:t>
      </w:r>
      <w:r w:rsidR="00D84CEB" w:rsidRPr="00D72AB9">
        <w:rPr>
          <w:rFonts w:ascii="Times New Roman" w:hAnsi="Times New Roman"/>
          <w:sz w:val="28"/>
          <w:szCs w:val="28"/>
        </w:rPr>
        <w:t xml:space="preserve"> </w:t>
      </w:r>
      <w:r w:rsidR="009811FB">
        <w:rPr>
          <w:rFonts w:ascii="Times New Roman" w:hAnsi="Times New Roman"/>
          <w:sz w:val="28"/>
          <w:szCs w:val="28"/>
        </w:rPr>
        <w:t xml:space="preserve">dispensation </w:t>
      </w:r>
      <w:r w:rsidR="00D84CEB" w:rsidRPr="00D72AB9">
        <w:rPr>
          <w:rFonts w:ascii="Times New Roman" w:hAnsi="Times New Roman"/>
          <w:sz w:val="28"/>
          <w:szCs w:val="28"/>
        </w:rPr>
        <w:t xml:space="preserve">where the claim for ejectment is based on the </w:t>
      </w:r>
      <w:r w:rsidR="00D84CEB" w:rsidRPr="00D72AB9">
        <w:rPr>
          <w:rFonts w:ascii="Times New Roman" w:hAnsi="Times New Roman"/>
          <w:i/>
          <w:sz w:val="28"/>
          <w:szCs w:val="28"/>
        </w:rPr>
        <w:t xml:space="preserve">rei </w:t>
      </w:r>
      <w:r w:rsidR="00D72AB9" w:rsidRPr="00D72AB9">
        <w:rPr>
          <w:rFonts w:ascii="Times New Roman" w:hAnsi="Times New Roman"/>
          <w:i/>
          <w:sz w:val="28"/>
          <w:szCs w:val="28"/>
        </w:rPr>
        <w:t xml:space="preserve">vindicatio. </w:t>
      </w:r>
      <w:r w:rsidR="00D72AB9" w:rsidRPr="00D72AB9">
        <w:rPr>
          <w:rFonts w:ascii="Times New Roman" w:hAnsi="Times New Roman"/>
          <w:sz w:val="28"/>
          <w:szCs w:val="28"/>
        </w:rPr>
        <w:t xml:space="preserve">In such a situation </w:t>
      </w:r>
      <w:r w:rsidR="00D84CEB" w:rsidRPr="00D72AB9">
        <w:rPr>
          <w:rFonts w:ascii="Times New Roman" w:hAnsi="Times New Roman"/>
          <w:sz w:val="28"/>
          <w:szCs w:val="28"/>
        </w:rPr>
        <w:t>the o</w:t>
      </w:r>
      <w:r w:rsidR="00232C3B" w:rsidRPr="00D72AB9">
        <w:rPr>
          <w:rFonts w:ascii="Times New Roman" w:hAnsi="Times New Roman"/>
          <w:sz w:val="28"/>
          <w:szCs w:val="28"/>
        </w:rPr>
        <w:t xml:space="preserve">wner approaches the court merely on the basis of </w:t>
      </w:r>
      <w:r w:rsidR="00A21257">
        <w:rPr>
          <w:rFonts w:ascii="Times New Roman" w:hAnsi="Times New Roman"/>
          <w:sz w:val="28"/>
          <w:szCs w:val="28"/>
        </w:rPr>
        <w:t xml:space="preserve">its </w:t>
      </w:r>
      <w:r w:rsidR="00232C3B" w:rsidRPr="00D72AB9">
        <w:rPr>
          <w:rFonts w:ascii="Times New Roman" w:hAnsi="Times New Roman"/>
          <w:sz w:val="28"/>
          <w:szCs w:val="28"/>
        </w:rPr>
        <w:t>ownership and the respondent</w:t>
      </w:r>
      <w:r w:rsidR="00062F61">
        <w:rPr>
          <w:rFonts w:ascii="Times New Roman" w:hAnsi="Times New Roman"/>
          <w:sz w:val="28"/>
          <w:szCs w:val="28"/>
        </w:rPr>
        <w:t>’</w:t>
      </w:r>
      <w:r w:rsidR="00232C3B" w:rsidRPr="00D72AB9">
        <w:rPr>
          <w:rFonts w:ascii="Times New Roman" w:hAnsi="Times New Roman"/>
          <w:sz w:val="28"/>
          <w:szCs w:val="28"/>
        </w:rPr>
        <w:t>s</w:t>
      </w:r>
      <w:r w:rsidR="00D72AB9" w:rsidRPr="00D72AB9">
        <w:rPr>
          <w:rFonts w:ascii="Times New Roman" w:hAnsi="Times New Roman"/>
          <w:sz w:val="28"/>
          <w:szCs w:val="28"/>
        </w:rPr>
        <w:t xml:space="preserve"> unlawful occupation</w:t>
      </w:r>
      <w:r w:rsidR="00A21257">
        <w:rPr>
          <w:rFonts w:ascii="Times New Roman" w:hAnsi="Times New Roman"/>
          <w:sz w:val="28"/>
          <w:szCs w:val="28"/>
        </w:rPr>
        <w:t xml:space="preserve"> of the property</w:t>
      </w:r>
      <w:r w:rsidR="00A52828">
        <w:rPr>
          <w:rFonts w:ascii="Times New Roman" w:hAnsi="Times New Roman"/>
          <w:sz w:val="28"/>
          <w:szCs w:val="28"/>
        </w:rPr>
        <w:t xml:space="preserve">, </w:t>
      </w:r>
      <w:r w:rsidR="00A52828">
        <w:rPr>
          <w:rFonts w:ascii="Times New Roman" w:hAnsi="Times New Roman"/>
          <w:sz w:val="28"/>
          <w:szCs w:val="28"/>
        </w:rPr>
        <w:lastRenderedPageBreak/>
        <w:t>subject of course to the provisions of the PIE Act, the application of which a court is obliged by its provisions to apply.</w:t>
      </w:r>
      <w:r w:rsidR="003258D1" w:rsidRPr="003258D1">
        <w:rPr>
          <w:rStyle w:val="FootnoteReference"/>
          <w:rFonts w:ascii="Times New Roman" w:hAnsi="Times New Roman"/>
          <w:sz w:val="28"/>
          <w:szCs w:val="28"/>
        </w:rPr>
        <w:t xml:space="preserve"> </w:t>
      </w:r>
      <w:r w:rsidR="003258D1">
        <w:rPr>
          <w:rStyle w:val="FootnoteReference"/>
          <w:rFonts w:ascii="Times New Roman" w:hAnsi="Times New Roman"/>
          <w:sz w:val="28"/>
          <w:szCs w:val="28"/>
        </w:rPr>
        <w:footnoteReference w:id="33"/>
      </w:r>
      <w:r w:rsidR="00A21257">
        <w:rPr>
          <w:rFonts w:ascii="Times New Roman" w:hAnsi="Times New Roman"/>
          <w:sz w:val="28"/>
          <w:szCs w:val="28"/>
        </w:rPr>
        <w:t xml:space="preserve"> </w:t>
      </w:r>
    </w:p>
    <w:p w14:paraId="75A3B699" w14:textId="77777777" w:rsidR="00932C88" w:rsidRPr="00932C88" w:rsidRDefault="00932C88" w:rsidP="00932C88">
      <w:pPr>
        <w:pStyle w:val="ListParagraph"/>
        <w:tabs>
          <w:tab w:val="left" w:pos="0"/>
        </w:tabs>
        <w:spacing w:after="0" w:line="360" w:lineRule="auto"/>
        <w:ind w:left="0"/>
        <w:rPr>
          <w:rFonts w:ascii="Times New Roman" w:hAnsi="Times New Roman"/>
          <w:b/>
          <w:sz w:val="28"/>
          <w:szCs w:val="28"/>
        </w:rPr>
      </w:pPr>
    </w:p>
    <w:p w14:paraId="24A0FA07" w14:textId="1007601C" w:rsidR="00BF7C24" w:rsidRPr="009009D7" w:rsidRDefault="00A21257" w:rsidP="00770DC8">
      <w:pPr>
        <w:pStyle w:val="ListParagraph"/>
        <w:numPr>
          <w:ilvl w:val="0"/>
          <w:numId w:val="2"/>
        </w:numPr>
        <w:tabs>
          <w:tab w:val="left" w:pos="0"/>
        </w:tabs>
        <w:spacing w:after="0" w:line="360" w:lineRule="auto"/>
        <w:ind w:left="0" w:firstLine="0"/>
        <w:rPr>
          <w:rFonts w:ascii="Times New Roman" w:hAnsi="Times New Roman"/>
          <w:b/>
          <w:sz w:val="28"/>
          <w:szCs w:val="28"/>
        </w:rPr>
      </w:pPr>
      <w:r w:rsidRPr="009009D7">
        <w:rPr>
          <w:rFonts w:ascii="Times New Roman" w:hAnsi="Times New Roman"/>
          <w:sz w:val="28"/>
          <w:szCs w:val="28"/>
        </w:rPr>
        <w:t xml:space="preserve">An occupier described under the provisions of ESTA is in a very different position to the respondents. </w:t>
      </w:r>
      <w:r w:rsidR="009B5812" w:rsidRPr="009009D7">
        <w:rPr>
          <w:rFonts w:ascii="Times New Roman" w:hAnsi="Times New Roman"/>
          <w:sz w:val="28"/>
          <w:szCs w:val="28"/>
        </w:rPr>
        <w:t>Indeed, ESTA</w:t>
      </w:r>
      <w:r w:rsidRPr="009009D7">
        <w:rPr>
          <w:rFonts w:ascii="Times New Roman" w:hAnsi="Times New Roman"/>
          <w:sz w:val="28"/>
          <w:szCs w:val="28"/>
        </w:rPr>
        <w:t xml:space="preserve"> speak</w:t>
      </w:r>
      <w:r w:rsidR="009B5812" w:rsidRPr="009009D7">
        <w:rPr>
          <w:rFonts w:ascii="Times New Roman" w:hAnsi="Times New Roman"/>
          <w:sz w:val="28"/>
          <w:szCs w:val="28"/>
        </w:rPr>
        <w:t xml:space="preserve">s </w:t>
      </w:r>
      <w:r w:rsidR="00381E0B" w:rsidRPr="009009D7">
        <w:rPr>
          <w:rFonts w:ascii="Times New Roman" w:hAnsi="Times New Roman"/>
          <w:sz w:val="28"/>
          <w:szCs w:val="28"/>
        </w:rPr>
        <w:t>of an</w:t>
      </w:r>
      <w:r w:rsidR="00F078A6" w:rsidRPr="009009D7">
        <w:rPr>
          <w:rFonts w:ascii="Times New Roman" w:hAnsi="Times New Roman"/>
          <w:sz w:val="28"/>
          <w:szCs w:val="28"/>
        </w:rPr>
        <w:t xml:space="preserve"> occupier</w:t>
      </w:r>
      <w:r w:rsidR="00381E0B" w:rsidRPr="009009D7">
        <w:rPr>
          <w:rFonts w:ascii="Times New Roman" w:hAnsi="Times New Roman"/>
          <w:sz w:val="28"/>
          <w:szCs w:val="28"/>
        </w:rPr>
        <w:t xml:space="preserve"> </w:t>
      </w:r>
      <w:r w:rsidR="009811FB" w:rsidRPr="009009D7">
        <w:rPr>
          <w:rFonts w:ascii="Times New Roman" w:hAnsi="Times New Roman"/>
          <w:sz w:val="28"/>
          <w:szCs w:val="28"/>
        </w:rPr>
        <w:t>pursuant to</w:t>
      </w:r>
      <w:r w:rsidR="00381E0B" w:rsidRPr="009009D7">
        <w:rPr>
          <w:rFonts w:ascii="Times New Roman" w:hAnsi="Times New Roman"/>
          <w:sz w:val="28"/>
          <w:szCs w:val="28"/>
        </w:rPr>
        <w:t xml:space="preserve"> its provisions</w:t>
      </w:r>
      <w:r w:rsidR="009B5812" w:rsidRPr="009009D7">
        <w:rPr>
          <w:rFonts w:ascii="Times New Roman" w:hAnsi="Times New Roman"/>
          <w:sz w:val="28"/>
          <w:szCs w:val="28"/>
        </w:rPr>
        <w:t xml:space="preserve"> </w:t>
      </w:r>
      <w:r w:rsidR="00A52828" w:rsidRPr="009009D7">
        <w:rPr>
          <w:rFonts w:ascii="Times New Roman" w:hAnsi="Times New Roman"/>
          <w:sz w:val="28"/>
          <w:szCs w:val="28"/>
        </w:rPr>
        <w:t xml:space="preserve">as </w:t>
      </w:r>
      <w:r w:rsidR="009B5812" w:rsidRPr="009009D7">
        <w:rPr>
          <w:rFonts w:ascii="Times New Roman" w:hAnsi="Times New Roman"/>
          <w:sz w:val="28"/>
          <w:szCs w:val="28"/>
        </w:rPr>
        <w:t>having a</w:t>
      </w:r>
      <w:r w:rsidR="00381E0B" w:rsidRPr="009009D7">
        <w:rPr>
          <w:rFonts w:ascii="Times New Roman" w:hAnsi="Times New Roman"/>
          <w:sz w:val="28"/>
          <w:szCs w:val="28"/>
        </w:rPr>
        <w:t xml:space="preserve"> statutory</w:t>
      </w:r>
      <w:r w:rsidR="009B5812" w:rsidRPr="009009D7">
        <w:rPr>
          <w:rFonts w:ascii="Times New Roman" w:hAnsi="Times New Roman"/>
          <w:sz w:val="28"/>
          <w:szCs w:val="28"/>
        </w:rPr>
        <w:t xml:space="preserve"> </w:t>
      </w:r>
      <w:r w:rsidR="00381E0B" w:rsidRPr="009009D7">
        <w:rPr>
          <w:rFonts w:ascii="Times New Roman" w:hAnsi="Times New Roman"/>
          <w:sz w:val="28"/>
          <w:szCs w:val="28"/>
        </w:rPr>
        <w:t>“</w:t>
      </w:r>
      <w:r w:rsidR="009B5812" w:rsidRPr="009009D7">
        <w:rPr>
          <w:rFonts w:ascii="Times New Roman" w:hAnsi="Times New Roman"/>
          <w:sz w:val="28"/>
          <w:szCs w:val="28"/>
        </w:rPr>
        <w:t>right of residence</w:t>
      </w:r>
      <w:r w:rsidR="00381E0B" w:rsidRPr="009009D7">
        <w:rPr>
          <w:rFonts w:ascii="Times New Roman" w:hAnsi="Times New Roman"/>
          <w:sz w:val="28"/>
          <w:szCs w:val="28"/>
        </w:rPr>
        <w:t>”</w:t>
      </w:r>
      <w:r w:rsidR="00F078A6" w:rsidRPr="009009D7">
        <w:rPr>
          <w:rFonts w:ascii="Times New Roman" w:hAnsi="Times New Roman"/>
          <w:sz w:val="28"/>
          <w:szCs w:val="28"/>
        </w:rPr>
        <w:t>.</w:t>
      </w:r>
      <w:r w:rsidR="009B5812" w:rsidRPr="009009D7">
        <w:rPr>
          <w:rFonts w:ascii="Times New Roman" w:hAnsi="Times New Roman"/>
          <w:sz w:val="28"/>
          <w:szCs w:val="28"/>
        </w:rPr>
        <w:t xml:space="preserve"> </w:t>
      </w:r>
      <w:r w:rsidR="00F078A6" w:rsidRPr="009009D7">
        <w:rPr>
          <w:rFonts w:ascii="Times New Roman" w:hAnsi="Times New Roman"/>
          <w:sz w:val="28"/>
          <w:szCs w:val="28"/>
        </w:rPr>
        <w:t>Section 3 (1) of the ESTA further provid</w:t>
      </w:r>
      <w:r w:rsidR="00A52828" w:rsidRPr="009009D7">
        <w:rPr>
          <w:rFonts w:ascii="Times New Roman" w:hAnsi="Times New Roman"/>
          <w:sz w:val="28"/>
          <w:szCs w:val="28"/>
        </w:rPr>
        <w:t>e</w:t>
      </w:r>
      <w:r w:rsidR="00F078A6" w:rsidRPr="009009D7">
        <w:rPr>
          <w:rFonts w:ascii="Times New Roman" w:hAnsi="Times New Roman"/>
          <w:sz w:val="28"/>
          <w:szCs w:val="28"/>
        </w:rPr>
        <w:t>s that that right (entailing con</w:t>
      </w:r>
      <w:r w:rsidR="00A52828" w:rsidRPr="009009D7">
        <w:rPr>
          <w:rFonts w:ascii="Times New Roman" w:hAnsi="Times New Roman"/>
          <w:sz w:val="28"/>
          <w:szCs w:val="28"/>
        </w:rPr>
        <w:t>sent within the meaning of the A</w:t>
      </w:r>
      <w:r w:rsidR="00F078A6" w:rsidRPr="009009D7">
        <w:rPr>
          <w:rFonts w:ascii="Times New Roman" w:hAnsi="Times New Roman"/>
          <w:sz w:val="28"/>
          <w:szCs w:val="28"/>
        </w:rPr>
        <w:t>ct to</w:t>
      </w:r>
      <w:r w:rsidR="009009D7">
        <w:rPr>
          <w:rFonts w:ascii="Times New Roman" w:hAnsi="Times New Roman"/>
          <w:sz w:val="28"/>
          <w:szCs w:val="28"/>
        </w:rPr>
        <w:t xml:space="preserve"> </w:t>
      </w:r>
      <w:r w:rsidR="00F078A6" w:rsidRPr="009009D7">
        <w:rPr>
          <w:rFonts w:ascii="Times New Roman" w:hAnsi="Times New Roman"/>
          <w:sz w:val="28"/>
          <w:szCs w:val="28"/>
        </w:rPr>
        <w:t>reside on or use land)</w:t>
      </w:r>
      <w:r w:rsidR="009B5812" w:rsidRPr="009009D7">
        <w:rPr>
          <w:rFonts w:ascii="Times New Roman" w:hAnsi="Times New Roman"/>
          <w:sz w:val="28"/>
          <w:szCs w:val="28"/>
        </w:rPr>
        <w:t xml:space="preserve"> </w:t>
      </w:r>
      <w:r w:rsidR="00F078A6" w:rsidRPr="009009D7">
        <w:rPr>
          <w:rFonts w:ascii="Times New Roman" w:hAnsi="Times New Roman"/>
          <w:sz w:val="28"/>
          <w:szCs w:val="28"/>
        </w:rPr>
        <w:t>shall</w:t>
      </w:r>
      <w:r w:rsidR="009B5812" w:rsidRPr="009009D7">
        <w:rPr>
          <w:rFonts w:ascii="Times New Roman" w:hAnsi="Times New Roman"/>
          <w:sz w:val="28"/>
          <w:szCs w:val="28"/>
        </w:rPr>
        <w:t xml:space="preserve"> only be terminated </w:t>
      </w:r>
      <w:r w:rsidR="00F078A6" w:rsidRPr="009009D7">
        <w:rPr>
          <w:rFonts w:ascii="Times New Roman" w:hAnsi="Times New Roman"/>
          <w:sz w:val="28"/>
          <w:szCs w:val="28"/>
        </w:rPr>
        <w:t>in accordance with the provisions of section 8</w:t>
      </w:r>
      <w:r w:rsidR="00381E0B" w:rsidRPr="009009D7">
        <w:rPr>
          <w:rFonts w:ascii="Times New Roman" w:hAnsi="Times New Roman"/>
          <w:sz w:val="28"/>
          <w:szCs w:val="28"/>
        </w:rPr>
        <w:t xml:space="preserve"> of the ESTA</w:t>
      </w:r>
      <w:r w:rsidR="00F078A6" w:rsidRPr="009009D7">
        <w:rPr>
          <w:rFonts w:ascii="Times New Roman" w:hAnsi="Times New Roman"/>
          <w:sz w:val="28"/>
          <w:szCs w:val="28"/>
        </w:rPr>
        <w:t>.</w:t>
      </w:r>
      <w:r w:rsidR="00932C88">
        <w:rPr>
          <w:rStyle w:val="FootnoteReference"/>
          <w:rFonts w:ascii="Times New Roman" w:hAnsi="Times New Roman"/>
          <w:sz w:val="28"/>
          <w:szCs w:val="28"/>
        </w:rPr>
        <w:footnoteReference w:id="34"/>
      </w:r>
      <w:r w:rsidR="00F078A6" w:rsidRPr="009009D7">
        <w:rPr>
          <w:rFonts w:ascii="Times New Roman" w:hAnsi="Times New Roman"/>
          <w:sz w:val="28"/>
          <w:szCs w:val="28"/>
        </w:rPr>
        <w:t xml:space="preserve"> A statutory right</w:t>
      </w:r>
      <w:r w:rsidR="00A52828" w:rsidRPr="009009D7">
        <w:rPr>
          <w:rFonts w:ascii="Times New Roman" w:hAnsi="Times New Roman"/>
          <w:sz w:val="28"/>
          <w:szCs w:val="28"/>
        </w:rPr>
        <w:t xml:space="preserve"> of residence</w:t>
      </w:r>
      <w:r w:rsidR="00381E0B" w:rsidRPr="009009D7">
        <w:rPr>
          <w:rFonts w:ascii="Times New Roman" w:hAnsi="Times New Roman"/>
          <w:sz w:val="28"/>
          <w:szCs w:val="28"/>
        </w:rPr>
        <w:t xml:space="preserve">, the protection of which is </w:t>
      </w:r>
      <w:r w:rsidR="007749C5" w:rsidRPr="009009D7">
        <w:rPr>
          <w:rFonts w:ascii="Times New Roman" w:hAnsi="Times New Roman"/>
          <w:sz w:val="28"/>
          <w:szCs w:val="28"/>
        </w:rPr>
        <w:t>fastidiously prescribed</w:t>
      </w:r>
      <w:r w:rsidR="00A52828" w:rsidRPr="009009D7">
        <w:rPr>
          <w:rFonts w:ascii="Times New Roman" w:hAnsi="Times New Roman"/>
          <w:sz w:val="28"/>
          <w:szCs w:val="28"/>
        </w:rPr>
        <w:t xml:space="preserve"> under defined circumstances for a particularly vulnerable category of occupier</w:t>
      </w:r>
      <w:r w:rsidR="003258D1">
        <w:rPr>
          <w:rFonts w:ascii="Times New Roman" w:hAnsi="Times New Roman"/>
          <w:sz w:val="28"/>
          <w:szCs w:val="28"/>
        </w:rPr>
        <w:t xml:space="preserve"> singled out by the legislature</w:t>
      </w:r>
      <w:r w:rsidR="00381E0B" w:rsidRPr="009009D7">
        <w:rPr>
          <w:rFonts w:ascii="Times New Roman" w:hAnsi="Times New Roman"/>
          <w:sz w:val="28"/>
          <w:szCs w:val="28"/>
        </w:rPr>
        <w:t>,</w:t>
      </w:r>
      <w:r w:rsidR="00F078A6" w:rsidRPr="009009D7">
        <w:rPr>
          <w:rFonts w:ascii="Times New Roman" w:hAnsi="Times New Roman"/>
          <w:sz w:val="28"/>
          <w:szCs w:val="28"/>
        </w:rPr>
        <w:t xml:space="preserve"> is vastly different from </w:t>
      </w:r>
      <w:r w:rsidR="00381E0B" w:rsidRPr="009009D7">
        <w:rPr>
          <w:rFonts w:ascii="Times New Roman" w:hAnsi="Times New Roman"/>
          <w:sz w:val="28"/>
          <w:szCs w:val="28"/>
        </w:rPr>
        <w:t xml:space="preserve">the respondents’ unique </w:t>
      </w:r>
      <w:r w:rsidR="00F078A6" w:rsidRPr="009009D7">
        <w:rPr>
          <w:rFonts w:ascii="Times New Roman" w:hAnsi="Times New Roman"/>
          <w:sz w:val="28"/>
          <w:szCs w:val="28"/>
        </w:rPr>
        <w:t>contractual right</w:t>
      </w:r>
      <w:r w:rsidR="00381E0B" w:rsidRPr="009009D7">
        <w:rPr>
          <w:rFonts w:ascii="Times New Roman" w:hAnsi="Times New Roman"/>
          <w:sz w:val="28"/>
          <w:szCs w:val="28"/>
        </w:rPr>
        <w:t xml:space="preserve">s arising </w:t>
      </w:r>
      <w:r w:rsidR="007749C5" w:rsidRPr="009009D7">
        <w:rPr>
          <w:rFonts w:ascii="Times New Roman" w:hAnsi="Times New Roman"/>
          <w:sz w:val="28"/>
          <w:szCs w:val="28"/>
        </w:rPr>
        <w:t>within the four corners of the</w:t>
      </w:r>
      <w:r w:rsidR="00A52828" w:rsidRPr="009009D7">
        <w:rPr>
          <w:rFonts w:ascii="Times New Roman" w:hAnsi="Times New Roman"/>
          <w:sz w:val="28"/>
          <w:szCs w:val="28"/>
        </w:rPr>
        <w:t xml:space="preserve"> employment</w:t>
      </w:r>
      <w:r w:rsidR="007749C5" w:rsidRPr="009009D7">
        <w:rPr>
          <w:rFonts w:ascii="Times New Roman" w:hAnsi="Times New Roman"/>
          <w:sz w:val="28"/>
          <w:szCs w:val="28"/>
        </w:rPr>
        <w:t xml:space="preserve"> agreement which</w:t>
      </w:r>
      <w:r w:rsidR="00E80A7E" w:rsidRPr="009009D7">
        <w:rPr>
          <w:rFonts w:ascii="Times New Roman" w:hAnsi="Times New Roman"/>
          <w:sz w:val="28"/>
          <w:szCs w:val="28"/>
        </w:rPr>
        <w:t xml:space="preserve"> applies </w:t>
      </w:r>
      <w:r w:rsidR="00E80A7E" w:rsidRPr="009009D7">
        <w:rPr>
          <w:rFonts w:ascii="Times New Roman" w:hAnsi="Times New Roman"/>
          <w:i/>
          <w:iCs/>
          <w:sz w:val="28"/>
          <w:szCs w:val="28"/>
        </w:rPr>
        <w:t>in casu</w:t>
      </w:r>
      <w:r w:rsidR="00E80A7E" w:rsidRPr="009009D7">
        <w:rPr>
          <w:rFonts w:ascii="Times New Roman" w:hAnsi="Times New Roman"/>
          <w:sz w:val="28"/>
          <w:szCs w:val="28"/>
        </w:rPr>
        <w:t xml:space="preserve">. </w:t>
      </w:r>
    </w:p>
    <w:p w14:paraId="4EA4AE7E" w14:textId="77777777" w:rsidR="002D7E25" w:rsidRPr="00BF7C24" w:rsidRDefault="002D7E25" w:rsidP="00D46D76">
      <w:pPr>
        <w:pStyle w:val="ListParagraph"/>
        <w:tabs>
          <w:tab w:val="left" w:pos="0"/>
        </w:tabs>
        <w:spacing w:after="0" w:line="360" w:lineRule="auto"/>
        <w:ind w:left="0"/>
        <w:rPr>
          <w:rFonts w:ascii="Times New Roman" w:hAnsi="Times New Roman"/>
          <w:b/>
          <w:sz w:val="28"/>
          <w:szCs w:val="28"/>
        </w:rPr>
      </w:pPr>
    </w:p>
    <w:p w14:paraId="1EC6EA59" w14:textId="77777777" w:rsidR="002D7E25" w:rsidRPr="00D72AB9" w:rsidRDefault="002D7E25"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In conclusion, I am satisfied that the respondents are </w:t>
      </w:r>
      <w:r w:rsidR="00BF7C24">
        <w:rPr>
          <w:rFonts w:ascii="Times New Roman" w:hAnsi="Times New Roman"/>
          <w:sz w:val="28"/>
          <w:szCs w:val="28"/>
        </w:rPr>
        <w:t>“</w:t>
      </w:r>
      <w:r>
        <w:rPr>
          <w:rFonts w:ascii="Times New Roman" w:hAnsi="Times New Roman"/>
          <w:sz w:val="28"/>
          <w:szCs w:val="28"/>
        </w:rPr>
        <w:t>unlawful occupiers</w:t>
      </w:r>
      <w:r w:rsidR="00BF7C24">
        <w:rPr>
          <w:rFonts w:ascii="Times New Roman" w:hAnsi="Times New Roman"/>
          <w:sz w:val="28"/>
          <w:szCs w:val="28"/>
        </w:rPr>
        <w:t>” within the meaning of the definition in the PIE Act</w:t>
      </w:r>
      <w:r>
        <w:rPr>
          <w:rFonts w:ascii="Times New Roman" w:hAnsi="Times New Roman"/>
          <w:sz w:val="28"/>
          <w:szCs w:val="28"/>
        </w:rPr>
        <w:t xml:space="preserve"> and that the applicant</w:t>
      </w:r>
      <w:r w:rsidR="00062F61">
        <w:rPr>
          <w:rFonts w:ascii="Times New Roman" w:hAnsi="Times New Roman"/>
          <w:sz w:val="28"/>
          <w:szCs w:val="28"/>
        </w:rPr>
        <w:t xml:space="preserve"> is</w:t>
      </w:r>
      <w:r w:rsidR="00B0059C">
        <w:rPr>
          <w:rFonts w:ascii="Times New Roman" w:hAnsi="Times New Roman"/>
          <w:sz w:val="28"/>
          <w:szCs w:val="28"/>
        </w:rPr>
        <w:t>,</w:t>
      </w:r>
      <w:r>
        <w:rPr>
          <w:rFonts w:ascii="Times New Roman" w:hAnsi="Times New Roman"/>
          <w:sz w:val="28"/>
          <w:szCs w:val="28"/>
        </w:rPr>
        <w:t xml:space="preserve"> in principle, entitled to an eviction order subject to the constraints imposed by section 4 of the PIE Act.  </w:t>
      </w:r>
      <w:r w:rsidR="007749C5">
        <w:rPr>
          <w:rFonts w:ascii="Times New Roman" w:hAnsi="Times New Roman"/>
          <w:sz w:val="28"/>
          <w:szCs w:val="28"/>
        </w:rPr>
        <w:t>Indeed, t</w:t>
      </w:r>
      <w:r>
        <w:rPr>
          <w:rFonts w:ascii="Times New Roman" w:hAnsi="Times New Roman"/>
          <w:sz w:val="28"/>
          <w:szCs w:val="28"/>
        </w:rPr>
        <w:t xml:space="preserve">his is a classic case of holding over which is in </w:t>
      </w:r>
      <w:r>
        <w:rPr>
          <w:rFonts w:ascii="Times New Roman" w:hAnsi="Times New Roman"/>
          <w:sz w:val="28"/>
          <w:szCs w:val="28"/>
        </w:rPr>
        <w:lastRenderedPageBreak/>
        <w:t>a category all of its own for purposes of applying the relevant provisions of the PIE Act.</w:t>
      </w:r>
      <w:r>
        <w:rPr>
          <w:rStyle w:val="FootnoteReference"/>
          <w:rFonts w:ascii="Times New Roman" w:hAnsi="Times New Roman"/>
          <w:sz w:val="28"/>
          <w:szCs w:val="28"/>
        </w:rPr>
        <w:footnoteReference w:id="35"/>
      </w:r>
    </w:p>
    <w:p w14:paraId="50191240" w14:textId="77777777" w:rsidR="00A913C9" w:rsidRPr="00A913C9" w:rsidRDefault="00A913C9" w:rsidP="00D46D76">
      <w:pPr>
        <w:pStyle w:val="ListParagraph"/>
        <w:spacing w:after="0" w:line="360" w:lineRule="auto"/>
        <w:rPr>
          <w:rFonts w:ascii="Times New Roman" w:hAnsi="Times New Roman"/>
          <w:b/>
          <w:sz w:val="28"/>
          <w:szCs w:val="28"/>
        </w:rPr>
      </w:pPr>
    </w:p>
    <w:p w14:paraId="6CDE0ABF" w14:textId="77777777" w:rsidR="00A913C9" w:rsidRPr="00A913C9" w:rsidRDefault="00A913C9" w:rsidP="00D46D76">
      <w:pPr>
        <w:pStyle w:val="ListParagraph"/>
        <w:tabs>
          <w:tab w:val="left" w:pos="0"/>
        </w:tabs>
        <w:spacing w:after="0" w:line="360" w:lineRule="auto"/>
        <w:ind w:left="0"/>
        <w:rPr>
          <w:rFonts w:ascii="Times New Roman" w:hAnsi="Times New Roman"/>
          <w:b/>
          <w:sz w:val="28"/>
          <w:szCs w:val="28"/>
          <w:u w:val="single"/>
        </w:rPr>
      </w:pPr>
      <w:r>
        <w:rPr>
          <w:rFonts w:ascii="Times New Roman" w:hAnsi="Times New Roman"/>
          <w:b/>
          <w:sz w:val="28"/>
          <w:szCs w:val="28"/>
          <w:u w:val="single"/>
        </w:rPr>
        <w:t>The procedural requirements:</w:t>
      </w:r>
    </w:p>
    <w:p w14:paraId="1D4F3800" w14:textId="77777777" w:rsidR="00232C3B" w:rsidRPr="00232C3B" w:rsidRDefault="00232C3B" w:rsidP="00D46D76">
      <w:pPr>
        <w:pStyle w:val="ListParagraph"/>
        <w:spacing w:after="0" w:line="360" w:lineRule="auto"/>
        <w:rPr>
          <w:rFonts w:ascii="Times New Roman" w:hAnsi="Times New Roman"/>
          <w:sz w:val="28"/>
          <w:szCs w:val="28"/>
        </w:rPr>
      </w:pPr>
    </w:p>
    <w:p w14:paraId="03242029" w14:textId="77777777" w:rsidR="0050148A" w:rsidRPr="0050148A" w:rsidRDefault="002011E5"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An</w:t>
      </w:r>
      <w:r w:rsidR="0050148A">
        <w:rPr>
          <w:rFonts w:ascii="Times New Roman" w:hAnsi="Times New Roman"/>
          <w:sz w:val="28"/>
          <w:szCs w:val="28"/>
        </w:rPr>
        <w:t xml:space="preserve"> applicant</w:t>
      </w:r>
      <w:r>
        <w:rPr>
          <w:rFonts w:ascii="Times New Roman" w:hAnsi="Times New Roman"/>
          <w:sz w:val="28"/>
          <w:szCs w:val="28"/>
        </w:rPr>
        <w:t xml:space="preserve"> in an eviction application that is brought within the ambit of the PIE Act is required to </w:t>
      </w:r>
      <w:r w:rsidR="0050148A">
        <w:rPr>
          <w:rFonts w:ascii="Times New Roman" w:hAnsi="Times New Roman"/>
          <w:sz w:val="28"/>
          <w:szCs w:val="28"/>
        </w:rPr>
        <w:t xml:space="preserve">establish that the procedural requirements of the PIE Act have </w:t>
      </w:r>
      <w:r w:rsidR="00E80A7E">
        <w:rPr>
          <w:rFonts w:ascii="Times New Roman" w:hAnsi="Times New Roman"/>
          <w:sz w:val="28"/>
          <w:szCs w:val="28"/>
        </w:rPr>
        <w:t xml:space="preserve">also </w:t>
      </w:r>
      <w:r w:rsidR="0050148A">
        <w:rPr>
          <w:rFonts w:ascii="Times New Roman" w:hAnsi="Times New Roman"/>
          <w:sz w:val="28"/>
          <w:szCs w:val="28"/>
        </w:rPr>
        <w:t xml:space="preserve">been met.  </w:t>
      </w:r>
    </w:p>
    <w:p w14:paraId="1BF2754D" w14:textId="77777777" w:rsidR="00A913C9" w:rsidRPr="00A913C9" w:rsidRDefault="00A913C9" w:rsidP="00D46D76">
      <w:pPr>
        <w:pStyle w:val="ListParagraph"/>
        <w:tabs>
          <w:tab w:val="left" w:pos="0"/>
        </w:tabs>
        <w:spacing w:after="0" w:line="360" w:lineRule="auto"/>
        <w:ind w:left="0"/>
        <w:rPr>
          <w:rFonts w:ascii="Times New Roman" w:hAnsi="Times New Roman"/>
          <w:b/>
          <w:sz w:val="28"/>
          <w:szCs w:val="28"/>
        </w:rPr>
      </w:pPr>
    </w:p>
    <w:p w14:paraId="3F8ACB7D" w14:textId="77777777" w:rsidR="00D96689" w:rsidRPr="00D96689" w:rsidRDefault="006A0D6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Section 4 (2) of the PIE </w:t>
      </w:r>
      <w:r w:rsidR="0050148A">
        <w:rPr>
          <w:rFonts w:ascii="Times New Roman" w:hAnsi="Times New Roman"/>
          <w:sz w:val="28"/>
          <w:szCs w:val="28"/>
        </w:rPr>
        <w:t>sets out the</w:t>
      </w:r>
      <w:r>
        <w:rPr>
          <w:rFonts w:ascii="Times New Roman" w:hAnsi="Times New Roman"/>
          <w:sz w:val="28"/>
          <w:szCs w:val="28"/>
        </w:rPr>
        <w:t xml:space="preserve"> </w:t>
      </w:r>
      <w:r w:rsidR="002011E5">
        <w:rPr>
          <w:rFonts w:ascii="Times New Roman" w:hAnsi="Times New Roman"/>
          <w:sz w:val="28"/>
          <w:szCs w:val="28"/>
        </w:rPr>
        <w:t>necessary</w:t>
      </w:r>
      <w:r>
        <w:rPr>
          <w:rFonts w:ascii="Times New Roman" w:hAnsi="Times New Roman"/>
          <w:sz w:val="28"/>
          <w:szCs w:val="28"/>
        </w:rPr>
        <w:t xml:space="preserve"> requirement</w:t>
      </w:r>
      <w:r w:rsidR="0032403B">
        <w:rPr>
          <w:rFonts w:ascii="Times New Roman" w:hAnsi="Times New Roman"/>
          <w:sz w:val="28"/>
          <w:szCs w:val="28"/>
        </w:rPr>
        <w:t>s</w:t>
      </w:r>
      <w:r>
        <w:rPr>
          <w:rFonts w:ascii="Times New Roman" w:hAnsi="Times New Roman"/>
          <w:sz w:val="28"/>
          <w:szCs w:val="28"/>
        </w:rPr>
        <w:t xml:space="preserve"> regarding notification </w:t>
      </w:r>
      <w:r w:rsidR="002011E5">
        <w:rPr>
          <w:rFonts w:ascii="Times New Roman" w:hAnsi="Times New Roman"/>
          <w:sz w:val="28"/>
          <w:szCs w:val="28"/>
        </w:rPr>
        <w:t>to</w:t>
      </w:r>
      <w:r>
        <w:rPr>
          <w:rFonts w:ascii="Times New Roman" w:hAnsi="Times New Roman"/>
          <w:sz w:val="28"/>
          <w:szCs w:val="28"/>
        </w:rPr>
        <w:t xml:space="preserve"> the person or persons sought to be evicted of the date of the hearing, over and above the requirement of service as determined by the rules of the applicable court.</w:t>
      </w:r>
      <w:r w:rsidR="0050148A">
        <w:rPr>
          <w:rStyle w:val="FootnoteReference"/>
          <w:rFonts w:ascii="Times New Roman" w:hAnsi="Times New Roman"/>
          <w:sz w:val="28"/>
          <w:szCs w:val="28"/>
        </w:rPr>
        <w:footnoteReference w:id="36"/>
      </w:r>
      <w:r>
        <w:rPr>
          <w:rFonts w:ascii="Times New Roman" w:hAnsi="Times New Roman"/>
          <w:sz w:val="28"/>
          <w:szCs w:val="28"/>
        </w:rPr>
        <w:t xml:space="preserve">  </w:t>
      </w:r>
    </w:p>
    <w:p w14:paraId="4AAD53F3" w14:textId="77777777" w:rsidR="00D96689" w:rsidRPr="00D96689" w:rsidRDefault="00D96689" w:rsidP="00D46D76">
      <w:pPr>
        <w:pStyle w:val="ListParagraph"/>
        <w:spacing w:after="0" w:line="360" w:lineRule="auto"/>
        <w:rPr>
          <w:rFonts w:ascii="Times New Roman" w:hAnsi="Times New Roman"/>
          <w:sz w:val="28"/>
          <w:szCs w:val="28"/>
        </w:rPr>
      </w:pPr>
    </w:p>
    <w:p w14:paraId="767A6D70" w14:textId="77777777" w:rsidR="0050148A" w:rsidRPr="0050148A" w:rsidRDefault="006A0D6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court’s consideration and application of section 4 (2) is procedural in nature and does not inv</w:t>
      </w:r>
      <w:r w:rsidR="002011E5">
        <w:rPr>
          <w:rFonts w:ascii="Times New Roman" w:hAnsi="Times New Roman"/>
          <w:sz w:val="28"/>
          <w:szCs w:val="28"/>
        </w:rPr>
        <w:t>olve a decision on the merits.</w:t>
      </w:r>
      <w:r>
        <w:rPr>
          <w:rStyle w:val="FootnoteReference"/>
          <w:rFonts w:ascii="Times New Roman" w:hAnsi="Times New Roman"/>
          <w:sz w:val="28"/>
          <w:szCs w:val="28"/>
        </w:rPr>
        <w:footnoteReference w:id="37"/>
      </w:r>
      <w:r>
        <w:rPr>
          <w:rFonts w:ascii="Times New Roman" w:hAnsi="Times New Roman"/>
          <w:sz w:val="28"/>
          <w:szCs w:val="28"/>
        </w:rPr>
        <w:t xml:space="preserve">  </w:t>
      </w:r>
      <w:r w:rsidR="00742232">
        <w:rPr>
          <w:rFonts w:ascii="Times New Roman" w:hAnsi="Times New Roman"/>
          <w:sz w:val="28"/>
          <w:szCs w:val="28"/>
        </w:rPr>
        <w:t>The two-fold enquiry concerning whether, firstly, the person in respect of whom the eviction order is sought is an unlawful occupier, and, secondly, whether it is just and equitable to grant an eviction order</w:t>
      </w:r>
      <w:r w:rsidR="00C16FC5">
        <w:rPr>
          <w:rFonts w:ascii="Times New Roman" w:hAnsi="Times New Roman"/>
          <w:sz w:val="28"/>
          <w:szCs w:val="28"/>
        </w:rPr>
        <w:t>,</w:t>
      </w:r>
      <w:r w:rsidR="00742232">
        <w:rPr>
          <w:rFonts w:ascii="Times New Roman" w:hAnsi="Times New Roman"/>
          <w:sz w:val="28"/>
          <w:szCs w:val="28"/>
        </w:rPr>
        <w:t xml:space="preserve"> do indeed involve the merits and is dealt with on the date of the hearing.</w:t>
      </w:r>
    </w:p>
    <w:p w14:paraId="51C54B8F" w14:textId="77777777" w:rsidR="0050148A" w:rsidRPr="0050148A" w:rsidRDefault="0050148A" w:rsidP="00D46D76">
      <w:pPr>
        <w:pStyle w:val="ListParagraph"/>
        <w:tabs>
          <w:tab w:val="left" w:pos="0"/>
        </w:tabs>
        <w:spacing w:after="0" w:line="360" w:lineRule="auto"/>
        <w:ind w:left="0"/>
        <w:rPr>
          <w:rFonts w:ascii="Times New Roman" w:hAnsi="Times New Roman"/>
          <w:b/>
          <w:sz w:val="28"/>
          <w:szCs w:val="28"/>
        </w:rPr>
      </w:pPr>
    </w:p>
    <w:p w14:paraId="18F0A01E" w14:textId="77777777" w:rsidR="006C1610" w:rsidRPr="006C1610" w:rsidRDefault="0050148A" w:rsidP="006C1610">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I have set out</w:t>
      </w:r>
      <w:r w:rsidR="00D96689">
        <w:rPr>
          <w:rFonts w:ascii="Times New Roman" w:hAnsi="Times New Roman"/>
          <w:sz w:val="28"/>
          <w:szCs w:val="28"/>
        </w:rPr>
        <w:t xml:space="preserve"> above</w:t>
      </w:r>
      <w:r>
        <w:rPr>
          <w:rFonts w:ascii="Times New Roman" w:hAnsi="Times New Roman"/>
          <w:sz w:val="28"/>
          <w:szCs w:val="28"/>
        </w:rPr>
        <w:t xml:space="preserve"> the full exposition of section </w:t>
      </w:r>
      <w:r w:rsidR="00084AF4">
        <w:rPr>
          <w:rFonts w:ascii="Times New Roman" w:hAnsi="Times New Roman"/>
          <w:sz w:val="28"/>
          <w:szCs w:val="28"/>
        </w:rPr>
        <w:t>4,</w:t>
      </w:r>
      <w:r w:rsidR="00A913C9">
        <w:rPr>
          <w:rFonts w:ascii="Times New Roman" w:hAnsi="Times New Roman"/>
          <w:sz w:val="28"/>
          <w:szCs w:val="28"/>
        </w:rPr>
        <w:t xml:space="preserve"> </w:t>
      </w:r>
      <w:r>
        <w:rPr>
          <w:rFonts w:ascii="Times New Roman" w:hAnsi="Times New Roman"/>
          <w:sz w:val="28"/>
          <w:szCs w:val="28"/>
        </w:rPr>
        <w:t>and I presently draw attention to t</w:t>
      </w:r>
      <w:r w:rsidR="0032403B">
        <w:rPr>
          <w:rFonts w:ascii="Times New Roman" w:hAnsi="Times New Roman"/>
          <w:sz w:val="28"/>
          <w:szCs w:val="28"/>
        </w:rPr>
        <w:t>he provisions of sub-section (1) to (5)</w:t>
      </w:r>
      <w:r w:rsidR="00E80A7E">
        <w:rPr>
          <w:rFonts w:ascii="Times New Roman" w:hAnsi="Times New Roman"/>
          <w:sz w:val="28"/>
          <w:szCs w:val="28"/>
        </w:rPr>
        <w:t xml:space="preserve"> thereof that concern themselves with the procedural aspects</w:t>
      </w:r>
      <w:r w:rsidR="00AF14F9">
        <w:rPr>
          <w:rFonts w:ascii="Times New Roman" w:hAnsi="Times New Roman"/>
          <w:sz w:val="28"/>
          <w:szCs w:val="28"/>
        </w:rPr>
        <w:t xml:space="preserve"> of an application such as the present one</w:t>
      </w:r>
      <w:r>
        <w:rPr>
          <w:rFonts w:ascii="Times New Roman" w:hAnsi="Times New Roman"/>
          <w:sz w:val="28"/>
          <w:szCs w:val="28"/>
        </w:rPr>
        <w:t>.</w:t>
      </w:r>
    </w:p>
    <w:p w14:paraId="623B5957" w14:textId="77777777" w:rsidR="006C1610" w:rsidRPr="006C1610" w:rsidRDefault="006C1610" w:rsidP="006C1610">
      <w:pPr>
        <w:pStyle w:val="ListParagraph"/>
        <w:rPr>
          <w:rFonts w:ascii="Times New Roman" w:hAnsi="Times New Roman"/>
          <w:sz w:val="28"/>
          <w:szCs w:val="28"/>
          <w:lang w:val="en-GB"/>
        </w:rPr>
      </w:pPr>
    </w:p>
    <w:p w14:paraId="19DF5286" w14:textId="77777777" w:rsidR="006C1610" w:rsidRPr="006C1610" w:rsidRDefault="006C1610" w:rsidP="006C1610">
      <w:pPr>
        <w:pStyle w:val="ListParagraph"/>
        <w:numPr>
          <w:ilvl w:val="0"/>
          <w:numId w:val="2"/>
        </w:numPr>
        <w:tabs>
          <w:tab w:val="left" w:pos="0"/>
        </w:tabs>
        <w:spacing w:after="0" w:line="360" w:lineRule="auto"/>
        <w:ind w:left="0" w:firstLine="0"/>
        <w:rPr>
          <w:rFonts w:ascii="Times New Roman" w:hAnsi="Times New Roman"/>
          <w:b/>
          <w:sz w:val="28"/>
          <w:szCs w:val="28"/>
        </w:rPr>
      </w:pPr>
      <w:r w:rsidRPr="006C1610">
        <w:rPr>
          <w:rFonts w:ascii="Times New Roman" w:hAnsi="Times New Roman"/>
          <w:sz w:val="28"/>
          <w:szCs w:val="28"/>
          <w:lang w:val="en-GB"/>
        </w:rPr>
        <w:lastRenderedPageBreak/>
        <w:t>In Cape Killarney Property Investments (Pty) Ltd v Mahamba</w:t>
      </w:r>
      <w:r w:rsidR="009009D7">
        <w:rPr>
          <w:rStyle w:val="FootnoteReference"/>
          <w:rFonts w:ascii="Times New Roman" w:hAnsi="Times New Roman"/>
          <w:sz w:val="28"/>
          <w:szCs w:val="28"/>
          <w:lang w:val="en-GB"/>
        </w:rPr>
        <w:footnoteReference w:id="38"/>
      </w:r>
      <w:r w:rsidR="009009D7">
        <w:rPr>
          <w:rFonts w:ascii="Times New Roman" w:hAnsi="Times New Roman"/>
          <w:sz w:val="28"/>
          <w:szCs w:val="28"/>
          <w:lang w:val="en-GB"/>
        </w:rPr>
        <w:t xml:space="preserve"> </w:t>
      </w:r>
      <w:r w:rsidRPr="006C1610">
        <w:rPr>
          <w:rFonts w:ascii="Times New Roman" w:hAnsi="Times New Roman"/>
          <w:sz w:val="28"/>
          <w:szCs w:val="28"/>
          <w:lang w:val="en-GB"/>
        </w:rPr>
        <w:t xml:space="preserve">the Supreme Court of Appeal outlined the basic principles of interpretation regarding section 4 (2) of the PIE Act. In broad terms, a PIE application is to be launched like any other and after the papers on both sides have been exchanged (in opposed matters) and a date for the hearing has been determined, the court is only then approached on an </w:t>
      </w:r>
      <w:r w:rsidRPr="006C1610">
        <w:rPr>
          <w:rFonts w:ascii="Times New Roman" w:hAnsi="Times New Roman"/>
          <w:i/>
          <w:iCs/>
          <w:sz w:val="28"/>
          <w:szCs w:val="28"/>
          <w:lang w:val="en-GB"/>
        </w:rPr>
        <w:t>ex parte</w:t>
      </w:r>
      <w:r w:rsidRPr="006C1610">
        <w:rPr>
          <w:rFonts w:ascii="Times New Roman" w:hAnsi="Times New Roman"/>
          <w:sz w:val="28"/>
          <w:szCs w:val="28"/>
          <w:lang w:val="en-GB"/>
        </w:rPr>
        <w:t xml:space="preserve"> basis for directions in terms of section 4 (2). The notice in terms of section 4 (2), containing the date of the hearing and other prescribed information is then to be served on the respondent.  With the same objective in mind, if the matter is unopposed, the </w:t>
      </w:r>
      <w:r w:rsidRPr="006C1610">
        <w:rPr>
          <w:rFonts w:ascii="Times New Roman" w:hAnsi="Times New Roman"/>
          <w:i/>
          <w:iCs/>
          <w:sz w:val="28"/>
          <w:szCs w:val="28"/>
          <w:lang w:val="en-GB"/>
        </w:rPr>
        <w:t>ex parte</w:t>
      </w:r>
      <w:r w:rsidRPr="006C1610">
        <w:rPr>
          <w:rFonts w:ascii="Times New Roman" w:hAnsi="Times New Roman"/>
          <w:sz w:val="28"/>
          <w:szCs w:val="28"/>
          <w:lang w:val="en-GB"/>
        </w:rPr>
        <w:t xml:space="preserve"> application for directions is to be brought after expiry of the </w:t>
      </w:r>
      <w:r w:rsidRPr="006C1610">
        <w:rPr>
          <w:rFonts w:ascii="Times New Roman" w:hAnsi="Times New Roman"/>
          <w:i/>
          <w:sz w:val="28"/>
          <w:szCs w:val="28"/>
          <w:lang w:val="en-GB"/>
        </w:rPr>
        <w:t>dies</w:t>
      </w:r>
      <w:r w:rsidRPr="006C1610">
        <w:rPr>
          <w:rFonts w:ascii="Times New Roman" w:hAnsi="Times New Roman"/>
          <w:sz w:val="28"/>
          <w:szCs w:val="28"/>
          <w:lang w:val="en-GB"/>
        </w:rPr>
        <w:t xml:space="preserve"> for filing a notice to oppose, and the notice in terms of section 4 (2) is then served on the respondent to inform him/her of the date of which the application will be moved on an unopposed basis.  There are therefore two distinct, but related, applications.</w:t>
      </w:r>
    </w:p>
    <w:p w14:paraId="276D9215" w14:textId="77777777" w:rsidR="006A0D69" w:rsidRPr="006A0D69" w:rsidRDefault="006A0D69" w:rsidP="00D46D76">
      <w:pPr>
        <w:pStyle w:val="ListParagraph"/>
        <w:spacing w:after="0" w:line="360" w:lineRule="auto"/>
        <w:rPr>
          <w:rFonts w:ascii="Times New Roman" w:hAnsi="Times New Roman"/>
          <w:sz w:val="28"/>
          <w:szCs w:val="28"/>
        </w:rPr>
      </w:pPr>
    </w:p>
    <w:p w14:paraId="3189FA55" w14:textId="77777777" w:rsidR="005275EC" w:rsidRPr="00D46D76" w:rsidRDefault="00BB0DF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detailed notice procedure </w:t>
      </w:r>
      <w:r w:rsidR="00A913C9">
        <w:rPr>
          <w:rFonts w:ascii="Times New Roman" w:hAnsi="Times New Roman"/>
          <w:sz w:val="28"/>
          <w:szCs w:val="28"/>
        </w:rPr>
        <w:t xml:space="preserve">and format of applications under the PIE Act </w:t>
      </w:r>
      <w:r w:rsidR="00084AF4">
        <w:rPr>
          <w:rFonts w:ascii="Times New Roman" w:hAnsi="Times New Roman"/>
          <w:sz w:val="28"/>
          <w:szCs w:val="28"/>
        </w:rPr>
        <w:t xml:space="preserve">(in the Magistrate’s and the High Court’s respectively) </w:t>
      </w:r>
      <w:r>
        <w:rPr>
          <w:rFonts w:ascii="Times New Roman" w:hAnsi="Times New Roman"/>
          <w:sz w:val="28"/>
          <w:szCs w:val="28"/>
        </w:rPr>
        <w:t>ha</w:t>
      </w:r>
      <w:r w:rsidR="002011E5">
        <w:rPr>
          <w:rFonts w:ascii="Times New Roman" w:hAnsi="Times New Roman"/>
          <w:sz w:val="28"/>
          <w:szCs w:val="28"/>
        </w:rPr>
        <w:t>s</w:t>
      </w:r>
      <w:r>
        <w:rPr>
          <w:rFonts w:ascii="Times New Roman" w:hAnsi="Times New Roman"/>
          <w:sz w:val="28"/>
          <w:szCs w:val="28"/>
        </w:rPr>
        <w:t xml:space="preserve"> been helpfully summarized in </w:t>
      </w:r>
      <w:r w:rsidR="0050148A">
        <w:rPr>
          <w:rFonts w:ascii="Times New Roman" w:hAnsi="Times New Roman"/>
          <w:sz w:val="28"/>
          <w:szCs w:val="28"/>
        </w:rPr>
        <w:t xml:space="preserve">Eviction and Rental </w:t>
      </w:r>
      <w:r w:rsidR="00E01662">
        <w:rPr>
          <w:rFonts w:ascii="Times New Roman" w:hAnsi="Times New Roman"/>
          <w:sz w:val="28"/>
          <w:szCs w:val="28"/>
        </w:rPr>
        <w:t>Claims:</w:t>
      </w:r>
      <w:r w:rsidR="0050148A">
        <w:rPr>
          <w:rFonts w:ascii="Times New Roman" w:hAnsi="Times New Roman"/>
          <w:sz w:val="28"/>
          <w:szCs w:val="28"/>
        </w:rPr>
        <w:t xml:space="preserve"> A Practical Guide,</w:t>
      </w:r>
      <w:r w:rsidR="0050148A">
        <w:rPr>
          <w:rStyle w:val="FootnoteReference"/>
          <w:rFonts w:ascii="Times New Roman" w:hAnsi="Times New Roman"/>
          <w:sz w:val="28"/>
          <w:szCs w:val="28"/>
        </w:rPr>
        <w:footnoteReference w:id="39"/>
      </w:r>
      <w:r w:rsidR="00A913C9">
        <w:rPr>
          <w:rFonts w:ascii="Times New Roman" w:hAnsi="Times New Roman"/>
          <w:sz w:val="28"/>
          <w:szCs w:val="28"/>
        </w:rPr>
        <w:t xml:space="preserve"> </w:t>
      </w:r>
      <w:r>
        <w:rPr>
          <w:rFonts w:ascii="Times New Roman" w:hAnsi="Times New Roman"/>
          <w:sz w:val="28"/>
          <w:szCs w:val="28"/>
        </w:rPr>
        <w:t>as follows:</w:t>
      </w:r>
    </w:p>
    <w:p w14:paraId="15556C64" w14:textId="77777777" w:rsidR="00D46D76" w:rsidRPr="00D46D76" w:rsidRDefault="00D46D76" w:rsidP="00D46D76">
      <w:pPr>
        <w:pStyle w:val="ListParagraph"/>
        <w:rPr>
          <w:rFonts w:ascii="Times New Roman" w:hAnsi="Times New Roman"/>
          <w:b/>
          <w:sz w:val="28"/>
          <w:szCs w:val="28"/>
        </w:rPr>
      </w:pPr>
    </w:p>
    <w:p w14:paraId="092C062F" w14:textId="77777777" w:rsidR="00DD4688" w:rsidRDefault="005275EC" w:rsidP="00D46D76">
      <w:pPr>
        <w:spacing w:line="360" w:lineRule="auto"/>
        <w:ind w:left="1077" w:hanging="357"/>
        <w:contextualSpacing/>
        <w:rPr>
          <w:rFonts w:ascii="Times New Roman" w:eastAsia="Times New Roman" w:hAnsi="Times New Roman"/>
          <w:color w:val="000000"/>
          <w:lang w:eastAsia="en-ZA"/>
        </w:rPr>
      </w:pPr>
      <w:r>
        <w:rPr>
          <w:rFonts w:ascii="Times New Roman" w:eastAsia="Times New Roman" w:hAnsi="Times New Roman"/>
          <w:color w:val="000000"/>
          <w:lang w:eastAsia="en-ZA"/>
        </w:rPr>
        <w:t>“1.</w:t>
      </w:r>
      <w:r>
        <w:rPr>
          <w:rFonts w:ascii="Times New Roman" w:eastAsia="Times New Roman" w:hAnsi="Times New Roman"/>
          <w:color w:val="000000"/>
          <w:lang w:eastAsia="en-ZA"/>
        </w:rPr>
        <w:tab/>
      </w:r>
      <w:r w:rsidRPr="005275EC">
        <w:rPr>
          <w:rFonts w:ascii="Times New Roman" w:eastAsia="Times New Roman" w:hAnsi="Times New Roman"/>
          <w:color w:val="000000"/>
          <w:lang w:eastAsia="en-ZA"/>
        </w:rPr>
        <w:t>The Long Notice of Motion should be followed – High Court Form 2(</w:t>
      </w:r>
      <w:r w:rsidRPr="005275EC">
        <w:rPr>
          <w:rFonts w:ascii="Times New Roman" w:eastAsia="Times New Roman" w:hAnsi="Times New Roman"/>
          <w:i/>
          <w:iCs/>
          <w:color w:val="000000"/>
          <w:lang w:eastAsia="en-ZA"/>
        </w:rPr>
        <w:t>a</w:t>
      </w:r>
      <w:r w:rsidRPr="005275EC">
        <w:rPr>
          <w:rFonts w:ascii="Times New Roman" w:eastAsia="Times New Roman" w:hAnsi="Times New Roman"/>
          <w:color w:val="000000"/>
          <w:lang w:eastAsia="en-ZA"/>
        </w:rPr>
        <w:t>) and Magistrates’ Court Form 1A. Proceedings may also be instituted in the Regional Civil Courts. If proceedings are instituted by way of summons, a combined summons in accordance with the rules is required – see para 10 below. The Notice of Motion must state the normal time periods for opposing and filing of opposing affidavits in terms of the rules of court. (See the precedents of both the substantive and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applications in par 3, Appendix A)</w:t>
      </w:r>
    </w:p>
    <w:p w14:paraId="78F5E1FB" w14:textId="77777777" w:rsidR="005275EC" w:rsidRPr="00344F87" w:rsidRDefault="005275EC" w:rsidP="00D46D76">
      <w:pPr>
        <w:pStyle w:val="ListParagraph"/>
        <w:numPr>
          <w:ilvl w:val="0"/>
          <w:numId w:val="6"/>
        </w:numPr>
        <w:spacing w:after="0" w:line="360" w:lineRule="auto"/>
        <w:rPr>
          <w:rFonts w:ascii="Times New Roman" w:eastAsiaTheme="minorHAnsi" w:hAnsi="Times New Roman"/>
        </w:rPr>
      </w:pPr>
      <w:r w:rsidRPr="00DD4688">
        <w:rPr>
          <w:rFonts w:ascii="Times New Roman" w:eastAsia="Times New Roman" w:hAnsi="Times New Roman"/>
          <w:color w:val="000000"/>
          <w:lang w:eastAsia="en-ZA"/>
        </w:rPr>
        <w:t>Once the Notice of Motion, being the substantive application, has been served, and the time for filing a notice to oppose has expired, the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application in terms of section 4(2) becomes relevant. This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 xml:space="preserve">application serves to obtain the court’s directions for service of the section 4(2) notice and the date of the hearing. The content of the section 4(2) notice is discussed below. In effect, the section 4(2) notice is an additional notice of </w:t>
      </w:r>
      <w:r w:rsidRPr="00DD4688">
        <w:rPr>
          <w:rFonts w:ascii="Times New Roman" w:eastAsia="Times New Roman" w:hAnsi="Times New Roman"/>
          <w:color w:val="000000"/>
          <w:lang w:eastAsia="en-ZA"/>
        </w:rPr>
        <w:lastRenderedPageBreak/>
        <w:t>the date of the hearing, apart from the notice of motion in terms of the court rules. Importantly, this notice must contain the same unopposed date of hearing as that in the substantive notice of motion. Therefore, when drafting the substantive Notice of Motion, care should be taken to allow sufficient time prior to the date of hearing, in the event that the matter is not opposed, for the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application to be prepared, brought and for service of the order. A period of 14 normal days must be allowed from date of service of the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order to the date of hearing. The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application may be brought either in chambers or set down on the unopposed motion court roll, depending on the practice of the relevant court.</w:t>
      </w:r>
      <w:r w:rsidR="00A913C9" w:rsidRPr="002011E5">
        <w:rPr>
          <w:rStyle w:val="FootnoteReference"/>
          <w:rFonts w:ascii="Times New Roman" w:eastAsia="Times New Roman" w:hAnsi="Times New Roman"/>
          <w:color w:val="000000"/>
          <w:sz w:val="28"/>
          <w:szCs w:val="28"/>
          <w:lang w:eastAsia="en-ZA"/>
        </w:rPr>
        <w:footnoteReference w:id="40"/>
      </w:r>
    </w:p>
    <w:p w14:paraId="0BEB6122" w14:textId="77777777" w:rsidR="002011E5" w:rsidRPr="00DD4688" w:rsidRDefault="005275EC" w:rsidP="00D46D76">
      <w:pPr>
        <w:pStyle w:val="ListParagraph"/>
        <w:numPr>
          <w:ilvl w:val="0"/>
          <w:numId w:val="6"/>
        </w:numPr>
        <w:spacing w:after="0" w:line="360" w:lineRule="auto"/>
        <w:ind w:left="1077" w:hanging="357"/>
        <w:rPr>
          <w:rFonts w:ascii="Times New Roman" w:eastAsiaTheme="minorHAnsi" w:hAnsi="Times New Roman"/>
        </w:rPr>
      </w:pPr>
      <w:r w:rsidRPr="005275EC">
        <w:rPr>
          <w:rFonts w:ascii="Times New Roman" w:eastAsia="Times New Roman" w:hAnsi="Times New Roman"/>
          <w:color w:val="000000"/>
          <w:lang w:eastAsia="en-ZA"/>
        </w:rPr>
        <w:t>The time periods in terms of the rules of court include only court days and therefore compliance with the 14 day period of section 4(2) will follow automatically.</w:t>
      </w:r>
      <w:r w:rsidR="007B11FD" w:rsidRPr="006C1610">
        <w:rPr>
          <w:rStyle w:val="FootnoteReference"/>
          <w:rFonts w:ascii="Times New Roman" w:eastAsia="Times New Roman" w:hAnsi="Times New Roman"/>
          <w:color w:val="000000"/>
          <w:sz w:val="28"/>
          <w:szCs w:val="28"/>
          <w:lang w:eastAsia="en-ZA"/>
        </w:rPr>
        <w:footnoteReference w:id="41"/>
      </w:r>
      <w:r w:rsidRPr="006C1610">
        <w:rPr>
          <w:rFonts w:ascii="Times New Roman" w:eastAsia="Times New Roman" w:hAnsi="Times New Roman"/>
          <w:color w:val="000000"/>
          <w:sz w:val="28"/>
          <w:szCs w:val="28"/>
          <w:lang w:eastAsia="en-ZA"/>
        </w:rPr>
        <w:t> </w:t>
      </w:r>
      <w:r w:rsidRPr="005275EC">
        <w:rPr>
          <w:rFonts w:ascii="Times New Roman" w:eastAsia="Times New Roman" w:hAnsi="Times New Roman"/>
          <w:color w:val="000000"/>
          <w:lang w:eastAsia="en-ZA"/>
        </w:rPr>
        <w:t xml:space="preserve"> The Notice of Motion must contain a date of hearing of the application, if unopposed. This provision may not apply in some divisions of the High Court.</w:t>
      </w:r>
      <w:r w:rsidR="00A913C9" w:rsidRPr="002011E5">
        <w:rPr>
          <w:rStyle w:val="FootnoteReference"/>
          <w:rFonts w:ascii="Times New Roman" w:eastAsia="Times New Roman" w:hAnsi="Times New Roman"/>
          <w:color w:val="000000"/>
          <w:sz w:val="28"/>
          <w:szCs w:val="28"/>
          <w:lang w:eastAsia="en-ZA"/>
        </w:rPr>
        <w:footnoteReference w:id="42"/>
      </w:r>
    </w:p>
    <w:p w14:paraId="5FFA0E12" w14:textId="77777777" w:rsidR="002011E5" w:rsidRPr="00DD4688" w:rsidRDefault="005275EC" w:rsidP="00D46D76">
      <w:pPr>
        <w:pStyle w:val="ListParagraph"/>
        <w:numPr>
          <w:ilvl w:val="0"/>
          <w:numId w:val="6"/>
        </w:numPr>
        <w:spacing w:after="0" w:line="360" w:lineRule="auto"/>
        <w:rPr>
          <w:rFonts w:ascii="Times New Roman" w:eastAsiaTheme="minorHAnsi" w:hAnsi="Times New Roman"/>
        </w:rPr>
      </w:pPr>
      <w:r w:rsidRPr="00DD4688">
        <w:rPr>
          <w:rFonts w:ascii="Times New Roman" w:eastAsia="Times New Roman" w:hAnsi="Times New Roman"/>
          <w:color w:val="000000"/>
          <w:lang w:eastAsia="en-ZA"/>
        </w:rPr>
        <w:t>After obtaining the </w:t>
      </w:r>
      <w:r w:rsidRPr="00DD4688">
        <w:rPr>
          <w:rFonts w:ascii="Times New Roman" w:eastAsia="Times New Roman" w:hAnsi="Times New Roman"/>
          <w:i/>
          <w:iCs/>
          <w:color w:val="000000"/>
          <w:lang w:eastAsia="en-ZA"/>
        </w:rPr>
        <w:t>ex parte </w:t>
      </w:r>
      <w:r w:rsidRPr="00DD4688">
        <w:rPr>
          <w:rFonts w:ascii="Times New Roman" w:eastAsia="Times New Roman" w:hAnsi="Times New Roman"/>
          <w:color w:val="000000"/>
          <w:lang w:eastAsia="en-ZA"/>
        </w:rPr>
        <w:t>order, the notice containing the court’s directions and the date of the hearing, must be served on the unlawful occupier as well as the municipality having jurisdiction, at least 14 days prior to the hearing of the proceedings. Section 4(2) therefore requires 14 days’ notice of the date of the hearing in addition to notice in terms of the Rules of Court.</w:t>
      </w:r>
    </w:p>
    <w:p w14:paraId="16FAB5A3" w14:textId="77777777" w:rsidR="005275EC" w:rsidRPr="005275EC" w:rsidRDefault="005275EC" w:rsidP="00D46D76">
      <w:pPr>
        <w:pStyle w:val="ListParagraph"/>
        <w:numPr>
          <w:ilvl w:val="0"/>
          <w:numId w:val="6"/>
        </w:numPr>
        <w:spacing w:after="0" w:line="360" w:lineRule="auto"/>
        <w:rPr>
          <w:rFonts w:ascii="Times New Roman" w:eastAsiaTheme="minorHAnsi" w:hAnsi="Times New Roman"/>
        </w:rPr>
      </w:pPr>
      <w:r w:rsidRPr="005275EC">
        <w:rPr>
          <w:rFonts w:ascii="Times New Roman" w:eastAsia="Times New Roman" w:hAnsi="Times New Roman"/>
          <w:color w:val="000000"/>
          <w:lang w:eastAsia="en-ZA"/>
        </w:rPr>
        <w:t>If a Notice of Intention to Oppose is delivered, the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application for the issuing of the section 4(2) notice should only be brought </w:t>
      </w:r>
      <w:r w:rsidRPr="005275EC">
        <w:rPr>
          <w:rFonts w:ascii="Times New Roman" w:eastAsia="Times New Roman" w:hAnsi="Times New Roman"/>
          <w:i/>
          <w:iCs/>
          <w:color w:val="000000"/>
          <w:lang w:eastAsia="en-ZA"/>
        </w:rPr>
        <w:t>after </w:t>
      </w:r>
      <w:r w:rsidRPr="005275EC">
        <w:rPr>
          <w:rFonts w:ascii="Times New Roman" w:eastAsia="Times New Roman" w:hAnsi="Times New Roman"/>
          <w:color w:val="000000"/>
          <w:lang w:eastAsia="en-ZA"/>
        </w:rPr>
        <w:t xml:space="preserve">the papers have been exchanged and a date for hearing has been determined. In case of the action procedure, the process discussed in 10 below must be followed. In opposed matters, if the respondent is represented and </w:t>
      </w:r>
      <w:r w:rsidRPr="005275EC">
        <w:rPr>
          <w:rFonts w:ascii="Times New Roman" w:eastAsia="Times New Roman" w:hAnsi="Times New Roman"/>
          <w:color w:val="000000"/>
          <w:lang w:eastAsia="en-ZA"/>
        </w:rPr>
        <w:lastRenderedPageBreak/>
        <w:t>unless large numbers of occupiers are involved, the parties may agree to waive section 4(2) to save costs, the respondent or respondents having been effectively informed.</w:t>
      </w:r>
    </w:p>
    <w:p w14:paraId="2B16F3AD" w14:textId="77777777" w:rsidR="005275EC" w:rsidRPr="005275EC" w:rsidRDefault="005275EC" w:rsidP="00D46D76">
      <w:pPr>
        <w:pStyle w:val="ListParagraph"/>
        <w:numPr>
          <w:ilvl w:val="0"/>
          <w:numId w:val="6"/>
        </w:numPr>
        <w:spacing w:after="0" w:line="360" w:lineRule="auto"/>
        <w:rPr>
          <w:rFonts w:ascii="Times New Roman" w:eastAsiaTheme="minorHAnsi" w:hAnsi="Times New Roman"/>
        </w:rPr>
      </w:pPr>
      <w:r w:rsidRPr="005275EC">
        <w:rPr>
          <w:rFonts w:ascii="Times New Roman" w:eastAsia="Times New Roman" w:hAnsi="Times New Roman"/>
          <w:color w:val="000000"/>
          <w:lang w:eastAsia="en-ZA"/>
        </w:rPr>
        <w:t>The Court Order authorising the section 4(2) notice should be served by the sheriff along with the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notice of motion. The main thrust of section 4(2) is the requirement of notice of the proceedings and thus personal service is required in the absence of a clear indication that the respondent has received notice.</w:t>
      </w:r>
    </w:p>
    <w:p w14:paraId="2A8EF5F0" w14:textId="77777777" w:rsidR="005275EC" w:rsidRPr="005275EC" w:rsidRDefault="005275EC" w:rsidP="00D46D76">
      <w:pPr>
        <w:pStyle w:val="ListParagraph"/>
        <w:numPr>
          <w:ilvl w:val="0"/>
          <w:numId w:val="6"/>
        </w:numPr>
        <w:spacing w:after="0" w:line="360" w:lineRule="auto"/>
        <w:rPr>
          <w:rFonts w:ascii="Times New Roman" w:eastAsiaTheme="minorHAnsi" w:hAnsi="Times New Roman"/>
        </w:rPr>
      </w:pPr>
      <w:r w:rsidRPr="005275EC">
        <w:rPr>
          <w:rFonts w:ascii="Times New Roman" w:eastAsia="Times New Roman" w:hAnsi="Times New Roman"/>
          <w:color w:val="000000"/>
          <w:lang w:eastAsia="en-ZA"/>
        </w:rPr>
        <w:t>Section 4(2) states that the notice has to be served by the court, however, this does not mean service by a magistrate or judge, only that the contents and manner of service of the notice be authorised and directed by an order of court. The latter authorisation refers to the interlocutory (</w:t>
      </w:r>
      <w:r w:rsidRPr="005275EC">
        <w:rPr>
          <w:rFonts w:ascii="Times New Roman" w:eastAsia="Times New Roman" w:hAnsi="Times New Roman"/>
          <w:i/>
          <w:iCs/>
          <w:color w:val="000000"/>
          <w:lang w:eastAsia="en-ZA"/>
        </w:rPr>
        <w:t>ex parte</w:t>
      </w:r>
      <w:r w:rsidRPr="005275EC">
        <w:rPr>
          <w:rFonts w:ascii="Times New Roman" w:eastAsia="Times New Roman" w:hAnsi="Times New Roman"/>
          <w:color w:val="000000"/>
          <w:lang w:eastAsia="en-ZA"/>
        </w:rPr>
        <w:t>) application in terms of section 4(2).</w:t>
      </w:r>
    </w:p>
    <w:p w14:paraId="497DB39B" w14:textId="77777777" w:rsidR="008F5E4F" w:rsidRPr="008F5E4F" w:rsidRDefault="005275EC" w:rsidP="008F5E4F">
      <w:pPr>
        <w:pStyle w:val="ListParagraph"/>
        <w:numPr>
          <w:ilvl w:val="0"/>
          <w:numId w:val="6"/>
        </w:numPr>
        <w:spacing w:after="0" w:line="360" w:lineRule="auto"/>
        <w:rPr>
          <w:rFonts w:ascii="Times New Roman" w:eastAsiaTheme="minorHAnsi" w:hAnsi="Times New Roman"/>
        </w:rPr>
      </w:pPr>
      <w:r w:rsidRPr="005275EC">
        <w:rPr>
          <w:rFonts w:ascii="Times New Roman" w:eastAsia="Times New Roman" w:hAnsi="Times New Roman"/>
          <w:color w:val="000000"/>
          <w:lang w:eastAsia="en-ZA"/>
        </w:rPr>
        <w:t>If a Notice of Intention to Oppose is delivered but the respondent fails to deliver answering affidavits in accordance with the rules, the applicant can approach the court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for authorisation in terms of section 4(2) and a date of hearing of the matter will be obtained and inserted into the section 4(2) notice. This notice is then to be served in compliance with section 4(2) and care taken that the date inserted in the notice and the time provided gives the respondent 14 days’ (ordinary days) notice of the date of the hearing. On that date, the matter may be dealt with on an unopposed basis, or if the respondent then appears, it may be postponed at the discretion of the court after hearing appropriate argument or as agreed between the parties.</w:t>
      </w:r>
    </w:p>
    <w:p w14:paraId="76601CB8" w14:textId="77777777" w:rsidR="00DD4688" w:rsidRPr="008F5E4F" w:rsidRDefault="005275EC" w:rsidP="008F5E4F">
      <w:pPr>
        <w:pStyle w:val="ListParagraph"/>
        <w:numPr>
          <w:ilvl w:val="0"/>
          <w:numId w:val="6"/>
        </w:numPr>
        <w:spacing w:after="0" w:line="360" w:lineRule="auto"/>
        <w:rPr>
          <w:rFonts w:ascii="Times New Roman" w:eastAsiaTheme="minorHAnsi" w:hAnsi="Times New Roman"/>
        </w:rPr>
      </w:pPr>
      <w:r w:rsidRPr="008F5E4F">
        <w:rPr>
          <w:rFonts w:ascii="Times New Roman" w:eastAsia="Times New Roman" w:hAnsi="Times New Roman"/>
          <w:color w:val="000000"/>
          <w:lang w:eastAsia="en-ZA"/>
        </w:rPr>
        <w:t>In the High Court, divisions other than the WLD, and in the Magistrates’ Court, if an opposed application is postponed at any stage after it has been brought before the court legally in compliance with section 4(2), an order dispensing with further section 4(2) notices should be sought to be made part of the postponement order</w:t>
      </w:r>
      <w:r w:rsidRPr="008F5E4F">
        <w:rPr>
          <w:rFonts w:ascii="Times New Roman" w:eastAsia="Times New Roman" w:hAnsi="Times New Roman"/>
          <w:color w:val="000000"/>
          <w:sz w:val="28"/>
          <w:szCs w:val="28"/>
          <w:lang w:eastAsia="en-ZA"/>
        </w:rPr>
        <w:t>.</w:t>
      </w:r>
      <w:r w:rsidR="007B11FD" w:rsidRPr="007B11FD">
        <w:rPr>
          <w:rStyle w:val="FootnoteReference"/>
          <w:rFonts w:ascii="Times New Roman" w:eastAsia="Times New Roman" w:hAnsi="Times New Roman"/>
          <w:color w:val="000000"/>
          <w:sz w:val="28"/>
          <w:szCs w:val="28"/>
          <w:lang w:eastAsia="en-ZA"/>
        </w:rPr>
        <w:footnoteReference w:id="43"/>
      </w:r>
    </w:p>
    <w:p w14:paraId="603AAFC2" w14:textId="77777777" w:rsidR="0032403B" w:rsidRPr="007B11FD" w:rsidRDefault="005275EC" w:rsidP="007B11FD">
      <w:pPr>
        <w:pStyle w:val="ListParagraph"/>
        <w:numPr>
          <w:ilvl w:val="0"/>
          <w:numId w:val="6"/>
        </w:numPr>
        <w:spacing w:after="0" w:line="360" w:lineRule="auto"/>
        <w:rPr>
          <w:rFonts w:ascii="Times New Roman" w:eastAsiaTheme="minorHAnsi" w:hAnsi="Times New Roman"/>
        </w:rPr>
      </w:pPr>
      <w:r w:rsidRPr="005275EC">
        <w:rPr>
          <w:rFonts w:ascii="Times New Roman" w:eastAsia="Times New Roman" w:hAnsi="Times New Roman"/>
          <w:color w:val="000000"/>
          <w:lang w:eastAsia="en-ZA"/>
        </w:rPr>
        <w:t>If the action procedure is utilised, it is suggested that the summons be issued in the normal way in accordance with the rules of court. Should a notice of intention to defend be given, the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application for authorisation of the section 4(2) notice is to be brought once the pleadings are closed and a trial date set. The notice should indicate the trial date as the date of hearing of the proceedings. If the matter is undefended or, during the proceedings, the plaintiff is procedurally placed in a position (in event of a notice of bar or other interlocutory application) to apply for default judgment, the </w:t>
      </w:r>
      <w:r w:rsidRPr="005275EC">
        <w:rPr>
          <w:rFonts w:ascii="Times New Roman" w:eastAsia="Times New Roman" w:hAnsi="Times New Roman"/>
          <w:i/>
          <w:iCs/>
          <w:color w:val="000000"/>
          <w:lang w:eastAsia="en-ZA"/>
        </w:rPr>
        <w:t>ex parte </w:t>
      </w:r>
      <w:r w:rsidRPr="005275EC">
        <w:rPr>
          <w:rFonts w:ascii="Times New Roman" w:eastAsia="Times New Roman" w:hAnsi="Times New Roman"/>
          <w:color w:val="000000"/>
          <w:lang w:eastAsia="en-ZA"/>
        </w:rPr>
        <w:t xml:space="preserve">application for authorisation of the section 4(2) notice should then be brought. The application for default judgment should be made in the motion court. The date of the hearing indicated in the section 4(2) notice will be the date the matter will be heard in motion court, unless there has been non-appearance on the trial date and notice of the trial date had been given in </w:t>
      </w:r>
      <w:r w:rsidRPr="005275EC">
        <w:rPr>
          <w:rFonts w:ascii="Times New Roman" w:eastAsia="Times New Roman" w:hAnsi="Times New Roman"/>
          <w:color w:val="000000"/>
          <w:lang w:eastAsia="en-ZA"/>
        </w:rPr>
        <w:lastRenderedPageBreak/>
        <w:t>accordance with section 4(2). The section 4(2) notice is to be served on the defendant and the municipality with 14 days’ notice of the relevant date of the hearing.</w:t>
      </w:r>
    </w:p>
    <w:p w14:paraId="46759B7D" w14:textId="77777777" w:rsidR="005275EC" w:rsidRPr="0032403B" w:rsidRDefault="005275EC" w:rsidP="00D46D76">
      <w:pPr>
        <w:pStyle w:val="ListParagraph"/>
        <w:numPr>
          <w:ilvl w:val="0"/>
          <w:numId w:val="6"/>
        </w:numPr>
        <w:spacing w:after="0" w:line="360" w:lineRule="auto"/>
        <w:rPr>
          <w:rFonts w:ascii="Times New Roman" w:eastAsiaTheme="minorHAnsi" w:hAnsi="Times New Roman"/>
        </w:rPr>
      </w:pPr>
      <w:r w:rsidRPr="0032403B">
        <w:rPr>
          <w:rFonts w:ascii="Times New Roman" w:eastAsia="Times New Roman" w:hAnsi="Times New Roman"/>
          <w:color w:val="000000"/>
          <w:lang w:eastAsia="en-ZA"/>
        </w:rPr>
        <w:t>In both the motion and action procedures, care should be taken to include in the section 4(2) notice, the affidavit or the particulars of claim all the necessary allegations prescribed in PIE, apart from dealing with the merits. This includes the relevant circumstances in terms of section 4(6) and (7) of PIE as well as a reference to section 26(1) and (3) of the Constitution as prescribed in the relevant case law</w:t>
      </w:r>
      <w:r w:rsidRPr="0032403B">
        <w:rPr>
          <w:rFonts w:ascii="Times New Roman" w:eastAsia="Times New Roman" w:hAnsi="Times New Roman"/>
          <w:color w:val="000000"/>
          <w:sz w:val="28"/>
          <w:szCs w:val="28"/>
          <w:lang w:eastAsia="en-ZA"/>
        </w:rPr>
        <w:t>.</w:t>
      </w:r>
      <w:r w:rsidR="00A913C9" w:rsidRPr="00D22B9B">
        <w:rPr>
          <w:rStyle w:val="FootnoteReference"/>
          <w:rFonts w:ascii="Times New Roman" w:eastAsia="Times New Roman" w:hAnsi="Times New Roman"/>
          <w:color w:val="000000"/>
          <w:sz w:val="28"/>
          <w:szCs w:val="28"/>
          <w:lang w:eastAsia="en-ZA"/>
        </w:rPr>
        <w:footnoteReference w:id="44"/>
      </w:r>
    </w:p>
    <w:p w14:paraId="28DAE779" w14:textId="77777777" w:rsidR="005275EC" w:rsidRPr="001D54A2" w:rsidRDefault="005275EC" w:rsidP="00D46D76">
      <w:pPr>
        <w:spacing w:line="360" w:lineRule="auto"/>
        <w:ind w:left="1134" w:right="284"/>
        <w:contextualSpacing/>
        <w:rPr>
          <w:rFonts w:ascii="Times New Roman" w:eastAsia="Times New Roman" w:hAnsi="Times New Roman" w:cs="Times New Roman"/>
          <w:color w:val="000000"/>
          <w:lang w:eastAsia="en-ZA"/>
        </w:rPr>
      </w:pPr>
      <w:r w:rsidRPr="001D54A2">
        <w:rPr>
          <w:rFonts w:ascii="Times New Roman" w:eastAsia="Times New Roman" w:hAnsi="Times New Roman" w:cs="Times New Roman"/>
          <w:color w:val="000000"/>
          <w:lang w:eastAsia="en-ZA"/>
        </w:rPr>
        <w:t>The wording of the note to comply with </w:t>
      </w:r>
      <w:r w:rsidRPr="001D54A2">
        <w:rPr>
          <w:rFonts w:ascii="Times New Roman" w:eastAsia="Times New Roman" w:hAnsi="Times New Roman" w:cs="Times New Roman"/>
          <w:i/>
          <w:iCs/>
          <w:color w:val="000000"/>
          <w:lang w:eastAsia="en-ZA"/>
        </w:rPr>
        <w:t>Saunderson</w:t>
      </w:r>
      <w:r w:rsidR="006C1610" w:rsidRPr="00047F20">
        <w:rPr>
          <w:rStyle w:val="FootnoteReference"/>
          <w:rFonts w:ascii="Times New Roman" w:eastAsia="Times New Roman" w:hAnsi="Times New Roman" w:cs="Times New Roman"/>
          <w:iCs/>
          <w:color w:val="000000"/>
          <w:sz w:val="28"/>
          <w:szCs w:val="28"/>
          <w:lang w:eastAsia="en-ZA"/>
        </w:rPr>
        <w:footnoteReference w:id="45"/>
      </w:r>
      <w:r w:rsidRPr="00047F20">
        <w:rPr>
          <w:rFonts w:ascii="Times New Roman" w:eastAsia="Times New Roman" w:hAnsi="Times New Roman" w:cs="Times New Roman"/>
          <w:iCs/>
          <w:color w:val="000000"/>
          <w:sz w:val="28"/>
          <w:szCs w:val="28"/>
          <w:lang w:eastAsia="en-ZA"/>
        </w:rPr>
        <w:t> </w:t>
      </w:r>
      <w:r w:rsidRPr="001D54A2">
        <w:rPr>
          <w:rFonts w:ascii="Times New Roman" w:eastAsia="Times New Roman" w:hAnsi="Times New Roman" w:cs="Times New Roman"/>
          <w:color w:val="000000"/>
          <w:lang w:eastAsia="en-ZA"/>
        </w:rPr>
        <w:t>and supplemented in the case of </w:t>
      </w:r>
      <w:r w:rsidRPr="001D54A2">
        <w:rPr>
          <w:rFonts w:ascii="Times New Roman" w:eastAsia="Times New Roman" w:hAnsi="Times New Roman" w:cs="Times New Roman"/>
          <w:i/>
          <w:iCs/>
          <w:color w:val="000000"/>
          <w:lang w:eastAsia="en-ZA"/>
        </w:rPr>
        <w:t>Dawood</w:t>
      </w:r>
      <w:r w:rsidRPr="001D54A2">
        <w:rPr>
          <w:rFonts w:ascii="Times New Roman" w:eastAsia="Times New Roman" w:hAnsi="Times New Roman" w:cs="Times New Roman"/>
          <w:color w:val="000000"/>
          <w:lang w:eastAsia="en-ZA"/>
        </w:rPr>
        <w:t>,</w:t>
      </w:r>
      <w:r w:rsidR="00A913C9" w:rsidRPr="00D22B9B">
        <w:rPr>
          <w:rStyle w:val="FootnoteReference"/>
          <w:rFonts w:ascii="Times New Roman" w:eastAsia="Times New Roman" w:hAnsi="Times New Roman" w:cs="Times New Roman"/>
          <w:color w:val="000000"/>
          <w:sz w:val="28"/>
          <w:szCs w:val="28"/>
          <w:lang w:eastAsia="en-ZA"/>
        </w:rPr>
        <w:footnoteReference w:id="46"/>
      </w:r>
      <w:r w:rsidRPr="00D22B9B">
        <w:rPr>
          <w:rFonts w:ascii="Times New Roman" w:eastAsia="Times New Roman" w:hAnsi="Times New Roman" w:cs="Times New Roman"/>
          <w:color w:val="000000"/>
          <w:sz w:val="28"/>
          <w:szCs w:val="28"/>
          <w:lang w:eastAsia="en-ZA"/>
        </w:rPr>
        <w:t xml:space="preserve"> </w:t>
      </w:r>
      <w:r w:rsidRPr="001D54A2">
        <w:rPr>
          <w:rFonts w:ascii="Times New Roman" w:eastAsia="Times New Roman" w:hAnsi="Times New Roman" w:cs="Times New Roman"/>
          <w:color w:val="000000"/>
          <w:lang w:eastAsia="en-ZA"/>
        </w:rPr>
        <w:t>is as follows:</w:t>
      </w:r>
    </w:p>
    <w:p w14:paraId="70EED75C" w14:textId="77777777" w:rsidR="005275EC" w:rsidRPr="001D54A2" w:rsidRDefault="005275EC" w:rsidP="00D46D76">
      <w:pPr>
        <w:spacing w:line="360" w:lineRule="auto"/>
        <w:ind w:left="1134" w:right="284"/>
        <w:contextualSpacing/>
        <w:rPr>
          <w:rFonts w:ascii="Times New Roman" w:eastAsia="Times New Roman" w:hAnsi="Times New Roman" w:cs="Times New Roman"/>
          <w:color w:val="000000"/>
          <w:lang w:eastAsia="en-ZA"/>
        </w:rPr>
      </w:pPr>
      <w:r w:rsidRPr="001D54A2">
        <w:rPr>
          <w:rFonts w:ascii="Times New Roman" w:eastAsia="Times New Roman" w:hAnsi="Times New Roman" w:cs="Times New Roman"/>
          <w:color w:val="000000"/>
          <w:lang w:eastAsia="en-ZA"/>
        </w:rPr>
        <w:t>Take notice that:</w:t>
      </w:r>
    </w:p>
    <w:p w14:paraId="15C8CC6D" w14:textId="77777777" w:rsidR="005275EC" w:rsidRDefault="005275EC" w:rsidP="00D46D76">
      <w:pPr>
        <w:spacing w:line="360" w:lineRule="auto"/>
        <w:ind w:right="284"/>
        <w:contextualSpacing/>
        <w:rPr>
          <w:rFonts w:ascii="Times New Roman" w:eastAsia="Times New Roman" w:hAnsi="Times New Roman" w:cs="Times New Roman"/>
          <w:color w:val="000000"/>
          <w:lang w:eastAsia="en-ZA"/>
        </w:rPr>
      </w:pPr>
    </w:p>
    <w:p w14:paraId="53572991" w14:textId="77777777" w:rsidR="005275EC" w:rsidRPr="001D54A2" w:rsidRDefault="005275EC" w:rsidP="00D46D76">
      <w:pPr>
        <w:spacing w:line="360" w:lineRule="auto"/>
        <w:ind w:left="1440" w:right="284"/>
        <w:contextualSpacing/>
        <w:rPr>
          <w:rFonts w:ascii="Times New Roman" w:eastAsia="Times New Roman" w:hAnsi="Times New Roman" w:cs="Times New Roman"/>
          <w:color w:val="000000"/>
          <w:sz w:val="20"/>
          <w:szCs w:val="20"/>
          <w:lang w:eastAsia="en-ZA"/>
        </w:rPr>
      </w:pPr>
      <w:r w:rsidRPr="001D54A2">
        <w:rPr>
          <w:rFonts w:ascii="Times New Roman" w:eastAsia="Times New Roman" w:hAnsi="Times New Roman" w:cs="Times New Roman"/>
          <w:color w:val="000000"/>
          <w:sz w:val="20"/>
          <w:szCs w:val="20"/>
          <w:lang w:eastAsia="en-ZA"/>
        </w:rPr>
        <w:t>“(a)</w:t>
      </w:r>
      <w:r w:rsidRPr="001D54A2">
        <w:rPr>
          <w:rFonts w:ascii="Times New Roman" w:eastAsia="Times New Roman" w:hAnsi="Times New Roman" w:cs="Times New Roman"/>
          <w:color w:val="000000"/>
          <w:sz w:val="20"/>
          <w:szCs w:val="20"/>
          <w:lang w:eastAsia="en-ZA"/>
        </w:rPr>
        <w:tab/>
        <w:t>your attention is drawn to section 26(1) of the Constitution of the Republic of South Africa, 1996, which accords to everyone the right to have access to adequate housing. Should you claim that the order for execution or eviction will infringe that right it is incumbent on you to place information supporting that claim before the court;</w:t>
      </w:r>
    </w:p>
    <w:p w14:paraId="51E293D0" w14:textId="77777777" w:rsidR="005275EC" w:rsidRDefault="005275EC" w:rsidP="00D46D76">
      <w:pPr>
        <w:spacing w:line="360" w:lineRule="auto"/>
        <w:ind w:left="1440" w:right="284"/>
        <w:contextualSpacing/>
        <w:rPr>
          <w:rFonts w:ascii="Times New Roman" w:eastAsia="Times New Roman" w:hAnsi="Times New Roman" w:cs="Times New Roman"/>
          <w:color w:val="000000"/>
          <w:sz w:val="20"/>
          <w:szCs w:val="20"/>
          <w:lang w:eastAsia="en-ZA"/>
        </w:rPr>
      </w:pPr>
      <w:r w:rsidRPr="001D54A2">
        <w:rPr>
          <w:rFonts w:ascii="Times New Roman" w:eastAsia="Times New Roman" w:hAnsi="Times New Roman" w:cs="Times New Roman"/>
          <w:color w:val="000000"/>
          <w:sz w:val="20"/>
          <w:szCs w:val="20"/>
          <w:lang w:eastAsia="en-ZA"/>
        </w:rPr>
        <w:t>(b)</w:t>
      </w:r>
      <w:r w:rsidRPr="001D54A2">
        <w:rPr>
          <w:rFonts w:ascii="Times New Roman" w:eastAsia="Times New Roman" w:hAnsi="Times New Roman" w:cs="Times New Roman"/>
          <w:color w:val="000000"/>
          <w:sz w:val="20"/>
          <w:szCs w:val="20"/>
          <w:lang w:eastAsia="en-ZA"/>
        </w:rPr>
        <w:tab/>
        <w:t>in terms of section 26(3) of the Constitution you may not be evicted from your home or your home may not be declared executable and sold in execution without an order of court made after considering all the</w:t>
      </w:r>
      <w:r>
        <w:rPr>
          <w:rFonts w:ascii="Times New Roman" w:eastAsia="Times New Roman" w:hAnsi="Times New Roman" w:cs="Times New Roman"/>
          <w:color w:val="000000"/>
          <w:sz w:val="20"/>
          <w:szCs w:val="20"/>
          <w:lang w:eastAsia="en-ZA"/>
        </w:rPr>
        <w:t xml:space="preserve"> relevant circumstances</w:t>
      </w:r>
    </w:p>
    <w:p w14:paraId="7C4D813A" w14:textId="77777777" w:rsidR="005275EC" w:rsidRPr="001D54A2" w:rsidRDefault="005275EC" w:rsidP="00D46D76">
      <w:pPr>
        <w:spacing w:line="360" w:lineRule="auto"/>
        <w:ind w:left="1440" w:right="284"/>
        <w:contextualSpacing/>
        <w:rPr>
          <w:rFonts w:ascii="Times New Roman" w:eastAsia="Times New Roman" w:hAnsi="Times New Roman" w:cs="Times New Roman"/>
          <w:color w:val="000000"/>
          <w:sz w:val="20"/>
          <w:szCs w:val="20"/>
          <w:lang w:eastAsia="en-ZA"/>
        </w:rPr>
      </w:pPr>
      <w:r w:rsidRPr="001D54A2">
        <w:rPr>
          <w:rFonts w:ascii="Times New Roman" w:eastAsia="Times New Roman" w:hAnsi="Times New Roman" w:cs="Times New Roman"/>
          <w:color w:val="000000"/>
          <w:sz w:val="20"/>
          <w:szCs w:val="20"/>
          <w:lang w:eastAsia="en-ZA"/>
        </w:rPr>
        <w:t>(c)</w:t>
      </w:r>
      <w:r w:rsidRPr="001D54A2">
        <w:rPr>
          <w:rFonts w:ascii="Times New Roman" w:eastAsia="Times New Roman" w:hAnsi="Times New Roman" w:cs="Times New Roman"/>
          <w:color w:val="000000"/>
          <w:sz w:val="20"/>
          <w:szCs w:val="20"/>
          <w:lang w:eastAsia="en-ZA"/>
        </w:rPr>
        <w:tab/>
      </w:r>
      <w:r w:rsidR="009C6F6A">
        <w:rPr>
          <w:rFonts w:ascii="Times New Roman" w:eastAsia="Times New Roman" w:hAnsi="Times New Roman" w:cs="Times New Roman"/>
          <w:color w:val="000000"/>
          <w:sz w:val="20"/>
          <w:szCs w:val="20"/>
          <w:lang w:eastAsia="en-ZA"/>
        </w:rPr>
        <w:t>i</w:t>
      </w:r>
      <w:r w:rsidRPr="001D54A2">
        <w:rPr>
          <w:rFonts w:ascii="Times New Roman" w:eastAsia="Times New Roman" w:hAnsi="Times New Roman" w:cs="Times New Roman"/>
          <w:color w:val="000000"/>
          <w:sz w:val="20"/>
          <w:szCs w:val="20"/>
          <w:lang w:eastAsia="en-ZA"/>
        </w:rPr>
        <w:t>n terms of rule 46A(2)(</w:t>
      </w:r>
      <w:r w:rsidRPr="001D54A2">
        <w:rPr>
          <w:rFonts w:ascii="Times New Roman" w:eastAsia="Times New Roman" w:hAnsi="Times New Roman" w:cs="Times New Roman"/>
          <w:i/>
          <w:iCs/>
          <w:color w:val="000000"/>
          <w:sz w:val="20"/>
          <w:szCs w:val="20"/>
          <w:lang w:eastAsia="en-ZA"/>
        </w:rPr>
        <w:t>b</w:t>
      </w:r>
      <w:r w:rsidRPr="001D54A2">
        <w:rPr>
          <w:rFonts w:ascii="Times New Roman" w:eastAsia="Times New Roman" w:hAnsi="Times New Roman" w:cs="Times New Roman"/>
          <w:color w:val="000000"/>
          <w:sz w:val="20"/>
          <w:szCs w:val="20"/>
          <w:lang w:eastAsia="en-ZA"/>
        </w:rPr>
        <w:t>) of the Rules of the High Courts of South Africa (or in the case of the Magistrates’ Court “in terms rule 43A(2)(</w:t>
      </w:r>
      <w:r w:rsidRPr="001D54A2">
        <w:rPr>
          <w:rFonts w:ascii="Times New Roman" w:eastAsia="Times New Roman" w:hAnsi="Times New Roman" w:cs="Times New Roman"/>
          <w:i/>
          <w:iCs/>
          <w:color w:val="000000"/>
          <w:sz w:val="20"/>
          <w:szCs w:val="20"/>
          <w:lang w:eastAsia="en-ZA"/>
        </w:rPr>
        <w:t>b</w:t>
      </w:r>
      <w:r w:rsidRPr="001D54A2">
        <w:rPr>
          <w:rFonts w:ascii="Times New Roman" w:eastAsia="Times New Roman" w:hAnsi="Times New Roman" w:cs="Times New Roman"/>
          <w:color w:val="000000"/>
          <w:sz w:val="20"/>
          <w:szCs w:val="20"/>
          <w:lang w:eastAsia="en-ZA"/>
        </w:rPr>
        <w:t>) of the Rules of the Magistrates’ Courts”) no writ of execution shall issue against your primary residence (ie your home), unless the court, having considered all the relevant circumstances, orders execution against such property;</w:t>
      </w:r>
    </w:p>
    <w:p w14:paraId="44639923" w14:textId="77777777" w:rsidR="00A913C9" w:rsidRDefault="005275EC" w:rsidP="00D46D76">
      <w:pPr>
        <w:spacing w:line="360" w:lineRule="auto"/>
        <w:ind w:left="1440" w:right="284"/>
        <w:contextualSpacing/>
        <w:rPr>
          <w:rFonts w:ascii="Times New Roman" w:eastAsia="Times New Roman" w:hAnsi="Times New Roman" w:cs="Times New Roman"/>
          <w:color w:val="000000"/>
          <w:sz w:val="20"/>
          <w:szCs w:val="20"/>
          <w:lang w:eastAsia="en-ZA"/>
        </w:rPr>
      </w:pPr>
      <w:r w:rsidRPr="001D54A2">
        <w:rPr>
          <w:rFonts w:ascii="Times New Roman" w:eastAsia="Times New Roman" w:hAnsi="Times New Roman" w:cs="Times New Roman"/>
          <w:color w:val="000000"/>
          <w:sz w:val="20"/>
          <w:szCs w:val="20"/>
          <w:lang w:eastAsia="en-ZA"/>
        </w:rPr>
        <w:t>(d)</w:t>
      </w:r>
      <w:r w:rsidRPr="001D54A2">
        <w:rPr>
          <w:rFonts w:ascii="Times New Roman" w:eastAsia="Times New Roman" w:hAnsi="Times New Roman" w:cs="Times New Roman"/>
          <w:color w:val="000000"/>
          <w:sz w:val="20"/>
          <w:szCs w:val="20"/>
          <w:lang w:eastAsia="en-ZA"/>
        </w:rPr>
        <w:tab/>
        <w:t>if you object to your home being declared executable or to an eviction order, you are hereby called upon to place facts and submissions before the court to enable the court to consider them in terms of rule 46A of the Rules of Court. Your failure to do so may result in an order declaring your home specially executable being granted, consequent upon which your home may be sold in execution.”</w:t>
      </w:r>
    </w:p>
    <w:p w14:paraId="3BF6B25A" w14:textId="77777777" w:rsidR="00DD4688" w:rsidRDefault="005275EC" w:rsidP="00D46D76">
      <w:pPr>
        <w:tabs>
          <w:tab w:val="left" w:pos="1134"/>
        </w:tabs>
        <w:spacing w:line="360" w:lineRule="auto"/>
        <w:ind w:left="1134" w:right="284" w:hanging="414"/>
        <w:contextualSpacing/>
        <w:rPr>
          <w:rFonts w:ascii="Times New Roman" w:eastAsia="Times New Roman" w:hAnsi="Times New Roman"/>
          <w:color w:val="000000"/>
          <w:lang w:eastAsia="en-ZA"/>
        </w:rPr>
      </w:pPr>
      <w:r>
        <w:rPr>
          <w:rFonts w:ascii="Times New Roman" w:hAnsi="Times New Roman"/>
        </w:rPr>
        <w:t>12.</w:t>
      </w:r>
      <w:r>
        <w:rPr>
          <w:rFonts w:ascii="Times New Roman" w:hAnsi="Times New Roman"/>
        </w:rPr>
        <w:tab/>
      </w:r>
      <w:r w:rsidRPr="001D54A2">
        <w:rPr>
          <w:rFonts w:ascii="Times New Roman" w:eastAsia="Times New Roman" w:hAnsi="Times New Roman"/>
          <w:color w:val="000000"/>
          <w:lang w:eastAsia="en-ZA"/>
        </w:rPr>
        <w:t>In the case of substituted service in terms of section 4(4) of PIE, section 4(2) must still be complied with.</w:t>
      </w:r>
      <w:r w:rsidR="00A913C9" w:rsidRPr="00DD4688">
        <w:rPr>
          <w:rStyle w:val="FootnoteReference"/>
          <w:rFonts w:ascii="Times New Roman" w:eastAsia="Times New Roman" w:hAnsi="Times New Roman"/>
          <w:color w:val="000000"/>
          <w:sz w:val="28"/>
          <w:szCs w:val="28"/>
          <w:lang w:eastAsia="en-ZA"/>
        </w:rPr>
        <w:footnoteReference w:id="47"/>
      </w:r>
    </w:p>
    <w:p w14:paraId="0224E9FC" w14:textId="77777777" w:rsidR="005275EC" w:rsidRPr="005275EC" w:rsidRDefault="005275EC" w:rsidP="00D46D76">
      <w:pPr>
        <w:tabs>
          <w:tab w:val="left" w:pos="1134"/>
        </w:tabs>
        <w:spacing w:line="360" w:lineRule="auto"/>
        <w:ind w:left="1134" w:right="284" w:hanging="414"/>
        <w:contextualSpacing/>
        <w:rPr>
          <w:rFonts w:ascii="Times New Roman" w:hAnsi="Times New Roman"/>
        </w:rPr>
      </w:pPr>
      <w:r>
        <w:rPr>
          <w:rFonts w:ascii="Times New Roman" w:hAnsi="Times New Roman"/>
        </w:rPr>
        <w:lastRenderedPageBreak/>
        <w:t>13.</w:t>
      </w:r>
      <w:r>
        <w:rPr>
          <w:rFonts w:ascii="Times New Roman" w:eastAsia="Times New Roman" w:hAnsi="Times New Roman"/>
          <w:color w:val="000000"/>
          <w:lang w:eastAsia="en-ZA"/>
        </w:rPr>
        <w:tab/>
      </w:r>
      <w:r w:rsidRPr="005275EC">
        <w:rPr>
          <w:rFonts w:ascii="Times New Roman" w:eastAsia="Times New Roman" w:hAnsi="Times New Roman"/>
          <w:color w:val="000000"/>
          <w:lang w:eastAsia="en-ZA"/>
        </w:rPr>
        <w:t>When applying the strict requirements stated in the </w:t>
      </w:r>
      <w:r w:rsidRPr="005275EC">
        <w:rPr>
          <w:rFonts w:ascii="Times New Roman" w:eastAsia="Times New Roman" w:hAnsi="Times New Roman"/>
          <w:i/>
          <w:iCs/>
          <w:color w:val="000000"/>
          <w:lang w:eastAsia="en-ZA"/>
        </w:rPr>
        <w:t>Cape Killarney </w:t>
      </w:r>
      <w:r w:rsidRPr="005275EC">
        <w:rPr>
          <w:rFonts w:ascii="Times New Roman" w:eastAsia="Times New Roman" w:hAnsi="Times New Roman"/>
          <w:color w:val="000000"/>
          <w:lang w:eastAsia="en-ZA"/>
        </w:rPr>
        <w:t>case sight must not be lost of the exceptions noted in the subsequent decision of the SCA in </w:t>
      </w:r>
      <w:r w:rsidRPr="005275EC">
        <w:rPr>
          <w:rFonts w:ascii="Times New Roman" w:eastAsia="Times New Roman" w:hAnsi="Times New Roman"/>
          <w:i/>
          <w:iCs/>
          <w:color w:val="000000"/>
          <w:lang w:eastAsia="en-ZA"/>
        </w:rPr>
        <w:t>Moela v Shoniwe.</w:t>
      </w:r>
      <w:r w:rsidR="00A913C9" w:rsidRPr="00A913C9">
        <w:rPr>
          <w:rStyle w:val="FootnoteReference"/>
          <w:rFonts w:ascii="Times New Roman" w:eastAsia="Times New Roman" w:hAnsi="Times New Roman"/>
          <w:iCs/>
          <w:color w:val="000000"/>
          <w:sz w:val="28"/>
          <w:szCs w:val="28"/>
          <w:lang w:eastAsia="en-ZA"/>
        </w:rPr>
        <w:footnoteReference w:id="48"/>
      </w:r>
      <w:r w:rsidRPr="00A913C9">
        <w:rPr>
          <w:rFonts w:ascii="Times New Roman" w:eastAsia="Times New Roman" w:hAnsi="Times New Roman"/>
          <w:color w:val="000000"/>
          <w:sz w:val="28"/>
          <w:szCs w:val="28"/>
          <w:lang w:eastAsia="en-ZA"/>
        </w:rPr>
        <w:t> </w:t>
      </w:r>
      <w:r w:rsidRPr="005275EC">
        <w:rPr>
          <w:rFonts w:ascii="Times New Roman" w:eastAsia="Times New Roman" w:hAnsi="Times New Roman"/>
          <w:color w:val="000000"/>
          <w:lang w:eastAsia="en-ZA"/>
        </w:rPr>
        <w:t xml:space="preserve"> In this case, the court held that:</w:t>
      </w:r>
    </w:p>
    <w:p w14:paraId="5D31205E" w14:textId="77777777" w:rsidR="005275EC" w:rsidRPr="005275EC" w:rsidRDefault="005275EC" w:rsidP="00D46D76">
      <w:pPr>
        <w:pStyle w:val="ListParagraph"/>
        <w:spacing w:after="0" w:line="360" w:lineRule="auto"/>
        <w:ind w:left="1440"/>
        <w:rPr>
          <w:rFonts w:ascii="Times New Roman" w:eastAsia="Times New Roman" w:hAnsi="Times New Roman"/>
          <w:color w:val="000000"/>
          <w:sz w:val="20"/>
          <w:szCs w:val="20"/>
          <w:lang w:eastAsia="en-ZA"/>
        </w:rPr>
      </w:pPr>
      <w:r w:rsidRPr="005275EC">
        <w:rPr>
          <w:rFonts w:ascii="Times New Roman" w:eastAsia="Times New Roman" w:hAnsi="Times New Roman"/>
          <w:color w:val="000000"/>
          <w:sz w:val="20"/>
          <w:szCs w:val="20"/>
          <w:lang w:eastAsia="en-ZA"/>
        </w:rPr>
        <w:t>“The object of section 4(2) is clearly to ensure that the unlawful occupier and municipality are fully aware of the proceedings and that the unlawful occupier is aware of his rights referred to in section 4(5)(</w:t>
      </w:r>
      <w:r w:rsidRPr="005275EC">
        <w:rPr>
          <w:rFonts w:ascii="Times New Roman" w:eastAsia="Times New Roman" w:hAnsi="Times New Roman"/>
          <w:i/>
          <w:iCs/>
          <w:color w:val="000000"/>
          <w:sz w:val="20"/>
          <w:szCs w:val="20"/>
          <w:lang w:eastAsia="en-ZA"/>
        </w:rPr>
        <w:t>d</w:t>
      </w:r>
      <w:r w:rsidRPr="005275EC">
        <w:rPr>
          <w:rFonts w:ascii="Times New Roman" w:eastAsia="Times New Roman" w:hAnsi="Times New Roman"/>
          <w:color w:val="000000"/>
          <w:sz w:val="20"/>
          <w:szCs w:val="20"/>
          <w:lang w:eastAsia="en-ZA"/>
        </w:rPr>
        <w:t>). It may well be that this object, in appropriate circumstances, may be achieved notwithstanding the fact that service of the notice required by section 4(2) had not been authorised by the court.”</w:t>
      </w:r>
    </w:p>
    <w:p w14:paraId="40B39C5A" w14:textId="77777777" w:rsidR="005275EC" w:rsidRPr="001D54A2" w:rsidRDefault="005275EC" w:rsidP="00D46D76">
      <w:pPr>
        <w:tabs>
          <w:tab w:val="left" w:pos="1134"/>
        </w:tabs>
        <w:spacing w:line="360" w:lineRule="auto"/>
        <w:ind w:left="1134" w:right="284"/>
        <w:contextualSpacing/>
        <w:rPr>
          <w:rFonts w:ascii="Times New Roman" w:eastAsia="Times New Roman" w:hAnsi="Times New Roman" w:cs="Times New Roman"/>
          <w:color w:val="000000"/>
          <w:lang w:eastAsia="en-ZA"/>
        </w:rPr>
      </w:pPr>
      <w:r w:rsidRPr="001D54A2">
        <w:rPr>
          <w:rFonts w:ascii="Times New Roman" w:eastAsia="Times New Roman" w:hAnsi="Times New Roman" w:cs="Times New Roman"/>
          <w:color w:val="000000"/>
          <w:lang w:eastAsia="en-ZA"/>
        </w:rPr>
        <w:t>That may, for example, be the case if at the hearing it is clear that written and effective notice of the proceedings containing the information required in terms of section 4(5) had in fact been served on the unlawful occupier and municipality 14 days before the hearing.</w:t>
      </w:r>
    </w:p>
    <w:p w14:paraId="4582103F" w14:textId="77777777" w:rsidR="005275EC" w:rsidRPr="001D54A2" w:rsidRDefault="005275EC" w:rsidP="00D46D76">
      <w:pPr>
        <w:spacing w:line="360" w:lineRule="auto"/>
        <w:ind w:left="1134" w:right="284"/>
        <w:contextualSpacing/>
        <w:rPr>
          <w:rFonts w:ascii="Times New Roman" w:eastAsia="Times New Roman" w:hAnsi="Times New Roman" w:cs="Times New Roman"/>
          <w:color w:val="000000"/>
          <w:lang w:eastAsia="en-ZA"/>
        </w:rPr>
      </w:pPr>
      <w:r w:rsidRPr="001D54A2">
        <w:rPr>
          <w:rFonts w:ascii="Times New Roman" w:eastAsia="Times New Roman" w:hAnsi="Times New Roman" w:cs="Times New Roman"/>
          <w:color w:val="000000"/>
          <w:lang w:eastAsia="en-ZA"/>
        </w:rPr>
        <w:t>The court also referred, with approval, to the remarks made by Brand JA in </w:t>
      </w:r>
      <w:r w:rsidRPr="001D54A2">
        <w:rPr>
          <w:rFonts w:ascii="Times New Roman" w:eastAsia="Times New Roman" w:hAnsi="Times New Roman" w:cs="Times New Roman"/>
          <w:i/>
          <w:iCs/>
          <w:color w:val="000000"/>
          <w:lang w:eastAsia="en-ZA"/>
        </w:rPr>
        <w:t>Unlawful Occupiers, School Site v City of Johannesburg</w:t>
      </w:r>
      <w:r w:rsidR="002F2B5D" w:rsidRPr="002F2B5D">
        <w:rPr>
          <w:rStyle w:val="FootnoteReference"/>
          <w:rFonts w:ascii="Times New Roman" w:eastAsia="Times New Roman" w:hAnsi="Times New Roman" w:cs="Times New Roman"/>
          <w:iCs/>
          <w:color w:val="000000"/>
          <w:sz w:val="28"/>
          <w:szCs w:val="28"/>
          <w:lang w:eastAsia="en-ZA"/>
        </w:rPr>
        <w:footnoteReference w:id="49"/>
      </w:r>
      <w:r w:rsidRPr="002F2B5D">
        <w:rPr>
          <w:rFonts w:ascii="Times New Roman" w:eastAsia="Times New Roman" w:hAnsi="Times New Roman" w:cs="Times New Roman"/>
          <w:color w:val="000000"/>
          <w:sz w:val="28"/>
          <w:szCs w:val="28"/>
          <w:lang w:eastAsia="en-ZA"/>
        </w:rPr>
        <w:t> </w:t>
      </w:r>
      <w:r w:rsidRPr="001D54A2">
        <w:rPr>
          <w:rFonts w:ascii="Times New Roman" w:eastAsia="Times New Roman" w:hAnsi="Times New Roman" w:cs="Times New Roman"/>
          <w:color w:val="000000"/>
          <w:lang w:eastAsia="en-ZA"/>
        </w:rPr>
        <w:t>to the effect that:</w:t>
      </w:r>
    </w:p>
    <w:p w14:paraId="29B61BC7" w14:textId="77777777" w:rsidR="005275EC" w:rsidRPr="001D54A2" w:rsidRDefault="005275EC" w:rsidP="00D46D76">
      <w:pPr>
        <w:spacing w:line="360" w:lineRule="auto"/>
        <w:ind w:left="1440" w:right="284"/>
        <w:contextualSpacing/>
        <w:rPr>
          <w:rFonts w:ascii="Times New Roman" w:eastAsia="Times New Roman" w:hAnsi="Times New Roman" w:cs="Times New Roman"/>
          <w:color w:val="000000"/>
          <w:sz w:val="20"/>
          <w:szCs w:val="20"/>
          <w:lang w:eastAsia="en-ZA"/>
        </w:rPr>
      </w:pPr>
      <w:r w:rsidRPr="001D54A2">
        <w:rPr>
          <w:rFonts w:ascii="Times New Roman" w:eastAsia="Times New Roman" w:hAnsi="Times New Roman" w:cs="Times New Roman"/>
          <w:color w:val="000000"/>
          <w:sz w:val="20"/>
          <w:szCs w:val="20"/>
          <w:lang w:eastAsia="en-ZA"/>
        </w:rPr>
        <w:t>“. . . it was held in </w:t>
      </w:r>
      <w:r w:rsidRPr="001D54A2">
        <w:rPr>
          <w:rFonts w:ascii="Times New Roman" w:eastAsia="Times New Roman" w:hAnsi="Times New Roman" w:cs="Times New Roman"/>
          <w:i/>
          <w:iCs/>
          <w:color w:val="000000"/>
          <w:sz w:val="20"/>
          <w:szCs w:val="20"/>
          <w:lang w:eastAsia="en-ZA"/>
        </w:rPr>
        <w:t>Cape Killarney Property </w:t>
      </w:r>
      <w:r w:rsidRPr="001D54A2">
        <w:rPr>
          <w:rFonts w:ascii="Times New Roman" w:eastAsia="Times New Roman" w:hAnsi="Times New Roman" w:cs="Times New Roman"/>
          <w:color w:val="000000"/>
          <w:sz w:val="20"/>
          <w:szCs w:val="20"/>
          <w:lang w:eastAsia="en-ZA"/>
        </w:rPr>
        <w:t>(</w:t>
      </w:r>
      <w:r w:rsidRPr="001D54A2">
        <w:rPr>
          <w:rFonts w:ascii="Times New Roman" w:eastAsia="Times New Roman" w:hAnsi="Times New Roman" w:cs="Times New Roman"/>
          <w:i/>
          <w:iCs/>
          <w:color w:val="000000"/>
          <w:sz w:val="20"/>
          <w:szCs w:val="20"/>
          <w:lang w:eastAsia="en-ZA"/>
        </w:rPr>
        <w:t>supra</w:t>
      </w:r>
      <w:r w:rsidRPr="001D54A2">
        <w:rPr>
          <w:rFonts w:ascii="Times New Roman" w:eastAsia="Times New Roman" w:hAnsi="Times New Roman" w:cs="Times New Roman"/>
          <w:color w:val="000000"/>
          <w:sz w:val="20"/>
          <w:szCs w:val="20"/>
          <w:lang w:eastAsia="en-ZA"/>
        </w:rPr>
        <w:t>) at 1227E–F that the requirements of section 4(2) must be regarded as peremptory. Nevertheless, it is clear from the authorities that even where the formalities required by statute are peremptory it is not every deviation from the literal prescription that is fatal. Even in that event, the question remains whether, in spite of the defects, the object of the statutory provision had been achieved (</w:t>
      </w:r>
      <w:r w:rsidRPr="001D54A2">
        <w:rPr>
          <w:rFonts w:ascii="Times New Roman" w:eastAsia="Times New Roman" w:hAnsi="Times New Roman" w:cs="Times New Roman"/>
          <w:i/>
          <w:iCs/>
          <w:color w:val="000000"/>
          <w:sz w:val="20"/>
          <w:szCs w:val="20"/>
          <w:lang w:eastAsia="en-ZA"/>
        </w:rPr>
        <w:t>supra </w:t>
      </w:r>
      <w:r w:rsidRPr="001D54A2">
        <w:rPr>
          <w:rFonts w:ascii="Times New Roman" w:eastAsia="Times New Roman" w:hAnsi="Times New Roman" w:cs="Times New Roman"/>
          <w:color w:val="000000"/>
          <w:sz w:val="20"/>
          <w:szCs w:val="20"/>
          <w:lang w:eastAsia="en-ZA"/>
        </w:rPr>
        <w:t>at 209G–H).”</w:t>
      </w:r>
    </w:p>
    <w:p w14:paraId="4A54616E" w14:textId="77777777" w:rsidR="00EC562D" w:rsidRPr="00EC562D" w:rsidRDefault="005275EC" w:rsidP="00D46D76">
      <w:pPr>
        <w:pStyle w:val="ListParagraph"/>
        <w:numPr>
          <w:ilvl w:val="0"/>
          <w:numId w:val="7"/>
        </w:numPr>
        <w:spacing w:after="0" w:line="360" w:lineRule="auto"/>
        <w:rPr>
          <w:rFonts w:ascii="Times New Roman" w:eastAsiaTheme="minorHAnsi" w:hAnsi="Times New Roman"/>
        </w:rPr>
      </w:pPr>
      <w:r w:rsidRPr="001D54A2">
        <w:rPr>
          <w:rFonts w:ascii="Times New Roman" w:eastAsia="Times New Roman" w:hAnsi="Times New Roman"/>
          <w:color w:val="000000"/>
          <w:lang w:eastAsia="en-ZA"/>
        </w:rPr>
        <w:t>It is clear from the above case law that the </w:t>
      </w:r>
      <w:r w:rsidRPr="001D54A2">
        <w:rPr>
          <w:rFonts w:ascii="Times New Roman" w:eastAsia="Times New Roman" w:hAnsi="Times New Roman"/>
          <w:i/>
          <w:iCs/>
          <w:color w:val="000000"/>
          <w:lang w:eastAsia="en-ZA"/>
        </w:rPr>
        <w:t>ex parte </w:t>
      </w:r>
      <w:r w:rsidRPr="001D54A2">
        <w:rPr>
          <w:rFonts w:ascii="Times New Roman" w:eastAsia="Times New Roman" w:hAnsi="Times New Roman"/>
          <w:color w:val="000000"/>
          <w:lang w:eastAsia="en-ZA"/>
        </w:rPr>
        <w:t>order may not include a </w:t>
      </w:r>
      <w:r w:rsidRPr="001D54A2">
        <w:rPr>
          <w:rFonts w:ascii="Times New Roman" w:eastAsia="Times New Roman" w:hAnsi="Times New Roman"/>
          <w:i/>
          <w:iCs/>
          <w:color w:val="000000"/>
          <w:lang w:eastAsia="en-ZA"/>
        </w:rPr>
        <w:t>rule nisi </w:t>
      </w:r>
      <w:r w:rsidRPr="001D54A2">
        <w:rPr>
          <w:rFonts w:ascii="Times New Roman" w:eastAsia="Times New Roman" w:hAnsi="Times New Roman"/>
          <w:color w:val="000000"/>
          <w:lang w:eastAsia="en-ZA"/>
        </w:rPr>
        <w:t>that in essence is an interim eviction order.</w:t>
      </w:r>
      <w:r w:rsidR="002F2B5D" w:rsidRPr="00F02EA2">
        <w:rPr>
          <w:rStyle w:val="FootnoteReference"/>
          <w:rFonts w:ascii="Times New Roman" w:eastAsia="Times New Roman" w:hAnsi="Times New Roman"/>
          <w:color w:val="000000"/>
          <w:sz w:val="28"/>
          <w:szCs w:val="28"/>
          <w:lang w:eastAsia="en-ZA"/>
        </w:rPr>
        <w:footnoteReference w:id="50"/>
      </w:r>
      <w:r w:rsidRPr="00F02EA2">
        <w:rPr>
          <w:rFonts w:ascii="Times New Roman" w:eastAsia="Times New Roman" w:hAnsi="Times New Roman"/>
          <w:color w:val="000000"/>
          <w:sz w:val="28"/>
          <w:szCs w:val="28"/>
          <w:lang w:eastAsia="en-ZA"/>
        </w:rPr>
        <w:t> </w:t>
      </w:r>
      <w:r w:rsidRPr="001D54A2">
        <w:rPr>
          <w:rFonts w:ascii="Times New Roman" w:eastAsia="Times New Roman" w:hAnsi="Times New Roman"/>
          <w:color w:val="000000"/>
          <w:lang w:eastAsia="en-ZA"/>
        </w:rPr>
        <w:t xml:space="preserve"> It is advisable to serve the </w:t>
      </w:r>
      <w:r w:rsidRPr="001D54A2">
        <w:rPr>
          <w:rFonts w:ascii="Times New Roman" w:eastAsia="Times New Roman" w:hAnsi="Times New Roman"/>
          <w:i/>
          <w:iCs/>
          <w:color w:val="000000"/>
          <w:lang w:eastAsia="en-ZA"/>
        </w:rPr>
        <w:t>ex parte </w:t>
      </w:r>
      <w:r w:rsidRPr="001D54A2">
        <w:rPr>
          <w:rFonts w:ascii="Times New Roman" w:eastAsia="Times New Roman" w:hAnsi="Times New Roman"/>
          <w:color w:val="000000"/>
          <w:lang w:eastAsia="en-ZA"/>
        </w:rPr>
        <w:t>order in terms of which the section 4(2) notice was authorised with the notice.</w:t>
      </w:r>
    </w:p>
    <w:p w14:paraId="222AA562" w14:textId="77777777" w:rsidR="002F2B5D" w:rsidRPr="00EC562D" w:rsidRDefault="002F2B5D" w:rsidP="00D46D76">
      <w:pPr>
        <w:pStyle w:val="ListParagraph"/>
        <w:numPr>
          <w:ilvl w:val="0"/>
          <w:numId w:val="7"/>
        </w:numPr>
        <w:spacing w:after="0" w:line="360" w:lineRule="auto"/>
        <w:rPr>
          <w:rFonts w:ascii="Times New Roman" w:eastAsiaTheme="minorHAnsi" w:hAnsi="Times New Roman"/>
        </w:rPr>
      </w:pPr>
      <w:r w:rsidRPr="00EC562D">
        <w:rPr>
          <w:rFonts w:ascii="Times New Roman" w:eastAsia="Times New Roman" w:hAnsi="Times New Roman"/>
          <w:color w:val="000000"/>
          <w:lang w:eastAsia="en-ZA"/>
        </w:rPr>
        <w:t>The purpose of section 4(2) is to afford respondents in eviction proceedings a better opportunity than they would have under the normal Rules of Court to put all the circumstances which they allege to be relevant before the court and to inform them of the basis upon which the order is sought in order to enable them to meet that case</w:t>
      </w:r>
      <w:r w:rsidRPr="00EC562D">
        <w:rPr>
          <w:rFonts w:ascii="Times New Roman" w:eastAsia="Times New Roman" w:hAnsi="Times New Roman"/>
          <w:color w:val="000000"/>
          <w:sz w:val="28"/>
          <w:szCs w:val="28"/>
          <w:lang w:eastAsia="en-ZA"/>
        </w:rPr>
        <w:t>.</w:t>
      </w:r>
      <w:r w:rsidRPr="00F02EA2">
        <w:rPr>
          <w:rStyle w:val="FootnoteReference"/>
          <w:rFonts w:ascii="Times New Roman" w:eastAsia="Times New Roman" w:hAnsi="Times New Roman"/>
          <w:color w:val="000000"/>
          <w:sz w:val="28"/>
          <w:szCs w:val="28"/>
          <w:lang w:eastAsia="en-ZA"/>
        </w:rPr>
        <w:footnoteReference w:id="51"/>
      </w:r>
    </w:p>
    <w:p w14:paraId="59177412" w14:textId="77777777" w:rsidR="005275EC" w:rsidRPr="002F2B5D" w:rsidRDefault="005275EC" w:rsidP="00D46D76">
      <w:pPr>
        <w:pStyle w:val="ListParagraph"/>
        <w:numPr>
          <w:ilvl w:val="0"/>
          <w:numId w:val="7"/>
        </w:numPr>
        <w:spacing w:after="0" w:line="360" w:lineRule="auto"/>
        <w:rPr>
          <w:rFonts w:ascii="Times New Roman" w:eastAsiaTheme="minorHAnsi" w:hAnsi="Times New Roman"/>
        </w:rPr>
      </w:pPr>
      <w:r w:rsidRPr="002F2B5D">
        <w:rPr>
          <w:rFonts w:ascii="Times New Roman" w:eastAsia="Times New Roman" w:hAnsi="Times New Roman"/>
          <w:color w:val="000000"/>
          <w:lang w:eastAsia="en-ZA"/>
        </w:rPr>
        <w:t>The Regulations promulgated due to the Covid-19 pandemic, in terms of the Disaster Management Act (DMA)</w:t>
      </w:r>
      <w:r w:rsidR="002F2B5D" w:rsidRPr="00DD4688">
        <w:rPr>
          <w:rStyle w:val="FootnoteReference"/>
          <w:rFonts w:ascii="Times New Roman" w:eastAsia="Times New Roman" w:hAnsi="Times New Roman"/>
          <w:color w:val="000000"/>
          <w:sz w:val="28"/>
          <w:szCs w:val="28"/>
          <w:lang w:eastAsia="en-ZA"/>
        </w:rPr>
        <w:footnoteReference w:id="52"/>
      </w:r>
      <w:r w:rsidRPr="00DD4688">
        <w:rPr>
          <w:rFonts w:ascii="Times New Roman" w:eastAsia="Times New Roman" w:hAnsi="Times New Roman"/>
          <w:color w:val="000000"/>
          <w:sz w:val="28"/>
          <w:szCs w:val="28"/>
          <w:lang w:eastAsia="en-ZA"/>
        </w:rPr>
        <w:t> </w:t>
      </w:r>
      <w:r w:rsidRPr="002F2B5D">
        <w:rPr>
          <w:rFonts w:ascii="Times New Roman" w:eastAsia="Times New Roman" w:hAnsi="Times New Roman"/>
          <w:color w:val="000000"/>
          <w:lang w:eastAsia="en-ZA"/>
        </w:rPr>
        <w:t xml:space="preserve"> may require that additional facts must be dealt with in eviction proceedings, depending on the appli</w:t>
      </w:r>
      <w:r w:rsidR="002F2B5D">
        <w:rPr>
          <w:rFonts w:ascii="Times New Roman" w:eastAsia="Times New Roman" w:hAnsi="Times New Roman"/>
          <w:color w:val="000000"/>
          <w:lang w:eastAsia="en-ZA"/>
        </w:rPr>
        <w:t>cable alert level. Regulation 53</w:t>
      </w:r>
      <w:r w:rsidR="002F2B5D" w:rsidRPr="00F02EA2">
        <w:rPr>
          <w:rStyle w:val="FootnoteReference"/>
          <w:rFonts w:ascii="Times New Roman" w:eastAsia="Times New Roman" w:hAnsi="Times New Roman"/>
          <w:color w:val="000000"/>
          <w:sz w:val="28"/>
          <w:szCs w:val="28"/>
          <w:lang w:eastAsia="en-ZA"/>
        </w:rPr>
        <w:footnoteReference w:id="53"/>
      </w:r>
      <w:r w:rsidRPr="00F02EA2">
        <w:rPr>
          <w:rFonts w:ascii="Times New Roman" w:eastAsia="Times New Roman" w:hAnsi="Times New Roman"/>
          <w:color w:val="000000"/>
          <w:sz w:val="28"/>
          <w:szCs w:val="28"/>
          <w:lang w:eastAsia="en-ZA"/>
        </w:rPr>
        <w:t xml:space="preserve"> </w:t>
      </w:r>
      <w:r w:rsidRPr="002F2B5D">
        <w:rPr>
          <w:rFonts w:ascii="Times New Roman" w:eastAsia="Times New Roman" w:hAnsi="Times New Roman"/>
          <w:color w:val="000000"/>
          <w:lang w:eastAsia="en-ZA"/>
        </w:rPr>
        <w:t>applies to evictions.”</w:t>
      </w:r>
    </w:p>
    <w:p w14:paraId="73CCBDB6" w14:textId="77777777" w:rsidR="005275EC" w:rsidRPr="005275EC" w:rsidRDefault="005275EC" w:rsidP="00D46D76">
      <w:pPr>
        <w:pStyle w:val="ListParagraph"/>
        <w:tabs>
          <w:tab w:val="left" w:pos="0"/>
        </w:tabs>
        <w:spacing w:after="0" w:line="360" w:lineRule="auto"/>
        <w:ind w:left="0"/>
        <w:rPr>
          <w:rFonts w:ascii="Times New Roman" w:hAnsi="Times New Roman"/>
          <w:b/>
          <w:sz w:val="28"/>
          <w:szCs w:val="28"/>
        </w:rPr>
      </w:pPr>
    </w:p>
    <w:p w14:paraId="1096F3E5" w14:textId="2A556CA0" w:rsidR="002F2B5D" w:rsidRPr="002011E5" w:rsidRDefault="002F2B5D" w:rsidP="00D46D76">
      <w:pPr>
        <w:pStyle w:val="ListParagraph"/>
        <w:numPr>
          <w:ilvl w:val="0"/>
          <w:numId w:val="2"/>
        </w:numPr>
        <w:tabs>
          <w:tab w:val="left" w:pos="0"/>
        </w:tabs>
        <w:spacing w:after="0" w:line="360" w:lineRule="auto"/>
        <w:ind w:left="0" w:firstLine="0"/>
        <w:rPr>
          <w:rFonts w:ascii="Times New Roman" w:hAnsi="Times New Roman"/>
          <w:sz w:val="28"/>
          <w:szCs w:val="28"/>
        </w:rPr>
      </w:pPr>
      <w:r w:rsidRPr="002F2B5D">
        <w:rPr>
          <w:rFonts w:ascii="Times New Roman" w:hAnsi="Times New Roman"/>
          <w:sz w:val="28"/>
          <w:szCs w:val="28"/>
        </w:rPr>
        <w:t xml:space="preserve">The respondents </w:t>
      </w:r>
      <w:r w:rsidR="002011E5">
        <w:rPr>
          <w:rFonts w:ascii="Times New Roman" w:hAnsi="Times New Roman"/>
          <w:sz w:val="28"/>
          <w:szCs w:val="28"/>
        </w:rPr>
        <w:t xml:space="preserve">have raised an objection to </w:t>
      </w:r>
      <w:r w:rsidRPr="002F2B5D">
        <w:rPr>
          <w:rFonts w:ascii="Times New Roman" w:hAnsi="Times New Roman"/>
          <w:sz w:val="28"/>
          <w:szCs w:val="28"/>
        </w:rPr>
        <w:t xml:space="preserve">the procedure adopted by the applicant </w:t>
      </w:r>
      <w:r w:rsidRPr="002F2B5D">
        <w:rPr>
          <w:rFonts w:ascii="Times New Roman" w:hAnsi="Times New Roman"/>
          <w:i/>
          <w:sz w:val="28"/>
          <w:szCs w:val="28"/>
        </w:rPr>
        <w:t>in casu</w:t>
      </w:r>
      <w:r w:rsidRPr="002F2B5D">
        <w:rPr>
          <w:rFonts w:ascii="Times New Roman" w:hAnsi="Times New Roman"/>
          <w:sz w:val="28"/>
          <w:szCs w:val="28"/>
        </w:rPr>
        <w:t xml:space="preserve">.  </w:t>
      </w:r>
      <w:r w:rsidR="002011E5">
        <w:rPr>
          <w:rFonts w:ascii="Times New Roman" w:hAnsi="Times New Roman"/>
          <w:sz w:val="28"/>
          <w:szCs w:val="28"/>
        </w:rPr>
        <w:t xml:space="preserve">They do not complain that notice was </w:t>
      </w:r>
      <w:r w:rsidRPr="002F2B5D">
        <w:rPr>
          <w:rFonts w:ascii="Times New Roman" w:hAnsi="Times New Roman"/>
          <w:sz w:val="28"/>
          <w:szCs w:val="28"/>
        </w:rPr>
        <w:t>not effective within the meaning of the section</w:t>
      </w:r>
      <w:r w:rsidR="00F02EA2">
        <w:rPr>
          <w:rFonts w:ascii="Times New Roman" w:hAnsi="Times New Roman"/>
          <w:sz w:val="28"/>
          <w:szCs w:val="28"/>
        </w:rPr>
        <w:t>’</w:t>
      </w:r>
      <w:r w:rsidRPr="002F2B5D">
        <w:rPr>
          <w:rFonts w:ascii="Times New Roman" w:hAnsi="Times New Roman"/>
          <w:sz w:val="28"/>
          <w:szCs w:val="28"/>
        </w:rPr>
        <w:t xml:space="preserve">s provisions, or that they were not afforded a proper opportunity to raise a defence or set out facts or circumstances bearing upon the exercise of the court’s discretion to make the </w:t>
      </w:r>
      <w:r w:rsidR="003258D1" w:rsidRPr="002F2B5D">
        <w:rPr>
          <w:rFonts w:ascii="Times New Roman" w:hAnsi="Times New Roman"/>
          <w:sz w:val="28"/>
          <w:szCs w:val="28"/>
        </w:rPr>
        <w:t>order</w:t>
      </w:r>
      <w:r w:rsidR="003258D1">
        <w:rPr>
          <w:rFonts w:ascii="Times New Roman" w:hAnsi="Times New Roman"/>
          <w:sz w:val="28"/>
          <w:szCs w:val="28"/>
        </w:rPr>
        <w:t xml:space="preserve"> but</w:t>
      </w:r>
      <w:r w:rsidRPr="002F2B5D">
        <w:rPr>
          <w:rFonts w:ascii="Times New Roman" w:hAnsi="Times New Roman"/>
          <w:sz w:val="28"/>
          <w:szCs w:val="28"/>
        </w:rPr>
        <w:t xml:space="preserve"> </w:t>
      </w:r>
      <w:r w:rsidR="00F02EA2">
        <w:rPr>
          <w:rFonts w:ascii="Times New Roman" w:hAnsi="Times New Roman"/>
          <w:sz w:val="28"/>
          <w:szCs w:val="28"/>
        </w:rPr>
        <w:t xml:space="preserve">claim </w:t>
      </w:r>
      <w:r w:rsidRPr="002F2B5D">
        <w:rPr>
          <w:rFonts w:ascii="Times New Roman" w:hAnsi="Times New Roman"/>
          <w:sz w:val="28"/>
          <w:szCs w:val="28"/>
        </w:rPr>
        <w:t>rather that the process adopted by the applicant was fatally d</w:t>
      </w:r>
      <w:r w:rsidR="002011E5">
        <w:rPr>
          <w:rFonts w:ascii="Times New Roman" w:hAnsi="Times New Roman"/>
          <w:sz w:val="28"/>
          <w:szCs w:val="28"/>
        </w:rPr>
        <w:t>efective</w:t>
      </w:r>
      <w:r w:rsidRPr="002011E5">
        <w:rPr>
          <w:rFonts w:ascii="Times New Roman" w:hAnsi="Times New Roman"/>
          <w:sz w:val="28"/>
          <w:szCs w:val="28"/>
        </w:rPr>
        <w:t>.</w:t>
      </w:r>
    </w:p>
    <w:p w14:paraId="0A174693" w14:textId="77777777" w:rsidR="002F2B5D" w:rsidRPr="002F2B5D" w:rsidRDefault="002F2B5D" w:rsidP="00D46D76">
      <w:pPr>
        <w:pStyle w:val="ListParagraph"/>
        <w:tabs>
          <w:tab w:val="left" w:pos="0"/>
        </w:tabs>
        <w:spacing w:after="0" w:line="360" w:lineRule="auto"/>
        <w:ind w:left="0"/>
        <w:rPr>
          <w:rFonts w:ascii="Times New Roman" w:hAnsi="Times New Roman"/>
          <w:b/>
          <w:sz w:val="28"/>
          <w:szCs w:val="28"/>
        </w:rPr>
      </w:pPr>
    </w:p>
    <w:p w14:paraId="39FB3996" w14:textId="77777777" w:rsidR="00B7084E" w:rsidRPr="00B7084E"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rPr>
        <w:t>The applicant</w:t>
      </w:r>
      <w:r w:rsidR="0073500A">
        <w:rPr>
          <w:rFonts w:ascii="Times New Roman" w:hAnsi="Times New Roman"/>
          <w:color w:val="000000"/>
          <w:sz w:val="28"/>
          <w:szCs w:val="28"/>
        </w:rPr>
        <w:t>,</w:t>
      </w:r>
      <w:r w:rsidRPr="005275EC">
        <w:rPr>
          <w:rFonts w:ascii="Times New Roman" w:hAnsi="Times New Roman"/>
          <w:color w:val="000000"/>
          <w:sz w:val="28"/>
          <w:szCs w:val="28"/>
        </w:rPr>
        <w:t xml:space="preserve"> purportedly in compliance with the provisions of section 4 (1) and (2) of the PI</w:t>
      </w:r>
      <w:r w:rsidR="00274504" w:rsidRPr="005275EC">
        <w:rPr>
          <w:rFonts w:ascii="Times New Roman" w:hAnsi="Times New Roman"/>
          <w:color w:val="000000"/>
          <w:sz w:val="28"/>
          <w:szCs w:val="28"/>
        </w:rPr>
        <w:t>E</w:t>
      </w:r>
      <w:r w:rsidRPr="005275EC">
        <w:rPr>
          <w:rFonts w:ascii="Times New Roman" w:hAnsi="Times New Roman"/>
          <w:color w:val="000000"/>
          <w:sz w:val="28"/>
          <w:szCs w:val="28"/>
        </w:rPr>
        <w:t xml:space="preserve"> Act, issued out </w:t>
      </w:r>
      <w:r w:rsidR="00047F20">
        <w:rPr>
          <w:rFonts w:ascii="Times New Roman" w:hAnsi="Times New Roman"/>
          <w:color w:val="000000"/>
          <w:sz w:val="28"/>
          <w:szCs w:val="28"/>
        </w:rPr>
        <w:t>a combined application i</w:t>
      </w:r>
      <w:r w:rsidRPr="005275EC">
        <w:rPr>
          <w:rFonts w:ascii="Times New Roman" w:hAnsi="Times New Roman"/>
          <w:color w:val="000000"/>
          <w:sz w:val="28"/>
          <w:szCs w:val="28"/>
        </w:rPr>
        <w:t>ncorporating</w:t>
      </w:r>
      <w:r w:rsidR="00DD4688">
        <w:rPr>
          <w:rFonts w:ascii="Times New Roman" w:hAnsi="Times New Roman"/>
          <w:color w:val="000000"/>
          <w:sz w:val="28"/>
          <w:szCs w:val="28"/>
        </w:rPr>
        <w:t xml:space="preserve"> both</w:t>
      </w:r>
      <w:r w:rsidR="00B7084E">
        <w:rPr>
          <w:rFonts w:ascii="Times New Roman" w:hAnsi="Times New Roman"/>
          <w:color w:val="000000"/>
          <w:sz w:val="28"/>
          <w:szCs w:val="28"/>
        </w:rPr>
        <w:t xml:space="preserve"> </w:t>
      </w:r>
      <w:r w:rsidR="0043674D">
        <w:rPr>
          <w:rFonts w:ascii="Times New Roman" w:hAnsi="Times New Roman"/>
          <w:color w:val="000000"/>
          <w:sz w:val="28"/>
          <w:szCs w:val="28"/>
        </w:rPr>
        <w:t>the</w:t>
      </w:r>
      <w:r w:rsidR="00B7084E">
        <w:rPr>
          <w:rFonts w:ascii="Times New Roman" w:hAnsi="Times New Roman"/>
          <w:color w:val="000000"/>
          <w:sz w:val="28"/>
          <w:szCs w:val="28"/>
        </w:rPr>
        <w:t xml:space="preserve"> </w:t>
      </w:r>
      <w:r w:rsidR="0032403B">
        <w:rPr>
          <w:rFonts w:ascii="Times New Roman" w:hAnsi="Times New Roman"/>
          <w:color w:val="000000"/>
          <w:sz w:val="28"/>
          <w:szCs w:val="28"/>
        </w:rPr>
        <w:t>substantive</w:t>
      </w:r>
      <w:r w:rsidR="00B7084E">
        <w:rPr>
          <w:rFonts w:ascii="Times New Roman" w:hAnsi="Times New Roman"/>
          <w:color w:val="000000"/>
          <w:sz w:val="28"/>
          <w:szCs w:val="28"/>
        </w:rPr>
        <w:t xml:space="preserve"> application for the respondent’s eviction and</w:t>
      </w:r>
      <w:r w:rsidR="0043674D">
        <w:rPr>
          <w:rFonts w:ascii="Times New Roman" w:hAnsi="Times New Roman"/>
          <w:color w:val="000000"/>
          <w:sz w:val="28"/>
          <w:szCs w:val="28"/>
        </w:rPr>
        <w:t xml:space="preserve"> the </w:t>
      </w:r>
      <w:r w:rsidRPr="005275EC">
        <w:rPr>
          <w:rFonts w:ascii="Times New Roman" w:hAnsi="Times New Roman"/>
          <w:color w:val="000000"/>
          <w:sz w:val="28"/>
          <w:szCs w:val="28"/>
        </w:rPr>
        <w:t>application for leave to serve notice on them in terms of these provisions</w:t>
      </w:r>
      <w:r w:rsidR="0043674D">
        <w:rPr>
          <w:rFonts w:ascii="Times New Roman" w:hAnsi="Times New Roman"/>
          <w:color w:val="000000"/>
          <w:sz w:val="28"/>
          <w:szCs w:val="28"/>
        </w:rPr>
        <w:t>,</w:t>
      </w:r>
      <w:r w:rsidR="00047F20">
        <w:rPr>
          <w:rFonts w:ascii="Times New Roman" w:hAnsi="Times New Roman"/>
          <w:color w:val="000000"/>
          <w:sz w:val="28"/>
          <w:szCs w:val="28"/>
        </w:rPr>
        <w:t xml:space="preserve"> but the omnibus application appears on the face of it to have been styled “</w:t>
      </w:r>
      <w:r w:rsidR="00047F20" w:rsidRPr="00047F20">
        <w:rPr>
          <w:rFonts w:ascii="Times New Roman" w:hAnsi="Times New Roman"/>
          <w:i/>
          <w:color w:val="000000"/>
          <w:sz w:val="28"/>
          <w:szCs w:val="28"/>
        </w:rPr>
        <w:t xml:space="preserve">Ex parte </w:t>
      </w:r>
      <w:r w:rsidR="00047F20">
        <w:rPr>
          <w:rFonts w:ascii="Times New Roman" w:hAnsi="Times New Roman"/>
          <w:color w:val="000000"/>
          <w:sz w:val="28"/>
          <w:szCs w:val="28"/>
        </w:rPr>
        <w:t>application”</w:t>
      </w:r>
      <w:r w:rsidR="0043674D">
        <w:rPr>
          <w:rFonts w:ascii="Times New Roman" w:hAnsi="Times New Roman"/>
          <w:color w:val="000000"/>
          <w:sz w:val="28"/>
          <w:szCs w:val="28"/>
        </w:rPr>
        <w:t>.  This was filed</w:t>
      </w:r>
      <w:r w:rsidR="00047F20">
        <w:rPr>
          <w:rFonts w:ascii="Times New Roman" w:hAnsi="Times New Roman"/>
          <w:color w:val="000000"/>
          <w:sz w:val="28"/>
          <w:szCs w:val="28"/>
        </w:rPr>
        <w:t xml:space="preserve"> together with a “Notice in terms of Section 4 (1) of the </w:t>
      </w:r>
      <w:r w:rsidR="007830DB">
        <w:rPr>
          <w:rFonts w:ascii="Times New Roman" w:hAnsi="Times New Roman"/>
          <w:color w:val="000000"/>
          <w:sz w:val="28"/>
          <w:szCs w:val="28"/>
        </w:rPr>
        <w:t>Prevention of Illegal Eviction from Unlawful Occupation of Land Act, No. 19 of 1998 for an order of eviction of the unlawful occupiers,” followed by a founding and confirmatory affidavit respectively</w:t>
      </w:r>
      <w:r w:rsidR="0073500A">
        <w:rPr>
          <w:rFonts w:ascii="Times New Roman" w:hAnsi="Times New Roman"/>
          <w:color w:val="000000"/>
          <w:sz w:val="28"/>
          <w:szCs w:val="28"/>
        </w:rPr>
        <w:t xml:space="preserve">. </w:t>
      </w:r>
      <w:r w:rsidR="007830DB">
        <w:rPr>
          <w:rFonts w:ascii="Times New Roman" w:hAnsi="Times New Roman"/>
          <w:color w:val="000000"/>
          <w:sz w:val="28"/>
          <w:szCs w:val="28"/>
        </w:rPr>
        <w:t xml:space="preserve"> </w:t>
      </w:r>
      <w:r w:rsidR="0073500A">
        <w:rPr>
          <w:rFonts w:ascii="Times New Roman" w:hAnsi="Times New Roman"/>
          <w:color w:val="000000"/>
          <w:sz w:val="28"/>
          <w:szCs w:val="28"/>
        </w:rPr>
        <w:t>T</w:t>
      </w:r>
      <w:r w:rsidR="00B7084E">
        <w:rPr>
          <w:rFonts w:ascii="Times New Roman" w:hAnsi="Times New Roman"/>
          <w:color w:val="000000"/>
          <w:sz w:val="28"/>
          <w:szCs w:val="28"/>
        </w:rPr>
        <w:t xml:space="preserve">he </w:t>
      </w:r>
      <w:r w:rsidR="0073500A">
        <w:rPr>
          <w:rFonts w:ascii="Times New Roman" w:hAnsi="Times New Roman"/>
          <w:color w:val="000000"/>
          <w:sz w:val="28"/>
          <w:szCs w:val="28"/>
        </w:rPr>
        <w:t xml:space="preserve">relief </w:t>
      </w:r>
      <w:r w:rsidR="00B7084E">
        <w:rPr>
          <w:rFonts w:ascii="Times New Roman" w:hAnsi="Times New Roman"/>
          <w:color w:val="000000"/>
          <w:sz w:val="28"/>
          <w:szCs w:val="28"/>
        </w:rPr>
        <w:t xml:space="preserve">sought in the </w:t>
      </w:r>
      <w:r w:rsidR="007830DB">
        <w:rPr>
          <w:rFonts w:ascii="Times New Roman" w:hAnsi="Times New Roman"/>
          <w:color w:val="000000"/>
          <w:sz w:val="28"/>
          <w:szCs w:val="28"/>
        </w:rPr>
        <w:t xml:space="preserve">authorization </w:t>
      </w:r>
      <w:r w:rsidR="00B7084E">
        <w:rPr>
          <w:rFonts w:ascii="Times New Roman" w:hAnsi="Times New Roman"/>
          <w:color w:val="000000"/>
          <w:sz w:val="28"/>
          <w:szCs w:val="28"/>
        </w:rPr>
        <w:t>application</w:t>
      </w:r>
      <w:r w:rsidRPr="005275EC">
        <w:rPr>
          <w:rFonts w:ascii="Times New Roman" w:hAnsi="Times New Roman"/>
          <w:color w:val="000000"/>
          <w:sz w:val="28"/>
          <w:szCs w:val="28"/>
        </w:rPr>
        <w:t xml:space="preserve"> was granted and the court's order, and </w:t>
      </w:r>
      <w:r w:rsidR="007830DB">
        <w:rPr>
          <w:rFonts w:ascii="Times New Roman" w:hAnsi="Times New Roman"/>
          <w:color w:val="000000"/>
          <w:sz w:val="28"/>
          <w:szCs w:val="28"/>
        </w:rPr>
        <w:t>t</w:t>
      </w:r>
      <w:r w:rsidRPr="005275EC">
        <w:rPr>
          <w:rFonts w:ascii="Times New Roman" w:hAnsi="Times New Roman"/>
          <w:color w:val="000000"/>
          <w:sz w:val="28"/>
          <w:szCs w:val="28"/>
        </w:rPr>
        <w:t>h</w:t>
      </w:r>
      <w:r w:rsidR="0073500A">
        <w:rPr>
          <w:rFonts w:ascii="Times New Roman" w:hAnsi="Times New Roman"/>
          <w:color w:val="000000"/>
          <w:sz w:val="28"/>
          <w:szCs w:val="28"/>
        </w:rPr>
        <w:t>e section 4 (</w:t>
      </w:r>
      <w:r w:rsidR="007830DB">
        <w:rPr>
          <w:rFonts w:ascii="Times New Roman" w:hAnsi="Times New Roman"/>
          <w:color w:val="000000"/>
          <w:sz w:val="28"/>
          <w:szCs w:val="28"/>
        </w:rPr>
        <w:t>1</w:t>
      </w:r>
      <w:r w:rsidR="0073500A">
        <w:rPr>
          <w:rFonts w:ascii="Times New Roman" w:hAnsi="Times New Roman"/>
          <w:color w:val="000000"/>
          <w:sz w:val="28"/>
          <w:szCs w:val="28"/>
        </w:rPr>
        <w:t xml:space="preserve">) </w:t>
      </w:r>
      <w:r w:rsidRPr="005275EC">
        <w:rPr>
          <w:rFonts w:ascii="Times New Roman" w:hAnsi="Times New Roman"/>
          <w:color w:val="000000"/>
          <w:sz w:val="28"/>
          <w:szCs w:val="28"/>
        </w:rPr>
        <w:t>notice together with the main application and supporting papers</w:t>
      </w:r>
      <w:r w:rsidR="002011E5">
        <w:rPr>
          <w:rFonts w:ascii="Times New Roman" w:hAnsi="Times New Roman"/>
          <w:color w:val="000000"/>
          <w:sz w:val="28"/>
          <w:szCs w:val="28"/>
        </w:rPr>
        <w:t>,</w:t>
      </w:r>
      <w:r w:rsidRPr="005275EC">
        <w:rPr>
          <w:rFonts w:ascii="Times New Roman" w:hAnsi="Times New Roman"/>
          <w:color w:val="000000"/>
          <w:sz w:val="28"/>
          <w:szCs w:val="28"/>
        </w:rPr>
        <w:t xml:space="preserve"> were served</w:t>
      </w:r>
      <w:r w:rsidR="00B7084E">
        <w:rPr>
          <w:rFonts w:ascii="Times New Roman" w:hAnsi="Times New Roman"/>
          <w:color w:val="000000"/>
          <w:sz w:val="28"/>
          <w:szCs w:val="28"/>
        </w:rPr>
        <w:t xml:space="preserve"> (all together)</w:t>
      </w:r>
      <w:r w:rsidRPr="005275EC">
        <w:rPr>
          <w:rFonts w:ascii="Times New Roman" w:hAnsi="Times New Roman"/>
          <w:color w:val="000000"/>
          <w:sz w:val="28"/>
          <w:szCs w:val="28"/>
        </w:rPr>
        <w:t xml:space="preserve"> on the respondent</w:t>
      </w:r>
      <w:r w:rsidR="00B7084E">
        <w:rPr>
          <w:rFonts w:ascii="Times New Roman" w:hAnsi="Times New Roman"/>
          <w:color w:val="000000"/>
          <w:sz w:val="28"/>
          <w:szCs w:val="28"/>
        </w:rPr>
        <w:t>s</w:t>
      </w:r>
      <w:r w:rsidR="0032403B">
        <w:rPr>
          <w:rFonts w:ascii="Times New Roman" w:hAnsi="Times New Roman"/>
          <w:color w:val="000000"/>
          <w:sz w:val="28"/>
          <w:szCs w:val="28"/>
        </w:rPr>
        <w:t xml:space="preserve"> on 7 July 2021</w:t>
      </w:r>
      <w:r w:rsidRPr="005275EC">
        <w:rPr>
          <w:rFonts w:ascii="Times New Roman" w:hAnsi="Times New Roman"/>
          <w:color w:val="000000"/>
          <w:sz w:val="28"/>
          <w:szCs w:val="28"/>
        </w:rPr>
        <w:t>. They were informed in both the</w:t>
      </w:r>
      <w:r w:rsidR="00B7084E">
        <w:rPr>
          <w:rFonts w:ascii="Times New Roman" w:hAnsi="Times New Roman"/>
          <w:color w:val="000000"/>
          <w:sz w:val="28"/>
          <w:szCs w:val="28"/>
        </w:rPr>
        <w:t xml:space="preserve"> section 4 (</w:t>
      </w:r>
      <w:r w:rsidR="0043674D">
        <w:rPr>
          <w:rFonts w:ascii="Times New Roman" w:hAnsi="Times New Roman"/>
          <w:color w:val="000000"/>
          <w:sz w:val="28"/>
          <w:szCs w:val="28"/>
        </w:rPr>
        <w:t>1</w:t>
      </w:r>
      <w:r w:rsidR="00B7084E">
        <w:rPr>
          <w:rFonts w:ascii="Times New Roman" w:hAnsi="Times New Roman"/>
          <w:color w:val="000000"/>
          <w:sz w:val="28"/>
          <w:szCs w:val="28"/>
        </w:rPr>
        <w:t>)</w:t>
      </w:r>
      <w:r w:rsidRPr="005275EC">
        <w:rPr>
          <w:rFonts w:ascii="Times New Roman" w:hAnsi="Times New Roman"/>
          <w:color w:val="000000"/>
          <w:sz w:val="28"/>
          <w:szCs w:val="28"/>
        </w:rPr>
        <w:t xml:space="preserve"> notice and the notice of motion</w:t>
      </w:r>
      <w:r w:rsidR="0073500A">
        <w:rPr>
          <w:rFonts w:ascii="Times New Roman" w:hAnsi="Times New Roman"/>
          <w:color w:val="000000"/>
          <w:sz w:val="28"/>
          <w:szCs w:val="28"/>
        </w:rPr>
        <w:t xml:space="preserve"> in respect of the eviction application</w:t>
      </w:r>
      <w:r w:rsidRPr="005275EC">
        <w:rPr>
          <w:rFonts w:ascii="Times New Roman" w:hAnsi="Times New Roman"/>
          <w:color w:val="000000"/>
          <w:sz w:val="28"/>
          <w:szCs w:val="28"/>
        </w:rPr>
        <w:t xml:space="preserve"> that the anticipated hearing would ensue on 27 July 2021</w:t>
      </w:r>
      <w:r w:rsidR="00B7084E">
        <w:rPr>
          <w:rFonts w:ascii="Times New Roman" w:hAnsi="Times New Roman"/>
          <w:color w:val="000000"/>
          <w:sz w:val="28"/>
          <w:szCs w:val="28"/>
        </w:rPr>
        <w:t xml:space="preserve"> </w:t>
      </w:r>
      <w:r w:rsidRPr="005275EC">
        <w:rPr>
          <w:rFonts w:ascii="Times New Roman" w:hAnsi="Times New Roman"/>
          <w:color w:val="000000"/>
          <w:sz w:val="28"/>
          <w:szCs w:val="28"/>
        </w:rPr>
        <w:t>and that they would be given a date by when they would be asked to vacate the property, failing which the sheriff’s assistance would be invoked</w:t>
      </w:r>
      <w:r w:rsidR="0073500A">
        <w:rPr>
          <w:rFonts w:ascii="Times New Roman" w:hAnsi="Times New Roman"/>
          <w:color w:val="000000"/>
          <w:sz w:val="28"/>
          <w:szCs w:val="28"/>
        </w:rPr>
        <w:t>, this all</w:t>
      </w:r>
      <w:r w:rsidR="00B7084E">
        <w:rPr>
          <w:rFonts w:ascii="Times New Roman" w:hAnsi="Times New Roman"/>
          <w:color w:val="000000"/>
          <w:sz w:val="28"/>
          <w:szCs w:val="28"/>
        </w:rPr>
        <w:t xml:space="preserve"> assuming</w:t>
      </w:r>
      <w:r w:rsidR="0073500A">
        <w:rPr>
          <w:rFonts w:ascii="Times New Roman" w:hAnsi="Times New Roman"/>
          <w:color w:val="000000"/>
          <w:sz w:val="28"/>
          <w:szCs w:val="28"/>
        </w:rPr>
        <w:t xml:space="preserve"> that</w:t>
      </w:r>
      <w:r w:rsidR="00B7084E">
        <w:rPr>
          <w:rFonts w:ascii="Times New Roman" w:hAnsi="Times New Roman"/>
          <w:color w:val="000000"/>
          <w:sz w:val="28"/>
          <w:szCs w:val="28"/>
        </w:rPr>
        <w:t xml:space="preserve"> no notice to oppose was </w:t>
      </w:r>
      <w:r w:rsidR="006D0151">
        <w:rPr>
          <w:rFonts w:ascii="Times New Roman" w:hAnsi="Times New Roman"/>
          <w:color w:val="000000"/>
          <w:sz w:val="28"/>
          <w:szCs w:val="28"/>
        </w:rPr>
        <w:t xml:space="preserve">expected to be </w:t>
      </w:r>
      <w:r w:rsidR="00B7084E">
        <w:rPr>
          <w:rFonts w:ascii="Times New Roman" w:hAnsi="Times New Roman"/>
          <w:color w:val="000000"/>
          <w:sz w:val="28"/>
          <w:szCs w:val="28"/>
        </w:rPr>
        <w:t>given</w:t>
      </w:r>
      <w:r w:rsidRPr="005275EC">
        <w:rPr>
          <w:rFonts w:ascii="Times New Roman" w:hAnsi="Times New Roman"/>
          <w:color w:val="000000"/>
          <w:sz w:val="28"/>
          <w:szCs w:val="28"/>
        </w:rPr>
        <w:t xml:space="preserve">. </w:t>
      </w:r>
    </w:p>
    <w:p w14:paraId="75DD1491" w14:textId="77777777" w:rsidR="005275EC" w:rsidRDefault="005275EC" w:rsidP="00D46D76">
      <w:pPr>
        <w:pStyle w:val="ListParagraph"/>
        <w:tabs>
          <w:tab w:val="left" w:pos="0"/>
        </w:tabs>
        <w:spacing w:after="0" w:line="360" w:lineRule="auto"/>
        <w:ind w:left="0"/>
        <w:rPr>
          <w:rFonts w:ascii="Times New Roman" w:hAnsi="Times New Roman"/>
          <w:b/>
          <w:sz w:val="28"/>
          <w:szCs w:val="28"/>
        </w:rPr>
      </w:pPr>
    </w:p>
    <w:p w14:paraId="3D6B0027" w14:textId="135B677A" w:rsidR="00B7084E" w:rsidRPr="00B7084E" w:rsidRDefault="002F2B5D"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respondents </w:t>
      </w:r>
      <w:r w:rsidR="00814C88" w:rsidRPr="005275EC">
        <w:rPr>
          <w:rFonts w:ascii="Times New Roman" w:hAnsi="Times New Roman"/>
          <w:sz w:val="28"/>
          <w:szCs w:val="28"/>
        </w:rPr>
        <w:t>t</w:t>
      </w:r>
      <w:r w:rsidR="002011E5">
        <w:rPr>
          <w:rFonts w:ascii="Times New Roman" w:hAnsi="Times New Roman"/>
          <w:sz w:val="28"/>
          <w:szCs w:val="28"/>
        </w:rPr>
        <w:t>ake</w:t>
      </w:r>
      <w:r w:rsidR="00814C88" w:rsidRPr="005275EC">
        <w:rPr>
          <w:rFonts w:ascii="Times New Roman" w:hAnsi="Times New Roman"/>
          <w:sz w:val="28"/>
          <w:szCs w:val="28"/>
        </w:rPr>
        <w:t xml:space="preserve"> issue with the fact that the applicant firstly sought to truncate the time frames provided for in the Uniform Rules of Court as read with the provisions of section 4 of the PIE Act</w:t>
      </w:r>
      <w:r w:rsidR="00BA4375">
        <w:rPr>
          <w:rFonts w:ascii="Times New Roman" w:hAnsi="Times New Roman"/>
          <w:sz w:val="28"/>
          <w:szCs w:val="28"/>
        </w:rPr>
        <w:t xml:space="preserve">, </w:t>
      </w:r>
      <w:r w:rsidR="003755BC">
        <w:rPr>
          <w:rFonts w:ascii="Times New Roman" w:hAnsi="Times New Roman"/>
          <w:sz w:val="28"/>
          <w:szCs w:val="28"/>
        </w:rPr>
        <w:t xml:space="preserve">although </w:t>
      </w:r>
      <w:r w:rsidR="00BA4375">
        <w:rPr>
          <w:rFonts w:ascii="Times New Roman" w:hAnsi="Times New Roman"/>
          <w:sz w:val="28"/>
          <w:szCs w:val="28"/>
        </w:rPr>
        <w:t>each application</w:t>
      </w:r>
      <w:r w:rsidR="003755BC">
        <w:rPr>
          <w:rFonts w:ascii="Times New Roman" w:hAnsi="Times New Roman"/>
          <w:sz w:val="28"/>
          <w:szCs w:val="28"/>
        </w:rPr>
        <w:t xml:space="preserve"> is separate </w:t>
      </w:r>
      <w:r w:rsidR="003755BC">
        <w:rPr>
          <w:rFonts w:ascii="Times New Roman" w:hAnsi="Times New Roman"/>
          <w:sz w:val="28"/>
          <w:szCs w:val="28"/>
        </w:rPr>
        <w:lastRenderedPageBreak/>
        <w:t>and</w:t>
      </w:r>
      <w:r w:rsidR="00BA4375">
        <w:rPr>
          <w:rFonts w:ascii="Times New Roman" w:hAnsi="Times New Roman"/>
          <w:sz w:val="28"/>
          <w:szCs w:val="28"/>
        </w:rPr>
        <w:t xml:space="preserve"> has its own unique proce</w:t>
      </w:r>
      <w:r w:rsidR="003755BC">
        <w:rPr>
          <w:rFonts w:ascii="Times New Roman" w:hAnsi="Times New Roman"/>
          <w:sz w:val="28"/>
          <w:szCs w:val="28"/>
        </w:rPr>
        <w:t>dure</w:t>
      </w:r>
      <w:r w:rsidR="003258D1">
        <w:rPr>
          <w:rFonts w:ascii="Times New Roman" w:hAnsi="Times New Roman"/>
          <w:sz w:val="28"/>
          <w:szCs w:val="28"/>
        </w:rPr>
        <w:t>s</w:t>
      </w:r>
      <w:r w:rsidR="0043674D">
        <w:rPr>
          <w:rFonts w:ascii="Times New Roman" w:hAnsi="Times New Roman"/>
          <w:sz w:val="28"/>
          <w:szCs w:val="28"/>
        </w:rPr>
        <w:t xml:space="preserve"> and objectives</w:t>
      </w:r>
      <w:r w:rsidR="00814C88" w:rsidRPr="005275EC">
        <w:rPr>
          <w:rFonts w:ascii="Times New Roman" w:hAnsi="Times New Roman"/>
          <w:sz w:val="28"/>
          <w:szCs w:val="28"/>
        </w:rPr>
        <w:t xml:space="preserve">.  </w:t>
      </w:r>
      <w:r w:rsidR="00B7084E">
        <w:rPr>
          <w:rFonts w:ascii="Times New Roman" w:hAnsi="Times New Roman"/>
          <w:sz w:val="28"/>
          <w:szCs w:val="28"/>
        </w:rPr>
        <w:t xml:space="preserve">The concern is that the </w:t>
      </w:r>
      <w:r w:rsidR="003755BC">
        <w:rPr>
          <w:rFonts w:ascii="Times New Roman" w:hAnsi="Times New Roman"/>
          <w:sz w:val="28"/>
          <w:szCs w:val="28"/>
        </w:rPr>
        <w:t>single</w:t>
      </w:r>
      <w:r w:rsidR="00B7084E">
        <w:rPr>
          <w:rFonts w:ascii="Times New Roman" w:hAnsi="Times New Roman"/>
          <w:sz w:val="28"/>
          <w:szCs w:val="28"/>
        </w:rPr>
        <w:t xml:space="preserve"> application </w:t>
      </w:r>
      <w:r w:rsidR="003755BC">
        <w:rPr>
          <w:rFonts w:ascii="Times New Roman" w:hAnsi="Times New Roman"/>
          <w:sz w:val="28"/>
          <w:szCs w:val="28"/>
        </w:rPr>
        <w:t>incorporating the customary section 4 (2) interlocutory application and</w:t>
      </w:r>
      <w:r w:rsidR="00B7084E">
        <w:rPr>
          <w:rFonts w:ascii="Times New Roman" w:hAnsi="Times New Roman"/>
          <w:sz w:val="28"/>
          <w:szCs w:val="28"/>
        </w:rPr>
        <w:t xml:space="preserve"> the actual eviction </w:t>
      </w:r>
      <w:r w:rsidR="0073500A">
        <w:rPr>
          <w:rFonts w:ascii="Times New Roman" w:hAnsi="Times New Roman"/>
          <w:sz w:val="28"/>
          <w:szCs w:val="28"/>
        </w:rPr>
        <w:t xml:space="preserve">application </w:t>
      </w:r>
      <w:r w:rsidR="00B7084E">
        <w:rPr>
          <w:rFonts w:ascii="Times New Roman" w:hAnsi="Times New Roman"/>
          <w:sz w:val="28"/>
          <w:szCs w:val="28"/>
        </w:rPr>
        <w:t>that prescribe</w:t>
      </w:r>
      <w:r w:rsidR="00BA4375">
        <w:rPr>
          <w:rFonts w:ascii="Times New Roman" w:hAnsi="Times New Roman"/>
          <w:sz w:val="28"/>
          <w:szCs w:val="28"/>
        </w:rPr>
        <w:t>s</w:t>
      </w:r>
      <w:r w:rsidR="00B7084E">
        <w:rPr>
          <w:rFonts w:ascii="Times New Roman" w:hAnsi="Times New Roman"/>
          <w:sz w:val="28"/>
          <w:szCs w:val="28"/>
        </w:rPr>
        <w:t xml:space="preserve"> the usual running of </w:t>
      </w:r>
      <w:r w:rsidR="00B7084E" w:rsidRPr="00B0059C">
        <w:rPr>
          <w:rFonts w:ascii="Times New Roman" w:hAnsi="Times New Roman"/>
          <w:i/>
          <w:iCs/>
          <w:sz w:val="28"/>
          <w:szCs w:val="28"/>
        </w:rPr>
        <w:t>dies</w:t>
      </w:r>
      <w:r w:rsidR="00B7084E">
        <w:rPr>
          <w:rFonts w:ascii="Times New Roman" w:hAnsi="Times New Roman"/>
          <w:sz w:val="28"/>
          <w:szCs w:val="28"/>
        </w:rPr>
        <w:t xml:space="preserve"> to oppose and</w:t>
      </w:r>
      <w:r w:rsidR="003755BC">
        <w:rPr>
          <w:rFonts w:ascii="Times New Roman" w:hAnsi="Times New Roman"/>
          <w:sz w:val="28"/>
          <w:szCs w:val="28"/>
        </w:rPr>
        <w:t xml:space="preserve"> file answering papers in respect of the substantive relief sought</w:t>
      </w:r>
      <w:r w:rsidR="00B7084E">
        <w:rPr>
          <w:rFonts w:ascii="Times New Roman" w:hAnsi="Times New Roman"/>
          <w:sz w:val="28"/>
          <w:szCs w:val="28"/>
        </w:rPr>
        <w:t>, were</w:t>
      </w:r>
      <w:r w:rsidR="003755BC">
        <w:rPr>
          <w:rFonts w:ascii="Times New Roman" w:hAnsi="Times New Roman"/>
          <w:sz w:val="28"/>
          <w:szCs w:val="28"/>
        </w:rPr>
        <w:t xml:space="preserve"> initiated </w:t>
      </w:r>
      <w:r w:rsidR="00B7084E">
        <w:rPr>
          <w:rFonts w:ascii="Times New Roman" w:hAnsi="Times New Roman"/>
          <w:sz w:val="28"/>
          <w:szCs w:val="28"/>
        </w:rPr>
        <w:t>together</w:t>
      </w:r>
      <w:r w:rsidR="003755BC">
        <w:rPr>
          <w:rFonts w:ascii="Times New Roman" w:hAnsi="Times New Roman"/>
          <w:sz w:val="28"/>
          <w:szCs w:val="28"/>
        </w:rPr>
        <w:t xml:space="preserve"> at the same time</w:t>
      </w:r>
      <w:r w:rsidR="00B7084E">
        <w:rPr>
          <w:rFonts w:ascii="Times New Roman" w:hAnsi="Times New Roman"/>
          <w:sz w:val="28"/>
          <w:szCs w:val="28"/>
        </w:rPr>
        <w:t>.</w:t>
      </w:r>
      <w:r w:rsidR="003755BC">
        <w:rPr>
          <w:rStyle w:val="FootnoteReference"/>
          <w:rFonts w:ascii="Times New Roman" w:hAnsi="Times New Roman"/>
          <w:sz w:val="28"/>
          <w:szCs w:val="28"/>
        </w:rPr>
        <w:footnoteReference w:id="54"/>
      </w:r>
      <w:r w:rsidR="00B7084E">
        <w:rPr>
          <w:rFonts w:ascii="Times New Roman" w:hAnsi="Times New Roman"/>
          <w:sz w:val="28"/>
          <w:szCs w:val="28"/>
        </w:rPr>
        <w:t xml:space="preserve">  </w:t>
      </w:r>
      <w:r w:rsidR="0043674D">
        <w:rPr>
          <w:rFonts w:ascii="Times New Roman" w:hAnsi="Times New Roman"/>
          <w:sz w:val="28"/>
          <w:szCs w:val="28"/>
        </w:rPr>
        <w:t>T</w:t>
      </w:r>
      <w:r w:rsidR="00B7084E">
        <w:rPr>
          <w:rFonts w:ascii="Times New Roman" w:hAnsi="Times New Roman"/>
          <w:sz w:val="28"/>
          <w:szCs w:val="28"/>
        </w:rPr>
        <w:t xml:space="preserve">he </w:t>
      </w:r>
      <w:r w:rsidR="00B7084E" w:rsidRPr="00B7084E">
        <w:rPr>
          <w:rFonts w:ascii="Times New Roman" w:hAnsi="Times New Roman"/>
          <w:i/>
          <w:sz w:val="28"/>
          <w:szCs w:val="28"/>
        </w:rPr>
        <w:t>ex parte</w:t>
      </w:r>
      <w:r w:rsidR="00B7084E">
        <w:rPr>
          <w:rFonts w:ascii="Times New Roman" w:hAnsi="Times New Roman"/>
          <w:sz w:val="28"/>
          <w:szCs w:val="28"/>
        </w:rPr>
        <w:t xml:space="preserve"> </w:t>
      </w:r>
      <w:r w:rsidR="003755BC">
        <w:rPr>
          <w:rFonts w:ascii="Times New Roman" w:hAnsi="Times New Roman"/>
          <w:sz w:val="28"/>
          <w:szCs w:val="28"/>
        </w:rPr>
        <w:t xml:space="preserve">part of the </w:t>
      </w:r>
      <w:r w:rsidR="00B7084E">
        <w:rPr>
          <w:rFonts w:ascii="Times New Roman" w:hAnsi="Times New Roman"/>
          <w:sz w:val="28"/>
          <w:szCs w:val="28"/>
        </w:rPr>
        <w:t>application was enrolled for the court’s directions in open court</w:t>
      </w:r>
      <w:r w:rsidR="00B0059C">
        <w:rPr>
          <w:rFonts w:ascii="Times New Roman" w:hAnsi="Times New Roman"/>
          <w:sz w:val="28"/>
          <w:szCs w:val="28"/>
        </w:rPr>
        <w:t xml:space="preserve">, </w:t>
      </w:r>
      <w:r w:rsidR="00B7084E">
        <w:rPr>
          <w:rFonts w:ascii="Times New Roman" w:hAnsi="Times New Roman"/>
          <w:sz w:val="28"/>
          <w:szCs w:val="28"/>
        </w:rPr>
        <w:t>apparently on the face of it in consequence of a direction of a judge in chambers</w:t>
      </w:r>
      <w:r w:rsidR="00BA4375">
        <w:rPr>
          <w:rFonts w:ascii="Times New Roman" w:hAnsi="Times New Roman"/>
          <w:sz w:val="28"/>
          <w:szCs w:val="28"/>
        </w:rPr>
        <w:t xml:space="preserve"> that such application should be</w:t>
      </w:r>
      <w:r w:rsidR="003755BC">
        <w:rPr>
          <w:rFonts w:ascii="Times New Roman" w:hAnsi="Times New Roman"/>
          <w:sz w:val="28"/>
          <w:szCs w:val="28"/>
        </w:rPr>
        <w:t xml:space="preserve"> set down for hearing on </w:t>
      </w:r>
      <w:r w:rsidR="00BA4375">
        <w:rPr>
          <w:rFonts w:ascii="Times New Roman" w:hAnsi="Times New Roman"/>
          <w:sz w:val="28"/>
          <w:szCs w:val="28"/>
        </w:rPr>
        <w:t>the unopposed motion court</w:t>
      </w:r>
      <w:r w:rsidR="003755BC">
        <w:rPr>
          <w:rFonts w:ascii="Times New Roman" w:hAnsi="Times New Roman"/>
          <w:sz w:val="28"/>
          <w:szCs w:val="28"/>
        </w:rPr>
        <w:t xml:space="preserve"> roll</w:t>
      </w:r>
      <w:r w:rsidR="00B7084E">
        <w:rPr>
          <w:rFonts w:ascii="Times New Roman" w:hAnsi="Times New Roman"/>
          <w:sz w:val="28"/>
          <w:szCs w:val="28"/>
        </w:rPr>
        <w:t xml:space="preserve">.  </w:t>
      </w:r>
      <w:r w:rsidR="00A50BBA">
        <w:rPr>
          <w:rFonts w:ascii="Times New Roman" w:hAnsi="Times New Roman"/>
          <w:sz w:val="28"/>
          <w:szCs w:val="28"/>
        </w:rPr>
        <w:t>Thereupon the</w:t>
      </w:r>
      <w:r w:rsidR="00463708">
        <w:rPr>
          <w:rFonts w:ascii="Times New Roman" w:hAnsi="Times New Roman"/>
          <w:sz w:val="28"/>
          <w:szCs w:val="28"/>
        </w:rPr>
        <w:t xml:space="preserve"> section 4 (</w:t>
      </w:r>
      <w:r w:rsidR="003755BC">
        <w:rPr>
          <w:rFonts w:ascii="Times New Roman" w:hAnsi="Times New Roman"/>
          <w:sz w:val="28"/>
          <w:szCs w:val="28"/>
        </w:rPr>
        <w:t>2</w:t>
      </w:r>
      <w:r w:rsidR="00463708">
        <w:rPr>
          <w:rFonts w:ascii="Times New Roman" w:hAnsi="Times New Roman"/>
          <w:sz w:val="28"/>
          <w:szCs w:val="28"/>
        </w:rPr>
        <w:t xml:space="preserve">) </w:t>
      </w:r>
      <w:r w:rsidR="00A50BBA">
        <w:rPr>
          <w:rFonts w:ascii="Times New Roman" w:hAnsi="Times New Roman"/>
          <w:sz w:val="28"/>
          <w:szCs w:val="28"/>
        </w:rPr>
        <w:t>application together</w:t>
      </w:r>
      <w:r w:rsidR="00B7084E">
        <w:rPr>
          <w:rFonts w:ascii="Times New Roman" w:hAnsi="Times New Roman"/>
          <w:sz w:val="28"/>
          <w:szCs w:val="28"/>
        </w:rPr>
        <w:t xml:space="preserve"> with the papers in the main application</w:t>
      </w:r>
      <w:r w:rsidR="00463708">
        <w:rPr>
          <w:rFonts w:ascii="Times New Roman" w:hAnsi="Times New Roman"/>
          <w:sz w:val="28"/>
          <w:szCs w:val="28"/>
        </w:rPr>
        <w:t>,</w:t>
      </w:r>
      <w:r w:rsidR="00B7084E">
        <w:rPr>
          <w:rFonts w:ascii="Times New Roman" w:hAnsi="Times New Roman"/>
          <w:sz w:val="28"/>
          <w:szCs w:val="28"/>
        </w:rPr>
        <w:t xml:space="preserve"> the court’s order (directions) and notice advising the respondents that they were entitled to appear before the court and defend their case and, where necessary, had the right to apply for legal aid</w:t>
      </w:r>
      <w:r w:rsidR="00463708">
        <w:rPr>
          <w:rFonts w:ascii="Times New Roman" w:hAnsi="Times New Roman"/>
          <w:sz w:val="28"/>
          <w:szCs w:val="28"/>
        </w:rPr>
        <w:t>,</w:t>
      </w:r>
      <w:r w:rsidR="00B7084E">
        <w:rPr>
          <w:rFonts w:ascii="Times New Roman" w:hAnsi="Times New Roman"/>
          <w:sz w:val="28"/>
          <w:szCs w:val="28"/>
        </w:rPr>
        <w:t xml:space="preserve"> </w:t>
      </w:r>
      <w:r w:rsidR="005762F4">
        <w:rPr>
          <w:rFonts w:ascii="Times New Roman" w:hAnsi="Times New Roman"/>
          <w:sz w:val="28"/>
          <w:szCs w:val="28"/>
        </w:rPr>
        <w:t>were served on the respondents</w:t>
      </w:r>
      <w:r w:rsidR="00463708">
        <w:rPr>
          <w:rFonts w:ascii="Times New Roman" w:hAnsi="Times New Roman"/>
          <w:sz w:val="28"/>
          <w:szCs w:val="28"/>
        </w:rPr>
        <w:t xml:space="preserve"> </w:t>
      </w:r>
      <w:r w:rsidR="003755BC">
        <w:rPr>
          <w:rFonts w:ascii="Times New Roman" w:hAnsi="Times New Roman"/>
          <w:sz w:val="28"/>
          <w:szCs w:val="28"/>
        </w:rPr>
        <w:t xml:space="preserve">and the municipality </w:t>
      </w:r>
      <w:r w:rsidR="003258D1">
        <w:rPr>
          <w:rFonts w:ascii="Times New Roman" w:hAnsi="Times New Roman"/>
          <w:sz w:val="28"/>
          <w:szCs w:val="28"/>
        </w:rPr>
        <w:t>all at the same time as the initiating process</w:t>
      </w:r>
      <w:r w:rsidR="005762F4">
        <w:rPr>
          <w:rFonts w:ascii="Times New Roman" w:hAnsi="Times New Roman"/>
          <w:sz w:val="28"/>
          <w:szCs w:val="28"/>
        </w:rPr>
        <w:t xml:space="preserve">.  The obvious effect of this is that the 14 days afforded to them by the notice to state their case in consideration of their likely eviction was subsumed under </w:t>
      </w:r>
      <w:r w:rsidR="0073500A">
        <w:rPr>
          <w:rFonts w:ascii="Times New Roman" w:hAnsi="Times New Roman"/>
          <w:sz w:val="28"/>
          <w:szCs w:val="28"/>
        </w:rPr>
        <w:t xml:space="preserve">the </w:t>
      </w:r>
      <w:r w:rsidR="005762F4" w:rsidRPr="0073500A">
        <w:rPr>
          <w:rFonts w:ascii="Times New Roman" w:hAnsi="Times New Roman"/>
          <w:i/>
          <w:sz w:val="28"/>
          <w:szCs w:val="28"/>
        </w:rPr>
        <w:t>dies</w:t>
      </w:r>
      <w:r w:rsidR="005762F4">
        <w:rPr>
          <w:rFonts w:ascii="Times New Roman" w:hAnsi="Times New Roman"/>
          <w:sz w:val="28"/>
          <w:szCs w:val="28"/>
        </w:rPr>
        <w:t xml:space="preserve"> to give notice to oppose and file answering papers in respect of the substantive relief sought</w:t>
      </w:r>
      <w:r w:rsidR="00A50BBA">
        <w:rPr>
          <w:rFonts w:ascii="Times New Roman" w:hAnsi="Times New Roman"/>
          <w:sz w:val="28"/>
          <w:szCs w:val="28"/>
        </w:rPr>
        <w:t xml:space="preserve">, alternatively the appearance was given that the substantive application </w:t>
      </w:r>
      <w:r w:rsidR="00D901A7">
        <w:rPr>
          <w:rFonts w:ascii="Times New Roman" w:hAnsi="Times New Roman"/>
          <w:sz w:val="28"/>
          <w:szCs w:val="28"/>
        </w:rPr>
        <w:t xml:space="preserve">for eviction </w:t>
      </w:r>
      <w:r w:rsidR="00A50BBA">
        <w:rPr>
          <w:rFonts w:ascii="Times New Roman" w:hAnsi="Times New Roman"/>
          <w:sz w:val="28"/>
          <w:szCs w:val="28"/>
        </w:rPr>
        <w:t xml:space="preserve">was launched on an </w:t>
      </w:r>
      <w:r w:rsidR="00A50BBA" w:rsidRPr="00A50BBA">
        <w:rPr>
          <w:rFonts w:ascii="Times New Roman" w:hAnsi="Times New Roman"/>
          <w:i/>
          <w:iCs/>
          <w:sz w:val="28"/>
          <w:szCs w:val="28"/>
        </w:rPr>
        <w:t>ex parte</w:t>
      </w:r>
      <w:r w:rsidR="00A50BBA">
        <w:rPr>
          <w:rFonts w:ascii="Times New Roman" w:hAnsi="Times New Roman"/>
          <w:sz w:val="28"/>
          <w:szCs w:val="28"/>
        </w:rPr>
        <w:t xml:space="preserve"> basis.</w:t>
      </w:r>
    </w:p>
    <w:p w14:paraId="4CF1AD36" w14:textId="77777777" w:rsidR="00B7084E" w:rsidRPr="00B7084E" w:rsidRDefault="00B7084E" w:rsidP="00D46D76">
      <w:pPr>
        <w:pStyle w:val="ListParagraph"/>
        <w:spacing w:after="0" w:line="360" w:lineRule="auto"/>
        <w:rPr>
          <w:rFonts w:ascii="Times New Roman" w:hAnsi="Times New Roman"/>
          <w:sz w:val="28"/>
          <w:szCs w:val="28"/>
        </w:rPr>
      </w:pPr>
    </w:p>
    <w:p w14:paraId="6E8ED0AC" w14:textId="77777777" w:rsidR="005762F4" w:rsidRPr="005762F4" w:rsidRDefault="002011E5"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Secondly</w:t>
      </w:r>
      <w:r w:rsidR="00814C88" w:rsidRPr="005275EC">
        <w:rPr>
          <w:rFonts w:ascii="Times New Roman" w:hAnsi="Times New Roman"/>
          <w:sz w:val="28"/>
          <w:szCs w:val="28"/>
        </w:rPr>
        <w:t>, whereas the parties were already involved in litigation in the numerous o</w:t>
      </w:r>
      <w:r w:rsidR="002F2B5D">
        <w:rPr>
          <w:rFonts w:ascii="Times New Roman" w:hAnsi="Times New Roman"/>
          <w:sz w:val="28"/>
          <w:szCs w:val="28"/>
        </w:rPr>
        <w:t xml:space="preserve">ther applications and action </w:t>
      </w:r>
      <w:r w:rsidR="00814C88" w:rsidRPr="005275EC">
        <w:rPr>
          <w:rFonts w:ascii="Times New Roman" w:hAnsi="Times New Roman"/>
          <w:sz w:val="28"/>
          <w:szCs w:val="28"/>
        </w:rPr>
        <w:t xml:space="preserve">aforesaid, Mr. Miller, who addressed the court in respect of the “practical issues”, registered concern that an </w:t>
      </w:r>
      <w:r w:rsidR="00814C88" w:rsidRPr="005275EC">
        <w:rPr>
          <w:rFonts w:ascii="Times New Roman" w:hAnsi="Times New Roman"/>
          <w:i/>
          <w:sz w:val="28"/>
          <w:szCs w:val="28"/>
        </w:rPr>
        <w:t>ex parte</w:t>
      </w:r>
      <w:r w:rsidR="00814C88" w:rsidRPr="005275EC">
        <w:rPr>
          <w:rFonts w:ascii="Times New Roman" w:hAnsi="Times New Roman"/>
          <w:sz w:val="28"/>
          <w:szCs w:val="28"/>
        </w:rPr>
        <w:t xml:space="preserve"> approach had been made to the court in all the circumstances to obtain directions for service.</w:t>
      </w:r>
      <w:r w:rsidR="0073500A">
        <w:rPr>
          <w:rStyle w:val="FootnoteReference"/>
          <w:rFonts w:ascii="Times New Roman" w:hAnsi="Times New Roman"/>
          <w:sz w:val="28"/>
          <w:szCs w:val="28"/>
        </w:rPr>
        <w:footnoteReference w:id="55"/>
      </w:r>
      <w:r w:rsidR="00814C88" w:rsidRPr="005275EC">
        <w:rPr>
          <w:rFonts w:ascii="Times New Roman" w:hAnsi="Times New Roman"/>
          <w:sz w:val="28"/>
          <w:szCs w:val="28"/>
        </w:rPr>
        <w:t xml:space="preserve">  </w:t>
      </w:r>
    </w:p>
    <w:p w14:paraId="77E85170" w14:textId="77777777" w:rsidR="005762F4" w:rsidRPr="005762F4" w:rsidRDefault="005762F4" w:rsidP="00D46D76">
      <w:pPr>
        <w:pStyle w:val="ListParagraph"/>
        <w:spacing w:after="0" w:line="360" w:lineRule="auto"/>
        <w:rPr>
          <w:rFonts w:ascii="Times New Roman" w:hAnsi="Times New Roman"/>
          <w:sz w:val="28"/>
          <w:szCs w:val="28"/>
        </w:rPr>
      </w:pPr>
    </w:p>
    <w:p w14:paraId="268938BD" w14:textId="77777777" w:rsidR="005275EC" w:rsidRDefault="00814C88"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sz w:val="28"/>
          <w:szCs w:val="28"/>
        </w:rPr>
        <w:lastRenderedPageBreak/>
        <w:t xml:space="preserve">The respondents had heralded already upon receipt of the first notice that they would object to the fact that the </w:t>
      </w:r>
      <w:r w:rsidR="00355A14">
        <w:rPr>
          <w:rFonts w:ascii="Times New Roman" w:hAnsi="Times New Roman"/>
          <w:sz w:val="28"/>
          <w:szCs w:val="28"/>
        </w:rPr>
        <w:t>applicant</w:t>
      </w:r>
      <w:r w:rsidRPr="005275EC">
        <w:rPr>
          <w:rFonts w:ascii="Times New Roman" w:hAnsi="Times New Roman"/>
          <w:sz w:val="28"/>
          <w:szCs w:val="28"/>
        </w:rPr>
        <w:t xml:space="preserve"> had obtained </w:t>
      </w:r>
      <w:r w:rsidR="00355A14">
        <w:rPr>
          <w:rFonts w:ascii="Times New Roman" w:hAnsi="Times New Roman"/>
          <w:sz w:val="28"/>
          <w:szCs w:val="28"/>
        </w:rPr>
        <w:t>its</w:t>
      </w:r>
      <w:r w:rsidRPr="005275EC">
        <w:rPr>
          <w:rFonts w:ascii="Times New Roman" w:hAnsi="Times New Roman"/>
          <w:sz w:val="28"/>
          <w:szCs w:val="28"/>
        </w:rPr>
        <w:t xml:space="preserve"> leave from the </w:t>
      </w:r>
      <w:r w:rsidR="00D901A7">
        <w:rPr>
          <w:rFonts w:ascii="Times New Roman" w:hAnsi="Times New Roman"/>
          <w:sz w:val="28"/>
          <w:szCs w:val="28"/>
        </w:rPr>
        <w:t>court to issue out the requisite</w:t>
      </w:r>
      <w:r w:rsidRPr="005275EC">
        <w:rPr>
          <w:rFonts w:ascii="Times New Roman" w:hAnsi="Times New Roman"/>
          <w:sz w:val="28"/>
          <w:szCs w:val="28"/>
        </w:rPr>
        <w:t xml:space="preserve"> notice on such a basis in circumstance</w:t>
      </w:r>
      <w:r w:rsidR="000F429D">
        <w:rPr>
          <w:rFonts w:ascii="Times New Roman" w:hAnsi="Times New Roman"/>
          <w:sz w:val="28"/>
          <w:szCs w:val="28"/>
        </w:rPr>
        <w:t>s</w:t>
      </w:r>
      <w:r w:rsidRPr="005275EC">
        <w:rPr>
          <w:rFonts w:ascii="Times New Roman" w:hAnsi="Times New Roman"/>
          <w:sz w:val="28"/>
          <w:szCs w:val="28"/>
        </w:rPr>
        <w:t xml:space="preserve"> where the parties were very much embroiled in other litigation before the court.  Ignoring the gauntlet thrown down to the applicant’s attorneys t</w:t>
      </w:r>
      <w:r w:rsidR="00592AA0">
        <w:rPr>
          <w:rFonts w:ascii="Times New Roman" w:hAnsi="Times New Roman"/>
          <w:sz w:val="28"/>
          <w:szCs w:val="28"/>
        </w:rPr>
        <w:t>hat its approach was irregular (</w:t>
      </w:r>
      <w:r w:rsidRPr="005275EC">
        <w:rPr>
          <w:rFonts w:ascii="Times New Roman" w:hAnsi="Times New Roman"/>
          <w:sz w:val="28"/>
          <w:szCs w:val="28"/>
        </w:rPr>
        <w:t>especially since the applicant had pleaded in its founding affidavit</w:t>
      </w:r>
      <w:r w:rsidR="00B45DDE">
        <w:rPr>
          <w:rFonts w:ascii="Times New Roman" w:hAnsi="Times New Roman"/>
          <w:sz w:val="28"/>
          <w:szCs w:val="28"/>
        </w:rPr>
        <w:t>,</w:t>
      </w:r>
      <w:r w:rsidR="000F429D">
        <w:rPr>
          <w:rFonts w:ascii="Times New Roman" w:hAnsi="Times New Roman"/>
          <w:sz w:val="28"/>
          <w:szCs w:val="28"/>
        </w:rPr>
        <w:t xml:space="preserve"> misleading</w:t>
      </w:r>
      <w:r w:rsidR="0073500A">
        <w:rPr>
          <w:rFonts w:ascii="Times New Roman" w:hAnsi="Times New Roman"/>
          <w:sz w:val="28"/>
          <w:szCs w:val="28"/>
        </w:rPr>
        <w:t>ly</w:t>
      </w:r>
      <w:r w:rsidR="000F429D">
        <w:rPr>
          <w:rFonts w:ascii="Times New Roman" w:hAnsi="Times New Roman"/>
          <w:sz w:val="28"/>
          <w:szCs w:val="28"/>
        </w:rPr>
        <w:t xml:space="preserve"> in its view,</w:t>
      </w:r>
      <w:r w:rsidRPr="005275EC">
        <w:rPr>
          <w:rFonts w:ascii="Times New Roman" w:hAnsi="Times New Roman"/>
          <w:sz w:val="28"/>
          <w:szCs w:val="28"/>
        </w:rPr>
        <w:t xml:space="preserve"> that the procedural requirements of the PIE Act had</w:t>
      </w:r>
      <w:r w:rsidR="005762F4">
        <w:rPr>
          <w:rFonts w:ascii="Times New Roman" w:hAnsi="Times New Roman"/>
          <w:sz w:val="28"/>
          <w:szCs w:val="28"/>
        </w:rPr>
        <w:t xml:space="preserve"> </w:t>
      </w:r>
      <w:r w:rsidR="00463708">
        <w:rPr>
          <w:rFonts w:ascii="Times New Roman" w:hAnsi="Times New Roman"/>
          <w:sz w:val="28"/>
          <w:szCs w:val="28"/>
        </w:rPr>
        <w:t xml:space="preserve">already as a fact </w:t>
      </w:r>
      <w:r w:rsidR="005762F4">
        <w:rPr>
          <w:rFonts w:ascii="Times New Roman" w:hAnsi="Times New Roman"/>
          <w:sz w:val="28"/>
          <w:szCs w:val="28"/>
        </w:rPr>
        <w:t>purportedly</w:t>
      </w:r>
      <w:r w:rsidRPr="005275EC">
        <w:rPr>
          <w:rFonts w:ascii="Times New Roman" w:hAnsi="Times New Roman"/>
          <w:sz w:val="28"/>
          <w:szCs w:val="28"/>
        </w:rPr>
        <w:t xml:space="preserve"> been met) and that they would object in their papers and request a punitive costs order, the respondents </w:t>
      </w:r>
      <w:r w:rsidR="000F429D">
        <w:rPr>
          <w:rFonts w:ascii="Times New Roman" w:hAnsi="Times New Roman"/>
          <w:sz w:val="28"/>
          <w:szCs w:val="28"/>
        </w:rPr>
        <w:t>ultimately</w:t>
      </w:r>
      <w:r w:rsidRPr="005275EC">
        <w:rPr>
          <w:rFonts w:ascii="Times New Roman" w:hAnsi="Times New Roman"/>
          <w:sz w:val="28"/>
          <w:szCs w:val="28"/>
        </w:rPr>
        <w:t xml:space="preserve"> took the point in their ans</w:t>
      </w:r>
      <w:r w:rsidR="000F429D">
        <w:rPr>
          <w:rFonts w:ascii="Times New Roman" w:hAnsi="Times New Roman"/>
          <w:sz w:val="28"/>
          <w:szCs w:val="28"/>
        </w:rPr>
        <w:t>wering papers that the application</w:t>
      </w:r>
      <w:r w:rsidRPr="005275EC">
        <w:rPr>
          <w:rFonts w:ascii="Times New Roman" w:hAnsi="Times New Roman"/>
          <w:sz w:val="28"/>
          <w:szCs w:val="28"/>
        </w:rPr>
        <w:t xml:space="preserve"> was fatally defective for want of compliance with the provisions of the PIE Act</w:t>
      </w:r>
      <w:r w:rsidR="00592AA0">
        <w:rPr>
          <w:rFonts w:ascii="Times New Roman" w:hAnsi="Times New Roman"/>
          <w:sz w:val="28"/>
          <w:szCs w:val="28"/>
        </w:rPr>
        <w:t>,</w:t>
      </w:r>
      <w:r w:rsidR="000F429D">
        <w:rPr>
          <w:rFonts w:ascii="Times New Roman" w:hAnsi="Times New Roman"/>
          <w:sz w:val="28"/>
          <w:szCs w:val="28"/>
        </w:rPr>
        <w:t xml:space="preserve"> and contrary </w:t>
      </w:r>
      <w:r w:rsidR="00592AA0">
        <w:rPr>
          <w:rFonts w:ascii="Times New Roman" w:hAnsi="Times New Roman"/>
          <w:sz w:val="28"/>
          <w:szCs w:val="28"/>
        </w:rPr>
        <w:t>to the rules of court</w:t>
      </w:r>
      <w:r w:rsidR="00355A14">
        <w:rPr>
          <w:rFonts w:ascii="Times New Roman" w:hAnsi="Times New Roman"/>
          <w:sz w:val="28"/>
          <w:szCs w:val="28"/>
        </w:rPr>
        <w:t xml:space="preserve"> </w:t>
      </w:r>
      <w:r w:rsidR="00592AA0">
        <w:rPr>
          <w:rFonts w:ascii="Times New Roman" w:hAnsi="Times New Roman"/>
          <w:sz w:val="28"/>
          <w:szCs w:val="28"/>
        </w:rPr>
        <w:t>as well as</w:t>
      </w:r>
      <w:r w:rsidRPr="005275EC">
        <w:rPr>
          <w:rFonts w:ascii="Times New Roman" w:hAnsi="Times New Roman"/>
          <w:sz w:val="28"/>
          <w:szCs w:val="28"/>
        </w:rPr>
        <w:t xml:space="preserve"> “settled case law relating to the provisions of section 4 and the manner in which applications are to be brought</w:t>
      </w:r>
      <w:r w:rsidR="000F429D">
        <w:rPr>
          <w:rFonts w:ascii="Times New Roman" w:hAnsi="Times New Roman"/>
          <w:sz w:val="28"/>
          <w:szCs w:val="28"/>
        </w:rPr>
        <w:t>”</w:t>
      </w:r>
      <w:r w:rsidRPr="005275EC">
        <w:rPr>
          <w:rFonts w:ascii="Times New Roman" w:hAnsi="Times New Roman"/>
          <w:sz w:val="28"/>
          <w:szCs w:val="28"/>
        </w:rPr>
        <w:t>.</w:t>
      </w:r>
      <w:r w:rsidR="00463708">
        <w:rPr>
          <w:rStyle w:val="FootnoteReference"/>
          <w:rFonts w:ascii="Times New Roman" w:hAnsi="Times New Roman"/>
          <w:sz w:val="28"/>
          <w:szCs w:val="28"/>
        </w:rPr>
        <w:footnoteReference w:id="56"/>
      </w:r>
    </w:p>
    <w:p w14:paraId="795278A8" w14:textId="77777777" w:rsidR="005275EC" w:rsidRDefault="005275EC" w:rsidP="00D46D76">
      <w:pPr>
        <w:pStyle w:val="ListParagraph"/>
        <w:tabs>
          <w:tab w:val="left" w:pos="0"/>
        </w:tabs>
        <w:spacing w:after="0" w:line="360" w:lineRule="auto"/>
        <w:ind w:left="0"/>
        <w:rPr>
          <w:rFonts w:ascii="Times New Roman" w:hAnsi="Times New Roman"/>
          <w:b/>
          <w:sz w:val="28"/>
          <w:szCs w:val="28"/>
        </w:rPr>
      </w:pPr>
    </w:p>
    <w:p w14:paraId="6BEBC89A" w14:textId="77777777" w:rsidR="000F429D" w:rsidRPr="000F429D" w:rsidRDefault="0027450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rPr>
        <w:t>In resisting the respondent</w:t>
      </w:r>
      <w:r w:rsidR="007E7FCA" w:rsidRPr="005275EC">
        <w:rPr>
          <w:rFonts w:ascii="Times New Roman" w:hAnsi="Times New Roman"/>
          <w:color w:val="000000"/>
          <w:sz w:val="28"/>
          <w:szCs w:val="28"/>
        </w:rPr>
        <w:t>s</w:t>
      </w:r>
      <w:r w:rsidRPr="005275EC">
        <w:rPr>
          <w:rFonts w:ascii="Times New Roman" w:hAnsi="Times New Roman"/>
          <w:color w:val="000000"/>
          <w:sz w:val="28"/>
          <w:szCs w:val="28"/>
        </w:rPr>
        <w:t xml:space="preserve">’ </w:t>
      </w:r>
      <w:r w:rsidR="007E7FCA" w:rsidRPr="005275EC">
        <w:rPr>
          <w:rFonts w:ascii="Times New Roman" w:hAnsi="Times New Roman"/>
          <w:color w:val="000000"/>
          <w:sz w:val="28"/>
          <w:szCs w:val="28"/>
        </w:rPr>
        <w:t>co</w:t>
      </w:r>
      <w:r w:rsidR="00C96C47" w:rsidRPr="005275EC">
        <w:rPr>
          <w:rFonts w:ascii="Times New Roman" w:hAnsi="Times New Roman"/>
          <w:color w:val="000000"/>
          <w:sz w:val="28"/>
          <w:szCs w:val="28"/>
        </w:rPr>
        <w:t>ntention that the application was</w:t>
      </w:r>
      <w:r w:rsidR="007E7FCA" w:rsidRPr="005275EC">
        <w:rPr>
          <w:rFonts w:ascii="Times New Roman" w:hAnsi="Times New Roman"/>
          <w:color w:val="000000"/>
          <w:sz w:val="28"/>
          <w:szCs w:val="28"/>
        </w:rPr>
        <w:t xml:space="preserve"> fatally</w:t>
      </w:r>
      <w:r w:rsidR="00C96C47" w:rsidRPr="005275EC">
        <w:rPr>
          <w:rFonts w:ascii="Times New Roman" w:hAnsi="Times New Roman"/>
          <w:color w:val="000000"/>
          <w:sz w:val="28"/>
          <w:szCs w:val="28"/>
        </w:rPr>
        <w:t xml:space="preserve"> defective, the applicant contended in reply that the </w:t>
      </w:r>
      <w:r w:rsidR="00592AA0">
        <w:rPr>
          <w:rFonts w:ascii="Times New Roman" w:hAnsi="Times New Roman"/>
          <w:color w:val="000000"/>
          <w:sz w:val="28"/>
          <w:szCs w:val="28"/>
        </w:rPr>
        <w:t xml:space="preserve">first </w:t>
      </w:r>
      <w:r w:rsidR="00C96C47" w:rsidRPr="005275EC">
        <w:rPr>
          <w:rFonts w:ascii="Times New Roman" w:hAnsi="Times New Roman"/>
          <w:color w:val="000000"/>
          <w:sz w:val="28"/>
          <w:szCs w:val="28"/>
        </w:rPr>
        <w:t xml:space="preserve">notice that had been served did not purport to constitute the </w:t>
      </w:r>
      <w:r w:rsidR="00592AA0">
        <w:rPr>
          <w:rFonts w:ascii="Times New Roman" w:hAnsi="Times New Roman"/>
          <w:color w:val="000000"/>
          <w:sz w:val="28"/>
          <w:szCs w:val="28"/>
        </w:rPr>
        <w:t xml:space="preserve">requisite </w:t>
      </w:r>
      <w:r w:rsidR="00C96C47" w:rsidRPr="005275EC">
        <w:rPr>
          <w:rFonts w:ascii="Times New Roman" w:hAnsi="Times New Roman"/>
          <w:color w:val="000000"/>
          <w:sz w:val="28"/>
          <w:szCs w:val="28"/>
        </w:rPr>
        <w:t>section 4 (2) notice</w:t>
      </w:r>
      <w:r w:rsidR="005762F4">
        <w:rPr>
          <w:rFonts w:ascii="Times New Roman" w:hAnsi="Times New Roman"/>
          <w:color w:val="000000"/>
          <w:sz w:val="28"/>
          <w:szCs w:val="28"/>
        </w:rPr>
        <w:t xml:space="preserve"> except in the event that the substantive relief was not going to be opposed</w:t>
      </w:r>
      <w:r w:rsidR="00C96C47" w:rsidRPr="005275EC">
        <w:rPr>
          <w:rFonts w:ascii="Times New Roman" w:hAnsi="Times New Roman"/>
          <w:color w:val="000000"/>
          <w:sz w:val="28"/>
          <w:szCs w:val="28"/>
        </w:rPr>
        <w:t xml:space="preserve">.  It was moreover submitted that the obtaining of an </w:t>
      </w:r>
      <w:r w:rsidR="00C96C47" w:rsidRPr="000F429D">
        <w:rPr>
          <w:rFonts w:ascii="Times New Roman" w:hAnsi="Times New Roman"/>
          <w:i/>
          <w:color w:val="000000"/>
          <w:sz w:val="28"/>
          <w:szCs w:val="28"/>
        </w:rPr>
        <w:t>ex parte</w:t>
      </w:r>
      <w:r w:rsidR="00C96C47" w:rsidRPr="005275EC">
        <w:rPr>
          <w:rFonts w:ascii="Times New Roman" w:hAnsi="Times New Roman"/>
          <w:color w:val="000000"/>
          <w:sz w:val="28"/>
          <w:szCs w:val="28"/>
        </w:rPr>
        <w:t xml:space="preserve"> notice </w:t>
      </w:r>
      <w:r w:rsidR="000F429D">
        <w:rPr>
          <w:rFonts w:ascii="Times New Roman" w:hAnsi="Times New Roman"/>
          <w:color w:val="000000"/>
          <w:sz w:val="28"/>
          <w:szCs w:val="28"/>
        </w:rPr>
        <w:t>“</w:t>
      </w:r>
      <w:r w:rsidR="00C96C47" w:rsidRPr="005275EC">
        <w:rPr>
          <w:rFonts w:ascii="Times New Roman" w:hAnsi="Times New Roman"/>
          <w:color w:val="000000"/>
          <w:sz w:val="28"/>
          <w:szCs w:val="28"/>
        </w:rPr>
        <w:t>in the usual manner</w:t>
      </w:r>
      <w:r w:rsidR="000F429D">
        <w:rPr>
          <w:rFonts w:ascii="Times New Roman" w:hAnsi="Times New Roman"/>
          <w:color w:val="000000"/>
          <w:sz w:val="28"/>
          <w:szCs w:val="28"/>
        </w:rPr>
        <w:t xml:space="preserve">” in applications of this nature (in other words not in open court as was here contended for) </w:t>
      </w:r>
      <w:r w:rsidR="00C96C47" w:rsidRPr="005275EC">
        <w:rPr>
          <w:rFonts w:ascii="Times New Roman" w:hAnsi="Times New Roman"/>
          <w:color w:val="000000"/>
          <w:sz w:val="28"/>
          <w:szCs w:val="28"/>
        </w:rPr>
        <w:t>in no way prejudices the responde</w:t>
      </w:r>
      <w:r w:rsidR="00592AA0">
        <w:rPr>
          <w:rFonts w:ascii="Times New Roman" w:hAnsi="Times New Roman"/>
          <w:color w:val="000000"/>
          <w:sz w:val="28"/>
          <w:szCs w:val="28"/>
        </w:rPr>
        <w:t>nts.  The respondents</w:t>
      </w:r>
      <w:r w:rsidR="00C96C47" w:rsidRPr="005275EC">
        <w:rPr>
          <w:rFonts w:ascii="Times New Roman" w:hAnsi="Times New Roman"/>
          <w:color w:val="000000"/>
          <w:sz w:val="28"/>
          <w:szCs w:val="28"/>
        </w:rPr>
        <w:t xml:space="preserve"> indeed opposed the relief sought </w:t>
      </w:r>
      <w:r w:rsidR="0058132A">
        <w:rPr>
          <w:rFonts w:ascii="Times New Roman" w:hAnsi="Times New Roman"/>
          <w:color w:val="000000"/>
          <w:sz w:val="28"/>
          <w:szCs w:val="28"/>
        </w:rPr>
        <w:t xml:space="preserve">in the substantive application </w:t>
      </w:r>
      <w:r w:rsidR="00C96C47" w:rsidRPr="005275EC">
        <w:rPr>
          <w:rFonts w:ascii="Times New Roman" w:hAnsi="Times New Roman"/>
          <w:color w:val="000000"/>
          <w:sz w:val="28"/>
          <w:szCs w:val="28"/>
        </w:rPr>
        <w:t>and delivered answering papers</w:t>
      </w:r>
      <w:r w:rsidR="00914F4B">
        <w:rPr>
          <w:rFonts w:ascii="Times New Roman" w:hAnsi="Times New Roman"/>
          <w:color w:val="000000"/>
          <w:sz w:val="28"/>
          <w:szCs w:val="28"/>
        </w:rPr>
        <w:t>, this negating any suggestion of prejudice to them.</w:t>
      </w:r>
    </w:p>
    <w:p w14:paraId="4F7BBAA6" w14:textId="77777777" w:rsidR="000F429D" w:rsidRPr="000F429D" w:rsidRDefault="000F429D" w:rsidP="00D46D76">
      <w:pPr>
        <w:pStyle w:val="ListParagraph"/>
        <w:spacing w:after="0" w:line="360" w:lineRule="auto"/>
        <w:rPr>
          <w:rFonts w:ascii="Times New Roman" w:hAnsi="Times New Roman"/>
          <w:color w:val="000000"/>
          <w:sz w:val="28"/>
          <w:szCs w:val="28"/>
        </w:rPr>
      </w:pPr>
    </w:p>
    <w:p w14:paraId="58B45223" w14:textId="77777777" w:rsidR="005275EC" w:rsidRDefault="007E7FC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rPr>
        <w:t xml:space="preserve">Since the </w:t>
      </w:r>
      <w:r w:rsidR="00342B8C">
        <w:rPr>
          <w:rFonts w:ascii="Times New Roman" w:hAnsi="Times New Roman"/>
          <w:color w:val="000000"/>
          <w:sz w:val="28"/>
          <w:szCs w:val="28"/>
        </w:rPr>
        <w:t xml:space="preserve">substantive </w:t>
      </w:r>
      <w:r w:rsidRPr="005275EC">
        <w:rPr>
          <w:rFonts w:ascii="Times New Roman" w:hAnsi="Times New Roman"/>
          <w:color w:val="000000"/>
          <w:sz w:val="28"/>
          <w:szCs w:val="28"/>
        </w:rPr>
        <w:t>applica</w:t>
      </w:r>
      <w:r w:rsidR="000F429D">
        <w:rPr>
          <w:rFonts w:ascii="Times New Roman" w:hAnsi="Times New Roman"/>
          <w:color w:val="000000"/>
          <w:sz w:val="28"/>
          <w:szCs w:val="28"/>
        </w:rPr>
        <w:t xml:space="preserve">tion </w:t>
      </w:r>
      <w:r w:rsidR="005762F4">
        <w:rPr>
          <w:rFonts w:ascii="Times New Roman" w:hAnsi="Times New Roman"/>
          <w:color w:val="000000"/>
          <w:sz w:val="28"/>
          <w:szCs w:val="28"/>
        </w:rPr>
        <w:t>was</w:t>
      </w:r>
      <w:r w:rsidRPr="005275EC">
        <w:rPr>
          <w:rFonts w:ascii="Times New Roman" w:hAnsi="Times New Roman"/>
          <w:color w:val="000000"/>
          <w:sz w:val="28"/>
          <w:szCs w:val="28"/>
        </w:rPr>
        <w:t xml:space="preserve"> opposed</w:t>
      </w:r>
      <w:r w:rsidR="005762F4">
        <w:rPr>
          <w:rFonts w:ascii="Times New Roman" w:hAnsi="Times New Roman"/>
          <w:color w:val="000000"/>
          <w:sz w:val="28"/>
          <w:szCs w:val="28"/>
        </w:rPr>
        <w:t xml:space="preserve"> after all</w:t>
      </w:r>
      <w:r w:rsidRPr="005275EC">
        <w:rPr>
          <w:rFonts w:ascii="Times New Roman" w:hAnsi="Times New Roman"/>
          <w:color w:val="000000"/>
          <w:sz w:val="28"/>
          <w:szCs w:val="28"/>
        </w:rPr>
        <w:t>, the applicant indicated</w:t>
      </w:r>
      <w:r w:rsidR="000F429D">
        <w:rPr>
          <w:rFonts w:ascii="Times New Roman" w:hAnsi="Times New Roman"/>
          <w:color w:val="000000"/>
          <w:sz w:val="28"/>
          <w:szCs w:val="28"/>
        </w:rPr>
        <w:t xml:space="preserve"> in its replying affidavit</w:t>
      </w:r>
      <w:r w:rsidR="00D901A7">
        <w:rPr>
          <w:rFonts w:ascii="Times New Roman" w:hAnsi="Times New Roman"/>
          <w:color w:val="000000"/>
          <w:sz w:val="28"/>
          <w:szCs w:val="28"/>
        </w:rPr>
        <w:t xml:space="preserve"> - </w:t>
      </w:r>
      <w:r w:rsidRPr="005275EC">
        <w:rPr>
          <w:rFonts w:ascii="Times New Roman" w:hAnsi="Times New Roman"/>
          <w:color w:val="000000"/>
          <w:sz w:val="28"/>
          <w:szCs w:val="28"/>
        </w:rPr>
        <w:t>without conceding the point</w:t>
      </w:r>
      <w:r w:rsidR="005762F4">
        <w:rPr>
          <w:rFonts w:ascii="Times New Roman" w:hAnsi="Times New Roman"/>
          <w:color w:val="000000"/>
          <w:sz w:val="28"/>
          <w:szCs w:val="28"/>
        </w:rPr>
        <w:t xml:space="preserve"> that its first notice was </w:t>
      </w:r>
      <w:r w:rsidR="0073500A">
        <w:rPr>
          <w:rFonts w:ascii="Times New Roman" w:hAnsi="Times New Roman"/>
          <w:color w:val="000000"/>
          <w:sz w:val="28"/>
          <w:szCs w:val="28"/>
        </w:rPr>
        <w:t>“</w:t>
      </w:r>
      <w:r w:rsidR="005762F4">
        <w:rPr>
          <w:rFonts w:ascii="Times New Roman" w:hAnsi="Times New Roman"/>
          <w:color w:val="000000"/>
          <w:sz w:val="28"/>
          <w:szCs w:val="28"/>
        </w:rPr>
        <w:t>irregular</w:t>
      </w:r>
      <w:r w:rsidR="0073500A">
        <w:rPr>
          <w:rFonts w:ascii="Times New Roman" w:hAnsi="Times New Roman"/>
          <w:color w:val="000000"/>
          <w:sz w:val="28"/>
          <w:szCs w:val="28"/>
        </w:rPr>
        <w:t xml:space="preserve">” in any </w:t>
      </w:r>
      <w:r w:rsidR="00914F4B">
        <w:rPr>
          <w:rFonts w:ascii="Times New Roman" w:hAnsi="Times New Roman"/>
          <w:color w:val="000000"/>
          <w:sz w:val="28"/>
          <w:szCs w:val="28"/>
        </w:rPr>
        <w:t>respects,</w:t>
      </w:r>
      <w:r w:rsidRPr="005275EC">
        <w:rPr>
          <w:rFonts w:ascii="Times New Roman" w:hAnsi="Times New Roman"/>
          <w:color w:val="000000"/>
          <w:sz w:val="28"/>
          <w:szCs w:val="28"/>
        </w:rPr>
        <w:t xml:space="preserve"> that it intended to </w:t>
      </w:r>
      <w:r w:rsidR="0073500A">
        <w:rPr>
          <w:rFonts w:ascii="Times New Roman" w:hAnsi="Times New Roman"/>
          <w:color w:val="000000"/>
          <w:sz w:val="28"/>
          <w:szCs w:val="28"/>
        </w:rPr>
        <w:t>“</w:t>
      </w:r>
      <w:r w:rsidRPr="005275EC">
        <w:rPr>
          <w:rFonts w:ascii="Times New Roman" w:hAnsi="Times New Roman"/>
          <w:color w:val="000000"/>
          <w:sz w:val="28"/>
          <w:szCs w:val="28"/>
        </w:rPr>
        <w:t>give proper</w:t>
      </w:r>
      <w:r w:rsidR="0073500A">
        <w:rPr>
          <w:rFonts w:ascii="Times New Roman" w:hAnsi="Times New Roman"/>
          <w:color w:val="000000"/>
          <w:sz w:val="28"/>
          <w:szCs w:val="28"/>
        </w:rPr>
        <w:t>”</w:t>
      </w:r>
      <w:r w:rsidRPr="005275EC">
        <w:rPr>
          <w:rFonts w:ascii="Times New Roman" w:hAnsi="Times New Roman"/>
          <w:color w:val="000000"/>
          <w:sz w:val="28"/>
          <w:szCs w:val="28"/>
        </w:rPr>
        <w:t xml:space="preserve"> notice once the </w:t>
      </w:r>
      <w:r w:rsidRPr="005275EC">
        <w:rPr>
          <w:rFonts w:ascii="Times New Roman" w:hAnsi="Times New Roman"/>
          <w:color w:val="000000"/>
          <w:sz w:val="28"/>
          <w:szCs w:val="28"/>
        </w:rPr>
        <w:lastRenderedPageBreak/>
        <w:t>pleadings</w:t>
      </w:r>
      <w:r w:rsidR="005762F4">
        <w:rPr>
          <w:rFonts w:ascii="Times New Roman" w:hAnsi="Times New Roman"/>
          <w:color w:val="000000"/>
          <w:sz w:val="28"/>
          <w:szCs w:val="28"/>
        </w:rPr>
        <w:t xml:space="preserve"> in the main eviction application</w:t>
      </w:r>
      <w:r w:rsidRPr="005275EC">
        <w:rPr>
          <w:rFonts w:ascii="Times New Roman" w:hAnsi="Times New Roman"/>
          <w:color w:val="000000"/>
          <w:sz w:val="28"/>
          <w:szCs w:val="28"/>
        </w:rPr>
        <w:t xml:space="preserve"> had closed </w:t>
      </w:r>
      <w:r w:rsidR="00592AA0">
        <w:rPr>
          <w:rFonts w:ascii="Times New Roman" w:hAnsi="Times New Roman"/>
          <w:color w:val="000000"/>
          <w:sz w:val="28"/>
          <w:szCs w:val="28"/>
        </w:rPr>
        <w:t xml:space="preserve">which would </w:t>
      </w:r>
      <w:r w:rsidR="00914F4B">
        <w:rPr>
          <w:rFonts w:ascii="Times New Roman" w:hAnsi="Times New Roman"/>
          <w:color w:val="000000"/>
          <w:sz w:val="28"/>
          <w:szCs w:val="28"/>
        </w:rPr>
        <w:t>result in its</w:t>
      </w:r>
      <w:r w:rsidR="00592AA0">
        <w:rPr>
          <w:rFonts w:ascii="Times New Roman" w:hAnsi="Times New Roman"/>
          <w:color w:val="000000"/>
          <w:sz w:val="28"/>
          <w:szCs w:val="28"/>
        </w:rPr>
        <w:t xml:space="preserve"> necessary compliance </w:t>
      </w:r>
      <w:r w:rsidRPr="005275EC">
        <w:rPr>
          <w:rFonts w:ascii="Times New Roman" w:hAnsi="Times New Roman"/>
          <w:color w:val="000000"/>
          <w:sz w:val="28"/>
          <w:szCs w:val="28"/>
        </w:rPr>
        <w:t>with the provisions of section 4</w:t>
      </w:r>
      <w:r w:rsidR="00592AA0">
        <w:rPr>
          <w:rFonts w:ascii="Times New Roman" w:hAnsi="Times New Roman"/>
          <w:color w:val="000000"/>
          <w:sz w:val="28"/>
          <w:szCs w:val="28"/>
        </w:rPr>
        <w:t xml:space="preserve"> (2)</w:t>
      </w:r>
      <w:r w:rsidRPr="005275EC">
        <w:rPr>
          <w:rFonts w:ascii="Times New Roman" w:hAnsi="Times New Roman"/>
          <w:color w:val="000000"/>
          <w:sz w:val="28"/>
          <w:szCs w:val="28"/>
        </w:rPr>
        <w:t xml:space="preserve">. </w:t>
      </w:r>
    </w:p>
    <w:p w14:paraId="18BFEEC5" w14:textId="77777777" w:rsidR="005275EC" w:rsidRPr="005275EC" w:rsidRDefault="005275EC" w:rsidP="00D46D76">
      <w:pPr>
        <w:pStyle w:val="ListParagraph"/>
        <w:spacing w:after="0" w:line="360" w:lineRule="auto"/>
        <w:rPr>
          <w:rFonts w:ascii="Times New Roman" w:hAnsi="Times New Roman"/>
          <w:sz w:val="28"/>
          <w:szCs w:val="28"/>
        </w:rPr>
      </w:pPr>
    </w:p>
    <w:p w14:paraId="1637BE2E" w14:textId="77777777" w:rsidR="005275EC" w:rsidRPr="0058132A" w:rsidRDefault="00C96C47" w:rsidP="0058132A">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sz w:val="28"/>
          <w:szCs w:val="28"/>
        </w:rPr>
        <w:t>True to their word, once the pleadings had closed</w:t>
      </w:r>
      <w:r w:rsidR="0073500A">
        <w:rPr>
          <w:rFonts w:ascii="Times New Roman" w:hAnsi="Times New Roman"/>
          <w:sz w:val="28"/>
          <w:szCs w:val="28"/>
        </w:rPr>
        <w:t>,</w:t>
      </w:r>
      <w:r w:rsidRPr="005275EC">
        <w:rPr>
          <w:rFonts w:ascii="Times New Roman" w:hAnsi="Times New Roman"/>
          <w:sz w:val="28"/>
          <w:szCs w:val="28"/>
        </w:rPr>
        <w:t xml:space="preserve"> the applicant again approached the court on </w:t>
      </w:r>
      <w:r w:rsidR="00D901A7">
        <w:rPr>
          <w:rFonts w:ascii="Times New Roman" w:hAnsi="Times New Roman"/>
          <w:sz w:val="28"/>
          <w:szCs w:val="28"/>
        </w:rPr>
        <w:t xml:space="preserve">an </w:t>
      </w:r>
      <w:r w:rsidR="00D901A7" w:rsidRPr="00D901A7">
        <w:rPr>
          <w:rFonts w:ascii="Times New Roman" w:hAnsi="Times New Roman"/>
          <w:i/>
          <w:sz w:val="28"/>
          <w:szCs w:val="28"/>
        </w:rPr>
        <w:t>ex parte</w:t>
      </w:r>
      <w:r w:rsidR="00D901A7">
        <w:rPr>
          <w:rFonts w:ascii="Times New Roman" w:hAnsi="Times New Roman"/>
          <w:sz w:val="28"/>
          <w:szCs w:val="28"/>
        </w:rPr>
        <w:t xml:space="preserve"> basis</w:t>
      </w:r>
      <w:r w:rsidR="000F429D">
        <w:rPr>
          <w:rFonts w:ascii="Times New Roman" w:hAnsi="Times New Roman"/>
          <w:sz w:val="28"/>
          <w:szCs w:val="28"/>
        </w:rPr>
        <w:t>,</w:t>
      </w:r>
      <w:r w:rsidRPr="005275EC">
        <w:rPr>
          <w:rFonts w:ascii="Times New Roman" w:hAnsi="Times New Roman"/>
          <w:sz w:val="28"/>
          <w:szCs w:val="28"/>
        </w:rPr>
        <w:t xml:space="preserve"> and a second notice was served well in the time before the hearing.</w:t>
      </w:r>
      <w:r w:rsidR="000F429D">
        <w:rPr>
          <w:rStyle w:val="FootnoteReference"/>
          <w:rFonts w:ascii="Times New Roman" w:hAnsi="Times New Roman"/>
          <w:sz w:val="28"/>
          <w:szCs w:val="28"/>
        </w:rPr>
        <w:footnoteReference w:id="57"/>
      </w:r>
      <w:r w:rsidRPr="005275EC">
        <w:rPr>
          <w:rFonts w:ascii="Times New Roman" w:hAnsi="Times New Roman"/>
          <w:sz w:val="28"/>
          <w:szCs w:val="28"/>
        </w:rPr>
        <w:t xml:space="preserve">  The applicant thus contends that p</w:t>
      </w:r>
      <w:r w:rsidR="00592AA0">
        <w:rPr>
          <w:rFonts w:ascii="Times New Roman" w:hAnsi="Times New Roman"/>
          <w:sz w:val="28"/>
          <w:szCs w:val="28"/>
        </w:rPr>
        <w:t xml:space="preserve">roper </w:t>
      </w:r>
      <w:r w:rsidR="00914F4B">
        <w:rPr>
          <w:rFonts w:ascii="Times New Roman" w:hAnsi="Times New Roman"/>
          <w:sz w:val="28"/>
          <w:szCs w:val="28"/>
        </w:rPr>
        <w:t xml:space="preserve">and </w:t>
      </w:r>
      <w:r w:rsidR="00592AA0">
        <w:rPr>
          <w:rFonts w:ascii="Times New Roman" w:hAnsi="Times New Roman"/>
          <w:sz w:val="28"/>
          <w:szCs w:val="28"/>
        </w:rPr>
        <w:t xml:space="preserve">effective notice was </w:t>
      </w:r>
      <w:r w:rsidRPr="005275EC">
        <w:rPr>
          <w:rFonts w:ascii="Times New Roman" w:hAnsi="Times New Roman"/>
          <w:sz w:val="28"/>
          <w:szCs w:val="28"/>
        </w:rPr>
        <w:t>given</w:t>
      </w:r>
      <w:r w:rsidR="00592AA0">
        <w:rPr>
          <w:rFonts w:ascii="Times New Roman" w:hAnsi="Times New Roman"/>
          <w:sz w:val="28"/>
          <w:szCs w:val="28"/>
        </w:rPr>
        <w:t xml:space="preserve">.  </w:t>
      </w:r>
      <w:r w:rsidR="00DD3130">
        <w:rPr>
          <w:rFonts w:ascii="Times New Roman" w:hAnsi="Times New Roman"/>
          <w:sz w:val="28"/>
          <w:szCs w:val="28"/>
        </w:rPr>
        <w:t>However,</w:t>
      </w:r>
      <w:r w:rsidR="00592AA0">
        <w:rPr>
          <w:rFonts w:ascii="Times New Roman" w:hAnsi="Times New Roman"/>
          <w:sz w:val="28"/>
          <w:szCs w:val="28"/>
        </w:rPr>
        <w:t xml:space="preserve"> it did</w:t>
      </w:r>
      <w:r w:rsidRPr="005275EC">
        <w:rPr>
          <w:rFonts w:ascii="Times New Roman" w:hAnsi="Times New Roman"/>
          <w:sz w:val="28"/>
          <w:szCs w:val="28"/>
        </w:rPr>
        <w:t xml:space="preserve"> not address</w:t>
      </w:r>
      <w:r w:rsidR="00592AA0">
        <w:rPr>
          <w:rFonts w:ascii="Times New Roman" w:hAnsi="Times New Roman"/>
          <w:sz w:val="28"/>
          <w:szCs w:val="28"/>
        </w:rPr>
        <w:t xml:space="preserve"> </w:t>
      </w:r>
      <w:r w:rsidRPr="005275EC">
        <w:rPr>
          <w:rFonts w:ascii="Times New Roman" w:hAnsi="Times New Roman"/>
          <w:sz w:val="28"/>
          <w:szCs w:val="28"/>
        </w:rPr>
        <w:t>the</w:t>
      </w:r>
      <w:r w:rsidR="00592AA0">
        <w:rPr>
          <w:rFonts w:ascii="Times New Roman" w:hAnsi="Times New Roman"/>
          <w:sz w:val="28"/>
          <w:szCs w:val="28"/>
        </w:rPr>
        <w:t xml:space="preserve"> </w:t>
      </w:r>
      <w:r w:rsidRPr="005275EC">
        <w:rPr>
          <w:rFonts w:ascii="Times New Roman" w:hAnsi="Times New Roman"/>
          <w:sz w:val="28"/>
          <w:szCs w:val="28"/>
        </w:rPr>
        <w:t>implications of the costs order</w:t>
      </w:r>
      <w:r w:rsidR="000F429D">
        <w:rPr>
          <w:rFonts w:ascii="Times New Roman" w:hAnsi="Times New Roman"/>
          <w:sz w:val="28"/>
          <w:szCs w:val="28"/>
        </w:rPr>
        <w:t xml:space="preserve"> visited upon</w:t>
      </w:r>
      <w:r w:rsidRPr="005275EC">
        <w:rPr>
          <w:rFonts w:ascii="Times New Roman" w:hAnsi="Times New Roman"/>
          <w:sz w:val="28"/>
          <w:szCs w:val="28"/>
        </w:rPr>
        <w:t xml:space="preserve"> the respondent </w:t>
      </w:r>
      <w:r w:rsidR="000F429D">
        <w:rPr>
          <w:rFonts w:ascii="Times New Roman" w:hAnsi="Times New Roman"/>
          <w:sz w:val="28"/>
          <w:szCs w:val="28"/>
        </w:rPr>
        <w:t>in the circumstances</w:t>
      </w:r>
      <w:r w:rsidRPr="005275EC">
        <w:rPr>
          <w:rFonts w:ascii="Times New Roman" w:hAnsi="Times New Roman"/>
          <w:sz w:val="28"/>
          <w:szCs w:val="28"/>
        </w:rPr>
        <w:t>.</w:t>
      </w:r>
      <w:r w:rsidR="0073500A">
        <w:rPr>
          <w:rStyle w:val="FootnoteReference"/>
          <w:rFonts w:ascii="Times New Roman" w:hAnsi="Times New Roman"/>
          <w:sz w:val="28"/>
          <w:szCs w:val="28"/>
        </w:rPr>
        <w:footnoteReference w:id="58"/>
      </w:r>
      <w:r w:rsidRPr="005275EC">
        <w:rPr>
          <w:rFonts w:ascii="Times New Roman" w:hAnsi="Times New Roman"/>
          <w:sz w:val="28"/>
          <w:szCs w:val="28"/>
        </w:rPr>
        <w:t xml:space="preserve">  </w:t>
      </w:r>
      <w:r w:rsidR="00A030C0" w:rsidRPr="0058132A">
        <w:rPr>
          <w:rFonts w:ascii="Times New Roman" w:hAnsi="Times New Roman"/>
          <w:sz w:val="28"/>
          <w:szCs w:val="28"/>
        </w:rPr>
        <w:t xml:space="preserve">  </w:t>
      </w:r>
    </w:p>
    <w:p w14:paraId="7387B08B" w14:textId="77777777" w:rsidR="005275EC" w:rsidRPr="005275EC" w:rsidRDefault="005275EC" w:rsidP="00D46D76">
      <w:pPr>
        <w:pStyle w:val="ListParagraph"/>
        <w:spacing w:after="0" w:line="360" w:lineRule="auto"/>
        <w:rPr>
          <w:rFonts w:ascii="Times New Roman" w:hAnsi="Times New Roman"/>
          <w:color w:val="000000"/>
          <w:sz w:val="28"/>
          <w:szCs w:val="28"/>
          <w:lang w:eastAsia="en-ZA"/>
        </w:rPr>
      </w:pPr>
    </w:p>
    <w:p w14:paraId="378CA96D" w14:textId="77777777" w:rsidR="005762F4" w:rsidRPr="005762F4" w:rsidRDefault="0058132A"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lang w:eastAsia="en-ZA"/>
        </w:rPr>
        <w:t>T</w:t>
      </w:r>
      <w:r w:rsidR="00A030C0" w:rsidRPr="005275EC">
        <w:rPr>
          <w:rFonts w:ascii="Times New Roman" w:hAnsi="Times New Roman"/>
          <w:color w:val="000000"/>
          <w:sz w:val="28"/>
          <w:szCs w:val="28"/>
          <w:lang w:eastAsia="en-ZA"/>
        </w:rPr>
        <w:t xml:space="preserve">he </w:t>
      </w:r>
      <w:r w:rsidR="00592AA0">
        <w:rPr>
          <w:rFonts w:ascii="Times New Roman" w:hAnsi="Times New Roman"/>
          <w:color w:val="000000"/>
          <w:sz w:val="28"/>
          <w:szCs w:val="28"/>
          <w:lang w:eastAsia="en-ZA"/>
        </w:rPr>
        <w:t>“</w:t>
      </w:r>
      <w:r w:rsidR="00A030C0" w:rsidRPr="005275EC">
        <w:rPr>
          <w:rFonts w:ascii="Times New Roman" w:hAnsi="Times New Roman"/>
          <w:color w:val="000000"/>
          <w:sz w:val="28"/>
          <w:szCs w:val="28"/>
          <w:lang w:eastAsia="en-ZA"/>
        </w:rPr>
        <w:t>outrage</w:t>
      </w:r>
      <w:r w:rsidR="00592AA0">
        <w:rPr>
          <w:rFonts w:ascii="Times New Roman" w:hAnsi="Times New Roman"/>
          <w:color w:val="000000"/>
          <w:sz w:val="28"/>
          <w:szCs w:val="28"/>
          <w:lang w:eastAsia="en-ZA"/>
        </w:rPr>
        <w:t>”</w:t>
      </w:r>
      <w:r w:rsidR="00A030C0" w:rsidRPr="005275EC">
        <w:rPr>
          <w:rFonts w:ascii="Times New Roman" w:hAnsi="Times New Roman"/>
          <w:color w:val="000000"/>
          <w:sz w:val="28"/>
          <w:szCs w:val="28"/>
          <w:lang w:eastAsia="en-ZA"/>
        </w:rPr>
        <w:t xml:space="preserve"> of the respondents</w:t>
      </w:r>
      <w:r w:rsidR="00592AA0">
        <w:rPr>
          <w:rFonts w:ascii="Times New Roman" w:hAnsi="Times New Roman"/>
          <w:color w:val="000000"/>
          <w:sz w:val="28"/>
          <w:szCs w:val="28"/>
          <w:lang w:eastAsia="en-ZA"/>
        </w:rPr>
        <w:t xml:space="preserve"> </w:t>
      </w:r>
      <w:r w:rsidR="000F429D">
        <w:rPr>
          <w:rFonts w:ascii="Times New Roman" w:hAnsi="Times New Roman"/>
          <w:color w:val="000000"/>
          <w:sz w:val="28"/>
          <w:szCs w:val="28"/>
          <w:lang w:eastAsia="en-ZA"/>
        </w:rPr>
        <w:t xml:space="preserve">against the </w:t>
      </w:r>
      <w:r w:rsidR="00A030C0" w:rsidRPr="005275EC">
        <w:rPr>
          <w:rFonts w:ascii="Times New Roman" w:hAnsi="Times New Roman"/>
          <w:color w:val="000000"/>
          <w:sz w:val="28"/>
          <w:szCs w:val="28"/>
          <w:lang w:eastAsia="en-ZA"/>
        </w:rPr>
        <w:t>obtaining</w:t>
      </w:r>
      <w:r w:rsidR="0073500A">
        <w:rPr>
          <w:rFonts w:ascii="Times New Roman" w:hAnsi="Times New Roman"/>
          <w:color w:val="000000"/>
          <w:sz w:val="28"/>
          <w:szCs w:val="28"/>
          <w:lang w:eastAsia="en-ZA"/>
        </w:rPr>
        <w:t xml:space="preserve"> of</w:t>
      </w:r>
      <w:r w:rsidR="00A030C0" w:rsidRPr="005275EC">
        <w:rPr>
          <w:rFonts w:ascii="Times New Roman" w:hAnsi="Times New Roman"/>
          <w:color w:val="000000"/>
          <w:sz w:val="28"/>
          <w:szCs w:val="28"/>
          <w:lang w:eastAsia="en-ZA"/>
        </w:rPr>
        <w:t xml:space="preserve"> the directions and leave of the court to serve the requisite notice</w:t>
      </w:r>
      <w:r w:rsidR="00592AA0">
        <w:rPr>
          <w:rFonts w:ascii="Times New Roman" w:hAnsi="Times New Roman"/>
          <w:color w:val="000000"/>
          <w:sz w:val="28"/>
          <w:szCs w:val="28"/>
          <w:lang w:eastAsia="en-ZA"/>
        </w:rPr>
        <w:t xml:space="preserve"> on an </w:t>
      </w:r>
      <w:r w:rsidR="00592AA0" w:rsidRPr="00592AA0">
        <w:rPr>
          <w:rFonts w:ascii="Times New Roman" w:hAnsi="Times New Roman"/>
          <w:i/>
          <w:color w:val="000000"/>
          <w:sz w:val="28"/>
          <w:szCs w:val="28"/>
          <w:lang w:eastAsia="en-ZA"/>
        </w:rPr>
        <w:t>ex parte</w:t>
      </w:r>
      <w:r w:rsidR="00592AA0">
        <w:rPr>
          <w:rFonts w:ascii="Times New Roman" w:hAnsi="Times New Roman"/>
          <w:color w:val="000000"/>
          <w:sz w:val="28"/>
          <w:szCs w:val="28"/>
          <w:lang w:eastAsia="en-ZA"/>
        </w:rPr>
        <w:t xml:space="preserve"> basis</w:t>
      </w:r>
      <w:r w:rsidR="00A030C0" w:rsidRPr="005275EC">
        <w:rPr>
          <w:rFonts w:ascii="Times New Roman" w:hAnsi="Times New Roman"/>
          <w:color w:val="000000"/>
          <w:sz w:val="28"/>
          <w:szCs w:val="28"/>
          <w:lang w:eastAsia="en-ZA"/>
        </w:rPr>
        <w:t>, not once, but twice</w:t>
      </w:r>
      <w:r w:rsidR="000F429D">
        <w:rPr>
          <w:rFonts w:ascii="Times New Roman" w:hAnsi="Times New Roman"/>
          <w:color w:val="000000"/>
          <w:sz w:val="28"/>
          <w:szCs w:val="28"/>
          <w:lang w:eastAsia="en-ZA"/>
        </w:rPr>
        <w:t>,</w:t>
      </w:r>
      <w:r w:rsidR="00A030C0" w:rsidRPr="005275EC">
        <w:rPr>
          <w:rFonts w:ascii="Times New Roman" w:hAnsi="Times New Roman"/>
          <w:color w:val="000000"/>
          <w:sz w:val="28"/>
          <w:szCs w:val="28"/>
          <w:lang w:eastAsia="en-ZA"/>
        </w:rPr>
        <w:t xml:space="preserve"> and </w:t>
      </w:r>
      <w:r w:rsidR="000F429D">
        <w:rPr>
          <w:rFonts w:ascii="Times New Roman" w:hAnsi="Times New Roman"/>
          <w:color w:val="000000"/>
          <w:sz w:val="28"/>
          <w:szCs w:val="28"/>
          <w:lang w:eastAsia="en-ZA"/>
        </w:rPr>
        <w:t>t</w:t>
      </w:r>
      <w:r w:rsidR="00A030C0" w:rsidRPr="005275EC">
        <w:rPr>
          <w:rFonts w:ascii="Times New Roman" w:hAnsi="Times New Roman"/>
          <w:color w:val="000000"/>
          <w:sz w:val="28"/>
          <w:szCs w:val="28"/>
          <w:lang w:eastAsia="en-ZA"/>
        </w:rPr>
        <w:t xml:space="preserve">he second time after the respondents had complained </w:t>
      </w:r>
      <w:r w:rsidR="00D901A7">
        <w:rPr>
          <w:rFonts w:ascii="Times New Roman" w:hAnsi="Times New Roman"/>
          <w:color w:val="000000"/>
          <w:sz w:val="28"/>
          <w:szCs w:val="28"/>
          <w:lang w:eastAsia="en-ZA"/>
        </w:rPr>
        <w:t xml:space="preserve">in their answering papers </w:t>
      </w:r>
      <w:r w:rsidR="00A030C0" w:rsidRPr="005275EC">
        <w:rPr>
          <w:rFonts w:ascii="Times New Roman" w:hAnsi="Times New Roman"/>
          <w:color w:val="000000"/>
          <w:sz w:val="28"/>
          <w:szCs w:val="28"/>
          <w:lang w:eastAsia="en-ZA"/>
        </w:rPr>
        <w:t>that their right to receive notice of such application was being ignored in the context of the acrimonious and convoluted litigation</w:t>
      </w:r>
      <w:r w:rsidR="00172DF3">
        <w:rPr>
          <w:rFonts w:ascii="Times New Roman" w:hAnsi="Times New Roman"/>
          <w:color w:val="000000"/>
          <w:sz w:val="28"/>
          <w:szCs w:val="28"/>
          <w:lang w:eastAsia="en-ZA"/>
        </w:rPr>
        <w:t xml:space="preserve"> already</w:t>
      </w:r>
      <w:r w:rsidR="00A030C0" w:rsidRPr="005275EC">
        <w:rPr>
          <w:rFonts w:ascii="Times New Roman" w:hAnsi="Times New Roman"/>
          <w:color w:val="000000"/>
          <w:sz w:val="28"/>
          <w:szCs w:val="28"/>
          <w:lang w:eastAsia="en-ZA"/>
        </w:rPr>
        <w:t xml:space="preserve"> between them, is</w:t>
      </w:r>
      <w:r w:rsidR="005762F4">
        <w:rPr>
          <w:rFonts w:ascii="Times New Roman" w:hAnsi="Times New Roman"/>
          <w:color w:val="000000"/>
          <w:sz w:val="28"/>
          <w:szCs w:val="28"/>
          <w:lang w:eastAsia="en-ZA"/>
        </w:rPr>
        <w:t xml:space="preserve"> not surprising</w:t>
      </w:r>
      <w:r w:rsidR="00172DF3">
        <w:rPr>
          <w:rFonts w:ascii="Times New Roman" w:hAnsi="Times New Roman"/>
          <w:color w:val="000000"/>
          <w:sz w:val="28"/>
          <w:szCs w:val="28"/>
          <w:lang w:eastAsia="en-ZA"/>
        </w:rPr>
        <w:t xml:space="preserve">.  I can imagine </w:t>
      </w:r>
      <w:r w:rsidR="00592AA0">
        <w:rPr>
          <w:rFonts w:ascii="Times New Roman" w:hAnsi="Times New Roman"/>
          <w:color w:val="000000"/>
          <w:sz w:val="28"/>
          <w:szCs w:val="28"/>
          <w:lang w:eastAsia="en-ZA"/>
        </w:rPr>
        <w:t>that this might cause a respondent</w:t>
      </w:r>
      <w:r w:rsidR="00172DF3">
        <w:rPr>
          <w:rFonts w:ascii="Times New Roman" w:hAnsi="Times New Roman"/>
          <w:color w:val="000000"/>
          <w:sz w:val="28"/>
          <w:szCs w:val="28"/>
          <w:lang w:eastAsia="en-ZA"/>
        </w:rPr>
        <w:t xml:space="preserve"> in similar circumstances t</w:t>
      </w:r>
      <w:r w:rsidR="00A030C0" w:rsidRPr="005275EC">
        <w:rPr>
          <w:rFonts w:ascii="Times New Roman" w:hAnsi="Times New Roman"/>
          <w:color w:val="000000"/>
          <w:sz w:val="28"/>
          <w:szCs w:val="28"/>
          <w:lang w:eastAsia="en-ZA"/>
        </w:rPr>
        <w:t xml:space="preserve">o reflect that they </w:t>
      </w:r>
      <w:r w:rsidR="004B4C77">
        <w:rPr>
          <w:rFonts w:ascii="Times New Roman" w:hAnsi="Times New Roman"/>
          <w:color w:val="000000"/>
          <w:sz w:val="28"/>
          <w:szCs w:val="28"/>
          <w:lang w:eastAsia="en-ZA"/>
        </w:rPr>
        <w:t>were</w:t>
      </w:r>
      <w:r w:rsidR="00A030C0" w:rsidRPr="005275EC">
        <w:rPr>
          <w:rFonts w:ascii="Times New Roman" w:hAnsi="Times New Roman"/>
          <w:color w:val="000000"/>
          <w:sz w:val="28"/>
          <w:szCs w:val="28"/>
          <w:lang w:eastAsia="en-ZA"/>
        </w:rPr>
        <w:t xml:space="preserve"> being kept in the dark and litigated </w:t>
      </w:r>
      <w:r w:rsidR="00A030C0" w:rsidRPr="0073500A">
        <w:rPr>
          <w:rFonts w:ascii="Times New Roman" w:hAnsi="Times New Roman"/>
          <w:i/>
          <w:color w:val="000000"/>
          <w:sz w:val="28"/>
          <w:szCs w:val="28"/>
          <w:lang w:eastAsia="en-ZA"/>
        </w:rPr>
        <w:t>about</w:t>
      </w:r>
      <w:r w:rsidR="00A030C0" w:rsidRPr="005275EC">
        <w:rPr>
          <w:rFonts w:ascii="Times New Roman" w:hAnsi="Times New Roman"/>
          <w:color w:val="000000"/>
          <w:sz w:val="28"/>
          <w:szCs w:val="28"/>
          <w:lang w:eastAsia="en-ZA"/>
        </w:rPr>
        <w:t xml:space="preserve"> rather than </w:t>
      </w:r>
      <w:r w:rsidR="00A030C0" w:rsidRPr="0073500A">
        <w:rPr>
          <w:rFonts w:ascii="Times New Roman" w:hAnsi="Times New Roman"/>
          <w:i/>
          <w:color w:val="000000"/>
          <w:sz w:val="28"/>
          <w:szCs w:val="28"/>
          <w:lang w:eastAsia="en-ZA"/>
        </w:rPr>
        <w:t>with</w:t>
      </w:r>
      <w:r w:rsidR="0073500A">
        <w:rPr>
          <w:rFonts w:ascii="Times New Roman" w:hAnsi="Times New Roman"/>
          <w:color w:val="000000"/>
          <w:sz w:val="28"/>
          <w:szCs w:val="28"/>
          <w:lang w:eastAsia="en-ZA"/>
        </w:rPr>
        <w:t>, but this</w:t>
      </w:r>
      <w:r w:rsidR="00A030C0" w:rsidRPr="005275EC">
        <w:rPr>
          <w:rFonts w:ascii="Times New Roman" w:hAnsi="Times New Roman"/>
          <w:color w:val="000000"/>
          <w:sz w:val="28"/>
          <w:szCs w:val="28"/>
          <w:lang w:eastAsia="en-ZA"/>
        </w:rPr>
        <w:t xml:space="preserve"> manner and format</w:t>
      </w:r>
      <w:r w:rsidR="00172DF3">
        <w:rPr>
          <w:rFonts w:ascii="Times New Roman" w:hAnsi="Times New Roman"/>
          <w:color w:val="000000"/>
          <w:sz w:val="28"/>
          <w:szCs w:val="28"/>
          <w:lang w:eastAsia="en-ZA"/>
        </w:rPr>
        <w:t xml:space="preserve"> of the procedural aspect of eviction </w:t>
      </w:r>
      <w:r w:rsidR="00A030C0" w:rsidRPr="005275EC">
        <w:rPr>
          <w:rFonts w:ascii="Times New Roman" w:hAnsi="Times New Roman"/>
          <w:color w:val="000000"/>
          <w:sz w:val="28"/>
          <w:szCs w:val="28"/>
          <w:lang w:eastAsia="en-ZA"/>
        </w:rPr>
        <w:t xml:space="preserve">applications has received the endorsement of </w:t>
      </w:r>
      <w:r w:rsidR="00914F4B">
        <w:rPr>
          <w:rFonts w:ascii="Times New Roman" w:hAnsi="Times New Roman"/>
          <w:color w:val="000000"/>
          <w:sz w:val="28"/>
          <w:szCs w:val="28"/>
          <w:lang w:eastAsia="en-ZA"/>
        </w:rPr>
        <w:t>our courts as is indicated in the excerpt above</w:t>
      </w:r>
      <w:r w:rsidR="00A030C0" w:rsidRPr="005275EC">
        <w:rPr>
          <w:rFonts w:ascii="Times New Roman" w:hAnsi="Times New Roman"/>
          <w:color w:val="000000"/>
          <w:sz w:val="28"/>
          <w:szCs w:val="28"/>
          <w:lang w:eastAsia="en-ZA"/>
        </w:rPr>
        <w:t xml:space="preserve"> and is not technically incorrect.  </w:t>
      </w:r>
    </w:p>
    <w:p w14:paraId="2A4C87DA" w14:textId="77777777" w:rsidR="005762F4" w:rsidRPr="005762F4" w:rsidRDefault="005762F4" w:rsidP="00D46D76">
      <w:pPr>
        <w:pStyle w:val="ListParagraph"/>
        <w:spacing w:after="0" w:line="360" w:lineRule="auto"/>
        <w:rPr>
          <w:rFonts w:ascii="Times New Roman" w:hAnsi="Times New Roman"/>
          <w:color w:val="000000"/>
          <w:sz w:val="28"/>
          <w:szCs w:val="28"/>
          <w:lang w:eastAsia="en-ZA"/>
        </w:rPr>
      </w:pPr>
    </w:p>
    <w:p w14:paraId="55047416" w14:textId="5A60D48B" w:rsidR="00172DF3" w:rsidRPr="00556500" w:rsidRDefault="00A030C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lang w:eastAsia="en-ZA"/>
        </w:rPr>
        <w:t xml:space="preserve">I asked Mr. Miller where the approach of using the </w:t>
      </w:r>
      <w:r w:rsidRPr="00172DF3">
        <w:rPr>
          <w:rFonts w:ascii="Times New Roman" w:hAnsi="Times New Roman"/>
          <w:i/>
          <w:color w:val="000000"/>
          <w:sz w:val="28"/>
          <w:szCs w:val="28"/>
          <w:lang w:eastAsia="en-ZA"/>
        </w:rPr>
        <w:t>ex parte</w:t>
      </w:r>
      <w:r w:rsidRPr="005275EC">
        <w:rPr>
          <w:rFonts w:ascii="Times New Roman" w:hAnsi="Times New Roman"/>
          <w:color w:val="000000"/>
          <w:sz w:val="28"/>
          <w:szCs w:val="28"/>
          <w:lang w:eastAsia="en-ZA"/>
        </w:rPr>
        <w:t xml:space="preserve"> </w:t>
      </w:r>
      <w:r w:rsidR="005762F4">
        <w:rPr>
          <w:rFonts w:ascii="Times New Roman" w:hAnsi="Times New Roman"/>
          <w:color w:val="000000"/>
          <w:sz w:val="28"/>
          <w:szCs w:val="28"/>
          <w:lang w:eastAsia="en-ZA"/>
        </w:rPr>
        <w:t>form</w:t>
      </w:r>
      <w:r w:rsidR="003835BB">
        <w:rPr>
          <w:rFonts w:ascii="Times New Roman" w:hAnsi="Times New Roman"/>
          <w:color w:val="000000"/>
          <w:sz w:val="28"/>
          <w:szCs w:val="28"/>
          <w:lang w:eastAsia="en-ZA"/>
        </w:rPr>
        <w:t xml:space="preserve"> of application</w:t>
      </w:r>
      <w:r w:rsidR="005762F4">
        <w:rPr>
          <w:rFonts w:ascii="Times New Roman" w:hAnsi="Times New Roman"/>
          <w:color w:val="000000"/>
          <w:sz w:val="28"/>
          <w:szCs w:val="28"/>
          <w:lang w:eastAsia="en-ZA"/>
        </w:rPr>
        <w:t xml:space="preserve"> to obtain </w:t>
      </w:r>
      <w:r w:rsidR="00172DF3">
        <w:rPr>
          <w:rFonts w:ascii="Times New Roman" w:hAnsi="Times New Roman"/>
          <w:color w:val="000000"/>
          <w:sz w:val="28"/>
          <w:szCs w:val="28"/>
          <w:lang w:eastAsia="en-ZA"/>
        </w:rPr>
        <w:t>the court</w:t>
      </w:r>
      <w:r w:rsidR="0073500A">
        <w:rPr>
          <w:rFonts w:ascii="Times New Roman" w:hAnsi="Times New Roman"/>
          <w:color w:val="000000"/>
          <w:sz w:val="28"/>
          <w:szCs w:val="28"/>
          <w:lang w:eastAsia="en-ZA"/>
        </w:rPr>
        <w:t>’s</w:t>
      </w:r>
      <w:r w:rsidR="00172DF3">
        <w:rPr>
          <w:rFonts w:ascii="Times New Roman" w:hAnsi="Times New Roman"/>
          <w:color w:val="000000"/>
          <w:sz w:val="28"/>
          <w:szCs w:val="28"/>
          <w:lang w:eastAsia="en-ZA"/>
        </w:rPr>
        <w:t xml:space="preserve"> directions</w:t>
      </w:r>
      <w:r w:rsidRPr="005275EC">
        <w:rPr>
          <w:rFonts w:ascii="Times New Roman" w:hAnsi="Times New Roman"/>
          <w:color w:val="000000"/>
          <w:sz w:val="28"/>
          <w:szCs w:val="28"/>
          <w:lang w:eastAsia="en-ZA"/>
        </w:rPr>
        <w:t xml:space="preserve"> had emanated from, and he pointed me</w:t>
      </w:r>
      <w:r w:rsidR="00D16EA6">
        <w:rPr>
          <w:rFonts w:ascii="Times New Roman" w:hAnsi="Times New Roman"/>
          <w:color w:val="000000"/>
          <w:sz w:val="28"/>
          <w:szCs w:val="28"/>
          <w:lang w:eastAsia="en-ZA"/>
        </w:rPr>
        <w:t xml:space="preserve"> to paragraph [15] of</w:t>
      </w:r>
      <w:r w:rsidR="005762F4">
        <w:rPr>
          <w:rFonts w:ascii="Times New Roman" w:hAnsi="Times New Roman"/>
          <w:color w:val="000000"/>
          <w:sz w:val="28"/>
          <w:szCs w:val="28"/>
          <w:lang w:eastAsia="en-ZA"/>
        </w:rPr>
        <w:t xml:space="preserve"> </w:t>
      </w:r>
      <w:r w:rsidR="0058132A">
        <w:rPr>
          <w:rFonts w:ascii="Times New Roman" w:hAnsi="Times New Roman"/>
          <w:color w:val="000000"/>
          <w:sz w:val="28"/>
          <w:szCs w:val="28"/>
          <w:lang w:eastAsia="en-ZA"/>
        </w:rPr>
        <w:t xml:space="preserve">the </w:t>
      </w:r>
      <w:r w:rsidR="00A07448">
        <w:rPr>
          <w:rFonts w:ascii="Times New Roman" w:hAnsi="Times New Roman"/>
          <w:color w:val="000000"/>
          <w:sz w:val="28"/>
          <w:szCs w:val="28"/>
          <w:lang w:eastAsia="en-ZA"/>
        </w:rPr>
        <w:t>Cape Killarney</w:t>
      </w:r>
      <w:r>
        <w:rPr>
          <w:rStyle w:val="FootnoteReference"/>
          <w:rFonts w:ascii="Times New Roman" w:hAnsi="Times New Roman"/>
          <w:color w:val="000000"/>
          <w:sz w:val="28"/>
          <w:szCs w:val="28"/>
          <w:lang w:eastAsia="en-ZA"/>
        </w:rPr>
        <w:footnoteReference w:id="59"/>
      </w:r>
      <w:r w:rsidR="0058132A">
        <w:rPr>
          <w:rFonts w:ascii="Times New Roman" w:hAnsi="Times New Roman"/>
          <w:color w:val="000000"/>
          <w:sz w:val="28"/>
          <w:szCs w:val="28"/>
          <w:lang w:eastAsia="en-ZA"/>
        </w:rPr>
        <w:t xml:space="preserve"> </w:t>
      </w:r>
      <w:r w:rsidR="003258D1">
        <w:rPr>
          <w:rFonts w:ascii="Times New Roman" w:hAnsi="Times New Roman"/>
          <w:color w:val="000000"/>
          <w:sz w:val="28"/>
          <w:szCs w:val="28"/>
          <w:lang w:eastAsia="en-ZA"/>
        </w:rPr>
        <w:t xml:space="preserve">judgment </w:t>
      </w:r>
      <w:r w:rsidR="003258D1" w:rsidRPr="005275EC">
        <w:rPr>
          <w:rFonts w:ascii="Times New Roman" w:hAnsi="Times New Roman"/>
          <w:color w:val="000000"/>
          <w:sz w:val="28"/>
          <w:szCs w:val="28"/>
          <w:lang w:eastAsia="en-ZA"/>
        </w:rPr>
        <w:t>in</w:t>
      </w:r>
      <w:r w:rsidRPr="005275EC">
        <w:rPr>
          <w:rFonts w:ascii="Times New Roman" w:hAnsi="Times New Roman"/>
          <w:color w:val="000000"/>
          <w:sz w:val="28"/>
          <w:szCs w:val="28"/>
          <w:lang w:eastAsia="en-ZA"/>
        </w:rPr>
        <w:t xml:space="preserve"> which the court</w:t>
      </w:r>
      <w:r w:rsidR="0073500A">
        <w:rPr>
          <w:rFonts w:ascii="Times New Roman" w:hAnsi="Times New Roman"/>
          <w:color w:val="000000"/>
          <w:sz w:val="28"/>
          <w:szCs w:val="28"/>
          <w:lang w:eastAsia="en-ZA"/>
        </w:rPr>
        <w:t xml:space="preserve"> held as follows</w:t>
      </w:r>
      <w:r w:rsidR="00592AA0">
        <w:rPr>
          <w:rFonts w:ascii="Times New Roman" w:hAnsi="Times New Roman"/>
          <w:color w:val="000000"/>
          <w:sz w:val="28"/>
          <w:szCs w:val="28"/>
          <w:lang w:eastAsia="en-ZA"/>
        </w:rPr>
        <w:t>:</w:t>
      </w:r>
      <w:r w:rsidR="00172DF3">
        <w:rPr>
          <w:rFonts w:ascii="Times New Roman" w:hAnsi="Times New Roman"/>
          <w:color w:val="000000"/>
          <w:sz w:val="28"/>
          <w:szCs w:val="28"/>
          <w:lang w:eastAsia="en-ZA"/>
        </w:rPr>
        <w:t xml:space="preserve"> </w:t>
      </w:r>
    </w:p>
    <w:p w14:paraId="26E64B2F" w14:textId="77777777" w:rsidR="00556500" w:rsidRPr="00556500" w:rsidRDefault="00556500" w:rsidP="00D46D76">
      <w:pPr>
        <w:pStyle w:val="ListParagraph"/>
        <w:spacing w:after="0" w:line="360" w:lineRule="auto"/>
        <w:rPr>
          <w:rFonts w:ascii="Times New Roman" w:hAnsi="Times New Roman"/>
          <w:b/>
          <w:sz w:val="28"/>
          <w:szCs w:val="28"/>
        </w:rPr>
      </w:pPr>
    </w:p>
    <w:p w14:paraId="6BDEFFB8" w14:textId="77777777" w:rsidR="00172DF3" w:rsidRPr="00556500" w:rsidRDefault="00A07448" w:rsidP="00D46D76">
      <w:pPr>
        <w:pStyle w:val="ListParagraph"/>
        <w:spacing w:after="0" w:line="360" w:lineRule="auto"/>
        <w:rPr>
          <w:rFonts w:ascii="Times New Roman" w:hAnsi="Times New Roman"/>
          <w:color w:val="000000"/>
          <w:lang w:eastAsia="en-ZA"/>
        </w:rPr>
      </w:pPr>
      <w:r w:rsidRPr="00556500">
        <w:rPr>
          <w:rFonts w:ascii="Times New Roman" w:eastAsia="Times New Roman" w:hAnsi="Times New Roman"/>
          <w:color w:val="000000"/>
          <w:lang w:eastAsia="en-ZA"/>
        </w:rPr>
        <w:lastRenderedPageBreak/>
        <w:t xml:space="preserve">“Section 4 does not indicate how the court’s directions regarding the section 4(2) notice is to be obtained. A </w:t>
      </w:r>
      <w:r w:rsidR="00F30F31" w:rsidRPr="00556500">
        <w:rPr>
          <w:rFonts w:ascii="Times New Roman" w:eastAsia="Times New Roman" w:hAnsi="Times New Roman"/>
          <w:color w:val="000000"/>
          <w:lang w:eastAsia="en-ZA"/>
        </w:rPr>
        <w:t>common-sense</w:t>
      </w:r>
      <w:r w:rsidRPr="00556500">
        <w:rPr>
          <w:rFonts w:ascii="Times New Roman" w:eastAsia="Times New Roman" w:hAnsi="Times New Roman"/>
          <w:color w:val="000000"/>
          <w:lang w:eastAsia="en-ZA"/>
        </w:rPr>
        <w:t xml:space="preserve"> approach to the section appears to dictate, however, that the applicant can approach the court for such directions by way of an </w:t>
      </w:r>
      <w:r w:rsidRPr="00556500">
        <w:rPr>
          <w:rFonts w:ascii="Times New Roman" w:eastAsia="Times New Roman" w:hAnsi="Times New Roman"/>
          <w:i/>
          <w:iCs/>
          <w:color w:val="000000"/>
          <w:lang w:eastAsia="en-ZA"/>
        </w:rPr>
        <w:t>ex parte </w:t>
      </w:r>
      <w:r w:rsidRPr="00556500">
        <w:rPr>
          <w:rFonts w:ascii="Times New Roman" w:eastAsia="Times New Roman" w:hAnsi="Times New Roman"/>
          <w:color w:val="000000"/>
          <w:lang w:eastAsia="en-ZA"/>
        </w:rPr>
        <w:t>application.”</w:t>
      </w:r>
    </w:p>
    <w:p w14:paraId="65053824" w14:textId="77777777" w:rsidR="0073500A" w:rsidRPr="001903EE" w:rsidRDefault="0073500A" w:rsidP="00D46D76">
      <w:pPr>
        <w:spacing w:line="360" w:lineRule="auto"/>
        <w:ind w:left="720"/>
        <w:contextualSpacing/>
        <w:rPr>
          <w:rFonts w:ascii="Times New Roman" w:hAnsi="Times New Roman" w:cs="Times New Roman"/>
        </w:rPr>
      </w:pPr>
    </w:p>
    <w:p w14:paraId="1447B87D" w14:textId="4424DF7B" w:rsidR="00D901A7" w:rsidRPr="0043674D" w:rsidRDefault="00F30F31" w:rsidP="00770DC8">
      <w:pPr>
        <w:pStyle w:val="ListParagraph"/>
        <w:numPr>
          <w:ilvl w:val="0"/>
          <w:numId w:val="2"/>
        </w:numPr>
        <w:tabs>
          <w:tab w:val="left" w:pos="0"/>
        </w:tabs>
        <w:spacing w:after="0" w:line="360" w:lineRule="auto"/>
        <w:ind w:left="0" w:firstLine="0"/>
        <w:rPr>
          <w:rFonts w:ascii="Times New Roman" w:hAnsi="Times New Roman"/>
          <w:b/>
          <w:sz w:val="28"/>
          <w:szCs w:val="28"/>
        </w:rPr>
      </w:pPr>
      <w:r w:rsidRPr="00D901A7">
        <w:rPr>
          <w:rFonts w:ascii="Times New Roman" w:hAnsi="Times New Roman"/>
          <w:bCs/>
          <w:sz w:val="28"/>
          <w:szCs w:val="28"/>
        </w:rPr>
        <w:t>I agree with Mr</w:t>
      </w:r>
      <w:r w:rsidR="00A82A75" w:rsidRPr="00D901A7">
        <w:rPr>
          <w:rFonts w:ascii="Times New Roman" w:hAnsi="Times New Roman"/>
          <w:bCs/>
          <w:sz w:val="28"/>
          <w:szCs w:val="28"/>
        </w:rPr>
        <w:t>.</w:t>
      </w:r>
      <w:r w:rsidRPr="00D901A7">
        <w:rPr>
          <w:rFonts w:ascii="Times New Roman" w:hAnsi="Times New Roman"/>
          <w:bCs/>
          <w:sz w:val="28"/>
          <w:szCs w:val="28"/>
        </w:rPr>
        <w:t xml:space="preserve"> Miller that the same common-sense approach </w:t>
      </w:r>
      <w:r w:rsidR="00A31768" w:rsidRPr="00D901A7">
        <w:rPr>
          <w:rFonts w:ascii="Times New Roman" w:hAnsi="Times New Roman"/>
          <w:bCs/>
          <w:sz w:val="28"/>
          <w:szCs w:val="28"/>
        </w:rPr>
        <w:t xml:space="preserve">might cause one to reflect that in </w:t>
      </w:r>
      <w:r w:rsidR="00A74A34" w:rsidRPr="00D901A7">
        <w:rPr>
          <w:rFonts w:ascii="Times New Roman" w:hAnsi="Times New Roman"/>
          <w:bCs/>
          <w:sz w:val="28"/>
          <w:szCs w:val="28"/>
        </w:rPr>
        <w:t xml:space="preserve">a scenario where litigation is already pending it might create </w:t>
      </w:r>
      <w:r w:rsidR="00172DF3" w:rsidRPr="00D901A7">
        <w:rPr>
          <w:rFonts w:ascii="Times New Roman" w:hAnsi="Times New Roman"/>
          <w:color w:val="000000"/>
          <w:sz w:val="28"/>
          <w:szCs w:val="28"/>
          <w:lang w:eastAsia="en-ZA"/>
        </w:rPr>
        <w:t>a perception of opacity</w:t>
      </w:r>
      <w:r w:rsidR="003835BB" w:rsidRPr="00D901A7">
        <w:rPr>
          <w:rFonts w:ascii="Times New Roman" w:hAnsi="Times New Roman"/>
          <w:color w:val="000000"/>
          <w:sz w:val="28"/>
          <w:szCs w:val="28"/>
          <w:lang w:eastAsia="en-ZA"/>
        </w:rPr>
        <w:t xml:space="preserve"> to approach the court for directions on an </w:t>
      </w:r>
      <w:r w:rsidR="003835BB" w:rsidRPr="00D901A7">
        <w:rPr>
          <w:rFonts w:ascii="Times New Roman" w:hAnsi="Times New Roman"/>
          <w:i/>
          <w:iCs/>
          <w:color w:val="000000"/>
          <w:sz w:val="28"/>
          <w:szCs w:val="28"/>
          <w:lang w:eastAsia="en-ZA"/>
        </w:rPr>
        <w:t>ex parte</w:t>
      </w:r>
      <w:r w:rsidR="003835BB" w:rsidRPr="00D901A7">
        <w:rPr>
          <w:rFonts w:ascii="Times New Roman" w:hAnsi="Times New Roman"/>
          <w:color w:val="000000"/>
          <w:sz w:val="28"/>
          <w:szCs w:val="28"/>
          <w:lang w:eastAsia="en-ZA"/>
        </w:rPr>
        <w:t xml:space="preserve"> basis</w:t>
      </w:r>
      <w:r w:rsidR="00172DF3" w:rsidRPr="00D901A7">
        <w:rPr>
          <w:rFonts w:ascii="Times New Roman" w:hAnsi="Times New Roman"/>
          <w:color w:val="000000"/>
          <w:sz w:val="28"/>
          <w:szCs w:val="28"/>
          <w:lang w:eastAsia="en-ZA"/>
        </w:rPr>
        <w:t xml:space="preserve">, </w:t>
      </w:r>
      <w:r w:rsidR="00A74A34" w:rsidRPr="00D901A7">
        <w:rPr>
          <w:rFonts w:ascii="Times New Roman" w:hAnsi="Times New Roman"/>
          <w:color w:val="000000"/>
          <w:sz w:val="28"/>
          <w:szCs w:val="28"/>
          <w:lang w:eastAsia="en-ZA"/>
        </w:rPr>
        <w:t xml:space="preserve">but </w:t>
      </w:r>
      <w:r w:rsidR="00D16EA6" w:rsidRPr="00D901A7">
        <w:rPr>
          <w:rFonts w:ascii="Times New Roman" w:hAnsi="Times New Roman"/>
          <w:color w:val="000000"/>
          <w:sz w:val="28"/>
          <w:szCs w:val="28"/>
          <w:lang w:eastAsia="en-ZA"/>
        </w:rPr>
        <w:t>this is in</w:t>
      </w:r>
      <w:r w:rsidR="00F70E20" w:rsidRPr="00D901A7">
        <w:rPr>
          <w:rFonts w:ascii="Times New Roman" w:hAnsi="Times New Roman"/>
          <w:color w:val="000000"/>
          <w:sz w:val="28"/>
          <w:szCs w:val="28"/>
          <w:lang w:eastAsia="en-ZA"/>
        </w:rPr>
        <w:t>deed</w:t>
      </w:r>
      <w:r w:rsidR="00D16EA6" w:rsidRPr="00D901A7">
        <w:rPr>
          <w:rFonts w:ascii="Times New Roman" w:hAnsi="Times New Roman"/>
          <w:color w:val="000000"/>
          <w:sz w:val="28"/>
          <w:szCs w:val="28"/>
          <w:lang w:eastAsia="en-ZA"/>
        </w:rPr>
        <w:t xml:space="preserve"> the indicated and </w:t>
      </w:r>
      <w:r w:rsidR="00B45DDE" w:rsidRPr="00D901A7">
        <w:rPr>
          <w:rFonts w:ascii="Times New Roman" w:hAnsi="Times New Roman"/>
          <w:color w:val="000000"/>
          <w:sz w:val="28"/>
          <w:szCs w:val="28"/>
          <w:lang w:eastAsia="en-ZA"/>
        </w:rPr>
        <w:t>time-tested</w:t>
      </w:r>
      <w:r w:rsidR="00D16EA6" w:rsidRPr="00D901A7">
        <w:rPr>
          <w:rFonts w:ascii="Times New Roman" w:hAnsi="Times New Roman"/>
          <w:color w:val="000000"/>
          <w:sz w:val="28"/>
          <w:szCs w:val="28"/>
          <w:lang w:eastAsia="en-ZA"/>
        </w:rPr>
        <w:t xml:space="preserve"> method of </w:t>
      </w:r>
      <w:r w:rsidR="003835BB" w:rsidRPr="00D901A7">
        <w:rPr>
          <w:rFonts w:ascii="Times New Roman" w:hAnsi="Times New Roman"/>
          <w:color w:val="000000"/>
          <w:sz w:val="28"/>
          <w:szCs w:val="28"/>
          <w:lang w:eastAsia="en-ZA"/>
        </w:rPr>
        <w:t xml:space="preserve">meeting the objective </w:t>
      </w:r>
      <w:r w:rsidR="0090797B" w:rsidRPr="00D901A7">
        <w:rPr>
          <w:rFonts w:ascii="Times New Roman" w:hAnsi="Times New Roman"/>
          <w:color w:val="000000"/>
          <w:sz w:val="28"/>
          <w:szCs w:val="28"/>
          <w:lang w:eastAsia="en-ZA"/>
        </w:rPr>
        <w:t>of section 4 (2).</w:t>
      </w:r>
      <w:r w:rsidR="00556500">
        <w:rPr>
          <w:rStyle w:val="FootnoteReference"/>
          <w:rFonts w:ascii="Times New Roman" w:hAnsi="Times New Roman"/>
          <w:color w:val="000000"/>
          <w:sz w:val="28"/>
          <w:szCs w:val="28"/>
          <w:lang w:eastAsia="en-ZA"/>
        </w:rPr>
        <w:footnoteReference w:id="60"/>
      </w:r>
      <w:r w:rsidR="00D901A7" w:rsidRPr="00D901A7">
        <w:rPr>
          <w:rFonts w:ascii="Times New Roman" w:hAnsi="Times New Roman"/>
          <w:color w:val="000000"/>
          <w:sz w:val="28"/>
          <w:szCs w:val="28"/>
          <w:lang w:eastAsia="en-ZA"/>
        </w:rPr>
        <w:t xml:space="preserve">  </w:t>
      </w:r>
      <w:r w:rsidR="00BA7AE1" w:rsidRPr="00D901A7">
        <w:rPr>
          <w:rFonts w:ascii="Times New Roman" w:hAnsi="Times New Roman"/>
          <w:color w:val="000000"/>
          <w:sz w:val="28"/>
          <w:szCs w:val="28"/>
          <w:lang w:eastAsia="en-ZA"/>
        </w:rPr>
        <w:t xml:space="preserve">I </w:t>
      </w:r>
      <w:r w:rsidR="00556500" w:rsidRPr="00D901A7">
        <w:rPr>
          <w:rFonts w:ascii="Times New Roman" w:hAnsi="Times New Roman"/>
          <w:color w:val="000000"/>
          <w:sz w:val="28"/>
          <w:szCs w:val="28"/>
          <w:lang w:eastAsia="en-ZA"/>
        </w:rPr>
        <w:t xml:space="preserve">therefore </w:t>
      </w:r>
      <w:r w:rsidR="00BA7AE1" w:rsidRPr="00D901A7">
        <w:rPr>
          <w:rFonts w:ascii="Times New Roman" w:hAnsi="Times New Roman"/>
          <w:color w:val="000000"/>
          <w:sz w:val="28"/>
          <w:szCs w:val="28"/>
          <w:lang w:eastAsia="en-ZA"/>
        </w:rPr>
        <w:t>cannot</w:t>
      </w:r>
      <w:r w:rsidR="00A030C0" w:rsidRPr="00D901A7">
        <w:rPr>
          <w:rFonts w:ascii="Times New Roman" w:hAnsi="Times New Roman"/>
          <w:color w:val="000000"/>
          <w:sz w:val="28"/>
          <w:szCs w:val="28"/>
          <w:lang w:eastAsia="en-ZA"/>
        </w:rPr>
        <w:t xml:space="preserve"> find </w:t>
      </w:r>
      <w:r w:rsidR="0090797B" w:rsidRPr="00D901A7">
        <w:rPr>
          <w:rFonts w:ascii="Times New Roman" w:hAnsi="Times New Roman"/>
          <w:color w:val="000000"/>
          <w:sz w:val="28"/>
          <w:szCs w:val="28"/>
          <w:lang w:eastAsia="en-ZA"/>
        </w:rPr>
        <w:t xml:space="preserve">that </w:t>
      </w:r>
      <w:r w:rsidR="00CC3497">
        <w:rPr>
          <w:rFonts w:ascii="Times New Roman" w:hAnsi="Times New Roman"/>
          <w:color w:val="000000"/>
          <w:sz w:val="28"/>
          <w:szCs w:val="28"/>
          <w:lang w:eastAsia="en-ZA"/>
        </w:rPr>
        <w:t xml:space="preserve">the </w:t>
      </w:r>
      <w:r w:rsidR="00CC3497" w:rsidRPr="00CC3497">
        <w:rPr>
          <w:rFonts w:ascii="Times New Roman" w:hAnsi="Times New Roman"/>
          <w:i/>
          <w:color w:val="000000"/>
          <w:sz w:val="28"/>
          <w:szCs w:val="28"/>
          <w:lang w:eastAsia="en-ZA"/>
        </w:rPr>
        <w:t>ex parte</w:t>
      </w:r>
      <w:r w:rsidR="00CC3497">
        <w:rPr>
          <w:rFonts w:ascii="Times New Roman" w:hAnsi="Times New Roman"/>
          <w:color w:val="000000"/>
          <w:sz w:val="28"/>
          <w:szCs w:val="28"/>
          <w:lang w:eastAsia="en-ZA"/>
        </w:rPr>
        <w:t xml:space="preserve"> </w:t>
      </w:r>
      <w:r w:rsidR="003258D1">
        <w:rPr>
          <w:rFonts w:ascii="Times New Roman" w:hAnsi="Times New Roman"/>
          <w:color w:val="000000"/>
          <w:sz w:val="28"/>
          <w:szCs w:val="28"/>
          <w:lang w:eastAsia="en-ZA"/>
        </w:rPr>
        <w:t xml:space="preserve">approach </w:t>
      </w:r>
      <w:r w:rsidR="00B94268">
        <w:rPr>
          <w:rFonts w:ascii="Times New Roman" w:hAnsi="Times New Roman"/>
          <w:color w:val="000000"/>
          <w:sz w:val="28"/>
          <w:szCs w:val="28"/>
          <w:lang w:eastAsia="en-ZA"/>
        </w:rPr>
        <w:t>on either occasion</w:t>
      </w:r>
      <w:r w:rsidR="00D901A7">
        <w:rPr>
          <w:rFonts w:ascii="Times New Roman" w:hAnsi="Times New Roman"/>
          <w:color w:val="000000"/>
          <w:sz w:val="28"/>
          <w:szCs w:val="28"/>
          <w:lang w:eastAsia="en-ZA"/>
        </w:rPr>
        <w:t>, notwithstanding the parties’ unique circumstances and involvement in other litigation</w:t>
      </w:r>
      <w:r w:rsidR="00B94268">
        <w:rPr>
          <w:rFonts w:ascii="Times New Roman" w:hAnsi="Times New Roman"/>
          <w:color w:val="000000"/>
          <w:sz w:val="28"/>
          <w:szCs w:val="28"/>
          <w:lang w:eastAsia="en-ZA"/>
        </w:rPr>
        <w:t xml:space="preserve"> </w:t>
      </w:r>
      <w:r w:rsidR="003258D1">
        <w:rPr>
          <w:rFonts w:ascii="Times New Roman" w:hAnsi="Times New Roman"/>
          <w:color w:val="000000"/>
          <w:sz w:val="28"/>
          <w:szCs w:val="28"/>
          <w:lang w:eastAsia="en-ZA"/>
        </w:rPr>
        <w:t>at that stage,</w:t>
      </w:r>
      <w:r w:rsidR="00D901A7">
        <w:rPr>
          <w:rFonts w:ascii="Times New Roman" w:hAnsi="Times New Roman"/>
          <w:color w:val="000000"/>
          <w:sz w:val="28"/>
          <w:szCs w:val="28"/>
          <w:lang w:eastAsia="en-ZA"/>
        </w:rPr>
        <w:t xml:space="preserve"> constitute</w:t>
      </w:r>
      <w:r w:rsidR="00B94268">
        <w:rPr>
          <w:rFonts w:ascii="Times New Roman" w:hAnsi="Times New Roman"/>
          <w:color w:val="000000"/>
          <w:sz w:val="28"/>
          <w:szCs w:val="28"/>
          <w:lang w:eastAsia="en-ZA"/>
        </w:rPr>
        <w:t>s</w:t>
      </w:r>
      <w:r w:rsidR="00D901A7">
        <w:rPr>
          <w:rFonts w:ascii="Times New Roman" w:hAnsi="Times New Roman"/>
          <w:color w:val="000000"/>
          <w:sz w:val="28"/>
          <w:szCs w:val="28"/>
          <w:lang w:eastAsia="en-ZA"/>
        </w:rPr>
        <w:t xml:space="preserve"> </w:t>
      </w:r>
      <w:r w:rsidR="00B94268">
        <w:rPr>
          <w:rFonts w:ascii="Times New Roman" w:hAnsi="Times New Roman"/>
          <w:color w:val="000000"/>
          <w:sz w:val="28"/>
          <w:szCs w:val="28"/>
          <w:lang w:eastAsia="en-ZA"/>
        </w:rPr>
        <w:t>the</w:t>
      </w:r>
      <w:r w:rsidR="00D901A7">
        <w:rPr>
          <w:rFonts w:ascii="Times New Roman" w:hAnsi="Times New Roman"/>
          <w:color w:val="000000"/>
          <w:sz w:val="28"/>
          <w:szCs w:val="28"/>
          <w:lang w:eastAsia="en-ZA"/>
        </w:rPr>
        <w:t xml:space="preserve"> fatal defect</w:t>
      </w:r>
      <w:r w:rsidR="00B94268">
        <w:rPr>
          <w:rFonts w:ascii="Times New Roman" w:hAnsi="Times New Roman"/>
          <w:color w:val="000000"/>
          <w:sz w:val="28"/>
          <w:szCs w:val="28"/>
          <w:lang w:eastAsia="en-ZA"/>
        </w:rPr>
        <w:t xml:space="preserve"> contended for</w:t>
      </w:r>
      <w:r w:rsidR="00D901A7">
        <w:rPr>
          <w:rFonts w:ascii="Times New Roman" w:hAnsi="Times New Roman"/>
          <w:color w:val="000000"/>
          <w:sz w:val="28"/>
          <w:szCs w:val="28"/>
          <w:lang w:eastAsia="en-ZA"/>
        </w:rPr>
        <w:t>.</w:t>
      </w:r>
      <w:r w:rsidR="00A030C0" w:rsidRPr="00D901A7">
        <w:rPr>
          <w:rFonts w:ascii="Times New Roman" w:hAnsi="Times New Roman"/>
          <w:color w:val="000000"/>
          <w:sz w:val="28"/>
          <w:szCs w:val="28"/>
          <w:lang w:eastAsia="en-ZA"/>
        </w:rPr>
        <w:t xml:space="preserve">  </w:t>
      </w:r>
    </w:p>
    <w:p w14:paraId="1E7D4D1B" w14:textId="77777777" w:rsidR="0043674D" w:rsidRPr="0043674D" w:rsidRDefault="0043674D" w:rsidP="0043674D">
      <w:pPr>
        <w:pStyle w:val="ListParagraph"/>
        <w:tabs>
          <w:tab w:val="left" w:pos="0"/>
        </w:tabs>
        <w:spacing w:after="0" w:line="360" w:lineRule="auto"/>
        <w:ind w:left="0"/>
        <w:rPr>
          <w:rFonts w:ascii="Times New Roman" w:hAnsi="Times New Roman"/>
          <w:b/>
          <w:sz w:val="28"/>
          <w:szCs w:val="28"/>
        </w:rPr>
      </w:pPr>
    </w:p>
    <w:p w14:paraId="70D7F6DC" w14:textId="13D8D79C" w:rsidR="005275EC" w:rsidRPr="003258D1" w:rsidRDefault="0043674D" w:rsidP="003258D1">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point is validly taken though that the procedure adopted by the applicant at the launch of the application generally was somewhat clumsy and quite unconventional.  </w:t>
      </w:r>
      <w:r w:rsidR="003258D1">
        <w:rPr>
          <w:rFonts w:ascii="Times New Roman" w:hAnsi="Times New Roman"/>
          <w:sz w:val="28"/>
          <w:szCs w:val="28"/>
        </w:rPr>
        <w:t>Of course,</w:t>
      </w:r>
      <w:r>
        <w:rPr>
          <w:rFonts w:ascii="Times New Roman" w:hAnsi="Times New Roman"/>
          <w:sz w:val="28"/>
          <w:szCs w:val="28"/>
        </w:rPr>
        <w:t xml:space="preserve"> the substantive application for eviction was not launched on an </w:t>
      </w:r>
      <w:r w:rsidRPr="0043674D">
        <w:rPr>
          <w:rFonts w:ascii="Times New Roman" w:hAnsi="Times New Roman"/>
          <w:i/>
          <w:sz w:val="28"/>
          <w:szCs w:val="28"/>
        </w:rPr>
        <w:t>ex parte</w:t>
      </w:r>
      <w:r>
        <w:rPr>
          <w:rFonts w:ascii="Times New Roman" w:hAnsi="Times New Roman"/>
          <w:sz w:val="28"/>
          <w:szCs w:val="28"/>
        </w:rPr>
        <w:t xml:space="preserve"> basis although the impression is given that it was and the section 4 (2) application, although subsidiary to the main application, was presented as the primary application whereas it was self-evidently </w:t>
      </w:r>
      <w:r w:rsidR="003258D1">
        <w:rPr>
          <w:rFonts w:ascii="Times New Roman" w:hAnsi="Times New Roman"/>
          <w:sz w:val="28"/>
          <w:szCs w:val="28"/>
        </w:rPr>
        <w:t xml:space="preserve">merely </w:t>
      </w:r>
      <w:r>
        <w:rPr>
          <w:rFonts w:ascii="Times New Roman" w:hAnsi="Times New Roman"/>
          <w:sz w:val="28"/>
          <w:szCs w:val="28"/>
        </w:rPr>
        <w:t>interlocutory</w:t>
      </w:r>
      <w:r w:rsidR="003258D1">
        <w:rPr>
          <w:rFonts w:ascii="Times New Roman" w:hAnsi="Times New Roman"/>
          <w:sz w:val="28"/>
          <w:szCs w:val="28"/>
        </w:rPr>
        <w:t xml:space="preserve"> in nature</w:t>
      </w:r>
      <w:r>
        <w:rPr>
          <w:rFonts w:ascii="Times New Roman" w:hAnsi="Times New Roman"/>
          <w:sz w:val="28"/>
          <w:szCs w:val="28"/>
        </w:rPr>
        <w:t>.  The main application is also deceptively referred to as the applicant’s notice in terms of section 4 (1) of the PIE Act, whereas it contained all the elements of a Form 2 (a) notice in compliance with the provisions of rule 6 and properly directed the respondents as to what they should do and when if they wished to oppose the substantive relief sought.  The “section 4 (1) Notice” further directed the respondents as to what it was necessary for them to do ostensibly in compliance with the provisions of section 4 (5) of the PIE Act.  Indeed, despite the strange format</w:t>
      </w:r>
      <w:r w:rsidR="003258D1">
        <w:rPr>
          <w:rFonts w:ascii="Times New Roman" w:hAnsi="Times New Roman"/>
          <w:sz w:val="28"/>
          <w:szCs w:val="28"/>
        </w:rPr>
        <w:t xml:space="preserve"> of the application adopted, </w:t>
      </w:r>
      <w:r w:rsidR="00D16EA6" w:rsidRPr="003258D1">
        <w:rPr>
          <w:rFonts w:ascii="Times New Roman" w:hAnsi="Times New Roman"/>
          <w:color w:val="000000"/>
          <w:sz w:val="28"/>
          <w:szCs w:val="28"/>
          <w:lang w:eastAsia="en-ZA"/>
        </w:rPr>
        <w:t xml:space="preserve">I take Mr. Pincus’ point that but for the fact that the respondents </w:t>
      </w:r>
      <w:r w:rsidR="003258D1">
        <w:rPr>
          <w:rFonts w:ascii="Times New Roman" w:hAnsi="Times New Roman"/>
          <w:color w:val="000000"/>
          <w:sz w:val="28"/>
          <w:szCs w:val="28"/>
          <w:lang w:eastAsia="en-ZA"/>
        </w:rPr>
        <w:t xml:space="preserve">had </w:t>
      </w:r>
      <w:r w:rsidR="00D16EA6" w:rsidRPr="003258D1">
        <w:rPr>
          <w:rFonts w:ascii="Times New Roman" w:hAnsi="Times New Roman"/>
          <w:color w:val="000000"/>
          <w:sz w:val="28"/>
          <w:szCs w:val="28"/>
          <w:lang w:eastAsia="en-ZA"/>
        </w:rPr>
        <w:t xml:space="preserve">indicated their intention to </w:t>
      </w:r>
      <w:r w:rsidR="00D16EA6" w:rsidRPr="003258D1">
        <w:rPr>
          <w:rFonts w:ascii="Times New Roman" w:hAnsi="Times New Roman"/>
          <w:color w:val="000000"/>
          <w:sz w:val="28"/>
          <w:szCs w:val="28"/>
          <w:lang w:eastAsia="en-ZA"/>
        </w:rPr>
        <w:lastRenderedPageBreak/>
        <w:t xml:space="preserve">oppose, the first </w:t>
      </w:r>
      <w:r w:rsidRPr="003258D1">
        <w:rPr>
          <w:rFonts w:ascii="Times New Roman" w:hAnsi="Times New Roman"/>
          <w:color w:val="000000"/>
          <w:sz w:val="28"/>
          <w:szCs w:val="28"/>
          <w:lang w:eastAsia="en-ZA"/>
        </w:rPr>
        <w:t>not</w:t>
      </w:r>
      <w:r w:rsidR="00D16EA6" w:rsidRPr="003258D1">
        <w:rPr>
          <w:rFonts w:ascii="Times New Roman" w:hAnsi="Times New Roman"/>
          <w:color w:val="000000"/>
          <w:sz w:val="28"/>
          <w:szCs w:val="28"/>
          <w:lang w:eastAsia="en-ZA"/>
        </w:rPr>
        <w:t xml:space="preserve">ice </w:t>
      </w:r>
      <w:r w:rsidRPr="003258D1">
        <w:rPr>
          <w:rFonts w:ascii="Times New Roman" w:hAnsi="Times New Roman"/>
          <w:color w:val="000000"/>
          <w:sz w:val="28"/>
          <w:szCs w:val="28"/>
          <w:lang w:eastAsia="en-ZA"/>
        </w:rPr>
        <w:t>might</w:t>
      </w:r>
      <w:r w:rsidR="00D16EA6" w:rsidRPr="003258D1">
        <w:rPr>
          <w:rFonts w:ascii="Times New Roman" w:hAnsi="Times New Roman"/>
          <w:color w:val="000000"/>
          <w:sz w:val="28"/>
          <w:szCs w:val="28"/>
          <w:lang w:eastAsia="en-ZA"/>
        </w:rPr>
        <w:t xml:space="preserve"> have sufficed</w:t>
      </w:r>
      <w:r w:rsidR="0073500A" w:rsidRPr="003258D1">
        <w:rPr>
          <w:rFonts w:ascii="Times New Roman" w:hAnsi="Times New Roman"/>
          <w:color w:val="000000"/>
          <w:sz w:val="28"/>
          <w:szCs w:val="28"/>
          <w:lang w:eastAsia="en-ZA"/>
        </w:rPr>
        <w:t xml:space="preserve"> and met the procedural requirements of the PIE Act</w:t>
      </w:r>
      <w:r w:rsidR="00D16EA6" w:rsidRPr="003258D1">
        <w:rPr>
          <w:rFonts w:ascii="Times New Roman" w:hAnsi="Times New Roman"/>
          <w:color w:val="000000"/>
          <w:sz w:val="28"/>
          <w:szCs w:val="28"/>
          <w:lang w:eastAsia="en-ZA"/>
        </w:rPr>
        <w:t>.</w:t>
      </w:r>
    </w:p>
    <w:p w14:paraId="282656A7" w14:textId="77777777" w:rsidR="005275EC" w:rsidRPr="005275EC" w:rsidRDefault="005275EC" w:rsidP="00D46D76">
      <w:pPr>
        <w:pStyle w:val="ListParagraph"/>
        <w:spacing w:after="0" w:line="360" w:lineRule="auto"/>
        <w:rPr>
          <w:rFonts w:ascii="Times New Roman" w:hAnsi="Times New Roman"/>
          <w:color w:val="000000"/>
          <w:sz w:val="28"/>
          <w:szCs w:val="28"/>
          <w:lang w:eastAsia="en-ZA"/>
        </w:rPr>
      </w:pPr>
    </w:p>
    <w:p w14:paraId="61D6FA8A" w14:textId="0132A0C1" w:rsidR="005275EC" w:rsidRDefault="00281EB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lang w:eastAsia="en-ZA"/>
        </w:rPr>
        <w:t>In foreshadowing that a second notice would be sought</w:t>
      </w:r>
      <w:r w:rsidR="00D16EA6">
        <w:rPr>
          <w:rFonts w:ascii="Times New Roman" w:hAnsi="Times New Roman"/>
          <w:color w:val="000000"/>
          <w:sz w:val="28"/>
          <w:szCs w:val="28"/>
          <w:lang w:eastAsia="en-ZA"/>
        </w:rPr>
        <w:t xml:space="preserve"> and served in circumstances where the respondent</w:t>
      </w:r>
      <w:r w:rsidR="0024105F">
        <w:rPr>
          <w:rFonts w:ascii="Times New Roman" w:hAnsi="Times New Roman"/>
          <w:color w:val="000000"/>
          <w:sz w:val="28"/>
          <w:szCs w:val="28"/>
          <w:lang w:eastAsia="en-ZA"/>
        </w:rPr>
        <w:t>s</w:t>
      </w:r>
      <w:r w:rsidR="0043674D">
        <w:rPr>
          <w:rFonts w:ascii="Times New Roman" w:hAnsi="Times New Roman"/>
          <w:color w:val="000000"/>
          <w:sz w:val="28"/>
          <w:szCs w:val="28"/>
          <w:lang w:eastAsia="en-ZA"/>
        </w:rPr>
        <w:t xml:space="preserve"> had complained that the first notice suffered from certain defects</w:t>
      </w:r>
      <w:r w:rsidR="00F70E20">
        <w:rPr>
          <w:rFonts w:ascii="Times New Roman" w:hAnsi="Times New Roman"/>
          <w:color w:val="000000"/>
          <w:sz w:val="28"/>
          <w:szCs w:val="28"/>
          <w:lang w:eastAsia="en-ZA"/>
        </w:rPr>
        <w:t>,</w:t>
      </w:r>
      <w:r w:rsidRPr="005275EC">
        <w:rPr>
          <w:rFonts w:ascii="Times New Roman" w:hAnsi="Times New Roman"/>
          <w:color w:val="000000"/>
          <w:sz w:val="28"/>
          <w:szCs w:val="28"/>
          <w:lang w:eastAsia="en-ZA"/>
        </w:rPr>
        <w:t xml:space="preserve"> I can </w:t>
      </w:r>
      <w:r w:rsidR="003258D1">
        <w:rPr>
          <w:rFonts w:ascii="Times New Roman" w:hAnsi="Times New Roman"/>
          <w:color w:val="000000"/>
          <w:sz w:val="28"/>
          <w:szCs w:val="28"/>
          <w:lang w:eastAsia="en-ZA"/>
        </w:rPr>
        <w:t>appreciate</w:t>
      </w:r>
      <w:r w:rsidRPr="005275EC">
        <w:rPr>
          <w:rFonts w:ascii="Times New Roman" w:hAnsi="Times New Roman"/>
          <w:color w:val="000000"/>
          <w:sz w:val="28"/>
          <w:szCs w:val="28"/>
          <w:lang w:eastAsia="en-ZA"/>
        </w:rPr>
        <w:t xml:space="preserve"> to</w:t>
      </w:r>
      <w:r w:rsidR="00DD3130">
        <w:rPr>
          <w:rFonts w:ascii="Times New Roman" w:hAnsi="Times New Roman"/>
          <w:color w:val="000000"/>
          <w:sz w:val="28"/>
          <w:szCs w:val="28"/>
          <w:lang w:eastAsia="en-ZA"/>
        </w:rPr>
        <w:t>o</w:t>
      </w:r>
      <w:r w:rsidRPr="005275EC">
        <w:rPr>
          <w:rFonts w:ascii="Times New Roman" w:hAnsi="Times New Roman"/>
          <w:color w:val="000000"/>
          <w:sz w:val="28"/>
          <w:szCs w:val="28"/>
          <w:lang w:eastAsia="en-ZA"/>
        </w:rPr>
        <w:t xml:space="preserve"> how this would </w:t>
      </w:r>
      <w:r w:rsidR="0073500A">
        <w:rPr>
          <w:rFonts w:ascii="Times New Roman" w:hAnsi="Times New Roman"/>
          <w:color w:val="000000"/>
          <w:sz w:val="28"/>
          <w:szCs w:val="28"/>
          <w:lang w:eastAsia="en-ZA"/>
        </w:rPr>
        <w:t xml:space="preserve">have </w:t>
      </w:r>
      <w:r w:rsidRPr="005275EC">
        <w:rPr>
          <w:rFonts w:ascii="Times New Roman" w:hAnsi="Times New Roman"/>
          <w:color w:val="000000"/>
          <w:sz w:val="28"/>
          <w:szCs w:val="28"/>
          <w:lang w:eastAsia="en-ZA"/>
        </w:rPr>
        <w:t>seem</w:t>
      </w:r>
      <w:r w:rsidR="0073500A">
        <w:rPr>
          <w:rFonts w:ascii="Times New Roman" w:hAnsi="Times New Roman"/>
          <w:color w:val="000000"/>
          <w:sz w:val="28"/>
          <w:szCs w:val="28"/>
          <w:lang w:eastAsia="en-ZA"/>
        </w:rPr>
        <w:t>ed</w:t>
      </w:r>
      <w:r w:rsidRPr="005275EC">
        <w:rPr>
          <w:rFonts w:ascii="Times New Roman" w:hAnsi="Times New Roman"/>
          <w:color w:val="000000"/>
          <w:sz w:val="28"/>
          <w:szCs w:val="28"/>
          <w:lang w:eastAsia="en-ZA"/>
        </w:rPr>
        <w:t xml:space="preserve"> tantamount to</w:t>
      </w:r>
      <w:r w:rsidR="0024105F">
        <w:rPr>
          <w:rFonts w:ascii="Times New Roman" w:hAnsi="Times New Roman"/>
          <w:color w:val="000000"/>
          <w:sz w:val="28"/>
          <w:szCs w:val="28"/>
          <w:lang w:eastAsia="en-ZA"/>
        </w:rPr>
        <w:t xml:space="preserve"> an acceptance by</w:t>
      </w:r>
      <w:r w:rsidRPr="005275EC">
        <w:rPr>
          <w:rFonts w:ascii="Times New Roman" w:hAnsi="Times New Roman"/>
          <w:color w:val="000000"/>
          <w:sz w:val="28"/>
          <w:szCs w:val="28"/>
          <w:lang w:eastAsia="en-ZA"/>
        </w:rPr>
        <w:t xml:space="preserve"> the applicant </w:t>
      </w:r>
      <w:r w:rsidR="0024105F">
        <w:rPr>
          <w:rFonts w:ascii="Times New Roman" w:hAnsi="Times New Roman"/>
          <w:color w:val="000000"/>
          <w:sz w:val="28"/>
          <w:szCs w:val="28"/>
          <w:lang w:eastAsia="en-ZA"/>
        </w:rPr>
        <w:t>that it had come up short</w:t>
      </w:r>
      <w:r w:rsidRPr="005275EC">
        <w:rPr>
          <w:rFonts w:ascii="Times New Roman" w:hAnsi="Times New Roman"/>
          <w:color w:val="000000"/>
          <w:sz w:val="28"/>
          <w:szCs w:val="28"/>
          <w:lang w:eastAsia="en-ZA"/>
        </w:rPr>
        <w:t xml:space="preserve">, but these steps taken are </w:t>
      </w:r>
      <w:r w:rsidR="001E0992">
        <w:rPr>
          <w:rFonts w:ascii="Times New Roman" w:hAnsi="Times New Roman"/>
          <w:color w:val="000000"/>
          <w:sz w:val="28"/>
          <w:szCs w:val="28"/>
          <w:lang w:eastAsia="en-ZA"/>
        </w:rPr>
        <w:t xml:space="preserve">merely </w:t>
      </w:r>
      <w:r w:rsidRPr="005275EC">
        <w:rPr>
          <w:rFonts w:ascii="Times New Roman" w:hAnsi="Times New Roman"/>
          <w:color w:val="000000"/>
          <w:sz w:val="28"/>
          <w:szCs w:val="28"/>
          <w:lang w:eastAsia="en-ZA"/>
        </w:rPr>
        <w:t xml:space="preserve">formal </w:t>
      </w:r>
      <w:r w:rsidR="001E0992">
        <w:rPr>
          <w:rFonts w:ascii="Times New Roman" w:hAnsi="Times New Roman"/>
          <w:color w:val="000000"/>
          <w:sz w:val="28"/>
          <w:szCs w:val="28"/>
          <w:lang w:eastAsia="en-ZA"/>
        </w:rPr>
        <w:t>and ancillary to the process and as long as the applicant ultimately</w:t>
      </w:r>
      <w:r w:rsidR="00556500">
        <w:rPr>
          <w:rFonts w:ascii="Times New Roman" w:hAnsi="Times New Roman"/>
          <w:color w:val="000000"/>
          <w:sz w:val="28"/>
          <w:szCs w:val="28"/>
          <w:lang w:eastAsia="en-ZA"/>
        </w:rPr>
        <w:t xml:space="preserve"> gives</w:t>
      </w:r>
      <w:r w:rsidR="001E0992">
        <w:rPr>
          <w:rFonts w:ascii="Times New Roman" w:hAnsi="Times New Roman"/>
          <w:color w:val="000000"/>
          <w:sz w:val="28"/>
          <w:szCs w:val="28"/>
          <w:lang w:eastAsia="en-ZA"/>
        </w:rPr>
        <w:t xml:space="preserve"> the required notice fourteen days before the hearing</w:t>
      </w:r>
      <w:r w:rsidR="0024105F">
        <w:rPr>
          <w:rFonts w:ascii="Times New Roman" w:hAnsi="Times New Roman"/>
          <w:color w:val="000000"/>
          <w:sz w:val="28"/>
          <w:szCs w:val="28"/>
          <w:lang w:eastAsia="en-ZA"/>
        </w:rPr>
        <w:t xml:space="preserve"> (after seeking the court’s leave as it did ultimately)</w:t>
      </w:r>
      <w:r w:rsidR="001E0992">
        <w:rPr>
          <w:rFonts w:ascii="Times New Roman" w:hAnsi="Times New Roman"/>
          <w:color w:val="000000"/>
          <w:sz w:val="28"/>
          <w:szCs w:val="28"/>
          <w:lang w:eastAsia="en-ZA"/>
        </w:rPr>
        <w:t xml:space="preserve">, it </w:t>
      </w:r>
      <w:r w:rsidR="00556500">
        <w:rPr>
          <w:rFonts w:ascii="Times New Roman" w:hAnsi="Times New Roman"/>
          <w:color w:val="000000"/>
          <w:sz w:val="28"/>
          <w:szCs w:val="28"/>
          <w:lang w:eastAsia="en-ZA"/>
        </w:rPr>
        <w:t>would in my view meet</w:t>
      </w:r>
      <w:r w:rsidR="001E0992">
        <w:rPr>
          <w:rFonts w:ascii="Times New Roman" w:hAnsi="Times New Roman"/>
          <w:color w:val="000000"/>
          <w:sz w:val="28"/>
          <w:szCs w:val="28"/>
          <w:lang w:eastAsia="en-ZA"/>
        </w:rPr>
        <w:t xml:space="preserve"> the necessary procedural requirements postulated by section 4 (2).</w:t>
      </w:r>
    </w:p>
    <w:p w14:paraId="0F5670FA" w14:textId="77777777" w:rsidR="005275EC" w:rsidRPr="005275EC" w:rsidRDefault="005275EC" w:rsidP="00D46D76">
      <w:pPr>
        <w:pStyle w:val="ListParagraph"/>
        <w:spacing w:after="0" w:line="360" w:lineRule="auto"/>
        <w:rPr>
          <w:rFonts w:ascii="Times New Roman" w:hAnsi="Times New Roman"/>
          <w:color w:val="000000"/>
          <w:sz w:val="28"/>
          <w:szCs w:val="28"/>
          <w:lang w:eastAsia="en-ZA"/>
        </w:rPr>
      </w:pPr>
    </w:p>
    <w:p w14:paraId="0238EF6E" w14:textId="2F254566" w:rsidR="005275EC" w:rsidRDefault="00281EB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5275EC">
        <w:rPr>
          <w:rFonts w:ascii="Times New Roman" w:hAnsi="Times New Roman"/>
          <w:color w:val="000000"/>
          <w:sz w:val="28"/>
          <w:szCs w:val="28"/>
          <w:lang w:eastAsia="en-ZA"/>
        </w:rPr>
        <w:t xml:space="preserve">This issue of </w:t>
      </w:r>
      <w:r w:rsidR="00172DF3">
        <w:rPr>
          <w:rFonts w:ascii="Times New Roman" w:hAnsi="Times New Roman"/>
          <w:color w:val="000000"/>
          <w:sz w:val="28"/>
          <w:szCs w:val="28"/>
          <w:lang w:eastAsia="en-ZA"/>
        </w:rPr>
        <w:t>two</w:t>
      </w:r>
      <w:r w:rsidRPr="005275EC">
        <w:rPr>
          <w:rFonts w:ascii="Times New Roman" w:hAnsi="Times New Roman"/>
          <w:color w:val="000000"/>
          <w:sz w:val="28"/>
          <w:szCs w:val="28"/>
          <w:lang w:eastAsia="en-ZA"/>
        </w:rPr>
        <w:t xml:space="preserve"> costs orders is however problematic.  Whilst </w:t>
      </w:r>
      <w:r w:rsidR="0024105F">
        <w:rPr>
          <w:rFonts w:ascii="Times New Roman" w:hAnsi="Times New Roman"/>
          <w:color w:val="000000"/>
          <w:sz w:val="28"/>
          <w:szCs w:val="28"/>
          <w:lang w:eastAsia="en-ZA"/>
        </w:rPr>
        <w:t>the first notice m</w:t>
      </w:r>
      <w:r w:rsidR="003258D1">
        <w:rPr>
          <w:rFonts w:ascii="Times New Roman" w:hAnsi="Times New Roman"/>
          <w:color w:val="000000"/>
          <w:sz w:val="28"/>
          <w:szCs w:val="28"/>
          <w:lang w:eastAsia="en-ZA"/>
        </w:rPr>
        <w:t>ight</w:t>
      </w:r>
      <w:r w:rsidR="0024105F">
        <w:rPr>
          <w:rFonts w:ascii="Times New Roman" w:hAnsi="Times New Roman"/>
          <w:color w:val="000000"/>
          <w:sz w:val="28"/>
          <w:szCs w:val="28"/>
          <w:lang w:eastAsia="en-ZA"/>
        </w:rPr>
        <w:t xml:space="preserve"> at a push have sufficed, assuming that the application had proceeded unopposed, the second application ostensibly proved necessary in </w:t>
      </w:r>
      <w:r w:rsidRPr="005275EC">
        <w:rPr>
          <w:rFonts w:ascii="Times New Roman" w:hAnsi="Times New Roman"/>
          <w:color w:val="000000"/>
          <w:sz w:val="28"/>
          <w:szCs w:val="28"/>
          <w:lang w:eastAsia="en-ZA"/>
        </w:rPr>
        <w:t>circumstances</w:t>
      </w:r>
      <w:r w:rsidR="0024105F">
        <w:rPr>
          <w:rFonts w:ascii="Times New Roman" w:hAnsi="Times New Roman"/>
          <w:color w:val="000000"/>
          <w:sz w:val="28"/>
          <w:szCs w:val="28"/>
          <w:lang w:eastAsia="en-ZA"/>
        </w:rPr>
        <w:t xml:space="preserve"> where </w:t>
      </w:r>
      <w:r w:rsidRPr="005275EC">
        <w:rPr>
          <w:rFonts w:ascii="Times New Roman" w:hAnsi="Times New Roman"/>
          <w:color w:val="000000"/>
          <w:sz w:val="28"/>
          <w:szCs w:val="28"/>
          <w:lang w:eastAsia="en-ZA"/>
        </w:rPr>
        <w:t xml:space="preserve">the applicant must have reasonably foreseen that there would be pushback and opposition forthcoming from the first respondent who up to that point had strenuously defended his </w:t>
      </w:r>
      <w:r w:rsidR="00172DF3">
        <w:rPr>
          <w:rFonts w:ascii="Times New Roman" w:hAnsi="Times New Roman"/>
          <w:color w:val="000000"/>
          <w:sz w:val="28"/>
          <w:szCs w:val="28"/>
          <w:lang w:eastAsia="en-ZA"/>
        </w:rPr>
        <w:t>place as Rabbi in the community</w:t>
      </w:r>
      <w:r w:rsidR="0024105F">
        <w:rPr>
          <w:rFonts w:ascii="Times New Roman" w:hAnsi="Times New Roman"/>
          <w:color w:val="000000"/>
          <w:sz w:val="28"/>
          <w:szCs w:val="28"/>
          <w:lang w:eastAsia="en-ZA"/>
        </w:rPr>
        <w:t xml:space="preserve">.  It </w:t>
      </w:r>
      <w:r w:rsidR="00172DF3">
        <w:rPr>
          <w:rFonts w:ascii="Times New Roman" w:hAnsi="Times New Roman"/>
          <w:color w:val="000000"/>
          <w:sz w:val="28"/>
          <w:szCs w:val="28"/>
          <w:lang w:eastAsia="en-ZA"/>
        </w:rPr>
        <w:t>seems unfair</w:t>
      </w:r>
      <w:r w:rsidR="0024105F">
        <w:rPr>
          <w:rFonts w:ascii="Times New Roman" w:hAnsi="Times New Roman"/>
          <w:color w:val="000000"/>
          <w:sz w:val="28"/>
          <w:szCs w:val="28"/>
          <w:lang w:eastAsia="en-ZA"/>
        </w:rPr>
        <w:t xml:space="preserve"> therefore</w:t>
      </w:r>
      <w:r w:rsidR="00172DF3">
        <w:rPr>
          <w:rFonts w:ascii="Times New Roman" w:hAnsi="Times New Roman"/>
          <w:color w:val="000000"/>
          <w:sz w:val="28"/>
          <w:szCs w:val="28"/>
          <w:lang w:eastAsia="en-ZA"/>
        </w:rPr>
        <w:t xml:space="preserve"> to mulct </w:t>
      </w:r>
      <w:r w:rsidR="001F109F">
        <w:rPr>
          <w:rFonts w:ascii="Times New Roman" w:hAnsi="Times New Roman"/>
          <w:color w:val="000000"/>
          <w:sz w:val="28"/>
          <w:szCs w:val="28"/>
          <w:lang w:eastAsia="en-ZA"/>
        </w:rPr>
        <w:t>the respondents</w:t>
      </w:r>
      <w:r w:rsidR="00172DF3">
        <w:rPr>
          <w:rFonts w:ascii="Times New Roman" w:hAnsi="Times New Roman"/>
          <w:color w:val="000000"/>
          <w:sz w:val="28"/>
          <w:szCs w:val="28"/>
          <w:lang w:eastAsia="en-ZA"/>
        </w:rPr>
        <w:t xml:space="preserve"> with the</w:t>
      </w:r>
      <w:r w:rsidR="00F70E20">
        <w:rPr>
          <w:rFonts w:ascii="Times New Roman" w:hAnsi="Times New Roman"/>
          <w:color w:val="000000"/>
          <w:sz w:val="28"/>
          <w:szCs w:val="28"/>
          <w:lang w:eastAsia="en-ZA"/>
        </w:rPr>
        <w:t xml:space="preserve"> </w:t>
      </w:r>
      <w:r w:rsidR="00172DF3">
        <w:rPr>
          <w:rFonts w:ascii="Times New Roman" w:hAnsi="Times New Roman"/>
          <w:color w:val="000000"/>
          <w:sz w:val="28"/>
          <w:szCs w:val="28"/>
          <w:lang w:eastAsia="en-ZA"/>
        </w:rPr>
        <w:t xml:space="preserve">costs of </w:t>
      </w:r>
      <w:r w:rsidR="00F70E20">
        <w:rPr>
          <w:rFonts w:ascii="Times New Roman" w:hAnsi="Times New Roman"/>
          <w:color w:val="000000"/>
          <w:sz w:val="28"/>
          <w:szCs w:val="28"/>
          <w:lang w:eastAsia="en-ZA"/>
        </w:rPr>
        <w:t>two such notices</w:t>
      </w:r>
      <w:r w:rsidR="0024105F">
        <w:rPr>
          <w:rFonts w:ascii="Times New Roman" w:hAnsi="Times New Roman"/>
          <w:color w:val="000000"/>
          <w:sz w:val="28"/>
          <w:szCs w:val="28"/>
          <w:lang w:eastAsia="en-ZA"/>
        </w:rPr>
        <w:t xml:space="preserve">.  </w:t>
      </w:r>
      <w:r w:rsidR="00673E6A">
        <w:rPr>
          <w:rFonts w:ascii="Times New Roman" w:hAnsi="Times New Roman"/>
          <w:color w:val="000000"/>
          <w:sz w:val="28"/>
          <w:szCs w:val="28"/>
          <w:lang w:eastAsia="en-ZA"/>
        </w:rPr>
        <w:t>In my</w:t>
      </w:r>
      <w:r w:rsidR="0024105F">
        <w:rPr>
          <w:rFonts w:ascii="Times New Roman" w:hAnsi="Times New Roman"/>
          <w:color w:val="000000"/>
          <w:sz w:val="28"/>
          <w:szCs w:val="28"/>
          <w:lang w:eastAsia="en-ZA"/>
        </w:rPr>
        <w:t xml:space="preserve"> view it seems more appropriate </w:t>
      </w:r>
      <w:r w:rsidR="00673E6A">
        <w:rPr>
          <w:rFonts w:ascii="Times New Roman" w:hAnsi="Times New Roman"/>
          <w:color w:val="000000"/>
          <w:sz w:val="28"/>
          <w:szCs w:val="28"/>
          <w:lang w:eastAsia="en-ZA"/>
        </w:rPr>
        <w:t xml:space="preserve">in </w:t>
      </w:r>
      <w:r w:rsidR="0024105F">
        <w:rPr>
          <w:rFonts w:ascii="Times New Roman" w:hAnsi="Times New Roman"/>
          <w:color w:val="000000"/>
          <w:sz w:val="28"/>
          <w:szCs w:val="28"/>
          <w:lang w:eastAsia="en-ZA"/>
        </w:rPr>
        <w:t>an</w:t>
      </w:r>
      <w:r w:rsidR="00673E6A">
        <w:rPr>
          <w:rFonts w:ascii="Times New Roman" w:hAnsi="Times New Roman"/>
          <w:color w:val="000000"/>
          <w:sz w:val="28"/>
          <w:szCs w:val="28"/>
          <w:lang w:eastAsia="en-ZA"/>
        </w:rPr>
        <w:t xml:space="preserve"> interlocutory application</w:t>
      </w:r>
      <w:r w:rsidR="0024105F">
        <w:rPr>
          <w:rFonts w:ascii="Times New Roman" w:hAnsi="Times New Roman"/>
          <w:color w:val="000000"/>
          <w:sz w:val="28"/>
          <w:szCs w:val="28"/>
          <w:lang w:eastAsia="en-ZA"/>
        </w:rPr>
        <w:t xml:space="preserve"> in terms of section 4 (2)</w:t>
      </w:r>
      <w:r w:rsidR="00673E6A">
        <w:rPr>
          <w:rFonts w:ascii="Times New Roman" w:hAnsi="Times New Roman"/>
          <w:color w:val="000000"/>
          <w:sz w:val="28"/>
          <w:szCs w:val="28"/>
          <w:lang w:eastAsia="en-ZA"/>
        </w:rPr>
        <w:t xml:space="preserve"> to ask that the costs occasioned by obtaining the necessary authorization of the court be reserved for determination at the hearing of the eviction application.</w:t>
      </w:r>
      <w:r w:rsidR="00D901A7">
        <w:rPr>
          <w:rStyle w:val="FootnoteReference"/>
          <w:rFonts w:ascii="Times New Roman" w:hAnsi="Times New Roman"/>
          <w:color w:val="000000"/>
          <w:sz w:val="28"/>
          <w:szCs w:val="28"/>
          <w:lang w:eastAsia="en-ZA"/>
        </w:rPr>
        <w:footnoteReference w:id="61"/>
      </w:r>
    </w:p>
    <w:p w14:paraId="5D4602CF" w14:textId="77777777" w:rsidR="005275EC" w:rsidRPr="005275EC" w:rsidRDefault="005275EC" w:rsidP="00D46D76">
      <w:pPr>
        <w:pStyle w:val="ListParagraph"/>
        <w:spacing w:after="0" w:line="360" w:lineRule="auto"/>
        <w:rPr>
          <w:rFonts w:ascii="Times New Roman" w:hAnsi="Times New Roman"/>
          <w:color w:val="000000"/>
          <w:sz w:val="28"/>
          <w:szCs w:val="28"/>
          <w:lang w:eastAsia="en-ZA"/>
        </w:rPr>
      </w:pPr>
    </w:p>
    <w:p w14:paraId="61E6B3B7" w14:textId="4310BADF" w:rsidR="00172DF3" w:rsidRPr="00172DF3" w:rsidRDefault="0055650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lang w:eastAsia="en-ZA"/>
        </w:rPr>
        <w:t>A</w:t>
      </w:r>
      <w:r w:rsidR="001D3EDB" w:rsidRPr="005275EC">
        <w:rPr>
          <w:rFonts w:ascii="Times New Roman" w:hAnsi="Times New Roman"/>
          <w:color w:val="000000"/>
          <w:sz w:val="28"/>
          <w:szCs w:val="28"/>
          <w:lang w:eastAsia="en-ZA"/>
        </w:rPr>
        <w:t>lthough</w:t>
      </w:r>
      <w:r w:rsidR="0024105F">
        <w:rPr>
          <w:rFonts w:ascii="Times New Roman" w:hAnsi="Times New Roman"/>
          <w:color w:val="000000"/>
          <w:sz w:val="28"/>
          <w:szCs w:val="28"/>
          <w:lang w:eastAsia="en-ZA"/>
        </w:rPr>
        <w:t xml:space="preserve"> the provisions of section 4 (2) are peremptory, it is a trite principle </w:t>
      </w:r>
      <w:r w:rsidR="00E93F34">
        <w:rPr>
          <w:rFonts w:ascii="Times New Roman" w:hAnsi="Times New Roman"/>
          <w:color w:val="000000"/>
          <w:sz w:val="28"/>
          <w:szCs w:val="28"/>
          <w:lang w:eastAsia="en-ZA"/>
        </w:rPr>
        <w:t xml:space="preserve">that </w:t>
      </w:r>
      <w:r w:rsidR="001D3EDB" w:rsidRPr="005275EC">
        <w:rPr>
          <w:rFonts w:ascii="Times New Roman" w:hAnsi="Times New Roman"/>
          <w:color w:val="000000"/>
          <w:sz w:val="28"/>
          <w:szCs w:val="28"/>
          <w:lang w:eastAsia="en-ZA"/>
        </w:rPr>
        <w:t>not every deviation from the literal prescription is fatal. The question remains whether, in spite of the defects, the objec</w:t>
      </w:r>
      <w:r w:rsidR="00D16EA6">
        <w:rPr>
          <w:rFonts w:ascii="Times New Roman" w:hAnsi="Times New Roman"/>
          <w:color w:val="000000"/>
          <w:sz w:val="28"/>
          <w:szCs w:val="28"/>
          <w:lang w:eastAsia="en-ZA"/>
        </w:rPr>
        <w:t xml:space="preserve">t of the statutory </w:t>
      </w:r>
      <w:r w:rsidR="00D16EA6">
        <w:rPr>
          <w:rFonts w:ascii="Times New Roman" w:hAnsi="Times New Roman"/>
          <w:color w:val="000000"/>
          <w:sz w:val="28"/>
          <w:szCs w:val="28"/>
          <w:lang w:eastAsia="en-ZA"/>
        </w:rPr>
        <w:lastRenderedPageBreak/>
        <w:t>provision has</w:t>
      </w:r>
      <w:r w:rsidR="001D3EDB" w:rsidRPr="005275EC">
        <w:rPr>
          <w:rFonts w:ascii="Times New Roman" w:hAnsi="Times New Roman"/>
          <w:color w:val="000000"/>
          <w:sz w:val="28"/>
          <w:szCs w:val="28"/>
          <w:lang w:eastAsia="en-ZA"/>
        </w:rPr>
        <w:t xml:space="preserve"> </w:t>
      </w:r>
      <w:r w:rsidR="003258D1">
        <w:rPr>
          <w:rFonts w:ascii="Times New Roman" w:hAnsi="Times New Roman"/>
          <w:color w:val="000000"/>
          <w:sz w:val="28"/>
          <w:szCs w:val="28"/>
          <w:lang w:eastAsia="en-ZA"/>
        </w:rPr>
        <w:t xml:space="preserve">in fact </w:t>
      </w:r>
      <w:r w:rsidR="001D3EDB" w:rsidRPr="005275EC">
        <w:rPr>
          <w:rFonts w:ascii="Times New Roman" w:hAnsi="Times New Roman"/>
          <w:color w:val="000000"/>
          <w:sz w:val="28"/>
          <w:szCs w:val="28"/>
          <w:lang w:eastAsia="en-ZA"/>
        </w:rPr>
        <w:t>been achieved.</w:t>
      </w:r>
      <w:r w:rsidR="00172DF3">
        <w:rPr>
          <w:rStyle w:val="FootnoteReference"/>
          <w:rFonts w:ascii="Times New Roman" w:hAnsi="Times New Roman"/>
          <w:color w:val="000000"/>
          <w:sz w:val="28"/>
          <w:szCs w:val="28"/>
          <w:lang w:eastAsia="en-ZA"/>
        </w:rPr>
        <w:footnoteReference w:id="62"/>
      </w:r>
      <w:r w:rsidR="001D3EDB" w:rsidRPr="005275EC">
        <w:rPr>
          <w:rFonts w:ascii="Times New Roman" w:hAnsi="Times New Roman"/>
          <w:color w:val="000000"/>
          <w:sz w:val="28"/>
          <w:szCs w:val="28"/>
          <w:lang w:eastAsia="en-ZA"/>
        </w:rPr>
        <w:t xml:space="preserve">  </w:t>
      </w:r>
      <w:r>
        <w:rPr>
          <w:rFonts w:ascii="Times New Roman" w:hAnsi="Times New Roman"/>
          <w:color w:val="000000"/>
          <w:sz w:val="28"/>
          <w:szCs w:val="28"/>
          <w:lang w:eastAsia="en-ZA"/>
        </w:rPr>
        <w:t>I have said above that I am satisfied</w:t>
      </w:r>
      <w:r w:rsidR="0024105F">
        <w:rPr>
          <w:rFonts w:ascii="Times New Roman" w:hAnsi="Times New Roman"/>
          <w:color w:val="000000"/>
          <w:sz w:val="28"/>
          <w:szCs w:val="28"/>
          <w:lang w:eastAsia="en-ZA"/>
        </w:rPr>
        <w:t xml:space="preserve"> that though unconventional, the applica</w:t>
      </w:r>
      <w:r w:rsidR="003258D1">
        <w:rPr>
          <w:rFonts w:ascii="Times New Roman" w:hAnsi="Times New Roman"/>
          <w:color w:val="000000"/>
          <w:sz w:val="28"/>
          <w:szCs w:val="28"/>
          <w:lang w:eastAsia="en-ZA"/>
        </w:rPr>
        <w:t>nt</w:t>
      </w:r>
      <w:r w:rsidR="0024105F">
        <w:rPr>
          <w:rFonts w:ascii="Times New Roman" w:hAnsi="Times New Roman"/>
          <w:color w:val="000000"/>
          <w:sz w:val="28"/>
          <w:szCs w:val="28"/>
          <w:lang w:eastAsia="en-ZA"/>
        </w:rPr>
        <w:t xml:space="preserve"> both afforded the respondents the opportunity to oppose the </w:t>
      </w:r>
      <w:r w:rsidR="00F93E9B">
        <w:rPr>
          <w:rFonts w:ascii="Times New Roman" w:hAnsi="Times New Roman"/>
          <w:color w:val="000000"/>
          <w:sz w:val="28"/>
          <w:szCs w:val="28"/>
          <w:lang w:eastAsia="en-ZA"/>
        </w:rPr>
        <w:t>substantive application and gave them the opportunity, well in time before the hearing, to state why a court should not evict them</w:t>
      </w:r>
      <w:r>
        <w:rPr>
          <w:rFonts w:ascii="Times New Roman" w:hAnsi="Times New Roman"/>
          <w:color w:val="000000"/>
          <w:sz w:val="28"/>
          <w:szCs w:val="28"/>
          <w:lang w:eastAsia="en-ZA"/>
        </w:rPr>
        <w:t>.</w:t>
      </w:r>
    </w:p>
    <w:p w14:paraId="6A894F44" w14:textId="77777777" w:rsidR="00172DF3" w:rsidRPr="00172DF3" w:rsidRDefault="00172DF3" w:rsidP="00D46D76">
      <w:pPr>
        <w:pStyle w:val="ListParagraph"/>
        <w:spacing w:after="0" w:line="360" w:lineRule="auto"/>
        <w:rPr>
          <w:rFonts w:ascii="Times New Roman" w:hAnsi="Times New Roman"/>
          <w:color w:val="000000"/>
          <w:sz w:val="28"/>
          <w:szCs w:val="28"/>
          <w:lang w:eastAsia="en-ZA"/>
        </w:rPr>
      </w:pPr>
    </w:p>
    <w:p w14:paraId="30B2D11A" w14:textId="77777777" w:rsidR="00880E36" w:rsidRDefault="00172DF3"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lang w:eastAsia="en-ZA"/>
        </w:rPr>
        <w:t>A</w:t>
      </w:r>
      <w:r w:rsidR="001D3EDB" w:rsidRPr="005275EC">
        <w:rPr>
          <w:rFonts w:ascii="Times New Roman" w:hAnsi="Times New Roman"/>
          <w:color w:val="000000"/>
          <w:sz w:val="28"/>
          <w:szCs w:val="28"/>
          <w:lang w:eastAsia="en-ZA"/>
        </w:rPr>
        <w:t xml:space="preserve"> court will </w:t>
      </w:r>
      <w:r>
        <w:rPr>
          <w:rFonts w:ascii="Times New Roman" w:hAnsi="Times New Roman"/>
          <w:color w:val="000000"/>
          <w:sz w:val="28"/>
          <w:szCs w:val="28"/>
          <w:lang w:eastAsia="en-ZA"/>
        </w:rPr>
        <w:t xml:space="preserve">be slow to </w:t>
      </w:r>
      <w:r w:rsidR="001D3EDB" w:rsidRPr="005275EC">
        <w:rPr>
          <w:rFonts w:ascii="Times New Roman" w:hAnsi="Times New Roman"/>
          <w:color w:val="000000"/>
          <w:sz w:val="28"/>
          <w:szCs w:val="28"/>
          <w:lang w:eastAsia="en-ZA"/>
        </w:rPr>
        <w:t xml:space="preserve">penalise an applicant </w:t>
      </w:r>
      <w:r w:rsidR="00E93F34">
        <w:rPr>
          <w:rFonts w:ascii="Times New Roman" w:hAnsi="Times New Roman"/>
          <w:color w:val="000000"/>
          <w:sz w:val="28"/>
          <w:szCs w:val="28"/>
          <w:lang w:eastAsia="en-ZA"/>
        </w:rPr>
        <w:t>where t</w:t>
      </w:r>
      <w:r w:rsidR="001D3EDB" w:rsidRPr="005275EC">
        <w:rPr>
          <w:rFonts w:ascii="Times New Roman" w:hAnsi="Times New Roman"/>
          <w:color w:val="000000"/>
          <w:sz w:val="28"/>
          <w:szCs w:val="28"/>
          <w:lang w:eastAsia="en-ZA"/>
        </w:rPr>
        <w:t xml:space="preserve">he notice served the </w:t>
      </w:r>
      <w:r w:rsidR="00E93F34">
        <w:rPr>
          <w:rFonts w:ascii="Times New Roman" w:hAnsi="Times New Roman"/>
          <w:color w:val="000000"/>
          <w:sz w:val="28"/>
          <w:szCs w:val="28"/>
          <w:lang w:eastAsia="en-ZA"/>
        </w:rPr>
        <w:t xml:space="preserve">requisite </w:t>
      </w:r>
      <w:r w:rsidR="00F93E9B">
        <w:rPr>
          <w:rFonts w:ascii="Times New Roman" w:hAnsi="Times New Roman"/>
          <w:color w:val="000000"/>
          <w:sz w:val="28"/>
          <w:szCs w:val="28"/>
          <w:lang w:eastAsia="en-ZA"/>
        </w:rPr>
        <w:t>purpose intended by the l</w:t>
      </w:r>
      <w:r w:rsidR="001D3EDB" w:rsidRPr="005275EC">
        <w:rPr>
          <w:rFonts w:ascii="Times New Roman" w:hAnsi="Times New Roman"/>
          <w:color w:val="000000"/>
          <w:sz w:val="28"/>
          <w:szCs w:val="28"/>
          <w:lang w:eastAsia="en-ZA"/>
        </w:rPr>
        <w:t xml:space="preserve">egislature. </w:t>
      </w:r>
      <w:r w:rsidR="00F93E9B">
        <w:rPr>
          <w:rFonts w:ascii="Times New Roman" w:hAnsi="Times New Roman"/>
          <w:color w:val="000000"/>
          <w:sz w:val="28"/>
          <w:szCs w:val="28"/>
          <w:lang w:eastAsia="en-ZA"/>
        </w:rPr>
        <w:t xml:space="preserve"> As</w:t>
      </w:r>
      <w:r w:rsidR="001D3EDB" w:rsidRPr="005275EC">
        <w:rPr>
          <w:rFonts w:ascii="Times New Roman" w:hAnsi="Times New Roman"/>
          <w:color w:val="000000"/>
          <w:sz w:val="28"/>
          <w:szCs w:val="28"/>
          <w:lang w:eastAsia="en-ZA"/>
        </w:rPr>
        <w:t xml:space="preserve"> was stated in </w:t>
      </w:r>
      <w:r w:rsidR="001D3EDB" w:rsidRPr="005275EC">
        <w:rPr>
          <w:rFonts w:ascii="Times New Roman" w:hAnsi="Times New Roman"/>
          <w:iCs/>
          <w:color w:val="000000"/>
          <w:sz w:val="28"/>
          <w:szCs w:val="28"/>
          <w:lang w:eastAsia="en-ZA"/>
        </w:rPr>
        <w:t>Unlawful Occupiers, School Site v City of Johannesburg</w:t>
      </w:r>
      <w:r w:rsidR="001D3EDB" w:rsidRPr="005275EC">
        <w:rPr>
          <w:rFonts w:ascii="Times New Roman" w:hAnsi="Times New Roman"/>
          <w:color w:val="000000"/>
          <w:sz w:val="28"/>
          <w:szCs w:val="28"/>
          <w:lang w:eastAsia="en-ZA"/>
        </w:rPr>
        <w:t>:</w:t>
      </w:r>
      <w:r>
        <w:rPr>
          <w:rStyle w:val="FootnoteReference"/>
          <w:rFonts w:ascii="Times New Roman" w:hAnsi="Times New Roman"/>
          <w:color w:val="000000"/>
          <w:sz w:val="28"/>
          <w:szCs w:val="28"/>
          <w:lang w:eastAsia="en-ZA"/>
        </w:rPr>
        <w:footnoteReference w:id="63"/>
      </w:r>
    </w:p>
    <w:p w14:paraId="570C8D6A" w14:textId="77777777" w:rsidR="00880E36" w:rsidRPr="00880E36" w:rsidRDefault="00880E36" w:rsidP="00D46D76">
      <w:pPr>
        <w:pStyle w:val="ListParagraph"/>
        <w:spacing w:after="0" w:line="360" w:lineRule="auto"/>
        <w:rPr>
          <w:rFonts w:ascii="Times New Roman" w:hAnsi="Times New Roman"/>
          <w:sz w:val="28"/>
          <w:szCs w:val="28"/>
        </w:rPr>
      </w:pPr>
    </w:p>
    <w:p w14:paraId="1799F37A" w14:textId="77777777" w:rsidR="00880E36" w:rsidRPr="00281EB4" w:rsidRDefault="00880E36" w:rsidP="00D46D76">
      <w:pPr>
        <w:pStyle w:val="ListParagraph"/>
        <w:spacing w:after="0" w:line="360" w:lineRule="auto"/>
        <w:ind w:right="567"/>
        <w:rPr>
          <w:rFonts w:ascii="Times New Roman" w:hAnsi="Times New Roman"/>
          <w:color w:val="000000"/>
          <w:lang w:eastAsia="en-ZA"/>
        </w:rPr>
      </w:pPr>
      <w:r w:rsidRPr="00281EB4">
        <w:rPr>
          <w:rFonts w:ascii="Times New Roman" w:hAnsi="Times New Roman"/>
          <w:color w:val="000000"/>
          <w:lang w:eastAsia="en-ZA"/>
        </w:rPr>
        <w:t>“The question whether in a particular case a deficient section 4(2) notice achieved its purpose, cannot be considered in the abstract. The answer must depend on what the respondents already knew. The appellant’s contention to the contrary cannot be sustained. It would lead to results which are untenable. Take the example of a section 4(2) notice which failed to comply with section 4(5)(</w:t>
      </w:r>
      <w:r w:rsidRPr="00281EB4">
        <w:rPr>
          <w:rFonts w:ascii="Times New Roman" w:hAnsi="Times New Roman"/>
          <w:i/>
          <w:iCs/>
          <w:color w:val="000000"/>
          <w:lang w:eastAsia="en-ZA"/>
        </w:rPr>
        <w:t>d</w:t>
      </w:r>
      <w:r w:rsidRPr="00281EB4">
        <w:rPr>
          <w:rFonts w:ascii="Times New Roman" w:hAnsi="Times New Roman"/>
          <w:color w:val="000000"/>
          <w:lang w:eastAsia="en-ZA"/>
        </w:rPr>
        <w:t>) in that it did not inform the respondents that they were entitled to defend a case or of their right to legal aid. What would be the position if all this were clearly spelt out in the application papers? Or if on the day of the hearing the respondents appeared with their legal aid attorney? Could it be suggested that in these circumstances the section 4(2) should still be regarded as fatally defective? I think not. In this case, both the municipality’s cause of action and the facts upon which it relied appeared from the founding papers. The appellants accepted that this is so. If not, it would constitute a separate defence. When the respondents received the section 4(2) notice they therefore already knew what case they had to meet. In these circumstances it must, in my view, be held that, despite its stated defects, the section 4(2) notice served upon the respondents had substantially complied with the requirements of section 4(5).”</w:t>
      </w:r>
    </w:p>
    <w:p w14:paraId="081E4C3E" w14:textId="77777777" w:rsidR="00880E36" w:rsidRPr="00880E36" w:rsidRDefault="00880E36" w:rsidP="00D46D76">
      <w:pPr>
        <w:pStyle w:val="ListParagraph"/>
        <w:tabs>
          <w:tab w:val="left" w:pos="0"/>
        </w:tabs>
        <w:spacing w:after="0" w:line="360" w:lineRule="auto"/>
        <w:ind w:left="0"/>
        <w:rPr>
          <w:rFonts w:ascii="Times New Roman" w:hAnsi="Times New Roman"/>
          <w:b/>
          <w:sz w:val="28"/>
          <w:szCs w:val="28"/>
        </w:rPr>
      </w:pPr>
    </w:p>
    <w:p w14:paraId="0D5F8D7D" w14:textId="2E76AAC9" w:rsidR="002235FA" w:rsidRPr="002235FA" w:rsidRDefault="00556500"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Ironically here, exactly because of the acrimonious litigation between the parties, and the spar</w:t>
      </w:r>
      <w:r w:rsidR="002235FA">
        <w:rPr>
          <w:rFonts w:ascii="Times New Roman" w:hAnsi="Times New Roman"/>
          <w:sz w:val="28"/>
          <w:szCs w:val="28"/>
        </w:rPr>
        <w:t>r</w:t>
      </w:r>
      <w:r>
        <w:rPr>
          <w:rFonts w:ascii="Times New Roman" w:hAnsi="Times New Roman"/>
          <w:sz w:val="28"/>
          <w:szCs w:val="28"/>
        </w:rPr>
        <w:t xml:space="preserve">ing between their respective attorneys </w:t>
      </w:r>
      <w:r w:rsidR="00082621">
        <w:rPr>
          <w:rFonts w:ascii="Times New Roman" w:hAnsi="Times New Roman"/>
          <w:sz w:val="28"/>
          <w:szCs w:val="28"/>
          <w:lang w:val="en-ZA"/>
        </w:rPr>
        <w:t xml:space="preserve">in a number of related </w:t>
      </w:r>
      <w:r w:rsidR="00082621">
        <w:rPr>
          <w:rFonts w:ascii="Times New Roman" w:hAnsi="Times New Roman"/>
          <w:sz w:val="28"/>
          <w:szCs w:val="28"/>
          <w:lang w:val="en-ZA"/>
        </w:rPr>
        <w:lastRenderedPageBreak/>
        <w:t>cases</w:t>
      </w:r>
      <w:r w:rsidR="00834C44">
        <w:rPr>
          <w:rFonts w:ascii="Times New Roman" w:hAnsi="Times New Roman"/>
          <w:sz w:val="28"/>
          <w:szCs w:val="28"/>
          <w:lang w:val="en-ZA"/>
        </w:rPr>
        <w:t>, it can hardly be suggested that the respondents were no</w:t>
      </w:r>
      <w:r w:rsidR="002235FA">
        <w:rPr>
          <w:rFonts w:ascii="Times New Roman" w:hAnsi="Times New Roman"/>
          <w:sz w:val="28"/>
          <w:szCs w:val="28"/>
          <w:lang w:val="en-ZA"/>
        </w:rPr>
        <w:t>t</w:t>
      </w:r>
      <w:r w:rsidR="00834C44">
        <w:rPr>
          <w:rFonts w:ascii="Times New Roman" w:hAnsi="Times New Roman"/>
          <w:sz w:val="28"/>
          <w:szCs w:val="28"/>
          <w:lang w:val="en-ZA"/>
        </w:rPr>
        <w:t xml:space="preserve"> in the know regarding what </w:t>
      </w:r>
      <w:r w:rsidR="002235FA">
        <w:rPr>
          <w:rFonts w:ascii="Times New Roman" w:hAnsi="Times New Roman"/>
          <w:sz w:val="28"/>
          <w:szCs w:val="28"/>
          <w:lang w:val="en-ZA"/>
        </w:rPr>
        <w:t xml:space="preserve">case </w:t>
      </w:r>
      <w:r w:rsidR="00834C44">
        <w:rPr>
          <w:rFonts w:ascii="Times New Roman" w:hAnsi="Times New Roman"/>
          <w:sz w:val="28"/>
          <w:szCs w:val="28"/>
          <w:lang w:val="en-ZA"/>
        </w:rPr>
        <w:t>they had to meet</w:t>
      </w:r>
      <w:r w:rsidR="004B4C77">
        <w:rPr>
          <w:rFonts w:ascii="Times New Roman" w:hAnsi="Times New Roman"/>
          <w:sz w:val="28"/>
          <w:szCs w:val="28"/>
          <w:lang w:val="en-ZA"/>
        </w:rPr>
        <w:t xml:space="preserve">, neither have they in my view been </w:t>
      </w:r>
      <w:r w:rsidR="00EC3010">
        <w:rPr>
          <w:rFonts w:ascii="Times New Roman" w:hAnsi="Times New Roman"/>
          <w:sz w:val="28"/>
          <w:szCs w:val="28"/>
          <w:lang w:val="en-ZA"/>
        </w:rPr>
        <w:t>prejudiced</w:t>
      </w:r>
      <w:r w:rsidR="004B4C77">
        <w:rPr>
          <w:rFonts w:ascii="Times New Roman" w:hAnsi="Times New Roman"/>
          <w:sz w:val="28"/>
          <w:szCs w:val="28"/>
          <w:lang w:val="en-ZA"/>
        </w:rPr>
        <w:t xml:space="preserve"> </w:t>
      </w:r>
      <w:r w:rsidR="00EC3010">
        <w:rPr>
          <w:rFonts w:ascii="Times New Roman" w:hAnsi="Times New Roman"/>
          <w:sz w:val="28"/>
          <w:szCs w:val="28"/>
          <w:lang w:val="en-ZA"/>
        </w:rPr>
        <w:t xml:space="preserve">except by </w:t>
      </w:r>
      <w:r w:rsidR="009366B4">
        <w:rPr>
          <w:rFonts w:ascii="Times New Roman" w:hAnsi="Times New Roman"/>
          <w:sz w:val="28"/>
          <w:szCs w:val="28"/>
          <w:lang w:val="en-ZA"/>
        </w:rPr>
        <w:t xml:space="preserve">having been ordered to pay the </w:t>
      </w:r>
      <w:r w:rsidR="00B94268">
        <w:rPr>
          <w:rFonts w:ascii="Times New Roman" w:hAnsi="Times New Roman"/>
          <w:sz w:val="28"/>
          <w:szCs w:val="28"/>
          <w:lang w:val="en-ZA"/>
        </w:rPr>
        <w:t>costs of the</w:t>
      </w:r>
      <w:r w:rsidR="009366B4">
        <w:rPr>
          <w:rFonts w:ascii="Times New Roman" w:hAnsi="Times New Roman"/>
          <w:sz w:val="28"/>
          <w:szCs w:val="28"/>
          <w:lang w:val="en-ZA"/>
        </w:rPr>
        <w:t xml:space="preserve"> </w:t>
      </w:r>
      <w:r w:rsidR="003258D1">
        <w:rPr>
          <w:rFonts w:ascii="Times New Roman" w:hAnsi="Times New Roman"/>
          <w:sz w:val="28"/>
          <w:szCs w:val="28"/>
          <w:lang w:val="en-ZA"/>
        </w:rPr>
        <w:t xml:space="preserve">superfluous directions </w:t>
      </w:r>
      <w:r w:rsidR="009366B4">
        <w:rPr>
          <w:rFonts w:ascii="Times New Roman" w:hAnsi="Times New Roman"/>
          <w:sz w:val="28"/>
          <w:szCs w:val="28"/>
          <w:lang w:val="en-ZA"/>
        </w:rPr>
        <w:t>application</w:t>
      </w:r>
      <w:r w:rsidR="00EC3010">
        <w:rPr>
          <w:rFonts w:ascii="Times New Roman" w:hAnsi="Times New Roman"/>
          <w:sz w:val="28"/>
          <w:szCs w:val="28"/>
          <w:lang w:val="en-ZA"/>
        </w:rPr>
        <w:t xml:space="preserve"> in the cause.</w:t>
      </w:r>
    </w:p>
    <w:p w14:paraId="25C3B945" w14:textId="77777777" w:rsidR="002235FA" w:rsidRPr="002235FA" w:rsidRDefault="002235FA" w:rsidP="002235FA">
      <w:pPr>
        <w:pStyle w:val="ListParagraph"/>
        <w:tabs>
          <w:tab w:val="left" w:pos="0"/>
        </w:tabs>
        <w:spacing w:after="0" w:line="360" w:lineRule="auto"/>
        <w:ind w:left="0"/>
        <w:rPr>
          <w:rFonts w:ascii="Times New Roman" w:hAnsi="Times New Roman"/>
          <w:b/>
          <w:sz w:val="28"/>
          <w:szCs w:val="28"/>
        </w:rPr>
      </w:pPr>
    </w:p>
    <w:p w14:paraId="60A76322" w14:textId="77777777" w:rsidR="00281EB4" w:rsidRPr="00880E36" w:rsidRDefault="00834C44"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lang w:val="en-ZA"/>
        </w:rPr>
        <w:t xml:space="preserve">  </w:t>
      </w:r>
      <w:r w:rsidR="004F4CBD">
        <w:rPr>
          <w:rFonts w:ascii="Times New Roman" w:hAnsi="Times New Roman"/>
          <w:sz w:val="28"/>
          <w:szCs w:val="28"/>
          <w:lang w:val="en-ZA"/>
        </w:rPr>
        <w:t xml:space="preserve">In conclusion </w:t>
      </w:r>
      <w:r w:rsidR="00BB0DF9" w:rsidRPr="00880E36">
        <w:rPr>
          <w:rFonts w:ascii="Times New Roman" w:hAnsi="Times New Roman"/>
          <w:sz w:val="28"/>
          <w:szCs w:val="28"/>
        </w:rPr>
        <w:t xml:space="preserve">I am satisfied that effective notice </w:t>
      </w:r>
      <w:r w:rsidR="00274033">
        <w:rPr>
          <w:rFonts w:ascii="Times New Roman" w:hAnsi="Times New Roman"/>
          <w:sz w:val="28"/>
          <w:szCs w:val="28"/>
        </w:rPr>
        <w:t>of the proceedings was</w:t>
      </w:r>
      <w:r w:rsidR="00BB0DF9" w:rsidRPr="00880E36">
        <w:rPr>
          <w:rFonts w:ascii="Times New Roman" w:hAnsi="Times New Roman"/>
          <w:sz w:val="28"/>
          <w:szCs w:val="28"/>
        </w:rPr>
        <w:t xml:space="preserve"> given.</w:t>
      </w:r>
      <w:r w:rsidR="00281EB4" w:rsidRPr="00880E36">
        <w:rPr>
          <w:rFonts w:ascii="Times New Roman" w:hAnsi="Times New Roman"/>
          <w:sz w:val="28"/>
          <w:szCs w:val="28"/>
        </w:rPr>
        <w:t xml:space="preserve">  </w:t>
      </w:r>
    </w:p>
    <w:p w14:paraId="1092EBBE" w14:textId="77777777" w:rsidR="00880E36" w:rsidRDefault="00880E36" w:rsidP="00D46D76">
      <w:pPr>
        <w:pStyle w:val="ListParagraph"/>
        <w:tabs>
          <w:tab w:val="left" w:pos="0"/>
        </w:tabs>
        <w:spacing w:after="0" w:line="360" w:lineRule="auto"/>
        <w:ind w:left="0"/>
        <w:rPr>
          <w:rFonts w:ascii="Times New Roman" w:hAnsi="Times New Roman"/>
          <w:sz w:val="28"/>
          <w:szCs w:val="28"/>
        </w:rPr>
      </w:pPr>
    </w:p>
    <w:p w14:paraId="6F6A8A13" w14:textId="77777777" w:rsidR="00880E36" w:rsidRDefault="00880E36" w:rsidP="00D46D76">
      <w:pPr>
        <w:pStyle w:val="ListParagraph"/>
        <w:tabs>
          <w:tab w:val="left" w:pos="0"/>
        </w:tabs>
        <w:spacing w:after="0" w:line="360" w:lineRule="auto"/>
        <w:ind w:left="0"/>
        <w:rPr>
          <w:rFonts w:ascii="Times New Roman" w:hAnsi="Times New Roman"/>
          <w:b/>
          <w:sz w:val="28"/>
          <w:szCs w:val="28"/>
        </w:rPr>
      </w:pPr>
      <w:r w:rsidRPr="00A51490">
        <w:rPr>
          <w:rFonts w:ascii="Times New Roman" w:hAnsi="Times New Roman"/>
          <w:b/>
          <w:sz w:val="28"/>
          <w:szCs w:val="28"/>
          <w:u w:val="single"/>
        </w:rPr>
        <w:t>The constraints posed by the DMA:</w:t>
      </w:r>
    </w:p>
    <w:p w14:paraId="653FE1A1" w14:textId="77777777" w:rsidR="00880E36" w:rsidRDefault="00880E36" w:rsidP="00D46D76">
      <w:pPr>
        <w:pStyle w:val="ListParagraph"/>
        <w:tabs>
          <w:tab w:val="left" w:pos="0"/>
        </w:tabs>
        <w:spacing w:after="0" w:line="360" w:lineRule="auto"/>
        <w:ind w:left="0"/>
        <w:rPr>
          <w:rFonts w:ascii="Times New Roman" w:hAnsi="Times New Roman"/>
          <w:b/>
          <w:sz w:val="28"/>
          <w:szCs w:val="28"/>
        </w:rPr>
      </w:pPr>
    </w:p>
    <w:p w14:paraId="5EBFB886" w14:textId="1982A79B" w:rsidR="00A53B5B" w:rsidRPr="00A53B5B" w:rsidRDefault="004F4CBD"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objection in this respect is no longer relev</w:t>
      </w:r>
      <w:r w:rsidR="009366B4">
        <w:rPr>
          <w:rFonts w:ascii="Times New Roman" w:hAnsi="Times New Roman"/>
          <w:sz w:val="28"/>
          <w:szCs w:val="28"/>
        </w:rPr>
        <w:t>ant.  Although the applicant  failed to deal in its founding a</w:t>
      </w:r>
      <w:r>
        <w:rPr>
          <w:rFonts w:ascii="Times New Roman" w:hAnsi="Times New Roman"/>
          <w:sz w:val="28"/>
          <w:szCs w:val="28"/>
        </w:rPr>
        <w:t xml:space="preserve">ffidavit with the Disaster Management Regulations </w:t>
      </w:r>
      <w:r w:rsidR="00C22060">
        <w:rPr>
          <w:rFonts w:ascii="Times New Roman" w:hAnsi="Times New Roman"/>
          <w:sz w:val="28"/>
          <w:szCs w:val="28"/>
        </w:rPr>
        <w:t>in place at the time of the launch of the application</w:t>
      </w:r>
      <w:r w:rsidR="00082621">
        <w:rPr>
          <w:rFonts w:ascii="Times New Roman" w:hAnsi="Times New Roman"/>
          <w:sz w:val="28"/>
          <w:szCs w:val="28"/>
        </w:rPr>
        <w:t>,</w:t>
      </w:r>
      <w:r w:rsidR="00C22060">
        <w:rPr>
          <w:rFonts w:ascii="Times New Roman" w:hAnsi="Times New Roman"/>
          <w:sz w:val="28"/>
          <w:szCs w:val="28"/>
        </w:rPr>
        <w:t xml:space="preserve"> the court would, in the event that these regul</w:t>
      </w:r>
      <w:r w:rsidR="009366B4">
        <w:rPr>
          <w:rFonts w:ascii="Times New Roman" w:hAnsi="Times New Roman"/>
          <w:sz w:val="28"/>
          <w:szCs w:val="28"/>
        </w:rPr>
        <w:t xml:space="preserve">ations were still in place, certainly </w:t>
      </w:r>
      <w:r w:rsidR="009366B4" w:rsidRPr="00082621">
        <w:rPr>
          <w:rFonts w:ascii="Times New Roman" w:hAnsi="Times New Roman"/>
          <w:i/>
          <w:sz w:val="28"/>
          <w:szCs w:val="28"/>
        </w:rPr>
        <w:t>at the time of making such an order</w:t>
      </w:r>
      <w:r w:rsidR="00C22060">
        <w:rPr>
          <w:rFonts w:ascii="Times New Roman" w:hAnsi="Times New Roman"/>
          <w:sz w:val="28"/>
          <w:szCs w:val="28"/>
        </w:rPr>
        <w:t xml:space="preserve"> have considered the import of these</w:t>
      </w:r>
      <w:r w:rsidR="002235FA">
        <w:rPr>
          <w:rFonts w:ascii="Times New Roman" w:hAnsi="Times New Roman"/>
          <w:sz w:val="28"/>
          <w:szCs w:val="28"/>
        </w:rPr>
        <w:t xml:space="preserve"> </w:t>
      </w:r>
      <w:r w:rsidR="00C22060">
        <w:rPr>
          <w:rFonts w:ascii="Times New Roman" w:hAnsi="Times New Roman"/>
          <w:sz w:val="28"/>
          <w:szCs w:val="28"/>
        </w:rPr>
        <w:t xml:space="preserve">together with the “relevant circumstances” that it is in any event obliged to have regard </w:t>
      </w:r>
      <w:r w:rsidR="00EC3010">
        <w:rPr>
          <w:rFonts w:ascii="Times New Roman" w:hAnsi="Times New Roman"/>
          <w:sz w:val="28"/>
          <w:szCs w:val="28"/>
        </w:rPr>
        <w:t xml:space="preserve">to </w:t>
      </w:r>
      <w:r w:rsidR="00C22060">
        <w:rPr>
          <w:rFonts w:ascii="Times New Roman" w:hAnsi="Times New Roman"/>
          <w:sz w:val="28"/>
          <w:szCs w:val="28"/>
        </w:rPr>
        <w:t xml:space="preserve">in considering whether it is just and equitable to order </w:t>
      </w:r>
      <w:r w:rsidR="00A53B5B">
        <w:rPr>
          <w:rFonts w:ascii="Times New Roman" w:hAnsi="Times New Roman"/>
          <w:sz w:val="28"/>
          <w:szCs w:val="28"/>
        </w:rPr>
        <w:t>the eviction of the respondents.  The “other relevant circumstances”</w:t>
      </w:r>
      <w:r w:rsidR="009366B4">
        <w:rPr>
          <w:rFonts w:ascii="Times New Roman" w:hAnsi="Times New Roman"/>
          <w:sz w:val="28"/>
          <w:szCs w:val="28"/>
        </w:rPr>
        <w:t>,</w:t>
      </w:r>
      <w:r w:rsidR="00A53B5B">
        <w:rPr>
          <w:rFonts w:ascii="Times New Roman" w:hAnsi="Times New Roman"/>
          <w:sz w:val="28"/>
          <w:szCs w:val="28"/>
        </w:rPr>
        <w:t xml:space="preserve"> </w:t>
      </w:r>
      <w:r w:rsidR="00082621">
        <w:rPr>
          <w:rFonts w:ascii="Times New Roman" w:hAnsi="Times New Roman"/>
          <w:sz w:val="28"/>
          <w:szCs w:val="28"/>
        </w:rPr>
        <w:t xml:space="preserve">relative to the state of disaster and its peculiar impact, </w:t>
      </w:r>
      <w:r w:rsidR="00A53B5B">
        <w:rPr>
          <w:rFonts w:ascii="Times New Roman" w:hAnsi="Times New Roman"/>
          <w:sz w:val="28"/>
          <w:szCs w:val="28"/>
        </w:rPr>
        <w:t xml:space="preserve">which this court would have </w:t>
      </w:r>
      <w:r w:rsidR="002235FA">
        <w:rPr>
          <w:rFonts w:ascii="Times New Roman" w:hAnsi="Times New Roman"/>
          <w:sz w:val="28"/>
          <w:szCs w:val="28"/>
        </w:rPr>
        <w:t>considered</w:t>
      </w:r>
      <w:r w:rsidR="00EC3010">
        <w:rPr>
          <w:rFonts w:ascii="Times New Roman" w:hAnsi="Times New Roman"/>
          <w:sz w:val="28"/>
          <w:szCs w:val="28"/>
        </w:rPr>
        <w:t xml:space="preserve"> but for the emergency having been declared at an end</w:t>
      </w:r>
      <w:r w:rsidR="009366B4">
        <w:rPr>
          <w:rFonts w:ascii="Times New Roman" w:hAnsi="Times New Roman"/>
          <w:sz w:val="28"/>
          <w:szCs w:val="28"/>
        </w:rPr>
        <w:t xml:space="preserve"> by the time of the hearing</w:t>
      </w:r>
      <w:r w:rsidR="002235FA">
        <w:rPr>
          <w:rFonts w:ascii="Times New Roman" w:hAnsi="Times New Roman"/>
          <w:sz w:val="28"/>
          <w:szCs w:val="28"/>
        </w:rPr>
        <w:t xml:space="preserve">, </w:t>
      </w:r>
      <w:r w:rsidR="00A53B5B">
        <w:rPr>
          <w:rFonts w:ascii="Times New Roman" w:hAnsi="Times New Roman"/>
          <w:sz w:val="28"/>
          <w:szCs w:val="28"/>
        </w:rPr>
        <w:t>whether reference</w:t>
      </w:r>
      <w:r w:rsidR="002235FA">
        <w:rPr>
          <w:rFonts w:ascii="Times New Roman" w:hAnsi="Times New Roman"/>
          <w:sz w:val="28"/>
          <w:szCs w:val="28"/>
        </w:rPr>
        <w:t>d</w:t>
      </w:r>
      <w:r w:rsidR="00A53B5B">
        <w:rPr>
          <w:rFonts w:ascii="Times New Roman" w:hAnsi="Times New Roman"/>
          <w:sz w:val="28"/>
          <w:szCs w:val="28"/>
        </w:rPr>
        <w:t xml:space="preserve"> by the parties in their papers or not, no longer apply.</w:t>
      </w:r>
    </w:p>
    <w:p w14:paraId="7C16E11D" w14:textId="77777777" w:rsidR="00880E36" w:rsidRPr="00A53B5B" w:rsidRDefault="00A53B5B" w:rsidP="00D46D76">
      <w:pPr>
        <w:pStyle w:val="ListParagraph"/>
        <w:tabs>
          <w:tab w:val="left" w:pos="0"/>
        </w:tabs>
        <w:spacing w:after="0" w:line="360" w:lineRule="auto"/>
        <w:ind w:left="0"/>
        <w:rPr>
          <w:rFonts w:ascii="Times New Roman" w:hAnsi="Times New Roman"/>
          <w:b/>
          <w:sz w:val="28"/>
          <w:szCs w:val="28"/>
        </w:rPr>
      </w:pPr>
      <w:r>
        <w:rPr>
          <w:rFonts w:ascii="Times New Roman" w:hAnsi="Times New Roman"/>
          <w:sz w:val="28"/>
          <w:szCs w:val="28"/>
        </w:rPr>
        <w:t xml:space="preserve">  </w:t>
      </w:r>
    </w:p>
    <w:p w14:paraId="14C72015" w14:textId="77777777" w:rsidR="00432BF3" w:rsidRPr="00432BF3" w:rsidRDefault="00A53B5B" w:rsidP="00445F2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Whilst it may have been expected of the applicant to especially allude to these factors in their papers, I do not consider it “fatal” to the application that it did not </w:t>
      </w:r>
      <w:r w:rsidR="002235FA">
        <w:rPr>
          <w:rFonts w:ascii="Times New Roman" w:hAnsi="Times New Roman"/>
          <w:sz w:val="28"/>
          <w:szCs w:val="28"/>
        </w:rPr>
        <w:t>do so</w:t>
      </w:r>
      <w:r>
        <w:rPr>
          <w:rFonts w:ascii="Times New Roman" w:hAnsi="Times New Roman"/>
          <w:sz w:val="28"/>
          <w:szCs w:val="28"/>
        </w:rPr>
        <w:t xml:space="preserve">. </w:t>
      </w:r>
    </w:p>
    <w:p w14:paraId="36267390" w14:textId="3DE46776" w:rsidR="00432BF3" w:rsidRDefault="00432BF3" w:rsidP="00432BF3">
      <w:pPr>
        <w:pStyle w:val="ListParagraph"/>
        <w:rPr>
          <w:rFonts w:ascii="Times New Roman" w:hAnsi="Times New Roman"/>
          <w:b/>
          <w:sz w:val="28"/>
          <w:szCs w:val="28"/>
        </w:rPr>
      </w:pPr>
    </w:p>
    <w:p w14:paraId="7E61F4E7" w14:textId="77777777" w:rsidR="00172C23" w:rsidRDefault="00172C23" w:rsidP="00432BF3">
      <w:pPr>
        <w:pStyle w:val="ListParagraph"/>
        <w:rPr>
          <w:rFonts w:ascii="Times New Roman" w:hAnsi="Times New Roman"/>
          <w:b/>
          <w:sz w:val="28"/>
          <w:szCs w:val="28"/>
        </w:rPr>
      </w:pPr>
    </w:p>
    <w:p w14:paraId="7C2C1C0C" w14:textId="77777777" w:rsidR="009366B4" w:rsidRPr="00432BF3" w:rsidRDefault="009366B4" w:rsidP="00432BF3">
      <w:pPr>
        <w:pStyle w:val="ListParagraph"/>
        <w:rPr>
          <w:rFonts w:ascii="Times New Roman" w:hAnsi="Times New Roman"/>
          <w:b/>
          <w:sz w:val="28"/>
          <w:szCs w:val="28"/>
        </w:rPr>
      </w:pPr>
    </w:p>
    <w:p w14:paraId="433CF62A" w14:textId="77777777" w:rsidR="00432BF3" w:rsidRPr="00A51490" w:rsidRDefault="00432BF3" w:rsidP="00432BF3">
      <w:pPr>
        <w:pStyle w:val="ListParagraph"/>
        <w:tabs>
          <w:tab w:val="left" w:pos="0"/>
        </w:tabs>
        <w:spacing w:after="0" w:line="360" w:lineRule="auto"/>
        <w:ind w:left="0"/>
        <w:rPr>
          <w:rFonts w:ascii="Times New Roman" w:hAnsi="Times New Roman"/>
          <w:b/>
          <w:sz w:val="28"/>
          <w:szCs w:val="28"/>
          <w:u w:val="single"/>
        </w:rPr>
      </w:pPr>
      <w:r>
        <w:rPr>
          <w:rFonts w:ascii="Times New Roman" w:hAnsi="Times New Roman"/>
          <w:b/>
          <w:sz w:val="28"/>
          <w:szCs w:val="28"/>
          <w:u w:val="single"/>
        </w:rPr>
        <w:lastRenderedPageBreak/>
        <w:t>Is it just and equitable to order the respondents’ eviction under the relevant circumstances:</w:t>
      </w:r>
    </w:p>
    <w:p w14:paraId="14BC8233" w14:textId="77777777" w:rsidR="00432BF3" w:rsidRPr="00432BF3" w:rsidRDefault="00432BF3" w:rsidP="00432BF3">
      <w:pPr>
        <w:pStyle w:val="ListParagraph"/>
        <w:rPr>
          <w:rFonts w:ascii="Times New Roman" w:hAnsi="Times New Roman"/>
          <w:color w:val="000000"/>
          <w:sz w:val="28"/>
          <w:szCs w:val="28"/>
          <w:lang w:eastAsia="en-ZA"/>
        </w:rPr>
      </w:pPr>
    </w:p>
    <w:p w14:paraId="1EDBA94F" w14:textId="4F452A7A" w:rsidR="00445F26" w:rsidRPr="005A6240" w:rsidRDefault="00673E6A" w:rsidP="00445F26">
      <w:pPr>
        <w:pStyle w:val="ListParagraph"/>
        <w:numPr>
          <w:ilvl w:val="0"/>
          <w:numId w:val="2"/>
        </w:numPr>
        <w:tabs>
          <w:tab w:val="left" w:pos="0"/>
        </w:tabs>
        <w:spacing w:after="0" w:line="360" w:lineRule="auto"/>
        <w:ind w:left="0" w:firstLine="0"/>
        <w:rPr>
          <w:rFonts w:ascii="Times New Roman" w:hAnsi="Times New Roman"/>
          <w:b/>
          <w:sz w:val="28"/>
          <w:szCs w:val="28"/>
        </w:rPr>
      </w:pPr>
      <w:r w:rsidRPr="00432BF3">
        <w:rPr>
          <w:rFonts w:ascii="Times New Roman" w:hAnsi="Times New Roman"/>
          <w:color w:val="000000"/>
          <w:sz w:val="28"/>
          <w:szCs w:val="28"/>
          <w:lang w:eastAsia="en-ZA"/>
        </w:rPr>
        <w:t xml:space="preserve">If I am wrong in </w:t>
      </w:r>
      <w:r w:rsidR="00070A64" w:rsidRPr="00432BF3">
        <w:rPr>
          <w:rFonts w:ascii="Times New Roman" w:hAnsi="Times New Roman"/>
          <w:color w:val="000000"/>
          <w:sz w:val="28"/>
          <w:szCs w:val="28"/>
          <w:lang w:eastAsia="en-ZA"/>
        </w:rPr>
        <w:t xml:space="preserve">my conclusion above </w:t>
      </w:r>
      <w:r w:rsidRPr="00432BF3">
        <w:rPr>
          <w:rFonts w:ascii="Times New Roman" w:hAnsi="Times New Roman"/>
          <w:color w:val="000000"/>
          <w:sz w:val="28"/>
          <w:szCs w:val="28"/>
          <w:lang w:eastAsia="en-ZA"/>
        </w:rPr>
        <w:t xml:space="preserve">that </w:t>
      </w:r>
      <w:r w:rsidR="00070A64" w:rsidRPr="00432BF3">
        <w:rPr>
          <w:rFonts w:ascii="Times New Roman" w:hAnsi="Times New Roman"/>
          <w:color w:val="000000"/>
          <w:sz w:val="28"/>
          <w:szCs w:val="28"/>
          <w:lang w:eastAsia="en-ZA"/>
        </w:rPr>
        <w:t>the respondents are unlawful occupiers and that the applicant is entitled in principle to an order evicting them from the property, the enquiry does not end there.</w:t>
      </w:r>
      <w:r w:rsidR="00070A64" w:rsidRPr="00432BF3">
        <w:rPr>
          <w:rFonts w:ascii="Times New Roman" w:hAnsi="Times New Roman"/>
          <w:b/>
          <w:sz w:val="28"/>
          <w:szCs w:val="28"/>
        </w:rPr>
        <w:t xml:space="preserve"> </w:t>
      </w:r>
      <w:r w:rsidR="00070A64" w:rsidRPr="00432BF3">
        <w:rPr>
          <w:rFonts w:ascii="Times New Roman" w:hAnsi="Times New Roman"/>
          <w:bCs/>
          <w:sz w:val="28"/>
          <w:szCs w:val="28"/>
        </w:rPr>
        <w:t>That is because</w:t>
      </w:r>
      <w:r w:rsidR="001D3EDB" w:rsidRPr="00432BF3">
        <w:rPr>
          <w:rFonts w:ascii="Times New Roman" w:hAnsi="Times New Roman"/>
          <w:color w:val="000000"/>
          <w:sz w:val="28"/>
          <w:szCs w:val="28"/>
          <w:lang w:eastAsia="en-ZA"/>
        </w:rPr>
        <w:t xml:space="preserve"> an eviction application will only be granted if,</w:t>
      </w:r>
      <w:r w:rsidR="003258D1">
        <w:rPr>
          <w:rFonts w:ascii="Times New Roman" w:hAnsi="Times New Roman"/>
          <w:color w:val="000000"/>
          <w:sz w:val="28"/>
          <w:szCs w:val="28"/>
          <w:lang w:eastAsia="en-ZA"/>
        </w:rPr>
        <w:t xml:space="preserve"> </w:t>
      </w:r>
      <w:r w:rsidR="009366B4">
        <w:rPr>
          <w:rFonts w:ascii="Times New Roman" w:hAnsi="Times New Roman"/>
          <w:color w:val="000000"/>
          <w:sz w:val="28"/>
          <w:szCs w:val="28"/>
          <w:lang w:eastAsia="en-ZA"/>
        </w:rPr>
        <w:t>after considering all the relevant circumstances</w:t>
      </w:r>
      <w:r w:rsidR="001D3EDB" w:rsidRPr="00432BF3">
        <w:rPr>
          <w:rFonts w:ascii="Times New Roman" w:hAnsi="Times New Roman"/>
          <w:color w:val="000000"/>
          <w:sz w:val="28"/>
          <w:szCs w:val="28"/>
          <w:lang w:eastAsia="en-ZA"/>
        </w:rPr>
        <w:t>, it is “just and equitable”</w:t>
      </w:r>
      <w:r w:rsidR="00445F26" w:rsidRPr="00432BF3">
        <w:rPr>
          <w:rFonts w:ascii="Times New Roman" w:hAnsi="Times New Roman"/>
          <w:color w:val="000000"/>
          <w:sz w:val="28"/>
          <w:szCs w:val="28"/>
          <w:lang w:eastAsia="en-ZA"/>
        </w:rPr>
        <w:t xml:space="preserve"> to make such an order</w:t>
      </w:r>
      <w:r w:rsidR="001D3EDB" w:rsidRPr="00432BF3">
        <w:rPr>
          <w:rFonts w:ascii="Times New Roman" w:hAnsi="Times New Roman"/>
          <w:color w:val="000000"/>
          <w:sz w:val="28"/>
          <w:szCs w:val="28"/>
          <w:lang w:eastAsia="en-ZA"/>
        </w:rPr>
        <w:t>.</w:t>
      </w:r>
      <w:r w:rsidR="00092100">
        <w:rPr>
          <w:rStyle w:val="FootnoteReference"/>
          <w:rFonts w:ascii="Times New Roman" w:hAnsi="Times New Roman"/>
          <w:color w:val="000000"/>
          <w:sz w:val="28"/>
          <w:szCs w:val="28"/>
          <w:lang w:eastAsia="en-ZA"/>
        </w:rPr>
        <w:footnoteReference w:id="64"/>
      </w:r>
      <w:r w:rsidR="001D3EDB" w:rsidRPr="00432BF3">
        <w:rPr>
          <w:rFonts w:ascii="Times New Roman" w:hAnsi="Times New Roman"/>
          <w:color w:val="000000"/>
          <w:sz w:val="28"/>
          <w:szCs w:val="28"/>
          <w:lang w:eastAsia="en-ZA"/>
        </w:rPr>
        <w:t xml:space="preserve">  </w:t>
      </w:r>
    </w:p>
    <w:p w14:paraId="6BFAF9D0" w14:textId="77777777" w:rsidR="005A6240" w:rsidRPr="00432BF3" w:rsidRDefault="005A6240" w:rsidP="005A6240">
      <w:pPr>
        <w:pStyle w:val="ListParagraph"/>
        <w:tabs>
          <w:tab w:val="left" w:pos="0"/>
        </w:tabs>
        <w:spacing w:after="0" w:line="360" w:lineRule="auto"/>
        <w:ind w:left="0"/>
        <w:rPr>
          <w:rFonts w:ascii="Times New Roman" w:hAnsi="Times New Roman"/>
          <w:b/>
          <w:sz w:val="28"/>
          <w:szCs w:val="28"/>
        </w:rPr>
      </w:pPr>
    </w:p>
    <w:p w14:paraId="164E90A8" w14:textId="77777777" w:rsidR="006377C4" w:rsidRPr="006377C4" w:rsidRDefault="005A6240" w:rsidP="00445F26">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color w:val="000000"/>
          <w:sz w:val="28"/>
          <w:szCs w:val="28"/>
          <w:lang w:eastAsia="en-ZA"/>
        </w:rPr>
        <w:t>The court in PE Municipality v Various Occupiers</w:t>
      </w:r>
      <w:r>
        <w:rPr>
          <w:rStyle w:val="FootnoteReference"/>
          <w:rFonts w:ascii="Times New Roman" w:hAnsi="Times New Roman"/>
          <w:color w:val="000000"/>
          <w:sz w:val="28"/>
          <w:szCs w:val="28"/>
          <w:lang w:eastAsia="en-ZA"/>
        </w:rPr>
        <w:footnoteReference w:id="65"/>
      </w:r>
      <w:r>
        <w:rPr>
          <w:rFonts w:ascii="Times New Roman" w:hAnsi="Times New Roman"/>
          <w:color w:val="000000"/>
          <w:sz w:val="28"/>
          <w:szCs w:val="28"/>
          <w:lang w:eastAsia="en-ZA"/>
        </w:rPr>
        <w:t xml:space="preserve"> </w:t>
      </w:r>
      <w:r w:rsidR="006377C4" w:rsidRPr="006B4AFE">
        <w:rPr>
          <w:rFonts w:ascii="Times New Roman" w:hAnsi="Times New Roman"/>
          <w:sz w:val="28"/>
          <w:szCs w:val="28"/>
        </w:rPr>
        <w:t xml:space="preserve">emphasized the </w:t>
      </w:r>
      <w:r w:rsidR="000652F9">
        <w:rPr>
          <w:rFonts w:ascii="Times New Roman" w:hAnsi="Times New Roman"/>
          <w:sz w:val="28"/>
          <w:szCs w:val="28"/>
        </w:rPr>
        <w:t>unique constitutional a</w:t>
      </w:r>
      <w:r w:rsidR="006377C4" w:rsidRPr="006B4AFE">
        <w:rPr>
          <w:rFonts w:ascii="Times New Roman" w:hAnsi="Times New Roman"/>
          <w:sz w:val="28"/>
          <w:szCs w:val="28"/>
        </w:rPr>
        <w:t>pproach that courts must adopt in eviction matters:</w:t>
      </w:r>
    </w:p>
    <w:p w14:paraId="5F104CAE" w14:textId="77777777" w:rsidR="006377C4" w:rsidRPr="006377C4" w:rsidRDefault="006377C4" w:rsidP="006377C4">
      <w:pPr>
        <w:pStyle w:val="ListParagraph"/>
        <w:rPr>
          <w:rFonts w:ascii="Times New Roman" w:hAnsi="Times New Roman"/>
          <w:sz w:val="28"/>
          <w:szCs w:val="28"/>
        </w:rPr>
      </w:pPr>
    </w:p>
    <w:p w14:paraId="0F5A8C46" w14:textId="77777777" w:rsidR="005A6240" w:rsidRPr="005A6240" w:rsidRDefault="006377C4" w:rsidP="006377C4">
      <w:pPr>
        <w:pStyle w:val="ListParagraph"/>
        <w:tabs>
          <w:tab w:val="left" w:pos="0"/>
        </w:tabs>
        <w:spacing w:after="0" w:line="360" w:lineRule="auto"/>
        <w:rPr>
          <w:rFonts w:ascii="Verdana" w:eastAsia="Times New Roman" w:hAnsi="Verdana"/>
          <w:color w:val="000000"/>
          <w:sz w:val="16"/>
          <w:szCs w:val="16"/>
          <w:lang w:eastAsia="en-ZA"/>
        </w:rPr>
      </w:pPr>
      <w:r w:rsidRPr="006377C4">
        <w:rPr>
          <w:rFonts w:ascii="Times New Roman" w:hAnsi="Times New Roman"/>
        </w:rPr>
        <w:t>“The</w:t>
      </w:r>
      <w:r w:rsidR="00141D26" w:rsidRPr="00141D26">
        <w:rPr>
          <w:rFonts w:ascii="Times New Roman" w:hAnsi="Times New Roman"/>
          <w:color w:val="242121"/>
          <w:shd w:val="clear" w:color="auto" w:fill="FFFFFF"/>
        </w:rPr>
        <w:t xml:space="preserve"> </w:t>
      </w:r>
      <w:r w:rsidR="00141D26" w:rsidRPr="00782E91">
        <w:rPr>
          <w:rFonts w:ascii="Times New Roman" w:hAnsi="Times New Roman"/>
          <w:color w:val="242121"/>
          <w:shd w:val="clear" w:color="auto" w:fill="FFFFFF"/>
        </w:rPr>
        <w:t>court is thus called upon to go beyond its normal functions, and to engage in active judicial management according to equitable principles of an ongoing, stressful and law-governed social process. This has major implications for the manner in which it must deal with the issues before it, how it should approach questions of evidence, the procedures it may adopt, the way in which it exercises its powers and the orders it might make. The Constitution and PIE require that in addition to considering the lawfulness of the occupation the court must have regard to the interests and circumstances of the occupier and pay due regard to broader considerations of fairness and other constitutional values, so as to produce a just and equitable result.</w:t>
      </w:r>
      <w:r w:rsidRPr="006377C4">
        <w:rPr>
          <w:rFonts w:ascii="Times New Roman" w:hAnsi="Times New Roman"/>
        </w:rPr>
        <w:t>”</w:t>
      </w:r>
      <w:r w:rsidR="000652F9" w:rsidRPr="000652F9">
        <w:rPr>
          <w:rStyle w:val="FootnoteReference"/>
          <w:rFonts w:ascii="Times New Roman" w:hAnsi="Times New Roman"/>
          <w:sz w:val="28"/>
          <w:szCs w:val="28"/>
        </w:rPr>
        <w:footnoteReference w:id="66"/>
      </w:r>
    </w:p>
    <w:p w14:paraId="1FC423D6" w14:textId="77777777" w:rsidR="001E61F8" w:rsidRPr="001E61F8" w:rsidRDefault="001E61F8" w:rsidP="001E61F8">
      <w:pPr>
        <w:pStyle w:val="ListParagraph"/>
        <w:tabs>
          <w:tab w:val="left" w:pos="0"/>
        </w:tabs>
        <w:spacing w:after="0" w:line="360" w:lineRule="auto"/>
        <w:ind w:left="0"/>
        <w:rPr>
          <w:rFonts w:ascii="Times New Roman" w:hAnsi="Times New Roman"/>
          <w:b/>
          <w:sz w:val="28"/>
          <w:szCs w:val="28"/>
        </w:rPr>
      </w:pPr>
    </w:p>
    <w:p w14:paraId="429F8A61" w14:textId="469E3299" w:rsidR="000652F9" w:rsidRPr="000652F9" w:rsidRDefault="006377C4" w:rsidP="00800A0C">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The respondents’ right to occupancy originated in an employment agreement that in itself is somewhat unique since th</w:t>
      </w:r>
      <w:r w:rsidR="00800A0C">
        <w:rPr>
          <w:rFonts w:ascii="Times New Roman" w:hAnsi="Times New Roman"/>
          <w:sz w:val="28"/>
          <w:szCs w:val="28"/>
        </w:rPr>
        <w:t xml:space="preserve">e employer regards itself as a “Holy Assembly” in the “House of </w:t>
      </w:r>
      <w:r w:rsidR="00AA7AFE">
        <w:rPr>
          <w:rFonts w:ascii="Times New Roman" w:hAnsi="Times New Roman"/>
          <w:sz w:val="28"/>
          <w:szCs w:val="28"/>
        </w:rPr>
        <w:t xml:space="preserve">Israel” in which relationships arising within the Congregation are of a sacred character.  </w:t>
      </w:r>
      <w:r w:rsidR="000652F9">
        <w:rPr>
          <w:rFonts w:ascii="Times New Roman" w:hAnsi="Times New Roman"/>
          <w:sz w:val="28"/>
          <w:szCs w:val="28"/>
        </w:rPr>
        <w:t>The respondents subscribe to that religious community and exercise their fundamental rights together with the Congregation under the mantle of the voluntary association. The applicant</w:t>
      </w:r>
      <w:r w:rsidR="003258D1">
        <w:rPr>
          <w:rFonts w:ascii="Times New Roman" w:hAnsi="Times New Roman"/>
          <w:sz w:val="28"/>
          <w:szCs w:val="28"/>
        </w:rPr>
        <w:t xml:space="preserve"> is,</w:t>
      </w:r>
      <w:r w:rsidR="000652F9">
        <w:rPr>
          <w:rFonts w:ascii="Times New Roman" w:hAnsi="Times New Roman"/>
          <w:sz w:val="28"/>
          <w:szCs w:val="28"/>
        </w:rPr>
        <w:t xml:space="preserve"> in </w:t>
      </w:r>
      <w:r w:rsidR="000652F9">
        <w:rPr>
          <w:rFonts w:ascii="Times New Roman" w:hAnsi="Times New Roman"/>
          <w:sz w:val="28"/>
          <w:szCs w:val="28"/>
        </w:rPr>
        <w:lastRenderedPageBreak/>
        <w:t xml:space="preserve">turn, a constituent member of the Federated Council and the Congregation and its members and officials are bound by its Articles of Association. </w:t>
      </w:r>
    </w:p>
    <w:p w14:paraId="7D8C8992" w14:textId="77777777" w:rsidR="000652F9" w:rsidRPr="000652F9" w:rsidRDefault="000652F9" w:rsidP="000652F9">
      <w:pPr>
        <w:pStyle w:val="ListParagraph"/>
        <w:tabs>
          <w:tab w:val="left" w:pos="0"/>
        </w:tabs>
        <w:spacing w:after="0" w:line="360" w:lineRule="auto"/>
        <w:ind w:left="0"/>
        <w:rPr>
          <w:rFonts w:ascii="Times New Roman" w:hAnsi="Times New Roman"/>
          <w:b/>
          <w:sz w:val="28"/>
          <w:szCs w:val="28"/>
        </w:rPr>
      </w:pPr>
    </w:p>
    <w:p w14:paraId="13869A2E" w14:textId="22F8B75C" w:rsidR="00800A0C" w:rsidRDefault="006377C4" w:rsidP="00800A0C">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 xml:space="preserve">The </w:t>
      </w:r>
      <w:r w:rsidR="00327FD0">
        <w:rPr>
          <w:rFonts w:ascii="Times New Roman" w:hAnsi="Times New Roman"/>
          <w:sz w:val="28"/>
          <w:szCs w:val="28"/>
        </w:rPr>
        <w:t xml:space="preserve">respondents’ </w:t>
      </w:r>
      <w:r>
        <w:rPr>
          <w:rFonts w:ascii="Times New Roman" w:hAnsi="Times New Roman"/>
          <w:sz w:val="28"/>
          <w:szCs w:val="28"/>
        </w:rPr>
        <w:t xml:space="preserve">derivative rights </w:t>
      </w:r>
      <w:r w:rsidR="006636E1">
        <w:rPr>
          <w:rFonts w:ascii="Times New Roman" w:hAnsi="Times New Roman"/>
          <w:sz w:val="28"/>
          <w:szCs w:val="28"/>
        </w:rPr>
        <w:t xml:space="preserve">to occupy the rabbinical home </w:t>
      </w:r>
      <w:r>
        <w:rPr>
          <w:rFonts w:ascii="Times New Roman" w:hAnsi="Times New Roman"/>
          <w:sz w:val="28"/>
          <w:szCs w:val="28"/>
        </w:rPr>
        <w:t xml:space="preserve">obviously stand or fall by their status as </w:t>
      </w:r>
      <w:r w:rsidR="00327FD0">
        <w:rPr>
          <w:rFonts w:ascii="Times New Roman" w:hAnsi="Times New Roman"/>
          <w:sz w:val="28"/>
          <w:szCs w:val="28"/>
        </w:rPr>
        <w:t>officials</w:t>
      </w:r>
      <w:r>
        <w:rPr>
          <w:rFonts w:ascii="Times New Roman" w:hAnsi="Times New Roman"/>
          <w:sz w:val="28"/>
          <w:szCs w:val="28"/>
        </w:rPr>
        <w:t xml:space="preserve"> made provision for in the employment agreement</w:t>
      </w:r>
      <w:r w:rsidR="00800A0C">
        <w:rPr>
          <w:rFonts w:ascii="Times New Roman" w:hAnsi="Times New Roman"/>
          <w:sz w:val="28"/>
          <w:szCs w:val="28"/>
        </w:rPr>
        <w:t>.</w:t>
      </w:r>
      <w:r w:rsidR="000652F9">
        <w:rPr>
          <w:rFonts w:ascii="Times New Roman" w:hAnsi="Times New Roman"/>
          <w:sz w:val="28"/>
          <w:szCs w:val="28"/>
        </w:rPr>
        <w:t xml:space="preserve">  The roles performed by the respondents are especially significant and carry with them an aura of dignified leadership, awe, and reverence.  </w:t>
      </w:r>
      <w:r w:rsidR="003258D1">
        <w:rPr>
          <w:rFonts w:ascii="Times New Roman" w:hAnsi="Times New Roman"/>
          <w:sz w:val="28"/>
          <w:szCs w:val="28"/>
        </w:rPr>
        <w:t xml:space="preserve">The respondents, both in their sixties, appear to be non-South African citizens hailing from Michigan USA, although having permanent residence within the country. This suggests to me that they came into the local Jewish community as invited and revered guests and are dependent for their livelihood on the largesse of the applicant’s members albeit in the form of salary and related benefit entitlements under their employment agreement. To this extent their security of tenure, belonging and feeling accepted is bound up in their membership and adherence to the Jewish law and customs subscribed to under the constitutions of both the Congregation and Federated Council respectively. </w:t>
      </w:r>
    </w:p>
    <w:p w14:paraId="2DD59F2B" w14:textId="77777777" w:rsidR="00800A0C" w:rsidRPr="00800A0C" w:rsidRDefault="00800A0C" w:rsidP="00800A0C">
      <w:pPr>
        <w:pStyle w:val="ListParagraph"/>
        <w:tabs>
          <w:tab w:val="left" w:pos="0"/>
        </w:tabs>
        <w:spacing w:after="0" w:line="360" w:lineRule="auto"/>
        <w:ind w:left="0"/>
        <w:rPr>
          <w:rFonts w:ascii="Times New Roman" w:hAnsi="Times New Roman"/>
          <w:b/>
          <w:sz w:val="28"/>
          <w:szCs w:val="28"/>
        </w:rPr>
      </w:pPr>
    </w:p>
    <w:p w14:paraId="774800E5" w14:textId="36738AA3" w:rsidR="00800A0C" w:rsidRDefault="005D41A3" w:rsidP="005D0253">
      <w:pPr>
        <w:pStyle w:val="ListParagraph"/>
        <w:numPr>
          <w:ilvl w:val="0"/>
          <w:numId w:val="2"/>
        </w:numPr>
        <w:tabs>
          <w:tab w:val="left" w:pos="0"/>
        </w:tabs>
        <w:spacing w:after="0" w:line="360" w:lineRule="auto"/>
        <w:ind w:left="0" w:firstLine="0"/>
        <w:rPr>
          <w:rFonts w:ascii="Times New Roman" w:hAnsi="Times New Roman"/>
          <w:b/>
          <w:sz w:val="28"/>
          <w:szCs w:val="28"/>
        </w:rPr>
      </w:pPr>
      <w:r>
        <w:rPr>
          <w:rFonts w:ascii="Times New Roman" w:hAnsi="Times New Roman"/>
          <w:sz w:val="28"/>
          <w:szCs w:val="28"/>
        </w:rPr>
        <w:t>An</w:t>
      </w:r>
      <w:r w:rsidR="00D141A7">
        <w:rPr>
          <w:rFonts w:ascii="Times New Roman" w:hAnsi="Times New Roman"/>
          <w:sz w:val="28"/>
          <w:szCs w:val="28"/>
        </w:rPr>
        <w:t xml:space="preserve"> employment agreement comes with its own </w:t>
      </w:r>
      <w:r w:rsidR="003258D1">
        <w:rPr>
          <w:rFonts w:ascii="Times New Roman" w:hAnsi="Times New Roman"/>
          <w:sz w:val="28"/>
          <w:szCs w:val="28"/>
        </w:rPr>
        <w:t>distinct</w:t>
      </w:r>
      <w:r w:rsidR="00D141A7">
        <w:rPr>
          <w:rFonts w:ascii="Times New Roman" w:hAnsi="Times New Roman"/>
          <w:sz w:val="28"/>
          <w:szCs w:val="28"/>
        </w:rPr>
        <w:t xml:space="preserve"> consequences and treatment in </w:t>
      </w:r>
      <w:r w:rsidR="00C427BB">
        <w:rPr>
          <w:rFonts w:ascii="Times New Roman" w:hAnsi="Times New Roman"/>
          <w:sz w:val="28"/>
          <w:szCs w:val="28"/>
        </w:rPr>
        <w:t xml:space="preserve">secular </w:t>
      </w:r>
      <w:r w:rsidR="00D141A7">
        <w:rPr>
          <w:rFonts w:ascii="Times New Roman" w:hAnsi="Times New Roman"/>
          <w:sz w:val="28"/>
          <w:szCs w:val="28"/>
        </w:rPr>
        <w:t xml:space="preserve">law. Whereas an employee has no right not to be unlawfully dismissed, he certainly has a </w:t>
      </w:r>
      <w:r w:rsidR="00327FD0">
        <w:rPr>
          <w:rFonts w:ascii="Times New Roman" w:hAnsi="Times New Roman"/>
          <w:sz w:val="28"/>
          <w:szCs w:val="28"/>
        </w:rPr>
        <w:t xml:space="preserve">constitutional </w:t>
      </w:r>
      <w:r w:rsidR="00D141A7">
        <w:rPr>
          <w:rFonts w:ascii="Times New Roman" w:hAnsi="Times New Roman"/>
          <w:sz w:val="28"/>
          <w:szCs w:val="28"/>
        </w:rPr>
        <w:t>right to fair labour practices.</w:t>
      </w:r>
      <w:r w:rsidR="00327FD0">
        <w:rPr>
          <w:rStyle w:val="FootnoteReference"/>
          <w:rFonts w:ascii="Times New Roman" w:hAnsi="Times New Roman"/>
          <w:sz w:val="28"/>
          <w:szCs w:val="28"/>
        </w:rPr>
        <w:footnoteReference w:id="67"/>
      </w:r>
      <w:r w:rsidR="00D141A7">
        <w:rPr>
          <w:rFonts w:ascii="Times New Roman" w:hAnsi="Times New Roman"/>
          <w:sz w:val="28"/>
          <w:szCs w:val="28"/>
        </w:rPr>
        <w:t xml:space="preserve"> Where an employee challenges his </w:t>
      </w:r>
      <w:r w:rsidR="00C427BB">
        <w:rPr>
          <w:rFonts w:ascii="Times New Roman" w:hAnsi="Times New Roman"/>
          <w:sz w:val="28"/>
          <w:szCs w:val="28"/>
        </w:rPr>
        <w:t>dismissal</w:t>
      </w:r>
      <w:r w:rsidR="00D141A7">
        <w:rPr>
          <w:rFonts w:ascii="Times New Roman" w:hAnsi="Times New Roman"/>
          <w:sz w:val="28"/>
          <w:szCs w:val="28"/>
        </w:rPr>
        <w:t xml:space="preserve"> as unfair</w:t>
      </w:r>
      <w:r w:rsidR="00C427BB">
        <w:rPr>
          <w:rFonts w:ascii="Times New Roman" w:hAnsi="Times New Roman"/>
          <w:sz w:val="28"/>
          <w:szCs w:val="28"/>
        </w:rPr>
        <w:t>, he may hope to be reinstated but that is not always guaranteed.</w:t>
      </w:r>
      <w:r w:rsidR="00327FD0">
        <w:rPr>
          <w:rStyle w:val="FootnoteReference"/>
          <w:rFonts w:ascii="Times New Roman" w:hAnsi="Times New Roman"/>
          <w:sz w:val="28"/>
          <w:szCs w:val="28"/>
        </w:rPr>
        <w:footnoteReference w:id="68"/>
      </w:r>
      <w:r w:rsidR="006B71F3">
        <w:rPr>
          <w:rFonts w:ascii="Times New Roman" w:hAnsi="Times New Roman"/>
          <w:sz w:val="28"/>
          <w:szCs w:val="28"/>
        </w:rPr>
        <w:t xml:space="preserve"> From this perspective it accordingly seems ine</w:t>
      </w:r>
      <w:r w:rsidR="004E7A8A">
        <w:rPr>
          <w:rFonts w:ascii="Times New Roman" w:hAnsi="Times New Roman"/>
          <w:sz w:val="28"/>
          <w:szCs w:val="28"/>
        </w:rPr>
        <w:t xml:space="preserve">quitable to delay the respondents’ eviction from the property for a slim likelihood that </w:t>
      </w:r>
      <w:r w:rsidR="00327FD0">
        <w:rPr>
          <w:rFonts w:ascii="Times New Roman" w:hAnsi="Times New Roman"/>
          <w:sz w:val="28"/>
          <w:szCs w:val="28"/>
        </w:rPr>
        <w:t>t</w:t>
      </w:r>
      <w:r w:rsidR="004E7A8A">
        <w:rPr>
          <w:rFonts w:ascii="Times New Roman" w:hAnsi="Times New Roman"/>
          <w:sz w:val="28"/>
          <w:szCs w:val="28"/>
        </w:rPr>
        <w:t>he</w:t>
      </w:r>
      <w:r w:rsidR="00327FD0">
        <w:rPr>
          <w:rFonts w:ascii="Times New Roman" w:hAnsi="Times New Roman"/>
          <w:sz w:val="28"/>
          <w:szCs w:val="28"/>
        </w:rPr>
        <w:t xml:space="preserve"> first respondent</w:t>
      </w:r>
      <w:r w:rsidR="004E7A8A">
        <w:rPr>
          <w:rFonts w:ascii="Times New Roman" w:hAnsi="Times New Roman"/>
          <w:sz w:val="28"/>
          <w:szCs w:val="28"/>
        </w:rPr>
        <w:t xml:space="preserve"> may be reinstated.  In terms of Jewish law and custom </w:t>
      </w:r>
      <w:r>
        <w:rPr>
          <w:rFonts w:ascii="Times New Roman" w:hAnsi="Times New Roman"/>
          <w:sz w:val="28"/>
          <w:szCs w:val="28"/>
        </w:rPr>
        <w:t xml:space="preserve">however </w:t>
      </w:r>
      <w:r w:rsidR="004E7A8A">
        <w:rPr>
          <w:rFonts w:ascii="Times New Roman" w:hAnsi="Times New Roman"/>
          <w:sz w:val="28"/>
          <w:szCs w:val="28"/>
        </w:rPr>
        <w:t xml:space="preserve">his fate would be in the hands of the Beth-Din who will deal the </w:t>
      </w:r>
      <w:r w:rsidR="004E7A8A">
        <w:rPr>
          <w:rFonts w:ascii="Times New Roman" w:hAnsi="Times New Roman"/>
          <w:sz w:val="28"/>
          <w:szCs w:val="28"/>
        </w:rPr>
        <w:lastRenderedPageBreak/>
        <w:t>current impasse between the parties as it deems appropriate</w:t>
      </w:r>
      <w:r w:rsidR="003258D1">
        <w:rPr>
          <w:rFonts w:ascii="Times New Roman" w:hAnsi="Times New Roman"/>
          <w:sz w:val="28"/>
          <w:szCs w:val="28"/>
        </w:rPr>
        <w:t xml:space="preserve">, </w:t>
      </w:r>
      <w:r w:rsidR="004E7A8A">
        <w:rPr>
          <w:rFonts w:ascii="Times New Roman" w:hAnsi="Times New Roman"/>
          <w:sz w:val="28"/>
          <w:szCs w:val="28"/>
        </w:rPr>
        <w:t>according to such authority</w:t>
      </w:r>
      <w:r w:rsidR="003258D1">
        <w:rPr>
          <w:rFonts w:ascii="Times New Roman" w:hAnsi="Times New Roman"/>
          <w:sz w:val="28"/>
          <w:szCs w:val="28"/>
        </w:rPr>
        <w:t xml:space="preserve"> and with the necessary dignity that behooves the situation</w:t>
      </w:r>
      <w:r w:rsidR="004E7A8A">
        <w:rPr>
          <w:rFonts w:ascii="Times New Roman" w:hAnsi="Times New Roman"/>
          <w:sz w:val="28"/>
          <w:szCs w:val="28"/>
        </w:rPr>
        <w:t xml:space="preserve">. That outcome may also not entail a </w:t>
      </w:r>
      <w:r w:rsidR="00CD05AB">
        <w:rPr>
          <w:rFonts w:ascii="Times New Roman" w:hAnsi="Times New Roman"/>
          <w:sz w:val="28"/>
          <w:szCs w:val="28"/>
        </w:rPr>
        <w:t>“reinstatement”, but it is apparent that the first respondent will accept and abide</w:t>
      </w:r>
      <w:r>
        <w:rPr>
          <w:rFonts w:ascii="Times New Roman" w:hAnsi="Times New Roman"/>
          <w:sz w:val="28"/>
          <w:szCs w:val="28"/>
        </w:rPr>
        <w:t xml:space="preserve"> by</w:t>
      </w:r>
      <w:r w:rsidR="00CD05AB">
        <w:rPr>
          <w:rFonts w:ascii="Times New Roman" w:hAnsi="Times New Roman"/>
          <w:sz w:val="28"/>
          <w:szCs w:val="28"/>
        </w:rPr>
        <w:t xml:space="preserve"> whatever decision is made concerning his future as the Congregation’s rabbi.</w:t>
      </w:r>
      <w:r w:rsidR="00327FD0">
        <w:rPr>
          <w:rFonts w:ascii="Times New Roman" w:hAnsi="Times New Roman"/>
          <w:sz w:val="28"/>
          <w:szCs w:val="28"/>
        </w:rPr>
        <w:t xml:space="preserve">  This is what he has declared.</w:t>
      </w:r>
    </w:p>
    <w:p w14:paraId="20574DF3" w14:textId="77777777" w:rsidR="005D0253" w:rsidRPr="005D0253" w:rsidRDefault="005D0253" w:rsidP="005D0253">
      <w:pPr>
        <w:pStyle w:val="ListParagraph"/>
        <w:rPr>
          <w:rFonts w:ascii="Times New Roman" w:hAnsi="Times New Roman"/>
          <w:b/>
          <w:sz w:val="28"/>
          <w:szCs w:val="28"/>
        </w:rPr>
      </w:pPr>
    </w:p>
    <w:p w14:paraId="50562763" w14:textId="77777777" w:rsidR="005D0253" w:rsidRDefault="00A33DAD" w:rsidP="005D0253">
      <w:pPr>
        <w:pStyle w:val="ListParagraph"/>
        <w:numPr>
          <w:ilvl w:val="0"/>
          <w:numId w:val="2"/>
        </w:numPr>
        <w:tabs>
          <w:tab w:val="left" w:pos="0"/>
        </w:tabs>
        <w:spacing w:after="0" w:line="360" w:lineRule="auto"/>
        <w:ind w:left="0" w:firstLine="0"/>
        <w:rPr>
          <w:rFonts w:ascii="Times New Roman" w:hAnsi="Times New Roman"/>
          <w:bCs/>
          <w:sz w:val="28"/>
          <w:szCs w:val="28"/>
        </w:rPr>
      </w:pPr>
      <w:r>
        <w:rPr>
          <w:rFonts w:ascii="Times New Roman" w:hAnsi="Times New Roman"/>
          <w:bCs/>
          <w:sz w:val="28"/>
          <w:szCs w:val="28"/>
        </w:rPr>
        <w:t xml:space="preserve">If parties regulate their relationship as one of </w:t>
      </w:r>
      <w:r w:rsidR="00B20E4D">
        <w:rPr>
          <w:rFonts w:ascii="Times New Roman" w:hAnsi="Times New Roman"/>
          <w:bCs/>
          <w:sz w:val="28"/>
          <w:szCs w:val="28"/>
        </w:rPr>
        <w:t>employment,</w:t>
      </w:r>
      <w:r>
        <w:rPr>
          <w:rFonts w:ascii="Times New Roman" w:hAnsi="Times New Roman"/>
          <w:bCs/>
          <w:sz w:val="28"/>
          <w:szCs w:val="28"/>
        </w:rPr>
        <w:t xml:space="preserve"> then the provisions of the Labour Relations Act apply, but that does not necessarily mean </w:t>
      </w:r>
      <w:r w:rsidR="00B20E4D">
        <w:rPr>
          <w:rFonts w:ascii="Times New Roman" w:hAnsi="Times New Roman"/>
          <w:bCs/>
          <w:sz w:val="28"/>
          <w:szCs w:val="28"/>
        </w:rPr>
        <w:t xml:space="preserve">that the many disputes between the parties that have come over a lengthy period of time comfortably resort under the tidy concept of a dismissal dispute in respect of which the CCMA has jurisdiction.  </w:t>
      </w:r>
      <w:r w:rsidR="00655D1A">
        <w:rPr>
          <w:rFonts w:ascii="Times New Roman" w:hAnsi="Times New Roman"/>
          <w:bCs/>
          <w:sz w:val="28"/>
          <w:szCs w:val="28"/>
        </w:rPr>
        <w:t xml:space="preserve"> </w:t>
      </w:r>
      <w:r w:rsidR="00327FD0">
        <w:rPr>
          <w:rFonts w:ascii="Times New Roman" w:hAnsi="Times New Roman"/>
          <w:bCs/>
          <w:sz w:val="28"/>
          <w:szCs w:val="28"/>
        </w:rPr>
        <w:t>Evidently, there is more to this long-standing dispute than the culmination of the first respondent’s dismissal.</w:t>
      </w:r>
    </w:p>
    <w:p w14:paraId="1431DF14" w14:textId="77777777" w:rsidR="00B20E4D" w:rsidRPr="00B20E4D" w:rsidRDefault="00B20E4D" w:rsidP="00B20E4D">
      <w:pPr>
        <w:pStyle w:val="ListParagraph"/>
        <w:rPr>
          <w:rFonts w:ascii="Times New Roman" w:hAnsi="Times New Roman"/>
          <w:bCs/>
          <w:sz w:val="28"/>
          <w:szCs w:val="28"/>
        </w:rPr>
      </w:pPr>
    </w:p>
    <w:p w14:paraId="5847BB23" w14:textId="77777777" w:rsidR="00B20E4D" w:rsidRDefault="00FF0277" w:rsidP="005D0253">
      <w:pPr>
        <w:pStyle w:val="ListParagraph"/>
        <w:numPr>
          <w:ilvl w:val="0"/>
          <w:numId w:val="2"/>
        </w:numPr>
        <w:tabs>
          <w:tab w:val="left" w:pos="0"/>
        </w:tabs>
        <w:spacing w:after="0" w:line="360" w:lineRule="auto"/>
        <w:ind w:left="0" w:firstLine="0"/>
        <w:rPr>
          <w:rFonts w:ascii="Times New Roman" w:hAnsi="Times New Roman"/>
          <w:bCs/>
          <w:sz w:val="28"/>
          <w:szCs w:val="28"/>
        </w:rPr>
      </w:pPr>
      <w:r>
        <w:rPr>
          <w:rFonts w:ascii="Times New Roman" w:hAnsi="Times New Roman"/>
          <w:bCs/>
          <w:sz w:val="28"/>
          <w:szCs w:val="28"/>
        </w:rPr>
        <w:t>It seems unfortunate that the first respondent spurned the opportunity to refer a dismissal dispute to the CCMA, but the irony is that if he had appealed against the disciplinary hearing outcome to the Beth-Din (as one might suggest he did</w:t>
      </w:r>
      <w:r w:rsidR="005D41A3">
        <w:rPr>
          <w:rFonts w:ascii="Times New Roman" w:hAnsi="Times New Roman"/>
          <w:bCs/>
          <w:sz w:val="28"/>
          <w:szCs w:val="28"/>
        </w:rPr>
        <w:t>, albeit</w:t>
      </w:r>
      <w:r>
        <w:rPr>
          <w:rFonts w:ascii="Times New Roman" w:hAnsi="Times New Roman"/>
          <w:bCs/>
          <w:sz w:val="28"/>
          <w:szCs w:val="28"/>
        </w:rPr>
        <w:t xml:space="preserve"> later), the dispute arising therefrom would </w:t>
      </w:r>
      <w:r w:rsidR="00F364C9">
        <w:rPr>
          <w:rFonts w:ascii="Times New Roman" w:hAnsi="Times New Roman"/>
          <w:bCs/>
          <w:sz w:val="28"/>
          <w:szCs w:val="28"/>
        </w:rPr>
        <w:t>not have been conciliated in terms of the LRA until the app</w:t>
      </w:r>
      <w:r w:rsidR="00327FD0">
        <w:rPr>
          <w:rFonts w:ascii="Times New Roman" w:hAnsi="Times New Roman"/>
          <w:bCs/>
          <w:sz w:val="28"/>
          <w:szCs w:val="28"/>
        </w:rPr>
        <w:t>eal process had run its course.</w:t>
      </w:r>
      <w:r w:rsidR="00327FD0">
        <w:rPr>
          <w:rStyle w:val="FootnoteReference"/>
          <w:rFonts w:ascii="Times New Roman" w:hAnsi="Times New Roman"/>
          <w:bCs/>
          <w:sz w:val="28"/>
          <w:szCs w:val="28"/>
        </w:rPr>
        <w:footnoteReference w:id="69"/>
      </w:r>
      <w:r w:rsidR="00327FD0">
        <w:rPr>
          <w:rFonts w:ascii="Times New Roman" w:hAnsi="Times New Roman"/>
          <w:bCs/>
          <w:sz w:val="28"/>
          <w:szCs w:val="28"/>
        </w:rPr>
        <w:t xml:space="preserve"> </w:t>
      </w:r>
      <w:r w:rsidR="00F364C9">
        <w:rPr>
          <w:rFonts w:ascii="Times New Roman" w:hAnsi="Times New Roman"/>
          <w:bCs/>
          <w:sz w:val="28"/>
          <w:szCs w:val="28"/>
        </w:rPr>
        <w:t xml:space="preserve">In effect it has </w:t>
      </w:r>
      <w:r w:rsidR="00CE5337">
        <w:rPr>
          <w:rFonts w:ascii="Times New Roman" w:hAnsi="Times New Roman"/>
          <w:bCs/>
          <w:sz w:val="28"/>
          <w:szCs w:val="28"/>
        </w:rPr>
        <w:t>not yet been finally determined, neither did the first respondent participate in the pre-dismissal hearing.</w:t>
      </w:r>
    </w:p>
    <w:p w14:paraId="52E30262" w14:textId="77777777" w:rsidR="00F364C9" w:rsidRPr="00F364C9" w:rsidRDefault="00F364C9" w:rsidP="00F364C9">
      <w:pPr>
        <w:pStyle w:val="ListParagraph"/>
        <w:rPr>
          <w:rFonts w:ascii="Times New Roman" w:hAnsi="Times New Roman"/>
          <w:bCs/>
          <w:sz w:val="28"/>
          <w:szCs w:val="28"/>
        </w:rPr>
      </w:pPr>
    </w:p>
    <w:p w14:paraId="69DF4D2E" w14:textId="19F87DC5" w:rsidR="00F364C9" w:rsidRDefault="00F364C9" w:rsidP="005D0253">
      <w:pPr>
        <w:pStyle w:val="ListParagraph"/>
        <w:numPr>
          <w:ilvl w:val="0"/>
          <w:numId w:val="2"/>
        </w:numPr>
        <w:tabs>
          <w:tab w:val="left" w:pos="0"/>
        </w:tabs>
        <w:spacing w:after="0" w:line="360" w:lineRule="auto"/>
        <w:ind w:left="0" w:firstLine="0"/>
        <w:rPr>
          <w:rFonts w:ascii="Times New Roman" w:hAnsi="Times New Roman"/>
          <w:bCs/>
          <w:sz w:val="28"/>
          <w:szCs w:val="28"/>
        </w:rPr>
      </w:pPr>
      <w:r>
        <w:rPr>
          <w:rFonts w:ascii="Times New Roman" w:hAnsi="Times New Roman"/>
          <w:bCs/>
          <w:sz w:val="28"/>
          <w:szCs w:val="28"/>
        </w:rPr>
        <w:t xml:space="preserve">Despite what the employment agreement provides in clause 15, clause 13 </w:t>
      </w:r>
      <w:r w:rsidR="00287353">
        <w:rPr>
          <w:rFonts w:ascii="Times New Roman" w:hAnsi="Times New Roman"/>
          <w:bCs/>
          <w:sz w:val="28"/>
          <w:szCs w:val="28"/>
        </w:rPr>
        <w:t xml:space="preserve">merely provides that a termination of the agreement due to misconduct “shall be effected through the procedures prescribed in the Labour Relations Act”.  </w:t>
      </w:r>
      <w:r w:rsidR="00CE5337">
        <w:rPr>
          <w:rFonts w:ascii="Times New Roman" w:hAnsi="Times New Roman"/>
          <w:bCs/>
          <w:sz w:val="28"/>
          <w:szCs w:val="28"/>
        </w:rPr>
        <w:t xml:space="preserve">That is merely reinstating the law as it applies to all employment agreements </w:t>
      </w:r>
      <w:r w:rsidR="00141D26">
        <w:rPr>
          <w:rFonts w:ascii="Times New Roman" w:hAnsi="Times New Roman"/>
          <w:bCs/>
          <w:sz w:val="28"/>
          <w:szCs w:val="28"/>
        </w:rPr>
        <w:t>s</w:t>
      </w:r>
      <w:r w:rsidR="00CE5337">
        <w:rPr>
          <w:rFonts w:ascii="Times New Roman" w:hAnsi="Times New Roman"/>
          <w:bCs/>
          <w:sz w:val="28"/>
          <w:szCs w:val="28"/>
        </w:rPr>
        <w:t>ave for the</w:t>
      </w:r>
      <w:r w:rsidR="003A74A4">
        <w:rPr>
          <w:rFonts w:ascii="Times New Roman" w:hAnsi="Times New Roman"/>
          <w:bCs/>
          <w:sz w:val="28"/>
          <w:szCs w:val="28"/>
        </w:rPr>
        <w:t xml:space="preserve"> statutory</w:t>
      </w:r>
      <w:r w:rsidR="00CE5337">
        <w:rPr>
          <w:rFonts w:ascii="Times New Roman" w:hAnsi="Times New Roman"/>
          <w:bCs/>
          <w:sz w:val="28"/>
          <w:szCs w:val="28"/>
        </w:rPr>
        <w:t xml:space="preserve"> exclusions which do not apply here.</w:t>
      </w:r>
      <w:r w:rsidR="00CE5337">
        <w:rPr>
          <w:rStyle w:val="FootnoteReference"/>
          <w:rFonts w:ascii="Times New Roman" w:hAnsi="Times New Roman"/>
          <w:bCs/>
          <w:sz w:val="28"/>
          <w:szCs w:val="28"/>
        </w:rPr>
        <w:footnoteReference w:id="70"/>
      </w:r>
      <w:r w:rsidR="00CE5337">
        <w:rPr>
          <w:rFonts w:ascii="Times New Roman" w:hAnsi="Times New Roman"/>
          <w:bCs/>
          <w:sz w:val="28"/>
          <w:szCs w:val="28"/>
        </w:rPr>
        <w:t xml:space="preserve">  </w:t>
      </w:r>
      <w:r w:rsidR="00287353">
        <w:rPr>
          <w:rFonts w:ascii="Times New Roman" w:hAnsi="Times New Roman"/>
          <w:bCs/>
          <w:sz w:val="28"/>
          <w:szCs w:val="28"/>
        </w:rPr>
        <w:t>Those procedures do not confine the parties to seek their recourse before the CCMA.  The LRA</w:t>
      </w:r>
      <w:r w:rsidR="003A74A4">
        <w:rPr>
          <w:rFonts w:ascii="Times New Roman" w:hAnsi="Times New Roman"/>
          <w:bCs/>
          <w:sz w:val="28"/>
          <w:szCs w:val="28"/>
        </w:rPr>
        <w:t xml:space="preserve">, and more </w:t>
      </w:r>
      <w:r w:rsidR="003A74A4">
        <w:rPr>
          <w:rFonts w:ascii="Times New Roman" w:hAnsi="Times New Roman"/>
          <w:bCs/>
          <w:sz w:val="28"/>
          <w:szCs w:val="28"/>
        </w:rPr>
        <w:lastRenderedPageBreak/>
        <w:t>especially the Code of Good Practice in respect of Dismissals,</w:t>
      </w:r>
      <w:r w:rsidR="003A74A4">
        <w:rPr>
          <w:rStyle w:val="FootnoteReference"/>
          <w:rFonts w:ascii="Times New Roman" w:hAnsi="Times New Roman"/>
          <w:bCs/>
          <w:sz w:val="28"/>
          <w:szCs w:val="28"/>
        </w:rPr>
        <w:footnoteReference w:id="71"/>
      </w:r>
      <w:r w:rsidR="00287353">
        <w:rPr>
          <w:rFonts w:ascii="Times New Roman" w:hAnsi="Times New Roman"/>
          <w:bCs/>
          <w:sz w:val="28"/>
          <w:szCs w:val="28"/>
        </w:rPr>
        <w:t xml:space="preserve"> endorses the primacy of </w:t>
      </w:r>
      <w:r w:rsidR="00B92E22">
        <w:rPr>
          <w:rFonts w:ascii="Times New Roman" w:hAnsi="Times New Roman"/>
          <w:bCs/>
          <w:sz w:val="28"/>
          <w:szCs w:val="28"/>
        </w:rPr>
        <w:t xml:space="preserve">collective </w:t>
      </w:r>
      <w:r w:rsidR="003A74A4">
        <w:rPr>
          <w:rFonts w:ascii="Times New Roman" w:hAnsi="Times New Roman"/>
          <w:bCs/>
          <w:sz w:val="28"/>
          <w:szCs w:val="28"/>
        </w:rPr>
        <w:t xml:space="preserve">or recognition </w:t>
      </w:r>
      <w:r w:rsidR="00B92E22">
        <w:rPr>
          <w:rFonts w:ascii="Times New Roman" w:hAnsi="Times New Roman"/>
          <w:bCs/>
          <w:sz w:val="28"/>
          <w:szCs w:val="28"/>
        </w:rPr>
        <w:t>agreements between parties and a preference for a resolution of disputes according to such instruments.</w:t>
      </w:r>
      <w:r w:rsidR="003258D1">
        <w:rPr>
          <w:rStyle w:val="FootnoteReference"/>
          <w:rFonts w:ascii="Times New Roman" w:hAnsi="Times New Roman"/>
          <w:bCs/>
          <w:sz w:val="28"/>
          <w:szCs w:val="28"/>
        </w:rPr>
        <w:footnoteReference w:id="72"/>
      </w:r>
      <w:r w:rsidR="00B92E22">
        <w:rPr>
          <w:rFonts w:ascii="Times New Roman" w:hAnsi="Times New Roman"/>
          <w:bCs/>
          <w:sz w:val="28"/>
          <w:szCs w:val="28"/>
        </w:rPr>
        <w:t xml:space="preserve"> In other words, a resolve of the </w:t>
      </w:r>
      <w:r w:rsidR="00B92E22" w:rsidRPr="003258D1">
        <w:rPr>
          <w:rFonts w:ascii="Times New Roman" w:hAnsi="Times New Roman"/>
          <w:bCs/>
          <w:sz w:val="28"/>
          <w:szCs w:val="28"/>
        </w:rPr>
        <w:t>partie</w:t>
      </w:r>
      <w:r w:rsidR="003258D1">
        <w:rPr>
          <w:rFonts w:ascii="Times New Roman" w:hAnsi="Times New Roman"/>
          <w:bCs/>
          <w:sz w:val="28"/>
          <w:szCs w:val="28"/>
        </w:rPr>
        <w:t>s</w:t>
      </w:r>
      <w:r w:rsidR="00B92E22">
        <w:rPr>
          <w:rFonts w:ascii="Times New Roman" w:hAnsi="Times New Roman"/>
          <w:bCs/>
          <w:sz w:val="28"/>
          <w:szCs w:val="28"/>
        </w:rPr>
        <w:t xml:space="preserve"> differences concerning the claimed misconduct by the Beth-Din would not be proscribed by “the procedures” made provision for in the LRA.  </w:t>
      </w:r>
      <w:r w:rsidR="00C12E55">
        <w:rPr>
          <w:rFonts w:ascii="Times New Roman" w:hAnsi="Times New Roman"/>
          <w:bCs/>
          <w:sz w:val="28"/>
          <w:szCs w:val="28"/>
        </w:rPr>
        <w:t xml:space="preserve">To the contrary, where parties are able to resolve their disputes themselves, this is encouraged under the LRA and may found a basis for the labour fora to </w:t>
      </w:r>
      <w:r w:rsidR="009B53EE">
        <w:rPr>
          <w:rFonts w:ascii="Times New Roman" w:hAnsi="Times New Roman"/>
          <w:bCs/>
          <w:sz w:val="28"/>
          <w:szCs w:val="28"/>
        </w:rPr>
        <w:t>stay curial proceedings in the interests of such private dispute settlement option.</w:t>
      </w:r>
    </w:p>
    <w:p w14:paraId="36A0C6E9" w14:textId="77777777" w:rsidR="00B92E22" w:rsidRPr="00B92E22" w:rsidRDefault="00B92E22" w:rsidP="00B92E22">
      <w:pPr>
        <w:pStyle w:val="ListParagraph"/>
        <w:rPr>
          <w:rFonts w:ascii="Times New Roman" w:hAnsi="Times New Roman"/>
          <w:bCs/>
          <w:sz w:val="28"/>
          <w:szCs w:val="28"/>
        </w:rPr>
      </w:pPr>
    </w:p>
    <w:p w14:paraId="50FBB362" w14:textId="148AF383" w:rsidR="00880E36" w:rsidRPr="000747E4" w:rsidRDefault="00FF2BA6"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bCs/>
          <w:sz w:val="28"/>
          <w:szCs w:val="28"/>
        </w:rPr>
        <w:t xml:space="preserve">Although </w:t>
      </w:r>
      <w:r w:rsidR="00B92E22">
        <w:rPr>
          <w:rFonts w:ascii="Times New Roman" w:hAnsi="Times New Roman"/>
          <w:bCs/>
          <w:sz w:val="28"/>
          <w:szCs w:val="28"/>
        </w:rPr>
        <w:t xml:space="preserve">I concluded above that the respondents </w:t>
      </w:r>
      <w:r w:rsidR="009B53EE">
        <w:rPr>
          <w:rFonts w:ascii="Times New Roman" w:hAnsi="Times New Roman"/>
          <w:bCs/>
          <w:sz w:val="28"/>
          <w:szCs w:val="28"/>
        </w:rPr>
        <w:t>do</w:t>
      </w:r>
      <w:r w:rsidR="00B92E22">
        <w:rPr>
          <w:rFonts w:ascii="Times New Roman" w:hAnsi="Times New Roman"/>
          <w:bCs/>
          <w:sz w:val="28"/>
          <w:szCs w:val="28"/>
        </w:rPr>
        <w:t xml:space="preserve"> not have a </w:t>
      </w:r>
      <w:r w:rsidR="00B92E22" w:rsidRPr="000747E4">
        <w:rPr>
          <w:rFonts w:ascii="Times New Roman" w:hAnsi="Times New Roman"/>
          <w:bCs/>
          <w:i/>
          <w:iCs/>
          <w:sz w:val="28"/>
          <w:szCs w:val="28"/>
        </w:rPr>
        <w:t>right</w:t>
      </w:r>
      <w:r w:rsidR="00374055">
        <w:rPr>
          <w:rFonts w:ascii="Times New Roman" w:hAnsi="Times New Roman"/>
          <w:bCs/>
          <w:sz w:val="28"/>
          <w:szCs w:val="28"/>
        </w:rPr>
        <w:t xml:space="preserve"> to residency such as an occupier under the ESTA, I am inclined of the view that the approach adopted by the SCA in Snyers does indeed, as counsel for the respondents submitted, provide guidance concerning what the court would consider fair </w:t>
      </w:r>
      <w:r>
        <w:rPr>
          <w:rFonts w:ascii="Times New Roman" w:hAnsi="Times New Roman"/>
          <w:bCs/>
          <w:sz w:val="28"/>
          <w:szCs w:val="28"/>
        </w:rPr>
        <w:t xml:space="preserve">in a similar scenario </w:t>
      </w:r>
      <w:r w:rsidR="005D41A3">
        <w:rPr>
          <w:rFonts w:ascii="Times New Roman" w:hAnsi="Times New Roman"/>
          <w:bCs/>
          <w:sz w:val="28"/>
          <w:szCs w:val="28"/>
        </w:rPr>
        <w:t>not only in a labour context where the respondent’s right to occupy is an employment benefit under their relationship, but equally so in the constitutional realm of evictions where equitable principles apply.</w:t>
      </w:r>
      <w:r w:rsidR="000747E4">
        <w:rPr>
          <w:rFonts w:ascii="Times New Roman" w:hAnsi="Times New Roman"/>
          <w:bCs/>
          <w:sz w:val="28"/>
          <w:szCs w:val="28"/>
        </w:rPr>
        <w:t xml:space="preserve"> </w:t>
      </w:r>
    </w:p>
    <w:p w14:paraId="631D8F2A" w14:textId="77777777" w:rsidR="000747E4" w:rsidRPr="000747E4" w:rsidRDefault="000747E4" w:rsidP="000747E4">
      <w:pPr>
        <w:pStyle w:val="ListParagraph"/>
        <w:rPr>
          <w:rFonts w:ascii="Times New Roman" w:hAnsi="Times New Roman"/>
          <w:sz w:val="28"/>
          <w:szCs w:val="28"/>
        </w:rPr>
      </w:pPr>
    </w:p>
    <w:p w14:paraId="000A32ED" w14:textId="74B5FD55" w:rsidR="000747E4" w:rsidRDefault="000747E4" w:rsidP="000747E4">
      <w:pPr>
        <w:pStyle w:val="ListParagraph"/>
        <w:numPr>
          <w:ilvl w:val="0"/>
          <w:numId w:val="2"/>
        </w:numPr>
        <w:tabs>
          <w:tab w:val="left" w:pos="0"/>
        </w:tabs>
        <w:spacing w:after="0" w:line="360" w:lineRule="auto"/>
        <w:ind w:left="0" w:firstLine="0"/>
        <w:rPr>
          <w:rFonts w:ascii="Times New Roman" w:eastAsia="Times New Roman" w:hAnsi="Times New Roman"/>
          <w:color w:val="000000"/>
          <w:sz w:val="28"/>
          <w:szCs w:val="28"/>
          <w:lang w:eastAsia="en-ZA"/>
        </w:rPr>
      </w:pPr>
      <w:r>
        <w:rPr>
          <w:rFonts w:ascii="Times New Roman" w:hAnsi="Times New Roman"/>
          <w:sz w:val="28"/>
          <w:szCs w:val="28"/>
        </w:rPr>
        <w:t>In Minister of Police v Moodley</w:t>
      </w:r>
      <w:r w:rsidR="00245935">
        <w:rPr>
          <w:rStyle w:val="FootnoteReference"/>
          <w:rFonts w:ascii="Times New Roman" w:hAnsi="Times New Roman"/>
          <w:sz w:val="28"/>
          <w:szCs w:val="28"/>
        </w:rPr>
        <w:footnoteReference w:id="73"/>
      </w:r>
      <w:r>
        <w:rPr>
          <w:rFonts w:ascii="Times New Roman" w:hAnsi="Times New Roman"/>
          <w:sz w:val="28"/>
          <w:szCs w:val="28"/>
        </w:rPr>
        <w:t xml:space="preserve"> the </w:t>
      </w:r>
      <w:r w:rsidR="0047073E">
        <w:rPr>
          <w:rFonts w:ascii="Times New Roman" w:hAnsi="Times New Roman"/>
          <w:sz w:val="28"/>
          <w:szCs w:val="28"/>
        </w:rPr>
        <w:t>employer</w:t>
      </w:r>
      <w:r>
        <w:rPr>
          <w:rFonts w:ascii="Times New Roman" w:hAnsi="Times New Roman"/>
          <w:sz w:val="28"/>
          <w:szCs w:val="28"/>
        </w:rPr>
        <w:t xml:space="preserve"> </w:t>
      </w:r>
      <w:r w:rsidRPr="001E61F8">
        <w:rPr>
          <w:rFonts w:ascii="Times New Roman" w:hAnsi="Times New Roman"/>
          <w:sz w:val="28"/>
          <w:szCs w:val="28"/>
        </w:rPr>
        <w:t xml:space="preserve">purported to </w:t>
      </w:r>
      <w:r>
        <w:rPr>
          <w:rFonts w:ascii="Times New Roman" w:hAnsi="Times New Roman"/>
          <w:sz w:val="28"/>
          <w:szCs w:val="28"/>
        </w:rPr>
        <w:t xml:space="preserve">evict an employee from </w:t>
      </w:r>
      <w:r w:rsidRPr="001E61F8">
        <w:rPr>
          <w:rFonts w:ascii="Times New Roman" w:hAnsi="Times New Roman"/>
          <w:sz w:val="28"/>
          <w:szCs w:val="28"/>
        </w:rPr>
        <w:t>official</w:t>
      </w:r>
      <w:r w:rsidRPr="001E61F8">
        <w:rPr>
          <w:rFonts w:ascii="Times New Roman" w:eastAsia="Times New Roman" w:hAnsi="Times New Roman"/>
          <w:color w:val="000000"/>
          <w:sz w:val="28"/>
          <w:szCs w:val="28"/>
          <w:lang w:eastAsia="en-ZA"/>
        </w:rPr>
        <w:t xml:space="preserve"> police quarters</w:t>
      </w:r>
      <w:r>
        <w:rPr>
          <w:rFonts w:ascii="Times New Roman" w:eastAsia="Times New Roman" w:hAnsi="Times New Roman"/>
          <w:color w:val="000000"/>
          <w:sz w:val="28"/>
          <w:szCs w:val="28"/>
          <w:lang w:eastAsia="en-ZA"/>
        </w:rPr>
        <w:t xml:space="preserve"> without regard to the latter’s </w:t>
      </w:r>
      <w:r w:rsidRPr="00F177AD">
        <w:rPr>
          <w:rFonts w:ascii="Times New Roman" w:eastAsia="Times New Roman" w:hAnsi="Times New Roman"/>
          <w:color w:val="000000"/>
          <w:sz w:val="28"/>
          <w:szCs w:val="28"/>
          <w:lang w:eastAsia="en-ZA"/>
        </w:rPr>
        <w:t xml:space="preserve">constitutional right to procedurally fair administrative action </w:t>
      </w:r>
      <w:r>
        <w:rPr>
          <w:rFonts w:ascii="Times New Roman" w:eastAsia="Times New Roman" w:hAnsi="Times New Roman"/>
          <w:color w:val="000000"/>
          <w:sz w:val="28"/>
          <w:szCs w:val="28"/>
          <w:lang w:eastAsia="en-ZA"/>
        </w:rPr>
        <w:t>according to the</w:t>
      </w:r>
      <w:r w:rsidRPr="00F177AD">
        <w:rPr>
          <w:rFonts w:ascii="Times New Roman" w:eastAsia="Times New Roman" w:hAnsi="Times New Roman"/>
          <w:color w:val="000000"/>
          <w:sz w:val="28"/>
          <w:szCs w:val="28"/>
          <w:lang w:eastAsia="en-ZA"/>
        </w:rPr>
        <w:t xml:space="preserve"> well-established common-law concept of natural justice. </w:t>
      </w:r>
      <w:r>
        <w:rPr>
          <w:rFonts w:ascii="Times New Roman" w:eastAsia="Times New Roman" w:hAnsi="Times New Roman"/>
          <w:color w:val="000000"/>
          <w:sz w:val="28"/>
          <w:szCs w:val="28"/>
          <w:lang w:eastAsia="en-ZA"/>
        </w:rPr>
        <w:t>Whereas s</w:t>
      </w:r>
      <w:r w:rsidRPr="00F177AD">
        <w:rPr>
          <w:rFonts w:ascii="Times New Roman" w:eastAsia="Times New Roman" w:hAnsi="Times New Roman"/>
          <w:color w:val="000000"/>
          <w:sz w:val="28"/>
          <w:szCs w:val="28"/>
          <w:lang w:eastAsia="en-ZA"/>
        </w:rPr>
        <w:t>ection 3(2) of the Promotion of Administrative Justice Act</w:t>
      </w:r>
      <w:r w:rsidR="00CE5337">
        <w:rPr>
          <w:rFonts w:ascii="Times New Roman" w:eastAsia="Times New Roman" w:hAnsi="Times New Roman"/>
          <w:color w:val="000000"/>
          <w:sz w:val="28"/>
          <w:szCs w:val="28"/>
          <w:lang w:eastAsia="en-ZA"/>
        </w:rPr>
        <w:t>, No. 3 of 2000 (“PAJA”)</w:t>
      </w:r>
      <w:r w:rsidRPr="00F177AD">
        <w:rPr>
          <w:rFonts w:ascii="Times New Roman" w:eastAsia="Times New Roman" w:hAnsi="Times New Roman"/>
          <w:color w:val="000000"/>
          <w:sz w:val="28"/>
          <w:szCs w:val="28"/>
          <w:lang w:eastAsia="en-ZA"/>
        </w:rPr>
        <w:t xml:space="preserve"> requires an administrator to give an affected person adequate notice of the nature and purpose of the proposed administrative action</w:t>
      </w:r>
      <w:r w:rsidR="0047073E">
        <w:rPr>
          <w:rFonts w:ascii="Times New Roman" w:eastAsia="Times New Roman" w:hAnsi="Times New Roman"/>
          <w:color w:val="000000"/>
          <w:sz w:val="28"/>
          <w:szCs w:val="28"/>
          <w:lang w:eastAsia="en-ZA"/>
        </w:rPr>
        <w:t>, t</w:t>
      </w:r>
      <w:r w:rsidRPr="00F177AD">
        <w:rPr>
          <w:rFonts w:ascii="Times New Roman" w:eastAsia="Times New Roman" w:hAnsi="Times New Roman"/>
          <w:color w:val="000000"/>
          <w:sz w:val="28"/>
          <w:szCs w:val="28"/>
          <w:lang w:eastAsia="en-ZA"/>
        </w:rPr>
        <w:t>he respondent in th</w:t>
      </w:r>
      <w:r w:rsidR="00FF2BA6">
        <w:rPr>
          <w:rFonts w:ascii="Times New Roman" w:eastAsia="Times New Roman" w:hAnsi="Times New Roman"/>
          <w:color w:val="000000"/>
          <w:sz w:val="28"/>
          <w:szCs w:val="28"/>
          <w:lang w:eastAsia="en-ZA"/>
        </w:rPr>
        <w:t>at</w:t>
      </w:r>
      <w:r w:rsidRPr="00F177AD">
        <w:rPr>
          <w:rFonts w:ascii="Times New Roman" w:eastAsia="Times New Roman" w:hAnsi="Times New Roman"/>
          <w:color w:val="000000"/>
          <w:sz w:val="28"/>
          <w:szCs w:val="28"/>
          <w:lang w:eastAsia="en-ZA"/>
        </w:rPr>
        <w:t xml:space="preserve"> case was not told that a prior five-year </w:t>
      </w:r>
      <w:r w:rsidRPr="00F177AD">
        <w:rPr>
          <w:rFonts w:ascii="Times New Roman" w:eastAsia="Times New Roman" w:hAnsi="Times New Roman"/>
          <w:color w:val="000000"/>
          <w:sz w:val="28"/>
          <w:szCs w:val="28"/>
          <w:shd w:val="clear" w:color="auto" w:fill="FFFFFF"/>
          <w:lang w:eastAsia="en-ZA"/>
        </w:rPr>
        <w:t>occupation </w:t>
      </w:r>
      <w:r w:rsidRPr="00F177AD">
        <w:rPr>
          <w:rFonts w:ascii="Times New Roman" w:eastAsia="Times New Roman" w:hAnsi="Times New Roman"/>
          <w:color w:val="000000"/>
          <w:sz w:val="28"/>
          <w:szCs w:val="28"/>
          <w:lang w:eastAsia="en-ZA"/>
        </w:rPr>
        <w:t xml:space="preserve">period would be viewed by the housing committee as an absolute disqualification. Thus, he was not afforded an opportunity to make </w:t>
      </w:r>
      <w:r w:rsidRPr="00F177AD">
        <w:rPr>
          <w:rFonts w:ascii="Times New Roman" w:eastAsia="Times New Roman" w:hAnsi="Times New Roman"/>
          <w:color w:val="000000"/>
          <w:sz w:val="28"/>
          <w:szCs w:val="28"/>
          <w:lang w:eastAsia="en-ZA"/>
        </w:rPr>
        <w:lastRenderedPageBreak/>
        <w:t xml:space="preserve">any representations in relation thereto. </w:t>
      </w:r>
      <w:r w:rsidR="0047073E">
        <w:rPr>
          <w:rFonts w:ascii="Times New Roman" w:eastAsia="Times New Roman" w:hAnsi="Times New Roman"/>
          <w:color w:val="000000"/>
          <w:sz w:val="28"/>
          <w:szCs w:val="28"/>
          <w:lang w:eastAsia="en-ZA"/>
        </w:rPr>
        <w:t>The court held that i</w:t>
      </w:r>
      <w:r w:rsidRPr="00F177AD">
        <w:rPr>
          <w:rFonts w:ascii="Times New Roman" w:eastAsia="Times New Roman" w:hAnsi="Times New Roman"/>
          <w:color w:val="000000"/>
          <w:sz w:val="28"/>
          <w:szCs w:val="28"/>
          <w:lang w:eastAsia="en-ZA"/>
        </w:rPr>
        <w:t>t was not open to the SAPS to terminate </w:t>
      </w:r>
      <w:r w:rsidRPr="00F177AD">
        <w:rPr>
          <w:rFonts w:ascii="Times New Roman" w:eastAsia="Times New Roman" w:hAnsi="Times New Roman"/>
          <w:color w:val="000000"/>
          <w:sz w:val="28"/>
          <w:szCs w:val="28"/>
          <w:shd w:val="clear" w:color="auto" w:fill="FFFFFF"/>
          <w:lang w:eastAsia="en-ZA"/>
        </w:rPr>
        <w:t>occupation </w:t>
      </w:r>
      <w:r w:rsidRPr="00F177AD">
        <w:rPr>
          <w:rFonts w:ascii="Times New Roman" w:eastAsia="Times New Roman" w:hAnsi="Times New Roman"/>
          <w:color w:val="000000"/>
          <w:sz w:val="28"/>
          <w:szCs w:val="28"/>
          <w:lang w:eastAsia="en-ZA"/>
        </w:rPr>
        <w:t>of official quarters without following due process. The purported termination of the respondent’s </w:t>
      </w:r>
      <w:r w:rsidRPr="00F177AD">
        <w:rPr>
          <w:rFonts w:ascii="Times New Roman" w:eastAsia="Times New Roman" w:hAnsi="Times New Roman"/>
          <w:color w:val="000000"/>
          <w:sz w:val="28"/>
          <w:szCs w:val="28"/>
          <w:shd w:val="clear" w:color="auto" w:fill="FFFFFF"/>
          <w:lang w:eastAsia="en-ZA"/>
        </w:rPr>
        <w:t>occupation </w:t>
      </w:r>
      <w:r w:rsidRPr="00F177AD">
        <w:rPr>
          <w:rFonts w:ascii="Times New Roman" w:eastAsia="Times New Roman" w:hAnsi="Times New Roman"/>
          <w:color w:val="000000"/>
          <w:sz w:val="28"/>
          <w:szCs w:val="28"/>
          <w:lang w:eastAsia="en-ZA"/>
        </w:rPr>
        <w:t>was thus </w:t>
      </w:r>
      <w:r w:rsidRPr="00F177AD">
        <w:rPr>
          <w:rFonts w:ascii="Times New Roman" w:eastAsia="Times New Roman" w:hAnsi="Times New Roman"/>
          <w:color w:val="000000"/>
          <w:sz w:val="28"/>
          <w:szCs w:val="28"/>
          <w:shd w:val="clear" w:color="auto" w:fill="FFFFFF"/>
          <w:lang w:eastAsia="en-ZA"/>
        </w:rPr>
        <w:t>unlawful </w:t>
      </w:r>
      <w:r w:rsidRPr="00F177AD">
        <w:rPr>
          <w:rFonts w:ascii="Times New Roman" w:eastAsia="Times New Roman" w:hAnsi="Times New Roman"/>
          <w:color w:val="000000"/>
          <w:sz w:val="28"/>
          <w:szCs w:val="28"/>
          <w:lang w:eastAsia="en-ZA"/>
        </w:rPr>
        <w:t>and the appellant’s application for eviction could not succeed.</w:t>
      </w:r>
    </w:p>
    <w:p w14:paraId="22505A75" w14:textId="77777777" w:rsidR="00344F87" w:rsidRPr="00344F87" w:rsidRDefault="00344F87" w:rsidP="00344F87">
      <w:pPr>
        <w:pStyle w:val="ListParagraph"/>
        <w:rPr>
          <w:rFonts w:ascii="Times New Roman" w:eastAsia="Times New Roman" w:hAnsi="Times New Roman"/>
          <w:color w:val="000000"/>
          <w:sz w:val="28"/>
          <w:szCs w:val="28"/>
          <w:lang w:eastAsia="en-ZA"/>
        </w:rPr>
      </w:pPr>
    </w:p>
    <w:p w14:paraId="7FAB025C" w14:textId="77777777" w:rsidR="00245935" w:rsidRDefault="0047073E"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Whereas the facts of that matter are distinguishable from the present instance, and whereas the argument</w:t>
      </w:r>
      <w:r w:rsidR="00CE5337">
        <w:rPr>
          <w:rFonts w:ascii="Times New Roman" w:hAnsi="Times New Roman"/>
          <w:sz w:val="28"/>
          <w:szCs w:val="28"/>
        </w:rPr>
        <w:t xml:space="preserve"> in that judgment</w:t>
      </w:r>
      <w:r>
        <w:rPr>
          <w:rFonts w:ascii="Times New Roman" w:hAnsi="Times New Roman"/>
          <w:sz w:val="28"/>
          <w:szCs w:val="28"/>
        </w:rPr>
        <w:t xml:space="preserve"> went about the lawfulness of the occupation rather than the concept</w:t>
      </w:r>
      <w:r w:rsidR="00CE5337">
        <w:rPr>
          <w:rFonts w:ascii="Times New Roman" w:hAnsi="Times New Roman"/>
          <w:sz w:val="28"/>
          <w:szCs w:val="28"/>
        </w:rPr>
        <w:t>s</w:t>
      </w:r>
      <w:r>
        <w:rPr>
          <w:rFonts w:ascii="Times New Roman" w:hAnsi="Times New Roman"/>
          <w:sz w:val="28"/>
          <w:szCs w:val="28"/>
        </w:rPr>
        <w:t xml:space="preserve"> of justice and equity</w:t>
      </w:r>
      <w:r w:rsidR="00CE5337">
        <w:rPr>
          <w:rFonts w:ascii="Times New Roman" w:hAnsi="Times New Roman"/>
          <w:sz w:val="28"/>
          <w:szCs w:val="28"/>
        </w:rPr>
        <w:t xml:space="preserve"> envisaged under the PIE Act</w:t>
      </w:r>
      <w:r>
        <w:rPr>
          <w:rFonts w:ascii="Times New Roman" w:hAnsi="Times New Roman"/>
          <w:sz w:val="28"/>
          <w:szCs w:val="28"/>
        </w:rPr>
        <w:t>, it appears that a court will le</w:t>
      </w:r>
      <w:r w:rsidR="00245935">
        <w:rPr>
          <w:rFonts w:ascii="Times New Roman" w:hAnsi="Times New Roman"/>
          <w:sz w:val="28"/>
          <w:szCs w:val="28"/>
        </w:rPr>
        <w:t>an in favour of an employee being</w:t>
      </w:r>
      <w:r>
        <w:rPr>
          <w:rFonts w:ascii="Times New Roman" w:hAnsi="Times New Roman"/>
          <w:sz w:val="28"/>
          <w:szCs w:val="28"/>
        </w:rPr>
        <w:t xml:space="preserve"> afforded a fair opportunity to defend his </w:t>
      </w:r>
      <w:r w:rsidR="00A816C3">
        <w:rPr>
          <w:rFonts w:ascii="Times New Roman" w:hAnsi="Times New Roman"/>
          <w:sz w:val="28"/>
          <w:szCs w:val="28"/>
        </w:rPr>
        <w:t xml:space="preserve">derivative </w:t>
      </w:r>
      <w:r>
        <w:rPr>
          <w:rFonts w:ascii="Times New Roman" w:hAnsi="Times New Roman"/>
          <w:sz w:val="28"/>
          <w:szCs w:val="28"/>
        </w:rPr>
        <w:t xml:space="preserve">right </w:t>
      </w:r>
      <w:r w:rsidR="00A816C3">
        <w:rPr>
          <w:rFonts w:ascii="Times New Roman" w:hAnsi="Times New Roman"/>
          <w:sz w:val="28"/>
          <w:szCs w:val="28"/>
        </w:rPr>
        <w:t xml:space="preserve">of residency so as </w:t>
      </w:r>
      <w:r>
        <w:rPr>
          <w:rFonts w:ascii="Times New Roman" w:hAnsi="Times New Roman"/>
          <w:sz w:val="28"/>
          <w:szCs w:val="28"/>
        </w:rPr>
        <w:t xml:space="preserve">not to be </w:t>
      </w:r>
      <w:r w:rsidR="00CE5337">
        <w:rPr>
          <w:rFonts w:ascii="Times New Roman" w:hAnsi="Times New Roman"/>
          <w:sz w:val="28"/>
          <w:szCs w:val="28"/>
        </w:rPr>
        <w:t>rendered homeless, before evicting him.</w:t>
      </w:r>
    </w:p>
    <w:p w14:paraId="5E867250" w14:textId="77777777" w:rsidR="00245935" w:rsidRPr="00245935" w:rsidRDefault="00245935" w:rsidP="00245935">
      <w:pPr>
        <w:pStyle w:val="ListParagraph"/>
        <w:rPr>
          <w:rFonts w:ascii="Times New Roman" w:hAnsi="Times New Roman"/>
          <w:sz w:val="28"/>
          <w:szCs w:val="28"/>
        </w:rPr>
      </w:pPr>
    </w:p>
    <w:p w14:paraId="66DC60AB" w14:textId="04C48C16" w:rsidR="000747E4" w:rsidRPr="00374055" w:rsidRDefault="00245935"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By parity of reasoning</w:t>
      </w:r>
      <w:r w:rsidR="00CE5337">
        <w:rPr>
          <w:rFonts w:ascii="Times New Roman" w:hAnsi="Times New Roman"/>
          <w:sz w:val="28"/>
          <w:szCs w:val="28"/>
        </w:rPr>
        <w:t>,</w:t>
      </w:r>
      <w:r>
        <w:rPr>
          <w:rFonts w:ascii="Times New Roman" w:hAnsi="Times New Roman"/>
          <w:sz w:val="28"/>
          <w:szCs w:val="28"/>
        </w:rPr>
        <w:t xml:space="preserve"> </w:t>
      </w:r>
      <w:r w:rsidR="00CE5337">
        <w:rPr>
          <w:rFonts w:ascii="Times New Roman" w:hAnsi="Times New Roman"/>
          <w:sz w:val="28"/>
          <w:szCs w:val="28"/>
        </w:rPr>
        <w:t xml:space="preserve">the </w:t>
      </w:r>
      <w:r>
        <w:rPr>
          <w:rFonts w:ascii="Times New Roman" w:hAnsi="Times New Roman"/>
          <w:sz w:val="28"/>
          <w:szCs w:val="28"/>
        </w:rPr>
        <w:t xml:space="preserve">expectation that the first respondent should be </w:t>
      </w:r>
      <w:r w:rsidR="00A816C3">
        <w:rPr>
          <w:rFonts w:ascii="Times New Roman" w:hAnsi="Times New Roman"/>
          <w:sz w:val="28"/>
          <w:szCs w:val="28"/>
        </w:rPr>
        <w:t>given the opportunity to have a labour dispute finally determined before being evicted to my mind accords with the constitutional objective</w:t>
      </w:r>
      <w:r w:rsidR="00FF2BA6">
        <w:rPr>
          <w:rFonts w:ascii="Times New Roman" w:hAnsi="Times New Roman"/>
          <w:sz w:val="28"/>
          <w:szCs w:val="28"/>
        </w:rPr>
        <w:t>s</w:t>
      </w:r>
      <w:r w:rsidR="00A816C3">
        <w:rPr>
          <w:rFonts w:ascii="Times New Roman" w:hAnsi="Times New Roman"/>
          <w:sz w:val="28"/>
          <w:szCs w:val="28"/>
        </w:rPr>
        <w:t xml:space="preserve"> </w:t>
      </w:r>
      <w:r w:rsidR="00AF15DD">
        <w:rPr>
          <w:rFonts w:ascii="Times New Roman" w:hAnsi="Times New Roman"/>
          <w:sz w:val="28"/>
          <w:szCs w:val="28"/>
        </w:rPr>
        <w:t>of justice and equity.</w:t>
      </w:r>
    </w:p>
    <w:p w14:paraId="2F7578C2" w14:textId="77777777" w:rsidR="00374055" w:rsidRPr="00374055" w:rsidRDefault="00374055" w:rsidP="00374055">
      <w:pPr>
        <w:pStyle w:val="ListParagraph"/>
        <w:rPr>
          <w:rFonts w:ascii="Times New Roman" w:hAnsi="Times New Roman"/>
          <w:sz w:val="28"/>
          <w:szCs w:val="28"/>
        </w:rPr>
      </w:pPr>
    </w:p>
    <w:p w14:paraId="48A66EE3" w14:textId="77777777" w:rsidR="00245935" w:rsidRDefault="00374055"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 xml:space="preserve">There is every indication that the first respondent has sought to subject himself to </w:t>
      </w:r>
      <w:r w:rsidR="000747E4">
        <w:rPr>
          <w:rFonts w:ascii="Times New Roman" w:hAnsi="Times New Roman"/>
          <w:sz w:val="28"/>
          <w:szCs w:val="28"/>
        </w:rPr>
        <w:t>Halachic</w:t>
      </w:r>
      <w:r>
        <w:rPr>
          <w:rFonts w:ascii="Times New Roman" w:hAnsi="Times New Roman"/>
          <w:sz w:val="28"/>
          <w:szCs w:val="28"/>
        </w:rPr>
        <w:t xml:space="preserve"> authority in </w:t>
      </w:r>
      <w:r w:rsidR="000747E4">
        <w:rPr>
          <w:rFonts w:ascii="Times New Roman" w:hAnsi="Times New Roman"/>
          <w:sz w:val="28"/>
          <w:szCs w:val="28"/>
        </w:rPr>
        <w:t xml:space="preserve">respect of the issues which have arisen and have caused this congregation to </w:t>
      </w:r>
      <w:r w:rsidR="00A816C3">
        <w:rPr>
          <w:rFonts w:ascii="Times New Roman" w:hAnsi="Times New Roman"/>
          <w:sz w:val="28"/>
          <w:szCs w:val="28"/>
        </w:rPr>
        <w:t>limp along since the Society first accused him of misconduct.</w:t>
      </w:r>
      <w:r w:rsidR="00AF15DD">
        <w:rPr>
          <w:rFonts w:ascii="Times New Roman" w:hAnsi="Times New Roman"/>
          <w:sz w:val="28"/>
          <w:szCs w:val="28"/>
        </w:rPr>
        <w:t xml:space="preserve">  In the context of the sacred assembly that the congregation is, it is worrying that the matter remains unresolved years after the fact and the relationships between the parties in tatters. While a resort to the secular courts may have be</w:t>
      </w:r>
      <w:r w:rsidR="00CE5337">
        <w:rPr>
          <w:rFonts w:ascii="Times New Roman" w:hAnsi="Times New Roman"/>
          <w:sz w:val="28"/>
          <w:szCs w:val="28"/>
        </w:rPr>
        <w:t>e</w:t>
      </w:r>
      <w:r w:rsidR="00AF15DD">
        <w:rPr>
          <w:rFonts w:ascii="Times New Roman" w:hAnsi="Times New Roman"/>
          <w:sz w:val="28"/>
          <w:szCs w:val="28"/>
        </w:rPr>
        <w:t xml:space="preserve">n legally justified, this is not what </w:t>
      </w:r>
      <w:r w:rsidR="00AB23CB">
        <w:rPr>
          <w:rFonts w:ascii="Times New Roman" w:hAnsi="Times New Roman"/>
          <w:sz w:val="28"/>
          <w:szCs w:val="28"/>
        </w:rPr>
        <w:t xml:space="preserve">voluntary associations are </w:t>
      </w:r>
      <w:r w:rsidR="00CE5337">
        <w:rPr>
          <w:rFonts w:ascii="Times New Roman" w:hAnsi="Times New Roman"/>
          <w:sz w:val="28"/>
          <w:szCs w:val="28"/>
        </w:rPr>
        <w:t xml:space="preserve">all </w:t>
      </w:r>
      <w:r w:rsidR="00AB23CB">
        <w:rPr>
          <w:rFonts w:ascii="Times New Roman" w:hAnsi="Times New Roman"/>
          <w:sz w:val="28"/>
          <w:szCs w:val="28"/>
        </w:rPr>
        <w:t xml:space="preserve">about. </w:t>
      </w:r>
    </w:p>
    <w:p w14:paraId="33F8CE16" w14:textId="77777777" w:rsidR="00245935" w:rsidRPr="00245935" w:rsidRDefault="00245935" w:rsidP="00245935">
      <w:pPr>
        <w:pStyle w:val="ListParagraph"/>
        <w:rPr>
          <w:rFonts w:ascii="Times New Roman" w:hAnsi="Times New Roman"/>
          <w:sz w:val="28"/>
          <w:szCs w:val="28"/>
        </w:rPr>
      </w:pPr>
    </w:p>
    <w:p w14:paraId="6B06F0BD" w14:textId="3FFEF975" w:rsidR="00245935" w:rsidRDefault="00AB23CB"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 xml:space="preserve">Despite the fact that the first respondent resisted an appearance before disciplinary hearing, it is abundantly plain that he has to date not had the opportunity to state his case. </w:t>
      </w:r>
      <w:r w:rsidR="00875D1B">
        <w:rPr>
          <w:rFonts w:ascii="Times New Roman" w:hAnsi="Times New Roman"/>
          <w:sz w:val="28"/>
          <w:szCs w:val="28"/>
        </w:rPr>
        <w:t xml:space="preserve"> </w:t>
      </w:r>
      <w:r w:rsidR="009152C9">
        <w:rPr>
          <w:rFonts w:ascii="Times New Roman" w:hAnsi="Times New Roman"/>
          <w:sz w:val="28"/>
          <w:szCs w:val="28"/>
        </w:rPr>
        <w:t xml:space="preserve">Fairness underscores </w:t>
      </w:r>
      <w:r w:rsidR="00872CA4">
        <w:rPr>
          <w:rFonts w:ascii="Times New Roman" w:hAnsi="Times New Roman"/>
          <w:sz w:val="28"/>
          <w:szCs w:val="28"/>
        </w:rPr>
        <w:t xml:space="preserve">relationships of employment.  Further, where a derivative right of occupancy inextricably linked with such </w:t>
      </w:r>
      <w:r w:rsidR="00872CA4">
        <w:rPr>
          <w:rFonts w:ascii="Times New Roman" w:hAnsi="Times New Roman"/>
          <w:sz w:val="28"/>
          <w:szCs w:val="28"/>
        </w:rPr>
        <w:lastRenderedPageBreak/>
        <w:t>relationship is under threat, a court must strive to ensure that justice and equity prevail</w:t>
      </w:r>
      <w:r w:rsidR="00FF2BA6">
        <w:rPr>
          <w:rFonts w:ascii="Times New Roman" w:hAnsi="Times New Roman"/>
          <w:sz w:val="28"/>
          <w:szCs w:val="28"/>
        </w:rPr>
        <w:t xml:space="preserve"> in a scenario such as the present one.</w:t>
      </w:r>
    </w:p>
    <w:p w14:paraId="044E7F32" w14:textId="77777777" w:rsidR="00245935" w:rsidRPr="00245935" w:rsidRDefault="00245935" w:rsidP="00245935">
      <w:pPr>
        <w:pStyle w:val="ListParagraph"/>
        <w:rPr>
          <w:rFonts w:ascii="Times New Roman" w:hAnsi="Times New Roman"/>
          <w:sz w:val="28"/>
          <w:szCs w:val="28"/>
        </w:rPr>
      </w:pPr>
    </w:p>
    <w:p w14:paraId="52725071" w14:textId="2EFFAFA0" w:rsidR="00374055" w:rsidRDefault="00FF2BA6" w:rsidP="00C83939">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On a balance of</w:t>
      </w:r>
      <w:r w:rsidR="00872CA4">
        <w:rPr>
          <w:rFonts w:ascii="Times New Roman" w:hAnsi="Times New Roman"/>
          <w:sz w:val="28"/>
          <w:szCs w:val="28"/>
        </w:rPr>
        <w:t xml:space="preserve"> the</w:t>
      </w:r>
      <w:r w:rsidR="000F746E">
        <w:rPr>
          <w:rFonts w:ascii="Times New Roman" w:hAnsi="Times New Roman"/>
          <w:sz w:val="28"/>
          <w:szCs w:val="28"/>
        </w:rPr>
        <w:t xml:space="preserve"> </w:t>
      </w:r>
      <w:r>
        <w:rPr>
          <w:rFonts w:ascii="Times New Roman" w:hAnsi="Times New Roman"/>
          <w:sz w:val="28"/>
          <w:szCs w:val="28"/>
        </w:rPr>
        <w:t>competing</w:t>
      </w:r>
      <w:r w:rsidR="00872CA4">
        <w:rPr>
          <w:rFonts w:ascii="Times New Roman" w:hAnsi="Times New Roman"/>
          <w:sz w:val="28"/>
          <w:szCs w:val="28"/>
        </w:rPr>
        <w:t xml:space="preserve"> rights of the parties, it is significant to my mind that the applicant has not given an inch in making it possible for the first respondent to present his side </w:t>
      </w:r>
      <w:r w:rsidR="00245935">
        <w:rPr>
          <w:rFonts w:ascii="Times New Roman" w:hAnsi="Times New Roman"/>
          <w:sz w:val="28"/>
          <w:szCs w:val="28"/>
        </w:rPr>
        <w:t>of</w:t>
      </w:r>
      <w:r w:rsidR="00872CA4">
        <w:rPr>
          <w:rFonts w:ascii="Times New Roman" w:hAnsi="Times New Roman"/>
          <w:sz w:val="28"/>
          <w:szCs w:val="28"/>
        </w:rPr>
        <w:t xml:space="preserve"> the story.  </w:t>
      </w:r>
      <w:r w:rsidR="000F746E">
        <w:rPr>
          <w:rFonts w:ascii="Times New Roman" w:hAnsi="Times New Roman"/>
          <w:sz w:val="28"/>
          <w:szCs w:val="28"/>
        </w:rPr>
        <w:t>The</w:t>
      </w:r>
      <w:r w:rsidR="00872CA4">
        <w:rPr>
          <w:rFonts w:ascii="Times New Roman" w:hAnsi="Times New Roman"/>
          <w:sz w:val="28"/>
          <w:szCs w:val="28"/>
        </w:rPr>
        <w:t xml:space="preserve"> applicant has not </w:t>
      </w:r>
      <w:r w:rsidR="000F746E">
        <w:rPr>
          <w:rFonts w:ascii="Times New Roman" w:hAnsi="Times New Roman"/>
          <w:sz w:val="28"/>
          <w:szCs w:val="28"/>
        </w:rPr>
        <w:t xml:space="preserve">even </w:t>
      </w:r>
      <w:r w:rsidR="00872CA4">
        <w:rPr>
          <w:rFonts w:ascii="Times New Roman" w:hAnsi="Times New Roman"/>
          <w:sz w:val="28"/>
          <w:szCs w:val="28"/>
        </w:rPr>
        <w:t xml:space="preserve">taken this court into its confidence concerning the actual charges of misconduct </w:t>
      </w:r>
      <w:r w:rsidR="000F746E">
        <w:rPr>
          <w:rFonts w:ascii="Times New Roman" w:hAnsi="Times New Roman"/>
          <w:sz w:val="28"/>
          <w:szCs w:val="28"/>
        </w:rPr>
        <w:t xml:space="preserve">against the first </w:t>
      </w:r>
      <w:r w:rsidR="00D64515">
        <w:rPr>
          <w:rFonts w:ascii="Times New Roman" w:hAnsi="Times New Roman"/>
          <w:sz w:val="28"/>
          <w:szCs w:val="28"/>
        </w:rPr>
        <w:t>respondent if</w:t>
      </w:r>
      <w:r w:rsidR="000F746E">
        <w:rPr>
          <w:rFonts w:ascii="Times New Roman" w:hAnsi="Times New Roman"/>
          <w:sz w:val="28"/>
          <w:szCs w:val="28"/>
        </w:rPr>
        <w:t xml:space="preserve"> such complaints are against him </w:t>
      </w:r>
      <w:r w:rsidR="00D64515">
        <w:rPr>
          <w:rFonts w:ascii="Times New Roman" w:hAnsi="Times New Roman"/>
          <w:sz w:val="28"/>
          <w:szCs w:val="28"/>
        </w:rPr>
        <w:t xml:space="preserve">at all (concerning the contested will), </w:t>
      </w:r>
      <w:r w:rsidR="000F746E">
        <w:rPr>
          <w:rFonts w:ascii="Times New Roman" w:hAnsi="Times New Roman"/>
          <w:sz w:val="28"/>
          <w:szCs w:val="28"/>
        </w:rPr>
        <w:t>as opposed to the second respondent.  Neither has it afforded a plausible reason why it would not submit itself to the authority of the Beth-Din to allow the first respondent’s dispute referral to be finally determined</w:t>
      </w:r>
      <w:r w:rsidR="00D64515">
        <w:rPr>
          <w:rFonts w:ascii="Times New Roman" w:hAnsi="Times New Roman"/>
          <w:sz w:val="28"/>
          <w:szCs w:val="28"/>
        </w:rPr>
        <w:t xml:space="preserve">, since the ecclesiastical court will surely be comprised of different </w:t>
      </w:r>
      <w:r w:rsidR="00D64515" w:rsidRPr="00816556">
        <w:rPr>
          <w:rFonts w:ascii="Times New Roman" w:hAnsi="Times New Roman"/>
          <w:sz w:val="28"/>
          <w:szCs w:val="28"/>
        </w:rPr>
        <w:t>da</w:t>
      </w:r>
      <w:r w:rsidR="00B36F46" w:rsidRPr="00816556">
        <w:rPr>
          <w:rFonts w:ascii="Times New Roman" w:hAnsi="Times New Roman"/>
          <w:sz w:val="28"/>
          <w:szCs w:val="28"/>
        </w:rPr>
        <w:t>y</w:t>
      </w:r>
      <w:r w:rsidR="00CE5337">
        <w:rPr>
          <w:rFonts w:ascii="Times New Roman" w:hAnsi="Times New Roman"/>
          <w:sz w:val="28"/>
          <w:szCs w:val="28"/>
        </w:rPr>
        <w:t>anim</w:t>
      </w:r>
      <w:r w:rsidR="00B36F46">
        <w:rPr>
          <w:rFonts w:ascii="Times New Roman" w:hAnsi="Times New Roman"/>
          <w:sz w:val="28"/>
          <w:szCs w:val="28"/>
        </w:rPr>
        <w:t>.</w:t>
      </w:r>
      <w:r w:rsidR="00D64515">
        <w:rPr>
          <w:rFonts w:ascii="Times New Roman" w:hAnsi="Times New Roman"/>
          <w:sz w:val="28"/>
          <w:szCs w:val="28"/>
        </w:rPr>
        <w:t xml:space="preserve"> </w:t>
      </w:r>
    </w:p>
    <w:p w14:paraId="0684F07F" w14:textId="77777777" w:rsidR="00344F87" w:rsidRDefault="00344F87" w:rsidP="00344F87">
      <w:pPr>
        <w:pStyle w:val="ListParagraph"/>
        <w:tabs>
          <w:tab w:val="left" w:pos="0"/>
        </w:tabs>
        <w:spacing w:after="0" w:line="360" w:lineRule="auto"/>
        <w:ind w:left="0"/>
        <w:rPr>
          <w:rFonts w:ascii="Times New Roman" w:hAnsi="Times New Roman"/>
          <w:sz w:val="28"/>
          <w:szCs w:val="28"/>
        </w:rPr>
      </w:pPr>
    </w:p>
    <w:p w14:paraId="350AEBC3" w14:textId="284CE7BF" w:rsidR="00F849DC" w:rsidRPr="00595AC7" w:rsidRDefault="00B36F46" w:rsidP="00595AC7">
      <w:pPr>
        <w:pStyle w:val="ListParagraph"/>
        <w:numPr>
          <w:ilvl w:val="0"/>
          <w:numId w:val="2"/>
        </w:numPr>
        <w:tabs>
          <w:tab w:val="left" w:pos="0"/>
        </w:tabs>
        <w:spacing w:after="0" w:line="360" w:lineRule="auto"/>
        <w:ind w:left="0" w:firstLine="0"/>
        <w:rPr>
          <w:rFonts w:ascii="Times New Roman" w:hAnsi="Times New Roman"/>
          <w:sz w:val="28"/>
          <w:szCs w:val="28"/>
        </w:rPr>
      </w:pPr>
      <w:r>
        <w:rPr>
          <w:rFonts w:ascii="Times New Roman" w:hAnsi="Times New Roman"/>
          <w:sz w:val="28"/>
          <w:szCs w:val="28"/>
        </w:rPr>
        <w:t xml:space="preserve">If this court is to remain true to the principles of justice and </w:t>
      </w:r>
      <w:r w:rsidR="008E6725">
        <w:rPr>
          <w:rFonts w:ascii="Times New Roman" w:hAnsi="Times New Roman"/>
          <w:sz w:val="28"/>
          <w:szCs w:val="28"/>
        </w:rPr>
        <w:t>equity,</w:t>
      </w:r>
      <w:r>
        <w:rPr>
          <w:rFonts w:ascii="Times New Roman" w:hAnsi="Times New Roman"/>
          <w:sz w:val="28"/>
          <w:szCs w:val="28"/>
        </w:rPr>
        <w:t xml:space="preserve"> I consider it necessary to allow the parties (and I stress that this is not only the concern of the first respondent) a reasonable opportunity to seek a resolve of the issues that continue to bedevil the harmo</w:t>
      </w:r>
      <w:r w:rsidR="00CE5337">
        <w:rPr>
          <w:rFonts w:ascii="Times New Roman" w:hAnsi="Times New Roman"/>
          <w:sz w:val="28"/>
          <w:szCs w:val="28"/>
        </w:rPr>
        <w:t xml:space="preserve">nious order </w:t>
      </w:r>
      <w:r w:rsidR="00F849DC">
        <w:rPr>
          <w:rFonts w:ascii="Times New Roman" w:hAnsi="Times New Roman"/>
          <w:sz w:val="28"/>
          <w:szCs w:val="28"/>
        </w:rPr>
        <w:t>of the Congregation</w:t>
      </w:r>
      <w:r w:rsidR="00CE5337">
        <w:rPr>
          <w:rFonts w:ascii="Times New Roman" w:hAnsi="Times New Roman"/>
          <w:sz w:val="28"/>
          <w:szCs w:val="28"/>
        </w:rPr>
        <w:t xml:space="preserve"> before</w:t>
      </w:r>
      <w:r w:rsidR="00816556">
        <w:rPr>
          <w:rFonts w:ascii="Times New Roman" w:hAnsi="Times New Roman"/>
          <w:sz w:val="28"/>
          <w:szCs w:val="28"/>
        </w:rPr>
        <w:t xml:space="preserve"> determining finally whether it is fair, appropriate</w:t>
      </w:r>
      <w:r w:rsidR="007B163D">
        <w:rPr>
          <w:rFonts w:ascii="Times New Roman" w:hAnsi="Times New Roman"/>
          <w:sz w:val="28"/>
          <w:szCs w:val="28"/>
        </w:rPr>
        <w:t>,</w:t>
      </w:r>
      <w:r w:rsidR="00816556">
        <w:rPr>
          <w:rFonts w:ascii="Times New Roman" w:hAnsi="Times New Roman"/>
          <w:sz w:val="28"/>
          <w:szCs w:val="28"/>
        </w:rPr>
        <w:t xml:space="preserve"> and timely that an eviction order be granted.</w:t>
      </w:r>
    </w:p>
    <w:p w14:paraId="7F037772" w14:textId="77777777" w:rsidR="00F849DC" w:rsidRPr="00F849DC" w:rsidRDefault="00F849DC" w:rsidP="00F849DC">
      <w:pPr>
        <w:tabs>
          <w:tab w:val="left" w:pos="0"/>
        </w:tabs>
        <w:spacing w:line="360" w:lineRule="auto"/>
        <w:rPr>
          <w:rFonts w:ascii="Times New Roman" w:hAnsi="Times New Roman"/>
          <w:sz w:val="28"/>
          <w:szCs w:val="28"/>
        </w:rPr>
      </w:pPr>
    </w:p>
    <w:p w14:paraId="430A47ED" w14:textId="77777777" w:rsidR="002B50A9" w:rsidRPr="00880E36" w:rsidRDefault="002B50A9" w:rsidP="00D46D76">
      <w:pPr>
        <w:pStyle w:val="ListParagraph"/>
        <w:numPr>
          <w:ilvl w:val="0"/>
          <w:numId w:val="2"/>
        </w:numPr>
        <w:tabs>
          <w:tab w:val="left" w:pos="0"/>
        </w:tabs>
        <w:spacing w:after="0" w:line="360" w:lineRule="auto"/>
        <w:ind w:left="0" w:firstLine="0"/>
        <w:rPr>
          <w:rFonts w:ascii="Times New Roman" w:hAnsi="Times New Roman"/>
          <w:b/>
          <w:sz w:val="28"/>
          <w:szCs w:val="28"/>
        </w:rPr>
      </w:pPr>
      <w:r w:rsidRPr="00880E36">
        <w:rPr>
          <w:rFonts w:ascii="Times New Roman" w:hAnsi="Times New Roman"/>
          <w:sz w:val="28"/>
          <w:szCs w:val="28"/>
        </w:rPr>
        <w:t>In the premises I issue the following order:</w:t>
      </w:r>
    </w:p>
    <w:p w14:paraId="7C761E25" w14:textId="77777777" w:rsidR="002C23D0" w:rsidRPr="002C23D0" w:rsidRDefault="002C23D0" w:rsidP="00D46D76">
      <w:pPr>
        <w:pStyle w:val="ListParagraph"/>
        <w:spacing w:after="0" w:line="360" w:lineRule="auto"/>
        <w:rPr>
          <w:rFonts w:ascii="Times New Roman" w:hAnsi="Times New Roman"/>
          <w:sz w:val="28"/>
          <w:szCs w:val="28"/>
        </w:rPr>
      </w:pPr>
    </w:p>
    <w:p w14:paraId="5A6F637B" w14:textId="77777777" w:rsidR="00816556" w:rsidRDefault="00816556"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The application for eviction</w:t>
      </w:r>
      <w:r w:rsidR="00344F87">
        <w:rPr>
          <w:rFonts w:ascii="Times New Roman" w:hAnsi="Times New Roman"/>
          <w:sz w:val="28"/>
          <w:szCs w:val="28"/>
        </w:rPr>
        <w:t xml:space="preserve"> is hereby stayed pending</w:t>
      </w:r>
      <w:r>
        <w:rPr>
          <w:rFonts w:ascii="Times New Roman" w:hAnsi="Times New Roman"/>
          <w:sz w:val="28"/>
          <w:szCs w:val="28"/>
        </w:rPr>
        <w:t>:</w:t>
      </w:r>
    </w:p>
    <w:p w14:paraId="7E485134" w14:textId="77777777" w:rsidR="00816556" w:rsidRDefault="00816556" w:rsidP="00816556">
      <w:pPr>
        <w:pStyle w:val="ListParagraph"/>
        <w:tabs>
          <w:tab w:val="left" w:pos="0"/>
        </w:tabs>
        <w:spacing w:line="360" w:lineRule="auto"/>
        <w:ind w:left="1080"/>
        <w:rPr>
          <w:rFonts w:ascii="Times New Roman" w:hAnsi="Times New Roman"/>
          <w:sz w:val="28"/>
          <w:szCs w:val="28"/>
        </w:rPr>
      </w:pPr>
    </w:p>
    <w:p w14:paraId="37602AD5" w14:textId="77777777" w:rsidR="00816556" w:rsidRDefault="00816556" w:rsidP="00816556">
      <w:pPr>
        <w:pStyle w:val="ListParagraph"/>
        <w:numPr>
          <w:ilvl w:val="1"/>
          <w:numId w:val="9"/>
        </w:numPr>
        <w:tabs>
          <w:tab w:val="left" w:pos="0"/>
        </w:tabs>
        <w:spacing w:line="360" w:lineRule="auto"/>
        <w:rPr>
          <w:rFonts w:ascii="Times New Roman" w:hAnsi="Times New Roman"/>
          <w:sz w:val="28"/>
          <w:szCs w:val="28"/>
        </w:rPr>
      </w:pPr>
      <w:r w:rsidRPr="00816556">
        <w:rPr>
          <w:rFonts w:ascii="Times New Roman" w:hAnsi="Times New Roman"/>
          <w:sz w:val="28"/>
          <w:szCs w:val="28"/>
        </w:rPr>
        <w:t xml:space="preserve"> </w:t>
      </w:r>
      <w:r w:rsidR="00344F87" w:rsidRPr="00816556">
        <w:rPr>
          <w:rFonts w:ascii="Times New Roman" w:hAnsi="Times New Roman"/>
          <w:sz w:val="28"/>
          <w:szCs w:val="28"/>
        </w:rPr>
        <w:t xml:space="preserve"> the final determination of the first respondent’s appeal</w:t>
      </w:r>
      <w:r w:rsidR="007B163D">
        <w:rPr>
          <w:rFonts w:ascii="Times New Roman" w:hAnsi="Times New Roman"/>
          <w:sz w:val="28"/>
          <w:szCs w:val="28"/>
        </w:rPr>
        <w:t xml:space="preserve"> in Makhanda case number 1340/2021</w:t>
      </w:r>
      <w:r w:rsidR="00344F87" w:rsidRPr="00816556">
        <w:rPr>
          <w:rFonts w:ascii="Times New Roman" w:hAnsi="Times New Roman"/>
          <w:sz w:val="28"/>
          <w:szCs w:val="28"/>
        </w:rPr>
        <w:t xml:space="preserve">; and/or </w:t>
      </w:r>
    </w:p>
    <w:p w14:paraId="7F57F96D" w14:textId="4C9FF0EC" w:rsidR="00816556" w:rsidRDefault="00816556" w:rsidP="00816556">
      <w:pPr>
        <w:pStyle w:val="ListParagraph"/>
        <w:numPr>
          <w:ilvl w:val="1"/>
          <w:numId w:val="9"/>
        </w:numPr>
        <w:tabs>
          <w:tab w:val="left" w:pos="0"/>
        </w:tabs>
        <w:spacing w:line="360" w:lineRule="auto"/>
        <w:rPr>
          <w:rFonts w:ascii="Times New Roman" w:hAnsi="Times New Roman"/>
          <w:sz w:val="28"/>
          <w:szCs w:val="28"/>
        </w:rPr>
      </w:pPr>
      <w:r>
        <w:rPr>
          <w:rFonts w:ascii="Times New Roman" w:hAnsi="Times New Roman"/>
          <w:sz w:val="28"/>
          <w:szCs w:val="28"/>
        </w:rPr>
        <w:t xml:space="preserve">  </w:t>
      </w:r>
      <w:r w:rsidR="008E6725">
        <w:rPr>
          <w:rFonts w:ascii="Times New Roman" w:hAnsi="Times New Roman"/>
          <w:sz w:val="28"/>
          <w:szCs w:val="28"/>
        </w:rPr>
        <w:t>t</w:t>
      </w:r>
      <w:r w:rsidR="00344F87" w:rsidRPr="00816556">
        <w:rPr>
          <w:rFonts w:ascii="Times New Roman" w:hAnsi="Times New Roman"/>
          <w:sz w:val="28"/>
          <w:szCs w:val="28"/>
        </w:rPr>
        <w:t>he</w:t>
      </w:r>
      <w:r w:rsidR="007B163D">
        <w:rPr>
          <w:rFonts w:ascii="Times New Roman" w:hAnsi="Times New Roman"/>
          <w:sz w:val="28"/>
          <w:szCs w:val="28"/>
        </w:rPr>
        <w:t xml:space="preserve"> </w:t>
      </w:r>
      <w:r w:rsidR="008E6725">
        <w:rPr>
          <w:rFonts w:ascii="Times New Roman" w:hAnsi="Times New Roman"/>
          <w:sz w:val="28"/>
          <w:szCs w:val="28"/>
        </w:rPr>
        <w:t>(</w:t>
      </w:r>
      <w:r w:rsidR="007B163D">
        <w:rPr>
          <w:rFonts w:ascii="Times New Roman" w:hAnsi="Times New Roman"/>
          <w:sz w:val="28"/>
          <w:szCs w:val="28"/>
        </w:rPr>
        <w:t>earlier</w:t>
      </w:r>
      <w:r w:rsidR="008E6725">
        <w:rPr>
          <w:rFonts w:ascii="Times New Roman" w:hAnsi="Times New Roman"/>
          <w:sz w:val="28"/>
          <w:szCs w:val="28"/>
        </w:rPr>
        <w:t>)</w:t>
      </w:r>
      <w:r w:rsidR="00344F87" w:rsidRPr="00816556">
        <w:rPr>
          <w:rFonts w:ascii="Times New Roman" w:hAnsi="Times New Roman"/>
          <w:sz w:val="28"/>
          <w:szCs w:val="28"/>
        </w:rPr>
        <w:t xml:space="preserve"> adjudication b</w:t>
      </w:r>
      <w:r w:rsidR="00901A91">
        <w:rPr>
          <w:rFonts w:ascii="Times New Roman" w:hAnsi="Times New Roman"/>
          <w:sz w:val="28"/>
          <w:szCs w:val="28"/>
        </w:rPr>
        <w:t>y the Beth-Din</w:t>
      </w:r>
      <w:r w:rsidR="007B163D">
        <w:rPr>
          <w:rFonts w:ascii="Times New Roman" w:hAnsi="Times New Roman"/>
          <w:sz w:val="28"/>
          <w:szCs w:val="28"/>
        </w:rPr>
        <w:t xml:space="preserve"> (by agreement between the parties)</w:t>
      </w:r>
      <w:r w:rsidR="00901A91">
        <w:rPr>
          <w:rFonts w:ascii="Times New Roman" w:hAnsi="Times New Roman"/>
          <w:sz w:val="28"/>
          <w:szCs w:val="28"/>
        </w:rPr>
        <w:t xml:space="preserve"> of the </w:t>
      </w:r>
      <w:r w:rsidR="007B163D">
        <w:rPr>
          <w:rFonts w:ascii="Times New Roman" w:hAnsi="Times New Roman"/>
          <w:sz w:val="28"/>
          <w:szCs w:val="28"/>
        </w:rPr>
        <w:t>first respondent’s dismissal dispute;</w:t>
      </w:r>
      <w:r w:rsidR="00344F87" w:rsidRPr="00816556">
        <w:rPr>
          <w:rFonts w:ascii="Times New Roman" w:hAnsi="Times New Roman"/>
          <w:sz w:val="28"/>
          <w:szCs w:val="28"/>
        </w:rPr>
        <w:t xml:space="preserve"> and</w:t>
      </w:r>
      <w:r w:rsidR="007B163D">
        <w:rPr>
          <w:rFonts w:ascii="Times New Roman" w:hAnsi="Times New Roman"/>
          <w:sz w:val="28"/>
          <w:szCs w:val="28"/>
        </w:rPr>
        <w:t>/or</w:t>
      </w:r>
    </w:p>
    <w:p w14:paraId="6D08D8CF" w14:textId="73BC973F" w:rsidR="002C23D0" w:rsidRPr="00816556" w:rsidRDefault="00816556" w:rsidP="00816556">
      <w:pPr>
        <w:pStyle w:val="ListParagraph"/>
        <w:numPr>
          <w:ilvl w:val="1"/>
          <w:numId w:val="9"/>
        </w:numPr>
        <w:tabs>
          <w:tab w:val="left" w:pos="0"/>
        </w:tabs>
        <w:spacing w:line="360" w:lineRule="auto"/>
        <w:rPr>
          <w:rFonts w:ascii="Times New Roman" w:hAnsi="Times New Roman"/>
          <w:sz w:val="28"/>
          <w:szCs w:val="28"/>
        </w:rPr>
      </w:pPr>
      <w:r>
        <w:rPr>
          <w:rFonts w:ascii="Times New Roman" w:hAnsi="Times New Roman"/>
          <w:sz w:val="28"/>
          <w:szCs w:val="28"/>
        </w:rPr>
        <w:lastRenderedPageBreak/>
        <w:t xml:space="preserve">  </w:t>
      </w:r>
      <w:r w:rsidR="00847A58" w:rsidRPr="00816556">
        <w:rPr>
          <w:rFonts w:ascii="Times New Roman" w:hAnsi="Times New Roman"/>
          <w:sz w:val="28"/>
          <w:szCs w:val="28"/>
        </w:rPr>
        <w:t>M</w:t>
      </w:r>
      <w:r w:rsidR="008E6725" w:rsidRPr="00816556">
        <w:rPr>
          <w:rFonts w:ascii="Times New Roman" w:hAnsi="Times New Roman"/>
          <w:sz w:val="28"/>
          <w:szCs w:val="28"/>
        </w:rPr>
        <w:t>ediation</w:t>
      </w:r>
      <w:r w:rsidR="00847A58">
        <w:rPr>
          <w:rFonts w:ascii="Times New Roman" w:hAnsi="Times New Roman"/>
          <w:sz w:val="28"/>
          <w:szCs w:val="28"/>
        </w:rPr>
        <w:t xml:space="preserve"> between the parties of the said dispute</w:t>
      </w:r>
      <w:r w:rsidR="008E6725" w:rsidRPr="00816556">
        <w:rPr>
          <w:rFonts w:ascii="Times New Roman" w:hAnsi="Times New Roman"/>
          <w:sz w:val="28"/>
          <w:szCs w:val="28"/>
        </w:rPr>
        <w:t>.</w:t>
      </w:r>
      <w:r w:rsidR="008E6725">
        <w:rPr>
          <w:rStyle w:val="FootnoteReference"/>
          <w:rFonts w:ascii="Times New Roman" w:hAnsi="Times New Roman"/>
          <w:sz w:val="28"/>
          <w:szCs w:val="28"/>
        </w:rPr>
        <w:footnoteReference w:id="74"/>
      </w:r>
      <w:r w:rsidR="00344F87" w:rsidRPr="00816556">
        <w:rPr>
          <w:rFonts w:ascii="Times New Roman" w:hAnsi="Times New Roman"/>
          <w:sz w:val="28"/>
          <w:szCs w:val="28"/>
        </w:rPr>
        <w:t xml:space="preserve"> </w:t>
      </w:r>
    </w:p>
    <w:p w14:paraId="0772741D" w14:textId="77777777" w:rsidR="007B163D" w:rsidRDefault="007B163D" w:rsidP="007B163D">
      <w:pPr>
        <w:pStyle w:val="ListParagraph"/>
        <w:tabs>
          <w:tab w:val="left" w:pos="0"/>
        </w:tabs>
        <w:spacing w:line="360" w:lineRule="auto"/>
        <w:ind w:left="1080"/>
        <w:rPr>
          <w:rFonts w:ascii="Times New Roman" w:hAnsi="Times New Roman"/>
          <w:sz w:val="28"/>
          <w:szCs w:val="28"/>
        </w:rPr>
      </w:pPr>
    </w:p>
    <w:p w14:paraId="4CDD3A33" w14:textId="66A1D0A3" w:rsidR="00344F87" w:rsidRDefault="007B163D"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T</w:t>
      </w:r>
      <w:r w:rsidR="00344F87">
        <w:rPr>
          <w:rFonts w:ascii="Times New Roman" w:hAnsi="Times New Roman"/>
          <w:sz w:val="28"/>
          <w:szCs w:val="28"/>
        </w:rPr>
        <w:t>he registrar of</w:t>
      </w:r>
      <w:r>
        <w:rPr>
          <w:rFonts w:ascii="Times New Roman" w:hAnsi="Times New Roman"/>
          <w:sz w:val="28"/>
          <w:szCs w:val="28"/>
        </w:rPr>
        <w:t xml:space="preserve"> the</w:t>
      </w:r>
      <w:r w:rsidR="00344F87">
        <w:rPr>
          <w:rFonts w:ascii="Times New Roman" w:hAnsi="Times New Roman"/>
          <w:sz w:val="28"/>
          <w:szCs w:val="28"/>
        </w:rPr>
        <w:t xml:space="preserve"> Makhanda</w:t>
      </w:r>
      <w:r>
        <w:rPr>
          <w:rFonts w:ascii="Times New Roman" w:hAnsi="Times New Roman"/>
          <w:sz w:val="28"/>
          <w:szCs w:val="28"/>
        </w:rPr>
        <w:t xml:space="preserve"> High Court</w:t>
      </w:r>
      <w:r w:rsidR="00344F87">
        <w:rPr>
          <w:rFonts w:ascii="Times New Roman" w:hAnsi="Times New Roman"/>
          <w:sz w:val="28"/>
          <w:szCs w:val="28"/>
        </w:rPr>
        <w:t xml:space="preserve"> is </w:t>
      </w:r>
      <w:r>
        <w:rPr>
          <w:rFonts w:ascii="Times New Roman" w:hAnsi="Times New Roman"/>
          <w:sz w:val="28"/>
          <w:szCs w:val="28"/>
        </w:rPr>
        <w:t xml:space="preserve">requested </w:t>
      </w:r>
      <w:r w:rsidR="00344F87">
        <w:rPr>
          <w:rFonts w:ascii="Times New Roman" w:hAnsi="Times New Roman"/>
          <w:sz w:val="28"/>
          <w:szCs w:val="28"/>
        </w:rPr>
        <w:t>to place the</w:t>
      </w:r>
      <w:r w:rsidR="008E6725">
        <w:rPr>
          <w:rFonts w:ascii="Times New Roman" w:hAnsi="Times New Roman"/>
          <w:sz w:val="28"/>
          <w:szCs w:val="28"/>
        </w:rPr>
        <w:t xml:space="preserve"> matter referred to in paragraph </w:t>
      </w:r>
      <w:r w:rsidR="00847A58">
        <w:rPr>
          <w:rFonts w:ascii="Times New Roman" w:hAnsi="Times New Roman"/>
          <w:sz w:val="28"/>
          <w:szCs w:val="28"/>
        </w:rPr>
        <w:t>1.1 above</w:t>
      </w:r>
      <w:r w:rsidR="00344F87">
        <w:rPr>
          <w:rFonts w:ascii="Times New Roman" w:hAnsi="Times New Roman"/>
          <w:sz w:val="28"/>
          <w:szCs w:val="28"/>
        </w:rPr>
        <w:t xml:space="preserve"> on the case management roll to ensure the earliest </w:t>
      </w:r>
      <w:r>
        <w:rPr>
          <w:rFonts w:ascii="Times New Roman" w:hAnsi="Times New Roman"/>
          <w:sz w:val="28"/>
          <w:szCs w:val="28"/>
        </w:rPr>
        <w:t xml:space="preserve">enrolment of the </w:t>
      </w:r>
      <w:r w:rsidR="00847A58">
        <w:rPr>
          <w:rFonts w:ascii="Times New Roman" w:hAnsi="Times New Roman"/>
          <w:sz w:val="28"/>
          <w:szCs w:val="28"/>
        </w:rPr>
        <w:t>appeal.</w:t>
      </w:r>
    </w:p>
    <w:p w14:paraId="5E0EA32C" w14:textId="77777777" w:rsidR="007B163D" w:rsidRDefault="007B163D" w:rsidP="007B163D">
      <w:pPr>
        <w:pStyle w:val="ListParagraph"/>
        <w:tabs>
          <w:tab w:val="left" w:pos="0"/>
        </w:tabs>
        <w:spacing w:line="360" w:lineRule="auto"/>
        <w:ind w:left="1080"/>
        <w:rPr>
          <w:rFonts w:ascii="Times New Roman" w:hAnsi="Times New Roman"/>
          <w:sz w:val="28"/>
          <w:szCs w:val="28"/>
        </w:rPr>
      </w:pPr>
    </w:p>
    <w:p w14:paraId="4CC51B1D" w14:textId="5E4CB9D8" w:rsidR="00847A58" w:rsidRDefault="00344F87"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The part</w:t>
      </w:r>
      <w:r w:rsidR="00847A58">
        <w:rPr>
          <w:rFonts w:ascii="Times New Roman" w:hAnsi="Times New Roman"/>
          <w:sz w:val="28"/>
          <w:szCs w:val="28"/>
        </w:rPr>
        <w:t>ies</w:t>
      </w:r>
      <w:r>
        <w:rPr>
          <w:rFonts w:ascii="Times New Roman" w:hAnsi="Times New Roman"/>
          <w:sz w:val="28"/>
          <w:szCs w:val="28"/>
        </w:rPr>
        <w:t xml:space="preserve"> shall be entitled to apply </w:t>
      </w:r>
      <w:r w:rsidR="00596892">
        <w:rPr>
          <w:rFonts w:ascii="Times New Roman" w:hAnsi="Times New Roman"/>
          <w:sz w:val="28"/>
          <w:szCs w:val="28"/>
        </w:rPr>
        <w:t xml:space="preserve">on notice </w:t>
      </w:r>
      <w:r w:rsidR="00847A58">
        <w:rPr>
          <w:rFonts w:ascii="Times New Roman" w:hAnsi="Times New Roman"/>
          <w:sz w:val="28"/>
          <w:szCs w:val="28"/>
        </w:rPr>
        <w:t xml:space="preserve">to this court </w:t>
      </w:r>
      <w:r w:rsidR="00816556">
        <w:rPr>
          <w:rFonts w:ascii="Times New Roman" w:hAnsi="Times New Roman"/>
          <w:sz w:val="28"/>
          <w:szCs w:val="28"/>
        </w:rPr>
        <w:t xml:space="preserve">on the </w:t>
      </w:r>
      <w:r>
        <w:rPr>
          <w:rFonts w:ascii="Times New Roman" w:hAnsi="Times New Roman"/>
          <w:sz w:val="28"/>
          <w:szCs w:val="28"/>
        </w:rPr>
        <w:t>same papers, duly supplemented</w:t>
      </w:r>
      <w:r w:rsidR="00816556">
        <w:rPr>
          <w:rFonts w:ascii="Times New Roman" w:hAnsi="Times New Roman"/>
          <w:sz w:val="28"/>
          <w:szCs w:val="28"/>
        </w:rPr>
        <w:t>,</w:t>
      </w:r>
      <w:r>
        <w:rPr>
          <w:rFonts w:ascii="Times New Roman" w:hAnsi="Times New Roman"/>
          <w:sz w:val="28"/>
          <w:szCs w:val="28"/>
        </w:rPr>
        <w:t xml:space="preserve"> </w:t>
      </w:r>
      <w:r w:rsidR="00816556">
        <w:rPr>
          <w:rFonts w:ascii="Times New Roman" w:hAnsi="Times New Roman"/>
          <w:sz w:val="28"/>
          <w:szCs w:val="28"/>
        </w:rPr>
        <w:t>for a</w:t>
      </w:r>
      <w:r>
        <w:rPr>
          <w:rFonts w:ascii="Times New Roman" w:hAnsi="Times New Roman"/>
          <w:sz w:val="28"/>
          <w:szCs w:val="28"/>
        </w:rPr>
        <w:t xml:space="preserve"> fresh consideration of the </w:t>
      </w:r>
      <w:r w:rsidR="00847A58">
        <w:rPr>
          <w:rFonts w:ascii="Times New Roman" w:hAnsi="Times New Roman"/>
          <w:sz w:val="28"/>
          <w:szCs w:val="28"/>
        </w:rPr>
        <w:t>provisions of section 4 (7) and (8) of the PIE Act against the context of the opportunity afforded to the</w:t>
      </w:r>
      <w:r w:rsidR="00596892">
        <w:rPr>
          <w:rFonts w:ascii="Times New Roman" w:hAnsi="Times New Roman"/>
          <w:sz w:val="28"/>
          <w:szCs w:val="28"/>
        </w:rPr>
        <w:t>m in paragraph 1 above and its aftermath.</w:t>
      </w:r>
    </w:p>
    <w:p w14:paraId="40AE0A24" w14:textId="77777777" w:rsidR="00847A58" w:rsidRPr="00847A58" w:rsidRDefault="00847A58" w:rsidP="00847A58">
      <w:pPr>
        <w:pStyle w:val="ListParagraph"/>
        <w:rPr>
          <w:rFonts w:ascii="Times New Roman" w:hAnsi="Times New Roman"/>
          <w:sz w:val="28"/>
          <w:szCs w:val="28"/>
        </w:rPr>
      </w:pPr>
    </w:p>
    <w:p w14:paraId="7296B75B" w14:textId="2F741FAF" w:rsidR="00816556" w:rsidRDefault="00816556"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 xml:space="preserve"> </w:t>
      </w:r>
      <w:r w:rsidR="00847A58">
        <w:rPr>
          <w:rFonts w:ascii="Times New Roman" w:hAnsi="Times New Roman"/>
          <w:sz w:val="28"/>
          <w:szCs w:val="28"/>
        </w:rPr>
        <w:t xml:space="preserve">The </w:t>
      </w:r>
      <w:r w:rsidR="00596892">
        <w:rPr>
          <w:rFonts w:ascii="Times New Roman" w:hAnsi="Times New Roman"/>
          <w:sz w:val="28"/>
          <w:szCs w:val="28"/>
        </w:rPr>
        <w:t>re-enrollment of the matter invited in paragraph 3 above shall not be given before 13 August 2022</w:t>
      </w:r>
      <w:r w:rsidR="00C041AB">
        <w:rPr>
          <w:rFonts w:ascii="Times New Roman" w:hAnsi="Times New Roman"/>
          <w:sz w:val="28"/>
          <w:szCs w:val="28"/>
        </w:rPr>
        <w:t xml:space="preserve"> (“the grace period”)</w:t>
      </w:r>
      <w:r w:rsidR="00596892">
        <w:rPr>
          <w:rFonts w:ascii="Times New Roman" w:hAnsi="Times New Roman"/>
          <w:sz w:val="28"/>
          <w:szCs w:val="28"/>
        </w:rPr>
        <w:t xml:space="preserve">, unless the parties agree </w:t>
      </w:r>
      <w:r w:rsidR="00C041AB">
        <w:rPr>
          <w:rFonts w:ascii="Times New Roman" w:hAnsi="Times New Roman"/>
          <w:sz w:val="28"/>
          <w:szCs w:val="28"/>
        </w:rPr>
        <w:t xml:space="preserve">that it may happen before the end of such period. </w:t>
      </w:r>
    </w:p>
    <w:p w14:paraId="1B051F3D" w14:textId="77777777" w:rsidR="007B163D" w:rsidRDefault="007B163D" w:rsidP="007B163D">
      <w:pPr>
        <w:pStyle w:val="ListParagraph"/>
        <w:tabs>
          <w:tab w:val="left" w:pos="0"/>
        </w:tabs>
        <w:spacing w:line="360" w:lineRule="auto"/>
        <w:ind w:left="1080"/>
        <w:rPr>
          <w:rFonts w:ascii="Times New Roman" w:hAnsi="Times New Roman"/>
          <w:sz w:val="28"/>
          <w:szCs w:val="28"/>
        </w:rPr>
      </w:pPr>
    </w:p>
    <w:p w14:paraId="2E8C2055" w14:textId="038D8514" w:rsidR="00344F87" w:rsidRDefault="00816556"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F</w:t>
      </w:r>
      <w:r w:rsidR="00344F87">
        <w:rPr>
          <w:rFonts w:ascii="Times New Roman" w:hAnsi="Times New Roman"/>
          <w:sz w:val="28"/>
          <w:szCs w:val="28"/>
        </w:rPr>
        <w:t>urther notice in terms of section 4</w:t>
      </w:r>
      <w:r>
        <w:rPr>
          <w:rFonts w:ascii="Times New Roman" w:hAnsi="Times New Roman"/>
          <w:sz w:val="28"/>
          <w:szCs w:val="28"/>
        </w:rPr>
        <w:t xml:space="preserve"> (</w:t>
      </w:r>
      <w:r w:rsidR="00344F87">
        <w:rPr>
          <w:rFonts w:ascii="Times New Roman" w:hAnsi="Times New Roman"/>
          <w:sz w:val="28"/>
          <w:szCs w:val="28"/>
        </w:rPr>
        <w:t>2</w:t>
      </w:r>
      <w:r>
        <w:rPr>
          <w:rFonts w:ascii="Times New Roman" w:hAnsi="Times New Roman"/>
          <w:sz w:val="28"/>
          <w:szCs w:val="28"/>
        </w:rPr>
        <w:t>)</w:t>
      </w:r>
      <w:r w:rsidR="00344F87">
        <w:rPr>
          <w:rFonts w:ascii="Times New Roman" w:hAnsi="Times New Roman"/>
          <w:sz w:val="28"/>
          <w:szCs w:val="28"/>
        </w:rPr>
        <w:t xml:space="preserve"> </w:t>
      </w:r>
      <w:r w:rsidR="00596892">
        <w:rPr>
          <w:rFonts w:ascii="Times New Roman" w:hAnsi="Times New Roman"/>
          <w:sz w:val="28"/>
          <w:szCs w:val="28"/>
        </w:rPr>
        <w:t xml:space="preserve">of the PIE Act </w:t>
      </w:r>
      <w:r w:rsidR="00344F87">
        <w:rPr>
          <w:rFonts w:ascii="Times New Roman" w:hAnsi="Times New Roman"/>
          <w:sz w:val="28"/>
          <w:szCs w:val="28"/>
        </w:rPr>
        <w:t>sha</w:t>
      </w:r>
      <w:r>
        <w:rPr>
          <w:rFonts w:ascii="Times New Roman" w:hAnsi="Times New Roman"/>
          <w:sz w:val="28"/>
          <w:szCs w:val="28"/>
        </w:rPr>
        <w:t>ll not be necessary</w:t>
      </w:r>
      <w:r w:rsidR="00C041AB">
        <w:rPr>
          <w:rFonts w:ascii="Times New Roman" w:hAnsi="Times New Roman"/>
          <w:sz w:val="28"/>
          <w:szCs w:val="28"/>
        </w:rPr>
        <w:t>.</w:t>
      </w:r>
    </w:p>
    <w:p w14:paraId="50C1270F" w14:textId="77777777" w:rsidR="007B163D" w:rsidRDefault="007B163D" w:rsidP="007B163D">
      <w:pPr>
        <w:pStyle w:val="ListParagraph"/>
        <w:tabs>
          <w:tab w:val="left" w:pos="0"/>
        </w:tabs>
        <w:spacing w:line="360" w:lineRule="auto"/>
        <w:ind w:left="1080"/>
        <w:rPr>
          <w:rFonts w:ascii="Times New Roman" w:hAnsi="Times New Roman"/>
          <w:sz w:val="28"/>
          <w:szCs w:val="28"/>
        </w:rPr>
      </w:pPr>
    </w:p>
    <w:p w14:paraId="1D043D8C" w14:textId="77777777" w:rsidR="00344F87" w:rsidRPr="00344F87" w:rsidRDefault="00816556" w:rsidP="00344F87">
      <w:pPr>
        <w:pStyle w:val="ListParagraph"/>
        <w:numPr>
          <w:ilvl w:val="0"/>
          <w:numId w:val="9"/>
        </w:numPr>
        <w:tabs>
          <w:tab w:val="left" w:pos="0"/>
        </w:tabs>
        <w:spacing w:line="360" w:lineRule="auto"/>
        <w:rPr>
          <w:rFonts w:ascii="Times New Roman" w:hAnsi="Times New Roman"/>
          <w:sz w:val="28"/>
          <w:szCs w:val="28"/>
        </w:rPr>
      </w:pPr>
      <w:r>
        <w:rPr>
          <w:rFonts w:ascii="Times New Roman" w:hAnsi="Times New Roman"/>
          <w:sz w:val="28"/>
          <w:szCs w:val="28"/>
        </w:rPr>
        <w:t xml:space="preserve">The costs </w:t>
      </w:r>
      <w:r w:rsidR="00344F87">
        <w:rPr>
          <w:rFonts w:ascii="Times New Roman" w:hAnsi="Times New Roman"/>
          <w:sz w:val="28"/>
          <w:szCs w:val="28"/>
        </w:rPr>
        <w:t>are reserved.</w:t>
      </w:r>
    </w:p>
    <w:p w14:paraId="46B9E832" w14:textId="77777777" w:rsidR="007E7FCA" w:rsidRDefault="007E7FCA"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650D92D0" w14:textId="77777777" w:rsidR="00344F87" w:rsidRDefault="00344F87"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54C62ECC" w14:textId="77777777" w:rsidR="00344F87" w:rsidRDefault="00344F87"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51FE1DE7" w14:textId="77777777" w:rsidR="004904C8" w:rsidRPr="00A909D0" w:rsidRDefault="004904C8" w:rsidP="00D46D76">
      <w:pPr>
        <w:spacing w:line="360" w:lineRule="auto"/>
        <w:contextualSpacing/>
        <w:rPr>
          <w:rFonts w:ascii="Times New Roman" w:hAnsi="Times New Roman"/>
          <w:b/>
          <w:sz w:val="28"/>
          <w:szCs w:val="28"/>
        </w:rPr>
      </w:pPr>
      <w:r w:rsidRPr="00A909D0">
        <w:rPr>
          <w:rFonts w:ascii="Times New Roman" w:hAnsi="Times New Roman"/>
          <w:b/>
          <w:sz w:val="28"/>
          <w:szCs w:val="28"/>
        </w:rPr>
        <w:t>________________</w:t>
      </w:r>
    </w:p>
    <w:p w14:paraId="1CCDFFEF" w14:textId="77777777" w:rsidR="004904C8" w:rsidRPr="005940F7" w:rsidRDefault="004904C8" w:rsidP="00D46D76">
      <w:pPr>
        <w:spacing w:line="360" w:lineRule="auto"/>
        <w:contextualSpacing/>
        <w:rPr>
          <w:rFonts w:ascii="Times New Roman" w:hAnsi="Times New Roman"/>
          <w:b/>
          <w:sz w:val="26"/>
          <w:szCs w:val="28"/>
        </w:rPr>
      </w:pPr>
      <w:r>
        <w:rPr>
          <w:rFonts w:ascii="Times New Roman" w:hAnsi="Times New Roman"/>
          <w:b/>
          <w:sz w:val="28"/>
          <w:szCs w:val="28"/>
        </w:rPr>
        <w:t xml:space="preserve">B HARTLE </w:t>
      </w:r>
    </w:p>
    <w:p w14:paraId="25E04593" w14:textId="77777777" w:rsidR="004904C8" w:rsidRDefault="004904C8" w:rsidP="00D46D76">
      <w:pPr>
        <w:spacing w:line="360" w:lineRule="auto"/>
        <w:contextualSpacing/>
        <w:rPr>
          <w:rFonts w:ascii="Times New Roman" w:hAnsi="Times New Roman"/>
          <w:b/>
          <w:sz w:val="28"/>
          <w:szCs w:val="28"/>
        </w:rPr>
      </w:pPr>
      <w:r w:rsidRPr="00A909D0">
        <w:rPr>
          <w:rFonts w:ascii="Times New Roman" w:hAnsi="Times New Roman"/>
          <w:b/>
          <w:sz w:val="28"/>
          <w:szCs w:val="28"/>
        </w:rPr>
        <w:t>JUDGE OF THE HIGH COURT</w:t>
      </w:r>
    </w:p>
    <w:p w14:paraId="27D9D266" w14:textId="77777777" w:rsidR="004904C8" w:rsidRDefault="004904C8" w:rsidP="00D46D76">
      <w:pPr>
        <w:spacing w:line="360" w:lineRule="auto"/>
        <w:contextualSpacing/>
        <w:rPr>
          <w:rFonts w:ascii="Times New Roman" w:hAnsi="Times New Roman"/>
          <w:b/>
          <w:sz w:val="28"/>
          <w:szCs w:val="28"/>
        </w:rPr>
      </w:pPr>
    </w:p>
    <w:p w14:paraId="6A695D28" w14:textId="77777777" w:rsidR="004904C8" w:rsidRDefault="004904C8" w:rsidP="00D46D76">
      <w:pPr>
        <w:spacing w:line="360" w:lineRule="auto"/>
        <w:contextualSpacing/>
        <w:rPr>
          <w:rFonts w:ascii="Times New Roman" w:hAnsi="Times New Roman"/>
          <w:b/>
          <w:sz w:val="28"/>
          <w:szCs w:val="28"/>
        </w:rPr>
      </w:pPr>
    </w:p>
    <w:p w14:paraId="6727BA05" w14:textId="77777777" w:rsidR="004904C8" w:rsidRDefault="004904C8" w:rsidP="00D46D76">
      <w:pPr>
        <w:spacing w:line="360" w:lineRule="auto"/>
        <w:contextualSpacing/>
        <w:rPr>
          <w:rFonts w:ascii="Times New Roman" w:hAnsi="Times New Roman"/>
          <w:b/>
          <w:sz w:val="28"/>
          <w:szCs w:val="28"/>
        </w:rPr>
      </w:pPr>
    </w:p>
    <w:p w14:paraId="7A1840A2" w14:textId="77777777" w:rsidR="004904C8" w:rsidRPr="00A909D0" w:rsidRDefault="004904C8" w:rsidP="00D46D76">
      <w:pPr>
        <w:spacing w:line="360" w:lineRule="auto"/>
        <w:contextualSpacing/>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r>
      <w:r w:rsidR="00523797">
        <w:rPr>
          <w:rFonts w:ascii="Times New Roman" w:hAnsi="Times New Roman"/>
          <w:sz w:val="28"/>
          <w:szCs w:val="28"/>
        </w:rPr>
        <w:t xml:space="preserve">9 </w:t>
      </w:r>
      <w:r>
        <w:rPr>
          <w:rFonts w:ascii="Times New Roman" w:hAnsi="Times New Roman"/>
          <w:sz w:val="28"/>
          <w:szCs w:val="28"/>
        </w:rPr>
        <w:t>February 2022</w:t>
      </w:r>
    </w:p>
    <w:p w14:paraId="0F74797F" w14:textId="77777777" w:rsidR="005C7A39" w:rsidRDefault="005C7A39" w:rsidP="00D46D76">
      <w:pPr>
        <w:spacing w:line="360" w:lineRule="auto"/>
        <w:contextualSpacing/>
        <w:rPr>
          <w:rFonts w:ascii="Times New Roman" w:hAnsi="Times New Roman"/>
          <w:sz w:val="28"/>
          <w:szCs w:val="28"/>
        </w:rPr>
      </w:pPr>
    </w:p>
    <w:p w14:paraId="0265AD52" w14:textId="77777777" w:rsidR="004904C8" w:rsidRDefault="004904C8" w:rsidP="00D46D76">
      <w:pPr>
        <w:spacing w:line="360" w:lineRule="auto"/>
        <w:contextualSpacing/>
        <w:rPr>
          <w:rFonts w:ascii="Times New Roman" w:hAnsi="Times New Roman"/>
          <w:sz w:val="24"/>
          <w:szCs w:val="24"/>
        </w:rPr>
      </w:pPr>
      <w:r w:rsidRPr="00A909D0">
        <w:rPr>
          <w:rFonts w:ascii="Times New Roman" w:hAnsi="Times New Roman"/>
          <w:sz w:val="28"/>
          <w:szCs w:val="28"/>
        </w:rPr>
        <w:t>DATE OF JUDGMENT</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 xml:space="preserve">          </w:t>
      </w:r>
      <w:r w:rsidR="00CA18C1">
        <w:rPr>
          <w:rFonts w:ascii="Times New Roman" w:hAnsi="Times New Roman"/>
          <w:sz w:val="28"/>
          <w:szCs w:val="28"/>
        </w:rPr>
        <w:t>1</w:t>
      </w:r>
      <w:r w:rsidR="007B163D">
        <w:rPr>
          <w:rFonts w:ascii="Times New Roman" w:hAnsi="Times New Roman"/>
          <w:sz w:val="28"/>
          <w:szCs w:val="28"/>
        </w:rPr>
        <w:t>3</w:t>
      </w:r>
      <w:r w:rsidR="00344F87">
        <w:rPr>
          <w:rFonts w:ascii="Times New Roman" w:hAnsi="Times New Roman"/>
          <w:sz w:val="28"/>
          <w:szCs w:val="28"/>
        </w:rPr>
        <w:t xml:space="preserve"> May</w:t>
      </w:r>
      <w:r>
        <w:rPr>
          <w:rFonts w:ascii="Times New Roman" w:hAnsi="Times New Roman"/>
          <w:sz w:val="28"/>
          <w:szCs w:val="28"/>
        </w:rPr>
        <w:t xml:space="preserve"> 2022</w:t>
      </w:r>
    </w:p>
    <w:p w14:paraId="11B6CE67" w14:textId="77777777" w:rsidR="004904C8" w:rsidRDefault="004904C8" w:rsidP="00D46D76">
      <w:pPr>
        <w:spacing w:line="360" w:lineRule="auto"/>
        <w:contextualSpacing/>
        <w:rPr>
          <w:rFonts w:ascii="Times New Roman" w:hAnsi="Times New Roman"/>
          <w:sz w:val="24"/>
          <w:szCs w:val="24"/>
        </w:rPr>
      </w:pPr>
    </w:p>
    <w:p w14:paraId="2D18EDF5" w14:textId="77777777" w:rsidR="005C7A39" w:rsidRDefault="005C7A39" w:rsidP="00D46D76">
      <w:pPr>
        <w:spacing w:line="360" w:lineRule="auto"/>
        <w:contextualSpacing/>
        <w:rPr>
          <w:rFonts w:ascii="Times New Roman" w:hAnsi="Times New Roman"/>
          <w:sz w:val="24"/>
          <w:szCs w:val="24"/>
        </w:rPr>
      </w:pPr>
    </w:p>
    <w:p w14:paraId="306DA4C0" w14:textId="77777777" w:rsidR="004904C8" w:rsidRDefault="004904C8" w:rsidP="00D46D76">
      <w:pPr>
        <w:spacing w:line="360" w:lineRule="auto"/>
        <w:contextualSpacing/>
        <w:rPr>
          <w:rFonts w:ascii="Times New Roman" w:hAnsi="Times New Roman"/>
          <w:sz w:val="24"/>
          <w:szCs w:val="24"/>
        </w:rPr>
      </w:pPr>
      <w:r>
        <w:rPr>
          <w:rFonts w:ascii="Times New Roman" w:hAnsi="Times New Roman"/>
          <w:sz w:val="24"/>
          <w:szCs w:val="24"/>
        </w:rPr>
        <w:t>*Judgment delivered electronically at 09H30 on this date by email to the parties.</w:t>
      </w:r>
    </w:p>
    <w:p w14:paraId="79561DEE" w14:textId="77777777" w:rsidR="004904C8" w:rsidRDefault="004904C8" w:rsidP="00D46D76">
      <w:pPr>
        <w:spacing w:line="360" w:lineRule="auto"/>
        <w:contextualSpacing/>
        <w:rPr>
          <w:rFonts w:ascii="Times New Roman" w:hAnsi="Times New Roman"/>
          <w:i/>
          <w:sz w:val="24"/>
          <w:szCs w:val="24"/>
          <w:u w:val="single"/>
        </w:rPr>
      </w:pPr>
    </w:p>
    <w:p w14:paraId="77C73EE6" w14:textId="77777777" w:rsidR="004904C8" w:rsidRDefault="004904C8" w:rsidP="00D46D76">
      <w:pPr>
        <w:spacing w:line="360" w:lineRule="auto"/>
        <w:contextualSpacing/>
        <w:rPr>
          <w:rFonts w:ascii="Times New Roman" w:hAnsi="Times New Roman"/>
          <w:i/>
          <w:sz w:val="24"/>
          <w:szCs w:val="24"/>
          <w:u w:val="single"/>
        </w:rPr>
      </w:pPr>
    </w:p>
    <w:p w14:paraId="31C4FF1B" w14:textId="77777777" w:rsidR="004904C8" w:rsidRDefault="004904C8" w:rsidP="00D46D76">
      <w:pPr>
        <w:spacing w:line="360" w:lineRule="auto"/>
        <w:contextualSpacing/>
        <w:rPr>
          <w:rFonts w:ascii="Times New Roman" w:hAnsi="Times New Roman"/>
          <w:i/>
          <w:sz w:val="24"/>
          <w:szCs w:val="24"/>
          <w:u w:val="single"/>
        </w:rPr>
      </w:pPr>
    </w:p>
    <w:p w14:paraId="6D7B8AE5" w14:textId="77777777" w:rsidR="004904C8" w:rsidRDefault="004904C8" w:rsidP="00D46D76">
      <w:pPr>
        <w:spacing w:line="360" w:lineRule="auto"/>
        <w:contextualSpacing/>
        <w:rPr>
          <w:rFonts w:ascii="Times New Roman" w:hAnsi="Times New Roman"/>
          <w:i/>
          <w:sz w:val="24"/>
          <w:szCs w:val="24"/>
          <w:u w:val="single"/>
        </w:rPr>
      </w:pPr>
    </w:p>
    <w:p w14:paraId="378C5619" w14:textId="77777777" w:rsidR="004904C8" w:rsidRPr="00A909D0" w:rsidRDefault="004904C8" w:rsidP="00D46D76">
      <w:pPr>
        <w:spacing w:line="360" w:lineRule="auto"/>
        <w:contextualSpacing/>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1DCFCDEF" w14:textId="77777777" w:rsidR="004904C8" w:rsidRPr="00A909D0" w:rsidRDefault="004904C8" w:rsidP="00D46D76">
      <w:pPr>
        <w:spacing w:line="360" w:lineRule="auto"/>
        <w:contextualSpacing/>
        <w:rPr>
          <w:rFonts w:ascii="Times New Roman" w:hAnsi="Times New Roman"/>
          <w:sz w:val="24"/>
          <w:szCs w:val="24"/>
        </w:rPr>
      </w:pPr>
    </w:p>
    <w:p w14:paraId="481BFCED" w14:textId="77777777" w:rsidR="004904C8" w:rsidRDefault="004904C8" w:rsidP="00D46D76">
      <w:pPr>
        <w:spacing w:line="360" w:lineRule="auto"/>
        <w:contextualSpacing/>
        <w:rPr>
          <w:rFonts w:ascii="Times New Roman" w:hAnsi="Times New Roman"/>
          <w:i/>
          <w:sz w:val="24"/>
          <w:szCs w:val="24"/>
        </w:rPr>
      </w:pPr>
      <w:bookmarkStart w:id="2" w:name="_Hlk39070051"/>
      <w:r>
        <w:rPr>
          <w:rFonts w:ascii="Times New Roman" w:hAnsi="Times New Roman"/>
          <w:i/>
          <w:sz w:val="24"/>
          <w:szCs w:val="24"/>
        </w:rPr>
        <w:t xml:space="preserve">For the applicant: </w:t>
      </w:r>
      <w:r w:rsidRPr="00A909D0">
        <w:rPr>
          <w:rFonts w:ascii="Times New Roman" w:hAnsi="Times New Roman"/>
          <w:i/>
          <w:sz w:val="24"/>
          <w:szCs w:val="24"/>
        </w:rPr>
        <w:t xml:space="preserve">  </w:t>
      </w:r>
      <w:r w:rsidR="00523797">
        <w:rPr>
          <w:rFonts w:ascii="Times New Roman" w:hAnsi="Times New Roman"/>
          <w:i/>
          <w:sz w:val="24"/>
          <w:szCs w:val="24"/>
        </w:rPr>
        <w:t>Mr</w:t>
      </w:r>
      <w:r w:rsidR="00344F87">
        <w:rPr>
          <w:rFonts w:ascii="Times New Roman" w:hAnsi="Times New Roman"/>
          <w:i/>
          <w:sz w:val="24"/>
          <w:szCs w:val="24"/>
        </w:rPr>
        <w:t>.</w:t>
      </w:r>
      <w:r w:rsidR="00523797">
        <w:rPr>
          <w:rFonts w:ascii="Times New Roman" w:hAnsi="Times New Roman"/>
          <w:i/>
          <w:sz w:val="24"/>
          <w:szCs w:val="24"/>
        </w:rPr>
        <w:t xml:space="preserve"> S P Pincus SC </w:t>
      </w:r>
      <w:r>
        <w:rPr>
          <w:rFonts w:ascii="Times New Roman" w:hAnsi="Times New Roman"/>
          <w:i/>
          <w:sz w:val="24"/>
          <w:szCs w:val="24"/>
        </w:rPr>
        <w:t>instructed by</w:t>
      </w:r>
      <w:r w:rsidR="00523797">
        <w:rPr>
          <w:rFonts w:ascii="Times New Roman" w:hAnsi="Times New Roman"/>
          <w:i/>
          <w:sz w:val="24"/>
          <w:szCs w:val="24"/>
        </w:rPr>
        <w:t xml:space="preserve"> Stirk Yazbek Attorneys, </w:t>
      </w:r>
      <w:r>
        <w:rPr>
          <w:rFonts w:ascii="Times New Roman" w:hAnsi="Times New Roman"/>
          <w:i/>
          <w:sz w:val="24"/>
          <w:szCs w:val="24"/>
        </w:rPr>
        <w:t xml:space="preserve">East London (ref. </w:t>
      </w:r>
      <w:r w:rsidR="00523797">
        <w:rPr>
          <w:rFonts w:ascii="Times New Roman" w:hAnsi="Times New Roman"/>
          <w:i/>
          <w:sz w:val="24"/>
          <w:szCs w:val="24"/>
        </w:rPr>
        <w:t>Mr. G Stirk</w:t>
      </w:r>
      <w:r>
        <w:rPr>
          <w:rFonts w:ascii="Times New Roman" w:hAnsi="Times New Roman"/>
          <w:i/>
          <w:sz w:val="24"/>
          <w:szCs w:val="24"/>
        </w:rPr>
        <w:t>).</w:t>
      </w:r>
    </w:p>
    <w:p w14:paraId="74C2E54A" w14:textId="77777777" w:rsidR="004904C8" w:rsidRDefault="004904C8" w:rsidP="00D46D76">
      <w:pPr>
        <w:spacing w:line="360" w:lineRule="auto"/>
        <w:contextualSpacing/>
        <w:rPr>
          <w:rFonts w:ascii="Times New Roman" w:hAnsi="Times New Roman"/>
          <w:i/>
          <w:sz w:val="24"/>
          <w:szCs w:val="24"/>
        </w:rPr>
      </w:pPr>
      <w:r>
        <w:rPr>
          <w:rFonts w:ascii="Times New Roman" w:hAnsi="Times New Roman"/>
          <w:i/>
          <w:sz w:val="24"/>
          <w:szCs w:val="24"/>
        </w:rPr>
        <w:t xml:space="preserve">For the </w:t>
      </w:r>
      <w:r w:rsidR="00523797">
        <w:rPr>
          <w:rFonts w:ascii="Times New Roman" w:hAnsi="Times New Roman"/>
          <w:i/>
          <w:sz w:val="24"/>
          <w:szCs w:val="24"/>
        </w:rPr>
        <w:t xml:space="preserve">first and second </w:t>
      </w:r>
      <w:r>
        <w:rPr>
          <w:rFonts w:ascii="Times New Roman" w:hAnsi="Times New Roman"/>
          <w:i/>
          <w:sz w:val="24"/>
          <w:szCs w:val="24"/>
        </w:rPr>
        <w:t xml:space="preserve">respondents: </w:t>
      </w:r>
      <w:r w:rsidR="00523797">
        <w:rPr>
          <w:rFonts w:ascii="Times New Roman" w:hAnsi="Times New Roman"/>
          <w:i/>
          <w:sz w:val="24"/>
          <w:szCs w:val="24"/>
        </w:rPr>
        <w:t xml:space="preserve">Mr. I J Smuts SC together with Mr. T S Miller </w:t>
      </w:r>
      <w:r>
        <w:rPr>
          <w:rFonts w:ascii="Times New Roman" w:hAnsi="Times New Roman"/>
          <w:i/>
          <w:sz w:val="24"/>
          <w:szCs w:val="24"/>
        </w:rPr>
        <w:t>instructed by</w:t>
      </w:r>
      <w:r w:rsidR="00523797">
        <w:rPr>
          <w:rFonts w:ascii="Times New Roman" w:hAnsi="Times New Roman"/>
          <w:i/>
          <w:sz w:val="24"/>
          <w:szCs w:val="24"/>
        </w:rPr>
        <w:t xml:space="preserve"> Wheeldon Rushmere &amp; Cole c/o Lionel Trichardt &amp; Associates</w:t>
      </w:r>
      <w:r>
        <w:rPr>
          <w:rFonts w:ascii="Times New Roman" w:hAnsi="Times New Roman"/>
          <w:i/>
          <w:sz w:val="24"/>
          <w:szCs w:val="24"/>
        </w:rPr>
        <w:t xml:space="preserve"> the State Attorney, East London (ref. Mr</w:t>
      </w:r>
      <w:r w:rsidR="00523797">
        <w:rPr>
          <w:rFonts w:ascii="Times New Roman" w:hAnsi="Times New Roman"/>
          <w:i/>
          <w:sz w:val="24"/>
          <w:szCs w:val="24"/>
        </w:rPr>
        <w:t>. Trichardt</w:t>
      </w:r>
      <w:r>
        <w:rPr>
          <w:rFonts w:ascii="Times New Roman" w:hAnsi="Times New Roman"/>
          <w:i/>
          <w:sz w:val="24"/>
          <w:szCs w:val="24"/>
        </w:rPr>
        <w:t>)</w:t>
      </w:r>
      <w:bookmarkEnd w:id="2"/>
      <w:r>
        <w:rPr>
          <w:rFonts w:ascii="Times New Roman" w:hAnsi="Times New Roman"/>
          <w:i/>
          <w:sz w:val="24"/>
          <w:szCs w:val="24"/>
        </w:rPr>
        <w:t>.</w:t>
      </w:r>
    </w:p>
    <w:p w14:paraId="73E335E0" w14:textId="77777777" w:rsidR="00523797" w:rsidRDefault="00523797" w:rsidP="00D46D76">
      <w:pPr>
        <w:spacing w:line="360" w:lineRule="auto"/>
        <w:contextualSpacing/>
      </w:pPr>
      <w:r>
        <w:rPr>
          <w:rFonts w:ascii="Times New Roman" w:hAnsi="Times New Roman"/>
          <w:i/>
          <w:sz w:val="24"/>
          <w:szCs w:val="24"/>
        </w:rPr>
        <w:t>For the t</w:t>
      </w:r>
      <w:r w:rsidR="00E93F34">
        <w:rPr>
          <w:rFonts w:ascii="Times New Roman" w:hAnsi="Times New Roman"/>
          <w:i/>
          <w:sz w:val="24"/>
          <w:szCs w:val="24"/>
        </w:rPr>
        <w:t>hird respondent: No appearance</w:t>
      </w:r>
      <w:r w:rsidR="005F0118">
        <w:rPr>
          <w:rFonts w:ascii="Times New Roman" w:hAnsi="Times New Roman"/>
          <w:i/>
          <w:sz w:val="24"/>
          <w:szCs w:val="24"/>
        </w:rPr>
        <w:t>.</w:t>
      </w:r>
    </w:p>
    <w:p w14:paraId="6E96C516" w14:textId="77777777" w:rsidR="004904C8" w:rsidRPr="0050492E" w:rsidRDefault="004904C8"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2913E0CB" w14:textId="77777777" w:rsidR="007E7FCA" w:rsidRPr="0050492E" w:rsidRDefault="007E7FCA"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7AA392B3" w14:textId="77777777" w:rsidR="007E7FCA" w:rsidRPr="0050492E" w:rsidRDefault="007E7FCA" w:rsidP="00D46D76">
      <w:pPr>
        <w:widowControl w:val="0"/>
        <w:autoSpaceDE w:val="0"/>
        <w:autoSpaceDN w:val="0"/>
        <w:adjustRightInd w:val="0"/>
        <w:spacing w:line="360" w:lineRule="auto"/>
        <w:contextualSpacing/>
        <w:rPr>
          <w:rFonts w:ascii="Times New Roman" w:hAnsi="Times New Roman" w:cs="Times New Roman"/>
          <w:color w:val="000000"/>
          <w:sz w:val="28"/>
          <w:szCs w:val="28"/>
        </w:rPr>
      </w:pPr>
    </w:p>
    <w:p w14:paraId="703FDDC0" w14:textId="77777777" w:rsidR="007E7FCA" w:rsidRDefault="007E7FCA" w:rsidP="00D46D76">
      <w:pPr>
        <w:pStyle w:val="ListParagraph"/>
        <w:tabs>
          <w:tab w:val="left" w:pos="0"/>
        </w:tabs>
        <w:spacing w:after="0" w:line="360" w:lineRule="auto"/>
        <w:ind w:left="0"/>
        <w:rPr>
          <w:rFonts w:ascii="Times New Roman" w:hAnsi="Times New Roman"/>
          <w:b/>
          <w:sz w:val="28"/>
          <w:szCs w:val="28"/>
        </w:rPr>
      </w:pPr>
    </w:p>
    <w:p w14:paraId="5D2B1159" w14:textId="77777777" w:rsidR="005038D5" w:rsidRDefault="005038D5" w:rsidP="00D46D76">
      <w:pPr>
        <w:spacing w:line="360" w:lineRule="auto"/>
        <w:contextualSpacing/>
      </w:pPr>
    </w:p>
    <w:sectPr w:rsidR="005038D5" w:rsidSect="00281EB4">
      <w:headerReference w:type="default" r:id="rId15"/>
      <w:headerReference w:type="first" r:id="rId16"/>
      <w:footerReference w:type="first" r:id="rId17"/>
      <w:type w:val="continuous"/>
      <w:pgSz w:w="11900" w:h="16840"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1A6E" w14:textId="77777777" w:rsidR="000B69FC" w:rsidRDefault="000B69FC" w:rsidP="00523797">
      <w:r>
        <w:separator/>
      </w:r>
    </w:p>
  </w:endnote>
  <w:endnote w:type="continuationSeparator" w:id="0">
    <w:p w14:paraId="6D007F28" w14:textId="77777777" w:rsidR="000B69FC" w:rsidRDefault="000B69FC" w:rsidP="005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45487"/>
      <w:docPartObj>
        <w:docPartGallery w:val="Page Numbers (Bottom of Page)"/>
        <w:docPartUnique/>
      </w:docPartObj>
    </w:sdtPr>
    <w:sdtEndPr>
      <w:rPr>
        <w:noProof/>
      </w:rPr>
    </w:sdtEndPr>
    <w:sdtContent>
      <w:p w14:paraId="7B8BFF96" w14:textId="5CFBD137" w:rsidR="00770DC8" w:rsidRDefault="00770DC8">
        <w:pPr>
          <w:pStyle w:val="Footer"/>
          <w:jc w:val="center"/>
        </w:pPr>
        <w:r>
          <w:fldChar w:fldCharType="begin"/>
        </w:r>
        <w:r>
          <w:instrText xml:space="preserve"> PAGE   \* MERGEFORMAT </w:instrText>
        </w:r>
        <w:r>
          <w:fldChar w:fldCharType="separate"/>
        </w:r>
        <w:r w:rsidR="003738CB">
          <w:rPr>
            <w:noProof/>
          </w:rPr>
          <w:t>1</w:t>
        </w:r>
        <w:r>
          <w:rPr>
            <w:noProof/>
          </w:rPr>
          <w:fldChar w:fldCharType="end"/>
        </w:r>
      </w:p>
    </w:sdtContent>
  </w:sdt>
  <w:p w14:paraId="44D913F4" w14:textId="77777777" w:rsidR="00770DC8" w:rsidRDefault="00770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6920" w14:textId="77777777" w:rsidR="000B69FC" w:rsidRDefault="000B69FC" w:rsidP="00523797">
      <w:r>
        <w:separator/>
      </w:r>
    </w:p>
  </w:footnote>
  <w:footnote w:type="continuationSeparator" w:id="0">
    <w:p w14:paraId="42436739" w14:textId="77777777" w:rsidR="000B69FC" w:rsidRDefault="000B69FC" w:rsidP="00523797">
      <w:r>
        <w:continuationSeparator/>
      </w:r>
    </w:p>
  </w:footnote>
  <w:footnote w:id="1">
    <w:p w14:paraId="60D98F9B" w14:textId="77777777" w:rsidR="00770DC8" w:rsidRPr="00F128D3" w:rsidRDefault="00770DC8" w:rsidP="00F128D3">
      <w:pPr>
        <w:pStyle w:val="FootnoteText"/>
        <w:rPr>
          <w:lang w:val="en-GB"/>
        </w:rPr>
      </w:pPr>
      <w:r>
        <w:rPr>
          <w:rStyle w:val="FootnoteReference"/>
        </w:rPr>
        <w:footnoteRef/>
      </w:r>
      <w:r>
        <w:t xml:space="preserve"> </w:t>
      </w:r>
      <w:r>
        <w:rPr>
          <w:lang w:val="en-GB"/>
        </w:rPr>
        <w:t>The applicant is a duly constituted Voluntary Association.  It is an Orthodox Hebrew Congregation and a constituent member of the Union of Orthodox Synagogues of South Africa (“The Federation Council”).</w:t>
      </w:r>
    </w:p>
  </w:footnote>
  <w:footnote w:id="2">
    <w:p w14:paraId="15671D41" w14:textId="77777777" w:rsidR="00770DC8" w:rsidRPr="004F6CF4" w:rsidRDefault="00770DC8" w:rsidP="00D46D76">
      <w:pPr>
        <w:pStyle w:val="FootnoteText"/>
        <w:contextualSpacing/>
        <w:rPr>
          <w:lang w:val="en-GB"/>
        </w:rPr>
      </w:pPr>
      <w:r>
        <w:rPr>
          <w:rStyle w:val="FootnoteReference"/>
        </w:rPr>
        <w:footnoteRef/>
      </w:r>
      <w:r>
        <w:t xml:space="preserve"> </w:t>
      </w:r>
      <w:r>
        <w:rPr>
          <w:lang w:val="en-GB"/>
        </w:rPr>
        <w:t xml:space="preserve">The third respondent is cited in the application as a possible interested party and as the municipality having jurisdiction in terms of the provisions of section 4 (2) of the Prevention of Illegal Eviction from and Unlawful Occupation of Land Act, No. 19 of 1998 (“the PIE Act”).  The municipality does not oppose the application.  For convenience I will, where I intend to refer to the Rabbi and Rebbetzin collectively, allude to them as “the respondents”, and to the third respondent separately as “the municipality”. </w:t>
      </w:r>
    </w:p>
  </w:footnote>
  <w:footnote w:id="3">
    <w:p w14:paraId="2FDA0854" w14:textId="77777777" w:rsidR="00770DC8" w:rsidRPr="004F6CF4" w:rsidRDefault="00770DC8" w:rsidP="00D46D76">
      <w:pPr>
        <w:pStyle w:val="FootnoteText"/>
        <w:contextualSpacing/>
        <w:rPr>
          <w:lang w:val="en-GB"/>
        </w:rPr>
      </w:pPr>
      <w:r>
        <w:rPr>
          <w:rStyle w:val="FootnoteReference"/>
        </w:rPr>
        <w:footnoteRef/>
      </w:r>
      <w:r>
        <w:t xml:space="preserve"> </w:t>
      </w:r>
      <w:r>
        <w:rPr>
          <w:lang w:val="en-GB"/>
        </w:rPr>
        <w:t xml:space="preserve">There is no suggestion that the applicant does not have </w:t>
      </w:r>
      <w:r w:rsidRPr="004F6CF4">
        <w:rPr>
          <w:i/>
          <w:lang w:val="en-GB"/>
        </w:rPr>
        <w:t>locus standi</w:t>
      </w:r>
      <w:r>
        <w:rPr>
          <w:lang w:val="en-GB"/>
        </w:rPr>
        <w:t xml:space="preserve"> as the owner of the property to vindicate its rights, but the respondents plead that the applicant has no standing in terms of its constitution to bring the present eviction application before this court. They contend in this respect that the ecclesiastical court which exercises exclusive jurisdiction over disputes arising from the employment relationship would be the proper forum in which to determine “disputes of this nature.”  This contention however misses the point that a party’s eviction from his/her home can only be ordered by a secular court referred to in the PIE Act, after considering all relevant circumstances and that such application would be expected to be initiated by an owner, as in this case.</w:t>
      </w:r>
    </w:p>
  </w:footnote>
  <w:footnote w:id="4">
    <w:p w14:paraId="5A7E3D74" w14:textId="49062D43" w:rsidR="00770DC8" w:rsidRPr="004F6CF4" w:rsidRDefault="00770DC8" w:rsidP="00D46D76">
      <w:pPr>
        <w:pStyle w:val="FootnoteText"/>
        <w:spacing w:before="100" w:after="100"/>
        <w:contextualSpacing/>
        <w:rPr>
          <w:lang w:val="en-GB"/>
        </w:rPr>
      </w:pPr>
      <w:r>
        <w:rPr>
          <w:rStyle w:val="FootnoteReference"/>
        </w:rPr>
        <w:footnoteRef/>
      </w:r>
      <w:r>
        <w:t xml:space="preserve"> </w:t>
      </w:r>
      <w:r>
        <w:rPr>
          <w:lang w:val="en-GB"/>
        </w:rPr>
        <w:t>The contract was ostensibly entered into by the Congregation with both of the respondents and provides for a 60/40% split of the agreed upon remuneration in lieu of the obligations that each are expected to perform thereunder.</w:t>
      </w:r>
      <w:r w:rsidRPr="00676760">
        <w:rPr>
          <w:lang w:val="en-GB"/>
        </w:rPr>
        <w:t xml:space="preserve"> </w:t>
      </w:r>
      <w:r>
        <w:rPr>
          <w:lang w:val="en-GB"/>
        </w:rPr>
        <w:t xml:space="preserve">Despite how the agreement is formulated, it was not suggested by any of the parties - I assume on the basis of their mutual acceptance of the Jewish faith and </w:t>
      </w:r>
      <w:r w:rsidRPr="00676760">
        <w:rPr>
          <w:i/>
          <w:iCs/>
          <w:lang w:val="en-GB"/>
        </w:rPr>
        <w:t>Halachic</w:t>
      </w:r>
      <w:r>
        <w:rPr>
          <w:lang w:val="en-GB"/>
        </w:rPr>
        <w:t xml:space="preserve"> authority, that the second respondent has any entitlement to enforce its provisions, more particularly the right to occupy the property, independently </w:t>
      </w:r>
      <w:r>
        <w:rPr>
          <w:i/>
          <w:lang w:val="en-GB"/>
        </w:rPr>
        <w:t>vis-</w:t>
      </w:r>
      <w:r>
        <w:rPr>
          <w:rFonts w:cstheme="minorHAnsi"/>
          <w:i/>
          <w:lang w:val="en-GB"/>
        </w:rPr>
        <w:t>á</w:t>
      </w:r>
      <w:r>
        <w:rPr>
          <w:i/>
          <w:lang w:val="en-GB"/>
        </w:rPr>
        <w:t>-</w:t>
      </w:r>
      <w:r w:rsidRPr="004F6CF4">
        <w:rPr>
          <w:i/>
          <w:lang w:val="en-GB"/>
        </w:rPr>
        <w:t>vis</w:t>
      </w:r>
      <w:r>
        <w:rPr>
          <w:lang w:val="en-GB"/>
        </w:rPr>
        <w:t xml:space="preserve"> herself as primary occupier.  Although the second respondent occupies the property </w:t>
      </w:r>
      <w:r w:rsidRPr="00F35603">
        <w:rPr>
          <w:i/>
          <w:iCs/>
          <w:lang w:val="en-GB"/>
        </w:rPr>
        <w:t>both</w:t>
      </w:r>
      <w:r>
        <w:rPr>
          <w:lang w:val="en-GB"/>
        </w:rPr>
        <w:t xml:space="preserve"> through her husband and in her own right, her voice has been somewhat muted in these proceedings.  Her purported confirmatory affidavit, in which she aligns herself with the relief sought by the first respondent (namely that the present application be dismissed with costs on the scale of attorney and client), goes along with the premise that she occupies the rabbinical home at the behest of the first respondent (i.e., as a secondary occupier); and makes common with the allegations made in the main answering affidavit, was delivered unsigned.  Mr. Pincus who appeared for the applicant brushed this aside as a trifling side issue, but in truth it is not.  Against the express objects of the PIE Act the entitlement of each respondent to place all relevant circumstances before the court, especially where each have their own right and standing as primary occupiers to vindicate their entitlement to occupy, is a significant opportunity.  Although I accept counsel’s assurance that nothing is amiss thereby, it is important that a litigant’s concerns, if any, are, on the face of it, properly vouched for in the papers. However, the approach I adopt herein (based on an apparent acceptance by all the parties in this regard) is that the second applicant’s right to occupy </w:t>
      </w:r>
      <w:r w:rsidR="003258D1">
        <w:rPr>
          <w:lang w:val="en-GB"/>
        </w:rPr>
        <w:t>is inextricably linked with</w:t>
      </w:r>
      <w:r>
        <w:rPr>
          <w:lang w:val="en-GB"/>
        </w:rPr>
        <w:t xml:space="preserve"> her husband’s. </w:t>
      </w:r>
    </w:p>
  </w:footnote>
  <w:footnote w:id="5">
    <w:p w14:paraId="38087B29" w14:textId="77777777" w:rsidR="00770DC8" w:rsidRPr="00C11F45" w:rsidRDefault="00770DC8" w:rsidP="00D46D76">
      <w:pPr>
        <w:pStyle w:val="FootnoteText"/>
        <w:contextualSpacing/>
        <w:rPr>
          <w:lang w:val="en-GB"/>
        </w:rPr>
      </w:pPr>
      <w:r>
        <w:rPr>
          <w:rStyle w:val="FootnoteReference"/>
        </w:rPr>
        <w:footnoteRef/>
      </w:r>
      <w:r>
        <w:t xml:space="preserve"> The reference to clause 9 must be an error.  Clause 10 sets out the unique responsibilities of each of the two respondents bearing upon their official duties.  Apart from the listed obligations, the parties agreed that the terms of the first respondent’s engagement would be such as are applicable, and usual or customary, for a Rabbi to perform in a standard South African Orthodox Hebrew Congregation.  Section 17 of the agreement, which also deals with “conduct”, specifies that the conduct of the first respondent, as official, shall “be one of dignified leadership carrying with it awe and reverence and fitting behaviour consistent with his standing as Rabbi/Chazan in the community”. I highlight the expectations on his part especially as it is his claimed misconduct that, according to the applicant, has caused the respondents’ entitlement to occupation of the rabbinical home to have fallen away.</w:t>
      </w:r>
    </w:p>
  </w:footnote>
  <w:footnote w:id="6">
    <w:p w14:paraId="38699C93" w14:textId="77777777" w:rsidR="00770DC8" w:rsidRPr="00C11F45" w:rsidRDefault="00770DC8" w:rsidP="00D46D76">
      <w:pPr>
        <w:pStyle w:val="FootnoteText"/>
        <w:contextualSpacing/>
        <w:rPr>
          <w:lang w:val="en-GB"/>
        </w:rPr>
      </w:pPr>
      <w:r>
        <w:rPr>
          <w:rStyle w:val="FootnoteReference"/>
        </w:rPr>
        <w:footnoteRef/>
      </w:r>
      <w:r>
        <w:t xml:space="preserve"> </w:t>
      </w:r>
      <w:r>
        <w:rPr>
          <w:lang w:val="en-GB"/>
        </w:rPr>
        <w:t>This was not included amongst the annexures to the founding papers.</w:t>
      </w:r>
    </w:p>
  </w:footnote>
  <w:footnote w:id="7">
    <w:p w14:paraId="46A89496" w14:textId="77777777" w:rsidR="00770DC8" w:rsidRDefault="00770DC8" w:rsidP="00D46D76">
      <w:pPr>
        <w:pStyle w:val="FootnoteText"/>
        <w:contextualSpacing/>
      </w:pPr>
      <w:r>
        <w:rPr>
          <w:rStyle w:val="FootnoteReference"/>
        </w:rPr>
        <w:footnoteRef/>
      </w:r>
      <w:r>
        <w:t xml:space="preserve"> This is presumably the Committee of the Congregation in terms of its own Constitution.</w:t>
      </w:r>
    </w:p>
  </w:footnote>
  <w:footnote w:id="8">
    <w:p w14:paraId="4C590885" w14:textId="77777777" w:rsidR="00770DC8" w:rsidRPr="00427036" w:rsidRDefault="00770DC8" w:rsidP="00D46D76">
      <w:pPr>
        <w:pStyle w:val="FootnoteText"/>
        <w:contextualSpacing/>
        <w:rPr>
          <w:lang w:val="en-GB"/>
        </w:rPr>
      </w:pPr>
      <w:r>
        <w:rPr>
          <w:rStyle w:val="FootnoteReference"/>
        </w:rPr>
        <w:footnoteRef/>
      </w:r>
      <w:r>
        <w:t xml:space="preserve"> </w:t>
      </w:r>
      <w:r>
        <w:rPr>
          <w:lang w:val="en-GB"/>
        </w:rPr>
        <w:t>The applicant did not state specifically whether it relies on section 4 (6) or 4 (7) of the PIE Act but purported to cover the requirements specified by the latter sub-section.  Neither party suggested incidentally that the Municipality needed to become involved on the basis contemplated by sub-section (7).</w:t>
      </w:r>
    </w:p>
  </w:footnote>
  <w:footnote w:id="9">
    <w:p w14:paraId="0EA8C1D8" w14:textId="00667E1D" w:rsidR="00770DC8" w:rsidRPr="00D20618" w:rsidRDefault="00770DC8" w:rsidP="00D46D76">
      <w:pPr>
        <w:pStyle w:val="FootnoteText"/>
        <w:contextualSpacing/>
        <w:rPr>
          <w:lang w:val="en-GB"/>
        </w:rPr>
      </w:pPr>
      <w:r>
        <w:rPr>
          <w:rStyle w:val="FootnoteReference"/>
        </w:rPr>
        <w:footnoteRef/>
      </w:r>
      <w:r>
        <w:t xml:space="preserve"> </w:t>
      </w:r>
      <w:r>
        <w:rPr>
          <w:lang w:val="en-GB"/>
        </w:rPr>
        <w:t>See section 4 (8) of the PIE Act.  This assertion was probably premised on the expectation that the matter would proceed on an unopposed basis</w:t>
      </w:r>
      <w:r w:rsidR="003258D1">
        <w:rPr>
          <w:lang w:val="en-GB"/>
        </w:rPr>
        <w:t xml:space="preserve"> and that the parties could, on the applicant’s averments, raise no serious defence to the eviction claim.</w:t>
      </w:r>
    </w:p>
  </w:footnote>
  <w:footnote w:id="10">
    <w:p w14:paraId="7B2121AE" w14:textId="77777777" w:rsidR="00770DC8" w:rsidRPr="00F128D3" w:rsidRDefault="00770DC8" w:rsidP="00D46D76">
      <w:pPr>
        <w:pStyle w:val="FootnoteText"/>
        <w:rPr>
          <w:rFonts w:cstheme="minorHAnsi"/>
          <w:lang w:val="en-GB"/>
        </w:rPr>
      </w:pPr>
      <w:r w:rsidRPr="00F128D3">
        <w:rPr>
          <w:rStyle w:val="FootnoteReference"/>
          <w:rFonts w:cstheme="minorHAnsi"/>
        </w:rPr>
        <w:footnoteRef/>
      </w:r>
      <w:r w:rsidRPr="00F128D3">
        <w:rPr>
          <w:rFonts w:cstheme="minorHAnsi"/>
        </w:rPr>
        <w:t xml:space="preserve"> </w:t>
      </w:r>
      <w:r w:rsidRPr="00F128D3">
        <w:rPr>
          <w:rFonts w:cstheme="minorHAnsi"/>
          <w:color w:val="000000"/>
        </w:rPr>
        <w:t xml:space="preserve">What the “dispute” is that falls to be resolved on such a basis is unfortunately not clearly spelt out.  I assume contextually though that the first respondent means a prior related dispute (wills dispute) which ultimately conduced to, or culminated in, his dismissal.  See Footnote 2 above though regarding my view on the suggested claim of lack of </w:t>
      </w:r>
      <w:r w:rsidRPr="00F128D3">
        <w:rPr>
          <w:rFonts w:cstheme="minorHAnsi"/>
          <w:i/>
          <w:iCs/>
          <w:color w:val="000000"/>
        </w:rPr>
        <w:t>locus standi</w:t>
      </w:r>
      <w:r w:rsidRPr="00F128D3">
        <w:rPr>
          <w:rFonts w:cstheme="minorHAnsi"/>
          <w:color w:val="000000"/>
        </w:rPr>
        <w:t xml:space="preserve"> on the part of the applicant to bring the eviction application.</w:t>
      </w:r>
    </w:p>
  </w:footnote>
  <w:footnote w:id="11">
    <w:p w14:paraId="4116027A" w14:textId="77777777" w:rsidR="00770DC8" w:rsidRPr="00DE30A3" w:rsidRDefault="00770DC8" w:rsidP="00D46D76">
      <w:pPr>
        <w:pStyle w:val="FootnoteText"/>
        <w:contextualSpacing/>
        <w:rPr>
          <w:lang w:val="en-GB"/>
        </w:rPr>
      </w:pPr>
      <w:r>
        <w:rPr>
          <w:rStyle w:val="FootnoteReference"/>
        </w:rPr>
        <w:footnoteRef/>
      </w:r>
      <w:r>
        <w:t xml:space="preserve"> </w:t>
      </w:r>
      <w:r>
        <w:rPr>
          <w:lang w:val="en-GB"/>
        </w:rPr>
        <w:t xml:space="preserve">This contention is not really understood since the period of occupation for these purposes is calculated from the date on which the occupation becomes unlawful. Ndlovu v Ngcobo; Bekker and Bosch v Jika 2003 (1) SA 113 </w:t>
      </w:r>
      <w:r w:rsidRPr="00E1202D">
        <w:rPr>
          <w:color w:val="000000" w:themeColor="text1"/>
          <w:lang w:val="en-GB"/>
        </w:rPr>
        <w:t>(SCA) at para 17</w:t>
      </w:r>
      <w:r w:rsidRPr="00E1202D">
        <w:rPr>
          <w:lang w:val="en-GB"/>
        </w:rPr>
        <w:t>.  In</w:t>
      </w:r>
      <w:r>
        <w:rPr>
          <w:lang w:val="en-GB"/>
        </w:rPr>
        <w:t xml:space="preserve"> this instance the applicant’s consent to the respondents’ occupation of the residency, on its case, would have fallen away at the end of March 2020 if regard is had to the extension granted to them (see termination letter), if not on the same date of the first respondent’s dismissal.  I have indicated above that the applicant seems however to have premised its case on the basis that the provisions of sub-section (7) are of application and indeed addressed the relevant concerns</w:t>
      </w:r>
      <w:r w:rsidRPr="00C8595C">
        <w:rPr>
          <w:lang w:val="en-GB"/>
        </w:rPr>
        <w:t xml:space="preserve"> </w:t>
      </w:r>
      <w:r>
        <w:rPr>
          <w:lang w:val="en-GB"/>
        </w:rPr>
        <w:t>required to be raised by these provisions in its replying affidavit.</w:t>
      </w:r>
    </w:p>
  </w:footnote>
  <w:footnote w:id="12">
    <w:p w14:paraId="0469DC50" w14:textId="77777777" w:rsidR="00770DC8" w:rsidRPr="00A816BB" w:rsidRDefault="00770DC8" w:rsidP="00D46D76">
      <w:pPr>
        <w:pStyle w:val="FootnoteText"/>
      </w:pPr>
      <w:r>
        <w:rPr>
          <w:rStyle w:val="FootnoteReference"/>
        </w:rPr>
        <w:footnoteRef/>
      </w:r>
      <w:r>
        <w:t xml:space="preserve"> This is the only information provided to the court in effect concerning the nature of the dismissal dispute.  Reading between the lines the first respondent seems to be complaining that his dismissal was both substantively and </w:t>
      </w:r>
      <w:r w:rsidRPr="002831A3">
        <w:rPr>
          <w:iCs/>
        </w:rPr>
        <w:t xml:space="preserve">procedurally </w:t>
      </w:r>
      <w:r>
        <w:t xml:space="preserve">unfair, substantively because there was a lack of proof that he is guilty of misconduct, and procedurally because the applicant purported to dismiss him prematurely before the Beth-Din, which has the final say, in fact had that say about both his proven misconduct and need to step down as the Congregation’s rabbi.  It is entirely illogical to suggest though that the applicant (represented through its Committee) is not the entity that is entitled to hire and fire its own rabbis.  </w:t>
      </w:r>
      <w:bookmarkStart w:id="1" w:name="_Hlk102532798"/>
      <w:bookmarkEnd w:id="1"/>
    </w:p>
  </w:footnote>
  <w:footnote w:id="13">
    <w:p w14:paraId="6C35A24E" w14:textId="287FA0B7" w:rsidR="00770DC8" w:rsidRDefault="00770DC8" w:rsidP="00D46D76">
      <w:pPr>
        <w:pStyle w:val="FootnoteText"/>
        <w:contextualSpacing/>
      </w:pPr>
      <w:r w:rsidRPr="009D2CB0">
        <w:rPr>
          <w:rStyle w:val="FootnoteReference"/>
        </w:rPr>
        <w:footnoteRef/>
      </w:r>
      <w:r>
        <w:t xml:space="preserve"> See footnote 10</w:t>
      </w:r>
      <w:r w:rsidRPr="009D2CB0">
        <w:t xml:space="preserve"> above.  It is not clear if he means all the matters pending in the high court or only Makhanda case no. 1340/2021 that bears directly on the dismissal dispute.</w:t>
      </w:r>
      <w:r>
        <w:t xml:space="preserve"> In my view it would be too remote to include the pending action between the Society and the first respondent regarding the validity of the will that is in dispute.</w:t>
      </w:r>
    </w:p>
  </w:footnote>
  <w:footnote w:id="14">
    <w:p w14:paraId="60A081D8" w14:textId="77777777" w:rsidR="00770DC8" w:rsidRDefault="00770DC8" w:rsidP="00D46D76">
      <w:pPr>
        <w:pStyle w:val="FootnoteText"/>
      </w:pPr>
      <w:r>
        <w:rPr>
          <w:rStyle w:val="FootnoteReference"/>
        </w:rPr>
        <w:footnoteRef/>
      </w:r>
      <w:r>
        <w:t xml:space="preserve"> [2016] 4 All SA 828 (SCA).</w:t>
      </w:r>
    </w:p>
  </w:footnote>
  <w:footnote w:id="15">
    <w:p w14:paraId="08A230E3" w14:textId="77777777" w:rsidR="00770DC8" w:rsidRPr="00DE30A3" w:rsidRDefault="00770DC8" w:rsidP="00D46D76">
      <w:pPr>
        <w:pStyle w:val="FootnoteText"/>
        <w:contextualSpacing/>
        <w:rPr>
          <w:lang w:val="en-GB"/>
        </w:rPr>
      </w:pPr>
      <w:r>
        <w:rPr>
          <w:rStyle w:val="FootnoteReference"/>
        </w:rPr>
        <w:footnoteRef/>
      </w:r>
      <w:r>
        <w:t xml:space="preserve"> As indicated above I assume that this would be the </w:t>
      </w:r>
      <w:r>
        <w:rPr>
          <w:lang w:val="en-GB"/>
        </w:rPr>
        <w:t>Committee under the Congregation’s own constitution.</w:t>
      </w:r>
    </w:p>
  </w:footnote>
  <w:footnote w:id="16">
    <w:p w14:paraId="513A19C7" w14:textId="77777777" w:rsidR="00770DC8" w:rsidRPr="00391C39" w:rsidRDefault="00770DC8" w:rsidP="00D46D76">
      <w:pPr>
        <w:pStyle w:val="FootnoteText"/>
        <w:contextualSpacing/>
        <w:rPr>
          <w:lang w:val="en-GB"/>
        </w:rPr>
      </w:pPr>
      <w:r>
        <w:rPr>
          <w:rStyle w:val="FootnoteReference"/>
        </w:rPr>
        <w:footnoteRef/>
      </w:r>
      <w:r>
        <w:t xml:space="preserve"> </w:t>
      </w:r>
      <w:r>
        <w:rPr>
          <w:lang w:val="en-GB"/>
        </w:rPr>
        <w:t>In the applicant’s replying affidavit, the co-president of the Congregation reveals that the Society was not happy that the applicant had bound it to the referral.  This leaves the distinct impression that the dispute with the first respondent over the will of the deceased was principally driven by the applicant.</w:t>
      </w:r>
    </w:p>
  </w:footnote>
  <w:footnote w:id="17">
    <w:p w14:paraId="3CFBD2AA" w14:textId="77777777" w:rsidR="00770DC8" w:rsidRPr="00D344DB" w:rsidRDefault="00770DC8" w:rsidP="00172C23">
      <w:pPr>
        <w:pStyle w:val="FootnoteText"/>
        <w:contextualSpacing/>
        <w:rPr>
          <w:lang w:val="en-GB"/>
        </w:rPr>
      </w:pPr>
      <w:r>
        <w:rPr>
          <w:rStyle w:val="FootnoteReference"/>
        </w:rPr>
        <w:footnoteRef/>
      </w:r>
      <w:r>
        <w:t xml:space="preserve"> </w:t>
      </w:r>
      <w:r>
        <w:rPr>
          <w:lang w:val="en-GB"/>
        </w:rPr>
        <w:t>The first respondent accuses Mr. Robinson, who is a trustee of the applicant and deposed to the affidavit filed on its behalf, of having been the driving force of all the proceedings against him and his wife.</w:t>
      </w:r>
    </w:p>
  </w:footnote>
  <w:footnote w:id="18">
    <w:p w14:paraId="23CDA8C3" w14:textId="77777777" w:rsidR="00770DC8" w:rsidRPr="00D344DB" w:rsidRDefault="00770DC8" w:rsidP="00D46D76">
      <w:pPr>
        <w:pStyle w:val="FootnoteText"/>
        <w:contextualSpacing/>
        <w:rPr>
          <w:lang w:val="en-GB"/>
        </w:rPr>
      </w:pPr>
      <w:r>
        <w:rPr>
          <w:rStyle w:val="FootnoteReference"/>
        </w:rPr>
        <w:footnoteRef/>
      </w:r>
      <w:r>
        <w:t xml:space="preserve"> This is the acronym for the Society.</w:t>
      </w:r>
    </w:p>
  </w:footnote>
  <w:footnote w:id="19">
    <w:p w14:paraId="23D014FD" w14:textId="77777777" w:rsidR="00770DC8" w:rsidRPr="00770DC8" w:rsidRDefault="00770DC8">
      <w:pPr>
        <w:pStyle w:val="FootnoteText"/>
        <w:rPr>
          <w:lang w:val="en-GB"/>
        </w:rPr>
      </w:pPr>
      <w:r>
        <w:rPr>
          <w:rStyle w:val="FootnoteReference"/>
        </w:rPr>
        <w:footnoteRef/>
      </w:r>
      <w:r>
        <w:t xml:space="preserve"> </w:t>
      </w:r>
      <w:r>
        <w:rPr>
          <w:lang w:val="en-GB"/>
        </w:rPr>
        <w:t>This is the same date on which the respondents were served with the “</w:t>
      </w:r>
      <w:r w:rsidRPr="00770DC8">
        <w:rPr>
          <w:i/>
          <w:lang w:val="en-GB"/>
        </w:rPr>
        <w:t>Ex parte</w:t>
      </w:r>
      <w:r>
        <w:rPr>
          <w:lang w:val="en-GB"/>
        </w:rPr>
        <w:t>” application for eviction.</w:t>
      </w:r>
    </w:p>
  </w:footnote>
  <w:footnote w:id="20">
    <w:p w14:paraId="00C1E0B7" w14:textId="77777777" w:rsidR="00770DC8" w:rsidRPr="00F128D3" w:rsidRDefault="00770DC8">
      <w:pPr>
        <w:pStyle w:val="FootnoteText"/>
        <w:rPr>
          <w:lang w:val="en-GB"/>
        </w:rPr>
      </w:pPr>
      <w:r>
        <w:rPr>
          <w:rStyle w:val="FootnoteReference"/>
        </w:rPr>
        <w:footnoteRef/>
      </w:r>
      <w:r>
        <w:t xml:space="preserve"> </w:t>
      </w:r>
      <w:r>
        <w:rPr>
          <w:lang w:val="en-GB"/>
        </w:rPr>
        <w:t>Makhanda case number 1770/2020 refers.</w:t>
      </w:r>
    </w:p>
  </w:footnote>
  <w:footnote w:id="21">
    <w:p w14:paraId="28D685CD" w14:textId="77777777" w:rsidR="00770DC8" w:rsidRPr="00D6235E" w:rsidRDefault="00770DC8" w:rsidP="00D46D76">
      <w:pPr>
        <w:pStyle w:val="FootnoteText"/>
        <w:contextualSpacing/>
        <w:rPr>
          <w:lang w:val="en-GB"/>
        </w:rPr>
      </w:pPr>
      <w:r>
        <w:rPr>
          <w:rStyle w:val="FootnoteReference"/>
        </w:rPr>
        <w:footnoteRef/>
      </w:r>
      <w:r>
        <w:t xml:space="preserve"> </w:t>
      </w:r>
      <w:r>
        <w:rPr>
          <w:lang w:val="en-GB"/>
        </w:rPr>
        <w:t>The applicant reveals that the action does not concern it and the first respondent, but rather that it is between the Society and him.</w:t>
      </w:r>
    </w:p>
  </w:footnote>
  <w:footnote w:id="22">
    <w:p w14:paraId="48D7E197" w14:textId="77777777" w:rsidR="00770DC8" w:rsidRPr="00881BB2" w:rsidRDefault="00770DC8" w:rsidP="00D46D76">
      <w:pPr>
        <w:pStyle w:val="FootnoteText"/>
        <w:rPr>
          <w:lang w:val="en-GB"/>
        </w:rPr>
      </w:pPr>
      <w:r>
        <w:rPr>
          <w:rStyle w:val="FootnoteReference"/>
        </w:rPr>
        <w:footnoteRef/>
      </w:r>
      <w:r>
        <w:t xml:space="preserve"> </w:t>
      </w:r>
      <w:r>
        <w:rPr>
          <w:lang w:val="en-GB"/>
        </w:rPr>
        <w:t>The legal consequence is not relevant to these proceedings.  The irony though is that this revelation possibly points away from misconduct on the part of the first respondent although, as the applicant pleads, the wills dispute is not the only issue between it and the first respondent.</w:t>
      </w:r>
    </w:p>
  </w:footnote>
  <w:footnote w:id="23">
    <w:p w14:paraId="1CF63436" w14:textId="77777777" w:rsidR="00770DC8" w:rsidRPr="00C86867" w:rsidRDefault="00770DC8" w:rsidP="00C83939">
      <w:pPr>
        <w:pStyle w:val="FootnoteText"/>
        <w:rPr>
          <w:lang w:val="en-GB"/>
        </w:rPr>
      </w:pPr>
      <w:r>
        <w:rPr>
          <w:rStyle w:val="FootnoteReference"/>
        </w:rPr>
        <w:footnoteRef/>
      </w:r>
      <w:r>
        <w:t xml:space="preserve"> </w:t>
      </w:r>
      <w:r>
        <w:rPr>
          <w:lang w:val="en-GB"/>
        </w:rPr>
        <w:t xml:space="preserve">A glance at the Beth-Din’s correspondence in this respect dated 24 June 2020 does not at all suggest a random withdrawal of its earlier findings.  It explains why a retrial was necessary having regard to its own internal process and invited the parties to a fresh hearing via </w:t>
      </w:r>
      <w:r w:rsidRPr="00563A98">
        <w:rPr>
          <w:i/>
          <w:iCs/>
          <w:lang w:val="en-GB"/>
        </w:rPr>
        <w:t>Zoom</w:t>
      </w:r>
      <w:r>
        <w:rPr>
          <w:lang w:val="en-GB"/>
        </w:rPr>
        <w:t xml:space="preserve"> which it offered to hear on an urgent basis on 30 June 2020.  The applicant put this letter up in support of the allegation that the Beth-Din had withdrawn its original ruling, but failed to suggest what had transpired thereafter or why the invitation for a retrial was not taken up, or what the further outcome was, if any.</w:t>
      </w:r>
    </w:p>
  </w:footnote>
  <w:footnote w:id="24">
    <w:p w14:paraId="2C3DCF63" w14:textId="77777777" w:rsidR="00770DC8" w:rsidRPr="00875331" w:rsidRDefault="00770DC8" w:rsidP="00875331">
      <w:pPr>
        <w:rPr>
          <w:rFonts w:cstheme="minorHAnsi"/>
          <w:sz w:val="20"/>
          <w:szCs w:val="20"/>
        </w:rPr>
      </w:pPr>
      <w:r w:rsidRPr="008E4E03">
        <w:rPr>
          <w:rStyle w:val="FootnoteReference"/>
        </w:rPr>
        <w:footnoteRef/>
      </w:r>
      <w:r w:rsidRPr="008E4E03">
        <w:t xml:space="preserve"> </w:t>
      </w:r>
      <w:r w:rsidRPr="00974835">
        <w:rPr>
          <w:sz w:val="20"/>
          <w:szCs w:val="20"/>
        </w:rPr>
        <w:t xml:space="preserve">See Preamble to the Act.   See </w:t>
      </w:r>
      <w:r w:rsidRPr="00875331">
        <w:rPr>
          <w:sz w:val="20"/>
          <w:szCs w:val="20"/>
        </w:rPr>
        <w:t xml:space="preserve">also </w:t>
      </w:r>
      <w:r>
        <w:rPr>
          <w:sz w:val="20"/>
          <w:szCs w:val="20"/>
        </w:rPr>
        <w:t>Christo</w:t>
      </w:r>
      <w:r w:rsidRPr="00875331">
        <w:rPr>
          <w:sz w:val="20"/>
          <w:szCs w:val="20"/>
        </w:rPr>
        <w:t xml:space="preserve"> Smith, </w:t>
      </w:r>
      <w:r w:rsidRPr="00875331">
        <w:rPr>
          <w:rFonts w:cstheme="minorHAnsi"/>
          <w:sz w:val="20"/>
          <w:szCs w:val="20"/>
        </w:rPr>
        <w:t>Eviction</w:t>
      </w:r>
      <w:r w:rsidRPr="00974835">
        <w:rPr>
          <w:rFonts w:cstheme="minorHAnsi"/>
          <w:sz w:val="20"/>
          <w:szCs w:val="20"/>
        </w:rPr>
        <w:t xml:space="preserve"> and Rental Claims: A Practical Guide, Part 1: The Law of Eviction, Chapter 3 The Prevention of Illegal Eviction from and Unlawful Occupation of Land Act re The scope of PIE at par 3.1</w:t>
      </w:r>
      <w:r>
        <w:rPr>
          <w:rFonts w:cstheme="minorHAnsi"/>
          <w:sz w:val="20"/>
          <w:szCs w:val="20"/>
        </w:rPr>
        <w:t>.</w:t>
      </w:r>
    </w:p>
  </w:footnote>
  <w:footnote w:id="25">
    <w:p w14:paraId="5A49E5A6" w14:textId="77777777" w:rsidR="00770DC8" w:rsidRPr="00FC42E7" w:rsidRDefault="00770DC8" w:rsidP="00D46D76">
      <w:pPr>
        <w:pStyle w:val="FootnoteText"/>
        <w:contextualSpacing/>
        <w:rPr>
          <w:lang w:val="en-GB"/>
        </w:rPr>
      </w:pPr>
      <w:r>
        <w:rPr>
          <w:rStyle w:val="FootnoteReference"/>
        </w:rPr>
        <w:footnoteRef/>
      </w:r>
      <w:r>
        <w:t xml:space="preserve"> Ndlovu v Ngcobo; Bekker and Bosch v Jika 2003 (1) SA 113 (SCA) at par [16].</w:t>
      </w:r>
    </w:p>
  </w:footnote>
  <w:footnote w:id="26">
    <w:p w14:paraId="5FFC0597" w14:textId="77777777" w:rsidR="00770DC8" w:rsidRPr="00B42401" w:rsidRDefault="00770DC8" w:rsidP="00D46D76">
      <w:pPr>
        <w:pStyle w:val="FootnoteText"/>
        <w:contextualSpacing/>
        <w:rPr>
          <w:lang w:val="en-GB"/>
        </w:rPr>
      </w:pPr>
      <w:r>
        <w:rPr>
          <w:rStyle w:val="FootnoteReference"/>
        </w:rPr>
        <w:footnoteRef/>
      </w:r>
      <w:r>
        <w:t xml:space="preserve"> </w:t>
      </w:r>
      <w:r w:rsidRPr="002D4F99">
        <w:rPr>
          <w:i/>
          <w:lang w:val="en-GB"/>
        </w:rPr>
        <w:t>Locus standi</w:t>
      </w:r>
      <w:r>
        <w:rPr>
          <w:lang w:val="en-GB"/>
        </w:rPr>
        <w:t xml:space="preserve"> is instead challenged on the basis that the parties resort should have been to the Beth-Din to resolve the first respondent’s dispute/s as a precondition for a valid termination before the subsidiary tenancy can be said to have come to an end.</w:t>
      </w:r>
    </w:p>
  </w:footnote>
  <w:footnote w:id="27">
    <w:p w14:paraId="626F6E76" w14:textId="77777777" w:rsidR="00770DC8" w:rsidRPr="00B42401" w:rsidRDefault="00770DC8" w:rsidP="00D46D76">
      <w:pPr>
        <w:pStyle w:val="FootnoteText"/>
        <w:contextualSpacing/>
        <w:rPr>
          <w:lang w:val="en-GB"/>
        </w:rPr>
      </w:pPr>
      <w:r>
        <w:rPr>
          <w:rStyle w:val="FootnoteReference"/>
        </w:rPr>
        <w:footnoteRef/>
      </w:r>
      <w:r>
        <w:t xml:space="preserve"> </w:t>
      </w:r>
      <w:r>
        <w:rPr>
          <w:lang w:val="en-GB"/>
        </w:rPr>
        <w:t xml:space="preserve">Goudini Chrome (Pty) Ltd v MCC Contracts (Pty) Ltd 1993 (1) SA 77 (A) at 82 A – C.  Ndlovu </w:t>
      </w:r>
      <w:r w:rsidRPr="00B42401">
        <w:rPr>
          <w:i/>
          <w:lang w:val="en-GB"/>
        </w:rPr>
        <w:t>supra</w:t>
      </w:r>
      <w:r>
        <w:rPr>
          <w:lang w:val="en-GB"/>
        </w:rPr>
        <w:t xml:space="preserve"> at par [19].</w:t>
      </w:r>
    </w:p>
  </w:footnote>
  <w:footnote w:id="28">
    <w:p w14:paraId="67ED8154" w14:textId="77777777" w:rsidR="00770DC8" w:rsidRPr="008346A8" w:rsidRDefault="00770DC8" w:rsidP="00D46D76">
      <w:pPr>
        <w:pStyle w:val="FootnoteText"/>
        <w:contextualSpacing/>
        <w:rPr>
          <w:lang w:val="en-GB"/>
        </w:rPr>
      </w:pPr>
      <w:r>
        <w:rPr>
          <w:rStyle w:val="FootnoteReference"/>
        </w:rPr>
        <w:footnoteRef/>
      </w:r>
      <w:r>
        <w:t xml:space="preserve"> </w:t>
      </w:r>
      <w:r>
        <w:rPr>
          <w:lang w:val="en-GB"/>
        </w:rPr>
        <w:t>Chetty v Nai</w:t>
      </w:r>
      <w:r w:rsidR="004E7D92">
        <w:rPr>
          <w:lang w:val="en-GB"/>
        </w:rPr>
        <w:t xml:space="preserve">doo 1974 (3) SA 13 (A) at 21 G </w:t>
      </w:r>
      <w:r>
        <w:rPr>
          <w:lang w:val="en-GB"/>
        </w:rPr>
        <w:t>- H.</w:t>
      </w:r>
    </w:p>
  </w:footnote>
  <w:footnote w:id="29">
    <w:p w14:paraId="1D8752E7" w14:textId="77777777" w:rsidR="00770DC8" w:rsidRPr="009D30DC" w:rsidRDefault="00770DC8" w:rsidP="00D46D76">
      <w:pPr>
        <w:pStyle w:val="FootnoteText"/>
        <w:rPr>
          <w:lang w:val="en-US"/>
        </w:rPr>
      </w:pPr>
      <w:r>
        <w:rPr>
          <w:rStyle w:val="FootnoteReference"/>
        </w:rPr>
        <w:footnoteRef/>
      </w:r>
      <w:r>
        <w:t xml:space="preserve"> </w:t>
      </w:r>
      <w:r>
        <w:rPr>
          <w:lang w:val="en-US"/>
        </w:rPr>
        <w:t>“Dismissal” is defined in section 186 (1) of the Labour Relations Act, No. 66 of 1995 (“LRA”) as “a termination of employment with or without notice”.</w:t>
      </w:r>
    </w:p>
  </w:footnote>
  <w:footnote w:id="30">
    <w:p w14:paraId="6B842428" w14:textId="77777777" w:rsidR="00770DC8" w:rsidRPr="009D30DC" w:rsidRDefault="00770DC8" w:rsidP="00D46D76">
      <w:pPr>
        <w:pStyle w:val="FootnoteText"/>
        <w:rPr>
          <w:lang w:val="en-US"/>
        </w:rPr>
      </w:pPr>
      <w:r>
        <w:rPr>
          <w:rStyle w:val="FootnoteReference"/>
        </w:rPr>
        <w:footnoteRef/>
      </w:r>
      <w:r>
        <w:t xml:space="preserve"> </w:t>
      </w:r>
      <w:r>
        <w:rPr>
          <w:lang w:val="en-US"/>
        </w:rPr>
        <w:t xml:space="preserve">The LRA does not contemplate that a dismissal could be “invalid” and thus of no force or effect neither does an employee have a right “not to be </w:t>
      </w:r>
      <w:r w:rsidRPr="000B38ED">
        <w:rPr>
          <w:i/>
          <w:iCs/>
          <w:lang w:val="en-US"/>
        </w:rPr>
        <w:t>unlawfully</w:t>
      </w:r>
      <w:r>
        <w:rPr>
          <w:lang w:val="en-US"/>
        </w:rPr>
        <w:t xml:space="preserve"> dismissed”.  See Steenkamp &amp; Others v Edcon Ltd 2016 (3) BCLR 311 (CC).</w:t>
      </w:r>
    </w:p>
  </w:footnote>
  <w:footnote w:id="31">
    <w:p w14:paraId="476C143B" w14:textId="77777777" w:rsidR="00770DC8" w:rsidRPr="00D84CEB" w:rsidRDefault="00770DC8" w:rsidP="00D46D76">
      <w:pPr>
        <w:pStyle w:val="FootnoteText"/>
        <w:contextualSpacing/>
        <w:rPr>
          <w:lang w:val="en-GB"/>
        </w:rPr>
      </w:pPr>
      <w:r>
        <w:rPr>
          <w:rStyle w:val="FootnoteReference"/>
        </w:rPr>
        <w:footnoteRef/>
      </w:r>
      <w:r>
        <w:t xml:space="preserve"> </w:t>
      </w:r>
      <w:r w:rsidRPr="0032403B">
        <w:rPr>
          <w:i/>
        </w:rPr>
        <w:t>Supra</w:t>
      </w:r>
      <w:r>
        <w:rPr>
          <w:lang w:val="en-GB"/>
        </w:rPr>
        <w:t xml:space="preserve"> particularly at pars [6] and [19].</w:t>
      </w:r>
    </w:p>
  </w:footnote>
  <w:footnote w:id="32">
    <w:p w14:paraId="18510576" w14:textId="77777777" w:rsidR="00770DC8" w:rsidRPr="009D3763" w:rsidRDefault="00770DC8" w:rsidP="00C83939">
      <w:pPr>
        <w:pStyle w:val="FootnoteText"/>
        <w:rPr>
          <w:lang w:val="en-GB"/>
        </w:rPr>
      </w:pPr>
      <w:r>
        <w:rPr>
          <w:rStyle w:val="FootnoteReference"/>
        </w:rPr>
        <w:footnoteRef/>
      </w:r>
      <w:r>
        <w:t xml:space="preserve"> </w:t>
      </w:r>
      <w:r>
        <w:rPr>
          <w:lang w:val="en-GB"/>
        </w:rPr>
        <w:t>The occupier had referred a constructive dismissal dispute to the CCMA after he was constrained to resign in order to receive payment of his pension benefits that should have been paid to him after he entered into a new employment contract with the successors in title of a group of farms where he had previously worked as a farm labourer.  He was promoted to the position of senior foreman and transferred to a different farm under occupation by him under a new contract. He claimed to have been induced by the new employer to resign after they told him that he could not access his pension payment unless he resigned.  In the course of his long service on the farm (beginning from Hexrivier until he transferred to the new farm) he had accrued a substantial pension carried over from his former employer. Rightly or wrongly, so the court observed, he entertained an apprehension that he might not get his pension monies except if he resigned. The court found that his dispute had been timeously referred to the CCMA and had not been determined by the date on which he received notice to vacate the premises.</w:t>
      </w:r>
    </w:p>
  </w:footnote>
  <w:footnote w:id="33">
    <w:p w14:paraId="02333BA8" w14:textId="77777777" w:rsidR="003258D1" w:rsidRPr="0032403B" w:rsidRDefault="003258D1" w:rsidP="003258D1">
      <w:pPr>
        <w:pStyle w:val="FootnoteText"/>
        <w:contextualSpacing/>
        <w:rPr>
          <w:lang w:val="en-US"/>
        </w:rPr>
      </w:pPr>
      <w:r>
        <w:rPr>
          <w:rStyle w:val="FootnoteReference"/>
        </w:rPr>
        <w:footnoteRef/>
      </w:r>
      <w:r>
        <w:t xml:space="preserve"> </w:t>
      </w:r>
      <w:r>
        <w:rPr>
          <w:lang w:val="en-US"/>
        </w:rPr>
        <w:t xml:space="preserve">Ndlovu v Ngcobo, Bekker &amp; Bosch v Jika </w:t>
      </w:r>
      <w:r>
        <w:rPr>
          <w:i/>
          <w:lang w:val="en-US"/>
        </w:rPr>
        <w:t>s</w:t>
      </w:r>
      <w:r w:rsidRPr="0032403B">
        <w:rPr>
          <w:i/>
          <w:lang w:val="en-US"/>
        </w:rPr>
        <w:t>upra</w:t>
      </w:r>
      <w:r>
        <w:rPr>
          <w:lang w:val="en-US"/>
        </w:rPr>
        <w:t xml:space="preserve"> at para [19].</w:t>
      </w:r>
    </w:p>
  </w:footnote>
  <w:footnote w:id="34">
    <w:p w14:paraId="1B1D2738" w14:textId="77777777" w:rsidR="00770DC8" w:rsidRPr="008F5E4F" w:rsidRDefault="00770DC8" w:rsidP="00770DC8">
      <w:pPr>
        <w:contextualSpacing/>
        <w:rPr>
          <w:sz w:val="20"/>
          <w:szCs w:val="20"/>
        </w:rPr>
      </w:pPr>
      <w:r w:rsidRPr="008F5E4F">
        <w:rPr>
          <w:rStyle w:val="FootnoteReference"/>
          <w:sz w:val="20"/>
          <w:szCs w:val="20"/>
        </w:rPr>
        <w:footnoteRef/>
      </w:r>
      <w:r w:rsidRPr="008F5E4F">
        <w:rPr>
          <w:sz w:val="20"/>
          <w:szCs w:val="20"/>
        </w:rPr>
        <w:t xml:space="preserve"> The ESTA provides as follows in this respect:</w:t>
      </w:r>
    </w:p>
    <w:p w14:paraId="487661D7" w14:textId="77777777" w:rsidR="00770DC8" w:rsidRPr="008F5E4F" w:rsidRDefault="00770DC8" w:rsidP="008F5E4F">
      <w:pPr>
        <w:spacing w:before="300"/>
        <w:ind w:left="680"/>
        <w:contextualSpacing/>
        <w:rPr>
          <w:rFonts w:eastAsia="Times New Roman" w:cstheme="minorHAnsi"/>
          <w:color w:val="000000"/>
          <w:sz w:val="18"/>
          <w:szCs w:val="18"/>
          <w:lang w:eastAsia="en-ZA"/>
        </w:rPr>
      </w:pPr>
      <w:r w:rsidRPr="008F5E4F">
        <w:rPr>
          <w:rFonts w:eastAsia="Times New Roman" w:cstheme="minorHAnsi"/>
          <w:b/>
          <w:bCs/>
          <w:color w:val="000000"/>
          <w:sz w:val="18"/>
          <w:szCs w:val="18"/>
          <w:lang w:eastAsia="en-ZA"/>
        </w:rPr>
        <w:t>“8.   Termination of right of residence.</w:t>
      </w:r>
      <w:r w:rsidRPr="008F5E4F">
        <w:rPr>
          <w:rFonts w:eastAsia="Times New Roman" w:cstheme="minorHAnsi"/>
          <w:color w:val="000000"/>
          <w:sz w:val="18"/>
          <w:szCs w:val="18"/>
          <w:lang w:eastAsia="en-ZA"/>
        </w:rPr>
        <w:t xml:space="preserve"> —(1)  Subject to the provisions of this section, an occupier’s right of residence may be terminated on any lawful ground, provided that such termination is just and equitable, having regard to all relevant factors and in particular to—</w:t>
      </w:r>
    </w:p>
    <w:p w14:paraId="00944E6D" w14:textId="77777777" w:rsidR="00770DC8" w:rsidRPr="008F5E4F" w:rsidRDefault="00770DC8" w:rsidP="008F5E4F">
      <w:pPr>
        <w:spacing w:before="180"/>
        <w:ind w:left="1361" w:hanging="68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w:t>
      </w:r>
      <w:r w:rsidRPr="008F5E4F">
        <w:rPr>
          <w:rFonts w:eastAsia="Times New Roman" w:cstheme="minorHAnsi"/>
          <w:i/>
          <w:iCs/>
          <w:color w:val="000000"/>
          <w:sz w:val="18"/>
          <w:szCs w:val="18"/>
          <w:lang w:eastAsia="en-ZA"/>
        </w:rPr>
        <w:t>a</w:t>
      </w:r>
      <w:r w:rsidRPr="008F5E4F">
        <w:rPr>
          <w:rFonts w:eastAsia="Times New Roman" w:cstheme="minorHAnsi"/>
          <w:color w:val="000000"/>
          <w:sz w:val="18"/>
          <w:szCs w:val="18"/>
          <w:lang w:eastAsia="en-ZA"/>
        </w:rPr>
        <w:t>)</w:t>
      </w:r>
      <w:r w:rsidRPr="008F5E4F">
        <w:rPr>
          <w:rFonts w:eastAsia="Times New Roman" w:cstheme="minorHAnsi"/>
          <w:color w:val="000000"/>
          <w:sz w:val="18"/>
          <w:szCs w:val="18"/>
          <w:lang w:eastAsia="en-ZA"/>
        </w:rPr>
        <w:tab/>
        <w:t>the fairness of any agreement, provision in an agreement, or provision of law on which the owner or person in charge relies;</w:t>
      </w:r>
    </w:p>
    <w:p w14:paraId="54914C7E" w14:textId="77777777" w:rsidR="00770DC8" w:rsidRPr="008F5E4F" w:rsidRDefault="00770DC8" w:rsidP="008F5E4F">
      <w:pPr>
        <w:spacing w:before="180"/>
        <w:ind w:left="1361" w:hanging="68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w:t>
      </w:r>
      <w:r w:rsidRPr="008F5E4F">
        <w:rPr>
          <w:rFonts w:eastAsia="Times New Roman" w:cstheme="minorHAnsi"/>
          <w:i/>
          <w:iCs/>
          <w:color w:val="000000"/>
          <w:sz w:val="18"/>
          <w:szCs w:val="18"/>
          <w:lang w:eastAsia="en-ZA"/>
        </w:rPr>
        <w:t>b</w:t>
      </w:r>
      <w:r w:rsidRPr="008F5E4F">
        <w:rPr>
          <w:rFonts w:eastAsia="Times New Roman" w:cstheme="minorHAnsi"/>
          <w:color w:val="000000"/>
          <w:sz w:val="18"/>
          <w:szCs w:val="18"/>
          <w:lang w:eastAsia="en-ZA"/>
        </w:rPr>
        <w:t>)</w:t>
      </w:r>
      <w:r w:rsidRPr="008F5E4F">
        <w:rPr>
          <w:rFonts w:eastAsia="Times New Roman" w:cstheme="minorHAnsi"/>
          <w:color w:val="000000"/>
          <w:sz w:val="18"/>
          <w:szCs w:val="18"/>
          <w:lang w:eastAsia="en-ZA"/>
        </w:rPr>
        <w:tab/>
        <w:t>the conduct of the parties giving rise to the termination;</w:t>
      </w:r>
    </w:p>
    <w:p w14:paraId="65304DA5" w14:textId="77777777" w:rsidR="00770DC8" w:rsidRPr="008F5E4F" w:rsidRDefault="00770DC8" w:rsidP="008F5E4F">
      <w:pPr>
        <w:spacing w:before="180"/>
        <w:ind w:left="1361" w:hanging="68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w:t>
      </w:r>
      <w:r w:rsidRPr="008F5E4F">
        <w:rPr>
          <w:rFonts w:eastAsia="Times New Roman" w:cstheme="minorHAnsi"/>
          <w:i/>
          <w:iCs/>
          <w:color w:val="000000"/>
          <w:sz w:val="18"/>
          <w:szCs w:val="18"/>
          <w:lang w:eastAsia="en-ZA"/>
        </w:rPr>
        <w:t>c</w:t>
      </w:r>
      <w:r w:rsidRPr="008F5E4F">
        <w:rPr>
          <w:rFonts w:eastAsia="Times New Roman" w:cstheme="minorHAnsi"/>
          <w:color w:val="000000"/>
          <w:sz w:val="18"/>
          <w:szCs w:val="18"/>
          <w:lang w:eastAsia="en-ZA"/>
        </w:rPr>
        <w:t>)</w:t>
      </w:r>
      <w:r w:rsidRPr="008F5E4F">
        <w:rPr>
          <w:rFonts w:eastAsia="Times New Roman" w:cstheme="minorHAnsi"/>
          <w:color w:val="000000"/>
          <w:sz w:val="18"/>
          <w:szCs w:val="18"/>
          <w:lang w:eastAsia="en-ZA"/>
        </w:rPr>
        <w:tab/>
        <w:t>the interests of the parties, including the comparative hardship to the owner or person in charge, the occupier concerned, and any other occupier if the right of residence is or is not terminated;</w:t>
      </w:r>
    </w:p>
    <w:p w14:paraId="091FB060" w14:textId="77777777" w:rsidR="00770DC8" w:rsidRPr="008F5E4F" w:rsidRDefault="00770DC8" w:rsidP="008F5E4F">
      <w:pPr>
        <w:spacing w:before="180"/>
        <w:ind w:left="1361" w:hanging="68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w:t>
      </w:r>
      <w:r w:rsidRPr="008F5E4F">
        <w:rPr>
          <w:rFonts w:eastAsia="Times New Roman" w:cstheme="minorHAnsi"/>
          <w:i/>
          <w:iCs/>
          <w:color w:val="000000"/>
          <w:sz w:val="18"/>
          <w:szCs w:val="18"/>
          <w:lang w:eastAsia="en-ZA"/>
        </w:rPr>
        <w:t>d</w:t>
      </w:r>
      <w:r w:rsidRPr="008F5E4F">
        <w:rPr>
          <w:rFonts w:eastAsia="Times New Roman" w:cstheme="minorHAnsi"/>
          <w:color w:val="000000"/>
          <w:sz w:val="18"/>
          <w:szCs w:val="18"/>
          <w:lang w:eastAsia="en-ZA"/>
        </w:rPr>
        <w:t>)</w:t>
      </w:r>
      <w:r w:rsidRPr="008F5E4F">
        <w:rPr>
          <w:rFonts w:eastAsia="Times New Roman" w:cstheme="minorHAnsi"/>
          <w:color w:val="000000"/>
          <w:sz w:val="18"/>
          <w:szCs w:val="18"/>
          <w:lang w:eastAsia="en-ZA"/>
        </w:rPr>
        <w:tab/>
        <w:t>the existence of a reasonable expectation of the renewal of the agreement from which the right of residence arises, after the effluxion of its time; and</w:t>
      </w:r>
    </w:p>
    <w:p w14:paraId="1FBE08E7" w14:textId="77777777" w:rsidR="00770DC8" w:rsidRPr="008F5E4F" w:rsidRDefault="00770DC8" w:rsidP="008F5E4F">
      <w:pPr>
        <w:spacing w:before="180"/>
        <w:ind w:left="1361" w:hanging="68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w:t>
      </w:r>
      <w:r w:rsidRPr="008F5E4F">
        <w:rPr>
          <w:rFonts w:eastAsia="Times New Roman" w:cstheme="minorHAnsi"/>
          <w:i/>
          <w:iCs/>
          <w:color w:val="000000"/>
          <w:sz w:val="18"/>
          <w:szCs w:val="18"/>
          <w:lang w:eastAsia="en-ZA"/>
        </w:rPr>
        <w:t>e</w:t>
      </w:r>
      <w:r w:rsidRPr="008F5E4F">
        <w:rPr>
          <w:rFonts w:eastAsia="Times New Roman" w:cstheme="minorHAnsi"/>
          <w:color w:val="000000"/>
          <w:sz w:val="18"/>
          <w:szCs w:val="18"/>
          <w:lang w:eastAsia="en-ZA"/>
        </w:rPr>
        <w:t>)</w:t>
      </w:r>
      <w:r w:rsidRPr="008F5E4F">
        <w:rPr>
          <w:rFonts w:eastAsia="Times New Roman" w:cstheme="minorHAnsi"/>
          <w:color w:val="000000"/>
          <w:sz w:val="18"/>
          <w:szCs w:val="18"/>
          <w:lang w:eastAsia="en-ZA"/>
        </w:rPr>
        <w:tab/>
        <w:t>the fairness of the procedure followed by the owner or person in charge, including whether or not the occupier had or should have been granted an effective opportunity to make representations before the decision was made to terminate the right of residence.</w:t>
      </w:r>
    </w:p>
    <w:p w14:paraId="586837F8" w14:textId="77777777" w:rsidR="00770DC8" w:rsidRPr="008F5E4F" w:rsidRDefault="00770DC8" w:rsidP="008F5E4F">
      <w:pPr>
        <w:spacing w:before="120"/>
        <w:ind w:left="60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(2)  The right of residence of an occupier who is an employee and whose right of residence arises solely from an employment agreement, may be terminated if the occupier resigns from employment or is dismissed in accordance with the provisions of the Labour Relations Act.</w:t>
      </w:r>
    </w:p>
    <w:p w14:paraId="31380BD2" w14:textId="77777777" w:rsidR="00770DC8" w:rsidRPr="008F5E4F" w:rsidRDefault="00770DC8" w:rsidP="008F5E4F">
      <w:pPr>
        <w:spacing w:before="120"/>
        <w:ind w:left="601"/>
        <w:contextualSpacing/>
        <w:rPr>
          <w:rFonts w:eastAsia="Times New Roman" w:cstheme="minorHAnsi"/>
          <w:color w:val="000000"/>
          <w:sz w:val="18"/>
          <w:szCs w:val="18"/>
          <w:lang w:eastAsia="en-ZA"/>
        </w:rPr>
      </w:pPr>
      <w:r w:rsidRPr="008F5E4F">
        <w:rPr>
          <w:rFonts w:eastAsia="Times New Roman" w:cstheme="minorHAnsi"/>
          <w:color w:val="000000"/>
          <w:sz w:val="18"/>
          <w:szCs w:val="18"/>
          <w:lang w:eastAsia="en-ZA"/>
        </w:rPr>
        <w:t>(3)  Any dispute over whether an occupier’s employment has terminated as contemplated in </w:t>
      </w:r>
      <w:hyperlink r:id="rId1" w:anchor="g6" w:history="1">
        <w:r w:rsidRPr="008F5E4F">
          <w:rPr>
            <w:rStyle w:val="Hyperlink"/>
            <w:rFonts w:eastAsia="Times New Roman" w:cstheme="minorHAnsi"/>
            <w:color w:val="0000FF"/>
            <w:sz w:val="18"/>
            <w:szCs w:val="18"/>
            <w:lang w:eastAsia="en-ZA"/>
          </w:rPr>
          <w:t>subsection (2)</w:t>
        </w:r>
      </w:hyperlink>
      <w:r w:rsidRPr="008F5E4F">
        <w:rPr>
          <w:rFonts w:eastAsia="Times New Roman" w:cstheme="minorHAnsi"/>
          <w:color w:val="000000"/>
          <w:sz w:val="18"/>
          <w:szCs w:val="18"/>
          <w:lang w:eastAsia="en-ZA"/>
        </w:rPr>
        <w:t>, shall be dealt with in accordance with the provisions of the Labour Relations Act, and the termination shall take effect when any dispute over the termination has been determined in accordance with that Act.”</w:t>
      </w:r>
    </w:p>
  </w:footnote>
  <w:footnote w:id="35">
    <w:p w14:paraId="4E2A5240" w14:textId="77777777" w:rsidR="00770DC8" w:rsidRDefault="00770DC8" w:rsidP="00D46D76">
      <w:pPr>
        <w:pStyle w:val="FootnoteText"/>
        <w:contextualSpacing/>
      </w:pPr>
      <w:r>
        <w:rPr>
          <w:rStyle w:val="FootnoteReference"/>
        </w:rPr>
        <w:footnoteRef/>
      </w:r>
      <w:r>
        <w:t xml:space="preserve"> Ndlovu v Ngcobo, Bekker &amp; Bosch v Jika, </w:t>
      </w:r>
      <w:r>
        <w:rPr>
          <w:i/>
        </w:rPr>
        <w:t>s</w:t>
      </w:r>
      <w:r w:rsidRPr="002D7E25">
        <w:rPr>
          <w:i/>
        </w:rPr>
        <w:t>upra</w:t>
      </w:r>
      <w:r>
        <w:t xml:space="preserve"> at [16].</w:t>
      </w:r>
    </w:p>
  </w:footnote>
  <w:footnote w:id="36">
    <w:p w14:paraId="48A24EB8" w14:textId="77777777" w:rsidR="00770DC8" w:rsidRPr="0050148A" w:rsidRDefault="00770DC8" w:rsidP="00D46D76">
      <w:pPr>
        <w:pStyle w:val="FootnoteText"/>
        <w:contextualSpacing/>
        <w:rPr>
          <w:lang w:val="en-GB"/>
        </w:rPr>
      </w:pPr>
      <w:r>
        <w:rPr>
          <w:rStyle w:val="FootnoteReference"/>
        </w:rPr>
        <w:footnoteRef/>
      </w:r>
      <w:r>
        <w:t xml:space="preserve"> </w:t>
      </w:r>
      <w:r>
        <w:rPr>
          <w:lang w:val="en-GB"/>
        </w:rPr>
        <w:t>The Joint Practice Rules of this division do not distinguish the position regarding PIE applications, but there are distinct provisions pertaining to the enrolment of both opposed and uncontested opposed application matters, as the case may be, that will have a bearing on how and when the requisite notice under the PIE Act can and should be given.</w:t>
      </w:r>
    </w:p>
  </w:footnote>
  <w:footnote w:id="37">
    <w:p w14:paraId="15B2D126" w14:textId="77777777" w:rsidR="00770DC8" w:rsidRPr="006A0D69" w:rsidRDefault="00770DC8" w:rsidP="00D46D76">
      <w:pPr>
        <w:pStyle w:val="FootnoteText"/>
        <w:contextualSpacing/>
        <w:rPr>
          <w:lang w:val="en-GB"/>
        </w:rPr>
      </w:pPr>
      <w:r>
        <w:rPr>
          <w:rStyle w:val="FootnoteReference"/>
        </w:rPr>
        <w:footnoteRef/>
      </w:r>
      <w:r>
        <w:t xml:space="preserve"> Theart and Another v Minaar NO; Senekal v Winskor 174 (Pty) Ltd 2010 (3) SA 327 (SCA).</w:t>
      </w:r>
    </w:p>
  </w:footnote>
  <w:footnote w:id="38">
    <w:p w14:paraId="080E4C4A" w14:textId="77777777" w:rsidR="00770DC8" w:rsidRPr="009009D7" w:rsidRDefault="00770DC8">
      <w:pPr>
        <w:pStyle w:val="FootnoteText"/>
        <w:rPr>
          <w:lang w:val="en-GB"/>
        </w:rPr>
      </w:pPr>
      <w:r>
        <w:rPr>
          <w:rStyle w:val="FootnoteReference"/>
        </w:rPr>
        <w:footnoteRef/>
      </w:r>
      <w:r>
        <w:t xml:space="preserve"> </w:t>
      </w:r>
      <w:r>
        <w:rPr>
          <w:lang w:val="en-GB"/>
        </w:rPr>
        <w:t>2001 (4) SA 1222 (SCA)</w:t>
      </w:r>
      <w:r w:rsidR="004E7D92">
        <w:rPr>
          <w:lang w:val="en-GB"/>
        </w:rPr>
        <w:t>.</w:t>
      </w:r>
    </w:p>
  </w:footnote>
  <w:footnote w:id="39">
    <w:p w14:paraId="2791702D" w14:textId="77777777" w:rsidR="00770DC8" w:rsidRPr="0050148A" w:rsidRDefault="00770DC8" w:rsidP="00D46D76">
      <w:pPr>
        <w:pStyle w:val="FootnoteText"/>
        <w:contextualSpacing/>
        <w:rPr>
          <w:lang w:val="en-GB"/>
        </w:rPr>
      </w:pPr>
      <w:r>
        <w:rPr>
          <w:rStyle w:val="FootnoteReference"/>
        </w:rPr>
        <w:footnoteRef/>
      </w:r>
      <w:r>
        <w:t xml:space="preserve"> Christo Smith, </w:t>
      </w:r>
      <w:r w:rsidR="007B163D">
        <w:rPr>
          <w:i/>
        </w:rPr>
        <w:t>s</w:t>
      </w:r>
      <w:r w:rsidRPr="006C1610">
        <w:rPr>
          <w:i/>
        </w:rPr>
        <w:t>upra</w:t>
      </w:r>
      <w:r>
        <w:rPr>
          <w:lang w:val="en-GB"/>
        </w:rPr>
        <w:t xml:space="preserve">, Part 1 at par 3.5.2. </w:t>
      </w:r>
    </w:p>
  </w:footnote>
  <w:footnote w:id="40">
    <w:p w14:paraId="11893828" w14:textId="7788F214" w:rsidR="00770DC8" w:rsidRPr="00D96689" w:rsidRDefault="00770DC8" w:rsidP="00D46D76">
      <w:pPr>
        <w:pStyle w:val="FootnoteText"/>
        <w:contextualSpacing/>
      </w:pPr>
      <w:r>
        <w:rPr>
          <w:rStyle w:val="FootnoteReference"/>
        </w:rPr>
        <w:footnoteRef/>
      </w:r>
      <w:r>
        <w:t xml:space="preserve"> There are no specific practice rules in place in respect of eviction applications in the Eastern Cape Province, </w:t>
      </w:r>
      <w:r w:rsidR="003258D1">
        <w:t>but</w:t>
      </w:r>
      <w:r>
        <w:t xml:space="preserve"> a chamber book application </w:t>
      </w:r>
      <w:r w:rsidR="003258D1">
        <w:t xml:space="preserve">would unlikely </w:t>
      </w:r>
      <w:r>
        <w:t xml:space="preserve">be permitted given the requirement in section 4 (2) of the PIE Act that “the court”, as opposed to a “judge”, is to serve written and effective notice of the proceedings on the unlawful occupier.  Such applications are routinely brought </w:t>
      </w:r>
      <w:r w:rsidRPr="00D22B9B">
        <w:rPr>
          <w:i/>
          <w:iCs/>
        </w:rPr>
        <w:t>ex parte</w:t>
      </w:r>
      <w:r>
        <w:t xml:space="preserve"> and set down for hearing on the unopposed motion court roll.</w:t>
      </w:r>
    </w:p>
  </w:footnote>
  <w:footnote w:id="41">
    <w:p w14:paraId="583C06C9" w14:textId="77777777" w:rsidR="00770DC8" w:rsidRPr="007B11FD" w:rsidRDefault="00770DC8" w:rsidP="006C1610">
      <w:pPr>
        <w:pStyle w:val="FootnoteText"/>
        <w:rPr>
          <w:lang w:val="en-GB"/>
        </w:rPr>
      </w:pPr>
      <w:r w:rsidRPr="006C1610">
        <w:rPr>
          <w:rStyle w:val="FootnoteReference"/>
          <w:color w:val="000000" w:themeColor="text1"/>
        </w:rPr>
        <w:footnoteRef/>
      </w:r>
      <w:r w:rsidRPr="006C1610">
        <w:rPr>
          <w:color w:val="000000" w:themeColor="text1"/>
        </w:rPr>
        <w:t xml:space="preserve"> </w:t>
      </w:r>
      <w:r>
        <w:rPr>
          <w:color w:val="000000" w:themeColor="text1"/>
          <w:lang w:val="en-GB"/>
        </w:rPr>
        <w:t>Kanescho Realtors (Pty) Ltd v Maphumulo and others 2006 (5) SA 92 (D) at 97.</w:t>
      </w:r>
    </w:p>
  </w:footnote>
  <w:footnote w:id="42">
    <w:p w14:paraId="11DD25F6" w14:textId="77777777" w:rsidR="00770DC8" w:rsidRDefault="00770DC8" w:rsidP="00D46D76">
      <w:pPr>
        <w:pStyle w:val="FootnoteText"/>
        <w:contextualSpacing/>
      </w:pPr>
      <w:r w:rsidRPr="00E01662">
        <w:rPr>
          <w:rStyle w:val="FootnoteReference"/>
        </w:rPr>
        <w:footnoteRef/>
      </w:r>
      <w:r w:rsidRPr="00E01662">
        <w:t xml:space="preserve"> It is not uncommon in this division for the applicant to anticipate that a respondent may not oppose the substantive relief sought, leaving only the procedural requirements under the PIE Act to be satisfied going forward</w:t>
      </w:r>
      <w:r>
        <w:t>, and making allowance for all of this in the planning and timing of the application. The substantive application will then be enrolled on the projected date by the Registrar already at the time of its issue.  The interlocutory application will be separately issued and enrolled on the unopposed motion court roll once the time to oppose the substantive application has run its course, and the order issued by the court arising from this process and the notice itself (served in time), will conduce to the substantive application (already enrolled in the original anticipation that it would not be opposed) being able to proceed on a default basis on the enrolled date. Of course, if the respondent files a notice to oppose the main application, then the matter takes a different trajectory.  In that event the substantive application should be removed from the unopposed motion court roll and the issue of the interlocutory application is delayed then, quite substantially, to allow for an exchange of papers, whereafter the appropriate directions are sought, timeously towards that end.</w:t>
      </w:r>
    </w:p>
  </w:footnote>
  <w:footnote w:id="43">
    <w:p w14:paraId="6C061925" w14:textId="77777777" w:rsidR="00770DC8" w:rsidRPr="007B11FD" w:rsidRDefault="00770DC8" w:rsidP="006C1610">
      <w:pPr>
        <w:pStyle w:val="FootnoteText"/>
        <w:rPr>
          <w:lang w:val="en-GB"/>
        </w:rPr>
      </w:pPr>
      <w:r>
        <w:rPr>
          <w:rStyle w:val="FootnoteReference"/>
        </w:rPr>
        <w:footnoteRef/>
      </w:r>
      <w:r>
        <w:t xml:space="preserve"> </w:t>
      </w:r>
      <w:r>
        <w:rPr>
          <w:lang w:val="en-GB"/>
        </w:rPr>
        <w:t>This essential practical step is not commonly employed although it ought to be to ensure a seamless process that is also not prohibitively costly to the respondent</w:t>
      </w:r>
      <w:r w:rsidR="00BA17EB">
        <w:rPr>
          <w:lang w:val="en-GB"/>
        </w:rPr>
        <w:t xml:space="preserve"> sought to be evicted</w:t>
      </w:r>
      <w:r>
        <w:rPr>
          <w:lang w:val="en-GB"/>
        </w:rPr>
        <w:t>.</w:t>
      </w:r>
    </w:p>
  </w:footnote>
  <w:footnote w:id="44">
    <w:p w14:paraId="40FF84EC" w14:textId="77777777" w:rsidR="00770DC8" w:rsidRDefault="00770DC8" w:rsidP="00D46D76">
      <w:r>
        <w:rPr>
          <w:rStyle w:val="FootnoteReference"/>
        </w:rPr>
        <w:footnoteRef/>
      </w:r>
      <w:r>
        <w:t xml:space="preserve"> </w:t>
      </w:r>
      <w:r w:rsidRPr="002041A7">
        <w:rPr>
          <w:rFonts w:eastAsia="Times New Roman" w:cstheme="minorHAnsi"/>
          <w:iCs/>
          <w:color w:val="000000"/>
          <w:sz w:val="20"/>
          <w:szCs w:val="20"/>
          <w:lang w:eastAsia="en-ZA"/>
        </w:rPr>
        <w:t>Standard Bank of South Africa Ltd v Saunderson </w:t>
      </w:r>
      <w:r w:rsidRPr="002041A7">
        <w:rPr>
          <w:rFonts w:eastAsia="Times New Roman" w:cstheme="minorHAnsi"/>
          <w:color w:val="000000"/>
          <w:sz w:val="20"/>
          <w:szCs w:val="20"/>
          <w:lang w:eastAsia="en-ZA"/>
        </w:rPr>
        <w:t>2006 (2) SA 264 (SCA) at 276F–277A; </w:t>
      </w:r>
      <w:r w:rsidRPr="002041A7">
        <w:rPr>
          <w:rFonts w:eastAsia="Times New Roman" w:cstheme="minorHAnsi"/>
          <w:iCs/>
          <w:color w:val="000000"/>
          <w:sz w:val="20"/>
          <w:szCs w:val="20"/>
          <w:lang w:eastAsia="en-ZA"/>
        </w:rPr>
        <w:t>Nedbank Ltd v Jessa and Another </w:t>
      </w:r>
      <w:r w:rsidRPr="002041A7">
        <w:rPr>
          <w:rFonts w:eastAsia="Times New Roman" w:cstheme="minorHAnsi"/>
          <w:color w:val="000000"/>
          <w:sz w:val="20"/>
          <w:szCs w:val="20"/>
          <w:lang w:eastAsia="en-ZA"/>
        </w:rPr>
        <w:t>2012 (6) SA 166 (WCC); </w:t>
      </w:r>
      <w:r w:rsidRPr="002041A7">
        <w:rPr>
          <w:rFonts w:eastAsia="Times New Roman" w:cstheme="minorHAnsi"/>
          <w:iCs/>
          <w:color w:val="000000"/>
          <w:sz w:val="20"/>
          <w:szCs w:val="20"/>
          <w:lang w:eastAsia="en-ZA"/>
        </w:rPr>
        <w:t>Standard Bank of SA Ltd v Dawood </w:t>
      </w:r>
      <w:r w:rsidRPr="002041A7">
        <w:rPr>
          <w:rFonts w:eastAsia="Times New Roman" w:cstheme="minorHAnsi"/>
          <w:color w:val="000000"/>
          <w:sz w:val="20"/>
          <w:szCs w:val="20"/>
          <w:lang w:eastAsia="en-ZA"/>
        </w:rPr>
        <w:t>2012 (6) SA 151 (WCC).</w:t>
      </w:r>
    </w:p>
  </w:footnote>
  <w:footnote w:id="45">
    <w:p w14:paraId="259B1B8A" w14:textId="76585729" w:rsidR="00770DC8" w:rsidRPr="006C1610" w:rsidRDefault="00770DC8">
      <w:pPr>
        <w:pStyle w:val="FootnoteText"/>
        <w:rPr>
          <w:lang w:val="en-GB"/>
        </w:rPr>
      </w:pPr>
      <w:r>
        <w:rPr>
          <w:rStyle w:val="FootnoteReference"/>
        </w:rPr>
        <w:footnoteRef/>
      </w:r>
      <w:r>
        <w:t xml:space="preserve"> Standard Bank of South Africa Ltd v Saunderson </w:t>
      </w:r>
      <w:r w:rsidRPr="00BA17EB">
        <w:rPr>
          <w:i/>
          <w:lang w:val="en-GB"/>
        </w:rPr>
        <w:t>supra</w:t>
      </w:r>
      <w:r w:rsidRPr="003258D1">
        <w:rPr>
          <w:lang w:val="en-GB"/>
        </w:rPr>
        <w:t>.</w:t>
      </w:r>
    </w:p>
  </w:footnote>
  <w:footnote w:id="46">
    <w:p w14:paraId="4A7C53C0" w14:textId="77777777" w:rsidR="00770DC8" w:rsidRPr="009009D7" w:rsidRDefault="00770DC8" w:rsidP="009009D7">
      <w:pPr>
        <w:rPr>
          <w:rFonts w:eastAsia="Times New Roman" w:cstheme="minorHAnsi"/>
          <w:color w:val="000000"/>
          <w:sz w:val="20"/>
          <w:szCs w:val="20"/>
          <w:lang w:eastAsia="en-ZA"/>
        </w:rPr>
      </w:pPr>
      <w:r>
        <w:rPr>
          <w:rStyle w:val="FootnoteReference"/>
        </w:rPr>
        <w:footnoteRef/>
      </w:r>
      <w:r>
        <w:t xml:space="preserve"> </w:t>
      </w:r>
      <w:r w:rsidRPr="002041A7">
        <w:rPr>
          <w:rFonts w:eastAsia="Times New Roman" w:cstheme="minorHAnsi"/>
          <w:iCs/>
          <w:color w:val="000000"/>
          <w:sz w:val="20"/>
          <w:szCs w:val="20"/>
          <w:lang w:eastAsia="en-ZA"/>
        </w:rPr>
        <w:t xml:space="preserve">Standard Bank of SA Ltd v Dawood </w:t>
      </w:r>
      <w:r w:rsidRPr="00344F87">
        <w:rPr>
          <w:rFonts w:eastAsia="Times New Roman" w:cstheme="minorHAnsi"/>
          <w:i/>
          <w:iCs/>
          <w:color w:val="000000"/>
          <w:sz w:val="20"/>
          <w:szCs w:val="20"/>
          <w:lang w:eastAsia="en-ZA"/>
        </w:rPr>
        <w:t>supra</w:t>
      </w:r>
      <w:r w:rsidRPr="002041A7">
        <w:rPr>
          <w:rFonts w:eastAsia="Times New Roman" w:cstheme="minorHAnsi"/>
          <w:iCs/>
          <w:color w:val="000000"/>
          <w:sz w:val="20"/>
          <w:szCs w:val="20"/>
          <w:lang w:eastAsia="en-ZA"/>
        </w:rPr>
        <w:t> </w:t>
      </w:r>
      <w:r>
        <w:rPr>
          <w:rFonts w:eastAsia="Times New Roman" w:cstheme="minorHAnsi"/>
          <w:color w:val="000000"/>
          <w:sz w:val="20"/>
          <w:szCs w:val="20"/>
          <w:lang w:eastAsia="en-ZA"/>
        </w:rPr>
        <w:t>at par 37.</w:t>
      </w:r>
    </w:p>
  </w:footnote>
  <w:footnote w:id="47">
    <w:p w14:paraId="1EA5C5B1" w14:textId="77777777" w:rsidR="00770DC8" w:rsidRDefault="00770DC8" w:rsidP="00D46D76">
      <w:pPr>
        <w:pStyle w:val="FootnoteText"/>
        <w:contextualSpacing/>
      </w:pPr>
      <w:r>
        <w:rPr>
          <w:rStyle w:val="FootnoteReference"/>
        </w:rPr>
        <w:footnoteRef/>
      </w:r>
      <w:r>
        <w:t xml:space="preserve"> This is the case even though service will obviously not be effected “on the unlawful occupier”.</w:t>
      </w:r>
    </w:p>
  </w:footnote>
  <w:footnote w:id="48">
    <w:p w14:paraId="589DE214" w14:textId="77777777" w:rsidR="00770DC8" w:rsidRPr="00047F20" w:rsidRDefault="00770DC8" w:rsidP="00D46D76">
      <w:pPr>
        <w:pStyle w:val="FootnoteText"/>
        <w:contextualSpacing/>
        <w:rPr>
          <w:highlight w:val="yellow"/>
        </w:rPr>
      </w:pPr>
      <w:r>
        <w:rPr>
          <w:rStyle w:val="FootnoteReference"/>
        </w:rPr>
        <w:footnoteRef/>
      </w:r>
      <w:r>
        <w:t xml:space="preserve"> [</w:t>
      </w:r>
      <w:r w:rsidR="00BA17EB">
        <w:t>2005] (4) SA 357 (SCA).</w:t>
      </w:r>
    </w:p>
  </w:footnote>
  <w:footnote w:id="49">
    <w:p w14:paraId="3BF6FDBF" w14:textId="77777777" w:rsidR="00770DC8" w:rsidRPr="009009D7" w:rsidRDefault="00770DC8" w:rsidP="00CC3497">
      <w:pPr>
        <w:pStyle w:val="FootnoteText"/>
        <w:contextualSpacing/>
      </w:pPr>
      <w:r w:rsidRPr="009009D7">
        <w:rPr>
          <w:rStyle w:val="FootnoteReference"/>
        </w:rPr>
        <w:footnoteRef/>
      </w:r>
      <w:r w:rsidRPr="009009D7">
        <w:t xml:space="preserve"> [2005] </w:t>
      </w:r>
      <w:r w:rsidR="00BA17EB">
        <w:t>(4) SA 199 (SCA)</w:t>
      </w:r>
      <w:r w:rsidRPr="009009D7">
        <w:t>.</w:t>
      </w:r>
    </w:p>
  </w:footnote>
  <w:footnote w:id="50">
    <w:p w14:paraId="0D71521F" w14:textId="77777777" w:rsidR="00770DC8" w:rsidRDefault="00770DC8" w:rsidP="00CC3497">
      <w:pPr>
        <w:pStyle w:val="FootnoteText"/>
        <w:contextualSpacing/>
      </w:pPr>
      <w:r w:rsidRPr="00AC7103">
        <w:rPr>
          <w:rStyle w:val="FootnoteReference"/>
        </w:rPr>
        <w:footnoteRef/>
      </w:r>
      <w:r>
        <w:t xml:space="preserve"> Cape Killarney </w:t>
      </w:r>
      <w:r w:rsidR="00BA17EB" w:rsidRPr="00BA17EB">
        <w:rPr>
          <w:i/>
        </w:rPr>
        <w:t>supra</w:t>
      </w:r>
      <w:r w:rsidR="00BA17EB">
        <w:t xml:space="preserve"> </w:t>
      </w:r>
      <w:r>
        <w:t>at 1228 E – G.</w:t>
      </w:r>
    </w:p>
  </w:footnote>
  <w:footnote w:id="51">
    <w:p w14:paraId="4F68188C" w14:textId="77777777" w:rsidR="00770DC8" w:rsidRDefault="00770DC8" w:rsidP="00CC3497">
      <w:pPr>
        <w:pStyle w:val="FootnoteText"/>
        <w:contextualSpacing/>
      </w:pPr>
      <w:r>
        <w:rPr>
          <w:rStyle w:val="FootnoteReference"/>
        </w:rPr>
        <w:footnoteRef/>
      </w:r>
      <w:r w:rsidR="0043674D">
        <w:t xml:space="preserve"> Unlawful Occupiers</w:t>
      </w:r>
      <w:r w:rsidR="00CC3497">
        <w:t xml:space="preserve"> School Site </w:t>
      </w:r>
      <w:r w:rsidR="00CC3497" w:rsidRPr="00CC3497">
        <w:rPr>
          <w:i/>
        </w:rPr>
        <w:t>supra</w:t>
      </w:r>
      <w:r w:rsidR="00CC3497">
        <w:t xml:space="preserve"> at 209 I; </w:t>
      </w:r>
      <w:r w:rsidR="00CC3497" w:rsidRPr="001377BF">
        <w:rPr>
          <w:rFonts w:eastAsia="Times New Roman" w:cstheme="minorHAnsi"/>
          <w:iCs/>
          <w:color w:val="000000"/>
          <w:lang w:eastAsia="en-ZA"/>
        </w:rPr>
        <w:t>Ploughman NO v Pauw </w:t>
      </w:r>
      <w:r w:rsidR="00CC3497" w:rsidRPr="001377BF">
        <w:rPr>
          <w:rFonts w:eastAsia="Times New Roman" w:cstheme="minorHAnsi"/>
          <w:color w:val="000000"/>
          <w:lang w:eastAsia="en-ZA"/>
        </w:rPr>
        <w:t>2006 (6) SA 334 (C) at 342H.</w:t>
      </w:r>
      <w:r w:rsidR="00CC3497">
        <w:rPr>
          <w:rFonts w:eastAsia="Times New Roman" w:cstheme="minorHAnsi"/>
          <w:color w:val="000000"/>
          <w:lang w:eastAsia="en-ZA"/>
        </w:rPr>
        <w:t xml:space="preserve"> See also</w:t>
      </w:r>
      <w:r w:rsidR="00CC3497" w:rsidRPr="001377BF">
        <w:rPr>
          <w:rFonts w:eastAsia="Times New Roman" w:cstheme="minorHAnsi"/>
          <w:color w:val="000000"/>
          <w:lang w:eastAsia="en-ZA"/>
        </w:rPr>
        <w:t xml:space="preserve"> </w:t>
      </w:r>
      <w:r w:rsidR="00CC3497" w:rsidRPr="001377BF">
        <w:rPr>
          <w:rFonts w:eastAsia="Times New Roman" w:cstheme="minorHAnsi"/>
          <w:iCs/>
          <w:color w:val="000000"/>
          <w:lang w:eastAsia="en-ZA"/>
        </w:rPr>
        <w:t>Beetge v Bruwer </w:t>
      </w:r>
      <w:r w:rsidR="00CC3497" w:rsidRPr="001377BF">
        <w:rPr>
          <w:rFonts w:eastAsia="Times New Roman" w:cstheme="minorHAnsi"/>
          <w:color w:val="000000"/>
          <w:lang w:eastAsia="en-ZA"/>
        </w:rPr>
        <w:t>[2009] JOL 23614 (GNP)</w:t>
      </w:r>
      <w:r w:rsidR="00CC3497">
        <w:rPr>
          <w:rFonts w:ascii="Times New Roman" w:eastAsia="Times New Roman" w:hAnsi="Times New Roman" w:cs="Times New Roman"/>
          <w:color w:val="000000"/>
          <w:sz w:val="28"/>
          <w:szCs w:val="28"/>
          <w:lang w:eastAsia="en-ZA"/>
        </w:rPr>
        <w:t>.</w:t>
      </w:r>
    </w:p>
  </w:footnote>
  <w:footnote w:id="52">
    <w:p w14:paraId="67828FEB" w14:textId="77777777" w:rsidR="00770DC8" w:rsidRDefault="00770DC8" w:rsidP="00CC3497">
      <w:pPr>
        <w:pStyle w:val="FootnoteText"/>
        <w:contextualSpacing/>
      </w:pPr>
      <w:r>
        <w:rPr>
          <w:rStyle w:val="FootnoteReference"/>
        </w:rPr>
        <w:footnoteRef/>
      </w:r>
      <w:r>
        <w:t xml:space="preserve"> Act 57 of 2002.</w:t>
      </w:r>
    </w:p>
  </w:footnote>
  <w:footnote w:id="53">
    <w:p w14:paraId="16D81B24" w14:textId="77777777" w:rsidR="00770DC8" w:rsidRDefault="00770DC8" w:rsidP="00CC3497">
      <w:pPr>
        <w:pStyle w:val="FootnoteText"/>
        <w:contextualSpacing/>
      </w:pPr>
      <w:r>
        <w:rPr>
          <w:rStyle w:val="FootnoteReference"/>
        </w:rPr>
        <w:footnoteRef/>
      </w:r>
      <w:r w:rsidR="0043674D">
        <w:t xml:space="preserve"> GNR 480 of 29 April 2020</w:t>
      </w:r>
      <w:r>
        <w:t>.</w:t>
      </w:r>
    </w:p>
  </w:footnote>
  <w:footnote w:id="54">
    <w:p w14:paraId="7B95F5B6" w14:textId="3B50FDC3" w:rsidR="00770DC8" w:rsidRPr="003755BC" w:rsidRDefault="00770DC8" w:rsidP="003755BC">
      <w:pPr>
        <w:pStyle w:val="FootnoteText"/>
        <w:rPr>
          <w:lang w:val="en-GB"/>
        </w:rPr>
      </w:pPr>
      <w:r>
        <w:rPr>
          <w:rStyle w:val="FootnoteReference"/>
        </w:rPr>
        <w:footnoteRef/>
      </w:r>
      <w:r>
        <w:t xml:space="preserve"> </w:t>
      </w:r>
      <w:r>
        <w:rPr>
          <w:lang w:val="en-GB"/>
        </w:rPr>
        <w:t xml:space="preserve">The notice of application </w:t>
      </w:r>
      <w:r w:rsidR="003258D1">
        <w:rPr>
          <w:lang w:val="en-GB"/>
        </w:rPr>
        <w:t xml:space="preserve">for service directions </w:t>
      </w:r>
      <w:r>
        <w:rPr>
          <w:lang w:val="en-GB"/>
        </w:rPr>
        <w:t>usually presents as an interlocutory application subsidiary, or ancillary to</w:t>
      </w:r>
      <w:r w:rsidR="0043674D">
        <w:rPr>
          <w:lang w:val="en-GB"/>
        </w:rPr>
        <w:t>,</w:t>
      </w:r>
      <w:r>
        <w:rPr>
          <w:lang w:val="en-GB"/>
        </w:rPr>
        <w:t xml:space="preserve"> the main application.</w:t>
      </w:r>
    </w:p>
  </w:footnote>
  <w:footnote w:id="55">
    <w:p w14:paraId="43004BD1" w14:textId="636B40BD" w:rsidR="00770DC8" w:rsidRDefault="00770DC8" w:rsidP="00D46D76">
      <w:pPr>
        <w:pStyle w:val="FootnoteText"/>
      </w:pPr>
      <w:r>
        <w:rPr>
          <w:rStyle w:val="FootnoteReference"/>
        </w:rPr>
        <w:footnoteRef/>
      </w:r>
      <w:r>
        <w:t xml:space="preserve"> The issue as he sees it a valid one in the context that there should not be a resort to </w:t>
      </w:r>
      <w:r w:rsidRPr="0073500A">
        <w:rPr>
          <w:i/>
        </w:rPr>
        <w:t>ex parte</w:t>
      </w:r>
      <w:r>
        <w:t xml:space="preserve"> proceedings in the dark or behind the respondents’ backs, as it were, especially where there is already ongoing litigation between the parties and both are legally represented.</w:t>
      </w:r>
    </w:p>
  </w:footnote>
  <w:footnote w:id="56">
    <w:p w14:paraId="7D695EC6" w14:textId="77777777" w:rsidR="00770DC8" w:rsidRPr="00463708" w:rsidRDefault="00770DC8">
      <w:pPr>
        <w:pStyle w:val="FootnoteText"/>
        <w:rPr>
          <w:lang w:val="en-GB"/>
        </w:rPr>
      </w:pPr>
      <w:r>
        <w:rPr>
          <w:rStyle w:val="FootnoteReference"/>
        </w:rPr>
        <w:footnoteRef/>
      </w:r>
      <w:r>
        <w:t xml:space="preserve"> The settled </w:t>
      </w:r>
      <w:r w:rsidRPr="00D901A7">
        <w:t>cases relied upon by the respondents are the Cape Killarney and Kanescho judgments</w:t>
      </w:r>
      <w:r w:rsidR="0043674D">
        <w:t xml:space="preserve"> especially</w:t>
      </w:r>
      <w:r>
        <w:t>.</w:t>
      </w:r>
    </w:p>
  </w:footnote>
  <w:footnote w:id="57">
    <w:p w14:paraId="4E65C791" w14:textId="77777777" w:rsidR="00770DC8" w:rsidRDefault="00770DC8" w:rsidP="00D46D76">
      <w:pPr>
        <w:pStyle w:val="FootnoteText"/>
        <w:contextualSpacing/>
      </w:pPr>
      <w:r>
        <w:rPr>
          <w:rStyle w:val="FootnoteReference"/>
        </w:rPr>
        <w:footnoteRef/>
      </w:r>
      <w:r>
        <w:t xml:space="preserve"> The date for the hearing was indicated as 10 February 2022 but given the congested state of the roll that week, I requested the parties to argue the matter before me on the preceding afternoon, 9 February 2022.</w:t>
      </w:r>
    </w:p>
  </w:footnote>
  <w:footnote w:id="58">
    <w:p w14:paraId="31A5E669" w14:textId="77777777" w:rsidR="00770DC8" w:rsidRDefault="00770DC8" w:rsidP="00D46D76">
      <w:pPr>
        <w:pStyle w:val="FootnoteText"/>
      </w:pPr>
      <w:r>
        <w:rPr>
          <w:rStyle w:val="FootnoteReference"/>
        </w:rPr>
        <w:footnoteRef/>
      </w:r>
      <w:r>
        <w:t xml:space="preserve"> The costs orders in these matter seem generally to be “in the cause”, meaning that the party sought to be evicted will pay for the applicant’s procedural compliance with the provisions of the PIE Act, ironically put in place for their benefit.</w:t>
      </w:r>
    </w:p>
  </w:footnote>
  <w:footnote w:id="59">
    <w:p w14:paraId="448510BA" w14:textId="77777777" w:rsidR="00770DC8" w:rsidRPr="00A030C0" w:rsidRDefault="00770DC8" w:rsidP="00D46D76">
      <w:pPr>
        <w:pStyle w:val="FootnoteText"/>
        <w:contextualSpacing/>
        <w:rPr>
          <w:lang w:val="en-GB"/>
        </w:rPr>
      </w:pPr>
      <w:r>
        <w:rPr>
          <w:rStyle w:val="FootnoteReference"/>
        </w:rPr>
        <w:footnoteRef/>
      </w:r>
      <w:r>
        <w:t xml:space="preserve"> </w:t>
      </w:r>
      <w:r>
        <w:rPr>
          <w:lang w:val="en-GB"/>
        </w:rPr>
        <w:t>2006 (5) SA 92 (D).</w:t>
      </w:r>
    </w:p>
  </w:footnote>
  <w:footnote w:id="60">
    <w:p w14:paraId="3FDF8D75" w14:textId="77777777" w:rsidR="00770DC8" w:rsidRPr="00556500" w:rsidRDefault="00770DC8" w:rsidP="00D46D76">
      <w:pPr>
        <w:pStyle w:val="FootnoteText"/>
        <w:rPr>
          <w:lang w:val="en-US"/>
        </w:rPr>
      </w:pPr>
      <w:r>
        <w:rPr>
          <w:rStyle w:val="FootnoteReference"/>
        </w:rPr>
        <w:footnoteRef/>
      </w:r>
      <w:r>
        <w:t xml:space="preserve"> </w:t>
      </w:r>
      <w:r>
        <w:rPr>
          <w:lang w:val="en-US"/>
        </w:rPr>
        <w:t>The ideal must surely also be to keep the costs of the applicant’s necessary compliance with the procedural provisions of the PIE Act to an absolute minimum.</w:t>
      </w:r>
    </w:p>
  </w:footnote>
  <w:footnote w:id="61">
    <w:p w14:paraId="7E428BD4" w14:textId="0E95EE4C" w:rsidR="00770DC8" w:rsidRPr="00D901A7" w:rsidRDefault="00770DC8" w:rsidP="00D901A7">
      <w:pPr>
        <w:pStyle w:val="FootnoteText"/>
        <w:rPr>
          <w:lang w:val="en-GB"/>
        </w:rPr>
      </w:pPr>
      <w:r>
        <w:rPr>
          <w:rStyle w:val="FootnoteReference"/>
        </w:rPr>
        <w:footnoteRef/>
      </w:r>
      <w:r>
        <w:t xml:space="preserve"> </w:t>
      </w:r>
      <w:r w:rsidR="003258D1">
        <w:t>I</w:t>
      </w:r>
      <w:r>
        <w:rPr>
          <w:lang w:val="en-GB"/>
        </w:rPr>
        <w:t>n the application initiating the process the applicant asked for costs outright, not even in the cause.</w:t>
      </w:r>
    </w:p>
  </w:footnote>
  <w:footnote w:id="62">
    <w:p w14:paraId="59FB4B69" w14:textId="77777777" w:rsidR="00770DC8" w:rsidRDefault="00770DC8" w:rsidP="00D46D76">
      <w:pPr>
        <w:pStyle w:val="FootnoteText"/>
        <w:contextualSpacing/>
      </w:pPr>
      <w:r>
        <w:rPr>
          <w:rStyle w:val="FootnoteReference"/>
        </w:rPr>
        <w:footnoteRef/>
      </w:r>
      <w:r>
        <w:t xml:space="preserve"> </w:t>
      </w:r>
      <w:r w:rsidR="00F93E9B">
        <w:t xml:space="preserve">Cape Killarney </w:t>
      </w:r>
      <w:r w:rsidR="00F93E9B">
        <w:rPr>
          <w:i/>
        </w:rPr>
        <w:t>s</w:t>
      </w:r>
      <w:r w:rsidRPr="00082621">
        <w:rPr>
          <w:i/>
        </w:rPr>
        <w:t>upra</w:t>
      </w:r>
      <w:r w:rsidR="00F93E9B">
        <w:t xml:space="preserve"> at 1227 E - F</w:t>
      </w:r>
      <w:r>
        <w:t xml:space="preserve">   See also Property Works 5 v Jamal &amp; Others [2014] SAECELLC 5 (2 May 2014)</w:t>
      </w:r>
      <w:r w:rsidR="00F93E9B">
        <w:t xml:space="preserve"> at par [26] in which I struck </w:t>
      </w:r>
      <w:r w:rsidR="009366B4">
        <w:t>an application from the roll for want of compliance with the provisions of section 4 of the PIE Act but afforded the applicant the opportunity to rectify its shortcomings by giving the necessary notice.</w:t>
      </w:r>
    </w:p>
  </w:footnote>
  <w:footnote w:id="63">
    <w:p w14:paraId="1888DDAE" w14:textId="77777777" w:rsidR="00770DC8" w:rsidRPr="007F1C46" w:rsidRDefault="00770DC8" w:rsidP="00D46D76">
      <w:pPr>
        <w:shd w:val="clear" w:color="auto" w:fill="FFFFFF"/>
        <w:contextualSpacing/>
        <w:rPr>
          <w:rFonts w:eastAsia="Times New Roman" w:cs="Arial"/>
          <w:bCs/>
          <w:color w:val="4A4A4A"/>
          <w:sz w:val="20"/>
          <w:szCs w:val="20"/>
          <w:lang w:eastAsia="en-ZA"/>
        </w:rPr>
      </w:pPr>
      <w:r>
        <w:rPr>
          <w:rStyle w:val="FootnoteReference"/>
        </w:rPr>
        <w:footnoteRef/>
      </w:r>
      <w:r>
        <w:t xml:space="preserve"> </w:t>
      </w:r>
      <w:r w:rsidRPr="00172C23">
        <w:rPr>
          <w:rFonts w:eastAsia="Times New Roman" w:cs="Arial"/>
          <w:bCs/>
          <w:color w:val="000000" w:themeColor="text1"/>
          <w:sz w:val="20"/>
          <w:szCs w:val="20"/>
          <w:lang w:eastAsia="en-ZA"/>
        </w:rPr>
        <w:t>[2005] 2 All SA 108 (SCA).</w:t>
      </w:r>
    </w:p>
    <w:p w14:paraId="55AD0A37" w14:textId="77777777" w:rsidR="00770DC8" w:rsidRDefault="00770DC8" w:rsidP="00D46D76">
      <w:pPr>
        <w:pStyle w:val="FootnoteText"/>
        <w:contextualSpacing/>
      </w:pPr>
    </w:p>
  </w:footnote>
  <w:footnote w:id="64">
    <w:p w14:paraId="11869C0C" w14:textId="02FC37D2" w:rsidR="00770DC8" w:rsidRDefault="00770DC8" w:rsidP="00D46D76">
      <w:pPr>
        <w:pStyle w:val="FootnoteText"/>
        <w:contextualSpacing/>
      </w:pPr>
      <w:r>
        <w:rPr>
          <w:rStyle w:val="FootnoteReference"/>
        </w:rPr>
        <w:footnoteRef/>
      </w:r>
      <w:r w:rsidR="003258D1">
        <w:t>See the particular approach adopted in</w:t>
      </w:r>
      <w:r>
        <w:t xml:space="preserve"> </w:t>
      </w:r>
      <w:r w:rsidR="003258D1">
        <w:t xml:space="preserve">City of Johannesburg v Changing Tides 74 (Pty) Ltd &amp; others (Socio-Economic Rights Institute of South Africa as </w:t>
      </w:r>
      <w:r w:rsidR="003258D1" w:rsidRPr="003258D1">
        <w:rPr>
          <w:i/>
          <w:iCs/>
        </w:rPr>
        <w:t>amicus curiae</w:t>
      </w:r>
      <w:r w:rsidR="003258D1">
        <w:t>) [2013] 1 All SA 8 SCA at [11] – [12].</w:t>
      </w:r>
    </w:p>
  </w:footnote>
  <w:footnote w:id="65">
    <w:p w14:paraId="741D2B3C" w14:textId="77777777" w:rsidR="00770DC8" w:rsidRPr="005A6240" w:rsidRDefault="00770DC8">
      <w:pPr>
        <w:pStyle w:val="FootnoteText"/>
        <w:rPr>
          <w:lang w:val="en-GB"/>
        </w:rPr>
      </w:pPr>
      <w:r>
        <w:rPr>
          <w:rStyle w:val="FootnoteReference"/>
        </w:rPr>
        <w:footnoteRef/>
      </w:r>
      <w:r>
        <w:t xml:space="preserve"> 2005 (1) SA 217 (CC).</w:t>
      </w:r>
    </w:p>
  </w:footnote>
  <w:footnote w:id="66">
    <w:p w14:paraId="1E108373" w14:textId="77777777" w:rsidR="000652F9" w:rsidRPr="000652F9" w:rsidRDefault="000652F9">
      <w:pPr>
        <w:pStyle w:val="FootnoteText"/>
        <w:rPr>
          <w:lang w:val="en-GB"/>
        </w:rPr>
      </w:pPr>
      <w:r>
        <w:rPr>
          <w:rStyle w:val="FootnoteReference"/>
        </w:rPr>
        <w:footnoteRef/>
      </w:r>
      <w:r>
        <w:t xml:space="preserve"> </w:t>
      </w:r>
      <w:r w:rsidRPr="00B94268">
        <w:rPr>
          <w:i/>
        </w:rPr>
        <w:t>Supra</w:t>
      </w:r>
      <w:r>
        <w:t xml:space="preserve"> at par [36].  </w:t>
      </w:r>
    </w:p>
  </w:footnote>
  <w:footnote w:id="67">
    <w:p w14:paraId="7A8FA6EB" w14:textId="3A9F05E9" w:rsidR="00327FD0" w:rsidRPr="00327FD0" w:rsidRDefault="00327FD0" w:rsidP="00327FD0">
      <w:pPr>
        <w:pStyle w:val="FootnoteText"/>
        <w:rPr>
          <w:lang w:val="en-GB"/>
        </w:rPr>
      </w:pPr>
      <w:r>
        <w:rPr>
          <w:rStyle w:val="FootnoteReference"/>
        </w:rPr>
        <w:footnoteRef/>
      </w:r>
      <w:r>
        <w:t xml:space="preserve"> </w:t>
      </w:r>
      <w:r>
        <w:rPr>
          <w:lang w:val="en-GB"/>
        </w:rPr>
        <w:t>Section 23 (1) of the Constitution.  The general guarantee of fair labour practices has far-reaching effects on this court’s approach to the interpretation of the rights of parties to employment contract</w:t>
      </w:r>
      <w:r w:rsidR="003258D1">
        <w:rPr>
          <w:lang w:val="en-GB"/>
        </w:rPr>
        <w:t>s</w:t>
      </w:r>
      <w:r>
        <w:rPr>
          <w:lang w:val="en-GB"/>
        </w:rPr>
        <w:t xml:space="preserve"> and includes, for example, and especially, a right to a hearing before dismissal.   See Grogan, Workplace Law, 7</w:t>
      </w:r>
      <w:r w:rsidRPr="00327FD0">
        <w:rPr>
          <w:vertAlign w:val="superscript"/>
          <w:lang w:val="en-GB"/>
        </w:rPr>
        <w:t>th</w:t>
      </w:r>
      <w:r>
        <w:rPr>
          <w:lang w:val="en-GB"/>
        </w:rPr>
        <w:t xml:space="preserve"> Edition at pages 12 – 14.</w:t>
      </w:r>
    </w:p>
  </w:footnote>
  <w:footnote w:id="68">
    <w:p w14:paraId="740384E5" w14:textId="77777777" w:rsidR="00327FD0" w:rsidRPr="00327FD0" w:rsidRDefault="00327FD0">
      <w:pPr>
        <w:pStyle w:val="FootnoteText"/>
        <w:rPr>
          <w:lang w:val="en-GB"/>
        </w:rPr>
      </w:pPr>
      <w:r>
        <w:rPr>
          <w:rStyle w:val="FootnoteReference"/>
        </w:rPr>
        <w:footnoteRef/>
      </w:r>
      <w:r>
        <w:t xml:space="preserve"> </w:t>
      </w:r>
      <w:r>
        <w:rPr>
          <w:lang w:val="en-GB"/>
        </w:rPr>
        <w:t>Section 193 (1) and (2) of the LRA.</w:t>
      </w:r>
    </w:p>
  </w:footnote>
  <w:footnote w:id="69">
    <w:p w14:paraId="460E4B63" w14:textId="77777777" w:rsidR="00327FD0" w:rsidRPr="00327FD0" w:rsidRDefault="00327FD0">
      <w:pPr>
        <w:pStyle w:val="FootnoteText"/>
        <w:rPr>
          <w:lang w:val="en-GB"/>
        </w:rPr>
      </w:pPr>
      <w:r>
        <w:rPr>
          <w:rStyle w:val="FootnoteReference"/>
        </w:rPr>
        <w:footnoteRef/>
      </w:r>
      <w:r>
        <w:t xml:space="preserve"> </w:t>
      </w:r>
      <w:r>
        <w:rPr>
          <w:lang w:val="en-GB"/>
        </w:rPr>
        <w:t xml:space="preserve">Section 191 (1)(b)(i) of the LRA.  See also Workplace Law, </w:t>
      </w:r>
      <w:r w:rsidRPr="00327FD0">
        <w:rPr>
          <w:i/>
          <w:lang w:val="en-GB"/>
        </w:rPr>
        <w:t>supra</w:t>
      </w:r>
      <w:r>
        <w:rPr>
          <w:lang w:val="en-GB"/>
        </w:rPr>
        <w:t>, at 387 – 389.</w:t>
      </w:r>
    </w:p>
  </w:footnote>
  <w:footnote w:id="70">
    <w:p w14:paraId="2D6EFB18" w14:textId="77777777" w:rsidR="00CE5337" w:rsidRPr="00CE5337" w:rsidRDefault="00CE5337">
      <w:pPr>
        <w:pStyle w:val="FootnoteText"/>
        <w:rPr>
          <w:lang w:val="en-GB"/>
        </w:rPr>
      </w:pPr>
      <w:r>
        <w:rPr>
          <w:rStyle w:val="FootnoteReference"/>
        </w:rPr>
        <w:footnoteRef/>
      </w:r>
      <w:r>
        <w:t xml:space="preserve"> </w:t>
      </w:r>
      <w:r>
        <w:rPr>
          <w:lang w:val="en-GB"/>
        </w:rPr>
        <w:t>Section 2 of the LRA.</w:t>
      </w:r>
    </w:p>
  </w:footnote>
  <w:footnote w:id="71">
    <w:p w14:paraId="21A8576B" w14:textId="201D542B" w:rsidR="003A74A4" w:rsidRPr="003A74A4" w:rsidRDefault="003A74A4">
      <w:pPr>
        <w:pStyle w:val="FootnoteText"/>
        <w:rPr>
          <w:lang w:val="en-GB"/>
        </w:rPr>
      </w:pPr>
      <w:r>
        <w:rPr>
          <w:rStyle w:val="FootnoteReference"/>
        </w:rPr>
        <w:footnoteRef/>
      </w:r>
      <w:r>
        <w:t xml:space="preserve"> </w:t>
      </w:r>
      <w:r>
        <w:rPr>
          <w:lang w:val="en-GB"/>
        </w:rPr>
        <w:t>Schedule 8 to the LRA.</w:t>
      </w:r>
    </w:p>
  </w:footnote>
  <w:footnote w:id="72">
    <w:p w14:paraId="748C7522" w14:textId="688341E7" w:rsidR="003258D1" w:rsidRPr="003258D1" w:rsidRDefault="003258D1">
      <w:pPr>
        <w:pStyle w:val="FootnoteText"/>
        <w:rPr>
          <w:lang w:val="en-GB"/>
        </w:rPr>
      </w:pPr>
      <w:r>
        <w:rPr>
          <w:rStyle w:val="FootnoteReference"/>
        </w:rPr>
        <w:footnoteRef/>
      </w:r>
      <w:r>
        <w:t xml:space="preserve"> </w:t>
      </w:r>
      <w:r w:rsidR="003A74A4">
        <w:t xml:space="preserve">See Workplace Law, Supra, at </w:t>
      </w:r>
      <w:r w:rsidR="00C12E55">
        <w:t>p396.</w:t>
      </w:r>
    </w:p>
  </w:footnote>
  <w:footnote w:id="73">
    <w:p w14:paraId="15A3914D" w14:textId="77777777" w:rsidR="00770DC8" w:rsidRPr="00245935" w:rsidRDefault="00770DC8">
      <w:pPr>
        <w:pStyle w:val="FootnoteText"/>
        <w:rPr>
          <w:lang w:val="en-GB"/>
        </w:rPr>
      </w:pPr>
      <w:r>
        <w:rPr>
          <w:rStyle w:val="FootnoteReference"/>
        </w:rPr>
        <w:footnoteRef/>
      </w:r>
      <w:r>
        <w:t xml:space="preserve"> </w:t>
      </w:r>
      <w:r>
        <w:rPr>
          <w:lang w:val="en-GB"/>
        </w:rPr>
        <w:t>[20</w:t>
      </w:r>
      <w:r w:rsidR="00CE5337">
        <w:rPr>
          <w:lang w:val="en-GB"/>
        </w:rPr>
        <w:t>11] 4 All SA 47 (SCA)</w:t>
      </w:r>
      <w:r>
        <w:rPr>
          <w:lang w:val="en-GB"/>
        </w:rPr>
        <w:t>.</w:t>
      </w:r>
    </w:p>
  </w:footnote>
  <w:footnote w:id="74">
    <w:p w14:paraId="6C761AE3" w14:textId="764E2FBE" w:rsidR="008E6725" w:rsidRPr="008E6725" w:rsidRDefault="008E6725">
      <w:pPr>
        <w:pStyle w:val="FootnoteText"/>
        <w:rPr>
          <w:lang w:val="en-GB"/>
        </w:rPr>
      </w:pPr>
      <w:r>
        <w:rPr>
          <w:rStyle w:val="FootnoteReference"/>
        </w:rPr>
        <w:footnoteRef/>
      </w:r>
      <w:r>
        <w:t xml:space="preserve"> </w:t>
      </w:r>
      <w:r>
        <w:rPr>
          <w:lang w:val="en-GB"/>
        </w:rPr>
        <w:t>Court annexed mediation was not on the cards at the time of the launch of the application, but it strikes me that such a process would provide an alternative option to the parties to resolve their differences.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51112"/>
      <w:docPartObj>
        <w:docPartGallery w:val="Page Numbers (Top of Page)"/>
        <w:docPartUnique/>
      </w:docPartObj>
    </w:sdtPr>
    <w:sdtEndPr>
      <w:rPr>
        <w:noProof/>
      </w:rPr>
    </w:sdtEndPr>
    <w:sdtContent>
      <w:p w14:paraId="3704A3A0" w14:textId="2477C154" w:rsidR="00770DC8" w:rsidRDefault="00770DC8">
        <w:pPr>
          <w:pStyle w:val="Header"/>
          <w:jc w:val="center"/>
        </w:pPr>
        <w:r>
          <w:fldChar w:fldCharType="begin"/>
        </w:r>
        <w:r>
          <w:instrText xml:space="preserve"> PAGE   \* MERGEFORMAT </w:instrText>
        </w:r>
        <w:r>
          <w:fldChar w:fldCharType="separate"/>
        </w:r>
        <w:r w:rsidR="003738CB">
          <w:rPr>
            <w:noProof/>
          </w:rPr>
          <w:t>21</w:t>
        </w:r>
        <w:r>
          <w:rPr>
            <w:noProof/>
          </w:rPr>
          <w:fldChar w:fldCharType="end"/>
        </w:r>
      </w:p>
    </w:sdtContent>
  </w:sdt>
  <w:p w14:paraId="48060605" w14:textId="77777777" w:rsidR="00770DC8" w:rsidRDefault="00770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3705" w14:textId="77777777" w:rsidR="00770DC8" w:rsidRDefault="00770DC8">
    <w:pPr>
      <w:pStyle w:val="Header"/>
      <w:jc w:val="center"/>
    </w:pPr>
  </w:p>
  <w:p w14:paraId="3AC4BD0B" w14:textId="77777777" w:rsidR="00770DC8" w:rsidRDefault="00770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2752"/>
    <w:multiLevelType w:val="hybridMultilevel"/>
    <w:tmpl w:val="3DDC86E4"/>
    <w:lvl w:ilvl="0" w:tplc="F3163770">
      <w:start w:val="36"/>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339E6CAE"/>
    <w:multiLevelType w:val="hybridMultilevel"/>
    <w:tmpl w:val="A23662C6"/>
    <w:lvl w:ilvl="0" w:tplc="CDD85B78">
      <w:start w:val="14"/>
      <w:numFmt w:val="decimal"/>
      <w:lvlText w:val="%1."/>
      <w:lvlJc w:val="left"/>
      <w:pPr>
        <w:ind w:left="1080" w:hanging="360"/>
      </w:pPr>
      <w:rPr>
        <w:rFonts w:eastAsia="Times New Roman"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53446C5"/>
    <w:multiLevelType w:val="hybridMultilevel"/>
    <w:tmpl w:val="34ECC600"/>
    <w:lvl w:ilvl="0" w:tplc="E3804D6A">
      <w:start w:val="2"/>
      <w:numFmt w:val="decimal"/>
      <w:lvlText w:val="%1."/>
      <w:lvlJc w:val="left"/>
      <w:pPr>
        <w:ind w:left="1080" w:hanging="360"/>
      </w:pPr>
      <w:rPr>
        <w:rFonts w:eastAsia="Times New Roman"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BE863C1"/>
    <w:multiLevelType w:val="hybridMultilevel"/>
    <w:tmpl w:val="9B56D700"/>
    <w:lvl w:ilvl="0" w:tplc="4FA04126">
      <w:start w:val="12"/>
      <w:numFmt w:val="bullet"/>
      <w:lvlText w:val="•"/>
      <w:lvlJc w:val="left"/>
      <w:pPr>
        <w:ind w:left="927" w:hanging="360"/>
      </w:pPr>
      <w:rPr>
        <w:rFonts w:ascii="Times New Roman" w:eastAsiaTheme="minorHAnsi" w:hAnsi="Times New Roman" w:cs="Times New Roman"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15:restartNumberingAfterBreak="0">
    <w:nsid w:val="3D6A3D35"/>
    <w:multiLevelType w:val="hybridMultilevel"/>
    <w:tmpl w:val="1AD60E3A"/>
    <w:lvl w:ilvl="0" w:tplc="13D06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FF536DA"/>
    <w:multiLevelType w:val="hybridMultilevel"/>
    <w:tmpl w:val="EF90091C"/>
    <w:lvl w:ilvl="0" w:tplc="B9FC6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7CE1794"/>
    <w:multiLevelType w:val="multilevel"/>
    <w:tmpl w:val="EAF07BD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2352DDA"/>
    <w:multiLevelType w:val="hybridMultilevel"/>
    <w:tmpl w:val="7A687404"/>
    <w:lvl w:ilvl="0" w:tplc="C4A43BB2">
      <w:start w:val="1"/>
      <w:numFmt w:val="decimal"/>
      <w:lvlText w:val="%1."/>
      <w:lvlJc w:val="left"/>
      <w:pPr>
        <w:ind w:left="720" w:hanging="360"/>
      </w:pPr>
      <w:rPr>
        <w:rFonts w:ascii="Verdana" w:eastAsia="Times New Roman" w:hAnsi="Verdana" w:cs="Times New Roman" w:hint="default"/>
        <w:color w:val="000000"/>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881F87"/>
    <w:multiLevelType w:val="hybridMultilevel"/>
    <w:tmpl w:val="234460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5"/>
  </w:num>
  <w:num w:numId="5">
    <w:abstractNumId w:val="7"/>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CA"/>
    <w:rsid w:val="0001313D"/>
    <w:rsid w:val="00016685"/>
    <w:rsid w:val="00035610"/>
    <w:rsid w:val="00037594"/>
    <w:rsid w:val="00047F20"/>
    <w:rsid w:val="000558D7"/>
    <w:rsid w:val="0005771F"/>
    <w:rsid w:val="0006044D"/>
    <w:rsid w:val="00062F61"/>
    <w:rsid w:val="000652F9"/>
    <w:rsid w:val="00070A64"/>
    <w:rsid w:val="000747E4"/>
    <w:rsid w:val="000760AF"/>
    <w:rsid w:val="00082621"/>
    <w:rsid w:val="00084AF4"/>
    <w:rsid w:val="00087AFD"/>
    <w:rsid w:val="00090C32"/>
    <w:rsid w:val="00092100"/>
    <w:rsid w:val="000A41F9"/>
    <w:rsid w:val="000B2D35"/>
    <w:rsid w:val="000B38ED"/>
    <w:rsid w:val="000B69FC"/>
    <w:rsid w:val="000B6E12"/>
    <w:rsid w:val="000C6A7C"/>
    <w:rsid w:val="000E25D9"/>
    <w:rsid w:val="000E4BD7"/>
    <w:rsid w:val="000F429D"/>
    <w:rsid w:val="000F58AA"/>
    <w:rsid w:val="000F746E"/>
    <w:rsid w:val="00100400"/>
    <w:rsid w:val="001014B7"/>
    <w:rsid w:val="00141D26"/>
    <w:rsid w:val="0014780B"/>
    <w:rsid w:val="00172C23"/>
    <w:rsid w:val="00172DF3"/>
    <w:rsid w:val="00180C05"/>
    <w:rsid w:val="0019304D"/>
    <w:rsid w:val="001D1789"/>
    <w:rsid w:val="001D3EDB"/>
    <w:rsid w:val="001E0992"/>
    <w:rsid w:val="001E3544"/>
    <w:rsid w:val="001E61F8"/>
    <w:rsid w:val="001F109F"/>
    <w:rsid w:val="001F22B0"/>
    <w:rsid w:val="002003D4"/>
    <w:rsid w:val="002011E5"/>
    <w:rsid w:val="0021062C"/>
    <w:rsid w:val="00213C7B"/>
    <w:rsid w:val="00221F49"/>
    <w:rsid w:val="00222AEE"/>
    <w:rsid w:val="002235FA"/>
    <w:rsid w:val="002261F2"/>
    <w:rsid w:val="00230303"/>
    <w:rsid w:val="00232C3B"/>
    <w:rsid w:val="00233BBE"/>
    <w:rsid w:val="00237E7B"/>
    <w:rsid w:val="0024105F"/>
    <w:rsid w:val="00245935"/>
    <w:rsid w:val="002602D0"/>
    <w:rsid w:val="00274033"/>
    <w:rsid w:val="00274504"/>
    <w:rsid w:val="00281EB4"/>
    <w:rsid w:val="002831A3"/>
    <w:rsid w:val="002846AE"/>
    <w:rsid w:val="00287353"/>
    <w:rsid w:val="002964C8"/>
    <w:rsid w:val="002A248A"/>
    <w:rsid w:val="002A73BD"/>
    <w:rsid w:val="002B0514"/>
    <w:rsid w:val="002B4F65"/>
    <w:rsid w:val="002B50A9"/>
    <w:rsid w:val="002C23D0"/>
    <w:rsid w:val="002D4F99"/>
    <w:rsid w:val="002D7E25"/>
    <w:rsid w:val="002E0125"/>
    <w:rsid w:val="002F2B5D"/>
    <w:rsid w:val="003062C1"/>
    <w:rsid w:val="003132FF"/>
    <w:rsid w:val="0032403B"/>
    <w:rsid w:val="00324D48"/>
    <w:rsid w:val="003258D1"/>
    <w:rsid w:val="00326A09"/>
    <w:rsid w:val="00327FD0"/>
    <w:rsid w:val="00331E99"/>
    <w:rsid w:val="00342B8C"/>
    <w:rsid w:val="00344F87"/>
    <w:rsid w:val="003526CE"/>
    <w:rsid w:val="00355A14"/>
    <w:rsid w:val="00364CCA"/>
    <w:rsid w:val="003738CB"/>
    <w:rsid w:val="00374055"/>
    <w:rsid w:val="003755BC"/>
    <w:rsid w:val="00381B31"/>
    <w:rsid w:val="00381E0B"/>
    <w:rsid w:val="00382F90"/>
    <w:rsid w:val="003835BB"/>
    <w:rsid w:val="0039014E"/>
    <w:rsid w:val="00391C39"/>
    <w:rsid w:val="003A4A91"/>
    <w:rsid w:val="003A74A4"/>
    <w:rsid w:val="003B7E2E"/>
    <w:rsid w:val="003D0322"/>
    <w:rsid w:val="003E30B3"/>
    <w:rsid w:val="00400973"/>
    <w:rsid w:val="0041033B"/>
    <w:rsid w:val="004156C8"/>
    <w:rsid w:val="004213BB"/>
    <w:rsid w:val="00427036"/>
    <w:rsid w:val="00432BF3"/>
    <w:rsid w:val="00432EC7"/>
    <w:rsid w:val="0043674D"/>
    <w:rsid w:val="00445F26"/>
    <w:rsid w:val="00463708"/>
    <w:rsid w:val="0046465D"/>
    <w:rsid w:val="0047073E"/>
    <w:rsid w:val="00470C37"/>
    <w:rsid w:val="00471BDD"/>
    <w:rsid w:val="004904C8"/>
    <w:rsid w:val="0049178F"/>
    <w:rsid w:val="004B4C77"/>
    <w:rsid w:val="004E7A8A"/>
    <w:rsid w:val="004E7D92"/>
    <w:rsid w:val="004F12D2"/>
    <w:rsid w:val="004F388C"/>
    <w:rsid w:val="004F4CBD"/>
    <w:rsid w:val="004F6CF4"/>
    <w:rsid w:val="0050148A"/>
    <w:rsid w:val="005038D5"/>
    <w:rsid w:val="005059B3"/>
    <w:rsid w:val="0051113B"/>
    <w:rsid w:val="00511E11"/>
    <w:rsid w:val="00512620"/>
    <w:rsid w:val="00512E5A"/>
    <w:rsid w:val="005176AB"/>
    <w:rsid w:val="00523797"/>
    <w:rsid w:val="005275EC"/>
    <w:rsid w:val="00535CC5"/>
    <w:rsid w:val="005474E5"/>
    <w:rsid w:val="00556500"/>
    <w:rsid w:val="00561F2C"/>
    <w:rsid w:val="00563A98"/>
    <w:rsid w:val="005762F4"/>
    <w:rsid w:val="00576301"/>
    <w:rsid w:val="0058132A"/>
    <w:rsid w:val="0058500C"/>
    <w:rsid w:val="00586FC2"/>
    <w:rsid w:val="00592AA0"/>
    <w:rsid w:val="00595AC7"/>
    <w:rsid w:val="00596892"/>
    <w:rsid w:val="005A5348"/>
    <w:rsid w:val="005A6240"/>
    <w:rsid w:val="005C3EFA"/>
    <w:rsid w:val="005C7A39"/>
    <w:rsid w:val="005D0253"/>
    <w:rsid w:val="005D41A3"/>
    <w:rsid w:val="005E1051"/>
    <w:rsid w:val="005F0118"/>
    <w:rsid w:val="005F40C9"/>
    <w:rsid w:val="00601C40"/>
    <w:rsid w:val="00604A09"/>
    <w:rsid w:val="00604F13"/>
    <w:rsid w:val="0062100D"/>
    <w:rsid w:val="00631E6F"/>
    <w:rsid w:val="006377C4"/>
    <w:rsid w:val="00653092"/>
    <w:rsid w:val="00655D1A"/>
    <w:rsid w:val="006636E1"/>
    <w:rsid w:val="00672461"/>
    <w:rsid w:val="00673E6A"/>
    <w:rsid w:val="00676760"/>
    <w:rsid w:val="00682D70"/>
    <w:rsid w:val="006929D3"/>
    <w:rsid w:val="006A0D69"/>
    <w:rsid w:val="006B0D5E"/>
    <w:rsid w:val="006B32D0"/>
    <w:rsid w:val="006B71F3"/>
    <w:rsid w:val="006C1610"/>
    <w:rsid w:val="006C64DF"/>
    <w:rsid w:val="006D0151"/>
    <w:rsid w:val="006D2498"/>
    <w:rsid w:val="006D2773"/>
    <w:rsid w:val="006D6870"/>
    <w:rsid w:val="006D7A96"/>
    <w:rsid w:val="006E5021"/>
    <w:rsid w:val="006F760C"/>
    <w:rsid w:val="00702574"/>
    <w:rsid w:val="007111C7"/>
    <w:rsid w:val="00716A42"/>
    <w:rsid w:val="007226FF"/>
    <w:rsid w:val="00722E84"/>
    <w:rsid w:val="00727F56"/>
    <w:rsid w:val="0073500A"/>
    <w:rsid w:val="00742232"/>
    <w:rsid w:val="007428AD"/>
    <w:rsid w:val="00757918"/>
    <w:rsid w:val="00770DC8"/>
    <w:rsid w:val="007749C5"/>
    <w:rsid w:val="007830DB"/>
    <w:rsid w:val="00786FA1"/>
    <w:rsid w:val="007A2927"/>
    <w:rsid w:val="007A3E89"/>
    <w:rsid w:val="007B11FD"/>
    <w:rsid w:val="007B163D"/>
    <w:rsid w:val="007B4D29"/>
    <w:rsid w:val="007B580C"/>
    <w:rsid w:val="007C544E"/>
    <w:rsid w:val="007E1787"/>
    <w:rsid w:val="007E66B1"/>
    <w:rsid w:val="007E7FCA"/>
    <w:rsid w:val="007F3EFC"/>
    <w:rsid w:val="00800A0C"/>
    <w:rsid w:val="0080756F"/>
    <w:rsid w:val="00814C88"/>
    <w:rsid w:val="00816556"/>
    <w:rsid w:val="00833ECC"/>
    <w:rsid w:val="008346A8"/>
    <w:rsid w:val="00834C44"/>
    <w:rsid w:val="00847A58"/>
    <w:rsid w:val="00851330"/>
    <w:rsid w:val="00853D55"/>
    <w:rsid w:val="00867040"/>
    <w:rsid w:val="00872CA4"/>
    <w:rsid w:val="00875331"/>
    <w:rsid w:val="00875D1B"/>
    <w:rsid w:val="00880E36"/>
    <w:rsid w:val="00881BB2"/>
    <w:rsid w:val="00882AEA"/>
    <w:rsid w:val="008D199F"/>
    <w:rsid w:val="008E31D6"/>
    <w:rsid w:val="008E4E03"/>
    <w:rsid w:val="008E6725"/>
    <w:rsid w:val="008F07C4"/>
    <w:rsid w:val="008F5E4F"/>
    <w:rsid w:val="008F7306"/>
    <w:rsid w:val="009009D7"/>
    <w:rsid w:val="00901201"/>
    <w:rsid w:val="00901A91"/>
    <w:rsid w:val="0090797B"/>
    <w:rsid w:val="00914F4B"/>
    <w:rsid w:val="009152C9"/>
    <w:rsid w:val="009235CB"/>
    <w:rsid w:val="00927283"/>
    <w:rsid w:val="00932C88"/>
    <w:rsid w:val="00935668"/>
    <w:rsid w:val="009366B4"/>
    <w:rsid w:val="00937F41"/>
    <w:rsid w:val="009469E5"/>
    <w:rsid w:val="00946D68"/>
    <w:rsid w:val="00967A09"/>
    <w:rsid w:val="00974835"/>
    <w:rsid w:val="009811FB"/>
    <w:rsid w:val="00984141"/>
    <w:rsid w:val="009946FB"/>
    <w:rsid w:val="009947DE"/>
    <w:rsid w:val="009A0E84"/>
    <w:rsid w:val="009A1423"/>
    <w:rsid w:val="009A3FFF"/>
    <w:rsid w:val="009B15B6"/>
    <w:rsid w:val="009B53EE"/>
    <w:rsid w:val="009B5812"/>
    <w:rsid w:val="009C49D8"/>
    <w:rsid w:val="009C5A5D"/>
    <w:rsid w:val="009C6C71"/>
    <w:rsid w:val="009C6F6A"/>
    <w:rsid w:val="009D0103"/>
    <w:rsid w:val="009D2CB0"/>
    <w:rsid w:val="009D30DC"/>
    <w:rsid w:val="009D3763"/>
    <w:rsid w:val="009E7ACE"/>
    <w:rsid w:val="00A012D1"/>
    <w:rsid w:val="00A030C0"/>
    <w:rsid w:val="00A07448"/>
    <w:rsid w:val="00A21257"/>
    <w:rsid w:val="00A2590C"/>
    <w:rsid w:val="00A31768"/>
    <w:rsid w:val="00A32042"/>
    <w:rsid w:val="00A33DAD"/>
    <w:rsid w:val="00A3750E"/>
    <w:rsid w:val="00A50BBA"/>
    <w:rsid w:val="00A51490"/>
    <w:rsid w:val="00A52828"/>
    <w:rsid w:val="00A53B5B"/>
    <w:rsid w:val="00A74A34"/>
    <w:rsid w:val="00A816BB"/>
    <w:rsid w:val="00A816C3"/>
    <w:rsid w:val="00A8173C"/>
    <w:rsid w:val="00A82A75"/>
    <w:rsid w:val="00A913C9"/>
    <w:rsid w:val="00AA29D5"/>
    <w:rsid w:val="00AA7AFE"/>
    <w:rsid w:val="00AB23CB"/>
    <w:rsid w:val="00AC543A"/>
    <w:rsid w:val="00AC7103"/>
    <w:rsid w:val="00AC7811"/>
    <w:rsid w:val="00AE6836"/>
    <w:rsid w:val="00AE7D13"/>
    <w:rsid w:val="00AF14F9"/>
    <w:rsid w:val="00AF15DD"/>
    <w:rsid w:val="00AF420D"/>
    <w:rsid w:val="00B0035E"/>
    <w:rsid w:val="00B0059C"/>
    <w:rsid w:val="00B06E0F"/>
    <w:rsid w:val="00B20E4D"/>
    <w:rsid w:val="00B21F08"/>
    <w:rsid w:val="00B230DB"/>
    <w:rsid w:val="00B36F46"/>
    <w:rsid w:val="00B42401"/>
    <w:rsid w:val="00B45DDE"/>
    <w:rsid w:val="00B7084E"/>
    <w:rsid w:val="00B92E22"/>
    <w:rsid w:val="00B94175"/>
    <w:rsid w:val="00B94268"/>
    <w:rsid w:val="00BA17EB"/>
    <w:rsid w:val="00BA4375"/>
    <w:rsid w:val="00BA7AE1"/>
    <w:rsid w:val="00BA7F5C"/>
    <w:rsid w:val="00BB0DF9"/>
    <w:rsid w:val="00BB6B76"/>
    <w:rsid w:val="00BF2F61"/>
    <w:rsid w:val="00BF7C24"/>
    <w:rsid w:val="00C041AB"/>
    <w:rsid w:val="00C11F45"/>
    <w:rsid w:val="00C12E55"/>
    <w:rsid w:val="00C16FC5"/>
    <w:rsid w:val="00C22060"/>
    <w:rsid w:val="00C427BB"/>
    <w:rsid w:val="00C61B84"/>
    <w:rsid w:val="00C82272"/>
    <w:rsid w:val="00C83939"/>
    <w:rsid w:val="00C8595C"/>
    <w:rsid w:val="00C86867"/>
    <w:rsid w:val="00C94274"/>
    <w:rsid w:val="00C96C47"/>
    <w:rsid w:val="00C97B43"/>
    <w:rsid w:val="00CA0113"/>
    <w:rsid w:val="00CA18C1"/>
    <w:rsid w:val="00CC3497"/>
    <w:rsid w:val="00CD05AB"/>
    <w:rsid w:val="00CE5337"/>
    <w:rsid w:val="00D009D4"/>
    <w:rsid w:val="00D024F2"/>
    <w:rsid w:val="00D141A7"/>
    <w:rsid w:val="00D16EA6"/>
    <w:rsid w:val="00D20618"/>
    <w:rsid w:val="00D22B9B"/>
    <w:rsid w:val="00D344DB"/>
    <w:rsid w:val="00D365B3"/>
    <w:rsid w:val="00D43E73"/>
    <w:rsid w:val="00D4403C"/>
    <w:rsid w:val="00D44098"/>
    <w:rsid w:val="00D461FA"/>
    <w:rsid w:val="00D46BAD"/>
    <w:rsid w:val="00D46D76"/>
    <w:rsid w:val="00D549BD"/>
    <w:rsid w:val="00D5574B"/>
    <w:rsid w:val="00D6235E"/>
    <w:rsid w:val="00D64515"/>
    <w:rsid w:val="00D6629A"/>
    <w:rsid w:val="00D7023A"/>
    <w:rsid w:val="00D72AB9"/>
    <w:rsid w:val="00D7386A"/>
    <w:rsid w:val="00D76115"/>
    <w:rsid w:val="00D76A85"/>
    <w:rsid w:val="00D84CEB"/>
    <w:rsid w:val="00D901A7"/>
    <w:rsid w:val="00D94F30"/>
    <w:rsid w:val="00D96689"/>
    <w:rsid w:val="00DB3E0B"/>
    <w:rsid w:val="00DB76F3"/>
    <w:rsid w:val="00DC54A6"/>
    <w:rsid w:val="00DC7177"/>
    <w:rsid w:val="00DD22D6"/>
    <w:rsid w:val="00DD3130"/>
    <w:rsid w:val="00DD4688"/>
    <w:rsid w:val="00DD55A5"/>
    <w:rsid w:val="00DD5AB1"/>
    <w:rsid w:val="00DE30A3"/>
    <w:rsid w:val="00DF0774"/>
    <w:rsid w:val="00E00BA1"/>
    <w:rsid w:val="00E01662"/>
    <w:rsid w:val="00E1202D"/>
    <w:rsid w:val="00E326D7"/>
    <w:rsid w:val="00E35E9C"/>
    <w:rsid w:val="00E422BE"/>
    <w:rsid w:val="00E80A7E"/>
    <w:rsid w:val="00E90314"/>
    <w:rsid w:val="00E93F34"/>
    <w:rsid w:val="00EB7E70"/>
    <w:rsid w:val="00EC269F"/>
    <w:rsid w:val="00EC3010"/>
    <w:rsid w:val="00EC562D"/>
    <w:rsid w:val="00EE77BE"/>
    <w:rsid w:val="00F02EA2"/>
    <w:rsid w:val="00F078A6"/>
    <w:rsid w:val="00F11EBF"/>
    <w:rsid w:val="00F128D3"/>
    <w:rsid w:val="00F177AD"/>
    <w:rsid w:val="00F30F31"/>
    <w:rsid w:val="00F336E2"/>
    <w:rsid w:val="00F35603"/>
    <w:rsid w:val="00F364C9"/>
    <w:rsid w:val="00F401BB"/>
    <w:rsid w:val="00F45DDC"/>
    <w:rsid w:val="00F51310"/>
    <w:rsid w:val="00F535BD"/>
    <w:rsid w:val="00F70E20"/>
    <w:rsid w:val="00F849DC"/>
    <w:rsid w:val="00F93E9B"/>
    <w:rsid w:val="00FB63C3"/>
    <w:rsid w:val="00FC42E7"/>
    <w:rsid w:val="00FC44CE"/>
    <w:rsid w:val="00FD393E"/>
    <w:rsid w:val="00FE6F41"/>
    <w:rsid w:val="00FF0277"/>
    <w:rsid w:val="00FF2BA6"/>
    <w:rsid w:val="00FF5222"/>
    <w:rsid w:val="00FF5F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1F65"/>
  <w15:docId w15:val="{2C05923B-237D-42E1-9A74-F69C94C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CA"/>
  </w:style>
  <w:style w:type="paragraph" w:styleId="Heading2">
    <w:name w:val="heading 2"/>
    <w:basedOn w:val="Normal"/>
    <w:link w:val="Heading2Char"/>
    <w:uiPriority w:val="9"/>
    <w:qFormat/>
    <w:rsid w:val="00092100"/>
    <w:pPr>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CA"/>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523797"/>
    <w:pPr>
      <w:tabs>
        <w:tab w:val="center" w:pos="4513"/>
        <w:tab w:val="right" w:pos="9026"/>
      </w:tabs>
    </w:pPr>
  </w:style>
  <w:style w:type="character" w:customStyle="1" w:styleId="HeaderChar">
    <w:name w:val="Header Char"/>
    <w:basedOn w:val="DefaultParagraphFont"/>
    <w:link w:val="Header"/>
    <w:uiPriority w:val="99"/>
    <w:rsid w:val="00523797"/>
  </w:style>
  <w:style w:type="paragraph" w:styleId="Footer">
    <w:name w:val="footer"/>
    <w:basedOn w:val="Normal"/>
    <w:link w:val="FooterChar"/>
    <w:uiPriority w:val="99"/>
    <w:unhideWhenUsed/>
    <w:rsid w:val="00523797"/>
    <w:pPr>
      <w:tabs>
        <w:tab w:val="center" w:pos="4513"/>
        <w:tab w:val="right" w:pos="9026"/>
      </w:tabs>
    </w:pPr>
  </w:style>
  <w:style w:type="character" w:customStyle="1" w:styleId="FooterChar">
    <w:name w:val="Footer Char"/>
    <w:basedOn w:val="DefaultParagraphFont"/>
    <w:link w:val="Footer"/>
    <w:uiPriority w:val="99"/>
    <w:rsid w:val="00523797"/>
  </w:style>
  <w:style w:type="paragraph" w:styleId="FootnoteText">
    <w:name w:val="footnote text"/>
    <w:basedOn w:val="Normal"/>
    <w:link w:val="FootnoteTextChar"/>
    <w:uiPriority w:val="99"/>
    <w:semiHidden/>
    <w:unhideWhenUsed/>
    <w:rsid w:val="004F6CF4"/>
    <w:rPr>
      <w:sz w:val="20"/>
      <w:szCs w:val="20"/>
    </w:rPr>
  </w:style>
  <w:style w:type="character" w:customStyle="1" w:styleId="FootnoteTextChar">
    <w:name w:val="Footnote Text Char"/>
    <w:basedOn w:val="DefaultParagraphFont"/>
    <w:link w:val="FootnoteText"/>
    <w:uiPriority w:val="99"/>
    <w:semiHidden/>
    <w:rsid w:val="004F6CF4"/>
    <w:rPr>
      <w:sz w:val="20"/>
      <w:szCs w:val="20"/>
    </w:rPr>
  </w:style>
  <w:style w:type="character" w:styleId="FootnoteReference">
    <w:name w:val="footnote reference"/>
    <w:basedOn w:val="DefaultParagraphFont"/>
    <w:uiPriority w:val="99"/>
    <w:semiHidden/>
    <w:unhideWhenUsed/>
    <w:rsid w:val="004F6CF4"/>
    <w:rPr>
      <w:vertAlign w:val="superscript"/>
    </w:rPr>
  </w:style>
  <w:style w:type="paragraph" w:styleId="BalloonText">
    <w:name w:val="Balloon Text"/>
    <w:basedOn w:val="Normal"/>
    <w:link w:val="BalloonTextChar"/>
    <w:uiPriority w:val="99"/>
    <w:semiHidden/>
    <w:unhideWhenUsed/>
    <w:rsid w:val="00880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36"/>
    <w:rPr>
      <w:rFonts w:ascii="Segoe UI" w:hAnsi="Segoe UI" w:cs="Segoe UI"/>
      <w:sz w:val="18"/>
      <w:szCs w:val="18"/>
    </w:rPr>
  </w:style>
  <w:style w:type="character" w:customStyle="1" w:styleId="Heading2Char">
    <w:name w:val="Heading 2 Char"/>
    <w:basedOn w:val="DefaultParagraphFont"/>
    <w:link w:val="Heading2"/>
    <w:uiPriority w:val="9"/>
    <w:rsid w:val="00092100"/>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9B5812"/>
    <w:rPr>
      <w:color w:val="0563C1" w:themeColor="hyperlink"/>
      <w:u w:val="single"/>
    </w:rPr>
  </w:style>
  <w:style w:type="paragraph" w:styleId="NormalWeb">
    <w:name w:val="Normal (Web)"/>
    <w:basedOn w:val="Normal"/>
    <w:uiPriority w:val="99"/>
    <w:semiHidden/>
    <w:unhideWhenUsed/>
    <w:rsid w:val="00445F2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2327">
      <w:bodyDiv w:val="1"/>
      <w:marLeft w:val="0"/>
      <w:marRight w:val="0"/>
      <w:marTop w:val="0"/>
      <w:marBottom w:val="0"/>
      <w:divBdr>
        <w:top w:val="none" w:sz="0" w:space="0" w:color="auto"/>
        <w:left w:val="none" w:sz="0" w:space="0" w:color="auto"/>
        <w:bottom w:val="none" w:sz="0" w:space="0" w:color="auto"/>
        <w:right w:val="none" w:sz="0" w:space="0" w:color="auto"/>
      </w:divBdr>
    </w:div>
    <w:div w:id="903686939">
      <w:bodyDiv w:val="1"/>
      <w:marLeft w:val="0"/>
      <w:marRight w:val="0"/>
      <w:marTop w:val="0"/>
      <w:marBottom w:val="0"/>
      <w:divBdr>
        <w:top w:val="none" w:sz="0" w:space="0" w:color="auto"/>
        <w:left w:val="none" w:sz="0" w:space="0" w:color="auto"/>
        <w:bottom w:val="none" w:sz="0" w:space="0" w:color="auto"/>
        <w:right w:val="none" w:sz="0" w:space="0" w:color="auto"/>
      </w:divBdr>
    </w:div>
    <w:div w:id="1002581897">
      <w:bodyDiv w:val="1"/>
      <w:marLeft w:val="0"/>
      <w:marRight w:val="0"/>
      <w:marTop w:val="0"/>
      <w:marBottom w:val="0"/>
      <w:divBdr>
        <w:top w:val="none" w:sz="0" w:space="0" w:color="auto"/>
        <w:left w:val="none" w:sz="0" w:space="0" w:color="auto"/>
        <w:bottom w:val="none" w:sz="0" w:space="0" w:color="auto"/>
        <w:right w:val="none" w:sz="0" w:space="0" w:color="auto"/>
      </w:divBdr>
    </w:div>
    <w:div w:id="1125929673">
      <w:bodyDiv w:val="1"/>
      <w:marLeft w:val="0"/>
      <w:marRight w:val="0"/>
      <w:marTop w:val="0"/>
      <w:marBottom w:val="0"/>
      <w:divBdr>
        <w:top w:val="none" w:sz="0" w:space="0" w:color="auto"/>
        <w:left w:val="none" w:sz="0" w:space="0" w:color="auto"/>
        <w:bottom w:val="none" w:sz="0" w:space="0" w:color="auto"/>
        <w:right w:val="none" w:sz="0" w:space="0" w:color="auto"/>
      </w:divBdr>
    </w:div>
    <w:div w:id="167144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xisnexis.co.za/Content/CustomViewNew.aspx" TargetMode="External"/><Relationship Id="rId13" Type="http://schemas.openxmlformats.org/officeDocument/2006/relationships/hyperlink" Target="https://www.mylexisnexis.co.za/Content/CustomViewNew.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Content/CustomViewNew.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Content/CustomViewNew.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ylexisnexis.co.za/Content/CustomViewNew.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lexisnexis.co.za/Content/CustomViewNew.aspx" TargetMode="External"/><Relationship Id="rId14" Type="http://schemas.openxmlformats.org/officeDocument/2006/relationships/hyperlink" Target="https://www.mylexisnexis.co.za/Content/CustomViewNew.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Content/CustomView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1BD8-68EA-4DB2-8681-9F85B4D8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13565</Words>
  <Characters>77327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HOME</cp:lastModifiedBy>
  <cp:revision>2</cp:revision>
  <cp:lastPrinted>2022-05-13T06:20:00Z</cp:lastPrinted>
  <dcterms:created xsi:type="dcterms:W3CDTF">2022-05-23T17:11:00Z</dcterms:created>
  <dcterms:modified xsi:type="dcterms:W3CDTF">2022-05-23T17:11:00Z</dcterms:modified>
</cp:coreProperties>
</file>