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CCD0" w14:textId="77777777" w:rsidR="005F7346" w:rsidRDefault="005F7346" w:rsidP="005F7346">
      <w:pPr>
        <w:widowControl w:val="0"/>
        <w:spacing w:after="0" w:line="360" w:lineRule="auto"/>
        <w:jc w:val="center"/>
        <w:rPr>
          <w:rFonts w:ascii="Arial" w:eastAsia="Times New Roman" w:hAnsi="Arial" w:cs="Arial"/>
          <w:sz w:val="24"/>
          <w:szCs w:val="24"/>
        </w:rPr>
      </w:pPr>
      <w:r>
        <w:rPr>
          <w:rFonts w:ascii="Arial" w:eastAsia="Times New Roman" w:hAnsi="Arial" w:cs="Arial"/>
          <w:noProof/>
          <w:sz w:val="24"/>
          <w:szCs w:val="24"/>
          <w:lang w:eastAsia="en-ZA"/>
        </w:rPr>
        <w:drawing>
          <wp:inline distT="0" distB="0" distL="0" distR="0" wp14:anchorId="186A8398" wp14:editId="49470BD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017CF978" w14:textId="77777777" w:rsidR="005F7346" w:rsidRDefault="005F7346" w:rsidP="005F7346">
      <w:pPr>
        <w:widowControl w:val="0"/>
        <w:spacing w:after="0" w:line="360" w:lineRule="auto"/>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327B2306" w14:textId="54BDBC0D" w:rsidR="005F7346" w:rsidRDefault="005F7346" w:rsidP="005F7346">
      <w:pPr>
        <w:widowControl w:val="0"/>
        <w:tabs>
          <w:tab w:val="right" w:pos="9213"/>
        </w:tabs>
        <w:spacing w:line="360" w:lineRule="auto"/>
        <w:jc w:val="center"/>
        <w:rPr>
          <w:rFonts w:ascii="Arial" w:hAnsi="Arial" w:cs="Arial"/>
          <w:b/>
          <w:sz w:val="24"/>
          <w:szCs w:val="24"/>
        </w:rPr>
      </w:pPr>
      <w:r>
        <w:rPr>
          <w:rFonts w:ascii="Arial" w:hAnsi="Arial" w:cs="Arial"/>
          <w:b/>
          <w:sz w:val="24"/>
          <w:szCs w:val="24"/>
        </w:rPr>
        <w:t>EASTERN CAPE DIVISION, EAST LONDON CIRCUIT COURT</w:t>
      </w:r>
    </w:p>
    <w:p w14:paraId="38FB5A06" w14:textId="11FFA781" w:rsidR="005F7346" w:rsidRDefault="005F7346" w:rsidP="005F7346">
      <w:pPr>
        <w:widowControl w:val="0"/>
        <w:tabs>
          <w:tab w:val="right" w:pos="8931"/>
        </w:tabs>
        <w:spacing w:line="240" w:lineRule="auto"/>
        <w:rPr>
          <w:rFonts w:ascii="Arial" w:hAnsi="Arial" w:cs="Arial"/>
          <w:sz w:val="24"/>
          <w:szCs w:val="24"/>
        </w:rPr>
      </w:pPr>
      <w:r>
        <w:rPr>
          <w:rFonts w:ascii="Arial" w:hAnsi="Arial" w:cs="Arial"/>
          <w:sz w:val="24"/>
          <w:szCs w:val="24"/>
        </w:rPr>
        <w:tab/>
        <w:t>CASE NO. EL 1056/2022</w:t>
      </w:r>
    </w:p>
    <w:p w14:paraId="17C9B13E" w14:textId="77777777" w:rsidR="002636D3" w:rsidRDefault="002636D3" w:rsidP="005F7346">
      <w:pPr>
        <w:widowControl w:val="0"/>
        <w:tabs>
          <w:tab w:val="right" w:pos="8931"/>
        </w:tabs>
        <w:spacing w:line="240" w:lineRule="auto"/>
        <w:rPr>
          <w:rFonts w:ascii="Arial" w:hAnsi="Arial" w:cs="Arial"/>
          <w:sz w:val="24"/>
          <w:szCs w:val="24"/>
        </w:rPr>
      </w:pPr>
    </w:p>
    <w:p w14:paraId="1DB96A0B" w14:textId="1FFF1A53" w:rsidR="005F7346" w:rsidRDefault="005F7346" w:rsidP="005F7346">
      <w:pPr>
        <w:widowControl w:val="0"/>
        <w:tabs>
          <w:tab w:val="right" w:pos="8931"/>
        </w:tabs>
        <w:spacing w:line="240" w:lineRule="auto"/>
        <w:rPr>
          <w:rFonts w:ascii="Arial" w:hAnsi="Arial" w:cs="Arial"/>
          <w:sz w:val="24"/>
          <w:szCs w:val="24"/>
        </w:rPr>
      </w:pPr>
      <w:r>
        <w:rPr>
          <w:rFonts w:ascii="Arial" w:hAnsi="Arial" w:cs="Arial"/>
          <w:sz w:val="24"/>
          <w:szCs w:val="24"/>
        </w:rPr>
        <w:t>In the matter between:</w:t>
      </w:r>
    </w:p>
    <w:p w14:paraId="18A1A537" w14:textId="77777777" w:rsidR="002636D3" w:rsidRDefault="002636D3" w:rsidP="005F7346">
      <w:pPr>
        <w:widowControl w:val="0"/>
        <w:tabs>
          <w:tab w:val="right" w:pos="8931"/>
        </w:tabs>
        <w:spacing w:line="240" w:lineRule="auto"/>
        <w:rPr>
          <w:rFonts w:ascii="Arial" w:hAnsi="Arial" w:cs="Arial"/>
          <w:sz w:val="24"/>
          <w:szCs w:val="24"/>
        </w:rPr>
      </w:pPr>
    </w:p>
    <w:p w14:paraId="6D25D94C" w14:textId="0660FD12" w:rsidR="005F7346" w:rsidRDefault="005F7346" w:rsidP="005F7346">
      <w:pPr>
        <w:widowControl w:val="0"/>
        <w:tabs>
          <w:tab w:val="right" w:pos="8931"/>
        </w:tabs>
        <w:spacing w:line="240" w:lineRule="auto"/>
        <w:rPr>
          <w:rFonts w:ascii="Arial" w:hAnsi="Arial" w:cs="Arial"/>
          <w:b/>
          <w:sz w:val="24"/>
          <w:szCs w:val="24"/>
        </w:rPr>
      </w:pPr>
      <w:r>
        <w:rPr>
          <w:rFonts w:ascii="Arial" w:hAnsi="Arial" w:cs="Arial"/>
          <w:b/>
          <w:bCs/>
          <w:sz w:val="24"/>
          <w:szCs w:val="24"/>
        </w:rPr>
        <w:t>SHINE AFRICA FINANCIAL SERVICES (PTY) LTD</w:t>
      </w:r>
      <w:r>
        <w:rPr>
          <w:rFonts w:ascii="Arial" w:hAnsi="Arial" w:cs="Arial"/>
          <w:b/>
          <w:sz w:val="24"/>
          <w:szCs w:val="24"/>
        </w:rPr>
        <w:tab/>
        <w:t>Applicant</w:t>
      </w:r>
    </w:p>
    <w:p w14:paraId="600E2661" w14:textId="77777777" w:rsidR="005F7346" w:rsidRDefault="005F7346" w:rsidP="005F7346">
      <w:pPr>
        <w:widowControl w:val="0"/>
        <w:tabs>
          <w:tab w:val="right" w:pos="8640"/>
        </w:tabs>
        <w:spacing w:line="240" w:lineRule="auto"/>
        <w:rPr>
          <w:rFonts w:ascii="Arial" w:hAnsi="Arial" w:cs="Arial"/>
          <w:b/>
          <w:sz w:val="24"/>
          <w:szCs w:val="24"/>
        </w:rPr>
      </w:pPr>
    </w:p>
    <w:p w14:paraId="19E33520" w14:textId="77777777" w:rsidR="005F7346" w:rsidRDefault="005F7346" w:rsidP="005F7346">
      <w:pPr>
        <w:widowControl w:val="0"/>
        <w:tabs>
          <w:tab w:val="right" w:pos="8640"/>
        </w:tabs>
        <w:spacing w:line="240" w:lineRule="auto"/>
        <w:rPr>
          <w:rFonts w:ascii="Arial" w:hAnsi="Arial" w:cs="Arial"/>
          <w:b/>
          <w:sz w:val="24"/>
          <w:szCs w:val="24"/>
        </w:rPr>
      </w:pPr>
      <w:r>
        <w:rPr>
          <w:rFonts w:ascii="Arial" w:hAnsi="Arial" w:cs="Arial"/>
          <w:b/>
          <w:sz w:val="24"/>
          <w:szCs w:val="24"/>
        </w:rPr>
        <w:t xml:space="preserve">and </w:t>
      </w:r>
    </w:p>
    <w:p w14:paraId="300B8263" w14:textId="59503AAB" w:rsidR="005F7346" w:rsidRDefault="005F7346" w:rsidP="005F7346">
      <w:pPr>
        <w:widowControl w:val="0"/>
        <w:tabs>
          <w:tab w:val="right" w:pos="8931"/>
        </w:tabs>
        <w:spacing w:line="240" w:lineRule="auto"/>
        <w:rPr>
          <w:rFonts w:ascii="Arial" w:hAnsi="Arial" w:cs="Arial"/>
          <w:b/>
          <w:sz w:val="24"/>
          <w:szCs w:val="24"/>
        </w:rPr>
      </w:pPr>
    </w:p>
    <w:p w14:paraId="4495CB4F" w14:textId="3B0D4D21" w:rsidR="005F7346" w:rsidRDefault="005F7346" w:rsidP="005F7346">
      <w:pPr>
        <w:widowControl w:val="0"/>
        <w:tabs>
          <w:tab w:val="right" w:pos="8931"/>
        </w:tabs>
        <w:spacing w:line="240" w:lineRule="auto"/>
        <w:rPr>
          <w:rFonts w:ascii="Arial" w:hAnsi="Arial" w:cs="Arial"/>
          <w:b/>
          <w:sz w:val="24"/>
          <w:szCs w:val="24"/>
        </w:rPr>
      </w:pPr>
      <w:r>
        <w:rPr>
          <w:rFonts w:ascii="Arial" w:hAnsi="Arial" w:cs="Arial"/>
          <w:b/>
          <w:sz w:val="24"/>
          <w:szCs w:val="24"/>
        </w:rPr>
        <w:t xml:space="preserve">BUFFALO CITY METROPOLITAN MUNICIPALITY </w:t>
      </w:r>
      <w:r>
        <w:rPr>
          <w:rFonts w:ascii="Arial" w:hAnsi="Arial" w:cs="Arial"/>
          <w:b/>
          <w:sz w:val="24"/>
          <w:szCs w:val="24"/>
        </w:rPr>
        <w:tab/>
        <w:t>Respondent</w:t>
      </w:r>
    </w:p>
    <w:p w14:paraId="01097584" w14:textId="77777777" w:rsidR="005F7346" w:rsidRDefault="005F7346" w:rsidP="002636D3">
      <w:pPr>
        <w:spacing w:line="360" w:lineRule="auto"/>
        <w:rPr>
          <w:rFonts w:ascii="Arial" w:hAnsi="Arial" w:cs="Arial"/>
          <w:sz w:val="24"/>
          <w:szCs w:val="24"/>
        </w:rPr>
      </w:pPr>
      <w:r>
        <w:rPr>
          <w:rFonts w:ascii="Arial" w:hAnsi="Arial" w:cs="Arial"/>
          <w:sz w:val="24"/>
          <w:szCs w:val="24"/>
        </w:rPr>
        <w:t>___________________________________________________________________</w:t>
      </w:r>
    </w:p>
    <w:p w14:paraId="62EDFF0D" w14:textId="3FA3769E" w:rsidR="005F7346" w:rsidRDefault="005F7346" w:rsidP="002636D3">
      <w:pPr>
        <w:spacing w:line="360" w:lineRule="auto"/>
        <w:jc w:val="center"/>
        <w:rPr>
          <w:rFonts w:ascii="Arial" w:hAnsi="Arial" w:cs="Arial"/>
          <w:b/>
          <w:bCs/>
          <w:sz w:val="24"/>
          <w:szCs w:val="24"/>
        </w:rPr>
      </w:pPr>
      <w:r>
        <w:rPr>
          <w:rFonts w:ascii="Arial" w:hAnsi="Arial" w:cs="Arial"/>
          <w:b/>
          <w:bCs/>
          <w:sz w:val="24"/>
          <w:szCs w:val="24"/>
        </w:rPr>
        <w:t>JUDGMENT</w:t>
      </w:r>
    </w:p>
    <w:p w14:paraId="5F5E751B" w14:textId="77777777" w:rsidR="005F7346" w:rsidRDefault="005F7346" w:rsidP="002636D3">
      <w:pPr>
        <w:spacing w:line="360" w:lineRule="auto"/>
        <w:rPr>
          <w:rFonts w:ascii="Arial" w:hAnsi="Arial" w:cs="Arial"/>
          <w:sz w:val="24"/>
          <w:szCs w:val="24"/>
        </w:rPr>
      </w:pPr>
      <w:r>
        <w:rPr>
          <w:rFonts w:ascii="Arial" w:hAnsi="Arial" w:cs="Arial"/>
          <w:sz w:val="24"/>
          <w:szCs w:val="24"/>
        </w:rPr>
        <w:t>___________________________________________________________________</w:t>
      </w:r>
    </w:p>
    <w:p w14:paraId="73EB00CD" w14:textId="73CDF255" w:rsidR="00EC3227" w:rsidRPr="00EC3227" w:rsidRDefault="005F7346" w:rsidP="00EC3227">
      <w:pPr>
        <w:spacing w:line="360" w:lineRule="auto"/>
        <w:rPr>
          <w:rFonts w:ascii="Arial" w:hAnsi="Arial" w:cs="Arial"/>
          <w:sz w:val="24"/>
          <w:szCs w:val="24"/>
        </w:rPr>
      </w:pPr>
      <w:r>
        <w:rPr>
          <w:rFonts w:ascii="Arial" w:hAnsi="Arial" w:cs="Arial"/>
          <w:b/>
          <w:bCs/>
          <w:sz w:val="24"/>
          <w:szCs w:val="24"/>
        </w:rPr>
        <w:t>LAING J</w:t>
      </w:r>
    </w:p>
    <w:p w14:paraId="5DC35726" w14:textId="46E45B4B" w:rsidR="005F7346" w:rsidRPr="00D2139B" w:rsidRDefault="00D2139B" w:rsidP="00D2139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C3227" w:rsidRPr="00D2139B">
        <w:rPr>
          <w:rFonts w:ascii="Arial" w:hAnsi="Arial" w:cs="Arial"/>
          <w:sz w:val="24"/>
          <w:szCs w:val="24"/>
        </w:rPr>
        <w:t>This is an application for</w:t>
      </w:r>
      <w:r w:rsidR="008D2E54" w:rsidRPr="00D2139B">
        <w:rPr>
          <w:rFonts w:ascii="Arial" w:hAnsi="Arial" w:cs="Arial"/>
          <w:sz w:val="24"/>
          <w:szCs w:val="24"/>
        </w:rPr>
        <w:t xml:space="preserve">, </w:t>
      </w:r>
      <w:r w:rsidR="008D2E54" w:rsidRPr="00D2139B">
        <w:rPr>
          <w:rFonts w:ascii="Arial" w:hAnsi="Arial" w:cs="Arial"/>
          <w:i/>
          <w:iCs/>
          <w:sz w:val="24"/>
          <w:szCs w:val="24"/>
        </w:rPr>
        <w:t>inter alia</w:t>
      </w:r>
      <w:r w:rsidR="008D2E54" w:rsidRPr="00D2139B">
        <w:rPr>
          <w:rFonts w:ascii="Arial" w:hAnsi="Arial" w:cs="Arial"/>
          <w:sz w:val="24"/>
          <w:szCs w:val="24"/>
        </w:rPr>
        <w:t>,</w:t>
      </w:r>
      <w:r w:rsidR="00FD5D0B" w:rsidRPr="00D2139B">
        <w:rPr>
          <w:rFonts w:ascii="Arial" w:hAnsi="Arial" w:cs="Arial"/>
          <w:sz w:val="24"/>
          <w:szCs w:val="24"/>
        </w:rPr>
        <w:t xml:space="preserve"> a declarator to the effect that the respondent’s sale of tender documents, without making them </w:t>
      </w:r>
      <w:r w:rsidR="00BD2E15" w:rsidRPr="00D2139B">
        <w:rPr>
          <w:rFonts w:ascii="Arial" w:hAnsi="Arial" w:cs="Arial"/>
          <w:sz w:val="24"/>
          <w:szCs w:val="24"/>
        </w:rPr>
        <w:t xml:space="preserve">available </w:t>
      </w:r>
      <w:r w:rsidR="00FD5D0B" w:rsidRPr="00D2139B">
        <w:rPr>
          <w:rFonts w:ascii="Arial" w:hAnsi="Arial" w:cs="Arial"/>
          <w:sz w:val="24"/>
          <w:szCs w:val="24"/>
        </w:rPr>
        <w:t>free of charge, is unconstitutional and unlawful.</w:t>
      </w:r>
      <w:r w:rsidR="008D2E54" w:rsidRPr="00D2139B">
        <w:rPr>
          <w:rFonts w:ascii="Arial" w:hAnsi="Arial" w:cs="Arial"/>
          <w:sz w:val="24"/>
          <w:szCs w:val="24"/>
        </w:rPr>
        <w:t xml:space="preserve"> The applicant also seeks: an interdict preventing the evaluation and adjudication of the tenders in question, and the implementation of the c</w:t>
      </w:r>
      <w:r w:rsidR="00DC7101" w:rsidRPr="00D2139B">
        <w:rPr>
          <w:rFonts w:ascii="Arial" w:hAnsi="Arial" w:cs="Arial"/>
          <w:sz w:val="24"/>
          <w:szCs w:val="24"/>
        </w:rPr>
        <w:t>ontracts arising from the award</w:t>
      </w:r>
      <w:r w:rsidR="008D2E54" w:rsidRPr="00D2139B">
        <w:rPr>
          <w:rFonts w:ascii="Arial" w:hAnsi="Arial" w:cs="Arial"/>
          <w:sz w:val="24"/>
          <w:szCs w:val="24"/>
        </w:rPr>
        <w:t xml:space="preserve"> thereof; and an order directing the respondent to refund all bidders from whom it accepted payment.</w:t>
      </w:r>
    </w:p>
    <w:p w14:paraId="72771E95" w14:textId="77777777" w:rsidR="005F7346" w:rsidRDefault="005F7346" w:rsidP="005F7346">
      <w:pPr>
        <w:pStyle w:val="ListParagraph"/>
        <w:spacing w:line="360" w:lineRule="auto"/>
        <w:ind w:left="0"/>
        <w:jc w:val="both"/>
        <w:rPr>
          <w:rFonts w:ascii="Arial" w:hAnsi="Arial" w:cs="Arial"/>
          <w:sz w:val="24"/>
          <w:szCs w:val="24"/>
        </w:rPr>
      </w:pPr>
    </w:p>
    <w:p w14:paraId="076AC71B" w14:textId="26E56597" w:rsidR="005F7346" w:rsidRPr="00D2139B" w:rsidRDefault="00D2139B" w:rsidP="00D2139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D2E54" w:rsidRPr="00D2139B">
        <w:rPr>
          <w:rFonts w:ascii="Arial" w:hAnsi="Arial" w:cs="Arial"/>
          <w:sz w:val="24"/>
          <w:szCs w:val="24"/>
        </w:rPr>
        <w:t>The application was brought on an urgent basis.</w:t>
      </w:r>
    </w:p>
    <w:p w14:paraId="6D6DA353" w14:textId="4B2300C3" w:rsidR="005F7346" w:rsidRDefault="005F7346" w:rsidP="005F7346">
      <w:pPr>
        <w:pStyle w:val="ListParagraph"/>
        <w:rPr>
          <w:rFonts w:ascii="Arial" w:hAnsi="Arial" w:cs="Arial"/>
          <w:sz w:val="24"/>
          <w:szCs w:val="24"/>
        </w:rPr>
      </w:pPr>
    </w:p>
    <w:p w14:paraId="18E110F5" w14:textId="77777777" w:rsidR="002636D3" w:rsidRPr="005F7346" w:rsidRDefault="002636D3" w:rsidP="005F7346">
      <w:pPr>
        <w:pStyle w:val="ListParagraph"/>
        <w:rPr>
          <w:rFonts w:ascii="Arial" w:hAnsi="Arial" w:cs="Arial"/>
          <w:sz w:val="24"/>
          <w:szCs w:val="24"/>
        </w:rPr>
      </w:pPr>
    </w:p>
    <w:p w14:paraId="62E3F64A" w14:textId="71FABED2" w:rsidR="005F7346" w:rsidRPr="005F7346" w:rsidRDefault="008D2E54" w:rsidP="005F7346">
      <w:pPr>
        <w:pStyle w:val="ListParagraph"/>
        <w:spacing w:line="360" w:lineRule="auto"/>
        <w:ind w:left="0"/>
        <w:jc w:val="both"/>
        <w:rPr>
          <w:rFonts w:ascii="Arial" w:hAnsi="Arial" w:cs="Arial"/>
          <w:sz w:val="24"/>
          <w:szCs w:val="24"/>
        </w:rPr>
      </w:pPr>
      <w:r w:rsidRPr="005F7346">
        <w:rPr>
          <w:rFonts w:ascii="Arial" w:hAnsi="Arial" w:cs="Arial"/>
          <w:b/>
          <w:bCs/>
          <w:sz w:val="24"/>
          <w:szCs w:val="24"/>
        </w:rPr>
        <w:t>Background</w:t>
      </w:r>
    </w:p>
    <w:p w14:paraId="5E6C63ED" w14:textId="6F96180A" w:rsidR="005F7346" w:rsidRDefault="005F7346" w:rsidP="005F7346">
      <w:pPr>
        <w:pStyle w:val="ListParagraph"/>
        <w:rPr>
          <w:rFonts w:ascii="Arial" w:hAnsi="Arial" w:cs="Arial"/>
          <w:i/>
          <w:iCs/>
          <w:sz w:val="24"/>
          <w:szCs w:val="24"/>
        </w:rPr>
      </w:pPr>
    </w:p>
    <w:p w14:paraId="6C25257A" w14:textId="77777777" w:rsidR="005F7346" w:rsidRPr="005F7346" w:rsidRDefault="005F7346" w:rsidP="005F7346">
      <w:pPr>
        <w:pStyle w:val="ListParagraph"/>
        <w:rPr>
          <w:rFonts w:ascii="Arial" w:hAnsi="Arial" w:cs="Arial"/>
          <w:i/>
          <w:iCs/>
          <w:sz w:val="24"/>
          <w:szCs w:val="24"/>
        </w:rPr>
      </w:pPr>
    </w:p>
    <w:p w14:paraId="7A94457B" w14:textId="0310D3A5" w:rsidR="005F7346" w:rsidRDefault="008D2E54" w:rsidP="005F7346">
      <w:pPr>
        <w:pStyle w:val="ListParagraph"/>
        <w:spacing w:line="360" w:lineRule="auto"/>
        <w:ind w:left="0"/>
        <w:jc w:val="both"/>
        <w:rPr>
          <w:rFonts w:ascii="Arial" w:hAnsi="Arial" w:cs="Arial"/>
          <w:i/>
          <w:iCs/>
          <w:sz w:val="24"/>
          <w:szCs w:val="24"/>
        </w:rPr>
      </w:pPr>
      <w:r w:rsidRPr="005F7346">
        <w:rPr>
          <w:rFonts w:ascii="Arial" w:hAnsi="Arial" w:cs="Arial"/>
          <w:i/>
          <w:iCs/>
          <w:sz w:val="24"/>
          <w:szCs w:val="24"/>
        </w:rPr>
        <w:t>Applicant’s case</w:t>
      </w:r>
    </w:p>
    <w:p w14:paraId="37941578" w14:textId="77777777" w:rsidR="002636D3" w:rsidRPr="005F7346" w:rsidRDefault="002636D3" w:rsidP="005F7346">
      <w:pPr>
        <w:pStyle w:val="ListParagraph"/>
        <w:spacing w:line="360" w:lineRule="auto"/>
        <w:ind w:left="0"/>
        <w:jc w:val="both"/>
        <w:rPr>
          <w:rFonts w:ascii="Arial" w:hAnsi="Arial" w:cs="Arial"/>
          <w:sz w:val="24"/>
          <w:szCs w:val="24"/>
        </w:rPr>
      </w:pPr>
    </w:p>
    <w:p w14:paraId="3F9C7AD8" w14:textId="5FE57925" w:rsidR="005F7346" w:rsidRPr="00D2139B" w:rsidRDefault="00D2139B" w:rsidP="00D2139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D2E54" w:rsidRPr="00D2139B">
        <w:rPr>
          <w:rFonts w:ascii="Arial" w:hAnsi="Arial" w:cs="Arial"/>
          <w:sz w:val="24"/>
          <w:szCs w:val="24"/>
        </w:rPr>
        <w:t xml:space="preserve">The applicant claims to be a potential bidder that was precluded from submitting a bid for one of the tenders that form the subject of the application. It asserts that the respondent advertised four different tenders </w:t>
      </w:r>
      <w:r w:rsidR="00AE382E" w:rsidRPr="00D2139B">
        <w:rPr>
          <w:rFonts w:ascii="Arial" w:hAnsi="Arial" w:cs="Arial"/>
          <w:sz w:val="24"/>
          <w:szCs w:val="24"/>
        </w:rPr>
        <w:t>during</w:t>
      </w:r>
      <w:r w:rsidR="008D2E54" w:rsidRPr="00D2139B">
        <w:rPr>
          <w:rFonts w:ascii="Arial" w:hAnsi="Arial" w:cs="Arial"/>
          <w:sz w:val="24"/>
          <w:szCs w:val="24"/>
        </w:rPr>
        <w:t xml:space="preserve"> May and June 2022: the supply of refuse bags, the design and installation of bronze statues</w:t>
      </w:r>
      <w:r w:rsidR="00AE382E" w:rsidRPr="00D2139B">
        <w:rPr>
          <w:rFonts w:ascii="Arial" w:hAnsi="Arial" w:cs="Arial"/>
          <w:sz w:val="24"/>
          <w:szCs w:val="24"/>
        </w:rPr>
        <w:t xml:space="preserve"> in Duncan Village, and the establishment of townships for settlements at </w:t>
      </w:r>
      <w:proofErr w:type="spellStart"/>
      <w:r w:rsidR="00AE382E" w:rsidRPr="00D2139B">
        <w:rPr>
          <w:rFonts w:ascii="Arial" w:hAnsi="Arial" w:cs="Arial"/>
          <w:sz w:val="24"/>
          <w:szCs w:val="24"/>
        </w:rPr>
        <w:t>Tyutyu</w:t>
      </w:r>
      <w:proofErr w:type="spellEnd"/>
      <w:r w:rsidR="00AE382E" w:rsidRPr="00D2139B">
        <w:rPr>
          <w:rFonts w:ascii="Arial" w:hAnsi="Arial" w:cs="Arial"/>
          <w:sz w:val="24"/>
          <w:szCs w:val="24"/>
        </w:rPr>
        <w:t xml:space="preserve"> and Nompumelelo, respectively. The respondent indicated that tender documents would be available at its offices upon payment of various non-refundable amounts, ranging from R200 to R500.</w:t>
      </w:r>
    </w:p>
    <w:p w14:paraId="61B60893" w14:textId="77777777" w:rsidR="005F7346" w:rsidRDefault="005F7346" w:rsidP="005F7346">
      <w:pPr>
        <w:pStyle w:val="ListParagraph"/>
        <w:spacing w:line="360" w:lineRule="auto"/>
        <w:ind w:left="0"/>
        <w:jc w:val="both"/>
        <w:rPr>
          <w:rFonts w:ascii="Arial" w:hAnsi="Arial" w:cs="Arial"/>
          <w:sz w:val="24"/>
          <w:szCs w:val="24"/>
        </w:rPr>
      </w:pPr>
    </w:p>
    <w:p w14:paraId="3E859AB0" w14:textId="77281210" w:rsidR="005F7346" w:rsidRPr="00D2139B" w:rsidRDefault="00D2139B" w:rsidP="00D2139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E382E" w:rsidRPr="00D2139B">
        <w:rPr>
          <w:rFonts w:ascii="Arial" w:hAnsi="Arial" w:cs="Arial"/>
          <w:sz w:val="24"/>
          <w:szCs w:val="24"/>
        </w:rPr>
        <w:t>Subsequently, the applicant complained to the respondent, pointing out that the latter was obligated to have made the tender documents available on its website. No response was received, prompting the applicant to launch the present proceedings.</w:t>
      </w:r>
    </w:p>
    <w:p w14:paraId="115CEF63" w14:textId="77777777" w:rsidR="005F7346" w:rsidRPr="005F7346" w:rsidRDefault="005F7346" w:rsidP="005F7346">
      <w:pPr>
        <w:pStyle w:val="ListParagraph"/>
        <w:rPr>
          <w:rFonts w:ascii="Arial" w:hAnsi="Arial" w:cs="Arial"/>
          <w:sz w:val="24"/>
          <w:szCs w:val="24"/>
        </w:rPr>
      </w:pPr>
    </w:p>
    <w:p w14:paraId="21D5E1E7" w14:textId="731CD3D8" w:rsidR="005F7346" w:rsidRPr="00D2139B" w:rsidRDefault="00D2139B" w:rsidP="00D2139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E382E" w:rsidRPr="00D2139B">
        <w:rPr>
          <w:rFonts w:ascii="Arial" w:hAnsi="Arial" w:cs="Arial"/>
          <w:sz w:val="24"/>
          <w:szCs w:val="24"/>
        </w:rPr>
        <w:t xml:space="preserve">The basis for the applicant’s argument is that the respondent has flouted the provisions of the National Treasury guidelines for </w:t>
      </w:r>
      <w:r w:rsidR="00E47F0C" w:rsidRPr="00D2139B">
        <w:rPr>
          <w:rFonts w:ascii="Arial" w:hAnsi="Arial" w:cs="Arial"/>
          <w:sz w:val="24"/>
          <w:szCs w:val="24"/>
        </w:rPr>
        <w:t xml:space="preserve">accounting officers in relation to the charging and collecting of a fee for tender documents. Furthermore, contends the applicant, the respondent has contravened the Public Finance Management Act 1 of 1999 (‘PFMA’) </w:t>
      </w:r>
      <w:proofErr w:type="gramStart"/>
      <w:r w:rsidR="00E47F0C" w:rsidRPr="00D2139B">
        <w:rPr>
          <w:rFonts w:ascii="Arial" w:hAnsi="Arial" w:cs="Arial"/>
          <w:sz w:val="24"/>
          <w:szCs w:val="24"/>
        </w:rPr>
        <w:t>inasmuch as</w:t>
      </w:r>
      <w:proofErr w:type="gramEnd"/>
      <w:r w:rsidR="00E47F0C" w:rsidRPr="00D2139B">
        <w:rPr>
          <w:rFonts w:ascii="Arial" w:hAnsi="Arial" w:cs="Arial"/>
          <w:sz w:val="24"/>
          <w:szCs w:val="24"/>
        </w:rPr>
        <w:t xml:space="preserve"> the sale of the tender documents resulted in an unfair and non-competitive tender process; this was also in contravention of section 217(1) of the Constitution.</w:t>
      </w:r>
    </w:p>
    <w:p w14:paraId="06183DFB" w14:textId="77777777" w:rsidR="005F7346" w:rsidRPr="005F7346" w:rsidRDefault="005F7346" w:rsidP="005F7346">
      <w:pPr>
        <w:pStyle w:val="ListParagraph"/>
        <w:rPr>
          <w:rFonts w:ascii="Arial" w:hAnsi="Arial" w:cs="Arial"/>
          <w:sz w:val="24"/>
          <w:szCs w:val="24"/>
        </w:rPr>
      </w:pPr>
    </w:p>
    <w:p w14:paraId="390E566D" w14:textId="52136888" w:rsidR="005F7346" w:rsidRPr="00D2139B" w:rsidRDefault="00D2139B" w:rsidP="00D2139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47F0C" w:rsidRPr="00D2139B">
        <w:rPr>
          <w:rFonts w:ascii="Arial" w:hAnsi="Arial" w:cs="Arial"/>
          <w:sz w:val="24"/>
          <w:szCs w:val="24"/>
        </w:rPr>
        <w:t xml:space="preserve">The applicant asserts that </w:t>
      </w:r>
      <w:r w:rsidR="002267E4" w:rsidRPr="00D2139B">
        <w:rPr>
          <w:rFonts w:ascii="Arial" w:hAnsi="Arial" w:cs="Arial"/>
          <w:sz w:val="24"/>
          <w:szCs w:val="24"/>
        </w:rPr>
        <w:t>other organs of state provide tender documents on their websites, free of charge and in accordance with the National Treasury guidelines. I</w:t>
      </w:r>
      <w:r w:rsidR="00E47F0C" w:rsidRPr="00D2139B">
        <w:rPr>
          <w:rFonts w:ascii="Arial" w:hAnsi="Arial" w:cs="Arial"/>
          <w:sz w:val="24"/>
          <w:szCs w:val="24"/>
        </w:rPr>
        <w:t xml:space="preserve">t is entitled to participate in a lawful tender process and argues that it must be granted interim </w:t>
      </w:r>
      <w:r w:rsidR="00E47F0C" w:rsidRPr="00D2139B">
        <w:rPr>
          <w:rFonts w:ascii="Arial" w:hAnsi="Arial" w:cs="Arial"/>
          <w:sz w:val="24"/>
          <w:szCs w:val="24"/>
        </w:rPr>
        <w:lastRenderedPageBreak/>
        <w:t>relief.</w:t>
      </w:r>
      <w:r w:rsidR="002267E4" w:rsidRPr="00D2139B">
        <w:rPr>
          <w:rFonts w:ascii="Arial" w:hAnsi="Arial" w:cs="Arial"/>
          <w:sz w:val="24"/>
          <w:szCs w:val="24"/>
        </w:rPr>
        <w:t xml:space="preserve"> About urgency, the applicant says that the respondent will appoint successful bidders based on an unlawful tender process; this will result in irregular expenditure.</w:t>
      </w:r>
    </w:p>
    <w:p w14:paraId="038BDB00" w14:textId="16B9D226" w:rsidR="005F7346" w:rsidRDefault="005F7346" w:rsidP="005F7346">
      <w:pPr>
        <w:pStyle w:val="ListParagraph"/>
        <w:rPr>
          <w:rFonts w:ascii="Arial" w:hAnsi="Arial" w:cs="Arial"/>
          <w:sz w:val="24"/>
          <w:szCs w:val="24"/>
        </w:rPr>
      </w:pPr>
    </w:p>
    <w:p w14:paraId="71BFABAE" w14:textId="77777777" w:rsidR="002636D3" w:rsidRPr="005F7346" w:rsidRDefault="002636D3" w:rsidP="005F7346">
      <w:pPr>
        <w:pStyle w:val="ListParagraph"/>
        <w:rPr>
          <w:rFonts w:ascii="Arial" w:hAnsi="Arial" w:cs="Arial"/>
          <w:sz w:val="24"/>
          <w:szCs w:val="24"/>
        </w:rPr>
      </w:pPr>
    </w:p>
    <w:p w14:paraId="0720DCAD" w14:textId="77777777" w:rsidR="005F7346" w:rsidRPr="005F7346" w:rsidRDefault="005F7346" w:rsidP="005F7346">
      <w:pPr>
        <w:pStyle w:val="ListParagraph"/>
        <w:rPr>
          <w:rFonts w:ascii="Arial" w:hAnsi="Arial" w:cs="Arial"/>
          <w:i/>
          <w:iCs/>
          <w:sz w:val="24"/>
          <w:szCs w:val="24"/>
        </w:rPr>
      </w:pPr>
    </w:p>
    <w:p w14:paraId="1E9AACF7" w14:textId="4D25EA81" w:rsidR="005F7346" w:rsidRDefault="002267E4" w:rsidP="005F7346">
      <w:pPr>
        <w:pStyle w:val="ListParagraph"/>
        <w:spacing w:line="360" w:lineRule="auto"/>
        <w:ind w:left="0"/>
        <w:jc w:val="both"/>
        <w:rPr>
          <w:rFonts w:ascii="Arial" w:hAnsi="Arial" w:cs="Arial"/>
          <w:i/>
          <w:iCs/>
          <w:sz w:val="24"/>
          <w:szCs w:val="24"/>
        </w:rPr>
      </w:pPr>
      <w:r w:rsidRPr="005F7346">
        <w:rPr>
          <w:rFonts w:ascii="Arial" w:hAnsi="Arial" w:cs="Arial"/>
          <w:i/>
          <w:iCs/>
          <w:sz w:val="24"/>
          <w:szCs w:val="24"/>
        </w:rPr>
        <w:t>Respondent’s case</w:t>
      </w:r>
    </w:p>
    <w:p w14:paraId="6780736A" w14:textId="77777777" w:rsidR="005F7346" w:rsidRPr="005F7346" w:rsidRDefault="005F7346" w:rsidP="005F7346">
      <w:pPr>
        <w:pStyle w:val="ListParagraph"/>
        <w:rPr>
          <w:rFonts w:ascii="Arial" w:hAnsi="Arial" w:cs="Arial"/>
          <w:sz w:val="24"/>
          <w:szCs w:val="24"/>
        </w:rPr>
      </w:pPr>
    </w:p>
    <w:p w14:paraId="69902C31" w14:textId="1586C9CD" w:rsidR="005F7346" w:rsidRPr="00D2139B" w:rsidRDefault="00D2139B" w:rsidP="00D2139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267E4" w:rsidRPr="00D2139B">
        <w:rPr>
          <w:rFonts w:ascii="Arial" w:hAnsi="Arial" w:cs="Arial"/>
          <w:sz w:val="24"/>
          <w:szCs w:val="24"/>
        </w:rPr>
        <w:t xml:space="preserve">The respondent raises two points </w:t>
      </w:r>
      <w:r w:rsidR="002267E4" w:rsidRPr="00D2139B">
        <w:rPr>
          <w:rFonts w:ascii="Arial" w:hAnsi="Arial" w:cs="Arial"/>
          <w:i/>
          <w:iCs/>
          <w:sz w:val="24"/>
          <w:szCs w:val="24"/>
        </w:rPr>
        <w:t xml:space="preserve">in </w:t>
      </w:r>
      <w:proofErr w:type="spellStart"/>
      <w:r w:rsidR="002267E4" w:rsidRPr="00D2139B">
        <w:rPr>
          <w:rFonts w:ascii="Arial" w:hAnsi="Arial" w:cs="Arial"/>
          <w:i/>
          <w:iCs/>
          <w:sz w:val="24"/>
          <w:szCs w:val="24"/>
        </w:rPr>
        <w:t>limine</w:t>
      </w:r>
      <w:proofErr w:type="spellEnd"/>
      <w:r w:rsidR="002267E4" w:rsidRPr="00D2139B">
        <w:rPr>
          <w:rFonts w:ascii="Arial" w:hAnsi="Arial" w:cs="Arial"/>
          <w:sz w:val="24"/>
          <w:szCs w:val="24"/>
        </w:rPr>
        <w:t xml:space="preserve">. It challenges the alleged urgency of the matter, </w:t>
      </w:r>
      <w:r w:rsidR="004E2DDA" w:rsidRPr="00D2139B">
        <w:rPr>
          <w:rFonts w:ascii="Arial" w:hAnsi="Arial" w:cs="Arial"/>
          <w:sz w:val="24"/>
          <w:szCs w:val="24"/>
        </w:rPr>
        <w:t>arguing</w:t>
      </w:r>
      <w:r w:rsidR="002267E4" w:rsidRPr="00D2139B">
        <w:rPr>
          <w:rFonts w:ascii="Arial" w:hAnsi="Arial" w:cs="Arial"/>
          <w:sz w:val="24"/>
          <w:szCs w:val="24"/>
        </w:rPr>
        <w:t xml:space="preserve"> that the applicant </w:t>
      </w:r>
      <w:r w:rsidR="004E2DDA" w:rsidRPr="00D2139B">
        <w:rPr>
          <w:rFonts w:ascii="Arial" w:hAnsi="Arial" w:cs="Arial"/>
          <w:sz w:val="24"/>
          <w:szCs w:val="24"/>
        </w:rPr>
        <w:t xml:space="preserve">has not explained its </w:t>
      </w:r>
      <w:r w:rsidR="002267E4" w:rsidRPr="00D2139B">
        <w:rPr>
          <w:rFonts w:ascii="Arial" w:hAnsi="Arial" w:cs="Arial"/>
          <w:sz w:val="24"/>
          <w:szCs w:val="24"/>
        </w:rPr>
        <w:t xml:space="preserve">delay in </w:t>
      </w:r>
      <w:r w:rsidR="004E2DDA" w:rsidRPr="00D2139B">
        <w:rPr>
          <w:rFonts w:ascii="Arial" w:hAnsi="Arial" w:cs="Arial"/>
          <w:sz w:val="24"/>
          <w:szCs w:val="24"/>
        </w:rPr>
        <w:t>launching the application and pointing out that the possible incurring of irregular expenditure did not render the matter urgent. Furthermore, the respondent asserts that the applicant has failed to join the parties that submitted bids for the tenders in question.</w:t>
      </w:r>
    </w:p>
    <w:p w14:paraId="0EBF4EF1" w14:textId="77777777" w:rsidR="005F7346" w:rsidRDefault="005F7346" w:rsidP="005F7346">
      <w:pPr>
        <w:pStyle w:val="ListParagraph"/>
        <w:spacing w:line="360" w:lineRule="auto"/>
        <w:ind w:left="0"/>
        <w:jc w:val="both"/>
        <w:rPr>
          <w:rFonts w:ascii="Arial" w:hAnsi="Arial" w:cs="Arial"/>
          <w:sz w:val="24"/>
          <w:szCs w:val="24"/>
        </w:rPr>
      </w:pPr>
    </w:p>
    <w:p w14:paraId="5F88923C" w14:textId="35209556" w:rsidR="005F7346" w:rsidRPr="00D2139B" w:rsidRDefault="00D2139B" w:rsidP="00D2139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E2DDA" w:rsidRPr="00D2139B">
        <w:rPr>
          <w:rFonts w:ascii="Arial" w:hAnsi="Arial" w:cs="Arial"/>
          <w:sz w:val="24"/>
          <w:szCs w:val="24"/>
        </w:rPr>
        <w:t xml:space="preserve">Regarding the merits, the respondent says that it is entitled to charge and collect a reasonable fee for tender documents, reflecting the cost of printing and delivery to bidders. The applicant was being unreasonable </w:t>
      </w:r>
      <w:r w:rsidR="00953547" w:rsidRPr="00D2139B">
        <w:rPr>
          <w:rFonts w:ascii="Arial" w:hAnsi="Arial" w:cs="Arial"/>
          <w:sz w:val="24"/>
          <w:szCs w:val="24"/>
        </w:rPr>
        <w:t>in</w:t>
      </w:r>
      <w:r w:rsidR="004E2DDA" w:rsidRPr="00D2139B">
        <w:rPr>
          <w:rFonts w:ascii="Arial" w:hAnsi="Arial" w:cs="Arial"/>
          <w:sz w:val="24"/>
          <w:szCs w:val="24"/>
        </w:rPr>
        <w:t xml:space="preserve"> </w:t>
      </w:r>
      <w:r w:rsidR="00953547" w:rsidRPr="00D2139B">
        <w:rPr>
          <w:rFonts w:ascii="Arial" w:hAnsi="Arial" w:cs="Arial"/>
          <w:sz w:val="24"/>
          <w:szCs w:val="24"/>
        </w:rPr>
        <w:t xml:space="preserve">refusing to pay a modest fee to participate in a tender process from which it stood to </w:t>
      </w:r>
      <w:r w:rsidR="003C5E43" w:rsidRPr="00D2139B">
        <w:rPr>
          <w:rFonts w:ascii="Arial" w:hAnsi="Arial" w:cs="Arial"/>
          <w:sz w:val="24"/>
          <w:szCs w:val="24"/>
        </w:rPr>
        <w:t xml:space="preserve">gain </w:t>
      </w:r>
      <w:r w:rsidR="00953547" w:rsidRPr="00D2139B">
        <w:rPr>
          <w:rFonts w:ascii="Arial" w:hAnsi="Arial" w:cs="Arial"/>
          <w:sz w:val="24"/>
          <w:szCs w:val="24"/>
        </w:rPr>
        <w:t xml:space="preserve">significant income while expending </w:t>
      </w:r>
      <w:r w:rsidR="003C5E43" w:rsidRPr="00D2139B">
        <w:rPr>
          <w:rFonts w:ascii="Arial" w:hAnsi="Arial" w:cs="Arial"/>
          <w:sz w:val="24"/>
          <w:szCs w:val="24"/>
        </w:rPr>
        <w:t>vast sums</w:t>
      </w:r>
      <w:r w:rsidR="00953547" w:rsidRPr="00D2139B">
        <w:rPr>
          <w:rFonts w:ascii="Arial" w:hAnsi="Arial" w:cs="Arial"/>
          <w:sz w:val="24"/>
          <w:szCs w:val="24"/>
        </w:rPr>
        <w:t xml:space="preserve"> of money to institute legal proceedings. </w:t>
      </w:r>
    </w:p>
    <w:p w14:paraId="396319F5" w14:textId="77777777" w:rsidR="005F7346" w:rsidRPr="005F7346" w:rsidRDefault="005F7346" w:rsidP="005F7346">
      <w:pPr>
        <w:pStyle w:val="ListParagraph"/>
        <w:rPr>
          <w:rFonts w:ascii="Arial" w:hAnsi="Arial" w:cs="Arial"/>
          <w:sz w:val="24"/>
          <w:szCs w:val="24"/>
        </w:rPr>
      </w:pPr>
    </w:p>
    <w:p w14:paraId="735F85AB" w14:textId="77777777" w:rsidR="005F7346" w:rsidRPr="005F7346" w:rsidRDefault="005F7346" w:rsidP="005F7346">
      <w:pPr>
        <w:pStyle w:val="ListParagraph"/>
        <w:rPr>
          <w:rFonts w:ascii="Arial" w:hAnsi="Arial" w:cs="Arial"/>
          <w:i/>
          <w:iCs/>
          <w:sz w:val="24"/>
          <w:szCs w:val="24"/>
        </w:rPr>
      </w:pPr>
    </w:p>
    <w:p w14:paraId="0E1452BB" w14:textId="77777777" w:rsidR="005F7346" w:rsidRPr="005F7346" w:rsidRDefault="00FE7F8D" w:rsidP="005F7346">
      <w:pPr>
        <w:pStyle w:val="ListParagraph"/>
        <w:spacing w:line="360" w:lineRule="auto"/>
        <w:ind w:left="0"/>
        <w:jc w:val="both"/>
        <w:rPr>
          <w:rFonts w:ascii="Arial" w:hAnsi="Arial" w:cs="Arial"/>
          <w:sz w:val="24"/>
          <w:szCs w:val="24"/>
        </w:rPr>
      </w:pPr>
      <w:r w:rsidRPr="005F7346">
        <w:rPr>
          <w:rFonts w:ascii="Arial" w:hAnsi="Arial" w:cs="Arial"/>
          <w:i/>
          <w:iCs/>
          <w:sz w:val="24"/>
          <w:szCs w:val="24"/>
        </w:rPr>
        <w:t>In reply</w:t>
      </w:r>
    </w:p>
    <w:p w14:paraId="2DFBF683" w14:textId="77777777" w:rsidR="005F7346" w:rsidRPr="005F7346" w:rsidRDefault="005F7346" w:rsidP="005F7346">
      <w:pPr>
        <w:pStyle w:val="ListParagraph"/>
        <w:rPr>
          <w:rFonts w:ascii="Arial" w:hAnsi="Arial" w:cs="Arial"/>
          <w:sz w:val="24"/>
          <w:szCs w:val="24"/>
        </w:rPr>
      </w:pPr>
    </w:p>
    <w:p w14:paraId="493CCE7F" w14:textId="1CA1615E"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E7F8D" w:rsidRPr="00D2139B">
        <w:rPr>
          <w:rFonts w:ascii="Arial" w:hAnsi="Arial" w:cs="Arial"/>
          <w:sz w:val="24"/>
          <w:szCs w:val="24"/>
        </w:rPr>
        <w:t>The applicant contends, in reply, that any delay (which is denied) was caused by the respondent’s refusal to deal with the applicant’s complaint. The application was launched at about the same time that the tenders closed.</w:t>
      </w:r>
      <w:r w:rsidR="008820FB" w:rsidRPr="00D2139B">
        <w:rPr>
          <w:rFonts w:ascii="Arial" w:hAnsi="Arial" w:cs="Arial"/>
          <w:sz w:val="24"/>
          <w:szCs w:val="24"/>
        </w:rPr>
        <w:t xml:space="preserve"> As to non-joinder, the applicant contends that it was incumbent on the respondent to have provided the names and addresses of the bidders. It has not done so, despite being in possession of the </w:t>
      </w:r>
      <w:r w:rsidR="00BD2E15" w:rsidRPr="00D2139B">
        <w:rPr>
          <w:rFonts w:ascii="Arial" w:hAnsi="Arial" w:cs="Arial"/>
          <w:sz w:val="24"/>
          <w:szCs w:val="24"/>
        </w:rPr>
        <w:t>tender briefing</w:t>
      </w:r>
      <w:r w:rsidR="000848B4" w:rsidRPr="00D2139B">
        <w:rPr>
          <w:rFonts w:ascii="Arial" w:hAnsi="Arial" w:cs="Arial"/>
          <w:sz w:val="24"/>
          <w:szCs w:val="24"/>
        </w:rPr>
        <w:t xml:space="preserve"> and bid opening registers, as well as the </w:t>
      </w:r>
      <w:r w:rsidR="008820FB" w:rsidRPr="00D2139B">
        <w:rPr>
          <w:rFonts w:ascii="Arial" w:hAnsi="Arial" w:cs="Arial"/>
          <w:sz w:val="24"/>
          <w:szCs w:val="24"/>
        </w:rPr>
        <w:t xml:space="preserve">bids </w:t>
      </w:r>
      <w:r w:rsidR="000848B4" w:rsidRPr="00D2139B">
        <w:rPr>
          <w:rFonts w:ascii="Arial" w:hAnsi="Arial" w:cs="Arial"/>
          <w:sz w:val="24"/>
          <w:szCs w:val="24"/>
        </w:rPr>
        <w:t>themselves.</w:t>
      </w:r>
    </w:p>
    <w:p w14:paraId="79B01F68" w14:textId="77777777" w:rsidR="00684B5E" w:rsidRDefault="00684B5E" w:rsidP="00684B5E">
      <w:pPr>
        <w:pStyle w:val="ListParagraph"/>
        <w:spacing w:line="360" w:lineRule="auto"/>
        <w:ind w:left="0"/>
        <w:jc w:val="both"/>
        <w:rPr>
          <w:rFonts w:ascii="Arial" w:hAnsi="Arial" w:cs="Arial"/>
          <w:sz w:val="24"/>
          <w:szCs w:val="24"/>
        </w:rPr>
      </w:pPr>
    </w:p>
    <w:p w14:paraId="6C5BA991" w14:textId="313FCB67" w:rsidR="00684B5E" w:rsidRPr="00D2139B" w:rsidRDefault="00D2139B" w:rsidP="00D2139B">
      <w:pPr>
        <w:spacing w:line="360" w:lineRule="auto"/>
        <w:jc w:val="both"/>
        <w:rPr>
          <w:rFonts w:ascii="Arial" w:hAnsi="Arial" w:cs="Arial"/>
          <w:sz w:val="24"/>
          <w:szCs w:val="24"/>
        </w:rPr>
      </w:pPr>
      <w:r w:rsidRPr="00684B5E">
        <w:rPr>
          <w:rFonts w:ascii="Arial" w:hAnsi="Arial" w:cs="Arial"/>
          <w:sz w:val="24"/>
          <w:szCs w:val="24"/>
        </w:rPr>
        <w:lastRenderedPageBreak/>
        <w:t>[10]</w:t>
      </w:r>
      <w:r w:rsidRPr="00684B5E">
        <w:rPr>
          <w:rFonts w:ascii="Arial" w:hAnsi="Arial" w:cs="Arial"/>
          <w:sz w:val="24"/>
          <w:szCs w:val="24"/>
        </w:rPr>
        <w:tab/>
      </w:r>
      <w:r w:rsidR="000848B4" w:rsidRPr="00D2139B">
        <w:rPr>
          <w:rFonts w:ascii="Arial" w:hAnsi="Arial" w:cs="Arial"/>
          <w:sz w:val="24"/>
          <w:szCs w:val="24"/>
        </w:rPr>
        <w:t>Turning to the merits, the applicant argues that the National Treasury guidelines only permit the sale of tender documents when necessary. The respondent has failed to demonstrate such necessity. The actual costs of printing are considerably lower than the fee charged and collected by the respondent; moreover, the respondent has not accommodated the situation where a bidder wishes to print the tender documents itself, when the respondent is unable to make printed copies available free of charge.</w:t>
      </w:r>
      <w:r w:rsidR="000F1052" w:rsidRPr="00D2139B">
        <w:rPr>
          <w:rFonts w:ascii="Arial" w:hAnsi="Arial" w:cs="Arial"/>
          <w:sz w:val="24"/>
          <w:szCs w:val="24"/>
        </w:rPr>
        <w:t xml:space="preserve"> The applicant insists that </w:t>
      </w:r>
      <w:r w:rsidR="00E44353" w:rsidRPr="00D2139B">
        <w:rPr>
          <w:rFonts w:ascii="Arial" w:hAnsi="Arial" w:cs="Arial"/>
          <w:sz w:val="24"/>
          <w:szCs w:val="24"/>
        </w:rPr>
        <w:t>the respondent has</w:t>
      </w:r>
      <w:r w:rsidR="007B7B16" w:rsidRPr="00D2139B">
        <w:rPr>
          <w:rFonts w:ascii="Arial" w:hAnsi="Arial" w:cs="Arial"/>
          <w:sz w:val="24"/>
          <w:szCs w:val="24"/>
        </w:rPr>
        <w:t xml:space="preserve"> a duty to make the tender documents available on its website, as envisaged in terms of the standard conditions of tender that applied.</w:t>
      </w:r>
    </w:p>
    <w:p w14:paraId="1BC58ED4" w14:textId="7A97AB3C" w:rsidR="00684B5E" w:rsidRPr="00684B5E" w:rsidRDefault="00BA2412" w:rsidP="00684B5E">
      <w:pPr>
        <w:pStyle w:val="ListParagraph"/>
        <w:spacing w:line="360" w:lineRule="auto"/>
        <w:ind w:left="0"/>
        <w:jc w:val="both"/>
        <w:rPr>
          <w:rFonts w:ascii="Arial" w:hAnsi="Arial" w:cs="Arial"/>
          <w:sz w:val="24"/>
          <w:szCs w:val="24"/>
        </w:rPr>
      </w:pPr>
      <w:r w:rsidRPr="00684B5E">
        <w:rPr>
          <w:rFonts w:ascii="Arial" w:hAnsi="Arial" w:cs="Arial"/>
          <w:b/>
          <w:bCs/>
          <w:sz w:val="24"/>
          <w:szCs w:val="24"/>
        </w:rPr>
        <w:t>History of proceedings</w:t>
      </w:r>
    </w:p>
    <w:p w14:paraId="3E6FB97A" w14:textId="77777777" w:rsidR="00684B5E" w:rsidRPr="00684B5E" w:rsidRDefault="00684B5E" w:rsidP="00684B5E">
      <w:pPr>
        <w:pStyle w:val="ListParagraph"/>
        <w:rPr>
          <w:rFonts w:ascii="Arial" w:hAnsi="Arial" w:cs="Arial"/>
          <w:sz w:val="24"/>
          <w:szCs w:val="24"/>
        </w:rPr>
      </w:pPr>
    </w:p>
    <w:p w14:paraId="692A6A08" w14:textId="48C26339"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A2412" w:rsidRPr="00D2139B">
        <w:rPr>
          <w:rFonts w:ascii="Arial" w:hAnsi="Arial" w:cs="Arial"/>
          <w:sz w:val="24"/>
          <w:szCs w:val="24"/>
        </w:rPr>
        <w:t xml:space="preserve">The application was enrolled for hearing on </w:t>
      </w:r>
      <w:r w:rsidR="00BB4347" w:rsidRPr="00D2139B">
        <w:rPr>
          <w:rFonts w:ascii="Arial" w:hAnsi="Arial" w:cs="Arial"/>
          <w:sz w:val="24"/>
          <w:szCs w:val="24"/>
        </w:rPr>
        <w:t xml:space="preserve">12 July 2022 but fell to be </w:t>
      </w:r>
      <w:r w:rsidR="00BA2412" w:rsidRPr="00D2139B">
        <w:rPr>
          <w:rFonts w:ascii="Arial" w:hAnsi="Arial" w:cs="Arial"/>
          <w:sz w:val="24"/>
          <w:szCs w:val="24"/>
        </w:rPr>
        <w:t xml:space="preserve">struck from the roll by </w:t>
      </w:r>
      <w:proofErr w:type="spellStart"/>
      <w:r w:rsidR="00BA2412" w:rsidRPr="00D2139B">
        <w:rPr>
          <w:rFonts w:ascii="Arial" w:hAnsi="Arial" w:cs="Arial"/>
          <w:sz w:val="24"/>
          <w:szCs w:val="24"/>
        </w:rPr>
        <w:t>Tokota</w:t>
      </w:r>
      <w:proofErr w:type="spellEnd"/>
      <w:r w:rsidR="00BA2412" w:rsidRPr="00D2139B">
        <w:rPr>
          <w:rFonts w:ascii="Arial" w:hAnsi="Arial" w:cs="Arial"/>
          <w:sz w:val="24"/>
          <w:szCs w:val="24"/>
        </w:rPr>
        <w:t xml:space="preserve"> </w:t>
      </w:r>
      <w:r w:rsidR="00BB4347" w:rsidRPr="00D2139B">
        <w:rPr>
          <w:rFonts w:ascii="Arial" w:hAnsi="Arial" w:cs="Arial"/>
          <w:sz w:val="24"/>
          <w:szCs w:val="24"/>
        </w:rPr>
        <w:t>J for lack of a proper index and pagination</w:t>
      </w:r>
      <w:r w:rsidR="00BA2412" w:rsidRPr="00D2139B">
        <w:rPr>
          <w:rFonts w:ascii="Arial" w:hAnsi="Arial" w:cs="Arial"/>
          <w:sz w:val="24"/>
          <w:szCs w:val="24"/>
        </w:rPr>
        <w:t xml:space="preserve">. </w:t>
      </w:r>
    </w:p>
    <w:p w14:paraId="3F469F44" w14:textId="77777777" w:rsidR="00E44353" w:rsidRDefault="00E44353" w:rsidP="00E44353">
      <w:pPr>
        <w:pStyle w:val="ListParagraph"/>
        <w:spacing w:line="360" w:lineRule="auto"/>
        <w:ind w:left="0"/>
        <w:jc w:val="both"/>
        <w:rPr>
          <w:rFonts w:ascii="Arial" w:hAnsi="Arial" w:cs="Arial"/>
          <w:sz w:val="24"/>
          <w:szCs w:val="24"/>
        </w:rPr>
      </w:pPr>
    </w:p>
    <w:p w14:paraId="072AE9C2" w14:textId="6A51997C"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A2412" w:rsidRPr="00D2139B">
        <w:rPr>
          <w:rFonts w:ascii="Arial" w:hAnsi="Arial" w:cs="Arial"/>
          <w:sz w:val="24"/>
          <w:szCs w:val="24"/>
        </w:rPr>
        <w:t xml:space="preserve">The applicant subsequently brought an interlocutory application, termed a notice of reinstatement, by means of which it sought to obtain an order that, </w:t>
      </w:r>
      <w:r w:rsidR="00BA2412" w:rsidRPr="00D2139B">
        <w:rPr>
          <w:rFonts w:ascii="Arial" w:hAnsi="Arial" w:cs="Arial"/>
          <w:i/>
          <w:iCs/>
          <w:sz w:val="24"/>
          <w:szCs w:val="24"/>
        </w:rPr>
        <w:t>inter alia</w:t>
      </w:r>
      <w:r w:rsidR="00BA2412" w:rsidRPr="00D2139B">
        <w:rPr>
          <w:rFonts w:ascii="Arial" w:hAnsi="Arial" w:cs="Arial"/>
          <w:sz w:val="24"/>
          <w:szCs w:val="24"/>
        </w:rPr>
        <w:t xml:space="preserve">: directed the respondent to furnish the tender briefing and bid opening registers; directed the applicant to serve a copy of the application upon the bidders for the tenders in question; and joined such bidders to the proceedings. </w:t>
      </w:r>
    </w:p>
    <w:p w14:paraId="6F9D6D3D" w14:textId="77777777" w:rsidR="00684B5E" w:rsidRDefault="00684B5E" w:rsidP="00684B5E">
      <w:pPr>
        <w:pStyle w:val="ListParagraph"/>
        <w:spacing w:line="360" w:lineRule="auto"/>
        <w:ind w:left="0"/>
        <w:jc w:val="both"/>
        <w:rPr>
          <w:rFonts w:ascii="Arial" w:hAnsi="Arial" w:cs="Arial"/>
          <w:sz w:val="24"/>
          <w:szCs w:val="24"/>
        </w:rPr>
      </w:pPr>
    </w:p>
    <w:p w14:paraId="0554FE46" w14:textId="38B1A33A"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A2412" w:rsidRPr="00D2139B">
        <w:rPr>
          <w:rFonts w:ascii="Arial" w:hAnsi="Arial" w:cs="Arial"/>
          <w:sz w:val="24"/>
          <w:szCs w:val="24"/>
        </w:rPr>
        <w:t xml:space="preserve">When the interlocutory application </w:t>
      </w:r>
      <w:r w:rsidR="00BB4347" w:rsidRPr="00D2139B">
        <w:rPr>
          <w:rFonts w:ascii="Arial" w:hAnsi="Arial" w:cs="Arial"/>
          <w:sz w:val="24"/>
          <w:szCs w:val="24"/>
        </w:rPr>
        <w:t xml:space="preserve">was heard </w:t>
      </w:r>
      <w:r w:rsidR="00BA2412" w:rsidRPr="00D2139B">
        <w:rPr>
          <w:rFonts w:ascii="Arial" w:hAnsi="Arial" w:cs="Arial"/>
          <w:sz w:val="24"/>
          <w:szCs w:val="24"/>
        </w:rPr>
        <w:t>on 10 August 2022, the relief sought in terms thereof was refused</w:t>
      </w:r>
      <w:r w:rsidR="00BB4347" w:rsidRPr="00D2139B">
        <w:rPr>
          <w:rFonts w:ascii="Arial" w:hAnsi="Arial" w:cs="Arial"/>
          <w:sz w:val="24"/>
          <w:szCs w:val="24"/>
        </w:rPr>
        <w:t xml:space="preserve"> by </w:t>
      </w:r>
      <w:proofErr w:type="spellStart"/>
      <w:r w:rsidR="00BB4347" w:rsidRPr="00D2139B">
        <w:rPr>
          <w:rFonts w:ascii="Arial" w:hAnsi="Arial" w:cs="Arial"/>
          <w:sz w:val="24"/>
          <w:szCs w:val="24"/>
        </w:rPr>
        <w:t>Zilwa</w:t>
      </w:r>
      <w:proofErr w:type="spellEnd"/>
      <w:r w:rsidR="00BB4347" w:rsidRPr="00D2139B">
        <w:rPr>
          <w:rFonts w:ascii="Arial" w:hAnsi="Arial" w:cs="Arial"/>
          <w:sz w:val="24"/>
          <w:szCs w:val="24"/>
        </w:rPr>
        <w:t xml:space="preserve"> J</w:t>
      </w:r>
      <w:r w:rsidR="00BA2412" w:rsidRPr="00D2139B">
        <w:rPr>
          <w:rFonts w:ascii="Arial" w:hAnsi="Arial" w:cs="Arial"/>
          <w:sz w:val="24"/>
          <w:szCs w:val="24"/>
        </w:rPr>
        <w:t>. The main application, only, was reinstated for hearing on 23 August 2022.</w:t>
      </w:r>
    </w:p>
    <w:p w14:paraId="2A2B1822" w14:textId="77777777" w:rsidR="00684B5E" w:rsidRPr="00684B5E" w:rsidRDefault="00684B5E" w:rsidP="00684B5E">
      <w:pPr>
        <w:pStyle w:val="ListParagraph"/>
        <w:rPr>
          <w:rFonts w:ascii="Arial" w:hAnsi="Arial" w:cs="Arial"/>
          <w:sz w:val="24"/>
          <w:szCs w:val="24"/>
        </w:rPr>
      </w:pPr>
    </w:p>
    <w:p w14:paraId="55E3ADAD" w14:textId="77777777" w:rsidR="00684B5E" w:rsidRPr="00684B5E" w:rsidRDefault="00684B5E" w:rsidP="00684B5E">
      <w:pPr>
        <w:pStyle w:val="ListParagraph"/>
        <w:rPr>
          <w:rFonts w:ascii="Arial" w:hAnsi="Arial" w:cs="Arial"/>
          <w:b/>
          <w:bCs/>
          <w:sz w:val="24"/>
          <w:szCs w:val="24"/>
        </w:rPr>
      </w:pPr>
    </w:p>
    <w:p w14:paraId="1157BD0E" w14:textId="77777777" w:rsidR="00684B5E" w:rsidRPr="00684B5E" w:rsidRDefault="00385671" w:rsidP="00684B5E">
      <w:pPr>
        <w:pStyle w:val="ListParagraph"/>
        <w:spacing w:line="360" w:lineRule="auto"/>
        <w:ind w:left="0"/>
        <w:jc w:val="both"/>
        <w:rPr>
          <w:rFonts w:ascii="Arial" w:hAnsi="Arial" w:cs="Arial"/>
          <w:sz w:val="24"/>
          <w:szCs w:val="24"/>
        </w:rPr>
      </w:pPr>
      <w:r w:rsidRPr="00684B5E">
        <w:rPr>
          <w:rFonts w:ascii="Arial" w:hAnsi="Arial" w:cs="Arial"/>
          <w:b/>
          <w:bCs/>
          <w:sz w:val="24"/>
          <w:szCs w:val="24"/>
        </w:rPr>
        <w:t>Issues to be decided</w:t>
      </w:r>
    </w:p>
    <w:p w14:paraId="7397CE6B" w14:textId="77777777" w:rsidR="00684B5E" w:rsidRPr="00684B5E" w:rsidRDefault="00684B5E" w:rsidP="00684B5E">
      <w:pPr>
        <w:pStyle w:val="ListParagraph"/>
        <w:rPr>
          <w:rFonts w:ascii="Arial" w:hAnsi="Arial" w:cs="Arial"/>
          <w:sz w:val="24"/>
          <w:szCs w:val="24"/>
        </w:rPr>
      </w:pPr>
    </w:p>
    <w:p w14:paraId="783F9108" w14:textId="458F2A91"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85671" w:rsidRPr="00D2139B">
        <w:rPr>
          <w:rFonts w:ascii="Arial" w:hAnsi="Arial" w:cs="Arial"/>
          <w:sz w:val="24"/>
          <w:szCs w:val="24"/>
        </w:rPr>
        <w:t xml:space="preserve">The </w:t>
      </w:r>
      <w:r w:rsidR="00BD2E15" w:rsidRPr="00D2139B">
        <w:rPr>
          <w:rFonts w:ascii="Arial" w:hAnsi="Arial" w:cs="Arial"/>
          <w:sz w:val="24"/>
          <w:szCs w:val="24"/>
        </w:rPr>
        <w:t xml:space="preserve">points </w:t>
      </w:r>
      <w:r w:rsidR="00BD2E15" w:rsidRPr="00D2139B">
        <w:rPr>
          <w:rFonts w:ascii="Arial" w:hAnsi="Arial" w:cs="Arial"/>
          <w:i/>
          <w:iCs/>
          <w:sz w:val="24"/>
          <w:szCs w:val="24"/>
        </w:rPr>
        <w:t xml:space="preserve">in </w:t>
      </w:r>
      <w:proofErr w:type="spellStart"/>
      <w:r w:rsidR="00BD2E15" w:rsidRPr="00D2139B">
        <w:rPr>
          <w:rFonts w:ascii="Arial" w:hAnsi="Arial" w:cs="Arial"/>
          <w:i/>
          <w:iCs/>
          <w:sz w:val="24"/>
          <w:szCs w:val="24"/>
        </w:rPr>
        <w:t>limine</w:t>
      </w:r>
      <w:proofErr w:type="spellEnd"/>
      <w:r w:rsidR="00BD2E15" w:rsidRPr="00D2139B">
        <w:rPr>
          <w:rFonts w:ascii="Arial" w:hAnsi="Arial" w:cs="Arial"/>
          <w:sz w:val="24"/>
          <w:szCs w:val="24"/>
        </w:rPr>
        <w:t xml:space="preserve"> must be determined at the outset. These could prove decisive, failing which the court would need to determine the merits of the matter, which pertain to </w:t>
      </w:r>
      <w:r w:rsidR="00BD2E15" w:rsidRPr="00D2139B">
        <w:rPr>
          <w:rFonts w:ascii="Arial" w:hAnsi="Arial" w:cs="Arial"/>
          <w:sz w:val="24"/>
          <w:szCs w:val="24"/>
        </w:rPr>
        <w:lastRenderedPageBreak/>
        <w:t>the crisp issue of whether the respondent’s sale of the tender documents, without making them available free of charge, is unlawful.</w:t>
      </w:r>
    </w:p>
    <w:p w14:paraId="10C389D9" w14:textId="77777777" w:rsidR="00684B5E" w:rsidRDefault="00684B5E" w:rsidP="00684B5E">
      <w:pPr>
        <w:pStyle w:val="ListParagraph"/>
        <w:spacing w:line="360" w:lineRule="auto"/>
        <w:ind w:left="0"/>
        <w:jc w:val="both"/>
        <w:rPr>
          <w:rFonts w:ascii="Arial" w:hAnsi="Arial" w:cs="Arial"/>
          <w:sz w:val="24"/>
          <w:szCs w:val="24"/>
        </w:rPr>
      </w:pPr>
    </w:p>
    <w:p w14:paraId="629EF62D" w14:textId="5B8CB873"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A2412" w:rsidRPr="00D2139B">
        <w:rPr>
          <w:rFonts w:ascii="Arial" w:hAnsi="Arial" w:cs="Arial"/>
          <w:sz w:val="24"/>
          <w:szCs w:val="24"/>
        </w:rPr>
        <w:t xml:space="preserve">From the history of the matter, </w:t>
      </w:r>
      <w:r w:rsidR="00BB4347" w:rsidRPr="00D2139B">
        <w:rPr>
          <w:rFonts w:ascii="Arial" w:hAnsi="Arial" w:cs="Arial"/>
          <w:sz w:val="24"/>
          <w:szCs w:val="24"/>
        </w:rPr>
        <w:t>non-</w:t>
      </w:r>
      <w:r w:rsidR="00BA2412" w:rsidRPr="00D2139B">
        <w:rPr>
          <w:rFonts w:ascii="Arial" w:hAnsi="Arial" w:cs="Arial"/>
          <w:sz w:val="24"/>
          <w:szCs w:val="24"/>
        </w:rPr>
        <w:t>joinder is an issue that is very relevant to the proceedings.</w:t>
      </w:r>
    </w:p>
    <w:p w14:paraId="486BB953" w14:textId="77777777" w:rsidR="00684B5E" w:rsidRPr="00684B5E" w:rsidRDefault="00684B5E" w:rsidP="00684B5E">
      <w:pPr>
        <w:pStyle w:val="ListParagraph"/>
        <w:rPr>
          <w:rFonts w:ascii="Arial" w:hAnsi="Arial" w:cs="Arial"/>
          <w:sz w:val="24"/>
          <w:szCs w:val="24"/>
        </w:rPr>
      </w:pPr>
    </w:p>
    <w:p w14:paraId="0A338F8D" w14:textId="77777777" w:rsidR="00684B5E" w:rsidRPr="00684B5E" w:rsidRDefault="00684B5E" w:rsidP="00684B5E">
      <w:pPr>
        <w:pStyle w:val="ListParagraph"/>
        <w:rPr>
          <w:rFonts w:ascii="Arial" w:hAnsi="Arial" w:cs="Arial"/>
          <w:b/>
          <w:bCs/>
          <w:sz w:val="24"/>
          <w:szCs w:val="24"/>
        </w:rPr>
      </w:pPr>
    </w:p>
    <w:p w14:paraId="4AB530B5" w14:textId="77777777" w:rsidR="00684B5E" w:rsidRPr="00684B5E" w:rsidRDefault="00BB4347" w:rsidP="00684B5E">
      <w:pPr>
        <w:pStyle w:val="ListParagraph"/>
        <w:spacing w:line="360" w:lineRule="auto"/>
        <w:ind w:left="0"/>
        <w:jc w:val="both"/>
        <w:rPr>
          <w:rFonts w:ascii="Arial" w:hAnsi="Arial" w:cs="Arial"/>
          <w:sz w:val="24"/>
          <w:szCs w:val="24"/>
        </w:rPr>
      </w:pPr>
      <w:r w:rsidRPr="00684B5E">
        <w:rPr>
          <w:rFonts w:ascii="Arial" w:hAnsi="Arial" w:cs="Arial"/>
          <w:b/>
          <w:bCs/>
          <w:sz w:val="24"/>
          <w:szCs w:val="24"/>
        </w:rPr>
        <w:t>Non-joinder</w:t>
      </w:r>
    </w:p>
    <w:p w14:paraId="5EA84D9E" w14:textId="77777777" w:rsidR="00684B5E" w:rsidRPr="00684B5E" w:rsidRDefault="00684B5E" w:rsidP="00684B5E">
      <w:pPr>
        <w:pStyle w:val="ListParagraph"/>
        <w:rPr>
          <w:rFonts w:ascii="Arial" w:hAnsi="Arial" w:cs="Arial"/>
          <w:sz w:val="24"/>
          <w:szCs w:val="24"/>
        </w:rPr>
      </w:pPr>
    </w:p>
    <w:p w14:paraId="61DE7538" w14:textId="46D0AB49" w:rsidR="00BB4347" w:rsidRPr="00D2139B" w:rsidRDefault="00D2139B" w:rsidP="00D2139B">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24815" w:rsidRPr="00D2139B">
        <w:rPr>
          <w:rFonts w:ascii="Arial" w:hAnsi="Arial" w:cs="Arial"/>
          <w:sz w:val="24"/>
          <w:szCs w:val="24"/>
        </w:rPr>
        <w:t xml:space="preserve">The test </w:t>
      </w:r>
      <w:r w:rsidR="002B61A7" w:rsidRPr="00D2139B">
        <w:rPr>
          <w:rFonts w:ascii="Arial" w:hAnsi="Arial" w:cs="Arial"/>
          <w:sz w:val="24"/>
          <w:szCs w:val="24"/>
        </w:rPr>
        <w:t xml:space="preserve">for joinder </w:t>
      </w:r>
      <w:r w:rsidR="00624815" w:rsidRPr="00D2139B">
        <w:rPr>
          <w:rFonts w:ascii="Arial" w:hAnsi="Arial" w:cs="Arial"/>
          <w:sz w:val="24"/>
          <w:szCs w:val="24"/>
        </w:rPr>
        <w:t xml:space="preserve">has been distilled to the following: </w:t>
      </w:r>
      <w:r w:rsidR="00BB7BBE" w:rsidRPr="00D2139B">
        <w:rPr>
          <w:rFonts w:ascii="Arial" w:hAnsi="Arial" w:cs="Arial"/>
          <w:sz w:val="24"/>
          <w:szCs w:val="24"/>
        </w:rPr>
        <w:t xml:space="preserve">any person is a necessary party and should be joined if such person </w:t>
      </w:r>
      <w:r w:rsidR="002B61A7" w:rsidRPr="00D2139B">
        <w:rPr>
          <w:rFonts w:ascii="Arial" w:hAnsi="Arial" w:cs="Arial"/>
          <w:sz w:val="24"/>
          <w:szCs w:val="24"/>
        </w:rPr>
        <w:t>has a direct and substantial interest in any order that the court might make; alternatively, if such an order cannot be sustained or carried into effect without prejudicing such person, unless he or she has waived the right to be joined.</w:t>
      </w:r>
      <w:r w:rsidR="002B61A7">
        <w:rPr>
          <w:rStyle w:val="FootnoteReference"/>
          <w:rFonts w:ascii="Arial" w:hAnsi="Arial" w:cs="Arial"/>
          <w:sz w:val="24"/>
          <w:szCs w:val="24"/>
        </w:rPr>
        <w:footnoteReference w:id="1"/>
      </w:r>
    </w:p>
    <w:p w14:paraId="36FF8DEA" w14:textId="77777777" w:rsidR="002636D3" w:rsidRPr="00684B5E" w:rsidRDefault="002636D3" w:rsidP="002636D3">
      <w:pPr>
        <w:pStyle w:val="ListParagraph"/>
        <w:spacing w:line="360" w:lineRule="auto"/>
        <w:ind w:left="0"/>
        <w:jc w:val="both"/>
        <w:rPr>
          <w:rFonts w:ascii="Arial" w:hAnsi="Arial" w:cs="Arial"/>
          <w:sz w:val="24"/>
          <w:szCs w:val="24"/>
        </w:rPr>
      </w:pPr>
    </w:p>
    <w:p w14:paraId="3193A26E" w14:textId="7F5FB05F" w:rsidR="004368A8" w:rsidRPr="00D2139B" w:rsidRDefault="00D2139B" w:rsidP="00D2139B">
      <w:pPr>
        <w:spacing w:line="360" w:lineRule="auto"/>
        <w:jc w:val="both"/>
        <w:rPr>
          <w:rFonts w:ascii="Arial" w:hAnsi="Arial" w:cs="Arial"/>
          <w:sz w:val="24"/>
          <w:szCs w:val="24"/>
        </w:rPr>
      </w:pPr>
      <w:r w:rsidRPr="00684B5E">
        <w:rPr>
          <w:rFonts w:ascii="Arial" w:hAnsi="Arial" w:cs="Arial"/>
          <w:sz w:val="24"/>
          <w:szCs w:val="24"/>
        </w:rPr>
        <w:t>[17]</w:t>
      </w:r>
      <w:r w:rsidRPr="00684B5E">
        <w:rPr>
          <w:rFonts w:ascii="Arial" w:hAnsi="Arial" w:cs="Arial"/>
          <w:sz w:val="24"/>
          <w:szCs w:val="24"/>
        </w:rPr>
        <w:tab/>
      </w:r>
      <w:r w:rsidR="004368A8" w:rsidRPr="00D2139B">
        <w:rPr>
          <w:rFonts w:ascii="Arial" w:hAnsi="Arial" w:cs="Arial"/>
          <w:sz w:val="24"/>
          <w:szCs w:val="24"/>
        </w:rPr>
        <w:t xml:space="preserve">The issue can become complicated where numerous parties are affected. In </w:t>
      </w:r>
      <w:r w:rsidR="004368A8" w:rsidRPr="00D2139B">
        <w:rPr>
          <w:rFonts w:ascii="Arial" w:hAnsi="Arial" w:cs="Arial"/>
          <w:i/>
          <w:iCs/>
          <w:sz w:val="24"/>
          <w:szCs w:val="24"/>
        </w:rPr>
        <w:t>Road Accident Fund v Legal Practice Council</w:t>
      </w:r>
      <w:r w:rsidR="004368A8" w:rsidRPr="00D2139B">
        <w:rPr>
          <w:rFonts w:ascii="Arial" w:hAnsi="Arial" w:cs="Arial"/>
          <w:sz w:val="24"/>
          <w:szCs w:val="24"/>
        </w:rPr>
        <w:t>,</w:t>
      </w:r>
      <w:r w:rsidR="004368A8">
        <w:rPr>
          <w:rStyle w:val="FootnoteReference"/>
          <w:rFonts w:ascii="Arial" w:hAnsi="Arial" w:cs="Arial"/>
          <w:sz w:val="24"/>
          <w:szCs w:val="24"/>
        </w:rPr>
        <w:footnoteReference w:id="2"/>
      </w:r>
      <w:r w:rsidR="004368A8" w:rsidRPr="00D2139B">
        <w:rPr>
          <w:rFonts w:ascii="Arial" w:hAnsi="Arial" w:cs="Arial"/>
          <w:sz w:val="24"/>
          <w:szCs w:val="24"/>
        </w:rPr>
        <w:t xml:space="preserve"> the parties took </w:t>
      </w:r>
      <w:r w:rsidR="00EE5F57" w:rsidRPr="00D2139B">
        <w:rPr>
          <w:rFonts w:ascii="Arial" w:hAnsi="Arial" w:cs="Arial"/>
          <w:sz w:val="24"/>
          <w:szCs w:val="24"/>
        </w:rPr>
        <w:t xml:space="preserve">various </w:t>
      </w:r>
      <w:r w:rsidR="004368A8" w:rsidRPr="00D2139B">
        <w:rPr>
          <w:rFonts w:ascii="Arial" w:hAnsi="Arial" w:cs="Arial"/>
          <w:sz w:val="24"/>
          <w:szCs w:val="24"/>
        </w:rPr>
        <w:t xml:space="preserve">steps to notify </w:t>
      </w:r>
      <w:r w:rsidR="00EE5F57" w:rsidRPr="00D2139B">
        <w:rPr>
          <w:rFonts w:ascii="Arial" w:hAnsi="Arial" w:cs="Arial"/>
          <w:sz w:val="24"/>
          <w:szCs w:val="24"/>
        </w:rPr>
        <w:t xml:space="preserve">(potential) </w:t>
      </w:r>
      <w:r w:rsidR="004368A8" w:rsidRPr="00D2139B">
        <w:rPr>
          <w:rFonts w:ascii="Arial" w:hAnsi="Arial" w:cs="Arial"/>
          <w:sz w:val="24"/>
          <w:szCs w:val="24"/>
        </w:rPr>
        <w:t xml:space="preserve">necessary parties </w:t>
      </w:r>
      <w:r w:rsidR="00EE5F57" w:rsidRPr="00D2139B">
        <w:rPr>
          <w:rFonts w:ascii="Arial" w:hAnsi="Arial" w:cs="Arial"/>
          <w:sz w:val="24"/>
          <w:szCs w:val="24"/>
        </w:rPr>
        <w:t>about the relief that was sought. The court held as follows:</w:t>
      </w:r>
    </w:p>
    <w:p w14:paraId="7FDF167E" w14:textId="41AC5D35" w:rsidR="00EE5F57" w:rsidRPr="00EC6FF8" w:rsidRDefault="00EE5F57" w:rsidP="00684B5E">
      <w:pPr>
        <w:spacing w:line="360" w:lineRule="auto"/>
        <w:ind w:left="720"/>
        <w:jc w:val="both"/>
        <w:rPr>
          <w:rFonts w:ascii="Arial" w:hAnsi="Arial" w:cs="Arial"/>
          <w:sz w:val="20"/>
          <w:szCs w:val="20"/>
        </w:rPr>
      </w:pPr>
      <w:r w:rsidRPr="00EC6FF8">
        <w:rPr>
          <w:rFonts w:ascii="Arial" w:hAnsi="Arial" w:cs="Arial"/>
          <w:sz w:val="20"/>
          <w:szCs w:val="20"/>
        </w:rPr>
        <w:t xml:space="preserve">‘[t]his matter, in my view, </w:t>
      </w:r>
      <w:r w:rsidR="00622D23" w:rsidRPr="00EC6FF8">
        <w:rPr>
          <w:rFonts w:ascii="Arial" w:hAnsi="Arial" w:cs="Arial"/>
          <w:sz w:val="20"/>
          <w:szCs w:val="20"/>
        </w:rPr>
        <w:t xml:space="preserve">is one where the joinder </w:t>
      </w:r>
      <w:r w:rsidR="00270144" w:rsidRPr="00EC6FF8">
        <w:rPr>
          <w:rFonts w:ascii="Arial" w:hAnsi="Arial" w:cs="Arial"/>
          <w:sz w:val="20"/>
          <w:szCs w:val="20"/>
        </w:rPr>
        <w:t xml:space="preserve">of the many thousands of parties, that could be affected by the order of this court, is unnecessary in the light of the steps taken by the RAF to notify as many parties of its application as possible. The steps taken are adequate. The number of affected parties is substantial, and the steps taken by the RAF to notify the sheer volume of parties that could be affected were sufficient to </w:t>
      </w:r>
      <w:proofErr w:type="gramStart"/>
      <w:r w:rsidR="00270144" w:rsidRPr="00EC6FF8">
        <w:rPr>
          <w:rFonts w:ascii="Arial" w:hAnsi="Arial" w:cs="Arial"/>
          <w:sz w:val="20"/>
          <w:szCs w:val="20"/>
        </w:rPr>
        <w:t>effect</w:t>
      </w:r>
      <w:proofErr w:type="gramEnd"/>
      <w:r w:rsidR="00270144" w:rsidRPr="00EC6FF8">
        <w:rPr>
          <w:rFonts w:ascii="Arial" w:hAnsi="Arial" w:cs="Arial"/>
          <w:sz w:val="20"/>
          <w:szCs w:val="20"/>
        </w:rPr>
        <w:t xml:space="preserve"> their joinder. Only the seventeenth to twenty-third respondents responded and were joined in these proceedings. The failure to respond by those who were notified can be taken to equate to a waiver of the right to be joined.’</w:t>
      </w:r>
    </w:p>
    <w:p w14:paraId="39685CA8" w14:textId="77777777" w:rsidR="00EC6FF8" w:rsidRDefault="00EC6FF8" w:rsidP="00EC3227">
      <w:pPr>
        <w:spacing w:line="360" w:lineRule="auto"/>
        <w:rPr>
          <w:rFonts w:ascii="Arial" w:hAnsi="Arial" w:cs="Arial"/>
          <w:sz w:val="24"/>
          <w:szCs w:val="24"/>
        </w:rPr>
      </w:pPr>
    </w:p>
    <w:p w14:paraId="08C1A267" w14:textId="3E6FC8E5" w:rsidR="00684B5E" w:rsidRPr="00D2139B" w:rsidRDefault="00D2139B" w:rsidP="00D2139B">
      <w:pPr>
        <w:spacing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EC6FF8" w:rsidRPr="00D2139B">
        <w:rPr>
          <w:rFonts w:ascii="Arial" w:hAnsi="Arial" w:cs="Arial"/>
          <w:sz w:val="24"/>
          <w:szCs w:val="24"/>
        </w:rPr>
        <w:t>Even</w:t>
      </w:r>
      <w:r w:rsidR="00270144" w:rsidRPr="00D2139B">
        <w:rPr>
          <w:rFonts w:ascii="Arial" w:hAnsi="Arial" w:cs="Arial"/>
          <w:sz w:val="24"/>
          <w:szCs w:val="24"/>
        </w:rPr>
        <w:t xml:space="preserve"> informal notification of </w:t>
      </w:r>
      <w:r w:rsidR="00EC6FF8" w:rsidRPr="00D2139B">
        <w:rPr>
          <w:rFonts w:ascii="Arial" w:hAnsi="Arial" w:cs="Arial"/>
          <w:sz w:val="24"/>
          <w:szCs w:val="24"/>
        </w:rPr>
        <w:t xml:space="preserve">a </w:t>
      </w:r>
      <w:r w:rsidR="00270144" w:rsidRPr="00D2139B">
        <w:rPr>
          <w:rFonts w:ascii="Arial" w:hAnsi="Arial" w:cs="Arial"/>
          <w:sz w:val="24"/>
          <w:szCs w:val="24"/>
        </w:rPr>
        <w:t>necessary part</w:t>
      </w:r>
      <w:r w:rsidR="00EC6FF8" w:rsidRPr="00D2139B">
        <w:rPr>
          <w:rFonts w:ascii="Arial" w:hAnsi="Arial" w:cs="Arial"/>
          <w:sz w:val="24"/>
          <w:szCs w:val="24"/>
        </w:rPr>
        <w:t>y</w:t>
      </w:r>
      <w:r w:rsidR="00270144" w:rsidRPr="00D2139B">
        <w:rPr>
          <w:rFonts w:ascii="Arial" w:hAnsi="Arial" w:cs="Arial"/>
          <w:sz w:val="24"/>
          <w:szCs w:val="24"/>
        </w:rPr>
        <w:t xml:space="preserve"> may suffice</w:t>
      </w:r>
      <w:r w:rsidR="00EC6FF8" w:rsidRPr="00D2139B">
        <w:rPr>
          <w:rFonts w:ascii="Arial" w:hAnsi="Arial" w:cs="Arial"/>
          <w:sz w:val="24"/>
          <w:szCs w:val="24"/>
        </w:rPr>
        <w:t xml:space="preserve"> in circumstances where the party has indicated, unequivocally, that it will abide by the decision of the court.</w:t>
      </w:r>
      <w:r w:rsidR="00EC6FF8">
        <w:rPr>
          <w:rStyle w:val="FootnoteReference"/>
          <w:rFonts w:ascii="Arial" w:hAnsi="Arial" w:cs="Arial"/>
          <w:sz w:val="24"/>
          <w:szCs w:val="24"/>
        </w:rPr>
        <w:footnoteReference w:id="3"/>
      </w:r>
      <w:r w:rsidR="00FE7476" w:rsidRPr="00D2139B">
        <w:rPr>
          <w:rFonts w:ascii="Arial" w:hAnsi="Arial" w:cs="Arial"/>
          <w:sz w:val="24"/>
          <w:szCs w:val="24"/>
        </w:rPr>
        <w:t xml:space="preserve"> The point is that notification</w:t>
      </w:r>
      <w:r w:rsidR="002A4F60" w:rsidRPr="00D2139B">
        <w:rPr>
          <w:rFonts w:ascii="Arial" w:hAnsi="Arial" w:cs="Arial"/>
          <w:sz w:val="24"/>
          <w:szCs w:val="24"/>
        </w:rPr>
        <w:t xml:space="preserve"> must be given. A necessary party has a right to participate in the proceedings and must be permitted to exercise such right by making submissions before th</w:t>
      </w:r>
      <w:r w:rsidR="00E44353" w:rsidRPr="00D2139B">
        <w:rPr>
          <w:rFonts w:ascii="Arial" w:hAnsi="Arial" w:cs="Arial"/>
          <w:sz w:val="24"/>
          <w:szCs w:val="24"/>
        </w:rPr>
        <w:t>e court adjudicates the dispute,</w:t>
      </w:r>
      <w:r w:rsidR="002A4F60" w:rsidRPr="00D2139B">
        <w:rPr>
          <w:rFonts w:ascii="Arial" w:hAnsi="Arial" w:cs="Arial"/>
          <w:sz w:val="24"/>
          <w:szCs w:val="24"/>
        </w:rPr>
        <w:t xml:space="preserve"> </w:t>
      </w:r>
      <w:r w:rsidR="00E44353" w:rsidRPr="00D2139B">
        <w:rPr>
          <w:rFonts w:ascii="Arial" w:hAnsi="Arial" w:cs="Arial"/>
          <w:sz w:val="24"/>
          <w:szCs w:val="24"/>
        </w:rPr>
        <w:t>n</w:t>
      </w:r>
      <w:r w:rsidR="00FE7476" w:rsidRPr="00D2139B">
        <w:rPr>
          <w:rFonts w:ascii="Arial" w:hAnsi="Arial" w:cs="Arial"/>
          <w:sz w:val="24"/>
          <w:szCs w:val="24"/>
        </w:rPr>
        <w:t>otwithstanding the fact that n</w:t>
      </w:r>
      <w:r w:rsidR="00E44353" w:rsidRPr="00D2139B">
        <w:rPr>
          <w:rFonts w:ascii="Arial" w:hAnsi="Arial" w:cs="Arial"/>
          <w:sz w:val="24"/>
          <w:szCs w:val="24"/>
        </w:rPr>
        <w:t>umerous parties may be involved. I</w:t>
      </w:r>
      <w:r w:rsidR="00FE7476" w:rsidRPr="00D2139B">
        <w:rPr>
          <w:rFonts w:ascii="Arial" w:hAnsi="Arial" w:cs="Arial"/>
          <w:sz w:val="24"/>
          <w:szCs w:val="24"/>
        </w:rPr>
        <w:t xml:space="preserve">f a person has a direct and substantial interest in an order that may be given by a court or that cannot be implemented without causing prejudice to such person, then he or she must be joined unless he or she has </w:t>
      </w:r>
      <w:r w:rsidR="00D66658" w:rsidRPr="00D2139B">
        <w:rPr>
          <w:rFonts w:ascii="Arial" w:hAnsi="Arial" w:cs="Arial"/>
          <w:sz w:val="24"/>
          <w:szCs w:val="24"/>
        </w:rPr>
        <w:t xml:space="preserve">clearly communicated his or her intention to abide by the order to be given or otherwise </w:t>
      </w:r>
      <w:r w:rsidR="00FE7476" w:rsidRPr="00D2139B">
        <w:rPr>
          <w:rFonts w:ascii="Arial" w:hAnsi="Arial" w:cs="Arial"/>
          <w:sz w:val="24"/>
          <w:szCs w:val="24"/>
        </w:rPr>
        <w:t xml:space="preserve">waived </w:t>
      </w:r>
      <w:r w:rsidR="00D66658" w:rsidRPr="00D2139B">
        <w:rPr>
          <w:rFonts w:ascii="Arial" w:hAnsi="Arial" w:cs="Arial"/>
          <w:sz w:val="24"/>
          <w:szCs w:val="24"/>
        </w:rPr>
        <w:t xml:space="preserve">the </w:t>
      </w:r>
      <w:r w:rsidR="00FE7476" w:rsidRPr="00D2139B">
        <w:rPr>
          <w:rFonts w:ascii="Arial" w:hAnsi="Arial" w:cs="Arial"/>
          <w:sz w:val="24"/>
          <w:szCs w:val="24"/>
        </w:rPr>
        <w:t xml:space="preserve">right </w:t>
      </w:r>
      <w:r w:rsidR="00D66658" w:rsidRPr="00D2139B">
        <w:rPr>
          <w:rFonts w:ascii="Arial" w:hAnsi="Arial" w:cs="Arial"/>
          <w:sz w:val="24"/>
          <w:szCs w:val="24"/>
        </w:rPr>
        <w:t>to participate in the proceedings.</w:t>
      </w:r>
    </w:p>
    <w:p w14:paraId="438EEC6B" w14:textId="77777777" w:rsidR="00684B5E" w:rsidRDefault="00684B5E" w:rsidP="00684B5E">
      <w:pPr>
        <w:pStyle w:val="ListParagraph"/>
        <w:spacing w:line="360" w:lineRule="auto"/>
        <w:ind w:left="0"/>
        <w:jc w:val="both"/>
        <w:rPr>
          <w:rFonts w:ascii="Arial" w:hAnsi="Arial" w:cs="Arial"/>
          <w:sz w:val="24"/>
          <w:szCs w:val="24"/>
        </w:rPr>
      </w:pPr>
    </w:p>
    <w:p w14:paraId="7609C625" w14:textId="39549694"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66658" w:rsidRPr="00D2139B">
        <w:rPr>
          <w:rFonts w:ascii="Arial" w:hAnsi="Arial" w:cs="Arial"/>
          <w:sz w:val="24"/>
          <w:szCs w:val="24"/>
        </w:rPr>
        <w:t>In the present matter, the applicant argues</w:t>
      </w:r>
      <w:r w:rsidR="00BC6D26" w:rsidRPr="00D2139B">
        <w:rPr>
          <w:rFonts w:ascii="Arial" w:hAnsi="Arial" w:cs="Arial"/>
          <w:sz w:val="24"/>
          <w:szCs w:val="24"/>
        </w:rPr>
        <w:t xml:space="preserve"> </w:t>
      </w:r>
      <w:r w:rsidR="00D66658" w:rsidRPr="00D2139B">
        <w:rPr>
          <w:rFonts w:ascii="Arial" w:hAnsi="Arial" w:cs="Arial"/>
          <w:sz w:val="24"/>
          <w:szCs w:val="24"/>
        </w:rPr>
        <w:t xml:space="preserve">that it would only have been necessary to have joined the bidders </w:t>
      </w:r>
      <w:r w:rsidR="00286DA7" w:rsidRPr="00D2139B">
        <w:rPr>
          <w:rFonts w:ascii="Arial" w:hAnsi="Arial" w:cs="Arial"/>
          <w:sz w:val="24"/>
          <w:szCs w:val="24"/>
        </w:rPr>
        <w:t>for the tenders in question where the evaluation of their bids had been completed. Their right to participate in the tender process remains unaffected and no awards have been made.</w:t>
      </w:r>
    </w:p>
    <w:p w14:paraId="66D37BC7" w14:textId="77777777" w:rsidR="00684B5E" w:rsidRPr="00684B5E" w:rsidRDefault="00684B5E" w:rsidP="00684B5E">
      <w:pPr>
        <w:pStyle w:val="ListParagraph"/>
        <w:rPr>
          <w:rFonts w:ascii="Arial" w:hAnsi="Arial" w:cs="Arial"/>
          <w:sz w:val="24"/>
          <w:szCs w:val="24"/>
        </w:rPr>
      </w:pPr>
    </w:p>
    <w:p w14:paraId="77436D4D" w14:textId="2A2AE55F"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86DA7" w:rsidRPr="00D2139B">
        <w:rPr>
          <w:rFonts w:ascii="Arial" w:hAnsi="Arial" w:cs="Arial"/>
          <w:sz w:val="24"/>
          <w:szCs w:val="24"/>
        </w:rPr>
        <w:t xml:space="preserve">The factual basis for the applicant’s assertions is not evident from the papers. There is nothing to indicate whether </w:t>
      </w:r>
      <w:r w:rsidR="00BC6D26" w:rsidRPr="00D2139B">
        <w:rPr>
          <w:rFonts w:ascii="Arial" w:hAnsi="Arial" w:cs="Arial"/>
          <w:sz w:val="24"/>
          <w:szCs w:val="24"/>
        </w:rPr>
        <w:t xml:space="preserve">either the </w:t>
      </w:r>
      <w:r w:rsidR="00286DA7" w:rsidRPr="00D2139B">
        <w:rPr>
          <w:rFonts w:ascii="Arial" w:hAnsi="Arial" w:cs="Arial"/>
          <w:sz w:val="24"/>
          <w:szCs w:val="24"/>
        </w:rPr>
        <w:t xml:space="preserve">evaluation </w:t>
      </w:r>
      <w:r w:rsidR="00BC6D26" w:rsidRPr="00D2139B">
        <w:rPr>
          <w:rFonts w:ascii="Arial" w:hAnsi="Arial" w:cs="Arial"/>
          <w:sz w:val="24"/>
          <w:szCs w:val="24"/>
        </w:rPr>
        <w:t>or a</w:t>
      </w:r>
      <w:r w:rsidR="00286DA7" w:rsidRPr="00D2139B">
        <w:rPr>
          <w:rFonts w:ascii="Arial" w:hAnsi="Arial" w:cs="Arial"/>
          <w:sz w:val="24"/>
          <w:szCs w:val="24"/>
        </w:rPr>
        <w:t xml:space="preserve">djudication </w:t>
      </w:r>
      <w:r w:rsidR="00BC6D26" w:rsidRPr="00D2139B">
        <w:rPr>
          <w:rFonts w:ascii="Arial" w:hAnsi="Arial" w:cs="Arial"/>
          <w:sz w:val="24"/>
          <w:szCs w:val="24"/>
        </w:rPr>
        <w:t xml:space="preserve">of the bids has occurred; there is nothing to indicate whether any awards have subsequently been made. </w:t>
      </w:r>
      <w:r w:rsidR="00F07F7F" w:rsidRPr="00D2139B">
        <w:rPr>
          <w:rFonts w:ascii="Arial" w:hAnsi="Arial" w:cs="Arial"/>
          <w:sz w:val="24"/>
          <w:szCs w:val="24"/>
        </w:rPr>
        <w:t xml:space="preserve">The question, however, is not whether the evaluation of the bids has been completed or whether the respondent has awarded the tenders. The question is whether the bidders are necessary parties who should have been joined. </w:t>
      </w:r>
    </w:p>
    <w:p w14:paraId="4A1EF3DA" w14:textId="77777777" w:rsidR="00684B5E" w:rsidRPr="00684B5E" w:rsidRDefault="00684B5E" w:rsidP="00684B5E">
      <w:pPr>
        <w:pStyle w:val="ListParagraph"/>
        <w:rPr>
          <w:rFonts w:ascii="Arial" w:hAnsi="Arial" w:cs="Arial"/>
          <w:sz w:val="24"/>
          <w:szCs w:val="24"/>
        </w:rPr>
      </w:pPr>
    </w:p>
    <w:p w14:paraId="1345345D" w14:textId="47E5C4AB"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07F7F" w:rsidRPr="00D2139B">
        <w:rPr>
          <w:rFonts w:ascii="Arial" w:hAnsi="Arial" w:cs="Arial"/>
          <w:sz w:val="24"/>
          <w:szCs w:val="24"/>
        </w:rPr>
        <w:t xml:space="preserve">To answer that, the nature of the possible order must be considered. </w:t>
      </w:r>
      <w:r w:rsidR="00BC6D26" w:rsidRPr="00D2139B">
        <w:rPr>
          <w:rFonts w:ascii="Arial" w:hAnsi="Arial" w:cs="Arial"/>
          <w:sz w:val="24"/>
          <w:szCs w:val="24"/>
        </w:rPr>
        <w:t xml:space="preserve">The </w:t>
      </w:r>
      <w:r w:rsidR="00F07F7F" w:rsidRPr="00D2139B">
        <w:rPr>
          <w:rFonts w:ascii="Arial" w:hAnsi="Arial" w:cs="Arial"/>
          <w:sz w:val="24"/>
          <w:szCs w:val="24"/>
        </w:rPr>
        <w:t xml:space="preserve">applicant seeks the following </w:t>
      </w:r>
      <w:r w:rsidR="00BC6D26" w:rsidRPr="00D2139B">
        <w:rPr>
          <w:rFonts w:ascii="Arial" w:hAnsi="Arial" w:cs="Arial"/>
          <w:sz w:val="24"/>
          <w:szCs w:val="24"/>
        </w:rPr>
        <w:t>relief</w:t>
      </w:r>
      <w:r w:rsidR="00F07F7F" w:rsidRPr="00D2139B">
        <w:rPr>
          <w:rFonts w:ascii="Arial" w:hAnsi="Arial" w:cs="Arial"/>
          <w:sz w:val="24"/>
          <w:szCs w:val="24"/>
        </w:rPr>
        <w:t xml:space="preserve">, </w:t>
      </w:r>
      <w:r w:rsidR="00DB618C" w:rsidRPr="00D2139B">
        <w:rPr>
          <w:rFonts w:ascii="Arial" w:hAnsi="Arial" w:cs="Arial"/>
          <w:i/>
          <w:iCs/>
          <w:sz w:val="24"/>
          <w:szCs w:val="24"/>
        </w:rPr>
        <w:t>inter alia</w:t>
      </w:r>
      <w:r w:rsidR="00DB618C" w:rsidRPr="00D2139B">
        <w:rPr>
          <w:rFonts w:ascii="Arial" w:hAnsi="Arial" w:cs="Arial"/>
          <w:sz w:val="24"/>
          <w:szCs w:val="24"/>
        </w:rPr>
        <w:t xml:space="preserve">: that </w:t>
      </w:r>
      <w:r w:rsidR="00BC6D26" w:rsidRPr="00D2139B">
        <w:rPr>
          <w:rFonts w:ascii="Arial" w:hAnsi="Arial" w:cs="Arial"/>
          <w:sz w:val="24"/>
          <w:szCs w:val="24"/>
        </w:rPr>
        <w:t xml:space="preserve">the respondent’s conduct be declared unlawful and that it be interdicted from continuing with the evaluation of the bids, appointing bidders, concluding any contracts with the appointed bidders, or implementing any </w:t>
      </w:r>
      <w:r w:rsidR="00BC6D26" w:rsidRPr="00D2139B">
        <w:rPr>
          <w:rFonts w:ascii="Arial" w:hAnsi="Arial" w:cs="Arial"/>
          <w:sz w:val="24"/>
          <w:szCs w:val="24"/>
        </w:rPr>
        <w:lastRenderedPageBreak/>
        <w:t>obligations in terms thereof</w:t>
      </w:r>
      <w:r w:rsidR="00DB618C" w:rsidRPr="00D2139B">
        <w:rPr>
          <w:rFonts w:ascii="Arial" w:hAnsi="Arial" w:cs="Arial"/>
          <w:sz w:val="24"/>
          <w:szCs w:val="24"/>
        </w:rPr>
        <w:t>.</w:t>
      </w:r>
      <w:r w:rsidR="00DB618C">
        <w:rPr>
          <w:rStyle w:val="FootnoteReference"/>
          <w:rFonts w:ascii="Arial" w:hAnsi="Arial" w:cs="Arial"/>
          <w:sz w:val="24"/>
          <w:szCs w:val="24"/>
        </w:rPr>
        <w:footnoteReference w:id="4"/>
      </w:r>
      <w:r w:rsidR="00F07F7F" w:rsidRPr="00D2139B">
        <w:rPr>
          <w:rFonts w:ascii="Arial" w:hAnsi="Arial" w:cs="Arial"/>
          <w:sz w:val="24"/>
          <w:szCs w:val="24"/>
        </w:rPr>
        <w:t xml:space="preserve"> The bidders for the various tenders would have prepared and submitted their bids with </w:t>
      </w:r>
      <w:r w:rsidR="00B64AA6" w:rsidRPr="00D2139B">
        <w:rPr>
          <w:rFonts w:ascii="Arial" w:hAnsi="Arial" w:cs="Arial"/>
          <w:sz w:val="24"/>
          <w:szCs w:val="24"/>
        </w:rPr>
        <w:t>a</w:t>
      </w:r>
      <w:r w:rsidR="00F07F7F" w:rsidRPr="00D2139B">
        <w:rPr>
          <w:rFonts w:ascii="Arial" w:hAnsi="Arial" w:cs="Arial"/>
          <w:sz w:val="24"/>
          <w:szCs w:val="24"/>
        </w:rPr>
        <w:t xml:space="preserve"> view to securing their appointment for the goods or services required- and the </w:t>
      </w:r>
      <w:r w:rsidR="00474C72" w:rsidRPr="00D2139B">
        <w:rPr>
          <w:rFonts w:ascii="Arial" w:hAnsi="Arial" w:cs="Arial"/>
          <w:sz w:val="24"/>
          <w:szCs w:val="24"/>
        </w:rPr>
        <w:t xml:space="preserve">concomitant </w:t>
      </w:r>
      <w:r w:rsidR="00F07F7F" w:rsidRPr="00D2139B">
        <w:rPr>
          <w:rFonts w:ascii="Arial" w:hAnsi="Arial" w:cs="Arial"/>
          <w:sz w:val="24"/>
          <w:szCs w:val="24"/>
        </w:rPr>
        <w:t xml:space="preserve">income </w:t>
      </w:r>
      <w:r w:rsidR="00474C72" w:rsidRPr="00D2139B">
        <w:rPr>
          <w:rFonts w:ascii="Arial" w:hAnsi="Arial" w:cs="Arial"/>
          <w:sz w:val="24"/>
          <w:szCs w:val="24"/>
        </w:rPr>
        <w:t>stream in the event that they were successful</w:t>
      </w:r>
      <w:r w:rsidR="00F07F7F" w:rsidRPr="00D2139B">
        <w:rPr>
          <w:rFonts w:ascii="Arial" w:hAnsi="Arial" w:cs="Arial"/>
          <w:sz w:val="24"/>
          <w:szCs w:val="24"/>
        </w:rPr>
        <w:t xml:space="preserve">. </w:t>
      </w:r>
      <w:r w:rsidR="00B64AA6" w:rsidRPr="00D2139B">
        <w:rPr>
          <w:rFonts w:ascii="Arial" w:hAnsi="Arial" w:cs="Arial"/>
          <w:sz w:val="24"/>
          <w:szCs w:val="24"/>
        </w:rPr>
        <w:t>According to</w:t>
      </w:r>
      <w:r w:rsidR="003E7E13" w:rsidRPr="00D2139B">
        <w:rPr>
          <w:rFonts w:ascii="Arial" w:hAnsi="Arial" w:cs="Arial"/>
          <w:sz w:val="24"/>
          <w:szCs w:val="24"/>
        </w:rPr>
        <w:t xml:space="preserve"> the answering papers, it is apparent that the tender for the supply of refuse bags would have been of significant interest to prospective suppliers; the client would be one of the country’s large metropolitan municipalities, responsible for the delivery of waste disposal services to an extensive urban community, and for a period of three years. </w:t>
      </w:r>
      <w:r w:rsidR="00954E4A" w:rsidRPr="00D2139B">
        <w:rPr>
          <w:rFonts w:ascii="Arial" w:hAnsi="Arial" w:cs="Arial"/>
          <w:sz w:val="24"/>
          <w:szCs w:val="24"/>
        </w:rPr>
        <w:t>A total of 57 bids were recorded in the bid opening register and t</w:t>
      </w:r>
      <w:r w:rsidR="003E7E13" w:rsidRPr="00D2139B">
        <w:rPr>
          <w:rFonts w:ascii="Arial" w:hAnsi="Arial" w:cs="Arial"/>
          <w:sz w:val="24"/>
          <w:szCs w:val="24"/>
        </w:rPr>
        <w:t xml:space="preserve">he </w:t>
      </w:r>
      <w:r w:rsidR="00954E4A" w:rsidRPr="00D2139B">
        <w:rPr>
          <w:rFonts w:ascii="Arial" w:hAnsi="Arial" w:cs="Arial"/>
          <w:sz w:val="24"/>
          <w:szCs w:val="24"/>
        </w:rPr>
        <w:t xml:space="preserve">quoted </w:t>
      </w:r>
      <w:r w:rsidR="003E7E13" w:rsidRPr="00D2139B">
        <w:rPr>
          <w:rFonts w:ascii="Arial" w:hAnsi="Arial" w:cs="Arial"/>
          <w:sz w:val="24"/>
          <w:szCs w:val="24"/>
        </w:rPr>
        <w:t xml:space="preserve">prices reflect values running into many millions of rand. </w:t>
      </w:r>
      <w:r w:rsidR="00954E4A" w:rsidRPr="00D2139B">
        <w:rPr>
          <w:rFonts w:ascii="Arial" w:hAnsi="Arial" w:cs="Arial"/>
          <w:sz w:val="24"/>
          <w:szCs w:val="24"/>
        </w:rPr>
        <w:t>It hardly needs saying that the contract would be an important source of income for the successful bidder</w:t>
      </w:r>
      <w:r w:rsidR="006E2BC1" w:rsidRPr="00D2139B">
        <w:rPr>
          <w:rFonts w:ascii="Arial" w:hAnsi="Arial" w:cs="Arial"/>
          <w:sz w:val="24"/>
          <w:szCs w:val="24"/>
        </w:rPr>
        <w:t xml:space="preserve"> over </w:t>
      </w:r>
      <w:r w:rsidR="00474C72" w:rsidRPr="00D2139B">
        <w:rPr>
          <w:rFonts w:ascii="Arial" w:hAnsi="Arial" w:cs="Arial"/>
          <w:sz w:val="24"/>
          <w:szCs w:val="24"/>
        </w:rPr>
        <w:t>several</w:t>
      </w:r>
      <w:r w:rsidR="006E2BC1" w:rsidRPr="00D2139B">
        <w:rPr>
          <w:rFonts w:ascii="Arial" w:hAnsi="Arial" w:cs="Arial"/>
          <w:sz w:val="24"/>
          <w:szCs w:val="24"/>
        </w:rPr>
        <w:t xml:space="preserve"> financial years</w:t>
      </w:r>
      <w:r w:rsidR="00954E4A" w:rsidRPr="00D2139B">
        <w:rPr>
          <w:rFonts w:ascii="Arial" w:hAnsi="Arial" w:cs="Arial"/>
          <w:sz w:val="24"/>
          <w:szCs w:val="24"/>
        </w:rPr>
        <w:t xml:space="preserve">. Likewise, the tender for the design and installation of bronze statues would be of much interest to potential suppliers for whom, presumably, such work would not often be available. There were only five bidders according to the answering papers, but the quoted prices also run into millions of rand. It is not unreasonable to expect </w:t>
      </w:r>
      <w:r w:rsidR="006E2BC1" w:rsidRPr="00D2139B">
        <w:rPr>
          <w:rFonts w:ascii="Arial" w:hAnsi="Arial" w:cs="Arial"/>
          <w:sz w:val="24"/>
          <w:szCs w:val="24"/>
        </w:rPr>
        <w:t>similar interest and values for the remaining tenders for the establishment of townships, entailing the provision of planning and related professional services.</w:t>
      </w:r>
    </w:p>
    <w:p w14:paraId="5B43D88D" w14:textId="77777777" w:rsidR="00684B5E" w:rsidRDefault="00684B5E" w:rsidP="00684B5E">
      <w:pPr>
        <w:pStyle w:val="ListParagraph"/>
        <w:spacing w:line="360" w:lineRule="auto"/>
        <w:ind w:left="0"/>
        <w:jc w:val="both"/>
        <w:rPr>
          <w:rFonts w:ascii="Arial" w:hAnsi="Arial" w:cs="Arial"/>
          <w:sz w:val="24"/>
          <w:szCs w:val="24"/>
        </w:rPr>
      </w:pPr>
    </w:p>
    <w:p w14:paraId="780C93A4" w14:textId="56E80B57"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E2BC1" w:rsidRPr="00D2139B">
        <w:rPr>
          <w:rFonts w:ascii="Arial" w:hAnsi="Arial" w:cs="Arial"/>
          <w:sz w:val="24"/>
          <w:szCs w:val="24"/>
        </w:rPr>
        <w:t>That the bidders have a direct and substantial interest in an order that could interdict the respondent from evaluating their bids, awarding the tender in question to any one of them, or executing the contract that arises, is obvious. To put it another way, an order to that effect c</w:t>
      </w:r>
      <w:r w:rsidR="00B64AA6" w:rsidRPr="00D2139B">
        <w:rPr>
          <w:rFonts w:ascii="Arial" w:hAnsi="Arial" w:cs="Arial"/>
          <w:sz w:val="24"/>
          <w:szCs w:val="24"/>
        </w:rPr>
        <w:t>annot</w:t>
      </w:r>
      <w:r w:rsidR="006E2BC1" w:rsidRPr="00D2139B">
        <w:rPr>
          <w:rFonts w:ascii="Arial" w:hAnsi="Arial" w:cs="Arial"/>
          <w:sz w:val="24"/>
          <w:szCs w:val="24"/>
        </w:rPr>
        <w:t xml:space="preserve"> be </w:t>
      </w:r>
      <w:r w:rsidR="00B64AA6" w:rsidRPr="00D2139B">
        <w:rPr>
          <w:rFonts w:ascii="Arial" w:hAnsi="Arial" w:cs="Arial"/>
          <w:sz w:val="24"/>
          <w:szCs w:val="24"/>
        </w:rPr>
        <w:t>sustained or given effect without causing prejudice to any bidder that has submitted a bid for any of the indicated tenders.</w:t>
      </w:r>
    </w:p>
    <w:p w14:paraId="67518AD1" w14:textId="77777777" w:rsidR="00684B5E" w:rsidRPr="00684B5E" w:rsidRDefault="00684B5E" w:rsidP="00684B5E">
      <w:pPr>
        <w:pStyle w:val="ListParagraph"/>
        <w:rPr>
          <w:rFonts w:ascii="Arial" w:hAnsi="Arial" w:cs="Arial"/>
          <w:sz w:val="24"/>
          <w:szCs w:val="24"/>
        </w:rPr>
      </w:pPr>
    </w:p>
    <w:p w14:paraId="4558F25A" w14:textId="3658F940"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74C72" w:rsidRPr="00D2139B">
        <w:rPr>
          <w:rFonts w:ascii="Arial" w:hAnsi="Arial" w:cs="Arial"/>
          <w:sz w:val="24"/>
          <w:szCs w:val="24"/>
        </w:rPr>
        <w:t xml:space="preserve">The applicant has referred to the decision in </w:t>
      </w:r>
      <w:proofErr w:type="spellStart"/>
      <w:r w:rsidR="00474C72" w:rsidRPr="00D2139B">
        <w:rPr>
          <w:rFonts w:ascii="Arial" w:hAnsi="Arial" w:cs="Arial"/>
          <w:i/>
          <w:iCs/>
          <w:sz w:val="24"/>
          <w:szCs w:val="24"/>
        </w:rPr>
        <w:t>Bhala</w:t>
      </w:r>
      <w:proofErr w:type="spellEnd"/>
      <w:r w:rsidR="00474C72" w:rsidRPr="00D2139B">
        <w:rPr>
          <w:rFonts w:ascii="Arial" w:hAnsi="Arial" w:cs="Arial"/>
          <w:i/>
          <w:iCs/>
          <w:sz w:val="24"/>
          <w:szCs w:val="24"/>
        </w:rPr>
        <w:t xml:space="preserve"> Traditional Council v </w:t>
      </w:r>
      <w:proofErr w:type="spellStart"/>
      <w:r w:rsidR="00474C72" w:rsidRPr="00D2139B">
        <w:rPr>
          <w:rFonts w:ascii="Arial" w:hAnsi="Arial" w:cs="Arial"/>
          <w:i/>
          <w:iCs/>
          <w:sz w:val="24"/>
          <w:szCs w:val="24"/>
        </w:rPr>
        <w:t>Dumezweni</w:t>
      </w:r>
      <w:proofErr w:type="spellEnd"/>
      <w:r w:rsidR="00474C72" w:rsidRPr="00D2139B">
        <w:rPr>
          <w:rFonts w:ascii="Arial" w:hAnsi="Arial" w:cs="Arial"/>
          <w:i/>
          <w:iCs/>
          <w:sz w:val="24"/>
          <w:szCs w:val="24"/>
        </w:rPr>
        <w:t xml:space="preserve"> and others</w:t>
      </w:r>
      <w:r w:rsidR="00474C72">
        <w:rPr>
          <w:rStyle w:val="FootnoteReference"/>
          <w:rFonts w:ascii="Arial" w:hAnsi="Arial" w:cs="Arial"/>
          <w:sz w:val="24"/>
          <w:szCs w:val="24"/>
        </w:rPr>
        <w:footnoteReference w:id="5"/>
      </w:r>
      <w:r w:rsidR="00474C72" w:rsidRPr="00D2139B">
        <w:rPr>
          <w:rFonts w:ascii="Arial" w:hAnsi="Arial" w:cs="Arial"/>
          <w:sz w:val="24"/>
          <w:szCs w:val="24"/>
        </w:rPr>
        <w:t xml:space="preserve"> </w:t>
      </w:r>
      <w:r w:rsidR="001574E2" w:rsidRPr="00D2139B">
        <w:rPr>
          <w:rFonts w:ascii="Arial" w:hAnsi="Arial" w:cs="Arial"/>
          <w:sz w:val="24"/>
          <w:szCs w:val="24"/>
        </w:rPr>
        <w:t xml:space="preserve">where the court dealt with the unlawful sub-division, </w:t>
      </w:r>
      <w:proofErr w:type="gramStart"/>
      <w:r w:rsidR="001574E2" w:rsidRPr="00D2139B">
        <w:rPr>
          <w:rFonts w:ascii="Arial" w:hAnsi="Arial" w:cs="Arial"/>
          <w:sz w:val="24"/>
          <w:szCs w:val="24"/>
        </w:rPr>
        <w:t>demarcation</w:t>
      </w:r>
      <w:proofErr w:type="gramEnd"/>
      <w:r w:rsidR="001574E2" w:rsidRPr="00D2139B">
        <w:rPr>
          <w:rFonts w:ascii="Arial" w:hAnsi="Arial" w:cs="Arial"/>
          <w:sz w:val="24"/>
          <w:szCs w:val="24"/>
        </w:rPr>
        <w:t xml:space="preserve"> </w:t>
      </w:r>
      <w:r w:rsidR="001574E2" w:rsidRPr="00D2139B">
        <w:rPr>
          <w:rFonts w:ascii="Arial" w:hAnsi="Arial" w:cs="Arial"/>
          <w:sz w:val="24"/>
          <w:szCs w:val="24"/>
        </w:rPr>
        <w:lastRenderedPageBreak/>
        <w:t>and allocation of land</w:t>
      </w:r>
      <w:r w:rsidR="001257C0" w:rsidRPr="00D2139B">
        <w:rPr>
          <w:rFonts w:ascii="Arial" w:hAnsi="Arial" w:cs="Arial"/>
          <w:sz w:val="24"/>
          <w:szCs w:val="24"/>
        </w:rPr>
        <w:t xml:space="preserve"> in the Flagstaff district</w:t>
      </w:r>
      <w:r w:rsidR="001574E2" w:rsidRPr="00D2139B">
        <w:rPr>
          <w:rFonts w:ascii="Arial" w:hAnsi="Arial" w:cs="Arial"/>
          <w:sz w:val="24"/>
          <w:szCs w:val="24"/>
        </w:rPr>
        <w:t xml:space="preserve">. The respondents raised the point of non-joinder, arguing that the </w:t>
      </w:r>
      <w:r w:rsidR="001257C0" w:rsidRPr="00D2139B">
        <w:rPr>
          <w:rFonts w:ascii="Arial" w:hAnsi="Arial" w:cs="Arial"/>
          <w:sz w:val="24"/>
          <w:szCs w:val="24"/>
        </w:rPr>
        <w:t xml:space="preserve">applicant had failed to join the </w:t>
      </w:r>
      <w:r w:rsidR="001574E2" w:rsidRPr="00D2139B">
        <w:rPr>
          <w:rFonts w:ascii="Arial" w:hAnsi="Arial" w:cs="Arial"/>
          <w:sz w:val="24"/>
          <w:szCs w:val="24"/>
        </w:rPr>
        <w:t xml:space="preserve">committee </w:t>
      </w:r>
      <w:r w:rsidR="001257C0" w:rsidRPr="00D2139B">
        <w:rPr>
          <w:rFonts w:ascii="Arial" w:hAnsi="Arial" w:cs="Arial"/>
          <w:sz w:val="24"/>
          <w:szCs w:val="24"/>
        </w:rPr>
        <w:t>that</w:t>
      </w:r>
      <w:r w:rsidR="001574E2" w:rsidRPr="00D2139B">
        <w:rPr>
          <w:rFonts w:ascii="Arial" w:hAnsi="Arial" w:cs="Arial"/>
          <w:sz w:val="24"/>
          <w:szCs w:val="24"/>
        </w:rPr>
        <w:t xml:space="preserve"> had been </w:t>
      </w:r>
      <w:r w:rsidR="001257C0" w:rsidRPr="00D2139B">
        <w:rPr>
          <w:rFonts w:ascii="Arial" w:hAnsi="Arial" w:cs="Arial"/>
          <w:sz w:val="24"/>
          <w:szCs w:val="24"/>
        </w:rPr>
        <w:t xml:space="preserve">established to represent the interests of some of the villages in the area and of which the respondents were members. The court </w:t>
      </w:r>
      <w:r w:rsidR="0080543D" w:rsidRPr="00D2139B">
        <w:rPr>
          <w:rFonts w:ascii="Arial" w:hAnsi="Arial" w:cs="Arial"/>
          <w:sz w:val="24"/>
          <w:szCs w:val="24"/>
        </w:rPr>
        <w:t>found</w:t>
      </w:r>
      <w:r w:rsidR="001257C0" w:rsidRPr="00D2139B">
        <w:rPr>
          <w:rFonts w:ascii="Arial" w:hAnsi="Arial" w:cs="Arial"/>
          <w:sz w:val="24"/>
          <w:szCs w:val="24"/>
        </w:rPr>
        <w:t xml:space="preserve">, however, that it was not necessary to have done so </w:t>
      </w:r>
      <w:proofErr w:type="gramStart"/>
      <w:r w:rsidR="001257C0" w:rsidRPr="00D2139B">
        <w:rPr>
          <w:rFonts w:ascii="Arial" w:hAnsi="Arial" w:cs="Arial"/>
          <w:sz w:val="24"/>
          <w:szCs w:val="24"/>
        </w:rPr>
        <w:t>inasmuch as</w:t>
      </w:r>
      <w:proofErr w:type="gramEnd"/>
      <w:r w:rsidR="001257C0" w:rsidRPr="00D2139B">
        <w:rPr>
          <w:rFonts w:ascii="Arial" w:hAnsi="Arial" w:cs="Arial"/>
          <w:sz w:val="24"/>
          <w:szCs w:val="24"/>
        </w:rPr>
        <w:t xml:space="preserve"> the applicant only sought relief against the respondents in their personal capacities; it was not clear that the respondents had been acting in their capacities as members of the committee. The decision is of no assistance in the present matter.</w:t>
      </w:r>
    </w:p>
    <w:p w14:paraId="096F826D" w14:textId="77777777" w:rsidR="00684B5E" w:rsidRPr="00684B5E" w:rsidRDefault="00684B5E" w:rsidP="00684B5E">
      <w:pPr>
        <w:pStyle w:val="ListParagraph"/>
        <w:rPr>
          <w:rFonts w:ascii="Arial" w:hAnsi="Arial" w:cs="Arial"/>
          <w:sz w:val="24"/>
          <w:szCs w:val="24"/>
        </w:rPr>
      </w:pPr>
    </w:p>
    <w:p w14:paraId="43432EF7" w14:textId="6FDC942B"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257C0" w:rsidRPr="00D2139B">
        <w:rPr>
          <w:rFonts w:ascii="Arial" w:hAnsi="Arial" w:cs="Arial"/>
          <w:sz w:val="24"/>
          <w:szCs w:val="24"/>
        </w:rPr>
        <w:t xml:space="preserve">Furthermore, the applicant referred to </w:t>
      </w:r>
      <w:r w:rsidR="001257C0" w:rsidRPr="00D2139B">
        <w:rPr>
          <w:rFonts w:ascii="Arial" w:hAnsi="Arial" w:cs="Arial"/>
          <w:i/>
          <w:iCs/>
          <w:sz w:val="24"/>
          <w:szCs w:val="24"/>
        </w:rPr>
        <w:t>Judicial Service Commission and another v Cape Bar Council and another</w:t>
      </w:r>
      <w:r w:rsidR="001257C0" w:rsidRPr="00D2139B">
        <w:rPr>
          <w:rFonts w:ascii="Arial" w:hAnsi="Arial" w:cs="Arial"/>
          <w:sz w:val="24"/>
          <w:szCs w:val="24"/>
        </w:rPr>
        <w:t>,</w:t>
      </w:r>
      <w:r w:rsidR="001257C0">
        <w:rPr>
          <w:rStyle w:val="FootnoteReference"/>
          <w:rFonts w:ascii="Arial" w:hAnsi="Arial" w:cs="Arial"/>
          <w:sz w:val="24"/>
          <w:szCs w:val="24"/>
        </w:rPr>
        <w:footnoteReference w:id="6"/>
      </w:r>
      <w:r w:rsidR="001257C0" w:rsidRPr="00D2139B">
        <w:rPr>
          <w:rFonts w:ascii="Arial" w:hAnsi="Arial" w:cs="Arial"/>
          <w:sz w:val="24"/>
          <w:szCs w:val="24"/>
        </w:rPr>
        <w:t xml:space="preserve"> where the court</w:t>
      </w:r>
      <w:r w:rsidR="0080543D" w:rsidRPr="00D2139B">
        <w:rPr>
          <w:rFonts w:ascii="Arial" w:hAnsi="Arial" w:cs="Arial"/>
          <w:sz w:val="24"/>
          <w:szCs w:val="24"/>
        </w:rPr>
        <w:t xml:space="preserve"> </w:t>
      </w:r>
      <w:r w:rsidR="00263821" w:rsidRPr="00D2139B">
        <w:rPr>
          <w:rFonts w:ascii="Arial" w:hAnsi="Arial" w:cs="Arial"/>
          <w:sz w:val="24"/>
          <w:szCs w:val="24"/>
        </w:rPr>
        <w:t>confirmed</w:t>
      </w:r>
      <w:r w:rsidR="0080543D" w:rsidRPr="00D2139B">
        <w:rPr>
          <w:rFonts w:ascii="Arial" w:hAnsi="Arial" w:cs="Arial"/>
          <w:sz w:val="24"/>
          <w:szCs w:val="24"/>
        </w:rPr>
        <w:t xml:space="preserve"> that it had become settled law that the joinder of a party was only r</w:t>
      </w:r>
      <w:r w:rsidR="00263821" w:rsidRPr="00D2139B">
        <w:rPr>
          <w:rFonts w:ascii="Arial" w:hAnsi="Arial" w:cs="Arial"/>
          <w:sz w:val="24"/>
          <w:szCs w:val="24"/>
        </w:rPr>
        <w:t>equired as a matter of necessity where that party has a direct and substantial interest that may be affected prejudicially by the judgment of the court.</w:t>
      </w:r>
      <w:r w:rsidR="0080543D" w:rsidRPr="00D2139B">
        <w:rPr>
          <w:rFonts w:ascii="Arial" w:hAnsi="Arial" w:cs="Arial"/>
          <w:sz w:val="24"/>
          <w:szCs w:val="24"/>
        </w:rPr>
        <w:t xml:space="preserve"> The mere fact that a party may have an interest in the outcome of the litigation did not warrant a plea of non-joinder; the right to raise such an objection was limited. Similarly, the decision is of no assistance in the present matter. This court has already found that the bidders for the various tenders in question have more than just an interest in the outcome; the test for joinder has been met and the bidders must be deemed to have a direct and substantial interest in the order that this court may give, alternatively that such an order cannot be implemented without causing prejudice to them.</w:t>
      </w:r>
    </w:p>
    <w:p w14:paraId="77D7DEE9" w14:textId="77777777" w:rsidR="00684B5E" w:rsidRPr="00684B5E" w:rsidRDefault="00684B5E" w:rsidP="00684B5E">
      <w:pPr>
        <w:pStyle w:val="ListParagraph"/>
        <w:rPr>
          <w:rFonts w:ascii="Arial" w:hAnsi="Arial" w:cs="Arial"/>
          <w:sz w:val="24"/>
          <w:szCs w:val="24"/>
        </w:rPr>
      </w:pPr>
    </w:p>
    <w:p w14:paraId="46AADBAE" w14:textId="57D2AD94"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80543D" w:rsidRPr="00D2139B">
        <w:rPr>
          <w:rFonts w:ascii="Arial" w:hAnsi="Arial" w:cs="Arial"/>
          <w:sz w:val="24"/>
          <w:szCs w:val="24"/>
        </w:rPr>
        <w:t xml:space="preserve">In its replying papers, the applicant </w:t>
      </w:r>
      <w:r w:rsidR="003E6B65" w:rsidRPr="00D2139B">
        <w:rPr>
          <w:rFonts w:ascii="Arial" w:hAnsi="Arial" w:cs="Arial"/>
          <w:sz w:val="24"/>
          <w:szCs w:val="24"/>
        </w:rPr>
        <w:t>points out that the respondent is in possession of the particulars of the bidders, including their contact details. The applicant d</w:t>
      </w:r>
      <w:r w:rsidR="0078341D" w:rsidRPr="00D2139B">
        <w:rPr>
          <w:rFonts w:ascii="Arial" w:hAnsi="Arial" w:cs="Arial"/>
          <w:sz w:val="24"/>
          <w:szCs w:val="24"/>
        </w:rPr>
        <w:t>oes</w:t>
      </w:r>
      <w:r w:rsidR="003E6B65" w:rsidRPr="00D2139B">
        <w:rPr>
          <w:rFonts w:ascii="Arial" w:hAnsi="Arial" w:cs="Arial"/>
          <w:sz w:val="24"/>
          <w:szCs w:val="24"/>
        </w:rPr>
        <w:t xml:space="preserve"> not have these. If the respondent has relied on the point of non-joinder, then it should </w:t>
      </w:r>
      <w:r w:rsidR="007814C1" w:rsidRPr="00D2139B">
        <w:rPr>
          <w:rFonts w:ascii="Arial" w:hAnsi="Arial" w:cs="Arial"/>
          <w:sz w:val="24"/>
          <w:szCs w:val="24"/>
        </w:rPr>
        <w:t xml:space="preserve">have </w:t>
      </w:r>
      <w:r w:rsidR="003E6B65" w:rsidRPr="00D2139B">
        <w:rPr>
          <w:rFonts w:ascii="Arial" w:hAnsi="Arial" w:cs="Arial"/>
          <w:sz w:val="24"/>
          <w:szCs w:val="24"/>
        </w:rPr>
        <w:t>furnish</w:t>
      </w:r>
      <w:r w:rsidR="007814C1" w:rsidRPr="00D2139B">
        <w:rPr>
          <w:rFonts w:ascii="Arial" w:hAnsi="Arial" w:cs="Arial"/>
          <w:sz w:val="24"/>
          <w:szCs w:val="24"/>
        </w:rPr>
        <w:t>ed</w:t>
      </w:r>
      <w:r w:rsidR="003E6B65" w:rsidRPr="00D2139B">
        <w:rPr>
          <w:rFonts w:ascii="Arial" w:hAnsi="Arial" w:cs="Arial"/>
          <w:sz w:val="24"/>
          <w:szCs w:val="24"/>
        </w:rPr>
        <w:t xml:space="preserve"> the applicant with the bidders’ particulars and contact details to </w:t>
      </w:r>
      <w:r w:rsidR="007814C1" w:rsidRPr="00D2139B">
        <w:rPr>
          <w:rFonts w:ascii="Arial" w:hAnsi="Arial" w:cs="Arial"/>
          <w:sz w:val="24"/>
          <w:szCs w:val="24"/>
        </w:rPr>
        <w:t xml:space="preserve">have </w:t>
      </w:r>
      <w:r w:rsidR="0078341D" w:rsidRPr="00D2139B">
        <w:rPr>
          <w:rFonts w:ascii="Arial" w:hAnsi="Arial" w:cs="Arial"/>
          <w:sz w:val="24"/>
          <w:szCs w:val="24"/>
        </w:rPr>
        <w:t>enabled the applicant to</w:t>
      </w:r>
      <w:r w:rsidR="003D33D4" w:rsidRPr="00D2139B">
        <w:rPr>
          <w:rFonts w:ascii="Arial" w:hAnsi="Arial" w:cs="Arial"/>
          <w:sz w:val="24"/>
          <w:szCs w:val="24"/>
        </w:rPr>
        <w:t xml:space="preserve"> have dealt</w:t>
      </w:r>
      <w:r w:rsidR="0078341D" w:rsidRPr="00D2139B">
        <w:rPr>
          <w:rFonts w:ascii="Arial" w:hAnsi="Arial" w:cs="Arial"/>
          <w:sz w:val="24"/>
          <w:szCs w:val="24"/>
        </w:rPr>
        <w:t xml:space="preserve"> with the point and to have arranged for proper service. This was not possible in the circumstances.</w:t>
      </w:r>
    </w:p>
    <w:p w14:paraId="2BD013C3" w14:textId="77777777" w:rsidR="00684B5E" w:rsidRPr="00684B5E" w:rsidRDefault="00684B5E" w:rsidP="00684B5E">
      <w:pPr>
        <w:pStyle w:val="ListParagraph"/>
        <w:rPr>
          <w:rFonts w:ascii="Arial" w:hAnsi="Arial" w:cs="Arial"/>
          <w:sz w:val="24"/>
          <w:szCs w:val="24"/>
        </w:rPr>
      </w:pPr>
    </w:p>
    <w:p w14:paraId="2DF934FC" w14:textId="6E43D3DD" w:rsidR="00684B5E" w:rsidRPr="00D2139B" w:rsidRDefault="00D2139B" w:rsidP="00D2139B">
      <w:pPr>
        <w:spacing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78341D" w:rsidRPr="00D2139B">
        <w:rPr>
          <w:rFonts w:ascii="Arial" w:hAnsi="Arial" w:cs="Arial"/>
          <w:sz w:val="24"/>
          <w:szCs w:val="24"/>
        </w:rPr>
        <w:t>The applicant seems to have missed the point</w:t>
      </w:r>
      <w:r w:rsidR="008812B2" w:rsidRPr="00D2139B">
        <w:rPr>
          <w:rFonts w:ascii="Arial" w:hAnsi="Arial" w:cs="Arial"/>
          <w:sz w:val="24"/>
          <w:szCs w:val="24"/>
        </w:rPr>
        <w:t xml:space="preserve"> somewhat</w:t>
      </w:r>
      <w:r w:rsidR="0078341D" w:rsidRPr="00D2139B">
        <w:rPr>
          <w:rFonts w:ascii="Arial" w:hAnsi="Arial" w:cs="Arial"/>
          <w:sz w:val="24"/>
          <w:szCs w:val="24"/>
        </w:rPr>
        <w:t>.</w:t>
      </w:r>
      <w:r w:rsidR="00E93F6C" w:rsidRPr="00D2139B">
        <w:rPr>
          <w:rFonts w:ascii="Arial" w:hAnsi="Arial" w:cs="Arial"/>
          <w:sz w:val="24"/>
          <w:szCs w:val="24"/>
        </w:rPr>
        <w:t xml:space="preserve"> As </w:t>
      </w:r>
      <w:r w:rsidR="00E93F6C" w:rsidRPr="00D2139B">
        <w:rPr>
          <w:rFonts w:ascii="Arial" w:hAnsi="Arial" w:cs="Arial"/>
          <w:i/>
          <w:iCs/>
          <w:sz w:val="24"/>
          <w:szCs w:val="24"/>
        </w:rPr>
        <w:t>dominus litis</w:t>
      </w:r>
      <w:r w:rsidR="00E93F6C" w:rsidRPr="00D2139B">
        <w:rPr>
          <w:rFonts w:ascii="Arial" w:hAnsi="Arial" w:cs="Arial"/>
          <w:sz w:val="24"/>
          <w:szCs w:val="24"/>
        </w:rPr>
        <w:t xml:space="preserve">, the applicant (assisted by its legal team) is responsible for shaping its cause of action, working out the nature of relief to be sought, and identifying the necessary parties. It must prepare and execute a strategy that will adequately manage the many variables that come into </w:t>
      </w:r>
      <w:r w:rsidR="001225FE" w:rsidRPr="00D2139B">
        <w:rPr>
          <w:rFonts w:ascii="Arial" w:hAnsi="Arial" w:cs="Arial"/>
          <w:sz w:val="24"/>
          <w:szCs w:val="24"/>
        </w:rPr>
        <w:t>play</w:t>
      </w:r>
      <w:r w:rsidR="00E93F6C" w:rsidRPr="00D2139B">
        <w:rPr>
          <w:rFonts w:ascii="Arial" w:hAnsi="Arial" w:cs="Arial"/>
          <w:sz w:val="24"/>
          <w:szCs w:val="24"/>
        </w:rPr>
        <w:t xml:space="preserve"> once the decision to litigate has been taken. These include the </w:t>
      </w:r>
      <w:r w:rsidR="001225FE" w:rsidRPr="00D2139B">
        <w:rPr>
          <w:rFonts w:ascii="Arial" w:hAnsi="Arial" w:cs="Arial"/>
          <w:sz w:val="24"/>
          <w:szCs w:val="24"/>
        </w:rPr>
        <w:t xml:space="preserve">problem of dealing with a multiplicity of (potential) necessary parties. Insofar as time does not allow the applicant to use the available statutory tools for purposes of obtaining information </w:t>
      </w:r>
      <w:r w:rsidR="00282711" w:rsidRPr="00D2139B">
        <w:rPr>
          <w:rFonts w:ascii="Arial" w:hAnsi="Arial" w:cs="Arial"/>
          <w:sz w:val="24"/>
          <w:szCs w:val="24"/>
        </w:rPr>
        <w:t xml:space="preserve">in anticipation of </w:t>
      </w:r>
      <w:r w:rsidR="001225FE" w:rsidRPr="00D2139B">
        <w:rPr>
          <w:rFonts w:ascii="Arial" w:hAnsi="Arial" w:cs="Arial"/>
          <w:sz w:val="24"/>
          <w:szCs w:val="24"/>
        </w:rPr>
        <w:t>litigation,</w:t>
      </w:r>
      <w:r w:rsidR="001225FE">
        <w:rPr>
          <w:rStyle w:val="FootnoteReference"/>
          <w:rFonts w:ascii="Arial" w:hAnsi="Arial" w:cs="Arial"/>
          <w:sz w:val="24"/>
          <w:szCs w:val="24"/>
        </w:rPr>
        <w:footnoteReference w:id="7"/>
      </w:r>
      <w:r w:rsidR="001225FE" w:rsidRPr="00D2139B">
        <w:rPr>
          <w:rFonts w:ascii="Arial" w:hAnsi="Arial" w:cs="Arial"/>
          <w:sz w:val="24"/>
          <w:szCs w:val="24"/>
        </w:rPr>
        <w:t xml:space="preserve"> the Uniform Rules of Court can assist</w:t>
      </w:r>
      <w:r w:rsidR="00282711" w:rsidRPr="00D2139B">
        <w:rPr>
          <w:rFonts w:ascii="Arial" w:hAnsi="Arial" w:cs="Arial"/>
          <w:sz w:val="24"/>
          <w:szCs w:val="24"/>
        </w:rPr>
        <w:t xml:space="preserve"> once proceedings have started</w:t>
      </w:r>
      <w:r w:rsidR="003D33D4" w:rsidRPr="00D2139B">
        <w:rPr>
          <w:rFonts w:ascii="Arial" w:hAnsi="Arial" w:cs="Arial"/>
          <w:sz w:val="24"/>
          <w:szCs w:val="24"/>
        </w:rPr>
        <w:t>.</w:t>
      </w:r>
      <w:r w:rsidR="00C5508D" w:rsidRPr="00D2139B">
        <w:rPr>
          <w:rFonts w:ascii="Arial" w:hAnsi="Arial" w:cs="Arial"/>
          <w:sz w:val="24"/>
          <w:szCs w:val="24"/>
        </w:rPr>
        <w:t xml:space="preserve"> </w:t>
      </w:r>
    </w:p>
    <w:p w14:paraId="7971ED44" w14:textId="77777777" w:rsidR="00684B5E" w:rsidRPr="00684B5E" w:rsidRDefault="00684B5E" w:rsidP="00684B5E">
      <w:pPr>
        <w:pStyle w:val="ListParagraph"/>
        <w:rPr>
          <w:rFonts w:ascii="Arial" w:hAnsi="Arial" w:cs="Arial"/>
          <w:sz w:val="24"/>
          <w:szCs w:val="24"/>
        </w:rPr>
      </w:pPr>
    </w:p>
    <w:p w14:paraId="43927BFA" w14:textId="70125DAF"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C5508D" w:rsidRPr="00D2139B">
        <w:rPr>
          <w:rFonts w:ascii="Arial" w:hAnsi="Arial" w:cs="Arial"/>
          <w:sz w:val="24"/>
          <w:szCs w:val="24"/>
        </w:rPr>
        <w:t xml:space="preserve">The facts of the matter at hand lend themselves, moreover, to a review application under rule 53. If the procedure had been followed correctly, then the respondent would have been required to have produced the record of the decisions, including the tender </w:t>
      </w:r>
      <w:proofErr w:type="gramStart"/>
      <w:r w:rsidR="00C5508D" w:rsidRPr="00D2139B">
        <w:rPr>
          <w:rFonts w:ascii="Arial" w:hAnsi="Arial" w:cs="Arial"/>
          <w:sz w:val="24"/>
          <w:szCs w:val="24"/>
        </w:rPr>
        <w:t>briefing</w:t>
      </w:r>
      <w:proofErr w:type="gramEnd"/>
      <w:r w:rsidR="00C5508D" w:rsidRPr="00D2139B">
        <w:rPr>
          <w:rFonts w:ascii="Arial" w:hAnsi="Arial" w:cs="Arial"/>
          <w:sz w:val="24"/>
          <w:szCs w:val="24"/>
        </w:rPr>
        <w:t xml:space="preserve"> and bid opening registers, from which the particulars and contact details of the bidders would have been apparent. It is not evident on the papers that the applicant was ever prevented from adopting such an approach. Without intending to make any specific finding in relation thereto, the court is not at all convinced that the matter was as urgent as the applicant contends.</w:t>
      </w:r>
    </w:p>
    <w:p w14:paraId="0E755DD9" w14:textId="77777777" w:rsidR="00684B5E" w:rsidRPr="00684B5E" w:rsidRDefault="00684B5E" w:rsidP="00684B5E">
      <w:pPr>
        <w:pStyle w:val="ListParagraph"/>
        <w:rPr>
          <w:rFonts w:ascii="Arial" w:hAnsi="Arial" w:cs="Arial"/>
          <w:sz w:val="24"/>
          <w:szCs w:val="24"/>
        </w:rPr>
      </w:pPr>
    </w:p>
    <w:p w14:paraId="3F130E86" w14:textId="7B9FA49C" w:rsidR="004D4623" w:rsidRPr="00D2139B" w:rsidRDefault="00D2139B" w:rsidP="00D2139B">
      <w:pPr>
        <w:spacing w:line="360" w:lineRule="auto"/>
        <w:jc w:val="both"/>
        <w:rPr>
          <w:rFonts w:ascii="Arial" w:hAnsi="Arial" w:cs="Arial"/>
          <w:sz w:val="24"/>
          <w:szCs w:val="24"/>
        </w:rPr>
      </w:pPr>
      <w:r w:rsidRPr="00684B5E">
        <w:rPr>
          <w:rFonts w:ascii="Arial" w:hAnsi="Arial" w:cs="Arial"/>
          <w:sz w:val="24"/>
          <w:szCs w:val="24"/>
        </w:rPr>
        <w:t>[28]</w:t>
      </w:r>
      <w:r w:rsidRPr="00684B5E">
        <w:rPr>
          <w:rFonts w:ascii="Arial" w:hAnsi="Arial" w:cs="Arial"/>
          <w:sz w:val="24"/>
          <w:szCs w:val="24"/>
        </w:rPr>
        <w:tab/>
      </w:r>
      <w:r w:rsidR="001225FE" w:rsidRPr="00D2139B">
        <w:rPr>
          <w:rFonts w:ascii="Arial" w:hAnsi="Arial" w:cs="Arial"/>
          <w:sz w:val="24"/>
          <w:szCs w:val="24"/>
        </w:rPr>
        <w:t xml:space="preserve">In </w:t>
      </w:r>
      <w:proofErr w:type="spellStart"/>
      <w:r w:rsidR="004D4623" w:rsidRPr="00D2139B">
        <w:rPr>
          <w:rFonts w:ascii="Arial" w:hAnsi="Arial" w:cs="Arial"/>
          <w:i/>
          <w:iCs/>
          <w:sz w:val="24"/>
          <w:szCs w:val="24"/>
        </w:rPr>
        <w:t>Insamcor</w:t>
      </w:r>
      <w:proofErr w:type="spellEnd"/>
      <w:r w:rsidR="004D4623" w:rsidRPr="00D2139B">
        <w:rPr>
          <w:rFonts w:ascii="Arial" w:hAnsi="Arial" w:cs="Arial"/>
          <w:i/>
          <w:iCs/>
          <w:sz w:val="24"/>
          <w:szCs w:val="24"/>
        </w:rPr>
        <w:t xml:space="preserve"> (Pty) Ltd v </w:t>
      </w:r>
      <w:proofErr w:type="spellStart"/>
      <w:r w:rsidR="004D4623" w:rsidRPr="00D2139B">
        <w:rPr>
          <w:rFonts w:ascii="Arial" w:hAnsi="Arial" w:cs="Arial"/>
          <w:i/>
          <w:iCs/>
          <w:sz w:val="24"/>
          <w:szCs w:val="24"/>
        </w:rPr>
        <w:t>Dorbyl</w:t>
      </w:r>
      <w:proofErr w:type="spellEnd"/>
      <w:r w:rsidR="004D4623" w:rsidRPr="00D2139B">
        <w:rPr>
          <w:rFonts w:ascii="Arial" w:hAnsi="Arial" w:cs="Arial"/>
          <w:i/>
          <w:iCs/>
          <w:sz w:val="24"/>
          <w:szCs w:val="24"/>
        </w:rPr>
        <w:t xml:space="preserve"> Light &amp; General Engineering (Pty) Ltd; </w:t>
      </w:r>
      <w:proofErr w:type="spellStart"/>
      <w:r w:rsidR="004D4623" w:rsidRPr="00D2139B">
        <w:rPr>
          <w:rFonts w:ascii="Arial" w:hAnsi="Arial" w:cs="Arial"/>
          <w:i/>
          <w:iCs/>
          <w:sz w:val="24"/>
          <w:szCs w:val="24"/>
        </w:rPr>
        <w:t>Dorbyl</w:t>
      </w:r>
      <w:proofErr w:type="spellEnd"/>
      <w:r w:rsidR="004D4623" w:rsidRPr="00D2139B">
        <w:rPr>
          <w:rFonts w:ascii="Arial" w:hAnsi="Arial" w:cs="Arial"/>
          <w:i/>
          <w:iCs/>
          <w:sz w:val="24"/>
          <w:szCs w:val="24"/>
        </w:rPr>
        <w:t xml:space="preserve"> Light &amp; General Engineering (Pty) Ltd v </w:t>
      </w:r>
      <w:proofErr w:type="spellStart"/>
      <w:r w:rsidR="004D4623" w:rsidRPr="00D2139B">
        <w:rPr>
          <w:rFonts w:ascii="Arial" w:hAnsi="Arial" w:cs="Arial"/>
          <w:i/>
          <w:iCs/>
          <w:sz w:val="24"/>
          <w:szCs w:val="24"/>
        </w:rPr>
        <w:t>Insamcor</w:t>
      </w:r>
      <w:proofErr w:type="spellEnd"/>
      <w:r w:rsidR="004D4623" w:rsidRPr="00D2139B">
        <w:rPr>
          <w:rFonts w:ascii="Arial" w:hAnsi="Arial" w:cs="Arial"/>
          <w:i/>
          <w:iCs/>
          <w:sz w:val="24"/>
          <w:szCs w:val="24"/>
        </w:rPr>
        <w:t xml:space="preserve"> (Pty) Ltd</w:t>
      </w:r>
      <w:r w:rsidR="001225FE" w:rsidRPr="00D2139B">
        <w:rPr>
          <w:rFonts w:ascii="Arial" w:hAnsi="Arial" w:cs="Arial"/>
          <w:sz w:val="24"/>
          <w:szCs w:val="24"/>
        </w:rPr>
        <w:t>,</w:t>
      </w:r>
      <w:r w:rsidR="004D4623">
        <w:rPr>
          <w:rStyle w:val="FootnoteReference"/>
          <w:rFonts w:ascii="Arial" w:hAnsi="Arial" w:cs="Arial"/>
          <w:sz w:val="24"/>
          <w:szCs w:val="24"/>
        </w:rPr>
        <w:footnoteReference w:id="8"/>
      </w:r>
      <w:r w:rsidR="001225FE" w:rsidRPr="00D2139B">
        <w:rPr>
          <w:rFonts w:ascii="Arial" w:hAnsi="Arial" w:cs="Arial"/>
          <w:sz w:val="24"/>
          <w:szCs w:val="24"/>
        </w:rPr>
        <w:t xml:space="preserve"> the court held </w:t>
      </w:r>
      <w:r w:rsidR="004D4623" w:rsidRPr="00D2139B">
        <w:rPr>
          <w:rFonts w:ascii="Arial" w:hAnsi="Arial" w:cs="Arial"/>
          <w:sz w:val="24"/>
          <w:szCs w:val="24"/>
        </w:rPr>
        <w:t>as follows:</w:t>
      </w:r>
    </w:p>
    <w:p w14:paraId="61A34067" w14:textId="54FA0FCF" w:rsidR="004D4623" w:rsidRPr="00282711" w:rsidRDefault="004D4623" w:rsidP="00684B5E">
      <w:pPr>
        <w:spacing w:line="360" w:lineRule="auto"/>
        <w:ind w:left="720"/>
        <w:jc w:val="both"/>
        <w:rPr>
          <w:rFonts w:ascii="Arial" w:hAnsi="Arial" w:cs="Arial"/>
          <w:sz w:val="20"/>
          <w:szCs w:val="20"/>
        </w:rPr>
      </w:pPr>
      <w:r w:rsidRPr="00282711">
        <w:rPr>
          <w:rFonts w:ascii="Arial" w:hAnsi="Arial" w:cs="Arial"/>
          <w:sz w:val="20"/>
          <w:szCs w:val="20"/>
        </w:rPr>
        <w:t>‘</w:t>
      </w:r>
      <w:r w:rsidR="000E3FCF" w:rsidRPr="00282711">
        <w:rPr>
          <w:rFonts w:ascii="Arial" w:hAnsi="Arial" w:cs="Arial"/>
          <w:sz w:val="20"/>
          <w:szCs w:val="20"/>
        </w:rPr>
        <w:t xml:space="preserve">[28] </w:t>
      </w:r>
      <w:r w:rsidRPr="00282711">
        <w:rPr>
          <w:rFonts w:ascii="Arial" w:hAnsi="Arial" w:cs="Arial"/>
          <w:sz w:val="20"/>
          <w:szCs w:val="20"/>
        </w:rPr>
        <w:t>…in some instances it would be wellnigh impossible</w:t>
      </w:r>
      <w:r w:rsidR="000E3FCF" w:rsidRPr="00282711">
        <w:rPr>
          <w:rFonts w:ascii="Arial" w:hAnsi="Arial" w:cs="Arial"/>
          <w:sz w:val="20"/>
          <w:szCs w:val="20"/>
        </w:rPr>
        <w:t xml:space="preserve"> to join every party to a contract with the deregistered company and any other third party who may be prejudicially affected by the registration order as respondents in the application. That, however, is not a novel dilemma. It often arises in cases where necessary parties may be numerous and sometimes even unknown. For many years this problem has been resolved by the mechanism of issuing a rule </w:t>
      </w:r>
      <w:r w:rsidR="000E3FCF" w:rsidRPr="00282711">
        <w:rPr>
          <w:rFonts w:ascii="Arial" w:hAnsi="Arial" w:cs="Arial"/>
          <w:i/>
          <w:iCs/>
          <w:sz w:val="20"/>
          <w:szCs w:val="20"/>
        </w:rPr>
        <w:t>nisi</w:t>
      </w:r>
      <w:r w:rsidR="000E3FCF" w:rsidRPr="00282711">
        <w:rPr>
          <w:rFonts w:ascii="Arial" w:hAnsi="Arial" w:cs="Arial"/>
          <w:sz w:val="20"/>
          <w:szCs w:val="20"/>
        </w:rPr>
        <w:t>, as an alternative to actual joinder of all necessary parties…</w:t>
      </w:r>
    </w:p>
    <w:p w14:paraId="2A4FEE3F" w14:textId="1617DD64" w:rsidR="000E3FCF" w:rsidRPr="00282711" w:rsidRDefault="000E3FCF" w:rsidP="00684B5E">
      <w:pPr>
        <w:spacing w:line="360" w:lineRule="auto"/>
        <w:ind w:left="720"/>
        <w:jc w:val="both"/>
        <w:rPr>
          <w:rFonts w:ascii="Arial" w:hAnsi="Arial" w:cs="Arial"/>
          <w:sz w:val="20"/>
          <w:szCs w:val="20"/>
        </w:rPr>
      </w:pPr>
      <w:r w:rsidRPr="00282711">
        <w:rPr>
          <w:rFonts w:ascii="Arial" w:hAnsi="Arial" w:cs="Arial"/>
          <w:sz w:val="20"/>
          <w:szCs w:val="20"/>
        </w:rPr>
        <w:lastRenderedPageBreak/>
        <w:t>[</w:t>
      </w:r>
      <w:r w:rsidR="00282711" w:rsidRPr="00282711">
        <w:rPr>
          <w:rFonts w:ascii="Arial" w:hAnsi="Arial" w:cs="Arial"/>
          <w:sz w:val="20"/>
          <w:szCs w:val="20"/>
        </w:rPr>
        <w:t>29] …</w:t>
      </w:r>
      <w:r w:rsidRPr="00282711">
        <w:rPr>
          <w:rFonts w:ascii="Arial" w:hAnsi="Arial" w:cs="Arial"/>
          <w:sz w:val="20"/>
          <w:szCs w:val="20"/>
        </w:rPr>
        <w:t xml:space="preserve">since failure to react to the rule </w:t>
      </w:r>
      <w:r w:rsidRPr="00282711">
        <w:rPr>
          <w:rFonts w:ascii="Arial" w:hAnsi="Arial" w:cs="Arial"/>
          <w:i/>
          <w:iCs/>
          <w:sz w:val="20"/>
          <w:szCs w:val="20"/>
        </w:rPr>
        <w:t>nisi</w:t>
      </w:r>
      <w:r w:rsidRPr="00282711">
        <w:rPr>
          <w:rFonts w:ascii="Arial" w:hAnsi="Arial" w:cs="Arial"/>
          <w:sz w:val="20"/>
          <w:szCs w:val="20"/>
        </w:rPr>
        <w:t xml:space="preserve"> will give rise to deemed consent, proper care should be taken in issuing directions as to service of the rule. Where a particular party can be identified a priori as a necessary party… service of the rule on that party should be directed, while notice to unknown potentially interested parties can be ensured through publication of the rule…’</w:t>
      </w:r>
    </w:p>
    <w:p w14:paraId="185B26BC" w14:textId="77777777" w:rsidR="004D4623" w:rsidRDefault="004D4623" w:rsidP="00EC3227">
      <w:pPr>
        <w:spacing w:line="360" w:lineRule="auto"/>
        <w:rPr>
          <w:rFonts w:ascii="Arial" w:hAnsi="Arial" w:cs="Arial"/>
          <w:sz w:val="24"/>
          <w:szCs w:val="24"/>
        </w:rPr>
      </w:pPr>
    </w:p>
    <w:p w14:paraId="1DB06B67" w14:textId="5D052610"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91585" w:rsidRPr="00D2139B">
        <w:rPr>
          <w:rFonts w:ascii="Arial" w:hAnsi="Arial" w:cs="Arial"/>
          <w:sz w:val="24"/>
          <w:szCs w:val="24"/>
        </w:rPr>
        <w:t>It</w:t>
      </w:r>
      <w:r w:rsidR="001225FE" w:rsidRPr="00D2139B">
        <w:rPr>
          <w:rFonts w:ascii="Arial" w:hAnsi="Arial" w:cs="Arial"/>
          <w:sz w:val="24"/>
          <w:szCs w:val="24"/>
        </w:rPr>
        <w:t xml:space="preserve"> </w:t>
      </w:r>
      <w:r w:rsidR="00BE63B1" w:rsidRPr="00D2139B">
        <w:rPr>
          <w:rFonts w:ascii="Arial" w:hAnsi="Arial" w:cs="Arial"/>
          <w:sz w:val="24"/>
          <w:szCs w:val="24"/>
        </w:rPr>
        <w:t>may</w:t>
      </w:r>
      <w:r w:rsidR="001225FE" w:rsidRPr="00D2139B">
        <w:rPr>
          <w:rFonts w:ascii="Arial" w:hAnsi="Arial" w:cs="Arial"/>
          <w:sz w:val="24"/>
          <w:szCs w:val="24"/>
        </w:rPr>
        <w:t xml:space="preserve"> have been preferable for the applicant to have </w:t>
      </w:r>
      <w:r w:rsidR="00BE63B1" w:rsidRPr="00D2139B">
        <w:rPr>
          <w:rFonts w:ascii="Arial" w:hAnsi="Arial" w:cs="Arial"/>
          <w:sz w:val="24"/>
          <w:szCs w:val="24"/>
        </w:rPr>
        <w:t xml:space="preserve">adopted a similar strategy, relying on </w:t>
      </w:r>
      <w:r w:rsidR="00282711" w:rsidRPr="00D2139B">
        <w:rPr>
          <w:rFonts w:ascii="Arial" w:hAnsi="Arial" w:cs="Arial"/>
          <w:sz w:val="24"/>
          <w:szCs w:val="24"/>
        </w:rPr>
        <w:t xml:space="preserve">a rule </w:t>
      </w:r>
      <w:r w:rsidR="00282711" w:rsidRPr="00D2139B">
        <w:rPr>
          <w:rFonts w:ascii="Arial" w:hAnsi="Arial" w:cs="Arial"/>
          <w:i/>
          <w:iCs/>
          <w:sz w:val="24"/>
          <w:szCs w:val="24"/>
        </w:rPr>
        <w:t>nisi</w:t>
      </w:r>
      <w:r w:rsidR="00BE63B1" w:rsidRPr="00D2139B">
        <w:rPr>
          <w:rFonts w:ascii="Arial" w:hAnsi="Arial" w:cs="Arial"/>
          <w:sz w:val="24"/>
          <w:szCs w:val="24"/>
        </w:rPr>
        <w:t xml:space="preserve"> to obtain </w:t>
      </w:r>
      <w:r w:rsidR="007814C1" w:rsidRPr="00D2139B">
        <w:rPr>
          <w:rFonts w:ascii="Arial" w:hAnsi="Arial" w:cs="Arial"/>
          <w:sz w:val="24"/>
          <w:szCs w:val="24"/>
        </w:rPr>
        <w:t xml:space="preserve">the particulars and contact details </w:t>
      </w:r>
      <w:r w:rsidR="00992C48" w:rsidRPr="00D2139B">
        <w:rPr>
          <w:rFonts w:ascii="Arial" w:hAnsi="Arial" w:cs="Arial"/>
          <w:sz w:val="24"/>
          <w:szCs w:val="24"/>
        </w:rPr>
        <w:t>of the bidders and subsequently joining them to the proceedings. This</w:t>
      </w:r>
      <w:r w:rsidR="00C5508D" w:rsidRPr="00D2139B">
        <w:rPr>
          <w:rFonts w:ascii="Arial" w:hAnsi="Arial" w:cs="Arial"/>
          <w:sz w:val="24"/>
          <w:szCs w:val="24"/>
        </w:rPr>
        <w:t xml:space="preserve"> was never done.</w:t>
      </w:r>
    </w:p>
    <w:p w14:paraId="41E014C2" w14:textId="77777777" w:rsidR="00684B5E" w:rsidRDefault="00684B5E" w:rsidP="00684B5E">
      <w:pPr>
        <w:pStyle w:val="ListParagraph"/>
        <w:spacing w:line="360" w:lineRule="auto"/>
        <w:ind w:left="0"/>
        <w:jc w:val="both"/>
        <w:rPr>
          <w:rFonts w:ascii="Arial" w:hAnsi="Arial" w:cs="Arial"/>
          <w:sz w:val="24"/>
          <w:szCs w:val="24"/>
        </w:rPr>
      </w:pPr>
    </w:p>
    <w:p w14:paraId="1A5A1189" w14:textId="125AE4D5"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C5508D" w:rsidRPr="00D2139B">
        <w:rPr>
          <w:rFonts w:ascii="Arial" w:hAnsi="Arial" w:cs="Arial"/>
          <w:sz w:val="24"/>
          <w:szCs w:val="24"/>
        </w:rPr>
        <w:t>Ultimately, it</w:t>
      </w:r>
      <w:r w:rsidR="00992C48" w:rsidRPr="00D2139B">
        <w:rPr>
          <w:rFonts w:ascii="Arial" w:hAnsi="Arial" w:cs="Arial"/>
          <w:sz w:val="24"/>
          <w:szCs w:val="24"/>
        </w:rPr>
        <w:t xml:space="preserve"> </w:t>
      </w:r>
      <w:r w:rsidR="005878F1" w:rsidRPr="00D2139B">
        <w:rPr>
          <w:rFonts w:ascii="Arial" w:hAnsi="Arial" w:cs="Arial"/>
          <w:sz w:val="24"/>
          <w:szCs w:val="24"/>
        </w:rPr>
        <w:t>wa</w:t>
      </w:r>
      <w:r w:rsidR="00992C48" w:rsidRPr="00D2139B">
        <w:rPr>
          <w:rFonts w:ascii="Arial" w:hAnsi="Arial" w:cs="Arial"/>
          <w:sz w:val="24"/>
          <w:szCs w:val="24"/>
        </w:rPr>
        <w:t>s not the respondent’s responsibility</w:t>
      </w:r>
      <w:r w:rsidR="00C5508D" w:rsidRPr="00D2139B">
        <w:rPr>
          <w:rFonts w:ascii="Arial" w:hAnsi="Arial" w:cs="Arial"/>
          <w:sz w:val="24"/>
          <w:szCs w:val="24"/>
        </w:rPr>
        <w:t xml:space="preserve"> to have ensured that the applicant was fully </w:t>
      </w:r>
      <w:r w:rsidR="005878F1" w:rsidRPr="00D2139B">
        <w:rPr>
          <w:rFonts w:ascii="Arial" w:hAnsi="Arial" w:cs="Arial"/>
          <w:sz w:val="24"/>
          <w:szCs w:val="24"/>
        </w:rPr>
        <w:t>armed with the relevant information before embarking upon litigation</w:t>
      </w:r>
      <w:r w:rsidR="00992C48" w:rsidRPr="00D2139B">
        <w:rPr>
          <w:rFonts w:ascii="Arial" w:hAnsi="Arial" w:cs="Arial"/>
          <w:sz w:val="24"/>
          <w:szCs w:val="24"/>
        </w:rPr>
        <w:t>.</w:t>
      </w:r>
      <w:r w:rsidR="005878F1" w:rsidRPr="00D2139B">
        <w:rPr>
          <w:rFonts w:ascii="Arial" w:hAnsi="Arial" w:cs="Arial"/>
          <w:sz w:val="24"/>
          <w:szCs w:val="24"/>
        </w:rPr>
        <w:t xml:space="preserve"> It was up to the applicant, as </w:t>
      </w:r>
      <w:r w:rsidR="005878F1" w:rsidRPr="00D2139B">
        <w:rPr>
          <w:rFonts w:ascii="Arial" w:hAnsi="Arial" w:cs="Arial"/>
          <w:i/>
          <w:iCs/>
          <w:sz w:val="24"/>
          <w:szCs w:val="24"/>
        </w:rPr>
        <w:t>dominus litis</w:t>
      </w:r>
      <w:r w:rsidR="005878F1" w:rsidRPr="00D2139B">
        <w:rPr>
          <w:rFonts w:ascii="Arial" w:hAnsi="Arial" w:cs="Arial"/>
          <w:sz w:val="24"/>
          <w:szCs w:val="24"/>
        </w:rPr>
        <w:t xml:space="preserve">, to have identified the necessary parties beforehand and to have prepared and executed an appropriate strategy </w:t>
      </w:r>
      <w:proofErr w:type="gramStart"/>
      <w:r w:rsidR="005878F1" w:rsidRPr="00D2139B">
        <w:rPr>
          <w:rFonts w:ascii="Arial" w:hAnsi="Arial" w:cs="Arial"/>
          <w:sz w:val="24"/>
          <w:szCs w:val="24"/>
        </w:rPr>
        <w:t>with regard to</w:t>
      </w:r>
      <w:proofErr w:type="gramEnd"/>
      <w:r w:rsidR="005878F1" w:rsidRPr="00D2139B">
        <w:rPr>
          <w:rFonts w:ascii="Arial" w:hAnsi="Arial" w:cs="Arial"/>
          <w:sz w:val="24"/>
          <w:szCs w:val="24"/>
        </w:rPr>
        <w:t xml:space="preserve"> joinder.</w:t>
      </w:r>
    </w:p>
    <w:p w14:paraId="53689064" w14:textId="77777777" w:rsidR="00684B5E" w:rsidRPr="00684B5E" w:rsidRDefault="00684B5E" w:rsidP="00684B5E">
      <w:pPr>
        <w:pStyle w:val="ListParagraph"/>
        <w:rPr>
          <w:rFonts w:ascii="Arial" w:hAnsi="Arial" w:cs="Arial"/>
          <w:sz w:val="24"/>
          <w:szCs w:val="24"/>
        </w:rPr>
      </w:pPr>
    </w:p>
    <w:p w14:paraId="5BD57D76" w14:textId="77777777" w:rsidR="00684B5E" w:rsidRPr="00684B5E" w:rsidRDefault="00684B5E" w:rsidP="00684B5E">
      <w:pPr>
        <w:pStyle w:val="ListParagraph"/>
        <w:rPr>
          <w:rFonts w:ascii="Arial" w:hAnsi="Arial" w:cs="Arial"/>
          <w:b/>
          <w:bCs/>
          <w:sz w:val="24"/>
          <w:szCs w:val="24"/>
        </w:rPr>
      </w:pPr>
    </w:p>
    <w:p w14:paraId="538CCA28" w14:textId="77777777" w:rsidR="00684B5E" w:rsidRPr="00684B5E" w:rsidRDefault="00992C48" w:rsidP="00684B5E">
      <w:pPr>
        <w:pStyle w:val="ListParagraph"/>
        <w:spacing w:line="360" w:lineRule="auto"/>
        <w:ind w:left="0"/>
        <w:jc w:val="both"/>
        <w:rPr>
          <w:rFonts w:ascii="Arial" w:hAnsi="Arial" w:cs="Arial"/>
          <w:sz w:val="24"/>
          <w:szCs w:val="24"/>
        </w:rPr>
      </w:pPr>
      <w:r w:rsidRPr="00684B5E">
        <w:rPr>
          <w:rFonts w:ascii="Arial" w:hAnsi="Arial" w:cs="Arial"/>
          <w:b/>
          <w:bCs/>
          <w:sz w:val="24"/>
          <w:szCs w:val="24"/>
        </w:rPr>
        <w:t>Relief and order</w:t>
      </w:r>
    </w:p>
    <w:p w14:paraId="21616ECE" w14:textId="77777777" w:rsidR="00684B5E" w:rsidRPr="00684B5E" w:rsidRDefault="00684B5E" w:rsidP="00684B5E">
      <w:pPr>
        <w:pStyle w:val="ListParagraph"/>
        <w:rPr>
          <w:rFonts w:ascii="Arial" w:hAnsi="Arial" w:cs="Arial"/>
          <w:sz w:val="24"/>
          <w:szCs w:val="24"/>
        </w:rPr>
      </w:pPr>
    </w:p>
    <w:p w14:paraId="471D146E" w14:textId="2B365483"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92C48" w:rsidRPr="00D2139B">
        <w:rPr>
          <w:rFonts w:ascii="Arial" w:hAnsi="Arial" w:cs="Arial"/>
          <w:sz w:val="24"/>
          <w:szCs w:val="24"/>
        </w:rPr>
        <w:t>The determination of the question about the lawfulness of an organ of state’s not making tender documents available, free of charge, would certainly be of interest to</w:t>
      </w:r>
      <w:r w:rsidR="005878F1" w:rsidRPr="00D2139B">
        <w:rPr>
          <w:rFonts w:ascii="Arial" w:hAnsi="Arial" w:cs="Arial"/>
          <w:sz w:val="24"/>
          <w:szCs w:val="24"/>
        </w:rPr>
        <w:t xml:space="preserve"> </w:t>
      </w:r>
      <w:r w:rsidR="00992C48" w:rsidRPr="00D2139B">
        <w:rPr>
          <w:rFonts w:ascii="Arial" w:hAnsi="Arial" w:cs="Arial"/>
          <w:sz w:val="24"/>
          <w:szCs w:val="24"/>
        </w:rPr>
        <w:t>supply chain management practitioners,</w:t>
      </w:r>
      <w:r w:rsidR="005878F1" w:rsidRPr="00D2139B">
        <w:rPr>
          <w:rFonts w:ascii="Arial" w:hAnsi="Arial" w:cs="Arial"/>
          <w:sz w:val="24"/>
          <w:szCs w:val="24"/>
        </w:rPr>
        <w:t xml:space="preserve"> </w:t>
      </w:r>
      <w:r w:rsidR="00992C48" w:rsidRPr="00D2139B">
        <w:rPr>
          <w:rFonts w:ascii="Arial" w:hAnsi="Arial" w:cs="Arial"/>
          <w:sz w:val="24"/>
          <w:szCs w:val="24"/>
        </w:rPr>
        <w:t>potential bidders</w:t>
      </w:r>
      <w:r w:rsidR="00191585" w:rsidRPr="00D2139B">
        <w:rPr>
          <w:rFonts w:ascii="Arial" w:hAnsi="Arial" w:cs="Arial"/>
          <w:sz w:val="24"/>
          <w:szCs w:val="24"/>
        </w:rPr>
        <w:t>, and lawyers who practise in this field.</w:t>
      </w:r>
      <w:r w:rsidR="00992C48" w:rsidRPr="00D2139B">
        <w:rPr>
          <w:rFonts w:ascii="Arial" w:hAnsi="Arial" w:cs="Arial"/>
          <w:sz w:val="24"/>
          <w:szCs w:val="24"/>
        </w:rPr>
        <w:t xml:space="preserve"> However, the vehicle by which to do so</w:t>
      </w:r>
      <w:r w:rsidR="008812B2" w:rsidRPr="00D2139B">
        <w:rPr>
          <w:rFonts w:ascii="Arial" w:hAnsi="Arial" w:cs="Arial"/>
          <w:sz w:val="24"/>
          <w:szCs w:val="24"/>
        </w:rPr>
        <w:t xml:space="preserve"> must be </w:t>
      </w:r>
      <w:r w:rsidR="00992C48" w:rsidRPr="00D2139B">
        <w:rPr>
          <w:rFonts w:ascii="Arial" w:hAnsi="Arial" w:cs="Arial"/>
          <w:sz w:val="24"/>
          <w:szCs w:val="24"/>
        </w:rPr>
        <w:t xml:space="preserve">up to the task. The </w:t>
      </w:r>
      <w:r w:rsidR="008812B2" w:rsidRPr="00D2139B">
        <w:rPr>
          <w:rFonts w:ascii="Arial" w:hAnsi="Arial" w:cs="Arial"/>
          <w:sz w:val="24"/>
          <w:szCs w:val="24"/>
        </w:rPr>
        <w:t xml:space="preserve">present </w:t>
      </w:r>
      <w:r w:rsidR="00992C48" w:rsidRPr="00D2139B">
        <w:rPr>
          <w:rFonts w:ascii="Arial" w:hAnsi="Arial" w:cs="Arial"/>
          <w:sz w:val="24"/>
          <w:szCs w:val="24"/>
        </w:rPr>
        <w:t xml:space="preserve">application is </w:t>
      </w:r>
      <w:r w:rsidR="008812B2" w:rsidRPr="00D2139B">
        <w:rPr>
          <w:rFonts w:ascii="Arial" w:hAnsi="Arial" w:cs="Arial"/>
          <w:sz w:val="24"/>
          <w:szCs w:val="24"/>
        </w:rPr>
        <w:t>not well-considered</w:t>
      </w:r>
      <w:r w:rsidR="005878F1" w:rsidRPr="00D2139B">
        <w:rPr>
          <w:rFonts w:ascii="Arial" w:hAnsi="Arial" w:cs="Arial"/>
          <w:sz w:val="24"/>
          <w:szCs w:val="24"/>
        </w:rPr>
        <w:t>; i</w:t>
      </w:r>
      <w:r w:rsidR="008812B2" w:rsidRPr="00D2139B">
        <w:rPr>
          <w:rFonts w:ascii="Arial" w:hAnsi="Arial" w:cs="Arial"/>
          <w:sz w:val="24"/>
          <w:szCs w:val="24"/>
        </w:rPr>
        <w:t xml:space="preserve">t is </w:t>
      </w:r>
      <w:r w:rsidR="00992C48" w:rsidRPr="00D2139B">
        <w:rPr>
          <w:rFonts w:ascii="Arial" w:hAnsi="Arial" w:cs="Arial"/>
          <w:sz w:val="24"/>
          <w:szCs w:val="24"/>
        </w:rPr>
        <w:t>replete with shortcomings</w:t>
      </w:r>
      <w:r w:rsidR="00191585" w:rsidRPr="00D2139B">
        <w:rPr>
          <w:rFonts w:ascii="Arial" w:hAnsi="Arial" w:cs="Arial"/>
          <w:sz w:val="24"/>
          <w:szCs w:val="24"/>
        </w:rPr>
        <w:t>,</w:t>
      </w:r>
      <w:r w:rsidR="00992C48" w:rsidRPr="00D2139B">
        <w:rPr>
          <w:rFonts w:ascii="Arial" w:hAnsi="Arial" w:cs="Arial"/>
          <w:sz w:val="24"/>
          <w:szCs w:val="24"/>
        </w:rPr>
        <w:t xml:space="preserve"> of which non-joinder is simply the most immediate. </w:t>
      </w:r>
      <w:r w:rsidR="008812B2" w:rsidRPr="00D2139B">
        <w:rPr>
          <w:rFonts w:ascii="Arial" w:hAnsi="Arial" w:cs="Arial"/>
          <w:sz w:val="24"/>
          <w:szCs w:val="24"/>
        </w:rPr>
        <w:t xml:space="preserve">On its own, the point of non-joinder is sufficient to deny the relief sought by the </w:t>
      </w:r>
      <w:r w:rsidR="00992C48" w:rsidRPr="00D2139B">
        <w:rPr>
          <w:rFonts w:ascii="Arial" w:hAnsi="Arial" w:cs="Arial"/>
          <w:sz w:val="24"/>
          <w:szCs w:val="24"/>
        </w:rPr>
        <w:t>applicant</w:t>
      </w:r>
      <w:r w:rsidR="005878F1" w:rsidRPr="00D2139B">
        <w:rPr>
          <w:rFonts w:ascii="Arial" w:hAnsi="Arial" w:cs="Arial"/>
          <w:sz w:val="24"/>
          <w:szCs w:val="24"/>
        </w:rPr>
        <w:t xml:space="preserve">. </w:t>
      </w:r>
    </w:p>
    <w:p w14:paraId="49B4C76C" w14:textId="77777777" w:rsidR="002636D3" w:rsidRDefault="002636D3" w:rsidP="002636D3">
      <w:pPr>
        <w:pStyle w:val="ListParagraph"/>
        <w:spacing w:line="360" w:lineRule="auto"/>
        <w:ind w:left="0"/>
        <w:jc w:val="both"/>
        <w:rPr>
          <w:rFonts w:ascii="Arial" w:hAnsi="Arial" w:cs="Arial"/>
          <w:sz w:val="24"/>
          <w:szCs w:val="24"/>
        </w:rPr>
      </w:pPr>
    </w:p>
    <w:p w14:paraId="1CD356D4" w14:textId="174C5863" w:rsidR="00684B5E" w:rsidRPr="00D2139B" w:rsidRDefault="00D2139B" w:rsidP="00D2139B">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8812B2" w:rsidRPr="00D2139B">
        <w:rPr>
          <w:rFonts w:ascii="Arial" w:hAnsi="Arial" w:cs="Arial"/>
          <w:sz w:val="24"/>
          <w:szCs w:val="24"/>
        </w:rPr>
        <w:t>The respondent has sought costs on an attorney-and-client scale.</w:t>
      </w:r>
      <w:r w:rsidR="005878F1" w:rsidRPr="00D2139B">
        <w:rPr>
          <w:rFonts w:ascii="Arial" w:hAnsi="Arial" w:cs="Arial"/>
          <w:sz w:val="24"/>
          <w:szCs w:val="24"/>
        </w:rPr>
        <w:t xml:space="preserve"> However, the court has confined its focus to the point of non-joinder and has not considered the question of urgency or the remaining issues. There is no basis upon which to deviate from the usual relief that should follow in that regard.</w:t>
      </w:r>
    </w:p>
    <w:p w14:paraId="461DEC2A" w14:textId="77777777" w:rsidR="00684B5E" w:rsidRDefault="00684B5E" w:rsidP="00684B5E">
      <w:pPr>
        <w:pStyle w:val="ListParagraph"/>
        <w:spacing w:line="360" w:lineRule="auto"/>
        <w:ind w:left="0"/>
        <w:jc w:val="both"/>
        <w:rPr>
          <w:rFonts w:ascii="Arial" w:hAnsi="Arial" w:cs="Arial"/>
          <w:sz w:val="24"/>
          <w:szCs w:val="24"/>
        </w:rPr>
      </w:pPr>
    </w:p>
    <w:p w14:paraId="21F9880C" w14:textId="20AC6CA9" w:rsidR="005878F1" w:rsidRPr="00D2139B" w:rsidRDefault="00D2139B" w:rsidP="00D2139B">
      <w:pPr>
        <w:spacing w:line="360" w:lineRule="auto"/>
        <w:jc w:val="both"/>
        <w:rPr>
          <w:rFonts w:ascii="Arial" w:hAnsi="Arial" w:cs="Arial"/>
          <w:sz w:val="24"/>
          <w:szCs w:val="24"/>
        </w:rPr>
      </w:pPr>
      <w:r w:rsidRPr="00684B5E">
        <w:rPr>
          <w:rFonts w:ascii="Arial" w:hAnsi="Arial" w:cs="Arial"/>
          <w:sz w:val="24"/>
          <w:szCs w:val="24"/>
        </w:rPr>
        <w:t>[33]</w:t>
      </w:r>
      <w:r w:rsidRPr="00684B5E">
        <w:rPr>
          <w:rFonts w:ascii="Arial" w:hAnsi="Arial" w:cs="Arial"/>
          <w:sz w:val="24"/>
          <w:szCs w:val="24"/>
        </w:rPr>
        <w:tab/>
      </w:r>
      <w:r w:rsidR="005878F1" w:rsidRPr="00D2139B">
        <w:rPr>
          <w:rFonts w:ascii="Arial" w:hAnsi="Arial" w:cs="Arial"/>
          <w:sz w:val="24"/>
          <w:szCs w:val="24"/>
        </w:rPr>
        <w:t>In the circumstances, the following order is made:</w:t>
      </w:r>
    </w:p>
    <w:p w14:paraId="28B138A6" w14:textId="77777777" w:rsidR="00684B5E" w:rsidRDefault="00684B5E" w:rsidP="00684B5E">
      <w:pPr>
        <w:pStyle w:val="ListParagraph"/>
        <w:spacing w:line="360" w:lineRule="auto"/>
        <w:rPr>
          <w:rFonts w:ascii="Arial" w:hAnsi="Arial" w:cs="Arial"/>
          <w:sz w:val="24"/>
          <w:szCs w:val="24"/>
        </w:rPr>
      </w:pPr>
    </w:p>
    <w:p w14:paraId="6735D1F7" w14:textId="34779D11" w:rsidR="005878F1" w:rsidRPr="00D2139B" w:rsidRDefault="00D2139B" w:rsidP="00D2139B">
      <w:pPr>
        <w:spacing w:line="360" w:lineRule="auto"/>
        <w:ind w:left="720" w:hanging="11"/>
        <w:rPr>
          <w:rFonts w:ascii="Arial" w:hAnsi="Arial" w:cs="Arial"/>
          <w:sz w:val="24"/>
          <w:szCs w:val="24"/>
        </w:rPr>
      </w:pPr>
      <w:r>
        <w:rPr>
          <w:rFonts w:ascii="Arial" w:hAnsi="Arial" w:cs="Arial"/>
          <w:sz w:val="24"/>
          <w:szCs w:val="24"/>
        </w:rPr>
        <w:t>(a)</w:t>
      </w:r>
      <w:r>
        <w:rPr>
          <w:rFonts w:ascii="Arial" w:hAnsi="Arial" w:cs="Arial"/>
          <w:sz w:val="24"/>
          <w:szCs w:val="24"/>
        </w:rPr>
        <w:tab/>
      </w:r>
      <w:r w:rsidR="005878F1" w:rsidRPr="00D2139B">
        <w:rPr>
          <w:rFonts w:ascii="Arial" w:hAnsi="Arial" w:cs="Arial"/>
          <w:sz w:val="24"/>
          <w:szCs w:val="24"/>
        </w:rPr>
        <w:t>the application is dismissed; and</w:t>
      </w:r>
    </w:p>
    <w:p w14:paraId="64600C87" w14:textId="77777777" w:rsidR="005878F1" w:rsidRDefault="005878F1" w:rsidP="005878F1">
      <w:pPr>
        <w:pStyle w:val="ListParagraph"/>
        <w:spacing w:line="360" w:lineRule="auto"/>
        <w:rPr>
          <w:rFonts w:ascii="Arial" w:hAnsi="Arial" w:cs="Arial"/>
          <w:sz w:val="24"/>
          <w:szCs w:val="24"/>
        </w:rPr>
      </w:pPr>
    </w:p>
    <w:p w14:paraId="3F58C96F" w14:textId="61C4CF12" w:rsidR="005878F1" w:rsidRPr="00D2139B" w:rsidRDefault="00D2139B" w:rsidP="00D2139B">
      <w:pPr>
        <w:spacing w:line="360" w:lineRule="auto"/>
        <w:ind w:left="720" w:hanging="11"/>
        <w:rPr>
          <w:rFonts w:ascii="Arial" w:hAnsi="Arial" w:cs="Arial"/>
          <w:sz w:val="24"/>
          <w:szCs w:val="24"/>
        </w:rPr>
      </w:pPr>
      <w:r>
        <w:rPr>
          <w:rFonts w:ascii="Arial" w:hAnsi="Arial" w:cs="Arial"/>
          <w:sz w:val="24"/>
          <w:szCs w:val="24"/>
        </w:rPr>
        <w:t>(b)</w:t>
      </w:r>
      <w:r>
        <w:rPr>
          <w:rFonts w:ascii="Arial" w:hAnsi="Arial" w:cs="Arial"/>
          <w:sz w:val="24"/>
          <w:szCs w:val="24"/>
        </w:rPr>
        <w:tab/>
      </w:r>
      <w:r w:rsidR="005878F1" w:rsidRPr="00D2139B">
        <w:rPr>
          <w:rFonts w:ascii="Arial" w:hAnsi="Arial" w:cs="Arial"/>
          <w:sz w:val="24"/>
          <w:szCs w:val="24"/>
        </w:rPr>
        <w:t>the applicant is directed to pay the respondent’s costs.</w:t>
      </w:r>
    </w:p>
    <w:p w14:paraId="21D1BBEF" w14:textId="77777777" w:rsidR="00191585" w:rsidRPr="00191585" w:rsidRDefault="00191585" w:rsidP="00191585">
      <w:pPr>
        <w:pStyle w:val="ListParagraph"/>
        <w:rPr>
          <w:rFonts w:ascii="Arial" w:hAnsi="Arial" w:cs="Arial"/>
          <w:sz w:val="24"/>
          <w:szCs w:val="24"/>
        </w:rPr>
      </w:pPr>
    </w:p>
    <w:p w14:paraId="55F136D7" w14:textId="3B685424" w:rsidR="00191585" w:rsidRDefault="00191585" w:rsidP="00191585">
      <w:pPr>
        <w:spacing w:line="360" w:lineRule="auto"/>
        <w:rPr>
          <w:rFonts w:ascii="Arial" w:hAnsi="Arial" w:cs="Arial"/>
          <w:sz w:val="24"/>
          <w:szCs w:val="24"/>
        </w:rPr>
      </w:pPr>
    </w:p>
    <w:p w14:paraId="2C70B415" w14:textId="577D84AF" w:rsidR="00191585" w:rsidRDefault="00191585" w:rsidP="005756AF">
      <w:pPr>
        <w:spacing w:line="240" w:lineRule="auto"/>
        <w:rPr>
          <w:rFonts w:ascii="Arial" w:hAnsi="Arial" w:cs="Arial"/>
          <w:sz w:val="24"/>
          <w:szCs w:val="24"/>
        </w:rPr>
      </w:pPr>
      <w:r>
        <w:rPr>
          <w:rFonts w:ascii="Arial" w:hAnsi="Arial" w:cs="Arial"/>
          <w:sz w:val="24"/>
          <w:szCs w:val="24"/>
        </w:rPr>
        <w:t>_________________________</w:t>
      </w:r>
    </w:p>
    <w:p w14:paraId="05580E3C" w14:textId="1C6CC1B7" w:rsidR="00191585" w:rsidRPr="00191585" w:rsidRDefault="00191585" w:rsidP="005756AF">
      <w:pPr>
        <w:spacing w:line="240" w:lineRule="auto"/>
        <w:rPr>
          <w:rFonts w:ascii="Arial" w:hAnsi="Arial" w:cs="Arial"/>
          <w:b/>
          <w:bCs/>
          <w:sz w:val="24"/>
          <w:szCs w:val="24"/>
        </w:rPr>
      </w:pPr>
      <w:r w:rsidRPr="00191585">
        <w:rPr>
          <w:rFonts w:ascii="Arial" w:hAnsi="Arial" w:cs="Arial"/>
          <w:b/>
          <w:bCs/>
          <w:sz w:val="24"/>
          <w:szCs w:val="24"/>
        </w:rPr>
        <w:t>JGA LAING</w:t>
      </w:r>
    </w:p>
    <w:p w14:paraId="135042F4" w14:textId="214ED8EB" w:rsidR="00191585" w:rsidRDefault="00191585" w:rsidP="005756AF">
      <w:pPr>
        <w:spacing w:line="240" w:lineRule="auto"/>
        <w:rPr>
          <w:rFonts w:ascii="Arial" w:hAnsi="Arial" w:cs="Arial"/>
          <w:b/>
          <w:bCs/>
          <w:sz w:val="24"/>
          <w:szCs w:val="24"/>
        </w:rPr>
      </w:pPr>
      <w:r w:rsidRPr="00191585">
        <w:rPr>
          <w:rFonts w:ascii="Arial" w:hAnsi="Arial" w:cs="Arial"/>
          <w:b/>
          <w:bCs/>
          <w:sz w:val="24"/>
          <w:szCs w:val="24"/>
        </w:rPr>
        <w:t>JUDGE OF THE HIGH COURT</w:t>
      </w:r>
    </w:p>
    <w:p w14:paraId="68E483D0" w14:textId="3BBB2D98" w:rsidR="00C37E69" w:rsidRDefault="00C37E69" w:rsidP="005756AF">
      <w:pPr>
        <w:spacing w:line="240" w:lineRule="auto"/>
        <w:rPr>
          <w:rFonts w:ascii="Arial" w:hAnsi="Arial" w:cs="Arial"/>
          <w:b/>
          <w:bCs/>
          <w:sz w:val="24"/>
          <w:szCs w:val="24"/>
        </w:rPr>
      </w:pPr>
    </w:p>
    <w:p w14:paraId="16D0FF75" w14:textId="47716491" w:rsidR="00C37E69" w:rsidRPr="00C37E69" w:rsidRDefault="00C37E69" w:rsidP="005756AF">
      <w:pPr>
        <w:spacing w:line="240" w:lineRule="auto"/>
        <w:rPr>
          <w:rFonts w:ascii="Arial" w:hAnsi="Arial" w:cs="Arial"/>
          <w:bCs/>
          <w:sz w:val="24"/>
          <w:szCs w:val="24"/>
        </w:rPr>
      </w:pPr>
    </w:p>
    <w:p w14:paraId="642BF061" w14:textId="0B8F9ADA" w:rsidR="00C37E69" w:rsidRPr="00C37E69" w:rsidRDefault="00C37E69" w:rsidP="00C37E69">
      <w:pPr>
        <w:spacing w:line="240" w:lineRule="auto"/>
        <w:jc w:val="both"/>
        <w:rPr>
          <w:rFonts w:ascii="Arial" w:hAnsi="Arial" w:cs="Arial"/>
          <w:bCs/>
          <w:sz w:val="24"/>
          <w:szCs w:val="24"/>
        </w:rPr>
      </w:pPr>
      <w:r w:rsidRPr="00C37E69">
        <w:rPr>
          <w:rFonts w:ascii="Arial" w:hAnsi="Arial" w:cs="Arial"/>
          <w:bCs/>
          <w:sz w:val="24"/>
          <w:szCs w:val="24"/>
        </w:rPr>
        <w:t xml:space="preserve">APPEARANCE </w:t>
      </w:r>
    </w:p>
    <w:p w14:paraId="1F346474" w14:textId="340AD32F" w:rsidR="00C37E69" w:rsidRPr="00C37E69" w:rsidRDefault="00C37E69" w:rsidP="00C37E69">
      <w:pPr>
        <w:spacing w:line="240" w:lineRule="auto"/>
        <w:ind w:left="3600" w:hanging="3600"/>
        <w:jc w:val="both"/>
        <w:rPr>
          <w:rFonts w:ascii="Arial" w:hAnsi="Arial" w:cs="Arial"/>
          <w:bCs/>
          <w:sz w:val="24"/>
          <w:szCs w:val="24"/>
        </w:rPr>
      </w:pPr>
      <w:r w:rsidRPr="00C37E69">
        <w:rPr>
          <w:rFonts w:ascii="Arial" w:hAnsi="Arial" w:cs="Arial"/>
          <w:bCs/>
          <w:sz w:val="24"/>
          <w:szCs w:val="24"/>
        </w:rPr>
        <w:t>For the applicant:</w:t>
      </w:r>
      <w:r w:rsidRPr="00C37E69">
        <w:rPr>
          <w:rFonts w:ascii="Arial" w:hAnsi="Arial" w:cs="Arial"/>
          <w:bCs/>
          <w:sz w:val="24"/>
          <w:szCs w:val="24"/>
        </w:rPr>
        <w:tab/>
        <w:t xml:space="preserve">Adv </w:t>
      </w:r>
      <w:proofErr w:type="spellStart"/>
      <w:r w:rsidRPr="00C37E69">
        <w:rPr>
          <w:rFonts w:ascii="Arial" w:hAnsi="Arial" w:cs="Arial"/>
          <w:bCs/>
          <w:sz w:val="24"/>
          <w:szCs w:val="24"/>
        </w:rPr>
        <w:t>Nyangiwe</w:t>
      </w:r>
      <w:proofErr w:type="spellEnd"/>
      <w:r w:rsidRPr="00C37E69">
        <w:rPr>
          <w:rFonts w:ascii="Arial" w:hAnsi="Arial" w:cs="Arial"/>
          <w:bCs/>
          <w:sz w:val="24"/>
          <w:szCs w:val="24"/>
        </w:rPr>
        <w:t xml:space="preserve">, instructed by Moletsane PN Attorneys, East London. </w:t>
      </w:r>
    </w:p>
    <w:p w14:paraId="3093F2C4" w14:textId="6843763C" w:rsidR="00C37E69" w:rsidRPr="00C37E69" w:rsidRDefault="00C37E69" w:rsidP="00C37E69">
      <w:pPr>
        <w:spacing w:line="240" w:lineRule="auto"/>
        <w:jc w:val="both"/>
        <w:rPr>
          <w:rFonts w:ascii="Arial" w:hAnsi="Arial" w:cs="Arial"/>
          <w:bCs/>
          <w:sz w:val="24"/>
          <w:szCs w:val="24"/>
        </w:rPr>
      </w:pPr>
    </w:p>
    <w:p w14:paraId="7F1BCF7C" w14:textId="0627C807" w:rsidR="00C37E69" w:rsidRPr="00C37E69" w:rsidRDefault="00C37E69" w:rsidP="00C37E69">
      <w:pPr>
        <w:spacing w:line="240" w:lineRule="auto"/>
        <w:ind w:left="3600" w:hanging="3600"/>
        <w:jc w:val="both"/>
        <w:rPr>
          <w:rFonts w:ascii="Arial" w:hAnsi="Arial" w:cs="Arial"/>
          <w:bCs/>
          <w:sz w:val="24"/>
          <w:szCs w:val="24"/>
        </w:rPr>
      </w:pPr>
      <w:r w:rsidRPr="00C37E69">
        <w:rPr>
          <w:rFonts w:ascii="Arial" w:hAnsi="Arial" w:cs="Arial"/>
          <w:bCs/>
          <w:sz w:val="24"/>
          <w:szCs w:val="24"/>
        </w:rPr>
        <w:t>For the respondent:</w:t>
      </w:r>
      <w:r w:rsidRPr="00C37E69">
        <w:rPr>
          <w:rFonts w:ascii="Arial" w:hAnsi="Arial" w:cs="Arial"/>
          <w:bCs/>
          <w:sz w:val="24"/>
          <w:szCs w:val="24"/>
        </w:rPr>
        <w:tab/>
        <w:t xml:space="preserve">Adv </w:t>
      </w:r>
      <w:proofErr w:type="spellStart"/>
      <w:r w:rsidRPr="00C37E69">
        <w:rPr>
          <w:rFonts w:ascii="Arial" w:hAnsi="Arial" w:cs="Arial"/>
          <w:bCs/>
          <w:sz w:val="24"/>
          <w:szCs w:val="24"/>
        </w:rPr>
        <w:t>Zietsman</w:t>
      </w:r>
      <w:proofErr w:type="spellEnd"/>
      <w:r w:rsidRPr="00C37E69">
        <w:rPr>
          <w:rFonts w:ascii="Arial" w:hAnsi="Arial" w:cs="Arial"/>
          <w:bCs/>
          <w:sz w:val="24"/>
          <w:szCs w:val="24"/>
        </w:rPr>
        <w:t>, instructed by Wesley Pretorius &amp; Associates Inc, East London.</w:t>
      </w:r>
    </w:p>
    <w:p w14:paraId="3E8E3F7C" w14:textId="3F08A3BB" w:rsidR="00C37E69" w:rsidRPr="00C37E69" w:rsidRDefault="00C37E69" w:rsidP="00C37E69">
      <w:pPr>
        <w:spacing w:line="240" w:lineRule="auto"/>
        <w:jc w:val="both"/>
        <w:rPr>
          <w:rFonts w:ascii="Arial" w:hAnsi="Arial" w:cs="Arial"/>
          <w:bCs/>
          <w:sz w:val="24"/>
          <w:szCs w:val="24"/>
        </w:rPr>
      </w:pPr>
    </w:p>
    <w:p w14:paraId="520D285B" w14:textId="073D7018" w:rsidR="00C37E69" w:rsidRPr="00C37E69" w:rsidRDefault="00C37E69" w:rsidP="00C37E69">
      <w:pPr>
        <w:spacing w:line="240" w:lineRule="auto"/>
        <w:jc w:val="both"/>
        <w:rPr>
          <w:rFonts w:ascii="Arial" w:hAnsi="Arial" w:cs="Arial"/>
          <w:bCs/>
          <w:sz w:val="24"/>
          <w:szCs w:val="24"/>
        </w:rPr>
      </w:pPr>
      <w:r w:rsidRPr="00C37E69">
        <w:rPr>
          <w:rFonts w:ascii="Arial" w:hAnsi="Arial" w:cs="Arial"/>
          <w:bCs/>
          <w:sz w:val="24"/>
          <w:szCs w:val="24"/>
        </w:rPr>
        <w:t>Date of hearing:</w:t>
      </w:r>
      <w:r w:rsidRPr="00C37E69">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37E69">
        <w:rPr>
          <w:rFonts w:ascii="Arial" w:hAnsi="Arial" w:cs="Arial"/>
          <w:bCs/>
          <w:sz w:val="24"/>
          <w:szCs w:val="24"/>
        </w:rPr>
        <w:t>24 August 2022</w:t>
      </w:r>
    </w:p>
    <w:p w14:paraId="497E216A" w14:textId="6DDF03AC" w:rsidR="00C37E69" w:rsidRPr="00C37E69" w:rsidRDefault="00C37E69" w:rsidP="00C37E69">
      <w:pPr>
        <w:spacing w:line="240" w:lineRule="auto"/>
        <w:jc w:val="both"/>
        <w:rPr>
          <w:rFonts w:ascii="Arial" w:hAnsi="Arial" w:cs="Arial"/>
          <w:bCs/>
          <w:sz w:val="24"/>
          <w:szCs w:val="24"/>
        </w:rPr>
      </w:pPr>
      <w:r w:rsidRPr="00C37E69">
        <w:rPr>
          <w:rFonts w:ascii="Arial" w:hAnsi="Arial" w:cs="Arial"/>
          <w:bCs/>
          <w:sz w:val="24"/>
          <w:szCs w:val="24"/>
        </w:rPr>
        <w:t>Date of delivery of judgment:</w:t>
      </w:r>
      <w:r w:rsidRPr="00C37E69">
        <w:rPr>
          <w:rFonts w:ascii="Arial" w:hAnsi="Arial" w:cs="Arial"/>
          <w:bCs/>
          <w:sz w:val="24"/>
          <w:szCs w:val="24"/>
        </w:rPr>
        <w:tab/>
        <w:t>08 November 2022</w:t>
      </w:r>
      <w:r w:rsidRPr="00C37E69">
        <w:rPr>
          <w:rFonts w:ascii="Arial" w:hAnsi="Arial" w:cs="Arial"/>
          <w:bCs/>
          <w:sz w:val="24"/>
          <w:szCs w:val="24"/>
        </w:rPr>
        <w:tab/>
      </w:r>
    </w:p>
    <w:sectPr w:rsidR="00C37E69" w:rsidRPr="00C37E69" w:rsidSect="005F734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D9D4" w14:textId="77777777" w:rsidR="005247DE" w:rsidRDefault="005247DE" w:rsidP="00794CBA">
      <w:pPr>
        <w:spacing w:after="0" w:line="240" w:lineRule="auto"/>
      </w:pPr>
      <w:r>
        <w:separator/>
      </w:r>
    </w:p>
  </w:endnote>
  <w:endnote w:type="continuationSeparator" w:id="0">
    <w:p w14:paraId="5972D0B6" w14:textId="77777777" w:rsidR="005247DE" w:rsidRDefault="005247DE" w:rsidP="0079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BD3A" w14:textId="77777777" w:rsidR="005247DE" w:rsidRDefault="005247DE" w:rsidP="00794CBA">
      <w:pPr>
        <w:spacing w:after="0" w:line="240" w:lineRule="auto"/>
      </w:pPr>
      <w:r>
        <w:separator/>
      </w:r>
    </w:p>
  </w:footnote>
  <w:footnote w:type="continuationSeparator" w:id="0">
    <w:p w14:paraId="3CEACD34" w14:textId="77777777" w:rsidR="005247DE" w:rsidRDefault="005247DE" w:rsidP="00794CBA">
      <w:pPr>
        <w:spacing w:after="0" w:line="240" w:lineRule="auto"/>
      </w:pPr>
      <w:r>
        <w:continuationSeparator/>
      </w:r>
    </w:p>
  </w:footnote>
  <w:footnote w:id="1">
    <w:p w14:paraId="6C0F6DBD" w14:textId="33B4E069" w:rsidR="002B61A7" w:rsidRPr="002B61A7" w:rsidRDefault="002B61A7" w:rsidP="00684B5E">
      <w:pPr>
        <w:pStyle w:val="FootnoteText"/>
        <w:jc w:val="both"/>
        <w:rPr>
          <w:lang w:val="en-US"/>
        </w:rPr>
      </w:pPr>
      <w:r>
        <w:rPr>
          <w:rStyle w:val="FootnoteReference"/>
        </w:rPr>
        <w:footnoteRef/>
      </w:r>
      <w:r>
        <w:t xml:space="preserve"> </w:t>
      </w:r>
      <w:r w:rsidRPr="002B61A7">
        <w:rPr>
          <w:lang w:val="en-US"/>
        </w:rPr>
        <w:t xml:space="preserve">DE van Loggerenberg, </w:t>
      </w:r>
      <w:r w:rsidRPr="002B61A7">
        <w:rPr>
          <w:i/>
          <w:iCs/>
          <w:lang w:val="en-US"/>
        </w:rPr>
        <w:t>Erasmus: Superior Court Practice</w:t>
      </w:r>
      <w:r w:rsidRPr="002B61A7">
        <w:rPr>
          <w:lang w:val="en-US"/>
        </w:rPr>
        <w:t xml:space="preserve"> (Jutatstat, RS 16, 2021), at D1-124. See, too,</w:t>
      </w:r>
      <w:r>
        <w:rPr>
          <w:lang w:val="en-US"/>
        </w:rPr>
        <w:t xml:space="preserve"> </w:t>
      </w:r>
      <w:r w:rsidRPr="00FE7476">
        <w:rPr>
          <w:i/>
          <w:iCs/>
          <w:lang w:val="en-US"/>
        </w:rPr>
        <w:t>Kethel v Kethel’s Estate</w:t>
      </w:r>
      <w:r>
        <w:rPr>
          <w:lang w:val="en-US"/>
        </w:rPr>
        <w:t xml:space="preserve"> 1949 (3) SA 598 (A), at 610; </w:t>
      </w:r>
      <w:r w:rsidR="004D4623" w:rsidRPr="004D4623">
        <w:rPr>
          <w:i/>
          <w:iCs/>
          <w:lang w:val="en-US"/>
        </w:rPr>
        <w:t>Amalgamated Engineering Union v Minister of Labour</w:t>
      </w:r>
      <w:r w:rsidR="004D4623" w:rsidRPr="004D4623">
        <w:rPr>
          <w:lang w:val="en-US"/>
        </w:rPr>
        <w:t xml:space="preserve"> 1949 (3) 637 (A), at 659;</w:t>
      </w:r>
      <w:r w:rsidR="004D4623">
        <w:rPr>
          <w:lang w:val="en-US"/>
        </w:rPr>
        <w:t xml:space="preserve"> </w:t>
      </w:r>
      <w:r>
        <w:rPr>
          <w:lang w:val="en-US"/>
        </w:rPr>
        <w:t xml:space="preserve">and, more recently, </w:t>
      </w:r>
      <w:r w:rsidRPr="002B61A7">
        <w:rPr>
          <w:i/>
          <w:iCs/>
          <w:lang w:val="en-US"/>
        </w:rPr>
        <w:t>Watson NO v Ngonyama</w:t>
      </w:r>
      <w:r>
        <w:rPr>
          <w:lang w:val="en-US"/>
        </w:rPr>
        <w:t xml:space="preserve"> 2021 (5) SA 559 (SCA), at paragraph [52].</w:t>
      </w:r>
    </w:p>
  </w:footnote>
  <w:footnote w:id="2">
    <w:p w14:paraId="2063DB2D" w14:textId="78E1B77C" w:rsidR="004368A8" w:rsidRPr="004368A8" w:rsidRDefault="004368A8" w:rsidP="00684B5E">
      <w:pPr>
        <w:pStyle w:val="FootnoteText"/>
        <w:jc w:val="both"/>
        <w:rPr>
          <w:lang w:val="en-US"/>
        </w:rPr>
      </w:pPr>
      <w:r>
        <w:rPr>
          <w:rStyle w:val="FootnoteReference"/>
        </w:rPr>
        <w:footnoteRef/>
      </w:r>
      <w:r>
        <w:t xml:space="preserve"> </w:t>
      </w:r>
      <w:r>
        <w:rPr>
          <w:lang w:val="en-US"/>
        </w:rPr>
        <w:t>2021 (6) SA 230 (GP), at paragraph [10].</w:t>
      </w:r>
    </w:p>
  </w:footnote>
  <w:footnote w:id="3">
    <w:p w14:paraId="526EE865" w14:textId="7AB0795B" w:rsidR="00EC6FF8" w:rsidRPr="00EC6FF8" w:rsidRDefault="00EC6FF8" w:rsidP="00684B5E">
      <w:pPr>
        <w:pStyle w:val="FootnoteText"/>
        <w:jc w:val="both"/>
        <w:rPr>
          <w:lang w:val="en-US"/>
        </w:rPr>
      </w:pPr>
      <w:r>
        <w:rPr>
          <w:rStyle w:val="FootnoteReference"/>
        </w:rPr>
        <w:footnoteRef/>
      </w:r>
      <w:r>
        <w:t xml:space="preserve"> </w:t>
      </w:r>
      <w:r>
        <w:rPr>
          <w:lang w:val="en-US"/>
        </w:rPr>
        <w:t xml:space="preserve">In re </w:t>
      </w:r>
      <w:r w:rsidRPr="00EC6FF8">
        <w:rPr>
          <w:i/>
          <w:iCs/>
          <w:lang w:val="en-US"/>
        </w:rPr>
        <w:t>BOE Trust Ltd and others NNO</w:t>
      </w:r>
      <w:r>
        <w:rPr>
          <w:lang w:val="en-US"/>
        </w:rPr>
        <w:t xml:space="preserve"> 2013 (3) SA 236 (SCA), at 242A-C.</w:t>
      </w:r>
    </w:p>
  </w:footnote>
  <w:footnote w:id="4">
    <w:p w14:paraId="72FE1A50" w14:textId="2078ADFF" w:rsidR="00DB618C" w:rsidRPr="00DB618C" w:rsidRDefault="00DB618C" w:rsidP="00684B5E">
      <w:pPr>
        <w:pStyle w:val="FootnoteText"/>
        <w:jc w:val="both"/>
        <w:rPr>
          <w:lang w:val="en-US"/>
        </w:rPr>
      </w:pPr>
      <w:r>
        <w:rPr>
          <w:rStyle w:val="FootnoteReference"/>
        </w:rPr>
        <w:footnoteRef/>
      </w:r>
      <w:r>
        <w:t xml:space="preserve"> </w:t>
      </w:r>
      <w:r>
        <w:rPr>
          <w:lang w:val="en-US"/>
        </w:rPr>
        <w:t xml:space="preserve">The applicant has, in relation to the interdictory relief sought, separated the various sub-paragraphs by means of ‘and/or’. This is not always a helpful approach inasmuch as it may leave the respondent (and the court) in doubt about what exactly the applicant seeks. At the least, it would be expected of the applicant to present sufficient evidence upon which to </w:t>
      </w:r>
      <w:r w:rsidR="00E52DB9">
        <w:rPr>
          <w:lang w:val="en-US"/>
        </w:rPr>
        <w:t xml:space="preserve">contend that it is entitled to </w:t>
      </w:r>
      <w:r>
        <w:rPr>
          <w:lang w:val="en-US"/>
        </w:rPr>
        <w:t xml:space="preserve">all or </w:t>
      </w:r>
      <w:r w:rsidR="00E52DB9">
        <w:rPr>
          <w:lang w:val="en-US"/>
        </w:rPr>
        <w:t xml:space="preserve">a </w:t>
      </w:r>
      <w:r>
        <w:rPr>
          <w:lang w:val="en-US"/>
        </w:rPr>
        <w:t xml:space="preserve">portion of the relief stipulated in its notice of motion, rather than </w:t>
      </w:r>
      <w:r w:rsidR="00E52DB9">
        <w:rPr>
          <w:lang w:val="en-US"/>
        </w:rPr>
        <w:t>make vague allegations and hope that the net has been cast wide enough to result in a catch of some sort. The onus of proof remains with the applicant.</w:t>
      </w:r>
    </w:p>
  </w:footnote>
  <w:footnote w:id="5">
    <w:p w14:paraId="2CCDCE16" w14:textId="63610A3B" w:rsidR="00474C72" w:rsidRPr="00474C72" w:rsidRDefault="00474C72" w:rsidP="00684B5E">
      <w:pPr>
        <w:pStyle w:val="FootnoteText"/>
        <w:jc w:val="both"/>
        <w:rPr>
          <w:lang w:val="en-US"/>
        </w:rPr>
      </w:pPr>
      <w:r>
        <w:rPr>
          <w:rStyle w:val="FootnoteReference"/>
        </w:rPr>
        <w:footnoteRef/>
      </w:r>
      <w:r>
        <w:t xml:space="preserve"> </w:t>
      </w:r>
      <w:r w:rsidR="00191585">
        <w:t>(</w:t>
      </w:r>
      <w:r>
        <w:rPr>
          <w:lang w:val="en-US"/>
        </w:rPr>
        <w:t>3486/2018</w:t>
      </w:r>
      <w:r w:rsidR="00191585">
        <w:rPr>
          <w:lang w:val="en-US"/>
        </w:rPr>
        <w:t>) [2018] ZAECMHC 17 (3 June 2020)</w:t>
      </w:r>
      <w:r>
        <w:rPr>
          <w:lang w:val="en-US"/>
        </w:rPr>
        <w:t>, at paragraph [26]</w:t>
      </w:r>
      <w:r w:rsidR="00191585">
        <w:rPr>
          <w:lang w:val="en-US"/>
        </w:rPr>
        <w:t>.</w:t>
      </w:r>
    </w:p>
  </w:footnote>
  <w:footnote w:id="6">
    <w:p w14:paraId="6E786EF6" w14:textId="6A3B79C2" w:rsidR="001257C0" w:rsidRPr="001257C0" w:rsidRDefault="001257C0" w:rsidP="00684B5E">
      <w:pPr>
        <w:pStyle w:val="FootnoteText"/>
        <w:jc w:val="both"/>
        <w:rPr>
          <w:lang w:val="en-US"/>
        </w:rPr>
      </w:pPr>
      <w:r>
        <w:rPr>
          <w:rStyle w:val="FootnoteReference"/>
        </w:rPr>
        <w:footnoteRef/>
      </w:r>
      <w:r>
        <w:t xml:space="preserve"> </w:t>
      </w:r>
      <w:r>
        <w:rPr>
          <w:lang w:val="en-US"/>
        </w:rPr>
        <w:t>2013 (1) SA 170 (SCA), at paragraph [12].</w:t>
      </w:r>
    </w:p>
  </w:footnote>
  <w:footnote w:id="7">
    <w:p w14:paraId="61FA5357" w14:textId="373E8F36" w:rsidR="001225FE" w:rsidRPr="001225FE" w:rsidRDefault="001225FE" w:rsidP="00684B5E">
      <w:pPr>
        <w:pStyle w:val="FootnoteText"/>
        <w:jc w:val="both"/>
        <w:rPr>
          <w:lang w:val="en-US"/>
        </w:rPr>
      </w:pPr>
      <w:r>
        <w:rPr>
          <w:rStyle w:val="FootnoteReference"/>
        </w:rPr>
        <w:footnoteRef/>
      </w:r>
      <w:r>
        <w:t xml:space="preserve"> </w:t>
      </w:r>
      <w:r>
        <w:rPr>
          <w:lang w:val="en-US"/>
        </w:rPr>
        <w:t>The most obvious example is the procedure contained in the Promotion of Access to Information Act 2 of 2000 (‘PAIA’).</w:t>
      </w:r>
    </w:p>
  </w:footnote>
  <w:footnote w:id="8">
    <w:p w14:paraId="3D100D9F" w14:textId="4947DA53" w:rsidR="004D4623" w:rsidRPr="004D4623" w:rsidRDefault="004D4623" w:rsidP="00684B5E">
      <w:pPr>
        <w:pStyle w:val="FootnoteText"/>
        <w:jc w:val="both"/>
        <w:rPr>
          <w:lang w:val="en-US"/>
        </w:rPr>
      </w:pPr>
      <w:r>
        <w:rPr>
          <w:rStyle w:val="FootnoteReference"/>
        </w:rPr>
        <w:footnoteRef/>
      </w:r>
      <w:r>
        <w:t xml:space="preserve"> </w:t>
      </w:r>
      <w:r>
        <w:rPr>
          <w:lang w:val="en-US"/>
        </w:rPr>
        <w:t>2007 (4) SA 467 (SCA)</w:t>
      </w:r>
      <w:r w:rsidR="000E3FCF">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742013"/>
      <w:docPartObj>
        <w:docPartGallery w:val="Page Numbers (Top of Page)"/>
        <w:docPartUnique/>
      </w:docPartObj>
    </w:sdtPr>
    <w:sdtEndPr>
      <w:rPr>
        <w:noProof/>
      </w:rPr>
    </w:sdtEndPr>
    <w:sdtContent>
      <w:p w14:paraId="46DA77CC" w14:textId="6F761DC8" w:rsidR="005F7346" w:rsidRDefault="005F7346">
        <w:pPr>
          <w:pStyle w:val="Header"/>
          <w:jc w:val="center"/>
        </w:pPr>
        <w:r>
          <w:fldChar w:fldCharType="begin"/>
        </w:r>
        <w:r>
          <w:instrText xml:space="preserve"> PAGE   \* MERGEFORMAT </w:instrText>
        </w:r>
        <w:r>
          <w:fldChar w:fldCharType="separate"/>
        </w:r>
        <w:r w:rsidR="00370DF0">
          <w:rPr>
            <w:noProof/>
          </w:rPr>
          <w:t>4</w:t>
        </w:r>
        <w:r>
          <w:rPr>
            <w:noProof/>
          </w:rPr>
          <w:fldChar w:fldCharType="end"/>
        </w:r>
      </w:p>
    </w:sdtContent>
  </w:sdt>
  <w:p w14:paraId="34059564" w14:textId="77777777" w:rsidR="005F7346" w:rsidRDefault="005F7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267B"/>
    <w:multiLevelType w:val="hybridMultilevel"/>
    <w:tmpl w:val="09C4F684"/>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69F6D0A"/>
    <w:multiLevelType w:val="hybridMultilevel"/>
    <w:tmpl w:val="DE0AA8B2"/>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E83575C"/>
    <w:multiLevelType w:val="hybridMultilevel"/>
    <w:tmpl w:val="F65CF33A"/>
    <w:lvl w:ilvl="0" w:tplc="64F0E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42347"/>
    <w:multiLevelType w:val="hybridMultilevel"/>
    <w:tmpl w:val="52AAA210"/>
    <w:lvl w:ilvl="0" w:tplc="A72E31CC">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764F0452"/>
    <w:multiLevelType w:val="hybridMultilevel"/>
    <w:tmpl w:val="EDDA6F28"/>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9934309">
    <w:abstractNumId w:val="2"/>
  </w:num>
  <w:num w:numId="2" w16cid:durableId="1993828706">
    <w:abstractNumId w:val="3"/>
  </w:num>
  <w:num w:numId="3" w16cid:durableId="1760634199">
    <w:abstractNumId w:val="4"/>
  </w:num>
  <w:num w:numId="4" w16cid:durableId="1750731335">
    <w:abstractNumId w:val="1"/>
  </w:num>
  <w:num w:numId="5" w16cid:durableId="47927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27"/>
    <w:rsid w:val="0001421B"/>
    <w:rsid w:val="000848B4"/>
    <w:rsid w:val="000E3FCF"/>
    <w:rsid w:val="000F1052"/>
    <w:rsid w:val="001225FE"/>
    <w:rsid w:val="001257C0"/>
    <w:rsid w:val="001574E2"/>
    <w:rsid w:val="00191585"/>
    <w:rsid w:val="002267E4"/>
    <w:rsid w:val="002636D3"/>
    <w:rsid w:val="00263821"/>
    <w:rsid w:val="00270144"/>
    <w:rsid w:val="00282711"/>
    <w:rsid w:val="00286DA7"/>
    <w:rsid w:val="002A4F60"/>
    <w:rsid w:val="002B61A7"/>
    <w:rsid w:val="00312248"/>
    <w:rsid w:val="00370DF0"/>
    <w:rsid w:val="00385671"/>
    <w:rsid w:val="003C5E43"/>
    <w:rsid w:val="003D33D4"/>
    <w:rsid w:val="003E6B65"/>
    <w:rsid w:val="003E7E13"/>
    <w:rsid w:val="004368A8"/>
    <w:rsid w:val="00455A9E"/>
    <w:rsid w:val="00474C72"/>
    <w:rsid w:val="004D4623"/>
    <w:rsid w:val="004E2DDA"/>
    <w:rsid w:val="005247DE"/>
    <w:rsid w:val="005756AF"/>
    <w:rsid w:val="005878F1"/>
    <w:rsid w:val="005900F5"/>
    <w:rsid w:val="005F7346"/>
    <w:rsid w:val="00622D23"/>
    <w:rsid w:val="00624815"/>
    <w:rsid w:val="00632188"/>
    <w:rsid w:val="00684B5E"/>
    <w:rsid w:val="006D52FF"/>
    <w:rsid w:val="006E2BC1"/>
    <w:rsid w:val="006E3061"/>
    <w:rsid w:val="00734769"/>
    <w:rsid w:val="007814C1"/>
    <w:rsid w:val="0078341D"/>
    <w:rsid w:val="00794CBA"/>
    <w:rsid w:val="007B7B16"/>
    <w:rsid w:val="007D797B"/>
    <w:rsid w:val="0080543D"/>
    <w:rsid w:val="008812B2"/>
    <w:rsid w:val="008820FB"/>
    <w:rsid w:val="008D2E54"/>
    <w:rsid w:val="008F48DE"/>
    <w:rsid w:val="00953547"/>
    <w:rsid w:val="00954E4A"/>
    <w:rsid w:val="00992C48"/>
    <w:rsid w:val="00AE382E"/>
    <w:rsid w:val="00B101D2"/>
    <w:rsid w:val="00B64AA6"/>
    <w:rsid w:val="00BA2412"/>
    <w:rsid w:val="00BB4347"/>
    <w:rsid w:val="00BB7BBE"/>
    <w:rsid w:val="00BC6D26"/>
    <w:rsid w:val="00BD2E15"/>
    <w:rsid w:val="00BE63B1"/>
    <w:rsid w:val="00C37E69"/>
    <w:rsid w:val="00C4431F"/>
    <w:rsid w:val="00C5508D"/>
    <w:rsid w:val="00C649E6"/>
    <w:rsid w:val="00CE213D"/>
    <w:rsid w:val="00D2139B"/>
    <w:rsid w:val="00D40680"/>
    <w:rsid w:val="00D66658"/>
    <w:rsid w:val="00DB618C"/>
    <w:rsid w:val="00DC7101"/>
    <w:rsid w:val="00E33D0D"/>
    <w:rsid w:val="00E44353"/>
    <w:rsid w:val="00E47F0C"/>
    <w:rsid w:val="00E52DB9"/>
    <w:rsid w:val="00E93F6C"/>
    <w:rsid w:val="00EC3227"/>
    <w:rsid w:val="00EC6FF8"/>
    <w:rsid w:val="00EE5F57"/>
    <w:rsid w:val="00F07F7F"/>
    <w:rsid w:val="00FD5D0B"/>
    <w:rsid w:val="00FE7476"/>
    <w:rsid w:val="00FE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D493"/>
  <w15:chartTrackingRefBased/>
  <w15:docId w15:val="{D967F4D4-4308-4A54-9BB2-5F60D8EE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4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CBA"/>
    <w:rPr>
      <w:sz w:val="20"/>
      <w:szCs w:val="20"/>
      <w:lang w:val="en-ZA"/>
    </w:rPr>
  </w:style>
  <w:style w:type="character" w:styleId="FootnoteReference">
    <w:name w:val="footnote reference"/>
    <w:basedOn w:val="DefaultParagraphFont"/>
    <w:uiPriority w:val="99"/>
    <w:semiHidden/>
    <w:unhideWhenUsed/>
    <w:rsid w:val="00794CBA"/>
    <w:rPr>
      <w:vertAlign w:val="superscript"/>
    </w:rPr>
  </w:style>
  <w:style w:type="paragraph" w:styleId="ListParagraph">
    <w:name w:val="List Paragraph"/>
    <w:basedOn w:val="Normal"/>
    <w:uiPriority w:val="34"/>
    <w:qFormat/>
    <w:rsid w:val="005878F1"/>
    <w:pPr>
      <w:ind w:left="720"/>
      <w:contextualSpacing/>
    </w:pPr>
  </w:style>
  <w:style w:type="paragraph" w:styleId="Header">
    <w:name w:val="header"/>
    <w:basedOn w:val="Normal"/>
    <w:link w:val="HeaderChar"/>
    <w:uiPriority w:val="99"/>
    <w:unhideWhenUsed/>
    <w:rsid w:val="005F7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46"/>
    <w:rPr>
      <w:lang w:val="en-ZA"/>
    </w:rPr>
  </w:style>
  <w:style w:type="paragraph" w:styleId="Footer">
    <w:name w:val="footer"/>
    <w:basedOn w:val="Normal"/>
    <w:link w:val="FooterChar"/>
    <w:uiPriority w:val="99"/>
    <w:unhideWhenUsed/>
    <w:rsid w:val="005F7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46"/>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Mariana Anguelov</cp:lastModifiedBy>
  <cp:revision>3</cp:revision>
  <dcterms:created xsi:type="dcterms:W3CDTF">2022-11-09T13:07:00Z</dcterms:created>
  <dcterms:modified xsi:type="dcterms:W3CDTF">2022-11-10T18:47:00Z</dcterms:modified>
</cp:coreProperties>
</file>