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8FAF" w14:textId="77777777" w:rsidR="00E25856" w:rsidRPr="003304AD" w:rsidRDefault="00E25856" w:rsidP="00E25856">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eastAsia="en-ZA"/>
        </w:rPr>
        <w:drawing>
          <wp:inline distT="0" distB="0" distL="0" distR="0" wp14:anchorId="1930317C" wp14:editId="68E715BF">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17FDDEB4" w14:textId="77777777" w:rsidR="00E25856" w:rsidRPr="003304AD" w:rsidRDefault="00E25856" w:rsidP="00E25856">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015566BA" w14:textId="77777777" w:rsidR="00E25856" w:rsidRDefault="00E25856" w:rsidP="008060A1">
      <w:pPr>
        <w:widowControl w:val="0"/>
        <w:tabs>
          <w:tab w:val="right" w:pos="9213"/>
        </w:tabs>
        <w:spacing w:line="240" w:lineRule="auto"/>
        <w:jc w:val="center"/>
        <w:rPr>
          <w:rFonts w:ascii="Arial" w:hAnsi="Arial" w:cs="Arial"/>
          <w:b/>
          <w:sz w:val="24"/>
          <w:szCs w:val="24"/>
        </w:rPr>
      </w:pPr>
      <w:r w:rsidRPr="003304AD">
        <w:rPr>
          <w:rFonts w:ascii="Arial" w:hAnsi="Arial" w:cs="Arial"/>
          <w:b/>
          <w:sz w:val="24"/>
          <w:szCs w:val="24"/>
        </w:rPr>
        <w:t>EAST</w:t>
      </w:r>
      <w:r>
        <w:rPr>
          <w:rFonts w:ascii="Arial" w:hAnsi="Arial" w:cs="Arial"/>
          <w:b/>
          <w:sz w:val="24"/>
          <w:szCs w:val="24"/>
        </w:rPr>
        <w:t xml:space="preserve">ERN CAPE DIVISION, EAST LONDON CIRCUIT COURT </w:t>
      </w:r>
    </w:p>
    <w:p w14:paraId="44529E0D" w14:textId="460FB621" w:rsidR="00E25856" w:rsidRDefault="00E25856" w:rsidP="008060A1">
      <w:pPr>
        <w:widowControl w:val="0"/>
        <w:tabs>
          <w:tab w:val="right" w:pos="9213"/>
        </w:tabs>
        <w:spacing w:line="240" w:lineRule="auto"/>
        <w:jc w:val="center"/>
        <w:rPr>
          <w:rFonts w:ascii="Arial" w:hAnsi="Arial" w:cs="Arial"/>
          <w:sz w:val="24"/>
          <w:szCs w:val="24"/>
        </w:rPr>
      </w:pPr>
      <w:r>
        <w:rPr>
          <w:rFonts w:ascii="Arial" w:hAnsi="Arial" w:cs="Arial"/>
          <w:b/>
          <w:sz w:val="24"/>
          <w:szCs w:val="24"/>
        </w:rPr>
        <w:tab/>
      </w:r>
      <w:r w:rsidRPr="003304AD">
        <w:rPr>
          <w:rFonts w:ascii="Arial" w:hAnsi="Arial" w:cs="Arial"/>
          <w:sz w:val="24"/>
          <w:szCs w:val="24"/>
        </w:rPr>
        <w:tab/>
        <w:t xml:space="preserve">CASE NO. </w:t>
      </w:r>
      <w:r>
        <w:rPr>
          <w:rFonts w:ascii="Arial" w:hAnsi="Arial" w:cs="Arial"/>
          <w:sz w:val="24"/>
          <w:szCs w:val="24"/>
        </w:rPr>
        <w:t>EL395/2021</w:t>
      </w:r>
    </w:p>
    <w:p w14:paraId="30862035" w14:textId="77777777" w:rsidR="00E25856" w:rsidRDefault="00E25856" w:rsidP="00E25856">
      <w:pPr>
        <w:widowControl w:val="0"/>
        <w:tabs>
          <w:tab w:val="right" w:pos="9213"/>
        </w:tabs>
        <w:spacing w:line="240" w:lineRule="auto"/>
        <w:rPr>
          <w:rFonts w:ascii="Arial" w:hAnsi="Arial" w:cs="Arial"/>
          <w:sz w:val="24"/>
          <w:szCs w:val="24"/>
        </w:rPr>
      </w:pPr>
      <w:r>
        <w:rPr>
          <w:rFonts w:ascii="Arial" w:hAnsi="Arial" w:cs="Arial"/>
          <w:sz w:val="24"/>
          <w:szCs w:val="24"/>
        </w:rPr>
        <w:tab/>
      </w:r>
    </w:p>
    <w:p w14:paraId="248E5B23" w14:textId="77777777" w:rsidR="00E25856" w:rsidRDefault="00E25856" w:rsidP="00E25856">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044B04F1" w14:textId="0923A251" w:rsidR="00E25856" w:rsidRDefault="00E25856" w:rsidP="00E25856">
      <w:pPr>
        <w:widowControl w:val="0"/>
        <w:tabs>
          <w:tab w:val="right" w:pos="9213"/>
        </w:tabs>
        <w:spacing w:line="240" w:lineRule="auto"/>
        <w:rPr>
          <w:rFonts w:ascii="Arial" w:hAnsi="Arial" w:cs="Arial"/>
          <w:b/>
          <w:sz w:val="24"/>
          <w:szCs w:val="24"/>
        </w:rPr>
      </w:pPr>
      <w:r>
        <w:rPr>
          <w:rFonts w:ascii="Arial" w:hAnsi="Arial" w:cs="Arial"/>
          <w:b/>
          <w:sz w:val="24"/>
          <w:szCs w:val="24"/>
        </w:rPr>
        <w:t>EL</w:t>
      </w:r>
      <w:r w:rsidR="008060A1">
        <w:rPr>
          <w:rFonts w:ascii="Arial" w:hAnsi="Arial" w:cs="Arial"/>
          <w:b/>
          <w:sz w:val="24"/>
          <w:szCs w:val="24"/>
        </w:rPr>
        <w:t xml:space="preserve"> </w:t>
      </w:r>
      <w:r>
        <w:rPr>
          <w:rFonts w:ascii="Arial" w:hAnsi="Arial" w:cs="Arial"/>
          <w:b/>
          <w:sz w:val="24"/>
          <w:szCs w:val="24"/>
        </w:rPr>
        <w:t xml:space="preserve">IDZ FIBRE MAINTENANCE VENTURE </w:t>
      </w:r>
      <w:r w:rsidRPr="003304AD">
        <w:rPr>
          <w:rFonts w:ascii="Arial" w:hAnsi="Arial" w:cs="Arial"/>
          <w:b/>
          <w:sz w:val="24"/>
          <w:szCs w:val="24"/>
        </w:rPr>
        <w:tab/>
      </w:r>
      <w:r>
        <w:rPr>
          <w:rFonts w:ascii="Arial" w:hAnsi="Arial" w:cs="Arial"/>
          <w:b/>
          <w:sz w:val="24"/>
          <w:szCs w:val="24"/>
        </w:rPr>
        <w:t>Applicant</w:t>
      </w:r>
    </w:p>
    <w:p w14:paraId="4D094001" w14:textId="77777777" w:rsidR="00E25856" w:rsidRDefault="00E25856" w:rsidP="00E25856">
      <w:pPr>
        <w:widowControl w:val="0"/>
        <w:tabs>
          <w:tab w:val="right" w:pos="9213"/>
        </w:tabs>
        <w:spacing w:line="240" w:lineRule="auto"/>
        <w:rPr>
          <w:rFonts w:ascii="Arial" w:hAnsi="Arial" w:cs="Arial"/>
          <w:b/>
          <w:sz w:val="24"/>
          <w:szCs w:val="24"/>
        </w:rPr>
      </w:pPr>
    </w:p>
    <w:p w14:paraId="76E957E0" w14:textId="77777777" w:rsidR="00E25856" w:rsidRDefault="00E25856" w:rsidP="00E25856">
      <w:pPr>
        <w:widowControl w:val="0"/>
        <w:tabs>
          <w:tab w:val="right" w:pos="9213"/>
        </w:tabs>
        <w:spacing w:line="240" w:lineRule="auto"/>
        <w:rPr>
          <w:rFonts w:ascii="Arial" w:hAnsi="Arial" w:cs="Arial"/>
          <w:sz w:val="24"/>
          <w:szCs w:val="24"/>
        </w:rPr>
      </w:pPr>
      <w:r>
        <w:rPr>
          <w:rFonts w:ascii="Arial" w:hAnsi="Arial" w:cs="Arial"/>
          <w:sz w:val="24"/>
          <w:szCs w:val="24"/>
        </w:rPr>
        <w:t>and</w:t>
      </w:r>
    </w:p>
    <w:p w14:paraId="70DD33B1" w14:textId="77777777" w:rsidR="00E25856" w:rsidRDefault="00E25856" w:rsidP="00E25856">
      <w:pPr>
        <w:widowControl w:val="0"/>
        <w:tabs>
          <w:tab w:val="right" w:pos="9213"/>
        </w:tabs>
        <w:spacing w:line="360" w:lineRule="auto"/>
        <w:rPr>
          <w:rFonts w:ascii="Arial" w:hAnsi="Arial" w:cs="Arial"/>
          <w:sz w:val="24"/>
          <w:szCs w:val="24"/>
        </w:rPr>
      </w:pPr>
    </w:p>
    <w:p w14:paraId="440B3769" w14:textId="77777777" w:rsidR="00E25856" w:rsidRDefault="00E25856" w:rsidP="00E25856">
      <w:pPr>
        <w:widowControl w:val="0"/>
        <w:tabs>
          <w:tab w:val="right" w:pos="9213"/>
        </w:tabs>
        <w:spacing w:line="240" w:lineRule="auto"/>
        <w:rPr>
          <w:rFonts w:ascii="Arial" w:hAnsi="Arial" w:cs="Arial"/>
          <w:b/>
          <w:sz w:val="24"/>
          <w:szCs w:val="24"/>
        </w:rPr>
      </w:pPr>
      <w:r>
        <w:rPr>
          <w:rFonts w:ascii="Arial" w:hAnsi="Arial" w:cs="Arial"/>
          <w:b/>
          <w:sz w:val="24"/>
          <w:szCs w:val="24"/>
        </w:rPr>
        <w:t>EAST LONDON INDUSTRIAL DEVELOPMENT</w:t>
      </w:r>
    </w:p>
    <w:p w14:paraId="71150F4C" w14:textId="60889345" w:rsidR="00E25856" w:rsidRDefault="00E25856" w:rsidP="00E25856">
      <w:pPr>
        <w:widowControl w:val="0"/>
        <w:tabs>
          <w:tab w:val="right" w:pos="9213"/>
        </w:tabs>
        <w:spacing w:line="240" w:lineRule="auto"/>
        <w:rPr>
          <w:rFonts w:ascii="Arial" w:hAnsi="Arial" w:cs="Arial"/>
          <w:b/>
          <w:sz w:val="24"/>
          <w:szCs w:val="24"/>
        </w:rPr>
      </w:pPr>
      <w:r>
        <w:rPr>
          <w:rFonts w:ascii="Arial" w:hAnsi="Arial" w:cs="Arial"/>
          <w:b/>
          <w:sz w:val="24"/>
          <w:szCs w:val="24"/>
        </w:rPr>
        <w:t xml:space="preserve">ZONE SOC LTD </w:t>
      </w:r>
      <w:r w:rsidRPr="003304AD">
        <w:rPr>
          <w:rFonts w:ascii="Arial" w:hAnsi="Arial" w:cs="Arial"/>
          <w:b/>
          <w:sz w:val="24"/>
          <w:szCs w:val="24"/>
        </w:rPr>
        <w:tab/>
      </w:r>
      <w:r>
        <w:rPr>
          <w:rFonts w:ascii="Arial" w:hAnsi="Arial" w:cs="Arial"/>
          <w:b/>
          <w:sz w:val="24"/>
          <w:szCs w:val="24"/>
        </w:rPr>
        <w:t>Respondent</w:t>
      </w:r>
    </w:p>
    <w:p w14:paraId="712326E6" w14:textId="6DA0D5EF" w:rsidR="0011410A" w:rsidRDefault="0011410A" w:rsidP="0011410A">
      <w:pPr>
        <w:spacing w:line="360" w:lineRule="auto"/>
        <w:rPr>
          <w:rFonts w:ascii="Arial" w:hAnsi="Arial" w:cs="Arial"/>
          <w:sz w:val="24"/>
          <w:szCs w:val="24"/>
        </w:rPr>
      </w:pPr>
      <w:r w:rsidRPr="0011410A">
        <w:rPr>
          <w:rFonts w:ascii="Arial" w:hAnsi="Arial" w:cs="Arial"/>
          <w:sz w:val="24"/>
          <w:szCs w:val="24"/>
        </w:rPr>
        <w:t>______________________________________________________________________</w:t>
      </w:r>
    </w:p>
    <w:p w14:paraId="159262DC" w14:textId="1CA3B632" w:rsidR="0011410A" w:rsidRPr="0011410A" w:rsidRDefault="0011410A" w:rsidP="0011410A">
      <w:pPr>
        <w:spacing w:line="360" w:lineRule="auto"/>
        <w:jc w:val="center"/>
        <w:rPr>
          <w:rFonts w:ascii="Arial" w:hAnsi="Arial" w:cs="Arial"/>
          <w:b/>
          <w:bCs/>
          <w:sz w:val="24"/>
          <w:szCs w:val="24"/>
        </w:rPr>
      </w:pPr>
      <w:r w:rsidRPr="0011410A">
        <w:rPr>
          <w:rFonts w:ascii="Arial" w:hAnsi="Arial" w:cs="Arial"/>
          <w:b/>
          <w:bCs/>
          <w:sz w:val="24"/>
          <w:szCs w:val="24"/>
        </w:rPr>
        <w:t>JUDGMENT</w:t>
      </w:r>
    </w:p>
    <w:p w14:paraId="4F916931" w14:textId="26B18CA3" w:rsidR="0011410A" w:rsidRDefault="0011410A" w:rsidP="0011410A">
      <w:pPr>
        <w:spacing w:line="360" w:lineRule="auto"/>
        <w:rPr>
          <w:rFonts w:ascii="Arial" w:hAnsi="Arial" w:cs="Arial"/>
          <w:sz w:val="24"/>
          <w:szCs w:val="24"/>
        </w:rPr>
      </w:pPr>
      <w:r w:rsidRPr="0011410A">
        <w:rPr>
          <w:rFonts w:ascii="Arial" w:hAnsi="Arial" w:cs="Arial"/>
          <w:sz w:val="24"/>
          <w:szCs w:val="24"/>
        </w:rPr>
        <w:t>______________________________________________________________________</w:t>
      </w:r>
    </w:p>
    <w:p w14:paraId="2C2DEEF4" w14:textId="7F58EEED" w:rsidR="0011410A" w:rsidRPr="0011410A" w:rsidRDefault="0011410A" w:rsidP="0011410A">
      <w:pPr>
        <w:spacing w:line="360" w:lineRule="auto"/>
        <w:rPr>
          <w:rFonts w:ascii="Arial" w:hAnsi="Arial" w:cs="Arial"/>
          <w:b/>
          <w:bCs/>
          <w:sz w:val="24"/>
          <w:szCs w:val="24"/>
        </w:rPr>
      </w:pPr>
      <w:r w:rsidRPr="0011410A">
        <w:rPr>
          <w:rFonts w:ascii="Arial" w:hAnsi="Arial" w:cs="Arial"/>
          <w:b/>
          <w:bCs/>
          <w:sz w:val="24"/>
          <w:szCs w:val="24"/>
        </w:rPr>
        <w:t>LAING J</w:t>
      </w:r>
    </w:p>
    <w:p w14:paraId="068B1300" w14:textId="526570C6"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1410A" w:rsidRPr="006241D6">
        <w:rPr>
          <w:rFonts w:ascii="Arial" w:hAnsi="Arial" w:cs="Arial"/>
          <w:sz w:val="24"/>
          <w:szCs w:val="24"/>
        </w:rPr>
        <w:t>This is an application for</w:t>
      </w:r>
      <w:r w:rsidR="00B5703E" w:rsidRPr="006241D6">
        <w:rPr>
          <w:rFonts w:ascii="Arial" w:hAnsi="Arial" w:cs="Arial"/>
          <w:sz w:val="24"/>
          <w:szCs w:val="24"/>
        </w:rPr>
        <w:t xml:space="preserve"> leave to amend</w:t>
      </w:r>
      <w:r w:rsidR="00854B81" w:rsidRPr="006241D6">
        <w:rPr>
          <w:rFonts w:ascii="Arial" w:hAnsi="Arial" w:cs="Arial"/>
          <w:sz w:val="24"/>
          <w:szCs w:val="24"/>
        </w:rPr>
        <w:t xml:space="preserve">, brought in terms of </w:t>
      </w:r>
      <w:r w:rsidR="00024ED6" w:rsidRPr="006241D6">
        <w:rPr>
          <w:rFonts w:ascii="Arial" w:hAnsi="Arial" w:cs="Arial"/>
          <w:sz w:val="24"/>
          <w:szCs w:val="24"/>
        </w:rPr>
        <w:t xml:space="preserve">rule </w:t>
      </w:r>
      <w:r w:rsidR="00D87A25" w:rsidRPr="006241D6">
        <w:rPr>
          <w:rFonts w:ascii="Arial" w:hAnsi="Arial" w:cs="Arial"/>
          <w:sz w:val="24"/>
          <w:szCs w:val="24"/>
        </w:rPr>
        <w:t>28(4) of the Uniform Rules of Court. T</w:t>
      </w:r>
      <w:r w:rsidR="00B5703E" w:rsidRPr="006241D6">
        <w:rPr>
          <w:rFonts w:ascii="Arial" w:hAnsi="Arial" w:cs="Arial"/>
          <w:sz w:val="24"/>
          <w:szCs w:val="24"/>
        </w:rPr>
        <w:t xml:space="preserve">he </w:t>
      </w:r>
      <w:r w:rsidR="003255D5" w:rsidRPr="006241D6">
        <w:rPr>
          <w:rFonts w:ascii="Arial" w:hAnsi="Arial" w:cs="Arial"/>
          <w:sz w:val="24"/>
          <w:szCs w:val="24"/>
        </w:rPr>
        <w:t>applicant</w:t>
      </w:r>
      <w:r w:rsidR="00D87A25" w:rsidRPr="006241D6">
        <w:rPr>
          <w:rFonts w:ascii="Arial" w:hAnsi="Arial" w:cs="Arial"/>
          <w:sz w:val="24"/>
          <w:szCs w:val="24"/>
        </w:rPr>
        <w:t xml:space="preserve"> seeks to amend its</w:t>
      </w:r>
      <w:r w:rsidR="003255D5" w:rsidRPr="006241D6">
        <w:rPr>
          <w:rFonts w:ascii="Arial" w:hAnsi="Arial" w:cs="Arial"/>
          <w:sz w:val="24"/>
          <w:szCs w:val="24"/>
        </w:rPr>
        <w:t xml:space="preserve"> notice of motion</w:t>
      </w:r>
      <w:r w:rsidR="00897192" w:rsidRPr="006241D6">
        <w:rPr>
          <w:rFonts w:ascii="Arial" w:hAnsi="Arial" w:cs="Arial"/>
          <w:sz w:val="24"/>
          <w:szCs w:val="24"/>
        </w:rPr>
        <w:t>.</w:t>
      </w:r>
    </w:p>
    <w:p w14:paraId="01B8DDDF" w14:textId="77777777" w:rsidR="00E25856" w:rsidRPr="00E25856" w:rsidRDefault="00E25856" w:rsidP="00E25856">
      <w:pPr>
        <w:pStyle w:val="ListParagraph"/>
        <w:spacing w:line="360" w:lineRule="auto"/>
        <w:ind w:left="0"/>
        <w:jc w:val="both"/>
        <w:rPr>
          <w:rFonts w:ascii="Arial" w:hAnsi="Arial" w:cs="Arial"/>
          <w:sz w:val="24"/>
          <w:szCs w:val="24"/>
        </w:rPr>
      </w:pPr>
    </w:p>
    <w:p w14:paraId="7E5CE576" w14:textId="0F0CD952" w:rsidR="00E25856" w:rsidRDefault="00897192" w:rsidP="00E25856">
      <w:pPr>
        <w:pStyle w:val="ListParagraph"/>
        <w:spacing w:line="360" w:lineRule="auto"/>
        <w:ind w:left="0"/>
        <w:jc w:val="both"/>
        <w:rPr>
          <w:rFonts w:ascii="Arial" w:hAnsi="Arial" w:cs="Arial"/>
          <w:b/>
          <w:bCs/>
          <w:sz w:val="24"/>
          <w:szCs w:val="24"/>
        </w:rPr>
      </w:pPr>
      <w:r w:rsidRPr="00E25856">
        <w:rPr>
          <w:rFonts w:ascii="Arial" w:hAnsi="Arial" w:cs="Arial"/>
          <w:b/>
          <w:bCs/>
          <w:sz w:val="24"/>
          <w:szCs w:val="24"/>
        </w:rPr>
        <w:t>Background</w:t>
      </w:r>
    </w:p>
    <w:p w14:paraId="7AF9C8D2" w14:textId="77777777" w:rsidR="00E25856" w:rsidRPr="00E25856" w:rsidRDefault="00E25856" w:rsidP="00E25856">
      <w:pPr>
        <w:pStyle w:val="ListParagraph"/>
        <w:spacing w:line="360" w:lineRule="auto"/>
        <w:ind w:left="0"/>
        <w:jc w:val="both"/>
        <w:rPr>
          <w:rFonts w:ascii="Arial" w:hAnsi="Arial" w:cs="Arial"/>
          <w:sz w:val="24"/>
          <w:szCs w:val="24"/>
        </w:rPr>
      </w:pPr>
    </w:p>
    <w:p w14:paraId="07993A61" w14:textId="69079DEF"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4263F" w:rsidRPr="006241D6">
        <w:rPr>
          <w:rFonts w:ascii="Arial" w:hAnsi="Arial" w:cs="Arial"/>
          <w:sz w:val="24"/>
          <w:szCs w:val="24"/>
        </w:rPr>
        <w:t xml:space="preserve">On </w:t>
      </w:r>
      <w:r w:rsidR="00B80B6F" w:rsidRPr="006241D6">
        <w:rPr>
          <w:rFonts w:ascii="Arial" w:hAnsi="Arial" w:cs="Arial"/>
          <w:sz w:val="24"/>
          <w:szCs w:val="24"/>
        </w:rPr>
        <w:t xml:space="preserve">7 April 2021, the applicant </w:t>
      </w:r>
      <w:r w:rsidR="00F66BC0" w:rsidRPr="006241D6">
        <w:rPr>
          <w:rFonts w:ascii="Arial" w:hAnsi="Arial" w:cs="Arial"/>
          <w:sz w:val="24"/>
          <w:szCs w:val="24"/>
        </w:rPr>
        <w:t xml:space="preserve">instituted proceedings for the review and setting aside of the respondent’s decision </w:t>
      </w:r>
      <w:r w:rsidR="00C76263" w:rsidRPr="006241D6">
        <w:rPr>
          <w:rFonts w:ascii="Arial" w:hAnsi="Arial" w:cs="Arial"/>
          <w:sz w:val="24"/>
          <w:szCs w:val="24"/>
        </w:rPr>
        <w:t xml:space="preserve">to nominate a third party, Shanti </w:t>
      </w:r>
      <w:r w:rsidR="00225F7E" w:rsidRPr="006241D6">
        <w:rPr>
          <w:rFonts w:ascii="Arial" w:hAnsi="Arial" w:cs="Arial"/>
          <w:sz w:val="24"/>
          <w:szCs w:val="24"/>
        </w:rPr>
        <w:t>Africa Construction</w:t>
      </w:r>
      <w:r w:rsidR="00833E66" w:rsidRPr="006241D6">
        <w:rPr>
          <w:rFonts w:ascii="Arial" w:hAnsi="Arial" w:cs="Arial"/>
          <w:sz w:val="24"/>
          <w:szCs w:val="24"/>
        </w:rPr>
        <w:t xml:space="preserve">, as the preferred bidder for the supply, </w:t>
      </w:r>
      <w:proofErr w:type="gramStart"/>
      <w:r w:rsidR="00833E66" w:rsidRPr="006241D6">
        <w:rPr>
          <w:rFonts w:ascii="Arial" w:hAnsi="Arial" w:cs="Arial"/>
          <w:sz w:val="24"/>
          <w:szCs w:val="24"/>
        </w:rPr>
        <w:t>installation</w:t>
      </w:r>
      <w:proofErr w:type="gramEnd"/>
      <w:r w:rsidR="00833E66" w:rsidRPr="006241D6">
        <w:rPr>
          <w:rFonts w:ascii="Arial" w:hAnsi="Arial" w:cs="Arial"/>
          <w:sz w:val="24"/>
          <w:szCs w:val="24"/>
        </w:rPr>
        <w:t xml:space="preserve"> and maintenance </w:t>
      </w:r>
      <w:r w:rsidR="007C2739" w:rsidRPr="006241D6">
        <w:rPr>
          <w:rFonts w:ascii="Arial" w:hAnsi="Arial" w:cs="Arial"/>
          <w:sz w:val="24"/>
          <w:szCs w:val="24"/>
        </w:rPr>
        <w:t xml:space="preserve">of fibre network </w:t>
      </w:r>
      <w:r w:rsidR="007C2739" w:rsidRPr="006241D6">
        <w:rPr>
          <w:rFonts w:ascii="Arial" w:hAnsi="Arial" w:cs="Arial"/>
          <w:sz w:val="24"/>
          <w:szCs w:val="24"/>
        </w:rPr>
        <w:lastRenderedPageBreak/>
        <w:t xml:space="preserve">services. </w:t>
      </w:r>
      <w:r w:rsidR="001B334E" w:rsidRPr="006241D6">
        <w:rPr>
          <w:rFonts w:ascii="Arial" w:hAnsi="Arial" w:cs="Arial"/>
          <w:sz w:val="24"/>
          <w:szCs w:val="24"/>
        </w:rPr>
        <w:t xml:space="preserve">It also sought the </w:t>
      </w:r>
      <w:r w:rsidR="00EB2D58" w:rsidRPr="006241D6">
        <w:rPr>
          <w:rFonts w:ascii="Arial" w:hAnsi="Arial" w:cs="Arial"/>
          <w:sz w:val="24"/>
          <w:szCs w:val="24"/>
        </w:rPr>
        <w:t>review and setting aside of the evaluation process</w:t>
      </w:r>
      <w:r w:rsidR="00D4608C" w:rsidRPr="006241D6">
        <w:rPr>
          <w:rFonts w:ascii="Arial" w:hAnsi="Arial" w:cs="Arial"/>
          <w:sz w:val="24"/>
          <w:szCs w:val="24"/>
        </w:rPr>
        <w:t xml:space="preserve"> and the respondent’s decision </w:t>
      </w:r>
      <w:r w:rsidR="00C6623F" w:rsidRPr="006241D6">
        <w:rPr>
          <w:rFonts w:ascii="Arial" w:hAnsi="Arial" w:cs="Arial"/>
          <w:sz w:val="24"/>
          <w:szCs w:val="24"/>
        </w:rPr>
        <w:t xml:space="preserve">not </w:t>
      </w:r>
      <w:r w:rsidR="00D4608C" w:rsidRPr="006241D6">
        <w:rPr>
          <w:rFonts w:ascii="Arial" w:hAnsi="Arial" w:cs="Arial"/>
          <w:sz w:val="24"/>
          <w:szCs w:val="24"/>
        </w:rPr>
        <w:t xml:space="preserve">to </w:t>
      </w:r>
      <w:r w:rsidR="00093080" w:rsidRPr="006241D6">
        <w:rPr>
          <w:rFonts w:ascii="Arial" w:hAnsi="Arial" w:cs="Arial"/>
          <w:sz w:val="24"/>
          <w:szCs w:val="24"/>
        </w:rPr>
        <w:t xml:space="preserve">award </w:t>
      </w:r>
      <w:r w:rsidR="00C6623F" w:rsidRPr="006241D6">
        <w:rPr>
          <w:rFonts w:ascii="Arial" w:hAnsi="Arial" w:cs="Arial"/>
          <w:sz w:val="24"/>
          <w:szCs w:val="24"/>
        </w:rPr>
        <w:t>any</w:t>
      </w:r>
      <w:r w:rsidR="00093080" w:rsidRPr="006241D6">
        <w:rPr>
          <w:rFonts w:ascii="Arial" w:hAnsi="Arial" w:cs="Arial"/>
          <w:sz w:val="24"/>
          <w:szCs w:val="24"/>
        </w:rPr>
        <w:t xml:space="preserve"> points </w:t>
      </w:r>
      <w:r w:rsidR="006260FB" w:rsidRPr="006241D6">
        <w:rPr>
          <w:rFonts w:ascii="Arial" w:hAnsi="Arial" w:cs="Arial"/>
          <w:sz w:val="24"/>
          <w:szCs w:val="24"/>
        </w:rPr>
        <w:t xml:space="preserve">to the applicant in relation to the latter’s </w:t>
      </w:r>
      <w:r w:rsidR="001F54D6" w:rsidRPr="006241D6">
        <w:rPr>
          <w:rFonts w:ascii="Arial" w:hAnsi="Arial" w:cs="Arial"/>
          <w:sz w:val="24"/>
          <w:szCs w:val="24"/>
        </w:rPr>
        <w:t>B-BBEE level of contribution</w:t>
      </w:r>
      <w:r w:rsidR="00C6623F" w:rsidRPr="006241D6">
        <w:rPr>
          <w:rFonts w:ascii="Arial" w:hAnsi="Arial" w:cs="Arial"/>
          <w:sz w:val="24"/>
          <w:szCs w:val="24"/>
        </w:rPr>
        <w:t xml:space="preserve">. The applicant, furthermore, sought </w:t>
      </w:r>
      <w:r w:rsidR="00637E21" w:rsidRPr="006241D6">
        <w:rPr>
          <w:rFonts w:ascii="Arial" w:hAnsi="Arial" w:cs="Arial"/>
          <w:sz w:val="24"/>
          <w:szCs w:val="24"/>
        </w:rPr>
        <w:t xml:space="preserve">the remittal of </w:t>
      </w:r>
      <w:r w:rsidR="00C6623F" w:rsidRPr="006241D6">
        <w:rPr>
          <w:rFonts w:ascii="Arial" w:hAnsi="Arial" w:cs="Arial"/>
          <w:sz w:val="24"/>
          <w:szCs w:val="24"/>
        </w:rPr>
        <w:t>its</w:t>
      </w:r>
      <w:r w:rsidR="00F86987" w:rsidRPr="006241D6">
        <w:rPr>
          <w:rFonts w:ascii="Arial" w:hAnsi="Arial" w:cs="Arial"/>
          <w:sz w:val="24"/>
          <w:szCs w:val="24"/>
        </w:rPr>
        <w:t xml:space="preserve"> bid to the respondent for re-evaluation.</w:t>
      </w:r>
    </w:p>
    <w:p w14:paraId="3D4E1A93" w14:textId="77777777" w:rsidR="00E25856" w:rsidRDefault="00E25856" w:rsidP="00E25856">
      <w:pPr>
        <w:pStyle w:val="ListParagraph"/>
        <w:spacing w:line="360" w:lineRule="auto"/>
        <w:ind w:left="0"/>
        <w:jc w:val="both"/>
        <w:rPr>
          <w:rFonts w:ascii="Arial" w:hAnsi="Arial" w:cs="Arial"/>
          <w:sz w:val="24"/>
          <w:szCs w:val="24"/>
        </w:rPr>
      </w:pPr>
    </w:p>
    <w:p w14:paraId="67EBBDE5" w14:textId="080E536E"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83C6A" w:rsidRPr="006241D6">
        <w:rPr>
          <w:rFonts w:ascii="Arial" w:hAnsi="Arial" w:cs="Arial"/>
          <w:sz w:val="24"/>
          <w:szCs w:val="24"/>
        </w:rPr>
        <w:t xml:space="preserve">As an unincorporated joint venture, the applicant had submitted </w:t>
      </w:r>
      <w:r w:rsidR="00137D20" w:rsidRPr="006241D6">
        <w:rPr>
          <w:rFonts w:ascii="Arial" w:hAnsi="Arial" w:cs="Arial"/>
          <w:sz w:val="24"/>
          <w:szCs w:val="24"/>
        </w:rPr>
        <w:t xml:space="preserve">separate </w:t>
      </w:r>
      <w:bookmarkStart w:id="0" w:name="_Hlk119328599"/>
      <w:r w:rsidR="00137D20" w:rsidRPr="006241D6">
        <w:rPr>
          <w:rFonts w:ascii="Arial" w:hAnsi="Arial" w:cs="Arial"/>
          <w:sz w:val="24"/>
          <w:szCs w:val="24"/>
        </w:rPr>
        <w:t>B-BBEE verification</w:t>
      </w:r>
      <w:bookmarkEnd w:id="0"/>
      <w:r w:rsidR="00137D20" w:rsidRPr="006241D6">
        <w:rPr>
          <w:rFonts w:ascii="Arial" w:hAnsi="Arial" w:cs="Arial"/>
          <w:sz w:val="24"/>
          <w:szCs w:val="24"/>
        </w:rPr>
        <w:t xml:space="preserve"> certificates for its constituent members</w:t>
      </w:r>
      <w:r w:rsidR="005847FC" w:rsidRPr="006241D6">
        <w:rPr>
          <w:rFonts w:ascii="Arial" w:hAnsi="Arial" w:cs="Arial"/>
          <w:sz w:val="24"/>
          <w:szCs w:val="24"/>
        </w:rPr>
        <w:t xml:space="preserve">. The respondent had </w:t>
      </w:r>
      <w:r w:rsidR="00240DCE" w:rsidRPr="006241D6">
        <w:rPr>
          <w:rFonts w:ascii="Arial" w:hAnsi="Arial" w:cs="Arial"/>
          <w:sz w:val="24"/>
          <w:szCs w:val="24"/>
        </w:rPr>
        <w:t xml:space="preserve">scored the applicant </w:t>
      </w:r>
      <w:r w:rsidR="00804A93" w:rsidRPr="006241D6">
        <w:rPr>
          <w:rFonts w:ascii="Arial" w:hAnsi="Arial" w:cs="Arial"/>
          <w:sz w:val="24"/>
          <w:szCs w:val="24"/>
        </w:rPr>
        <w:t xml:space="preserve">the highest number of points for price but had </w:t>
      </w:r>
      <w:r w:rsidR="006D61C6" w:rsidRPr="006241D6">
        <w:rPr>
          <w:rFonts w:ascii="Arial" w:hAnsi="Arial" w:cs="Arial"/>
          <w:sz w:val="24"/>
          <w:szCs w:val="24"/>
        </w:rPr>
        <w:t xml:space="preserve">scored it zero out of a possible 20 points </w:t>
      </w:r>
      <w:r w:rsidR="00EA5AA0" w:rsidRPr="006241D6">
        <w:rPr>
          <w:rFonts w:ascii="Arial" w:hAnsi="Arial" w:cs="Arial"/>
          <w:sz w:val="24"/>
          <w:szCs w:val="24"/>
        </w:rPr>
        <w:t xml:space="preserve">for having failed to </w:t>
      </w:r>
      <w:r w:rsidR="000E06CF" w:rsidRPr="006241D6">
        <w:rPr>
          <w:rFonts w:ascii="Arial" w:hAnsi="Arial" w:cs="Arial"/>
          <w:sz w:val="24"/>
          <w:szCs w:val="24"/>
        </w:rPr>
        <w:t xml:space="preserve">submit a consolidated </w:t>
      </w:r>
      <w:r w:rsidR="00FA629F" w:rsidRPr="006241D6">
        <w:rPr>
          <w:rFonts w:ascii="Arial" w:hAnsi="Arial" w:cs="Arial"/>
          <w:sz w:val="24"/>
          <w:szCs w:val="24"/>
        </w:rPr>
        <w:t xml:space="preserve">B-BBEE verification </w:t>
      </w:r>
      <w:r w:rsidR="000E06CF" w:rsidRPr="006241D6">
        <w:rPr>
          <w:rFonts w:ascii="Arial" w:hAnsi="Arial" w:cs="Arial"/>
          <w:sz w:val="24"/>
          <w:szCs w:val="24"/>
        </w:rPr>
        <w:t xml:space="preserve">certificate </w:t>
      </w:r>
      <w:r w:rsidR="00DE388A" w:rsidRPr="006241D6">
        <w:rPr>
          <w:rFonts w:ascii="Arial" w:hAnsi="Arial" w:cs="Arial"/>
          <w:sz w:val="24"/>
          <w:szCs w:val="24"/>
        </w:rPr>
        <w:t>for the unincorporated joint venture itself</w:t>
      </w:r>
      <w:r w:rsidR="002F02F3" w:rsidRPr="006241D6">
        <w:rPr>
          <w:rFonts w:ascii="Arial" w:hAnsi="Arial" w:cs="Arial"/>
          <w:sz w:val="24"/>
          <w:szCs w:val="24"/>
        </w:rPr>
        <w:t xml:space="preserve">. </w:t>
      </w:r>
      <w:r w:rsidR="004A5ACC" w:rsidRPr="006241D6">
        <w:rPr>
          <w:rFonts w:ascii="Arial" w:hAnsi="Arial" w:cs="Arial"/>
          <w:sz w:val="24"/>
          <w:szCs w:val="24"/>
        </w:rPr>
        <w:t xml:space="preserve">The applicant contended that the tender documents had not </w:t>
      </w:r>
      <w:r w:rsidR="00F0247C" w:rsidRPr="006241D6">
        <w:rPr>
          <w:rFonts w:ascii="Arial" w:hAnsi="Arial" w:cs="Arial"/>
          <w:sz w:val="24"/>
          <w:szCs w:val="24"/>
        </w:rPr>
        <w:t>stipulated that a consolidated certificate was required.</w:t>
      </w:r>
    </w:p>
    <w:p w14:paraId="29A0E373" w14:textId="77777777" w:rsidR="00E25856" w:rsidRPr="00E25856" w:rsidRDefault="00E25856" w:rsidP="00E25856">
      <w:pPr>
        <w:pStyle w:val="ListParagraph"/>
        <w:rPr>
          <w:rFonts w:ascii="Arial" w:hAnsi="Arial" w:cs="Arial"/>
          <w:sz w:val="24"/>
          <w:szCs w:val="24"/>
        </w:rPr>
      </w:pPr>
    </w:p>
    <w:p w14:paraId="43DDBE35" w14:textId="25E8D784"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F02F3" w:rsidRPr="006241D6">
        <w:rPr>
          <w:rFonts w:ascii="Arial" w:hAnsi="Arial" w:cs="Arial"/>
          <w:sz w:val="24"/>
          <w:szCs w:val="24"/>
        </w:rPr>
        <w:t xml:space="preserve">On 24 August 2021, the respondent </w:t>
      </w:r>
      <w:r w:rsidR="00FA5023" w:rsidRPr="006241D6">
        <w:rPr>
          <w:rFonts w:ascii="Arial" w:hAnsi="Arial" w:cs="Arial"/>
          <w:sz w:val="24"/>
          <w:szCs w:val="24"/>
        </w:rPr>
        <w:t xml:space="preserve">opposed </w:t>
      </w:r>
      <w:r w:rsidR="00910BCC" w:rsidRPr="006241D6">
        <w:rPr>
          <w:rFonts w:ascii="Arial" w:hAnsi="Arial" w:cs="Arial"/>
          <w:sz w:val="24"/>
          <w:szCs w:val="24"/>
        </w:rPr>
        <w:t xml:space="preserve">the application. It raised several points </w:t>
      </w:r>
      <w:r w:rsidR="00910BCC" w:rsidRPr="006241D6">
        <w:rPr>
          <w:rFonts w:ascii="Arial" w:hAnsi="Arial" w:cs="Arial"/>
          <w:i/>
          <w:iCs/>
          <w:sz w:val="24"/>
          <w:szCs w:val="24"/>
        </w:rPr>
        <w:t xml:space="preserve">in </w:t>
      </w:r>
      <w:proofErr w:type="spellStart"/>
      <w:r w:rsidR="00910BCC" w:rsidRPr="006241D6">
        <w:rPr>
          <w:rFonts w:ascii="Arial" w:hAnsi="Arial" w:cs="Arial"/>
          <w:i/>
          <w:iCs/>
          <w:sz w:val="24"/>
          <w:szCs w:val="24"/>
        </w:rPr>
        <w:t>limine</w:t>
      </w:r>
      <w:proofErr w:type="spellEnd"/>
      <w:r w:rsidR="00910BCC" w:rsidRPr="006241D6">
        <w:rPr>
          <w:rFonts w:ascii="Arial" w:hAnsi="Arial" w:cs="Arial"/>
          <w:sz w:val="24"/>
          <w:szCs w:val="24"/>
        </w:rPr>
        <w:t xml:space="preserve">, including </w:t>
      </w:r>
      <w:r w:rsidR="00773315" w:rsidRPr="006241D6">
        <w:rPr>
          <w:rFonts w:ascii="Arial" w:hAnsi="Arial" w:cs="Arial"/>
          <w:sz w:val="24"/>
          <w:szCs w:val="24"/>
        </w:rPr>
        <w:t xml:space="preserve">the assertion that Shanti Africa Construction, as the successful bidder, had not been </w:t>
      </w:r>
      <w:r w:rsidR="001B3556" w:rsidRPr="006241D6">
        <w:rPr>
          <w:rFonts w:ascii="Arial" w:hAnsi="Arial" w:cs="Arial"/>
          <w:sz w:val="24"/>
          <w:szCs w:val="24"/>
        </w:rPr>
        <w:t>joined to the proceedings.</w:t>
      </w:r>
      <w:r w:rsidR="00F5156F" w:rsidRPr="006241D6">
        <w:rPr>
          <w:rFonts w:ascii="Arial" w:hAnsi="Arial" w:cs="Arial"/>
          <w:sz w:val="24"/>
          <w:szCs w:val="24"/>
        </w:rPr>
        <w:t xml:space="preserve"> The main defence</w:t>
      </w:r>
      <w:r w:rsidR="000103BF" w:rsidRPr="006241D6">
        <w:rPr>
          <w:rFonts w:ascii="Arial" w:hAnsi="Arial" w:cs="Arial"/>
          <w:sz w:val="24"/>
          <w:szCs w:val="24"/>
        </w:rPr>
        <w:t>, however, was that the applicant’s failure to have submitted a consolidated certificate was fatal</w:t>
      </w:r>
      <w:r w:rsidR="006119DC" w:rsidRPr="006241D6">
        <w:rPr>
          <w:rFonts w:ascii="Arial" w:hAnsi="Arial" w:cs="Arial"/>
          <w:sz w:val="24"/>
          <w:szCs w:val="24"/>
        </w:rPr>
        <w:t xml:space="preserve">; this </w:t>
      </w:r>
      <w:r w:rsidR="00B061FB" w:rsidRPr="006241D6">
        <w:rPr>
          <w:rFonts w:ascii="Arial" w:hAnsi="Arial" w:cs="Arial"/>
          <w:sz w:val="24"/>
          <w:szCs w:val="24"/>
        </w:rPr>
        <w:t xml:space="preserve">was a requirement </w:t>
      </w:r>
      <w:r w:rsidR="00C6623F" w:rsidRPr="006241D6">
        <w:rPr>
          <w:rFonts w:ascii="Arial" w:hAnsi="Arial" w:cs="Arial"/>
          <w:sz w:val="24"/>
          <w:szCs w:val="24"/>
        </w:rPr>
        <w:t xml:space="preserve">under </w:t>
      </w:r>
      <w:r w:rsidR="00B061FB" w:rsidRPr="006241D6">
        <w:rPr>
          <w:rFonts w:ascii="Arial" w:hAnsi="Arial" w:cs="Arial"/>
          <w:sz w:val="24"/>
          <w:szCs w:val="24"/>
        </w:rPr>
        <w:t xml:space="preserve">the relevant </w:t>
      </w:r>
      <w:r w:rsidR="00693B33" w:rsidRPr="006241D6">
        <w:rPr>
          <w:rFonts w:ascii="Arial" w:hAnsi="Arial" w:cs="Arial"/>
          <w:sz w:val="24"/>
          <w:szCs w:val="24"/>
        </w:rPr>
        <w:t>code of good practice issued in terms of the Broad-Based Black Economic Empowerment Act 53 of 2003</w:t>
      </w:r>
      <w:r w:rsidR="00554DF3" w:rsidRPr="006241D6">
        <w:rPr>
          <w:rFonts w:ascii="Arial" w:hAnsi="Arial" w:cs="Arial"/>
          <w:sz w:val="24"/>
          <w:szCs w:val="24"/>
        </w:rPr>
        <w:t xml:space="preserve"> and the </w:t>
      </w:r>
      <w:r w:rsidR="00B061FB" w:rsidRPr="006241D6">
        <w:rPr>
          <w:rFonts w:ascii="Arial" w:hAnsi="Arial" w:cs="Arial"/>
          <w:sz w:val="24"/>
          <w:szCs w:val="24"/>
        </w:rPr>
        <w:t>implementation guide</w:t>
      </w:r>
      <w:r w:rsidR="009B3079" w:rsidRPr="006241D6">
        <w:rPr>
          <w:rFonts w:ascii="Arial" w:hAnsi="Arial" w:cs="Arial"/>
          <w:sz w:val="24"/>
          <w:szCs w:val="24"/>
        </w:rPr>
        <w:t xml:space="preserve"> issued by the National Treasury</w:t>
      </w:r>
      <w:r w:rsidR="00137D20" w:rsidRPr="006241D6">
        <w:rPr>
          <w:rFonts w:ascii="Arial" w:hAnsi="Arial" w:cs="Arial"/>
          <w:sz w:val="24"/>
          <w:szCs w:val="24"/>
        </w:rPr>
        <w:t xml:space="preserve"> </w:t>
      </w:r>
      <w:r w:rsidR="00090608" w:rsidRPr="006241D6">
        <w:rPr>
          <w:rFonts w:ascii="Arial" w:hAnsi="Arial" w:cs="Arial"/>
          <w:sz w:val="24"/>
          <w:szCs w:val="24"/>
        </w:rPr>
        <w:t>regarding the Preferential Procurement Regulations</w:t>
      </w:r>
      <w:r w:rsidR="006F52A1" w:rsidRPr="006241D6">
        <w:rPr>
          <w:rFonts w:ascii="Arial" w:hAnsi="Arial" w:cs="Arial"/>
          <w:sz w:val="24"/>
          <w:szCs w:val="24"/>
        </w:rPr>
        <w:t>, 2017</w:t>
      </w:r>
      <w:r w:rsidR="00554DF3" w:rsidRPr="006241D6">
        <w:rPr>
          <w:rFonts w:ascii="Arial" w:hAnsi="Arial" w:cs="Arial"/>
          <w:sz w:val="24"/>
          <w:szCs w:val="24"/>
        </w:rPr>
        <w:t>.</w:t>
      </w:r>
    </w:p>
    <w:p w14:paraId="09CDA066" w14:textId="77777777" w:rsidR="00E25856" w:rsidRPr="00E25856" w:rsidRDefault="00E25856" w:rsidP="00E25856">
      <w:pPr>
        <w:pStyle w:val="ListParagraph"/>
        <w:rPr>
          <w:rFonts w:ascii="Arial" w:hAnsi="Arial" w:cs="Arial"/>
          <w:sz w:val="24"/>
          <w:szCs w:val="24"/>
        </w:rPr>
      </w:pPr>
    </w:p>
    <w:p w14:paraId="3C6AF5D3" w14:textId="7000CAB5"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D5138" w:rsidRPr="006241D6">
        <w:rPr>
          <w:rFonts w:ascii="Arial" w:hAnsi="Arial" w:cs="Arial"/>
          <w:sz w:val="24"/>
          <w:szCs w:val="24"/>
        </w:rPr>
        <w:t xml:space="preserve">The respondent subsequently applied </w:t>
      </w:r>
      <w:r w:rsidR="00E67ABE" w:rsidRPr="006241D6">
        <w:rPr>
          <w:rFonts w:ascii="Arial" w:hAnsi="Arial" w:cs="Arial"/>
          <w:sz w:val="24"/>
          <w:szCs w:val="24"/>
        </w:rPr>
        <w:t xml:space="preserve">for </w:t>
      </w:r>
      <w:r w:rsidR="00FF0B79" w:rsidRPr="006241D6">
        <w:rPr>
          <w:rFonts w:ascii="Arial" w:hAnsi="Arial" w:cs="Arial"/>
          <w:sz w:val="24"/>
          <w:szCs w:val="24"/>
        </w:rPr>
        <w:t>leave to</w:t>
      </w:r>
      <w:r w:rsidR="00E67ABE" w:rsidRPr="006241D6">
        <w:rPr>
          <w:rFonts w:ascii="Arial" w:hAnsi="Arial" w:cs="Arial"/>
          <w:sz w:val="24"/>
          <w:szCs w:val="24"/>
        </w:rPr>
        <w:t xml:space="preserve"> fil</w:t>
      </w:r>
      <w:r w:rsidR="00FF0B79" w:rsidRPr="006241D6">
        <w:rPr>
          <w:rFonts w:ascii="Arial" w:hAnsi="Arial" w:cs="Arial"/>
          <w:sz w:val="24"/>
          <w:szCs w:val="24"/>
        </w:rPr>
        <w:t>e</w:t>
      </w:r>
      <w:r w:rsidR="00E67ABE" w:rsidRPr="006241D6">
        <w:rPr>
          <w:rFonts w:ascii="Arial" w:hAnsi="Arial" w:cs="Arial"/>
          <w:sz w:val="24"/>
          <w:szCs w:val="24"/>
        </w:rPr>
        <w:t xml:space="preserve"> further affidavit</w:t>
      </w:r>
      <w:r w:rsidR="00FF0B79" w:rsidRPr="006241D6">
        <w:rPr>
          <w:rFonts w:ascii="Arial" w:hAnsi="Arial" w:cs="Arial"/>
          <w:sz w:val="24"/>
          <w:szCs w:val="24"/>
        </w:rPr>
        <w:t xml:space="preserve">s, </w:t>
      </w:r>
      <w:r w:rsidR="00CE4CF4" w:rsidRPr="006241D6">
        <w:rPr>
          <w:rFonts w:ascii="Arial" w:hAnsi="Arial" w:cs="Arial"/>
          <w:sz w:val="24"/>
          <w:szCs w:val="24"/>
        </w:rPr>
        <w:t>explain</w:t>
      </w:r>
      <w:r w:rsidR="00FF0B79" w:rsidRPr="006241D6">
        <w:rPr>
          <w:rFonts w:ascii="Arial" w:hAnsi="Arial" w:cs="Arial"/>
          <w:sz w:val="24"/>
          <w:szCs w:val="24"/>
        </w:rPr>
        <w:t>ing</w:t>
      </w:r>
      <w:r w:rsidR="00CE4CF4" w:rsidRPr="006241D6">
        <w:rPr>
          <w:rFonts w:ascii="Arial" w:hAnsi="Arial" w:cs="Arial"/>
          <w:sz w:val="24"/>
          <w:szCs w:val="24"/>
        </w:rPr>
        <w:t xml:space="preserve"> that the project had been completed</w:t>
      </w:r>
      <w:r w:rsidR="006D2BBE" w:rsidRPr="006241D6">
        <w:rPr>
          <w:rFonts w:ascii="Arial" w:hAnsi="Arial" w:cs="Arial"/>
          <w:sz w:val="24"/>
          <w:szCs w:val="24"/>
        </w:rPr>
        <w:t xml:space="preserve">. No purpose would be </w:t>
      </w:r>
      <w:r w:rsidR="00ED11BC" w:rsidRPr="006241D6">
        <w:rPr>
          <w:rFonts w:ascii="Arial" w:hAnsi="Arial" w:cs="Arial"/>
          <w:sz w:val="24"/>
          <w:szCs w:val="24"/>
        </w:rPr>
        <w:t xml:space="preserve">served by </w:t>
      </w:r>
      <w:r w:rsidR="00896ED6" w:rsidRPr="006241D6">
        <w:rPr>
          <w:rFonts w:ascii="Arial" w:hAnsi="Arial" w:cs="Arial"/>
          <w:sz w:val="24"/>
          <w:szCs w:val="24"/>
        </w:rPr>
        <w:t xml:space="preserve">either </w:t>
      </w:r>
      <w:r w:rsidR="00ED11BC" w:rsidRPr="006241D6">
        <w:rPr>
          <w:rFonts w:ascii="Arial" w:hAnsi="Arial" w:cs="Arial"/>
          <w:sz w:val="24"/>
          <w:szCs w:val="24"/>
        </w:rPr>
        <w:t xml:space="preserve">setting aside </w:t>
      </w:r>
      <w:r w:rsidR="00FB3568" w:rsidRPr="006241D6">
        <w:rPr>
          <w:rFonts w:ascii="Arial" w:hAnsi="Arial" w:cs="Arial"/>
          <w:sz w:val="24"/>
          <w:szCs w:val="24"/>
        </w:rPr>
        <w:t>the award of the tender to Shanti Africa Construction</w:t>
      </w:r>
      <w:r w:rsidR="00896ED6" w:rsidRPr="006241D6">
        <w:rPr>
          <w:rFonts w:ascii="Arial" w:hAnsi="Arial" w:cs="Arial"/>
          <w:sz w:val="24"/>
          <w:szCs w:val="24"/>
        </w:rPr>
        <w:t xml:space="preserve"> or by re</w:t>
      </w:r>
      <w:r w:rsidR="007E4C9F" w:rsidRPr="006241D6">
        <w:rPr>
          <w:rFonts w:ascii="Arial" w:hAnsi="Arial" w:cs="Arial"/>
          <w:sz w:val="24"/>
          <w:szCs w:val="24"/>
        </w:rPr>
        <w:t>-eval</w:t>
      </w:r>
      <w:r w:rsidR="003935A4" w:rsidRPr="006241D6">
        <w:rPr>
          <w:rFonts w:ascii="Arial" w:hAnsi="Arial" w:cs="Arial"/>
          <w:sz w:val="24"/>
          <w:szCs w:val="24"/>
        </w:rPr>
        <w:t>uating t</w:t>
      </w:r>
      <w:r w:rsidR="00896ED6" w:rsidRPr="006241D6">
        <w:rPr>
          <w:rFonts w:ascii="Arial" w:hAnsi="Arial" w:cs="Arial"/>
          <w:sz w:val="24"/>
          <w:szCs w:val="24"/>
        </w:rPr>
        <w:t xml:space="preserve">he bids </w:t>
      </w:r>
      <w:r w:rsidR="003935A4" w:rsidRPr="006241D6">
        <w:rPr>
          <w:rFonts w:ascii="Arial" w:hAnsi="Arial" w:cs="Arial"/>
          <w:sz w:val="24"/>
          <w:szCs w:val="24"/>
        </w:rPr>
        <w:t>submitted.</w:t>
      </w:r>
      <w:r w:rsidR="00ED11BC" w:rsidRPr="006241D6">
        <w:rPr>
          <w:rFonts w:ascii="Arial" w:hAnsi="Arial" w:cs="Arial"/>
          <w:sz w:val="24"/>
          <w:szCs w:val="24"/>
        </w:rPr>
        <w:t xml:space="preserve"> </w:t>
      </w:r>
      <w:r w:rsidR="00014DDC" w:rsidRPr="006241D6">
        <w:rPr>
          <w:rFonts w:ascii="Arial" w:hAnsi="Arial" w:cs="Arial"/>
          <w:sz w:val="24"/>
          <w:szCs w:val="24"/>
        </w:rPr>
        <w:t xml:space="preserve">Similarly, the </w:t>
      </w:r>
      <w:r w:rsidR="00DC0E54" w:rsidRPr="006241D6">
        <w:rPr>
          <w:rFonts w:ascii="Arial" w:hAnsi="Arial" w:cs="Arial"/>
          <w:sz w:val="24"/>
          <w:szCs w:val="24"/>
        </w:rPr>
        <w:t>applicant appl</w:t>
      </w:r>
      <w:r w:rsidR="008C04C3" w:rsidRPr="006241D6">
        <w:rPr>
          <w:rFonts w:ascii="Arial" w:hAnsi="Arial" w:cs="Arial"/>
          <w:sz w:val="24"/>
          <w:szCs w:val="24"/>
        </w:rPr>
        <w:t>ied</w:t>
      </w:r>
      <w:r w:rsidR="00DC0E54" w:rsidRPr="006241D6">
        <w:rPr>
          <w:rFonts w:ascii="Arial" w:hAnsi="Arial" w:cs="Arial"/>
          <w:sz w:val="24"/>
          <w:szCs w:val="24"/>
        </w:rPr>
        <w:t xml:space="preserve"> </w:t>
      </w:r>
      <w:r w:rsidR="0091444C" w:rsidRPr="006241D6">
        <w:rPr>
          <w:rFonts w:ascii="Arial" w:hAnsi="Arial" w:cs="Arial"/>
          <w:sz w:val="24"/>
          <w:szCs w:val="24"/>
        </w:rPr>
        <w:t xml:space="preserve">for, </w:t>
      </w:r>
      <w:r w:rsidR="0091444C" w:rsidRPr="006241D6">
        <w:rPr>
          <w:rFonts w:ascii="Arial" w:hAnsi="Arial" w:cs="Arial"/>
          <w:i/>
          <w:iCs/>
          <w:sz w:val="24"/>
          <w:szCs w:val="24"/>
        </w:rPr>
        <w:t>inter alia</w:t>
      </w:r>
      <w:r w:rsidR="0091444C" w:rsidRPr="006241D6">
        <w:rPr>
          <w:rFonts w:ascii="Arial" w:hAnsi="Arial" w:cs="Arial"/>
          <w:sz w:val="24"/>
          <w:szCs w:val="24"/>
        </w:rPr>
        <w:t xml:space="preserve">, </w:t>
      </w:r>
      <w:r w:rsidR="008C04C3" w:rsidRPr="006241D6">
        <w:rPr>
          <w:rFonts w:ascii="Arial" w:hAnsi="Arial" w:cs="Arial"/>
          <w:sz w:val="24"/>
          <w:szCs w:val="24"/>
        </w:rPr>
        <w:t>leave to amend its pleadings or file further affidavits</w:t>
      </w:r>
      <w:r w:rsidR="007D2C1D" w:rsidRPr="006241D6">
        <w:rPr>
          <w:rFonts w:ascii="Arial" w:hAnsi="Arial" w:cs="Arial"/>
          <w:sz w:val="24"/>
          <w:szCs w:val="24"/>
        </w:rPr>
        <w:t xml:space="preserve"> so that it could deal with the </w:t>
      </w:r>
      <w:r w:rsidR="002800F8" w:rsidRPr="006241D6">
        <w:rPr>
          <w:rFonts w:ascii="Arial" w:hAnsi="Arial" w:cs="Arial"/>
          <w:sz w:val="24"/>
          <w:szCs w:val="24"/>
        </w:rPr>
        <w:t>new information</w:t>
      </w:r>
      <w:r w:rsidR="007D2C1D" w:rsidRPr="006241D6">
        <w:rPr>
          <w:rFonts w:ascii="Arial" w:hAnsi="Arial" w:cs="Arial"/>
          <w:sz w:val="24"/>
          <w:szCs w:val="24"/>
        </w:rPr>
        <w:t>.</w:t>
      </w:r>
    </w:p>
    <w:p w14:paraId="4CD579CD" w14:textId="77777777" w:rsidR="00E25856" w:rsidRPr="00E25856" w:rsidRDefault="00E25856" w:rsidP="00E25856">
      <w:pPr>
        <w:pStyle w:val="ListParagraph"/>
        <w:rPr>
          <w:rFonts w:ascii="Arial" w:hAnsi="Arial" w:cs="Arial"/>
          <w:sz w:val="24"/>
          <w:szCs w:val="24"/>
        </w:rPr>
      </w:pPr>
    </w:p>
    <w:p w14:paraId="6DD97495" w14:textId="1E227EE1"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D1FF0" w:rsidRPr="006241D6">
        <w:rPr>
          <w:rFonts w:ascii="Arial" w:hAnsi="Arial" w:cs="Arial"/>
          <w:sz w:val="24"/>
          <w:szCs w:val="24"/>
        </w:rPr>
        <w:t xml:space="preserve">On </w:t>
      </w:r>
      <w:r w:rsidR="00DB48E7" w:rsidRPr="006241D6">
        <w:rPr>
          <w:rFonts w:ascii="Arial" w:hAnsi="Arial" w:cs="Arial"/>
          <w:sz w:val="24"/>
          <w:szCs w:val="24"/>
        </w:rPr>
        <w:t xml:space="preserve">19 May 2022, </w:t>
      </w:r>
      <w:proofErr w:type="spellStart"/>
      <w:r w:rsidR="00DB48E7" w:rsidRPr="006241D6">
        <w:rPr>
          <w:rFonts w:ascii="Arial" w:hAnsi="Arial" w:cs="Arial"/>
          <w:sz w:val="24"/>
          <w:szCs w:val="24"/>
        </w:rPr>
        <w:t>Zilwa</w:t>
      </w:r>
      <w:proofErr w:type="spellEnd"/>
      <w:r w:rsidR="00DB48E7" w:rsidRPr="006241D6">
        <w:rPr>
          <w:rFonts w:ascii="Arial" w:hAnsi="Arial" w:cs="Arial"/>
          <w:sz w:val="24"/>
          <w:szCs w:val="24"/>
        </w:rPr>
        <w:t xml:space="preserve"> J granted leave to the respondent to file further affidavits and </w:t>
      </w:r>
      <w:r w:rsidR="005E63B0" w:rsidRPr="006241D6">
        <w:rPr>
          <w:rFonts w:ascii="Arial" w:hAnsi="Arial" w:cs="Arial"/>
          <w:sz w:val="24"/>
          <w:szCs w:val="24"/>
        </w:rPr>
        <w:t xml:space="preserve">directed the </w:t>
      </w:r>
      <w:r w:rsidR="00B9182E" w:rsidRPr="006241D6">
        <w:rPr>
          <w:rFonts w:ascii="Arial" w:hAnsi="Arial" w:cs="Arial"/>
          <w:sz w:val="24"/>
          <w:szCs w:val="24"/>
        </w:rPr>
        <w:t>a</w:t>
      </w:r>
      <w:r w:rsidR="001510E2" w:rsidRPr="006241D6">
        <w:rPr>
          <w:rFonts w:ascii="Arial" w:hAnsi="Arial" w:cs="Arial"/>
          <w:sz w:val="24"/>
          <w:szCs w:val="24"/>
        </w:rPr>
        <w:t xml:space="preserve">pplicant </w:t>
      </w:r>
      <w:r w:rsidR="005D12D9" w:rsidRPr="006241D6">
        <w:rPr>
          <w:rFonts w:ascii="Arial" w:hAnsi="Arial" w:cs="Arial"/>
          <w:sz w:val="24"/>
          <w:szCs w:val="24"/>
        </w:rPr>
        <w:t>to respond thereto</w:t>
      </w:r>
      <w:r w:rsidR="00D17334" w:rsidRPr="006241D6">
        <w:rPr>
          <w:rFonts w:ascii="Arial" w:hAnsi="Arial" w:cs="Arial"/>
          <w:sz w:val="24"/>
          <w:szCs w:val="24"/>
        </w:rPr>
        <w:t xml:space="preserve">. The matter was postponed to 25 August </w:t>
      </w:r>
      <w:r w:rsidR="00E50565" w:rsidRPr="006241D6">
        <w:rPr>
          <w:rFonts w:ascii="Arial" w:hAnsi="Arial" w:cs="Arial"/>
          <w:sz w:val="24"/>
          <w:szCs w:val="24"/>
        </w:rPr>
        <w:t>2022.</w:t>
      </w:r>
    </w:p>
    <w:p w14:paraId="23DED8D6" w14:textId="77777777" w:rsidR="00E25856" w:rsidRPr="00E25856" w:rsidRDefault="00E25856" w:rsidP="00E25856">
      <w:pPr>
        <w:pStyle w:val="ListParagraph"/>
        <w:rPr>
          <w:rFonts w:ascii="Arial" w:hAnsi="Arial" w:cs="Arial"/>
          <w:sz w:val="24"/>
          <w:szCs w:val="24"/>
        </w:rPr>
      </w:pPr>
    </w:p>
    <w:p w14:paraId="40FFD15D" w14:textId="1916A1E1" w:rsidR="00E50565" w:rsidRPr="006241D6" w:rsidRDefault="006241D6" w:rsidP="006241D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A6EAC" w:rsidRPr="006241D6">
        <w:rPr>
          <w:rFonts w:ascii="Arial" w:hAnsi="Arial" w:cs="Arial"/>
          <w:sz w:val="24"/>
          <w:szCs w:val="24"/>
        </w:rPr>
        <w:t xml:space="preserve">Prior to the hearing, the </w:t>
      </w:r>
      <w:r w:rsidR="00B53995" w:rsidRPr="006241D6">
        <w:rPr>
          <w:rFonts w:ascii="Arial" w:hAnsi="Arial" w:cs="Arial"/>
          <w:sz w:val="24"/>
          <w:szCs w:val="24"/>
        </w:rPr>
        <w:t xml:space="preserve">applicant </w:t>
      </w:r>
      <w:r w:rsidR="00FA6EAC" w:rsidRPr="006241D6">
        <w:rPr>
          <w:rFonts w:ascii="Arial" w:hAnsi="Arial" w:cs="Arial"/>
          <w:sz w:val="24"/>
          <w:szCs w:val="24"/>
        </w:rPr>
        <w:t>gave notice of its intention to amend its notice of motion</w:t>
      </w:r>
      <w:r w:rsidR="00B552E1" w:rsidRPr="006241D6">
        <w:rPr>
          <w:rFonts w:ascii="Arial" w:hAnsi="Arial" w:cs="Arial"/>
          <w:sz w:val="24"/>
          <w:szCs w:val="24"/>
        </w:rPr>
        <w:t xml:space="preserve">. </w:t>
      </w:r>
      <w:r w:rsidR="004E4C55" w:rsidRPr="006241D6">
        <w:rPr>
          <w:rFonts w:ascii="Arial" w:hAnsi="Arial" w:cs="Arial"/>
          <w:sz w:val="24"/>
          <w:szCs w:val="24"/>
        </w:rPr>
        <w:t xml:space="preserve">The </w:t>
      </w:r>
      <w:r w:rsidR="00811731" w:rsidRPr="006241D6">
        <w:rPr>
          <w:rFonts w:ascii="Arial" w:hAnsi="Arial" w:cs="Arial"/>
          <w:sz w:val="24"/>
          <w:szCs w:val="24"/>
        </w:rPr>
        <w:t>intended changes were as follows:</w:t>
      </w:r>
    </w:p>
    <w:p w14:paraId="759791F6" w14:textId="77777777" w:rsidR="00E25856" w:rsidRPr="00E25856" w:rsidRDefault="00E25856" w:rsidP="00E25856">
      <w:pPr>
        <w:pStyle w:val="ListParagraph"/>
        <w:rPr>
          <w:rFonts w:ascii="Arial" w:hAnsi="Arial" w:cs="Arial"/>
          <w:sz w:val="24"/>
          <w:szCs w:val="24"/>
        </w:rPr>
      </w:pPr>
    </w:p>
    <w:p w14:paraId="60D13036" w14:textId="496056AC" w:rsidR="00811731" w:rsidRPr="005E5793" w:rsidRDefault="00811731" w:rsidP="00E25856">
      <w:pPr>
        <w:spacing w:line="360" w:lineRule="auto"/>
        <w:jc w:val="both"/>
        <w:rPr>
          <w:rFonts w:ascii="Arial" w:hAnsi="Arial" w:cs="Arial"/>
          <w:sz w:val="20"/>
          <w:szCs w:val="20"/>
        </w:rPr>
      </w:pPr>
      <w:r w:rsidRPr="005E5793">
        <w:rPr>
          <w:rFonts w:ascii="Arial" w:hAnsi="Arial" w:cs="Arial"/>
          <w:sz w:val="20"/>
          <w:szCs w:val="20"/>
        </w:rPr>
        <w:tab/>
      </w:r>
      <w:r w:rsidR="00686AB3" w:rsidRPr="005E5793">
        <w:rPr>
          <w:rFonts w:ascii="Arial" w:hAnsi="Arial" w:cs="Arial"/>
          <w:sz w:val="20"/>
          <w:szCs w:val="20"/>
        </w:rPr>
        <w:t>‘1.</w:t>
      </w:r>
      <w:r w:rsidR="00686AB3" w:rsidRPr="005E5793">
        <w:rPr>
          <w:rFonts w:ascii="Arial" w:hAnsi="Arial" w:cs="Arial"/>
          <w:sz w:val="20"/>
          <w:szCs w:val="20"/>
        </w:rPr>
        <w:tab/>
      </w:r>
      <w:r w:rsidR="00EF2C3D" w:rsidRPr="005E5793">
        <w:rPr>
          <w:rFonts w:ascii="Arial" w:hAnsi="Arial" w:cs="Arial"/>
          <w:sz w:val="20"/>
          <w:szCs w:val="20"/>
        </w:rPr>
        <w:t>By deleting paragraph 5 of the Notice of Motion in its entirety</w:t>
      </w:r>
      <w:r w:rsidR="000D5FD7" w:rsidRPr="005E5793">
        <w:rPr>
          <w:rFonts w:ascii="Arial" w:hAnsi="Arial" w:cs="Arial"/>
          <w:sz w:val="20"/>
          <w:szCs w:val="20"/>
        </w:rPr>
        <w:t>.</w:t>
      </w:r>
      <w:r w:rsidR="000D5FD7" w:rsidRPr="005E5793">
        <w:rPr>
          <w:rStyle w:val="FootnoteReference"/>
          <w:rFonts w:ascii="Arial" w:hAnsi="Arial" w:cs="Arial"/>
          <w:sz w:val="20"/>
          <w:szCs w:val="20"/>
        </w:rPr>
        <w:footnoteReference w:id="1"/>
      </w:r>
    </w:p>
    <w:p w14:paraId="0FE9E2F9" w14:textId="3BD1FCCB" w:rsidR="00686AB3" w:rsidRPr="005E5793" w:rsidRDefault="00BA6648" w:rsidP="00E25856">
      <w:pPr>
        <w:spacing w:line="360" w:lineRule="auto"/>
        <w:ind w:left="1440" w:hanging="720"/>
        <w:jc w:val="both"/>
        <w:rPr>
          <w:rFonts w:ascii="Arial" w:hAnsi="Arial" w:cs="Arial"/>
          <w:sz w:val="20"/>
          <w:szCs w:val="20"/>
        </w:rPr>
      </w:pPr>
      <w:r w:rsidRPr="005E5793">
        <w:rPr>
          <w:rFonts w:ascii="Arial" w:hAnsi="Arial" w:cs="Arial"/>
          <w:sz w:val="20"/>
          <w:szCs w:val="20"/>
        </w:rPr>
        <w:t xml:space="preserve"> </w:t>
      </w:r>
      <w:r w:rsidR="00000C17" w:rsidRPr="005E5793">
        <w:rPr>
          <w:rFonts w:ascii="Arial" w:hAnsi="Arial" w:cs="Arial"/>
          <w:sz w:val="20"/>
          <w:szCs w:val="20"/>
        </w:rPr>
        <w:t>2.</w:t>
      </w:r>
      <w:r w:rsidR="00000C17" w:rsidRPr="005E5793">
        <w:rPr>
          <w:rFonts w:ascii="Arial" w:hAnsi="Arial" w:cs="Arial"/>
          <w:sz w:val="20"/>
          <w:szCs w:val="20"/>
        </w:rPr>
        <w:tab/>
        <w:t xml:space="preserve">By adding the following new paragraphs immediately </w:t>
      </w:r>
      <w:r w:rsidR="006D0AF0" w:rsidRPr="005E5793">
        <w:rPr>
          <w:rFonts w:ascii="Arial" w:hAnsi="Arial" w:cs="Arial"/>
          <w:sz w:val="20"/>
          <w:szCs w:val="20"/>
        </w:rPr>
        <w:t>following the deleted paragraph 5 of the Notice of Motion</w:t>
      </w:r>
      <w:r w:rsidRPr="005E5793">
        <w:rPr>
          <w:rFonts w:ascii="Arial" w:hAnsi="Arial" w:cs="Arial"/>
          <w:sz w:val="20"/>
          <w:szCs w:val="20"/>
        </w:rPr>
        <w:t>:</w:t>
      </w:r>
    </w:p>
    <w:p w14:paraId="01DBD9FB" w14:textId="32965A1E" w:rsidR="00BA6648" w:rsidRPr="005E5793" w:rsidRDefault="00BA6648" w:rsidP="00E25856">
      <w:pPr>
        <w:spacing w:line="360" w:lineRule="auto"/>
        <w:ind w:left="2880" w:hanging="720"/>
        <w:jc w:val="both"/>
        <w:rPr>
          <w:rFonts w:ascii="Arial" w:hAnsi="Arial" w:cs="Arial"/>
          <w:sz w:val="20"/>
          <w:szCs w:val="20"/>
        </w:rPr>
      </w:pPr>
      <w:r w:rsidRPr="005E5793">
        <w:rPr>
          <w:rFonts w:ascii="Arial" w:hAnsi="Arial" w:cs="Arial"/>
          <w:sz w:val="20"/>
          <w:szCs w:val="20"/>
        </w:rPr>
        <w:t>“5.</w:t>
      </w:r>
      <w:r w:rsidRPr="005E5793">
        <w:rPr>
          <w:rFonts w:ascii="Arial" w:hAnsi="Arial" w:cs="Arial"/>
          <w:sz w:val="20"/>
          <w:szCs w:val="20"/>
        </w:rPr>
        <w:tab/>
      </w:r>
      <w:r w:rsidR="0086365B" w:rsidRPr="005E5793">
        <w:rPr>
          <w:rFonts w:ascii="Arial" w:hAnsi="Arial" w:cs="Arial"/>
          <w:sz w:val="20"/>
          <w:szCs w:val="20"/>
        </w:rPr>
        <w:t>That the respondent is liable to pay just and equitable compensation to the applicant in accordance with the prov</w:t>
      </w:r>
      <w:r w:rsidR="001F3F56" w:rsidRPr="005E5793">
        <w:rPr>
          <w:rFonts w:ascii="Arial" w:hAnsi="Arial" w:cs="Arial"/>
          <w:sz w:val="20"/>
          <w:szCs w:val="20"/>
        </w:rPr>
        <w:t>isions of section 8(1)(c)(</w:t>
      </w:r>
      <w:proofErr w:type="gramStart"/>
      <w:r w:rsidR="001F3F56" w:rsidRPr="005E5793">
        <w:rPr>
          <w:rFonts w:ascii="Arial" w:hAnsi="Arial" w:cs="Arial"/>
          <w:sz w:val="20"/>
          <w:szCs w:val="20"/>
        </w:rPr>
        <w:t>ii)(</w:t>
      </w:r>
      <w:proofErr w:type="gramEnd"/>
      <w:r w:rsidR="001F3F56" w:rsidRPr="005E5793">
        <w:rPr>
          <w:rFonts w:ascii="Arial" w:hAnsi="Arial" w:cs="Arial"/>
          <w:sz w:val="20"/>
          <w:szCs w:val="20"/>
        </w:rPr>
        <w:t xml:space="preserve">bb) of the Promotion of Administrative Justice Act </w:t>
      </w:r>
      <w:r w:rsidR="00201786" w:rsidRPr="005E5793">
        <w:rPr>
          <w:rFonts w:ascii="Arial" w:hAnsi="Arial" w:cs="Arial"/>
          <w:sz w:val="20"/>
          <w:szCs w:val="20"/>
        </w:rPr>
        <w:t>3 of 2000 (‘PAJA’);</w:t>
      </w:r>
    </w:p>
    <w:p w14:paraId="5A34805A" w14:textId="607F0290" w:rsidR="00201786" w:rsidRPr="005E5793" w:rsidRDefault="00201786" w:rsidP="00E25856">
      <w:pPr>
        <w:spacing w:line="360" w:lineRule="auto"/>
        <w:ind w:left="2880" w:hanging="650"/>
        <w:jc w:val="both"/>
        <w:rPr>
          <w:rFonts w:ascii="Arial" w:hAnsi="Arial" w:cs="Arial"/>
          <w:sz w:val="20"/>
          <w:szCs w:val="20"/>
        </w:rPr>
      </w:pPr>
      <w:r w:rsidRPr="005E5793">
        <w:rPr>
          <w:rFonts w:ascii="Arial" w:hAnsi="Arial" w:cs="Arial"/>
          <w:sz w:val="20"/>
          <w:szCs w:val="20"/>
        </w:rPr>
        <w:t>6.</w:t>
      </w:r>
      <w:r w:rsidRPr="005E5793">
        <w:rPr>
          <w:rFonts w:ascii="Arial" w:hAnsi="Arial" w:cs="Arial"/>
          <w:sz w:val="20"/>
          <w:szCs w:val="20"/>
        </w:rPr>
        <w:tab/>
        <w:t xml:space="preserve">Postponing the matter </w:t>
      </w:r>
      <w:r w:rsidRPr="005E5793">
        <w:rPr>
          <w:rFonts w:ascii="Arial" w:hAnsi="Arial" w:cs="Arial"/>
          <w:i/>
          <w:iCs/>
          <w:sz w:val="20"/>
          <w:szCs w:val="20"/>
        </w:rPr>
        <w:t>sine die</w:t>
      </w:r>
      <w:r w:rsidRPr="005E5793">
        <w:rPr>
          <w:rFonts w:ascii="Arial" w:hAnsi="Arial" w:cs="Arial"/>
          <w:sz w:val="20"/>
          <w:szCs w:val="20"/>
        </w:rPr>
        <w:t xml:space="preserve"> for a determination of the quantum of the applicant</w:t>
      </w:r>
      <w:r w:rsidR="00D36B23" w:rsidRPr="005E5793">
        <w:rPr>
          <w:rFonts w:ascii="Arial" w:hAnsi="Arial" w:cs="Arial"/>
          <w:sz w:val="20"/>
          <w:szCs w:val="20"/>
        </w:rPr>
        <w:t xml:space="preserve">’s loss of profits that it would have made had the respondent awarded it the tender issued under </w:t>
      </w:r>
      <w:r w:rsidR="00547606" w:rsidRPr="005E5793">
        <w:rPr>
          <w:rFonts w:ascii="Arial" w:hAnsi="Arial" w:cs="Arial"/>
          <w:sz w:val="20"/>
          <w:szCs w:val="20"/>
        </w:rPr>
        <w:t xml:space="preserve">tender number PROJ-ICT-092 by the respondent, or alternatively the amount of compensation that is determined by the court to be just and equitable </w:t>
      </w:r>
      <w:r w:rsidR="004E28B5" w:rsidRPr="005E5793">
        <w:rPr>
          <w:rFonts w:ascii="Arial" w:hAnsi="Arial" w:cs="Arial"/>
          <w:sz w:val="20"/>
          <w:szCs w:val="20"/>
        </w:rPr>
        <w:t xml:space="preserve">on the fact of this </w:t>
      </w:r>
      <w:proofErr w:type="gramStart"/>
      <w:r w:rsidR="004E28B5" w:rsidRPr="005E5793">
        <w:rPr>
          <w:rFonts w:ascii="Arial" w:hAnsi="Arial" w:cs="Arial"/>
          <w:sz w:val="20"/>
          <w:szCs w:val="20"/>
        </w:rPr>
        <w:t>matter</w:t>
      </w:r>
      <w:r w:rsidR="00E869E4" w:rsidRPr="005E5793">
        <w:rPr>
          <w:rFonts w:ascii="Arial" w:hAnsi="Arial" w:cs="Arial"/>
          <w:sz w:val="20"/>
          <w:szCs w:val="20"/>
        </w:rPr>
        <w:t>;</w:t>
      </w:r>
      <w:proofErr w:type="gramEnd"/>
    </w:p>
    <w:p w14:paraId="72DC7F37" w14:textId="3148623A" w:rsidR="00197F45" w:rsidRPr="005E5793" w:rsidRDefault="00197F45" w:rsidP="00E25856">
      <w:pPr>
        <w:spacing w:line="360" w:lineRule="auto"/>
        <w:ind w:left="2880" w:hanging="650"/>
        <w:jc w:val="both"/>
        <w:rPr>
          <w:rFonts w:ascii="Arial" w:hAnsi="Arial" w:cs="Arial"/>
          <w:sz w:val="20"/>
          <w:szCs w:val="20"/>
        </w:rPr>
      </w:pPr>
      <w:r w:rsidRPr="005E5793">
        <w:rPr>
          <w:rFonts w:ascii="Arial" w:hAnsi="Arial" w:cs="Arial"/>
          <w:sz w:val="20"/>
          <w:szCs w:val="20"/>
        </w:rPr>
        <w:t>7.</w:t>
      </w:r>
      <w:r w:rsidRPr="005E5793">
        <w:rPr>
          <w:rFonts w:ascii="Arial" w:hAnsi="Arial" w:cs="Arial"/>
          <w:sz w:val="20"/>
          <w:szCs w:val="20"/>
        </w:rPr>
        <w:tab/>
        <w:t>Granting the parties leave to file further affidavits in relation to the quantum determination as provided in paragraph 6 above, with the court to provide directives</w:t>
      </w:r>
      <w:r w:rsidR="00B3738D" w:rsidRPr="005E5793">
        <w:rPr>
          <w:rFonts w:ascii="Arial" w:hAnsi="Arial" w:cs="Arial"/>
          <w:sz w:val="20"/>
          <w:szCs w:val="20"/>
        </w:rPr>
        <w:t xml:space="preserve"> to the parties in relation to the procedural timelines for the filing of the further </w:t>
      </w:r>
      <w:proofErr w:type="gramStart"/>
      <w:r w:rsidR="00B3738D" w:rsidRPr="005E5793">
        <w:rPr>
          <w:rFonts w:ascii="Arial" w:hAnsi="Arial" w:cs="Arial"/>
          <w:sz w:val="20"/>
          <w:szCs w:val="20"/>
        </w:rPr>
        <w:t>affidavits;</w:t>
      </w:r>
      <w:proofErr w:type="gramEnd"/>
    </w:p>
    <w:p w14:paraId="40ED1613" w14:textId="5462D1D0" w:rsidR="00B3738D" w:rsidRPr="005E5793" w:rsidRDefault="001F5CF4" w:rsidP="00E25856">
      <w:pPr>
        <w:spacing w:line="360" w:lineRule="auto"/>
        <w:ind w:left="2880" w:hanging="650"/>
        <w:jc w:val="both"/>
        <w:rPr>
          <w:rFonts w:ascii="Arial" w:hAnsi="Arial" w:cs="Arial"/>
          <w:sz w:val="20"/>
          <w:szCs w:val="20"/>
        </w:rPr>
      </w:pPr>
      <w:r w:rsidRPr="005E5793">
        <w:rPr>
          <w:rFonts w:ascii="Arial" w:hAnsi="Arial" w:cs="Arial"/>
          <w:sz w:val="20"/>
          <w:szCs w:val="20"/>
        </w:rPr>
        <w:t>8.</w:t>
      </w:r>
      <w:r w:rsidRPr="005E5793">
        <w:rPr>
          <w:rFonts w:ascii="Arial" w:hAnsi="Arial" w:cs="Arial"/>
          <w:sz w:val="20"/>
          <w:szCs w:val="20"/>
        </w:rPr>
        <w:tab/>
        <w:t xml:space="preserve">In the alternative to the orders in paragraph 7 above, referring the determination of the quantum of the </w:t>
      </w:r>
      <w:r w:rsidR="005D03AE" w:rsidRPr="005E5793">
        <w:rPr>
          <w:rFonts w:ascii="Arial" w:hAnsi="Arial" w:cs="Arial"/>
          <w:sz w:val="20"/>
          <w:szCs w:val="20"/>
        </w:rPr>
        <w:t xml:space="preserve">of the applicant’s </w:t>
      </w:r>
      <w:r w:rsidR="003F5DFF" w:rsidRPr="005E5793">
        <w:rPr>
          <w:rFonts w:ascii="Arial" w:hAnsi="Arial" w:cs="Arial"/>
          <w:sz w:val="20"/>
          <w:szCs w:val="20"/>
        </w:rPr>
        <w:t xml:space="preserve">loss of profits that it would have made had the respondent awarded it the </w:t>
      </w:r>
      <w:r w:rsidR="001F7082" w:rsidRPr="005E5793">
        <w:rPr>
          <w:rFonts w:ascii="Arial" w:hAnsi="Arial" w:cs="Arial"/>
          <w:sz w:val="20"/>
          <w:szCs w:val="20"/>
        </w:rPr>
        <w:t>tender issued under tender number PROJ-ICT-092 by the respondent</w:t>
      </w:r>
      <w:r w:rsidR="005604D6" w:rsidRPr="005E5793">
        <w:rPr>
          <w:rFonts w:ascii="Arial" w:hAnsi="Arial" w:cs="Arial"/>
          <w:sz w:val="20"/>
          <w:szCs w:val="20"/>
        </w:rPr>
        <w:t xml:space="preserve">, or alternatively the amount of compensation that is determined by the court to be just and equitable on the fact of this matter, for </w:t>
      </w:r>
      <w:r w:rsidR="005604D6" w:rsidRPr="005E5793">
        <w:rPr>
          <w:rFonts w:ascii="Arial" w:hAnsi="Arial" w:cs="Arial"/>
          <w:i/>
          <w:iCs/>
          <w:sz w:val="20"/>
          <w:szCs w:val="20"/>
        </w:rPr>
        <w:t>viva voce</w:t>
      </w:r>
      <w:r w:rsidR="005604D6" w:rsidRPr="005E5793">
        <w:rPr>
          <w:rFonts w:ascii="Arial" w:hAnsi="Arial" w:cs="Arial"/>
          <w:sz w:val="20"/>
          <w:szCs w:val="20"/>
        </w:rPr>
        <w:t xml:space="preserve"> evidence; with the court to provide directives </w:t>
      </w:r>
      <w:r w:rsidR="00F507E6" w:rsidRPr="005E5793">
        <w:rPr>
          <w:rFonts w:ascii="Arial" w:hAnsi="Arial" w:cs="Arial"/>
          <w:sz w:val="20"/>
          <w:szCs w:val="20"/>
        </w:rPr>
        <w:t xml:space="preserve">to the parties in relation to the procedural steps leading up to the hearing of </w:t>
      </w:r>
      <w:r w:rsidR="00F507E6" w:rsidRPr="005E5793">
        <w:rPr>
          <w:rFonts w:ascii="Arial" w:hAnsi="Arial" w:cs="Arial"/>
          <w:i/>
          <w:iCs/>
          <w:sz w:val="20"/>
          <w:szCs w:val="20"/>
        </w:rPr>
        <w:t>viva voce</w:t>
      </w:r>
      <w:r w:rsidR="00F507E6" w:rsidRPr="005E5793">
        <w:rPr>
          <w:rFonts w:ascii="Arial" w:hAnsi="Arial" w:cs="Arial"/>
          <w:sz w:val="20"/>
          <w:szCs w:val="20"/>
        </w:rPr>
        <w:t xml:space="preserve"> evidence</w:t>
      </w:r>
      <w:r w:rsidR="00CB7BB5" w:rsidRPr="005E5793">
        <w:rPr>
          <w:rFonts w:ascii="Arial" w:hAnsi="Arial" w:cs="Arial"/>
          <w:sz w:val="20"/>
          <w:szCs w:val="20"/>
        </w:rPr>
        <w:t>.”</w:t>
      </w:r>
    </w:p>
    <w:p w14:paraId="6E17EEBB" w14:textId="382D8E4F" w:rsidR="00CB7BB5" w:rsidRPr="005E5793" w:rsidRDefault="00CB7BB5" w:rsidP="00E25856">
      <w:pPr>
        <w:spacing w:line="360" w:lineRule="auto"/>
        <w:ind w:left="1440" w:hanging="650"/>
        <w:jc w:val="both"/>
        <w:rPr>
          <w:rFonts w:ascii="Arial" w:hAnsi="Arial" w:cs="Arial"/>
          <w:sz w:val="20"/>
          <w:szCs w:val="20"/>
        </w:rPr>
      </w:pPr>
      <w:r w:rsidRPr="005E5793">
        <w:rPr>
          <w:rFonts w:ascii="Arial" w:hAnsi="Arial" w:cs="Arial"/>
          <w:sz w:val="20"/>
          <w:szCs w:val="20"/>
        </w:rPr>
        <w:t>3</w:t>
      </w:r>
      <w:r w:rsidR="004449C1" w:rsidRPr="005E5793">
        <w:rPr>
          <w:rFonts w:ascii="Arial" w:hAnsi="Arial" w:cs="Arial"/>
          <w:sz w:val="20"/>
          <w:szCs w:val="20"/>
        </w:rPr>
        <w:t>.</w:t>
      </w:r>
      <w:r w:rsidR="004449C1" w:rsidRPr="005E5793">
        <w:rPr>
          <w:rFonts w:ascii="Arial" w:hAnsi="Arial" w:cs="Arial"/>
          <w:sz w:val="20"/>
          <w:szCs w:val="20"/>
        </w:rPr>
        <w:tab/>
      </w:r>
      <w:r w:rsidR="000F0DEF" w:rsidRPr="005E5793">
        <w:rPr>
          <w:rFonts w:ascii="Arial" w:hAnsi="Arial" w:cs="Arial"/>
          <w:sz w:val="20"/>
          <w:szCs w:val="20"/>
        </w:rPr>
        <w:t>By renumbering what is currently paragraphs 6 and 7 in the Notice of Motion, to be paragraphs 9 and 10 respectively.</w:t>
      </w:r>
      <w:r w:rsidR="00810840" w:rsidRPr="005E5793">
        <w:rPr>
          <w:rFonts w:ascii="Arial" w:hAnsi="Arial" w:cs="Arial"/>
          <w:sz w:val="20"/>
          <w:szCs w:val="20"/>
        </w:rPr>
        <w:t>’</w:t>
      </w:r>
    </w:p>
    <w:p w14:paraId="0DBAE939" w14:textId="17CDA0AD" w:rsidR="00810840" w:rsidRDefault="00810840" w:rsidP="00810840">
      <w:pPr>
        <w:spacing w:line="360" w:lineRule="auto"/>
        <w:ind w:firstLine="720"/>
        <w:jc w:val="right"/>
        <w:rPr>
          <w:rFonts w:ascii="Arial" w:hAnsi="Arial" w:cs="Arial"/>
          <w:sz w:val="20"/>
          <w:szCs w:val="20"/>
        </w:rPr>
      </w:pPr>
      <w:r w:rsidRPr="005E5793">
        <w:rPr>
          <w:rFonts w:ascii="Arial" w:hAnsi="Arial" w:cs="Arial"/>
          <w:sz w:val="20"/>
          <w:szCs w:val="20"/>
        </w:rPr>
        <w:lastRenderedPageBreak/>
        <w:t>[sic]</w:t>
      </w:r>
    </w:p>
    <w:p w14:paraId="4699CA97" w14:textId="77777777" w:rsidR="008060A1" w:rsidRPr="005E5793" w:rsidRDefault="008060A1" w:rsidP="00810840">
      <w:pPr>
        <w:spacing w:line="360" w:lineRule="auto"/>
        <w:ind w:firstLine="720"/>
        <w:jc w:val="right"/>
        <w:rPr>
          <w:rFonts w:ascii="Arial" w:hAnsi="Arial" w:cs="Arial"/>
          <w:sz w:val="20"/>
          <w:szCs w:val="20"/>
        </w:rPr>
      </w:pPr>
    </w:p>
    <w:p w14:paraId="0DD11A10" w14:textId="1C4DE613"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171FF" w:rsidRPr="006241D6">
        <w:rPr>
          <w:rFonts w:ascii="Arial" w:hAnsi="Arial" w:cs="Arial"/>
          <w:sz w:val="24"/>
          <w:szCs w:val="24"/>
        </w:rPr>
        <w:t xml:space="preserve">The respondent objected to the intended </w:t>
      </w:r>
      <w:r w:rsidR="00CD4D79" w:rsidRPr="006241D6">
        <w:rPr>
          <w:rFonts w:ascii="Arial" w:hAnsi="Arial" w:cs="Arial"/>
          <w:sz w:val="24"/>
          <w:szCs w:val="24"/>
        </w:rPr>
        <w:t>amendments</w:t>
      </w:r>
      <w:r w:rsidR="001D2A8E" w:rsidRPr="006241D6">
        <w:rPr>
          <w:rFonts w:ascii="Arial" w:hAnsi="Arial" w:cs="Arial"/>
          <w:sz w:val="24"/>
          <w:szCs w:val="24"/>
        </w:rPr>
        <w:t>. The grounds of the objection are</w:t>
      </w:r>
      <w:r w:rsidR="0057631B" w:rsidRPr="006241D6">
        <w:rPr>
          <w:rFonts w:ascii="Arial" w:hAnsi="Arial" w:cs="Arial"/>
          <w:sz w:val="24"/>
          <w:szCs w:val="24"/>
        </w:rPr>
        <w:t xml:space="preserve">, </w:t>
      </w:r>
      <w:r w:rsidR="0057631B" w:rsidRPr="006241D6">
        <w:rPr>
          <w:rFonts w:ascii="Arial" w:hAnsi="Arial" w:cs="Arial"/>
          <w:i/>
          <w:iCs/>
          <w:sz w:val="24"/>
          <w:szCs w:val="24"/>
        </w:rPr>
        <w:t>inter alia</w:t>
      </w:r>
      <w:r w:rsidR="0057631B" w:rsidRPr="006241D6">
        <w:rPr>
          <w:rFonts w:ascii="Arial" w:hAnsi="Arial" w:cs="Arial"/>
          <w:sz w:val="24"/>
          <w:szCs w:val="24"/>
        </w:rPr>
        <w:t>, that</w:t>
      </w:r>
      <w:r w:rsidR="009A79FD" w:rsidRPr="006241D6">
        <w:rPr>
          <w:rFonts w:ascii="Arial" w:hAnsi="Arial" w:cs="Arial"/>
          <w:sz w:val="24"/>
          <w:szCs w:val="24"/>
        </w:rPr>
        <w:t>:</w:t>
      </w:r>
      <w:r w:rsidR="00DE0FD4" w:rsidRPr="006241D6">
        <w:rPr>
          <w:rFonts w:ascii="Arial" w:hAnsi="Arial" w:cs="Arial"/>
          <w:sz w:val="24"/>
          <w:szCs w:val="24"/>
        </w:rPr>
        <w:t xml:space="preserve"> the applicant was </w:t>
      </w:r>
      <w:r w:rsidR="009A79FD" w:rsidRPr="006241D6">
        <w:rPr>
          <w:rFonts w:ascii="Arial" w:hAnsi="Arial" w:cs="Arial"/>
          <w:sz w:val="24"/>
          <w:szCs w:val="24"/>
        </w:rPr>
        <w:t xml:space="preserve">directed to respond to the </w:t>
      </w:r>
      <w:r w:rsidR="00CC6A2D" w:rsidRPr="006241D6">
        <w:rPr>
          <w:rFonts w:ascii="Arial" w:hAnsi="Arial" w:cs="Arial"/>
          <w:sz w:val="24"/>
          <w:szCs w:val="24"/>
        </w:rPr>
        <w:t>responde</w:t>
      </w:r>
      <w:r w:rsidR="009A79FD" w:rsidRPr="006241D6">
        <w:rPr>
          <w:rFonts w:ascii="Arial" w:hAnsi="Arial" w:cs="Arial"/>
          <w:sz w:val="24"/>
          <w:szCs w:val="24"/>
        </w:rPr>
        <w:t xml:space="preserve">nt’s further affidavits, </w:t>
      </w:r>
      <w:r w:rsidR="00CC6A2D" w:rsidRPr="006241D6">
        <w:rPr>
          <w:rFonts w:ascii="Arial" w:hAnsi="Arial" w:cs="Arial"/>
          <w:sz w:val="24"/>
          <w:szCs w:val="24"/>
        </w:rPr>
        <w:t>rather than</w:t>
      </w:r>
      <w:r w:rsidR="00450C33" w:rsidRPr="006241D6">
        <w:rPr>
          <w:rFonts w:ascii="Arial" w:hAnsi="Arial" w:cs="Arial"/>
          <w:sz w:val="24"/>
          <w:szCs w:val="24"/>
        </w:rPr>
        <w:t xml:space="preserve"> to file a notice of intention to amend</w:t>
      </w:r>
      <w:r w:rsidR="00CC6A2D" w:rsidRPr="006241D6">
        <w:rPr>
          <w:rFonts w:ascii="Arial" w:hAnsi="Arial" w:cs="Arial"/>
          <w:sz w:val="24"/>
          <w:szCs w:val="24"/>
        </w:rPr>
        <w:t xml:space="preserve">; the </w:t>
      </w:r>
      <w:r w:rsidR="00D91606" w:rsidRPr="006241D6">
        <w:rPr>
          <w:rFonts w:ascii="Arial" w:hAnsi="Arial" w:cs="Arial"/>
          <w:sz w:val="24"/>
          <w:szCs w:val="24"/>
        </w:rPr>
        <w:t xml:space="preserve">respondent’s </w:t>
      </w:r>
      <w:r w:rsidR="007A03D2" w:rsidRPr="006241D6">
        <w:rPr>
          <w:rFonts w:ascii="Arial" w:hAnsi="Arial" w:cs="Arial"/>
          <w:sz w:val="24"/>
          <w:szCs w:val="24"/>
        </w:rPr>
        <w:t>defence</w:t>
      </w:r>
      <w:r w:rsidR="00CC6A2D" w:rsidRPr="006241D6">
        <w:rPr>
          <w:rFonts w:ascii="Arial" w:hAnsi="Arial" w:cs="Arial"/>
          <w:sz w:val="24"/>
          <w:szCs w:val="24"/>
        </w:rPr>
        <w:t>s</w:t>
      </w:r>
      <w:r w:rsidR="007A03D2" w:rsidRPr="006241D6">
        <w:rPr>
          <w:rFonts w:ascii="Arial" w:hAnsi="Arial" w:cs="Arial"/>
          <w:sz w:val="24"/>
          <w:szCs w:val="24"/>
        </w:rPr>
        <w:t xml:space="preserve"> </w:t>
      </w:r>
      <w:r w:rsidR="00D91606" w:rsidRPr="006241D6">
        <w:rPr>
          <w:rFonts w:ascii="Arial" w:hAnsi="Arial" w:cs="Arial"/>
          <w:sz w:val="24"/>
          <w:szCs w:val="24"/>
        </w:rPr>
        <w:t xml:space="preserve">are fatal to the </w:t>
      </w:r>
      <w:r w:rsidR="000F2827" w:rsidRPr="006241D6">
        <w:rPr>
          <w:rFonts w:ascii="Arial" w:hAnsi="Arial" w:cs="Arial"/>
          <w:sz w:val="24"/>
          <w:szCs w:val="24"/>
        </w:rPr>
        <w:t xml:space="preserve">relief sought by the applicant, whether </w:t>
      </w:r>
      <w:r w:rsidR="007A03D2" w:rsidRPr="006241D6">
        <w:rPr>
          <w:rFonts w:ascii="Arial" w:hAnsi="Arial" w:cs="Arial"/>
          <w:sz w:val="24"/>
          <w:szCs w:val="24"/>
        </w:rPr>
        <w:t xml:space="preserve">under its existing notice of motion or </w:t>
      </w:r>
      <w:r w:rsidR="00DE42E6" w:rsidRPr="006241D6">
        <w:rPr>
          <w:rFonts w:ascii="Arial" w:hAnsi="Arial" w:cs="Arial"/>
          <w:sz w:val="24"/>
          <w:szCs w:val="24"/>
        </w:rPr>
        <w:t>under any</w:t>
      </w:r>
      <w:r w:rsidR="007A03D2" w:rsidRPr="006241D6">
        <w:rPr>
          <w:rFonts w:ascii="Arial" w:hAnsi="Arial" w:cs="Arial"/>
          <w:sz w:val="24"/>
          <w:szCs w:val="24"/>
        </w:rPr>
        <w:t xml:space="preserve"> amendment thereto</w:t>
      </w:r>
      <w:r w:rsidR="00DE42E6" w:rsidRPr="006241D6">
        <w:rPr>
          <w:rFonts w:ascii="Arial" w:hAnsi="Arial" w:cs="Arial"/>
          <w:sz w:val="24"/>
          <w:szCs w:val="24"/>
        </w:rPr>
        <w:t xml:space="preserve">; </w:t>
      </w:r>
      <w:r w:rsidR="00B512E7" w:rsidRPr="006241D6">
        <w:rPr>
          <w:rFonts w:ascii="Arial" w:hAnsi="Arial" w:cs="Arial"/>
          <w:sz w:val="24"/>
          <w:szCs w:val="24"/>
        </w:rPr>
        <w:t xml:space="preserve">and </w:t>
      </w:r>
      <w:r w:rsidR="00DE42E6" w:rsidRPr="006241D6">
        <w:rPr>
          <w:rFonts w:ascii="Arial" w:hAnsi="Arial" w:cs="Arial"/>
          <w:sz w:val="24"/>
          <w:szCs w:val="24"/>
        </w:rPr>
        <w:t xml:space="preserve">no case has been made out </w:t>
      </w:r>
      <w:r w:rsidR="00354DA1" w:rsidRPr="006241D6">
        <w:rPr>
          <w:rFonts w:ascii="Arial" w:hAnsi="Arial" w:cs="Arial"/>
          <w:sz w:val="24"/>
          <w:szCs w:val="24"/>
        </w:rPr>
        <w:t>by the applicant for the amended relief now sought</w:t>
      </w:r>
      <w:r w:rsidR="00F86456" w:rsidRPr="006241D6">
        <w:rPr>
          <w:rFonts w:ascii="Arial" w:hAnsi="Arial" w:cs="Arial"/>
          <w:sz w:val="24"/>
          <w:szCs w:val="24"/>
        </w:rPr>
        <w:t>.</w:t>
      </w:r>
      <w:r w:rsidR="00276EAD" w:rsidRPr="006241D6">
        <w:rPr>
          <w:rFonts w:ascii="Arial" w:hAnsi="Arial" w:cs="Arial"/>
          <w:sz w:val="24"/>
          <w:szCs w:val="24"/>
        </w:rPr>
        <w:t xml:space="preserve"> This prompted the applicant to file the present application</w:t>
      </w:r>
      <w:r w:rsidR="009259F9" w:rsidRPr="006241D6">
        <w:rPr>
          <w:rFonts w:ascii="Arial" w:hAnsi="Arial" w:cs="Arial"/>
          <w:sz w:val="24"/>
          <w:szCs w:val="24"/>
        </w:rPr>
        <w:t>, in terms of rule 28(4).</w:t>
      </w:r>
    </w:p>
    <w:p w14:paraId="61E7ED1A" w14:textId="77777777" w:rsidR="00E25856" w:rsidRPr="00E25856" w:rsidRDefault="00E25856" w:rsidP="00E25856">
      <w:pPr>
        <w:spacing w:line="360" w:lineRule="auto"/>
        <w:jc w:val="both"/>
        <w:rPr>
          <w:rFonts w:ascii="Arial" w:hAnsi="Arial" w:cs="Arial"/>
          <w:sz w:val="24"/>
          <w:szCs w:val="24"/>
        </w:rPr>
      </w:pPr>
    </w:p>
    <w:p w14:paraId="560EF36B" w14:textId="668DAFB5" w:rsidR="00E25856" w:rsidRPr="00E25856" w:rsidRDefault="0018247C" w:rsidP="00E25856">
      <w:pPr>
        <w:pStyle w:val="ListParagraph"/>
        <w:spacing w:line="360" w:lineRule="auto"/>
        <w:ind w:left="0"/>
        <w:jc w:val="both"/>
        <w:rPr>
          <w:rFonts w:ascii="Arial" w:hAnsi="Arial" w:cs="Arial"/>
          <w:sz w:val="24"/>
          <w:szCs w:val="24"/>
        </w:rPr>
      </w:pPr>
      <w:r w:rsidRPr="00E25856">
        <w:rPr>
          <w:rFonts w:ascii="Arial" w:hAnsi="Arial" w:cs="Arial"/>
          <w:b/>
          <w:bCs/>
          <w:sz w:val="24"/>
          <w:szCs w:val="24"/>
        </w:rPr>
        <w:t>Issues to be decided</w:t>
      </w:r>
    </w:p>
    <w:p w14:paraId="649A9C10" w14:textId="77777777" w:rsidR="00E25856" w:rsidRPr="00E25856" w:rsidRDefault="00E25856" w:rsidP="00E25856">
      <w:pPr>
        <w:pStyle w:val="ListParagraph"/>
        <w:spacing w:line="360" w:lineRule="auto"/>
        <w:ind w:left="0"/>
        <w:jc w:val="both"/>
        <w:rPr>
          <w:rFonts w:ascii="Arial" w:hAnsi="Arial" w:cs="Arial"/>
          <w:sz w:val="24"/>
          <w:szCs w:val="24"/>
        </w:rPr>
      </w:pPr>
    </w:p>
    <w:p w14:paraId="2F496B5F" w14:textId="5A253D17"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758C5" w:rsidRPr="006241D6">
        <w:rPr>
          <w:rFonts w:ascii="Arial" w:hAnsi="Arial" w:cs="Arial"/>
          <w:sz w:val="24"/>
          <w:szCs w:val="24"/>
        </w:rPr>
        <w:t xml:space="preserve">The order of </w:t>
      </w:r>
      <w:proofErr w:type="spellStart"/>
      <w:r w:rsidR="005758C5" w:rsidRPr="006241D6">
        <w:rPr>
          <w:rFonts w:ascii="Arial" w:hAnsi="Arial" w:cs="Arial"/>
          <w:sz w:val="24"/>
          <w:szCs w:val="24"/>
        </w:rPr>
        <w:t>Zilwa</w:t>
      </w:r>
      <w:proofErr w:type="spellEnd"/>
      <w:r w:rsidR="005758C5" w:rsidRPr="006241D6">
        <w:rPr>
          <w:rFonts w:ascii="Arial" w:hAnsi="Arial" w:cs="Arial"/>
          <w:sz w:val="24"/>
          <w:szCs w:val="24"/>
        </w:rPr>
        <w:t xml:space="preserve"> J seems to suggest that </w:t>
      </w:r>
      <w:r w:rsidR="005611B2" w:rsidRPr="006241D6">
        <w:rPr>
          <w:rFonts w:ascii="Arial" w:hAnsi="Arial" w:cs="Arial"/>
          <w:sz w:val="24"/>
          <w:szCs w:val="24"/>
        </w:rPr>
        <w:t xml:space="preserve">the main review application was postponed to </w:t>
      </w:r>
      <w:r w:rsidR="0018247C" w:rsidRPr="006241D6">
        <w:rPr>
          <w:rFonts w:ascii="Arial" w:hAnsi="Arial" w:cs="Arial"/>
          <w:sz w:val="24"/>
          <w:szCs w:val="24"/>
        </w:rPr>
        <w:t>25 August 2022</w:t>
      </w:r>
      <w:r w:rsidR="005611B2" w:rsidRPr="006241D6">
        <w:rPr>
          <w:rFonts w:ascii="Arial" w:hAnsi="Arial" w:cs="Arial"/>
          <w:sz w:val="24"/>
          <w:szCs w:val="24"/>
        </w:rPr>
        <w:t xml:space="preserve">. </w:t>
      </w:r>
      <w:r w:rsidR="00333430" w:rsidRPr="006241D6">
        <w:rPr>
          <w:rFonts w:ascii="Arial" w:hAnsi="Arial" w:cs="Arial"/>
          <w:sz w:val="24"/>
          <w:szCs w:val="24"/>
        </w:rPr>
        <w:t>O</w:t>
      </w:r>
      <w:r w:rsidR="00FA5267" w:rsidRPr="006241D6">
        <w:rPr>
          <w:rFonts w:ascii="Arial" w:hAnsi="Arial" w:cs="Arial"/>
          <w:sz w:val="24"/>
          <w:szCs w:val="24"/>
        </w:rPr>
        <w:t>n the date of the hearing,</w:t>
      </w:r>
      <w:r w:rsidR="003829FE" w:rsidRPr="006241D6">
        <w:rPr>
          <w:rFonts w:ascii="Arial" w:hAnsi="Arial" w:cs="Arial"/>
          <w:sz w:val="24"/>
          <w:szCs w:val="24"/>
        </w:rPr>
        <w:t xml:space="preserve"> </w:t>
      </w:r>
      <w:r w:rsidR="005A6CCB" w:rsidRPr="006241D6">
        <w:rPr>
          <w:rFonts w:ascii="Arial" w:hAnsi="Arial" w:cs="Arial"/>
          <w:sz w:val="24"/>
          <w:szCs w:val="24"/>
        </w:rPr>
        <w:t xml:space="preserve">however, </w:t>
      </w:r>
      <w:r w:rsidR="006D28BC" w:rsidRPr="006241D6">
        <w:rPr>
          <w:rFonts w:ascii="Arial" w:hAnsi="Arial" w:cs="Arial"/>
          <w:sz w:val="24"/>
          <w:szCs w:val="24"/>
        </w:rPr>
        <w:t xml:space="preserve">the parties appeared to have been </w:t>
      </w:r>
      <w:r w:rsidR="006D28BC" w:rsidRPr="006241D6">
        <w:rPr>
          <w:rFonts w:ascii="Arial" w:hAnsi="Arial" w:cs="Arial"/>
          <w:i/>
          <w:iCs/>
          <w:sz w:val="24"/>
          <w:szCs w:val="24"/>
        </w:rPr>
        <w:t>ad idem</w:t>
      </w:r>
      <w:r w:rsidR="006D28BC" w:rsidRPr="006241D6">
        <w:rPr>
          <w:rFonts w:ascii="Arial" w:hAnsi="Arial" w:cs="Arial"/>
          <w:sz w:val="24"/>
          <w:szCs w:val="24"/>
        </w:rPr>
        <w:t xml:space="preserve"> </w:t>
      </w:r>
      <w:r w:rsidR="003829FE" w:rsidRPr="006241D6">
        <w:rPr>
          <w:rFonts w:ascii="Arial" w:hAnsi="Arial" w:cs="Arial"/>
          <w:sz w:val="24"/>
          <w:szCs w:val="24"/>
        </w:rPr>
        <w:t>that only the application for leave to amend was before the court</w:t>
      </w:r>
      <w:r w:rsidR="00960BA8" w:rsidRPr="006241D6">
        <w:rPr>
          <w:rFonts w:ascii="Arial" w:hAnsi="Arial" w:cs="Arial"/>
          <w:sz w:val="24"/>
          <w:szCs w:val="24"/>
        </w:rPr>
        <w:t xml:space="preserve">, not the main </w:t>
      </w:r>
      <w:r w:rsidR="00044296" w:rsidRPr="006241D6">
        <w:rPr>
          <w:rFonts w:ascii="Arial" w:hAnsi="Arial" w:cs="Arial"/>
          <w:sz w:val="24"/>
          <w:szCs w:val="24"/>
        </w:rPr>
        <w:t xml:space="preserve">review </w:t>
      </w:r>
      <w:r w:rsidR="00960BA8" w:rsidRPr="006241D6">
        <w:rPr>
          <w:rFonts w:ascii="Arial" w:hAnsi="Arial" w:cs="Arial"/>
          <w:sz w:val="24"/>
          <w:szCs w:val="24"/>
        </w:rPr>
        <w:t>application</w:t>
      </w:r>
      <w:r w:rsidR="00044296" w:rsidRPr="006241D6">
        <w:rPr>
          <w:rFonts w:ascii="Arial" w:hAnsi="Arial" w:cs="Arial"/>
          <w:sz w:val="24"/>
          <w:szCs w:val="24"/>
        </w:rPr>
        <w:t>.</w:t>
      </w:r>
      <w:r w:rsidR="00F95CFC" w:rsidRPr="006241D6">
        <w:rPr>
          <w:rFonts w:ascii="Arial" w:hAnsi="Arial" w:cs="Arial"/>
          <w:sz w:val="24"/>
          <w:szCs w:val="24"/>
        </w:rPr>
        <w:t xml:space="preserve"> The court will decide the matter accordingly.</w:t>
      </w:r>
    </w:p>
    <w:p w14:paraId="3BFDD2C3" w14:textId="77777777" w:rsidR="00E25856" w:rsidRDefault="00E25856" w:rsidP="00E25856">
      <w:pPr>
        <w:pStyle w:val="ListParagraph"/>
        <w:spacing w:line="360" w:lineRule="auto"/>
        <w:ind w:left="0"/>
        <w:jc w:val="both"/>
        <w:rPr>
          <w:rFonts w:ascii="Arial" w:hAnsi="Arial" w:cs="Arial"/>
          <w:sz w:val="24"/>
          <w:szCs w:val="24"/>
        </w:rPr>
      </w:pPr>
    </w:p>
    <w:p w14:paraId="02758BB2" w14:textId="3BDCFB6F"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95CFC" w:rsidRPr="006241D6">
        <w:rPr>
          <w:rFonts w:ascii="Arial" w:hAnsi="Arial" w:cs="Arial"/>
          <w:sz w:val="24"/>
          <w:szCs w:val="24"/>
        </w:rPr>
        <w:t xml:space="preserve">The </w:t>
      </w:r>
      <w:r w:rsidR="00BF44B1" w:rsidRPr="006241D6">
        <w:rPr>
          <w:rFonts w:ascii="Arial" w:hAnsi="Arial" w:cs="Arial"/>
          <w:sz w:val="24"/>
          <w:szCs w:val="24"/>
        </w:rPr>
        <w:t xml:space="preserve">primary issue for </w:t>
      </w:r>
      <w:r w:rsidR="00C3570D" w:rsidRPr="006241D6">
        <w:rPr>
          <w:rFonts w:ascii="Arial" w:hAnsi="Arial" w:cs="Arial"/>
          <w:sz w:val="24"/>
          <w:szCs w:val="24"/>
        </w:rPr>
        <w:t>de</w:t>
      </w:r>
      <w:r w:rsidR="00D51313" w:rsidRPr="006241D6">
        <w:rPr>
          <w:rFonts w:ascii="Arial" w:hAnsi="Arial" w:cs="Arial"/>
          <w:sz w:val="24"/>
          <w:szCs w:val="24"/>
        </w:rPr>
        <w:t>cision</w:t>
      </w:r>
      <w:r w:rsidR="00C3570D" w:rsidRPr="006241D6">
        <w:rPr>
          <w:rFonts w:ascii="Arial" w:hAnsi="Arial" w:cs="Arial"/>
          <w:sz w:val="24"/>
          <w:szCs w:val="24"/>
        </w:rPr>
        <w:t xml:space="preserve"> is simply whether to grant leave to the applicant to amend its notice of motion</w:t>
      </w:r>
      <w:r w:rsidR="00850154" w:rsidRPr="006241D6">
        <w:rPr>
          <w:rFonts w:ascii="Arial" w:hAnsi="Arial" w:cs="Arial"/>
          <w:sz w:val="24"/>
          <w:szCs w:val="24"/>
        </w:rPr>
        <w:t xml:space="preserve"> as intended.</w:t>
      </w:r>
    </w:p>
    <w:p w14:paraId="5005B9E0" w14:textId="77777777" w:rsidR="00E25856" w:rsidRPr="00E25856" w:rsidRDefault="00E25856" w:rsidP="00E25856">
      <w:pPr>
        <w:pStyle w:val="ListParagraph"/>
        <w:rPr>
          <w:rFonts w:ascii="Arial" w:hAnsi="Arial" w:cs="Arial"/>
          <w:sz w:val="24"/>
          <w:szCs w:val="24"/>
        </w:rPr>
      </w:pPr>
    </w:p>
    <w:p w14:paraId="230C57BA" w14:textId="77777777" w:rsidR="00E25856" w:rsidRPr="00E25856" w:rsidRDefault="00E25856" w:rsidP="00E25856">
      <w:pPr>
        <w:pStyle w:val="ListParagraph"/>
        <w:rPr>
          <w:rFonts w:ascii="Arial" w:hAnsi="Arial" w:cs="Arial"/>
          <w:b/>
          <w:bCs/>
          <w:sz w:val="24"/>
          <w:szCs w:val="24"/>
        </w:rPr>
      </w:pPr>
    </w:p>
    <w:p w14:paraId="5EDB9885" w14:textId="2734840A" w:rsidR="00E25856" w:rsidRDefault="00850154" w:rsidP="00E25856">
      <w:pPr>
        <w:pStyle w:val="ListParagraph"/>
        <w:spacing w:line="360" w:lineRule="auto"/>
        <w:ind w:left="0"/>
        <w:jc w:val="both"/>
        <w:rPr>
          <w:rFonts w:ascii="Arial" w:hAnsi="Arial" w:cs="Arial"/>
          <w:b/>
          <w:bCs/>
          <w:sz w:val="24"/>
          <w:szCs w:val="24"/>
        </w:rPr>
      </w:pPr>
      <w:r w:rsidRPr="00E25856">
        <w:rPr>
          <w:rFonts w:ascii="Arial" w:hAnsi="Arial" w:cs="Arial"/>
          <w:b/>
          <w:bCs/>
          <w:sz w:val="24"/>
          <w:szCs w:val="24"/>
        </w:rPr>
        <w:t>Legal framework</w:t>
      </w:r>
    </w:p>
    <w:p w14:paraId="24BA3173" w14:textId="77777777" w:rsidR="00E25856" w:rsidRDefault="00E25856" w:rsidP="00E25856">
      <w:pPr>
        <w:pStyle w:val="ListParagraph"/>
        <w:spacing w:line="360" w:lineRule="auto"/>
        <w:ind w:left="0"/>
        <w:jc w:val="both"/>
        <w:rPr>
          <w:rFonts w:ascii="Arial" w:hAnsi="Arial" w:cs="Arial"/>
          <w:b/>
          <w:bCs/>
          <w:sz w:val="24"/>
          <w:szCs w:val="24"/>
        </w:rPr>
      </w:pPr>
    </w:p>
    <w:p w14:paraId="2B790E28" w14:textId="4C71F285" w:rsidR="00850154" w:rsidRPr="006241D6" w:rsidRDefault="006241D6" w:rsidP="006241D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A7EC3" w:rsidRPr="006241D6">
        <w:rPr>
          <w:rFonts w:ascii="Arial" w:hAnsi="Arial" w:cs="Arial"/>
          <w:sz w:val="24"/>
          <w:szCs w:val="24"/>
        </w:rPr>
        <w:t>It is well-established that the main purpose of a</w:t>
      </w:r>
      <w:r w:rsidR="00BB06D5" w:rsidRPr="006241D6">
        <w:rPr>
          <w:rFonts w:ascii="Arial" w:hAnsi="Arial" w:cs="Arial"/>
          <w:sz w:val="24"/>
          <w:szCs w:val="24"/>
        </w:rPr>
        <w:t>llowing an amendment is to ensure the proper ventilation of the dispute between the parties</w:t>
      </w:r>
      <w:r w:rsidR="000456A0" w:rsidRPr="006241D6">
        <w:rPr>
          <w:rFonts w:ascii="Arial" w:hAnsi="Arial" w:cs="Arial"/>
          <w:sz w:val="24"/>
          <w:szCs w:val="24"/>
        </w:rPr>
        <w:t xml:space="preserve">, to determine the real issues </w:t>
      </w:r>
      <w:r w:rsidR="000456A0" w:rsidRPr="006241D6">
        <w:rPr>
          <w:rFonts w:ascii="Arial" w:hAnsi="Arial" w:cs="Arial"/>
          <w:sz w:val="24"/>
          <w:szCs w:val="24"/>
        </w:rPr>
        <w:lastRenderedPageBreak/>
        <w:t>between the parties</w:t>
      </w:r>
      <w:r w:rsidR="00D51313" w:rsidRPr="006241D6">
        <w:rPr>
          <w:rFonts w:ascii="Arial" w:hAnsi="Arial" w:cs="Arial"/>
          <w:sz w:val="24"/>
          <w:szCs w:val="24"/>
        </w:rPr>
        <w:t xml:space="preserve">, so that justice </w:t>
      </w:r>
      <w:r w:rsidR="00D97019" w:rsidRPr="006241D6">
        <w:rPr>
          <w:rFonts w:ascii="Arial" w:hAnsi="Arial" w:cs="Arial"/>
          <w:sz w:val="24"/>
          <w:szCs w:val="24"/>
        </w:rPr>
        <w:t>can be done.</w:t>
      </w:r>
      <w:r w:rsidR="001C77F4">
        <w:rPr>
          <w:rStyle w:val="FootnoteReference"/>
          <w:rFonts w:ascii="Arial" w:hAnsi="Arial" w:cs="Arial"/>
          <w:sz w:val="24"/>
          <w:szCs w:val="24"/>
        </w:rPr>
        <w:footnoteReference w:id="2"/>
      </w:r>
      <w:r w:rsidR="006410C9" w:rsidRPr="006241D6">
        <w:rPr>
          <w:rFonts w:ascii="Arial" w:hAnsi="Arial" w:cs="Arial"/>
          <w:sz w:val="24"/>
          <w:szCs w:val="24"/>
        </w:rPr>
        <w:t xml:space="preserve"> The applicable </w:t>
      </w:r>
      <w:r w:rsidR="00840C58" w:rsidRPr="006241D6">
        <w:rPr>
          <w:rFonts w:ascii="Arial" w:hAnsi="Arial" w:cs="Arial"/>
          <w:sz w:val="24"/>
          <w:szCs w:val="24"/>
        </w:rPr>
        <w:t xml:space="preserve">principles were summarised in </w:t>
      </w:r>
      <w:bookmarkStart w:id="1" w:name="_Hlk119420902"/>
      <w:r w:rsidR="00051A14" w:rsidRPr="006241D6">
        <w:rPr>
          <w:rFonts w:ascii="Arial" w:hAnsi="Arial" w:cs="Arial"/>
          <w:i/>
          <w:iCs/>
          <w:sz w:val="24"/>
          <w:szCs w:val="24"/>
        </w:rPr>
        <w:t>Commercial Union Assurance</w:t>
      </w:r>
      <w:r w:rsidR="006925AF" w:rsidRPr="006241D6">
        <w:rPr>
          <w:rFonts w:ascii="Arial" w:hAnsi="Arial" w:cs="Arial"/>
          <w:i/>
          <w:iCs/>
          <w:sz w:val="24"/>
          <w:szCs w:val="24"/>
        </w:rPr>
        <w:t xml:space="preserve"> Co Ltd v Waymark NO</w:t>
      </w:r>
      <w:bookmarkEnd w:id="1"/>
      <w:r w:rsidR="00791272" w:rsidRPr="006241D6">
        <w:rPr>
          <w:rFonts w:ascii="Arial" w:hAnsi="Arial" w:cs="Arial"/>
          <w:sz w:val="24"/>
          <w:szCs w:val="24"/>
        </w:rPr>
        <w:t>:</w:t>
      </w:r>
      <w:r w:rsidR="005E6D41">
        <w:rPr>
          <w:rStyle w:val="FootnoteReference"/>
          <w:rFonts w:ascii="Arial" w:hAnsi="Arial" w:cs="Arial"/>
          <w:sz w:val="24"/>
          <w:szCs w:val="24"/>
        </w:rPr>
        <w:footnoteReference w:id="3"/>
      </w:r>
    </w:p>
    <w:p w14:paraId="79C79F67" w14:textId="77777777" w:rsidR="00E25856" w:rsidRDefault="00E25856" w:rsidP="00E25856">
      <w:pPr>
        <w:pStyle w:val="ListParagraph"/>
        <w:spacing w:line="360" w:lineRule="auto"/>
        <w:ind w:left="0"/>
        <w:jc w:val="both"/>
        <w:rPr>
          <w:rFonts w:ascii="Arial" w:hAnsi="Arial" w:cs="Arial"/>
          <w:sz w:val="24"/>
          <w:szCs w:val="24"/>
        </w:rPr>
      </w:pPr>
    </w:p>
    <w:p w14:paraId="6B1B2558" w14:textId="77777777" w:rsidR="007F4301" w:rsidRPr="00C47295" w:rsidRDefault="00791272" w:rsidP="00E25856">
      <w:pPr>
        <w:spacing w:line="360" w:lineRule="auto"/>
        <w:jc w:val="both"/>
        <w:rPr>
          <w:rFonts w:ascii="Arial" w:hAnsi="Arial" w:cs="Arial"/>
          <w:sz w:val="20"/>
          <w:szCs w:val="20"/>
        </w:rPr>
      </w:pPr>
      <w:r w:rsidRPr="00C47295">
        <w:rPr>
          <w:rFonts w:ascii="Arial" w:hAnsi="Arial" w:cs="Arial"/>
          <w:sz w:val="20"/>
          <w:szCs w:val="20"/>
        </w:rPr>
        <w:tab/>
        <w:t>‘1.</w:t>
      </w:r>
      <w:r w:rsidRPr="00C47295">
        <w:rPr>
          <w:rFonts w:ascii="Arial" w:hAnsi="Arial" w:cs="Arial"/>
          <w:sz w:val="20"/>
          <w:szCs w:val="20"/>
        </w:rPr>
        <w:tab/>
        <w:t xml:space="preserve">The </w:t>
      </w:r>
      <w:r w:rsidR="007F4301" w:rsidRPr="00C47295">
        <w:rPr>
          <w:rFonts w:ascii="Arial" w:hAnsi="Arial" w:cs="Arial"/>
          <w:sz w:val="20"/>
          <w:szCs w:val="20"/>
        </w:rPr>
        <w:t>C</w:t>
      </w:r>
      <w:r w:rsidRPr="00C47295">
        <w:rPr>
          <w:rFonts w:ascii="Arial" w:hAnsi="Arial" w:cs="Arial"/>
          <w:sz w:val="20"/>
          <w:szCs w:val="20"/>
        </w:rPr>
        <w:t>ourt has a discretion whether to grant</w:t>
      </w:r>
      <w:r w:rsidR="007F4301" w:rsidRPr="00C47295">
        <w:rPr>
          <w:rFonts w:ascii="Arial" w:hAnsi="Arial" w:cs="Arial"/>
          <w:sz w:val="20"/>
          <w:szCs w:val="20"/>
        </w:rPr>
        <w:t xml:space="preserve"> or refuse an amendment.</w:t>
      </w:r>
    </w:p>
    <w:p w14:paraId="6A11FD5C" w14:textId="018F1241" w:rsidR="008B1250" w:rsidRPr="00C47295" w:rsidRDefault="009E0B08" w:rsidP="00E25856">
      <w:pPr>
        <w:spacing w:line="360" w:lineRule="auto"/>
        <w:ind w:left="1440" w:hanging="720"/>
        <w:jc w:val="both"/>
        <w:rPr>
          <w:rFonts w:ascii="Arial" w:hAnsi="Arial" w:cs="Arial"/>
          <w:sz w:val="20"/>
          <w:szCs w:val="20"/>
        </w:rPr>
      </w:pPr>
      <w:r w:rsidRPr="00C47295">
        <w:rPr>
          <w:rFonts w:ascii="Arial" w:hAnsi="Arial" w:cs="Arial"/>
          <w:sz w:val="20"/>
          <w:szCs w:val="20"/>
        </w:rPr>
        <w:t xml:space="preserve"> </w:t>
      </w:r>
      <w:r w:rsidR="007F4301" w:rsidRPr="00C47295">
        <w:rPr>
          <w:rFonts w:ascii="Arial" w:hAnsi="Arial" w:cs="Arial"/>
          <w:sz w:val="20"/>
          <w:szCs w:val="20"/>
        </w:rPr>
        <w:t>2.</w:t>
      </w:r>
      <w:r w:rsidR="007F4301" w:rsidRPr="00C47295">
        <w:rPr>
          <w:rFonts w:ascii="Arial" w:hAnsi="Arial" w:cs="Arial"/>
          <w:sz w:val="20"/>
          <w:szCs w:val="20"/>
        </w:rPr>
        <w:tab/>
        <w:t xml:space="preserve">An amendment cannot be granted </w:t>
      </w:r>
      <w:r w:rsidR="008B1250" w:rsidRPr="00C47295">
        <w:rPr>
          <w:rFonts w:ascii="Arial" w:hAnsi="Arial" w:cs="Arial"/>
          <w:sz w:val="20"/>
          <w:szCs w:val="20"/>
        </w:rPr>
        <w:t>for the mere asking; some explanation must be offered therefor.</w:t>
      </w:r>
    </w:p>
    <w:p w14:paraId="1F45494C" w14:textId="0F518AE2" w:rsidR="00791272" w:rsidRPr="00C47295" w:rsidRDefault="008B1250" w:rsidP="00E25856">
      <w:pPr>
        <w:spacing w:line="360" w:lineRule="auto"/>
        <w:ind w:left="1440" w:hanging="650"/>
        <w:jc w:val="both"/>
        <w:rPr>
          <w:rFonts w:ascii="Arial" w:hAnsi="Arial" w:cs="Arial"/>
          <w:sz w:val="20"/>
          <w:szCs w:val="20"/>
        </w:rPr>
      </w:pPr>
      <w:r w:rsidRPr="00C47295">
        <w:rPr>
          <w:rFonts w:ascii="Arial" w:hAnsi="Arial" w:cs="Arial"/>
          <w:sz w:val="20"/>
          <w:szCs w:val="20"/>
        </w:rPr>
        <w:t xml:space="preserve">3. </w:t>
      </w:r>
      <w:r w:rsidRPr="00C47295">
        <w:rPr>
          <w:rFonts w:ascii="Arial" w:hAnsi="Arial" w:cs="Arial"/>
          <w:sz w:val="20"/>
          <w:szCs w:val="20"/>
        </w:rPr>
        <w:tab/>
      </w:r>
      <w:r w:rsidR="009A49F6" w:rsidRPr="00C47295">
        <w:rPr>
          <w:rFonts w:ascii="Arial" w:hAnsi="Arial" w:cs="Arial"/>
          <w:sz w:val="20"/>
          <w:szCs w:val="20"/>
        </w:rPr>
        <w:t>The applicant must show that</w:t>
      </w:r>
      <w:r w:rsidR="00242E9B" w:rsidRPr="00C47295">
        <w:rPr>
          <w:rFonts w:ascii="Arial" w:hAnsi="Arial" w:cs="Arial"/>
          <w:sz w:val="20"/>
          <w:szCs w:val="20"/>
        </w:rPr>
        <w:t xml:space="preserve"> </w:t>
      </w:r>
      <w:r w:rsidR="00242E9B" w:rsidRPr="002C56FE">
        <w:rPr>
          <w:rFonts w:ascii="Arial" w:hAnsi="Arial" w:cs="Arial"/>
          <w:i/>
          <w:iCs/>
          <w:sz w:val="20"/>
          <w:szCs w:val="20"/>
        </w:rPr>
        <w:t>prima facie</w:t>
      </w:r>
      <w:r w:rsidR="00242E9B" w:rsidRPr="00C47295">
        <w:rPr>
          <w:rFonts w:ascii="Arial" w:hAnsi="Arial" w:cs="Arial"/>
          <w:sz w:val="20"/>
          <w:szCs w:val="20"/>
        </w:rPr>
        <w:t xml:space="preserve"> the amendment ‘has something deserving of consideration</w:t>
      </w:r>
      <w:r w:rsidR="005A749D" w:rsidRPr="00C47295">
        <w:rPr>
          <w:rFonts w:ascii="Arial" w:hAnsi="Arial" w:cs="Arial"/>
          <w:sz w:val="20"/>
          <w:szCs w:val="20"/>
        </w:rPr>
        <w:t>, a triable issue’.</w:t>
      </w:r>
      <w:r w:rsidR="007F4301" w:rsidRPr="00C47295">
        <w:rPr>
          <w:rFonts w:ascii="Arial" w:hAnsi="Arial" w:cs="Arial"/>
          <w:sz w:val="20"/>
          <w:szCs w:val="20"/>
        </w:rPr>
        <w:t xml:space="preserve"> </w:t>
      </w:r>
    </w:p>
    <w:p w14:paraId="00D446A1" w14:textId="1777A40A" w:rsidR="005A749D" w:rsidRPr="00C47295" w:rsidRDefault="005A749D" w:rsidP="00E25856">
      <w:pPr>
        <w:spacing w:line="360" w:lineRule="auto"/>
        <w:ind w:left="1440" w:hanging="650"/>
        <w:jc w:val="both"/>
        <w:rPr>
          <w:rFonts w:ascii="Arial" w:hAnsi="Arial" w:cs="Arial"/>
          <w:sz w:val="20"/>
          <w:szCs w:val="20"/>
        </w:rPr>
      </w:pPr>
      <w:r w:rsidRPr="00C47295">
        <w:rPr>
          <w:rFonts w:ascii="Arial" w:hAnsi="Arial" w:cs="Arial"/>
          <w:sz w:val="20"/>
          <w:szCs w:val="20"/>
        </w:rPr>
        <w:t>4.</w:t>
      </w:r>
      <w:r w:rsidRPr="00C47295">
        <w:rPr>
          <w:rFonts w:ascii="Arial" w:hAnsi="Arial" w:cs="Arial"/>
          <w:sz w:val="20"/>
          <w:szCs w:val="20"/>
        </w:rPr>
        <w:tab/>
        <w:t xml:space="preserve">The modern tendency lies in favour of </w:t>
      </w:r>
      <w:r w:rsidR="00950034" w:rsidRPr="00C47295">
        <w:rPr>
          <w:rFonts w:ascii="Arial" w:hAnsi="Arial" w:cs="Arial"/>
          <w:sz w:val="20"/>
          <w:szCs w:val="20"/>
        </w:rPr>
        <w:t xml:space="preserve">an amendment if such ‘facilitates the proper ventilation of the dispute </w:t>
      </w:r>
      <w:r w:rsidR="00411EF8" w:rsidRPr="00C47295">
        <w:rPr>
          <w:rFonts w:ascii="Arial" w:hAnsi="Arial" w:cs="Arial"/>
          <w:sz w:val="20"/>
          <w:szCs w:val="20"/>
        </w:rPr>
        <w:t xml:space="preserve">between the </w:t>
      </w:r>
      <w:proofErr w:type="gramStart"/>
      <w:r w:rsidR="00411EF8" w:rsidRPr="00C47295">
        <w:rPr>
          <w:rFonts w:ascii="Arial" w:hAnsi="Arial" w:cs="Arial"/>
          <w:sz w:val="20"/>
          <w:szCs w:val="20"/>
        </w:rPr>
        <w:t>parties’</w:t>
      </w:r>
      <w:proofErr w:type="gramEnd"/>
      <w:r w:rsidR="00411EF8" w:rsidRPr="00C47295">
        <w:rPr>
          <w:rFonts w:ascii="Arial" w:hAnsi="Arial" w:cs="Arial"/>
          <w:sz w:val="20"/>
          <w:szCs w:val="20"/>
        </w:rPr>
        <w:t>.</w:t>
      </w:r>
    </w:p>
    <w:p w14:paraId="4E3A749C" w14:textId="63DCD6FE" w:rsidR="00411EF8" w:rsidRPr="00C47295" w:rsidRDefault="00411EF8" w:rsidP="00E25856">
      <w:pPr>
        <w:spacing w:line="360" w:lineRule="auto"/>
        <w:jc w:val="both"/>
        <w:rPr>
          <w:rFonts w:ascii="Arial" w:hAnsi="Arial" w:cs="Arial"/>
          <w:sz w:val="20"/>
          <w:szCs w:val="20"/>
        </w:rPr>
      </w:pPr>
      <w:r w:rsidRPr="00C47295">
        <w:rPr>
          <w:rFonts w:ascii="Arial" w:hAnsi="Arial" w:cs="Arial"/>
          <w:sz w:val="20"/>
          <w:szCs w:val="20"/>
        </w:rPr>
        <w:tab/>
      </w:r>
      <w:r w:rsidR="009E0B08" w:rsidRPr="00C47295">
        <w:rPr>
          <w:rFonts w:ascii="Arial" w:hAnsi="Arial" w:cs="Arial"/>
          <w:sz w:val="20"/>
          <w:szCs w:val="20"/>
        </w:rPr>
        <w:t xml:space="preserve"> </w:t>
      </w:r>
      <w:r w:rsidRPr="00C47295">
        <w:rPr>
          <w:rFonts w:ascii="Arial" w:hAnsi="Arial" w:cs="Arial"/>
          <w:sz w:val="20"/>
          <w:szCs w:val="20"/>
        </w:rPr>
        <w:t>5.</w:t>
      </w:r>
      <w:r w:rsidRPr="00C47295">
        <w:rPr>
          <w:rFonts w:ascii="Arial" w:hAnsi="Arial" w:cs="Arial"/>
          <w:sz w:val="20"/>
          <w:szCs w:val="20"/>
        </w:rPr>
        <w:tab/>
        <w:t xml:space="preserve">The party seeking the amendment must not be </w:t>
      </w:r>
      <w:r w:rsidRPr="00C47295">
        <w:rPr>
          <w:rFonts w:ascii="Arial" w:hAnsi="Arial" w:cs="Arial"/>
          <w:i/>
          <w:iCs/>
          <w:sz w:val="20"/>
          <w:szCs w:val="20"/>
        </w:rPr>
        <w:t>mala fide</w:t>
      </w:r>
      <w:r w:rsidRPr="00C47295">
        <w:rPr>
          <w:rFonts w:ascii="Arial" w:hAnsi="Arial" w:cs="Arial"/>
          <w:sz w:val="20"/>
          <w:szCs w:val="20"/>
        </w:rPr>
        <w:t>.</w:t>
      </w:r>
    </w:p>
    <w:p w14:paraId="53EF4239" w14:textId="0A617ACA" w:rsidR="00291A72" w:rsidRPr="00C47295" w:rsidRDefault="009E0B08" w:rsidP="00E25856">
      <w:pPr>
        <w:spacing w:line="360" w:lineRule="auto"/>
        <w:ind w:left="1440" w:hanging="720"/>
        <w:jc w:val="both"/>
        <w:rPr>
          <w:rFonts w:ascii="Arial" w:hAnsi="Arial" w:cs="Arial"/>
          <w:sz w:val="20"/>
          <w:szCs w:val="20"/>
        </w:rPr>
      </w:pPr>
      <w:r w:rsidRPr="00C47295">
        <w:rPr>
          <w:rFonts w:ascii="Arial" w:hAnsi="Arial" w:cs="Arial"/>
          <w:sz w:val="20"/>
          <w:szCs w:val="20"/>
        </w:rPr>
        <w:t xml:space="preserve"> </w:t>
      </w:r>
      <w:r w:rsidR="00291A72" w:rsidRPr="00C47295">
        <w:rPr>
          <w:rFonts w:ascii="Arial" w:hAnsi="Arial" w:cs="Arial"/>
          <w:sz w:val="20"/>
          <w:szCs w:val="20"/>
        </w:rPr>
        <w:t>6.</w:t>
      </w:r>
      <w:r w:rsidR="00291A72" w:rsidRPr="00C47295">
        <w:rPr>
          <w:rFonts w:ascii="Arial" w:hAnsi="Arial" w:cs="Arial"/>
          <w:sz w:val="20"/>
          <w:szCs w:val="20"/>
        </w:rPr>
        <w:tab/>
        <w:t xml:space="preserve">It must not </w:t>
      </w:r>
      <w:proofErr w:type="spellStart"/>
      <w:r w:rsidR="00291A72" w:rsidRPr="00C47295">
        <w:rPr>
          <w:rFonts w:ascii="Arial" w:hAnsi="Arial" w:cs="Arial"/>
          <w:sz w:val="20"/>
          <w:szCs w:val="20"/>
        </w:rPr>
        <w:t>‘cause</w:t>
      </w:r>
      <w:proofErr w:type="spellEnd"/>
      <w:r w:rsidR="00291A72" w:rsidRPr="00C47295">
        <w:rPr>
          <w:rFonts w:ascii="Arial" w:hAnsi="Arial" w:cs="Arial"/>
          <w:sz w:val="20"/>
          <w:szCs w:val="20"/>
        </w:rPr>
        <w:t xml:space="preserve"> an injustice to the other side</w:t>
      </w:r>
      <w:r w:rsidR="00FA1D3B" w:rsidRPr="00C47295">
        <w:rPr>
          <w:rFonts w:ascii="Arial" w:hAnsi="Arial" w:cs="Arial"/>
          <w:sz w:val="20"/>
          <w:szCs w:val="20"/>
        </w:rPr>
        <w:t xml:space="preserve"> which cannot be compensated by </w:t>
      </w:r>
      <w:proofErr w:type="gramStart"/>
      <w:r w:rsidR="00FA1D3B" w:rsidRPr="00C47295">
        <w:rPr>
          <w:rFonts w:ascii="Arial" w:hAnsi="Arial" w:cs="Arial"/>
          <w:sz w:val="20"/>
          <w:szCs w:val="20"/>
        </w:rPr>
        <w:t>costs’</w:t>
      </w:r>
      <w:proofErr w:type="gramEnd"/>
      <w:r w:rsidR="00FA1D3B" w:rsidRPr="00C47295">
        <w:rPr>
          <w:rFonts w:ascii="Arial" w:hAnsi="Arial" w:cs="Arial"/>
          <w:sz w:val="20"/>
          <w:szCs w:val="20"/>
        </w:rPr>
        <w:t>.</w:t>
      </w:r>
    </w:p>
    <w:p w14:paraId="4A2EB853" w14:textId="7CE73A98" w:rsidR="00FA1D3B" w:rsidRPr="00C47295" w:rsidRDefault="00FA1D3B" w:rsidP="00E25856">
      <w:pPr>
        <w:spacing w:line="360" w:lineRule="auto"/>
        <w:ind w:left="1440" w:hanging="650"/>
        <w:jc w:val="both"/>
        <w:rPr>
          <w:rFonts w:ascii="Arial" w:hAnsi="Arial" w:cs="Arial"/>
          <w:sz w:val="20"/>
          <w:szCs w:val="20"/>
        </w:rPr>
      </w:pPr>
      <w:r w:rsidRPr="00C47295">
        <w:rPr>
          <w:rFonts w:ascii="Arial" w:hAnsi="Arial" w:cs="Arial"/>
          <w:sz w:val="20"/>
          <w:szCs w:val="20"/>
        </w:rPr>
        <w:t>7.</w:t>
      </w:r>
      <w:r w:rsidRPr="00C47295">
        <w:rPr>
          <w:rFonts w:ascii="Arial" w:hAnsi="Arial" w:cs="Arial"/>
          <w:sz w:val="20"/>
          <w:szCs w:val="20"/>
        </w:rPr>
        <w:tab/>
        <w:t>The amendment should not be refused</w:t>
      </w:r>
      <w:r w:rsidR="00F301EA" w:rsidRPr="00C47295">
        <w:rPr>
          <w:rFonts w:ascii="Arial" w:hAnsi="Arial" w:cs="Arial"/>
          <w:sz w:val="20"/>
          <w:szCs w:val="20"/>
        </w:rPr>
        <w:t xml:space="preserve"> simply to punish the applicant for neglect.</w:t>
      </w:r>
    </w:p>
    <w:p w14:paraId="1C47F139" w14:textId="12DDBC19" w:rsidR="00F301EA" w:rsidRPr="00C47295" w:rsidRDefault="00F301EA" w:rsidP="00E25856">
      <w:pPr>
        <w:spacing w:line="360" w:lineRule="auto"/>
        <w:jc w:val="both"/>
        <w:rPr>
          <w:rFonts w:ascii="Arial" w:hAnsi="Arial" w:cs="Arial"/>
          <w:sz w:val="20"/>
          <w:szCs w:val="20"/>
        </w:rPr>
      </w:pPr>
      <w:r w:rsidRPr="00C47295">
        <w:rPr>
          <w:rFonts w:ascii="Arial" w:hAnsi="Arial" w:cs="Arial"/>
          <w:sz w:val="20"/>
          <w:szCs w:val="20"/>
        </w:rPr>
        <w:tab/>
      </w:r>
      <w:r w:rsidR="00464367" w:rsidRPr="00C47295">
        <w:rPr>
          <w:rFonts w:ascii="Arial" w:hAnsi="Arial" w:cs="Arial"/>
          <w:sz w:val="20"/>
          <w:szCs w:val="20"/>
        </w:rPr>
        <w:t xml:space="preserve"> </w:t>
      </w:r>
      <w:r w:rsidRPr="00C47295">
        <w:rPr>
          <w:rFonts w:ascii="Arial" w:hAnsi="Arial" w:cs="Arial"/>
          <w:sz w:val="20"/>
          <w:szCs w:val="20"/>
        </w:rPr>
        <w:t>8.</w:t>
      </w:r>
      <w:r w:rsidRPr="00C47295">
        <w:rPr>
          <w:rFonts w:ascii="Arial" w:hAnsi="Arial" w:cs="Arial"/>
          <w:sz w:val="20"/>
          <w:szCs w:val="20"/>
        </w:rPr>
        <w:tab/>
        <w:t>A mere loss of time</w:t>
      </w:r>
      <w:r w:rsidR="00313C72" w:rsidRPr="00C47295">
        <w:rPr>
          <w:rFonts w:ascii="Arial" w:hAnsi="Arial" w:cs="Arial"/>
          <w:sz w:val="20"/>
          <w:szCs w:val="20"/>
        </w:rPr>
        <w:t xml:space="preserve"> is no reason</w:t>
      </w:r>
      <w:proofErr w:type="gramStart"/>
      <w:r w:rsidR="00313C72" w:rsidRPr="00C47295">
        <w:rPr>
          <w:rFonts w:ascii="Arial" w:hAnsi="Arial" w:cs="Arial"/>
          <w:sz w:val="20"/>
          <w:szCs w:val="20"/>
        </w:rPr>
        <w:t>, in itself, to</w:t>
      </w:r>
      <w:proofErr w:type="gramEnd"/>
      <w:r w:rsidR="00313C72" w:rsidRPr="00C47295">
        <w:rPr>
          <w:rFonts w:ascii="Arial" w:hAnsi="Arial" w:cs="Arial"/>
          <w:sz w:val="20"/>
          <w:szCs w:val="20"/>
        </w:rPr>
        <w:t xml:space="preserve"> refuse the application.</w:t>
      </w:r>
    </w:p>
    <w:p w14:paraId="687A900B" w14:textId="3500A5D8" w:rsidR="00313C72" w:rsidRPr="00C47295" w:rsidRDefault="00464367" w:rsidP="00E25856">
      <w:pPr>
        <w:spacing w:line="360" w:lineRule="auto"/>
        <w:ind w:left="1440" w:hanging="720"/>
        <w:jc w:val="both"/>
        <w:rPr>
          <w:rFonts w:ascii="Arial" w:hAnsi="Arial" w:cs="Arial"/>
          <w:sz w:val="20"/>
          <w:szCs w:val="20"/>
        </w:rPr>
      </w:pPr>
      <w:r w:rsidRPr="00C47295">
        <w:rPr>
          <w:rFonts w:ascii="Arial" w:hAnsi="Arial" w:cs="Arial"/>
          <w:sz w:val="20"/>
          <w:szCs w:val="20"/>
        </w:rPr>
        <w:t xml:space="preserve"> </w:t>
      </w:r>
      <w:r w:rsidR="00313C72" w:rsidRPr="00C47295">
        <w:rPr>
          <w:rFonts w:ascii="Arial" w:hAnsi="Arial" w:cs="Arial"/>
          <w:sz w:val="20"/>
          <w:szCs w:val="20"/>
        </w:rPr>
        <w:t>9.</w:t>
      </w:r>
      <w:r w:rsidR="00313C72" w:rsidRPr="00C47295">
        <w:rPr>
          <w:rFonts w:ascii="Arial" w:hAnsi="Arial" w:cs="Arial"/>
          <w:sz w:val="20"/>
          <w:szCs w:val="20"/>
        </w:rPr>
        <w:tab/>
        <w:t>If the amendment is not sought timeously</w:t>
      </w:r>
      <w:r w:rsidR="009E0B08" w:rsidRPr="00C47295">
        <w:rPr>
          <w:rFonts w:ascii="Arial" w:hAnsi="Arial" w:cs="Arial"/>
          <w:sz w:val="20"/>
          <w:szCs w:val="20"/>
        </w:rPr>
        <w:t>, some reason must be given for the delay.’</w:t>
      </w:r>
      <w:r w:rsidRPr="00C47295">
        <w:rPr>
          <w:rStyle w:val="FootnoteReference"/>
          <w:rFonts w:ascii="Arial" w:hAnsi="Arial" w:cs="Arial"/>
          <w:sz w:val="20"/>
          <w:szCs w:val="20"/>
        </w:rPr>
        <w:footnoteReference w:id="4"/>
      </w:r>
    </w:p>
    <w:p w14:paraId="0473B91F" w14:textId="77777777" w:rsidR="00C47295" w:rsidRDefault="00C47295" w:rsidP="001B3984">
      <w:pPr>
        <w:spacing w:line="360" w:lineRule="auto"/>
        <w:rPr>
          <w:rFonts w:ascii="Arial" w:hAnsi="Arial" w:cs="Arial"/>
          <w:sz w:val="24"/>
          <w:szCs w:val="24"/>
        </w:rPr>
      </w:pPr>
    </w:p>
    <w:p w14:paraId="0567E90B" w14:textId="296CF8A5"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1B3984" w:rsidRPr="006241D6">
        <w:rPr>
          <w:rFonts w:ascii="Arial" w:hAnsi="Arial" w:cs="Arial"/>
          <w:sz w:val="24"/>
          <w:szCs w:val="24"/>
        </w:rPr>
        <w:t xml:space="preserve">Generally, </w:t>
      </w:r>
      <w:r w:rsidR="00C47295" w:rsidRPr="006241D6">
        <w:rPr>
          <w:rFonts w:ascii="Arial" w:hAnsi="Arial" w:cs="Arial"/>
          <w:sz w:val="24"/>
          <w:szCs w:val="24"/>
        </w:rPr>
        <w:t xml:space="preserve">the court’s discretion </w:t>
      </w:r>
      <w:r w:rsidR="004C1045" w:rsidRPr="006241D6">
        <w:rPr>
          <w:rFonts w:ascii="Arial" w:hAnsi="Arial" w:cs="Arial"/>
          <w:sz w:val="24"/>
          <w:szCs w:val="24"/>
        </w:rPr>
        <w:t xml:space="preserve">regarding the granting of </w:t>
      </w:r>
      <w:r w:rsidR="00D273EA" w:rsidRPr="006241D6">
        <w:rPr>
          <w:rFonts w:ascii="Arial" w:hAnsi="Arial" w:cs="Arial"/>
          <w:sz w:val="24"/>
          <w:szCs w:val="24"/>
        </w:rPr>
        <w:t xml:space="preserve">a material amendment is limited only </w:t>
      </w:r>
      <w:r w:rsidR="005A6347" w:rsidRPr="006241D6">
        <w:rPr>
          <w:rFonts w:ascii="Arial" w:hAnsi="Arial" w:cs="Arial"/>
          <w:sz w:val="24"/>
          <w:szCs w:val="24"/>
        </w:rPr>
        <w:t>by considerations o</w:t>
      </w:r>
      <w:r w:rsidR="00B71226" w:rsidRPr="006241D6">
        <w:rPr>
          <w:rFonts w:ascii="Arial" w:hAnsi="Arial" w:cs="Arial"/>
          <w:sz w:val="24"/>
          <w:szCs w:val="24"/>
        </w:rPr>
        <w:t>f</w:t>
      </w:r>
      <w:r w:rsidR="005A6347" w:rsidRPr="006241D6">
        <w:rPr>
          <w:rFonts w:ascii="Arial" w:hAnsi="Arial" w:cs="Arial"/>
          <w:sz w:val="24"/>
          <w:szCs w:val="24"/>
        </w:rPr>
        <w:t xml:space="preserve"> prejudice or injustice that may be caused to the other party.</w:t>
      </w:r>
      <w:r w:rsidR="00C9521A">
        <w:rPr>
          <w:rStyle w:val="FootnoteReference"/>
          <w:rFonts w:ascii="Arial" w:hAnsi="Arial" w:cs="Arial"/>
          <w:sz w:val="24"/>
          <w:szCs w:val="24"/>
        </w:rPr>
        <w:footnoteReference w:id="5"/>
      </w:r>
      <w:r w:rsidR="00C47295" w:rsidRPr="006241D6">
        <w:rPr>
          <w:rFonts w:ascii="Arial" w:hAnsi="Arial" w:cs="Arial"/>
          <w:sz w:val="24"/>
          <w:szCs w:val="24"/>
        </w:rPr>
        <w:t xml:space="preserve"> </w:t>
      </w:r>
    </w:p>
    <w:p w14:paraId="7172F560" w14:textId="77777777" w:rsidR="00E25856" w:rsidRDefault="00E25856" w:rsidP="00E25856">
      <w:pPr>
        <w:pStyle w:val="ListParagraph"/>
        <w:spacing w:line="360" w:lineRule="auto"/>
        <w:ind w:left="0"/>
        <w:jc w:val="both"/>
        <w:rPr>
          <w:rFonts w:ascii="Arial" w:hAnsi="Arial" w:cs="Arial"/>
          <w:sz w:val="24"/>
          <w:szCs w:val="24"/>
        </w:rPr>
      </w:pPr>
    </w:p>
    <w:p w14:paraId="5BABBF86" w14:textId="5571D3AA"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67342" w:rsidRPr="006241D6">
        <w:rPr>
          <w:rFonts w:ascii="Arial" w:hAnsi="Arial" w:cs="Arial"/>
          <w:sz w:val="24"/>
          <w:szCs w:val="24"/>
        </w:rPr>
        <w:t xml:space="preserve">The above </w:t>
      </w:r>
      <w:r w:rsidR="007D4E35" w:rsidRPr="006241D6">
        <w:rPr>
          <w:rFonts w:ascii="Arial" w:hAnsi="Arial" w:cs="Arial"/>
          <w:sz w:val="24"/>
          <w:szCs w:val="24"/>
        </w:rPr>
        <w:t xml:space="preserve">principles constitute the basic legal </w:t>
      </w:r>
      <w:r w:rsidR="00767342" w:rsidRPr="006241D6">
        <w:rPr>
          <w:rFonts w:ascii="Arial" w:hAnsi="Arial" w:cs="Arial"/>
          <w:sz w:val="24"/>
          <w:szCs w:val="24"/>
        </w:rPr>
        <w:t xml:space="preserve">framework </w:t>
      </w:r>
      <w:r w:rsidR="007D4E35" w:rsidRPr="006241D6">
        <w:rPr>
          <w:rFonts w:ascii="Arial" w:hAnsi="Arial" w:cs="Arial"/>
          <w:sz w:val="24"/>
          <w:szCs w:val="24"/>
        </w:rPr>
        <w:t xml:space="preserve">for </w:t>
      </w:r>
      <w:r w:rsidR="00202CDD" w:rsidRPr="006241D6">
        <w:rPr>
          <w:rFonts w:ascii="Arial" w:hAnsi="Arial" w:cs="Arial"/>
          <w:sz w:val="24"/>
          <w:szCs w:val="24"/>
        </w:rPr>
        <w:t xml:space="preserve">the court’s exercise of its discretion. </w:t>
      </w:r>
      <w:r w:rsidR="006A294D" w:rsidRPr="006241D6">
        <w:rPr>
          <w:rFonts w:ascii="Arial" w:hAnsi="Arial" w:cs="Arial"/>
          <w:sz w:val="24"/>
          <w:szCs w:val="24"/>
        </w:rPr>
        <w:t>These must be applied to the facts of the present matter.</w:t>
      </w:r>
    </w:p>
    <w:p w14:paraId="0361C9DC" w14:textId="77777777" w:rsidR="00E25856" w:rsidRPr="00E25856" w:rsidRDefault="00E25856" w:rsidP="00E25856">
      <w:pPr>
        <w:pStyle w:val="ListParagraph"/>
        <w:rPr>
          <w:rFonts w:ascii="Arial" w:hAnsi="Arial" w:cs="Arial"/>
          <w:sz w:val="24"/>
          <w:szCs w:val="24"/>
        </w:rPr>
      </w:pPr>
    </w:p>
    <w:p w14:paraId="7784E960" w14:textId="77777777" w:rsidR="00E25856" w:rsidRPr="00E25856" w:rsidRDefault="00E25856" w:rsidP="00E25856">
      <w:pPr>
        <w:pStyle w:val="ListParagraph"/>
        <w:rPr>
          <w:rFonts w:ascii="Arial" w:hAnsi="Arial" w:cs="Arial"/>
          <w:b/>
          <w:bCs/>
          <w:sz w:val="24"/>
          <w:szCs w:val="24"/>
        </w:rPr>
      </w:pPr>
    </w:p>
    <w:p w14:paraId="1C75202C" w14:textId="4FFC6330" w:rsidR="00E25856" w:rsidRDefault="006A294D" w:rsidP="00E25856">
      <w:pPr>
        <w:pStyle w:val="ListParagraph"/>
        <w:spacing w:line="360" w:lineRule="auto"/>
        <w:ind w:left="0"/>
        <w:jc w:val="both"/>
        <w:rPr>
          <w:rFonts w:ascii="Arial" w:hAnsi="Arial" w:cs="Arial"/>
          <w:b/>
          <w:bCs/>
          <w:sz w:val="24"/>
          <w:szCs w:val="24"/>
        </w:rPr>
      </w:pPr>
      <w:r w:rsidRPr="00E25856">
        <w:rPr>
          <w:rFonts w:ascii="Arial" w:hAnsi="Arial" w:cs="Arial"/>
          <w:b/>
          <w:bCs/>
          <w:sz w:val="24"/>
          <w:szCs w:val="24"/>
        </w:rPr>
        <w:t>Application of the law</w:t>
      </w:r>
      <w:r w:rsidR="00485F1D" w:rsidRPr="00E25856">
        <w:rPr>
          <w:rFonts w:ascii="Arial" w:hAnsi="Arial" w:cs="Arial"/>
          <w:b/>
          <w:bCs/>
          <w:sz w:val="24"/>
          <w:szCs w:val="24"/>
        </w:rPr>
        <w:t xml:space="preserve"> to the facts</w:t>
      </w:r>
    </w:p>
    <w:p w14:paraId="20760101" w14:textId="77777777" w:rsidR="00E25856" w:rsidRDefault="00E25856" w:rsidP="00E25856">
      <w:pPr>
        <w:pStyle w:val="ListParagraph"/>
        <w:spacing w:line="360" w:lineRule="auto"/>
        <w:ind w:left="0"/>
        <w:jc w:val="both"/>
        <w:rPr>
          <w:rFonts w:ascii="Arial" w:hAnsi="Arial" w:cs="Arial"/>
          <w:b/>
          <w:bCs/>
          <w:sz w:val="24"/>
          <w:szCs w:val="24"/>
        </w:rPr>
      </w:pPr>
    </w:p>
    <w:p w14:paraId="099A3D81" w14:textId="10BEAE2E"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9037D" w:rsidRPr="006241D6">
        <w:rPr>
          <w:rFonts w:ascii="Arial" w:hAnsi="Arial" w:cs="Arial"/>
          <w:sz w:val="24"/>
          <w:szCs w:val="24"/>
        </w:rPr>
        <w:t xml:space="preserve">Admittedly, the applicant’s intended amendment in the present matter would not </w:t>
      </w:r>
      <w:r w:rsidR="00C47FE2" w:rsidRPr="006241D6">
        <w:rPr>
          <w:rFonts w:ascii="Arial" w:hAnsi="Arial" w:cs="Arial"/>
          <w:sz w:val="24"/>
          <w:szCs w:val="24"/>
        </w:rPr>
        <w:t xml:space="preserve">appear to </w:t>
      </w:r>
      <w:r w:rsidR="0019037D" w:rsidRPr="006241D6">
        <w:rPr>
          <w:rFonts w:ascii="Arial" w:hAnsi="Arial" w:cs="Arial"/>
          <w:sz w:val="24"/>
          <w:szCs w:val="24"/>
        </w:rPr>
        <w:t xml:space="preserve">affect the actual dispute between the parties, viz. whether the awarding of no points to the applicant for its B-BBEE level of contribution was unlawful (and consequently whether the award of the tender to Shanti Africa Construction was unlawful). If the main issue between the parties remains the same, argues the applicant, then a court will generally allow an amendment. </w:t>
      </w:r>
    </w:p>
    <w:p w14:paraId="18EC7B78" w14:textId="77777777" w:rsidR="00E25856" w:rsidRDefault="00E25856" w:rsidP="00E25856">
      <w:pPr>
        <w:pStyle w:val="ListParagraph"/>
        <w:spacing w:line="360" w:lineRule="auto"/>
        <w:ind w:left="0"/>
        <w:jc w:val="both"/>
        <w:rPr>
          <w:rFonts w:ascii="Arial" w:hAnsi="Arial" w:cs="Arial"/>
          <w:sz w:val="24"/>
          <w:szCs w:val="24"/>
        </w:rPr>
      </w:pPr>
    </w:p>
    <w:p w14:paraId="0D9D2471" w14:textId="5C10042D"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19037D" w:rsidRPr="006241D6">
        <w:rPr>
          <w:rFonts w:ascii="Arial" w:hAnsi="Arial" w:cs="Arial"/>
          <w:sz w:val="24"/>
          <w:szCs w:val="24"/>
        </w:rPr>
        <w:t xml:space="preserve">The authority for this is </w:t>
      </w:r>
      <w:r w:rsidR="0019037D" w:rsidRPr="006241D6">
        <w:rPr>
          <w:rFonts w:ascii="Arial" w:hAnsi="Arial" w:cs="Arial"/>
          <w:i/>
          <w:iCs/>
          <w:sz w:val="24"/>
          <w:szCs w:val="24"/>
        </w:rPr>
        <w:t xml:space="preserve">Tomassini v Dos </w:t>
      </w:r>
      <w:proofErr w:type="spellStart"/>
      <w:r w:rsidR="0019037D" w:rsidRPr="006241D6">
        <w:rPr>
          <w:rFonts w:ascii="Arial" w:hAnsi="Arial" w:cs="Arial"/>
          <w:i/>
          <w:iCs/>
          <w:sz w:val="24"/>
          <w:szCs w:val="24"/>
        </w:rPr>
        <w:t>Remedos</w:t>
      </w:r>
      <w:proofErr w:type="spellEnd"/>
      <w:r w:rsidR="0019037D" w:rsidRPr="006241D6">
        <w:rPr>
          <w:rFonts w:ascii="Arial" w:hAnsi="Arial" w:cs="Arial"/>
          <w:sz w:val="24"/>
          <w:szCs w:val="24"/>
        </w:rPr>
        <w:t>,</w:t>
      </w:r>
      <w:r w:rsidR="0019037D" w:rsidRPr="0019037D">
        <w:rPr>
          <w:vertAlign w:val="superscript"/>
        </w:rPr>
        <w:footnoteReference w:id="6"/>
      </w:r>
      <w:r w:rsidR="0019037D" w:rsidRPr="006241D6">
        <w:rPr>
          <w:rFonts w:ascii="Arial" w:hAnsi="Arial" w:cs="Arial"/>
          <w:sz w:val="24"/>
          <w:szCs w:val="24"/>
        </w:rPr>
        <w:t xml:space="preserve"> where the applicant had initially claimed specific performance of a contract regarding the sale of a business, only to apply, later, to amend his pleadings to claim damages after the sale could not be implemented. The court identified the main issue as being whether the parties had indeed </w:t>
      </w:r>
      <w:r w:rsidR="00205E58" w:rsidRPr="006241D6">
        <w:rPr>
          <w:rFonts w:ascii="Arial" w:hAnsi="Arial" w:cs="Arial"/>
          <w:sz w:val="24"/>
          <w:szCs w:val="24"/>
        </w:rPr>
        <w:t>concluded</w:t>
      </w:r>
      <w:r w:rsidR="0019037D" w:rsidRPr="006241D6">
        <w:rPr>
          <w:rFonts w:ascii="Arial" w:hAnsi="Arial" w:cs="Arial"/>
          <w:sz w:val="24"/>
          <w:szCs w:val="24"/>
        </w:rPr>
        <w:t xml:space="preserve"> a contract; this was common to either of the </w:t>
      </w:r>
      <w:r w:rsidR="00205E58" w:rsidRPr="006241D6">
        <w:rPr>
          <w:rFonts w:ascii="Arial" w:hAnsi="Arial" w:cs="Arial"/>
          <w:sz w:val="24"/>
          <w:szCs w:val="24"/>
        </w:rPr>
        <w:t xml:space="preserve">applicant’s </w:t>
      </w:r>
      <w:r w:rsidR="0019037D" w:rsidRPr="006241D6">
        <w:rPr>
          <w:rFonts w:ascii="Arial" w:hAnsi="Arial" w:cs="Arial"/>
          <w:sz w:val="24"/>
          <w:szCs w:val="24"/>
        </w:rPr>
        <w:t xml:space="preserve">claims </w:t>
      </w:r>
      <w:r w:rsidR="00205E58" w:rsidRPr="006241D6">
        <w:rPr>
          <w:rFonts w:ascii="Arial" w:hAnsi="Arial" w:cs="Arial"/>
          <w:sz w:val="24"/>
          <w:szCs w:val="24"/>
        </w:rPr>
        <w:t>in question</w:t>
      </w:r>
      <w:r w:rsidR="0019037D" w:rsidRPr="006241D6">
        <w:rPr>
          <w:rFonts w:ascii="Arial" w:hAnsi="Arial" w:cs="Arial"/>
          <w:sz w:val="24"/>
          <w:szCs w:val="24"/>
        </w:rPr>
        <w:t>. The amendment was allowed because the main issue stayed the same.</w:t>
      </w:r>
    </w:p>
    <w:p w14:paraId="05CD076B" w14:textId="77777777" w:rsidR="00E25856" w:rsidRPr="00E25856" w:rsidRDefault="00E25856" w:rsidP="00E25856">
      <w:pPr>
        <w:pStyle w:val="ListParagraph"/>
        <w:rPr>
          <w:rFonts w:ascii="Arial" w:hAnsi="Arial" w:cs="Arial"/>
          <w:sz w:val="24"/>
          <w:szCs w:val="24"/>
        </w:rPr>
      </w:pPr>
    </w:p>
    <w:p w14:paraId="04CEE6CE" w14:textId="628B618F"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143AE" w:rsidRPr="006241D6">
        <w:rPr>
          <w:rFonts w:ascii="Arial" w:hAnsi="Arial" w:cs="Arial"/>
          <w:sz w:val="24"/>
          <w:szCs w:val="24"/>
        </w:rPr>
        <w:t>I</w:t>
      </w:r>
      <w:r w:rsidR="00041EE6" w:rsidRPr="006241D6">
        <w:rPr>
          <w:rFonts w:ascii="Arial" w:hAnsi="Arial" w:cs="Arial"/>
          <w:sz w:val="24"/>
          <w:szCs w:val="24"/>
        </w:rPr>
        <w:t>t is important to observe</w:t>
      </w:r>
      <w:r w:rsidR="000143AE" w:rsidRPr="006241D6">
        <w:rPr>
          <w:rFonts w:ascii="Arial" w:hAnsi="Arial" w:cs="Arial"/>
          <w:sz w:val="24"/>
          <w:szCs w:val="24"/>
        </w:rPr>
        <w:t>, however,</w:t>
      </w:r>
      <w:r w:rsidR="00041EE6" w:rsidRPr="006241D6">
        <w:rPr>
          <w:rFonts w:ascii="Arial" w:hAnsi="Arial" w:cs="Arial"/>
          <w:sz w:val="24"/>
          <w:szCs w:val="24"/>
        </w:rPr>
        <w:t xml:space="preserve"> that the applicant </w:t>
      </w:r>
      <w:r w:rsidR="000143AE" w:rsidRPr="006241D6">
        <w:rPr>
          <w:rFonts w:ascii="Arial" w:hAnsi="Arial" w:cs="Arial"/>
          <w:sz w:val="24"/>
          <w:szCs w:val="24"/>
        </w:rPr>
        <w:t xml:space="preserve">in the present matter </w:t>
      </w:r>
      <w:r w:rsidR="00041EE6" w:rsidRPr="006241D6">
        <w:rPr>
          <w:rFonts w:ascii="Arial" w:hAnsi="Arial" w:cs="Arial"/>
          <w:sz w:val="24"/>
          <w:szCs w:val="24"/>
        </w:rPr>
        <w:t>has not denied the respondent’s allegation</w:t>
      </w:r>
      <w:r w:rsidR="006F11B8" w:rsidRPr="006241D6">
        <w:rPr>
          <w:rFonts w:ascii="Arial" w:hAnsi="Arial" w:cs="Arial"/>
          <w:sz w:val="24"/>
          <w:szCs w:val="24"/>
        </w:rPr>
        <w:t xml:space="preserve">s in its further affidavits to the effect that the project is complete. Consequently, there appears to be no basis upon which the applicant could persist in its prayers for the review and setting aside </w:t>
      </w:r>
      <w:r w:rsidR="00672E86" w:rsidRPr="006241D6">
        <w:rPr>
          <w:rFonts w:ascii="Arial" w:hAnsi="Arial" w:cs="Arial"/>
          <w:sz w:val="24"/>
          <w:szCs w:val="24"/>
        </w:rPr>
        <w:t>of</w:t>
      </w:r>
      <w:r w:rsidR="006F11B8" w:rsidRPr="006241D6">
        <w:rPr>
          <w:rFonts w:ascii="Arial" w:hAnsi="Arial" w:cs="Arial"/>
          <w:sz w:val="24"/>
          <w:szCs w:val="24"/>
        </w:rPr>
        <w:t xml:space="preserve"> the decision to nominate Shanti Africa Construction as the preferred bidder</w:t>
      </w:r>
      <w:r w:rsidR="00672E86" w:rsidRPr="006241D6">
        <w:rPr>
          <w:rFonts w:ascii="Arial" w:hAnsi="Arial" w:cs="Arial"/>
          <w:sz w:val="24"/>
          <w:szCs w:val="24"/>
        </w:rPr>
        <w:t xml:space="preserve">, </w:t>
      </w:r>
      <w:r w:rsidR="006F11B8" w:rsidRPr="006241D6">
        <w:rPr>
          <w:rFonts w:ascii="Arial" w:hAnsi="Arial" w:cs="Arial"/>
          <w:sz w:val="24"/>
          <w:szCs w:val="24"/>
        </w:rPr>
        <w:t>t</w:t>
      </w:r>
      <w:r w:rsidR="00672E86" w:rsidRPr="006241D6">
        <w:rPr>
          <w:rFonts w:ascii="Arial" w:hAnsi="Arial" w:cs="Arial"/>
          <w:sz w:val="24"/>
          <w:szCs w:val="24"/>
        </w:rPr>
        <w:t>he evaluation process, and the decision not to award any points to the applicant for its B-BBEE level of contribution. There also appears to be no basis upon which to seek the remittal of its bid.</w:t>
      </w:r>
      <w:r w:rsidR="00672E86">
        <w:rPr>
          <w:rStyle w:val="FootnoteReference"/>
          <w:rFonts w:ascii="Arial" w:hAnsi="Arial" w:cs="Arial"/>
          <w:sz w:val="24"/>
          <w:szCs w:val="24"/>
        </w:rPr>
        <w:footnoteReference w:id="7"/>
      </w:r>
      <w:r w:rsidR="00672E86" w:rsidRPr="006241D6">
        <w:rPr>
          <w:rFonts w:ascii="Arial" w:hAnsi="Arial" w:cs="Arial"/>
          <w:sz w:val="24"/>
          <w:szCs w:val="24"/>
        </w:rPr>
        <w:t xml:space="preserve"> </w:t>
      </w:r>
      <w:r w:rsidR="00205E58" w:rsidRPr="006241D6">
        <w:rPr>
          <w:rFonts w:ascii="Arial" w:hAnsi="Arial" w:cs="Arial"/>
          <w:sz w:val="24"/>
          <w:szCs w:val="24"/>
        </w:rPr>
        <w:t>To all intent and purposes, the dispute between the parties has become moot.</w:t>
      </w:r>
      <w:r w:rsidR="00672E86" w:rsidRPr="006241D6">
        <w:rPr>
          <w:rFonts w:ascii="Arial" w:hAnsi="Arial" w:cs="Arial"/>
          <w:sz w:val="24"/>
          <w:szCs w:val="24"/>
        </w:rPr>
        <w:t xml:space="preserve"> </w:t>
      </w:r>
      <w:r w:rsidR="00205E58" w:rsidRPr="006241D6">
        <w:rPr>
          <w:rFonts w:ascii="Arial" w:hAnsi="Arial" w:cs="Arial"/>
          <w:sz w:val="24"/>
          <w:szCs w:val="24"/>
        </w:rPr>
        <w:t>T</w:t>
      </w:r>
      <w:r w:rsidR="00672E86" w:rsidRPr="006241D6">
        <w:rPr>
          <w:rFonts w:ascii="Arial" w:hAnsi="Arial" w:cs="Arial"/>
          <w:sz w:val="24"/>
          <w:szCs w:val="24"/>
        </w:rPr>
        <w:t xml:space="preserve">he only remaining issue </w:t>
      </w:r>
      <w:r w:rsidR="00205E58" w:rsidRPr="006241D6">
        <w:rPr>
          <w:rFonts w:ascii="Arial" w:hAnsi="Arial" w:cs="Arial"/>
          <w:sz w:val="24"/>
          <w:szCs w:val="24"/>
        </w:rPr>
        <w:lastRenderedPageBreak/>
        <w:t>seems to be</w:t>
      </w:r>
      <w:r w:rsidR="00672E86" w:rsidRPr="006241D6">
        <w:rPr>
          <w:rFonts w:ascii="Arial" w:hAnsi="Arial" w:cs="Arial"/>
          <w:sz w:val="24"/>
          <w:szCs w:val="24"/>
        </w:rPr>
        <w:t xml:space="preserve"> that of </w:t>
      </w:r>
      <w:proofErr w:type="gramStart"/>
      <w:r w:rsidR="00672E86" w:rsidRPr="006241D6">
        <w:rPr>
          <w:rFonts w:ascii="Arial" w:hAnsi="Arial" w:cs="Arial"/>
          <w:sz w:val="24"/>
          <w:szCs w:val="24"/>
        </w:rPr>
        <w:t>costs, unless</w:t>
      </w:r>
      <w:proofErr w:type="gramEnd"/>
      <w:r w:rsidR="00672E86" w:rsidRPr="006241D6">
        <w:rPr>
          <w:rFonts w:ascii="Arial" w:hAnsi="Arial" w:cs="Arial"/>
          <w:sz w:val="24"/>
          <w:szCs w:val="24"/>
        </w:rPr>
        <w:t xml:space="preserve"> the applicant can place </w:t>
      </w:r>
      <w:r w:rsidR="00D745E4" w:rsidRPr="006241D6">
        <w:rPr>
          <w:rFonts w:ascii="Arial" w:hAnsi="Arial" w:cs="Arial"/>
          <w:sz w:val="24"/>
          <w:szCs w:val="24"/>
        </w:rPr>
        <w:t>new information before court in response to the respondent’s further affidavits (which it has so far failed to do)</w:t>
      </w:r>
      <w:r w:rsidR="00672E86" w:rsidRPr="006241D6">
        <w:rPr>
          <w:rFonts w:ascii="Arial" w:hAnsi="Arial" w:cs="Arial"/>
          <w:sz w:val="24"/>
          <w:szCs w:val="24"/>
        </w:rPr>
        <w:t>.</w:t>
      </w:r>
    </w:p>
    <w:p w14:paraId="5FF5C2AE" w14:textId="77777777" w:rsidR="00E25856" w:rsidRPr="00E25856" w:rsidRDefault="00E25856" w:rsidP="00E25856">
      <w:pPr>
        <w:pStyle w:val="ListParagraph"/>
        <w:rPr>
          <w:rFonts w:ascii="Arial" w:hAnsi="Arial" w:cs="Arial"/>
          <w:sz w:val="24"/>
          <w:szCs w:val="24"/>
        </w:rPr>
      </w:pPr>
    </w:p>
    <w:p w14:paraId="049379C2" w14:textId="7FE2408A" w:rsidR="00485F1D" w:rsidRPr="006241D6" w:rsidRDefault="006241D6" w:rsidP="006241D6">
      <w:pPr>
        <w:spacing w:line="360" w:lineRule="auto"/>
        <w:jc w:val="both"/>
        <w:rPr>
          <w:rFonts w:ascii="Arial" w:hAnsi="Arial" w:cs="Arial"/>
          <w:sz w:val="24"/>
          <w:szCs w:val="24"/>
        </w:rPr>
      </w:pPr>
      <w:r w:rsidRPr="00E25856">
        <w:rPr>
          <w:rFonts w:ascii="Arial" w:hAnsi="Arial" w:cs="Arial"/>
          <w:sz w:val="24"/>
          <w:szCs w:val="24"/>
        </w:rPr>
        <w:t>[17]</w:t>
      </w:r>
      <w:r w:rsidRPr="00E25856">
        <w:rPr>
          <w:rFonts w:ascii="Arial" w:hAnsi="Arial" w:cs="Arial"/>
          <w:sz w:val="24"/>
          <w:szCs w:val="24"/>
        </w:rPr>
        <w:tab/>
      </w:r>
      <w:r w:rsidR="00205E58" w:rsidRPr="006241D6">
        <w:rPr>
          <w:rFonts w:ascii="Arial" w:hAnsi="Arial" w:cs="Arial"/>
          <w:sz w:val="24"/>
          <w:szCs w:val="24"/>
        </w:rPr>
        <w:t>T</w:t>
      </w:r>
      <w:r w:rsidR="0019037D" w:rsidRPr="006241D6">
        <w:rPr>
          <w:rFonts w:ascii="Arial" w:hAnsi="Arial" w:cs="Arial"/>
          <w:sz w:val="24"/>
          <w:szCs w:val="24"/>
        </w:rPr>
        <w:t xml:space="preserve">he amendment </w:t>
      </w:r>
      <w:r w:rsidR="00205E58" w:rsidRPr="006241D6">
        <w:rPr>
          <w:rFonts w:ascii="Arial" w:hAnsi="Arial" w:cs="Arial"/>
          <w:sz w:val="24"/>
          <w:szCs w:val="24"/>
        </w:rPr>
        <w:t xml:space="preserve">sought by the applicant </w:t>
      </w:r>
      <w:r w:rsidR="00485F1D" w:rsidRPr="006241D6">
        <w:rPr>
          <w:rFonts w:ascii="Arial" w:hAnsi="Arial" w:cs="Arial"/>
          <w:sz w:val="24"/>
          <w:szCs w:val="24"/>
        </w:rPr>
        <w:t>would introduce</w:t>
      </w:r>
      <w:r w:rsidR="00C47FE2" w:rsidRPr="006241D6">
        <w:rPr>
          <w:rFonts w:ascii="Arial" w:hAnsi="Arial" w:cs="Arial"/>
          <w:sz w:val="24"/>
          <w:szCs w:val="24"/>
        </w:rPr>
        <w:t xml:space="preserve"> new</w:t>
      </w:r>
      <w:r w:rsidR="00D745E4" w:rsidRPr="006241D6">
        <w:rPr>
          <w:rFonts w:ascii="Arial" w:hAnsi="Arial" w:cs="Arial"/>
          <w:sz w:val="24"/>
          <w:szCs w:val="24"/>
        </w:rPr>
        <w:t xml:space="preserve"> </w:t>
      </w:r>
      <w:r w:rsidR="00C47FE2" w:rsidRPr="006241D6">
        <w:rPr>
          <w:rFonts w:ascii="Arial" w:hAnsi="Arial" w:cs="Arial"/>
          <w:sz w:val="24"/>
          <w:szCs w:val="24"/>
        </w:rPr>
        <w:t xml:space="preserve">issues. These are whether the applicant has suffered </w:t>
      </w:r>
      <w:r w:rsidR="006B69DF" w:rsidRPr="006241D6">
        <w:rPr>
          <w:rFonts w:ascii="Arial" w:hAnsi="Arial" w:cs="Arial"/>
          <w:sz w:val="24"/>
          <w:szCs w:val="24"/>
        </w:rPr>
        <w:t xml:space="preserve">a </w:t>
      </w:r>
      <w:r w:rsidR="00C47FE2" w:rsidRPr="006241D6">
        <w:rPr>
          <w:rFonts w:ascii="Arial" w:hAnsi="Arial" w:cs="Arial"/>
          <w:sz w:val="24"/>
          <w:szCs w:val="24"/>
        </w:rPr>
        <w:t xml:space="preserve">loss of profit and whether (and to what extent) the applicant </w:t>
      </w:r>
      <w:r w:rsidR="006B69DF" w:rsidRPr="006241D6">
        <w:rPr>
          <w:rFonts w:ascii="Arial" w:hAnsi="Arial" w:cs="Arial"/>
          <w:sz w:val="24"/>
          <w:szCs w:val="24"/>
        </w:rPr>
        <w:t>would be</w:t>
      </w:r>
      <w:r w:rsidR="00C47FE2" w:rsidRPr="006241D6">
        <w:rPr>
          <w:rFonts w:ascii="Arial" w:hAnsi="Arial" w:cs="Arial"/>
          <w:sz w:val="24"/>
          <w:szCs w:val="24"/>
        </w:rPr>
        <w:t xml:space="preserve"> entitled to just and equitable compensation.</w:t>
      </w:r>
      <w:r w:rsidR="006B69DF" w:rsidRPr="006241D6">
        <w:rPr>
          <w:rFonts w:ascii="Arial" w:hAnsi="Arial" w:cs="Arial"/>
          <w:sz w:val="24"/>
          <w:szCs w:val="24"/>
        </w:rPr>
        <w:t xml:space="preserve"> The immediate difficulty facing the applicant is </w:t>
      </w:r>
      <w:r w:rsidR="00835639" w:rsidRPr="006241D6">
        <w:rPr>
          <w:rFonts w:ascii="Arial" w:hAnsi="Arial" w:cs="Arial"/>
          <w:sz w:val="24"/>
          <w:szCs w:val="24"/>
        </w:rPr>
        <w:t xml:space="preserve">that </w:t>
      </w:r>
      <w:r w:rsidR="002407B7" w:rsidRPr="006241D6">
        <w:rPr>
          <w:rFonts w:ascii="Arial" w:hAnsi="Arial" w:cs="Arial"/>
          <w:sz w:val="24"/>
          <w:szCs w:val="24"/>
        </w:rPr>
        <w:t xml:space="preserve">there is little support </w:t>
      </w:r>
      <w:r w:rsidR="006B69DF" w:rsidRPr="006241D6">
        <w:rPr>
          <w:rFonts w:ascii="Arial" w:hAnsi="Arial" w:cs="Arial"/>
          <w:sz w:val="24"/>
          <w:szCs w:val="24"/>
        </w:rPr>
        <w:t>in the founding papers for the relief claimed</w:t>
      </w:r>
      <w:r w:rsidR="002407B7" w:rsidRPr="006241D6">
        <w:rPr>
          <w:rFonts w:ascii="Arial" w:hAnsi="Arial" w:cs="Arial"/>
          <w:sz w:val="24"/>
          <w:szCs w:val="24"/>
        </w:rPr>
        <w:t>. The closest that the applicant come</w:t>
      </w:r>
      <w:r w:rsidR="006B69DF" w:rsidRPr="006241D6">
        <w:rPr>
          <w:rFonts w:ascii="Arial" w:hAnsi="Arial" w:cs="Arial"/>
          <w:sz w:val="24"/>
          <w:szCs w:val="24"/>
        </w:rPr>
        <w:t>s</w:t>
      </w:r>
      <w:r w:rsidR="002407B7" w:rsidRPr="006241D6">
        <w:rPr>
          <w:rFonts w:ascii="Arial" w:hAnsi="Arial" w:cs="Arial"/>
          <w:sz w:val="24"/>
          <w:szCs w:val="24"/>
        </w:rPr>
        <w:t xml:space="preserve"> in th</w:t>
      </w:r>
      <w:r w:rsidR="00835639" w:rsidRPr="006241D6">
        <w:rPr>
          <w:rFonts w:ascii="Arial" w:hAnsi="Arial" w:cs="Arial"/>
          <w:sz w:val="24"/>
          <w:szCs w:val="24"/>
        </w:rPr>
        <w:t>is</w:t>
      </w:r>
      <w:r w:rsidR="002407B7" w:rsidRPr="006241D6">
        <w:rPr>
          <w:rFonts w:ascii="Arial" w:hAnsi="Arial" w:cs="Arial"/>
          <w:sz w:val="24"/>
          <w:szCs w:val="24"/>
        </w:rPr>
        <w:t xml:space="preserve"> regard is the following averment:</w:t>
      </w:r>
    </w:p>
    <w:p w14:paraId="74EF98F7" w14:textId="24AB65BA" w:rsidR="002407B7" w:rsidRPr="0019037D" w:rsidRDefault="002407B7" w:rsidP="00E25856">
      <w:pPr>
        <w:spacing w:line="360" w:lineRule="auto"/>
        <w:ind w:left="720"/>
        <w:jc w:val="both"/>
        <w:rPr>
          <w:rFonts w:ascii="Arial" w:hAnsi="Arial" w:cs="Arial"/>
          <w:sz w:val="20"/>
          <w:szCs w:val="20"/>
        </w:rPr>
      </w:pPr>
      <w:r w:rsidRPr="0019037D">
        <w:rPr>
          <w:rFonts w:ascii="Arial" w:hAnsi="Arial" w:cs="Arial"/>
          <w:sz w:val="20"/>
          <w:szCs w:val="20"/>
        </w:rPr>
        <w:t xml:space="preserve">‘Due to the respondent’s wrongful action, the applicant is suffering financial loss due to the fact that the applicant is losing out on the ability to make a profit from the project to which the tender relates and the ability to claim the credit which would come with having undertaken </w:t>
      </w:r>
      <w:r w:rsidR="00AA0CE9" w:rsidRPr="0019037D">
        <w:rPr>
          <w:rFonts w:ascii="Arial" w:hAnsi="Arial" w:cs="Arial"/>
          <w:sz w:val="20"/>
          <w:szCs w:val="20"/>
        </w:rPr>
        <w:t>the project and having completed it.’</w:t>
      </w:r>
    </w:p>
    <w:p w14:paraId="0ADBAC09" w14:textId="3FF806DA" w:rsidR="00AA0CE9" w:rsidRDefault="00AA0CE9" w:rsidP="00E25856">
      <w:pPr>
        <w:spacing w:line="240" w:lineRule="auto"/>
        <w:jc w:val="right"/>
        <w:rPr>
          <w:rFonts w:ascii="Arial" w:hAnsi="Arial" w:cs="Arial"/>
          <w:sz w:val="20"/>
          <w:szCs w:val="20"/>
        </w:rPr>
      </w:pPr>
      <w:r w:rsidRPr="0019037D">
        <w:rPr>
          <w:rFonts w:ascii="Arial" w:hAnsi="Arial" w:cs="Arial"/>
          <w:sz w:val="20"/>
          <w:szCs w:val="20"/>
        </w:rPr>
        <w:tab/>
      </w:r>
      <w:r w:rsidRPr="0019037D">
        <w:rPr>
          <w:rFonts w:ascii="Arial" w:hAnsi="Arial" w:cs="Arial"/>
          <w:sz w:val="20"/>
          <w:szCs w:val="20"/>
        </w:rPr>
        <w:tab/>
      </w:r>
      <w:r w:rsidRPr="0019037D">
        <w:rPr>
          <w:rFonts w:ascii="Arial" w:hAnsi="Arial" w:cs="Arial"/>
          <w:sz w:val="20"/>
          <w:szCs w:val="20"/>
        </w:rPr>
        <w:tab/>
      </w:r>
      <w:r w:rsidRPr="0019037D">
        <w:rPr>
          <w:rFonts w:ascii="Arial" w:hAnsi="Arial" w:cs="Arial"/>
          <w:sz w:val="20"/>
          <w:szCs w:val="20"/>
        </w:rPr>
        <w:tab/>
      </w:r>
      <w:r w:rsidRPr="0019037D">
        <w:rPr>
          <w:rFonts w:ascii="Arial" w:hAnsi="Arial" w:cs="Arial"/>
          <w:sz w:val="20"/>
          <w:szCs w:val="20"/>
        </w:rPr>
        <w:tab/>
      </w:r>
      <w:r w:rsidRPr="0019037D">
        <w:rPr>
          <w:rFonts w:ascii="Arial" w:hAnsi="Arial" w:cs="Arial"/>
          <w:sz w:val="20"/>
          <w:szCs w:val="20"/>
        </w:rPr>
        <w:tab/>
      </w:r>
      <w:r w:rsidRPr="0019037D">
        <w:rPr>
          <w:rFonts w:ascii="Arial" w:hAnsi="Arial" w:cs="Arial"/>
          <w:sz w:val="20"/>
          <w:szCs w:val="20"/>
        </w:rPr>
        <w:tab/>
        <w:t>[sic]</w:t>
      </w:r>
    </w:p>
    <w:p w14:paraId="292BBAAE" w14:textId="77777777" w:rsidR="00E25856" w:rsidRDefault="00E25856" w:rsidP="00E25856">
      <w:pPr>
        <w:spacing w:line="240" w:lineRule="auto"/>
        <w:jc w:val="right"/>
        <w:rPr>
          <w:rFonts w:ascii="Arial" w:hAnsi="Arial" w:cs="Arial"/>
          <w:sz w:val="20"/>
          <w:szCs w:val="20"/>
        </w:rPr>
      </w:pPr>
    </w:p>
    <w:p w14:paraId="156DB143" w14:textId="0582E633" w:rsidR="00B30833" w:rsidRPr="006241D6" w:rsidRDefault="006241D6" w:rsidP="006241D6">
      <w:pPr>
        <w:spacing w:line="360" w:lineRule="auto"/>
        <w:jc w:val="both"/>
        <w:rPr>
          <w:rFonts w:ascii="Arial" w:hAnsi="Arial" w:cs="Arial"/>
          <w:sz w:val="24"/>
          <w:szCs w:val="24"/>
        </w:rPr>
      </w:pPr>
      <w:r w:rsidRPr="00E25856">
        <w:rPr>
          <w:rFonts w:ascii="Arial" w:hAnsi="Arial" w:cs="Arial"/>
          <w:sz w:val="24"/>
          <w:szCs w:val="24"/>
        </w:rPr>
        <w:t>[18]</w:t>
      </w:r>
      <w:r w:rsidRPr="00E25856">
        <w:rPr>
          <w:rFonts w:ascii="Arial" w:hAnsi="Arial" w:cs="Arial"/>
          <w:sz w:val="24"/>
          <w:szCs w:val="24"/>
        </w:rPr>
        <w:tab/>
      </w:r>
      <w:r w:rsidR="00F756C3" w:rsidRPr="006241D6">
        <w:rPr>
          <w:rFonts w:ascii="Arial" w:hAnsi="Arial" w:cs="Arial"/>
          <w:sz w:val="24"/>
          <w:szCs w:val="24"/>
        </w:rPr>
        <w:t xml:space="preserve">Leaving aside the question of whether the applicant can, in these circumstances, convert its application to a claim for damages, as opposed to instituting action proceedings, the more serious difficulty is that the case law demonstrates that no claim lies for a loss of profit </w:t>
      </w:r>
      <w:r w:rsidR="00263C43" w:rsidRPr="006241D6">
        <w:rPr>
          <w:rFonts w:ascii="Arial" w:hAnsi="Arial" w:cs="Arial"/>
          <w:sz w:val="24"/>
          <w:szCs w:val="24"/>
        </w:rPr>
        <w:t>as a result of irregularities in the tender process.</w:t>
      </w:r>
      <w:r w:rsidR="00263C43">
        <w:rPr>
          <w:rStyle w:val="FootnoteReference"/>
          <w:rFonts w:ascii="Arial" w:hAnsi="Arial" w:cs="Arial"/>
          <w:sz w:val="24"/>
          <w:szCs w:val="24"/>
        </w:rPr>
        <w:footnoteReference w:id="8"/>
      </w:r>
      <w:r w:rsidR="00263C43" w:rsidRPr="006241D6">
        <w:rPr>
          <w:rFonts w:ascii="Arial" w:hAnsi="Arial" w:cs="Arial"/>
          <w:sz w:val="24"/>
          <w:szCs w:val="24"/>
        </w:rPr>
        <w:t xml:space="preserve"> Th</w:t>
      </w:r>
      <w:r w:rsidR="00F756C3" w:rsidRPr="006241D6">
        <w:rPr>
          <w:rFonts w:ascii="Arial" w:hAnsi="Arial" w:cs="Arial"/>
          <w:sz w:val="24"/>
          <w:szCs w:val="24"/>
        </w:rPr>
        <w:t>e claimant</w:t>
      </w:r>
      <w:r w:rsidR="00263C43" w:rsidRPr="006241D6">
        <w:rPr>
          <w:rFonts w:ascii="Arial" w:hAnsi="Arial" w:cs="Arial"/>
          <w:sz w:val="24"/>
          <w:szCs w:val="24"/>
        </w:rPr>
        <w:t xml:space="preserve"> is required to </w:t>
      </w:r>
      <w:r w:rsidR="00F756C3" w:rsidRPr="006241D6">
        <w:rPr>
          <w:rFonts w:ascii="Arial" w:hAnsi="Arial" w:cs="Arial"/>
          <w:sz w:val="24"/>
          <w:szCs w:val="24"/>
        </w:rPr>
        <w:t xml:space="preserve">prove </w:t>
      </w:r>
      <w:r w:rsidR="00F946CF" w:rsidRPr="006241D6">
        <w:rPr>
          <w:rFonts w:ascii="Arial" w:hAnsi="Arial" w:cs="Arial"/>
          <w:sz w:val="24"/>
          <w:szCs w:val="24"/>
        </w:rPr>
        <w:t xml:space="preserve">dishonest or fraudulent conduct on the part of </w:t>
      </w:r>
      <w:r w:rsidR="00B30833" w:rsidRPr="006241D6">
        <w:rPr>
          <w:rFonts w:ascii="Arial" w:hAnsi="Arial" w:cs="Arial"/>
          <w:sz w:val="24"/>
          <w:szCs w:val="24"/>
        </w:rPr>
        <w:t>the defendant</w:t>
      </w:r>
      <w:r w:rsidR="00F946CF" w:rsidRPr="006241D6">
        <w:rPr>
          <w:rFonts w:ascii="Arial" w:hAnsi="Arial" w:cs="Arial"/>
          <w:sz w:val="24"/>
          <w:szCs w:val="24"/>
        </w:rPr>
        <w:t>’s officials before any such claim will be entertained</w:t>
      </w:r>
      <w:r w:rsidR="00B30833" w:rsidRPr="006241D6">
        <w:rPr>
          <w:rFonts w:ascii="Arial" w:hAnsi="Arial" w:cs="Arial"/>
          <w:sz w:val="24"/>
          <w:szCs w:val="24"/>
        </w:rPr>
        <w:t>.</w:t>
      </w:r>
      <w:r w:rsidR="00F946CF">
        <w:rPr>
          <w:rStyle w:val="FootnoteReference"/>
          <w:rFonts w:ascii="Arial" w:hAnsi="Arial" w:cs="Arial"/>
          <w:sz w:val="24"/>
          <w:szCs w:val="24"/>
        </w:rPr>
        <w:footnoteReference w:id="9"/>
      </w:r>
      <w:r w:rsidR="00B30833" w:rsidRPr="006241D6">
        <w:rPr>
          <w:rFonts w:ascii="Arial" w:hAnsi="Arial" w:cs="Arial"/>
          <w:sz w:val="24"/>
          <w:szCs w:val="24"/>
        </w:rPr>
        <w:t xml:space="preserve"> Th</w:t>
      </w:r>
      <w:r w:rsidR="00A34B7F" w:rsidRPr="006241D6">
        <w:rPr>
          <w:rFonts w:ascii="Arial" w:hAnsi="Arial" w:cs="Arial"/>
          <w:sz w:val="24"/>
          <w:szCs w:val="24"/>
        </w:rPr>
        <w:t xml:space="preserve">e principle was confirmed by </w:t>
      </w:r>
      <w:r w:rsidR="00B30833" w:rsidRPr="006241D6">
        <w:rPr>
          <w:rFonts w:ascii="Arial" w:hAnsi="Arial" w:cs="Arial"/>
          <w:sz w:val="24"/>
          <w:szCs w:val="24"/>
        </w:rPr>
        <w:t xml:space="preserve">the Constitutional Court in </w:t>
      </w:r>
      <w:r w:rsidR="00B30833" w:rsidRPr="006241D6">
        <w:rPr>
          <w:rFonts w:ascii="Arial" w:hAnsi="Arial" w:cs="Arial"/>
          <w:i/>
          <w:iCs/>
          <w:sz w:val="24"/>
          <w:szCs w:val="24"/>
        </w:rPr>
        <w:t>Steenkamp NO v Provincial Tender Board, Eastern Cape</w:t>
      </w:r>
      <w:r w:rsidR="00B30833" w:rsidRPr="006241D6">
        <w:rPr>
          <w:rFonts w:ascii="Arial" w:hAnsi="Arial" w:cs="Arial"/>
          <w:sz w:val="24"/>
          <w:szCs w:val="24"/>
        </w:rPr>
        <w:t>,</w:t>
      </w:r>
      <w:r w:rsidR="00B30833">
        <w:rPr>
          <w:rStyle w:val="FootnoteReference"/>
          <w:rFonts w:ascii="Arial" w:hAnsi="Arial" w:cs="Arial"/>
          <w:sz w:val="24"/>
          <w:szCs w:val="24"/>
        </w:rPr>
        <w:footnoteReference w:id="10"/>
      </w:r>
      <w:r w:rsidR="00B30833" w:rsidRPr="006241D6">
        <w:rPr>
          <w:rFonts w:ascii="Arial" w:hAnsi="Arial" w:cs="Arial"/>
          <w:sz w:val="24"/>
          <w:szCs w:val="24"/>
        </w:rPr>
        <w:t xml:space="preserve"> where </w:t>
      </w:r>
      <w:proofErr w:type="spellStart"/>
      <w:r w:rsidR="00B30833" w:rsidRPr="006241D6">
        <w:rPr>
          <w:rFonts w:ascii="Arial" w:hAnsi="Arial" w:cs="Arial"/>
          <w:sz w:val="24"/>
          <w:szCs w:val="24"/>
        </w:rPr>
        <w:t>Moseneke</w:t>
      </w:r>
      <w:proofErr w:type="spellEnd"/>
      <w:r w:rsidR="00B30833" w:rsidRPr="006241D6">
        <w:rPr>
          <w:rFonts w:ascii="Arial" w:hAnsi="Arial" w:cs="Arial"/>
          <w:sz w:val="24"/>
          <w:szCs w:val="24"/>
        </w:rPr>
        <w:t xml:space="preserve"> D</w:t>
      </w:r>
      <w:r w:rsidR="004D0363" w:rsidRPr="006241D6">
        <w:rPr>
          <w:rFonts w:ascii="Arial" w:hAnsi="Arial" w:cs="Arial"/>
          <w:sz w:val="24"/>
          <w:szCs w:val="24"/>
        </w:rPr>
        <w:t>CJ</w:t>
      </w:r>
      <w:r w:rsidR="00B30833" w:rsidRPr="006241D6">
        <w:rPr>
          <w:rFonts w:ascii="Arial" w:hAnsi="Arial" w:cs="Arial"/>
          <w:sz w:val="24"/>
          <w:szCs w:val="24"/>
        </w:rPr>
        <w:t xml:space="preserve"> held</w:t>
      </w:r>
      <w:r w:rsidR="004D0363" w:rsidRPr="006241D6">
        <w:rPr>
          <w:rFonts w:ascii="Arial" w:hAnsi="Arial" w:cs="Arial"/>
          <w:sz w:val="24"/>
          <w:szCs w:val="24"/>
        </w:rPr>
        <w:t xml:space="preserve"> that</w:t>
      </w:r>
      <w:r w:rsidR="00B30833" w:rsidRPr="006241D6">
        <w:rPr>
          <w:rFonts w:ascii="Arial" w:hAnsi="Arial" w:cs="Arial"/>
          <w:sz w:val="24"/>
          <w:szCs w:val="24"/>
        </w:rPr>
        <w:t>:</w:t>
      </w:r>
    </w:p>
    <w:p w14:paraId="525A6EE7" w14:textId="3A324464" w:rsidR="00B30833" w:rsidRPr="004D0363" w:rsidRDefault="00B30833" w:rsidP="00E25856">
      <w:pPr>
        <w:spacing w:line="360" w:lineRule="auto"/>
        <w:ind w:left="720"/>
        <w:jc w:val="both"/>
        <w:rPr>
          <w:rFonts w:ascii="Arial" w:hAnsi="Arial" w:cs="Arial"/>
          <w:sz w:val="20"/>
          <w:szCs w:val="20"/>
        </w:rPr>
      </w:pPr>
      <w:r w:rsidRPr="004D0363">
        <w:rPr>
          <w:rFonts w:ascii="Arial" w:hAnsi="Arial" w:cs="Arial"/>
          <w:sz w:val="20"/>
          <w:szCs w:val="20"/>
        </w:rPr>
        <w:t>‘…Compelling public considerations require that adjudicators of disputes, as of competing tenders, are immune from damages claims in respect of their incorrect or negligent but honest decisions. However, if an administrative or statutory decision is made in bad faith or under corrupt circumstances or completely outside the legitimate scope of the empowering provision, different public considerations may well apply.</w:t>
      </w:r>
    </w:p>
    <w:p w14:paraId="314DA92A" w14:textId="588A60D4" w:rsidR="00AA0CE9" w:rsidRDefault="00B30833" w:rsidP="00E25856">
      <w:pPr>
        <w:spacing w:line="360" w:lineRule="auto"/>
        <w:ind w:left="720"/>
        <w:jc w:val="both"/>
        <w:rPr>
          <w:rFonts w:ascii="Arial" w:hAnsi="Arial" w:cs="Arial"/>
          <w:sz w:val="24"/>
          <w:szCs w:val="24"/>
        </w:rPr>
      </w:pPr>
      <w:r w:rsidRPr="004D0363">
        <w:rPr>
          <w:rFonts w:ascii="Arial" w:hAnsi="Arial" w:cs="Arial"/>
          <w:sz w:val="20"/>
          <w:szCs w:val="20"/>
        </w:rPr>
        <w:lastRenderedPageBreak/>
        <w:t xml:space="preserve">… Imposing </w:t>
      </w:r>
      <w:proofErr w:type="spellStart"/>
      <w:r w:rsidRPr="004D0363">
        <w:rPr>
          <w:rFonts w:ascii="Arial" w:hAnsi="Arial" w:cs="Arial"/>
          <w:sz w:val="20"/>
          <w:szCs w:val="20"/>
        </w:rPr>
        <w:t>delictual</w:t>
      </w:r>
      <w:proofErr w:type="spellEnd"/>
      <w:r w:rsidRPr="004D0363">
        <w:rPr>
          <w:rFonts w:ascii="Arial" w:hAnsi="Arial" w:cs="Arial"/>
          <w:sz w:val="20"/>
          <w:szCs w:val="20"/>
        </w:rPr>
        <w:t xml:space="preserve"> liability on the negligent performance of functions of tender boards would open the prospect of potential claims of tenderers who had won initially. This will be to the detriment of the invaluable public role</w:t>
      </w:r>
      <w:r w:rsidR="004D0363" w:rsidRPr="004D0363">
        <w:rPr>
          <w:rFonts w:ascii="Arial" w:hAnsi="Arial" w:cs="Arial"/>
          <w:sz w:val="20"/>
          <w:szCs w:val="20"/>
        </w:rPr>
        <w:t xml:space="preserve"> of tender boards. A potential </w:t>
      </w:r>
      <w:proofErr w:type="spellStart"/>
      <w:r w:rsidR="004D0363" w:rsidRPr="004D0363">
        <w:rPr>
          <w:rFonts w:ascii="Arial" w:hAnsi="Arial" w:cs="Arial"/>
          <w:sz w:val="20"/>
          <w:szCs w:val="20"/>
        </w:rPr>
        <w:t>delictual</w:t>
      </w:r>
      <w:proofErr w:type="spellEnd"/>
      <w:r w:rsidR="004D0363" w:rsidRPr="004D0363">
        <w:rPr>
          <w:rFonts w:ascii="Arial" w:hAnsi="Arial" w:cs="Arial"/>
          <w:sz w:val="20"/>
          <w:szCs w:val="20"/>
        </w:rPr>
        <w:t xml:space="preserve"> claim by every successful tenderer whose award is upset by a court order would cast a long shadow over the decisions of tender boards. Tender boards would have to face review proceedings brought by aggrieved unsuccessful tenderers. And should the tender be set aside it would then have to contend with the prospect of another bout of claims for damages by the initially successful tenderer. In my view this spiral of litigation is likely to delay, if not weaken the effectiveness of or grind to a stop the tender process. That would be to the considerable detriment of the public at large. The resources of our state treasury, seen against the backdrop of vast public needs, are indeed meagre. The fiscus will ill-afford to recompense by way of damages, disappointed or initially successful tenderers and </w:t>
      </w:r>
      <w:proofErr w:type="gramStart"/>
      <w:r w:rsidR="004D0363" w:rsidRPr="004D0363">
        <w:rPr>
          <w:rFonts w:ascii="Arial" w:hAnsi="Arial" w:cs="Arial"/>
          <w:sz w:val="20"/>
          <w:szCs w:val="20"/>
        </w:rPr>
        <w:t>still remain</w:t>
      </w:r>
      <w:proofErr w:type="gramEnd"/>
      <w:r w:rsidR="004D0363" w:rsidRPr="004D0363">
        <w:rPr>
          <w:rFonts w:ascii="Arial" w:hAnsi="Arial" w:cs="Arial"/>
          <w:sz w:val="20"/>
          <w:szCs w:val="20"/>
        </w:rPr>
        <w:t xml:space="preserve"> with the need to procure the same goods or services.’</w:t>
      </w:r>
      <w:r w:rsidR="004D0363" w:rsidRPr="004D0363">
        <w:rPr>
          <w:rStyle w:val="FootnoteReference"/>
          <w:rFonts w:ascii="Arial" w:hAnsi="Arial" w:cs="Arial"/>
          <w:sz w:val="20"/>
          <w:szCs w:val="20"/>
        </w:rPr>
        <w:footnoteReference w:id="11"/>
      </w:r>
      <w:r>
        <w:rPr>
          <w:rFonts w:ascii="Arial" w:hAnsi="Arial" w:cs="Arial"/>
          <w:sz w:val="24"/>
          <w:szCs w:val="24"/>
        </w:rPr>
        <w:t xml:space="preserve"> </w:t>
      </w:r>
    </w:p>
    <w:p w14:paraId="4FB19CFA" w14:textId="77777777" w:rsidR="00E25856" w:rsidRDefault="00E25856" w:rsidP="00E25856">
      <w:pPr>
        <w:spacing w:line="360" w:lineRule="auto"/>
        <w:ind w:left="720"/>
        <w:jc w:val="both"/>
        <w:rPr>
          <w:rFonts w:ascii="Arial" w:hAnsi="Arial" w:cs="Arial"/>
          <w:sz w:val="24"/>
          <w:szCs w:val="24"/>
        </w:rPr>
      </w:pPr>
    </w:p>
    <w:p w14:paraId="2ADC76D9" w14:textId="1BD1A061"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D0363" w:rsidRPr="006241D6">
        <w:rPr>
          <w:rFonts w:ascii="Arial" w:hAnsi="Arial" w:cs="Arial"/>
          <w:sz w:val="24"/>
          <w:szCs w:val="24"/>
        </w:rPr>
        <w:t>The above approach has been followed consistently by our courts.</w:t>
      </w:r>
      <w:r w:rsidR="00A34B7F">
        <w:rPr>
          <w:rStyle w:val="FootnoteReference"/>
          <w:rFonts w:ascii="Arial" w:hAnsi="Arial" w:cs="Arial"/>
          <w:sz w:val="24"/>
          <w:szCs w:val="24"/>
        </w:rPr>
        <w:footnoteReference w:id="12"/>
      </w:r>
    </w:p>
    <w:p w14:paraId="53BB139C" w14:textId="77777777" w:rsidR="00E25856" w:rsidRDefault="00E25856" w:rsidP="00E25856">
      <w:pPr>
        <w:pStyle w:val="ListParagraph"/>
        <w:spacing w:line="360" w:lineRule="auto"/>
        <w:ind w:left="0"/>
        <w:jc w:val="both"/>
        <w:rPr>
          <w:rFonts w:ascii="Arial" w:hAnsi="Arial" w:cs="Arial"/>
          <w:sz w:val="24"/>
          <w:szCs w:val="24"/>
        </w:rPr>
      </w:pPr>
    </w:p>
    <w:p w14:paraId="5AEC8C25" w14:textId="33C5587E" w:rsidR="00E25856" w:rsidRPr="006241D6" w:rsidRDefault="006241D6" w:rsidP="006241D6">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05B2F" w:rsidRPr="006241D6">
        <w:rPr>
          <w:rFonts w:ascii="Arial" w:hAnsi="Arial" w:cs="Arial"/>
          <w:sz w:val="24"/>
          <w:szCs w:val="24"/>
        </w:rPr>
        <w:t xml:space="preserve">In the present matter, the applicant makes no allegation that the conduct of the respondent’s officials was dishonest or fraudulent. There is </w:t>
      </w:r>
      <w:r w:rsidR="00835639" w:rsidRPr="006241D6">
        <w:rPr>
          <w:rFonts w:ascii="Arial" w:hAnsi="Arial" w:cs="Arial"/>
          <w:sz w:val="24"/>
          <w:szCs w:val="24"/>
        </w:rPr>
        <w:t xml:space="preserve">no </w:t>
      </w:r>
      <w:r w:rsidR="00205B2F" w:rsidRPr="006241D6">
        <w:rPr>
          <w:rFonts w:ascii="Arial" w:hAnsi="Arial" w:cs="Arial"/>
          <w:sz w:val="24"/>
          <w:szCs w:val="24"/>
        </w:rPr>
        <w:t>evidence at all to that e</w:t>
      </w:r>
      <w:r w:rsidR="00D17503" w:rsidRPr="006241D6">
        <w:rPr>
          <w:rFonts w:ascii="Arial" w:hAnsi="Arial" w:cs="Arial"/>
          <w:sz w:val="24"/>
          <w:szCs w:val="24"/>
        </w:rPr>
        <w:t>ffect</w:t>
      </w:r>
      <w:r w:rsidR="00205B2F" w:rsidRPr="006241D6">
        <w:rPr>
          <w:rFonts w:ascii="Arial" w:hAnsi="Arial" w:cs="Arial"/>
          <w:sz w:val="24"/>
          <w:szCs w:val="24"/>
        </w:rPr>
        <w:t xml:space="preserve">. </w:t>
      </w:r>
    </w:p>
    <w:p w14:paraId="203766C6" w14:textId="77777777" w:rsidR="00E25856" w:rsidRPr="00E25856" w:rsidRDefault="00E25856" w:rsidP="00E25856">
      <w:pPr>
        <w:pStyle w:val="ListParagraph"/>
        <w:rPr>
          <w:rFonts w:ascii="Arial" w:hAnsi="Arial" w:cs="Arial"/>
          <w:sz w:val="24"/>
          <w:szCs w:val="24"/>
        </w:rPr>
      </w:pPr>
    </w:p>
    <w:p w14:paraId="29804357" w14:textId="496AC8CA" w:rsidR="00205B2F" w:rsidRPr="006241D6" w:rsidRDefault="006241D6" w:rsidP="006241D6">
      <w:pPr>
        <w:spacing w:line="360" w:lineRule="auto"/>
        <w:jc w:val="both"/>
        <w:rPr>
          <w:rFonts w:ascii="Arial" w:hAnsi="Arial" w:cs="Arial"/>
          <w:sz w:val="24"/>
          <w:szCs w:val="24"/>
        </w:rPr>
      </w:pPr>
      <w:r w:rsidRPr="00E25856">
        <w:rPr>
          <w:rFonts w:ascii="Arial" w:hAnsi="Arial" w:cs="Arial"/>
          <w:sz w:val="24"/>
          <w:szCs w:val="24"/>
        </w:rPr>
        <w:t>[21]</w:t>
      </w:r>
      <w:r w:rsidRPr="00E25856">
        <w:rPr>
          <w:rFonts w:ascii="Arial" w:hAnsi="Arial" w:cs="Arial"/>
          <w:sz w:val="24"/>
          <w:szCs w:val="24"/>
        </w:rPr>
        <w:tab/>
      </w:r>
      <w:r w:rsidR="00205B2F" w:rsidRPr="006241D6">
        <w:rPr>
          <w:rFonts w:ascii="Arial" w:hAnsi="Arial" w:cs="Arial"/>
          <w:sz w:val="24"/>
          <w:szCs w:val="24"/>
        </w:rPr>
        <w:t>Similarly, regarding the claim for just and equitable compensation, the applicant has not demonstrated why this is an exceptional case, such that an order directing the respondent to pay compensation would be warranted. The provisions of section 8(1)(c)</w:t>
      </w:r>
      <w:r w:rsidR="000412C9" w:rsidRPr="006241D6">
        <w:rPr>
          <w:rFonts w:ascii="Arial" w:hAnsi="Arial" w:cs="Arial"/>
          <w:sz w:val="24"/>
          <w:szCs w:val="24"/>
        </w:rPr>
        <w:t>(</w:t>
      </w:r>
      <w:proofErr w:type="gramStart"/>
      <w:r w:rsidR="000412C9" w:rsidRPr="006241D6">
        <w:rPr>
          <w:rFonts w:ascii="Arial" w:hAnsi="Arial" w:cs="Arial"/>
          <w:sz w:val="24"/>
          <w:szCs w:val="24"/>
        </w:rPr>
        <w:t>ii)</w:t>
      </w:r>
      <w:r w:rsidR="000E71EB" w:rsidRPr="006241D6">
        <w:rPr>
          <w:rFonts w:ascii="Arial" w:hAnsi="Arial" w:cs="Arial"/>
          <w:sz w:val="24"/>
          <w:szCs w:val="24"/>
        </w:rPr>
        <w:t>(</w:t>
      </w:r>
      <w:proofErr w:type="gramEnd"/>
      <w:r w:rsidR="000E71EB" w:rsidRPr="006241D6">
        <w:rPr>
          <w:rFonts w:ascii="Arial" w:hAnsi="Arial" w:cs="Arial"/>
          <w:sz w:val="24"/>
          <w:szCs w:val="24"/>
        </w:rPr>
        <w:t>bb)</w:t>
      </w:r>
      <w:r w:rsidR="000412C9" w:rsidRPr="006241D6">
        <w:rPr>
          <w:rFonts w:ascii="Arial" w:hAnsi="Arial" w:cs="Arial"/>
          <w:sz w:val="24"/>
          <w:szCs w:val="24"/>
        </w:rPr>
        <w:t xml:space="preserve"> </w:t>
      </w:r>
      <w:r w:rsidR="00A553BC" w:rsidRPr="006241D6">
        <w:rPr>
          <w:rFonts w:ascii="Arial" w:hAnsi="Arial" w:cs="Arial"/>
          <w:sz w:val="24"/>
          <w:szCs w:val="24"/>
        </w:rPr>
        <w:t xml:space="preserve">of the Promotion of Administrative Justice Act 3 of 2000 (‘PAJA’) </w:t>
      </w:r>
      <w:r w:rsidR="000412C9" w:rsidRPr="006241D6">
        <w:rPr>
          <w:rFonts w:ascii="Arial" w:hAnsi="Arial" w:cs="Arial"/>
          <w:sz w:val="24"/>
          <w:szCs w:val="24"/>
        </w:rPr>
        <w:t>are clear:</w:t>
      </w:r>
    </w:p>
    <w:p w14:paraId="7DB8ED12" w14:textId="28AD1CB2" w:rsidR="000412C9" w:rsidRPr="00A553BC" w:rsidRDefault="000412C9" w:rsidP="00E25856">
      <w:pPr>
        <w:spacing w:line="360" w:lineRule="auto"/>
        <w:ind w:left="720"/>
        <w:jc w:val="both"/>
        <w:rPr>
          <w:rFonts w:ascii="Arial" w:hAnsi="Arial" w:cs="Arial"/>
          <w:sz w:val="20"/>
          <w:szCs w:val="20"/>
        </w:rPr>
      </w:pPr>
      <w:r w:rsidRPr="00A553BC">
        <w:rPr>
          <w:rFonts w:ascii="Arial" w:hAnsi="Arial" w:cs="Arial"/>
          <w:sz w:val="20"/>
          <w:szCs w:val="20"/>
        </w:rPr>
        <w:t>‘</w:t>
      </w:r>
      <w:r w:rsidRPr="00A553BC">
        <w:rPr>
          <w:rFonts w:ascii="Arial" w:hAnsi="Arial" w:cs="Arial"/>
          <w:b/>
          <w:bCs/>
          <w:sz w:val="20"/>
          <w:szCs w:val="20"/>
        </w:rPr>
        <w:t xml:space="preserve">8. </w:t>
      </w:r>
      <w:r w:rsidRPr="00A553BC">
        <w:rPr>
          <w:rFonts w:ascii="Arial" w:hAnsi="Arial" w:cs="Arial"/>
          <w:b/>
          <w:bCs/>
          <w:sz w:val="20"/>
          <w:szCs w:val="20"/>
        </w:rPr>
        <w:tab/>
        <w:t xml:space="preserve">Remedies in proceedings for judicial </w:t>
      </w:r>
      <w:proofErr w:type="gramStart"/>
      <w:r w:rsidRPr="00A553BC">
        <w:rPr>
          <w:rFonts w:ascii="Arial" w:hAnsi="Arial" w:cs="Arial"/>
          <w:b/>
          <w:bCs/>
          <w:sz w:val="20"/>
          <w:szCs w:val="20"/>
        </w:rPr>
        <w:t>review</w:t>
      </w:r>
      <w:r w:rsidRPr="00A553BC">
        <w:rPr>
          <w:rFonts w:ascii="Arial" w:hAnsi="Arial" w:cs="Arial"/>
          <w:sz w:val="20"/>
          <w:szCs w:val="20"/>
        </w:rPr>
        <w:t>.—</w:t>
      </w:r>
      <w:proofErr w:type="gramEnd"/>
      <w:r w:rsidRPr="00A553BC">
        <w:rPr>
          <w:rFonts w:ascii="Arial" w:hAnsi="Arial" w:cs="Arial"/>
          <w:sz w:val="20"/>
          <w:szCs w:val="20"/>
        </w:rPr>
        <w:t>(1)</w:t>
      </w:r>
      <w:r w:rsidRPr="00A553BC">
        <w:rPr>
          <w:rFonts w:ascii="Arial" w:hAnsi="Arial" w:cs="Arial"/>
          <w:sz w:val="20"/>
          <w:szCs w:val="20"/>
        </w:rPr>
        <w:tab/>
        <w:t>The court or tribunal, in proceedings for judicial review in terms of section 6(1), may grant any order that is just and equitable, including orders–</w:t>
      </w:r>
    </w:p>
    <w:p w14:paraId="3B5CAF6B" w14:textId="7E85CF4F" w:rsidR="000412C9" w:rsidRPr="006241D6" w:rsidRDefault="006241D6" w:rsidP="006241D6">
      <w:pPr>
        <w:spacing w:line="360" w:lineRule="auto"/>
        <w:ind w:left="1080" w:firstLine="270"/>
        <w:jc w:val="both"/>
        <w:rPr>
          <w:rFonts w:ascii="Arial" w:hAnsi="Arial" w:cs="Arial"/>
          <w:sz w:val="20"/>
          <w:szCs w:val="20"/>
        </w:rPr>
      </w:pPr>
      <w:r w:rsidRPr="00A553BC">
        <w:rPr>
          <w:rFonts w:ascii="Arial" w:hAnsi="Arial" w:cs="Arial"/>
          <w:sz w:val="20"/>
          <w:szCs w:val="20"/>
        </w:rPr>
        <w:t>(a)</w:t>
      </w:r>
      <w:r w:rsidRPr="00A553BC">
        <w:rPr>
          <w:rFonts w:ascii="Arial" w:hAnsi="Arial" w:cs="Arial"/>
          <w:sz w:val="20"/>
          <w:szCs w:val="20"/>
        </w:rPr>
        <w:tab/>
      </w:r>
      <w:r w:rsidR="000412C9" w:rsidRPr="006241D6">
        <w:rPr>
          <w:rFonts w:ascii="Arial" w:hAnsi="Arial" w:cs="Arial"/>
          <w:sz w:val="20"/>
          <w:szCs w:val="20"/>
        </w:rPr>
        <w:t>…</w:t>
      </w:r>
    </w:p>
    <w:p w14:paraId="12926DC6" w14:textId="5C34E0DC" w:rsidR="000412C9" w:rsidRPr="006241D6" w:rsidRDefault="006241D6" w:rsidP="006241D6">
      <w:pPr>
        <w:spacing w:line="360" w:lineRule="auto"/>
        <w:ind w:left="1080" w:firstLine="270"/>
        <w:jc w:val="both"/>
        <w:rPr>
          <w:rFonts w:ascii="Arial" w:hAnsi="Arial" w:cs="Arial"/>
          <w:sz w:val="20"/>
          <w:szCs w:val="20"/>
        </w:rPr>
      </w:pPr>
      <w:r w:rsidRPr="00A553BC">
        <w:rPr>
          <w:rFonts w:ascii="Arial" w:hAnsi="Arial" w:cs="Arial"/>
          <w:sz w:val="20"/>
          <w:szCs w:val="20"/>
        </w:rPr>
        <w:t>(b)</w:t>
      </w:r>
      <w:r w:rsidRPr="00A553BC">
        <w:rPr>
          <w:rFonts w:ascii="Arial" w:hAnsi="Arial" w:cs="Arial"/>
          <w:sz w:val="20"/>
          <w:szCs w:val="20"/>
        </w:rPr>
        <w:tab/>
      </w:r>
      <w:r w:rsidR="000412C9" w:rsidRPr="006241D6">
        <w:rPr>
          <w:rFonts w:ascii="Arial" w:hAnsi="Arial" w:cs="Arial"/>
          <w:sz w:val="20"/>
          <w:szCs w:val="20"/>
        </w:rPr>
        <w:t>…</w:t>
      </w:r>
    </w:p>
    <w:p w14:paraId="2CC6E45A" w14:textId="5431357C" w:rsidR="000412C9" w:rsidRPr="006241D6" w:rsidRDefault="006241D6" w:rsidP="006241D6">
      <w:pPr>
        <w:spacing w:line="360" w:lineRule="auto"/>
        <w:ind w:left="1080" w:firstLine="270"/>
        <w:jc w:val="both"/>
        <w:rPr>
          <w:rFonts w:ascii="Arial" w:hAnsi="Arial" w:cs="Arial"/>
          <w:sz w:val="20"/>
          <w:szCs w:val="20"/>
        </w:rPr>
      </w:pPr>
      <w:r w:rsidRPr="00A553BC">
        <w:rPr>
          <w:rFonts w:ascii="Arial" w:hAnsi="Arial" w:cs="Arial"/>
          <w:sz w:val="20"/>
          <w:szCs w:val="20"/>
        </w:rPr>
        <w:lastRenderedPageBreak/>
        <w:t>(c)</w:t>
      </w:r>
      <w:r w:rsidRPr="00A553BC">
        <w:rPr>
          <w:rFonts w:ascii="Arial" w:hAnsi="Arial" w:cs="Arial"/>
          <w:sz w:val="20"/>
          <w:szCs w:val="20"/>
        </w:rPr>
        <w:tab/>
      </w:r>
      <w:r w:rsidR="000412C9" w:rsidRPr="006241D6">
        <w:rPr>
          <w:rFonts w:ascii="Arial" w:hAnsi="Arial" w:cs="Arial"/>
          <w:sz w:val="20"/>
          <w:szCs w:val="20"/>
        </w:rPr>
        <w:t>setting aside the administrative action and–</w:t>
      </w:r>
    </w:p>
    <w:p w14:paraId="6D44246A" w14:textId="37295D8F" w:rsidR="000412C9" w:rsidRPr="006241D6" w:rsidRDefault="006241D6" w:rsidP="006241D6">
      <w:pPr>
        <w:spacing w:line="360" w:lineRule="auto"/>
        <w:ind w:left="1800" w:firstLine="450"/>
        <w:jc w:val="both"/>
        <w:rPr>
          <w:rFonts w:ascii="Arial" w:hAnsi="Arial" w:cs="Arial"/>
          <w:sz w:val="20"/>
          <w:szCs w:val="20"/>
        </w:rPr>
      </w:pPr>
      <w:r w:rsidRPr="00A553BC">
        <w:rPr>
          <w:rFonts w:ascii="Arial" w:hAnsi="Arial" w:cs="Arial"/>
          <w:sz w:val="20"/>
          <w:szCs w:val="20"/>
        </w:rPr>
        <w:t>(</w:t>
      </w:r>
      <w:proofErr w:type="spellStart"/>
      <w:r w:rsidRPr="00A553BC">
        <w:rPr>
          <w:rFonts w:ascii="Arial" w:hAnsi="Arial" w:cs="Arial"/>
          <w:sz w:val="20"/>
          <w:szCs w:val="20"/>
        </w:rPr>
        <w:t>i</w:t>
      </w:r>
      <w:proofErr w:type="spellEnd"/>
      <w:r w:rsidRPr="00A553BC">
        <w:rPr>
          <w:rFonts w:ascii="Arial" w:hAnsi="Arial" w:cs="Arial"/>
          <w:sz w:val="20"/>
          <w:szCs w:val="20"/>
        </w:rPr>
        <w:t>)</w:t>
      </w:r>
      <w:r w:rsidRPr="00A553BC">
        <w:rPr>
          <w:rFonts w:ascii="Arial" w:hAnsi="Arial" w:cs="Arial"/>
          <w:sz w:val="20"/>
          <w:szCs w:val="20"/>
        </w:rPr>
        <w:tab/>
      </w:r>
      <w:r w:rsidR="000412C9" w:rsidRPr="006241D6">
        <w:rPr>
          <w:rFonts w:ascii="Arial" w:hAnsi="Arial" w:cs="Arial"/>
          <w:sz w:val="20"/>
          <w:szCs w:val="20"/>
        </w:rPr>
        <w:t>…</w:t>
      </w:r>
    </w:p>
    <w:p w14:paraId="075C2BC4" w14:textId="5B71E18E" w:rsidR="000412C9" w:rsidRPr="006241D6" w:rsidRDefault="006241D6" w:rsidP="006241D6">
      <w:pPr>
        <w:spacing w:line="360" w:lineRule="auto"/>
        <w:ind w:left="1800" w:firstLine="450"/>
        <w:jc w:val="both"/>
        <w:rPr>
          <w:rFonts w:ascii="Arial" w:hAnsi="Arial" w:cs="Arial"/>
          <w:sz w:val="20"/>
          <w:szCs w:val="20"/>
        </w:rPr>
      </w:pPr>
      <w:r w:rsidRPr="00A553BC">
        <w:rPr>
          <w:rFonts w:ascii="Arial" w:hAnsi="Arial" w:cs="Arial"/>
          <w:sz w:val="20"/>
          <w:szCs w:val="20"/>
        </w:rPr>
        <w:t>(ii)</w:t>
      </w:r>
      <w:r w:rsidRPr="00A553BC">
        <w:rPr>
          <w:rFonts w:ascii="Arial" w:hAnsi="Arial" w:cs="Arial"/>
          <w:sz w:val="20"/>
          <w:szCs w:val="20"/>
        </w:rPr>
        <w:tab/>
      </w:r>
      <w:r w:rsidR="000412C9" w:rsidRPr="006241D6">
        <w:rPr>
          <w:rFonts w:ascii="Arial" w:hAnsi="Arial" w:cs="Arial"/>
          <w:sz w:val="20"/>
          <w:szCs w:val="20"/>
        </w:rPr>
        <w:t>in exceptional cases–</w:t>
      </w:r>
    </w:p>
    <w:p w14:paraId="457E98F7" w14:textId="1814E098" w:rsidR="000412C9" w:rsidRPr="00A553BC" w:rsidRDefault="000412C9" w:rsidP="00E25856">
      <w:pPr>
        <w:pStyle w:val="ListParagraph"/>
        <w:spacing w:line="360" w:lineRule="auto"/>
        <w:ind w:left="1800" w:firstLine="1080"/>
        <w:jc w:val="both"/>
        <w:rPr>
          <w:rFonts w:ascii="Arial" w:hAnsi="Arial" w:cs="Arial"/>
          <w:sz w:val="20"/>
          <w:szCs w:val="20"/>
        </w:rPr>
      </w:pPr>
      <w:r w:rsidRPr="00A553BC">
        <w:rPr>
          <w:rFonts w:ascii="Arial" w:hAnsi="Arial" w:cs="Arial"/>
          <w:sz w:val="20"/>
          <w:szCs w:val="20"/>
        </w:rPr>
        <w:t>(aa)</w:t>
      </w:r>
      <w:r w:rsidRPr="00A553BC">
        <w:rPr>
          <w:rFonts w:ascii="Arial" w:hAnsi="Arial" w:cs="Arial"/>
          <w:sz w:val="20"/>
          <w:szCs w:val="20"/>
        </w:rPr>
        <w:tab/>
        <w:t>…</w:t>
      </w:r>
    </w:p>
    <w:p w14:paraId="73F8F212" w14:textId="066329CB" w:rsidR="000412C9" w:rsidRPr="00A553BC" w:rsidRDefault="000412C9" w:rsidP="00E25856">
      <w:pPr>
        <w:pStyle w:val="ListParagraph"/>
        <w:spacing w:line="360" w:lineRule="auto"/>
        <w:ind w:left="3600" w:hanging="720"/>
        <w:jc w:val="both"/>
        <w:rPr>
          <w:rFonts w:ascii="Arial" w:hAnsi="Arial" w:cs="Arial"/>
          <w:sz w:val="20"/>
          <w:szCs w:val="20"/>
        </w:rPr>
      </w:pPr>
      <w:r w:rsidRPr="00A553BC">
        <w:rPr>
          <w:rFonts w:ascii="Arial" w:hAnsi="Arial" w:cs="Arial"/>
          <w:sz w:val="20"/>
          <w:szCs w:val="20"/>
        </w:rPr>
        <w:t>(bb)</w:t>
      </w:r>
      <w:r w:rsidRPr="00A553BC">
        <w:rPr>
          <w:rFonts w:ascii="Arial" w:hAnsi="Arial" w:cs="Arial"/>
          <w:sz w:val="20"/>
          <w:szCs w:val="20"/>
        </w:rPr>
        <w:tab/>
        <w:t>directing the administrator or any other party to the proceedings to pay compensation…’</w:t>
      </w:r>
    </w:p>
    <w:p w14:paraId="25470054" w14:textId="2096B9C8" w:rsidR="000412C9" w:rsidRDefault="000412C9" w:rsidP="000412C9">
      <w:pPr>
        <w:spacing w:line="360" w:lineRule="auto"/>
        <w:rPr>
          <w:rFonts w:ascii="Arial" w:hAnsi="Arial" w:cs="Arial"/>
          <w:sz w:val="24"/>
          <w:szCs w:val="24"/>
        </w:rPr>
      </w:pPr>
    </w:p>
    <w:p w14:paraId="5161FD14" w14:textId="3535E0C5" w:rsidR="000412C9" w:rsidRPr="006241D6" w:rsidRDefault="006241D6" w:rsidP="006241D6">
      <w:pPr>
        <w:spacing w:line="360" w:lineRule="auto"/>
        <w:jc w:val="both"/>
        <w:rPr>
          <w:rFonts w:ascii="Arial" w:hAnsi="Arial" w:cs="Arial"/>
          <w:sz w:val="24"/>
          <w:szCs w:val="24"/>
        </w:rPr>
      </w:pPr>
      <w:r w:rsidRPr="00554A14">
        <w:rPr>
          <w:rFonts w:ascii="Arial" w:hAnsi="Arial" w:cs="Arial"/>
          <w:sz w:val="24"/>
          <w:szCs w:val="24"/>
        </w:rPr>
        <w:t>[22]</w:t>
      </w:r>
      <w:r w:rsidRPr="00554A14">
        <w:rPr>
          <w:rFonts w:ascii="Arial" w:hAnsi="Arial" w:cs="Arial"/>
          <w:sz w:val="24"/>
          <w:szCs w:val="24"/>
        </w:rPr>
        <w:tab/>
      </w:r>
      <w:r w:rsidR="00A553BC" w:rsidRPr="006241D6">
        <w:rPr>
          <w:rFonts w:ascii="Arial" w:hAnsi="Arial" w:cs="Arial"/>
          <w:sz w:val="24"/>
          <w:szCs w:val="24"/>
        </w:rPr>
        <w:t>A recent decision of the Supreme Court of Appeal clarifies what is required of a litigant before relying on section 8(1)(c)(</w:t>
      </w:r>
      <w:proofErr w:type="gramStart"/>
      <w:r w:rsidR="00A553BC" w:rsidRPr="006241D6">
        <w:rPr>
          <w:rFonts w:ascii="Arial" w:hAnsi="Arial" w:cs="Arial"/>
          <w:sz w:val="24"/>
          <w:szCs w:val="24"/>
        </w:rPr>
        <w:t>ii)</w:t>
      </w:r>
      <w:r w:rsidR="000E71EB" w:rsidRPr="006241D6">
        <w:rPr>
          <w:rFonts w:ascii="Arial" w:hAnsi="Arial" w:cs="Arial"/>
          <w:sz w:val="24"/>
          <w:szCs w:val="24"/>
        </w:rPr>
        <w:t>(</w:t>
      </w:r>
      <w:proofErr w:type="gramEnd"/>
      <w:r w:rsidR="000E71EB" w:rsidRPr="006241D6">
        <w:rPr>
          <w:rFonts w:ascii="Arial" w:hAnsi="Arial" w:cs="Arial"/>
          <w:sz w:val="24"/>
          <w:szCs w:val="24"/>
        </w:rPr>
        <w:t>bb)</w:t>
      </w:r>
      <w:r w:rsidR="00A553BC" w:rsidRPr="006241D6">
        <w:rPr>
          <w:rFonts w:ascii="Arial" w:hAnsi="Arial" w:cs="Arial"/>
          <w:sz w:val="24"/>
          <w:szCs w:val="24"/>
        </w:rPr>
        <w:t xml:space="preserve"> of PAJA. </w:t>
      </w:r>
      <w:r w:rsidR="000412C9" w:rsidRPr="006241D6">
        <w:rPr>
          <w:rFonts w:ascii="Arial" w:hAnsi="Arial" w:cs="Arial"/>
          <w:sz w:val="24"/>
          <w:szCs w:val="24"/>
        </w:rPr>
        <w:t xml:space="preserve">In </w:t>
      </w:r>
      <w:proofErr w:type="spellStart"/>
      <w:r w:rsidR="00A553BC" w:rsidRPr="006241D6">
        <w:rPr>
          <w:rFonts w:ascii="Arial" w:hAnsi="Arial" w:cs="Arial"/>
          <w:i/>
          <w:iCs/>
          <w:sz w:val="24"/>
          <w:szCs w:val="24"/>
        </w:rPr>
        <w:t>Esorfranki</w:t>
      </w:r>
      <w:proofErr w:type="spellEnd"/>
      <w:r w:rsidR="00A553BC" w:rsidRPr="006241D6">
        <w:rPr>
          <w:rFonts w:ascii="Arial" w:hAnsi="Arial" w:cs="Arial"/>
          <w:i/>
          <w:iCs/>
          <w:sz w:val="24"/>
          <w:szCs w:val="24"/>
        </w:rPr>
        <w:t xml:space="preserve"> (Pty) Ltd v Mopani District Municipality</w:t>
      </w:r>
      <w:r w:rsidR="00A553BC" w:rsidRPr="006241D6">
        <w:rPr>
          <w:rFonts w:ascii="Arial" w:hAnsi="Arial" w:cs="Arial"/>
          <w:sz w:val="24"/>
          <w:szCs w:val="24"/>
        </w:rPr>
        <w:t>,</w:t>
      </w:r>
      <w:r w:rsidR="00A553BC">
        <w:rPr>
          <w:rStyle w:val="FootnoteReference"/>
          <w:rFonts w:ascii="Arial" w:hAnsi="Arial" w:cs="Arial"/>
          <w:sz w:val="24"/>
          <w:szCs w:val="24"/>
        </w:rPr>
        <w:footnoteReference w:id="13"/>
      </w:r>
      <w:r w:rsidR="00A553BC" w:rsidRPr="006241D6">
        <w:rPr>
          <w:rFonts w:ascii="Arial" w:hAnsi="Arial" w:cs="Arial"/>
          <w:sz w:val="24"/>
          <w:szCs w:val="24"/>
        </w:rPr>
        <w:t xml:space="preserve"> the court observed that:</w:t>
      </w:r>
    </w:p>
    <w:p w14:paraId="0DB0C359" w14:textId="1CC08DAA" w:rsidR="00A553BC" w:rsidRPr="00A553BC" w:rsidRDefault="00A553BC" w:rsidP="00554A14">
      <w:pPr>
        <w:spacing w:line="360" w:lineRule="auto"/>
        <w:ind w:left="720"/>
        <w:jc w:val="both"/>
        <w:rPr>
          <w:rFonts w:ascii="Arial" w:hAnsi="Arial" w:cs="Arial"/>
          <w:sz w:val="20"/>
          <w:szCs w:val="20"/>
        </w:rPr>
      </w:pPr>
      <w:r w:rsidRPr="00A553BC">
        <w:rPr>
          <w:rFonts w:ascii="Arial" w:hAnsi="Arial" w:cs="Arial"/>
          <w:sz w:val="20"/>
          <w:szCs w:val="20"/>
        </w:rPr>
        <w:t>‘…It is settled law that negligence and incompetence is insufficient to ground liability in the context of public procurement. Only where there is “something more” can a plaintiff recover her lost bargain. In the same vein section 8(1)(c)(</w:t>
      </w:r>
      <w:proofErr w:type="gramStart"/>
      <w:r w:rsidRPr="00A553BC">
        <w:rPr>
          <w:rFonts w:ascii="Arial" w:hAnsi="Arial" w:cs="Arial"/>
          <w:sz w:val="20"/>
          <w:szCs w:val="20"/>
        </w:rPr>
        <w:t>ii)(</w:t>
      </w:r>
      <w:proofErr w:type="gramEnd"/>
      <w:r w:rsidRPr="00A553BC">
        <w:rPr>
          <w:rFonts w:ascii="Arial" w:hAnsi="Arial" w:cs="Arial"/>
          <w:sz w:val="20"/>
          <w:szCs w:val="20"/>
        </w:rPr>
        <w:t>bb) provides that only in exceptional circumstances could payment of compensation be a just and equitable remedy. It appears that “something more” or an “exceptional circumstance” occurs where the tender is vitiated by fraud or where there was bad faith and malice on the part of the tender board…’</w:t>
      </w:r>
      <w:r w:rsidR="00835639">
        <w:rPr>
          <w:rStyle w:val="FootnoteReference"/>
          <w:rFonts w:ascii="Arial" w:hAnsi="Arial" w:cs="Arial"/>
          <w:sz w:val="20"/>
          <w:szCs w:val="20"/>
        </w:rPr>
        <w:footnoteReference w:id="14"/>
      </w:r>
    </w:p>
    <w:p w14:paraId="5844B040" w14:textId="5E2A5D6B" w:rsidR="00A553BC" w:rsidRDefault="00A553BC" w:rsidP="000412C9">
      <w:pPr>
        <w:spacing w:line="360" w:lineRule="auto"/>
        <w:rPr>
          <w:rFonts w:ascii="Arial" w:hAnsi="Arial" w:cs="Arial"/>
          <w:sz w:val="24"/>
          <w:szCs w:val="24"/>
        </w:rPr>
      </w:pPr>
    </w:p>
    <w:p w14:paraId="7809F675" w14:textId="36A42168" w:rsidR="00554A14" w:rsidRPr="006241D6" w:rsidRDefault="006241D6" w:rsidP="006241D6">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553BC" w:rsidRPr="006241D6">
        <w:rPr>
          <w:rFonts w:ascii="Arial" w:hAnsi="Arial" w:cs="Arial"/>
          <w:sz w:val="24"/>
          <w:szCs w:val="24"/>
        </w:rPr>
        <w:t xml:space="preserve">Consequently, </w:t>
      </w:r>
      <w:r w:rsidR="00835639" w:rsidRPr="006241D6">
        <w:rPr>
          <w:rFonts w:ascii="Arial" w:hAnsi="Arial" w:cs="Arial"/>
          <w:sz w:val="24"/>
          <w:szCs w:val="24"/>
        </w:rPr>
        <w:t xml:space="preserve">it would be necessary for </w:t>
      </w:r>
      <w:r w:rsidR="00A553BC" w:rsidRPr="006241D6">
        <w:rPr>
          <w:rFonts w:ascii="Arial" w:hAnsi="Arial" w:cs="Arial"/>
          <w:sz w:val="24"/>
          <w:szCs w:val="24"/>
        </w:rPr>
        <w:t xml:space="preserve">the applicant </w:t>
      </w:r>
      <w:r w:rsidR="00835639" w:rsidRPr="006241D6">
        <w:rPr>
          <w:rFonts w:ascii="Arial" w:hAnsi="Arial" w:cs="Arial"/>
          <w:sz w:val="24"/>
          <w:szCs w:val="24"/>
        </w:rPr>
        <w:t xml:space="preserve">to </w:t>
      </w:r>
      <w:r w:rsidR="000E71EB" w:rsidRPr="006241D6">
        <w:rPr>
          <w:rFonts w:ascii="Arial" w:hAnsi="Arial" w:cs="Arial"/>
          <w:sz w:val="24"/>
          <w:szCs w:val="24"/>
        </w:rPr>
        <w:t>prove</w:t>
      </w:r>
      <w:r w:rsidR="00835639" w:rsidRPr="006241D6">
        <w:rPr>
          <w:rFonts w:ascii="Arial" w:hAnsi="Arial" w:cs="Arial"/>
          <w:sz w:val="24"/>
          <w:szCs w:val="24"/>
        </w:rPr>
        <w:t xml:space="preserve"> that there </w:t>
      </w:r>
      <w:r w:rsidR="00A553BC" w:rsidRPr="006241D6">
        <w:rPr>
          <w:rFonts w:ascii="Arial" w:hAnsi="Arial" w:cs="Arial"/>
          <w:sz w:val="24"/>
          <w:szCs w:val="24"/>
        </w:rPr>
        <w:t xml:space="preserve">was </w:t>
      </w:r>
      <w:r w:rsidR="00835639" w:rsidRPr="006241D6">
        <w:rPr>
          <w:rFonts w:ascii="Arial" w:hAnsi="Arial" w:cs="Arial"/>
          <w:sz w:val="24"/>
          <w:szCs w:val="24"/>
        </w:rPr>
        <w:t xml:space="preserve">something unusual, out of the ordinary, or special, about the respondent’s tender process to justify an order directing the respondent to pay compensation. The applicant has made no allegations </w:t>
      </w:r>
      <w:r w:rsidR="00D17503" w:rsidRPr="006241D6">
        <w:rPr>
          <w:rFonts w:ascii="Arial" w:hAnsi="Arial" w:cs="Arial"/>
          <w:sz w:val="24"/>
          <w:szCs w:val="24"/>
        </w:rPr>
        <w:t>in that regard</w:t>
      </w:r>
      <w:r w:rsidR="00835639" w:rsidRPr="006241D6">
        <w:rPr>
          <w:rFonts w:ascii="Arial" w:hAnsi="Arial" w:cs="Arial"/>
          <w:sz w:val="24"/>
          <w:szCs w:val="24"/>
        </w:rPr>
        <w:t>.</w:t>
      </w:r>
    </w:p>
    <w:p w14:paraId="0D81D722" w14:textId="77777777" w:rsidR="00554A14" w:rsidRDefault="00554A14" w:rsidP="00554A14">
      <w:pPr>
        <w:pStyle w:val="ListParagraph"/>
        <w:spacing w:line="360" w:lineRule="auto"/>
        <w:ind w:left="0"/>
        <w:jc w:val="both"/>
        <w:rPr>
          <w:rFonts w:ascii="Arial" w:hAnsi="Arial" w:cs="Arial"/>
          <w:sz w:val="24"/>
          <w:szCs w:val="24"/>
        </w:rPr>
      </w:pPr>
    </w:p>
    <w:p w14:paraId="4690F225" w14:textId="7DE9AA5C" w:rsidR="00554A14" w:rsidRPr="006241D6" w:rsidRDefault="006241D6" w:rsidP="006241D6">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E71EB" w:rsidRPr="006241D6">
        <w:rPr>
          <w:rFonts w:ascii="Arial" w:hAnsi="Arial" w:cs="Arial"/>
          <w:sz w:val="24"/>
          <w:szCs w:val="24"/>
        </w:rPr>
        <w:t>In short, no cause of action exists on the papers to sustain the relief sought by the applicant in terms of the intended amendment.</w:t>
      </w:r>
    </w:p>
    <w:p w14:paraId="02B58B30" w14:textId="77777777" w:rsidR="00554A14" w:rsidRPr="00554A14" w:rsidRDefault="00554A14" w:rsidP="00554A14">
      <w:pPr>
        <w:pStyle w:val="ListParagraph"/>
        <w:rPr>
          <w:rFonts w:ascii="Arial" w:hAnsi="Arial" w:cs="Arial"/>
          <w:sz w:val="24"/>
          <w:szCs w:val="24"/>
        </w:rPr>
      </w:pPr>
    </w:p>
    <w:p w14:paraId="150DC37F" w14:textId="77777777" w:rsidR="00554A14" w:rsidRPr="00554A14" w:rsidRDefault="00554A14" w:rsidP="00554A14">
      <w:pPr>
        <w:pStyle w:val="ListParagraph"/>
        <w:rPr>
          <w:rFonts w:ascii="Arial" w:hAnsi="Arial" w:cs="Arial"/>
          <w:b/>
          <w:bCs/>
          <w:sz w:val="24"/>
          <w:szCs w:val="24"/>
        </w:rPr>
      </w:pPr>
    </w:p>
    <w:p w14:paraId="5D0DC0E3" w14:textId="77777777" w:rsidR="00554A14" w:rsidRPr="00554A14" w:rsidRDefault="00D17503" w:rsidP="00554A14">
      <w:pPr>
        <w:pStyle w:val="ListParagraph"/>
        <w:spacing w:line="360" w:lineRule="auto"/>
        <w:ind w:left="0"/>
        <w:jc w:val="both"/>
        <w:rPr>
          <w:rFonts w:ascii="Arial" w:hAnsi="Arial" w:cs="Arial"/>
          <w:sz w:val="24"/>
          <w:szCs w:val="24"/>
        </w:rPr>
      </w:pPr>
      <w:r w:rsidRPr="00554A14">
        <w:rPr>
          <w:rFonts w:ascii="Arial" w:hAnsi="Arial" w:cs="Arial"/>
          <w:b/>
          <w:bCs/>
          <w:sz w:val="24"/>
          <w:szCs w:val="24"/>
        </w:rPr>
        <w:t>Relief and order to be granted</w:t>
      </w:r>
    </w:p>
    <w:p w14:paraId="4EEB1D04" w14:textId="77777777" w:rsidR="00554A14" w:rsidRPr="00554A14" w:rsidRDefault="00554A14" w:rsidP="00554A14">
      <w:pPr>
        <w:pStyle w:val="ListParagraph"/>
        <w:rPr>
          <w:rFonts w:ascii="Arial" w:hAnsi="Arial" w:cs="Arial"/>
          <w:sz w:val="24"/>
          <w:szCs w:val="24"/>
        </w:rPr>
      </w:pPr>
    </w:p>
    <w:p w14:paraId="7DD4718D" w14:textId="0C4E6DB5" w:rsidR="00554A14" w:rsidRPr="006241D6" w:rsidRDefault="006241D6" w:rsidP="006241D6">
      <w:pPr>
        <w:spacing w:line="360" w:lineRule="auto"/>
        <w:jc w:val="both"/>
        <w:rPr>
          <w:rFonts w:ascii="Arial" w:hAnsi="Arial" w:cs="Arial"/>
          <w:sz w:val="24"/>
          <w:szCs w:val="24"/>
        </w:rPr>
      </w:pPr>
      <w:r w:rsidRPr="00554A14">
        <w:rPr>
          <w:rFonts w:ascii="Arial" w:hAnsi="Arial" w:cs="Arial"/>
          <w:sz w:val="24"/>
          <w:szCs w:val="24"/>
        </w:rPr>
        <w:t>[25]</w:t>
      </w:r>
      <w:r w:rsidRPr="00554A14">
        <w:rPr>
          <w:rFonts w:ascii="Arial" w:hAnsi="Arial" w:cs="Arial"/>
          <w:sz w:val="24"/>
          <w:szCs w:val="24"/>
        </w:rPr>
        <w:tab/>
      </w:r>
      <w:r w:rsidR="00F869C4" w:rsidRPr="006241D6">
        <w:rPr>
          <w:rFonts w:ascii="Arial" w:hAnsi="Arial" w:cs="Arial"/>
          <w:sz w:val="24"/>
          <w:szCs w:val="24"/>
        </w:rPr>
        <w:t xml:space="preserve">It is a well-established principle that an amendment will not be allowed where </w:t>
      </w:r>
      <w:proofErr w:type="spellStart"/>
      <w:r w:rsidR="00F869C4" w:rsidRPr="006241D6">
        <w:rPr>
          <w:rFonts w:ascii="Arial" w:hAnsi="Arial" w:cs="Arial"/>
          <w:sz w:val="24"/>
          <w:szCs w:val="24"/>
        </w:rPr>
        <w:t>excipiability</w:t>
      </w:r>
      <w:proofErr w:type="spellEnd"/>
      <w:r w:rsidR="00F869C4" w:rsidRPr="006241D6">
        <w:rPr>
          <w:rFonts w:ascii="Arial" w:hAnsi="Arial" w:cs="Arial"/>
          <w:sz w:val="24"/>
          <w:szCs w:val="24"/>
        </w:rPr>
        <w:t xml:space="preserve"> would result.</w:t>
      </w:r>
      <w:r w:rsidR="00F869C4" w:rsidRPr="00F869C4">
        <w:rPr>
          <w:vertAlign w:val="superscript"/>
        </w:rPr>
        <w:footnoteReference w:id="15"/>
      </w:r>
      <w:r w:rsidR="00F869C4" w:rsidRPr="006241D6">
        <w:rPr>
          <w:rFonts w:ascii="Arial" w:hAnsi="Arial" w:cs="Arial"/>
          <w:sz w:val="24"/>
          <w:szCs w:val="24"/>
        </w:rPr>
        <w:t xml:space="preserve"> The respondent has pointed out that the applicant relies on alleged unlawful administrative action </w:t>
      </w:r>
      <w:proofErr w:type="gramStart"/>
      <w:r w:rsidR="00F869C4" w:rsidRPr="006241D6">
        <w:rPr>
          <w:rFonts w:ascii="Arial" w:hAnsi="Arial" w:cs="Arial"/>
          <w:sz w:val="24"/>
          <w:szCs w:val="24"/>
        </w:rPr>
        <w:t>as a result of</w:t>
      </w:r>
      <w:proofErr w:type="gramEnd"/>
      <w:r w:rsidR="00F869C4" w:rsidRPr="006241D6">
        <w:rPr>
          <w:rFonts w:ascii="Arial" w:hAnsi="Arial" w:cs="Arial"/>
          <w:sz w:val="24"/>
          <w:szCs w:val="24"/>
        </w:rPr>
        <w:t xml:space="preserve"> an error in law and pursuant to a decision taken capriciously, arbitrarily, and irrationally.</w:t>
      </w:r>
      <w:r w:rsidR="000E71EB" w:rsidRPr="006241D6">
        <w:rPr>
          <w:rFonts w:ascii="Arial" w:hAnsi="Arial" w:cs="Arial"/>
          <w:sz w:val="24"/>
          <w:szCs w:val="24"/>
        </w:rPr>
        <w:t xml:space="preserve"> The applicant has simply not demonstrated that the conduct of the respondent’s officials was dishonest or fraudulent; it has not demonstrated why this is an exceptional case, such that section 8(1)(c)(ii) of PAJA should be applied.</w:t>
      </w:r>
      <w:r w:rsidR="000E71EB" w:rsidRPr="006241D6">
        <w:rPr>
          <w:rFonts w:ascii="Arial" w:hAnsi="Arial" w:cs="Arial"/>
          <w:i/>
          <w:iCs/>
          <w:sz w:val="24"/>
          <w:szCs w:val="24"/>
        </w:rPr>
        <w:t xml:space="preserve"> </w:t>
      </w:r>
    </w:p>
    <w:p w14:paraId="70164197" w14:textId="77777777" w:rsidR="00554A14" w:rsidRPr="00554A14" w:rsidRDefault="00554A14" w:rsidP="00554A14">
      <w:pPr>
        <w:pStyle w:val="ListParagraph"/>
        <w:spacing w:line="360" w:lineRule="auto"/>
        <w:ind w:left="0"/>
        <w:jc w:val="both"/>
        <w:rPr>
          <w:rFonts w:ascii="Arial" w:hAnsi="Arial" w:cs="Arial"/>
          <w:sz w:val="24"/>
          <w:szCs w:val="24"/>
        </w:rPr>
      </w:pPr>
    </w:p>
    <w:p w14:paraId="72F7953B" w14:textId="2379E06E" w:rsidR="00554A14" w:rsidRPr="006241D6" w:rsidRDefault="006241D6" w:rsidP="006241D6">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869C4" w:rsidRPr="006241D6">
        <w:rPr>
          <w:rFonts w:ascii="Arial" w:hAnsi="Arial" w:cs="Arial"/>
          <w:sz w:val="24"/>
          <w:szCs w:val="24"/>
        </w:rPr>
        <w:t>Consequently, the court is not satisfied that the intended amendment will, with reference to the principles summarised in</w:t>
      </w:r>
      <w:r w:rsidR="00F869C4" w:rsidRPr="006241D6">
        <w:rPr>
          <w:rFonts w:ascii="Arial" w:hAnsi="Arial" w:cs="Arial"/>
          <w:i/>
          <w:iCs/>
          <w:sz w:val="24"/>
          <w:szCs w:val="24"/>
        </w:rPr>
        <w:t xml:space="preserve"> Commercial Union Assurance Co Ltd v Waymark NO, </w:t>
      </w:r>
      <w:r w:rsidR="00F869C4" w:rsidRPr="006241D6">
        <w:rPr>
          <w:rFonts w:ascii="Arial" w:hAnsi="Arial" w:cs="Arial"/>
          <w:sz w:val="24"/>
          <w:szCs w:val="24"/>
        </w:rPr>
        <w:t xml:space="preserve">give rise to anything deserving of consideration or a triable issue. </w:t>
      </w:r>
      <w:r w:rsidR="006F4277" w:rsidRPr="006241D6">
        <w:rPr>
          <w:rFonts w:ascii="Arial" w:hAnsi="Arial" w:cs="Arial"/>
          <w:sz w:val="24"/>
          <w:szCs w:val="24"/>
        </w:rPr>
        <w:t xml:space="preserve">If </w:t>
      </w:r>
      <w:r w:rsidR="006B2F53" w:rsidRPr="006241D6">
        <w:rPr>
          <w:rFonts w:ascii="Arial" w:hAnsi="Arial" w:cs="Arial"/>
          <w:sz w:val="24"/>
          <w:szCs w:val="24"/>
        </w:rPr>
        <w:t xml:space="preserve">allowed, then </w:t>
      </w:r>
      <w:r w:rsidR="006F4277" w:rsidRPr="006241D6">
        <w:rPr>
          <w:rFonts w:ascii="Arial" w:hAnsi="Arial" w:cs="Arial"/>
          <w:sz w:val="24"/>
          <w:szCs w:val="24"/>
        </w:rPr>
        <w:t xml:space="preserve">the amendment would constrain the </w:t>
      </w:r>
      <w:r w:rsidR="006B2F53" w:rsidRPr="006241D6">
        <w:rPr>
          <w:rFonts w:ascii="Arial" w:hAnsi="Arial" w:cs="Arial"/>
          <w:sz w:val="24"/>
          <w:szCs w:val="24"/>
        </w:rPr>
        <w:t xml:space="preserve">respondent to pursue </w:t>
      </w:r>
      <w:r w:rsidR="006F4277" w:rsidRPr="006241D6">
        <w:rPr>
          <w:rFonts w:ascii="Arial" w:hAnsi="Arial" w:cs="Arial"/>
          <w:sz w:val="24"/>
          <w:szCs w:val="24"/>
        </w:rPr>
        <w:t xml:space="preserve">its opposition to </w:t>
      </w:r>
      <w:r w:rsidR="006B2F53" w:rsidRPr="006241D6">
        <w:rPr>
          <w:rFonts w:ascii="Arial" w:hAnsi="Arial" w:cs="Arial"/>
          <w:sz w:val="24"/>
          <w:szCs w:val="24"/>
        </w:rPr>
        <w:t xml:space="preserve">an application for relief </w:t>
      </w:r>
      <w:r w:rsidR="006F4277" w:rsidRPr="006241D6">
        <w:rPr>
          <w:rFonts w:ascii="Arial" w:hAnsi="Arial" w:cs="Arial"/>
          <w:sz w:val="24"/>
          <w:szCs w:val="24"/>
        </w:rPr>
        <w:t>that cannot be sustained on the papers. An exception would be bound to follow. Overall, the potential prejudice to the respondent, if leave is granted, is plain to see.</w:t>
      </w:r>
    </w:p>
    <w:p w14:paraId="593C815D" w14:textId="77777777" w:rsidR="00554A14" w:rsidRPr="00554A14" w:rsidRDefault="00554A14" w:rsidP="00554A14">
      <w:pPr>
        <w:pStyle w:val="ListParagraph"/>
        <w:jc w:val="both"/>
        <w:rPr>
          <w:rFonts w:ascii="Arial" w:hAnsi="Arial" w:cs="Arial"/>
          <w:sz w:val="24"/>
          <w:szCs w:val="24"/>
        </w:rPr>
      </w:pPr>
    </w:p>
    <w:p w14:paraId="714030EB" w14:textId="347A0C1C" w:rsidR="006F4277" w:rsidRPr="006241D6" w:rsidRDefault="006241D6" w:rsidP="006241D6">
      <w:pPr>
        <w:spacing w:line="360" w:lineRule="auto"/>
        <w:jc w:val="both"/>
        <w:rPr>
          <w:rFonts w:ascii="Arial" w:hAnsi="Arial" w:cs="Arial"/>
          <w:sz w:val="24"/>
          <w:szCs w:val="24"/>
        </w:rPr>
      </w:pPr>
      <w:r w:rsidRPr="00554A14">
        <w:rPr>
          <w:rFonts w:ascii="Arial" w:hAnsi="Arial" w:cs="Arial"/>
          <w:sz w:val="24"/>
          <w:szCs w:val="24"/>
        </w:rPr>
        <w:t>[27]</w:t>
      </w:r>
      <w:r w:rsidRPr="00554A14">
        <w:rPr>
          <w:rFonts w:ascii="Arial" w:hAnsi="Arial" w:cs="Arial"/>
          <w:sz w:val="24"/>
          <w:szCs w:val="24"/>
        </w:rPr>
        <w:tab/>
      </w:r>
      <w:r w:rsidR="006F4277" w:rsidRPr="006241D6">
        <w:rPr>
          <w:rFonts w:ascii="Arial" w:hAnsi="Arial" w:cs="Arial"/>
          <w:sz w:val="24"/>
          <w:szCs w:val="24"/>
        </w:rPr>
        <w:t>In the circumstances, the following order is made:</w:t>
      </w:r>
    </w:p>
    <w:p w14:paraId="24DF54C6" w14:textId="77777777" w:rsidR="006F4277" w:rsidRDefault="006F4277" w:rsidP="00554A14">
      <w:pPr>
        <w:pStyle w:val="ListParagraph"/>
        <w:spacing w:line="360" w:lineRule="auto"/>
        <w:jc w:val="both"/>
        <w:rPr>
          <w:rFonts w:ascii="Arial" w:hAnsi="Arial" w:cs="Arial"/>
          <w:sz w:val="24"/>
          <w:szCs w:val="24"/>
        </w:rPr>
      </w:pPr>
    </w:p>
    <w:p w14:paraId="65C380D6" w14:textId="05EE9989" w:rsidR="006F4277" w:rsidRPr="006241D6" w:rsidRDefault="006241D6" w:rsidP="006241D6">
      <w:pPr>
        <w:spacing w:line="360" w:lineRule="auto"/>
        <w:ind w:left="1276"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6F4277" w:rsidRPr="006241D6">
        <w:rPr>
          <w:rFonts w:ascii="Arial" w:hAnsi="Arial" w:cs="Arial"/>
          <w:sz w:val="24"/>
          <w:szCs w:val="24"/>
        </w:rPr>
        <w:t>the application for leave to amend is dismissed; and</w:t>
      </w:r>
    </w:p>
    <w:p w14:paraId="64BB375A" w14:textId="77777777" w:rsidR="00196F07" w:rsidRDefault="00196F07" w:rsidP="00196F07">
      <w:pPr>
        <w:pStyle w:val="ListParagraph"/>
        <w:spacing w:line="360" w:lineRule="auto"/>
        <w:ind w:left="1276"/>
        <w:jc w:val="both"/>
        <w:rPr>
          <w:rFonts w:ascii="Arial" w:hAnsi="Arial" w:cs="Arial"/>
          <w:sz w:val="24"/>
          <w:szCs w:val="24"/>
        </w:rPr>
      </w:pPr>
    </w:p>
    <w:p w14:paraId="05444472" w14:textId="34C12180" w:rsidR="006F4277" w:rsidRPr="006241D6" w:rsidRDefault="006241D6" w:rsidP="006241D6">
      <w:pPr>
        <w:spacing w:line="360" w:lineRule="auto"/>
        <w:ind w:left="1276" w:hanging="567"/>
        <w:jc w:val="both"/>
        <w:rPr>
          <w:rFonts w:ascii="Arial" w:hAnsi="Arial" w:cs="Arial"/>
          <w:sz w:val="24"/>
          <w:szCs w:val="24"/>
        </w:rPr>
      </w:pPr>
      <w:r w:rsidRPr="00196F07">
        <w:rPr>
          <w:rFonts w:ascii="Arial" w:hAnsi="Arial" w:cs="Arial"/>
          <w:sz w:val="24"/>
          <w:szCs w:val="24"/>
        </w:rPr>
        <w:t>(b)</w:t>
      </w:r>
      <w:r w:rsidRPr="00196F07">
        <w:rPr>
          <w:rFonts w:ascii="Arial" w:hAnsi="Arial" w:cs="Arial"/>
          <w:sz w:val="24"/>
          <w:szCs w:val="24"/>
        </w:rPr>
        <w:tab/>
      </w:r>
      <w:r w:rsidR="006F4277" w:rsidRPr="006241D6">
        <w:rPr>
          <w:rFonts w:ascii="Arial" w:hAnsi="Arial" w:cs="Arial"/>
          <w:sz w:val="24"/>
          <w:szCs w:val="24"/>
        </w:rPr>
        <w:t>the applicant is directed to pay the respondent’s costs.</w:t>
      </w:r>
    </w:p>
    <w:p w14:paraId="21D1D218" w14:textId="14056554" w:rsidR="006F4277" w:rsidRDefault="006F4277" w:rsidP="006F4277">
      <w:pPr>
        <w:spacing w:line="360" w:lineRule="auto"/>
        <w:rPr>
          <w:rFonts w:ascii="Arial" w:hAnsi="Arial" w:cs="Arial"/>
          <w:sz w:val="24"/>
          <w:szCs w:val="24"/>
        </w:rPr>
      </w:pPr>
    </w:p>
    <w:p w14:paraId="2E0CF453" w14:textId="4205DF75" w:rsidR="006F4277" w:rsidRDefault="006F4277" w:rsidP="006F4277">
      <w:pPr>
        <w:spacing w:line="360" w:lineRule="auto"/>
        <w:rPr>
          <w:rFonts w:ascii="Arial" w:hAnsi="Arial" w:cs="Arial"/>
          <w:sz w:val="24"/>
          <w:szCs w:val="24"/>
        </w:rPr>
      </w:pPr>
    </w:p>
    <w:p w14:paraId="765A5408" w14:textId="3713431A" w:rsidR="006F4277" w:rsidRDefault="006F4277" w:rsidP="00554A14">
      <w:pPr>
        <w:spacing w:line="240" w:lineRule="auto"/>
        <w:rPr>
          <w:rFonts w:ascii="Arial" w:hAnsi="Arial" w:cs="Arial"/>
          <w:sz w:val="24"/>
          <w:szCs w:val="24"/>
        </w:rPr>
      </w:pPr>
      <w:r>
        <w:rPr>
          <w:rFonts w:ascii="Arial" w:hAnsi="Arial" w:cs="Arial"/>
          <w:sz w:val="24"/>
          <w:szCs w:val="24"/>
        </w:rPr>
        <w:t>______________________________</w:t>
      </w:r>
    </w:p>
    <w:p w14:paraId="7901FF34" w14:textId="6618BC48" w:rsidR="006F4277" w:rsidRPr="006F4277" w:rsidRDefault="006F4277" w:rsidP="00554A14">
      <w:pPr>
        <w:spacing w:line="240" w:lineRule="auto"/>
        <w:rPr>
          <w:rFonts w:ascii="Arial" w:hAnsi="Arial" w:cs="Arial"/>
          <w:b/>
          <w:bCs/>
          <w:sz w:val="24"/>
          <w:szCs w:val="24"/>
        </w:rPr>
      </w:pPr>
      <w:r w:rsidRPr="006F4277">
        <w:rPr>
          <w:rFonts w:ascii="Arial" w:hAnsi="Arial" w:cs="Arial"/>
          <w:b/>
          <w:bCs/>
          <w:sz w:val="24"/>
          <w:szCs w:val="24"/>
        </w:rPr>
        <w:lastRenderedPageBreak/>
        <w:t>JGA LAING</w:t>
      </w:r>
    </w:p>
    <w:p w14:paraId="5DFBFF81" w14:textId="57203A3B" w:rsidR="006F4277" w:rsidRPr="006F4277" w:rsidRDefault="006F4277" w:rsidP="00554A14">
      <w:pPr>
        <w:spacing w:line="240" w:lineRule="auto"/>
        <w:rPr>
          <w:rFonts w:ascii="Arial" w:hAnsi="Arial" w:cs="Arial"/>
          <w:b/>
          <w:bCs/>
          <w:sz w:val="24"/>
          <w:szCs w:val="24"/>
        </w:rPr>
      </w:pPr>
      <w:r w:rsidRPr="006F4277">
        <w:rPr>
          <w:rFonts w:ascii="Arial" w:hAnsi="Arial" w:cs="Arial"/>
          <w:b/>
          <w:bCs/>
          <w:sz w:val="24"/>
          <w:szCs w:val="24"/>
        </w:rPr>
        <w:t>JUDGE OF THE HIGH COURT</w:t>
      </w:r>
    </w:p>
    <w:p w14:paraId="0A1CE03D" w14:textId="77777777" w:rsidR="00D17503" w:rsidRDefault="00D17503" w:rsidP="000412C9">
      <w:pPr>
        <w:spacing w:line="360" w:lineRule="auto"/>
        <w:rPr>
          <w:rFonts w:ascii="Arial" w:hAnsi="Arial" w:cs="Arial"/>
          <w:sz w:val="24"/>
          <w:szCs w:val="24"/>
        </w:rPr>
      </w:pPr>
    </w:p>
    <w:p w14:paraId="350921E6" w14:textId="3ED2401E" w:rsidR="00AD15F7" w:rsidRDefault="00554A14" w:rsidP="0011410A">
      <w:pPr>
        <w:spacing w:line="360" w:lineRule="auto"/>
        <w:rPr>
          <w:rFonts w:ascii="Arial" w:hAnsi="Arial" w:cs="Arial"/>
          <w:sz w:val="24"/>
          <w:szCs w:val="24"/>
        </w:rPr>
      </w:pPr>
      <w:r>
        <w:rPr>
          <w:rFonts w:ascii="Arial" w:hAnsi="Arial" w:cs="Arial"/>
          <w:sz w:val="24"/>
          <w:szCs w:val="24"/>
        </w:rPr>
        <w:t xml:space="preserve">APPEARANCE </w:t>
      </w:r>
    </w:p>
    <w:p w14:paraId="22F29FEF" w14:textId="14FB53DA" w:rsidR="00554A14" w:rsidRDefault="00554A14" w:rsidP="00554A14">
      <w:pPr>
        <w:spacing w:line="360" w:lineRule="auto"/>
        <w:ind w:left="3600" w:hanging="3600"/>
        <w:rPr>
          <w:rFonts w:ascii="Arial" w:hAnsi="Arial" w:cs="Arial"/>
          <w:sz w:val="24"/>
          <w:szCs w:val="24"/>
        </w:rPr>
      </w:pPr>
      <w:r>
        <w:rPr>
          <w:rFonts w:ascii="Arial" w:hAnsi="Arial" w:cs="Arial"/>
          <w:sz w:val="24"/>
          <w:szCs w:val="24"/>
        </w:rPr>
        <w:t>For the applicant:</w:t>
      </w:r>
      <w:r>
        <w:rPr>
          <w:rFonts w:ascii="Arial" w:hAnsi="Arial" w:cs="Arial"/>
          <w:sz w:val="24"/>
          <w:szCs w:val="24"/>
        </w:rPr>
        <w:tab/>
        <w:t xml:space="preserve">Adv </w:t>
      </w:r>
      <w:proofErr w:type="spellStart"/>
      <w:r>
        <w:rPr>
          <w:rFonts w:ascii="Arial" w:hAnsi="Arial" w:cs="Arial"/>
          <w:sz w:val="24"/>
          <w:szCs w:val="24"/>
        </w:rPr>
        <w:t>Coto</w:t>
      </w:r>
      <w:proofErr w:type="spellEnd"/>
      <w:r>
        <w:rPr>
          <w:rFonts w:ascii="Arial" w:hAnsi="Arial" w:cs="Arial"/>
          <w:sz w:val="24"/>
          <w:szCs w:val="24"/>
        </w:rPr>
        <w:t xml:space="preserve">, instructed by </w:t>
      </w:r>
      <w:proofErr w:type="spellStart"/>
      <w:r>
        <w:rPr>
          <w:rFonts w:ascii="Arial" w:hAnsi="Arial" w:cs="Arial"/>
          <w:sz w:val="24"/>
          <w:szCs w:val="24"/>
        </w:rPr>
        <w:t>Tshangana</w:t>
      </w:r>
      <w:proofErr w:type="spellEnd"/>
      <w:r>
        <w:rPr>
          <w:rFonts w:ascii="Arial" w:hAnsi="Arial" w:cs="Arial"/>
          <w:sz w:val="24"/>
          <w:szCs w:val="24"/>
        </w:rPr>
        <w:t xml:space="preserve"> Attorneys, East London. </w:t>
      </w:r>
    </w:p>
    <w:p w14:paraId="7A76B9C4" w14:textId="4F1D3EDA" w:rsidR="00554A14" w:rsidRDefault="00554A14" w:rsidP="00554A14">
      <w:pPr>
        <w:spacing w:line="360" w:lineRule="auto"/>
        <w:ind w:left="3600" w:hanging="3600"/>
        <w:rPr>
          <w:rFonts w:ascii="Arial" w:hAnsi="Arial" w:cs="Arial"/>
          <w:sz w:val="24"/>
          <w:szCs w:val="24"/>
        </w:rPr>
      </w:pPr>
      <w:r>
        <w:rPr>
          <w:rFonts w:ascii="Arial" w:hAnsi="Arial" w:cs="Arial"/>
          <w:sz w:val="24"/>
          <w:szCs w:val="24"/>
        </w:rPr>
        <w:t>For the respondent:</w:t>
      </w:r>
      <w:r>
        <w:rPr>
          <w:rFonts w:ascii="Arial" w:hAnsi="Arial" w:cs="Arial"/>
          <w:sz w:val="24"/>
          <w:szCs w:val="24"/>
        </w:rPr>
        <w:tab/>
        <w:t xml:space="preserve">Adv Buchanan SC, instructed by Smith Tabata Inc, East London. </w:t>
      </w:r>
    </w:p>
    <w:p w14:paraId="5593F2E4" w14:textId="3AF67101" w:rsidR="00554A14" w:rsidRDefault="00554A14" w:rsidP="0011410A">
      <w:pPr>
        <w:spacing w:line="360" w:lineRule="auto"/>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r>
      <w:r>
        <w:rPr>
          <w:rFonts w:ascii="Arial" w:hAnsi="Arial" w:cs="Arial"/>
          <w:sz w:val="24"/>
          <w:szCs w:val="24"/>
        </w:rPr>
        <w:tab/>
        <w:t>25 August 2022.</w:t>
      </w:r>
    </w:p>
    <w:p w14:paraId="309D1979" w14:textId="484725C5" w:rsidR="00554A14" w:rsidRPr="0011410A" w:rsidRDefault="00554A14" w:rsidP="0011410A">
      <w:pPr>
        <w:spacing w:line="360" w:lineRule="auto"/>
        <w:rPr>
          <w:rFonts w:ascii="Arial" w:hAnsi="Arial" w:cs="Arial"/>
          <w:sz w:val="24"/>
          <w:szCs w:val="24"/>
        </w:rPr>
      </w:pPr>
      <w:r>
        <w:rPr>
          <w:rFonts w:ascii="Arial" w:hAnsi="Arial" w:cs="Arial"/>
          <w:sz w:val="24"/>
          <w:szCs w:val="24"/>
        </w:rPr>
        <w:t>Date of delivery of judgment:</w:t>
      </w:r>
      <w:r>
        <w:rPr>
          <w:rFonts w:ascii="Arial" w:hAnsi="Arial" w:cs="Arial"/>
          <w:sz w:val="24"/>
          <w:szCs w:val="24"/>
        </w:rPr>
        <w:tab/>
        <w:t>22 November 2022.</w:t>
      </w:r>
    </w:p>
    <w:sectPr w:rsidR="00554A14" w:rsidRPr="0011410A" w:rsidSect="00E258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31AB" w14:textId="77777777" w:rsidR="008750C3" w:rsidRDefault="008750C3" w:rsidP="000D5FD7">
      <w:pPr>
        <w:spacing w:after="0" w:line="240" w:lineRule="auto"/>
      </w:pPr>
      <w:r>
        <w:separator/>
      </w:r>
    </w:p>
  </w:endnote>
  <w:endnote w:type="continuationSeparator" w:id="0">
    <w:p w14:paraId="36421E48" w14:textId="77777777" w:rsidR="008750C3" w:rsidRDefault="008750C3" w:rsidP="000D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A8B5" w14:textId="77777777" w:rsidR="008750C3" w:rsidRDefault="008750C3" w:rsidP="000D5FD7">
      <w:pPr>
        <w:spacing w:after="0" w:line="240" w:lineRule="auto"/>
      </w:pPr>
      <w:r>
        <w:separator/>
      </w:r>
    </w:p>
  </w:footnote>
  <w:footnote w:type="continuationSeparator" w:id="0">
    <w:p w14:paraId="731FBFEB" w14:textId="77777777" w:rsidR="008750C3" w:rsidRDefault="008750C3" w:rsidP="000D5FD7">
      <w:pPr>
        <w:spacing w:after="0" w:line="240" w:lineRule="auto"/>
      </w:pPr>
      <w:r>
        <w:continuationSeparator/>
      </w:r>
    </w:p>
  </w:footnote>
  <w:footnote w:id="1">
    <w:p w14:paraId="0CBEEA8D" w14:textId="3F5F09AC" w:rsidR="000D5FD7" w:rsidRPr="0047692F" w:rsidRDefault="000D5FD7" w:rsidP="00E25856">
      <w:pPr>
        <w:pStyle w:val="FootnoteText"/>
        <w:jc w:val="both"/>
      </w:pPr>
      <w:r>
        <w:rPr>
          <w:rStyle w:val="FootnoteReference"/>
        </w:rPr>
        <w:footnoteRef/>
      </w:r>
      <w:r>
        <w:t xml:space="preserve"> </w:t>
      </w:r>
      <w:r>
        <w:rPr>
          <w:lang w:val="en-US"/>
        </w:rPr>
        <w:t xml:space="preserve">The relevant paragraph </w:t>
      </w:r>
      <w:r w:rsidR="009B4FE5">
        <w:rPr>
          <w:lang w:val="en-US"/>
        </w:rPr>
        <w:t xml:space="preserve">was a prayer for the </w:t>
      </w:r>
      <w:r w:rsidR="00BF46F4">
        <w:rPr>
          <w:lang w:val="en-US"/>
        </w:rPr>
        <w:t>remittal of the applicant’s bid to the respondent for re-evaluation</w:t>
      </w:r>
      <w:r w:rsidR="001B37D2">
        <w:rPr>
          <w:lang w:val="en-US"/>
        </w:rPr>
        <w:t xml:space="preserve">. The applicant sought, in the same prayer, a directive that the respondent </w:t>
      </w:r>
      <w:r w:rsidR="00D81F34">
        <w:rPr>
          <w:lang w:val="en-US"/>
        </w:rPr>
        <w:t>recognizes</w:t>
      </w:r>
      <w:r w:rsidR="001B37D2">
        <w:rPr>
          <w:lang w:val="en-US"/>
        </w:rPr>
        <w:t xml:space="preserve"> </w:t>
      </w:r>
      <w:r w:rsidR="00213131">
        <w:rPr>
          <w:lang w:val="en-US"/>
        </w:rPr>
        <w:t xml:space="preserve">the applicant as a </w:t>
      </w:r>
      <w:r w:rsidR="0018138C">
        <w:rPr>
          <w:lang w:val="en-US"/>
        </w:rPr>
        <w:t>L</w:t>
      </w:r>
      <w:r w:rsidR="00213131">
        <w:rPr>
          <w:lang w:val="en-US"/>
        </w:rPr>
        <w:t>evel 1</w:t>
      </w:r>
      <w:r w:rsidR="00AD15F7">
        <w:rPr>
          <w:lang w:val="en-US"/>
        </w:rPr>
        <w:t xml:space="preserve"> B-BBEE contributor.</w:t>
      </w:r>
    </w:p>
  </w:footnote>
  <w:footnote w:id="2">
    <w:p w14:paraId="105DD445" w14:textId="3650959F" w:rsidR="001C77F4" w:rsidRPr="001C77F4" w:rsidRDefault="001C77F4" w:rsidP="00E25856">
      <w:pPr>
        <w:pStyle w:val="FootnoteText"/>
        <w:jc w:val="both"/>
        <w:rPr>
          <w:lang w:val="en-US"/>
        </w:rPr>
      </w:pPr>
      <w:r>
        <w:rPr>
          <w:rStyle w:val="FootnoteReference"/>
        </w:rPr>
        <w:footnoteRef/>
      </w:r>
      <w:r>
        <w:t xml:space="preserve"> </w:t>
      </w:r>
      <w:r w:rsidR="00DF17DE" w:rsidRPr="00407082">
        <w:rPr>
          <w:i/>
          <w:iCs/>
          <w:lang w:val="en-US"/>
        </w:rPr>
        <w:t>Rosenberg v Bitcom</w:t>
      </w:r>
      <w:r w:rsidR="00DF17DE">
        <w:rPr>
          <w:lang w:val="en-US"/>
        </w:rPr>
        <w:t xml:space="preserve"> 1935</w:t>
      </w:r>
      <w:r w:rsidR="00E0678E">
        <w:rPr>
          <w:lang w:val="en-US"/>
        </w:rPr>
        <w:t xml:space="preserve"> WLD 115, at 117. The principles have subsequently been applied in a long line of case, but see, more recently, </w:t>
      </w:r>
      <w:r w:rsidR="00BE5618" w:rsidRPr="00407082">
        <w:rPr>
          <w:i/>
          <w:iCs/>
          <w:lang w:val="en-US"/>
        </w:rPr>
        <w:t>Blaauwberg Meat Wholesalers CC</w:t>
      </w:r>
      <w:r w:rsidR="002B5A43" w:rsidRPr="00407082">
        <w:rPr>
          <w:i/>
          <w:iCs/>
          <w:lang w:val="en-US"/>
        </w:rPr>
        <w:t xml:space="preserve"> v Anglo Dutch Meats (Exports) Ltd</w:t>
      </w:r>
      <w:r w:rsidR="002B5A43">
        <w:rPr>
          <w:lang w:val="en-US"/>
        </w:rPr>
        <w:t xml:space="preserve"> [2004] 1 All SA</w:t>
      </w:r>
      <w:r w:rsidR="008C643F">
        <w:rPr>
          <w:lang w:val="en-US"/>
        </w:rPr>
        <w:t xml:space="preserve"> 129 (SCA), at 133 h-I</w:t>
      </w:r>
      <w:r w:rsidR="004C2E68">
        <w:rPr>
          <w:lang w:val="en-US"/>
        </w:rPr>
        <w:t xml:space="preserve">; and </w:t>
      </w:r>
      <w:r w:rsidR="004C2E68" w:rsidRPr="00407082">
        <w:rPr>
          <w:i/>
          <w:iCs/>
          <w:lang w:val="en-US"/>
        </w:rPr>
        <w:t>Mac</w:t>
      </w:r>
      <w:r w:rsidR="00AF3EC3" w:rsidRPr="00407082">
        <w:rPr>
          <w:i/>
          <w:iCs/>
          <w:lang w:val="en-US"/>
        </w:rPr>
        <w:t>s</w:t>
      </w:r>
      <w:r w:rsidR="004C2E68" w:rsidRPr="00407082">
        <w:rPr>
          <w:i/>
          <w:iCs/>
          <w:lang w:val="en-US"/>
        </w:rPr>
        <w:t>teel Tube and Pipe</w:t>
      </w:r>
      <w:r w:rsidR="00AF3EC3" w:rsidRPr="00407082">
        <w:rPr>
          <w:i/>
          <w:iCs/>
          <w:lang w:val="en-US"/>
        </w:rPr>
        <w:t>, a division of Macsteel Service Centres SA</w:t>
      </w:r>
      <w:r w:rsidR="00CC68D7" w:rsidRPr="00407082">
        <w:rPr>
          <w:i/>
          <w:iCs/>
          <w:lang w:val="en-US"/>
        </w:rPr>
        <w:t xml:space="preserve"> (Pty) Ltd v Vowles Properties (Pty) Ltd</w:t>
      </w:r>
      <w:r w:rsidR="000A51A6">
        <w:rPr>
          <w:lang w:val="en-US"/>
        </w:rPr>
        <w:t xml:space="preserve"> (unreported, SCA case no 680/2020, dated 17 December 2021</w:t>
      </w:r>
      <w:r w:rsidR="00407082">
        <w:rPr>
          <w:lang w:val="en-US"/>
        </w:rPr>
        <w:t>), at paragraph [24].</w:t>
      </w:r>
    </w:p>
  </w:footnote>
  <w:footnote w:id="3">
    <w:p w14:paraId="10AAB4F1" w14:textId="47E55F06" w:rsidR="005E6D41" w:rsidRPr="005E6D41" w:rsidRDefault="005E6D41" w:rsidP="00E25856">
      <w:pPr>
        <w:pStyle w:val="FootnoteText"/>
        <w:jc w:val="both"/>
        <w:rPr>
          <w:lang w:val="en-US"/>
        </w:rPr>
      </w:pPr>
      <w:r>
        <w:rPr>
          <w:rStyle w:val="FootnoteReference"/>
        </w:rPr>
        <w:footnoteRef/>
      </w:r>
      <w:r>
        <w:t xml:space="preserve"> </w:t>
      </w:r>
      <w:r w:rsidRPr="005E6D41">
        <w:t xml:space="preserve">1995 (2) SA 73 </w:t>
      </w:r>
      <w:r w:rsidR="00B03F65">
        <w:t>(</w:t>
      </w:r>
      <w:r w:rsidRPr="005E6D41">
        <w:t>Tk)</w:t>
      </w:r>
      <w:r w:rsidR="00B03F65">
        <w:t>, at 77F-I.</w:t>
      </w:r>
    </w:p>
  </w:footnote>
  <w:footnote w:id="4">
    <w:p w14:paraId="7C4974B6" w14:textId="1FEBCB66" w:rsidR="00464367" w:rsidRPr="00464367" w:rsidRDefault="00464367" w:rsidP="00E25856">
      <w:pPr>
        <w:pStyle w:val="FootnoteText"/>
        <w:jc w:val="both"/>
        <w:rPr>
          <w:lang w:val="en-US"/>
        </w:rPr>
      </w:pPr>
      <w:r>
        <w:rPr>
          <w:rStyle w:val="FootnoteReference"/>
        </w:rPr>
        <w:footnoteRef/>
      </w:r>
      <w:r>
        <w:t xml:space="preserve"> </w:t>
      </w:r>
      <w:r>
        <w:rPr>
          <w:lang w:val="en-US"/>
        </w:rPr>
        <w:t xml:space="preserve">The </w:t>
      </w:r>
      <w:r w:rsidR="00D22BC5">
        <w:rPr>
          <w:lang w:val="en-US"/>
        </w:rPr>
        <w:t xml:space="preserve">summary was cited with approval in </w:t>
      </w:r>
      <w:r w:rsidR="00D22BC5" w:rsidRPr="00D11082">
        <w:rPr>
          <w:i/>
          <w:iCs/>
          <w:lang w:val="en-US"/>
        </w:rPr>
        <w:t xml:space="preserve">Affordable </w:t>
      </w:r>
      <w:r w:rsidR="00D11082" w:rsidRPr="00D11082">
        <w:rPr>
          <w:i/>
          <w:iCs/>
          <w:lang w:val="en-US"/>
        </w:rPr>
        <w:t>M</w:t>
      </w:r>
      <w:r w:rsidR="00D22BC5" w:rsidRPr="00D11082">
        <w:rPr>
          <w:i/>
          <w:iCs/>
          <w:lang w:val="en-US"/>
        </w:rPr>
        <w:t xml:space="preserve">edicines </w:t>
      </w:r>
      <w:r w:rsidR="00D11082" w:rsidRPr="00D11082">
        <w:rPr>
          <w:i/>
          <w:iCs/>
          <w:lang w:val="en-US"/>
        </w:rPr>
        <w:t>T</w:t>
      </w:r>
      <w:r w:rsidR="00D22BC5" w:rsidRPr="00D11082">
        <w:rPr>
          <w:i/>
          <w:iCs/>
          <w:lang w:val="en-US"/>
        </w:rPr>
        <w:t>rust</w:t>
      </w:r>
      <w:r w:rsidR="004D11BB" w:rsidRPr="00D11082">
        <w:rPr>
          <w:i/>
          <w:iCs/>
          <w:lang w:val="en-US"/>
        </w:rPr>
        <w:t xml:space="preserve"> v Minister of Health</w:t>
      </w:r>
      <w:r w:rsidR="004D11BB">
        <w:rPr>
          <w:lang w:val="en-US"/>
        </w:rPr>
        <w:t xml:space="preserve"> 2006 (3) SA </w:t>
      </w:r>
      <w:r w:rsidR="00D11082">
        <w:rPr>
          <w:lang w:val="en-US"/>
        </w:rPr>
        <w:t>247 (CC), at 261C.</w:t>
      </w:r>
    </w:p>
  </w:footnote>
  <w:footnote w:id="5">
    <w:p w14:paraId="68C5D8D7" w14:textId="66CE6B84" w:rsidR="00C9521A" w:rsidRPr="00C9521A" w:rsidRDefault="00C9521A" w:rsidP="00E25856">
      <w:pPr>
        <w:pStyle w:val="FootnoteText"/>
        <w:jc w:val="both"/>
        <w:rPr>
          <w:lang w:val="en-US"/>
        </w:rPr>
      </w:pPr>
      <w:r>
        <w:rPr>
          <w:rStyle w:val="FootnoteReference"/>
        </w:rPr>
        <w:footnoteRef/>
      </w:r>
      <w:r>
        <w:t xml:space="preserve"> </w:t>
      </w:r>
      <w:r w:rsidR="00416327">
        <w:rPr>
          <w:lang w:val="en-US"/>
        </w:rPr>
        <w:t>DE van Loggerenberg</w:t>
      </w:r>
      <w:r w:rsidR="006908CE">
        <w:rPr>
          <w:lang w:val="en-US"/>
        </w:rPr>
        <w:t xml:space="preserve">, </w:t>
      </w:r>
      <w:r w:rsidR="006908CE" w:rsidRPr="00D2022A">
        <w:rPr>
          <w:i/>
          <w:iCs/>
          <w:lang w:val="en-US"/>
        </w:rPr>
        <w:t>Erasmus: Superior Court Practice</w:t>
      </w:r>
      <w:r w:rsidR="006908CE">
        <w:rPr>
          <w:lang w:val="en-US"/>
        </w:rPr>
        <w:t xml:space="preserve"> (Jutastat, RS 18</w:t>
      </w:r>
      <w:r w:rsidR="00D2022A">
        <w:rPr>
          <w:lang w:val="en-US"/>
        </w:rPr>
        <w:t>, 2022), at D1-332.</w:t>
      </w:r>
    </w:p>
  </w:footnote>
  <w:footnote w:id="6">
    <w:p w14:paraId="66C925F7" w14:textId="77777777" w:rsidR="0019037D" w:rsidRPr="00AA0CE9" w:rsidRDefault="0019037D" w:rsidP="00E25856">
      <w:pPr>
        <w:pStyle w:val="FootnoteText"/>
        <w:jc w:val="both"/>
        <w:rPr>
          <w:lang w:val="en-US"/>
        </w:rPr>
      </w:pPr>
      <w:r>
        <w:rPr>
          <w:rStyle w:val="FootnoteReference"/>
        </w:rPr>
        <w:footnoteRef/>
      </w:r>
      <w:r>
        <w:t xml:space="preserve"> </w:t>
      </w:r>
      <w:r>
        <w:rPr>
          <w:lang w:val="en-US"/>
        </w:rPr>
        <w:t>1961 (1) SA 226 (W), at 227F-228E.</w:t>
      </w:r>
    </w:p>
  </w:footnote>
  <w:footnote w:id="7">
    <w:p w14:paraId="0FCCEF9A" w14:textId="085BB181" w:rsidR="00672E86" w:rsidRPr="00672E86" w:rsidRDefault="00672E86" w:rsidP="00E25856">
      <w:pPr>
        <w:pStyle w:val="FootnoteText"/>
        <w:jc w:val="both"/>
        <w:rPr>
          <w:lang w:val="en-US"/>
        </w:rPr>
      </w:pPr>
      <w:r>
        <w:rPr>
          <w:rStyle w:val="FootnoteReference"/>
        </w:rPr>
        <w:footnoteRef/>
      </w:r>
      <w:r>
        <w:t xml:space="preserve"> </w:t>
      </w:r>
      <w:r>
        <w:rPr>
          <w:lang w:val="en-US"/>
        </w:rPr>
        <w:t>The applicant has expressly indicated its intention to abandon such relief by deleting paragraph 5 of its notice of motion, as evident from its notice of intention to amend.</w:t>
      </w:r>
    </w:p>
  </w:footnote>
  <w:footnote w:id="8">
    <w:p w14:paraId="410C4047" w14:textId="7C2A4DD8" w:rsidR="00263C43" w:rsidRPr="00263C43" w:rsidRDefault="00263C43" w:rsidP="00E25856">
      <w:pPr>
        <w:pStyle w:val="FootnoteText"/>
        <w:jc w:val="both"/>
        <w:rPr>
          <w:lang w:val="en-US"/>
        </w:rPr>
      </w:pPr>
      <w:r>
        <w:rPr>
          <w:rStyle w:val="FootnoteReference"/>
        </w:rPr>
        <w:footnoteRef/>
      </w:r>
      <w:r>
        <w:t xml:space="preserve"> </w:t>
      </w:r>
      <w:r w:rsidRPr="00263C43">
        <w:rPr>
          <w:i/>
          <w:iCs/>
          <w:lang w:val="en-US"/>
        </w:rPr>
        <w:t>Olitzki Property Holdings v State Tender Board and another</w:t>
      </w:r>
      <w:r>
        <w:rPr>
          <w:lang w:val="en-US"/>
        </w:rPr>
        <w:t xml:space="preserve"> 2001 (8) BCLR 779 (SCA), at paragraph [31], subsequently cited with approval in </w:t>
      </w:r>
      <w:r w:rsidRPr="00263C43">
        <w:rPr>
          <w:i/>
          <w:iCs/>
          <w:lang w:val="en-US"/>
        </w:rPr>
        <w:t>Steenkamp NO v Provincial Tender Board, Eastern Cape</w:t>
      </w:r>
      <w:r>
        <w:rPr>
          <w:lang w:val="en-US"/>
        </w:rPr>
        <w:t xml:space="preserve"> </w:t>
      </w:r>
      <w:r w:rsidRPr="00263C43">
        <w:rPr>
          <w:lang w:val="en-US"/>
        </w:rPr>
        <w:t>2007 (3) BCLR 300 (CC)</w:t>
      </w:r>
      <w:r>
        <w:rPr>
          <w:lang w:val="en-US"/>
        </w:rPr>
        <w:t>.</w:t>
      </w:r>
    </w:p>
  </w:footnote>
  <w:footnote w:id="9">
    <w:p w14:paraId="300F8A59" w14:textId="55BDC113" w:rsidR="00F946CF" w:rsidRPr="00F946CF" w:rsidRDefault="00F946CF" w:rsidP="00E25856">
      <w:pPr>
        <w:pStyle w:val="FootnoteText"/>
        <w:jc w:val="both"/>
        <w:rPr>
          <w:lang w:val="en-US"/>
        </w:rPr>
      </w:pPr>
      <w:r>
        <w:rPr>
          <w:rStyle w:val="FootnoteReference"/>
        </w:rPr>
        <w:footnoteRef/>
      </w:r>
      <w:r>
        <w:t xml:space="preserve"> </w:t>
      </w:r>
      <w:r w:rsidRPr="00A34B7F">
        <w:rPr>
          <w:i/>
          <w:iCs/>
        </w:rPr>
        <w:t>Minister of Finance and others v Gore NO</w:t>
      </w:r>
      <w:r>
        <w:t xml:space="preserve"> [2007] 1 All SA 309 (SCA), at paragraph [90]; </w:t>
      </w:r>
      <w:r w:rsidRPr="00A34B7F">
        <w:rPr>
          <w:i/>
          <w:iCs/>
        </w:rPr>
        <w:t>South African Post Office v De Lacy and another</w:t>
      </w:r>
      <w:r>
        <w:t xml:space="preserve"> [2009] 3 All SA 437 (SCA), at paragraph [4].</w:t>
      </w:r>
    </w:p>
  </w:footnote>
  <w:footnote w:id="10">
    <w:p w14:paraId="57EFA0D5" w14:textId="5B93EE50" w:rsidR="00B30833" w:rsidRPr="00B30833" w:rsidRDefault="00B30833" w:rsidP="00E25856">
      <w:pPr>
        <w:pStyle w:val="FootnoteText"/>
        <w:jc w:val="both"/>
        <w:rPr>
          <w:lang w:val="en-US"/>
        </w:rPr>
      </w:pPr>
      <w:r>
        <w:rPr>
          <w:rStyle w:val="FootnoteReference"/>
        </w:rPr>
        <w:footnoteRef/>
      </w:r>
      <w:r w:rsidR="00263C43">
        <w:rPr>
          <w:lang w:val="en-US"/>
        </w:rPr>
        <w:t xml:space="preserve"> See n 8, supra</w:t>
      </w:r>
      <w:r>
        <w:rPr>
          <w:lang w:val="en-US"/>
        </w:rPr>
        <w:t>.</w:t>
      </w:r>
    </w:p>
  </w:footnote>
  <w:footnote w:id="11">
    <w:p w14:paraId="7A88ED7C" w14:textId="4DB947F8" w:rsidR="004D0363" w:rsidRPr="004D0363" w:rsidRDefault="004D0363" w:rsidP="00554A14">
      <w:pPr>
        <w:pStyle w:val="FootnoteText"/>
        <w:jc w:val="both"/>
        <w:rPr>
          <w:lang w:val="en-US"/>
        </w:rPr>
      </w:pPr>
      <w:r>
        <w:rPr>
          <w:rStyle w:val="FootnoteReference"/>
        </w:rPr>
        <w:footnoteRef/>
      </w:r>
      <w:r>
        <w:t xml:space="preserve"> At paragraph [55].</w:t>
      </w:r>
    </w:p>
  </w:footnote>
  <w:footnote w:id="12">
    <w:p w14:paraId="1A72FDC3" w14:textId="6B97DD2A" w:rsidR="00A34B7F" w:rsidRPr="00A34B7F" w:rsidRDefault="00A34B7F" w:rsidP="00554A14">
      <w:pPr>
        <w:pStyle w:val="FootnoteText"/>
        <w:jc w:val="both"/>
        <w:rPr>
          <w:lang w:val="en-US"/>
        </w:rPr>
      </w:pPr>
      <w:r>
        <w:rPr>
          <w:rStyle w:val="FootnoteReference"/>
        </w:rPr>
        <w:footnoteRef/>
      </w:r>
      <w:r>
        <w:t xml:space="preserve"> </w:t>
      </w:r>
      <w:r>
        <w:rPr>
          <w:lang w:val="en-US"/>
        </w:rPr>
        <w:t xml:space="preserve">See, for example, </w:t>
      </w:r>
      <w:r w:rsidRPr="00A34B7F">
        <w:rPr>
          <w:i/>
          <w:iCs/>
          <w:lang w:val="en-US"/>
        </w:rPr>
        <w:t>Trustees of the Simcha Trust (IT1342/93) v De Jong and others</w:t>
      </w:r>
      <w:r>
        <w:rPr>
          <w:lang w:val="en-US"/>
        </w:rPr>
        <w:t xml:space="preserve"> [2015] 3 All SA 161 (SCA), at paragraph [30].</w:t>
      </w:r>
    </w:p>
  </w:footnote>
  <w:footnote w:id="13">
    <w:p w14:paraId="1CDD6844" w14:textId="161A7852" w:rsidR="00A553BC" w:rsidRPr="00A553BC" w:rsidRDefault="00A553BC" w:rsidP="00554A14">
      <w:pPr>
        <w:pStyle w:val="FootnoteText"/>
        <w:jc w:val="both"/>
        <w:rPr>
          <w:lang w:val="en-US"/>
        </w:rPr>
      </w:pPr>
      <w:r>
        <w:rPr>
          <w:rStyle w:val="FootnoteReference"/>
        </w:rPr>
        <w:footnoteRef/>
      </w:r>
      <w:r>
        <w:t xml:space="preserve"> </w:t>
      </w:r>
      <w:r w:rsidRPr="00A553BC">
        <w:t>[2021] 3 All SA 686 (SCA)</w:t>
      </w:r>
      <w:r>
        <w:t>.</w:t>
      </w:r>
    </w:p>
  </w:footnote>
  <w:footnote w:id="14">
    <w:p w14:paraId="220782DC" w14:textId="6DA4A4C1" w:rsidR="00835639" w:rsidRPr="00835639" w:rsidRDefault="00835639" w:rsidP="00554A14">
      <w:pPr>
        <w:pStyle w:val="FootnoteText"/>
        <w:jc w:val="both"/>
        <w:rPr>
          <w:lang w:val="en-US"/>
        </w:rPr>
      </w:pPr>
      <w:r>
        <w:rPr>
          <w:rStyle w:val="FootnoteReference"/>
        </w:rPr>
        <w:footnoteRef/>
      </w:r>
      <w:r>
        <w:t xml:space="preserve"> </w:t>
      </w:r>
      <w:r>
        <w:rPr>
          <w:lang w:val="en-US"/>
        </w:rPr>
        <w:t>At paragraph [90].</w:t>
      </w:r>
    </w:p>
  </w:footnote>
  <w:footnote w:id="15">
    <w:p w14:paraId="5EEB55FD" w14:textId="7A37C0A1" w:rsidR="00F869C4" w:rsidRPr="006B2F53" w:rsidRDefault="00F869C4" w:rsidP="00554A14">
      <w:pPr>
        <w:pStyle w:val="FootnoteText"/>
        <w:jc w:val="both"/>
        <w:rPr>
          <w:lang w:val="en-US"/>
        </w:rPr>
      </w:pPr>
      <w:r>
        <w:rPr>
          <w:rStyle w:val="FootnoteReference"/>
        </w:rPr>
        <w:footnoteRef/>
      </w:r>
      <w:r>
        <w:t xml:space="preserve"> </w:t>
      </w:r>
      <w:r w:rsidRPr="00F869C4">
        <w:rPr>
          <w:i/>
          <w:iCs/>
          <w:lang w:val="en-US"/>
        </w:rPr>
        <w:t>Heydenrych v Colonial Mutual Life Assurance Society Ltd</w:t>
      </w:r>
      <w:r>
        <w:rPr>
          <w:lang w:val="en-US"/>
        </w:rPr>
        <w:t xml:space="preserve"> 1920 CPD 67; see, too, more recently, </w:t>
      </w:r>
      <w:r w:rsidRPr="00F869C4">
        <w:rPr>
          <w:i/>
          <w:iCs/>
          <w:lang w:val="en-US"/>
        </w:rPr>
        <w:t>YB v SB</w:t>
      </w:r>
      <w:r>
        <w:rPr>
          <w:lang w:val="en-US"/>
        </w:rPr>
        <w:t xml:space="preserve"> 2016 (1) SA 47 (WCC), at 51E-F.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60007"/>
      <w:docPartObj>
        <w:docPartGallery w:val="Page Numbers (Top of Page)"/>
        <w:docPartUnique/>
      </w:docPartObj>
    </w:sdtPr>
    <w:sdtEndPr>
      <w:rPr>
        <w:noProof/>
      </w:rPr>
    </w:sdtEndPr>
    <w:sdtContent>
      <w:p w14:paraId="1B22B8F8" w14:textId="2218D2A9" w:rsidR="00E25856" w:rsidRDefault="00E25856">
        <w:pPr>
          <w:pStyle w:val="Header"/>
          <w:jc w:val="center"/>
        </w:pPr>
        <w:r>
          <w:fldChar w:fldCharType="begin"/>
        </w:r>
        <w:r>
          <w:instrText xml:space="preserve"> PAGE   \* MERGEFORMAT </w:instrText>
        </w:r>
        <w:r>
          <w:fldChar w:fldCharType="separate"/>
        </w:r>
        <w:r w:rsidR="00F81A95">
          <w:rPr>
            <w:noProof/>
          </w:rPr>
          <w:t>4</w:t>
        </w:r>
        <w:r>
          <w:rPr>
            <w:noProof/>
          </w:rPr>
          <w:fldChar w:fldCharType="end"/>
        </w:r>
      </w:p>
    </w:sdtContent>
  </w:sdt>
  <w:p w14:paraId="31E93810" w14:textId="77777777" w:rsidR="00E25856" w:rsidRDefault="00E2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C52"/>
    <w:multiLevelType w:val="hybridMultilevel"/>
    <w:tmpl w:val="6E148DB4"/>
    <w:lvl w:ilvl="0" w:tplc="10A4C0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5EA7"/>
    <w:multiLevelType w:val="hybridMultilevel"/>
    <w:tmpl w:val="65E8CCB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FD4772"/>
    <w:multiLevelType w:val="hybridMultilevel"/>
    <w:tmpl w:val="FBA6A46C"/>
    <w:lvl w:ilvl="0" w:tplc="45F2A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1784A"/>
    <w:multiLevelType w:val="hybridMultilevel"/>
    <w:tmpl w:val="CEBEE8DE"/>
    <w:lvl w:ilvl="0" w:tplc="BC84B2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901EDE"/>
    <w:multiLevelType w:val="hybridMultilevel"/>
    <w:tmpl w:val="A98600B4"/>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5D2538C"/>
    <w:multiLevelType w:val="hybridMultilevel"/>
    <w:tmpl w:val="F1ACF9B2"/>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82708C"/>
    <w:multiLevelType w:val="hybridMultilevel"/>
    <w:tmpl w:val="ED00A896"/>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26552152">
    <w:abstractNumId w:val="0"/>
  </w:num>
  <w:num w:numId="2" w16cid:durableId="1870531292">
    <w:abstractNumId w:val="3"/>
  </w:num>
  <w:num w:numId="3" w16cid:durableId="1196043143">
    <w:abstractNumId w:val="2"/>
  </w:num>
  <w:num w:numId="4" w16cid:durableId="1267956862">
    <w:abstractNumId w:val="1"/>
  </w:num>
  <w:num w:numId="5" w16cid:durableId="276790709">
    <w:abstractNumId w:val="6"/>
  </w:num>
  <w:num w:numId="6" w16cid:durableId="1690057137">
    <w:abstractNumId w:val="4"/>
  </w:num>
  <w:num w:numId="7" w16cid:durableId="910770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0A"/>
    <w:rsid w:val="000002B4"/>
    <w:rsid w:val="00000C17"/>
    <w:rsid w:val="000103BF"/>
    <w:rsid w:val="000143AE"/>
    <w:rsid w:val="00014DDC"/>
    <w:rsid w:val="00015574"/>
    <w:rsid w:val="00024ED6"/>
    <w:rsid w:val="000412C9"/>
    <w:rsid w:val="00041EE6"/>
    <w:rsid w:val="00044296"/>
    <w:rsid w:val="000456A0"/>
    <w:rsid w:val="00051A14"/>
    <w:rsid w:val="00090608"/>
    <w:rsid w:val="00093080"/>
    <w:rsid w:val="000A51A6"/>
    <w:rsid w:val="000B4AD8"/>
    <w:rsid w:val="000C602B"/>
    <w:rsid w:val="000D5FD7"/>
    <w:rsid w:val="000E06CF"/>
    <w:rsid w:val="000E71EB"/>
    <w:rsid w:val="000F0DEF"/>
    <w:rsid w:val="000F2827"/>
    <w:rsid w:val="0011410A"/>
    <w:rsid w:val="00115722"/>
    <w:rsid w:val="00137D20"/>
    <w:rsid w:val="001510E2"/>
    <w:rsid w:val="0018138C"/>
    <w:rsid w:val="0018247C"/>
    <w:rsid w:val="0019037D"/>
    <w:rsid w:val="001962AC"/>
    <w:rsid w:val="00196F07"/>
    <w:rsid w:val="00197F45"/>
    <w:rsid w:val="001B334E"/>
    <w:rsid w:val="001B3556"/>
    <w:rsid w:val="001B37D2"/>
    <w:rsid w:val="001B3984"/>
    <w:rsid w:val="001C77F4"/>
    <w:rsid w:val="001D2A8E"/>
    <w:rsid w:val="001D5138"/>
    <w:rsid w:val="001E2740"/>
    <w:rsid w:val="001F3F56"/>
    <w:rsid w:val="001F54D6"/>
    <w:rsid w:val="001F5CF4"/>
    <w:rsid w:val="001F7082"/>
    <w:rsid w:val="00201786"/>
    <w:rsid w:val="00202CDD"/>
    <w:rsid w:val="00205B2F"/>
    <w:rsid w:val="00205E58"/>
    <w:rsid w:val="00213131"/>
    <w:rsid w:val="00225F7E"/>
    <w:rsid w:val="002407B7"/>
    <w:rsid w:val="00240DCE"/>
    <w:rsid w:val="00242E9B"/>
    <w:rsid w:val="00263C43"/>
    <w:rsid w:val="00276EAD"/>
    <w:rsid w:val="002800F8"/>
    <w:rsid w:val="00283C6A"/>
    <w:rsid w:val="00291A72"/>
    <w:rsid w:val="002B5A43"/>
    <w:rsid w:val="002C56FE"/>
    <w:rsid w:val="002F02F3"/>
    <w:rsid w:val="0031179E"/>
    <w:rsid w:val="00313747"/>
    <w:rsid w:val="00313C72"/>
    <w:rsid w:val="003255D5"/>
    <w:rsid w:val="003327D4"/>
    <w:rsid w:val="00333430"/>
    <w:rsid w:val="00354DA1"/>
    <w:rsid w:val="003829FE"/>
    <w:rsid w:val="003935A4"/>
    <w:rsid w:val="003F5DFF"/>
    <w:rsid w:val="00407082"/>
    <w:rsid w:val="00411EF8"/>
    <w:rsid w:val="00416327"/>
    <w:rsid w:val="00424879"/>
    <w:rsid w:val="004449C1"/>
    <w:rsid w:val="00450C33"/>
    <w:rsid w:val="00451EF2"/>
    <w:rsid w:val="00464367"/>
    <w:rsid w:val="0047692F"/>
    <w:rsid w:val="00485F1D"/>
    <w:rsid w:val="00494824"/>
    <w:rsid w:val="004A5ACC"/>
    <w:rsid w:val="004C1045"/>
    <w:rsid w:val="004C2E68"/>
    <w:rsid w:val="004D0363"/>
    <w:rsid w:val="004D11BB"/>
    <w:rsid w:val="004E28B5"/>
    <w:rsid w:val="004E4C55"/>
    <w:rsid w:val="0051661B"/>
    <w:rsid w:val="00547606"/>
    <w:rsid w:val="00554A14"/>
    <w:rsid w:val="00554DF3"/>
    <w:rsid w:val="005604D6"/>
    <w:rsid w:val="005611B2"/>
    <w:rsid w:val="005758C5"/>
    <w:rsid w:val="0057631B"/>
    <w:rsid w:val="005847FC"/>
    <w:rsid w:val="005A6347"/>
    <w:rsid w:val="005A6CCB"/>
    <w:rsid w:val="005A749D"/>
    <w:rsid w:val="005A7EC3"/>
    <w:rsid w:val="005D03AE"/>
    <w:rsid w:val="005D12D9"/>
    <w:rsid w:val="005E5793"/>
    <w:rsid w:val="005E63B0"/>
    <w:rsid w:val="005E6D41"/>
    <w:rsid w:val="006119DC"/>
    <w:rsid w:val="006241D6"/>
    <w:rsid w:val="006260FB"/>
    <w:rsid w:val="00637E21"/>
    <w:rsid w:val="006410C9"/>
    <w:rsid w:val="00672E86"/>
    <w:rsid w:val="00686AB3"/>
    <w:rsid w:val="00687D0F"/>
    <w:rsid w:val="006908CE"/>
    <w:rsid w:val="006925AF"/>
    <w:rsid w:val="00693B33"/>
    <w:rsid w:val="006A294D"/>
    <w:rsid w:val="006A5CC6"/>
    <w:rsid w:val="006B2F53"/>
    <w:rsid w:val="006B69DF"/>
    <w:rsid w:val="006D0AF0"/>
    <w:rsid w:val="006D28BC"/>
    <w:rsid w:val="006D2BBE"/>
    <w:rsid w:val="006D61C6"/>
    <w:rsid w:val="006F11B8"/>
    <w:rsid w:val="006F4277"/>
    <w:rsid w:val="006F52A1"/>
    <w:rsid w:val="006F588F"/>
    <w:rsid w:val="007662AC"/>
    <w:rsid w:val="00767342"/>
    <w:rsid w:val="00773315"/>
    <w:rsid w:val="00791272"/>
    <w:rsid w:val="007A03D2"/>
    <w:rsid w:val="007B5BA0"/>
    <w:rsid w:val="007C2739"/>
    <w:rsid w:val="007D2C1D"/>
    <w:rsid w:val="007D4E35"/>
    <w:rsid w:val="007E4C9F"/>
    <w:rsid w:val="007F4301"/>
    <w:rsid w:val="00804A93"/>
    <w:rsid w:val="008060A1"/>
    <w:rsid w:val="00810840"/>
    <w:rsid w:val="00811731"/>
    <w:rsid w:val="00814063"/>
    <w:rsid w:val="00833E66"/>
    <w:rsid w:val="00835639"/>
    <w:rsid w:val="00836361"/>
    <w:rsid w:val="00840C58"/>
    <w:rsid w:val="00850154"/>
    <w:rsid w:val="00854B81"/>
    <w:rsid w:val="0086365B"/>
    <w:rsid w:val="00873874"/>
    <w:rsid w:val="00873E47"/>
    <w:rsid w:val="008750C3"/>
    <w:rsid w:val="00881047"/>
    <w:rsid w:val="00896ED6"/>
    <w:rsid w:val="00897192"/>
    <w:rsid w:val="008B1250"/>
    <w:rsid w:val="008C04C3"/>
    <w:rsid w:val="008C643F"/>
    <w:rsid w:val="00910BCC"/>
    <w:rsid w:val="0091444C"/>
    <w:rsid w:val="009259F9"/>
    <w:rsid w:val="00936B0E"/>
    <w:rsid w:val="00950034"/>
    <w:rsid w:val="00953AA9"/>
    <w:rsid w:val="009577EF"/>
    <w:rsid w:val="00960BA8"/>
    <w:rsid w:val="009826C0"/>
    <w:rsid w:val="009A49F6"/>
    <w:rsid w:val="009A79FD"/>
    <w:rsid w:val="009B3079"/>
    <w:rsid w:val="009B4FE5"/>
    <w:rsid w:val="009E0B08"/>
    <w:rsid w:val="00A171FF"/>
    <w:rsid w:val="00A34B7F"/>
    <w:rsid w:val="00A36EDA"/>
    <w:rsid w:val="00A553BC"/>
    <w:rsid w:val="00A67E1F"/>
    <w:rsid w:val="00AA0CE9"/>
    <w:rsid w:val="00AD15F7"/>
    <w:rsid w:val="00AF146E"/>
    <w:rsid w:val="00AF3EC3"/>
    <w:rsid w:val="00AF4898"/>
    <w:rsid w:val="00B03F65"/>
    <w:rsid w:val="00B061FB"/>
    <w:rsid w:val="00B30833"/>
    <w:rsid w:val="00B3738D"/>
    <w:rsid w:val="00B4454F"/>
    <w:rsid w:val="00B512E7"/>
    <w:rsid w:val="00B53995"/>
    <w:rsid w:val="00B552E1"/>
    <w:rsid w:val="00B5703E"/>
    <w:rsid w:val="00B71226"/>
    <w:rsid w:val="00B80B6F"/>
    <w:rsid w:val="00B9182E"/>
    <w:rsid w:val="00BA6648"/>
    <w:rsid w:val="00BB06D5"/>
    <w:rsid w:val="00BB60B1"/>
    <w:rsid w:val="00BD1FF0"/>
    <w:rsid w:val="00BE5618"/>
    <w:rsid w:val="00BF44B1"/>
    <w:rsid w:val="00BF46F4"/>
    <w:rsid w:val="00C12FCB"/>
    <w:rsid w:val="00C3570D"/>
    <w:rsid w:val="00C4431F"/>
    <w:rsid w:val="00C47295"/>
    <w:rsid w:val="00C47FE2"/>
    <w:rsid w:val="00C6623F"/>
    <w:rsid w:val="00C76263"/>
    <w:rsid w:val="00C87E2B"/>
    <w:rsid w:val="00C9521A"/>
    <w:rsid w:val="00CA1DE9"/>
    <w:rsid w:val="00CB7BB5"/>
    <w:rsid w:val="00CC68D7"/>
    <w:rsid w:val="00CC6A2D"/>
    <w:rsid w:val="00CD4D79"/>
    <w:rsid w:val="00CE4CF4"/>
    <w:rsid w:val="00CF15F9"/>
    <w:rsid w:val="00D11082"/>
    <w:rsid w:val="00D1592D"/>
    <w:rsid w:val="00D17334"/>
    <w:rsid w:val="00D17503"/>
    <w:rsid w:val="00D2022A"/>
    <w:rsid w:val="00D22BC5"/>
    <w:rsid w:val="00D273EA"/>
    <w:rsid w:val="00D36B23"/>
    <w:rsid w:val="00D4263F"/>
    <w:rsid w:val="00D4608C"/>
    <w:rsid w:val="00D51313"/>
    <w:rsid w:val="00D745E4"/>
    <w:rsid w:val="00D81F34"/>
    <w:rsid w:val="00D87A25"/>
    <w:rsid w:val="00D91606"/>
    <w:rsid w:val="00D97019"/>
    <w:rsid w:val="00DB48E7"/>
    <w:rsid w:val="00DC0E54"/>
    <w:rsid w:val="00DE0FD4"/>
    <w:rsid w:val="00DE388A"/>
    <w:rsid w:val="00DE42E6"/>
    <w:rsid w:val="00DF17DE"/>
    <w:rsid w:val="00E0678E"/>
    <w:rsid w:val="00E25856"/>
    <w:rsid w:val="00E47868"/>
    <w:rsid w:val="00E50565"/>
    <w:rsid w:val="00E67ABE"/>
    <w:rsid w:val="00E8412D"/>
    <w:rsid w:val="00E869E4"/>
    <w:rsid w:val="00E87037"/>
    <w:rsid w:val="00EA5AA0"/>
    <w:rsid w:val="00EB2D58"/>
    <w:rsid w:val="00ED11BC"/>
    <w:rsid w:val="00EF2C3D"/>
    <w:rsid w:val="00F0247C"/>
    <w:rsid w:val="00F301EA"/>
    <w:rsid w:val="00F507E6"/>
    <w:rsid w:val="00F5156F"/>
    <w:rsid w:val="00F66BC0"/>
    <w:rsid w:val="00F756C3"/>
    <w:rsid w:val="00F81A54"/>
    <w:rsid w:val="00F81A95"/>
    <w:rsid w:val="00F86456"/>
    <w:rsid w:val="00F86987"/>
    <w:rsid w:val="00F869C4"/>
    <w:rsid w:val="00F946CF"/>
    <w:rsid w:val="00F95CFC"/>
    <w:rsid w:val="00FA1D3B"/>
    <w:rsid w:val="00FA5023"/>
    <w:rsid w:val="00FA5267"/>
    <w:rsid w:val="00FA629F"/>
    <w:rsid w:val="00FA6EAC"/>
    <w:rsid w:val="00FB3568"/>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CAFE"/>
  <w15:chartTrackingRefBased/>
  <w15:docId w15:val="{E5B11BE2-3844-48BF-96BF-39C1328E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5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FD7"/>
    <w:rPr>
      <w:sz w:val="20"/>
      <w:szCs w:val="20"/>
      <w:lang w:val="en-ZA"/>
    </w:rPr>
  </w:style>
  <w:style w:type="character" w:styleId="FootnoteReference">
    <w:name w:val="footnote reference"/>
    <w:basedOn w:val="DefaultParagraphFont"/>
    <w:uiPriority w:val="99"/>
    <w:semiHidden/>
    <w:unhideWhenUsed/>
    <w:rsid w:val="000D5FD7"/>
    <w:rPr>
      <w:vertAlign w:val="superscript"/>
    </w:rPr>
  </w:style>
  <w:style w:type="paragraph" w:styleId="ListParagraph">
    <w:name w:val="List Paragraph"/>
    <w:basedOn w:val="Normal"/>
    <w:uiPriority w:val="34"/>
    <w:qFormat/>
    <w:rsid w:val="000412C9"/>
    <w:pPr>
      <w:ind w:left="720"/>
      <w:contextualSpacing/>
    </w:pPr>
  </w:style>
  <w:style w:type="paragraph" w:styleId="Header">
    <w:name w:val="header"/>
    <w:basedOn w:val="Normal"/>
    <w:link w:val="HeaderChar"/>
    <w:uiPriority w:val="99"/>
    <w:unhideWhenUsed/>
    <w:rsid w:val="00E2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56"/>
    <w:rPr>
      <w:lang w:val="en-ZA"/>
    </w:rPr>
  </w:style>
  <w:style w:type="paragraph" w:styleId="Footer">
    <w:name w:val="footer"/>
    <w:basedOn w:val="Normal"/>
    <w:link w:val="FooterChar"/>
    <w:uiPriority w:val="99"/>
    <w:unhideWhenUsed/>
    <w:rsid w:val="00E2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56"/>
    <w:rPr>
      <w:lang w:val="en-ZA"/>
    </w:rPr>
  </w:style>
  <w:style w:type="paragraph" w:styleId="BalloonText">
    <w:name w:val="Balloon Text"/>
    <w:basedOn w:val="Normal"/>
    <w:link w:val="BalloonTextChar"/>
    <w:uiPriority w:val="99"/>
    <w:semiHidden/>
    <w:unhideWhenUsed/>
    <w:rsid w:val="00196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07"/>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Mariana Anguelov</cp:lastModifiedBy>
  <cp:revision>3</cp:revision>
  <cp:lastPrinted>2022-11-16T07:03:00Z</cp:lastPrinted>
  <dcterms:created xsi:type="dcterms:W3CDTF">2022-11-24T11:02:00Z</dcterms:created>
  <dcterms:modified xsi:type="dcterms:W3CDTF">2022-11-27T08:11:00Z</dcterms:modified>
</cp:coreProperties>
</file>