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100B" w14:textId="77777777" w:rsidR="00642514" w:rsidRDefault="00642514" w:rsidP="00642514">
      <w:pPr>
        <w:widowControl w:val="0"/>
        <w:spacing w:after="0" w:line="360" w:lineRule="auto"/>
        <w:jc w:val="center"/>
        <w:rPr>
          <w:rFonts w:ascii="Arial" w:eastAsia="Times New Roman" w:hAnsi="Arial" w:cs="Arial"/>
          <w:sz w:val="24"/>
          <w:szCs w:val="24"/>
        </w:rPr>
      </w:pPr>
      <w:r>
        <w:rPr>
          <w:rFonts w:ascii="Arial" w:eastAsia="Times New Roman" w:hAnsi="Arial" w:cs="Arial"/>
          <w:noProof/>
          <w:sz w:val="24"/>
          <w:szCs w:val="24"/>
          <w:lang w:eastAsia="en-ZA"/>
        </w:rPr>
        <w:drawing>
          <wp:inline distT="0" distB="0" distL="0" distR="0" wp14:anchorId="0D2A0423" wp14:editId="1FED7D92">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F8A55AE" w14:textId="77777777" w:rsidR="00642514" w:rsidRDefault="00642514" w:rsidP="00642514">
      <w:pPr>
        <w:widowControl w:val="0"/>
        <w:spacing w:after="0" w:line="360" w:lineRule="auto"/>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5905CC53" w14:textId="77777777" w:rsidR="00642514" w:rsidRDefault="00642514" w:rsidP="00642514">
      <w:pPr>
        <w:widowControl w:val="0"/>
        <w:tabs>
          <w:tab w:val="right" w:pos="9213"/>
        </w:tabs>
        <w:spacing w:line="240" w:lineRule="auto"/>
        <w:jc w:val="center"/>
        <w:rPr>
          <w:rFonts w:ascii="Arial" w:hAnsi="Arial" w:cs="Arial"/>
          <w:b/>
          <w:sz w:val="24"/>
          <w:szCs w:val="24"/>
        </w:rPr>
      </w:pPr>
      <w:r>
        <w:rPr>
          <w:rFonts w:ascii="Arial" w:hAnsi="Arial" w:cs="Arial"/>
          <w:b/>
          <w:sz w:val="24"/>
          <w:szCs w:val="24"/>
        </w:rPr>
        <w:t xml:space="preserve">EASTERN CAPE DIVISION, EAST LONDON CIRCUIT COURT </w:t>
      </w:r>
    </w:p>
    <w:p w14:paraId="4E7C7D5E" w14:textId="77777777" w:rsidR="00642514" w:rsidRDefault="00642514" w:rsidP="00642514">
      <w:pPr>
        <w:widowControl w:val="0"/>
        <w:tabs>
          <w:tab w:val="right" w:pos="9213"/>
        </w:tabs>
        <w:spacing w:line="24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ab/>
        <w:t>CASE NO. 434/2022</w:t>
      </w:r>
    </w:p>
    <w:p w14:paraId="18E26A99" w14:textId="77777777" w:rsidR="00642514" w:rsidRDefault="00642514" w:rsidP="00642514">
      <w:pPr>
        <w:widowControl w:val="0"/>
        <w:tabs>
          <w:tab w:val="right" w:pos="9213"/>
        </w:tabs>
        <w:spacing w:line="240" w:lineRule="auto"/>
        <w:rPr>
          <w:rFonts w:ascii="Arial" w:hAnsi="Arial" w:cs="Arial"/>
          <w:sz w:val="24"/>
          <w:szCs w:val="24"/>
        </w:rPr>
      </w:pPr>
      <w:r>
        <w:rPr>
          <w:rFonts w:ascii="Arial" w:hAnsi="Arial" w:cs="Arial"/>
          <w:sz w:val="24"/>
          <w:szCs w:val="24"/>
        </w:rPr>
        <w:tab/>
      </w:r>
    </w:p>
    <w:p w14:paraId="41203531" w14:textId="77777777" w:rsidR="00642514" w:rsidRDefault="00642514" w:rsidP="00642514">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0BA568D4" w14:textId="77777777" w:rsidR="00642514" w:rsidRDefault="00642514" w:rsidP="00642514">
      <w:pPr>
        <w:widowControl w:val="0"/>
        <w:tabs>
          <w:tab w:val="right" w:pos="9213"/>
        </w:tabs>
        <w:spacing w:line="240" w:lineRule="auto"/>
        <w:rPr>
          <w:rFonts w:ascii="Arial" w:hAnsi="Arial" w:cs="Arial"/>
          <w:b/>
          <w:sz w:val="24"/>
          <w:szCs w:val="24"/>
        </w:rPr>
      </w:pPr>
      <w:r>
        <w:rPr>
          <w:rFonts w:ascii="Arial" w:hAnsi="Arial" w:cs="Arial"/>
          <w:b/>
          <w:sz w:val="24"/>
          <w:szCs w:val="24"/>
        </w:rPr>
        <w:t xml:space="preserve">GREGORY DE WET  </w:t>
      </w:r>
      <w:r>
        <w:rPr>
          <w:rFonts w:ascii="Arial" w:hAnsi="Arial" w:cs="Arial"/>
          <w:b/>
          <w:sz w:val="24"/>
          <w:szCs w:val="24"/>
        </w:rPr>
        <w:tab/>
        <w:t>First applicant</w:t>
      </w:r>
    </w:p>
    <w:p w14:paraId="63B34031" w14:textId="77777777" w:rsidR="00642514" w:rsidRDefault="00642514" w:rsidP="00642514">
      <w:pPr>
        <w:widowControl w:val="0"/>
        <w:tabs>
          <w:tab w:val="right" w:pos="9213"/>
        </w:tabs>
        <w:spacing w:line="240" w:lineRule="auto"/>
        <w:rPr>
          <w:rFonts w:ascii="Arial" w:hAnsi="Arial" w:cs="Arial"/>
          <w:b/>
          <w:sz w:val="24"/>
          <w:szCs w:val="24"/>
        </w:rPr>
      </w:pPr>
      <w:r>
        <w:rPr>
          <w:rFonts w:ascii="Arial" w:hAnsi="Arial" w:cs="Arial"/>
          <w:b/>
          <w:sz w:val="24"/>
          <w:szCs w:val="24"/>
        </w:rPr>
        <w:t>ENRICO BLIGNAUT</w:t>
      </w:r>
      <w:r>
        <w:rPr>
          <w:rFonts w:ascii="Arial" w:hAnsi="Arial" w:cs="Arial"/>
          <w:b/>
          <w:sz w:val="24"/>
          <w:szCs w:val="24"/>
        </w:rPr>
        <w:tab/>
        <w:t>Second applicant</w:t>
      </w:r>
    </w:p>
    <w:p w14:paraId="6EB273F6" w14:textId="77777777" w:rsidR="00642514" w:rsidRDefault="00642514" w:rsidP="00642514">
      <w:pPr>
        <w:widowControl w:val="0"/>
        <w:tabs>
          <w:tab w:val="right" w:pos="9213"/>
        </w:tabs>
        <w:spacing w:line="240" w:lineRule="auto"/>
        <w:rPr>
          <w:rFonts w:ascii="Arial" w:hAnsi="Arial" w:cs="Arial"/>
          <w:b/>
          <w:sz w:val="24"/>
          <w:szCs w:val="24"/>
        </w:rPr>
      </w:pPr>
    </w:p>
    <w:p w14:paraId="4F178E3E" w14:textId="77777777" w:rsidR="00642514" w:rsidRDefault="00642514" w:rsidP="00642514">
      <w:pPr>
        <w:widowControl w:val="0"/>
        <w:tabs>
          <w:tab w:val="right" w:pos="9213"/>
        </w:tabs>
        <w:spacing w:line="240" w:lineRule="auto"/>
        <w:rPr>
          <w:rFonts w:ascii="Arial" w:hAnsi="Arial" w:cs="Arial"/>
          <w:sz w:val="24"/>
          <w:szCs w:val="24"/>
        </w:rPr>
      </w:pPr>
      <w:r>
        <w:rPr>
          <w:rFonts w:ascii="Arial" w:hAnsi="Arial" w:cs="Arial"/>
          <w:sz w:val="24"/>
          <w:szCs w:val="24"/>
        </w:rPr>
        <w:t>and</w:t>
      </w:r>
    </w:p>
    <w:p w14:paraId="55B8AD53" w14:textId="77777777" w:rsidR="00642514" w:rsidRDefault="00642514" w:rsidP="00642514">
      <w:pPr>
        <w:widowControl w:val="0"/>
        <w:tabs>
          <w:tab w:val="right" w:pos="9213"/>
        </w:tabs>
        <w:spacing w:line="360" w:lineRule="auto"/>
        <w:rPr>
          <w:rFonts w:ascii="Arial" w:hAnsi="Arial" w:cs="Arial"/>
          <w:sz w:val="24"/>
          <w:szCs w:val="24"/>
        </w:rPr>
      </w:pPr>
    </w:p>
    <w:p w14:paraId="28DE29F6" w14:textId="77777777" w:rsidR="00642514" w:rsidRDefault="00642514" w:rsidP="00642514">
      <w:pPr>
        <w:widowControl w:val="0"/>
        <w:tabs>
          <w:tab w:val="right" w:pos="9213"/>
        </w:tabs>
        <w:spacing w:line="240" w:lineRule="auto"/>
        <w:rPr>
          <w:rFonts w:ascii="Arial" w:hAnsi="Arial" w:cs="Arial"/>
          <w:b/>
          <w:sz w:val="24"/>
          <w:szCs w:val="24"/>
        </w:rPr>
      </w:pPr>
      <w:r>
        <w:rPr>
          <w:rFonts w:ascii="Arial" w:hAnsi="Arial" w:cs="Arial"/>
          <w:b/>
          <w:sz w:val="24"/>
          <w:szCs w:val="24"/>
        </w:rPr>
        <w:t xml:space="preserve">PHILIP GAMBENO  </w:t>
      </w:r>
      <w:r>
        <w:rPr>
          <w:rFonts w:ascii="Arial" w:hAnsi="Arial" w:cs="Arial"/>
          <w:b/>
          <w:sz w:val="24"/>
          <w:szCs w:val="24"/>
        </w:rPr>
        <w:tab/>
        <w:t>First respondent</w:t>
      </w:r>
    </w:p>
    <w:p w14:paraId="6DFC8FEA" w14:textId="77777777" w:rsidR="00642514" w:rsidRDefault="00642514" w:rsidP="00642514">
      <w:pPr>
        <w:widowControl w:val="0"/>
        <w:tabs>
          <w:tab w:val="right" w:pos="9213"/>
        </w:tabs>
        <w:spacing w:line="240" w:lineRule="auto"/>
        <w:rPr>
          <w:rFonts w:ascii="Arial" w:hAnsi="Arial" w:cs="Arial"/>
          <w:b/>
          <w:sz w:val="24"/>
          <w:szCs w:val="24"/>
        </w:rPr>
      </w:pPr>
      <w:r>
        <w:rPr>
          <w:rFonts w:ascii="Arial" w:hAnsi="Arial" w:cs="Arial"/>
          <w:b/>
          <w:sz w:val="24"/>
          <w:szCs w:val="24"/>
        </w:rPr>
        <w:t>BISE ENGINEERING (PTY) LIMITED</w:t>
      </w:r>
      <w:r>
        <w:rPr>
          <w:rFonts w:ascii="Arial" w:hAnsi="Arial" w:cs="Arial"/>
          <w:b/>
          <w:sz w:val="24"/>
          <w:szCs w:val="24"/>
        </w:rPr>
        <w:tab/>
        <w:t>Second respondent</w:t>
      </w:r>
    </w:p>
    <w:p w14:paraId="4DFDDEE9" w14:textId="05F4AB5E" w:rsidR="005D49D5" w:rsidRPr="005D49D5" w:rsidRDefault="005D49D5" w:rsidP="005D49D5">
      <w:pPr>
        <w:spacing w:line="360" w:lineRule="auto"/>
        <w:rPr>
          <w:rFonts w:ascii="Arial" w:hAnsi="Arial" w:cs="Arial"/>
          <w:sz w:val="24"/>
          <w:szCs w:val="24"/>
        </w:rPr>
      </w:pPr>
      <w:r w:rsidRPr="005D49D5">
        <w:rPr>
          <w:rFonts w:ascii="Arial" w:hAnsi="Arial" w:cs="Arial"/>
          <w:sz w:val="24"/>
          <w:szCs w:val="24"/>
        </w:rPr>
        <w:t>______________________________________________________________________</w:t>
      </w:r>
    </w:p>
    <w:p w14:paraId="3C256B69" w14:textId="019E312E" w:rsidR="005D49D5" w:rsidRPr="005D49D5" w:rsidRDefault="005D49D5" w:rsidP="005D49D5">
      <w:pPr>
        <w:spacing w:line="360" w:lineRule="auto"/>
        <w:jc w:val="center"/>
        <w:rPr>
          <w:rFonts w:ascii="Arial" w:hAnsi="Arial" w:cs="Arial"/>
          <w:b/>
          <w:bCs/>
          <w:sz w:val="24"/>
          <w:szCs w:val="24"/>
        </w:rPr>
      </w:pPr>
      <w:r w:rsidRPr="005D49D5">
        <w:rPr>
          <w:rFonts w:ascii="Arial" w:hAnsi="Arial" w:cs="Arial"/>
          <w:b/>
          <w:bCs/>
          <w:sz w:val="24"/>
          <w:szCs w:val="24"/>
        </w:rPr>
        <w:t>JUDGMENT</w:t>
      </w:r>
    </w:p>
    <w:p w14:paraId="2CD156F4" w14:textId="489EEC86" w:rsidR="005D49D5" w:rsidRPr="005D49D5" w:rsidRDefault="005D49D5" w:rsidP="005D49D5">
      <w:pPr>
        <w:spacing w:line="360" w:lineRule="auto"/>
        <w:rPr>
          <w:rFonts w:ascii="Arial" w:hAnsi="Arial" w:cs="Arial"/>
          <w:sz w:val="24"/>
          <w:szCs w:val="24"/>
        </w:rPr>
      </w:pPr>
      <w:r w:rsidRPr="005D49D5">
        <w:rPr>
          <w:rFonts w:ascii="Arial" w:hAnsi="Arial" w:cs="Arial"/>
          <w:sz w:val="24"/>
          <w:szCs w:val="24"/>
        </w:rPr>
        <w:t>______________________________________________________________________</w:t>
      </w:r>
    </w:p>
    <w:p w14:paraId="696E5E95" w14:textId="32C9593E" w:rsidR="005D49D5" w:rsidRPr="005D49D5" w:rsidRDefault="005D49D5" w:rsidP="005D49D5">
      <w:pPr>
        <w:spacing w:line="360" w:lineRule="auto"/>
        <w:rPr>
          <w:rFonts w:ascii="Arial" w:hAnsi="Arial" w:cs="Arial"/>
          <w:b/>
          <w:bCs/>
          <w:sz w:val="24"/>
          <w:szCs w:val="24"/>
        </w:rPr>
      </w:pPr>
      <w:r w:rsidRPr="005D49D5">
        <w:rPr>
          <w:rFonts w:ascii="Arial" w:hAnsi="Arial" w:cs="Arial"/>
          <w:b/>
          <w:bCs/>
          <w:sz w:val="24"/>
          <w:szCs w:val="24"/>
        </w:rPr>
        <w:t>LAING J</w:t>
      </w:r>
    </w:p>
    <w:p w14:paraId="71717038" w14:textId="27EB063D" w:rsidR="005D49D5" w:rsidRPr="005D49D5" w:rsidRDefault="005D49D5" w:rsidP="005D49D5">
      <w:pPr>
        <w:spacing w:line="360" w:lineRule="auto"/>
        <w:rPr>
          <w:rFonts w:ascii="Arial" w:hAnsi="Arial" w:cs="Arial"/>
          <w:sz w:val="24"/>
          <w:szCs w:val="24"/>
        </w:rPr>
      </w:pPr>
    </w:p>
    <w:p w14:paraId="351B64B3" w14:textId="501CA98E"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D49D5" w:rsidRPr="00250EF6">
        <w:rPr>
          <w:rFonts w:ascii="Arial" w:hAnsi="Arial" w:cs="Arial"/>
          <w:sz w:val="24"/>
          <w:szCs w:val="24"/>
        </w:rPr>
        <w:t>This is an application for an interdict</w:t>
      </w:r>
      <w:r w:rsidR="00325811" w:rsidRPr="00250EF6">
        <w:rPr>
          <w:rFonts w:ascii="Arial" w:hAnsi="Arial" w:cs="Arial"/>
          <w:sz w:val="24"/>
          <w:szCs w:val="24"/>
        </w:rPr>
        <w:t xml:space="preserve"> against</w:t>
      </w:r>
      <w:r w:rsidR="005D49D5" w:rsidRPr="00250EF6">
        <w:rPr>
          <w:rFonts w:ascii="Arial" w:hAnsi="Arial" w:cs="Arial"/>
          <w:sz w:val="24"/>
          <w:szCs w:val="24"/>
        </w:rPr>
        <w:t xml:space="preserve"> the first respondent </w:t>
      </w:r>
      <w:r w:rsidR="00325811" w:rsidRPr="00250EF6">
        <w:rPr>
          <w:rFonts w:ascii="Arial" w:hAnsi="Arial" w:cs="Arial"/>
          <w:sz w:val="24"/>
          <w:szCs w:val="24"/>
        </w:rPr>
        <w:t xml:space="preserve">in relation to a business </w:t>
      </w:r>
      <w:r w:rsidR="000743DD" w:rsidRPr="00250EF6">
        <w:rPr>
          <w:rFonts w:ascii="Arial" w:hAnsi="Arial" w:cs="Arial"/>
          <w:sz w:val="24"/>
          <w:szCs w:val="24"/>
        </w:rPr>
        <w:t xml:space="preserve">that supplies flexographic labelling and </w:t>
      </w:r>
      <w:r w:rsidR="00325811" w:rsidRPr="00250EF6">
        <w:rPr>
          <w:rFonts w:ascii="Arial" w:hAnsi="Arial" w:cs="Arial"/>
          <w:sz w:val="24"/>
          <w:szCs w:val="24"/>
        </w:rPr>
        <w:t>trad</w:t>
      </w:r>
      <w:r w:rsidR="000743DD" w:rsidRPr="00250EF6">
        <w:rPr>
          <w:rFonts w:ascii="Arial" w:hAnsi="Arial" w:cs="Arial"/>
          <w:sz w:val="24"/>
          <w:szCs w:val="24"/>
        </w:rPr>
        <w:t>es</w:t>
      </w:r>
      <w:r w:rsidR="00325811" w:rsidRPr="00250EF6">
        <w:rPr>
          <w:rFonts w:ascii="Arial" w:hAnsi="Arial" w:cs="Arial"/>
          <w:sz w:val="24"/>
          <w:szCs w:val="24"/>
        </w:rPr>
        <w:t xml:space="preserve"> as PEG Labels</w:t>
      </w:r>
      <w:r w:rsidR="000743DD" w:rsidRPr="00250EF6">
        <w:rPr>
          <w:rFonts w:ascii="Arial" w:hAnsi="Arial" w:cs="Arial"/>
          <w:sz w:val="24"/>
          <w:szCs w:val="24"/>
        </w:rPr>
        <w:t>, alternatively PEG Labelling</w:t>
      </w:r>
      <w:r w:rsidR="00325811" w:rsidRPr="00250EF6">
        <w:rPr>
          <w:rFonts w:ascii="Arial" w:hAnsi="Arial" w:cs="Arial"/>
          <w:sz w:val="24"/>
          <w:szCs w:val="24"/>
        </w:rPr>
        <w:t>.</w:t>
      </w:r>
      <w:r w:rsidR="000743DD">
        <w:rPr>
          <w:rStyle w:val="FootnoteReference"/>
          <w:rFonts w:ascii="Arial" w:hAnsi="Arial" w:cs="Arial"/>
          <w:sz w:val="24"/>
          <w:szCs w:val="24"/>
        </w:rPr>
        <w:footnoteReference w:id="1"/>
      </w:r>
      <w:r w:rsidR="00325811" w:rsidRPr="00250EF6">
        <w:rPr>
          <w:rFonts w:ascii="Arial" w:hAnsi="Arial" w:cs="Arial"/>
          <w:sz w:val="24"/>
          <w:szCs w:val="24"/>
        </w:rPr>
        <w:t xml:space="preserve"> </w:t>
      </w:r>
    </w:p>
    <w:p w14:paraId="44551F7D" w14:textId="77777777" w:rsidR="00642514" w:rsidRDefault="00642514" w:rsidP="00642514">
      <w:pPr>
        <w:pStyle w:val="ListParagraph"/>
        <w:spacing w:line="360" w:lineRule="auto"/>
        <w:ind w:left="0"/>
        <w:jc w:val="both"/>
        <w:rPr>
          <w:rFonts w:ascii="Arial" w:hAnsi="Arial" w:cs="Arial"/>
          <w:sz w:val="24"/>
          <w:szCs w:val="24"/>
        </w:rPr>
      </w:pPr>
    </w:p>
    <w:p w14:paraId="53D6AB72" w14:textId="6583B291" w:rsidR="00642514" w:rsidRPr="00250EF6" w:rsidRDefault="00250EF6" w:rsidP="00250EF6">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F2D9E" w:rsidRPr="00250EF6">
        <w:rPr>
          <w:rFonts w:ascii="Arial" w:hAnsi="Arial" w:cs="Arial"/>
          <w:sz w:val="24"/>
          <w:szCs w:val="24"/>
        </w:rPr>
        <w:t>Pending the finalisation of separate action proceedings, t</w:t>
      </w:r>
      <w:r w:rsidR="00325811" w:rsidRPr="00250EF6">
        <w:rPr>
          <w:rFonts w:ascii="Arial" w:hAnsi="Arial" w:cs="Arial"/>
          <w:sz w:val="24"/>
          <w:szCs w:val="24"/>
        </w:rPr>
        <w:t xml:space="preserve">he applicants seek to interdict the first respondent </w:t>
      </w:r>
      <w:r w:rsidR="005D49D5" w:rsidRPr="00250EF6">
        <w:rPr>
          <w:rFonts w:ascii="Arial" w:hAnsi="Arial" w:cs="Arial"/>
          <w:sz w:val="24"/>
          <w:szCs w:val="24"/>
        </w:rPr>
        <w:t>from</w:t>
      </w:r>
      <w:r w:rsidR="00325811" w:rsidRPr="00250EF6">
        <w:rPr>
          <w:rFonts w:ascii="Arial" w:hAnsi="Arial" w:cs="Arial"/>
          <w:sz w:val="24"/>
          <w:szCs w:val="24"/>
        </w:rPr>
        <w:t>:</w:t>
      </w:r>
      <w:r w:rsidR="005D49D5" w:rsidRPr="00250EF6">
        <w:rPr>
          <w:rFonts w:ascii="Arial" w:hAnsi="Arial" w:cs="Arial"/>
          <w:sz w:val="24"/>
          <w:szCs w:val="24"/>
        </w:rPr>
        <w:t xml:space="preserve"> instructing suppliers </w:t>
      </w:r>
      <w:r w:rsidR="00325811" w:rsidRPr="00250EF6">
        <w:rPr>
          <w:rFonts w:ascii="Arial" w:hAnsi="Arial" w:cs="Arial"/>
          <w:sz w:val="24"/>
          <w:szCs w:val="24"/>
        </w:rPr>
        <w:t xml:space="preserve">to suspend the operation of any accounts that the business may hold with such suppliers; preventing the applicants from using such accounts to place orders for stock and materials; and directing suppliers not to accept such orders and not to deliver any stock or materials in accordance therewith. The applicants stipulate that their prior written consent </w:t>
      </w:r>
      <w:r w:rsidR="006F2D9E" w:rsidRPr="00250EF6">
        <w:rPr>
          <w:rFonts w:ascii="Arial" w:hAnsi="Arial" w:cs="Arial"/>
          <w:sz w:val="24"/>
          <w:szCs w:val="24"/>
        </w:rPr>
        <w:t>would first be required.</w:t>
      </w:r>
    </w:p>
    <w:p w14:paraId="057F80C1" w14:textId="77777777" w:rsidR="00642514" w:rsidRPr="00642514" w:rsidRDefault="00642514" w:rsidP="00642514">
      <w:pPr>
        <w:pStyle w:val="ListParagraph"/>
        <w:rPr>
          <w:rFonts w:ascii="Arial" w:hAnsi="Arial" w:cs="Arial"/>
          <w:sz w:val="24"/>
          <w:szCs w:val="24"/>
        </w:rPr>
      </w:pPr>
    </w:p>
    <w:p w14:paraId="3B48D91C" w14:textId="4E05AA12"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F2D9E" w:rsidRPr="00250EF6">
        <w:rPr>
          <w:rFonts w:ascii="Arial" w:hAnsi="Arial" w:cs="Arial"/>
          <w:sz w:val="24"/>
          <w:szCs w:val="24"/>
        </w:rPr>
        <w:t>Furthermore, the applicants seek an order directing the first respondent to reinstate all accounts held by the business with the suppliers in question.</w:t>
      </w:r>
    </w:p>
    <w:p w14:paraId="76E65DD9" w14:textId="77777777" w:rsidR="00642514" w:rsidRPr="00642514" w:rsidRDefault="00642514" w:rsidP="00642514">
      <w:pPr>
        <w:pStyle w:val="ListParagraph"/>
        <w:rPr>
          <w:rFonts w:ascii="Arial" w:hAnsi="Arial" w:cs="Arial"/>
          <w:sz w:val="24"/>
          <w:szCs w:val="24"/>
        </w:rPr>
      </w:pPr>
    </w:p>
    <w:p w14:paraId="37BA34F1" w14:textId="75AAB9D0"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F2D9E" w:rsidRPr="00250EF6">
        <w:rPr>
          <w:rFonts w:ascii="Arial" w:hAnsi="Arial" w:cs="Arial"/>
          <w:sz w:val="24"/>
          <w:szCs w:val="24"/>
        </w:rPr>
        <w:t>The applicants brought the application on an urgent basis, instituting proceedings on 23 March 2022 and requesting interim relief. The first respondent opposed the matter on 24 March 2022</w:t>
      </w:r>
      <w:r w:rsidR="00303C71" w:rsidRPr="00250EF6">
        <w:rPr>
          <w:rFonts w:ascii="Arial" w:hAnsi="Arial" w:cs="Arial"/>
          <w:sz w:val="24"/>
          <w:szCs w:val="24"/>
        </w:rPr>
        <w:t xml:space="preserve"> and d</w:t>
      </w:r>
      <w:r w:rsidR="006F2D9E" w:rsidRPr="00250EF6">
        <w:rPr>
          <w:rFonts w:ascii="Arial" w:hAnsi="Arial" w:cs="Arial"/>
          <w:sz w:val="24"/>
          <w:szCs w:val="24"/>
        </w:rPr>
        <w:t>elivered his answering affidavit on 28 March 2022</w:t>
      </w:r>
      <w:r w:rsidR="00303C71" w:rsidRPr="00250EF6">
        <w:rPr>
          <w:rFonts w:ascii="Arial" w:hAnsi="Arial" w:cs="Arial"/>
          <w:sz w:val="24"/>
          <w:szCs w:val="24"/>
        </w:rPr>
        <w:t xml:space="preserve">. At the same time, he </w:t>
      </w:r>
      <w:r w:rsidR="006F2D9E" w:rsidRPr="00250EF6">
        <w:rPr>
          <w:rFonts w:ascii="Arial" w:hAnsi="Arial" w:cs="Arial"/>
          <w:sz w:val="24"/>
          <w:szCs w:val="24"/>
        </w:rPr>
        <w:t xml:space="preserve">delivered an undertaking </w:t>
      </w:r>
      <w:r w:rsidR="00303C71" w:rsidRPr="00250EF6">
        <w:rPr>
          <w:rFonts w:ascii="Arial" w:hAnsi="Arial" w:cs="Arial"/>
          <w:sz w:val="24"/>
          <w:szCs w:val="24"/>
        </w:rPr>
        <w:t>to the effect that he would refrain from the activities that the applicants sought to interdict, provided that all orders for stock and materials were of a formal, written nature; the first respondent also insisted on his authority to cancel excessive or unnecessary orders.</w:t>
      </w:r>
    </w:p>
    <w:p w14:paraId="522FB036" w14:textId="77777777" w:rsidR="00642514" w:rsidRPr="00642514" w:rsidRDefault="00642514" w:rsidP="00642514">
      <w:pPr>
        <w:pStyle w:val="ListParagraph"/>
        <w:rPr>
          <w:rFonts w:ascii="Arial" w:hAnsi="Arial" w:cs="Arial"/>
          <w:sz w:val="24"/>
          <w:szCs w:val="24"/>
        </w:rPr>
      </w:pPr>
    </w:p>
    <w:p w14:paraId="20EE6FE6" w14:textId="2878D9A1"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86725" w:rsidRPr="00250EF6">
        <w:rPr>
          <w:rFonts w:ascii="Arial" w:hAnsi="Arial" w:cs="Arial"/>
          <w:sz w:val="24"/>
          <w:szCs w:val="24"/>
        </w:rPr>
        <w:t xml:space="preserve">The application was postponed, permitting the first respondent to file a further affidavit. </w:t>
      </w:r>
      <w:r w:rsidR="00F160D6" w:rsidRPr="00250EF6">
        <w:rPr>
          <w:rFonts w:ascii="Arial" w:hAnsi="Arial" w:cs="Arial"/>
          <w:sz w:val="24"/>
          <w:szCs w:val="24"/>
        </w:rPr>
        <w:t>Subsequently, the applicants brought a successful joinder application on 14 June 2022 t</w:t>
      </w:r>
      <w:r w:rsidR="009B0CD2" w:rsidRPr="00250EF6">
        <w:rPr>
          <w:rFonts w:ascii="Arial" w:hAnsi="Arial" w:cs="Arial"/>
          <w:sz w:val="24"/>
          <w:szCs w:val="24"/>
        </w:rPr>
        <w:t xml:space="preserve">o address </w:t>
      </w:r>
      <w:r w:rsidR="00D17086" w:rsidRPr="00250EF6">
        <w:rPr>
          <w:rFonts w:ascii="Arial" w:hAnsi="Arial" w:cs="Arial"/>
          <w:sz w:val="24"/>
          <w:szCs w:val="24"/>
        </w:rPr>
        <w:t xml:space="preserve">the first respondent’s point </w:t>
      </w:r>
      <w:r w:rsidR="00D17086" w:rsidRPr="00250EF6">
        <w:rPr>
          <w:rFonts w:ascii="Arial" w:hAnsi="Arial" w:cs="Arial"/>
          <w:i/>
          <w:iCs/>
          <w:sz w:val="24"/>
          <w:szCs w:val="24"/>
        </w:rPr>
        <w:t>in limine</w:t>
      </w:r>
      <w:r w:rsidR="00D17086" w:rsidRPr="00250EF6">
        <w:rPr>
          <w:rFonts w:ascii="Arial" w:hAnsi="Arial" w:cs="Arial"/>
          <w:sz w:val="24"/>
          <w:szCs w:val="24"/>
        </w:rPr>
        <w:t xml:space="preserve"> that the second respondent had not been joined. The main application was argued on 25 August 2022</w:t>
      </w:r>
      <w:r w:rsidR="00D86725" w:rsidRPr="00250EF6">
        <w:rPr>
          <w:rFonts w:ascii="Arial" w:hAnsi="Arial" w:cs="Arial"/>
          <w:sz w:val="24"/>
          <w:szCs w:val="24"/>
        </w:rPr>
        <w:t>.</w:t>
      </w:r>
    </w:p>
    <w:p w14:paraId="2C89041F" w14:textId="77777777" w:rsidR="00642514" w:rsidRPr="00642514" w:rsidRDefault="00642514" w:rsidP="00642514">
      <w:pPr>
        <w:pStyle w:val="ListParagraph"/>
        <w:rPr>
          <w:rFonts w:ascii="Arial" w:hAnsi="Arial" w:cs="Arial"/>
          <w:sz w:val="24"/>
          <w:szCs w:val="24"/>
        </w:rPr>
      </w:pPr>
    </w:p>
    <w:p w14:paraId="711B45D5" w14:textId="77777777" w:rsidR="00642514" w:rsidRPr="00642514" w:rsidRDefault="00642514" w:rsidP="00642514">
      <w:pPr>
        <w:pStyle w:val="ListParagraph"/>
        <w:rPr>
          <w:rFonts w:ascii="Arial" w:hAnsi="Arial" w:cs="Arial"/>
          <w:sz w:val="24"/>
          <w:szCs w:val="24"/>
        </w:rPr>
      </w:pPr>
    </w:p>
    <w:p w14:paraId="21168036" w14:textId="2F87EC8D" w:rsidR="00642514" w:rsidRDefault="009B0CD2" w:rsidP="00642514">
      <w:pPr>
        <w:pStyle w:val="ListParagraph"/>
        <w:spacing w:line="360" w:lineRule="auto"/>
        <w:ind w:left="0"/>
        <w:jc w:val="both"/>
        <w:rPr>
          <w:rFonts w:ascii="Arial" w:hAnsi="Arial" w:cs="Arial"/>
          <w:b/>
          <w:bCs/>
          <w:sz w:val="24"/>
          <w:szCs w:val="24"/>
        </w:rPr>
      </w:pPr>
      <w:r w:rsidRPr="00642514">
        <w:rPr>
          <w:rFonts w:ascii="Arial" w:hAnsi="Arial" w:cs="Arial"/>
          <w:b/>
          <w:bCs/>
          <w:sz w:val="24"/>
          <w:szCs w:val="24"/>
        </w:rPr>
        <w:t>The applicant’s case</w:t>
      </w:r>
    </w:p>
    <w:p w14:paraId="4A1AC572" w14:textId="77777777" w:rsidR="00642514" w:rsidRPr="00642514" w:rsidRDefault="00642514" w:rsidP="00642514">
      <w:pPr>
        <w:pStyle w:val="ListParagraph"/>
        <w:spacing w:line="360" w:lineRule="auto"/>
        <w:ind w:left="0"/>
        <w:jc w:val="both"/>
        <w:rPr>
          <w:rFonts w:ascii="Arial" w:hAnsi="Arial" w:cs="Arial"/>
          <w:sz w:val="24"/>
          <w:szCs w:val="24"/>
        </w:rPr>
      </w:pPr>
    </w:p>
    <w:p w14:paraId="40226C57" w14:textId="6B5D15A2"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07EBE" w:rsidRPr="00250EF6">
        <w:rPr>
          <w:rFonts w:ascii="Arial" w:hAnsi="Arial" w:cs="Arial"/>
          <w:sz w:val="24"/>
          <w:szCs w:val="24"/>
        </w:rPr>
        <w:t xml:space="preserve">The parties entered into a partnership agreement on 23 March 2011 </w:t>
      </w:r>
      <w:r w:rsidR="000743DD" w:rsidRPr="00250EF6">
        <w:rPr>
          <w:rFonts w:ascii="Arial" w:hAnsi="Arial" w:cs="Arial"/>
          <w:sz w:val="24"/>
          <w:szCs w:val="24"/>
        </w:rPr>
        <w:t xml:space="preserve">to conduct </w:t>
      </w:r>
      <w:r w:rsidR="00407EBE" w:rsidRPr="00250EF6">
        <w:rPr>
          <w:rFonts w:ascii="Arial" w:hAnsi="Arial" w:cs="Arial"/>
          <w:sz w:val="24"/>
          <w:szCs w:val="24"/>
        </w:rPr>
        <w:t xml:space="preserve">the business of flexographic labelling, which entailed </w:t>
      </w:r>
      <w:r w:rsidR="00D90D19" w:rsidRPr="00250EF6">
        <w:rPr>
          <w:rFonts w:ascii="Arial" w:hAnsi="Arial" w:cs="Arial"/>
          <w:sz w:val="24"/>
          <w:szCs w:val="24"/>
        </w:rPr>
        <w:t>certain</w:t>
      </w:r>
      <w:r w:rsidR="00407EBE" w:rsidRPr="00250EF6">
        <w:rPr>
          <w:rFonts w:ascii="Arial" w:hAnsi="Arial" w:cs="Arial"/>
          <w:sz w:val="24"/>
          <w:szCs w:val="24"/>
        </w:rPr>
        <w:t xml:space="preserve"> production, sales and management roles. </w:t>
      </w:r>
      <w:r w:rsidR="00DD6039" w:rsidRPr="00250EF6">
        <w:rPr>
          <w:rFonts w:ascii="Arial" w:hAnsi="Arial" w:cs="Arial"/>
          <w:sz w:val="24"/>
          <w:szCs w:val="24"/>
        </w:rPr>
        <w:t xml:space="preserve">The partnership would conduct the business under the name of ‘PEG </w:t>
      </w:r>
      <w:r w:rsidR="00DD6039" w:rsidRPr="00250EF6">
        <w:rPr>
          <w:rFonts w:ascii="Arial" w:hAnsi="Arial" w:cs="Arial"/>
          <w:sz w:val="24"/>
          <w:szCs w:val="24"/>
        </w:rPr>
        <w:lastRenderedPageBreak/>
        <w:t xml:space="preserve">Labels’. </w:t>
      </w:r>
      <w:r w:rsidR="00407EBE" w:rsidRPr="00250EF6">
        <w:rPr>
          <w:rFonts w:ascii="Arial" w:hAnsi="Arial" w:cs="Arial"/>
          <w:sz w:val="24"/>
          <w:szCs w:val="24"/>
        </w:rPr>
        <w:t>The first respondent was responsible for the management of the business and was required to account to the applicants for its financial affairs.</w:t>
      </w:r>
      <w:r w:rsidR="00D90D19" w:rsidRPr="00250EF6">
        <w:rPr>
          <w:rFonts w:ascii="Arial" w:hAnsi="Arial" w:cs="Arial"/>
          <w:sz w:val="24"/>
          <w:szCs w:val="24"/>
        </w:rPr>
        <w:t xml:space="preserve"> </w:t>
      </w:r>
      <w:r w:rsidR="00407EBE" w:rsidRPr="00250EF6">
        <w:rPr>
          <w:rFonts w:ascii="Arial" w:hAnsi="Arial" w:cs="Arial"/>
          <w:sz w:val="24"/>
          <w:szCs w:val="24"/>
        </w:rPr>
        <w:t xml:space="preserve">The applicants allege that the </w:t>
      </w:r>
      <w:r w:rsidR="00F160D6" w:rsidRPr="00250EF6">
        <w:rPr>
          <w:rFonts w:ascii="Arial" w:hAnsi="Arial" w:cs="Arial"/>
          <w:sz w:val="24"/>
          <w:szCs w:val="24"/>
        </w:rPr>
        <w:t xml:space="preserve">first </w:t>
      </w:r>
      <w:r w:rsidR="00407EBE" w:rsidRPr="00250EF6">
        <w:rPr>
          <w:rFonts w:ascii="Arial" w:hAnsi="Arial" w:cs="Arial"/>
          <w:sz w:val="24"/>
          <w:szCs w:val="24"/>
        </w:rPr>
        <w:t xml:space="preserve">respondent failed to render a proper account </w:t>
      </w:r>
      <w:r w:rsidR="00D90D19" w:rsidRPr="00250EF6">
        <w:rPr>
          <w:rFonts w:ascii="Arial" w:hAnsi="Arial" w:cs="Arial"/>
          <w:sz w:val="24"/>
          <w:szCs w:val="24"/>
        </w:rPr>
        <w:t xml:space="preserve">during the existence of the partnership </w:t>
      </w:r>
      <w:r w:rsidR="00407EBE" w:rsidRPr="00250EF6">
        <w:rPr>
          <w:rFonts w:ascii="Arial" w:hAnsi="Arial" w:cs="Arial"/>
          <w:sz w:val="24"/>
          <w:szCs w:val="24"/>
        </w:rPr>
        <w:t xml:space="preserve">inasmuch as </w:t>
      </w:r>
      <w:r w:rsidR="00591A6F" w:rsidRPr="00250EF6">
        <w:rPr>
          <w:rFonts w:ascii="Arial" w:hAnsi="Arial" w:cs="Arial"/>
          <w:sz w:val="24"/>
          <w:szCs w:val="24"/>
        </w:rPr>
        <w:t xml:space="preserve">business </w:t>
      </w:r>
      <w:r w:rsidR="00D90D19" w:rsidRPr="00250EF6">
        <w:rPr>
          <w:rFonts w:ascii="Arial" w:hAnsi="Arial" w:cs="Arial"/>
          <w:sz w:val="24"/>
          <w:szCs w:val="24"/>
        </w:rPr>
        <w:t>income was unlawfully appropriated and used to settle third party business expenses.</w:t>
      </w:r>
    </w:p>
    <w:p w14:paraId="7AFB38A8" w14:textId="77777777" w:rsidR="00642514" w:rsidRDefault="00642514" w:rsidP="00642514">
      <w:pPr>
        <w:pStyle w:val="ListParagraph"/>
        <w:spacing w:line="360" w:lineRule="auto"/>
        <w:ind w:left="0"/>
        <w:jc w:val="both"/>
        <w:rPr>
          <w:rFonts w:ascii="Arial" w:hAnsi="Arial" w:cs="Arial"/>
          <w:sz w:val="24"/>
          <w:szCs w:val="24"/>
        </w:rPr>
      </w:pPr>
    </w:p>
    <w:p w14:paraId="0B426073" w14:textId="1A3E32C6"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90D19" w:rsidRPr="00250EF6">
        <w:rPr>
          <w:rFonts w:ascii="Arial" w:hAnsi="Arial" w:cs="Arial"/>
          <w:sz w:val="24"/>
          <w:szCs w:val="24"/>
        </w:rPr>
        <w:t xml:space="preserve">It had been the first respondent’s task to open and manage accounts with various suppliers. The relationship between the partnership and its suppliers </w:t>
      </w:r>
      <w:r w:rsidR="00E27A38" w:rsidRPr="00250EF6">
        <w:rPr>
          <w:rFonts w:ascii="Arial" w:hAnsi="Arial" w:cs="Arial"/>
          <w:sz w:val="24"/>
          <w:szCs w:val="24"/>
        </w:rPr>
        <w:t xml:space="preserve">over the past decade </w:t>
      </w:r>
      <w:r w:rsidR="00D90D19" w:rsidRPr="00250EF6">
        <w:rPr>
          <w:rFonts w:ascii="Arial" w:hAnsi="Arial" w:cs="Arial"/>
          <w:sz w:val="24"/>
          <w:szCs w:val="24"/>
        </w:rPr>
        <w:t xml:space="preserve">had </w:t>
      </w:r>
      <w:r w:rsidR="00F160D6" w:rsidRPr="00250EF6">
        <w:rPr>
          <w:rFonts w:ascii="Arial" w:hAnsi="Arial" w:cs="Arial"/>
          <w:sz w:val="24"/>
          <w:szCs w:val="24"/>
        </w:rPr>
        <w:t xml:space="preserve">proved to be </w:t>
      </w:r>
      <w:r w:rsidR="00E27A38" w:rsidRPr="00250EF6">
        <w:rPr>
          <w:rFonts w:ascii="Arial" w:hAnsi="Arial" w:cs="Arial"/>
          <w:sz w:val="24"/>
          <w:szCs w:val="24"/>
        </w:rPr>
        <w:t xml:space="preserve">mutually </w:t>
      </w:r>
      <w:r w:rsidR="00F160D6" w:rsidRPr="00250EF6">
        <w:rPr>
          <w:rFonts w:ascii="Arial" w:hAnsi="Arial" w:cs="Arial"/>
          <w:sz w:val="24"/>
          <w:szCs w:val="24"/>
        </w:rPr>
        <w:t>beneficial</w:t>
      </w:r>
      <w:r w:rsidR="00D90D19" w:rsidRPr="00250EF6">
        <w:rPr>
          <w:rFonts w:ascii="Arial" w:hAnsi="Arial" w:cs="Arial"/>
          <w:sz w:val="24"/>
          <w:szCs w:val="24"/>
        </w:rPr>
        <w:t>.</w:t>
      </w:r>
    </w:p>
    <w:p w14:paraId="0C62D672" w14:textId="77777777" w:rsidR="00642514" w:rsidRPr="00642514" w:rsidRDefault="00642514" w:rsidP="00642514">
      <w:pPr>
        <w:pStyle w:val="ListParagraph"/>
        <w:rPr>
          <w:rFonts w:ascii="Arial" w:hAnsi="Arial" w:cs="Arial"/>
          <w:sz w:val="24"/>
          <w:szCs w:val="24"/>
        </w:rPr>
      </w:pPr>
    </w:p>
    <w:p w14:paraId="74AF374E" w14:textId="6EBFDA99"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90D19" w:rsidRPr="00250EF6">
        <w:rPr>
          <w:rFonts w:ascii="Arial" w:hAnsi="Arial" w:cs="Arial"/>
          <w:sz w:val="24"/>
          <w:szCs w:val="24"/>
        </w:rPr>
        <w:t xml:space="preserve">On 7 March 2021, the first respondent’s attorneys notified the applicants’ attorneys that he had </w:t>
      </w:r>
      <w:r w:rsidR="00E27A38" w:rsidRPr="00250EF6">
        <w:rPr>
          <w:rFonts w:ascii="Arial" w:hAnsi="Arial" w:cs="Arial"/>
          <w:sz w:val="24"/>
          <w:szCs w:val="24"/>
        </w:rPr>
        <w:t xml:space="preserve">decided to </w:t>
      </w:r>
      <w:r w:rsidR="00D90D19" w:rsidRPr="00250EF6">
        <w:rPr>
          <w:rFonts w:ascii="Arial" w:hAnsi="Arial" w:cs="Arial"/>
          <w:sz w:val="24"/>
          <w:szCs w:val="24"/>
        </w:rPr>
        <w:t>terminate the partnership. The applicants accepted this.</w:t>
      </w:r>
      <w:r w:rsidR="00E27A38" w:rsidRPr="00250EF6">
        <w:rPr>
          <w:rFonts w:ascii="Arial" w:hAnsi="Arial" w:cs="Arial"/>
          <w:sz w:val="24"/>
          <w:szCs w:val="24"/>
        </w:rPr>
        <w:t xml:space="preserve"> </w:t>
      </w:r>
      <w:r w:rsidR="007A6E9C" w:rsidRPr="00250EF6">
        <w:rPr>
          <w:rFonts w:ascii="Arial" w:hAnsi="Arial" w:cs="Arial"/>
          <w:sz w:val="24"/>
          <w:szCs w:val="24"/>
        </w:rPr>
        <w:t>However, u</w:t>
      </w:r>
      <w:r w:rsidR="00E27A38" w:rsidRPr="00250EF6">
        <w:rPr>
          <w:rFonts w:ascii="Arial" w:hAnsi="Arial" w:cs="Arial"/>
          <w:sz w:val="24"/>
          <w:szCs w:val="24"/>
        </w:rPr>
        <w:t xml:space="preserve">pon the first respondent’s refusal to render a proper account of the financial affairs of the </w:t>
      </w:r>
      <w:r w:rsidR="00DD6039" w:rsidRPr="00250EF6">
        <w:rPr>
          <w:rFonts w:ascii="Arial" w:hAnsi="Arial" w:cs="Arial"/>
          <w:sz w:val="24"/>
          <w:szCs w:val="24"/>
        </w:rPr>
        <w:t>partnership</w:t>
      </w:r>
      <w:r w:rsidR="00E27A38" w:rsidRPr="00250EF6">
        <w:rPr>
          <w:rFonts w:ascii="Arial" w:hAnsi="Arial" w:cs="Arial"/>
          <w:sz w:val="24"/>
          <w:szCs w:val="24"/>
        </w:rPr>
        <w:t xml:space="preserve">, the applicants instituted action proceedings for such an account, as well as the debatement thereof, and </w:t>
      </w:r>
      <w:r w:rsidR="007A6E9C" w:rsidRPr="00250EF6">
        <w:rPr>
          <w:rFonts w:ascii="Arial" w:hAnsi="Arial" w:cs="Arial"/>
          <w:sz w:val="24"/>
          <w:szCs w:val="24"/>
        </w:rPr>
        <w:t xml:space="preserve">the </w:t>
      </w:r>
      <w:r w:rsidR="00E27A38" w:rsidRPr="00250EF6">
        <w:rPr>
          <w:rFonts w:ascii="Arial" w:hAnsi="Arial" w:cs="Arial"/>
          <w:sz w:val="24"/>
          <w:szCs w:val="24"/>
        </w:rPr>
        <w:t xml:space="preserve">payment to them of whatever amount was due. </w:t>
      </w:r>
    </w:p>
    <w:p w14:paraId="0CE637E4" w14:textId="77777777" w:rsidR="00642514" w:rsidRPr="00642514" w:rsidRDefault="00642514" w:rsidP="00642514">
      <w:pPr>
        <w:pStyle w:val="ListParagraph"/>
        <w:rPr>
          <w:rFonts w:ascii="Arial" w:hAnsi="Arial" w:cs="Arial"/>
          <w:sz w:val="24"/>
          <w:szCs w:val="24"/>
        </w:rPr>
      </w:pPr>
    </w:p>
    <w:p w14:paraId="41EC0098" w14:textId="28170474"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7A38" w:rsidRPr="00250EF6">
        <w:rPr>
          <w:rFonts w:ascii="Arial" w:hAnsi="Arial" w:cs="Arial"/>
          <w:sz w:val="24"/>
          <w:szCs w:val="24"/>
        </w:rPr>
        <w:t xml:space="preserve">The </w:t>
      </w:r>
      <w:r w:rsidR="007A6E9C" w:rsidRPr="00250EF6">
        <w:rPr>
          <w:rFonts w:ascii="Arial" w:hAnsi="Arial" w:cs="Arial"/>
          <w:sz w:val="24"/>
          <w:szCs w:val="24"/>
        </w:rPr>
        <w:t xml:space="preserve">applicants allege that, notwithstanding the above action, the business of PEG Labels has continued unabated. Orders have been placed, sales have been concluded, and </w:t>
      </w:r>
      <w:r w:rsidR="00DD6039" w:rsidRPr="00250EF6">
        <w:rPr>
          <w:rFonts w:ascii="Arial" w:hAnsi="Arial" w:cs="Arial"/>
          <w:sz w:val="24"/>
          <w:szCs w:val="24"/>
        </w:rPr>
        <w:t xml:space="preserve">PEG Labels </w:t>
      </w:r>
      <w:r w:rsidR="007A6E9C" w:rsidRPr="00250EF6">
        <w:rPr>
          <w:rFonts w:ascii="Arial" w:hAnsi="Arial" w:cs="Arial"/>
          <w:sz w:val="24"/>
          <w:szCs w:val="24"/>
        </w:rPr>
        <w:t>has made a profit, despite strained relations between the parties.</w:t>
      </w:r>
    </w:p>
    <w:p w14:paraId="261F211D" w14:textId="77777777" w:rsidR="00642514" w:rsidRPr="00642514" w:rsidRDefault="00642514" w:rsidP="00642514">
      <w:pPr>
        <w:pStyle w:val="ListParagraph"/>
        <w:rPr>
          <w:rFonts w:ascii="Arial" w:hAnsi="Arial" w:cs="Arial"/>
          <w:sz w:val="24"/>
          <w:szCs w:val="24"/>
        </w:rPr>
      </w:pPr>
    </w:p>
    <w:p w14:paraId="33CA3E19" w14:textId="722C455E"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A6E9C" w:rsidRPr="00250EF6">
        <w:rPr>
          <w:rFonts w:ascii="Arial" w:hAnsi="Arial" w:cs="Arial"/>
          <w:sz w:val="24"/>
          <w:szCs w:val="24"/>
        </w:rPr>
        <w:t xml:space="preserve">On 17 March 2022, it came to the attention of the applicants that the first respondent had instructed an employee to inform suppliers that all accounts held with them by </w:t>
      </w:r>
      <w:r w:rsidR="00DD6039" w:rsidRPr="00250EF6">
        <w:rPr>
          <w:rFonts w:ascii="Arial" w:hAnsi="Arial" w:cs="Arial"/>
          <w:sz w:val="24"/>
          <w:szCs w:val="24"/>
        </w:rPr>
        <w:t>PEG Labels</w:t>
      </w:r>
      <w:r w:rsidR="007A6E9C" w:rsidRPr="00250EF6">
        <w:rPr>
          <w:rFonts w:ascii="Arial" w:hAnsi="Arial" w:cs="Arial"/>
          <w:sz w:val="24"/>
          <w:szCs w:val="24"/>
        </w:rPr>
        <w:t xml:space="preserve"> were to be suspended with immediate effect, until further notice. This had resulted in </w:t>
      </w:r>
      <w:r w:rsidR="00BE6307" w:rsidRPr="00250EF6">
        <w:rPr>
          <w:rFonts w:ascii="Arial" w:hAnsi="Arial" w:cs="Arial"/>
          <w:sz w:val="24"/>
          <w:szCs w:val="24"/>
        </w:rPr>
        <w:t xml:space="preserve">numerous queries from the suppliers concerned, placing at risk the good relations that </w:t>
      </w:r>
      <w:r w:rsidR="00DD6039" w:rsidRPr="00250EF6">
        <w:rPr>
          <w:rFonts w:ascii="Arial" w:hAnsi="Arial" w:cs="Arial"/>
          <w:sz w:val="24"/>
          <w:szCs w:val="24"/>
        </w:rPr>
        <w:t>PEG Labels</w:t>
      </w:r>
      <w:r w:rsidR="00BE6307" w:rsidRPr="00250EF6">
        <w:rPr>
          <w:rFonts w:ascii="Arial" w:hAnsi="Arial" w:cs="Arial"/>
          <w:sz w:val="24"/>
          <w:szCs w:val="24"/>
        </w:rPr>
        <w:t xml:space="preserve"> enjoyed with them. The applicants feared that the first respondent would resort to similar tactics in the future.</w:t>
      </w:r>
    </w:p>
    <w:p w14:paraId="137EB3DD" w14:textId="77777777" w:rsidR="00642514" w:rsidRPr="00642514" w:rsidRDefault="00642514" w:rsidP="00642514">
      <w:pPr>
        <w:pStyle w:val="ListParagraph"/>
        <w:rPr>
          <w:rFonts w:ascii="Arial" w:hAnsi="Arial" w:cs="Arial"/>
          <w:sz w:val="24"/>
          <w:szCs w:val="24"/>
        </w:rPr>
      </w:pPr>
    </w:p>
    <w:p w14:paraId="48E2267A" w14:textId="3750943A" w:rsidR="00642514" w:rsidRPr="00250EF6" w:rsidRDefault="00250EF6" w:rsidP="00250EF6">
      <w:pPr>
        <w:spacing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BE6307" w:rsidRPr="00250EF6">
        <w:rPr>
          <w:rFonts w:ascii="Arial" w:hAnsi="Arial" w:cs="Arial"/>
          <w:sz w:val="24"/>
          <w:szCs w:val="24"/>
        </w:rPr>
        <w:t xml:space="preserve">Consequently, the applicants instructed their attorneys to demand from the </w:t>
      </w:r>
      <w:r w:rsidR="00F160D6" w:rsidRPr="00250EF6">
        <w:rPr>
          <w:rFonts w:ascii="Arial" w:hAnsi="Arial" w:cs="Arial"/>
          <w:sz w:val="24"/>
          <w:szCs w:val="24"/>
        </w:rPr>
        <w:t xml:space="preserve">first </w:t>
      </w:r>
      <w:r w:rsidR="00BE6307" w:rsidRPr="00250EF6">
        <w:rPr>
          <w:rFonts w:ascii="Arial" w:hAnsi="Arial" w:cs="Arial"/>
          <w:sz w:val="24"/>
          <w:szCs w:val="24"/>
        </w:rPr>
        <w:t xml:space="preserve">respondent’s attorneys, on 18 March 2022, that the accounts be reinstated, failing which urgent proceedings would commence. The applicants rely on the partnership agreement to assert that they have a right to good faith </w:t>
      </w:r>
      <w:r w:rsidR="00AC7A14" w:rsidRPr="00250EF6">
        <w:rPr>
          <w:rFonts w:ascii="Arial" w:hAnsi="Arial" w:cs="Arial"/>
          <w:sz w:val="24"/>
          <w:szCs w:val="24"/>
        </w:rPr>
        <w:t xml:space="preserve">from </w:t>
      </w:r>
      <w:r w:rsidR="00BE6307" w:rsidRPr="00250EF6">
        <w:rPr>
          <w:rFonts w:ascii="Arial" w:hAnsi="Arial" w:cs="Arial"/>
          <w:sz w:val="24"/>
          <w:szCs w:val="24"/>
        </w:rPr>
        <w:t>the first respondent and ha</w:t>
      </w:r>
      <w:r w:rsidR="00A408C9" w:rsidRPr="00250EF6">
        <w:rPr>
          <w:rFonts w:ascii="Arial" w:hAnsi="Arial" w:cs="Arial"/>
          <w:sz w:val="24"/>
          <w:szCs w:val="24"/>
        </w:rPr>
        <w:t>ve</w:t>
      </w:r>
      <w:r w:rsidR="00BE6307" w:rsidRPr="00250EF6">
        <w:rPr>
          <w:rFonts w:ascii="Arial" w:hAnsi="Arial" w:cs="Arial"/>
          <w:sz w:val="24"/>
          <w:szCs w:val="24"/>
        </w:rPr>
        <w:t xml:space="preserve"> a right to ensure that </w:t>
      </w:r>
      <w:r w:rsidR="00DD6039" w:rsidRPr="00250EF6">
        <w:rPr>
          <w:rFonts w:ascii="Arial" w:hAnsi="Arial" w:cs="Arial"/>
          <w:sz w:val="24"/>
          <w:szCs w:val="24"/>
        </w:rPr>
        <w:t>PEG Labels</w:t>
      </w:r>
      <w:r w:rsidR="00BE6307" w:rsidRPr="00250EF6">
        <w:rPr>
          <w:rFonts w:ascii="Arial" w:hAnsi="Arial" w:cs="Arial"/>
          <w:sz w:val="24"/>
          <w:szCs w:val="24"/>
        </w:rPr>
        <w:t xml:space="preserve"> continue</w:t>
      </w:r>
      <w:r w:rsidR="00A408C9" w:rsidRPr="00250EF6">
        <w:rPr>
          <w:rFonts w:ascii="Arial" w:hAnsi="Arial" w:cs="Arial"/>
          <w:sz w:val="24"/>
          <w:szCs w:val="24"/>
        </w:rPr>
        <w:t>s</w:t>
      </w:r>
      <w:r w:rsidR="00BE6307" w:rsidRPr="00250EF6">
        <w:rPr>
          <w:rFonts w:ascii="Arial" w:hAnsi="Arial" w:cs="Arial"/>
          <w:sz w:val="24"/>
          <w:szCs w:val="24"/>
        </w:rPr>
        <w:t xml:space="preserve"> to run smoothly, notwithstanding the first respondent’s having </w:t>
      </w:r>
      <w:r w:rsidR="00AC7A14" w:rsidRPr="00250EF6">
        <w:rPr>
          <w:rFonts w:ascii="Arial" w:hAnsi="Arial" w:cs="Arial"/>
          <w:sz w:val="24"/>
          <w:szCs w:val="24"/>
        </w:rPr>
        <w:t xml:space="preserve">left the partnership. The suspension of the accounts would cause irreparable harm to the business. At the time, the value of orders placed by clients with </w:t>
      </w:r>
      <w:r w:rsidR="00DD6039" w:rsidRPr="00250EF6">
        <w:rPr>
          <w:rFonts w:ascii="Arial" w:hAnsi="Arial" w:cs="Arial"/>
          <w:sz w:val="24"/>
          <w:szCs w:val="24"/>
        </w:rPr>
        <w:t xml:space="preserve">PEG Labels </w:t>
      </w:r>
      <w:r w:rsidR="00AC7A14" w:rsidRPr="00250EF6">
        <w:rPr>
          <w:rFonts w:ascii="Arial" w:hAnsi="Arial" w:cs="Arial"/>
          <w:sz w:val="24"/>
          <w:szCs w:val="24"/>
        </w:rPr>
        <w:t xml:space="preserve">for the production and delivery of </w:t>
      </w:r>
      <w:r w:rsidR="00DD6039" w:rsidRPr="00250EF6">
        <w:rPr>
          <w:rFonts w:ascii="Arial" w:hAnsi="Arial" w:cs="Arial"/>
          <w:sz w:val="24"/>
          <w:szCs w:val="24"/>
        </w:rPr>
        <w:t>products</w:t>
      </w:r>
      <w:r w:rsidR="00AC7A14" w:rsidRPr="00250EF6">
        <w:rPr>
          <w:rFonts w:ascii="Arial" w:hAnsi="Arial" w:cs="Arial"/>
          <w:sz w:val="24"/>
          <w:szCs w:val="24"/>
        </w:rPr>
        <w:t xml:space="preserve"> was just under R1,5 million</w:t>
      </w:r>
      <w:r w:rsidR="008619FD" w:rsidRPr="00250EF6">
        <w:rPr>
          <w:rFonts w:ascii="Arial" w:hAnsi="Arial" w:cs="Arial"/>
          <w:sz w:val="24"/>
          <w:szCs w:val="24"/>
        </w:rPr>
        <w:t>, which the business stood to lose</w:t>
      </w:r>
      <w:r w:rsidR="00DD6039" w:rsidRPr="00250EF6">
        <w:rPr>
          <w:rFonts w:ascii="Arial" w:hAnsi="Arial" w:cs="Arial"/>
          <w:sz w:val="24"/>
          <w:szCs w:val="24"/>
        </w:rPr>
        <w:t xml:space="preserve"> </w:t>
      </w:r>
      <w:r w:rsidR="00A408C9" w:rsidRPr="00250EF6">
        <w:rPr>
          <w:rFonts w:ascii="Arial" w:hAnsi="Arial" w:cs="Arial"/>
          <w:sz w:val="24"/>
          <w:szCs w:val="24"/>
        </w:rPr>
        <w:t>if</w:t>
      </w:r>
      <w:r w:rsidR="00DD6039" w:rsidRPr="00250EF6">
        <w:rPr>
          <w:rFonts w:ascii="Arial" w:hAnsi="Arial" w:cs="Arial"/>
          <w:sz w:val="24"/>
          <w:szCs w:val="24"/>
        </w:rPr>
        <w:t xml:space="preserve"> the situation was not rectified</w:t>
      </w:r>
      <w:r w:rsidR="00AC7A14" w:rsidRPr="00250EF6">
        <w:rPr>
          <w:rFonts w:ascii="Arial" w:hAnsi="Arial" w:cs="Arial"/>
          <w:sz w:val="24"/>
          <w:szCs w:val="24"/>
        </w:rPr>
        <w:t>. The applicants argue that the balance of convenience favour</w:t>
      </w:r>
      <w:r w:rsidR="00A408C9" w:rsidRPr="00250EF6">
        <w:rPr>
          <w:rFonts w:ascii="Arial" w:hAnsi="Arial" w:cs="Arial"/>
          <w:sz w:val="24"/>
          <w:szCs w:val="24"/>
        </w:rPr>
        <w:t>s</w:t>
      </w:r>
      <w:r w:rsidR="00AC7A14" w:rsidRPr="00250EF6">
        <w:rPr>
          <w:rFonts w:ascii="Arial" w:hAnsi="Arial" w:cs="Arial"/>
          <w:sz w:val="24"/>
          <w:szCs w:val="24"/>
        </w:rPr>
        <w:t xml:space="preserve"> the re</w:t>
      </w:r>
      <w:r w:rsidR="008619FD" w:rsidRPr="00250EF6">
        <w:rPr>
          <w:rFonts w:ascii="Arial" w:hAnsi="Arial" w:cs="Arial"/>
          <w:sz w:val="24"/>
          <w:szCs w:val="24"/>
        </w:rPr>
        <w:t>v</w:t>
      </w:r>
      <w:r w:rsidR="00AC7A14" w:rsidRPr="00250EF6">
        <w:rPr>
          <w:rFonts w:ascii="Arial" w:hAnsi="Arial" w:cs="Arial"/>
          <w:sz w:val="24"/>
          <w:szCs w:val="24"/>
        </w:rPr>
        <w:t>e</w:t>
      </w:r>
      <w:r w:rsidR="008619FD" w:rsidRPr="00250EF6">
        <w:rPr>
          <w:rFonts w:ascii="Arial" w:hAnsi="Arial" w:cs="Arial"/>
          <w:sz w:val="24"/>
          <w:szCs w:val="24"/>
        </w:rPr>
        <w:t>rs</w:t>
      </w:r>
      <w:r w:rsidR="00AC7A14" w:rsidRPr="00250EF6">
        <w:rPr>
          <w:rFonts w:ascii="Arial" w:hAnsi="Arial" w:cs="Arial"/>
          <w:sz w:val="24"/>
          <w:szCs w:val="24"/>
        </w:rPr>
        <w:t xml:space="preserve">ion </w:t>
      </w:r>
      <w:r w:rsidR="008619FD" w:rsidRPr="00250EF6">
        <w:rPr>
          <w:rFonts w:ascii="Arial" w:hAnsi="Arial" w:cs="Arial"/>
          <w:sz w:val="24"/>
          <w:szCs w:val="24"/>
        </w:rPr>
        <w:t>to</w:t>
      </w:r>
      <w:r w:rsidR="00AC7A14" w:rsidRPr="00250EF6">
        <w:rPr>
          <w:rFonts w:ascii="Arial" w:hAnsi="Arial" w:cs="Arial"/>
          <w:sz w:val="24"/>
          <w:szCs w:val="24"/>
        </w:rPr>
        <w:t xml:space="preserve"> the </w:t>
      </w:r>
      <w:r w:rsidR="00AC7A14" w:rsidRPr="00250EF6">
        <w:rPr>
          <w:rFonts w:ascii="Arial" w:hAnsi="Arial" w:cs="Arial"/>
          <w:i/>
          <w:iCs/>
          <w:sz w:val="24"/>
          <w:szCs w:val="24"/>
        </w:rPr>
        <w:t>status quo</w:t>
      </w:r>
      <w:r w:rsidR="008619FD" w:rsidRPr="00250EF6">
        <w:rPr>
          <w:rFonts w:ascii="Arial" w:hAnsi="Arial" w:cs="Arial"/>
          <w:i/>
          <w:iCs/>
          <w:sz w:val="24"/>
          <w:szCs w:val="24"/>
        </w:rPr>
        <w:t xml:space="preserve"> ante</w:t>
      </w:r>
      <w:r w:rsidR="00AC7A14" w:rsidRPr="00250EF6">
        <w:rPr>
          <w:rFonts w:ascii="Arial" w:hAnsi="Arial" w:cs="Arial"/>
          <w:sz w:val="24"/>
          <w:szCs w:val="24"/>
        </w:rPr>
        <w:t>, pending the outcome of the action instituted against the first respondent.</w:t>
      </w:r>
    </w:p>
    <w:p w14:paraId="30F7DCE8" w14:textId="77777777" w:rsidR="00642514" w:rsidRPr="00642514" w:rsidRDefault="00642514" w:rsidP="00642514">
      <w:pPr>
        <w:pStyle w:val="ListParagraph"/>
        <w:rPr>
          <w:rFonts w:ascii="Arial" w:hAnsi="Arial" w:cs="Arial"/>
          <w:sz w:val="24"/>
          <w:szCs w:val="24"/>
        </w:rPr>
      </w:pPr>
    </w:p>
    <w:p w14:paraId="4CC4BC2F" w14:textId="77777777" w:rsidR="00642514" w:rsidRPr="00642514" w:rsidRDefault="00642514" w:rsidP="00642514">
      <w:pPr>
        <w:pStyle w:val="ListParagraph"/>
        <w:rPr>
          <w:rFonts w:ascii="Arial" w:hAnsi="Arial" w:cs="Arial"/>
          <w:b/>
          <w:bCs/>
          <w:sz w:val="24"/>
          <w:szCs w:val="24"/>
        </w:rPr>
      </w:pPr>
    </w:p>
    <w:p w14:paraId="0AF7B255" w14:textId="1FBAFDD1" w:rsidR="00642514" w:rsidRDefault="001226EC" w:rsidP="00642514">
      <w:pPr>
        <w:pStyle w:val="ListParagraph"/>
        <w:spacing w:line="360" w:lineRule="auto"/>
        <w:ind w:left="0"/>
        <w:jc w:val="both"/>
        <w:rPr>
          <w:rFonts w:ascii="Arial" w:hAnsi="Arial" w:cs="Arial"/>
          <w:b/>
          <w:bCs/>
          <w:sz w:val="24"/>
          <w:szCs w:val="24"/>
        </w:rPr>
      </w:pPr>
      <w:r w:rsidRPr="00642514">
        <w:rPr>
          <w:rFonts w:ascii="Arial" w:hAnsi="Arial" w:cs="Arial"/>
          <w:b/>
          <w:bCs/>
          <w:sz w:val="24"/>
          <w:szCs w:val="24"/>
        </w:rPr>
        <w:t>Answering allegations</w:t>
      </w:r>
    </w:p>
    <w:p w14:paraId="63A804CE" w14:textId="77777777" w:rsidR="00642514" w:rsidRPr="00642514" w:rsidRDefault="00642514" w:rsidP="00642514">
      <w:pPr>
        <w:pStyle w:val="ListParagraph"/>
        <w:spacing w:line="360" w:lineRule="auto"/>
        <w:ind w:left="0"/>
        <w:jc w:val="both"/>
        <w:rPr>
          <w:rFonts w:ascii="Arial" w:hAnsi="Arial" w:cs="Arial"/>
          <w:sz w:val="24"/>
          <w:szCs w:val="24"/>
        </w:rPr>
      </w:pPr>
    </w:p>
    <w:p w14:paraId="4A8D26A0" w14:textId="77777777" w:rsidR="00642514" w:rsidRPr="00642514" w:rsidRDefault="00642514" w:rsidP="00642514">
      <w:pPr>
        <w:pStyle w:val="ListParagraph"/>
        <w:rPr>
          <w:rFonts w:ascii="Arial" w:hAnsi="Arial" w:cs="Arial"/>
          <w:sz w:val="24"/>
          <w:szCs w:val="24"/>
        </w:rPr>
      </w:pPr>
    </w:p>
    <w:p w14:paraId="57FDD197" w14:textId="18713EF9"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619FD" w:rsidRPr="00250EF6">
        <w:rPr>
          <w:rFonts w:ascii="Arial" w:hAnsi="Arial" w:cs="Arial"/>
          <w:sz w:val="24"/>
          <w:szCs w:val="24"/>
        </w:rPr>
        <w:t xml:space="preserve">The </w:t>
      </w:r>
      <w:r w:rsidR="004647C4" w:rsidRPr="00250EF6">
        <w:rPr>
          <w:rFonts w:ascii="Arial" w:hAnsi="Arial" w:cs="Arial"/>
          <w:sz w:val="24"/>
          <w:szCs w:val="24"/>
        </w:rPr>
        <w:t xml:space="preserve">first respondent is the sole director of the second respondent. The </w:t>
      </w:r>
      <w:r w:rsidR="008619FD" w:rsidRPr="00250EF6">
        <w:rPr>
          <w:rFonts w:ascii="Arial" w:hAnsi="Arial" w:cs="Arial"/>
          <w:sz w:val="24"/>
          <w:szCs w:val="24"/>
        </w:rPr>
        <w:t xml:space="preserve">basis for the first respondent’s point </w:t>
      </w:r>
      <w:r w:rsidR="008619FD" w:rsidRPr="00250EF6">
        <w:rPr>
          <w:rFonts w:ascii="Arial" w:hAnsi="Arial" w:cs="Arial"/>
          <w:i/>
          <w:iCs/>
          <w:sz w:val="24"/>
          <w:szCs w:val="24"/>
        </w:rPr>
        <w:t>in limine</w:t>
      </w:r>
      <w:r w:rsidR="008619FD" w:rsidRPr="00250EF6">
        <w:rPr>
          <w:rFonts w:ascii="Arial" w:hAnsi="Arial" w:cs="Arial"/>
          <w:sz w:val="24"/>
          <w:szCs w:val="24"/>
        </w:rPr>
        <w:t xml:space="preserve"> was that</w:t>
      </w:r>
      <w:r w:rsidR="004647C4" w:rsidRPr="00250EF6">
        <w:rPr>
          <w:rFonts w:ascii="Arial" w:hAnsi="Arial" w:cs="Arial"/>
          <w:sz w:val="24"/>
          <w:szCs w:val="24"/>
        </w:rPr>
        <w:t xml:space="preserve"> the applicants sought, to all intent and purposes, the reinstatement of accounts held with various suppliers by the second respondent, </w:t>
      </w:r>
      <w:r w:rsidR="00553075" w:rsidRPr="00250EF6">
        <w:rPr>
          <w:rFonts w:ascii="Arial" w:hAnsi="Arial" w:cs="Arial"/>
          <w:sz w:val="24"/>
          <w:szCs w:val="24"/>
        </w:rPr>
        <w:t xml:space="preserve">which </w:t>
      </w:r>
      <w:r w:rsidR="004647C4" w:rsidRPr="00250EF6">
        <w:rPr>
          <w:rFonts w:ascii="Arial" w:hAnsi="Arial" w:cs="Arial"/>
          <w:sz w:val="24"/>
          <w:szCs w:val="24"/>
        </w:rPr>
        <w:t>trad</w:t>
      </w:r>
      <w:r w:rsidR="00553075" w:rsidRPr="00250EF6">
        <w:rPr>
          <w:rFonts w:ascii="Arial" w:hAnsi="Arial" w:cs="Arial"/>
          <w:sz w:val="24"/>
          <w:szCs w:val="24"/>
        </w:rPr>
        <w:t>ed</w:t>
      </w:r>
      <w:r w:rsidR="004647C4" w:rsidRPr="00250EF6">
        <w:rPr>
          <w:rFonts w:ascii="Arial" w:hAnsi="Arial" w:cs="Arial"/>
          <w:sz w:val="24"/>
          <w:szCs w:val="24"/>
        </w:rPr>
        <w:t xml:space="preserve"> as ‘PEG Labelling’ (not ‘PEG Labels’). The applicants had failed to join the second respondent.</w:t>
      </w:r>
      <w:r w:rsidR="00553075" w:rsidRPr="00250EF6">
        <w:rPr>
          <w:rFonts w:ascii="Arial" w:hAnsi="Arial" w:cs="Arial"/>
          <w:sz w:val="24"/>
          <w:szCs w:val="24"/>
        </w:rPr>
        <w:t xml:space="preserve"> As already discussed, the applicants subsequently remedied this.</w:t>
      </w:r>
    </w:p>
    <w:p w14:paraId="5F18556B" w14:textId="77777777" w:rsidR="00642514" w:rsidRDefault="00642514" w:rsidP="00642514">
      <w:pPr>
        <w:pStyle w:val="ListParagraph"/>
        <w:spacing w:line="360" w:lineRule="auto"/>
        <w:ind w:left="0"/>
        <w:jc w:val="both"/>
        <w:rPr>
          <w:rFonts w:ascii="Arial" w:hAnsi="Arial" w:cs="Arial"/>
          <w:sz w:val="24"/>
          <w:szCs w:val="24"/>
        </w:rPr>
      </w:pPr>
    </w:p>
    <w:p w14:paraId="2AE8EADF" w14:textId="03A7CF28"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647C4" w:rsidRPr="00250EF6">
        <w:rPr>
          <w:rFonts w:ascii="Arial" w:hAnsi="Arial" w:cs="Arial"/>
          <w:sz w:val="24"/>
          <w:szCs w:val="24"/>
        </w:rPr>
        <w:t>Turning to the merits, the first respondent contends that the applicants are employed by the second respondent as a sales manager and production manager, respectively</w:t>
      </w:r>
      <w:r w:rsidR="007E2C5A" w:rsidRPr="00250EF6">
        <w:rPr>
          <w:rFonts w:ascii="Arial" w:hAnsi="Arial" w:cs="Arial"/>
          <w:sz w:val="24"/>
          <w:szCs w:val="24"/>
        </w:rPr>
        <w:t>, and attaches copies of salary slips in support thereof</w:t>
      </w:r>
      <w:r w:rsidR="004647C4" w:rsidRPr="00250EF6">
        <w:rPr>
          <w:rFonts w:ascii="Arial" w:hAnsi="Arial" w:cs="Arial"/>
          <w:sz w:val="24"/>
          <w:szCs w:val="24"/>
        </w:rPr>
        <w:t>.</w:t>
      </w:r>
      <w:r w:rsidR="00553075" w:rsidRPr="00250EF6">
        <w:rPr>
          <w:rFonts w:ascii="Arial" w:hAnsi="Arial" w:cs="Arial"/>
          <w:sz w:val="24"/>
          <w:szCs w:val="24"/>
        </w:rPr>
        <w:t xml:space="preserve"> He denies that a partnership was ever created, mentioning </w:t>
      </w:r>
      <w:r w:rsidR="00E2144E" w:rsidRPr="00250EF6">
        <w:rPr>
          <w:rFonts w:ascii="Arial" w:hAnsi="Arial" w:cs="Arial"/>
          <w:sz w:val="24"/>
          <w:szCs w:val="24"/>
        </w:rPr>
        <w:t>several</w:t>
      </w:r>
      <w:r w:rsidR="00553075" w:rsidRPr="00250EF6">
        <w:rPr>
          <w:rFonts w:ascii="Arial" w:hAnsi="Arial" w:cs="Arial"/>
          <w:sz w:val="24"/>
          <w:szCs w:val="24"/>
        </w:rPr>
        <w:t xml:space="preserve"> conditions that were never fulfilled. </w:t>
      </w:r>
      <w:r w:rsidR="00E2144E" w:rsidRPr="00250EF6">
        <w:rPr>
          <w:rFonts w:ascii="Arial" w:hAnsi="Arial" w:cs="Arial"/>
          <w:sz w:val="24"/>
          <w:szCs w:val="24"/>
        </w:rPr>
        <w:t>The business of the purported partnership, he says, ran at a loss and was taken over by the second respondent.</w:t>
      </w:r>
    </w:p>
    <w:p w14:paraId="04CA428D" w14:textId="77777777" w:rsidR="00642514" w:rsidRPr="00642514" w:rsidRDefault="00642514" w:rsidP="00642514">
      <w:pPr>
        <w:pStyle w:val="ListParagraph"/>
        <w:rPr>
          <w:rFonts w:ascii="Arial" w:hAnsi="Arial" w:cs="Arial"/>
          <w:sz w:val="24"/>
          <w:szCs w:val="24"/>
        </w:rPr>
      </w:pPr>
    </w:p>
    <w:p w14:paraId="66E9DC99" w14:textId="70B8BBC5" w:rsidR="00642514" w:rsidRPr="00250EF6" w:rsidRDefault="00250EF6" w:rsidP="00250EF6">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E2144E" w:rsidRPr="00250EF6">
        <w:rPr>
          <w:rFonts w:ascii="Arial" w:hAnsi="Arial" w:cs="Arial"/>
          <w:sz w:val="24"/>
          <w:szCs w:val="24"/>
        </w:rPr>
        <w:t>The first respondent states that, as the sole director of the second respondent, he is responsible for its financial affairs, including the management of accounts held with suppliers. He refutes the assertion that he is obliged to render an account of the second respondent’s financial affairs to its employees, i.e. the applicants. The second respondent’s income was used to settle the second respondent’s expenses.</w:t>
      </w:r>
    </w:p>
    <w:p w14:paraId="165F57EE" w14:textId="77777777" w:rsidR="00642514" w:rsidRPr="00642514" w:rsidRDefault="00642514" w:rsidP="00642514">
      <w:pPr>
        <w:pStyle w:val="ListParagraph"/>
        <w:rPr>
          <w:rFonts w:ascii="Arial" w:hAnsi="Arial" w:cs="Arial"/>
          <w:sz w:val="24"/>
          <w:szCs w:val="24"/>
        </w:rPr>
      </w:pPr>
    </w:p>
    <w:p w14:paraId="36C09D96" w14:textId="56D49584"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1225E" w:rsidRPr="00250EF6">
        <w:rPr>
          <w:rFonts w:ascii="Arial" w:hAnsi="Arial" w:cs="Arial"/>
          <w:sz w:val="24"/>
          <w:szCs w:val="24"/>
        </w:rPr>
        <w:t>The partnership, contends the first respondent, was indeed terminated. This occurred when the conditions attached to the partnership agreement were never fulfilled; his attorneys merely confirmed the position when they notified the applicants’ attorneys on 7 March 2021.</w:t>
      </w:r>
    </w:p>
    <w:p w14:paraId="46848382" w14:textId="77777777" w:rsidR="00642514" w:rsidRPr="00642514" w:rsidRDefault="00642514" w:rsidP="00642514">
      <w:pPr>
        <w:pStyle w:val="ListParagraph"/>
        <w:rPr>
          <w:rFonts w:ascii="Arial" w:hAnsi="Arial" w:cs="Arial"/>
          <w:sz w:val="24"/>
          <w:szCs w:val="24"/>
        </w:rPr>
      </w:pPr>
    </w:p>
    <w:p w14:paraId="47064948" w14:textId="0E9D37F3"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1225E" w:rsidRPr="00250EF6">
        <w:rPr>
          <w:rFonts w:ascii="Arial" w:hAnsi="Arial" w:cs="Arial"/>
          <w:sz w:val="24"/>
          <w:szCs w:val="24"/>
        </w:rPr>
        <w:t xml:space="preserve">In relation to the suspension of the accounts, the first respondent says that it was brought to his attention that the orders for stock and materials that had been placed with suppliers far exceeded the needs of the second respondent. He mentions that the second respondent had previously incurred debt with suppliers, placing the second respondent in financial difficulty and necessitating arrangements </w:t>
      </w:r>
      <w:r w:rsidR="00075D01" w:rsidRPr="00250EF6">
        <w:rPr>
          <w:rFonts w:ascii="Arial" w:hAnsi="Arial" w:cs="Arial"/>
          <w:sz w:val="24"/>
          <w:szCs w:val="24"/>
        </w:rPr>
        <w:t>for repayment</w:t>
      </w:r>
      <w:r w:rsidR="00D1225E" w:rsidRPr="00250EF6">
        <w:rPr>
          <w:rFonts w:ascii="Arial" w:hAnsi="Arial" w:cs="Arial"/>
          <w:sz w:val="24"/>
          <w:szCs w:val="24"/>
        </w:rPr>
        <w:t>.</w:t>
      </w:r>
      <w:r w:rsidR="00C93F97" w:rsidRPr="00250EF6">
        <w:rPr>
          <w:rFonts w:ascii="Arial" w:hAnsi="Arial" w:cs="Arial"/>
          <w:sz w:val="24"/>
          <w:szCs w:val="24"/>
        </w:rPr>
        <w:t xml:space="preserve"> Accordingly, </w:t>
      </w:r>
      <w:r w:rsidR="0020394F" w:rsidRPr="00250EF6">
        <w:rPr>
          <w:rFonts w:ascii="Arial" w:hAnsi="Arial" w:cs="Arial"/>
          <w:sz w:val="24"/>
          <w:szCs w:val="24"/>
        </w:rPr>
        <w:t xml:space="preserve">in keeping with his fiduciary responsibilities, the first respondent </w:t>
      </w:r>
      <w:r w:rsidR="00C93F97" w:rsidRPr="00250EF6">
        <w:rPr>
          <w:rFonts w:ascii="Arial" w:hAnsi="Arial" w:cs="Arial"/>
          <w:sz w:val="24"/>
          <w:szCs w:val="24"/>
        </w:rPr>
        <w:t xml:space="preserve">had </w:t>
      </w:r>
      <w:r w:rsidR="0020394F" w:rsidRPr="00250EF6">
        <w:rPr>
          <w:rFonts w:ascii="Arial" w:hAnsi="Arial" w:cs="Arial"/>
          <w:sz w:val="24"/>
          <w:szCs w:val="24"/>
        </w:rPr>
        <w:t>instructed that the accounts be suspended.</w:t>
      </w:r>
    </w:p>
    <w:p w14:paraId="76FBBF04" w14:textId="77777777" w:rsidR="00642514" w:rsidRPr="00642514" w:rsidRDefault="00642514" w:rsidP="00642514">
      <w:pPr>
        <w:pStyle w:val="ListParagraph"/>
        <w:rPr>
          <w:rFonts w:ascii="Arial" w:hAnsi="Arial" w:cs="Arial"/>
          <w:sz w:val="24"/>
          <w:szCs w:val="24"/>
        </w:rPr>
      </w:pPr>
    </w:p>
    <w:p w14:paraId="09D7A503" w14:textId="089680B2"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0394F" w:rsidRPr="00250EF6">
        <w:rPr>
          <w:rFonts w:ascii="Arial" w:hAnsi="Arial" w:cs="Arial"/>
          <w:sz w:val="24"/>
          <w:szCs w:val="24"/>
        </w:rPr>
        <w:t xml:space="preserve">The first respondent emphasises that he does not have any partnership interest in ‘PEG Labels’. He is the shareholder and sole director of the second respondent, which trades as ‘PEG Labelling’. </w:t>
      </w:r>
    </w:p>
    <w:p w14:paraId="54BCE679" w14:textId="77777777" w:rsidR="00642514" w:rsidRPr="00642514" w:rsidRDefault="00642514" w:rsidP="00642514">
      <w:pPr>
        <w:pStyle w:val="ListParagraph"/>
        <w:rPr>
          <w:rFonts w:ascii="Arial" w:hAnsi="Arial" w:cs="Arial"/>
          <w:sz w:val="24"/>
          <w:szCs w:val="24"/>
        </w:rPr>
      </w:pPr>
    </w:p>
    <w:p w14:paraId="2C62F563" w14:textId="5182CDCD"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0394F" w:rsidRPr="00250EF6">
        <w:rPr>
          <w:rFonts w:ascii="Arial" w:hAnsi="Arial" w:cs="Arial"/>
          <w:sz w:val="24"/>
          <w:szCs w:val="24"/>
        </w:rPr>
        <w:t xml:space="preserve">The accounts have indeed been reinstated, says the first respondent. However, this was done subject to the requirement that formal orders were to be placed in future, rather than informal orders </w:t>
      </w:r>
      <w:r w:rsidR="00A408C9" w:rsidRPr="00250EF6">
        <w:rPr>
          <w:rFonts w:ascii="Arial" w:hAnsi="Arial" w:cs="Arial"/>
          <w:sz w:val="24"/>
          <w:szCs w:val="24"/>
        </w:rPr>
        <w:t>(</w:t>
      </w:r>
      <w:r w:rsidR="0020394F" w:rsidRPr="00250EF6">
        <w:rPr>
          <w:rFonts w:ascii="Arial" w:hAnsi="Arial" w:cs="Arial"/>
          <w:sz w:val="24"/>
          <w:szCs w:val="24"/>
        </w:rPr>
        <w:t>made by email or telephone</w:t>
      </w:r>
      <w:r w:rsidR="00A408C9" w:rsidRPr="00250EF6">
        <w:rPr>
          <w:rFonts w:ascii="Arial" w:hAnsi="Arial" w:cs="Arial"/>
          <w:sz w:val="24"/>
          <w:szCs w:val="24"/>
        </w:rPr>
        <w:t>)</w:t>
      </w:r>
      <w:r w:rsidR="0020394F" w:rsidRPr="00250EF6">
        <w:rPr>
          <w:rFonts w:ascii="Arial" w:hAnsi="Arial" w:cs="Arial"/>
          <w:sz w:val="24"/>
          <w:szCs w:val="24"/>
        </w:rPr>
        <w:t xml:space="preserve">, </w:t>
      </w:r>
      <w:r w:rsidR="00A408C9" w:rsidRPr="00250EF6">
        <w:rPr>
          <w:rFonts w:ascii="Arial" w:hAnsi="Arial" w:cs="Arial"/>
          <w:sz w:val="24"/>
          <w:szCs w:val="24"/>
        </w:rPr>
        <w:t xml:space="preserve">so as </w:t>
      </w:r>
      <w:r w:rsidR="0020394F" w:rsidRPr="00250EF6">
        <w:rPr>
          <w:rFonts w:ascii="Arial" w:hAnsi="Arial" w:cs="Arial"/>
          <w:sz w:val="24"/>
          <w:szCs w:val="24"/>
        </w:rPr>
        <w:t>to avoid the unnecessary incurring of further debt. There was adequate stock on hand to meet the demands of existing clients</w:t>
      </w:r>
      <w:r w:rsidR="00070E22" w:rsidRPr="00250EF6">
        <w:rPr>
          <w:rFonts w:ascii="Arial" w:hAnsi="Arial" w:cs="Arial"/>
          <w:sz w:val="24"/>
          <w:szCs w:val="24"/>
        </w:rPr>
        <w:t xml:space="preserve"> and business had carried on as usual.</w:t>
      </w:r>
      <w:r w:rsidR="0020394F" w:rsidRPr="00250EF6">
        <w:rPr>
          <w:rFonts w:ascii="Arial" w:hAnsi="Arial" w:cs="Arial"/>
          <w:sz w:val="24"/>
          <w:szCs w:val="24"/>
        </w:rPr>
        <w:t xml:space="preserve"> </w:t>
      </w:r>
    </w:p>
    <w:p w14:paraId="644C3D9E" w14:textId="77777777" w:rsidR="00642514" w:rsidRPr="00642514" w:rsidRDefault="00642514" w:rsidP="00642514">
      <w:pPr>
        <w:pStyle w:val="ListParagraph"/>
        <w:rPr>
          <w:rFonts w:ascii="Arial" w:hAnsi="Arial" w:cs="Arial"/>
          <w:sz w:val="24"/>
          <w:szCs w:val="24"/>
        </w:rPr>
      </w:pPr>
    </w:p>
    <w:p w14:paraId="189CED25" w14:textId="77777777" w:rsidR="00642514" w:rsidRPr="00642514" w:rsidRDefault="00642514" w:rsidP="00642514">
      <w:pPr>
        <w:pStyle w:val="ListParagraph"/>
        <w:rPr>
          <w:rFonts w:ascii="Arial" w:hAnsi="Arial" w:cs="Arial"/>
          <w:b/>
          <w:bCs/>
          <w:sz w:val="24"/>
          <w:szCs w:val="24"/>
        </w:rPr>
      </w:pPr>
    </w:p>
    <w:p w14:paraId="66657BB1" w14:textId="5EB6F60D" w:rsidR="00642514" w:rsidRDefault="002C413E" w:rsidP="00642514">
      <w:pPr>
        <w:pStyle w:val="ListParagraph"/>
        <w:spacing w:line="360" w:lineRule="auto"/>
        <w:ind w:left="0"/>
        <w:jc w:val="both"/>
        <w:rPr>
          <w:rFonts w:ascii="Arial" w:hAnsi="Arial" w:cs="Arial"/>
          <w:b/>
          <w:bCs/>
          <w:sz w:val="24"/>
          <w:szCs w:val="24"/>
        </w:rPr>
      </w:pPr>
      <w:r w:rsidRPr="00642514">
        <w:rPr>
          <w:rFonts w:ascii="Arial" w:hAnsi="Arial" w:cs="Arial"/>
          <w:b/>
          <w:bCs/>
          <w:sz w:val="24"/>
          <w:szCs w:val="24"/>
        </w:rPr>
        <w:t>Reply</w:t>
      </w:r>
      <w:r w:rsidR="00D2512F" w:rsidRPr="00642514">
        <w:rPr>
          <w:rFonts w:ascii="Arial" w:hAnsi="Arial" w:cs="Arial"/>
          <w:b/>
          <w:bCs/>
          <w:sz w:val="24"/>
          <w:szCs w:val="24"/>
        </w:rPr>
        <w:t>ing allegations</w:t>
      </w:r>
    </w:p>
    <w:p w14:paraId="2C0A28C4" w14:textId="77777777" w:rsidR="00642514" w:rsidRPr="00642514" w:rsidRDefault="00642514" w:rsidP="00642514">
      <w:pPr>
        <w:pStyle w:val="ListParagraph"/>
        <w:spacing w:line="360" w:lineRule="auto"/>
        <w:ind w:left="0"/>
        <w:jc w:val="both"/>
        <w:rPr>
          <w:rFonts w:ascii="Arial" w:hAnsi="Arial" w:cs="Arial"/>
          <w:sz w:val="24"/>
          <w:szCs w:val="24"/>
        </w:rPr>
      </w:pPr>
    </w:p>
    <w:p w14:paraId="61FB1785" w14:textId="77777777" w:rsidR="00642514" w:rsidRPr="00642514" w:rsidRDefault="00642514" w:rsidP="00642514">
      <w:pPr>
        <w:pStyle w:val="ListParagraph"/>
        <w:rPr>
          <w:rFonts w:ascii="Arial" w:hAnsi="Arial" w:cs="Arial"/>
          <w:sz w:val="24"/>
          <w:szCs w:val="24"/>
        </w:rPr>
      </w:pPr>
    </w:p>
    <w:p w14:paraId="3AC28CD0" w14:textId="36C250B5"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C413E" w:rsidRPr="00250EF6">
        <w:rPr>
          <w:rFonts w:ascii="Arial" w:hAnsi="Arial" w:cs="Arial"/>
          <w:sz w:val="24"/>
          <w:szCs w:val="24"/>
        </w:rPr>
        <w:t xml:space="preserve">The applicants explain that when the business of the partnership </w:t>
      </w:r>
      <w:r w:rsidR="00075D01" w:rsidRPr="00250EF6">
        <w:rPr>
          <w:rFonts w:ascii="Arial" w:hAnsi="Arial" w:cs="Arial"/>
          <w:sz w:val="24"/>
          <w:szCs w:val="24"/>
        </w:rPr>
        <w:t xml:space="preserve">first </w:t>
      </w:r>
      <w:r w:rsidR="002C413E" w:rsidRPr="00250EF6">
        <w:rPr>
          <w:rFonts w:ascii="Arial" w:hAnsi="Arial" w:cs="Arial"/>
          <w:sz w:val="24"/>
          <w:szCs w:val="24"/>
        </w:rPr>
        <w:t>commenced, it was agreed that it would use the second respondent’s facilities and resources, such as factory floor space, administrative staff</w:t>
      </w:r>
      <w:r w:rsidR="00B0439F" w:rsidRPr="00250EF6">
        <w:rPr>
          <w:rFonts w:ascii="Arial" w:hAnsi="Arial" w:cs="Arial"/>
          <w:sz w:val="24"/>
          <w:szCs w:val="24"/>
        </w:rPr>
        <w:t xml:space="preserve">, and the </w:t>
      </w:r>
      <w:r w:rsidR="00075D01" w:rsidRPr="00250EF6">
        <w:rPr>
          <w:rFonts w:ascii="Arial" w:hAnsi="Arial" w:cs="Arial"/>
          <w:sz w:val="24"/>
          <w:szCs w:val="24"/>
        </w:rPr>
        <w:t xml:space="preserve">second respondent’s </w:t>
      </w:r>
      <w:r w:rsidR="00B0439F" w:rsidRPr="00250EF6">
        <w:rPr>
          <w:rFonts w:ascii="Arial" w:hAnsi="Arial" w:cs="Arial"/>
          <w:sz w:val="24"/>
          <w:szCs w:val="24"/>
        </w:rPr>
        <w:t xml:space="preserve">bank account. </w:t>
      </w:r>
      <w:r w:rsidR="00A36D44" w:rsidRPr="00250EF6">
        <w:rPr>
          <w:rFonts w:ascii="Arial" w:hAnsi="Arial" w:cs="Arial"/>
          <w:sz w:val="24"/>
          <w:szCs w:val="24"/>
        </w:rPr>
        <w:t xml:space="preserve">Transactions with partnership clients would be conducted via the bank account </w:t>
      </w:r>
      <w:r w:rsidR="00075D01" w:rsidRPr="00250EF6">
        <w:rPr>
          <w:rFonts w:ascii="Arial" w:hAnsi="Arial" w:cs="Arial"/>
          <w:sz w:val="24"/>
          <w:szCs w:val="24"/>
        </w:rPr>
        <w:t>in question</w:t>
      </w:r>
      <w:r w:rsidR="00A36D44" w:rsidRPr="00250EF6">
        <w:rPr>
          <w:rFonts w:ascii="Arial" w:hAnsi="Arial" w:cs="Arial"/>
          <w:sz w:val="24"/>
          <w:szCs w:val="24"/>
        </w:rPr>
        <w:t xml:space="preserve">. </w:t>
      </w:r>
      <w:r w:rsidR="00957D09" w:rsidRPr="00250EF6">
        <w:rPr>
          <w:rFonts w:ascii="Arial" w:hAnsi="Arial" w:cs="Arial"/>
          <w:sz w:val="24"/>
          <w:szCs w:val="24"/>
        </w:rPr>
        <w:t>The partnership traded as either ‘PEG Labels’ or ‘PEG Labelling’, using the names interchangeably.</w:t>
      </w:r>
      <w:r w:rsidR="009B7313" w:rsidRPr="00250EF6">
        <w:rPr>
          <w:rFonts w:ascii="Arial" w:hAnsi="Arial" w:cs="Arial"/>
          <w:sz w:val="24"/>
          <w:szCs w:val="24"/>
        </w:rPr>
        <w:t xml:space="preserve"> </w:t>
      </w:r>
    </w:p>
    <w:p w14:paraId="47A77BA8" w14:textId="77777777" w:rsidR="00642514" w:rsidRDefault="00642514" w:rsidP="00642514">
      <w:pPr>
        <w:pStyle w:val="ListParagraph"/>
        <w:spacing w:line="360" w:lineRule="auto"/>
        <w:ind w:left="0"/>
        <w:jc w:val="both"/>
        <w:rPr>
          <w:rFonts w:ascii="Arial" w:hAnsi="Arial" w:cs="Arial"/>
          <w:sz w:val="24"/>
          <w:szCs w:val="24"/>
        </w:rPr>
      </w:pPr>
    </w:p>
    <w:p w14:paraId="5BC07995" w14:textId="446B8F21"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36D44" w:rsidRPr="00250EF6">
        <w:rPr>
          <w:rFonts w:ascii="Arial" w:hAnsi="Arial" w:cs="Arial"/>
          <w:sz w:val="24"/>
          <w:szCs w:val="24"/>
        </w:rPr>
        <w:t>T</w:t>
      </w:r>
      <w:r w:rsidR="00B0439F" w:rsidRPr="00250EF6">
        <w:rPr>
          <w:rFonts w:ascii="Arial" w:hAnsi="Arial" w:cs="Arial"/>
          <w:sz w:val="24"/>
          <w:szCs w:val="24"/>
        </w:rPr>
        <w:t xml:space="preserve">he reinstatement of the accounts </w:t>
      </w:r>
      <w:r w:rsidR="00D2512F" w:rsidRPr="00250EF6">
        <w:rPr>
          <w:rFonts w:ascii="Arial" w:hAnsi="Arial" w:cs="Arial"/>
          <w:sz w:val="24"/>
          <w:szCs w:val="24"/>
        </w:rPr>
        <w:t xml:space="preserve">held </w:t>
      </w:r>
      <w:r w:rsidR="00B0439F" w:rsidRPr="00250EF6">
        <w:rPr>
          <w:rFonts w:ascii="Arial" w:hAnsi="Arial" w:cs="Arial"/>
          <w:sz w:val="24"/>
          <w:szCs w:val="24"/>
        </w:rPr>
        <w:t xml:space="preserve">with suppliers for the </w:t>
      </w:r>
      <w:r w:rsidR="00D2512F" w:rsidRPr="00250EF6">
        <w:rPr>
          <w:rFonts w:ascii="Arial" w:hAnsi="Arial" w:cs="Arial"/>
          <w:sz w:val="24"/>
          <w:szCs w:val="24"/>
        </w:rPr>
        <w:t>partnership</w:t>
      </w:r>
      <w:r w:rsidR="00A36D44" w:rsidRPr="00250EF6">
        <w:rPr>
          <w:rFonts w:ascii="Arial" w:hAnsi="Arial" w:cs="Arial"/>
          <w:sz w:val="24"/>
          <w:szCs w:val="24"/>
        </w:rPr>
        <w:t xml:space="preserve"> is all that the applicant</w:t>
      </w:r>
      <w:r w:rsidR="00075D01" w:rsidRPr="00250EF6">
        <w:rPr>
          <w:rFonts w:ascii="Arial" w:hAnsi="Arial" w:cs="Arial"/>
          <w:sz w:val="24"/>
          <w:szCs w:val="24"/>
        </w:rPr>
        <w:t>s</w:t>
      </w:r>
      <w:r w:rsidR="00A36D44" w:rsidRPr="00250EF6">
        <w:rPr>
          <w:rFonts w:ascii="Arial" w:hAnsi="Arial" w:cs="Arial"/>
          <w:sz w:val="24"/>
          <w:szCs w:val="24"/>
        </w:rPr>
        <w:t xml:space="preserve"> seek</w:t>
      </w:r>
      <w:r w:rsidR="00B0439F" w:rsidRPr="00250EF6">
        <w:rPr>
          <w:rFonts w:ascii="Arial" w:hAnsi="Arial" w:cs="Arial"/>
          <w:sz w:val="24"/>
          <w:szCs w:val="24"/>
        </w:rPr>
        <w:t>. It is the applicants’ contention that the first respondent cannot suspend the accounts unless a partnership decision has been taken to that effect and that he has failed to appreciate that the core business of the partnership is entirely separate to that of the second respondent.</w:t>
      </w:r>
      <w:r w:rsidR="00957D09" w:rsidRPr="00250EF6">
        <w:rPr>
          <w:rFonts w:ascii="Arial" w:hAnsi="Arial" w:cs="Arial"/>
          <w:sz w:val="24"/>
          <w:szCs w:val="24"/>
        </w:rPr>
        <w:t xml:space="preserve"> The accusation is made that the </w:t>
      </w:r>
      <w:r w:rsidR="00A408C9" w:rsidRPr="00250EF6">
        <w:rPr>
          <w:rFonts w:ascii="Arial" w:hAnsi="Arial" w:cs="Arial"/>
          <w:sz w:val="24"/>
          <w:szCs w:val="24"/>
        </w:rPr>
        <w:t xml:space="preserve">first </w:t>
      </w:r>
      <w:r w:rsidR="00957D09" w:rsidRPr="00250EF6">
        <w:rPr>
          <w:rFonts w:ascii="Arial" w:hAnsi="Arial" w:cs="Arial"/>
          <w:sz w:val="24"/>
          <w:szCs w:val="24"/>
        </w:rPr>
        <w:t>respondent mismanaged the partnership’s financial affairs and used its income to pay the second respondent’s expenses.</w:t>
      </w:r>
    </w:p>
    <w:p w14:paraId="0FB7484D" w14:textId="77777777" w:rsidR="00642514" w:rsidRPr="00642514" w:rsidRDefault="00642514" w:rsidP="00642514">
      <w:pPr>
        <w:pStyle w:val="ListParagraph"/>
        <w:rPr>
          <w:rFonts w:ascii="Arial" w:hAnsi="Arial" w:cs="Arial"/>
          <w:sz w:val="24"/>
          <w:szCs w:val="24"/>
        </w:rPr>
      </w:pPr>
    </w:p>
    <w:p w14:paraId="3BFDEE78" w14:textId="32AA705A"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57D09" w:rsidRPr="00250EF6">
        <w:rPr>
          <w:rFonts w:ascii="Arial" w:hAnsi="Arial" w:cs="Arial"/>
          <w:sz w:val="24"/>
          <w:szCs w:val="24"/>
        </w:rPr>
        <w:t xml:space="preserve">The applicants deny that they are employed by the second respondent. They assert that they </w:t>
      </w:r>
      <w:r w:rsidR="00075D01" w:rsidRPr="00250EF6">
        <w:rPr>
          <w:rFonts w:ascii="Arial" w:hAnsi="Arial" w:cs="Arial"/>
          <w:sz w:val="24"/>
          <w:szCs w:val="24"/>
        </w:rPr>
        <w:t xml:space="preserve">have always been </w:t>
      </w:r>
      <w:r w:rsidR="00957D09" w:rsidRPr="00250EF6">
        <w:rPr>
          <w:rFonts w:ascii="Arial" w:hAnsi="Arial" w:cs="Arial"/>
          <w:sz w:val="24"/>
          <w:szCs w:val="24"/>
        </w:rPr>
        <w:t xml:space="preserve">full partners </w:t>
      </w:r>
      <w:r w:rsidR="00075D01" w:rsidRPr="00250EF6">
        <w:rPr>
          <w:rFonts w:ascii="Arial" w:hAnsi="Arial" w:cs="Arial"/>
          <w:sz w:val="24"/>
          <w:szCs w:val="24"/>
        </w:rPr>
        <w:t>in the partnership trading as PEG Labels</w:t>
      </w:r>
      <w:r w:rsidR="00A408C9" w:rsidRPr="00250EF6">
        <w:rPr>
          <w:rFonts w:ascii="Arial" w:hAnsi="Arial" w:cs="Arial"/>
          <w:sz w:val="24"/>
          <w:szCs w:val="24"/>
        </w:rPr>
        <w:t>; they</w:t>
      </w:r>
      <w:r w:rsidR="00957D09" w:rsidRPr="00250EF6">
        <w:rPr>
          <w:rFonts w:ascii="Arial" w:hAnsi="Arial" w:cs="Arial"/>
          <w:sz w:val="24"/>
          <w:szCs w:val="24"/>
        </w:rPr>
        <w:t xml:space="preserve"> receiv</w:t>
      </w:r>
      <w:r w:rsidR="00A408C9" w:rsidRPr="00250EF6">
        <w:rPr>
          <w:rFonts w:ascii="Arial" w:hAnsi="Arial" w:cs="Arial"/>
          <w:sz w:val="24"/>
          <w:szCs w:val="24"/>
        </w:rPr>
        <w:t>e</w:t>
      </w:r>
      <w:r w:rsidR="00957D09" w:rsidRPr="00250EF6">
        <w:rPr>
          <w:rFonts w:ascii="Arial" w:hAnsi="Arial" w:cs="Arial"/>
          <w:sz w:val="24"/>
          <w:szCs w:val="24"/>
        </w:rPr>
        <w:t xml:space="preserve"> monthly drawings, an annual bonus, and a share of the profits. Moreover, </w:t>
      </w:r>
      <w:r w:rsidR="00F87623" w:rsidRPr="00250EF6">
        <w:rPr>
          <w:rFonts w:ascii="Arial" w:hAnsi="Arial" w:cs="Arial"/>
          <w:sz w:val="24"/>
          <w:szCs w:val="24"/>
        </w:rPr>
        <w:t xml:space="preserve">insurance was </w:t>
      </w:r>
      <w:r w:rsidR="00A408C9" w:rsidRPr="00250EF6">
        <w:rPr>
          <w:rFonts w:ascii="Arial" w:hAnsi="Arial" w:cs="Arial"/>
          <w:sz w:val="24"/>
          <w:szCs w:val="24"/>
        </w:rPr>
        <w:t xml:space="preserve">previously </w:t>
      </w:r>
      <w:r w:rsidR="00F87623" w:rsidRPr="00250EF6">
        <w:rPr>
          <w:rFonts w:ascii="Arial" w:hAnsi="Arial" w:cs="Arial"/>
          <w:sz w:val="24"/>
          <w:szCs w:val="24"/>
        </w:rPr>
        <w:t>secured on the lives of the partners (so-called ‘key</w:t>
      </w:r>
      <w:r w:rsidR="00FB2775" w:rsidRPr="00250EF6">
        <w:rPr>
          <w:rFonts w:ascii="Arial" w:hAnsi="Arial" w:cs="Arial"/>
          <w:sz w:val="24"/>
          <w:szCs w:val="24"/>
        </w:rPr>
        <w:t xml:space="preserve"> person</w:t>
      </w:r>
      <w:r w:rsidR="00F87623" w:rsidRPr="00250EF6">
        <w:rPr>
          <w:rFonts w:ascii="Arial" w:hAnsi="Arial" w:cs="Arial"/>
          <w:sz w:val="24"/>
          <w:szCs w:val="24"/>
        </w:rPr>
        <w:t xml:space="preserve">’ agreements) and the applicants </w:t>
      </w:r>
      <w:r w:rsidR="00957D09" w:rsidRPr="00250EF6">
        <w:rPr>
          <w:rFonts w:ascii="Arial" w:hAnsi="Arial" w:cs="Arial"/>
          <w:sz w:val="24"/>
          <w:szCs w:val="24"/>
        </w:rPr>
        <w:t xml:space="preserve">were </w:t>
      </w:r>
      <w:r w:rsidR="00A408C9" w:rsidRPr="00250EF6">
        <w:rPr>
          <w:rFonts w:ascii="Arial" w:hAnsi="Arial" w:cs="Arial"/>
          <w:sz w:val="24"/>
          <w:szCs w:val="24"/>
        </w:rPr>
        <w:t xml:space="preserve">previously </w:t>
      </w:r>
      <w:r w:rsidR="00957D09" w:rsidRPr="00250EF6">
        <w:rPr>
          <w:rFonts w:ascii="Arial" w:hAnsi="Arial" w:cs="Arial"/>
          <w:sz w:val="24"/>
          <w:szCs w:val="24"/>
        </w:rPr>
        <w:t xml:space="preserve">required to </w:t>
      </w:r>
      <w:r w:rsidR="0002775A" w:rsidRPr="00250EF6">
        <w:rPr>
          <w:rFonts w:ascii="Arial" w:hAnsi="Arial" w:cs="Arial"/>
          <w:sz w:val="24"/>
          <w:szCs w:val="24"/>
        </w:rPr>
        <w:t xml:space="preserve">enter into deeds of </w:t>
      </w:r>
      <w:r w:rsidR="00957D09" w:rsidRPr="00250EF6">
        <w:rPr>
          <w:rFonts w:ascii="Arial" w:hAnsi="Arial" w:cs="Arial"/>
          <w:sz w:val="24"/>
          <w:szCs w:val="24"/>
        </w:rPr>
        <w:t>surety</w:t>
      </w:r>
      <w:r w:rsidR="0043546A" w:rsidRPr="00250EF6">
        <w:rPr>
          <w:rFonts w:ascii="Arial" w:hAnsi="Arial" w:cs="Arial"/>
          <w:sz w:val="24"/>
          <w:szCs w:val="24"/>
        </w:rPr>
        <w:t>ship</w:t>
      </w:r>
      <w:r w:rsidR="00957D09" w:rsidRPr="00250EF6">
        <w:rPr>
          <w:rFonts w:ascii="Arial" w:hAnsi="Arial" w:cs="Arial"/>
          <w:sz w:val="24"/>
          <w:szCs w:val="24"/>
        </w:rPr>
        <w:t xml:space="preserve"> for </w:t>
      </w:r>
      <w:r w:rsidR="0002775A" w:rsidRPr="00250EF6">
        <w:rPr>
          <w:rFonts w:ascii="Arial" w:hAnsi="Arial" w:cs="Arial"/>
          <w:sz w:val="24"/>
          <w:szCs w:val="24"/>
        </w:rPr>
        <w:t>purposes of the partnership’s securing credit facilities with one of its suppliers</w:t>
      </w:r>
      <w:r w:rsidR="00F87623" w:rsidRPr="00250EF6">
        <w:rPr>
          <w:rFonts w:ascii="Arial" w:hAnsi="Arial" w:cs="Arial"/>
          <w:sz w:val="24"/>
          <w:szCs w:val="24"/>
        </w:rPr>
        <w:t>,</w:t>
      </w:r>
      <w:r w:rsidR="0002775A" w:rsidRPr="00250EF6">
        <w:rPr>
          <w:rFonts w:ascii="Arial" w:hAnsi="Arial" w:cs="Arial"/>
          <w:sz w:val="24"/>
          <w:szCs w:val="24"/>
        </w:rPr>
        <w:t xml:space="preserve"> H &amp; M Rollers.</w:t>
      </w:r>
      <w:r w:rsidR="00F87623" w:rsidRPr="00250EF6">
        <w:rPr>
          <w:rFonts w:ascii="Arial" w:hAnsi="Arial" w:cs="Arial"/>
          <w:sz w:val="24"/>
          <w:szCs w:val="24"/>
        </w:rPr>
        <w:t xml:space="preserve"> The applicants point out that even the first respondent has referred to himself as a partner, as evident from a recent email addressed to them.</w:t>
      </w:r>
    </w:p>
    <w:p w14:paraId="0C69C18C" w14:textId="77777777" w:rsidR="00642514" w:rsidRPr="00642514" w:rsidRDefault="00642514" w:rsidP="00642514">
      <w:pPr>
        <w:pStyle w:val="ListParagraph"/>
        <w:rPr>
          <w:rFonts w:ascii="Arial" w:hAnsi="Arial" w:cs="Arial"/>
          <w:sz w:val="24"/>
          <w:szCs w:val="24"/>
        </w:rPr>
      </w:pPr>
    </w:p>
    <w:p w14:paraId="28AD1823" w14:textId="3C0831F5"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2775A" w:rsidRPr="00250EF6">
        <w:rPr>
          <w:rFonts w:ascii="Arial" w:hAnsi="Arial" w:cs="Arial"/>
          <w:sz w:val="24"/>
          <w:szCs w:val="24"/>
        </w:rPr>
        <w:t>It is the contention of the applicants that the partnership has been in existence since 23 March 2011. Despite the first respondent’s termination thereof, the partnership</w:t>
      </w:r>
      <w:r w:rsidR="00F87623" w:rsidRPr="00250EF6">
        <w:rPr>
          <w:rFonts w:ascii="Arial" w:hAnsi="Arial" w:cs="Arial"/>
          <w:sz w:val="24"/>
          <w:szCs w:val="24"/>
        </w:rPr>
        <w:t xml:space="preserve"> </w:t>
      </w:r>
      <w:r w:rsidR="00F87623" w:rsidRPr="00250EF6">
        <w:rPr>
          <w:rFonts w:ascii="Arial" w:hAnsi="Arial" w:cs="Arial"/>
          <w:sz w:val="24"/>
          <w:szCs w:val="24"/>
        </w:rPr>
        <w:lastRenderedPageBreak/>
        <w:t>remains in existence</w:t>
      </w:r>
      <w:r w:rsidR="0002775A" w:rsidRPr="00250EF6">
        <w:rPr>
          <w:rFonts w:ascii="Arial" w:hAnsi="Arial" w:cs="Arial"/>
          <w:sz w:val="24"/>
          <w:szCs w:val="24"/>
        </w:rPr>
        <w:t xml:space="preserve">, pending the liquidation and distribution of its assets. </w:t>
      </w:r>
      <w:r w:rsidR="007E2C5A" w:rsidRPr="00250EF6">
        <w:rPr>
          <w:rFonts w:ascii="Arial" w:hAnsi="Arial" w:cs="Arial"/>
          <w:sz w:val="24"/>
          <w:szCs w:val="24"/>
        </w:rPr>
        <w:t>The applicants strongly refute the first respondent’s allegation that the business of the partnership was taken over by the second respondent, saying that there was never any decision to that effect.</w:t>
      </w:r>
      <w:r w:rsidR="009B7313" w:rsidRPr="00250EF6">
        <w:rPr>
          <w:rFonts w:ascii="Arial" w:hAnsi="Arial" w:cs="Arial"/>
          <w:sz w:val="24"/>
          <w:szCs w:val="24"/>
        </w:rPr>
        <w:t xml:space="preserve"> </w:t>
      </w:r>
    </w:p>
    <w:p w14:paraId="32776F16" w14:textId="77777777" w:rsidR="00642514" w:rsidRPr="00642514" w:rsidRDefault="00642514" w:rsidP="00642514">
      <w:pPr>
        <w:pStyle w:val="ListParagraph"/>
        <w:rPr>
          <w:rFonts w:ascii="Arial" w:hAnsi="Arial" w:cs="Arial"/>
          <w:sz w:val="24"/>
          <w:szCs w:val="24"/>
        </w:rPr>
      </w:pPr>
    </w:p>
    <w:p w14:paraId="72E2F310" w14:textId="28701188"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E2C5A" w:rsidRPr="00250EF6">
        <w:rPr>
          <w:rFonts w:ascii="Arial" w:hAnsi="Arial" w:cs="Arial"/>
          <w:sz w:val="24"/>
          <w:szCs w:val="24"/>
        </w:rPr>
        <w:t xml:space="preserve">Regarding the salary slips, the applicants assert that these reflect monthly drawings paid to them </w:t>
      </w:r>
      <w:r w:rsidR="00075D01" w:rsidRPr="00250EF6">
        <w:rPr>
          <w:rFonts w:ascii="Arial" w:hAnsi="Arial" w:cs="Arial"/>
          <w:sz w:val="24"/>
          <w:szCs w:val="24"/>
        </w:rPr>
        <w:t xml:space="preserve">via the second respondent’s bank account </w:t>
      </w:r>
      <w:r w:rsidR="007E2C5A" w:rsidRPr="00250EF6">
        <w:rPr>
          <w:rFonts w:ascii="Arial" w:hAnsi="Arial" w:cs="Arial"/>
          <w:sz w:val="24"/>
          <w:szCs w:val="24"/>
        </w:rPr>
        <w:t>in relation to the business of the partnership, ‘PEG Labelling</w:t>
      </w:r>
      <w:r w:rsidR="00075D01" w:rsidRPr="00250EF6">
        <w:rPr>
          <w:rFonts w:ascii="Arial" w:hAnsi="Arial" w:cs="Arial"/>
          <w:sz w:val="24"/>
          <w:szCs w:val="24"/>
        </w:rPr>
        <w:t>’</w:t>
      </w:r>
      <w:r w:rsidR="007E2C5A" w:rsidRPr="00250EF6">
        <w:rPr>
          <w:rFonts w:ascii="Arial" w:hAnsi="Arial" w:cs="Arial"/>
          <w:sz w:val="24"/>
          <w:szCs w:val="24"/>
        </w:rPr>
        <w:t>. They are not employees of the second respondent</w:t>
      </w:r>
      <w:r w:rsidR="009B7313" w:rsidRPr="00250EF6">
        <w:rPr>
          <w:rFonts w:ascii="Arial" w:hAnsi="Arial" w:cs="Arial"/>
          <w:sz w:val="24"/>
          <w:szCs w:val="24"/>
        </w:rPr>
        <w:t>; they never entered into any written contracts of employment, in contrast to what was required of the second respondent’s employees.</w:t>
      </w:r>
    </w:p>
    <w:p w14:paraId="48034207" w14:textId="77777777" w:rsidR="00642514" w:rsidRPr="00642514" w:rsidRDefault="00642514" w:rsidP="00642514">
      <w:pPr>
        <w:pStyle w:val="ListParagraph"/>
        <w:rPr>
          <w:rFonts w:ascii="Arial" w:hAnsi="Arial" w:cs="Arial"/>
          <w:sz w:val="24"/>
          <w:szCs w:val="24"/>
        </w:rPr>
      </w:pPr>
    </w:p>
    <w:p w14:paraId="02D17882" w14:textId="77777777" w:rsidR="00642514" w:rsidRPr="00642514" w:rsidRDefault="00642514" w:rsidP="00642514">
      <w:pPr>
        <w:pStyle w:val="ListParagraph"/>
        <w:rPr>
          <w:rFonts w:ascii="Arial" w:hAnsi="Arial" w:cs="Arial"/>
          <w:b/>
          <w:bCs/>
          <w:sz w:val="24"/>
          <w:szCs w:val="24"/>
        </w:rPr>
      </w:pPr>
    </w:p>
    <w:p w14:paraId="41A8A6AE" w14:textId="20694E45" w:rsidR="00642514" w:rsidRPr="00642514" w:rsidRDefault="001226EC" w:rsidP="00642514">
      <w:pPr>
        <w:pStyle w:val="ListParagraph"/>
        <w:spacing w:line="360" w:lineRule="auto"/>
        <w:ind w:left="0"/>
        <w:jc w:val="both"/>
        <w:rPr>
          <w:rFonts w:ascii="Arial" w:hAnsi="Arial" w:cs="Arial"/>
          <w:sz w:val="24"/>
          <w:szCs w:val="24"/>
        </w:rPr>
      </w:pPr>
      <w:r w:rsidRPr="00642514">
        <w:rPr>
          <w:rFonts w:ascii="Arial" w:hAnsi="Arial" w:cs="Arial"/>
          <w:b/>
          <w:bCs/>
          <w:sz w:val="24"/>
          <w:szCs w:val="24"/>
        </w:rPr>
        <w:t>Issues to be decided</w:t>
      </w:r>
    </w:p>
    <w:p w14:paraId="02EC7B25" w14:textId="77777777" w:rsidR="00642514" w:rsidRPr="00642514" w:rsidRDefault="00642514" w:rsidP="00642514">
      <w:pPr>
        <w:pStyle w:val="ListParagraph"/>
        <w:spacing w:line="360" w:lineRule="auto"/>
        <w:ind w:left="0"/>
        <w:jc w:val="both"/>
        <w:rPr>
          <w:rFonts w:ascii="Arial" w:hAnsi="Arial" w:cs="Arial"/>
          <w:sz w:val="24"/>
          <w:szCs w:val="24"/>
        </w:rPr>
      </w:pPr>
    </w:p>
    <w:p w14:paraId="12241E43" w14:textId="77777777" w:rsidR="00642514" w:rsidRPr="00642514" w:rsidRDefault="00642514" w:rsidP="00642514">
      <w:pPr>
        <w:pStyle w:val="ListParagraph"/>
        <w:rPr>
          <w:rFonts w:ascii="Arial" w:hAnsi="Arial" w:cs="Arial"/>
          <w:sz w:val="24"/>
          <w:szCs w:val="24"/>
        </w:rPr>
      </w:pPr>
    </w:p>
    <w:p w14:paraId="50E44E54" w14:textId="7BCE616F"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226EC" w:rsidRPr="00250EF6">
        <w:rPr>
          <w:rFonts w:ascii="Arial" w:hAnsi="Arial" w:cs="Arial"/>
          <w:sz w:val="24"/>
          <w:szCs w:val="24"/>
        </w:rPr>
        <w:t xml:space="preserve">The matter </w:t>
      </w:r>
      <w:r w:rsidR="00DD630D" w:rsidRPr="00250EF6">
        <w:rPr>
          <w:rFonts w:ascii="Arial" w:hAnsi="Arial" w:cs="Arial"/>
          <w:sz w:val="24"/>
          <w:szCs w:val="24"/>
        </w:rPr>
        <w:t xml:space="preserve">is </w:t>
      </w:r>
      <w:r w:rsidR="001226EC" w:rsidRPr="00250EF6">
        <w:rPr>
          <w:rFonts w:ascii="Arial" w:hAnsi="Arial" w:cs="Arial"/>
          <w:sz w:val="24"/>
          <w:szCs w:val="24"/>
        </w:rPr>
        <w:t>characterised by a dispute about whether the partnership ever came into existence</w:t>
      </w:r>
      <w:r w:rsidR="00DD630D" w:rsidRPr="00250EF6">
        <w:rPr>
          <w:rFonts w:ascii="Arial" w:hAnsi="Arial" w:cs="Arial"/>
          <w:sz w:val="24"/>
          <w:szCs w:val="24"/>
        </w:rPr>
        <w:t>. It is common cause, however, that the first respondent decided to ‘terminate’ the partnership on 21 March 2021, via his attorneys, and that such ‘termination’ was accepted by the applicants. The legal ramifications of this will be explored further in the paragraphs that follow.</w:t>
      </w:r>
    </w:p>
    <w:p w14:paraId="26317D37" w14:textId="77777777" w:rsidR="00642514" w:rsidRDefault="00642514" w:rsidP="00642514">
      <w:pPr>
        <w:pStyle w:val="ListParagraph"/>
        <w:spacing w:line="360" w:lineRule="auto"/>
        <w:ind w:left="0"/>
        <w:jc w:val="both"/>
        <w:rPr>
          <w:rFonts w:ascii="Arial" w:hAnsi="Arial" w:cs="Arial"/>
          <w:sz w:val="24"/>
          <w:szCs w:val="24"/>
        </w:rPr>
      </w:pPr>
    </w:p>
    <w:p w14:paraId="1919CBA0" w14:textId="629BEB7C"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D630D" w:rsidRPr="00250EF6">
        <w:rPr>
          <w:rFonts w:ascii="Arial" w:hAnsi="Arial" w:cs="Arial"/>
          <w:sz w:val="24"/>
          <w:szCs w:val="24"/>
        </w:rPr>
        <w:t>However, it is important not to lose sight of the key issue: whether the applicants are entitled to the relief sought in their notice of motion</w:t>
      </w:r>
      <w:r w:rsidR="00A5690F" w:rsidRPr="00250EF6">
        <w:rPr>
          <w:rFonts w:ascii="Arial" w:hAnsi="Arial" w:cs="Arial"/>
          <w:sz w:val="24"/>
          <w:szCs w:val="24"/>
        </w:rPr>
        <w:t>, excluding an order directing the first respondent to reinstate the accounts held by PEG Labels with various suppliers</w:t>
      </w:r>
      <w:r w:rsidR="00DD630D" w:rsidRPr="00250EF6">
        <w:rPr>
          <w:rFonts w:ascii="Arial" w:hAnsi="Arial" w:cs="Arial"/>
          <w:sz w:val="24"/>
          <w:szCs w:val="24"/>
        </w:rPr>
        <w:t>.</w:t>
      </w:r>
      <w:r w:rsidR="00A408C9">
        <w:rPr>
          <w:rStyle w:val="FootnoteReference"/>
          <w:rFonts w:ascii="Arial" w:hAnsi="Arial" w:cs="Arial"/>
          <w:sz w:val="24"/>
          <w:szCs w:val="24"/>
        </w:rPr>
        <w:footnoteReference w:id="2"/>
      </w:r>
      <w:r w:rsidR="00A5690F" w:rsidRPr="00250EF6">
        <w:rPr>
          <w:rFonts w:ascii="Arial" w:hAnsi="Arial" w:cs="Arial"/>
          <w:sz w:val="24"/>
          <w:szCs w:val="24"/>
        </w:rPr>
        <w:t xml:space="preserve"> The applicants seek no relief against the second respondent.</w:t>
      </w:r>
    </w:p>
    <w:p w14:paraId="3B003A1E" w14:textId="77777777" w:rsidR="00642514" w:rsidRPr="00642514" w:rsidRDefault="00642514" w:rsidP="00642514">
      <w:pPr>
        <w:pStyle w:val="ListParagraph"/>
        <w:rPr>
          <w:rFonts w:ascii="Arial" w:hAnsi="Arial" w:cs="Arial"/>
          <w:sz w:val="24"/>
          <w:szCs w:val="24"/>
        </w:rPr>
      </w:pPr>
    </w:p>
    <w:p w14:paraId="71F7833B" w14:textId="48E54E75" w:rsidR="00642514" w:rsidRPr="00250EF6" w:rsidRDefault="00250EF6" w:rsidP="00250EF6">
      <w:pPr>
        <w:spacing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A5690F" w:rsidRPr="00250EF6">
        <w:rPr>
          <w:rFonts w:ascii="Arial" w:hAnsi="Arial" w:cs="Arial"/>
          <w:sz w:val="24"/>
          <w:szCs w:val="24"/>
        </w:rPr>
        <w:t>Essentially, the court is required to decide</w:t>
      </w:r>
      <w:r w:rsidR="007118A6" w:rsidRPr="00250EF6">
        <w:rPr>
          <w:rFonts w:ascii="Arial" w:hAnsi="Arial" w:cs="Arial"/>
          <w:sz w:val="24"/>
          <w:szCs w:val="24"/>
        </w:rPr>
        <w:t>: (a)</w:t>
      </w:r>
      <w:r w:rsidR="00A5690F" w:rsidRPr="00250EF6">
        <w:rPr>
          <w:rFonts w:ascii="Arial" w:hAnsi="Arial" w:cs="Arial"/>
          <w:sz w:val="24"/>
          <w:szCs w:val="24"/>
        </w:rPr>
        <w:t xml:space="preserve"> whether </w:t>
      </w:r>
      <w:r w:rsidR="007118A6" w:rsidRPr="00250EF6">
        <w:rPr>
          <w:rFonts w:ascii="Arial" w:hAnsi="Arial" w:cs="Arial"/>
          <w:sz w:val="24"/>
          <w:szCs w:val="24"/>
        </w:rPr>
        <w:t>the applicants are entitled to interdictory relief against the first respondent; and (b) whether the applicants are entitled to the costs of the application.</w:t>
      </w:r>
      <w:r w:rsidR="007118A6">
        <w:rPr>
          <w:rStyle w:val="FootnoteReference"/>
          <w:rFonts w:ascii="Arial" w:hAnsi="Arial" w:cs="Arial"/>
          <w:sz w:val="24"/>
          <w:szCs w:val="24"/>
        </w:rPr>
        <w:footnoteReference w:id="3"/>
      </w:r>
    </w:p>
    <w:p w14:paraId="1BA8426F" w14:textId="77777777" w:rsidR="00642514" w:rsidRPr="00642514" w:rsidRDefault="00642514" w:rsidP="00642514">
      <w:pPr>
        <w:pStyle w:val="ListParagraph"/>
        <w:rPr>
          <w:rFonts w:ascii="Arial" w:hAnsi="Arial" w:cs="Arial"/>
          <w:sz w:val="24"/>
          <w:szCs w:val="24"/>
        </w:rPr>
      </w:pPr>
    </w:p>
    <w:p w14:paraId="59561E12" w14:textId="3CFE2923"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118A6" w:rsidRPr="00250EF6">
        <w:rPr>
          <w:rFonts w:ascii="Arial" w:hAnsi="Arial" w:cs="Arial"/>
          <w:sz w:val="24"/>
          <w:szCs w:val="24"/>
        </w:rPr>
        <w:t>The law in relation to the dissolution of a partnership is pertinent. This serves as a useful starting point for a discussion of the applicable legal framework.</w:t>
      </w:r>
    </w:p>
    <w:p w14:paraId="782DDCE8" w14:textId="77777777" w:rsidR="00642514" w:rsidRPr="00642514" w:rsidRDefault="00642514" w:rsidP="00642514">
      <w:pPr>
        <w:pStyle w:val="ListParagraph"/>
        <w:rPr>
          <w:rFonts w:ascii="Arial" w:hAnsi="Arial" w:cs="Arial"/>
          <w:sz w:val="24"/>
          <w:szCs w:val="24"/>
        </w:rPr>
      </w:pPr>
    </w:p>
    <w:p w14:paraId="60671E84" w14:textId="77777777" w:rsidR="00642514" w:rsidRPr="00642514" w:rsidRDefault="00642514" w:rsidP="00642514">
      <w:pPr>
        <w:pStyle w:val="ListParagraph"/>
        <w:rPr>
          <w:rFonts w:ascii="Arial" w:hAnsi="Arial" w:cs="Arial"/>
          <w:b/>
          <w:bCs/>
          <w:sz w:val="24"/>
          <w:szCs w:val="24"/>
        </w:rPr>
      </w:pPr>
    </w:p>
    <w:p w14:paraId="31B7097B" w14:textId="72B8A812" w:rsidR="00642514" w:rsidRPr="00642514" w:rsidRDefault="007118A6" w:rsidP="00642514">
      <w:pPr>
        <w:pStyle w:val="ListParagraph"/>
        <w:spacing w:line="360" w:lineRule="auto"/>
        <w:ind w:left="0"/>
        <w:jc w:val="both"/>
        <w:rPr>
          <w:rFonts w:ascii="Arial" w:hAnsi="Arial" w:cs="Arial"/>
          <w:sz w:val="24"/>
          <w:szCs w:val="24"/>
        </w:rPr>
      </w:pPr>
      <w:r w:rsidRPr="00642514">
        <w:rPr>
          <w:rFonts w:ascii="Arial" w:hAnsi="Arial" w:cs="Arial"/>
          <w:b/>
          <w:bCs/>
          <w:sz w:val="24"/>
          <w:szCs w:val="24"/>
        </w:rPr>
        <w:t>Legal framework</w:t>
      </w:r>
    </w:p>
    <w:p w14:paraId="3114B8B8" w14:textId="77777777" w:rsidR="00642514" w:rsidRPr="00642514" w:rsidRDefault="00642514" w:rsidP="00642514">
      <w:pPr>
        <w:pStyle w:val="ListParagraph"/>
        <w:spacing w:line="360" w:lineRule="auto"/>
        <w:ind w:left="0"/>
        <w:jc w:val="both"/>
        <w:rPr>
          <w:rFonts w:ascii="Arial" w:hAnsi="Arial" w:cs="Arial"/>
          <w:sz w:val="24"/>
          <w:szCs w:val="24"/>
        </w:rPr>
      </w:pPr>
    </w:p>
    <w:p w14:paraId="2B4F7683" w14:textId="77777777" w:rsidR="00642514" w:rsidRPr="00642514" w:rsidRDefault="00642514" w:rsidP="00642514">
      <w:pPr>
        <w:pStyle w:val="ListParagraph"/>
        <w:rPr>
          <w:rFonts w:ascii="Arial" w:hAnsi="Arial" w:cs="Arial"/>
          <w:sz w:val="24"/>
          <w:szCs w:val="24"/>
        </w:rPr>
      </w:pPr>
    </w:p>
    <w:p w14:paraId="658CA1C7" w14:textId="2A4202F9"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118A6" w:rsidRPr="00250EF6">
        <w:rPr>
          <w:rFonts w:ascii="Arial" w:hAnsi="Arial" w:cs="Arial"/>
          <w:sz w:val="24"/>
          <w:szCs w:val="24"/>
        </w:rPr>
        <w:t xml:space="preserve">A partnership can be dissolved as a result of several causes. These include effluxion of time, where </w:t>
      </w:r>
      <w:r w:rsidR="00173395" w:rsidRPr="00250EF6">
        <w:rPr>
          <w:rFonts w:ascii="Arial" w:hAnsi="Arial" w:cs="Arial"/>
          <w:sz w:val="24"/>
          <w:szCs w:val="24"/>
        </w:rPr>
        <w:t>a fixed term partnership reaches its agreed time of duration. The partners can, nevertheless, expressly or impliedly agree to continue the partnership, in which event there is a presumption that the partnership endures without any fixed term but subject to dissolution by any of the partners at his or her own discretion.</w:t>
      </w:r>
      <w:r w:rsidR="00173395">
        <w:rPr>
          <w:rStyle w:val="FootnoteReference"/>
          <w:rFonts w:ascii="Arial" w:hAnsi="Arial" w:cs="Arial"/>
          <w:sz w:val="24"/>
          <w:szCs w:val="24"/>
        </w:rPr>
        <w:footnoteReference w:id="4"/>
      </w:r>
      <w:r w:rsidR="0086790B" w:rsidRPr="00250EF6">
        <w:rPr>
          <w:rFonts w:ascii="Arial" w:hAnsi="Arial" w:cs="Arial"/>
          <w:sz w:val="24"/>
          <w:szCs w:val="24"/>
        </w:rPr>
        <w:t xml:space="preserve"> A further cause is a notice of dissolution, where one of the partners gives notice to the others that he or she no longer intends to continue the partnership</w:t>
      </w:r>
      <w:r w:rsidR="00B13DBB" w:rsidRPr="00B13DBB">
        <w:rPr>
          <w:vertAlign w:val="superscript"/>
        </w:rPr>
        <w:footnoteReference w:id="5"/>
      </w:r>
      <w:r w:rsidR="0086790B" w:rsidRPr="00250EF6">
        <w:rPr>
          <w:rFonts w:ascii="Arial" w:hAnsi="Arial" w:cs="Arial"/>
          <w:sz w:val="24"/>
          <w:szCs w:val="24"/>
        </w:rPr>
        <w:t>. This more commonly applies to a partnership at will, of indefinite duration, rather than a fixed term partnership.</w:t>
      </w:r>
    </w:p>
    <w:p w14:paraId="166A39CC" w14:textId="11045764"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B13DBB" w:rsidRPr="00250EF6">
        <w:rPr>
          <w:rFonts w:ascii="Arial" w:hAnsi="Arial" w:cs="Arial"/>
          <w:sz w:val="24"/>
          <w:szCs w:val="24"/>
        </w:rPr>
        <w:t xml:space="preserve">The </w:t>
      </w:r>
      <w:r w:rsidR="00C8148A" w:rsidRPr="00250EF6">
        <w:rPr>
          <w:rFonts w:ascii="Arial" w:hAnsi="Arial" w:cs="Arial"/>
          <w:sz w:val="24"/>
          <w:szCs w:val="24"/>
        </w:rPr>
        <w:t>dissolution of a partnership means that the implied authority or mutual mandate of the partners comes to an end. As a result, any new transaction</w:t>
      </w:r>
      <w:r w:rsidR="007A01FE" w:rsidRPr="00250EF6">
        <w:rPr>
          <w:rFonts w:ascii="Arial" w:hAnsi="Arial" w:cs="Arial"/>
          <w:sz w:val="24"/>
          <w:szCs w:val="24"/>
        </w:rPr>
        <w:t>s</w:t>
      </w:r>
      <w:r w:rsidR="00C8148A" w:rsidRPr="00250EF6">
        <w:rPr>
          <w:rFonts w:ascii="Arial" w:hAnsi="Arial" w:cs="Arial"/>
          <w:sz w:val="24"/>
          <w:szCs w:val="24"/>
        </w:rPr>
        <w:t xml:space="preserve"> conducted by a partner, not connected with the liquidation and distribution of the partnership assets, are solely for his or her account and do not bind his or her former partners.</w:t>
      </w:r>
      <w:r w:rsidR="00C8148A">
        <w:rPr>
          <w:rStyle w:val="FootnoteReference"/>
          <w:rFonts w:ascii="Arial" w:hAnsi="Arial" w:cs="Arial"/>
          <w:sz w:val="24"/>
          <w:szCs w:val="24"/>
        </w:rPr>
        <w:footnoteReference w:id="6"/>
      </w:r>
    </w:p>
    <w:p w14:paraId="390A93F0" w14:textId="77777777" w:rsidR="00642514" w:rsidRDefault="00642514" w:rsidP="00642514">
      <w:pPr>
        <w:pStyle w:val="ListParagraph"/>
        <w:spacing w:line="360" w:lineRule="auto"/>
        <w:ind w:left="0"/>
        <w:jc w:val="both"/>
        <w:rPr>
          <w:rFonts w:ascii="Arial" w:hAnsi="Arial" w:cs="Arial"/>
          <w:sz w:val="24"/>
          <w:szCs w:val="24"/>
        </w:rPr>
      </w:pPr>
    </w:p>
    <w:p w14:paraId="13FFA1F8" w14:textId="60EEEB13" w:rsidR="007A01FE" w:rsidRPr="00250EF6" w:rsidRDefault="00250EF6" w:rsidP="00250EF6">
      <w:pPr>
        <w:spacing w:line="360" w:lineRule="auto"/>
        <w:jc w:val="both"/>
        <w:rPr>
          <w:rFonts w:ascii="Arial" w:hAnsi="Arial" w:cs="Arial"/>
          <w:sz w:val="24"/>
          <w:szCs w:val="24"/>
        </w:rPr>
      </w:pPr>
      <w:r w:rsidRPr="00642514">
        <w:rPr>
          <w:rFonts w:ascii="Arial" w:hAnsi="Arial" w:cs="Arial"/>
          <w:sz w:val="24"/>
          <w:szCs w:val="24"/>
        </w:rPr>
        <w:lastRenderedPageBreak/>
        <w:t>[30]</w:t>
      </w:r>
      <w:r w:rsidRPr="00642514">
        <w:rPr>
          <w:rFonts w:ascii="Arial" w:hAnsi="Arial" w:cs="Arial"/>
          <w:sz w:val="24"/>
          <w:szCs w:val="24"/>
        </w:rPr>
        <w:tab/>
      </w:r>
      <w:r w:rsidR="007A01FE" w:rsidRPr="00250EF6">
        <w:rPr>
          <w:rFonts w:ascii="Arial" w:hAnsi="Arial" w:cs="Arial"/>
          <w:sz w:val="24"/>
          <w:szCs w:val="24"/>
        </w:rPr>
        <w:t>The writers, Lee and Honoré, discuss the dissolution of a partnership as follows:</w:t>
      </w:r>
    </w:p>
    <w:p w14:paraId="54A51CED" w14:textId="1D2B3E62" w:rsidR="002766BF" w:rsidRPr="002766BF" w:rsidRDefault="007A01FE" w:rsidP="00642514">
      <w:pPr>
        <w:spacing w:line="360" w:lineRule="auto"/>
        <w:ind w:left="720"/>
        <w:jc w:val="both"/>
        <w:rPr>
          <w:rFonts w:ascii="Arial" w:hAnsi="Arial" w:cs="Arial"/>
          <w:sz w:val="20"/>
          <w:szCs w:val="20"/>
        </w:rPr>
      </w:pPr>
      <w:r w:rsidRPr="002766BF">
        <w:rPr>
          <w:rFonts w:ascii="Arial" w:hAnsi="Arial" w:cs="Arial"/>
          <w:sz w:val="20"/>
          <w:szCs w:val="20"/>
        </w:rPr>
        <w:t>‘The immediate consequence</w:t>
      </w:r>
      <w:r w:rsidR="00F70E09">
        <w:rPr>
          <w:rFonts w:ascii="Arial" w:hAnsi="Arial" w:cs="Arial"/>
          <w:sz w:val="20"/>
          <w:szCs w:val="20"/>
        </w:rPr>
        <w:t>s</w:t>
      </w:r>
      <w:r w:rsidRPr="002766BF">
        <w:rPr>
          <w:rFonts w:ascii="Arial" w:hAnsi="Arial" w:cs="Arial"/>
          <w:sz w:val="20"/>
          <w:szCs w:val="20"/>
        </w:rPr>
        <w:t xml:space="preserve"> of </w:t>
      </w:r>
      <w:r w:rsidR="00F70E09">
        <w:rPr>
          <w:rFonts w:ascii="Arial" w:hAnsi="Arial" w:cs="Arial"/>
          <w:sz w:val="20"/>
          <w:szCs w:val="20"/>
        </w:rPr>
        <w:t>a</w:t>
      </w:r>
      <w:r w:rsidRPr="002766BF">
        <w:rPr>
          <w:rFonts w:ascii="Arial" w:hAnsi="Arial" w:cs="Arial"/>
          <w:sz w:val="20"/>
          <w:szCs w:val="20"/>
        </w:rPr>
        <w:t xml:space="preserve"> dissolution of a partnership is that the agency which existed between the partners ceases, and the partnership continues merely for the purpose of completing current transactions, winding up the business and adjusting the rights of the partners… Unless otherwise provided in the dissolution agreement, no provision of the partnership agreement is binding after dissolution (</w:t>
      </w:r>
      <w:r w:rsidRPr="002766BF">
        <w:rPr>
          <w:rFonts w:ascii="Arial" w:hAnsi="Arial" w:cs="Arial"/>
          <w:i/>
          <w:iCs/>
          <w:sz w:val="20"/>
          <w:szCs w:val="20"/>
        </w:rPr>
        <w:t>Beiles v Glazer</w:t>
      </w:r>
      <w:r w:rsidRPr="002766BF">
        <w:rPr>
          <w:rFonts w:ascii="Arial" w:hAnsi="Arial" w:cs="Arial"/>
          <w:sz w:val="20"/>
          <w:szCs w:val="20"/>
        </w:rPr>
        <w:t xml:space="preserve"> 1947 (2) PH A79 (W)). All rights and duties acquitted by a former partner after dissolution, even if contracted on behalf of the partnership, are binding on him alone (Van der Linden 4.1.14; </w:t>
      </w:r>
      <w:r w:rsidRPr="002766BF">
        <w:rPr>
          <w:rFonts w:ascii="Arial" w:hAnsi="Arial" w:cs="Arial"/>
          <w:i/>
          <w:iCs/>
          <w:sz w:val="20"/>
          <w:szCs w:val="20"/>
        </w:rPr>
        <w:t>Western Province Bank v Du Toit, Smith &amp; Co</w:t>
      </w:r>
      <w:r w:rsidRPr="002766BF">
        <w:rPr>
          <w:rFonts w:ascii="Arial" w:hAnsi="Arial" w:cs="Arial"/>
          <w:sz w:val="20"/>
          <w:szCs w:val="20"/>
        </w:rPr>
        <w:t xml:space="preserve"> (18</w:t>
      </w:r>
      <w:r w:rsidR="00F70E09">
        <w:rPr>
          <w:rFonts w:ascii="Arial" w:hAnsi="Arial" w:cs="Arial"/>
          <w:sz w:val="20"/>
          <w:szCs w:val="20"/>
        </w:rPr>
        <w:t>50</w:t>
      </w:r>
      <w:r w:rsidR="009F6F2A" w:rsidRPr="002766BF">
        <w:rPr>
          <w:rFonts w:ascii="Arial" w:hAnsi="Arial" w:cs="Arial"/>
          <w:sz w:val="20"/>
          <w:szCs w:val="20"/>
        </w:rPr>
        <w:t xml:space="preserve">) </w:t>
      </w:r>
      <w:r w:rsidR="00F70E09">
        <w:rPr>
          <w:rFonts w:ascii="Arial" w:hAnsi="Arial" w:cs="Arial"/>
          <w:sz w:val="20"/>
          <w:szCs w:val="20"/>
        </w:rPr>
        <w:t>1 Searle 39</w:t>
      </w:r>
      <w:r w:rsidR="009F6F2A" w:rsidRPr="002766BF">
        <w:rPr>
          <w:rFonts w:ascii="Arial" w:hAnsi="Arial" w:cs="Arial"/>
          <w:sz w:val="20"/>
          <w:szCs w:val="20"/>
        </w:rPr>
        <w:t>). The former partners, however, will be liable where they accept the acts of their ex-partner, or where he has been authorised to act on their behalf (</w:t>
      </w:r>
      <w:r w:rsidR="009F6F2A" w:rsidRPr="002766BF">
        <w:rPr>
          <w:rFonts w:ascii="Arial" w:hAnsi="Arial" w:cs="Arial"/>
          <w:i/>
          <w:iCs/>
          <w:sz w:val="20"/>
          <w:szCs w:val="20"/>
        </w:rPr>
        <w:t>Birkenruth v Shaw</w:t>
      </w:r>
      <w:r w:rsidR="002766BF" w:rsidRPr="002766BF">
        <w:rPr>
          <w:rFonts w:ascii="Arial" w:hAnsi="Arial" w:cs="Arial"/>
          <w:i/>
          <w:iCs/>
          <w:sz w:val="20"/>
          <w:szCs w:val="20"/>
        </w:rPr>
        <w:t>,</w:t>
      </w:r>
      <w:r w:rsidR="009F6F2A" w:rsidRPr="002766BF">
        <w:rPr>
          <w:rFonts w:ascii="Arial" w:hAnsi="Arial" w:cs="Arial"/>
          <w:i/>
          <w:iCs/>
          <w:sz w:val="20"/>
          <w:szCs w:val="20"/>
        </w:rPr>
        <w:t xml:space="preserve"> Hoole &amp; Co</w:t>
      </w:r>
      <w:r w:rsidR="009F6F2A" w:rsidRPr="002766BF">
        <w:rPr>
          <w:rFonts w:ascii="Arial" w:hAnsi="Arial" w:cs="Arial"/>
          <w:sz w:val="20"/>
          <w:szCs w:val="20"/>
        </w:rPr>
        <w:t xml:space="preserve"> (1850) 1 Searle 39).’</w:t>
      </w:r>
      <w:r w:rsidR="002766BF">
        <w:rPr>
          <w:rStyle w:val="FootnoteReference"/>
          <w:rFonts w:ascii="Arial" w:hAnsi="Arial" w:cs="Arial"/>
          <w:sz w:val="20"/>
          <w:szCs w:val="20"/>
        </w:rPr>
        <w:footnoteReference w:id="7"/>
      </w:r>
    </w:p>
    <w:p w14:paraId="1287AB4F" w14:textId="77777777" w:rsidR="002766BF" w:rsidRDefault="002766BF" w:rsidP="005D49D5">
      <w:pPr>
        <w:spacing w:line="360" w:lineRule="auto"/>
        <w:rPr>
          <w:rFonts w:ascii="Arial" w:hAnsi="Arial" w:cs="Arial"/>
          <w:sz w:val="24"/>
          <w:szCs w:val="24"/>
        </w:rPr>
      </w:pPr>
    </w:p>
    <w:p w14:paraId="3FDEDE18" w14:textId="0C3D8911" w:rsidR="002766BF" w:rsidRPr="00250EF6" w:rsidRDefault="00250EF6" w:rsidP="00250EF6">
      <w:pPr>
        <w:spacing w:line="360" w:lineRule="auto"/>
        <w:jc w:val="both"/>
        <w:rPr>
          <w:rFonts w:ascii="Arial" w:hAnsi="Arial" w:cs="Arial"/>
          <w:sz w:val="24"/>
          <w:szCs w:val="24"/>
        </w:rPr>
      </w:pPr>
      <w:r w:rsidRPr="00642514">
        <w:rPr>
          <w:rFonts w:ascii="Arial" w:hAnsi="Arial" w:cs="Arial"/>
          <w:sz w:val="24"/>
          <w:szCs w:val="24"/>
        </w:rPr>
        <w:t>[31]</w:t>
      </w:r>
      <w:r w:rsidRPr="00642514">
        <w:rPr>
          <w:rFonts w:ascii="Arial" w:hAnsi="Arial" w:cs="Arial"/>
          <w:sz w:val="24"/>
          <w:szCs w:val="24"/>
        </w:rPr>
        <w:tab/>
      </w:r>
      <w:r w:rsidR="002766BF" w:rsidRPr="00250EF6">
        <w:rPr>
          <w:rFonts w:ascii="Arial" w:hAnsi="Arial" w:cs="Arial"/>
          <w:sz w:val="24"/>
          <w:szCs w:val="24"/>
        </w:rPr>
        <w:t>Generally, it appears to be an accepted principle that after dissolution, the partnership continues but only for purposes of the liquidation and distribution of its assets.</w:t>
      </w:r>
      <w:r w:rsidR="002766BF">
        <w:rPr>
          <w:rStyle w:val="FootnoteReference"/>
          <w:rFonts w:ascii="Arial" w:hAnsi="Arial" w:cs="Arial"/>
          <w:sz w:val="24"/>
          <w:szCs w:val="24"/>
        </w:rPr>
        <w:footnoteReference w:id="8"/>
      </w:r>
      <w:r w:rsidR="005851B5" w:rsidRPr="00250EF6">
        <w:rPr>
          <w:rFonts w:ascii="Arial" w:hAnsi="Arial" w:cs="Arial"/>
          <w:sz w:val="24"/>
          <w:szCs w:val="24"/>
        </w:rPr>
        <w:t xml:space="preserve"> Henning remarks that:</w:t>
      </w:r>
    </w:p>
    <w:p w14:paraId="21CC5BFA" w14:textId="350B5669" w:rsidR="005851B5" w:rsidRPr="005851B5" w:rsidRDefault="005851B5" w:rsidP="00642514">
      <w:pPr>
        <w:spacing w:line="360" w:lineRule="auto"/>
        <w:ind w:left="720"/>
        <w:jc w:val="both"/>
        <w:rPr>
          <w:rFonts w:ascii="Arial" w:hAnsi="Arial" w:cs="Arial"/>
          <w:sz w:val="20"/>
          <w:szCs w:val="20"/>
        </w:rPr>
      </w:pPr>
      <w:r w:rsidRPr="005851B5">
        <w:rPr>
          <w:rFonts w:ascii="Arial" w:hAnsi="Arial" w:cs="Arial"/>
          <w:sz w:val="20"/>
          <w:szCs w:val="20"/>
        </w:rPr>
        <w:t xml:space="preserve">‘In most civil and common-law jurisdictions dissolution puts an end to the partnership, but only as regards new operations. In nearly all cases dissolution does not result </w:t>
      </w:r>
      <w:r w:rsidRPr="005851B5">
        <w:rPr>
          <w:rFonts w:ascii="Arial" w:hAnsi="Arial" w:cs="Arial"/>
          <w:i/>
          <w:iCs/>
          <w:sz w:val="20"/>
          <w:szCs w:val="20"/>
        </w:rPr>
        <w:t>ipso facto</w:t>
      </w:r>
      <w:r w:rsidRPr="005851B5">
        <w:rPr>
          <w:rFonts w:ascii="Arial" w:hAnsi="Arial" w:cs="Arial"/>
          <w:sz w:val="20"/>
          <w:szCs w:val="20"/>
        </w:rPr>
        <w:t xml:space="preserve"> in the disappearance of the partnership. This “extension” of the partnership for purposes of liquidation and winding-up is considered to be further proof that it is not possible to reduce the institution to a simple contract even in those countries where the existence of the partnership as a legal entity is not recognised.’</w:t>
      </w:r>
      <w:r w:rsidRPr="005851B5">
        <w:rPr>
          <w:rStyle w:val="FootnoteReference"/>
          <w:rFonts w:ascii="Arial" w:hAnsi="Arial" w:cs="Arial"/>
          <w:sz w:val="20"/>
          <w:szCs w:val="20"/>
        </w:rPr>
        <w:footnoteReference w:id="9"/>
      </w:r>
    </w:p>
    <w:p w14:paraId="3DD2BD3B" w14:textId="06773F52" w:rsidR="005851B5" w:rsidRDefault="005851B5" w:rsidP="005D49D5">
      <w:pPr>
        <w:spacing w:line="360" w:lineRule="auto"/>
        <w:rPr>
          <w:rFonts w:ascii="Arial" w:hAnsi="Arial" w:cs="Arial"/>
          <w:sz w:val="24"/>
          <w:szCs w:val="24"/>
        </w:rPr>
      </w:pPr>
    </w:p>
    <w:p w14:paraId="52ECCF3A" w14:textId="3A1E084C" w:rsidR="00642514" w:rsidRPr="00250EF6" w:rsidRDefault="00250EF6" w:rsidP="00250EF6">
      <w:pPr>
        <w:spacing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3623ED" w:rsidRPr="00250EF6">
        <w:rPr>
          <w:rFonts w:ascii="Arial" w:hAnsi="Arial" w:cs="Arial"/>
          <w:sz w:val="24"/>
          <w:szCs w:val="24"/>
        </w:rPr>
        <w:t xml:space="preserve">The above principles must be applied to the facts of the present matter, but not before </w:t>
      </w:r>
      <w:r w:rsidR="00B94937" w:rsidRPr="00250EF6">
        <w:rPr>
          <w:rFonts w:ascii="Arial" w:hAnsi="Arial" w:cs="Arial"/>
          <w:sz w:val="24"/>
          <w:szCs w:val="24"/>
        </w:rPr>
        <w:t>dealing with the</w:t>
      </w:r>
      <w:r w:rsidR="003623ED" w:rsidRPr="00250EF6">
        <w:rPr>
          <w:rFonts w:ascii="Arial" w:hAnsi="Arial" w:cs="Arial"/>
          <w:sz w:val="24"/>
          <w:szCs w:val="24"/>
        </w:rPr>
        <w:t xml:space="preserve"> requirements for interdictory relief. </w:t>
      </w:r>
      <w:r w:rsidR="0058020E" w:rsidRPr="00250EF6">
        <w:rPr>
          <w:rFonts w:ascii="Arial" w:hAnsi="Arial" w:cs="Arial"/>
          <w:sz w:val="24"/>
          <w:szCs w:val="24"/>
          <w:lang w:val="en-US"/>
        </w:rPr>
        <w:t xml:space="preserve">The requirements for an interlocutory interdict are trite: a </w:t>
      </w:r>
      <w:r w:rsidR="0058020E" w:rsidRPr="00250EF6">
        <w:rPr>
          <w:rFonts w:ascii="Arial" w:hAnsi="Arial" w:cs="Arial"/>
          <w:i/>
          <w:iCs/>
          <w:sz w:val="24"/>
          <w:szCs w:val="24"/>
          <w:lang w:val="en-US"/>
        </w:rPr>
        <w:t>prima facie</w:t>
      </w:r>
      <w:r w:rsidR="0058020E" w:rsidRPr="00250EF6">
        <w:rPr>
          <w:rFonts w:ascii="Arial" w:hAnsi="Arial" w:cs="Arial"/>
          <w:sz w:val="24"/>
          <w:szCs w:val="24"/>
          <w:lang w:val="en-US"/>
        </w:rPr>
        <w:t xml:space="preserve"> right, a well-grounded apprehension of irreparable harm if the interim relief is not granted and the ultimate relief is eventually granted; a balance of convenience in favour of the granting of the interim relief; and the </w:t>
      </w:r>
      <w:r w:rsidR="0058020E" w:rsidRPr="00250EF6">
        <w:rPr>
          <w:rFonts w:ascii="Arial" w:hAnsi="Arial" w:cs="Arial"/>
          <w:sz w:val="24"/>
          <w:szCs w:val="24"/>
          <w:lang w:val="en-US"/>
        </w:rPr>
        <w:lastRenderedPageBreak/>
        <w:t>absence of any other satisfactory remedy.</w:t>
      </w:r>
      <w:r w:rsidR="0058020E">
        <w:rPr>
          <w:rStyle w:val="FootnoteReference"/>
          <w:rFonts w:ascii="Arial" w:hAnsi="Arial" w:cs="Arial"/>
          <w:sz w:val="24"/>
          <w:szCs w:val="24"/>
          <w:lang w:val="en-US"/>
        </w:rPr>
        <w:footnoteReference w:id="10"/>
      </w:r>
      <w:r w:rsidR="0058020E" w:rsidRPr="00250EF6">
        <w:rPr>
          <w:rFonts w:ascii="Arial" w:hAnsi="Arial" w:cs="Arial"/>
          <w:sz w:val="24"/>
          <w:szCs w:val="24"/>
          <w:lang w:val="en-US"/>
        </w:rPr>
        <w:t xml:space="preserve"> A final interdict requires: a clear right on the part of the applicant; an injury actually committed or reasonably apprehended; and the absence of any other satisfactory remedy available to the applicant.</w:t>
      </w:r>
      <w:r w:rsidR="0058020E">
        <w:rPr>
          <w:rStyle w:val="FootnoteReference"/>
          <w:rFonts w:ascii="Arial" w:hAnsi="Arial" w:cs="Arial"/>
          <w:sz w:val="24"/>
          <w:szCs w:val="24"/>
          <w:lang w:val="en-US"/>
        </w:rPr>
        <w:footnoteReference w:id="11"/>
      </w:r>
      <w:r w:rsidR="003734F2" w:rsidRPr="00250EF6">
        <w:rPr>
          <w:rFonts w:ascii="Arial" w:hAnsi="Arial" w:cs="Arial"/>
          <w:sz w:val="24"/>
          <w:szCs w:val="24"/>
          <w:lang w:val="en-US"/>
        </w:rPr>
        <w:t xml:space="preserve"> </w:t>
      </w:r>
    </w:p>
    <w:p w14:paraId="3285785F" w14:textId="77777777" w:rsidR="00642514" w:rsidRDefault="00642514" w:rsidP="00642514">
      <w:pPr>
        <w:pStyle w:val="ListParagraph"/>
        <w:spacing w:line="360" w:lineRule="auto"/>
        <w:ind w:left="0"/>
        <w:jc w:val="both"/>
        <w:rPr>
          <w:rFonts w:ascii="Arial" w:hAnsi="Arial" w:cs="Arial"/>
          <w:sz w:val="24"/>
          <w:szCs w:val="24"/>
          <w:lang w:val="en-US"/>
        </w:rPr>
      </w:pPr>
    </w:p>
    <w:p w14:paraId="15D095FE" w14:textId="052DFF3B" w:rsidR="00642514" w:rsidRPr="00250EF6" w:rsidRDefault="00250EF6" w:rsidP="00250EF6">
      <w:pPr>
        <w:spacing w:line="360" w:lineRule="auto"/>
        <w:jc w:val="both"/>
        <w:rPr>
          <w:rFonts w:ascii="Arial" w:hAnsi="Arial" w:cs="Arial"/>
          <w:sz w:val="24"/>
          <w:szCs w:val="24"/>
          <w:lang w:val="en-US"/>
        </w:rPr>
      </w:pPr>
      <w:r w:rsidRPr="00642514">
        <w:rPr>
          <w:rFonts w:ascii="Arial" w:hAnsi="Arial" w:cs="Arial"/>
          <w:sz w:val="24"/>
          <w:szCs w:val="24"/>
          <w:lang w:val="en-US"/>
        </w:rPr>
        <w:t>[33]</w:t>
      </w:r>
      <w:r w:rsidRPr="00642514">
        <w:rPr>
          <w:rFonts w:ascii="Arial" w:hAnsi="Arial" w:cs="Arial"/>
          <w:sz w:val="24"/>
          <w:szCs w:val="24"/>
          <w:lang w:val="en-US"/>
        </w:rPr>
        <w:tab/>
      </w:r>
      <w:r w:rsidR="003623ED" w:rsidRPr="00250EF6">
        <w:rPr>
          <w:rFonts w:ascii="Arial" w:hAnsi="Arial" w:cs="Arial"/>
          <w:sz w:val="24"/>
          <w:szCs w:val="24"/>
        </w:rPr>
        <w:t xml:space="preserve">During argument, there was some debate about whether </w:t>
      </w:r>
      <w:r w:rsidR="00B94937" w:rsidRPr="00250EF6">
        <w:rPr>
          <w:rFonts w:ascii="Arial" w:hAnsi="Arial" w:cs="Arial"/>
          <w:sz w:val="24"/>
          <w:szCs w:val="24"/>
        </w:rPr>
        <w:t xml:space="preserve">the applicants sought interim or final interdictory relief. This aspect will be addressed shortly but the matter appears to turn on whether the applicants have demonstrated any right at all to the relief sought, either of a </w:t>
      </w:r>
      <w:r w:rsidR="00B94937" w:rsidRPr="00250EF6">
        <w:rPr>
          <w:rFonts w:ascii="Arial" w:hAnsi="Arial" w:cs="Arial"/>
          <w:i/>
          <w:iCs/>
          <w:sz w:val="24"/>
          <w:szCs w:val="24"/>
        </w:rPr>
        <w:t>prima facie</w:t>
      </w:r>
      <w:r w:rsidR="00B94937" w:rsidRPr="00250EF6">
        <w:rPr>
          <w:rFonts w:ascii="Arial" w:hAnsi="Arial" w:cs="Arial"/>
          <w:sz w:val="24"/>
          <w:szCs w:val="24"/>
        </w:rPr>
        <w:t xml:space="preserve"> or a clear nature, depending on what has actually been sought.</w:t>
      </w:r>
    </w:p>
    <w:p w14:paraId="1E2AEE6F" w14:textId="77777777" w:rsidR="00642514" w:rsidRPr="00642514" w:rsidRDefault="00642514" w:rsidP="00642514">
      <w:pPr>
        <w:pStyle w:val="ListParagraph"/>
        <w:rPr>
          <w:rFonts w:ascii="Arial" w:hAnsi="Arial" w:cs="Arial"/>
          <w:sz w:val="24"/>
          <w:szCs w:val="24"/>
          <w:lang w:val="en-US"/>
        </w:rPr>
      </w:pPr>
    </w:p>
    <w:p w14:paraId="0F3F2537" w14:textId="77777777" w:rsidR="00642514" w:rsidRPr="00642514" w:rsidRDefault="00642514" w:rsidP="00642514">
      <w:pPr>
        <w:pStyle w:val="ListParagraph"/>
        <w:rPr>
          <w:rFonts w:ascii="Arial" w:hAnsi="Arial" w:cs="Arial"/>
          <w:b/>
          <w:bCs/>
          <w:sz w:val="24"/>
          <w:szCs w:val="24"/>
        </w:rPr>
      </w:pPr>
    </w:p>
    <w:p w14:paraId="46A97A72" w14:textId="4C477E39" w:rsidR="00642514" w:rsidRPr="00642514" w:rsidRDefault="003734F2" w:rsidP="00642514">
      <w:pPr>
        <w:pStyle w:val="ListParagraph"/>
        <w:spacing w:line="360" w:lineRule="auto"/>
        <w:ind w:left="0"/>
        <w:jc w:val="both"/>
        <w:rPr>
          <w:rFonts w:ascii="Arial" w:hAnsi="Arial" w:cs="Arial"/>
          <w:sz w:val="24"/>
          <w:szCs w:val="24"/>
          <w:lang w:val="en-US"/>
        </w:rPr>
      </w:pPr>
      <w:r w:rsidRPr="00642514">
        <w:rPr>
          <w:rFonts w:ascii="Arial" w:hAnsi="Arial" w:cs="Arial"/>
          <w:b/>
          <w:bCs/>
          <w:sz w:val="24"/>
          <w:szCs w:val="24"/>
        </w:rPr>
        <w:t>Application of the law to the facts</w:t>
      </w:r>
    </w:p>
    <w:p w14:paraId="6DC2303D" w14:textId="77777777" w:rsidR="00642514" w:rsidRPr="00642514" w:rsidRDefault="00642514" w:rsidP="00642514">
      <w:pPr>
        <w:pStyle w:val="ListParagraph"/>
        <w:spacing w:line="360" w:lineRule="auto"/>
        <w:ind w:left="0"/>
        <w:jc w:val="both"/>
        <w:rPr>
          <w:rFonts w:ascii="Arial" w:hAnsi="Arial" w:cs="Arial"/>
          <w:sz w:val="24"/>
          <w:szCs w:val="24"/>
          <w:lang w:val="en-US"/>
        </w:rPr>
      </w:pPr>
    </w:p>
    <w:p w14:paraId="6212CE3C" w14:textId="77777777" w:rsidR="00642514" w:rsidRPr="00642514" w:rsidRDefault="00642514" w:rsidP="00642514">
      <w:pPr>
        <w:pStyle w:val="ListParagraph"/>
        <w:rPr>
          <w:rFonts w:ascii="Arial" w:hAnsi="Arial" w:cs="Arial"/>
          <w:sz w:val="24"/>
          <w:szCs w:val="24"/>
        </w:rPr>
      </w:pPr>
    </w:p>
    <w:p w14:paraId="2BB39E4E" w14:textId="54D0D38A" w:rsidR="00642514" w:rsidRPr="00250EF6" w:rsidRDefault="00250EF6" w:rsidP="00250EF6">
      <w:pPr>
        <w:spacing w:line="360" w:lineRule="auto"/>
        <w:jc w:val="both"/>
        <w:rPr>
          <w:rFonts w:ascii="Arial" w:hAnsi="Arial" w:cs="Arial"/>
          <w:sz w:val="24"/>
          <w:szCs w:val="24"/>
          <w:lang w:val="en-US"/>
        </w:rPr>
      </w:pPr>
      <w:r w:rsidRPr="00642514">
        <w:rPr>
          <w:rFonts w:ascii="Arial" w:hAnsi="Arial" w:cs="Arial"/>
          <w:sz w:val="24"/>
          <w:szCs w:val="24"/>
          <w:lang w:val="en-US"/>
        </w:rPr>
        <w:t>[34]</w:t>
      </w:r>
      <w:r w:rsidRPr="00642514">
        <w:rPr>
          <w:rFonts w:ascii="Arial" w:hAnsi="Arial" w:cs="Arial"/>
          <w:sz w:val="24"/>
          <w:szCs w:val="24"/>
          <w:lang w:val="en-US"/>
        </w:rPr>
        <w:tab/>
      </w:r>
      <w:r w:rsidR="003734F2" w:rsidRPr="00250EF6">
        <w:rPr>
          <w:rFonts w:ascii="Arial" w:hAnsi="Arial" w:cs="Arial"/>
          <w:sz w:val="24"/>
          <w:szCs w:val="24"/>
        </w:rPr>
        <w:t xml:space="preserve">The partnership agreement concluded by the parties on 23 March 2011 </w:t>
      </w:r>
      <w:r w:rsidR="00A94EB6" w:rsidRPr="00250EF6">
        <w:rPr>
          <w:rFonts w:ascii="Arial" w:hAnsi="Arial" w:cs="Arial"/>
          <w:sz w:val="24"/>
          <w:szCs w:val="24"/>
        </w:rPr>
        <w:t xml:space="preserve">was for the stated purpose of forming a subsidiary company to the second respondent, to trade as ‘PEG Labels’. At the same time, the parties agreed, seemingly in contradiction to the stated purpose, that the partnership (not the company) would be conducted under the name of ‘PEG Labels’. There was also </w:t>
      </w:r>
      <w:r w:rsidR="003734F2" w:rsidRPr="00250EF6">
        <w:rPr>
          <w:rFonts w:ascii="Arial" w:hAnsi="Arial" w:cs="Arial"/>
          <w:sz w:val="24"/>
          <w:szCs w:val="24"/>
        </w:rPr>
        <w:t xml:space="preserve">a provision to the effect that the terms of </w:t>
      </w:r>
      <w:r w:rsidR="00A94EB6" w:rsidRPr="00250EF6">
        <w:rPr>
          <w:rFonts w:ascii="Arial" w:hAnsi="Arial" w:cs="Arial"/>
          <w:sz w:val="24"/>
          <w:szCs w:val="24"/>
        </w:rPr>
        <w:t xml:space="preserve">the partnership agreement </w:t>
      </w:r>
      <w:r w:rsidR="003734F2" w:rsidRPr="00250EF6">
        <w:rPr>
          <w:rFonts w:ascii="Arial" w:hAnsi="Arial" w:cs="Arial"/>
          <w:sz w:val="24"/>
          <w:szCs w:val="24"/>
        </w:rPr>
        <w:t>would endure for a period of nine months</w:t>
      </w:r>
      <w:r w:rsidR="00A94EB6" w:rsidRPr="00250EF6">
        <w:rPr>
          <w:rFonts w:ascii="Arial" w:hAnsi="Arial" w:cs="Arial"/>
          <w:sz w:val="24"/>
          <w:szCs w:val="24"/>
        </w:rPr>
        <w:t>, whereupon a ‘partnership contract’ would be drawn up by a practising attorney. If, furthermore, a partner withdrew or retired from the partnership, then the remaining partners were permitted to continue operating ‘the company’ under the same name.</w:t>
      </w:r>
      <w:r w:rsidR="0043546A" w:rsidRPr="00250EF6">
        <w:rPr>
          <w:rFonts w:ascii="Arial" w:hAnsi="Arial" w:cs="Arial"/>
          <w:sz w:val="24"/>
          <w:szCs w:val="24"/>
        </w:rPr>
        <w:t xml:space="preserve"> </w:t>
      </w:r>
      <w:r w:rsidR="00A94EB6" w:rsidRPr="00250EF6">
        <w:rPr>
          <w:rFonts w:ascii="Arial" w:hAnsi="Arial" w:cs="Arial"/>
          <w:sz w:val="24"/>
          <w:szCs w:val="24"/>
        </w:rPr>
        <w:t xml:space="preserve">Overall, the partnership agreement was not a model of clarity and was riddled with contradictions and ambiguities. </w:t>
      </w:r>
    </w:p>
    <w:p w14:paraId="5F7950F7" w14:textId="77777777" w:rsidR="00642514" w:rsidRPr="00642514" w:rsidRDefault="00642514" w:rsidP="00642514">
      <w:pPr>
        <w:pStyle w:val="ListParagraph"/>
        <w:spacing w:line="360" w:lineRule="auto"/>
        <w:ind w:left="0"/>
        <w:jc w:val="both"/>
        <w:rPr>
          <w:rFonts w:ascii="Arial" w:hAnsi="Arial" w:cs="Arial"/>
          <w:sz w:val="24"/>
          <w:szCs w:val="24"/>
          <w:lang w:val="en-US"/>
        </w:rPr>
      </w:pPr>
    </w:p>
    <w:p w14:paraId="4D55EF06" w14:textId="6C5B500D" w:rsidR="00642514" w:rsidRPr="00250EF6" w:rsidRDefault="00250EF6" w:rsidP="00250EF6">
      <w:pPr>
        <w:spacing w:line="360" w:lineRule="auto"/>
        <w:jc w:val="both"/>
        <w:rPr>
          <w:rFonts w:ascii="Arial" w:hAnsi="Arial" w:cs="Arial"/>
          <w:sz w:val="24"/>
          <w:szCs w:val="24"/>
          <w:lang w:val="en-US"/>
        </w:rPr>
      </w:pPr>
      <w:r w:rsidRPr="00642514">
        <w:rPr>
          <w:rFonts w:ascii="Arial" w:hAnsi="Arial" w:cs="Arial"/>
          <w:sz w:val="24"/>
          <w:szCs w:val="24"/>
          <w:lang w:val="en-US"/>
        </w:rPr>
        <w:lastRenderedPageBreak/>
        <w:t>[35]</w:t>
      </w:r>
      <w:r w:rsidRPr="00642514">
        <w:rPr>
          <w:rFonts w:ascii="Arial" w:hAnsi="Arial" w:cs="Arial"/>
          <w:sz w:val="24"/>
          <w:szCs w:val="24"/>
          <w:lang w:val="en-US"/>
        </w:rPr>
        <w:tab/>
      </w:r>
      <w:r w:rsidR="0043546A" w:rsidRPr="00250EF6">
        <w:rPr>
          <w:rFonts w:ascii="Arial" w:hAnsi="Arial" w:cs="Arial"/>
          <w:sz w:val="24"/>
          <w:szCs w:val="24"/>
        </w:rPr>
        <w:t xml:space="preserve">The </w:t>
      </w:r>
      <w:r w:rsidR="00E541E0" w:rsidRPr="00250EF6">
        <w:rPr>
          <w:rFonts w:ascii="Arial" w:hAnsi="Arial" w:cs="Arial"/>
          <w:sz w:val="24"/>
          <w:szCs w:val="24"/>
        </w:rPr>
        <w:t xml:space="preserve">applicants rely on the original partnership for the relief sought. In contrast, the </w:t>
      </w:r>
      <w:r w:rsidR="0043546A" w:rsidRPr="00250EF6">
        <w:rPr>
          <w:rFonts w:ascii="Arial" w:hAnsi="Arial" w:cs="Arial"/>
          <w:sz w:val="24"/>
          <w:szCs w:val="24"/>
        </w:rPr>
        <w:t xml:space="preserve">first respondent asserts that no partnership ever came into existence. </w:t>
      </w:r>
    </w:p>
    <w:p w14:paraId="09537E20" w14:textId="77777777" w:rsidR="00642514" w:rsidRPr="00642514" w:rsidRDefault="00642514" w:rsidP="00642514">
      <w:pPr>
        <w:pStyle w:val="ListParagraph"/>
        <w:rPr>
          <w:rFonts w:ascii="Arial" w:hAnsi="Arial" w:cs="Arial"/>
          <w:sz w:val="24"/>
          <w:szCs w:val="24"/>
        </w:rPr>
      </w:pPr>
    </w:p>
    <w:p w14:paraId="658BEEC6" w14:textId="62E7DC28" w:rsidR="0043546A" w:rsidRPr="00250EF6" w:rsidRDefault="00250EF6" w:rsidP="00250EF6">
      <w:pPr>
        <w:spacing w:line="360" w:lineRule="auto"/>
        <w:jc w:val="both"/>
        <w:rPr>
          <w:rFonts w:ascii="Arial" w:hAnsi="Arial" w:cs="Arial"/>
          <w:sz w:val="24"/>
          <w:szCs w:val="24"/>
          <w:lang w:val="en-US"/>
        </w:rPr>
      </w:pPr>
      <w:r w:rsidRPr="00642514">
        <w:rPr>
          <w:rFonts w:ascii="Arial" w:hAnsi="Arial" w:cs="Arial"/>
          <w:sz w:val="24"/>
          <w:szCs w:val="24"/>
          <w:lang w:val="en-US"/>
        </w:rPr>
        <w:t>[36]</w:t>
      </w:r>
      <w:r w:rsidRPr="00642514">
        <w:rPr>
          <w:rFonts w:ascii="Arial" w:hAnsi="Arial" w:cs="Arial"/>
          <w:sz w:val="24"/>
          <w:szCs w:val="24"/>
          <w:lang w:val="en-US"/>
        </w:rPr>
        <w:tab/>
      </w:r>
      <w:r w:rsidR="00D74E6A" w:rsidRPr="00250EF6">
        <w:rPr>
          <w:rFonts w:ascii="Arial" w:hAnsi="Arial" w:cs="Arial"/>
          <w:sz w:val="24"/>
          <w:szCs w:val="24"/>
        </w:rPr>
        <w:t xml:space="preserve">The classic approach to a situation where the material facts are in dispute and where no request has been made for the matter to be referred for oral evidence was set out </w:t>
      </w:r>
      <w:r w:rsidR="0043546A" w:rsidRPr="00250EF6">
        <w:rPr>
          <w:rFonts w:ascii="Arial" w:hAnsi="Arial" w:cs="Arial"/>
          <w:sz w:val="24"/>
          <w:szCs w:val="24"/>
        </w:rPr>
        <w:t xml:space="preserve">in </w:t>
      </w:r>
      <w:r w:rsidR="0043546A" w:rsidRPr="00250EF6">
        <w:rPr>
          <w:rFonts w:ascii="Arial" w:hAnsi="Arial" w:cs="Arial"/>
          <w:i/>
          <w:iCs/>
          <w:sz w:val="24"/>
          <w:szCs w:val="24"/>
        </w:rPr>
        <w:t>Stellenbosch Farmers</w:t>
      </w:r>
      <w:r w:rsidR="00D74E6A" w:rsidRPr="00250EF6">
        <w:rPr>
          <w:rFonts w:ascii="Arial" w:hAnsi="Arial" w:cs="Arial"/>
          <w:i/>
          <w:iCs/>
          <w:sz w:val="24"/>
          <w:szCs w:val="24"/>
        </w:rPr>
        <w:t>’</w:t>
      </w:r>
      <w:r w:rsidR="0043546A" w:rsidRPr="00250EF6">
        <w:rPr>
          <w:rFonts w:ascii="Arial" w:hAnsi="Arial" w:cs="Arial"/>
          <w:i/>
          <w:iCs/>
          <w:sz w:val="24"/>
          <w:szCs w:val="24"/>
        </w:rPr>
        <w:t xml:space="preserve"> Winery</w:t>
      </w:r>
      <w:r w:rsidR="00D74E6A" w:rsidRPr="00250EF6">
        <w:rPr>
          <w:rFonts w:ascii="Arial" w:hAnsi="Arial" w:cs="Arial"/>
          <w:i/>
          <w:iCs/>
          <w:sz w:val="24"/>
          <w:szCs w:val="24"/>
        </w:rPr>
        <w:t xml:space="preserve"> Ltd v Stellenvale Winery (Pty) Ltd</w:t>
      </w:r>
      <w:r w:rsidR="00D74E6A" w:rsidRPr="00250EF6">
        <w:rPr>
          <w:rFonts w:ascii="Arial" w:hAnsi="Arial" w:cs="Arial"/>
          <w:sz w:val="24"/>
          <w:szCs w:val="24"/>
        </w:rPr>
        <w:t>,</w:t>
      </w:r>
      <w:r w:rsidR="00E541E0">
        <w:rPr>
          <w:rStyle w:val="FootnoteReference"/>
          <w:rFonts w:ascii="Arial" w:hAnsi="Arial" w:cs="Arial"/>
          <w:sz w:val="24"/>
          <w:szCs w:val="24"/>
        </w:rPr>
        <w:footnoteReference w:id="12"/>
      </w:r>
      <w:r w:rsidR="00D74E6A" w:rsidRPr="00250EF6">
        <w:rPr>
          <w:rFonts w:ascii="Arial" w:hAnsi="Arial" w:cs="Arial"/>
          <w:sz w:val="24"/>
          <w:szCs w:val="24"/>
        </w:rPr>
        <w:t xml:space="preserve"> where the court held</w:t>
      </w:r>
      <w:r w:rsidR="00E541E0" w:rsidRPr="00250EF6">
        <w:rPr>
          <w:rFonts w:ascii="Arial" w:hAnsi="Arial" w:cs="Arial"/>
          <w:sz w:val="24"/>
          <w:szCs w:val="24"/>
        </w:rPr>
        <w:t xml:space="preserve"> that</w:t>
      </w:r>
      <w:r w:rsidR="00D74E6A" w:rsidRPr="00250EF6">
        <w:rPr>
          <w:rFonts w:ascii="Arial" w:hAnsi="Arial" w:cs="Arial"/>
          <w:sz w:val="24"/>
          <w:szCs w:val="24"/>
        </w:rPr>
        <w:t>:</w:t>
      </w:r>
    </w:p>
    <w:p w14:paraId="686E2213" w14:textId="45ADA656" w:rsidR="0043546A" w:rsidRPr="00E541E0" w:rsidRDefault="00D74E6A" w:rsidP="00642514">
      <w:pPr>
        <w:spacing w:line="360" w:lineRule="auto"/>
        <w:ind w:left="720"/>
        <w:jc w:val="both"/>
        <w:rPr>
          <w:rFonts w:ascii="Arial" w:hAnsi="Arial" w:cs="Arial"/>
          <w:sz w:val="20"/>
          <w:szCs w:val="20"/>
        </w:rPr>
      </w:pPr>
      <w:r w:rsidRPr="00E541E0">
        <w:rPr>
          <w:rFonts w:ascii="Arial" w:hAnsi="Arial" w:cs="Arial"/>
          <w:sz w:val="20"/>
          <w:szCs w:val="20"/>
        </w:rPr>
        <w:t>‘</w:t>
      </w:r>
      <w:r w:rsidR="0043546A" w:rsidRPr="00E541E0">
        <w:rPr>
          <w:rFonts w:ascii="Arial" w:hAnsi="Arial" w:cs="Arial"/>
          <w:sz w:val="20"/>
          <w:szCs w:val="20"/>
        </w:rPr>
        <w:t>where there is a dispute as to the facts a final interdict should only be granted in notice of motion proceedings if the facts as stated by the respondents together with the admitted facts in the applicant’s affidavits justify such an order.’</w:t>
      </w:r>
      <w:r w:rsidRPr="00E541E0">
        <w:rPr>
          <w:rStyle w:val="FootnoteReference"/>
          <w:rFonts w:ascii="Arial" w:hAnsi="Arial" w:cs="Arial"/>
          <w:sz w:val="20"/>
          <w:szCs w:val="20"/>
        </w:rPr>
        <w:footnoteReference w:id="13"/>
      </w:r>
    </w:p>
    <w:p w14:paraId="69977091" w14:textId="02ED4141" w:rsidR="0043546A" w:rsidRDefault="0043546A" w:rsidP="005D49D5">
      <w:pPr>
        <w:spacing w:line="360" w:lineRule="auto"/>
        <w:rPr>
          <w:rFonts w:ascii="Arial" w:hAnsi="Arial" w:cs="Arial"/>
          <w:sz w:val="24"/>
          <w:szCs w:val="24"/>
        </w:rPr>
      </w:pPr>
    </w:p>
    <w:p w14:paraId="62ED113C" w14:textId="350449F0" w:rsidR="00D74E6A" w:rsidRPr="00250EF6" w:rsidRDefault="00250EF6" w:rsidP="00250EF6">
      <w:pPr>
        <w:spacing w:line="360" w:lineRule="auto"/>
        <w:jc w:val="both"/>
        <w:rPr>
          <w:rFonts w:ascii="Arial" w:hAnsi="Arial" w:cs="Arial"/>
          <w:sz w:val="24"/>
          <w:szCs w:val="24"/>
        </w:rPr>
      </w:pPr>
      <w:r w:rsidRPr="00642514">
        <w:rPr>
          <w:rFonts w:ascii="Arial" w:hAnsi="Arial" w:cs="Arial"/>
          <w:sz w:val="24"/>
          <w:szCs w:val="24"/>
        </w:rPr>
        <w:t>[37]</w:t>
      </w:r>
      <w:r w:rsidRPr="00642514">
        <w:rPr>
          <w:rFonts w:ascii="Arial" w:hAnsi="Arial" w:cs="Arial"/>
          <w:sz w:val="24"/>
          <w:szCs w:val="24"/>
        </w:rPr>
        <w:tab/>
      </w:r>
      <w:r w:rsidR="00D74E6A" w:rsidRPr="00250EF6">
        <w:rPr>
          <w:rFonts w:ascii="Arial" w:hAnsi="Arial" w:cs="Arial"/>
          <w:sz w:val="24"/>
          <w:szCs w:val="24"/>
        </w:rPr>
        <w:t>The proviso to the above principle, however, is that a court may reject the respondent’s version when</w:t>
      </w:r>
      <w:r w:rsidR="00E541E0" w:rsidRPr="00250EF6">
        <w:rPr>
          <w:rFonts w:ascii="Arial" w:hAnsi="Arial" w:cs="Arial"/>
          <w:sz w:val="24"/>
          <w:szCs w:val="24"/>
        </w:rPr>
        <w:t xml:space="preserve"> his or her allegations are patently implausible. The entrenched authority for this is the seminal decision in </w:t>
      </w:r>
      <w:r w:rsidR="00E541E0" w:rsidRPr="00250EF6">
        <w:rPr>
          <w:rFonts w:ascii="Arial" w:hAnsi="Arial" w:cs="Arial"/>
          <w:i/>
          <w:iCs/>
          <w:sz w:val="24"/>
          <w:szCs w:val="24"/>
        </w:rPr>
        <w:t>Plascon-Evans Paints v Van Riebeeck Paints</w:t>
      </w:r>
      <w:r w:rsidR="00E541E0" w:rsidRPr="00250EF6">
        <w:rPr>
          <w:rFonts w:ascii="Arial" w:hAnsi="Arial" w:cs="Arial"/>
          <w:sz w:val="24"/>
          <w:szCs w:val="24"/>
        </w:rPr>
        <w:t>,</w:t>
      </w:r>
      <w:r w:rsidR="00E541E0">
        <w:rPr>
          <w:rStyle w:val="FootnoteReference"/>
          <w:rFonts w:ascii="Arial" w:hAnsi="Arial" w:cs="Arial"/>
          <w:sz w:val="24"/>
          <w:szCs w:val="24"/>
        </w:rPr>
        <w:footnoteReference w:id="14"/>
      </w:r>
      <w:r w:rsidR="00E541E0" w:rsidRPr="00250EF6">
        <w:rPr>
          <w:rFonts w:ascii="Arial" w:hAnsi="Arial" w:cs="Arial"/>
          <w:sz w:val="24"/>
          <w:szCs w:val="24"/>
        </w:rPr>
        <w:t xml:space="preserve"> where the court held </w:t>
      </w:r>
      <w:r w:rsidR="00E11098" w:rsidRPr="00250EF6">
        <w:rPr>
          <w:rFonts w:ascii="Arial" w:hAnsi="Arial" w:cs="Arial"/>
          <w:sz w:val="24"/>
          <w:szCs w:val="24"/>
        </w:rPr>
        <w:t>as follows</w:t>
      </w:r>
      <w:r w:rsidR="00E541E0" w:rsidRPr="00250EF6">
        <w:rPr>
          <w:rFonts w:ascii="Arial" w:hAnsi="Arial" w:cs="Arial"/>
          <w:sz w:val="24"/>
          <w:szCs w:val="24"/>
        </w:rPr>
        <w:t>:</w:t>
      </w:r>
    </w:p>
    <w:p w14:paraId="2775C0E7" w14:textId="33F99B08" w:rsidR="00D74E6A" w:rsidRPr="00E541E0" w:rsidRDefault="00D74E6A" w:rsidP="00642514">
      <w:pPr>
        <w:spacing w:line="360" w:lineRule="auto"/>
        <w:ind w:left="720"/>
        <w:jc w:val="both"/>
        <w:rPr>
          <w:rFonts w:ascii="Arial" w:hAnsi="Arial" w:cs="Arial"/>
          <w:sz w:val="20"/>
          <w:szCs w:val="20"/>
        </w:rPr>
      </w:pPr>
      <w:r w:rsidRPr="00E541E0">
        <w:rPr>
          <w:rFonts w:ascii="Arial" w:hAnsi="Arial" w:cs="Arial"/>
          <w:sz w:val="20"/>
          <w:szCs w:val="20"/>
        </w:rPr>
        <w:t>‘…In certain instances the denial by respondent of a fact alleged by the applicant may not be such as to raise a real, genuine or bona fide dispute of fact… If in such a case the respondent has not availed himself of his right to apply for the deponents concerned to be called for cross-examination… and the Court is satisfied as to the inherent credibility of the applicant’s factual averment, it may proceed on the basis of the correctness thereof and include this fact among those upon which it determines whether the applicant is entitled to the final relief which he seeks… Moreover, there may be exceptions to this general rule, as, for example, where the allegations or denials of the respondent are so far-fetched or clearly untenable that the Court is justified in rejecting them merely on the papers…’</w:t>
      </w:r>
      <w:r w:rsidR="00E541E0" w:rsidRPr="00E541E0">
        <w:rPr>
          <w:rStyle w:val="FootnoteReference"/>
          <w:rFonts w:ascii="Arial" w:hAnsi="Arial" w:cs="Arial"/>
          <w:sz w:val="20"/>
          <w:szCs w:val="20"/>
        </w:rPr>
        <w:footnoteReference w:id="15"/>
      </w:r>
    </w:p>
    <w:p w14:paraId="3527BF20" w14:textId="6B7638CE" w:rsidR="00D74E6A" w:rsidRDefault="00D74E6A" w:rsidP="005D49D5">
      <w:pPr>
        <w:spacing w:line="360" w:lineRule="auto"/>
        <w:rPr>
          <w:rFonts w:ascii="Arial" w:hAnsi="Arial" w:cs="Arial"/>
          <w:sz w:val="24"/>
          <w:szCs w:val="24"/>
        </w:rPr>
      </w:pPr>
    </w:p>
    <w:p w14:paraId="0933AFAF" w14:textId="4E2B2706" w:rsidR="00A94EB6" w:rsidRPr="00250EF6" w:rsidRDefault="00250EF6" w:rsidP="00250EF6">
      <w:pPr>
        <w:spacing w:line="360" w:lineRule="auto"/>
        <w:jc w:val="both"/>
        <w:rPr>
          <w:rFonts w:ascii="Arial" w:hAnsi="Arial" w:cs="Arial"/>
          <w:sz w:val="24"/>
          <w:szCs w:val="24"/>
        </w:rPr>
      </w:pPr>
      <w:r w:rsidRPr="00642514">
        <w:rPr>
          <w:rFonts w:ascii="Arial" w:hAnsi="Arial" w:cs="Arial"/>
          <w:sz w:val="24"/>
          <w:szCs w:val="24"/>
        </w:rPr>
        <w:t>[38]</w:t>
      </w:r>
      <w:r w:rsidRPr="00642514">
        <w:rPr>
          <w:rFonts w:ascii="Arial" w:hAnsi="Arial" w:cs="Arial"/>
          <w:sz w:val="24"/>
          <w:szCs w:val="24"/>
        </w:rPr>
        <w:tab/>
      </w:r>
      <w:r w:rsidR="001D00D9" w:rsidRPr="00250EF6">
        <w:rPr>
          <w:rFonts w:ascii="Arial" w:hAnsi="Arial" w:cs="Arial"/>
          <w:sz w:val="24"/>
          <w:szCs w:val="24"/>
        </w:rPr>
        <w:t>Here, it is clear from the evidence that t</w:t>
      </w:r>
      <w:r w:rsidR="00A94EB6" w:rsidRPr="00250EF6">
        <w:rPr>
          <w:rFonts w:ascii="Arial" w:hAnsi="Arial" w:cs="Arial"/>
          <w:sz w:val="24"/>
          <w:szCs w:val="24"/>
        </w:rPr>
        <w:t>he parties</w:t>
      </w:r>
      <w:r w:rsidR="001D00D9" w:rsidRPr="00250EF6">
        <w:rPr>
          <w:rFonts w:ascii="Arial" w:hAnsi="Arial" w:cs="Arial"/>
          <w:sz w:val="24"/>
          <w:szCs w:val="24"/>
        </w:rPr>
        <w:t xml:space="preserve"> </w:t>
      </w:r>
      <w:r w:rsidR="00A94EB6" w:rsidRPr="00250EF6">
        <w:rPr>
          <w:rFonts w:ascii="Arial" w:hAnsi="Arial" w:cs="Arial"/>
          <w:sz w:val="24"/>
          <w:szCs w:val="24"/>
        </w:rPr>
        <w:t>conducted themselves as partners</w:t>
      </w:r>
      <w:r w:rsidR="001D00D9" w:rsidRPr="00250EF6">
        <w:rPr>
          <w:rFonts w:ascii="Arial" w:hAnsi="Arial" w:cs="Arial"/>
          <w:sz w:val="24"/>
          <w:szCs w:val="24"/>
        </w:rPr>
        <w:t xml:space="preserve"> for the better part of a decade; the expiry of the nine-month period of duration </w:t>
      </w:r>
      <w:r w:rsidR="001D00D9" w:rsidRPr="00250EF6">
        <w:rPr>
          <w:rFonts w:ascii="Arial" w:hAnsi="Arial" w:cs="Arial"/>
          <w:sz w:val="24"/>
          <w:szCs w:val="24"/>
        </w:rPr>
        <w:lastRenderedPageBreak/>
        <w:t xml:space="preserve">and the absence of a ‘partnership contract’ to have been drawn up by a practising attorney appeared to have had no effect </w:t>
      </w:r>
      <w:r w:rsidR="002B6686" w:rsidRPr="00250EF6">
        <w:rPr>
          <w:rFonts w:ascii="Arial" w:hAnsi="Arial" w:cs="Arial"/>
          <w:sz w:val="24"/>
          <w:szCs w:val="24"/>
        </w:rPr>
        <w:t xml:space="preserve">whatsoever </w:t>
      </w:r>
      <w:r w:rsidR="001D00D9" w:rsidRPr="00250EF6">
        <w:rPr>
          <w:rFonts w:ascii="Arial" w:hAnsi="Arial" w:cs="Arial"/>
          <w:sz w:val="24"/>
          <w:szCs w:val="24"/>
        </w:rPr>
        <w:t xml:space="preserve">on the relationship amongst the parties. </w:t>
      </w:r>
      <w:r w:rsidR="0043546A" w:rsidRPr="00250EF6">
        <w:rPr>
          <w:rFonts w:ascii="Arial" w:hAnsi="Arial" w:cs="Arial"/>
          <w:sz w:val="24"/>
          <w:szCs w:val="24"/>
        </w:rPr>
        <w:t xml:space="preserve">This </w:t>
      </w:r>
      <w:r w:rsidR="00A94EB6" w:rsidRPr="00250EF6">
        <w:rPr>
          <w:rFonts w:ascii="Arial" w:hAnsi="Arial" w:cs="Arial"/>
          <w:sz w:val="24"/>
          <w:szCs w:val="24"/>
        </w:rPr>
        <w:t xml:space="preserve">was demonstrated, at the very least, by </w:t>
      </w:r>
      <w:r w:rsidR="001D00D9" w:rsidRPr="00250EF6">
        <w:rPr>
          <w:rFonts w:ascii="Arial" w:hAnsi="Arial" w:cs="Arial"/>
          <w:sz w:val="24"/>
          <w:szCs w:val="24"/>
        </w:rPr>
        <w:t xml:space="preserve">the assertions of the applicants in reply, </w:t>
      </w:r>
      <w:r w:rsidR="00E11098" w:rsidRPr="00250EF6">
        <w:rPr>
          <w:rFonts w:ascii="Arial" w:hAnsi="Arial" w:cs="Arial"/>
          <w:sz w:val="24"/>
          <w:szCs w:val="24"/>
        </w:rPr>
        <w:t xml:space="preserve">supported by documentation pertaining to the conclusion of a copy of </w:t>
      </w:r>
      <w:r w:rsidR="001D00D9" w:rsidRPr="00250EF6">
        <w:rPr>
          <w:rFonts w:ascii="Arial" w:hAnsi="Arial" w:cs="Arial"/>
          <w:sz w:val="24"/>
          <w:szCs w:val="24"/>
        </w:rPr>
        <w:t>a deed of suretyship</w:t>
      </w:r>
      <w:r w:rsidR="00E11098" w:rsidRPr="00250EF6">
        <w:rPr>
          <w:rFonts w:ascii="Arial" w:hAnsi="Arial" w:cs="Arial"/>
          <w:sz w:val="24"/>
          <w:szCs w:val="24"/>
        </w:rPr>
        <w:t xml:space="preserve"> and (more importantly) a thread of email </w:t>
      </w:r>
      <w:r w:rsidR="001D00D9" w:rsidRPr="00250EF6">
        <w:rPr>
          <w:rFonts w:ascii="Arial" w:hAnsi="Arial" w:cs="Arial"/>
          <w:sz w:val="24"/>
          <w:szCs w:val="24"/>
        </w:rPr>
        <w:t xml:space="preserve">correspondence </w:t>
      </w:r>
      <w:r w:rsidR="00E11098" w:rsidRPr="00250EF6">
        <w:rPr>
          <w:rFonts w:ascii="Arial" w:hAnsi="Arial" w:cs="Arial"/>
          <w:sz w:val="24"/>
          <w:szCs w:val="24"/>
        </w:rPr>
        <w:t xml:space="preserve">to the effect that the first respondent appeared to have regarded himself very much as a partner of </w:t>
      </w:r>
      <w:r w:rsidR="00F8204F" w:rsidRPr="00250EF6">
        <w:rPr>
          <w:rFonts w:ascii="Arial" w:hAnsi="Arial" w:cs="Arial"/>
          <w:sz w:val="24"/>
          <w:szCs w:val="24"/>
        </w:rPr>
        <w:t xml:space="preserve">the business trading as </w:t>
      </w:r>
      <w:r w:rsidR="00E11098" w:rsidRPr="00250EF6">
        <w:rPr>
          <w:rFonts w:ascii="Arial" w:hAnsi="Arial" w:cs="Arial"/>
          <w:sz w:val="24"/>
          <w:szCs w:val="24"/>
        </w:rPr>
        <w:t xml:space="preserve">PEG Labels. </w:t>
      </w:r>
      <w:r w:rsidR="00D22CF6" w:rsidRPr="00250EF6">
        <w:rPr>
          <w:rFonts w:ascii="Arial" w:hAnsi="Arial" w:cs="Arial"/>
          <w:sz w:val="24"/>
          <w:szCs w:val="24"/>
        </w:rPr>
        <w:t xml:space="preserve">An </w:t>
      </w:r>
      <w:r w:rsidR="00E11098" w:rsidRPr="00250EF6">
        <w:rPr>
          <w:rFonts w:ascii="Arial" w:hAnsi="Arial" w:cs="Arial"/>
          <w:sz w:val="24"/>
          <w:szCs w:val="24"/>
        </w:rPr>
        <w:t>email</w:t>
      </w:r>
      <w:r w:rsidR="00D22CF6" w:rsidRPr="00250EF6">
        <w:rPr>
          <w:rFonts w:ascii="Arial" w:hAnsi="Arial" w:cs="Arial"/>
          <w:sz w:val="24"/>
          <w:szCs w:val="24"/>
        </w:rPr>
        <w:t xml:space="preserve"> </w:t>
      </w:r>
      <w:r w:rsidR="00E11098" w:rsidRPr="00250EF6">
        <w:rPr>
          <w:rFonts w:ascii="Arial" w:hAnsi="Arial" w:cs="Arial"/>
          <w:sz w:val="24"/>
          <w:szCs w:val="24"/>
        </w:rPr>
        <w:t>from the first respondent to the applicants</w:t>
      </w:r>
      <w:r w:rsidR="00D22CF6" w:rsidRPr="00250EF6">
        <w:rPr>
          <w:rFonts w:ascii="Arial" w:hAnsi="Arial" w:cs="Arial"/>
          <w:sz w:val="24"/>
          <w:szCs w:val="24"/>
        </w:rPr>
        <w:t xml:space="preserve">, </w:t>
      </w:r>
      <w:r w:rsidR="00E11098" w:rsidRPr="00250EF6">
        <w:rPr>
          <w:rFonts w:ascii="Arial" w:hAnsi="Arial" w:cs="Arial"/>
          <w:sz w:val="24"/>
          <w:szCs w:val="24"/>
        </w:rPr>
        <w:t>dated 15 December 2020</w:t>
      </w:r>
      <w:r w:rsidR="00591A6F" w:rsidRPr="00250EF6">
        <w:rPr>
          <w:rFonts w:ascii="Arial" w:hAnsi="Arial" w:cs="Arial"/>
          <w:sz w:val="24"/>
          <w:szCs w:val="24"/>
        </w:rPr>
        <w:t xml:space="preserve"> (just under three months before the ‘termination’ of the partnership)</w:t>
      </w:r>
      <w:r w:rsidR="00E11098" w:rsidRPr="00250EF6">
        <w:rPr>
          <w:rFonts w:ascii="Arial" w:hAnsi="Arial" w:cs="Arial"/>
          <w:sz w:val="24"/>
          <w:szCs w:val="24"/>
        </w:rPr>
        <w:t>, r</w:t>
      </w:r>
      <w:r w:rsidR="00591A6F" w:rsidRPr="00250EF6">
        <w:rPr>
          <w:rFonts w:ascii="Arial" w:hAnsi="Arial" w:cs="Arial"/>
          <w:sz w:val="24"/>
          <w:szCs w:val="24"/>
        </w:rPr>
        <w:t>eveal</w:t>
      </w:r>
      <w:r w:rsidR="00E11098" w:rsidRPr="00250EF6">
        <w:rPr>
          <w:rFonts w:ascii="Arial" w:hAnsi="Arial" w:cs="Arial"/>
          <w:sz w:val="24"/>
          <w:szCs w:val="24"/>
        </w:rPr>
        <w:t xml:space="preserve">s </w:t>
      </w:r>
      <w:r w:rsidR="00591A6F" w:rsidRPr="00250EF6">
        <w:rPr>
          <w:rFonts w:ascii="Arial" w:hAnsi="Arial" w:cs="Arial"/>
          <w:sz w:val="24"/>
          <w:szCs w:val="24"/>
        </w:rPr>
        <w:t>the</w:t>
      </w:r>
      <w:r w:rsidR="00E11098" w:rsidRPr="00250EF6">
        <w:rPr>
          <w:rFonts w:ascii="Arial" w:hAnsi="Arial" w:cs="Arial"/>
          <w:sz w:val="24"/>
          <w:szCs w:val="24"/>
        </w:rPr>
        <w:t xml:space="preserve"> follow</w:t>
      </w:r>
      <w:r w:rsidR="00591A6F" w:rsidRPr="00250EF6">
        <w:rPr>
          <w:rFonts w:ascii="Arial" w:hAnsi="Arial" w:cs="Arial"/>
          <w:sz w:val="24"/>
          <w:szCs w:val="24"/>
        </w:rPr>
        <w:t>ing</w:t>
      </w:r>
      <w:r w:rsidR="00E11098" w:rsidRPr="00250EF6">
        <w:rPr>
          <w:rFonts w:ascii="Arial" w:hAnsi="Arial" w:cs="Arial"/>
          <w:sz w:val="24"/>
          <w:szCs w:val="24"/>
        </w:rPr>
        <w:t>:</w:t>
      </w:r>
    </w:p>
    <w:p w14:paraId="2AC8EDA5" w14:textId="2F11A0BB" w:rsidR="00E11098" w:rsidRPr="00D22CF6" w:rsidRDefault="00E11098" w:rsidP="00642514">
      <w:pPr>
        <w:spacing w:line="360" w:lineRule="auto"/>
        <w:ind w:left="720"/>
        <w:jc w:val="both"/>
        <w:rPr>
          <w:rFonts w:ascii="Arial" w:hAnsi="Arial" w:cs="Arial"/>
          <w:sz w:val="20"/>
          <w:szCs w:val="20"/>
        </w:rPr>
      </w:pPr>
      <w:r w:rsidRPr="00D22CF6">
        <w:rPr>
          <w:rFonts w:ascii="Arial" w:hAnsi="Arial" w:cs="Arial"/>
          <w:sz w:val="20"/>
          <w:szCs w:val="20"/>
        </w:rPr>
        <w:t xml:space="preserve">‘Yes you right have done </w:t>
      </w:r>
      <w:r w:rsidR="00D22CF6" w:rsidRPr="00D22CF6">
        <w:rPr>
          <w:rFonts w:ascii="Arial" w:hAnsi="Arial" w:cs="Arial"/>
          <w:sz w:val="20"/>
          <w:szCs w:val="20"/>
        </w:rPr>
        <w:t xml:space="preserve">nothing for the last 3 months, but until you and Greg pay me for my part of the business </w:t>
      </w:r>
      <w:r w:rsidR="00D22CF6" w:rsidRPr="00D22CF6">
        <w:rPr>
          <w:rFonts w:ascii="Arial" w:hAnsi="Arial" w:cs="Arial"/>
          <w:sz w:val="20"/>
          <w:szCs w:val="20"/>
          <w:u w:val="single"/>
        </w:rPr>
        <w:t>I remain a partner regardless whether I work for the company or not</w:t>
      </w:r>
      <w:r w:rsidR="00D22CF6" w:rsidRPr="00D22CF6">
        <w:rPr>
          <w:rFonts w:ascii="Arial" w:hAnsi="Arial" w:cs="Arial"/>
          <w:sz w:val="20"/>
          <w:szCs w:val="20"/>
        </w:rPr>
        <w:t>. But with regard to the staff bonuses you still are responsible for them receiving or not. I made a call why don’t you the office staff still have to receive theirs.’</w:t>
      </w:r>
      <w:r w:rsidR="00D22CF6" w:rsidRPr="00D22CF6">
        <w:rPr>
          <w:rStyle w:val="FootnoteReference"/>
          <w:rFonts w:ascii="Arial" w:hAnsi="Arial" w:cs="Arial"/>
          <w:sz w:val="20"/>
          <w:szCs w:val="20"/>
        </w:rPr>
        <w:footnoteReference w:id="16"/>
      </w:r>
    </w:p>
    <w:p w14:paraId="524FFB93" w14:textId="203A3F34" w:rsidR="00D22CF6" w:rsidRPr="00D22CF6" w:rsidRDefault="00D22CF6" w:rsidP="00642514">
      <w:pPr>
        <w:spacing w:line="240" w:lineRule="auto"/>
        <w:ind w:left="720"/>
        <w:jc w:val="right"/>
        <w:rPr>
          <w:rFonts w:ascii="Arial" w:hAnsi="Arial" w:cs="Arial"/>
          <w:sz w:val="20"/>
          <w:szCs w:val="20"/>
        </w:rPr>
      </w:pPr>
      <w:r w:rsidRPr="00D22CF6">
        <w:rPr>
          <w:rFonts w:ascii="Arial" w:hAnsi="Arial" w:cs="Arial"/>
          <w:sz w:val="20"/>
          <w:szCs w:val="20"/>
        </w:rPr>
        <w:t>[sic]</w:t>
      </w:r>
    </w:p>
    <w:p w14:paraId="75976DF4" w14:textId="4D620F18" w:rsidR="00D22CF6" w:rsidRDefault="00D22CF6" w:rsidP="00642514">
      <w:pPr>
        <w:spacing w:line="240" w:lineRule="auto"/>
        <w:rPr>
          <w:rFonts w:ascii="Arial" w:hAnsi="Arial" w:cs="Arial"/>
          <w:sz w:val="24"/>
          <w:szCs w:val="24"/>
        </w:rPr>
      </w:pPr>
    </w:p>
    <w:p w14:paraId="046DCB4D" w14:textId="7976A999"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22CF6" w:rsidRPr="00250EF6">
        <w:rPr>
          <w:rFonts w:ascii="Arial" w:hAnsi="Arial" w:cs="Arial"/>
          <w:sz w:val="24"/>
          <w:szCs w:val="24"/>
        </w:rPr>
        <w:t>From the above, the first respondent’s contention that a partnership never c</w:t>
      </w:r>
      <w:r w:rsidR="008D1490" w:rsidRPr="00250EF6">
        <w:rPr>
          <w:rFonts w:ascii="Arial" w:hAnsi="Arial" w:cs="Arial"/>
          <w:sz w:val="24"/>
          <w:szCs w:val="24"/>
        </w:rPr>
        <w:t>a</w:t>
      </w:r>
      <w:r w:rsidR="00D22CF6" w:rsidRPr="00250EF6">
        <w:rPr>
          <w:rFonts w:ascii="Arial" w:hAnsi="Arial" w:cs="Arial"/>
          <w:sz w:val="24"/>
          <w:szCs w:val="24"/>
        </w:rPr>
        <w:t>me into existence does not ring true. Notwithstanding the shortcomings of the partnership agreement and the question of whether it came to an end b</w:t>
      </w:r>
      <w:r w:rsidR="002522D0" w:rsidRPr="00250EF6">
        <w:rPr>
          <w:rFonts w:ascii="Arial" w:hAnsi="Arial" w:cs="Arial"/>
          <w:sz w:val="24"/>
          <w:szCs w:val="24"/>
        </w:rPr>
        <w:t>y the</w:t>
      </w:r>
      <w:r w:rsidR="00D22CF6" w:rsidRPr="00250EF6">
        <w:rPr>
          <w:rFonts w:ascii="Arial" w:hAnsi="Arial" w:cs="Arial"/>
          <w:sz w:val="24"/>
          <w:szCs w:val="24"/>
        </w:rPr>
        <w:t xml:space="preserve"> effluxion of time at the expiry of the nine-month period of duration, the parties impliedly agreed to continue the partnership. </w:t>
      </w:r>
    </w:p>
    <w:p w14:paraId="5C162F5B" w14:textId="77777777" w:rsidR="00642514" w:rsidRDefault="00642514" w:rsidP="00642514">
      <w:pPr>
        <w:pStyle w:val="ListParagraph"/>
        <w:spacing w:line="360" w:lineRule="auto"/>
        <w:ind w:left="0"/>
        <w:jc w:val="both"/>
        <w:rPr>
          <w:rFonts w:ascii="Arial" w:hAnsi="Arial" w:cs="Arial"/>
          <w:sz w:val="24"/>
          <w:szCs w:val="24"/>
        </w:rPr>
      </w:pPr>
    </w:p>
    <w:p w14:paraId="5E8AF4F9" w14:textId="6405320F"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22CF6" w:rsidRPr="00250EF6">
        <w:rPr>
          <w:rFonts w:ascii="Arial" w:hAnsi="Arial" w:cs="Arial"/>
          <w:sz w:val="24"/>
          <w:szCs w:val="24"/>
        </w:rPr>
        <w:t xml:space="preserve">The picture changed, however, when the first respondent instructed his attorneys, on 7 March 2021, to inform the applicants that he had decided to ‘terminate’ the partnership. This amounted to </w:t>
      </w:r>
      <w:r w:rsidR="00591A6F" w:rsidRPr="00250EF6">
        <w:rPr>
          <w:rFonts w:ascii="Arial" w:hAnsi="Arial" w:cs="Arial"/>
          <w:sz w:val="24"/>
          <w:szCs w:val="24"/>
        </w:rPr>
        <w:t xml:space="preserve">no less than </w:t>
      </w:r>
      <w:r w:rsidR="00D22CF6" w:rsidRPr="00250EF6">
        <w:rPr>
          <w:rFonts w:ascii="Arial" w:hAnsi="Arial" w:cs="Arial"/>
          <w:sz w:val="24"/>
          <w:szCs w:val="24"/>
        </w:rPr>
        <w:t>a notice of dissolution. What is more, the applicants admit that they accepted th</w:t>
      </w:r>
      <w:r w:rsidR="006105A2" w:rsidRPr="00250EF6">
        <w:rPr>
          <w:rFonts w:ascii="Arial" w:hAnsi="Arial" w:cs="Arial"/>
          <w:sz w:val="24"/>
          <w:szCs w:val="24"/>
        </w:rPr>
        <w:t>e ‘termination’</w:t>
      </w:r>
      <w:r w:rsidR="00D22CF6" w:rsidRPr="00250EF6">
        <w:rPr>
          <w:rFonts w:ascii="Arial" w:hAnsi="Arial" w:cs="Arial"/>
          <w:sz w:val="24"/>
          <w:szCs w:val="24"/>
        </w:rPr>
        <w:t>.</w:t>
      </w:r>
      <w:r w:rsidR="002B6686" w:rsidRPr="00250EF6">
        <w:rPr>
          <w:rFonts w:ascii="Arial" w:hAnsi="Arial" w:cs="Arial"/>
          <w:sz w:val="24"/>
          <w:szCs w:val="24"/>
        </w:rPr>
        <w:t xml:space="preserve"> The effect thereof</w:t>
      </w:r>
      <w:r w:rsidR="006105A2" w:rsidRPr="00250EF6">
        <w:rPr>
          <w:rFonts w:ascii="Arial" w:hAnsi="Arial" w:cs="Arial"/>
          <w:sz w:val="24"/>
          <w:szCs w:val="24"/>
        </w:rPr>
        <w:t>, at the very least,</w:t>
      </w:r>
      <w:r w:rsidR="002B6686" w:rsidRPr="00250EF6">
        <w:rPr>
          <w:rFonts w:ascii="Arial" w:hAnsi="Arial" w:cs="Arial"/>
          <w:sz w:val="24"/>
          <w:szCs w:val="24"/>
        </w:rPr>
        <w:t xml:space="preserve"> was to </w:t>
      </w:r>
      <w:r w:rsidR="006105A2" w:rsidRPr="00250EF6">
        <w:rPr>
          <w:rFonts w:ascii="Arial" w:hAnsi="Arial" w:cs="Arial"/>
          <w:sz w:val="24"/>
          <w:szCs w:val="24"/>
        </w:rPr>
        <w:t xml:space="preserve">have </w:t>
      </w:r>
      <w:r w:rsidR="002B6686" w:rsidRPr="00250EF6">
        <w:rPr>
          <w:rFonts w:ascii="Arial" w:hAnsi="Arial" w:cs="Arial"/>
          <w:sz w:val="24"/>
          <w:szCs w:val="24"/>
        </w:rPr>
        <w:t>br</w:t>
      </w:r>
      <w:r w:rsidR="006105A2" w:rsidRPr="00250EF6">
        <w:rPr>
          <w:rFonts w:ascii="Arial" w:hAnsi="Arial" w:cs="Arial"/>
          <w:sz w:val="24"/>
          <w:szCs w:val="24"/>
        </w:rPr>
        <w:t>ought</w:t>
      </w:r>
      <w:r w:rsidR="002B6686" w:rsidRPr="00250EF6">
        <w:rPr>
          <w:rFonts w:ascii="Arial" w:hAnsi="Arial" w:cs="Arial"/>
          <w:sz w:val="24"/>
          <w:szCs w:val="24"/>
        </w:rPr>
        <w:t xml:space="preserve"> the partnership to an end</w:t>
      </w:r>
      <w:r w:rsidR="006105A2" w:rsidRPr="00250EF6">
        <w:rPr>
          <w:rFonts w:ascii="Arial" w:hAnsi="Arial" w:cs="Arial"/>
          <w:sz w:val="24"/>
          <w:szCs w:val="24"/>
        </w:rPr>
        <w:t>. I</w:t>
      </w:r>
      <w:r w:rsidR="002B6686" w:rsidRPr="00250EF6">
        <w:rPr>
          <w:rFonts w:ascii="Arial" w:hAnsi="Arial" w:cs="Arial"/>
          <w:sz w:val="24"/>
          <w:szCs w:val="24"/>
        </w:rPr>
        <w:t xml:space="preserve">n the absence of a formal </w:t>
      </w:r>
      <w:r w:rsidR="006105A2" w:rsidRPr="00250EF6">
        <w:rPr>
          <w:rFonts w:ascii="Arial" w:hAnsi="Arial" w:cs="Arial"/>
          <w:sz w:val="24"/>
          <w:szCs w:val="24"/>
        </w:rPr>
        <w:t>d</w:t>
      </w:r>
      <w:r w:rsidR="002B6686" w:rsidRPr="00250EF6">
        <w:rPr>
          <w:rFonts w:ascii="Arial" w:hAnsi="Arial" w:cs="Arial"/>
          <w:sz w:val="24"/>
          <w:szCs w:val="24"/>
        </w:rPr>
        <w:t xml:space="preserve">issolution </w:t>
      </w:r>
      <w:r w:rsidR="006105A2" w:rsidRPr="00250EF6">
        <w:rPr>
          <w:rFonts w:ascii="Arial" w:hAnsi="Arial" w:cs="Arial"/>
          <w:sz w:val="24"/>
          <w:szCs w:val="24"/>
        </w:rPr>
        <w:t xml:space="preserve">agreement that might have provided otherwise, the dissolution </w:t>
      </w:r>
      <w:r w:rsidR="002B6686" w:rsidRPr="00250EF6">
        <w:rPr>
          <w:rFonts w:ascii="Arial" w:hAnsi="Arial" w:cs="Arial"/>
          <w:sz w:val="24"/>
          <w:szCs w:val="24"/>
        </w:rPr>
        <w:t>render</w:t>
      </w:r>
      <w:r w:rsidR="006105A2" w:rsidRPr="00250EF6">
        <w:rPr>
          <w:rFonts w:ascii="Arial" w:hAnsi="Arial" w:cs="Arial"/>
          <w:sz w:val="24"/>
          <w:szCs w:val="24"/>
        </w:rPr>
        <w:t>ed</w:t>
      </w:r>
      <w:r w:rsidR="002B6686" w:rsidRPr="00250EF6">
        <w:rPr>
          <w:rFonts w:ascii="Arial" w:hAnsi="Arial" w:cs="Arial"/>
          <w:sz w:val="24"/>
          <w:szCs w:val="24"/>
        </w:rPr>
        <w:t xml:space="preserve"> the partnership agreement non-binding.</w:t>
      </w:r>
      <w:r w:rsidR="006105A2" w:rsidRPr="00250EF6">
        <w:rPr>
          <w:rFonts w:ascii="Arial" w:hAnsi="Arial" w:cs="Arial"/>
          <w:sz w:val="24"/>
          <w:szCs w:val="24"/>
        </w:rPr>
        <w:t xml:space="preserve"> The implied authority or mutual mandate of the parties ended and PEG Labels, as a partnership, would only have continued for purposes of completing </w:t>
      </w:r>
      <w:r w:rsidR="006105A2" w:rsidRPr="00250EF6">
        <w:rPr>
          <w:rFonts w:ascii="Arial" w:hAnsi="Arial" w:cs="Arial"/>
          <w:sz w:val="24"/>
          <w:szCs w:val="24"/>
        </w:rPr>
        <w:lastRenderedPageBreak/>
        <w:t>current transactions, winding up its business, and adjusting the rights of the parties where necessary.</w:t>
      </w:r>
      <w:r w:rsidR="00850A66">
        <w:rPr>
          <w:rStyle w:val="FootnoteReference"/>
          <w:rFonts w:ascii="Arial" w:hAnsi="Arial" w:cs="Arial"/>
          <w:sz w:val="24"/>
          <w:szCs w:val="24"/>
        </w:rPr>
        <w:footnoteReference w:id="17"/>
      </w:r>
      <w:r w:rsidR="00850A66" w:rsidRPr="00250EF6">
        <w:rPr>
          <w:rFonts w:ascii="Arial" w:hAnsi="Arial" w:cs="Arial"/>
          <w:sz w:val="24"/>
          <w:szCs w:val="24"/>
        </w:rPr>
        <w:t xml:space="preserve"> The business of the partnership could not simply have continued unabated, as alleged by the applicants. </w:t>
      </w:r>
    </w:p>
    <w:p w14:paraId="161B3314" w14:textId="77777777" w:rsidR="00642514" w:rsidRPr="00642514" w:rsidRDefault="00642514" w:rsidP="00642514">
      <w:pPr>
        <w:pStyle w:val="ListParagraph"/>
        <w:rPr>
          <w:rFonts w:ascii="Arial" w:hAnsi="Arial" w:cs="Arial"/>
          <w:sz w:val="24"/>
          <w:szCs w:val="24"/>
        </w:rPr>
      </w:pPr>
    </w:p>
    <w:p w14:paraId="31818338" w14:textId="77578661"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8204F" w:rsidRPr="00250EF6">
        <w:rPr>
          <w:rFonts w:ascii="Arial" w:hAnsi="Arial" w:cs="Arial"/>
          <w:sz w:val="24"/>
          <w:szCs w:val="24"/>
        </w:rPr>
        <w:t xml:space="preserve">Consequently, the applicants cannot rely on the original partnership agreement to contend that they have either a </w:t>
      </w:r>
      <w:r w:rsidR="00F8204F" w:rsidRPr="00250EF6">
        <w:rPr>
          <w:rFonts w:ascii="Arial" w:hAnsi="Arial" w:cs="Arial"/>
          <w:i/>
          <w:iCs/>
          <w:sz w:val="24"/>
          <w:szCs w:val="24"/>
        </w:rPr>
        <w:t>prima facie</w:t>
      </w:r>
      <w:r w:rsidR="00F8204F" w:rsidRPr="00250EF6">
        <w:rPr>
          <w:rFonts w:ascii="Arial" w:hAnsi="Arial" w:cs="Arial"/>
          <w:sz w:val="24"/>
          <w:szCs w:val="24"/>
        </w:rPr>
        <w:t xml:space="preserve"> or a clear right in relation to the relief sought. The original partnership agreement is no longer binding. Insofar as they may enjoy residual rights that have survived the dissolution of the partnership, these pertain only to the liquidation and distribution of </w:t>
      </w:r>
      <w:r w:rsidR="00913859" w:rsidRPr="00250EF6">
        <w:rPr>
          <w:rFonts w:ascii="Arial" w:hAnsi="Arial" w:cs="Arial"/>
          <w:sz w:val="24"/>
          <w:szCs w:val="24"/>
        </w:rPr>
        <w:t xml:space="preserve">partnership </w:t>
      </w:r>
      <w:r w:rsidR="00F8204F" w:rsidRPr="00250EF6">
        <w:rPr>
          <w:rFonts w:ascii="Arial" w:hAnsi="Arial" w:cs="Arial"/>
          <w:sz w:val="24"/>
          <w:szCs w:val="24"/>
        </w:rPr>
        <w:t>assets.</w:t>
      </w:r>
      <w:r w:rsidR="00706E9A" w:rsidRPr="00250EF6">
        <w:rPr>
          <w:rFonts w:ascii="Arial" w:hAnsi="Arial" w:cs="Arial"/>
          <w:sz w:val="24"/>
          <w:szCs w:val="24"/>
        </w:rPr>
        <w:t xml:space="preserve"> </w:t>
      </w:r>
      <w:r w:rsidR="00913859" w:rsidRPr="00250EF6">
        <w:rPr>
          <w:rFonts w:ascii="Arial" w:hAnsi="Arial" w:cs="Arial"/>
          <w:sz w:val="24"/>
          <w:szCs w:val="24"/>
        </w:rPr>
        <w:t>Such residual rights</w:t>
      </w:r>
      <w:r w:rsidR="00706E9A" w:rsidRPr="00250EF6">
        <w:rPr>
          <w:rFonts w:ascii="Arial" w:hAnsi="Arial" w:cs="Arial"/>
          <w:sz w:val="24"/>
          <w:szCs w:val="24"/>
        </w:rPr>
        <w:t xml:space="preserve"> do not pertain to the ongoing business of PEG Labels</w:t>
      </w:r>
      <w:r w:rsidR="00913859" w:rsidRPr="00250EF6">
        <w:rPr>
          <w:rFonts w:ascii="Arial" w:hAnsi="Arial" w:cs="Arial"/>
          <w:sz w:val="24"/>
          <w:szCs w:val="24"/>
        </w:rPr>
        <w:t>, which the applicants now seek to protect by means of the present application</w:t>
      </w:r>
      <w:r w:rsidR="00706E9A" w:rsidRPr="00250EF6">
        <w:rPr>
          <w:rFonts w:ascii="Arial" w:hAnsi="Arial" w:cs="Arial"/>
          <w:sz w:val="24"/>
          <w:szCs w:val="24"/>
        </w:rPr>
        <w:t>.</w:t>
      </w:r>
      <w:r w:rsidR="00913859" w:rsidRPr="00250EF6">
        <w:rPr>
          <w:rFonts w:ascii="Arial" w:hAnsi="Arial" w:cs="Arial"/>
          <w:sz w:val="24"/>
          <w:szCs w:val="24"/>
        </w:rPr>
        <w:t xml:space="preserve"> </w:t>
      </w:r>
    </w:p>
    <w:p w14:paraId="31D1988A" w14:textId="77777777" w:rsidR="00642514" w:rsidRPr="00642514" w:rsidRDefault="00642514" w:rsidP="00642514">
      <w:pPr>
        <w:pStyle w:val="ListParagraph"/>
        <w:rPr>
          <w:rFonts w:ascii="Arial" w:hAnsi="Arial" w:cs="Arial"/>
          <w:sz w:val="24"/>
          <w:szCs w:val="24"/>
        </w:rPr>
      </w:pPr>
    </w:p>
    <w:p w14:paraId="1AF1FABA" w14:textId="4A27B96B"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06E9A" w:rsidRPr="00250EF6">
        <w:rPr>
          <w:rFonts w:ascii="Arial" w:hAnsi="Arial" w:cs="Arial"/>
          <w:sz w:val="24"/>
          <w:szCs w:val="24"/>
        </w:rPr>
        <w:t>The question</w:t>
      </w:r>
      <w:r w:rsidR="002E3485" w:rsidRPr="00250EF6">
        <w:rPr>
          <w:rFonts w:ascii="Arial" w:hAnsi="Arial" w:cs="Arial"/>
          <w:sz w:val="24"/>
          <w:szCs w:val="24"/>
        </w:rPr>
        <w:t>s</w:t>
      </w:r>
      <w:r w:rsidR="00706E9A" w:rsidRPr="00250EF6">
        <w:rPr>
          <w:rFonts w:ascii="Arial" w:hAnsi="Arial" w:cs="Arial"/>
          <w:sz w:val="24"/>
          <w:szCs w:val="24"/>
        </w:rPr>
        <w:t xml:space="preserve"> that arise, of course, </w:t>
      </w:r>
      <w:r w:rsidR="002E3485" w:rsidRPr="00250EF6">
        <w:rPr>
          <w:rFonts w:ascii="Arial" w:hAnsi="Arial" w:cs="Arial"/>
          <w:sz w:val="24"/>
          <w:szCs w:val="24"/>
        </w:rPr>
        <w:t>are</w:t>
      </w:r>
      <w:r w:rsidR="00706E9A" w:rsidRPr="00250EF6">
        <w:rPr>
          <w:rFonts w:ascii="Arial" w:hAnsi="Arial" w:cs="Arial"/>
          <w:sz w:val="24"/>
          <w:szCs w:val="24"/>
        </w:rPr>
        <w:t xml:space="preserve"> what has become of PEG Labels- and who now owns and controls the business. Th</w:t>
      </w:r>
      <w:r w:rsidR="002E3485" w:rsidRPr="00250EF6">
        <w:rPr>
          <w:rFonts w:ascii="Arial" w:hAnsi="Arial" w:cs="Arial"/>
          <w:sz w:val="24"/>
          <w:szCs w:val="24"/>
        </w:rPr>
        <w:t>e</w:t>
      </w:r>
      <w:r w:rsidR="00706E9A" w:rsidRPr="00250EF6">
        <w:rPr>
          <w:rFonts w:ascii="Arial" w:hAnsi="Arial" w:cs="Arial"/>
          <w:sz w:val="24"/>
          <w:szCs w:val="24"/>
        </w:rPr>
        <w:t>s</w:t>
      </w:r>
      <w:r w:rsidR="002E3485" w:rsidRPr="00250EF6">
        <w:rPr>
          <w:rFonts w:ascii="Arial" w:hAnsi="Arial" w:cs="Arial"/>
          <w:sz w:val="24"/>
          <w:szCs w:val="24"/>
        </w:rPr>
        <w:t>e</w:t>
      </w:r>
      <w:r w:rsidR="00706E9A" w:rsidRPr="00250EF6">
        <w:rPr>
          <w:rFonts w:ascii="Arial" w:hAnsi="Arial" w:cs="Arial"/>
          <w:sz w:val="24"/>
          <w:szCs w:val="24"/>
        </w:rPr>
        <w:t xml:space="preserve">, on the available evidence, </w:t>
      </w:r>
      <w:r w:rsidR="002E3485" w:rsidRPr="00250EF6">
        <w:rPr>
          <w:rFonts w:ascii="Arial" w:hAnsi="Arial" w:cs="Arial"/>
          <w:sz w:val="24"/>
          <w:szCs w:val="24"/>
        </w:rPr>
        <w:t>are</w:t>
      </w:r>
      <w:r w:rsidR="00706E9A" w:rsidRPr="00250EF6">
        <w:rPr>
          <w:rFonts w:ascii="Arial" w:hAnsi="Arial" w:cs="Arial"/>
          <w:sz w:val="24"/>
          <w:szCs w:val="24"/>
        </w:rPr>
        <w:t xml:space="preserve"> difficult question</w:t>
      </w:r>
      <w:r w:rsidR="002E3485" w:rsidRPr="00250EF6">
        <w:rPr>
          <w:rFonts w:ascii="Arial" w:hAnsi="Arial" w:cs="Arial"/>
          <w:sz w:val="24"/>
          <w:szCs w:val="24"/>
        </w:rPr>
        <w:t>s</w:t>
      </w:r>
      <w:r w:rsidR="00706E9A" w:rsidRPr="00250EF6">
        <w:rPr>
          <w:rFonts w:ascii="Arial" w:hAnsi="Arial" w:cs="Arial"/>
          <w:sz w:val="24"/>
          <w:szCs w:val="24"/>
        </w:rPr>
        <w:t xml:space="preserve"> to answer. </w:t>
      </w:r>
      <w:r w:rsidR="00913859" w:rsidRPr="00250EF6">
        <w:rPr>
          <w:rFonts w:ascii="Arial" w:hAnsi="Arial" w:cs="Arial"/>
          <w:sz w:val="24"/>
          <w:szCs w:val="24"/>
        </w:rPr>
        <w:t xml:space="preserve">It appears that the business is now being conducted by the second respondent, trading as PEG Labelling, but whether </w:t>
      </w:r>
      <w:r w:rsidR="002E3485" w:rsidRPr="00250EF6">
        <w:rPr>
          <w:rFonts w:ascii="Arial" w:hAnsi="Arial" w:cs="Arial"/>
          <w:sz w:val="24"/>
          <w:szCs w:val="24"/>
        </w:rPr>
        <w:t>(</w:t>
      </w:r>
      <w:r w:rsidR="00913859" w:rsidRPr="00250EF6">
        <w:rPr>
          <w:rFonts w:ascii="Arial" w:hAnsi="Arial" w:cs="Arial"/>
          <w:sz w:val="24"/>
          <w:szCs w:val="24"/>
        </w:rPr>
        <w:t>and to what extent</w:t>
      </w:r>
      <w:r w:rsidR="002E3485" w:rsidRPr="00250EF6">
        <w:rPr>
          <w:rFonts w:ascii="Arial" w:hAnsi="Arial" w:cs="Arial"/>
          <w:sz w:val="24"/>
          <w:szCs w:val="24"/>
        </w:rPr>
        <w:t>)</w:t>
      </w:r>
      <w:r w:rsidR="00913859" w:rsidRPr="00250EF6">
        <w:rPr>
          <w:rFonts w:ascii="Arial" w:hAnsi="Arial" w:cs="Arial"/>
          <w:sz w:val="24"/>
          <w:szCs w:val="24"/>
        </w:rPr>
        <w:t xml:space="preserve"> the assets and liabilities of the partnership were taken over by the second respondent </w:t>
      </w:r>
      <w:r w:rsidR="00F160D6" w:rsidRPr="00250EF6">
        <w:rPr>
          <w:rFonts w:ascii="Arial" w:hAnsi="Arial" w:cs="Arial"/>
          <w:sz w:val="24"/>
          <w:szCs w:val="24"/>
        </w:rPr>
        <w:t xml:space="preserve">is </w:t>
      </w:r>
      <w:r w:rsidR="00913859" w:rsidRPr="00250EF6">
        <w:rPr>
          <w:rFonts w:ascii="Arial" w:hAnsi="Arial" w:cs="Arial"/>
          <w:sz w:val="24"/>
          <w:szCs w:val="24"/>
        </w:rPr>
        <w:t>simply not apparent</w:t>
      </w:r>
      <w:r w:rsidR="002E3485" w:rsidRPr="00250EF6">
        <w:rPr>
          <w:rFonts w:ascii="Arial" w:hAnsi="Arial" w:cs="Arial"/>
          <w:sz w:val="24"/>
          <w:szCs w:val="24"/>
        </w:rPr>
        <w:t xml:space="preserve"> from the papers</w:t>
      </w:r>
      <w:r w:rsidR="00913859" w:rsidRPr="00250EF6">
        <w:rPr>
          <w:rFonts w:ascii="Arial" w:hAnsi="Arial" w:cs="Arial"/>
          <w:sz w:val="24"/>
          <w:szCs w:val="24"/>
        </w:rPr>
        <w:t>.</w:t>
      </w:r>
      <w:r w:rsidR="004D25AF" w:rsidRPr="00250EF6">
        <w:rPr>
          <w:rFonts w:ascii="Arial" w:hAnsi="Arial" w:cs="Arial"/>
          <w:sz w:val="24"/>
          <w:szCs w:val="24"/>
        </w:rPr>
        <w:t xml:space="preserve"> </w:t>
      </w:r>
    </w:p>
    <w:p w14:paraId="33CD8433" w14:textId="77777777" w:rsidR="00642514" w:rsidRPr="00642514" w:rsidRDefault="00642514" w:rsidP="00642514">
      <w:pPr>
        <w:pStyle w:val="ListParagraph"/>
        <w:rPr>
          <w:rFonts w:ascii="Arial" w:hAnsi="Arial" w:cs="Arial"/>
          <w:sz w:val="24"/>
          <w:szCs w:val="24"/>
        </w:rPr>
      </w:pPr>
    </w:p>
    <w:p w14:paraId="43D1217A" w14:textId="3816E51C"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F160D6" w:rsidRPr="00250EF6">
        <w:rPr>
          <w:rFonts w:ascii="Arial" w:hAnsi="Arial" w:cs="Arial"/>
          <w:sz w:val="24"/>
          <w:szCs w:val="24"/>
        </w:rPr>
        <w:t>Importantly, t</w:t>
      </w:r>
      <w:r w:rsidR="00913859" w:rsidRPr="00250EF6">
        <w:rPr>
          <w:rFonts w:ascii="Arial" w:hAnsi="Arial" w:cs="Arial"/>
          <w:sz w:val="24"/>
          <w:szCs w:val="24"/>
        </w:rPr>
        <w:t>he applicants have not asserted that, after the dissolution of the partnership, they formed a new partnership and c</w:t>
      </w:r>
      <w:r w:rsidR="000357C4" w:rsidRPr="00250EF6">
        <w:rPr>
          <w:rFonts w:ascii="Arial" w:hAnsi="Arial" w:cs="Arial"/>
          <w:sz w:val="24"/>
          <w:szCs w:val="24"/>
        </w:rPr>
        <w:t>arried on</w:t>
      </w:r>
      <w:r w:rsidR="00913859" w:rsidRPr="00250EF6">
        <w:rPr>
          <w:rFonts w:ascii="Arial" w:hAnsi="Arial" w:cs="Arial"/>
          <w:sz w:val="24"/>
          <w:szCs w:val="24"/>
        </w:rPr>
        <w:t xml:space="preserve"> trading. They have </w:t>
      </w:r>
      <w:r w:rsidR="00D543B4" w:rsidRPr="00250EF6">
        <w:rPr>
          <w:rFonts w:ascii="Arial" w:hAnsi="Arial" w:cs="Arial"/>
          <w:sz w:val="24"/>
          <w:szCs w:val="24"/>
        </w:rPr>
        <w:t>also not asserted that the parties reached any agreement at the time of the first respondent’s ‘termination’ of the partnership that the</w:t>
      </w:r>
      <w:r w:rsidR="000357C4" w:rsidRPr="00250EF6">
        <w:rPr>
          <w:rFonts w:ascii="Arial" w:hAnsi="Arial" w:cs="Arial"/>
          <w:sz w:val="24"/>
          <w:szCs w:val="24"/>
        </w:rPr>
        <w:t xml:space="preserve">y </w:t>
      </w:r>
      <w:r w:rsidR="00D543B4" w:rsidRPr="00250EF6">
        <w:rPr>
          <w:rFonts w:ascii="Arial" w:hAnsi="Arial" w:cs="Arial"/>
          <w:sz w:val="24"/>
          <w:szCs w:val="24"/>
        </w:rPr>
        <w:t>would remain bound by any of the provisions of the original partnership agreement.</w:t>
      </w:r>
      <w:r w:rsidR="000357C4" w:rsidRPr="00250EF6">
        <w:rPr>
          <w:rFonts w:ascii="Arial" w:hAnsi="Arial" w:cs="Arial"/>
          <w:sz w:val="24"/>
          <w:szCs w:val="24"/>
        </w:rPr>
        <w:t xml:space="preserve"> In contrast, the first respondent avers that the applicants are </w:t>
      </w:r>
      <w:r w:rsidR="0098196A" w:rsidRPr="00250EF6">
        <w:rPr>
          <w:rFonts w:ascii="Arial" w:hAnsi="Arial" w:cs="Arial"/>
          <w:sz w:val="24"/>
          <w:szCs w:val="24"/>
        </w:rPr>
        <w:t>employees</w:t>
      </w:r>
      <w:r w:rsidR="000357C4" w:rsidRPr="00250EF6">
        <w:rPr>
          <w:rFonts w:ascii="Arial" w:hAnsi="Arial" w:cs="Arial"/>
          <w:sz w:val="24"/>
          <w:szCs w:val="24"/>
        </w:rPr>
        <w:t xml:space="preserve"> of the second respondent, employed as a sales manager and production manager, respectively. The numerous copies of salary slips attached to the answering affidavit seem to support such an averment. The applicants’ </w:t>
      </w:r>
      <w:r w:rsidR="0098196A" w:rsidRPr="00250EF6">
        <w:rPr>
          <w:rFonts w:ascii="Arial" w:hAnsi="Arial" w:cs="Arial"/>
          <w:sz w:val="24"/>
          <w:szCs w:val="24"/>
        </w:rPr>
        <w:t>contention that these merely reflect monthly drawings is implausible; it cannot be denied that the partnership has come to an end. Furthermore, the absence of written contracts of employment for the applicants takes the</w:t>
      </w:r>
      <w:r w:rsidR="008D1490" w:rsidRPr="00250EF6">
        <w:rPr>
          <w:rFonts w:ascii="Arial" w:hAnsi="Arial" w:cs="Arial"/>
          <w:sz w:val="24"/>
          <w:szCs w:val="24"/>
        </w:rPr>
        <w:t xml:space="preserve">ir </w:t>
      </w:r>
      <w:r w:rsidR="0098196A" w:rsidRPr="00250EF6">
        <w:rPr>
          <w:rFonts w:ascii="Arial" w:hAnsi="Arial" w:cs="Arial"/>
          <w:sz w:val="24"/>
          <w:szCs w:val="24"/>
        </w:rPr>
        <w:t>case no further; it is probable that tacit contract</w:t>
      </w:r>
      <w:r w:rsidR="00815AEB" w:rsidRPr="00250EF6">
        <w:rPr>
          <w:rFonts w:ascii="Arial" w:hAnsi="Arial" w:cs="Arial"/>
          <w:sz w:val="24"/>
          <w:szCs w:val="24"/>
        </w:rPr>
        <w:t>s</w:t>
      </w:r>
      <w:r w:rsidR="0098196A" w:rsidRPr="00250EF6">
        <w:rPr>
          <w:rFonts w:ascii="Arial" w:hAnsi="Arial" w:cs="Arial"/>
          <w:sz w:val="24"/>
          <w:szCs w:val="24"/>
        </w:rPr>
        <w:t xml:space="preserve"> of employment </w:t>
      </w:r>
      <w:r w:rsidR="00815AEB" w:rsidRPr="00250EF6">
        <w:rPr>
          <w:rFonts w:ascii="Arial" w:hAnsi="Arial" w:cs="Arial"/>
          <w:sz w:val="24"/>
          <w:szCs w:val="24"/>
        </w:rPr>
        <w:t xml:space="preserve">emerged after the dissolution of the partnership and that </w:t>
      </w:r>
      <w:r w:rsidR="0098196A" w:rsidRPr="00250EF6">
        <w:rPr>
          <w:rFonts w:ascii="Arial" w:hAnsi="Arial" w:cs="Arial"/>
          <w:sz w:val="24"/>
          <w:szCs w:val="24"/>
        </w:rPr>
        <w:t>the second respondent (not the first respondent) deals with the applicants, in law, as employees and pays the</w:t>
      </w:r>
      <w:r w:rsidR="00815AEB" w:rsidRPr="00250EF6">
        <w:rPr>
          <w:rFonts w:ascii="Arial" w:hAnsi="Arial" w:cs="Arial"/>
          <w:sz w:val="24"/>
          <w:szCs w:val="24"/>
        </w:rPr>
        <w:t>m accordingly.</w:t>
      </w:r>
      <w:r w:rsidR="0098196A" w:rsidRPr="00250EF6">
        <w:rPr>
          <w:rFonts w:ascii="Arial" w:hAnsi="Arial" w:cs="Arial"/>
          <w:sz w:val="24"/>
          <w:szCs w:val="24"/>
        </w:rPr>
        <w:t xml:space="preserve"> </w:t>
      </w:r>
    </w:p>
    <w:p w14:paraId="2373EBB0" w14:textId="77777777" w:rsidR="00642514" w:rsidRDefault="00642514" w:rsidP="00642514">
      <w:pPr>
        <w:pStyle w:val="ListParagraph"/>
        <w:spacing w:line="360" w:lineRule="auto"/>
        <w:ind w:left="0"/>
        <w:jc w:val="both"/>
        <w:rPr>
          <w:rFonts w:ascii="Arial" w:hAnsi="Arial" w:cs="Arial"/>
          <w:sz w:val="24"/>
          <w:szCs w:val="24"/>
        </w:rPr>
      </w:pPr>
    </w:p>
    <w:p w14:paraId="58C3080F" w14:textId="1F04F2A3"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F160D6" w:rsidRPr="00250EF6">
        <w:rPr>
          <w:rFonts w:ascii="Arial" w:hAnsi="Arial" w:cs="Arial"/>
          <w:sz w:val="24"/>
          <w:szCs w:val="24"/>
        </w:rPr>
        <w:t xml:space="preserve">There was, accordingly, considerable merit in the first respondent’s point </w:t>
      </w:r>
      <w:r w:rsidR="00F160D6" w:rsidRPr="00250EF6">
        <w:rPr>
          <w:rFonts w:ascii="Arial" w:hAnsi="Arial" w:cs="Arial"/>
          <w:i/>
          <w:iCs/>
          <w:sz w:val="24"/>
          <w:szCs w:val="24"/>
        </w:rPr>
        <w:t>in limine</w:t>
      </w:r>
      <w:r w:rsidR="00F160D6" w:rsidRPr="00250EF6">
        <w:rPr>
          <w:rFonts w:ascii="Arial" w:hAnsi="Arial" w:cs="Arial"/>
          <w:sz w:val="24"/>
          <w:szCs w:val="24"/>
        </w:rPr>
        <w:t xml:space="preserve"> about non-joinder. The test for joinder has been distilled to the following: any person is a necessary party and should be joined if such person has a direct and substantial interest in any order that the court might make; alternatively, if such an order cannot be sustained or carried into effect without prejudicing such person, unless he or she has waived the right to be joined.</w:t>
      </w:r>
      <w:r w:rsidR="00F160D6" w:rsidRPr="00F160D6">
        <w:rPr>
          <w:vertAlign w:val="superscript"/>
        </w:rPr>
        <w:footnoteReference w:id="18"/>
      </w:r>
      <w:r w:rsidR="00F160D6" w:rsidRPr="00250EF6">
        <w:rPr>
          <w:rFonts w:ascii="Arial" w:hAnsi="Arial" w:cs="Arial"/>
          <w:sz w:val="24"/>
          <w:szCs w:val="24"/>
        </w:rPr>
        <w:t xml:space="preserve"> Quite clearly, the second respondent, insofar as it now seems to conduct the business previously carried out by the partnership, has a direct and substantial interest in the order sought by the applicants. </w:t>
      </w:r>
    </w:p>
    <w:p w14:paraId="2F09D951" w14:textId="77777777" w:rsidR="00642514" w:rsidRPr="00642514" w:rsidRDefault="00642514" w:rsidP="00642514">
      <w:pPr>
        <w:pStyle w:val="ListParagraph"/>
        <w:rPr>
          <w:rFonts w:ascii="Arial" w:hAnsi="Arial" w:cs="Arial"/>
          <w:sz w:val="24"/>
          <w:szCs w:val="24"/>
        </w:rPr>
      </w:pPr>
    </w:p>
    <w:p w14:paraId="538266A3" w14:textId="77777777" w:rsidR="00642514" w:rsidRPr="00642514" w:rsidRDefault="00642514" w:rsidP="00642514">
      <w:pPr>
        <w:pStyle w:val="ListParagraph"/>
        <w:rPr>
          <w:rFonts w:ascii="Arial" w:hAnsi="Arial" w:cs="Arial"/>
          <w:b/>
          <w:bCs/>
          <w:sz w:val="24"/>
          <w:szCs w:val="24"/>
        </w:rPr>
      </w:pPr>
    </w:p>
    <w:p w14:paraId="0C45F451" w14:textId="7AE05585" w:rsidR="00642514" w:rsidRPr="00642514" w:rsidRDefault="00815AEB" w:rsidP="00642514">
      <w:pPr>
        <w:pStyle w:val="ListParagraph"/>
        <w:spacing w:line="360" w:lineRule="auto"/>
        <w:ind w:left="0"/>
        <w:jc w:val="both"/>
        <w:rPr>
          <w:rFonts w:ascii="Arial" w:hAnsi="Arial" w:cs="Arial"/>
          <w:sz w:val="24"/>
          <w:szCs w:val="24"/>
        </w:rPr>
      </w:pPr>
      <w:r w:rsidRPr="00642514">
        <w:rPr>
          <w:rFonts w:ascii="Arial" w:hAnsi="Arial" w:cs="Arial"/>
          <w:b/>
          <w:bCs/>
          <w:sz w:val="24"/>
          <w:szCs w:val="24"/>
        </w:rPr>
        <w:t>Relief and order</w:t>
      </w:r>
    </w:p>
    <w:p w14:paraId="0B3DC8B4" w14:textId="77777777" w:rsidR="00642514" w:rsidRPr="00642514" w:rsidRDefault="00642514" w:rsidP="00642514">
      <w:pPr>
        <w:pStyle w:val="ListParagraph"/>
        <w:spacing w:line="360" w:lineRule="auto"/>
        <w:ind w:left="0"/>
        <w:jc w:val="both"/>
        <w:rPr>
          <w:rFonts w:ascii="Arial" w:hAnsi="Arial" w:cs="Arial"/>
          <w:sz w:val="24"/>
          <w:szCs w:val="24"/>
        </w:rPr>
      </w:pPr>
    </w:p>
    <w:p w14:paraId="2E0435BD" w14:textId="77777777" w:rsidR="00642514" w:rsidRPr="00642514" w:rsidRDefault="00642514" w:rsidP="00642514">
      <w:pPr>
        <w:pStyle w:val="ListParagraph"/>
        <w:rPr>
          <w:rFonts w:ascii="Arial" w:hAnsi="Arial" w:cs="Arial"/>
          <w:sz w:val="24"/>
          <w:szCs w:val="24"/>
        </w:rPr>
      </w:pPr>
    </w:p>
    <w:p w14:paraId="3160ADA4" w14:textId="49F1A53F"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15AEB" w:rsidRPr="00250EF6">
        <w:rPr>
          <w:rFonts w:ascii="Arial" w:hAnsi="Arial" w:cs="Arial"/>
          <w:sz w:val="24"/>
          <w:szCs w:val="24"/>
        </w:rPr>
        <w:t xml:space="preserve">The court is not satisfied that the applicants have demonstrated either a </w:t>
      </w:r>
      <w:r w:rsidR="00815AEB" w:rsidRPr="00250EF6">
        <w:rPr>
          <w:rFonts w:ascii="Arial" w:hAnsi="Arial" w:cs="Arial"/>
          <w:i/>
          <w:iCs/>
          <w:sz w:val="24"/>
          <w:szCs w:val="24"/>
        </w:rPr>
        <w:t>prima facie</w:t>
      </w:r>
      <w:r w:rsidR="00815AEB" w:rsidRPr="00250EF6">
        <w:rPr>
          <w:rFonts w:ascii="Arial" w:hAnsi="Arial" w:cs="Arial"/>
          <w:sz w:val="24"/>
          <w:szCs w:val="24"/>
        </w:rPr>
        <w:t xml:space="preserve"> or a clear right to the relief sought.</w:t>
      </w:r>
      <w:r w:rsidR="00113115" w:rsidRPr="00250EF6">
        <w:rPr>
          <w:rFonts w:ascii="Arial" w:hAnsi="Arial" w:cs="Arial"/>
          <w:sz w:val="24"/>
          <w:szCs w:val="24"/>
        </w:rPr>
        <w:t xml:space="preserve"> The original partnership agreement</w:t>
      </w:r>
      <w:r w:rsidR="000743DD" w:rsidRPr="00250EF6">
        <w:rPr>
          <w:rFonts w:ascii="Arial" w:hAnsi="Arial" w:cs="Arial"/>
          <w:sz w:val="24"/>
          <w:szCs w:val="24"/>
        </w:rPr>
        <w:t xml:space="preserve"> upon which the applicants rely</w:t>
      </w:r>
      <w:r w:rsidR="00113115" w:rsidRPr="00250EF6">
        <w:rPr>
          <w:rFonts w:ascii="Arial" w:hAnsi="Arial" w:cs="Arial"/>
          <w:sz w:val="24"/>
          <w:szCs w:val="24"/>
        </w:rPr>
        <w:t xml:space="preserve"> is no longer binding. The relief sought pertains to the ongoing business of PEG Labelling</w:t>
      </w:r>
      <w:r w:rsidR="00E86306" w:rsidRPr="00250EF6">
        <w:rPr>
          <w:rFonts w:ascii="Arial" w:hAnsi="Arial" w:cs="Arial"/>
          <w:sz w:val="24"/>
          <w:szCs w:val="24"/>
        </w:rPr>
        <w:t xml:space="preserve">, i.e. the suspension or otherwise of accounts held with various suppliers, </w:t>
      </w:r>
      <w:r w:rsidR="00711DB9" w:rsidRPr="00250EF6">
        <w:rPr>
          <w:rFonts w:ascii="Arial" w:hAnsi="Arial" w:cs="Arial"/>
          <w:sz w:val="24"/>
          <w:szCs w:val="24"/>
        </w:rPr>
        <w:t xml:space="preserve">the </w:t>
      </w:r>
      <w:r w:rsidR="00E86306" w:rsidRPr="00250EF6">
        <w:rPr>
          <w:rFonts w:ascii="Arial" w:hAnsi="Arial" w:cs="Arial"/>
          <w:sz w:val="24"/>
          <w:szCs w:val="24"/>
        </w:rPr>
        <w:t xml:space="preserve">placing </w:t>
      </w:r>
      <w:r w:rsidR="00711DB9" w:rsidRPr="00250EF6">
        <w:rPr>
          <w:rFonts w:ascii="Arial" w:hAnsi="Arial" w:cs="Arial"/>
          <w:sz w:val="24"/>
          <w:szCs w:val="24"/>
        </w:rPr>
        <w:t>o</w:t>
      </w:r>
      <w:r w:rsidR="008D1490" w:rsidRPr="00250EF6">
        <w:rPr>
          <w:rFonts w:ascii="Arial" w:hAnsi="Arial" w:cs="Arial"/>
          <w:sz w:val="24"/>
          <w:szCs w:val="24"/>
        </w:rPr>
        <w:t>f</w:t>
      </w:r>
      <w:r w:rsidR="00711DB9" w:rsidRPr="00250EF6">
        <w:rPr>
          <w:rFonts w:ascii="Arial" w:hAnsi="Arial" w:cs="Arial"/>
          <w:sz w:val="24"/>
          <w:szCs w:val="24"/>
        </w:rPr>
        <w:t xml:space="preserve"> </w:t>
      </w:r>
      <w:r w:rsidR="00E86306" w:rsidRPr="00250EF6">
        <w:rPr>
          <w:rFonts w:ascii="Arial" w:hAnsi="Arial" w:cs="Arial"/>
          <w:sz w:val="24"/>
          <w:szCs w:val="24"/>
        </w:rPr>
        <w:t xml:space="preserve">orders with such suppliers for stock and materials, and the  </w:t>
      </w:r>
      <w:r w:rsidR="00113115" w:rsidRPr="00250EF6">
        <w:rPr>
          <w:rFonts w:ascii="Arial" w:hAnsi="Arial" w:cs="Arial"/>
          <w:sz w:val="24"/>
          <w:szCs w:val="24"/>
        </w:rPr>
        <w:t xml:space="preserve"> </w:t>
      </w:r>
      <w:r w:rsidR="00711DB9" w:rsidRPr="00250EF6">
        <w:rPr>
          <w:rFonts w:ascii="Arial" w:hAnsi="Arial" w:cs="Arial"/>
          <w:sz w:val="24"/>
          <w:szCs w:val="24"/>
        </w:rPr>
        <w:t>cancellation or otherwise of existing orders. These</w:t>
      </w:r>
      <w:r w:rsidR="00113115" w:rsidRPr="00250EF6">
        <w:rPr>
          <w:rFonts w:ascii="Arial" w:hAnsi="Arial" w:cs="Arial"/>
          <w:sz w:val="24"/>
          <w:szCs w:val="24"/>
        </w:rPr>
        <w:t xml:space="preserve"> must be distinguished from the completion of transactions</w:t>
      </w:r>
      <w:r w:rsidR="00711DB9" w:rsidRPr="00250EF6">
        <w:rPr>
          <w:rFonts w:ascii="Arial" w:hAnsi="Arial" w:cs="Arial"/>
          <w:sz w:val="24"/>
          <w:szCs w:val="24"/>
        </w:rPr>
        <w:t xml:space="preserve"> that were in progress at the time that the partnership came to an end</w:t>
      </w:r>
      <w:r w:rsidR="00113115" w:rsidRPr="00250EF6">
        <w:rPr>
          <w:rFonts w:ascii="Arial" w:hAnsi="Arial" w:cs="Arial"/>
          <w:sz w:val="24"/>
          <w:szCs w:val="24"/>
        </w:rPr>
        <w:t xml:space="preserve">, the winding up of </w:t>
      </w:r>
      <w:r w:rsidR="00711DB9" w:rsidRPr="00250EF6">
        <w:rPr>
          <w:rFonts w:ascii="Arial" w:hAnsi="Arial" w:cs="Arial"/>
          <w:sz w:val="24"/>
          <w:szCs w:val="24"/>
        </w:rPr>
        <w:t xml:space="preserve">partnership </w:t>
      </w:r>
      <w:r w:rsidR="00113115" w:rsidRPr="00250EF6">
        <w:rPr>
          <w:rFonts w:ascii="Arial" w:hAnsi="Arial" w:cs="Arial"/>
          <w:sz w:val="24"/>
          <w:szCs w:val="24"/>
        </w:rPr>
        <w:t xml:space="preserve">business, and the adjustment of the rights of the parties, in relation to the business </w:t>
      </w:r>
      <w:r w:rsidR="00711DB9" w:rsidRPr="00250EF6">
        <w:rPr>
          <w:rFonts w:ascii="Arial" w:hAnsi="Arial" w:cs="Arial"/>
          <w:sz w:val="24"/>
          <w:szCs w:val="24"/>
        </w:rPr>
        <w:t xml:space="preserve">previously </w:t>
      </w:r>
      <w:r w:rsidR="00113115" w:rsidRPr="00250EF6">
        <w:rPr>
          <w:rFonts w:ascii="Arial" w:hAnsi="Arial" w:cs="Arial"/>
          <w:sz w:val="24"/>
          <w:szCs w:val="24"/>
        </w:rPr>
        <w:t>carried out by the partnership</w:t>
      </w:r>
      <w:r w:rsidR="00711DB9" w:rsidRPr="00250EF6">
        <w:rPr>
          <w:rFonts w:ascii="Arial" w:hAnsi="Arial" w:cs="Arial"/>
          <w:sz w:val="24"/>
          <w:szCs w:val="24"/>
        </w:rPr>
        <w:t xml:space="preserve"> under the name of PEG Labels</w:t>
      </w:r>
      <w:r w:rsidR="00113115" w:rsidRPr="00250EF6">
        <w:rPr>
          <w:rFonts w:ascii="Arial" w:hAnsi="Arial" w:cs="Arial"/>
          <w:sz w:val="24"/>
          <w:szCs w:val="24"/>
        </w:rPr>
        <w:t xml:space="preserve">. To all intent and purposes, the applicants are now employees of the second </w:t>
      </w:r>
      <w:r w:rsidR="00113115" w:rsidRPr="00250EF6">
        <w:rPr>
          <w:rFonts w:ascii="Arial" w:hAnsi="Arial" w:cs="Arial"/>
          <w:sz w:val="24"/>
          <w:szCs w:val="24"/>
        </w:rPr>
        <w:lastRenderedPageBreak/>
        <w:t xml:space="preserve">respondent and have relied </w:t>
      </w:r>
      <w:r w:rsidR="00711DB9" w:rsidRPr="00250EF6">
        <w:rPr>
          <w:rFonts w:ascii="Arial" w:hAnsi="Arial" w:cs="Arial"/>
          <w:sz w:val="24"/>
          <w:szCs w:val="24"/>
        </w:rPr>
        <w:t>up</w:t>
      </w:r>
      <w:r w:rsidR="00113115" w:rsidRPr="00250EF6">
        <w:rPr>
          <w:rFonts w:ascii="Arial" w:hAnsi="Arial" w:cs="Arial"/>
          <w:sz w:val="24"/>
          <w:szCs w:val="24"/>
        </w:rPr>
        <w:t>on the incorrect basis in law to assert a right to interdict the first respondent</w:t>
      </w:r>
      <w:r w:rsidR="000743DD" w:rsidRPr="00250EF6">
        <w:rPr>
          <w:rFonts w:ascii="Arial" w:hAnsi="Arial" w:cs="Arial"/>
          <w:sz w:val="24"/>
          <w:szCs w:val="24"/>
        </w:rPr>
        <w:t>.</w:t>
      </w:r>
    </w:p>
    <w:p w14:paraId="67FE1C88" w14:textId="77777777" w:rsidR="00642514" w:rsidRDefault="00642514" w:rsidP="00642514">
      <w:pPr>
        <w:pStyle w:val="ListParagraph"/>
        <w:spacing w:line="360" w:lineRule="auto"/>
        <w:ind w:left="0"/>
        <w:jc w:val="both"/>
        <w:rPr>
          <w:rFonts w:ascii="Arial" w:hAnsi="Arial" w:cs="Arial"/>
          <w:sz w:val="24"/>
          <w:szCs w:val="24"/>
        </w:rPr>
      </w:pPr>
    </w:p>
    <w:p w14:paraId="761C36AE" w14:textId="66D5041D"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743DD" w:rsidRPr="00250EF6">
        <w:rPr>
          <w:rFonts w:ascii="Arial" w:hAnsi="Arial" w:cs="Arial"/>
          <w:sz w:val="24"/>
          <w:szCs w:val="24"/>
        </w:rPr>
        <w:t xml:space="preserve">It is not necessary to deal with the remaining requirements for either interlocutory or final relief. Notwithstanding, insofar as the applicants seek to protect their rights as partners of the erstwhile partnership in </w:t>
      </w:r>
      <w:r w:rsidR="00E30B34" w:rsidRPr="00250EF6">
        <w:rPr>
          <w:rFonts w:ascii="Arial" w:hAnsi="Arial" w:cs="Arial"/>
          <w:sz w:val="24"/>
          <w:szCs w:val="24"/>
        </w:rPr>
        <w:t xml:space="preserve">relation to the liquidation and distribution of its assets, </w:t>
      </w:r>
      <w:r w:rsidR="000743DD" w:rsidRPr="00250EF6">
        <w:rPr>
          <w:rFonts w:ascii="Arial" w:hAnsi="Arial" w:cs="Arial"/>
          <w:sz w:val="24"/>
          <w:szCs w:val="24"/>
        </w:rPr>
        <w:t xml:space="preserve">it </w:t>
      </w:r>
      <w:r w:rsidR="00E30B34" w:rsidRPr="00250EF6">
        <w:rPr>
          <w:rFonts w:ascii="Arial" w:hAnsi="Arial" w:cs="Arial"/>
          <w:sz w:val="24"/>
          <w:szCs w:val="24"/>
        </w:rPr>
        <w:t xml:space="preserve">can </w:t>
      </w:r>
      <w:r w:rsidR="000743DD" w:rsidRPr="00250EF6">
        <w:rPr>
          <w:rFonts w:ascii="Arial" w:hAnsi="Arial" w:cs="Arial"/>
          <w:sz w:val="24"/>
          <w:szCs w:val="24"/>
        </w:rPr>
        <w:t xml:space="preserve">well be argued that </w:t>
      </w:r>
      <w:r w:rsidR="00E86306" w:rsidRPr="00250EF6">
        <w:rPr>
          <w:rFonts w:ascii="Arial" w:hAnsi="Arial" w:cs="Arial"/>
          <w:sz w:val="24"/>
          <w:szCs w:val="24"/>
        </w:rPr>
        <w:t>an alternative remedy is available</w:t>
      </w:r>
      <w:r w:rsidR="00711DB9" w:rsidRPr="00250EF6">
        <w:rPr>
          <w:rFonts w:ascii="Arial" w:hAnsi="Arial" w:cs="Arial"/>
          <w:sz w:val="24"/>
          <w:szCs w:val="24"/>
        </w:rPr>
        <w:t>. T</w:t>
      </w:r>
      <w:r w:rsidR="00E86306" w:rsidRPr="00250EF6">
        <w:rPr>
          <w:rFonts w:ascii="Arial" w:hAnsi="Arial" w:cs="Arial"/>
          <w:sz w:val="24"/>
          <w:szCs w:val="24"/>
        </w:rPr>
        <w:t>he applicants</w:t>
      </w:r>
      <w:r w:rsidR="00711DB9" w:rsidRPr="00250EF6">
        <w:rPr>
          <w:rFonts w:ascii="Arial" w:hAnsi="Arial" w:cs="Arial"/>
          <w:sz w:val="24"/>
          <w:szCs w:val="24"/>
        </w:rPr>
        <w:t>, to that effect,</w:t>
      </w:r>
      <w:r w:rsidR="00E86306" w:rsidRPr="00250EF6">
        <w:rPr>
          <w:rFonts w:ascii="Arial" w:hAnsi="Arial" w:cs="Arial"/>
          <w:sz w:val="24"/>
          <w:szCs w:val="24"/>
        </w:rPr>
        <w:t xml:space="preserve"> have instituted action proceedings against the first respondent, claiming a full account of the financial affairs of PEG Labels, the debatement thereof, and payment of whatever is due.</w:t>
      </w:r>
    </w:p>
    <w:p w14:paraId="0891309B" w14:textId="77777777" w:rsidR="00642514" w:rsidRPr="00642514" w:rsidRDefault="00642514" w:rsidP="00642514">
      <w:pPr>
        <w:pStyle w:val="ListParagraph"/>
        <w:rPr>
          <w:rFonts w:ascii="Arial" w:hAnsi="Arial" w:cs="Arial"/>
          <w:sz w:val="24"/>
          <w:szCs w:val="24"/>
        </w:rPr>
      </w:pPr>
    </w:p>
    <w:p w14:paraId="6691A5F0" w14:textId="26A51232"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E86306" w:rsidRPr="00250EF6">
        <w:rPr>
          <w:rFonts w:ascii="Arial" w:hAnsi="Arial" w:cs="Arial"/>
          <w:sz w:val="24"/>
          <w:szCs w:val="24"/>
        </w:rPr>
        <w:t xml:space="preserve">Overall, </w:t>
      </w:r>
      <w:r w:rsidR="000357C4" w:rsidRPr="00250EF6">
        <w:rPr>
          <w:rFonts w:ascii="Arial" w:hAnsi="Arial" w:cs="Arial"/>
          <w:sz w:val="24"/>
          <w:szCs w:val="24"/>
        </w:rPr>
        <w:t xml:space="preserve">the court is not </w:t>
      </w:r>
      <w:r w:rsidR="00711DB9" w:rsidRPr="00250EF6">
        <w:rPr>
          <w:rFonts w:ascii="Arial" w:hAnsi="Arial" w:cs="Arial"/>
          <w:sz w:val="24"/>
          <w:szCs w:val="24"/>
        </w:rPr>
        <w:t>persuaded</w:t>
      </w:r>
      <w:r w:rsidR="000357C4" w:rsidRPr="00250EF6">
        <w:rPr>
          <w:rFonts w:ascii="Arial" w:hAnsi="Arial" w:cs="Arial"/>
          <w:sz w:val="24"/>
          <w:szCs w:val="24"/>
        </w:rPr>
        <w:t xml:space="preserve"> that </w:t>
      </w:r>
      <w:r w:rsidR="00815AEB" w:rsidRPr="00250EF6">
        <w:rPr>
          <w:rFonts w:ascii="Arial" w:hAnsi="Arial" w:cs="Arial"/>
          <w:sz w:val="24"/>
          <w:szCs w:val="24"/>
        </w:rPr>
        <w:t xml:space="preserve">either interlocutory or final relief </w:t>
      </w:r>
      <w:r w:rsidR="00711DB9" w:rsidRPr="00250EF6">
        <w:rPr>
          <w:rFonts w:ascii="Arial" w:hAnsi="Arial" w:cs="Arial"/>
          <w:sz w:val="24"/>
          <w:szCs w:val="24"/>
        </w:rPr>
        <w:t>can be granted to the applicants. They have not satisfied the relevant requirements.</w:t>
      </w:r>
    </w:p>
    <w:p w14:paraId="60306867" w14:textId="77777777" w:rsidR="00642514" w:rsidRPr="00642514" w:rsidRDefault="00642514" w:rsidP="00642514">
      <w:pPr>
        <w:pStyle w:val="ListParagraph"/>
        <w:rPr>
          <w:rFonts w:ascii="Arial" w:hAnsi="Arial" w:cs="Arial"/>
          <w:sz w:val="24"/>
          <w:szCs w:val="24"/>
        </w:rPr>
      </w:pPr>
    </w:p>
    <w:p w14:paraId="2CF137C3" w14:textId="680378FA"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711DB9" w:rsidRPr="00250EF6">
        <w:rPr>
          <w:rFonts w:ascii="Arial" w:hAnsi="Arial" w:cs="Arial"/>
          <w:sz w:val="24"/>
          <w:szCs w:val="24"/>
        </w:rPr>
        <w:t xml:space="preserve">The only remaining issue is that of costs. The first respondent’s immediate reinstatement of the accounts after </w:t>
      </w:r>
      <w:r w:rsidR="00C2315E" w:rsidRPr="00250EF6">
        <w:rPr>
          <w:rFonts w:ascii="Arial" w:hAnsi="Arial" w:cs="Arial"/>
          <w:sz w:val="24"/>
          <w:szCs w:val="24"/>
        </w:rPr>
        <w:t>service of the application</w:t>
      </w:r>
      <w:r w:rsidR="00711DB9" w:rsidRPr="00250EF6">
        <w:rPr>
          <w:rFonts w:ascii="Arial" w:hAnsi="Arial" w:cs="Arial"/>
          <w:sz w:val="24"/>
          <w:szCs w:val="24"/>
        </w:rPr>
        <w:t xml:space="preserve"> and his subsequent undertaking (subject to certain conditions), do not </w:t>
      </w:r>
      <w:r w:rsidR="00C2315E" w:rsidRPr="00250EF6">
        <w:rPr>
          <w:rFonts w:ascii="Arial" w:hAnsi="Arial" w:cs="Arial"/>
          <w:sz w:val="24"/>
          <w:szCs w:val="24"/>
        </w:rPr>
        <w:t xml:space="preserve">have an impact on </w:t>
      </w:r>
      <w:r w:rsidR="00711DB9" w:rsidRPr="00250EF6">
        <w:rPr>
          <w:rFonts w:ascii="Arial" w:hAnsi="Arial" w:cs="Arial"/>
          <w:sz w:val="24"/>
          <w:szCs w:val="24"/>
        </w:rPr>
        <w:t>the findings made above. The applicants, at the time</w:t>
      </w:r>
      <w:r w:rsidR="00C2315E" w:rsidRPr="00250EF6">
        <w:rPr>
          <w:rFonts w:ascii="Arial" w:hAnsi="Arial" w:cs="Arial"/>
          <w:sz w:val="24"/>
          <w:szCs w:val="24"/>
        </w:rPr>
        <w:t xml:space="preserve"> of such reinstatement and undertaking, were not entitled to the relief sought. There was indeed a basis for the first respondent’s decision to oppose the proceedings.</w:t>
      </w:r>
    </w:p>
    <w:p w14:paraId="6A437828" w14:textId="77777777" w:rsidR="00642514" w:rsidRPr="00642514" w:rsidRDefault="00642514" w:rsidP="00642514">
      <w:pPr>
        <w:pStyle w:val="ListParagraph"/>
        <w:rPr>
          <w:rFonts w:ascii="Arial" w:hAnsi="Arial" w:cs="Arial"/>
          <w:sz w:val="24"/>
          <w:szCs w:val="24"/>
        </w:rPr>
      </w:pPr>
    </w:p>
    <w:p w14:paraId="65038524" w14:textId="0607FEB3" w:rsidR="00642514" w:rsidRPr="00250EF6" w:rsidRDefault="00250EF6" w:rsidP="00250EF6">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4D25AF" w:rsidRPr="00250EF6">
        <w:rPr>
          <w:rFonts w:ascii="Arial" w:hAnsi="Arial" w:cs="Arial"/>
          <w:sz w:val="24"/>
          <w:szCs w:val="24"/>
        </w:rPr>
        <w:t xml:space="preserve">The costs of the application were reserved by Mjali J at the hearing on 28 March 2022. No argument was led by either the applicants or the respondents in this regard. </w:t>
      </w:r>
      <w:r w:rsidR="00C2315E" w:rsidRPr="00250EF6">
        <w:rPr>
          <w:rFonts w:ascii="Arial" w:hAnsi="Arial" w:cs="Arial"/>
          <w:sz w:val="24"/>
          <w:szCs w:val="24"/>
        </w:rPr>
        <w:t xml:space="preserve">In relation to the joinder application, Gqamana J ordered on </w:t>
      </w:r>
      <w:r w:rsidR="004D25AF" w:rsidRPr="00250EF6">
        <w:rPr>
          <w:rFonts w:ascii="Arial" w:hAnsi="Arial" w:cs="Arial"/>
          <w:sz w:val="24"/>
          <w:szCs w:val="24"/>
        </w:rPr>
        <w:t xml:space="preserve">14 June 2022 </w:t>
      </w:r>
      <w:r w:rsidR="00C2315E" w:rsidRPr="00250EF6">
        <w:rPr>
          <w:rFonts w:ascii="Arial" w:hAnsi="Arial" w:cs="Arial"/>
          <w:sz w:val="24"/>
          <w:szCs w:val="24"/>
        </w:rPr>
        <w:t xml:space="preserve">that the costs thereof be costs in the cause. </w:t>
      </w:r>
    </w:p>
    <w:p w14:paraId="4E7A6564" w14:textId="77777777" w:rsidR="00642514" w:rsidRPr="00642514" w:rsidRDefault="00642514" w:rsidP="00642514">
      <w:pPr>
        <w:pStyle w:val="ListParagraph"/>
        <w:rPr>
          <w:rFonts w:ascii="Arial" w:hAnsi="Arial" w:cs="Arial"/>
          <w:sz w:val="24"/>
          <w:szCs w:val="24"/>
        </w:rPr>
      </w:pPr>
    </w:p>
    <w:p w14:paraId="2478F96D" w14:textId="1DF3FBAF" w:rsidR="004D25AF" w:rsidRPr="00250EF6" w:rsidRDefault="00250EF6" w:rsidP="00250EF6">
      <w:pPr>
        <w:spacing w:line="360" w:lineRule="auto"/>
        <w:jc w:val="both"/>
        <w:rPr>
          <w:rFonts w:ascii="Arial" w:hAnsi="Arial" w:cs="Arial"/>
          <w:sz w:val="24"/>
          <w:szCs w:val="24"/>
        </w:rPr>
      </w:pPr>
      <w:r w:rsidRPr="00642514">
        <w:rPr>
          <w:rFonts w:ascii="Arial" w:hAnsi="Arial" w:cs="Arial"/>
          <w:sz w:val="24"/>
          <w:szCs w:val="24"/>
        </w:rPr>
        <w:t>[50]</w:t>
      </w:r>
      <w:r w:rsidRPr="00642514">
        <w:rPr>
          <w:rFonts w:ascii="Arial" w:hAnsi="Arial" w:cs="Arial"/>
          <w:sz w:val="24"/>
          <w:szCs w:val="24"/>
        </w:rPr>
        <w:tab/>
      </w:r>
      <w:r w:rsidR="004D25AF" w:rsidRPr="00250EF6">
        <w:rPr>
          <w:rFonts w:ascii="Arial" w:hAnsi="Arial" w:cs="Arial"/>
          <w:sz w:val="24"/>
          <w:szCs w:val="24"/>
        </w:rPr>
        <w:t>In the circumstances, the following order is made:</w:t>
      </w:r>
    </w:p>
    <w:p w14:paraId="61F6680B" w14:textId="77777777" w:rsidR="004D25AF" w:rsidRDefault="004D25AF" w:rsidP="00642514">
      <w:pPr>
        <w:pStyle w:val="ListParagraph"/>
        <w:spacing w:line="360" w:lineRule="auto"/>
        <w:jc w:val="both"/>
        <w:rPr>
          <w:rFonts w:ascii="Arial" w:hAnsi="Arial" w:cs="Arial"/>
          <w:sz w:val="24"/>
          <w:szCs w:val="24"/>
        </w:rPr>
      </w:pPr>
    </w:p>
    <w:p w14:paraId="1AB25658" w14:textId="4EB6DACF" w:rsidR="004D25AF" w:rsidRPr="00250EF6" w:rsidRDefault="00250EF6" w:rsidP="00250EF6">
      <w:pPr>
        <w:spacing w:line="360" w:lineRule="auto"/>
        <w:ind w:left="720" w:hanging="11"/>
        <w:jc w:val="both"/>
        <w:rPr>
          <w:rFonts w:ascii="Arial" w:hAnsi="Arial" w:cs="Arial"/>
          <w:sz w:val="24"/>
          <w:szCs w:val="24"/>
        </w:rPr>
      </w:pPr>
      <w:r>
        <w:rPr>
          <w:rFonts w:ascii="Arial" w:hAnsi="Arial" w:cs="Arial"/>
          <w:sz w:val="24"/>
          <w:szCs w:val="24"/>
        </w:rPr>
        <w:t>(a)</w:t>
      </w:r>
      <w:r>
        <w:rPr>
          <w:rFonts w:ascii="Arial" w:hAnsi="Arial" w:cs="Arial"/>
          <w:sz w:val="24"/>
          <w:szCs w:val="24"/>
        </w:rPr>
        <w:tab/>
      </w:r>
      <w:r w:rsidR="004D25AF" w:rsidRPr="00250EF6">
        <w:rPr>
          <w:rFonts w:ascii="Arial" w:hAnsi="Arial" w:cs="Arial"/>
          <w:sz w:val="24"/>
          <w:szCs w:val="24"/>
        </w:rPr>
        <w:t>the application is dismissed; and</w:t>
      </w:r>
    </w:p>
    <w:p w14:paraId="27D24AD0" w14:textId="77777777" w:rsidR="00642514" w:rsidRDefault="00642514" w:rsidP="00642514">
      <w:pPr>
        <w:pStyle w:val="ListParagraph"/>
        <w:spacing w:line="360" w:lineRule="auto"/>
        <w:jc w:val="both"/>
        <w:rPr>
          <w:rFonts w:ascii="Arial" w:hAnsi="Arial" w:cs="Arial"/>
          <w:sz w:val="24"/>
          <w:szCs w:val="24"/>
        </w:rPr>
      </w:pPr>
    </w:p>
    <w:p w14:paraId="5E472540" w14:textId="7CC33F5D" w:rsidR="004D25AF" w:rsidRPr="00250EF6" w:rsidRDefault="00250EF6" w:rsidP="00250EF6">
      <w:pPr>
        <w:spacing w:line="360" w:lineRule="auto"/>
        <w:ind w:left="720" w:hanging="11"/>
        <w:jc w:val="both"/>
        <w:rPr>
          <w:rFonts w:ascii="Arial" w:hAnsi="Arial" w:cs="Arial"/>
          <w:sz w:val="24"/>
          <w:szCs w:val="24"/>
        </w:rPr>
      </w:pPr>
      <w:r w:rsidRPr="00642514">
        <w:rPr>
          <w:rFonts w:ascii="Arial" w:hAnsi="Arial" w:cs="Arial"/>
          <w:sz w:val="24"/>
          <w:szCs w:val="24"/>
        </w:rPr>
        <w:t>(b)</w:t>
      </w:r>
      <w:r w:rsidRPr="00642514">
        <w:rPr>
          <w:rFonts w:ascii="Arial" w:hAnsi="Arial" w:cs="Arial"/>
          <w:sz w:val="24"/>
          <w:szCs w:val="24"/>
        </w:rPr>
        <w:tab/>
      </w:r>
      <w:r w:rsidR="004D25AF" w:rsidRPr="00250EF6">
        <w:rPr>
          <w:rFonts w:ascii="Arial" w:hAnsi="Arial" w:cs="Arial"/>
          <w:sz w:val="24"/>
          <w:szCs w:val="24"/>
        </w:rPr>
        <w:t>the applicants are directed to pay the costs of the application, including the costs of the hearing on 28 March 2022 and the costs of the joinder application.</w:t>
      </w:r>
    </w:p>
    <w:p w14:paraId="7FCD6F02" w14:textId="21F14355" w:rsidR="004D25AF" w:rsidRDefault="004D25AF" w:rsidP="00642514">
      <w:pPr>
        <w:spacing w:line="240" w:lineRule="auto"/>
        <w:rPr>
          <w:rFonts w:ascii="Arial" w:hAnsi="Arial" w:cs="Arial"/>
          <w:sz w:val="24"/>
          <w:szCs w:val="24"/>
        </w:rPr>
      </w:pPr>
    </w:p>
    <w:p w14:paraId="3FB0E7F3" w14:textId="5E69DD09" w:rsidR="004D25AF" w:rsidRDefault="004D25AF" w:rsidP="00642514">
      <w:pPr>
        <w:spacing w:line="240" w:lineRule="auto"/>
        <w:rPr>
          <w:rFonts w:ascii="Arial" w:hAnsi="Arial" w:cs="Arial"/>
          <w:sz w:val="24"/>
          <w:szCs w:val="24"/>
        </w:rPr>
      </w:pPr>
      <w:r>
        <w:rPr>
          <w:rFonts w:ascii="Arial" w:hAnsi="Arial" w:cs="Arial"/>
          <w:sz w:val="24"/>
          <w:szCs w:val="24"/>
        </w:rPr>
        <w:t>______________________________</w:t>
      </w:r>
    </w:p>
    <w:p w14:paraId="1E5191D7" w14:textId="2BE07569" w:rsidR="004D25AF" w:rsidRPr="004D25AF" w:rsidRDefault="004D25AF" w:rsidP="00642514">
      <w:pPr>
        <w:spacing w:line="240" w:lineRule="auto"/>
        <w:rPr>
          <w:rFonts w:ascii="Arial" w:hAnsi="Arial" w:cs="Arial"/>
          <w:b/>
          <w:bCs/>
          <w:sz w:val="24"/>
          <w:szCs w:val="24"/>
        </w:rPr>
      </w:pPr>
      <w:r w:rsidRPr="004D25AF">
        <w:rPr>
          <w:rFonts w:ascii="Arial" w:hAnsi="Arial" w:cs="Arial"/>
          <w:b/>
          <w:bCs/>
          <w:sz w:val="24"/>
          <w:szCs w:val="24"/>
        </w:rPr>
        <w:t>JGA LAING</w:t>
      </w:r>
    </w:p>
    <w:p w14:paraId="5D04F8B6" w14:textId="3F7F08AC" w:rsidR="004D25AF" w:rsidRDefault="004D25AF" w:rsidP="00642514">
      <w:pPr>
        <w:spacing w:line="240" w:lineRule="auto"/>
        <w:rPr>
          <w:rFonts w:ascii="Arial" w:hAnsi="Arial" w:cs="Arial"/>
          <w:b/>
          <w:bCs/>
          <w:sz w:val="24"/>
          <w:szCs w:val="24"/>
        </w:rPr>
      </w:pPr>
      <w:r w:rsidRPr="004D25AF">
        <w:rPr>
          <w:rFonts w:ascii="Arial" w:hAnsi="Arial" w:cs="Arial"/>
          <w:b/>
          <w:bCs/>
          <w:sz w:val="24"/>
          <w:szCs w:val="24"/>
        </w:rPr>
        <w:t>JUDGE OF THE HIGH COURT</w:t>
      </w:r>
    </w:p>
    <w:p w14:paraId="077C8B06" w14:textId="5633B456" w:rsidR="00642514" w:rsidRDefault="00642514" w:rsidP="00642514">
      <w:pPr>
        <w:spacing w:line="240" w:lineRule="auto"/>
        <w:rPr>
          <w:rFonts w:ascii="Arial" w:hAnsi="Arial" w:cs="Arial"/>
          <w:b/>
          <w:bCs/>
          <w:sz w:val="24"/>
          <w:szCs w:val="24"/>
        </w:rPr>
      </w:pPr>
    </w:p>
    <w:p w14:paraId="189A298D" w14:textId="77777777" w:rsidR="00642514" w:rsidRDefault="00642514" w:rsidP="00642514">
      <w:pPr>
        <w:spacing w:line="240" w:lineRule="auto"/>
        <w:rPr>
          <w:rFonts w:ascii="Arial" w:hAnsi="Arial" w:cs="Arial"/>
          <w:b/>
          <w:bCs/>
          <w:sz w:val="24"/>
          <w:szCs w:val="24"/>
        </w:rPr>
      </w:pPr>
    </w:p>
    <w:p w14:paraId="1FCDECFC" w14:textId="783E6BD1" w:rsidR="00642514" w:rsidRDefault="00642514" w:rsidP="00642514">
      <w:pPr>
        <w:spacing w:line="240" w:lineRule="auto"/>
        <w:rPr>
          <w:rFonts w:ascii="Arial" w:hAnsi="Arial" w:cs="Arial"/>
          <w:b/>
          <w:bCs/>
          <w:sz w:val="24"/>
          <w:szCs w:val="24"/>
        </w:rPr>
      </w:pPr>
    </w:p>
    <w:p w14:paraId="0DBB2751" w14:textId="418F507E" w:rsidR="00642514" w:rsidRPr="00642514" w:rsidRDefault="00642514" w:rsidP="00642514">
      <w:pPr>
        <w:spacing w:line="240" w:lineRule="auto"/>
        <w:rPr>
          <w:rFonts w:ascii="Arial" w:hAnsi="Arial" w:cs="Arial"/>
          <w:bCs/>
          <w:sz w:val="24"/>
          <w:szCs w:val="24"/>
        </w:rPr>
      </w:pPr>
      <w:r w:rsidRPr="00642514">
        <w:rPr>
          <w:rFonts w:ascii="Arial" w:hAnsi="Arial" w:cs="Arial"/>
          <w:bCs/>
          <w:sz w:val="24"/>
          <w:szCs w:val="24"/>
        </w:rPr>
        <w:t>APPEARANCE</w:t>
      </w:r>
    </w:p>
    <w:p w14:paraId="5F438FC5" w14:textId="10A80694" w:rsidR="00913859" w:rsidRDefault="00642514" w:rsidP="00642514">
      <w:pPr>
        <w:spacing w:line="360" w:lineRule="auto"/>
        <w:ind w:left="3600" w:hanging="3600"/>
        <w:rPr>
          <w:rFonts w:ascii="Arial" w:hAnsi="Arial" w:cs="Arial"/>
          <w:sz w:val="24"/>
          <w:szCs w:val="24"/>
        </w:rPr>
      </w:pPr>
      <w:r>
        <w:rPr>
          <w:rFonts w:ascii="Arial" w:hAnsi="Arial" w:cs="Arial"/>
          <w:sz w:val="24"/>
          <w:szCs w:val="24"/>
        </w:rPr>
        <w:t>For the applicant(s):</w:t>
      </w:r>
      <w:r>
        <w:rPr>
          <w:rFonts w:ascii="Arial" w:hAnsi="Arial" w:cs="Arial"/>
          <w:sz w:val="24"/>
          <w:szCs w:val="24"/>
        </w:rPr>
        <w:tab/>
        <w:t xml:space="preserve">Adv Cole SC, instructed by </w:t>
      </w:r>
      <w:r w:rsidR="00CE4F1B">
        <w:rPr>
          <w:rFonts w:ascii="Arial" w:hAnsi="Arial" w:cs="Arial"/>
          <w:sz w:val="24"/>
          <w:szCs w:val="24"/>
        </w:rPr>
        <w:t>Allams Attorneys</w:t>
      </w:r>
      <w:r>
        <w:rPr>
          <w:rFonts w:ascii="Arial" w:hAnsi="Arial" w:cs="Arial"/>
          <w:sz w:val="24"/>
          <w:szCs w:val="24"/>
        </w:rPr>
        <w:t xml:space="preserve">, East London. </w:t>
      </w:r>
    </w:p>
    <w:p w14:paraId="19BFCD5F" w14:textId="72735F83" w:rsidR="00642514" w:rsidRDefault="00642514" w:rsidP="00642514">
      <w:pPr>
        <w:spacing w:line="360" w:lineRule="auto"/>
        <w:ind w:left="3600" w:hanging="3600"/>
        <w:rPr>
          <w:rFonts w:ascii="Arial" w:hAnsi="Arial" w:cs="Arial"/>
          <w:sz w:val="24"/>
          <w:szCs w:val="24"/>
        </w:rPr>
      </w:pPr>
      <w:r>
        <w:rPr>
          <w:rFonts w:ascii="Arial" w:hAnsi="Arial" w:cs="Arial"/>
          <w:sz w:val="24"/>
          <w:szCs w:val="24"/>
        </w:rPr>
        <w:t>For the respondent(s):</w:t>
      </w:r>
      <w:r>
        <w:rPr>
          <w:rFonts w:ascii="Arial" w:hAnsi="Arial" w:cs="Arial"/>
          <w:sz w:val="24"/>
          <w:szCs w:val="24"/>
        </w:rPr>
        <w:tab/>
        <w:t xml:space="preserve">Adv Whitaker, instructed by </w:t>
      </w:r>
      <w:r w:rsidR="00CE4F1B">
        <w:rPr>
          <w:rFonts w:ascii="Arial" w:hAnsi="Arial" w:cs="Arial"/>
          <w:sz w:val="24"/>
          <w:szCs w:val="24"/>
        </w:rPr>
        <w:t>Bate Chubb &amp; Dickson Inc.</w:t>
      </w:r>
      <w:r>
        <w:rPr>
          <w:rFonts w:ascii="Arial" w:hAnsi="Arial" w:cs="Arial"/>
          <w:sz w:val="24"/>
          <w:szCs w:val="24"/>
        </w:rPr>
        <w:t>, East London.</w:t>
      </w:r>
    </w:p>
    <w:p w14:paraId="3AA2D07F" w14:textId="3A83B05C" w:rsidR="00642514" w:rsidRDefault="00642514" w:rsidP="00D22CF6">
      <w:pPr>
        <w:spacing w:line="360" w:lineRule="auto"/>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r>
      <w:r>
        <w:rPr>
          <w:rFonts w:ascii="Arial" w:hAnsi="Arial" w:cs="Arial"/>
          <w:sz w:val="24"/>
          <w:szCs w:val="24"/>
        </w:rPr>
        <w:tab/>
        <w:t>25 August 2022.</w:t>
      </w:r>
    </w:p>
    <w:p w14:paraId="4D639AEA" w14:textId="76C83720" w:rsidR="00642514" w:rsidRDefault="00642514" w:rsidP="00D22CF6">
      <w:pPr>
        <w:spacing w:line="360" w:lineRule="auto"/>
        <w:rPr>
          <w:rFonts w:ascii="Arial" w:hAnsi="Arial" w:cs="Arial"/>
          <w:sz w:val="24"/>
          <w:szCs w:val="24"/>
        </w:rPr>
      </w:pPr>
      <w:r>
        <w:rPr>
          <w:rFonts w:ascii="Arial" w:hAnsi="Arial" w:cs="Arial"/>
          <w:sz w:val="24"/>
          <w:szCs w:val="24"/>
        </w:rPr>
        <w:t>Date of delivery of judgment:</w:t>
      </w:r>
      <w:r>
        <w:rPr>
          <w:rFonts w:ascii="Arial" w:hAnsi="Arial" w:cs="Arial"/>
          <w:sz w:val="24"/>
          <w:szCs w:val="24"/>
        </w:rPr>
        <w:tab/>
        <w:t>22 November 2022.</w:t>
      </w:r>
    </w:p>
    <w:p w14:paraId="1BA0E114" w14:textId="77777777" w:rsidR="00F8204F" w:rsidRDefault="00F8204F" w:rsidP="00D22CF6">
      <w:pPr>
        <w:spacing w:line="360" w:lineRule="auto"/>
        <w:rPr>
          <w:rFonts w:ascii="Arial" w:hAnsi="Arial" w:cs="Arial"/>
          <w:sz w:val="24"/>
          <w:szCs w:val="24"/>
        </w:rPr>
      </w:pPr>
    </w:p>
    <w:p w14:paraId="098D045F" w14:textId="77777777" w:rsidR="00591A6F" w:rsidRDefault="00591A6F" w:rsidP="00D22CF6">
      <w:pPr>
        <w:spacing w:line="360" w:lineRule="auto"/>
        <w:rPr>
          <w:rFonts w:ascii="Arial" w:hAnsi="Arial" w:cs="Arial"/>
          <w:sz w:val="24"/>
          <w:szCs w:val="24"/>
        </w:rPr>
      </w:pPr>
    </w:p>
    <w:p w14:paraId="78062EB1" w14:textId="77777777" w:rsidR="00D22CF6" w:rsidRDefault="00D22CF6" w:rsidP="00D22CF6">
      <w:pPr>
        <w:spacing w:line="360" w:lineRule="auto"/>
        <w:ind w:left="720"/>
        <w:jc w:val="right"/>
        <w:rPr>
          <w:rFonts w:ascii="Arial" w:hAnsi="Arial" w:cs="Arial"/>
          <w:sz w:val="24"/>
          <w:szCs w:val="24"/>
        </w:rPr>
      </w:pPr>
    </w:p>
    <w:p w14:paraId="334BE87A" w14:textId="022252A3" w:rsidR="00E11098" w:rsidRDefault="00E11098" w:rsidP="005D49D5">
      <w:pPr>
        <w:spacing w:line="360" w:lineRule="auto"/>
        <w:rPr>
          <w:rFonts w:ascii="Arial" w:hAnsi="Arial" w:cs="Arial"/>
          <w:sz w:val="24"/>
          <w:szCs w:val="24"/>
        </w:rPr>
      </w:pPr>
      <w:r>
        <w:rPr>
          <w:rFonts w:ascii="Arial" w:hAnsi="Arial" w:cs="Arial"/>
          <w:sz w:val="24"/>
          <w:szCs w:val="24"/>
        </w:rPr>
        <w:tab/>
      </w:r>
    </w:p>
    <w:sectPr w:rsidR="00E11098" w:rsidSect="0064251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E117" w14:textId="77777777" w:rsidR="00710C71" w:rsidRDefault="00710C71" w:rsidP="00DD630D">
      <w:pPr>
        <w:spacing w:after="0" w:line="240" w:lineRule="auto"/>
      </w:pPr>
      <w:r>
        <w:separator/>
      </w:r>
    </w:p>
  </w:endnote>
  <w:endnote w:type="continuationSeparator" w:id="0">
    <w:p w14:paraId="25F9F854" w14:textId="77777777" w:rsidR="00710C71" w:rsidRDefault="00710C71" w:rsidP="00DD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AF31" w14:textId="77777777" w:rsidR="00710C71" w:rsidRDefault="00710C71" w:rsidP="00DD630D">
      <w:pPr>
        <w:spacing w:after="0" w:line="240" w:lineRule="auto"/>
      </w:pPr>
      <w:r>
        <w:separator/>
      </w:r>
    </w:p>
  </w:footnote>
  <w:footnote w:type="continuationSeparator" w:id="0">
    <w:p w14:paraId="5D853D1D" w14:textId="77777777" w:rsidR="00710C71" w:rsidRDefault="00710C71" w:rsidP="00DD630D">
      <w:pPr>
        <w:spacing w:after="0" w:line="240" w:lineRule="auto"/>
      </w:pPr>
      <w:r>
        <w:continuationSeparator/>
      </w:r>
    </w:p>
  </w:footnote>
  <w:footnote w:id="1">
    <w:p w14:paraId="40BF471E" w14:textId="68AB5BC4" w:rsidR="000743DD" w:rsidRPr="000743DD" w:rsidRDefault="000743DD" w:rsidP="00642514">
      <w:pPr>
        <w:pStyle w:val="FootnoteText"/>
        <w:jc w:val="both"/>
        <w:rPr>
          <w:lang w:val="en-US"/>
        </w:rPr>
      </w:pPr>
      <w:r>
        <w:rPr>
          <w:rStyle w:val="FootnoteReference"/>
        </w:rPr>
        <w:footnoteRef/>
      </w:r>
      <w:r>
        <w:t xml:space="preserve"> </w:t>
      </w:r>
      <w:r>
        <w:rPr>
          <w:lang w:val="en-US"/>
        </w:rPr>
        <w:t>The reason for the difference between the trading names will become apparent in the paragraphs that follow.</w:t>
      </w:r>
    </w:p>
  </w:footnote>
  <w:footnote w:id="2">
    <w:p w14:paraId="5E475B23" w14:textId="29068F15" w:rsidR="00A408C9" w:rsidRPr="00A408C9" w:rsidRDefault="00A408C9" w:rsidP="00642514">
      <w:pPr>
        <w:pStyle w:val="FootnoteText"/>
        <w:jc w:val="both"/>
        <w:rPr>
          <w:lang w:val="en-US"/>
        </w:rPr>
      </w:pPr>
      <w:r>
        <w:rPr>
          <w:rStyle w:val="FootnoteReference"/>
        </w:rPr>
        <w:footnoteRef/>
      </w:r>
      <w:r>
        <w:t xml:space="preserve"> </w:t>
      </w:r>
      <w:r>
        <w:rPr>
          <w:lang w:val="en-US"/>
        </w:rPr>
        <w:t>The applicants abandoned such relief during argument.</w:t>
      </w:r>
    </w:p>
  </w:footnote>
  <w:footnote w:id="3">
    <w:p w14:paraId="199AA6B1" w14:textId="42E11F7E" w:rsidR="007118A6" w:rsidRPr="007118A6" w:rsidRDefault="007118A6" w:rsidP="00642514">
      <w:pPr>
        <w:pStyle w:val="FootnoteText"/>
        <w:jc w:val="both"/>
        <w:rPr>
          <w:lang w:val="en-US"/>
        </w:rPr>
      </w:pPr>
      <w:r>
        <w:rPr>
          <w:rStyle w:val="FootnoteReference"/>
        </w:rPr>
        <w:footnoteRef/>
      </w:r>
      <w:r>
        <w:t xml:space="preserve"> </w:t>
      </w:r>
      <w:r>
        <w:rPr>
          <w:lang w:val="en-US"/>
        </w:rPr>
        <w:t>The question of liability for costs of the hearing on 28 March 2022, reserved at the time, must also be decided.</w:t>
      </w:r>
    </w:p>
  </w:footnote>
  <w:footnote w:id="4">
    <w:p w14:paraId="15B41418" w14:textId="124848D7" w:rsidR="00173395" w:rsidRPr="00173395" w:rsidRDefault="00173395" w:rsidP="00642514">
      <w:pPr>
        <w:pStyle w:val="FootnoteText"/>
        <w:jc w:val="both"/>
        <w:rPr>
          <w:lang w:val="en-US"/>
        </w:rPr>
      </w:pPr>
      <w:r>
        <w:rPr>
          <w:rStyle w:val="FootnoteReference"/>
        </w:rPr>
        <w:footnoteRef/>
      </w:r>
      <w:r>
        <w:t xml:space="preserve"> </w:t>
      </w:r>
      <w:r>
        <w:rPr>
          <w:lang w:val="en-US"/>
        </w:rPr>
        <w:t xml:space="preserve">Henning, ‘Partnership’, in </w:t>
      </w:r>
      <w:r w:rsidRPr="0086790B">
        <w:rPr>
          <w:i/>
          <w:iCs/>
          <w:lang w:val="en-US"/>
        </w:rPr>
        <w:t>LAWSA</w:t>
      </w:r>
      <w:r>
        <w:rPr>
          <w:lang w:val="en-US"/>
        </w:rPr>
        <w:t xml:space="preserve"> (vol 31, 3ed, LexisNexis</w:t>
      </w:r>
      <w:r w:rsidR="0086790B">
        <w:rPr>
          <w:lang w:val="en-US"/>
        </w:rPr>
        <w:t xml:space="preserve">, 2022), at paragraph 488. See, too, </w:t>
      </w:r>
      <w:r w:rsidR="0086790B" w:rsidRPr="0086790B">
        <w:rPr>
          <w:i/>
          <w:iCs/>
          <w:lang w:val="en-US"/>
        </w:rPr>
        <w:t>Wegner v Surgeson</w:t>
      </w:r>
      <w:r w:rsidR="0086790B">
        <w:rPr>
          <w:lang w:val="en-US"/>
        </w:rPr>
        <w:t xml:space="preserve"> 1910 TPD 571; </w:t>
      </w:r>
      <w:r w:rsidR="0086790B" w:rsidRPr="0086790B">
        <w:rPr>
          <w:i/>
          <w:iCs/>
          <w:lang w:val="en-US"/>
        </w:rPr>
        <w:t>Fortune v Versluis</w:t>
      </w:r>
      <w:r w:rsidR="0086790B">
        <w:rPr>
          <w:lang w:val="en-US"/>
        </w:rPr>
        <w:t xml:space="preserve"> [1962] 1 All SA 414 (A).</w:t>
      </w:r>
    </w:p>
  </w:footnote>
  <w:footnote w:id="5">
    <w:p w14:paraId="169345F6" w14:textId="299EFD73" w:rsidR="00B13DBB" w:rsidRPr="0086790B" w:rsidRDefault="00B13DBB" w:rsidP="00642514">
      <w:pPr>
        <w:pStyle w:val="FootnoteText"/>
        <w:jc w:val="both"/>
        <w:rPr>
          <w:lang w:val="en-US"/>
        </w:rPr>
      </w:pPr>
      <w:r>
        <w:rPr>
          <w:rStyle w:val="FootnoteReference"/>
        </w:rPr>
        <w:footnoteRef/>
      </w:r>
      <w:r>
        <w:t xml:space="preserve"> </w:t>
      </w:r>
      <w:r w:rsidRPr="00B13DBB">
        <w:rPr>
          <w:i/>
          <w:iCs/>
          <w:lang w:val="en-US"/>
        </w:rPr>
        <w:t>Wegner v Surgeson</w:t>
      </w:r>
      <w:r>
        <w:rPr>
          <w:lang w:val="en-US"/>
        </w:rPr>
        <w:t xml:space="preserve"> (n 3, </w:t>
      </w:r>
      <w:r w:rsidRPr="00E12340">
        <w:rPr>
          <w:i/>
          <w:iCs/>
          <w:lang w:val="en-US"/>
        </w:rPr>
        <w:t>supra</w:t>
      </w:r>
      <w:r>
        <w:rPr>
          <w:lang w:val="en-US"/>
        </w:rPr>
        <w:t xml:space="preserve">); also see </w:t>
      </w:r>
      <w:r w:rsidRPr="00B13DBB">
        <w:rPr>
          <w:i/>
          <w:iCs/>
          <w:lang w:val="en-US"/>
        </w:rPr>
        <w:t>Kelly Group Ltd v Solly Tshiki &amp; Associates (SA) (Pty) Ltd</w:t>
      </w:r>
      <w:r>
        <w:rPr>
          <w:lang w:val="en-US"/>
        </w:rPr>
        <w:t xml:space="preserve"> [2010] JOL 25265 (GSJ).</w:t>
      </w:r>
    </w:p>
  </w:footnote>
  <w:footnote w:id="6">
    <w:p w14:paraId="227C9B06" w14:textId="6AD06610" w:rsidR="00C8148A" w:rsidRPr="00C8148A" w:rsidRDefault="00C8148A" w:rsidP="00642514">
      <w:pPr>
        <w:pStyle w:val="FootnoteText"/>
        <w:jc w:val="both"/>
        <w:rPr>
          <w:lang w:val="en-US"/>
        </w:rPr>
      </w:pPr>
      <w:r>
        <w:rPr>
          <w:rStyle w:val="FootnoteReference"/>
        </w:rPr>
        <w:footnoteRef/>
      </w:r>
      <w:r>
        <w:t xml:space="preserve"> </w:t>
      </w:r>
      <w:r>
        <w:rPr>
          <w:lang w:val="en-US"/>
        </w:rPr>
        <w:t xml:space="preserve">Henning, </w:t>
      </w:r>
      <w:r w:rsidRPr="00C8148A">
        <w:rPr>
          <w:i/>
          <w:iCs/>
          <w:lang w:val="en-US"/>
        </w:rPr>
        <w:t>op cit</w:t>
      </w:r>
      <w:r>
        <w:rPr>
          <w:lang w:val="en-US"/>
        </w:rPr>
        <w:t xml:space="preserve">, at paragraph 491. See, too, </w:t>
      </w:r>
      <w:r w:rsidRPr="00A06303">
        <w:rPr>
          <w:i/>
          <w:iCs/>
          <w:lang w:val="en-US"/>
        </w:rPr>
        <w:t>Davis &amp; Son v McDonald &amp; Sutherland</w:t>
      </w:r>
      <w:r>
        <w:rPr>
          <w:lang w:val="en-US"/>
        </w:rPr>
        <w:t xml:space="preserve"> (1833) 1 M 86; </w:t>
      </w:r>
      <w:r w:rsidRPr="00A06303">
        <w:rPr>
          <w:i/>
          <w:iCs/>
          <w:lang w:val="en-US"/>
        </w:rPr>
        <w:t>Bosman v Registrar of Deeds and The Master</w:t>
      </w:r>
      <w:r>
        <w:rPr>
          <w:lang w:val="en-US"/>
        </w:rPr>
        <w:t xml:space="preserve"> 1942 CPD 302; </w:t>
      </w:r>
      <w:r w:rsidRPr="00C8148A">
        <w:rPr>
          <w:i/>
          <w:iCs/>
          <w:lang w:val="en-US"/>
        </w:rPr>
        <w:t>R v Levitan</w:t>
      </w:r>
      <w:r>
        <w:rPr>
          <w:lang w:val="en-US"/>
        </w:rPr>
        <w:t xml:space="preserve"> [1958] 2 All SA 140 (T).</w:t>
      </w:r>
    </w:p>
  </w:footnote>
  <w:footnote w:id="7">
    <w:p w14:paraId="6240D4E3" w14:textId="267C1413" w:rsidR="002766BF" w:rsidRPr="002766BF" w:rsidRDefault="002766BF" w:rsidP="00642514">
      <w:pPr>
        <w:pStyle w:val="FootnoteText"/>
        <w:jc w:val="both"/>
        <w:rPr>
          <w:lang w:val="en-US"/>
        </w:rPr>
      </w:pPr>
      <w:r>
        <w:rPr>
          <w:rStyle w:val="FootnoteReference"/>
        </w:rPr>
        <w:footnoteRef/>
      </w:r>
      <w:r>
        <w:t xml:space="preserve"> </w:t>
      </w:r>
      <w:r>
        <w:rPr>
          <w:lang w:val="en-US"/>
        </w:rPr>
        <w:t>Lee and Honor</w:t>
      </w:r>
      <w:r>
        <w:rPr>
          <w:rFonts w:cstheme="minorHAnsi"/>
          <w:lang w:val="en-US"/>
        </w:rPr>
        <w:t>é</w:t>
      </w:r>
      <w:r>
        <w:rPr>
          <w:lang w:val="en-US"/>
        </w:rPr>
        <w:t xml:space="preserve">, </w:t>
      </w:r>
      <w:r w:rsidRPr="002766BF">
        <w:rPr>
          <w:i/>
          <w:iCs/>
          <w:lang w:val="en-US"/>
        </w:rPr>
        <w:t>The South African Law of Obligations</w:t>
      </w:r>
      <w:r>
        <w:rPr>
          <w:lang w:val="en-US"/>
        </w:rPr>
        <w:t xml:space="preserve"> (2ed, Butterworths, 1978), at paragraph 409.</w:t>
      </w:r>
    </w:p>
  </w:footnote>
  <w:footnote w:id="8">
    <w:p w14:paraId="6F32AB46" w14:textId="28E6179C" w:rsidR="002766BF" w:rsidRPr="002766BF" w:rsidRDefault="002766BF" w:rsidP="00642514">
      <w:pPr>
        <w:pStyle w:val="FootnoteText"/>
        <w:jc w:val="both"/>
        <w:rPr>
          <w:lang w:val="en-US"/>
        </w:rPr>
      </w:pPr>
      <w:r>
        <w:rPr>
          <w:rStyle w:val="FootnoteReference"/>
        </w:rPr>
        <w:footnoteRef/>
      </w:r>
      <w:r>
        <w:t xml:space="preserve"> </w:t>
      </w:r>
      <w:r>
        <w:rPr>
          <w:lang w:val="en-US"/>
        </w:rPr>
        <w:t xml:space="preserve">Henning, </w:t>
      </w:r>
      <w:r w:rsidRPr="00E12340">
        <w:rPr>
          <w:i/>
          <w:iCs/>
          <w:lang w:val="en-US"/>
        </w:rPr>
        <w:t>op cit</w:t>
      </w:r>
      <w:r>
        <w:rPr>
          <w:lang w:val="en-US"/>
        </w:rPr>
        <w:t xml:space="preserve">, at paragraph 490. Also see </w:t>
      </w:r>
      <w:r w:rsidRPr="005851B5">
        <w:rPr>
          <w:i/>
          <w:iCs/>
          <w:lang w:val="en-US"/>
        </w:rPr>
        <w:t>Haarhof v Cape of Good Hope Bank</w:t>
      </w:r>
      <w:r>
        <w:rPr>
          <w:lang w:val="en-US"/>
        </w:rPr>
        <w:t xml:space="preserve"> (1887) 4 HCG 304; </w:t>
      </w:r>
      <w:r w:rsidR="005851B5">
        <w:rPr>
          <w:lang w:val="en-US"/>
        </w:rPr>
        <w:t xml:space="preserve">and, more recently, </w:t>
      </w:r>
      <w:r w:rsidRPr="005851B5">
        <w:rPr>
          <w:i/>
          <w:iCs/>
          <w:lang w:val="en-US"/>
        </w:rPr>
        <w:t>Lee v Maraisdrif (Edms) Bpk</w:t>
      </w:r>
      <w:r>
        <w:rPr>
          <w:lang w:val="en-US"/>
        </w:rPr>
        <w:t xml:space="preserve"> [1976] 3 All SA </w:t>
      </w:r>
      <w:r w:rsidR="005851B5">
        <w:rPr>
          <w:lang w:val="en-US"/>
        </w:rPr>
        <w:t>53 (A).</w:t>
      </w:r>
    </w:p>
  </w:footnote>
  <w:footnote w:id="9">
    <w:p w14:paraId="0EFEC587" w14:textId="7B70F6EA" w:rsidR="005851B5" w:rsidRPr="005851B5" w:rsidRDefault="005851B5" w:rsidP="00642514">
      <w:pPr>
        <w:pStyle w:val="FootnoteText"/>
        <w:jc w:val="both"/>
        <w:rPr>
          <w:lang w:val="en-US"/>
        </w:rPr>
      </w:pPr>
      <w:r>
        <w:rPr>
          <w:rStyle w:val="FootnoteReference"/>
        </w:rPr>
        <w:footnoteRef/>
      </w:r>
      <w:r>
        <w:t xml:space="preserve"> </w:t>
      </w:r>
      <w:r>
        <w:rPr>
          <w:lang w:val="en-US"/>
        </w:rPr>
        <w:t>Ibid.</w:t>
      </w:r>
    </w:p>
  </w:footnote>
  <w:footnote w:id="10">
    <w:p w14:paraId="07867625" w14:textId="298CF827" w:rsidR="0058020E" w:rsidRPr="0058020E" w:rsidRDefault="0058020E" w:rsidP="00642514">
      <w:pPr>
        <w:pStyle w:val="FootnoteText"/>
        <w:jc w:val="both"/>
        <w:rPr>
          <w:lang w:val="en-US"/>
        </w:rPr>
      </w:pPr>
      <w:r>
        <w:rPr>
          <w:rStyle w:val="FootnoteReference"/>
        </w:rPr>
        <w:footnoteRef/>
      </w:r>
      <w:r>
        <w:t xml:space="preserve"> </w:t>
      </w:r>
      <w:r w:rsidRPr="0058020E">
        <w:rPr>
          <w:i/>
          <w:iCs/>
          <w:lang w:val="en-US"/>
        </w:rPr>
        <w:t>Setlogelo v Setlogelo</w:t>
      </w:r>
      <w:r>
        <w:rPr>
          <w:lang w:val="en-US"/>
        </w:rPr>
        <w:t xml:space="preserve"> 1914 AD 221, at 227; see, more recently, </w:t>
      </w:r>
      <w:r w:rsidRPr="0058020E">
        <w:rPr>
          <w:i/>
          <w:iCs/>
          <w:lang w:val="en-US"/>
        </w:rPr>
        <w:t>National Treasury v Opposition to Urban Tolling Alliance</w:t>
      </w:r>
      <w:r>
        <w:rPr>
          <w:lang w:val="en-US"/>
        </w:rPr>
        <w:t xml:space="preserve"> 2012 (6) SA 223 (CC), at 235D-E.</w:t>
      </w:r>
    </w:p>
  </w:footnote>
  <w:footnote w:id="11">
    <w:p w14:paraId="1FAA6C7D" w14:textId="1090CBF4" w:rsidR="0058020E" w:rsidRPr="0058020E" w:rsidRDefault="0058020E" w:rsidP="00642514">
      <w:pPr>
        <w:pStyle w:val="FootnoteText"/>
        <w:jc w:val="both"/>
        <w:rPr>
          <w:lang w:val="en-US"/>
        </w:rPr>
      </w:pPr>
      <w:r>
        <w:rPr>
          <w:rStyle w:val="FootnoteReference"/>
        </w:rPr>
        <w:footnoteRef/>
      </w:r>
      <w:r>
        <w:t xml:space="preserve"> </w:t>
      </w:r>
      <w:r w:rsidRPr="003734F2">
        <w:rPr>
          <w:i/>
          <w:iCs/>
          <w:lang w:val="en-US"/>
        </w:rPr>
        <w:t>Setlogelo</w:t>
      </w:r>
      <w:r w:rsidR="00E12340">
        <w:rPr>
          <w:lang w:val="en-US"/>
        </w:rPr>
        <w:t xml:space="preserve"> (n 9, </w:t>
      </w:r>
      <w:r w:rsidR="00E12340" w:rsidRPr="008D1490">
        <w:rPr>
          <w:i/>
          <w:iCs/>
          <w:lang w:val="en-US"/>
        </w:rPr>
        <w:t>supra</w:t>
      </w:r>
      <w:r w:rsidR="00E12340">
        <w:rPr>
          <w:lang w:val="en-US"/>
        </w:rPr>
        <w:t xml:space="preserve">); </w:t>
      </w:r>
      <w:r w:rsidR="003734F2">
        <w:rPr>
          <w:lang w:val="en-US"/>
        </w:rPr>
        <w:t xml:space="preserve">also see </w:t>
      </w:r>
      <w:r w:rsidR="003734F2" w:rsidRPr="003734F2">
        <w:rPr>
          <w:i/>
          <w:iCs/>
          <w:lang w:val="en-US"/>
        </w:rPr>
        <w:t>Hotz v University of Cape Town</w:t>
      </w:r>
      <w:r w:rsidR="003734F2">
        <w:rPr>
          <w:lang w:val="en-US"/>
        </w:rPr>
        <w:t xml:space="preserve"> 2017 (2) SA 485 (SCA), at 496G-H, 496I, and 497G-H.</w:t>
      </w:r>
      <w:r w:rsidR="008D1490">
        <w:rPr>
          <w:lang w:val="en-US"/>
        </w:rPr>
        <w:t xml:space="preserve"> The requirements for interdictory relief are well-established.</w:t>
      </w:r>
    </w:p>
  </w:footnote>
  <w:footnote w:id="12">
    <w:p w14:paraId="3560C063" w14:textId="23B31745" w:rsidR="00E541E0" w:rsidRPr="00E541E0" w:rsidRDefault="00E541E0" w:rsidP="00642514">
      <w:pPr>
        <w:pStyle w:val="FootnoteText"/>
        <w:jc w:val="both"/>
        <w:rPr>
          <w:lang w:val="en-US"/>
        </w:rPr>
      </w:pPr>
      <w:r>
        <w:rPr>
          <w:rStyle w:val="FootnoteReference"/>
        </w:rPr>
        <w:footnoteRef/>
      </w:r>
      <w:r>
        <w:t xml:space="preserve"> </w:t>
      </w:r>
      <w:r>
        <w:rPr>
          <w:lang w:val="en-US"/>
        </w:rPr>
        <w:t>1957 (4) SA 234 (C).</w:t>
      </w:r>
    </w:p>
  </w:footnote>
  <w:footnote w:id="13">
    <w:p w14:paraId="31D30C48" w14:textId="4D519D5C" w:rsidR="00D74E6A" w:rsidRPr="00D74E6A" w:rsidRDefault="00D74E6A" w:rsidP="00642514">
      <w:pPr>
        <w:pStyle w:val="FootnoteText"/>
        <w:jc w:val="both"/>
        <w:rPr>
          <w:lang w:val="en-US"/>
        </w:rPr>
      </w:pPr>
      <w:r>
        <w:rPr>
          <w:rStyle w:val="FootnoteReference"/>
        </w:rPr>
        <w:footnoteRef/>
      </w:r>
      <w:r>
        <w:t xml:space="preserve"> </w:t>
      </w:r>
      <w:r>
        <w:rPr>
          <w:lang w:val="en-US"/>
        </w:rPr>
        <w:t>At 235.</w:t>
      </w:r>
    </w:p>
  </w:footnote>
  <w:footnote w:id="14">
    <w:p w14:paraId="77D5C5B3" w14:textId="11B97C9F" w:rsidR="00E541E0" w:rsidRPr="00E541E0" w:rsidRDefault="00E541E0" w:rsidP="00642514">
      <w:pPr>
        <w:pStyle w:val="FootnoteText"/>
        <w:jc w:val="both"/>
        <w:rPr>
          <w:lang w:val="en-US"/>
        </w:rPr>
      </w:pPr>
      <w:r>
        <w:rPr>
          <w:rStyle w:val="FootnoteReference"/>
        </w:rPr>
        <w:footnoteRef/>
      </w:r>
      <w:r>
        <w:t xml:space="preserve"> </w:t>
      </w:r>
      <w:r w:rsidRPr="00E541E0">
        <w:t>1984 (3) SA 623 (A)</w:t>
      </w:r>
      <w:r>
        <w:t>.</w:t>
      </w:r>
    </w:p>
  </w:footnote>
  <w:footnote w:id="15">
    <w:p w14:paraId="09BD5E4C" w14:textId="392455C3" w:rsidR="00E541E0" w:rsidRPr="00E541E0" w:rsidRDefault="00E541E0" w:rsidP="00642514">
      <w:pPr>
        <w:pStyle w:val="FootnoteText"/>
        <w:jc w:val="both"/>
        <w:rPr>
          <w:lang w:val="en-US"/>
        </w:rPr>
      </w:pPr>
      <w:r>
        <w:rPr>
          <w:rStyle w:val="FootnoteReference"/>
        </w:rPr>
        <w:footnoteRef/>
      </w:r>
      <w:r>
        <w:t xml:space="preserve"> </w:t>
      </w:r>
      <w:r>
        <w:rPr>
          <w:lang w:val="en-US"/>
        </w:rPr>
        <w:t>At 634F-635C.</w:t>
      </w:r>
    </w:p>
  </w:footnote>
  <w:footnote w:id="16">
    <w:p w14:paraId="070AAFC8" w14:textId="2BE9FB3D" w:rsidR="00D22CF6" w:rsidRPr="00D22CF6" w:rsidRDefault="00D22CF6" w:rsidP="00642514">
      <w:pPr>
        <w:pStyle w:val="FootnoteText"/>
        <w:jc w:val="both"/>
        <w:rPr>
          <w:lang w:val="en-US"/>
        </w:rPr>
      </w:pPr>
      <w:r>
        <w:rPr>
          <w:rStyle w:val="FootnoteReference"/>
        </w:rPr>
        <w:footnoteRef/>
      </w:r>
      <w:r>
        <w:t xml:space="preserve"> </w:t>
      </w:r>
      <w:r>
        <w:rPr>
          <w:lang w:val="en-US"/>
        </w:rPr>
        <w:t>Emphasis added.</w:t>
      </w:r>
    </w:p>
  </w:footnote>
  <w:footnote w:id="17">
    <w:p w14:paraId="16B1E878" w14:textId="211B2B1B" w:rsidR="00850A66" w:rsidRPr="00850A66" w:rsidRDefault="00850A66">
      <w:pPr>
        <w:pStyle w:val="FootnoteText"/>
        <w:rPr>
          <w:lang w:val="en-US"/>
        </w:rPr>
      </w:pPr>
      <w:r>
        <w:rPr>
          <w:rStyle w:val="FootnoteReference"/>
        </w:rPr>
        <w:footnoteRef/>
      </w:r>
      <w:r>
        <w:t xml:space="preserve"> </w:t>
      </w:r>
      <w:r>
        <w:rPr>
          <w:lang w:val="en-US"/>
        </w:rPr>
        <w:t>Lee and Honor</w:t>
      </w:r>
      <w:r>
        <w:rPr>
          <w:rFonts w:cstheme="minorHAnsi"/>
          <w:lang w:val="en-US"/>
        </w:rPr>
        <w:t>é</w:t>
      </w:r>
      <w:r>
        <w:rPr>
          <w:lang w:val="en-US"/>
        </w:rPr>
        <w:t xml:space="preserve">, </w:t>
      </w:r>
      <w:r w:rsidRPr="00850A66">
        <w:rPr>
          <w:i/>
          <w:iCs/>
          <w:lang w:val="en-US"/>
        </w:rPr>
        <w:t>op cit.</w:t>
      </w:r>
    </w:p>
  </w:footnote>
  <w:footnote w:id="18">
    <w:p w14:paraId="3F170B9A" w14:textId="77777777" w:rsidR="00F160D6" w:rsidRPr="002B61A7" w:rsidRDefault="00F160D6" w:rsidP="00642514">
      <w:pPr>
        <w:pStyle w:val="FootnoteText"/>
        <w:jc w:val="both"/>
        <w:rPr>
          <w:lang w:val="en-US"/>
        </w:rPr>
      </w:pPr>
      <w:r>
        <w:rPr>
          <w:rStyle w:val="FootnoteReference"/>
        </w:rPr>
        <w:footnoteRef/>
      </w:r>
      <w:r>
        <w:t xml:space="preserve"> </w:t>
      </w:r>
      <w:r w:rsidRPr="002B61A7">
        <w:rPr>
          <w:lang w:val="en-US"/>
        </w:rPr>
        <w:t xml:space="preserve">DE van Loggerenberg, </w:t>
      </w:r>
      <w:r w:rsidRPr="002B61A7">
        <w:rPr>
          <w:i/>
          <w:iCs/>
          <w:lang w:val="en-US"/>
        </w:rPr>
        <w:t>Erasmus: Superior Court Practice</w:t>
      </w:r>
      <w:r w:rsidRPr="002B61A7">
        <w:rPr>
          <w:lang w:val="en-US"/>
        </w:rPr>
        <w:t xml:space="preserve"> (Jutatstat, RS 16, 2021), at D1-124. See, too,</w:t>
      </w:r>
      <w:r>
        <w:rPr>
          <w:lang w:val="en-US"/>
        </w:rPr>
        <w:t xml:space="preserve"> </w:t>
      </w:r>
      <w:r w:rsidRPr="00FE7476">
        <w:rPr>
          <w:i/>
          <w:iCs/>
          <w:lang w:val="en-US"/>
        </w:rPr>
        <w:t>Kethel v Kethel’s Estate</w:t>
      </w:r>
      <w:r>
        <w:rPr>
          <w:lang w:val="en-US"/>
        </w:rPr>
        <w:t xml:space="preserve"> 1949 (3) SA 598 (A), at 610; </w:t>
      </w:r>
      <w:r w:rsidRPr="004D4623">
        <w:rPr>
          <w:i/>
          <w:iCs/>
          <w:lang w:val="en-US"/>
        </w:rPr>
        <w:t>Amalgamated Engineering Union v Minister of Labour</w:t>
      </w:r>
      <w:r w:rsidRPr="004D4623">
        <w:rPr>
          <w:lang w:val="en-US"/>
        </w:rPr>
        <w:t xml:space="preserve"> 1949 (3) 637 (A), at 659;</w:t>
      </w:r>
      <w:r>
        <w:rPr>
          <w:lang w:val="en-US"/>
        </w:rPr>
        <w:t xml:space="preserve"> and, more recently, </w:t>
      </w:r>
      <w:r w:rsidRPr="002B61A7">
        <w:rPr>
          <w:i/>
          <w:iCs/>
          <w:lang w:val="en-US"/>
        </w:rPr>
        <w:t>Watson NO v Ngonyama</w:t>
      </w:r>
      <w:r>
        <w:rPr>
          <w:lang w:val="en-US"/>
        </w:rPr>
        <w:t xml:space="preserve"> 2021 (5) SA 559 (SCA), at paragraph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65777"/>
      <w:docPartObj>
        <w:docPartGallery w:val="Page Numbers (Top of Page)"/>
        <w:docPartUnique/>
      </w:docPartObj>
    </w:sdtPr>
    <w:sdtEndPr>
      <w:rPr>
        <w:noProof/>
      </w:rPr>
    </w:sdtEndPr>
    <w:sdtContent>
      <w:p w14:paraId="12EEDA0F" w14:textId="261CC522" w:rsidR="00642514" w:rsidRDefault="00642514">
        <w:pPr>
          <w:pStyle w:val="Header"/>
          <w:jc w:val="center"/>
        </w:pPr>
        <w:r>
          <w:fldChar w:fldCharType="begin"/>
        </w:r>
        <w:r>
          <w:instrText xml:space="preserve"> PAGE   \* MERGEFORMAT </w:instrText>
        </w:r>
        <w:r>
          <w:fldChar w:fldCharType="separate"/>
        </w:r>
        <w:r w:rsidR="008D02FA">
          <w:rPr>
            <w:noProof/>
          </w:rPr>
          <w:t>4</w:t>
        </w:r>
        <w:r>
          <w:rPr>
            <w:noProof/>
          </w:rPr>
          <w:fldChar w:fldCharType="end"/>
        </w:r>
      </w:p>
    </w:sdtContent>
  </w:sdt>
  <w:p w14:paraId="61BEEA89" w14:textId="77777777" w:rsidR="00642514" w:rsidRDefault="00642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40BF"/>
    <w:multiLevelType w:val="hybridMultilevel"/>
    <w:tmpl w:val="3606DE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4C44C20"/>
    <w:multiLevelType w:val="hybridMultilevel"/>
    <w:tmpl w:val="6EB69CE8"/>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475ACD"/>
    <w:multiLevelType w:val="hybridMultilevel"/>
    <w:tmpl w:val="3C307654"/>
    <w:lvl w:ilvl="0" w:tplc="FB6CE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42D1E"/>
    <w:multiLevelType w:val="hybridMultilevel"/>
    <w:tmpl w:val="F4DEAC6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B8D326E"/>
    <w:multiLevelType w:val="hybridMultilevel"/>
    <w:tmpl w:val="DB526516"/>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20977935">
    <w:abstractNumId w:val="0"/>
  </w:num>
  <w:num w:numId="2" w16cid:durableId="1141070696">
    <w:abstractNumId w:val="2"/>
  </w:num>
  <w:num w:numId="3" w16cid:durableId="924799513">
    <w:abstractNumId w:val="3"/>
  </w:num>
  <w:num w:numId="4" w16cid:durableId="1067269054">
    <w:abstractNumId w:val="4"/>
  </w:num>
  <w:num w:numId="5" w16cid:durableId="56067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D5"/>
    <w:rsid w:val="0002775A"/>
    <w:rsid w:val="000357C4"/>
    <w:rsid w:val="00070E22"/>
    <w:rsid w:val="000743DD"/>
    <w:rsid w:val="00075D01"/>
    <w:rsid w:val="00113115"/>
    <w:rsid w:val="001226EC"/>
    <w:rsid w:val="00173395"/>
    <w:rsid w:val="001D00D9"/>
    <w:rsid w:val="0020394F"/>
    <w:rsid w:val="00250EF6"/>
    <w:rsid w:val="002522D0"/>
    <w:rsid w:val="002766BF"/>
    <w:rsid w:val="002B6686"/>
    <w:rsid w:val="002C413E"/>
    <w:rsid w:val="002E3485"/>
    <w:rsid w:val="00303C71"/>
    <w:rsid w:val="00325811"/>
    <w:rsid w:val="003623ED"/>
    <w:rsid w:val="003734F2"/>
    <w:rsid w:val="00407EBE"/>
    <w:rsid w:val="004212A8"/>
    <w:rsid w:val="0043546A"/>
    <w:rsid w:val="004647C4"/>
    <w:rsid w:val="004D25AF"/>
    <w:rsid w:val="00553075"/>
    <w:rsid w:val="0058020E"/>
    <w:rsid w:val="005851B5"/>
    <w:rsid w:val="00591A6F"/>
    <w:rsid w:val="005A2920"/>
    <w:rsid w:val="005D49D5"/>
    <w:rsid w:val="006105A2"/>
    <w:rsid w:val="00630AA3"/>
    <w:rsid w:val="00642514"/>
    <w:rsid w:val="006672E2"/>
    <w:rsid w:val="0068478E"/>
    <w:rsid w:val="006F2D9E"/>
    <w:rsid w:val="00706E9A"/>
    <w:rsid w:val="00710C71"/>
    <w:rsid w:val="007118A6"/>
    <w:rsid w:val="00711DB9"/>
    <w:rsid w:val="007A01FE"/>
    <w:rsid w:val="007A6E9C"/>
    <w:rsid w:val="007B0177"/>
    <w:rsid w:val="007E2C5A"/>
    <w:rsid w:val="00815AEB"/>
    <w:rsid w:val="00850A66"/>
    <w:rsid w:val="008619FD"/>
    <w:rsid w:val="0086790B"/>
    <w:rsid w:val="008D02FA"/>
    <w:rsid w:val="008D1490"/>
    <w:rsid w:val="00913859"/>
    <w:rsid w:val="00957D09"/>
    <w:rsid w:val="0098196A"/>
    <w:rsid w:val="009B0CD2"/>
    <w:rsid w:val="009B7313"/>
    <w:rsid w:val="009F6F2A"/>
    <w:rsid w:val="00A06303"/>
    <w:rsid w:val="00A36D44"/>
    <w:rsid w:val="00A408C9"/>
    <w:rsid w:val="00A5690F"/>
    <w:rsid w:val="00A94EB6"/>
    <w:rsid w:val="00AC7A14"/>
    <w:rsid w:val="00AE663C"/>
    <w:rsid w:val="00AE666F"/>
    <w:rsid w:val="00B0439F"/>
    <w:rsid w:val="00B13DBB"/>
    <w:rsid w:val="00B94937"/>
    <w:rsid w:val="00BE6307"/>
    <w:rsid w:val="00C2315E"/>
    <w:rsid w:val="00C4431F"/>
    <w:rsid w:val="00C8148A"/>
    <w:rsid w:val="00C93F97"/>
    <w:rsid w:val="00CE4F1B"/>
    <w:rsid w:val="00D1225E"/>
    <w:rsid w:val="00D17086"/>
    <w:rsid w:val="00D22CF6"/>
    <w:rsid w:val="00D2512F"/>
    <w:rsid w:val="00D543B4"/>
    <w:rsid w:val="00D74E6A"/>
    <w:rsid w:val="00D86725"/>
    <w:rsid w:val="00D90D19"/>
    <w:rsid w:val="00DD3612"/>
    <w:rsid w:val="00DD6039"/>
    <w:rsid w:val="00DD630D"/>
    <w:rsid w:val="00E11098"/>
    <w:rsid w:val="00E12340"/>
    <w:rsid w:val="00E2144E"/>
    <w:rsid w:val="00E27A38"/>
    <w:rsid w:val="00E30B34"/>
    <w:rsid w:val="00E541E0"/>
    <w:rsid w:val="00E86306"/>
    <w:rsid w:val="00EA5510"/>
    <w:rsid w:val="00F160D6"/>
    <w:rsid w:val="00F70E09"/>
    <w:rsid w:val="00F8204F"/>
    <w:rsid w:val="00F87623"/>
    <w:rsid w:val="00FB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E364"/>
  <w15:chartTrackingRefBased/>
  <w15:docId w15:val="{D32CDDCF-4436-42A4-80F9-05E021B8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30D"/>
    <w:rPr>
      <w:sz w:val="20"/>
      <w:szCs w:val="20"/>
      <w:lang w:val="en-ZA"/>
    </w:rPr>
  </w:style>
  <w:style w:type="character" w:styleId="FootnoteReference">
    <w:name w:val="footnote reference"/>
    <w:basedOn w:val="DefaultParagraphFont"/>
    <w:uiPriority w:val="99"/>
    <w:semiHidden/>
    <w:unhideWhenUsed/>
    <w:rsid w:val="00DD630D"/>
    <w:rPr>
      <w:vertAlign w:val="superscript"/>
    </w:rPr>
  </w:style>
  <w:style w:type="paragraph" w:styleId="ListParagraph">
    <w:name w:val="List Paragraph"/>
    <w:basedOn w:val="Normal"/>
    <w:uiPriority w:val="34"/>
    <w:qFormat/>
    <w:rsid w:val="0043546A"/>
    <w:pPr>
      <w:ind w:left="720"/>
      <w:contextualSpacing/>
    </w:pPr>
  </w:style>
  <w:style w:type="paragraph" w:styleId="Header">
    <w:name w:val="header"/>
    <w:basedOn w:val="Normal"/>
    <w:link w:val="HeaderChar"/>
    <w:uiPriority w:val="99"/>
    <w:unhideWhenUsed/>
    <w:rsid w:val="0064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14"/>
    <w:rPr>
      <w:lang w:val="en-ZA"/>
    </w:rPr>
  </w:style>
  <w:style w:type="paragraph" w:styleId="Footer">
    <w:name w:val="footer"/>
    <w:basedOn w:val="Normal"/>
    <w:link w:val="FooterChar"/>
    <w:uiPriority w:val="99"/>
    <w:unhideWhenUsed/>
    <w:rsid w:val="0064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1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Mariana Anguelov</cp:lastModifiedBy>
  <cp:revision>3</cp:revision>
  <dcterms:created xsi:type="dcterms:W3CDTF">2022-11-24T11:04:00Z</dcterms:created>
  <dcterms:modified xsi:type="dcterms:W3CDTF">2022-11-27T08:15:00Z</dcterms:modified>
</cp:coreProperties>
</file>