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7D" w:rsidRDefault="007A497D" w:rsidP="00B73783">
      <w:pPr>
        <w:spacing w:line="360" w:lineRule="auto"/>
        <w:jc w:val="center"/>
        <w:rPr>
          <w:rFonts w:ascii="Arial" w:hAnsi="Arial" w:cs="Arial"/>
          <w:b/>
          <w:bCs/>
          <w:sz w:val="24"/>
          <w:szCs w:val="24"/>
        </w:rPr>
      </w:pPr>
      <w:bookmarkStart w:id="0" w:name="_GoBack"/>
      <w:bookmarkEnd w:id="0"/>
      <w:r>
        <w:rPr>
          <w:noProof/>
          <w:lang w:eastAsia="en-ZA"/>
        </w:rPr>
        <w:drawing>
          <wp:anchor distT="0" distB="0" distL="114300" distR="114300" simplePos="0" relativeHeight="251659264" behindDoc="0" locked="0" layoutInCell="1" allowOverlap="1" wp14:anchorId="2BCB01F9" wp14:editId="4A0ACD5C">
            <wp:simplePos x="0" y="0"/>
            <wp:positionH relativeFrom="margin">
              <wp:posOffset>2250556</wp:posOffset>
            </wp:positionH>
            <wp:positionV relativeFrom="paragraph">
              <wp:posOffset>-343708</wp:posOffset>
            </wp:positionV>
            <wp:extent cx="1230284" cy="1230284"/>
            <wp:effectExtent l="0" t="0" r="8255"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284" cy="1230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97D" w:rsidRDefault="007A497D" w:rsidP="00B73783">
      <w:pPr>
        <w:spacing w:line="360" w:lineRule="auto"/>
        <w:jc w:val="center"/>
        <w:rPr>
          <w:rFonts w:ascii="Arial" w:hAnsi="Arial" w:cs="Arial"/>
          <w:b/>
          <w:bCs/>
          <w:sz w:val="24"/>
          <w:szCs w:val="24"/>
        </w:rPr>
      </w:pPr>
    </w:p>
    <w:p w:rsidR="007A497D" w:rsidRDefault="007A497D" w:rsidP="00B73783">
      <w:pPr>
        <w:spacing w:line="360" w:lineRule="auto"/>
        <w:jc w:val="center"/>
        <w:rPr>
          <w:rFonts w:ascii="Arial" w:hAnsi="Arial" w:cs="Arial"/>
          <w:b/>
          <w:bCs/>
          <w:sz w:val="24"/>
          <w:szCs w:val="24"/>
        </w:rPr>
      </w:pPr>
    </w:p>
    <w:p w:rsidR="00C4431F" w:rsidRPr="00B73783" w:rsidRDefault="000E4086" w:rsidP="00B73783">
      <w:pPr>
        <w:spacing w:line="360" w:lineRule="auto"/>
        <w:jc w:val="center"/>
        <w:rPr>
          <w:rFonts w:ascii="Arial" w:hAnsi="Arial" w:cs="Arial"/>
          <w:b/>
          <w:bCs/>
          <w:sz w:val="24"/>
          <w:szCs w:val="24"/>
        </w:rPr>
      </w:pPr>
      <w:r w:rsidRPr="00B73783">
        <w:rPr>
          <w:rFonts w:ascii="Arial" w:hAnsi="Arial" w:cs="Arial"/>
          <w:b/>
          <w:bCs/>
          <w:sz w:val="24"/>
          <w:szCs w:val="24"/>
        </w:rPr>
        <w:t>IN THE HIGH COURT OF SOUTH AFRICA</w:t>
      </w:r>
    </w:p>
    <w:p w:rsidR="000E4086" w:rsidRPr="00B73783" w:rsidRDefault="000E4086" w:rsidP="00B73783">
      <w:pPr>
        <w:spacing w:line="360" w:lineRule="auto"/>
        <w:jc w:val="center"/>
        <w:rPr>
          <w:rFonts w:ascii="Arial" w:hAnsi="Arial" w:cs="Arial"/>
          <w:b/>
          <w:bCs/>
          <w:sz w:val="24"/>
          <w:szCs w:val="24"/>
        </w:rPr>
      </w:pPr>
      <w:r w:rsidRPr="00B73783">
        <w:rPr>
          <w:rFonts w:ascii="Arial" w:hAnsi="Arial" w:cs="Arial"/>
          <w:b/>
          <w:bCs/>
          <w:sz w:val="24"/>
          <w:szCs w:val="24"/>
        </w:rPr>
        <w:t>(EAST LONDON CIRCUIT LOCAL DIVISION)</w:t>
      </w:r>
    </w:p>
    <w:p w:rsidR="00B73783" w:rsidRDefault="00B73783" w:rsidP="00B73783">
      <w:pPr>
        <w:spacing w:line="360" w:lineRule="auto"/>
        <w:rPr>
          <w:rFonts w:ascii="Arial" w:hAnsi="Arial" w:cs="Arial"/>
          <w:sz w:val="24"/>
          <w:szCs w:val="24"/>
        </w:rPr>
      </w:pPr>
    </w:p>
    <w:p w:rsidR="000E4086" w:rsidRPr="00B73783" w:rsidRDefault="000E4086" w:rsidP="00B73783">
      <w:pPr>
        <w:spacing w:line="360" w:lineRule="auto"/>
        <w:jc w:val="right"/>
        <w:rPr>
          <w:rFonts w:ascii="Arial" w:hAnsi="Arial" w:cs="Arial"/>
          <w:b/>
          <w:bCs/>
          <w:sz w:val="24"/>
          <w:szCs w:val="24"/>
        </w:rPr>
      </w:pPr>
      <w:r w:rsidRPr="00B73783">
        <w:rPr>
          <w:rFonts w:ascii="Arial" w:hAnsi="Arial" w:cs="Arial"/>
          <w:b/>
          <w:bCs/>
          <w:sz w:val="24"/>
          <w:szCs w:val="24"/>
        </w:rPr>
        <w:t>Case no. EL 781/2021</w:t>
      </w:r>
    </w:p>
    <w:p w:rsidR="00B73783" w:rsidRDefault="00B73783" w:rsidP="00B73783">
      <w:pPr>
        <w:spacing w:line="360" w:lineRule="auto"/>
        <w:rPr>
          <w:rFonts w:ascii="Arial" w:hAnsi="Arial" w:cs="Arial"/>
          <w:sz w:val="24"/>
          <w:szCs w:val="24"/>
        </w:rPr>
      </w:pPr>
    </w:p>
    <w:p w:rsidR="000E4086" w:rsidRPr="00B73783" w:rsidRDefault="000E4086" w:rsidP="00B73783">
      <w:pPr>
        <w:spacing w:line="360" w:lineRule="auto"/>
        <w:rPr>
          <w:rFonts w:ascii="Arial" w:hAnsi="Arial" w:cs="Arial"/>
          <w:sz w:val="24"/>
          <w:szCs w:val="24"/>
        </w:rPr>
      </w:pPr>
      <w:r w:rsidRPr="00B73783">
        <w:rPr>
          <w:rFonts w:ascii="Arial" w:hAnsi="Arial" w:cs="Arial"/>
          <w:sz w:val="24"/>
          <w:szCs w:val="24"/>
        </w:rPr>
        <w:t>In the matter between:</w:t>
      </w:r>
    </w:p>
    <w:p w:rsidR="00B73783" w:rsidRDefault="00B73783" w:rsidP="00B73783">
      <w:pPr>
        <w:spacing w:line="360" w:lineRule="auto"/>
        <w:rPr>
          <w:rFonts w:ascii="Arial" w:hAnsi="Arial" w:cs="Arial"/>
          <w:sz w:val="24"/>
          <w:szCs w:val="24"/>
        </w:rPr>
      </w:pPr>
    </w:p>
    <w:p w:rsidR="000E4086" w:rsidRPr="00B73783" w:rsidRDefault="000E4086" w:rsidP="00B73783">
      <w:pPr>
        <w:spacing w:line="360" w:lineRule="auto"/>
        <w:rPr>
          <w:rFonts w:ascii="Arial" w:hAnsi="Arial" w:cs="Arial"/>
          <w:b/>
          <w:bCs/>
          <w:sz w:val="24"/>
          <w:szCs w:val="24"/>
        </w:rPr>
      </w:pPr>
      <w:r w:rsidRPr="00B73783">
        <w:rPr>
          <w:rFonts w:ascii="Arial" w:hAnsi="Arial" w:cs="Arial"/>
          <w:b/>
          <w:bCs/>
          <w:sz w:val="24"/>
          <w:szCs w:val="24"/>
        </w:rPr>
        <w:t xml:space="preserve">SIPHOSETHU JOYCE DYANI </w:t>
      </w:r>
    </w:p>
    <w:p w:rsidR="000E4086" w:rsidRPr="00B73783" w:rsidRDefault="00B73783" w:rsidP="00B73783">
      <w:pPr>
        <w:spacing w:line="360" w:lineRule="auto"/>
        <w:rPr>
          <w:rFonts w:ascii="Arial" w:hAnsi="Arial" w:cs="Arial"/>
          <w:b/>
          <w:bCs/>
          <w:sz w:val="24"/>
          <w:szCs w:val="24"/>
        </w:rPr>
      </w:pPr>
      <w:r>
        <w:rPr>
          <w:rFonts w:ascii="Arial" w:hAnsi="Arial" w:cs="Arial"/>
          <w:b/>
          <w:bCs/>
          <w:sz w:val="24"/>
          <w:szCs w:val="24"/>
        </w:rPr>
        <w:t>o</w:t>
      </w:r>
      <w:r w:rsidR="000E4086" w:rsidRPr="00B73783">
        <w:rPr>
          <w:rFonts w:ascii="Arial" w:hAnsi="Arial" w:cs="Arial"/>
          <w:b/>
          <w:bCs/>
          <w:sz w:val="24"/>
          <w:szCs w:val="24"/>
        </w:rPr>
        <w:t>n behalf of MCINJANA ANIKWA</w:t>
      </w:r>
      <w:r w:rsidR="000E4086" w:rsidRPr="00B73783">
        <w:rPr>
          <w:rFonts w:ascii="Arial" w:hAnsi="Arial" w:cs="Arial"/>
          <w:b/>
          <w:bCs/>
          <w:sz w:val="24"/>
          <w:szCs w:val="24"/>
        </w:rPr>
        <w:tab/>
      </w:r>
      <w:r w:rsidR="000E4086" w:rsidRPr="00B73783">
        <w:rPr>
          <w:rFonts w:ascii="Arial" w:hAnsi="Arial" w:cs="Arial"/>
          <w:b/>
          <w:bCs/>
          <w:sz w:val="24"/>
          <w:szCs w:val="24"/>
        </w:rPr>
        <w:tab/>
      </w:r>
      <w:r w:rsidR="000E4086" w:rsidRPr="00B73783">
        <w:rPr>
          <w:rFonts w:ascii="Arial" w:hAnsi="Arial" w:cs="Arial"/>
          <w:b/>
          <w:bCs/>
          <w:sz w:val="24"/>
          <w:szCs w:val="24"/>
        </w:rPr>
        <w:tab/>
      </w:r>
      <w:r w:rsidR="000E4086" w:rsidRPr="00B73783">
        <w:rPr>
          <w:rFonts w:ascii="Arial" w:hAnsi="Arial" w:cs="Arial"/>
          <w:b/>
          <w:bCs/>
          <w:sz w:val="24"/>
          <w:szCs w:val="24"/>
        </w:rPr>
        <w:tab/>
      </w:r>
      <w:r w:rsidR="000E4086" w:rsidRPr="00B73783">
        <w:rPr>
          <w:rFonts w:ascii="Arial" w:hAnsi="Arial" w:cs="Arial"/>
          <w:b/>
          <w:bCs/>
          <w:sz w:val="24"/>
          <w:szCs w:val="24"/>
        </w:rPr>
        <w:tab/>
      </w:r>
      <w:r w:rsidR="000E4086" w:rsidRPr="00B73783">
        <w:rPr>
          <w:rFonts w:ascii="Arial" w:hAnsi="Arial" w:cs="Arial"/>
          <w:b/>
          <w:bCs/>
          <w:sz w:val="24"/>
          <w:szCs w:val="24"/>
        </w:rPr>
        <w:tab/>
        <w:t>Plaintiff</w:t>
      </w:r>
    </w:p>
    <w:p w:rsidR="00B73783" w:rsidRDefault="00B73783" w:rsidP="00B73783">
      <w:pPr>
        <w:spacing w:line="360" w:lineRule="auto"/>
        <w:rPr>
          <w:rFonts w:ascii="Arial" w:hAnsi="Arial" w:cs="Arial"/>
          <w:sz w:val="24"/>
          <w:szCs w:val="24"/>
        </w:rPr>
      </w:pPr>
    </w:p>
    <w:p w:rsidR="000E4086" w:rsidRPr="00B73783" w:rsidRDefault="00B73783" w:rsidP="00B73783">
      <w:pPr>
        <w:spacing w:line="360" w:lineRule="auto"/>
        <w:rPr>
          <w:rFonts w:ascii="Arial" w:hAnsi="Arial" w:cs="Arial"/>
          <w:sz w:val="24"/>
          <w:szCs w:val="24"/>
        </w:rPr>
      </w:pPr>
      <w:r>
        <w:rPr>
          <w:rFonts w:ascii="Arial" w:hAnsi="Arial" w:cs="Arial"/>
          <w:sz w:val="24"/>
          <w:szCs w:val="24"/>
        </w:rPr>
        <w:t>a</w:t>
      </w:r>
      <w:r w:rsidR="000E4086" w:rsidRPr="00B73783">
        <w:rPr>
          <w:rFonts w:ascii="Arial" w:hAnsi="Arial" w:cs="Arial"/>
          <w:sz w:val="24"/>
          <w:szCs w:val="24"/>
        </w:rPr>
        <w:t>nd</w:t>
      </w:r>
    </w:p>
    <w:p w:rsidR="00B73783" w:rsidRDefault="00B73783" w:rsidP="00B73783">
      <w:pPr>
        <w:spacing w:line="360" w:lineRule="auto"/>
        <w:rPr>
          <w:rFonts w:ascii="Arial" w:hAnsi="Arial" w:cs="Arial"/>
          <w:sz w:val="24"/>
          <w:szCs w:val="24"/>
        </w:rPr>
      </w:pPr>
    </w:p>
    <w:p w:rsidR="000E4086" w:rsidRPr="00B73783" w:rsidRDefault="000E4086" w:rsidP="00B73783">
      <w:pPr>
        <w:spacing w:line="360" w:lineRule="auto"/>
        <w:rPr>
          <w:rFonts w:ascii="Arial" w:hAnsi="Arial" w:cs="Arial"/>
          <w:b/>
          <w:bCs/>
          <w:sz w:val="24"/>
          <w:szCs w:val="24"/>
        </w:rPr>
      </w:pPr>
      <w:r w:rsidRPr="00B73783">
        <w:rPr>
          <w:rFonts w:ascii="Arial" w:hAnsi="Arial" w:cs="Arial"/>
          <w:b/>
          <w:bCs/>
          <w:sz w:val="24"/>
          <w:szCs w:val="24"/>
        </w:rPr>
        <w:t>ROAD ACCIDENT FUND</w:t>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r>
      <w:r w:rsidRPr="00B73783">
        <w:rPr>
          <w:rFonts w:ascii="Arial" w:hAnsi="Arial" w:cs="Arial"/>
          <w:b/>
          <w:bCs/>
          <w:sz w:val="24"/>
          <w:szCs w:val="24"/>
        </w:rPr>
        <w:tab/>
        <w:t>Defendant</w:t>
      </w:r>
    </w:p>
    <w:p w:rsidR="000E4086" w:rsidRPr="00B73783" w:rsidRDefault="000E4086" w:rsidP="00B73783">
      <w:pPr>
        <w:spacing w:line="360" w:lineRule="auto"/>
        <w:rPr>
          <w:rFonts w:ascii="Arial" w:hAnsi="Arial" w:cs="Arial"/>
          <w:sz w:val="24"/>
          <w:szCs w:val="24"/>
        </w:rPr>
      </w:pPr>
    </w:p>
    <w:p w:rsidR="000E4086" w:rsidRPr="00B73783" w:rsidRDefault="000E4086" w:rsidP="00B73783">
      <w:pPr>
        <w:spacing w:line="360" w:lineRule="auto"/>
        <w:rPr>
          <w:rFonts w:ascii="Arial" w:hAnsi="Arial" w:cs="Arial"/>
          <w:sz w:val="24"/>
          <w:szCs w:val="24"/>
        </w:rPr>
      </w:pPr>
      <w:r w:rsidRPr="00B73783">
        <w:rPr>
          <w:rFonts w:ascii="Arial" w:hAnsi="Arial" w:cs="Arial"/>
          <w:sz w:val="24"/>
          <w:szCs w:val="24"/>
        </w:rPr>
        <w:t>______________________________________________________________________</w:t>
      </w:r>
    </w:p>
    <w:p w:rsidR="000E4086" w:rsidRPr="00B73783" w:rsidRDefault="000E4086" w:rsidP="00B73783">
      <w:pPr>
        <w:spacing w:line="360" w:lineRule="auto"/>
        <w:jc w:val="center"/>
        <w:rPr>
          <w:rFonts w:ascii="Arial" w:hAnsi="Arial" w:cs="Arial"/>
          <w:b/>
          <w:bCs/>
          <w:sz w:val="24"/>
          <w:szCs w:val="24"/>
        </w:rPr>
      </w:pPr>
      <w:r w:rsidRPr="00B73783">
        <w:rPr>
          <w:rFonts w:ascii="Arial" w:hAnsi="Arial" w:cs="Arial"/>
          <w:b/>
          <w:bCs/>
          <w:sz w:val="24"/>
          <w:szCs w:val="24"/>
        </w:rPr>
        <w:t>JUDGMENT</w:t>
      </w:r>
    </w:p>
    <w:p w:rsidR="000E4086" w:rsidRPr="00B73783" w:rsidRDefault="000E4086" w:rsidP="00B73783">
      <w:pPr>
        <w:spacing w:line="360" w:lineRule="auto"/>
        <w:rPr>
          <w:rFonts w:ascii="Arial" w:hAnsi="Arial" w:cs="Arial"/>
          <w:sz w:val="24"/>
          <w:szCs w:val="24"/>
        </w:rPr>
      </w:pPr>
      <w:r w:rsidRPr="00B73783">
        <w:rPr>
          <w:rFonts w:ascii="Arial" w:hAnsi="Arial" w:cs="Arial"/>
          <w:sz w:val="24"/>
          <w:szCs w:val="24"/>
        </w:rPr>
        <w:t>______________________________________________________________________</w:t>
      </w:r>
    </w:p>
    <w:p w:rsidR="000E4086" w:rsidRPr="00B73783" w:rsidRDefault="000E4086" w:rsidP="00B73783">
      <w:pPr>
        <w:spacing w:line="360" w:lineRule="auto"/>
        <w:rPr>
          <w:rFonts w:ascii="Arial" w:hAnsi="Arial" w:cs="Arial"/>
          <w:sz w:val="24"/>
          <w:szCs w:val="24"/>
        </w:rPr>
      </w:pPr>
    </w:p>
    <w:p w:rsidR="000E4086" w:rsidRPr="00B73783" w:rsidRDefault="000E4086" w:rsidP="00B73783">
      <w:pPr>
        <w:spacing w:line="360" w:lineRule="auto"/>
        <w:rPr>
          <w:rFonts w:ascii="Arial" w:hAnsi="Arial" w:cs="Arial"/>
          <w:b/>
          <w:bCs/>
          <w:sz w:val="24"/>
          <w:szCs w:val="24"/>
        </w:rPr>
      </w:pPr>
      <w:r w:rsidRPr="00B73783">
        <w:rPr>
          <w:rFonts w:ascii="Arial" w:hAnsi="Arial" w:cs="Arial"/>
          <w:b/>
          <w:bCs/>
          <w:sz w:val="24"/>
          <w:szCs w:val="24"/>
        </w:rPr>
        <w:t>LAING J</w:t>
      </w:r>
    </w:p>
    <w:p w:rsidR="000E4086" w:rsidRPr="00B73783" w:rsidRDefault="000E4086" w:rsidP="00B73783">
      <w:pPr>
        <w:spacing w:line="360" w:lineRule="auto"/>
        <w:rPr>
          <w:rFonts w:ascii="Arial" w:hAnsi="Arial" w:cs="Arial"/>
          <w:sz w:val="24"/>
          <w:szCs w:val="24"/>
        </w:rPr>
      </w:pPr>
    </w:p>
    <w:p w:rsidR="000E4086" w:rsidRPr="00B73783" w:rsidRDefault="007A497D" w:rsidP="007A497D">
      <w:pPr>
        <w:spacing w:line="360" w:lineRule="auto"/>
        <w:jc w:val="both"/>
        <w:rPr>
          <w:rFonts w:ascii="Arial" w:hAnsi="Arial" w:cs="Arial"/>
          <w:sz w:val="24"/>
          <w:szCs w:val="24"/>
        </w:rPr>
      </w:pPr>
      <w:r>
        <w:rPr>
          <w:rFonts w:ascii="Arial" w:hAnsi="Arial" w:cs="Arial"/>
          <w:sz w:val="24"/>
          <w:szCs w:val="24"/>
        </w:rPr>
        <w:lastRenderedPageBreak/>
        <w:t xml:space="preserve">[1] </w:t>
      </w:r>
      <w:r>
        <w:rPr>
          <w:rFonts w:ascii="Arial" w:hAnsi="Arial" w:cs="Arial"/>
          <w:sz w:val="24"/>
          <w:szCs w:val="24"/>
        </w:rPr>
        <w:tab/>
      </w:r>
      <w:r w:rsidR="000E4086" w:rsidRPr="00B73783">
        <w:rPr>
          <w:rFonts w:ascii="Arial" w:hAnsi="Arial" w:cs="Arial"/>
          <w:sz w:val="24"/>
          <w:szCs w:val="24"/>
        </w:rPr>
        <w:t>This is an application for default judgment in terms of which the plaintiff seeks compensation for damages arising from the negligent driving of a motor vehicle.</w:t>
      </w:r>
    </w:p>
    <w:p w:rsidR="003720CD" w:rsidRDefault="003720CD" w:rsidP="007A497D">
      <w:pPr>
        <w:spacing w:line="360" w:lineRule="auto"/>
        <w:jc w:val="both"/>
        <w:rPr>
          <w:rFonts w:ascii="Arial" w:hAnsi="Arial" w:cs="Arial"/>
          <w:sz w:val="24"/>
          <w:szCs w:val="24"/>
        </w:rPr>
      </w:pPr>
    </w:p>
    <w:p w:rsidR="003720CD" w:rsidRPr="003720CD" w:rsidRDefault="003720CD" w:rsidP="007A497D">
      <w:pPr>
        <w:spacing w:line="360" w:lineRule="auto"/>
        <w:jc w:val="both"/>
        <w:rPr>
          <w:rFonts w:ascii="Arial" w:hAnsi="Arial" w:cs="Arial"/>
          <w:b/>
          <w:bCs/>
          <w:sz w:val="24"/>
          <w:szCs w:val="24"/>
        </w:rPr>
      </w:pPr>
      <w:proofErr w:type="spellStart"/>
      <w:r w:rsidRPr="003720CD">
        <w:rPr>
          <w:rFonts w:ascii="Arial" w:hAnsi="Arial" w:cs="Arial"/>
          <w:b/>
          <w:bCs/>
          <w:sz w:val="24"/>
          <w:szCs w:val="24"/>
        </w:rPr>
        <w:t>Backround</w:t>
      </w:r>
      <w:proofErr w:type="spellEnd"/>
    </w:p>
    <w:p w:rsidR="003720CD" w:rsidRDefault="003720CD" w:rsidP="007A497D">
      <w:pPr>
        <w:spacing w:line="360" w:lineRule="auto"/>
        <w:jc w:val="both"/>
        <w:rPr>
          <w:rFonts w:ascii="Arial" w:hAnsi="Arial" w:cs="Arial"/>
          <w:sz w:val="24"/>
          <w:szCs w:val="24"/>
        </w:rPr>
      </w:pPr>
    </w:p>
    <w:p w:rsidR="000E4086" w:rsidRDefault="007A497D" w:rsidP="007A497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E4086" w:rsidRPr="00B73783">
        <w:rPr>
          <w:rFonts w:ascii="Arial" w:hAnsi="Arial" w:cs="Arial"/>
          <w:sz w:val="24"/>
          <w:szCs w:val="24"/>
        </w:rPr>
        <w:t xml:space="preserve">The plaintiff is the natural guardian and biological mother of a seven-year-old male, MA. On 6 March 2020, at </w:t>
      </w:r>
      <w:proofErr w:type="spellStart"/>
      <w:r w:rsidR="000E4086" w:rsidRPr="00B73783">
        <w:rPr>
          <w:rFonts w:ascii="Arial" w:hAnsi="Arial" w:cs="Arial"/>
          <w:sz w:val="24"/>
          <w:szCs w:val="24"/>
        </w:rPr>
        <w:t>Phumla</w:t>
      </w:r>
      <w:proofErr w:type="spellEnd"/>
      <w:r w:rsidR="000E4086" w:rsidRPr="00B73783">
        <w:rPr>
          <w:rFonts w:ascii="Arial" w:hAnsi="Arial" w:cs="Arial"/>
          <w:sz w:val="24"/>
          <w:szCs w:val="24"/>
        </w:rPr>
        <w:t xml:space="preserve"> </w:t>
      </w:r>
      <w:proofErr w:type="spellStart"/>
      <w:r w:rsidR="000E4086" w:rsidRPr="00B73783">
        <w:rPr>
          <w:rFonts w:ascii="Arial" w:hAnsi="Arial" w:cs="Arial"/>
          <w:sz w:val="24"/>
          <w:szCs w:val="24"/>
        </w:rPr>
        <w:t>Mqeshi</w:t>
      </w:r>
      <w:proofErr w:type="spellEnd"/>
      <w:r w:rsidR="000E4086" w:rsidRPr="00B73783">
        <w:rPr>
          <w:rFonts w:ascii="Arial" w:hAnsi="Arial" w:cs="Arial"/>
          <w:sz w:val="24"/>
          <w:szCs w:val="24"/>
        </w:rPr>
        <w:t xml:space="preserve"> Location, in the </w:t>
      </w:r>
      <w:proofErr w:type="spellStart"/>
      <w:r w:rsidR="000E4086" w:rsidRPr="00B73783">
        <w:rPr>
          <w:rFonts w:ascii="Arial" w:hAnsi="Arial" w:cs="Arial"/>
          <w:sz w:val="24"/>
          <w:szCs w:val="24"/>
        </w:rPr>
        <w:t>Sterkstroom</w:t>
      </w:r>
      <w:proofErr w:type="spellEnd"/>
      <w:r w:rsidR="000E4086" w:rsidRPr="00B73783">
        <w:rPr>
          <w:rFonts w:ascii="Arial" w:hAnsi="Arial" w:cs="Arial"/>
          <w:sz w:val="24"/>
          <w:szCs w:val="24"/>
        </w:rPr>
        <w:t xml:space="preserve"> district, a motor vehicle struck MA while he had been walking along the pavement. As a result, MA sustained a severe </w:t>
      </w:r>
      <w:r w:rsidR="00A039B2" w:rsidRPr="00B73783">
        <w:rPr>
          <w:rFonts w:ascii="Arial" w:hAnsi="Arial" w:cs="Arial"/>
          <w:sz w:val="24"/>
          <w:szCs w:val="24"/>
        </w:rPr>
        <w:t>brain injury and blunt abdominal trauma, requiring hospitalisation and medical treatment.</w:t>
      </w:r>
    </w:p>
    <w:p w:rsidR="007A497D" w:rsidRPr="00B73783" w:rsidRDefault="007A497D" w:rsidP="007A497D">
      <w:pPr>
        <w:spacing w:line="360" w:lineRule="auto"/>
        <w:jc w:val="both"/>
        <w:rPr>
          <w:rFonts w:ascii="Arial" w:hAnsi="Arial" w:cs="Arial"/>
          <w:sz w:val="24"/>
          <w:szCs w:val="24"/>
        </w:rPr>
      </w:pPr>
    </w:p>
    <w:p w:rsidR="00A039B2" w:rsidRPr="00B73783" w:rsidRDefault="007A497D" w:rsidP="007A497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039B2" w:rsidRPr="00B73783">
        <w:rPr>
          <w:rFonts w:ascii="Arial" w:hAnsi="Arial" w:cs="Arial"/>
          <w:sz w:val="24"/>
          <w:szCs w:val="24"/>
        </w:rPr>
        <w:t>Proceedings were instituted against the defendant for the payment of damages in the amount of R 11 million. The parties have reached settlement regarding the claims for medical expenses and general damages. The plaintiff now seeks an order for payment of the amount of R 9,319,588 for future loss of earnings.</w:t>
      </w:r>
    </w:p>
    <w:p w:rsidR="00EF62C5" w:rsidRDefault="00EF62C5" w:rsidP="007A497D">
      <w:pPr>
        <w:spacing w:line="360" w:lineRule="auto"/>
        <w:jc w:val="both"/>
        <w:rPr>
          <w:rFonts w:ascii="Arial" w:hAnsi="Arial" w:cs="Arial"/>
          <w:sz w:val="24"/>
          <w:szCs w:val="24"/>
        </w:rPr>
      </w:pPr>
    </w:p>
    <w:p w:rsidR="00EF62C5" w:rsidRPr="00EF62C5" w:rsidRDefault="00EF62C5" w:rsidP="007A497D">
      <w:pPr>
        <w:spacing w:line="360" w:lineRule="auto"/>
        <w:jc w:val="both"/>
        <w:rPr>
          <w:rFonts w:ascii="Arial" w:hAnsi="Arial" w:cs="Arial"/>
          <w:b/>
          <w:bCs/>
          <w:sz w:val="24"/>
          <w:szCs w:val="24"/>
        </w:rPr>
      </w:pPr>
      <w:r w:rsidRPr="00EF62C5">
        <w:rPr>
          <w:rFonts w:ascii="Arial" w:hAnsi="Arial" w:cs="Arial"/>
          <w:b/>
          <w:bCs/>
          <w:sz w:val="24"/>
          <w:szCs w:val="24"/>
        </w:rPr>
        <w:t>Plaintiff’s evidence</w:t>
      </w:r>
    </w:p>
    <w:p w:rsidR="00EF62C5" w:rsidRDefault="00EF62C5" w:rsidP="007A497D">
      <w:pPr>
        <w:spacing w:line="360" w:lineRule="auto"/>
        <w:jc w:val="both"/>
        <w:rPr>
          <w:rFonts w:ascii="Arial" w:hAnsi="Arial" w:cs="Arial"/>
          <w:sz w:val="24"/>
          <w:szCs w:val="24"/>
        </w:rPr>
      </w:pPr>
    </w:p>
    <w:p w:rsidR="00A039B2" w:rsidRDefault="007A497D" w:rsidP="007A497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039B2" w:rsidRPr="00B73783">
        <w:rPr>
          <w:rFonts w:ascii="Arial" w:hAnsi="Arial" w:cs="Arial"/>
          <w:sz w:val="24"/>
          <w:szCs w:val="24"/>
        </w:rPr>
        <w:t xml:space="preserve">At the hearing of the matter, </w:t>
      </w:r>
      <w:r w:rsidR="00E96E9E" w:rsidRPr="00B73783">
        <w:rPr>
          <w:rFonts w:ascii="Arial" w:hAnsi="Arial" w:cs="Arial"/>
          <w:sz w:val="24"/>
          <w:szCs w:val="24"/>
        </w:rPr>
        <w:t xml:space="preserve">an occupational therapist, Ms Ncumisa </w:t>
      </w:r>
      <w:proofErr w:type="spellStart"/>
      <w:r w:rsidR="00E96E9E" w:rsidRPr="00B73783">
        <w:rPr>
          <w:rFonts w:ascii="Arial" w:hAnsi="Arial" w:cs="Arial"/>
          <w:sz w:val="24"/>
          <w:szCs w:val="24"/>
        </w:rPr>
        <w:t>Magakwe</w:t>
      </w:r>
      <w:proofErr w:type="spellEnd"/>
      <w:r w:rsidR="00E96E9E" w:rsidRPr="00B73783">
        <w:rPr>
          <w:rFonts w:ascii="Arial" w:hAnsi="Arial" w:cs="Arial"/>
          <w:sz w:val="24"/>
          <w:szCs w:val="24"/>
        </w:rPr>
        <w:t xml:space="preserve">, testified in relation to a medico-legal report that she had prepared. She indicated that MA displayed significant limitations regarding his cognitive and </w:t>
      </w:r>
      <w:r w:rsidR="00326FE1" w:rsidRPr="00B73783">
        <w:rPr>
          <w:rFonts w:ascii="Arial" w:hAnsi="Arial" w:cs="Arial"/>
          <w:sz w:val="24"/>
          <w:szCs w:val="24"/>
        </w:rPr>
        <w:t xml:space="preserve">perceptual skills and presented with behavioural problems. He would benefit from attendance at a special needs school. Ms </w:t>
      </w:r>
      <w:proofErr w:type="spellStart"/>
      <w:r w:rsidR="00326FE1" w:rsidRPr="00B73783">
        <w:rPr>
          <w:rFonts w:ascii="Arial" w:hAnsi="Arial" w:cs="Arial"/>
          <w:sz w:val="24"/>
          <w:szCs w:val="24"/>
        </w:rPr>
        <w:t>Magakwe</w:t>
      </w:r>
      <w:proofErr w:type="spellEnd"/>
      <w:r w:rsidR="00326FE1" w:rsidRPr="00B73783">
        <w:rPr>
          <w:rFonts w:ascii="Arial" w:hAnsi="Arial" w:cs="Arial"/>
          <w:sz w:val="24"/>
          <w:szCs w:val="24"/>
        </w:rPr>
        <w:t xml:space="preserve"> stated that MA’s </w:t>
      </w:r>
      <w:bookmarkStart w:id="1" w:name="_Hlk120267431"/>
      <w:r w:rsidR="00326FE1" w:rsidRPr="00B73783">
        <w:rPr>
          <w:rFonts w:ascii="Arial" w:hAnsi="Arial" w:cs="Arial"/>
          <w:sz w:val="24"/>
          <w:szCs w:val="24"/>
        </w:rPr>
        <w:t>future learning capacity and the probabilities of his entering the labour market remained uncertain</w:t>
      </w:r>
      <w:bookmarkEnd w:id="1"/>
      <w:r w:rsidR="00326FE1" w:rsidRPr="00B73783">
        <w:rPr>
          <w:rFonts w:ascii="Arial" w:hAnsi="Arial" w:cs="Arial"/>
          <w:sz w:val="24"/>
          <w:szCs w:val="24"/>
        </w:rPr>
        <w:t>.</w:t>
      </w:r>
    </w:p>
    <w:p w:rsidR="007A497D" w:rsidRPr="00B73783" w:rsidRDefault="007A497D" w:rsidP="007A497D">
      <w:pPr>
        <w:spacing w:line="360" w:lineRule="auto"/>
        <w:jc w:val="both"/>
        <w:rPr>
          <w:rFonts w:ascii="Arial" w:hAnsi="Arial" w:cs="Arial"/>
          <w:sz w:val="24"/>
          <w:szCs w:val="24"/>
        </w:rPr>
      </w:pPr>
    </w:p>
    <w:p w:rsidR="00326FE1" w:rsidRDefault="007A497D" w:rsidP="007A497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26FE1" w:rsidRPr="00B73783">
        <w:rPr>
          <w:rFonts w:ascii="Arial" w:hAnsi="Arial" w:cs="Arial"/>
          <w:sz w:val="24"/>
          <w:szCs w:val="24"/>
        </w:rPr>
        <w:t>The next witness was a counselling psychologist, Ms Linda Maye. She referred to a</w:t>
      </w:r>
      <w:r w:rsidR="00526487">
        <w:rPr>
          <w:rFonts w:ascii="Arial" w:hAnsi="Arial" w:cs="Arial"/>
          <w:sz w:val="24"/>
          <w:szCs w:val="24"/>
        </w:rPr>
        <w:t>n</w:t>
      </w:r>
      <w:r w:rsidR="00326FE1" w:rsidRPr="00B73783">
        <w:rPr>
          <w:rFonts w:ascii="Arial" w:hAnsi="Arial" w:cs="Arial"/>
          <w:sz w:val="24"/>
          <w:szCs w:val="24"/>
        </w:rPr>
        <w:t xml:space="preserve"> assessment that she had c</w:t>
      </w:r>
      <w:r w:rsidR="00136C40">
        <w:rPr>
          <w:rFonts w:ascii="Arial" w:hAnsi="Arial" w:cs="Arial"/>
          <w:sz w:val="24"/>
          <w:szCs w:val="24"/>
        </w:rPr>
        <w:t>arried out</w:t>
      </w:r>
      <w:r w:rsidR="00326FE1" w:rsidRPr="00B73783">
        <w:rPr>
          <w:rFonts w:ascii="Arial" w:hAnsi="Arial" w:cs="Arial"/>
          <w:sz w:val="24"/>
          <w:szCs w:val="24"/>
        </w:rPr>
        <w:t xml:space="preserve"> </w:t>
      </w:r>
      <w:r w:rsidR="00E832D3">
        <w:rPr>
          <w:rFonts w:ascii="Arial" w:hAnsi="Arial" w:cs="Arial"/>
          <w:sz w:val="24"/>
          <w:szCs w:val="24"/>
        </w:rPr>
        <w:t xml:space="preserve">on MA </w:t>
      </w:r>
      <w:r w:rsidR="00326FE1" w:rsidRPr="00B73783">
        <w:rPr>
          <w:rFonts w:ascii="Arial" w:hAnsi="Arial" w:cs="Arial"/>
          <w:sz w:val="24"/>
          <w:szCs w:val="24"/>
        </w:rPr>
        <w:t xml:space="preserve">and averred that there was strong </w:t>
      </w:r>
      <w:r w:rsidR="00326FE1" w:rsidRPr="00B73783">
        <w:rPr>
          <w:rFonts w:ascii="Arial" w:hAnsi="Arial" w:cs="Arial"/>
          <w:sz w:val="24"/>
          <w:szCs w:val="24"/>
        </w:rPr>
        <w:lastRenderedPageBreak/>
        <w:t>evidence to suggest that</w:t>
      </w:r>
      <w:r w:rsidR="00E832D3">
        <w:rPr>
          <w:rFonts w:ascii="Arial" w:hAnsi="Arial" w:cs="Arial"/>
          <w:sz w:val="24"/>
          <w:szCs w:val="24"/>
        </w:rPr>
        <w:t xml:space="preserve"> he</w:t>
      </w:r>
      <w:r w:rsidR="00326FE1" w:rsidRPr="00B73783">
        <w:rPr>
          <w:rFonts w:ascii="Arial" w:hAnsi="Arial" w:cs="Arial"/>
          <w:sz w:val="24"/>
          <w:szCs w:val="24"/>
        </w:rPr>
        <w:t xml:space="preserve"> had suffered brain impairment. There was, however, no clear indication that MA’s neuro-cognitive functions had been significantly different prior to the accident</w:t>
      </w:r>
      <w:r w:rsidR="00E86D0B" w:rsidRPr="00B73783">
        <w:rPr>
          <w:rFonts w:ascii="Arial" w:hAnsi="Arial" w:cs="Arial"/>
          <w:sz w:val="24"/>
          <w:szCs w:val="24"/>
        </w:rPr>
        <w:t xml:space="preserve"> by reason of the limited cognitive abilities and demands that characterised MA’s developmental age at the time. He remained vulnerable to more adverse consequences than if he had sustained the injury later in his formative years.</w:t>
      </w:r>
    </w:p>
    <w:p w:rsidR="007A497D" w:rsidRPr="00B73783" w:rsidRDefault="007A497D" w:rsidP="007A497D">
      <w:pPr>
        <w:spacing w:line="360" w:lineRule="auto"/>
        <w:jc w:val="both"/>
        <w:rPr>
          <w:rFonts w:ascii="Arial" w:hAnsi="Arial" w:cs="Arial"/>
          <w:sz w:val="24"/>
          <w:szCs w:val="24"/>
        </w:rPr>
      </w:pPr>
    </w:p>
    <w:p w:rsidR="00E86D0B" w:rsidRDefault="007A497D" w:rsidP="007A497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86D0B" w:rsidRPr="00B73783">
        <w:rPr>
          <w:rFonts w:ascii="Arial" w:hAnsi="Arial" w:cs="Arial"/>
          <w:sz w:val="24"/>
          <w:szCs w:val="24"/>
        </w:rPr>
        <w:t xml:space="preserve">An educational psychologist, Dr Geoff </w:t>
      </w:r>
      <w:proofErr w:type="spellStart"/>
      <w:r w:rsidR="00E86D0B" w:rsidRPr="00B73783">
        <w:rPr>
          <w:rFonts w:ascii="Arial" w:hAnsi="Arial" w:cs="Arial"/>
          <w:sz w:val="24"/>
          <w:szCs w:val="24"/>
        </w:rPr>
        <w:t>Swana</w:t>
      </w:r>
      <w:proofErr w:type="spellEnd"/>
      <w:r w:rsidR="00E86D0B" w:rsidRPr="00B73783">
        <w:rPr>
          <w:rFonts w:ascii="Arial" w:hAnsi="Arial" w:cs="Arial"/>
          <w:sz w:val="24"/>
          <w:szCs w:val="24"/>
        </w:rPr>
        <w:t>, then testified for the plaintiff. He confirmed that MA did not come from a high-functioning background; family members had not progressed significantly in their education.</w:t>
      </w:r>
      <w:r w:rsidR="009F2D3A" w:rsidRPr="00B73783">
        <w:rPr>
          <w:rFonts w:ascii="Arial" w:hAnsi="Arial" w:cs="Arial"/>
          <w:sz w:val="24"/>
          <w:szCs w:val="24"/>
        </w:rPr>
        <w:t xml:space="preserve"> It was not possible to assess MA’s pre-accident scholastic potential with certainty because he had been four years old at the time, but it was probable that he would have passed grade 12 and entered the labour market with better </w:t>
      </w:r>
      <w:proofErr w:type="spellStart"/>
      <w:r w:rsidR="009F2D3A" w:rsidRPr="00B73783">
        <w:rPr>
          <w:rFonts w:ascii="Arial" w:hAnsi="Arial" w:cs="Arial"/>
          <w:sz w:val="24"/>
          <w:szCs w:val="24"/>
        </w:rPr>
        <w:t>earning</w:t>
      </w:r>
      <w:proofErr w:type="spellEnd"/>
      <w:r w:rsidR="009F2D3A" w:rsidRPr="00B73783">
        <w:rPr>
          <w:rFonts w:ascii="Arial" w:hAnsi="Arial" w:cs="Arial"/>
          <w:sz w:val="24"/>
          <w:szCs w:val="24"/>
        </w:rPr>
        <w:t xml:space="preserve"> prospects than his parents. His post-accident </w:t>
      </w:r>
      <w:r w:rsidR="00BC2ACB" w:rsidRPr="00B73783">
        <w:rPr>
          <w:rFonts w:ascii="Arial" w:hAnsi="Arial" w:cs="Arial"/>
          <w:sz w:val="24"/>
          <w:szCs w:val="24"/>
        </w:rPr>
        <w:t>learning abilities had been compromised and it would be best for him to be placed at a special needs school. It was now unlikely that he would reach and pass grade 12.</w:t>
      </w:r>
      <w:r w:rsidR="009F2D3A" w:rsidRPr="00B73783">
        <w:rPr>
          <w:rFonts w:ascii="Arial" w:hAnsi="Arial" w:cs="Arial"/>
          <w:sz w:val="24"/>
          <w:szCs w:val="24"/>
        </w:rPr>
        <w:t xml:space="preserve"> </w:t>
      </w:r>
    </w:p>
    <w:p w:rsidR="007A497D" w:rsidRDefault="007A497D" w:rsidP="007A497D">
      <w:pPr>
        <w:spacing w:line="360" w:lineRule="auto"/>
        <w:jc w:val="both"/>
        <w:rPr>
          <w:rFonts w:ascii="Arial" w:hAnsi="Arial" w:cs="Arial"/>
          <w:sz w:val="24"/>
          <w:szCs w:val="24"/>
        </w:rPr>
      </w:pPr>
    </w:p>
    <w:p w:rsidR="003679E7" w:rsidRDefault="007A497D" w:rsidP="007A497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679E7">
        <w:rPr>
          <w:rFonts w:ascii="Arial" w:hAnsi="Arial" w:cs="Arial"/>
          <w:sz w:val="24"/>
          <w:szCs w:val="24"/>
        </w:rPr>
        <w:t>The final witness for the plaintiff was</w:t>
      </w:r>
      <w:r w:rsidR="0056466E">
        <w:rPr>
          <w:rFonts w:ascii="Arial" w:hAnsi="Arial" w:cs="Arial"/>
          <w:sz w:val="24"/>
          <w:szCs w:val="24"/>
        </w:rPr>
        <w:t xml:space="preserve"> an industrial psychologist, Mr </w:t>
      </w:r>
      <w:proofErr w:type="spellStart"/>
      <w:r w:rsidR="0056466E">
        <w:rPr>
          <w:rFonts w:ascii="Arial" w:hAnsi="Arial" w:cs="Arial"/>
          <w:sz w:val="24"/>
          <w:szCs w:val="24"/>
        </w:rPr>
        <w:t>Tshepo</w:t>
      </w:r>
      <w:proofErr w:type="spellEnd"/>
      <w:r w:rsidR="0056466E">
        <w:rPr>
          <w:rFonts w:ascii="Arial" w:hAnsi="Arial" w:cs="Arial"/>
          <w:sz w:val="24"/>
          <w:szCs w:val="24"/>
        </w:rPr>
        <w:t xml:space="preserve"> </w:t>
      </w:r>
      <w:proofErr w:type="spellStart"/>
      <w:r w:rsidR="0056466E">
        <w:rPr>
          <w:rFonts w:ascii="Arial" w:hAnsi="Arial" w:cs="Arial"/>
          <w:sz w:val="24"/>
          <w:szCs w:val="24"/>
        </w:rPr>
        <w:t>Kalanko</w:t>
      </w:r>
      <w:proofErr w:type="spellEnd"/>
      <w:r w:rsidR="0056466E">
        <w:rPr>
          <w:rFonts w:ascii="Arial" w:hAnsi="Arial" w:cs="Arial"/>
          <w:sz w:val="24"/>
          <w:szCs w:val="24"/>
        </w:rPr>
        <w:t xml:space="preserve">. He </w:t>
      </w:r>
      <w:r w:rsidR="000733E8">
        <w:rPr>
          <w:rFonts w:ascii="Arial" w:hAnsi="Arial" w:cs="Arial"/>
          <w:sz w:val="24"/>
          <w:szCs w:val="24"/>
        </w:rPr>
        <w:t xml:space="preserve">stated that he had prepared </w:t>
      </w:r>
      <w:r w:rsidR="00141AEC">
        <w:rPr>
          <w:rFonts w:ascii="Arial" w:hAnsi="Arial" w:cs="Arial"/>
          <w:sz w:val="24"/>
          <w:szCs w:val="24"/>
        </w:rPr>
        <w:t xml:space="preserve">a medico-legal report to deal with the question of MA’s </w:t>
      </w:r>
      <w:r w:rsidR="00CA332F">
        <w:rPr>
          <w:rFonts w:ascii="Arial" w:hAnsi="Arial" w:cs="Arial"/>
          <w:sz w:val="24"/>
          <w:szCs w:val="24"/>
        </w:rPr>
        <w:t>future loss of earnings.</w:t>
      </w:r>
      <w:r w:rsidR="00A350CA">
        <w:rPr>
          <w:rFonts w:ascii="Arial" w:hAnsi="Arial" w:cs="Arial"/>
          <w:sz w:val="24"/>
          <w:szCs w:val="24"/>
        </w:rPr>
        <w:t xml:space="preserve"> </w:t>
      </w:r>
      <w:r w:rsidR="003970FC">
        <w:rPr>
          <w:rFonts w:ascii="Arial" w:hAnsi="Arial" w:cs="Arial"/>
          <w:sz w:val="24"/>
          <w:szCs w:val="24"/>
        </w:rPr>
        <w:t xml:space="preserve">To that effect, </w:t>
      </w:r>
      <w:r w:rsidR="00FF214B">
        <w:rPr>
          <w:rFonts w:ascii="Arial" w:hAnsi="Arial" w:cs="Arial"/>
          <w:sz w:val="24"/>
          <w:szCs w:val="24"/>
        </w:rPr>
        <w:t xml:space="preserve">Mr </w:t>
      </w:r>
      <w:proofErr w:type="spellStart"/>
      <w:r w:rsidR="00FF214B">
        <w:rPr>
          <w:rFonts w:ascii="Arial" w:hAnsi="Arial" w:cs="Arial"/>
          <w:sz w:val="24"/>
          <w:szCs w:val="24"/>
        </w:rPr>
        <w:t>Kalanko</w:t>
      </w:r>
      <w:proofErr w:type="spellEnd"/>
      <w:r w:rsidR="00FF214B">
        <w:rPr>
          <w:rFonts w:ascii="Arial" w:hAnsi="Arial" w:cs="Arial"/>
          <w:sz w:val="24"/>
          <w:szCs w:val="24"/>
        </w:rPr>
        <w:t xml:space="preserve"> sketched </w:t>
      </w:r>
      <w:r w:rsidR="00D97F8D">
        <w:rPr>
          <w:rFonts w:ascii="Arial" w:hAnsi="Arial" w:cs="Arial"/>
          <w:sz w:val="24"/>
          <w:szCs w:val="24"/>
        </w:rPr>
        <w:t xml:space="preserve">various </w:t>
      </w:r>
      <w:r w:rsidR="00847A04">
        <w:rPr>
          <w:rFonts w:ascii="Arial" w:hAnsi="Arial" w:cs="Arial"/>
          <w:sz w:val="24"/>
          <w:szCs w:val="24"/>
        </w:rPr>
        <w:t xml:space="preserve">pre-morbid </w:t>
      </w:r>
      <w:r w:rsidR="00562479">
        <w:rPr>
          <w:rFonts w:ascii="Arial" w:hAnsi="Arial" w:cs="Arial"/>
          <w:sz w:val="24"/>
          <w:szCs w:val="24"/>
        </w:rPr>
        <w:t xml:space="preserve">employment scenarios, </w:t>
      </w:r>
      <w:r w:rsidR="0000325F">
        <w:rPr>
          <w:rFonts w:ascii="Arial" w:hAnsi="Arial" w:cs="Arial"/>
          <w:sz w:val="24"/>
          <w:szCs w:val="24"/>
        </w:rPr>
        <w:t xml:space="preserve">considering, </w:t>
      </w:r>
      <w:r w:rsidR="0000325F" w:rsidRPr="0000325F">
        <w:rPr>
          <w:rFonts w:ascii="Arial" w:hAnsi="Arial" w:cs="Arial"/>
          <w:i/>
          <w:iCs/>
          <w:sz w:val="24"/>
          <w:szCs w:val="24"/>
        </w:rPr>
        <w:t>inter alia</w:t>
      </w:r>
      <w:r w:rsidR="0000325F">
        <w:rPr>
          <w:rFonts w:ascii="Arial" w:hAnsi="Arial" w:cs="Arial"/>
          <w:sz w:val="24"/>
          <w:szCs w:val="24"/>
        </w:rPr>
        <w:t>,</w:t>
      </w:r>
      <w:r w:rsidR="00562479">
        <w:rPr>
          <w:rFonts w:ascii="Arial" w:hAnsi="Arial" w:cs="Arial"/>
          <w:sz w:val="24"/>
          <w:szCs w:val="24"/>
        </w:rPr>
        <w:t xml:space="preserve"> his socio-economic background</w:t>
      </w:r>
      <w:r w:rsidR="0000325F">
        <w:rPr>
          <w:rFonts w:ascii="Arial" w:hAnsi="Arial" w:cs="Arial"/>
          <w:sz w:val="24"/>
          <w:szCs w:val="24"/>
        </w:rPr>
        <w:t xml:space="preserve"> and education potential</w:t>
      </w:r>
      <w:r w:rsidR="0036739D">
        <w:rPr>
          <w:rFonts w:ascii="Arial" w:hAnsi="Arial" w:cs="Arial"/>
          <w:sz w:val="24"/>
          <w:szCs w:val="24"/>
        </w:rPr>
        <w:t>; these</w:t>
      </w:r>
      <w:r w:rsidR="00E03C91">
        <w:rPr>
          <w:rFonts w:ascii="Arial" w:hAnsi="Arial" w:cs="Arial"/>
          <w:sz w:val="24"/>
          <w:szCs w:val="24"/>
        </w:rPr>
        <w:t xml:space="preserve"> f</w:t>
      </w:r>
      <w:r w:rsidR="0036739D">
        <w:rPr>
          <w:rFonts w:ascii="Arial" w:hAnsi="Arial" w:cs="Arial"/>
          <w:sz w:val="24"/>
          <w:szCs w:val="24"/>
        </w:rPr>
        <w:t>e</w:t>
      </w:r>
      <w:r w:rsidR="00E03C91">
        <w:rPr>
          <w:rFonts w:ascii="Arial" w:hAnsi="Arial" w:cs="Arial"/>
          <w:sz w:val="24"/>
          <w:szCs w:val="24"/>
        </w:rPr>
        <w:t>ll within the</w:t>
      </w:r>
      <w:r w:rsidR="00F31ED8">
        <w:rPr>
          <w:rFonts w:ascii="Arial" w:hAnsi="Arial" w:cs="Arial"/>
          <w:sz w:val="24"/>
          <w:szCs w:val="24"/>
        </w:rPr>
        <w:t xml:space="preserve"> range </w:t>
      </w:r>
      <w:r w:rsidR="00E03C91">
        <w:rPr>
          <w:rFonts w:ascii="Arial" w:hAnsi="Arial" w:cs="Arial"/>
          <w:sz w:val="24"/>
          <w:szCs w:val="24"/>
        </w:rPr>
        <w:t>of semi-skilled to middle management</w:t>
      </w:r>
      <w:r w:rsidR="00B43D99">
        <w:rPr>
          <w:rFonts w:ascii="Arial" w:hAnsi="Arial" w:cs="Arial"/>
          <w:sz w:val="24"/>
          <w:szCs w:val="24"/>
        </w:rPr>
        <w:t xml:space="preserve"> positions.</w:t>
      </w:r>
      <w:r w:rsidR="00050409">
        <w:rPr>
          <w:rFonts w:ascii="Arial" w:hAnsi="Arial" w:cs="Arial"/>
          <w:sz w:val="24"/>
          <w:szCs w:val="24"/>
        </w:rPr>
        <w:t xml:space="preserve"> He went on to testify about the possible post-morbid sc</w:t>
      </w:r>
      <w:r w:rsidR="0012419F">
        <w:rPr>
          <w:rFonts w:ascii="Arial" w:hAnsi="Arial" w:cs="Arial"/>
          <w:sz w:val="24"/>
          <w:szCs w:val="24"/>
        </w:rPr>
        <w:t>e</w:t>
      </w:r>
      <w:r w:rsidR="00050409">
        <w:rPr>
          <w:rFonts w:ascii="Arial" w:hAnsi="Arial" w:cs="Arial"/>
          <w:sz w:val="24"/>
          <w:szCs w:val="24"/>
        </w:rPr>
        <w:t>n</w:t>
      </w:r>
      <w:r w:rsidR="0012419F">
        <w:rPr>
          <w:rFonts w:ascii="Arial" w:hAnsi="Arial" w:cs="Arial"/>
          <w:sz w:val="24"/>
          <w:szCs w:val="24"/>
        </w:rPr>
        <w:t>a</w:t>
      </w:r>
      <w:r w:rsidR="00050409">
        <w:rPr>
          <w:rFonts w:ascii="Arial" w:hAnsi="Arial" w:cs="Arial"/>
          <w:sz w:val="24"/>
          <w:szCs w:val="24"/>
        </w:rPr>
        <w:t>rios</w:t>
      </w:r>
      <w:r w:rsidR="0012419F">
        <w:rPr>
          <w:rFonts w:ascii="Arial" w:hAnsi="Arial" w:cs="Arial"/>
          <w:sz w:val="24"/>
          <w:szCs w:val="24"/>
        </w:rPr>
        <w:t xml:space="preserve">, </w:t>
      </w:r>
      <w:r w:rsidR="008644A1">
        <w:rPr>
          <w:rFonts w:ascii="Arial" w:hAnsi="Arial" w:cs="Arial"/>
          <w:sz w:val="24"/>
          <w:szCs w:val="24"/>
        </w:rPr>
        <w:t xml:space="preserve">the first of which being that MA </w:t>
      </w:r>
      <w:r w:rsidR="00C66ED8">
        <w:rPr>
          <w:rFonts w:ascii="Arial" w:hAnsi="Arial" w:cs="Arial"/>
          <w:sz w:val="24"/>
          <w:szCs w:val="24"/>
        </w:rPr>
        <w:t>would not acquire a qualification and would remain unemployed, the second</w:t>
      </w:r>
      <w:r w:rsidR="008763A0">
        <w:rPr>
          <w:rFonts w:ascii="Arial" w:hAnsi="Arial" w:cs="Arial"/>
          <w:sz w:val="24"/>
          <w:szCs w:val="24"/>
        </w:rPr>
        <w:t xml:space="preserve"> of which being that he would secure </w:t>
      </w:r>
      <w:r w:rsidR="004824EE">
        <w:rPr>
          <w:rFonts w:ascii="Arial" w:hAnsi="Arial" w:cs="Arial"/>
          <w:sz w:val="24"/>
          <w:szCs w:val="24"/>
        </w:rPr>
        <w:t xml:space="preserve">employment as an unskilled </w:t>
      </w:r>
      <w:r w:rsidR="008763A0">
        <w:rPr>
          <w:rFonts w:ascii="Arial" w:hAnsi="Arial" w:cs="Arial"/>
          <w:sz w:val="24"/>
          <w:szCs w:val="24"/>
        </w:rPr>
        <w:t>work</w:t>
      </w:r>
      <w:r w:rsidR="004824EE">
        <w:rPr>
          <w:rFonts w:ascii="Arial" w:hAnsi="Arial" w:cs="Arial"/>
          <w:sz w:val="24"/>
          <w:szCs w:val="24"/>
        </w:rPr>
        <w:t>er</w:t>
      </w:r>
      <w:r w:rsidR="00634CB0">
        <w:rPr>
          <w:rFonts w:ascii="Arial" w:hAnsi="Arial" w:cs="Arial"/>
          <w:sz w:val="24"/>
          <w:szCs w:val="24"/>
        </w:rPr>
        <w:t xml:space="preserve">. Overall, Mr </w:t>
      </w:r>
      <w:proofErr w:type="spellStart"/>
      <w:r w:rsidR="00634CB0">
        <w:rPr>
          <w:rFonts w:ascii="Arial" w:hAnsi="Arial" w:cs="Arial"/>
          <w:sz w:val="24"/>
          <w:szCs w:val="24"/>
        </w:rPr>
        <w:t>Kalanko</w:t>
      </w:r>
      <w:proofErr w:type="spellEnd"/>
      <w:r w:rsidR="00634CB0">
        <w:rPr>
          <w:rFonts w:ascii="Arial" w:hAnsi="Arial" w:cs="Arial"/>
          <w:sz w:val="24"/>
          <w:szCs w:val="24"/>
        </w:rPr>
        <w:t xml:space="preserve"> </w:t>
      </w:r>
      <w:r w:rsidR="00002A96">
        <w:rPr>
          <w:rFonts w:ascii="Arial" w:hAnsi="Arial" w:cs="Arial"/>
          <w:sz w:val="24"/>
          <w:szCs w:val="24"/>
        </w:rPr>
        <w:t xml:space="preserve">asserted that MA’s </w:t>
      </w:r>
      <w:r w:rsidR="007F610B">
        <w:rPr>
          <w:rFonts w:ascii="Arial" w:hAnsi="Arial" w:cs="Arial"/>
          <w:sz w:val="24"/>
          <w:szCs w:val="24"/>
        </w:rPr>
        <w:t>future loss of earnings could be calculated as the difference between his pre-</w:t>
      </w:r>
      <w:r w:rsidR="00C35194">
        <w:rPr>
          <w:rFonts w:ascii="Arial" w:hAnsi="Arial" w:cs="Arial"/>
          <w:sz w:val="24"/>
          <w:szCs w:val="24"/>
        </w:rPr>
        <w:t xml:space="preserve"> and post-</w:t>
      </w:r>
      <w:r w:rsidR="007F610B">
        <w:rPr>
          <w:rFonts w:ascii="Arial" w:hAnsi="Arial" w:cs="Arial"/>
          <w:sz w:val="24"/>
          <w:szCs w:val="24"/>
        </w:rPr>
        <w:t>morbid potential</w:t>
      </w:r>
      <w:r w:rsidR="00C35194">
        <w:rPr>
          <w:rFonts w:ascii="Arial" w:hAnsi="Arial" w:cs="Arial"/>
          <w:sz w:val="24"/>
          <w:szCs w:val="24"/>
        </w:rPr>
        <w:t>.</w:t>
      </w:r>
    </w:p>
    <w:p w:rsidR="00D64F72" w:rsidRDefault="00D64F72" w:rsidP="007A497D">
      <w:pPr>
        <w:spacing w:line="360" w:lineRule="auto"/>
        <w:jc w:val="both"/>
        <w:rPr>
          <w:rFonts w:ascii="Arial" w:hAnsi="Arial" w:cs="Arial"/>
          <w:sz w:val="24"/>
          <w:szCs w:val="24"/>
        </w:rPr>
      </w:pPr>
    </w:p>
    <w:p w:rsidR="00D64F72" w:rsidRPr="00D64F72" w:rsidRDefault="00D64F72" w:rsidP="007A497D">
      <w:pPr>
        <w:spacing w:line="360" w:lineRule="auto"/>
        <w:jc w:val="both"/>
        <w:rPr>
          <w:rFonts w:ascii="Arial" w:hAnsi="Arial" w:cs="Arial"/>
          <w:b/>
          <w:bCs/>
          <w:sz w:val="24"/>
          <w:szCs w:val="24"/>
        </w:rPr>
      </w:pPr>
      <w:r w:rsidRPr="00D64F72">
        <w:rPr>
          <w:rFonts w:ascii="Arial" w:hAnsi="Arial" w:cs="Arial"/>
          <w:b/>
          <w:bCs/>
          <w:sz w:val="24"/>
          <w:szCs w:val="24"/>
        </w:rPr>
        <w:t>Discussion</w:t>
      </w:r>
    </w:p>
    <w:p w:rsidR="00D64F72" w:rsidRDefault="00D64F72" w:rsidP="007A497D">
      <w:pPr>
        <w:spacing w:line="360" w:lineRule="auto"/>
        <w:jc w:val="both"/>
        <w:rPr>
          <w:rFonts w:ascii="Arial" w:hAnsi="Arial" w:cs="Arial"/>
          <w:sz w:val="24"/>
          <w:szCs w:val="24"/>
        </w:rPr>
      </w:pPr>
    </w:p>
    <w:p w:rsidR="00D81578" w:rsidRDefault="007A497D" w:rsidP="007A497D">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2C170E">
        <w:rPr>
          <w:rFonts w:ascii="Arial" w:hAnsi="Arial" w:cs="Arial"/>
          <w:sz w:val="24"/>
          <w:szCs w:val="24"/>
        </w:rPr>
        <w:t xml:space="preserve">The court is required to determine </w:t>
      </w:r>
      <w:r w:rsidR="00072628">
        <w:rPr>
          <w:rFonts w:ascii="Arial" w:hAnsi="Arial" w:cs="Arial"/>
          <w:sz w:val="24"/>
          <w:szCs w:val="24"/>
        </w:rPr>
        <w:t>the quantum of damages for future loss of earnings. This will ent</w:t>
      </w:r>
      <w:r w:rsidR="00165290">
        <w:rPr>
          <w:rFonts w:ascii="Arial" w:hAnsi="Arial" w:cs="Arial"/>
          <w:sz w:val="24"/>
          <w:szCs w:val="24"/>
        </w:rPr>
        <w:t xml:space="preserve">ail taking into consideration the evidence of the plaintiff’s witnesses as well as </w:t>
      </w:r>
      <w:r w:rsidR="004B5C1B">
        <w:rPr>
          <w:rFonts w:ascii="Arial" w:hAnsi="Arial" w:cs="Arial"/>
          <w:sz w:val="24"/>
          <w:szCs w:val="24"/>
        </w:rPr>
        <w:t xml:space="preserve">the </w:t>
      </w:r>
      <w:r w:rsidR="00D81578">
        <w:rPr>
          <w:rFonts w:ascii="Arial" w:hAnsi="Arial" w:cs="Arial"/>
          <w:sz w:val="24"/>
          <w:szCs w:val="24"/>
        </w:rPr>
        <w:t xml:space="preserve">actuarial report provided. By reason of </w:t>
      </w:r>
      <w:r w:rsidR="002349B5">
        <w:rPr>
          <w:rFonts w:ascii="Arial" w:hAnsi="Arial" w:cs="Arial"/>
          <w:sz w:val="24"/>
          <w:szCs w:val="24"/>
        </w:rPr>
        <w:t xml:space="preserve">MA’s being a young child, it is </w:t>
      </w:r>
      <w:r w:rsidR="00D52E07">
        <w:rPr>
          <w:rFonts w:ascii="Arial" w:hAnsi="Arial" w:cs="Arial"/>
          <w:sz w:val="24"/>
          <w:szCs w:val="24"/>
        </w:rPr>
        <w:t>especial</w:t>
      </w:r>
      <w:r w:rsidR="002349B5">
        <w:rPr>
          <w:rFonts w:ascii="Arial" w:hAnsi="Arial" w:cs="Arial"/>
          <w:sz w:val="24"/>
          <w:szCs w:val="24"/>
        </w:rPr>
        <w:t xml:space="preserve">ly difficult </w:t>
      </w:r>
      <w:r w:rsidR="002F6F02">
        <w:rPr>
          <w:rFonts w:ascii="Arial" w:hAnsi="Arial" w:cs="Arial"/>
          <w:sz w:val="24"/>
          <w:szCs w:val="24"/>
        </w:rPr>
        <w:t xml:space="preserve">in these circumstances to </w:t>
      </w:r>
      <w:r w:rsidR="00094B2E">
        <w:rPr>
          <w:rFonts w:ascii="Arial" w:hAnsi="Arial" w:cs="Arial"/>
          <w:sz w:val="24"/>
          <w:szCs w:val="24"/>
        </w:rPr>
        <w:t>arrive at an amount on a purely mathematical basis.</w:t>
      </w:r>
      <w:r w:rsidR="00295026">
        <w:rPr>
          <w:rFonts w:ascii="Arial" w:hAnsi="Arial" w:cs="Arial"/>
          <w:sz w:val="24"/>
          <w:szCs w:val="24"/>
        </w:rPr>
        <w:t xml:space="preserve"> The law makes provision, in claims for prospective loss, for </w:t>
      </w:r>
      <w:r w:rsidR="006A6465">
        <w:rPr>
          <w:rFonts w:ascii="Arial" w:hAnsi="Arial" w:cs="Arial"/>
          <w:sz w:val="24"/>
          <w:szCs w:val="24"/>
        </w:rPr>
        <w:t>contingencies</w:t>
      </w:r>
      <w:r w:rsidR="00D2777E">
        <w:rPr>
          <w:rFonts w:ascii="Arial" w:hAnsi="Arial" w:cs="Arial"/>
          <w:sz w:val="24"/>
          <w:szCs w:val="24"/>
        </w:rPr>
        <w:t>. The</w:t>
      </w:r>
      <w:r w:rsidR="007343BC">
        <w:rPr>
          <w:rFonts w:ascii="Arial" w:hAnsi="Arial" w:cs="Arial"/>
          <w:sz w:val="24"/>
          <w:szCs w:val="24"/>
        </w:rPr>
        <w:t>se are described in academic writing as follows:</w:t>
      </w:r>
    </w:p>
    <w:p w:rsidR="007343BC" w:rsidRPr="00D848E3" w:rsidRDefault="007343BC" w:rsidP="007A497D">
      <w:pPr>
        <w:spacing w:line="360" w:lineRule="auto"/>
        <w:ind w:left="720"/>
        <w:jc w:val="both"/>
        <w:rPr>
          <w:rFonts w:ascii="Arial" w:hAnsi="Arial" w:cs="Arial"/>
          <w:sz w:val="20"/>
          <w:szCs w:val="20"/>
        </w:rPr>
      </w:pPr>
      <w:r w:rsidRPr="00D848E3">
        <w:rPr>
          <w:rFonts w:ascii="Arial" w:hAnsi="Arial" w:cs="Arial"/>
          <w:sz w:val="20"/>
          <w:szCs w:val="20"/>
        </w:rPr>
        <w:t>‘‘</w:t>
      </w:r>
      <w:r w:rsidR="00053243" w:rsidRPr="00D848E3">
        <w:rPr>
          <w:rFonts w:ascii="Arial" w:hAnsi="Arial" w:cs="Arial"/>
          <w:sz w:val="20"/>
          <w:szCs w:val="20"/>
        </w:rPr>
        <w:t xml:space="preserve">Contingencies include any possible relevant future event </w:t>
      </w:r>
      <w:r w:rsidR="00E03A20" w:rsidRPr="00D848E3">
        <w:rPr>
          <w:rFonts w:ascii="Arial" w:hAnsi="Arial" w:cs="Arial"/>
          <w:sz w:val="20"/>
          <w:szCs w:val="20"/>
        </w:rPr>
        <w:t xml:space="preserve">which might otherwise have caused </w:t>
      </w:r>
      <w:r w:rsidR="00D36ABD" w:rsidRPr="00D848E3">
        <w:rPr>
          <w:rFonts w:ascii="Arial" w:hAnsi="Arial" w:cs="Arial"/>
          <w:sz w:val="20"/>
          <w:szCs w:val="20"/>
        </w:rPr>
        <w:t>the damage or a part thereof</w:t>
      </w:r>
      <w:r w:rsidR="001A7729" w:rsidRPr="00D848E3">
        <w:rPr>
          <w:rFonts w:ascii="Arial" w:hAnsi="Arial" w:cs="Arial"/>
          <w:sz w:val="20"/>
          <w:szCs w:val="20"/>
        </w:rPr>
        <w:t>, or which may otherwise influence the extent of the plaintiff’s damages.</w:t>
      </w:r>
      <w:r w:rsidR="00606AB7" w:rsidRPr="00D848E3">
        <w:rPr>
          <w:rFonts w:ascii="Arial" w:hAnsi="Arial" w:cs="Arial"/>
          <w:sz w:val="20"/>
          <w:szCs w:val="20"/>
        </w:rPr>
        <w:t xml:space="preserve"> In a wide sense, contingencies are described as “hazards that normally beset</w:t>
      </w:r>
      <w:r w:rsidR="00B368A8" w:rsidRPr="00D848E3">
        <w:rPr>
          <w:rFonts w:ascii="Arial" w:hAnsi="Arial" w:cs="Arial"/>
          <w:sz w:val="20"/>
          <w:szCs w:val="20"/>
        </w:rPr>
        <w:t xml:space="preserve"> the lives and circumstances of ordinary people”.</w:t>
      </w:r>
      <w:r w:rsidR="00C30E30" w:rsidRPr="00D848E3">
        <w:rPr>
          <w:rFonts w:ascii="Arial" w:hAnsi="Arial" w:cs="Arial"/>
          <w:sz w:val="20"/>
          <w:szCs w:val="20"/>
        </w:rPr>
        <w:t xml:space="preserve"> This may, for example, imply that provision is made </w:t>
      </w:r>
      <w:r w:rsidR="008A6647" w:rsidRPr="00D848E3">
        <w:rPr>
          <w:rFonts w:ascii="Arial" w:hAnsi="Arial" w:cs="Arial"/>
          <w:sz w:val="20"/>
          <w:szCs w:val="20"/>
        </w:rPr>
        <w:t>for the fact that the prospective loss which is possible at the time</w:t>
      </w:r>
      <w:r w:rsidR="006C615C" w:rsidRPr="00D848E3">
        <w:rPr>
          <w:rFonts w:ascii="Arial" w:hAnsi="Arial" w:cs="Arial"/>
          <w:sz w:val="20"/>
          <w:szCs w:val="20"/>
        </w:rPr>
        <w:t xml:space="preserve"> of assessment of damage might in any event possibly have occurred independently</w:t>
      </w:r>
      <w:r w:rsidR="003675DF" w:rsidRPr="00D848E3">
        <w:rPr>
          <w:rFonts w:ascii="Arial" w:hAnsi="Arial" w:cs="Arial"/>
          <w:sz w:val="20"/>
          <w:szCs w:val="20"/>
        </w:rPr>
        <w:t xml:space="preserve"> of the delict or the breach of contract in question.’</w:t>
      </w:r>
      <w:r w:rsidR="00D848E3">
        <w:rPr>
          <w:rStyle w:val="FootnoteReference"/>
          <w:rFonts w:ascii="Arial" w:hAnsi="Arial" w:cs="Arial"/>
          <w:sz w:val="20"/>
          <w:szCs w:val="20"/>
        </w:rPr>
        <w:footnoteReference w:id="1"/>
      </w:r>
    </w:p>
    <w:p w:rsidR="003675DF" w:rsidRDefault="003675DF" w:rsidP="007A497D">
      <w:pPr>
        <w:spacing w:line="360" w:lineRule="auto"/>
        <w:jc w:val="both"/>
        <w:rPr>
          <w:rFonts w:ascii="Arial" w:hAnsi="Arial" w:cs="Arial"/>
          <w:sz w:val="24"/>
          <w:szCs w:val="24"/>
        </w:rPr>
      </w:pPr>
    </w:p>
    <w:p w:rsidR="002B0411" w:rsidRDefault="007A497D" w:rsidP="007A497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65296">
        <w:rPr>
          <w:rFonts w:ascii="Arial" w:hAnsi="Arial" w:cs="Arial"/>
          <w:sz w:val="24"/>
          <w:szCs w:val="24"/>
        </w:rPr>
        <w:t xml:space="preserve">The determination of the relevant contingencies to </w:t>
      </w:r>
      <w:r w:rsidR="00D52E07">
        <w:rPr>
          <w:rFonts w:ascii="Arial" w:hAnsi="Arial" w:cs="Arial"/>
          <w:sz w:val="24"/>
          <w:szCs w:val="24"/>
        </w:rPr>
        <w:t xml:space="preserve">take into consideration in any </w:t>
      </w:r>
      <w:r w:rsidR="002B5FAB">
        <w:rPr>
          <w:rFonts w:ascii="Arial" w:hAnsi="Arial" w:cs="Arial"/>
          <w:sz w:val="24"/>
          <w:szCs w:val="24"/>
        </w:rPr>
        <w:t>matter</w:t>
      </w:r>
      <w:r w:rsidR="00D848E3">
        <w:rPr>
          <w:rFonts w:ascii="Arial" w:hAnsi="Arial" w:cs="Arial"/>
          <w:sz w:val="24"/>
          <w:szCs w:val="24"/>
        </w:rPr>
        <w:t xml:space="preserve"> is certainly not an exact science. The court is dealing with</w:t>
      </w:r>
      <w:r w:rsidR="00A00D52">
        <w:rPr>
          <w:rFonts w:ascii="Arial" w:hAnsi="Arial" w:cs="Arial"/>
          <w:sz w:val="24"/>
          <w:szCs w:val="24"/>
        </w:rPr>
        <w:t xml:space="preserve"> future events</w:t>
      </w:r>
      <w:r w:rsidR="008B2418">
        <w:rPr>
          <w:rFonts w:ascii="Arial" w:hAnsi="Arial" w:cs="Arial"/>
          <w:sz w:val="24"/>
          <w:szCs w:val="24"/>
        </w:rPr>
        <w:t xml:space="preserve"> that may have</w:t>
      </w:r>
      <w:r w:rsidR="002048AF">
        <w:rPr>
          <w:rFonts w:ascii="Arial" w:hAnsi="Arial" w:cs="Arial"/>
          <w:sz w:val="24"/>
          <w:szCs w:val="24"/>
        </w:rPr>
        <w:t xml:space="preserve"> either </w:t>
      </w:r>
      <w:r w:rsidR="008B2418">
        <w:rPr>
          <w:rFonts w:ascii="Arial" w:hAnsi="Arial" w:cs="Arial"/>
          <w:sz w:val="24"/>
          <w:szCs w:val="24"/>
        </w:rPr>
        <w:t xml:space="preserve">positive </w:t>
      </w:r>
      <w:r w:rsidR="002048AF">
        <w:rPr>
          <w:rFonts w:ascii="Arial" w:hAnsi="Arial" w:cs="Arial"/>
          <w:sz w:val="24"/>
          <w:szCs w:val="24"/>
        </w:rPr>
        <w:t xml:space="preserve">or </w:t>
      </w:r>
      <w:r w:rsidR="008B2418">
        <w:rPr>
          <w:rFonts w:ascii="Arial" w:hAnsi="Arial" w:cs="Arial"/>
          <w:sz w:val="24"/>
          <w:szCs w:val="24"/>
        </w:rPr>
        <w:t xml:space="preserve">negative implications </w:t>
      </w:r>
      <w:r w:rsidR="002048AF">
        <w:rPr>
          <w:rFonts w:ascii="Arial" w:hAnsi="Arial" w:cs="Arial"/>
          <w:sz w:val="24"/>
          <w:szCs w:val="24"/>
        </w:rPr>
        <w:t xml:space="preserve">(or both) </w:t>
      </w:r>
      <w:r w:rsidR="008B2418">
        <w:rPr>
          <w:rFonts w:ascii="Arial" w:hAnsi="Arial" w:cs="Arial"/>
          <w:sz w:val="24"/>
          <w:szCs w:val="24"/>
        </w:rPr>
        <w:t xml:space="preserve">for </w:t>
      </w:r>
      <w:r w:rsidR="002048AF">
        <w:rPr>
          <w:rFonts w:ascii="Arial" w:hAnsi="Arial" w:cs="Arial"/>
          <w:sz w:val="24"/>
          <w:szCs w:val="24"/>
        </w:rPr>
        <w:t>the claimant</w:t>
      </w:r>
      <w:r w:rsidR="007E3F6C">
        <w:rPr>
          <w:rFonts w:ascii="Arial" w:hAnsi="Arial" w:cs="Arial"/>
          <w:sz w:val="24"/>
          <w:szCs w:val="24"/>
        </w:rPr>
        <w:t>.</w:t>
      </w:r>
      <w:r w:rsidR="006813CD">
        <w:rPr>
          <w:rStyle w:val="FootnoteReference"/>
          <w:rFonts w:ascii="Arial" w:hAnsi="Arial" w:cs="Arial"/>
          <w:sz w:val="24"/>
          <w:szCs w:val="24"/>
        </w:rPr>
        <w:footnoteReference w:id="2"/>
      </w:r>
      <w:r w:rsidR="007E3F6C">
        <w:rPr>
          <w:rFonts w:ascii="Arial" w:hAnsi="Arial" w:cs="Arial"/>
          <w:sz w:val="24"/>
          <w:szCs w:val="24"/>
        </w:rPr>
        <w:t xml:space="preserve"> </w:t>
      </w:r>
      <w:r w:rsidR="00E0058C">
        <w:rPr>
          <w:rFonts w:ascii="Arial" w:hAnsi="Arial" w:cs="Arial"/>
          <w:sz w:val="24"/>
          <w:szCs w:val="24"/>
        </w:rPr>
        <w:t xml:space="preserve">Whereas a likely trajectory </w:t>
      </w:r>
      <w:r w:rsidR="00E92252">
        <w:rPr>
          <w:rFonts w:ascii="Arial" w:hAnsi="Arial" w:cs="Arial"/>
          <w:sz w:val="24"/>
          <w:szCs w:val="24"/>
        </w:rPr>
        <w:t xml:space="preserve">for the </w:t>
      </w:r>
      <w:r w:rsidR="00BA38B1">
        <w:rPr>
          <w:rFonts w:ascii="Arial" w:hAnsi="Arial" w:cs="Arial"/>
          <w:sz w:val="24"/>
          <w:szCs w:val="24"/>
        </w:rPr>
        <w:t xml:space="preserve">different stages of life </w:t>
      </w:r>
      <w:r w:rsidR="00E0058C">
        <w:rPr>
          <w:rFonts w:ascii="Arial" w:hAnsi="Arial" w:cs="Arial"/>
          <w:sz w:val="24"/>
          <w:szCs w:val="24"/>
        </w:rPr>
        <w:t>can be</w:t>
      </w:r>
      <w:r w:rsidR="00BA38B1">
        <w:rPr>
          <w:rFonts w:ascii="Arial" w:hAnsi="Arial" w:cs="Arial"/>
          <w:sz w:val="24"/>
          <w:szCs w:val="24"/>
        </w:rPr>
        <w:t xml:space="preserve"> postulated, having regard for the </w:t>
      </w:r>
      <w:r w:rsidR="00857855">
        <w:rPr>
          <w:rFonts w:ascii="Arial" w:hAnsi="Arial" w:cs="Arial"/>
          <w:sz w:val="24"/>
          <w:szCs w:val="24"/>
        </w:rPr>
        <w:t xml:space="preserve">general </w:t>
      </w:r>
      <w:r w:rsidR="00BA38B1">
        <w:rPr>
          <w:rFonts w:ascii="Arial" w:hAnsi="Arial" w:cs="Arial"/>
          <w:sz w:val="24"/>
          <w:szCs w:val="24"/>
        </w:rPr>
        <w:t xml:space="preserve">socio-economic circumstances </w:t>
      </w:r>
      <w:r w:rsidR="00857855">
        <w:rPr>
          <w:rFonts w:ascii="Arial" w:hAnsi="Arial" w:cs="Arial"/>
          <w:sz w:val="24"/>
          <w:szCs w:val="24"/>
        </w:rPr>
        <w:t xml:space="preserve">of a claimant, the truth is that </w:t>
      </w:r>
      <w:r w:rsidR="005A6FC7">
        <w:rPr>
          <w:rFonts w:ascii="Arial" w:hAnsi="Arial" w:cs="Arial"/>
          <w:sz w:val="24"/>
          <w:szCs w:val="24"/>
        </w:rPr>
        <w:t xml:space="preserve">each person’s journey is different. </w:t>
      </w:r>
      <w:r w:rsidR="00F5308E">
        <w:rPr>
          <w:rFonts w:ascii="Arial" w:hAnsi="Arial" w:cs="Arial"/>
          <w:sz w:val="24"/>
          <w:szCs w:val="24"/>
        </w:rPr>
        <w:t xml:space="preserve">Consequently, it would seem inevitable that arbitrary considerations </w:t>
      </w:r>
      <w:r w:rsidR="002906B8">
        <w:rPr>
          <w:rFonts w:ascii="Arial" w:hAnsi="Arial" w:cs="Arial"/>
          <w:sz w:val="24"/>
          <w:szCs w:val="24"/>
        </w:rPr>
        <w:t xml:space="preserve">would </w:t>
      </w:r>
      <w:r w:rsidR="001D7824">
        <w:rPr>
          <w:rFonts w:ascii="Arial" w:hAnsi="Arial" w:cs="Arial"/>
          <w:sz w:val="24"/>
          <w:szCs w:val="24"/>
        </w:rPr>
        <w:t>play a part in the determination required</w:t>
      </w:r>
      <w:r w:rsidR="006C0F7C">
        <w:rPr>
          <w:rFonts w:ascii="Arial" w:hAnsi="Arial" w:cs="Arial"/>
          <w:sz w:val="24"/>
          <w:szCs w:val="24"/>
        </w:rPr>
        <w:t>.</w:t>
      </w:r>
      <w:r w:rsidR="007339D5">
        <w:rPr>
          <w:rStyle w:val="FootnoteReference"/>
          <w:rFonts w:ascii="Arial" w:hAnsi="Arial" w:cs="Arial"/>
          <w:sz w:val="24"/>
          <w:szCs w:val="24"/>
        </w:rPr>
        <w:footnoteReference w:id="3"/>
      </w:r>
      <w:r w:rsidR="00025F96">
        <w:rPr>
          <w:rFonts w:ascii="Arial" w:hAnsi="Arial" w:cs="Arial"/>
          <w:sz w:val="24"/>
          <w:szCs w:val="24"/>
        </w:rPr>
        <w:t xml:space="preserve"> </w:t>
      </w:r>
      <w:r w:rsidR="000600BE">
        <w:rPr>
          <w:rFonts w:ascii="Arial" w:hAnsi="Arial" w:cs="Arial"/>
          <w:sz w:val="24"/>
          <w:szCs w:val="24"/>
        </w:rPr>
        <w:t xml:space="preserve">A useful guide, however, remains the actuarial </w:t>
      </w:r>
      <w:r w:rsidR="00B937B9">
        <w:rPr>
          <w:rFonts w:ascii="Arial" w:hAnsi="Arial" w:cs="Arial"/>
          <w:sz w:val="24"/>
          <w:szCs w:val="24"/>
        </w:rPr>
        <w:t>evidence available</w:t>
      </w:r>
      <w:r w:rsidR="004A2F06">
        <w:rPr>
          <w:rFonts w:ascii="Arial" w:hAnsi="Arial" w:cs="Arial"/>
          <w:sz w:val="24"/>
          <w:szCs w:val="24"/>
        </w:rPr>
        <w:t>.</w:t>
      </w:r>
      <w:r w:rsidR="00663594">
        <w:rPr>
          <w:rStyle w:val="FootnoteReference"/>
          <w:rFonts w:ascii="Arial" w:hAnsi="Arial" w:cs="Arial"/>
          <w:sz w:val="24"/>
          <w:szCs w:val="24"/>
        </w:rPr>
        <w:footnoteReference w:id="4"/>
      </w:r>
    </w:p>
    <w:p w:rsidR="007A497D" w:rsidRDefault="007A497D" w:rsidP="007A497D">
      <w:pPr>
        <w:spacing w:line="360" w:lineRule="auto"/>
        <w:jc w:val="both"/>
        <w:rPr>
          <w:rFonts w:ascii="Arial" w:hAnsi="Arial" w:cs="Arial"/>
          <w:sz w:val="24"/>
          <w:szCs w:val="24"/>
        </w:rPr>
      </w:pPr>
    </w:p>
    <w:p w:rsidR="007A497D" w:rsidRDefault="007A497D" w:rsidP="007A497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922DE">
        <w:rPr>
          <w:rFonts w:ascii="Arial" w:hAnsi="Arial" w:cs="Arial"/>
          <w:sz w:val="24"/>
          <w:szCs w:val="24"/>
        </w:rPr>
        <w:t xml:space="preserve">In the present matter, the </w:t>
      </w:r>
      <w:r w:rsidR="002548CB">
        <w:rPr>
          <w:rFonts w:ascii="Arial" w:hAnsi="Arial" w:cs="Arial"/>
          <w:sz w:val="24"/>
          <w:szCs w:val="24"/>
        </w:rPr>
        <w:t xml:space="preserve">actuarial report </w:t>
      </w:r>
      <w:r w:rsidR="00764620">
        <w:rPr>
          <w:rFonts w:ascii="Arial" w:hAnsi="Arial" w:cs="Arial"/>
          <w:sz w:val="24"/>
          <w:szCs w:val="24"/>
        </w:rPr>
        <w:t>relies</w:t>
      </w:r>
      <w:r w:rsidR="003B3D16">
        <w:rPr>
          <w:rFonts w:ascii="Arial" w:hAnsi="Arial" w:cs="Arial"/>
          <w:sz w:val="24"/>
          <w:szCs w:val="24"/>
        </w:rPr>
        <w:t xml:space="preserve"> considerably</w:t>
      </w:r>
      <w:r w:rsidR="004D2827">
        <w:rPr>
          <w:rFonts w:ascii="Arial" w:hAnsi="Arial" w:cs="Arial"/>
          <w:sz w:val="24"/>
          <w:szCs w:val="24"/>
        </w:rPr>
        <w:t xml:space="preserve"> o</w:t>
      </w:r>
      <w:r w:rsidR="00764620">
        <w:rPr>
          <w:rFonts w:ascii="Arial" w:hAnsi="Arial" w:cs="Arial"/>
          <w:sz w:val="24"/>
          <w:szCs w:val="24"/>
        </w:rPr>
        <w:t>n</w:t>
      </w:r>
      <w:r w:rsidR="004D2827">
        <w:rPr>
          <w:rFonts w:ascii="Arial" w:hAnsi="Arial" w:cs="Arial"/>
          <w:sz w:val="24"/>
          <w:szCs w:val="24"/>
        </w:rPr>
        <w:t xml:space="preserve"> </w:t>
      </w:r>
      <w:r w:rsidR="00F84FB5">
        <w:rPr>
          <w:rFonts w:ascii="Arial" w:hAnsi="Arial" w:cs="Arial"/>
          <w:sz w:val="24"/>
          <w:szCs w:val="24"/>
        </w:rPr>
        <w:t xml:space="preserve">Mr </w:t>
      </w:r>
      <w:proofErr w:type="spellStart"/>
      <w:r w:rsidR="00F84FB5">
        <w:rPr>
          <w:rFonts w:ascii="Arial" w:hAnsi="Arial" w:cs="Arial"/>
          <w:sz w:val="24"/>
          <w:szCs w:val="24"/>
        </w:rPr>
        <w:t>Kalanko’s</w:t>
      </w:r>
      <w:proofErr w:type="spellEnd"/>
      <w:r w:rsidR="00F84FB5">
        <w:rPr>
          <w:rFonts w:ascii="Arial" w:hAnsi="Arial" w:cs="Arial"/>
          <w:sz w:val="24"/>
          <w:szCs w:val="24"/>
        </w:rPr>
        <w:t xml:space="preserve"> </w:t>
      </w:r>
      <w:r w:rsidR="004D2827">
        <w:rPr>
          <w:rFonts w:ascii="Arial" w:hAnsi="Arial" w:cs="Arial"/>
          <w:sz w:val="24"/>
          <w:szCs w:val="24"/>
        </w:rPr>
        <w:t>medic</w:t>
      </w:r>
      <w:r w:rsidR="00B33C60">
        <w:rPr>
          <w:rFonts w:ascii="Arial" w:hAnsi="Arial" w:cs="Arial"/>
          <w:sz w:val="24"/>
          <w:szCs w:val="24"/>
        </w:rPr>
        <w:t>o-legal</w:t>
      </w:r>
      <w:r w:rsidR="004D2827">
        <w:rPr>
          <w:rFonts w:ascii="Arial" w:hAnsi="Arial" w:cs="Arial"/>
          <w:sz w:val="24"/>
          <w:szCs w:val="24"/>
        </w:rPr>
        <w:t xml:space="preserve"> report</w:t>
      </w:r>
      <w:r w:rsidR="003B3D16">
        <w:rPr>
          <w:rFonts w:ascii="Arial" w:hAnsi="Arial" w:cs="Arial"/>
          <w:sz w:val="24"/>
          <w:szCs w:val="24"/>
        </w:rPr>
        <w:t xml:space="preserve">, which </w:t>
      </w:r>
      <w:r w:rsidR="006206F5">
        <w:rPr>
          <w:rFonts w:ascii="Arial" w:hAnsi="Arial" w:cs="Arial"/>
          <w:sz w:val="24"/>
          <w:szCs w:val="24"/>
        </w:rPr>
        <w:t xml:space="preserve">sets out </w:t>
      </w:r>
      <w:r w:rsidR="00B33C60">
        <w:rPr>
          <w:rFonts w:ascii="Arial" w:hAnsi="Arial" w:cs="Arial"/>
          <w:sz w:val="24"/>
          <w:szCs w:val="24"/>
        </w:rPr>
        <w:t xml:space="preserve">employment scenarios upon which </w:t>
      </w:r>
      <w:r w:rsidR="00377153">
        <w:rPr>
          <w:rFonts w:ascii="Arial" w:hAnsi="Arial" w:cs="Arial"/>
          <w:sz w:val="24"/>
          <w:szCs w:val="24"/>
        </w:rPr>
        <w:t>pre- and post-morbid income levels were calculated.</w:t>
      </w:r>
      <w:r w:rsidR="00407B94">
        <w:rPr>
          <w:rFonts w:ascii="Arial" w:hAnsi="Arial" w:cs="Arial"/>
          <w:sz w:val="24"/>
          <w:szCs w:val="24"/>
        </w:rPr>
        <w:t xml:space="preserve"> </w:t>
      </w:r>
      <w:r w:rsidR="000E006B">
        <w:rPr>
          <w:rFonts w:ascii="Arial" w:hAnsi="Arial" w:cs="Arial"/>
          <w:sz w:val="24"/>
          <w:szCs w:val="24"/>
        </w:rPr>
        <w:t>The key assumption</w:t>
      </w:r>
      <w:r w:rsidR="00494056">
        <w:rPr>
          <w:rFonts w:ascii="Arial" w:hAnsi="Arial" w:cs="Arial"/>
          <w:sz w:val="24"/>
          <w:szCs w:val="24"/>
        </w:rPr>
        <w:t>s</w:t>
      </w:r>
      <w:r w:rsidR="000E006B">
        <w:rPr>
          <w:rFonts w:ascii="Arial" w:hAnsi="Arial" w:cs="Arial"/>
          <w:sz w:val="24"/>
          <w:szCs w:val="24"/>
        </w:rPr>
        <w:t xml:space="preserve"> used in the actuarial report </w:t>
      </w:r>
      <w:r w:rsidR="00494056">
        <w:rPr>
          <w:rFonts w:ascii="Arial" w:hAnsi="Arial" w:cs="Arial"/>
          <w:sz w:val="24"/>
          <w:szCs w:val="24"/>
        </w:rPr>
        <w:t>are: (a)</w:t>
      </w:r>
      <w:r w:rsidR="000E006B">
        <w:rPr>
          <w:rFonts w:ascii="Arial" w:hAnsi="Arial" w:cs="Arial"/>
          <w:sz w:val="24"/>
          <w:szCs w:val="24"/>
        </w:rPr>
        <w:t xml:space="preserve"> </w:t>
      </w:r>
      <w:r w:rsidR="005C7D61">
        <w:rPr>
          <w:rFonts w:ascii="Arial" w:hAnsi="Arial" w:cs="Arial"/>
          <w:sz w:val="24"/>
          <w:szCs w:val="24"/>
        </w:rPr>
        <w:t xml:space="preserve">that </w:t>
      </w:r>
      <w:r w:rsidR="000E006B">
        <w:rPr>
          <w:rFonts w:ascii="Arial" w:hAnsi="Arial" w:cs="Arial"/>
          <w:sz w:val="24"/>
          <w:szCs w:val="24"/>
        </w:rPr>
        <w:t xml:space="preserve">MA would </w:t>
      </w:r>
      <w:r w:rsidR="005577D4">
        <w:rPr>
          <w:rFonts w:ascii="Arial" w:hAnsi="Arial" w:cs="Arial"/>
          <w:sz w:val="24"/>
          <w:szCs w:val="24"/>
        </w:rPr>
        <w:t xml:space="preserve">have passed grade 12, </w:t>
      </w:r>
      <w:r w:rsidR="00E8627B">
        <w:rPr>
          <w:rFonts w:ascii="Arial" w:hAnsi="Arial" w:cs="Arial"/>
          <w:sz w:val="24"/>
          <w:szCs w:val="24"/>
        </w:rPr>
        <w:t>obtained a tertiary degree</w:t>
      </w:r>
      <w:r w:rsidR="00285299">
        <w:rPr>
          <w:rFonts w:ascii="Arial" w:hAnsi="Arial" w:cs="Arial"/>
          <w:sz w:val="24"/>
          <w:szCs w:val="24"/>
        </w:rPr>
        <w:t xml:space="preserve">, and eventually advanced to </w:t>
      </w:r>
      <w:r w:rsidR="00095403">
        <w:rPr>
          <w:rFonts w:ascii="Arial" w:hAnsi="Arial" w:cs="Arial"/>
          <w:sz w:val="24"/>
          <w:szCs w:val="24"/>
        </w:rPr>
        <w:t>a middle management position</w:t>
      </w:r>
      <w:r w:rsidR="00494056">
        <w:rPr>
          <w:rFonts w:ascii="Arial" w:hAnsi="Arial" w:cs="Arial"/>
          <w:sz w:val="24"/>
          <w:szCs w:val="24"/>
        </w:rPr>
        <w:t xml:space="preserve"> in the corporate sector</w:t>
      </w:r>
      <w:r w:rsidR="005C7D61">
        <w:rPr>
          <w:rFonts w:ascii="Arial" w:hAnsi="Arial" w:cs="Arial"/>
          <w:sz w:val="24"/>
          <w:szCs w:val="24"/>
        </w:rPr>
        <w:t>, but for the accident</w:t>
      </w:r>
      <w:r w:rsidR="00327135">
        <w:rPr>
          <w:rFonts w:ascii="Arial" w:hAnsi="Arial" w:cs="Arial"/>
          <w:sz w:val="24"/>
          <w:szCs w:val="24"/>
        </w:rPr>
        <w:t>;</w:t>
      </w:r>
      <w:r w:rsidR="005C7D61">
        <w:rPr>
          <w:rFonts w:ascii="Arial" w:hAnsi="Arial" w:cs="Arial"/>
          <w:sz w:val="24"/>
          <w:szCs w:val="24"/>
        </w:rPr>
        <w:t xml:space="preserve"> </w:t>
      </w:r>
      <w:r w:rsidR="00845D8B">
        <w:rPr>
          <w:rStyle w:val="FootnoteReference"/>
          <w:rFonts w:ascii="Arial" w:hAnsi="Arial" w:cs="Arial"/>
          <w:sz w:val="24"/>
          <w:szCs w:val="24"/>
        </w:rPr>
        <w:lastRenderedPageBreak/>
        <w:footnoteReference w:id="5"/>
      </w:r>
      <w:r w:rsidR="00845D8B">
        <w:rPr>
          <w:rFonts w:ascii="Arial" w:hAnsi="Arial" w:cs="Arial"/>
          <w:sz w:val="24"/>
          <w:szCs w:val="24"/>
        </w:rPr>
        <w:t xml:space="preserve"> and (b)</w:t>
      </w:r>
      <w:r w:rsidR="00494056">
        <w:rPr>
          <w:rFonts w:ascii="Arial" w:hAnsi="Arial" w:cs="Arial"/>
          <w:sz w:val="24"/>
          <w:szCs w:val="24"/>
        </w:rPr>
        <w:t xml:space="preserve"> </w:t>
      </w:r>
      <w:r w:rsidR="005C7D61">
        <w:rPr>
          <w:rFonts w:ascii="Arial" w:hAnsi="Arial" w:cs="Arial"/>
          <w:sz w:val="24"/>
          <w:szCs w:val="24"/>
        </w:rPr>
        <w:t>that</w:t>
      </w:r>
      <w:r w:rsidR="00327135">
        <w:rPr>
          <w:rFonts w:ascii="Arial" w:hAnsi="Arial" w:cs="Arial"/>
          <w:sz w:val="24"/>
          <w:szCs w:val="24"/>
        </w:rPr>
        <w:t>, as a result of the accident,</w:t>
      </w:r>
      <w:r w:rsidR="005C7D61">
        <w:rPr>
          <w:rFonts w:ascii="Arial" w:hAnsi="Arial" w:cs="Arial"/>
          <w:sz w:val="24"/>
          <w:szCs w:val="24"/>
        </w:rPr>
        <w:t xml:space="preserve"> </w:t>
      </w:r>
      <w:r w:rsidR="001801B6">
        <w:rPr>
          <w:rFonts w:ascii="Arial" w:hAnsi="Arial" w:cs="Arial"/>
          <w:sz w:val="24"/>
          <w:szCs w:val="24"/>
        </w:rPr>
        <w:t>MA</w:t>
      </w:r>
      <w:r w:rsidR="005577D4">
        <w:rPr>
          <w:rFonts w:ascii="Arial" w:hAnsi="Arial" w:cs="Arial"/>
          <w:sz w:val="24"/>
          <w:szCs w:val="24"/>
        </w:rPr>
        <w:t xml:space="preserve"> </w:t>
      </w:r>
      <w:r w:rsidR="00391174">
        <w:rPr>
          <w:rFonts w:ascii="Arial" w:hAnsi="Arial" w:cs="Arial"/>
          <w:sz w:val="24"/>
          <w:szCs w:val="24"/>
        </w:rPr>
        <w:t>will not earn any income at all.</w:t>
      </w:r>
      <w:r w:rsidR="00FF125B">
        <w:rPr>
          <w:rFonts w:ascii="Arial" w:hAnsi="Arial" w:cs="Arial"/>
          <w:sz w:val="24"/>
          <w:szCs w:val="24"/>
        </w:rPr>
        <w:t xml:space="preserve"> </w:t>
      </w:r>
      <w:r w:rsidR="00C254AD">
        <w:rPr>
          <w:rFonts w:ascii="Arial" w:hAnsi="Arial" w:cs="Arial"/>
          <w:sz w:val="24"/>
          <w:szCs w:val="24"/>
        </w:rPr>
        <w:t>The a</w:t>
      </w:r>
      <w:r w:rsidR="003F1470">
        <w:rPr>
          <w:rFonts w:ascii="Arial" w:hAnsi="Arial" w:cs="Arial"/>
          <w:sz w:val="24"/>
          <w:szCs w:val="24"/>
        </w:rPr>
        <w:t>ctuarial report</w:t>
      </w:r>
      <w:r w:rsidR="00C254AD">
        <w:rPr>
          <w:rFonts w:ascii="Arial" w:hAnsi="Arial" w:cs="Arial"/>
          <w:sz w:val="24"/>
          <w:szCs w:val="24"/>
        </w:rPr>
        <w:t>, as pointed out by senior</w:t>
      </w:r>
      <w:r w:rsidR="00774AE5">
        <w:rPr>
          <w:rFonts w:ascii="Arial" w:hAnsi="Arial" w:cs="Arial"/>
          <w:sz w:val="24"/>
          <w:szCs w:val="24"/>
        </w:rPr>
        <w:t xml:space="preserve"> counsel for the plaintiff, </w:t>
      </w:r>
      <w:r w:rsidR="00A96770">
        <w:rPr>
          <w:rFonts w:ascii="Arial" w:hAnsi="Arial" w:cs="Arial"/>
          <w:sz w:val="24"/>
          <w:szCs w:val="24"/>
        </w:rPr>
        <w:t>is based on a ‘best case’ scenario.</w:t>
      </w:r>
    </w:p>
    <w:p w:rsidR="00FF125B" w:rsidRDefault="00A96770" w:rsidP="007A497D">
      <w:pPr>
        <w:spacing w:line="360" w:lineRule="auto"/>
        <w:jc w:val="both"/>
        <w:rPr>
          <w:rFonts w:ascii="Arial" w:hAnsi="Arial" w:cs="Arial"/>
          <w:sz w:val="24"/>
          <w:szCs w:val="24"/>
        </w:rPr>
      </w:pPr>
      <w:r>
        <w:rPr>
          <w:rFonts w:ascii="Arial" w:hAnsi="Arial" w:cs="Arial"/>
          <w:sz w:val="24"/>
          <w:szCs w:val="24"/>
        </w:rPr>
        <w:t xml:space="preserve"> </w:t>
      </w:r>
    </w:p>
    <w:p w:rsidR="00C85555" w:rsidRDefault="007A497D" w:rsidP="007A497D">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B5D22">
        <w:rPr>
          <w:rFonts w:ascii="Arial" w:hAnsi="Arial" w:cs="Arial"/>
          <w:sz w:val="24"/>
          <w:szCs w:val="24"/>
        </w:rPr>
        <w:t xml:space="preserve">In </w:t>
      </w:r>
      <w:r w:rsidR="00AD2F39">
        <w:rPr>
          <w:rFonts w:ascii="Arial" w:hAnsi="Arial" w:cs="Arial"/>
          <w:sz w:val="24"/>
          <w:szCs w:val="24"/>
        </w:rPr>
        <w:t>his</w:t>
      </w:r>
      <w:r w:rsidR="000B5D22">
        <w:rPr>
          <w:rFonts w:ascii="Arial" w:hAnsi="Arial" w:cs="Arial"/>
          <w:sz w:val="24"/>
          <w:szCs w:val="24"/>
        </w:rPr>
        <w:t xml:space="preserve"> report, </w:t>
      </w:r>
      <w:r w:rsidR="00AD2F39">
        <w:rPr>
          <w:rFonts w:ascii="Arial" w:hAnsi="Arial" w:cs="Arial"/>
          <w:sz w:val="24"/>
          <w:szCs w:val="24"/>
        </w:rPr>
        <w:t xml:space="preserve">Mr </w:t>
      </w:r>
      <w:proofErr w:type="spellStart"/>
      <w:r w:rsidR="00AD2F39">
        <w:rPr>
          <w:rFonts w:ascii="Arial" w:hAnsi="Arial" w:cs="Arial"/>
          <w:sz w:val="24"/>
          <w:szCs w:val="24"/>
        </w:rPr>
        <w:t>Kalanko</w:t>
      </w:r>
      <w:proofErr w:type="spellEnd"/>
      <w:r w:rsidR="00AD2F39">
        <w:rPr>
          <w:rFonts w:ascii="Arial" w:hAnsi="Arial" w:cs="Arial"/>
          <w:sz w:val="24"/>
          <w:szCs w:val="24"/>
        </w:rPr>
        <w:t xml:space="preserve"> </w:t>
      </w:r>
      <w:r w:rsidR="00A3781F">
        <w:rPr>
          <w:rFonts w:ascii="Arial" w:hAnsi="Arial" w:cs="Arial"/>
          <w:sz w:val="24"/>
          <w:szCs w:val="24"/>
        </w:rPr>
        <w:t xml:space="preserve">presents an alternative pre-morbid </w:t>
      </w:r>
      <w:r w:rsidR="00B03AE6">
        <w:rPr>
          <w:rFonts w:ascii="Arial" w:hAnsi="Arial" w:cs="Arial"/>
          <w:sz w:val="24"/>
          <w:szCs w:val="24"/>
        </w:rPr>
        <w:t xml:space="preserve">employment scenario, in terms of which he postulates that MA would have </w:t>
      </w:r>
      <w:r w:rsidR="00021DFD">
        <w:rPr>
          <w:rFonts w:ascii="Arial" w:hAnsi="Arial" w:cs="Arial"/>
          <w:sz w:val="24"/>
          <w:szCs w:val="24"/>
        </w:rPr>
        <w:t>passed grade 12</w:t>
      </w:r>
      <w:r w:rsidR="00800ADB">
        <w:rPr>
          <w:rFonts w:ascii="Arial" w:hAnsi="Arial" w:cs="Arial"/>
          <w:sz w:val="24"/>
          <w:szCs w:val="24"/>
        </w:rPr>
        <w:t xml:space="preserve"> (at best) before </w:t>
      </w:r>
      <w:r w:rsidR="000C35AD">
        <w:rPr>
          <w:rFonts w:ascii="Arial" w:hAnsi="Arial" w:cs="Arial"/>
          <w:sz w:val="24"/>
          <w:szCs w:val="24"/>
        </w:rPr>
        <w:t xml:space="preserve">entering the labour market, </w:t>
      </w:r>
      <w:proofErr w:type="spellStart"/>
      <w:r w:rsidR="000C35AD">
        <w:rPr>
          <w:rFonts w:ascii="Arial" w:hAnsi="Arial" w:cs="Arial"/>
          <w:sz w:val="24"/>
          <w:szCs w:val="24"/>
        </w:rPr>
        <w:t>whereafter</w:t>
      </w:r>
      <w:proofErr w:type="spellEnd"/>
      <w:r w:rsidR="000C35AD">
        <w:rPr>
          <w:rFonts w:ascii="Arial" w:hAnsi="Arial" w:cs="Arial"/>
          <w:sz w:val="24"/>
          <w:szCs w:val="24"/>
        </w:rPr>
        <w:t xml:space="preserve"> he would have </w:t>
      </w:r>
      <w:r w:rsidR="008A69DD">
        <w:rPr>
          <w:rFonts w:ascii="Arial" w:hAnsi="Arial" w:cs="Arial"/>
          <w:sz w:val="24"/>
          <w:szCs w:val="24"/>
        </w:rPr>
        <w:t>become a skilled worker in the corporate sector.</w:t>
      </w:r>
      <w:r w:rsidR="008A69DD">
        <w:rPr>
          <w:rStyle w:val="FootnoteReference"/>
          <w:rFonts w:ascii="Arial" w:hAnsi="Arial" w:cs="Arial"/>
          <w:sz w:val="24"/>
          <w:szCs w:val="24"/>
        </w:rPr>
        <w:footnoteReference w:id="6"/>
      </w:r>
      <w:r w:rsidR="003C56AE">
        <w:rPr>
          <w:rFonts w:ascii="Arial" w:hAnsi="Arial" w:cs="Arial"/>
          <w:sz w:val="24"/>
          <w:szCs w:val="24"/>
        </w:rPr>
        <w:t xml:space="preserve"> From the evidence of </w:t>
      </w:r>
      <w:r w:rsidR="00A158EC">
        <w:rPr>
          <w:rFonts w:ascii="Arial" w:hAnsi="Arial" w:cs="Arial"/>
          <w:sz w:val="24"/>
          <w:szCs w:val="24"/>
        </w:rPr>
        <w:t xml:space="preserve">Ms Maye and Dr </w:t>
      </w:r>
      <w:proofErr w:type="spellStart"/>
      <w:r w:rsidR="00A158EC">
        <w:rPr>
          <w:rFonts w:ascii="Arial" w:hAnsi="Arial" w:cs="Arial"/>
          <w:sz w:val="24"/>
          <w:szCs w:val="24"/>
        </w:rPr>
        <w:t>Swana</w:t>
      </w:r>
      <w:proofErr w:type="spellEnd"/>
      <w:r w:rsidR="00A158EC">
        <w:rPr>
          <w:rFonts w:ascii="Arial" w:hAnsi="Arial" w:cs="Arial"/>
          <w:sz w:val="24"/>
          <w:szCs w:val="24"/>
        </w:rPr>
        <w:t xml:space="preserve">, it is clear that MA </w:t>
      </w:r>
      <w:r w:rsidR="0030616A">
        <w:rPr>
          <w:rFonts w:ascii="Arial" w:hAnsi="Arial" w:cs="Arial"/>
          <w:sz w:val="24"/>
          <w:szCs w:val="24"/>
        </w:rPr>
        <w:t xml:space="preserve">did not come from a high-functioning </w:t>
      </w:r>
      <w:r w:rsidR="00510235">
        <w:rPr>
          <w:rFonts w:ascii="Arial" w:hAnsi="Arial" w:cs="Arial"/>
          <w:sz w:val="24"/>
          <w:szCs w:val="24"/>
        </w:rPr>
        <w:t>background</w:t>
      </w:r>
      <w:r w:rsidR="00BA29FD">
        <w:rPr>
          <w:rFonts w:ascii="Arial" w:hAnsi="Arial" w:cs="Arial"/>
          <w:sz w:val="24"/>
          <w:szCs w:val="24"/>
        </w:rPr>
        <w:t xml:space="preserve">. Of the numerous family members </w:t>
      </w:r>
      <w:r w:rsidR="008F42C6">
        <w:rPr>
          <w:rFonts w:ascii="Arial" w:hAnsi="Arial" w:cs="Arial"/>
          <w:sz w:val="24"/>
          <w:szCs w:val="24"/>
        </w:rPr>
        <w:t xml:space="preserve">mentioned, only an uncle </w:t>
      </w:r>
      <w:r w:rsidR="00905DD0">
        <w:rPr>
          <w:rFonts w:ascii="Arial" w:hAnsi="Arial" w:cs="Arial"/>
          <w:sz w:val="24"/>
          <w:szCs w:val="24"/>
        </w:rPr>
        <w:t xml:space="preserve">has </w:t>
      </w:r>
      <w:r w:rsidR="000B1B56">
        <w:rPr>
          <w:rFonts w:ascii="Arial" w:hAnsi="Arial" w:cs="Arial"/>
          <w:sz w:val="24"/>
          <w:szCs w:val="24"/>
        </w:rPr>
        <w:t>reached grade</w:t>
      </w:r>
      <w:r w:rsidR="00905DD0">
        <w:rPr>
          <w:rFonts w:ascii="Arial" w:hAnsi="Arial" w:cs="Arial"/>
          <w:sz w:val="24"/>
          <w:szCs w:val="24"/>
        </w:rPr>
        <w:t xml:space="preserve"> 12 and found employment. Furthermore, it is clear </w:t>
      </w:r>
      <w:r w:rsidR="00510235">
        <w:rPr>
          <w:rFonts w:ascii="Arial" w:hAnsi="Arial" w:cs="Arial"/>
          <w:sz w:val="24"/>
          <w:szCs w:val="24"/>
        </w:rPr>
        <w:t xml:space="preserve">that </w:t>
      </w:r>
      <w:r w:rsidR="008E610D">
        <w:rPr>
          <w:rFonts w:ascii="Arial" w:hAnsi="Arial" w:cs="Arial"/>
          <w:sz w:val="24"/>
          <w:szCs w:val="24"/>
        </w:rPr>
        <w:t>MA</w:t>
      </w:r>
      <w:r w:rsidR="00510235">
        <w:rPr>
          <w:rFonts w:ascii="Arial" w:hAnsi="Arial" w:cs="Arial"/>
          <w:sz w:val="24"/>
          <w:szCs w:val="24"/>
        </w:rPr>
        <w:t xml:space="preserve"> </w:t>
      </w:r>
      <w:r w:rsidR="00A158EC">
        <w:rPr>
          <w:rFonts w:ascii="Arial" w:hAnsi="Arial" w:cs="Arial"/>
          <w:sz w:val="24"/>
          <w:szCs w:val="24"/>
        </w:rPr>
        <w:t>has suffered a brain impairment and that his learning abilities have been compromised.</w:t>
      </w:r>
      <w:r w:rsidR="003D2C06">
        <w:rPr>
          <w:rFonts w:ascii="Arial" w:hAnsi="Arial" w:cs="Arial"/>
          <w:sz w:val="24"/>
          <w:szCs w:val="24"/>
        </w:rPr>
        <w:t xml:space="preserve"> It is also </w:t>
      </w:r>
      <w:r w:rsidR="008E610D">
        <w:rPr>
          <w:rFonts w:ascii="Arial" w:hAnsi="Arial" w:cs="Arial"/>
          <w:sz w:val="24"/>
          <w:szCs w:val="24"/>
        </w:rPr>
        <w:t>clear</w:t>
      </w:r>
      <w:r w:rsidR="003D2C06">
        <w:rPr>
          <w:rFonts w:ascii="Arial" w:hAnsi="Arial" w:cs="Arial"/>
          <w:sz w:val="24"/>
          <w:szCs w:val="24"/>
        </w:rPr>
        <w:t xml:space="preserve">, from the evidence of </w:t>
      </w:r>
      <w:r w:rsidR="008C12CB">
        <w:rPr>
          <w:rFonts w:ascii="Arial" w:hAnsi="Arial" w:cs="Arial"/>
          <w:sz w:val="24"/>
          <w:szCs w:val="24"/>
        </w:rPr>
        <w:t xml:space="preserve">Ms </w:t>
      </w:r>
      <w:proofErr w:type="spellStart"/>
      <w:r w:rsidR="008C12CB">
        <w:rPr>
          <w:rFonts w:ascii="Arial" w:hAnsi="Arial" w:cs="Arial"/>
          <w:sz w:val="24"/>
          <w:szCs w:val="24"/>
        </w:rPr>
        <w:t>Makagwe</w:t>
      </w:r>
      <w:proofErr w:type="spellEnd"/>
      <w:r w:rsidR="008C12CB">
        <w:rPr>
          <w:rFonts w:ascii="Arial" w:hAnsi="Arial" w:cs="Arial"/>
          <w:sz w:val="24"/>
          <w:szCs w:val="24"/>
        </w:rPr>
        <w:t>, that</w:t>
      </w:r>
      <w:r w:rsidR="008C12CB" w:rsidRPr="008C12CB">
        <w:rPr>
          <w:rFonts w:ascii="Arial" w:hAnsi="Arial" w:cs="Arial"/>
          <w:sz w:val="24"/>
          <w:szCs w:val="24"/>
        </w:rPr>
        <w:t xml:space="preserve"> </w:t>
      </w:r>
      <w:r w:rsidR="006214D1">
        <w:rPr>
          <w:rFonts w:ascii="Arial" w:hAnsi="Arial" w:cs="Arial"/>
          <w:sz w:val="24"/>
          <w:szCs w:val="24"/>
        </w:rPr>
        <w:t xml:space="preserve">his </w:t>
      </w:r>
      <w:r w:rsidR="008C12CB" w:rsidRPr="008C12CB">
        <w:rPr>
          <w:rFonts w:ascii="Arial" w:hAnsi="Arial" w:cs="Arial"/>
          <w:sz w:val="24"/>
          <w:szCs w:val="24"/>
        </w:rPr>
        <w:t xml:space="preserve">future learning </w:t>
      </w:r>
      <w:r w:rsidR="006214D1">
        <w:rPr>
          <w:rFonts w:ascii="Arial" w:hAnsi="Arial" w:cs="Arial"/>
          <w:sz w:val="24"/>
          <w:szCs w:val="24"/>
        </w:rPr>
        <w:t>abilities</w:t>
      </w:r>
      <w:r w:rsidR="008C12CB" w:rsidRPr="008C12CB">
        <w:rPr>
          <w:rFonts w:ascii="Arial" w:hAnsi="Arial" w:cs="Arial"/>
          <w:sz w:val="24"/>
          <w:szCs w:val="24"/>
        </w:rPr>
        <w:t xml:space="preserve"> and the </w:t>
      </w:r>
      <w:r w:rsidR="006214D1">
        <w:rPr>
          <w:rFonts w:ascii="Arial" w:hAnsi="Arial" w:cs="Arial"/>
          <w:sz w:val="24"/>
          <w:szCs w:val="24"/>
        </w:rPr>
        <w:t xml:space="preserve">chances </w:t>
      </w:r>
      <w:r w:rsidR="008C12CB" w:rsidRPr="008C12CB">
        <w:rPr>
          <w:rFonts w:ascii="Arial" w:hAnsi="Arial" w:cs="Arial"/>
          <w:sz w:val="24"/>
          <w:szCs w:val="24"/>
        </w:rPr>
        <w:t>of his entering the labour market remain uncertain</w:t>
      </w:r>
      <w:r w:rsidR="00510235">
        <w:rPr>
          <w:rFonts w:ascii="Arial" w:hAnsi="Arial" w:cs="Arial"/>
          <w:sz w:val="24"/>
          <w:szCs w:val="24"/>
        </w:rPr>
        <w:t xml:space="preserve">. </w:t>
      </w:r>
      <w:r w:rsidR="00A77E57">
        <w:rPr>
          <w:rFonts w:ascii="Arial" w:hAnsi="Arial" w:cs="Arial"/>
          <w:sz w:val="24"/>
          <w:szCs w:val="24"/>
        </w:rPr>
        <w:t xml:space="preserve">It would seem reasonable to </w:t>
      </w:r>
      <w:r w:rsidR="00E40C49">
        <w:rPr>
          <w:rFonts w:ascii="Arial" w:hAnsi="Arial" w:cs="Arial"/>
          <w:sz w:val="24"/>
          <w:szCs w:val="24"/>
        </w:rPr>
        <w:t xml:space="preserve">find that the ‘best case’ scenario </w:t>
      </w:r>
      <w:r w:rsidR="009B645C">
        <w:rPr>
          <w:rFonts w:ascii="Arial" w:hAnsi="Arial" w:cs="Arial"/>
          <w:sz w:val="24"/>
          <w:szCs w:val="24"/>
        </w:rPr>
        <w:t>that informs</w:t>
      </w:r>
      <w:r w:rsidR="00E40C49">
        <w:rPr>
          <w:rFonts w:ascii="Arial" w:hAnsi="Arial" w:cs="Arial"/>
          <w:sz w:val="24"/>
          <w:szCs w:val="24"/>
        </w:rPr>
        <w:t xml:space="preserve"> the actuarial report</w:t>
      </w:r>
      <w:r w:rsidR="008E610D">
        <w:rPr>
          <w:rFonts w:ascii="Arial" w:hAnsi="Arial" w:cs="Arial"/>
          <w:sz w:val="24"/>
          <w:szCs w:val="24"/>
        </w:rPr>
        <w:t xml:space="preserve"> is unrealistic</w:t>
      </w:r>
      <w:r w:rsidR="007272FE">
        <w:rPr>
          <w:rFonts w:ascii="Arial" w:hAnsi="Arial" w:cs="Arial"/>
          <w:sz w:val="24"/>
          <w:szCs w:val="24"/>
        </w:rPr>
        <w:t>. I</w:t>
      </w:r>
      <w:r w:rsidR="00C86412">
        <w:rPr>
          <w:rFonts w:ascii="Arial" w:hAnsi="Arial" w:cs="Arial"/>
          <w:sz w:val="24"/>
          <w:szCs w:val="24"/>
        </w:rPr>
        <w:t xml:space="preserve">t appears that </w:t>
      </w:r>
      <w:r w:rsidR="008B38BA">
        <w:rPr>
          <w:rFonts w:ascii="Arial" w:hAnsi="Arial" w:cs="Arial"/>
          <w:sz w:val="24"/>
          <w:szCs w:val="24"/>
        </w:rPr>
        <w:t>both key</w:t>
      </w:r>
      <w:r w:rsidR="009B645C">
        <w:rPr>
          <w:rFonts w:ascii="Arial" w:hAnsi="Arial" w:cs="Arial"/>
          <w:sz w:val="24"/>
          <w:szCs w:val="24"/>
        </w:rPr>
        <w:t xml:space="preserve"> </w:t>
      </w:r>
      <w:r w:rsidR="00C86412">
        <w:rPr>
          <w:rFonts w:ascii="Arial" w:hAnsi="Arial" w:cs="Arial"/>
          <w:sz w:val="24"/>
          <w:szCs w:val="24"/>
        </w:rPr>
        <w:t xml:space="preserve">assumptions </w:t>
      </w:r>
      <w:r w:rsidR="00FD6A68">
        <w:rPr>
          <w:rFonts w:ascii="Arial" w:hAnsi="Arial" w:cs="Arial"/>
          <w:sz w:val="24"/>
          <w:szCs w:val="24"/>
        </w:rPr>
        <w:t xml:space="preserve">can be </w:t>
      </w:r>
      <w:r w:rsidR="00B86E32">
        <w:rPr>
          <w:rFonts w:ascii="Arial" w:hAnsi="Arial" w:cs="Arial"/>
          <w:sz w:val="24"/>
          <w:szCs w:val="24"/>
        </w:rPr>
        <w:t>criticis</w:t>
      </w:r>
      <w:r w:rsidR="00FD6A68">
        <w:rPr>
          <w:rFonts w:ascii="Arial" w:hAnsi="Arial" w:cs="Arial"/>
          <w:sz w:val="24"/>
          <w:szCs w:val="24"/>
        </w:rPr>
        <w:t>ed</w:t>
      </w:r>
      <w:r w:rsidR="00B86E32">
        <w:rPr>
          <w:rFonts w:ascii="Arial" w:hAnsi="Arial" w:cs="Arial"/>
          <w:sz w:val="24"/>
          <w:szCs w:val="24"/>
        </w:rPr>
        <w:t xml:space="preserve">. Firstly, it </w:t>
      </w:r>
      <w:r w:rsidR="005B4FCC">
        <w:rPr>
          <w:rFonts w:ascii="Arial" w:hAnsi="Arial" w:cs="Arial"/>
          <w:sz w:val="24"/>
          <w:szCs w:val="24"/>
        </w:rPr>
        <w:t xml:space="preserve">is unlikely, from the evidence of the witnesses, that MA would have </w:t>
      </w:r>
      <w:r w:rsidR="007272FE">
        <w:rPr>
          <w:rFonts w:ascii="Arial" w:hAnsi="Arial" w:cs="Arial"/>
          <w:sz w:val="24"/>
          <w:szCs w:val="24"/>
        </w:rPr>
        <w:t>advanced to a middle management position in the corporate sector; and</w:t>
      </w:r>
      <w:r w:rsidR="00341585">
        <w:rPr>
          <w:rFonts w:ascii="Arial" w:hAnsi="Arial" w:cs="Arial"/>
          <w:sz w:val="24"/>
          <w:szCs w:val="24"/>
        </w:rPr>
        <w:t xml:space="preserve">, secondly, it is unlikely that MA </w:t>
      </w:r>
      <w:r w:rsidR="008B38BA">
        <w:rPr>
          <w:rFonts w:ascii="Arial" w:hAnsi="Arial" w:cs="Arial"/>
          <w:sz w:val="24"/>
          <w:szCs w:val="24"/>
        </w:rPr>
        <w:t xml:space="preserve">stands to earn no income at all. </w:t>
      </w:r>
    </w:p>
    <w:p w:rsidR="007A497D" w:rsidRDefault="007A497D" w:rsidP="007A497D">
      <w:pPr>
        <w:spacing w:line="360" w:lineRule="auto"/>
        <w:jc w:val="both"/>
        <w:rPr>
          <w:rFonts w:ascii="Arial" w:hAnsi="Arial" w:cs="Arial"/>
          <w:sz w:val="24"/>
          <w:szCs w:val="24"/>
        </w:rPr>
      </w:pPr>
    </w:p>
    <w:p w:rsidR="008A55E8" w:rsidRDefault="007A497D" w:rsidP="007A497D">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85555">
        <w:rPr>
          <w:rFonts w:ascii="Arial" w:hAnsi="Arial" w:cs="Arial"/>
          <w:sz w:val="24"/>
          <w:szCs w:val="24"/>
        </w:rPr>
        <w:t>Consequently, t</w:t>
      </w:r>
      <w:r w:rsidR="008C3D91">
        <w:rPr>
          <w:rFonts w:ascii="Arial" w:hAnsi="Arial" w:cs="Arial"/>
          <w:sz w:val="24"/>
          <w:szCs w:val="24"/>
        </w:rPr>
        <w:t xml:space="preserve">he ‘best case’ scenario </w:t>
      </w:r>
      <w:r w:rsidR="00C85555">
        <w:rPr>
          <w:rFonts w:ascii="Arial" w:hAnsi="Arial" w:cs="Arial"/>
          <w:sz w:val="24"/>
          <w:szCs w:val="24"/>
        </w:rPr>
        <w:t xml:space="preserve">relied upon for purposes of the actuarial report ought to be modified by taking into consideration the alternative scenario </w:t>
      </w:r>
      <w:r w:rsidR="00E33ECC">
        <w:rPr>
          <w:rFonts w:ascii="Arial" w:hAnsi="Arial" w:cs="Arial"/>
          <w:sz w:val="24"/>
          <w:szCs w:val="24"/>
        </w:rPr>
        <w:t xml:space="preserve">presented by Mr </w:t>
      </w:r>
      <w:proofErr w:type="spellStart"/>
      <w:r w:rsidR="00E33ECC">
        <w:rPr>
          <w:rFonts w:ascii="Arial" w:hAnsi="Arial" w:cs="Arial"/>
          <w:sz w:val="24"/>
          <w:szCs w:val="24"/>
        </w:rPr>
        <w:t>Kalanko</w:t>
      </w:r>
      <w:proofErr w:type="spellEnd"/>
      <w:r w:rsidR="00E33ECC">
        <w:rPr>
          <w:rFonts w:ascii="Arial" w:hAnsi="Arial" w:cs="Arial"/>
          <w:sz w:val="24"/>
          <w:szCs w:val="24"/>
        </w:rPr>
        <w:t xml:space="preserve">. Senior counsel </w:t>
      </w:r>
      <w:r w:rsidR="00FA7B71">
        <w:rPr>
          <w:rFonts w:ascii="Arial" w:hAnsi="Arial" w:cs="Arial"/>
          <w:sz w:val="24"/>
          <w:szCs w:val="24"/>
        </w:rPr>
        <w:t xml:space="preserve">for the plaintiff submitted </w:t>
      </w:r>
      <w:r w:rsidR="009B333F">
        <w:rPr>
          <w:rFonts w:ascii="Arial" w:hAnsi="Arial" w:cs="Arial"/>
          <w:sz w:val="24"/>
          <w:szCs w:val="24"/>
        </w:rPr>
        <w:t xml:space="preserve">a set of calculations that </w:t>
      </w:r>
      <w:r w:rsidR="007E799B">
        <w:rPr>
          <w:rFonts w:ascii="Arial" w:hAnsi="Arial" w:cs="Arial"/>
          <w:sz w:val="24"/>
          <w:szCs w:val="24"/>
        </w:rPr>
        <w:t>take</w:t>
      </w:r>
      <w:r w:rsidR="00462FFD">
        <w:rPr>
          <w:rFonts w:ascii="Arial" w:hAnsi="Arial" w:cs="Arial"/>
          <w:sz w:val="24"/>
          <w:szCs w:val="24"/>
        </w:rPr>
        <w:t>s</w:t>
      </w:r>
      <w:r w:rsidR="007E799B">
        <w:rPr>
          <w:rFonts w:ascii="Arial" w:hAnsi="Arial" w:cs="Arial"/>
          <w:sz w:val="24"/>
          <w:szCs w:val="24"/>
        </w:rPr>
        <w:t xml:space="preserve"> the alternative scenario into account</w:t>
      </w:r>
      <w:r w:rsidR="00462FFD">
        <w:rPr>
          <w:rFonts w:ascii="Arial" w:hAnsi="Arial" w:cs="Arial"/>
          <w:sz w:val="24"/>
          <w:szCs w:val="24"/>
        </w:rPr>
        <w:t xml:space="preserve">; it also </w:t>
      </w:r>
      <w:r w:rsidR="00D5062D">
        <w:rPr>
          <w:rFonts w:ascii="Arial" w:hAnsi="Arial" w:cs="Arial"/>
          <w:sz w:val="24"/>
          <w:szCs w:val="24"/>
        </w:rPr>
        <w:t>makes provision for contingencies and residual earning capacity</w:t>
      </w:r>
      <w:r w:rsidR="007E799B">
        <w:rPr>
          <w:rFonts w:ascii="Arial" w:hAnsi="Arial" w:cs="Arial"/>
          <w:sz w:val="24"/>
          <w:szCs w:val="24"/>
        </w:rPr>
        <w:t xml:space="preserve"> and ultimately </w:t>
      </w:r>
      <w:r w:rsidR="00D83458">
        <w:rPr>
          <w:rFonts w:ascii="Arial" w:hAnsi="Arial" w:cs="Arial"/>
          <w:sz w:val="24"/>
          <w:szCs w:val="24"/>
        </w:rPr>
        <w:t>arrive</w:t>
      </w:r>
      <w:r w:rsidR="000468FB">
        <w:rPr>
          <w:rFonts w:ascii="Arial" w:hAnsi="Arial" w:cs="Arial"/>
          <w:sz w:val="24"/>
          <w:szCs w:val="24"/>
        </w:rPr>
        <w:t>s</w:t>
      </w:r>
      <w:r w:rsidR="00D83458">
        <w:rPr>
          <w:rFonts w:ascii="Arial" w:hAnsi="Arial" w:cs="Arial"/>
          <w:sz w:val="24"/>
          <w:szCs w:val="24"/>
        </w:rPr>
        <w:t xml:space="preserve"> at an amount </w:t>
      </w:r>
      <w:r w:rsidR="000468FB">
        <w:rPr>
          <w:rFonts w:ascii="Arial" w:hAnsi="Arial" w:cs="Arial"/>
          <w:sz w:val="24"/>
          <w:szCs w:val="24"/>
        </w:rPr>
        <w:t xml:space="preserve">based on </w:t>
      </w:r>
      <w:r w:rsidR="00557FCD">
        <w:rPr>
          <w:rFonts w:ascii="Arial" w:hAnsi="Arial" w:cs="Arial"/>
          <w:sz w:val="24"/>
          <w:szCs w:val="24"/>
        </w:rPr>
        <w:t xml:space="preserve">the mid-point of the ‘best case’ and alternative scenarios. </w:t>
      </w:r>
      <w:r w:rsidR="00087DE2">
        <w:rPr>
          <w:rFonts w:ascii="Arial" w:hAnsi="Arial" w:cs="Arial"/>
          <w:sz w:val="24"/>
          <w:szCs w:val="24"/>
        </w:rPr>
        <w:t xml:space="preserve">In </w:t>
      </w:r>
      <w:r w:rsidR="008A55E8">
        <w:rPr>
          <w:rFonts w:ascii="Arial" w:hAnsi="Arial" w:cs="Arial"/>
          <w:sz w:val="24"/>
          <w:szCs w:val="24"/>
        </w:rPr>
        <w:t>that regard,</w:t>
      </w:r>
      <w:r w:rsidR="00087DE2">
        <w:rPr>
          <w:rFonts w:ascii="Arial" w:hAnsi="Arial" w:cs="Arial"/>
          <w:sz w:val="24"/>
          <w:szCs w:val="24"/>
        </w:rPr>
        <w:t xml:space="preserve"> p</w:t>
      </w:r>
      <w:r w:rsidR="00FD01DB">
        <w:rPr>
          <w:rFonts w:ascii="Arial" w:hAnsi="Arial" w:cs="Arial"/>
          <w:sz w:val="24"/>
          <w:szCs w:val="24"/>
        </w:rPr>
        <w:t xml:space="preserve">rovision for residual earning capacity could possibly be </w:t>
      </w:r>
      <w:r w:rsidR="00125A67">
        <w:rPr>
          <w:rFonts w:ascii="Arial" w:hAnsi="Arial" w:cs="Arial"/>
          <w:sz w:val="24"/>
          <w:szCs w:val="24"/>
        </w:rPr>
        <w:t xml:space="preserve">better </w:t>
      </w:r>
      <w:r w:rsidR="007C165F">
        <w:rPr>
          <w:rFonts w:ascii="Arial" w:hAnsi="Arial" w:cs="Arial"/>
          <w:sz w:val="24"/>
          <w:szCs w:val="24"/>
        </w:rPr>
        <w:t xml:space="preserve">accommodated </w:t>
      </w:r>
      <w:r w:rsidR="00954867">
        <w:rPr>
          <w:rFonts w:ascii="Arial" w:hAnsi="Arial" w:cs="Arial"/>
          <w:sz w:val="24"/>
          <w:szCs w:val="24"/>
        </w:rPr>
        <w:t xml:space="preserve">under the umbrella of contingencies </w:t>
      </w:r>
      <w:r w:rsidR="00954867">
        <w:rPr>
          <w:rFonts w:ascii="Arial" w:hAnsi="Arial" w:cs="Arial"/>
          <w:sz w:val="24"/>
          <w:szCs w:val="24"/>
        </w:rPr>
        <w:lastRenderedPageBreak/>
        <w:t>overall</w:t>
      </w:r>
      <w:r w:rsidR="008F3082">
        <w:rPr>
          <w:rFonts w:ascii="Arial" w:hAnsi="Arial" w:cs="Arial"/>
          <w:sz w:val="24"/>
          <w:szCs w:val="24"/>
        </w:rPr>
        <w:t xml:space="preserve">. </w:t>
      </w:r>
      <w:r w:rsidR="00087DE2">
        <w:rPr>
          <w:rFonts w:ascii="Arial" w:hAnsi="Arial" w:cs="Arial"/>
          <w:sz w:val="24"/>
          <w:szCs w:val="24"/>
        </w:rPr>
        <w:t xml:space="preserve">Moreover, </w:t>
      </w:r>
      <w:r w:rsidR="004B618F">
        <w:rPr>
          <w:rFonts w:ascii="Arial" w:hAnsi="Arial" w:cs="Arial"/>
          <w:sz w:val="24"/>
          <w:szCs w:val="24"/>
        </w:rPr>
        <w:t xml:space="preserve">the </w:t>
      </w:r>
      <w:r w:rsidR="00CE321E">
        <w:rPr>
          <w:rFonts w:ascii="Arial" w:hAnsi="Arial" w:cs="Arial"/>
          <w:sz w:val="24"/>
          <w:szCs w:val="24"/>
        </w:rPr>
        <w:t xml:space="preserve">calculations may </w:t>
      </w:r>
      <w:r w:rsidR="00B76470">
        <w:rPr>
          <w:rFonts w:ascii="Arial" w:hAnsi="Arial" w:cs="Arial"/>
          <w:sz w:val="24"/>
          <w:szCs w:val="24"/>
        </w:rPr>
        <w:t>result</w:t>
      </w:r>
      <w:r w:rsidR="00C97C31">
        <w:rPr>
          <w:rFonts w:ascii="Arial" w:hAnsi="Arial" w:cs="Arial"/>
          <w:sz w:val="24"/>
          <w:szCs w:val="24"/>
        </w:rPr>
        <w:t xml:space="preserve"> in under-compensation. The </w:t>
      </w:r>
      <w:r w:rsidR="00A8665A">
        <w:rPr>
          <w:rFonts w:ascii="Arial" w:hAnsi="Arial" w:cs="Arial"/>
          <w:sz w:val="24"/>
          <w:szCs w:val="24"/>
        </w:rPr>
        <w:t xml:space="preserve">damages </w:t>
      </w:r>
      <w:r w:rsidR="00F003FF">
        <w:rPr>
          <w:rFonts w:ascii="Arial" w:hAnsi="Arial" w:cs="Arial"/>
          <w:sz w:val="24"/>
          <w:szCs w:val="24"/>
        </w:rPr>
        <w:t xml:space="preserve">amount </w:t>
      </w:r>
      <w:r w:rsidR="00A8665A">
        <w:rPr>
          <w:rFonts w:ascii="Arial" w:hAnsi="Arial" w:cs="Arial"/>
          <w:sz w:val="24"/>
          <w:szCs w:val="24"/>
        </w:rPr>
        <w:t xml:space="preserve">is usually reduced by </w:t>
      </w:r>
      <w:r w:rsidR="006935E1">
        <w:rPr>
          <w:rFonts w:ascii="Arial" w:hAnsi="Arial" w:cs="Arial"/>
          <w:sz w:val="24"/>
          <w:szCs w:val="24"/>
        </w:rPr>
        <w:t>1</w:t>
      </w:r>
      <w:r w:rsidR="00165440">
        <w:rPr>
          <w:rFonts w:ascii="Arial" w:hAnsi="Arial" w:cs="Arial"/>
          <w:sz w:val="24"/>
          <w:szCs w:val="24"/>
        </w:rPr>
        <w:t>0</w:t>
      </w:r>
      <w:r w:rsidR="006935E1">
        <w:rPr>
          <w:rFonts w:ascii="Arial" w:hAnsi="Arial" w:cs="Arial"/>
          <w:sz w:val="24"/>
          <w:szCs w:val="24"/>
        </w:rPr>
        <w:t xml:space="preserve">% to 50%, on </w:t>
      </w:r>
      <w:r w:rsidR="00C97C31">
        <w:rPr>
          <w:rFonts w:ascii="Arial" w:hAnsi="Arial" w:cs="Arial"/>
          <w:sz w:val="24"/>
          <w:szCs w:val="24"/>
        </w:rPr>
        <w:t>average</w:t>
      </w:r>
      <w:r w:rsidR="005E0D78">
        <w:rPr>
          <w:rFonts w:ascii="Arial" w:hAnsi="Arial" w:cs="Arial"/>
          <w:sz w:val="24"/>
          <w:szCs w:val="24"/>
        </w:rPr>
        <w:t>;</w:t>
      </w:r>
      <w:r w:rsidR="00B76470">
        <w:rPr>
          <w:rStyle w:val="FootnoteReference"/>
          <w:rFonts w:ascii="Arial" w:hAnsi="Arial" w:cs="Arial"/>
          <w:sz w:val="24"/>
          <w:szCs w:val="24"/>
        </w:rPr>
        <w:footnoteReference w:id="7"/>
      </w:r>
      <w:r w:rsidR="005E0D78">
        <w:rPr>
          <w:rFonts w:ascii="Arial" w:hAnsi="Arial" w:cs="Arial"/>
          <w:sz w:val="24"/>
          <w:szCs w:val="24"/>
        </w:rPr>
        <w:t xml:space="preserve"> here, the figure is closer to 55%</w:t>
      </w:r>
      <w:r w:rsidR="00A3545D">
        <w:rPr>
          <w:rFonts w:ascii="Arial" w:hAnsi="Arial" w:cs="Arial"/>
          <w:sz w:val="24"/>
          <w:szCs w:val="24"/>
        </w:rPr>
        <w:t>.</w:t>
      </w:r>
      <w:r w:rsidR="00C97C31">
        <w:rPr>
          <w:rFonts w:ascii="Arial" w:hAnsi="Arial" w:cs="Arial"/>
          <w:sz w:val="24"/>
          <w:szCs w:val="24"/>
        </w:rPr>
        <w:t xml:space="preserve"> </w:t>
      </w:r>
    </w:p>
    <w:p w:rsidR="002D284D" w:rsidRDefault="002D284D" w:rsidP="007A497D">
      <w:pPr>
        <w:spacing w:line="360" w:lineRule="auto"/>
        <w:jc w:val="both"/>
        <w:rPr>
          <w:rFonts w:ascii="Arial" w:hAnsi="Arial" w:cs="Arial"/>
          <w:sz w:val="24"/>
          <w:szCs w:val="24"/>
        </w:rPr>
      </w:pPr>
    </w:p>
    <w:p w:rsidR="002D284D" w:rsidRPr="002D284D" w:rsidRDefault="002D284D" w:rsidP="007A497D">
      <w:pPr>
        <w:spacing w:line="360" w:lineRule="auto"/>
        <w:jc w:val="both"/>
        <w:rPr>
          <w:rFonts w:ascii="Arial" w:hAnsi="Arial" w:cs="Arial"/>
          <w:b/>
          <w:bCs/>
          <w:sz w:val="24"/>
          <w:szCs w:val="24"/>
        </w:rPr>
      </w:pPr>
      <w:r w:rsidRPr="002D284D">
        <w:rPr>
          <w:rFonts w:ascii="Arial" w:hAnsi="Arial" w:cs="Arial"/>
          <w:b/>
          <w:bCs/>
          <w:sz w:val="24"/>
          <w:szCs w:val="24"/>
        </w:rPr>
        <w:t>Relief and order</w:t>
      </w:r>
    </w:p>
    <w:p w:rsidR="002D284D" w:rsidRDefault="002D284D" w:rsidP="007A497D">
      <w:pPr>
        <w:spacing w:line="360" w:lineRule="auto"/>
        <w:jc w:val="both"/>
        <w:rPr>
          <w:rFonts w:ascii="Arial" w:hAnsi="Arial" w:cs="Arial"/>
          <w:sz w:val="24"/>
          <w:szCs w:val="24"/>
        </w:rPr>
      </w:pPr>
    </w:p>
    <w:p w:rsidR="00C254AD" w:rsidRDefault="007A497D" w:rsidP="007A497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A75A6">
        <w:rPr>
          <w:rFonts w:ascii="Arial" w:hAnsi="Arial" w:cs="Arial"/>
          <w:sz w:val="24"/>
          <w:szCs w:val="24"/>
        </w:rPr>
        <w:t>T</w:t>
      </w:r>
      <w:r w:rsidR="005E71DB">
        <w:rPr>
          <w:rFonts w:ascii="Arial" w:hAnsi="Arial" w:cs="Arial"/>
          <w:sz w:val="24"/>
          <w:szCs w:val="24"/>
        </w:rPr>
        <w:t xml:space="preserve">he court </w:t>
      </w:r>
      <w:r w:rsidR="00AC406F">
        <w:rPr>
          <w:rFonts w:ascii="Arial" w:hAnsi="Arial" w:cs="Arial"/>
          <w:sz w:val="24"/>
          <w:szCs w:val="24"/>
        </w:rPr>
        <w:t>enjoys a discretion in deciding what is reasonable and fair</w:t>
      </w:r>
      <w:r w:rsidR="00670C7A">
        <w:rPr>
          <w:rFonts w:ascii="Arial" w:hAnsi="Arial" w:cs="Arial"/>
          <w:sz w:val="24"/>
          <w:szCs w:val="24"/>
        </w:rPr>
        <w:t xml:space="preserve"> in relation to the determination of contingencies and</w:t>
      </w:r>
      <w:r w:rsidR="00CF6DF9">
        <w:rPr>
          <w:rFonts w:ascii="Arial" w:hAnsi="Arial" w:cs="Arial"/>
          <w:sz w:val="24"/>
          <w:szCs w:val="24"/>
        </w:rPr>
        <w:t xml:space="preserve"> (ultimately) the claimant’s</w:t>
      </w:r>
      <w:r w:rsidR="007A4C56">
        <w:rPr>
          <w:rFonts w:ascii="Arial" w:hAnsi="Arial" w:cs="Arial"/>
          <w:sz w:val="24"/>
          <w:szCs w:val="24"/>
        </w:rPr>
        <w:t xml:space="preserve"> loss of earnings</w:t>
      </w:r>
      <w:r w:rsidR="00670C7A">
        <w:rPr>
          <w:rFonts w:ascii="Arial" w:hAnsi="Arial" w:cs="Arial"/>
          <w:sz w:val="24"/>
          <w:szCs w:val="24"/>
        </w:rPr>
        <w:t>.</w:t>
      </w:r>
      <w:r w:rsidR="00670C7A">
        <w:rPr>
          <w:rStyle w:val="FootnoteReference"/>
          <w:rFonts w:ascii="Arial" w:hAnsi="Arial" w:cs="Arial"/>
          <w:sz w:val="24"/>
          <w:szCs w:val="24"/>
        </w:rPr>
        <w:footnoteReference w:id="8"/>
      </w:r>
      <w:r w:rsidR="00B379AD">
        <w:rPr>
          <w:rFonts w:ascii="Arial" w:hAnsi="Arial" w:cs="Arial"/>
          <w:sz w:val="24"/>
          <w:szCs w:val="24"/>
        </w:rPr>
        <w:t xml:space="preserve"> </w:t>
      </w:r>
      <w:r w:rsidR="005A044A">
        <w:rPr>
          <w:rFonts w:ascii="Arial" w:hAnsi="Arial" w:cs="Arial"/>
          <w:sz w:val="24"/>
          <w:szCs w:val="24"/>
        </w:rPr>
        <w:t xml:space="preserve">Mindful of the comments made </w:t>
      </w:r>
      <w:r w:rsidR="00140DCA">
        <w:rPr>
          <w:rFonts w:ascii="Arial" w:hAnsi="Arial" w:cs="Arial"/>
          <w:sz w:val="24"/>
          <w:szCs w:val="24"/>
        </w:rPr>
        <w:t>in the preceding paragraphs</w:t>
      </w:r>
      <w:r w:rsidR="005A044A">
        <w:rPr>
          <w:rFonts w:ascii="Arial" w:hAnsi="Arial" w:cs="Arial"/>
          <w:sz w:val="24"/>
          <w:szCs w:val="24"/>
        </w:rPr>
        <w:t>, t</w:t>
      </w:r>
      <w:r w:rsidR="00B379AD">
        <w:rPr>
          <w:rFonts w:ascii="Arial" w:hAnsi="Arial" w:cs="Arial"/>
          <w:sz w:val="24"/>
          <w:szCs w:val="24"/>
        </w:rPr>
        <w:t xml:space="preserve">he </w:t>
      </w:r>
      <w:r w:rsidR="00471E6A">
        <w:rPr>
          <w:rFonts w:ascii="Arial" w:hAnsi="Arial" w:cs="Arial"/>
          <w:sz w:val="24"/>
          <w:szCs w:val="24"/>
        </w:rPr>
        <w:t>cou</w:t>
      </w:r>
      <w:r w:rsidR="001E05C6">
        <w:rPr>
          <w:rFonts w:ascii="Arial" w:hAnsi="Arial" w:cs="Arial"/>
          <w:sz w:val="24"/>
          <w:szCs w:val="24"/>
        </w:rPr>
        <w:t xml:space="preserve">rt is satisfied that </w:t>
      </w:r>
      <w:r w:rsidR="00826E15">
        <w:rPr>
          <w:rFonts w:ascii="Arial" w:hAnsi="Arial" w:cs="Arial"/>
          <w:sz w:val="24"/>
          <w:szCs w:val="24"/>
        </w:rPr>
        <w:t xml:space="preserve">the </w:t>
      </w:r>
      <w:r w:rsidR="0051272D">
        <w:rPr>
          <w:rFonts w:ascii="Arial" w:hAnsi="Arial" w:cs="Arial"/>
          <w:sz w:val="24"/>
          <w:szCs w:val="24"/>
        </w:rPr>
        <w:t>amount claimed, based upon the ‘best case’ sce</w:t>
      </w:r>
      <w:r w:rsidR="00FE539D">
        <w:rPr>
          <w:rFonts w:ascii="Arial" w:hAnsi="Arial" w:cs="Arial"/>
          <w:sz w:val="24"/>
          <w:szCs w:val="24"/>
        </w:rPr>
        <w:t xml:space="preserve">nario </w:t>
      </w:r>
      <w:r w:rsidR="00EF6459">
        <w:rPr>
          <w:rFonts w:ascii="Arial" w:hAnsi="Arial" w:cs="Arial"/>
          <w:sz w:val="24"/>
          <w:szCs w:val="24"/>
        </w:rPr>
        <w:t>indicated in the actuarial report</w:t>
      </w:r>
      <w:r w:rsidR="00FE539D">
        <w:rPr>
          <w:rFonts w:ascii="Arial" w:hAnsi="Arial" w:cs="Arial"/>
          <w:sz w:val="24"/>
          <w:szCs w:val="24"/>
        </w:rPr>
        <w:t>,</w:t>
      </w:r>
      <w:r w:rsidR="00EF6459">
        <w:rPr>
          <w:rFonts w:ascii="Arial" w:hAnsi="Arial" w:cs="Arial"/>
          <w:sz w:val="24"/>
          <w:szCs w:val="24"/>
        </w:rPr>
        <w:t xml:space="preserve"> must be adjusted by </w:t>
      </w:r>
      <w:r w:rsidR="00BB3718">
        <w:rPr>
          <w:rFonts w:ascii="Arial" w:hAnsi="Arial" w:cs="Arial"/>
          <w:sz w:val="24"/>
          <w:szCs w:val="24"/>
        </w:rPr>
        <w:t>a percentage of 4</w:t>
      </w:r>
      <w:r w:rsidR="00FE539D">
        <w:rPr>
          <w:rFonts w:ascii="Arial" w:hAnsi="Arial" w:cs="Arial"/>
          <w:sz w:val="24"/>
          <w:szCs w:val="24"/>
        </w:rPr>
        <w:t>0%</w:t>
      </w:r>
      <w:r w:rsidR="00EB462D">
        <w:rPr>
          <w:rFonts w:ascii="Arial" w:hAnsi="Arial" w:cs="Arial"/>
          <w:sz w:val="24"/>
          <w:szCs w:val="24"/>
        </w:rPr>
        <w:t>. This would seem</w:t>
      </w:r>
      <w:r w:rsidR="000E2A05">
        <w:rPr>
          <w:rFonts w:ascii="Arial" w:hAnsi="Arial" w:cs="Arial"/>
          <w:sz w:val="24"/>
          <w:szCs w:val="24"/>
        </w:rPr>
        <w:t xml:space="preserve"> to be a fair and reasonable percentage for the contingencies involved.</w:t>
      </w:r>
    </w:p>
    <w:p w:rsidR="007A497D" w:rsidRDefault="007A497D" w:rsidP="007A497D">
      <w:pPr>
        <w:spacing w:line="360" w:lineRule="auto"/>
        <w:jc w:val="both"/>
        <w:rPr>
          <w:rFonts w:ascii="Arial" w:hAnsi="Arial" w:cs="Arial"/>
          <w:sz w:val="24"/>
          <w:szCs w:val="24"/>
        </w:rPr>
      </w:pPr>
    </w:p>
    <w:p w:rsidR="000E2A05" w:rsidRDefault="007A497D" w:rsidP="007A497D">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E2A05">
        <w:rPr>
          <w:rFonts w:ascii="Arial" w:hAnsi="Arial" w:cs="Arial"/>
          <w:sz w:val="24"/>
          <w:szCs w:val="24"/>
        </w:rPr>
        <w:t>In the circumstances, the following order is made:</w:t>
      </w:r>
    </w:p>
    <w:p w:rsidR="00912B24" w:rsidRDefault="00912B24" w:rsidP="007A497D">
      <w:pPr>
        <w:pStyle w:val="ListParagraph"/>
        <w:spacing w:line="360" w:lineRule="auto"/>
        <w:jc w:val="both"/>
        <w:rPr>
          <w:rFonts w:ascii="Arial" w:hAnsi="Arial" w:cs="Arial"/>
          <w:sz w:val="24"/>
          <w:szCs w:val="24"/>
        </w:rPr>
      </w:pPr>
    </w:p>
    <w:p w:rsidR="000E2A05" w:rsidRDefault="00912B24" w:rsidP="007A497D">
      <w:pPr>
        <w:pStyle w:val="ListParagraph"/>
        <w:numPr>
          <w:ilvl w:val="0"/>
          <w:numId w:val="1"/>
        </w:numPr>
        <w:spacing w:line="360" w:lineRule="auto"/>
        <w:jc w:val="both"/>
        <w:rPr>
          <w:rFonts w:ascii="Arial" w:hAnsi="Arial" w:cs="Arial"/>
          <w:sz w:val="24"/>
          <w:szCs w:val="24"/>
        </w:rPr>
      </w:pPr>
      <w:r>
        <w:rPr>
          <w:rFonts w:ascii="Arial" w:hAnsi="Arial" w:cs="Arial"/>
          <w:sz w:val="24"/>
          <w:szCs w:val="24"/>
        </w:rPr>
        <w:t>t</w:t>
      </w:r>
      <w:r w:rsidR="00AA0BAA">
        <w:rPr>
          <w:rFonts w:ascii="Arial" w:hAnsi="Arial" w:cs="Arial"/>
          <w:sz w:val="24"/>
          <w:szCs w:val="24"/>
        </w:rPr>
        <w:t xml:space="preserve">he defendant is directed to pay </w:t>
      </w:r>
      <w:r w:rsidR="002B731A">
        <w:rPr>
          <w:rFonts w:ascii="Arial" w:hAnsi="Arial" w:cs="Arial"/>
          <w:sz w:val="24"/>
          <w:szCs w:val="24"/>
        </w:rPr>
        <w:t xml:space="preserve">the plaintiff the </w:t>
      </w:r>
      <w:r w:rsidR="005A6248">
        <w:rPr>
          <w:rFonts w:ascii="Arial" w:hAnsi="Arial" w:cs="Arial"/>
          <w:sz w:val="24"/>
          <w:szCs w:val="24"/>
        </w:rPr>
        <w:t>amount</w:t>
      </w:r>
      <w:r w:rsidR="002B731A">
        <w:rPr>
          <w:rFonts w:ascii="Arial" w:hAnsi="Arial" w:cs="Arial"/>
          <w:sz w:val="24"/>
          <w:szCs w:val="24"/>
        </w:rPr>
        <w:t xml:space="preserve"> of </w:t>
      </w:r>
      <w:r w:rsidR="00FD2C70">
        <w:rPr>
          <w:rFonts w:ascii="Arial" w:hAnsi="Arial" w:cs="Arial"/>
          <w:sz w:val="24"/>
          <w:szCs w:val="24"/>
        </w:rPr>
        <w:t>R 5,591,753</w:t>
      </w:r>
      <w:r w:rsidR="004000DE">
        <w:rPr>
          <w:rFonts w:ascii="Arial" w:hAnsi="Arial" w:cs="Arial"/>
          <w:sz w:val="24"/>
          <w:szCs w:val="24"/>
        </w:rPr>
        <w:t xml:space="preserve"> for future loss of earnings;</w:t>
      </w:r>
    </w:p>
    <w:p w:rsidR="00912B24" w:rsidRDefault="00912B24" w:rsidP="007A497D">
      <w:pPr>
        <w:pStyle w:val="ListParagraph"/>
        <w:spacing w:line="360" w:lineRule="auto"/>
        <w:jc w:val="both"/>
        <w:rPr>
          <w:rFonts w:ascii="Arial" w:hAnsi="Arial" w:cs="Arial"/>
          <w:sz w:val="24"/>
          <w:szCs w:val="24"/>
        </w:rPr>
      </w:pPr>
    </w:p>
    <w:p w:rsidR="004000DE" w:rsidRDefault="00912B24" w:rsidP="007A497D">
      <w:pPr>
        <w:pStyle w:val="ListParagraph"/>
        <w:numPr>
          <w:ilvl w:val="0"/>
          <w:numId w:val="1"/>
        </w:numPr>
        <w:spacing w:line="360" w:lineRule="auto"/>
        <w:jc w:val="both"/>
        <w:rPr>
          <w:rFonts w:ascii="Arial" w:hAnsi="Arial" w:cs="Arial"/>
          <w:sz w:val="24"/>
          <w:szCs w:val="24"/>
        </w:rPr>
      </w:pPr>
      <w:r>
        <w:rPr>
          <w:rFonts w:ascii="Arial" w:hAnsi="Arial" w:cs="Arial"/>
          <w:sz w:val="24"/>
          <w:szCs w:val="24"/>
        </w:rPr>
        <w:t>t</w:t>
      </w:r>
      <w:r w:rsidR="005A6248">
        <w:rPr>
          <w:rFonts w:ascii="Arial" w:hAnsi="Arial" w:cs="Arial"/>
          <w:sz w:val="24"/>
          <w:szCs w:val="24"/>
        </w:rPr>
        <w:t>he defendant is further directed to pay:</w:t>
      </w:r>
    </w:p>
    <w:p w:rsidR="00912B24" w:rsidRDefault="00912B24" w:rsidP="007A497D">
      <w:pPr>
        <w:pStyle w:val="ListParagraph"/>
        <w:spacing w:line="360" w:lineRule="auto"/>
        <w:ind w:left="1440"/>
        <w:jc w:val="both"/>
        <w:rPr>
          <w:rFonts w:ascii="Arial" w:hAnsi="Arial" w:cs="Arial"/>
          <w:sz w:val="24"/>
          <w:szCs w:val="24"/>
        </w:rPr>
      </w:pPr>
    </w:p>
    <w:p w:rsidR="005A6248" w:rsidRDefault="00912B24" w:rsidP="007A497D">
      <w:pPr>
        <w:pStyle w:val="ListParagraph"/>
        <w:numPr>
          <w:ilvl w:val="0"/>
          <w:numId w:val="2"/>
        </w:numPr>
        <w:spacing w:line="360" w:lineRule="auto"/>
        <w:jc w:val="both"/>
        <w:rPr>
          <w:rFonts w:ascii="Arial" w:hAnsi="Arial" w:cs="Arial"/>
          <w:sz w:val="24"/>
          <w:szCs w:val="24"/>
        </w:rPr>
      </w:pPr>
      <w:r>
        <w:rPr>
          <w:rFonts w:ascii="Arial" w:hAnsi="Arial" w:cs="Arial"/>
          <w:sz w:val="24"/>
          <w:szCs w:val="24"/>
        </w:rPr>
        <w:t>i</w:t>
      </w:r>
      <w:r w:rsidR="005A6248">
        <w:rPr>
          <w:rFonts w:ascii="Arial" w:hAnsi="Arial" w:cs="Arial"/>
          <w:sz w:val="24"/>
          <w:szCs w:val="24"/>
        </w:rPr>
        <w:t xml:space="preserve">nterest on the above amount </w:t>
      </w:r>
      <w:r w:rsidR="00E84A1C">
        <w:rPr>
          <w:rFonts w:ascii="Arial" w:hAnsi="Arial" w:cs="Arial"/>
          <w:sz w:val="24"/>
          <w:szCs w:val="24"/>
        </w:rPr>
        <w:t>at the prescribed legal rate, calculated from the date of this order until the date of payment</w:t>
      </w:r>
      <w:r w:rsidR="00ED38D8">
        <w:rPr>
          <w:rFonts w:ascii="Arial" w:hAnsi="Arial" w:cs="Arial"/>
          <w:sz w:val="24"/>
          <w:szCs w:val="24"/>
        </w:rPr>
        <w:t>;</w:t>
      </w:r>
    </w:p>
    <w:p w:rsidR="00912B24" w:rsidRDefault="00912B24" w:rsidP="007A497D">
      <w:pPr>
        <w:pStyle w:val="ListParagraph"/>
        <w:spacing w:line="360" w:lineRule="auto"/>
        <w:ind w:left="1440"/>
        <w:jc w:val="both"/>
        <w:rPr>
          <w:rFonts w:ascii="Arial" w:hAnsi="Arial" w:cs="Arial"/>
          <w:sz w:val="24"/>
          <w:szCs w:val="24"/>
        </w:rPr>
      </w:pPr>
    </w:p>
    <w:p w:rsidR="00ED38D8" w:rsidRDefault="00912B24" w:rsidP="007A497D">
      <w:pPr>
        <w:pStyle w:val="ListParagraph"/>
        <w:numPr>
          <w:ilvl w:val="0"/>
          <w:numId w:val="2"/>
        </w:numPr>
        <w:spacing w:line="360" w:lineRule="auto"/>
        <w:jc w:val="both"/>
        <w:rPr>
          <w:rFonts w:ascii="Arial" w:hAnsi="Arial" w:cs="Arial"/>
          <w:sz w:val="24"/>
          <w:szCs w:val="24"/>
        </w:rPr>
      </w:pPr>
      <w:r>
        <w:rPr>
          <w:rFonts w:ascii="Arial" w:hAnsi="Arial" w:cs="Arial"/>
          <w:sz w:val="24"/>
          <w:szCs w:val="24"/>
        </w:rPr>
        <w:t>c</w:t>
      </w:r>
      <w:r w:rsidR="00ED38D8">
        <w:rPr>
          <w:rFonts w:ascii="Arial" w:hAnsi="Arial" w:cs="Arial"/>
          <w:sz w:val="24"/>
          <w:szCs w:val="24"/>
        </w:rPr>
        <w:t>osts of suit, including th</w:t>
      </w:r>
      <w:r w:rsidR="00B74AD5">
        <w:rPr>
          <w:rFonts w:ascii="Arial" w:hAnsi="Arial" w:cs="Arial"/>
          <w:sz w:val="24"/>
          <w:szCs w:val="24"/>
        </w:rPr>
        <w:t>ose of senior counsel</w:t>
      </w:r>
      <w:r w:rsidR="002B3A5E">
        <w:rPr>
          <w:rFonts w:ascii="Arial" w:hAnsi="Arial" w:cs="Arial"/>
          <w:sz w:val="24"/>
          <w:szCs w:val="24"/>
        </w:rPr>
        <w:t xml:space="preserve"> and </w:t>
      </w:r>
      <w:r w:rsidR="00ED38D8">
        <w:rPr>
          <w:rFonts w:ascii="Arial" w:hAnsi="Arial" w:cs="Arial"/>
          <w:sz w:val="24"/>
          <w:szCs w:val="24"/>
        </w:rPr>
        <w:t>the plaintiff’s experts</w:t>
      </w:r>
      <w:r w:rsidR="002B3A5E">
        <w:rPr>
          <w:rFonts w:ascii="Arial" w:hAnsi="Arial" w:cs="Arial"/>
          <w:sz w:val="24"/>
          <w:szCs w:val="24"/>
        </w:rPr>
        <w:t xml:space="preserve"> (plus </w:t>
      </w:r>
      <w:r w:rsidR="004B65D8">
        <w:rPr>
          <w:rFonts w:ascii="Arial" w:hAnsi="Arial" w:cs="Arial"/>
          <w:sz w:val="24"/>
          <w:szCs w:val="24"/>
        </w:rPr>
        <w:t>qualifying expenses</w:t>
      </w:r>
      <w:r w:rsidR="002B3A5E">
        <w:rPr>
          <w:rFonts w:ascii="Arial" w:hAnsi="Arial" w:cs="Arial"/>
          <w:sz w:val="24"/>
          <w:szCs w:val="24"/>
        </w:rPr>
        <w:t xml:space="preserve">, </w:t>
      </w:r>
      <w:r w:rsidR="004B65D8">
        <w:rPr>
          <w:rFonts w:ascii="Arial" w:hAnsi="Arial" w:cs="Arial"/>
          <w:sz w:val="24"/>
          <w:szCs w:val="24"/>
        </w:rPr>
        <w:t>if any);</w:t>
      </w:r>
      <w:r w:rsidR="00276251">
        <w:rPr>
          <w:rFonts w:ascii="Arial" w:hAnsi="Arial" w:cs="Arial"/>
          <w:sz w:val="24"/>
          <w:szCs w:val="24"/>
        </w:rPr>
        <w:t xml:space="preserve"> and</w:t>
      </w:r>
    </w:p>
    <w:p w:rsidR="00912B24" w:rsidRDefault="00912B24" w:rsidP="007A497D">
      <w:pPr>
        <w:pStyle w:val="ListParagraph"/>
        <w:spacing w:line="360" w:lineRule="auto"/>
        <w:ind w:left="1440"/>
        <w:jc w:val="both"/>
        <w:rPr>
          <w:rFonts w:ascii="Arial" w:hAnsi="Arial" w:cs="Arial"/>
          <w:sz w:val="24"/>
          <w:szCs w:val="24"/>
        </w:rPr>
      </w:pPr>
    </w:p>
    <w:p w:rsidR="004B65D8" w:rsidRDefault="00912B24" w:rsidP="007A497D">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i</w:t>
      </w:r>
      <w:r w:rsidR="004B65D8">
        <w:rPr>
          <w:rFonts w:ascii="Arial" w:hAnsi="Arial" w:cs="Arial"/>
          <w:sz w:val="24"/>
          <w:szCs w:val="24"/>
        </w:rPr>
        <w:t>nterest on the above costs, calculated</w:t>
      </w:r>
      <w:r w:rsidR="002D74EE">
        <w:rPr>
          <w:rFonts w:ascii="Arial" w:hAnsi="Arial" w:cs="Arial"/>
          <w:sz w:val="24"/>
          <w:szCs w:val="24"/>
        </w:rPr>
        <w:t xml:space="preserve"> from ten (10) court days after the finalisation of taxation</w:t>
      </w:r>
      <w:r w:rsidR="00276251">
        <w:rPr>
          <w:rFonts w:ascii="Arial" w:hAnsi="Arial" w:cs="Arial"/>
          <w:sz w:val="24"/>
          <w:szCs w:val="24"/>
        </w:rPr>
        <w:t>.</w:t>
      </w:r>
    </w:p>
    <w:p w:rsidR="00912B24" w:rsidRPr="00912B24" w:rsidRDefault="00912B24" w:rsidP="007A497D">
      <w:pPr>
        <w:pStyle w:val="ListParagraph"/>
        <w:jc w:val="both"/>
        <w:rPr>
          <w:rFonts w:ascii="Arial" w:hAnsi="Arial" w:cs="Arial"/>
          <w:sz w:val="24"/>
          <w:szCs w:val="24"/>
        </w:rPr>
      </w:pPr>
    </w:p>
    <w:p w:rsidR="00912B24" w:rsidRDefault="00912B24" w:rsidP="007A497D">
      <w:pPr>
        <w:spacing w:line="360" w:lineRule="auto"/>
        <w:jc w:val="both"/>
        <w:rPr>
          <w:rFonts w:ascii="Arial" w:hAnsi="Arial" w:cs="Arial"/>
          <w:sz w:val="24"/>
          <w:szCs w:val="24"/>
        </w:rPr>
      </w:pPr>
    </w:p>
    <w:p w:rsidR="007A497D" w:rsidRDefault="007A497D" w:rsidP="007A497D">
      <w:pPr>
        <w:spacing w:line="360" w:lineRule="auto"/>
        <w:jc w:val="both"/>
        <w:rPr>
          <w:rFonts w:ascii="Arial" w:hAnsi="Arial" w:cs="Arial"/>
          <w:sz w:val="24"/>
          <w:szCs w:val="24"/>
        </w:rPr>
      </w:pPr>
    </w:p>
    <w:p w:rsidR="00912B24" w:rsidRDefault="00912B24" w:rsidP="007A497D">
      <w:pPr>
        <w:spacing w:line="360" w:lineRule="auto"/>
        <w:jc w:val="both"/>
        <w:rPr>
          <w:rFonts w:ascii="Arial" w:hAnsi="Arial" w:cs="Arial"/>
          <w:sz w:val="24"/>
          <w:szCs w:val="24"/>
        </w:rPr>
      </w:pPr>
      <w:r>
        <w:rPr>
          <w:rFonts w:ascii="Arial" w:hAnsi="Arial" w:cs="Arial"/>
          <w:sz w:val="24"/>
          <w:szCs w:val="24"/>
        </w:rPr>
        <w:t>______________________________</w:t>
      </w:r>
    </w:p>
    <w:p w:rsidR="00912B24" w:rsidRPr="00AD7A5A" w:rsidRDefault="00912B24" w:rsidP="007A497D">
      <w:pPr>
        <w:spacing w:line="360" w:lineRule="auto"/>
        <w:jc w:val="both"/>
        <w:rPr>
          <w:rFonts w:ascii="Arial" w:hAnsi="Arial" w:cs="Arial"/>
          <w:b/>
          <w:bCs/>
          <w:sz w:val="24"/>
          <w:szCs w:val="24"/>
        </w:rPr>
      </w:pPr>
      <w:r w:rsidRPr="00AD7A5A">
        <w:rPr>
          <w:rFonts w:ascii="Arial" w:hAnsi="Arial" w:cs="Arial"/>
          <w:b/>
          <w:bCs/>
          <w:sz w:val="24"/>
          <w:szCs w:val="24"/>
        </w:rPr>
        <w:t>JGA LAING</w:t>
      </w:r>
    </w:p>
    <w:p w:rsidR="00912B24" w:rsidRDefault="00912B24" w:rsidP="007A497D">
      <w:pPr>
        <w:spacing w:line="360" w:lineRule="auto"/>
        <w:jc w:val="both"/>
        <w:rPr>
          <w:rFonts w:ascii="Arial" w:hAnsi="Arial" w:cs="Arial"/>
          <w:b/>
          <w:bCs/>
          <w:sz w:val="24"/>
          <w:szCs w:val="24"/>
        </w:rPr>
      </w:pPr>
      <w:r w:rsidRPr="00AD7A5A">
        <w:rPr>
          <w:rFonts w:ascii="Arial" w:hAnsi="Arial" w:cs="Arial"/>
          <w:b/>
          <w:bCs/>
          <w:sz w:val="24"/>
          <w:szCs w:val="24"/>
        </w:rPr>
        <w:t>JUDGE OF THE HIGH COURT</w:t>
      </w:r>
    </w:p>
    <w:p w:rsidR="007A497D" w:rsidRDefault="007A497D" w:rsidP="007A497D">
      <w:pPr>
        <w:spacing w:line="360" w:lineRule="auto"/>
        <w:jc w:val="both"/>
        <w:rPr>
          <w:rFonts w:ascii="Arial" w:hAnsi="Arial" w:cs="Arial"/>
          <w:b/>
          <w:bCs/>
          <w:sz w:val="24"/>
          <w:szCs w:val="24"/>
        </w:rPr>
      </w:pPr>
    </w:p>
    <w:p w:rsidR="007A497D" w:rsidRDefault="007A497D" w:rsidP="005136F8">
      <w:pPr>
        <w:spacing w:line="360" w:lineRule="auto"/>
        <w:ind w:left="5760" w:hanging="5760"/>
        <w:jc w:val="both"/>
        <w:rPr>
          <w:rFonts w:ascii="Arial" w:hAnsi="Arial" w:cs="Arial"/>
          <w:bCs/>
          <w:sz w:val="24"/>
          <w:szCs w:val="24"/>
        </w:rPr>
      </w:pPr>
      <w:r>
        <w:rPr>
          <w:rFonts w:ascii="Arial" w:hAnsi="Arial" w:cs="Arial"/>
          <w:bCs/>
          <w:sz w:val="24"/>
          <w:szCs w:val="24"/>
        </w:rPr>
        <w:t xml:space="preserve">Appearing on behalf of the Plaintiff:  </w:t>
      </w:r>
      <w:r w:rsidR="005136F8">
        <w:rPr>
          <w:rFonts w:ascii="Arial" w:hAnsi="Arial" w:cs="Arial"/>
          <w:bCs/>
          <w:sz w:val="24"/>
          <w:szCs w:val="24"/>
        </w:rPr>
        <w:t xml:space="preserve">  </w:t>
      </w:r>
      <w:r w:rsidR="005136F8">
        <w:rPr>
          <w:rFonts w:ascii="Arial" w:hAnsi="Arial" w:cs="Arial"/>
          <w:bCs/>
          <w:sz w:val="24"/>
          <w:szCs w:val="24"/>
        </w:rPr>
        <w:tab/>
      </w:r>
      <w:proofErr w:type="spellStart"/>
      <w:r w:rsidR="005136F8">
        <w:rPr>
          <w:rFonts w:ascii="Arial" w:hAnsi="Arial" w:cs="Arial"/>
          <w:bCs/>
          <w:sz w:val="24"/>
          <w:szCs w:val="24"/>
        </w:rPr>
        <w:t>Adv</w:t>
      </w:r>
      <w:proofErr w:type="spellEnd"/>
      <w:r w:rsidR="005136F8">
        <w:rPr>
          <w:rFonts w:ascii="Arial" w:hAnsi="Arial" w:cs="Arial"/>
          <w:bCs/>
          <w:sz w:val="24"/>
          <w:szCs w:val="24"/>
        </w:rPr>
        <w:t xml:space="preserve"> Cole SC, instructed by N. </w:t>
      </w:r>
      <w:proofErr w:type="spellStart"/>
      <w:r w:rsidR="005136F8">
        <w:rPr>
          <w:rFonts w:ascii="Arial" w:hAnsi="Arial" w:cs="Arial"/>
          <w:bCs/>
          <w:sz w:val="24"/>
          <w:szCs w:val="24"/>
        </w:rPr>
        <w:t>Tyatyeka</w:t>
      </w:r>
      <w:proofErr w:type="spellEnd"/>
      <w:r w:rsidR="005136F8">
        <w:rPr>
          <w:rFonts w:ascii="Arial" w:hAnsi="Arial" w:cs="Arial"/>
          <w:bCs/>
          <w:sz w:val="24"/>
          <w:szCs w:val="24"/>
        </w:rPr>
        <w:t xml:space="preserve"> attorneys, EL.</w:t>
      </w:r>
    </w:p>
    <w:p w:rsidR="007A497D" w:rsidRDefault="007A497D" w:rsidP="007A497D">
      <w:pPr>
        <w:spacing w:line="360" w:lineRule="auto"/>
        <w:jc w:val="both"/>
        <w:rPr>
          <w:rFonts w:ascii="Arial" w:hAnsi="Arial" w:cs="Arial"/>
          <w:bCs/>
          <w:sz w:val="24"/>
          <w:szCs w:val="24"/>
        </w:rPr>
      </w:pPr>
      <w:r>
        <w:rPr>
          <w:rFonts w:ascii="Arial" w:hAnsi="Arial" w:cs="Arial"/>
          <w:bCs/>
          <w:sz w:val="24"/>
          <w:szCs w:val="24"/>
        </w:rPr>
        <w:t xml:space="preserve">Appearing on behalf of the Defendant: </w:t>
      </w:r>
      <w:r w:rsidR="005136F8">
        <w:rPr>
          <w:rFonts w:ascii="Arial" w:hAnsi="Arial" w:cs="Arial"/>
          <w:bCs/>
          <w:sz w:val="24"/>
          <w:szCs w:val="24"/>
        </w:rPr>
        <w:tab/>
      </w:r>
      <w:r w:rsidR="005136F8">
        <w:rPr>
          <w:rFonts w:ascii="Arial" w:hAnsi="Arial" w:cs="Arial"/>
          <w:bCs/>
          <w:sz w:val="24"/>
          <w:szCs w:val="24"/>
        </w:rPr>
        <w:tab/>
      </w:r>
      <w:r w:rsidR="005136F8">
        <w:rPr>
          <w:rFonts w:ascii="Arial" w:hAnsi="Arial" w:cs="Arial"/>
          <w:bCs/>
          <w:sz w:val="24"/>
          <w:szCs w:val="24"/>
        </w:rPr>
        <w:tab/>
        <w:t>No appearance</w:t>
      </w:r>
    </w:p>
    <w:p w:rsidR="007A497D" w:rsidRDefault="007A497D" w:rsidP="007A497D">
      <w:pPr>
        <w:spacing w:line="360" w:lineRule="auto"/>
        <w:jc w:val="both"/>
        <w:rPr>
          <w:rFonts w:ascii="Arial" w:hAnsi="Arial" w:cs="Arial"/>
          <w:bCs/>
          <w:sz w:val="24"/>
          <w:szCs w:val="24"/>
        </w:rPr>
      </w:pPr>
    </w:p>
    <w:p w:rsidR="007A497D" w:rsidRDefault="007A497D" w:rsidP="007A497D">
      <w:pPr>
        <w:spacing w:line="360" w:lineRule="auto"/>
        <w:jc w:val="both"/>
        <w:rPr>
          <w:rFonts w:ascii="Arial" w:hAnsi="Arial" w:cs="Arial"/>
          <w:bCs/>
          <w:sz w:val="24"/>
          <w:szCs w:val="24"/>
        </w:rPr>
      </w:pPr>
      <w:r>
        <w:rPr>
          <w:rFonts w:ascii="Arial" w:hAnsi="Arial" w:cs="Arial"/>
          <w:bCs/>
          <w:sz w:val="24"/>
          <w:szCs w:val="24"/>
        </w:rPr>
        <w:t xml:space="preserve">Date heard: </w:t>
      </w:r>
      <w:r w:rsidR="005136F8">
        <w:rPr>
          <w:rFonts w:ascii="Arial" w:hAnsi="Arial" w:cs="Arial"/>
          <w:bCs/>
          <w:sz w:val="24"/>
          <w:szCs w:val="24"/>
        </w:rPr>
        <w:t>30 August 2022</w:t>
      </w:r>
    </w:p>
    <w:p w:rsidR="007A497D" w:rsidRPr="007A497D" w:rsidRDefault="007A497D" w:rsidP="007A497D">
      <w:pPr>
        <w:spacing w:line="360" w:lineRule="auto"/>
        <w:jc w:val="both"/>
        <w:rPr>
          <w:rFonts w:ascii="Arial" w:hAnsi="Arial" w:cs="Arial"/>
          <w:bCs/>
          <w:sz w:val="24"/>
          <w:szCs w:val="24"/>
        </w:rPr>
      </w:pPr>
      <w:r>
        <w:rPr>
          <w:rFonts w:ascii="Arial" w:hAnsi="Arial" w:cs="Arial"/>
          <w:bCs/>
          <w:sz w:val="24"/>
          <w:szCs w:val="24"/>
        </w:rPr>
        <w:t xml:space="preserve">Date delivered: </w:t>
      </w:r>
      <w:r w:rsidR="005136F8">
        <w:rPr>
          <w:rFonts w:ascii="Arial" w:hAnsi="Arial" w:cs="Arial"/>
          <w:bCs/>
          <w:sz w:val="24"/>
          <w:szCs w:val="24"/>
        </w:rPr>
        <w:t>29 November 2022</w:t>
      </w:r>
    </w:p>
    <w:sectPr w:rsidR="007A497D" w:rsidRPr="007A4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8B" w:rsidRDefault="007C238B" w:rsidP="00D848E3">
      <w:pPr>
        <w:spacing w:after="0" w:line="240" w:lineRule="auto"/>
      </w:pPr>
      <w:r>
        <w:separator/>
      </w:r>
    </w:p>
  </w:endnote>
  <w:endnote w:type="continuationSeparator" w:id="0">
    <w:p w:rsidR="007C238B" w:rsidRDefault="007C238B" w:rsidP="00D8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8B" w:rsidRDefault="007C238B" w:rsidP="00D848E3">
      <w:pPr>
        <w:spacing w:after="0" w:line="240" w:lineRule="auto"/>
      </w:pPr>
      <w:r>
        <w:separator/>
      </w:r>
    </w:p>
  </w:footnote>
  <w:footnote w:type="continuationSeparator" w:id="0">
    <w:p w:rsidR="007C238B" w:rsidRDefault="007C238B" w:rsidP="00D848E3">
      <w:pPr>
        <w:spacing w:after="0" w:line="240" w:lineRule="auto"/>
      </w:pPr>
      <w:r>
        <w:continuationSeparator/>
      </w:r>
    </w:p>
  </w:footnote>
  <w:footnote w:id="1">
    <w:p w:rsidR="00D848E3" w:rsidRPr="00D848E3" w:rsidRDefault="00D848E3">
      <w:pPr>
        <w:pStyle w:val="FootnoteText"/>
        <w:rPr>
          <w:lang w:val="en-US"/>
        </w:rPr>
      </w:pPr>
      <w:r>
        <w:rPr>
          <w:rStyle w:val="FootnoteReference"/>
        </w:rPr>
        <w:footnoteRef/>
      </w:r>
      <w:r>
        <w:t xml:space="preserve"> </w:t>
      </w:r>
      <w:r w:rsidR="00603D06">
        <w:rPr>
          <w:lang w:val="en-US"/>
        </w:rPr>
        <w:t xml:space="preserve">Dendy M, ‘Damages’, in </w:t>
      </w:r>
      <w:r w:rsidR="00603D06" w:rsidRPr="002B5FAB">
        <w:rPr>
          <w:i/>
          <w:iCs/>
          <w:lang w:val="en-US"/>
        </w:rPr>
        <w:t>LAWSA</w:t>
      </w:r>
      <w:r w:rsidR="00232220">
        <w:rPr>
          <w:lang w:val="en-US"/>
        </w:rPr>
        <w:t xml:space="preserve"> (</w:t>
      </w:r>
      <w:proofErr w:type="spellStart"/>
      <w:r w:rsidR="00232220">
        <w:rPr>
          <w:lang w:val="en-US"/>
        </w:rPr>
        <w:t>vol</w:t>
      </w:r>
      <w:proofErr w:type="spellEnd"/>
      <w:r w:rsidR="00232220">
        <w:rPr>
          <w:lang w:val="en-US"/>
        </w:rPr>
        <w:t xml:space="preserve"> 14(1), 3ed, </w:t>
      </w:r>
      <w:r w:rsidR="002B5FAB">
        <w:rPr>
          <w:lang w:val="en-US"/>
        </w:rPr>
        <w:t xml:space="preserve">2018), at paragraph </w:t>
      </w:r>
      <w:r w:rsidR="007D1517">
        <w:rPr>
          <w:lang w:val="en-US"/>
        </w:rPr>
        <w:t>27</w:t>
      </w:r>
      <w:r w:rsidR="002B5FAB">
        <w:rPr>
          <w:lang w:val="en-US"/>
        </w:rPr>
        <w:t>.</w:t>
      </w:r>
    </w:p>
  </w:footnote>
  <w:footnote w:id="2">
    <w:p w:rsidR="006813CD" w:rsidRPr="006813CD" w:rsidRDefault="006813CD">
      <w:pPr>
        <w:pStyle w:val="FootnoteText"/>
        <w:rPr>
          <w:lang w:val="en-US"/>
        </w:rPr>
      </w:pPr>
      <w:r>
        <w:rPr>
          <w:rStyle w:val="FootnoteReference"/>
        </w:rPr>
        <w:footnoteRef/>
      </w:r>
      <w:r>
        <w:t xml:space="preserve"> </w:t>
      </w:r>
      <w:r>
        <w:rPr>
          <w:lang w:val="en-US"/>
        </w:rPr>
        <w:t xml:space="preserve">See </w:t>
      </w:r>
      <w:r w:rsidRPr="009879AC">
        <w:rPr>
          <w:i/>
          <w:iCs/>
          <w:lang w:val="en-US"/>
        </w:rPr>
        <w:t xml:space="preserve">Southern Insurance </w:t>
      </w:r>
      <w:r w:rsidR="007218C6" w:rsidRPr="009879AC">
        <w:rPr>
          <w:i/>
          <w:iCs/>
          <w:lang w:val="en-US"/>
        </w:rPr>
        <w:t>Association Ltd v Bailey</w:t>
      </w:r>
      <w:r w:rsidR="007218C6">
        <w:rPr>
          <w:lang w:val="en-US"/>
        </w:rPr>
        <w:t xml:space="preserve"> 1984</w:t>
      </w:r>
      <w:r w:rsidR="00E40E16">
        <w:rPr>
          <w:lang w:val="en-US"/>
        </w:rPr>
        <w:t xml:space="preserve"> (1) SA </w:t>
      </w:r>
      <w:r w:rsidR="009879AC">
        <w:rPr>
          <w:lang w:val="en-US"/>
        </w:rPr>
        <w:t>98 (A), at 117B-D.</w:t>
      </w:r>
    </w:p>
  </w:footnote>
  <w:footnote w:id="3">
    <w:p w:rsidR="007339D5" w:rsidRPr="007339D5" w:rsidRDefault="007339D5">
      <w:pPr>
        <w:pStyle w:val="FootnoteText"/>
        <w:rPr>
          <w:lang w:val="en-US"/>
        </w:rPr>
      </w:pPr>
      <w:r>
        <w:rPr>
          <w:rStyle w:val="FootnoteReference"/>
        </w:rPr>
        <w:footnoteRef/>
      </w:r>
      <w:r>
        <w:t xml:space="preserve"> </w:t>
      </w:r>
      <w:r>
        <w:rPr>
          <w:lang w:val="en-US"/>
        </w:rPr>
        <w:t xml:space="preserve">Dendy M, </w:t>
      </w:r>
      <w:r w:rsidRPr="007339D5">
        <w:rPr>
          <w:i/>
          <w:iCs/>
          <w:lang w:val="en-US"/>
        </w:rPr>
        <w:t xml:space="preserve">op </w:t>
      </w:r>
      <w:proofErr w:type="spellStart"/>
      <w:r w:rsidRPr="007339D5">
        <w:rPr>
          <w:i/>
          <w:iCs/>
          <w:lang w:val="en-US"/>
        </w:rPr>
        <w:t>cit</w:t>
      </w:r>
      <w:proofErr w:type="spellEnd"/>
      <w:r>
        <w:rPr>
          <w:lang w:val="en-US"/>
        </w:rPr>
        <w:t>, at paragraph 89.</w:t>
      </w:r>
    </w:p>
  </w:footnote>
  <w:footnote w:id="4">
    <w:p w:rsidR="00663594" w:rsidRPr="00663594" w:rsidRDefault="00663594">
      <w:pPr>
        <w:pStyle w:val="FootnoteText"/>
        <w:rPr>
          <w:lang w:val="en-US"/>
        </w:rPr>
      </w:pPr>
      <w:r>
        <w:rPr>
          <w:rStyle w:val="FootnoteReference"/>
        </w:rPr>
        <w:footnoteRef/>
      </w:r>
      <w:r>
        <w:t xml:space="preserve"> </w:t>
      </w:r>
      <w:r w:rsidR="00A922DE">
        <w:t xml:space="preserve">See </w:t>
      </w:r>
      <w:r w:rsidR="005F4AAF" w:rsidRPr="000309DA">
        <w:rPr>
          <w:i/>
          <w:iCs/>
          <w:lang w:val="en-US"/>
        </w:rPr>
        <w:t xml:space="preserve">Paton v </w:t>
      </w:r>
      <w:proofErr w:type="spellStart"/>
      <w:r w:rsidR="005F4AAF" w:rsidRPr="000309DA">
        <w:rPr>
          <w:i/>
          <w:iCs/>
          <w:lang w:val="en-US"/>
        </w:rPr>
        <w:t>S</w:t>
      </w:r>
      <w:r w:rsidR="00F6406D" w:rsidRPr="000309DA">
        <w:rPr>
          <w:i/>
          <w:iCs/>
          <w:lang w:val="en-US"/>
        </w:rPr>
        <w:t>antam</w:t>
      </w:r>
      <w:proofErr w:type="spellEnd"/>
      <w:r w:rsidR="005F4AAF" w:rsidRPr="000309DA">
        <w:rPr>
          <w:i/>
          <w:iCs/>
          <w:lang w:val="en-US"/>
        </w:rPr>
        <w:t xml:space="preserve"> Insurance</w:t>
      </w:r>
      <w:r w:rsidR="00F6406D" w:rsidRPr="000309DA">
        <w:rPr>
          <w:i/>
          <w:iCs/>
          <w:lang w:val="en-US"/>
        </w:rPr>
        <w:t xml:space="preserve"> Co Ltd</w:t>
      </w:r>
      <w:r w:rsidR="00F6406D">
        <w:rPr>
          <w:lang w:val="en-US"/>
        </w:rPr>
        <w:t xml:space="preserve"> 1965 (1) </w:t>
      </w:r>
      <w:r w:rsidR="000309DA">
        <w:rPr>
          <w:lang w:val="en-US"/>
        </w:rPr>
        <w:t>QOD 637 (E) 645.</w:t>
      </w:r>
    </w:p>
  </w:footnote>
  <w:footnote w:id="5">
    <w:p w:rsidR="00845D8B" w:rsidRPr="00845D8B" w:rsidRDefault="00845D8B">
      <w:pPr>
        <w:pStyle w:val="FootnoteText"/>
        <w:rPr>
          <w:lang w:val="en-US"/>
        </w:rPr>
      </w:pPr>
      <w:r>
        <w:rPr>
          <w:rStyle w:val="FootnoteReference"/>
        </w:rPr>
        <w:footnoteRef/>
      </w:r>
      <w:r>
        <w:t xml:space="preserve"> </w:t>
      </w:r>
      <w:r>
        <w:rPr>
          <w:lang w:val="en-US"/>
        </w:rPr>
        <w:t xml:space="preserve">This is </w:t>
      </w:r>
      <w:r w:rsidR="0065764F">
        <w:rPr>
          <w:lang w:val="en-US"/>
        </w:rPr>
        <w:t xml:space="preserve">described in </w:t>
      </w:r>
      <w:proofErr w:type="spellStart"/>
      <w:r w:rsidR="0065764F">
        <w:rPr>
          <w:lang w:val="en-US"/>
        </w:rPr>
        <w:t>Mr</w:t>
      </w:r>
      <w:proofErr w:type="spellEnd"/>
      <w:r w:rsidR="0065764F">
        <w:rPr>
          <w:lang w:val="en-US"/>
        </w:rPr>
        <w:t xml:space="preserve"> </w:t>
      </w:r>
      <w:proofErr w:type="spellStart"/>
      <w:r w:rsidR="0065764F">
        <w:rPr>
          <w:lang w:val="en-US"/>
        </w:rPr>
        <w:t>Kalanko’s</w:t>
      </w:r>
      <w:proofErr w:type="spellEnd"/>
      <w:r w:rsidR="0065764F">
        <w:rPr>
          <w:lang w:val="en-US"/>
        </w:rPr>
        <w:t xml:space="preserve"> report as </w:t>
      </w:r>
      <w:r w:rsidR="009E01A7">
        <w:rPr>
          <w:lang w:val="en-US"/>
        </w:rPr>
        <w:t xml:space="preserve">a ‘career ceiling within the lower quartile and median range </w:t>
      </w:r>
      <w:r w:rsidR="001801B6">
        <w:rPr>
          <w:lang w:val="en-US"/>
        </w:rPr>
        <w:t xml:space="preserve">for Paterson level D1… by the </w:t>
      </w:r>
      <w:r w:rsidR="004D67E7">
        <w:rPr>
          <w:lang w:val="en-US"/>
        </w:rPr>
        <w:t xml:space="preserve">approximate </w:t>
      </w:r>
      <w:r w:rsidR="001801B6">
        <w:rPr>
          <w:lang w:val="en-US"/>
        </w:rPr>
        <w:t>age of 45.’</w:t>
      </w:r>
    </w:p>
  </w:footnote>
  <w:footnote w:id="6">
    <w:p w:rsidR="008A69DD" w:rsidRPr="008A69DD" w:rsidRDefault="008A69DD">
      <w:pPr>
        <w:pStyle w:val="FootnoteText"/>
        <w:rPr>
          <w:lang w:val="en-US"/>
        </w:rPr>
      </w:pPr>
      <w:r>
        <w:rPr>
          <w:rStyle w:val="FootnoteReference"/>
        </w:rPr>
        <w:footnoteRef/>
      </w:r>
      <w:r>
        <w:t xml:space="preserve"> </w:t>
      </w:r>
      <w:r>
        <w:rPr>
          <w:lang w:val="en-US"/>
        </w:rPr>
        <w:t xml:space="preserve">He </w:t>
      </w:r>
      <w:r w:rsidR="00B409FE">
        <w:rPr>
          <w:lang w:val="en-US"/>
        </w:rPr>
        <w:t>indicat</w:t>
      </w:r>
      <w:r>
        <w:rPr>
          <w:lang w:val="en-US"/>
        </w:rPr>
        <w:t xml:space="preserve">es </w:t>
      </w:r>
      <w:r w:rsidR="00B409FE">
        <w:rPr>
          <w:lang w:val="en-US"/>
        </w:rPr>
        <w:t xml:space="preserve">a ‘career ceiling </w:t>
      </w:r>
      <w:r w:rsidR="00074AAA">
        <w:rPr>
          <w:lang w:val="en-US"/>
        </w:rPr>
        <w:t>within the lower quartile and median range for Paterson level C1/C2</w:t>
      </w:r>
      <w:r w:rsidR="004D67E7">
        <w:rPr>
          <w:lang w:val="en-US"/>
        </w:rPr>
        <w:t>… by the approximate age of 45.’</w:t>
      </w:r>
    </w:p>
  </w:footnote>
  <w:footnote w:id="7">
    <w:p w:rsidR="00B76470" w:rsidRPr="00B76470" w:rsidRDefault="00B76470">
      <w:pPr>
        <w:pStyle w:val="FootnoteText"/>
        <w:rPr>
          <w:lang w:val="en-US"/>
        </w:rPr>
      </w:pPr>
      <w:r>
        <w:rPr>
          <w:rStyle w:val="FootnoteReference"/>
        </w:rPr>
        <w:footnoteRef/>
      </w:r>
      <w:r>
        <w:t xml:space="preserve"> </w:t>
      </w:r>
      <w:r>
        <w:rPr>
          <w:lang w:val="en-US"/>
        </w:rPr>
        <w:t xml:space="preserve">See </w:t>
      </w:r>
      <w:r w:rsidRPr="001803E8">
        <w:rPr>
          <w:i/>
          <w:iCs/>
          <w:lang w:val="en-US"/>
        </w:rPr>
        <w:t xml:space="preserve">Van der </w:t>
      </w:r>
      <w:proofErr w:type="spellStart"/>
      <w:r w:rsidRPr="001803E8">
        <w:rPr>
          <w:i/>
          <w:iCs/>
          <w:lang w:val="en-US"/>
        </w:rPr>
        <w:t>Plaats</w:t>
      </w:r>
      <w:proofErr w:type="spellEnd"/>
      <w:r w:rsidRPr="001803E8">
        <w:rPr>
          <w:i/>
          <w:iCs/>
          <w:lang w:val="en-US"/>
        </w:rPr>
        <w:t xml:space="preserve"> v </w:t>
      </w:r>
      <w:r w:rsidR="00D81FFF" w:rsidRPr="001803E8">
        <w:rPr>
          <w:i/>
          <w:iCs/>
          <w:lang w:val="en-US"/>
        </w:rPr>
        <w:t>SA Mutual Fire &amp; General Insurance</w:t>
      </w:r>
      <w:r w:rsidR="008F3D70" w:rsidRPr="001803E8">
        <w:rPr>
          <w:i/>
          <w:iCs/>
          <w:lang w:val="en-US"/>
        </w:rPr>
        <w:t xml:space="preserve"> Co Ltd</w:t>
      </w:r>
      <w:r w:rsidR="008F3D70">
        <w:rPr>
          <w:lang w:val="en-US"/>
        </w:rPr>
        <w:t xml:space="preserve"> 1980 (3) SA 105 </w:t>
      </w:r>
      <w:r w:rsidR="001803E8">
        <w:rPr>
          <w:lang w:val="en-US"/>
        </w:rPr>
        <w:t>(A), at 114-115.</w:t>
      </w:r>
      <w:r w:rsidR="00140DCA">
        <w:rPr>
          <w:lang w:val="en-US"/>
        </w:rPr>
        <w:t xml:space="preserve"> In relation to </w:t>
      </w:r>
      <w:r w:rsidR="00D512E9">
        <w:rPr>
          <w:lang w:val="en-US"/>
        </w:rPr>
        <w:t xml:space="preserve">young </w:t>
      </w:r>
      <w:r w:rsidR="00140DCA">
        <w:rPr>
          <w:lang w:val="en-US"/>
        </w:rPr>
        <w:t xml:space="preserve">children, see </w:t>
      </w:r>
      <w:r w:rsidR="00D512E9" w:rsidRPr="00D108AF">
        <w:rPr>
          <w:i/>
          <w:iCs/>
          <w:lang w:val="en-US"/>
        </w:rPr>
        <w:t xml:space="preserve">Singh </w:t>
      </w:r>
      <w:r w:rsidR="00D7039E" w:rsidRPr="00D108AF">
        <w:rPr>
          <w:i/>
          <w:iCs/>
          <w:lang w:val="en-US"/>
        </w:rPr>
        <w:t xml:space="preserve">and another v </w:t>
      </w:r>
      <w:proofErr w:type="spellStart"/>
      <w:r w:rsidR="00D7039E" w:rsidRPr="00D108AF">
        <w:rPr>
          <w:i/>
          <w:iCs/>
          <w:lang w:val="en-US"/>
        </w:rPr>
        <w:t>Ebrahim</w:t>
      </w:r>
      <w:proofErr w:type="spellEnd"/>
      <w:r w:rsidR="00D7039E" w:rsidRPr="00D108AF">
        <w:rPr>
          <w:i/>
          <w:iCs/>
          <w:lang w:val="en-US"/>
        </w:rPr>
        <w:t xml:space="preserve"> (2)</w:t>
      </w:r>
      <w:r w:rsidR="00D7039E">
        <w:rPr>
          <w:lang w:val="en-US"/>
        </w:rPr>
        <w:t xml:space="preserve"> </w:t>
      </w:r>
      <w:r w:rsidR="00D108AF">
        <w:rPr>
          <w:lang w:val="en-US"/>
        </w:rPr>
        <w:t>[</w:t>
      </w:r>
      <w:r w:rsidR="00D7039E">
        <w:rPr>
          <w:lang w:val="en-US"/>
        </w:rPr>
        <w:t>2010</w:t>
      </w:r>
      <w:r w:rsidR="00D108AF">
        <w:rPr>
          <w:lang w:val="en-US"/>
        </w:rPr>
        <w:t>] 3 All SA 240 (D), at paragraph [9].</w:t>
      </w:r>
    </w:p>
  </w:footnote>
  <w:footnote w:id="8">
    <w:p w:rsidR="00670C7A" w:rsidRPr="00670C7A" w:rsidRDefault="00670C7A">
      <w:pPr>
        <w:pStyle w:val="FootnoteText"/>
        <w:rPr>
          <w:lang w:val="en-US"/>
        </w:rPr>
      </w:pPr>
      <w:r>
        <w:rPr>
          <w:rStyle w:val="FootnoteReference"/>
        </w:rPr>
        <w:footnoteRef/>
      </w:r>
      <w:r>
        <w:t xml:space="preserve"> </w:t>
      </w:r>
      <w:r w:rsidR="00200151">
        <w:t xml:space="preserve">See </w:t>
      </w:r>
      <w:r w:rsidR="00200151" w:rsidRPr="008063EF">
        <w:rPr>
          <w:i/>
          <w:iCs/>
        </w:rPr>
        <w:t>Southern Insurance Association Ltd</w:t>
      </w:r>
      <w:r w:rsidR="008B5076">
        <w:t xml:space="preserve"> (n 2, </w:t>
      </w:r>
      <w:r w:rsidR="008B5076" w:rsidRPr="008063EF">
        <w:rPr>
          <w:i/>
          <w:iCs/>
        </w:rPr>
        <w:t>supra</w:t>
      </w:r>
      <w:r w:rsidR="008B5076">
        <w:t xml:space="preserve">); also see </w:t>
      </w:r>
      <w:r w:rsidR="008B5076" w:rsidRPr="008063EF">
        <w:rPr>
          <w:i/>
          <w:iCs/>
        </w:rPr>
        <w:t>Nationwide Airlines (Pty) Ltd</w:t>
      </w:r>
      <w:r w:rsidR="00A63B20" w:rsidRPr="008063EF">
        <w:rPr>
          <w:i/>
          <w:iCs/>
        </w:rPr>
        <w:t xml:space="preserve"> (in liquidation) v SA Airways (Pty) Ltd</w:t>
      </w:r>
      <w:r w:rsidR="00A63B20">
        <w:t xml:space="preserve"> [2016] 4 </w:t>
      </w:r>
      <w:r w:rsidR="008063EF">
        <w:t>All SA 153 (GJ), at paragraph [147].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716E"/>
    <w:multiLevelType w:val="hybridMultilevel"/>
    <w:tmpl w:val="742664B8"/>
    <w:lvl w:ilvl="0" w:tplc="BAF83B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EC1685"/>
    <w:multiLevelType w:val="hybridMultilevel"/>
    <w:tmpl w:val="FDD8F112"/>
    <w:lvl w:ilvl="0" w:tplc="0C5EE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86"/>
    <w:rsid w:val="00002A96"/>
    <w:rsid w:val="0000325F"/>
    <w:rsid w:val="00021DFD"/>
    <w:rsid w:val="00025F96"/>
    <w:rsid w:val="000309DA"/>
    <w:rsid w:val="000468FB"/>
    <w:rsid w:val="00050409"/>
    <w:rsid w:val="00053243"/>
    <w:rsid w:val="000600BE"/>
    <w:rsid w:val="00065EFF"/>
    <w:rsid w:val="00072628"/>
    <w:rsid w:val="000733E8"/>
    <w:rsid w:val="00074AAA"/>
    <w:rsid w:val="00087DE2"/>
    <w:rsid w:val="00094B2E"/>
    <w:rsid w:val="00095403"/>
    <w:rsid w:val="000B1B56"/>
    <w:rsid w:val="000B5D22"/>
    <w:rsid w:val="000C35AD"/>
    <w:rsid w:val="000E006B"/>
    <w:rsid w:val="000E2A05"/>
    <w:rsid w:val="000E4086"/>
    <w:rsid w:val="000F17DB"/>
    <w:rsid w:val="00122535"/>
    <w:rsid w:val="0012419F"/>
    <w:rsid w:val="00125A67"/>
    <w:rsid w:val="00136C40"/>
    <w:rsid w:val="00140DCA"/>
    <w:rsid w:val="00141AEC"/>
    <w:rsid w:val="00165290"/>
    <w:rsid w:val="00165440"/>
    <w:rsid w:val="001801B6"/>
    <w:rsid w:val="001803E8"/>
    <w:rsid w:val="0019644D"/>
    <w:rsid w:val="001A7729"/>
    <w:rsid w:val="001B0683"/>
    <w:rsid w:val="001D1F1D"/>
    <w:rsid w:val="001D7824"/>
    <w:rsid w:val="001E05C6"/>
    <w:rsid w:val="001F4817"/>
    <w:rsid w:val="00200151"/>
    <w:rsid w:val="002048AF"/>
    <w:rsid w:val="00220E3F"/>
    <w:rsid w:val="00222201"/>
    <w:rsid w:val="00232220"/>
    <w:rsid w:val="002349B5"/>
    <w:rsid w:val="002548CB"/>
    <w:rsid w:val="00260847"/>
    <w:rsid w:val="00276251"/>
    <w:rsid w:val="00281073"/>
    <w:rsid w:val="00285299"/>
    <w:rsid w:val="002906B8"/>
    <w:rsid w:val="00294925"/>
    <w:rsid w:val="00295026"/>
    <w:rsid w:val="002B0411"/>
    <w:rsid w:val="002B3A5E"/>
    <w:rsid w:val="002B5FAB"/>
    <w:rsid w:val="002B731A"/>
    <w:rsid w:val="002C170E"/>
    <w:rsid w:val="002D284D"/>
    <w:rsid w:val="002D74EE"/>
    <w:rsid w:val="002F6F02"/>
    <w:rsid w:val="0030186B"/>
    <w:rsid w:val="0030616A"/>
    <w:rsid w:val="00326FE1"/>
    <w:rsid w:val="00327135"/>
    <w:rsid w:val="0033359D"/>
    <w:rsid w:val="00341585"/>
    <w:rsid w:val="00365296"/>
    <w:rsid w:val="0036739D"/>
    <w:rsid w:val="003675DF"/>
    <w:rsid w:val="003679E7"/>
    <w:rsid w:val="003720CD"/>
    <w:rsid w:val="0037316B"/>
    <w:rsid w:val="00377153"/>
    <w:rsid w:val="00391174"/>
    <w:rsid w:val="00395C7F"/>
    <w:rsid w:val="0039659A"/>
    <w:rsid w:val="003970FC"/>
    <w:rsid w:val="003B3D16"/>
    <w:rsid w:val="003C56AE"/>
    <w:rsid w:val="003D2C06"/>
    <w:rsid w:val="003F1470"/>
    <w:rsid w:val="004000DE"/>
    <w:rsid w:val="00407B94"/>
    <w:rsid w:val="00411C96"/>
    <w:rsid w:val="00461D9D"/>
    <w:rsid w:val="00462FFD"/>
    <w:rsid w:val="00471E6A"/>
    <w:rsid w:val="0047598A"/>
    <w:rsid w:val="004824EE"/>
    <w:rsid w:val="00494056"/>
    <w:rsid w:val="004A2F06"/>
    <w:rsid w:val="004B5C1B"/>
    <w:rsid w:val="004B618F"/>
    <w:rsid w:val="004B65D8"/>
    <w:rsid w:val="004D2827"/>
    <w:rsid w:val="004D67E7"/>
    <w:rsid w:val="00510235"/>
    <w:rsid w:val="0051272D"/>
    <w:rsid w:val="005136F8"/>
    <w:rsid w:val="00526487"/>
    <w:rsid w:val="005577D4"/>
    <w:rsid w:val="00557FCD"/>
    <w:rsid w:val="00562479"/>
    <w:rsid w:val="0056466E"/>
    <w:rsid w:val="005725DC"/>
    <w:rsid w:val="005A044A"/>
    <w:rsid w:val="005A6248"/>
    <w:rsid w:val="005A6FC7"/>
    <w:rsid w:val="005B4FCC"/>
    <w:rsid w:val="005C7D61"/>
    <w:rsid w:val="005E0D78"/>
    <w:rsid w:val="005E5C17"/>
    <w:rsid w:val="005E71DB"/>
    <w:rsid w:val="005F4AAF"/>
    <w:rsid w:val="005F5C34"/>
    <w:rsid w:val="00603D06"/>
    <w:rsid w:val="00606AB7"/>
    <w:rsid w:val="006206F5"/>
    <w:rsid w:val="006214D1"/>
    <w:rsid w:val="00634CB0"/>
    <w:rsid w:val="00651FE5"/>
    <w:rsid w:val="0065764F"/>
    <w:rsid w:val="00663594"/>
    <w:rsid w:val="00670C7A"/>
    <w:rsid w:val="006813CD"/>
    <w:rsid w:val="00690A0A"/>
    <w:rsid w:val="006935E1"/>
    <w:rsid w:val="006A6465"/>
    <w:rsid w:val="006B0292"/>
    <w:rsid w:val="006B1B7A"/>
    <w:rsid w:val="006B67A6"/>
    <w:rsid w:val="006C0F7C"/>
    <w:rsid w:val="006C615C"/>
    <w:rsid w:val="00700745"/>
    <w:rsid w:val="0070685C"/>
    <w:rsid w:val="007148E5"/>
    <w:rsid w:val="007218C6"/>
    <w:rsid w:val="007272FE"/>
    <w:rsid w:val="007304D2"/>
    <w:rsid w:val="007339D5"/>
    <w:rsid w:val="007343BC"/>
    <w:rsid w:val="00764620"/>
    <w:rsid w:val="00774AE5"/>
    <w:rsid w:val="007A497D"/>
    <w:rsid w:val="007A4C56"/>
    <w:rsid w:val="007A7EFA"/>
    <w:rsid w:val="007C165F"/>
    <w:rsid w:val="007C1FFA"/>
    <w:rsid w:val="007C238B"/>
    <w:rsid w:val="007D1517"/>
    <w:rsid w:val="007E3F6C"/>
    <w:rsid w:val="007E799B"/>
    <w:rsid w:val="007F610B"/>
    <w:rsid w:val="00800ADB"/>
    <w:rsid w:val="008063EF"/>
    <w:rsid w:val="00826E15"/>
    <w:rsid w:val="00845D8B"/>
    <w:rsid w:val="00847A04"/>
    <w:rsid w:val="00857855"/>
    <w:rsid w:val="008644A1"/>
    <w:rsid w:val="008763A0"/>
    <w:rsid w:val="008A55E8"/>
    <w:rsid w:val="008A6647"/>
    <w:rsid w:val="008A69DD"/>
    <w:rsid w:val="008A75A6"/>
    <w:rsid w:val="008B2418"/>
    <w:rsid w:val="008B38BA"/>
    <w:rsid w:val="008B5076"/>
    <w:rsid w:val="008C12CB"/>
    <w:rsid w:val="008C3D91"/>
    <w:rsid w:val="008D6960"/>
    <w:rsid w:val="008E610D"/>
    <w:rsid w:val="008F3082"/>
    <w:rsid w:val="008F3D70"/>
    <w:rsid w:val="008F42C6"/>
    <w:rsid w:val="00903448"/>
    <w:rsid w:val="00905DD0"/>
    <w:rsid w:val="00912B24"/>
    <w:rsid w:val="00941666"/>
    <w:rsid w:val="00954867"/>
    <w:rsid w:val="009839C4"/>
    <w:rsid w:val="009879AC"/>
    <w:rsid w:val="009B333F"/>
    <w:rsid w:val="009B645C"/>
    <w:rsid w:val="009C77D5"/>
    <w:rsid w:val="009E01A7"/>
    <w:rsid w:val="009F2D3A"/>
    <w:rsid w:val="00A00D52"/>
    <w:rsid w:val="00A039B2"/>
    <w:rsid w:val="00A03DFD"/>
    <w:rsid w:val="00A158EC"/>
    <w:rsid w:val="00A350CA"/>
    <w:rsid w:val="00A3545D"/>
    <w:rsid w:val="00A3781F"/>
    <w:rsid w:val="00A63B20"/>
    <w:rsid w:val="00A77E57"/>
    <w:rsid w:val="00A8665A"/>
    <w:rsid w:val="00A922DE"/>
    <w:rsid w:val="00A96770"/>
    <w:rsid w:val="00AA0BAA"/>
    <w:rsid w:val="00AB0CBF"/>
    <w:rsid w:val="00AC406F"/>
    <w:rsid w:val="00AD2F39"/>
    <w:rsid w:val="00AD7A5A"/>
    <w:rsid w:val="00AF2B80"/>
    <w:rsid w:val="00B03AE6"/>
    <w:rsid w:val="00B26C34"/>
    <w:rsid w:val="00B33C60"/>
    <w:rsid w:val="00B368A8"/>
    <w:rsid w:val="00B379AD"/>
    <w:rsid w:val="00B409FE"/>
    <w:rsid w:val="00B43D99"/>
    <w:rsid w:val="00B71230"/>
    <w:rsid w:val="00B73783"/>
    <w:rsid w:val="00B74AD5"/>
    <w:rsid w:val="00B76470"/>
    <w:rsid w:val="00B86E32"/>
    <w:rsid w:val="00B937B9"/>
    <w:rsid w:val="00BA29FD"/>
    <w:rsid w:val="00BA38B1"/>
    <w:rsid w:val="00BB3718"/>
    <w:rsid w:val="00BC2ACB"/>
    <w:rsid w:val="00BC7B29"/>
    <w:rsid w:val="00BF5F52"/>
    <w:rsid w:val="00C254AD"/>
    <w:rsid w:val="00C30E30"/>
    <w:rsid w:val="00C35194"/>
    <w:rsid w:val="00C4431F"/>
    <w:rsid w:val="00C66ED8"/>
    <w:rsid w:val="00C670C6"/>
    <w:rsid w:val="00C73EA4"/>
    <w:rsid w:val="00C85555"/>
    <w:rsid w:val="00C86412"/>
    <w:rsid w:val="00C907E1"/>
    <w:rsid w:val="00C97C31"/>
    <w:rsid w:val="00CA332F"/>
    <w:rsid w:val="00CE321E"/>
    <w:rsid w:val="00CF6DF9"/>
    <w:rsid w:val="00CF6FFB"/>
    <w:rsid w:val="00D108AF"/>
    <w:rsid w:val="00D14CCB"/>
    <w:rsid w:val="00D150B3"/>
    <w:rsid w:val="00D2777E"/>
    <w:rsid w:val="00D36ABD"/>
    <w:rsid w:val="00D5062D"/>
    <w:rsid w:val="00D512E9"/>
    <w:rsid w:val="00D52E07"/>
    <w:rsid w:val="00D632D9"/>
    <w:rsid w:val="00D64F72"/>
    <w:rsid w:val="00D7039E"/>
    <w:rsid w:val="00D81578"/>
    <w:rsid w:val="00D81FFF"/>
    <w:rsid w:val="00D83458"/>
    <w:rsid w:val="00D848E3"/>
    <w:rsid w:val="00D97F8D"/>
    <w:rsid w:val="00DF2FFA"/>
    <w:rsid w:val="00DF7C8D"/>
    <w:rsid w:val="00E0058C"/>
    <w:rsid w:val="00E03A20"/>
    <w:rsid w:val="00E03C91"/>
    <w:rsid w:val="00E33ECC"/>
    <w:rsid w:val="00E40C49"/>
    <w:rsid w:val="00E40E16"/>
    <w:rsid w:val="00E75BCF"/>
    <w:rsid w:val="00E832D3"/>
    <w:rsid w:val="00E84A1C"/>
    <w:rsid w:val="00E8627B"/>
    <w:rsid w:val="00E86D0B"/>
    <w:rsid w:val="00E92252"/>
    <w:rsid w:val="00E96E9E"/>
    <w:rsid w:val="00EB15B8"/>
    <w:rsid w:val="00EB462D"/>
    <w:rsid w:val="00ED03C5"/>
    <w:rsid w:val="00ED38D8"/>
    <w:rsid w:val="00EF62C5"/>
    <w:rsid w:val="00EF6459"/>
    <w:rsid w:val="00F003FF"/>
    <w:rsid w:val="00F31ED8"/>
    <w:rsid w:val="00F46510"/>
    <w:rsid w:val="00F5308E"/>
    <w:rsid w:val="00F6406D"/>
    <w:rsid w:val="00F8315F"/>
    <w:rsid w:val="00F84FB5"/>
    <w:rsid w:val="00F85796"/>
    <w:rsid w:val="00FA7B71"/>
    <w:rsid w:val="00FD01DB"/>
    <w:rsid w:val="00FD2C70"/>
    <w:rsid w:val="00FD6A68"/>
    <w:rsid w:val="00FE539D"/>
    <w:rsid w:val="00FF125B"/>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448B-C77B-4B75-ACB2-3AF6AA0B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8E3"/>
    <w:rPr>
      <w:sz w:val="20"/>
      <w:szCs w:val="20"/>
      <w:lang w:val="en-ZA"/>
    </w:rPr>
  </w:style>
  <w:style w:type="character" w:styleId="FootnoteReference">
    <w:name w:val="footnote reference"/>
    <w:basedOn w:val="DefaultParagraphFont"/>
    <w:uiPriority w:val="99"/>
    <w:semiHidden/>
    <w:unhideWhenUsed/>
    <w:rsid w:val="00D848E3"/>
    <w:rPr>
      <w:vertAlign w:val="superscript"/>
    </w:rPr>
  </w:style>
  <w:style w:type="paragraph" w:styleId="ListParagraph">
    <w:name w:val="List Paragraph"/>
    <w:basedOn w:val="Normal"/>
    <w:uiPriority w:val="34"/>
    <w:qFormat/>
    <w:rsid w:val="000E2A05"/>
    <w:pPr>
      <w:ind w:left="720"/>
      <w:contextualSpacing/>
    </w:pPr>
  </w:style>
  <w:style w:type="paragraph" w:styleId="BalloonText">
    <w:name w:val="Balloon Text"/>
    <w:basedOn w:val="Normal"/>
    <w:link w:val="BalloonTextChar"/>
    <w:uiPriority w:val="99"/>
    <w:semiHidden/>
    <w:unhideWhenUsed/>
    <w:rsid w:val="007A4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7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Nomakorinte Ntliziywana</cp:lastModifiedBy>
  <cp:revision>2</cp:revision>
  <cp:lastPrinted>2022-11-25T11:16:00Z</cp:lastPrinted>
  <dcterms:created xsi:type="dcterms:W3CDTF">2022-12-01T11:08:00Z</dcterms:created>
  <dcterms:modified xsi:type="dcterms:W3CDTF">2022-12-01T11:08:00Z</dcterms:modified>
</cp:coreProperties>
</file>