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E14E" w14:textId="77777777" w:rsidR="000E6919" w:rsidRPr="000E6919" w:rsidRDefault="00AC2344" w:rsidP="000E6919">
      <w:pPr>
        <w:pStyle w:val="Subtitle"/>
        <w:spacing w:after="0" w:line="480" w:lineRule="auto"/>
        <w:jc w:val="center"/>
        <w:rPr>
          <w:rFonts w:ascii="Arial" w:hAnsi="Arial" w:cs="Arial"/>
          <w:sz w:val="24"/>
          <w:szCs w:val="24"/>
        </w:rPr>
      </w:pPr>
      <w:r w:rsidRPr="00793A3E">
        <w:rPr>
          <w:rFonts w:ascii="Arial" w:hAnsi="Arial" w:cs="Arial"/>
          <w:noProof/>
          <w:sz w:val="24"/>
          <w:szCs w:val="24"/>
          <w:lang w:val="en-ZA" w:eastAsia="en-ZA"/>
        </w:rPr>
        <w:drawing>
          <wp:anchor distT="0" distB="0" distL="114300" distR="114300" simplePos="0" relativeHeight="251658240" behindDoc="0" locked="0" layoutInCell="1" allowOverlap="1" wp14:anchorId="49BE16CE" wp14:editId="1C7DB27B">
            <wp:simplePos x="0" y="0"/>
            <wp:positionH relativeFrom="margin">
              <wp:posOffset>2227580</wp:posOffset>
            </wp:positionH>
            <wp:positionV relativeFrom="paragraph">
              <wp:posOffset>-276225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r w:rsidR="000E6919">
        <w:rPr>
          <w:rFonts w:ascii="Arial" w:hAnsi="Arial" w:cs="Arial"/>
          <w:sz w:val="24"/>
          <w:szCs w:val="24"/>
        </w:rPr>
        <w:t>49</w:t>
      </w:r>
    </w:p>
    <w:p w14:paraId="49BC375D" w14:textId="77777777" w:rsidR="004D75A6" w:rsidRPr="00793A3E" w:rsidRDefault="004D75A6" w:rsidP="00F009F9">
      <w:pPr>
        <w:pStyle w:val="Subtitle"/>
        <w:spacing w:after="0" w:line="480" w:lineRule="auto"/>
        <w:jc w:val="center"/>
        <w:rPr>
          <w:rFonts w:ascii="Arial" w:hAnsi="Arial" w:cs="Arial"/>
          <w:sz w:val="24"/>
          <w:szCs w:val="24"/>
        </w:rPr>
      </w:pPr>
    </w:p>
    <w:p w14:paraId="54A4D64E" w14:textId="77777777" w:rsidR="00AC2344" w:rsidRPr="00793A3E" w:rsidRDefault="00AC2344" w:rsidP="00F009F9">
      <w:pPr>
        <w:pStyle w:val="Header"/>
        <w:widowControl w:val="0"/>
        <w:tabs>
          <w:tab w:val="clear" w:pos="4320"/>
          <w:tab w:val="clear" w:pos="8640"/>
        </w:tabs>
        <w:jc w:val="center"/>
        <w:rPr>
          <w:rFonts w:cs="Arial"/>
          <w:b/>
          <w:szCs w:val="24"/>
        </w:rPr>
      </w:pPr>
    </w:p>
    <w:p w14:paraId="52BE6146" w14:textId="77777777" w:rsidR="004D75A6" w:rsidRPr="00793A3E" w:rsidRDefault="004D75A6" w:rsidP="00F009F9">
      <w:pPr>
        <w:pStyle w:val="Header"/>
        <w:widowControl w:val="0"/>
        <w:tabs>
          <w:tab w:val="clear" w:pos="4320"/>
          <w:tab w:val="clear" w:pos="8640"/>
        </w:tabs>
        <w:jc w:val="center"/>
        <w:rPr>
          <w:rFonts w:cs="Arial"/>
          <w:b/>
          <w:szCs w:val="24"/>
        </w:rPr>
      </w:pPr>
      <w:r w:rsidRPr="00793A3E">
        <w:rPr>
          <w:rFonts w:cs="Arial"/>
          <w:b/>
          <w:szCs w:val="24"/>
        </w:rPr>
        <w:t>IN THE HIGH COURT OF SOUTH AFRICA</w:t>
      </w:r>
    </w:p>
    <w:p w14:paraId="6CA6ACB1" w14:textId="77777777" w:rsidR="004D75A6" w:rsidRPr="00793A3E" w:rsidRDefault="004D75A6" w:rsidP="00F009F9">
      <w:pPr>
        <w:widowControl w:val="0"/>
        <w:tabs>
          <w:tab w:val="right" w:pos="9213"/>
        </w:tabs>
        <w:spacing w:after="0" w:line="240" w:lineRule="auto"/>
        <w:jc w:val="center"/>
        <w:rPr>
          <w:rFonts w:ascii="Arial" w:hAnsi="Arial" w:cs="Arial"/>
          <w:b/>
          <w:sz w:val="24"/>
          <w:szCs w:val="24"/>
        </w:rPr>
      </w:pPr>
      <w:r w:rsidRPr="00793A3E">
        <w:rPr>
          <w:rFonts w:ascii="Arial" w:hAnsi="Arial" w:cs="Arial"/>
          <w:b/>
          <w:sz w:val="24"/>
          <w:szCs w:val="24"/>
        </w:rPr>
        <w:t xml:space="preserve">EASTERN CAPE DIVISION, </w:t>
      </w:r>
      <w:r w:rsidR="00D11E20" w:rsidRPr="00793A3E">
        <w:rPr>
          <w:rFonts w:ascii="Arial" w:hAnsi="Arial" w:cs="Arial"/>
          <w:b/>
          <w:sz w:val="24"/>
          <w:szCs w:val="24"/>
        </w:rPr>
        <w:t>EAST LONDON CIRCUIT COURT</w:t>
      </w:r>
    </w:p>
    <w:p w14:paraId="513C0294" w14:textId="77777777" w:rsidR="007A1247" w:rsidRPr="00793A3E" w:rsidRDefault="007A1247" w:rsidP="00F009F9">
      <w:pPr>
        <w:widowControl w:val="0"/>
        <w:tabs>
          <w:tab w:val="right" w:pos="9213"/>
        </w:tabs>
        <w:spacing w:after="0" w:line="240" w:lineRule="auto"/>
        <w:rPr>
          <w:rFonts w:ascii="Arial" w:hAnsi="Arial" w:cs="Arial"/>
          <w:b/>
          <w:sz w:val="24"/>
          <w:szCs w:val="24"/>
        </w:rPr>
      </w:pPr>
    </w:p>
    <w:p w14:paraId="063BC069" w14:textId="77777777" w:rsidR="004D75A6" w:rsidRPr="00793A3E" w:rsidRDefault="00333CA5" w:rsidP="00F009F9">
      <w:pPr>
        <w:widowControl w:val="0"/>
        <w:tabs>
          <w:tab w:val="right" w:pos="9213"/>
        </w:tabs>
        <w:spacing w:after="0" w:line="240" w:lineRule="auto"/>
        <w:rPr>
          <w:rFonts w:ascii="Arial" w:hAnsi="Arial" w:cs="Arial"/>
          <w:b/>
          <w:sz w:val="24"/>
          <w:szCs w:val="24"/>
        </w:rPr>
      </w:pPr>
      <w:r w:rsidRPr="00793A3E">
        <w:rPr>
          <w:rFonts w:ascii="Arial" w:hAnsi="Arial" w:cs="Arial"/>
          <w:b/>
          <w:sz w:val="24"/>
          <w:szCs w:val="24"/>
        </w:rPr>
        <w:tab/>
        <w:t>CASE NO:</w:t>
      </w:r>
      <w:r w:rsidR="00D11E20" w:rsidRPr="00793A3E">
        <w:rPr>
          <w:rFonts w:ascii="Arial" w:hAnsi="Arial" w:cs="Arial"/>
          <w:b/>
          <w:sz w:val="24"/>
          <w:szCs w:val="24"/>
        </w:rPr>
        <w:t xml:space="preserve"> EL789/2020</w:t>
      </w:r>
      <w:r w:rsidR="003A0D81" w:rsidRPr="00793A3E">
        <w:rPr>
          <w:rFonts w:ascii="Arial" w:hAnsi="Arial" w:cs="Arial"/>
          <w:b/>
          <w:sz w:val="24"/>
          <w:szCs w:val="24"/>
        </w:rPr>
        <w:t xml:space="preserve"> </w:t>
      </w:r>
    </w:p>
    <w:p w14:paraId="3D512B0D" w14:textId="77777777" w:rsidR="00AC2344" w:rsidRPr="00793A3E" w:rsidRDefault="00AC2344" w:rsidP="00F009F9">
      <w:pPr>
        <w:widowControl w:val="0"/>
        <w:tabs>
          <w:tab w:val="right" w:pos="9213"/>
        </w:tabs>
        <w:spacing w:after="0" w:line="240" w:lineRule="auto"/>
        <w:rPr>
          <w:rFonts w:ascii="Arial" w:hAnsi="Arial" w:cs="Arial"/>
          <w:b/>
          <w:sz w:val="24"/>
          <w:szCs w:val="24"/>
        </w:rPr>
      </w:pPr>
    </w:p>
    <w:p w14:paraId="6DED6052" w14:textId="77777777" w:rsidR="007A1247" w:rsidRPr="00793A3E" w:rsidRDefault="007A1247" w:rsidP="00F009F9">
      <w:pPr>
        <w:widowControl w:val="0"/>
        <w:tabs>
          <w:tab w:val="right" w:pos="9213"/>
        </w:tabs>
        <w:spacing w:after="0" w:line="240" w:lineRule="auto"/>
        <w:rPr>
          <w:rFonts w:ascii="Arial" w:hAnsi="Arial" w:cs="Arial"/>
          <w:sz w:val="24"/>
          <w:szCs w:val="24"/>
        </w:rPr>
      </w:pPr>
      <w:r w:rsidRPr="00793A3E">
        <w:rPr>
          <w:rFonts w:ascii="Arial" w:hAnsi="Arial" w:cs="Arial"/>
          <w:sz w:val="24"/>
          <w:szCs w:val="24"/>
        </w:rPr>
        <w:t>In the matter between:</w:t>
      </w:r>
    </w:p>
    <w:p w14:paraId="46951862" w14:textId="77777777" w:rsidR="00AC2344" w:rsidRPr="00793A3E" w:rsidRDefault="00AC2344" w:rsidP="00F009F9">
      <w:pPr>
        <w:widowControl w:val="0"/>
        <w:tabs>
          <w:tab w:val="right" w:pos="9213"/>
        </w:tabs>
        <w:spacing w:after="0" w:line="240" w:lineRule="auto"/>
        <w:rPr>
          <w:rFonts w:ascii="Arial" w:hAnsi="Arial" w:cs="Arial"/>
          <w:sz w:val="24"/>
          <w:szCs w:val="24"/>
        </w:rPr>
      </w:pPr>
    </w:p>
    <w:p w14:paraId="60D54556" w14:textId="77777777" w:rsidR="00CA0F39" w:rsidRPr="00793A3E" w:rsidRDefault="00CA0F39" w:rsidP="00F009F9">
      <w:pPr>
        <w:widowControl w:val="0"/>
        <w:tabs>
          <w:tab w:val="right" w:pos="8931"/>
        </w:tabs>
        <w:spacing w:after="0" w:line="240" w:lineRule="auto"/>
        <w:rPr>
          <w:rFonts w:ascii="Arial" w:hAnsi="Arial" w:cs="Arial"/>
          <w:b/>
          <w:sz w:val="24"/>
          <w:szCs w:val="24"/>
        </w:rPr>
      </w:pPr>
    </w:p>
    <w:p w14:paraId="70D1D6FF" w14:textId="77777777" w:rsidR="007A1247" w:rsidRPr="00793A3E" w:rsidRDefault="00D11E20" w:rsidP="00F009F9">
      <w:pPr>
        <w:widowControl w:val="0"/>
        <w:tabs>
          <w:tab w:val="right" w:pos="8931"/>
        </w:tabs>
        <w:spacing w:after="0" w:line="240" w:lineRule="auto"/>
        <w:rPr>
          <w:rFonts w:ascii="Arial" w:hAnsi="Arial" w:cs="Arial"/>
          <w:b/>
          <w:sz w:val="24"/>
          <w:szCs w:val="24"/>
        </w:rPr>
      </w:pPr>
      <w:r w:rsidRPr="00793A3E">
        <w:rPr>
          <w:rFonts w:ascii="Arial" w:hAnsi="Arial" w:cs="Arial"/>
          <w:b/>
          <w:sz w:val="24"/>
          <w:szCs w:val="24"/>
        </w:rPr>
        <w:t>SKG AFRI</w:t>
      </w:r>
      <w:r w:rsidR="00317ECF">
        <w:rPr>
          <w:rFonts w:ascii="Arial" w:hAnsi="Arial" w:cs="Arial"/>
          <w:b/>
          <w:sz w:val="24"/>
          <w:szCs w:val="24"/>
        </w:rPr>
        <w:t>C</w:t>
      </w:r>
      <w:r w:rsidRPr="00793A3E">
        <w:rPr>
          <w:rFonts w:ascii="Arial" w:hAnsi="Arial" w:cs="Arial"/>
          <w:b/>
          <w:sz w:val="24"/>
          <w:szCs w:val="24"/>
        </w:rPr>
        <w:t>A (PTY) LIMITED</w:t>
      </w:r>
      <w:r w:rsidRPr="00793A3E">
        <w:rPr>
          <w:rFonts w:ascii="Arial" w:hAnsi="Arial" w:cs="Arial"/>
          <w:b/>
          <w:sz w:val="24"/>
          <w:szCs w:val="24"/>
        </w:rPr>
        <w:tab/>
        <w:t>Applicant</w:t>
      </w:r>
    </w:p>
    <w:p w14:paraId="3D31DDE9" w14:textId="77777777" w:rsidR="00D11E20" w:rsidRPr="00793A3E" w:rsidRDefault="00D11E20" w:rsidP="00F009F9">
      <w:pPr>
        <w:widowControl w:val="0"/>
        <w:tabs>
          <w:tab w:val="right" w:pos="8931"/>
        </w:tabs>
        <w:spacing w:after="0" w:line="240" w:lineRule="auto"/>
        <w:rPr>
          <w:rFonts w:ascii="Arial" w:hAnsi="Arial" w:cs="Arial"/>
          <w:b/>
          <w:sz w:val="24"/>
          <w:szCs w:val="24"/>
        </w:rPr>
      </w:pPr>
    </w:p>
    <w:p w14:paraId="3D1B156D" w14:textId="77777777" w:rsidR="007A1247" w:rsidRPr="00793A3E" w:rsidRDefault="007A1247" w:rsidP="00F009F9">
      <w:pPr>
        <w:widowControl w:val="0"/>
        <w:tabs>
          <w:tab w:val="right" w:pos="8640"/>
        </w:tabs>
        <w:spacing w:after="0" w:line="240" w:lineRule="auto"/>
        <w:rPr>
          <w:rFonts w:ascii="Arial" w:hAnsi="Arial" w:cs="Arial"/>
          <w:sz w:val="24"/>
          <w:szCs w:val="24"/>
        </w:rPr>
      </w:pPr>
      <w:r w:rsidRPr="00793A3E">
        <w:rPr>
          <w:rFonts w:ascii="Arial" w:hAnsi="Arial" w:cs="Arial"/>
          <w:sz w:val="24"/>
          <w:szCs w:val="24"/>
        </w:rPr>
        <w:t>and</w:t>
      </w:r>
    </w:p>
    <w:p w14:paraId="5311D202" w14:textId="77777777" w:rsidR="00AC2344" w:rsidRPr="00793A3E" w:rsidRDefault="00AC2344" w:rsidP="00F009F9">
      <w:pPr>
        <w:widowControl w:val="0"/>
        <w:tabs>
          <w:tab w:val="right" w:pos="8931"/>
        </w:tabs>
        <w:spacing w:after="0" w:line="240" w:lineRule="auto"/>
        <w:rPr>
          <w:rFonts w:ascii="Arial" w:hAnsi="Arial" w:cs="Arial"/>
          <w:b/>
          <w:sz w:val="24"/>
          <w:szCs w:val="24"/>
        </w:rPr>
      </w:pPr>
    </w:p>
    <w:p w14:paraId="6DB287A4" w14:textId="77777777" w:rsidR="00AC2344" w:rsidRPr="00793A3E" w:rsidRDefault="00D11E20" w:rsidP="00F009F9">
      <w:pPr>
        <w:widowControl w:val="0"/>
        <w:tabs>
          <w:tab w:val="right" w:pos="8931"/>
        </w:tabs>
        <w:spacing w:after="0" w:line="240" w:lineRule="auto"/>
        <w:rPr>
          <w:rFonts w:ascii="Arial" w:hAnsi="Arial" w:cs="Arial"/>
          <w:b/>
          <w:sz w:val="24"/>
          <w:szCs w:val="24"/>
        </w:rPr>
      </w:pPr>
      <w:r w:rsidRPr="00793A3E">
        <w:rPr>
          <w:rFonts w:ascii="Arial" w:hAnsi="Arial" w:cs="Arial"/>
          <w:b/>
          <w:sz w:val="24"/>
          <w:szCs w:val="24"/>
        </w:rPr>
        <w:t>ESKOM HOLDINGS SOC LTD</w:t>
      </w:r>
      <w:r w:rsidRPr="00793A3E">
        <w:rPr>
          <w:rFonts w:ascii="Arial" w:hAnsi="Arial" w:cs="Arial"/>
          <w:b/>
          <w:sz w:val="24"/>
          <w:szCs w:val="24"/>
        </w:rPr>
        <w:tab/>
        <w:t>First Respondent</w:t>
      </w:r>
    </w:p>
    <w:p w14:paraId="750A9483" w14:textId="77777777" w:rsidR="00D11E20" w:rsidRPr="00793A3E" w:rsidRDefault="00D11E20" w:rsidP="00F009F9">
      <w:pPr>
        <w:widowControl w:val="0"/>
        <w:tabs>
          <w:tab w:val="right" w:pos="8931"/>
        </w:tabs>
        <w:spacing w:after="0" w:line="240" w:lineRule="auto"/>
        <w:rPr>
          <w:rFonts w:ascii="Arial" w:hAnsi="Arial" w:cs="Arial"/>
          <w:b/>
          <w:sz w:val="24"/>
          <w:szCs w:val="24"/>
        </w:rPr>
      </w:pPr>
    </w:p>
    <w:p w14:paraId="31F06232" w14:textId="77777777" w:rsidR="00D11E20" w:rsidRPr="00793A3E" w:rsidRDefault="00D11E20" w:rsidP="00F009F9">
      <w:pPr>
        <w:widowControl w:val="0"/>
        <w:tabs>
          <w:tab w:val="right" w:pos="8931"/>
        </w:tabs>
        <w:spacing w:after="0" w:line="240" w:lineRule="auto"/>
        <w:rPr>
          <w:rFonts w:ascii="Arial" w:hAnsi="Arial" w:cs="Arial"/>
          <w:b/>
          <w:sz w:val="24"/>
          <w:szCs w:val="24"/>
        </w:rPr>
      </w:pPr>
      <w:r w:rsidRPr="00793A3E">
        <w:rPr>
          <w:rFonts w:ascii="Arial" w:hAnsi="Arial" w:cs="Arial"/>
          <w:b/>
          <w:sz w:val="24"/>
          <w:szCs w:val="24"/>
        </w:rPr>
        <w:t>ROKEWOOD INVESTMENT HOLDINGS (PTY) LIMITED</w:t>
      </w:r>
      <w:r w:rsidRPr="00793A3E">
        <w:rPr>
          <w:rFonts w:ascii="Arial" w:hAnsi="Arial" w:cs="Arial"/>
          <w:b/>
          <w:sz w:val="24"/>
          <w:szCs w:val="24"/>
        </w:rPr>
        <w:tab/>
        <w:t>Second Respondent</w:t>
      </w:r>
    </w:p>
    <w:p w14:paraId="6DF3F4B3" w14:textId="77777777" w:rsidR="00D11E20" w:rsidRPr="00793A3E" w:rsidRDefault="00D11E20" w:rsidP="00F009F9">
      <w:pPr>
        <w:widowControl w:val="0"/>
        <w:tabs>
          <w:tab w:val="right" w:pos="8931"/>
        </w:tabs>
        <w:spacing w:after="0" w:line="240" w:lineRule="auto"/>
        <w:rPr>
          <w:rFonts w:ascii="Arial" w:hAnsi="Arial" w:cs="Arial"/>
          <w:b/>
          <w:sz w:val="24"/>
          <w:szCs w:val="24"/>
        </w:rPr>
      </w:pPr>
    </w:p>
    <w:p w14:paraId="42FF5D61" w14:textId="77777777" w:rsidR="00D11E20" w:rsidRPr="00793A3E" w:rsidRDefault="00D11E20" w:rsidP="00F009F9">
      <w:pPr>
        <w:widowControl w:val="0"/>
        <w:tabs>
          <w:tab w:val="right" w:pos="8931"/>
        </w:tabs>
        <w:spacing w:after="0" w:line="240" w:lineRule="auto"/>
        <w:rPr>
          <w:rFonts w:ascii="Arial" w:hAnsi="Arial" w:cs="Arial"/>
          <w:b/>
          <w:sz w:val="24"/>
          <w:szCs w:val="24"/>
        </w:rPr>
      </w:pPr>
      <w:r w:rsidRPr="00793A3E">
        <w:rPr>
          <w:rFonts w:ascii="Arial" w:hAnsi="Arial" w:cs="Arial"/>
          <w:b/>
          <w:sz w:val="24"/>
          <w:szCs w:val="24"/>
        </w:rPr>
        <w:t>SECRIVEST TWENTY (PTY) LTD</w:t>
      </w:r>
      <w:r w:rsidRPr="00793A3E">
        <w:rPr>
          <w:rFonts w:ascii="Arial" w:hAnsi="Arial" w:cs="Arial"/>
          <w:b/>
          <w:sz w:val="24"/>
          <w:szCs w:val="24"/>
        </w:rPr>
        <w:tab/>
        <w:t>Third Respondent</w:t>
      </w:r>
    </w:p>
    <w:p w14:paraId="59AE30DF" w14:textId="77777777" w:rsidR="00D11E20" w:rsidRPr="00793A3E" w:rsidRDefault="00D11E20" w:rsidP="00F009F9">
      <w:pPr>
        <w:widowControl w:val="0"/>
        <w:tabs>
          <w:tab w:val="right" w:pos="8931"/>
        </w:tabs>
        <w:spacing w:after="0" w:line="240" w:lineRule="auto"/>
        <w:rPr>
          <w:rFonts w:ascii="Arial" w:hAnsi="Arial" w:cs="Arial"/>
          <w:b/>
          <w:sz w:val="24"/>
          <w:szCs w:val="24"/>
        </w:rPr>
      </w:pPr>
    </w:p>
    <w:p w14:paraId="0A95C4AA" w14:textId="77777777" w:rsidR="00D11E20" w:rsidRPr="00793A3E" w:rsidRDefault="00D11E20" w:rsidP="00F009F9">
      <w:pPr>
        <w:widowControl w:val="0"/>
        <w:tabs>
          <w:tab w:val="right" w:pos="8931"/>
        </w:tabs>
        <w:spacing w:after="0" w:line="240" w:lineRule="auto"/>
        <w:rPr>
          <w:rFonts w:ascii="Arial" w:hAnsi="Arial" w:cs="Arial"/>
          <w:b/>
          <w:sz w:val="24"/>
          <w:szCs w:val="24"/>
        </w:rPr>
      </w:pPr>
      <w:r w:rsidRPr="00793A3E">
        <w:rPr>
          <w:rFonts w:ascii="Arial" w:hAnsi="Arial" w:cs="Arial"/>
          <w:b/>
          <w:sz w:val="24"/>
          <w:szCs w:val="24"/>
        </w:rPr>
        <w:t>NVEST PROPERTIES LTD</w:t>
      </w:r>
      <w:r w:rsidRPr="00793A3E">
        <w:rPr>
          <w:rFonts w:ascii="Arial" w:hAnsi="Arial" w:cs="Arial"/>
          <w:b/>
          <w:sz w:val="24"/>
          <w:szCs w:val="24"/>
        </w:rPr>
        <w:tab/>
        <w:t>Fourth Respondent</w:t>
      </w:r>
    </w:p>
    <w:p w14:paraId="2EA66595" w14:textId="77777777" w:rsidR="00D11E20" w:rsidRPr="00793A3E" w:rsidRDefault="00D11E20" w:rsidP="00F009F9">
      <w:pPr>
        <w:widowControl w:val="0"/>
        <w:tabs>
          <w:tab w:val="right" w:pos="8931"/>
        </w:tabs>
        <w:spacing w:after="0" w:line="240" w:lineRule="auto"/>
        <w:rPr>
          <w:rFonts w:ascii="Arial" w:hAnsi="Arial" w:cs="Arial"/>
          <w:b/>
          <w:sz w:val="24"/>
          <w:szCs w:val="24"/>
        </w:rPr>
      </w:pPr>
    </w:p>
    <w:p w14:paraId="4093C4F8" w14:textId="77777777" w:rsidR="00846A6C" w:rsidRPr="00793A3E" w:rsidRDefault="00846A6C" w:rsidP="00F009F9">
      <w:pPr>
        <w:spacing w:after="0" w:line="240" w:lineRule="auto"/>
        <w:rPr>
          <w:rFonts w:ascii="Arial" w:hAnsi="Arial" w:cs="Arial"/>
          <w:b/>
          <w:sz w:val="24"/>
          <w:szCs w:val="24"/>
        </w:rPr>
      </w:pPr>
      <w:r w:rsidRPr="00793A3E">
        <w:rPr>
          <w:rFonts w:ascii="Arial" w:hAnsi="Arial" w:cs="Arial"/>
          <w:b/>
          <w:sz w:val="24"/>
          <w:szCs w:val="24"/>
        </w:rPr>
        <w:t>___________________________________________________________________</w:t>
      </w:r>
    </w:p>
    <w:p w14:paraId="7FF82EA3" w14:textId="77777777" w:rsidR="00AC2344" w:rsidRPr="00793A3E" w:rsidRDefault="00AC2344" w:rsidP="00F009F9">
      <w:pPr>
        <w:pBdr>
          <w:bottom w:val="single" w:sz="12" w:space="1" w:color="auto"/>
        </w:pBdr>
        <w:spacing w:after="0" w:line="240" w:lineRule="auto"/>
        <w:jc w:val="center"/>
        <w:rPr>
          <w:rFonts w:ascii="Arial" w:hAnsi="Arial" w:cs="Arial"/>
          <w:b/>
          <w:bCs/>
          <w:sz w:val="24"/>
          <w:szCs w:val="24"/>
        </w:rPr>
      </w:pPr>
    </w:p>
    <w:p w14:paraId="6F222D88" w14:textId="77777777" w:rsidR="00846A6C" w:rsidRPr="00793A3E" w:rsidRDefault="00846A6C" w:rsidP="00F009F9">
      <w:pPr>
        <w:pBdr>
          <w:bottom w:val="single" w:sz="12" w:space="1" w:color="auto"/>
        </w:pBdr>
        <w:spacing w:after="0" w:line="240" w:lineRule="auto"/>
        <w:jc w:val="center"/>
        <w:rPr>
          <w:rFonts w:ascii="Arial" w:hAnsi="Arial" w:cs="Arial"/>
          <w:b/>
          <w:bCs/>
          <w:sz w:val="24"/>
          <w:szCs w:val="24"/>
        </w:rPr>
      </w:pPr>
      <w:r w:rsidRPr="00793A3E">
        <w:rPr>
          <w:rFonts w:ascii="Arial" w:hAnsi="Arial" w:cs="Arial"/>
          <w:b/>
          <w:bCs/>
          <w:sz w:val="24"/>
          <w:szCs w:val="24"/>
        </w:rPr>
        <w:t>JUDGMENT</w:t>
      </w:r>
    </w:p>
    <w:p w14:paraId="0D39A03D" w14:textId="77777777" w:rsidR="00AC2344" w:rsidRPr="00793A3E" w:rsidRDefault="00AC2344" w:rsidP="00F009F9">
      <w:pPr>
        <w:pBdr>
          <w:bottom w:val="single" w:sz="12" w:space="1" w:color="auto"/>
        </w:pBdr>
        <w:spacing w:after="0" w:line="240" w:lineRule="auto"/>
        <w:jc w:val="center"/>
        <w:rPr>
          <w:rFonts w:ascii="Arial" w:hAnsi="Arial" w:cs="Arial"/>
          <w:b/>
          <w:bCs/>
          <w:sz w:val="24"/>
          <w:szCs w:val="24"/>
        </w:rPr>
      </w:pPr>
    </w:p>
    <w:p w14:paraId="76C4F1F0" w14:textId="77777777" w:rsidR="00FD558A" w:rsidRPr="00793A3E" w:rsidRDefault="00FD558A" w:rsidP="00F009F9">
      <w:pPr>
        <w:spacing w:after="0" w:line="240" w:lineRule="auto"/>
        <w:rPr>
          <w:rFonts w:ascii="Arial" w:hAnsi="Arial" w:cs="Arial"/>
          <w:sz w:val="24"/>
          <w:szCs w:val="24"/>
        </w:rPr>
      </w:pPr>
    </w:p>
    <w:p w14:paraId="7C8283B6" w14:textId="77777777" w:rsidR="00FD558A" w:rsidRPr="00793A3E" w:rsidRDefault="00623F36" w:rsidP="00F009F9">
      <w:pPr>
        <w:spacing w:after="0" w:line="240" w:lineRule="auto"/>
        <w:jc w:val="both"/>
        <w:rPr>
          <w:rFonts w:ascii="Arial" w:hAnsi="Arial" w:cs="Arial"/>
          <w:b/>
          <w:sz w:val="24"/>
          <w:szCs w:val="24"/>
          <w:u w:val="single"/>
        </w:rPr>
      </w:pPr>
      <w:r w:rsidRPr="00793A3E">
        <w:rPr>
          <w:rFonts w:ascii="Arial" w:hAnsi="Arial" w:cs="Arial"/>
          <w:b/>
          <w:sz w:val="24"/>
          <w:szCs w:val="24"/>
          <w:u w:val="single"/>
        </w:rPr>
        <w:t>LOWE</w:t>
      </w:r>
      <w:r w:rsidR="00AC2344" w:rsidRPr="00793A3E">
        <w:rPr>
          <w:rFonts w:ascii="Arial" w:hAnsi="Arial" w:cs="Arial"/>
          <w:b/>
          <w:sz w:val="24"/>
          <w:szCs w:val="24"/>
          <w:u w:val="single"/>
        </w:rPr>
        <w:t xml:space="preserve"> J</w:t>
      </w:r>
    </w:p>
    <w:p w14:paraId="3603E351" w14:textId="77777777" w:rsidR="00FD558A" w:rsidRPr="00793A3E" w:rsidRDefault="00FD558A" w:rsidP="00F009F9">
      <w:pPr>
        <w:spacing w:after="0" w:line="480" w:lineRule="auto"/>
        <w:rPr>
          <w:rFonts w:ascii="Arial" w:hAnsi="Arial" w:cs="Arial"/>
          <w:sz w:val="24"/>
          <w:szCs w:val="24"/>
        </w:rPr>
      </w:pPr>
    </w:p>
    <w:p w14:paraId="4E345A30" w14:textId="77777777" w:rsidR="0019620E" w:rsidRPr="00793A3E" w:rsidRDefault="0019620E" w:rsidP="00F009F9">
      <w:pPr>
        <w:spacing w:after="0" w:line="480" w:lineRule="auto"/>
        <w:rPr>
          <w:rFonts w:ascii="Arial" w:hAnsi="Arial" w:cs="Arial"/>
          <w:sz w:val="24"/>
          <w:szCs w:val="24"/>
          <w:u w:val="single"/>
        </w:rPr>
      </w:pPr>
      <w:r w:rsidRPr="00793A3E">
        <w:rPr>
          <w:rFonts w:ascii="Arial" w:hAnsi="Arial" w:cs="Arial"/>
          <w:sz w:val="24"/>
          <w:szCs w:val="24"/>
          <w:u w:val="single"/>
        </w:rPr>
        <w:t>INTRODUCTION</w:t>
      </w:r>
    </w:p>
    <w:p w14:paraId="4974D361" w14:textId="77777777" w:rsidR="00CA0F39" w:rsidRPr="00793A3E" w:rsidRDefault="00CA0F39" w:rsidP="00F009F9">
      <w:pPr>
        <w:spacing w:after="0" w:line="480" w:lineRule="auto"/>
        <w:rPr>
          <w:rFonts w:ascii="Arial" w:hAnsi="Arial" w:cs="Arial"/>
          <w:sz w:val="24"/>
          <w:szCs w:val="24"/>
          <w:u w:val="single"/>
        </w:rPr>
      </w:pPr>
    </w:p>
    <w:p w14:paraId="21DE1851" w14:textId="76265933" w:rsidR="00CA0F39"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w:t>
      </w:r>
      <w:r w:rsidRPr="00793A3E">
        <w:rPr>
          <w:rFonts w:ascii="Arial" w:hAnsi="Arial" w:cs="Arial"/>
          <w:sz w:val="24"/>
          <w:szCs w:val="24"/>
        </w:rPr>
        <w:tab/>
      </w:r>
      <w:r w:rsidR="00817956" w:rsidRPr="00D33AC2">
        <w:rPr>
          <w:rFonts w:ascii="Arial" w:hAnsi="Arial" w:cs="Arial"/>
          <w:sz w:val="24"/>
          <w:szCs w:val="24"/>
        </w:rPr>
        <w:t>In this matter applicant (“SKG”</w:t>
      </w:r>
      <w:r w:rsidR="004C170A" w:rsidRPr="00D33AC2">
        <w:rPr>
          <w:rFonts w:ascii="Arial" w:hAnsi="Arial" w:cs="Arial"/>
          <w:sz w:val="24"/>
          <w:szCs w:val="24"/>
        </w:rPr>
        <w:t xml:space="preserve"> or “applicant” wherever convenient</w:t>
      </w:r>
      <w:r w:rsidR="00817956" w:rsidRPr="00D33AC2">
        <w:rPr>
          <w:rFonts w:ascii="Arial" w:hAnsi="Arial" w:cs="Arial"/>
          <w:sz w:val="24"/>
          <w:szCs w:val="24"/>
        </w:rPr>
        <w:t xml:space="preserve">) seeks to review three tender processes taken by first respondent (“Eskom”) for office accommodation in East London.  </w:t>
      </w:r>
    </w:p>
    <w:p w14:paraId="60579A5D" w14:textId="77777777" w:rsidR="00CA0F39" w:rsidRPr="00793A3E" w:rsidRDefault="00CA0F39" w:rsidP="00F009F9">
      <w:pPr>
        <w:pStyle w:val="ListParagraph"/>
        <w:spacing w:after="0" w:line="480" w:lineRule="auto"/>
        <w:contextualSpacing w:val="0"/>
        <w:jc w:val="both"/>
        <w:rPr>
          <w:rFonts w:ascii="Arial" w:hAnsi="Arial" w:cs="Arial"/>
          <w:sz w:val="24"/>
          <w:szCs w:val="24"/>
        </w:rPr>
      </w:pPr>
    </w:p>
    <w:p w14:paraId="1BC9D1CE" w14:textId="3F771555" w:rsidR="009A708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2.</w:t>
      </w:r>
      <w:r w:rsidRPr="00793A3E">
        <w:rPr>
          <w:rFonts w:ascii="Arial" w:hAnsi="Arial" w:cs="Arial"/>
          <w:sz w:val="24"/>
          <w:szCs w:val="24"/>
        </w:rPr>
        <w:tab/>
      </w:r>
      <w:r w:rsidR="009A7082" w:rsidRPr="00D33AC2">
        <w:rPr>
          <w:rFonts w:ascii="Arial" w:hAnsi="Arial" w:cs="Arial"/>
          <w:sz w:val="24"/>
          <w:szCs w:val="24"/>
        </w:rPr>
        <w:t>The first tender was an invitation for 1200m² office space in East London (tender no ELS-5796), which was issued by Eskom on 17 May 2019 (“5796”) and cancelled on or before 10 September 2019.</w:t>
      </w:r>
    </w:p>
    <w:p w14:paraId="28829485" w14:textId="77777777" w:rsidR="009A7082" w:rsidRPr="00793A3E" w:rsidRDefault="009A7082" w:rsidP="00F009F9">
      <w:pPr>
        <w:pStyle w:val="ListParagraph"/>
        <w:spacing w:after="0" w:line="480" w:lineRule="auto"/>
        <w:contextualSpacing w:val="0"/>
        <w:rPr>
          <w:rFonts w:ascii="Arial" w:hAnsi="Arial" w:cs="Arial"/>
          <w:sz w:val="24"/>
          <w:szCs w:val="24"/>
        </w:rPr>
      </w:pPr>
    </w:p>
    <w:p w14:paraId="34886D23" w14:textId="580465A8" w:rsidR="009A708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lastRenderedPageBreak/>
        <w:t>3.</w:t>
      </w:r>
      <w:r w:rsidRPr="00793A3E">
        <w:rPr>
          <w:rFonts w:ascii="Arial" w:hAnsi="Arial" w:cs="Arial"/>
          <w:sz w:val="24"/>
          <w:szCs w:val="24"/>
        </w:rPr>
        <w:tab/>
      </w:r>
      <w:r w:rsidR="009A7082" w:rsidRPr="00D33AC2">
        <w:rPr>
          <w:rFonts w:ascii="Arial" w:hAnsi="Arial" w:cs="Arial"/>
          <w:sz w:val="24"/>
          <w:szCs w:val="24"/>
        </w:rPr>
        <w:t xml:space="preserve">The second tender was an invitation for 1200m² office space in East London (tender no ELS-5818), which was issued by Eskom on 19 September 2019 (“5818”), this for the same office space required in terms of 5796 and was purportedly issued as a result of the cancellation of 5796 aimed at replacing same.  5818 was awarded to second respondent (“Rokewood”).  </w:t>
      </w:r>
    </w:p>
    <w:p w14:paraId="70CFA1BE" w14:textId="77777777" w:rsidR="009A7082" w:rsidRPr="00793A3E" w:rsidRDefault="009A7082" w:rsidP="00F009F9">
      <w:pPr>
        <w:pStyle w:val="ListParagraph"/>
        <w:spacing w:after="0" w:line="480" w:lineRule="auto"/>
        <w:contextualSpacing w:val="0"/>
        <w:rPr>
          <w:rFonts w:ascii="Arial" w:hAnsi="Arial" w:cs="Arial"/>
          <w:sz w:val="24"/>
          <w:szCs w:val="24"/>
        </w:rPr>
      </w:pPr>
    </w:p>
    <w:p w14:paraId="687CE18B" w14:textId="57B82E89" w:rsidR="009A708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4.</w:t>
      </w:r>
      <w:r w:rsidRPr="00793A3E">
        <w:rPr>
          <w:rFonts w:ascii="Arial" w:hAnsi="Arial" w:cs="Arial"/>
          <w:sz w:val="24"/>
          <w:szCs w:val="24"/>
        </w:rPr>
        <w:tab/>
      </w:r>
      <w:r w:rsidR="009A7082" w:rsidRPr="00D33AC2">
        <w:rPr>
          <w:rFonts w:ascii="Arial" w:hAnsi="Arial" w:cs="Arial"/>
          <w:sz w:val="24"/>
          <w:szCs w:val="24"/>
        </w:rPr>
        <w:t xml:space="preserve">The third tender was </w:t>
      </w:r>
      <w:r w:rsidR="00317ECF" w:rsidRPr="00D33AC2">
        <w:rPr>
          <w:rFonts w:ascii="Arial" w:hAnsi="Arial" w:cs="Arial"/>
          <w:sz w:val="24"/>
          <w:szCs w:val="24"/>
        </w:rPr>
        <w:t>a</w:t>
      </w:r>
      <w:r w:rsidR="009A7082" w:rsidRPr="00D33AC2">
        <w:rPr>
          <w:rFonts w:ascii="Arial" w:hAnsi="Arial" w:cs="Arial"/>
          <w:sz w:val="24"/>
          <w:szCs w:val="24"/>
        </w:rPr>
        <w:t xml:space="preserve">n invitation for 980m² office space in East London (tender no ELS-5817), which was issued by Eskom on 19 September 2019 (“5817”) and cancelled on or before 9 January 2020.    </w:t>
      </w:r>
    </w:p>
    <w:p w14:paraId="19E58483" w14:textId="77777777" w:rsidR="009A7082" w:rsidRPr="00793A3E" w:rsidRDefault="009A7082" w:rsidP="00F009F9">
      <w:pPr>
        <w:pStyle w:val="ListParagraph"/>
        <w:spacing w:after="0" w:line="480" w:lineRule="auto"/>
        <w:contextualSpacing w:val="0"/>
        <w:rPr>
          <w:rFonts w:ascii="Arial" w:hAnsi="Arial" w:cs="Arial"/>
          <w:sz w:val="24"/>
          <w:szCs w:val="24"/>
        </w:rPr>
      </w:pPr>
    </w:p>
    <w:p w14:paraId="15196877" w14:textId="3D16B005" w:rsidR="009A708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5.</w:t>
      </w:r>
      <w:r w:rsidRPr="00793A3E">
        <w:rPr>
          <w:rFonts w:ascii="Arial" w:hAnsi="Arial" w:cs="Arial"/>
          <w:sz w:val="24"/>
          <w:szCs w:val="24"/>
        </w:rPr>
        <w:tab/>
      </w:r>
      <w:r w:rsidR="009A7082" w:rsidRPr="00D33AC2">
        <w:rPr>
          <w:rFonts w:ascii="Arial" w:hAnsi="Arial" w:cs="Arial"/>
          <w:sz w:val="24"/>
          <w:szCs w:val="24"/>
        </w:rPr>
        <w:t>In respect of 5796, applicant seeks an order that Eskom’s decision</w:t>
      </w:r>
      <w:r w:rsidR="00317ECF" w:rsidRPr="00D33AC2">
        <w:rPr>
          <w:rFonts w:ascii="Arial" w:hAnsi="Arial" w:cs="Arial"/>
          <w:sz w:val="24"/>
          <w:szCs w:val="24"/>
        </w:rPr>
        <w:t>,</w:t>
      </w:r>
      <w:r w:rsidR="009A7082" w:rsidRPr="00D33AC2">
        <w:rPr>
          <w:rFonts w:ascii="Arial" w:hAnsi="Arial" w:cs="Arial"/>
          <w:sz w:val="24"/>
          <w:szCs w:val="24"/>
        </w:rPr>
        <w:t xml:space="preserve"> which resulted in the cancellation of 5796 as well as the administrative action in pursuance of that cancellation</w:t>
      </w:r>
      <w:r w:rsidR="00317ECF" w:rsidRPr="00D33AC2">
        <w:rPr>
          <w:rFonts w:ascii="Arial" w:hAnsi="Arial" w:cs="Arial"/>
          <w:sz w:val="24"/>
          <w:szCs w:val="24"/>
        </w:rPr>
        <w:t>,</w:t>
      </w:r>
      <w:r w:rsidR="009A7082" w:rsidRPr="00D33AC2">
        <w:rPr>
          <w:rFonts w:ascii="Arial" w:hAnsi="Arial" w:cs="Arial"/>
          <w:sz w:val="24"/>
          <w:szCs w:val="24"/>
        </w:rPr>
        <w:t xml:space="preserve"> be reviewed and set aside.</w:t>
      </w:r>
    </w:p>
    <w:p w14:paraId="0AC94CAA" w14:textId="77777777" w:rsidR="009A7082" w:rsidRPr="00793A3E" w:rsidRDefault="009A7082" w:rsidP="00F009F9">
      <w:pPr>
        <w:pStyle w:val="ListParagraph"/>
        <w:spacing w:after="0" w:line="480" w:lineRule="auto"/>
        <w:contextualSpacing w:val="0"/>
        <w:rPr>
          <w:rFonts w:ascii="Arial" w:hAnsi="Arial" w:cs="Arial"/>
          <w:sz w:val="24"/>
          <w:szCs w:val="24"/>
        </w:rPr>
      </w:pPr>
    </w:p>
    <w:p w14:paraId="678EC868" w14:textId="7BD0B8CA" w:rsidR="009A708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6.</w:t>
      </w:r>
      <w:r w:rsidRPr="00793A3E">
        <w:rPr>
          <w:rFonts w:ascii="Arial" w:hAnsi="Arial" w:cs="Arial"/>
          <w:sz w:val="24"/>
          <w:szCs w:val="24"/>
        </w:rPr>
        <w:tab/>
      </w:r>
      <w:r w:rsidR="009A7082" w:rsidRPr="00D33AC2">
        <w:rPr>
          <w:rFonts w:ascii="Arial" w:hAnsi="Arial" w:cs="Arial"/>
          <w:sz w:val="24"/>
          <w:szCs w:val="24"/>
        </w:rPr>
        <w:t>In respect of 5818</w:t>
      </w:r>
      <w:r w:rsidR="009637E3" w:rsidRPr="00D33AC2">
        <w:rPr>
          <w:rFonts w:ascii="Arial" w:hAnsi="Arial" w:cs="Arial"/>
          <w:sz w:val="24"/>
          <w:szCs w:val="24"/>
        </w:rPr>
        <w:t>,</w:t>
      </w:r>
      <w:r w:rsidR="009A7082" w:rsidRPr="00D33AC2">
        <w:rPr>
          <w:rFonts w:ascii="Arial" w:hAnsi="Arial" w:cs="Arial"/>
          <w:sz w:val="24"/>
          <w:szCs w:val="24"/>
        </w:rPr>
        <w:t xml:space="preserve"> applicant seeks an order that Eskom’s decision</w:t>
      </w:r>
      <w:r w:rsidR="00317ECF" w:rsidRPr="00D33AC2">
        <w:rPr>
          <w:rFonts w:ascii="Arial" w:hAnsi="Arial" w:cs="Arial"/>
          <w:sz w:val="24"/>
          <w:szCs w:val="24"/>
        </w:rPr>
        <w:t>,</w:t>
      </w:r>
      <w:r w:rsidR="009A7082" w:rsidRPr="00D33AC2">
        <w:rPr>
          <w:rFonts w:ascii="Arial" w:hAnsi="Arial" w:cs="Arial"/>
          <w:sz w:val="24"/>
          <w:szCs w:val="24"/>
        </w:rPr>
        <w:t xml:space="preserve"> to award the tender for the supply and letting of the accommodation to Rokewood and all </w:t>
      </w:r>
      <w:r w:rsidR="00302CCC" w:rsidRPr="00D33AC2">
        <w:rPr>
          <w:rFonts w:ascii="Arial" w:hAnsi="Arial" w:cs="Arial"/>
          <w:sz w:val="24"/>
          <w:szCs w:val="24"/>
        </w:rPr>
        <w:t>the</w:t>
      </w:r>
      <w:r w:rsidR="009A7082" w:rsidRPr="00D33AC2">
        <w:rPr>
          <w:rFonts w:ascii="Arial" w:hAnsi="Arial" w:cs="Arial"/>
          <w:sz w:val="24"/>
          <w:szCs w:val="24"/>
        </w:rPr>
        <w:t xml:space="preserve"> administrative action which resulted in the award and in pursuance thereof be reviewed and set aside.  </w:t>
      </w:r>
    </w:p>
    <w:p w14:paraId="6BAB35E4" w14:textId="77777777" w:rsidR="009A7082" w:rsidRPr="00793A3E" w:rsidRDefault="009A7082" w:rsidP="00F009F9">
      <w:pPr>
        <w:pStyle w:val="ListParagraph"/>
        <w:spacing w:after="0" w:line="480" w:lineRule="auto"/>
        <w:contextualSpacing w:val="0"/>
        <w:rPr>
          <w:rFonts w:ascii="Arial" w:hAnsi="Arial" w:cs="Arial"/>
          <w:sz w:val="24"/>
          <w:szCs w:val="24"/>
        </w:rPr>
      </w:pPr>
    </w:p>
    <w:p w14:paraId="223F4C30" w14:textId="2071F7D9" w:rsidR="009A708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7.</w:t>
      </w:r>
      <w:r w:rsidRPr="00793A3E">
        <w:rPr>
          <w:rFonts w:ascii="Arial" w:hAnsi="Arial" w:cs="Arial"/>
          <w:sz w:val="24"/>
          <w:szCs w:val="24"/>
        </w:rPr>
        <w:tab/>
      </w:r>
      <w:r w:rsidR="009A7082" w:rsidRPr="00D33AC2">
        <w:rPr>
          <w:rFonts w:ascii="Arial" w:hAnsi="Arial" w:cs="Arial"/>
          <w:sz w:val="24"/>
          <w:szCs w:val="24"/>
        </w:rPr>
        <w:t xml:space="preserve">In respect of 5817, applicant seeks an order that Eskom’s decision to cancel the tender for the said office accommodation and all </w:t>
      </w:r>
      <w:r w:rsidR="00302CCC" w:rsidRPr="00D33AC2">
        <w:rPr>
          <w:rFonts w:ascii="Arial" w:hAnsi="Arial" w:cs="Arial"/>
          <w:sz w:val="24"/>
          <w:szCs w:val="24"/>
        </w:rPr>
        <w:t>the</w:t>
      </w:r>
      <w:r w:rsidR="009A7082" w:rsidRPr="00D33AC2">
        <w:rPr>
          <w:rFonts w:ascii="Arial" w:hAnsi="Arial" w:cs="Arial"/>
          <w:sz w:val="24"/>
          <w:szCs w:val="24"/>
        </w:rPr>
        <w:t xml:space="preserve"> administrative action</w:t>
      </w:r>
      <w:r w:rsidR="009637E3" w:rsidRPr="00D33AC2">
        <w:rPr>
          <w:rFonts w:ascii="Arial" w:hAnsi="Arial" w:cs="Arial"/>
          <w:sz w:val="24"/>
          <w:szCs w:val="24"/>
        </w:rPr>
        <w:t>,</w:t>
      </w:r>
      <w:r w:rsidR="009A7082" w:rsidRPr="00D33AC2">
        <w:rPr>
          <w:rFonts w:ascii="Arial" w:hAnsi="Arial" w:cs="Arial"/>
          <w:sz w:val="24"/>
          <w:szCs w:val="24"/>
        </w:rPr>
        <w:t xml:space="preserve"> which resulted in the cancellation</w:t>
      </w:r>
      <w:r w:rsidR="009637E3" w:rsidRPr="00D33AC2">
        <w:rPr>
          <w:rFonts w:ascii="Arial" w:hAnsi="Arial" w:cs="Arial"/>
          <w:sz w:val="24"/>
          <w:szCs w:val="24"/>
        </w:rPr>
        <w:t>,</w:t>
      </w:r>
      <w:r w:rsidR="009A7082" w:rsidRPr="00D33AC2">
        <w:rPr>
          <w:rFonts w:ascii="Arial" w:hAnsi="Arial" w:cs="Arial"/>
          <w:sz w:val="24"/>
          <w:szCs w:val="24"/>
        </w:rPr>
        <w:t xml:space="preserve"> be reviewed and set aside.</w:t>
      </w:r>
    </w:p>
    <w:p w14:paraId="715A97B0" w14:textId="77777777" w:rsidR="009A7082" w:rsidRPr="00793A3E" w:rsidRDefault="009A7082" w:rsidP="00F009F9">
      <w:pPr>
        <w:pStyle w:val="ListParagraph"/>
        <w:spacing w:after="0" w:line="480" w:lineRule="auto"/>
        <w:contextualSpacing w:val="0"/>
        <w:rPr>
          <w:rFonts w:ascii="Arial" w:hAnsi="Arial" w:cs="Arial"/>
          <w:sz w:val="24"/>
          <w:szCs w:val="24"/>
        </w:rPr>
      </w:pPr>
    </w:p>
    <w:p w14:paraId="3B7A3B5D" w14:textId="30526913" w:rsidR="001F059D"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8.</w:t>
      </w:r>
      <w:r w:rsidRPr="00793A3E">
        <w:rPr>
          <w:rFonts w:ascii="Arial" w:hAnsi="Arial" w:cs="Arial"/>
          <w:sz w:val="24"/>
          <w:szCs w:val="24"/>
        </w:rPr>
        <w:tab/>
      </w:r>
      <w:r w:rsidR="009A7082" w:rsidRPr="00D33AC2">
        <w:rPr>
          <w:rFonts w:ascii="Arial" w:hAnsi="Arial" w:cs="Arial"/>
          <w:sz w:val="24"/>
          <w:szCs w:val="24"/>
        </w:rPr>
        <w:t>An order is also sought that the lease agreement concluded between Eskom and Rokewood</w:t>
      </w:r>
      <w:r w:rsidR="009637E3" w:rsidRPr="00D33AC2">
        <w:rPr>
          <w:rFonts w:ascii="Arial" w:hAnsi="Arial" w:cs="Arial"/>
          <w:sz w:val="24"/>
          <w:szCs w:val="24"/>
        </w:rPr>
        <w:t>,</w:t>
      </w:r>
      <w:r w:rsidR="009A7082" w:rsidRPr="00D33AC2">
        <w:rPr>
          <w:rFonts w:ascii="Arial" w:hAnsi="Arial" w:cs="Arial"/>
          <w:sz w:val="24"/>
          <w:szCs w:val="24"/>
        </w:rPr>
        <w:t xml:space="preserve"> pursuant to the award </w:t>
      </w:r>
      <w:r w:rsidR="00302CCC" w:rsidRPr="00D33AC2">
        <w:rPr>
          <w:rFonts w:ascii="Arial" w:hAnsi="Arial" w:cs="Arial"/>
          <w:sz w:val="24"/>
          <w:szCs w:val="24"/>
        </w:rPr>
        <w:t>in 5818</w:t>
      </w:r>
      <w:r w:rsidR="009637E3" w:rsidRPr="00D33AC2">
        <w:rPr>
          <w:rFonts w:ascii="Arial" w:hAnsi="Arial" w:cs="Arial"/>
          <w:sz w:val="24"/>
          <w:szCs w:val="24"/>
        </w:rPr>
        <w:t>,</w:t>
      </w:r>
      <w:r w:rsidR="00302CCC" w:rsidRPr="00D33AC2">
        <w:rPr>
          <w:rFonts w:ascii="Arial" w:hAnsi="Arial" w:cs="Arial"/>
          <w:sz w:val="24"/>
          <w:szCs w:val="24"/>
        </w:rPr>
        <w:t xml:space="preserve"> </w:t>
      </w:r>
      <w:r w:rsidR="009A7082" w:rsidRPr="00D33AC2">
        <w:rPr>
          <w:rFonts w:ascii="Arial" w:hAnsi="Arial" w:cs="Arial"/>
          <w:sz w:val="24"/>
          <w:szCs w:val="24"/>
        </w:rPr>
        <w:t xml:space="preserve">be set aside.  In respect of 5818 (the only office space in fact awarded and in respect of which a contract was </w:t>
      </w:r>
      <w:r w:rsidR="009A7082" w:rsidRPr="00D33AC2">
        <w:rPr>
          <w:rFonts w:ascii="Arial" w:hAnsi="Arial" w:cs="Arial"/>
          <w:sz w:val="24"/>
          <w:szCs w:val="24"/>
        </w:rPr>
        <w:lastRenderedPageBreak/>
        <w:t>concluded between Eskom and Rokewood), applicant seeks further</w:t>
      </w:r>
      <w:r w:rsidR="00302CCC" w:rsidRPr="00D33AC2">
        <w:rPr>
          <w:rFonts w:ascii="Arial" w:hAnsi="Arial" w:cs="Arial"/>
          <w:sz w:val="24"/>
          <w:szCs w:val="24"/>
        </w:rPr>
        <w:t>,</w:t>
      </w:r>
      <w:r w:rsidR="009A7082" w:rsidRPr="00D33AC2">
        <w:rPr>
          <w:rFonts w:ascii="Arial" w:hAnsi="Arial" w:cs="Arial"/>
          <w:sz w:val="24"/>
          <w:szCs w:val="24"/>
        </w:rPr>
        <w:t xml:space="preserve"> upon the setting aside of that award</w:t>
      </w:r>
      <w:r w:rsidR="00302CCC" w:rsidRPr="00D33AC2">
        <w:rPr>
          <w:rFonts w:ascii="Arial" w:hAnsi="Arial" w:cs="Arial"/>
          <w:sz w:val="24"/>
          <w:szCs w:val="24"/>
        </w:rPr>
        <w:t>,</w:t>
      </w:r>
      <w:r w:rsidR="009A7082" w:rsidRPr="00D33AC2">
        <w:rPr>
          <w:rFonts w:ascii="Arial" w:hAnsi="Arial" w:cs="Arial"/>
          <w:sz w:val="24"/>
          <w:szCs w:val="24"/>
        </w:rPr>
        <w:t xml:space="preserve"> relief that the award be substituted with an award of the tender to SKG; </w:t>
      </w:r>
      <w:r w:rsidR="00F65749" w:rsidRPr="00D33AC2">
        <w:rPr>
          <w:rFonts w:ascii="Arial" w:hAnsi="Arial" w:cs="Arial"/>
          <w:sz w:val="24"/>
          <w:szCs w:val="24"/>
        </w:rPr>
        <w:t>alternatively,</w:t>
      </w:r>
      <w:r w:rsidR="009A7082" w:rsidRPr="00D33AC2">
        <w:rPr>
          <w:rFonts w:ascii="Arial" w:hAnsi="Arial" w:cs="Arial"/>
          <w:sz w:val="24"/>
          <w:szCs w:val="24"/>
        </w:rPr>
        <w:t xml:space="preserve"> that it </w:t>
      </w:r>
      <w:r w:rsidR="001F059D" w:rsidRPr="00D33AC2">
        <w:rPr>
          <w:rFonts w:ascii="Arial" w:hAnsi="Arial" w:cs="Arial"/>
          <w:sz w:val="24"/>
          <w:szCs w:val="24"/>
        </w:rPr>
        <w:t xml:space="preserve">be remitted for reconsideration; </w:t>
      </w:r>
      <w:r w:rsidR="00F65749" w:rsidRPr="00D33AC2">
        <w:rPr>
          <w:rFonts w:ascii="Arial" w:hAnsi="Arial" w:cs="Arial"/>
          <w:sz w:val="24"/>
          <w:szCs w:val="24"/>
        </w:rPr>
        <w:t>alternatively,</w:t>
      </w:r>
      <w:r w:rsidR="001F059D" w:rsidRPr="00D33AC2">
        <w:rPr>
          <w:rFonts w:ascii="Arial" w:hAnsi="Arial" w:cs="Arial"/>
          <w:sz w:val="24"/>
          <w:szCs w:val="24"/>
        </w:rPr>
        <w:t xml:space="preserve"> that Eskom be directed to commence a new tender process under 5818 together with an award within six months from the date of order.  </w:t>
      </w:r>
    </w:p>
    <w:p w14:paraId="5B444583" w14:textId="77777777" w:rsidR="001F059D" w:rsidRPr="00793A3E" w:rsidRDefault="001F059D" w:rsidP="00F009F9">
      <w:pPr>
        <w:pStyle w:val="ListParagraph"/>
        <w:spacing w:after="0" w:line="480" w:lineRule="auto"/>
        <w:contextualSpacing w:val="0"/>
        <w:rPr>
          <w:rFonts w:ascii="Arial" w:hAnsi="Arial" w:cs="Arial"/>
          <w:sz w:val="24"/>
          <w:szCs w:val="24"/>
        </w:rPr>
      </w:pPr>
    </w:p>
    <w:p w14:paraId="652B8D8D" w14:textId="643E3569" w:rsidR="009A708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9.</w:t>
      </w:r>
      <w:r w:rsidRPr="00793A3E">
        <w:rPr>
          <w:rFonts w:ascii="Arial" w:hAnsi="Arial" w:cs="Arial"/>
          <w:sz w:val="24"/>
          <w:szCs w:val="24"/>
        </w:rPr>
        <w:tab/>
      </w:r>
      <w:r w:rsidR="00302CCC" w:rsidRPr="00D33AC2">
        <w:rPr>
          <w:rFonts w:ascii="Arial" w:hAnsi="Arial" w:cs="Arial"/>
          <w:sz w:val="24"/>
          <w:szCs w:val="24"/>
        </w:rPr>
        <w:t>T</w:t>
      </w:r>
      <w:r w:rsidR="001F059D" w:rsidRPr="00D33AC2">
        <w:rPr>
          <w:rFonts w:ascii="Arial" w:hAnsi="Arial" w:cs="Arial"/>
          <w:sz w:val="24"/>
          <w:szCs w:val="24"/>
        </w:rPr>
        <w:t xml:space="preserve">ender 5818 was awarded and a contract concluded between Eskom and Rokewood, </w:t>
      </w:r>
      <w:r w:rsidR="00302CCC" w:rsidRPr="00D33AC2">
        <w:rPr>
          <w:rFonts w:ascii="Arial" w:hAnsi="Arial" w:cs="Arial"/>
          <w:sz w:val="24"/>
          <w:szCs w:val="24"/>
        </w:rPr>
        <w:t xml:space="preserve">nearly three years ago </w:t>
      </w:r>
      <w:r w:rsidR="001F059D" w:rsidRPr="00D33AC2">
        <w:rPr>
          <w:rFonts w:ascii="Arial" w:hAnsi="Arial" w:cs="Arial"/>
          <w:sz w:val="24"/>
          <w:szCs w:val="24"/>
        </w:rPr>
        <w:t xml:space="preserve">which lease expires shortly, something </w:t>
      </w:r>
      <w:r w:rsidR="00F65749" w:rsidRPr="00D33AC2">
        <w:rPr>
          <w:rFonts w:ascii="Arial" w:hAnsi="Arial" w:cs="Arial"/>
          <w:sz w:val="24"/>
          <w:szCs w:val="24"/>
        </w:rPr>
        <w:t xml:space="preserve">about </w:t>
      </w:r>
      <w:r w:rsidR="001F059D" w:rsidRPr="00D33AC2">
        <w:rPr>
          <w:rFonts w:ascii="Arial" w:hAnsi="Arial" w:cs="Arial"/>
          <w:sz w:val="24"/>
          <w:szCs w:val="24"/>
        </w:rPr>
        <w:t>which much more w</w:t>
      </w:r>
      <w:r w:rsidR="00302CCC" w:rsidRPr="00D33AC2">
        <w:rPr>
          <w:rFonts w:ascii="Arial" w:hAnsi="Arial" w:cs="Arial"/>
          <w:sz w:val="24"/>
          <w:szCs w:val="24"/>
        </w:rPr>
        <w:t>ill</w:t>
      </w:r>
      <w:r w:rsidR="001F059D" w:rsidRPr="00D33AC2">
        <w:rPr>
          <w:rFonts w:ascii="Arial" w:hAnsi="Arial" w:cs="Arial"/>
          <w:sz w:val="24"/>
          <w:szCs w:val="24"/>
        </w:rPr>
        <w:t xml:space="preserve"> be said in due course.  </w:t>
      </w:r>
      <w:r w:rsidR="009A7082" w:rsidRPr="00D33AC2">
        <w:rPr>
          <w:rFonts w:ascii="Arial" w:hAnsi="Arial" w:cs="Arial"/>
          <w:sz w:val="24"/>
          <w:szCs w:val="24"/>
        </w:rPr>
        <w:t xml:space="preserve"> </w:t>
      </w:r>
    </w:p>
    <w:p w14:paraId="52E247B1" w14:textId="77777777" w:rsidR="009A7082" w:rsidRPr="00793A3E" w:rsidRDefault="009A7082" w:rsidP="00F009F9">
      <w:pPr>
        <w:pStyle w:val="ListParagraph"/>
        <w:spacing w:after="0" w:line="480" w:lineRule="auto"/>
        <w:contextualSpacing w:val="0"/>
        <w:rPr>
          <w:rFonts w:ascii="Arial" w:hAnsi="Arial" w:cs="Arial"/>
          <w:sz w:val="24"/>
          <w:szCs w:val="24"/>
        </w:rPr>
      </w:pPr>
    </w:p>
    <w:p w14:paraId="4DE5399A" w14:textId="57AC9378" w:rsidR="00CF39B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10.</w:t>
      </w:r>
      <w:r w:rsidRPr="00793A3E">
        <w:rPr>
          <w:rFonts w:ascii="Arial" w:hAnsi="Arial" w:cs="Arial"/>
          <w:sz w:val="24"/>
          <w:szCs w:val="24"/>
        </w:rPr>
        <w:tab/>
      </w:r>
      <w:r w:rsidR="00302CCC" w:rsidRPr="00D33AC2">
        <w:rPr>
          <w:rFonts w:ascii="Arial" w:hAnsi="Arial" w:cs="Arial"/>
          <w:sz w:val="24"/>
          <w:szCs w:val="24"/>
        </w:rPr>
        <w:t>T</w:t>
      </w:r>
      <w:r w:rsidR="00CF39BA" w:rsidRPr="00D33AC2">
        <w:rPr>
          <w:rFonts w:ascii="Arial" w:hAnsi="Arial" w:cs="Arial"/>
          <w:sz w:val="24"/>
          <w:szCs w:val="24"/>
        </w:rPr>
        <w:t>he application in this matter was originally launched in 17 August 2020</w:t>
      </w:r>
      <w:r w:rsidR="009637E3" w:rsidRPr="00D33AC2">
        <w:rPr>
          <w:rFonts w:ascii="Arial" w:hAnsi="Arial" w:cs="Arial"/>
          <w:sz w:val="24"/>
          <w:szCs w:val="24"/>
        </w:rPr>
        <w:t>,</w:t>
      </w:r>
      <w:r w:rsidR="00CF39BA" w:rsidRPr="00D33AC2">
        <w:rPr>
          <w:rFonts w:ascii="Arial" w:hAnsi="Arial" w:cs="Arial"/>
          <w:sz w:val="24"/>
          <w:szCs w:val="24"/>
        </w:rPr>
        <w:t xml:space="preserve"> more than two years ago.  Applicant did not seek interim relief, and with some preliminary skirmishes, one particularly relevant to the production of the record, the merits of the matter, after an opposed amendment application, came before me on the 17</w:t>
      </w:r>
      <w:r w:rsidR="009637E3" w:rsidRPr="00D33AC2">
        <w:rPr>
          <w:rFonts w:ascii="Arial" w:hAnsi="Arial" w:cs="Arial"/>
          <w:sz w:val="24"/>
          <w:szCs w:val="24"/>
          <w:vertAlign w:val="superscript"/>
        </w:rPr>
        <w:t>th</w:t>
      </w:r>
      <w:r w:rsidR="009637E3" w:rsidRPr="00D33AC2">
        <w:rPr>
          <w:rFonts w:ascii="Arial" w:hAnsi="Arial" w:cs="Arial"/>
          <w:sz w:val="24"/>
          <w:szCs w:val="24"/>
        </w:rPr>
        <w:t xml:space="preserve"> </w:t>
      </w:r>
      <w:r w:rsidR="00CF39BA" w:rsidRPr="00D33AC2">
        <w:rPr>
          <w:rFonts w:ascii="Arial" w:hAnsi="Arial" w:cs="Arial"/>
          <w:sz w:val="24"/>
          <w:szCs w:val="24"/>
        </w:rPr>
        <w:t>and 18</w:t>
      </w:r>
      <w:r w:rsidR="009637E3" w:rsidRPr="00D33AC2">
        <w:rPr>
          <w:rFonts w:ascii="Arial" w:hAnsi="Arial" w:cs="Arial"/>
          <w:sz w:val="24"/>
          <w:szCs w:val="24"/>
          <w:vertAlign w:val="superscript"/>
        </w:rPr>
        <w:t>th</w:t>
      </w:r>
      <w:r w:rsidR="009637E3" w:rsidRPr="00D33AC2">
        <w:rPr>
          <w:rFonts w:ascii="Arial" w:hAnsi="Arial" w:cs="Arial"/>
          <w:sz w:val="24"/>
          <w:szCs w:val="24"/>
        </w:rPr>
        <w:t xml:space="preserve"> </w:t>
      </w:r>
      <w:r w:rsidR="00CF39BA" w:rsidRPr="00D33AC2">
        <w:rPr>
          <w:rFonts w:ascii="Arial" w:hAnsi="Arial" w:cs="Arial"/>
          <w:sz w:val="24"/>
          <w:szCs w:val="24"/>
        </w:rPr>
        <w:t xml:space="preserve">November 2022, I reserving judgment. </w:t>
      </w:r>
    </w:p>
    <w:p w14:paraId="6DDF9CCA" w14:textId="77777777" w:rsidR="00CF39BA" w:rsidRPr="00793A3E" w:rsidRDefault="00CF39BA" w:rsidP="00F009F9">
      <w:pPr>
        <w:pStyle w:val="ListParagraph"/>
        <w:spacing w:after="0" w:line="480" w:lineRule="auto"/>
        <w:contextualSpacing w:val="0"/>
        <w:rPr>
          <w:rFonts w:ascii="Arial" w:hAnsi="Arial" w:cs="Arial"/>
          <w:sz w:val="24"/>
          <w:szCs w:val="24"/>
        </w:rPr>
      </w:pPr>
    </w:p>
    <w:p w14:paraId="368ED50A" w14:textId="15EB8D9D" w:rsidR="00CF39B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11.</w:t>
      </w:r>
      <w:r w:rsidRPr="00793A3E">
        <w:rPr>
          <w:rFonts w:ascii="Arial" w:hAnsi="Arial" w:cs="Arial"/>
          <w:sz w:val="24"/>
          <w:szCs w:val="24"/>
        </w:rPr>
        <w:tab/>
      </w:r>
      <w:r w:rsidR="00CF39BA" w:rsidRPr="00D33AC2">
        <w:rPr>
          <w:rFonts w:ascii="Arial" w:hAnsi="Arial" w:cs="Arial"/>
          <w:sz w:val="24"/>
          <w:szCs w:val="24"/>
        </w:rPr>
        <w:t xml:space="preserve">In respect of the three tenders referred to it is useful for a proper understanding of the argument in this judgment to set out the time line relevant.  </w:t>
      </w:r>
    </w:p>
    <w:p w14:paraId="208FAA97" w14:textId="77777777" w:rsidR="00793A3E" w:rsidRDefault="00793A3E" w:rsidP="00F009F9">
      <w:pPr>
        <w:pStyle w:val="ListParagraph"/>
        <w:spacing w:after="0" w:line="480" w:lineRule="auto"/>
        <w:ind w:left="0"/>
        <w:contextualSpacing w:val="0"/>
        <w:jc w:val="both"/>
        <w:rPr>
          <w:rFonts w:ascii="Arial" w:hAnsi="Arial" w:cs="Arial"/>
          <w:b/>
          <w:sz w:val="24"/>
          <w:szCs w:val="24"/>
          <w:u w:val="single"/>
        </w:rPr>
      </w:pPr>
    </w:p>
    <w:p w14:paraId="4290210C" w14:textId="77777777" w:rsidR="00CF39BA" w:rsidRPr="00793A3E" w:rsidRDefault="00CF39BA" w:rsidP="00F009F9">
      <w:pPr>
        <w:pStyle w:val="ListParagraph"/>
        <w:spacing w:after="0" w:line="480" w:lineRule="auto"/>
        <w:ind w:left="0"/>
        <w:contextualSpacing w:val="0"/>
        <w:jc w:val="both"/>
        <w:rPr>
          <w:rFonts w:ascii="Arial" w:hAnsi="Arial" w:cs="Arial"/>
          <w:b/>
          <w:sz w:val="24"/>
          <w:szCs w:val="24"/>
          <w:u w:val="single"/>
        </w:rPr>
      </w:pPr>
      <w:r w:rsidRPr="00793A3E">
        <w:rPr>
          <w:rFonts w:ascii="Arial" w:hAnsi="Arial" w:cs="Arial"/>
          <w:b/>
          <w:sz w:val="24"/>
          <w:szCs w:val="24"/>
          <w:u w:val="single"/>
        </w:rPr>
        <w:t>5796</w:t>
      </w:r>
    </w:p>
    <w:p w14:paraId="2E509A0F" w14:textId="77777777" w:rsidR="009A7082" w:rsidRPr="00793A3E" w:rsidRDefault="00CF39BA" w:rsidP="00F009F9">
      <w:pPr>
        <w:pStyle w:val="ListParagraph"/>
        <w:spacing w:after="0" w:line="480" w:lineRule="auto"/>
        <w:ind w:left="0"/>
        <w:contextualSpacing w:val="0"/>
        <w:jc w:val="both"/>
        <w:rPr>
          <w:rFonts w:ascii="Arial" w:hAnsi="Arial" w:cs="Arial"/>
          <w:sz w:val="24"/>
          <w:szCs w:val="24"/>
        </w:rPr>
      </w:pPr>
      <w:r w:rsidRPr="00793A3E">
        <w:rPr>
          <w:rFonts w:ascii="Arial" w:hAnsi="Arial" w:cs="Arial"/>
          <w:sz w:val="24"/>
          <w:szCs w:val="24"/>
        </w:rPr>
        <w:t xml:space="preserve"> </w:t>
      </w:r>
    </w:p>
    <w:p w14:paraId="6532FCFA" w14:textId="57CB44C8" w:rsidR="009A708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12.</w:t>
      </w:r>
      <w:r w:rsidRPr="00793A3E">
        <w:rPr>
          <w:rFonts w:ascii="Arial" w:hAnsi="Arial" w:cs="Arial"/>
          <w:sz w:val="24"/>
          <w:szCs w:val="24"/>
        </w:rPr>
        <w:tab/>
      </w:r>
      <w:r w:rsidR="00CF39BA" w:rsidRPr="00D33AC2">
        <w:rPr>
          <w:rFonts w:ascii="Arial" w:hAnsi="Arial" w:cs="Arial"/>
          <w:sz w:val="24"/>
          <w:szCs w:val="24"/>
        </w:rPr>
        <w:t>On 17 May 2019 first respondent issued tender 5796 for the said 1200m² grade A or higher rate</w:t>
      </w:r>
      <w:r w:rsidR="00302CCC" w:rsidRPr="00D33AC2">
        <w:rPr>
          <w:rFonts w:ascii="Arial" w:hAnsi="Arial" w:cs="Arial"/>
          <w:sz w:val="24"/>
          <w:szCs w:val="24"/>
        </w:rPr>
        <w:t>d</w:t>
      </w:r>
      <w:r w:rsidR="00CF39BA" w:rsidRPr="00D33AC2">
        <w:rPr>
          <w:rFonts w:ascii="Arial" w:hAnsi="Arial" w:cs="Arial"/>
          <w:sz w:val="24"/>
          <w:szCs w:val="24"/>
        </w:rPr>
        <w:t xml:space="preserve"> office space in Beacon Bay, East London.  </w:t>
      </w:r>
    </w:p>
    <w:p w14:paraId="701FE041" w14:textId="77777777" w:rsidR="00CF39BA" w:rsidRPr="00793A3E" w:rsidRDefault="00CF39BA" w:rsidP="00F009F9">
      <w:pPr>
        <w:pStyle w:val="ListParagraph"/>
        <w:spacing w:after="0" w:line="480" w:lineRule="auto"/>
        <w:contextualSpacing w:val="0"/>
        <w:jc w:val="both"/>
        <w:rPr>
          <w:rFonts w:ascii="Arial" w:hAnsi="Arial" w:cs="Arial"/>
          <w:sz w:val="24"/>
          <w:szCs w:val="24"/>
        </w:rPr>
      </w:pPr>
    </w:p>
    <w:p w14:paraId="11EB0ADD" w14:textId="65BAC8E7" w:rsidR="00CF39B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lastRenderedPageBreak/>
        <w:t>13.</w:t>
      </w:r>
      <w:r w:rsidRPr="00793A3E">
        <w:rPr>
          <w:rFonts w:ascii="Arial" w:hAnsi="Arial" w:cs="Arial"/>
          <w:sz w:val="24"/>
          <w:szCs w:val="24"/>
        </w:rPr>
        <w:tab/>
      </w:r>
      <w:r w:rsidR="00CF39BA" w:rsidRPr="00D33AC2">
        <w:rPr>
          <w:rFonts w:ascii="Arial" w:hAnsi="Arial" w:cs="Arial"/>
          <w:sz w:val="24"/>
          <w:szCs w:val="24"/>
        </w:rPr>
        <w:t xml:space="preserve">The closing date for the submission of bids was 28 May 2019 at 10h00.  A tender validity period of twelve weeks from closing date applied within which the tender had </w:t>
      </w:r>
      <w:r w:rsidR="009637E3" w:rsidRPr="00D33AC2">
        <w:rPr>
          <w:rFonts w:ascii="Arial" w:hAnsi="Arial" w:cs="Arial"/>
          <w:sz w:val="24"/>
          <w:szCs w:val="24"/>
        </w:rPr>
        <w:t xml:space="preserve">to </w:t>
      </w:r>
      <w:r w:rsidR="00CF39BA" w:rsidRPr="00D33AC2">
        <w:rPr>
          <w:rFonts w:ascii="Arial" w:hAnsi="Arial" w:cs="Arial"/>
          <w:sz w:val="24"/>
          <w:szCs w:val="24"/>
        </w:rPr>
        <w:t xml:space="preserve">be finalised.  </w:t>
      </w:r>
    </w:p>
    <w:p w14:paraId="010C6D79" w14:textId="77777777" w:rsidR="00CF39BA" w:rsidRPr="00793A3E" w:rsidRDefault="00CF39BA" w:rsidP="00F009F9">
      <w:pPr>
        <w:pStyle w:val="ListParagraph"/>
        <w:spacing w:after="0" w:line="480" w:lineRule="auto"/>
        <w:contextualSpacing w:val="0"/>
        <w:rPr>
          <w:rFonts w:ascii="Arial" w:hAnsi="Arial" w:cs="Arial"/>
          <w:sz w:val="24"/>
          <w:szCs w:val="24"/>
        </w:rPr>
      </w:pPr>
    </w:p>
    <w:p w14:paraId="54D05C60" w14:textId="554921C1" w:rsidR="00CF39B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14.</w:t>
      </w:r>
      <w:r w:rsidRPr="00793A3E">
        <w:rPr>
          <w:rFonts w:ascii="Arial" w:hAnsi="Arial" w:cs="Arial"/>
          <w:sz w:val="24"/>
          <w:szCs w:val="24"/>
        </w:rPr>
        <w:tab/>
      </w:r>
      <w:r w:rsidR="00CF39BA" w:rsidRPr="00D33AC2">
        <w:rPr>
          <w:rFonts w:ascii="Arial" w:hAnsi="Arial" w:cs="Arial"/>
          <w:sz w:val="24"/>
          <w:szCs w:val="24"/>
        </w:rPr>
        <w:t xml:space="preserve">It was provided that a submission of a tender was deemed to be inclusive of acceptance of the first respondent’s standard conditions of tender.  </w:t>
      </w:r>
    </w:p>
    <w:p w14:paraId="5874A92A" w14:textId="77777777" w:rsidR="00CF39BA" w:rsidRPr="00793A3E" w:rsidRDefault="00CF39BA" w:rsidP="00F009F9">
      <w:pPr>
        <w:pStyle w:val="ListParagraph"/>
        <w:spacing w:after="0" w:line="480" w:lineRule="auto"/>
        <w:contextualSpacing w:val="0"/>
        <w:rPr>
          <w:rFonts w:ascii="Arial" w:hAnsi="Arial" w:cs="Arial"/>
          <w:sz w:val="24"/>
          <w:szCs w:val="24"/>
        </w:rPr>
      </w:pPr>
    </w:p>
    <w:p w14:paraId="0E8A90D8" w14:textId="033CF17C" w:rsidR="00CF39B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15.</w:t>
      </w:r>
      <w:r w:rsidRPr="00793A3E">
        <w:rPr>
          <w:rFonts w:ascii="Arial" w:hAnsi="Arial" w:cs="Arial"/>
          <w:sz w:val="24"/>
          <w:szCs w:val="24"/>
        </w:rPr>
        <w:tab/>
      </w:r>
      <w:r w:rsidR="00CF39BA" w:rsidRPr="00D33AC2">
        <w:rPr>
          <w:rFonts w:ascii="Arial" w:hAnsi="Arial" w:cs="Arial"/>
          <w:sz w:val="24"/>
          <w:szCs w:val="24"/>
        </w:rPr>
        <w:t xml:space="preserve">On 9 September 2019, and by way of letter from first respondent, applicant was advised that 5796 would be cancelled </w:t>
      </w:r>
      <w:r w:rsidR="00EB48C5" w:rsidRPr="00D33AC2">
        <w:rPr>
          <w:rFonts w:ascii="Arial" w:hAnsi="Arial" w:cs="Arial"/>
          <w:sz w:val="24"/>
          <w:szCs w:val="24"/>
        </w:rPr>
        <w:t>and re</w:t>
      </w:r>
      <w:r w:rsidR="009637E3" w:rsidRPr="00D33AC2">
        <w:rPr>
          <w:rFonts w:ascii="Arial" w:hAnsi="Arial" w:cs="Arial"/>
          <w:sz w:val="24"/>
          <w:szCs w:val="24"/>
        </w:rPr>
        <w:t>-</w:t>
      </w:r>
      <w:r w:rsidR="00EB48C5" w:rsidRPr="00D33AC2">
        <w:rPr>
          <w:rFonts w:ascii="Arial" w:hAnsi="Arial" w:cs="Arial"/>
          <w:sz w:val="24"/>
          <w:szCs w:val="24"/>
        </w:rPr>
        <w:t>issued in that:</w:t>
      </w:r>
    </w:p>
    <w:p w14:paraId="74E3671D" w14:textId="77777777" w:rsidR="00EB48C5" w:rsidRPr="00793A3E" w:rsidRDefault="00EB48C5" w:rsidP="00F009F9">
      <w:pPr>
        <w:pStyle w:val="ListParagraph"/>
        <w:spacing w:after="0" w:line="360" w:lineRule="auto"/>
        <w:contextualSpacing w:val="0"/>
        <w:rPr>
          <w:rFonts w:ascii="Arial" w:hAnsi="Arial" w:cs="Arial"/>
          <w:sz w:val="24"/>
          <w:szCs w:val="24"/>
        </w:rPr>
      </w:pPr>
    </w:p>
    <w:p w14:paraId="52F7A9A9" w14:textId="77777777" w:rsidR="00EB48C5" w:rsidRPr="00793A3E" w:rsidRDefault="00EB48C5" w:rsidP="00F009F9">
      <w:pPr>
        <w:pStyle w:val="ListParagraph"/>
        <w:spacing w:after="0" w:line="360" w:lineRule="auto"/>
        <w:ind w:left="1440"/>
        <w:contextualSpacing w:val="0"/>
        <w:rPr>
          <w:rFonts w:ascii="Arial" w:hAnsi="Arial" w:cs="Arial"/>
        </w:rPr>
      </w:pPr>
      <w:r w:rsidRPr="00793A3E">
        <w:rPr>
          <w:rFonts w:ascii="Arial" w:hAnsi="Arial" w:cs="Arial"/>
        </w:rPr>
        <w:t xml:space="preserve">“… the </w:t>
      </w:r>
      <w:r w:rsidR="005922C9" w:rsidRPr="00793A3E">
        <w:rPr>
          <w:rFonts w:ascii="Arial" w:hAnsi="Arial" w:cs="Arial"/>
        </w:rPr>
        <w:t>adjudication</w:t>
      </w:r>
      <w:r w:rsidRPr="00793A3E">
        <w:rPr>
          <w:rFonts w:ascii="Arial" w:hAnsi="Arial" w:cs="Arial"/>
        </w:rPr>
        <w:t xml:space="preserve"> process of this bid has not been concluded as such and as a result of the tender validity of the submissions have expired” (sic)</w:t>
      </w:r>
    </w:p>
    <w:p w14:paraId="0234A86B" w14:textId="77777777" w:rsidR="00EB48C5" w:rsidRPr="00793A3E" w:rsidRDefault="00EB48C5" w:rsidP="00F009F9">
      <w:pPr>
        <w:pStyle w:val="ListParagraph"/>
        <w:spacing w:after="0" w:line="480" w:lineRule="auto"/>
        <w:contextualSpacing w:val="0"/>
        <w:rPr>
          <w:rFonts w:ascii="Arial" w:hAnsi="Arial" w:cs="Arial"/>
          <w:sz w:val="24"/>
          <w:szCs w:val="24"/>
        </w:rPr>
      </w:pPr>
    </w:p>
    <w:p w14:paraId="392DB330" w14:textId="711D43E8" w:rsidR="00EB48C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16.</w:t>
      </w:r>
      <w:r w:rsidRPr="00793A3E">
        <w:rPr>
          <w:rFonts w:ascii="Arial" w:hAnsi="Arial" w:cs="Arial"/>
          <w:sz w:val="24"/>
          <w:szCs w:val="24"/>
        </w:rPr>
        <w:tab/>
      </w:r>
      <w:r w:rsidR="00EB48C5" w:rsidRPr="00D33AC2">
        <w:rPr>
          <w:rFonts w:ascii="Arial" w:hAnsi="Arial" w:cs="Arial"/>
          <w:sz w:val="24"/>
          <w:szCs w:val="24"/>
        </w:rPr>
        <w:t>The notice of expiry of 5796 was formally published on 10 September 2019, applicant being advised of the formal expiration and that a new tender would be tendered on 18 September 2019.</w:t>
      </w:r>
      <w:r w:rsidR="00EB48C5" w:rsidRPr="00793A3E">
        <w:rPr>
          <w:rStyle w:val="FootnoteReference"/>
          <w:rFonts w:ascii="Arial" w:hAnsi="Arial" w:cs="Arial"/>
          <w:sz w:val="24"/>
          <w:szCs w:val="24"/>
        </w:rPr>
        <w:footnoteReference w:id="1"/>
      </w:r>
    </w:p>
    <w:p w14:paraId="294019A0" w14:textId="77777777" w:rsidR="00EB48C5" w:rsidRPr="00793A3E" w:rsidRDefault="00EB48C5" w:rsidP="00F009F9">
      <w:pPr>
        <w:pStyle w:val="ListParagraph"/>
        <w:spacing w:after="0" w:line="480" w:lineRule="auto"/>
        <w:contextualSpacing w:val="0"/>
        <w:rPr>
          <w:rFonts w:ascii="Arial" w:hAnsi="Arial" w:cs="Arial"/>
          <w:sz w:val="24"/>
          <w:szCs w:val="24"/>
        </w:rPr>
      </w:pPr>
    </w:p>
    <w:p w14:paraId="1B23C9CC" w14:textId="77777777" w:rsidR="00EB48C5" w:rsidRPr="00793A3E" w:rsidRDefault="00EB48C5" w:rsidP="00F009F9">
      <w:pPr>
        <w:pStyle w:val="ListParagraph"/>
        <w:spacing w:after="0" w:line="480" w:lineRule="auto"/>
        <w:ind w:left="0"/>
        <w:contextualSpacing w:val="0"/>
        <w:rPr>
          <w:rFonts w:ascii="Arial" w:hAnsi="Arial" w:cs="Arial"/>
          <w:b/>
          <w:sz w:val="24"/>
          <w:szCs w:val="24"/>
          <w:u w:val="single"/>
        </w:rPr>
      </w:pPr>
      <w:r w:rsidRPr="00793A3E">
        <w:rPr>
          <w:rFonts w:ascii="Arial" w:hAnsi="Arial" w:cs="Arial"/>
          <w:b/>
          <w:sz w:val="24"/>
          <w:szCs w:val="24"/>
          <w:u w:val="single"/>
        </w:rPr>
        <w:t>5818</w:t>
      </w:r>
    </w:p>
    <w:p w14:paraId="47015334" w14:textId="77777777" w:rsidR="00EB48C5" w:rsidRPr="00793A3E" w:rsidRDefault="00EB48C5" w:rsidP="00F009F9">
      <w:pPr>
        <w:pStyle w:val="ListParagraph"/>
        <w:spacing w:after="0" w:line="480" w:lineRule="auto"/>
        <w:ind w:left="0"/>
        <w:contextualSpacing w:val="0"/>
        <w:rPr>
          <w:rFonts w:ascii="Arial" w:hAnsi="Arial" w:cs="Arial"/>
          <w:b/>
          <w:sz w:val="24"/>
          <w:szCs w:val="24"/>
          <w:u w:val="single"/>
        </w:rPr>
      </w:pPr>
    </w:p>
    <w:p w14:paraId="18E1BF4B" w14:textId="06A3D61A" w:rsidR="00065EB0" w:rsidRPr="00D33AC2" w:rsidRDefault="00D33AC2" w:rsidP="00D33AC2">
      <w:pPr>
        <w:spacing w:after="0" w:line="480" w:lineRule="auto"/>
        <w:ind w:left="720" w:hanging="720"/>
        <w:jc w:val="both"/>
        <w:rPr>
          <w:rFonts w:ascii="Arial" w:hAnsi="Arial" w:cs="Arial"/>
          <w:sz w:val="24"/>
          <w:szCs w:val="24"/>
          <w:u w:val="single"/>
        </w:rPr>
      </w:pPr>
      <w:r w:rsidRPr="00793A3E">
        <w:rPr>
          <w:rFonts w:ascii="Arial" w:hAnsi="Arial" w:cs="Arial"/>
          <w:sz w:val="24"/>
          <w:szCs w:val="24"/>
        </w:rPr>
        <w:t>17.</w:t>
      </w:r>
      <w:r w:rsidRPr="00793A3E">
        <w:rPr>
          <w:rFonts w:ascii="Arial" w:hAnsi="Arial" w:cs="Arial"/>
          <w:sz w:val="24"/>
          <w:szCs w:val="24"/>
        </w:rPr>
        <w:tab/>
      </w:r>
      <w:r w:rsidR="00EB48C5" w:rsidRPr="00D33AC2">
        <w:rPr>
          <w:rFonts w:ascii="Arial" w:hAnsi="Arial" w:cs="Arial"/>
          <w:sz w:val="24"/>
          <w:szCs w:val="24"/>
        </w:rPr>
        <w:t xml:space="preserve">A new tender </w:t>
      </w:r>
      <w:r w:rsidR="00302CCC" w:rsidRPr="00D33AC2">
        <w:rPr>
          <w:rFonts w:ascii="Arial" w:hAnsi="Arial" w:cs="Arial"/>
          <w:sz w:val="24"/>
          <w:szCs w:val="24"/>
        </w:rPr>
        <w:t xml:space="preserve">was </w:t>
      </w:r>
      <w:r w:rsidR="00EB48C5" w:rsidRPr="00D33AC2">
        <w:rPr>
          <w:rFonts w:ascii="Arial" w:hAnsi="Arial" w:cs="Arial"/>
          <w:sz w:val="24"/>
          <w:szCs w:val="24"/>
        </w:rPr>
        <w:t xml:space="preserve">issued on 19 September 2019 as ELS-5818.  This was for approximately 1200m² grade A or higher rate building or office space in Beacon Bay, East London.  The closing date for the submission of bids was 15 October 2019 at 10h00 </w:t>
      </w:r>
      <w:r w:rsidR="00065EB0" w:rsidRPr="00D33AC2">
        <w:rPr>
          <w:rFonts w:ascii="Arial" w:hAnsi="Arial" w:cs="Arial"/>
          <w:sz w:val="24"/>
          <w:szCs w:val="24"/>
        </w:rPr>
        <w:t xml:space="preserve">and similar to the last the submission </w:t>
      </w:r>
      <w:r w:rsidR="00EB48C5" w:rsidRPr="00D33AC2">
        <w:rPr>
          <w:rFonts w:ascii="Arial" w:hAnsi="Arial" w:cs="Arial"/>
          <w:sz w:val="24"/>
          <w:szCs w:val="24"/>
        </w:rPr>
        <w:t xml:space="preserve">of the tender was deemed </w:t>
      </w:r>
      <w:r w:rsidR="00065EB0" w:rsidRPr="00D33AC2">
        <w:rPr>
          <w:rFonts w:ascii="Arial" w:hAnsi="Arial" w:cs="Arial"/>
          <w:sz w:val="24"/>
          <w:szCs w:val="24"/>
        </w:rPr>
        <w:t xml:space="preserve">to be such as to include and accept the application of first respondent’s standard conditions of tender.  </w:t>
      </w:r>
    </w:p>
    <w:p w14:paraId="27746C13" w14:textId="19D94566" w:rsidR="00065EB0" w:rsidRPr="00D33AC2" w:rsidRDefault="00D33AC2" w:rsidP="00D33AC2">
      <w:pPr>
        <w:spacing w:after="0" w:line="480" w:lineRule="auto"/>
        <w:ind w:left="720" w:hanging="720"/>
        <w:jc w:val="both"/>
        <w:rPr>
          <w:rFonts w:ascii="Arial" w:hAnsi="Arial" w:cs="Arial"/>
          <w:sz w:val="24"/>
          <w:szCs w:val="24"/>
          <w:u w:val="single"/>
        </w:rPr>
      </w:pPr>
      <w:r w:rsidRPr="00793A3E">
        <w:rPr>
          <w:rFonts w:ascii="Arial" w:hAnsi="Arial" w:cs="Arial"/>
          <w:sz w:val="24"/>
          <w:szCs w:val="24"/>
        </w:rPr>
        <w:lastRenderedPageBreak/>
        <w:t>18.</w:t>
      </w:r>
      <w:r w:rsidRPr="00793A3E">
        <w:rPr>
          <w:rFonts w:ascii="Arial" w:hAnsi="Arial" w:cs="Arial"/>
          <w:sz w:val="24"/>
          <w:szCs w:val="24"/>
        </w:rPr>
        <w:tab/>
      </w:r>
      <w:r w:rsidR="00302CCC" w:rsidRPr="00D33AC2">
        <w:rPr>
          <w:rFonts w:ascii="Arial" w:hAnsi="Arial" w:cs="Arial"/>
          <w:sz w:val="24"/>
          <w:szCs w:val="24"/>
        </w:rPr>
        <w:t>A</w:t>
      </w:r>
      <w:r w:rsidR="00065EB0" w:rsidRPr="00D33AC2">
        <w:rPr>
          <w:rFonts w:ascii="Arial" w:hAnsi="Arial" w:cs="Arial"/>
          <w:sz w:val="24"/>
          <w:szCs w:val="24"/>
        </w:rPr>
        <w:t>t this stage first respondent emphasises that the standard conditions provided amongst other things</w:t>
      </w:r>
      <w:r w:rsidR="009637E3" w:rsidRPr="00D33AC2">
        <w:rPr>
          <w:rFonts w:ascii="Arial" w:hAnsi="Arial" w:cs="Arial"/>
          <w:sz w:val="24"/>
          <w:szCs w:val="24"/>
        </w:rPr>
        <w:t>,</w:t>
      </w:r>
      <w:r w:rsidR="00065EB0" w:rsidRPr="00D33AC2">
        <w:rPr>
          <w:rFonts w:ascii="Arial" w:hAnsi="Arial" w:cs="Arial"/>
          <w:sz w:val="24"/>
          <w:szCs w:val="24"/>
        </w:rPr>
        <w:t xml:space="preserve"> that alternative tenders could be submitted only if a main tender was also submitted and only if this was permitted in the invitation to tender.  </w:t>
      </w:r>
    </w:p>
    <w:p w14:paraId="3862E7D9" w14:textId="77777777" w:rsidR="00065EB0" w:rsidRPr="00793A3E" w:rsidRDefault="00065EB0" w:rsidP="00F009F9">
      <w:pPr>
        <w:pStyle w:val="ListParagraph"/>
        <w:spacing w:after="0" w:line="480" w:lineRule="auto"/>
        <w:contextualSpacing w:val="0"/>
        <w:rPr>
          <w:rFonts w:ascii="Arial" w:hAnsi="Arial" w:cs="Arial"/>
          <w:sz w:val="24"/>
          <w:szCs w:val="24"/>
        </w:rPr>
      </w:pPr>
    </w:p>
    <w:p w14:paraId="45654C98" w14:textId="4B05CCD1" w:rsidR="00065EB0" w:rsidRPr="00D33AC2" w:rsidRDefault="00D33AC2" w:rsidP="00D33AC2">
      <w:pPr>
        <w:spacing w:after="0" w:line="480" w:lineRule="auto"/>
        <w:ind w:left="720" w:hanging="720"/>
        <w:jc w:val="both"/>
        <w:rPr>
          <w:rFonts w:ascii="Arial" w:hAnsi="Arial" w:cs="Arial"/>
          <w:sz w:val="24"/>
          <w:szCs w:val="24"/>
          <w:u w:val="single"/>
        </w:rPr>
      </w:pPr>
      <w:r w:rsidRPr="00793A3E">
        <w:rPr>
          <w:rFonts w:ascii="Arial" w:hAnsi="Arial" w:cs="Arial"/>
          <w:sz w:val="24"/>
          <w:szCs w:val="24"/>
        </w:rPr>
        <w:t>19.</w:t>
      </w:r>
      <w:r w:rsidRPr="00793A3E">
        <w:rPr>
          <w:rFonts w:ascii="Arial" w:hAnsi="Arial" w:cs="Arial"/>
          <w:sz w:val="24"/>
          <w:szCs w:val="24"/>
        </w:rPr>
        <w:tab/>
      </w:r>
      <w:r w:rsidR="00065EB0" w:rsidRPr="00D33AC2">
        <w:rPr>
          <w:rFonts w:ascii="Arial" w:hAnsi="Arial" w:cs="Arial"/>
          <w:sz w:val="24"/>
          <w:szCs w:val="24"/>
        </w:rPr>
        <w:t>The invitation to tender stated amongst other things at 1.13 under the rubric “</w:t>
      </w:r>
      <w:r w:rsidR="00065EB0" w:rsidRPr="00D33AC2">
        <w:rPr>
          <w:rFonts w:ascii="Arial" w:hAnsi="Arial" w:cs="Arial"/>
          <w:i/>
          <w:sz w:val="24"/>
          <w:szCs w:val="24"/>
        </w:rPr>
        <w:t>alternative tenders</w:t>
      </w:r>
      <w:r w:rsidR="00065EB0" w:rsidRPr="00D33AC2">
        <w:rPr>
          <w:rFonts w:ascii="Arial" w:hAnsi="Arial" w:cs="Arial"/>
          <w:sz w:val="24"/>
          <w:szCs w:val="24"/>
        </w:rPr>
        <w:t>” that “</w:t>
      </w:r>
      <w:r w:rsidR="00065EB0" w:rsidRPr="00D33AC2">
        <w:rPr>
          <w:rFonts w:ascii="Arial" w:hAnsi="Arial" w:cs="Arial"/>
          <w:i/>
          <w:sz w:val="24"/>
          <w:szCs w:val="24"/>
        </w:rPr>
        <w:t>alternative tenders are not allowed</w:t>
      </w:r>
      <w:r w:rsidR="00065EB0" w:rsidRPr="00D33AC2">
        <w:rPr>
          <w:rFonts w:ascii="Arial" w:hAnsi="Arial" w:cs="Arial"/>
          <w:sz w:val="24"/>
          <w:szCs w:val="24"/>
        </w:rPr>
        <w:t xml:space="preserve">”.  </w:t>
      </w:r>
    </w:p>
    <w:p w14:paraId="5A38381C" w14:textId="77777777" w:rsidR="00065EB0" w:rsidRPr="00793A3E" w:rsidRDefault="00065EB0" w:rsidP="00F009F9">
      <w:pPr>
        <w:pStyle w:val="ListParagraph"/>
        <w:spacing w:after="0" w:line="480" w:lineRule="auto"/>
        <w:contextualSpacing w:val="0"/>
        <w:rPr>
          <w:rFonts w:ascii="Arial" w:hAnsi="Arial" w:cs="Arial"/>
          <w:sz w:val="24"/>
          <w:szCs w:val="24"/>
        </w:rPr>
      </w:pPr>
    </w:p>
    <w:p w14:paraId="39CD82A8" w14:textId="727991E8" w:rsidR="00B75EE7" w:rsidRPr="00D33AC2" w:rsidRDefault="00D33AC2" w:rsidP="00D33AC2">
      <w:pPr>
        <w:spacing w:after="0" w:line="480" w:lineRule="auto"/>
        <w:ind w:left="720" w:hanging="720"/>
        <w:jc w:val="both"/>
        <w:rPr>
          <w:rFonts w:ascii="Arial" w:hAnsi="Arial" w:cs="Arial"/>
          <w:sz w:val="24"/>
          <w:szCs w:val="24"/>
          <w:u w:val="single"/>
        </w:rPr>
      </w:pPr>
      <w:r w:rsidRPr="00793A3E">
        <w:rPr>
          <w:rFonts w:ascii="Arial" w:hAnsi="Arial" w:cs="Arial"/>
          <w:sz w:val="24"/>
          <w:szCs w:val="24"/>
        </w:rPr>
        <w:t>20.</w:t>
      </w:r>
      <w:r w:rsidRPr="00793A3E">
        <w:rPr>
          <w:rFonts w:ascii="Arial" w:hAnsi="Arial" w:cs="Arial"/>
          <w:sz w:val="24"/>
          <w:szCs w:val="24"/>
        </w:rPr>
        <w:tab/>
      </w:r>
      <w:r w:rsidR="00065EB0" w:rsidRPr="00D33AC2">
        <w:rPr>
          <w:rFonts w:ascii="Arial" w:hAnsi="Arial" w:cs="Arial"/>
          <w:sz w:val="24"/>
          <w:szCs w:val="24"/>
        </w:rPr>
        <w:t>The tender was subject to functionality (technical) evaluation and price evaluation as set out in the invitation to tender whilst “</w:t>
      </w:r>
      <w:r w:rsidR="00065EB0" w:rsidRPr="00D33AC2">
        <w:rPr>
          <w:rFonts w:ascii="Arial" w:hAnsi="Arial" w:cs="Arial"/>
          <w:i/>
          <w:sz w:val="24"/>
          <w:szCs w:val="24"/>
        </w:rPr>
        <w:t>tenant installation cost</w:t>
      </w:r>
      <w:r w:rsidR="00065EB0" w:rsidRPr="00D33AC2">
        <w:rPr>
          <w:rFonts w:ascii="Arial" w:hAnsi="Arial" w:cs="Arial"/>
          <w:sz w:val="24"/>
          <w:szCs w:val="24"/>
        </w:rPr>
        <w:t>” was payable by first respondent to the successful bidder, it being stated “</w:t>
      </w:r>
      <w:r w:rsidR="00065EB0" w:rsidRPr="00D33AC2">
        <w:rPr>
          <w:rFonts w:ascii="Arial" w:hAnsi="Arial" w:cs="Arial"/>
          <w:i/>
          <w:sz w:val="24"/>
          <w:szCs w:val="24"/>
        </w:rPr>
        <w:t>tenant installation costs where applicable will be contracted to the successful bidder</w:t>
      </w:r>
      <w:r w:rsidR="00065EB0" w:rsidRPr="00D33AC2">
        <w:rPr>
          <w:rFonts w:ascii="Arial" w:hAnsi="Arial" w:cs="Arial"/>
          <w:sz w:val="24"/>
          <w:szCs w:val="24"/>
        </w:rPr>
        <w:t>”.  This was also clarified in a letter from first respondent which stated “</w:t>
      </w:r>
      <w:r w:rsidR="00065EB0" w:rsidRPr="00D33AC2">
        <w:rPr>
          <w:rFonts w:ascii="Arial" w:hAnsi="Arial" w:cs="Arial"/>
          <w:i/>
          <w:sz w:val="24"/>
          <w:szCs w:val="24"/>
        </w:rPr>
        <w:t>tenant installation costs will be paid by Eskom as a once off payment to the successful bidder.  Evaluation will be based on the price for accommodation, parking bays and Operational costs only.</w:t>
      </w:r>
      <w:r w:rsidR="00065EB0" w:rsidRPr="00D33AC2">
        <w:rPr>
          <w:rFonts w:ascii="Arial" w:hAnsi="Arial" w:cs="Arial"/>
          <w:sz w:val="24"/>
          <w:szCs w:val="24"/>
        </w:rPr>
        <w:t xml:space="preserve">”  </w:t>
      </w:r>
    </w:p>
    <w:p w14:paraId="1C1A43DF" w14:textId="77777777" w:rsidR="00065EB0" w:rsidRPr="00793A3E" w:rsidRDefault="00065EB0" w:rsidP="00F009F9">
      <w:pPr>
        <w:pStyle w:val="ListParagraph"/>
        <w:spacing w:after="0" w:line="480" w:lineRule="auto"/>
        <w:contextualSpacing w:val="0"/>
        <w:rPr>
          <w:rFonts w:ascii="Arial" w:hAnsi="Arial" w:cs="Arial"/>
          <w:sz w:val="24"/>
          <w:szCs w:val="24"/>
        </w:rPr>
      </w:pPr>
    </w:p>
    <w:p w14:paraId="36AA7783" w14:textId="0F5BAECF" w:rsidR="00065EB0"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21.</w:t>
      </w:r>
      <w:r w:rsidRPr="00793A3E">
        <w:rPr>
          <w:rFonts w:ascii="Arial" w:hAnsi="Arial" w:cs="Arial"/>
          <w:sz w:val="24"/>
          <w:szCs w:val="24"/>
        </w:rPr>
        <w:tab/>
      </w:r>
      <w:r w:rsidR="00065EB0" w:rsidRPr="00D33AC2">
        <w:rPr>
          <w:rFonts w:ascii="Arial" w:hAnsi="Arial" w:cs="Arial"/>
          <w:sz w:val="24"/>
          <w:szCs w:val="24"/>
        </w:rPr>
        <w:t xml:space="preserve">5818 was evaluated and adjudicated and factually was awarded to Rokewood on 30 December 2019.  This was contained in a letter of acceptance by Eskom to Rokewood.  </w:t>
      </w:r>
    </w:p>
    <w:p w14:paraId="44B7AA97" w14:textId="77777777" w:rsidR="00065EB0" w:rsidRPr="00793A3E" w:rsidRDefault="00065EB0" w:rsidP="00F009F9">
      <w:pPr>
        <w:pStyle w:val="ListParagraph"/>
        <w:spacing w:after="0" w:line="480" w:lineRule="auto"/>
        <w:contextualSpacing w:val="0"/>
        <w:rPr>
          <w:rFonts w:ascii="Arial" w:hAnsi="Arial" w:cs="Arial"/>
          <w:sz w:val="24"/>
          <w:szCs w:val="24"/>
        </w:rPr>
      </w:pPr>
    </w:p>
    <w:p w14:paraId="55184011" w14:textId="2EAA8E36" w:rsidR="00065EB0"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22.</w:t>
      </w:r>
      <w:r w:rsidRPr="00793A3E">
        <w:rPr>
          <w:rFonts w:ascii="Arial" w:hAnsi="Arial" w:cs="Arial"/>
          <w:sz w:val="24"/>
          <w:szCs w:val="24"/>
        </w:rPr>
        <w:tab/>
      </w:r>
      <w:r w:rsidR="00065EB0" w:rsidRPr="00D33AC2">
        <w:rPr>
          <w:rFonts w:ascii="Arial" w:hAnsi="Arial" w:cs="Arial"/>
          <w:sz w:val="24"/>
          <w:szCs w:val="24"/>
        </w:rPr>
        <w:t>It is this tender</w:t>
      </w:r>
      <w:r w:rsidR="00302CCC" w:rsidRPr="00D33AC2">
        <w:rPr>
          <w:rFonts w:ascii="Arial" w:hAnsi="Arial" w:cs="Arial"/>
          <w:sz w:val="24"/>
          <w:szCs w:val="24"/>
        </w:rPr>
        <w:t>,</w:t>
      </w:r>
      <w:r w:rsidR="00065EB0" w:rsidRPr="00D33AC2">
        <w:rPr>
          <w:rFonts w:ascii="Arial" w:hAnsi="Arial" w:cs="Arial"/>
          <w:sz w:val="24"/>
          <w:szCs w:val="24"/>
        </w:rPr>
        <w:t xml:space="preserve"> 5818</w:t>
      </w:r>
      <w:r w:rsidR="00302CCC" w:rsidRPr="00D33AC2">
        <w:rPr>
          <w:rFonts w:ascii="Arial" w:hAnsi="Arial" w:cs="Arial"/>
          <w:sz w:val="24"/>
          <w:szCs w:val="24"/>
        </w:rPr>
        <w:t>,</w:t>
      </w:r>
      <w:r w:rsidR="00065EB0" w:rsidRPr="00D33AC2">
        <w:rPr>
          <w:rFonts w:ascii="Arial" w:hAnsi="Arial" w:cs="Arial"/>
          <w:sz w:val="24"/>
          <w:szCs w:val="24"/>
        </w:rPr>
        <w:t xml:space="preserve"> which is the central dispute in this matter and in respect of which applicant contends it should have been the successful tenderer.  </w:t>
      </w:r>
    </w:p>
    <w:p w14:paraId="1E5EA485" w14:textId="77777777" w:rsidR="00793A3E" w:rsidRDefault="00793A3E" w:rsidP="00F009F9">
      <w:pPr>
        <w:pStyle w:val="ListParagraph"/>
        <w:spacing w:after="0" w:line="480" w:lineRule="auto"/>
        <w:ind w:left="0"/>
        <w:contextualSpacing w:val="0"/>
        <w:jc w:val="both"/>
        <w:rPr>
          <w:rFonts w:ascii="Arial" w:hAnsi="Arial" w:cs="Arial"/>
          <w:b/>
          <w:sz w:val="24"/>
          <w:szCs w:val="24"/>
          <w:u w:val="single"/>
        </w:rPr>
      </w:pPr>
    </w:p>
    <w:p w14:paraId="2FDA3BB6" w14:textId="77777777" w:rsidR="00E92D08" w:rsidRDefault="00E92D08" w:rsidP="00F009F9">
      <w:pPr>
        <w:pStyle w:val="ListParagraph"/>
        <w:spacing w:after="0" w:line="480" w:lineRule="auto"/>
        <w:ind w:left="0"/>
        <w:contextualSpacing w:val="0"/>
        <w:jc w:val="both"/>
        <w:rPr>
          <w:rFonts w:ascii="Arial" w:hAnsi="Arial" w:cs="Arial"/>
          <w:b/>
          <w:sz w:val="24"/>
          <w:szCs w:val="24"/>
          <w:u w:val="single"/>
        </w:rPr>
      </w:pPr>
    </w:p>
    <w:p w14:paraId="62319433" w14:textId="77777777" w:rsidR="00E92D08" w:rsidRDefault="00E92D08" w:rsidP="00F009F9">
      <w:pPr>
        <w:pStyle w:val="ListParagraph"/>
        <w:spacing w:after="0" w:line="480" w:lineRule="auto"/>
        <w:ind w:left="0"/>
        <w:contextualSpacing w:val="0"/>
        <w:jc w:val="both"/>
        <w:rPr>
          <w:rFonts w:ascii="Arial" w:hAnsi="Arial" w:cs="Arial"/>
          <w:b/>
          <w:sz w:val="24"/>
          <w:szCs w:val="24"/>
          <w:u w:val="single"/>
        </w:rPr>
      </w:pPr>
    </w:p>
    <w:p w14:paraId="230F55A0" w14:textId="77777777" w:rsidR="00065EB0" w:rsidRPr="00793A3E" w:rsidRDefault="00065EB0" w:rsidP="00F009F9">
      <w:pPr>
        <w:pStyle w:val="ListParagraph"/>
        <w:spacing w:after="0" w:line="480" w:lineRule="auto"/>
        <w:ind w:left="0"/>
        <w:contextualSpacing w:val="0"/>
        <w:jc w:val="both"/>
        <w:rPr>
          <w:rFonts w:ascii="Arial" w:hAnsi="Arial" w:cs="Arial"/>
          <w:b/>
          <w:sz w:val="24"/>
          <w:szCs w:val="24"/>
          <w:u w:val="single"/>
        </w:rPr>
      </w:pPr>
      <w:r w:rsidRPr="00793A3E">
        <w:rPr>
          <w:rFonts w:ascii="Arial" w:hAnsi="Arial" w:cs="Arial"/>
          <w:b/>
          <w:sz w:val="24"/>
          <w:szCs w:val="24"/>
          <w:u w:val="single"/>
        </w:rPr>
        <w:lastRenderedPageBreak/>
        <w:t>5817</w:t>
      </w:r>
    </w:p>
    <w:p w14:paraId="1E54A096" w14:textId="77777777" w:rsidR="00065EB0" w:rsidRPr="00793A3E" w:rsidRDefault="00065EB0" w:rsidP="00F009F9">
      <w:pPr>
        <w:pStyle w:val="ListParagraph"/>
        <w:spacing w:after="0" w:line="480" w:lineRule="auto"/>
        <w:contextualSpacing w:val="0"/>
        <w:rPr>
          <w:rFonts w:ascii="Arial" w:hAnsi="Arial" w:cs="Arial"/>
          <w:sz w:val="24"/>
          <w:szCs w:val="24"/>
        </w:rPr>
      </w:pPr>
    </w:p>
    <w:p w14:paraId="2FA15C95" w14:textId="1A3004C9" w:rsidR="00F5297A" w:rsidRPr="00D33AC2" w:rsidRDefault="00D33AC2" w:rsidP="00D33AC2">
      <w:pPr>
        <w:spacing w:after="0" w:line="480" w:lineRule="auto"/>
        <w:ind w:left="720" w:hanging="720"/>
        <w:jc w:val="both"/>
        <w:rPr>
          <w:rFonts w:ascii="Arial" w:hAnsi="Arial" w:cs="Arial"/>
          <w:sz w:val="24"/>
          <w:szCs w:val="24"/>
          <w:u w:val="single"/>
        </w:rPr>
      </w:pPr>
      <w:r w:rsidRPr="00793A3E">
        <w:rPr>
          <w:rFonts w:ascii="Arial" w:hAnsi="Arial" w:cs="Arial"/>
          <w:sz w:val="24"/>
          <w:szCs w:val="24"/>
        </w:rPr>
        <w:t>23.</w:t>
      </w:r>
      <w:r w:rsidRPr="00793A3E">
        <w:rPr>
          <w:rFonts w:ascii="Arial" w:hAnsi="Arial" w:cs="Arial"/>
          <w:sz w:val="24"/>
          <w:szCs w:val="24"/>
        </w:rPr>
        <w:tab/>
      </w:r>
      <w:r w:rsidR="00065EB0" w:rsidRPr="00D33AC2">
        <w:rPr>
          <w:rFonts w:ascii="Arial" w:hAnsi="Arial" w:cs="Arial"/>
          <w:sz w:val="24"/>
          <w:szCs w:val="24"/>
        </w:rPr>
        <w:t xml:space="preserve">This tender was issued on the same date as 5818 for approximately 980m² of grade A or higher rated office space in Beacon Bay, East London, the relevant and material terms being similar to 5796 with the closing date of 8 October 2019 a validity period of ninety days from closing date and submission being acceptance of the standard conditions of tender </w:t>
      </w:r>
      <w:r w:rsidR="00F5297A" w:rsidRPr="00D33AC2">
        <w:rPr>
          <w:rFonts w:ascii="Arial" w:hAnsi="Arial" w:cs="Arial"/>
          <w:sz w:val="24"/>
          <w:szCs w:val="24"/>
        </w:rPr>
        <w:t>which included the provision that:</w:t>
      </w:r>
    </w:p>
    <w:p w14:paraId="5C697B8C" w14:textId="77777777" w:rsidR="00F5297A" w:rsidRPr="00793A3E" w:rsidRDefault="00F5297A" w:rsidP="00F009F9">
      <w:pPr>
        <w:pStyle w:val="ListParagraph"/>
        <w:spacing w:after="0" w:line="480" w:lineRule="auto"/>
        <w:contextualSpacing w:val="0"/>
        <w:jc w:val="both"/>
        <w:rPr>
          <w:rFonts w:ascii="Arial" w:hAnsi="Arial" w:cs="Arial"/>
          <w:u w:val="single"/>
        </w:rPr>
      </w:pPr>
    </w:p>
    <w:p w14:paraId="55B58545" w14:textId="77777777" w:rsidR="00F5297A" w:rsidRPr="00793A3E" w:rsidRDefault="00F5297A" w:rsidP="00F009F9">
      <w:pPr>
        <w:pStyle w:val="ListParagraph"/>
        <w:spacing w:after="0" w:line="360" w:lineRule="auto"/>
        <w:ind w:left="1440"/>
        <w:contextualSpacing w:val="0"/>
        <w:jc w:val="both"/>
        <w:rPr>
          <w:rFonts w:ascii="Arial" w:hAnsi="Arial" w:cs="Arial"/>
        </w:rPr>
      </w:pPr>
      <w:r w:rsidRPr="00793A3E">
        <w:rPr>
          <w:rFonts w:ascii="Arial" w:hAnsi="Arial" w:cs="Arial"/>
        </w:rPr>
        <w:t>“Eskom may cancel the tender process at any time prior to the formation of a contract and will give written reasons for the cancellation of the tender upon written requests to do so.”</w:t>
      </w:r>
      <w:r w:rsidRPr="00793A3E">
        <w:rPr>
          <w:rStyle w:val="FootnoteReference"/>
          <w:rFonts w:ascii="Arial" w:hAnsi="Arial" w:cs="Arial"/>
        </w:rPr>
        <w:footnoteReference w:id="2"/>
      </w:r>
      <w:r w:rsidRPr="00793A3E">
        <w:rPr>
          <w:rFonts w:ascii="Arial" w:hAnsi="Arial" w:cs="Arial"/>
        </w:rPr>
        <w:t xml:space="preserve">  </w:t>
      </w:r>
    </w:p>
    <w:p w14:paraId="2FC698FC" w14:textId="77777777" w:rsidR="00F5297A" w:rsidRPr="00793A3E" w:rsidRDefault="00F5297A" w:rsidP="00F009F9">
      <w:pPr>
        <w:pStyle w:val="ListParagraph"/>
        <w:spacing w:after="0" w:line="480" w:lineRule="auto"/>
        <w:contextualSpacing w:val="0"/>
        <w:jc w:val="both"/>
        <w:rPr>
          <w:rFonts w:ascii="Arial" w:hAnsi="Arial" w:cs="Arial"/>
          <w:sz w:val="24"/>
          <w:szCs w:val="24"/>
        </w:rPr>
      </w:pPr>
    </w:p>
    <w:p w14:paraId="70E7CB1E" w14:textId="536958F9" w:rsidR="00F5297A" w:rsidRPr="00D33AC2" w:rsidRDefault="00D33AC2" w:rsidP="00D33AC2">
      <w:pPr>
        <w:spacing w:after="0" w:line="480" w:lineRule="auto"/>
        <w:ind w:left="720" w:hanging="720"/>
        <w:jc w:val="both"/>
        <w:rPr>
          <w:rFonts w:ascii="Arial" w:hAnsi="Arial" w:cs="Arial"/>
          <w:sz w:val="24"/>
          <w:szCs w:val="24"/>
          <w:u w:val="single"/>
        </w:rPr>
      </w:pPr>
      <w:r w:rsidRPr="00793A3E">
        <w:rPr>
          <w:rFonts w:ascii="Arial" w:hAnsi="Arial" w:cs="Arial"/>
          <w:sz w:val="24"/>
          <w:szCs w:val="24"/>
        </w:rPr>
        <w:t>24.</w:t>
      </w:r>
      <w:r w:rsidRPr="00793A3E">
        <w:rPr>
          <w:rFonts w:ascii="Arial" w:hAnsi="Arial" w:cs="Arial"/>
          <w:sz w:val="24"/>
          <w:szCs w:val="24"/>
        </w:rPr>
        <w:tab/>
      </w:r>
      <w:r w:rsidR="00F5297A" w:rsidRPr="00D33AC2">
        <w:rPr>
          <w:rFonts w:ascii="Arial" w:hAnsi="Arial" w:cs="Arial"/>
          <w:sz w:val="24"/>
          <w:szCs w:val="24"/>
        </w:rPr>
        <w:t>On 9 January 2020 first respondent issued a notice of “</w:t>
      </w:r>
      <w:r w:rsidR="00F5297A" w:rsidRPr="00D33AC2">
        <w:rPr>
          <w:rFonts w:ascii="Arial" w:hAnsi="Arial" w:cs="Arial"/>
          <w:i/>
          <w:sz w:val="24"/>
          <w:szCs w:val="24"/>
        </w:rPr>
        <w:t>cancellation</w:t>
      </w:r>
      <w:r w:rsidR="00F5297A" w:rsidRPr="00D33AC2">
        <w:rPr>
          <w:rFonts w:ascii="Arial" w:hAnsi="Arial" w:cs="Arial"/>
          <w:sz w:val="24"/>
          <w:szCs w:val="24"/>
        </w:rPr>
        <w:t>” in respect of 5817 on the grounds that after careful deliberation and re-evaluation of the office space required</w:t>
      </w:r>
      <w:r w:rsidR="009637E3" w:rsidRPr="00D33AC2">
        <w:rPr>
          <w:rFonts w:ascii="Arial" w:hAnsi="Arial" w:cs="Arial"/>
          <w:sz w:val="24"/>
          <w:szCs w:val="24"/>
        </w:rPr>
        <w:t>,</w:t>
      </w:r>
      <w:r w:rsidR="00F5297A" w:rsidRPr="00D33AC2">
        <w:rPr>
          <w:rFonts w:ascii="Arial" w:hAnsi="Arial" w:cs="Arial"/>
          <w:sz w:val="24"/>
          <w:szCs w:val="24"/>
        </w:rPr>
        <w:t xml:space="preserve"> the said 980m² of office space</w:t>
      </w:r>
      <w:r w:rsidR="009637E3" w:rsidRPr="00D33AC2">
        <w:rPr>
          <w:rFonts w:ascii="Arial" w:hAnsi="Arial" w:cs="Arial"/>
          <w:sz w:val="24"/>
          <w:szCs w:val="24"/>
        </w:rPr>
        <w:t>,</w:t>
      </w:r>
      <w:r w:rsidR="00065EB0" w:rsidRPr="00D33AC2">
        <w:rPr>
          <w:rFonts w:ascii="Arial" w:hAnsi="Arial" w:cs="Arial"/>
          <w:sz w:val="24"/>
          <w:szCs w:val="24"/>
        </w:rPr>
        <w:t xml:space="preserve"> </w:t>
      </w:r>
      <w:r w:rsidR="00F5297A" w:rsidRPr="00D33AC2">
        <w:rPr>
          <w:rFonts w:ascii="Arial" w:hAnsi="Arial" w:cs="Arial"/>
          <w:sz w:val="24"/>
          <w:szCs w:val="24"/>
        </w:rPr>
        <w:t>subject matter of the tender</w:t>
      </w:r>
      <w:r w:rsidR="009637E3" w:rsidRPr="00D33AC2">
        <w:rPr>
          <w:rFonts w:ascii="Arial" w:hAnsi="Arial" w:cs="Arial"/>
          <w:sz w:val="24"/>
          <w:szCs w:val="24"/>
        </w:rPr>
        <w:t>,</w:t>
      </w:r>
      <w:r w:rsidR="00F5297A" w:rsidRPr="00D33AC2">
        <w:rPr>
          <w:rFonts w:ascii="Arial" w:hAnsi="Arial" w:cs="Arial"/>
          <w:sz w:val="24"/>
          <w:szCs w:val="24"/>
        </w:rPr>
        <w:t xml:space="preserve"> was no longer required.  This was contained in a letter from Eskom to applicant informing applicant that first respondent withdrew the invitation to tender in respect of 5817.  The letter is from the procurement officer and dated 9 January 2020.</w:t>
      </w:r>
    </w:p>
    <w:p w14:paraId="07683A5C" w14:textId="77777777" w:rsidR="00F5297A" w:rsidRPr="00793A3E" w:rsidRDefault="00F5297A" w:rsidP="00F009F9">
      <w:pPr>
        <w:pStyle w:val="ListParagraph"/>
        <w:spacing w:after="0" w:line="480" w:lineRule="auto"/>
        <w:contextualSpacing w:val="0"/>
        <w:jc w:val="both"/>
        <w:rPr>
          <w:rFonts w:ascii="Arial" w:hAnsi="Arial" w:cs="Arial"/>
          <w:sz w:val="24"/>
          <w:szCs w:val="24"/>
          <w:u w:val="single"/>
        </w:rPr>
      </w:pPr>
      <w:r w:rsidRPr="00793A3E">
        <w:rPr>
          <w:rFonts w:ascii="Arial" w:hAnsi="Arial" w:cs="Arial"/>
          <w:sz w:val="24"/>
          <w:szCs w:val="24"/>
        </w:rPr>
        <w:t xml:space="preserve">  </w:t>
      </w:r>
    </w:p>
    <w:p w14:paraId="449383A9" w14:textId="41155971" w:rsidR="00065EB0"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25.</w:t>
      </w:r>
      <w:r w:rsidRPr="00793A3E">
        <w:rPr>
          <w:rFonts w:ascii="Arial" w:hAnsi="Arial" w:cs="Arial"/>
          <w:sz w:val="24"/>
          <w:szCs w:val="24"/>
        </w:rPr>
        <w:tab/>
      </w:r>
      <w:r w:rsidR="00F5297A" w:rsidRPr="00D33AC2">
        <w:rPr>
          <w:rFonts w:ascii="Arial" w:hAnsi="Arial" w:cs="Arial"/>
          <w:sz w:val="24"/>
          <w:szCs w:val="24"/>
        </w:rPr>
        <w:t xml:space="preserve">It will be noted that the offer had in fact expired from a time point of view ninety days from closing date on 8 January 2020.  </w:t>
      </w:r>
    </w:p>
    <w:p w14:paraId="6A2EB2A0" w14:textId="77777777" w:rsidR="00793A3E" w:rsidRDefault="00793A3E" w:rsidP="00F009F9">
      <w:pPr>
        <w:pStyle w:val="ListParagraph"/>
        <w:spacing w:after="0" w:line="480" w:lineRule="auto"/>
        <w:ind w:left="0"/>
        <w:contextualSpacing w:val="0"/>
        <w:rPr>
          <w:rFonts w:ascii="Arial" w:hAnsi="Arial" w:cs="Arial"/>
          <w:b/>
          <w:sz w:val="24"/>
          <w:szCs w:val="24"/>
          <w:u w:val="single"/>
        </w:rPr>
      </w:pPr>
    </w:p>
    <w:p w14:paraId="1C8781DD" w14:textId="77777777" w:rsidR="00E92D08" w:rsidRDefault="00E92D08" w:rsidP="00F009F9">
      <w:pPr>
        <w:pStyle w:val="ListParagraph"/>
        <w:spacing w:after="0" w:line="480" w:lineRule="auto"/>
        <w:ind w:left="0"/>
        <w:contextualSpacing w:val="0"/>
        <w:rPr>
          <w:rFonts w:ascii="Arial" w:hAnsi="Arial" w:cs="Arial"/>
          <w:b/>
          <w:sz w:val="24"/>
          <w:szCs w:val="24"/>
          <w:u w:val="single"/>
        </w:rPr>
      </w:pPr>
    </w:p>
    <w:p w14:paraId="158DB7AE" w14:textId="77777777" w:rsidR="00E92D08" w:rsidRDefault="00E92D08" w:rsidP="00F009F9">
      <w:pPr>
        <w:pStyle w:val="ListParagraph"/>
        <w:spacing w:after="0" w:line="480" w:lineRule="auto"/>
        <w:ind w:left="0"/>
        <w:contextualSpacing w:val="0"/>
        <w:rPr>
          <w:rFonts w:ascii="Arial" w:hAnsi="Arial" w:cs="Arial"/>
          <w:b/>
          <w:sz w:val="24"/>
          <w:szCs w:val="24"/>
          <w:u w:val="single"/>
        </w:rPr>
      </w:pPr>
    </w:p>
    <w:p w14:paraId="78CC511E" w14:textId="77777777" w:rsidR="00F5297A" w:rsidRDefault="00F5297A" w:rsidP="00F009F9">
      <w:pPr>
        <w:pStyle w:val="ListParagraph"/>
        <w:spacing w:after="0" w:line="480" w:lineRule="auto"/>
        <w:ind w:left="0"/>
        <w:contextualSpacing w:val="0"/>
        <w:rPr>
          <w:rFonts w:ascii="Arial" w:hAnsi="Arial" w:cs="Arial"/>
          <w:b/>
          <w:sz w:val="24"/>
          <w:szCs w:val="24"/>
          <w:u w:val="single"/>
        </w:rPr>
      </w:pPr>
      <w:r w:rsidRPr="00793A3E">
        <w:rPr>
          <w:rFonts w:ascii="Arial" w:hAnsi="Arial" w:cs="Arial"/>
          <w:b/>
          <w:sz w:val="24"/>
          <w:szCs w:val="24"/>
          <w:u w:val="single"/>
        </w:rPr>
        <w:lastRenderedPageBreak/>
        <w:t>THE APPLICATION</w:t>
      </w:r>
    </w:p>
    <w:p w14:paraId="5150F3F8" w14:textId="77777777" w:rsidR="00793A3E" w:rsidRPr="00793A3E" w:rsidRDefault="00793A3E" w:rsidP="00F009F9">
      <w:pPr>
        <w:pStyle w:val="ListParagraph"/>
        <w:spacing w:after="0" w:line="480" w:lineRule="auto"/>
        <w:ind w:left="0"/>
        <w:contextualSpacing w:val="0"/>
        <w:rPr>
          <w:rFonts w:ascii="Arial" w:hAnsi="Arial" w:cs="Arial"/>
          <w:b/>
          <w:sz w:val="24"/>
          <w:szCs w:val="24"/>
          <w:u w:val="single"/>
        </w:rPr>
      </w:pPr>
    </w:p>
    <w:p w14:paraId="29AC458A" w14:textId="39F42076" w:rsidR="00F5297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26.</w:t>
      </w:r>
      <w:r w:rsidRPr="00793A3E">
        <w:rPr>
          <w:rFonts w:ascii="Arial" w:hAnsi="Arial" w:cs="Arial"/>
          <w:sz w:val="24"/>
          <w:szCs w:val="24"/>
        </w:rPr>
        <w:tab/>
      </w:r>
      <w:r w:rsidR="00F5297A" w:rsidRPr="00D33AC2">
        <w:rPr>
          <w:rFonts w:ascii="Arial" w:hAnsi="Arial" w:cs="Arial"/>
          <w:sz w:val="24"/>
          <w:szCs w:val="24"/>
        </w:rPr>
        <w:t>As mentioned above the application was issued on 17 August 2020 served by applicant on first respondent on 8 September 2020.  Applicant sought delivery of the record of the proceedings sought to be set aside within fifteen days of service</w:t>
      </w:r>
      <w:r w:rsidR="00302CCC" w:rsidRPr="00D33AC2">
        <w:rPr>
          <w:rFonts w:ascii="Arial" w:hAnsi="Arial" w:cs="Arial"/>
          <w:sz w:val="24"/>
          <w:szCs w:val="24"/>
        </w:rPr>
        <w:t>,</w:t>
      </w:r>
      <w:r w:rsidR="00F5297A" w:rsidRPr="00D33AC2">
        <w:rPr>
          <w:rFonts w:ascii="Arial" w:hAnsi="Arial" w:cs="Arial"/>
          <w:sz w:val="24"/>
          <w:szCs w:val="24"/>
        </w:rPr>
        <w:t xml:space="preserve"> being effectively 30 September 2020. </w:t>
      </w:r>
    </w:p>
    <w:p w14:paraId="50F48DCF" w14:textId="77777777" w:rsidR="00F5297A" w:rsidRPr="00793A3E" w:rsidRDefault="00F5297A" w:rsidP="00F009F9">
      <w:pPr>
        <w:pStyle w:val="ListParagraph"/>
        <w:spacing w:after="0" w:line="480" w:lineRule="auto"/>
        <w:contextualSpacing w:val="0"/>
        <w:jc w:val="both"/>
        <w:rPr>
          <w:rFonts w:ascii="Arial" w:hAnsi="Arial" w:cs="Arial"/>
          <w:sz w:val="24"/>
          <w:szCs w:val="24"/>
        </w:rPr>
      </w:pPr>
    </w:p>
    <w:p w14:paraId="50F10D66" w14:textId="51C65290" w:rsidR="00F5297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27.</w:t>
      </w:r>
      <w:r w:rsidRPr="00793A3E">
        <w:rPr>
          <w:rFonts w:ascii="Arial" w:hAnsi="Arial" w:cs="Arial"/>
          <w:sz w:val="24"/>
          <w:szCs w:val="24"/>
        </w:rPr>
        <w:tab/>
      </w:r>
      <w:r w:rsidR="00F5297A" w:rsidRPr="00D33AC2">
        <w:rPr>
          <w:rFonts w:ascii="Arial" w:hAnsi="Arial" w:cs="Arial"/>
          <w:sz w:val="24"/>
          <w:szCs w:val="24"/>
        </w:rPr>
        <w:t>First respondent did not comply with this fifteen day period resulting in applicant launching an interlocutory application to compel seeking an order directing first respondent to deliver “</w:t>
      </w:r>
      <w:r w:rsidR="00F5297A" w:rsidRPr="00D33AC2">
        <w:rPr>
          <w:rFonts w:ascii="Arial" w:hAnsi="Arial" w:cs="Arial"/>
          <w:i/>
          <w:sz w:val="24"/>
          <w:szCs w:val="24"/>
        </w:rPr>
        <w:t>the complete record of proceedings</w:t>
      </w:r>
      <w:r w:rsidR="00F5297A" w:rsidRPr="00D33AC2">
        <w:rPr>
          <w:rFonts w:ascii="Arial" w:hAnsi="Arial" w:cs="Arial"/>
          <w:sz w:val="24"/>
          <w:szCs w:val="24"/>
        </w:rPr>
        <w:t>” in respect of the open tenders including specifically specified documents.</w:t>
      </w:r>
    </w:p>
    <w:p w14:paraId="4A9BDBAB" w14:textId="77777777" w:rsidR="00F5297A" w:rsidRPr="00793A3E" w:rsidRDefault="00F5297A" w:rsidP="00F009F9">
      <w:pPr>
        <w:pStyle w:val="ListParagraph"/>
        <w:spacing w:after="0" w:line="480" w:lineRule="auto"/>
        <w:contextualSpacing w:val="0"/>
        <w:rPr>
          <w:rFonts w:ascii="Arial" w:hAnsi="Arial" w:cs="Arial"/>
          <w:sz w:val="24"/>
          <w:szCs w:val="24"/>
        </w:rPr>
      </w:pPr>
    </w:p>
    <w:p w14:paraId="58471240" w14:textId="1430F518" w:rsidR="00F5297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28.</w:t>
      </w:r>
      <w:r w:rsidRPr="00793A3E">
        <w:rPr>
          <w:rFonts w:ascii="Arial" w:hAnsi="Arial" w:cs="Arial"/>
          <w:sz w:val="24"/>
          <w:szCs w:val="24"/>
        </w:rPr>
        <w:tab/>
      </w:r>
      <w:r w:rsidR="00F5297A" w:rsidRPr="00D33AC2">
        <w:rPr>
          <w:rFonts w:ascii="Arial" w:hAnsi="Arial" w:cs="Arial"/>
          <w:sz w:val="24"/>
          <w:szCs w:val="24"/>
        </w:rPr>
        <w:t>This was, put shortly, opposed apparently on the ground that applicant, said first respondent, was only entitled to the relevant portions of the record.  On 11 February 2021 the court made an order by agreement between the parties</w:t>
      </w:r>
      <w:r w:rsidR="00302CCC" w:rsidRPr="00D33AC2">
        <w:rPr>
          <w:rFonts w:ascii="Arial" w:hAnsi="Arial" w:cs="Arial"/>
          <w:sz w:val="24"/>
          <w:szCs w:val="24"/>
        </w:rPr>
        <w:t>,</w:t>
      </w:r>
      <w:r w:rsidR="00F5297A" w:rsidRPr="00D33AC2">
        <w:rPr>
          <w:rFonts w:ascii="Arial" w:hAnsi="Arial" w:cs="Arial"/>
          <w:sz w:val="24"/>
          <w:szCs w:val="24"/>
        </w:rPr>
        <w:t xml:space="preserve"> the exact contents of this which will be set out </w:t>
      </w:r>
      <w:r w:rsidR="00302CCC" w:rsidRPr="00D33AC2">
        <w:rPr>
          <w:rFonts w:ascii="Arial" w:hAnsi="Arial" w:cs="Arial"/>
          <w:sz w:val="24"/>
          <w:szCs w:val="24"/>
        </w:rPr>
        <w:t xml:space="preserve">in due course </w:t>
      </w:r>
      <w:r w:rsidR="00F5297A" w:rsidRPr="00D33AC2">
        <w:rPr>
          <w:rFonts w:ascii="Arial" w:hAnsi="Arial" w:cs="Arial"/>
          <w:sz w:val="24"/>
          <w:szCs w:val="24"/>
        </w:rPr>
        <w:t>hereafter</w:t>
      </w:r>
      <w:r w:rsidR="00302CCC" w:rsidRPr="00D33AC2">
        <w:rPr>
          <w:rFonts w:ascii="Arial" w:hAnsi="Arial" w:cs="Arial"/>
          <w:sz w:val="24"/>
          <w:szCs w:val="24"/>
        </w:rPr>
        <w:t>,</w:t>
      </w:r>
      <w:r w:rsidR="00F5297A" w:rsidRPr="00D33AC2">
        <w:rPr>
          <w:rFonts w:ascii="Arial" w:hAnsi="Arial" w:cs="Arial"/>
          <w:sz w:val="24"/>
          <w:szCs w:val="24"/>
        </w:rPr>
        <w:t xml:space="preserve"> as I am obliged to decide the costs issue relevant to that application which were reserved.</w:t>
      </w:r>
    </w:p>
    <w:p w14:paraId="39940701" w14:textId="77777777" w:rsidR="00F5297A" w:rsidRPr="00793A3E" w:rsidRDefault="00F5297A" w:rsidP="00F009F9">
      <w:pPr>
        <w:pStyle w:val="ListParagraph"/>
        <w:spacing w:after="0" w:line="480" w:lineRule="auto"/>
        <w:contextualSpacing w:val="0"/>
        <w:rPr>
          <w:rFonts w:ascii="Arial" w:hAnsi="Arial" w:cs="Arial"/>
          <w:sz w:val="24"/>
          <w:szCs w:val="24"/>
        </w:rPr>
      </w:pPr>
    </w:p>
    <w:p w14:paraId="7EDD7E76" w14:textId="03CBEC81" w:rsidR="00F5297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29.</w:t>
      </w:r>
      <w:r w:rsidRPr="00793A3E">
        <w:rPr>
          <w:rFonts w:ascii="Arial" w:hAnsi="Arial" w:cs="Arial"/>
          <w:sz w:val="24"/>
          <w:szCs w:val="24"/>
        </w:rPr>
        <w:tab/>
      </w:r>
      <w:r w:rsidR="00F5297A" w:rsidRPr="00D33AC2">
        <w:rPr>
          <w:rFonts w:ascii="Arial" w:hAnsi="Arial" w:cs="Arial"/>
          <w:sz w:val="24"/>
          <w:szCs w:val="24"/>
        </w:rPr>
        <w:t xml:space="preserve">It suffices to say that the relevant portion of the record was delivered and then supplemented on 12 March 2021.  </w:t>
      </w:r>
      <w:r w:rsidR="007672FE" w:rsidRPr="00D33AC2">
        <w:rPr>
          <w:rFonts w:ascii="Arial" w:hAnsi="Arial" w:cs="Arial"/>
          <w:sz w:val="24"/>
          <w:szCs w:val="24"/>
        </w:rPr>
        <w:t>Subsequently the matter was set down for adjudication in respect of the record itself.</w:t>
      </w:r>
    </w:p>
    <w:p w14:paraId="1249718D" w14:textId="77777777" w:rsidR="007672FE" w:rsidRPr="00793A3E" w:rsidRDefault="007672FE" w:rsidP="00F009F9">
      <w:pPr>
        <w:pStyle w:val="ListParagraph"/>
        <w:spacing w:after="0" w:line="480" w:lineRule="auto"/>
        <w:contextualSpacing w:val="0"/>
        <w:rPr>
          <w:rFonts w:ascii="Arial" w:hAnsi="Arial" w:cs="Arial"/>
          <w:sz w:val="24"/>
          <w:szCs w:val="24"/>
        </w:rPr>
      </w:pPr>
    </w:p>
    <w:p w14:paraId="2695EB4B" w14:textId="500D83EC" w:rsidR="007672FE"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30.</w:t>
      </w:r>
      <w:r w:rsidRPr="00793A3E">
        <w:rPr>
          <w:rFonts w:ascii="Arial" w:hAnsi="Arial" w:cs="Arial"/>
          <w:sz w:val="24"/>
          <w:szCs w:val="24"/>
        </w:rPr>
        <w:tab/>
      </w:r>
      <w:r w:rsidR="007672FE" w:rsidRPr="00D33AC2">
        <w:rPr>
          <w:rFonts w:ascii="Arial" w:hAnsi="Arial" w:cs="Arial"/>
          <w:sz w:val="24"/>
          <w:szCs w:val="24"/>
        </w:rPr>
        <w:t>The review application was initially set down for hearing on 21 October 2021 but on 13 October 2021 was removed from the roll by a directive of the Judge President</w:t>
      </w:r>
      <w:r w:rsidR="009637E3" w:rsidRPr="00D33AC2">
        <w:rPr>
          <w:rFonts w:ascii="Arial" w:hAnsi="Arial" w:cs="Arial"/>
          <w:sz w:val="24"/>
          <w:szCs w:val="24"/>
        </w:rPr>
        <w:t>,</w:t>
      </w:r>
      <w:r w:rsidR="007672FE" w:rsidRPr="00D33AC2">
        <w:rPr>
          <w:rFonts w:ascii="Arial" w:hAnsi="Arial" w:cs="Arial"/>
          <w:sz w:val="24"/>
          <w:szCs w:val="24"/>
        </w:rPr>
        <w:t xml:space="preserve"> the court to first consider an amendment to the notice of motion in </w:t>
      </w:r>
      <w:r w:rsidR="007672FE" w:rsidRPr="00D33AC2">
        <w:rPr>
          <w:rFonts w:ascii="Arial" w:hAnsi="Arial" w:cs="Arial"/>
          <w:sz w:val="24"/>
          <w:szCs w:val="24"/>
        </w:rPr>
        <w:lastRenderedPageBreak/>
        <w:t xml:space="preserve">respect of an additional prayer for relief in terms of section 9 of PAJA.  This was pursuant to SKG having launched an application to amend its notice of motion which was opposed.  This was set down for hearing on 24 March 2022 and the amendment was granted, and finds its way into the notice of motion as paragraph 9 thereof.  </w:t>
      </w:r>
    </w:p>
    <w:p w14:paraId="60705125" w14:textId="77777777" w:rsidR="007672FE" w:rsidRPr="00793A3E" w:rsidRDefault="007672FE" w:rsidP="00F009F9">
      <w:pPr>
        <w:pStyle w:val="ListParagraph"/>
        <w:spacing w:after="0" w:line="480" w:lineRule="auto"/>
        <w:contextualSpacing w:val="0"/>
        <w:rPr>
          <w:rFonts w:ascii="Arial" w:hAnsi="Arial" w:cs="Arial"/>
          <w:sz w:val="24"/>
          <w:szCs w:val="24"/>
        </w:rPr>
      </w:pPr>
    </w:p>
    <w:p w14:paraId="4FE5DB6C" w14:textId="331F7ED9" w:rsidR="007672FE"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31.</w:t>
      </w:r>
      <w:r w:rsidRPr="00793A3E">
        <w:rPr>
          <w:rFonts w:ascii="Arial" w:hAnsi="Arial" w:cs="Arial"/>
          <w:sz w:val="24"/>
          <w:szCs w:val="24"/>
        </w:rPr>
        <w:tab/>
      </w:r>
      <w:r w:rsidR="007672FE" w:rsidRPr="00D33AC2">
        <w:rPr>
          <w:rFonts w:ascii="Arial" w:hAnsi="Arial" w:cs="Arial"/>
          <w:sz w:val="24"/>
          <w:szCs w:val="24"/>
        </w:rPr>
        <w:t>Whilst this will be referred to more fully hereafter, if necessary, SKG raised the possibility of needing an extension of time in its founding affidavit.</w:t>
      </w:r>
      <w:r w:rsidR="00302CCC" w:rsidRPr="00793A3E">
        <w:rPr>
          <w:rStyle w:val="FootnoteReference"/>
          <w:rFonts w:ascii="Arial" w:hAnsi="Arial" w:cs="Arial"/>
          <w:sz w:val="24"/>
          <w:szCs w:val="24"/>
        </w:rPr>
        <w:footnoteReference w:id="3"/>
      </w:r>
      <w:r w:rsidR="007672FE" w:rsidRPr="00D33AC2">
        <w:rPr>
          <w:rFonts w:ascii="Arial" w:hAnsi="Arial" w:cs="Arial"/>
          <w:sz w:val="24"/>
          <w:szCs w:val="24"/>
        </w:rPr>
        <w:t xml:space="preserve">  In short, SKG alleges having become aware that its bid for 5818 was unsuccessful on 14 January 2020</w:t>
      </w:r>
      <w:r w:rsidR="00302CCC" w:rsidRPr="00D33AC2">
        <w:rPr>
          <w:rFonts w:ascii="Arial" w:hAnsi="Arial" w:cs="Arial"/>
          <w:sz w:val="24"/>
          <w:szCs w:val="24"/>
        </w:rPr>
        <w:t>,</w:t>
      </w:r>
      <w:r w:rsidR="007672FE" w:rsidRPr="00D33AC2">
        <w:rPr>
          <w:rFonts w:ascii="Arial" w:hAnsi="Arial" w:cs="Arial"/>
          <w:sz w:val="24"/>
          <w:szCs w:val="24"/>
        </w:rPr>
        <w:t xml:space="preserve"> but not the reasons therefor.  In summary, it is argued that the 180 time period in terms of section 7(1)(b) of PAJA only commenced to run once it became aware of the reasons for the impugned decision.  It is alleged that on 16 March 2020 Eskom made available some documentation relevant to the issue</w:t>
      </w:r>
      <w:r w:rsidR="005C3214" w:rsidRPr="00D33AC2">
        <w:rPr>
          <w:rFonts w:ascii="Arial" w:hAnsi="Arial" w:cs="Arial"/>
          <w:sz w:val="24"/>
          <w:szCs w:val="24"/>
        </w:rPr>
        <w:t>,</w:t>
      </w:r>
      <w:r w:rsidR="007672FE" w:rsidRPr="00D33AC2">
        <w:rPr>
          <w:rFonts w:ascii="Arial" w:hAnsi="Arial" w:cs="Arial"/>
          <w:sz w:val="24"/>
          <w:szCs w:val="24"/>
        </w:rPr>
        <w:t xml:space="preserve"> and that the earliest possible date relevant to the running of the 180 day period was 16 March 2020, the application launched on 17 August 2020, it being argued that this was then within the 180 days prescribed by PAJA. </w:t>
      </w:r>
    </w:p>
    <w:p w14:paraId="401F960D" w14:textId="77777777" w:rsidR="007672FE" w:rsidRPr="00793A3E" w:rsidRDefault="007672FE" w:rsidP="00F009F9">
      <w:pPr>
        <w:pStyle w:val="ListParagraph"/>
        <w:spacing w:after="0" w:line="480" w:lineRule="auto"/>
        <w:contextualSpacing w:val="0"/>
        <w:rPr>
          <w:rFonts w:ascii="Arial" w:hAnsi="Arial" w:cs="Arial"/>
          <w:sz w:val="24"/>
          <w:szCs w:val="24"/>
        </w:rPr>
      </w:pPr>
    </w:p>
    <w:p w14:paraId="16CC4612" w14:textId="77777777" w:rsidR="007672FE" w:rsidRPr="00793A3E" w:rsidRDefault="007672FE" w:rsidP="00F009F9">
      <w:pPr>
        <w:pStyle w:val="ListParagraph"/>
        <w:spacing w:after="0" w:line="480" w:lineRule="auto"/>
        <w:ind w:left="0"/>
        <w:contextualSpacing w:val="0"/>
        <w:jc w:val="both"/>
        <w:rPr>
          <w:rFonts w:ascii="Arial" w:hAnsi="Arial" w:cs="Arial"/>
          <w:b/>
          <w:sz w:val="24"/>
          <w:szCs w:val="24"/>
          <w:u w:val="single"/>
        </w:rPr>
      </w:pPr>
      <w:r w:rsidRPr="00793A3E">
        <w:rPr>
          <w:rFonts w:ascii="Arial" w:hAnsi="Arial" w:cs="Arial"/>
          <w:b/>
          <w:sz w:val="24"/>
          <w:szCs w:val="24"/>
          <w:u w:val="single"/>
        </w:rPr>
        <w:t>THE GROUNDS OF ATTACK IN RESPECT OF 5818</w:t>
      </w:r>
    </w:p>
    <w:p w14:paraId="35A8CFBF" w14:textId="77777777" w:rsidR="007672FE" w:rsidRPr="00793A3E" w:rsidRDefault="007672FE" w:rsidP="00F009F9">
      <w:pPr>
        <w:pStyle w:val="ListParagraph"/>
        <w:spacing w:after="0" w:line="480" w:lineRule="auto"/>
        <w:contextualSpacing w:val="0"/>
        <w:jc w:val="both"/>
        <w:rPr>
          <w:rFonts w:ascii="Arial" w:hAnsi="Arial" w:cs="Arial"/>
          <w:sz w:val="24"/>
          <w:szCs w:val="24"/>
        </w:rPr>
      </w:pPr>
    </w:p>
    <w:p w14:paraId="28369680" w14:textId="56794204" w:rsidR="007672FE"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32.</w:t>
      </w:r>
      <w:r w:rsidRPr="00793A3E">
        <w:rPr>
          <w:rFonts w:ascii="Arial" w:hAnsi="Arial" w:cs="Arial"/>
          <w:sz w:val="24"/>
          <w:szCs w:val="24"/>
        </w:rPr>
        <w:tab/>
      </w:r>
      <w:r w:rsidR="00676D85" w:rsidRPr="00D33AC2">
        <w:rPr>
          <w:rFonts w:ascii="Arial" w:hAnsi="Arial" w:cs="Arial"/>
          <w:sz w:val="24"/>
          <w:szCs w:val="24"/>
        </w:rPr>
        <w:t>The grounds for challenge in respect of 5818 are limited in respect of applicant’s argument to the issue of “</w:t>
      </w:r>
      <w:r w:rsidR="00676D85" w:rsidRPr="00D33AC2">
        <w:rPr>
          <w:rFonts w:ascii="Arial" w:hAnsi="Arial" w:cs="Arial"/>
          <w:i/>
          <w:sz w:val="24"/>
          <w:szCs w:val="24"/>
        </w:rPr>
        <w:t>price</w:t>
      </w:r>
      <w:r w:rsidR="00676D85" w:rsidRPr="00D33AC2">
        <w:rPr>
          <w:rFonts w:ascii="Arial" w:hAnsi="Arial" w:cs="Arial"/>
          <w:sz w:val="24"/>
          <w:szCs w:val="24"/>
        </w:rPr>
        <w:t xml:space="preserve">”.  </w:t>
      </w:r>
    </w:p>
    <w:p w14:paraId="5138643F" w14:textId="77777777" w:rsidR="00676D85" w:rsidRPr="00793A3E" w:rsidRDefault="00676D85" w:rsidP="00F009F9">
      <w:pPr>
        <w:pStyle w:val="ListParagraph"/>
        <w:spacing w:after="0" w:line="480" w:lineRule="auto"/>
        <w:contextualSpacing w:val="0"/>
        <w:jc w:val="both"/>
        <w:rPr>
          <w:rFonts w:ascii="Arial" w:hAnsi="Arial" w:cs="Arial"/>
          <w:sz w:val="24"/>
          <w:szCs w:val="24"/>
        </w:rPr>
      </w:pPr>
    </w:p>
    <w:p w14:paraId="7B6AA41E" w14:textId="1DE57EB0" w:rsidR="00676D8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33.</w:t>
      </w:r>
      <w:r w:rsidRPr="00793A3E">
        <w:rPr>
          <w:rFonts w:ascii="Arial" w:hAnsi="Arial" w:cs="Arial"/>
          <w:sz w:val="24"/>
          <w:szCs w:val="24"/>
        </w:rPr>
        <w:tab/>
      </w:r>
      <w:r w:rsidR="00676D85" w:rsidRPr="00D33AC2">
        <w:rPr>
          <w:rFonts w:ascii="Arial" w:hAnsi="Arial" w:cs="Arial"/>
          <w:sz w:val="24"/>
          <w:szCs w:val="24"/>
        </w:rPr>
        <w:t xml:space="preserve">It is alleged that there are two aspects to this challenge, firstly it being contended by SKG that when a tender invitation does not specify a specific or fixed </w:t>
      </w:r>
      <w:r w:rsidR="005C3214" w:rsidRPr="00D33AC2">
        <w:rPr>
          <w:rFonts w:ascii="Arial" w:hAnsi="Arial" w:cs="Arial"/>
          <w:sz w:val="24"/>
          <w:szCs w:val="24"/>
        </w:rPr>
        <w:t xml:space="preserve">lease </w:t>
      </w:r>
      <w:r w:rsidR="00676D85" w:rsidRPr="00D33AC2">
        <w:rPr>
          <w:rFonts w:ascii="Arial" w:hAnsi="Arial" w:cs="Arial"/>
          <w:sz w:val="24"/>
          <w:szCs w:val="24"/>
        </w:rPr>
        <w:t>area but instead requires an “</w:t>
      </w:r>
      <w:r w:rsidR="00676D85" w:rsidRPr="00D33AC2">
        <w:rPr>
          <w:rFonts w:ascii="Arial" w:hAnsi="Arial" w:cs="Arial"/>
          <w:i/>
          <w:sz w:val="24"/>
          <w:szCs w:val="24"/>
        </w:rPr>
        <w:t>approximate</w:t>
      </w:r>
      <w:r w:rsidR="00676D85" w:rsidRPr="00D33AC2">
        <w:rPr>
          <w:rFonts w:ascii="Arial" w:hAnsi="Arial" w:cs="Arial"/>
          <w:sz w:val="24"/>
          <w:szCs w:val="24"/>
        </w:rPr>
        <w:t xml:space="preserve">” area, then the bids </w:t>
      </w:r>
      <w:r w:rsidR="00676D85" w:rsidRPr="00D33AC2">
        <w:rPr>
          <w:rFonts w:ascii="Arial" w:hAnsi="Arial" w:cs="Arial"/>
          <w:sz w:val="24"/>
          <w:szCs w:val="24"/>
        </w:rPr>
        <w:lastRenderedPageBreak/>
        <w:t xml:space="preserve">should be evaluated on price per square meter as opposed to the total price.  It is said that this is necessary in order to comply with the provisions of section 217 of the Constitution.  </w:t>
      </w:r>
    </w:p>
    <w:p w14:paraId="45270DEE" w14:textId="77777777" w:rsidR="00676D85" w:rsidRPr="00793A3E" w:rsidRDefault="00676D85" w:rsidP="00F009F9">
      <w:pPr>
        <w:pStyle w:val="ListParagraph"/>
        <w:spacing w:after="0" w:line="480" w:lineRule="auto"/>
        <w:contextualSpacing w:val="0"/>
        <w:rPr>
          <w:rFonts w:ascii="Arial" w:hAnsi="Arial" w:cs="Arial"/>
          <w:sz w:val="24"/>
          <w:szCs w:val="24"/>
        </w:rPr>
      </w:pPr>
    </w:p>
    <w:p w14:paraId="064E4732" w14:textId="491FA606" w:rsidR="00676D8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34.</w:t>
      </w:r>
      <w:r w:rsidRPr="00793A3E">
        <w:rPr>
          <w:rFonts w:ascii="Arial" w:hAnsi="Arial" w:cs="Arial"/>
          <w:sz w:val="24"/>
          <w:szCs w:val="24"/>
        </w:rPr>
        <w:tab/>
      </w:r>
      <w:r w:rsidR="00676D85" w:rsidRPr="00D33AC2">
        <w:rPr>
          <w:rFonts w:ascii="Arial" w:hAnsi="Arial" w:cs="Arial"/>
          <w:sz w:val="24"/>
          <w:szCs w:val="24"/>
        </w:rPr>
        <w:t>The second challenge is that it is alleged that when Eskom deducted the tenant installation costs (“TIC”) from Rokewood’s bid price it “</w:t>
      </w:r>
      <w:r w:rsidR="00676D85" w:rsidRPr="00D33AC2">
        <w:rPr>
          <w:rFonts w:ascii="Arial" w:hAnsi="Arial" w:cs="Arial"/>
          <w:i/>
          <w:sz w:val="24"/>
          <w:szCs w:val="24"/>
        </w:rPr>
        <w:t>should have done the same in respect of SKG’s bid price</w:t>
      </w:r>
      <w:r w:rsidR="00676D85" w:rsidRPr="00D33AC2">
        <w:rPr>
          <w:rFonts w:ascii="Arial" w:hAnsi="Arial" w:cs="Arial"/>
          <w:sz w:val="24"/>
          <w:szCs w:val="24"/>
        </w:rPr>
        <w:t xml:space="preserve">”.  </w:t>
      </w:r>
    </w:p>
    <w:p w14:paraId="040DF394" w14:textId="77777777" w:rsidR="00676D85" w:rsidRPr="00793A3E" w:rsidRDefault="00676D85" w:rsidP="00F009F9">
      <w:pPr>
        <w:pStyle w:val="ListParagraph"/>
        <w:spacing w:after="0" w:line="480" w:lineRule="auto"/>
        <w:contextualSpacing w:val="0"/>
        <w:rPr>
          <w:rFonts w:ascii="Arial" w:hAnsi="Arial" w:cs="Arial"/>
          <w:sz w:val="24"/>
          <w:szCs w:val="24"/>
        </w:rPr>
      </w:pPr>
    </w:p>
    <w:p w14:paraId="264620E6" w14:textId="31453D40" w:rsidR="00676D8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35.</w:t>
      </w:r>
      <w:r w:rsidRPr="00793A3E">
        <w:rPr>
          <w:rFonts w:ascii="Arial" w:hAnsi="Arial" w:cs="Arial"/>
          <w:sz w:val="24"/>
          <w:szCs w:val="24"/>
        </w:rPr>
        <w:tab/>
      </w:r>
      <w:r w:rsidR="00676D85" w:rsidRPr="00D33AC2">
        <w:rPr>
          <w:rFonts w:ascii="Arial" w:hAnsi="Arial" w:cs="Arial"/>
          <w:sz w:val="24"/>
          <w:szCs w:val="24"/>
        </w:rPr>
        <w:t xml:space="preserve">The second basis of the challenge in the papers relevant to the acceptance of the award after expiry of the validity period was not pursued in argument.  </w:t>
      </w:r>
    </w:p>
    <w:p w14:paraId="6B68F0DE" w14:textId="77777777" w:rsidR="00676D85" w:rsidRPr="00793A3E" w:rsidRDefault="00676D85" w:rsidP="00F009F9">
      <w:pPr>
        <w:pStyle w:val="ListParagraph"/>
        <w:spacing w:after="0" w:line="480" w:lineRule="auto"/>
        <w:contextualSpacing w:val="0"/>
        <w:rPr>
          <w:rFonts w:ascii="Arial" w:hAnsi="Arial" w:cs="Arial"/>
          <w:sz w:val="24"/>
          <w:szCs w:val="24"/>
        </w:rPr>
      </w:pPr>
    </w:p>
    <w:p w14:paraId="33ED6245" w14:textId="1A41EC7D" w:rsidR="00275ED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36.</w:t>
      </w:r>
      <w:r w:rsidRPr="00793A3E">
        <w:rPr>
          <w:rFonts w:ascii="Arial" w:hAnsi="Arial" w:cs="Arial"/>
          <w:sz w:val="24"/>
          <w:szCs w:val="24"/>
        </w:rPr>
        <w:tab/>
      </w:r>
      <w:r w:rsidR="00275EDA" w:rsidRPr="00D33AC2">
        <w:rPr>
          <w:rFonts w:ascii="Arial" w:hAnsi="Arial" w:cs="Arial"/>
          <w:sz w:val="24"/>
          <w:szCs w:val="24"/>
        </w:rPr>
        <w:t xml:space="preserve">In respect of the approximate </w:t>
      </w:r>
      <w:r w:rsidR="005C3214" w:rsidRPr="00D33AC2">
        <w:rPr>
          <w:rFonts w:ascii="Arial" w:hAnsi="Arial" w:cs="Arial"/>
          <w:sz w:val="24"/>
          <w:szCs w:val="24"/>
        </w:rPr>
        <w:t xml:space="preserve">lease </w:t>
      </w:r>
      <w:r w:rsidR="00275EDA" w:rsidRPr="00D33AC2">
        <w:rPr>
          <w:rFonts w:ascii="Arial" w:hAnsi="Arial" w:cs="Arial"/>
          <w:sz w:val="24"/>
          <w:szCs w:val="24"/>
        </w:rPr>
        <w:t xml:space="preserve">area issue, </w:t>
      </w:r>
      <w:r w:rsidR="005C3214" w:rsidRPr="00D33AC2">
        <w:rPr>
          <w:rFonts w:ascii="Arial" w:hAnsi="Arial" w:cs="Arial"/>
          <w:sz w:val="24"/>
          <w:szCs w:val="24"/>
        </w:rPr>
        <w:t xml:space="preserve">in </w:t>
      </w:r>
      <w:r w:rsidR="00275EDA" w:rsidRPr="00D33AC2">
        <w:rPr>
          <w:rFonts w:ascii="Arial" w:hAnsi="Arial" w:cs="Arial"/>
          <w:sz w:val="24"/>
          <w:szCs w:val="24"/>
        </w:rPr>
        <w:t>the tender invitation, it was common cause, that the invitation to tender read as follows:</w:t>
      </w:r>
    </w:p>
    <w:p w14:paraId="34DFC104" w14:textId="77777777" w:rsidR="00275EDA" w:rsidRPr="00793A3E" w:rsidRDefault="00275EDA" w:rsidP="00F009F9">
      <w:pPr>
        <w:pStyle w:val="ListParagraph"/>
        <w:spacing w:after="0" w:line="480" w:lineRule="auto"/>
        <w:contextualSpacing w:val="0"/>
        <w:rPr>
          <w:rFonts w:ascii="Arial" w:hAnsi="Arial" w:cs="Arial"/>
          <w:sz w:val="24"/>
          <w:szCs w:val="24"/>
        </w:rPr>
      </w:pPr>
    </w:p>
    <w:p w14:paraId="06FC8907" w14:textId="77777777" w:rsidR="00275EDA" w:rsidRPr="00793A3E" w:rsidRDefault="00275EDA" w:rsidP="00F009F9">
      <w:pPr>
        <w:pStyle w:val="ListParagraph"/>
        <w:spacing w:after="0" w:line="360" w:lineRule="auto"/>
        <w:ind w:left="1440"/>
        <w:contextualSpacing w:val="0"/>
        <w:jc w:val="both"/>
        <w:rPr>
          <w:rFonts w:ascii="Arial" w:hAnsi="Arial" w:cs="Arial"/>
        </w:rPr>
      </w:pPr>
      <w:r w:rsidRPr="00793A3E">
        <w:rPr>
          <w:rFonts w:ascii="Arial" w:hAnsi="Arial" w:cs="Arial"/>
        </w:rPr>
        <w:t>“A lease agreement for ± 1200m² office space of Grade A or higher rated building in the</w:t>
      </w:r>
      <w:r w:rsidR="00173852" w:rsidRPr="00793A3E">
        <w:rPr>
          <w:rFonts w:ascii="Arial" w:hAnsi="Arial" w:cs="Arial"/>
        </w:rPr>
        <w:t xml:space="preserve"> Beacon Bay, East London area.”</w:t>
      </w:r>
    </w:p>
    <w:p w14:paraId="21218B77" w14:textId="77777777" w:rsidR="00275EDA" w:rsidRPr="00793A3E" w:rsidRDefault="00275EDA" w:rsidP="00F009F9">
      <w:pPr>
        <w:pStyle w:val="ListParagraph"/>
        <w:spacing w:after="0" w:line="480" w:lineRule="auto"/>
        <w:contextualSpacing w:val="0"/>
        <w:rPr>
          <w:rFonts w:ascii="Arial" w:hAnsi="Arial" w:cs="Arial"/>
          <w:sz w:val="24"/>
          <w:szCs w:val="24"/>
        </w:rPr>
      </w:pPr>
    </w:p>
    <w:p w14:paraId="1EF0175E" w14:textId="0F8A6B98" w:rsidR="00676D8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37.</w:t>
      </w:r>
      <w:r w:rsidRPr="00793A3E">
        <w:rPr>
          <w:rFonts w:ascii="Arial" w:hAnsi="Arial" w:cs="Arial"/>
          <w:sz w:val="24"/>
          <w:szCs w:val="24"/>
        </w:rPr>
        <w:tab/>
      </w:r>
      <w:r w:rsidR="00173852" w:rsidRPr="00D33AC2">
        <w:rPr>
          <w:rFonts w:ascii="Arial" w:hAnsi="Arial" w:cs="Arial"/>
          <w:sz w:val="24"/>
          <w:szCs w:val="24"/>
        </w:rPr>
        <w:t>The lease was to run until</w:t>
      </w:r>
      <w:r w:rsidR="005C3214" w:rsidRPr="00D33AC2">
        <w:rPr>
          <w:rFonts w:ascii="Arial" w:hAnsi="Arial" w:cs="Arial"/>
          <w:sz w:val="24"/>
          <w:szCs w:val="24"/>
        </w:rPr>
        <w:t xml:space="preserve"> 31 January 2023.  </w:t>
      </w:r>
    </w:p>
    <w:p w14:paraId="7BBD4165" w14:textId="77777777" w:rsidR="00173852" w:rsidRPr="00793A3E" w:rsidRDefault="00173852" w:rsidP="00F009F9">
      <w:pPr>
        <w:pStyle w:val="ListParagraph"/>
        <w:spacing w:after="0" w:line="480" w:lineRule="auto"/>
        <w:contextualSpacing w:val="0"/>
        <w:jc w:val="both"/>
        <w:rPr>
          <w:rFonts w:ascii="Arial" w:hAnsi="Arial" w:cs="Arial"/>
          <w:sz w:val="24"/>
          <w:szCs w:val="24"/>
        </w:rPr>
      </w:pPr>
    </w:p>
    <w:p w14:paraId="2682AE23" w14:textId="5A804D8E" w:rsidR="0017385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38.</w:t>
      </w:r>
      <w:r w:rsidRPr="00793A3E">
        <w:rPr>
          <w:rFonts w:ascii="Arial" w:hAnsi="Arial" w:cs="Arial"/>
          <w:sz w:val="24"/>
          <w:szCs w:val="24"/>
        </w:rPr>
        <w:tab/>
      </w:r>
      <w:r w:rsidR="00173852" w:rsidRPr="00D33AC2">
        <w:rPr>
          <w:rFonts w:ascii="Arial" w:hAnsi="Arial" w:cs="Arial"/>
          <w:sz w:val="24"/>
          <w:szCs w:val="24"/>
        </w:rPr>
        <w:t xml:space="preserve">The tender invitation provided for the manner in which points would be allocated for the said office space which, argued applicant, in its terms did not make sense.  This was based on the submission that where bidders offer related to space of between 1000m² and 1250m² they would score ten points, the difference between the upper and lower acceptable floor space being 250m².  This it was said was significant having a substantial </w:t>
      </w:r>
      <w:r w:rsidR="005C3214" w:rsidRPr="00D33AC2">
        <w:rPr>
          <w:rFonts w:ascii="Arial" w:hAnsi="Arial" w:cs="Arial"/>
          <w:sz w:val="24"/>
          <w:szCs w:val="24"/>
        </w:rPr>
        <w:t>effect</w:t>
      </w:r>
      <w:r w:rsidR="00173852" w:rsidRPr="00D33AC2">
        <w:rPr>
          <w:rFonts w:ascii="Arial" w:hAnsi="Arial" w:cs="Arial"/>
          <w:sz w:val="24"/>
          <w:szCs w:val="24"/>
        </w:rPr>
        <w:t xml:space="preserve"> on the total price.  It was alleged that the bidder with the smallest space would in most circumstances have a less expensive total price despite the fact that the rate </w:t>
      </w:r>
      <w:r w:rsidR="00173852" w:rsidRPr="00D33AC2">
        <w:rPr>
          <w:rFonts w:ascii="Arial" w:hAnsi="Arial" w:cs="Arial"/>
          <w:sz w:val="24"/>
          <w:szCs w:val="24"/>
        </w:rPr>
        <w:lastRenderedPageBreak/>
        <w:t xml:space="preserve">per square meter </w:t>
      </w:r>
      <w:r w:rsidR="005C3214" w:rsidRPr="00D33AC2">
        <w:rPr>
          <w:rFonts w:ascii="Arial" w:hAnsi="Arial" w:cs="Arial"/>
          <w:sz w:val="24"/>
          <w:szCs w:val="24"/>
        </w:rPr>
        <w:t xml:space="preserve">may in fact be </w:t>
      </w:r>
      <w:r w:rsidR="00173852" w:rsidRPr="00D33AC2">
        <w:rPr>
          <w:rFonts w:ascii="Arial" w:hAnsi="Arial" w:cs="Arial"/>
          <w:sz w:val="24"/>
          <w:szCs w:val="24"/>
        </w:rPr>
        <w:t xml:space="preserve">higher.  This it is alleged is what happened in the present matter.  </w:t>
      </w:r>
    </w:p>
    <w:p w14:paraId="7E5F44A9" w14:textId="77777777" w:rsidR="00173852" w:rsidRPr="00793A3E" w:rsidRDefault="00173852" w:rsidP="00F009F9">
      <w:pPr>
        <w:pStyle w:val="ListParagraph"/>
        <w:spacing w:after="0" w:line="480" w:lineRule="auto"/>
        <w:contextualSpacing w:val="0"/>
        <w:rPr>
          <w:rFonts w:ascii="Arial" w:hAnsi="Arial" w:cs="Arial"/>
          <w:sz w:val="24"/>
          <w:szCs w:val="24"/>
        </w:rPr>
      </w:pPr>
    </w:p>
    <w:p w14:paraId="27DA0055" w14:textId="3E7F1BFD" w:rsidR="0017385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39.</w:t>
      </w:r>
      <w:r w:rsidRPr="00793A3E">
        <w:rPr>
          <w:rFonts w:ascii="Arial" w:hAnsi="Arial" w:cs="Arial"/>
          <w:sz w:val="24"/>
          <w:szCs w:val="24"/>
        </w:rPr>
        <w:tab/>
      </w:r>
      <w:r w:rsidR="00173852" w:rsidRPr="00D33AC2">
        <w:rPr>
          <w:rFonts w:ascii="Arial" w:hAnsi="Arial" w:cs="Arial"/>
          <w:sz w:val="24"/>
          <w:szCs w:val="24"/>
        </w:rPr>
        <w:t xml:space="preserve">It is argued that it is also common cause that Rokewood’s bid provided for 1045m² of office space at a rate of R115,00 (vat exclusive) </w:t>
      </w:r>
      <w:r w:rsidR="005C3214" w:rsidRPr="00D33AC2">
        <w:rPr>
          <w:rFonts w:ascii="Arial" w:hAnsi="Arial" w:cs="Arial"/>
          <w:sz w:val="24"/>
          <w:szCs w:val="24"/>
        </w:rPr>
        <w:t xml:space="preserve">per square meter </w:t>
      </w:r>
      <w:r w:rsidR="00173852" w:rsidRPr="00D33AC2">
        <w:rPr>
          <w:rFonts w:ascii="Arial" w:hAnsi="Arial" w:cs="Arial"/>
          <w:sz w:val="24"/>
          <w:szCs w:val="24"/>
        </w:rPr>
        <w:t>and that SKG’s bid provided for 1200m² office space at a rate of R100 (vat exclusive)</w:t>
      </w:r>
      <w:r w:rsidR="005C3214" w:rsidRPr="00D33AC2">
        <w:rPr>
          <w:rFonts w:ascii="Arial" w:hAnsi="Arial" w:cs="Arial"/>
          <w:sz w:val="24"/>
          <w:szCs w:val="24"/>
        </w:rPr>
        <w:t xml:space="preserve"> per square meter</w:t>
      </w:r>
      <w:r w:rsidR="00173852" w:rsidRPr="00D33AC2">
        <w:rPr>
          <w:rFonts w:ascii="Arial" w:hAnsi="Arial" w:cs="Arial"/>
          <w:sz w:val="24"/>
          <w:szCs w:val="24"/>
        </w:rPr>
        <w:t>.</w:t>
      </w:r>
    </w:p>
    <w:p w14:paraId="714B76F2" w14:textId="77777777" w:rsidR="00173852" w:rsidRPr="00793A3E" w:rsidRDefault="00173852" w:rsidP="00F009F9">
      <w:pPr>
        <w:pStyle w:val="ListParagraph"/>
        <w:spacing w:after="0" w:line="480" w:lineRule="auto"/>
        <w:contextualSpacing w:val="0"/>
        <w:rPr>
          <w:rFonts w:ascii="Arial" w:hAnsi="Arial" w:cs="Arial"/>
          <w:sz w:val="24"/>
          <w:szCs w:val="24"/>
        </w:rPr>
      </w:pPr>
    </w:p>
    <w:p w14:paraId="771F1959" w14:textId="2D4C158D" w:rsidR="0017385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40.</w:t>
      </w:r>
      <w:r w:rsidRPr="00793A3E">
        <w:rPr>
          <w:rFonts w:ascii="Arial" w:hAnsi="Arial" w:cs="Arial"/>
          <w:sz w:val="24"/>
          <w:szCs w:val="24"/>
        </w:rPr>
        <w:tab/>
      </w:r>
      <w:r w:rsidR="00173852" w:rsidRPr="00D33AC2">
        <w:rPr>
          <w:rFonts w:ascii="Arial" w:hAnsi="Arial" w:cs="Arial"/>
          <w:sz w:val="24"/>
          <w:szCs w:val="24"/>
        </w:rPr>
        <w:t xml:space="preserve">Comparing the two tenders overall pricing, on the face of it, the Rokewood bid was more cost effective overall than was that of SKG.  </w:t>
      </w:r>
    </w:p>
    <w:p w14:paraId="7F1C59D9" w14:textId="77777777" w:rsidR="00173852" w:rsidRPr="00793A3E" w:rsidRDefault="00173852" w:rsidP="00F009F9">
      <w:pPr>
        <w:pStyle w:val="ListParagraph"/>
        <w:spacing w:after="0" w:line="480" w:lineRule="auto"/>
        <w:contextualSpacing w:val="0"/>
        <w:rPr>
          <w:rFonts w:ascii="Arial" w:hAnsi="Arial" w:cs="Arial"/>
          <w:sz w:val="24"/>
          <w:szCs w:val="24"/>
        </w:rPr>
      </w:pPr>
    </w:p>
    <w:p w14:paraId="7DAFD709" w14:textId="3B2EE12B" w:rsidR="0017385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41.</w:t>
      </w:r>
      <w:r w:rsidRPr="00793A3E">
        <w:rPr>
          <w:rFonts w:ascii="Arial" w:hAnsi="Arial" w:cs="Arial"/>
          <w:sz w:val="24"/>
          <w:szCs w:val="24"/>
        </w:rPr>
        <w:tab/>
      </w:r>
      <w:r w:rsidR="00173852" w:rsidRPr="00D33AC2">
        <w:rPr>
          <w:rFonts w:ascii="Arial" w:hAnsi="Arial" w:cs="Arial"/>
          <w:sz w:val="24"/>
          <w:szCs w:val="24"/>
        </w:rPr>
        <w:t xml:space="preserve">It is thus that SKG suggests that the overall comparison is inappropriate and that the only fair constitutional approach is to, as it puts it, compare apples with apples and not overall pricing relevant to different square meter areas.  </w:t>
      </w:r>
    </w:p>
    <w:p w14:paraId="5DD96230" w14:textId="77777777" w:rsidR="00173852" w:rsidRPr="00793A3E" w:rsidRDefault="00173852" w:rsidP="00F009F9">
      <w:pPr>
        <w:pStyle w:val="ListParagraph"/>
        <w:spacing w:after="0" w:line="480" w:lineRule="auto"/>
        <w:contextualSpacing w:val="0"/>
        <w:rPr>
          <w:rFonts w:ascii="Arial" w:hAnsi="Arial" w:cs="Arial"/>
          <w:sz w:val="24"/>
          <w:szCs w:val="24"/>
        </w:rPr>
      </w:pPr>
    </w:p>
    <w:p w14:paraId="7798B742" w14:textId="794220EB" w:rsidR="0017385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42.</w:t>
      </w:r>
      <w:r w:rsidRPr="00793A3E">
        <w:rPr>
          <w:rFonts w:ascii="Arial" w:hAnsi="Arial" w:cs="Arial"/>
          <w:sz w:val="24"/>
          <w:szCs w:val="24"/>
        </w:rPr>
        <w:tab/>
      </w:r>
      <w:r w:rsidR="00173852" w:rsidRPr="00D33AC2">
        <w:rPr>
          <w:rFonts w:ascii="Arial" w:hAnsi="Arial" w:cs="Arial"/>
          <w:sz w:val="24"/>
          <w:szCs w:val="24"/>
        </w:rPr>
        <w:t xml:space="preserve">Put otherwise, SKG submits that where the space required is not fixed (approximate) it is incumbent upon the evaluators to evaluate and compare prices per square meter instead of total price.  It is alleged that this is entrenched in the values of section 217 of the Constitution being fairness, equality and cost effectiveness.  </w:t>
      </w:r>
    </w:p>
    <w:p w14:paraId="38BB476D" w14:textId="77777777" w:rsidR="00173852" w:rsidRPr="00793A3E" w:rsidRDefault="00173852" w:rsidP="00F009F9">
      <w:pPr>
        <w:pStyle w:val="ListParagraph"/>
        <w:spacing w:after="0" w:line="480" w:lineRule="auto"/>
        <w:contextualSpacing w:val="0"/>
        <w:rPr>
          <w:rFonts w:ascii="Arial" w:hAnsi="Arial" w:cs="Arial"/>
          <w:sz w:val="24"/>
          <w:szCs w:val="24"/>
        </w:rPr>
      </w:pPr>
    </w:p>
    <w:p w14:paraId="03B00288" w14:textId="1681FEDC" w:rsidR="007672FE"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173852" w:rsidRPr="00D33AC2">
        <w:rPr>
          <w:rFonts w:ascii="Arial" w:hAnsi="Arial" w:cs="Arial"/>
          <w:sz w:val="24"/>
          <w:szCs w:val="24"/>
        </w:rPr>
        <w:t xml:space="preserve">Reference is made in this regard to </w:t>
      </w:r>
      <w:r w:rsidR="00173852" w:rsidRPr="00D33AC2">
        <w:rPr>
          <w:rFonts w:ascii="Arial" w:hAnsi="Arial" w:cs="Arial"/>
          <w:b/>
          <w:sz w:val="24"/>
          <w:szCs w:val="24"/>
        </w:rPr>
        <w:t xml:space="preserve">Premier Free State and Others v Firechem Free State </w:t>
      </w:r>
      <w:r w:rsidR="001C35F5" w:rsidRPr="00D33AC2">
        <w:rPr>
          <w:rFonts w:ascii="Arial" w:hAnsi="Arial" w:cs="Arial"/>
          <w:b/>
          <w:sz w:val="24"/>
          <w:szCs w:val="24"/>
        </w:rPr>
        <w:t>(</w:t>
      </w:r>
      <w:r w:rsidR="00173852" w:rsidRPr="00D33AC2">
        <w:rPr>
          <w:rFonts w:ascii="Arial" w:hAnsi="Arial" w:cs="Arial"/>
          <w:b/>
          <w:sz w:val="24"/>
          <w:szCs w:val="24"/>
        </w:rPr>
        <w:t>Pty</w:t>
      </w:r>
      <w:r w:rsidR="001C35F5" w:rsidRPr="00D33AC2">
        <w:rPr>
          <w:rFonts w:ascii="Arial" w:hAnsi="Arial" w:cs="Arial"/>
          <w:b/>
          <w:sz w:val="24"/>
          <w:szCs w:val="24"/>
        </w:rPr>
        <w:t>)</w:t>
      </w:r>
      <w:r w:rsidR="00173852" w:rsidRPr="00D33AC2">
        <w:rPr>
          <w:rFonts w:ascii="Arial" w:hAnsi="Arial" w:cs="Arial"/>
          <w:b/>
          <w:sz w:val="24"/>
          <w:szCs w:val="24"/>
        </w:rPr>
        <w:t xml:space="preserve"> Ltd</w:t>
      </w:r>
      <w:r w:rsidR="00173852" w:rsidRPr="00793A3E">
        <w:rPr>
          <w:rStyle w:val="FootnoteReference"/>
          <w:rFonts w:ascii="Arial" w:hAnsi="Arial" w:cs="Arial"/>
          <w:sz w:val="24"/>
          <w:szCs w:val="24"/>
        </w:rPr>
        <w:footnoteReference w:id="4"/>
      </w:r>
      <w:r w:rsidR="001C35F5" w:rsidRPr="00D33AC2">
        <w:rPr>
          <w:rFonts w:ascii="Arial" w:hAnsi="Arial" w:cs="Arial"/>
          <w:sz w:val="24"/>
          <w:szCs w:val="24"/>
        </w:rPr>
        <w:t xml:space="preserve">; </w:t>
      </w:r>
      <w:r w:rsidR="001C35F5" w:rsidRPr="00D33AC2">
        <w:rPr>
          <w:rFonts w:ascii="Arial" w:hAnsi="Arial" w:cs="Arial"/>
          <w:b/>
          <w:sz w:val="24"/>
          <w:szCs w:val="24"/>
          <w:lang w:val="en-US"/>
        </w:rPr>
        <w:t xml:space="preserve">All Pay Consolidated Investment Holdings (Pty) Ltd and Others v Chief Executive Officer, South African Social </w:t>
      </w:r>
      <w:r w:rsidR="001C35F5" w:rsidRPr="00D33AC2">
        <w:rPr>
          <w:rFonts w:ascii="Arial" w:hAnsi="Arial" w:cs="Arial"/>
          <w:b/>
          <w:sz w:val="24"/>
          <w:szCs w:val="24"/>
          <w:lang w:val="en-US"/>
        </w:rPr>
        <w:lastRenderedPageBreak/>
        <w:t>Security Agency and Others</w:t>
      </w:r>
      <w:r w:rsidR="001C35F5" w:rsidRPr="00793A3E">
        <w:rPr>
          <w:rStyle w:val="FootnoteReference"/>
          <w:rFonts w:ascii="Arial" w:hAnsi="Arial" w:cs="Arial"/>
          <w:sz w:val="24"/>
          <w:szCs w:val="24"/>
          <w:lang w:val="en-US"/>
        </w:rPr>
        <w:footnoteReference w:id="5"/>
      </w:r>
      <w:r w:rsidR="001C35F5" w:rsidRPr="00D33AC2">
        <w:rPr>
          <w:rFonts w:ascii="Arial" w:hAnsi="Arial" w:cs="Arial"/>
          <w:sz w:val="24"/>
          <w:szCs w:val="24"/>
        </w:rPr>
        <w:t>, emphasising that in adjudicating tenders this must relate to comparable offers, the tender to speak for itself, thus competitors to be treated equally, tendering for the same thing.</w:t>
      </w:r>
      <w:r w:rsidR="00173852" w:rsidRPr="00D33AC2">
        <w:rPr>
          <w:rFonts w:ascii="Arial" w:hAnsi="Arial" w:cs="Arial"/>
          <w:sz w:val="24"/>
          <w:szCs w:val="24"/>
        </w:rPr>
        <w:t xml:space="preserve"> </w:t>
      </w:r>
    </w:p>
    <w:p w14:paraId="125DDE65" w14:textId="77777777" w:rsidR="00E92D08" w:rsidRPr="00793A3E" w:rsidRDefault="00E92D08" w:rsidP="00E92D08">
      <w:pPr>
        <w:pStyle w:val="ListParagraph"/>
        <w:spacing w:after="0" w:line="480" w:lineRule="auto"/>
        <w:contextualSpacing w:val="0"/>
        <w:jc w:val="both"/>
        <w:rPr>
          <w:rFonts w:ascii="Arial" w:hAnsi="Arial" w:cs="Arial"/>
          <w:sz w:val="24"/>
          <w:szCs w:val="24"/>
        </w:rPr>
      </w:pPr>
    </w:p>
    <w:p w14:paraId="36298B01" w14:textId="764AEFD5" w:rsidR="001C35F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44.</w:t>
      </w:r>
      <w:r w:rsidRPr="00793A3E">
        <w:rPr>
          <w:rFonts w:ascii="Arial" w:hAnsi="Arial" w:cs="Arial"/>
          <w:sz w:val="24"/>
          <w:szCs w:val="24"/>
        </w:rPr>
        <w:tab/>
      </w:r>
      <w:r w:rsidR="001C35F5" w:rsidRPr="00D33AC2">
        <w:rPr>
          <w:rFonts w:ascii="Arial" w:hAnsi="Arial" w:cs="Arial"/>
          <w:sz w:val="24"/>
          <w:szCs w:val="24"/>
        </w:rPr>
        <w:t>The argument</w:t>
      </w:r>
      <w:r w:rsidR="005C3214" w:rsidRPr="00D33AC2">
        <w:rPr>
          <w:rFonts w:ascii="Arial" w:hAnsi="Arial" w:cs="Arial"/>
          <w:sz w:val="24"/>
          <w:szCs w:val="24"/>
        </w:rPr>
        <w:t>,</w:t>
      </w:r>
      <w:r w:rsidR="001C35F5" w:rsidRPr="00D33AC2">
        <w:rPr>
          <w:rFonts w:ascii="Arial" w:hAnsi="Arial" w:cs="Arial"/>
          <w:sz w:val="24"/>
          <w:szCs w:val="24"/>
        </w:rPr>
        <w:t xml:space="preserve"> put differently</w:t>
      </w:r>
      <w:r w:rsidR="005C3214" w:rsidRPr="00D33AC2">
        <w:rPr>
          <w:rFonts w:ascii="Arial" w:hAnsi="Arial" w:cs="Arial"/>
          <w:sz w:val="24"/>
          <w:szCs w:val="24"/>
        </w:rPr>
        <w:t>,</w:t>
      </w:r>
      <w:r w:rsidR="001C35F5" w:rsidRPr="00D33AC2">
        <w:rPr>
          <w:rFonts w:ascii="Arial" w:hAnsi="Arial" w:cs="Arial"/>
          <w:sz w:val="24"/>
          <w:szCs w:val="24"/>
        </w:rPr>
        <w:t xml:space="preserve"> is that Eskom was not required to alter the office space but consider the price per square meter</w:t>
      </w:r>
      <w:r w:rsidR="009637E3" w:rsidRPr="00D33AC2">
        <w:rPr>
          <w:rFonts w:ascii="Arial" w:hAnsi="Arial" w:cs="Arial"/>
          <w:sz w:val="24"/>
          <w:szCs w:val="24"/>
        </w:rPr>
        <w:t>,</w:t>
      </w:r>
      <w:r w:rsidR="001C35F5" w:rsidRPr="00D33AC2">
        <w:rPr>
          <w:rFonts w:ascii="Arial" w:hAnsi="Arial" w:cs="Arial"/>
          <w:sz w:val="24"/>
          <w:szCs w:val="24"/>
        </w:rPr>
        <w:t xml:space="preserve"> not the bottom line, and that if the smaller space offered by Rokewood was more attractive than the price Eskom could and should have approached SKG to take up the space offered by Rokewood.   It was argued that SKG’s bid was “</w:t>
      </w:r>
      <w:r w:rsidR="001C35F5" w:rsidRPr="00D33AC2">
        <w:rPr>
          <w:rFonts w:ascii="Arial" w:hAnsi="Arial" w:cs="Arial"/>
          <w:i/>
          <w:sz w:val="24"/>
          <w:szCs w:val="24"/>
        </w:rPr>
        <w:t>more cost effective”</w:t>
      </w:r>
      <w:r w:rsidR="001C35F5" w:rsidRPr="00D33AC2">
        <w:rPr>
          <w:rFonts w:ascii="Arial" w:hAnsi="Arial" w:cs="Arial"/>
          <w:sz w:val="24"/>
          <w:szCs w:val="24"/>
        </w:rPr>
        <w:t xml:space="preserve"> than Rokewood’s and thus had to be awarded to it this being reviewable.</w:t>
      </w:r>
      <w:r w:rsidR="001C35F5" w:rsidRPr="00793A3E">
        <w:rPr>
          <w:rStyle w:val="FootnoteReference"/>
          <w:rFonts w:ascii="Arial" w:hAnsi="Arial" w:cs="Arial"/>
          <w:sz w:val="24"/>
          <w:szCs w:val="24"/>
        </w:rPr>
        <w:footnoteReference w:id="6"/>
      </w:r>
      <w:r w:rsidR="001C35F5" w:rsidRPr="00D33AC2">
        <w:rPr>
          <w:rFonts w:ascii="Arial" w:hAnsi="Arial" w:cs="Arial"/>
          <w:sz w:val="24"/>
          <w:szCs w:val="24"/>
        </w:rPr>
        <w:t xml:space="preserve">  </w:t>
      </w:r>
    </w:p>
    <w:p w14:paraId="72C675AF" w14:textId="77777777" w:rsidR="001C35F5" w:rsidRPr="00793A3E" w:rsidRDefault="001C35F5" w:rsidP="00F009F9">
      <w:pPr>
        <w:pStyle w:val="ListParagraph"/>
        <w:spacing w:after="0" w:line="480" w:lineRule="auto"/>
        <w:contextualSpacing w:val="0"/>
        <w:rPr>
          <w:rFonts w:ascii="Arial" w:hAnsi="Arial" w:cs="Arial"/>
          <w:sz w:val="24"/>
          <w:szCs w:val="24"/>
        </w:rPr>
      </w:pPr>
    </w:p>
    <w:p w14:paraId="429DAFFD" w14:textId="01139911" w:rsidR="001C35F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45.</w:t>
      </w:r>
      <w:r w:rsidRPr="00793A3E">
        <w:rPr>
          <w:rFonts w:ascii="Arial" w:hAnsi="Arial" w:cs="Arial"/>
          <w:sz w:val="24"/>
          <w:szCs w:val="24"/>
        </w:rPr>
        <w:tab/>
      </w:r>
      <w:r w:rsidR="001C35F5" w:rsidRPr="00D33AC2">
        <w:rPr>
          <w:rFonts w:ascii="Arial" w:hAnsi="Arial" w:cs="Arial"/>
          <w:sz w:val="24"/>
          <w:szCs w:val="24"/>
        </w:rPr>
        <w:t xml:space="preserve">The second argument related to the TIC issue.  </w:t>
      </w:r>
    </w:p>
    <w:p w14:paraId="367548AA" w14:textId="77777777" w:rsidR="001C35F5" w:rsidRPr="00793A3E" w:rsidRDefault="001C35F5" w:rsidP="00F009F9">
      <w:pPr>
        <w:pStyle w:val="ListParagraph"/>
        <w:spacing w:after="0" w:line="480" w:lineRule="auto"/>
        <w:contextualSpacing w:val="0"/>
        <w:rPr>
          <w:rFonts w:ascii="Arial" w:hAnsi="Arial" w:cs="Arial"/>
          <w:sz w:val="24"/>
          <w:szCs w:val="24"/>
        </w:rPr>
      </w:pPr>
    </w:p>
    <w:p w14:paraId="4C716DBC" w14:textId="5AD8831B" w:rsidR="001C35F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46.</w:t>
      </w:r>
      <w:r w:rsidRPr="00793A3E">
        <w:rPr>
          <w:rFonts w:ascii="Arial" w:hAnsi="Arial" w:cs="Arial"/>
          <w:sz w:val="24"/>
          <w:szCs w:val="24"/>
        </w:rPr>
        <w:tab/>
      </w:r>
      <w:r w:rsidR="001C35F5" w:rsidRPr="00D33AC2">
        <w:rPr>
          <w:rFonts w:ascii="Arial" w:hAnsi="Arial" w:cs="Arial"/>
          <w:sz w:val="24"/>
          <w:szCs w:val="24"/>
        </w:rPr>
        <w:t xml:space="preserve">SKG argues that the second reason why SKG’s bid was more cost effective than that of Rokewood was that when Eskom deducted the TIC from Rokewood’s bid price it should have treated SKG’s bid equally.  </w:t>
      </w:r>
    </w:p>
    <w:p w14:paraId="368BA62E" w14:textId="77777777" w:rsidR="001C35F5" w:rsidRPr="00793A3E" w:rsidRDefault="001C35F5" w:rsidP="00F009F9">
      <w:pPr>
        <w:pStyle w:val="ListParagraph"/>
        <w:spacing w:after="0" w:line="480" w:lineRule="auto"/>
        <w:contextualSpacing w:val="0"/>
        <w:rPr>
          <w:rFonts w:ascii="Arial" w:hAnsi="Arial" w:cs="Arial"/>
          <w:sz w:val="24"/>
          <w:szCs w:val="24"/>
        </w:rPr>
      </w:pPr>
    </w:p>
    <w:p w14:paraId="2673073B" w14:textId="3F5FD6BB" w:rsidR="001C35F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47.</w:t>
      </w:r>
      <w:r w:rsidRPr="00793A3E">
        <w:rPr>
          <w:rFonts w:ascii="Arial" w:hAnsi="Arial" w:cs="Arial"/>
          <w:sz w:val="24"/>
          <w:szCs w:val="24"/>
        </w:rPr>
        <w:tab/>
      </w:r>
      <w:r w:rsidR="001C35F5" w:rsidRPr="00D33AC2">
        <w:rPr>
          <w:rFonts w:ascii="Arial" w:hAnsi="Arial" w:cs="Arial"/>
          <w:sz w:val="24"/>
          <w:szCs w:val="24"/>
        </w:rPr>
        <w:t>Both SKG’s and Rokewood’s bids provided for tenant installation.   In respect of SKG’s bid</w:t>
      </w:r>
      <w:r w:rsidR="009637E3" w:rsidRPr="00D33AC2">
        <w:rPr>
          <w:rFonts w:ascii="Arial" w:hAnsi="Arial" w:cs="Arial"/>
          <w:sz w:val="24"/>
          <w:szCs w:val="24"/>
        </w:rPr>
        <w:t>,</w:t>
      </w:r>
      <w:r w:rsidR="001C35F5" w:rsidRPr="00D33AC2">
        <w:rPr>
          <w:rFonts w:ascii="Arial" w:hAnsi="Arial" w:cs="Arial"/>
          <w:sz w:val="24"/>
          <w:szCs w:val="24"/>
        </w:rPr>
        <w:t xml:space="preserve"> tenant installation was offered at R1400 per square meter, this being amortised </w:t>
      </w:r>
      <w:r w:rsidR="005C3214" w:rsidRPr="00D33AC2">
        <w:rPr>
          <w:rFonts w:ascii="Arial" w:hAnsi="Arial" w:cs="Arial"/>
          <w:sz w:val="24"/>
          <w:szCs w:val="24"/>
        </w:rPr>
        <w:t xml:space="preserve">into </w:t>
      </w:r>
      <w:r w:rsidR="001C35F5" w:rsidRPr="00D33AC2">
        <w:rPr>
          <w:rFonts w:ascii="Arial" w:hAnsi="Arial" w:cs="Arial"/>
          <w:sz w:val="24"/>
          <w:szCs w:val="24"/>
        </w:rPr>
        <w:t>the rental amount</w:t>
      </w:r>
      <w:r w:rsidR="005C3214" w:rsidRPr="00D33AC2">
        <w:rPr>
          <w:rFonts w:ascii="Arial" w:hAnsi="Arial" w:cs="Arial"/>
          <w:sz w:val="24"/>
          <w:szCs w:val="24"/>
        </w:rPr>
        <w:t xml:space="preserve"> or so SKG argues</w:t>
      </w:r>
      <w:r w:rsidR="001C35F5" w:rsidRPr="00D33AC2">
        <w:rPr>
          <w:rFonts w:ascii="Arial" w:hAnsi="Arial" w:cs="Arial"/>
          <w:sz w:val="24"/>
          <w:szCs w:val="24"/>
        </w:rPr>
        <w:t xml:space="preserve">.  Whilst this is denied the dispute turns on </w:t>
      </w:r>
      <w:r w:rsidR="005C3214" w:rsidRPr="00D33AC2">
        <w:rPr>
          <w:rFonts w:ascii="Arial" w:hAnsi="Arial" w:cs="Arial"/>
          <w:sz w:val="24"/>
          <w:szCs w:val="24"/>
        </w:rPr>
        <w:t xml:space="preserve">the </w:t>
      </w:r>
      <w:r w:rsidR="001C35F5" w:rsidRPr="00D33AC2">
        <w:rPr>
          <w:rFonts w:ascii="Arial" w:hAnsi="Arial" w:cs="Arial"/>
          <w:sz w:val="24"/>
          <w:szCs w:val="24"/>
        </w:rPr>
        <w:t xml:space="preserve">wording of the SKG bid paragraph (k) to which I will revert hereafter.  </w:t>
      </w:r>
    </w:p>
    <w:p w14:paraId="25E93814" w14:textId="77777777" w:rsidR="001C35F5" w:rsidRPr="00793A3E" w:rsidRDefault="001C35F5" w:rsidP="00F009F9">
      <w:pPr>
        <w:pStyle w:val="ListParagraph"/>
        <w:spacing w:after="0" w:line="480" w:lineRule="auto"/>
        <w:contextualSpacing w:val="0"/>
        <w:rPr>
          <w:rFonts w:ascii="Arial" w:hAnsi="Arial" w:cs="Arial"/>
          <w:sz w:val="24"/>
          <w:szCs w:val="24"/>
        </w:rPr>
      </w:pPr>
    </w:p>
    <w:p w14:paraId="7F192257" w14:textId="1E26E2FD" w:rsidR="001C35F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lastRenderedPageBreak/>
        <w:t>48.</w:t>
      </w:r>
      <w:r w:rsidRPr="00793A3E">
        <w:rPr>
          <w:rFonts w:ascii="Arial" w:hAnsi="Arial" w:cs="Arial"/>
          <w:sz w:val="24"/>
          <w:szCs w:val="24"/>
        </w:rPr>
        <w:tab/>
      </w:r>
      <w:r w:rsidR="001C35F5" w:rsidRPr="00D33AC2">
        <w:rPr>
          <w:rFonts w:ascii="Arial" w:hAnsi="Arial" w:cs="Arial"/>
          <w:sz w:val="24"/>
          <w:szCs w:val="24"/>
        </w:rPr>
        <w:t>In respect of Rokewood’s bid</w:t>
      </w:r>
      <w:r w:rsidR="005C3214" w:rsidRPr="00D33AC2">
        <w:rPr>
          <w:rFonts w:ascii="Arial" w:hAnsi="Arial" w:cs="Arial"/>
          <w:sz w:val="24"/>
          <w:szCs w:val="24"/>
        </w:rPr>
        <w:t>,</w:t>
      </w:r>
      <w:r w:rsidR="001C35F5" w:rsidRPr="00D33AC2">
        <w:rPr>
          <w:rFonts w:ascii="Arial" w:hAnsi="Arial" w:cs="Arial"/>
          <w:sz w:val="24"/>
          <w:szCs w:val="24"/>
        </w:rPr>
        <w:t xml:space="preserve"> tenant installation was offered at a rate of R6,24 per square meter.  In point of fact this is irrelevant as this was deducted from the prices tendered by Eskom and added to its own costs for TIC.  </w:t>
      </w:r>
    </w:p>
    <w:p w14:paraId="024763F6" w14:textId="77777777" w:rsidR="001C35F5" w:rsidRPr="00793A3E" w:rsidRDefault="001C35F5" w:rsidP="00F009F9">
      <w:pPr>
        <w:pStyle w:val="ListParagraph"/>
        <w:spacing w:after="0" w:line="480" w:lineRule="auto"/>
        <w:contextualSpacing w:val="0"/>
        <w:rPr>
          <w:rFonts w:ascii="Arial" w:hAnsi="Arial" w:cs="Arial"/>
          <w:sz w:val="24"/>
          <w:szCs w:val="24"/>
        </w:rPr>
      </w:pPr>
    </w:p>
    <w:p w14:paraId="07D28DB1" w14:textId="20166D24" w:rsidR="001C35F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49.</w:t>
      </w:r>
      <w:r w:rsidRPr="00793A3E">
        <w:rPr>
          <w:rFonts w:ascii="Arial" w:hAnsi="Arial" w:cs="Arial"/>
          <w:sz w:val="24"/>
          <w:szCs w:val="24"/>
        </w:rPr>
        <w:tab/>
      </w:r>
      <w:r w:rsidR="001C35F5" w:rsidRPr="00D33AC2">
        <w:rPr>
          <w:rFonts w:ascii="Arial" w:hAnsi="Arial" w:cs="Arial"/>
          <w:sz w:val="24"/>
          <w:szCs w:val="24"/>
        </w:rPr>
        <w:t xml:space="preserve">It is thus argued that the total Rokewood bid tender was R6 350 709,77.  </w:t>
      </w:r>
      <w:r w:rsidR="00364C8C" w:rsidRPr="00D33AC2">
        <w:rPr>
          <w:rFonts w:ascii="Arial" w:hAnsi="Arial" w:cs="Arial"/>
          <w:sz w:val="24"/>
          <w:szCs w:val="24"/>
        </w:rPr>
        <w:t>The total excluding vat is R5 522 356,32.  It is argued that the “</w:t>
      </w:r>
      <w:r w:rsidR="00364C8C" w:rsidRPr="00D33AC2">
        <w:rPr>
          <w:rFonts w:ascii="Arial" w:hAnsi="Arial" w:cs="Arial"/>
          <w:i/>
          <w:sz w:val="24"/>
          <w:szCs w:val="24"/>
        </w:rPr>
        <w:t>tender price</w:t>
      </w:r>
      <w:r w:rsidR="00364C8C" w:rsidRPr="00D33AC2">
        <w:rPr>
          <w:rFonts w:ascii="Arial" w:hAnsi="Arial" w:cs="Arial"/>
          <w:sz w:val="24"/>
          <w:szCs w:val="24"/>
        </w:rPr>
        <w:t>” of Rokewood’s bid is reflected as R6 080 748,65 in the evaluation report whilst the “</w:t>
      </w:r>
      <w:r w:rsidR="00364C8C" w:rsidRPr="00D33AC2">
        <w:rPr>
          <w:rFonts w:ascii="Arial" w:hAnsi="Arial" w:cs="Arial"/>
          <w:i/>
          <w:sz w:val="24"/>
          <w:szCs w:val="24"/>
        </w:rPr>
        <w:t>contract price</w:t>
      </w:r>
      <w:r w:rsidR="00364C8C" w:rsidRPr="00D33AC2">
        <w:rPr>
          <w:rFonts w:ascii="Arial" w:hAnsi="Arial" w:cs="Arial"/>
          <w:sz w:val="24"/>
          <w:szCs w:val="24"/>
        </w:rPr>
        <w:t>” is reflected as R5 287 607,52.  The difference between the two amounts referred to above is R234 748,80 (R5 522 356,32 minus R5 287 607,52).</w:t>
      </w:r>
    </w:p>
    <w:p w14:paraId="3392710E" w14:textId="77777777" w:rsidR="00364C8C" w:rsidRPr="00793A3E" w:rsidRDefault="00364C8C" w:rsidP="00F009F9">
      <w:pPr>
        <w:pStyle w:val="ListParagraph"/>
        <w:spacing w:after="0" w:line="480" w:lineRule="auto"/>
        <w:contextualSpacing w:val="0"/>
        <w:rPr>
          <w:rFonts w:ascii="Arial" w:hAnsi="Arial" w:cs="Arial"/>
          <w:sz w:val="24"/>
          <w:szCs w:val="24"/>
        </w:rPr>
      </w:pPr>
    </w:p>
    <w:p w14:paraId="140807F0" w14:textId="26145A07" w:rsidR="00364C8C"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50.</w:t>
      </w:r>
      <w:r w:rsidRPr="00793A3E">
        <w:rPr>
          <w:rFonts w:ascii="Arial" w:hAnsi="Arial" w:cs="Arial"/>
          <w:sz w:val="24"/>
          <w:szCs w:val="24"/>
        </w:rPr>
        <w:tab/>
      </w:r>
      <w:r w:rsidR="00364C8C" w:rsidRPr="00D33AC2">
        <w:rPr>
          <w:rFonts w:ascii="Arial" w:hAnsi="Arial" w:cs="Arial"/>
          <w:sz w:val="24"/>
          <w:szCs w:val="24"/>
        </w:rPr>
        <w:t>It is argued that the difference is explained by accepting that the R234 748,80 referred to above reflects that th</w:t>
      </w:r>
      <w:r w:rsidR="005C3214" w:rsidRPr="00D33AC2">
        <w:rPr>
          <w:rFonts w:ascii="Arial" w:hAnsi="Arial" w:cs="Arial"/>
          <w:sz w:val="24"/>
          <w:szCs w:val="24"/>
        </w:rPr>
        <w:t>is</w:t>
      </w:r>
      <w:r w:rsidR="00364C8C" w:rsidRPr="00D33AC2">
        <w:rPr>
          <w:rFonts w:ascii="Arial" w:hAnsi="Arial" w:cs="Arial"/>
          <w:sz w:val="24"/>
          <w:szCs w:val="24"/>
        </w:rPr>
        <w:t xml:space="preserve"> is the amount of the TIC included in the bid.  It is argued that this does not relate to the R6 520,80 allowed for tenant installation in the Rokewood price.  </w:t>
      </w:r>
    </w:p>
    <w:p w14:paraId="13252EF6" w14:textId="77777777" w:rsidR="00364C8C" w:rsidRPr="00793A3E" w:rsidRDefault="00364C8C" w:rsidP="00F009F9">
      <w:pPr>
        <w:pStyle w:val="ListParagraph"/>
        <w:spacing w:after="0" w:line="480" w:lineRule="auto"/>
        <w:contextualSpacing w:val="0"/>
        <w:rPr>
          <w:rFonts w:ascii="Arial" w:hAnsi="Arial" w:cs="Arial"/>
          <w:sz w:val="24"/>
          <w:szCs w:val="24"/>
        </w:rPr>
      </w:pPr>
    </w:p>
    <w:p w14:paraId="14874802" w14:textId="662F9981" w:rsidR="00364C8C"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51.</w:t>
      </w:r>
      <w:r w:rsidRPr="00793A3E">
        <w:rPr>
          <w:rFonts w:ascii="Arial" w:hAnsi="Arial" w:cs="Arial"/>
          <w:sz w:val="24"/>
          <w:szCs w:val="24"/>
        </w:rPr>
        <w:tab/>
      </w:r>
      <w:r w:rsidR="00364C8C" w:rsidRPr="00D33AC2">
        <w:rPr>
          <w:rFonts w:ascii="Arial" w:hAnsi="Arial" w:cs="Arial"/>
          <w:sz w:val="24"/>
          <w:szCs w:val="24"/>
        </w:rPr>
        <w:t>That is not so much the point, it being argued that Eskom should</w:t>
      </w:r>
      <w:r w:rsidR="009637E3" w:rsidRPr="00D33AC2">
        <w:rPr>
          <w:rFonts w:ascii="Arial" w:hAnsi="Arial" w:cs="Arial"/>
          <w:sz w:val="24"/>
          <w:szCs w:val="24"/>
        </w:rPr>
        <w:t>,</w:t>
      </w:r>
      <w:r w:rsidR="00364C8C" w:rsidRPr="00D33AC2">
        <w:rPr>
          <w:rFonts w:ascii="Arial" w:hAnsi="Arial" w:cs="Arial"/>
          <w:sz w:val="24"/>
          <w:szCs w:val="24"/>
        </w:rPr>
        <w:t xml:space="preserve"> then having deducted TIC from the Rokewood bid</w:t>
      </w:r>
      <w:r w:rsidR="009637E3" w:rsidRPr="00D33AC2">
        <w:rPr>
          <w:rFonts w:ascii="Arial" w:hAnsi="Arial" w:cs="Arial"/>
          <w:sz w:val="24"/>
          <w:szCs w:val="24"/>
        </w:rPr>
        <w:t>,</w:t>
      </w:r>
      <w:r w:rsidR="00364C8C" w:rsidRPr="00D33AC2">
        <w:rPr>
          <w:rFonts w:ascii="Arial" w:hAnsi="Arial" w:cs="Arial"/>
          <w:sz w:val="24"/>
          <w:szCs w:val="24"/>
        </w:rPr>
        <w:t xml:space="preserve"> also have deducted SKG’s TIC from the total contract price.  Had it done so and because SKG’s tender </w:t>
      </w:r>
      <w:r w:rsidR="005C3214" w:rsidRPr="00D33AC2">
        <w:rPr>
          <w:rFonts w:ascii="Arial" w:hAnsi="Arial" w:cs="Arial"/>
          <w:sz w:val="24"/>
          <w:szCs w:val="24"/>
        </w:rPr>
        <w:t xml:space="preserve">for </w:t>
      </w:r>
      <w:r w:rsidR="00364C8C" w:rsidRPr="00D33AC2">
        <w:rPr>
          <w:rFonts w:ascii="Arial" w:hAnsi="Arial" w:cs="Arial"/>
          <w:sz w:val="24"/>
          <w:szCs w:val="24"/>
        </w:rPr>
        <w:t xml:space="preserve">TIC was substantially higher than that offered by Rokewood this would have resulted in SKG’s bid being substantially less expensive.  </w:t>
      </w:r>
    </w:p>
    <w:p w14:paraId="24E22C23" w14:textId="77777777" w:rsidR="00364C8C" w:rsidRPr="00793A3E" w:rsidRDefault="00364C8C" w:rsidP="00F009F9">
      <w:pPr>
        <w:pStyle w:val="ListParagraph"/>
        <w:spacing w:after="0" w:line="480" w:lineRule="auto"/>
        <w:contextualSpacing w:val="0"/>
        <w:rPr>
          <w:rFonts w:ascii="Arial" w:hAnsi="Arial" w:cs="Arial"/>
          <w:sz w:val="24"/>
          <w:szCs w:val="24"/>
        </w:rPr>
      </w:pPr>
    </w:p>
    <w:p w14:paraId="13C40DC7" w14:textId="2866068A" w:rsidR="00364C8C"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52.</w:t>
      </w:r>
      <w:r w:rsidRPr="00793A3E">
        <w:rPr>
          <w:rFonts w:ascii="Arial" w:hAnsi="Arial" w:cs="Arial"/>
          <w:sz w:val="24"/>
          <w:szCs w:val="24"/>
        </w:rPr>
        <w:tab/>
      </w:r>
      <w:r w:rsidR="00364C8C" w:rsidRPr="00D33AC2">
        <w:rPr>
          <w:rFonts w:ascii="Arial" w:hAnsi="Arial" w:cs="Arial"/>
          <w:sz w:val="24"/>
          <w:szCs w:val="24"/>
        </w:rPr>
        <w:t>It is argued that it is common cause that because Rokewood included tenant installation in its bid</w:t>
      </w:r>
      <w:r w:rsidR="009637E3" w:rsidRPr="00D33AC2">
        <w:rPr>
          <w:rFonts w:ascii="Arial" w:hAnsi="Arial" w:cs="Arial"/>
          <w:sz w:val="24"/>
          <w:szCs w:val="24"/>
        </w:rPr>
        <w:t>,</w:t>
      </w:r>
      <w:r w:rsidR="00364C8C" w:rsidRPr="00D33AC2">
        <w:rPr>
          <w:rFonts w:ascii="Arial" w:hAnsi="Arial" w:cs="Arial"/>
          <w:sz w:val="24"/>
          <w:szCs w:val="24"/>
        </w:rPr>
        <w:t xml:space="preserve"> Eskom deducted this evaluating it at an amount of R5 287 607,52.  About this there is no dispute.  SKG’s bid also</w:t>
      </w:r>
      <w:r w:rsidR="005C3214" w:rsidRPr="00D33AC2">
        <w:rPr>
          <w:rFonts w:ascii="Arial" w:hAnsi="Arial" w:cs="Arial"/>
          <w:sz w:val="24"/>
          <w:szCs w:val="24"/>
        </w:rPr>
        <w:t xml:space="preserve">, argues SKG, </w:t>
      </w:r>
      <w:r w:rsidR="00364C8C" w:rsidRPr="00D33AC2">
        <w:rPr>
          <w:rFonts w:ascii="Arial" w:hAnsi="Arial" w:cs="Arial"/>
          <w:sz w:val="24"/>
          <w:szCs w:val="24"/>
        </w:rPr>
        <w:t xml:space="preserve">included TIC and it is argued that if that TIC is deducted the result is </w:t>
      </w:r>
      <w:r w:rsidR="00364C8C" w:rsidRPr="00D33AC2">
        <w:rPr>
          <w:rFonts w:ascii="Arial" w:hAnsi="Arial" w:cs="Arial"/>
          <w:sz w:val="24"/>
          <w:szCs w:val="24"/>
        </w:rPr>
        <w:lastRenderedPageBreak/>
        <w:t>R3</w:t>
      </w:r>
      <w:r w:rsidR="004C170A" w:rsidRPr="00D33AC2">
        <w:rPr>
          <w:rFonts w:ascii="Arial" w:hAnsi="Arial" w:cs="Arial"/>
          <w:sz w:val="24"/>
          <w:szCs w:val="24"/>
        </w:rPr>
        <w:t> </w:t>
      </w:r>
      <w:r w:rsidR="00364C8C" w:rsidRPr="00D33AC2">
        <w:rPr>
          <w:rFonts w:ascii="Arial" w:hAnsi="Arial" w:cs="Arial"/>
          <w:sz w:val="24"/>
          <w:szCs w:val="24"/>
        </w:rPr>
        <w:t>550</w:t>
      </w:r>
      <w:r w:rsidR="004C170A" w:rsidRPr="00D33AC2">
        <w:rPr>
          <w:rFonts w:ascii="Arial" w:hAnsi="Arial" w:cs="Arial"/>
          <w:sz w:val="24"/>
          <w:szCs w:val="24"/>
        </w:rPr>
        <w:t> </w:t>
      </w:r>
      <w:r w:rsidR="00364C8C" w:rsidRPr="00D33AC2">
        <w:rPr>
          <w:rFonts w:ascii="Arial" w:hAnsi="Arial" w:cs="Arial"/>
          <w:sz w:val="24"/>
          <w:szCs w:val="24"/>
        </w:rPr>
        <w:t xml:space="preserve">300,80 substantially less than Rokewood.  For this to be correct one has to accept that the tenant installation was amortised in the SKG bid.  </w:t>
      </w:r>
    </w:p>
    <w:p w14:paraId="635138F6" w14:textId="77777777" w:rsidR="00364C8C" w:rsidRPr="00793A3E" w:rsidRDefault="00364C8C" w:rsidP="00F009F9">
      <w:pPr>
        <w:pStyle w:val="ListParagraph"/>
        <w:spacing w:after="0" w:line="480" w:lineRule="auto"/>
        <w:contextualSpacing w:val="0"/>
        <w:rPr>
          <w:rFonts w:ascii="Arial" w:hAnsi="Arial" w:cs="Arial"/>
          <w:sz w:val="24"/>
          <w:szCs w:val="24"/>
        </w:rPr>
      </w:pPr>
    </w:p>
    <w:p w14:paraId="3E031743" w14:textId="4E7EAABC" w:rsidR="00364C8C"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53.</w:t>
      </w:r>
      <w:r w:rsidRPr="00793A3E">
        <w:rPr>
          <w:rFonts w:ascii="Arial" w:hAnsi="Arial" w:cs="Arial"/>
          <w:sz w:val="24"/>
          <w:szCs w:val="24"/>
        </w:rPr>
        <w:tab/>
      </w:r>
      <w:r w:rsidR="005C3214" w:rsidRPr="00D33AC2">
        <w:rPr>
          <w:rFonts w:ascii="Arial" w:hAnsi="Arial" w:cs="Arial"/>
          <w:sz w:val="24"/>
          <w:szCs w:val="24"/>
        </w:rPr>
        <w:t>SKG</w:t>
      </w:r>
      <w:r w:rsidR="00364C8C" w:rsidRPr="00D33AC2">
        <w:rPr>
          <w:rFonts w:ascii="Arial" w:hAnsi="Arial" w:cs="Arial"/>
          <w:sz w:val="24"/>
          <w:szCs w:val="24"/>
        </w:rPr>
        <w:t xml:space="preserve">’s submissions in respect of 5818 itself stand or fall on these two points.  </w:t>
      </w:r>
    </w:p>
    <w:p w14:paraId="17A03810" w14:textId="77777777" w:rsidR="005C3214" w:rsidRPr="00793A3E" w:rsidRDefault="005C3214" w:rsidP="00F009F9">
      <w:pPr>
        <w:pStyle w:val="ListParagraph"/>
        <w:spacing w:after="0" w:line="480" w:lineRule="auto"/>
        <w:contextualSpacing w:val="0"/>
        <w:rPr>
          <w:rFonts w:ascii="Arial" w:hAnsi="Arial" w:cs="Arial"/>
          <w:sz w:val="24"/>
          <w:szCs w:val="24"/>
        </w:rPr>
      </w:pPr>
    </w:p>
    <w:p w14:paraId="789385AA" w14:textId="77777777" w:rsidR="00793A3E" w:rsidRPr="00793A3E" w:rsidRDefault="00793A3E" w:rsidP="00F009F9">
      <w:pPr>
        <w:spacing w:after="0" w:line="480" w:lineRule="auto"/>
        <w:jc w:val="both"/>
        <w:rPr>
          <w:rFonts w:ascii="Arial" w:hAnsi="Arial" w:cs="Arial"/>
          <w:b/>
          <w:sz w:val="24"/>
          <w:szCs w:val="24"/>
        </w:rPr>
      </w:pPr>
      <w:r w:rsidRPr="00793A3E">
        <w:rPr>
          <w:rFonts w:ascii="Arial" w:hAnsi="Arial" w:cs="Arial"/>
          <w:b/>
          <w:sz w:val="24"/>
          <w:szCs w:val="24"/>
          <w:u w:val="single"/>
        </w:rPr>
        <w:t>LEGAL FRAMEWORK</w:t>
      </w:r>
    </w:p>
    <w:p w14:paraId="4E7BD261" w14:textId="77777777" w:rsidR="00793A3E" w:rsidRPr="00793A3E" w:rsidRDefault="00793A3E" w:rsidP="00F009F9">
      <w:pPr>
        <w:spacing w:after="0" w:line="480" w:lineRule="auto"/>
        <w:jc w:val="both"/>
        <w:rPr>
          <w:rFonts w:ascii="Arial" w:hAnsi="Arial" w:cs="Arial"/>
          <w:sz w:val="24"/>
          <w:szCs w:val="24"/>
        </w:rPr>
      </w:pPr>
    </w:p>
    <w:p w14:paraId="7F42A462" w14:textId="7CC39FD4" w:rsidR="00793A3E"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54.</w:t>
      </w:r>
      <w:r w:rsidRPr="00793A3E">
        <w:rPr>
          <w:rFonts w:ascii="Arial" w:hAnsi="Arial" w:cs="Arial"/>
          <w:sz w:val="24"/>
          <w:szCs w:val="24"/>
        </w:rPr>
        <w:tab/>
      </w:r>
      <w:r w:rsidR="00793A3E" w:rsidRPr="00D33AC2">
        <w:rPr>
          <w:rFonts w:ascii="Arial" w:hAnsi="Arial" w:cs="Arial"/>
          <w:sz w:val="24"/>
          <w:szCs w:val="24"/>
        </w:rPr>
        <w:t xml:space="preserve">In </w:t>
      </w:r>
      <w:r w:rsidR="00793A3E" w:rsidRPr="00D33AC2">
        <w:rPr>
          <w:rFonts w:ascii="Arial" w:hAnsi="Arial" w:cs="Arial"/>
          <w:b/>
          <w:i/>
          <w:sz w:val="24"/>
          <w:szCs w:val="24"/>
        </w:rPr>
        <w:t>AllPay Consolidated Investment Holdings (Pty) Ltd and Others v Chief Executive Officer, SASSA and Others</w:t>
      </w:r>
      <w:r w:rsidR="00793A3E" w:rsidRPr="00793A3E">
        <w:rPr>
          <w:rStyle w:val="FootnoteReference"/>
          <w:rFonts w:ascii="Arial" w:hAnsi="Arial" w:cs="Arial"/>
          <w:sz w:val="24"/>
          <w:szCs w:val="24"/>
        </w:rPr>
        <w:footnoteReference w:id="7"/>
      </w:r>
      <w:r w:rsidR="00793A3E" w:rsidRPr="00D33AC2">
        <w:rPr>
          <w:rFonts w:ascii="Arial" w:hAnsi="Arial" w:cs="Arial"/>
          <w:sz w:val="24"/>
          <w:szCs w:val="24"/>
        </w:rPr>
        <w:t xml:space="preserve"> (the Court referring to </w:t>
      </w:r>
      <w:r w:rsidR="00793A3E" w:rsidRPr="00D33AC2">
        <w:rPr>
          <w:rFonts w:ascii="Arial" w:hAnsi="Arial" w:cs="Arial"/>
          <w:b/>
          <w:i/>
          <w:sz w:val="24"/>
          <w:szCs w:val="24"/>
        </w:rPr>
        <w:t xml:space="preserve">Steenkamp NO v Provincial Tender Board, Eastern Cape </w:t>
      </w:r>
      <w:r w:rsidR="00793A3E" w:rsidRPr="00793A3E">
        <w:rPr>
          <w:rStyle w:val="FootnoteReference"/>
          <w:rFonts w:ascii="Arial" w:hAnsi="Arial" w:cs="Arial"/>
          <w:sz w:val="24"/>
          <w:szCs w:val="24"/>
        </w:rPr>
        <w:footnoteReference w:id="8"/>
      </w:r>
      <w:r w:rsidR="00793A3E" w:rsidRPr="00D33AC2">
        <w:rPr>
          <w:rFonts w:ascii="Arial" w:hAnsi="Arial" w:cs="Arial"/>
          <w:sz w:val="24"/>
          <w:szCs w:val="24"/>
        </w:rPr>
        <w:t>) stated as follows:</w:t>
      </w:r>
    </w:p>
    <w:p w14:paraId="3AA938F1"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08FA3A6A" w14:textId="77777777" w:rsidR="00793A3E" w:rsidRPr="00793A3E" w:rsidRDefault="00793A3E" w:rsidP="00F009F9">
      <w:pPr>
        <w:pStyle w:val="ListParagraph"/>
        <w:spacing w:after="0" w:line="480" w:lineRule="auto"/>
        <w:ind w:left="1440"/>
        <w:contextualSpacing w:val="0"/>
        <w:jc w:val="both"/>
        <w:rPr>
          <w:rFonts w:ascii="Arial" w:hAnsi="Arial" w:cs="Arial"/>
          <w:sz w:val="24"/>
          <w:szCs w:val="24"/>
        </w:rPr>
      </w:pPr>
      <w:r w:rsidRPr="00793A3E">
        <w:rPr>
          <w:rFonts w:ascii="Arial" w:hAnsi="Arial" w:cs="Arial"/>
          <w:color w:val="242121"/>
          <w:sz w:val="24"/>
          <w:szCs w:val="24"/>
          <w:shd w:val="clear" w:color="auto" w:fill="FFFFFF"/>
        </w:rPr>
        <w:t>“Section 217 of the Constitution is the source of the powers and function of a government tender board.  It lays down that an organ of State in any of the three spheres of government, if authorised by law may contract for goods and services on behalf of government.  However, the tendering system it devises must be fair, equitable, transparent, competitive and cost-effective.  This requirement must be understood together with the constitutional precepts on administrative justice in section 33 and the basic values governing public administration in section 195(1).”</w:t>
      </w:r>
    </w:p>
    <w:p w14:paraId="029FA537"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4191E501" w14:textId="780D81B4"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55.</w:t>
      </w:r>
      <w:r w:rsidRPr="00793A3E">
        <w:rPr>
          <w:rFonts w:ascii="Arial" w:hAnsi="Arial" w:cs="Arial"/>
          <w:sz w:val="24"/>
          <w:szCs w:val="24"/>
        </w:rPr>
        <w:tab/>
      </w:r>
      <w:r w:rsidR="00793A3E" w:rsidRPr="00D33AC2">
        <w:rPr>
          <w:rFonts w:ascii="Arial" w:hAnsi="Arial" w:cs="Arial"/>
          <w:sz w:val="24"/>
          <w:szCs w:val="24"/>
        </w:rPr>
        <w:t xml:space="preserve">Section 217(1) of the Constitution provides that where an organ of state in the National, Provincial or Local sphere of Government contracts for goods or services, it must do so in accordance with a system which is fair, equitable, transparent, competitive and cost effective.  Section 217(3) provides for </w:t>
      </w:r>
      <w:r w:rsidR="00793A3E" w:rsidRPr="00D33AC2">
        <w:rPr>
          <w:rFonts w:ascii="Arial" w:hAnsi="Arial" w:cs="Arial"/>
          <w:sz w:val="24"/>
          <w:szCs w:val="24"/>
        </w:rPr>
        <w:lastRenderedPageBreak/>
        <w:t xml:space="preserve">legislation with a framework to implement a preferential procurement policy that advances persons previously disadvantaged by unfair discrimination.  </w:t>
      </w:r>
    </w:p>
    <w:p w14:paraId="150B2FC9"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6934E305" w14:textId="781CF14B"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56.</w:t>
      </w:r>
      <w:r w:rsidRPr="00793A3E">
        <w:rPr>
          <w:rFonts w:ascii="Arial" w:hAnsi="Arial" w:cs="Arial"/>
          <w:sz w:val="24"/>
          <w:szCs w:val="24"/>
        </w:rPr>
        <w:tab/>
      </w:r>
      <w:r w:rsidR="00793A3E" w:rsidRPr="00D33AC2">
        <w:rPr>
          <w:rFonts w:ascii="Arial" w:hAnsi="Arial" w:cs="Arial"/>
          <w:sz w:val="24"/>
          <w:szCs w:val="24"/>
        </w:rPr>
        <w:t xml:space="preserve">This is echoed in section 38(1)(a)(iii) of the Public Finance Management Act, 1 of 1999 </w:t>
      </w:r>
      <w:r w:rsidR="00793A3E" w:rsidRPr="00D33AC2">
        <w:rPr>
          <w:rFonts w:ascii="Arial" w:hAnsi="Arial" w:cs="Arial"/>
          <w:b/>
          <w:sz w:val="24"/>
          <w:szCs w:val="24"/>
        </w:rPr>
        <w:t>(the PFMA)</w:t>
      </w:r>
      <w:r w:rsidR="00793A3E" w:rsidRPr="00D33AC2">
        <w:rPr>
          <w:rFonts w:ascii="Arial" w:hAnsi="Arial" w:cs="Arial"/>
          <w:sz w:val="24"/>
          <w:szCs w:val="24"/>
        </w:rPr>
        <w:t xml:space="preserve"> which provides that an accounting officer of a department should ensure the department maintains a procurement system that is fair, equitable, transparent, competitive and cost effective.  Regulations 16A(6)(2) of the Treasury Regulations issued in terms of section 76 of the PFMA, sets out that procurement through a bidding process should provide for (inter alia) the adjudication of bids through a bid adjudication committee;  the establishment, composition and functioning of bid specification, evaluation and adjudication committee; and the approval of bid evaluation and adjudication committee recommendations.</w:t>
      </w:r>
    </w:p>
    <w:p w14:paraId="2CF62F14"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7B78DA32" w14:textId="6E22DB71"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57.</w:t>
      </w:r>
      <w:r w:rsidRPr="00793A3E">
        <w:rPr>
          <w:rFonts w:ascii="Arial" w:hAnsi="Arial" w:cs="Arial"/>
          <w:sz w:val="24"/>
          <w:szCs w:val="24"/>
        </w:rPr>
        <w:tab/>
      </w:r>
      <w:r w:rsidR="00793A3E" w:rsidRPr="00D33AC2">
        <w:rPr>
          <w:rFonts w:ascii="Arial" w:hAnsi="Arial" w:cs="Arial"/>
          <w:sz w:val="24"/>
          <w:szCs w:val="24"/>
        </w:rPr>
        <w:t xml:space="preserve">The Preferential Procurement Policy Framework Act 5 of 2000 </w:t>
      </w:r>
      <w:r w:rsidR="00793A3E" w:rsidRPr="00D33AC2">
        <w:rPr>
          <w:rFonts w:ascii="Arial" w:hAnsi="Arial" w:cs="Arial"/>
          <w:b/>
          <w:sz w:val="24"/>
          <w:szCs w:val="24"/>
        </w:rPr>
        <w:t>(the PPPFA)</w:t>
      </w:r>
      <w:r w:rsidR="00793A3E" w:rsidRPr="00D33AC2">
        <w:rPr>
          <w:rFonts w:ascii="Arial" w:hAnsi="Arial" w:cs="Arial"/>
          <w:sz w:val="24"/>
          <w:szCs w:val="24"/>
        </w:rPr>
        <w:t xml:space="preserve"> is the national legislation prescribing the framework within which public procurement policy must be implemented in terms of Section 2(1)(b)(ii) of the PPPFA read with regulation 6 of the Preferential Procurement Regulations, 2017 issued by the Minister of Finance in terms of Section 5 of the PPPFA. Tenders for goods and services with a rand value of above R30,000.00 and up to R50 million must be adjudicated according to an 80/20 preference points system.  In practice this means that 80 out of 100 of the points are allocated for price and the lowest acceptable tender will score full marks, i.e. 80 points. </w:t>
      </w:r>
    </w:p>
    <w:p w14:paraId="66579863"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497E0147" w14:textId="4DF86979"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58.</w:t>
      </w:r>
      <w:r w:rsidRPr="00793A3E">
        <w:rPr>
          <w:rFonts w:ascii="Arial" w:hAnsi="Arial" w:cs="Arial"/>
          <w:sz w:val="24"/>
          <w:szCs w:val="24"/>
        </w:rPr>
        <w:tab/>
      </w:r>
      <w:r w:rsidR="00793A3E" w:rsidRPr="00D33AC2">
        <w:rPr>
          <w:rFonts w:ascii="Arial" w:hAnsi="Arial" w:cs="Arial"/>
          <w:sz w:val="24"/>
          <w:szCs w:val="24"/>
        </w:rPr>
        <w:t xml:space="preserve">Only </w:t>
      </w:r>
      <w:r w:rsidR="00793A3E" w:rsidRPr="00D33AC2">
        <w:rPr>
          <w:rFonts w:ascii="Arial" w:hAnsi="Arial" w:cs="Arial"/>
          <w:i/>
          <w:sz w:val="24"/>
          <w:szCs w:val="24"/>
        </w:rPr>
        <w:t>“acceptable bids”</w:t>
      </w:r>
      <w:r w:rsidR="00793A3E" w:rsidRPr="00D33AC2">
        <w:rPr>
          <w:rFonts w:ascii="Arial" w:hAnsi="Arial" w:cs="Arial"/>
          <w:sz w:val="24"/>
          <w:szCs w:val="24"/>
        </w:rPr>
        <w:t xml:space="preserve"> are scored during the scoring phase of the bid evaluation process.  An acceptable bid is defined in the PPPFA as a bid that conforms in </w:t>
      </w:r>
      <w:r w:rsidR="00793A3E" w:rsidRPr="00D33AC2">
        <w:rPr>
          <w:rFonts w:ascii="Arial" w:hAnsi="Arial" w:cs="Arial"/>
          <w:sz w:val="24"/>
          <w:szCs w:val="24"/>
        </w:rPr>
        <w:lastRenderedPageBreak/>
        <w:t xml:space="preserve">all respects with the conditions of tender.  Bid offers that do not comply with the tender requirements are usually disqualified during the initial phase of the tender process (as being “non-responsive”). </w:t>
      </w:r>
    </w:p>
    <w:p w14:paraId="0203EF8B"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6C094670" w14:textId="26023FFF"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59.</w:t>
      </w:r>
      <w:r w:rsidRPr="00793A3E">
        <w:rPr>
          <w:rFonts w:ascii="Arial" w:hAnsi="Arial" w:cs="Arial"/>
          <w:sz w:val="24"/>
          <w:szCs w:val="24"/>
        </w:rPr>
        <w:tab/>
      </w:r>
      <w:r w:rsidR="00793A3E" w:rsidRPr="00D33AC2">
        <w:rPr>
          <w:rFonts w:ascii="Arial" w:hAnsi="Arial" w:cs="Arial"/>
          <w:sz w:val="24"/>
          <w:szCs w:val="24"/>
        </w:rPr>
        <w:t>Once all the acceptable tenders are scored, tenderers are ranked according to the points scored for price and preference.  Section 2(1)(f) of the PPPFA provides that a tender must be awarded to the highest scoring bidder, unless there are lawful grounds to award the tender to another bidder.</w:t>
      </w:r>
    </w:p>
    <w:p w14:paraId="3AE03791"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46C0906A" w14:textId="529757EF"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60.</w:t>
      </w:r>
      <w:r w:rsidRPr="00793A3E">
        <w:rPr>
          <w:rFonts w:ascii="Arial" w:hAnsi="Arial" w:cs="Arial"/>
          <w:sz w:val="24"/>
          <w:szCs w:val="24"/>
        </w:rPr>
        <w:tab/>
      </w:r>
      <w:r w:rsidR="00793A3E" w:rsidRPr="00D33AC2">
        <w:rPr>
          <w:rFonts w:ascii="Arial" w:hAnsi="Arial" w:cs="Arial"/>
          <w:sz w:val="24"/>
          <w:szCs w:val="24"/>
        </w:rPr>
        <w:t>The evaluation and award of a tender, in this context, is administrative action implicating constitutional issues and is reviewable under PAJA</w:t>
      </w:r>
      <w:r w:rsidR="00793A3E" w:rsidRPr="00793A3E">
        <w:rPr>
          <w:rStyle w:val="FootnoteReference"/>
          <w:rFonts w:ascii="Arial" w:hAnsi="Arial" w:cs="Arial"/>
          <w:sz w:val="24"/>
          <w:szCs w:val="24"/>
        </w:rPr>
        <w:footnoteReference w:id="9"/>
      </w:r>
      <w:r w:rsidR="00793A3E" w:rsidRPr="00D33AC2">
        <w:rPr>
          <w:rFonts w:ascii="Arial" w:hAnsi="Arial" w:cs="Arial"/>
          <w:sz w:val="24"/>
          <w:szCs w:val="24"/>
        </w:rPr>
        <w:t>.</w:t>
      </w:r>
    </w:p>
    <w:p w14:paraId="64710B12"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5FC2A633" w14:textId="1ACD13CF"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61.</w:t>
      </w:r>
      <w:r w:rsidRPr="00793A3E">
        <w:rPr>
          <w:rFonts w:ascii="Arial" w:hAnsi="Arial" w:cs="Arial"/>
          <w:sz w:val="24"/>
          <w:szCs w:val="24"/>
        </w:rPr>
        <w:tab/>
      </w:r>
      <w:r w:rsidR="00793A3E" w:rsidRPr="00D33AC2">
        <w:rPr>
          <w:rFonts w:ascii="Arial" w:hAnsi="Arial" w:cs="Arial"/>
          <w:sz w:val="24"/>
          <w:szCs w:val="24"/>
        </w:rPr>
        <w:t xml:space="preserve">In </w:t>
      </w:r>
      <w:r w:rsidR="00793A3E" w:rsidRPr="00D33AC2">
        <w:rPr>
          <w:rFonts w:ascii="Arial" w:hAnsi="Arial" w:cs="Arial"/>
          <w:b/>
          <w:i/>
          <w:sz w:val="24"/>
          <w:szCs w:val="24"/>
        </w:rPr>
        <w:t xml:space="preserve">WDR Earthmoving Enterprises &amp; Another v The Joe Gqabi District Municipality &amp; Others </w:t>
      </w:r>
      <w:r w:rsidR="00793A3E" w:rsidRPr="00D33AC2">
        <w:rPr>
          <w:rFonts w:ascii="Arial" w:hAnsi="Arial" w:cs="Arial"/>
          <w:sz w:val="24"/>
          <w:szCs w:val="24"/>
        </w:rPr>
        <w:t>the following was stated</w:t>
      </w:r>
      <w:r w:rsidR="00793A3E" w:rsidRPr="00793A3E">
        <w:rPr>
          <w:rStyle w:val="FootnoteReference"/>
          <w:rFonts w:ascii="Arial" w:hAnsi="Arial" w:cs="Arial"/>
          <w:sz w:val="24"/>
          <w:szCs w:val="24"/>
        </w:rPr>
        <w:footnoteReference w:id="10"/>
      </w:r>
      <w:r w:rsidR="00793A3E" w:rsidRPr="00D33AC2">
        <w:rPr>
          <w:rFonts w:ascii="Arial" w:hAnsi="Arial" w:cs="Arial"/>
          <w:b/>
          <w:sz w:val="24"/>
          <w:szCs w:val="24"/>
        </w:rPr>
        <w:t>:</w:t>
      </w:r>
    </w:p>
    <w:p w14:paraId="496EEB9C" w14:textId="77777777" w:rsidR="00793A3E" w:rsidRPr="00793A3E" w:rsidRDefault="00793A3E" w:rsidP="00F009F9">
      <w:pPr>
        <w:pStyle w:val="ListParagraph"/>
        <w:spacing w:after="0" w:line="480" w:lineRule="auto"/>
        <w:ind w:left="709"/>
        <w:contextualSpacing w:val="0"/>
        <w:jc w:val="both"/>
        <w:rPr>
          <w:rFonts w:ascii="Arial" w:hAnsi="Arial" w:cs="Arial"/>
          <w:b/>
          <w:i/>
          <w:sz w:val="24"/>
          <w:szCs w:val="24"/>
        </w:rPr>
      </w:pPr>
    </w:p>
    <w:p w14:paraId="3F51ADE4" w14:textId="77777777" w:rsidR="00793A3E" w:rsidRPr="00793A3E" w:rsidRDefault="00793A3E" w:rsidP="00F009F9">
      <w:pPr>
        <w:spacing w:after="0" w:line="360" w:lineRule="auto"/>
        <w:ind w:left="2153" w:hanging="735"/>
        <w:jc w:val="both"/>
        <w:rPr>
          <w:rFonts w:ascii="Arial" w:hAnsi="Arial" w:cs="Arial"/>
        </w:rPr>
      </w:pPr>
      <w:r w:rsidRPr="00793A3E">
        <w:rPr>
          <w:rFonts w:ascii="Arial" w:hAnsi="Arial" w:cs="Arial"/>
        </w:rPr>
        <w:t>“[29]</w:t>
      </w:r>
      <w:r w:rsidRPr="00793A3E">
        <w:rPr>
          <w:rFonts w:ascii="Arial" w:hAnsi="Arial" w:cs="Arial"/>
        </w:rPr>
        <w:tab/>
        <w:t xml:space="preserve">The third respondent therefore correctly determined that the appellants had not complied with the obligation to submit returnable documents, being audited annual financial statements for three years. However, whether the tender offer of the appellants was correctly declared as non-responsive has to be considered in the context of the decision in </w:t>
      </w:r>
      <w:r w:rsidRPr="00793A3E">
        <w:rPr>
          <w:rFonts w:ascii="Arial" w:hAnsi="Arial" w:cs="Arial"/>
          <w:i/>
          <w:iCs/>
        </w:rPr>
        <w:t xml:space="preserve">Dr JS Moroka Municipality &amp; others v Betram (Pty) Ltd &amp; another </w:t>
      </w:r>
      <w:r w:rsidRPr="00793A3E">
        <w:rPr>
          <w:rFonts w:ascii="Arial" w:hAnsi="Arial" w:cs="Arial"/>
          <w:iCs/>
        </w:rPr>
        <w:t>[2013] ZASCA 186;</w:t>
      </w:r>
      <w:r w:rsidRPr="00793A3E">
        <w:rPr>
          <w:rFonts w:ascii="Arial" w:hAnsi="Arial" w:cs="Arial"/>
          <w:i/>
          <w:iCs/>
        </w:rPr>
        <w:t xml:space="preserve"> </w:t>
      </w:r>
      <w:r w:rsidRPr="00793A3E">
        <w:rPr>
          <w:rFonts w:ascii="Arial" w:hAnsi="Arial" w:cs="Arial"/>
          <w:iCs/>
        </w:rPr>
        <w:t>[2014] 1 All SA 545 (SCA)</w:t>
      </w:r>
      <w:r w:rsidRPr="00793A3E">
        <w:rPr>
          <w:rFonts w:ascii="Arial" w:hAnsi="Arial" w:cs="Arial"/>
        </w:rPr>
        <w:t>.</w:t>
      </w:r>
    </w:p>
    <w:p w14:paraId="3B88E516" w14:textId="77777777" w:rsidR="00793A3E" w:rsidRPr="00793A3E" w:rsidRDefault="00793A3E" w:rsidP="00F009F9">
      <w:pPr>
        <w:spacing w:after="0" w:line="360" w:lineRule="auto"/>
        <w:ind w:left="2153" w:hanging="735"/>
        <w:jc w:val="both"/>
        <w:rPr>
          <w:rFonts w:ascii="Arial" w:hAnsi="Arial" w:cs="Arial"/>
        </w:rPr>
      </w:pPr>
      <w:r w:rsidRPr="00793A3E">
        <w:rPr>
          <w:rFonts w:ascii="Arial" w:hAnsi="Arial" w:cs="Arial"/>
        </w:rPr>
        <w:t>[30]</w:t>
      </w:r>
      <w:r w:rsidRPr="00793A3E">
        <w:rPr>
          <w:rFonts w:ascii="Arial" w:hAnsi="Arial" w:cs="Arial"/>
        </w:rPr>
        <w:tab/>
        <w:t xml:space="preserve">In </w:t>
      </w:r>
      <w:r w:rsidRPr="00793A3E">
        <w:rPr>
          <w:rFonts w:ascii="Arial" w:hAnsi="Arial" w:cs="Arial"/>
          <w:i/>
          <w:iCs/>
        </w:rPr>
        <w:t>Moroka</w:t>
      </w:r>
      <w:r w:rsidRPr="00793A3E">
        <w:rPr>
          <w:rFonts w:ascii="Arial" w:hAnsi="Arial" w:cs="Arial"/>
        </w:rPr>
        <w:t xml:space="preserve"> para 10, it was held that it was for the municipality and not the court to decide the prerequisites for a valid tender. A failure to comply with prescribed conditions would result in a tender being disqualified as an acceptable tender under the Act, unless those conditions were immaterial, unreasonable or unconstitutional. With </w:t>
      </w:r>
      <w:r w:rsidRPr="00793A3E">
        <w:rPr>
          <w:rFonts w:ascii="Arial" w:hAnsi="Arial" w:cs="Arial"/>
        </w:rPr>
        <w:lastRenderedPageBreak/>
        <w:t xml:space="preserve">reference to the decision in </w:t>
      </w:r>
      <w:r w:rsidRPr="00793A3E">
        <w:rPr>
          <w:rFonts w:ascii="Arial" w:hAnsi="Arial" w:cs="Arial"/>
          <w:i/>
          <w:iCs/>
        </w:rPr>
        <w:t xml:space="preserve">Minister of Environmental Affairs and Tourism &amp; others v Pepper Bay Fishing (Pty) Ltd; Minister of Environmental Affairs and Tourism &amp; others v Smith </w:t>
      </w:r>
      <w:r w:rsidRPr="00793A3E">
        <w:rPr>
          <w:rFonts w:ascii="Arial" w:hAnsi="Arial" w:cs="Arial"/>
          <w:iCs/>
        </w:rPr>
        <w:t>2004 (1) SA 308 (SCA) para 31,</w:t>
      </w:r>
      <w:r w:rsidRPr="00793A3E">
        <w:rPr>
          <w:rFonts w:ascii="Arial" w:hAnsi="Arial" w:cs="Arial"/>
        </w:rPr>
        <w:t xml:space="preserve"> the court noted that as a general principle an administrative authority has no inherent power to condone failure to comply with a peremptory requirement. It only has such power, if it has been afforded the discretion to do so.</w:t>
      </w:r>
    </w:p>
    <w:p w14:paraId="0DC94DFE" w14:textId="77777777" w:rsidR="00793A3E" w:rsidRPr="00793A3E" w:rsidRDefault="00793A3E" w:rsidP="00F009F9">
      <w:pPr>
        <w:spacing w:after="0" w:line="360" w:lineRule="auto"/>
        <w:ind w:left="2153" w:hanging="735"/>
        <w:jc w:val="both"/>
        <w:rPr>
          <w:rFonts w:ascii="Arial" w:hAnsi="Arial" w:cs="Arial"/>
        </w:rPr>
      </w:pPr>
      <w:r w:rsidRPr="00793A3E">
        <w:rPr>
          <w:rFonts w:ascii="Arial" w:hAnsi="Arial" w:cs="Arial"/>
        </w:rPr>
        <w:t>[31]</w:t>
      </w:r>
      <w:r w:rsidRPr="00793A3E">
        <w:rPr>
          <w:rFonts w:ascii="Arial" w:hAnsi="Arial" w:cs="Arial"/>
        </w:rPr>
        <w:tab/>
        <w:t>It was held at para 14, that in the absence of any discretion in the relevant legislation or regulations, a discretion to condone a failure to comply with a peremptory requirement was entirely dependent upon a proper construction of the documents forming part of the tender invitation. In the absence of any specific provision in the tender invitation, or the various documents included therewith, providing for a discretion to be afforded to a municipal official or committee to condone a failure to comply with any prescribed condition of tender, the failure could not be condoned.</w:t>
      </w:r>
    </w:p>
    <w:p w14:paraId="7EC1CA4F" w14:textId="77777777" w:rsidR="00793A3E" w:rsidRPr="00793A3E" w:rsidRDefault="00793A3E" w:rsidP="00F009F9">
      <w:pPr>
        <w:spacing w:after="0" w:line="360" w:lineRule="auto"/>
        <w:ind w:left="2153" w:hanging="735"/>
        <w:jc w:val="both"/>
        <w:rPr>
          <w:rFonts w:ascii="Arial" w:hAnsi="Arial" w:cs="Arial"/>
        </w:rPr>
      </w:pPr>
      <w:r w:rsidRPr="00793A3E">
        <w:rPr>
          <w:rFonts w:ascii="Arial" w:hAnsi="Arial" w:cs="Arial"/>
        </w:rPr>
        <w:t>[32]</w:t>
      </w:r>
      <w:r w:rsidRPr="00793A3E">
        <w:rPr>
          <w:rFonts w:ascii="Arial" w:hAnsi="Arial" w:cs="Arial"/>
        </w:rPr>
        <w:tab/>
        <w:t xml:space="preserve">The dictum in </w:t>
      </w:r>
      <w:r w:rsidRPr="00793A3E">
        <w:rPr>
          <w:rFonts w:ascii="Arial" w:hAnsi="Arial" w:cs="Arial"/>
          <w:i/>
        </w:rPr>
        <w:t>Millennium Waste Management (Pty) Ltd v Chairperson, Tender Board: Limpopo Province &amp; others</w:t>
      </w:r>
      <w:r w:rsidRPr="00793A3E">
        <w:rPr>
          <w:rFonts w:ascii="Arial" w:hAnsi="Arial" w:cs="Arial"/>
        </w:rPr>
        <w:t xml:space="preserve"> 2008 (2) SA 481 (SCA) para 17 that:</w:t>
      </w:r>
    </w:p>
    <w:p w14:paraId="6B7B2C03" w14:textId="77777777" w:rsidR="00793A3E" w:rsidRPr="00793A3E" w:rsidRDefault="00793A3E" w:rsidP="00F009F9">
      <w:pPr>
        <w:spacing w:after="0" w:line="360" w:lineRule="auto"/>
        <w:ind w:left="2153"/>
        <w:jc w:val="both"/>
        <w:rPr>
          <w:rFonts w:ascii="Arial" w:hAnsi="Arial" w:cs="Arial"/>
        </w:rPr>
      </w:pPr>
      <w:r w:rsidRPr="00793A3E">
        <w:rPr>
          <w:rFonts w:ascii="Arial" w:hAnsi="Arial" w:cs="Arial"/>
        </w:rPr>
        <w:t>'[O]ur law permits condonation of non-compliance with peremptory requirements in cases where condonation is not incompatible with public interest and if such condonation is granted by the body in whose benefit the provision was enacted.'</w:t>
      </w:r>
    </w:p>
    <w:p w14:paraId="6F545DE8" w14:textId="77777777" w:rsidR="00793A3E" w:rsidRPr="00793A3E" w:rsidRDefault="00793A3E" w:rsidP="00F009F9">
      <w:pPr>
        <w:spacing w:after="0" w:line="360" w:lineRule="auto"/>
        <w:ind w:left="2160"/>
        <w:jc w:val="both"/>
        <w:rPr>
          <w:rFonts w:ascii="Arial" w:hAnsi="Arial" w:cs="Arial"/>
        </w:rPr>
      </w:pPr>
      <w:r w:rsidRPr="00793A3E">
        <w:rPr>
          <w:rFonts w:ascii="Arial" w:hAnsi="Arial" w:cs="Arial"/>
        </w:rPr>
        <w:t xml:space="preserve">was disapproved of at para 18, on the basis that it was inconsistent with the decision in </w:t>
      </w:r>
      <w:r w:rsidRPr="00793A3E">
        <w:rPr>
          <w:rFonts w:ascii="Arial" w:hAnsi="Arial" w:cs="Arial"/>
          <w:i/>
        </w:rPr>
        <w:t>Pepper Bay</w:t>
      </w:r>
      <w:r w:rsidRPr="00793A3E">
        <w:rPr>
          <w:rFonts w:ascii="Arial" w:hAnsi="Arial" w:cs="Arial"/>
        </w:rPr>
        <w:t>, but also offended the principle of legality.</w:t>
      </w:r>
    </w:p>
    <w:p w14:paraId="12A38000" w14:textId="77777777" w:rsidR="00793A3E" w:rsidRPr="00793A3E" w:rsidRDefault="00793A3E" w:rsidP="00F009F9">
      <w:pPr>
        <w:spacing w:after="0" w:line="360" w:lineRule="auto"/>
        <w:ind w:left="2153" w:hanging="735"/>
        <w:jc w:val="both"/>
        <w:rPr>
          <w:rFonts w:ascii="Arial" w:hAnsi="Arial" w:cs="Arial"/>
        </w:rPr>
      </w:pPr>
      <w:r w:rsidRPr="00793A3E">
        <w:rPr>
          <w:rFonts w:ascii="Arial" w:hAnsi="Arial" w:cs="Arial"/>
        </w:rPr>
        <w:t>[33]</w:t>
      </w:r>
      <w:r w:rsidRPr="00793A3E">
        <w:rPr>
          <w:rFonts w:ascii="Arial" w:hAnsi="Arial" w:cs="Arial"/>
        </w:rPr>
        <w:tab/>
        <w:t xml:space="preserve">In </w:t>
      </w:r>
      <w:r w:rsidRPr="00793A3E">
        <w:rPr>
          <w:rFonts w:ascii="Arial" w:hAnsi="Arial" w:cs="Arial"/>
          <w:i/>
        </w:rPr>
        <w:t>Overstrand Municipality v Water and Sanitation Services South Africa (Pty) Ltd</w:t>
      </w:r>
      <w:r w:rsidRPr="00793A3E">
        <w:rPr>
          <w:rFonts w:ascii="Arial" w:hAnsi="Arial" w:cs="Arial"/>
        </w:rPr>
        <w:t xml:space="preserve"> [2018] ZASCA 50 para 50, this Court held that it was not necessary on the facts of the case to resolve the apparent differences in the decisions in </w:t>
      </w:r>
      <w:r w:rsidRPr="00793A3E">
        <w:rPr>
          <w:rFonts w:ascii="Arial" w:hAnsi="Arial" w:cs="Arial"/>
          <w:i/>
        </w:rPr>
        <w:t>Millennium</w:t>
      </w:r>
      <w:r w:rsidRPr="00793A3E">
        <w:rPr>
          <w:rFonts w:ascii="Arial" w:hAnsi="Arial" w:cs="Arial"/>
        </w:rPr>
        <w:t xml:space="preserve"> and </w:t>
      </w:r>
      <w:r w:rsidRPr="00793A3E">
        <w:rPr>
          <w:rFonts w:ascii="Arial" w:hAnsi="Arial" w:cs="Arial"/>
          <w:i/>
        </w:rPr>
        <w:t>Moroka</w:t>
      </w:r>
      <w:r w:rsidRPr="00793A3E">
        <w:rPr>
          <w:rFonts w:ascii="Arial" w:hAnsi="Arial" w:cs="Arial"/>
        </w:rPr>
        <w:t xml:space="preserve"> and stated the following:</w:t>
      </w:r>
    </w:p>
    <w:p w14:paraId="25723713" w14:textId="77777777" w:rsidR="00793A3E" w:rsidRPr="00793A3E" w:rsidRDefault="00793A3E" w:rsidP="00F009F9">
      <w:pPr>
        <w:spacing w:after="0" w:line="360" w:lineRule="auto"/>
        <w:ind w:left="2160"/>
        <w:jc w:val="both"/>
        <w:rPr>
          <w:rFonts w:ascii="Arial" w:hAnsi="Arial" w:cs="Arial"/>
        </w:rPr>
      </w:pPr>
      <w:r w:rsidRPr="00793A3E">
        <w:rPr>
          <w:rFonts w:ascii="Arial" w:hAnsi="Arial" w:cs="Arial"/>
        </w:rPr>
        <w:t>'I am alert to the debate concerning the possible sufficiency of substantial or adequate compliance with what, in conventional terms, is described as mandatory requirements. One should also guard against invalidating a tender that contains minor deviations that do not materially alter or depart from the characteristics, terms, conditions and other requirements set out in tender documents. In the present case the non-compliance is not of a trivial or minor nature.'”</w:t>
      </w:r>
    </w:p>
    <w:p w14:paraId="29B79AC9"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03B9E46B" w14:textId="7FA82E6A"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lastRenderedPageBreak/>
        <w:t>62.</w:t>
      </w:r>
      <w:r w:rsidRPr="00793A3E">
        <w:rPr>
          <w:rFonts w:ascii="Arial" w:hAnsi="Arial" w:cs="Arial"/>
          <w:sz w:val="24"/>
          <w:szCs w:val="24"/>
        </w:rPr>
        <w:tab/>
      </w:r>
      <w:r w:rsidR="00793A3E" w:rsidRPr="00D33AC2">
        <w:rPr>
          <w:rFonts w:ascii="Arial" w:hAnsi="Arial" w:cs="Arial"/>
          <w:sz w:val="24"/>
          <w:szCs w:val="24"/>
        </w:rPr>
        <w:t xml:space="preserve">In addition clearly the question of </w:t>
      </w:r>
      <w:r w:rsidR="00793A3E" w:rsidRPr="00D33AC2">
        <w:rPr>
          <w:rFonts w:ascii="Arial" w:hAnsi="Arial" w:cs="Arial"/>
          <w:b/>
          <w:sz w:val="24"/>
          <w:szCs w:val="24"/>
        </w:rPr>
        <w:t>standing</w:t>
      </w:r>
      <w:r w:rsidR="00793A3E" w:rsidRPr="00D33AC2">
        <w:rPr>
          <w:rFonts w:ascii="Arial" w:hAnsi="Arial" w:cs="Arial"/>
          <w:sz w:val="24"/>
          <w:szCs w:val="24"/>
        </w:rPr>
        <w:t xml:space="preserve"> in respect of Applicants seeking in any event the setting aside of the tender to </w:t>
      </w:r>
      <w:r w:rsidR="004C170A" w:rsidRPr="00D33AC2">
        <w:rPr>
          <w:rFonts w:ascii="Arial" w:hAnsi="Arial" w:cs="Arial"/>
          <w:sz w:val="24"/>
          <w:szCs w:val="24"/>
        </w:rPr>
        <w:t>Rokewood</w:t>
      </w:r>
      <w:r w:rsidR="00793A3E" w:rsidRPr="00D33AC2">
        <w:rPr>
          <w:rFonts w:ascii="Arial" w:hAnsi="Arial" w:cs="Arial"/>
          <w:sz w:val="24"/>
          <w:szCs w:val="24"/>
        </w:rPr>
        <w:t xml:space="preserve">, even if unsuccessful in its main relief, is to be determined in its favour as set out in </w:t>
      </w:r>
      <w:r w:rsidR="00793A3E" w:rsidRPr="00D33AC2">
        <w:rPr>
          <w:rFonts w:ascii="Arial" w:hAnsi="Arial" w:cs="Arial"/>
          <w:b/>
          <w:i/>
          <w:sz w:val="24"/>
          <w:szCs w:val="24"/>
        </w:rPr>
        <w:t xml:space="preserve">WDR supra </w:t>
      </w:r>
      <w:r w:rsidR="00793A3E" w:rsidRPr="00793A3E">
        <w:rPr>
          <w:rStyle w:val="FootnoteReference"/>
          <w:rFonts w:ascii="Arial" w:hAnsi="Arial" w:cs="Arial"/>
          <w:sz w:val="24"/>
          <w:szCs w:val="24"/>
        </w:rPr>
        <w:footnoteReference w:id="11"/>
      </w:r>
      <w:r w:rsidR="00793A3E" w:rsidRPr="00D33AC2">
        <w:rPr>
          <w:rFonts w:ascii="Arial" w:hAnsi="Arial" w:cs="Arial"/>
          <w:b/>
          <w:i/>
          <w:sz w:val="24"/>
          <w:szCs w:val="24"/>
        </w:rPr>
        <w:t xml:space="preserve"> </w:t>
      </w:r>
      <w:r w:rsidR="00793A3E" w:rsidRPr="00D33AC2">
        <w:rPr>
          <w:rFonts w:ascii="Arial" w:hAnsi="Arial" w:cs="Arial"/>
          <w:sz w:val="24"/>
          <w:szCs w:val="24"/>
        </w:rPr>
        <w:t>:</w:t>
      </w:r>
    </w:p>
    <w:p w14:paraId="0D7C96B8"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7FAECD02" w14:textId="77777777" w:rsidR="00793A3E" w:rsidRPr="00793A3E" w:rsidRDefault="00793A3E" w:rsidP="00F009F9">
      <w:pPr>
        <w:spacing w:after="0" w:line="360" w:lineRule="auto"/>
        <w:ind w:left="2127" w:hanging="709"/>
        <w:jc w:val="both"/>
        <w:rPr>
          <w:rFonts w:ascii="Arial" w:hAnsi="Arial" w:cs="Arial"/>
        </w:rPr>
      </w:pPr>
      <w:r w:rsidRPr="00793A3E">
        <w:rPr>
          <w:rFonts w:ascii="Arial" w:hAnsi="Arial" w:cs="Arial"/>
        </w:rPr>
        <w:t>“[13]</w:t>
      </w:r>
      <w:r w:rsidRPr="00793A3E">
        <w:rPr>
          <w:rFonts w:ascii="Arial" w:hAnsi="Arial" w:cs="Arial"/>
        </w:rPr>
        <w:tab/>
        <w:t xml:space="preserve">However, in </w:t>
      </w:r>
      <w:r w:rsidRPr="00793A3E">
        <w:rPr>
          <w:rFonts w:ascii="Arial" w:hAnsi="Arial" w:cs="Arial"/>
          <w:i/>
          <w:iCs/>
        </w:rPr>
        <w:t xml:space="preserve">Giant Concerts CC v Rinaldo Investments (Pty) Ltd &amp; others </w:t>
      </w:r>
      <w:r w:rsidRPr="00793A3E">
        <w:rPr>
          <w:rFonts w:ascii="Arial" w:hAnsi="Arial" w:cs="Arial"/>
          <w:iCs/>
        </w:rPr>
        <w:t>[2012] ZACC 28; 2013 (3) BCLR 251 para 29</w:t>
      </w:r>
      <w:r w:rsidRPr="00793A3E">
        <w:rPr>
          <w:rFonts w:ascii="Arial" w:hAnsi="Arial" w:cs="Arial"/>
        </w:rPr>
        <w:t>, the Constitutional Court held that:</w:t>
      </w:r>
    </w:p>
    <w:p w14:paraId="6FFBC075" w14:textId="77777777" w:rsidR="00793A3E" w:rsidRPr="00793A3E" w:rsidRDefault="00793A3E" w:rsidP="00F009F9">
      <w:pPr>
        <w:spacing w:after="0" w:line="360" w:lineRule="auto"/>
        <w:ind w:left="2127"/>
        <w:jc w:val="both"/>
        <w:rPr>
          <w:rFonts w:ascii="Arial" w:hAnsi="Arial" w:cs="Arial"/>
        </w:rPr>
      </w:pPr>
      <w:r w:rsidRPr="00793A3E">
        <w:rPr>
          <w:rFonts w:ascii="Arial" w:hAnsi="Arial" w:cs="Arial"/>
        </w:rPr>
        <w:t>'PAJA, which was enacted to realise s 33, confers a right to challenge a decision in the exercise of a public power or the performance of a public function that “adversely affects the rights of any person and which has a direct, external legal effect”. PAJA provides that “any person” may institute proceedings for the judicial review of an administrative action. The wide standing provisions of section 38 were not expressly enacted as part of PAJA. Hoexter suggests that nothing much turns on this because “it seems clear that the provisions of section 38 ought to be read into the statute”. This is correct.'</w:t>
      </w:r>
    </w:p>
    <w:p w14:paraId="281336BA" w14:textId="77777777" w:rsidR="00793A3E" w:rsidRPr="00793A3E" w:rsidRDefault="00793A3E" w:rsidP="00F009F9">
      <w:pPr>
        <w:spacing w:after="0" w:line="360" w:lineRule="auto"/>
        <w:ind w:left="2127"/>
        <w:jc w:val="both"/>
        <w:rPr>
          <w:rFonts w:ascii="Arial" w:hAnsi="Arial" w:cs="Arial"/>
        </w:rPr>
      </w:pPr>
      <w:r w:rsidRPr="00793A3E">
        <w:rPr>
          <w:rFonts w:ascii="Arial" w:hAnsi="Arial" w:cs="Arial"/>
        </w:rPr>
        <w:t>It then added at para 30 that 'adversely affects' in the definition of administrative action:</w:t>
      </w:r>
    </w:p>
    <w:p w14:paraId="0427388B" w14:textId="77777777" w:rsidR="00793A3E" w:rsidRPr="00793A3E" w:rsidRDefault="00793A3E" w:rsidP="00F009F9">
      <w:pPr>
        <w:spacing w:after="0" w:line="360" w:lineRule="auto"/>
        <w:ind w:left="2127"/>
        <w:jc w:val="both"/>
        <w:rPr>
          <w:rFonts w:ascii="Arial" w:hAnsi="Arial" w:cs="Arial"/>
        </w:rPr>
      </w:pPr>
      <w:r w:rsidRPr="00793A3E">
        <w:rPr>
          <w:rFonts w:ascii="Arial" w:hAnsi="Arial" w:cs="Arial"/>
        </w:rPr>
        <w:t>'. . . was probably intended to convey that administrative action is action that has the capacity to affect legal rights, and that impacts directly and immediately on individuals. The effect of this is that . . . an own-interest litigant, had to show that the decisions it seeks to attack had the capacity to affect its own legal rights or its interests.'</w:t>
      </w:r>
    </w:p>
    <w:p w14:paraId="6FB0DE19" w14:textId="77777777" w:rsidR="00793A3E" w:rsidRPr="00793A3E" w:rsidRDefault="00793A3E" w:rsidP="00F009F9">
      <w:pPr>
        <w:spacing w:after="0" w:line="360" w:lineRule="auto"/>
        <w:ind w:left="2127" w:hanging="709"/>
        <w:jc w:val="both"/>
        <w:rPr>
          <w:rFonts w:ascii="Arial" w:hAnsi="Arial" w:cs="Arial"/>
        </w:rPr>
      </w:pPr>
      <w:r w:rsidRPr="00793A3E">
        <w:rPr>
          <w:rFonts w:ascii="Arial" w:hAnsi="Arial" w:cs="Arial"/>
        </w:rPr>
        <w:t>[14]</w:t>
      </w:r>
      <w:r w:rsidRPr="00793A3E">
        <w:rPr>
          <w:rFonts w:ascii="Arial" w:hAnsi="Arial" w:cs="Arial"/>
        </w:rPr>
        <w:tab/>
        <w:t>The Constitutional Court added, at para 32, that in determining a litigant's standing:</w:t>
      </w:r>
    </w:p>
    <w:p w14:paraId="6F45485C" w14:textId="77777777" w:rsidR="00793A3E" w:rsidRPr="00793A3E" w:rsidRDefault="00793A3E" w:rsidP="00F009F9">
      <w:pPr>
        <w:spacing w:after="0" w:line="360" w:lineRule="auto"/>
        <w:ind w:left="2127"/>
        <w:jc w:val="both"/>
        <w:rPr>
          <w:rFonts w:ascii="Arial" w:hAnsi="Arial" w:cs="Arial"/>
        </w:rPr>
      </w:pPr>
      <w:r w:rsidRPr="00793A3E">
        <w:rPr>
          <w:rFonts w:ascii="Arial" w:hAnsi="Arial" w:cs="Arial"/>
        </w:rPr>
        <w:t>‘. . . we must assume that its complaints about the lawfulness of the transaction are correct. This is because in determining a litigant’s standing, a court must, as a matter of logic, assume that the challenge the litigant seeks to bring is justified.'</w:t>
      </w:r>
    </w:p>
    <w:p w14:paraId="4FF5E52F" w14:textId="77777777" w:rsidR="00793A3E" w:rsidRPr="00793A3E" w:rsidRDefault="00793A3E" w:rsidP="00F009F9">
      <w:pPr>
        <w:spacing w:after="0" w:line="360" w:lineRule="auto"/>
        <w:ind w:left="2127"/>
        <w:jc w:val="both"/>
        <w:rPr>
          <w:rFonts w:ascii="Arial" w:hAnsi="Arial" w:cs="Arial"/>
        </w:rPr>
      </w:pPr>
      <w:r w:rsidRPr="00793A3E">
        <w:rPr>
          <w:rFonts w:ascii="Arial" w:hAnsi="Arial" w:cs="Arial"/>
        </w:rPr>
        <w:t>It summarised the position at para 43, in the following terms:</w:t>
      </w:r>
    </w:p>
    <w:p w14:paraId="27662E57" w14:textId="77777777" w:rsidR="00793A3E" w:rsidRPr="00793A3E" w:rsidRDefault="00793A3E" w:rsidP="00F009F9">
      <w:pPr>
        <w:spacing w:after="0" w:line="360" w:lineRule="auto"/>
        <w:ind w:left="2127"/>
        <w:jc w:val="both"/>
        <w:rPr>
          <w:rFonts w:ascii="Arial" w:hAnsi="Arial" w:cs="Arial"/>
        </w:rPr>
      </w:pPr>
      <w:r w:rsidRPr="00793A3E">
        <w:rPr>
          <w:rFonts w:ascii="Arial" w:hAnsi="Arial" w:cs="Arial"/>
        </w:rPr>
        <w:t>'The own-interest litigant must, therefore, demonstrate that his or her interests or potential interests are directly affected by the unlawfulness sought to be impugned.'</w:t>
      </w:r>
    </w:p>
    <w:p w14:paraId="160C9986" w14:textId="77777777" w:rsidR="00793A3E" w:rsidRPr="00793A3E" w:rsidRDefault="00793A3E" w:rsidP="00F009F9">
      <w:pPr>
        <w:spacing w:after="0" w:line="360" w:lineRule="auto"/>
        <w:ind w:left="2127" w:hanging="709"/>
        <w:jc w:val="both"/>
        <w:rPr>
          <w:rFonts w:ascii="Arial" w:hAnsi="Arial" w:cs="Arial"/>
        </w:rPr>
      </w:pPr>
      <w:r w:rsidRPr="00793A3E">
        <w:rPr>
          <w:rFonts w:ascii="Arial" w:hAnsi="Arial" w:cs="Arial"/>
        </w:rPr>
        <w:lastRenderedPageBreak/>
        <w:t>[15]</w:t>
      </w:r>
      <w:r w:rsidRPr="00793A3E">
        <w:rPr>
          <w:rFonts w:ascii="Arial" w:hAnsi="Arial" w:cs="Arial"/>
        </w:rPr>
        <w:tab/>
        <w:t>The standing of the appellants has to be determined by considering whether the award of the tender to the fourth respondent would have a direct effect upon the interests, or potential interests of the appellants, without regard to whether the decision was valid or not. It has to be assumed that the challenge the appellants wish to bring is justified.</w:t>
      </w:r>
    </w:p>
    <w:p w14:paraId="7C6A5BF4" w14:textId="77777777" w:rsidR="00793A3E" w:rsidRPr="00793A3E" w:rsidRDefault="00793A3E" w:rsidP="00F009F9">
      <w:pPr>
        <w:spacing w:after="0" w:line="360" w:lineRule="auto"/>
        <w:ind w:left="2127" w:hanging="709"/>
        <w:jc w:val="both"/>
        <w:rPr>
          <w:rFonts w:ascii="Arial" w:hAnsi="Arial" w:cs="Arial"/>
        </w:rPr>
      </w:pPr>
      <w:r w:rsidRPr="00793A3E">
        <w:rPr>
          <w:rFonts w:ascii="Arial" w:hAnsi="Arial" w:cs="Arial"/>
        </w:rPr>
        <w:t>[16]</w:t>
      </w:r>
      <w:r w:rsidRPr="00793A3E">
        <w:rPr>
          <w:rFonts w:ascii="Arial" w:hAnsi="Arial" w:cs="Arial"/>
        </w:rPr>
        <w:tab/>
        <w:t>I agree with the submission by the appellants that a declaration that a decision on whether the fourth respondent's tender offer was non-responsive, would directly affect their rights. In the event of a decision against the fourth respondent, the tender process would have to be re-commenced as the only responsive tender offers were those of the appellants and the fourth respondent. The appellants and the fourth respondent together with any other interested parties, would then be entitled to compete for the tender. The appellants therefore have standing to seek the review and setting aside of the declaration of the fourth respondent's tender offer as responsive, as also the award of the tender to the fourth respondent.</w:t>
      </w:r>
    </w:p>
    <w:p w14:paraId="17569B46" w14:textId="77777777" w:rsidR="00793A3E" w:rsidRPr="00793A3E" w:rsidRDefault="00793A3E" w:rsidP="00F009F9">
      <w:pPr>
        <w:spacing w:after="0" w:line="360" w:lineRule="auto"/>
        <w:ind w:left="2127" w:hanging="709"/>
        <w:jc w:val="both"/>
        <w:rPr>
          <w:rFonts w:ascii="Arial" w:hAnsi="Arial" w:cs="Arial"/>
        </w:rPr>
      </w:pPr>
      <w:r w:rsidRPr="00793A3E">
        <w:rPr>
          <w:rFonts w:ascii="Arial" w:hAnsi="Arial" w:cs="Arial"/>
        </w:rPr>
        <w:t>[17]</w:t>
      </w:r>
      <w:r w:rsidRPr="00793A3E">
        <w:rPr>
          <w:rFonts w:ascii="Arial" w:hAnsi="Arial" w:cs="Arial"/>
        </w:rPr>
        <w:tab/>
      </w:r>
      <w:r w:rsidRPr="00793A3E">
        <w:rPr>
          <w:rFonts w:ascii="Arial" w:hAnsi="Arial" w:cs="Arial"/>
        </w:rPr>
        <w:tab/>
        <w:t xml:space="preserve">The full court accordingly erred in concluding that the standing of the appellants to challenge the award of the tender to the fourth respondent, was determined by the finding that the appellants’ bid was non-responsive. Its reliance upon </w:t>
      </w:r>
      <w:r w:rsidRPr="00793A3E">
        <w:rPr>
          <w:rFonts w:ascii="Arial" w:hAnsi="Arial" w:cs="Arial"/>
          <w:i/>
        </w:rPr>
        <w:t xml:space="preserve">Rodpaul Construction CC v Ethekweni Municipality </w:t>
      </w:r>
      <w:r w:rsidRPr="00793A3E">
        <w:rPr>
          <w:rFonts w:ascii="Arial" w:hAnsi="Arial" w:cs="Arial"/>
        </w:rPr>
        <w:t xml:space="preserve">2014 JDR 1122 (KZD) was misplaced. The statement in </w:t>
      </w:r>
      <w:r w:rsidRPr="00793A3E">
        <w:rPr>
          <w:rFonts w:ascii="Arial" w:hAnsi="Arial" w:cs="Arial"/>
          <w:i/>
        </w:rPr>
        <w:t>Rodpaul,</w:t>
      </w:r>
      <w:r w:rsidRPr="00793A3E">
        <w:rPr>
          <w:rFonts w:ascii="Arial" w:hAnsi="Arial" w:cs="Arial"/>
        </w:rPr>
        <w:t xml:space="preserve"> at para 52, that:</w:t>
      </w:r>
    </w:p>
    <w:p w14:paraId="708F9B2D" w14:textId="77777777" w:rsidR="00793A3E" w:rsidRPr="00793A3E" w:rsidRDefault="00793A3E" w:rsidP="00F009F9">
      <w:pPr>
        <w:spacing w:after="0" w:line="360" w:lineRule="auto"/>
        <w:ind w:left="2127"/>
        <w:jc w:val="both"/>
        <w:rPr>
          <w:rFonts w:ascii="Arial" w:hAnsi="Arial" w:cs="Arial"/>
        </w:rPr>
      </w:pPr>
      <w:r w:rsidRPr="00793A3E">
        <w:rPr>
          <w:rFonts w:ascii="Arial" w:hAnsi="Arial" w:cs="Arial"/>
        </w:rPr>
        <w:t>'. . . only a compliant tenderer acquires the right to challenge an award. At best a non-compliant tenderer may appeal to the authority before expiry of the tender notice to waive strict compliance.'</w:t>
      </w:r>
    </w:p>
    <w:p w14:paraId="504109E1" w14:textId="77777777" w:rsidR="00793A3E" w:rsidRPr="00793A3E" w:rsidRDefault="00793A3E" w:rsidP="00F009F9">
      <w:pPr>
        <w:spacing w:after="0" w:line="360" w:lineRule="auto"/>
        <w:ind w:left="2127"/>
        <w:jc w:val="both"/>
        <w:rPr>
          <w:rFonts w:ascii="Arial" w:hAnsi="Arial" w:cs="Arial"/>
        </w:rPr>
      </w:pPr>
      <w:r w:rsidRPr="00793A3E">
        <w:rPr>
          <w:rFonts w:ascii="Arial" w:hAnsi="Arial" w:cs="Arial"/>
        </w:rPr>
        <w:t xml:space="preserve">is too broadly cast and does not correctly reflect Canadian law, from which it was said to be derived. </w:t>
      </w:r>
    </w:p>
    <w:p w14:paraId="6A24D261" w14:textId="77777777" w:rsidR="00793A3E" w:rsidRPr="00793A3E" w:rsidRDefault="00793A3E" w:rsidP="00F009F9">
      <w:pPr>
        <w:spacing w:after="0" w:line="360" w:lineRule="auto"/>
        <w:ind w:left="2127" w:hanging="709"/>
        <w:jc w:val="both"/>
        <w:rPr>
          <w:rFonts w:ascii="Arial" w:hAnsi="Arial" w:cs="Arial"/>
        </w:rPr>
      </w:pPr>
      <w:r w:rsidRPr="00793A3E">
        <w:rPr>
          <w:rFonts w:ascii="Arial" w:hAnsi="Arial" w:cs="Arial"/>
        </w:rPr>
        <w:t>[18]</w:t>
      </w:r>
      <w:r w:rsidRPr="00793A3E">
        <w:rPr>
          <w:rFonts w:ascii="Arial" w:hAnsi="Arial" w:cs="Arial"/>
        </w:rPr>
        <w:tab/>
        <w:t>In</w:t>
      </w:r>
      <w:r w:rsidRPr="00793A3E">
        <w:rPr>
          <w:rFonts w:ascii="Arial" w:hAnsi="Arial" w:cs="Arial"/>
          <w:i/>
          <w:iCs/>
        </w:rPr>
        <w:t xml:space="preserve"> M.J.B. Enterprises Ltd v Defence Construction </w:t>
      </w:r>
      <w:r w:rsidRPr="00793A3E">
        <w:rPr>
          <w:rFonts w:ascii="Arial" w:hAnsi="Arial" w:cs="Arial"/>
          <w:iCs/>
        </w:rPr>
        <w:t>(1951) [1999] 1 SCR</w:t>
      </w:r>
      <w:r w:rsidRPr="00793A3E">
        <w:rPr>
          <w:rFonts w:ascii="Arial" w:hAnsi="Arial" w:cs="Arial"/>
          <w:i/>
          <w:iCs/>
        </w:rPr>
        <w:t xml:space="preserve"> </w:t>
      </w:r>
      <w:r w:rsidRPr="00793A3E">
        <w:rPr>
          <w:rFonts w:ascii="Arial" w:hAnsi="Arial" w:cs="Arial"/>
        </w:rPr>
        <w:t xml:space="preserve">619 paras 58 and 60, the Supreme Court of Canada held that the submission of a tender in response to an invitation to tender may give rise to contractual obligations (contract A), distinct from the obligations associated with the contract to be entered into upon the acceptance of a tender (contract B), depending upon the intention of the parties. Where the party calling for tenders, awards contract B to a non-compliant tenderer, then a tenderer who submitted a compliant bid, would suffer the loss of contract B and would be entitled to damages in the amount of the profits it would have realised, had it been awarded contract B. It is in this context that only a compliant tenderer would have </w:t>
      </w:r>
      <w:r w:rsidRPr="00793A3E">
        <w:rPr>
          <w:rFonts w:ascii="Arial" w:hAnsi="Arial" w:cs="Arial"/>
        </w:rPr>
        <w:lastRenderedPageBreak/>
        <w:t>locus standi to institute an action for damages. The decision has no application to the present dispute.”</w:t>
      </w:r>
    </w:p>
    <w:p w14:paraId="21A7C4AF"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3C312133" w14:textId="77777777" w:rsidR="00793A3E" w:rsidRPr="00793A3E" w:rsidRDefault="00793A3E" w:rsidP="00F009F9">
      <w:pPr>
        <w:spacing w:after="0" w:line="480" w:lineRule="auto"/>
        <w:jc w:val="both"/>
        <w:rPr>
          <w:rFonts w:ascii="Arial" w:hAnsi="Arial" w:cs="Arial"/>
          <w:b/>
          <w:sz w:val="24"/>
          <w:szCs w:val="24"/>
          <w:u w:val="single"/>
        </w:rPr>
      </w:pPr>
      <w:r w:rsidRPr="00793A3E">
        <w:rPr>
          <w:rFonts w:ascii="Arial" w:hAnsi="Arial" w:cs="Arial"/>
          <w:b/>
          <w:sz w:val="24"/>
          <w:szCs w:val="24"/>
          <w:u w:val="single"/>
        </w:rPr>
        <w:t>THE APPROACH TO APPLICATIONS</w:t>
      </w:r>
    </w:p>
    <w:p w14:paraId="43D38123" w14:textId="77777777" w:rsidR="00793A3E" w:rsidRPr="00793A3E" w:rsidRDefault="00793A3E" w:rsidP="00F009F9">
      <w:pPr>
        <w:spacing w:after="0" w:line="480" w:lineRule="auto"/>
        <w:jc w:val="both"/>
        <w:rPr>
          <w:rFonts w:ascii="Arial" w:hAnsi="Arial" w:cs="Arial"/>
          <w:sz w:val="24"/>
          <w:szCs w:val="24"/>
        </w:rPr>
      </w:pPr>
    </w:p>
    <w:p w14:paraId="240DECDD" w14:textId="50543303"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63.</w:t>
      </w:r>
      <w:r w:rsidRPr="00793A3E">
        <w:rPr>
          <w:rFonts w:ascii="Arial" w:hAnsi="Arial" w:cs="Arial"/>
          <w:sz w:val="24"/>
          <w:szCs w:val="24"/>
        </w:rPr>
        <w:tab/>
      </w:r>
      <w:r w:rsidR="00793A3E" w:rsidRPr="00D33AC2">
        <w:rPr>
          <w:rFonts w:ascii="Arial" w:hAnsi="Arial" w:cs="Arial"/>
          <w:sz w:val="24"/>
          <w:szCs w:val="24"/>
        </w:rPr>
        <w:t xml:space="preserve">In general terms a Court can entertain motion proceedings when there are no genuine disputes of fact.  </w:t>
      </w:r>
    </w:p>
    <w:p w14:paraId="4544A942" w14:textId="77777777" w:rsidR="00793A3E" w:rsidRPr="00793A3E" w:rsidRDefault="00793A3E" w:rsidP="00F009F9">
      <w:pPr>
        <w:pStyle w:val="ListParagraph"/>
        <w:spacing w:after="0" w:line="480" w:lineRule="auto"/>
        <w:ind w:left="709" w:hanging="709"/>
        <w:contextualSpacing w:val="0"/>
        <w:jc w:val="both"/>
        <w:rPr>
          <w:rFonts w:ascii="Arial" w:hAnsi="Arial" w:cs="Arial"/>
          <w:sz w:val="24"/>
          <w:szCs w:val="24"/>
        </w:rPr>
      </w:pPr>
    </w:p>
    <w:p w14:paraId="761E340C" w14:textId="423E1647"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64.</w:t>
      </w:r>
      <w:r w:rsidRPr="00793A3E">
        <w:rPr>
          <w:rFonts w:ascii="Arial" w:hAnsi="Arial" w:cs="Arial"/>
          <w:sz w:val="24"/>
          <w:szCs w:val="24"/>
        </w:rPr>
        <w:tab/>
      </w:r>
      <w:r w:rsidR="00793A3E" w:rsidRPr="00D33AC2">
        <w:rPr>
          <w:rFonts w:ascii="Arial" w:hAnsi="Arial" w:cs="Arial"/>
          <w:sz w:val="24"/>
          <w:szCs w:val="24"/>
        </w:rPr>
        <w:t>Disputes of fact which are discerned in any application are dealt with in terms of Rule 6(5)(g) which permits the hearing of oral evidence in appropriate circumstances.</w:t>
      </w:r>
    </w:p>
    <w:p w14:paraId="7FBF9FD9" w14:textId="77777777" w:rsidR="00793A3E" w:rsidRPr="00793A3E" w:rsidRDefault="00793A3E" w:rsidP="00F009F9">
      <w:pPr>
        <w:pStyle w:val="ListParagraph"/>
        <w:spacing w:after="0" w:line="480" w:lineRule="auto"/>
        <w:ind w:left="709" w:hanging="709"/>
        <w:contextualSpacing w:val="0"/>
        <w:rPr>
          <w:rFonts w:ascii="Arial" w:hAnsi="Arial" w:cs="Arial"/>
          <w:sz w:val="24"/>
          <w:szCs w:val="24"/>
        </w:rPr>
      </w:pPr>
    </w:p>
    <w:p w14:paraId="756452D2" w14:textId="453B7C84"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65.</w:t>
      </w:r>
      <w:r w:rsidRPr="00793A3E">
        <w:rPr>
          <w:rFonts w:ascii="Arial" w:hAnsi="Arial" w:cs="Arial"/>
          <w:sz w:val="24"/>
          <w:szCs w:val="24"/>
        </w:rPr>
        <w:tab/>
      </w:r>
      <w:r w:rsidR="00793A3E" w:rsidRPr="00D33AC2">
        <w:rPr>
          <w:rFonts w:ascii="Arial" w:hAnsi="Arial" w:cs="Arial"/>
          <w:sz w:val="24"/>
          <w:szCs w:val="24"/>
        </w:rPr>
        <w:t xml:space="preserve">Reviews of this nature are subject to Rule 53 and must be brought by application.  In the event of a conflict of fact arising, which can only be resolved by oral evidence, Applicants cannot be penalized along the lines that this should have been anticipated and should have proceeded by a different route.  </w:t>
      </w:r>
    </w:p>
    <w:p w14:paraId="24CA4065" w14:textId="77777777" w:rsidR="00793A3E" w:rsidRPr="00793A3E" w:rsidRDefault="00793A3E" w:rsidP="00F009F9">
      <w:pPr>
        <w:pStyle w:val="ListParagraph"/>
        <w:spacing w:after="0" w:line="480" w:lineRule="auto"/>
        <w:ind w:left="709" w:hanging="709"/>
        <w:contextualSpacing w:val="0"/>
        <w:rPr>
          <w:rFonts w:ascii="Arial" w:hAnsi="Arial" w:cs="Arial"/>
          <w:sz w:val="24"/>
          <w:szCs w:val="24"/>
        </w:rPr>
      </w:pPr>
    </w:p>
    <w:p w14:paraId="7E153123" w14:textId="59DD7FFC"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66.</w:t>
      </w:r>
      <w:r w:rsidRPr="00793A3E">
        <w:rPr>
          <w:rFonts w:ascii="Arial" w:hAnsi="Arial" w:cs="Arial"/>
          <w:sz w:val="24"/>
          <w:szCs w:val="24"/>
        </w:rPr>
        <w:tab/>
      </w:r>
      <w:r w:rsidR="00793A3E" w:rsidRPr="00D33AC2">
        <w:rPr>
          <w:rFonts w:ascii="Arial" w:hAnsi="Arial" w:cs="Arial"/>
          <w:sz w:val="24"/>
          <w:szCs w:val="24"/>
        </w:rPr>
        <w:t>It has been held that a party in a review (discharging an onus of proof) who seeks to adduce oral evidence or cross-examination of deponents to answering affidavits should not lightly be deprived of this opportunity, having been obliged to go by way of Motion</w:t>
      </w:r>
      <w:r w:rsidR="00793A3E" w:rsidRPr="00793A3E">
        <w:rPr>
          <w:rStyle w:val="FootnoteReference"/>
          <w:rFonts w:ascii="Arial" w:hAnsi="Arial" w:cs="Arial"/>
          <w:sz w:val="24"/>
          <w:szCs w:val="24"/>
        </w:rPr>
        <w:footnoteReference w:id="12"/>
      </w:r>
      <w:r w:rsidR="00793A3E" w:rsidRPr="00D33AC2">
        <w:rPr>
          <w:rFonts w:ascii="Arial" w:hAnsi="Arial" w:cs="Arial"/>
          <w:sz w:val="24"/>
          <w:szCs w:val="24"/>
        </w:rPr>
        <w:t>.</w:t>
      </w:r>
    </w:p>
    <w:p w14:paraId="0E0B12BD" w14:textId="77777777" w:rsidR="00793A3E" w:rsidRPr="00793A3E" w:rsidRDefault="00793A3E" w:rsidP="00F009F9">
      <w:pPr>
        <w:pStyle w:val="ListParagraph"/>
        <w:spacing w:after="0" w:line="480" w:lineRule="auto"/>
        <w:ind w:left="709" w:hanging="709"/>
        <w:contextualSpacing w:val="0"/>
        <w:rPr>
          <w:rFonts w:ascii="Arial" w:hAnsi="Arial" w:cs="Arial"/>
          <w:sz w:val="24"/>
          <w:szCs w:val="24"/>
        </w:rPr>
      </w:pPr>
    </w:p>
    <w:p w14:paraId="59DA9C6C" w14:textId="370B27E4" w:rsidR="00793A3E" w:rsidRPr="00D33AC2" w:rsidRDefault="00D33AC2" w:rsidP="00D33AC2">
      <w:pPr>
        <w:spacing w:after="0" w:line="480" w:lineRule="auto"/>
        <w:ind w:left="709" w:hanging="709"/>
        <w:jc w:val="both"/>
        <w:rPr>
          <w:rFonts w:ascii="Arial" w:hAnsi="Arial" w:cs="Arial"/>
          <w:sz w:val="24"/>
          <w:szCs w:val="24"/>
        </w:rPr>
      </w:pPr>
      <w:r>
        <w:rPr>
          <w:rFonts w:ascii="Arial" w:hAnsi="Arial" w:cs="Arial"/>
          <w:sz w:val="24"/>
          <w:szCs w:val="24"/>
        </w:rPr>
        <w:t>67.</w:t>
      </w:r>
      <w:r>
        <w:rPr>
          <w:rFonts w:ascii="Arial" w:hAnsi="Arial" w:cs="Arial"/>
          <w:sz w:val="24"/>
          <w:szCs w:val="24"/>
        </w:rPr>
        <w:tab/>
      </w:r>
      <w:r w:rsidR="00793A3E" w:rsidRPr="00D33AC2">
        <w:rPr>
          <w:rFonts w:ascii="Arial" w:hAnsi="Arial" w:cs="Arial"/>
          <w:sz w:val="24"/>
          <w:szCs w:val="24"/>
        </w:rPr>
        <w:t xml:space="preserve">The Court was careful to point out however that this does not mean that any such application will be granted as a matter of course.  The consideration of the facts and alleged disputes, in </w:t>
      </w:r>
      <w:r w:rsidR="00793A3E" w:rsidRPr="00D33AC2">
        <w:rPr>
          <w:rFonts w:ascii="Arial" w:hAnsi="Arial" w:cs="Arial"/>
          <w:b/>
          <w:i/>
          <w:sz w:val="24"/>
          <w:szCs w:val="24"/>
        </w:rPr>
        <w:t>AECI (supra)</w:t>
      </w:r>
      <w:r w:rsidR="00793A3E" w:rsidRPr="00D33AC2">
        <w:rPr>
          <w:rFonts w:ascii="Arial" w:hAnsi="Arial" w:cs="Arial"/>
          <w:i/>
          <w:sz w:val="24"/>
          <w:szCs w:val="24"/>
        </w:rPr>
        <w:t>,</w:t>
      </w:r>
      <w:r w:rsidR="00793A3E" w:rsidRPr="00D33AC2">
        <w:rPr>
          <w:rFonts w:ascii="Arial" w:hAnsi="Arial" w:cs="Arial"/>
          <w:b/>
          <w:i/>
          <w:sz w:val="24"/>
          <w:szCs w:val="24"/>
        </w:rPr>
        <w:t xml:space="preserve"> </w:t>
      </w:r>
      <w:r w:rsidR="00793A3E" w:rsidRPr="00D33AC2">
        <w:rPr>
          <w:rFonts w:ascii="Arial" w:hAnsi="Arial" w:cs="Arial"/>
          <w:sz w:val="24"/>
          <w:szCs w:val="24"/>
        </w:rPr>
        <w:t xml:space="preserve">demonstrate the care with which </w:t>
      </w:r>
      <w:r w:rsidR="00793A3E" w:rsidRPr="00D33AC2">
        <w:rPr>
          <w:rFonts w:ascii="Arial" w:hAnsi="Arial" w:cs="Arial"/>
          <w:sz w:val="24"/>
          <w:szCs w:val="24"/>
        </w:rPr>
        <w:lastRenderedPageBreak/>
        <w:t xml:space="preserve">these were considered to determine whether such disputes were relevant and such as to warrant such referral. </w:t>
      </w:r>
    </w:p>
    <w:p w14:paraId="32AFCB2E" w14:textId="77777777" w:rsidR="004C170A" w:rsidRPr="00793A3E" w:rsidRDefault="004C170A" w:rsidP="004C170A">
      <w:pPr>
        <w:pStyle w:val="ListParagraph"/>
        <w:spacing w:after="0" w:line="480" w:lineRule="auto"/>
        <w:ind w:left="709"/>
        <w:contextualSpacing w:val="0"/>
        <w:jc w:val="both"/>
        <w:rPr>
          <w:rFonts w:ascii="Arial" w:hAnsi="Arial" w:cs="Arial"/>
          <w:sz w:val="24"/>
          <w:szCs w:val="24"/>
        </w:rPr>
      </w:pPr>
    </w:p>
    <w:p w14:paraId="1D12656D" w14:textId="5D4E933A"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68.</w:t>
      </w:r>
      <w:r w:rsidRPr="00793A3E">
        <w:rPr>
          <w:rFonts w:ascii="Arial" w:hAnsi="Arial" w:cs="Arial"/>
          <w:sz w:val="24"/>
          <w:szCs w:val="24"/>
        </w:rPr>
        <w:tab/>
      </w:r>
      <w:r w:rsidR="00793A3E" w:rsidRPr="00D33AC2">
        <w:rPr>
          <w:rFonts w:ascii="Arial" w:hAnsi="Arial" w:cs="Arial"/>
          <w:sz w:val="24"/>
          <w:szCs w:val="24"/>
        </w:rPr>
        <w:t xml:space="preserve">It is clear from the authorities that whilst undesirable to settle disputed facts on affidavit, the first step in considering this issue is to carefully examine such alleged disputes to determine if these are real, </w:t>
      </w:r>
      <w:r w:rsidR="00793A3E" w:rsidRPr="00D33AC2">
        <w:rPr>
          <w:rFonts w:ascii="Arial" w:hAnsi="Arial" w:cs="Arial"/>
          <w:i/>
          <w:sz w:val="24"/>
          <w:szCs w:val="24"/>
        </w:rPr>
        <w:t>bona fide</w:t>
      </w:r>
      <w:r w:rsidR="00793A3E" w:rsidRPr="00D33AC2">
        <w:rPr>
          <w:rFonts w:ascii="Arial" w:hAnsi="Arial" w:cs="Arial"/>
          <w:sz w:val="24"/>
          <w:szCs w:val="24"/>
        </w:rPr>
        <w:t xml:space="preserve"> and material.  </w:t>
      </w:r>
    </w:p>
    <w:p w14:paraId="65C9C589" w14:textId="77777777" w:rsidR="00793A3E" w:rsidRPr="00793A3E" w:rsidRDefault="00793A3E" w:rsidP="00F009F9">
      <w:pPr>
        <w:pStyle w:val="ListParagraph"/>
        <w:spacing w:after="0" w:line="480" w:lineRule="auto"/>
        <w:ind w:left="709" w:hanging="709"/>
        <w:contextualSpacing w:val="0"/>
        <w:rPr>
          <w:rFonts w:ascii="Arial" w:hAnsi="Arial" w:cs="Arial"/>
          <w:sz w:val="24"/>
          <w:szCs w:val="24"/>
        </w:rPr>
      </w:pPr>
    </w:p>
    <w:p w14:paraId="08AC08CB" w14:textId="3BBD2B31"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69.</w:t>
      </w:r>
      <w:r w:rsidRPr="00793A3E">
        <w:rPr>
          <w:rFonts w:ascii="Arial" w:hAnsi="Arial" w:cs="Arial"/>
          <w:sz w:val="24"/>
          <w:szCs w:val="24"/>
        </w:rPr>
        <w:tab/>
      </w:r>
      <w:r w:rsidR="00793A3E" w:rsidRPr="00D33AC2">
        <w:rPr>
          <w:rFonts w:ascii="Arial" w:hAnsi="Arial" w:cs="Arial"/>
          <w:sz w:val="24"/>
          <w:szCs w:val="24"/>
        </w:rPr>
        <w:t>Whether there is a real, material, genuine dispute (of fact) is a question of fact for the Court to decide</w:t>
      </w:r>
      <w:r w:rsidR="00793A3E" w:rsidRPr="00793A3E">
        <w:rPr>
          <w:rStyle w:val="FootnoteReference"/>
          <w:rFonts w:ascii="Arial" w:hAnsi="Arial" w:cs="Arial"/>
          <w:sz w:val="24"/>
          <w:szCs w:val="24"/>
        </w:rPr>
        <w:footnoteReference w:id="13"/>
      </w:r>
      <w:r w:rsidR="00793A3E" w:rsidRPr="00D33AC2">
        <w:rPr>
          <w:rFonts w:ascii="Arial" w:hAnsi="Arial" w:cs="Arial"/>
          <w:sz w:val="24"/>
          <w:szCs w:val="24"/>
        </w:rPr>
        <w:t>.</w:t>
      </w:r>
    </w:p>
    <w:p w14:paraId="4AD9F610" w14:textId="77777777" w:rsidR="00793A3E" w:rsidRPr="00793A3E" w:rsidRDefault="00793A3E" w:rsidP="00F009F9">
      <w:pPr>
        <w:pStyle w:val="ListParagraph"/>
        <w:spacing w:after="0" w:line="480" w:lineRule="auto"/>
        <w:ind w:left="709" w:hanging="709"/>
        <w:contextualSpacing w:val="0"/>
        <w:rPr>
          <w:rFonts w:ascii="Arial" w:hAnsi="Arial" w:cs="Arial"/>
          <w:sz w:val="24"/>
          <w:szCs w:val="24"/>
        </w:rPr>
      </w:pPr>
    </w:p>
    <w:p w14:paraId="26C1A4FF" w14:textId="14A417E3"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70.</w:t>
      </w:r>
      <w:r w:rsidRPr="00793A3E">
        <w:rPr>
          <w:rFonts w:ascii="Arial" w:hAnsi="Arial" w:cs="Arial"/>
          <w:sz w:val="24"/>
          <w:szCs w:val="24"/>
        </w:rPr>
        <w:tab/>
      </w:r>
      <w:r w:rsidR="00793A3E" w:rsidRPr="00D33AC2">
        <w:rPr>
          <w:rFonts w:ascii="Arial" w:hAnsi="Arial" w:cs="Arial"/>
          <w:sz w:val="24"/>
          <w:szCs w:val="24"/>
        </w:rPr>
        <w:t>There must also be an enquiry as to whether such dispute, if established, is relevant and material to the issue to be decided.</w:t>
      </w:r>
    </w:p>
    <w:p w14:paraId="6DE394AA" w14:textId="77777777" w:rsidR="00793A3E" w:rsidRPr="00793A3E" w:rsidRDefault="00793A3E" w:rsidP="00F009F9">
      <w:pPr>
        <w:pStyle w:val="ListParagraph"/>
        <w:spacing w:after="0" w:line="480" w:lineRule="auto"/>
        <w:ind w:left="709" w:hanging="709"/>
        <w:contextualSpacing w:val="0"/>
        <w:rPr>
          <w:rFonts w:ascii="Arial" w:hAnsi="Arial" w:cs="Arial"/>
          <w:sz w:val="24"/>
          <w:szCs w:val="24"/>
        </w:rPr>
      </w:pPr>
    </w:p>
    <w:p w14:paraId="4ECB2948" w14:textId="76F0D780"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71.</w:t>
      </w:r>
      <w:r w:rsidRPr="00793A3E">
        <w:rPr>
          <w:rFonts w:ascii="Arial" w:hAnsi="Arial" w:cs="Arial"/>
          <w:sz w:val="24"/>
          <w:szCs w:val="24"/>
        </w:rPr>
        <w:tab/>
      </w:r>
      <w:r w:rsidR="00793A3E" w:rsidRPr="00D33AC2">
        <w:rPr>
          <w:rFonts w:ascii="Arial" w:hAnsi="Arial" w:cs="Arial"/>
          <w:sz w:val="24"/>
          <w:szCs w:val="24"/>
        </w:rPr>
        <w:t>A real dispute usually arises where Respondent denies material allegations by Applicant and produces positive contrary evidence.  This can only arise where the party raising the dispute has seriously and unambiguously addressed the disputed fact in the answering affidavit</w:t>
      </w:r>
      <w:r w:rsidR="00793A3E" w:rsidRPr="00793A3E">
        <w:rPr>
          <w:rStyle w:val="FootnoteReference"/>
          <w:rFonts w:ascii="Arial" w:hAnsi="Arial" w:cs="Arial"/>
          <w:sz w:val="24"/>
          <w:szCs w:val="24"/>
        </w:rPr>
        <w:footnoteReference w:id="14"/>
      </w:r>
      <w:r w:rsidR="00793A3E" w:rsidRPr="00D33AC2">
        <w:rPr>
          <w:rFonts w:ascii="Arial" w:hAnsi="Arial" w:cs="Arial"/>
          <w:sz w:val="24"/>
          <w:szCs w:val="24"/>
        </w:rPr>
        <w:t>.  For a genuine dispute to arise Respondent must satisfy the Court that there are reasonable grounds set out that would establish a defence in action proceedings</w:t>
      </w:r>
      <w:r w:rsidR="00793A3E" w:rsidRPr="00793A3E">
        <w:rPr>
          <w:rStyle w:val="FootnoteReference"/>
          <w:rFonts w:ascii="Arial" w:hAnsi="Arial" w:cs="Arial"/>
          <w:sz w:val="24"/>
          <w:szCs w:val="24"/>
        </w:rPr>
        <w:footnoteReference w:id="15"/>
      </w:r>
    </w:p>
    <w:p w14:paraId="62FB7BCE" w14:textId="77777777" w:rsidR="00793A3E" w:rsidRPr="00793A3E" w:rsidRDefault="00793A3E" w:rsidP="00F009F9">
      <w:pPr>
        <w:pStyle w:val="ListParagraph"/>
        <w:spacing w:after="0" w:line="480" w:lineRule="auto"/>
        <w:ind w:left="709" w:hanging="709"/>
        <w:contextualSpacing w:val="0"/>
        <w:rPr>
          <w:rFonts w:ascii="Arial" w:hAnsi="Arial" w:cs="Arial"/>
          <w:sz w:val="24"/>
          <w:szCs w:val="24"/>
        </w:rPr>
      </w:pPr>
    </w:p>
    <w:p w14:paraId="64C98711" w14:textId="59171DBC"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72.</w:t>
      </w:r>
      <w:r w:rsidRPr="00793A3E">
        <w:rPr>
          <w:rFonts w:ascii="Arial" w:hAnsi="Arial" w:cs="Arial"/>
          <w:sz w:val="24"/>
          <w:szCs w:val="24"/>
        </w:rPr>
        <w:tab/>
      </w:r>
      <w:r w:rsidR="00793A3E" w:rsidRPr="00D33AC2">
        <w:rPr>
          <w:rFonts w:ascii="Arial" w:hAnsi="Arial" w:cs="Arial"/>
          <w:sz w:val="24"/>
          <w:szCs w:val="24"/>
        </w:rPr>
        <w:t xml:space="preserve">It must be remembered that, in respect of final relief, even where facts are in dispute on the papers, but the Court is satisfied nevertheless that on Respondents’ facts, with those of Applicants which are admitted by </w:t>
      </w:r>
      <w:r w:rsidR="00793A3E" w:rsidRPr="00D33AC2">
        <w:rPr>
          <w:rFonts w:ascii="Arial" w:hAnsi="Arial" w:cs="Arial"/>
          <w:sz w:val="24"/>
          <w:szCs w:val="24"/>
        </w:rPr>
        <w:lastRenderedPageBreak/>
        <w:t>Respondents (or at least not denied), that Applicants are entitled to relief, it will make such an order</w:t>
      </w:r>
      <w:r w:rsidR="00793A3E" w:rsidRPr="00793A3E">
        <w:rPr>
          <w:rStyle w:val="FootnoteReference"/>
          <w:rFonts w:ascii="Arial" w:hAnsi="Arial" w:cs="Arial"/>
          <w:sz w:val="24"/>
          <w:szCs w:val="24"/>
        </w:rPr>
        <w:footnoteReference w:id="16"/>
      </w:r>
      <w:r w:rsidR="00793A3E" w:rsidRPr="00D33AC2">
        <w:rPr>
          <w:rFonts w:ascii="Arial" w:hAnsi="Arial" w:cs="Arial"/>
          <w:sz w:val="24"/>
          <w:szCs w:val="24"/>
        </w:rPr>
        <w:t xml:space="preserve">.  </w:t>
      </w:r>
    </w:p>
    <w:p w14:paraId="224F9356" w14:textId="77777777" w:rsidR="00793A3E" w:rsidRPr="00793A3E" w:rsidRDefault="00793A3E" w:rsidP="00F009F9">
      <w:pPr>
        <w:pStyle w:val="ListParagraph"/>
        <w:spacing w:after="0" w:line="480" w:lineRule="auto"/>
        <w:ind w:left="709" w:hanging="709"/>
        <w:contextualSpacing w:val="0"/>
        <w:rPr>
          <w:rFonts w:ascii="Arial" w:hAnsi="Arial" w:cs="Arial"/>
          <w:sz w:val="24"/>
          <w:szCs w:val="24"/>
        </w:rPr>
      </w:pPr>
    </w:p>
    <w:p w14:paraId="61D3FCE4" w14:textId="43D3A5BB" w:rsidR="00793A3E" w:rsidRPr="00D33AC2" w:rsidRDefault="00D33AC2" w:rsidP="00D33AC2">
      <w:pPr>
        <w:spacing w:after="0" w:line="480" w:lineRule="auto"/>
        <w:ind w:left="709" w:hanging="709"/>
        <w:jc w:val="both"/>
        <w:rPr>
          <w:rFonts w:ascii="Arial" w:hAnsi="Arial" w:cs="Arial"/>
          <w:sz w:val="24"/>
          <w:szCs w:val="24"/>
        </w:rPr>
      </w:pPr>
      <w:bookmarkStart w:id="0" w:name="end_0-0-0-72131"/>
      <w:bookmarkEnd w:id="0"/>
      <w:r w:rsidRPr="00793A3E">
        <w:rPr>
          <w:rFonts w:ascii="Arial" w:hAnsi="Arial" w:cs="Arial"/>
          <w:sz w:val="24"/>
          <w:szCs w:val="24"/>
        </w:rPr>
        <w:t>73.</w:t>
      </w:r>
      <w:r w:rsidRPr="00793A3E">
        <w:rPr>
          <w:rFonts w:ascii="Arial" w:hAnsi="Arial" w:cs="Arial"/>
          <w:sz w:val="24"/>
          <w:szCs w:val="24"/>
        </w:rPr>
        <w:tab/>
      </w:r>
      <w:r w:rsidR="00793A3E" w:rsidRPr="00D33AC2">
        <w:rPr>
          <w:rFonts w:ascii="Arial" w:hAnsi="Arial" w:cs="Arial"/>
          <w:sz w:val="24"/>
          <w:szCs w:val="24"/>
        </w:rPr>
        <w:t>It is Applicants, not Respondents, who run a risk by bringing a claim on motion.  That is because, as with any motion proceedings, to the extent that any facts are genuinely in dispute, they must be resolved in favour of Respondents</w:t>
      </w:r>
      <w:r w:rsidR="00793A3E" w:rsidRPr="00793A3E">
        <w:rPr>
          <w:rStyle w:val="FootnoteReference"/>
          <w:rFonts w:ascii="Arial" w:hAnsi="Arial" w:cs="Arial"/>
          <w:sz w:val="24"/>
          <w:szCs w:val="24"/>
        </w:rPr>
        <w:footnoteReference w:id="17"/>
      </w:r>
      <w:r w:rsidR="00793A3E" w:rsidRPr="00D33AC2">
        <w:rPr>
          <w:rFonts w:ascii="Arial" w:hAnsi="Arial" w:cs="Arial"/>
          <w:sz w:val="24"/>
          <w:szCs w:val="24"/>
        </w:rPr>
        <w:t>, unless a referral is justified and sought.</w:t>
      </w:r>
    </w:p>
    <w:p w14:paraId="1C99AEF1"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4ED90D8B" w14:textId="4797F259"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74.</w:t>
      </w:r>
      <w:r w:rsidRPr="00793A3E">
        <w:rPr>
          <w:rFonts w:ascii="Arial" w:hAnsi="Arial" w:cs="Arial"/>
          <w:sz w:val="24"/>
          <w:szCs w:val="24"/>
        </w:rPr>
        <w:tab/>
      </w:r>
      <w:r w:rsidR="00793A3E" w:rsidRPr="00D33AC2">
        <w:rPr>
          <w:rFonts w:ascii="Arial" w:hAnsi="Arial" w:cs="Arial"/>
          <w:sz w:val="24"/>
          <w:szCs w:val="24"/>
        </w:rPr>
        <w:t>The SCA has accordingly held that:</w:t>
      </w:r>
    </w:p>
    <w:p w14:paraId="77E97DF6"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539238DB" w14:textId="77777777" w:rsidR="00793A3E" w:rsidRPr="00F009F9" w:rsidRDefault="00793A3E" w:rsidP="00F009F9">
      <w:pPr>
        <w:pStyle w:val="ListParagraph"/>
        <w:spacing w:after="0" w:line="360" w:lineRule="auto"/>
        <w:ind w:left="1440"/>
        <w:contextualSpacing w:val="0"/>
        <w:jc w:val="both"/>
        <w:rPr>
          <w:rFonts w:ascii="Arial" w:hAnsi="Arial" w:cs="Arial"/>
        </w:rPr>
      </w:pPr>
      <w:r w:rsidRPr="00F009F9">
        <w:rPr>
          <w:rFonts w:ascii="Arial" w:hAnsi="Arial" w:cs="Arial"/>
        </w:rPr>
        <w:t xml:space="preserve">“It may be assumed… that an applicant who presses for a decision on the papers in the face of a factual dispute, by necessary implication consents to the matter being decided on the basis that the applicant is prepared to have the matter decided on the basis set out in </w:t>
      </w:r>
      <w:r w:rsidRPr="00F009F9">
        <w:rPr>
          <w:rFonts w:ascii="Arial" w:hAnsi="Arial" w:cs="Arial"/>
          <w:i/>
        </w:rPr>
        <w:t>Plascon Evans</w:t>
      </w:r>
      <w:r w:rsidRPr="00F009F9">
        <w:rPr>
          <w:rFonts w:ascii="Arial" w:hAnsi="Arial" w:cs="Arial"/>
        </w:rPr>
        <w:t xml:space="preserve">…”. </w:t>
      </w:r>
      <w:r w:rsidRPr="00F009F9">
        <w:rPr>
          <w:rStyle w:val="FootnoteReference"/>
          <w:rFonts w:ascii="Arial" w:hAnsi="Arial" w:cs="Arial"/>
        </w:rPr>
        <w:footnoteReference w:id="18"/>
      </w:r>
    </w:p>
    <w:p w14:paraId="2B9C1861"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1E600D85" w14:textId="11B46950"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75.</w:t>
      </w:r>
      <w:r w:rsidRPr="00793A3E">
        <w:rPr>
          <w:rFonts w:ascii="Arial" w:hAnsi="Arial" w:cs="Arial"/>
          <w:sz w:val="24"/>
          <w:szCs w:val="24"/>
        </w:rPr>
        <w:tab/>
      </w:r>
      <w:r w:rsidR="00793A3E" w:rsidRPr="00D33AC2">
        <w:rPr>
          <w:rFonts w:ascii="Arial" w:hAnsi="Arial" w:cs="Arial"/>
          <w:sz w:val="24"/>
          <w:szCs w:val="24"/>
        </w:rPr>
        <w:t xml:space="preserve">The Court went on to say, in </w:t>
      </w:r>
      <w:r w:rsidR="00793A3E" w:rsidRPr="00D33AC2">
        <w:rPr>
          <w:rFonts w:ascii="Arial" w:hAnsi="Arial" w:cs="Arial"/>
          <w:b/>
          <w:i/>
          <w:sz w:val="24"/>
          <w:szCs w:val="24"/>
        </w:rPr>
        <w:t>Ngquma (supra)</w:t>
      </w:r>
      <w:r w:rsidR="00793A3E" w:rsidRPr="00D33AC2">
        <w:rPr>
          <w:rFonts w:ascii="Arial" w:hAnsi="Arial" w:cs="Arial"/>
          <w:i/>
          <w:sz w:val="24"/>
          <w:szCs w:val="24"/>
        </w:rPr>
        <w:t>,</w:t>
      </w:r>
      <w:r w:rsidR="00793A3E" w:rsidRPr="00D33AC2">
        <w:rPr>
          <w:rFonts w:ascii="Arial" w:hAnsi="Arial" w:cs="Arial"/>
          <w:sz w:val="24"/>
          <w:szCs w:val="24"/>
        </w:rPr>
        <w:t xml:space="preserve"> that </w:t>
      </w:r>
      <w:r w:rsidR="00793A3E" w:rsidRPr="00D33AC2">
        <w:rPr>
          <w:rFonts w:ascii="Arial" w:hAnsi="Arial" w:cs="Arial"/>
          <w:i/>
          <w:sz w:val="24"/>
          <w:szCs w:val="24"/>
        </w:rPr>
        <w:t>“although there are evidently disputes of facts there are no ‘real’ disputes of fact if either party can succeed on the version of the other party”.</w:t>
      </w:r>
      <w:r w:rsidR="00793A3E" w:rsidRPr="00793A3E">
        <w:rPr>
          <w:rStyle w:val="FootnoteReference"/>
          <w:rFonts w:ascii="Arial" w:hAnsi="Arial" w:cs="Arial"/>
          <w:i/>
          <w:sz w:val="24"/>
          <w:szCs w:val="24"/>
        </w:rPr>
        <w:footnoteReference w:id="19"/>
      </w:r>
      <w:r w:rsidR="00793A3E" w:rsidRPr="00D33AC2">
        <w:rPr>
          <w:rFonts w:ascii="Arial" w:hAnsi="Arial" w:cs="Arial"/>
          <w:i/>
          <w:sz w:val="24"/>
          <w:szCs w:val="24"/>
        </w:rPr>
        <w:t xml:space="preserve">  </w:t>
      </w:r>
    </w:p>
    <w:p w14:paraId="65F35758" w14:textId="77777777" w:rsidR="00793A3E" w:rsidRPr="00793A3E" w:rsidRDefault="00793A3E" w:rsidP="00F009F9">
      <w:pPr>
        <w:pStyle w:val="ListParagraph"/>
        <w:spacing w:after="0" w:line="480" w:lineRule="auto"/>
        <w:ind w:left="709"/>
        <w:contextualSpacing w:val="0"/>
        <w:jc w:val="both"/>
        <w:rPr>
          <w:rFonts w:ascii="Arial" w:hAnsi="Arial" w:cs="Arial"/>
          <w:sz w:val="24"/>
          <w:szCs w:val="24"/>
        </w:rPr>
      </w:pPr>
    </w:p>
    <w:p w14:paraId="436AB55E" w14:textId="4F61949F" w:rsidR="00793A3E" w:rsidRPr="00D33AC2" w:rsidRDefault="00D33AC2" w:rsidP="00D33AC2">
      <w:pPr>
        <w:spacing w:after="0" w:line="480" w:lineRule="auto"/>
        <w:ind w:left="709" w:hanging="709"/>
        <w:jc w:val="both"/>
        <w:rPr>
          <w:rFonts w:ascii="Arial" w:hAnsi="Arial" w:cs="Arial"/>
          <w:sz w:val="24"/>
          <w:szCs w:val="24"/>
        </w:rPr>
      </w:pPr>
      <w:r w:rsidRPr="00793A3E">
        <w:rPr>
          <w:rFonts w:ascii="Arial" w:hAnsi="Arial" w:cs="Arial"/>
          <w:sz w:val="24"/>
          <w:szCs w:val="24"/>
        </w:rPr>
        <w:t>76.</w:t>
      </w:r>
      <w:r w:rsidRPr="00793A3E">
        <w:rPr>
          <w:rFonts w:ascii="Arial" w:hAnsi="Arial" w:cs="Arial"/>
          <w:sz w:val="24"/>
          <w:szCs w:val="24"/>
        </w:rPr>
        <w:tab/>
      </w:r>
      <w:r w:rsidR="00793A3E" w:rsidRPr="00D33AC2">
        <w:rPr>
          <w:rFonts w:ascii="Arial" w:hAnsi="Arial" w:cs="Arial"/>
          <w:sz w:val="24"/>
          <w:szCs w:val="24"/>
        </w:rPr>
        <w:t xml:space="preserve">The </w:t>
      </w:r>
      <w:r w:rsidR="00793A3E" w:rsidRPr="00D33AC2">
        <w:rPr>
          <w:rFonts w:ascii="Arial" w:hAnsi="Arial" w:cs="Arial"/>
          <w:b/>
          <w:i/>
          <w:sz w:val="24"/>
          <w:szCs w:val="24"/>
        </w:rPr>
        <w:t xml:space="preserve">Plascon Evans </w:t>
      </w:r>
      <w:r w:rsidR="00793A3E" w:rsidRPr="00D33AC2">
        <w:rPr>
          <w:rFonts w:ascii="Arial" w:hAnsi="Arial" w:cs="Arial"/>
          <w:sz w:val="24"/>
          <w:szCs w:val="24"/>
        </w:rPr>
        <w:t>rule is well known:</w:t>
      </w:r>
    </w:p>
    <w:p w14:paraId="6FBCAE4A" w14:textId="77777777" w:rsidR="00793A3E" w:rsidRPr="00793A3E" w:rsidRDefault="00793A3E" w:rsidP="00F009F9">
      <w:pPr>
        <w:pStyle w:val="ListParagraph"/>
        <w:spacing w:after="0" w:line="480" w:lineRule="auto"/>
        <w:contextualSpacing w:val="0"/>
        <w:rPr>
          <w:rFonts w:ascii="Arial" w:hAnsi="Arial" w:cs="Arial"/>
          <w:sz w:val="24"/>
          <w:szCs w:val="24"/>
        </w:rPr>
      </w:pPr>
    </w:p>
    <w:p w14:paraId="3477303D" w14:textId="77777777" w:rsidR="00793A3E" w:rsidRPr="00F009F9" w:rsidRDefault="00793A3E" w:rsidP="00F009F9">
      <w:pPr>
        <w:pStyle w:val="ListParagraph"/>
        <w:spacing w:after="0" w:line="360" w:lineRule="auto"/>
        <w:ind w:left="1440"/>
        <w:contextualSpacing w:val="0"/>
        <w:jc w:val="both"/>
        <w:rPr>
          <w:rFonts w:ascii="Arial" w:hAnsi="Arial" w:cs="Arial"/>
        </w:rPr>
      </w:pPr>
      <w:r w:rsidRPr="00F009F9">
        <w:rPr>
          <w:rFonts w:ascii="Arial" w:hAnsi="Arial" w:cs="Arial"/>
        </w:rPr>
        <w:t xml:space="preserve">“It is well established under the Plascon-Evans rule that where in motion proceedings disputes of fact arise on the affidavits, a final order can be granted only if the facts averred in the applicant’s … affidavits, which have been admitted by the respondent…, together with the facts alleged by the latter, justify such order.  It may be different if the respondent’s version consists of </w:t>
      </w:r>
      <w:r w:rsidRPr="00F009F9">
        <w:rPr>
          <w:rFonts w:ascii="Arial" w:hAnsi="Arial" w:cs="Arial"/>
        </w:rPr>
        <w:lastRenderedPageBreak/>
        <w:t>bald or uncreditworthy denials, raises fictitious disputes of facts, is palpably implausible, far-fetched or so clearly untenable that the court is justified in rejecting them merely on the papers”.</w:t>
      </w:r>
      <w:r w:rsidRPr="00F009F9">
        <w:rPr>
          <w:rStyle w:val="FootnoteReference"/>
          <w:rFonts w:ascii="Arial" w:hAnsi="Arial" w:cs="Arial"/>
        </w:rPr>
        <w:footnoteReference w:id="20"/>
      </w:r>
    </w:p>
    <w:p w14:paraId="5B82689A" w14:textId="77777777" w:rsidR="00793A3E" w:rsidRPr="00793A3E" w:rsidRDefault="00793A3E" w:rsidP="00F009F9">
      <w:pPr>
        <w:pStyle w:val="ListParagraph"/>
        <w:spacing w:after="0" w:line="480" w:lineRule="auto"/>
        <w:ind w:left="0"/>
        <w:contextualSpacing w:val="0"/>
        <w:jc w:val="both"/>
        <w:rPr>
          <w:rFonts w:ascii="Arial" w:hAnsi="Arial" w:cs="Arial"/>
          <w:b/>
          <w:sz w:val="24"/>
          <w:szCs w:val="24"/>
          <w:u w:val="single"/>
        </w:rPr>
      </w:pPr>
    </w:p>
    <w:p w14:paraId="34F3D0FC" w14:textId="77777777" w:rsidR="00364C8C" w:rsidRPr="00793A3E" w:rsidRDefault="00364C8C" w:rsidP="00F009F9">
      <w:pPr>
        <w:pStyle w:val="ListParagraph"/>
        <w:spacing w:after="0" w:line="480" w:lineRule="auto"/>
        <w:ind w:left="0"/>
        <w:contextualSpacing w:val="0"/>
        <w:jc w:val="both"/>
        <w:rPr>
          <w:rFonts w:ascii="Arial" w:hAnsi="Arial" w:cs="Arial"/>
          <w:b/>
          <w:sz w:val="24"/>
          <w:szCs w:val="24"/>
          <w:u w:val="single"/>
        </w:rPr>
      </w:pPr>
      <w:r w:rsidRPr="00793A3E">
        <w:rPr>
          <w:rFonts w:ascii="Arial" w:hAnsi="Arial" w:cs="Arial"/>
          <w:b/>
          <w:sz w:val="24"/>
          <w:szCs w:val="24"/>
          <w:u w:val="single"/>
        </w:rPr>
        <w:t>APPLICANT’S SUBMISSIONS RELEVANT TO THE CANCELLATION OF 5796</w:t>
      </w:r>
    </w:p>
    <w:p w14:paraId="08A522C0" w14:textId="77777777" w:rsidR="00364C8C" w:rsidRPr="00793A3E" w:rsidRDefault="00364C8C" w:rsidP="00F009F9">
      <w:pPr>
        <w:pStyle w:val="ListParagraph"/>
        <w:spacing w:after="0" w:line="480" w:lineRule="auto"/>
        <w:contextualSpacing w:val="0"/>
        <w:rPr>
          <w:rFonts w:ascii="Arial" w:hAnsi="Arial" w:cs="Arial"/>
          <w:sz w:val="24"/>
          <w:szCs w:val="24"/>
        </w:rPr>
      </w:pPr>
    </w:p>
    <w:p w14:paraId="4232D300" w14:textId="7A75F9B2" w:rsidR="007D42A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77.</w:t>
      </w:r>
      <w:r w:rsidRPr="00793A3E">
        <w:rPr>
          <w:rFonts w:ascii="Arial" w:hAnsi="Arial" w:cs="Arial"/>
          <w:sz w:val="24"/>
          <w:szCs w:val="24"/>
        </w:rPr>
        <w:tab/>
      </w:r>
      <w:r w:rsidR="00364C8C" w:rsidRPr="00D33AC2">
        <w:rPr>
          <w:rFonts w:ascii="Arial" w:hAnsi="Arial" w:cs="Arial"/>
          <w:sz w:val="24"/>
          <w:szCs w:val="24"/>
        </w:rPr>
        <w:t xml:space="preserve"> </w:t>
      </w:r>
      <w:r w:rsidR="007D42AA" w:rsidRPr="00D33AC2">
        <w:rPr>
          <w:rFonts w:ascii="Arial" w:hAnsi="Arial" w:cs="Arial"/>
          <w:sz w:val="24"/>
          <w:szCs w:val="24"/>
        </w:rPr>
        <w:t xml:space="preserve">It is argued that this bid should have been valid until 20 August 2019, that is closing date 28 May 2019 together with a validity period of twelve weeks.  SKG alleges that it made an enquiry in this regard with Eskom on 28 August 2019 (after the validity date) and was advised that the tender would be awarded to a competitor on 29 August 2019, this not being denied in answer by Eskom.  As set out above, however, this was not in fact awarded and was purportedly cancelled on 10 September 2019.  </w:t>
      </w:r>
    </w:p>
    <w:p w14:paraId="32D58A22" w14:textId="77777777" w:rsidR="007D42AA" w:rsidRPr="00793A3E" w:rsidRDefault="007D42AA" w:rsidP="00F009F9">
      <w:pPr>
        <w:pStyle w:val="ListParagraph"/>
        <w:spacing w:after="0" w:line="480" w:lineRule="auto"/>
        <w:contextualSpacing w:val="0"/>
        <w:jc w:val="both"/>
        <w:rPr>
          <w:rFonts w:ascii="Arial" w:hAnsi="Arial" w:cs="Arial"/>
          <w:sz w:val="24"/>
          <w:szCs w:val="24"/>
        </w:rPr>
      </w:pPr>
    </w:p>
    <w:p w14:paraId="4520F9BE" w14:textId="0468FE74" w:rsidR="00364C8C"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78.</w:t>
      </w:r>
      <w:r w:rsidRPr="00793A3E">
        <w:rPr>
          <w:rFonts w:ascii="Arial" w:hAnsi="Arial" w:cs="Arial"/>
          <w:sz w:val="24"/>
          <w:szCs w:val="24"/>
        </w:rPr>
        <w:tab/>
      </w:r>
      <w:r w:rsidR="007D42AA" w:rsidRPr="00D33AC2">
        <w:rPr>
          <w:rFonts w:ascii="Arial" w:hAnsi="Arial" w:cs="Arial"/>
          <w:sz w:val="24"/>
          <w:szCs w:val="24"/>
        </w:rPr>
        <w:t>Eskom contends that the bid validity period having expired</w:t>
      </w:r>
      <w:r w:rsidR="009637E3" w:rsidRPr="00D33AC2">
        <w:rPr>
          <w:rFonts w:ascii="Arial" w:hAnsi="Arial" w:cs="Arial"/>
          <w:sz w:val="24"/>
          <w:szCs w:val="24"/>
        </w:rPr>
        <w:t>,</w:t>
      </w:r>
      <w:r w:rsidR="007D42AA" w:rsidRPr="00D33AC2">
        <w:rPr>
          <w:rFonts w:ascii="Arial" w:hAnsi="Arial" w:cs="Arial"/>
          <w:sz w:val="24"/>
          <w:szCs w:val="24"/>
        </w:rPr>
        <w:t xml:space="preserve"> there was no cancellation</w:t>
      </w:r>
      <w:r w:rsidR="005C3214" w:rsidRPr="00D33AC2">
        <w:rPr>
          <w:rFonts w:ascii="Arial" w:hAnsi="Arial" w:cs="Arial"/>
          <w:sz w:val="24"/>
          <w:szCs w:val="24"/>
        </w:rPr>
        <w:t>,</w:t>
      </w:r>
      <w:r w:rsidR="007D42AA" w:rsidRPr="00D33AC2">
        <w:rPr>
          <w:rFonts w:ascii="Arial" w:hAnsi="Arial" w:cs="Arial"/>
          <w:sz w:val="24"/>
          <w:szCs w:val="24"/>
        </w:rPr>
        <w:t xml:space="preserve"> which </w:t>
      </w:r>
      <w:r w:rsidR="005C3214" w:rsidRPr="00D33AC2">
        <w:rPr>
          <w:rFonts w:ascii="Arial" w:hAnsi="Arial" w:cs="Arial"/>
          <w:sz w:val="24"/>
          <w:szCs w:val="24"/>
        </w:rPr>
        <w:t xml:space="preserve">contention </w:t>
      </w:r>
      <w:r w:rsidR="007D42AA" w:rsidRPr="00D33AC2">
        <w:rPr>
          <w:rFonts w:ascii="Arial" w:hAnsi="Arial" w:cs="Arial"/>
          <w:sz w:val="24"/>
          <w:szCs w:val="24"/>
        </w:rPr>
        <w:t>SKG challenges.  Eskom’s deponent alleges that 5796 simply lapsed as he was unable to keep abreast of all the tender processes and having realised that the validity period had lapsed</w:t>
      </w:r>
      <w:r w:rsidR="009637E3" w:rsidRPr="00D33AC2">
        <w:rPr>
          <w:rFonts w:ascii="Arial" w:hAnsi="Arial" w:cs="Arial"/>
          <w:sz w:val="24"/>
          <w:szCs w:val="24"/>
        </w:rPr>
        <w:t>,</w:t>
      </w:r>
      <w:r w:rsidR="007D42AA" w:rsidRPr="00D33AC2">
        <w:rPr>
          <w:rFonts w:ascii="Arial" w:hAnsi="Arial" w:cs="Arial"/>
          <w:sz w:val="24"/>
          <w:szCs w:val="24"/>
        </w:rPr>
        <w:t xml:space="preserve"> he issued a notice of cancellation on 10 September 2019.  This was followed by </w:t>
      </w:r>
      <w:r w:rsidR="005C3214" w:rsidRPr="00D33AC2">
        <w:rPr>
          <w:rFonts w:ascii="Arial" w:hAnsi="Arial" w:cs="Arial"/>
          <w:sz w:val="24"/>
          <w:szCs w:val="24"/>
        </w:rPr>
        <w:t xml:space="preserve">the </w:t>
      </w:r>
      <w:r w:rsidR="007D42AA" w:rsidRPr="00D33AC2">
        <w:rPr>
          <w:rFonts w:ascii="Arial" w:hAnsi="Arial" w:cs="Arial"/>
          <w:sz w:val="24"/>
          <w:szCs w:val="24"/>
        </w:rPr>
        <w:t xml:space="preserve">5818 issue on 19 September 2019 for the same subject matter.  </w:t>
      </w:r>
    </w:p>
    <w:p w14:paraId="1D19BB21" w14:textId="77777777" w:rsidR="007D42AA" w:rsidRPr="00793A3E" w:rsidRDefault="007D42AA" w:rsidP="00F009F9">
      <w:pPr>
        <w:pStyle w:val="ListParagraph"/>
        <w:spacing w:after="0" w:line="480" w:lineRule="auto"/>
        <w:contextualSpacing w:val="0"/>
        <w:rPr>
          <w:rFonts w:ascii="Arial" w:hAnsi="Arial" w:cs="Arial"/>
          <w:sz w:val="24"/>
          <w:szCs w:val="24"/>
        </w:rPr>
      </w:pPr>
    </w:p>
    <w:p w14:paraId="7F2C90F0" w14:textId="556E762B" w:rsidR="007D42A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79.</w:t>
      </w:r>
      <w:r w:rsidRPr="00793A3E">
        <w:rPr>
          <w:rFonts w:ascii="Arial" w:hAnsi="Arial" w:cs="Arial"/>
          <w:sz w:val="24"/>
          <w:szCs w:val="24"/>
        </w:rPr>
        <w:tab/>
      </w:r>
      <w:r w:rsidR="007D42AA" w:rsidRPr="00D33AC2">
        <w:rPr>
          <w:rFonts w:ascii="Arial" w:hAnsi="Arial" w:cs="Arial"/>
          <w:sz w:val="24"/>
          <w:szCs w:val="24"/>
        </w:rPr>
        <w:t>SKG’s challenge depends on the argument that the version given by Eskom stands in contrast to its correspondence from which it appears that Eskom took a decision to cancel 5796</w:t>
      </w:r>
      <w:r w:rsidR="005C3214" w:rsidRPr="00D33AC2">
        <w:rPr>
          <w:rFonts w:ascii="Arial" w:hAnsi="Arial" w:cs="Arial"/>
          <w:sz w:val="24"/>
          <w:szCs w:val="24"/>
        </w:rPr>
        <w:t>,</w:t>
      </w:r>
      <w:r w:rsidR="007D42AA" w:rsidRPr="00D33AC2">
        <w:rPr>
          <w:rFonts w:ascii="Arial" w:hAnsi="Arial" w:cs="Arial"/>
          <w:sz w:val="24"/>
          <w:szCs w:val="24"/>
        </w:rPr>
        <w:t xml:space="preserve"> which decision it gave effect to on 10 September 2019.  SKG argues that 5796 was not cancelled in terms of </w:t>
      </w:r>
      <w:r w:rsidR="007D42AA" w:rsidRPr="00D33AC2">
        <w:rPr>
          <w:rFonts w:ascii="Arial" w:hAnsi="Arial" w:cs="Arial"/>
          <w:sz w:val="24"/>
          <w:szCs w:val="24"/>
        </w:rPr>
        <w:lastRenderedPageBreak/>
        <w:t xml:space="preserve">regulation 13 of the Procurement Regulations 2017, was unlawful and should be set aside.  </w:t>
      </w:r>
    </w:p>
    <w:p w14:paraId="6BC150FA" w14:textId="77777777" w:rsidR="007D42AA" w:rsidRPr="00793A3E" w:rsidRDefault="007D42AA" w:rsidP="00F009F9">
      <w:pPr>
        <w:pStyle w:val="ListParagraph"/>
        <w:spacing w:after="0" w:line="480" w:lineRule="auto"/>
        <w:contextualSpacing w:val="0"/>
        <w:rPr>
          <w:rFonts w:ascii="Arial" w:hAnsi="Arial" w:cs="Arial"/>
          <w:sz w:val="24"/>
          <w:szCs w:val="24"/>
        </w:rPr>
      </w:pPr>
    </w:p>
    <w:p w14:paraId="724C8885" w14:textId="77777777" w:rsidR="007D42AA" w:rsidRPr="00793A3E" w:rsidRDefault="007D42AA" w:rsidP="00F009F9">
      <w:pPr>
        <w:pStyle w:val="ListParagraph"/>
        <w:spacing w:after="0" w:line="480" w:lineRule="auto"/>
        <w:ind w:left="0"/>
        <w:contextualSpacing w:val="0"/>
        <w:rPr>
          <w:rFonts w:ascii="Arial" w:hAnsi="Arial" w:cs="Arial"/>
          <w:b/>
          <w:sz w:val="24"/>
          <w:szCs w:val="24"/>
          <w:u w:val="single"/>
        </w:rPr>
      </w:pPr>
      <w:r w:rsidRPr="00793A3E">
        <w:rPr>
          <w:rFonts w:ascii="Arial" w:hAnsi="Arial" w:cs="Arial"/>
          <w:b/>
          <w:sz w:val="24"/>
          <w:szCs w:val="24"/>
          <w:u w:val="single"/>
        </w:rPr>
        <w:t>APPLICANT’S SUBMISSIONS IN RESPECT OF THE CANCELLATION OF 5817</w:t>
      </w:r>
    </w:p>
    <w:p w14:paraId="7D1E4056" w14:textId="77777777" w:rsidR="007D42AA" w:rsidRPr="00793A3E" w:rsidRDefault="007D42AA" w:rsidP="00F009F9">
      <w:pPr>
        <w:pStyle w:val="ListParagraph"/>
        <w:spacing w:after="0" w:line="480" w:lineRule="auto"/>
        <w:contextualSpacing w:val="0"/>
        <w:rPr>
          <w:rFonts w:ascii="Arial" w:hAnsi="Arial" w:cs="Arial"/>
          <w:b/>
          <w:sz w:val="24"/>
          <w:szCs w:val="24"/>
          <w:u w:val="single"/>
        </w:rPr>
      </w:pPr>
    </w:p>
    <w:p w14:paraId="0C972459" w14:textId="56956385" w:rsidR="007D42A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80.</w:t>
      </w:r>
      <w:r w:rsidRPr="00793A3E">
        <w:rPr>
          <w:rFonts w:ascii="Arial" w:hAnsi="Arial" w:cs="Arial"/>
          <w:sz w:val="24"/>
          <w:szCs w:val="24"/>
        </w:rPr>
        <w:tab/>
      </w:r>
      <w:r w:rsidR="007D42AA" w:rsidRPr="00D33AC2">
        <w:rPr>
          <w:rFonts w:ascii="Arial" w:hAnsi="Arial" w:cs="Arial"/>
          <w:sz w:val="24"/>
          <w:szCs w:val="24"/>
        </w:rPr>
        <w:t xml:space="preserve">Applicant contends that the bid would have been valid until 6 January 2020 (closing date 6 October 2019 together with ninety days).  </w:t>
      </w:r>
    </w:p>
    <w:p w14:paraId="1D5A1C9D" w14:textId="77777777" w:rsidR="007D42AA" w:rsidRPr="00793A3E" w:rsidRDefault="007D42AA" w:rsidP="00F009F9">
      <w:pPr>
        <w:pStyle w:val="ListParagraph"/>
        <w:spacing w:after="0" w:line="480" w:lineRule="auto"/>
        <w:contextualSpacing w:val="0"/>
        <w:jc w:val="both"/>
        <w:rPr>
          <w:rFonts w:ascii="Arial" w:hAnsi="Arial" w:cs="Arial"/>
          <w:sz w:val="24"/>
          <w:szCs w:val="24"/>
        </w:rPr>
      </w:pPr>
    </w:p>
    <w:p w14:paraId="250861F1" w14:textId="47A681F0" w:rsidR="007D42A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81.</w:t>
      </w:r>
      <w:r w:rsidRPr="00793A3E">
        <w:rPr>
          <w:rFonts w:ascii="Arial" w:hAnsi="Arial" w:cs="Arial"/>
          <w:sz w:val="24"/>
          <w:szCs w:val="24"/>
        </w:rPr>
        <w:tab/>
      </w:r>
      <w:r w:rsidR="007D42AA" w:rsidRPr="00D33AC2">
        <w:rPr>
          <w:rFonts w:ascii="Arial" w:hAnsi="Arial" w:cs="Arial"/>
          <w:sz w:val="24"/>
          <w:szCs w:val="24"/>
        </w:rPr>
        <w:t xml:space="preserve">It seems to be common cause that SKG contacted Eskom on 12 December 2019 enquiring about 5817 and was advised by Mr. Subramony that 5817 would be cancelled.  It was in fact purportedly cancelled on 9 January 2020.  SKG challenges this decision on the basis that it did not accord with regulation 13 of the Procurement Regulations 2017.  </w:t>
      </w:r>
    </w:p>
    <w:p w14:paraId="4DA22926" w14:textId="77777777" w:rsidR="007D42AA" w:rsidRPr="00793A3E" w:rsidRDefault="007D42AA" w:rsidP="00F009F9">
      <w:pPr>
        <w:pStyle w:val="ListParagraph"/>
        <w:spacing w:after="0" w:line="480" w:lineRule="auto"/>
        <w:contextualSpacing w:val="0"/>
        <w:rPr>
          <w:rFonts w:ascii="Arial" w:hAnsi="Arial" w:cs="Arial"/>
          <w:sz w:val="24"/>
          <w:szCs w:val="24"/>
        </w:rPr>
      </w:pPr>
    </w:p>
    <w:p w14:paraId="61118566" w14:textId="40CF6F58" w:rsidR="007D42A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82.</w:t>
      </w:r>
      <w:r w:rsidRPr="00793A3E">
        <w:rPr>
          <w:rFonts w:ascii="Arial" w:hAnsi="Arial" w:cs="Arial"/>
          <w:sz w:val="24"/>
          <w:szCs w:val="24"/>
        </w:rPr>
        <w:tab/>
      </w:r>
      <w:r w:rsidR="007D42AA" w:rsidRPr="00D33AC2">
        <w:rPr>
          <w:rFonts w:ascii="Arial" w:hAnsi="Arial" w:cs="Arial"/>
          <w:sz w:val="24"/>
          <w:szCs w:val="24"/>
        </w:rPr>
        <w:t>Eskom contends</w:t>
      </w:r>
      <w:r w:rsidR="005C3214" w:rsidRPr="00D33AC2">
        <w:rPr>
          <w:rFonts w:ascii="Arial" w:hAnsi="Arial" w:cs="Arial"/>
          <w:sz w:val="24"/>
          <w:szCs w:val="24"/>
        </w:rPr>
        <w:t>, however,</w:t>
      </w:r>
      <w:r w:rsidR="007D42AA" w:rsidRPr="00D33AC2">
        <w:rPr>
          <w:rFonts w:ascii="Arial" w:hAnsi="Arial" w:cs="Arial"/>
          <w:sz w:val="24"/>
          <w:szCs w:val="24"/>
        </w:rPr>
        <w:t xml:space="preserve"> that the decision to cancel was made in accordance with regulation 13(1)(a) whilst SKG questions the “</w:t>
      </w:r>
      <w:r w:rsidR="007D42AA" w:rsidRPr="00D33AC2">
        <w:rPr>
          <w:rFonts w:ascii="Arial" w:hAnsi="Arial" w:cs="Arial"/>
          <w:i/>
          <w:sz w:val="24"/>
          <w:szCs w:val="24"/>
        </w:rPr>
        <w:t xml:space="preserve">sudden change in circumstances”.  </w:t>
      </w:r>
    </w:p>
    <w:p w14:paraId="783777C9" w14:textId="77777777" w:rsidR="007D42AA" w:rsidRPr="00793A3E" w:rsidRDefault="007D42AA" w:rsidP="00F009F9">
      <w:pPr>
        <w:pStyle w:val="ListParagraph"/>
        <w:spacing w:after="0" w:line="480" w:lineRule="auto"/>
        <w:contextualSpacing w:val="0"/>
        <w:rPr>
          <w:rFonts w:ascii="Arial" w:hAnsi="Arial" w:cs="Arial"/>
          <w:sz w:val="24"/>
          <w:szCs w:val="24"/>
        </w:rPr>
      </w:pPr>
    </w:p>
    <w:p w14:paraId="02FB6324" w14:textId="64267BED" w:rsidR="007D42A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83.</w:t>
      </w:r>
      <w:r w:rsidRPr="00793A3E">
        <w:rPr>
          <w:rFonts w:ascii="Arial" w:hAnsi="Arial" w:cs="Arial"/>
          <w:sz w:val="24"/>
          <w:szCs w:val="24"/>
        </w:rPr>
        <w:tab/>
      </w:r>
      <w:r w:rsidR="007D42AA" w:rsidRPr="00D33AC2">
        <w:rPr>
          <w:rFonts w:ascii="Arial" w:hAnsi="Arial" w:cs="Arial"/>
          <w:sz w:val="24"/>
          <w:szCs w:val="24"/>
        </w:rPr>
        <w:t xml:space="preserve">Eskom counters with the argument that the validity period in any event expired before 5817 was cancelled.  </w:t>
      </w:r>
    </w:p>
    <w:p w14:paraId="01171F25" w14:textId="77777777" w:rsidR="007D42AA" w:rsidRPr="00793A3E" w:rsidRDefault="007D42AA" w:rsidP="00F009F9">
      <w:pPr>
        <w:pStyle w:val="ListParagraph"/>
        <w:spacing w:after="0" w:line="480" w:lineRule="auto"/>
        <w:contextualSpacing w:val="0"/>
        <w:rPr>
          <w:rFonts w:ascii="Arial" w:hAnsi="Arial" w:cs="Arial"/>
          <w:sz w:val="24"/>
          <w:szCs w:val="24"/>
        </w:rPr>
      </w:pPr>
    </w:p>
    <w:p w14:paraId="6F12715C" w14:textId="17E151B8" w:rsidR="007D42A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84.</w:t>
      </w:r>
      <w:r w:rsidRPr="00793A3E">
        <w:rPr>
          <w:rFonts w:ascii="Arial" w:hAnsi="Arial" w:cs="Arial"/>
          <w:sz w:val="24"/>
          <w:szCs w:val="24"/>
        </w:rPr>
        <w:tab/>
      </w:r>
      <w:r w:rsidR="007D42AA" w:rsidRPr="00D33AC2">
        <w:rPr>
          <w:rFonts w:ascii="Arial" w:hAnsi="Arial" w:cs="Arial"/>
          <w:sz w:val="24"/>
          <w:szCs w:val="24"/>
        </w:rPr>
        <w:t xml:space="preserve">At the end of the day applicant argues that the purported cancellation was unlawful and was not in accordance with regulation 13 and should be set aside.  </w:t>
      </w:r>
    </w:p>
    <w:p w14:paraId="3193B99F" w14:textId="77777777" w:rsidR="007D42AA" w:rsidRPr="00793A3E" w:rsidRDefault="007D42AA" w:rsidP="00F009F9">
      <w:pPr>
        <w:pStyle w:val="ListParagraph"/>
        <w:spacing w:after="0" w:line="480" w:lineRule="auto"/>
        <w:contextualSpacing w:val="0"/>
        <w:rPr>
          <w:rFonts w:ascii="Arial" w:hAnsi="Arial" w:cs="Arial"/>
          <w:sz w:val="24"/>
          <w:szCs w:val="24"/>
        </w:rPr>
      </w:pPr>
    </w:p>
    <w:p w14:paraId="0B44E274" w14:textId="77777777" w:rsidR="005C3214" w:rsidRPr="00793A3E" w:rsidRDefault="005C3214" w:rsidP="00F009F9">
      <w:pPr>
        <w:pStyle w:val="ListParagraph"/>
        <w:spacing w:after="0" w:line="480" w:lineRule="auto"/>
        <w:ind w:left="0"/>
        <w:contextualSpacing w:val="0"/>
        <w:rPr>
          <w:rFonts w:ascii="Arial" w:hAnsi="Arial" w:cs="Arial"/>
          <w:b/>
          <w:sz w:val="24"/>
          <w:szCs w:val="24"/>
          <w:u w:val="single"/>
        </w:rPr>
      </w:pPr>
      <w:r w:rsidRPr="00793A3E">
        <w:rPr>
          <w:rFonts w:ascii="Arial" w:hAnsi="Arial" w:cs="Arial"/>
          <w:b/>
          <w:sz w:val="24"/>
          <w:szCs w:val="24"/>
          <w:u w:val="single"/>
        </w:rPr>
        <w:t>THE TWO BID ISSUE</w:t>
      </w:r>
      <w:r w:rsidR="009637E3">
        <w:rPr>
          <w:rFonts w:ascii="Arial" w:hAnsi="Arial" w:cs="Arial"/>
          <w:b/>
          <w:sz w:val="24"/>
          <w:szCs w:val="24"/>
          <w:u w:val="single"/>
        </w:rPr>
        <w:t>S</w:t>
      </w:r>
      <w:r w:rsidRPr="00793A3E">
        <w:rPr>
          <w:rFonts w:ascii="Arial" w:hAnsi="Arial" w:cs="Arial"/>
          <w:b/>
          <w:sz w:val="24"/>
          <w:szCs w:val="24"/>
          <w:u w:val="single"/>
        </w:rPr>
        <w:t xml:space="preserve"> ON 5818</w:t>
      </w:r>
    </w:p>
    <w:p w14:paraId="6CB03FE0" w14:textId="77777777" w:rsidR="005C3214" w:rsidRPr="00793A3E" w:rsidRDefault="005C3214" w:rsidP="00F009F9">
      <w:pPr>
        <w:pStyle w:val="ListParagraph"/>
        <w:spacing w:after="0" w:line="480" w:lineRule="auto"/>
        <w:ind w:left="0"/>
        <w:contextualSpacing w:val="0"/>
        <w:rPr>
          <w:rFonts w:ascii="Arial" w:hAnsi="Arial" w:cs="Arial"/>
          <w:b/>
          <w:sz w:val="24"/>
          <w:szCs w:val="24"/>
          <w:u w:val="single"/>
        </w:rPr>
      </w:pPr>
    </w:p>
    <w:p w14:paraId="408F5602" w14:textId="33D75B3C" w:rsidR="004E7888"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lastRenderedPageBreak/>
        <w:t>85.</w:t>
      </w:r>
      <w:r w:rsidRPr="00793A3E">
        <w:rPr>
          <w:rFonts w:ascii="Arial" w:hAnsi="Arial" w:cs="Arial"/>
          <w:sz w:val="24"/>
          <w:szCs w:val="24"/>
        </w:rPr>
        <w:tab/>
      </w:r>
      <w:r w:rsidR="004E7888" w:rsidRPr="00D33AC2">
        <w:rPr>
          <w:rFonts w:ascii="Arial" w:hAnsi="Arial" w:cs="Arial"/>
          <w:sz w:val="24"/>
          <w:szCs w:val="24"/>
        </w:rPr>
        <w:t>Finally, applicant joins issue with Eskom’s contention</w:t>
      </w:r>
      <w:r w:rsidR="005C3214" w:rsidRPr="00D33AC2">
        <w:rPr>
          <w:rFonts w:ascii="Arial" w:hAnsi="Arial" w:cs="Arial"/>
          <w:sz w:val="24"/>
          <w:szCs w:val="24"/>
        </w:rPr>
        <w:t>,</w:t>
      </w:r>
      <w:r w:rsidR="004E7888" w:rsidRPr="00D33AC2">
        <w:rPr>
          <w:rFonts w:ascii="Arial" w:hAnsi="Arial" w:cs="Arial"/>
          <w:sz w:val="24"/>
          <w:szCs w:val="24"/>
        </w:rPr>
        <w:t xml:space="preserve"> put up in the application for the first time</w:t>
      </w:r>
      <w:r w:rsidR="005C3214" w:rsidRPr="00D33AC2">
        <w:rPr>
          <w:rFonts w:ascii="Arial" w:hAnsi="Arial" w:cs="Arial"/>
          <w:sz w:val="24"/>
          <w:szCs w:val="24"/>
        </w:rPr>
        <w:t>,</w:t>
      </w:r>
      <w:r w:rsidR="004E7888" w:rsidRPr="00D33AC2">
        <w:rPr>
          <w:rFonts w:ascii="Arial" w:hAnsi="Arial" w:cs="Arial"/>
          <w:sz w:val="24"/>
          <w:szCs w:val="24"/>
        </w:rPr>
        <w:t xml:space="preserve"> that the SKG bids were ineligible because SKG’s submitted two bids in contravention of clause 1.2 of the Tender Dat</w:t>
      </w:r>
      <w:r w:rsidR="005C3214" w:rsidRPr="00D33AC2">
        <w:rPr>
          <w:rFonts w:ascii="Arial" w:hAnsi="Arial" w:cs="Arial"/>
          <w:sz w:val="24"/>
          <w:szCs w:val="24"/>
        </w:rPr>
        <w:t xml:space="preserve">a </w:t>
      </w:r>
      <w:r w:rsidR="004E7888" w:rsidRPr="00D33AC2">
        <w:rPr>
          <w:rFonts w:ascii="Arial" w:hAnsi="Arial" w:cs="Arial"/>
          <w:sz w:val="24"/>
          <w:szCs w:val="24"/>
        </w:rPr>
        <w:t xml:space="preserve">in the tender invitation and clause 2.23 of the standard conditions of tender.  </w:t>
      </w:r>
    </w:p>
    <w:p w14:paraId="55E35847" w14:textId="77777777" w:rsidR="004E7888" w:rsidRPr="00793A3E" w:rsidRDefault="004E7888" w:rsidP="00F009F9">
      <w:pPr>
        <w:pStyle w:val="ListParagraph"/>
        <w:spacing w:after="0" w:line="480" w:lineRule="auto"/>
        <w:contextualSpacing w:val="0"/>
        <w:rPr>
          <w:rFonts w:ascii="Arial" w:hAnsi="Arial" w:cs="Arial"/>
          <w:sz w:val="24"/>
          <w:szCs w:val="24"/>
        </w:rPr>
      </w:pPr>
    </w:p>
    <w:p w14:paraId="0DBE758F" w14:textId="1B0952E2" w:rsidR="004E7888"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86.</w:t>
      </w:r>
      <w:r w:rsidRPr="00793A3E">
        <w:rPr>
          <w:rFonts w:ascii="Arial" w:hAnsi="Arial" w:cs="Arial"/>
          <w:sz w:val="24"/>
          <w:szCs w:val="24"/>
        </w:rPr>
        <w:tab/>
      </w:r>
      <w:r w:rsidR="004E7888" w:rsidRPr="00D33AC2">
        <w:rPr>
          <w:rFonts w:ascii="Arial" w:hAnsi="Arial" w:cs="Arial"/>
          <w:sz w:val="24"/>
          <w:szCs w:val="24"/>
        </w:rPr>
        <w:t xml:space="preserve">Applicant contends that the factual background to this is that the two bids which were indeed submitted, were in respect of two different buildings.  It is argued that the requirement relied upon by Eskom does not prohibit two tenders for two separate buildings but is aimed at prohibiting two different tenders for one building by the same bidder or two separate tenders in respect of the same building by two different tenderers, one of them being a joint venture with the other.  In short it is argued that the prohibition does not apply to </w:t>
      </w:r>
      <w:r w:rsidR="005C3214" w:rsidRPr="00D33AC2">
        <w:rPr>
          <w:rFonts w:ascii="Arial" w:hAnsi="Arial" w:cs="Arial"/>
          <w:sz w:val="24"/>
          <w:szCs w:val="24"/>
        </w:rPr>
        <w:t xml:space="preserve">the </w:t>
      </w:r>
      <w:r w:rsidR="004E7888" w:rsidRPr="00D33AC2">
        <w:rPr>
          <w:rFonts w:ascii="Arial" w:hAnsi="Arial" w:cs="Arial"/>
          <w:sz w:val="24"/>
          <w:szCs w:val="24"/>
        </w:rPr>
        <w:t xml:space="preserve">SKG </w:t>
      </w:r>
      <w:r w:rsidR="005C3214" w:rsidRPr="00D33AC2">
        <w:rPr>
          <w:rFonts w:ascii="Arial" w:hAnsi="Arial" w:cs="Arial"/>
          <w:sz w:val="24"/>
          <w:szCs w:val="24"/>
        </w:rPr>
        <w:t xml:space="preserve">bid </w:t>
      </w:r>
      <w:r w:rsidR="004E7888" w:rsidRPr="00D33AC2">
        <w:rPr>
          <w:rFonts w:ascii="Arial" w:hAnsi="Arial" w:cs="Arial"/>
          <w:sz w:val="24"/>
          <w:szCs w:val="24"/>
        </w:rPr>
        <w:t xml:space="preserve">and that it is borne out by the fact that Eskom did not disqualify SKG during the bid evaluation on this basis.  Regard is also had to the fact that this is not supported by clause 2.23 of Eskom’s conditions of tender.  </w:t>
      </w:r>
    </w:p>
    <w:p w14:paraId="5EB0B9A7" w14:textId="77777777" w:rsidR="004E7888" w:rsidRPr="00793A3E" w:rsidRDefault="004E7888" w:rsidP="00F009F9">
      <w:pPr>
        <w:pStyle w:val="ListParagraph"/>
        <w:spacing w:after="0" w:line="480" w:lineRule="auto"/>
        <w:contextualSpacing w:val="0"/>
        <w:rPr>
          <w:rFonts w:ascii="Arial" w:hAnsi="Arial" w:cs="Arial"/>
          <w:sz w:val="24"/>
          <w:szCs w:val="24"/>
        </w:rPr>
      </w:pPr>
    </w:p>
    <w:p w14:paraId="3CCF192E" w14:textId="77777777" w:rsidR="005C3214" w:rsidRDefault="005C3214" w:rsidP="00F009F9">
      <w:pPr>
        <w:pStyle w:val="ListParagraph"/>
        <w:spacing w:after="0" w:line="480" w:lineRule="auto"/>
        <w:ind w:left="0"/>
        <w:contextualSpacing w:val="0"/>
        <w:rPr>
          <w:rFonts w:ascii="Arial" w:hAnsi="Arial" w:cs="Arial"/>
          <w:b/>
          <w:sz w:val="24"/>
          <w:szCs w:val="24"/>
          <w:u w:val="single"/>
        </w:rPr>
      </w:pPr>
      <w:r w:rsidRPr="00793A3E">
        <w:rPr>
          <w:rFonts w:ascii="Arial" w:hAnsi="Arial" w:cs="Arial"/>
          <w:b/>
          <w:sz w:val="24"/>
          <w:szCs w:val="24"/>
          <w:u w:val="single"/>
        </w:rPr>
        <w:t>THE EXTENSION OF TIME ISSUE</w:t>
      </w:r>
    </w:p>
    <w:p w14:paraId="7005C78F" w14:textId="77777777" w:rsidR="004C170A" w:rsidRPr="00793A3E" w:rsidRDefault="004C170A" w:rsidP="00F009F9">
      <w:pPr>
        <w:pStyle w:val="ListParagraph"/>
        <w:spacing w:after="0" w:line="480" w:lineRule="auto"/>
        <w:ind w:left="0"/>
        <w:contextualSpacing w:val="0"/>
        <w:rPr>
          <w:rFonts w:ascii="Arial" w:hAnsi="Arial" w:cs="Arial"/>
          <w:b/>
          <w:sz w:val="24"/>
          <w:szCs w:val="24"/>
          <w:u w:val="single"/>
        </w:rPr>
      </w:pPr>
    </w:p>
    <w:p w14:paraId="28C5AE97" w14:textId="133EBBE0" w:rsidR="004E7888"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87.</w:t>
      </w:r>
      <w:r w:rsidRPr="00793A3E">
        <w:rPr>
          <w:rFonts w:ascii="Arial" w:hAnsi="Arial" w:cs="Arial"/>
          <w:sz w:val="24"/>
          <w:szCs w:val="24"/>
        </w:rPr>
        <w:tab/>
      </w:r>
      <w:r w:rsidR="004E7888" w:rsidRPr="00D33AC2">
        <w:rPr>
          <w:rFonts w:ascii="Arial" w:hAnsi="Arial" w:cs="Arial"/>
          <w:sz w:val="24"/>
          <w:szCs w:val="24"/>
        </w:rPr>
        <w:t xml:space="preserve">Finally, applicant addresses the </w:t>
      </w:r>
      <w:r w:rsidR="00C33605" w:rsidRPr="00D33AC2">
        <w:rPr>
          <w:rFonts w:ascii="Arial" w:hAnsi="Arial" w:cs="Arial"/>
          <w:sz w:val="24"/>
          <w:szCs w:val="24"/>
        </w:rPr>
        <w:t>extension</w:t>
      </w:r>
      <w:r w:rsidR="004E7888" w:rsidRPr="00D33AC2">
        <w:rPr>
          <w:rFonts w:ascii="Arial" w:hAnsi="Arial" w:cs="Arial"/>
          <w:sz w:val="24"/>
          <w:szCs w:val="24"/>
        </w:rPr>
        <w:t xml:space="preserve"> of time (condonation) argument.  </w:t>
      </w:r>
    </w:p>
    <w:p w14:paraId="42C7913A" w14:textId="77777777" w:rsidR="004E7888" w:rsidRPr="00793A3E" w:rsidRDefault="004E7888" w:rsidP="00F009F9">
      <w:pPr>
        <w:pStyle w:val="ListParagraph"/>
        <w:spacing w:after="0" w:line="480" w:lineRule="auto"/>
        <w:contextualSpacing w:val="0"/>
        <w:rPr>
          <w:rFonts w:ascii="Arial" w:hAnsi="Arial" w:cs="Arial"/>
          <w:sz w:val="24"/>
          <w:szCs w:val="24"/>
        </w:rPr>
      </w:pPr>
    </w:p>
    <w:p w14:paraId="7D1B24A6" w14:textId="281E44E7" w:rsidR="00C3360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88.</w:t>
      </w:r>
      <w:r w:rsidRPr="00793A3E">
        <w:rPr>
          <w:rFonts w:ascii="Arial" w:hAnsi="Arial" w:cs="Arial"/>
          <w:sz w:val="24"/>
          <w:szCs w:val="24"/>
        </w:rPr>
        <w:tab/>
      </w:r>
      <w:r w:rsidR="004E7888" w:rsidRPr="00D33AC2">
        <w:rPr>
          <w:rFonts w:ascii="Arial" w:hAnsi="Arial" w:cs="Arial"/>
          <w:sz w:val="24"/>
          <w:szCs w:val="24"/>
        </w:rPr>
        <w:t>In short, SKG</w:t>
      </w:r>
      <w:r w:rsidR="00C33605" w:rsidRPr="00D33AC2">
        <w:rPr>
          <w:rFonts w:ascii="Arial" w:hAnsi="Arial" w:cs="Arial"/>
          <w:sz w:val="24"/>
          <w:szCs w:val="24"/>
        </w:rPr>
        <w:t xml:space="preserve"> argues that it dealt with the potential need for an extension of time in its founding affidavit out of an “</w:t>
      </w:r>
      <w:r w:rsidR="00C33605" w:rsidRPr="00D33AC2">
        <w:rPr>
          <w:rFonts w:ascii="Arial" w:hAnsi="Arial" w:cs="Arial"/>
          <w:i/>
          <w:sz w:val="24"/>
          <w:szCs w:val="24"/>
        </w:rPr>
        <w:t>abundance of caution</w:t>
      </w:r>
      <w:r w:rsidR="00C33605" w:rsidRPr="00D33AC2">
        <w:rPr>
          <w:rFonts w:ascii="Arial" w:hAnsi="Arial" w:cs="Arial"/>
          <w:sz w:val="24"/>
          <w:szCs w:val="24"/>
        </w:rPr>
        <w:t xml:space="preserve">”.  </w:t>
      </w:r>
    </w:p>
    <w:p w14:paraId="1559F88E" w14:textId="77777777" w:rsidR="00C33605" w:rsidRPr="00793A3E" w:rsidRDefault="00C33605" w:rsidP="00F009F9">
      <w:pPr>
        <w:pStyle w:val="ListParagraph"/>
        <w:spacing w:after="0" w:line="480" w:lineRule="auto"/>
        <w:contextualSpacing w:val="0"/>
        <w:rPr>
          <w:rFonts w:ascii="Arial" w:hAnsi="Arial" w:cs="Arial"/>
          <w:sz w:val="24"/>
          <w:szCs w:val="24"/>
        </w:rPr>
      </w:pPr>
    </w:p>
    <w:p w14:paraId="37A129FE" w14:textId="637B4B30" w:rsidR="00C3360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89.</w:t>
      </w:r>
      <w:r w:rsidRPr="00793A3E">
        <w:rPr>
          <w:rFonts w:ascii="Arial" w:hAnsi="Arial" w:cs="Arial"/>
          <w:sz w:val="24"/>
          <w:szCs w:val="24"/>
        </w:rPr>
        <w:tab/>
      </w:r>
      <w:r w:rsidR="00C33605" w:rsidRPr="00D33AC2">
        <w:rPr>
          <w:rFonts w:ascii="Arial" w:hAnsi="Arial" w:cs="Arial"/>
          <w:sz w:val="24"/>
          <w:szCs w:val="24"/>
        </w:rPr>
        <w:t xml:space="preserve">I have already set out above that if the argument is accepted that reasons were required to be provided before the 180 day period commenced to run, the </w:t>
      </w:r>
      <w:r w:rsidR="00C33605" w:rsidRPr="00D33AC2">
        <w:rPr>
          <w:rFonts w:ascii="Arial" w:hAnsi="Arial" w:cs="Arial"/>
          <w:sz w:val="24"/>
          <w:szCs w:val="24"/>
        </w:rPr>
        <w:lastRenderedPageBreak/>
        <w:t xml:space="preserve">application was well within time having been launched on 17 August 2020, the reasons, applicant contends having been given on 16 March 2020.  </w:t>
      </w:r>
    </w:p>
    <w:p w14:paraId="3CD4B6E9" w14:textId="77777777" w:rsidR="00C33605" w:rsidRPr="00793A3E" w:rsidRDefault="00C33605" w:rsidP="00F009F9">
      <w:pPr>
        <w:pStyle w:val="ListParagraph"/>
        <w:spacing w:after="0" w:line="480" w:lineRule="auto"/>
        <w:contextualSpacing w:val="0"/>
        <w:rPr>
          <w:rFonts w:ascii="Arial" w:hAnsi="Arial" w:cs="Arial"/>
          <w:sz w:val="24"/>
          <w:szCs w:val="24"/>
        </w:rPr>
      </w:pPr>
    </w:p>
    <w:p w14:paraId="4779E6FB" w14:textId="78F528BC" w:rsidR="00C3360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90.</w:t>
      </w:r>
      <w:r w:rsidRPr="00793A3E">
        <w:rPr>
          <w:rFonts w:ascii="Arial" w:hAnsi="Arial" w:cs="Arial"/>
          <w:sz w:val="24"/>
          <w:szCs w:val="24"/>
        </w:rPr>
        <w:tab/>
      </w:r>
      <w:r w:rsidR="00C33605" w:rsidRPr="00D33AC2">
        <w:rPr>
          <w:rFonts w:ascii="Arial" w:hAnsi="Arial" w:cs="Arial"/>
          <w:sz w:val="24"/>
          <w:szCs w:val="24"/>
        </w:rPr>
        <w:t xml:space="preserve">If, however, this argument falls to be rejected SKG argues that an extension of time is justified within which to launch the application in terms of section 9(1)(b) of PAJA for the reasons that it was only after SKG was afforded some of the documentation on 16 March 2020 that it became aware of the irregularities and that the launching of the application was delayed as a result of the </w:t>
      </w:r>
      <w:r w:rsidR="006731C6" w:rsidRPr="00D33AC2">
        <w:rPr>
          <w:rFonts w:ascii="Arial" w:hAnsi="Arial" w:cs="Arial"/>
          <w:sz w:val="24"/>
          <w:szCs w:val="24"/>
        </w:rPr>
        <w:t>C</w:t>
      </w:r>
      <w:r w:rsidR="00C33605" w:rsidRPr="00D33AC2">
        <w:rPr>
          <w:rFonts w:ascii="Arial" w:hAnsi="Arial" w:cs="Arial"/>
          <w:sz w:val="24"/>
          <w:szCs w:val="24"/>
        </w:rPr>
        <w:t xml:space="preserve">ovid lockdown from 26 March 2020.  It is argued that Eskom’s persistent failure to make a complete record of the decision available in the three tender procedures exacerbated the delay in launching the application which delay, in any event, it is argued, is not significant.  </w:t>
      </w:r>
    </w:p>
    <w:p w14:paraId="2A9EF8F6" w14:textId="77777777" w:rsidR="00C33605" w:rsidRPr="00793A3E" w:rsidRDefault="00C33605" w:rsidP="00F009F9">
      <w:pPr>
        <w:pStyle w:val="ListParagraph"/>
        <w:spacing w:after="0" w:line="480" w:lineRule="auto"/>
        <w:contextualSpacing w:val="0"/>
        <w:rPr>
          <w:rFonts w:ascii="Arial" w:hAnsi="Arial" w:cs="Arial"/>
          <w:sz w:val="24"/>
          <w:szCs w:val="24"/>
        </w:rPr>
      </w:pPr>
    </w:p>
    <w:p w14:paraId="2FC1BDAD" w14:textId="77777777" w:rsidR="000C34B7" w:rsidRPr="00793A3E" w:rsidRDefault="000C34B7" w:rsidP="00F009F9">
      <w:pPr>
        <w:pStyle w:val="ListParagraph"/>
        <w:spacing w:after="0" w:line="480" w:lineRule="auto"/>
        <w:ind w:left="0"/>
        <w:contextualSpacing w:val="0"/>
        <w:rPr>
          <w:rFonts w:ascii="Arial" w:hAnsi="Arial" w:cs="Arial"/>
          <w:b/>
          <w:sz w:val="24"/>
          <w:szCs w:val="24"/>
          <w:u w:val="single"/>
        </w:rPr>
      </w:pPr>
      <w:r w:rsidRPr="00793A3E">
        <w:rPr>
          <w:rFonts w:ascii="Arial" w:hAnsi="Arial" w:cs="Arial"/>
          <w:b/>
          <w:sz w:val="24"/>
          <w:szCs w:val="24"/>
          <w:u w:val="single"/>
        </w:rPr>
        <w:t>FIRST RESPONDENT’S SUBMISSIONS</w:t>
      </w:r>
    </w:p>
    <w:p w14:paraId="36965430" w14:textId="77777777" w:rsidR="000C34B7" w:rsidRPr="00793A3E" w:rsidRDefault="000C34B7" w:rsidP="00F009F9">
      <w:pPr>
        <w:pStyle w:val="ListParagraph"/>
        <w:spacing w:after="0" w:line="480" w:lineRule="auto"/>
        <w:ind w:left="0"/>
        <w:contextualSpacing w:val="0"/>
        <w:rPr>
          <w:rFonts w:ascii="Arial" w:hAnsi="Arial" w:cs="Arial"/>
          <w:b/>
          <w:sz w:val="24"/>
          <w:szCs w:val="24"/>
          <w:u w:val="single"/>
        </w:rPr>
      </w:pPr>
    </w:p>
    <w:p w14:paraId="40289412" w14:textId="1E96C77B" w:rsidR="007D42A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91.</w:t>
      </w:r>
      <w:r w:rsidRPr="00793A3E">
        <w:rPr>
          <w:rFonts w:ascii="Arial" w:hAnsi="Arial" w:cs="Arial"/>
          <w:sz w:val="24"/>
          <w:szCs w:val="24"/>
        </w:rPr>
        <w:tab/>
      </w:r>
      <w:r w:rsidR="000C34B7" w:rsidRPr="00D33AC2">
        <w:rPr>
          <w:rFonts w:ascii="Arial" w:hAnsi="Arial" w:cs="Arial"/>
          <w:sz w:val="24"/>
          <w:szCs w:val="24"/>
        </w:rPr>
        <w:t>I have already dealt partly with first respondent’s approach and submissions</w:t>
      </w:r>
      <w:r w:rsidR="004E7888" w:rsidRPr="00D33AC2">
        <w:rPr>
          <w:rFonts w:ascii="Arial" w:hAnsi="Arial" w:cs="Arial"/>
          <w:sz w:val="24"/>
          <w:szCs w:val="24"/>
        </w:rPr>
        <w:t xml:space="preserve"> </w:t>
      </w:r>
      <w:r w:rsidR="000C34B7" w:rsidRPr="00D33AC2">
        <w:rPr>
          <w:rFonts w:ascii="Arial" w:hAnsi="Arial" w:cs="Arial"/>
          <w:sz w:val="24"/>
          <w:szCs w:val="24"/>
        </w:rPr>
        <w:t xml:space="preserve">relevant to the issues raised.  </w:t>
      </w:r>
    </w:p>
    <w:p w14:paraId="6FC5602F" w14:textId="77777777" w:rsidR="000C34B7" w:rsidRPr="00793A3E" w:rsidRDefault="000C34B7" w:rsidP="00F009F9">
      <w:pPr>
        <w:pStyle w:val="ListParagraph"/>
        <w:spacing w:after="0" w:line="480" w:lineRule="auto"/>
        <w:contextualSpacing w:val="0"/>
        <w:jc w:val="both"/>
        <w:rPr>
          <w:rFonts w:ascii="Arial" w:hAnsi="Arial" w:cs="Arial"/>
          <w:sz w:val="24"/>
          <w:szCs w:val="24"/>
        </w:rPr>
      </w:pPr>
    </w:p>
    <w:p w14:paraId="0207EFA0" w14:textId="121FF02F" w:rsidR="000C34B7"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92.</w:t>
      </w:r>
      <w:r w:rsidRPr="00793A3E">
        <w:rPr>
          <w:rFonts w:ascii="Arial" w:hAnsi="Arial" w:cs="Arial"/>
          <w:sz w:val="24"/>
          <w:szCs w:val="24"/>
        </w:rPr>
        <w:tab/>
      </w:r>
      <w:r w:rsidR="000C34B7" w:rsidRPr="00D33AC2">
        <w:rPr>
          <w:rFonts w:ascii="Arial" w:hAnsi="Arial" w:cs="Arial"/>
          <w:sz w:val="24"/>
          <w:szCs w:val="24"/>
        </w:rPr>
        <w:t>In summary first respondent opposed the relief sought on the grounds that:</w:t>
      </w:r>
    </w:p>
    <w:p w14:paraId="05808D0B" w14:textId="77777777" w:rsidR="000C34B7" w:rsidRPr="00793A3E" w:rsidRDefault="000C34B7" w:rsidP="00F009F9">
      <w:pPr>
        <w:pStyle w:val="ListParagraph"/>
        <w:spacing w:after="0" w:line="480" w:lineRule="auto"/>
        <w:contextualSpacing w:val="0"/>
        <w:rPr>
          <w:rFonts w:ascii="Arial" w:hAnsi="Arial" w:cs="Arial"/>
          <w:sz w:val="24"/>
          <w:szCs w:val="24"/>
        </w:rPr>
      </w:pPr>
    </w:p>
    <w:p w14:paraId="2FAF9027" w14:textId="488FF557" w:rsidR="000C34B7" w:rsidRPr="00D33AC2" w:rsidRDefault="00D33AC2" w:rsidP="00D33AC2">
      <w:pPr>
        <w:spacing w:after="0" w:line="480" w:lineRule="auto"/>
        <w:ind w:left="1440" w:hanging="720"/>
        <w:jc w:val="both"/>
        <w:rPr>
          <w:rFonts w:ascii="Arial" w:hAnsi="Arial" w:cs="Arial"/>
          <w:sz w:val="24"/>
          <w:szCs w:val="24"/>
        </w:rPr>
      </w:pPr>
      <w:r w:rsidRPr="00793A3E">
        <w:rPr>
          <w:rFonts w:ascii="Arial" w:hAnsi="Arial" w:cs="Arial"/>
          <w:sz w:val="24"/>
          <w:szCs w:val="24"/>
        </w:rPr>
        <w:t>69.1</w:t>
      </w:r>
      <w:r w:rsidRPr="00793A3E">
        <w:rPr>
          <w:rFonts w:ascii="Arial" w:hAnsi="Arial" w:cs="Arial"/>
          <w:sz w:val="24"/>
          <w:szCs w:val="24"/>
        </w:rPr>
        <w:tab/>
      </w:r>
      <w:r w:rsidR="000C34B7" w:rsidRPr="00D33AC2">
        <w:rPr>
          <w:rFonts w:ascii="Arial" w:hAnsi="Arial" w:cs="Arial"/>
          <w:sz w:val="24"/>
          <w:szCs w:val="24"/>
        </w:rPr>
        <w:t>The review application is out of time and that there is no basis for condonation;</w:t>
      </w:r>
    </w:p>
    <w:p w14:paraId="7D39F8A1" w14:textId="7602FEA2" w:rsidR="000C34B7" w:rsidRPr="00D33AC2" w:rsidRDefault="00D33AC2" w:rsidP="00D33AC2">
      <w:pPr>
        <w:spacing w:after="0" w:line="480" w:lineRule="auto"/>
        <w:ind w:left="1440" w:hanging="720"/>
        <w:jc w:val="both"/>
        <w:rPr>
          <w:rFonts w:ascii="Arial" w:hAnsi="Arial" w:cs="Arial"/>
          <w:sz w:val="24"/>
          <w:szCs w:val="24"/>
        </w:rPr>
      </w:pPr>
      <w:r w:rsidRPr="00793A3E">
        <w:rPr>
          <w:rFonts w:ascii="Arial" w:hAnsi="Arial" w:cs="Arial"/>
          <w:sz w:val="24"/>
          <w:szCs w:val="24"/>
        </w:rPr>
        <w:t>69.2</w:t>
      </w:r>
      <w:r w:rsidRPr="00793A3E">
        <w:rPr>
          <w:rFonts w:ascii="Arial" w:hAnsi="Arial" w:cs="Arial"/>
          <w:sz w:val="24"/>
          <w:szCs w:val="24"/>
        </w:rPr>
        <w:tab/>
      </w:r>
      <w:r w:rsidR="000C34B7" w:rsidRPr="00D33AC2">
        <w:rPr>
          <w:rFonts w:ascii="Arial" w:hAnsi="Arial" w:cs="Arial"/>
          <w:sz w:val="24"/>
          <w:szCs w:val="24"/>
        </w:rPr>
        <w:t xml:space="preserve">5796 lapsed by effluxion of time upon expiry of the validity period and that having so expired, without consequence, the evaluation or award of the bid would be incompetent; </w:t>
      </w:r>
    </w:p>
    <w:p w14:paraId="34042C97" w14:textId="419BE2E8" w:rsidR="000C34B7" w:rsidRPr="00D33AC2" w:rsidRDefault="00D33AC2" w:rsidP="00D33AC2">
      <w:pPr>
        <w:spacing w:after="0" w:line="480" w:lineRule="auto"/>
        <w:ind w:left="1440" w:hanging="720"/>
        <w:jc w:val="both"/>
        <w:rPr>
          <w:rFonts w:ascii="Arial" w:hAnsi="Arial" w:cs="Arial"/>
          <w:sz w:val="24"/>
          <w:szCs w:val="24"/>
        </w:rPr>
      </w:pPr>
      <w:r w:rsidRPr="00793A3E">
        <w:rPr>
          <w:rFonts w:ascii="Arial" w:hAnsi="Arial" w:cs="Arial"/>
          <w:sz w:val="24"/>
          <w:szCs w:val="24"/>
        </w:rPr>
        <w:lastRenderedPageBreak/>
        <w:t>69.3</w:t>
      </w:r>
      <w:r w:rsidRPr="00793A3E">
        <w:rPr>
          <w:rFonts w:ascii="Arial" w:hAnsi="Arial" w:cs="Arial"/>
          <w:sz w:val="24"/>
          <w:szCs w:val="24"/>
        </w:rPr>
        <w:tab/>
      </w:r>
      <w:r w:rsidR="000C34B7" w:rsidRPr="00D33AC2">
        <w:rPr>
          <w:rFonts w:ascii="Arial" w:hAnsi="Arial" w:cs="Arial"/>
          <w:sz w:val="24"/>
          <w:szCs w:val="24"/>
        </w:rPr>
        <w:t xml:space="preserve">5817 was cancelled in accordance with regulation 13(1)(a) of the Regulations in that due to change in circumstances there was no longer a need for the procurement of the goods, the cancellation in any event being effected after the tender had expired by effluxion of time; </w:t>
      </w:r>
    </w:p>
    <w:p w14:paraId="1F2F74E6" w14:textId="01184275" w:rsidR="000C34B7" w:rsidRPr="00D33AC2" w:rsidRDefault="00D33AC2" w:rsidP="00D33AC2">
      <w:pPr>
        <w:spacing w:after="0" w:line="480" w:lineRule="auto"/>
        <w:ind w:left="1440" w:hanging="720"/>
        <w:jc w:val="both"/>
        <w:rPr>
          <w:rFonts w:ascii="Arial" w:hAnsi="Arial" w:cs="Arial"/>
          <w:sz w:val="24"/>
          <w:szCs w:val="24"/>
        </w:rPr>
      </w:pPr>
      <w:r w:rsidRPr="00793A3E">
        <w:rPr>
          <w:rFonts w:ascii="Arial" w:hAnsi="Arial" w:cs="Arial"/>
          <w:sz w:val="24"/>
          <w:szCs w:val="24"/>
        </w:rPr>
        <w:t>69.4</w:t>
      </w:r>
      <w:r w:rsidRPr="00793A3E">
        <w:rPr>
          <w:rFonts w:ascii="Arial" w:hAnsi="Arial" w:cs="Arial"/>
          <w:sz w:val="24"/>
          <w:szCs w:val="24"/>
        </w:rPr>
        <w:tab/>
      </w:r>
      <w:r w:rsidR="000C34B7" w:rsidRPr="00D33AC2">
        <w:rPr>
          <w:rFonts w:ascii="Arial" w:hAnsi="Arial" w:cs="Arial"/>
          <w:sz w:val="24"/>
          <w:szCs w:val="24"/>
        </w:rPr>
        <w:t>5818 was awarded to second respondent in a fair, equitable, transparent, competitive and cost effective process;</w:t>
      </w:r>
    </w:p>
    <w:p w14:paraId="7AA45F70" w14:textId="4D74FBCB" w:rsidR="0065479C" w:rsidRPr="00D33AC2" w:rsidRDefault="00D33AC2" w:rsidP="00D33AC2">
      <w:pPr>
        <w:spacing w:after="0" w:line="480" w:lineRule="auto"/>
        <w:ind w:left="1440" w:hanging="720"/>
        <w:jc w:val="both"/>
        <w:rPr>
          <w:rFonts w:ascii="Arial" w:hAnsi="Arial" w:cs="Arial"/>
          <w:sz w:val="24"/>
          <w:szCs w:val="24"/>
        </w:rPr>
      </w:pPr>
      <w:r w:rsidRPr="00793A3E">
        <w:rPr>
          <w:rFonts w:ascii="Arial" w:hAnsi="Arial" w:cs="Arial"/>
          <w:sz w:val="24"/>
          <w:szCs w:val="24"/>
        </w:rPr>
        <w:t>69.5</w:t>
      </w:r>
      <w:r w:rsidRPr="00793A3E">
        <w:rPr>
          <w:rFonts w:ascii="Arial" w:hAnsi="Arial" w:cs="Arial"/>
          <w:sz w:val="24"/>
          <w:szCs w:val="24"/>
        </w:rPr>
        <w:tab/>
      </w:r>
      <w:r w:rsidR="000C34B7" w:rsidRPr="00D33AC2">
        <w:rPr>
          <w:rFonts w:ascii="Arial" w:hAnsi="Arial" w:cs="Arial"/>
          <w:sz w:val="24"/>
          <w:szCs w:val="24"/>
        </w:rPr>
        <w:t>In respect of 5818 in any</w:t>
      </w:r>
      <w:r w:rsidR="0065479C" w:rsidRPr="00D33AC2">
        <w:rPr>
          <w:rFonts w:ascii="Arial" w:hAnsi="Arial" w:cs="Arial"/>
          <w:sz w:val="24"/>
          <w:szCs w:val="24"/>
        </w:rPr>
        <w:t xml:space="preserve"> </w:t>
      </w:r>
      <w:r w:rsidR="000C34B7" w:rsidRPr="00D33AC2">
        <w:rPr>
          <w:rFonts w:ascii="Arial" w:hAnsi="Arial" w:cs="Arial"/>
          <w:sz w:val="24"/>
          <w:szCs w:val="24"/>
        </w:rPr>
        <w:t>event</w:t>
      </w:r>
      <w:r w:rsidR="0065479C" w:rsidRPr="00D33AC2">
        <w:rPr>
          <w:rFonts w:ascii="Arial" w:hAnsi="Arial" w:cs="Arial"/>
          <w:sz w:val="24"/>
          <w:szCs w:val="24"/>
        </w:rPr>
        <w:t xml:space="preserve"> applicant’s award did not qualify they having delivered more than one bid in contravention of clause 1.2 of the tender data read with clause 2.23 of the standard conditions of tender. </w:t>
      </w:r>
    </w:p>
    <w:p w14:paraId="0EEE3B42" w14:textId="77777777" w:rsidR="00F009F9" w:rsidRDefault="000C34B7" w:rsidP="00F009F9">
      <w:pPr>
        <w:pStyle w:val="ListParagraph"/>
        <w:spacing w:after="0" w:line="480" w:lineRule="auto"/>
        <w:ind w:left="0"/>
        <w:contextualSpacing w:val="0"/>
        <w:jc w:val="both"/>
        <w:rPr>
          <w:rFonts w:ascii="Arial" w:hAnsi="Arial" w:cs="Arial"/>
          <w:sz w:val="24"/>
          <w:szCs w:val="24"/>
        </w:rPr>
      </w:pPr>
      <w:r w:rsidRPr="00793A3E">
        <w:rPr>
          <w:rFonts w:ascii="Arial" w:hAnsi="Arial" w:cs="Arial"/>
          <w:sz w:val="24"/>
          <w:szCs w:val="24"/>
        </w:rPr>
        <w:t xml:space="preserve"> </w:t>
      </w:r>
    </w:p>
    <w:p w14:paraId="64641849" w14:textId="77777777" w:rsidR="0065479C" w:rsidRPr="00793A3E" w:rsidRDefault="0065479C" w:rsidP="00F009F9">
      <w:pPr>
        <w:pStyle w:val="ListParagraph"/>
        <w:spacing w:after="0" w:line="480" w:lineRule="auto"/>
        <w:ind w:left="0"/>
        <w:contextualSpacing w:val="0"/>
        <w:jc w:val="both"/>
        <w:rPr>
          <w:rFonts w:ascii="Arial" w:hAnsi="Arial" w:cs="Arial"/>
          <w:b/>
          <w:sz w:val="24"/>
          <w:szCs w:val="24"/>
          <w:u w:val="single"/>
        </w:rPr>
      </w:pPr>
      <w:r w:rsidRPr="00793A3E">
        <w:rPr>
          <w:rFonts w:ascii="Arial" w:hAnsi="Arial" w:cs="Arial"/>
          <w:b/>
          <w:sz w:val="24"/>
          <w:szCs w:val="24"/>
          <w:u w:val="single"/>
        </w:rPr>
        <w:t>SECOND RESPONDENT’S APPROACH</w:t>
      </w:r>
    </w:p>
    <w:p w14:paraId="6F048308" w14:textId="77777777" w:rsidR="0065479C" w:rsidRPr="00793A3E" w:rsidRDefault="0065479C" w:rsidP="00F009F9">
      <w:pPr>
        <w:pStyle w:val="ListParagraph"/>
        <w:spacing w:after="0" w:line="480" w:lineRule="auto"/>
        <w:ind w:left="0"/>
        <w:contextualSpacing w:val="0"/>
        <w:jc w:val="both"/>
        <w:rPr>
          <w:rFonts w:ascii="Arial" w:hAnsi="Arial" w:cs="Arial"/>
          <w:b/>
          <w:sz w:val="24"/>
          <w:szCs w:val="24"/>
          <w:u w:val="single"/>
        </w:rPr>
      </w:pPr>
    </w:p>
    <w:p w14:paraId="1B23B3EF" w14:textId="4FBDA36C" w:rsidR="000C34B7"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93.</w:t>
      </w:r>
      <w:r w:rsidRPr="00793A3E">
        <w:rPr>
          <w:rFonts w:ascii="Arial" w:hAnsi="Arial" w:cs="Arial"/>
          <w:sz w:val="24"/>
          <w:szCs w:val="24"/>
        </w:rPr>
        <w:tab/>
      </w:r>
      <w:r w:rsidR="0065479C" w:rsidRPr="00D33AC2">
        <w:rPr>
          <w:rFonts w:ascii="Arial" w:hAnsi="Arial" w:cs="Arial"/>
          <w:sz w:val="24"/>
          <w:szCs w:val="24"/>
        </w:rPr>
        <w:t xml:space="preserve">Second respondent argues that in respect of 5796 and 5817 no consequential relief or remedy is sought should these be reviewed and that the remedy relates primarily to 5818.  </w:t>
      </w:r>
    </w:p>
    <w:p w14:paraId="43BA8C33" w14:textId="77777777" w:rsidR="0065479C" w:rsidRPr="00793A3E" w:rsidRDefault="0065479C" w:rsidP="00F009F9">
      <w:pPr>
        <w:pStyle w:val="ListParagraph"/>
        <w:spacing w:after="0" w:line="480" w:lineRule="auto"/>
        <w:contextualSpacing w:val="0"/>
        <w:jc w:val="both"/>
        <w:rPr>
          <w:rFonts w:ascii="Arial" w:hAnsi="Arial" w:cs="Arial"/>
          <w:sz w:val="24"/>
          <w:szCs w:val="24"/>
        </w:rPr>
      </w:pPr>
    </w:p>
    <w:p w14:paraId="66A15917" w14:textId="5C6227CF" w:rsidR="00173A0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94.</w:t>
      </w:r>
      <w:r w:rsidRPr="00793A3E">
        <w:rPr>
          <w:rFonts w:ascii="Arial" w:hAnsi="Arial" w:cs="Arial"/>
          <w:sz w:val="24"/>
          <w:szCs w:val="24"/>
        </w:rPr>
        <w:tab/>
      </w:r>
      <w:r w:rsidR="0065479C" w:rsidRPr="00D33AC2">
        <w:rPr>
          <w:rFonts w:ascii="Arial" w:hAnsi="Arial" w:cs="Arial"/>
          <w:sz w:val="24"/>
          <w:szCs w:val="24"/>
        </w:rPr>
        <w:t>In respect of 5818 it is pointed out that applicant did not seek or obtain interdictory relief and that the tender being for a period of thirty six months</w:t>
      </w:r>
      <w:r w:rsidR="00712A54" w:rsidRPr="00D33AC2">
        <w:rPr>
          <w:rFonts w:ascii="Arial" w:hAnsi="Arial" w:cs="Arial"/>
          <w:sz w:val="24"/>
          <w:szCs w:val="24"/>
        </w:rPr>
        <w:t xml:space="preserve"> does not extend beyond 31 January </w:t>
      </w:r>
      <w:r w:rsidR="00CB5870" w:rsidRPr="00D33AC2">
        <w:rPr>
          <w:rFonts w:ascii="Arial" w:hAnsi="Arial" w:cs="Arial"/>
          <w:sz w:val="24"/>
          <w:szCs w:val="24"/>
        </w:rPr>
        <w:t>2023</w:t>
      </w:r>
      <w:r w:rsidR="009637E3" w:rsidRPr="00D33AC2">
        <w:rPr>
          <w:rFonts w:ascii="Arial" w:hAnsi="Arial" w:cs="Arial"/>
          <w:sz w:val="24"/>
          <w:szCs w:val="24"/>
        </w:rPr>
        <w:t>,</w:t>
      </w:r>
      <w:r w:rsidR="00CB5870" w:rsidRPr="00D33AC2">
        <w:rPr>
          <w:rFonts w:ascii="Arial" w:hAnsi="Arial" w:cs="Arial"/>
          <w:sz w:val="24"/>
          <w:szCs w:val="24"/>
        </w:rPr>
        <w:t xml:space="preserve"> less than two months </w:t>
      </w:r>
      <w:r w:rsidR="00173A0A" w:rsidRPr="00D33AC2">
        <w:rPr>
          <w:rFonts w:ascii="Arial" w:hAnsi="Arial" w:cs="Arial"/>
          <w:sz w:val="24"/>
          <w:szCs w:val="24"/>
        </w:rPr>
        <w:t xml:space="preserve">being </w:t>
      </w:r>
      <w:r w:rsidR="00CB5870" w:rsidRPr="00D33AC2">
        <w:rPr>
          <w:rFonts w:ascii="Arial" w:hAnsi="Arial" w:cs="Arial"/>
          <w:sz w:val="24"/>
          <w:szCs w:val="24"/>
        </w:rPr>
        <w:t>left</w:t>
      </w:r>
      <w:r w:rsidR="00173A0A" w:rsidRPr="00D33AC2">
        <w:rPr>
          <w:rFonts w:ascii="Arial" w:hAnsi="Arial" w:cs="Arial"/>
          <w:sz w:val="24"/>
          <w:szCs w:val="24"/>
        </w:rPr>
        <w:t xml:space="preserve">.  </w:t>
      </w:r>
    </w:p>
    <w:p w14:paraId="56E3BC05" w14:textId="77777777" w:rsidR="00173A0A" w:rsidRPr="00793A3E" w:rsidRDefault="00173A0A" w:rsidP="00F009F9">
      <w:pPr>
        <w:pStyle w:val="ListParagraph"/>
        <w:spacing w:after="0" w:line="480" w:lineRule="auto"/>
        <w:contextualSpacing w:val="0"/>
        <w:rPr>
          <w:rFonts w:ascii="Arial" w:hAnsi="Arial" w:cs="Arial"/>
          <w:sz w:val="24"/>
          <w:szCs w:val="24"/>
        </w:rPr>
      </w:pPr>
    </w:p>
    <w:p w14:paraId="79B0DE89" w14:textId="667298C5" w:rsidR="00173A0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95.</w:t>
      </w:r>
      <w:r w:rsidRPr="00793A3E">
        <w:rPr>
          <w:rFonts w:ascii="Arial" w:hAnsi="Arial" w:cs="Arial"/>
          <w:sz w:val="24"/>
          <w:szCs w:val="24"/>
        </w:rPr>
        <w:tab/>
      </w:r>
      <w:r w:rsidR="00173A0A" w:rsidRPr="00D33AC2">
        <w:rPr>
          <w:rFonts w:ascii="Arial" w:hAnsi="Arial" w:cs="Arial"/>
          <w:sz w:val="24"/>
          <w:szCs w:val="24"/>
        </w:rPr>
        <w:t>It is argued</w:t>
      </w:r>
      <w:r w:rsidR="005C3214" w:rsidRPr="00D33AC2">
        <w:rPr>
          <w:rFonts w:ascii="Arial" w:hAnsi="Arial" w:cs="Arial"/>
          <w:sz w:val="24"/>
          <w:szCs w:val="24"/>
        </w:rPr>
        <w:t>,</w:t>
      </w:r>
      <w:r w:rsidR="00173A0A" w:rsidRPr="00D33AC2">
        <w:rPr>
          <w:rFonts w:ascii="Arial" w:hAnsi="Arial" w:cs="Arial"/>
          <w:sz w:val="24"/>
          <w:szCs w:val="24"/>
        </w:rPr>
        <w:t xml:space="preserve"> as does first respondent</w:t>
      </w:r>
      <w:r w:rsidR="005C3214" w:rsidRPr="00D33AC2">
        <w:rPr>
          <w:rFonts w:ascii="Arial" w:hAnsi="Arial" w:cs="Arial"/>
          <w:sz w:val="24"/>
          <w:szCs w:val="24"/>
        </w:rPr>
        <w:t>,</w:t>
      </w:r>
      <w:r w:rsidR="00173A0A" w:rsidRPr="00D33AC2">
        <w:rPr>
          <w:rFonts w:ascii="Arial" w:hAnsi="Arial" w:cs="Arial"/>
          <w:sz w:val="24"/>
          <w:szCs w:val="24"/>
        </w:rPr>
        <w:t xml:space="preserve"> that applicant failed to launch the review timeously.  </w:t>
      </w:r>
    </w:p>
    <w:p w14:paraId="11561BFE" w14:textId="77777777" w:rsidR="00173A0A" w:rsidRPr="00793A3E" w:rsidRDefault="00173A0A" w:rsidP="00F009F9">
      <w:pPr>
        <w:pStyle w:val="ListParagraph"/>
        <w:spacing w:after="0" w:line="480" w:lineRule="auto"/>
        <w:contextualSpacing w:val="0"/>
        <w:rPr>
          <w:rFonts w:ascii="Arial" w:hAnsi="Arial" w:cs="Arial"/>
          <w:sz w:val="24"/>
          <w:szCs w:val="24"/>
        </w:rPr>
      </w:pPr>
    </w:p>
    <w:p w14:paraId="2F7C9A3E" w14:textId="1D80072E" w:rsidR="0065479C"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96.</w:t>
      </w:r>
      <w:r w:rsidRPr="00793A3E">
        <w:rPr>
          <w:rFonts w:ascii="Arial" w:hAnsi="Arial" w:cs="Arial"/>
          <w:sz w:val="24"/>
          <w:szCs w:val="24"/>
        </w:rPr>
        <w:tab/>
      </w:r>
      <w:r w:rsidR="00173A0A" w:rsidRPr="00D33AC2">
        <w:rPr>
          <w:rFonts w:ascii="Arial" w:hAnsi="Arial" w:cs="Arial"/>
          <w:sz w:val="24"/>
          <w:szCs w:val="24"/>
        </w:rPr>
        <w:t xml:space="preserve">In respect of 5796 it is argued that the validity period for the tender expired without it being adjudicated, awarded or validly extended and that the tender process was completed albeit unsuccessfully, the purported cancellation being </w:t>
      </w:r>
      <w:r w:rsidR="00173A0A" w:rsidRPr="00D33AC2">
        <w:rPr>
          <w:rFonts w:ascii="Arial" w:hAnsi="Arial" w:cs="Arial"/>
          <w:sz w:val="24"/>
          <w:szCs w:val="24"/>
        </w:rPr>
        <w:lastRenderedPageBreak/>
        <w:t>irrelevant</w:t>
      </w:r>
      <w:r w:rsidR="009637E3" w:rsidRPr="00D33AC2">
        <w:rPr>
          <w:rFonts w:ascii="Arial" w:hAnsi="Arial" w:cs="Arial"/>
          <w:sz w:val="24"/>
          <w:szCs w:val="24"/>
        </w:rPr>
        <w:t>,</w:t>
      </w:r>
      <w:r w:rsidR="00173A0A" w:rsidRPr="00D33AC2">
        <w:rPr>
          <w:rFonts w:ascii="Arial" w:hAnsi="Arial" w:cs="Arial"/>
          <w:sz w:val="24"/>
          <w:szCs w:val="24"/>
        </w:rPr>
        <w:t xml:space="preserve"> there being nothing to cancel.  It is submitted then that the view of 5796 must fail.</w:t>
      </w:r>
    </w:p>
    <w:p w14:paraId="5A36147D" w14:textId="77777777" w:rsidR="00173A0A" w:rsidRPr="00793A3E" w:rsidRDefault="00173A0A" w:rsidP="00F009F9">
      <w:pPr>
        <w:pStyle w:val="ListParagraph"/>
        <w:spacing w:after="0" w:line="480" w:lineRule="auto"/>
        <w:contextualSpacing w:val="0"/>
        <w:rPr>
          <w:rFonts w:ascii="Arial" w:hAnsi="Arial" w:cs="Arial"/>
          <w:sz w:val="24"/>
          <w:szCs w:val="24"/>
        </w:rPr>
      </w:pPr>
    </w:p>
    <w:p w14:paraId="67BCE2B0" w14:textId="024EA84A" w:rsidR="00173A0A"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t>97.</w:t>
      </w:r>
      <w:r>
        <w:rPr>
          <w:rFonts w:ascii="Arial" w:hAnsi="Arial" w:cs="Arial"/>
          <w:sz w:val="24"/>
          <w:szCs w:val="24"/>
        </w:rPr>
        <w:tab/>
      </w:r>
      <w:r w:rsidR="00173A0A" w:rsidRPr="00D33AC2">
        <w:rPr>
          <w:rFonts w:ascii="Arial" w:hAnsi="Arial" w:cs="Arial"/>
          <w:sz w:val="24"/>
          <w:szCs w:val="24"/>
        </w:rPr>
        <w:t xml:space="preserve">In respect of 5817 it is argued that the decision to cancel the tender must be dealt with on the same lines as the matter </w:t>
      </w:r>
      <w:r w:rsidR="00173A0A" w:rsidRPr="00D33AC2">
        <w:rPr>
          <w:rFonts w:ascii="Arial" w:hAnsi="Arial" w:cs="Arial"/>
          <w:b/>
          <w:sz w:val="24"/>
          <w:szCs w:val="24"/>
        </w:rPr>
        <w:t>Tshwane City and Others v Nambiti Technologies (Pty) Ltd</w:t>
      </w:r>
      <w:r w:rsidR="00173A0A" w:rsidRPr="00793A3E">
        <w:rPr>
          <w:rStyle w:val="FootnoteReference"/>
          <w:rFonts w:ascii="Arial" w:hAnsi="Arial" w:cs="Arial"/>
          <w:sz w:val="24"/>
          <w:szCs w:val="24"/>
        </w:rPr>
        <w:footnoteReference w:id="21"/>
      </w:r>
      <w:r w:rsidR="00173A0A" w:rsidRPr="00D33AC2">
        <w:rPr>
          <w:rFonts w:ascii="Arial" w:hAnsi="Arial" w:cs="Arial"/>
          <w:b/>
          <w:sz w:val="24"/>
          <w:szCs w:val="24"/>
        </w:rPr>
        <w:t xml:space="preserve"> </w:t>
      </w:r>
      <w:r w:rsidR="00173A0A" w:rsidRPr="00D33AC2">
        <w:rPr>
          <w:rFonts w:ascii="Arial" w:hAnsi="Arial" w:cs="Arial"/>
          <w:sz w:val="24"/>
          <w:szCs w:val="24"/>
        </w:rPr>
        <w:t>in summary that the court will not attempt to compel an organ of state to enter to contracts and require goods and services that it has determined not to acquire which would only be done in extreme circumstances, and in this matter the review must fail.</w:t>
      </w:r>
    </w:p>
    <w:p w14:paraId="54516DA0" w14:textId="77777777" w:rsidR="00F009F9" w:rsidRPr="00793A3E" w:rsidRDefault="00F009F9" w:rsidP="00F009F9">
      <w:pPr>
        <w:pStyle w:val="ListParagraph"/>
        <w:spacing w:after="0" w:line="480" w:lineRule="auto"/>
        <w:contextualSpacing w:val="0"/>
        <w:jc w:val="both"/>
        <w:rPr>
          <w:rFonts w:ascii="Arial" w:hAnsi="Arial" w:cs="Arial"/>
          <w:sz w:val="24"/>
          <w:szCs w:val="24"/>
        </w:rPr>
      </w:pPr>
    </w:p>
    <w:p w14:paraId="52E77E59" w14:textId="4EBCB0E4" w:rsidR="00173A0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98.</w:t>
      </w:r>
      <w:r w:rsidRPr="00793A3E">
        <w:rPr>
          <w:rFonts w:ascii="Arial" w:hAnsi="Arial" w:cs="Arial"/>
          <w:sz w:val="24"/>
          <w:szCs w:val="24"/>
        </w:rPr>
        <w:tab/>
      </w:r>
      <w:r w:rsidR="00173A0A" w:rsidRPr="00D33AC2">
        <w:rPr>
          <w:rFonts w:ascii="Arial" w:hAnsi="Arial" w:cs="Arial"/>
          <w:sz w:val="24"/>
          <w:szCs w:val="24"/>
        </w:rPr>
        <w:t xml:space="preserve">In respect of 5818 it is argued that applicant’s bid should have been disqualified, </w:t>
      </w:r>
      <w:r w:rsidR="004C170A" w:rsidRPr="00D33AC2">
        <w:rPr>
          <w:rFonts w:ascii="Arial" w:hAnsi="Arial" w:cs="Arial"/>
          <w:sz w:val="24"/>
          <w:szCs w:val="24"/>
        </w:rPr>
        <w:t>SKG</w:t>
      </w:r>
      <w:r w:rsidR="00173A0A" w:rsidRPr="00D33AC2">
        <w:rPr>
          <w:rFonts w:ascii="Arial" w:hAnsi="Arial" w:cs="Arial"/>
          <w:sz w:val="24"/>
          <w:szCs w:val="24"/>
        </w:rPr>
        <w:t xml:space="preserve"> having submitted more than one tender</w:t>
      </w:r>
      <w:r w:rsidR="0090737C" w:rsidRPr="00D33AC2">
        <w:rPr>
          <w:rFonts w:ascii="Arial" w:hAnsi="Arial" w:cs="Arial"/>
          <w:sz w:val="24"/>
          <w:szCs w:val="24"/>
        </w:rPr>
        <w:t>,</w:t>
      </w:r>
      <w:r w:rsidR="00173A0A" w:rsidRPr="00D33AC2">
        <w:rPr>
          <w:rFonts w:ascii="Arial" w:hAnsi="Arial" w:cs="Arial"/>
          <w:sz w:val="24"/>
          <w:szCs w:val="24"/>
        </w:rPr>
        <w:t xml:space="preserve"> that being the end of the matter according to second respondent.  </w:t>
      </w:r>
    </w:p>
    <w:p w14:paraId="15E6F367" w14:textId="77777777" w:rsidR="00173A0A" w:rsidRPr="00793A3E" w:rsidRDefault="00173A0A" w:rsidP="00F009F9">
      <w:pPr>
        <w:pStyle w:val="ListParagraph"/>
        <w:spacing w:after="0" w:line="480" w:lineRule="auto"/>
        <w:contextualSpacing w:val="0"/>
        <w:rPr>
          <w:rFonts w:ascii="Arial" w:hAnsi="Arial" w:cs="Arial"/>
          <w:sz w:val="24"/>
          <w:szCs w:val="24"/>
        </w:rPr>
      </w:pPr>
    </w:p>
    <w:p w14:paraId="58146C71" w14:textId="2CD690BA" w:rsidR="00173A0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99.</w:t>
      </w:r>
      <w:r w:rsidRPr="00793A3E">
        <w:rPr>
          <w:rFonts w:ascii="Arial" w:hAnsi="Arial" w:cs="Arial"/>
          <w:sz w:val="24"/>
          <w:szCs w:val="24"/>
        </w:rPr>
        <w:tab/>
      </w:r>
      <w:r w:rsidR="00173A0A" w:rsidRPr="00D33AC2">
        <w:rPr>
          <w:rFonts w:ascii="Arial" w:hAnsi="Arial" w:cs="Arial"/>
          <w:sz w:val="24"/>
          <w:szCs w:val="24"/>
        </w:rPr>
        <w:t>Further, in respect of 5818, it is argued that the bid was properly adjudicated and that applicant’s argument is incorrect that its tender was “</w:t>
      </w:r>
      <w:r w:rsidR="00173A0A" w:rsidRPr="00D33AC2">
        <w:rPr>
          <w:rFonts w:ascii="Arial" w:hAnsi="Arial" w:cs="Arial"/>
          <w:i/>
          <w:sz w:val="24"/>
          <w:szCs w:val="24"/>
        </w:rPr>
        <w:t>cheaper</w:t>
      </w:r>
      <w:r w:rsidR="00173A0A" w:rsidRPr="00D33AC2">
        <w:rPr>
          <w:rFonts w:ascii="Arial" w:hAnsi="Arial" w:cs="Arial"/>
          <w:sz w:val="24"/>
          <w:szCs w:val="24"/>
        </w:rPr>
        <w:t>” than second respondent’s on the rate per square meter argument.  It is argued that Eskom correctly evaluated the two bids using the price of accommodation, parking bays and operational costs, without tenant installation and applying the escalation clauses over the three year lease period</w:t>
      </w:r>
      <w:r w:rsidR="0090737C" w:rsidRPr="00D33AC2">
        <w:rPr>
          <w:rFonts w:ascii="Arial" w:hAnsi="Arial" w:cs="Arial"/>
          <w:sz w:val="24"/>
          <w:szCs w:val="24"/>
        </w:rPr>
        <w:t>,</w:t>
      </w:r>
      <w:r w:rsidR="00173A0A" w:rsidRPr="00D33AC2">
        <w:rPr>
          <w:rFonts w:ascii="Arial" w:hAnsi="Arial" w:cs="Arial"/>
          <w:sz w:val="24"/>
          <w:szCs w:val="24"/>
        </w:rPr>
        <w:t xml:space="preserve"> Rokewood’s bid being the “</w:t>
      </w:r>
      <w:r w:rsidR="00173A0A" w:rsidRPr="00D33AC2">
        <w:rPr>
          <w:rFonts w:ascii="Arial" w:hAnsi="Arial" w:cs="Arial"/>
          <w:i/>
          <w:sz w:val="24"/>
          <w:szCs w:val="24"/>
        </w:rPr>
        <w:t>cheapest</w:t>
      </w:r>
      <w:r w:rsidR="00173A0A" w:rsidRPr="00D33AC2">
        <w:rPr>
          <w:rFonts w:ascii="Arial" w:hAnsi="Arial" w:cs="Arial"/>
          <w:sz w:val="24"/>
          <w:szCs w:val="24"/>
        </w:rPr>
        <w:t xml:space="preserve">” bid.  It is argued that the applicant’s contention that the bids should have been evaluated on a costs per square meter basis is not sustainable as the size of the property was only utilised for purposes of the technical evaluation; the tender specifically provided for the gross cost of the lease per month; the tender did not provide for the adjudication of bids on a cost per </w:t>
      </w:r>
      <w:r w:rsidR="00173A0A" w:rsidRPr="00D33AC2">
        <w:rPr>
          <w:rFonts w:ascii="Arial" w:hAnsi="Arial" w:cs="Arial"/>
          <w:sz w:val="24"/>
          <w:szCs w:val="24"/>
        </w:rPr>
        <w:lastRenderedPageBreak/>
        <w:t xml:space="preserve">square meter basis; and the tender also provided for the costs per parking bay which was not calculated at a cost per square meter.  </w:t>
      </w:r>
    </w:p>
    <w:p w14:paraId="22910378" w14:textId="77777777" w:rsidR="00173A0A" w:rsidRPr="00793A3E" w:rsidRDefault="00173A0A" w:rsidP="00F009F9">
      <w:pPr>
        <w:pStyle w:val="ListParagraph"/>
        <w:spacing w:after="0" w:line="480" w:lineRule="auto"/>
        <w:contextualSpacing w:val="0"/>
        <w:rPr>
          <w:rFonts w:ascii="Arial" w:hAnsi="Arial" w:cs="Arial"/>
          <w:sz w:val="24"/>
          <w:szCs w:val="24"/>
        </w:rPr>
      </w:pPr>
    </w:p>
    <w:p w14:paraId="303ED2F5" w14:textId="1CE0C3AA" w:rsidR="00173A0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100.</w:t>
      </w:r>
      <w:r w:rsidRPr="00793A3E">
        <w:rPr>
          <w:rFonts w:ascii="Arial" w:hAnsi="Arial" w:cs="Arial"/>
          <w:sz w:val="24"/>
          <w:szCs w:val="24"/>
        </w:rPr>
        <w:tab/>
      </w:r>
      <w:r w:rsidR="00173A0A" w:rsidRPr="00D33AC2">
        <w:rPr>
          <w:rFonts w:ascii="Arial" w:hAnsi="Arial" w:cs="Arial"/>
          <w:sz w:val="24"/>
          <w:szCs w:val="24"/>
        </w:rPr>
        <w:t xml:space="preserve">It is argued that tender 5818 with the closing date of 15 October 2019 and a tender validity period of ninety days in closing date was awarded within that time period to Rokewood on 20 December 2019, the letter of acceptance signed by Eskom on 30 December 2019 (a ground in any event abandoned by applicant).  </w:t>
      </w:r>
    </w:p>
    <w:p w14:paraId="752FDBF7" w14:textId="77777777" w:rsidR="00173A0A" w:rsidRPr="00793A3E" w:rsidRDefault="00173A0A" w:rsidP="00F009F9">
      <w:pPr>
        <w:pStyle w:val="ListParagraph"/>
        <w:spacing w:after="0" w:line="480" w:lineRule="auto"/>
        <w:contextualSpacing w:val="0"/>
        <w:rPr>
          <w:rFonts w:ascii="Arial" w:hAnsi="Arial" w:cs="Arial"/>
          <w:sz w:val="24"/>
          <w:szCs w:val="24"/>
        </w:rPr>
      </w:pPr>
    </w:p>
    <w:p w14:paraId="48168033" w14:textId="4CF8B580" w:rsidR="00680E9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101.</w:t>
      </w:r>
      <w:r w:rsidRPr="00793A3E">
        <w:rPr>
          <w:rFonts w:ascii="Arial" w:hAnsi="Arial" w:cs="Arial"/>
          <w:sz w:val="24"/>
          <w:szCs w:val="24"/>
        </w:rPr>
        <w:tab/>
      </w:r>
      <w:r w:rsidR="00173A0A" w:rsidRPr="00D33AC2">
        <w:rPr>
          <w:rFonts w:ascii="Arial" w:hAnsi="Arial" w:cs="Arial"/>
          <w:sz w:val="24"/>
          <w:szCs w:val="24"/>
        </w:rPr>
        <w:t xml:space="preserve">It is argued in the alternative that should the court find that any of the decisions were reviewable, particularly 5818, it would not be just and equitable to set the decision aside, having a very short period left to run, the court either </w:t>
      </w:r>
      <w:r w:rsidR="00680E94" w:rsidRPr="00D33AC2">
        <w:rPr>
          <w:rFonts w:ascii="Arial" w:hAnsi="Arial" w:cs="Arial"/>
          <w:sz w:val="24"/>
          <w:szCs w:val="24"/>
        </w:rPr>
        <w:t>declining to set aside an invalid administrative action for reasons of pragmatism and practicality and in any event there is no other equitable remedy available.</w:t>
      </w:r>
      <w:r w:rsidR="004C170A">
        <w:rPr>
          <w:rStyle w:val="FootnoteReference"/>
          <w:rFonts w:ascii="Arial" w:hAnsi="Arial" w:cs="Arial"/>
          <w:sz w:val="24"/>
          <w:szCs w:val="24"/>
        </w:rPr>
        <w:footnoteReference w:id="22"/>
      </w:r>
      <w:r w:rsidR="004C170A" w:rsidRPr="00D33AC2">
        <w:rPr>
          <w:rFonts w:ascii="Arial" w:hAnsi="Arial" w:cs="Arial"/>
          <w:sz w:val="24"/>
          <w:szCs w:val="24"/>
        </w:rPr>
        <w:t xml:space="preserve">  No interim interdict was sought and relief now will have no practical effect.</w:t>
      </w:r>
      <w:r w:rsidR="004C170A">
        <w:rPr>
          <w:rStyle w:val="FootnoteReference"/>
          <w:rFonts w:ascii="Arial" w:hAnsi="Arial" w:cs="Arial"/>
          <w:sz w:val="24"/>
          <w:szCs w:val="24"/>
        </w:rPr>
        <w:footnoteReference w:id="23"/>
      </w:r>
      <w:r w:rsidR="00810F7C" w:rsidRPr="00D33AC2">
        <w:rPr>
          <w:rFonts w:ascii="Arial" w:hAnsi="Arial" w:cs="Arial"/>
          <w:sz w:val="24"/>
          <w:szCs w:val="24"/>
        </w:rPr>
        <w:t xml:space="preserve">  This argument has considerable rebut.</w:t>
      </w:r>
      <w:r w:rsidR="00680E94" w:rsidRPr="00D33AC2">
        <w:rPr>
          <w:rFonts w:ascii="Arial" w:hAnsi="Arial" w:cs="Arial"/>
          <w:sz w:val="24"/>
          <w:szCs w:val="24"/>
        </w:rPr>
        <w:t xml:space="preserve">  </w:t>
      </w:r>
    </w:p>
    <w:p w14:paraId="22410CE8" w14:textId="77777777" w:rsidR="00680E94" w:rsidRPr="00793A3E" w:rsidRDefault="00680E94" w:rsidP="00F009F9">
      <w:pPr>
        <w:pStyle w:val="ListParagraph"/>
        <w:spacing w:after="0" w:line="480" w:lineRule="auto"/>
        <w:contextualSpacing w:val="0"/>
        <w:rPr>
          <w:rFonts w:ascii="Arial" w:hAnsi="Arial" w:cs="Arial"/>
          <w:sz w:val="24"/>
          <w:szCs w:val="24"/>
        </w:rPr>
      </w:pPr>
    </w:p>
    <w:p w14:paraId="3498D4BB" w14:textId="77777777" w:rsidR="00680E94" w:rsidRPr="00793A3E" w:rsidRDefault="00680E94" w:rsidP="00F009F9">
      <w:pPr>
        <w:pStyle w:val="ListParagraph"/>
        <w:spacing w:after="0" w:line="480" w:lineRule="auto"/>
        <w:ind w:left="0"/>
        <w:contextualSpacing w:val="0"/>
        <w:rPr>
          <w:rFonts w:ascii="Arial" w:hAnsi="Arial" w:cs="Arial"/>
          <w:b/>
          <w:sz w:val="24"/>
          <w:szCs w:val="24"/>
          <w:u w:val="single"/>
        </w:rPr>
      </w:pPr>
      <w:r w:rsidRPr="00793A3E">
        <w:rPr>
          <w:rFonts w:ascii="Arial" w:hAnsi="Arial" w:cs="Arial"/>
          <w:b/>
          <w:sz w:val="24"/>
          <w:szCs w:val="24"/>
          <w:u w:val="single"/>
        </w:rPr>
        <w:t>THE DELAY IN LAUNCHING THE REVIEW</w:t>
      </w:r>
    </w:p>
    <w:p w14:paraId="6625E977" w14:textId="77777777" w:rsidR="00680E94" w:rsidRPr="00793A3E" w:rsidRDefault="00680E94" w:rsidP="00F009F9">
      <w:pPr>
        <w:pStyle w:val="ListParagraph"/>
        <w:spacing w:after="0" w:line="480" w:lineRule="auto"/>
        <w:ind w:left="0"/>
        <w:contextualSpacing w:val="0"/>
        <w:rPr>
          <w:rFonts w:ascii="Arial" w:hAnsi="Arial" w:cs="Arial"/>
          <w:b/>
          <w:sz w:val="24"/>
          <w:szCs w:val="24"/>
          <w:u w:val="single"/>
        </w:rPr>
      </w:pPr>
    </w:p>
    <w:p w14:paraId="577A6AC6" w14:textId="3C84B2A4" w:rsidR="00680E9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102.</w:t>
      </w:r>
      <w:r w:rsidRPr="00793A3E">
        <w:rPr>
          <w:rFonts w:ascii="Arial" w:hAnsi="Arial" w:cs="Arial"/>
          <w:sz w:val="24"/>
          <w:szCs w:val="24"/>
        </w:rPr>
        <w:tab/>
      </w:r>
      <w:r w:rsidR="00680E94" w:rsidRPr="00D33AC2">
        <w:rPr>
          <w:rFonts w:ascii="Arial" w:hAnsi="Arial" w:cs="Arial"/>
          <w:sz w:val="24"/>
          <w:szCs w:val="24"/>
        </w:rPr>
        <w:t>As this would potentially be dispositive of the review, it would be appropriate to deal with this issue first.</w:t>
      </w:r>
    </w:p>
    <w:p w14:paraId="0E5F0107" w14:textId="77777777" w:rsidR="00680E94" w:rsidRPr="00793A3E" w:rsidRDefault="00680E94" w:rsidP="00F009F9">
      <w:pPr>
        <w:pStyle w:val="ListParagraph"/>
        <w:spacing w:after="0" w:line="480" w:lineRule="auto"/>
        <w:contextualSpacing w:val="0"/>
        <w:jc w:val="both"/>
        <w:rPr>
          <w:rFonts w:ascii="Arial" w:hAnsi="Arial" w:cs="Arial"/>
          <w:sz w:val="24"/>
          <w:szCs w:val="24"/>
        </w:rPr>
      </w:pPr>
    </w:p>
    <w:p w14:paraId="6DB72DE0" w14:textId="0C83D069" w:rsidR="00680E9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lastRenderedPageBreak/>
        <w:t>103.</w:t>
      </w:r>
      <w:r w:rsidRPr="00793A3E">
        <w:rPr>
          <w:rFonts w:ascii="Arial" w:hAnsi="Arial" w:cs="Arial"/>
          <w:sz w:val="24"/>
          <w:szCs w:val="24"/>
        </w:rPr>
        <w:tab/>
      </w:r>
      <w:r w:rsidR="00680E94" w:rsidRPr="00D33AC2">
        <w:rPr>
          <w:rFonts w:ascii="Arial" w:hAnsi="Arial" w:cs="Arial"/>
          <w:sz w:val="24"/>
          <w:szCs w:val="24"/>
        </w:rPr>
        <w:t>I have already set out above the time line relevant and the argument advanced in outline in this regard.</w:t>
      </w:r>
    </w:p>
    <w:p w14:paraId="2767DD64" w14:textId="77777777" w:rsidR="00680E94" w:rsidRPr="00793A3E" w:rsidRDefault="00680E94" w:rsidP="00F009F9">
      <w:pPr>
        <w:pStyle w:val="ListParagraph"/>
        <w:spacing w:after="0" w:line="480" w:lineRule="auto"/>
        <w:contextualSpacing w:val="0"/>
        <w:rPr>
          <w:rFonts w:ascii="Arial" w:hAnsi="Arial" w:cs="Arial"/>
          <w:sz w:val="24"/>
          <w:szCs w:val="24"/>
        </w:rPr>
      </w:pPr>
    </w:p>
    <w:p w14:paraId="56A51846" w14:textId="07D2CBEC" w:rsidR="00680E9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104.</w:t>
      </w:r>
      <w:r w:rsidRPr="00793A3E">
        <w:rPr>
          <w:rFonts w:ascii="Arial" w:hAnsi="Arial" w:cs="Arial"/>
          <w:sz w:val="24"/>
          <w:szCs w:val="24"/>
        </w:rPr>
        <w:tab/>
      </w:r>
      <w:r w:rsidR="00680E94" w:rsidRPr="00D33AC2">
        <w:rPr>
          <w:rFonts w:ascii="Arial" w:hAnsi="Arial" w:cs="Arial"/>
          <w:sz w:val="24"/>
          <w:szCs w:val="24"/>
        </w:rPr>
        <w:t xml:space="preserve">It is common cause that applicant had knowledge that 5796 was not to proceed on 9 September 2019; that 5817 was cancelled at the latest on 9 January 2020; and in respect of 5818 on 14 January 2020, at least that the tender had been awarded to Rokewood.  </w:t>
      </w:r>
    </w:p>
    <w:p w14:paraId="16A11232" w14:textId="77777777" w:rsidR="00680E94" w:rsidRPr="00793A3E" w:rsidRDefault="00680E94" w:rsidP="00F009F9">
      <w:pPr>
        <w:pStyle w:val="ListParagraph"/>
        <w:spacing w:after="0" w:line="480" w:lineRule="auto"/>
        <w:contextualSpacing w:val="0"/>
        <w:rPr>
          <w:rFonts w:ascii="Arial" w:hAnsi="Arial" w:cs="Arial"/>
          <w:sz w:val="24"/>
          <w:szCs w:val="24"/>
        </w:rPr>
      </w:pPr>
    </w:p>
    <w:p w14:paraId="3C43B6B2" w14:textId="0A9F8DC1" w:rsidR="00680E9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105.</w:t>
      </w:r>
      <w:r w:rsidRPr="00793A3E">
        <w:rPr>
          <w:rFonts w:ascii="Arial" w:hAnsi="Arial" w:cs="Arial"/>
          <w:sz w:val="24"/>
          <w:szCs w:val="24"/>
        </w:rPr>
        <w:tab/>
      </w:r>
      <w:r w:rsidR="00680E94" w:rsidRPr="00D33AC2">
        <w:rPr>
          <w:rFonts w:ascii="Arial" w:hAnsi="Arial" w:cs="Arial"/>
          <w:sz w:val="24"/>
          <w:szCs w:val="24"/>
        </w:rPr>
        <w:t>Section 7(1) of PAJA provides that any proceedings for judicial review must be instituted without unreasonable delay and not later than 180 days after the date “…</w:t>
      </w:r>
      <w:r w:rsidR="00680E94" w:rsidRPr="00D33AC2">
        <w:rPr>
          <w:rFonts w:ascii="Arial" w:hAnsi="Arial" w:cs="Arial"/>
          <w:i/>
          <w:sz w:val="24"/>
          <w:szCs w:val="24"/>
        </w:rPr>
        <w:t>on which the person concerned was informed of the administrative action, became aware of the action and the reasons for it or might reasonably have been expected to have become aware of the action and the reasons.</w:t>
      </w:r>
      <w:r w:rsidR="00680E94" w:rsidRPr="00D33AC2">
        <w:rPr>
          <w:rFonts w:ascii="Arial" w:hAnsi="Arial" w:cs="Arial"/>
          <w:sz w:val="24"/>
          <w:szCs w:val="24"/>
        </w:rPr>
        <w:t xml:space="preserve">”  </w:t>
      </w:r>
    </w:p>
    <w:p w14:paraId="0CC49CCA" w14:textId="77777777" w:rsidR="00680E94" w:rsidRPr="00793A3E" w:rsidRDefault="00680E94" w:rsidP="00F009F9">
      <w:pPr>
        <w:pStyle w:val="ListParagraph"/>
        <w:spacing w:after="0" w:line="480" w:lineRule="auto"/>
        <w:contextualSpacing w:val="0"/>
        <w:rPr>
          <w:rFonts w:ascii="Arial" w:hAnsi="Arial" w:cs="Arial"/>
          <w:sz w:val="24"/>
          <w:szCs w:val="24"/>
        </w:rPr>
      </w:pPr>
    </w:p>
    <w:p w14:paraId="6DBFA7DA" w14:textId="3B7DF48D" w:rsidR="00680E9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106.</w:t>
      </w:r>
      <w:r w:rsidRPr="00793A3E">
        <w:rPr>
          <w:rFonts w:ascii="Arial" w:hAnsi="Arial" w:cs="Arial"/>
          <w:sz w:val="24"/>
          <w:szCs w:val="24"/>
        </w:rPr>
        <w:tab/>
      </w:r>
      <w:r w:rsidR="00680E94" w:rsidRPr="00D33AC2">
        <w:rPr>
          <w:rFonts w:ascii="Arial" w:hAnsi="Arial" w:cs="Arial"/>
          <w:sz w:val="24"/>
          <w:szCs w:val="24"/>
        </w:rPr>
        <w:t>Of course, in terms of section 9 of PAJA the period of 180 days may be extended for a fixed period by the court “</w:t>
      </w:r>
      <w:r w:rsidR="00680E94" w:rsidRPr="00D33AC2">
        <w:rPr>
          <w:rFonts w:ascii="Arial" w:hAnsi="Arial" w:cs="Arial"/>
          <w:i/>
          <w:sz w:val="24"/>
          <w:szCs w:val="24"/>
        </w:rPr>
        <w:t>… where the interest of justice so requires.</w:t>
      </w:r>
      <w:r w:rsidR="00680E94" w:rsidRPr="00D33AC2">
        <w:rPr>
          <w:rFonts w:ascii="Arial" w:hAnsi="Arial" w:cs="Arial"/>
          <w:sz w:val="24"/>
          <w:szCs w:val="24"/>
        </w:rPr>
        <w:t>”</w:t>
      </w:r>
    </w:p>
    <w:p w14:paraId="6C97586B" w14:textId="77777777" w:rsidR="00680E94" w:rsidRPr="00793A3E" w:rsidRDefault="00680E94" w:rsidP="00F009F9">
      <w:pPr>
        <w:pStyle w:val="ListParagraph"/>
        <w:spacing w:after="0" w:line="480" w:lineRule="auto"/>
        <w:contextualSpacing w:val="0"/>
        <w:rPr>
          <w:rFonts w:ascii="Arial" w:hAnsi="Arial" w:cs="Arial"/>
          <w:sz w:val="24"/>
          <w:szCs w:val="24"/>
        </w:rPr>
      </w:pPr>
    </w:p>
    <w:p w14:paraId="0527F563" w14:textId="4FA3D624" w:rsidR="00912640"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107.</w:t>
      </w:r>
      <w:r w:rsidRPr="00793A3E">
        <w:rPr>
          <w:rFonts w:ascii="Arial" w:hAnsi="Arial" w:cs="Arial"/>
          <w:sz w:val="24"/>
          <w:szCs w:val="24"/>
        </w:rPr>
        <w:tab/>
      </w:r>
      <w:r w:rsidR="00680E94" w:rsidRPr="00D33AC2">
        <w:rPr>
          <w:rFonts w:ascii="Arial" w:hAnsi="Arial" w:cs="Arial"/>
          <w:sz w:val="24"/>
          <w:szCs w:val="24"/>
        </w:rPr>
        <w:t>Having regard to what follows, the principle issue relates to 5818</w:t>
      </w:r>
      <w:r w:rsidR="0090737C" w:rsidRPr="00D33AC2">
        <w:rPr>
          <w:rFonts w:ascii="Arial" w:hAnsi="Arial" w:cs="Arial"/>
          <w:sz w:val="24"/>
          <w:szCs w:val="24"/>
        </w:rPr>
        <w:t>,</w:t>
      </w:r>
      <w:r w:rsidR="00680E94" w:rsidRPr="00D33AC2">
        <w:rPr>
          <w:rFonts w:ascii="Arial" w:hAnsi="Arial" w:cs="Arial"/>
          <w:sz w:val="24"/>
          <w:szCs w:val="24"/>
        </w:rPr>
        <w:t xml:space="preserve"> it being common cause that applicant was informed and became aware of the award of the tender, the administrative action, on 14 January 2020.  </w:t>
      </w:r>
      <w:r w:rsidR="00912640" w:rsidRPr="00D33AC2">
        <w:rPr>
          <w:rFonts w:ascii="Arial" w:hAnsi="Arial" w:cs="Arial"/>
          <w:sz w:val="24"/>
          <w:szCs w:val="24"/>
        </w:rPr>
        <w:t xml:space="preserve">It is argued, at least for second respondent, that the 180 day period commenced to run from that date and therefor lapsed on 13 July 2020, long before the review proceedings were launched </w:t>
      </w:r>
      <w:r w:rsidR="0090737C" w:rsidRPr="00D33AC2">
        <w:rPr>
          <w:rFonts w:ascii="Arial" w:hAnsi="Arial" w:cs="Arial"/>
          <w:sz w:val="24"/>
          <w:szCs w:val="24"/>
        </w:rPr>
        <w:t>o</w:t>
      </w:r>
      <w:r w:rsidR="00912640" w:rsidRPr="00D33AC2">
        <w:rPr>
          <w:rFonts w:ascii="Arial" w:hAnsi="Arial" w:cs="Arial"/>
          <w:sz w:val="24"/>
          <w:szCs w:val="24"/>
        </w:rPr>
        <w:t xml:space="preserve">n 17 August 2020, </w:t>
      </w:r>
      <w:r w:rsidR="005C3214" w:rsidRPr="00D33AC2">
        <w:rPr>
          <w:rFonts w:ascii="Arial" w:hAnsi="Arial" w:cs="Arial"/>
          <w:sz w:val="24"/>
          <w:szCs w:val="24"/>
        </w:rPr>
        <w:t xml:space="preserve">and </w:t>
      </w:r>
      <w:r w:rsidR="00912640" w:rsidRPr="00D33AC2">
        <w:rPr>
          <w:rFonts w:ascii="Arial" w:hAnsi="Arial" w:cs="Arial"/>
          <w:sz w:val="24"/>
          <w:szCs w:val="24"/>
        </w:rPr>
        <w:t xml:space="preserve">that accordingly applicant requires condonation and that this condonation will not be granted.  In respect of Eskom and 5818 it is argued in summary that applicant was advised hereof on </w:t>
      </w:r>
      <w:r w:rsidR="00912640" w:rsidRPr="00D33AC2">
        <w:rPr>
          <w:rFonts w:ascii="Arial" w:hAnsi="Arial" w:cs="Arial"/>
          <w:sz w:val="24"/>
          <w:szCs w:val="24"/>
        </w:rPr>
        <w:lastRenderedPageBreak/>
        <w:t>14 January 2020, acquiesced with first respondent’s response to the PAIA request except that the respondent did not challenge the response in terms of the mechanism created by PAIA and unreasonabl</w:t>
      </w:r>
      <w:r w:rsidR="0090737C" w:rsidRPr="00D33AC2">
        <w:rPr>
          <w:rFonts w:ascii="Arial" w:hAnsi="Arial" w:cs="Arial"/>
          <w:sz w:val="24"/>
          <w:szCs w:val="24"/>
        </w:rPr>
        <w:t>y</w:t>
      </w:r>
      <w:r w:rsidR="00912640" w:rsidRPr="00D33AC2">
        <w:rPr>
          <w:rFonts w:ascii="Arial" w:hAnsi="Arial" w:cs="Arial"/>
          <w:sz w:val="24"/>
          <w:szCs w:val="24"/>
        </w:rPr>
        <w:t xml:space="preserve"> delayed the institution of its review application from 14 January 2020 to 8 September 2020 (in fact this being the date of service).  </w:t>
      </w:r>
    </w:p>
    <w:p w14:paraId="68FD9BD2" w14:textId="77777777" w:rsidR="00912640" w:rsidRPr="00793A3E" w:rsidRDefault="00912640" w:rsidP="00F009F9">
      <w:pPr>
        <w:pStyle w:val="ListParagraph"/>
        <w:spacing w:after="0" w:line="480" w:lineRule="auto"/>
        <w:contextualSpacing w:val="0"/>
        <w:rPr>
          <w:rFonts w:ascii="Arial" w:hAnsi="Arial" w:cs="Arial"/>
          <w:sz w:val="24"/>
          <w:szCs w:val="24"/>
        </w:rPr>
      </w:pPr>
    </w:p>
    <w:p w14:paraId="644FC4B8" w14:textId="432E426F" w:rsidR="00680E9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108.</w:t>
      </w:r>
      <w:r w:rsidRPr="00793A3E">
        <w:rPr>
          <w:rFonts w:ascii="Arial" w:hAnsi="Arial" w:cs="Arial"/>
          <w:sz w:val="24"/>
          <w:szCs w:val="24"/>
        </w:rPr>
        <w:tab/>
      </w:r>
      <w:r w:rsidR="00912640" w:rsidRPr="00D33AC2">
        <w:rPr>
          <w:rFonts w:ascii="Arial" w:hAnsi="Arial" w:cs="Arial"/>
          <w:sz w:val="24"/>
          <w:szCs w:val="24"/>
        </w:rPr>
        <w:t xml:space="preserve">Neither Eskom nor Rokewood seemed to address, at least in their heads, the argument advanced for SKG that the period did not commence to run until reasons had been furnished.   </w:t>
      </w:r>
    </w:p>
    <w:p w14:paraId="633AA33A" w14:textId="77777777" w:rsidR="00680E94" w:rsidRPr="00793A3E" w:rsidRDefault="00680E94" w:rsidP="00F009F9">
      <w:pPr>
        <w:pStyle w:val="ListParagraph"/>
        <w:spacing w:after="0" w:line="480" w:lineRule="auto"/>
        <w:contextualSpacing w:val="0"/>
        <w:rPr>
          <w:rFonts w:ascii="Arial" w:hAnsi="Arial" w:cs="Arial"/>
          <w:sz w:val="24"/>
          <w:szCs w:val="24"/>
        </w:rPr>
      </w:pPr>
    </w:p>
    <w:p w14:paraId="5B94E6D9" w14:textId="500DF63C" w:rsidR="00C65FFF"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109.</w:t>
      </w:r>
      <w:r w:rsidRPr="00793A3E">
        <w:rPr>
          <w:rFonts w:ascii="Arial" w:hAnsi="Arial" w:cs="Arial"/>
          <w:sz w:val="24"/>
          <w:szCs w:val="24"/>
        </w:rPr>
        <w:tab/>
      </w:r>
      <w:r w:rsidR="00C65FFF" w:rsidRPr="00D33AC2">
        <w:rPr>
          <w:rFonts w:ascii="Arial" w:hAnsi="Arial" w:cs="Arial"/>
          <w:sz w:val="24"/>
          <w:szCs w:val="24"/>
        </w:rPr>
        <w:t>Hoexter Penfold Administrative Law in South Africa 3</w:t>
      </w:r>
      <w:r w:rsidR="00C65FFF" w:rsidRPr="00D33AC2">
        <w:rPr>
          <w:rFonts w:ascii="Arial" w:hAnsi="Arial" w:cs="Arial"/>
          <w:sz w:val="24"/>
          <w:szCs w:val="24"/>
          <w:vertAlign w:val="superscript"/>
        </w:rPr>
        <w:t>rd</w:t>
      </w:r>
      <w:r w:rsidR="00C65FFF" w:rsidRPr="00D33AC2">
        <w:rPr>
          <w:rFonts w:ascii="Arial" w:hAnsi="Arial" w:cs="Arial"/>
          <w:sz w:val="24"/>
          <w:szCs w:val="24"/>
        </w:rPr>
        <w:t xml:space="preserve"> ed at 724 state that “</w:t>
      </w:r>
      <w:r w:rsidR="00C65FFF" w:rsidRPr="00D33AC2">
        <w:rPr>
          <w:rFonts w:ascii="Arial" w:hAnsi="Arial" w:cs="Arial"/>
          <w:i/>
          <w:sz w:val="24"/>
          <w:szCs w:val="24"/>
        </w:rPr>
        <w:t>curiously</w:t>
      </w:r>
      <w:r w:rsidR="00C65FFF" w:rsidRPr="00D33AC2">
        <w:rPr>
          <w:rFonts w:ascii="Arial" w:hAnsi="Arial" w:cs="Arial"/>
          <w:sz w:val="24"/>
          <w:szCs w:val="24"/>
        </w:rPr>
        <w:t>” the reference to “</w:t>
      </w:r>
      <w:r w:rsidR="00C65FFF" w:rsidRPr="00D33AC2">
        <w:rPr>
          <w:rFonts w:ascii="Arial" w:hAnsi="Arial" w:cs="Arial"/>
          <w:i/>
          <w:sz w:val="24"/>
          <w:szCs w:val="24"/>
        </w:rPr>
        <w:t>and the reasons</w:t>
      </w:r>
      <w:r w:rsidR="00C65FFF" w:rsidRPr="00D33AC2">
        <w:rPr>
          <w:rFonts w:ascii="Arial" w:hAnsi="Arial" w:cs="Arial"/>
          <w:sz w:val="24"/>
          <w:szCs w:val="24"/>
        </w:rPr>
        <w:t>” that the better reading of section 7(1)((b) of PAJA is that where a person is informed of the decision but not the reasons, the period starts to run only when that person becomes aware of the reasons or might reasonabl</w:t>
      </w:r>
      <w:r w:rsidR="0090737C" w:rsidRPr="00D33AC2">
        <w:rPr>
          <w:rFonts w:ascii="Arial" w:hAnsi="Arial" w:cs="Arial"/>
          <w:sz w:val="24"/>
          <w:szCs w:val="24"/>
        </w:rPr>
        <w:t>y</w:t>
      </w:r>
      <w:r w:rsidR="00C65FFF" w:rsidRPr="00D33AC2">
        <w:rPr>
          <w:rFonts w:ascii="Arial" w:hAnsi="Arial" w:cs="Arial"/>
          <w:sz w:val="24"/>
          <w:szCs w:val="24"/>
        </w:rPr>
        <w:t xml:space="preserve"> have been expected to become aware of them.  </w:t>
      </w:r>
    </w:p>
    <w:p w14:paraId="7A68F98E" w14:textId="77777777" w:rsidR="00C65FFF" w:rsidRPr="00793A3E" w:rsidRDefault="00C65FFF" w:rsidP="00F009F9">
      <w:pPr>
        <w:pStyle w:val="ListParagraph"/>
        <w:spacing w:after="0" w:line="480" w:lineRule="auto"/>
        <w:contextualSpacing w:val="0"/>
        <w:rPr>
          <w:rFonts w:ascii="Arial" w:hAnsi="Arial" w:cs="Arial"/>
          <w:sz w:val="24"/>
          <w:szCs w:val="24"/>
        </w:rPr>
      </w:pPr>
    </w:p>
    <w:p w14:paraId="283ABDEA" w14:textId="7F5B83BB" w:rsidR="00173A0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110.</w:t>
      </w:r>
      <w:r w:rsidRPr="00793A3E">
        <w:rPr>
          <w:rFonts w:ascii="Arial" w:hAnsi="Arial" w:cs="Arial"/>
          <w:sz w:val="24"/>
          <w:szCs w:val="24"/>
        </w:rPr>
        <w:tab/>
      </w:r>
      <w:r w:rsidR="00C65FFF" w:rsidRPr="00D33AC2">
        <w:rPr>
          <w:rFonts w:ascii="Arial" w:hAnsi="Arial" w:cs="Arial"/>
          <w:sz w:val="24"/>
          <w:szCs w:val="24"/>
        </w:rPr>
        <w:t xml:space="preserve">In </w:t>
      </w:r>
      <w:r w:rsidR="00C65FFF" w:rsidRPr="00D33AC2">
        <w:rPr>
          <w:rFonts w:ascii="Arial" w:hAnsi="Arial" w:cs="Arial"/>
          <w:b/>
          <w:sz w:val="24"/>
          <w:szCs w:val="24"/>
        </w:rPr>
        <w:t>City of Cape Town v Aurecon</w:t>
      </w:r>
      <w:r w:rsidR="00C65FFF" w:rsidRPr="00793A3E">
        <w:rPr>
          <w:rStyle w:val="FootnoteReference"/>
          <w:rFonts w:ascii="Arial" w:hAnsi="Arial" w:cs="Arial"/>
          <w:b/>
          <w:sz w:val="24"/>
          <w:szCs w:val="24"/>
        </w:rPr>
        <w:footnoteReference w:id="24"/>
      </w:r>
      <w:r w:rsidR="00C65FFF" w:rsidRPr="00D33AC2">
        <w:rPr>
          <w:rFonts w:ascii="Arial" w:hAnsi="Arial" w:cs="Arial"/>
          <w:sz w:val="24"/>
          <w:szCs w:val="24"/>
        </w:rPr>
        <w:t xml:space="preserve"> the Constitutional Court held that the period in section 7(1)(b) starts to run from the date on which the reasons became known, or reasonabl</w:t>
      </w:r>
      <w:r w:rsidR="005C3214" w:rsidRPr="00D33AC2">
        <w:rPr>
          <w:rFonts w:ascii="Arial" w:hAnsi="Arial" w:cs="Arial"/>
          <w:sz w:val="24"/>
          <w:szCs w:val="24"/>
        </w:rPr>
        <w:t>y</w:t>
      </w:r>
      <w:r w:rsidR="00C65FFF" w:rsidRPr="00D33AC2">
        <w:rPr>
          <w:rFonts w:ascii="Arial" w:hAnsi="Arial" w:cs="Arial"/>
          <w:sz w:val="24"/>
          <w:szCs w:val="24"/>
        </w:rPr>
        <w:t xml:space="preserve"> </w:t>
      </w:r>
      <w:r w:rsidR="005C3214" w:rsidRPr="00D33AC2">
        <w:rPr>
          <w:rFonts w:ascii="Arial" w:hAnsi="Arial" w:cs="Arial"/>
          <w:sz w:val="24"/>
          <w:szCs w:val="24"/>
        </w:rPr>
        <w:t xml:space="preserve">ought </w:t>
      </w:r>
      <w:r w:rsidR="00C65FFF" w:rsidRPr="00D33AC2">
        <w:rPr>
          <w:rFonts w:ascii="Arial" w:hAnsi="Arial" w:cs="Arial"/>
          <w:sz w:val="24"/>
          <w:szCs w:val="24"/>
        </w:rPr>
        <w:t xml:space="preserve">to have become known to the applicant, rather than from the date on which the applicant became aware that the administrative action was tainted by irregularity.  </w:t>
      </w:r>
    </w:p>
    <w:p w14:paraId="70948143" w14:textId="77777777" w:rsidR="00C65FFF" w:rsidRPr="00793A3E" w:rsidRDefault="00C65FFF" w:rsidP="00F009F9">
      <w:pPr>
        <w:pStyle w:val="ListParagraph"/>
        <w:spacing w:after="0" w:line="480" w:lineRule="auto"/>
        <w:contextualSpacing w:val="0"/>
        <w:rPr>
          <w:rFonts w:ascii="Arial" w:hAnsi="Arial" w:cs="Arial"/>
          <w:sz w:val="24"/>
          <w:szCs w:val="24"/>
        </w:rPr>
      </w:pPr>
    </w:p>
    <w:p w14:paraId="0C2FDD95" w14:textId="0480F44C" w:rsidR="00C65FFF"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lastRenderedPageBreak/>
        <w:t>111.</w:t>
      </w:r>
      <w:r w:rsidRPr="00793A3E">
        <w:rPr>
          <w:rFonts w:ascii="Arial" w:hAnsi="Arial" w:cs="Arial"/>
          <w:sz w:val="24"/>
          <w:szCs w:val="24"/>
        </w:rPr>
        <w:tab/>
      </w:r>
      <w:r w:rsidR="00C65FFF" w:rsidRPr="00D33AC2">
        <w:rPr>
          <w:rFonts w:ascii="Arial" w:hAnsi="Arial" w:cs="Arial"/>
          <w:sz w:val="24"/>
          <w:szCs w:val="24"/>
        </w:rPr>
        <w:t>The conclusion as to when an applicant might reasonabl</w:t>
      </w:r>
      <w:r w:rsidR="0090737C" w:rsidRPr="00D33AC2">
        <w:rPr>
          <w:rFonts w:ascii="Arial" w:hAnsi="Arial" w:cs="Arial"/>
          <w:sz w:val="24"/>
          <w:szCs w:val="24"/>
        </w:rPr>
        <w:t>y</w:t>
      </w:r>
      <w:r w:rsidR="00C65FFF" w:rsidRPr="00D33AC2">
        <w:rPr>
          <w:rFonts w:ascii="Arial" w:hAnsi="Arial" w:cs="Arial"/>
          <w:sz w:val="24"/>
          <w:szCs w:val="24"/>
        </w:rPr>
        <w:t xml:space="preserve"> have been expected to have become aware of the action and the reasons as contemplated</w:t>
      </w:r>
      <w:r w:rsidR="0090737C" w:rsidRPr="00D33AC2">
        <w:rPr>
          <w:rFonts w:ascii="Arial" w:hAnsi="Arial" w:cs="Arial"/>
          <w:sz w:val="24"/>
          <w:szCs w:val="24"/>
        </w:rPr>
        <w:t>,</w:t>
      </w:r>
      <w:r w:rsidR="00C65FFF" w:rsidRPr="00D33AC2">
        <w:rPr>
          <w:rFonts w:ascii="Arial" w:hAnsi="Arial" w:cs="Arial"/>
          <w:sz w:val="24"/>
          <w:szCs w:val="24"/>
        </w:rPr>
        <w:t xml:space="preserve"> depends as Hoexter points out</w:t>
      </w:r>
      <w:r w:rsidR="005C3214" w:rsidRPr="00D33AC2">
        <w:rPr>
          <w:rFonts w:ascii="Arial" w:hAnsi="Arial" w:cs="Arial"/>
          <w:sz w:val="24"/>
          <w:szCs w:val="24"/>
        </w:rPr>
        <w:t>,</w:t>
      </w:r>
      <w:r w:rsidR="00C65FFF" w:rsidRPr="00D33AC2">
        <w:rPr>
          <w:rFonts w:ascii="Arial" w:hAnsi="Arial" w:cs="Arial"/>
          <w:sz w:val="24"/>
          <w:szCs w:val="24"/>
        </w:rPr>
        <w:t xml:space="preserve"> on the circumstances.</w:t>
      </w:r>
      <w:r w:rsidR="00C65FFF" w:rsidRPr="00793A3E">
        <w:rPr>
          <w:rStyle w:val="FootnoteReference"/>
          <w:rFonts w:ascii="Arial" w:hAnsi="Arial" w:cs="Arial"/>
          <w:sz w:val="24"/>
          <w:szCs w:val="24"/>
        </w:rPr>
        <w:footnoteReference w:id="25"/>
      </w:r>
      <w:r w:rsidR="00C65FFF" w:rsidRPr="00D33AC2">
        <w:rPr>
          <w:rFonts w:ascii="Arial" w:hAnsi="Arial" w:cs="Arial"/>
          <w:sz w:val="24"/>
          <w:szCs w:val="24"/>
        </w:rPr>
        <w:t xml:space="preserve">  </w:t>
      </w:r>
    </w:p>
    <w:p w14:paraId="23544285" w14:textId="77777777" w:rsidR="00C65FFF" w:rsidRPr="00793A3E" w:rsidRDefault="00C65FFF" w:rsidP="00F009F9">
      <w:pPr>
        <w:pStyle w:val="ListParagraph"/>
        <w:spacing w:after="0" w:line="480" w:lineRule="auto"/>
        <w:contextualSpacing w:val="0"/>
        <w:rPr>
          <w:rFonts w:ascii="Arial" w:hAnsi="Arial" w:cs="Arial"/>
          <w:sz w:val="24"/>
          <w:szCs w:val="24"/>
        </w:rPr>
      </w:pPr>
    </w:p>
    <w:p w14:paraId="7288B44A" w14:textId="5F529EEF" w:rsidR="00C65FFF"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112.</w:t>
      </w:r>
      <w:r w:rsidRPr="00793A3E">
        <w:rPr>
          <w:rFonts w:ascii="Arial" w:hAnsi="Arial" w:cs="Arial"/>
          <w:sz w:val="24"/>
          <w:szCs w:val="24"/>
        </w:rPr>
        <w:tab/>
      </w:r>
      <w:r w:rsidR="00C65FFF" w:rsidRPr="00D33AC2">
        <w:rPr>
          <w:rFonts w:ascii="Arial" w:hAnsi="Arial" w:cs="Arial"/>
          <w:sz w:val="24"/>
          <w:szCs w:val="24"/>
        </w:rPr>
        <w:t xml:space="preserve">This must be so, and in this matter </w:t>
      </w:r>
      <w:r w:rsidR="005C3214" w:rsidRPr="00D33AC2">
        <w:rPr>
          <w:rFonts w:ascii="Arial" w:hAnsi="Arial" w:cs="Arial"/>
          <w:sz w:val="24"/>
          <w:szCs w:val="24"/>
        </w:rPr>
        <w:t xml:space="preserve">is </w:t>
      </w:r>
      <w:r w:rsidR="00C65FFF" w:rsidRPr="00D33AC2">
        <w:rPr>
          <w:rFonts w:ascii="Arial" w:hAnsi="Arial" w:cs="Arial"/>
          <w:sz w:val="24"/>
          <w:szCs w:val="24"/>
        </w:rPr>
        <w:t>clearly applicable, the question being when applicant was or could reasonabl</w:t>
      </w:r>
      <w:r w:rsidR="0090737C" w:rsidRPr="00D33AC2">
        <w:rPr>
          <w:rFonts w:ascii="Arial" w:hAnsi="Arial" w:cs="Arial"/>
          <w:sz w:val="24"/>
          <w:szCs w:val="24"/>
        </w:rPr>
        <w:t>y</w:t>
      </w:r>
      <w:r w:rsidR="00C65FFF" w:rsidRPr="00D33AC2">
        <w:rPr>
          <w:rFonts w:ascii="Arial" w:hAnsi="Arial" w:cs="Arial"/>
          <w:sz w:val="24"/>
          <w:szCs w:val="24"/>
        </w:rPr>
        <w:t xml:space="preserve"> have been aware of the reasons for the award of the tender to Rokewood and not itself.  I stress that th</w:t>
      </w:r>
      <w:r w:rsidR="005C3214" w:rsidRPr="00D33AC2">
        <w:rPr>
          <w:rFonts w:ascii="Arial" w:hAnsi="Arial" w:cs="Arial"/>
          <w:sz w:val="24"/>
          <w:szCs w:val="24"/>
        </w:rPr>
        <w:t>is</w:t>
      </w:r>
      <w:r w:rsidR="00C65FFF" w:rsidRPr="00D33AC2">
        <w:rPr>
          <w:rFonts w:ascii="Arial" w:hAnsi="Arial" w:cs="Arial"/>
          <w:sz w:val="24"/>
          <w:szCs w:val="24"/>
        </w:rPr>
        <w:t xml:space="preserve"> is different from an enquiry as to when an applicant might become aware that the administrative action was tainted by irregularity.  </w:t>
      </w:r>
    </w:p>
    <w:p w14:paraId="01798222" w14:textId="77777777" w:rsidR="00C65FFF" w:rsidRPr="00793A3E" w:rsidRDefault="00C65FFF" w:rsidP="00F009F9">
      <w:pPr>
        <w:pStyle w:val="ListParagraph"/>
        <w:spacing w:after="0" w:line="480" w:lineRule="auto"/>
        <w:contextualSpacing w:val="0"/>
        <w:rPr>
          <w:rFonts w:ascii="Arial" w:hAnsi="Arial" w:cs="Arial"/>
          <w:sz w:val="24"/>
          <w:szCs w:val="24"/>
        </w:rPr>
      </w:pPr>
    </w:p>
    <w:p w14:paraId="2D820095" w14:textId="11D17110" w:rsidR="00C65FFF"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113.</w:t>
      </w:r>
      <w:r w:rsidRPr="00793A3E">
        <w:rPr>
          <w:rFonts w:ascii="Arial" w:hAnsi="Arial" w:cs="Arial"/>
          <w:sz w:val="24"/>
          <w:szCs w:val="24"/>
        </w:rPr>
        <w:tab/>
      </w:r>
      <w:r w:rsidR="00C65FFF" w:rsidRPr="00D33AC2">
        <w:rPr>
          <w:rFonts w:ascii="Arial" w:hAnsi="Arial" w:cs="Arial"/>
          <w:sz w:val="24"/>
          <w:szCs w:val="24"/>
        </w:rPr>
        <w:t xml:space="preserve">The award of 5818 was made on 30 December 2019 to Rokewood.  </w:t>
      </w:r>
    </w:p>
    <w:p w14:paraId="6F5D30BD" w14:textId="77777777" w:rsidR="00C65FFF" w:rsidRPr="00793A3E" w:rsidRDefault="00C65FFF" w:rsidP="00F009F9">
      <w:pPr>
        <w:pStyle w:val="ListParagraph"/>
        <w:spacing w:after="0" w:line="480" w:lineRule="auto"/>
        <w:contextualSpacing w:val="0"/>
        <w:rPr>
          <w:rFonts w:ascii="Arial" w:hAnsi="Arial" w:cs="Arial"/>
          <w:sz w:val="24"/>
          <w:szCs w:val="24"/>
        </w:rPr>
      </w:pPr>
    </w:p>
    <w:p w14:paraId="6523BB7B" w14:textId="56477C07" w:rsidR="00C65FFF"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114.</w:t>
      </w:r>
      <w:r w:rsidRPr="00793A3E">
        <w:rPr>
          <w:rFonts w:ascii="Arial" w:hAnsi="Arial" w:cs="Arial"/>
          <w:sz w:val="24"/>
          <w:szCs w:val="24"/>
        </w:rPr>
        <w:tab/>
      </w:r>
      <w:r w:rsidR="00C65FFF" w:rsidRPr="00D33AC2">
        <w:rPr>
          <w:rFonts w:ascii="Arial" w:hAnsi="Arial" w:cs="Arial"/>
          <w:sz w:val="24"/>
          <w:szCs w:val="24"/>
        </w:rPr>
        <w:t xml:space="preserve">The notification by letter from Eskom on 14 January 2020 simply informed that SKG had not been successful and that Rokewood had giving no reasons whatsoever therefor.  It is common cause that SKG was not aware </w:t>
      </w:r>
      <w:r w:rsidR="005C3214" w:rsidRPr="00D33AC2">
        <w:rPr>
          <w:rFonts w:ascii="Arial" w:hAnsi="Arial" w:cs="Arial"/>
          <w:sz w:val="24"/>
          <w:szCs w:val="24"/>
        </w:rPr>
        <w:t xml:space="preserve">at </w:t>
      </w:r>
      <w:r w:rsidR="00C65FFF" w:rsidRPr="00D33AC2">
        <w:rPr>
          <w:rFonts w:ascii="Arial" w:hAnsi="Arial" w:cs="Arial"/>
          <w:sz w:val="24"/>
          <w:szCs w:val="24"/>
        </w:rPr>
        <w:t>that time</w:t>
      </w:r>
      <w:r w:rsidR="005C3214" w:rsidRPr="00D33AC2">
        <w:rPr>
          <w:rFonts w:ascii="Arial" w:hAnsi="Arial" w:cs="Arial"/>
          <w:sz w:val="24"/>
          <w:szCs w:val="24"/>
        </w:rPr>
        <w:t>,</w:t>
      </w:r>
      <w:r w:rsidR="00C65FFF" w:rsidRPr="00D33AC2">
        <w:rPr>
          <w:rFonts w:ascii="Arial" w:hAnsi="Arial" w:cs="Arial"/>
          <w:sz w:val="24"/>
          <w:szCs w:val="24"/>
        </w:rPr>
        <w:t xml:space="preserve"> of the reasons therefor.  </w:t>
      </w:r>
    </w:p>
    <w:p w14:paraId="26DC46CF" w14:textId="77777777" w:rsidR="00C65FFF" w:rsidRPr="00793A3E" w:rsidRDefault="00C65FFF" w:rsidP="00F009F9">
      <w:pPr>
        <w:pStyle w:val="ListParagraph"/>
        <w:spacing w:after="0" w:line="480" w:lineRule="auto"/>
        <w:contextualSpacing w:val="0"/>
        <w:rPr>
          <w:rFonts w:ascii="Arial" w:hAnsi="Arial" w:cs="Arial"/>
          <w:sz w:val="24"/>
          <w:szCs w:val="24"/>
        </w:rPr>
      </w:pPr>
    </w:p>
    <w:p w14:paraId="6B9546F7" w14:textId="21758BBA" w:rsidR="00033D6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115.</w:t>
      </w:r>
      <w:r w:rsidRPr="00793A3E">
        <w:rPr>
          <w:rFonts w:ascii="Arial" w:hAnsi="Arial" w:cs="Arial"/>
          <w:sz w:val="24"/>
          <w:szCs w:val="24"/>
        </w:rPr>
        <w:tab/>
      </w:r>
      <w:r w:rsidR="00C65FFF" w:rsidRPr="00D33AC2">
        <w:rPr>
          <w:rFonts w:ascii="Arial" w:hAnsi="Arial" w:cs="Arial"/>
          <w:sz w:val="24"/>
          <w:szCs w:val="24"/>
        </w:rPr>
        <w:t>Being unaware of the reasons</w:t>
      </w:r>
      <w:r w:rsidR="0090737C" w:rsidRPr="00D33AC2">
        <w:rPr>
          <w:rFonts w:ascii="Arial" w:hAnsi="Arial" w:cs="Arial"/>
          <w:sz w:val="24"/>
          <w:szCs w:val="24"/>
        </w:rPr>
        <w:t>,</w:t>
      </w:r>
      <w:r w:rsidR="00C65FFF" w:rsidRPr="00D33AC2">
        <w:rPr>
          <w:rFonts w:ascii="Arial" w:hAnsi="Arial" w:cs="Arial"/>
          <w:sz w:val="24"/>
          <w:szCs w:val="24"/>
        </w:rPr>
        <w:t xml:space="preserve"> SKG requested the record of the decision on 21 January 2020, and alleges that Eskom delayed making available the record by seeking extensions and dishonouring its own undertakings to make </w:t>
      </w:r>
      <w:r w:rsidR="005C3214" w:rsidRPr="00D33AC2">
        <w:rPr>
          <w:rFonts w:ascii="Arial" w:hAnsi="Arial" w:cs="Arial"/>
          <w:sz w:val="24"/>
          <w:szCs w:val="24"/>
        </w:rPr>
        <w:t xml:space="preserve">this </w:t>
      </w:r>
      <w:r w:rsidR="00C65FFF" w:rsidRPr="00D33AC2">
        <w:rPr>
          <w:rFonts w:ascii="Arial" w:hAnsi="Arial" w:cs="Arial"/>
          <w:sz w:val="24"/>
          <w:szCs w:val="24"/>
        </w:rPr>
        <w:t>available</w:t>
      </w:r>
      <w:r w:rsidR="005C3214" w:rsidRPr="00D33AC2">
        <w:rPr>
          <w:rFonts w:ascii="Arial" w:hAnsi="Arial" w:cs="Arial"/>
          <w:sz w:val="24"/>
          <w:szCs w:val="24"/>
        </w:rPr>
        <w:t xml:space="preserve">.  </w:t>
      </w:r>
      <w:r w:rsidR="00C65FFF" w:rsidRPr="00D33AC2">
        <w:rPr>
          <w:rFonts w:ascii="Arial" w:hAnsi="Arial" w:cs="Arial"/>
          <w:sz w:val="24"/>
          <w:szCs w:val="24"/>
        </w:rPr>
        <w:t>It is thus that it is argued that eventually on 16 March 2020 Eskom made available some documents</w:t>
      </w:r>
      <w:r w:rsidR="00033D64" w:rsidRPr="00D33AC2">
        <w:rPr>
          <w:rFonts w:ascii="Arial" w:hAnsi="Arial" w:cs="Arial"/>
          <w:sz w:val="24"/>
          <w:szCs w:val="24"/>
        </w:rPr>
        <w:t>,</w:t>
      </w:r>
      <w:r w:rsidR="00C65FFF" w:rsidRPr="00D33AC2">
        <w:rPr>
          <w:rFonts w:ascii="Arial" w:hAnsi="Arial" w:cs="Arial"/>
          <w:sz w:val="24"/>
          <w:szCs w:val="24"/>
        </w:rPr>
        <w:t xml:space="preserve"> </w:t>
      </w:r>
      <w:r w:rsidR="00033D64" w:rsidRPr="00D33AC2">
        <w:rPr>
          <w:rFonts w:ascii="Arial" w:hAnsi="Arial" w:cs="Arial"/>
          <w:sz w:val="24"/>
          <w:szCs w:val="24"/>
        </w:rPr>
        <w:t>but not</w:t>
      </w:r>
      <w:r w:rsidR="005C3214" w:rsidRPr="00D33AC2">
        <w:rPr>
          <w:rFonts w:ascii="Arial" w:hAnsi="Arial" w:cs="Arial"/>
          <w:sz w:val="24"/>
          <w:szCs w:val="24"/>
        </w:rPr>
        <w:t>,</w:t>
      </w:r>
      <w:r w:rsidR="00033D64" w:rsidRPr="00D33AC2">
        <w:rPr>
          <w:rFonts w:ascii="Arial" w:hAnsi="Arial" w:cs="Arial"/>
          <w:sz w:val="24"/>
          <w:szCs w:val="24"/>
        </w:rPr>
        <w:t xml:space="preserve"> argues SKG, a complete record with sufficient reasons.  </w:t>
      </w:r>
    </w:p>
    <w:p w14:paraId="58D074C7" w14:textId="77777777" w:rsidR="00033D64" w:rsidRPr="00793A3E" w:rsidRDefault="00033D64" w:rsidP="00F009F9">
      <w:pPr>
        <w:pStyle w:val="ListParagraph"/>
        <w:spacing w:after="0" w:line="480" w:lineRule="auto"/>
        <w:contextualSpacing w:val="0"/>
        <w:rPr>
          <w:rFonts w:ascii="Arial" w:hAnsi="Arial" w:cs="Arial"/>
          <w:sz w:val="24"/>
          <w:szCs w:val="24"/>
        </w:rPr>
      </w:pPr>
    </w:p>
    <w:p w14:paraId="501CEAA8" w14:textId="75046BB2" w:rsidR="00033D6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lastRenderedPageBreak/>
        <w:t>116.</w:t>
      </w:r>
      <w:r w:rsidRPr="00793A3E">
        <w:rPr>
          <w:rFonts w:ascii="Arial" w:hAnsi="Arial" w:cs="Arial"/>
          <w:sz w:val="24"/>
          <w:szCs w:val="24"/>
        </w:rPr>
        <w:tab/>
      </w:r>
      <w:r w:rsidR="00033D64" w:rsidRPr="00D33AC2">
        <w:rPr>
          <w:rFonts w:ascii="Arial" w:hAnsi="Arial" w:cs="Arial"/>
          <w:sz w:val="24"/>
          <w:szCs w:val="24"/>
        </w:rPr>
        <w:t xml:space="preserve">In the answering affidavit by Eskom the allegations relevant to knowledge are simply denied, setting out no basis for arguing that in respect of 5818 applicant was furnished with reasons on any earlier date than March 2020.  In respect of 5796 and 5817 it is set out that reasons were given on 10 September 2019 and 9 January 2020 respectively.  </w:t>
      </w:r>
    </w:p>
    <w:p w14:paraId="00630C3F" w14:textId="77777777" w:rsidR="00033D64" w:rsidRPr="00793A3E" w:rsidRDefault="00033D64" w:rsidP="00F009F9">
      <w:pPr>
        <w:pStyle w:val="ListParagraph"/>
        <w:spacing w:after="0" w:line="480" w:lineRule="auto"/>
        <w:contextualSpacing w:val="0"/>
        <w:rPr>
          <w:rFonts w:ascii="Arial" w:hAnsi="Arial" w:cs="Arial"/>
          <w:sz w:val="24"/>
          <w:szCs w:val="24"/>
        </w:rPr>
      </w:pPr>
    </w:p>
    <w:p w14:paraId="72D97EDC" w14:textId="77FB5B0A" w:rsidR="00C65FFF"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117.</w:t>
      </w:r>
      <w:r w:rsidRPr="00793A3E">
        <w:rPr>
          <w:rFonts w:ascii="Arial" w:hAnsi="Arial" w:cs="Arial"/>
          <w:sz w:val="24"/>
          <w:szCs w:val="24"/>
        </w:rPr>
        <w:tab/>
      </w:r>
      <w:r w:rsidR="00033D64" w:rsidRPr="00D33AC2">
        <w:rPr>
          <w:rFonts w:ascii="Arial" w:hAnsi="Arial" w:cs="Arial"/>
          <w:sz w:val="24"/>
          <w:szCs w:val="24"/>
        </w:rPr>
        <w:t xml:space="preserve">In my view, there is no sustainable argument that applicant, SKG, was sufficiently aware of </w:t>
      </w:r>
      <w:r w:rsidR="005C3214" w:rsidRPr="00D33AC2">
        <w:rPr>
          <w:rFonts w:ascii="Arial" w:hAnsi="Arial" w:cs="Arial"/>
          <w:sz w:val="24"/>
          <w:szCs w:val="24"/>
        </w:rPr>
        <w:t xml:space="preserve">the </w:t>
      </w:r>
      <w:r w:rsidR="00033D64" w:rsidRPr="00D33AC2">
        <w:rPr>
          <w:rFonts w:ascii="Arial" w:hAnsi="Arial" w:cs="Arial"/>
          <w:sz w:val="24"/>
          <w:szCs w:val="24"/>
        </w:rPr>
        <w:t xml:space="preserve">reasons for the decision (as opposed to impropriety alleged) at any time prior to the furnishing of the first documents on 16 March 2020.    </w:t>
      </w:r>
    </w:p>
    <w:p w14:paraId="1CE4C40C" w14:textId="77777777" w:rsidR="00033D64" w:rsidRPr="00793A3E" w:rsidRDefault="00033D64" w:rsidP="00F009F9">
      <w:pPr>
        <w:pStyle w:val="ListParagraph"/>
        <w:spacing w:after="0" w:line="480" w:lineRule="auto"/>
        <w:contextualSpacing w:val="0"/>
        <w:rPr>
          <w:rFonts w:ascii="Arial" w:hAnsi="Arial" w:cs="Arial"/>
          <w:sz w:val="24"/>
          <w:szCs w:val="24"/>
        </w:rPr>
      </w:pPr>
    </w:p>
    <w:p w14:paraId="0F41C778" w14:textId="78F9597A" w:rsidR="00033D6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118.</w:t>
      </w:r>
      <w:r w:rsidRPr="00793A3E">
        <w:rPr>
          <w:rFonts w:ascii="Arial" w:hAnsi="Arial" w:cs="Arial"/>
          <w:sz w:val="24"/>
          <w:szCs w:val="24"/>
        </w:rPr>
        <w:tab/>
      </w:r>
      <w:r w:rsidR="00033D64" w:rsidRPr="00D33AC2">
        <w:rPr>
          <w:rFonts w:ascii="Arial" w:hAnsi="Arial" w:cs="Arial"/>
          <w:sz w:val="24"/>
          <w:szCs w:val="24"/>
        </w:rPr>
        <w:t xml:space="preserve">It follows, </w:t>
      </w:r>
      <w:r w:rsidR="0090737C" w:rsidRPr="00D33AC2">
        <w:rPr>
          <w:rFonts w:ascii="Arial" w:hAnsi="Arial" w:cs="Arial"/>
          <w:sz w:val="24"/>
          <w:szCs w:val="24"/>
        </w:rPr>
        <w:t>m</w:t>
      </w:r>
      <w:r w:rsidR="00033D64" w:rsidRPr="00D33AC2">
        <w:rPr>
          <w:rFonts w:ascii="Arial" w:hAnsi="Arial" w:cs="Arial"/>
          <w:sz w:val="24"/>
          <w:szCs w:val="24"/>
        </w:rPr>
        <w:t>ore that the review application in respect of 5818 was more than timeous and certainly within the 180 day period.</w:t>
      </w:r>
    </w:p>
    <w:p w14:paraId="698E0887" w14:textId="77777777" w:rsidR="00033D64" w:rsidRPr="00793A3E" w:rsidRDefault="00033D64" w:rsidP="00F009F9">
      <w:pPr>
        <w:pStyle w:val="ListParagraph"/>
        <w:spacing w:after="0" w:line="480" w:lineRule="auto"/>
        <w:contextualSpacing w:val="0"/>
        <w:rPr>
          <w:rFonts w:ascii="Arial" w:hAnsi="Arial" w:cs="Arial"/>
          <w:sz w:val="24"/>
          <w:szCs w:val="24"/>
        </w:rPr>
      </w:pPr>
    </w:p>
    <w:p w14:paraId="08EA1D41" w14:textId="144C7B9F" w:rsidR="00033D6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119.</w:t>
      </w:r>
      <w:r w:rsidRPr="00793A3E">
        <w:rPr>
          <w:rFonts w:ascii="Arial" w:hAnsi="Arial" w:cs="Arial"/>
          <w:sz w:val="24"/>
          <w:szCs w:val="24"/>
        </w:rPr>
        <w:tab/>
      </w:r>
      <w:r w:rsidR="00033D64" w:rsidRPr="00D33AC2">
        <w:rPr>
          <w:rFonts w:ascii="Arial" w:hAnsi="Arial" w:cs="Arial"/>
          <w:sz w:val="24"/>
          <w:szCs w:val="24"/>
        </w:rPr>
        <w:t xml:space="preserve">In respect of 5817 a request for reasons was also made on 21 January 2020.  No request was made for 5796 as applicant says according to Eskom 5818 had replaced 5796.  It is argued that virtually no documents were made available in respect of 5817 and therefor again </w:t>
      </w:r>
      <w:r w:rsidR="00E60E84" w:rsidRPr="00D33AC2">
        <w:rPr>
          <w:rFonts w:ascii="Arial" w:hAnsi="Arial" w:cs="Arial"/>
          <w:sz w:val="24"/>
          <w:szCs w:val="24"/>
        </w:rPr>
        <w:t xml:space="preserve">it was only on 16 March 2020 that reasons could have been established.  Applicant was aware of the purported cancellation on 9 January 2020, and if there is any merit in the review at all, it seems reasonable to require documentation to have been supplied before the alleged reasons were established and thus to the extent necessary I find to be timeous, although dismissing the relief </w:t>
      </w:r>
      <w:r w:rsidR="005C3214" w:rsidRPr="00D33AC2">
        <w:rPr>
          <w:rFonts w:ascii="Arial" w:hAnsi="Arial" w:cs="Arial"/>
          <w:sz w:val="24"/>
          <w:szCs w:val="24"/>
        </w:rPr>
        <w:t xml:space="preserve">on </w:t>
      </w:r>
      <w:r w:rsidR="00E60E84" w:rsidRPr="00D33AC2">
        <w:rPr>
          <w:rFonts w:ascii="Arial" w:hAnsi="Arial" w:cs="Arial"/>
          <w:sz w:val="24"/>
          <w:szCs w:val="24"/>
        </w:rPr>
        <w:t xml:space="preserve">a different basis in any event.  In respect of 5796 the tender period had lapsed, and again, in due course I dismiss this review on a different basis.  It is unnecessary to consider whether the review was timeous in any event. </w:t>
      </w:r>
    </w:p>
    <w:p w14:paraId="187103E8" w14:textId="77777777" w:rsidR="00E60E84" w:rsidRPr="00793A3E" w:rsidRDefault="00E60E84" w:rsidP="00F009F9">
      <w:pPr>
        <w:pStyle w:val="ListParagraph"/>
        <w:spacing w:after="0" w:line="480" w:lineRule="auto"/>
        <w:contextualSpacing w:val="0"/>
        <w:rPr>
          <w:rFonts w:ascii="Arial" w:hAnsi="Arial" w:cs="Arial"/>
          <w:sz w:val="24"/>
          <w:szCs w:val="24"/>
        </w:rPr>
      </w:pPr>
    </w:p>
    <w:p w14:paraId="42AFA516" w14:textId="41EA60BD" w:rsidR="00E60E8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120.</w:t>
      </w:r>
      <w:r w:rsidRPr="00793A3E">
        <w:rPr>
          <w:rFonts w:ascii="Arial" w:hAnsi="Arial" w:cs="Arial"/>
          <w:sz w:val="24"/>
          <w:szCs w:val="24"/>
        </w:rPr>
        <w:tab/>
      </w:r>
      <w:r w:rsidR="00E60E84" w:rsidRPr="00D33AC2">
        <w:rPr>
          <w:rFonts w:ascii="Arial" w:hAnsi="Arial" w:cs="Arial"/>
          <w:sz w:val="24"/>
          <w:szCs w:val="24"/>
        </w:rPr>
        <w:t xml:space="preserve">In the result, in my view, the review is properly before </w:t>
      </w:r>
      <w:r w:rsidR="00810F7C" w:rsidRPr="00D33AC2">
        <w:rPr>
          <w:rFonts w:ascii="Arial" w:hAnsi="Arial" w:cs="Arial"/>
          <w:sz w:val="24"/>
          <w:szCs w:val="24"/>
        </w:rPr>
        <w:t xml:space="preserve">this court </w:t>
      </w:r>
      <w:r w:rsidR="00E60E84" w:rsidRPr="00D33AC2">
        <w:rPr>
          <w:rFonts w:ascii="Arial" w:hAnsi="Arial" w:cs="Arial"/>
          <w:sz w:val="24"/>
          <w:szCs w:val="24"/>
        </w:rPr>
        <w:t xml:space="preserve">in all relevant respects having regard to the 180 day period, it being unnecessary thus to consider the condonation issue at all.  </w:t>
      </w:r>
    </w:p>
    <w:p w14:paraId="675D139B" w14:textId="77777777" w:rsidR="00E60E84" w:rsidRPr="00793A3E" w:rsidRDefault="00E60E84" w:rsidP="00F009F9">
      <w:pPr>
        <w:pStyle w:val="ListParagraph"/>
        <w:spacing w:after="0" w:line="480" w:lineRule="auto"/>
        <w:contextualSpacing w:val="0"/>
        <w:rPr>
          <w:rFonts w:ascii="Arial" w:hAnsi="Arial" w:cs="Arial"/>
          <w:sz w:val="24"/>
          <w:szCs w:val="24"/>
        </w:rPr>
      </w:pPr>
    </w:p>
    <w:p w14:paraId="78C6209C" w14:textId="77777777" w:rsidR="00E60E84" w:rsidRPr="00793A3E" w:rsidRDefault="00E60E84" w:rsidP="00F009F9">
      <w:pPr>
        <w:pStyle w:val="ListParagraph"/>
        <w:spacing w:after="0" w:line="480" w:lineRule="auto"/>
        <w:ind w:left="0"/>
        <w:contextualSpacing w:val="0"/>
        <w:rPr>
          <w:rFonts w:ascii="Arial" w:hAnsi="Arial" w:cs="Arial"/>
          <w:b/>
          <w:sz w:val="24"/>
          <w:szCs w:val="24"/>
          <w:u w:val="single"/>
        </w:rPr>
      </w:pPr>
      <w:r w:rsidRPr="00793A3E">
        <w:rPr>
          <w:rFonts w:ascii="Arial" w:hAnsi="Arial" w:cs="Arial"/>
          <w:b/>
          <w:sz w:val="24"/>
          <w:szCs w:val="24"/>
          <w:u w:val="single"/>
        </w:rPr>
        <w:t xml:space="preserve">THE MERITS 5818 </w:t>
      </w:r>
    </w:p>
    <w:p w14:paraId="63DDF1D0" w14:textId="77777777" w:rsidR="00E60E84" w:rsidRPr="00793A3E" w:rsidRDefault="00E60E84" w:rsidP="00F009F9">
      <w:pPr>
        <w:pStyle w:val="ListParagraph"/>
        <w:spacing w:after="0" w:line="480" w:lineRule="auto"/>
        <w:contextualSpacing w:val="0"/>
        <w:rPr>
          <w:rFonts w:ascii="Arial" w:hAnsi="Arial" w:cs="Arial"/>
          <w:sz w:val="24"/>
          <w:szCs w:val="24"/>
        </w:rPr>
      </w:pPr>
    </w:p>
    <w:p w14:paraId="54929D31" w14:textId="3B106272" w:rsidR="00E60E8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121.</w:t>
      </w:r>
      <w:r w:rsidRPr="00793A3E">
        <w:rPr>
          <w:rFonts w:ascii="Arial" w:hAnsi="Arial" w:cs="Arial"/>
          <w:sz w:val="24"/>
          <w:szCs w:val="24"/>
        </w:rPr>
        <w:tab/>
      </w:r>
      <w:r w:rsidR="00E60E84" w:rsidRPr="00D33AC2">
        <w:rPr>
          <w:rFonts w:ascii="Arial" w:hAnsi="Arial" w:cs="Arial"/>
          <w:sz w:val="24"/>
          <w:szCs w:val="24"/>
        </w:rPr>
        <w:t xml:space="preserve">I will consider the relevant issues as to the merits of the review application in this regard sequentially insofar as is necessary.  </w:t>
      </w:r>
    </w:p>
    <w:p w14:paraId="17A53878" w14:textId="77777777" w:rsidR="00E60E84" w:rsidRPr="00793A3E" w:rsidRDefault="00E60E84" w:rsidP="00F009F9">
      <w:pPr>
        <w:pStyle w:val="ListParagraph"/>
        <w:spacing w:after="0" w:line="480" w:lineRule="auto"/>
        <w:contextualSpacing w:val="0"/>
        <w:jc w:val="both"/>
        <w:rPr>
          <w:rFonts w:ascii="Arial" w:hAnsi="Arial" w:cs="Arial"/>
          <w:sz w:val="24"/>
          <w:szCs w:val="24"/>
        </w:rPr>
      </w:pPr>
    </w:p>
    <w:p w14:paraId="38741B00" w14:textId="23D06466" w:rsidR="00E60E8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122.</w:t>
      </w:r>
      <w:r w:rsidRPr="00793A3E">
        <w:rPr>
          <w:rFonts w:ascii="Arial" w:hAnsi="Arial" w:cs="Arial"/>
          <w:sz w:val="24"/>
          <w:szCs w:val="24"/>
        </w:rPr>
        <w:tab/>
      </w:r>
      <w:r w:rsidR="00E60E84" w:rsidRPr="00D33AC2">
        <w:rPr>
          <w:rFonts w:ascii="Arial" w:hAnsi="Arial" w:cs="Arial"/>
          <w:sz w:val="24"/>
          <w:szCs w:val="24"/>
        </w:rPr>
        <w:t xml:space="preserve">In respect of 5818 the first issue is one raised by Eskom in its papers </w:t>
      </w:r>
      <w:r w:rsidR="005C3214" w:rsidRPr="00D33AC2">
        <w:rPr>
          <w:rFonts w:ascii="Arial" w:hAnsi="Arial" w:cs="Arial"/>
          <w:sz w:val="24"/>
          <w:szCs w:val="24"/>
        </w:rPr>
        <w:t>though</w:t>
      </w:r>
      <w:r w:rsidR="00E60E84" w:rsidRPr="00D33AC2">
        <w:rPr>
          <w:rFonts w:ascii="Arial" w:hAnsi="Arial" w:cs="Arial"/>
          <w:sz w:val="24"/>
          <w:szCs w:val="24"/>
        </w:rPr>
        <w:t xml:space="preserve"> not </w:t>
      </w:r>
      <w:r w:rsidR="005C3214" w:rsidRPr="00D33AC2">
        <w:rPr>
          <w:rFonts w:ascii="Arial" w:hAnsi="Arial" w:cs="Arial"/>
          <w:sz w:val="24"/>
          <w:szCs w:val="24"/>
        </w:rPr>
        <w:t xml:space="preserve">applied </w:t>
      </w:r>
      <w:r w:rsidR="00E60E84" w:rsidRPr="00D33AC2">
        <w:rPr>
          <w:rFonts w:ascii="Arial" w:hAnsi="Arial" w:cs="Arial"/>
          <w:sz w:val="24"/>
          <w:szCs w:val="24"/>
        </w:rPr>
        <w:t>to disqualify the SKG bid on 5818</w:t>
      </w:r>
      <w:r w:rsidR="005C3214" w:rsidRPr="00D33AC2">
        <w:rPr>
          <w:rFonts w:ascii="Arial" w:hAnsi="Arial" w:cs="Arial"/>
          <w:sz w:val="24"/>
          <w:szCs w:val="24"/>
        </w:rPr>
        <w:t>, by Eskom initially</w:t>
      </w:r>
      <w:r w:rsidR="00E60E84" w:rsidRPr="00D33AC2">
        <w:rPr>
          <w:rFonts w:ascii="Arial" w:hAnsi="Arial" w:cs="Arial"/>
          <w:sz w:val="24"/>
          <w:szCs w:val="24"/>
        </w:rPr>
        <w:t xml:space="preserve">.  </w:t>
      </w:r>
    </w:p>
    <w:p w14:paraId="593CACCF" w14:textId="77777777" w:rsidR="00E60E84" w:rsidRPr="00793A3E" w:rsidRDefault="00E60E84" w:rsidP="00F009F9">
      <w:pPr>
        <w:pStyle w:val="ListParagraph"/>
        <w:spacing w:after="0" w:line="480" w:lineRule="auto"/>
        <w:contextualSpacing w:val="0"/>
        <w:rPr>
          <w:rFonts w:ascii="Arial" w:hAnsi="Arial" w:cs="Arial"/>
          <w:sz w:val="24"/>
          <w:szCs w:val="24"/>
        </w:rPr>
      </w:pPr>
    </w:p>
    <w:p w14:paraId="07BE6AED" w14:textId="2A4CE25D" w:rsidR="00E60E8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123.</w:t>
      </w:r>
      <w:r w:rsidRPr="00793A3E">
        <w:rPr>
          <w:rFonts w:ascii="Arial" w:hAnsi="Arial" w:cs="Arial"/>
          <w:sz w:val="24"/>
          <w:szCs w:val="24"/>
        </w:rPr>
        <w:tab/>
      </w:r>
      <w:r w:rsidR="00E60E84" w:rsidRPr="00D33AC2">
        <w:rPr>
          <w:rFonts w:ascii="Arial" w:hAnsi="Arial" w:cs="Arial"/>
          <w:sz w:val="24"/>
          <w:szCs w:val="24"/>
        </w:rPr>
        <w:t xml:space="preserve">I have already summarised the issues relevant hereto </w:t>
      </w:r>
      <w:r w:rsidR="00810F7C" w:rsidRPr="00D33AC2">
        <w:rPr>
          <w:rFonts w:ascii="Arial" w:hAnsi="Arial" w:cs="Arial"/>
          <w:sz w:val="24"/>
          <w:szCs w:val="24"/>
        </w:rPr>
        <w:t>a</w:t>
      </w:r>
      <w:r w:rsidR="00E60E84" w:rsidRPr="00D33AC2">
        <w:rPr>
          <w:rFonts w:ascii="Arial" w:hAnsi="Arial" w:cs="Arial"/>
          <w:sz w:val="24"/>
          <w:szCs w:val="24"/>
        </w:rPr>
        <w:t xml:space="preserve">nd state shortly, that Eskom argues that the SKG bid was disqualified as it submitted two bids for the relevant office space.  </w:t>
      </w:r>
    </w:p>
    <w:p w14:paraId="2F18C4E4" w14:textId="77777777" w:rsidR="00E60E84" w:rsidRPr="00793A3E" w:rsidRDefault="00E60E84" w:rsidP="00F009F9">
      <w:pPr>
        <w:pStyle w:val="ListParagraph"/>
        <w:spacing w:after="0" w:line="480" w:lineRule="auto"/>
        <w:contextualSpacing w:val="0"/>
        <w:rPr>
          <w:rFonts w:ascii="Arial" w:hAnsi="Arial" w:cs="Arial"/>
          <w:sz w:val="24"/>
          <w:szCs w:val="24"/>
        </w:rPr>
      </w:pPr>
    </w:p>
    <w:p w14:paraId="64461A8B" w14:textId="5F33E314" w:rsidR="00E60E8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124.</w:t>
      </w:r>
      <w:r w:rsidRPr="00793A3E">
        <w:rPr>
          <w:rFonts w:ascii="Arial" w:hAnsi="Arial" w:cs="Arial"/>
          <w:sz w:val="24"/>
          <w:szCs w:val="24"/>
        </w:rPr>
        <w:tab/>
      </w:r>
      <w:r w:rsidR="00E60E84" w:rsidRPr="00D33AC2">
        <w:rPr>
          <w:rFonts w:ascii="Arial" w:hAnsi="Arial" w:cs="Arial"/>
          <w:sz w:val="24"/>
          <w:szCs w:val="24"/>
        </w:rPr>
        <w:t xml:space="preserve">The submission of a tender accepted the incorporation of the standard conditions of tender.  </w:t>
      </w:r>
    </w:p>
    <w:p w14:paraId="70753DC8" w14:textId="77777777" w:rsidR="00E60E84" w:rsidRPr="00793A3E" w:rsidRDefault="00E60E84" w:rsidP="00F009F9">
      <w:pPr>
        <w:pStyle w:val="ListParagraph"/>
        <w:spacing w:after="0" w:line="480" w:lineRule="auto"/>
        <w:contextualSpacing w:val="0"/>
        <w:rPr>
          <w:rFonts w:ascii="Arial" w:hAnsi="Arial" w:cs="Arial"/>
          <w:sz w:val="24"/>
          <w:szCs w:val="24"/>
        </w:rPr>
      </w:pPr>
    </w:p>
    <w:p w14:paraId="5CD00216" w14:textId="1CFF251B" w:rsidR="00E60E8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125.</w:t>
      </w:r>
      <w:r w:rsidRPr="00793A3E">
        <w:rPr>
          <w:rFonts w:ascii="Arial" w:hAnsi="Arial" w:cs="Arial"/>
          <w:sz w:val="24"/>
          <w:szCs w:val="24"/>
        </w:rPr>
        <w:tab/>
      </w:r>
      <w:r w:rsidR="00E60E84" w:rsidRPr="00D33AC2">
        <w:rPr>
          <w:rFonts w:ascii="Arial" w:hAnsi="Arial" w:cs="Arial"/>
          <w:sz w:val="24"/>
          <w:szCs w:val="24"/>
        </w:rPr>
        <w:t>In the invitation to tender paragraph 1.2, tenderers were deemed ineligible to submit a tender if:</w:t>
      </w:r>
    </w:p>
    <w:p w14:paraId="32ECFD81" w14:textId="77777777" w:rsidR="00E60E84" w:rsidRPr="00810F7C" w:rsidRDefault="00E60E84" w:rsidP="00810F7C">
      <w:pPr>
        <w:pStyle w:val="ListParagraph"/>
        <w:spacing w:after="0" w:line="360" w:lineRule="auto"/>
        <w:ind w:left="1440"/>
        <w:contextualSpacing w:val="0"/>
        <w:rPr>
          <w:rFonts w:ascii="Arial" w:hAnsi="Arial" w:cs="Arial"/>
        </w:rPr>
      </w:pPr>
    </w:p>
    <w:p w14:paraId="48C60CD6" w14:textId="77777777" w:rsidR="00E60E84" w:rsidRPr="00810F7C" w:rsidRDefault="00E60E84" w:rsidP="00810F7C">
      <w:pPr>
        <w:pStyle w:val="ListParagraph"/>
        <w:spacing w:after="0" w:line="360" w:lineRule="auto"/>
        <w:ind w:left="1440"/>
        <w:contextualSpacing w:val="0"/>
        <w:jc w:val="both"/>
        <w:rPr>
          <w:rFonts w:ascii="Arial" w:hAnsi="Arial" w:cs="Arial"/>
        </w:rPr>
      </w:pPr>
      <w:r w:rsidRPr="00810F7C">
        <w:rPr>
          <w:rFonts w:ascii="Arial" w:hAnsi="Arial" w:cs="Arial"/>
        </w:rPr>
        <w:t>“Tenderers submit more than one tender either individually or as a partner in a joint venture (JV) or consortium.”</w:t>
      </w:r>
    </w:p>
    <w:p w14:paraId="70E758D0" w14:textId="77777777" w:rsidR="00E60E84" w:rsidRPr="00793A3E" w:rsidRDefault="00E60E84" w:rsidP="00F009F9">
      <w:pPr>
        <w:pStyle w:val="ListParagraph"/>
        <w:spacing w:after="0" w:line="480" w:lineRule="auto"/>
        <w:contextualSpacing w:val="0"/>
        <w:rPr>
          <w:rFonts w:ascii="Arial" w:hAnsi="Arial" w:cs="Arial"/>
          <w:sz w:val="24"/>
          <w:szCs w:val="24"/>
        </w:rPr>
      </w:pPr>
    </w:p>
    <w:p w14:paraId="7647130E" w14:textId="42FD2A74" w:rsidR="00E60E8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lastRenderedPageBreak/>
        <w:t>126.</w:t>
      </w:r>
      <w:r w:rsidRPr="00793A3E">
        <w:rPr>
          <w:rFonts w:ascii="Arial" w:hAnsi="Arial" w:cs="Arial"/>
          <w:sz w:val="24"/>
          <w:szCs w:val="24"/>
        </w:rPr>
        <w:tab/>
      </w:r>
      <w:r w:rsidR="00E60E84" w:rsidRPr="00D33AC2">
        <w:rPr>
          <w:rFonts w:ascii="Arial" w:hAnsi="Arial" w:cs="Arial"/>
          <w:sz w:val="24"/>
          <w:szCs w:val="24"/>
        </w:rPr>
        <w:t>At paragraph 1.13 under the description “</w:t>
      </w:r>
      <w:r w:rsidR="00E60E84" w:rsidRPr="00D33AC2">
        <w:rPr>
          <w:rFonts w:ascii="Arial" w:hAnsi="Arial" w:cs="Arial"/>
          <w:i/>
          <w:sz w:val="24"/>
          <w:szCs w:val="24"/>
        </w:rPr>
        <w:t>alternative tenders”</w:t>
      </w:r>
      <w:r w:rsidR="00E60E84" w:rsidRPr="00D33AC2">
        <w:rPr>
          <w:rFonts w:ascii="Arial" w:hAnsi="Arial" w:cs="Arial"/>
          <w:sz w:val="24"/>
          <w:szCs w:val="24"/>
        </w:rPr>
        <w:t xml:space="preserve"> it simply is stated that “</w:t>
      </w:r>
      <w:r w:rsidR="00E60E84" w:rsidRPr="00D33AC2">
        <w:rPr>
          <w:rFonts w:ascii="Arial" w:hAnsi="Arial" w:cs="Arial"/>
          <w:i/>
          <w:sz w:val="24"/>
          <w:szCs w:val="24"/>
        </w:rPr>
        <w:t>alternative tenders are not allowed</w:t>
      </w:r>
      <w:r w:rsidR="00E60E84" w:rsidRPr="00D33AC2">
        <w:rPr>
          <w:rFonts w:ascii="Arial" w:hAnsi="Arial" w:cs="Arial"/>
          <w:sz w:val="24"/>
          <w:szCs w:val="24"/>
        </w:rPr>
        <w:t xml:space="preserve">”.  </w:t>
      </w:r>
    </w:p>
    <w:p w14:paraId="1FB2E4B8" w14:textId="77777777" w:rsidR="005C3214" w:rsidRPr="00793A3E" w:rsidRDefault="005C3214" w:rsidP="00F009F9">
      <w:pPr>
        <w:pStyle w:val="ListParagraph"/>
        <w:spacing w:after="0" w:line="480" w:lineRule="auto"/>
        <w:contextualSpacing w:val="0"/>
        <w:jc w:val="both"/>
        <w:rPr>
          <w:rFonts w:ascii="Arial" w:hAnsi="Arial" w:cs="Arial"/>
          <w:sz w:val="24"/>
          <w:szCs w:val="24"/>
        </w:rPr>
      </w:pPr>
    </w:p>
    <w:p w14:paraId="2CFD1839" w14:textId="4B56299E" w:rsidR="00D262E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127.</w:t>
      </w:r>
      <w:r w:rsidRPr="00793A3E">
        <w:rPr>
          <w:rFonts w:ascii="Arial" w:hAnsi="Arial" w:cs="Arial"/>
          <w:sz w:val="24"/>
          <w:szCs w:val="24"/>
        </w:rPr>
        <w:tab/>
      </w:r>
      <w:r w:rsidR="00E60E84" w:rsidRPr="00D33AC2">
        <w:rPr>
          <w:rFonts w:ascii="Arial" w:hAnsi="Arial" w:cs="Arial"/>
          <w:sz w:val="24"/>
          <w:szCs w:val="24"/>
        </w:rPr>
        <w:t xml:space="preserve">The </w:t>
      </w:r>
      <w:r w:rsidR="00D262E2" w:rsidRPr="00D33AC2">
        <w:rPr>
          <w:rFonts w:ascii="Arial" w:hAnsi="Arial" w:cs="Arial"/>
          <w:sz w:val="24"/>
          <w:szCs w:val="24"/>
        </w:rPr>
        <w:t>standard conditions of tender deal with this at clause 2.23</w:t>
      </w:r>
      <w:r w:rsidR="00810F7C" w:rsidRPr="00D33AC2">
        <w:rPr>
          <w:rFonts w:ascii="Arial" w:hAnsi="Arial" w:cs="Arial"/>
          <w:sz w:val="24"/>
          <w:szCs w:val="24"/>
        </w:rPr>
        <w:t>.</w:t>
      </w:r>
    </w:p>
    <w:p w14:paraId="04971116" w14:textId="77777777" w:rsidR="00D262E2" w:rsidRPr="00793A3E" w:rsidRDefault="00D262E2" w:rsidP="00F009F9">
      <w:pPr>
        <w:pStyle w:val="ListParagraph"/>
        <w:spacing w:after="0" w:line="480" w:lineRule="auto"/>
        <w:contextualSpacing w:val="0"/>
        <w:jc w:val="both"/>
        <w:rPr>
          <w:rFonts w:ascii="Arial" w:hAnsi="Arial" w:cs="Arial"/>
          <w:sz w:val="24"/>
          <w:szCs w:val="24"/>
        </w:rPr>
      </w:pPr>
    </w:p>
    <w:p w14:paraId="32772C52" w14:textId="5EB4125A" w:rsidR="00D262E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128.</w:t>
      </w:r>
      <w:r w:rsidRPr="00793A3E">
        <w:rPr>
          <w:rFonts w:ascii="Arial" w:hAnsi="Arial" w:cs="Arial"/>
          <w:sz w:val="24"/>
          <w:szCs w:val="24"/>
        </w:rPr>
        <w:tab/>
      </w:r>
      <w:r w:rsidR="00D262E2" w:rsidRPr="00D33AC2">
        <w:rPr>
          <w:rFonts w:ascii="Arial" w:hAnsi="Arial" w:cs="Arial"/>
          <w:sz w:val="24"/>
          <w:szCs w:val="24"/>
        </w:rPr>
        <w:t>It must be emphasised, and always remembered, that in the current day, interpretation of a document, including a statute, must always have careful regard to context.  When a court determines the nature of the party’s rights and obligations in a contract it is involved in an exercise of contractual interpretation.  There is now a settled approach to the interpretation of contracts, documents and indeed statutes.</w:t>
      </w:r>
      <w:r w:rsidR="00D262E2" w:rsidRPr="00793A3E">
        <w:rPr>
          <w:rStyle w:val="FootnoteReference"/>
          <w:rFonts w:ascii="Arial" w:hAnsi="Arial" w:cs="Arial"/>
          <w:sz w:val="24"/>
          <w:szCs w:val="24"/>
        </w:rPr>
        <w:footnoteReference w:id="26"/>
      </w:r>
      <w:r w:rsidR="00D262E2" w:rsidRPr="00D33AC2">
        <w:rPr>
          <w:rFonts w:ascii="Arial" w:hAnsi="Arial" w:cs="Arial"/>
          <w:sz w:val="24"/>
          <w:szCs w:val="24"/>
        </w:rPr>
        <w:t xml:space="preserve">  In that matter the following was said:</w:t>
      </w:r>
    </w:p>
    <w:p w14:paraId="20EC0987" w14:textId="77777777" w:rsidR="00D262E2" w:rsidRPr="00793A3E" w:rsidRDefault="00D262E2" w:rsidP="00F009F9">
      <w:pPr>
        <w:pStyle w:val="ListParagraph"/>
        <w:spacing w:after="0" w:line="480" w:lineRule="auto"/>
        <w:contextualSpacing w:val="0"/>
        <w:jc w:val="both"/>
        <w:rPr>
          <w:rFonts w:ascii="Arial" w:hAnsi="Arial" w:cs="Arial"/>
          <w:sz w:val="24"/>
          <w:szCs w:val="24"/>
        </w:rPr>
      </w:pPr>
    </w:p>
    <w:p w14:paraId="1A363B50" w14:textId="77777777" w:rsidR="00D262E2" w:rsidRPr="00F009F9" w:rsidRDefault="00D262E2" w:rsidP="00F009F9">
      <w:pPr>
        <w:pStyle w:val="ListParagraph"/>
        <w:spacing w:after="0" w:line="360" w:lineRule="auto"/>
        <w:ind w:left="1440"/>
        <w:contextualSpacing w:val="0"/>
        <w:jc w:val="both"/>
        <w:rPr>
          <w:rFonts w:ascii="Arial" w:hAnsi="Arial" w:cs="Arial"/>
        </w:rPr>
      </w:pPr>
      <w:r w:rsidRPr="00F009F9">
        <w:rPr>
          <w:rFonts w:ascii="Arial" w:hAnsi="Arial" w:cs="Arial"/>
        </w:rPr>
        <w:t>“</w:t>
      </w:r>
      <w:r w:rsidRPr="00F009F9">
        <w:rPr>
          <w:rFonts w:ascii="Arial" w:hAnsi="Arial" w:cs="Arial"/>
          <w:color w:val="242121"/>
          <w:shd w:val="clear" w:color="auto" w:fill="FFFFFF"/>
        </w:rPr>
        <w:t>[18] Over the last century there have been significant developments in the law relating to the interpretation of documents, both in this country and in others that follow similar rules to our own.  It is unnecessary to add unduly to the burden of annotations by trawling through the case law on the construction of documents in order to trace those developments. The relevant authorities are collected and summarised in </w:t>
      </w:r>
      <w:r w:rsidRPr="00F009F9">
        <w:rPr>
          <w:rFonts w:ascii="Arial" w:hAnsi="Arial" w:cs="Arial"/>
          <w:i/>
          <w:iCs/>
          <w:color w:val="242121"/>
          <w:shd w:val="clear" w:color="auto" w:fill="FFFFFF"/>
        </w:rPr>
        <w:t>Bastian Financial Services (Pty) Ltd v General Hendrik Schoeman Primary School.</w:t>
      </w:r>
      <w:r w:rsidRPr="00F009F9">
        <w:rPr>
          <w:rFonts w:ascii="Arial" w:hAnsi="Arial" w:cs="Arial"/>
          <w:b/>
          <w:bCs/>
          <w:color w:val="242121"/>
          <w:shd w:val="clear" w:color="auto" w:fill="FFFFFF"/>
          <w:vertAlign w:val="superscript"/>
        </w:rPr>
        <w:t xml:space="preserve"> </w:t>
      </w:r>
      <w:r w:rsidRPr="00F009F9">
        <w:rPr>
          <w:rFonts w:ascii="Arial" w:hAnsi="Arial" w:cs="Arial"/>
          <w:color w:val="242121"/>
          <w:shd w:val="clear" w:color="auto" w:fill="FFFFFF"/>
        </w:rPr>
        <w:t xml:space="preserve"> 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bookmarkStart w:id="1" w:name="sdfootnote15anc"/>
      <w:r w:rsidRPr="00F009F9">
        <w:rPr>
          <w:rFonts w:ascii="Arial" w:hAnsi="Arial" w:cs="Arial"/>
          <w:color w:val="242121"/>
          <w:shd w:val="clear" w:color="auto" w:fill="FFFFFF"/>
          <w:vertAlign w:val="superscript"/>
        </w:rPr>
        <w:fldChar w:fldCharType="begin"/>
      </w:r>
      <w:r w:rsidRPr="00F009F9">
        <w:rPr>
          <w:rFonts w:ascii="Arial" w:hAnsi="Arial" w:cs="Arial"/>
          <w:color w:val="242121"/>
          <w:shd w:val="clear" w:color="auto" w:fill="FFFFFF"/>
          <w:vertAlign w:val="superscript"/>
        </w:rPr>
        <w:instrText xml:space="preserve"> HYPERLINK "http://www.saflii.org/za/cases/ZASCA/2012/13.html" \l "sdfootnote15sym" </w:instrText>
      </w:r>
      <w:r w:rsidRPr="00F009F9">
        <w:rPr>
          <w:rFonts w:ascii="Arial" w:hAnsi="Arial" w:cs="Arial"/>
          <w:color w:val="242121"/>
          <w:shd w:val="clear" w:color="auto" w:fill="FFFFFF"/>
          <w:vertAlign w:val="superscript"/>
        </w:rPr>
      </w:r>
      <w:r w:rsidRPr="00F009F9">
        <w:rPr>
          <w:rFonts w:ascii="Arial" w:hAnsi="Arial" w:cs="Arial"/>
          <w:color w:val="242121"/>
          <w:shd w:val="clear" w:color="auto" w:fill="FFFFFF"/>
          <w:vertAlign w:val="superscript"/>
        </w:rPr>
        <w:fldChar w:fldCharType="separate"/>
      </w:r>
      <w:r w:rsidRPr="00F009F9">
        <w:rPr>
          <w:rStyle w:val="Hyperlink"/>
          <w:rFonts w:ascii="Arial" w:hAnsi="Arial" w:cs="Arial"/>
          <w:b/>
          <w:bCs/>
          <w:color w:val="0B4B0B"/>
          <w:shd w:val="clear" w:color="auto" w:fill="FFFFFF"/>
          <w:vertAlign w:val="superscript"/>
        </w:rPr>
        <w:t>15</w:t>
      </w:r>
      <w:r w:rsidRPr="00F009F9">
        <w:rPr>
          <w:rFonts w:ascii="Arial" w:hAnsi="Arial" w:cs="Arial"/>
          <w:color w:val="242121"/>
          <w:shd w:val="clear" w:color="auto" w:fill="FFFFFF"/>
          <w:vertAlign w:val="superscript"/>
        </w:rPr>
        <w:fldChar w:fldCharType="end"/>
      </w:r>
      <w:bookmarkEnd w:id="1"/>
      <w:r w:rsidRPr="00F009F9">
        <w:rPr>
          <w:rFonts w:ascii="Arial" w:hAnsi="Arial" w:cs="Arial"/>
          <w:color w:val="242121"/>
          <w:shd w:val="clear" w:color="auto" w:fill="FFFFFF"/>
        </w:rPr>
        <w:t xml:space="preserve"> The process is objective not subjective. A sensible meaning is to be preferred to one that leads to insensible or unbusinesslike results or undermines the </w:t>
      </w:r>
      <w:r w:rsidRPr="00F009F9">
        <w:rPr>
          <w:rFonts w:ascii="Arial" w:hAnsi="Arial" w:cs="Arial"/>
          <w:color w:val="242121"/>
          <w:shd w:val="clear" w:color="auto" w:fill="FFFFFF"/>
        </w:rPr>
        <w:lastRenderedPageBreak/>
        <w:t>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w:t>
      </w:r>
      <w:bookmarkStart w:id="2" w:name="sdfootnote16anc"/>
      <w:r w:rsidRPr="00F009F9">
        <w:rPr>
          <w:rFonts w:ascii="Arial" w:hAnsi="Arial" w:cs="Arial"/>
          <w:color w:val="242121"/>
          <w:shd w:val="clear" w:color="auto" w:fill="FFFFFF"/>
          <w:vertAlign w:val="superscript"/>
        </w:rPr>
        <w:fldChar w:fldCharType="begin"/>
      </w:r>
      <w:r w:rsidRPr="00F009F9">
        <w:rPr>
          <w:rFonts w:ascii="Arial" w:hAnsi="Arial" w:cs="Arial"/>
          <w:color w:val="242121"/>
          <w:shd w:val="clear" w:color="auto" w:fill="FFFFFF"/>
          <w:vertAlign w:val="superscript"/>
        </w:rPr>
        <w:instrText xml:space="preserve"> HYPERLINK "http://www.saflii.org/za/cases/ZASCA/2012/13.html" \l "sdfootnote16sym" </w:instrText>
      </w:r>
      <w:r w:rsidRPr="00F009F9">
        <w:rPr>
          <w:rFonts w:ascii="Arial" w:hAnsi="Arial" w:cs="Arial"/>
          <w:color w:val="242121"/>
          <w:shd w:val="clear" w:color="auto" w:fill="FFFFFF"/>
          <w:vertAlign w:val="superscript"/>
        </w:rPr>
      </w:r>
      <w:r w:rsidRPr="00F009F9">
        <w:rPr>
          <w:rFonts w:ascii="Arial" w:hAnsi="Arial" w:cs="Arial"/>
          <w:color w:val="242121"/>
          <w:shd w:val="clear" w:color="auto" w:fill="FFFFFF"/>
          <w:vertAlign w:val="superscript"/>
        </w:rPr>
        <w:fldChar w:fldCharType="separate"/>
      </w:r>
      <w:r w:rsidRPr="00F009F9">
        <w:rPr>
          <w:rStyle w:val="Hyperlink"/>
          <w:rFonts w:ascii="Arial" w:hAnsi="Arial" w:cs="Arial"/>
          <w:b/>
          <w:bCs/>
          <w:color w:val="0B4B0B"/>
          <w:shd w:val="clear" w:color="auto" w:fill="FFFFFF"/>
          <w:vertAlign w:val="superscript"/>
        </w:rPr>
        <w:t>16</w:t>
      </w:r>
      <w:r w:rsidRPr="00F009F9">
        <w:rPr>
          <w:rFonts w:ascii="Arial" w:hAnsi="Arial" w:cs="Arial"/>
          <w:color w:val="242121"/>
          <w:shd w:val="clear" w:color="auto" w:fill="FFFFFF"/>
          <w:vertAlign w:val="superscript"/>
        </w:rPr>
        <w:fldChar w:fldCharType="end"/>
      </w:r>
      <w:bookmarkEnd w:id="2"/>
      <w:r w:rsidRPr="00F009F9">
        <w:rPr>
          <w:rFonts w:ascii="Arial" w:hAnsi="Arial" w:cs="Arial"/>
          <w:color w:val="242121"/>
          <w:shd w:val="clear" w:color="auto" w:fill="FFFFFF"/>
        </w:rPr>
        <w:t> read in context and having regard to the purpose of the provision and the background to the preparation and production of the document.”</w:t>
      </w:r>
      <w:r w:rsidRPr="00F009F9">
        <w:rPr>
          <w:rFonts w:ascii="Arial" w:hAnsi="Arial" w:cs="Arial"/>
        </w:rPr>
        <w:t xml:space="preserve"> </w:t>
      </w:r>
    </w:p>
    <w:p w14:paraId="2D8E398A" w14:textId="77777777" w:rsidR="00D262E2" w:rsidRPr="00793A3E" w:rsidRDefault="00D262E2" w:rsidP="00F009F9">
      <w:pPr>
        <w:pStyle w:val="ListParagraph"/>
        <w:spacing w:after="0" w:line="480" w:lineRule="auto"/>
        <w:ind w:hanging="720"/>
        <w:contextualSpacing w:val="0"/>
        <w:rPr>
          <w:rFonts w:ascii="Arial" w:hAnsi="Arial" w:cs="Arial"/>
          <w:b/>
          <w:sz w:val="24"/>
          <w:szCs w:val="24"/>
          <w:u w:val="single"/>
        </w:rPr>
      </w:pPr>
    </w:p>
    <w:p w14:paraId="444235EE" w14:textId="53AB7A4C" w:rsidR="00D262E2"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129.</w:t>
      </w:r>
      <w:r w:rsidRPr="00793A3E">
        <w:rPr>
          <w:rFonts w:ascii="Arial" w:hAnsi="Arial" w:cs="Arial"/>
          <w:sz w:val="24"/>
          <w:szCs w:val="24"/>
        </w:rPr>
        <w:tab/>
      </w:r>
      <w:r w:rsidR="00D262E2" w:rsidRPr="00D33AC2">
        <w:rPr>
          <w:rFonts w:ascii="Arial" w:hAnsi="Arial" w:cs="Arial"/>
          <w:sz w:val="24"/>
          <w:szCs w:val="24"/>
        </w:rPr>
        <w:t xml:space="preserve">As was emphasised this approach to interpretation requires that from the outset one considers the context and language together, with neither predominating over the other.  </w:t>
      </w:r>
    </w:p>
    <w:p w14:paraId="3B1BBA49" w14:textId="77777777" w:rsidR="00D262E2" w:rsidRPr="00793A3E" w:rsidRDefault="00D262E2" w:rsidP="00F009F9">
      <w:pPr>
        <w:pStyle w:val="ListParagraph"/>
        <w:spacing w:after="0" w:line="480" w:lineRule="auto"/>
        <w:contextualSpacing w:val="0"/>
        <w:jc w:val="both"/>
        <w:rPr>
          <w:rFonts w:ascii="Arial" w:hAnsi="Arial" w:cs="Arial"/>
          <w:b/>
          <w:sz w:val="24"/>
          <w:szCs w:val="24"/>
          <w:u w:val="single"/>
        </w:rPr>
      </w:pPr>
    </w:p>
    <w:p w14:paraId="31C65FA8" w14:textId="51C8300D" w:rsidR="00D262E2"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130.</w:t>
      </w:r>
      <w:r w:rsidRPr="00793A3E">
        <w:rPr>
          <w:rFonts w:ascii="Arial" w:hAnsi="Arial" w:cs="Arial"/>
          <w:sz w:val="24"/>
          <w:szCs w:val="24"/>
        </w:rPr>
        <w:tab/>
      </w:r>
      <w:r w:rsidR="00D262E2" w:rsidRPr="00D33AC2">
        <w:rPr>
          <w:rFonts w:ascii="Arial" w:hAnsi="Arial" w:cs="Arial"/>
          <w:sz w:val="24"/>
          <w:szCs w:val="24"/>
        </w:rPr>
        <w:t xml:space="preserve">In </w:t>
      </w:r>
      <w:r w:rsidR="00D262E2" w:rsidRPr="00D33AC2">
        <w:rPr>
          <w:rFonts w:ascii="Arial" w:hAnsi="Arial" w:cs="Arial"/>
          <w:b/>
          <w:sz w:val="24"/>
          <w:szCs w:val="24"/>
        </w:rPr>
        <w:t>Chisuse v Director -  General Director of Home Affairs</w:t>
      </w:r>
      <w:r w:rsidR="00D262E2" w:rsidRPr="00793A3E">
        <w:rPr>
          <w:rStyle w:val="FootnoteReference"/>
          <w:rFonts w:ascii="Arial" w:hAnsi="Arial" w:cs="Arial"/>
          <w:sz w:val="24"/>
          <w:szCs w:val="24"/>
        </w:rPr>
        <w:footnoteReference w:id="27"/>
      </w:r>
      <w:r w:rsidR="00D262E2" w:rsidRPr="00D33AC2">
        <w:rPr>
          <w:rFonts w:ascii="Arial" w:hAnsi="Arial" w:cs="Arial"/>
          <w:sz w:val="24"/>
          <w:szCs w:val="24"/>
        </w:rPr>
        <w:t xml:space="preserve"> (at paragraph 52) the Constitutional Court speaking in the context of statutory interpretation held that this “</w:t>
      </w:r>
      <w:r w:rsidR="00D262E2" w:rsidRPr="00D33AC2">
        <w:rPr>
          <w:rFonts w:ascii="Arial" w:hAnsi="Arial" w:cs="Arial"/>
          <w:i/>
          <w:sz w:val="24"/>
          <w:szCs w:val="24"/>
        </w:rPr>
        <w:t>now settled</w:t>
      </w:r>
      <w:r w:rsidR="00D262E2" w:rsidRPr="00D33AC2">
        <w:rPr>
          <w:rFonts w:ascii="Arial" w:hAnsi="Arial" w:cs="Arial"/>
          <w:sz w:val="24"/>
          <w:szCs w:val="24"/>
        </w:rPr>
        <w:t>” approach to interpretation, is a “</w:t>
      </w:r>
      <w:r w:rsidR="00D262E2" w:rsidRPr="00D33AC2">
        <w:rPr>
          <w:rFonts w:ascii="Arial" w:hAnsi="Arial" w:cs="Arial"/>
          <w:i/>
          <w:sz w:val="24"/>
          <w:szCs w:val="24"/>
        </w:rPr>
        <w:t>unitary</w:t>
      </w:r>
      <w:r w:rsidR="00D262E2" w:rsidRPr="00D33AC2">
        <w:rPr>
          <w:rFonts w:ascii="Arial" w:hAnsi="Arial" w:cs="Arial"/>
          <w:sz w:val="24"/>
          <w:szCs w:val="24"/>
        </w:rPr>
        <w:t xml:space="preserve">” exercise.  This means said the court in University of </w:t>
      </w:r>
      <w:r w:rsidR="00D262E2" w:rsidRPr="00D33AC2">
        <w:rPr>
          <w:rFonts w:ascii="Arial" w:hAnsi="Arial" w:cs="Arial"/>
          <w:b/>
          <w:sz w:val="24"/>
          <w:szCs w:val="24"/>
        </w:rPr>
        <w:t>Johannesburg v Auckland Park Theological Seminary and another</w:t>
      </w:r>
      <w:r w:rsidR="00D262E2" w:rsidRPr="00793A3E">
        <w:rPr>
          <w:rStyle w:val="FootnoteReference"/>
          <w:rFonts w:ascii="Arial" w:hAnsi="Arial" w:cs="Arial"/>
          <w:sz w:val="24"/>
          <w:szCs w:val="24"/>
        </w:rPr>
        <w:footnoteReference w:id="28"/>
      </w:r>
      <w:r w:rsidR="00D262E2" w:rsidRPr="00D33AC2">
        <w:rPr>
          <w:rFonts w:ascii="Arial" w:hAnsi="Arial" w:cs="Arial"/>
          <w:sz w:val="24"/>
          <w:szCs w:val="24"/>
        </w:rPr>
        <w:t xml:space="preserve"> that interpretation is to be approached holistically: simultaneously considering the text, context and purpose.  To make it clear, it has been explicitly pointed out in cases subsequent to </w:t>
      </w:r>
      <w:r w:rsidR="00D262E2" w:rsidRPr="00D33AC2">
        <w:rPr>
          <w:rFonts w:ascii="Arial" w:hAnsi="Arial" w:cs="Arial"/>
          <w:b/>
          <w:sz w:val="24"/>
          <w:szCs w:val="24"/>
        </w:rPr>
        <w:t>Endumeni</w:t>
      </w:r>
      <w:r w:rsidR="00D262E2" w:rsidRPr="00D33AC2">
        <w:rPr>
          <w:rFonts w:ascii="Arial" w:hAnsi="Arial" w:cs="Arial"/>
          <w:sz w:val="24"/>
          <w:szCs w:val="24"/>
        </w:rPr>
        <w:t xml:space="preserve"> that context and purpose must be taken into account as a matter of course whether or not the words used in the contract (or statute) are ambiguous.</w:t>
      </w:r>
      <w:r w:rsidR="00D262E2" w:rsidRPr="00793A3E">
        <w:rPr>
          <w:rStyle w:val="FootnoteReference"/>
          <w:rFonts w:ascii="Arial" w:hAnsi="Arial" w:cs="Arial"/>
          <w:sz w:val="24"/>
          <w:szCs w:val="24"/>
        </w:rPr>
        <w:footnoteReference w:id="29"/>
      </w:r>
    </w:p>
    <w:p w14:paraId="22508168" w14:textId="77777777" w:rsidR="00D262E2" w:rsidRPr="00793A3E" w:rsidRDefault="00D262E2" w:rsidP="00F009F9">
      <w:pPr>
        <w:pStyle w:val="ListParagraph"/>
        <w:spacing w:after="0" w:line="480" w:lineRule="auto"/>
        <w:contextualSpacing w:val="0"/>
        <w:rPr>
          <w:rFonts w:ascii="Arial" w:hAnsi="Arial" w:cs="Arial"/>
          <w:b/>
          <w:sz w:val="24"/>
          <w:szCs w:val="24"/>
          <w:u w:val="single"/>
        </w:rPr>
      </w:pPr>
    </w:p>
    <w:p w14:paraId="0581304D" w14:textId="3D4F309B" w:rsidR="00D262E2"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131.</w:t>
      </w:r>
      <w:r w:rsidRPr="00793A3E">
        <w:rPr>
          <w:rFonts w:ascii="Arial" w:hAnsi="Arial" w:cs="Arial"/>
          <w:sz w:val="24"/>
          <w:szCs w:val="24"/>
        </w:rPr>
        <w:tab/>
      </w:r>
      <w:r w:rsidR="00D262E2" w:rsidRPr="00D33AC2">
        <w:rPr>
          <w:rFonts w:ascii="Arial" w:hAnsi="Arial" w:cs="Arial"/>
          <w:sz w:val="24"/>
          <w:szCs w:val="24"/>
        </w:rPr>
        <w:t xml:space="preserve">In </w:t>
      </w:r>
      <w:r w:rsidR="00D262E2" w:rsidRPr="00D33AC2">
        <w:rPr>
          <w:rFonts w:ascii="Arial" w:hAnsi="Arial" w:cs="Arial"/>
          <w:b/>
          <w:sz w:val="24"/>
          <w:szCs w:val="24"/>
        </w:rPr>
        <w:t>Cool Ideas 1186 CC v Hubbard</w:t>
      </w:r>
      <w:r w:rsidR="00D262E2" w:rsidRPr="00793A3E">
        <w:rPr>
          <w:rStyle w:val="FootnoteReference"/>
          <w:rFonts w:ascii="Arial" w:hAnsi="Arial" w:cs="Arial"/>
          <w:sz w:val="24"/>
          <w:szCs w:val="24"/>
        </w:rPr>
        <w:footnoteReference w:id="30"/>
      </w:r>
      <w:r w:rsidR="00D262E2" w:rsidRPr="00D33AC2">
        <w:rPr>
          <w:rFonts w:ascii="Arial" w:hAnsi="Arial" w:cs="Arial"/>
          <w:sz w:val="24"/>
          <w:szCs w:val="24"/>
        </w:rPr>
        <w:t xml:space="preserve"> the court in dealing with the interpretation of statutes said the following:</w:t>
      </w:r>
    </w:p>
    <w:p w14:paraId="4826B252" w14:textId="77777777" w:rsidR="00D262E2" w:rsidRPr="00793A3E" w:rsidRDefault="00D262E2" w:rsidP="00F009F9">
      <w:pPr>
        <w:pStyle w:val="ListParagraph"/>
        <w:spacing w:after="0" w:line="480" w:lineRule="auto"/>
        <w:contextualSpacing w:val="0"/>
        <w:jc w:val="both"/>
        <w:rPr>
          <w:rFonts w:ascii="Arial" w:hAnsi="Arial" w:cs="Arial"/>
          <w:b/>
          <w:sz w:val="24"/>
          <w:szCs w:val="24"/>
          <w:u w:val="single"/>
        </w:rPr>
      </w:pPr>
    </w:p>
    <w:p w14:paraId="0F93BE0C" w14:textId="77777777" w:rsidR="00D262E2" w:rsidRPr="00F009F9" w:rsidRDefault="00D262E2" w:rsidP="00F009F9">
      <w:pPr>
        <w:pStyle w:val="NormalWeb"/>
        <w:shd w:val="clear" w:color="auto" w:fill="FFFFFF"/>
        <w:spacing w:before="0" w:beforeAutospacing="0" w:after="0" w:afterAutospacing="0" w:line="360" w:lineRule="auto"/>
        <w:ind w:left="1440"/>
        <w:jc w:val="both"/>
        <w:rPr>
          <w:rFonts w:ascii="Arial" w:hAnsi="Arial" w:cs="Arial"/>
          <w:color w:val="242121"/>
          <w:sz w:val="22"/>
          <w:szCs w:val="22"/>
        </w:rPr>
      </w:pPr>
      <w:r w:rsidRPr="00F009F9">
        <w:rPr>
          <w:rFonts w:ascii="Arial" w:hAnsi="Arial" w:cs="Arial"/>
          <w:sz w:val="22"/>
          <w:szCs w:val="22"/>
        </w:rPr>
        <w:t>“</w:t>
      </w:r>
      <w:r w:rsidRPr="00F009F9">
        <w:rPr>
          <w:rFonts w:ascii="Arial" w:hAnsi="Arial" w:cs="Arial"/>
          <w:color w:val="242121"/>
          <w:sz w:val="22"/>
          <w:szCs w:val="22"/>
          <w:lang w:val="en-ZA"/>
        </w:rPr>
        <w:t>[28] A fundamental tenet of statutory interpretation is that the words in a statute must be given their ordinary grammatical meaning, unless to do so would result in an absurdity.</w:t>
      </w:r>
      <w:r w:rsidRPr="00F009F9">
        <w:rPr>
          <w:rFonts w:ascii="Arial" w:hAnsi="Arial" w:cs="Arial"/>
          <w:color w:val="242121"/>
          <w:sz w:val="22"/>
          <w:szCs w:val="22"/>
        </w:rPr>
        <w:t>  </w:t>
      </w:r>
      <w:r w:rsidRPr="00F009F9">
        <w:rPr>
          <w:rFonts w:ascii="Arial" w:hAnsi="Arial" w:cs="Arial"/>
          <w:color w:val="242121"/>
          <w:sz w:val="22"/>
          <w:szCs w:val="22"/>
          <w:lang w:val="en-ZA"/>
        </w:rPr>
        <w:t>There are three important interrelated riders to this general principle, namely:</w:t>
      </w:r>
    </w:p>
    <w:p w14:paraId="31EE8610" w14:textId="77777777" w:rsidR="00D262E2" w:rsidRPr="00F009F9" w:rsidRDefault="00D262E2" w:rsidP="00F009F9">
      <w:pPr>
        <w:pStyle w:val="NormalWeb"/>
        <w:shd w:val="clear" w:color="auto" w:fill="FFFFFF"/>
        <w:tabs>
          <w:tab w:val="left" w:pos="1530"/>
        </w:tabs>
        <w:spacing w:before="0" w:beforeAutospacing="0" w:after="0" w:afterAutospacing="0" w:line="360" w:lineRule="auto"/>
        <w:ind w:left="2160"/>
        <w:jc w:val="both"/>
        <w:rPr>
          <w:rFonts w:ascii="Arial" w:hAnsi="Arial" w:cs="Arial"/>
          <w:color w:val="242121"/>
          <w:sz w:val="22"/>
          <w:szCs w:val="22"/>
        </w:rPr>
      </w:pPr>
      <w:r w:rsidRPr="00F009F9">
        <w:rPr>
          <w:rFonts w:ascii="Arial" w:hAnsi="Arial" w:cs="Arial"/>
          <w:color w:val="242121"/>
          <w:sz w:val="22"/>
          <w:szCs w:val="22"/>
          <w:lang w:val="en-ZA"/>
        </w:rPr>
        <w:t>(a) that statutory provisions should always be interpreted purposively;</w:t>
      </w:r>
    </w:p>
    <w:p w14:paraId="2699D407" w14:textId="77777777" w:rsidR="00D262E2" w:rsidRPr="00F009F9" w:rsidRDefault="00D262E2" w:rsidP="00F009F9">
      <w:pPr>
        <w:pStyle w:val="NormalWeb"/>
        <w:shd w:val="clear" w:color="auto" w:fill="FFFFFF"/>
        <w:spacing w:before="0" w:beforeAutospacing="0" w:after="0" w:afterAutospacing="0" w:line="360" w:lineRule="auto"/>
        <w:ind w:left="2160"/>
        <w:jc w:val="both"/>
        <w:rPr>
          <w:rFonts w:ascii="Arial" w:hAnsi="Arial" w:cs="Arial"/>
          <w:color w:val="242121"/>
          <w:sz w:val="22"/>
          <w:szCs w:val="22"/>
        </w:rPr>
      </w:pPr>
      <w:r w:rsidRPr="00F009F9">
        <w:rPr>
          <w:rFonts w:ascii="Arial" w:hAnsi="Arial" w:cs="Arial"/>
          <w:color w:val="242121"/>
          <w:sz w:val="22"/>
          <w:szCs w:val="22"/>
          <w:lang w:val="en-ZA"/>
        </w:rPr>
        <w:t>(b) the relevant statutory provision must be properly contextualised;</w:t>
      </w:r>
      <w:r w:rsidRPr="00F009F9">
        <w:rPr>
          <w:rFonts w:ascii="Arial" w:hAnsi="Arial" w:cs="Arial"/>
          <w:b/>
          <w:bCs/>
          <w:color w:val="242121"/>
          <w:sz w:val="22"/>
          <w:szCs w:val="22"/>
          <w:lang w:val="en-ZA"/>
        </w:rPr>
        <w:t xml:space="preserve"> </w:t>
      </w:r>
      <w:r w:rsidRPr="00F009F9">
        <w:rPr>
          <w:rFonts w:ascii="Arial" w:hAnsi="Arial" w:cs="Arial"/>
          <w:color w:val="242121"/>
          <w:sz w:val="22"/>
          <w:szCs w:val="22"/>
          <w:lang w:val="en-ZA"/>
        </w:rPr>
        <w:t>and</w:t>
      </w:r>
    </w:p>
    <w:p w14:paraId="7667DD91" w14:textId="77777777" w:rsidR="00D262E2" w:rsidRPr="00F009F9" w:rsidRDefault="00D262E2" w:rsidP="00F009F9">
      <w:pPr>
        <w:pStyle w:val="NormalWeb"/>
        <w:shd w:val="clear" w:color="auto" w:fill="FFFFFF"/>
        <w:spacing w:before="0" w:beforeAutospacing="0" w:after="0" w:afterAutospacing="0" w:line="360" w:lineRule="auto"/>
        <w:ind w:left="2160"/>
        <w:jc w:val="both"/>
        <w:rPr>
          <w:rFonts w:ascii="Arial" w:hAnsi="Arial" w:cs="Arial"/>
          <w:bCs/>
          <w:color w:val="242121"/>
          <w:sz w:val="22"/>
          <w:szCs w:val="22"/>
          <w:lang w:val="en-ZA"/>
        </w:rPr>
      </w:pPr>
      <w:r w:rsidRPr="00F009F9">
        <w:rPr>
          <w:rFonts w:ascii="Arial" w:hAnsi="Arial" w:cs="Arial"/>
          <w:color w:val="242121"/>
          <w:sz w:val="22"/>
          <w:szCs w:val="22"/>
          <w:lang w:val="en-ZA"/>
        </w:rPr>
        <w:t>(c) 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in (a).</w:t>
      </w:r>
      <w:r w:rsidRPr="00F009F9">
        <w:rPr>
          <w:rFonts w:ascii="Arial" w:hAnsi="Arial" w:cs="Arial"/>
          <w:bCs/>
          <w:color w:val="242121"/>
          <w:sz w:val="22"/>
          <w:szCs w:val="22"/>
          <w:lang w:val="en-ZA"/>
        </w:rPr>
        <w:t>”</w:t>
      </w:r>
    </w:p>
    <w:p w14:paraId="09ABF964" w14:textId="77777777" w:rsidR="000863F7" w:rsidRPr="00793A3E" w:rsidRDefault="000863F7" w:rsidP="00F009F9">
      <w:pPr>
        <w:pStyle w:val="NormalWeb"/>
        <w:shd w:val="clear" w:color="auto" w:fill="FFFFFF"/>
        <w:spacing w:before="0" w:beforeAutospacing="0" w:after="0" w:afterAutospacing="0" w:line="480" w:lineRule="auto"/>
        <w:ind w:left="2160"/>
        <w:jc w:val="both"/>
        <w:rPr>
          <w:rFonts w:ascii="Arial" w:hAnsi="Arial" w:cs="Arial"/>
          <w:color w:val="242121"/>
        </w:rPr>
      </w:pPr>
    </w:p>
    <w:p w14:paraId="258B3298" w14:textId="3CF99626" w:rsidR="00F009F9"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0863F7" w:rsidRPr="00D33AC2">
        <w:rPr>
          <w:rFonts w:ascii="Arial" w:hAnsi="Arial" w:cs="Arial"/>
          <w:sz w:val="24"/>
          <w:szCs w:val="24"/>
        </w:rPr>
        <w:t>Viewed in the manner set out above, it is clear from the tenders that were submitted that these were completely different tenders for different buildings and different accommodation</w:t>
      </w:r>
      <w:r w:rsidR="00810F7C" w:rsidRPr="00D33AC2">
        <w:rPr>
          <w:rFonts w:ascii="Arial" w:hAnsi="Arial" w:cs="Arial"/>
          <w:sz w:val="24"/>
          <w:szCs w:val="24"/>
        </w:rPr>
        <w:t>,</w:t>
      </w:r>
      <w:r w:rsidR="000863F7" w:rsidRPr="00D33AC2">
        <w:rPr>
          <w:rFonts w:ascii="Arial" w:hAnsi="Arial" w:cs="Arial"/>
          <w:sz w:val="24"/>
          <w:szCs w:val="24"/>
        </w:rPr>
        <w:t xml:space="preserve"> both said to be compliant with the invitation to tender relevant to 5818.  </w:t>
      </w:r>
    </w:p>
    <w:p w14:paraId="6820ACB6" w14:textId="77777777" w:rsidR="00693759" w:rsidRPr="00693759" w:rsidRDefault="00693759" w:rsidP="00693759">
      <w:pPr>
        <w:pStyle w:val="ListParagraph"/>
        <w:spacing w:after="0" w:line="480" w:lineRule="auto"/>
        <w:contextualSpacing w:val="0"/>
        <w:jc w:val="both"/>
        <w:rPr>
          <w:rFonts w:ascii="Arial" w:hAnsi="Arial" w:cs="Arial"/>
          <w:sz w:val="24"/>
          <w:szCs w:val="24"/>
        </w:rPr>
      </w:pPr>
    </w:p>
    <w:p w14:paraId="488EA47F" w14:textId="53AFA505" w:rsidR="000863F7"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133.</w:t>
      </w:r>
      <w:r w:rsidRPr="00793A3E">
        <w:rPr>
          <w:rFonts w:ascii="Arial" w:hAnsi="Arial" w:cs="Arial"/>
          <w:sz w:val="24"/>
          <w:szCs w:val="24"/>
        </w:rPr>
        <w:tab/>
      </w:r>
      <w:r w:rsidR="000863F7" w:rsidRPr="00D33AC2">
        <w:rPr>
          <w:rFonts w:ascii="Arial" w:hAnsi="Arial" w:cs="Arial"/>
          <w:sz w:val="24"/>
          <w:szCs w:val="24"/>
        </w:rPr>
        <w:t xml:space="preserve">These were separate tenders and cannot, in any way be described as </w:t>
      </w:r>
      <w:r w:rsidR="000863F7" w:rsidRPr="00D33AC2">
        <w:rPr>
          <w:rFonts w:ascii="Arial" w:hAnsi="Arial" w:cs="Arial"/>
          <w:i/>
          <w:sz w:val="24"/>
          <w:szCs w:val="24"/>
        </w:rPr>
        <w:t>“alternative tenders”</w:t>
      </w:r>
      <w:r w:rsidR="00810F7C" w:rsidRPr="00D33AC2">
        <w:rPr>
          <w:rFonts w:ascii="Arial" w:hAnsi="Arial" w:cs="Arial"/>
          <w:i/>
          <w:sz w:val="24"/>
          <w:szCs w:val="24"/>
        </w:rPr>
        <w:t xml:space="preserve"> </w:t>
      </w:r>
      <w:r w:rsidR="00383695" w:rsidRPr="00D33AC2">
        <w:rPr>
          <w:rFonts w:ascii="Arial" w:hAnsi="Arial" w:cs="Arial"/>
          <w:sz w:val="24"/>
          <w:szCs w:val="24"/>
        </w:rPr>
        <w:t>in the sense required.</w:t>
      </w:r>
    </w:p>
    <w:p w14:paraId="234988EF" w14:textId="77777777" w:rsidR="000863F7" w:rsidRPr="00793A3E" w:rsidRDefault="000863F7" w:rsidP="00F009F9">
      <w:pPr>
        <w:pStyle w:val="ListParagraph"/>
        <w:spacing w:after="0" w:line="480" w:lineRule="auto"/>
        <w:contextualSpacing w:val="0"/>
        <w:jc w:val="both"/>
        <w:rPr>
          <w:rFonts w:ascii="Arial" w:hAnsi="Arial" w:cs="Arial"/>
          <w:sz w:val="24"/>
          <w:szCs w:val="24"/>
        </w:rPr>
      </w:pPr>
    </w:p>
    <w:p w14:paraId="571708C6" w14:textId="69CF00C7" w:rsidR="000863F7"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134.</w:t>
      </w:r>
      <w:r w:rsidRPr="00793A3E">
        <w:rPr>
          <w:rFonts w:ascii="Arial" w:hAnsi="Arial" w:cs="Arial"/>
          <w:sz w:val="24"/>
          <w:szCs w:val="24"/>
        </w:rPr>
        <w:tab/>
      </w:r>
      <w:r w:rsidR="000863F7" w:rsidRPr="00D33AC2">
        <w:rPr>
          <w:rFonts w:ascii="Arial" w:hAnsi="Arial" w:cs="Arial"/>
          <w:sz w:val="24"/>
          <w:szCs w:val="24"/>
        </w:rPr>
        <w:t xml:space="preserve">In my view, on a proper interpretation of the tender conditions read with all other relevant circumstances, documents the background and purpose, indicate that what was sought to be prevented was alternative tenders in respect of the same space in the same building – this for obvious reasons.  There can be no rational reason to extend this to two entirely separate tenders for entirely different buildings, as same would make no business sense whatsoever.  </w:t>
      </w:r>
    </w:p>
    <w:p w14:paraId="29B86681" w14:textId="77777777" w:rsidR="000863F7" w:rsidRPr="00793A3E" w:rsidRDefault="000863F7" w:rsidP="00F009F9">
      <w:pPr>
        <w:pStyle w:val="ListParagraph"/>
        <w:spacing w:after="0" w:line="480" w:lineRule="auto"/>
        <w:contextualSpacing w:val="0"/>
        <w:rPr>
          <w:rFonts w:ascii="Arial" w:hAnsi="Arial" w:cs="Arial"/>
          <w:sz w:val="24"/>
          <w:szCs w:val="24"/>
        </w:rPr>
      </w:pPr>
    </w:p>
    <w:p w14:paraId="22411CC9" w14:textId="52A07828" w:rsidR="00D262E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135.</w:t>
      </w:r>
      <w:r w:rsidRPr="00793A3E">
        <w:rPr>
          <w:rFonts w:ascii="Arial" w:hAnsi="Arial" w:cs="Arial"/>
          <w:sz w:val="24"/>
          <w:szCs w:val="24"/>
        </w:rPr>
        <w:tab/>
      </w:r>
      <w:r w:rsidR="000863F7" w:rsidRPr="00D33AC2">
        <w:rPr>
          <w:rFonts w:ascii="Arial" w:hAnsi="Arial" w:cs="Arial"/>
          <w:sz w:val="24"/>
          <w:szCs w:val="24"/>
        </w:rPr>
        <w:t xml:space="preserve">It is not insignificant, that adjudicating the tenders, this was not something that played any role whatsoever in Rokewood being preferred to the SKG tender, </w:t>
      </w:r>
      <w:r w:rsidR="000863F7" w:rsidRPr="00D33AC2">
        <w:rPr>
          <w:rFonts w:ascii="Arial" w:hAnsi="Arial" w:cs="Arial"/>
          <w:sz w:val="24"/>
          <w:szCs w:val="24"/>
        </w:rPr>
        <w:lastRenderedPageBreak/>
        <w:t xml:space="preserve">nor was it suggested at any time that SKG was deemed to be ineligible to submit a tender having on this argument, submitted more than one tender viewed as an alternative tender. </w:t>
      </w:r>
    </w:p>
    <w:p w14:paraId="36FA0E28" w14:textId="77777777" w:rsidR="000863F7" w:rsidRPr="00793A3E" w:rsidRDefault="000863F7" w:rsidP="00F009F9">
      <w:pPr>
        <w:pStyle w:val="ListParagraph"/>
        <w:spacing w:after="0" w:line="480" w:lineRule="auto"/>
        <w:contextualSpacing w:val="0"/>
        <w:rPr>
          <w:rFonts w:ascii="Arial" w:hAnsi="Arial" w:cs="Arial"/>
          <w:sz w:val="24"/>
          <w:szCs w:val="24"/>
        </w:rPr>
      </w:pPr>
    </w:p>
    <w:p w14:paraId="31FDE4C8" w14:textId="5353C0FE" w:rsidR="000863F7"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136.</w:t>
      </w:r>
      <w:r w:rsidRPr="00793A3E">
        <w:rPr>
          <w:rFonts w:ascii="Arial" w:hAnsi="Arial" w:cs="Arial"/>
          <w:sz w:val="24"/>
          <w:szCs w:val="24"/>
        </w:rPr>
        <w:tab/>
      </w:r>
      <w:r w:rsidR="000863F7" w:rsidRPr="00D33AC2">
        <w:rPr>
          <w:rFonts w:ascii="Arial" w:hAnsi="Arial" w:cs="Arial"/>
          <w:sz w:val="24"/>
          <w:szCs w:val="24"/>
        </w:rPr>
        <w:t>To hold otherwise would make no sense whatsoever in the context of interpretation as set out above.</w:t>
      </w:r>
    </w:p>
    <w:p w14:paraId="743E94BC" w14:textId="77777777" w:rsidR="00E60E84" w:rsidRPr="00793A3E" w:rsidRDefault="00E60E84" w:rsidP="00F009F9">
      <w:pPr>
        <w:pStyle w:val="ListParagraph"/>
        <w:spacing w:after="0" w:line="480" w:lineRule="auto"/>
        <w:contextualSpacing w:val="0"/>
        <w:rPr>
          <w:rFonts w:ascii="Arial" w:hAnsi="Arial" w:cs="Arial"/>
          <w:sz w:val="24"/>
          <w:szCs w:val="24"/>
        </w:rPr>
      </w:pPr>
    </w:p>
    <w:p w14:paraId="1FDCE676" w14:textId="5A458052" w:rsidR="00E60E8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137.</w:t>
      </w:r>
      <w:r w:rsidRPr="00793A3E">
        <w:rPr>
          <w:rFonts w:ascii="Arial" w:hAnsi="Arial" w:cs="Arial"/>
          <w:sz w:val="24"/>
          <w:szCs w:val="24"/>
        </w:rPr>
        <w:tab/>
      </w:r>
      <w:r w:rsidR="000863F7" w:rsidRPr="00D33AC2">
        <w:rPr>
          <w:rFonts w:ascii="Arial" w:hAnsi="Arial" w:cs="Arial"/>
          <w:sz w:val="24"/>
          <w:szCs w:val="24"/>
        </w:rPr>
        <w:t xml:space="preserve">In my view, accordingly, this argument can simply not be substantiated.  </w:t>
      </w:r>
    </w:p>
    <w:p w14:paraId="78820193" w14:textId="77777777" w:rsidR="000863F7" w:rsidRPr="00793A3E" w:rsidRDefault="000863F7" w:rsidP="00F009F9">
      <w:pPr>
        <w:pStyle w:val="ListParagraph"/>
        <w:spacing w:after="0" w:line="480" w:lineRule="auto"/>
        <w:contextualSpacing w:val="0"/>
        <w:rPr>
          <w:rFonts w:ascii="Arial" w:hAnsi="Arial" w:cs="Arial"/>
          <w:sz w:val="24"/>
          <w:szCs w:val="24"/>
        </w:rPr>
      </w:pPr>
    </w:p>
    <w:p w14:paraId="2E8353E6" w14:textId="77777777" w:rsidR="005C3214" w:rsidRPr="00793A3E" w:rsidRDefault="005C3214" w:rsidP="00F009F9">
      <w:pPr>
        <w:pStyle w:val="ListParagraph"/>
        <w:spacing w:after="0" w:line="480" w:lineRule="auto"/>
        <w:ind w:left="0"/>
        <w:contextualSpacing w:val="0"/>
        <w:rPr>
          <w:rFonts w:ascii="Arial" w:hAnsi="Arial" w:cs="Arial"/>
          <w:b/>
          <w:sz w:val="24"/>
          <w:szCs w:val="24"/>
          <w:u w:val="single"/>
        </w:rPr>
      </w:pPr>
      <w:r w:rsidRPr="00793A3E">
        <w:rPr>
          <w:rFonts w:ascii="Arial" w:hAnsi="Arial" w:cs="Arial"/>
          <w:b/>
          <w:sz w:val="24"/>
          <w:szCs w:val="24"/>
          <w:u w:val="single"/>
        </w:rPr>
        <w:t>THE PRICE ISSUE</w:t>
      </w:r>
    </w:p>
    <w:p w14:paraId="7F365CD1" w14:textId="77777777" w:rsidR="005C3214" w:rsidRPr="00793A3E" w:rsidRDefault="005C3214" w:rsidP="00F009F9">
      <w:pPr>
        <w:pStyle w:val="ListParagraph"/>
        <w:spacing w:after="0" w:line="480" w:lineRule="auto"/>
        <w:ind w:left="0"/>
        <w:contextualSpacing w:val="0"/>
        <w:rPr>
          <w:rFonts w:ascii="Arial" w:hAnsi="Arial" w:cs="Arial"/>
          <w:b/>
          <w:sz w:val="24"/>
          <w:szCs w:val="24"/>
          <w:u w:val="single"/>
        </w:rPr>
      </w:pPr>
    </w:p>
    <w:p w14:paraId="6393BBF4" w14:textId="43C8ECC9" w:rsidR="000863F7"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138.</w:t>
      </w:r>
      <w:r w:rsidRPr="00793A3E">
        <w:rPr>
          <w:rFonts w:ascii="Arial" w:hAnsi="Arial" w:cs="Arial"/>
          <w:sz w:val="24"/>
          <w:szCs w:val="24"/>
        </w:rPr>
        <w:tab/>
      </w:r>
      <w:r w:rsidR="000863F7" w:rsidRPr="00D33AC2">
        <w:rPr>
          <w:rFonts w:ascii="Arial" w:hAnsi="Arial" w:cs="Arial"/>
          <w:sz w:val="24"/>
          <w:szCs w:val="24"/>
        </w:rPr>
        <w:t xml:space="preserve">This leaves two issues for determination, both relating to price, the first as to whether the bids should have been evaluated </w:t>
      </w:r>
      <w:r w:rsidR="005C3214" w:rsidRPr="00D33AC2">
        <w:rPr>
          <w:rFonts w:ascii="Arial" w:hAnsi="Arial" w:cs="Arial"/>
          <w:sz w:val="24"/>
          <w:szCs w:val="24"/>
        </w:rPr>
        <w:t>(</w:t>
      </w:r>
      <w:r w:rsidR="000863F7" w:rsidRPr="00D33AC2">
        <w:rPr>
          <w:rFonts w:ascii="Arial" w:hAnsi="Arial" w:cs="Arial"/>
          <w:sz w:val="24"/>
          <w:szCs w:val="24"/>
        </w:rPr>
        <w:t>fairly</w:t>
      </w:r>
      <w:r w:rsidR="005C3214" w:rsidRPr="00D33AC2">
        <w:rPr>
          <w:rFonts w:ascii="Arial" w:hAnsi="Arial" w:cs="Arial"/>
          <w:sz w:val="24"/>
          <w:szCs w:val="24"/>
        </w:rPr>
        <w:t>)</w:t>
      </w:r>
      <w:r w:rsidR="000863F7" w:rsidRPr="00D33AC2">
        <w:rPr>
          <w:rFonts w:ascii="Arial" w:hAnsi="Arial" w:cs="Arial"/>
          <w:sz w:val="24"/>
          <w:szCs w:val="24"/>
        </w:rPr>
        <w:t xml:space="preserve"> on a price per square meter basis as opposed to total price and the second, the TIC issue.  </w:t>
      </w:r>
    </w:p>
    <w:p w14:paraId="359E6D90" w14:textId="77777777" w:rsidR="000863F7" w:rsidRPr="00793A3E" w:rsidRDefault="000863F7" w:rsidP="00F009F9">
      <w:pPr>
        <w:pStyle w:val="ListParagraph"/>
        <w:spacing w:after="0" w:line="480" w:lineRule="auto"/>
        <w:contextualSpacing w:val="0"/>
        <w:rPr>
          <w:rFonts w:ascii="Arial" w:hAnsi="Arial" w:cs="Arial"/>
          <w:sz w:val="24"/>
          <w:szCs w:val="24"/>
        </w:rPr>
      </w:pPr>
    </w:p>
    <w:p w14:paraId="19DDF2B3" w14:textId="24F3387E" w:rsidR="000863F7"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139.</w:t>
      </w:r>
      <w:r w:rsidRPr="00793A3E">
        <w:rPr>
          <w:rFonts w:ascii="Arial" w:hAnsi="Arial" w:cs="Arial"/>
          <w:sz w:val="24"/>
          <w:szCs w:val="24"/>
        </w:rPr>
        <w:tab/>
      </w:r>
      <w:r w:rsidR="000863F7" w:rsidRPr="00D33AC2">
        <w:rPr>
          <w:rFonts w:ascii="Arial" w:hAnsi="Arial" w:cs="Arial"/>
          <w:sz w:val="24"/>
          <w:szCs w:val="24"/>
        </w:rPr>
        <w:t xml:space="preserve">As to the price per square meter issue I have essentially already summarised applicant’s and first respondent’s submissions in this regard and now turn to second respondent’s answer to the claim that in order to compare apples with apples it made no sense to treat the bidder with the smaller space and the bidder for a larger space still within the approximate requirement on a total price basis as in most circumstances the smaller space would have a less expensive total price perhaps even though the rate per square meter was higher.  </w:t>
      </w:r>
    </w:p>
    <w:p w14:paraId="72B47825" w14:textId="77777777" w:rsidR="000863F7" w:rsidRPr="00793A3E" w:rsidRDefault="000863F7" w:rsidP="00F009F9">
      <w:pPr>
        <w:pStyle w:val="ListParagraph"/>
        <w:spacing w:after="0" w:line="480" w:lineRule="auto"/>
        <w:contextualSpacing w:val="0"/>
        <w:rPr>
          <w:rFonts w:ascii="Arial" w:hAnsi="Arial" w:cs="Arial"/>
          <w:sz w:val="24"/>
          <w:szCs w:val="24"/>
        </w:rPr>
      </w:pPr>
    </w:p>
    <w:p w14:paraId="10720959" w14:textId="662C6F98" w:rsidR="000863F7"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140.</w:t>
      </w:r>
      <w:r w:rsidRPr="00793A3E">
        <w:rPr>
          <w:rFonts w:ascii="Arial" w:hAnsi="Arial" w:cs="Arial"/>
          <w:sz w:val="24"/>
          <w:szCs w:val="24"/>
        </w:rPr>
        <w:tab/>
      </w:r>
      <w:r w:rsidR="000863F7" w:rsidRPr="00D33AC2">
        <w:rPr>
          <w:rFonts w:ascii="Arial" w:hAnsi="Arial" w:cs="Arial"/>
          <w:sz w:val="24"/>
          <w:szCs w:val="24"/>
        </w:rPr>
        <w:t xml:space="preserve">To illustrate this, applicant argues that as to bid 5818 Rokewood’s bid at the lower square meterage came in at a rate of R115 per square meter, vat exclusive whilst SKG’s was at R100 vat exclusive.  </w:t>
      </w:r>
    </w:p>
    <w:p w14:paraId="01DD5003" w14:textId="7C2E557B" w:rsidR="00D771DE"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lastRenderedPageBreak/>
        <w:t>141.</w:t>
      </w:r>
      <w:r w:rsidRPr="00793A3E">
        <w:rPr>
          <w:rFonts w:ascii="Arial" w:hAnsi="Arial" w:cs="Arial"/>
          <w:sz w:val="24"/>
          <w:szCs w:val="24"/>
        </w:rPr>
        <w:tab/>
      </w:r>
      <w:r w:rsidR="00D771DE" w:rsidRPr="00D33AC2">
        <w:rPr>
          <w:rFonts w:ascii="Arial" w:hAnsi="Arial" w:cs="Arial"/>
          <w:sz w:val="24"/>
          <w:szCs w:val="24"/>
        </w:rPr>
        <w:t>Applicant argues that Eskom’s submissions that it was not entitled to alter the floor space offered by SKG is a misdirected answer and that notwithstanding the approximate square meterage required it was incumbent upon Eskom to evaluate and compare prices per square meter, not total pricing</w:t>
      </w:r>
      <w:r w:rsidR="005C3214" w:rsidRPr="00D33AC2">
        <w:rPr>
          <w:rFonts w:ascii="Arial" w:hAnsi="Arial" w:cs="Arial"/>
          <w:sz w:val="24"/>
          <w:szCs w:val="24"/>
        </w:rPr>
        <w:t>,</w:t>
      </w:r>
      <w:r w:rsidR="00D771DE" w:rsidRPr="00D33AC2">
        <w:rPr>
          <w:rFonts w:ascii="Arial" w:hAnsi="Arial" w:cs="Arial"/>
          <w:sz w:val="24"/>
          <w:szCs w:val="24"/>
        </w:rPr>
        <w:t xml:space="preserve"> within the principles entrenched in section 217 of the Constitution already referred to above.  To do otherwise, argued applicant, was such as to fail to evaluate on an equal footing.  </w:t>
      </w:r>
    </w:p>
    <w:p w14:paraId="22532ACE" w14:textId="77777777" w:rsidR="00D771DE" w:rsidRPr="00793A3E" w:rsidRDefault="00D771DE" w:rsidP="00F009F9">
      <w:pPr>
        <w:pStyle w:val="ListParagraph"/>
        <w:spacing w:after="0" w:line="480" w:lineRule="auto"/>
        <w:contextualSpacing w:val="0"/>
        <w:rPr>
          <w:rFonts w:ascii="Arial" w:hAnsi="Arial" w:cs="Arial"/>
          <w:sz w:val="24"/>
          <w:szCs w:val="24"/>
        </w:rPr>
      </w:pPr>
    </w:p>
    <w:p w14:paraId="6B9DDEA7" w14:textId="067E6BB5" w:rsidR="00D771DE"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142.</w:t>
      </w:r>
      <w:r w:rsidRPr="00793A3E">
        <w:rPr>
          <w:rFonts w:ascii="Arial" w:hAnsi="Arial" w:cs="Arial"/>
          <w:sz w:val="24"/>
          <w:szCs w:val="24"/>
        </w:rPr>
        <w:tab/>
      </w:r>
      <w:r w:rsidR="00D771DE" w:rsidRPr="00D33AC2">
        <w:rPr>
          <w:rFonts w:ascii="Arial" w:hAnsi="Arial" w:cs="Arial"/>
          <w:sz w:val="24"/>
          <w:szCs w:val="24"/>
        </w:rPr>
        <w:t>Rokewood argues that this contention is not sustainable as the size of the property was only utilised for the purposes of “</w:t>
      </w:r>
      <w:r w:rsidR="00D771DE" w:rsidRPr="00D33AC2">
        <w:rPr>
          <w:rFonts w:ascii="Arial" w:hAnsi="Arial" w:cs="Arial"/>
          <w:i/>
          <w:sz w:val="24"/>
          <w:szCs w:val="24"/>
        </w:rPr>
        <w:t>technical evaluation</w:t>
      </w:r>
      <w:r w:rsidR="00D771DE" w:rsidRPr="00D33AC2">
        <w:rPr>
          <w:rFonts w:ascii="Arial" w:hAnsi="Arial" w:cs="Arial"/>
          <w:sz w:val="24"/>
          <w:szCs w:val="24"/>
        </w:rPr>
        <w:t>”; the tender specifically provided for the “</w:t>
      </w:r>
      <w:r w:rsidR="00D771DE" w:rsidRPr="00D33AC2">
        <w:rPr>
          <w:rFonts w:ascii="Arial" w:hAnsi="Arial" w:cs="Arial"/>
          <w:i/>
          <w:sz w:val="24"/>
          <w:szCs w:val="24"/>
        </w:rPr>
        <w:t>gross</w:t>
      </w:r>
      <w:r w:rsidR="00D771DE" w:rsidRPr="00D33AC2">
        <w:rPr>
          <w:rFonts w:ascii="Arial" w:hAnsi="Arial" w:cs="Arial"/>
          <w:sz w:val="24"/>
          <w:szCs w:val="24"/>
        </w:rPr>
        <w:t xml:space="preserve">” costs of the lease per month; the tender did not provide for the adjudication of bids on a costs per square meter basis; and the tender also provided for the costs per parking bay which was not calculated at a cost per square meter.  </w:t>
      </w:r>
    </w:p>
    <w:p w14:paraId="227397E4" w14:textId="77777777" w:rsidR="00D771DE" w:rsidRPr="00793A3E" w:rsidRDefault="00D771DE" w:rsidP="00F009F9">
      <w:pPr>
        <w:pStyle w:val="ListParagraph"/>
        <w:spacing w:after="0" w:line="480" w:lineRule="auto"/>
        <w:contextualSpacing w:val="0"/>
        <w:rPr>
          <w:rFonts w:ascii="Arial" w:hAnsi="Arial" w:cs="Arial"/>
          <w:sz w:val="24"/>
          <w:szCs w:val="24"/>
        </w:rPr>
      </w:pPr>
    </w:p>
    <w:p w14:paraId="4796DCF8" w14:textId="74C4C417" w:rsidR="00D771DE"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143.</w:t>
      </w:r>
      <w:r w:rsidRPr="00793A3E">
        <w:rPr>
          <w:rFonts w:ascii="Arial" w:hAnsi="Arial" w:cs="Arial"/>
          <w:sz w:val="24"/>
          <w:szCs w:val="24"/>
        </w:rPr>
        <w:tab/>
      </w:r>
      <w:r w:rsidR="00D771DE" w:rsidRPr="00D33AC2">
        <w:rPr>
          <w:rFonts w:ascii="Arial" w:hAnsi="Arial" w:cs="Arial"/>
          <w:sz w:val="24"/>
          <w:szCs w:val="24"/>
        </w:rPr>
        <w:t xml:space="preserve">As already pointed the invitation to tender required a lease agreement for ± 1200m² office space of a grade A or higher rated building in the Beacon Bay, East London area.  Paragraph 2 of the invitation to tender reflected that the evaluation process and criteria would include basic compliance; mandatory tender returnable; functionality; financial evaluation; price and preference scoring; objective criteria.  </w:t>
      </w:r>
    </w:p>
    <w:p w14:paraId="01A7F974" w14:textId="77777777" w:rsidR="00D771DE" w:rsidRPr="00793A3E" w:rsidRDefault="00D771DE" w:rsidP="00F009F9">
      <w:pPr>
        <w:pStyle w:val="ListParagraph"/>
        <w:spacing w:after="0" w:line="480" w:lineRule="auto"/>
        <w:contextualSpacing w:val="0"/>
        <w:rPr>
          <w:rFonts w:ascii="Arial" w:hAnsi="Arial" w:cs="Arial"/>
          <w:sz w:val="24"/>
          <w:szCs w:val="24"/>
        </w:rPr>
      </w:pPr>
    </w:p>
    <w:p w14:paraId="24198513" w14:textId="3991C392" w:rsidR="00D771DE"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144.</w:t>
      </w:r>
      <w:r w:rsidRPr="00793A3E">
        <w:rPr>
          <w:rFonts w:ascii="Arial" w:hAnsi="Arial" w:cs="Arial"/>
          <w:sz w:val="24"/>
          <w:szCs w:val="24"/>
        </w:rPr>
        <w:tab/>
      </w:r>
      <w:r w:rsidR="00D771DE" w:rsidRPr="00D33AC2">
        <w:rPr>
          <w:rFonts w:ascii="Arial" w:hAnsi="Arial" w:cs="Arial"/>
          <w:sz w:val="24"/>
          <w:szCs w:val="24"/>
        </w:rPr>
        <w:t xml:space="preserve">It was provided that the property must have at least sixty reserved parking bays and that water, electricity, sewerage and refuse cost would be paid separately and should not be included in the total price tendered.  Whilst there were other requirements, these are not relevant referring to for example, that the space </w:t>
      </w:r>
      <w:r w:rsidR="00D771DE" w:rsidRPr="00D33AC2">
        <w:rPr>
          <w:rFonts w:ascii="Arial" w:hAnsi="Arial" w:cs="Arial"/>
          <w:sz w:val="24"/>
          <w:szCs w:val="24"/>
        </w:rPr>
        <w:lastRenderedPageBreak/>
        <w:t xml:space="preserve">must be relevant to offices, restroom facilities and have sufficient toilets to cater for male and female and people with disability with after hour access.  </w:t>
      </w:r>
    </w:p>
    <w:p w14:paraId="0212EAA5" w14:textId="77777777" w:rsidR="00D771DE" w:rsidRPr="00793A3E" w:rsidRDefault="00D771DE" w:rsidP="00F009F9">
      <w:pPr>
        <w:pStyle w:val="ListParagraph"/>
        <w:spacing w:after="0" w:line="480" w:lineRule="auto"/>
        <w:contextualSpacing w:val="0"/>
        <w:rPr>
          <w:rFonts w:ascii="Arial" w:hAnsi="Arial" w:cs="Arial"/>
          <w:sz w:val="24"/>
          <w:szCs w:val="24"/>
        </w:rPr>
      </w:pPr>
    </w:p>
    <w:p w14:paraId="2AC07886" w14:textId="53769144" w:rsidR="00D771DE"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145.</w:t>
      </w:r>
      <w:r w:rsidRPr="00793A3E">
        <w:rPr>
          <w:rFonts w:ascii="Arial" w:hAnsi="Arial" w:cs="Arial"/>
          <w:sz w:val="24"/>
          <w:szCs w:val="24"/>
        </w:rPr>
        <w:tab/>
      </w:r>
      <w:r w:rsidR="00D771DE" w:rsidRPr="00D33AC2">
        <w:rPr>
          <w:rFonts w:ascii="Arial" w:hAnsi="Arial" w:cs="Arial"/>
          <w:sz w:val="24"/>
          <w:szCs w:val="24"/>
        </w:rPr>
        <w:t xml:space="preserve">It was provided as to functionality (technical) evaluation that a weighted score card approach would be used, the floor space requirement providing a score of ten if greater than 1000m² or less than 1250m², they would </w:t>
      </w:r>
      <w:r w:rsidR="0090737C" w:rsidRPr="00D33AC2">
        <w:rPr>
          <w:rFonts w:ascii="Arial" w:hAnsi="Arial" w:cs="Arial"/>
          <w:sz w:val="24"/>
          <w:szCs w:val="24"/>
        </w:rPr>
        <w:t xml:space="preserve">score </w:t>
      </w:r>
      <w:r w:rsidR="00D771DE" w:rsidRPr="00D33AC2">
        <w:rPr>
          <w:rFonts w:ascii="Arial" w:hAnsi="Arial" w:cs="Arial"/>
          <w:sz w:val="24"/>
          <w:szCs w:val="24"/>
        </w:rPr>
        <w:t>a score of five if greater than 1250m² and zero if less than 1000m².  This included a minimum number of parking bays of sixty giving a score of ten if met.  The price list required included f</w:t>
      </w:r>
      <w:r w:rsidR="00281D57" w:rsidRPr="00D33AC2">
        <w:rPr>
          <w:rFonts w:ascii="Arial" w:hAnsi="Arial" w:cs="Arial"/>
          <w:sz w:val="24"/>
          <w:szCs w:val="24"/>
        </w:rPr>
        <w:t>ive items:</w:t>
      </w:r>
    </w:p>
    <w:p w14:paraId="34DC6DD5" w14:textId="77777777" w:rsidR="00281D57" w:rsidRPr="00793A3E" w:rsidRDefault="00281D57" w:rsidP="00F009F9">
      <w:pPr>
        <w:pStyle w:val="ListParagraph"/>
        <w:spacing w:after="0" w:line="480" w:lineRule="auto"/>
        <w:contextualSpacing w:val="0"/>
        <w:rPr>
          <w:rFonts w:ascii="Arial" w:hAnsi="Arial" w:cs="Arial"/>
          <w:sz w:val="24"/>
          <w:szCs w:val="24"/>
        </w:rPr>
      </w:pPr>
    </w:p>
    <w:p w14:paraId="076E5F9C" w14:textId="77777777" w:rsidR="00281D57" w:rsidRPr="00793A3E" w:rsidRDefault="00281D57" w:rsidP="00F009F9">
      <w:pPr>
        <w:pStyle w:val="ListParagraph"/>
        <w:spacing w:after="0" w:line="480" w:lineRule="auto"/>
        <w:contextualSpacing w:val="0"/>
        <w:rPr>
          <w:rFonts w:ascii="Arial" w:hAnsi="Arial" w:cs="Arial"/>
          <w:sz w:val="24"/>
          <w:szCs w:val="24"/>
        </w:rPr>
      </w:pPr>
      <w:r w:rsidRPr="00793A3E">
        <w:rPr>
          <w:rFonts w:ascii="Arial" w:hAnsi="Arial" w:cs="Arial"/>
          <w:sz w:val="24"/>
          <w:szCs w:val="24"/>
        </w:rPr>
        <w:t xml:space="preserve">Nett rent for office space; </w:t>
      </w:r>
    </w:p>
    <w:p w14:paraId="305689A0" w14:textId="77777777" w:rsidR="00281D57" w:rsidRPr="00793A3E" w:rsidRDefault="00281D57" w:rsidP="00F009F9">
      <w:pPr>
        <w:pStyle w:val="ListParagraph"/>
        <w:spacing w:after="0" w:line="480" w:lineRule="auto"/>
        <w:contextualSpacing w:val="0"/>
        <w:rPr>
          <w:rFonts w:ascii="Arial" w:hAnsi="Arial" w:cs="Arial"/>
          <w:sz w:val="24"/>
          <w:szCs w:val="24"/>
        </w:rPr>
      </w:pPr>
      <w:r w:rsidRPr="00793A3E">
        <w:rPr>
          <w:rFonts w:ascii="Arial" w:hAnsi="Arial" w:cs="Arial"/>
          <w:sz w:val="24"/>
          <w:szCs w:val="24"/>
        </w:rPr>
        <w:t>Nett rent for covered parking bays;</w:t>
      </w:r>
    </w:p>
    <w:p w14:paraId="02EA85D3" w14:textId="77777777" w:rsidR="00281D57" w:rsidRPr="00793A3E" w:rsidRDefault="00281D57" w:rsidP="00F009F9">
      <w:pPr>
        <w:pStyle w:val="ListParagraph"/>
        <w:spacing w:after="0" w:line="480" w:lineRule="auto"/>
        <w:contextualSpacing w:val="0"/>
        <w:rPr>
          <w:rFonts w:ascii="Arial" w:hAnsi="Arial" w:cs="Arial"/>
          <w:sz w:val="24"/>
          <w:szCs w:val="24"/>
        </w:rPr>
      </w:pPr>
      <w:r w:rsidRPr="00793A3E">
        <w:rPr>
          <w:rFonts w:ascii="Arial" w:hAnsi="Arial" w:cs="Arial"/>
          <w:sz w:val="24"/>
          <w:szCs w:val="24"/>
        </w:rPr>
        <w:t xml:space="preserve">Nett rent for open air parking bays; and </w:t>
      </w:r>
    </w:p>
    <w:p w14:paraId="7A1C9E71" w14:textId="77777777" w:rsidR="00281D57" w:rsidRPr="00793A3E" w:rsidRDefault="00281D57" w:rsidP="00F009F9">
      <w:pPr>
        <w:pStyle w:val="ListParagraph"/>
        <w:spacing w:after="0" w:line="480" w:lineRule="auto"/>
        <w:contextualSpacing w:val="0"/>
        <w:rPr>
          <w:rFonts w:ascii="Arial" w:hAnsi="Arial" w:cs="Arial"/>
          <w:sz w:val="24"/>
          <w:szCs w:val="24"/>
        </w:rPr>
      </w:pPr>
      <w:r w:rsidRPr="00793A3E">
        <w:rPr>
          <w:rFonts w:ascii="Arial" w:hAnsi="Arial" w:cs="Arial"/>
          <w:sz w:val="24"/>
          <w:szCs w:val="24"/>
        </w:rPr>
        <w:t>Items 4 and 5 being operational cost and TIC included in the list with a total cost of the lease per month to be stipulated, there was an escalation table for completion relevant to all elements of the leased premises.</w:t>
      </w:r>
    </w:p>
    <w:p w14:paraId="36F752BF" w14:textId="77777777" w:rsidR="00281D57" w:rsidRPr="00793A3E" w:rsidRDefault="00281D57" w:rsidP="00F009F9">
      <w:pPr>
        <w:pStyle w:val="ListParagraph"/>
        <w:spacing w:after="0" w:line="480" w:lineRule="auto"/>
        <w:contextualSpacing w:val="0"/>
        <w:rPr>
          <w:rFonts w:ascii="Arial" w:hAnsi="Arial" w:cs="Arial"/>
          <w:sz w:val="24"/>
          <w:szCs w:val="24"/>
        </w:rPr>
      </w:pPr>
      <w:r w:rsidRPr="00793A3E">
        <w:rPr>
          <w:rFonts w:ascii="Arial" w:hAnsi="Arial" w:cs="Arial"/>
          <w:sz w:val="24"/>
          <w:szCs w:val="24"/>
        </w:rPr>
        <w:t xml:space="preserve"> </w:t>
      </w:r>
    </w:p>
    <w:p w14:paraId="492E3BBC" w14:textId="77777777" w:rsidR="00281D57" w:rsidRPr="00793A3E" w:rsidRDefault="00281D57" w:rsidP="00F009F9">
      <w:pPr>
        <w:pStyle w:val="ListParagraph"/>
        <w:spacing w:after="0" w:line="480" w:lineRule="auto"/>
        <w:contextualSpacing w:val="0"/>
        <w:rPr>
          <w:rFonts w:ascii="Arial" w:hAnsi="Arial" w:cs="Arial"/>
          <w:sz w:val="24"/>
          <w:szCs w:val="24"/>
        </w:rPr>
      </w:pPr>
    </w:p>
    <w:p w14:paraId="0DB666AE" w14:textId="3CA4AE78" w:rsidR="00281D57"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146.</w:t>
      </w:r>
      <w:r w:rsidRPr="00793A3E">
        <w:rPr>
          <w:rFonts w:ascii="Arial" w:hAnsi="Arial" w:cs="Arial"/>
          <w:sz w:val="24"/>
          <w:szCs w:val="24"/>
        </w:rPr>
        <w:tab/>
      </w:r>
      <w:r w:rsidR="00281D57" w:rsidRPr="00D33AC2">
        <w:rPr>
          <w:rFonts w:ascii="Arial" w:hAnsi="Arial" w:cs="Arial"/>
          <w:sz w:val="24"/>
          <w:szCs w:val="24"/>
        </w:rPr>
        <w:t xml:space="preserve">Under the heading Evaluation of </w:t>
      </w:r>
      <w:r w:rsidR="0090737C" w:rsidRPr="00D33AC2">
        <w:rPr>
          <w:rFonts w:ascii="Arial" w:hAnsi="Arial" w:cs="Arial"/>
          <w:sz w:val="24"/>
          <w:szCs w:val="24"/>
        </w:rPr>
        <w:t>P</w:t>
      </w:r>
      <w:r w:rsidR="00281D57" w:rsidRPr="00D33AC2">
        <w:rPr>
          <w:rFonts w:ascii="Arial" w:hAnsi="Arial" w:cs="Arial"/>
          <w:sz w:val="24"/>
          <w:szCs w:val="24"/>
        </w:rPr>
        <w:t>rice was detailed and included that TIC would be contracted to the succe</w:t>
      </w:r>
      <w:r w:rsidR="00BC48B4" w:rsidRPr="00D33AC2">
        <w:rPr>
          <w:rFonts w:ascii="Arial" w:hAnsi="Arial" w:cs="Arial"/>
          <w:sz w:val="24"/>
          <w:szCs w:val="24"/>
        </w:rPr>
        <w:t>ss</w:t>
      </w:r>
      <w:r w:rsidR="00281D57" w:rsidRPr="00D33AC2">
        <w:rPr>
          <w:rFonts w:ascii="Arial" w:hAnsi="Arial" w:cs="Arial"/>
          <w:sz w:val="24"/>
          <w:szCs w:val="24"/>
        </w:rPr>
        <w:t xml:space="preserve">ful bidder, provided that prices would be evaluated, </w:t>
      </w:r>
      <w:r w:rsidR="00281D57" w:rsidRPr="00D33AC2">
        <w:rPr>
          <w:rFonts w:ascii="Arial" w:hAnsi="Arial" w:cs="Arial"/>
          <w:i/>
          <w:sz w:val="24"/>
          <w:szCs w:val="24"/>
        </w:rPr>
        <w:t>inter alia</w:t>
      </w:r>
      <w:r w:rsidR="00281D57" w:rsidRPr="00D33AC2">
        <w:rPr>
          <w:rFonts w:ascii="Arial" w:hAnsi="Arial" w:cs="Arial"/>
          <w:sz w:val="24"/>
          <w:szCs w:val="24"/>
        </w:rPr>
        <w:t>, as follows:</w:t>
      </w:r>
    </w:p>
    <w:p w14:paraId="298DCA59" w14:textId="77777777" w:rsidR="00281D57" w:rsidRPr="00793A3E" w:rsidRDefault="00281D57" w:rsidP="00F009F9">
      <w:pPr>
        <w:pStyle w:val="ListParagraph"/>
        <w:spacing w:after="0" w:line="480" w:lineRule="auto"/>
        <w:contextualSpacing w:val="0"/>
        <w:jc w:val="both"/>
        <w:rPr>
          <w:rFonts w:ascii="Arial" w:hAnsi="Arial" w:cs="Arial"/>
          <w:sz w:val="24"/>
          <w:szCs w:val="24"/>
        </w:rPr>
      </w:pPr>
    </w:p>
    <w:p w14:paraId="3F988775" w14:textId="77777777" w:rsidR="00281D57" w:rsidRPr="00F009F9" w:rsidRDefault="00281D57" w:rsidP="00F009F9">
      <w:pPr>
        <w:pStyle w:val="ListParagraph"/>
        <w:spacing w:after="0" w:line="360" w:lineRule="auto"/>
        <w:ind w:left="1440"/>
        <w:contextualSpacing w:val="0"/>
        <w:jc w:val="both"/>
        <w:rPr>
          <w:rFonts w:ascii="Arial" w:hAnsi="Arial" w:cs="Arial"/>
        </w:rPr>
      </w:pPr>
      <w:r w:rsidRPr="00F009F9">
        <w:rPr>
          <w:rFonts w:ascii="Arial" w:hAnsi="Arial" w:cs="Arial"/>
        </w:rPr>
        <w:t>“Making a comparison of the Nett Present Value of each adjusted tender based on the tendered programme and prices…”</w:t>
      </w:r>
    </w:p>
    <w:p w14:paraId="59916626" w14:textId="77777777" w:rsidR="00281D57" w:rsidRPr="00793A3E" w:rsidRDefault="00281D57" w:rsidP="00F009F9">
      <w:pPr>
        <w:pStyle w:val="ListParagraph"/>
        <w:spacing w:after="0" w:line="480" w:lineRule="auto"/>
        <w:contextualSpacing w:val="0"/>
        <w:jc w:val="both"/>
        <w:rPr>
          <w:rFonts w:ascii="Arial" w:hAnsi="Arial" w:cs="Arial"/>
          <w:sz w:val="24"/>
          <w:szCs w:val="24"/>
        </w:rPr>
      </w:pPr>
    </w:p>
    <w:p w14:paraId="3A08A70E" w14:textId="3A3E8202" w:rsidR="00281D57"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147.</w:t>
      </w:r>
      <w:r w:rsidRPr="00793A3E">
        <w:rPr>
          <w:rFonts w:ascii="Arial" w:hAnsi="Arial" w:cs="Arial"/>
          <w:sz w:val="24"/>
          <w:szCs w:val="24"/>
        </w:rPr>
        <w:tab/>
      </w:r>
      <w:r w:rsidR="00281D57" w:rsidRPr="00D33AC2">
        <w:rPr>
          <w:rFonts w:ascii="Arial" w:hAnsi="Arial" w:cs="Arial"/>
          <w:sz w:val="24"/>
          <w:szCs w:val="24"/>
        </w:rPr>
        <w:t>The mandatory requirements for “</w:t>
      </w:r>
      <w:r w:rsidR="00281D57" w:rsidRPr="00D33AC2">
        <w:rPr>
          <w:rFonts w:ascii="Arial" w:hAnsi="Arial" w:cs="Arial"/>
          <w:i/>
          <w:sz w:val="24"/>
          <w:szCs w:val="24"/>
        </w:rPr>
        <w:t>technical”</w:t>
      </w:r>
      <w:r w:rsidR="00281D57" w:rsidRPr="00D33AC2">
        <w:rPr>
          <w:rFonts w:ascii="Arial" w:hAnsi="Arial" w:cs="Arial"/>
          <w:sz w:val="24"/>
          <w:szCs w:val="24"/>
        </w:rPr>
        <w:t xml:space="preserve"> repeated that the space was for approximately 1200m² office space with sixty reserved parking bays, that water, </w:t>
      </w:r>
      <w:r w:rsidR="00281D57" w:rsidRPr="00D33AC2">
        <w:rPr>
          <w:rFonts w:ascii="Arial" w:hAnsi="Arial" w:cs="Arial"/>
          <w:sz w:val="24"/>
          <w:szCs w:val="24"/>
        </w:rPr>
        <w:lastRenderedPageBreak/>
        <w:t xml:space="preserve">electricity, sewerage and refuse costs would be paid separately amongst other things.  </w:t>
      </w:r>
    </w:p>
    <w:p w14:paraId="78FDA976" w14:textId="77777777" w:rsidR="00281D57" w:rsidRPr="00793A3E" w:rsidRDefault="00281D57" w:rsidP="00F009F9">
      <w:pPr>
        <w:pStyle w:val="ListParagraph"/>
        <w:spacing w:after="0" w:line="480" w:lineRule="auto"/>
        <w:contextualSpacing w:val="0"/>
        <w:jc w:val="both"/>
        <w:rPr>
          <w:rFonts w:ascii="Arial" w:hAnsi="Arial" w:cs="Arial"/>
          <w:sz w:val="24"/>
          <w:szCs w:val="24"/>
        </w:rPr>
      </w:pPr>
    </w:p>
    <w:p w14:paraId="365B0ADB" w14:textId="2FBF0A14" w:rsidR="00281D57"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148.</w:t>
      </w:r>
      <w:r w:rsidRPr="00793A3E">
        <w:rPr>
          <w:rFonts w:ascii="Arial" w:hAnsi="Arial" w:cs="Arial"/>
          <w:sz w:val="24"/>
          <w:szCs w:val="24"/>
        </w:rPr>
        <w:tab/>
      </w:r>
      <w:r w:rsidR="00281D57" w:rsidRPr="00D33AC2">
        <w:rPr>
          <w:rFonts w:ascii="Arial" w:hAnsi="Arial" w:cs="Arial"/>
          <w:sz w:val="24"/>
          <w:szCs w:val="24"/>
        </w:rPr>
        <w:t>A study of the form indicates that there is no hint or suggestion that the pricing would be reduced to a square meterage basis or, put otherwise, that the total price of each tender would be reduced to a square meterage basis.  Indeed, the pricing as indicated above, included the nett rent for office space and that for parking bays.</w:t>
      </w:r>
    </w:p>
    <w:p w14:paraId="5DBC381E" w14:textId="77777777" w:rsidR="00281D57" w:rsidRPr="00793A3E" w:rsidRDefault="00281D57" w:rsidP="00F009F9">
      <w:pPr>
        <w:pStyle w:val="ListParagraph"/>
        <w:spacing w:after="0" w:line="480" w:lineRule="auto"/>
        <w:contextualSpacing w:val="0"/>
        <w:rPr>
          <w:rFonts w:ascii="Arial" w:hAnsi="Arial" w:cs="Arial"/>
          <w:sz w:val="24"/>
          <w:szCs w:val="24"/>
        </w:rPr>
      </w:pPr>
    </w:p>
    <w:p w14:paraId="18C1B875" w14:textId="2DB9241C" w:rsidR="00281D57"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149.</w:t>
      </w:r>
      <w:r w:rsidRPr="00793A3E">
        <w:rPr>
          <w:rFonts w:ascii="Arial" w:hAnsi="Arial" w:cs="Arial"/>
          <w:sz w:val="24"/>
          <w:szCs w:val="24"/>
        </w:rPr>
        <w:tab/>
      </w:r>
      <w:r w:rsidR="00281D57" w:rsidRPr="00D33AC2">
        <w:rPr>
          <w:rFonts w:ascii="Arial" w:hAnsi="Arial" w:cs="Arial"/>
          <w:sz w:val="24"/>
          <w:szCs w:val="24"/>
        </w:rPr>
        <w:t>Applicant’s argument in this regard relies on the suggestion that if one takes into account the purpose of section 217 of the Constitution</w:t>
      </w:r>
      <w:r w:rsidR="0090737C" w:rsidRPr="00D33AC2">
        <w:rPr>
          <w:rFonts w:ascii="Arial" w:hAnsi="Arial" w:cs="Arial"/>
          <w:sz w:val="24"/>
          <w:szCs w:val="24"/>
        </w:rPr>
        <w:t>,</w:t>
      </w:r>
      <w:r w:rsidR="00281D57" w:rsidRPr="00D33AC2">
        <w:rPr>
          <w:rFonts w:ascii="Arial" w:hAnsi="Arial" w:cs="Arial"/>
          <w:sz w:val="24"/>
          <w:szCs w:val="24"/>
        </w:rPr>
        <w:t xml:space="preserve"> fairness and equality and cost effectiveness required the assessment to rely on cost pe</w:t>
      </w:r>
      <w:r w:rsidR="00FD7114" w:rsidRPr="00D33AC2">
        <w:rPr>
          <w:rFonts w:ascii="Arial" w:hAnsi="Arial" w:cs="Arial"/>
          <w:sz w:val="24"/>
          <w:szCs w:val="24"/>
        </w:rPr>
        <w:t>r square meter</w:t>
      </w:r>
      <w:r w:rsidR="0090737C" w:rsidRPr="00D33AC2">
        <w:rPr>
          <w:rFonts w:ascii="Arial" w:hAnsi="Arial" w:cs="Arial"/>
          <w:sz w:val="24"/>
          <w:szCs w:val="24"/>
        </w:rPr>
        <w:t>,</w:t>
      </w:r>
      <w:r w:rsidR="00FD7114" w:rsidRPr="00D33AC2">
        <w:rPr>
          <w:rFonts w:ascii="Arial" w:hAnsi="Arial" w:cs="Arial"/>
          <w:sz w:val="24"/>
          <w:szCs w:val="24"/>
        </w:rPr>
        <w:t xml:space="preserve"> not overall cost or total costs.</w:t>
      </w:r>
    </w:p>
    <w:p w14:paraId="5ACE2703" w14:textId="77777777" w:rsidR="00FD7114" w:rsidRPr="00793A3E" w:rsidRDefault="00FD7114" w:rsidP="00F009F9">
      <w:pPr>
        <w:pStyle w:val="ListParagraph"/>
        <w:spacing w:after="0" w:line="480" w:lineRule="auto"/>
        <w:contextualSpacing w:val="0"/>
        <w:rPr>
          <w:rFonts w:ascii="Arial" w:hAnsi="Arial" w:cs="Arial"/>
          <w:sz w:val="24"/>
          <w:szCs w:val="24"/>
        </w:rPr>
      </w:pPr>
    </w:p>
    <w:p w14:paraId="31BB7502" w14:textId="332E4D27" w:rsidR="00FD711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150.</w:t>
      </w:r>
      <w:r w:rsidRPr="00793A3E">
        <w:rPr>
          <w:rFonts w:ascii="Arial" w:hAnsi="Arial" w:cs="Arial"/>
          <w:sz w:val="24"/>
          <w:szCs w:val="24"/>
        </w:rPr>
        <w:tab/>
      </w:r>
      <w:r w:rsidR="00FD7114" w:rsidRPr="00D33AC2">
        <w:rPr>
          <w:rFonts w:ascii="Arial" w:hAnsi="Arial" w:cs="Arial"/>
          <w:sz w:val="24"/>
          <w:szCs w:val="24"/>
        </w:rPr>
        <w:t>Whilst I will revert to TIC, this was to be “</w:t>
      </w:r>
      <w:r w:rsidR="00FD7114" w:rsidRPr="00D33AC2">
        <w:rPr>
          <w:rFonts w:ascii="Arial" w:hAnsi="Arial" w:cs="Arial"/>
          <w:i/>
          <w:sz w:val="24"/>
          <w:szCs w:val="24"/>
        </w:rPr>
        <w:t>contracted to the successful bidder</w:t>
      </w:r>
      <w:r w:rsidR="00FD7114" w:rsidRPr="00D33AC2">
        <w:rPr>
          <w:rFonts w:ascii="Arial" w:hAnsi="Arial" w:cs="Arial"/>
          <w:sz w:val="24"/>
          <w:szCs w:val="24"/>
        </w:rPr>
        <w:t>” and when asked in clarification whether Eskom required a quote per square meter in this regard Eskom replied “</w:t>
      </w:r>
      <w:r w:rsidR="00FD7114" w:rsidRPr="00D33AC2">
        <w:rPr>
          <w:rFonts w:ascii="Arial" w:hAnsi="Arial" w:cs="Arial"/>
          <w:i/>
          <w:sz w:val="24"/>
          <w:szCs w:val="24"/>
        </w:rPr>
        <w:t>tenant installation costs will be paid by Eskom as once payment to the successful bidder.  Evaluation will be based on the price for accommodation, parking bays and operational costs only.</w:t>
      </w:r>
      <w:r w:rsidR="00FD7114" w:rsidRPr="00D33AC2">
        <w:rPr>
          <w:rFonts w:ascii="Arial" w:hAnsi="Arial" w:cs="Arial"/>
          <w:sz w:val="24"/>
          <w:szCs w:val="24"/>
        </w:rPr>
        <w:t>”</w:t>
      </w:r>
    </w:p>
    <w:p w14:paraId="7F849C2C" w14:textId="77777777" w:rsidR="00FD7114" w:rsidRPr="00793A3E" w:rsidRDefault="00FD7114" w:rsidP="00F009F9">
      <w:pPr>
        <w:pStyle w:val="ListParagraph"/>
        <w:spacing w:after="0" w:line="480" w:lineRule="auto"/>
        <w:contextualSpacing w:val="0"/>
        <w:rPr>
          <w:rFonts w:ascii="Arial" w:hAnsi="Arial" w:cs="Arial"/>
          <w:sz w:val="24"/>
          <w:szCs w:val="24"/>
        </w:rPr>
      </w:pPr>
    </w:p>
    <w:p w14:paraId="1D684B02" w14:textId="27C8D7F9" w:rsidR="00BA64E8"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151.</w:t>
      </w:r>
      <w:r w:rsidRPr="00793A3E">
        <w:rPr>
          <w:rFonts w:ascii="Arial" w:hAnsi="Arial" w:cs="Arial"/>
          <w:sz w:val="24"/>
          <w:szCs w:val="24"/>
        </w:rPr>
        <w:tab/>
      </w:r>
      <w:r w:rsidR="00FD7114" w:rsidRPr="00D33AC2">
        <w:rPr>
          <w:rFonts w:ascii="Arial" w:hAnsi="Arial" w:cs="Arial"/>
          <w:sz w:val="24"/>
          <w:szCs w:val="24"/>
        </w:rPr>
        <w:t xml:space="preserve">There is no indication whatsoever on a proper interpretation, that the bid </w:t>
      </w:r>
      <w:r w:rsidR="00843760" w:rsidRPr="00D33AC2">
        <w:rPr>
          <w:rFonts w:ascii="Arial" w:hAnsi="Arial" w:cs="Arial"/>
          <w:sz w:val="24"/>
          <w:szCs w:val="24"/>
        </w:rPr>
        <w:t>and invitation to tender in any way stipulated a per square meter assessment overall</w:t>
      </w:r>
      <w:r w:rsidR="00693759" w:rsidRPr="00D33AC2">
        <w:rPr>
          <w:rFonts w:ascii="Arial" w:hAnsi="Arial" w:cs="Arial"/>
          <w:sz w:val="24"/>
          <w:szCs w:val="24"/>
        </w:rPr>
        <w:t>, or that this would be the assessment approach</w:t>
      </w:r>
      <w:r w:rsidR="00843760" w:rsidRPr="00D33AC2">
        <w:rPr>
          <w:rFonts w:ascii="Arial" w:hAnsi="Arial" w:cs="Arial"/>
          <w:sz w:val="24"/>
          <w:szCs w:val="24"/>
        </w:rPr>
        <w:t xml:space="preserve">.  </w:t>
      </w:r>
    </w:p>
    <w:p w14:paraId="45124B7E" w14:textId="77777777" w:rsidR="00BA64E8" w:rsidRPr="00793A3E" w:rsidRDefault="00BA64E8" w:rsidP="00F009F9">
      <w:pPr>
        <w:pStyle w:val="ListParagraph"/>
        <w:spacing w:after="0" w:line="480" w:lineRule="auto"/>
        <w:contextualSpacing w:val="0"/>
        <w:rPr>
          <w:rFonts w:ascii="Arial" w:hAnsi="Arial" w:cs="Arial"/>
          <w:sz w:val="24"/>
          <w:szCs w:val="24"/>
        </w:rPr>
      </w:pPr>
    </w:p>
    <w:p w14:paraId="69E6EA5A" w14:textId="1D049AEC" w:rsidR="0079517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152.</w:t>
      </w:r>
      <w:r w:rsidRPr="00793A3E">
        <w:rPr>
          <w:rFonts w:ascii="Arial" w:hAnsi="Arial" w:cs="Arial"/>
          <w:sz w:val="24"/>
          <w:szCs w:val="24"/>
        </w:rPr>
        <w:tab/>
      </w:r>
      <w:r w:rsidR="00BA64E8" w:rsidRPr="00D33AC2">
        <w:rPr>
          <w:rFonts w:ascii="Arial" w:hAnsi="Arial" w:cs="Arial"/>
          <w:sz w:val="24"/>
          <w:szCs w:val="24"/>
        </w:rPr>
        <w:t>It should also be said</w:t>
      </w:r>
      <w:r w:rsidR="00795174" w:rsidRPr="00D33AC2">
        <w:rPr>
          <w:rFonts w:ascii="Arial" w:hAnsi="Arial" w:cs="Arial"/>
          <w:sz w:val="24"/>
          <w:szCs w:val="24"/>
        </w:rPr>
        <w:t xml:space="preserve"> that only the office space could be rated on a square meterage basis as the sixty parking bays were quoted per bay and not per </w:t>
      </w:r>
      <w:r w:rsidR="00795174" w:rsidRPr="00D33AC2">
        <w:rPr>
          <w:rFonts w:ascii="Arial" w:hAnsi="Arial" w:cs="Arial"/>
          <w:sz w:val="24"/>
          <w:szCs w:val="24"/>
        </w:rPr>
        <w:lastRenderedPageBreak/>
        <w:t xml:space="preserve">square meter for obvious reasons.  An assessment on a square meter basis would then effectively have been impossible overall due to office space as opposed to parking bays space.  </w:t>
      </w:r>
    </w:p>
    <w:p w14:paraId="5AB966C5" w14:textId="77777777" w:rsidR="00795174" w:rsidRPr="00793A3E" w:rsidRDefault="00795174" w:rsidP="00F009F9">
      <w:pPr>
        <w:pStyle w:val="ListParagraph"/>
        <w:spacing w:after="0" w:line="480" w:lineRule="auto"/>
        <w:contextualSpacing w:val="0"/>
        <w:rPr>
          <w:rFonts w:ascii="Arial" w:hAnsi="Arial" w:cs="Arial"/>
          <w:sz w:val="24"/>
          <w:szCs w:val="24"/>
        </w:rPr>
      </w:pPr>
    </w:p>
    <w:p w14:paraId="15A878DF" w14:textId="1155D19F" w:rsidR="0079517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153.</w:t>
      </w:r>
      <w:r w:rsidRPr="00793A3E">
        <w:rPr>
          <w:rFonts w:ascii="Arial" w:hAnsi="Arial" w:cs="Arial"/>
          <w:sz w:val="24"/>
          <w:szCs w:val="24"/>
        </w:rPr>
        <w:tab/>
      </w:r>
      <w:r w:rsidR="00795174" w:rsidRPr="00D33AC2">
        <w:rPr>
          <w:rFonts w:ascii="Arial" w:hAnsi="Arial" w:cs="Arial"/>
          <w:sz w:val="24"/>
          <w:szCs w:val="24"/>
        </w:rPr>
        <w:t>Second respondent’s bid for 1</w:t>
      </w:r>
      <w:r w:rsidR="0046771A" w:rsidRPr="00D33AC2">
        <w:rPr>
          <w:rFonts w:ascii="Arial" w:hAnsi="Arial" w:cs="Arial"/>
          <w:sz w:val="24"/>
          <w:szCs w:val="24"/>
        </w:rPr>
        <w:t xml:space="preserve"> 0</w:t>
      </w:r>
      <w:r w:rsidR="00795174" w:rsidRPr="00D33AC2">
        <w:rPr>
          <w:rFonts w:ascii="Arial" w:hAnsi="Arial" w:cs="Arial"/>
          <w:sz w:val="24"/>
          <w:szCs w:val="24"/>
        </w:rPr>
        <w:t>45 square meters certainly included TIC at R6,25 per square meter having a total cost per month for the first year without the tenant installation of a R138 200,00.  This had an escalation of 6% per annum.</w:t>
      </w:r>
    </w:p>
    <w:p w14:paraId="7B31CCAA" w14:textId="77777777" w:rsidR="00795174" w:rsidRPr="00793A3E" w:rsidRDefault="00795174" w:rsidP="00F009F9">
      <w:pPr>
        <w:pStyle w:val="ListParagraph"/>
        <w:spacing w:after="0" w:line="480" w:lineRule="auto"/>
        <w:contextualSpacing w:val="0"/>
        <w:rPr>
          <w:rFonts w:ascii="Arial" w:hAnsi="Arial" w:cs="Arial"/>
          <w:sz w:val="24"/>
          <w:szCs w:val="24"/>
        </w:rPr>
      </w:pPr>
    </w:p>
    <w:p w14:paraId="408584CD" w14:textId="5C32E65B" w:rsidR="00FD711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154.</w:t>
      </w:r>
      <w:r w:rsidRPr="00793A3E">
        <w:rPr>
          <w:rFonts w:ascii="Arial" w:hAnsi="Arial" w:cs="Arial"/>
          <w:sz w:val="24"/>
          <w:szCs w:val="24"/>
        </w:rPr>
        <w:tab/>
      </w:r>
      <w:r w:rsidR="00795174" w:rsidRPr="00D33AC2">
        <w:rPr>
          <w:rFonts w:ascii="Arial" w:hAnsi="Arial" w:cs="Arial"/>
          <w:sz w:val="24"/>
          <w:szCs w:val="24"/>
        </w:rPr>
        <w:t xml:space="preserve">As to applicant’s bid </w:t>
      </w:r>
      <w:r w:rsidR="00383695" w:rsidRPr="00D33AC2">
        <w:rPr>
          <w:rFonts w:ascii="Arial" w:hAnsi="Arial" w:cs="Arial"/>
          <w:sz w:val="24"/>
          <w:szCs w:val="24"/>
        </w:rPr>
        <w:t xml:space="preserve">it argues that </w:t>
      </w:r>
      <w:r w:rsidR="00795174" w:rsidRPr="00D33AC2">
        <w:rPr>
          <w:rFonts w:ascii="Arial" w:hAnsi="Arial" w:cs="Arial"/>
          <w:sz w:val="24"/>
          <w:szCs w:val="24"/>
        </w:rPr>
        <w:t xml:space="preserve">this was a property of 1200m² in size, the tender </w:t>
      </w:r>
      <w:r w:rsidR="0046771A" w:rsidRPr="00D33AC2">
        <w:rPr>
          <w:rFonts w:ascii="Arial" w:hAnsi="Arial" w:cs="Arial"/>
          <w:sz w:val="24"/>
          <w:szCs w:val="24"/>
        </w:rPr>
        <w:t xml:space="preserve">not </w:t>
      </w:r>
      <w:r w:rsidR="00795174" w:rsidRPr="00D33AC2">
        <w:rPr>
          <w:rFonts w:ascii="Arial" w:hAnsi="Arial" w:cs="Arial"/>
          <w:sz w:val="24"/>
          <w:szCs w:val="24"/>
        </w:rPr>
        <w:t>including tenant installation cost at R1700 per square meter as a standard rate gave a figure of R1</w:t>
      </w:r>
      <w:r w:rsidR="00693759" w:rsidRPr="00D33AC2">
        <w:rPr>
          <w:rFonts w:ascii="Arial" w:hAnsi="Arial" w:cs="Arial"/>
          <w:sz w:val="24"/>
          <w:szCs w:val="24"/>
        </w:rPr>
        <w:t>43</w:t>
      </w:r>
      <w:r w:rsidR="00795174" w:rsidRPr="00D33AC2">
        <w:rPr>
          <w:rFonts w:ascii="Arial" w:hAnsi="Arial" w:cs="Arial"/>
          <w:sz w:val="24"/>
          <w:szCs w:val="24"/>
        </w:rPr>
        <w:t xml:space="preserve"> 500 per month.  Rental would escalate at 8% per annum.    </w:t>
      </w:r>
      <w:r w:rsidR="00FD7114" w:rsidRPr="00D33AC2">
        <w:rPr>
          <w:rFonts w:ascii="Arial" w:hAnsi="Arial" w:cs="Arial"/>
          <w:sz w:val="24"/>
          <w:szCs w:val="24"/>
        </w:rPr>
        <w:t xml:space="preserve"> </w:t>
      </w:r>
    </w:p>
    <w:p w14:paraId="5D448DCE" w14:textId="77777777" w:rsidR="00795174" w:rsidRPr="00793A3E" w:rsidRDefault="00795174" w:rsidP="00F009F9">
      <w:pPr>
        <w:pStyle w:val="ListParagraph"/>
        <w:spacing w:after="0" w:line="480" w:lineRule="auto"/>
        <w:contextualSpacing w:val="0"/>
        <w:rPr>
          <w:rFonts w:ascii="Arial" w:hAnsi="Arial" w:cs="Arial"/>
          <w:sz w:val="24"/>
          <w:szCs w:val="24"/>
        </w:rPr>
      </w:pPr>
    </w:p>
    <w:p w14:paraId="2A00EFCE" w14:textId="5D8B0CC6" w:rsidR="0079517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155.</w:t>
      </w:r>
      <w:r w:rsidRPr="00793A3E">
        <w:rPr>
          <w:rFonts w:ascii="Arial" w:hAnsi="Arial" w:cs="Arial"/>
          <w:sz w:val="24"/>
          <w:szCs w:val="24"/>
        </w:rPr>
        <w:tab/>
      </w:r>
      <w:r w:rsidR="00795174" w:rsidRPr="00D33AC2">
        <w:rPr>
          <w:rFonts w:ascii="Arial" w:hAnsi="Arial" w:cs="Arial"/>
          <w:sz w:val="24"/>
          <w:szCs w:val="24"/>
        </w:rPr>
        <w:t>Adding the nett rent for office space and covered parking and excluding tenant installation cost this gave a total cost of the lease per month at a R143 500,00</w:t>
      </w:r>
      <w:r w:rsidR="00693759" w:rsidRPr="00D33AC2">
        <w:rPr>
          <w:rFonts w:ascii="Arial" w:hAnsi="Arial" w:cs="Arial"/>
          <w:sz w:val="24"/>
          <w:szCs w:val="24"/>
        </w:rPr>
        <w:t xml:space="preserve"> (for year one)</w:t>
      </w:r>
      <w:r w:rsidR="00795174" w:rsidRPr="00D33AC2">
        <w:rPr>
          <w:rFonts w:ascii="Arial" w:hAnsi="Arial" w:cs="Arial"/>
          <w:sz w:val="24"/>
          <w:szCs w:val="24"/>
        </w:rPr>
        <w:t xml:space="preserve"> with a 2% greater escalation per annum than Rokewood.</w:t>
      </w:r>
    </w:p>
    <w:p w14:paraId="00FC6EC2" w14:textId="77777777" w:rsidR="00795174" w:rsidRPr="00793A3E" w:rsidRDefault="00795174" w:rsidP="00F009F9">
      <w:pPr>
        <w:pStyle w:val="ListParagraph"/>
        <w:spacing w:after="0" w:line="480" w:lineRule="auto"/>
        <w:contextualSpacing w:val="0"/>
        <w:rPr>
          <w:rFonts w:ascii="Arial" w:hAnsi="Arial" w:cs="Arial"/>
          <w:sz w:val="24"/>
          <w:szCs w:val="24"/>
        </w:rPr>
      </w:pPr>
    </w:p>
    <w:p w14:paraId="6F31AF70" w14:textId="1323A731" w:rsidR="0079517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156.</w:t>
      </w:r>
      <w:r w:rsidRPr="00793A3E">
        <w:rPr>
          <w:rFonts w:ascii="Arial" w:hAnsi="Arial" w:cs="Arial"/>
          <w:sz w:val="24"/>
          <w:szCs w:val="24"/>
        </w:rPr>
        <w:tab/>
      </w:r>
      <w:r w:rsidR="00795174" w:rsidRPr="00D33AC2">
        <w:rPr>
          <w:rFonts w:ascii="Arial" w:hAnsi="Arial" w:cs="Arial"/>
          <w:sz w:val="24"/>
          <w:szCs w:val="24"/>
        </w:rPr>
        <w:t>As I understand it Eskom evaluated the bids using the price of accommodation, parking bays and operational costs</w:t>
      </w:r>
      <w:r w:rsidR="0046771A" w:rsidRPr="00D33AC2">
        <w:rPr>
          <w:rFonts w:ascii="Arial" w:hAnsi="Arial" w:cs="Arial"/>
          <w:sz w:val="24"/>
          <w:szCs w:val="24"/>
        </w:rPr>
        <w:t>,</w:t>
      </w:r>
      <w:r w:rsidR="00795174" w:rsidRPr="00D33AC2">
        <w:rPr>
          <w:rFonts w:ascii="Arial" w:hAnsi="Arial" w:cs="Arial"/>
          <w:sz w:val="24"/>
          <w:szCs w:val="24"/>
        </w:rPr>
        <w:t xml:space="preserve"> without tenant installation</w:t>
      </w:r>
      <w:r w:rsidR="0046771A" w:rsidRPr="00D33AC2">
        <w:rPr>
          <w:rFonts w:ascii="Arial" w:hAnsi="Arial" w:cs="Arial"/>
          <w:sz w:val="24"/>
          <w:szCs w:val="24"/>
        </w:rPr>
        <w:t>,</w:t>
      </w:r>
      <w:r w:rsidR="00795174" w:rsidRPr="00D33AC2">
        <w:rPr>
          <w:rFonts w:ascii="Arial" w:hAnsi="Arial" w:cs="Arial"/>
          <w:sz w:val="24"/>
          <w:szCs w:val="24"/>
        </w:rPr>
        <w:t xml:space="preserve"> applying the escalation clause over three years calculating applicant’s bid at an overall sum of R5 590 300,80 and second respondent’s bid excluding TIC which it took out</w:t>
      </w:r>
      <w:r w:rsidR="0090737C" w:rsidRPr="00D33AC2">
        <w:rPr>
          <w:rFonts w:ascii="Arial" w:hAnsi="Arial" w:cs="Arial"/>
          <w:sz w:val="24"/>
          <w:szCs w:val="24"/>
        </w:rPr>
        <w:t xml:space="preserve"> of</w:t>
      </w:r>
      <w:r w:rsidR="00795174" w:rsidRPr="00D33AC2">
        <w:rPr>
          <w:rFonts w:ascii="Arial" w:hAnsi="Arial" w:cs="Arial"/>
          <w:sz w:val="24"/>
          <w:szCs w:val="24"/>
        </w:rPr>
        <w:t xml:space="preserve"> R5 287 607,52.  </w:t>
      </w:r>
    </w:p>
    <w:p w14:paraId="602446E9" w14:textId="77777777" w:rsidR="00795174" w:rsidRPr="00793A3E" w:rsidRDefault="00795174" w:rsidP="00F009F9">
      <w:pPr>
        <w:pStyle w:val="ListParagraph"/>
        <w:spacing w:after="0" w:line="480" w:lineRule="auto"/>
        <w:contextualSpacing w:val="0"/>
        <w:rPr>
          <w:rFonts w:ascii="Arial" w:hAnsi="Arial" w:cs="Arial"/>
          <w:sz w:val="24"/>
          <w:szCs w:val="24"/>
        </w:rPr>
      </w:pPr>
    </w:p>
    <w:p w14:paraId="6AC13B53" w14:textId="23E62719" w:rsidR="0079517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157.</w:t>
      </w:r>
      <w:r w:rsidRPr="00793A3E">
        <w:rPr>
          <w:rFonts w:ascii="Arial" w:hAnsi="Arial" w:cs="Arial"/>
          <w:sz w:val="24"/>
          <w:szCs w:val="24"/>
        </w:rPr>
        <w:tab/>
      </w:r>
      <w:r w:rsidR="00795174" w:rsidRPr="00D33AC2">
        <w:rPr>
          <w:rFonts w:ascii="Arial" w:hAnsi="Arial" w:cs="Arial"/>
          <w:sz w:val="24"/>
          <w:szCs w:val="24"/>
        </w:rPr>
        <w:t>Obviously on that basis Rokewood was the lower bid on the face of it.</w:t>
      </w:r>
    </w:p>
    <w:p w14:paraId="120DC176" w14:textId="77777777" w:rsidR="00795174" w:rsidRPr="00793A3E" w:rsidRDefault="00795174" w:rsidP="00F009F9">
      <w:pPr>
        <w:pStyle w:val="ListParagraph"/>
        <w:spacing w:after="0" w:line="480" w:lineRule="auto"/>
        <w:contextualSpacing w:val="0"/>
        <w:rPr>
          <w:rFonts w:ascii="Arial" w:hAnsi="Arial" w:cs="Arial"/>
          <w:sz w:val="24"/>
          <w:szCs w:val="24"/>
        </w:rPr>
      </w:pPr>
    </w:p>
    <w:p w14:paraId="34C38B55" w14:textId="1D61C215" w:rsidR="0079517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lastRenderedPageBreak/>
        <w:t>158.</w:t>
      </w:r>
      <w:r w:rsidRPr="00793A3E">
        <w:rPr>
          <w:rFonts w:ascii="Arial" w:hAnsi="Arial" w:cs="Arial"/>
          <w:sz w:val="24"/>
          <w:szCs w:val="24"/>
        </w:rPr>
        <w:tab/>
      </w:r>
      <w:r w:rsidR="00795174" w:rsidRPr="00D33AC2">
        <w:rPr>
          <w:rFonts w:ascii="Arial" w:hAnsi="Arial" w:cs="Arial"/>
          <w:sz w:val="24"/>
          <w:szCs w:val="24"/>
        </w:rPr>
        <w:t>In short applicant’s submission in this regard is entirely dependent upon the acceptance of a principle that in assessing tenders of this nature</w:t>
      </w:r>
      <w:r w:rsidR="0090737C" w:rsidRPr="00D33AC2">
        <w:rPr>
          <w:rFonts w:ascii="Arial" w:hAnsi="Arial" w:cs="Arial"/>
          <w:sz w:val="24"/>
          <w:szCs w:val="24"/>
        </w:rPr>
        <w:t>,</w:t>
      </w:r>
      <w:r w:rsidR="00795174" w:rsidRPr="00D33AC2">
        <w:rPr>
          <w:rFonts w:ascii="Arial" w:hAnsi="Arial" w:cs="Arial"/>
          <w:sz w:val="24"/>
          <w:szCs w:val="24"/>
        </w:rPr>
        <w:t xml:space="preserve"> to be fair every aspect of the bid must be teased out including the square meterage for the office space itself as opposed to for example parking bays.  </w:t>
      </w:r>
    </w:p>
    <w:p w14:paraId="4CC50FF3" w14:textId="77777777" w:rsidR="00EA5C93" w:rsidRPr="00793A3E" w:rsidRDefault="00EA5C93" w:rsidP="00F009F9">
      <w:pPr>
        <w:pStyle w:val="ListParagraph"/>
        <w:spacing w:after="0" w:line="480" w:lineRule="auto"/>
        <w:contextualSpacing w:val="0"/>
        <w:rPr>
          <w:rFonts w:ascii="Arial" w:hAnsi="Arial" w:cs="Arial"/>
          <w:sz w:val="24"/>
          <w:szCs w:val="24"/>
        </w:rPr>
      </w:pPr>
    </w:p>
    <w:p w14:paraId="3F01AF79" w14:textId="02F46E4D" w:rsidR="00EA5C93"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159.</w:t>
      </w:r>
      <w:r w:rsidRPr="00793A3E">
        <w:rPr>
          <w:rFonts w:ascii="Arial" w:hAnsi="Arial" w:cs="Arial"/>
          <w:sz w:val="24"/>
          <w:szCs w:val="24"/>
        </w:rPr>
        <w:tab/>
      </w:r>
      <w:r w:rsidR="00EA5C93" w:rsidRPr="00D33AC2">
        <w:rPr>
          <w:rFonts w:ascii="Arial" w:hAnsi="Arial" w:cs="Arial"/>
          <w:sz w:val="24"/>
          <w:szCs w:val="24"/>
        </w:rPr>
        <w:t>Of course, a bigger space, although perhaps on a lower square meterage price, might well end up in a larger total sum, it seeming to be the suggestion as in this matter, that this is by the way</w:t>
      </w:r>
      <w:r w:rsidR="0090737C" w:rsidRPr="00D33AC2">
        <w:rPr>
          <w:rFonts w:ascii="Arial" w:hAnsi="Arial" w:cs="Arial"/>
          <w:sz w:val="24"/>
          <w:szCs w:val="24"/>
        </w:rPr>
        <w:t>,</w:t>
      </w:r>
      <w:r w:rsidR="00EA5C93" w:rsidRPr="00D33AC2">
        <w:rPr>
          <w:rFonts w:ascii="Arial" w:hAnsi="Arial" w:cs="Arial"/>
          <w:sz w:val="24"/>
          <w:szCs w:val="24"/>
        </w:rPr>
        <w:t xml:space="preserve"> as the square meter price is less.</w:t>
      </w:r>
    </w:p>
    <w:p w14:paraId="3EB598C3" w14:textId="77777777" w:rsidR="00EA5C93" w:rsidRPr="00793A3E" w:rsidRDefault="00EA5C93" w:rsidP="00F009F9">
      <w:pPr>
        <w:pStyle w:val="ListParagraph"/>
        <w:spacing w:after="0" w:line="480" w:lineRule="auto"/>
        <w:contextualSpacing w:val="0"/>
        <w:rPr>
          <w:rFonts w:ascii="Arial" w:hAnsi="Arial" w:cs="Arial"/>
          <w:sz w:val="24"/>
          <w:szCs w:val="24"/>
        </w:rPr>
      </w:pPr>
    </w:p>
    <w:p w14:paraId="57B24894" w14:textId="7FC58527" w:rsidR="000E032E"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160.</w:t>
      </w:r>
      <w:r w:rsidRPr="00793A3E">
        <w:rPr>
          <w:rFonts w:ascii="Arial" w:hAnsi="Arial" w:cs="Arial"/>
          <w:sz w:val="24"/>
          <w:szCs w:val="24"/>
        </w:rPr>
        <w:tab/>
      </w:r>
      <w:r w:rsidR="00EA5C93" w:rsidRPr="00D33AC2">
        <w:rPr>
          <w:rFonts w:ascii="Arial" w:hAnsi="Arial" w:cs="Arial"/>
          <w:sz w:val="24"/>
          <w:szCs w:val="24"/>
        </w:rPr>
        <w:t xml:space="preserve">This clearly has various logical issues and problems quite apart from the fact that the tender bid and evaluation report did not in any way require this analysis to be performed.  Whilst the square meterage price was perfectly clear in each bid, so was the overall price.  </w:t>
      </w:r>
    </w:p>
    <w:p w14:paraId="6D974A80" w14:textId="77777777" w:rsidR="002A376D" w:rsidRPr="00793A3E" w:rsidRDefault="002A376D" w:rsidP="00F009F9">
      <w:pPr>
        <w:pStyle w:val="ListParagraph"/>
        <w:spacing w:after="0" w:line="480" w:lineRule="auto"/>
        <w:contextualSpacing w:val="0"/>
        <w:rPr>
          <w:rFonts w:ascii="Arial" w:hAnsi="Arial" w:cs="Arial"/>
          <w:sz w:val="24"/>
          <w:szCs w:val="24"/>
        </w:rPr>
      </w:pPr>
    </w:p>
    <w:p w14:paraId="6012108D" w14:textId="1D8C1AEB" w:rsidR="002A376D"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161.</w:t>
      </w:r>
      <w:r w:rsidRPr="00793A3E">
        <w:rPr>
          <w:rFonts w:ascii="Arial" w:hAnsi="Arial" w:cs="Arial"/>
          <w:sz w:val="24"/>
          <w:szCs w:val="24"/>
        </w:rPr>
        <w:tab/>
      </w:r>
      <w:r w:rsidR="002A376D" w:rsidRPr="00D33AC2">
        <w:rPr>
          <w:rFonts w:ascii="Arial" w:hAnsi="Arial" w:cs="Arial"/>
          <w:sz w:val="24"/>
          <w:szCs w:val="24"/>
        </w:rPr>
        <w:t xml:space="preserve">This is illustrated in this matter where the square meterage price of SKG </w:t>
      </w:r>
      <w:r w:rsidR="0046771A" w:rsidRPr="00D33AC2">
        <w:rPr>
          <w:rFonts w:ascii="Arial" w:hAnsi="Arial" w:cs="Arial"/>
          <w:sz w:val="24"/>
          <w:szCs w:val="24"/>
        </w:rPr>
        <w:t xml:space="preserve">(argues SKG) </w:t>
      </w:r>
      <w:r w:rsidR="002A376D" w:rsidRPr="00D33AC2">
        <w:rPr>
          <w:rFonts w:ascii="Arial" w:hAnsi="Arial" w:cs="Arial"/>
          <w:sz w:val="24"/>
          <w:szCs w:val="24"/>
        </w:rPr>
        <w:t>was lower than Rokewood’s but the overall price</w:t>
      </w:r>
      <w:r w:rsidR="0090737C" w:rsidRPr="00D33AC2">
        <w:rPr>
          <w:rFonts w:ascii="Arial" w:hAnsi="Arial" w:cs="Arial"/>
          <w:sz w:val="24"/>
          <w:szCs w:val="24"/>
        </w:rPr>
        <w:t>,</w:t>
      </w:r>
      <w:r w:rsidR="002A376D" w:rsidRPr="00D33AC2">
        <w:rPr>
          <w:rFonts w:ascii="Arial" w:hAnsi="Arial" w:cs="Arial"/>
          <w:sz w:val="24"/>
          <w:szCs w:val="24"/>
        </w:rPr>
        <w:t xml:space="preserve"> because of the difference in area</w:t>
      </w:r>
      <w:r w:rsidR="0090737C" w:rsidRPr="00D33AC2">
        <w:rPr>
          <w:rFonts w:ascii="Arial" w:hAnsi="Arial" w:cs="Arial"/>
          <w:sz w:val="24"/>
          <w:szCs w:val="24"/>
        </w:rPr>
        <w:t>,</w:t>
      </w:r>
      <w:r w:rsidR="002A376D" w:rsidRPr="00D33AC2">
        <w:rPr>
          <w:rFonts w:ascii="Arial" w:hAnsi="Arial" w:cs="Arial"/>
          <w:sz w:val="24"/>
          <w:szCs w:val="24"/>
        </w:rPr>
        <w:t xml:space="preserve"> was greater.  Had the SKG bid been accepted this would have, on the face of it, been for a greater sum overall</w:t>
      </w:r>
      <w:r w:rsidR="00693759" w:rsidRPr="00D33AC2">
        <w:rPr>
          <w:rFonts w:ascii="Arial" w:hAnsi="Arial" w:cs="Arial"/>
          <w:sz w:val="24"/>
          <w:szCs w:val="24"/>
        </w:rPr>
        <w:t>,</w:t>
      </w:r>
      <w:r w:rsidR="002A376D" w:rsidRPr="00D33AC2">
        <w:rPr>
          <w:rFonts w:ascii="Arial" w:hAnsi="Arial" w:cs="Arial"/>
          <w:sz w:val="24"/>
          <w:szCs w:val="24"/>
        </w:rPr>
        <w:t xml:space="preserve"> a bigger total price.  </w:t>
      </w:r>
    </w:p>
    <w:p w14:paraId="3011DB66" w14:textId="77777777" w:rsidR="002A376D" w:rsidRPr="00793A3E" w:rsidRDefault="002A376D" w:rsidP="00F009F9">
      <w:pPr>
        <w:pStyle w:val="ListParagraph"/>
        <w:spacing w:after="0" w:line="480" w:lineRule="auto"/>
        <w:contextualSpacing w:val="0"/>
        <w:rPr>
          <w:rFonts w:ascii="Arial" w:hAnsi="Arial" w:cs="Arial"/>
          <w:sz w:val="24"/>
          <w:szCs w:val="24"/>
        </w:rPr>
      </w:pPr>
    </w:p>
    <w:p w14:paraId="381A9A4B" w14:textId="63DEA23D" w:rsidR="002A376D"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162.</w:t>
      </w:r>
      <w:r w:rsidRPr="00793A3E">
        <w:rPr>
          <w:rFonts w:ascii="Arial" w:hAnsi="Arial" w:cs="Arial"/>
          <w:sz w:val="24"/>
          <w:szCs w:val="24"/>
        </w:rPr>
        <w:tab/>
      </w:r>
      <w:r w:rsidR="002A376D" w:rsidRPr="00D33AC2">
        <w:rPr>
          <w:rFonts w:ascii="Arial" w:hAnsi="Arial" w:cs="Arial"/>
          <w:sz w:val="24"/>
          <w:szCs w:val="24"/>
        </w:rPr>
        <w:t>It is also true as argued by SKG, that if they had been assessed for the same office space as Rokewood but at the lower square meter</w:t>
      </w:r>
      <w:r w:rsidR="0046771A" w:rsidRPr="00D33AC2">
        <w:rPr>
          <w:rFonts w:ascii="Arial" w:hAnsi="Arial" w:cs="Arial"/>
          <w:sz w:val="24"/>
          <w:szCs w:val="24"/>
        </w:rPr>
        <w:t xml:space="preserve"> price</w:t>
      </w:r>
      <w:r w:rsidR="002A376D" w:rsidRPr="00D33AC2">
        <w:rPr>
          <w:rFonts w:ascii="Arial" w:hAnsi="Arial" w:cs="Arial"/>
          <w:sz w:val="24"/>
          <w:szCs w:val="24"/>
        </w:rPr>
        <w:t xml:space="preserve">, this would have rendered a lower price for that space, and the suggestion that this should have been negotiated.  </w:t>
      </w:r>
    </w:p>
    <w:p w14:paraId="6F9DF899" w14:textId="77777777" w:rsidR="002A376D" w:rsidRPr="00793A3E" w:rsidRDefault="002A376D" w:rsidP="00F009F9">
      <w:pPr>
        <w:pStyle w:val="ListParagraph"/>
        <w:spacing w:after="0" w:line="480" w:lineRule="auto"/>
        <w:contextualSpacing w:val="0"/>
        <w:rPr>
          <w:rFonts w:ascii="Arial" w:hAnsi="Arial" w:cs="Arial"/>
          <w:sz w:val="24"/>
          <w:szCs w:val="24"/>
        </w:rPr>
      </w:pPr>
    </w:p>
    <w:p w14:paraId="1A56FF1E" w14:textId="1DF165A8" w:rsidR="002A376D"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lastRenderedPageBreak/>
        <w:t>163.</w:t>
      </w:r>
      <w:r w:rsidRPr="00793A3E">
        <w:rPr>
          <w:rFonts w:ascii="Arial" w:hAnsi="Arial" w:cs="Arial"/>
          <w:sz w:val="24"/>
          <w:szCs w:val="24"/>
        </w:rPr>
        <w:tab/>
      </w:r>
      <w:r w:rsidR="002A376D" w:rsidRPr="00D33AC2">
        <w:rPr>
          <w:rFonts w:ascii="Arial" w:hAnsi="Arial" w:cs="Arial"/>
          <w:sz w:val="24"/>
          <w:szCs w:val="24"/>
        </w:rPr>
        <w:t xml:space="preserve">Again, I can find no </w:t>
      </w:r>
      <w:r w:rsidR="0046771A" w:rsidRPr="00D33AC2">
        <w:rPr>
          <w:rFonts w:ascii="Arial" w:hAnsi="Arial" w:cs="Arial"/>
          <w:sz w:val="24"/>
          <w:szCs w:val="24"/>
        </w:rPr>
        <w:t xml:space="preserve">tender </w:t>
      </w:r>
      <w:r w:rsidR="002A376D" w:rsidRPr="00D33AC2">
        <w:rPr>
          <w:rFonts w:ascii="Arial" w:hAnsi="Arial" w:cs="Arial"/>
          <w:sz w:val="24"/>
          <w:szCs w:val="24"/>
        </w:rPr>
        <w:t>obligation to negotiate for a smaller area, and in my view it is going way too far to suggest that this was required on an equality</w:t>
      </w:r>
      <w:r w:rsidR="0046771A" w:rsidRPr="00D33AC2">
        <w:rPr>
          <w:rFonts w:ascii="Arial" w:hAnsi="Arial" w:cs="Arial"/>
          <w:sz w:val="24"/>
          <w:szCs w:val="24"/>
        </w:rPr>
        <w:t>,</w:t>
      </w:r>
      <w:r w:rsidR="002A376D" w:rsidRPr="00D33AC2">
        <w:rPr>
          <w:rFonts w:ascii="Arial" w:hAnsi="Arial" w:cs="Arial"/>
          <w:sz w:val="24"/>
          <w:szCs w:val="24"/>
        </w:rPr>
        <w:t xml:space="preserve"> fairness, cost effectiveness basis.  </w:t>
      </w:r>
    </w:p>
    <w:p w14:paraId="1685ED5B" w14:textId="77777777" w:rsidR="002A376D" w:rsidRPr="00793A3E" w:rsidRDefault="002A376D" w:rsidP="00F009F9">
      <w:pPr>
        <w:pStyle w:val="ListParagraph"/>
        <w:spacing w:after="0" w:line="480" w:lineRule="auto"/>
        <w:contextualSpacing w:val="0"/>
        <w:rPr>
          <w:rFonts w:ascii="Arial" w:hAnsi="Arial" w:cs="Arial"/>
          <w:sz w:val="24"/>
          <w:szCs w:val="24"/>
        </w:rPr>
      </w:pPr>
    </w:p>
    <w:p w14:paraId="2AEF6C2A" w14:textId="053EEB24" w:rsidR="002A376D"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164.</w:t>
      </w:r>
      <w:r w:rsidRPr="00793A3E">
        <w:rPr>
          <w:rFonts w:ascii="Arial" w:hAnsi="Arial" w:cs="Arial"/>
          <w:sz w:val="24"/>
          <w:szCs w:val="24"/>
        </w:rPr>
        <w:tab/>
      </w:r>
      <w:r w:rsidR="002A376D" w:rsidRPr="00D33AC2">
        <w:rPr>
          <w:rFonts w:ascii="Arial" w:hAnsi="Arial" w:cs="Arial"/>
          <w:sz w:val="24"/>
          <w:szCs w:val="24"/>
        </w:rPr>
        <w:t xml:space="preserve">In my view, accordingly, the argument cannot succeed. </w:t>
      </w:r>
    </w:p>
    <w:p w14:paraId="3E155243" w14:textId="77777777" w:rsidR="002A376D" w:rsidRPr="00793A3E" w:rsidRDefault="002A376D" w:rsidP="00F009F9">
      <w:pPr>
        <w:pStyle w:val="ListParagraph"/>
        <w:spacing w:after="0" w:line="480" w:lineRule="auto"/>
        <w:contextualSpacing w:val="0"/>
        <w:rPr>
          <w:rFonts w:ascii="Arial" w:hAnsi="Arial" w:cs="Arial"/>
          <w:sz w:val="24"/>
          <w:szCs w:val="24"/>
        </w:rPr>
      </w:pPr>
    </w:p>
    <w:p w14:paraId="5301A75C" w14:textId="53721AF0" w:rsidR="002A376D"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165.</w:t>
      </w:r>
      <w:r w:rsidRPr="00793A3E">
        <w:rPr>
          <w:rFonts w:ascii="Arial" w:hAnsi="Arial" w:cs="Arial"/>
          <w:sz w:val="24"/>
          <w:szCs w:val="24"/>
        </w:rPr>
        <w:tab/>
      </w:r>
      <w:r w:rsidR="002A376D" w:rsidRPr="00D33AC2">
        <w:rPr>
          <w:rFonts w:ascii="Arial" w:hAnsi="Arial" w:cs="Arial"/>
          <w:sz w:val="24"/>
          <w:szCs w:val="24"/>
        </w:rPr>
        <w:t xml:space="preserve">I am fully aware, and am taking into account the principles entrenched in the values of section 217 of the Constitution particularly fairness, equality and cost effectiveness.  I have had regard to the authorities referred to in argument by SKG and particularly the </w:t>
      </w:r>
      <w:r w:rsidR="002A376D" w:rsidRPr="00D33AC2">
        <w:rPr>
          <w:rFonts w:ascii="Arial" w:hAnsi="Arial" w:cs="Arial"/>
          <w:b/>
          <w:sz w:val="24"/>
          <w:szCs w:val="24"/>
        </w:rPr>
        <w:t>Premier Free State and others v Firechem Free State</w:t>
      </w:r>
      <w:r w:rsidR="002A376D" w:rsidRPr="00D33AC2">
        <w:rPr>
          <w:rFonts w:ascii="Arial" w:hAnsi="Arial" w:cs="Arial"/>
          <w:sz w:val="24"/>
          <w:szCs w:val="24"/>
        </w:rPr>
        <w:t xml:space="preserve"> (</w:t>
      </w:r>
      <w:r w:rsidR="002A376D" w:rsidRPr="00D33AC2">
        <w:rPr>
          <w:rFonts w:ascii="Arial" w:hAnsi="Arial" w:cs="Arial"/>
          <w:i/>
          <w:sz w:val="24"/>
          <w:szCs w:val="24"/>
        </w:rPr>
        <w:t>supra</w:t>
      </w:r>
      <w:r w:rsidR="002A376D" w:rsidRPr="00D33AC2">
        <w:rPr>
          <w:rFonts w:ascii="Arial" w:hAnsi="Arial" w:cs="Arial"/>
          <w:sz w:val="24"/>
          <w:szCs w:val="24"/>
        </w:rPr>
        <w:t xml:space="preserve">) paragraph [30] and </w:t>
      </w:r>
      <w:r w:rsidR="002A376D" w:rsidRPr="00D33AC2">
        <w:rPr>
          <w:rFonts w:ascii="Arial" w:hAnsi="Arial" w:cs="Arial"/>
          <w:b/>
          <w:sz w:val="24"/>
          <w:szCs w:val="24"/>
        </w:rPr>
        <w:t>All Pay</w:t>
      </w:r>
      <w:r w:rsidR="002A376D" w:rsidRPr="00D33AC2">
        <w:rPr>
          <w:rFonts w:ascii="Arial" w:hAnsi="Arial" w:cs="Arial"/>
          <w:sz w:val="24"/>
          <w:szCs w:val="24"/>
        </w:rPr>
        <w:t xml:space="preserve"> (</w:t>
      </w:r>
      <w:r w:rsidR="002A376D" w:rsidRPr="00D33AC2">
        <w:rPr>
          <w:rFonts w:ascii="Arial" w:hAnsi="Arial" w:cs="Arial"/>
          <w:i/>
          <w:sz w:val="24"/>
          <w:szCs w:val="24"/>
        </w:rPr>
        <w:t>supra)</w:t>
      </w:r>
      <w:r w:rsidR="002A376D" w:rsidRPr="00D33AC2">
        <w:rPr>
          <w:rFonts w:ascii="Arial" w:hAnsi="Arial" w:cs="Arial"/>
          <w:sz w:val="24"/>
          <w:szCs w:val="24"/>
        </w:rPr>
        <w:t xml:space="preserve"> at para [39].  Whilst I accept that the procedure in adjudging tenders must relate to comparable offers and that competitors should be treated equally</w:t>
      </w:r>
      <w:r w:rsidR="0090737C" w:rsidRPr="00D33AC2">
        <w:rPr>
          <w:rFonts w:ascii="Arial" w:hAnsi="Arial" w:cs="Arial"/>
          <w:sz w:val="24"/>
          <w:szCs w:val="24"/>
        </w:rPr>
        <w:t>,</w:t>
      </w:r>
      <w:r w:rsidR="002A376D" w:rsidRPr="00D33AC2">
        <w:rPr>
          <w:rFonts w:ascii="Arial" w:hAnsi="Arial" w:cs="Arial"/>
          <w:sz w:val="24"/>
          <w:szCs w:val="24"/>
        </w:rPr>
        <w:t xml:space="preserve"> being entitled to tender for the same thing, that principles </w:t>
      </w:r>
      <w:r w:rsidR="0090737C" w:rsidRPr="00D33AC2">
        <w:rPr>
          <w:rFonts w:ascii="Arial" w:hAnsi="Arial" w:cs="Arial"/>
          <w:sz w:val="24"/>
          <w:szCs w:val="24"/>
        </w:rPr>
        <w:t>ares</w:t>
      </w:r>
      <w:r w:rsidR="002A376D" w:rsidRPr="00D33AC2">
        <w:rPr>
          <w:rFonts w:ascii="Arial" w:hAnsi="Arial" w:cs="Arial"/>
          <w:sz w:val="24"/>
          <w:szCs w:val="24"/>
        </w:rPr>
        <w:t xml:space="preserve"> not abrogated in this matter in the way that the tenders were in fact assessed.</w:t>
      </w:r>
    </w:p>
    <w:p w14:paraId="017E5828" w14:textId="77777777" w:rsidR="002A376D" w:rsidRPr="00793A3E" w:rsidRDefault="002A376D" w:rsidP="00F009F9">
      <w:pPr>
        <w:pStyle w:val="ListParagraph"/>
        <w:spacing w:after="0" w:line="480" w:lineRule="auto"/>
        <w:contextualSpacing w:val="0"/>
        <w:rPr>
          <w:rFonts w:ascii="Arial" w:hAnsi="Arial" w:cs="Arial"/>
          <w:sz w:val="24"/>
          <w:szCs w:val="24"/>
        </w:rPr>
      </w:pPr>
    </w:p>
    <w:p w14:paraId="6708A0F0" w14:textId="33DB50FD" w:rsidR="002A376D"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166.</w:t>
      </w:r>
      <w:r w:rsidRPr="00793A3E">
        <w:rPr>
          <w:rFonts w:ascii="Arial" w:hAnsi="Arial" w:cs="Arial"/>
          <w:sz w:val="24"/>
          <w:szCs w:val="24"/>
        </w:rPr>
        <w:tab/>
      </w:r>
      <w:r w:rsidR="002A376D" w:rsidRPr="00D33AC2">
        <w:rPr>
          <w:rFonts w:ascii="Arial" w:hAnsi="Arial" w:cs="Arial"/>
          <w:sz w:val="24"/>
          <w:szCs w:val="24"/>
        </w:rPr>
        <w:t xml:space="preserve">At the end of the day the cheaper tender, although for lesser area, was adopted, and </w:t>
      </w:r>
      <w:r w:rsidR="0046771A" w:rsidRPr="00D33AC2">
        <w:rPr>
          <w:rFonts w:ascii="Arial" w:hAnsi="Arial" w:cs="Arial"/>
          <w:sz w:val="24"/>
          <w:szCs w:val="24"/>
        </w:rPr>
        <w:t xml:space="preserve">it </w:t>
      </w:r>
      <w:r w:rsidR="002A376D" w:rsidRPr="00D33AC2">
        <w:rPr>
          <w:rFonts w:ascii="Arial" w:hAnsi="Arial" w:cs="Arial"/>
          <w:sz w:val="24"/>
          <w:szCs w:val="24"/>
        </w:rPr>
        <w:t>stand</w:t>
      </w:r>
      <w:r w:rsidR="0046771A" w:rsidRPr="00D33AC2">
        <w:rPr>
          <w:rFonts w:ascii="Arial" w:hAnsi="Arial" w:cs="Arial"/>
          <w:sz w:val="24"/>
          <w:szCs w:val="24"/>
        </w:rPr>
        <w:t>s</w:t>
      </w:r>
      <w:r w:rsidR="002A376D" w:rsidRPr="00D33AC2">
        <w:rPr>
          <w:rFonts w:ascii="Arial" w:hAnsi="Arial" w:cs="Arial"/>
          <w:sz w:val="24"/>
          <w:szCs w:val="24"/>
        </w:rPr>
        <w:t xml:space="preserve"> to reason that in all or most tenders for office space, it make sense to ask for tenders in an approximate square meterage having regard to the </w:t>
      </w:r>
      <w:r w:rsidR="00BC48B4" w:rsidRPr="00D33AC2">
        <w:rPr>
          <w:rFonts w:ascii="Arial" w:hAnsi="Arial" w:cs="Arial"/>
          <w:sz w:val="24"/>
          <w:szCs w:val="24"/>
        </w:rPr>
        <w:t>existing</w:t>
      </w:r>
      <w:r w:rsidR="002A376D" w:rsidRPr="00D33AC2">
        <w:rPr>
          <w:rFonts w:ascii="Arial" w:hAnsi="Arial" w:cs="Arial"/>
          <w:sz w:val="24"/>
          <w:szCs w:val="24"/>
        </w:rPr>
        <w:t xml:space="preserve"> square meterage of building available, and to assess this on an overall price in the manner set out in the invitation to tender being scored as I have already set out above in this case between 1000m² but less than 1250m², the overall area being ± 1200m² office space.  </w:t>
      </w:r>
    </w:p>
    <w:p w14:paraId="5113100C" w14:textId="77777777" w:rsidR="002A376D" w:rsidRPr="00793A3E" w:rsidRDefault="002A376D" w:rsidP="00F009F9">
      <w:pPr>
        <w:pStyle w:val="ListParagraph"/>
        <w:spacing w:after="0" w:line="480" w:lineRule="auto"/>
        <w:contextualSpacing w:val="0"/>
        <w:rPr>
          <w:rFonts w:ascii="Arial" w:hAnsi="Arial" w:cs="Arial"/>
          <w:sz w:val="24"/>
          <w:szCs w:val="24"/>
        </w:rPr>
      </w:pPr>
    </w:p>
    <w:p w14:paraId="635B8123" w14:textId="3D2BE250" w:rsidR="002A376D"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167.</w:t>
      </w:r>
      <w:r w:rsidRPr="00793A3E">
        <w:rPr>
          <w:rFonts w:ascii="Arial" w:hAnsi="Arial" w:cs="Arial"/>
          <w:sz w:val="24"/>
          <w:szCs w:val="24"/>
        </w:rPr>
        <w:tab/>
      </w:r>
      <w:r w:rsidR="002A376D" w:rsidRPr="00D33AC2">
        <w:rPr>
          <w:rFonts w:ascii="Arial" w:hAnsi="Arial" w:cs="Arial"/>
          <w:sz w:val="24"/>
          <w:szCs w:val="24"/>
        </w:rPr>
        <w:t xml:space="preserve">Turning to the second issue relating to TIC.  </w:t>
      </w:r>
    </w:p>
    <w:p w14:paraId="48760151" w14:textId="77777777" w:rsidR="002A376D" w:rsidRPr="00793A3E" w:rsidRDefault="002A376D" w:rsidP="00F009F9">
      <w:pPr>
        <w:pStyle w:val="ListParagraph"/>
        <w:spacing w:after="0" w:line="480" w:lineRule="auto"/>
        <w:contextualSpacing w:val="0"/>
        <w:rPr>
          <w:rFonts w:ascii="Arial" w:hAnsi="Arial" w:cs="Arial"/>
          <w:sz w:val="24"/>
          <w:szCs w:val="24"/>
        </w:rPr>
      </w:pPr>
    </w:p>
    <w:p w14:paraId="721D65F3" w14:textId="32759888" w:rsidR="00EA5C93"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lastRenderedPageBreak/>
        <w:t>168.</w:t>
      </w:r>
      <w:r>
        <w:rPr>
          <w:rFonts w:ascii="Arial" w:hAnsi="Arial" w:cs="Arial"/>
          <w:sz w:val="24"/>
          <w:szCs w:val="24"/>
        </w:rPr>
        <w:tab/>
      </w:r>
      <w:r w:rsidR="00985856" w:rsidRPr="00D33AC2">
        <w:rPr>
          <w:rFonts w:ascii="Arial" w:hAnsi="Arial" w:cs="Arial"/>
          <w:sz w:val="24"/>
          <w:szCs w:val="24"/>
        </w:rPr>
        <w:t>I have again already set out above the factual situation relevant to and the prices applicable to tenant installation cost</w:t>
      </w:r>
      <w:r w:rsidR="0090737C" w:rsidRPr="00D33AC2">
        <w:rPr>
          <w:rFonts w:ascii="Arial" w:hAnsi="Arial" w:cs="Arial"/>
          <w:sz w:val="24"/>
          <w:szCs w:val="24"/>
        </w:rPr>
        <w:t>,</w:t>
      </w:r>
      <w:r w:rsidR="00985856" w:rsidRPr="00D33AC2">
        <w:rPr>
          <w:rFonts w:ascii="Arial" w:hAnsi="Arial" w:cs="Arial"/>
          <w:sz w:val="24"/>
          <w:szCs w:val="24"/>
        </w:rPr>
        <w:t xml:space="preserve"> this must be seen against the clear indication that TIC was not to be included and would subsequently be awarded to the successful tenderer.  This was made further clear in the clarification enquiry referred to above</w:t>
      </w:r>
      <w:r w:rsidR="0090737C" w:rsidRPr="00D33AC2">
        <w:rPr>
          <w:rFonts w:ascii="Arial" w:hAnsi="Arial" w:cs="Arial"/>
          <w:sz w:val="24"/>
          <w:szCs w:val="24"/>
        </w:rPr>
        <w:t>,</w:t>
      </w:r>
      <w:r w:rsidR="00985856" w:rsidRPr="00D33AC2">
        <w:rPr>
          <w:rFonts w:ascii="Arial" w:hAnsi="Arial" w:cs="Arial"/>
          <w:sz w:val="24"/>
          <w:szCs w:val="24"/>
        </w:rPr>
        <w:t xml:space="preserve"> and that evaluation would be based on prices excluding tenant installation.  </w:t>
      </w:r>
    </w:p>
    <w:p w14:paraId="6CDD2033" w14:textId="77777777" w:rsidR="00693759" w:rsidRPr="00793A3E" w:rsidRDefault="00693759" w:rsidP="00693759">
      <w:pPr>
        <w:pStyle w:val="ListParagraph"/>
        <w:spacing w:after="0" w:line="480" w:lineRule="auto"/>
        <w:contextualSpacing w:val="0"/>
        <w:jc w:val="both"/>
        <w:rPr>
          <w:rFonts w:ascii="Arial" w:hAnsi="Arial" w:cs="Arial"/>
          <w:sz w:val="24"/>
          <w:szCs w:val="24"/>
        </w:rPr>
      </w:pPr>
    </w:p>
    <w:p w14:paraId="7A29275B" w14:textId="5FDBB5AB" w:rsidR="00985856"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169.</w:t>
      </w:r>
      <w:r w:rsidRPr="00793A3E">
        <w:rPr>
          <w:rFonts w:ascii="Arial" w:hAnsi="Arial" w:cs="Arial"/>
          <w:sz w:val="24"/>
          <w:szCs w:val="24"/>
        </w:rPr>
        <w:tab/>
      </w:r>
      <w:r w:rsidR="00985856" w:rsidRPr="00D33AC2">
        <w:rPr>
          <w:rFonts w:ascii="Arial" w:hAnsi="Arial" w:cs="Arial"/>
          <w:sz w:val="24"/>
          <w:szCs w:val="24"/>
        </w:rPr>
        <w:t>This is met by applicant or attempted to be met, by contending that its bid included tenant installation which was “</w:t>
      </w:r>
      <w:r w:rsidR="00985856" w:rsidRPr="00D33AC2">
        <w:rPr>
          <w:rFonts w:ascii="Arial" w:hAnsi="Arial" w:cs="Arial"/>
          <w:i/>
          <w:sz w:val="24"/>
          <w:szCs w:val="24"/>
        </w:rPr>
        <w:t>amortised</w:t>
      </w:r>
      <w:r w:rsidR="00985856" w:rsidRPr="00D33AC2">
        <w:rPr>
          <w:rFonts w:ascii="Arial" w:hAnsi="Arial" w:cs="Arial"/>
          <w:sz w:val="24"/>
          <w:szCs w:val="24"/>
        </w:rPr>
        <w:t>” into its tender price.  The logic in the founding affidavit is not simple to follow to say the least and it is said that although the SKG bid provided for tenant installation costs these were amortised into the tender price having regard to what was already offered in the property there being no need for a full three month beneficial occupation period to attend to tenants installation if the property was already ready for occupation.  It is said “</w:t>
      </w:r>
      <w:r w:rsidR="00985856" w:rsidRPr="00D33AC2">
        <w:rPr>
          <w:rFonts w:ascii="Arial" w:hAnsi="Arial" w:cs="Arial"/>
          <w:i/>
          <w:sz w:val="24"/>
          <w:szCs w:val="24"/>
        </w:rPr>
        <w:t>it is for this reason that SKG Africa’s bid did not include the TI costs under ‘pricelist’ … - it merely reflected the rate as Eskom required the rate to be reflected.</w:t>
      </w:r>
      <w:r w:rsidR="00985856" w:rsidRPr="00D33AC2">
        <w:rPr>
          <w:rFonts w:ascii="Arial" w:hAnsi="Arial" w:cs="Arial"/>
          <w:sz w:val="24"/>
          <w:szCs w:val="24"/>
        </w:rPr>
        <w:t>”  That rate will be recalled was R1 700,00 per square meter.  It is said “</w:t>
      </w:r>
      <w:r w:rsidR="00985856" w:rsidRPr="00D33AC2">
        <w:rPr>
          <w:rFonts w:ascii="Arial" w:hAnsi="Arial" w:cs="Arial"/>
          <w:i/>
          <w:sz w:val="24"/>
          <w:szCs w:val="24"/>
        </w:rPr>
        <w:t>the result is that, in addition to the rate per square meter for the office space, SKG Africa’s bids are also far less in price than Rokewood’s bid due to the latter’s 2.3 million for TI.</w:t>
      </w:r>
      <w:r w:rsidR="00985856" w:rsidRPr="00D33AC2">
        <w:rPr>
          <w:rFonts w:ascii="Arial" w:hAnsi="Arial" w:cs="Arial"/>
          <w:sz w:val="24"/>
          <w:szCs w:val="24"/>
        </w:rPr>
        <w:t>”</w:t>
      </w:r>
      <w:r w:rsidR="00985856" w:rsidRPr="00793A3E">
        <w:rPr>
          <w:rStyle w:val="FootnoteReference"/>
          <w:rFonts w:ascii="Arial" w:hAnsi="Arial" w:cs="Arial"/>
          <w:sz w:val="24"/>
          <w:szCs w:val="24"/>
        </w:rPr>
        <w:footnoteReference w:id="31"/>
      </w:r>
      <w:r w:rsidR="00985856" w:rsidRPr="00D33AC2">
        <w:rPr>
          <w:rFonts w:ascii="Arial" w:hAnsi="Arial" w:cs="Arial"/>
          <w:sz w:val="24"/>
          <w:szCs w:val="24"/>
        </w:rPr>
        <w:t xml:space="preserve">  </w:t>
      </w:r>
    </w:p>
    <w:p w14:paraId="17D7BE61" w14:textId="77777777" w:rsidR="00985856" w:rsidRPr="00793A3E" w:rsidRDefault="00985856" w:rsidP="00F009F9">
      <w:pPr>
        <w:pStyle w:val="ListParagraph"/>
        <w:spacing w:after="0" w:line="480" w:lineRule="auto"/>
        <w:contextualSpacing w:val="0"/>
        <w:rPr>
          <w:rFonts w:ascii="Arial" w:hAnsi="Arial" w:cs="Arial"/>
          <w:sz w:val="24"/>
          <w:szCs w:val="24"/>
        </w:rPr>
      </w:pPr>
    </w:p>
    <w:p w14:paraId="4AAF4D81" w14:textId="2F20301C" w:rsidR="00985856"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170.</w:t>
      </w:r>
      <w:r w:rsidRPr="00793A3E">
        <w:rPr>
          <w:rFonts w:ascii="Arial" w:hAnsi="Arial" w:cs="Arial"/>
          <w:sz w:val="24"/>
          <w:szCs w:val="24"/>
        </w:rPr>
        <w:tab/>
      </w:r>
      <w:r w:rsidR="00985856" w:rsidRPr="00D33AC2">
        <w:rPr>
          <w:rFonts w:ascii="Arial" w:hAnsi="Arial" w:cs="Arial"/>
          <w:sz w:val="24"/>
          <w:szCs w:val="24"/>
        </w:rPr>
        <w:t xml:space="preserve">This is </w:t>
      </w:r>
      <w:r w:rsidR="0046771A" w:rsidRPr="00D33AC2">
        <w:rPr>
          <w:rFonts w:ascii="Arial" w:hAnsi="Arial" w:cs="Arial"/>
          <w:sz w:val="24"/>
          <w:szCs w:val="24"/>
        </w:rPr>
        <w:t xml:space="preserve">even </w:t>
      </w:r>
      <w:r w:rsidR="00985856" w:rsidRPr="00D33AC2">
        <w:rPr>
          <w:rFonts w:ascii="Arial" w:hAnsi="Arial" w:cs="Arial"/>
          <w:sz w:val="24"/>
          <w:szCs w:val="24"/>
        </w:rPr>
        <w:t xml:space="preserve">more difficult to follow as it appears from Rokewood’s answering affidavit </w:t>
      </w:r>
      <w:r w:rsidR="00693759" w:rsidRPr="00D33AC2">
        <w:rPr>
          <w:rFonts w:ascii="Arial" w:hAnsi="Arial" w:cs="Arial"/>
          <w:sz w:val="24"/>
          <w:szCs w:val="24"/>
        </w:rPr>
        <w:t>(</w:t>
      </w:r>
      <w:r w:rsidR="00985856" w:rsidRPr="00D33AC2">
        <w:rPr>
          <w:rFonts w:ascii="Arial" w:hAnsi="Arial" w:cs="Arial"/>
          <w:sz w:val="24"/>
          <w:szCs w:val="24"/>
        </w:rPr>
        <w:t>paragraph 9</w:t>
      </w:r>
      <w:r w:rsidR="00985856" w:rsidRPr="00793A3E">
        <w:rPr>
          <w:rStyle w:val="FootnoteReference"/>
          <w:rFonts w:ascii="Arial" w:hAnsi="Arial" w:cs="Arial"/>
          <w:sz w:val="24"/>
          <w:szCs w:val="24"/>
        </w:rPr>
        <w:footnoteReference w:id="32"/>
      </w:r>
      <w:r w:rsidR="00693759" w:rsidRPr="00D33AC2">
        <w:rPr>
          <w:rFonts w:ascii="Arial" w:hAnsi="Arial" w:cs="Arial"/>
          <w:sz w:val="24"/>
          <w:szCs w:val="24"/>
        </w:rPr>
        <w:t>)</w:t>
      </w:r>
      <w:r w:rsidR="00490954" w:rsidRPr="00D33AC2">
        <w:rPr>
          <w:rFonts w:ascii="Arial" w:hAnsi="Arial" w:cs="Arial"/>
          <w:sz w:val="24"/>
          <w:szCs w:val="24"/>
        </w:rPr>
        <w:t xml:space="preserve"> that the SKG proposal provided at paragraph (k) that:</w:t>
      </w:r>
    </w:p>
    <w:p w14:paraId="423D2588" w14:textId="77777777" w:rsidR="00490954" w:rsidRPr="00793A3E" w:rsidRDefault="00490954" w:rsidP="00F009F9">
      <w:pPr>
        <w:pStyle w:val="ListParagraph"/>
        <w:spacing w:after="0" w:line="480" w:lineRule="auto"/>
        <w:contextualSpacing w:val="0"/>
        <w:rPr>
          <w:rFonts w:ascii="Arial" w:hAnsi="Arial" w:cs="Arial"/>
          <w:sz w:val="24"/>
          <w:szCs w:val="24"/>
        </w:rPr>
      </w:pPr>
    </w:p>
    <w:p w14:paraId="3ED599D0" w14:textId="77777777" w:rsidR="00490954" w:rsidRPr="00F009F9" w:rsidRDefault="00490954" w:rsidP="00F009F9">
      <w:pPr>
        <w:pStyle w:val="ListParagraph"/>
        <w:spacing w:after="0" w:line="360" w:lineRule="auto"/>
        <w:ind w:left="1440"/>
        <w:contextualSpacing w:val="0"/>
        <w:jc w:val="both"/>
        <w:rPr>
          <w:rFonts w:ascii="Arial" w:hAnsi="Arial" w:cs="Arial"/>
        </w:rPr>
      </w:pPr>
      <w:r w:rsidRPr="00F009F9">
        <w:rPr>
          <w:rFonts w:ascii="Arial" w:hAnsi="Arial" w:cs="Arial"/>
        </w:rPr>
        <w:lastRenderedPageBreak/>
        <w:t xml:space="preserve">“Our rate of R1700,00 per square meter for tenant installation costs as quoted in this tender document is our standard rate for tenant installation costs.  If you require any specialist specific tenant installation items, then the price will be adjusted accordingly.”  </w:t>
      </w:r>
    </w:p>
    <w:p w14:paraId="237A9E60" w14:textId="77777777" w:rsidR="00490954" w:rsidRPr="00793A3E" w:rsidRDefault="00490954" w:rsidP="00F009F9">
      <w:pPr>
        <w:pStyle w:val="ListParagraph"/>
        <w:spacing w:after="0" w:line="480" w:lineRule="auto"/>
        <w:contextualSpacing w:val="0"/>
        <w:jc w:val="both"/>
        <w:rPr>
          <w:rFonts w:ascii="Arial" w:hAnsi="Arial" w:cs="Arial"/>
          <w:sz w:val="24"/>
          <w:szCs w:val="24"/>
        </w:rPr>
      </w:pPr>
    </w:p>
    <w:p w14:paraId="321A8C3D" w14:textId="42209682" w:rsidR="00490954"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t>171.</w:t>
      </w:r>
      <w:r>
        <w:rPr>
          <w:rFonts w:ascii="Arial" w:hAnsi="Arial" w:cs="Arial"/>
          <w:sz w:val="24"/>
          <w:szCs w:val="24"/>
        </w:rPr>
        <w:tab/>
      </w:r>
      <w:r w:rsidR="00490954" w:rsidRPr="00D33AC2">
        <w:rPr>
          <w:rFonts w:ascii="Arial" w:hAnsi="Arial" w:cs="Arial"/>
          <w:sz w:val="24"/>
          <w:szCs w:val="24"/>
        </w:rPr>
        <w:t xml:space="preserve">It seems to me, that the valuation applied related to the price of accommodation, parking bays and absent operational costs without tenant installation which was removed in the Rokewood bid by Eskom.  </w:t>
      </w:r>
    </w:p>
    <w:p w14:paraId="3F82BEF3" w14:textId="77777777" w:rsidR="00F009F9" w:rsidRPr="00793A3E" w:rsidRDefault="00F009F9" w:rsidP="00F009F9">
      <w:pPr>
        <w:pStyle w:val="ListParagraph"/>
        <w:spacing w:after="0" w:line="480" w:lineRule="auto"/>
        <w:contextualSpacing w:val="0"/>
        <w:jc w:val="both"/>
        <w:rPr>
          <w:rFonts w:ascii="Arial" w:hAnsi="Arial" w:cs="Arial"/>
          <w:sz w:val="24"/>
          <w:szCs w:val="24"/>
        </w:rPr>
      </w:pPr>
    </w:p>
    <w:p w14:paraId="15E4525D" w14:textId="21201470" w:rsidR="0049095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172.</w:t>
      </w:r>
      <w:r w:rsidRPr="00793A3E">
        <w:rPr>
          <w:rFonts w:ascii="Arial" w:hAnsi="Arial" w:cs="Arial"/>
          <w:sz w:val="24"/>
          <w:szCs w:val="24"/>
        </w:rPr>
        <w:tab/>
      </w:r>
      <w:r w:rsidR="00490954" w:rsidRPr="00D33AC2">
        <w:rPr>
          <w:rFonts w:ascii="Arial" w:hAnsi="Arial" w:cs="Arial"/>
          <w:sz w:val="24"/>
          <w:szCs w:val="24"/>
        </w:rPr>
        <w:t xml:space="preserve">The comparative costing being Rokewood </w:t>
      </w:r>
      <w:r w:rsidR="0090737C" w:rsidRPr="00D33AC2">
        <w:rPr>
          <w:rFonts w:ascii="Arial" w:hAnsi="Arial" w:cs="Arial"/>
          <w:sz w:val="24"/>
          <w:szCs w:val="24"/>
        </w:rPr>
        <w:t xml:space="preserve">of </w:t>
      </w:r>
      <w:r w:rsidR="00490954" w:rsidRPr="00D33AC2">
        <w:rPr>
          <w:rFonts w:ascii="Arial" w:hAnsi="Arial" w:cs="Arial"/>
          <w:sz w:val="24"/>
          <w:szCs w:val="24"/>
        </w:rPr>
        <w:t xml:space="preserve">R5 287 607,52, being compared to SKG’s of R5 590 300,80.  Both, in my view, </w:t>
      </w:r>
      <w:r w:rsidR="00693759" w:rsidRPr="00D33AC2">
        <w:rPr>
          <w:rFonts w:ascii="Arial" w:hAnsi="Arial" w:cs="Arial"/>
          <w:sz w:val="24"/>
          <w:szCs w:val="24"/>
        </w:rPr>
        <w:t xml:space="preserve">this on the papers </w:t>
      </w:r>
      <w:r w:rsidR="00490954" w:rsidRPr="00D33AC2">
        <w:rPr>
          <w:rFonts w:ascii="Arial" w:hAnsi="Arial" w:cs="Arial"/>
          <w:sz w:val="24"/>
          <w:szCs w:val="24"/>
        </w:rPr>
        <w:t>clearly exclude</w:t>
      </w:r>
      <w:r w:rsidR="00693759" w:rsidRPr="00D33AC2">
        <w:rPr>
          <w:rFonts w:ascii="Arial" w:hAnsi="Arial" w:cs="Arial"/>
          <w:sz w:val="24"/>
          <w:szCs w:val="24"/>
        </w:rPr>
        <w:t>d</w:t>
      </w:r>
      <w:r w:rsidR="00490954" w:rsidRPr="00D33AC2">
        <w:rPr>
          <w:rFonts w:ascii="Arial" w:hAnsi="Arial" w:cs="Arial"/>
          <w:sz w:val="24"/>
          <w:szCs w:val="24"/>
        </w:rPr>
        <w:t xml:space="preserve"> TIC, and at the end of the day the Rokewood bid on the face of it </w:t>
      </w:r>
      <w:r w:rsidR="00693759" w:rsidRPr="00D33AC2">
        <w:rPr>
          <w:rFonts w:ascii="Arial" w:hAnsi="Arial" w:cs="Arial"/>
          <w:sz w:val="24"/>
          <w:szCs w:val="24"/>
        </w:rPr>
        <w:t>was</w:t>
      </w:r>
      <w:r w:rsidR="00490954" w:rsidRPr="00D33AC2">
        <w:rPr>
          <w:rFonts w:ascii="Arial" w:hAnsi="Arial" w:cs="Arial"/>
          <w:sz w:val="24"/>
          <w:szCs w:val="24"/>
        </w:rPr>
        <w:t xml:space="preserve"> less expensive.  This obviously viewed as total price.  </w:t>
      </w:r>
    </w:p>
    <w:p w14:paraId="73386457" w14:textId="77777777" w:rsidR="00490954" w:rsidRPr="00793A3E" w:rsidRDefault="00490954" w:rsidP="00F009F9">
      <w:pPr>
        <w:pStyle w:val="ListParagraph"/>
        <w:spacing w:after="0" w:line="480" w:lineRule="auto"/>
        <w:contextualSpacing w:val="0"/>
        <w:jc w:val="both"/>
        <w:rPr>
          <w:rFonts w:ascii="Arial" w:hAnsi="Arial" w:cs="Arial"/>
          <w:sz w:val="24"/>
          <w:szCs w:val="24"/>
        </w:rPr>
      </w:pPr>
    </w:p>
    <w:p w14:paraId="556E6467" w14:textId="38A77C8F" w:rsidR="0049095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173.</w:t>
      </w:r>
      <w:r w:rsidRPr="00793A3E">
        <w:rPr>
          <w:rFonts w:ascii="Arial" w:hAnsi="Arial" w:cs="Arial"/>
          <w:sz w:val="24"/>
          <w:szCs w:val="24"/>
        </w:rPr>
        <w:tab/>
      </w:r>
      <w:r w:rsidR="00490954" w:rsidRPr="00D33AC2">
        <w:rPr>
          <w:rFonts w:ascii="Arial" w:hAnsi="Arial" w:cs="Arial"/>
          <w:sz w:val="24"/>
          <w:szCs w:val="24"/>
        </w:rPr>
        <w:t xml:space="preserve">It seems to me then, that on a proper understanding of the papers and the annexures, this argument similarly must fail.  </w:t>
      </w:r>
    </w:p>
    <w:p w14:paraId="070E9492" w14:textId="77777777" w:rsidR="00490954" w:rsidRPr="00793A3E" w:rsidRDefault="00490954" w:rsidP="00F009F9">
      <w:pPr>
        <w:pStyle w:val="ListParagraph"/>
        <w:spacing w:after="0" w:line="480" w:lineRule="auto"/>
        <w:contextualSpacing w:val="0"/>
        <w:rPr>
          <w:rFonts w:ascii="Arial" w:hAnsi="Arial" w:cs="Arial"/>
          <w:sz w:val="24"/>
          <w:szCs w:val="24"/>
        </w:rPr>
      </w:pPr>
    </w:p>
    <w:p w14:paraId="55664DA6" w14:textId="257151A3" w:rsidR="0049095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174.</w:t>
      </w:r>
      <w:r w:rsidRPr="00793A3E">
        <w:rPr>
          <w:rFonts w:ascii="Arial" w:hAnsi="Arial" w:cs="Arial"/>
          <w:sz w:val="24"/>
          <w:szCs w:val="24"/>
        </w:rPr>
        <w:tab/>
      </w:r>
      <w:r w:rsidR="00490954" w:rsidRPr="00D33AC2">
        <w:rPr>
          <w:rFonts w:ascii="Arial" w:hAnsi="Arial" w:cs="Arial"/>
          <w:sz w:val="24"/>
          <w:szCs w:val="24"/>
        </w:rPr>
        <w:t xml:space="preserve">There seems to me to be merit in Rokewood’s submission that applicant misinterpreted the approval of the tender in the sum of R7 925 929,38 as referred to in paragraph 49.2 of the founding papers.  This is in fact incorrect, the sum of the tender awarded to second respondent being in the amount of R5 287 607,52.  </w:t>
      </w:r>
    </w:p>
    <w:p w14:paraId="50BDC460" w14:textId="77777777" w:rsidR="00490954" w:rsidRPr="00793A3E" w:rsidRDefault="00490954" w:rsidP="00F009F9">
      <w:pPr>
        <w:pStyle w:val="ListParagraph"/>
        <w:spacing w:after="0" w:line="480" w:lineRule="auto"/>
        <w:contextualSpacing w:val="0"/>
        <w:rPr>
          <w:rFonts w:ascii="Arial" w:hAnsi="Arial" w:cs="Arial"/>
          <w:sz w:val="24"/>
          <w:szCs w:val="24"/>
        </w:rPr>
      </w:pPr>
    </w:p>
    <w:p w14:paraId="1B23865F" w14:textId="1A1C0BCD" w:rsidR="0049095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175.</w:t>
      </w:r>
      <w:r w:rsidRPr="00793A3E">
        <w:rPr>
          <w:rFonts w:ascii="Arial" w:hAnsi="Arial" w:cs="Arial"/>
          <w:sz w:val="24"/>
          <w:szCs w:val="24"/>
        </w:rPr>
        <w:tab/>
      </w:r>
      <w:r w:rsidR="00490954" w:rsidRPr="00D33AC2">
        <w:rPr>
          <w:rFonts w:ascii="Arial" w:hAnsi="Arial" w:cs="Arial"/>
          <w:sz w:val="24"/>
          <w:szCs w:val="24"/>
        </w:rPr>
        <w:t xml:space="preserve">The make-up of the larger sum starts with the original office, accommodation, parking bays and operational costs, to which is then added the excluded utilities services, electricity water and sewerage, the rates and taxes and then tenant installation in the sum of R2 680 000,00 giving the larger total.  </w:t>
      </w:r>
    </w:p>
    <w:p w14:paraId="3CE6A8C7" w14:textId="77777777" w:rsidR="00490954" w:rsidRPr="00793A3E" w:rsidRDefault="00490954" w:rsidP="00F009F9">
      <w:pPr>
        <w:pStyle w:val="ListParagraph"/>
        <w:spacing w:after="0" w:line="480" w:lineRule="auto"/>
        <w:contextualSpacing w:val="0"/>
        <w:rPr>
          <w:rFonts w:ascii="Arial" w:hAnsi="Arial" w:cs="Arial"/>
          <w:sz w:val="24"/>
          <w:szCs w:val="24"/>
        </w:rPr>
      </w:pPr>
    </w:p>
    <w:p w14:paraId="77E5B1F5" w14:textId="458FD09F" w:rsidR="0049095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176.</w:t>
      </w:r>
      <w:r w:rsidRPr="00793A3E">
        <w:rPr>
          <w:rFonts w:ascii="Arial" w:hAnsi="Arial" w:cs="Arial"/>
          <w:sz w:val="24"/>
          <w:szCs w:val="24"/>
        </w:rPr>
        <w:tab/>
      </w:r>
      <w:r w:rsidR="00490954" w:rsidRPr="00D33AC2">
        <w:rPr>
          <w:rFonts w:ascii="Arial" w:hAnsi="Arial" w:cs="Arial"/>
          <w:sz w:val="24"/>
          <w:szCs w:val="24"/>
        </w:rPr>
        <w:t xml:space="preserve">In the result, on the price challenge advanced by applicant in respect of 5818 </w:t>
      </w:r>
      <w:r w:rsidR="00693759" w:rsidRPr="00D33AC2">
        <w:rPr>
          <w:rFonts w:ascii="Arial" w:hAnsi="Arial" w:cs="Arial"/>
          <w:sz w:val="24"/>
          <w:szCs w:val="24"/>
        </w:rPr>
        <w:t>it</w:t>
      </w:r>
      <w:r w:rsidR="00490954" w:rsidRPr="00D33AC2">
        <w:rPr>
          <w:rFonts w:ascii="Arial" w:hAnsi="Arial" w:cs="Arial"/>
          <w:sz w:val="24"/>
          <w:szCs w:val="24"/>
        </w:rPr>
        <w:t xml:space="preserve"> must fail.</w:t>
      </w:r>
    </w:p>
    <w:p w14:paraId="41E8F1C6" w14:textId="77777777" w:rsidR="00490954" w:rsidRPr="00793A3E" w:rsidRDefault="00490954" w:rsidP="00F009F9">
      <w:pPr>
        <w:pStyle w:val="ListParagraph"/>
        <w:spacing w:after="0" w:line="480" w:lineRule="auto"/>
        <w:ind w:left="0"/>
        <w:contextualSpacing w:val="0"/>
        <w:jc w:val="both"/>
        <w:rPr>
          <w:rFonts w:ascii="Arial" w:hAnsi="Arial" w:cs="Arial"/>
          <w:b/>
          <w:sz w:val="24"/>
          <w:szCs w:val="24"/>
          <w:u w:val="single"/>
        </w:rPr>
      </w:pPr>
    </w:p>
    <w:p w14:paraId="209016D1" w14:textId="77777777" w:rsidR="00490954" w:rsidRPr="00793A3E" w:rsidRDefault="00490954" w:rsidP="00F009F9">
      <w:pPr>
        <w:pStyle w:val="ListParagraph"/>
        <w:spacing w:after="0" w:line="480" w:lineRule="auto"/>
        <w:ind w:left="0"/>
        <w:contextualSpacing w:val="0"/>
        <w:jc w:val="both"/>
        <w:rPr>
          <w:rFonts w:ascii="Arial" w:hAnsi="Arial" w:cs="Arial"/>
          <w:b/>
          <w:sz w:val="24"/>
          <w:szCs w:val="24"/>
          <w:u w:val="single"/>
        </w:rPr>
      </w:pPr>
      <w:r w:rsidRPr="00793A3E">
        <w:rPr>
          <w:rFonts w:ascii="Arial" w:hAnsi="Arial" w:cs="Arial"/>
          <w:b/>
          <w:sz w:val="24"/>
          <w:szCs w:val="24"/>
          <w:u w:val="single"/>
        </w:rPr>
        <w:t xml:space="preserve">5796 </w:t>
      </w:r>
    </w:p>
    <w:p w14:paraId="52C81A41" w14:textId="77777777" w:rsidR="00490954" w:rsidRPr="00793A3E" w:rsidRDefault="00490954" w:rsidP="00F009F9">
      <w:pPr>
        <w:pStyle w:val="ListParagraph"/>
        <w:spacing w:after="0" w:line="480" w:lineRule="auto"/>
        <w:contextualSpacing w:val="0"/>
        <w:rPr>
          <w:rFonts w:ascii="Arial" w:hAnsi="Arial" w:cs="Arial"/>
          <w:sz w:val="24"/>
          <w:szCs w:val="24"/>
        </w:rPr>
      </w:pPr>
    </w:p>
    <w:p w14:paraId="61A410A5" w14:textId="6D6B5313" w:rsidR="0049095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177.</w:t>
      </w:r>
      <w:r w:rsidRPr="00793A3E">
        <w:rPr>
          <w:rFonts w:ascii="Arial" w:hAnsi="Arial" w:cs="Arial"/>
          <w:sz w:val="24"/>
          <w:szCs w:val="24"/>
        </w:rPr>
        <w:tab/>
      </w:r>
      <w:r w:rsidR="008D1A62" w:rsidRPr="00D33AC2">
        <w:rPr>
          <w:rFonts w:ascii="Arial" w:hAnsi="Arial" w:cs="Arial"/>
          <w:sz w:val="24"/>
          <w:szCs w:val="24"/>
        </w:rPr>
        <w:t xml:space="preserve">I have set out the factual matrix relevant to this fully above.  In summary applicant challenges the decision of Eskom to cancel 5796 (or its failure to make an award before the expiry of the bid validity period).  </w:t>
      </w:r>
    </w:p>
    <w:p w14:paraId="6E1F6C65" w14:textId="77777777" w:rsidR="008D1A62" w:rsidRPr="00793A3E" w:rsidRDefault="008D1A62" w:rsidP="00F009F9">
      <w:pPr>
        <w:pStyle w:val="ListParagraph"/>
        <w:spacing w:after="0" w:line="480" w:lineRule="auto"/>
        <w:contextualSpacing w:val="0"/>
        <w:jc w:val="both"/>
        <w:rPr>
          <w:rFonts w:ascii="Arial" w:hAnsi="Arial" w:cs="Arial"/>
          <w:sz w:val="24"/>
          <w:szCs w:val="24"/>
        </w:rPr>
      </w:pPr>
    </w:p>
    <w:p w14:paraId="468E5275" w14:textId="197C7BBE" w:rsidR="008D1A6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178.</w:t>
      </w:r>
      <w:r w:rsidRPr="00793A3E">
        <w:rPr>
          <w:rFonts w:ascii="Arial" w:hAnsi="Arial" w:cs="Arial"/>
          <w:sz w:val="24"/>
          <w:szCs w:val="24"/>
        </w:rPr>
        <w:tab/>
      </w:r>
      <w:r w:rsidR="008D1A62" w:rsidRPr="00D33AC2">
        <w:rPr>
          <w:rFonts w:ascii="Arial" w:hAnsi="Arial" w:cs="Arial"/>
          <w:sz w:val="24"/>
          <w:szCs w:val="24"/>
        </w:rPr>
        <w:t xml:space="preserve">It is difficult to appreciate where this argument goes, as it is perfectly clear that 5818 was then issued directly to deal with the fact that the original bid had fallen away and in respect of the identical issues.  </w:t>
      </w:r>
    </w:p>
    <w:p w14:paraId="5CFE1E68" w14:textId="77777777" w:rsidR="008D1A62" w:rsidRPr="00793A3E" w:rsidRDefault="008D1A62" w:rsidP="00F009F9">
      <w:pPr>
        <w:pStyle w:val="ListParagraph"/>
        <w:spacing w:after="0" w:line="480" w:lineRule="auto"/>
        <w:contextualSpacing w:val="0"/>
        <w:rPr>
          <w:rFonts w:ascii="Arial" w:hAnsi="Arial" w:cs="Arial"/>
          <w:sz w:val="24"/>
          <w:szCs w:val="24"/>
        </w:rPr>
      </w:pPr>
    </w:p>
    <w:p w14:paraId="1BE155B3" w14:textId="7C91DC0D" w:rsidR="0045401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179.</w:t>
      </w:r>
      <w:r w:rsidRPr="00793A3E">
        <w:rPr>
          <w:rFonts w:ascii="Arial" w:hAnsi="Arial" w:cs="Arial"/>
          <w:sz w:val="24"/>
          <w:szCs w:val="24"/>
        </w:rPr>
        <w:tab/>
      </w:r>
      <w:r w:rsidR="008D1A62" w:rsidRPr="00D33AC2">
        <w:rPr>
          <w:rFonts w:ascii="Arial" w:hAnsi="Arial" w:cs="Arial"/>
          <w:sz w:val="24"/>
          <w:szCs w:val="24"/>
        </w:rPr>
        <w:t xml:space="preserve">Eskom’s response is that the bid validity period had expired </w:t>
      </w:r>
      <w:r w:rsidR="00454015" w:rsidRPr="00D33AC2">
        <w:rPr>
          <w:rFonts w:ascii="Arial" w:hAnsi="Arial" w:cs="Arial"/>
          <w:sz w:val="24"/>
          <w:szCs w:val="24"/>
        </w:rPr>
        <w:t xml:space="preserve">but was not in fact cancelled.  In this regard the bid validity period expired on 20 August 2019, by which date there had been no award.  Whilst Eskom advised the tender would be awarded to a competitor of SKG on 29 August 2019 (which is not denied), and whilst the bid was purportedly cancelled on 10 September 2019, this seems to me to take the matter no further.  </w:t>
      </w:r>
    </w:p>
    <w:p w14:paraId="2EA1664E" w14:textId="77777777" w:rsidR="00454015" w:rsidRPr="00793A3E" w:rsidRDefault="00454015" w:rsidP="00F009F9">
      <w:pPr>
        <w:pStyle w:val="ListParagraph"/>
        <w:spacing w:after="0" w:line="480" w:lineRule="auto"/>
        <w:contextualSpacing w:val="0"/>
        <w:rPr>
          <w:rFonts w:ascii="Arial" w:hAnsi="Arial" w:cs="Arial"/>
          <w:sz w:val="24"/>
          <w:szCs w:val="24"/>
        </w:rPr>
      </w:pPr>
    </w:p>
    <w:p w14:paraId="00DE939C" w14:textId="2A999040" w:rsidR="0045401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180.</w:t>
      </w:r>
      <w:r w:rsidRPr="00793A3E">
        <w:rPr>
          <w:rFonts w:ascii="Arial" w:hAnsi="Arial" w:cs="Arial"/>
          <w:sz w:val="24"/>
          <w:szCs w:val="24"/>
        </w:rPr>
        <w:tab/>
      </w:r>
      <w:r w:rsidR="00454015" w:rsidRPr="00D33AC2">
        <w:rPr>
          <w:rFonts w:ascii="Arial" w:hAnsi="Arial" w:cs="Arial"/>
          <w:sz w:val="24"/>
          <w:szCs w:val="24"/>
        </w:rPr>
        <w:t xml:space="preserve">Applicant contends that in fact Eskom took a decision to cancel 5796 giving effect thereto on 10 September 2019.  </w:t>
      </w:r>
    </w:p>
    <w:p w14:paraId="75D16FE8" w14:textId="77777777" w:rsidR="00454015" w:rsidRPr="00793A3E" w:rsidRDefault="00454015" w:rsidP="00F009F9">
      <w:pPr>
        <w:pStyle w:val="ListParagraph"/>
        <w:spacing w:after="0" w:line="480" w:lineRule="auto"/>
        <w:contextualSpacing w:val="0"/>
        <w:rPr>
          <w:rFonts w:ascii="Arial" w:hAnsi="Arial" w:cs="Arial"/>
          <w:sz w:val="24"/>
          <w:szCs w:val="24"/>
        </w:rPr>
      </w:pPr>
    </w:p>
    <w:p w14:paraId="7EBF05E0" w14:textId="4F419B4D" w:rsidR="0045401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181.</w:t>
      </w:r>
      <w:r w:rsidRPr="00793A3E">
        <w:rPr>
          <w:rFonts w:ascii="Arial" w:hAnsi="Arial" w:cs="Arial"/>
          <w:sz w:val="24"/>
          <w:szCs w:val="24"/>
        </w:rPr>
        <w:tab/>
      </w:r>
      <w:r w:rsidR="00454015" w:rsidRPr="00D33AC2">
        <w:rPr>
          <w:rFonts w:ascii="Arial" w:hAnsi="Arial" w:cs="Arial"/>
          <w:sz w:val="24"/>
          <w:szCs w:val="24"/>
        </w:rPr>
        <w:t xml:space="preserve">In </w:t>
      </w:r>
      <w:r w:rsidR="00BC48B4" w:rsidRPr="00D33AC2">
        <w:rPr>
          <w:rFonts w:ascii="Arial" w:hAnsi="Arial" w:cs="Arial"/>
          <w:sz w:val="24"/>
          <w:szCs w:val="24"/>
        </w:rPr>
        <w:t>fact,</w:t>
      </w:r>
      <w:r w:rsidR="00454015" w:rsidRPr="00D33AC2">
        <w:rPr>
          <w:rFonts w:ascii="Arial" w:hAnsi="Arial" w:cs="Arial"/>
          <w:sz w:val="24"/>
          <w:szCs w:val="24"/>
        </w:rPr>
        <w:t xml:space="preserve"> the letter from Eskom on the 9 September 2019 stated:</w:t>
      </w:r>
    </w:p>
    <w:p w14:paraId="01514BA7" w14:textId="77777777" w:rsidR="00454015" w:rsidRPr="00793A3E" w:rsidRDefault="00454015" w:rsidP="00F009F9">
      <w:pPr>
        <w:pStyle w:val="ListParagraph"/>
        <w:spacing w:after="0" w:line="480" w:lineRule="auto"/>
        <w:contextualSpacing w:val="0"/>
        <w:rPr>
          <w:rFonts w:ascii="Arial" w:hAnsi="Arial" w:cs="Arial"/>
          <w:sz w:val="24"/>
          <w:szCs w:val="24"/>
        </w:rPr>
      </w:pPr>
    </w:p>
    <w:p w14:paraId="26D00117" w14:textId="77777777" w:rsidR="00454015" w:rsidRPr="00F009F9" w:rsidRDefault="00454015" w:rsidP="00F009F9">
      <w:pPr>
        <w:pStyle w:val="ListParagraph"/>
        <w:spacing w:after="0" w:line="360" w:lineRule="auto"/>
        <w:contextualSpacing w:val="0"/>
        <w:jc w:val="both"/>
        <w:rPr>
          <w:rFonts w:ascii="Arial" w:hAnsi="Arial" w:cs="Arial"/>
        </w:rPr>
      </w:pPr>
      <w:r w:rsidRPr="00F009F9">
        <w:rPr>
          <w:rFonts w:ascii="Arial" w:hAnsi="Arial" w:cs="Arial"/>
        </w:rPr>
        <w:lastRenderedPageBreak/>
        <w:t>“</w:t>
      </w:r>
      <w:r w:rsidRPr="00F009F9">
        <w:rPr>
          <w:rFonts w:ascii="Arial" w:hAnsi="Arial" w:cs="Arial"/>
          <w:i/>
        </w:rPr>
        <w:t>Please be informed that the adjudication process of this bid has not been concluded as such and as a result the tender validity of the submissions have expired.  This enquiry will be cancelled and re-issued.”</w:t>
      </w:r>
    </w:p>
    <w:p w14:paraId="14C68469" w14:textId="77777777" w:rsidR="00454015" w:rsidRPr="00793A3E" w:rsidRDefault="00454015" w:rsidP="00F009F9">
      <w:pPr>
        <w:pStyle w:val="ListParagraph"/>
        <w:spacing w:after="0" w:line="480" w:lineRule="auto"/>
        <w:contextualSpacing w:val="0"/>
        <w:rPr>
          <w:rFonts w:ascii="Arial" w:hAnsi="Arial" w:cs="Arial"/>
          <w:sz w:val="24"/>
          <w:szCs w:val="24"/>
        </w:rPr>
      </w:pPr>
    </w:p>
    <w:p w14:paraId="1ED25FD7" w14:textId="377AFE9D" w:rsidR="0045401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182.</w:t>
      </w:r>
      <w:r w:rsidRPr="00793A3E">
        <w:rPr>
          <w:rFonts w:ascii="Arial" w:hAnsi="Arial" w:cs="Arial"/>
          <w:sz w:val="24"/>
          <w:szCs w:val="24"/>
        </w:rPr>
        <w:tab/>
      </w:r>
      <w:r w:rsidR="00454015" w:rsidRPr="00D33AC2">
        <w:rPr>
          <w:rFonts w:ascii="Arial" w:hAnsi="Arial" w:cs="Arial"/>
          <w:sz w:val="24"/>
          <w:szCs w:val="24"/>
        </w:rPr>
        <w:t xml:space="preserve"> On 13 September 2019 Eskom wrote “</w:t>
      </w:r>
      <w:r w:rsidR="00454015" w:rsidRPr="00D33AC2">
        <w:rPr>
          <w:rFonts w:ascii="Arial" w:hAnsi="Arial" w:cs="Arial"/>
          <w:i/>
          <w:sz w:val="24"/>
          <w:szCs w:val="24"/>
        </w:rPr>
        <w:t>the tender process was officially cancelled on 10 September 2019</w:t>
      </w:r>
      <w:r w:rsidR="00454015" w:rsidRPr="00D33AC2">
        <w:rPr>
          <w:rFonts w:ascii="Arial" w:hAnsi="Arial" w:cs="Arial"/>
          <w:sz w:val="24"/>
          <w:szCs w:val="24"/>
        </w:rPr>
        <w:t xml:space="preserve">.  </w:t>
      </w:r>
      <w:r w:rsidR="00454015" w:rsidRPr="00D33AC2">
        <w:rPr>
          <w:rFonts w:ascii="Arial" w:hAnsi="Arial" w:cs="Arial"/>
          <w:i/>
          <w:sz w:val="24"/>
          <w:szCs w:val="24"/>
        </w:rPr>
        <w:t>The cancellation was published on the Eskom e-tendering portal …</w:t>
      </w:r>
      <w:r w:rsidR="00454015" w:rsidRPr="00D33AC2">
        <w:rPr>
          <w:rFonts w:ascii="Arial" w:hAnsi="Arial" w:cs="Arial"/>
          <w:sz w:val="24"/>
          <w:szCs w:val="24"/>
        </w:rPr>
        <w:t xml:space="preserve">”.  </w:t>
      </w:r>
    </w:p>
    <w:p w14:paraId="07B372F8" w14:textId="77777777" w:rsidR="00454015" w:rsidRPr="00793A3E" w:rsidRDefault="00454015" w:rsidP="00F009F9">
      <w:pPr>
        <w:pStyle w:val="ListParagraph"/>
        <w:spacing w:after="0" w:line="480" w:lineRule="auto"/>
        <w:contextualSpacing w:val="0"/>
        <w:jc w:val="both"/>
        <w:rPr>
          <w:rFonts w:ascii="Arial" w:hAnsi="Arial" w:cs="Arial"/>
          <w:sz w:val="24"/>
          <w:szCs w:val="24"/>
        </w:rPr>
      </w:pPr>
    </w:p>
    <w:p w14:paraId="0A4E443D" w14:textId="7094E141" w:rsidR="0045401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183.</w:t>
      </w:r>
      <w:r w:rsidRPr="00793A3E">
        <w:rPr>
          <w:rFonts w:ascii="Arial" w:hAnsi="Arial" w:cs="Arial"/>
          <w:sz w:val="24"/>
          <w:szCs w:val="24"/>
        </w:rPr>
        <w:tab/>
      </w:r>
      <w:r w:rsidR="00454015" w:rsidRPr="00D33AC2">
        <w:rPr>
          <w:rFonts w:ascii="Arial" w:hAnsi="Arial" w:cs="Arial"/>
          <w:sz w:val="24"/>
          <w:szCs w:val="24"/>
        </w:rPr>
        <w:t>It seems to me to make no difference what the letter said, as a matter of fact the tender having expired after which it could not be awarded.  To argue that the cancellation was unlawful then and should be set aside, is flawed for obvious reasons.</w:t>
      </w:r>
    </w:p>
    <w:p w14:paraId="779C9376" w14:textId="77777777" w:rsidR="00454015" w:rsidRPr="00793A3E" w:rsidRDefault="00454015" w:rsidP="00F009F9">
      <w:pPr>
        <w:pStyle w:val="ListParagraph"/>
        <w:spacing w:after="0" w:line="480" w:lineRule="auto"/>
        <w:contextualSpacing w:val="0"/>
        <w:rPr>
          <w:rFonts w:ascii="Arial" w:hAnsi="Arial" w:cs="Arial"/>
          <w:i/>
          <w:sz w:val="24"/>
          <w:szCs w:val="24"/>
        </w:rPr>
      </w:pPr>
    </w:p>
    <w:p w14:paraId="4CD2205F" w14:textId="2B906B1E" w:rsidR="008D1A62"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184.</w:t>
      </w:r>
      <w:r w:rsidRPr="00793A3E">
        <w:rPr>
          <w:rFonts w:ascii="Arial" w:hAnsi="Arial" w:cs="Arial"/>
          <w:sz w:val="24"/>
          <w:szCs w:val="24"/>
        </w:rPr>
        <w:tab/>
      </w:r>
      <w:r w:rsidR="00454015" w:rsidRPr="00D33AC2">
        <w:rPr>
          <w:rFonts w:ascii="Arial" w:hAnsi="Arial" w:cs="Arial"/>
          <w:sz w:val="24"/>
          <w:szCs w:val="24"/>
        </w:rPr>
        <w:t xml:space="preserve">In </w:t>
      </w:r>
      <w:r w:rsidR="00454015" w:rsidRPr="00D33AC2">
        <w:rPr>
          <w:rFonts w:ascii="Arial" w:hAnsi="Arial" w:cs="Arial"/>
          <w:b/>
          <w:sz w:val="24"/>
          <w:szCs w:val="24"/>
        </w:rPr>
        <w:t>Joubert Galpin Searle Inc and others v Road Accident Fund and others</w:t>
      </w:r>
      <w:r w:rsidR="00454015" w:rsidRPr="00793A3E">
        <w:rPr>
          <w:rStyle w:val="FootnoteReference"/>
          <w:rFonts w:ascii="Arial" w:hAnsi="Arial" w:cs="Arial"/>
          <w:b/>
          <w:sz w:val="24"/>
          <w:szCs w:val="24"/>
        </w:rPr>
        <w:footnoteReference w:id="33"/>
      </w:r>
      <w:r w:rsidR="00454015" w:rsidRPr="00D33AC2">
        <w:rPr>
          <w:rFonts w:ascii="Arial" w:hAnsi="Arial" w:cs="Arial"/>
          <w:sz w:val="24"/>
          <w:szCs w:val="24"/>
        </w:rPr>
        <w:t xml:space="preserve"> it was made clear that by the time a tender validity period has expired there is nothing to extend, the process having been concluded albeit unsuccessfully.  It is thus that the tender authority had no power to award the tender once the validity period had expired and in fact had no power to extend the period relevant to that matter.</w:t>
      </w:r>
      <w:r w:rsidR="00454015" w:rsidRPr="00793A3E">
        <w:rPr>
          <w:rStyle w:val="FootnoteReference"/>
          <w:rFonts w:ascii="Arial" w:hAnsi="Arial" w:cs="Arial"/>
          <w:sz w:val="24"/>
          <w:szCs w:val="24"/>
        </w:rPr>
        <w:footnoteReference w:id="34"/>
      </w:r>
      <w:r w:rsidR="00454015" w:rsidRPr="00D33AC2">
        <w:rPr>
          <w:rFonts w:ascii="Arial" w:hAnsi="Arial" w:cs="Arial"/>
          <w:sz w:val="24"/>
          <w:szCs w:val="24"/>
        </w:rPr>
        <w:t xml:space="preserve">  </w:t>
      </w:r>
    </w:p>
    <w:p w14:paraId="3430C08B" w14:textId="77777777" w:rsidR="00454015" w:rsidRPr="00793A3E" w:rsidRDefault="00454015" w:rsidP="00F009F9">
      <w:pPr>
        <w:pStyle w:val="ListParagraph"/>
        <w:spacing w:after="0" w:line="480" w:lineRule="auto"/>
        <w:contextualSpacing w:val="0"/>
        <w:rPr>
          <w:rFonts w:ascii="Arial" w:hAnsi="Arial" w:cs="Arial"/>
          <w:sz w:val="24"/>
          <w:szCs w:val="24"/>
        </w:rPr>
      </w:pPr>
    </w:p>
    <w:p w14:paraId="4D575AC7" w14:textId="5743BAC9" w:rsidR="00454015"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185.</w:t>
      </w:r>
      <w:r w:rsidRPr="00793A3E">
        <w:rPr>
          <w:rFonts w:ascii="Arial" w:hAnsi="Arial" w:cs="Arial"/>
          <w:sz w:val="24"/>
          <w:szCs w:val="24"/>
        </w:rPr>
        <w:tab/>
      </w:r>
      <w:r w:rsidR="00454015" w:rsidRPr="00D33AC2">
        <w:rPr>
          <w:rFonts w:ascii="Arial" w:hAnsi="Arial" w:cs="Arial"/>
          <w:sz w:val="24"/>
          <w:szCs w:val="24"/>
        </w:rPr>
        <w:t>In my view the attempt to review this tender must fail</w:t>
      </w:r>
      <w:r w:rsidR="00090876" w:rsidRPr="00D33AC2">
        <w:rPr>
          <w:rFonts w:ascii="Arial" w:hAnsi="Arial" w:cs="Arial"/>
          <w:sz w:val="24"/>
          <w:szCs w:val="24"/>
        </w:rPr>
        <w:t>.</w:t>
      </w:r>
    </w:p>
    <w:p w14:paraId="2B426CAB" w14:textId="77777777" w:rsidR="00090876" w:rsidRPr="00793A3E" w:rsidRDefault="00090876" w:rsidP="00F009F9">
      <w:pPr>
        <w:pStyle w:val="ListParagraph"/>
        <w:spacing w:after="0" w:line="480" w:lineRule="auto"/>
        <w:contextualSpacing w:val="0"/>
        <w:jc w:val="both"/>
        <w:rPr>
          <w:rFonts w:ascii="Arial" w:hAnsi="Arial" w:cs="Arial"/>
          <w:sz w:val="24"/>
          <w:szCs w:val="24"/>
        </w:rPr>
      </w:pPr>
    </w:p>
    <w:p w14:paraId="2E4FB6F0" w14:textId="77777777" w:rsidR="002D0FFE" w:rsidRPr="00793A3E" w:rsidRDefault="002D0FFE" w:rsidP="00F009F9">
      <w:pPr>
        <w:pStyle w:val="ListParagraph"/>
        <w:spacing w:after="0" w:line="480" w:lineRule="auto"/>
        <w:ind w:left="0"/>
        <w:contextualSpacing w:val="0"/>
        <w:jc w:val="both"/>
        <w:rPr>
          <w:rFonts w:ascii="Arial" w:hAnsi="Arial" w:cs="Arial"/>
          <w:b/>
          <w:sz w:val="24"/>
          <w:szCs w:val="24"/>
          <w:u w:val="single"/>
        </w:rPr>
      </w:pPr>
      <w:r w:rsidRPr="00793A3E">
        <w:rPr>
          <w:rFonts w:ascii="Arial" w:hAnsi="Arial" w:cs="Arial"/>
          <w:b/>
          <w:sz w:val="24"/>
          <w:szCs w:val="24"/>
          <w:u w:val="single"/>
        </w:rPr>
        <w:t>5817</w:t>
      </w:r>
    </w:p>
    <w:p w14:paraId="4329CE5C" w14:textId="77777777" w:rsidR="002D0FFE" w:rsidRPr="00793A3E" w:rsidRDefault="002D0FFE" w:rsidP="00F009F9">
      <w:pPr>
        <w:pStyle w:val="ListParagraph"/>
        <w:spacing w:after="0" w:line="480" w:lineRule="auto"/>
        <w:ind w:left="0"/>
        <w:contextualSpacing w:val="0"/>
        <w:jc w:val="both"/>
        <w:rPr>
          <w:rFonts w:ascii="Arial" w:hAnsi="Arial" w:cs="Arial"/>
          <w:b/>
          <w:sz w:val="24"/>
          <w:szCs w:val="24"/>
          <w:u w:val="single"/>
        </w:rPr>
      </w:pPr>
    </w:p>
    <w:p w14:paraId="35DE699A" w14:textId="45F36463" w:rsidR="002D0FFE"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186.</w:t>
      </w:r>
      <w:r w:rsidRPr="00793A3E">
        <w:rPr>
          <w:rFonts w:ascii="Arial" w:hAnsi="Arial" w:cs="Arial"/>
          <w:sz w:val="24"/>
          <w:szCs w:val="24"/>
        </w:rPr>
        <w:tab/>
      </w:r>
      <w:r w:rsidR="002D0FFE" w:rsidRPr="00D33AC2">
        <w:rPr>
          <w:rFonts w:ascii="Arial" w:hAnsi="Arial" w:cs="Arial"/>
          <w:sz w:val="24"/>
          <w:szCs w:val="24"/>
        </w:rPr>
        <w:t xml:space="preserve">Again, I have set out the time line and relevant issues above. </w:t>
      </w:r>
    </w:p>
    <w:p w14:paraId="30860C0B" w14:textId="77777777" w:rsidR="002D0FFE" w:rsidRPr="00793A3E" w:rsidRDefault="002D0FFE" w:rsidP="00F009F9">
      <w:pPr>
        <w:pStyle w:val="ListParagraph"/>
        <w:spacing w:after="0" w:line="480" w:lineRule="auto"/>
        <w:contextualSpacing w:val="0"/>
        <w:jc w:val="both"/>
        <w:rPr>
          <w:rFonts w:ascii="Arial" w:hAnsi="Arial" w:cs="Arial"/>
          <w:sz w:val="24"/>
          <w:szCs w:val="24"/>
        </w:rPr>
      </w:pPr>
    </w:p>
    <w:p w14:paraId="2188C655" w14:textId="0AB74623" w:rsidR="002D0FFE"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187.</w:t>
      </w:r>
      <w:r w:rsidRPr="00793A3E">
        <w:rPr>
          <w:rFonts w:ascii="Arial" w:hAnsi="Arial" w:cs="Arial"/>
          <w:sz w:val="24"/>
          <w:szCs w:val="24"/>
        </w:rPr>
        <w:tab/>
      </w:r>
      <w:r w:rsidR="002D0FFE" w:rsidRPr="00D33AC2">
        <w:rPr>
          <w:rFonts w:ascii="Arial" w:hAnsi="Arial" w:cs="Arial"/>
          <w:sz w:val="24"/>
          <w:szCs w:val="24"/>
        </w:rPr>
        <w:t xml:space="preserve">In short, the bid validity period in this matter would have been 6 January 2020, Eskom advising SKG that the bid would be cancelled.  In </w:t>
      </w:r>
      <w:r w:rsidR="00BC48B4" w:rsidRPr="00D33AC2">
        <w:rPr>
          <w:rFonts w:ascii="Arial" w:hAnsi="Arial" w:cs="Arial"/>
          <w:sz w:val="24"/>
          <w:szCs w:val="24"/>
        </w:rPr>
        <w:t>fact,</w:t>
      </w:r>
      <w:r w:rsidR="002D0FFE" w:rsidRPr="00D33AC2">
        <w:rPr>
          <w:rFonts w:ascii="Arial" w:hAnsi="Arial" w:cs="Arial"/>
          <w:sz w:val="24"/>
          <w:szCs w:val="24"/>
        </w:rPr>
        <w:t xml:space="preserve"> Eskom addressed a letter to SKG on 9 January 2020 stating that “</w:t>
      </w:r>
      <w:r w:rsidR="002D0FFE" w:rsidRPr="00D33AC2">
        <w:rPr>
          <w:rFonts w:ascii="Arial" w:hAnsi="Arial" w:cs="Arial"/>
          <w:i/>
          <w:sz w:val="24"/>
          <w:szCs w:val="24"/>
        </w:rPr>
        <w:t>After careful deliberation, and due to a re-evaluation of the office space required to accommodate staff that are currently located at Palm Square, has been undertaken by the ERE Portfolio and Operations Team.</w:t>
      </w:r>
      <w:r w:rsidR="002D0FFE" w:rsidRPr="00D33AC2">
        <w:rPr>
          <w:rFonts w:ascii="Arial" w:hAnsi="Arial" w:cs="Arial"/>
          <w:sz w:val="24"/>
          <w:szCs w:val="24"/>
        </w:rPr>
        <w:t xml:space="preserve">”  It was then said that the subject matter of the tender was no longer required and that the invitation to tender was withdrawn.  Applicant challenges this on the basis that the decision was not made in accordance with regulation 13 of the procurement regulations 2017.   </w:t>
      </w:r>
    </w:p>
    <w:p w14:paraId="172D7789" w14:textId="77777777" w:rsidR="002D0FFE" w:rsidRPr="00793A3E" w:rsidRDefault="002D0FFE" w:rsidP="00F009F9">
      <w:pPr>
        <w:pStyle w:val="ListParagraph"/>
        <w:spacing w:after="0" w:line="480" w:lineRule="auto"/>
        <w:contextualSpacing w:val="0"/>
        <w:rPr>
          <w:rFonts w:ascii="Arial" w:hAnsi="Arial" w:cs="Arial"/>
          <w:sz w:val="24"/>
          <w:szCs w:val="24"/>
        </w:rPr>
      </w:pPr>
    </w:p>
    <w:p w14:paraId="464F6F47" w14:textId="26534443" w:rsidR="002D0FFE"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188.</w:t>
      </w:r>
      <w:r w:rsidRPr="00793A3E">
        <w:rPr>
          <w:rFonts w:ascii="Arial" w:hAnsi="Arial" w:cs="Arial"/>
          <w:sz w:val="24"/>
          <w:szCs w:val="24"/>
        </w:rPr>
        <w:tab/>
      </w:r>
      <w:r w:rsidR="002D0FFE" w:rsidRPr="00D33AC2">
        <w:rPr>
          <w:rFonts w:ascii="Arial" w:hAnsi="Arial" w:cs="Arial"/>
          <w:sz w:val="24"/>
          <w:szCs w:val="24"/>
        </w:rPr>
        <w:t>Eskom contends that the decision to cancel was indeed made in accordance with the regulation, SKG questioning the sudden change in circumstances.  Eskom also contends that the validity period in any event had expired before it was cancelled.  To meet this argument applicant contends that the conversation with Eskom on 12 December 2019 contained an</w:t>
      </w:r>
      <w:r w:rsidR="00D86B6A" w:rsidRPr="00D33AC2">
        <w:rPr>
          <w:rFonts w:ascii="Arial" w:hAnsi="Arial" w:cs="Arial"/>
          <w:sz w:val="24"/>
          <w:szCs w:val="24"/>
        </w:rPr>
        <w:t>d</w:t>
      </w:r>
      <w:r w:rsidR="002D0FFE" w:rsidRPr="00D33AC2">
        <w:rPr>
          <w:rFonts w:ascii="Arial" w:hAnsi="Arial" w:cs="Arial"/>
          <w:sz w:val="24"/>
          <w:szCs w:val="24"/>
        </w:rPr>
        <w:t xml:space="preserve"> advi</w:t>
      </w:r>
      <w:r w:rsidR="00D86B6A" w:rsidRPr="00D33AC2">
        <w:rPr>
          <w:rFonts w:ascii="Arial" w:hAnsi="Arial" w:cs="Arial"/>
          <w:sz w:val="24"/>
          <w:szCs w:val="24"/>
        </w:rPr>
        <w:t>s</w:t>
      </w:r>
      <w:r w:rsidR="002D0FFE" w:rsidRPr="00D33AC2">
        <w:rPr>
          <w:rFonts w:ascii="Arial" w:hAnsi="Arial" w:cs="Arial"/>
          <w:sz w:val="24"/>
          <w:szCs w:val="24"/>
        </w:rPr>
        <w:t>e</w:t>
      </w:r>
      <w:r w:rsidR="0090737C" w:rsidRPr="00D33AC2">
        <w:rPr>
          <w:rFonts w:ascii="Arial" w:hAnsi="Arial" w:cs="Arial"/>
          <w:sz w:val="24"/>
          <w:szCs w:val="24"/>
        </w:rPr>
        <w:t>d</w:t>
      </w:r>
      <w:r w:rsidR="00D86B6A" w:rsidRPr="00D33AC2">
        <w:rPr>
          <w:rFonts w:ascii="Arial" w:hAnsi="Arial" w:cs="Arial"/>
          <w:sz w:val="24"/>
          <w:szCs w:val="24"/>
        </w:rPr>
        <w:t xml:space="preserve"> that the bid would be cancelled and that this decision had then already been taken.  </w:t>
      </w:r>
      <w:r w:rsidR="002D0FFE" w:rsidRPr="00D33AC2">
        <w:rPr>
          <w:rFonts w:ascii="Arial" w:hAnsi="Arial" w:cs="Arial"/>
          <w:sz w:val="24"/>
          <w:szCs w:val="24"/>
        </w:rPr>
        <w:t xml:space="preserve">  </w:t>
      </w:r>
    </w:p>
    <w:p w14:paraId="706CCC95" w14:textId="77777777" w:rsidR="00BA2498" w:rsidRPr="00793A3E" w:rsidRDefault="00BA2498" w:rsidP="00F009F9">
      <w:pPr>
        <w:pStyle w:val="ListParagraph"/>
        <w:spacing w:after="0" w:line="480" w:lineRule="auto"/>
        <w:contextualSpacing w:val="0"/>
        <w:rPr>
          <w:rFonts w:ascii="Arial" w:hAnsi="Arial" w:cs="Arial"/>
          <w:sz w:val="24"/>
          <w:szCs w:val="24"/>
        </w:rPr>
      </w:pPr>
    </w:p>
    <w:p w14:paraId="18F16F82" w14:textId="54B4CC56" w:rsidR="00BA2498"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189.</w:t>
      </w:r>
      <w:r w:rsidRPr="00793A3E">
        <w:rPr>
          <w:rFonts w:ascii="Arial" w:hAnsi="Arial" w:cs="Arial"/>
          <w:sz w:val="24"/>
          <w:szCs w:val="24"/>
        </w:rPr>
        <w:tab/>
      </w:r>
      <w:r w:rsidR="00BA2498" w:rsidRPr="00D33AC2">
        <w:rPr>
          <w:rFonts w:ascii="Arial" w:hAnsi="Arial" w:cs="Arial"/>
          <w:sz w:val="24"/>
          <w:szCs w:val="24"/>
        </w:rPr>
        <w:t xml:space="preserve">This review must be dismissed for one or more of the following reasons.  </w:t>
      </w:r>
    </w:p>
    <w:p w14:paraId="014F9FFA" w14:textId="77777777" w:rsidR="00BA2498" w:rsidRPr="00793A3E" w:rsidRDefault="00BA2498" w:rsidP="00F009F9">
      <w:pPr>
        <w:pStyle w:val="ListParagraph"/>
        <w:spacing w:after="0" w:line="480" w:lineRule="auto"/>
        <w:contextualSpacing w:val="0"/>
        <w:rPr>
          <w:rFonts w:ascii="Arial" w:hAnsi="Arial" w:cs="Arial"/>
          <w:sz w:val="24"/>
          <w:szCs w:val="24"/>
        </w:rPr>
      </w:pPr>
    </w:p>
    <w:p w14:paraId="66B8F3D0" w14:textId="3CF1D516" w:rsidR="00BA2498"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190.</w:t>
      </w:r>
      <w:r w:rsidRPr="00793A3E">
        <w:rPr>
          <w:rFonts w:ascii="Arial" w:hAnsi="Arial" w:cs="Arial"/>
          <w:sz w:val="24"/>
          <w:szCs w:val="24"/>
        </w:rPr>
        <w:tab/>
      </w:r>
      <w:r w:rsidR="00BA2498" w:rsidRPr="00D33AC2">
        <w:rPr>
          <w:rFonts w:ascii="Arial" w:hAnsi="Arial" w:cs="Arial"/>
          <w:sz w:val="24"/>
          <w:szCs w:val="24"/>
        </w:rPr>
        <w:t xml:space="preserve">On the same reasoning as applies to 5796, and having regard to the fact that all clarification questions and additional information sought during the tendering process had to be in writing, it seems to me, that the oral conversation relied upon on 12 December 2019 is irrelevant.  </w:t>
      </w:r>
    </w:p>
    <w:p w14:paraId="606E6308" w14:textId="77777777" w:rsidR="00BA2498" w:rsidRPr="00793A3E" w:rsidRDefault="00BA2498" w:rsidP="00F009F9">
      <w:pPr>
        <w:pStyle w:val="ListParagraph"/>
        <w:spacing w:after="0" w:line="480" w:lineRule="auto"/>
        <w:contextualSpacing w:val="0"/>
        <w:rPr>
          <w:rFonts w:ascii="Arial" w:hAnsi="Arial" w:cs="Arial"/>
          <w:sz w:val="24"/>
          <w:szCs w:val="24"/>
        </w:rPr>
      </w:pPr>
    </w:p>
    <w:p w14:paraId="05DA0180" w14:textId="2F448920" w:rsidR="00BA2498"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lastRenderedPageBreak/>
        <w:t>191.</w:t>
      </w:r>
      <w:r w:rsidRPr="00793A3E">
        <w:rPr>
          <w:rFonts w:ascii="Arial" w:hAnsi="Arial" w:cs="Arial"/>
          <w:sz w:val="24"/>
          <w:szCs w:val="24"/>
        </w:rPr>
        <w:tab/>
      </w:r>
      <w:r w:rsidR="00BA2498" w:rsidRPr="00D33AC2">
        <w:rPr>
          <w:rFonts w:ascii="Arial" w:hAnsi="Arial" w:cs="Arial"/>
          <w:sz w:val="24"/>
          <w:szCs w:val="24"/>
        </w:rPr>
        <w:t xml:space="preserve">On the correspondence, the tender expired prior to notice of cancellation.  </w:t>
      </w:r>
    </w:p>
    <w:p w14:paraId="17784BF1" w14:textId="77777777" w:rsidR="00BA2498" w:rsidRPr="00793A3E" w:rsidRDefault="00BA2498" w:rsidP="00F009F9">
      <w:pPr>
        <w:pStyle w:val="ListParagraph"/>
        <w:spacing w:after="0" w:line="480" w:lineRule="auto"/>
        <w:contextualSpacing w:val="0"/>
        <w:rPr>
          <w:rFonts w:ascii="Arial" w:hAnsi="Arial" w:cs="Arial"/>
          <w:sz w:val="24"/>
          <w:szCs w:val="24"/>
        </w:rPr>
      </w:pPr>
    </w:p>
    <w:p w14:paraId="7D06181E" w14:textId="56C0B9F7" w:rsidR="00BA2498"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192.</w:t>
      </w:r>
      <w:r w:rsidRPr="00793A3E">
        <w:rPr>
          <w:rFonts w:ascii="Arial" w:hAnsi="Arial" w:cs="Arial"/>
          <w:sz w:val="24"/>
          <w:szCs w:val="24"/>
        </w:rPr>
        <w:tab/>
      </w:r>
      <w:r w:rsidR="00BA2498" w:rsidRPr="00D33AC2">
        <w:rPr>
          <w:rFonts w:ascii="Arial" w:hAnsi="Arial" w:cs="Arial"/>
          <w:sz w:val="24"/>
          <w:szCs w:val="24"/>
        </w:rPr>
        <w:t xml:space="preserve">In any event, if I am incorrect in this, and in fact the tender decision to cancel was taken prior to the expiry date or even on 9 January 2020, the decision to cancel a tender, and whether it constitutes administrative action and is reviewable in terms of PAJA, was considered by the Supreme Court of Appeal in </w:t>
      </w:r>
      <w:r w:rsidR="00BA2498" w:rsidRPr="00D33AC2">
        <w:rPr>
          <w:rFonts w:ascii="Arial" w:hAnsi="Arial" w:cs="Arial"/>
          <w:b/>
          <w:sz w:val="24"/>
          <w:szCs w:val="24"/>
        </w:rPr>
        <w:t>Tshwane City and others v Nambiti Technologies (Pty) Ltd.</w:t>
      </w:r>
      <w:r w:rsidR="00BA2498" w:rsidRPr="00793A3E">
        <w:rPr>
          <w:rStyle w:val="FootnoteReference"/>
          <w:rFonts w:ascii="Arial" w:hAnsi="Arial" w:cs="Arial"/>
          <w:b/>
          <w:sz w:val="24"/>
          <w:szCs w:val="24"/>
        </w:rPr>
        <w:footnoteReference w:id="35"/>
      </w:r>
      <w:r w:rsidR="00BA2498" w:rsidRPr="00D33AC2">
        <w:rPr>
          <w:rFonts w:ascii="Arial" w:hAnsi="Arial" w:cs="Arial"/>
          <w:b/>
          <w:sz w:val="24"/>
          <w:szCs w:val="24"/>
        </w:rPr>
        <w:t xml:space="preserve">  </w:t>
      </w:r>
      <w:r w:rsidR="00BA2498" w:rsidRPr="00D33AC2">
        <w:rPr>
          <w:rFonts w:ascii="Arial" w:hAnsi="Arial" w:cs="Arial"/>
          <w:sz w:val="24"/>
          <w:szCs w:val="24"/>
        </w:rPr>
        <w:t xml:space="preserve">That judgment in short at paragraphs referred to indicated that it would be an extremely serious matter for a court to intervene in decisions of the carefully chosen programme of government.  To do so by compelling an organ of state to enter contracts and acquire goods and services that it has determined not to acquire, or at least not to acquire on the terms of the specific tender, is something that, if open to a court to do at all, should only be done in extreme circumstances.  </w:t>
      </w:r>
    </w:p>
    <w:p w14:paraId="6DD8203F" w14:textId="77777777" w:rsidR="00BA2498" w:rsidRPr="00793A3E" w:rsidRDefault="00BA2498" w:rsidP="00F009F9">
      <w:pPr>
        <w:pStyle w:val="ListParagraph"/>
        <w:spacing w:after="0" w:line="480" w:lineRule="auto"/>
        <w:contextualSpacing w:val="0"/>
        <w:rPr>
          <w:rFonts w:ascii="Arial" w:hAnsi="Arial" w:cs="Arial"/>
          <w:sz w:val="24"/>
          <w:szCs w:val="24"/>
        </w:rPr>
      </w:pPr>
    </w:p>
    <w:p w14:paraId="1759F9B7" w14:textId="3EC1AA0F" w:rsidR="00BA2498"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193.</w:t>
      </w:r>
      <w:r w:rsidRPr="00793A3E">
        <w:rPr>
          <w:rFonts w:ascii="Arial" w:hAnsi="Arial" w:cs="Arial"/>
          <w:sz w:val="24"/>
          <w:szCs w:val="24"/>
        </w:rPr>
        <w:tab/>
      </w:r>
      <w:r w:rsidR="00BA2498" w:rsidRPr="00D33AC2">
        <w:rPr>
          <w:rFonts w:ascii="Arial" w:hAnsi="Arial" w:cs="Arial"/>
          <w:sz w:val="24"/>
          <w:szCs w:val="24"/>
        </w:rPr>
        <w:t xml:space="preserve">In this matter it seems that there are no such extreme circumstances, nor am I persuaded that this court should intervene.  The review on this basis must similarly fail.  </w:t>
      </w:r>
    </w:p>
    <w:p w14:paraId="71CD9973" w14:textId="77777777" w:rsidR="00490954" w:rsidRPr="00793A3E" w:rsidRDefault="00490954" w:rsidP="00F009F9">
      <w:pPr>
        <w:pStyle w:val="ListParagraph"/>
        <w:spacing w:after="0" w:line="480" w:lineRule="auto"/>
        <w:contextualSpacing w:val="0"/>
        <w:rPr>
          <w:rFonts w:ascii="Arial" w:hAnsi="Arial" w:cs="Arial"/>
          <w:sz w:val="24"/>
          <w:szCs w:val="24"/>
        </w:rPr>
      </w:pPr>
    </w:p>
    <w:p w14:paraId="7784C4EA" w14:textId="77777777" w:rsidR="00490954" w:rsidRPr="00793A3E" w:rsidRDefault="00490954" w:rsidP="00F009F9">
      <w:pPr>
        <w:pStyle w:val="ListParagraph"/>
        <w:spacing w:after="0" w:line="480" w:lineRule="auto"/>
        <w:ind w:left="0"/>
        <w:contextualSpacing w:val="0"/>
        <w:jc w:val="both"/>
        <w:rPr>
          <w:rFonts w:ascii="Arial" w:hAnsi="Arial" w:cs="Arial"/>
          <w:b/>
          <w:sz w:val="24"/>
          <w:szCs w:val="24"/>
          <w:u w:val="single"/>
        </w:rPr>
      </w:pPr>
      <w:r w:rsidRPr="00793A3E">
        <w:rPr>
          <w:rFonts w:ascii="Arial" w:hAnsi="Arial" w:cs="Arial"/>
          <w:b/>
          <w:sz w:val="24"/>
          <w:szCs w:val="24"/>
          <w:u w:val="single"/>
        </w:rPr>
        <w:t>COSTS</w:t>
      </w:r>
    </w:p>
    <w:p w14:paraId="3B8333D4" w14:textId="77777777" w:rsidR="00490954" w:rsidRPr="00793A3E" w:rsidRDefault="00490954" w:rsidP="00F009F9">
      <w:pPr>
        <w:pStyle w:val="ListParagraph"/>
        <w:spacing w:after="0" w:line="480" w:lineRule="auto"/>
        <w:contextualSpacing w:val="0"/>
        <w:rPr>
          <w:rFonts w:ascii="Arial" w:hAnsi="Arial" w:cs="Arial"/>
          <w:sz w:val="24"/>
          <w:szCs w:val="24"/>
        </w:rPr>
      </w:pPr>
    </w:p>
    <w:p w14:paraId="3368185E" w14:textId="16B94F08" w:rsidR="0049095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194.</w:t>
      </w:r>
      <w:r w:rsidRPr="00793A3E">
        <w:rPr>
          <w:rFonts w:ascii="Arial" w:hAnsi="Arial" w:cs="Arial"/>
          <w:sz w:val="24"/>
          <w:szCs w:val="24"/>
        </w:rPr>
        <w:tab/>
      </w:r>
      <w:r w:rsidR="00BA2498" w:rsidRPr="00D33AC2">
        <w:rPr>
          <w:rFonts w:ascii="Arial" w:hAnsi="Arial" w:cs="Arial"/>
          <w:sz w:val="24"/>
          <w:szCs w:val="24"/>
        </w:rPr>
        <w:t xml:space="preserve">It seems to me that there is no reason in this matter why the costs of the review itself should not follow the result, and in respect of </w:t>
      </w:r>
      <w:r w:rsidR="000E6919" w:rsidRPr="00D33AC2">
        <w:rPr>
          <w:rFonts w:ascii="Arial" w:hAnsi="Arial" w:cs="Arial"/>
          <w:sz w:val="24"/>
          <w:szCs w:val="24"/>
        </w:rPr>
        <w:t>first</w:t>
      </w:r>
      <w:r w:rsidR="00BA2498" w:rsidRPr="00D33AC2">
        <w:rPr>
          <w:rFonts w:ascii="Arial" w:hAnsi="Arial" w:cs="Arial"/>
          <w:sz w:val="24"/>
          <w:szCs w:val="24"/>
        </w:rPr>
        <w:t xml:space="preserve"> respondent those costs should include the costs of two counsel.  The matter was complicated and it </w:t>
      </w:r>
      <w:r w:rsidR="00BA2498" w:rsidRPr="00D33AC2">
        <w:rPr>
          <w:rFonts w:ascii="Arial" w:hAnsi="Arial" w:cs="Arial"/>
          <w:sz w:val="24"/>
          <w:szCs w:val="24"/>
        </w:rPr>
        <w:lastRenderedPageBreak/>
        <w:t xml:space="preserve">was a wise and reasonable precaution for two counsel to be employed and fully justified.  </w:t>
      </w:r>
    </w:p>
    <w:p w14:paraId="3B7BAB82" w14:textId="77777777" w:rsidR="00A420F3" w:rsidRPr="00793A3E" w:rsidRDefault="00A420F3" w:rsidP="00F009F9">
      <w:pPr>
        <w:pStyle w:val="ListParagraph"/>
        <w:spacing w:after="0" w:line="480" w:lineRule="auto"/>
        <w:ind w:left="0"/>
        <w:contextualSpacing w:val="0"/>
        <w:jc w:val="both"/>
        <w:rPr>
          <w:rFonts w:ascii="Arial" w:hAnsi="Arial" w:cs="Arial"/>
          <w:b/>
          <w:sz w:val="24"/>
          <w:szCs w:val="24"/>
          <w:u w:val="single"/>
        </w:rPr>
      </w:pPr>
    </w:p>
    <w:p w14:paraId="126F8082" w14:textId="77777777" w:rsidR="00490954" w:rsidRPr="00793A3E" w:rsidRDefault="00A420F3" w:rsidP="00F009F9">
      <w:pPr>
        <w:pStyle w:val="ListParagraph"/>
        <w:spacing w:after="0" w:line="480" w:lineRule="auto"/>
        <w:ind w:left="0"/>
        <w:contextualSpacing w:val="0"/>
        <w:jc w:val="both"/>
        <w:rPr>
          <w:rFonts w:ascii="Arial" w:hAnsi="Arial" w:cs="Arial"/>
          <w:b/>
          <w:sz w:val="24"/>
          <w:szCs w:val="24"/>
          <w:u w:val="single"/>
        </w:rPr>
      </w:pPr>
      <w:r w:rsidRPr="00793A3E">
        <w:rPr>
          <w:rFonts w:ascii="Arial" w:hAnsi="Arial" w:cs="Arial"/>
          <w:b/>
          <w:sz w:val="24"/>
          <w:szCs w:val="24"/>
          <w:u w:val="single"/>
        </w:rPr>
        <w:t>RESERVED COSTS IN RESPECT OF THE APPLICATION TO COMPEL THE RECORD AND REASONS</w:t>
      </w:r>
    </w:p>
    <w:p w14:paraId="5AA1AC61" w14:textId="77777777" w:rsidR="00A420F3" w:rsidRPr="00793A3E" w:rsidRDefault="00A420F3" w:rsidP="00F009F9">
      <w:pPr>
        <w:pStyle w:val="ListParagraph"/>
        <w:spacing w:after="0" w:line="480" w:lineRule="auto"/>
        <w:ind w:left="0"/>
        <w:contextualSpacing w:val="0"/>
        <w:jc w:val="both"/>
        <w:rPr>
          <w:rFonts w:ascii="Arial" w:hAnsi="Arial" w:cs="Arial"/>
          <w:b/>
          <w:sz w:val="24"/>
          <w:szCs w:val="24"/>
          <w:u w:val="single"/>
        </w:rPr>
      </w:pPr>
    </w:p>
    <w:p w14:paraId="075EE513" w14:textId="28DC2D1B" w:rsidR="00A420F3"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195.</w:t>
      </w:r>
      <w:r w:rsidRPr="00793A3E">
        <w:rPr>
          <w:rFonts w:ascii="Arial" w:hAnsi="Arial" w:cs="Arial"/>
          <w:sz w:val="24"/>
          <w:szCs w:val="24"/>
        </w:rPr>
        <w:tab/>
      </w:r>
      <w:r w:rsidR="00A420F3" w:rsidRPr="00D33AC2">
        <w:rPr>
          <w:rFonts w:ascii="Arial" w:hAnsi="Arial" w:cs="Arial"/>
          <w:sz w:val="24"/>
          <w:szCs w:val="24"/>
        </w:rPr>
        <w:t xml:space="preserve">In December 2020 applicant bought a notice of motion entitled an (application to compel).  </w:t>
      </w:r>
    </w:p>
    <w:p w14:paraId="5E86C997" w14:textId="77777777" w:rsidR="00A420F3" w:rsidRPr="00793A3E" w:rsidRDefault="00A420F3" w:rsidP="00F009F9">
      <w:pPr>
        <w:pStyle w:val="ListParagraph"/>
        <w:spacing w:after="0" w:line="480" w:lineRule="auto"/>
        <w:contextualSpacing w:val="0"/>
        <w:jc w:val="both"/>
        <w:rPr>
          <w:rFonts w:ascii="Arial" w:hAnsi="Arial" w:cs="Arial"/>
          <w:b/>
          <w:sz w:val="24"/>
          <w:szCs w:val="24"/>
          <w:u w:val="single"/>
        </w:rPr>
      </w:pPr>
    </w:p>
    <w:p w14:paraId="73F08ED4" w14:textId="13713E15" w:rsidR="00A420F3"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196.</w:t>
      </w:r>
      <w:r w:rsidRPr="00793A3E">
        <w:rPr>
          <w:rFonts w:ascii="Arial" w:hAnsi="Arial" w:cs="Arial"/>
          <w:sz w:val="24"/>
          <w:szCs w:val="24"/>
        </w:rPr>
        <w:tab/>
      </w:r>
      <w:r w:rsidR="00A420F3" w:rsidRPr="00D33AC2">
        <w:rPr>
          <w:rFonts w:ascii="Arial" w:hAnsi="Arial" w:cs="Arial"/>
          <w:sz w:val="24"/>
          <w:szCs w:val="24"/>
        </w:rPr>
        <w:t xml:space="preserve">In summary it sought that first respondent be ordered to comply with the provisions of Rule 53(1)(b) of the Rules of Court and the applicant’s notice of motion dated 17 August 2020 in the review application launched by applicant in this matter by </w:t>
      </w:r>
      <w:r w:rsidR="00A420F3" w:rsidRPr="00D33AC2">
        <w:rPr>
          <w:rFonts w:ascii="Arial" w:hAnsi="Arial" w:cs="Arial"/>
          <w:i/>
          <w:sz w:val="24"/>
          <w:szCs w:val="24"/>
        </w:rPr>
        <w:t>inter alia</w:t>
      </w:r>
      <w:r w:rsidR="00A420F3" w:rsidRPr="00D33AC2">
        <w:rPr>
          <w:rFonts w:ascii="Arial" w:hAnsi="Arial" w:cs="Arial"/>
          <w:sz w:val="24"/>
          <w:szCs w:val="24"/>
        </w:rPr>
        <w:t xml:space="preserve"> d</w:t>
      </w:r>
      <w:r w:rsidR="0090737C" w:rsidRPr="00D33AC2">
        <w:rPr>
          <w:rFonts w:ascii="Arial" w:hAnsi="Arial" w:cs="Arial"/>
          <w:sz w:val="24"/>
          <w:szCs w:val="24"/>
        </w:rPr>
        <w:t>i</w:t>
      </w:r>
      <w:r w:rsidR="00A420F3" w:rsidRPr="00D33AC2">
        <w:rPr>
          <w:rFonts w:ascii="Arial" w:hAnsi="Arial" w:cs="Arial"/>
          <w:sz w:val="24"/>
          <w:szCs w:val="24"/>
        </w:rPr>
        <w:t xml:space="preserve">spatching the </w:t>
      </w:r>
      <w:r w:rsidR="0090737C" w:rsidRPr="00D33AC2">
        <w:rPr>
          <w:rFonts w:ascii="Arial" w:hAnsi="Arial" w:cs="Arial"/>
          <w:sz w:val="24"/>
          <w:szCs w:val="24"/>
        </w:rPr>
        <w:t>“</w:t>
      </w:r>
      <w:r w:rsidR="00A420F3" w:rsidRPr="00D33AC2">
        <w:rPr>
          <w:rFonts w:ascii="Arial" w:hAnsi="Arial" w:cs="Arial"/>
          <w:i/>
          <w:sz w:val="24"/>
          <w:szCs w:val="24"/>
        </w:rPr>
        <w:t>complete record</w:t>
      </w:r>
      <w:r w:rsidR="0090737C" w:rsidRPr="00D33AC2">
        <w:rPr>
          <w:rFonts w:ascii="Arial" w:hAnsi="Arial" w:cs="Arial"/>
          <w:sz w:val="24"/>
          <w:szCs w:val="24"/>
        </w:rPr>
        <w:t>”</w:t>
      </w:r>
      <w:r w:rsidR="00A420F3" w:rsidRPr="00D33AC2">
        <w:rPr>
          <w:rFonts w:ascii="Arial" w:hAnsi="Arial" w:cs="Arial"/>
          <w:sz w:val="24"/>
          <w:szCs w:val="24"/>
        </w:rPr>
        <w:t xml:space="preserve"> of proceedings together with reasons relevant to ELS-5917; ELS-5818; and ELS-5796.  </w:t>
      </w:r>
    </w:p>
    <w:p w14:paraId="6EA44736" w14:textId="77777777" w:rsidR="00A420F3" w:rsidRPr="00793A3E" w:rsidRDefault="00A420F3" w:rsidP="00F009F9">
      <w:pPr>
        <w:pStyle w:val="ListParagraph"/>
        <w:spacing w:after="0" w:line="480" w:lineRule="auto"/>
        <w:contextualSpacing w:val="0"/>
        <w:rPr>
          <w:rFonts w:ascii="Arial" w:hAnsi="Arial" w:cs="Arial"/>
          <w:sz w:val="24"/>
          <w:szCs w:val="24"/>
        </w:rPr>
      </w:pPr>
    </w:p>
    <w:p w14:paraId="2F4CC78C" w14:textId="10EEC963" w:rsidR="00A420F3"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197.</w:t>
      </w:r>
      <w:r w:rsidRPr="00793A3E">
        <w:rPr>
          <w:rFonts w:ascii="Arial" w:hAnsi="Arial" w:cs="Arial"/>
          <w:sz w:val="24"/>
          <w:szCs w:val="24"/>
        </w:rPr>
        <w:tab/>
      </w:r>
      <w:r w:rsidR="00A420F3" w:rsidRPr="00D33AC2">
        <w:rPr>
          <w:rFonts w:ascii="Arial" w:hAnsi="Arial" w:cs="Arial"/>
          <w:sz w:val="24"/>
          <w:szCs w:val="24"/>
        </w:rPr>
        <w:t>In addition, in paragraph 2 it was sought that the record be made available by first respondent such as to include but not limited to a list of six specific categories of</w:t>
      </w:r>
      <w:r w:rsidR="002812A1" w:rsidRPr="00D33AC2">
        <w:rPr>
          <w:rFonts w:ascii="Arial" w:hAnsi="Arial" w:cs="Arial"/>
          <w:sz w:val="24"/>
          <w:szCs w:val="24"/>
        </w:rPr>
        <w:t xml:space="preserve"> documents duly identified and this had been referred to in an application in terms of PAIA bought by applicant.  </w:t>
      </w:r>
    </w:p>
    <w:p w14:paraId="2F90131D" w14:textId="77777777" w:rsidR="002812A1" w:rsidRPr="00793A3E" w:rsidRDefault="002812A1" w:rsidP="00F009F9">
      <w:pPr>
        <w:pStyle w:val="ListParagraph"/>
        <w:spacing w:after="0" w:line="480" w:lineRule="auto"/>
        <w:contextualSpacing w:val="0"/>
        <w:rPr>
          <w:rFonts w:ascii="Arial" w:hAnsi="Arial" w:cs="Arial"/>
          <w:b/>
          <w:sz w:val="24"/>
          <w:szCs w:val="24"/>
          <w:u w:val="single"/>
        </w:rPr>
      </w:pPr>
    </w:p>
    <w:p w14:paraId="4539FD6D" w14:textId="3481B428" w:rsidR="000E6919" w:rsidRPr="00D33AC2" w:rsidRDefault="00D33AC2" w:rsidP="00D33AC2">
      <w:pPr>
        <w:spacing w:after="0" w:line="480" w:lineRule="auto"/>
        <w:ind w:left="720" w:hanging="720"/>
        <w:jc w:val="both"/>
        <w:rPr>
          <w:rFonts w:ascii="Arial" w:hAnsi="Arial" w:cs="Arial"/>
          <w:b/>
          <w:sz w:val="24"/>
          <w:szCs w:val="24"/>
          <w:u w:val="single"/>
        </w:rPr>
      </w:pPr>
      <w:r w:rsidRPr="000E6919">
        <w:rPr>
          <w:rFonts w:ascii="Arial" w:hAnsi="Arial" w:cs="Arial"/>
          <w:sz w:val="24"/>
          <w:szCs w:val="24"/>
        </w:rPr>
        <w:t>198.</w:t>
      </w:r>
      <w:r w:rsidRPr="000E6919">
        <w:rPr>
          <w:rFonts w:ascii="Arial" w:hAnsi="Arial" w:cs="Arial"/>
          <w:sz w:val="24"/>
          <w:szCs w:val="24"/>
        </w:rPr>
        <w:tab/>
      </w:r>
      <w:r w:rsidR="002812A1" w:rsidRPr="00D33AC2">
        <w:rPr>
          <w:rFonts w:ascii="Arial" w:hAnsi="Arial" w:cs="Arial"/>
          <w:sz w:val="24"/>
          <w:szCs w:val="24"/>
        </w:rPr>
        <w:t>In due course, an order was given by Mafunda AJ on 11 February 2021</w:t>
      </w:r>
      <w:r w:rsidR="000E6919" w:rsidRPr="00D33AC2">
        <w:rPr>
          <w:rFonts w:ascii="Arial" w:hAnsi="Arial" w:cs="Arial"/>
          <w:sz w:val="24"/>
          <w:szCs w:val="24"/>
        </w:rPr>
        <w:t xml:space="preserve"> by agreement in terms of annexure “A”</w:t>
      </w:r>
      <w:r w:rsidR="002812A1" w:rsidRPr="00D33AC2">
        <w:rPr>
          <w:rFonts w:ascii="Arial" w:hAnsi="Arial" w:cs="Arial"/>
          <w:sz w:val="24"/>
          <w:szCs w:val="24"/>
        </w:rPr>
        <w:t>.</w:t>
      </w:r>
    </w:p>
    <w:p w14:paraId="5CBC19C9" w14:textId="77777777" w:rsidR="000E6919" w:rsidRPr="000E6919" w:rsidRDefault="000E6919" w:rsidP="000E6919">
      <w:pPr>
        <w:pStyle w:val="ListParagraph"/>
        <w:rPr>
          <w:rFonts w:ascii="Arial" w:hAnsi="Arial" w:cs="Arial"/>
          <w:sz w:val="24"/>
          <w:szCs w:val="24"/>
        </w:rPr>
      </w:pPr>
    </w:p>
    <w:p w14:paraId="37361008" w14:textId="342C416A" w:rsidR="002812A1"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199.</w:t>
      </w:r>
      <w:r w:rsidRPr="00793A3E">
        <w:rPr>
          <w:rFonts w:ascii="Arial" w:hAnsi="Arial" w:cs="Arial"/>
          <w:sz w:val="24"/>
          <w:szCs w:val="24"/>
        </w:rPr>
        <w:tab/>
      </w:r>
      <w:r w:rsidR="000E6919" w:rsidRPr="00D33AC2">
        <w:rPr>
          <w:rFonts w:ascii="Arial" w:hAnsi="Arial" w:cs="Arial"/>
          <w:sz w:val="24"/>
          <w:szCs w:val="24"/>
        </w:rPr>
        <w:t>It is to be noted however, that the relief was somewhat less than was originally sought omitting reference to the “</w:t>
      </w:r>
      <w:r w:rsidR="000E6919" w:rsidRPr="00D33AC2">
        <w:rPr>
          <w:rFonts w:ascii="Arial" w:hAnsi="Arial" w:cs="Arial"/>
          <w:i/>
          <w:sz w:val="24"/>
          <w:szCs w:val="24"/>
        </w:rPr>
        <w:t>complete record</w:t>
      </w:r>
      <w:r w:rsidR="000E6919" w:rsidRPr="00D33AC2">
        <w:rPr>
          <w:rFonts w:ascii="Arial" w:hAnsi="Arial" w:cs="Arial"/>
          <w:sz w:val="24"/>
          <w:szCs w:val="24"/>
        </w:rPr>
        <w:t xml:space="preserve">” and also this relief originally sought in respect of the specified </w:t>
      </w:r>
      <w:r w:rsidR="002D3517" w:rsidRPr="00D33AC2">
        <w:rPr>
          <w:rFonts w:ascii="Arial" w:hAnsi="Arial" w:cs="Arial"/>
          <w:sz w:val="24"/>
          <w:szCs w:val="24"/>
        </w:rPr>
        <w:t>categories</w:t>
      </w:r>
      <w:r w:rsidR="000E6919" w:rsidRPr="00D33AC2">
        <w:rPr>
          <w:rFonts w:ascii="Arial" w:hAnsi="Arial" w:cs="Arial"/>
          <w:sz w:val="24"/>
          <w:szCs w:val="24"/>
        </w:rPr>
        <w:t xml:space="preserve"> of documents.  Further first respondent was given seventeen days to comply.  </w:t>
      </w:r>
      <w:r w:rsidR="002812A1" w:rsidRPr="00D33AC2">
        <w:rPr>
          <w:rFonts w:ascii="Arial" w:hAnsi="Arial" w:cs="Arial"/>
          <w:sz w:val="24"/>
          <w:szCs w:val="24"/>
        </w:rPr>
        <w:t xml:space="preserve">  </w:t>
      </w:r>
    </w:p>
    <w:p w14:paraId="3011DED8" w14:textId="7E19DADD" w:rsidR="002812A1"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lastRenderedPageBreak/>
        <w:t>200.</w:t>
      </w:r>
      <w:r w:rsidRPr="00793A3E">
        <w:rPr>
          <w:rFonts w:ascii="Arial" w:hAnsi="Arial" w:cs="Arial"/>
          <w:sz w:val="24"/>
          <w:szCs w:val="24"/>
        </w:rPr>
        <w:tab/>
      </w:r>
      <w:r w:rsidR="002812A1" w:rsidRPr="00D33AC2">
        <w:rPr>
          <w:rFonts w:ascii="Arial" w:hAnsi="Arial" w:cs="Arial"/>
          <w:sz w:val="24"/>
          <w:szCs w:val="24"/>
        </w:rPr>
        <w:t>Costs were reserved.</w:t>
      </w:r>
    </w:p>
    <w:p w14:paraId="389ED970" w14:textId="77777777" w:rsidR="002812A1" w:rsidRPr="00793A3E" w:rsidRDefault="002812A1" w:rsidP="00F009F9">
      <w:pPr>
        <w:pStyle w:val="ListParagraph"/>
        <w:spacing w:after="0" w:line="480" w:lineRule="auto"/>
        <w:contextualSpacing w:val="0"/>
        <w:rPr>
          <w:rFonts w:ascii="Arial" w:hAnsi="Arial" w:cs="Arial"/>
          <w:sz w:val="24"/>
          <w:szCs w:val="24"/>
        </w:rPr>
      </w:pPr>
    </w:p>
    <w:p w14:paraId="410876C7" w14:textId="48D48248" w:rsidR="002812A1"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201.</w:t>
      </w:r>
      <w:r w:rsidRPr="00793A3E">
        <w:rPr>
          <w:rFonts w:ascii="Arial" w:hAnsi="Arial" w:cs="Arial"/>
          <w:sz w:val="24"/>
          <w:szCs w:val="24"/>
        </w:rPr>
        <w:tab/>
      </w:r>
      <w:r w:rsidR="002812A1" w:rsidRPr="00D33AC2">
        <w:rPr>
          <w:rFonts w:ascii="Arial" w:hAnsi="Arial" w:cs="Arial"/>
          <w:sz w:val="24"/>
          <w:szCs w:val="24"/>
        </w:rPr>
        <w:t xml:space="preserve">I must deal with these reserved costs in respect of which the parties at my request submitted supplementary heads as I had </w:t>
      </w:r>
      <w:r w:rsidR="000E6919" w:rsidRPr="00D33AC2">
        <w:rPr>
          <w:rFonts w:ascii="Arial" w:hAnsi="Arial" w:cs="Arial"/>
          <w:sz w:val="24"/>
          <w:szCs w:val="24"/>
        </w:rPr>
        <w:t xml:space="preserve">not </w:t>
      </w:r>
      <w:r w:rsidR="002812A1" w:rsidRPr="00D33AC2">
        <w:rPr>
          <w:rFonts w:ascii="Arial" w:hAnsi="Arial" w:cs="Arial"/>
          <w:sz w:val="24"/>
          <w:szCs w:val="24"/>
        </w:rPr>
        <w:t xml:space="preserve">been involved in that application.  </w:t>
      </w:r>
    </w:p>
    <w:p w14:paraId="7CC18901" w14:textId="77777777" w:rsidR="002812A1" w:rsidRPr="00793A3E" w:rsidRDefault="002812A1" w:rsidP="00F009F9">
      <w:pPr>
        <w:pStyle w:val="ListParagraph"/>
        <w:spacing w:after="0" w:line="480" w:lineRule="auto"/>
        <w:contextualSpacing w:val="0"/>
        <w:rPr>
          <w:rFonts w:ascii="Arial" w:hAnsi="Arial" w:cs="Arial"/>
          <w:sz w:val="24"/>
          <w:szCs w:val="24"/>
        </w:rPr>
      </w:pPr>
    </w:p>
    <w:p w14:paraId="27B1EDF7" w14:textId="5924AD82" w:rsidR="002C56D9"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202.</w:t>
      </w:r>
      <w:r w:rsidRPr="00793A3E">
        <w:rPr>
          <w:rFonts w:ascii="Arial" w:hAnsi="Arial" w:cs="Arial"/>
          <w:sz w:val="24"/>
          <w:szCs w:val="24"/>
        </w:rPr>
        <w:tab/>
      </w:r>
      <w:r w:rsidR="002812A1" w:rsidRPr="00D33AC2">
        <w:rPr>
          <w:rFonts w:ascii="Arial" w:hAnsi="Arial" w:cs="Arial"/>
          <w:sz w:val="24"/>
          <w:szCs w:val="24"/>
        </w:rPr>
        <w:t xml:space="preserve">SKG seeks an order that Eskom pays the costs of the application to compel on the basis that it was </w:t>
      </w:r>
      <w:r w:rsidR="00B50889" w:rsidRPr="00D33AC2">
        <w:rPr>
          <w:rFonts w:ascii="Arial" w:hAnsi="Arial" w:cs="Arial"/>
          <w:sz w:val="24"/>
          <w:szCs w:val="24"/>
        </w:rPr>
        <w:t>substantially</w:t>
      </w:r>
      <w:r w:rsidR="002812A1" w:rsidRPr="00D33AC2">
        <w:rPr>
          <w:rFonts w:ascii="Arial" w:hAnsi="Arial" w:cs="Arial"/>
          <w:sz w:val="24"/>
          <w:szCs w:val="24"/>
        </w:rPr>
        <w:t xml:space="preserve"> successful</w:t>
      </w:r>
      <w:r w:rsidR="000E6919" w:rsidRPr="00D33AC2">
        <w:rPr>
          <w:rFonts w:ascii="Arial" w:hAnsi="Arial" w:cs="Arial"/>
          <w:sz w:val="24"/>
          <w:szCs w:val="24"/>
        </w:rPr>
        <w:t>,</w:t>
      </w:r>
      <w:r w:rsidR="002812A1" w:rsidRPr="00D33AC2">
        <w:rPr>
          <w:rFonts w:ascii="Arial" w:hAnsi="Arial" w:cs="Arial"/>
          <w:sz w:val="24"/>
          <w:szCs w:val="24"/>
        </w:rPr>
        <w:t xml:space="preserve"> </w:t>
      </w:r>
      <w:r w:rsidR="00B50889" w:rsidRPr="00D33AC2">
        <w:rPr>
          <w:rFonts w:ascii="Arial" w:hAnsi="Arial" w:cs="Arial"/>
          <w:sz w:val="24"/>
          <w:szCs w:val="24"/>
        </w:rPr>
        <w:t xml:space="preserve">as it is argued is apparent from the order, whilst Eskom </w:t>
      </w:r>
      <w:r w:rsidR="002C56D9" w:rsidRPr="00D33AC2">
        <w:rPr>
          <w:rFonts w:ascii="Arial" w:hAnsi="Arial" w:cs="Arial"/>
          <w:sz w:val="24"/>
          <w:szCs w:val="24"/>
        </w:rPr>
        <w:t xml:space="preserve">argues that SKG was not substantially successful having regard to the nature and content of the relief sought.  </w:t>
      </w:r>
    </w:p>
    <w:p w14:paraId="7002E748" w14:textId="77777777" w:rsidR="002C56D9" w:rsidRPr="00793A3E" w:rsidRDefault="002C56D9" w:rsidP="00F009F9">
      <w:pPr>
        <w:pStyle w:val="ListParagraph"/>
        <w:spacing w:after="0" w:line="480" w:lineRule="auto"/>
        <w:contextualSpacing w:val="0"/>
        <w:rPr>
          <w:rFonts w:ascii="Arial" w:hAnsi="Arial" w:cs="Arial"/>
          <w:sz w:val="24"/>
          <w:szCs w:val="24"/>
        </w:rPr>
      </w:pPr>
    </w:p>
    <w:p w14:paraId="3A6FAB18" w14:textId="3BC3BE42" w:rsidR="002C56D9"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203.</w:t>
      </w:r>
      <w:r w:rsidRPr="00793A3E">
        <w:rPr>
          <w:rFonts w:ascii="Arial" w:hAnsi="Arial" w:cs="Arial"/>
          <w:sz w:val="24"/>
          <w:szCs w:val="24"/>
        </w:rPr>
        <w:tab/>
      </w:r>
      <w:r w:rsidR="002C56D9" w:rsidRPr="00D33AC2">
        <w:rPr>
          <w:rFonts w:ascii="Arial" w:hAnsi="Arial" w:cs="Arial"/>
          <w:sz w:val="24"/>
          <w:szCs w:val="24"/>
        </w:rPr>
        <w:t xml:space="preserve">This turns </w:t>
      </w:r>
      <w:r w:rsidR="0090737C" w:rsidRPr="00D33AC2">
        <w:rPr>
          <w:rFonts w:ascii="Arial" w:hAnsi="Arial" w:cs="Arial"/>
          <w:sz w:val="24"/>
          <w:szCs w:val="24"/>
        </w:rPr>
        <w:t xml:space="preserve">partially </w:t>
      </w:r>
      <w:r w:rsidR="002C56D9" w:rsidRPr="00D33AC2">
        <w:rPr>
          <w:rFonts w:ascii="Arial" w:hAnsi="Arial" w:cs="Arial"/>
          <w:sz w:val="24"/>
          <w:szCs w:val="24"/>
        </w:rPr>
        <w:t>on the argument that the word “</w:t>
      </w:r>
      <w:r w:rsidR="002C56D9" w:rsidRPr="00D33AC2">
        <w:rPr>
          <w:rFonts w:ascii="Arial" w:hAnsi="Arial" w:cs="Arial"/>
          <w:i/>
          <w:sz w:val="24"/>
          <w:szCs w:val="24"/>
        </w:rPr>
        <w:t>complete</w:t>
      </w:r>
      <w:r w:rsidR="002C56D9" w:rsidRPr="00D33AC2">
        <w:rPr>
          <w:rFonts w:ascii="Arial" w:hAnsi="Arial" w:cs="Arial"/>
          <w:sz w:val="24"/>
          <w:szCs w:val="24"/>
        </w:rPr>
        <w:t>” when used in respect of the record which was sought in each instance and prayers 1.1 to 1.3 w</w:t>
      </w:r>
      <w:r w:rsidR="0090737C" w:rsidRPr="00D33AC2">
        <w:rPr>
          <w:rFonts w:ascii="Arial" w:hAnsi="Arial" w:cs="Arial"/>
          <w:sz w:val="24"/>
          <w:szCs w:val="24"/>
        </w:rPr>
        <w:t>ere</w:t>
      </w:r>
      <w:r w:rsidR="002C56D9" w:rsidRPr="00D33AC2">
        <w:rPr>
          <w:rFonts w:ascii="Arial" w:hAnsi="Arial" w:cs="Arial"/>
          <w:sz w:val="24"/>
          <w:szCs w:val="24"/>
        </w:rPr>
        <w:t xml:space="preserve"> omitted from paragraphs 1.1 to 1.3 in the order granted; and that prayer 2 of the notice of motion</w:t>
      </w:r>
      <w:r w:rsidR="0090737C" w:rsidRPr="00D33AC2">
        <w:rPr>
          <w:rFonts w:ascii="Arial" w:hAnsi="Arial" w:cs="Arial"/>
          <w:sz w:val="24"/>
          <w:szCs w:val="24"/>
        </w:rPr>
        <w:t>,</w:t>
      </w:r>
      <w:r w:rsidR="002C56D9" w:rsidRPr="00D33AC2">
        <w:rPr>
          <w:rFonts w:ascii="Arial" w:hAnsi="Arial" w:cs="Arial"/>
          <w:sz w:val="24"/>
          <w:szCs w:val="24"/>
        </w:rPr>
        <w:t xml:space="preserve"> which sought specific documents as part of the record</w:t>
      </w:r>
      <w:r w:rsidR="0090737C" w:rsidRPr="00D33AC2">
        <w:rPr>
          <w:rFonts w:ascii="Arial" w:hAnsi="Arial" w:cs="Arial"/>
          <w:sz w:val="24"/>
          <w:szCs w:val="24"/>
        </w:rPr>
        <w:t>,</w:t>
      </w:r>
      <w:r w:rsidR="002C56D9" w:rsidRPr="00D33AC2">
        <w:rPr>
          <w:rFonts w:ascii="Arial" w:hAnsi="Arial" w:cs="Arial"/>
          <w:sz w:val="24"/>
          <w:szCs w:val="24"/>
        </w:rPr>
        <w:t xml:space="preserve"> did not form part of the order.  </w:t>
      </w:r>
    </w:p>
    <w:p w14:paraId="69038DF6" w14:textId="77777777" w:rsidR="002C56D9" w:rsidRPr="00793A3E" w:rsidRDefault="002C56D9" w:rsidP="00F009F9">
      <w:pPr>
        <w:pStyle w:val="ListParagraph"/>
        <w:spacing w:after="0" w:line="480" w:lineRule="auto"/>
        <w:contextualSpacing w:val="0"/>
        <w:rPr>
          <w:rFonts w:ascii="Arial" w:hAnsi="Arial" w:cs="Arial"/>
          <w:sz w:val="24"/>
          <w:szCs w:val="24"/>
        </w:rPr>
      </w:pPr>
    </w:p>
    <w:p w14:paraId="4869F2D4" w14:textId="38CA68E4" w:rsidR="002C56D9"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204.</w:t>
      </w:r>
      <w:r w:rsidRPr="00793A3E">
        <w:rPr>
          <w:rFonts w:ascii="Arial" w:hAnsi="Arial" w:cs="Arial"/>
          <w:sz w:val="24"/>
          <w:szCs w:val="24"/>
        </w:rPr>
        <w:tab/>
      </w:r>
      <w:r w:rsidR="002C56D9" w:rsidRPr="00D33AC2">
        <w:rPr>
          <w:rFonts w:ascii="Arial" w:hAnsi="Arial" w:cs="Arial"/>
          <w:sz w:val="24"/>
          <w:szCs w:val="24"/>
        </w:rPr>
        <w:t xml:space="preserve">It is argued then that SKG abandoned substantive relief effectively conceding that it was not entitled to same and therefore should not have the costs of the application.  </w:t>
      </w:r>
    </w:p>
    <w:p w14:paraId="23958E67" w14:textId="77777777" w:rsidR="002C56D9" w:rsidRPr="00793A3E" w:rsidRDefault="002C56D9" w:rsidP="00F009F9">
      <w:pPr>
        <w:pStyle w:val="ListParagraph"/>
        <w:spacing w:after="0" w:line="480" w:lineRule="auto"/>
        <w:contextualSpacing w:val="0"/>
        <w:rPr>
          <w:rFonts w:ascii="Arial" w:hAnsi="Arial" w:cs="Arial"/>
          <w:sz w:val="24"/>
          <w:szCs w:val="24"/>
        </w:rPr>
      </w:pPr>
    </w:p>
    <w:p w14:paraId="3B84C1A9" w14:textId="23BE9906" w:rsidR="00AB4793"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205.</w:t>
      </w:r>
      <w:r w:rsidRPr="00793A3E">
        <w:rPr>
          <w:rFonts w:ascii="Arial" w:hAnsi="Arial" w:cs="Arial"/>
          <w:sz w:val="24"/>
          <w:szCs w:val="24"/>
        </w:rPr>
        <w:tab/>
      </w:r>
      <w:r w:rsidR="002C56D9" w:rsidRPr="00D33AC2">
        <w:rPr>
          <w:rFonts w:ascii="Arial" w:hAnsi="Arial" w:cs="Arial"/>
          <w:sz w:val="24"/>
          <w:szCs w:val="24"/>
        </w:rPr>
        <w:t xml:space="preserve">As part of the argument it was included in Eskom’s opposition to the application that it was recognised that Eskom was required to make available at least part of the record </w:t>
      </w:r>
      <w:r w:rsidR="000E6919" w:rsidRPr="00D33AC2">
        <w:rPr>
          <w:rFonts w:ascii="Arial" w:hAnsi="Arial" w:cs="Arial"/>
          <w:sz w:val="24"/>
          <w:szCs w:val="24"/>
        </w:rPr>
        <w:t xml:space="preserve">but that </w:t>
      </w:r>
      <w:r w:rsidR="002C56D9" w:rsidRPr="00D33AC2">
        <w:rPr>
          <w:rFonts w:ascii="Arial" w:hAnsi="Arial" w:cs="Arial"/>
          <w:sz w:val="24"/>
          <w:szCs w:val="24"/>
        </w:rPr>
        <w:t>it contended that the record had to be retrieved, collated and considered by counsel and that SKG had unreasonabl</w:t>
      </w:r>
      <w:r w:rsidR="0090737C" w:rsidRPr="00D33AC2">
        <w:rPr>
          <w:rFonts w:ascii="Arial" w:hAnsi="Arial" w:cs="Arial"/>
          <w:sz w:val="24"/>
          <w:szCs w:val="24"/>
        </w:rPr>
        <w:t>y</w:t>
      </w:r>
      <w:r w:rsidR="002C56D9" w:rsidRPr="00D33AC2">
        <w:rPr>
          <w:rFonts w:ascii="Arial" w:hAnsi="Arial" w:cs="Arial"/>
          <w:sz w:val="24"/>
          <w:szCs w:val="24"/>
        </w:rPr>
        <w:t xml:space="preserve"> refused the request for an extension to make this possible and the record available.  Secondly, </w:t>
      </w:r>
      <w:r w:rsidR="002C56D9" w:rsidRPr="00D33AC2">
        <w:rPr>
          <w:rFonts w:ascii="Arial" w:hAnsi="Arial" w:cs="Arial"/>
          <w:sz w:val="24"/>
          <w:szCs w:val="24"/>
        </w:rPr>
        <w:lastRenderedPageBreak/>
        <w:t>Eskom contended that the relief sought by SKG was beyond the scope of rule 30A and 53 and that SKG incorrectly and unlawfully sought</w:t>
      </w:r>
      <w:r w:rsidR="00AB4793" w:rsidRPr="00D33AC2">
        <w:rPr>
          <w:rFonts w:ascii="Arial" w:hAnsi="Arial" w:cs="Arial"/>
          <w:sz w:val="24"/>
          <w:szCs w:val="24"/>
        </w:rPr>
        <w:t xml:space="preserve"> recourse to PAIA.  </w:t>
      </w:r>
    </w:p>
    <w:p w14:paraId="6F064BBB" w14:textId="77777777" w:rsidR="00AB4793" w:rsidRPr="00793A3E" w:rsidRDefault="00AB4793" w:rsidP="00F009F9">
      <w:pPr>
        <w:pStyle w:val="ListParagraph"/>
        <w:spacing w:after="0" w:line="480" w:lineRule="auto"/>
        <w:contextualSpacing w:val="0"/>
        <w:rPr>
          <w:rFonts w:ascii="Arial" w:hAnsi="Arial" w:cs="Arial"/>
          <w:sz w:val="24"/>
          <w:szCs w:val="24"/>
        </w:rPr>
      </w:pPr>
    </w:p>
    <w:p w14:paraId="5F942EE1" w14:textId="3F5926A2" w:rsidR="00AB4793"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206.</w:t>
      </w:r>
      <w:r w:rsidRPr="00793A3E">
        <w:rPr>
          <w:rFonts w:ascii="Arial" w:hAnsi="Arial" w:cs="Arial"/>
          <w:sz w:val="24"/>
          <w:szCs w:val="24"/>
        </w:rPr>
        <w:tab/>
      </w:r>
      <w:r w:rsidR="00AB4793" w:rsidRPr="00D33AC2">
        <w:rPr>
          <w:rFonts w:ascii="Arial" w:hAnsi="Arial" w:cs="Arial"/>
          <w:sz w:val="24"/>
          <w:szCs w:val="24"/>
        </w:rPr>
        <w:t>In point of fact in Eskom’s answering affidavit</w:t>
      </w:r>
      <w:r w:rsidR="0090737C" w:rsidRPr="00D33AC2">
        <w:rPr>
          <w:rFonts w:ascii="Arial" w:hAnsi="Arial" w:cs="Arial"/>
          <w:sz w:val="24"/>
          <w:szCs w:val="24"/>
        </w:rPr>
        <w:t>,</w:t>
      </w:r>
      <w:r w:rsidR="00AB4793" w:rsidRPr="00D33AC2">
        <w:rPr>
          <w:rFonts w:ascii="Arial" w:hAnsi="Arial" w:cs="Arial"/>
          <w:sz w:val="24"/>
          <w:szCs w:val="24"/>
        </w:rPr>
        <w:t xml:space="preserve"> applicant argues</w:t>
      </w:r>
      <w:r w:rsidR="0090737C" w:rsidRPr="00D33AC2">
        <w:rPr>
          <w:rFonts w:ascii="Arial" w:hAnsi="Arial" w:cs="Arial"/>
          <w:sz w:val="24"/>
          <w:szCs w:val="24"/>
        </w:rPr>
        <w:t>,</w:t>
      </w:r>
      <w:r w:rsidR="00AB4793" w:rsidRPr="00D33AC2">
        <w:rPr>
          <w:rFonts w:ascii="Arial" w:hAnsi="Arial" w:cs="Arial"/>
          <w:sz w:val="24"/>
          <w:szCs w:val="24"/>
        </w:rPr>
        <w:t xml:space="preserve"> it made no opposition to the word “</w:t>
      </w:r>
      <w:r w:rsidR="00AB4793" w:rsidRPr="00D33AC2">
        <w:rPr>
          <w:rFonts w:ascii="Arial" w:hAnsi="Arial" w:cs="Arial"/>
          <w:i/>
          <w:sz w:val="24"/>
          <w:szCs w:val="24"/>
        </w:rPr>
        <w:t>complete</w:t>
      </w:r>
      <w:r w:rsidR="00AB4793" w:rsidRPr="00D33AC2">
        <w:rPr>
          <w:rFonts w:ascii="Arial" w:hAnsi="Arial" w:cs="Arial"/>
          <w:sz w:val="24"/>
          <w:szCs w:val="24"/>
        </w:rPr>
        <w:t>” record, its opposition being limited to the relief sought relevant to the specific documents in prayer 2.</w:t>
      </w:r>
    </w:p>
    <w:p w14:paraId="52D767F2" w14:textId="77777777" w:rsidR="00AB4793" w:rsidRPr="00793A3E" w:rsidRDefault="00AB4793" w:rsidP="00F009F9">
      <w:pPr>
        <w:pStyle w:val="ListParagraph"/>
        <w:spacing w:after="0" w:line="480" w:lineRule="auto"/>
        <w:contextualSpacing w:val="0"/>
        <w:rPr>
          <w:rFonts w:ascii="Arial" w:hAnsi="Arial" w:cs="Arial"/>
          <w:sz w:val="24"/>
          <w:szCs w:val="24"/>
        </w:rPr>
      </w:pPr>
    </w:p>
    <w:p w14:paraId="2CBB9292" w14:textId="48F31F42" w:rsidR="00AB4793"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207.</w:t>
      </w:r>
      <w:r w:rsidRPr="00793A3E">
        <w:rPr>
          <w:rFonts w:ascii="Arial" w:hAnsi="Arial" w:cs="Arial"/>
          <w:sz w:val="24"/>
          <w:szCs w:val="24"/>
        </w:rPr>
        <w:tab/>
      </w:r>
      <w:r w:rsidR="00AB4793" w:rsidRPr="00D33AC2">
        <w:rPr>
          <w:rFonts w:ascii="Arial" w:hAnsi="Arial" w:cs="Arial"/>
          <w:sz w:val="24"/>
          <w:szCs w:val="24"/>
        </w:rPr>
        <w:t>The background is that the main application was launched on 17 August 2020 and served on Eskom on 8 September 2020.  In terms of Rule 53(1)(b) Eskom was to dispatch to the Registrar the record within fifteen days after 8 September 2020 together with such reasons Eskom was by law required to give or desire to give.  It is common cause that Eskom failed to do so which caused the delay in the main application</w:t>
      </w:r>
      <w:r w:rsidR="0090737C" w:rsidRPr="00D33AC2">
        <w:rPr>
          <w:rFonts w:ascii="Arial" w:hAnsi="Arial" w:cs="Arial"/>
          <w:sz w:val="24"/>
          <w:szCs w:val="24"/>
        </w:rPr>
        <w:t>,</w:t>
      </w:r>
      <w:r w:rsidR="00AB4793" w:rsidRPr="00D33AC2">
        <w:rPr>
          <w:rFonts w:ascii="Arial" w:hAnsi="Arial" w:cs="Arial"/>
          <w:sz w:val="24"/>
          <w:szCs w:val="24"/>
        </w:rPr>
        <w:t xml:space="preserve"> alleges applicant, Eskom conceding in the end that it was required to make available </w:t>
      </w:r>
      <w:r w:rsidR="00055F0C" w:rsidRPr="00D33AC2">
        <w:rPr>
          <w:rFonts w:ascii="Arial" w:hAnsi="Arial" w:cs="Arial"/>
          <w:sz w:val="24"/>
          <w:szCs w:val="24"/>
        </w:rPr>
        <w:t>“</w:t>
      </w:r>
      <w:r w:rsidR="00AB4793" w:rsidRPr="00D33AC2">
        <w:rPr>
          <w:rFonts w:ascii="Arial" w:hAnsi="Arial" w:cs="Arial"/>
          <w:i/>
          <w:sz w:val="24"/>
          <w:szCs w:val="24"/>
        </w:rPr>
        <w:t>the record</w:t>
      </w:r>
      <w:r w:rsidR="00055F0C" w:rsidRPr="00D33AC2">
        <w:rPr>
          <w:rFonts w:ascii="Arial" w:hAnsi="Arial" w:cs="Arial"/>
          <w:i/>
          <w:sz w:val="24"/>
          <w:szCs w:val="24"/>
        </w:rPr>
        <w:t>”</w:t>
      </w:r>
      <w:r w:rsidR="00AB4793" w:rsidRPr="00D33AC2">
        <w:rPr>
          <w:rFonts w:ascii="Arial" w:hAnsi="Arial" w:cs="Arial"/>
          <w:sz w:val="24"/>
          <w:szCs w:val="24"/>
        </w:rPr>
        <w:t>.</w:t>
      </w:r>
    </w:p>
    <w:p w14:paraId="32F2B4D8" w14:textId="77777777" w:rsidR="00AB4793" w:rsidRPr="00793A3E" w:rsidRDefault="00AB4793" w:rsidP="00F009F9">
      <w:pPr>
        <w:pStyle w:val="ListParagraph"/>
        <w:spacing w:after="0" w:line="480" w:lineRule="auto"/>
        <w:contextualSpacing w:val="0"/>
        <w:rPr>
          <w:rFonts w:ascii="Arial" w:hAnsi="Arial" w:cs="Arial"/>
          <w:sz w:val="24"/>
          <w:szCs w:val="24"/>
        </w:rPr>
      </w:pPr>
    </w:p>
    <w:p w14:paraId="24109916" w14:textId="2D0643EA" w:rsidR="002812A1"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208.</w:t>
      </w:r>
      <w:r w:rsidRPr="00793A3E">
        <w:rPr>
          <w:rFonts w:ascii="Arial" w:hAnsi="Arial" w:cs="Arial"/>
          <w:sz w:val="24"/>
          <w:szCs w:val="24"/>
        </w:rPr>
        <w:tab/>
      </w:r>
      <w:r w:rsidR="0085719A" w:rsidRPr="00D33AC2">
        <w:rPr>
          <w:rFonts w:ascii="Arial" w:hAnsi="Arial" w:cs="Arial"/>
          <w:sz w:val="24"/>
          <w:szCs w:val="24"/>
        </w:rPr>
        <w:t xml:space="preserve">It is set out in applicant’s heads that various extensions were in fact granted to Eskom to provide the record up to 5 October 2020, Eskom on 7 October 2020 seeking a further extension to 6 November 2020 for reasons which applicant did not consider valid.  Eskom bought no application to extend the time limits applicable.    </w:t>
      </w:r>
    </w:p>
    <w:p w14:paraId="2BCDB9EF" w14:textId="77777777" w:rsidR="0085719A" w:rsidRPr="00793A3E" w:rsidRDefault="0085719A" w:rsidP="00F009F9">
      <w:pPr>
        <w:pStyle w:val="ListParagraph"/>
        <w:spacing w:after="0" w:line="480" w:lineRule="auto"/>
        <w:contextualSpacing w:val="0"/>
        <w:rPr>
          <w:rFonts w:ascii="Arial" w:hAnsi="Arial" w:cs="Arial"/>
          <w:b/>
          <w:sz w:val="24"/>
          <w:szCs w:val="24"/>
          <w:u w:val="single"/>
        </w:rPr>
      </w:pPr>
    </w:p>
    <w:p w14:paraId="0E62D09B" w14:textId="22B7DDCF" w:rsidR="0085719A" w:rsidRPr="00D33AC2" w:rsidRDefault="00D33AC2" w:rsidP="00D33AC2">
      <w:pPr>
        <w:spacing w:after="0" w:line="480" w:lineRule="auto"/>
        <w:ind w:left="720" w:hanging="720"/>
        <w:jc w:val="both"/>
        <w:rPr>
          <w:rFonts w:ascii="Arial" w:hAnsi="Arial" w:cs="Arial"/>
          <w:sz w:val="24"/>
          <w:szCs w:val="24"/>
        </w:rPr>
      </w:pPr>
      <w:r w:rsidRPr="00055F0C">
        <w:rPr>
          <w:rFonts w:ascii="Arial" w:hAnsi="Arial" w:cs="Arial"/>
          <w:sz w:val="24"/>
          <w:szCs w:val="24"/>
        </w:rPr>
        <w:t>209.</w:t>
      </w:r>
      <w:r w:rsidRPr="00055F0C">
        <w:rPr>
          <w:rFonts w:ascii="Arial" w:hAnsi="Arial" w:cs="Arial"/>
          <w:sz w:val="24"/>
          <w:szCs w:val="24"/>
        </w:rPr>
        <w:tab/>
      </w:r>
      <w:r w:rsidR="0085719A" w:rsidRPr="00D33AC2">
        <w:rPr>
          <w:rFonts w:ascii="Arial" w:hAnsi="Arial" w:cs="Arial"/>
          <w:sz w:val="24"/>
          <w:szCs w:val="24"/>
        </w:rPr>
        <w:t>Applicant argues that SKG did not act unreasonabl</w:t>
      </w:r>
      <w:r w:rsidR="0090737C" w:rsidRPr="00D33AC2">
        <w:rPr>
          <w:rFonts w:ascii="Arial" w:hAnsi="Arial" w:cs="Arial"/>
          <w:sz w:val="24"/>
          <w:szCs w:val="24"/>
        </w:rPr>
        <w:t>y</w:t>
      </w:r>
      <w:r w:rsidR="0085719A" w:rsidRPr="00D33AC2">
        <w:rPr>
          <w:rFonts w:ascii="Arial" w:hAnsi="Arial" w:cs="Arial"/>
          <w:sz w:val="24"/>
          <w:szCs w:val="24"/>
        </w:rPr>
        <w:t xml:space="preserve"> as is alleged and in fact, the record was not made available on 6 November 2020 despite Eskom alleging that it would have been “</w:t>
      </w:r>
      <w:r w:rsidR="0085719A" w:rsidRPr="00D33AC2">
        <w:rPr>
          <w:rFonts w:ascii="Arial" w:hAnsi="Arial" w:cs="Arial"/>
          <w:i/>
          <w:sz w:val="24"/>
          <w:szCs w:val="24"/>
        </w:rPr>
        <w:t>able to meet the 6 November 2020 extension</w:t>
      </w:r>
      <w:r w:rsidR="0085719A" w:rsidRPr="00D33AC2">
        <w:rPr>
          <w:rFonts w:ascii="Arial" w:hAnsi="Arial" w:cs="Arial"/>
          <w:sz w:val="24"/>
          <w:szCs w:val="24"/>
        </w:rPr>
        <w:t>.”  The reason for the delay was due, says Eskom, to “circumstances beyond its control”.</w:t>
      </w:r>
    </w:p>
    <w:p w14:paraId="7FE9886C" w14:textId="6BC99FEB" w:rsidR="0085719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lastRenderedPageBreak/>
        <w:t>210.</w:t>
      </w:r>
      <w:r w:rsidRPr="00793A3E">
        <w:rPr>
          <w:rFonts w:ascii="Arial" w:hAnsi="Arial" w:cs="Arial"/>
          <w:sz w:val="24"/>
          <w:szCs w:val="24"/>
        </w:rPr>
        <w:tab/>
      </w:r>
      <w:r w:rsidR="0085719A" w:rsidRPr="00D33AC2">
        <w:rPr>
          <w:rFonts w:ascii="Arial" w:hAnsi="Arial" w:cs="Arial"/>
          <w:sz w:val="24"/>
          <w:szCs w:val="24"/>
        </w:rPr>
        <w:t>As to the first ground</w:t>
      </w:r>
      <w:r w:rsidR="00055F0C" w:rsidRPr="00D33AC2">
        <w:rPr>
          <w:rFonts w:ascii="Arial" w:hAnsi="Arial" w:cs="Arial"/>
          <w:sz w:val="24"/>
          <w:szCs w:val="24"/>
        </w:rPr>
        <w:t>,</w:t>
      </w:r>
      <w:r w:rsidR="0085719A" w:rsidRPr="00D33AC2">
        <w:rPr>
          <w:rFonts w:ascii="Arial" w:hAnsi="Arial" w:cs="Arial"/>
          <w:sz w:val="24"/>
          <w:szCs w:val="24"/>
        </w:rPr>
        <w:t xml:space="preserve"> referred to above</w:t>
      </w:r>
      <w:r w:rsidR="00055F0C" w:rsidRPr="00D33AC2">
        <w:rPr>
          <w:rFonts w:ascii="Arial" w:hAnsi="Arial" w:cs="Arial"/>
          <w:sz w:val="24"/>
          <w:szCs w:val="24"/>
        </w:rPr>
        <w:t>,</w:t>
      </w:r>
      <w:r w:rsidR="0085719A" w:rsidRPr="00D33AC2">
        <w:rPr>
          <w:rFonts w:ascii="Arial" w:hAnsi="Arial" w:cs="Arial"/>
          <w:sz w:val="24"/>
          <w:szCs w:val="24"/>
        </w:rPr>
        <w:t xml:space="preserve"> for the failure to produce the record applicant argues that a record is a formal record of what has happened and includes all paper throwing light, however indirectly, on what the proceedings were, both procedurally and evidentially.  It is argued thus that the documents should have been provided in their completeness, including every scrap of paper throwing light, however indirectly, on what the proceedings were.</w:t>
      </w:r>
      <w:r w:rsidR="0085719A" w:rsidRPr="00793A3E">
        <w:rPr>
          <w:rStyle w:val="FootnoteReference"/>
          <w:rFonts w:ascii="Arial" w:hAnsi="Arial" w:cs="Arial"/>
          <w:sz w:val="24"/>
          <w:szCs w:val="24"/>
        </w:rPr>
        <w:footnoteReference w:id="36"/>
      </w:r>
    </w:p>
    <w:p w14:paraId="3D238754" w14:textId="77777777" w:rsidR="0085719A" w:rsidRPr="00793A3E" w:rsidRDefault="0085719A" w:rsidP="00F009F9">
      <w:pPr>
        <w:pStyle w:val="ListParagraph"/>
        <w:spacing w:after="0" w:line="480" w:lineRule="auto"/>
        <w:contextualSpacing w:val="0"/>
        <w:rPr>
          <w:rFonts w:ascii="Arial" w:hAnsi="Arial" w:cs="Arial"/>
          <w:sz w:val="24"/>
          <w:szCs w:val="24"/>
        </w:rPr>
      </w:pPr>
    </w:p>
    <w:p w14:paraId="170B712B" w14:textId="30C8255C" w:rsidR="0085719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211.</w:t>
      </w:r>
      <w:r w:rsidRPr="00793A3E">
        <w:rPr>
          <w:rFonts w:ascii="Arial" w:hAnsi="Arial" w:cs="Arial"/>
          <w:sz w:val="24"/>
          <w:szCs w:val="24"/>
        </w:rPr>
        <w:tab/>
      </w:r>
      <w:r w:rsidR="0085719A" w:rsidRPr="00D33AC2">
        <w:rPr>
          <w:rFonts w:ascii="Arial" w:hAnsi="Arial" w:cs="Arial"/>
          <w:sz w:val="24"/>
          <w:szCs w:val="24"/>
        </w:rPr>
        <w:t>In respect of the second ground of opposition relating to PAIA, Rule 30A and Rule 53, this relates</w:t>
      </w:r>
      <w:r w:rsidR="00EE7054" w:rsidRPr="00D33AC2">
        <w:rPr>
          <w:rFonts w:ascii="Arial" w:hAnsi="Arial" w:cs="Arial"/>
          <w:sz w:val="24"/>
          <w:szCs w:val="24"/>
        </w:rPr>
        <w:t>, argues applicant,</w:t>
      </w:r>
      <w:r w:rsidR="0090737C" w:rsidRPr="00D33AC2">
        <w:rPr>
          <w:rFonts w:ascii="Arial" w:hAnsi="Arial" w:cs="Arial"/>
          <w:sz w:val="24"/>
          <w:szCs w:val="24"/>
        </w:rPr>
        <w:t xml:space="preserve"> </w:t>
      </w:r>
      <w:r w:rsidR="0085719A" w:rsidRPr="00D33AC2">
        <w:rPr>
          <w:rFonts w:ascii="Arial" w:hAnsi="Arial" w:cs="Arial"/>
          <w:sz w:val="24"/>
          <w:szCs w:val="24"/>
        </w:rPr>
        <w:t xml:space="preserve">to the relief sought in prayer 2 of the notice of motion.  </w:t>
      </w:r>
    </w:p>
    <w:p w14:paraId="2D013552" w14:textId="77777777" w:rsidR="0085719A" w:rsidRPr="00793A3E" w:rsidRDefault="0085719A" w:rsidP="00F009F9">
      <w:pPr>
        <w:pStyle w:val="ListParagraph"/>
        <w:spacing w:after="0" w:line="480" w:lineRule="auto"/>
        <w:contextualSpacing w:val="0"/>
        <w:rPr>
          <w:rFonts w:ascii="Arial" w:hAnsi="Arial" w:cs="Arial"/>
          <w:sz w:val="24"/>
          <w:szCs w:val="24"/>
        </w:rPr>
      </w:pPr>
    </w:p>
    <w:p w14:paraId="22675532" w14:textId="69214A75" w:rsidR="006C26A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212.</w:t>
      </w:r>
      <w:r w:rsidRPr="00793A3E">
        <w:rPr>
          <w:rFonts w:ascii="Arial" w:hAnsi="Arial" w:cs="Arial"/>
          <w:sz w:val="24"/>
          <w:szCs w:val="24"/>
        </w:rPr>
        <w:tab/>
      </w:r>
      <w:r w:rsidR="006C26AA" w:rsidRPr="00D33AC2">
        <w:rPr>
          <w:rFonts w:ascii="Arial" w:hAnsi="Arial" w:cs="Arial"/>
          <w:sz w:val="24"/>
          <w:szCs w:val="24"/>
        </w:rPr>
        <w:t>Applicant argues that prayer 2 was supplementary to prayer 1 and accordingly the opposition then superfluous.  SKG did not seek to compel Eskom to comply with the PAIA request nor in fact could it have done so once the application had been launched.  It is argued that by conceding that Eskom was required to make available the “</w:t>
      </w:r>
      <w:r w:rsidR="006C26AA" w:rsidRPr="00D33AC2">
        <w:rPr>
          <w:rFonts w:ascii="Arial" w:hAnsi="Arial" w:cs="Arial"/>
          <w:i/>
          <w:sz w:val="24"/>
          <w:szCs w:val="24"/>
        </w:rPr>
        <w:t>record and reasons</w:t>
      </w:r>
      <w:r w:rsidR="006C26AA" w:rsidRPr="00D33AC2">
        <w:rPr>
          <w:rFonts w:ascii="Arial" w:hAnsi="Arial" w:cs="Arial"/>
          <w:sz w:val="24"/>
          <w:szCs w:val="24"/>
        </w:rPr>
        <w:t xml:space="preserve">” this was the relief </w:t>
      </w:r>
      <w:r w:rsidR="0090737C" w:rsidRPr="00D33AC2">
        <w:rPr>
          <w:rFonts w:ascii="Arial" w:hAnsi="Arial" w:cs="Arial"/>
          <w:sz w:val="24"/>
          <w:szCs w:val="24"/>
        </w:rPr>
        <w:t>e</w:t>
      </w:r>
      <w:r w:rsidR="006C26AA" w:rsidRPr="00D33AC2">
        <w:rPr>
          <w:rFonts w:ascii="Arial" w:hAnsi="Arial" w:cs="Arial"/>
          <w:sz w:val="24"/>
          <w:szCs w:val="24"/>
        </w:rPr>
        <w:t xml:space="preserve">ffectively in prayer 1 and by implication also prayer 2. </w:t>
      </w:r>
    </w:p>
    <w:p w14:paraId="713C20CC" w14:textId="77777777" w:rsidR="006C26AA" w:rsidRPr="00793A3E" w:rsidRDefault="006C26AA" w:rsidP="00F009F9">
      <w:pPr>
        <w:pStyle w:val="ListParagraph"/>
        <w:spacing w:after="0" w:line="480" w:lineRule="auto"/>
        <w:contextualSpacing w:val="0"/>
        <w:rPr>
          <w:rFonts w:ascii="Arial" w:hAnsi="Arial" w:cs="Arial"/>
          <w:sz w:val="24"/>
          <w:szCs w:val="24"/>
        </w:rPr>
      </w:pPr>
    </w:p>
    <w:p w14:paraId="2AC336CF" w14:textId="446B8274" w:rsidR="006C26AA"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213.</w:t>
      </w:r>
      <w:r w:rsidRPr="00793A3E">
        <w:rPr>
          <w:rFonts w:ascii="Arial" w:hAnsi="Arial" w:cs="Arial"/>
          <w:sz w:val="24"/>
          <w:szCs w:val="24"/>
        </w:rPr>
        <w:tab/>
      </w:r>
      <w:r w:rsidR="006C26AA" w:rsidRPr="00D33AC2">
        <w:rPr>
          <w:rFonts w:ascii="Arial" w:hAnsi="Arial" w:cs="Arial"/>
          <w:sz w:val="24"/>
          <w:szCs w:val="24"/>
        </w:rPr>
        <w:t>Effectively then, the question is</w:t>
      </w:r>
      <w:r w:rsidR="00055F0C" w:rsidRPr="00D33AC2">
        <w:rPr>
          <w:rFonts w:ascii="Arial" w:hAnsi="Arial" w:cs="Arial"/>
          <w:sz w:val="24"/>
          <w:szCs w:val="24"/>
        </w:rPr>
        <w:t>,</w:t>
      </w:r>
      <w:r w:rsidR="006C26AA" w:rsidRPr="00D33AC2">
        <w:rPr>
          <w:rFonts w:ascii="Arial" w:hAnsi="Arial" w:cs="Arial"/>
          <w:sz w:val="24"/>
          <w:szCs w:val="24"/>
        </w:rPr>
        <w:t xml:space="preserve"> </w:t>
      </w:r>
      <w:r w:rsidR="0090737C" w:rsidRPr="00D33AC2">
        <w:rPr>
          <w:rFonts w:ascii="Arial" w:hAnsi="Arial" w:cs="Arial"/>
          <w:sz w:val="24"/>
          <w:szCs w:val="24"/>
        </w:rPr>
        <w:t>says applicant</w:t>
      </w:r>
      <w:r w:rsidR="00055F0C" w:rsidRPr="00D33AC2">
        <w:rPr>
          <w:rFonts w:ascii="Arial" w:hAnsi="Arial" w:cs="Arial"/>
          <w:sz w:val="24"/>
          <w:szCs w:val="24"/>
        </w:rPr>
        <w:t>,</w:t>
      </w:r>
      <w:r w:rsidR="0090737C" w:rsidRPr="00D33AC2">
        <w:rPr>
          <w:rFonts w:ascii="Arial" w:hAnsi="Arial" w:cs="Arial"/>
          <w:sz w:val="24"/>
          <w:szCs w:val="24"/>
        </w:rPr>
        <w:t xml:space="preserve"> </w:t>
      </w:r>
      <w:r w:rsidR="006C26AA" w:rsidRPr="00D33AC2">
        <w:rPr>
          <w:rFonts w:ascii="Arial" w:hAnsi="Arial" w:cs="Arial"/>
          <w:sz w:val="24"/>
          <w:szCs w:val="24"/>
        </w:rPr>
        <w:t>whether the dropping of the word “</w:t>
      </w:r>
      <w:r w:rsidR="006C26AA" w:rsidRPr="00D33AC2">
        <w:rPr>
          <w:rFonts w:ascii="Arial" w:hAnsi="Arial" w:cs="Arial"/>
          <w:i/>
          <w:sz w:val="24"/>
          <w:szCs w:val="24"/>
        </w:rPr>
        <w:t>complete</w:t>
      </w:r>
      <w:r w:rsidR="006C26AA" w:rsidRPr="00D33AC2">
        <w:rPr>
          <w:rFonts w:ascii="Arial" w:hAnsi="Arial" w:cs="Arial"/>
          <w:sz w:val="24"/>
          <w:szCs w:val="24"/>
        </w:rPr>
        <w:t xml:space="preserve">” and the failure to </w:t>
      </w:r>
      <w:r w:rsidR="0090737C" w:rsidRPr="00D33AC2">
        <w:rPr>
          <w:rFonts w:ascii="Arial" w:hAnsi="Arial" w:cs="Arial"/>
          <w:sz w:val="24"/>
          <w:szCs w:val="24"/>
        </w:rPr>
        <w:t xml:space="preserve">obtain </w:t>
      </w:r>
      <w:r w:rsidR="006C26AA" w:rsidRPr="00D33AC2">
        <w:rPr>
          <w:rFonts w:ascii="Arial" w:hAnsi="Arial" w:cs="Arial"/>
          <w:sz w:val="24"/>
          <w:szCs w:val="24"/>
        </w:rPr>
        <w:t xml:space="preserve">the relief in prayer 2 disentitled SKG </w:t>
      </w:r>
      <w:r w:rsidR="004226EF" w:rsidRPr="00D33AC2">
        <w:rPr>
          <w:rFonts w:ascii="Arial" w:hAnsi="Arial" w:cs="Arial"/>
          <w:sz w:val="24"/>
          <w:szCs w:val="24"/>
        </w:rPr>
        <w:t xml:space="preserve">to </w:t>
      </w:r>
      <w:r w:rsidR="006C26AA" w:rsidRPr="00D33AC2">
        <w:rPr>
          <w:rFonts w:ascii="Arial" w:hAnsi="Arial" w:cs="Arial"/>
          <w:sz w:val="24"/>
          <w:szCs w:val="24"/>
        </w:rPr>
        <w:t xml:space="preserve">its costs.  </w:t>
      </w:r>
    </w:p>
    <w:p w14:paraId="1E1A710D" w14:textId="77777777" w:rsidR="006C26AA" w:rsidRPr="00793A3E" w:rsidRDefault="006C26AA" w:rsidP="00F009F9">
      <w:pPr>
        <w:pStyle w:val="ListParagraph"/>
        <w:spacing w:after="0" w:line="480" w:lineRule="auto"/>
        <w:contextualSpacing w:val="0"/>
        <w:rPr>
          <w:rFonts w:ascii="Arial" w:hAnsi="Arial" w:cs="Arial"/>
          <w:sz w:val="24"/>
          <w:szCs w:val="24"/>
        </w:rPr>
      </w:pPr>
    </w:p>
    <w:p w14:paraId="776FCEFE" w14:textId="1F3C06E7" w:rsidR="006C26AA"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lastRenderedPageBreak/>
        <w:t>214.</w:t>
      </w:r>
      <w:r>
        <w:rPr>
          <w:rFonts w:ascii="Arial" w:hAnsi="Arial" w:cs="Arial"/>
          <w:sz w:val="24"/>
          <w:szCs w:val="24"/>
        </w:rPr>
        <w:tab/>
      </w:r>
      <w:r w:rsidR="006C26AA" w:rsidRPr="00D33AC2">
        <w:rPr>
          <w:rFonts w:ascii="Arial" w:hAnsi="Arial" w:cs="Arial"/>
          <w:sz w:val="24"/>
          <w:szCs w:val="24"/>
        </w:rPr>
        <w:t xml:space="preserve">Applicant argues that there is no difference between a complete record of proceedings and a record of the proceedings in the context of Rule 53, and </w:t>
      </w:r>
      <w:r w:rsidR="0090737C" w:rsidRPr="00D33AC2">
        <w:rPr>
          <w:rFonts w:ascii="Arial" w:hAnsi="Arial" w:cs="Arial"/>
          <w:sz w:val="24"/>
          <w:szCs w:val="24"/>
        </w:rPr>
        <w:t xml:space="preserve">that </w:t>
      </w:r>
      <w:r w:rsidR="006C26AA" w:rsidRPr="00D33AC2">
        <w:rPr>
          <w:rFonts w:ascii="Arial" w:hAnsi="Arial" w:cs="Arial"/>
          <w:sz w:val="24"/>
          <w:szCs w:val="24"/>
        </w:rPr>
        <w:t xml:space="preserve">the distinction is artificial.  </w:t>
      </w:r>
    </w:p>
    <w:p w14:paraId="1764ED39" w14:textId="77777777" w:rsidR="00A945B8" w:rsidRPr="00A945B8" w:rsidRDefault="00A945B8" w:rsidP="00A945B8">
      <w:pPr>
        <w:pStyle w:val="ListParagraph"/>
        <w:rPr>
          <w:rFonts w:ascii="Arial" w:hAnsi="Arial" w:cs="Arial"/>
          <w:sz w:val="24"/>
          <w:szCs w:val="24"/>
        </w:rPr>
      </w:pPr>
    </w:p>
    <w:p w14:paraId="15ED5C6E" w14:textId="587FF504" w:rsidR="00A945B8"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t>215.</w:t>
      </w:r>
      <w:r>
        <w:rPr>
          <w:rFonts w:ascii="Arial" w:hAnsi="Arial" w:cs="Arial"/>
          <w:sz w:val="24"/>
          <w:szCs w:val="24"/>
        </w:rPr>
        <w:tab/>
      </w:r>
      <w:r w:rsidR="00A945B8" w:rsidRPr="00D33AC2">
        <w:rPr>
          <w:rFonts w:ascii="Arial" w:hAnsi="Arial" w:cs="Arial"/>
          <w:sz w:val="24"/>
          <w:szCs w:val="24"/>
        </w:rPr>
        <w:t>First respondent, at my request, also filed supplementary heads of argument relevant to these costs.  In short, first respondent argues that:</w:t>
      </w:r>
    </w:p>
    <w:p w14:paraId="4DFFAEB1" w14:textId="77777777" w:rsidR="00A945B8" w:rsidRPr="00317ECF" w:rsidRDefault="00A945B8" w:rsidP="00A945B8">
      <w:pPr>
        <w:pStyle w:val="ListParagraph"/>
        <w:rPr>
          <w:rFonts w:ascii="Arial" w:hAnsi="Arial" w:cs="Arial"/>
          <w:sz w:val="24"/>
          <w:szCs w:val="24"/>
        </w:rPr>
      </w:pPr>
    </w:p>
    <w:p w14:paraId="64DDA81F" w14:textId="77777777" w:rsidR="00A945B8" w:rsidRDefault="00A945B8" w:rsidP="00A945B8">
      <w:pPr>
        <w:pStyle w:val="ListParagraph"/>
        <w:spacing w:after="0" w:line="480" w:lineRule="auto"/>
        <w:ind w:left="2160" w:hanging="720"/>
        <w:contextualSpacing w:val="0"/>
        <w:jc w:val="both"/>
        <w:rPr>
          <w:rFonts w:ascii="Arial" w:hAnsi="Arial" w:cs="Arial"/>
          <w:sz w:val="24"/>
          <w:szCs w:val="24"/>
        </w:rPr>
      </w:pPr>
      <w:r>
        <w:rPr>
          <w:rFonts w:ascii="Arial" w:hAnsi="Arial" w:cs="Arial"/>
          <w:sz w:val="24"/>
          <w:szCs w:val="24"/>
        </w:rPr>
        <w:t>214.1</w:t>
      </w:r>
      <w:r>
        <w:rPr>
          <w:rFonts w:ascii="Arial" w:hAnsi="Arial" w:cs="Arial"/>
          <w:sz w:val="24"/>
          <w:szCs w:val="24"/>
        </w:rPr>
        <w:tab/>
        <w:t xml:space="preserve">The relief sought by applicant was incompetent insofar as it extended beyond the scope of Rule 30A or Rule 53; </w:t>
      </w:r>
    </w:p>
    <w:p w14:paraId="268795B7" w14:textId="77777777" w:rsidR="00A945B8" w:rsidRDefault="00A945B8" w:rsidP="00A945B8">
      <w:pPr>
        <w:pStyle w:val="ListParagraph"/>
        <w:spacing w:after="0" w:line="480" w:lineRule="auto"/>
        <w:ind w:left="2160" w:hanging="720"/>
        <w:contextualSpacing w:val="0"/>
        <w:jc w:val="both"/>
        <w:rPr>
          <w:rFonts w:ascii="Arial" w:hAnsi="Arial" w:cs="Arial"/>
          <w:sz w:val="24"/>
          <w:szCs w:val="24"/>
        </w:rPr>
      </w:pPr>
      <w:r>
        <w:rPr>
          <w:rFonts w:ascii="Arial" w:hAnsi="Arial" w:cs="Arial"/>
          <w:sz w:val="24"/>
          <w:szCs w:val="24"/>
        </w:rPr>
        <w:t>214.2</w:t>
      </w:r>
      <w:r>
        <w:rPr>
          <w:rFonts w:ascii="Arial" w:hAnsi="Arial" w:cs="Arial"/>
          <w:sz w:val="24"/>
          <w:szCs w:val="24"/>
        </w:rPr>
        <w:tab/>
        <w:t>The relie</w:t>
      </w:r>
      <w:r w:rsidR="00EE7054">
        <w:rPr>
          <w:rFonts w:ascii="Arial" w:hAnsi="Arial" w:cs="Arial"/>
          <w:sz w:val="24"/>
          <w:szCs w:val="24"/>
        </w:rPr>
        <w:t>f sought was unreasonable or “</w:t>
      </w:r>
      <w:r w:rsidR="00EE7054" w:rsidRPr="00EE7054">
        <w:rPr>
          <w:rFonts w:ascii="Arial" w:hAnsi="Arial" w:cs="Arial"/>
          <w:i/>
          <w:sz w:val="24"/>
          <w:szCs w:val="24"/>
        </w:rPr>
        <w:t>frivolous</w:t>
      </w:r>
      <w:r w:rsidRPr="00EE7054">
        <w:rPr>
          <w:rFonts w:ascii="Arial" w:hAnsi="Arial" w:cs="Arial"/>
          <w:i/>
          <w:sz w:val="24"/>
          <w:szCs w:val="24"/>
        </w:rPr>
        <w:t xml:space="preserve"> in the circumstances</w:t>
      </w:r>
      <w:r>
        <w:rPr>
          <w:rFonts w:ascii="Arial" w:hAnsi="Arial" w:cs="Arial"/>
          <w:sz w:val="24"/>
          <w:szCs w:val="24"/>
        </w:rPr>
        <w:t>” and</w:t>
      </w:r>
    </w:p>
    <w:p w14:paraId="3A8748E6" w14:textId="77777777" w:rsidR="00A945B8" w:rsidRDefault="00A945B8" w:rsidP="00A945B8">
      <w:pPr>
        <w:pStyle w:val="ListParagraph"/>
        <w:spacing w:after="0" w:line="480" w:lineRule="auto"/>
        <w:ind w:left="2160" w:hanging="720"/>
        <w:contextualSpacing w:val="0"/>
        <w:jc w:val="both"/>
        <w:rPr>
          <w:rFonts w:ascii="Arial" w:hAnsi="Arial" w:cs="Arial"/>
          <w:sz w:val="24"/>
          <w:szCs w:val="24"/>
        </w:rPr>
      </w:pPr>
      <w:r>
        <w:rPr>
          <w:rFonts w:ascii="Arial" w:hAnsi="Arial" w:cs="Arial"/>
          <w:sz w:val="24"/>
          <w:szCs w:val="24"/>
        </w:rPr>
        <w:t>214.3</w:t>
      </w:r>
      <w:r>
        <w:rPr>
          <w:rFonts w:ascii="Arial" w:hAnsi="Arial" w:cs="Arial"/>
          <w:sz w:val="24"/>
          <w:szCs w:val="24"/>
        </w:rPr>
        <w:tab/>
        <w:t>The relief sought was not proper or competent in relation to the issue between the parties.</w:t>
      </w:r>
    </w:p>
    <w:p w14:paraId="73047AF7" w14:textId="77777777" w:rsidR="00A945B8" w:rsidRPr="00317ECF" w:rsidRDefault="00A945B8" w:rsidP="00A945B8">
      <w:pPr>
        <w:pStyle w:val="ListParagraph"/>
        <w:rPr>
          <w:rFonts w:ascii="Arial" w:hAnsi="Arial" w:cs="Arial"/>
          <w:sz w:val="24"/>
          <w:szCs w:val="24"/>
        </w:rPr>
      </w:pPr>
    </w:p>
    <w:p w14:paraId="0DEE46A7" w14:textId="6CA372FD" w:rsidR="00A945B8"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t>216.</w:t>
      </w:r>
      <w:r>
        <w:rPr>
          <w:rFonts w:ascii="Arial" w:hAnsi="Arial" w:cs="Arial"/>
          <w:sz w:val="24"/>
          <w:szCs w:val="24"/>
        </w:rPr>
        <w:tab/>
      </w:r>
      <w:r w:rsidR="00A945B8" w:rsidRPr="00D33AC2">
        <w:rPr>
          <w:rFonts w:ascii="Arial" w:hAnsi="Arial" w:cs="Arial"/>
          <w:sz w:val="24"/>
          <w:szCs w:val="24"/>
        </w:rPr>
        <w:t>Having set out the background facts first respondent points out that the matter</w:t>
      </w:r>
      <w:r w:rsidR="00055F0C" w:rsidRPr="00D33AC2">
        <w:rPr>
          <w:rFonts w:ascii="Arial" w:hAnsi="Arial" w:cs="Arial"/>
          <w:sz w:val="24"/>
          <w:szCs w:val="24"/>
        </w:rPr>
        <w:t>,</w:t>
      </w:r>
      <w:r w:rsidR="00A945B8" w:rsidRPr="00D33AC2">
        <w:rPr>
          <w:rFonts w:ascii="Arial" w:hAnsi="Arial" w:cs="Arial"/>
          <w:sz w:val="24"/>
          <w:szCs w:val="24"/>
        </w:rPr>
        <w:t xml:space="preserve"> having been set down for hearing on 11 February 2021</w:t>
      </w:r>
      <w:r w:rsidR="00055F0C" w:rsidRPr="00D33AC2">
        <w:rPr>
          <w:rFonts w:ascii="Arial" w:hAnsi="Arial" w:cs="Arial"/>
          <w:sz w:val="24"/>
          <w:szCs w:val="24"/>
        </w:rPr>
        <w:t>,</w:t>
      </w:r>
      <w:r w:rsidR="00A945B8" w:rsidRPr="00D33AC2">
        <w:rPr>
          <w:rFonts w:ascii="Arial" w:hAnsi="Arial" w:cs="Arial"/>
          <w:sz w:val="24"/>
          <w:szCs w:val="24"/>
        </w:rPr>
        <w:t xml:space="preserve"> was resolved when the applicant “</w:t>
      </w:r>
      <w:r w:rsidR="00A945B8" w:rsidRPr="00D33AC2">
        <w:rPr>
          <w:rFonts w:ascii="Arial" w:hAnsi="Arial" w:cs="Arial"/>
          <w:i/>
          <w:sz w:val="24"/>
          <w:szCs w:val="24"/>
        </w:rPr>
        <w:t>abandoned its reliance on the provisions of PAIA as the basis of the application to compel and its insistence on the ‘complete record.’”</w:t>
      </w:r>
      <w:r w:rsidR="00A945B8" w:rsidRPr="00D33AC2">
        <w:rPr>
          <w:rFonts w:ascii="Arial" w:hAnsi="Arial" w:cs="Arial"/>
          <w:sz w:val="24"/>
          <w:szCs w:val="24"/>
        </w:rPr>
        <w:t xml:space="preserve">  First respondent argues that the order was essentially in the terms proposed by first respondent prior to the institution of the application to compel.  </w:t>
      </w:r>
    </w:p>
    <w:p w14:paraId="09191DF5" w14:textId="77777777" w:rsidR="00A945B8" w:rsidRDefault="00A945B8" w:rsidP="00A945B8">
      <w:pPr>
        <w:pStyle w:val="ListParagraph"/>
        <w:spacing w:after="0" w:line="480" w:lineRule="auto"/>
        <w:contextualSpacing w:val="0"/>
        <w:jc w:val="both"/>
        <w:rPr>
          <w:rFonts w:ascii="Arial" w:hAnsi="Arial" w:cs="Arial"/>
          <w:sz w:val="24"/>
          <w:szCs w:val="24"/>
        </w:rPr>
      </w:pPr>
    </w:p>
    <w:p w14:paraId="239EF6B4" w14:textId="5D6D8556" w:rsidR="00A945B8" w:rsidRPr="00D33AC2" w:rsidRDefault="00D33AC2" w:rsidP="00D33AC2">
      <w:pPr>
        <w:spacing w:after="0" w:line="480" w:lineRule="auto"/>
        <w:ind w:left="720" w:hanging="720"/>
        <w:jc w:val="both"/>
        <w:rPr>
          <w:rFonts w:ascii="Arial" w:hAnsi="Arial" w:cs="Arial"/>
          <w:b/>
          <w:sz w:val="24"/>
          <w:szCs w:val="24"/>
          <w:u w:val="single"/>
        </w:rPr>
      </w:pPr>
      <w:r w:rsidRPr="00A945B8">
        <w:rPr>
          <w:rFonts w:ascii="Arial" w:hAnsi="Arial" w:cs="Arial"/>
          <w:sz w:val="24"/>
          <w:szCs w:val="24"/>
        </w:rPr>
        <w:t>217.</w:t>
      </w:r>
      <w:r w:rsidRPr="00A945B8">
        <w:rPr>
          <w:rFonts w:ascii="Arial" w:hAnsi="Arial" w:cs="Arial"/>
          <w:sz w:val="24"/>
          <w:szCs w:val="24"/>
        </w:rPr>
        <w:tab/>
      </w:r>
      <w:r w:rsidR="00A945B8" w:rsidRPr="00D33AC2">
        <w:rPr>
          <w:rFonts w:ascii="Arial" w:hAnsi="Arial" w:cs="Arial"/>
          <w:sz w:val="24"/>
          <w:szCs w:val="24"/>
        </w:rPr>
        <w:t xml:space="preserve">First respondent argues that it is trite that the whole record of proceedings sought to be corrected or set aside need not be furnished and only those portions thereof which were relevant </w:t>
      </w:r>
      <w:r w:rsidR="00055F0C" w:rsidRPr="00D33AC2">
        <w:rPr>
          <w:rFonts w:ascii="Arial" w:hAnsi="Arial" w:cs="Arial"/>
          <w:sz w:val="24"/>
          <w:szCs w:val="24"/>
        </w:rPr>
        <w:t xml:space="preserve">and </w:t>
      </w:r>
      <w:r w:rsidR="00A945B8" w:rsidRPr="00D33AC2">
        <w:rPr>
          <w:rFonts w:ascii="Arial" w:hAnsi="Arial" w:cs="Arial"/>
          <w:sz w:val="24"/>
          <w:szCs w:val="24"/>
        </w:rPr>
        <w:t>those portions not excluded by privilege are required to be delivered.</w:t>
      </w:r>
      <w:r w:rsidR="00A945B8">
        <w:rPr>
          <w:rStyle w:val="FootnoteReference"/>
          <w:rFonts w:ascii="Arial" w:hAnsi="Arial" w:cs="Arial"/>
          <w:sz w:val="24"/>
          <w:szCs w:val="24"/>
        </w:rPr>
        <w:footnoteReference w:id="37"/>
      </w:r>
      <w:r w:rsidR="00A945B8" w:rsidRPr="00D33AC2">
        <w:rPr>
          <w:rFonts w:ascii="Arial" w:hAnsi="Arial" w:cs="Arial"/>
          <w:sz w:val="24"/>
          <w:szCs w:val="24"/>
        </w:rPr>
        <w:t xml:space="preserve">  </w:t>
      </w:r>
    </w:p>
    <w:p w14:paraId="246B21CC" w14:textId="77777777" w:rsidR="00A945B8" w:rsidRPr="00A945B8" w:rsidRDefault="00A945B8" w:rsidP="00A945B8">
      <w:pPr>
        <w:pStyle w:val="ListParagraph"/>
        <w:rPr>
          <w:rFonts w:ascii="Arial" w:hAnsi="Arial" w:cs="Arial"/>
          <w:b/>
          <w:sz w:val="24"/>
          <w:szCs w:val="24"/>
          <w:u w:val="single"/>
        </w:rPr>
      </w:pPr>
    </w:p>
    <w:p w14:paraId="3CFC50BF" w14:textId="3BA674E7" w:rsidR="00A945B8"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lastRenderedPageBreak/>
        <w:t>218.</w:t>
      </w:r>
      <w:r>
        <w:rPr>
          <w:rFonts w:ascii="Arial" w:hAnsi="Arial" w:cs="Arial"/>
          <w:sz w:val="24"/>
          <w:szCs w:val="24"/>
        </w:rPr>
        <w:tab/>
      </w:r>
      <w:r w:rsidR="00A945B8" w:rsidRPr="00D33AC2">
        <w:rPr>
          <w:rFonts w:ascii="Arial" w:hAnsi="Arial" w:cs="Arial"/>
          <w:sz w:val="24"/>
          <w:szCs w:val="24"/>
        </w:rPr>
        <w:t xml:space="preserve">First respondent argues that the questions arising in Rule 30A(1) are objective questions of fact or law inter alia whether there has been non-compliance.  It is pointed out that the majority judgment in </w:t>
      </w:r>
      <w:r w:rsidR="00A945B8" w:rsidRPr="00D33AC2">
        <w:rPr>
          <w:rFonts w:ascii="Arial" w:hAnsi="Arial" w:cs="Arial"/>
          <w:b/>
          <w:sz w:val="24"/>
          <w:szCs w:val="24"/>
        </w:rPr>
        <w:t>Helen Suzman</w:t>
      </w:r>
      <w:r w:rsidR="00A945B8" w:rsidRPr="00D33AC2">
        <w:rPr>
          <w:rFonts w:ascii="Arial" w:hAnsi="Arial" w:cs="Arial"/>
          <w:sz w:val="24"/>
          <w:szCs w:val="24"/>
        </w:rPr>
        <w:t xml:space="preserve"> (supra) distinguishes the requirements of Rule 30A(1) from those of Rule 30A(2).</w:t>
      </w:r>
    </w:p>
    <w:p w14:paraId="36B28DB9" w14:textId="77777777" w:rsidR="00A945B8" w:rsidRPr="00A945B8" w:rsidRDefault="00A945B8" w:rsidP="00A945B8">
      <w:pPr>
        <w:pStyle w:val="ListParagraph"/>
        <w:rPr>
          <w:rFonts w:ascii="Arial" w:hAnsi="Arial" w:cs="Arial"/>
          <w:sz w:val="24"/>
          <w:szCs w:val="24"/>
        </w:rPr>
      </w:pPr>
    </w:p>
    <w:p w14:paraId="7AF3BFFB" w14:textId="76A02CB2" w:rsidR="00A945B8"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t>219.</w:t>
      </w:r>
      <w:r>
        <w:rPr>
          <w:rFonts w:ascii="Arial" w:hAnsi="Arial" w:cs="Arial"/>
          <w:sz w:val="24"/>
          <w:szCs w:val="24"/>
        </w:rPr>
        <w:tab/>
      </w:r>
      <w:r w:rsidR="00A945B8" w:rsidRPr="00D33AC2">
        <w:rPr>
          <w:rFonts w:ascii="Arial" w:hAnsi="Arial" w:cs="Arial"/>
          <w:sz w:val="24"/>
          <w:szCs w:val="24"/>
        </w:rPr>
        <w:t xml:space="preserve">It is clear from that decision that the rule </w:t>
      </w:r>
      <w:r w:rsidR="00055F0C" w:rsidRPr="00D33AC2">
        <w:rPr>
          <w:rFonts w:ascii="Arial" w:hAnsi="Arial" w:cs="Arial"/>
          <w:sz w:val="24"/>
          <w:szCs w:val="24"/>
        </w:rPr>
        <w:t>confers</w:t>
      </w:r>
      <w:r w:rsidR="00A945B8" w:rsidRPr="00D33AC2">
        <w:rPr>
          <w:rFonts w:ascii="Arial" w:hAnsi="Arial" w:cs="Arial"/>
          <w:sz w:val="24"/>
          <w:szCs w:val="24"/>
        </w:rPr>
        <w:t xml:space="preserve"> a wide discretion </w:t>
      </w:r>
      <w:r w:rsidR="00055F0C" w:rsidRPr="00D33AC2">
        <w:rPr>
          <w:rFonts w:ascii="Arial" w:hAnsi="Arial" w:cs="Arial"/>
          <w:sz w:val="24"/>
          <w:szCs w:val="24"/>
        </w:rPr>
        <w:t>on</w:t>
      </w:r>
      <w:r w:rsidR="00A945B8" w:rsidRPr="00D33AC2">
        <w:rPr>
          <w:rFonts w:ascii="Arial" w:hAnsi="Arial" w:cs="Arial"/>
          <w:sz w:val="24"/>
          <w:szCs w:val="24"/>
        </w:rPr>
        <w:t xml:space="preserve"> the court to which a Rule 30A applications made.  In the event of non-compliance the court is free to make any order it deems fit.  Clearly as pointed out by the court a flexible approach is required in construing and applying the rules and not a mechanical application thereof.  </w:t>
      </w:r>
    </w:p>
    <w:p w14:paraId="7418EEDA" w14:textId="77777777" w:rsidR="00A945B8" w:rsidRPr="00A945B8" w:rsidRDefault="00A945B8" w:rsidP="00A945B8">
      <w:pPr>
        <w:pStyle w:val="ListParagraph"/>
        <w:rPr>
          <w:rFonts w:ascii="Arial" w:hAnsi="Arial" w:cs="Arial"/>
          <w:sz w:val="24"/>
          <w:szCs w:val="24"/>
        </w:rPr>
      </w:pPr>
    </w:p>
    <w:p w14:paraId="7B9005F8" w14:textId="2AB98521" w:rsidR="00A945B8"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t>220.</w:t>
      </w:r>
      <w:r>
        <w:rPr>
          <w:rFonts w:ascii="Arial" w:hAnsi="Arial" w:cs="Arial"/>
          <w:sz w:val="24"/>
          <w:szCs w:val="24"/>
        </w:rPr>
        <w:tab/>
      </w:r>
      <w:r w:rsidR="00A945B8" w:rsidRPr="00D33AC2">
        <w:rPr>
          <w:rFonts w:ascii="Arial" w:hAnsi="Arial" w:cs="Arial"/>
          <w:sz w:val="24"/>
          <w:szCs w:val="24"/>
        </w:rPr>
        <w:t>First respondent concedes that the record was not delivered but point</w:t>
      </w:r>
      <w:r w:rsidR="00055F0C" w:rsidRPr="00D33AC2">
        <w:rPr>
          <w:rFonts w:ascii="Arial" w:hAnsi="Arial" w:cs="Arial"/>
          <w:sz w:val="24"/>
          <w:szCs w:val="24"/>
        </w:rPr>
        <w:t>s</w:t>
      </w:r>
      <w:r w:rsidR="00A945B8" w:rsidRPr="00D33AC2">
        <w:rPr>
          <w:rFonts w:ascii="Arial" w:hAnsi="Arial" w:cs="Arial"/>
          <w:sz w:val="24"/>
          <w:szCs w:val="24"/>
        </w:rPr>
        <w:t xml:space="preserve"> to the difficulties experienced by first respondent, and argues that the crucial issues are:</w:t>
      </w:r>
    </w:p>
    <w:p w14:paraId="5F420722" w14:textId="77777777" w:rsidR="00A945B8" w:rsidRPr="00A945B8" w:rsidRDefault="00A945B8" w:rsidP="00A945B8">
      <w:pPr>
        <w:pStyle w:val="ListParagraph"/>
        <w:rPr>
          <w:rFonts w:ascii="Arial" w:hAnsi="Arial" w:cs="Arial"/>
          <w:sz w:val="24"/>
          <w:szCs w:val="24"/>
        </w:rPr>
      </w:pPr>
    </w:p>
    <w:p w14:paraId="03188FED" w14:textId="5CB9F37A" w:rsidR="00A945B8" w:rsidRPr="00D33AC2" w:rsidRDefault="00D33AC2" w:rsidP="00D33AC2">
      <w:pPr>
        <w:spacing w:after="0" w:line="480" w:lineRule="auto"/>
        <w:ind w:left="2160" w:hanging="720"/>
        <w:jc w:val="both"/>
        <w:rPr>
          <w:rFonts w:ascii="Arial" w:hAnsi="Arial" w:cs="Arial"/>
          <w:sz w:val="24"/>
          <w:szCs w:val="24"/>
        </w:rPr>
      </w:pPr>
      <w:r>
        <w:rPr>
          <w:rFonts w:ascii="Arial" w:hAnsi="Arial" w:cs="Arial"/>
          <w:sz w:val="24"/>
          <w:szCs w:val="24"/>
        </w:rPr>
        <w:t>219.1</w:t>
      </w:r>
      <w:r>
        <w:rPr>
          <w:rFonts w:ascii="Arial" w:hAnsi="Arial" w:cs="Arial"/>
          <w:sz w:val="24"/>
          <w:szCs w:val="24"/>
        </w:rPr>
        <w:tab/>
      </w:r>
      <w:r w:rsidR="00A945B8" w:rsidRPr="00D33AC2">
        <w:rPr>
          <w:rFonts w:ascii="Arial" w:hAnsi="Arial" w:cs="Arial"/>
          <w:sz w:val="24"/>
          <w:szCs w:val="24"/>
        </w:rPr>
        <w:t>Whether the applicant had made out a case for an order in terms of Rule 30A;</w:t>
      </w:r>
    </w:p>
    <w:p w14:paraId="60563224" w14:textId="34C218BB" w:rsidR="00A945B8" w:rsidRPr="00D33AC2" w:rsidRDefault="00D33AC2" w:rsidP="00D33AC2">
      <w:pPr>
        <w:spacing w:after="0" w:line="480" w:lineRule="auto"/>
        <w:ind w:left="2160" w:hanging="720"/>
        <w:jc w:val="both"/>
        <w:rPr>
          <w:rFonts w:ascii="Arial" w:hAnsi="Arial" w:cs="Arial"/>
          <w:sz w:val="24"/>
          <w:szCs w:val="24"/>
        </w:rPr>
      </w:pPr>
      <w:r>
        <w:rPr>
          <w:rFonts w:ascii="Arial" w:hAnsi="Arial" w:cs="Arial"/>
          <w:sz w:val="24"/>
          <w:szCs w:val="24"/>
        </w:rPr>
        <w:t>219.2</w:t>
      </w:r>
      <w:r>
        <w:rPr>
          <w:rFonts w:ascii="Arial" w:hAnsi="Arial" w:cs="Arial"/>
          <w:sz w:val="24"/>
          <w:szCs w:val="24"/>
        </w:rPr>
        <w:tab/>
      </w:r>
      <w:r w:rsidR="00EE3DB7" w:rsidRPr="00D33AC2">
        <w:rPr>
          <w:rFonts w:ascii="Arial" w:hAnsi="Arial" w:cs="Arial"/>
          <w:sz w:val="24"/>
          <w:szCs w:val="24"/>
        </w:rPr>
        <w:t>Whether the applicant was permitted to seek reliance on its abandoned PAIA application to compel the record;</w:t>
      </w:r>
    </w:p>
    <w:p w14:paraId="65CE6E03" w14:textId="3691BB48" w:rsidR="00EE3DB7" w:rsidRPr="00D33AC2" w:rsidRDefault="00D33AC2" w:rsidP="00D33AC2">
      <w:pPr>
        <w:spacing w:after="0" w:line="480" w:lineRule="auto"/>
        <w:ind w:left="2160" w:hanging="720"/>
        <w:jc w:val="both"/>
        <w:rPr>
          <w:rFonts w:ascii="Arial" w:hAnsi="Arial" w:cs="Arial"/>
          <w:sz w:val="24"/>
          <w:szCs w:val="24"/>
        </w:rPr>
      </w:pPr>
      <w:r>
        <w:rPr>
          <w:rFonts w:ascii="Arial" w:hAnsi="Arial" w:cs="Arial"/>
          <w:sz w:val="24"/>
          <w:szCs w:val="24"/>
        </w:rPr>
        <w:t>219.3</w:t>
      </w:r>
      <w:r>
        <w:rPr>
          <w:rFonts w:ascii="Arial" w:hAnsi="Arial" w:cs="Arial"/>
          <w:sz w:val="24"/>
          <w:szCs w:val="24"/>
        </w:rPr>
        <w:tab/>
      </w:r>
      <w:r w:rsidR="00EE3DB7" w:rsidRPr="00D33AC2">
        <w:rPr>
          <w:rFonts w:ascii="Arial" w:hAnsi="Arial" w:cs="Arial"/>
          <w:sz w:val="24"/>
          <w:szCs w:val="24"/>
        </w:rPr>
        <w:t>Whether applicant was permitted to demand a “</w:t>
      </w:r>
      <w:r w:rsidR="00EE3DB7" w:rsidRPr="00D33AC2">
        <w:rPr>
          <w:rFonts w:ascii="Arial" w:hAnsi="Arial" w:cs="Arial"/>
          <w:i/>
          <w:sz w:val="24"/>
          <w:szCs w:val="24"/>
        </w:rPr>
        <w:t>complete record</w:t>
      </w:r>
      <w:r w:rsidR="00EE3DB7" w:rsidRPr="00D33AC2">
        <w:rPr>
          <w:rFonts w:ascii="Arial" w:hAnsi="Arial" w:cs="Arial"/>
          <w:sz w:val="24"/>
          <w:szCs w:val="24"/>
        </w:rPr>
        <w:t>”; and</w:t>
      </w:r>
    </w:p>
    <w:p w14:paraId="3B5F5F41" w14:textId="4EAC0056" w:rsidR="00EE3DB7" w:rsidRPr="00D33AC2" w:rsidRDefault="00D33AC2" w:rsidP="00D33AC2">
      <w:pPr>
        <w:spacing w:after="0" w:line="480" w:lineRule="auto"/>
        <w:ind w:left="2160" w:hanging="720"/>
        <w:jc w:val="both"/>
        <w:rPr>
          <w:rFonts w:ascii="Arial" w:hAnsi="Arial" w:cs="Arial"/>
          <w:sz w:val="24"/>
          <w:szCs w:val="24"/>
        </w:rPr>
      </w:pPr>
      <w:r w:rsidRPr="00A945B8">
        <w:rPr>
          <w:rFonts w:ascii="Arial" w:hAnsi="Arial" w:cs="Arial"/>
          <w:sz w:val="24"/>
          <w:szCs w:val="24"/>
        </w:rPr>
        <w:t>219.4</w:t>
      </w:r>
      <w:r w:rsidRPr="00A945B8">
        <w:rPr>
          <w:rFonts w:ascii="Arial" w:hAnsi="Arial" w:cs="Arial"/>
          <w:sz w:val="24"/>
          <w:szCs w:val="24"/>
        </w:rPr>
        <w:tab/>
      </w:r>
      <w:r w:rsidR="00EE3DB7" w:rsidRPr="00D33AC2">
        <w:rPr>
          <w:rFonts w:ascii="Arial" w:hAnsi="Arial" w:cs="Arial"/>
          <w:sz w:val="24"/>
          <w:szCs w:val="24"/>
        </w:rPr>
        <w:t>Whether applicant acted reasonably in refusing the extension to deliver the record as was, so it is argued, reasonably sought.</w:t>
      </w:r>
    </w:p>
    <w:p w14:paraId="54D6053F" w14:textId="77777777" w:rsidR="006C26AA" w:rsidRDefault="006C26AA" w:rsidP="00F009F9">
      <w:pPr>
        <w:pStyle w:val="ListParagraph"/>
        <w:spacing w:after="0" w:line="480" w:lineRule="auto"/>
        <w:contextualSpacing w:val="0"/>
        <w:rPr>
          <w:rFonts w:ascii="Arial" w:hAnsi="Arial" w:cs="Arial"/>
          <w:sz w:val="24"/>
          <w:szCs w:val="24"/>
        </w:rPr>
      </w:pPr>
    </w:p>
    <w:p w14:paraId="31942A6A" w14:textId="4FD35CCB" w:rsidR="00EE3DB7"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t>221.</w:t>
      </w:r>
      <w:r>
        <w:rPr>
          <w:rFonts w:ascii="Arial" w:hAnsi="Arial" w:cs="Arial"/>
          <w:sz w:val="24"/>
          <w:szCs w:val="24"/>
        </w:rPr>
        <w:tab/>
      </w:r>
      <w:r w:rsidR="00EE3DB7" w:rsidRPr="00D33AC2">
        <w:rPr>
          <w:rFonts w:ascii="Arial" w:hAnsi="Arial" w:cs="Arial"/>
          <w:sz w:val="24"/>
          <w:szCs w:val="24"/>
        </w:rPr>
        <w:t xml:space="preserve">First respondent argues that applicant’s case extends beyond Rule 30A implicating non-compliance with request or notices issued outside the ambit of the Rules.  </w:t>
      </w:r>
    </w:p>
    <w:p w14:paraId="1C2BE6E6" w14:textId="77777777" w:rsidR="00EE3DB7" w:rsidRDefault="00EE3DB7" w:rsidP="00EE3DB7">
      <w:pPr>
        <w:pStyle w:val="ListParagraph"/>
        <w:spacing w:after="0" w:line="480" w:lineRule="auto"/>
        <w:contextualSpacing w:val="0"/>
        <w:jc w:val="both"/>
        <w:rPr>
          <w:rFonts w:ascii="Arial" w:hAnsi="Arial" w:cs="Arial"/>
          <w:sz w:val="24"/>
          <w:szCs w:val="24"/>
        </w:rPr>
      </w:pPr>
    </w:p>
    <w:p w14:paraId="5B45B67B" w14:textId="3FC31B3D" w:rsidR="00EE3DB7"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t>222.</w:t>
      </w:r>
      <w:r>
        <w:rPr>
          <w:rFonts w:ascii="Arial" w:hAnsi="Arial" w:cs="Arial"/>
          <w:sz w:val="24"/>
          <w:szCs w:val="24"/>
        </w:rPr>
        <w:tab/>
      </w:r>
      <w:r w:rsidR="00EE3DB7" w:rsidRPr="00D33AC2">
        <w:rPr>
          <w:rFonts w:ascii="Arial" w:hAnsi="Arial" w:cs="Arial"/>
          <w:sz w:val="24"/>
          <w:szCs w:val="24"/>
        </w:rPr>
        <w:t xml:space="preserve">First respondent argues that </w:t>
      </w:r>
      <w:r w:rsidR="00055F0C" w:rsidRPr="00D33AC2">
        <w:rPr>
          <w:rFonts w:ascii="Arial" w:hAnsi="Arial" w:cs="Arial"/>
          <w:sz w:val="24"/>
          <w:szCs w:val="24"/>
        </w:rPr>
        <w:t>it</w:t>
      </w:r>
      <w:r w:rsidR="00EE3DB7" w:rsidRPr="00D33AC2">
        <w:rPr>
          <w:rFonts w:ascii="Arial" w:hAnsi="Arial" w:cs="Arial"/>
          <w:sz w:val="24"/>
          <w:szCs w:val="24"/>
        </w:rPr>
        <w:t xml:space="preserve"> fully set out in the correspondence its difficulties in complying with the </w:t>
      </w:r>
      <w:r w:rsidR="00055F0C" w:rsidRPr="00D33AC2">
        <w:rPr>
          <w:rFonts w:ascii="Arial" w:hAnsi="Arial" w:cs="Arial"/>
          <w:sz w:val="24"/>
          <w:szCs w:val="24"/>
        </w:rPr>
        <w:t xml:space="preserve">provision of the </w:t>
      </w:r>
      <w:r w:rsidR="00EE3DB7" w:rsidRPr="00D33AC2">
        <w:rPr>
          <w:rFonts w:ascii="Arial" w:hAnsi="Arial" w:cs="Arial"/>
          <w:sz w:val="24"/>
          <w:szCs w:val="24"/>
        </w:rPr>
        <w:t>record which included the Covid-19 pandemic and the legal office</w:t>
      </w:r>
      <w:r w:rsidR="00ED2AA9" w:rsidRPr="00D33AC2">
        <w:rPr>
          <w:rFonts w:ascii="Arial" w:hAnsi="Arial" w:cs="Arial"/>
          <w:sz w:val="24"/>
          <w:szCs w:val="24"/>
        </w:rPr>
        <w:t>r’s</w:t>
      </w:r>
      <w:r w:rsidR="00EE3DB7" w:rsidRPr="00D33AC2">
        <w:rPr>
          <w:rFonts w:ascii="Arial" w:hAnsi="Arial" w:cs="Arial"/>
          <w:sz w:val="24"/>
          <w:szCs w:val="24"/>
        </w:rPr>
        <w:t xml:space="preserve"> leave of absence relevant, applicant applying </w:t>
      </w:r>
      <w:r w:rsidR="00ED2AA9" w:rsidRPr="00D33AC2">
        <w:rPr>
          <w:rFonts w:ascii="Arial" w:hAnsi="Arial" w:cs="Arial"/>
          <w:sz w:val="24"/>
          <w:szCs w:val="24"/>
        </w:rPr>
        <w:t>so it is argued a</w:t>
      </w:r>
      <w:r w:rsidR="00EE3DB7" w:rsidRPr="00D33AC2">
        <w:rPr>
          <w:rFonts w:ascii="Arial" w:hAnsi="Arial" w:cs="Arial"/>
          <w:sz w:val="24"/>
          <w:szCs w:val="24"/>
        </w:rPr>
        <w:t xml:space="preserve">n </w:t>
      </w:r>
      <w:r w:rsidR="00055F0C" w:rsidRPr="00D33AC2">
        <w:rPr>
          <w:rFonts w:ascii="Arial" w:hAnsi="Arial" w:cs="Arial"/>
          <w:sz w:val="24"/>
          <w:szCs w:val="24"/>
        </w:rPr>
        <w:t>un</w:t>
      </w:r>
      <w:r w:rsidR="00EE3DB7" w:rsidRPr="00D33AC2">
        <w:rPr>
          <w:rFonts w:ascii="Arial" w:hAnsi="Arial" w:cs="Arial"/>
          <w:sz w:val="24"/>
          <w:szCs w:val="24"/>
        </w:rPr>
        <w:t xml:space="preserve">reasonable approach inconsistent with the constitutional court’s </w:t>
      </w:r>
      <w:r w:rsidR="00055F0C" w:rsidRPr="00D33AC2">
        <w:rPr>
          <w:rFonts w:ascii="Arial" w:hAnsi="Arial" w:cs="Arial"/>
          <w:sz w:val="24"/>
          <w:szCs w:val="24"/>
        </w:rPr>
        <w:t xml:space="preserve">decision </w:t>
      </w:r>
      <w:r w:rsidR="00EE3DB7" w:rsidRPr="00D33AC2">
        <w:rPr>
          <w:rFonts w:ascii="Arial" w:hAnsi="Arial" w:cs="Arial"/>
          <w:sz w:val="24"/>
          <w:szCs w:val="24"/>
        </w:rPr>
        <w:t xml:space="preserve">in </w:t>
      </w:r>
      <w:r w:rsidR="00EE3DB7" w:rsidRPr="00D33AC2">
        <w:rPr>
          <w:rFonts w:ascii="Arial" w:hAnsi="Arial" w:cs="Arial"/>
          <w:b/>
          <w:sz w:val="24"/>
          <w:szCs w:val="24"/>
        </w:rPr>
        <w:t>Helen Suzman Foundation</w:t>
      </w:r>
      <w:r w:rsidR="00EE3DB7" w:rsidRPr="00D33AC2">
        <w:rPr>
          <w:rFonts w:ascii="Arial" w:hAnsi="Arial" w:cs="Arial"/>
          <w:sz w:val="24"/>
          <w:szCs w:val="24"/>
        </w:rPr>
        <w:t xml:space="preserve">.  It argues credible evidence was provided </w:t>
      </w:r>
      <w:r w:rsidR="00055F0C" w:rsidRPr="00D33AC2">
        <w:rPr>
          <w:rFonts w:ascii="Arial" w:hAnsi="Arial" w:cs="Arial"/>
          <w:sz w:val="24"/>
          <w:szCs w:val="24"/>
        </w:rPr>
        <w:t>that</w:t>
      </w:r>
      <w:r w:rsidR="00EE3DB7" w:rsidRPr="00D33AC2">
        <w:rPr>
          <w:rFonts w:ascii="Arial" w:hAnsi="Arial" w:cs="Arial"/>
          <w:sz w:val="24"/>
          <w:szCs w:val="24"/>
        </w:rPr>
        <w:t xml:space="preserve"> steps had been taken to comply but was effectively </w:t>
      </w:r>
      <w:r w:rsidR="00055F0C" w:rsidRPr="00D33AC2">
        <w:rPr>
          <w:rFonts w:ascii="Arial" w:hAnsi="Arial" w:cs="Arial"/>
          <w:sz w:val="24"/>
          <w:szCs w:val="24"/>
        </w:rPr>
        <w:t>im</w:t>
      </w:r>
      <w:r w:rsidR="00EE3DB7" w:rsidRPr="00D33AC2">
        <w:rPr>
          <w:rFonts w:ascii="Arial" w:hAnsi="Arial" w:cs="Arial"/>
          <w:sz w:val="24"/>
          <w:szCs w:val="24"/>
        </w:rPr>
        <w:t>possible at that time.</w:t>
      </w:r>
    </w:p>
    <w:p w14:paraId="1C767DFA" w14:textId="77777777" w:rsidR="00EE3DB7" w:rsidRPr="00EE3DB7" w:rsidRDefault="00EE3DB7" w:rsidP="00EE3DB7">
      <w:pPr>
        <w:pStyle w:val="ListParagraph"/>
        <w:rPr>
          <w:rFonts w:ascii="Arial" w:hAnsi="Arial" w:cs="Arial"/>
          <w:sz w:val="24"/>
          <w:szCs w:val="24"/>
        </w:rPr>
      </w:pPr>
    </w:p>
    <w:p w14:paraId="08CBABE0" w14:textId="2264B581" w:rsidR="00EE3DB7"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t>223.</w:t>
      </w:r>
      <w:r>
        <w:rPr>
          <w:rFonts w:ascii="Arial" w:hAnsi="Arial" w:cs="Arial"/>
          <w:sz w:val="24"/>
          <w:szCs w:val="24"/>
        </w:rPr>
        <w:tab/>
      </w:r>
      <w:r w:rsidR="00EE3DB7" w:rsidRPr="00D33AC2">
        <w:rPr>
          <w:rFonts w:ascii="Arial" w:hAnsi="Arial" w:cs="Arial"/>
          <w:sz w:val="24"/>
          <w:szCs w:val="24"/>
        </w:rPr>
        <w:t>Applicant argues that the reference to the “</w:t>
      </w:r>
      <w:r w:rsidR="00EE3DB7" w:rsidRPr="00D33AC2">
        <w:rPr>
          <w:rFonts w:ascii="Arial" w:hAnsi="Arial" w:cs="Arial"/>
          <w:i/>
          <w:sz w:val="24"/>
          <w:szCs w:val="24"/>
        </w:rPr>
        <w:t>complete record</w:t>
      </w:r>
      <w:r w:rsidR="00EE3DB7" w:rsidRPr="00D33AC2">
        <w:rPr>
          <w:rFonts w:ascii="Arial" w:hAnsi="Arial" w:cs="Arial"/>
          <w:sz w:val="24"/>
          <w:szCs w:val="24"/>
        </w:rPr>
        <w:t xml:space="preserve">” was undue, and went beyond that which could be legitimately granted by a court.  It is argued that the order granted by agreement demonstrated that applicant conceded that it was not entitled to the complete record or to persist with the PAIA request.  </w:t>
      </w:r>
    </w:p>
    <w:p w14:paraId="088D71DE" w14:textId="77777777" w:rsidR="00EE3DB7" w:rsidRPr="00EE3DB7" w:rsidRDefault="00EE3DB7" w:rsidP="00EE3DB7">
      <w:pPr>
        <w:pStyle w:val="ListParagraph"/>
        <w:rPr>
          <w:rFonts w:ascii="Arial" w:hAnsi="Arial" w:cs="Arial"/>
          <w:sz w:val="24"/>
          <w:szCs w:val="24"/>
        </w:rPr>
      </w:pPr>
    </w:p>
    <w:p w14:paraId="3555FBAF" w14:textId="2492A55B" w:rsidR="00EE3DB7" w:rsidRPr="00D33AC2" w:rsidRDefault="00D33AC2" w:rsidP="00D33AC2">
      <w:pPr>
        <w:spacing w:after="0" w:line="480" w:lineRule="auto"/>
        <w:ind w:left="720" w:hanging="720"/>
        <w:jc w:val="both"/>
        <w:rPr>
          <w:rFonts w:ascii="Arial" w:hAnsi="Arial" w:cs="Arial"/>
          <w:sz w:val="24"/>
          <w:szCs w:val="24"/>
        </w:rPr>
      </w:pPr>
      <w:r>
        <w:rPr>
          <w:rFonts w:ascii="Arial" w:hAnsi="Arial" w:cs="Arial"/>
          <w:sz w:val="24"/>
          <w:szCs w:val="24"/>
        </w:rPr>
        <w:t>224.</w:t>
      </w:r>
      <w:r>
        <w:rPr>
          <w:rFonts w:ascii="Arial" w:hAnsi="Arial" w:cs="Arial"/>
          <w:sz w:val="24"/>
          <w:szCs w:val="24"/>
        </w:rPr>
        <w:tab/>
      </w:r>
      <w:r w:rsidR="00EE3DB7" w:rsidRPr="00D33AC2">
        <w:rPr>
          <w:rFonts w:ascii="Arial" w:hAnsi="Arial" w:cs="Arial"/>
          <w:sz w:val="24"/>
          <w:szCs w:val="24"/>
        </w:rPr>
        <w:t xml:space="preserve">It is argued that first respondent was therefor the successful party </w:t>
      </w:r>
      <w:r w:rsidR="00055F0C" w:rsidRPr="00D33AC2">
        <w:rPr>
          <w:rFonts w:ascii="Arial" w:hAnsi="Arial" w:cs="Arial"/>
          <w:sz w:val="24"/>
          <w:szCs w:val="24"/>
        </w:rPr>
        <w:t xml:space="preserve">however </w:t>
      </w:r>
      <w:r w:rsidR="00EE3DB7" w:rsidRPr="00D33AC2">
        <w:rPr>
          <w:rFonts w:ascii="Arial" w:hAnsi="Arial" w:cs="Arial"/>
          <w:sz w:val="24"/>
          <w:szCs w:val="24"/>
        </w:rPr>
        <w:t>conceded the duty to deliver the record, though not the complete record</w:t>
      </w:r>
      <w:r w:rsidR="0099323C" w:rsidRPr="00D33AC2">
        <w:rPr>
          <w:rFonts w:ascii="Arial" w:hAnsi="Arial" w:cs="Arial"/>
          <w:sz w:val="24"/>
          <w:szCs w:val="24"/>
        </w:rPr>
        <w:t>,</w:t>
      </w:r>
      <w:r w:rsidR="00EE3DB7" w:rsidRPr="00D33AC2">
        <w:rPr>
          <w:rFonts w:ascii="Arial" w:hAnsi="Arial" w:cs="Arial"/>
          <w:sz w:val="24"/>
          <w:szCs w:val="24"/>
        </w:rPr>
        <w:t xml:space="preserve"> the order in fact being a formalisation of the cause that first respondent contended for prior to the application to compel being launched.  </w:t>
      </w:r>
    </w:p>
    <w:p w14:paraId="3EA53E98" w14:textId="77777777" w:rsidR="00EE3DB7" w:rsidRPr="00EE3DB7" w:rsidRDefault="00EE3DB7" w:rsidP="00EE3DB7">
      <w:pPr>
        <w:pStyle w:val="ListParagraph"/>
        <w:rPr>
          <w:rFonts w:ascii="Arial" w:hAnsi="Arial" w:cs="Arial"/>
          <w:sz w:val="24"/>
          <w:szCs w:val="24"/>
        </w:rPr>
      </w:pPr>
    </w:p>
    <w:p w14:paraId="645F14C6" w14:textId="3441F13A" w:rsidR="00EE3DB7" w:rsidRPr="00D33AC2" w:rsidRDefault="00D33AC2" w:rsidP="00D33AC2">
      <w:pPr>
        <w:spacing w:after="0" w:line="480" w:lineRule="auto"/>
        <w:ind w:left="720" w:hanging="720"/>
        <w:jc w:val="both"/>
        <w:rPr>
          <w:rFonts w:ascii="Arial" w:hAnsi="Arial" w:cs="Arial"/>
          <w:i/>
          <w:sz w:val="24"/>
          <w:szCs w:val="24"/>
        </w:rPr>
      </w:pPr>
      <w:r w:rsidRPr="00901192">
        <w:rPr>
          <w:rFonts w:ascii="Arial" w:hAnsi="Arial" w:cs="Arial"/>
          <w:i/>
          <w:sz w:val="24"/>
          <w:szCs w:val="24"/>
        </w:rPr>
        <w:t>225.</w:t>
      </w:r>
      <w:r w:rsidRPr="00901192">
        <w:rPr>
          <w:rFonts w:ascii="Arial" w:hAnsi="Arial" w:cs="Arial"/>
          <w:i/>
          <w:sz w:val="24"/>
          <w:szCs w:val="24"/>
        </w:rPr>
        <w:tab/>
      </w:r>
      <w:r w:rsidR="00EE3DB7" w:rsidRPr="00D33AC2">
        <w:rPr>
          <w:rFonts w:ascii="Arial" w:hAnsi="Arial" w:cs="Arial"/>
          <w:sz w:val="24"/>
          <w:szCs w:val="24"/>
        </w:rPr>
        <w:t xml:space="preserve">In the alternative first respondent argues that if it is found that the applicant was successful in the application to compel the applicant is to be deprived </w:t>
      </w:r>
      <w:r w:rsidR="0099323C" w:rsidRPr="00D33AC2">
        <w:rPr>
          <w:rFonts w:ascii="Arial" w:hAnsi="Arial" w:cs="Arial"/>
          <w:sz w:val="24"/>
          <w:szCs w:val="24"/>
        </w:rPr>
        <w:t xml:space="preserve">of its </w:t>
      </w:r>
      <w:r w:rsidR="00EE3DB7" w:rsidRPr="00D33AC2">
        <w:rPr>
          <w:rFonts w:ascii="Arial" w:hAnsi="Arial" w:cs="Arial"/>
          <w:sz w:val="24"/>
          <w:szCs w:val="24"/>
        </w:rPr>
        <w:t>costs due to the “</w:t>
      </w:r>
      <w:r w:rsidR="00EE3DB7" w:rsidRPr="00D33AC2">
        <w:rPr>
          <w:rFonts w:ascii="Arial" w:hAnsi="Arial" w:cs="Arial"/>
          <w:i/>
          <w:sz w:val="24"/>
          <w:szCs w:val="24"/>
        </w:rPr>
        <w:t xml:space="preserve">unreasonable, inexplicable and </w:t>
      </w:r>
      <w:r w:rsidR="00901192" w:rsidRPr="00D33AC2">
        <w:rPr>
          <w:rFonts w:ascii="Arial" w:hAnsi="Arial" w:cs="Arial"/>
          <w:i/>
          <w:sz w:val="24"/>
          <w:szCs w:val="24"/>
        </w:rPr>
        <w:t>frivolous stances it took in launching the application to compel.</w:t>
      </w:r>
      <w:r w:rsidR="00901192" w:rsidRPr="00D33AC2">
        <w:rPr>
          <w:rFonts w:ascii="Arial" w:hAnsi="Arial" w:cs="Arial"/>
          <w:sz w:val="24"/>
          <w:szCs w:val="24"/>
        </w:rPr>
        <w:t>”</w:t>
      </w:r>
    </w:p>
    <w:p w14:paraId="2EACDBAE" w14:textId="77777777" w:rsidR="00901192" w:rsidRPr="00901192" w:rsidRDefault="00901192" w:rsidP="00901192">
      <w:pPr>
        <w:pStyle w:val="ListParagraph"/>
        <w:rPr>
          <w:rFonts w:ascii="Arial" w:hAnsi="Arial" w:cs="Arial"/>
          <w:i/>
          <w:sz w:val="24"/>
          <w:szCs w:val="24"/>
        </w:rPr>
      </w:pPr>
    </w:p>
    <w:p w14:paraId="38745D55" w14:textId="5EE74EC5" w:rsidR="00901192" w:rsidRPr="00D33AC2" w:rsidRDefault="00D33AC2" w:rsidP="00D33AC2">
      <w:pPr>
        <w:spacing w:after="0" w:line="480" w:lineRule="auto"/>
        <w:ind w:left="720" w:hanging="720"/>
        <w:jc w:val="both"/>
        <w:rPr>
          <w:rFonts w:ascii="Arial" w:hAnsi="Arial" w:cs="Arial"/>
          <w:i/>
          <w:sz w:val="24"/>
          <w:szCs w:val="24"/>
        </w:rPr>
      </w:pPr>
      <w:r w:rsidRPr="00901192">
        <w:rPr>
          <w:rFonts w:ascii="Arial" w:hAnsi="Arial" w:cs="Arial"/>
          <w:i/>
          <w:sz w:val="24"/>
          <w:szCs w:val="24"/>
        </w:rPr>
        <w:t>226.</w:t>
      </w:r>
      <w:r w:rsidRPr="00901192">
        <w:rPr>
          <w:rFonts w:ascii="Arial" w:hAnsi="Arial" w:cs="Arial"/>
          <w:i/>
          <w:sz w:val="24"/>
          <w:szCs w:val="24"/>
        </w:rPr>
        <w:tab/>
      </w:r>
      <w:r w:rsidR="00901192" w:rsidRPr="00D33AC2">
        <w:rPr>
          <w:rFonts w:ascii="Arial" w:hAnsi="Arial" w:cs="Arial"/>
          <w:sz w:val="24"/>
          <w:szCs w:val="24"/>
        </w:rPr>
        <w:t xml:space="preserve">In respect of a decision </w:t>
      </w:r>
      <w:r w:rsidR="0099323C" w:rsidRPr="00D33AC2">
        <w:rPr>
          <w:rFonts w:ascii="Arial" w:hAnsi="Arial" w:cs="Arial"/>
          <w:sz w:val="24"/>
          <w:szCs w:val="24"/>
        </w:rPr>
        <w:t xml:space="preserve">as to </w:t>
      </w:r>
      <w:r w:rsidR="00901192" w:rsidRPr="00D33AC2">
        <w:rPr>
          <w:rFonts w:ascii="Arial" w:hAnsi="Arial" w:cs="Arial"/>
          <w:sz w:val="24"/>
          <w:szCs w:val="24"/>
        </w:rPr>
        <w:t xml:space="preserve">reserved </w:t>
      </w:r>
      <w:r w:rsidR="0099323C" w:rsidRPr="00D33AC2">
        <w:rPr>
          <w:rFonts w:ascii="Arial" w:hAnsi="Arial" w:cs="Arial"/>
          <w:sz w:val="24"/>
          <w:szCs w:val="24"/>
        </w:rPr>
        <w:t>costs</w:t>
      </w:r>
      <w:r w:rsidR="00901192" w:rsidRPr="00D33AC2">
        <w:rPr>
          <w:rFonts w:ascii="Arial" w:hAnsi="Arial" w:cs="Arial"/>
          <w:sz w:val="24"/>
          <w:szCs w:val="24"/>
        </w:rPr>
        <w:t xml:space="preserve">, it is not required of a </w:t>
      </w:r>
      <w:r w:rsidR="00ED2AA9" w:rsidRPr="00D33AC2">
        <w:rPr>
          <w:rFonts w:ascii="Arial" w:hAnsi="Arial" w:cs="Arial"/>
          <w:sz w:val="24"/>
          <w:szCs w:val="24"/>
        </w:rPr>
        <w:t xml:space="preserve">court to tease out </w:t>
      </w:r>
      <w:r w:rsidR="0099323C" w:rsidRPr="00D33AC2">
        <w:rPr>
          <w:rFonts w:ascii="Arial" w:hAnsi="Arial" w:cs="Arial"/>
          <w:sz w:val="24"/>
          <w:szCs w:val="24"/>
        </w:rPr>
        <w:t xml:space="preserve">the </w:t>
      </w:r>
      <w:r w:rsidR="00ED2AA9" w:rsidRPr="00D33AC2">
        <w:rPr>
          <w:rFonts w:ascii="Arial" w:hAnsi="Arial" w:cs="Arial"/>
          <w:sz w:val="24"/>
          <w:szCs w:val="24"/>
        </w:rPr>
        <w:t>intricacies</w:t>
      </w:r>
      <w:r w:rsidR="00901192" w:rsidRPr="00D33AC2">
        <w:rPr>
          <w:rFonts w:ascii="Arial" w:hAnsi="Arial" w:cs="Arial"/>
          <w:sz w:val="24"/>
          <w:szCs w:val="24"/>
        </w:rPr>
        <w:t xml:space="preserve"> of</w:t>
      </w:r>
      <w:r w:rsidR="0099323C" w:rsidRPr="00D33AC2">
        <w:rPr>
          <w:rFonts w:ascii="Arial" w:hAnsi="Arial" w:cs="Arial"/>
          <w:sz w:val="24"/>
          <w:szCs w:val="24"/>
        </w:rPr>
        <w:t xml:space="preserve"> an application settled and disposed of by way of an agreed </w:t>
      </w:r>
      <w:r w:rsidR="0099323C" w:rsidRPr="00D33AC2">
        <w:rPr>
          <w:rFonts w:ascii="Arial" w:hAnsi="Arial" w:cs="Arial"/>
          <w:sz w:val="24"/>
          <w:szCs w:val="24"/>
        </w:rPr>
        <w:lastRenderedPageBreak/>
        <w:t>order.  The court must simply do the best it can with the material at its disposal to make a fair allocation of costs.</w:t>
      </w:r>
      <w:r w:rsidR="00ED2AA9">
        <w:rPr>
          <w:rStyle w:val="FootnoteReference"/>
          <w:rFonts w:ascii="Arial" w:hAnsi="Arial" w:cs="Arial"/>
          <w:sz w:val="24"/>
          <w:szCs w:val="24"/>
        </w:rPr>
        <w:footnoteReference w:id="38"/>
      </w:r>
      <w:r w:rsidR="00901192" w:rsidRPr="00D33AC2">
        <w:rPr>
          <w:rFonts w:ascii="Arial" w:hAnsi="Arial" w:cs="Arial"/>
          <w:sz w:val="24"/>
          <w:szCs w:val="24"/>
        </w:rPr>
        <w:t xml:space="preserve">  </w:t>
      </w:r>
    </w:p>
    <w:p w14:paraId="632D456B" w14:textId="77777777" w:rsidR="00901192" w:rsidRPr="00901192" w:rsidRDefault="00901192" w:rsidP="00901192">
      <w:pPr>
        <w:pStyle w:val="ListParagraph"/>
        <w:rPr>
          <w:rFonts w:ascii="Arial" w:hAnsi="Arial" w:cs="Arial"/>
          <w:i/>
          <w:sz w:val="24"/>
          <w:szCs w:val="24"/>
        </w:rPr>
      </w:pPr>
    </w:p>
    <w:p w14:paraId="5ACCF4E8" w14:textId="532EE202" w:rsidR="00901192" w:rsidRPr="00D33AC2" w:rsidRDefault="00D33AC2" w:rsidP="00D33AC2">
      <w:pPr>
        <w:spacing w:after="0" w:line="480" w:lineRule="auto"/>
        <w:ind w:left="720" w:hanging="720"/>
        <w:jc w:val="both"/>
        <w:rPr>
          <w:rFonts w:ascii="Arial" w:hAnsi="Arial" w:cs="Arial"/>
          <w:i/>
          <w:sz w:val="24"/>
          <w:szCs w:val="24"/>
        </w:rPr>
      </w:pPr>
      <w:r w:rsidRPr="00901192">
        <w:rPr>
          <w:rFonts w:ascii="Arial" w:hAnsi="Arial" w:cs="Arial"/>
          <w:i/>
          <w:sz w:val="24"/>
          <w:szCs w:val="24"/>
        </w:rPr>
        <w:t>227.</w:t>
      </w:r>
      <w:r w:rsidRPr="00901192">
        <w:rPr>
          <w:rFonts w:ascii="Arial" w:hAnsi="Arial" w:cs="Arial"/>
          <w:i/>
          <w:sz w:val="24"/>
          <w:szCs w:val="24"/>
        </w:rPr>
        <w:tab/>
      </w:r>
      <w:r w:rsidR="00901192" w:rsidRPr="00D33AC2">
        <w:rPr>
          <w:rFonts w:ascii="Arial" w:hAnsi="Arial" w:cs="Arial"/>
          <w:sz w:val="24"/>
          <w:szCs w:val="24"/>
        </w:rPr>
        <w:t>The fact of the matter is, however, it is trite that whilst the notice of motion in a review must call for the record of the proceedings</w:t>
      </w:r>
      <w:r w:rsidR="0099323C" w:rsidRPr="00D33AC2">
        <w:rPr>
          <w:rFonts w:ascii="Arial" w:hAnsi="Arial" w:cs="Arial"/>
          <w:sz w:val="24"/>
          <w:szCs w:val="24"/>
        </w:rPr>
        <w:t>,</w:t>
      </w:r>
      <w:r w:rsidR="00901192" w:rsidRPr="00D33AC2">
        <w:rPr>
          <w:rFonts w:ascii="Arial" w:hAnsi="Arial" w:cs="Arial"/>
          <w:sz w:val="24"/>
          <w:szCs w:val="24"/>
        </w:rPr>
        <w:t xml:space="preserve"> in content the extent of the record will depend upon the facts or circumstances of the particular case.</w:t>
      </w:r>
      <w:r w:rsidR="00901192">
        <w:rPr>
          <w:rStyle w:val="FootnoteReference"/>
          <w:rFonts w:ascii="Arial" w:hAnsi="Arial" w:cs="Arial"/>
          <w:sz w:val="24"/>
          <w:szCs w:val="24"/>
        </w:rPr>
        <w:footnoteReference w:id="39"/>
      </w:r>
      <w:r w:rsidR="00901192" w:rsidRPr="00D33AC2">
        <w:rPr>
          <w:rFonts w:ascii="Arial" w:hAnsi="Arial" w:cs="Arial"/>
          <w:sz w:val="24"/>
          <w:szCs w:val="24"/>
        </w:rPr>
        <w:t xml:space="preserve">  Only the relevant part of the record has to be produced.</w:t>
      </w:r>
      <w:r w:rsidR="00901192">
        <w:rPr>
          <w:rStyle w:val="FootnoteReference"/>
          <w:rFonts w:ascii="Arial" w:hAnsi="Arial" w:cs="Arial"/>
          <w:sz w:val="24"/>
          <w:szCs w:val="24"/>
        </w:rPr>
        <w:footnoteReference w:id="40"/>
      </w:r>
    </w:p>
    <w:p w14:paraId="03DC5CB9" w14:textId="77777777" w:rsidR="00901192" w:rsidRPr="00901192" w:rsidRDefault="00901192" w:rsidP="00901192">
      <w:pPr>
        <w:pStyle w:val="ListParagraph"/>
        <w:rPr>
          <w:rFonts w:ascii="Arial" w:hAnsi="Arial" w:cs="Arial"/>
          <w:i/>
          <w:sz w:val="24"/>
          <w:szCs w:val="24"/>
        </w:rPr>
      </w:pPr>
    </w:p>
    <w:p w14:paraId="37DDE306" w14:textId="15F5B185" w:rsidR="00901192" w:rsidRPr="00D33AC2" w:rsidRDefault="00D33AC2" w:rsidP="00D33AC2">
      <w:pPr>
        <w:spacing w:after="0" w:line="480" w:lineRule="auto"/>
        <w:ind w:left="720" w:hanging="720"/>
        <w:jc w:val="both"/>
        <w:rPr>
          <w:rFonts w:ascii="Arial" w:hAnsi="Arial" w:cs="Arial"/>
          <w:i/>
          <w:sz w:val="24"/>
          <w:szCs w:val="24"/>
        </w:rPr>
      </w:pPr>
      <w:r w:rsidRPr="00901192">
        <w:rPr>
          <w:rFonts w:ascii="Arial" w:hAnsi="Arial" w:cs="Arial"/>
          <w:i/>
          <w:sz w:val="24"/>
          <w:szCs w:val="24"/>
        </w:rPr>
        <w:t>228.</w:t>
      </w:r>
      <w:r w:rsidRPr="00901192">
        <w:rPr>
          <w:rFonts w:ascii="Arial" w:hAnsi="Arial" w:cs="Arial"/>
          <w:i/>
          <w:sz w:val="24"/>
          <w:szCs w:val="24"/>
        </w:rPr>
        <w:tab/>
      </w:r>
      <w:r w:rsidR="00901192" w:rsidRPr="00D33AC2">
        <w:rPr>
          <w:rFonts w:ascii="Arial" w:hAnsi="Arial" w:cs="Arial"/>
          <w:sz w:val="24"/>
          <w:szCs w:val="24"/>
        </w:rPr>
        <w:t xml:space="preserve">Of course, if </w:t>
      </w:r>
      <w:r w:rsidR="0099323C" w:rsidRPr="00D33AC2">
        <w:rPr>
          <w:rFonts w:ascii="Arial" w:hAnsi="Arial" w:cs="Arial"/>
          <w:sz w:val="24"/>
          <w:szCs w:val="24"/>
        </w:rPr>
        <w:t xml:space="preserve">the record </w:t>
      </w:r>
      <w:r w:rsidR="00901192" w:rsidRPr="00D33AC2">
        <w:rPr>
          <w:rFonts w:ascii="Arial" w:hAnsi="Arial" w:cs="Arial"/>
          <w:sz w:val="24"/>
          <w:szCs w:val="24"/>
        </w:rPr>
        <w:t>on demand is not produced applicant is entitled</w:t>
      </w:r>
      <w:r w:rsidR="0099323C" w:rsidRPr="00D33AC2">
        <w:rPr>
          <w:rFonts w:ascii="Arial" w:hAnsi="Arial" w:cs="Arial"/>
          <w:sz w:val="24"/>
          <w:szCs w:val="24"/>
        </w:rPr>
        <w:t>,</w:t>
      </w:r>
      <w:r w:rsidR="00901192" w:rsidRPr="00D33AC2">
        <w:rPr>
          <w:rFonts w:ascii="Arial" w:hAnsi="Arial" w:cs="Arial"/>
          <w:sz w:val="24"/>
          <w:szCs w:val="24"/>
        </w:rPr>
        <w:t xml:space="preserve"> as an aggrieved party</w:t>
      </w:r>
      <w:r w:rsidR="0099323C" w:rsidRPr="00D33AC2">
        <w:rPr>
          <w:rFonts w:ascii="Arial" w:hAnsi="Arial" w:cs="Arial"/>
          <w:sz w:val="24"/>
          <w:szCs w:val="24"/>
        </w:rPr>
        <w:t>,</w:t>
      </w:r>
      <w:r w:rsidR="00901192" w:rsidRPr="00D33AC2">
        <w:rPr>
          <w:rFonts w:ascii="Arial" w:hAnsi="Arial" w:cs="Arial"/>
          <w:sz w:val="24"/>
          <w:szCs w:val="24"/>
        </w:rPr>
        <w:t xml:space="preserve"> to apply to court to compel compliance with the request.</w:t>
      </w:r>
      <w:r w:rsidR="00901192">
        <w:rPr>
          <w:rStyle w:val="FootnoteReference"/>
          <w:rFonts w:ascii="Arial" w:hAnsi="Arial" w:cs="Arial"/>
          <w:sz w:val="24"/>
          <w:szCs w:val="24"/>
        </w:rPr>
        <w:footnoteReference w:id="41"/>
      </w:r>
      <w:r w:rsidR="00901192" w:rsidRPr="00D33AC2">
        <w:rPr>
          <w:rFonts w:ascii="Arial" w:hAnsi="Arial" w:cs="Arial"/>
          <w:sz w:val="24"/>
          <w:szCs w:val="24"/>
        </w:rPr>
        <w:t xml:space="preserve">  </w:t>
      </w:r>
    </w:p>
    <w:p w14:paraId="565B3166" w14:textId="77777777" w:rsidR="00901192" w:rsidRPr="00901192" w:rsidRDefault="00901192" w:rsidP="00901192">
      <w:pPr>
        <w:pStyle w:val="ListParagraph"/>
        <w:rPr>
          <w:rFonts w:ascii="Arial" w:hAnsi="Arial" w:cs="Arial"/>
          <w:i/>
          <w:sz w:val="24"/>
          <w:szCs w:val="24"/>
        </w:rPr>
      </w:pPr>
    </w:p>
    <w:p w14:paraId="0382F631" w14:textId="7DA0A17D" w:rsidR="00901192" w:rsidRPr="00D33AC2" w:rsidRDefault="00D33AC2" w:rsidP="00D33AC2">
      <w:pPr>
        <w:spacing w:after="0" w:line="480" w:lineRule="auto"/>
        <w:ind w:left="720" w:hanging="720"/>
        <w:jc w:val="both"/>
        <w:rPr>
          <w:rFonts w:ascii="Arial" w:hAnsi="Arial" w:cs="Arial"/>
          <w:i/>
          <w:sz w:val="24"/>
          <w:szCs w:val="24"/>
        </w:rPr>
      </w:pPr>
      <w:r w:rsidRPr="00901192">
        <w:rPr>
          <w:rFonts w:ascii="Arial" w:hAnsi="Arial" w:cs="Arial"/>
          <w:i/>
          <w:sz w:val="24"/>
          <w:szCs w:val="24"/>
        </w:rPr>
        <w:t>229.</w:t>
      </w:r>
      <w:r w:rsidRPr="00901192">
        <w:rPr>
          <w:rFonts w:ascii="Arial" w:hAnsi="Arial" w:cs="Arial"/>
          <w:i/>
          <w:sz w:val="24"/>
          <w:szCs w:val="24"/>
        </w:rPr>
        <w:tab/>
      </w:r>
      <w:r w:rsidR="00901192" w:rsidRPr="00D33AC2">
        <w:rPr>
          <w:rFonts w:ascii="Arial" w:hAnsi="Arial" w:cs="Arial"/>
          <w:sz w:val="24"/>
          <w:szCs w:val="24"/>
        </w:rPr>
        <w:t>In my view, in this matter, first respondent was on the face of it, and as it concedes</w:t>
      </w:r>
      <w:r w:rsidR="0099323C" w:rsidRPr="00D33AC2">
        <w:rPr>
          <w:rFonts w:ascii="Arial" w:hAnsi="Arial" w:cs="Arial"/>
          <w:sz w:val="24"/>
          <w:szCs w:val="24"/>
        </w:rPr>
        <w:t>,</w:t>
      </w:r>
      <w:r w:rsidR="00901192" w:rsidRPr="00D33AC2">
        <w:rPr>
          <w:rFonts w:ascii="Arial" w:hAnsi="Arial" w:cs="Arial"/>
          <w:sz w:val="24"/>
          <w:szCs w:val="24"/>
        </w:rPr>
        <w:t xml:space="preserve"> obliged to deliver the record but was experiencing administrative difficulties described in the papers from doing so.  In my view, whilst applicant could certainly have provided a greater opportunity to do so, it was in the </w:t>
      </w:r>
      <w:r w:rsidR="0099323C" w:rsidRPr="00D33AC2">
        <w:rPr>
          <w:rFonts w:ascii="Arial" w:hAnsi="Arial" w:cs="Arial"/>
          <w:sz w:val="24"/>
          <w:szCs w:val="24"/>
        </w:rPr>
        <w:t xml:space="preserve">context </w:t>
      </w:r>
      <w:r w:rsidR="00901192" w:rsidRPr="00D33AC2">
        <w:rPr>
          <w:rFonts w:ascii="Arial" w:hAnsi="Arial" w:cs="Arial"/>
          <w:sz w:val="24"/>
          <w:szCs w:val="24"/>
        </w:rPr>
        <w:t>of the matter not further obliged to delay, this impacting on its application in the matter requiring</w:t>
      </w:r>
      <w:r w:rsidR="0099323C" w:rsidRPr="00D33AC2">
        <w:rPr>
          <w:rFonts w:ascii="Arial" w:hAnsi="Arial" w:cs="Arial"/>
          <w:sz w:val="24"/>
          <w:szCs w:val="24"/>
        </w:rPr>
        <w:t>,</w:t>
      </w:r>
      <w:r w:rsidR="00901192" w:rsidRPr="00D33AC2">
        <w:rPr>
          <w:rFonts w:ascii="Arial" w:hAnsi="Arial" w:cs="Arial"/>
          <w:sz w:val="24"/>
          <w:szCs w:val="24"/>
        </w:rPr>
        <w:t xml:space="preserve"> as is seen from the main judgment</w:t>
      </w:r>
      <w:r w:rsidR="0099323C" w:rsidRPr="00D33AC2">
        <w:rPr>
          <w:rFonts w:ascii="Arial" w:hAnsi="Arial" w:cs="Arial"/>
          <w:sz w:val="24"/>
          <w:szCs w:val="24"/>
        </w:rPr>
        <w:t>,</w:t>
      </w:r>
      <w:r w:rsidR="00901192" w:rsidRPr="00D33AC2">
        <w:rPr>
          <w:rFonts w:ascii="Arial" w:hAnsi="Arial" w:cs="Arial"/>
          <w:sz w:val="24"/>
          <w:szCs w:val="24"/>
        </w:rPr>
        <w:t xml:space="preserve"> some expedition.  </w:t>
      </w:r>
    </w:p>
    <w:p w14:paraId="522B6B00" w14:textId="77777777" w:rsidR="00901192" w:rsidRPr="00901192" w:rsidRDefault="00901192" w:rsidP="00901192">
      <w:pPr>
        <w:pStyle w:val="ListParagraph"/>
        <w:rPr>
          <w:rFonts w:ascii="Arial" w:hAnsi="Arial" w:cs="Arial"/>
          <w:i/>
          <w:sz w:val="24"/>
          <w:szCs w:val="24"/>
        </w:rPr>
      </w:pPr>
    </w:p>
    <w:p w14:paraId="66B4B77D" w14:textId="48F8F882" w:rsidR="00901192" w:rsidRPr="00D33AC2" w:rsidRDefault="00D33AC2" w:rsidP="00D33AC2">
      <w:pPr>
        <w:spacing w:after="0" w:line="480" w:lineRule="auto"/>
        <w:ind w:left="720" w:hanging="720"/>
        <w:jc w:val="both"/>
        <w:rPr>
          <w:rFonts w:ascii="Arial" w:hAnsi="Arial" w:cs="Arial"/>
          <w:i/>
          <w:sz w:val="24"/>
          <w:szCs w:val="24"/>
        </w:rPr>
      </w:pPr>
      <w:r w:rsidRPr="009637E3">
        <w:rPr>
          <w:rFonts w:ascii="Arial" w:hAnsi="Arial" w:cs="Arial"/>
          <w:i/>
          <w:sz w:val="24"/>
          <w:szCs w:val="24"/>
        </w:rPr>
        <w:t>230.</w:t>
      </w:r>
      <w:r w:rsidRPr="009637E3">
        <w:rPr>
          <w:rFonts w:ascii="Arial" w:hAnsi="Arial" w:cs="Arial"/>
          <w:i/>
          <w:sz w:val="24"/>
          <w:szCs w:val="24"/>
        </w:rPr>
        <w:tab/>
      </w:r>
      <w:r w:rsidR="00901192" w:rsidRPr="00D33AC2">
        <w:rPr>
          <w:rFonts w:ascii="Arial" w:hAnsi="Arial" w:cs="Arial"/>
          <w:sz w:val="24"/>
          <w:szCs w:val="24"/>
        </w:rPr>
        <w:t xml:space="preserve">Nevertheless, there is considerable merit in </w:t>
      </w:r>
      <w:r w:rsidR="009637E3" w:rsidRPr="00D33AC2">
        <w:rPr>
          <w:rFonts w:ascii="Arial" w:hAnsi="Arial" w:cs="Arial"/>
          <w:sz w:val="24"/>
          <w:szCs w:val="24"/>
        </w:rPr>
        <w:t>first</w:t>
      </w:r>
      <w:r w:rsidR="00901192" w:rsidRPr="00D33AC2">
        <w:rPr>
          <w:rFonts w:ascii="Arial" w:hAnsi="Arial" w:cs="Arial"/>
          <w:sz w:val="24"/>
          <w:szCs w:val="24"/>
        </w:rPr>
        <w:t xml:space="preserve"> </w:t>
      </w:r>
      <w:r w:rsidR="009637E3" w:rsidRPr="00D33AC2">
        <w:rPr>
          <w:rFonts w:ascii="Arial" w:hAnsi="Arial" w:cs="Arial"/>
          <w:sz w:val="24"/>
          <w:szCs w:val="24"/>
        </w:rPr>
        <w:t>respondent’s</w:t>
      </w:r>
      <w:r w:rsidR="00901192" w:rsidRPr="00D33AC2">
        <w:rPr>
          <w:rFonts w:ascii="Arial" w:hAnsi="Arial" w:cs="Arial"/>
          <w:sz w:val="24"/>
          <w:szCs w:val="24"/>
        </w:rPr>
        <w:t xml:space="preserve"> argument that applicant </w:t>
      </w:r>
      <w:r w:rsidR="009637E3" w:rsidRPr="00D33AC2">
        <w:rPr>
          <w:rFonts w:ascii="Arial" w:hAnsi="Arial" w:cs="Arial"/>
          <w:sz w:val="24"/>
          <w:szCs w:val="24"/>
        </w:rPr>
        <w:t>too widely stated its entitlement insisting on a “</w:t>
      </w:r>
      <w:r w:rsidR="009637E3" w:rsidRPr="00D33AC2">
        <w:rPr>
          <w:rFonts w:ascii="Arial" w:hAnsi="Arial" w:cs="Arial"/>
          <w:i/>
          <w:sz w:val="24"/>
          <w:szCs w:val="24"/>
        </w:rPr>
        <w:t>complete record</w:t>
      </w:r>
      <w:r w:rsidR="009637E3" w:rsidRPr="00D33AC2">
        <w:rPr>
          <w:rFonts w:ascii="Arial" w:hAnsi="Arial" w:cs="Arial"/>
          <w:sz w:val="24"/>
          <w:szCs w:val="24"/>
        </w:rPr>
        <w:t xml:space="preserve">”.  This was, as appears above, </w:t>
      </w:r>
      <w:r w:rsidR="0099323C" w:rsidRPr="00D33AC2">
        <w:rPr>
          <w:rFonts w:ascii="Arial" w:hAnsi="Arial" w:cs="Arial"/>
          <w:sz w:val="24"/>
          <w:szCs w:val="24"/>
        </w:rPr>
        <w:t xml:space="preserve">not an </w:t>
      </w:r>
      <w:r w:rsidR="009637E3" w:rsidRPr="00D33AC2">
        <w:rPr>
          <w:rFonts w:ascii="Arial" w:hAnsi="Arial" w:cs="Arial"/>
          <w:sz w:val="24"/>
          <w:szCs w:val="24"/>
        </w:rPr>
        <w:t xml:space="preserve">entitlement which applicant enjoyed, this </w:t>
      </w:r>
      <w:r w:rsidR="0099323C" w:rsidRPr="00D33AC2">
        <w:rPr>
          <w:rFonts w:ascii="Arial" w:hAnsi="Arial" w:cs="Arial"/>
          <w:sz w:val="24"/>
          <w:szCs w:val="24"/>
        </w:rPr>
        <w:t xml:space="preserve">at </w:t>
      </w:r>
      <w:r w:rsidR="009637E3" w:rsidRPr="00D33AC2">
        <w:rPr>
          <w:rFonts w:ascii="Arial" w:hAnsi="Arial" w:cs="Arial"/>
          <w:sz w:val="24"/>
          <w:szCs w:val="24"/>
        </w:rPr>
        <w:t xml:space="preserve">least and after an order had been given would have compelled first respondent to </w:t>
      </w:r>
      <w:r w:rsidR="009637E3" w:rsidRPr="00D33AC2">
        <w:rPr>
          <w:rFonts w:ascii="Arial" w:hAnsi="Arial" w:cs="Arial"/>
          <w:sz w:val="24"/>
          <w:szCs w:val="24"/>
        </w:rPr>
        <w:lastRenderedPageBreak/>
        <w:t xml:space="preserve">provide a record that may well have </w:t>
      </w:r>
      <w:r w:rsidR="004226EF" w:rsidRPr="00D33AC2">
        <w:rPr>
          <w:rFonts w:ascii="Arial" w:hAnsi="Arial" w:cs="Arial"/>
          <w:sz w:val="24"/>
          <w:szCs w:val="24"/>
        </w:rPr>
        <w:t xml:space="preserve">gone </w:t>
      </w:r>
      <w:r w:rsidR="009637E3" w:rsidRPr="00D33AC2">
        <w:rPr>
          <w:rFonts w:ascii="Arial" w:hAnsi="Arial" w:cs="Arial"/>
          <w:sz w:val="24"/>
          <w:szCs w:val="24"/>
        </w:rPr>
        <w:t xml:space="preserve">beyond the content </w:t>
      </w:r>
      <w:r w:rsidR="0099323C" w:rsidRPr="00D33AC2">
        <w:rPr>
          <w:rFonts w:ascii="Arial" w:hAnsi="Arial" w:cs="Arial"/>
          <w:sz w:val="24"/>
          <w:szCs w:val="24"/>
        </w:rPr>
        <w:t xml:space="preserve">and </w:t>
      </w:r>
      <w:r w:rsidR="009637E3" w:rsidRPr="00D33AC2">
        <w:rPr>
          <w:rFonts w:ascii="Arial" w:hAnsi="Arial" w:cs="Arial"/>
          <w:sz w:val="24"/>
          <w:szCs w:val="24"/>
        </w:rPr>
        <w:t xml:space="preserve">extent to which </w:t>
      </w:r>
      <w:r w:rsidR="0090737C" w:rsidRPr="00D33AC2">
        <w:rPr>
          <w:rFonts w:ascii="Arial" w:hAnsi="Arial" w:cs="Arial"/>
          <w:sz w:val="24"/>
          <w:szCs w:val="24"/>
        </w:rPr>
        <w:t>applicant</w:t>
      </w:r>
      <w:r w:rsidR="009637E3" w:rsidRPr="00D33AC2">
        <w:rPr>
          <w:rFonts w:ascii="Arial" w:hAnsi="Arial" w:cs="Arial"/>
          <w:sz w:val="24"/>
          <w:szCs w:val="24"/>
        </w:rPr>
        <w:t xml:space="preserve"> was entitled.  </w:t>
      </w:r>
    </w:p>
    <w:p w14:paraId="3DF0241B" w14:textId="77777777" w:rsidR="009637E3" w:rsidRPr="009637E3" w:rsidRDefault="009637E3" w:rsidP="009637E3">
      <w:pPr>
        <w:pStyle w:val="ListParagraph"/>
        <w:rPr>
          <w:rFonts w:ascii="Arial" w:hAnsi="Arial" w:cs="Arial"/>
          <w:i/>
          <w:sz w:val="24"/>
          <w:szCs w:val="24"/>
        </w:rPr>
      </w:pPr>
    </w:p>
    <w:p w14:paraId="40A5F6A7" w14:textId="6D5AF83B" w:rsidR="009637E3" w:rsidRPr="00D33AC2" w:rsidRDefault="00D33AC2" w:rsidP="00D33AC2">
      <w:pPr>
        <w:spacing w:after="0" w:line="480" w:lineRule="auto"/>
        <w:ind w:left="720" w:hanging="720"/>
        <w:jc w:val="both"/>
        <w:rPr>
          <w:rFonts w:ascii="Arial" w:hAnsi="Arial" w:cs="Arial"/>
          <w:i/>
          <w:sz w:val="24"/>
          <w:szCs w:val="24"/>
        </w:rPr>
      </w:pPr>
      <w:r w:rsidRPr="00EE3DB7">
        <w:rPr>
          <w:rFonts w:ascii="Arial" w:hAnsi="Arial" w:cs="Arial"/>
          <w:i/>
          <w:sz w:val="24"/>
          <w:szCs w:val="24"/>
        </w:rPr>
        <w:t>231.</w:t>
      </w:r>
      <w:r w:rsidRPr="00EE3DB7">
        <w:rPr>
          <w:rFonts w:ascii="Arial" w:hAnsi="Arial" w:cs="Arial"/>
          <w:i/>
          <w:sz w:val="24"/>
          <w:szCs w:val="24"/>
        </w:rPr>
        <w:tab/>
      </w:r>
      <w:r w:rsidR="009637E3" w:rsidRPr="00D33AC2">
        <w:rPr>
          <w:rFonts w:ascii="Arial" w:hAnsi="Arial" w:cs="Arial"/>
          <w:sz w:val="24"/>
          <w:szCs w:val="24"/>
        </w:rPr>
        <w:t xml:space="preserve">In my view, on what is before me, and having considered carefully the arguments and counter arguments presented in the </w:t>
      </w:r>
      <w:r w:rsidR="0090737C" w:rsidRPr="00D33AC2">
        <w:rPr>
          <w:rFonts w:ascii="Arial" w:hAnsi="Arial" w:cs="Arial"/>
          <w:sz w:val="24"/>
          <w:szCs w:val="24"/>
        </w:rPr>
        <w:t>supplementary</w:t>
      </w:r>
      <w:r w:rsidR="009637E3" w:rsidRPr="00D33AC2">
        <w:rPr>
          <w:rFonts w:ascii="Arial" w:hAnsi="Arial" w:cs="Arial"/>
          <w:sz w:val="24"/>
          <w:szCs w:val="24"/>
        </w:rPr>
        <w:t xml:space="preserve"> heads, it seems to me that it would be just and equitable were each party to pay their costs in the application to compel.</w:t>
      </w:r>
      <w:r w:rsidR="0099323C" w:rsidRPr="00D33AC2">
        <w:rPr>
          <w:rFonts w:ascii="Arial" w:hAnsi="Arial" w:cs="Arial"/>
          <w:sz w:val="24"/>
          <w:szCs w:val="24"/>
        </w:rPr>
        <w:t xml:space="preserve">  Both were successful to an extent and in the context of that I have set out above.</w:t>
      </w:r>
      <w:r w:rsidR="009637E3" w:rsidRPr="00D33AC2">
        <w:rPr>
          <w:rFonts w:ascii="Arial" w:hAnsi="Arial" w:cs="Arial"/>
          <w:sz w:val="24"/>
          <w:szCs w:val="24"/>
        </w:rPr>
        <w:t xml:space="preserve">  </w:t>
      </w:r>
    </w:p>
    <w:p w14:paraId="39F42C26" w14:textId="77777777" w:rsidR="00EE3DB7" w:rsidRPr="00EE3DB7" w:rsidRDefault="00EE3DB7" w:rsidP="00EE3DB7">
      <w:pPr>
        <w:pStyle w:val="ListParagraph"/>
        <w:rPr>
          <w:rFonts w:ascii="Arial" w:hAnsi="Arial" w:cs="Arial"/>
          <w:sz w:val="24"/>
          <w:szCs w:val="24"/>
        </w:rPr>
      </w:pPr>
    </w:p>
    <w:p w14:paraId="674E9295" w14:textId="77777777" w:rsidR="00EE3DB7" w:rsidRPr="00793A3E" w:rsidRDefault="00EE3DB7" w:rsidP="00EE3DB7">
      <w:pPr>
        <w:pStyle w:val="ListParagraph"/>
        <w:spacing w:after="0" w:line="480" w:lineRule="auto"/>
        <w:contextualSpacing w:val="0"/>
        <w:jc w:val="both"/>
        <w:rPr>
          <w:rFonts w:ascii="Arial" w:hAnsi="Arial" w:cs="Arial"/>
          <w:sz w:val="24"/>
          <w:szCs w:val="24"/>
        </w:rPr>
      </w:pPr>
    </w:p>
    <w:p w14:paraId="4C5A43BB" w14:textId="4E420133" w:rsidR="00317ECF" w:rsidRPr="00D33AC2" w:rsidRDefault="00D33AC2" w:rsidP="00D33AC2">
      <w:pPr>
        <w:spacing w:after="0" w:line="480" w:lineRule="auto"/>
        <w:ind w:left="720" w:hanging="720"/>
        <w:jc w:val="both"/>
        <w:rPr>
          <w:rFonts w:ascii="Arial" w:hAnsi="Arial" w:cs="Arial"/>
          <w:sz w:val="24"/>
          <w:szCs w:val="24"/>
        </w:rPr>
      </w:pPr>
      <w:r w:rsidRPr="009637E3">
        <w:rPr>
          <w:rFonts w:ascii="Arial" w:hAnsi="Arial" w:cs="Arial"/>
          <w:sz w:val="24"/>
          <w:szCs w:val="24"/>
        </w:rPr>
        <w:t>232.</w:t>
      </w:r>
      <w:r w:rsidRPr="009637E3">
        <w:rPr>
          <w:rFonts w:ascii="Arial" w:hAnsi="Arial" w:cs="Arial"/>
          <w:sz w:val="24"/>
          <w:szCs w:val="24"/>
        </w:rPr>
        <w:tab/>
      </w:r>
      <w:r w:rsidR="006C26AA" w:rsidRPr="00D33AC2">
        <w:rPr>
          <w:rFonts w:ascii="Arial" w:hAnsi="Arial" w:cs="Arial"/>
          <w:sz w:val="24"/>
          <w:szCs w:val="24"/>
        </w:rPr>
        <w:t>In the result the costs incurred in respect of the application to compel the record</w:t>
      </w:r>
      <w:r w:rsidR="009637E3" w:rsidRPr="00D33AC2">
        <w:rPr>
          <w:rFonts w:ascii="Arial" w:hAnsi="Arial" w:cs="Arial"/>
          <w:sz w:val="24"/>
          <w:szCs w:val="24"/>
        </w:rPr>
        <w:t>, each party is to pay their own costs.</w:t>
      </w:r>
    </w:p>
    <w:p w14:paraId="3DE54276" w14:textId="77777777" w:rsidR="00317ECF" w:rsidRPr="00317ECF" w:rsidRDefault="00317ECF" w:rsidP="00317ECF">
      <w:pPr>
        <w:pStyle w:val="ListParagraph"/>
        <w:rPr>
          <w:rFonts w:ascii="Arial" w:hAnsi="Arial" w:cs="Arial"/>
          <w:b/>
          <w:sz w:val="24"/>
          <w:szCs w:val="24"/>
          <w:u w:val="single"/>
        </w:rPr>
      </w:pPr>
    </w:p>
    <w:p w14:paraId="1F33876E" w14:textId="4BDF024C" w:rsidR="00490954" w:rsidRPr="00D33AC2" w:rsidRDefault="00D33AC2" w:rsidP="00D33AC2">
      <w:pPr>
        <w:spacing w:after="0" w:line="480" w:lineRule="auto"/>
        <w:ind w:left="720" w:hanging="720"/>
        <w:jc w:val="both"/>
        <w:rPr>
          <w:rFonts w:ascii="Arial" w:hAnsi="Arial" w:cs="Arial"/>
          <w:b/>
          <w:sz w:val="24"/>
          <w:szCs w:val="24"/>
          <w:u w:val="single"/>
        </w:rPr>
      </w:pPr>
      <w:r w:rsidRPr="00793A3E">
        <w:rPr>
          <w:rFonts w:ascii="Arial" w:hAnsi="Arial" w:cs="Arial"/>
          <w:sz w:val="24"/>
          <w:szCs w:val="24"/>
        </w:rPr>
        <w:t>233.</w:t>
      </w:r>
      <w:r w:rsidRPr="00793A3E">
        <w:rPr>
          <w:rFonts w:ascii="Arial" w:hAnsi="Arial" w:cs="Arial"/>
          <w:sz w:val="24"/>
          <w:szCs w:val="24"/>
        </w:rPr>
        <w:tab/>
      </w:r>
      <w:r w:rsidR="00490954" w:rsidRPr="00D33AC2">
        <w:rPr>
          <w:rFonts w:ascii="Arial" w:hAnsi="Arial" w:cs="Arial"/>
          <w:b/>
          <w:sz w:val="24"/>
          <w:szCs w:val="24"/>
          <w:u w:val="single"/>
        </w:rPr>
        <w:t>ORDER</w:t>
      </w:r>
    </w:p>
    <w:p w14:paraId="16DF4348" w14:textId="77777777" w:rsidR="00490954" w:rsidRPr="00793A3E" w:rsidRDefault="00490954" w:rsidP="00F009F9">
      <w:pPr>
        <w:pStyle w:val="ListParagraph"/>
        <w:spacing w:after="0" w:line="480" w:lineRule="auto"/>
        <w:contextualSpacing w:val="0"/>
        <w:rPr>
          <w:rFonts w:ascii="Arial" w:hAnsi="Arial" w:cs="Arial"/>
          <w:sz w:val="24"/>
          <w:szCs w:val="24"/>
        </w:rPr>
      </w:pPr>
    </w:p>
    <w:p w14:paraId="0E24DD1A" w14:textId="59F441DC" w:rsidR="00490954" w:rsidRPr="00D33AC2" w:rsidRDefault="00D33AC2" w:rsidP="00D33AC2">
      <w:pPr>
        <w:spacing w:after="0" w:line="480" w:lineRule="auto"/>
        <w:ind w:left="720" w:hanging="720"/>
        <w:jc w:val="both"/>
        <w:rPr>
          <w:rFonts w:ascii="Arial" w:hAnsi="Arial" w:cs="Arial"/>
          <w:sz w:val="24"/>
          <w:szCs w:val="24"/>
        </w:rPr>
      </w:pPr>
      <w:r w:rsidRPr="00793A3E">
        <w:rPr>
          <w:rFonts w:ascii="Arial" w:hAnsi="Arial" w:cs="Arial"/>
          <w:sz w:val="24"/>
          <w:szCs w:val="24"/>
        </w:rPr>
        <w:t>234.</w:t>
      </w:r>
      <w:r w:rsidRPr="00793A3E">
        <w:rPr>
          <w:rFonts w:ascii="Arial" w:hAnsi="Arial" w:cs="Arial"/>
          <w:sz w:val="24"/>
          <w:szCs w:val="24"/>
        </w:rPr>
        <w:tab/>
      </w:r>
      <w:r w:rsidR="00BA2498" w:rsidRPr="00D33AC2">
        <w:rPr>
          <w:rFonts w:ascii="Arial" w:hAnsi="Arial" w:cs="Arial"/>
          <w:sz w:val="24"/>
          <w:szCs w:val="24"/>
        </w:rPr>
        <w:t>In the result the following order is given:</w:t>
      </w:r>
    </w:p>
    <w:p w14:paraId="3742EDE9" w14:textId="509FCC45" w:rsidR="00BA2498" w:rsidRPr="00D33AC2" w:rsidRDefault="00D33AC2" w:rsidP="00D33AC2">
      <w:pPr>
        <w:spacing w:after="0" w:line="480" w:lineRule="auto"/>
        <w:ind w:left="1440" w:hanging="720"/>
        <w:jc w:val="both"/>
        <w:rPr>
          <w:rFonts w:ascii="Arial" w:hAnsi="Arial" w:cs="Arial"/>
          <w:sz w:val="24"/>
          <w:szCs w:val="24"/>
        </w:rPr>
      </w:pPr>
      <w:r w:rsidRPr="00793A3E">
        <w:rPr>
          <w:rFonts w:ascii="Arial" w:hAnsi="Arial" w:cs="Arial"/>
          <w:sz w:val="24"/>
          <w:szCs w:val="24"/>
        </w:rPr>
        <w:t>1.</w:t>
      </w:r>
      <w:r w:rsidRPr="00793A3E">
        <w:rPr>
          <w:rFonts w:ascii="Arial" w:hAnsi="Arial" w:cs="Arial"/>
          <w:sz w:val="24"/>
          <w:szCs w:val="24"/>
        </w:rPr>
        <w:tab/>
      </w:r>
      <w:r w:rsidR="00BA2498" w:rsidRPr="00D33AC2">
        <w:rPr>
          <w:rFonts w:ascii="Arial" w:hAnsi="Arial" w:cs="Arial"/>
          <w:sz w:val="24"/>
          <w:szCs w:val="24"/>
        </w:rPr>
        <w:t xml:space="preserve">The review in respect of tender number ELS-5796 is dismissed.  </w:t>
      </w:r>
    </w:p>
    <w:p w14:paraId="1DADD7B7" w14:textId="480F8987" w:rsidR="00BA2498" w:rsidRPr="00D33AC2" w:rsidRDefault="00D33AC2" w:rsidP="00D33AC2">
      <w:pPr>
        <w:spacing w:after="0" w:line="480" w:lineRule="auto"/>
        <w:ind w:left="1440" w:hanging="720"/>
        <w:jc w:val="both"/>
        <w:rPr>
          <w:rFonts w:ascii="Arial" w:hAnsi="Arial" w:cs="Arial"/>
          <w:sz w:val="24"/>
          <w:szCs w:val="24"/>
        </w:rPr>
      </w:pPr>
      <w:r w:rsidRPr="00793A3E">
        <w:rPr>
          <w:rFonts w:ascii="Arial" w:hAnsi="Arial" w:cs="Arial"/>
          <w:sz w:val="24"/>
          <w:szCs w:val="24"/>
        </w:rPr>
        <w:t>2.</w:t>
      </w:r>
      <w:r w:rsidRPr="00793A3E">
        <w:rPr>
          <w:rFonts w:ascii="Arial" w:hAnsi="Arial" w:cs="Arial"/>
          <w:sz w:val="24"/>
          <w:szCs w:val="24"/>
        </w:rPr>
        <w:tab/>
      </w:r>
      <w:r w:rsidR="00BA2498" w:rsidRPr="00D33AC2">
        <w:rPr>
          <w:rFonts w:ascii="Arial" w:hAnsi="Arial" w:cs="Arial"/>
          <w:sz w:val="24"/>
          <w:szCs w:val="24"/>
        </w:rPr>
        <w:t>The review in respect of tender number ELS-5817 is dismissed.</w:t>
      </w:r>
    </w:p>
    <w:p w14:paraId="313959AE" w14:textId="098259AB" w:rsidR="00BA2498" w:rsidRPr="00D33AC2" w:rsidRDefault="00D33AC2" w:rsidP="00D33AC2">
      <w:pPr>
        <w:spacing w:after="0" w:line="480" w:lineRule="auto"/>
        <w:ind w:left="1440" w:hanging="720"/>
        <w:jc w:val="both"/>
        <w:rPr>
          <w:rFonts w:ascii="Arial" w:hAnsi="Arial" w:cs="Arial"/>
          <w:sz w:val="24"/>
          <w:szCs w:val="24"/>
        </w:rPr>
      </w:pPr>
      <w:r w:rsidRPr="00793A3E">
        <w:rPr>
          <w:rFonts w:ascii="Arial" w:hAnsi="Arial" w:cs="Arial"/>
          <w:sz w:val="24"/>
          <w:szCs w:val="24"/>
        </w:rPr>
        <w:t>3.</w:t>
      </w:r>
      <w:r w:rsidRPr="00793A3E">
        <w:rPr>
          <w:rFonts w:ascii="Arial" w:hAnsi="Arial" w:cs="Arial"/>
          <w:sz w:val="24"/>
          <w:szCs w:val="24"/>
        </w:rPr>
        <w:tab/>
      </w:r>
      <w:r w:rsidR="00BA2498" w:rsidRPr="00D33AC2">
        <w:rPr>
          <w:rFonts w:ascii="Arial" w:hAnsi="Arial" w:cs="Arial"/>
          <w:sz w:val="24"/>
          <w:szCs w:val="24"/>
        </w:rPr>
        <w:t>The review in respect of tender number ELS-5818 is dismissed.</w:t>
      </w:r>
    </w:p>
    <w:p w14:paraId="003225A8" w14:textId="04563FF0" w:rsidR="00BA2498" w:rsidRPr="00D33AC2" w:rsidRDefault="00D33AC2" w:rsidP="00D33AC2">
      <w:pPr>
        <w:spacing w:after="0" w:line="480" w:lineRule="auto"/>
        <w:ind w:left="1440" w:hanging="720"/>
        <w:jc w:val="both"/>
        <w:rPr>
          <w:rFonts w:ascii="Arial" w:hAnsi="Arial" w:cs="Arial"/>
          <w:sz w:val="24"/>
          <w:szCs w:val="24"/>
        </w:rPr>
      </w:pPr>
      <w:r w:rsidRPr="00793A3E">
        <w:rPr>
          <w:rFonts w:ascii="Arial" w:hAnsi="Arial" w:cs="Arial"/>
          <w:sz w:val="24"/>
          <w:szCs w:val="24"/>
        </w:rPr>
        <w:t>4.</w:t>
      </w:r>
      <w:r w:rsidRPr="00793A3E">
        <w:rPr>
          <w:rFonts w:ascii="Arial" w:hAnsi="Arial" w:cs="Arial"/>
          <w:sz w:val="24"/>
          <w:szCs w:val="24"/>
        </w:rPr>
        <w:tab/>
      </w:r>
      <w:r w:rsidR="00A420F3" w:rsidRPr="00D33AC2">
        <w:rPr>
          <w:rFonts w:ascii="Arial" w:hAnsi="Arial" w:cs="Arial"/>
          <w:sz w:val="24"/>
          <w:szCs w:val="24"/>
        </w:rPr>
        <w:t xml:space="preserve">The applicant is to pay first and second respondents’ costs, in respect of </w:t>
      </w:r>
      <w:r w:rsidR="0099323C" w:rsidRPr="00D33AC2">
        <w:rPr>
          <w:rFonts w:ascii="Arial" w:hAnsi="Arial" w:cs="Arial"/>
          <w:sz w:val="24"/>
          <w:szCs w:val="24"/>
        </w:rPr>
        <w:t xml:space="preserve">first </w:t>
      </w:r>
      <w:r w:rsidR="00A420F3" w:rsidRPr="00D33AC2">
        <w:rPr>
          <w:rFonts w:ascii="Arial" w:hAnsi="Arial" w:cs="Arial"/>
          <w:sz w:val="24"/>
          <w:szCs w:val="24"/>
        </w:rPr>
        <w:t>respondent those costs to include the costs of two counsel.</w:t>
      </w:r>
    </w:p>
    <w:p w14:paraId="1EDB4F69" w14:textId="1297C43A" w:rsidR="006C26AA" w:rsidRPr="00D33AC2" w:rsidRDefault="00D33AC2" w:rsidP="00D33AC2">
      <w:pPr>
        <w:spacing w:after="0" w:line="480" w:lineRule="auto"/>
        <w:ind w:left="1440" w:hanging="720"/>
        <w:jc w:val="both"/>
        <w:rPr>
          <w:rFonts w:ascii="Arial" w:hAnsi="Arial" w:cs="Arial"/>
          <w:sz w:val="24"/>
          <w:szCs w:val="24"/>
        </w:rPr>
      </w:pPr>
      <w:r w:rsidRPr="0099323C">
        <w:rPr>
          <w:rFonts w:ascii="Arial" w:hAnsi="Arial" w:cs="Arial"/>
          <w:sz w:val="24"/>
          <w:szCs w:val="24"/>
        </w:rPr>
        <w:t>5.</w:t>
      </w:r>
      <w:r w:rsidRPr="0099323C">
        <w:rPr>
          <w:rFonts w:ascii="Arial" w:hAnsi="Arial" w:cs="Arial"/>
          <w:sz w:val="24"/>
          <w:szCs w:val="24"/>
        </w:rPr>
        <w:tab/>
      </w:r>
      <w:r w:rsidR="006C26AA" w:rsidRPr="00D33AC2">
        <w:rPr>
          <w:rFonts w:ascii="Arial" w:hAnsi="Arial" w:cs="Arial"/>
          <w:sz w:val="24"/>
          <w:szCs w:val="24"/>
        </w:rPr>
        <w:t>The order granted in the application to compel in terms of which costs were reserved are hereby determined as follows:</w:t>
      </w:r>
      <w:r w:rsidR="0099323C" w:rsidRPr="00D33AC2">
        <w:rPr>
          <w:rFonts w:ascii="Arial" w:hAnsi="Arial" w:cs="Arial"/>
          <w:sz w:val="24"/>
          <w:szCs w:val="24"/>
        </w:rPr>
        <w:t xml:space="preserve"> </w:t>
      </w:r>
      <w:r w:rsidR="009637E3" w:rsidRPr="00D33AC2">
        <w:rPr>
          <w:rFonts w:ascii="Arial" w:hAnsi="Arial" w:cs="Arial"/>
          <w:sz w:val="24"/>
          <w:szCs w:val="24"/>
        </w:rPr>
        <w:t>Each party is to bare their own costs in this regard.</w:t>
      </w:r>
    </w:p>
    <w:p w14:paraId="5E823D85" w14:textId="77777777" w:rsidR="00A420F3" w:rsidRPr="00793A3E" w:rsidRDefault="00A420F3" w:rsidP="00F009F9">
      <w:pPr>
        <w:pStyle w:val="ListParagraph"/>
        <w:spacing w:after="0" w:line="480" w:lineRule="auto"/>
        <w:ind w:left="1440"/>
        <w:contextualSpacing w:val="0"/>
        <w:jc w:val="both"/>
        <w:rPr>
          <w:rFonts w:ascii="Arial" w:hAnsi="Arial" w:cs="Arial"/>
          <w:sz w:val="24"/>
          <w:szCs w:val="24"/>
        </w:rPr>
      </w:pPr>
    </w:p>
    <w:p w14:paraId="457EFF64" w14:textId="77777777" w:rsidR="006C26AA" w:rsidRPr="00793A3E" w:rsidRDefault="006C26AA" w:rsidP="00F009F9">
      <w:pPr>
        <w:pStyle w:val="ListParagraph"/>
        <w:spacing w:after="0" w:line="240" w:lineRule="auto"/>
        <w:ind w:left="0"/>
        <w:contextualSpacing w:val="0"/>
        <w:jc w:val="both"/>
        <w:rPr>
          <w:rFonts w:ascii="Arial" w:hAnsi="Arial" w:cs="Arial"/>
          <w:sz w:val="24"/>
          <w:szCs w:val="24"/>
        </w:rPr>
      </w:pPr>
    </w:p>
    <w:p w14:paraId="341884A2" w14:textId="77777777" w:rsidR="006C26AA" w:rsidRPr="00793A3E" w:rsidRDefault="006C26AA" w:rsidP="00F009F9">
      <w:pPr>
        <w:pStyle w:val="ListParagraph"/>
        <w:spacing w:after="0" w:line="240" w:lineRule="auto"/>
        <w:ind w:left="0"/>
        <w:contextualSpacing w:val="0"/>
        <w:jc w:val="both"/>
        <w:rPr>
          <w:rFonts w:ascii="Arial" w:hAnsi="Arial" w:cs="Arial"/>
          <w:sz w:val="24"/>
          <w:szCs w:val="24"/>
        </w:rPr>
      </w:pPr>
      <w:r w:rsidRPr="00793A3E">
        <w:rPr>
          <w:rFonts w:ascii="Arial" w:hAnsi="Arial" w:cs="Arial"/>
          <w:sz w:val="24"/>
          <w:szCs w:val="24"/>
        </w:rPr>
        <w:t xml:space="preserve">_______________ </w:t>
      </w:r>
    </w:p>
    <w:p w14:paraId="2BA50482" w14:textId="77777777" w:rsidR="006C26AA" w:rsidRPr="00793A3E" w:rsidRDefault="006C26AA" w:rsidP="00F009F9">
      <w:pPr>
        <w:pStyle w:val="ListParagraph"/>
        <w:spacing w:after="0" w:line="240" w:lineRule="auto"/>
        <w:ind w:left="0"/>
        <w:contextualSpacing w:val="0"/>
        <w:jc w:val="both"/>
        <w:rPr>
          <w:rFonts w:ascii="Arial" w:hAnsi="Arial" w:cs="Arial"/>
          <w:b/>
          <w:sz w:val="24"/>
          <w:szCs w:val="24"/>
        </w:rPr>
      </w:pPr>
      <w:r w:rsidRPr="00793A3E">
        <w:rPr>
          <w:rFonts w:ascii="Arial" w:hAnsi="Arial" w:cs="Arial"/>
          <w:b/>
          <w:sz w:val="24"/>
          <w:szCs w:val="24"/>
        </w:rPr>
        <w:t>M.J. LOWE</w:t>
      </w:r>
    </w:p>
    <w:p w14:paraId="74AAB7E7" w14:textId="77777777" w:rsidR="006C26AA" w:rsidRPr="00793A3E" w:rsidRDefault="006C26AA" w:rsidP="00F009F9">
      <w:pPr>
        <w:pStyle w:val="ListParagraph"/>
        <w:spacing w:after="0" w:line="240" w:lineRule="auto"/>
        <w:ind w:left="0"/>
        <w:contextualSpacing w:val="0"/>
        <w:jc w:val="both"/>
        <w:rPr>
          <w:rFonts w:ascii="Arial" w:hAnsi="Arial" w:cs="Arial"/>
          <w:b/>
          <w:sz w:val="24"/>
          <w:szCs w:val="24"/>
        </w:rPr>
      </w:pPr>
      <w:r w:rsidRPr="00793A3E">
        <w:rPr>
          <w:rFonts w:ascii="Arial" w:hAnsi="Arial" w:cs="Arial"/>
          <w:b/>
          <w:sz w:val="24"/>
          <w:szCs w:val="24"/>
        </w:rPr>
        <w:t>JUDGE OF THE HIGH COURT</w:t>
      </w:r>
    </w:p>
    <w:p w14:paraId="545E2076" w14:textId="77777777" w:rsidR="006C26AA" w:rsidRPr="00793A3E" w:rsidRDefault="006C26AA" w:rsidP="00F009F9">
      <w:pPr>
        <w:pStyle w:val="ListParagraph"/>
        <w:spacing w:after="0" w:line="240" w:lineRule="auto"/>
        <w:ind w:left="0"/>
        <w:contextualSpacing w:val="0"/>
        <w:jc w:val="both"/>
        <w:rPr>
          <w:rFonts w:ascii="Arial" w:hAnsi="Arial" w:cs="Arial"/>
          <w:b/>
          <w:sz w:val="24"/>
          <w:szCs w:val="24"/>
        </w:rPr>
      </w:pPr>
    </w:p>
    <w:p w14:paraId="3A103F56" w14:textId="77777777" w:rsidR="006C26AA" w:rsidRPr="00793A3E" w:rsidRDefault="006C26AA" w:rsidP="00F009F9">
      <w:pPr>
        <w:pStyle w:val="ListParagraph"/>
        <w:spacing w:after="0" w:line="240" w:lineRule="auto"/>
        <w:ind w:left="0"/>
        <w:contextualSpacing w:val="0"/>
        <w:jc w:val="both"/>
        <w:rPr>
          <w:rFonts w:ascii="Arial" w:hAnsi="Arial" w:cs="Arial"/>
          <w:b/>
          <w:sz w:val="24"/>
          <w:szCs w:val="24"/>
        </w:rPr>
      </w:pPr>
    </w:p>
    <w:p w14:paraId="1C5A925F" w14:textId="77777777" w:rsidR="006C26AA" w:rsidRPr="00793A3E" w:rsidRDefault="006C26AA" w:rsidP="0099323C">
      <w:pPr>
        <w:pStyle w:val="ListParagraph"/>
        <w:spacing w:after="0" w:line="240" w:lineRule="auto"/>
        <w:ind w:left="5040" w:hanging="5040"/>
        <w:contextualSpacing w:val="0"/>
        <w:jc w:val="both"/>
        <w:rPr>
          <w:rFonts w:ascii="Arial" w:hAnsi="Arial" w:cs="Arial"/>
          <w:sz w:val="24"/>
          <w:szCs w:val="24"/>
        </w:rPr>
      </w:pPr>
      <w:r w:rsidRPr="00793A3E">
        <w:rPr>
          <w:rFonts w:ascii="Arial" w:hAnsi="Arial" w:cs="Arial"/>
          <w:sz w:val="24"/>
          <w:szCs w:val="24"/>
        </w:rPr>
        <w:t>Appearing on behalf of the Applicant:</w:t>
      </w:r>
      <w:r w:rsidR="005B6493">
        <w:rPr>
          <w:rFonts w:ascii="Arial" w:hAnsi="Arial" w:cs="Arial"/>
          <w:sz w:val="24"/>
          <w:szCs w:val="24"/>
        </w:rPr>
        <w:tab/>
      </w:r>
      <w:r w:rsidR="0099323C">
        <w:rPr>
          <w:rFonts w:ascii="Arial" w:hAnsi="Arial" w:cs="Arial"/>
          <w:sz w:val="24"/>
          <w:szCs w:val="24"/>
        </w:rPr>
        <w:t>Adv. J.F. Pretorius, i</w:t>
      </w:r>
      <w:r w:rsidRPr="00793A3E">
        <w:rPr>
          <w:rFonts w:ascii="Arial" w:hAnsi="Arial" w:cs="Arial"/>
          <w:sz w:val="24"/>
          <w:szCs w:val="24"/>
        </w:rPr>
        <w:t>nstructed by</w:t>
      </w:r>
      <w:r w:rsidR="0099323C">
        <w:rPr>
          <w:rFonts w:ascii="Arial" w:hAnsi="Arial" w:cs="Arial"/>
          <w:sz w:val="24"/>
          <w:szCs w:val="24"/>
        </w:rPr>
        <w:t xml:space="preserve"> Fourie van Pletzen Attorneys Incorporated c/o Gravett Schoeman Inc, Beacon Bay, East London</w:t>
      </w:r>
    </w:p>
    <w:p w14:paraId="59AE0EF7" w14:textId="77777777" w:rsidR="006C26AA" w:rsidRPr="00793A3E" w:rsidRDefault="006C26AA" w:rsidP="00F009F9">
      <w:pPr>
        <w:pStyle w:val="ListParagraph"/>
        <w:spacing w:after="0" w:line="240" w:lineRule="auto"/>
        <w:ind w:left="0"/>
        <w:contextualSpacing w:val="0"/>
        <w:jc w:val="both"/>
        <w:rPr>
          <w:rFonts w:ascii="Arial" w:hAnsi="Arial" w:cs="Arial"/>
          <w:sz w:val="24"/>
          <w:szCs w:val="24"/>
        </w:rPr>
      </w:pPr>
    </w:p>
    <w:p w14:paraId="05810C60" w14:textId="77777777" w:rsidR="006C26AA" w:rsidRPr="00793A3E" w:rsidRDefault="006C26AA" w:rsidP="00F009F9">
      <w:pPr>
        <w:pStyle w:val="ListParagraph"/>
        <w:spacing w:after="0" w:line="240" w:lineRule="auto"/>
        <w:ind w:left="0"/>
        <w:contextualSpacing w:val="0"/>
        <w:jc w:val="both"/>
        <w:rPr>
          <w:rFonts w:ascii="Arial" w:hAnsi="Arial" w:cs="Arial"/>
          <w:sz w:val="24"/>
          <w:szCs w:val="24"/>
        </w:rPr>
      </w:pPr>
    </w:p>
    <w:p w14:paraId="42C46EE7" w14:textId="77777777" w:rsidR="006C26AA" w:rsidRPr="00793A3E" w:rsidRDefault="006C26AA" w:rsidP="005B6493">
      <w:pPr>
        <w:pStyle w:val="ListParagraph"/>
        <w:spacing w:after="0" w:line="240" w:lineRule="auto"/>
        <w:ind w:left="5040" w:hanging="5040"/>
        <w:contextualSpacing w:val="0"/>
        <w:jc w:val="both"/>
        <w:rPr>
          <w:rFonts w:ascii="Arial" w:hAnsi="Arial" w:cs="Arial"/>
          <w:sz w:val="24"/>
          <w:szCs w:val="24"/>
        </w:rPr>
      </w:pPr>
      <w:r w:rsidRPr="00793A3E">
        <w:rPr>
          <w:rFonts w:ascii="Arial" w:hAnsi="Arial" w:cs="Arial"/>
          <w:sz w:val="24"/>
          <w:szCs w:val="24"/>
        </w:rPr>
        <w:t xml:space="preserve">Appearing on behalf of the </w:t>
      </w:r>
      <w:r w:rsidR="0099323C">
        <w:rPr>
          <w:rFonts w:ascii="Arial" w:hAnsi="Arial" w:cs="Arial"/>
          <w:sz w:val="24"/>
          <w:szCs w:val="24"/>
        </w:rPr>
        <w:t xml:space="preserve">First </w:t>
      </w:r>
      <w:r w:rsidRPr="00793A3E">
        <w:rPr>
          <w:rFonts w:ascii="Arial" w:hAnsi="Arial" w:cs="Arial"/>
          <w:sz w:val="24"/>
          <w:szCs w:val="24"/>
        </w:rPr>
        <w:t>Respondent:</w:t>
      </w:r>
      <w:r w:rsidR="0099323C">
        <w:rPr>
          <w:rFonts w:ascii="Arial" w:hAnsi="Arial" w:cs="Arial"/>
          <w:sz w:val="24"/>
          <w:szCs w:val="24"/>
        </w:rPr>
        <w:tab/>
        <w:t>Adv. S.L. Shangisa SC with Adv. N.L. Ntsepe, instructed by Smith Tabata Attorneys, East London</w:t>
      </w:r>
    </w:p>
    <w:p w14:paraId="04DF7E52" w14:textId="77777777" w:rsidR="006C26AA" w:rsidRDefault="006C26AA" w:rsidP="00F009F9">
      <w:pPr>
        <w:pStyle w:val="ListParagraph"/>
        <w:spacing w:after="0" w:line="240" w:lineRule="auto"/>
        <w:ind w:left="0"/>
        <w:contextualSpacing w:val="0"/>
        <w:jc w:val="both"/>
        <w:rPr>
          <w:rFonts w:ascii="Arial" w:hAnsi="Arial" w:cs="Arial"/>
          <w:sz w:val="24"/>
          <w:szCs w:val="24"/>
        </w:rPr>
      </w:pPr>
    </w:p>
    <w:p w14:paraId="0CFDC092" w14:textId="77777777" w:rsidR="0099323C" w:rsidRDefault="0099323C" w:rsidP="0099323C">
      <w:pPr>
        <w:pStyle w:val="ListParagraph"/>
        <w:spacing w:after="0" w:line="240" w:lineRule="auto"/>
        <w:ind w:left="5580" w:hanging="5580"/>
        <w:contextualSpacing w:val="0"/>
        <w:jc w:val="both"/>
        <w:rPr>
          <w:rFonts w:ascii="Arial" w:hAnsi="Arial" w:cs="Arial"/>
          <w:sz w:val="24"/>
          <w:szCs w:val="24"/>
        </w:rPr>
      </w:pPr>
      <w:r w:rsidRPr="00793A3E">
        <w:rPr>
          <w:rFonts w:ascii="Arial" w:hAnsi="Arial" w:cs="Arial"/>
          <w:sz w:val="24"/>
          <w:szCs w:val="24"/>
        </w:rPr>
        <w:t xml:space="preserve">Appearing on behalf of the </w:t>
      </w:r>
      <w:r>
        <w:rPr>
          <w:rFonts w:ascii="Arial" w:hAnsi="Arial" w:cs="Arial"/>
          <w:sz w:val="24"/>
          <w:szCs w:val="24"/>
        </w:rPr>
        <w:t xml:space="preserve">Second </w:t>
      </w:r>
      <w:r w:rsidRPr="00793A3E">
        <w:rPr>
          <w:rFonts w:ascii="Arial" w:hAnsi="Arial" w:cs="Arial"/>
          <w:sz w:val="24"/>
          <w:szCs w:val="24"/>
        </w:rPr>
        <w:t>Respondent</w:t>
      </w:r>
      <w:r>
        <w:rPr>
          <w:rFonts w:ascii="Arial" w:hAnsi="Arial" w:cs="Arial"/>
          <w:sz w:val="24"/>
          <w:szCs w:val="24"/>
        </w:rPr>
        <w:t>:</w:t>
      </w:r>
      <w:r>
        <w:rPr>
          <w:rFonts w:ascii="Arial" w:hAnsi="Arial" w:cs="Arial"/>
          <w:sz w:val="24"/>
          <w:szCs w:val="24"/>
        </w:rPr>
        <w:tab/>
        <w:t>Adv. K.L. Watt, instructed by Drake Flemmer &amp; orsmond (EL) Inc, East London</w:t>
      </w:r>
    </w:p>
    <w:p w14:paraId="7DD15E07" w14:textId="77777777" w:rsidR="0099323C" w:rsidRPr="00793A3E" w:rsidRDefault="0099323C" w:rsidP="0099323C">
      <w:pPr>
        <w:pStyle w:val="ListParagraph"/>
        <w:spacing w:after="0" w:line="240" w:lineRule="auto"/>
        <w:ind w:left="5580" w:hanging="5580"/>
        <w:contextualSpacing w:val="0"/>
        <w:jc w:val="both"/>
        <w:rPr>
          <w:rFonts w:ascii="Arial" w:hAnsi="Arial" w:cs="Arial"/>
          <w:sz w:val="24"/>
          <w:szCs w:val="24"/>
        </w:rPr>
      </w:pPr>
    </w:p>
    <w:p w14:paraId="64112D33" w14:textId="77777777" w:rsidR="006C26AA" w:rsidRPr="00793A3E" w:rsidRDefault="006C26AA" w:rsidP="00F009F9">
      <w:pPr>
        <w:pStyle w:val="ListParagraph"/>
        <w:spacing w:after="0" w:line="240" w:lineRule="auto"/>
        <w:ind w:left="0"/>
        <w:contextualSpacing w:val="0"/>
        <w:jc w:val="both"/>
        <w:rPr>
          <w:rFonts w:ascii="Arial" w:hAnsi="Arial" w:cs="Arial"/>
          <w:sz w:val="24"/>
          <w:szCs w:val="24"/>
        </w:rPr>
      </w:pPr>
    </w:p>
    <w:p w14:paraId="01FFE4B5" w14:textId="77777777" w:rsidR="006C26AA" w:rsidRPr="00793A3E" w:rsidRDefault="006C26AA" w:rsidP="005B6493">
      <w:pPr>
        <w:pStyle w:val="ListParagraph"/>
        <w:spacing w:after="0" w:line="240" w:lineRule="auto"/>
        <w:ind w:left="5040" w:hanging="5040"/>
        <w:contextualSpacing w:val="0"/>
        <w:jc w:val="both"/>
        <w:rPr>
          <w:rFonts w:ascii="Arial" w:hAnsi="Arial" w:cs="Arial"/>
          <w:sz w:val="24"/>
          <w:szCs w:val="24"/>
        </w:rPr>
      </w:pPr>
      <w:r w:rsidRPr="00793A3E">
        <w:rPr>
          <w:rFonts w:ascii="Arial" w:hAnsi="Arial" w:cs="Arial"/>
          <w:sz w:val="24"/>
          <w:szCs w:val="24"/>
        </w:rPr>
        <w:t>Date heard:</w:t>
      </w:r>
      <w:r w:rsidR="0099323C">
        <w:rPr>
          <w:rFonts w:ascii="Arial" w:hAnsi="Arial" w:cs="Arial"/>
          <w:sz w:val="24"/>
          <w:szCs w:val="24"/>
        </w:rPr>
        <w:tab/>
        <w:t>17 – 18 November 2022</w:t>
      </w:r>
      <w:r w:rsidR="005B6493">
        <w:rPr>
          <w:rFonts w:ascii="Arial" w:hAnsi="Arial" w:cs="Arial"/>
          <w:sz w:val="24"/>
          <w:szCs w:val="24"/>
        </w:rPr>
        <w:tab/>
      </w:r>
    </w:p>
    <w:p w14:paraId="50F5ABCD" w14:textId="77777777" w:rsidR="006C26AA" w:rsidRPr="00793A3E" w:rsidRDefault="006C26AA" w:rsidP="00F009F9">
      <w:pPr>
        <w:pStyle w:val="ListParagraph"/>
        <w:spacing w:after="0" w:line="240" w:lineRule="auto"/>
        <w:ind w:left="0"/>
        <w:contextualSpacing w:val="0"/>
        <w:jc w:val="both"/>
        <w:rPr>
          <w:rFonts w:ascii="Arial" w:hAnsi="Arial" w:cs="Arial"/>
          <w:sz w:val="24"/>
          <w:szCs w:val="24"/>
        </w:rPr>
      </w:pPr>
    </w:p>
    <w:p w14:paraId="7BCCAC37" w14:textId="77777777" w:rsidR="006C26AA" w:rsidRPr="00793A3E" w:rsidRDefault="006C26AA" w:rsidP="005B6493">
      <w:pPr>
        <w:pStyle w:val="ListParagraph"/>
        <w:spacing w:after="0" w:line="240" w:lineRule="auto"/>
        <w:ind w:left="5040" w:hanging="5040"/>
        <w:contextualSpacing w:val="0"/>
        <w:jc w:val="both"/>
        <w:rPr>
          <w:rFonts w:ascii="Arial" w:hAnsi="Arial" w:cs="Arial"/>
          <w:sz w:val="24"/>
          <w:szCs w:val="24"/>
        </w:rPr>
      </w:pPr>
      <w:r w:rsidRPr="00793A3E">
        <w:rPr>
          <w:rFonts w:ascii="Arial" w:hAnsi="Arial" w:cs="Arial"/>
          <w:sz w:val="24"/>
          <w:szCs w:val="24"/>
        </w:rPr>
        <w:t>Date delivered:</w:t>
      </w:r>
      <w:r w:rsidR="00B53923">
        <w:rPr>
          <w:rFonts w:ascii="Arial" w:hAnsi="Arial" w:cs="Arial"/>
          <w:sz w:val="24"/>
          <w:szCs w:val="24"/>
        </w:rPr>
        <w:tab/>
        <w:t>15 December 2022.</w:t>
      </w:r>
      <w:r w:rsidR="005B6493">
        <w:rPr>
          <w:rFonts w:ascii="Arial" w:hAnsi="Arial" w:cs="Arial"/>
          <w:sz w:val="24"/>
          <w:szCs w:val="24"/>
        </w:rPr>
        <w:tab/>
      </w:r>
    </w:p>
    <w:p w14:paraId="75F7BB87" w14:textId="77777777" w:rsidR="006C26AA" w:rsidRPr="00793A3E" w:rsidRDefault="006C26AA" w:rsidP="00F009F9">
      <w:pPr>
        <w:pStyle w:val="ListParagraph"/>
        <w:spacing w:after="0" w:line="240" w:lineRule="auto"/>
        <w:ind w:left="0"/>
        <w:contextualSpacing w:val="0"/>
        <w:jc w:val="both"/>
        <w:rPr>
          <w:rFonts w:ascii="Arial" w:hAnsi="Arial" w:cs="Arial"/>
          <w:sz w:val="24"/>
          <w:szCs w:val="24"/>
        </w:rPr>
      </w:pPr>
    </w:p>
    <w:p w14:paraId="3BE22C7E" w14:textId="77777777" w:rsidR="006C26AA" w:rsidRPr="00793A3E" w:rsidRDefault="006C26AA" w:rsidP="00F009F9">
      <w:pPr>
        <w:pStyle w:val="ListParagraph"/>
        <w:spacing w:after="0" w:line="240" w:lineRule="auto"/>
        <w:ind w:left="0"/>
        <w:contextualSpacing w:val="0"/>
        <w:jc w:val="both"/>
        <w:rPr>
          <w:rFonts w:ascii="Arial" w:hAnsi="Arial" w:cs="Arial"/>
          <w:sz w:val="24"/>
          <w:szCs w:val="24"/>
        </w:rPr>
      </w:pPr>
    </w:p>
    <w:p w14:paraId="6ED1C0C0" w14:textId="77777777" w:rsidR="006C26AA" w:rsidRPr="00793A3E" w:rsidRDefault="006C26AA" w:rsidP="00F009F9">
      <w:pPr>
        <w:pStyle w:val="ListParagraph"/>
        <w:spacing w:after="0" w:line="240" w:lineRule="auto"/>
        <w:ind w:left="0"/>
        <w:contextualSpacing w:val="0"/>
        <w:jc w:val="both"/>
        <w:rPr>
          <w:rFonts w:ascii="Arial" w:hAnsi="Arial" w:cs="Arial"/>
          <w:sz w:val="24"/>
          <w:szCs w:val="24"/>
        </w:rPr>
      </w:pPr>
    </w:p>
    <w:p w14:paraId="7FDC83ED" w14:textId="77777777" w:rsidR="00490954" w:rsidRPr="00793A3E" w:rsidRDefault="00490954" w:rsidP="00F009F9">
      <w:pPr>
        <w:spacing w:after="0" w:line="240" w:lineRule="auto"/>
        <w:jc w:val="both"/>
        <w:rPr>
          <w:rFonts w:ascii="Arial" w:hAnsi="Arial" w:cs="Arial"/>
          <w:sz w:val="24"/>
          <w:szCs w:val="24"/>
        </w:rPr>
      </w:pPr>
    </w:p>
    <w:sectPr w:rsidR="00490954" w:rsidRPr="00793A3E" w:rsidSect="00CA0F39">
      <w:headerReference w:type="default" r:id="rId8"/>
      <w:headerReference w:type="first" r:id="rId9"/>
      <w:pgSz w:w="11906" w:h="16838"/>
      <w:pgMar w:top="1440" w:right="1440"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05D5" w14:textId="77777777" w:rsidR="00755144" w:rsidRDefault="00755144" w:rsidP="00B356DF">
      <w:pPr>
        <w:spacing w:after="0" w:line="240" w:lineRule="auto"/>
      </w:pPr>
      <w:r>
        <w:separator/>
      </w:r>
    </w:p>
  </w:endnote>
  <w:endnote w:type="continuationSeparator" w:id="0">
    <w:p w14:paraId="03C7F974" w14:textId="77777777" w:rsidR="00755144" w:rsidRDefault="00755144" w:rsidP="00B3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21C2" w14:textId="77777777" w:rsidR="00755144" w:rsidRDefault="00755144" w:rsidP="00B356DF">
      <w:pPr>
        <w:spacing w:after="0" w:line="240" w:lineRule="auto"/>
      </w:pPr>
      <w:r>
        <w:separator/>
      </w:r>
    </w:p>
  </w:footnote>
  <w:footnote w:type="continuationSeparator" w:id="0">
    <w:p w14:paraId="4AC678FD" w14:textId="77777777" w:rsidR="00755144" w:rsidRDefault="00755144" w:rsidP="00B356DF">
      <w:pPr>
        <w:spacing w:after="0" w:line="240" w:lineRule="auto"/>
      </w:pPr>
      <w:r>
        <w:continuationSeparator/>
      </w:r>
    </w:p>
  </w:footnote>
  <w:footnote w:id="1">
    <w:p w14:paraId="5BADC030" w14:textId="77777777" w:rsidR="00055F0C" w:rsidRPr="00EB48C5" w:rsidRDefault="00055F0C" w:rsidP="00A614B1">
      <w:pPr>
        <w:pStyle w:val="FootnoteText"/>
        <w:rPr>
          <w:lang w:val="en-US"/>
        </w:rPr>
      </w:pPr>
      <w:r>
        <w:rPr>
          <w:rStyle w:val="FootnoteReference"/>
        </w:rPr>
        <w:footnoteRef/>
      </w:r>
      <w:r>
        <w:t xml:space="preserve"> </w:t>
      </w:r>
      <w:r>
        <w:rPr>
          <w:lang w:val="en-US"/>
        </w:rPr>
        <w:t>This communication was by letter from first respondent to applicant signed by the procurement manager.</w:t>
      </w:r>
    </w:p>
  </w:footnote>
  <w:footnote w:id="2">
    <w:p w14:paraId="33B2E4C1" w14:textId="77777777" w:rsidR="00055F0C" w:rsidRPr="00F5297A" w:rsidRDefault="00055F0C" w:rsidP="00A614B1">
      <w:pPr>
        <w:pStyle w:val="FootnoteText"/>
        <w:rPr>
          <w:lang w:val="en-US"/>
        </w:rPr>
      </w:pPr>
      <w:r>
        <w:rPr>
          <w:rStyle w:val="FootnoteReference"/>
        </w:rPr>
        <w:footnoteRef/>
      </w:r>
      <w:r>
        <w:t xml:space="preserve"> </w:t>
      </w:r>
      <w:r>
        <w:rPr>
          <w:lang w:val="en-US"/>
        </w:rPr>
        <w:t>Clause 1.6.1 of the Standard Conditions.</w:t>
      </w:r>
    </w:p>
  </w:footnote>
  <w:footnote w:id="3">
    <w:p w14:paraId="70FE887E" w14:textId="77777777" w:rsidR="00055F0C" w:rsidRPr="00302CCC" w:rsidRDefault="00055F0C">
      <w:pPr>
        <w:pStyle w:val="FootnoteText"/>
        <w:rPr>
          <w:lang w:val="en-US"/>
        </w:rPr>
      </w:pPr>
      <w:r>
        <w:rPr>
          <w:rStyle w:val="FootnoteReference"/>
        </w:rPr>
        <w:footnoteRef/>
      </w:r>
      <w:r>
        <w:t xml:space="preserve"> </w:t>
      </w:r>
      <w:r>
        <w:rPr>
          <w:lang w:val="en-US"/>
        </w:rPr>
        <w:t>Review papers 47 and 91.</w:t>
      </w:r>
    </w:p>
  </w:footnote>
  <w:footnote w:id="4">
    <w:p w14:paraId="6FC73571" w14:textId="77777777" w:rsidR="00055F0C" w:rsidRPr="00173852" w:rsidRDefault="00055F0C" w:rsidP="00A614B1">
      <w:pPr>
        <w:pStyle w:val="FootnoteText"/>
        <w:rPr>
          <w:lang w:val="en-US"/>
        </w:rPr>
      </w:pPr>
      <w:r>
        <w:rPr>
          <w:rStyle w:val="FootnoteReference"/>
        </w:rPr>
        <w:footnoteRef/>
      </w:r>
      <w:r>
        <w:t xml:space="preserve"> </w:t>
      </w:r>
      <w:r>
        <w:rPr>
          <w:lang w:val="en-US"/>
        </w:rPr>
        <w:t xml:space="preserve">2000 (4) SA 413 (SCA) at [30]. </w:t>
      </w:r>
    </w:p>
  </w:footnote>
  <w:footnote w:id="5">
    <w:p w14:paraId="485A3101" w14:textId="77777777" w:rsidR="00055F0C" w:rsidRPr="001C35F5" w:rsidRDefault="00055F0C" w:rsidP="00A614B1">
      <w:pPr>
        <w:pStyle w:val="FootnoteText"/>
        <w:rPr>
          <w:lang w:val="en-US"/>
        </w:rPr>
      </w:pPr>
      <w:r>
        <w:rPr>
          <w:rStyle w:val="FootnoteReference"/>
        </w:rPr>
        <w:footnoteRef/>
      </w:r>
      <w:r>
        <w:t xml:space="preserve"> </w:t>
      </w:r>
      <w:r>
        <w:rPr>
          <w:lang w:val="en-US"/>
        </w:rPr>
        <w:t xml:space="preserve">2014 (1) SA 604 (CC) at [39]. </w:t>
      </w:r>
    </w:p>
  </w:footnote>
  <w:footnote w:id="6">
    <w:p w14:paraId="4716BE11" w14:textId="77777777" w:rsidR="00055F0C" w:rsidRPr="001C35F5" w:rsidRDefault="00055F0C" w:rsidP="00A614B1">
      <w:pPr>
        <w:pStyle w:val="FootnoteText"/>
        <w:rPr>
          <w:lang w:val="en-US"/>
        </w:rPr>
      </w:pPr>
      <w:r>
        <w:rPr>
          <w:rStyle w:val="FootnoteReference"/>
        </w:rPr>
        <w:footnoteRef/>
      </w:r>
      <w:r>
        <w:t xml:space="preserve"> </w:t>
      </w:r>
      <w:r w:rsidRPr="001C35F5">
        <w:rPr>
          <w:b/>
          <w:lang w:val="en-US"/>
        </w:rPr>
        <w:t>All Pay</w:t>
      </w:r>
      <w:r>
        <w:rPr>
          <w:lang w:val="en-US"/>
        </w:rPr>
        <w:t xml:space="preserve"> (</w:t>
      </w:r>
      <w:r w:rsidRPr="001C35F5">
        <w:rPr>
          <w:i/>
          <w:lang w:val="en-US"/>
        </w:rPr>
        <w:t>supra</w:t>
      </w:r>
      <w:r>
        <w:rPr>
          <w:lang w:val="en-US"/>
        </w:rPr>
        <w:t>) at [25].</w:t>
      </w:r>
    </w:p>
  </w:footnote>
  <w:footnote w:id="7">
    <w:p w14:paraId="4E866FB0" w14:textId="77777777" w:rsidR="00055F0C" w:rsidRPr="00CA0E71" w:rsidRDefault="00055F0C" w:rsidP="00793A3E">
      <w:pPr>
        <w:pStyle w:val="FootnoteText"/>
        <w:rPr>
          <w:rFonts w:ascii="Arial" w:hAnsi="Arial" w:cs="Arial"/>
        </w:rPr>
      </w:pPr>
      <w:r w:rsidRPr="00CA0E71">
        <w:rPr>
          <w:rStyle w:val="FootnoteReference"/>
          <w:rFonts w:ascii="Arial" w:hAnsi="Arial" w:cs="Arial"/>
        </w:rPr>
        <w:footnoteRef/>
      </w:r>
      <w:r w:rsidRPr="00CA0E71">
        <w:rPr>
          <w:rFonts w:ascii="Arial" w:hAnsi="Arial" w:cs="Arial"/>
        </w:rPr>
        <w:t xml:space="preserve"> 2014 (1) SA 604. </w:t>
      </w:r>
    </w:p>
  </w:footnote>
  <w:footnote w:id="8">
    <w:p w14:paraId="167780CA" w14:textId="77777777" w:rsidR="00055F0C" w:rsidRPr="00CA0E71" w:rsidRDefault="00055F0C" w:rsidP="00793A3E">
      <w:pPr>
        <w:pStyle w:val="FootnoteText"/>
        <w:rPr>
          <w:rFonts w:ascii="Arial" w:hAnsi="Arial" w:cs="Arial"/>
        </w:rPr>
      </w:pPr>
      <w:r w:rsidRPr="00CA0E71">
        <w:rPr>
          <w:rStyle w:val="FootnoteReference"/>
          <w:rFonts w:ascii="Arial" w:hAnsi="Arial" w:cs="Arial"/>
        </w:rPr>
        <w:footnoteRef/>
      </w:r>
      <w:r w:rsidRPr="00CA0E71">
        <w:rPr>
          <w:rFonts w:ascii="Arial" w:hAnsi="Arial" w:cs="Arial"/>
        </w:rPr>
        <w:t xml:space="preserve"> 2007 (3) SA 121 (CC) at para 3.</w:t>
      </w:r>
    </w:p>
  </w:footnote>
  <w:footnote w:id="9">
    <w:p w14:paraId="019494A9" w14:textId="77777777" w:rsidR="00055F0C" w:rsidRPr="00CD4795" w:rsidRDefault="00055F0C" w:rsidP="00793A3E">
      <w:pPr>
        <w:pStyle w:val="FootnoteText"/>
        <w:rPr>
          <w:rFonts w:ascii="Arial" w:hAnsi="Arial" w:cs="Arial"/>
        </w:rPr>
      </w:pPr>
      <w:r w:rsidRPr="00CD4795">
        <w:rPr>
          <w:rStyle w:val="FootnoteReference"/>
          <w:rFonts w:ascii="Arial" w:hAnsi="Arial" w:cs="Arial"/>
        </w:rPr>
        <w:footnoteRef/>
      </w:r>
      <w:r w:rsidRPr="00CD4795">
        <w:rPr>
          <w:rFonts w:ascii="Arial" w:hAnsi="Arial" w:cs="Arial"/>
        </w:rPr>
        <w:t xml:space="preserve"> </w:t>
      </w:r>
      <w:r w:rsidRPr="00CD4795">
        <w:rPr>
          <w:rFonts w:ascii="Arial" w:hAnsi="Arial" w:cs="Arial"/>
          <w:b/>
          <w:i/>
        </w:rPr>
        <w:t xml:space="preserve">Millennium Waste Management (Pty) Ltd v Chairperson, Tender Board, Limpopo Province &amp; Others </w:t>
      </w:r>
      <w:r w:rsidRPr="00CD4795">
        <w:rPr>
          <w:rFonts w:ascii="Arial" w:hAnsi="Arial" w:cs="Arial"/>
        </w:rPr>
        <w:t xml:space="preserve">2008 (2) SA 481 (SCA) [4];  </w:t>
      </w:r>
      <w:r w:rsidRPr="00CD4795">
        <w:rPr>
          <w:rFonts w:ascii="Arial" w:hAnsi="Arial" w:cs="Arial"/>
          <w:b/>
          <w:i/>
        </w:rPr>
        <w:t xml:space="preserve">Steenkamp NO v Provincial Tender Board, Eastern Cape </w:t>
      </w:r>
      <w:r w:rsidRPr="00CD4795">
        <w:rPr>
          <w:rFonts w:ascii="Arial" w:hAnsi="Arial" w:cs="Arial"/>
        </w:rPr>
        <w:t>2007 (3) SA 121 (CC) [21].</w:t>
      </w:r>
    </w:p>
  </w:footnote>
  <w:footnote w:id="10">
    <w:p w14:paraId="3C17D19D" w14:textId="77777777" w:rsidR="00055F0C" w:rsidRPr="00687B92" w:rsidRDefault="00055F0C" w:rsidP="00793A3E">
      <w:pPr>
        <w:pStyle w:val="FootnoteText"/>
        <w:rPr>
          <w:rFonts w:ascii="Arial" w:hAnsi="Arial" w:cs="Arial"/>
        </w:rPr>
      </w:pPr>
      <w:r>
        <w:rPr>
          <w:rStyle w:val="FootnoteReference"/>
        </w:rPr>
        <w:footnoteRef/>
      </w:r>
      <w:r>
        <w:t xml:space="preserve"> </w:t>
      </w:r>
      <w:r w:rsidRPr="00687B92">
        <w:rPr>
          <w:rFonts w:ascii="Arial" w:hAnsi="Arial" w:cs="Arial"/>
        </w:rPr>
        <w:t>(392/2017) [2018] ZASCA 72 (30 May 2018)</w:t>
      </w:r>
    </w:p>
  </w:footnote>
  <w:footnote w:id="11">
    <w:p w14:paraId="78D1530B" w14:textId="77777777" w:rsidR="00055F0C" w:rsidRPr="002235DF" w:rsidRDefault="00055F0C" w:rsidP="00793A3E">
      <w:pPr>
        <w:pStyle w:val="FootnoteText"/>
        <w:rPr>
          <w:rFonts w:ascii="Arial" w:hAnsi="Arial" w:cs="Arial"/>
        </w:rPr>
      </w:pPr>
      <w:r w:rsidRPr="002235DF">
        <w:rPr>
          <w:rStyle w:val="FootnoteReference"/>
          <w:rFonts w:ascii="Arial" w:hAnsi="Arial" w:cs="Arial"/>
        </w:rPr>
        <w:footnoteRef/>
      </w:r>
      <w:r w:rsidRPr="002235DF">
        <w:rPr>
          <w:rFonts w:ascii="Arial" w:hAnsi="Arial" w:cs="Arial"/>
        </w:rPr>
        <w:t xml:space="preserve"> </w:t>
      </w:r>
      <w:r>
        <w:rPr>
          <w:rFonts w:ascii="Arial" w:hAnsi="Arial" w:cs="Arial"/>
        </w:rPr>
        <w:t>Paragraphs [13] to [18]</w:t>
      </w:r>
    </w:p>
  </w:footnote>
  <w:footnote w:id="12">
    <w:p w14:paraId="116BBE97" w14:textId="77777777" w:rsidR="00055F0C" w:rsidRPr="00B50D0F" w:rsidRDefault="00055F0C" w:rsidP="00793A3E">
      <w:pPr>
        <w:pStyle w:val="FootnoteText"/>
        <w:rPr>
          <w:rFonts w:ascii="Arial" w:hAnsi="Arial" w:cs="Arial"/>
        </w:rPr>
      </w:pPr>
      <w:r w:rsidRPr="00B50D0F">
        <w:rPr>
          <w:rStyle w:val="FootnoteReference"/>
          <w:rFonts w:ascii="Arial" w:hAnsi="Arial" w:cs="Arial"/>
        </w:rPr>
        <w:footnoteRef/>
      </w:r>
      <w:r w:rsidRPr="00B50D0F">
        <w:rPr>
          <w:rFonts w:ascii="Arial" w:hAnsi="Arial" w:cs="Arial"/>
        </w:rPr>
        <w:t xml:space="preserve"> </w:t>
      </w:r>
      <w:r w:rsidRPr="001A731B">
        <w:rPr>
          <w:rFonts w:ascii="Arial" w:hAnsi="Arial" w:cs="Arial"/>
          <w:b/>
          <w:i/>
        </w:rPr>
        <w:t xml:space="preserve">AECI Ltd and Another v Strand Municipality and Others </w:t>
      </w:r>
      <w:r>
        <w:rPr>
          <w:rFonts w:ascii="Arial" w:hAnsi="Arial" w:cs="Arial"/>
        </w:rPr>
        <w:t xml:space="preserve">1991 (4) SA 688 (C) 698J – 699A and </w:t>
      </w:r>
      <w:r w:rsidRPr="001A731B">
        <w:rPr>
          <w:rFonts w:ascii="Arial" w:hAnsi="Arial" w:cs="Arial"/>
          <w:b/>
          <w:i/>
        </w:rPr>
        <w:t>Freedom Under Law v Acting Chairperson:  JSC</w:t>
      </w:r>
      <w:r>
        <w:rPr>
          <w:rFonts w:ascii="Arial" w:hAnsi="Arial" w:cs="Arial"/>
          <w:b/>
        </w:rPr>
        <w:t xml:space="preserve"> </w:t>
      </w:r>
      <w:r>
        <w:rPr>
          <w:rFonts w:ascii="Arial" w:hAnsi="Arial" w:cs="Arial"/>
        </w:rPr>
        <w:t xml:space="preserve">2011 (3) SA 549 (SCA) 564 F-H. </w:t>
      </w:r>
    </w:p>
  </w:footnote>
  <w:footnote w:id="13">
    <w:p w14:paraId="6D7B686A" w14:textId="77777777" w:rsidR="00055F0C" w:rsidRPr="00D019E9" w:rsidRDefault="00055F0C" w:rsidP="00793A3E">
      <w:pPr>
        <w:pStyle w:val="FootnoteText"/>
        <w:rPr>
          <w:rFonts w:ascii="Arial" w:hAnsi="Arial" w:cs="Arial"/>
        </w:rPr>
      </w:pPr>
      <w:r w:rsidRPr="00D019E9">
        <w:rPr>
          <w:rStyle w:val="FootnoteReference"/>
          <w:rFonts w:ascii="Arial" w:hAnsi="Arial" w:cs="Arial"/>
        </w:rPr>
        <w:footnoteRef/>
      </w:r>
      <w:r w:rsidRPr="00D019E9">
        <w:rPr>
          <w:rFonts w:ascii="Arial" w:hAnsi="Arial" w:cs="Arial"/>
        </w:rPr>
        <w:t xml:space="preserve"> </w:t>
      </w:r>
      <w:r w:rsidRPr="001A731B">
        <w:rPr>
          <w:rFonts w:ascii="Arial" w:hAnsi="Arial" w:cs="Arial"/>
          <w:b/>
          <w:i/>
        </w:rPr>
        <w:t>Dorbyl Vehicle Trading and Finance (Pty) Ltd v Northern Cape Town and Charter Service CC</w:t>
      </w:r>
      <w:r>
        <w:rPr>
          <w:rFonts w:ascii="Arial" w:hAnsi="Arial" w:cs="Arial"/>
          <w:b/>
        </w:rPr>
        <w:t xml:space="preserve"> </w:t>
      </w:r>
      <w:r>
        <w:rPr>
          <w:rFonts w:ascii="Arial" w:hAnsi="Arial" w:cs="Arial"/>
        </w:rPr>
        <w:t xml:space="preserve">[2001] 1 All SA 11 (NC) 123-4. </w:t>
      </w:r>
    </w:p>
  </w:footnote>
  <w:footnote w:id="14">
    <w:p w14:paraId="3261A83D" w14:textId="77777777" w:rsidR="00055F0C" w:rsidRPr="00F124EB" w:rsidRDefault="00055F0C" w:rsidP="00793A3E">
      <w:pPr>
        <w:pStyle w:val="FootnoteText"/>
        <w:rPr>
          <w:rFonts w:ascii="Arial" w:hAnsi="Arial" w:cs="Arial"/>
        </w:rPr>
      </w:pPr>
      <w:r w:rsidRPr="00F124EB">
        <w:rPr>
          <w:rStyle w:val="FootnoteReference"/>
          <w:rFonts w:ascii="Arial" w:hAnsi="Arial" w:cs="Arial"/>
        </w:rPr>
        <w:footnoteRef/>
      </w:r>
      <w:r w:rsidRPr="00F124EB">
        <w:rPr>
          <w:rFonts w:ascii="Arial" w:hAnsi="Arial" w:cs="Arial"/>
        </w:rPr>
        <w:t xml:space="preserve"> </w:t>
      </w:r>
      <w:r w:rsidRPr="00F124EB">
        <w:rPr>
          <w:rFonts w:ascii="Arial" w:hAnsi="Arial" w:cs="Arial"/>
          <w:b/>
          <w:i/>
        </w:rPr>
        <w:t>Wightman t/a J W Construction v Hea</w:t>
      </w:r>
      <w:r>
        <w:rPr>
          <w:rFonts w:ascii="Arial" w:hAnsi="Arial" w:cs="Arial"/>
          <w:b/>
          <w:i/>
        </w:rPr>
        <w:t>d</w:t>
      </w:r>
      <w:r w:rsidRPr="00F124EB">
        <w:rPr>
          <w:rFonts w:ascii="Arial" w:hAnsi="Arial" w:cs="Arial"/>
          <w:b/>
          <w:i/>
        </w:rPr>
        <w:t xml:space="preserve">four </w:t>
      </w:r>
      <w:r>
        <w:rPr>
          <w:rFonts w:ascii="Arial" w:hAnsi="Arial" w:cs="Arial"/>
          <w:b/>
          <w:i/>
        </w:rPr>
        <w:t xml:space="preserve">(Pty) </w:t>
      </w:r>
      <w:r w:rsidRPr="00F124EB">
        <w:rPr>
          <w:rFonts w:ascii="Arial" w:hAnsi="Arial" w:cs="Arial"/>
          <w:b/>
          <w:i/>
        </w:rPr>
        <w:t xml:space="preserve">Ltd and Another </w:t>
      </w:r>
      <w:r w:rsidRPr="00F124EB">
        <w:rPr>
          <w:rFonts w:ascii="Arial" w:hAnsi="Arial" w:cs="Arial"/>
        </w:rPr>
        <w:t>2008 (3) SA 37</w:t>
      </w:r>
      <w:r>
        <w:rPr>
          <w:rFonts w:ascii="Arial" w:hAnsi="Arial" w:cs="Arial"/>
        </w:rPr>
        <w:t>1 (SCA) [13].</w:t>
      </w:r>
    </w:p>
  </w:footnote>
  <w:footnote w:id="15">
    <w:p w14:paraId="677FFE34" w14:textId="77777777" w:rsidR="00055F0C" w:rsidRPr="00F124EB" w:rsidRDefault="00055F0C" w:rsidP="00793A3E">
      <w:pPr>
        <w:pStyle w:val="FootnoteText"/>
        <w:rPr>
          <w:rFonts w:ascii="Arial" w:hAnsi="Arial" w:cs="Arial"/>
        </w:rPr>
      </w:pPr>
      <w:r w:rsidRPr="00F124EB">
        <w:rPr>
          <w:rStyle w:val="FootnoteReference"/>
          <w:rFonts w:ascii="Arial" w:hAnsi="Arial" w:cs="Arial"/>
        </w:rPr>
        <w:footnoteRef/>
      </w:r>
      <w:r w:rsidRPr="00F124EB">
        <w:rPr>
          <w:rFonts w:ascii="Arial" w:hAnsi="Arial" w:cs="Arial"/>
        </w:rPr>
        <w:t xml:space="preserve"> </w:t>
      </w:r>
      <w:r>
        <w:rPr>
          <w:rFonts w:ascii="Arial" w:hAnsi="Arial" w:cs="Arial"/>
          <w:b/>
          <w:i/>
        </w:rPr>
        <w:t xml:space="preserve">Minister of Land </w:t>
      </w:r>
      <w:r w:rsidRPr="00F124EB">
        <w:rPr>
          <w:rFonts w:ascii="Arial" w:hAnsi="Arial" w:cs="Arial"/>
          <w:b/>
          <w:i/>
        </w:rPr>
        <w:t>Affairs</w:t>
      </w:r>
      <w:r>
        <w:rPr>
          <w:rFonts w:ascii="Arial" w:hAnsi="Arial" w:cs="Arial"/>
          <w:b/>
          <w:i/>
        </w:rPr>
        <w:t xml:space="preserve"> and Agriculture and Others</w:t>
      </w:r>
      <w:r w:rsidRPr="00F124EB">
        <w:rPr>
          <w:rFonts w:ascii="Arial" w:hAnsi="Arial" w:cs="Arial"/>
          <w:b/>
          <w:i/>
        </w:rPr>
        <w:t xml:space="preserve"> v D &amp; F Wevell Trust</w:t>
      </w:r>
      <w:r>
        <w:rPr>
          <w:rFonts w:ascii="Arial" w:hAnsi="Arial" w:cs="Arial"/>
          <w:b/>
          <w:i/>
        </w:rPr>
        <w:t xml:space="preserve"> and Others</w:t>
      </w:r>
      <w:r w:rsidRPr="00F124EB">
        <w:rPr>
          <w:rFonts w:ascii="Arial" w:hAnsi="Arial" w:cs="Arial"/>
          <w:b/>
          <w:i/>
        </w:rPr>
        <w:t xml:space="preserve"> </w:t>
      </w:r>
      <w:r w:rsidRPr="00F124EB">
        <w:rPr>
          <w:rFonts w:ascii="Arial" w:hAnsi="Arial" w:cs="Arial"/>
        </w:rPr>
        <w:t xml:space="preserve">2008 (1) SA 184 (SCA) [56]. </w:t>
      </w:r>
    </w:p>
  </w:footnote>
  <w:footnote w:id="16">
    <w:p w14:paraId="34480D1F" w14:textId="77777777" w:rsidR="00055F0C" w:rsidRPr="00F253D7" w:rsidRDefault="00055F0C" w:rsidP="00793A3E">
      <w:pPr>
        <w:pStyle w:val="FootnoteText"/>
        <w:rPr>
          <w:rFonts w:ascii="Arial" w:hAnsi="Arial" w:cs="Arial"/>
        </w:rPr>
      </w:pPr>
      <w:r w:rsidRPr="00F253D7">
        <w:rPr>
          <w:rStyle w:val="FootnoteReference"/>
          <w:rFonts w:ascii="Arial" w:hAnsi="Arial" w:cs="Arial"/>
        </w:rPr>
        <w:footnoteRef/>
      </w:r>
      <w:r w:rsidRPr="00F253D7">
        <w:rPr>
          <w:rFonts w:ascii="Arial" w:hAnsi="Arial" w:cs="Arial"/>
        </w:rPr>
        <w:t xml:space="preserve"> </w:t>
      </w:r>
      <w:r>
        <w:rPr>
          <w:rFonts w:ascii="Arial" w:hAnsi="Arial" w:cs="Arial"/>
          <w:b/>
          <w:i/>
        </w:rPr>
        <w:t xml:space="preserve">Transman (Pty) Ltd v South African Post Office and Another </w:t>
      </w:r>
      <w:r>
        <w:rPr>
          <w:rFonts w:ascii="Arial" w:hAnsi="Arial" w:cs="Arial"/>
        </w:rPr>
        <w:t xml:space="preserve">[2013] 1 All SA 78 (SCA) at [16]. </w:t>
      </w:r>
    </w:p>
  </w:footnote>
  <w:footnote w:id="17">
    <w:p w14:paraId="4B2C3E3F" w14:textId="77777777" w:rsidR="00055F0C" w:rsidRPr="00C32952" w:rsidRDefault="00055F0C" w:rsidP="00793A3E">
      <w:pPr>
        <w:pStyle w:val="FootnoteText"/>
        <w:rPr>
          <w:rFonts w:ascii="Arial" w:hAnsi="Arial" w:cs="Arial"/>
        </w:rPr>
      </w:pPr>
      <w:r w:rsidRPr="00C32952">
        <w:rPr>
          <w:rStyle w:val="FootnoteReference"/>
          <w:rFonts w:ascii="Arial" w:hAnsi="Arial" w:cs="Arial"/>
        </w:rPr>
        <w:footnoteRef/>
      </w:r>
      <w:r w:rsidRPr="00C32952">
        <w:rPr>
          <w:rFonts w:ascii="Arial" w:hAnsi="Arial" w:cs="Arial"/>
        </w:rPr>
        <w:t xml:space="preserve"> </w:t>
      </w:r>
      <w:r w:rsidRPr="00C32952">
        <w:rPr>
          <w:rFonts w:ascii="Arial" w:hAnsi="Arial" w:cs="Arial"/>
          <w:b/>
          <w:i/>
        </w:rPr>
        <w:t xml:space="preserve">Reddy v Siemans Telecommunications (Pty) Ltd </w:t>
      </w:r>
      <w:r w:rsidRPr="00C32952">
        <w:rPr>
          <w:rFonts w:ascii="Arial" w:hAnsi="Arial" w:cs="Arial"/>
        </w:rPr>
        <w:t>2007 (2) SA 486 (SCA).</w:t>
      </w:r>
    </w:p>
  </w:footnote>
  <w:footnote w:id="18">
    <w:p w14:paraId="7B5CC482" w14:textId="77777777" w:rsidR="00055F0C" w:rsidRPr="00C32952" w:rsidRDefault="00055F0C" w:rsidP="00793A3E">
      <w:pPr>
        <w:pStyle w:val="FootnoteText"/>
        <w:rPr>
          <w:rFonts w:ascii="Arial" w:hAnsi="Arial" w:cs="Arial"/>
        </w:rPr>
      </w:pPr>
      <w:r w:rsidRPr="00C32952">
        <w:rPr>
          <w:rStyle w:val="FootnoteReference"/>
          <w:rFonts w:ascii="Arial" w:hAnsi="Arial" w:cs="Arial"/>
        </w:rPr>
        <w:footnoteRef/>
      </w:r>
      <w:r w:rsidRPr="00C32952">
        <w:rPr>
          <w:rFonts w:ascii="Arial" w:hAnsi="Arial" w:cs="Arial"/>
        </w:rPr>
        <w:t xml:space="preserve"> </w:t>
      </w:r>
      <w:r w:rsidRPr="00C32952">
        <w:rPr>
          <w:rFonts w:ascii="Arial" w:hAnsi="Arial" w:cs="Arial"/>
          <w:b/>
          <w:i/>
        </w:rPr>
        <w:t xml:space="preserve">Ngquma v Staatspresident;  Damons NO v Staatspresident;  Jooste v Staatpresident </w:t>
      </w:r>
      <w:r w:rsidRPr="00C32952">
        <w:rPr>
          <w:rFonts w:ascii="Arial" w:hAnsi="Arial" w:cs="Arial"/>
        </w:rPr>
        <w:t xml:space="preserve">1988 (4) SA 224 (A0 at p 243 F-H. </w:t>
      </w:r>
    </w:p>
  </w:footnote>
  <w:footnote w:id="19">
    <w:p w14:paraId="30EBB653" w14:textId="77777777" w:rsidR="00055F0C" w:rsidRPr="00C32952" w:rsidRDefault="00055F0C" w:rsidP="00793A3E">
      <w:pPr>
        <w:pStyle w:val="FootnoteText"/>
        <w:rPr>
          <w:rFonts w:ascii="Arial" w:hAnsi="Arial" w:cs="Arial"/>
        </w:rPr>
      </w:pPr>
      <w:r w:rsidRPr="00C32952">
        <w:rPr>
          <w:rStyle w:val="FootnoteReference"/>
          <w:rFonts w:ascii="Arial" w:hAnsi="Arial" w:cs="Arial"/>
        </w:rPr>
        <w:footnoteRef/>
      </w:r>
      <w:r w:rsidRPr="00C32952">
        <w:rPr>
          <w:rFonts w:ascii="Arial" w:hAnsi="Arial" w:cs="Arial"/>
        </w:rPr>
        <w:t xml:space="preserve"> Ngquma at p243 D-E. </w:t>
      </w:r>
    </w:p>
  </w:footnote>
  <w:footnote w:id="20">
    <w:p w14:paraId="5DBE54CF" w14:textId="77777777" w:rsidR="00055F0C" w:rsidRPr="00C36DC3" w:rsidRDefault="00055F0C" w:rsidP="00793A3E">
      <w:pPr>
        <w:pStyle w:val="FootnoteText"/>
        <w:rPr>
          <w:rFonts w:ascii="Arial" w:hAnsi="Arial" w:cs="Arial"/>
        </w:rPr>
      </w:pPr>
      <w:r w:rsidRPr="00C36DC3">
        <w:rPr>
          <w:rStyle w:val="FootnoteReference"/>
          <w:rFonts w:ascii="Arial" w:hAnsi="Arial" w:cs="Arial"/>
        </w:rPr>
        <w:footnoteRef/>
      </w:r>
      <w:r w:rsidRPr="00C36DC3">
        <w:rPr>
          <w:rFonts w:ascii="Arial" w:hAnsi="Arial" w:cs="Arial"/>
        </w:rPr>
        <w:t xml:space="preserve"> </w:t>
      </w:r>
      <w:r>
        <w:rPr>
          <w:rFonts w:ascii="Arial" w:hAnsi="Arial" w:cs="Arial"/>
          <w:b/>
          <w:i/>
        </w:rPr>
        <w:t xml:space="preserve">National Director of Public Prosecutions v Zuma </w:t>
      </w:r>
      <w:r>
        <w:rPr>
          <w:rFonts w:ascii="Arial" w:hAnsi="Arial" w:cs="Arial"/>
        </w:rPr>
        <w:t xml:space="preserve">2009 (2) SA 277 (SCA) at para 26. </w:t>
      </w:r>
    </w:p>
  </w:footnote>
  <w:footnote w:id="21">
    <w:p w14:paraId="69C86E0D" w14:textId="77777777" w:rsidR="00055F0C" w:rsidRPr="00173A0A" w:rsidRDefault="00055F0C" w:rsidP="00A614B1">
      <w:pPr>
        <w:pStyle w:val="FootnoteText"/>
        <w:rPr>
          <w:lang w:val="en-US"/>
        </w:rPr>
      </w:pPr>
      <w:r>
        <w:rPr>
          <w:rStyle w:val="FootnoteReference"/>
        </w:rPr>
        <w:footnoteRef/>
      </w:r>
      <w:r>
        <w:t xml:space="preserve"> </w:t>
      </w:r>
      <w:r>
        <w:rPr>
          <w:lang w:val="en-US"/>
        </w:rPr>
        <w:t>2016 (2) SA 494 (SCA).</w:t>
      </w:r>
    </w:p>
  </w:footnote>
  <w:footnote w:id="22">
    <w:p w14:paraId="4932D54B" w14:textId="77777777" w:rsidR="00055F0C" w:rsidRPr="004C170A" w:rsidRDefault="00055F0C">
      <w:pPr>
        <w:pStyle w:val="FootnoteText"/>
        <w:rPr>
          <w:lang w:val="en-US"/>
        </w:rPr>
      </w:pPr>
      <w:r>
        <w:rPr>
          <w:rStyle w:val="FootnoteReference"/>
        </w:rPr>
        <w:footnoteRef/>
      </w:r>
      <w:r>
        <w:t xml:space="preserve"> </w:t>
      </w:r>
      <w:r>
        <w:rPr>
          <w:b/>
          <w:lang w:val="en-US"/>
        </w:rPr>
        <w:t xml:space="preserve">Bengwenyama Minerals (Pty) Ltd v Genorah Resources (Pty) Ltd </w:t>
      </w:r>
      <w:r>
        <w:rPr>
          <w:lang w:val="en-US"/>
        </w:rPr>
        <w:t>2011 (4) SA 113 (CC) [85].</w:t>
      </w:r>
    </w:p>
  </w:footnote>
  <w:footnote w:id="23">
    <w:p w14:paraId="3E2D7FA7" w14:textId="77777777" w:rsidR="00055F0C" w:rsidRPr="004C170A" w:rsidRDefault="00055F0C">
      <w:pPr>
        <w:pStyle w:val="FootnoteText"/>
        <w:rPr>
          <w:lang w:val="en-US"/>
        </w:rPr>
      </w:pPr>
      <w:r>
        <w:rPr>
          <w:rStyle w:val="FootnoteReference"/>
        </w:rPr>
        <w:footnoteRef/>
      </w:r>
      <w:r>
        <w:t xml:space="preserve"> </w:t>
      </w:r>
      <w:r>
        <w:rPr>
          <w:b/>
          <w:lang w:val="en-US"/>
        </w:rPr>
        <w:t>Millenium Waste Management (Pty) Ltd v The Chairperson Tender Baord Limpopo Board and others</w:t>
      </w:r>
      <w:r>
        <w:rPr>
          <w:lang w:val="en-US"/>
        </w:rPr>
        <w:t xml:space="preserve"> 2008 (2) SA 481 (SCA) [18 – 19], [23 – 25]; </w:t>
      </w:r>
      <w:r>
        <w:rPr>
          <w:b/>
          <w:lang w:val="en-US"/>
        </w:rPr>
        <w:t xml:space="preserve">Chairperson Standing Tender Committee and others v JFE Sapela Electronics (Pty) ltd </w:t>
      </w:r>
      <w:r>
        <w:rPr>
          <w:lang w:val="en-US"/>
        </w:rPr>
        <w:t xml:space="preserve">2008 (2) SA 638 (SCA) [22 – 27]; </w:t>
      </w:r>
      <w:r>
        <w:rPr>
          <w:b/>
          <w:lang w:val="en-US"/>
        </w:rPr>
        <w:t>Moseme Road Construction CC v King Civil Engineering Construction (Pty) Ltd and another</w:t>
      </w:r>
      <w:r>
        <w:rPr>
          <w:lang w:val="en-US"/>
        </w:rPr>
        <w:t xml:space="preserve"> 2010 (4) SA359 [6 – 9]. </w:t>
      </w:r>
    </w:p>
  </w:footnote>
  <w:footnote w:id="24">
    <w:p w14:paraId="72870899" w14:textId="77777777" w:rsidR="00055F0C" w:rsidRPr="00C65FFF" w:rsidRDefault="00055F0C" w:rsidP="00A614B1">
      <w:pPr>
        <w:pStyle w:val="FootnoteText"/>
        <w:rPr>
          <w:lang w:val="en-US"/>
        </w:rPr>
      </w:pPr>
      <w:r>
        <w:rPr>
          <w:rStyle w:val="FootnoteReference"/>
        </w:rPr>
        <w:footnoteRef/>
      </w:r>
      <w:r>
        <w:t xml:space="preserve"> </w:t>
      </w:r>
      <w:r>
        <w:rPr>
          <w:lang w:val="en-US"/>
        </w:rPr>
        <w:t>2017 (4) SA 223 (CC) at [41].</w:t>
      </w:r>
    </w:p>
  </w:footnote>
  <w:footnote w:id="25">
    <w:p w14:paraId="4161DB1B" w14:textId="77777777" w:rsidR="00055F0C" w:rsidRPr="00C65FFF" w:rsidRDefault="00055F0C" w:rsidP="00A614B1">
      <w:pPr>
        <w:pStyle w:val="FootnoteText"/>
        <w:rPr>
          <w:lang w:val="en-US"/>
        </w:rPr>
      </w:pPr>
      <w:r>
        <w:rPr>
          <w:rStyle w:val="FootnoteReference"/>
        </w:rPr>
        <w:footnoteRef/>
      </w:r>
      <w:r>
        <w:t xml:space="preserve"> </w:t>
      </w:r>
      <w:r>
        <w:rPr>
          <w:lang w:val="en-US"/>
        </w:rPr>
        <w:t xml:space="preserve">See also </w:t>
      </w:r>
      <w:r w:rsidRPr="00C65FFF">
        <w:rPr>
          <w:b/>
          <w:lang w:val="en-US"/>
        </w:rPr>
        <w:t>Trans</w:t>
      </w:r>
      <w:r>
        <w:rPr>
          <w:b/>
          <w:lang w:val="en-US"/>
        </w:rPr>
        <w:t>n</w:t>
      </w:r>
      <w:r w:rsidRPr="00C65FFF">
        <w:rPr>
          <w:b/>
          <w:lang w:val="en-US"/>
        </w:rPr>
        <w:t>et Ltd v Goodman Brothers (Pty) Ltd</w:t>
      </w:r>
      <w:r>
        <w:rPr>
          <w:lang w:val="en-US"/>
        </w:rPr>
        <w:t xml:space="preserve"> 2001 (1) SA 853 (SCA) [10].</w:t>
      </w:r>
    </w:p>
  </w:footnote>
  <w:footnote w:id="26">
    <w:p w14:paraId="621F68A8" w14:textId="77777777" w:rsidR="00055F0C" w:rsidRPr="003B09C1" w:rsidRDefault="00055F0C" w:rsidP="00A614B1">
      <w:pPr>
        <w:pStyle w:val="FootnoteText"/>
        <w:rPr>
          <w:lang w:val="en-US"/>
        </w:rPr>
      </w:pPr>
      <w:r>
        <w:rPr>
          <w:rStyle w:val="FootnoteReference"/>
        </w:rPr>
        <w:footnoteRef/>
      </w:r>
      <w:r>
        <w:t xml:space="preserve"> </w:t>
      </w:r>
      <w:r w:rsidRPr="003B09C1">
        <w:rPr>
          <w:b/>
          <w:lang w:val="en-US"/>
        </w:rPr>
        <w:t>Natal Joint Municipal Pension Fund v Endumeni Municipality</w:t>
      </w:r>
      <w:r>
        <w:rPr>
          <w:lang w:val="en-US"/>
        </w:rPr>
        <w:t xml:space="preserve"> 2012 (4) SA 593 (SCA).</w:t>
      </w:r>
    </w:p>
  </w:footnote>
  <w:footnote w:id="27">
    <w:p w14:paraId="69FEEAAB" w14:textId="77777777" w:rsidR="00055F0C" w:rsidRPr="003B09C1" w:rsidRDefault="00055F0C" w:rsidP="00A614B1">
      <w:pPr>
        <w:pStyle w:val="FootnoteText"/>
        <w:rPr>
          <w:lang w:val="en-US"/>
        </w:rPr>
      </w:pPr>
      <w:r>
        <w:rPr>
          <w:rStyle w:val="FootnoteReference"/>
        </w:rPr>
        <w:footnoteRef/>
      </w:r>
      <w:r>
        <w:t xml:space="preserve"> </w:t>
      </w:r>
      <w:r>
        <w:rPr>
          <w:lang w:val="en-US"/>
        </w:rPr>
        <w:t>2020 (6) SA 14 (CC).</w:t>
      </w:r>
    </w:p>
  </w:footnote>
  <w:footnote w:id="28">
    <w:p w14:paraId="737D82B3" w14:textId="77777777" w:rsidR="00055F0C" w:rsidRPr="003B09C1" w:rsidRDefault="00055F0C" w:rsidP="00A614B1">
      <w:pPr>
        <w:pStyle w:val="FootnoteText"/>
        <w:rPr>
          <w:lang w:val="en-US"/>
        </w:rPr>
      </w:pPr>
      <w:r>
        <w:rPr>
          <w:rStyle w:val="FootnoteReference"/>
        </w:rPr>
        <w:footnoteRef/>
      </w:r>
      <w:r>
        <w:t xml:space="preserve"> </w:t>
      </w:r>
      <w:r>
        <w:rPr>
          <w:lang w:val="en-US"/>
        </w:rPr>
        <w:t>2021 ZACC 13 at [65].</w:t>
      </w:r>
    </w:p>
  </w:footnote>
  <w:footnote w:id="29">
    <w:p w14:paraId="310C1267" w14:textId="77777777" w:rsidR="00055F0C" w:rsidRPr="003B09C1" w:rsidRDefault="00055F0C" w:rsidP="00A614B1">
      <w:pPr>
        <w:pStyle w:val="FootnoteText"/>
        <w:rPr>
          <w:lang w:val="en-US"/>
        </w:rPr>
      </w:pPr>
      <w:r>
        <w:rPr>
          <w:rStyle w:val="FootnoteReference"/>
        </w:rPr>
        <w:footnoteRef/>
      </w:r>
      <w:r>
        <w:t xml:space="preserve"> </w:t>
      </w:r>
      <w:r w:rsidRPr="00E6182A">
        <w:rPr>
          <w:b/>
          <w:lang w:val="en-US"/>
        </w:rPr>
        <w:t>Novartis SA (Pty) Ltd v Maphil Trading (Pty) Ltd</w:t>
      </w:r>
      <w:r>
        <w:rPr>
          <w:lang w:val="en-US"/>
        </w:rPr>
        <w:t xml:space="preserve"> 2016 (1) SA 518 (SCA).</w:t>
      </w:r>
    </w:p>
  </w:footnote>
  <w:footnote w:id="30">
    <w:p w14:paraId="372AB92F" w14:textId="77777777" w:rsidR="00055F0C" w:rsidRPr="003B09C1" w:rsidRDefault="00055F0C" w:rsidP="00A614B1">
      <w:pPr>
        <w:pStyle w:val="FootnoteText"/>
        <w:rPr>
          <w:lang w:val="en-US"/>
        </w:rPr>
      </w:pPr>
      <w:r>
        <w:rPr>
          <w:rStyle w:val="FootnoteReference"/>
        </w:rPr>
        <w:footnoteRef/>
      </w:r>
      <w:r>
        <w:t xml:space="preserve"> </w:t>
      </w:r>
      <w:r>
        <w:rPr>
          <w:lang w:val="en-US"/>
        </w:rPr>
        <w:t xml:space="preserve">2014 (4) SA 474 (CC). </w:t>
      </w:r>
    </w:p>
  </w:footnote>
  <w:footnote w:id="31">
    <w:p w14:paraId="7D0F09A7" w14:textId="77777777" w:rsidR="00055F0C" w:rsidRPr="00985856" w:rsidRDefault="00055F0C" w:rsidP="00A614B1">
      <w:pPr>
        <w:pStyle w:val="FootnoteText"/>
        <w:rPr>
          <w:lang w:val="en-US"/>
        </w:rPr>
      </w:pPr>
      <w:r>
        <w:rPr>
          <w:rStyle w:val="FootnoteReference"/>
        </w:rPr>
        <w:footnoteRef/>
      </w:r>
      <w:r>
        <w:t xml:space="preserve"> </w:t>
      </w:r>
      <w:r>
        <w:rPr>
          <w:lang w:val="en-US"/>
        </w:rPr>
        <w:t>Papers page 41.</w:t>
      </w:r>
    </w:p>
  </w:footnote>
  <w:footnote w:id="32">
    <w:p w14:paraId="44F233BE" w14:textId="77777777" w:rsidR="00055F0C" w:rsidRPr="00985856" w:rsidRDefault="00055F0C" w:rsidP="00A614B1">
      <w:pPr>
        <w:pStyle w:val="FootnoteText"/>
        <w:rPr>
          <w:lang w:val="en-US"/>
        </w:rPr>
      </w:pPr>
      <w:r>
        <w:rPr>
          <w:rStyle w:val="FootnoteReference"/>
        </w:rPr>
        <w:footnoteRef/>
      </w:r>
      <w:r>
        <w:t xml:space="preserve"> </w:t>
      </w:r>
      <w:r>
        <w:rPr>
          <w:lang w:val="en-US"/>
        </w:rPr>
        <w:t>Page 335.</w:t>
      </w:r>
    </w:p>
  </w:footnote>
  <w:footnote w:id="33">
    <w:p w14:paraId="1AB7E567" w14:textId="77777777" w:rsidR="00055F0C" w:rsidRPr="00454015" w:rsidRDefault="00055F0C" w:rsidP="00A614B1">
      <w:pPr>
        <w:pStyle w:val="FootnoteText"/>
        <w:rPr>
          <w:lang w:val="en-US"/>
        </w:rPr>
      </w:pPr>
      <w:r>
        <w:rPr>
          <w:rStyle w:val="FootnoteReference"/>
        </w:rPr>
        <w:footnoteRef/>
      </w:r>
      <w:r>
        <w:t xml:space="preserve"> </w:t>
      </w:r>
      <w:r>
        <w:rPr>
          <w:lang w:val="en-US"/>
        </w:rPr>
        <w:t>2014 (4) SA 148 (ECP).</w:t>
      </w:r>
    </w:p>
  </w:footnote>
  <w:footnote w:id="34">
    <w:p w14:paraId="1BE8710B" w14:textId="77777777" w:rsidR="00055F0C" w:rsidRPr="00454015" w:rsidRDefault="00055F0C" w:rsidP="00A614B1">
      <w:pPr>
        <w:pStyle w:val="FootnoteText"/>
        <w:rPr>
          <w:lang w:val="en-US"/>
        </w:rPr>
      </w:pPr>
      <w:r w:rsidRPr="00BC48B4">
        <w:rPr>
          <w:rStyle w:val="FootnoteReference"/>
          <w:b/>
        </w:rPr>
        <w:footnoteRef/>
      </w:r>
      <w:r w:rsidRPr="00BC48B4">
        <w:rPr>
          <w:b/>
        </w:rPr>
        <w:t xml:space="preserve"> </w:t>
      </w:r>
      <w:r w:rsidRPr="00BC48B4">
        <w:rPr>
          <w:b/>
          <w:lang w:val="en-US"/>
        </w:rPr>
        <w:t>Joubert Galpin Searle</w:t>
      </w:r>
      <w:r>
        <w:rPr>
          <w:lang w:val="en-US"/>
        </w:rPr>
        <w:t xml:space="preserve"> (</w:t>
      </w:r>
      <w:r w:rsidRPr="00BC48B4">
        <w:rPr>
          <w:i/>
          <w:lang w:val="en-US"/>
        </w:rPr>
        <w:t>supra</w:t>
      </w:r>
      <w:r>
        <w:rPr>
          <w:lang w:val="en-US"/>
        </w:rPr>
        <w:t>) at paragraphs [72], [73] and [74].</w:t>
      </w:r>
    </w:p>
  </w:footnote>
  <w:footnote w:id="35">
    <w:p w14:paraId="3F45778E" w14:textId="77777777" w:rsidR="00055F0C" w:rsidRPr="00BA2498" w:rsidRDefault="00055F0C" w:rsidP="00A614B1">
      <w:pPr>
        <w:pStyle w:val="FootnoteText"/>
        <w:rPr>
          <w:lang w:val="en-US"/>
        </w:rPr>
      </w:pPr>
      <w:r>
        <w:rPr>
          <w:rStyle w:val="FootnoteReference"/>
        </w:rPr>
        <w:footnoteRef/>
      </w:r>
      <w:r>
        <w:t xml:space="preserve"> </w:t>
      </w:r>
      <w:r>
        <w:rPr>
          <w:lang w:val="en-US"/>
        </w:rPr>
        <w:t>2016 (2) SA 494 (SCA) at para [24] and [43].</w:t>
      </w:r>
    </w:p>
  </w:footnote>
  <w:footnote w:id="36">
    <w:p w14:paraId="67086424" w14:textId="77777777" w:rsidR="00055F0C" w:rsidRPr="0085719A" w:rsidRDefault="00055F0C" w:rsidP="00A614B1">
      <w:pPr>
        <w:pStyle w:val="FootnoteText"/>
        <w:jc w:val="both"/>
        <w:rPr>
          <w:lang w:val="en-US"/>
        </w:rPr>
      </w:pPr>
      <w:r>
        <w:rPr>
          <w:rStyle w:val="FootnoteReference"/>
        </w:rPr>
        <w:footnoteRef/>
      </w:r>
      <w:r>
        <w:t xml:space="preserve"> </w:t>
      </w:r>
      <w:r w:rsidRPr="00A614B1">
        <w:rPr>
          <w:b/>
          <w:lang w:val="en-US"/>
        </w:rPr>
        <w:t xml:space="preserve">Transnet Ltd and another v SA Metal Machinery Company </w:t>
      </w:r>
      <w:r>
        <w:rPr>
          <w:b/>
          <w:lang w:val="en-US"/>
        </w:rPr>
        <w:t>(</w:t>
      </w:r>
      <w:r w:rsidRPr="00A614B1">
        <w:rPr>
          <w:b/>
          <w:lang w:val="en-US"/>
        </w:rPr>
        <w:t>Pty</w:t>
      </w:r>
      <w:r>
        <w:rPr>
          <w:b/>
          <w:lang w:val="en-US"/>
        </w:rPr>
        <w:t>)</w:t>
      </w:r>
      <w:r w:rsidRPr="00A614B1">
        <w:rPr>
          <w:b/>
          <w:lang w:val="en-US"/>
        </w:rPr>
        <w:t xml:space="preserve"> Ltd</w:t>
      </w:r>
      <w:r>
        <w:rPr>
          <w:lang w:val="en-US"/>
        </w:rPr>
        <w:t xml:space="preserve"> 2006 (6) SA 2854 (SCA) para [55], </w:t>
      </w:r>
      <w:r w:rsidRPr="00A614B1">
        <w:rPr>
          <w:b/>
          <w:lang w:val="en-US"/>
        </w:rPr>
        <w:t xml:space="preserve">SA Airlink </w:t>
      </w:r>
      <w:r>
        <w:rPr>
          <w:b/>
          <w:lang w:val="en-US"/>
        </w:rPr>
        <w:t>(</w:t>
      </w:r>
      <w:r w:rsidRPr="00A614B1">
        <w:rPr>
          <w:b/>
          <w:lang w:val="en-US"/>
        </w:rPr>
        <w:t>Pty</w:t>
      </w:r>
      <w:r>
        <w:rPr>
          <w:b/>
          <w:lang w:val="en-US"/>
        </w:rPr>
        <w:t>)</w:t>
      </w:r>
      <w:r w:rsidRPr="00A614B1">
        <w:rPr>
          <w:b/>
          <w:lang w:val="en-US"/>
        </w:rPr>
        <w:t xml:space="preserve"> Ltd v Mpumalang Toursima dn Park Agency and others</w:t>
      </w:r>
      <w:r>
        <w:rPr>
          <w:lang w:val="en-US"/>
        </w:rPr>
        <w:t xml:space="preserve"> 2013 (3) SA 112 (GSJ) para [11] and [22]; </w:t>
      </w:r>
      <w:r w:rsidRPr="00A614B1">
        <w:rPr>
          <w:b/>
          <w:lang w:val="en-US"/>
        </w:rPr>
        <w:t>Cape Town City v South African National Roads Authority and others</w:t>
      </w:r>
      <w:r>
        <w:rPr>
          <w:lang w:val="en-US"/>
        </w:rPr>
        <w:t xml:space="preserve"> 2015 (3) SA 386 (SCA) paras [37] and [38].</w:t>
      </w:r>
    </w:p>
  </w:footnote>
  <w:footnote w:id="37">
    <w:p w14:paraId="47F6A5F3" w14:textId="77777777" w:rsidR="00055F0C" w:rsidRPr="00317ECF" w:rsidRDefault="00055F0C" w:rsidP="00A945B8">
      <w:pPr>
        <w:pStyle w:val="FootnoteText"/>
        <w:jc w:val="both"/>
        <w:rPr>
          <w:lang w:val="en-US"/>
        </w:rPr>
      </w:pPr>
      <w:r>
        <w:rPr>
          <w:rStyle w:val="FootnoteReference"/>
        </w:rPr>
        <w:footnoteRef/>
      </w:r>
      <w:r>
        <w:t xml:space="preserve"> </w:t>
      </w:r>
      <w:r>
        <w:rPr>
          <w:lang w:val="en-US"/>
        </w:rPr>
        <w:t xml:space="preserve">Erasmus, Superior Court Practice vol 2 D1 – 710A service 11; </w:t>
      </w:r>
      <w:r w:rsidRPr="00A945B8">
        <w:rPr>
          <w:b/>
          <w:lang w:val="en-US"/>
        </w:rPr>
        <w:t>Ekuphumleni Resort (Pty) L</w:t>
      </w:r>
      <w:r>
        <w:rPr>
          <w:b/>
          <w:lang w:val="en-US"/>
        </w:rPr>
        <w:t>t</w:t>
      </w:r>
      <w:r w:rsidRPr="00A945B8">
        <w:rPr>
          <w:b/>
          <w:lang w:val="en-US"/>
        </w:rPr>
        <w:t>d v Gambling and Betting Board Eastern Cape</w:t>
      </w:r>
      <w:r>
        <w:rPr>
          <w:lang w:val="en-US"/>
        </w:rPr>
        <w:t xml:space="preserve"> 2010 (1) SA 228 (E) at 233; </w:t>
      </w:r>
      <w:r w:rsidRPr="00A945B8">
        <w:rPr>
          <w:b/>
          <w:lang w:val="en-US"/>
        </w:rPr>
        <w:t>Helen Suzman Foundation v Judicial Service Commission</w:t>
      </w:r>
      <w:r>
        <w:rPr>
          <w:lang w:val="en-US"/>
        </w:rPr>
        <w:t xml:space="preserve"> 2018 (4) SA 1 (CC) at 11 A – D.</w:t>
      </w:r>
    </w:p>
  </w:footnote>
  <w:footnote w:id="38">
    <w:p w14:paraId="5C493231" w14:textId="77777777" w:rsidR="00055F0C" w:rsidRPr="00ED2AA9" w:rsidRDefault="00055F0C">
      <w:pPr>
        <w:pStyle w:val="FootnoteText"/>
        <w:rPr>
          <w:lang w:val="en-US"/>
        </w:rPr>
      </w:pPr>
      <w:r>
        <w:rPr>
          <w:rStyle w:val="FootnoteReference"/>
        </w:rPr>
        <w:footnoteRef/>
      </w:r>
      <w:r>
        <w:t xml:space="preserve"> </w:t>
      </w:r>
      <w:r w:rsidRPr="00ED2AA9">
        <w:rPr>
          <w:b/>
          <w:lang w:val="en-US"/>
        </w:rPr>
        <w:t>Gamlan Investments (Pty) Ltd vs Trilion Cape (Pty) Ltd</w:t>
      </w:r>
      <w:r>
        <w:rPr>
          <w:lang w:val="en-US"/>
        </w:rPr>
        <w:t xml:space="preserve"> 1996 (3) SA 692 at 700 G – 701 D; </w:t>
      </w:r>
      <w:r w:rsidRPr="00ED2AA9">
        <w:rPr>
          <w:b/>
          <w:lang w:val="en-US"/>
        </w:rPr>
        <w:t>Nxumalo and another v Mavundla and another</w:t>
      </w:r>
      <w:r>
        <w:rPr>
          <w:lang w:val="en-US"/>
        </w:rPr>
        <w:t xml:space="preserve"> 2000 (4) SA 349 at 355E – G.</w:t>
      </w:r>
    </w:p>
  </w:footnote>
  <w:footnote w:id="39">
    <w:p w14:paraId="7F17769C" w14:textId="77777777" w:rsidR="00055F0C" w:rsidRPr="00901192" w:rsidRDefault="00055F0C">
      <w:pPr>
        <w:pStyle w:val="FootnoteText"/>
        <w:rPr>
          <w:lang w:val="en-US"/>
        </w:rPr>
      </w:pPr>
      <w:r>
        <w:rPr>
          <w:rStyle w:val="FootnoteReference"/>
        </w:rPr>
        <w:footnoteRef/>
      </w:r>
      <w:r>
        <w:t xml:space="preserve"> </w:t>
      </w:r>
      <w:r w:rsidRPr="00901192">
        <w:rPr>
          <w:b/>
          <w:lang w:val="en-US"/>
        </w:rPr>
        <w:t>Lawyers for Human Rights v Rules Board, Courts of Law and another</w:t>
      </w:r>
      <w:r>
        <w:rPr>
          <w:lang w:val="en-US"/>
        </w:rPr>
        <w:t xml:space="preserve"> [2012] 3 All SA 193 (TMP).</w:t>
      </w:r>
    </w:p>
  </w:footnote>
  <w:footnote w:id="40">
    <w:p w14:paraId="422E45B1" w14:textId="77777777" w:rsidR="00055F0C" w:rsidRPr="00901192" w:rsidRDefault="00055F0C">
      <w:pPr>
        <w:pStyle w:val="FootnoteText"/>
        <w:rPr>
          <w:lang w:val="en-US"/>
        </w:rPr>
      </w:pPr>
      <w:r>
        <w:rPr>
          <w:rStyle w:val="FootnoteReference"/>
        </w:rPr>
        <w:footnoteRef/>
      </w:r>
      <w:r>
        <w:t xml:space="preserve"> </w:t>
      </w:r>
      <w:r w:rsidRPr="00901192">
        <w:rPr>
          <w:b/>
          <w:lang w:val="en-US"/>
        </w:rPr>
        <w:t>Muller v The Master</w:t>
      </w:r>
      <w:r>
        <w:rPr>
          <w:lang w:val="en-US"/>
        </w:rPr>
        <w:t xml:space="preserve"> 1991 (2) SA 217 (N)</w:t>
      </w:r>
    </w:p>
  </w:footnote>
  <w:footnote w:id="41">
    <w:p w14:paraId="04347D6F" w14:textId="77777777" w:rsidR="00055F0C" w:rsidRPr="00901192" w:rsidRDefault="00055F0C">
      <w:pPr>
        <w:pStyle w:val="FootnoteText"/>
        <w:rPr>
          <w:lang w:val="en-US"/>
        </w:rPr>
      </w:pPr>
      <w:r>
        <w:rPr>
          <w:rStyle w:val="FootnoteReference"/>
        </w:rPr>
        <w:footnoteRef/>
      </w:r>
      <w:r>
        <w:t xml:space="preserve"> Drahtseilwerk Saar Gnbh v International Trade Administration Commissioner and others 2011 (2) SA 261 (GP) at para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777373"/>
      <w:docPartObj>
        <w:docPartGallery w:val="Page Numbers (Top of Page)"/>
        <w:docPartUnique/>
      </w:docPartObj>
    </w:sdtPr>
    <w:sdtEndPr>
      <w:rPr>
        <w:noProof/>
      </w:rPr>
    </w:sdtEndPr>
    <w:sdtContent>
      <w:p w14:paraId="44118487" w14:textId="77777777" w:rsidR="00055F0C" w:rsidRDefault="00055F0C">
        <w:pPr>
          <w:pStyle w:val="Header"/>
          <w:jc w:val="right"/>
        </w:pPr>
        <w:r>
          <w:fldChar w:fldCharType="begin"/>
        </w:r>
        <w:r>
          <w:instrText xml:space="preserve"> PAGE   \* MERGEFORMAT </w:instrText>
        </w:r>
        <w:r>
          <w:fldChar w:fldCharType="separate"/>
        </w:r>
        <w:r w:rsidR="007376AA">
          <w:rPr>
            <w:noProof/>
          </w:rPr>
          <w:t>4</w:t>
        </w:r>
        <w:r>
          <w:rPr>
            <w:noProof/>
          </w:rPr>
          <w:fldChar w:fldCharType="end"/>
        </w:r>
      </w:p>
    </w:sdtContent>
  </w:sdt>
  <w:p w14:paraId="6F15F672" w14:textId="77777777" w:rsidR="00055F0C" w:rsidRDefault="0005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9F37" w14:textId="77777777" w:rsidR="00055F0C" w:rsidRDefault="00055F0C">
    <w:pPr>
      <w:pStyle w:val="Header"/>
      <w:jc w:val="right"/>
    </w:pPr>
  </w:p>
  <w:p w14:paraId="777CE621" w14:textId="77777777" w:rsidR="00055F0C" w:rsidRDefault="0005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A95"/>
    <w:multiLevelType w:val="multilevel"/>
    <w:tmpl w:val="5BF05AFC"/>
    <w:lvl w:ilvl="0">
      <w:start w:val="69"/>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DC9120A"/>
    <w:multiLevelType w:val="hybridMultilevel"/>
    <w:tmpl w:val="14FEA83C"/>
    <w:lvl w:ilvl="0" w:tplc="98080D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35DE9"/>
    <w:multiLevelType w:val="hybridMultilevel"/>
    <w:tmpl w:val="4E523738"/>
    <w:lvl w:ilvl="0" w:tplc="C3EA7F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A13B49"/>
    <w:multiLevelType w:val="hybridMultilevel"/>
    <w:tmpl w:val="10DC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F3CD6"/>
    <w:multiLevelType w:val="hybridMultilevel"/>
    <w:tmpl w:val="421A696E"/>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7F672D"/>
    <w:multiLevelType w:val="multilevel"/>
    <w:tmpl w:val="DD4C4DB8"/>
    <w:lvl w:ilvl="0">
      <w:start w:val="219"/>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E9A109A"/>
    <w:multiLevelType w:val="hybridMultilevel"/>
    <w:tmpl w:val="E70E8F86"/>
    <w:lvl w:ilvl="0" w:tplc="97FAC72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ED61570"/>
    <w:multiLevelType w:val="hybridMultilevel"/>
    <w:tmpl w:val="201A07AE"/>
    <w:lvl w:ilvl="0" w:tplc="2AF679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F74EB7"/>
    <w:multiLevelType w:val="hybridMultilevel"/>
    <w:tmpl w:val="4CA85B9E"/>
    <w:lvl w:ilvl="0" w:tplc="351264AA">
      <w:start w:val="1"/>
      <w:numFmt w:val="decimal"/>
      <w:lvlText w:val="[%1]"/>
      <w:lvlJc w:val="left"/>
      <w:pPr>
        <w:ind w:left="4320" w:hanging="360"/>
      </w:pPr>
      <w:rPr>
        <w:rFonts w:hint="default"/>
        <w:b w:val="0"/>
        <w:i w:val="0"/>
      </w:rPr>
    </w:lvl>
    <w:lvl w:ilvl="1" w:tplc="1C090019">
      <w:start w:val="1"/>
      <w:numFmt w:val="lowerLetter"/>
      <w:lvlText w:val="%2."/>
      <w:lvlJc w:val="left"/>
      <w:pPr>
        <w:ind w:left="5040" w:hanging="360"/>
      </w:pPr>
    </w:lvl>
    <w:lvl w:ilvl="2" w:tplc="1C09001B" w:tentative="1">
      <w:start w:val="1"/>
      <w:numFmt w:val="lowerRoman"/>
      <w:lvlText w:val="%3."/>
      <w:lvlJc w:val="right"/>
      <w:pPr>
        <w:ind w:left="5760" w:hanging="180"/>
      </w:pPr>
    </w:lvl>
    <w:lvl w:ilvl="3" w:tplc="1C09000F" w:tentative="1">
      <w:start w:val="1"/>
      <w:numFmt w:val="decimal"/>
      <w:lvlText w:val="%4."/>
      <w:lvlJc w:val="left"/>
      <w:pPr>
        <w:ind w:left="6480" w:hanging="360"/>
      </w:pPr>
    </w:lvl>
    <w:lvl w:ilvl="4" w:tplc="1C090019" w:tentative="1">
      <w:start w:val="1"/>
      <w:numFmt w:val="lowerLetter"/>
      <w:lvlText w:val="%5."/>
      <w:lvlJc w:val="left"/>
      <w:pPr>
        <w:ind w:left="7200" w:hanging="360"/>
      </w:pPr>
    </w:lvl>
    <w:lvl w:ilvl="5" w:tplc="1C09001B" w:tentative="1">
      <w:start w:val="1"/>
      <w:numFmt w:val="lowerRoman"/>
      <w:lvlText w:val="%6."/>
      <w:lvlJc w:val="right"/>
      <w:pPr>
        <w:ind w:left="7920" w:hanging="180"/>
      </w:pPr>
    </w:lvl>
    <w:lvl w:ilvl="6" w:tplc="1C09000F" w:tentative="1">
      <w:start w:val="1"/>
      <w:numFmt w:val="decimal"/>
      <w:lvlText w:val="%7."/>
      <w:lvlJc w:val="left"/>
      <w:pPr>
        <w:ind w:left="8640" w:hanging="360"/>
      </w:pPr>
    </w:lvl>
    <w:lvl w:ilvl="7" w:tplc="1C090019" w:tentative="1">
      <w:start w:val="1"/>
      <w:numFmt w:val="lowerLetter"/>
      <w:lvlText w:val="%8."/>
      <w:lvlJc w:val="left"/>
      <w:pPr>
        <w:ind w:left="9360" w:hanging="360"/>
      </w:pPr>
    </w:lvl>
    <w:lvl w:ilvl="8" w:tplc="1C09001B" w:tentative="1">
      <w:start w:val="1"/>
      <w:numFmt w:val="lowerRoman"/>
      <w:lvlText w:val="%9."/>
      <w:lvlJc w:val="right"/>
      <w:pPr>
        <w:ind w:left="10080" w:hanging="180"/>
      </w:pPr>
    </w:lvl>
  </w:abstractNum>
  <w:abstractNum w:abstractNumId="9" w15:restartNumberingAfterBreak="0">
    <w:nsid w:val="7FFC2C50"/>
    <w:multiLevelType w:val="hybridMultilevel"/>
    <w:tmpl w:val="CE24C88A"/>
    <w:lvl w:ilvl="0" w:tplc="EEC8EC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192726">
    <w:abstractNumId w:val="2"/>
  </w:num>
  <w:num w:numId="2" w16cid:durableId="75128795">
    <w:abstractNumId w:val="6"/>
  </w:num>
  <w:num w:numId="3" w16cid:durableId="108743597">
    <w:abstractNumId w:val="4"/>
  </w:num>
  <w:num w:numId="4" w16cid:durableId="527566572">
    <w:abstractNumId w:val="3"/>
  </w:num>
  <w:num w:numId="5" w16cid:durableId="1921598004">
    <w:abstractNumId w:val="1"/>
  </w:num>
  <w:num w:numId="6" w16cid:durableId="207227263">
    <w:abstractNumId w:val="0"/>
  </w:num>
  <w:num w:numId="7" w16cid:durableId="1692485180">
    <w:abstractNumId w:val="9"/>
  </w:num>
  <w:num w:numId="8" w16cid:durableId="249435454">
    <w:abstractNumId w:val="7"/>
  </w:num>
  <w:num w:numId="9" w16cid:durableId="2009942710">
    <w:abstractNumId w:val="8"/>
  </w:num>
  <w:num w:numId="10" w16cid:durableId="966663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6C"/>
    <w:rsid w:val="00007822"/>
    <w:rsid w:val="000105BE"/>
    <w:rsid w:val="00012D24"/>
    <w:rsid w:val="00014421"/>
    <w:rsid w:val="000154F8"/>
    <w:rsid w:val="00015DE2"/>
    <w:rsid w:val="0001760B"/>
    <w:rsid w:val="00017F86"/>
    <w:rsid w:val="000207FA"/>
    <w:rsid w:val="000232C6"/>
    <w:rsid w:val="00023695"/>
    <w:rsid w:val="000244EC"/>
    <w:rsid w:val="00026F76"/>
    <w:rsid w:val="00027360"/>
    <w:rsid w:val="00031BA2"/>
    <w:rsid w:val="00032871"/>
    <w:rsid w:val="00033D64"/>
    <w:rsid w:val="0004018B"/>
    <w:rsid w:val="00040340"/>
    <w:rsid w:val="00041EA6"/>
    <w:rsid w:val="00042763"/>
    <w:rsid w:val="00046DFB"/>
    <w:rsid w:val="00047ABF"/>
    <w:rsid w:val="00050688"/>
    <w:rsid w:val="00055F0C"/>
    <w:rsid w:val="000577BE"/>
    <w:rsid w:val="00057E9A"/>
    <w:rsid w:val="00061BFD"/>
    <w:rsid w:val="00063F3F"/>
    <w:rsid w:val="00064F75"/>
    <w:rsid w:val="00065EB0"/>
    <w:rsid w:val="000662E0"/>
    <w:rsid w:val="00066FA5"/>
    <w:rsid w:val="000674E8"/>
    <w:rsid w:val="00070270"/>
    <w:rsid w:val="000750DE"/>
    <w:rsid w:val="0008034B"/>
    <w:rsid w:val="00081C5F"/>
    <w:rsid w:val="00082A6F"/>
    <w:rsid w:val="00083AC3"/>
    <w:rsid w:val="00084C47"/>
    <w:rsid w:val="00085334"/>
    <w:rsid w:val="00085EBF"/>
    <w:rsid w:val="000863F7"/>
    <w:rsid w:val="0008710A"/>
    <w:rsid w:val="00087251"/>
    <w:rsid w:val="00087B91"/>
    <w:rsid w:val="00090876"/>
    <w:rsid w:val="000935AD"/>
    <w:rsid w:val="00094CCA"/>
    <w:rsid w:val="0009501A"/>
    <w:rsid w:val="000953FD"/>
    <w:rsid w:val="00095E59"/>
    <w:rsid w:val="000970F2"/>
    <w:rsid w:val="000972F2"/>
    <w:rsid w:val="00097B59"/>
    <w:rsid w:val="000A146E"/>
    <w:rsid w:val="000A1E26"/>
    <w:rsid w:val="000A36F4"/>
    <w:rsid w:val="000A6461"/>
    <w:rsid w:val="000B0609"/>
    <w:rsid w:val="000B109B"/>
    <w:rsid w:val="000B1CBA"/>
    <w:rsid w:val="000B3302"/>
    <w:rsid w:val="000C1CF9"/>
    <w:rsid w:val="000C25C0"/>
    <w:rsid w:val="000C3432"/>
    <w:rsid w:val="000C34B7"/>
    <w:rsid w:val="000C4FAD"/>
    <w:rsid w:val="000C62C9"/>
    <w:rsid w:val="000D34CD"/>
    <w:rsid w:val="000D53ED"/>
    <w:rsid w:val="000D6D12"/>
    <w:rsid w:val="000E032E"/>
    <w:rsid w:val="000E16C4"/>
    <w:rsid w:val="000E17FD"/>
    <w:rsid w:val="000E254E"/>
    <w:rsid w:val="000E46C3"/>
    <w:rsid w:val="000E6919"/>
    <w:rsid w:val="000E70A9"/>
    <w:rsid w:val="000F1069"/>
    <w:rsid w:val="000F11E5"/>
    <w:rsid w:val="000F1B76"/>
    <w:rsid w:val="000F1DAB"/>
    <w:rsid w:val="000F4B8F"/>
    <w:rsid w:val="000F794D"/>
    <w:rsid w:val="0010121A"/>
    <w:rsid w:val="0010721E"/>
    <w:rsid w:val="00107640"/>
    <w:rsid w:val="00107668"/>
    <w:rsid w:val="001076DC"/>
    <w:rsid w:val="00111505"/>
    <w:rsid w:val="00111D21"/>
    <w:rsid w:val="001123E8"/>
    <w:rsid w:val="0011539A"/>
    <w:rsid w:val="0012023E"/>
    <w:rsid w:val="001206DA"/>
    <w:rsid w:val="00124A38"/>
    <w:rsid w:val="00124FC2"/>
    <w:rsid w:val="00125656"/>
    <w:rsid w:val="001308A8"/>
    <w:rsid w:val="001349D7"/>
    <w:rsid w:val="00134A40"/>
    <w:rsid w:val="00134B2E"/>
    <w:rsid w:val="00135F6D"/>
    <w:rsid w:val="001368D2"/>
    <w:rsid w:val="00136C5D"/>
    <w:rsid w:val="00137F28"/>
    <w:rsid w:val="00140293"/>
    <w:rsid w:val="00141C52"/>
    <w:rsid w:val="0014239E"/>
    <w:rsid w:val="00143188"/>
    <w:rsid w:val="00145690"/>
    <w:rsid w:val="001456C3"/>
    <w:rsid w:val="00147081"/>
    <w:rsid w:val="00147B25"/>
    <w:rsid w:val="00150C40"/>
    <w:rsid w:val="00151ED1"/>
    <w:rsid w:val="001525AC"/>
    <w:rsid w:val="00154FC3"/>
    <w:rsid w:val="00155D15"/>
    <w:rsid w:val="0016257A"/>
    <w:rsid w:val="00162C0F"/>
    <w:rsid w:val="00163C91"/>
    <w:rsid w:val="00164D20"/>
    <w:rsid w:val="00166B6B"/>
    <w:rsid w:val="00167B33"/>
    <w:rsid w:val="00171451"/>
    <w:rsid w:val="00172EE3"/>
    <w:rsid w:val="00173852"/>
    <w:rsid w:val="00173A0A"/>
    <w:rsid w:val="00174458"/>
    <w:rsid w:val="00174682"/>
    <w:rsid w:val="001828E9"/>
    <w:rsid w:val="00184AC0"/>
    <w:rsid w:val="00185DC4"/>
    <w:rsid w:val="0018729A"/>
    <w:rsid w:val="00187839"/>
    <w:rsid w:val="00190F3C"/>
    <w:rsid w:val="001920F2"/>
    <w:rsid w:val="0019317A"/>
    <w:rsid w:val="00193C35"/>
    <w:rsid w:val="0019620E"/>
    <w:rsid w:val="001A0B22"/>
    <w:rsid w:val="001A3523"/>
    <w:rsid w:val="001A52E2"/>
    <w:rsid w:val="001B0686"/>
    <w:rsid w:val="001B20B2"/>
    <w:rsid w:val="001B4A7C"/>
    <w:rsid w:val="001C35F5"/>
    <w:rsid w:val="001C4A4F"/>
    <w:rsid w:val="001C62C3"/>
    <w:rsid w:val="001C643F"/>
    <w:rsid w:val="001C684A"/>
    <w:rsid w:val="001C7371"/>
    <w:rsid w:val="001D2014"/>
    <w:rsid w:val="001D4E58"/>
    <w:rsid w:val="001D5644"/>
    <w:rsid w:val="001D620A"/>
    <w:rsid w:val="001E21FB"/>
    <w:rsid w:val="001E232E"/>
    <w:rsid w:val="001E3E77"/>
    <w:rsid w:val="001E51CC"/>
    <w:rsid w:val="001E5E04"/>
    <w:rsid w:val="001F059D"/>
    <w:rsid w:val="001F3563"/>
    <w:rsid w:val="001F50EA"/>
    <w:rsid w:val="002011AF"/>
    <w:rsid w:val="0020245D"/>
    <w:rsid w:val="002044CC"/>
    <w:rsid w:val="002056DA"/>
    <w:rsid w:val="00205938"/>
    <w:rsid w:val="00205B14"/>
    <w:rsid w:val="00205C16"/>
    <w:rsid w:val="00205CF0"/>
    <w:rsid w:val="00206809"/>
    <w:rsid w:val="00207265"/>
    <w:rsid w:val="00207939"/>
    <w:rsid w:val="002101CE"/>
    <w:rsid w:val="00213740"/>
    <w:rsid w:val="002139B0"/>
    <w:rsid w:val="00221035"/>
    <w:rsid w:val="00223EFD"/>
    <w:rsid w:val="002257E4"/>
    <w:rsid w:val="00225CB3"/>
    <w:rsid w:val="00226FF4"/>
    <w:rsid w:val="00231417"/>
    <w:rsid w:val="00232543"/>
    <w:rsid w:val="00232C7A"/>
    <w:rsid w:val="00233B39"/>
    <w:rsid w:val="00234677"/>
    <w:rsid w:val="00234976"/>
    <w:rsid w:val="002349E4"/>
    <w:rsid w:val="0023672D"/>
    <w:rsid w:val="002400FD"/>
    <w:rsid w:val="002402F4"/>
    <w:rsid w:val="0024063B"/>
    <w:rsid w:val="002433C9"/>
    <w:rsid w:val="0024411C"/>
    <w:rsid w:val="00244AA8"/>
    <w:rsid w:val="00244CBE"/>
    <w:rsid w:val="00245193"/>
    <w:rsid w:val="002465B8"/>
    <w:rsid w:val="00247E06"/>
    <w:rsid w:val="002539F9"/>
    <w:rsid w:val="00253DAA"/>
    <w:rsid w:val="002571A6"/>
    <w:rsid w:val="00260928"/>
    <w:rsid w:val="00261942"/>
    <w:rsid w:val="00263C87"/>
    <w:rsid w:val="002650B2"/>
    <w:rsid w:val="00265C0E"/>
    <w:rsid w:val="002662A3"/>
    <w:rsid w:val="00270148"/>
    <w:rsid w:val="002735BC"/>
    <w:rsid w:val="00273D7F"/>
    <w:rsid w:val="00274107"/>
    <w:rsid w:val="00274A10"/>
    <w:rsid w:val="00275EDA"/>
    <w:rsid w:val="00276923"/>
    <w:rsid w:val="00277443"/>
    <w:rsid w:val="00277BB6"/>
    <w:rsid w:val="00277BFA"/>
    <w:rsid w:val="00280513"/>
    <w:rsid w:val="002812A1"/>
    <w:rsid w:val="00281D57"/>
    <w:rsid w:val="00281DF9"/>
    <w:rsid w:val="00283EBB"/>
    <w:rsid w:val="0028430D"/>
    <w:rsid w:val="00285A5E"/>
    <w:rsid w:val="0029069B"/>
    <w:rsid w:val="00291D43"/>
    <w:rsid w:val="00292735"/>
    <w:rsid w:val="002935DC"/>
    <w:rsid w:val="00293AD1"/>
    <w:rsid w:val="002A2CC0"/>
    <w:rsid w:val="002A376D"/>
    <w:rsid w:val="002A39BA"/>
    <w:rsid w:val="002A3EBB"/>
    <w:rsid w:val="002A51D3"/>
    <w:rsid w:val="002A53ED"/>
    <w:rsid w:val="002A5682"/>
    <w:rsid w:val="002A7D46"/>
    <w:rsid w:val="002B06FA"/>
    <w:rsid w:val="002B1B07"/>
    <w:rsid w:val="002B62ED"/>
    <w:rsid w:val="002B686D"/>
    <w:rsid w:val="002C29B1"/>
    <w:rsid w:val="002C4391"/>
    <w:rsid w:val="002C4DCE"/>
    <w:rsid w:val="002C56AC"/>
    <w:rsid w:val="002C56D9"/>
    <w:rsid w:val="002C6535"/>
    <w:rsid w:val="002C7295"/>
    <w:rsid w:val="002D0FFE"/>
    <w:rsid w:val="002D19F3"/>
    <w:rsid w:val="002D22CF"/>
    <w:rsid w:val="002D2CA4"/>
    <w:rsid w:val="002D3517"/>
    <w:rsid w:val="002D3ACD"/>
    <w:rsid w:val="002D69A2"/>
    <w:rsid w:val="002D760B"/>
    <w:rsid w:val="002E13B6"/>
    <w:rsid w:val="002E192D"/>
    <w:rsid w:val="002E1A2B"/>
    <w:rsid w:val="002E29E0"/>
    <w:rsid w:val="002E755A"/>
    <w:rsid w:val="002F0DA3"/>
    <w:rsid w:val="002F3779"/>
    <w:rsid w:val="002F3D42"/>
    <w:rsid w:val="002F4488"/>
    <w:rsid w:val="002F4558"/>
    <w:rsid w:val="002F5279"/>
    <w:rsid w:val="002F575B"/>
    <w:rsid w:val="00301F65"/>
    <w:rsid w:val="003022CC"/>
    <w:rsid w:val="00302CCC"/>
    <w:rsid w:val="00302F48"/>
    <w:rsid w:val="00314CA2"/>
    <w:rsid w:val="00316CAE"/>
    <w:rsid w:val="00317A59"/>
    <w:rsid w:val="00317ECF"/>
    <w:rsid w:val="00321694"/>
    <w:rsid w:val="00321CD9"/>
    <w:rsid w:val="00322BD5"/>
    <w:rsid w:val="00323E4C"/>
    <w:rsid w:val="00323F10"/>
    <w:rsid w:val="003275EE"/>
    <w:rsid w:val="0033062B"/>
    <w:rsid w:val="00331B89"/>
    <w:rsid w:val="00331C01"/>
    <w:rsid w:val="0033279C"/>
    <w:rsid w:val="00333A13"/>
    <w:rsid w:val="00333CA5"/>
    <w:rsid w:val="00334262"/>
    <w:rsid w:val="00334AFA"/>
    <w:rsid w:val="00340742"/>
    <w:rsid w:val="003416F7"/>
    <w:rsid w:val="00343181"/>
    <w:rsid w:val="00344A01"/>
    <w:rsid w:val="003454A7"/>
    <w:rsid w:val="00353E81"/>
    <w:rsid w:val="003550F1"/>
    <w:rsid w:val="0035555A"/>
    <w:rsid w:val="00356054"/>
    <w:rsid w:val="003569E0"/>
    <w:rsid w:val="00357136"/>
    <w:rsid w:val="00357EBE"/>
    <w:rsid w:val="00364C8C"/>
    <w:rsid w:val="00371148"/>
    <w:rsid w:val="003739EB"/>
    <w:rsid w:val="0037669B"/>
    <w:rsid w:val="003817E2"/>
    <w:rsid w:val="00381B65"/>
    <w:rsid w:val="003829CA"/>
    <w:rsid w:val="00382ED1"/>
    <w:rsid w:val="00383695"/>
    <w:rsid w:val="00383C76"/>
    <w:rsid w:val="003843E5"/>
    <w:rsid w:val="003849A2"/>
    <w:rsid w:val="00384E0B"/>
    <w:rsid w:val="00385357"/>
    <w:rsid w:val="00385D4F"/>
    <w:rsid w:val="00387CA9"/>
    <w:rsid w:val="00390C55"/>
    <w:rsid w:val="00393AEB"/>
    <w:rsid w:val="003A0D81"/>
    <w:rsid w:val="003A5EE5"/>
    <w:rsid w:val="003A746E"/>
    <w:rsid w:val="003B13E0"/>
    <w:rsid w:val="003B31F5"/>
    <w:rsid w:val="003B38AF"/>
    <w:rsid w:val="003B4BCC"/>
    <w:rsid w:val="003B4DCC"/>
    <w:rsid w:val="003B537D"/>
    <w:rsid w:val="003B5CBF"/>
    <w:rsid w:val="003B5CE3"/>
    <w:rsid w:val="003B6A92"/>
    <w:rsid w:val="003B7434"/>
    <w:rsid w:val="003B794C"/>
    <w:rsid w:val="003C02BF"/>
    <w:rsid w:val="003D0697"/>
    <w:rsid w:val="003D2F56"/>
    <w:rsid w:val="003D3C5D"/>
    <w:rsid w:val="003D3EB6"/>
    <w:rsid w:val="003D4EC8"/>
    <w:rsid w:val="003D7363"/>
    <w:rsid w:val="003D7CFA"/>
    <w:rsid w:val="003E0282"/>
    <w:rsid w:val="003E1AB9"/>
    <w:rsid w:val="003E26E0"/>
    <w:rsid w:val="003E3971"/>
    <w:rsid w:val="003E4C2F"/>
    <w:rsid w:val="003E4FCE"/>
    <w:rsid w:val="003E5202"/>
    <w:rsid w:val="003E5C2A"/>
    <w:rsid w:val="003F145D"/>
    <w:rsid w:val="003F2552"/>
    <w:rsid w:val="003F422E"/>
    <w:rsid w:val="003F4B9E"/>
    <w:rsid w:val="003F5E4C"/>
    <w:rsid w:val="003F7878"/>
    <w:rsid w:val="00400829"/>
    <w:rsid w:val="00400DBD"/>
    <w:rsid w:val="004012A7"/>
    <w:rsid w:val="00402D0E"/>
    <w:rsid w:val="00402E6F"/>
    <w:rsid w:val="00402FA4"/>
    <w:rsid w:val="00403843"/>
    <w:rsid w:val="00405FBF"/>
    <w:rsid w:val="00407A38"/>
    <w:rsid w:val="0041233A"/>
    <w:rsid w:val="00414E0F"/>
    <w:rsid w:val="0041569C"/>
    <w:rsid w:val="00416184"/>
    <w:rsid w:val="0041748C"/>
    <w:rsid w:val="004174A1"/>
    <w:rsid w:val="00417684"/>
    <w:rsid w:val="004209B9"/>
    <w:rsid w:val="00421AB4"/>
    <w:rsid w:val="004226EF"/>
    <w:rsid w:val="00422D47"/>
    <w:rsid w:val="0043074C"/>
    <w:rsid w:val="00430DA8"/>
    <w:rsid w:val="00431E9E"/>
    <w:rsid w:val="00432E70"/>
    <w:rsid w:val="00433814"/>
    <w:rsid w:val="0043712A"/>
    <w:rsid w:val="0043715A"/>
    <w:rsid w:val="00437318"/>
    <w:rsid w:val="00440680"/>
    <w:rsid w:val="00440AD8"/>
    <w:rsid w:val="00440E87"/>
    <w:rsid w:val="00443E46"/>
    <w:rsid w:val="0044548C"/>
    <w:rsid w:val="00445BD3"/>
    <w:rsid w:val="00446645"/>
    <w:rsid w:val="00446E43"/>
    <w:rsid w:val="00447ACD"/>
    <w:rsid w:val="00447EA5"/>
    <w:rsid w:val="00450E8F"/>
    <w:rsid w:val="00452BA6"/>
    <w:rsid w:val="004531AD"/>
    <w:rsid w:val="00454015"/>
    <w:rsid w:val="004563AE"/>
    <w:rsid w:val="00457557"/>
    <w:rsid w:val="004605B4"/>
    <w:rsid w:val="00460A64"/>
    <w:rsid w:val="00461940"/>
    <w:rsid w:val="00462A51"/>
    <w:rsid w:val="004645FD"/>
    <w:rsid w:val="00464FF8"/>
    <w:rsid w:val="00465238"/>
    <w:rsid w:val="0046555F"/>
    <w:rsid w:val="00465D70"/>
    <w:rsid w:val="0046771A"/>
    <w:rsid w:val="00470327"/>
    <w:rsid w:val="004708B8"/>
    <w:rsid w:val="004756B1"/>
    <w:rsid w:val="00477AD5"/>
    <w:rsid w:val="004800B6"/>
    <w:rsid w:val="0048277C"/>
    <w:rsid w:val="00483B57"/>
    <w:rsid w:val="0048474B"/>
    <w:rsid w:val="004847F3"/>
    <w:rsid w:val="0049080E"/>
    <w:rsid w:val="00490954"/>
    <w:rsid w:val="00490C27"/>
    <w:rsid w:val="00492245"/>
    <w:rsid w:val="00493B42"/>
    <w:rsid w:val="00493CE7"/>
    <w:rsid w:val="0049713A"/>
    <w:rsid w:val="00497AEB"/>
    <w:rsid w:val="004A07E6"/>
    <w:rsid w:val="004A2B1B"/>
    <w:rsid w:val="004A2F95"/>
    <w:rsid w:val="004A32AB"/>
    <w:rsid w:val="004A46FA"/>
    <w:rsid w:val="004A7F3C"/>
    <w:rsid w:val="004B0673"/>
    <w:rsid w:val="004B098D"/>
    <w:rsid w:val="004B41F8"/>
    <w:rsid w:val="004B42A2"/>
    <w:rsid w:val="004B67CF"/>
    <w:rsid w:val="004C170A"/>
    <w:rsid w:val="004C1785"/>
    <w:rsid w:val="004C1C54"/>
    <w:rsid w:val="004C3585"/>
    <w:rsid w:val="004C7861"/>
    <w:rsid w:val="004D0CE2"/>
    <w:rsid w:val="004D704C"/>
    <w:rsid w:val="004D75A6"/>
    <w:rsid w:val="004E4125"/>
    <w:rsid w:val="004E4C5E"/>
    <w:rsid w:val="004E527F"/>
    <w:rsid w:val="004E60AB"/>
    <w:rsid w:val="004E7888"/>
    <w:rsid w:val="004E7E92"/>
    <w:rsid w:val="004E7E9E"/>
    <w:rsid w:val="004F215F"/>
    <w:rsid w:val="00500266"/>
    <w:rsid w:val="00500582"/>
    <w:rsid w:val="00502987"/>
    <w:rsid w:val="00502A8B"/>
    <w:rsid w:val="005065C4"/>
    <w:rsid w:val="00506A00"/>
    <w:rsid w:val="00506F62"/>
    <w:rsid w:val="00507577"/>
    <w:rsid w:val="00507D8A"/>
    <w:rsid w:val="00510D52"/>
    <w:rsid w:val="0051311B"/>
    <w:rsid w:val="0051395E"/>
    <w:rsid w:val="00516730"/>
    <w:rsid w:val="005216C0"/>
    <w:rsid w:val="00521A01"/>
    <w:rsid w:val="00521E5B"/>
    <w:rsid w:val="005234A2"/>
    <w:rsid w:val="0052367C"/>
    <w:rsid w:val="00530889"/>
    <w:rsid w:val="0053215B"/>
    <w:rsid w:val="00532F88"/>
    <w:rsid w:val="00534853"/>
    <w:rsid w:val="005354C4"/>
    <w:rsid w:val="0054074C"/>
    <w:rsid w:val="005415F3"/>
    <w:rsid w:val="005434C6"/>
    <w:rsid w:val="00543EF1"/>
    <w:rsid w:val="00544EA7"/>
    <w:rsid w:val="00545413"/>
    <w:rsid w:val="0054564F"/>
    <w:rsid w:val="00545EF1"/>
    <w:rsid w:val="00546F06"/>
    <w:rsid w:val="00550DF0"/>
    <w:rsid w:val="00552ADB"/>
    <w:rsid w:val="00553EB8"/>
    <w:rsid w:val="00555CEC"/>
    <w:rsid w:val="00557D22"/>
    <w:rsid w:val="00560837"/>
    <w:rsid w:val="005619B0"/>
    <w:rsid w:val="00563840"/>
    <w:rsid w:val="0056695A"/>
    <w:rsid w:val="00573BD6"/>
    <w:rsid w:val="00576B50"/>
    <w:rsid w:val="00580E09"/>
    <w:rsid w:val="00582557"/>
    <w:rsid w:val="00584576"/>
    <w:rsid w:val="005857E3"/>
    <w:rsid w:val="0058727B"/>
    <w:rsid w:val="00587594"/>
    <w:rsid w:val="005922C9"/>
    <w:rsid w:val="005940F8"/>
    <w:rsid w:val="00594720"/>
    <w:rsid w:val="00594AB1"/>
    <w:rsid w:val="00597351"/>
    <w:rsid w:val="005A1E4E"/>
    <w:rsid w:val="005A517F"/>
    <w:rsid w:val="005A630C"/>
    <w:rsid w:val="005B069C"/>
    <w:rsid w:val="005B0800"/>
    <w:rsid w:val="005B11A1"/>
    <w:rsid w:val="005B1D7D"/>
    <w:rsid w:val="005B2047"/>
    <w:rsid w:val="005B4EC2"/>
    <w:rsid w:val="005B6493"/>
    <w:rsid w:val="005B7676"/>
    <w:rsid w:val="005C04B6"/>
    <w:rsid w:val="005C3214"/>
    <w:rsid w:val="005C399C"/>
    <w:rsid w:val="005C4946"/>
    <w:rsid w:val="005C524A"/>
    <w:rsid w:val="005C6502"/>
    <w:rsid w:val="005C703B"/>
    <w:rsid w:val="005C789D"/>
    <w:rsid w:val="005D6D2C"/>
    <w:rsid w:val="005D7B5A"/>
    <w:rsid w:val="005E035B"/>
    <w:rsid w:val="005E0688"/>
    <w:rsid w:val="005E2421"/>
    <w:rsid w:val="005E3EF9"/>
    <w:rsid w:val="005E595E"/>
    <w:rsid w:val="005E5D9B"/>
    <w:rsid w:val="005F24A2"/>
    <w:rsid w:val="005F2646"/>
    <w:rsid w:val="005F3CDD"/>
    <w:rsid w:val="005F3DF6"/>
    <w:rsid w:val="005F6615"/>
    <w:rsid w:val="005F6B81"/>
    <w:rsid w:val="00601562"/>
    <w:rsid w:val="006016A3"/>
    <w:rsid w:val="00601B4C"/>
    <w:rsid w:val="006021D4"/>
    <w:rsid w:val="0060426E"/>
    <w:rsid w:val="00604A26"/>
    <w:rsid w:val="0060530F"/>
    <w:rsid w:val="00605862"/>
    <w:rsid w:val="00607D75"/>
    <w:rsid w:val="00607DE5"/>
    <w:rsid w:val="006104FB"/>
    <w:rsid w:val="00610CCB"/>
    <w:rsid w:val="00611212"/>
    <w:rsid w:val="00612DFA"/>
    <w:rsid w:val="00613893"/>
    <w:rsid w:val="00613F98"/>
    <w:rsid w:val="00614267"/>
    <w:rsid w:val="00615732"/>
    <w:rsid w:val="00615B7B"/>
    <w:rsid w:val="00615E02"/>
    <w:rsid w:val="00616266"/>
    <w:rsid w:val="0061779D"/>
    <w:rsid w:val="006223C9"/>
    <w:rsid w:val="0062340A"/>
    <w:rsid w:val="00623F36"/>
    <w:rsid w:val="006253A5"/>
    <w:rsid w:val="00630B70"/>
    <w:rsid w:val="0063408B"/>
    <w:rsid w:val="0063458A"/>
    <w:rsid w:val="00636C25"/>
    <w:rsid w:val="00637822"/>
    <w:rsid w:val="006403A0"/>
    <w:rsid w:val="00640C79"/>
    <w:rsid w:val="00641AD2"/>
    <w:rsid w:val="00642E38"/>
    <w:rsid w:val="00643C79"/>
    <w:rsid w:val="00650492"/>
    <w:rsid w:val="006506DA"/>
    <w:rsid w:val="00652DFF"/>
    <w:rsid w:val="0065479C"/>
    <w:rsid w:val="006548CA"/>
    <w:rsid w:val="00654E5C"/>
    <w:rsid w:val="006555D3"/>
    <w:rsid w:val="00656ED8"/>
    <w:rsid w:val="00657272"/>
    <w:rsid w:val="0065774A"/>
    <w:rsid w:val="00661DD5"/>
    <w:rsid w:val="00667CFC"/>
    <w:rsid w:val="006701D4"/>
    <w:rsid w:val="006714E9"/>
    <w:rsid w:val="00671EEB"/>
    <w:rsid w:val="006731C6"/>
    <w:rsid w:val="006734AE"/>
    <w:rsid w:val="0067351B"/>
    <w:rsid w:val="00674300"/>
    <w:rsid w:val="00674596"/>
    <w:rsid w:val="0067510C"/>
    <w:rsid w:val="00676D85"/>
    <w:rsid w:val="00676E90"/>
    <w:rsid w:val="00677950"/>
    <w:rsid w:val="006807C0"/>
    <w:rsid w:val="00680E94"/>
    <w:rsid w:val="006819B9"/>
    <w:rsid w:val="00681D07"/>
    <w:rsid w:val="00681D9D"/>
    <w:rsid w:val="00684B4D"/>
    <w:rsid w:val="00686411"/>
    <w:rsid w:val="006870F3"/>
    <w:rsid w:val="006871CD"/>
    <w:rsid w:val="00690DF6"/>
    <w:rsid w:val="00692980"/>
    <w:rsid w:val="00692BFF"/>
    <w:rsid w:val="00692D3B"/>
    <w:rsid w:val="00693759"/>
    <w:rsid w:val="00694714"/>
    <w:rsid w:val="00696EA8"/>
    <w:rsid w:val="006A0709"/>
    <w:rsid w:val="006A0918"/>
    <w:rsid w:val="006A56E5"/>
    <w:rsid w:val="006A6126"/>
    <w:rsid w:val="006A7BE5"/>
    <w:rsid w:val="006B0536"/>
    <w:rsid w:val="006B0588"/>
    <w:rsid w:val="006B1D6E"/>
    <w:rsid w:val="006B2AF0"/>
    <w:rsid w:val="006B5240"/>
    <w:rsid w:val="006B524C"/>
    <w:rsid w:val="006B59AD"/>
    <w:rsid w:val="006B5D64"/>
    <w:rsid w:val="006B6DF4"/>
    <w:rsid w:val="006B7C41"/>
    <w:rsid w:val="006B7C73"/>
    <w:rsid w:val="006C075C"/>
    <w:rsid w:val="006C26AA"/>
    <w:rsid w:val="006C3724"/>
    <w:rsid w:val="006C3B65"/>
    <w:rsid w:val="006C79DC"/>
    <w:rsid w:val="006D1FD4"/>
    <w:rsid w:val="006E12CA"/>
    <w:rsid w:val="006E15F0"/>
    <w:rsid w:val="006E177C"/>
    <w:rsid w:val="006E27E7"/>
    <w:rsid w:val="006E5ADC"/>
    <w:rsid w:val="006F201E"/>
    <w:rsid w:val="006F2177"/>
    <w:rsid w:val="006F21F2"/>
    <w:rsid w:val="006F2D92"/>
    <w:rsid w:val="006F5D48"/>
    <w:rsid w:val="006F6D2F"/>
    <w:rsid w:val="00700DA8"/>
    <w:rsid w:val="00701AFC"/>
    <w:rsid w:val="00705DCC"/>
    <w:rsid w:val="00706A02"/>
    <w:rsid w:val="0070729A"/>
    <w:rsid w:val="00707DD9"/>
    <w:rsid w:val="0071073D"/>
    <w:rsid w:val="00711028"/>
    <w:rsid w:val="00711261"/>
    <w:rsid w:val="00711BDD"/>
    <w:rsid w:val="00712A54"/>
    <w:rsid w:val="00712BE1"/>
    <w:rsid w:val="00716307"/>
    <w:rsid w:val="00721B73"/>
    <w:rsid w:val="00722976"/>
    <w:rsid w:val="00724236"/>
    <w:rsid w:val="00730266"/>
    <w:rsid w:val="007306BB"/>
    <w:rsid w:val="00731CFE"/>
    <w:rsid w:val="00732A7E"/>
    <w:rsid w:val="00736946"/>
    <w:rsid w:val="007376AA"/>
    <w:rsid w:val="00740044"/>
    <w:rsid w:val="00740F24"/>
    <w:rsid w:val="00742D19"/>
    <w:rsid w:val="00745C3B"/>
    <w:rsid w:val="007477EA"/>
    <w:rsid w:val="00753611"/>
    <w:rsid w:val="00754F67"/>
    <w:rsid w:val="00755144"/>
    <w:rsid w:val="007554C4"/>
    <w:rsid w:val="00755A0F"/>
    <w:rsid w:val="00756AFC"/>
    <w:rsid w:val="00760941"/>
    <w:rsid w:val="00763F37"/>
    <w:rsid w:val="00764AE0"/>
    <w:rsid w:val="0076656C"/>
    <w:rsid w:val="007672FE"/>
    <w:rsid w:val="0077088E"/>
    <w:rsid w:val="00770CDF"/>
    <w:rsid w:val="00770D18"/>
    <w:rsid w:val="00771D0B"/>
    <w:rsid w:val="007757D7"/>
    <w:rsid w:val="00777CEF"/>
    <w:rsid w:val="00782A4E"/>
    <w:rsid w:val="00782E8C"/>
    <w:rsid w:val="00786A73"/>
    <w:rsid w:val="00787180"/>
    <w:rsid w:val="00790578"/>
    <w:rsid w:val="007911EF"/>
    <w:rsid w:val="007914E9"/>
    <w:rsid w:val="0079169F"/>
    <w:rsid w:val="007939DF"/>
    <w:rsid w:val="00793A3E"/>
    <w:rsid w:val="00795174"/>
    <w:rsid w:val="00795DC6"/>
    <w:rsid w:val="007A0BD2"/>
    <w:rsid w:val="007A1247"/>
    <w:rsid w:val="007A1443"/>
    <w:rsid w:val="007A1AEE"/>
    <w:rsid w:val="007A1BB7"/>
    <w:rsid w:val="007A22E1"/>
    <w:rsid w:val="007A2DCF"/>
    <w:rsid w:val="007A7074"/>
    <w:rsid w:val="007A70C2"/>
    <w:rsid w:val="007A70CE"/>
    <w:rsid w:val="007B05E3"/>
    <w:rsid w:val="007B07A1"/>
    <w:rsid w:val="007B1F26"/>
    <w:rsid w:val="007B1F39"/>
    <w:rsid w:val="007B3355"/>
    <w:rsid w:val="007B5B12"/>
    <w:rsid w:val="007B6E89"/>
    <w:rsid w:val="007B763E"/>
    <w:rsid w:val="007B7B7C"/>
    <w:rsid w:val="007B7DBD"/>
    <w:rsid w:val="007C06E8"/>
    <w:rsid w:val="007C0E3C"/>
    <w:rsid w:val="007C21B9"/>
    <w:rsid w:val="007C242E"/>
    <w:rsid w:val="007C2D7B"/>
    <w:rsid w:val="007C3A7B"/>
    <w:rsid w:val="007C4620"/>
    <w:rsid w:val="007C5A53"/>
    <w:rsid w:val="007C5BD8"/>
    <w:rsid w:val="007C5F0D"/>
    <w:rsid w:val="007C728B"/>
    <w:rsid w:val="007C77CA"/>
    <w:rsid w:val="007C7C8B"/>
    <w:rsid w:val="007D199C"/>
    <w:rsid w:val="007D1C2D"/>
    <w:rsid w:val="007D2D81"/>
    <w:rsid w:val="007D3E6F"/>
    <w:rsid w:val="007D42AA"/>
    <w:rsid w:val="007D5409"/>
    <w:rsid w:val="007D54E3"/>
    <w:rsid w:val="007D67C6"/>
    <w:rsid w:val="007E0990"/>
    <w:rsid w:val="007E1AF0"/>
    <w:rsid w:val="007E55C9"/>
    <w:rsid w:val="007E6DA2"/>
    <w:rsid w:val="007F0A7B"/>
    <w:rsid w:val="007F0C03"/>
    <w:rsid w:val="007F29A9"/>
    <w:rsid w:val="007F5030"/>
    <w:rsid w:val="00801104"/>
    <w:rsid w:val="00802AD3"/>
    <w:rsid w:val="008048C4"/>
    <w:rsid w:val="00805372"/>
    <w:rsid w:val="0080668C"/>
    <w:rsid w:val="00810F7C"/>
    <w:rsid w:val="00811203"/>
    <w:rsid w:val="00813552"/>
    <w:rsid w:val="00813FD3"/>
    <w:rsid w:val="00815301"/>
    <w:rsid w:val="00816D32"/>
    <w:rsid w:val="00817956"/>
    <w:rsid w:val="00822467"/>
    <w:rsid w:val="00824AD4"/>
    <w:rsid w:val="00825187"/>
    <w:rsid w:val="00830FFC"/>
    <w:rsid w:val="008311D9"/>
    <w:rsid w:val="00832B96"/>
    <w:rsid w:val="008331EA"/>
    <w:rsid w:val="008338A3"/>
    <w:rsid w:val="00834036"/>
    <w:rsid w:val="00835159"/>
    <w:rsid w:val="00835F1E"/>
    <w:rsid w:val="00837772"/>
    <w:rsid w:val="008377C6"/>
    <w:rsid w:val="008378FC"/>
    <w:rsid w:val="008416C0"/>
    <w:rsid w:val="00841913"/>
    <w:rsid w:val="00841914"/>
    <w:rsid w:val="00842743"/>
    <w:rsid w:val="00843760"/>
    <w:rsid w:val="0084482D"/>
    <w:rsid w:val="00844B37"/>
    <w:rsid w:val="0084609E"/>
    <w:rsid w:val="00846692"/>
    <w:rsid w:val="00846A6C"/>
    <w:rsid w:val="00847E9B"/>
    <w:rsid w:val="00852E76"/>
    <w:rsid w:val="00853A40"/>
    <w:rsid w:val="0085719A"/>
    <w:rsid w:val="00857BEA"/>
    <w:rsid w:val="00860EB8"/>
    <w:rsid w:val="00861088"/>
    <w:rsid w:val="008624E8"/>
    <w:rsid w:val="00871EE7"/>
    <w:rsid w:val="00872148"/>
    <w:rsid w:val="008758A7"/>
    <w:rsid w:val="00881192"/>
    <w:rsid w:val="008836E3"/>
    <w:rsid w:val="0088416E"/>
    <w:rsid w:val="00886CF1"/>
    <w:rsid w:val="00887835"/>
    <w:rsid w:val="008879A5"/>
    <w:rsid w:val="00890156"/>
    <w:rsid w:val="00890A08"/>
    <w:rsid w:val="00890A91"/>
    <w:rsid w:val="0089180E"/>
    <w:rsid w:val="0089291A"/>
    <w:rsid w:val="0089390D"/>
    <w:rsid w:val="00896D17"/>
    <w:rsid w:val="008A0539"/>
    <w:rsid w:val="008A09EC"/>
    <w:rsid w:val="008A1084"/>
    <w:rsid w:val="008A2939"/>
    <w:rsid w:val="008A38C1"/>
    <w:rsid w:val="008A4BD9"/>
    <w:rsid w:val="008A6825"/>
    <w:rsid w:val="008A687D"/>
    <w:rsid w:val="008B00D9"/>
    <w:rsid w:val="008B0F17"/>
    <w:rsid w:val="008B1DA4"/>
    <w:rsid w:val="008B23C8"/>
    <w:rsid w:val="008C26EC"/>
    <w:rsid w:val="008C39BE"/>
    <w:rsid w:val="008C42C2"/>
    <w:rsid w:val="008C562B"/>
    <w:rsid w:val="008C70A7"/>
    <w:rsid w:val="008C7A83"/>
    <w:rsid w:val="008D1A62"/>
    <w:rsid w:val="008D53F9"/>
    <w:rsid w:val="008D6563"/>
    <w:rsid w:val="008D6E7E"/>
    <w:rsid w:val="008D7C79"/>
    <w:rsid w:val="008D7EF1"/>
    <w:rsid w:val="008E25B5"/>
    <w:rsid w:val="008E2FCD"/>
    <w:rsid w:val="008E49A1"/>
    <w:rsid w:val="008E51CC"/>
    <w:rsid w:val="008E5D5D"/>
    <w:rsid w:val="008E70F1"/>
    <w:rsid w:val="008F2B6D"/>
    <w:rsid w:val="008F3516"/>
    <w:rsid w:val="008F4905"/>
    <w:rsid w:val="008F5396"/>
    <w:rsid w:val="008F6BE2"/>
    <w:rsid w:val="008F6E77"/>
    <w:rsid w:val="008F7002"/>
    <w:rsid w:val="00901192"/>
    <w:rsid w:val="0090192D"/>
    <w:rsid w:val="00901DF3"/>
    <w:rsid w:val="00901E33"/>
    <w:rsid w:val="00905D7F"/>
    <w:rsid w:val="00905F2B"/>
    <w:rsid w:val="0090737C"/>
    <w:rsid w:val="00910FAB"/>
    <w:rsid w:val="00912539"/>
    <w:rsid w:val="00912640"/>
    <w:rsid w:val="00912750"/>
    <w:rsid w:val="0091519E"/>
    <w:rsid w:val="00922F86"/>
    <w:rsid w:val="00923888"/>
    <w:rsid w:val="00924ADD"/>
    <w:rsid w:val="00925D76"/>
    <w:rsid w:val="009276C4"/>
    <w:rsid w:val="00927F6E"/>
    <w:rsid w:val="009314A8"/>
    <w:rsid w:val="009317F6"/>
    <w:rsid w:val="00932C6A"/>
    <w:rsid w:val="00933381"/>
    <w:rsid w:val="009400CE"/>
    <w:rsid w:val="0094136F"/>
    <w:rsid w:val="00943109"/>
    <w:rsid w:val="00943F67"/>
    <w:rsid w:val="00944C3B"/>
    <w:rsid w:val="009464B3"/>
    <w:rsid w:val="009475C7"/>
    <w:rsid w:val="00951AAB"/>
    <w:rsid w:val="0095391C"/>
    <w:rsid w:val="00955792"/>
    <w:rsid w:val="009565DD"/>
    <w:rsid w:val="00956860"/>
    <w:rsid w:val="009573DA"/>
    <w:rsid w:val="00957C0C"/>
    <w:rsid w:val="0096003D"/>
    <w:rsid w:val="0096086E"/>
    <w:rsid w:val="009612DF"/>
    <w:rsid w:val="0096236F"/>
    <w:rsid w:val="009637E3"/>
    <w:rsid w:val="009678CE"/>
    <w:rsid w:val="00970182"/>
    <w:rsid w:val="00971DCB"/>
    <w:rsid w:val="00975726"/>
    <w:rsid w:val="00980548"/>
    <w:rsid w:val="00980DB4"/>
    <w:rsid w:val="0098183D"/>
    <w:rsid w:val="009843EB"/>
    <w:rsid w:val="00984567"/>
    <w:rsid w:val="00985856"/>
    <w:rsid w:val="00985E53"/>
    <w:rsid w:val="009874A8"/>
    <w:rsid w:val="00992DC0"/>
    <w:rsid w:val="0099323C"/>
    <w:rsid w:val="009935D0"/>
    <w:rsid w:val="00994139"/>
    <w:rsid w:val="00995441"/>
    <w:rsid w:val="00995BB3"/>
    <w:rsid w:val="00996465"/>
    <w:rsid w:val="00997323"/>
    <w:rsid w:val="0099734A"/>
    <w:rsid w:val="009A015F"/>
    <w:rsid w:val="009A1E3A"/>
    <w:rsid w:val="009A3FA6"/>
    <w:rsid w:val="009A62CB"/>
    <w:rsid w:val="009A6A11"/>
    <w:rsid w:val="009A6A60"/>
    <w:rsid w:val="009A6E15"/>
    <w:rsid w:val="009A7082"/>
    <w:rsid w:val="009B1580"/>
    <w:rsid w:val="009B2576"/>
    <w:rsid w:val="009B32B9"/>
    <w:rsid w:val="009B45B9"/>
    <w:rsid w:val="009B5971"/>
    <w:rsid w:val="009B77B8"/>
    <w:rsid w:val="009C1923"/>
    <w:rsid w:val="009C453A"/>
    <w:rsid w:val="009C6B6E"/>
    <w:rsid w:val="009D0302"/>
    <w:rsid w:val="009D0E20"/>
    <w:rsid w:val="009D2F2F"/>
    <w:rsid w:val="009D3B16"/>
    <w:rsid w:val="009D4091"/>
    <w:rsid w:val="009D431B"/>
    <w:rsid w:val="009E117C"/>
    <w:rsid w:val="009E1274"/>
    <w:rsid w:val="009E26DC"/>
    <w:rsid w:val="009E2C2A"/>
    <w:rsid w:val="009E6DCA"/>
    <w:rsid w:val="009E6FCA"/>
    <w:rsid w:val="009E701E"/>
    <w:rsid w:val="009E70E9"/>
    <w:rsid w:val="009E71E4"/>
    <w:rsid w:val="009F243F"/>
    <w:rsid w:val="009F2BAF"/>
    <w:rsid w:val="009F2E18"/>
    <w:rsid w:val="009F4360"/>
    <w:rsid w:val="00A01723"/>
    <w:rsid w:val="00A0239D"/>
    <w:rsid w:val="00A025A0"/>
    <w:rsid w:val="00A02931"/>
    <w:rsid w:val="00A0528F"/>
    <w:rsid w:val="00A05DE7"/>
    <w:rsid w:val="00A064A0"/>
    <w:rsid w:val="00A0695A"/>
    <w:rsid w:val="00A10714"/>
    <w:rsid w:val="00A116A1"/>
    <w:rsid w:val="00A12D91"/>
    <w:rsid w:val="00A13343"/>
    <w:rsid w:val="00A136B5"/>
    <w:rsid w:val="00A13BA3"/>
    <w:rsid w:val="00A140F7"/>
    <w:rsid w:val="00A14539"/>
    <w:rsid w:val="00A16DC9"/>
    <w:rsid w:val="00A16FD1"/>
    <w:rsid w:val="00A17AC5"/>
    <w:rsid w:val="00A23A11"/>
    <w:rsid w:val="00A30DD3"/>
    <w:rsid w:val="00A3178A"/>
    <w:rsid w:val="00A33B41"/>
    <w:rsid w:val="00A35587"/>
    <w:rsid w:val="00A36001"/>
    <w:rsid w:val="00A36BDC"/>
    <w:rsid w:val="00A37B96"/>
    <w:rsid w:val="00A37E00"/>
    <w:rsid w:val="00A420F3"/>
    <w:rsid w:val="00A42B27"/>
    <w:rsid w:val="00A45757"/>
    <w:rsid w:val="00A46FE3"/>
    <w:rsid w:val="00A50475"/>
    <w:rsid w:val="00A504A3"/>
    <w:rsid w:val="00A5519D"/>
    <w:rsid w:val="00A55DA4"/>
    <w:rsid w:val="00A56B40"/>
    <w:rsid w:val="00A60DFB"/>
    <w:rsid w:val="00A614B1"/>
    <w:rsid w:val="00A6170C"/>
    <w:rsid w:val="00A63F63"/>
    <w:rsid w:val="00A642F9"/>
    <w:rsid w:val="00A6633C"/>
    <w:rsid w:val="00A6735E"/>
    <w:rsid w:val="00A7076B"/>
    <w:rsid w:val="00A70BF0"/>
    <w:rsid w:val="00A72D36"/>
    <w:rsid w:val="00A739D1"/>
    <w:rsid w:val="00A74039"/>
    <w:rsid w:val="00A7454B"/>
    <w:rsid w:val="00A74F88"/>
    <w:rsid w:val="00A802C6"/>
    <w:rsid w:val="00A805F7"/>
    <w:rsid w:val="00A80CA0"/>
    <w:rsid w:val="00A83E4E"/>
    <w:rsid w:val="00A8404C"/>
    <w:rsid w:val="00A8528B"/>
    <w:rsid w:val="00A86418"/>
    <w:rsid w:val="00A87F87"/>
    <w:rsid w:val="00A927F3"/>
    <w:rsid w:val="00A945B8"/>
    <w:rsid w:val="00A96FEE"/>
    <w:rsid w:val="00AA038E"/>
    <w:rsid w:val="00AA195D"/>
    <w:rsid w:val="00AA196E"/>
    <w:rsid w:val="00AA35B2"/>
    <w:rsid w:val="00AA35DB"/>
    <w:rsid w:val="00AA5BE0"/>
    <w:rsid w:val="00AB0CBB"/>
    <w:rsid w:val="00AB2083"/>
    <w:rsid w:val="00AB4793"/>
    <w:rsid w:val="00AB4FFE"/>
    <w:rsid w:val="00AB65CC"/>
    <w:rsid w:val="00AB7799"/>
    <w:rsid w:val="00AC071C"/>
    <w:rsid w:val="00AC1B67"/>
    <w:rsid w:val="00AC2044"/>
    <w:rsid w:val="00AC2344"/>
    <w:rsid w:val="00AC39C9"/>
    <w:rsid w:val="00AC68B1"/>
    <w:rsid w:val="00AC691E"/>
    <w:rsid w:val="00AC7E37"/>
    <w:rsid w:val="00AD0DBC"/>
    <w:rsid w:val="00AD120A"/>
    <w:rsid w:val="00AD1787"/>
    <w:rsid w:val="00AD2041"/>
    <w:rsid w:val="00AD3779"/>
    <w:rsid w:val="00AD3E93"/>
    <w:rsid w:val="00AD55C1"/>
    <w:rsid w:val="00AD75F4"/>
    <w:rsid w:val="00AE2D3E"/>
    <w:rsid w:val="00AE3E15"/>
    <w:rsid w:val="00AE65A0"/>
    <w:rsid w:val="00AE6BE5"/>
    <w:rsid w:val="00AF351E"/>
    <w:rsid w:val="00AF3B1A"/>
    <w:rsid w:val="00AF760E"/>
    <w:rsid w:val="00B006C6"/>
    <w:rsid w:val="00B01B83"/>
    <w:rsid w:val="00B038D6"/>
    <w:rsid w:val="00B04085"/>
    <w:rsid w:val="00B06879"/>
    <w:rsid w:val="00B10229"/>
    <w:rsid w:val="00B10462"/>
    <w:rsid w:val="00B14E3D"/>
    <w:rsid w:val="00B155DC"/>
    <w:rsid w:val="00B16E3B"/>
    <w:rsid w:val="00B16E7E"/>
    <w:rsid w:val="00B25B25"/>
    <w:rsid w:val="00B26468"/>
    <w:rsid w:val="00B2743D"/>
    <w:rsid w:val="00B27E06"/>
    <w:rsid w:val="00B30772"/>
    <w:rsid w:val="00B356DF"/>
    <w:rsid w:val="00B36253"/>
    <w:rsid w:val="00B36B37"/>
    <w:rsid w:val="00B413EA"/>
    <w:rsid w:val="00B42170"/>
    <w:rsid w:val="00B43E55"/>
    <w:rsid w:val="00B443FB"/>
    <w:rsid w:val="00B44F06"/>
    <w:rsid w:val="00B450F0"/>
    <w:rsid w:val="00B47ED3"/>
    <w:rsid w:val="00B50889"/>
    <w:rsid w:val="00B52480"/>
    <w:rsid w:val="00B52685"/>
    <w:rsid w:val="00B5377E"/>
    <w:rsid w:val="00B537CF"/>
    <w:rsid w:val="00B53923"/>
    <w:rsid w:val="00B54E74"/>
    <w:rsid w:val="00B55A62"/>
    <w:rsid w:val="00B56161"/>
    <w:rsid w:val="00B56F43"/>
    <w:rsid w:val="00B57B0F"/>
    <w:rsid w:val="00B6141F"/>
    <w:rsid w:val="00B633A0"/>
    <w:rsid w:val="00B640B6"/>
    <w:rsid w:val="00B66AAD"/>
    <w:rsid w:val="00B67C99"/>
    <w:rsid w:val="00B70493"/>
    <w:rsid w:val="00B739FE"/>
    <w:rsid w:val="00B751E5"/>
    <w:rsid w:val="00B758FA"/>
    <w:rsid w:val="00B75EE7"/>
    <w:rsid w:val="00B75FDB"/>
    <w:rsid w:val="00B77063"/>
    <w:rsid w:val="00B77EC4"/>
    <w:rsid w:val="00B81458"/>
    <w:rsid w:val="00B81473"/>
    <w:rsid w:val="00B82342"/>
    <w:rsid w:val="00B83209"/>
    <w:rsid w:val="00B840B2"/>
    <w:rsid w:val="00B85233"/>
    <w:rsid w:val="00B85C20"/>
    <w:rsid w:val="00B8686B"/>
    <w:rsid w:val="00B94233"/>
    <w:rsid w:val="00B945D8"/>
    <w:rsid w:val="00B950A2"/>
    <w:rsid w:val="00B955B0"/>
    <w:rsid w:val="00B96A08"/>
    <w:rsid w:val="00B9736D"/>
    <w:rsid w:val="00BA0D86"/>
    <w:rsid w:val="00BA1B8E"/>
    <w:rsid w:val="00BA2498"/>
    <w:rsid w:val="00BA547E"/>
    <w:rsid w:val="00BA56C8"/>
    <w:rsid w:val="00BA632B"/>
    <w:rsid w:val="00BA64E8"/>
    <w:rsid w:val="00BA66AC"/>
    <w:rsid w:val="00BB2FB0"/>
    <w:rsid w:val="00BB3D2C"/>
    <w:rsid w:val="00BB4B11"/>
    <w:rsid w:val="00BB5810"/>
    <w:rsid w:val="00BB76F9"/>
    <w:rsid w:val="00BC07B0"/>
    <w:rsid w:val="00BC1211"/>
    <w:rsid w:val="00BC1F0A"/>
    <w:rsid w:val="00BC2541"/>
    <w:rsid w:val="00BC29CF"/>
    <w:rsid w:val="00BC2E50"/>
    <w:rsid w:val="00BC44B5"/>
    <w:rsid w:val="00BC48B4"/>
    <w:rsid w:val="00BC6497"/>
    <w:rsid w:val="00BC77C2"/>
    <w:rsid w:val="00BD03E9"/>
    <w:rsid w:val="00BD53F3"/>
    <w:rsid w:val="00BD6703"/>
    <w:rsid w:val="00BD67BF"/>
    <w:rsid w:val="00BE0326"/>
    <w:rsid w:val="00BE23F0"/>
    <w:rsid w:val="00BE38A5"/>
    <w:rsid w:val="00BE4896"/>
    <w:rsid w:val="00BE6AD6"/>
    <w:rsid w:val="00BE7F3F"/>
    <w:rsid w:val="00BF04B2"/>
    <w:rsid w:val="00BF2382"/>
    <w:rsid w:val="00BF2FA5"/>
    <w:rsid w:val="00BF434F"/>
    <w:rsid w:val="00BF7A2B"/>
    <w:rsid w:val="00C01316"/>
    <w:rsid w:val="00C01691"/>
    <w:rsid w:val="00C035B0"/>
    <w:rsid w:val="00C0400C"/>
    <w:rsid w:val="00C05838"/>
    <w:rsid w:val="00C0657A"/>
    <w:rsid w:val="00C0681A"/>
    <w:rsid w:val="00C06CCC"/>
    <w:rsid w:val="00C1281F"/>
    <w:rsid w:val="00C13B68"/>
    <w:rsid w:val="00C153FD"/>
    <w:rsid w:val="00C15DF8"/>
    <w:rsid w:val="00C24754"/>
    <w:rsid w:val="00C26C72"/>
    <w:rsid w:val="00C3048B"/>
    <w:rsid w:val="00C32059"/>
    <w:rsid w:val="00C33605"/>
    <w:rsid w:val="00C41C9B"/>
    <w:rsid w:val="00C42174"/>
    <w:rsid w:val="00C42D38"/>
    <w:rsid w:val="00C45BC3"/>
    <w:rsid w:val="00C47D7B"/>
    <w:rsid w:val="00C5035E"/>
    <w:rsid w:val="00C52B23"/>
    <w:rsid w:val="00C53837"/>
    <w:rsid w:val="00C575BC"/>
    <w:rsid w:val="00C576F7"/>
    <w:rsid w:val="00C65FFF"/>
    <w:rsid w:val="00C66863"/>
    <w:rsid w:val="00C7352B"/>
    <w:rsid w:val="00C743C7"/>
    <w:rsid w:val="00C758D7"/>
    <w:rsid w:val="00C75903"/>
    <w:rsid w:val="00C77589"/>
    <w:rsid w:val="00C77A52"/>
    <w:rsid w:val="00C81B27"/>
    <w:rsid w:val="00C81E3A"/>
    <w:rsid w:val="00C825F4"/>
    <w:rsid w:val="00C82D9B"/>
    <w:rsid w:val="00C83872"/>
    <w:rsid w:val="00C83BF7"/>
    <w:rsid w:val="00C8630F"/>
    <w:rsid w:val="00C9246A"/>
    <w:rsid w:val="00C9255D"/>
    <w:rsid w:val="00C94B93"/>
    <w:rsid w:val="00C94CD7"/>
    <w:rsid w:val="00C958CB"/>
    <w:rsid w:val="00C95D94"/>
    <w:rsid w:val="00C963A9"/>
    <w:rsid w:val="00C97E40"/>
    <w:rsid w:val="00CA0F39"/>
    <w:rsid w:val="00CA1008"/>
    <w:rsid w:val="00CA377B"/>
    <w:rsid w:val="00CA3AE1"/>
    <w:rsid w:val="00CA4B5C"/>
    <w:rsid w:val="00CA5F0E"/>
    <w:rsid w:val="00CA5FA2"/>
    <w:rsid w:val="00CA62A1"/>
    <w:rsid w:val="00CA6543"/>
    <w:rsid w:val="00CB2A24"/>
    <w:rsid w:val="00CB39A5"/>
    <w:rsid w:val="00CB3C98"/>
    <w:rsid w:val="00CB579F"/>
    <w:rsid w:val="00CB5870"/>
    <w:rsid w:val="00CC0853"/>
    <w:rsid w:val="00CC166A"/>
    <w:rsid w:val="00CC1E84"/>
    <w:rsid w:val="00CC2D15"/>
    <w:rsid w:val="00CC4DDE"/>
    <w:rsid w:val="00CC7E8D"/>
    <w:rsid w:val="00CD0CEC"/>
    <w:rsid w:val="00CD3EA4"/>
    <w:rsid w:val="00CD5C6E"/>
    <w:rsid w:val="00CD72D2"/>
    <w:rsid w:val="00CE049A"/>
    <w:rsid w:val="00CE24D7"/>
    <w:rsid w:val="00CE3AED"/>
    <w:rsid w:val="00CE7473"/>
    <w:rsid w:val="00CF0522"/>
    <w:rsid w:val="00CF162C"/>
    <w:rsid w:val="00CF39BA"/>
    <w:rsid w:val="00CF52DB"/>
    <w:rsid w:val="00CF5FDD"/>
    <w:rsid w:val="00CF62E8"/>
    <w:rsid w:val="00CF7CE9"/>
    <w:rsid w:val="00D02B34"/>
    <w:rsid w:val="00D03E82"/>
    <w:rsid w:val="00D07674"/>
    <w:rsid w:val="00D10199"/>
    <w:rsid w:val="00D11021"/>
    <w:rsid w:val="00D110FF"/>
    <w:rsid w:val="00D11E20"/>
    <w:rsid w:val="00D124CA"/>
    <w:rsid w:val="00D14450"/>
    <w:rsid w:val="00D14BA5"/>
    <w:rsid w:val="00D1581E"/>
    <w:rsid w:val="00D15D58"/>
    <w:rsid w:val="00D17530"/>
    <w:rsid w:val="00D20057"/>
    <w:rsid w:val="00D208DB"/>
    <w:rsid w:val="00D21366"/>
    <w:rsid w:val="00D22B00"/>
    <w:rsid w:val="00D232CC"/>
    <w:rsid w:val="00D262A5"/>
    <w:rsid w:val="00D262E2"/>
    <w:rsid w:val="00D274ED"/>
    <w:rsid w:val="00D300E4"/>
    <w:rsid w:val="00D3174D"/>
    <w:rsid w:val="00D31D63"/>
    <w:rsid w:val="00D33AC2"/>
    <w:rsid w:val="00D33AF0"/>
    <w:rsid w:val="00D351BB"/>
    <w:rsid w:val="00D3623E"/>
    <w:rsid w:val="00D37A6B"/>
    <w:rsid w:val="00D37D3E"/>
    <w:rsid w:val="00D40782"/>
    <w:rsid w:val="00D41456"/>
    <w:rsid w:val="00D41946"/>
    <w:rsid w:val="00D43209"/>
    <w:rsid w:val="00D44D43"/>
    <w:rsid w:val="00D451C8"/>
    <w:rsid w:val="00D45669"/>
    <w:rsid w:val="00D47C70"/>
    <w:rsid w:val="00D51D75"/>
    <w:rsid w:val="00D54587"/>
    <w:rsid w:val="00D559E2"/>
    <w:rsid w:val="00D61B4D"/>
    <w:rsid w:val="00D624B5"/>
    <w:rsid w:val="00D663AE"/>
    <w:rsid w:val="00D6687A"/>
    <w:rsid w:val="00D674F1"/>
    <w:rsid w:val="00D70963"/>
    <w:rsid w:val="00D7243A"/>
    <w:rsid w:val="00D73952"/>
    <w:rsid w:val="00D73BB1"/>
    <w:rsid w:val="00D742DF"/>
    <w:rsid w:val="00D747F8"/>
    <w:rsid w:val="00D74862"/>
    <w:rsid w:val="00D75ECD"/>
    <w:rsid w:val="00D771DE"/>
    <w:rsid w:val="00D775F1"/>
    <w:rsid w:val="00D81174"/>
    <w:rsid w:val="00D81C3C"/>
    <w:rsid w:val="00D832ED"/>
    <w:rsid w:val="00D83EC4"/>
    <w:rsid w:val="00D83F0B"/>
    <w:rsid w:val="00D84081"/>
    <w:rsid w:val="00D848B5"/>
    <w:rsid w:val="00D868DE"/>
    <w:rsid w:val="00D86B6A"/>
    <w:rsid w:val="00D91F87"/>
    <w:rsid w:val="00D925D4"/>
    <w:rsid w:val="00D92AB7"/>
    <w:rsid w:val="00D934AF"/>
    <w:rsid w:val="00D93554"/>
    <w:rsid w:val="00DA2A01"/>
    <w:rsid w:val="00DA338D"/>
    <w:rsid w:val="00DA49A3"/>
    <w:rsid w:val="00DA5578"/>
    <w:rsid w:val="00DB1A87"/>
    <w:rsid w:val="00DB1F86"/>
    <w:rsid w:val="00DB20C9"/>
    <w:rsid w:val="00DB2C37"/>
    <w:rsid w:val="00DB5A25"/>
    <w:rsid w:val="00DB6F26"/>
    <w:rsid w:val="00DC0194"/>
    <w:rsid w:val="00DC1CF0"/>
    <w:rsid w:val="00DC719B"/>
    <w:rsid w:val="00DC731F"/>
    <w:rsid w:val="00DD0BC2"/>
    <w:rsid w:val="00DD22B5"/>
    <w:rsid w:val="00DD2336"/>
    <w:rsid w:val="00DD33AA"/>
    <w:rsid w:val="00DD4A6F"/>
    <w:rsid w:val="00DD73FF"/>
    <w:rsid w:val="00DD7460"/>
    <w:rsid w:val="00DE3A3D"/>
    <w:rsid w:val="00DE42B9"/>
    <w:rsid w:val="00DE4D9D"/>
    <w:rsid w:val="00DE5A41"/>
    <w:rsid w:val="00DE76FC"/>
    <w:rsid w:val="00DF1E0B"/>
    <w:rsid w:val="00DF728E"/>
    <w:rsid w:val="00E00471"/>
    <w:rsid w:val="00E013ED"/>
    <w:rsid w:val="00E01935"/>
    <w:rsid w:val="00E0310E"/>
    <w:rsid w:val="00E063E0"/>
    <w:rsid w:val="00E06CB7"/>
    <w:rsid w:val="00E10682"/>
    <w:rsid w:val="00E106F7"/>
    <w:rsid w:val="00E1309F"/>
    <w:rsid w:val="00E141B4"/>
    <w:rsid w:val="00E149A0"/>
    <w:rsid w:val="00E14E17"/>
    <w:rsid w:val="00E15C61"/>
    <w:rsid w:val="00E16ABE"/>
    <w:rsid w:val="00E17A35"/>
    <w:rsid w:val="00E23A76"/>
    <w:rsid w:val="00E274EB"/>
    <w:rsid w:val="00E27C3A"/>
    <w:rsid w:val="00E41CE8"/>
    <w:rsid w:val="00E4434F"/>
    <w:rsid w:val="00E44456"/>
    <w:rsid w:val="00E449E8"/>
    <w:rsid w:val="00E47AD1"/>
    <w:rsid w:val="00E50589"/>
    <w:rsid w:val="00E522DB"/>
    <w:rsid w:val="00E53FDD"/>
    <w:rsid w:val="00E55E73"/>
    <w:rsid w:val="00E57B28"/>
    <w:rsid w:val="00E60C6E"/>
    <w:rsid w:val="00E60E84"/>
    <w:rsid w:val="00E65180"/>
    <w:rsid w:val="00E65FF4"/>
    <w:rsid w:val="00E66C60"/>
    <w:rsid w:val="00E7010B"/>
    <w:rsid w:val="00E72BA4"/>
    <w:rsid w:val="00E749F3"/>
    <w:rsid w:val="00E75784"/>
    <w:rsid w:val="00E82718"/>
    <w:rsid w:val="00E83E53"/>
    <w:rsid w:val="00E86DB4"/>
    <w:rsid w:val="00E8726C"/>
    <w:rsid w:val="00E9021C"/>
    <w:rsid w:val="00E91D15"/>
    <w:rsid w:val="00E92D08"/>
    <w:rsid w:val="00E93C0A"/>
    <w:rsid w:val="00E95B21"/>
    <w:rsid w:val="00E97EDA"/>
    <w:rsid w:val="00EA0425"/>
    <w:rsid w:val="00EA093B"/>
    <w:rsid w:val="00EA1D5A"/>
    <w:rsid w:val="00EA26D9"/>
    <w:rsid w:val="00EA49C0"/>
    <w:rsid w:val="00EA5491"/>
    <w:rsid w:val="00EA5C93"/>
    <w:rsid w:val="00EA6BC8"/>
    <w:rsid w:val="00EA748E"/>
    <w:rsid w:val="00EA7B76"/>
    <w:rsid w:val="00EA7B82"/>
    <w:rsid w:val="00EB1A48"/>
    <w:rsid w:val="00EB48C5"/>
    <w:rsid w:val="00EB5BB8"/>
    <w:rsid w:val="00EC07E6"/>
    <w:rsid w:val="00EC2C09"/>
    <w:rsid w:val="00EC2F97"/>
    <w:rsid w:val="00EC30C6"/>
    <w:rsid w:val="00EC3AD6"/>
    <w:rsid w:val="00EC6AD2"/>
    <w:rsid w:val="00EC7891"/>
    <w:rsid w:val="00EC7B32"/>
    <w:rsid w:val="00ED0D8E"/>
    <w:rsid w:val="00ED2AA9"/>
    <w:rsid w:val="00ED3747"/>
    <w:rsid w:val="00ED6942"/>
    <w:rsid w:val="00EE00ED"/>
    <w:rsid w:val="00EE3DB7"/>
    <w:rsid w:val="00EE4FCA"/>
    <w:rsid w:val="00EE7054"/>
    <w:rsid w:val="00EE7C89"/>
    <w:rsid w:val="00EF3A27"/>
    <w:rsid w:val="00EF4DDA"/>
    <w:rsid w:val="00EF4E60"/>
    <w:rsid w:val="00F009F9"/>
    <w:rsid w:val="00F00A5A"/>
    <w:rsid w:val="00F015B2"/>
    <w:rsid w:val="00F05BC6"/>
    <w:rsid w:val="00F0624D"/>
    <w:rsid w:val="00F064C9"/>
    <w:rsid w:val="00F11A30"/>
    <w:rsid w:val="00F15115"/>
    <w:rsid w:val="00F1533F"/>
    <w:rsid w:val="00F160D5"/>
    <w:rsid w:val="00F202A6"/>
    <w:rsid w:val="00F221D2"/>
    <w:rsid w:val="00F23AD9"/>
    <w:rsid w:val="00F25157"/>
    <w:rsid w:val="00F306E9"/>
    <w:rsid w:val="00F311FC"/>
    <w:rsid w:val="00F33480"/>
    <w:rsid w:val="00F34133"/>
    <w:rsid w:val="00F35065"/>
    <w:rsid w:val="00F35568"/>
    <w:rsid w:val="00F3787F"/>
    <w:rsid w:val="00F40684"/>
    <w:rsid w:val="00F4131C"/>
    <w:rsid w:val="00F47E2C"/>
    <w:rsid w:val="00F50FE6"/>
    <w:rsid w:val="00F51720"/>
    <w:rsid w:val="00F52306"/>
    <w:rsid w:val="00F5297A"/>
    <w:rsid w:val="00F548E5"/>
    <w:rsid w:val="00F5532C"/>
    <w:rsid w:val="00F553F4"/>
    <w:rsid w:val="00F56893"/>
    <w:rsid w:val="00F57988"/>
    <w:rsid w:val="00F57D38"/>
    <w:rsid w:val="00F60AED"/>
    <w:rsid w:val="00F630CE"/>
    <w:rsid w:val="00F636A9"/>
    <w:rsid w:val="00F65749"/>
    <w:rsid w:val="00F70553"/>
    <w:rsid w:val="00F72AFC"/>
    <w:rsid w:val="00F73C99"/>
    <w:rsid w:val="00F74790"/>
    <w:rsid w:val="00F759FC"/>
    <w:rsid w:val="00F75F55"/>
    <w:rsid w:val="00F76441"/>
    <w:rsid w:val="00F8102E"/>
    <w:rsid w:val="00F854D2"/>
    <w:rsid w:val="00F860BC"/>
    <w:rsid w:val="00F878FF"/>
    <w:rsid w:val="00F909D8"/>
    <w:rsid w:val="00F9171D"/>
    <w:rsid w:val="00F920B3"/>
    <w:rsid w:val="00F95DA2"/>
    <w:rsid w:val="00F97DE4"/>
    <w:rsid w:val="00FA0FB9"/>
    <w:rsid w:val="00FA4EF9"/>
    <w:rsid w:val="00FA50C0"/>
    <w:rsid w:val="00FA5BFD"/>
    <w:rsid w:val="00FA679A"/>
    <w:rsid w:val="00FA795F"/>
    <w:rsid w:val="00FA7C6E"/>
    <w:rsid w:val="00FB02A3"/>
    <w:rsid w:val="00FB42AF"/>
    <w:rsid w:val="00FB4AD8"/>
    <w:rsid w:val="00FB4C8E"/>
    <w:rsid w:val="00FB6B8C"/>
    <w:rsid w:val="00FB7B83"/>
    <w:rsid w:val="00FC04F1"/>
    <w:rsid w:val="00FC0DAC"/>
    <w:rsid w:val="00FC1BDC"/>
    <w:rsid w:val="00FC1E5F"/>
    <w:rsid w:val="00FC2ABE"/>
    <w:rsid w:val="00FC5A37"/>
    <w:rsid w:val="00FD3680"/>
    <w:rsid w:val="00FD4863"/>
    <w:rsid w:val="00FD492A"/>
    <w:rsid w:val="00FD4DDE"/>
    <w:rsid w:val="00FD558A"/>
    <w:rsid w:val="00FD5753"/>
    <w:rsid w:val="00FD7114"/>
    <w:rsid w:val="00FE2BCA"/>
    <w:rsid w:val="00FE2D40"/>
    <w:rsid w:val="00FE5D7D"/>
    <w:rsid w:val="00FE5EE4"/>
    <w:rsid w:val="00FE648C"/>
    <w:rsid w:val="00FE6FE1"/>
    <w:rsid w:val="00FE72C1"/>
    <w:rsid w:val="00FE7FC6"/>
    <w:rsid w:val="00FF128A"/>
    <w:rsid w:val="00FF28BB"/>
    <w:rsid w:val="00FF3012"/>
    <w:rsid w:val="00FF3163"/>
    <w:rsid w:val="00FF4691"/>
    <w:rsid w:val="00FF4F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F2A1"/>
  <w15:chartTrackingRefBased/>
  <w15:docId w15:val="{10C587D4-4D0A-4C0C-AA28-2BCD8C9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E60E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27"/>
    <w:pPr>
      <w:ind w:left="720"/>
      <w:contextualSpacing/>
    </w:pPr>
  </w:style>
  <w:style w:type="paragraph" w:styleId="BalloonText">
    <w:name w:val="Balloon Text"/>
    <w:basedOn w:val="Normal"/>
    <w:link w:val="BalloonTextChar"/>
    <w:uiPriority w:val="99"/>
    <w:semiHidden/>
    <w:unhideWhenUsed/>
    <w:rsid w:val="004D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A6"/>
    <w:rPr>
      <w:rFonts w:ascii="Segoe UI" w:hAnsi="Segoe UI" w:cs="Segoe UI"/>
      <w:sz w:val="18"/>
      <w:szCs w:val="18"/>
      <w:lang w:val="en-GB"/>
    </w:rPr>
  </w:style>
  <w:style w:type="paragraph" w:styleId="Header">
    <w:name w:val="header"/>
    <w:basedOn w:val="Normal"/>
    <w:link w:val="HeaderChar"/>
    <w:uiPriority w:val="99"/>
    <w:rsid w:val="004D75A6"/>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4D75A6"/>
    <w:rPr>
      <w:rFonts w:ascii="Arial" w:eastAsia="Times New Roman" w:hAnsi="Arial" w:cs="Times New Roman"/>
      <w:sz w:val="24"/>
      <w:szCs w:val="20"/>
    </w:rPr>
  </w:style>
  <w:style w:type="paragraph" w:styleId="Footer">
    <w:name w:val="footer"/>
    <w:basedOn w:val="Normal"/>
    <w:link w:val="FooterChar"/>
    <w:uiPriority w:val="99"/>
    <w:unhideWhenUsed/>
    <w:rsid w:val="00B3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DF"/>
    <w:rPr>
      <w:lang w:val="en-GB"/>
    </w:rPr>
  </w:style>
  <w:style w:type="paragraph" w:styleId="Subtitle">
    <w:name w:val="Subtitle"/>
    <w:basedOn w:val="Normal"/>
    <w:next w:val="Normal"/>
    <w:link w:val="SubtitleChar"/>
    <w:uiPriority w:val="11"/>
    <w:qFormat/>
    <w:rsid w:val="00B356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56DF"/>
    <w:rPr>
      <w:rFonts w:eastAsiaTheme="minorEastAsia"/>
      <w:color w:val="5A5A5A" w:themeColor="text1" w:themeTint="A5"/>
      <w:spacing w:val="15"/>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EB48C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EB48C5"/>
    <w:rPr>
      <w:sz w:val="20"/>
      <w:szCs w:val="20"/>
      <w:lang w:val="en-GB"/>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Style 12,Heading 6 Char1"/>
    <w:basedOn w:val="DefaultParagraphFont"/>
    <w:uiPriority w:val="99"/>
    <w:unhideWhenUsed/>
    <w:qFormat/>
    <w:rsid w:val="00EB48C5"/>
    <w:rPr>
      <w:vertAlign w:val="superscript"/>
    </w:rPr>
  </w:style>
  <w:style w:type="character" w:customStyle="1" w:styleId="Heading2Char">
    <w:name w:val="Heading 2 Char"/>
    <w:basedOn w:val="DefaultParagraphFont"/>
    <w:link w:val="Heading2"/>
    <w:uiPriority w:val="9"/>
    <w:rsid w:val="00E60E84"/>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semiHidden/>
    <w:unhideWhenUsed/>
    <w:rsid w:val="00D262E2"/>
    <w:rPr>
      <w:color w:val="0000FF"/>
      <w:u w:val="single"/>
    </w:rPr>
  </w:style>
  <w:style w:type="paragraph" w:styleId="NormalWeb">
    <w:name w:val="Normal (Web)"/>
    <w:basedOn w:val="Normal"/>
    <w:uiPriority w:val="99"/>
    <w:semiHidden/>
    <w:unhideWhenUsed/>
    <w:rsid w:val="00D262E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59</Pages>
  <Words>12688</Words>
  <Characters>72327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Mariana Anguelov</cp:lastModifiedBy>
  <cp:revision>4</cp:revision>
  <cp:lastPrinted>2022-12-13T11:43:00Z</cp:lastPrinted>
  <dcterms:created xsi:type="dcterms:W3CDTF">2022-12-15T11:52:00Z</dcterms:created>
  <dcterms:modified xsi:type="dcterms:W3CDTF">2022-12-26T07:51:00Z</dcterms:modified>
</cp:coreProperties>
</file>