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CBDB" w14:textId="77777777" w:rsidR="009A790B" w:rsidRPr="00430500" w:rsidRDefault="00F33BA3" w:rsidP="00430500">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IN THE HIGH COURT OF SOUTH AFRICA</w:t>
      </w:r>
    </w:p>
    <w:p w14:paraId="249B4B4E" w14:textId="77777777" w:rsidR="00F33BA3" w:rsidRPr="00430500" w:rsidRDefault="00F33BA3" w:rsidP="00430500">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(EAST</w:t>
      </w:r>
      <w:r w:rsidR="00430500">
        <w:rPr>
          <w:rFonts w:ascii="Arial" w:hAnsi="Arial" w:cs="Arial"/>
          <w:b/>
          <w:bCs/>
          <w:color w:val="000000" w:themeColor="text1"/>
          <w:lang w:val="en-US"/>
        </w:rPr>
        <w:t xml:space="preserve"> LONDON CIRCUIT COURT</w:t>
      </w:r>
      <w:r w:rsidRPr="00430500">
        <w:rPr>
          <w:rFonts w:ascii="Arial" w:hAnsi="Arial" w:cs="Arial"/>
          <w:b/>
          <w:bCs/>
          <w:color w:val="000000" w:themeColor="text1"/>
          <w:lang w:val="en-US"/>
        </w:rPr>
        <w:t>)</w:t>
      </w:r>
    </w:p>
    <w:p w14:paraId="74A4B265" w14:textId="501531C5" w:rsidR="00F33BA3" w:rsidRDefault="00F33BA3" w:rsidP="00430500">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t xml:space="preserve">        CASE NO.: EL 718/2021</w:t>
      </w:r>
    </w:p>
    <w:p w14:paraId="58232B35" w14:textId="47FA64DE" w:rsidR="00A67066" w:rsidRDefault="00A67066" w:rsidP="00430500">
      <w:pPr>
        <w:spacing w:line="480" w:lineRule="auto"/>
        <w:jc w:val="both"/>
        <w:rPr>
          <w:rFonts w:ascii="Arial" w:hAnsi="Arial" w:cs="Arial"/>
          <w:b/>
          <w:bCs/>
          <w:color w:val="000000" w:themeColor="text1"/>
          <w:lang w:val="en-US"/>
        </w:rPr>
      </w:pP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t xml:space="preserve">     Heard on: 6 October 2022</w:t>
      </w:r>
    </w:p>
    <w:p w14:paraId="6BFC806C" w14:textId="022D819B" w:rsidR="00A67066" w:rsidRPr="00430500" w:rsidRDefault="00A67066" w:rsidP="00430500">
      <w:pPr>
        <w:spacing w:line="480" w:lineRule="auto"/>
        <w:jc w:val="both"/>
        <w:rPr>
          <w:rFonts w:ascii="Arial" w:hAnsi="Arial" w:cs="Arial"/>
          <w:b/>
          <w:bCs/>
          <w:color w:val="000000" w:themeColor="text1"/>
          <w:lang w:val="en-US"/>
        </w:rPr>
      </w:pP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r>
      <w:r>
        <w:rPr>
          <w:rFonts w:ascii="Arial" w:hAnsi="Arial" w:cs="Arial"/>
          <w:b/>
          <w:bCs/>
          <w:color w:val="000000" w:themeColor="text1"/>
          <w:lang w:val="en-US"/>
        </w:rPr>
        <w:tab/>
        <w:t xml:space="preserve">      Delivered on 13 December 2022</w:t>
      </w:r>
    </w:p>
    <w:p w14:paraId="6D5CBC55" w14:textId="77777777" w:rsidR="00F33BA3" w:rsidRPr="00430500" w:rsidRDefault="00F33BA3" w:rsidP="00430500">
      <w:pPr>
        <w:spacing w:line="480" w:lineRule="auto"/>
        <w:jc w:val="both"/>
        <w:rPr>
          <w:rFonts w:ascii="Arial" w:hAnsi="Arial" w:cs="Arial"/>
          <w:color w:val="000000" w:themeColor="text1"/>
          <w:lang w:val="en-US"/>
        </w:rPr>
      </w:pPr>
      <w:r w:rsidRPr="00430500">
        <w:rPr>
          <w:rFonts w:ascii="Arial" w:hAnsi="Arial" w:cs="Arial"/>
          <w:color w:val="000000" w:themeColor="text1"/>
          <w:lang w:val="en-US"/>
        </w:rPr>
        <w:t>In the matter between:</w:t>
      </w:r>
    </w:p>
    <w:p w14:paraId="19B1FB99" w14:textId="77777777" w:rsidR="00F33BA3" w:rsidRPr="00430500" w:rsidRDefault="00F33BA3" w:rsidP="00430500">
      <w:pPr>
        <w:spacing w:line="480" w:lineRule="auto"/>
        <w:jc w:val="both"/>
        <w:rPr>
          <w:rFonts w:ascii="Arial" w:hAnsi="Arial" w:cs="Arial"/>
          <w:color w:val="000000" w:themeColor="text1"/>
          <w:lang w:val="en-US"/>
        </w:rPr>
      </w:pPr>
    </w:p>
    <w:p w14:paraId="5C0DD3A7" w14:textId="77777777" w:rsidR="00F33BA3" w:rsidRPr="00430500" w:rsidRDefault="00F33BA3" w:rsidP="00430500">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KHAKA SIPUNZI</w:t>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t xml:space="preserve">                 APPLICANT</w:t>
      </w:r>
    </w:p>
    <w:p w14:paraId="197D9AEB" w14:textId="77777777" w:rsidR="00F33BA3" w:rsidRPr="00430500" w:rsidRDefault="00F33BA3" w:rsidP="00430500">
      <w:pPr>
        <w:spacing w:line="480" w:lineRule="auto"/>
        <w:jc w:val="both"/>
        <w:rPr>
          <w:rFonts w:ascii="Arial" w:hAnsi="Arial" w:cs="Arial"/>
          <w:b/>
          <w:bCs/>
          <w:color w:val="000000" w:themeColor="text1"/>
          <w:lang w:val="en-US"/>
        </w:rPr>
      </w:pPr>
    </w:p>
    <w:p w14:paraId="02ACD668" w14:textId="77777777" w:rsidR="00F33BA3" w:rsidRPr="00430500" w:rsidRDefault="00F33BA3" w:rsidP="00430500">
      <w:pPr>
        <w:spacing w:line="480" w:lineRule="auto"/>
        <w:jc w:val="both"/>
        <w:rPr>
          <w:rFonts w:ascii="Arial" w:hAnsi="Arial" w:cs="Arial"/>
          <w:color w:val="000000" w:themeColor="text1"/>
          <w:lang w:val="en-US"/>
        </w:rPr>
      </w:pPr>
      <w:r w:rsidRPr="00430500">
        <w:rPr>
          <w:rFonts w:ascii="Arial" w:hAnsi="Arial" w:cs="Arial"/>
          <w:color w:val="000000" w:themeColor="text1"/>
          <w:lang w:val="en-US"/>
        </w:rPr>
        <w:t>and</w:t>
      </w:r>
    </w:p>
    <w:p w14:paraId="3BAA0DA0" w14:textId="77777777" w:rsidR="00F33BA3" w:rsidRPr="00430500" w:rsidRDefault="00F33BA3" w:rsidP="00430500">
      <w:pPr>
        <w:spacing w:line="480" w:lineRule="auto"/>
        <w:jc w:val="both"/>
        <w:rPr>
          <w:rFonts w:ascii="Arial" w:hAnsi="Arial" w:cs="Arial"/>
          <w:color w:val="000000" w:themeColor="text1"/>
          <w:lang w:val="en-US"/>
        </w:rPr>
      </w:pPr>
    </w:p>
    <w:p w14:paraId="05D995A9" w14:textId="77777777" w:rsidR="00F33BA3" w:rsidRPr="00430500" w:rsidRDefault="00F33BA3" w:rsidP="00430500">
      <w:pPr>
        <w:spacing w:line="480" w:lineRule="auto"/>
        <w:jc w:val="both"/>
        <w:rPr>
          <w:rFonts w:ascii="Arial" w:hAnsi="Arial" w:cs="Arial"/>
          <w:color w:val="000000" w:themeColor="text1"/>
          <w:lang w:val="en-US"/>
        </w:rPr>
      </w:pPr>
      <w:r w:rsidRPr="00430500">
        <w:rPr>
          <w:rFonts w:ascii="Arial" w:hAnsi="Arial" w:cs="Arial"/>
          <w:b/>
          <w:bCs/>
          <w:color w:val="000000" w:themeColor="text1"/>
          <w:lang w:val="en-US"/>
        </w:rPr>
        <w:t>YOUMESSI TRADING CC</w:t>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t xml:space="preserve"> FIRST RESPONDENT</w:t>
      </w:r>
      <w:r w:rsidRPr="00430500">
        <w:rPr>
          <w:rFonts w:ascii="Arial" w:hAnsi="Arial" w:cs="Arial"/>
          <w:color w:val="000000" w:themeColor="text1"/>
          <w:lang w:val="en-US"/>
        </w:rPr>
        <w:t xml:space="preserve"> </w:t>
      </w:r>
    </w:p>
    <w:p w14:paraId="074F3968" w14:textId="77777777" w:rsidR="00F33BA3" w:rsidRPr="00430500" w:rsidRDefault="00F33BA3" w:rsidP="00430500">
      <w:pPr>
        <w:spacing w:line="480" w:lineRule="auto"/>
        <w:jc w:val="both"/>
        <w:rPr>
          <w:rFonts w:ascii="Arial" w:hAnsi="Arial" w:cs="Arial"/>
          <w:color w:val="000000" w:themeColor="text1"/>
          <w:lang w:val="en-US"/>
        </w:rPr>
      </w:pPr>
    </w:p>
    <w:p w14:paraId="055A096D" w14:textId="77777777" w:rsidR="00F33BA3" w:rsidRPr="00430500" w:rsidRDefault="00F33BA3" w:rsidP="00430500">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AMOS YOUMESSI</w:t>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r>
      <w:r w:rsidRPr="00430500">
        <w:rPr>
          <w:rFonts w:ascii="Arial" w:hAnsi="Arial" w:cs="Arial"/>
          <w:b/>
          <w:bCs/>
          <w:color w:val="000000" w:themeColor="text1"/>
          <w:lang w:val="en-US"/>
        </w:rPr>
        <w:tab/>
        <w:t xml:space="preserve">       SECOND RESPONDENT</w:t>
      </w:r>
    </w:p>
    <w:p w14:paraId="6A284860" w14:textId="77777777" w:rsidR="00DC5DED" w:rsidRPr="00430500" w:rsidRDefault="00DC5DED" w:rsidP="0027736E">
      <w:pPr>
        <w:pBdr>
          <w:bottom w:val="single" w:sz="12" w:space="1" w:color="auto"/>
        </w:pBdr>
        <w:jc w:val="both"/>
        <w:rPr>
          <w:rFonts w:ascii="Arial" w:hAnsi="Arial" w:cs="Arial"/>
          <w:b/>
          <w:bCs/>
          <w:color w:val="000000" w:themeColor="text1"/>
          <w:lang w:val="en-US"/>
        </w:rPr>
      </w:pPr>
    </w:p>
    <w:p w14:paraId="266D8A68" w14:textId="77777777" w:rsidR="00DC5DED" w:rsidRPr="00430500" w:rsidRDefault="00DC5DED" w:rsidP="0027736E">
      <w:pPr>
        <w:jc w:val="both"/>
        <w:rPr>
          <w:rFonts w:ascii="Arial" w:hAnsi="Arial" w:cs="Arial"/>
          <w:b/>
          <w:bCs/>
          <w:color w:val="000000" w:themeColor="text1"/>
          <w:lang w:val="en-US"/>
        </w:rPr>
      </w:pPr>
    </w:p>
    <w:p w14:paraId="5363711A" w14:textId="77777777" w:rsidR="00DC5DED" w:rsidRPr="00430500" w:rsidRDefault="00DC5DED" w:rsidP="0027736E">
      <w:pPr>
        <w:jc w:val="center"/>
        <w:rPr>
          <w:rFonts w:ascii="Arial" w:hAnsi="Arial" w:cs="Arial"/>
          <w:b/>
          <w:bCs/>
          <w:color w:val="000000" w:themeColor="text1"/>
          <w:lang w:val="en-US"/>
        </w:rPr>
      </w:pPr>
      <w:r w:rsidRPr="00430500">
        <w:rPr>
          <w:rFonts w:ascii="Arial" w:hAnsi="Arial" w:cs="Arial"/>
          <w:b/>
          <w:bCs/>
          <w:color w:val="000000" w:themeColor="text1"/>
          <w:lang w:val="en-US"/>
        </w:rPr>
        <w:t>JUDGMENT</w:t>
      </w:r>
    </w:p>
    <w:p w14:paraId="28F6CA90" w14:textId="77777777" w:rsidR="00DC5DED" w:rsidRPr="00430500" w:rsidRDefault="00DC5DED" w:rsidP="0027736E">
      <w:pPr>
        <w:pBdr>
          <w:bottom w:val="single" w:sz="12" w:space="1" w:color="auto"/>
        </w:pBdr>
        <w:jc w:val="both"/>
        <w:rPr>
          <w:rFonts w:ascii="Arial" w:hAnsi="Arial" w:cs="Arial"/>
          <w:b/>
          <w:bCs/>
          <w:color w:val="000000" w:themeColor="text1"/>
          <w:lang w:val="en-US"/>
        </w:rPr>
      </w:pPr>
    </w:p>
    <w:p w14:paraId="1EC5C12B" w14:textId="77777777" w:rsidR="00DC5DED" w:rsidRPr="00430500" w:rsidRDefault="00DC5DED" w:rsidP="00430500">
      <w:pPr>
        <w:spacing w:line="480" w:lineRule="auto"/>
        <w:jc w:val="both"/>
        <w:rPr>
          <w:rFonts w:ascii="Arial" w:hAnsi="Arial" w:cs="Arial"/>
          <w:b/>
          <w:bCs/>
          <w:color w:val="000000" w:themeColor="text1"/>
          <w:lang w:val="en-US"/>
        </w:rPr>
      </w:pPr>
    </w:p>
    <w:p w14:paraId="239053B5" w14:textId="77777777" w:rsidR="00DC5DED" w:rsidRPr="00430500" w:rsidRDefault="00DC5DED" w:rsidP="0027736E">
      <w:pPr>
        <w:spacing w:line="480" w:lineRule="auto"/>
        <w:jc w:val="both"/>
        <w:rPr>
          <w:rFonts w:ascii="Arial" w:hAnsi="Arial" w:cs="Arial"/>
          <w:b/>
          <w:bCs/>
          <w:color w:val="000000" w:themeColor="text1"/>
          <w:u w:val="single"/>
          <w:lang w:val="en-US"/>
        </w:rPr>
      </w:pPr>
      <w:r w:rsidRPr="00430500">
        <w:rPr>
          <w:rFonts w:ascii="Arial" w:hAnsi="Arial" w:cs="Arial"/>
          <w:b/>
          <w:bCs/>
          <w:color w:val="000000" w:themeColor="text1"/>
          <w:u w:val="single"/>
          <w:lang w:val="en-US"/>
        </w:rPr>
        <w:t>MOLONY AJ:</w:t>
      </w:r>
    </w:p>
    <w:p w14:paraId="72E80C5C" w14:textId="77777777" w:rsidR="00DC5DED" w:rsidRPr="00430500" w:rsidRDefault="00DC5DED" w:rsidP="0027736E">
      <w:pPr>
        <w:spacing w:line="480" w:lineRule="auto"/>
        <w:jc w:val="both"/>
        <w:rPr>
          <w:rFonts w:ascii="Arial" w:hAnsi="Arial" w:cs="Arial"/>
          <w:b/>
          <w:bCs/>
          <w:color w:val="000000" w:themeColor="text1"/>
          <w:u w:val="single"/>
          <w:lang w:val="en-US"/>
        </w:rPr>
      </w:pPr>
    </w:p>
    <w:p w14:paraId="4B2F1BCF" w14:textId="77777777" w:rsidR="00DC5DED" w:rsidRPr="00430500" w:rsidRDefault="00DC5DED" w:rsidP="0027736E">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Introduction</w:t>
      </w:r>
      <w:r w:rsidR="00551976" w:rsidRPr="00430500">
        <w:rPr>
          <w:rFonts w:ascii="Arial" w:hAnsi="Arial" w:cs="Arial"/>
          <w:b/>
          <w:bCs/>
          <w:color w:val="000000" w:themeColor="text1"/>
          <w:lang w:val="en-US"/>
        </w:rPr>
        <w:t xml:space="preserve"> </w:t>
      </w:r>
    </w:p>
    <w:p w14:paraId="694AADBD" w14:textId="77777777" w:rsidR="00DC5DED" w:rsidRPr="00430500" w:rsidRDefault="00DC5DED" w:rsidP="0027736E">
      <w:pPr>
        <w:spacing w:line="480" w:lineRule="auto"/>
        <w:jc w:val="both"/>
        <w:rPr>
          <w:rFonts w:ascii="Arial" w:hAnsi="Arial" w:cs="Arial"/>
          <w:b/>
          <w:bCs/>
          <w:color w:val="000000" w:themeColor="text1"/>
          <w:lang w:val="en-US"/>
        </w:rPr>
      </w:pPr>
    </w:p>
    <w:p w14:paraId="70F807D2" w14:textId="14DE77B5" w:rsidR="00CF4260"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[1]</w:t>
      </w:r>
      <w:r w:rsidRPr="00430500">
        <w:rPr>
          <w:rFonts w:ascii="Arial" w:hAnsi="Arial" w:cs="Arial"/>
          <w:color w:val="000000" w:themeColor="text1"/>
          <w:lang w:val="en-US"/>
        </w:rPr>
        <w:tab/>
      </w:r>
      <w:r w:rsidR="00CF4260" w:rsidRPr="00B77A2B">
        <w:rPr>
          <w:rFonts w:ascii="Arial" w:hAnsi="Arial" w:cs="Arial"/>
          <w:color w:val="000000" w:themeColor="text1"/>
          <w:lang w:val="en-US"/>
        </w:rPr>
        <w:t>The applicant launched this application on 9 June 2021, seeking an order in the following terms:</w:t>
      </w:r>
    </w:p>
    <w:p w14:paraId="7650ED29" w14:textId="77777777" w:rsidR="00CF4260" w:rsidRPr="00430500" w:rsidRDefault="00CF4260" w:rsidP="0027736E">
      <w:pPr>
        <w:pStyle w:val="ListParagraph"/>
        <w:spacing w:line="480" w:lineRule="auto"/>
        <w:ind w:hanging="720"/>
        <w:jc w:val="both"/>
        <w:rPr>
          <w:rFonts w:ascii="Arial" w:hAnsi="Arial" w:cs="Arial"/>
          <w:color w:val="000000" w:themeColor="text1"/>
          <w:lang w:val="en-US"/>
        </w:rPr>
      </w:pPr>
    </w:p>
    <w:p w14:paraId="19A73110" w14:textId="4DCA28B5" w:rsidR="00CF426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lastRenderedPageBreak/>
        <w:t>(a)</w:t>
      </w:r>
      <w:r>
        <w:rPr>
          <w:rFonts w:ascii="Arial" w:hAnsi="Arial" w:cs="Arial"/>
          <w:color w:val="000000" w:themeColor="text1"/>
          <w:lang w:val="en-US"/>
        </w:rPr>
        <w:tab/>
      </w:r>
      <w:r w:rsidR="00CF4260" w:rsidRPr="00B77A2B">
        <w:rPr>
          <w:rFonts w:ascii="Arial" w:hAnsi="Arial" w:cs="Arial"/>
          <w:color w:val="000000" w:themeColor="text1"/>
          <w:lang w:val="en-US"/>
        </w:rPr>
        <w:t xml:space="preserve">That the </w:t>
      </w:r>
      <w:r w:rsidR="00430500" w:rsidRPr="00B77A2B">
        <w:rPr>
          <w:rFonts w:ascii="Arial" w:hAnsi="Arial" w:cs="Arial"/>
          <w:color w:val="000000" w:themeColor="text1"/>
          <w:lang w:val="en-US"/>
        </w:rPr>
        <w:t>business</w:t>
      </w:r>
      <w:r w:rsidR="00CF4260" w:rsidRPr="00B77A2B">
        <w:rPr>
          <w:rFonts w:ascii="Arial" w:hAnsi="Arial" w:cs="Arial"/>
          <w:color w:val="000000" w:themeColor="text1"/>
          <w:lang w:val="en-US"/>
        </w:rPr>
        <w:t xml:space="preserve"> of the corporation (the first respondent) was carried on recklessly or for fraudulent purposes, or with the intent to defraud the applicant who is a judgment creditor of the first respondent.</w:t>
      </w:r>
    </w:p>
    <w:p w14:paraId="3E11ED55" w14:textId="77777777" w:rsidR="00430500" w:rsidRPr="00430500" w:rsidRDefault="00430500" w:rsidP="0027736E">
      <w:pPr>
        <w:pStyle w:val="ListParagraph"/>
        <w:spacing w:line="480" w:lineRule="auto"/>
        <w:ind w:left="1418" w:hanging="720"/>
        <w:jc w:val="both"/>
        <w:rPr>
          <w:rFonts w:ascii="Arial" w:hAnsi="Arial" w:cs="Arial"/>
          <w:color w:val="000000" w:themeColor="text1"/>
          <w:lang w:val="en-US"/>
        </w:rPr>
      </w:pPr>
    </w:p>
    <w:p w14:paraId="50CAAA66" w14:textId="6B3BE3E5" w:rsidR="00CF426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(b)</w:t>
      </w:r>
      <w:r>
        <w:rPr>
          <w:rFonts w:ascii="Arial" w:hAnsi="Arial" w:cs="Arial"/>
          <w:color w:val="000000" w:themeColor="text1"/>
          <w:lang w:val="en-US"/>
        </w:rPr>
        <w:tab/>
      </w:r>
      <w:r w:rsidR="00CF4260" w:rsidRPr="00B77A2B">
        <w:rPr>
          <w:rFonts w:ascii="Arial" w:hAnsi="Arial" w:cs="Arial"/>
          <w:color w:val="000000" w:themeColor="text1"/>
          <w:lang w:val="en-US"/>
        </w:rPr>
        <w:t xml:space="preserve">In the </w:t>
      </w:r>
      <w:r w:rsidR="00430500" w:rsidRPr="00B77A2B">
        <w:rPr>
          <w:rFonts w:ascii="Arial" w:hAnsi="Arial" w:cs="Arial"/>
          <w:color w:val="000000" w:themeColor="text1"/>
          <w:lang w:val="en-US"/>
        </w:rPr>
        <w:t>alternative</w:t>
      </w:r>
      <w:r w:rsidR="00CF4260" w:rsidRPr="00B77A2B">
        <w:rPr>
          <w:rFonts w:ascii="Arial" w:hAnsi="Arial" w:cs="Arial"/>
          <w:color w:val="000000" w:themeColor="text1"/>
          <w:lang w:val="en-US"/>
        </w:rPr>
        <w:t>, that the incorporation and use of the first respondent by the second respondent constituted a gross abuse of the juristic personality of the first respondent as a separate entity.</w:t>
      </w:r>
    </w:p>
    <w:p w14:paraId="09F7E0B4" w14:textId="77777777" w:rsidR="00430500" w:rsidRPr="00430500" w:rsidRDefault="00430500" w:rsidP="0027736E">
      <w:pPr>
        <w:spacing w:line="480" w:lineRule="auto"/>
        <w:ind w:left="1418" w:hanging="720"/>
        <w:jc w:val="both"/>
        <w:rPr>
          <w:rFonts w:ascii="Arial" w:hAnsi="Arial" w:cs="Arial"/>
          <w:color w:val="000000" w:themeColor="text1"/>
          <w:lang w:val="en-US"/>
        </w:rPr>
      </w:pPr>
    </w:p>
    <w:p w14:paraId="0573FE1C" w14:textId="0E878DC6" w:rsidR="00CF426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(c)</w:t>
      </w:r>
      <w:r>
        <w:rPr>
          <w:rFonts w:ascii="Arial" w:hAnsi="Arial" w:cs="Arial"/>
          <w:color w:val="000000" w:themeColor="text1"/>
          <w:lang w:val="en-US"/>
        </w:rPr>
        <w:tab/>
      </w:r>
      <w:r w:rsidR="00CF4260" w:rsidRPr="00B77A2B">
        <w:rPr>
          <w:rFonts w:ascii="Arial" w:hAnsi="Arial" w:cs="Arial"/>
          <w:color w:val="000000" w:themeColor="text1"/>
          <w:lang w:val="en-US"/>
        </w:rPr>
        <w:t xml:space="preserve">That the second respondent be held personally liable, </w:t>
      </w:r>
      <w:proofErr w:type="gramStart"/>
      <w:r w:rsidR="00CF4260" w:rsidRPr="00B77A2B">
        <w:rPr>
          <w:rFonts w:ascii="Arial" w:hAnsi="Arial" w:cs="Arial"/>
          <w:color w:val="000000" w:themeColor="text1"/>
          <w:lang w:val="en-US"/>
        </w:rPr>
        <w:t>jointly</w:t>
      </w:r>
      <w:proofErr w:type="gramEnd"/>
      <w:r w:rsidR="00CF4260" w:rsidRPr="00B77A2B">
        <w:rPr>
          <w:rFonts w:ascii="Arial" w:hAnsi="Arial" w:cs="Arial"/>
          <w:color w:val="000000" w:themeColor="text1"/>
          <w:lang w:val="en-US"/>
        </w:rPr>
        <w:t xml:space="preserve"> and severally with the first respondent, for the debt incurred by the first respondent in terms of section 65, read with section 64(1) of the Close Corporation</w:t>
      </w:r>
      <w:r w:rsidR="00DA1EAC" w:rsidRPr="00B77A2B">
        <w:rPr>
          <w:rFonts w:ascii="Arial" w:hAnsi="Arial" w:cs="Arial"/>
          <w:color w:val="000000" w:themeColor="text1"/>
          <w:lang w:val="en-US"/>
        </w:rPr>
        <w:t>s</w:t>
      </w:r>
      <w:r w:rsidR="00CF4260" w:rsidRPr="00B77A2B">
        <w:rPr>
          <w:rFonts w:ascii="Arial" w:hAnsi="Arial" w:cs="Arial"/>
          <w:color w:val="000000" w:themeColor="text1"/>
          <w:lang w:val="en-US"/>
        </w:rPr>
        <w:t xml:space="preserve"> Act 69 of 1984</w:t>
      </w:r>
      <w:r w:rsidR="00DA1EAC" w:rsidRPr="00B77A2B">
        <w:rPr>
          <w:rFonts w:ascii="Arial" w:hAnsi="Arial" w:cs="Arial"/>
          <w:color w:val="000000" w:themeColor="text1"/>
          <w:lang w:val="en-US"/>
        </w:rPr>
        <w:t xml:space="preserve"> (’the Close Corporations Act’)</w:t>
      </w:r>
      <w:r w:rsidR="00CF4260" w:rsidRPr="00B77A2B">
        <w:rPr>
          <w:rFonts w:ascii="Arial" w:hAnsi="Arial" w:cs="Arial"/>
          <w:color w:val="000000" w:themeColor="text1"/>
          <w:lang w:val="en-US"/>
        </w:rPr>
        <w:t>, alternatively in terms of the common law.</w:t>
      </w:r>
    </w:p>
    <w:p w14:paraId="4DE82BCC" w14:textId="77777777" w:rsidR="00430500" w:rsidRPr="00430500" w:rsidRDefault="00430500" w:rsidP="0027736E">
      <w:pPr>
        <w:spacing w:line="480" w:lineRule="auto"/>
        <w:ind w:left="1418" w:hanging="720"/>
        <w:jc w:val="both"/>
        <w:rPr>
          <w:rFonts w:ascii="Arial" w:hAnsi="Arial" w:cs="Arial"/>
          <w:color w:val="000000" w:themeColor="text1"/>
          <w:lang w:val="en-US"/>
        </w:rPr>
      </w:pPr>
    </w:p>
    <w:p w14:paraId="5EE510B7" w14:textId="13B7C73B" w:rsidR="00CF426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(d)</w:t>
      </w:r>
      <w:r>
        <w:rPr>
          <w:rFonts w:ascii="Arial" w:hAnsi="Arial" w:cs="Arial"/>
          <w:color w:val="000000" w:themeColor="text1"/>
          <w:lang w:val="en-US"/>
        </w:rPr>
        <w:tab/>
      </w:r>
      <w:r w:rsidR="00CF4260" w:rsidRPr="00B77A2B">
        <w:rPr>
          <w:rFonts w:ascii="Arial" w:hAnsi="Arial" w:cs="Arial"/>
          <w:color w:val="000000" w:themeColor="text1"/>
          <w:lang w:val="en-US"/>
        </w:rPr>
        <w:t xml:space="preserve">That the respondents pay the costs of </w:t>
      </w:r>
      <w:r w:rsidR="00430500" w:rsidRPr="00B77A2B">
        <w:rPr>
          <w:rFonts w:ascii="Arial" w:hAnsi="Arial" w:cs="Arial"/>
          <w:color w:val="000000" w:themeColor="text1"/>
          <w:lang w:val="en-US"/>
        </w:rPr>
        <w:t>this</w:t>
      </w:r>
      <w:r w:rsidR="00CF4260" w:rsidRPr="00B77A2B">
        <w:rPr>
          <w:rFonts w:ascii="Arial" w:hAnsi="Arial" w:cs="Arial"/>
          <w:color w:val="000000" w:themeColor="text1"/>
          <w:lang w:val="en-US"/>
        </w:rPr>
        <w:t xml:space="preserve"> application on a punitive scale, including the cost of two counsel.</w:t>
      </w:r>
    </w:p>
    <w:p w14:paraId="14BF33FE" w14:textId="77777777" w:rsidR="00430500" w:rsidRPr="00430500" w:rsidRDefault="00430500" w:rsidP="0027736E">
      <w:pPr>
        <w:spacing w:line="480" w:lineRule="auto"/>
        <w:ind w:hanging="720"/>
        <w:jc w:val="both"/>
        <w:rPr>
          <w:rFonts w:ascii="Arial" w:hAnsi="Arial" w:cs="Arial"/>
          <w:color w:val="000000" w:themeColor="text1"/>
          <w:lang w:val="en-US"/>
        </w:rPr>
      </w:pPr>
    </w:p>
    <w:p w14:paraId="063A6640" w14:textId="3774D490" w:rsidR="00145C47"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[2]</w:t>
      </w:r>
      <w:r>
        <w:rPr>
          <w:rFonts w:ascii="Arial" w:hAnsi="Arial" w:cs="Arial"/>
          <w:color w:val="000000" w:themeColor="text1"/>
          <w:lang w:val="en-US"/>
        </w:rPr>
        <w:tab/>
      </w:r>
      <w:r w:rsidR="00145C47" w:rsidRPr="00B77A2B">
        <w:rPr>
          <w:rFonts w:ascii="Arial" w:hAnsi="Arial" w:cs="Arial"/>
          <w:color w:val="000000" w:themeColor="text1"/>
          <w:lang w:val="en-US"/>
        </w:rPr>
        <w:t>The applicant, on 19 September 2022, launched an interlocutory application requesting leave to file the return of service for the second respondent (dated 17 June 2021)</w:t>
      </w:r>
      <w:r w:rsidR="00430500" w:rsidRPr="00B77A2B">
        <w:rPr>
          <w:rFonts w:ascii="Arial" w:hAnsi="Arial" w:cs="Arial"/>
          <w:color w:val="000000" w:themeColor="text1"/>
          <w:lang w:val="en-US"/>
        </w:rPr>
        <w:t>,</w:t>
      </w:r>
      <w:r w:rsidR="00145C47" w:rsidRPr="00B77A2B">
        <w:rPr>
          <w:rFonts w:ascii="Arial" w:hAnsi="Arial" w:cs="Arial"/>
          <w:color w:val="000000" w:themeColor="text1"/>
          <w:lang w:val="en-US"/>
        </w:rPr>
        <w:t xml:space="preserve"> and to be permitted to pursue the relief sought in the main application.  Costs were only requested in the event of opposition.</w:t>
      </w:r>
    </w:p>
    <w:p w14:paraId="097169F7" w14:textId="77777777" w:rsidR="00430500" w:rsidRPr="00430500" w:rsidRDefault="00430500" w:rsidP="0027736E">
      <w:pPr>
        <w:spacing w:line="480" w:lineRule="auto"/>
        <w:ind w:hanging="720"/>
        <w:jc w:val="both"/>
        <w:rPr>
          <w:rFonts w:ascii="Arial" w:hAnsi="Arial" w:cs="Arial"/>
          <w:color w:val="000000" w:themeColor="text1"/>
          <w:lang w:val="en-US"/>
        </w:rPr>
      </w:pPr>
    </w:p>
    <w:p w14:paraId="5EFACB7F" w14:textId="1B91D25E" w:rsidR="00145C47"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[3]</w:t>
      </w:r>
      <w:r>
        <w:rPr>
          <w:rFonts w:ascii="Arial" w:hAnsi="Arial" w:cs="Arial"/>
          <w:color w:val="000000" w:themeColor="text1"/>
          <w:lang w:val="en-US"/>
        </w:rPr>
        <w:tab/>
      </w:r>
      <w:r w:rsidR="00A104BD" w:rsidRPr="00B77A2B">
        <w:rPr>
          <w:rFonts w:ascii="Arial" w:hAnsi="Arial" w:cs="Arial"/>
          <w:color w:val="000000" w:themeColor="text1"/>
          <w:lang w:val="en-US"/>
        </w:rPr>
        <w:t xml:space="preserve">It appears that the main application was on the opposed motion court roll on 24 February 2022, but was removed from the roll (by </w:t>
      </w:r>
      <w:proofErr w:type="spellStart"/>
      <w:r w:rsidR="00A104BD" w:rsidRPr="00B77A2B">
        <w:rPr>
          <w:rFonts w:ascii="Arial" w:hAnsi="Arial" w:cs="Arial"/>
          <w:color w:val="000000" w:themeColor="text1"/>
          <w:lang w:val="en-US"/>
        </w:rPr>
        <w:t>Matebese</w:t>
      </w:r>
      <w:proofErr w:type="spellEnd"/>
      <w:r w:rsidR="00A104BD" w:rsidRPr="00B77A2B">
        <w:rPr>
          <w:rFonts w:ascii="Arial" w:hAnsi="Arial" w:cs="Arial"/>
          <w:color w:val="000000" w:themeColor="text1"/>
          <w:lang w:val="en-US"/>
        </w:rPr>
        <w:t xml:space="preserve"> AJ) with the applicant to pay the costs of the day.  </w:t>
      </w:r>
    </w:p>
    <w:p w14:paraId="565DABC4" w14:textId="77777777" w:rsidR="00430500" w:rsidRPr="00430500" w:rsidRDefault="00430500" w:rsidP="0027736E">
      <w:pPr>
        <w:spacing w:line="480" w:lineRule="auto"/>
        <w:ind w:hanging="720"/>
        <w:jc w:val="both"/>
        <w:rPr>
          <w:rFonts w:ascii="Arial" w:hAnsi="Arial" w:cs="Arial"/>
          <w:color w:val="000000" w:themeColor="text1"/>
          <w:lang w:val="en-US"/>
        </w:rPr>
      </w:pPr>
    </w:p>
    <w:p w14:paraId="629355DE" w14:textId="67016AD9" w:rsidR="00145C47"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[4]</w:t>
      </w:r>
      <w:r w:rsidRPr="00430500">
        <w:rPr>
          <w:rFonts w:ascii="Arial" w:hAnsi="Arial" w:cs="Arial"/>
          <w:color w:val="000000" w:themeColor="text1"/>
          <w:lang w:val="en-US"/>
        </w:rPr>
        <w:tab/>
      </w:r>
      <w:r w:rsidR="00430500" w:rsidRPr="00B77A2B">
        <w:rPr>
          <w:rFonts w:ascii="Arial" w:hAnsi="Arial" w:cs="Arial"/>
          <w:color w:val="000000" w:themeColor="text1"/>
          <w:lang w:val="en-US"/>
        </w:rPr>
        <w:t>A</w:t>
      </w:r>
      <w:r w:rsidR="00A104BD" w:rsidRPr="00B77A2B">
        <w:rPr>
          <w:rFonts w:ascii="Arial" w:hAnsi="Arial" w:cs="Arial"/>
          <w:color w:val="000000" w:themeColor="text1"/>
          <w:lang w:val="en-US"/>
        </w:rPr>
        <w:t xml:space="preserve"> request for reasons for the above-</w:t>
      </w:r>
      <w:r w:rsidR="00430500" w:rsidRPr="00B77A2B">
        <w:rPr>
          <w:rFonts w:ascii="Arial" w:hAnsi="Arial" w:cs="Arial"/>
          <w:color w:val="000000" w:themeColor="text1"/>
          <w:lang w:val="en-US"/>
        </w:rPr>
        <w:t>mentioned</w:t>
      </w:r>
      <w:r w:rsidR="00A104BD" w:rsidRPr="00B77A2B">
        <w:rPr>
          <w:rFonts w:ascii="Arial" w:hAnsi="Arial" w:cs="Arial"/>
          <w:color w:val="000000" w:themeColor="text1"/>
          <w:lang w:val="en-US"/>
        </w:rPr>
        <w:t xml:space="preserve"> order was sought on 11 March 2022.  The reasons provided by </w:t>
      </w:r>
      <w:proofErr w:type="spellStart"/>
      <w:r w:rsidR="00A104BD" w:rsidRPr="00B77A2B">
        <w:rPr>
          <w:rFonts w:ascii="Arial" w:hAnsi="Arial" w:cs="Arial"/>
          <w:color w:val="000000" w:themeColor="text1"/>
          <w:lang w:val="en-US"/>
        </w:rPr>
        <w:t>Matebese</w:t>
      </w:r>
      <w:proofErr w:type="spellEnd"/>
      <w:r w:rsidR="00A104BD" w:rsidRPr="00B77A2B">
        <w:rPr>
          <w:rFonts w:ascii="Arial" w:hAnsi="Arial" w:cs="Arial"/>
          <w:color w:val="000000" w:themeColor="text1"/>
          <w:lang w:val="en-US"/>
        </w:rPr>
        <w:t xml:space="preserve"> AJ were, in essence, the following:</w:t>
      </w:r>
    </w:p>
    <w:p w14:paraId="4952136B" w14:textId="77777777" w:rsidR="00A104BD" w:rsidRPr="00430500" w:rsidRDefault="00A104BD" w:rsidP="0027736E">
      <w:pPr>
        <w:pStyle w:val="ListParagraph"/>
        <w:spacing w:line="480" w:lineRule="auto"/>
        <w:ind w:hanging="720"/>
        <w:jc w:val="both"/>
        <w:rPr>
          <w:rFonts w:ascii="Arial" w:hAnsi="Arial" w:cs="Arial"/>
          <w:color w:val="000000" w:themeColor="text1"/>
          <w:lang w:val="en-US"/>
        </w:rPr>
      </w:pPr>
    </w:p>
    <w:p w14:paraId="6CBFCDAE" w14:textId="470EAFDD" w:rsidR="00A104BD"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(a)</w:t>
      </w:r>
      <w:r>
        <w:rPr>
          <w:rFonts w:ascii="Arial" w:hAnsi="Arial" w:cs="Arial"/>
          <w:color w:val="000000" w:themeColor="text1"/>
          <w:lang w:val="en-US"/>
        </w:rPr>
        <w:tab/>
      </w:r>
      <w:r w:rsidR="00A104BD" w:rsidRPr="00B77A2B">
        <w:rPr>
          <w:rFonts w:ascii="Arial" w:hAnsi="Arial" w:cs="Arial"/>
          <w:color w:val="000000" w:themeColor="text1"/>
          <w:lang w:val="en-US"/>
        </w:rPr>
        <w:t xml:space="preserve">The respondents had raised the issue of improper service of the application papers in their opposing papers.  </w:t>
      </w:r>
    </w:p>
    <w:p w14:paraId="154275F0" w14:textId="77777777" w:rsidR="00430500" w:rsidRPr="00430500" w:rsidRDefault="00430500" w:rsidP="0027736E">
      <w:pPr>
        <w:pStyle w:val="ListParagraph"/>
        <w:spacing w:line="480" w:lineRule="auto"/>
        <w:ind w:left="1418" w:hanging="720"/>
        <w:jc w:val="both"/>
        <w:rPr>
          <w:rFonts w:ascii="Arial" w:hAnsi="Arial" w:cs="Arial"/>
          <w:color w:val="000000" w:themeColor="text1"/>
          <w:lang w:val="en-US"/>
        </w:rPr>
      </w:pPr>
    </w:p>
    <w:p w14:paraId="31B3370E" w14:textId="4F60FA80" w:rsidR="00A104BD"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(b)</w:t>
      </w:r>
      <w:r>
        <w:rPr>
          <w:rFonts w:ascii="Arial" w:hAnsi="Arial" w:cs="Arial"/>
          <w:color w:val="000000" w:themeColor="text1"/>
          <w:lang w:val="en-US"/>
        </w:rPr>
        <w:tab/>
      </w:r>
      <w:r w:rsidR="00A104BD" w:rsidRPr="00B77A2B">
        <w:rPr>
          <w:rFonts w:ascii="Arial" w:hAnsi="Arial" w:cs="Arial"/>
          <w:color w:val="000000" w:themeColor="text1"/>
          <w:lang w:val="en-US"/>
        </w:rPr>
        <w:t>Counsel for the applicant then sought to introduce a return of service from the bar.  When asked why the return ha</w:t>
      </w:r>
      <w:r w:rsidR="00430500" w:rsidRPr="00B77A2B">
        <w:rPr>
          <w:rFonts w:ascii="Arial" w:hAnsi="Arial" w:cs="Arial"/>
          <w:color w:val="000000" w:themeColor="text1"/>
          <w:lang w:val="en-US"/>
        </w:rPr>
        <w:t>d</w:t>
      </w:r>
      <w:r w:rsidR="00A104BD" w:rsidRPr="00B77A2B">
        <w:rPr>
          <w:rFonts w:ascii="Arial" w:hAnsi="Arial" w:cs="Arial"/>
          <w:color w:val="000000" w:themeColor="text1"/>
          <w:lang w:val="en-US"/>
        </w:rPr>
        <w:t xml:space="preserve"> not been properly and timeously filed, the view taken by counsel was that there was nothing improper with the </w:t>
      </w:r>
      <w:proofErr w:type="gramStart"/>
      <w:r w:rsidR="00A104BD" w:rsidRPr="00B77A2B">
        <w:rPr>
          <w:rFonts w:ascii="Arial" w:hAnsi="Arial" w:cs="Arial"/>
          <w:color w:val="000000" w:themeColor="text1"/>
          <w:lang w:val="en-US"/>
        </w:rPr>
        <w:t>manner in which</w:t>
      </w:r>
      <w:proofErr w:type="gramEnd"/>
      <w:r w:rsidR="00A104BD" w:rsidRPr="00B77A2B">
        <w:rPr>
          <w:rFonts w:ascii="Arial" w:hAnsi="Arial" w:cs="Arial"/>
          <w:color w:val="000000" w:themeColor="text1"/>
          <w:lang w:val="en-US"/>
        </w:rPr>
        <w:t xml:space="preserve"> he sought to file the return of service.  </w:t>
      </w:r>
    </w:p>
    <w:p w14:paraId="4353D6C6" w14:textId="77777777" w:rsidR="00430500" w:rsidRPr="00430500" w:rsidRDefault="00430500" w:rsidP="0027736E">
      <w:pPr>
        <w:spacing w:line="480" w:lineRule="auto"/>
        <w:ind w:left="1418" w:hanging="720"/>
        <w:jc w:val="both"/>
        <w:rPr>
          <w:rFonts w:ascii="Arial" w:hAnsi="Arial" w:cs="Arial"/>
          <w:color w:val="000000" w:themeColor="text1"/>
          <w:lang w:val="en-US"/>
        </w:rPr>
      </w:pPr>
    </w:p>
    <w:p w14:paraId="026336BC" w14:textId="66938F58" w:rsidR="00A104BD"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(c)</w:t>
      </w:r>
      <w:r>
        <w:rPr>
          <w:rFonts w:ascii="Arial" w:hAnsi="Arial" w:cs="Arial"/>
          <w:color w:val="000000" w:themeColor="text1"/>
          <w:lang w:val="en-US"/>
        </w:rPr>
        <w:tab/>
      </w:r>
      <w:r w:rsidR="00A104BD" w:rsidRPr="00B77A2B">
        <w:rPr>
          <w:rFonts w:ascii="Arial" w:hAnsi="Arial" w:cs="Arial"/>
          <w:color w:val="000000" w:themeColor="text1"/>
          <w:lang w:val="en-US"/>
        </w:rPr>
        <w:t>In opposed motion court matters, the court must be provided with all papers timeously, especially in relation to contentious issues, in order properly to prepare.</w:t>
      </w:r>
    </w:p>
    <w:p w14:paraId="333784BE" w14:textId="77777777" w:rsidR="00430500" w:rsidRPr="00430500" w:rsidRDefault="00430500" w:rsidP="0027736E">
      <w:pPr>
        <w:spacing w:line="480" w:lineRule="auto"/>
        <w:ind w:hanging="720"/>
        <w:jc w:val="both"/>
        <w:rPr>
          <w:rFonts w:ascii="Arial" w:hAnsi="Arial" w:cs="Arial"/>
          <w:color w:val="000000" w:themeColor="text1"/>
          <w:lang w:val="en-US"/>
        </w:rPr>
      </w:pPr>
    </w:p>
    <w:p w14:paraId="73EC3A93" w14:textId="4A154AFC" w:rsidR="00A104BD"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[5]</w:t>
      </w:r>
      <w:r>
        <w:rPr>
          <w:rFonts w:ascii="Arial" w:hAnsi="Arial" w:cs="Arial"/>
          <w:color w:val="000000" w:themeColor="text1"/>
          <w:lang w:val="en-US"/>
        </w:rPr>
        <w:tab/>
      </w:r>
      <w:r w:rsidR="00A104BD" w:rsidRPr="00B77A2B">
        <w:rPr>
          <w:rFonts w:ascii="Arial" w:hAnsi="Arial" w:cs="Arial"/>
          <w:color w:val="000000" w:themeColor="text1"/>
          <w:lang w:val="en-US"/>
        </w:rPr>
        <w:t xml:space="preserve">For the above reason, the </w:t>
      </w:r>
      <w:r w:rsidR="00430500" w:rsidRPr="00B77A2B">
        <w:rPr>
          <w:rFonts w:ascii="Arial" w:hAnsi="Arial" w:cs="Arial"/>
          <w:color w:val="000000" w:themeColor="text1"/>
          <w:lang w:val="en-US"/>
        </w:rPr>
        <w:t>interlocutory</w:t>
      </w:r>
      <w:r w:rsidR="00A104BD" w:rsidRPr="00B77A2B">
        <w:rPr>
          <w:rFonts w:ascii="Arial" w:hAnsi="Arial" w:cs="Arial"/>
          <w:color w:val="000000" w:themeColor="text1"/>
          <w:lang w:val="en-US"/>
        </w:rPr>
        <w:t xml:space="preserve"> application was necessary.</w:t>
      </w:r>
    </w:p>
    <w:p w14:paraId="48900A2B" w14:textId="77777777" w:rsidR="00430500" w:rsidRPr="00430500" w:rsidRDefault="00430500" w:rsidP="0027736E">
      <w:pPr>
        <w:spacing w:line="480" w:lineRule="auto"/>
        <w:ind w:hanging="720"/>
        <w:jc w:val="both"/>
        <w:rPr>
          <w:rFonts w:ascii="Arial" w:hAnsi="Arial" w:cs="Arial"/>
          <w:color w:val="000000" w:themeColor="text1"/>
          <w:lang w:val="en-US"/>
        </w:rPr>
      </w:pPr>
    </w:p>
    <w:p w14:paraId="58E2FBB2" w14:textId="7D1646DB" w:rsidR="00A104BD"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[6]</w:t>
      </w:r>
      <w:r w:rsidRPr="00430500">
        <w:rPr>
          <w:rFonts w:ascii="Arial" w:hAnsi="Arial" w:cs="Arial"/>
          <w:color w:val="000000" w:themeColor="text1"/>
          <w:lang w:val="en-US"/>
        </w:rPr>
        <w:tab/>
      </w:r>
      <w:r w:rsidR="00A104BD" w:rsidRPr="00B77A2B">
        <w:rPr>
          <w:rFonts w:ascii="Arial" w:hAnsi="Arial" w:cs="Arial"/>
          <w:color w:val="000000" w:themeColor="text1"/>
          <w:lang w:val="en-US"/>
        </w:rPr>
        <w:t xml:space="preserve">The respondents </w:t>
      </w:r>
      <w:r w:rsidR="00786A32" w:rsidRPr="00B77A2B">
        <w:rPr>
          <w:rFonts w:ascii="Arial" w:hAnsi="Arial" w:cs="Arial"/>
          <w:color w:val="000000" w:themeColor="text1"/>
          <w:lang w:val="en-US"/>
        </w:rPr>
        <w:t xml:space="preserve">(aside from taking issue in their heads of argument in the main application) </w:t>
      </w:r>
      <w:r w:rsidR="00A104BD" w:rsidRPr="00B77A2B">
        <w:rPr>
          <w:rFonts w:ascii="Arial" w:hAnsi="Arial" w:cs="Arial"/>
          <w:color w:val="000000" w:themeColor="text1"/>
          <w:lang w:val="en-US"/>
        </w:rPr>
        <w:t xml:space="preserve">did not </w:t>
      </w:r>
      <w:r w:rsidR="00405B6A" w:rsidRPr="00B77A2B">
        <w:rPr>
          <w:rFonts w:ascii="Arial" w:hAnsi="Arial" w:cs="Arial"/>
          <w:color w:val="000000" w:themeColor="text1"/>
          <w:lang w:val="en-US"/>
        </w:rPr>
        <w:t xml:space="preserve">formally </w:t>
      </w:r>
      <w:r w:rsidR="00A104BD" w:rsidRPr="00B77A2B">
        <w:rPr>
          <w:rFonts w:ascii="Arial" w:hAnsi="Arial" w:cs="Arial"/>
          <w:color w:val="000000" w:themeColor="text1"/>
          <w:lang w:val="en-US"/>
        </w:rPr>
        <w:t xml:space="preserve">oppose the interlocutory application, and I was satisfied, given the fact that the second respondent clearly knew of the main application (having filed notice to oppose, along with the first respondent, on </w:t>
      </w:r>
      <w:r w:rsidR="00865033" w:rsidRPr="00B77A2B">
        <w:rPr>
          <w:rFonts w:ascii="Arial" w:hAnsi="Arial" w:cs="Arial"/>
          <w:color w:val="000000" w:themeColor="text1"/>
          <w:lang w:val="en-US"/>
        </w:rPr>
        <w:t xml:space="preserve">17 June 2021, and having deposed to an answering affidavit on 21 July 2021) </w:t>
      </w:r>
      <w:r w:rsidR="00B00EE0" w:rsidRPr="00B77A2B">
        <w:rPr>
          <w:rFonts w:ascii="Arial" w:hAnsi="Arial" w:cs="Arial"/>
          <w:color w:val="000000" w:themeColor="text1"/>
          <w:lang w:val="en-US"/>
        </w:rPr>
        <w:t xml:space="preserve">that </w:t>
      </w:r>
      <w:r w:rsidR="00A104BD" w:rsidRPr="00B77A2B">
        <w:rPr>
          <w:rFonts w:ascii="Arial" w:hAnsi="Arial" w:cs="Arial"/>
          <w:color w:val="000000" w:themeColor="text1"/>
          <w:lang w:val="en-US"/>
        </w:rPr>
        <w:t xml:space="preserve">the relief sought </w:t>
      </w:r>
      <w:r w:rsidR="000369E2" w:rsidRPr="00B77A2B">
        <w:rPr>
          <w:rFonts w:ascii="Arial" w:hAnsi="Arial" w:cs="Arial"/>
          <w:color w:val="000000" w:themeColor="text1"/>
          <w:lang w:val="en-US"/>
        </w:rPr>
        <w:t xml:space="preserve">(in prayers 1 and 2 of the notice of motion) </w:t>
      </w:r>
      <w:r w:rsidR="00B00EE0" w:rsidRPr="00B77A2B">
        <w:rPr>
          <w:rFonts w:ascii="Arial" w:hAnsi="Arial" w:cs="Arial"/>
          <w:color w:val="000000" w:themeColor="text1"/>
          <w:lang w:val="en-US"/>
        </w:rPr>
        <w:t>could be</w:t>
      </w:r>
      <w:r w:rsidR="00A104BD" w:rsidRPr="00B77A2B">
        <w:rPr>
          <w:rFonts w:ascii="Arial" w:hAnsi="Arial" w:cs="Arial"/>
          <w:color w:val="000000" w:themeColor="text1"/>
          <w:lang w:val="en-US"/>
        </w:rPr>
        <w:t xml:space="preserve"> granted.</w:t>
      </w:r>
      <w:r w:rsidR="00B00EE0" w:rsidRPr="00B77A2B">
        <w:rPr>
          <w:rFonts w:ascii="Arial" w:hAnsi="Arial" w:cs="Arial"/>
          <w:color w:val="000000" w:themeColor="text1"/>
          <w:lang w:val="en-US"/>
        </w:rPr>
        <w:t xml:space="preserve">  This duly occurred.</w:t>
      </w:r>
    </w:p>
    <w:p w14:paraId="7A9DB3BF" w14:textId="2AE188FF" w:rsidR="00145C47" w:rsidRDefault="00145C47" w:rsidP="0027736E">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lastRenderedPageBreak/>
        <w:t>Issues in dispute</w:t>
      </w:r>
    </w:p>
    <w:p w14:paraId="0F05956F" w14:textId="77777777" w:rsidR="00430500" w:rsidRPr="00430500" w:rsidRDefault="00430500" w:rsidP="0027736E">
      <w:pPr>
        <w:spacing w:line="480" w:lineRule="auto"/>
        <w:ind w:hanging="720"/>
        <w:jc w:val="both"/>
        <w:rPr>
          <w:rFonts w:ascii="Arial" w:hAnsi="Arial" w:cs="Arial"/>
          <w:b/>
          <w:bCs/>
          <w:color w:val="000000" w:themeColor="text1"/>
          <w:lang w:val="en-US"/>
        </w:rPr>
      </w:pPr>
    </w:p>
    <w:p w14:paraId="64427E4A" w14:textId="33D9CD7D" w:rsidR="00CF4260"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[7]</w:t>
      </w:r>
      <w:r>
        <w:rPr>
          <w:rFonts w:ascii="Arial" w:hAnsi="Arial" w:cs="Arial"/>
          <w:color w:val="000000" w:themeColor="text1"/>
          <w:lang w:val="en-US"/>
        </w:rPr>
        <w:tab/>
      </w:r>
      <w:r w:rsidR="005C0FCF" w:rsidRPr="00B77A2B">
        <w:rPr>
          <w:rFonts w:ascii="Arial" w:hAnsi="Arial" w:cs="Arial"/>
          <w:color w:val="000000" w:themeColor="text1"/>
          <w:lang w:val="en-US"/>
        </w:rPr>
        <w:t xml:space="preserve">The applicant is a practicing attorney, practicing as such under </w:t>
      </w:r>
      <w:proofErr w:type="spellStart"/>
      <w:r w:rsidR="005C0FCF" w:rsidRPr="00B77A2B">
        <w:rPr>
          <w:rFonts w:ascii="Arial" w:hAnsi="Arial" w:cs="Arial"/>
          <w:color w:val="000000" w:themeColor="text1"/>
          <w:lang w:val="en-US"/>
        </w:rPr>
        <w:t>Sipunzi</w:t>
      </w:r>
      <w:proofErr w:type="spellEnd"/>
      <w:r w:rsidR="005C0FCF" w:rsidRPr="00B77A2B">
        <w:rPr>
          <w:rFonts w:ascii="Arial" w:hAnsi="Arial" w:cs="Arial"/>
          <w:color w:val="000000" w:themeColor="text1"/>
          <w:lang w:val="en-US"/>
        </w:rPr>
        <w:t xml:space="preserve"> Attorneys.</w:t>
      </w:r>
    </w:p>
    <w:p w14:paraId="65F3DB36" w14:textId="77777777" w:rsidR="00430500" w:rsidRPr="00430500" w:rsidRDefault="00430500" w:rsidP="0027736E">
      <w:pPr>
        <w:spacing w:line="480" w:lineRule="auto"/>
        <w:ind w:hanging="720"/>
        <w:jc w:val="both"/>
        <w:rPr>
          <w:rFonts w:ascii="Arial" w:hAnsi="Arial" w:cs="Arial"/>
          <w:color w:val="000000" w:themeColor="text1"/>
          <w:lang w:val="en-US"/>
        </w:rPr>
      </w:pPr>
    </w:p>
    <w:p w14:paraId="572D89E5" w14:textId="5B4F0BFB" w:rsidR="005C0FCF"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[8]</w:t>
      </w:r>
      <w:r>
        <w:rPr>
          <w:rFonts w:ascii="Arial" w:hAnsi="Arial" w:cs="Arial"/>
          <w:color w:val="000000" w:themeColor="text1"/>
          <w:lang w:val="en-US"/>
        </w:rPr>
        <w:tab/>
      </w:r>
      <w:r w:rsidR="005C0FCF" w:rsidRPr="00B77A2B">
        <w:rPr>
          <w:rFonts w:ascii="Arial" w:hAnsi="Arial" w:cs="Arial"/>
          <w:color w:val="000000" w:themeColor="text1"/>
          <w:lang w:val="en-US"/>
        </w:rPr>
        <w:t xml:space="preserve">On 25 March 2015 the applicant purchased an entity called Hartwick </w:t>
      </w:r>
      <w:r w:rsidR="00430500" w:rsidRPr="00B77A2B">
        <w:rPr>
          <w:rFonts w:ascii="Arial" w:hAnsi="Arial" w:cs="Arial"/>
          <w:color w:val="000000" w:themeColor="text1"/>
          <w:lang w:val="en-US"/>
        </w:rPr>
        <w:t>Technical</w:t>
      </w:r>
      <w:r w:rsidR="005C0FCF" w:rsidRPr="00B77A2B">
        <w:rPr>
          <w:rFonts w:ascii="Arial" w:hAnsi="Arial" w:cs="Arial"/>
          <w:color w:val="000000" w:themeColor="text1"/>
          <w:lang w:val="en-US"/>
        </w:rPr>
        <w:t xml:space="preserve"> College </w:t>
      </w:r>
      <w:r w:rsidR="002F1B11" w:rsidRPr="00B77A2B">
        <w:rPr>
          <w:rFonts w:ascii="Arial" w:hAnsi="Arial" w:cs="Arial"/>
          <w:color w:val="000000" w:themeColor="text1"/>
          <w:lang w:val="en-US"/>
        </w:rPr>
        <w:t xml:space="preserve">(‘the College’) </w:t>
      </w:r>
      <w:r w:rsidR="005C0FCF" w:rsidRPr="00B77A2B">
        <w:rPr>
          <w:rFonts w:ascii="Arial" w:hAnsi="Arial" w:cs="Arial"/>
          <w:color w:val="000000" w:themeColor="text1"/>
          <w:lang w:val="en-US"/>
        </w:rPr>
        <w:t>from the first respondent (represented by the second respondent</w:t>
      </w:r>
      <w:r w:rsidR="00551976" w:rsidRPr="00B77A2B">
        <w:rPr>
          <w:rFonts w:ascii="Arial" w:hAnsi="Arial" w:cs="Arial"/>
          <w:color w:val="000000" w:themeColor="text1"/>
          <w:lang w:val="en-US"/>
        </w:rPr>
        <w:t>, whom the applicant avers is the ‘sole director’</w:t>
      </w:r>
      <w:r w:rsidR="00430500">
        <w:rPr>
          <w:rStyle w:val="FootnoteReference"/>
          <w:rFonts w:ascii="Arial" w:hAnsi="Arial" w:cs="Arial"/>
          <w:color w:val="000000" w:themeColor="text1"/>
          <w:lang w:val="en-US"/>
        </w:rPr>
        <w:footnoteReference w:id="1"/>
      </w:r>
      <w:r w:rsidR="00551976" w:rsidRPr="00B77A2B">
        <w:rPr>
          <w:rFonts w:ascii="Arial" w:hAnsi="Arial" w:cs="Arial"/>
          <w:color w:val="000000" w:themeColor="text1"/>
          <w:lang w:val="en-US"/>
        </w:rPr>
        <w:t xml:space="preserve"> of the first respondent</w:t>
      </w:r>
      <w:r w:rsidR="005C0FCF" w:rsidRPr="00B77A2B">
        <w:rPr>
          <w:rFonts w:ascii="Arial" w:hAnsi="Arial" w:cs="Arial"/>
          <w:color w:val="000000" w:themeColor="text1"/>
          <w:lang w:val="en-US"/>
        </w:rPr>
        <w:t>), for the price of R 700 000.00.</w:t>
      </w:r>
    </w:p>
    <w:p w14:paraId="091009E2" w14:textId="77777777" w:rsidR="00430500" w:rsidRPr="00430500" w:rsidRDefault="00430500" w:rsidP="0027736E">
      <w:pPr>
        <w:spacing w:line="480" w:lineRule="auto"/>
        <w:ind w:hanging="720"/>
        <w:jc w:val="both"/>
        <w:rPr>
          <w:rFonts w:ascii="Arial" w:hAnsi="Arial" w:cs="Arial"/>
          <w:color w:val="000000" w:themeColor="text1"/>
          <w:lang w:val="en-US"/>
        </w:rPr>
      </w:pPr>
    </w:p>
    <w:p w14:paraId="4757E7F6" w14:textId="7806AC75" w:rsidR="002F1B11"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[9]</w:t>
      </w:r>
      <w:r>
        <w:rPr>
          <w:rFonts w:ascii="Arial" w:hAnsi="Arial" w:cs="Arial"/>
          <w:color w:val="000000" w:themeColor="text1"/>
          <w:lang w:val="en-US"/>
        </w:rPr>
        <w:tab/>
      </w:r>
      <w:r w:rsidR="005C0FCF" w:rsidRPr="00B77A2B">
        <w:rPr>
          <w:rFonts w:ascii="Arial" w:hAnsi="Arial" w:cs="Arial"/>
          <w:color w:val="000000" w:themeColor="text1"/>
          <w:lang w:val="en-US"/>
        </w:rPr>
        <w:t xml:space="preserve">The </w:t>
      </w:r>
      <w:r w:rsidR="00430500" w:rsidRPr="00B77A2B">
        <w:rPr>
          <w:rFonts w:ascii="Arial" w:hAnsi="Arial" w:cs="Arial"/>
          <w:color w:val="000000" w:themeColor="text1"/>
          <w:lang w:val="en-US"/>
        </w:rPr>
        <w:t>purchase</w:t>
      </w:r>
      <w:r w:rsidR="005C0FCF" w:rsidRPr="00B77A2B">
        <w:rPr>
          <w:rFonts w:ascii="Arial" w:hAnsi="Arial" w:cs="Arial"/>
          <w:color w:val="000000" w:themeColor="text1"/>
          <w:lang w:val="en-US"/>
        </w:rPr>
        <w:t xml:space="preserve"> price was duly paid, however a dispute arose between the parties</w:t>
      </w:r>
      <w:r w:rsidR="002F1B11" w:rsidRPr="00B77A2B">
        <w:rPr>
          <w:rFonts w:ascii="Arial" w:hAnsi="Arial" w:cs="Arial"/>
          <w:color w:val="000000" w:themeColor="text1"/>
          <w:lang w:val="en-US"/>
        </w:rPr>
        <w:t>.  It related to a request from the second respondent, who allegedly wanted the applicant to enter into a sub-lease agreement</w:t>
      </w:r>
      <w:r w:rsidR="00AE634E" w:rsidRPr="00B77A2B">
        <w:rPr>
          <w:rFonts w:ascii="Arial" w:hAnsi="Arial" w:cs="Arial"/>
          <w:color w:val="000000" w:themeColor="text1"/>
          <w:lang w:val="en-US"/>
        </w:rPr>
        <w:t xml:space="preserve">, </w:t>
      </w:r>
      <w:r w:rsidR="002F1B11" w:rsidRPr="00B77A2B">
        <w:rPr>
          <w:rFonts w:ascii="Arial" w:hAnsi="Arial" w:cs="Arial"/>
          <w:color w:val="000000" w:themeColor="text1"/>
          <w:lang w:val="en-US"/>
        </w:rPr>
        <w:t>apparently relating to the premises housing the College.  The applicant wanted a lease agreement directly with the owner of the property, and demanded assignment or cession or transfer of all business interests, together with operational licenses, in regard to the College, as the College had been sold to the applicant as a going concern.  The applicant refused to pay any rental absent the aforementioned.</w:t>
      </w:r>
    </w:p>
    <w:p w14:paraId="126A9F70" w14:textId="77777777" w:rsidR="00AE634E" w:rsidRPr="00AE634E" w:rsidRDefault="00AE634E" w:rsidP="0027736E">
      <w:pPr>
        <w:pStyle w:val="ListParagraph"/>
        <w:spacing w:line="480" w:lineRule="auto"/>
        <w:ind w:hanging="720"/>
        <w:rPr>
          <w:rFonts w:ascii="Arial" w:hAnsi="Arial" w:cs="Arial"/>
          <w:color w:val="000000" w:themeColor="text1"/>
          <w:lang w:val="en-US"/>
        </w:rPr>
      </w:pPr>
    </w:p>
    <w:p w14:paraId="1F7341B7" w14:textId="3E85A991" w:rsidR="005C0FCF"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[10]</w:t>
      </w:r>
      <w:r>
        <w:rPr>
          <w:rFonts w:ascii="Arial" w:hAnsi="Arial" w:cs="Arial"/>
          <w:color w:val="000000" w:themeColor="text1"/>
          <w:lang w:val="en-US"/>
        </w:rPr>
        <w:tab/>
      </w:r>
      <w:r w:rsidR="002F1B11" w:rsidRPr="00B77A2B">
        <w:rPr>
          <w:rFonts w:ascii="Arial" w:hAnsi="Arial" w:cs="Arial"/>
          <w:color w:val="000000" w:themeColor="text1"/>
          <w:lang w:val="en-US"/>
        </w:rPr>
        <w:t xml:space="preserve">This </w:t>
      </w:r>
      <w:r w:rsidR="005C0FCF" w:rsidRPr="00B77A2B">
        <w:rPr>
          <w:rFonts w:ascii="Arial" w:hAnsi="Arial" w:cs="Arial"/>
          <w:color w:val="000000" w:themeColor="text1"/>
          <w:lang w:val="en-US"/>
        </w:rPr>
        <w:t xml:space="preserve">led to the first respondent instituting action </w:t>
      </w:r>
      <w:r w:rsidR="00430500" w:rsidRPr="00B77A2B">
        <w:rPr>
          <w:rFonts w:ascii="Arial" w:hAnsi="Arial" w:cs="Arial"/>
          <w:color w:val="000000" w:themeColor="text1"/>
          <w:lang w:val="en-US"/>
        </w:rPr>
        <w:t>proceedings</w:t>
      </w:r>
      <w:r w:rsidR="005C0FCF" w:rsidRPr="00B77A2B">
        <w:rPr>
          <w:rFonts w:ascii="Arial" w:hAnsi="Arial" w:cs="Arial"/>
          <w:color w:val="000000" w:themeColor="text1"/>
          <w:lang w:val="en-US"/>
        </w:rPr>
        <w:t xml:space="preserve"> (in this court) against the applicant for outstanding rental</w:t>
      </w:r>
      <w:r w:rsidR="000369E2" w:rsidRPr="00B77A2B">
        <w:rPr>
          <w:rFonts w:ascii="Arial" w:hAnsi="Arial" w:cs="Arial"/>
          <w:color w:val="000000" w:themeColor="text1"/>
          <w:lang w:val="en-US"/>
        </w:rPr>
        <w:t xml:space="preserve">, under </w:t>
      </w:r>
      <w:r w:rsidR="00AE634E" w:rsidRPr="00B77A2B">
        <w:rPr>
          <w:rFonts w:ascii="Arial" w:hAnsi="Arial" w:cs="Arial"/>
          <w:color w:val="000000" w:themeColor="text1"/>
          <w:lang w:val="en-US"/>
        </w:rPr>
        <w:t>c</w:t>
      </w:r>
      <w:r w:rsidR="000369E2" w:rsidRPr="00B77A2B">
        <w:rPr>
          <w:rFonts w:ascii="Arial" w:hAnsi="Arial" w:cs="Arial"/>
          <w:color w:val="000000" w:themeColor="text1"/>
          <w:lang w:val="en-US"/>
        </w:rPr>
        <w:t xml:space="preserve">ase </w:t>
      </w:r>
      <w:r w:rsidR="00AE634E" w:rsidRPr="00B77A2B">
        <w:rPr>
          <w:rFonts w:ascii="Arial" w:hAnsi="Arial" w:cs="Arial"/>
          <w:color w:val="000000" w:themeColor="text1"/>
          <w:lang w:val="en-US"/>
        </w:rPr>
        <w:t>n</w:t>
      </w:r>
      <w:r w:rsidR="000369E2" w:rsidRPr="00B77A2B">
        <w:rPr>
          <w:rFonts w:ascii="Arial" w:hAnsi="Arial" w:cs="Arial"/>
          <w:color w:val="000000" w:themeColor="text1"/>
          <w:lang w:val="en-US"/>
        </w:rPr>
        <w:t>umber 1057/2017 (</w:t>
      </w:r>
      <w:r w:rsidR="00367136" w:rsidRPr="00B77A2B">
        <w:rPr>
          <w:rFonts w:ascii="Arial" w:hAnsi="Arial" w:cs="Arial"/>
          <w:color w:val="000000" w:themeColor="text1"/>
          <w:lang w:val="en-US"/>
        </w:rPr>
        <w:t>‘the first action’)</w:t>
      </w:r>
      <w:r w:rsidR="000369E2" w:rsidRPr="00B77A2B">
        <w:rPr>
          <w:rFonts w:ascii="Arial" w:hAnsi="Arial" w:cs="Arial"/>
          <w:color w:val="000000" w:themeColor="text1"/>
          <w:lang w:val="en-US"/>
        </w:rPr>
        <w:t xml:space="preserve">.  </w:t>
      </w:r>
      <w:r w:rsidR="00CF682A" w:rsidRPr="00B77A2B">
        <w:rPr>
          <w:rFonts w:ascii="Arial" w:hAnsi="Arial" w:cs="Arial"/>
          <w:color w:val="000000" w:themeColor="text1"/>
          <w:lang w:val="en-US"/>
        </w:rPr>
        <w:t xml:space="preserve">The parties will, when referencing the </w:t>
      </w:r>
      <w:r w:rsidR="00AE634E" w:rsidRPr="00B77A2B">
        <w:rPr>
          <w:rFonts w:ascii="Arial" w:hAnsi="Arial" w:cs="Arial"/>
          <w:color w:val="000000" w:themeColor="text1"/>
          <w:lang w:val="en-US"/>
        </w:rPr>
        <w:t>first action</w:t>
      </w:r>
      <w:r w:rsidR="00CF682A" w:rsidRPr="00B77A2B">
        <w:rPr>
          <w:rFonts w:ascii="Arial" w:hAnsi="Arial" w:cs="Arial"/>
          <w:color w:val="000000" w:themeColor="text1"/>
          <w:lang w:val="en-US"/>
        </w:rPr>
        <w:t>, be referred to as they are in the current application, in order to avoid confusion.</w:t>
      </w:r>
    </w:p>
    <w:p w14:paraId="23ACBB89" w14:textId="77777777" w:rsidR="00AE634E" w:rsidRPr="00430500" w:rsidRDefault="00AE634E" w:rsidP="0027736E">
      <w:pPr>
        <w:pStyle w:val="ListParagraph"/>
        <w:spacing w:line="480" w:lineRule="auto"/>
        <w:ind w:hanging="720"/>
        <w:jc w:val="both"/>
        <w:rPr>
          <w:rFonts w:ascii="Arial" w:hAnsi="Arial" w:cs="Arial"/>
          <w:color w:val="000000" w:themeColor="text1"/>
          <w:lang w:val="en-US"/>
        </w:rPr>
      </w:pPr>
    </w:p>
    <w:p w14:paraId="34A33722" w14:textId="0C669C12" w:rsidR="005C0FCF"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lastRenderedPageBreak/>
        <w:t>[11]</w:t>
      </w:r>
      <w:r>
        <w:rPr>
          <w:rFonts w:ascii="Arial" w:hAnsi="Arial" w:cs="Arial"/>
          <w:color w:val="000000" w:themeColor="text1"/>
          <w:lang w:val="en-US"/>
        </w:rPr>
        <w:tab/>
      </w:r>
      <w:r w:rsidR="005C0FCF" w:rsidRPr="00B77A2B">
        <w:rPr>
          <w:rFonts w:ascii="Arial" w:hAnsi="Arial" w:cs="Arial"/>
          <w:color w:val="000000" w:themeColor="text1"/>
          <w:lang w:val="en-US"/>
        </w:rPr>
        <w:t xml:space="preserve">The applicant defended the </w:t>
      </w:r>
      <w:r w:rsidR="00367136" w:rsidRPr="00B77A2B">
        <w:rPr>
          <w:rFonts w:ascii="Arial" w:hAnsi="Arial" w:cs="Arial"/>
          <w:color w:val="000000" w:themeColor="text1"/>
          <w:lang w:val="en-US"/>
        </w:rPr>
        <w:t>matter</w:t>
      </w:r>
      <w:r w:rsidR="005C0FCF" w:rsidRPr="00B77A2B">
        <w:rPr>
          <w:rFonts w:ascii="Arial" w:hAnsi="Arial" w:cs="Arial"/>
          <w:color w:val="000000" w:themeColor="text1"/>
          <w:lang w:val="en-US"/>
        </w:rPr>
        <w:t xml:space="preserve"> and launched a counterclaim seeking cancellation of the sale agreement, together with an order directing the first respondent to repay the applicant the sum of R 700 000.00.</w:t>
      </w:r>
    </w:p>
    <w:p w14:paraId="7486EE50" w14:textId="77777777" w:rsidR="00AE634E" w:rsidRPr="00AE634E" w:rsidRDefault="00AE634E" w:rsidP="0027736E">
      <w:pPr>
        <w:spacing w:line="480" w:lineRule="auto"/>
        <w:ind w:hanging="720"/>
        <w:jc w:val="both"/>
        <w:rPr>
          <w:rFonts w:ascii="Arial" w:hAnsi="Arial" w:cs="Arial"/>
          <w:color w:val="000000" w:themeColor="text1"/>
          <w:lang w:val="en-US"/>
        </w:rPr>
      </w:pPr>
    </w:p>
    <w:p w14:paraId="77716088" w14:textId="2A07F077" w:rsidR="005C0FCF"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[12]</w:t>
      </w:r>
      <w:r>
        <w:rPr>
          <w:rFonts w:ascii="Arial" w:hAnsi="Arial" w:cs="Arial"/>
          <w:color w:val="000000" w:themeColor="text1"/>
          <w:lang w:val="en-US"/>
        </w:rPr>
        <w:tab/>
      </w:r>
      <w:r w:rsidR="005C0FCF" w:rsidRPr="00B77A2B">
        <w:rPr>
          <w:rFonts w:ascii="Arial" w:hAnsi="Arial" w:cs="Arial"/>
          <w:color w:val="000000" w:themeColor="text1"/>
          <w:lang w:val="en-US"/>
        </w:rPr>
        <w:t xml:space="preserve">The above culminated in a judgment by </w:t>
      </w:r>
      <w:proofErr w:type="spellStart"/>
      <w:r w:rsidR="005C0FCF" w:rsidRPr="00B77A2B">
        <w:rPr>
          <w:rFonts w:ascii="Arial" w:hAnsi="Arial" w:cs="Arial"/>
          <w:color w:val="000000" w:themeColor="text1"/>
          <w:lang w:val="en-US"/>
        </w:rPr>
        <w:t>Jolwana</w:t>
      </w:r>
      <w:proofErr w:type="spellEnd"/>
      <w:r w:rsidR="005C0FCF" w:rsidRPr="00B77A2B">
        <w:rPr>
          <w:rFonts w:ascii="Arial" w:hAnsi="Arial" w:cs="Arial"/>
          <w:color w:val="000000" w:themeColor="text1"/>
          <w:lang w:val="en-US"/>
        </w:rPr>
        <w:t xml:space="preserve"> J (dated 19 January 2021), which dismissed the first respondent’s claim, and found in </w:t>
      </w:r>
      <w:proofErr w:type="spellStart"/>
      <w:r w:rsidR="005C0FCF" w:rsidRPr="00B77A2B">
        <w:rPr>
          <w:rFonts w:ascii="Arial" w:hAnsi="Arial" w:cs="Arial"/>
          <w:color w:val="000000" w:themeColor="text1"/>
          <w:lang w:val="en-US"/>
        </w:rPr>
        <w:t>favour</w:t>
      </w:r>
      <w:proofErr w:type="spellEnd"/>
      <w:r w:rsidR="005C0FCF" w:rsidRPr="00B77A2B">
        <w:rPr>
          <w:rFonts w:ascii="Arial" w:hAnsi="Arial" w:cs="Arial"/>
          <w:color w:val="000000" w:themeColor="text1"/>
          <w:lang w:val="en-US"/>
        </w:rPr>
        <w:t xml:space="preserve"> of the applicant in terms of the counterclaim which, </w:t>
      </w:r>
      <w:r w:rsidR="005C0FCF" w:rsidRPr="00B77A2B">
        <w:rPr>
          <w:rFonts w:ascii="Arial" w:hAnsi="Arial" w:cs="Arial"/>
          <w:i/>
          <w:iCs/>
          <w:color w:val="000000" w:themeColor="text1"/>
          <w:lang w:val="en-US"/>
        </w:rPr>
        <w:t>inter alia</w:t>
      </w:r>
      <w:r w:rsidR="005C0FCF" w:rsidRPr="00B77A2B">
        <w:rPr>
          <w:rFonts w:ascii="Arial" w:hAnsi="Arial" w:cs="Arial"/>
          <w:color w:val="000000" w:themeColor="text1"/>
          <w:lang w:val="en-US"/>
        </w:rPr>
        <w:t xml:space="preserve">, ordered that the </w:t>
      </w:r>
      <w:r w:rsidR="00430500" w:rsidRPr="00B77A2B">
        <w:rPr>
          <w:rFonts w:ascii="Arial" w:hAnsi="Arial" w:cs="Arial"/>
          <w:color w:val="000000" w:themeColor="text1"/>
          <w:lang w:val="en-US"/>
        </w:rPr>
        <w:t>purchase</w:t>
      </w:r>
      <w:r w:rsidR="005C0FCF" w:rsidRPr="00B77A2B">
        <w:rPr>
          <w:rFonts w:ascii="Arial" w:hAnsi="Arial" w:cs="Arial"/>
          <w:color w:val="000000" w:themeColor="text1"/>
          <w:lang w:val="en-US"/>
        </w:rPr>
        <w:t xml:space="preserve"> price of R 700 000.00 be repaid to the applicant by the first respondent.</w:t>
      </w:r>
    </w:p>
    <w:p w14:paraId="539129C8" w14:textId="77777777" w:rsidR="00AE634E" w:rsidRPr="00AE634E" w:rsidRDefault="00AE634E" w:rsidP="0027736E">
      <w:pPr>
        <w:spacing w:line="480" w:lineRule="auto"/>
        <w:ind w:hanging="720"/>
        <w:jc w:val="both"/>
        <w:rPr>
          <w:rFonts w:ascii="Arial" w:hAnsi="Arial" w:cs="Arial"/>
          <w:color w:val="000000" w:themeColor="text1"/>
          <w:lang w:val="en-US"/>
        </w:rPr>
      </w:pPr>
    </w:p>
    <w:p w14:paraId="02FCB88C" w14:textId="12389B68" w:rsidR="005C0FCF"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[13]</w:t>
      </w:r>
      <w:r>
        <w:rPr>
          <w:rFonts w:ascii="Arial" w:hAnsi="Arial" w:cs="Arial"/>
          <w:color w:val="000000" w:themeColor="text1"/>
          <w:lang w:val="en-US"/>
        </w:rPr>
        <w:tab/>
      </w:r>
      <w:r w:rsidR="00551976" w:rsidRPr="00B77A2B">
        <w:rPr>
          <w:rFonts w:ascii="Arial" w:hAnsi="Arial" w:cs="Arial"/>
          <w:color w:val="000000" w:themeColor="text1"/>
          <w:lang w:val="en-US"/>
        </w:rPr>
        <w:t>Attempts to execute on the judgment failed, according to the applicant, as the first respondent d</w:t>
      </w:r>
      <w:r w:rsidR="00AE634E" w:rsidRPr="00B77A2B">
        <w:rPr>
          <w:rFonts w:ascii="Arial" w:hAnsi="Arial" w:cs="Arial"/>
          <w:color w:val="000000" w:themeColor="text1"/>
          <w:lang w:val="en-US"/>
        </w:rPr>
        <w:t>id</w:t>
      </w:r>
      <w:r w:rsidR="00551976" w:rsidRPr="00B77A2B">
        <w:rPr>
          <w:rFonts w:ascii="Arial" w:hAnsi="Arial" w:cs="Arial"/>
          <w:color w:val="000000" w:themeColor="text1"/>
          <w:lang w:val="en-US"/>
        </w:rPr>
        <w:t xml:space="preserve"> not have any moveable or </w:t>
      </w:r>
      <w:r w:rsidR="00430500" w:rsidRPr="00B77A2B">
        <w:rPr>
          <w:rFonts w:ascii="Arial" w:hAnsi="Arial" w:cs="Arial"/>
          <w:color w:val="000000" w:themeColor="text1"/>
          <w:lang w:val="en-US"/>
        </w:rPr>
        <w:t>immoveable</w:t>
      </w:r>
      <w:r w:rsidR="00551976" w:rsidRPr="00B77A2B">
        <w:rPr>
          <w:rFonts w:ascii="Arial" w:hAnsi="Arial" w:cs="Arial"/>
          <w:color w:val="000000" w:themeColor="text1"/>
          <w:lang w:val="en-US"/>
        </w:rPr>
        <w:t xml:space="preserve"> assets.  </w:t>
      </w:r>
      <w:r w:rsidR="00AE634E" w:rsidRPr="00B77A2B">
        <w:rPr>
          <w:rFonts w:ascii="Arial" w:hAnsi="Arial" w:cs="Arial"/>
          <w:color w:val="000000" w:themeColor="text1"/>
          <w:lang w:val="en-US"/>
        </w:rPr>
        <w:t>A</w:t>
      </w:r>
      <w:r w:rsidR="00430500" w:rsidRPr="00B77A2B">
        <w:rPr>
          <w:rFonts w:ascii="Arial" w:hAnsi="Arial" w:cs="Arial"/>
          <w:color w:val="000000" w:themeColor="text1"/>
          <w:lang w:val="en-US"/>
        </w:rPr>
        <w:t>ttempts</w:t>
      </w:r>
      <w:r w:rsidR="00551976" w:rsidRPr="00B77A2B">
        <w:rPr>
          <w:rFonts w:ascii="Arial" w:hAnsi="Arial" w:cs="Arial"/>
          <w:color w:val="000000" w:themeColor="text1"/>
          <w:lang w:val="en-US"/>
        </w:rPr>
        <w:t xml:space="preserve"> to attach moveable assets led to the discovery that the assets in question were </w:t>
      </w:r>
      <w:r w:rsidR="00430500" w:rsidRPr="00B77A2B">
        <w:rPr>
          <w:rFonts w:ascii="Arial" w:hAnsi="Arial" w:cs="Arial"/>
          <w:color w:val="000000" w:themeColor="text1"/>
          <w:lang w:val="en-US"/>
        </w:rPr>
        <w:t>owned</w:t>
      </w:r>
      <w:r w:rsidR="00551976" w:rsidRPr="00B77A2B">
        <w:rPr>
          <w:rFonts w:ascii="Arial" w:hAnsi="Arial" w:cs="Arial"/>
          <w:color w:val="000000" w:themeColor="text1"/>
          <w:lang w:val="en-US"/>
        </w:rPr>
        <w:t xml:space="preserve"> either by the second respondent, or another close </w:t>
      </w:r>
      <w:r w:rsidR="00430500" w:rsidRPr="00B77A2B">
        <w:rPr>
          <w:rFonts w:ascii="Arial" w:hAnsi="Arial" w:cs="Arial"/>
          <w:color w:val="000000" w:themeColor="text1"/>
          <w:lang w:val="en-US"/>
        </w:rPr>
        <w:t>corporation</w:t>
      </w:r>
      <w:r w:rsidR="00551976" w:rsidRPr="00B77A2B">
        <w:rPr>
          <w:rFonts w:ascii="Arial" w:hAnsi="Arial" w:cs="Arial"/>
          <w:color w:val="000000" w:themeColor="text1"/>
          <w:lang w:val="en-US"/>
        </w:rPr>
        <w:t xml:space="preserve"> (Silver Solutions 956 CC</w:t>
      </w:r>
      <w:r w:rsidR="00E1434C" w:rsidRPr="00430500">
        <w:rPr>
          <w:rStyle w:val="FootnoteReference"/>
          <w:rFonts w:ascii="Arial" w:hAnsi="Arial" w:cs="Arial"/>
          <w:color w:val="000000" w:themeColor="text1"/>
          <w:lang w:val="en-US"/>
        </w:rPr>
        <w:footnoteReference w:id="2"/>
      </w:r>
      <w:r w:rsidR="00551976" w:rsidRPr="00B77A2B">
        <w:rPr>
          <w:rFonts w:ascii="Arial" w:hAnsi="Arial" w:cs="Arial"/>
          <w:color w:val="000000" w:themeColor="text1"/>
          <w:lang w:val="en-US"/>
        </w:rPr>
        <w:t>).</w:t>
      </w:r>
    </w:p>
    <w:p w14:paraId="34409300" w14:textId="77777777" w:rsidR="00E875EC" w:rsidRPr="00B34564" w:rsidRDefault="00E875EC" w:rsidP="0027736E">
      <w:pPr>
        <w:spacing w:line="480" w:lineRule="auto"/>
        <w:ind w:hanging="720"/>
        <w:jc w:val="both"/>
        <w:rPr>
          <w:rFonts w:ascii="Arial" w:hAnsi="Arial" w:cs="Arial"/>
          <w:color w:val="000000" w:themeColor="text1"/>
          <w:lang w:val="en-US"/>
        </w:rPr>
      </w:pPr>
    </w:p>
    <w:p w14:paraId="2C542D10" w14:textId="7E46B019" w:rsidR="00551976"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[14]</w:t>
      </w:r>
      <w:r>
        <w:rPr>
          <w:rFonts w:ascii="Arial" w:hAnsi="Arial" w:cs="Arial"/>
          <w:color w:val="000000" w:themeColor="text1"/>
          <w:lang w:val="en-US"/>
        </w:rPr>
        <w:tab/>
      </w:r>
      <w:r w:rsidR="00551976" w:rsidRPr="00B77A2B">
        <w:rPr>
          <w:rFonts w:ascii="Arial" w:hAnsi="Arial" w:cs="Arial"/>
          <w:color w:val="000000" w:themeColor="text1"/>
          <w:lang w:val="en-US"/>
        </w:rPr>
        <w:t xml:space="preserve">The applicant alleges that the second respondent is hiding behind the juristic personality of the first respondent, and is abusing the juristic </w:t>
      </w:r>
      <w:r w:rsidR="00430500" w:rsidRPr="00B77A2B">
        <w:rPr>
          <w:rFonts w:ascii="Arial" w:hAnsi="Arial" w:cs="Arial"/>
          <w:color w:val="000000" w:themeColor="text1"/>
          <w:lang w:val="en-US"/>
        </w:rPr>
        <w:t>personality</w:t>
      </w:r>
      <w:r w:rsidR="00551976" w:rsidRPr="00B77A2B">
        <w:rPr>
          <w:rFonts w:ascii="Arial" w:hAnsi="Arial" w:cs="Arial"/>
          <w:color w:val="000000" w:themeColor="text1"/>
          <w:lang w:val="en-US"/>
        </w:rPr>
        <w:t xml:space="preserve"> of the first respondent, as he represented the </w:t>
      </w:r>
      <w:r w:rsidR="00430500" w:rsidRPr="00B77A2B">
        <w:rPr>
          <w:rFonts w:ascii="Arial" w:hAnsi="Arial" w:cs="Arial"/>
          <w:color w:val="000000" w:themeColor="text1"/>
          <w:lang w:val="en-US"/>
        </w:rPr>
        <w:t>first</w:t>
      </w:r>
      <w:r w:rsidR="00551976" w:rsidRPr="00B77A2B">
        <w:rPr>
          <w:rFonts w:ascii="Arial" w:hAnsi="Arial" w:cs="Arial"/>
          <w:color w:val="000000" w:themeColor="text1"/>
          <w:lang w:val="en-US"/>
        </w:rPr>
        <w:t xml:space="preserve"> respondent during the conclusion of the sale agreement, and </w:t>
      </w:r>
      <w:r w:rsidR="00430500" w:rsidRPr="00B77A2B">
        <w:rPr>
          <w:rFonts w:ascii="Arial" w:hAnsi="Arial" w:cs="Arial"/>
          <w:color w:val="000000" w:themeColor="text1"/>
          <w:lang w:val="en-US"/>
        </w:rPr>
        <w:t>misrepresented</w:t>
      </w:r>
      <w:r w:rsidR="00551976" w:rsidRPr="00B77A2B">
        <w:rPr>
          <w:rFonts w:ascii="Arial" w:hAnsi="Arial" w:cs="Arial"/>
          <w:color w:val="000000" w:themeColor="text1"/>
          <w:lang w:val="en-US"/>
        </w:rPr>
        <w:t xml:space="preserve"> certain material aspects to the applicant during the course of concluding the sale agreement.</w:t>
      </w:r>
    </w:p>
    <w:p w14:paraId="345182EC" w14:textId="77777777" w:rsidR="00AE634E" w:rsidRPr="00AE634E" w:rsidRDefault="00AE634E" w:rsidP="0027736E">
      <w:pPr>
        <w:spacing w:line="480" w:lineRule="auto"/>
        <w:ind w:hanging="720"/>
        <w:jc w:val="both"/>
        <w:rPr>
          <w:rFonts w:ascii="Arial" w:hAnsi="Arial" w:cs="Arial"/>
          <w:color w:val="000000" w:themeColor="text1"/>
          <w:lang w:val="en-US"/>
        </w:rPr>
      </w:pPr>
    </w:p>
    <w:p w14:paraId="361875D8" w14:textId="2B11B002" w:rsidR="00DA1EAC"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lastRenderedPageBreak/>
        <w:t>[15]</w:t>
      </w:r>
      <w:r>
        <w:rPr>
          <w:rFonts w:ascii="Arial" w:hAnsi="Arial" w:cs="Arial"/>
          <w:color w:val="000000" w:themeColor="text1"/>
          <w:lang w:val="en-US"/>
        </w:rPr>
        <w:tab/>
      </w:r>
      <w:r w:rsidR="00AE634E" w:rsidRPr="00B77A2B">
        <w:rPr>
          <w:rFonts w:ascii="Arial" w:hAnsi="Arial" w:cs="Arial"/>
          <w:color w:val="000000" w:themeColor="text1"/>
          <w:lang w:val="en-US"/>
        </w:rPr>
        <w:t>T</w:t>
      </w:r>
      <w:r w:rsidR="00DA1EAC" w:rsidRPr="00B77A2B">
        <w:rPr>
          <w:rFonts w:ascii="Arial" w:hAnsi="Arial" w:cs="Arial"/>
          <w:color w:val="000000" w:themeColor="text1"/>
          <w:lang w:val="en-US"/>
        </w:rPr>
        <w:t xml:space="preserve">he applicant is requesting that this court accept the findings of </w:t>
      </w:r>
      <w:proofErr w:type="spellStart"/>
      <w:r w:rsidR="00DA1EAC" w:rsidRPr="00B77A2B">
        <w:rPr>
          <w:rFonts w:ascii="Arial" w:hAnsi="Arial" w:cs="Arial"/>
          <w:color w:val="000000" w:themeColor="text1"/>
          <w:lang w:val="en-US"/>
        </w:rPr>
        <w:t>Jolwana</w:t>
      </w:r>
      <w:proofErr w:type="spellEnd"/>
      <w:r w:rsidR="00DA1EAC" w:rsidRPr="00B77A2B">
        <w:rPr>
          <w:rFonts w:ascii="Arial" w:hAnsi="Arial" w:cs="Arial"/>
          <w:color w:val="000000" w:themeColor="text1"/>
          <w:lang w:val="en-US"/>
        </w:rPr>
        <w:t xml:space="preserve"> J </w:t>
      </w:r>
      <w:r w:rsidR="009B6F8B" w:rsidRPr="00B77A2B">
        <w:rPr>
          <w:rFonts w:ascii="Arial" w:hAnsi="Arial" w:cs="Arial"/>
          <w:color w:val="000000" w:themeColor="text1"/>
          <w:lang w:val="en-US"/>
        </w:rPr>
        <w:t xml:space="preserve">in the first action </w:t>
      </w:r>
      <w:r w:rsidR="00DA1EAC" w:rsidRPr="00B77A2B">
        <w:rPr>
          <w:rFonts w:ascii="Arial" w:hAnsi="Arial" w:cs="Arial"/>
          <w:color w:val="000000" w:themeColor="text1"/>
          <w:lang w:val="en-US"/>
        </w:rPr>
        <w:t>as proof of the alleged abuse of juristic personality, and grant the relief sought on that basis.</w:t>
      </w:r>
    </w:p>
    <w:p w14:paraId="636DBEB3" w14:textId="77777777" w:rsidR="00AE634E" w:rsidRPr="00AE634E" w:rsidRDefault="00AE634E" w:rsidP="0027736E">
      <w:pPr>
        <w:spacing w:line="480" w:lineRule="auto"/>
        <w:ind w:hanging="720"/>
        <w:jc w:val="both"/>
        <w:rPr>
          <w:rFonts w:ascii="Arial" w:hAnsi="Arial" w:cs="Arial"/>
          <w:color w:val="000000" w:themeColor="text1"/>
          <w:lang w:val="en-US"/>
        </w:rPr>
      </w:pPr>
    </w:p>
    <w:p w14:paraId="0439D410" w14:textId="0D21355C" w:rsidR="00551976"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[16]</w:t>
      </w:r>
      <w:r>
        <w:rPr>
          <w:rFonts w:ascii="Arial" w:hAnsi="Arial" w:cs="Arial"/>
          <w:color w:val="000000" w:themeColor="text1"/>
          <w:lang w:val="en-US"/>
        </w:rPr>
        <w:tab/>
      </w:r>
      <w:r w:rsidR="00551976" w:rsidRPr="00B77A2B">
        <w:rPr>
          <w:rFonts w:ascii="Arial" w:hAnsi="Arial" w:cs="Arial"/>
          <w:color w:val="000000" w:themeColor="text1"/>
          <w:lang w:val="en-US"/>
        </w:rPr>
        <w:t>The first and second respondents have opposed the application.</w:t>
      </w:r>
    </w:p>
    <w:p w14:paraId="39892708" w14:textId="77777777" w:rsidR="00AE634E" w:rsidRPr="00AE634E" w:rsidRDefault="00AE634E" w:rsidP="0027736E">
      <w:pPr>
        <w:spacing w:line="480" w:lineRule="auto"/>
        <w:ind w:hanging="720"/>
        <w:jc w:val="both"/>
        <w:rPr>
          <w:rFonts w:ascii="Arial" w:hAnsi="Arial" w:cs="Arial"/>
          <w:color w:val="000000" w:themeColor="text1"/>
          <w:lang w:val="en-US"/>
        </w:rPr>
      </w:pPr>
    </w:p>
    <w:p w14:paraId="5DAB20BE" w14:textId="0ADCDBC9" w:rsidR="00551976"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[17]</w:t>
      </w:r>
      <w:r>
        <w:rPr>
          <w:rFonts w:ascii="Arial" w:hAnsi="Arial" w:cs="Arial"/>
          <w:color w:val="000000" w:themeColor="text1"/>
          <w:lang w:val="en-US"/>
        </w:rPr>
        <w:tab/>
      </w:r>
      <w:r w:rsidR="00551976" w:rsidRPr="00B77A2B">
        <w:rPr>
          <w:rFonts w:ascii="Arial" w:hAnsi="Arial" w:cs="Arial"/>
          <w:color w:val="000000" w:themeColor="text1"/>
          <w:lang w:val="en-US"/>
        </w:rPr>
        <w:t xml:space="preserve">The answering affidavit has been deposed to by one </w:t>
      </w:r>
      <w:r w:rsidR="00551976" w:rsidRPr="00B77A2B">
        <w:rPr>
          <w:rFonts w:ascii="Arial" w:hAnsi="Arial" w:cs="Arial"/>
          <w:b/>
          <w:bCs/>
          <w:color w:val="000000" w:themeColor="text1"/>
          <w:lang w:val="en-US"/>
        </w:rPr>
        <w:t>FABRICE GAEL KOMBOU</w:t>
      </w:r>
      <w:r w:rsidR="00551976" w:rsidRPr="00B77A2B">
        <w:rPr>
          <w:rFonts w:ascii="Arial" w:hAnsi="Arial" w:cs="Arial"/>
          <w:color w:val="000000" w:themeColor="text1"/>
          <w:lang w:val="en-US"/>
        </w:rPr>
        <w:t>, who refers to himself as</w:t>
      </w:r>
      <w:r w:rsidR="0084446A" w:rsidRPr="00B77A2B">
        <w:rPr>
          <w:rFonts w:ascii="Arial" w:hAnsi="Arial" w:cs="Arial"/>
          <w:color w:val="000000" w:themeColor="text1"/>
          <w:lang w:val="en-US"/>
        </w:rPr>
        <w:t xml:space="preserve"> being</w:t>
      </w:r>
      <w:r w:rsidR="00551976" w:rsidRPr="00B77A2B">
        <w:rPr>
          <w:rFonts w:ascii="Arial" w:hAnsi="Arial" w:cs="Arial"/>
          <w:color w:val="000000" w:themeColor="text1"/>
          <w:lang w:val="en-US"/>
        </w:rPr>
        <w:t xml:space="preserve"> the </w:t>
      </w:r>
      <w:r w:rsidR="0084446A" w:rsidRPr="00B77A2B">
        <w:rPr>
          <w:rFonts w:ascii="Arial" w:hAnsi="Arial" w:cs="Arial"/>
          <w:color w:val="000000" w:themeColor="text1"/>
          <w:lang w:val="en-US"/>
        </w:rPr>
        <w:t>sole</w:t>
      </w:r>
      <w:r w:rsidR="00551976" w:rsidRPr="00B77A2B">
        <w:rPr>
          <w:rFonts w:ascii="Arial" w:hAnsi="Arial" w:cs="Arial"/>
          <w:color w:val="000000" w:themeColor="text1"/>
          <w:lang w:val="en-US"/>
        </w:rPr>
        <w:t xml:space="preserve"> member of the first respondent</w:t>
      </w:r>
      <w:r w:rsidR="0084446A" w:rsidRPr="00B77A2B">
        <w:rPr>
          <w:rFonts w:ascii="Arial" w:hAnsi="Arial" w:cs="Arial"/>
          <w:color w:val="000000" w:themeColor="text1"/>
          <w:lang w:val="en-US"/>
        </w:rPr>
        <w:t xml:space="preserve"> since 5 February 2021.</w:t>
      </w:r>
    </w:p>
    <w:p w14:paraId="0913F3C4" w14:textId="77777777" w:rsidR="00AE634E" w:rsidRPr="00AE634E" w:rsidRDefault="00AE634E" w:rsidP="0027736E">
      <w:pPr>
        <w:spacing w:line="480" w:lineRule="auto"/>
        <w:ind w:hanging="720"/>
        <w:jc w:val="both"/>
        <w:rPr>
          <w:rFonts w:ascii="Arial" w:hAnsi="Arial" w:cs="Arial"/>
          <w:color w:val="000000" w:themeColor="text1"/>
          <w:lang w:val="en-US"/>
        </w:rPr>
      </w:pPr>
    </w:p>
    <w:p w14:paraId="5D7B5867" w14:textId="309217FD" w:rsidR="005C0FCF"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[18]</w:t>
      </w:r>
      <w:r w:rsidRPr="00430500">
        <w:rPr>
          <w:rFonts w:ascii="Arial" w:hAnsi="Arial" w:cs="Arial"/>
          <w:color w:val="000000" w:themeColor="text1"/>
          <w:lang w:val="en-US"/>
        </w:rPr>
        <w:tab/>
      </w:r>
      <w:r w:rsidR="00DA1EAC" w:rsidRPr="00B77A2B">
        <w:rPr>
          <w:rFonts w:ascii="Arial" w:hAnsi="Arial" w:cs="Arial"/>
          <w:color w:val="000000" w:themeColor="text1"/>
          <w:lang w:val="en-US"/>
        </w:rPr>
        <w:t>The first respondent oppose</w:t>
      </w:r>
      <w:r w:rsidR="00AE634E" w:rsidRPr="00B77A2B">
        <w:rPr>
          <w:rFonts w:ascii="Arial" w:hAnsi="Arial" w:cs="Arial"/>
          <w:color w:val="000000" w:themeColor="text1"/>
          <w:lang w:val="en-US"/>
        </w:rPr>
        <w:t>d</w:t>
      </w:r>
      <w:r w:rsidR="00DA1EAC" w:rsidRPr="00B77A2B">
        <w:rPr>
          <w:rFonts w:ascii="Arial" w:hAnsi="Arial" w:cs="Arial"/>
          <w:color w:val="000000" w:themeColor="text1"/>
          <w:lang w:val="en-US"/>
        </w:rPr>
        <w:t xml:space="preserve"> the application on the following grounds:</w:t>
      </w:r>
    </w:p>
    <w:p w14:paraId="5FFB5C14" w14:textId="77777777" w:rsidR="00DA1EAC" w:rsidRPr="00430500" w:rsidRDefault="00DA1EAC" w:rsidP="0027736E">
      <w:pPr>
        <w:pStyle w:val="ListParagraph"/>
        <w:spacing w:line="480" w:lineRule="auto"/>
        <w:ind w:hanging="720"/>
        <w:jc w:val="both"/>
        <w:rPr>
          <w:rFonts w:ascii="Arial" w:hAnsi="Arial" w:cs="Arial"/>
          <w:color w:val="000000" w:themeColor="text1"/>
          <w:lang w:val="en-US"/>
        </w:rPr>
      </w:pPr>
    </w:p>
    <w:p w14:paraId="49086459" w14:textId="207F210B" w:rsidR="00DA1EAC"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(a)</w:t>
      </w:r>
      <w:r>
        <w:rPr>
          <w:rFonts w:ascii="Arial" w:hAnsi="Arial" w:cs="Arial"/>
          <w:color w:val="000000" w:themeColor="text1"/>
          <w:lang w:val="en-US"/>
        </w:rPr>
        <w:tab/>
      </w:r>
      <w:r w:rsidR="00DA1EAC" w:rsidRPr="00B77A2B">
        <w:rPr>
          <w:rFonts w:ascii="Arial" w:hAnsi="Arial" w:cs="Arial"/>
          <w:color w:val="000000" w:themeColor="text1"/>
          <w:lang w:val="en-US"/>
        </w:rPr>
        <w:t>This claim should have been launched via action proceedings, as there are numerous disputes of fact</w:t>
      </w:r>
      <w:r w:rsidR="0014776C" w:rsidRPr="00B77A2B">
        <w:rPr>
          <w:rFonts w:ascii="Arial" w:hAnsi="Arial" w:cs="Arial"/>
          <w:color w:val="000000" w:themeColor="text1"/>
          <w:lang w:val="en-US"/>
        </w:rPr>
        <w:t xml:space="preserve"> (this is raised as a </w:t>
      </w:r>
      <w:r w:rsidR="00AE634E" w:rsidRPr="00B77A2B">
        <w:rPr>
          <w:rFonts w:ascii="Arial" w:hAnsi="Arial" w:cs="Arial"/>
          <w:color w:val="000000" w:themeColor="text1"/>
          <w:lang w:val="en-US"/>
        </w:rPr>
        <w:t xml:space="preserve">first </w:t>
      </w:r>
      <w:r w:rsidR="0014776C" w:rsidRPr="00B77A2B">
        <w:rPr>
          <w:rFonts w:ascii="Arial" w:hAnsi="Arial" w:cs="Arial"/>
          <w:color w:val="000000" w:themeColor="text1"/>
          <w:lang w:val="en-US"/>
        </w:rPr>
        <w:t xml:space="preserve">point </w:t>
      </w:r>
      <w:r w:rsidR="0014776C" w:rsidRPr="00B77A2B">
        <w:rPr>
          <w:rFonts w:ascii="Arial" w:hAnsi="Arial" w:cs="Arial"/>
          <w:i/>
          <w:iCs/>
          <w:color w:val="000000" w:themeColor="text1"/>
          <w:lang w:val="en-US"/>
        </w:rPr>
        <w:t xml:space="preserve">in </w:t>
      </w:r>
      <w:proofErr w:type="spellStart"/>
      <w:r w:rsidR="0014776C" w:rsidRPr="00B77A2B">
        <w:rPr>
          <w:rFonts w:ascii="Arial" w:hAnsi="Arial" w:cs="Arial"/>
          <w:i/>
          <w:iCs/>
          <w:color w:val="000000" w:themeColor="text1"/>
          <w:lang w:val="en-US"/>
        </w:rPr>
        <w:t>limine</w:t>
      </w:r>
      <w:proofErr w:type="spellEnd"/>
      <w:r w:rsidR="0014776C" w:rsidRPr="00B77A2B">
        <w:rPr>
          <w:rFonts w:ascii="Arial" w:hAnsi="Arial" w:cs="Arial"/>
          <w:color w:val="000000" w:themeColor="text1"/>
          <w:lang w:val="en-US"/>
        </w:rPr>
        <w:t>)</w:t>
      </w:r>
      <w:r w:rsidR="00DA1EAC" w:rsidRPr="00B77A2B">
        <w:rPr>
          <w:rFonts w:ascii="Arial" w:hAnsi="Arial" w:cs="Arial"/>
          <w:color w:val="000000" w:themeColor="text1"/>
          <w:lang w:val="en-US"/>
        </w:rPr>
        <w:t xml:space="preserve">.  The respondents should be permitted properly to ventilate their </w:t>
      </w:r>
      <w:proofErr w:type="spellStart"/>
      <w:r w:rsidR="00DA1EAC" w:rsidRPr="00B77A2B">
        <w:rPr>
          <w:rFonts w:ascii="Arial" w:hAnsi="Arial" w:cs="Arial"/>
          <w:color w:val="000000" w:themeColor="text1"/>
          <w:lang w:val="en-US"/>
        </w:rPr>
        <w:t>defence</w:t>
      </w:r>
      <w:proofErr w:type="spellEnd"/>
      <w:r w:rsidR="00DA1EAC" w:rsidRPr="00B77A2B">
        <w:rPr>
          <w:rFonts w:ascii="Arial" w:hAnsi="Arial" w:cs="Arial"/>
          <w:color w:val="000000" w:themeColor="text1"/>
          <w:lang w:val="en-US"/>
        </w:rPr>
        <w:t xml:space="preserve"> by way of oral evidence and other evidentiary sources.  It is denied that the first respondent carried on business recklessly or fraudulently, or with the intent to defraud the applicant.  It is denied that the use of the first respondent </w:t>
      </w:r>
      <w:r w:rsidR="00430500" w:rsidRPr="00B77A2B">
        <w:rPr>
          <w:rFonts w:ascii="Arial" w:hAnsi="Arial" w:cs="Arial"/>
          <w:color w:val="000000" w:themeColor="text1"/>
          <w:lang w:val="en-US"/>
        </w:rPr>
        <w:t>constituted</w:t>
      </w:r>
      <w:r w:rsidR="00DA1EAC" w:rsidRPr="00B77A2B">
        <w:rPr>
          <w:rFonts w:ascii="Arial" w:hAnsi="Arial" w:cs="Arial"/>
          <w:color w:val="000000" w:themeColor="text1"/>
          <w:lang w:val="en-US"/>
        </w:rPr>
        <w:t xml:space="preserve"> a gross abuse of the juristic personality of the first respondent, or that the second respondent should be held liable for the debts of the first respondent.</w:t>
      </w:r>
    </w:p>
    <w:p w14:paraId="61FE988D"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7F2F3A7A" w14:textId="033317CF" w:rsidR="00D96C58"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(b)</w:t>
      </w:r>
      <w:r>
        <w:rPr>
          <w:rFonts w:ascii="Arial" w:hAnsi="Arial" w:cs="Arial"/>
          <w:color w:val="000000" w:themeColor="text1"/>
          <w:lang w:val="en-US"/>
        </w:rPr>
        <w:tab/>
      </w:r>
      <w:r w:rsidR="00430500" w:rsidRPr="00B77A2B">
        <w:rPr>
          <w:rFonts w:ascii="Arial" w:hAnsi="Arial" w:cs="Arial"/>
          <w:color w:val="000000" w:themeColor="text1"/>
          <w:lang w:val="en-US"/>
        </w:rPr>
        <w:t>Amongst the</w:t>
      </w:r>
      <w:r w:rsidR="002F1B11" w:rsidRPr="00B77A2B">
        <w:rPr>
          <w:rFonts w:ascii="Arial" w:hAnsi="Arial" w:cs="Arial"/>
          <w:color w:val="000000" w:themeColor="text1"/>
          <w:lang w:val="en-US"/>
        </w:rPr>
        <w:t xml:space="preserve"> factual disputes referred to, the first respondent dispute</w:t>
      </w:r>
      <w:r w:rsidR="00AE634E" w:rsidRPr="00B77A2B">
        <w:rPr>
          <w:rFonts w:ascii="Arial" w:hAnsi="Arial" w:cs="Arial"/>
          <w:color w:val="000000" w:themeColor="text1"/>
          <w:lang w:val="en-US"/>
        </w:rPr>
        <w:t>d</w:t>
      </w:r>
      <w:r w:rsidR="002F1B11" w:rsidRPr="00B77A2B">
        <w:rPr>
          <w:rFonts w:ascii="Arial" w:hAnsi="Arial" w:cs="Arial"/>
          <w:color w:val="000000" w:themeColor="text1"/>
          <w:lang w:val="en-US"/>
        </w:rPr>
        <w:t xml:space="preserve"> the applicant’s version in relation to the sub-lease dispute, averring that whilst the first respondent used to act as an agent on behalf of the owner </w:t>
      </w:r>
      <w:r w:rsidR="002F1B11" w:rsidRPr="00B77A2B">
        <w:rPr>
          <w:rFonts w:ascii="Arial" w:hAnsi="Arial" w:cs="Arial"/>
          <w:color w:val="000000" w:themeColor="text1"/>
          <w:lang w:val="en-US"/>
        </w:rPr>
        <w:lastRenderedPageBreak/>
        <w:t xml:space="preserve">of the property, </w:t>
      </w:r>
      <w:r w:rsidR="00D96C58" w:rsidRPr="00B77A2B">
        <w:rPr>
          <w:rFonts w:ascii="Arial" w:hAnsi="Arial" w:cs="Arial"/>
          <w:color w:val="000000" w:themeColor="text1"/>
          <w:lang w:val="en-US"/>
        </w:rPr>
        <w:t xml:space="preserve">and as a result of various other tenants not paying timeously (or creating inconvenience) it was sought that a lease agreement be signed.  </w:t>
      </w:r>
    </w:p>
    <w:p w14:paraId="51E351AE"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18C167B1" w14:textId="4C5D24AD" w:rsidR="00D96C58"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(c)</w:t>
      </w:r>
      <w:r>
        <w:rPr>
          <w:rFonts w:ascii="Arial" w:hAnsi="Arial" w:cs="Arial"/>
          <w:color w:val="000000" w:themeColor="text1"/>
          <w:lang w:val="en-US"/>
        </w:rPr>
        <w:tab/>
      </w:r>
      <w:r w:rsidR="00D96C58" w:rsidRPr="00B77A2B">
        <w:rPr>
          <w:rFonts w:ascii="Arial" w:hAnsi="Arial" w:cs="Arial"/>
          <w:color w:val="000000" w:themeColor="text1"/>
          <w:lang w:val="en-US"/>
        </w:rPr>
        <w:t xml:space="preserve">According to the first respondent, the applicant thereafter ran the College.  The applicant only brought his concerns </w:t>
      </w:r>
      <w:r w:rsidR="00430500" w:rsidRPr="00B77A2B">
        <w:rPr>
          <w:rFonts w:ascii="Arial" w:hAnsi="Arial" w:cs="Arial"/>
          <w:color w:val="000000" w:themeColor="text1"/>
          <w:lang w:val="en-US"/>
        </w:rPr>
        <w:t>regarding</w:t>
      </w:r>
      <w:r w:rsidR="00D96C58" w:rsidRPr="00B77A2B">
        <w:rPr>
          <w:rFonts w:ascii="Arial" w:hAnsi="Arial" w:cs="Arial"/>
          <w:color w:val="000000" w:themeColor="text1"/>
          <w:lang w:val="en-US"/>
        </w:rPr>
        <w:t xml:space="preserve"> the College not being a going concern</w:t>
      </w:r>
      <w:r w:rsidR="00DE5DA0" w:rsidRPr="00B77A2B">
        <w:rPr>
          <w:rFonts w:ascii="Arial" w:hAnsi="Arial" w:cs="Arial"/>
          <w:color w:val="000000" w:themeColor="text1"/>
          <w:lang w:val="en-US"/>
        </w:rPr>
        <w:t xml:space="preserve"> (which the first respondent denie</w:t>
      </w:r>
      <w:r w:rsidR="00AE634E" w:rsidRPr="00B77A2B">
        <w:rPr>
          <w:rFonts w:ascii="Arial" w:hAnsi="Arial" w:cs="Arial"/>
          <w:color w:val="000000" w:themeColor="text1"/>
          <w:lang w:val="en-US"/>
        </w:rPr>
        <w:t>d</w:t>
      </w:r>
      <w:r w:rsidR="00DE5DA0" w:rsidRPr="00B77A2B">
        <w:rPr>
          <w:rFonts w:ascii="Arial" w:hAnsi="Arial" w:cs="Arial"/>
          <w:color w:val="000000" w:themeColor="text1"/>
          <w:lang w:val="en-US"/>
        </w:rPr>
        <w:t>)</w:t>
      </w:r>
      <w:r w:rsidR="00D96C58" w:rsidRPr="00B77A2B">
        <w:rPr>
          <w:rFonts w:ascii="Arial" w:hAnsi="Arial" w:cs="Arial"/>
          <w:color w:val="000000" w:themeColor="text1"/>
          <w:lang w:val="en-US"/>
        </w:rPr>
        <w:t xml:space="preserve">, and the issue of no direct lease agreement with the owner, to the first respondent’s attention when the applicant filed his plea </w:t>
      </w:r>
      <w:r w:rsidR="00AE634E" w:rsidRPr="00B77A2B">
        <w:rPr>
          <w:rFonts w:ascii="Arial" w:hAnsi="Arial" w:cs="Arial"/>
          <w:color w:val="000000" w:themeColor="text1"/>
          <w:lang w:val="en-US"/>
        </w:rPr>
        <w:t>in</w:t>
      </w:r>
      <w:r w:rsidR="00D96C58" w:rsidRPr="00B77A2B">
        <w:rPr>
          <w:rFonts w:ascii="Arial" w:hAnsi="Arial" w:cs="Arial"/>
          <w:color w:val="000000" w:themeColor="text1"/>
          <w:lang w:val="en-US"/>
        </w:rPr>
        <w:t xml:space="preserve"> the </w:t>
      </w:r>
      <w:r w:rsidR="00AE634E" w:rsidRPr="00B77A2B">
        <w:rPr>
          <w:rFonts w:ascii="Arial" w:hAnsi="Arial" w:cs="Arial"/>
          <w:color w:val="000000" w:themeColor="text1"/>
          <w:lang w:val="en-US"/>
        </w:rPr>
        <w:t xml:space="preserve">first </w:t>
      </w:r>
      <w:r w:rsidR="00D96C58" w:rsidRPr="00B77A2B">
        <w:rPr>
          <w:rFonts w:ascii="Arial" w:hAnsi="Arial" w:cs="Arial"/>
          <w:color w:val="000000" w:themeColor="text1"/>
          <w:lang w:val="en-US"/>
        </w:rPr>
        <w:t xml:space="preserve">action on 28 May 2019.  It </w:t>
      </w:r>
      <w:r w:rsidR="00AE634E" w:rsidRPr="00B77A2B">
        <w:rPr>
          <w:rFonts w:ascii="Arial" w:hAnsi="Arial" w:cs="Arial"/>
          <w:color w:val="000000" w:themeColor="text1"/>
          <w:lang w:val="en-US"/>
        </w:rPr>
        <w:t>i</w:t>
      </w:r>
      <w:r w:rsidR="00D96C58" w:rsidRPr="00B77A2B">
        <w:rPr>
          <w:rFonts w:ascii="Arial" w:hAnsi="Arial" w:cs="Arial"/>
          <w:color w:val="000000" w:themeColor="text1"/>
          <w:lang w:val="en-US"/>
        </w:rPr>
        <w:t xml:space="preserve">s averred that at no time did the respondents affect the applicant’s ability to approach the owner of the property to arrange for a lease agreement – it was the owner that did not want to lease directly to the applicant.  </w:t>
      </w:r>
    </w:p>
    <w:p w14:paraId="4EB39EDB"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5BE2222E" w14:textId="5EADCE5D" w:rsidR="002F1B11"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(d)</w:t>
      </w:r>
      <w:r>
        <w:rPr>
          <w:rFonts w:ascii="Arial" w:hAnsi="Arial" w:cs="Arial"/>
          <w:color w:val="000000" w:themeColor="text1"/>
          <w:lang w:val="en-US"/>
        </w:rPr>
        <w:tab/>
      </w:r>
      <w:r w:rsidR="00D96C58" w:rsidRPr="00B77A2B">
        <w:rPr>
          <w:rFonts w:ascii="Arial" w:hAnsi="Arial" w:cs="Arial"/>
          <w:color w:val="000000" w:themeColor="text1"/>
          <w:lang w:val="en-US"/>
        </w:rPr>
        <w:t xml:space="preserve">The first respondent has annexed to his answering affidavit proof of payment of rental from the applicant who, avers the first respondent, was running the College.  The relevant annexure shows an email from the applicant to one Deon Stander (who appears to be the attorney of record for the respondents in the current matter) and reflects a payment of R 10 000.00 to Deon Stander Attorneys, paid on 7 March 2017.  In the aforementioned email the applicant </w:t>
      </w:r>
      <w:r w:rsidR="00430500" w:rsidRPr="00B77A2B">
        <w:rPr>
          <w:rFonts w:ascii="Arial" w:hAnsi="Arial" w:cs="Arial"/>
          <w:color w:val="000000" w:themeColor="text1"/>
          <w:lang w:val="en-US"/>
        </w:rPr>
        <w:t>apologized</w:t>
      </w:r>
      <w:r w:rsidR="00D96C58" w:rsidRPr="00B77A2B">
        <w:rPr>
          <w:rFonts w:ascii="Arial" w:hAnsi="Arial" w:cs="Arial"/>
          <w:color w:val="000000" w:themeColor="text1"/>
          <w:lang w:val="en-US"/>
        </w:rPr>
        <w:t xml:space="preserve"> for delayed payment, stating that it was because of students who were failing to pay their fees on time.</w:t>
      </w:r>
    </w:p>
    <w:p w14:paraId="0D462AC3"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57E32B78" w14:textId="2E7DB007" w:rsidR="00D96C58"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lastRenderedPageBreak/>
        <w:t>(e)</w:t>
      </w:r>
      <w:r>
        <w:rPr>
          <w:rFonts w:ascii="Arial" w:hAnsi="Arial" w:cs="Arial"/>
          <w:color w:val="000000" w:themeColor="text1"/>
          <w:lang w:val="en-US"/>
        </w:rPr>
        <w:tab/>
      </w:r>
      <w:r w:rsidR="00D96C58" w:rsidRPr="00B77A2B">
        <w:rPr>
          <w:rFonts w:ascii="Arial" w:hAnsi="Arial" w:cs="Arial"/>
          <w:color w:val="000000" w:themeColor="text1"/>
          <w:lang w:val="en-US"/>
        </w:rPr>
        <w:t>According to the first respondent, there was only one applicable license to be provided to the applicant, which was a computer literacy accreditation, and which was handed over to the applicant when the business was sold to the applicant on 25 March 2015.</w:t>
      </w:r>
      <w:r w:rsidR="00DE5DA0" w:rsidRPr="00B77A2B">
        <w:rPr>
          <w:rFonts w:ascii="Arial" w:hAnsi="Arial" w:cs="Arial"/>
          <w:color w:val="000000" w:themeColor="text1"/>
          <w:lang w:val="en-US"/>
        </w:rPr>
        <w:t xml:space="preserve">  The applicant ran the </w:t>
      </w:r>
      <w:r w:rsidR="00430500" w:rsidRPr="00B77A2B">
        <w:rPr>
          <w:rFonts w:ascii="Arial" w:hAnsi="Arial" w:cs="Arial"/>
          <w:color w:val="000000" w:themeColor="text1"/>
          <w:lang w:val="en-US"/>
        </w:rPr>
        <w:t>College</w:t>
      </w:r>
      <w:r w:rsidR="00DE5DA0" w:rsidRPr="00B77A2B">
        <w:rPr>
          <w:rFonts w:ascii="Arial" w:hAnsi="Arial" w:cs="Arial"/>
          <w:color w:val="000000" w:themeColor="text1"/>
          <w:lang w:val="en-US"/>
        </w:rPr>
        <w:t xml:space="preserve"> </w:t>
      </w:r>
      <w:r w:rsidR="00430500" w:rsidRPr="00B77A2B">
        <w:rPr>
          <w:rFonts w:ascii="Arial" w:hAnsi="Arial" w:cs="Arial"/>
          <w:color w:val="000000" w:themeColor="text1"/>
          <w:lang w:val="en-US"/>
        </w:rPr>
        <w:t>from</w:t>
      </w:r>
      <w:r w:rsidR="00DE5DA0" w:rsidRPr="00B77A2B">
        <w:rPr>
          <w:rFonts w:ascii="Arial" w:hAnsi="Arial" w:cs="Arial"/>
          <w:color w:val="000000" w:themeColor="text1"/>
          <w:lang w:val="en-US"/>
        </w:rPr>
        <w:t xml:space="preserve"> 2015 to 2017.</w:t>
      </w:r>
    </w:p>
    <w:p w14:paraId="41077003"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5560FFA0" w14:textId="5E865DC6" w:rsidR="00DA1EAC"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(f)</w:t>
      </w:r>
      <w:r>
        <w:rPr>
          <w:rFonts w:ascii="Arial" w:hAnsi="Arial" w:cs="Arial"/>
          <w:color w:val="000000" w:themeColor="text1"/>
          <w:lang w:val="en-US"/>
        </w:rPr>
        <w:tab/>
      </w:r>
      <w:r w:rsidR="00DE5DA0" w:rsidRPr="00B77A2B">
        <w:rPr>
          <w:rFonts w:ascii="Arial" w:hAnsi="Arial" w:cs="Arial"/>
          <w:color w:val="000000" w:themeColor="text1"/>
          <w:lang w:val="en-US"/>
        </w:rPr>
        <w:t xml:space="preserve">The first respondent avers </w:t>
      </w:r>
      <w:r w:rsidR="0014776C" w:rsidRPr="00B77A2B">
        <w:rPr>
          <w:rFonts w:ascii="Arial" w:hAnsi="Arial" w:cs="Arial"/>
          <w:color w:val="000000" w:themeColor="text1"/>
          <w:lang w:val="en-US"/>
        </w:rPr>
        <w:t xml:space="preserve">(as a second point </w:t>
      </w:r>
      <w:r w:rsidR="0014776C" w:rsidRPr="00B77A2B">
        <w:rPr>
          <w:rFonts w:ascii="Arial" w:hAnsi="Arial" w:cs="Arial"/>
          <w:i/>
          <w:iCs/>
          <w:color w:val="000000" w:themeColor="text1"/>
          <w:lang w:val="en-US"/>
        </w:rPr>
        <w:t xml:space="preserve">in </w:t>
      </w:r>
      <w:proofErr w:type="spellStart"/>
      <w:r w:rsidR="0014776C" w:rsidRPr="00B77A2B">
        <w:rPr>
          <w:rFonts w:ascii="Arial" w:hAnsi="Arial" w:cs="Arial"/>
          <w:i/>
          <w:iCs/>
          <w:color w:val="000000" w:themeColor="text1"/>
          <w:lang w:val="en-US"/>
        </w:rPr>
        <w:t>limine</w:t>
      </w:r>
      <w:proofErr w:type="spellEnd"/>
      <w:r w:rsidR="0014776C" w:rsidRPr="00B77A2B">
        <w:rPr>
          <w:rFonts w:ascii="Arial" w:hAnsi="Arial" w:cs="Arial"/>
          <w:color w:val="000000" w:themeColor="text1"/>
          <w:lang w:val="en-US"/>
        </w:rPr>
        <w:t>)</w:t>
      </w:r>
      <w:r w:rsidR="0014776C" w:rsidRPr="00B77A2B">
        <w:rPr>
          <w:rFonts w:ascii="Arial" w:hAnsi="Arial" w:cs="Arial"/>
          <w:i/>
          <w:iCs/>
          <w:color w:val="000000" w:themeColor="text1"/>
          <w:lang w:val="en-US"/>
        </w:rPr>
        <w:t xml:space="preserve"> </w:t>
      </w:r>
      <w:r w:rsidR="00DE5DA0" w:rsidRPr="00B77A2B">
        <w:rPr>
          <w:rFonts w:ascii="Arial" w:hAnsi="Arial" w:cs="Arial"/>
          <w:color w:val="000000" w:themeColor="text1"/>
          <w:lang w:val="en-US"/>
        </w:rPr>
        <w:t>that a</w:t>
      </w:r>
      <w:r w:rsidR="00DA1EAC" w:rsidRPr="00B77A2B">
        <w:rPr>
          <w:rFonts w:ascii="Arial" w:hAnsi="Arial" w:cs="Arial"/>
          <w:color w:val="000000" w:themeColor="text1"/>
          <w:lang w:val="en-US"/>
        </w:rPr>
        <w:t xml:space="preserve"> creditor who wishes to rely on section 64 </w:t>
      </w:r>
      <w:r w:rsidR="00C918D3" w:rsidRPr="00B77A2B">
        <w:rPr>
          <w:rFonts w:ascii="Arial" w:hAnsi="Arial" w:cs="Arial"/>
          <w:color w:val="000000" w:themeColor="text1"/>
          <w:lang w:val="en-US"/>
        </w:rPr>
        <w:t xml:space="preserve">and 65 </w:t>
      </w:r>
      <w:r w:rsidR="00DA1EAC" w:rsidRPr="00B77A2B">
        <w:rPr>
          <w:rFonts w:ascii="Arial" w:hAnsi="Arial" w:cs="Arial"/>
          <w:color w:val="000000" w:themeColor="text1"/>
          <w:lang w:val="en-US"/>
        </w:rPr>
        <w:t xml:space="preserve">of the Close Corporations Act </w:t>
      </w:r>
      <w:r w:rsidR="00C918D3" w:rsidRPr="00B77A2B">
        <w:rPr>
          <w:rFonts w:ascii="Arial" w:hAnsi="Arial" w:cs="Arial"/>
          <w:color w:val="000000" w:themeColor="text1"/>
          <w:lang w:val="en-US"/>
        </w:rPr>
        <w:t xml:space="preserve">(or the common law) </w:t>
      </w:r>
      <w:r w:rsidR="00DA1EAC" w:rsidRPr="00B77A2B">
        <w:rPr>
          <w:rFonts w:ascii="Arial" w:hAnsi="Arial" w:cs="Arial"/>
          <w:color w:val="000000" w:themeColor="text1"/>
          <w:lang w:val="en-US"/>
        </w:rPr>
        <w:t xml:space="preserve">must show that the respondent was knowingly party to the carrying-on of the business of the close corporation recklessly, with gross negligence or with intent to defraud any person or for any fraudulent purpose. The applicant has failed to show that the second respondent at all times acted as an agent for the first respondent.  The applicant has failed to show that the second respondent misappropriated funds for his own benefit, and on the first respondent’s behalf as required in terms of section 64 of the </w:t>
      </w:r>
      <w:r w:rsidR="00430500" w:rsidRPr="00B77A2B">
        <w:rPr>
          <w:rFonts w:ascii="Arial" w:hAnsi="Arial" w:cs="Arial"/>
          <w:color w:val="000000" w:themeColor="text1"/>
          <w:lang w:val="en-US"/>
        </w:rPr>
        <w:t>Close</w:t>
      </w:r>
      <w:r w:rsidR="00DA1EAC" w:rsidRPr="00B77A2B">
        <w:rPr>
          <w:rFonts w:ascii="Arial" w:hAnsi="Arial" w:cs="Arial"/>
          <w:color w:val="000000" w:themeColor="text1"/>
          <w:lang w:val="en-US"/>
        </w:rPr>
        <w:t xml:space="preserve"> Corporations Act.</w:t>
      </w:r>
    </w:p>
    <w:p w14:paraId="053B837B"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572FBDCE" w14:textId="7B8237E7" w:rsidR="00DE5DA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t>(g)</w:t>
      </w:r>
      <w:r>
        <w:rPr>
          <w:rFonts w:ascii="Arial" w:hAnsi="Arial" w:cs="Arial"/>
          <w:color w:val="000000" w:themeColor="text1"/>
          <w:lang w:val="en-US"/>
        </w:rPr>
        <w:tab/>
      </w:r>
      <w:r w:rsidR="00DE5DA0" w:rsidRPr="00B77A2B">
        <w:rPr>
          <w:rFonts w:ascii="Arial" w:hAnsi="Arial" w:cs="Arial"/>
          <w:color w:val="000000" w:themeColor="text1"/>
          <w:lang w:val="en-US"/>
        </w:rPr>
        <w:t>The first respondent denie</w:t>
      </w:r>
      <w:r w:rsidR="00AE634E" w:rsidRPr="00B77A2B">
        <w:rPr>
          <w:rFonts w:ascii="Arial" w:hAnsi="Arial" w:cs="Arial"/>
          <w:color w:val="000000" w:themeColor="text1"/>
          <w:lang w:val="en-US"/>
        </w:rPr>
        <w:t>d</w:t>
      </w:r>
      <w:r w:rsidR="00DE5DA0" w:rsidRPr="00B77A2B">
        <w:rPr>
          <w:rFonts w:ascii="Arial" w:hAnsi="Arial" w:cs="Arial"/>
          <w:color w:val="000000" w:themeColor="text1"/>
          <w:lang w:val="en-US"/>
        </w:rPr>
        <w:t xml:space="preserve"> that the applicant made due and reasonable demand of the first respondent</w:t>
      </w:r>
      <w:r w:rsidR="005167F1" w:rsidRPr="00B77A2B">
        <w:rPr>
          <w:rFonts w:ascii="Arial" w:hAnsi="Arial" w:cs="Arial"/>
          <w:color w:val="000000" w:themeColor="text1"/>
          <w:lang w:val="en-US"/>
        </w:rPr>
        <w:t>.  There was, in addition, no</w:t>
      </w:r>
      <w:r w:rsidR="00DE5DA0" w:rsidRPr="00B77A2B">
        <w:rPr>
          <w:rFonts w:ascii="Arial" w:hAnsi="Arial" w:cs="Arial"/>
          <w:color w:val="000000" w:themeColor="text1"/>
          <w:lang w:val="en-US"/>
        </w:rPr>
        <w:t xml:space="preserve"> proper investigation con</w:t>
      </w:r>
      <w:r w:rsidR="00430500" w:rsidRPr="00B77A2B">
        <w:rPr>
          <w:rFonts w:ascii="Arial" w:hAnsi="Arial" w:cs="Arial"/>
          <w:color w:val="000000" w:themeColor="text1"/>
          <w:lang w:val="en-US"/>
        </w:rPr>
        <w:t>ducted</w:t>
      </w:r>
      <w:r w:rsidR="00DE5DA0" w:rsidRPr="00B77A2B">
        <w:rPr>
          <w:rFonts w:ascii="Arial" w:hAnsi="Arial" w:cs="Arial"/>
          <w:color w:val="000000" w:themeColor="text1"/>
          <w:lang w:val="en-US"/>
        </w:rPr>
        <w:t xml:space="preserve"> in regard to the first respondent’s financial affairs and ability to pay its debts when they became due</w:t>
      </w:r>
      <w:r w:rsidR="005167F1" w:rsidRPr="00B77A2B">
        <w:rPr>
          <w:rFonts w:ascii="Arial" w:hAnsi="Arial" w:cs="Arial"/>
          <w:color w:val="000000" w:themeColor="text1"/>
          <w:lang w:val="en-US"/>
        </w:rPr>
        <w:t>, as well as the functioning and competence of the first respondent, and the role and function played by the second respondent in regard to the first respondent.</w:t>
      </w:r>
    </w:p>
    <w:p w14:paraId="5D91638C"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2DA4D84A" w14:textId="1CACCCCA" w:rsidR="00DE5DA0" w:rsidRPr="00B77A2B" w:rsidRDefault="00B77A2B" w:rsidP="00B77A2B">
      <w:pPr>
        <w:spacing w:line="480" w:lineRule="auto"/>
        <w:ind w:left="1418" w:hanging="720"/>
        <w:jc w:val="both"/>
        <w:rPr>
          <w:rFonts w:ascii="Arial" w:hAnsi="Arial" w:cs="Arial"/>
          <w:color w:val="000000" w:themeColor="text1"/>
          <w:lang w:val="en-US"/>
        </w:rPr>
      </w:pPr>
      <w:r>
        <w:rPr>
          <w:rFonts w:ascii="Arial" w:hAnsi="Arial" w:cs="Arial"/>
          <w:color w:val="000000" w:themeColor="text1"/>
          <w:lang w:val="en-US"/>
        </w:rPr>
        <w:lastRenderedPageBreak/>
        <w:t>(h)</w:t>
      </w:r>
      <w:r>
        <w:rPr>
          <w:rFonts w:ascii="Arial" w:hAnsi="Arial" w:cs="Arial"/>
          <w:color w:val="000000" w:themeColor="text1"/>
          <w:lang w:val="en-US"/>
        </w:rPr>
        <w:tab/>
      </w:r>
      <w:r w:rsidR="00DE5DA0" w:rsidRPr="00B77A2B">
        <w:rPr>
          <w:rFonts w:ascii="Arial" w:hAnsi="Arial" w:cs="Arial"/>
          <w:color w:val="000000" w:themeColor="text1"/>
          <w:lang w:val="en-US"/>
        </w:rPr>
        <w:t xml:space="preserve">Any improper conduct on the part of the second respondent </w:t>
      </w:r>
      <w:r w:rsidR="00AE634E" w:rsidRPr="00B77A2B">
        <w:rPr>
          <w:rFonts w:ascii="Arial" w:hAnsi="Arial" w:cs="Arial"/>
          <w:color w:val="000000" w:themeColor="text1"/>
          <w:lang w:val="en-US"/>
        </w:rPr>
        <w:t>wa</w:t>
      </w:r>
      <w:r w:rsidR="00DE5DA0" w:rsidRPr="00B77A2B">
        <w:rPr>
          <w:rFonts w:ascii="Arial" w:hAnsi="Arial" w:cs="Arial"/>
          <w:color w:val="000000" w:themeColor="text1"/>
          <w:lang w:val="en-US"/>
        </w:rPr>
        <w:t>s denied.</w:t>
      </w:r>
    </w:p>
    <w:p w14:paraId="280A4DF9" w14:textId="77777777" w:rsidR="00AE634E" w:rsidRPr="00AE634E" w:rsidRDefault="00AE634E" w:rsidP="0027736E">
      <w:pPr>
        <w:spacing w:line="480" w:lineRule="auto"/>
        <w:ind w:left="1418" w:hanging="720"/>
        <w:jc w:val="both"/>
        <w:rPr>
          <w:rFonts w:ascii="Arial" w:hAnsi="Arial" w:cs="Arial"/>
          <w:color w:val="000000" w:themeColor="text1"/>
          <w:lang w:val="en-US"/>
        </w:rPr>
      </w:pPr>
    </w:p>
    <w:p w14:paraId="2E5E210D" w14:textId="4FEA70DB" w:rsidR="00DE5DA0" w:rsidRPr="00B77A2B" w:rsidRDefault="00B77A2B" w:rsidP="00B77A2B">
      <w:pPr>
        <w:spacing w:line="480" w:lineRule="auto"/>
        <w:ind w:left="1418" w:hanging="720"/>
        <w:jc w:val="both"/>
        <w:rPr>
          <w:rFonts w:ascii="Arial" w:hAnsi="Arial" w:cs="Arial"/>
          <w:color w:val="000000" w:themeColor="text1"/>
          <w:lang w:val="en-US"/>
        </w:rPr>
      </w:pPr>
      <w:r w:rsidRPr="00430500">
        <w:rPr>
          <w:rFonts w:ascii="Arial" w:hAnsi="Arial" w:cs="Arial"/>
          <w:color w:val="000000" w:themeColor="text1"/>
          <w:lang w:val="en-US"/>
        </w:rPr>
        <w:t>(</w:t>
      </w:r>
      <w:proofErr w:type="spellStart"/>
      <w:r w:rsidRPr="00430500">
        <w:rPr>
          <w:rFonts w:ascii="Arial" w:hAnsi="Arial" w:cs="Arial"/>
          <w:color w:val="000000" w:themeColor="text1"/>
          <w:lang w:val="en-US"/>
        </w:rPr>
        <w:t>i</w:t>
      </w:r>
      <w:proofErr w:type="spellEnd"/>
      <w:r w:rsidRPr="00430500">
        <w:rPr>
          <w:rFonts w:ascii="Arial" w:hAnsi="Arial" w:cs="Arial"/>
          <w:color w:val="000000" w:themeColor="text1"/>
          <w:lang w:val="en-US"/>
        </w:rPr>
        <w:t>)</w:t>
      </w:r>
      <w:r w:rsidRPr="00430500">
        <w:rPr>
          <w:rFonts w:ascii="Arial" w:hAnsi="Arial" w:cs="Arial"/>
          <w:color w:val="000000" w:themeColor="text1"/>
          <w:lang w:val="en-US"/>
        </w:rPr>
        <w:tab/>
      </w:r>
      <w:r w:rsidR="00DE5DA0" w:rsidRPr="00B77A2B">
        <w:rPr>
          <w:rFonts w:ascii="Arial" w:hAnsi="Arial" w:cs="Arial"/>
          <w:color w:val="000000" w:themeColor="text1"/>
          <w:lang w:val="en-US"/>
        </w:rPr>
        <w:t>The first respondent further avers that the applicant’s cause of action has prescribed.</w:t>
      </w:r>
    </w:p>
    <w:p w14:paraId="6C26B029" w14:textId="77777777" w:rsidR="00DA1EAC" w:rsidRPr="00430500" w:rsidRDefault="00DA1EAC" w:rsidP="0027736E">
      <w:pPr>
        <w:pStyle w:val="ListParagraph"/>
        <w:spacing w:line="480" w:lineRule="auto"/>
        <w:ind w:left="1080" w:hanging="720"/>
        <w:jc w:val="both"/>
        <w:rPr>
          <w:rFonts w:ascii="Arial" w:hAnsi="Arial" w:cs="Arial"/>
          <w:color w:val="000000" w:themeColor="text1"/>
          <w:lang w:val="en-US"/>
        </w:rPr>
      </w:pPr>
    </w:p>
    <w:p w14:paraId="2340F6D4" w14:textId="77D3E658" w:rsidR="00DA1EAC"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[19]</w:t>
      </w:r>
      <w:r>
        <w:rPr>
          <w:rFonts w:ascii="Arial" w:hAnsi="Arial" w:cs="Arial"/>
          <w:color w:val="000000" w:themeColor="text1"/>
          <w:lang w:val="en-US"/>
        </w:rPr>
        <w:tab/>
      </w:r>
      <w:r w:rsidR="00DE5DA0" w:rsidRPr="00B77A2B">
        <w:rPr>
          <w:rFonts w:ascii="Arial" w:hAnsi="Arial" w:cs="Arial"/>
          <w:color w:val="000000" w:themeColor="text1"/>
          <w:lang w:val="en-US"/>
        </w:rPr>
        <w:t>The first respondent has requested that the application be dismissed with a punitive costs order.</w:t>
      </w:r>
    </w:p>
    <w:p w14:paraId="0E49E614" w14:textId="77777777" w:rsidR="00AE634E" w:rsidRPr="00AE634E" w:rsidRDefault="00AE634E" w:rsidP="0027736E">
      <w:pPr>
        <w:spacing w:line="480" w:lineRule="auto"/>
        <w:ind w:hanging="720"/>
        <w:jc w:val="both"/>
        <w:rPr>
          <w:rFonts w:ascii="Arial" w:hAnsi="Arial" w:cs="Arial"/>
          <w:color w:val="000000" w:themeColor="text1"/>
          <w:lang w:val="en-US"/>
        </w:rPr>
      </w:pPr>
    </w:p>
    <w:p w14:paraId="440C568C" w14:textId="429690F3" w:rsidR="00DE5DA0" w:rsidRPr="00B77A2B" w:rsidRDefault="00B77A2B" w:rsidP="00B77A2B">
      <w:pPr>
        <w:spacing w:line="480" w:lineRule="auto"/>
        <w:ind w:left="720" w:hanging="720"/>
        <w:jc w:val="both"/>
        <w:rPr>
          <w:rFonts w:ascii="Arial" w:hAnsi="Arial" w:cs="Arial"/>
          <w:color w:val="000000" w:themeColor="text1"/>
          <w:lang w:val="en-US"/>
        </w:rPr>
      </w:pPr>
      <w:r w:rsidRPr="00AE634E">
        <w:rPr>
          <w:rFonts w:ascii="Arial" w:hAnsi="Arial" w:cs="Arial"/>
          <w:color w:val="000000" w:themeColor="text1"/>
          <w:lang w:val="en-US"/>
        </w:rPr>
        <w:t>[20]</w:t>
      </w:r>
      <w:r w:rsidRPr="00AE634E">
        <w:rPr>
          <w:rFonts w:ascii="Arial" w:hAnsi="Arial" w:cs="Arial"/>
          <w:color w:val="000000" w:themeColor="text1"/>
          <w:lang w:val="en-US"/>
        </w:rPr>
        <w:tab/>
      </w:r>
      <w:r w:rsidR="00DE5DA0" w:rsidRPr="00B77A2B">
        <w:rPr>
          <w:rFonts w:ascii="Arial" w:hAnsi="Arial" w:cs="Arial"/>
          <w:color w:val="000000" w:themeColor="text1"/>
          <w:lang w:val="en-US"/>
        </w:rPr>
        <w:t xml:space="preserve">The second respondent also filed an answering affidavit, disclosing grounds of opposition which are </w:t>
      </w:r>
      <w:r w:rsidR="00430500" w:rsidRPr="00B77A2B">
        <w:rPr>
          <w:rFonts w:ascii="Arial" w:hAnsi="Arial" w:cs="Arial"/>
          <w:color w:val="000000" w:themeColor="text1"/>
          <w:lang w:val="en-US"/>
        </w:rPr>
        <w:t>essentially</w:t>
      </w:r>
      <w:r w:rsidR="00DE5DA0" w:rsidRPr="00B77A2B">
        <w:rPr>
          <w:rFonts w:ascii="Arial" w:hAnsi="Arial" w:cs="Arial"/>
          <w:color w:val="000000" w:themeColor="text1"/>
          <w:lang w:val="en-US"/>
        </w:rPr>
        <w:t xml:space="preserve"> the same as those advanced by the first respondent.</w:t>
      </w:r>
      <w:r w:rsidR="0014776C" w:rsidRPr="00B77A2B">
        <w:rPr>
          <w:rFonts w:ascii="Arial" w:hAnsi="Arial" w:cs="Arial"/>
          <w:color w:val="000000" w:themeColor="text1"/>
          <w:lang w:val="en-US"/>
        </w:rPr>
        <w:t xml:space="preserve">  The second respondent raised prescription as a first point </w:t>
      </w:r>
      <w:r w:rsidR="0014776C" w:rsidRPr="00B77A2B">
        <w:rPr>
          <w:rFonts w:ascii="Arial" w:hAnsi="Arial" w:cs="Arial"/>
          <w:i/>
          <w:iCs/>
          <w:color w:val="000000" w:themeColor="text1"/>
          <w:lang w:val="en-US"/>
        </w:rPr>
        <w:t xml:space="preserve">in </w:t>
      </w:r>
      <w:proofErr w:type="spellStart"/>
      <w:r w:rsidR="0014776C" w:rsidRPr="00B77A2B">
        <w:rPr>
          <w:rFonts w:ascii="Arial" w:hAnsi="Arial" w:cs="Arial"/>
          <w:i/>
          <w:iCs/>
          <w:color w:val="000000" w:themeColor="text1"/>
          <w:lang w:val="en-US"/>
        </w:rPr>
        <w:t>limine</w:t>
      </w:r>
      <w:proofErr w:type="spellEnd"/>
      <w:r w:rsidR="0014776C" w:rsidRPr="00B77A2B">
        <w:rPr>
          <w:rFonts w:ascii="Arial" w:hAnsi="Arial" w:cs="Arial"/>
          <w:color w:val="000000" w:themeColor="text1"/>
          <w:lang w:val="en-US"/>
        </w:rPr>
        <w:t xml:space="preserve">, whilst the failure to launch this matter via action proceedings, and the failure to make out an appropriate case in regard to reliance on sections 64 and 65 of the </w:t>
      </w:r>
      <w:r w:rsidR="00430500" w:rsidRPr="00B77A2B">
        <w:rPr>
          <w:rFonts w:ascii="Arial" w:hAnsi="Arial" w:cs="Arial"/>
          <w:color w:val="000000" w:themeColor="text1"/>
          <w:lang w:val="en-US"/>
        </w:rPr>
        <w:t>Close</w:t>
      </w:r>
      <w:r w:rsidR="0014776C" w:rsidRPr="00B77A2B">
        <w:rPr>
          <w:rFonts w:ascii="Arial" w:hAnsi="Arial" w:cs="Arial"/>
          <w:color w:val="000000" w:themeColor="text1"/>
          <w:lang w:val="en-US"/>
        </w:rPr>
        <w:t xml:space="preserve"> Corporations Act (alternatively the common law in this regard), are both raised as a ‘second point </w:t>
      </w:r>
      <w:r w:rsidR="0014776C" w:rsidRPr="00B77A2B">
        <w:rPr>
          <w:rFonts w:ascii="Arial" w:hAnsi="Arial" w:cs="Arial"/>
          <w:i/>
          <w:iCs/>
          <w:color w:val="000000" w:themeColor="text1"/>
          <w:lang w:val="en-US"/>
        </w:rPr>
        <w:t xml:space="preserve">in </w:t>
      </w:r>
      <w:proofErr w:type="spellStart"/>
      <w:r w:rsidR="0014776C" w:rsidRPr="00B77A2B">
        <w:rPr>
          <w:rFonts w:ascii="Arial" w:hAnsi="Arial" w:cs="Arial"/>
          <w:i/>
          <w:iCs/>
          <w:color w:val="000000" w:themeColor="text1"/>
          <w:lang w:val="en-US"/>
        </w:rPr>
        <w:t>limine</w:t>
      </w:r>
      <w:proofErr w:type="spellEnd"/>
      <w:r w:rsidR="0014776C" w:rsidRPr="00B77A2B">
        <w:rPr>
          <w:rFonts w:ascii="Arial" w:hAnsi="Arial" w:cs="Arial"/>
          <w:i/>
          <w:iCs/>
          <w:color w:val="000000" w:themeColor="text1"/>
          <w:lang w:val="en-US"/>
        </w:rPr>
        <w:t>’.</w:t>
      </w:r>
    </w:p>
    <w:p w14:paraId="28610510" w14:textId="77777777" w:rsidR="00AE634E" w:rsidRPr="00AE634E" w:rsidRDefault="00AE634E" w:rsidP="0027736E">
      <w:pPr>
        <w:spacing w:line="480" w:lineRule="auto"/>
        <w:ind w:hanging="720"/>
        <w:jc w:val="both"/>
        <w:rPr>
          <w:rFonts w:ascii="Arial" w:hAnsi="Arial" w:cs="Arial"/>
          <w:color w:val="000000" w:themeColor="text1"/>
          <w:lang w:val="en-US"/>
        </w:rPr>
      </w:pPr>
    </w:p>
    <w:p w14:paraId="2D0C063D" w14:textId="767D04D0" w:rsidR="00256DCD" w:rsidRPr="00B77A2B" w:rsidRDefault="00B77A2B" w:rsidP="00B77A2B">
      <w:pPr>
        <w:spacing w:line="480" w:lineRule="auto"/>
        <w:ind w:left="720" w:hanging="720"/>
        <w:jc w:val="both"/>
        <w:rPr>
          <w:rFonts w:ascii="Arial" w:hAnsi="Arial" w:cs="Arial"/>
          <w:color w:val="000000" w:themeColor="text1"/>
          <w:lang w:val="en-US"/>
        </w:rPr>
      </w:pPr>
      <w:r w:rsidRPr="00B34564">
        <w:rPr>
          <w:rFonts w:ascii="Arial" w:hAnsi="Arial" w:cs="Arial"/>
          <w:color w:val="000000" w:themeColor="text1"/>
          <w:lang w:val="en-US"/>
        </w:rPr>
        <w:t>[21]</w:t>
      </w:r>
      <w:r w:rsidRPr="00B34564">
        <w:rPr>
          <w:rFonts w:ascii="Arial" w:hAnsi="Arial" w:cs="Arial"/>
          <w:color w:val="000000" w:themeColor="text1"/>
          <w:lang w:val="en-US"/>
        </w:rPr>
        <w:tab/>
      </w:r>
      <w:r w:rsidR="00256DCD" w:rsidRPr="00B77A2B">
        <w:rPr>
          <w:rFonts w:ascii="Arial" w:hAnsi="Arial" w:cs="Arial"/>
          <w:color w:val="000000" w:themeColor="text1"/>
          <w:lang w:val="en-US"/>
        </w:rPr>
        <w:t>The applicant, in reply, question</w:t>
      </w:r>
      <w:r w:rsidR="00AE634E" w:rsidRPr="00B77A2B">
        <w:rPr>
          <w:rFonts w:ascii="Arial" w:hAnsi="Arial" w:cs="Arial"/>
          <w:color w:val="000000" w:themeColor="text1"/>
          <w:lang w:val="en-US"/>
        </w:rPr>
        <w:t>ed</w:t>
      </w:r>
      <w:r w:rsidR="00256DCD" w:rsidRPr="00B77A2B">
        <w:rPr>
          <w:rFonts w:ascii="Arial" w:hAnsi="Arial" w:cs="Arial"/>
          <w:color w:val="000000" w:themeColor="text1"/>
          <w:lang w:val="en-US"/>
        </w:rPr>
        <w:t xml:space="preserve"> how the deponent of the answering affidavit for the first respondent ha</w:t>
      </w:r>
      <w:r w:rsidR="00AE634E" w:rsidRPr="00B77A2B">
        <w:rPr>
          <w:rFonts w:ascii="Arial" w:hAnsi="Arial" w:cs="Arial"/>
          <w:color w:val="000000" w:themeColor="text1"/>
          <w:lang w:val="en-US"/>
        </w:rPr>
        <w:t>d</w:t>
      </w:r>
      <w:r w:rsidR="00256DCD" w:rsidRPr="00B77A2B">
        <w:rPr>
          <w:rFonts w:ascii="Arial" w:hAnsi="Arial" w:cs="Arial"/>
          <w:color w:val="000000" w:themeColor="text1"/>
          <w:lang w:val="en-US"/>
        </w:rPr>
        <w:t xml:space="preserve"> any personal knowledge of what occurred, denie</w:t>
      </w:r>
      <w:r w:rsidR="00AE634E" w:rsidRPr="00B77A2B">
        <w:rPr>
          <w:rFonts w:ascii="Arial" w:hAnsi="Arial" w:cs="Arial"/>
          <w:color w:val="000000" w:themeColor="text1"/>
          <w:lang w:val="en-US"/>
        </w:rPr>
        <w:t>d</w:t>
      </w:r>
      <w:r w:rsidR="00256DCD" w:rsidRPr="00B77A2B">
        <w:rPr>
          <w:rFonts w:ascii="Arial" w:hAnsi="Arial" w:cs="Arial"/>
          <w:color w:val="000000" w:themeColor="text1"/>
          <w:lang w:val="en-US"/>
        </w:rPr>
        <w:t xml:space="preserve"> the factual sequence of events contained in the answering affidavit, denie</w:t>
      </w:r>
      <w:r w:rsidR="00AE634E" w:rsidRPr="00B77A2B">
        <w:rPr>
          <w:rFonts w:ascii="Arial" w:hAnsi="Arial" w:cs="Arial"/>
          <w:color w:val="000000" w:themeColor="text1"/>
          <w:lang w:val="en-US"/>
        </w:rPr>
        <w:t>d</w:t>
      </w:r>
      <w:r w:rsidR="00256DCD" w:rsidRPr="00B77A2B">
        <w:rPr>
          <w:rFonts w:ascii="Arial" w:hAnsi="Arial" w:cs="Arial"/>
          <w:color w:val="000000" w:themeColor="text1"/>
          <w:lang w:val="en-US"/>
        </w:rPr>
        <w:t xml:space="preserve"> that there are any disputes of fact, and aver</w:t>
      </w:r>
      <w:r w:rsidR="00AE634E" w:rsidRPr="00B77A2B">
        <w:rPr>
          <w:rFonts w:ascii="Arial" w:hAnsi="Arial" w:cs="Arial"/>
          <w:color w:val="000000" w:themeColor="text1"/>
          <w:lang w:val="en-US"/>
        </w:rPr>
        <w:t>red</w:t>
      </w:r>
      <w:r w:rsidR="00256DCD" w:rsidRPr="00B77A2B">
        <w:rPr>
          <w:rFonts w:ascii="Arial" w:hAnsi="Arial" w:cs="Arial"/>
          <w:color w:val="000000" w:themeColor="text1"/>
          <w:lang w:val="en-US"/>
        </w:rPr>
        <w:t xml:space="preserve"> that </w:t>
      </w:r>
      <w:r w:rsidR="00145C47" w:rsidRPr="00B77A2B">
        <w:rPr>
          <w:rFonts w:ascii="Arial" w:hAnsi="Arial" w:cs="Arial"/>
          <w:color w:val="000000" w:themeColor="text1"/>
          <w:lang w:val="en-US"/>
        </w:rPr>
        <w:t xml:space="preserve">insofar as showing that the second respondent at all material times acted on behalf of the first respondent, with an intention to defraud the applicant, </w:t>
      </w:r>
      <w:r w:rsidR="00145C47" w:rsidRPr="00B77A2B">
        <w:rPr>
          <w:rFonts w:ascii="Arial" w:hAnsi="Arial" w:cs="Arial"/>
          <w:i/>
          <w:iCs/>
          <w:color w:val="000000" w:themeColor="text1"/>
          <w:lang w:val="en-US"/>
        </w:rPr>
        <w:t>‘one need to look no further than 2</w:t>
      </w:r>
      <w:r w:rsidR="00145C47" w:rsidRPr="00B77A2B">
        <w:rPr>
          <w:rFonts w:ascii="Arial" w:hAnsi="Arial" w:cs="Arial"/>
          <w:i/>
          <w:iCs/>
          <w:color w:val="000000" w:themeColor="text1"/>
          <w:vertAlign w:val="superscript"/>
          <w:lang w:val="en-US"/>
        </w:rPr>
        <w:t>nd</w:t>
      </w:r>
      <w:r w:rsidR="00145C47" w:rsidRPr="00B77A2B">
        <w:rPr>
          <w:rFonts w:ascii="Arial" w:hAnsi="Arial" w:cs="Arial"/>
          <w:i/>
          <w:iCs/>
          <w:color w:val="000000" w:themeColor="text1"/>
          <w:lang w:val="en-US"/>
        </w:rPr>
        <w:t xml:space="preserve"> Respondent’s evidence under oath on the transcript and the findings of this Court on its judgment under case No. EL 1057/2017, all of which is binding on 2</w:t>
      </w:r>
      <w:r w:rsidR="00145C47" w:rsidRPr="00B77A2B">
        <w:rPr>
          <w:rFonts w:ascii="Arial" w:hAnsi="Arial" w:cs="Arial"/>
          <w:i/>
          <w:iCs/>
          <w:color w:val="000000" w:themeColor="text1"/>
          <w:vertAlign w:val="superscript"/>
          <w:lang w:val="en-US"/>
        </w:rPr>
        <w:t>nd</w:t>
      </w:r>
      <w:r w:rsidR="00145C47" w:rsidRPr="00B77A2B">
        <w:rPr>
          <w:rFonts w:ascii="Arial" w:hAnsi="Arial" w:cs="Arial"/>
          <w:i/>
          <w:iCs/>
          <w:color w:val="000000" w:themeColor="text1"/>
          <w:lang w:val="en-US"/>
        </w:rPr>
        <w:t xml:space="preserve"> Respondent.’</w:t>
      </w:r>
    </w:p>
    <w:p w14:paraId="41581A51" w14:textId="77777777" w:rsidR="0015365C" w:rsidRPr="00B34564" w:rsidRDefault="0015365C" w:rsidP="0027736E">
      <w:pPr>
        <w:spacing w:line="480" w:lineRule="auto"/>
        <w:ind w:hanging="720"/>
        <w:jc w:val="both"/>
        <w:rPr>
          <w:rFonts w:ascii="Arial" w:hAnsi="Arial" w:cs="Arial"/>
          <w:color w:val="000000" w:themeColor="text1"/>
          <w:lang w:val="en-US"/>
        </w:rPr>
      </w:pPr>
    </w:p>
    <w:p w14:paraId="6BF66C31" w14:textId="67F1F919" w:rsidR="00145C47"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[22]</w:t>
      </w:r>
      <w:r>
        <w:rPr>
          <w:rFonts w:ascii="Arial" w:hAnsi="Arial" w:cs="Arial"/>
          <w:color w:val="000000" w:themeColor="text1"/>
          <w:lang w:val="en-US"/>
        </w:rPr>
        <w:tab/>
      </w:r>
      <w:r w:rsidR="00145C47" w:rsidRPr="00B77A2B">
        <w:rPr>
          <w:rFonts w:ascii="Arial" w:hAnsi="Arial" w:cs="Arial"/>
          <w:color w:val="000000" w:themeColor="text1"/>
          <w:lang w:val="en-US"/>
        </w:rPr>
        <w:t xml:space="preserve">Whilst a copy of the judgment of </w:t>
      </w:r>
      <w:proofErr w:type="spellStart"/>
      <w:r w:rsidR="00145C47" w:rsidRPr="00B77A2B">
        <w:rPr>
          <w:rFonts w:ascii="Arial" w:hAnsi="Arial" w:cs="Arial"/>
          <w:color w:val="000000" w:themeColor="text1"/>
          <w:lang w:val="en-US"/>
        </w:rPr>
        <w:t>Jolwana</w:t>
      </w:r>
      <w:proofErr w:type="spellEnd"/>
      <w:r w:rsidR="00145C47" w:rsidRPr="00B77A2B">
        <w:rPr>
          <w:rFonts w:ascii="Arial" w:hAnsi="Arial" w:cs="Arial"/>
          <w:color w:val="000000" w:themeColor="text1"/>
          <w:lang w:val="en-US"/>
        </w:rPr>
        <w:t xml:space="preserve"> J is annexed to the founding affidavit, no copy of the transcript </w:t>
      </w:r>
      <w:r w:rsidR="00AE634E" w:rsidRPr="00B77A2B">
        <w:rPr>
          <w:rFonts w:ascii="Arial" w:hAnsi="Arial" w:cs="Arial"/>
          <w:color w:val="000000" w:themeColor="text1"/>
          <w:lang w:val="en-US"/>
        </w:rPr>
        <w:t xml:space="preserve">(or any other evidence) </w:t>
      </w:r>
      <w:r w:rsidR="00145C47" w:rsidRPr="00B77A2B">
        <w:rPr>
          <w:rFonts w:ascii="Arial" w:hAnsi="Arial" w:cs="Arial"/>
          <w:color w:val="000000" w:themeColor="text1"/>
          <w:lang w:val="en-US"/>
        </w:rPr>
        <w:t xml:space="preserve">has been </w:t>
      </w:r>
      <w:r w:rsidR="00430500" w:rsidRPr="00B77A2B">
        <w:rPr>
          <w:rFonts w:ascii="Arial" w:hAnsi="Arial" w:cs="Arial"/>
          <w:color w:val="000000" w:themeColor="text1"/>
          <w:lang w:val="en-US"/>
        </w:rPr>
        <w:t>provided</w:t>
      </w:r>
      <w:r w:rsidR="00145C47" w:rsidRPr="00B77A2B">
        <w:rPr>
          <w:rFonts w:ascii="Arial" w:hAnsi="Arial" w:cs="Arial"/>
          <w:color w:val="000000" w:themeColor="text1"/>
          <w:lang w:val="en-US"/>
        </w:rPr>
        <w:t>.</w:t>
      </w:r>
    </w:p>
    <w:p w14:paraId="67A17AAD" w14:textId="77777777" w:rsidR="00AE634E" w:rsidRPr="00AE634E" w:rsidRDefault="00AE634E" w:rsidP="0027736E">
      <w:pPr>
        <w:spacing w:line="480" w:lineRule="auto"/>
        <w:ind w:hanging="720"/>
        <w:jc w:val="both"/>
        <w:rPr>
          <w:rFonts w:ascii="Arial" w:hAnsi="Arial" w:cs="Arial"/>
          <w:color w:val="000000" w:themeColor="text1"/>
          <w:lang w:val="en-US"/>
        </w:rPr>
      </w:pPr>
    </w:p>
    <w:p w14:paraId="38EC27D3" w14:textId="56E9493D" w:rsidR="00145C47"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[23]</w:t>
      </w:r>
      <w:r w:rsidRPr="00430500">
        <w:rPr>
          <w:rFonts w:ascii="Arial" w:hAnsi="Arial" w:cs="Arial"/>
          <w:color w:val="000000" w:themeColor="text1"/>
          <w:lang w:val="en-US"/>
        </w:rPr>
        <w:tab/>
      </w:r>
      <w:r w:rsidR="00145C47" w:rsidRPr="00B77A2B">
        <w:rPr>
          <w:rFonts w:ascii="Arial" w:hAnsi="Arial" w:cs="Arial"/>
          <w:color w:val="000000" w:themeColor="text1"/>
          <w:lang w:val="en-US"/>
        </w:rPr>
        <w:t xml:space="preserve">The applicant’s reply to the second respondent’s answering affidavit, </w:t>
      </w:r>
      <w:r w:rsidR="00430500" w:rsidRPr="00B77A2B">
        <w:rPr>
          <w:rFonts w:ascii="Arial" w:hAnsi="Arial" w:cs="Arial"/>
          <w:color w:val="000000" w:themeColor="text1"/>
          <w:lang w:val="en-US"/>
        </w:rPr>
        <w:t>similar</w:t>
      </w:r>
      <w:r w:rsidR="00145C47" w:rsidRPr="00B77A2B">
        <w:rPr>
          <w:rFonts w:ascii="Arial" w:hAnsi="Arial" w:cs="Arial"/>
          <w:color w:val="000000" w:themeColor="text1"/>
          <w:lang w:val="en-US"/>
        </w:rPr>
        <w:t xml:space="preserve"> to the reply to that of the first respondent, amounts to a bare denial.</w:t>
      </w:r>
    </w:p>
    <w:p w14:paraId="56C08F7C" w14:textId="77777777" w:rsidR="000369E2" w:rsidRPr="00430500" w:rsidRDefault="000369E2" w:rsidP="0027736E">
      <w:pPr>
        <w:spacing w:line="480" w:lineRule="auto"/>
        <w:ind w:hanging="720"/>
        <w:jc w:val="both"/>
        <w:rPr>
          <w:rFonts w:ascii="Arial" w:hAnsi="Arial" w:cs="Arial"/>
          <w:color w:val="000000" w:themeColor="text1"/>
          <w:lang w:val="en-US"/>
        </w:rPr>
      </w:pPr>
    </w:p>
    <w:p w14:paraId="344D6CFA" w14:textId="77777777" w:rsidR="000369E2" w:rsidRPr="00430500" w:rsidRDefault="000369E2" w:rsidP="0027736E">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Analysis</w:t>
      </w:r>
    </w:p>
    <w:p w14:paraId="195A8000" w14:textId="77777777" w:rsidR="00145C47" w:rsidRPr="00430500" w:rsidRDefault="00145C47" w:rsidP="0027736E">
      <w:pPr>
        <w:spacing w:line="480" w:lineRule="auto"/>
        <w:ind w:hanging="720"/>
        <w:jc w:val="both"/>
        <w:rPr>
          <w:rFonts w:ascii="Arial" w:hAnsi="Arial" w:cs="Arial"/>
          <w:color w:val="000000" w:themeColor="text1"/>
          <w:lang w:val="en-US"/>
        </w:rPr>
      </w:pPr>
    </w:p>
    <w:p w14:paraId="3FED36EC" w14:textId="7BB41EE8" w:rsidR="00E1434C"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[24]</w:t>
      </w:r>
      <w:r w:rsidRPr="00430500">
        <w:rPr>
          <w:rFonts w:ascii="Arial" w:hAnsi="Arial" w:cs="Arial"/>
          <w:color w:val="000000" w:themeColor="text1"/>
          <w:lang w:val="en-US"/>
        </w:rPr>
        <w:tab/>
      </w:r>
      <w:r w:rsidR="00E1434C" w:rsidRPr="00B77A2B">
        <w:rPr>
          <w:rFonts w:ascii="Arial" w:hAnsi="Arial" w:cs="Arial"/>
          <w:color w:val="000000" w:themeColor="text1"/>
          <w:lang w:val="en-US"/>
        </w:rPr>
        <w:t>Sections 64 and 65 of the Close Corporations Act state as follows:</w:t>
      </w:r>
    </w:p>
    <w:p w14:paraId="0A60DB0C" w14:textId="77777777" w:rsidR="00E1434C" w:rsidRPr="00B34564" w:rsidRDefault="00E1434C" w:rsidP="0027736E">
      <w:pPr>
        <w:spacing w:line="480" w:lineRule="auto"/>
        <w:ind w:hanging="720"/>
        <w:jc w:val="both"/>
        <w:rPr>
          <w:rFonts w:ascii="Arial" w:eastAsia="Times New Roman" w:hAnsi="Arial" w:cs="Arial"/>
          <w:b/>
          <w:bCs/>
          <w:color w:val="000000" w:themeColor="text1"/>
          <w:lang w:val="en-ZA" w:eastAsia="en-GB"/>
        </w:rPr>
      </w:pPr>
    </w:p>
    <w:p w14:paraId="40C010A2" w14:textId="77777777" w:rsidR="00B93D9E" w:rsidRPr="00B34564" w:rsidRDefault="0027736E" w:rsidP="0027736E">
      <w:pPr>
        <w:pStyle w:val="ListParagraph"/>
        <w:spacing w:line="480" w:lineRule="auto"/>
        <w:ind w:left="1440" w:hanging="360"/>
        <w:jc w:val="both"/>
        <w:rPr>
          <w:rFonts w:ascii="Arial" w:eastAsia="Times New Roman" w:hAnsi="Arial" w:cs="Arial"/>
          <w:b/>
          <w:bCs/>
          <w:color w:val="000000" w:themeColor="text1"/>
          <w:sz w:val="22"/>
          <w:szCs w:val="22"/>
          <w:lang w:val="en-ZA" w:eastAsia="en-GB"/>
        </w:rPr>
      </w:pPr>
      <w:r>
        <w:rPr>
          <w:rFonts w:ascii="Arial" w:eastAsia="Times New Roman" w:hAnsi="Arial" w:cs="Arial"/>
          <w:b/>
          <w:bCs/>
          <w:color w:val="000000" w:themeColor="text1"/>
          <w:sz w:val="22"/>
          <w:szCs w:val="22"/>
          <w:lang w:val="en-ZA" w:eastAsia="en-GB"/>
        </w:rPr>
        <w:t>’</w:t>
      </w:r>
      <w:r w:rsidR="00B93D9E" w:rsidRPr="00B34564">
        <w:rPr>
          <w:rFonts w:ascii="Arial" w:eastAsia="Times New Roman" w:hAnsi="Arial" w:cs="Arial"/>
          <w:b/>
          <w:bCs/>
          <w:color w:val="000000" w:themeColor="text1"/>
          <w:sz w:val="22"/>
          <w:szCs w:val="22"/>
          <w:lang w:val="en-ZA" w:eastAsia="en-GB"/>
        </w:rPr>
        <w:t>64</w:t>
      </w:r>
      <w:r>
        <w:rPr>
          <w:rFonts w:ascii="Arial" w:eastAsia="Times New Roman" w:hAnsi="Arial" w:cs="Arial"/>
          <w:b/>
          <w:bCs/>
          <w:color w:val="000000" w:themeColor="text1"/>
          <w:sz w:val="22"/>
          <w:szCs w:val="22"/>
          <w:lang w:val="en-ZA" w:eastAsia="en-GB"/>
        </w:rPr>
        <w:tab/>
      </w:r>
      <w:r w:rsidR="00B93D9E" w:rsidRPr="00B34564">
        <w:rPr>
          <w:rFonts w:ascii="Arial" w:eastAsia="Times New Roman" w:hAnsi="Arial" w:cs="Arial"/>
          <w:b/>
          <w:bCs/>
          <w:color w:val="000000" w:themeColor="text1"/>
          <w:sz w:val="22"/>
          <w:szCs w:val="22"/>
          <w:lang w:val="en-ZA" w:eastAsia="en-GB"/>
        </w:rPr>
        <w:t>Liability for reckless or fraudulent carrying-on of business of corporation</w:t>
      </w:r>
    </w:p>
    <w:p w14:paraId="234AF650" w14:textId="486F2089" w:rsidR="00E1434C" w:rsidRPr="00B77A2B" w:rsidRDefault="00B77A2B" w:rsidP="00B77A2B">
      <w:pPr>
        <w:spacing w:line="480" w:lineRule="auto"/>
        <w:ind w:left="1843" w:hanging="72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(1)</w:t>
      </w:r>
      <w:r w:rsidRPr="00B34564">
        <w:rPr>
          <w:rFonts w:ascii="Arial" w:eastAsia="Times New Roman" w:hAnsi="Arial" w:cs="Arial"/>
          <w:color w:val="000000" w:themeColor="text1"/>
          <w:sz w:val="22"/>
          <w:szCs w:val="22"/>
          <w:lang w:val="en-ZA" w:eastAsia="en-GB"/>
        </w:rPr>
        <w:tab/>
      </w:r>
      <w:r w:rsidR="00B93D9E" w:rsidRPr="00B77A2B">
        <w:rPr>
          <w:rFonts w:ascii="Arial" w:eastAsia="Times New Roman" w:hAnsi="Arial" w:cs="Arial"/>
          <w:color w:val="000000" w:themeColor="text1"/>
          <w:sz w:val="22"/>
          <w:szCs w:val="22"/>
          <w:lang w:val="en-ZA" w:eastAsia="en-GB"/>
        </w:rPr>
        <w:t>If it at any time appears that any business of a corporation was or is being carried on recklessly, with gross negligence or with intent to defraud any person or for any fraudulent purpose, a Court may on the application of the Master, or any creditor, member or liquidator of the corporation, declare that any person who was knowingly a party to the carrying on of the business in any such manner, shall be personally liable for all or any of such debts or other liabilities of the corporation as the Court may direct, and the Court may give such further orders as it considers proper for the purpose of giving effect to the declaration and enforcing that liability.</w:t>
      </w:r>
    </w:p>
    <w:p w14:paraId="0DD81E47" w14:textId="77777777" w:rsidR="00E1434C" w:rsidRPr="00B34564" w:rsidRDefault="00E1434C" w:rsidP="0027736E">
      <w:pPr>
        <w:pStyle w:val="ListParagraph"/>
        <w:spacing w:line="480" w:lineRule="auto"/>
        <w:ind w:left="1843" w:hanging="720"/>
        <w:jc w:val="both"/>
        <w:rPr>
          <w:rFonts w:ascii="Arial" w:eastAsia="Times New Roman" w:hAnsi="Arial" w:cs="Arial"/>
          <w:color w:val="000000" w:themeColor="text1"/>
          <w:sz w:val="22"/>
          <w:szCs w:val="22"/>
          <w:lang w:val="en-ZA" w:eastAsia="en-GB"/>
        </w:rPr>
      </w:pPr>
    </w:p>
    <w:p w14:paraId="370E3AA6" w14:textId="13A834D3" w:rsidR="00B93D9E" w:rsidRPr="00B77A2B" w:rsidRDefault="00B77A2B" w:rsidP="00B77A2B">
      <w:pPr>
        <w:spacing w:line="480" w:lineRule="auto"/>
        <w:ind w:left="1843" w:hanging="72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(2)</w:t>
      </w:r>
      <w:r w:rsidRPr="00B34564">
        <w:rPr>
          <w:rFonts w:ascii="Arial" w:eastAsia="Times New Roman" w:hAnsi="Arial" w:cs="Arial"/>
          <w:color w:val="000000" w:themeColor="text1"/>
          <w:sz w:val="22"/>
          <w:szCs w:val="22"/>
          <w:lang w:val="en-ZA" w:eastAsia="en-GB"/>
        </w:rPr>
        <w:tab/>
      </w:r>
      <w:r w:rsidR="00B93D9E" w:rsidRPr="00B77A2B">
        <w:rPr>
          <w:rFonts w:ascii="Arial" w:eastAsia="Times New Roman" w:hAnsi="Arial" w:cs="Arial"/>
          <w:color w:val="000000" w:themeColor="text1"/>
          <w:sz w:val="22"/>
          <w:szCs w:val="22"/>
          <w:lang w:val="en-ZA" w:eastAsia="en-GB"/>
        </w:rPr>
        <w:t>If any business of a corporation is carried on in any manner contemplated in subsection (1), every person who is knowingly a party to the carrying on of the business in any such manner, shall be guilty of an offence.</w:t>
      </w:r>
    </w:p>
    <w:p w14:paraId="37ECB644" w14:textId="77777777" w:rsidR="00E1434C" w:rsidRPr="00B34564" w:rsidRDefault="00E1434C" w:rsidP="0027736E">
      <w:pPr>
        <w:pStyle w:val="ListParagraph"/>
        <w:spacing w:line="480" w:lineRule="auto"/>
        <w:ind w:hanging="720"/>
        <w:jc w:val="both"/>
        <w:rPr>
          <w:rFonts w:ascii="Arial" w:eastAsia="Times New Roman" w:hAnsi="Arial" w:cs="Arial"/>
          <w:b/>
          <w:bCs/>
          <w:color w:val="000000" w:themeColor="text1"/>
          <w:sz w:val="22"/>
          <w:szCs w:val="22"/>
          <w:lang w:val="en-ZA" w:eastAsia="en-GB"/>
        </w:rPr>
      </w:pPr>
    </w:p>
    <w:p w14:paraId="0F191EE1" w14:textId="77777777" w:rsidR="00B93D9E" w:rsidRPr="00B34564" w:rsidRDefault="00B93D9E" w:rsidP="0027736E">
      <w:pPr>
        <w:pStyle w:val="ListParagraph"/>
        <w:spacing w:line="480" w:lineRule="auto"/>
        <w:ind w:left="1438" w:hanging="315"/>
        <w:jc w:val="both"/>
        <w:rPr>
          <w:rFonts w:ascii="Arial" w:eastAsia="Times New Roman" w:hAnsi="Arial" w:cs="Arial"/>
          <w:b/>
          <w:bCs/>
          <w:color w:val="000000" w:themeColor="text1"/>
          <w:sz w:val="22"/>
          <w:szCs w:val="22"/>
          <w:lang w:val="en-ZA" w:eastAsia="en-GB"/>
        </w:rPr>
      </w:pPr>
      <w:r w:rsidRPr="00B34564">
        <w:rPr>
          <w:rFonts w:ascii="Arial" w:eastAsia="Times New Roman" w:hAnsi="Arial" w:cs="Arial"/>
          <w:b/>
          <w:bCs/>
          <w:color w:val="000000" w:themeColor="text1"/>
          <w:sz w:val="22"/>
          <w:szCs w:val="22"/>
          <w:lang w:val="en-ZA" w:eastAsia="en-GB"/>
        </w:rPr>
        <w:lastRenderedPageBreak/>
        <w:t>65</w:t>
      </w:r>
      <w:r w:rsidR="0027736E">
        <w:rPr>
          <w:rFonts w:ascii="Arial" w:eastAsia="Times New Roman" w:hAnsi="Arial" w:cs="Arial"/>
          <w:b/>
          <w:bCs/>
          <w:color w:val="000000" w:themeColor="text1"/>
          <w:sz w:val="22"/>
          <w:szCs w:val="22"/>
          <w:lang w:val="en-ZA" w:eastAsia="en-GB"/>
        </w:rPr>
        <w:tab/>
      </w:r>
      <w:r w:rsidRPr="00B34564">
        <w:rPr>
          <w:rFonts w:ascii="Arial" w:eastAsia="Times New Roman" w:hAnsi="Arial" w:cs="Arial"/>
          <w:b/>
          <w:bCs/>
          <w:color w:val="000000" w:themeColor="text1"/>
          <w:sz w:val="22"/>
          <w:szCs w:val="22"/>
          <w:lang w:val="en-ZA" w:eastAsia="en-GB"/>
        </w:rPr>
        <w:t>Powers of Court in case of abuse of separate juristic personality of corporation</w:t>
      </w:r>
    </w:p>
    <w:p w14:paraId="51C25EDA" w14:textId="77777777" w:rsidR="00E1434C" w:rsidRPr="00B34564" w:rsidRDefault="00E1434C" w:rsidP="0027736E">
      <w:pPr>
        <w:pStyle w:val="ListParagraph"/>
        <w:spacing w:line="480" w:lineRule="auto"/>
        <w:ind w:hanging="720"/>
        <w:jc w:val="both"/>
        <w:rPr>
          <w:rFonts w:ascii="Arial" w:eastAsia="Times New Roman" w:hAnsi="Arial" w:cs="Arial"/>
          <w:color w:val="000000" w:themeColor="text1"/>
          <w:sz w:val="22"/>
          <w:szCs w:val="22"/>
          <w:lang w:val="en-ZA" w:eastAsia="en-GB"/>
        </w:rPr>
      </w:pPr>
    </w:p>
    <w:p w14:paraId="28BDA51E" w14:textId="77777777" w:rsidR="00B93D9E" w:rsidRPr="00B34564" w:rsidRDefault="00B93D9E" w:rsidP="0027736E">
      <w:pPr>
        <w:pStyle w:val="ListParagraph"/>
        <w:spacing w:line="480" w:lineRule="auto"/>
        <w:ind w:left="1843"/>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Whenever a Court on application by an interested person, or in any proceedings in which a corporation is involved, finds that the incorporation of, or any act by or on behalf of, or any use of, that corporation, constitutes a gross abuse of the juristic personality of the corporation as a separate entity, the Court may declare that the corporation is to be deemed not to be a juristic person in respect of such rights, obligations or liabilities of the corporation, or of such member or members thereof, or of such other person or persons, as are specified in the declaration, and the Court may give such further order or orders as it may deem fit in order to give effect to such declaration.</w:t>
      </w:r>
      <w:r w:rsidR="00E1434C" w:rsidRPr="00B34564">
        <w:rPr>
          <w:rFonts w:ascii="Arial" w:eastAsia="Times New Roman" w:hAnsi="Arial" w:cs="Arial"/>
          <w:color w:val="000000" w:themeColor="text1"/>
          <w:sz w:val="22"/>
          <w:szCs w:val="22"/>
          <w:lang w:val="en-ZA" w:eastAsia="en-GB"/>
        </w:rPr>
        <w:t>’</w:t>
      </w:r>
    </w:p>
    <w:p w14:paraId="0E743429" w14:textId="77777777" w:rsidR="00E1434C" w:rsidRPr="00430500" w:rsidRDefault="00E1434C" w:rsidP="0027736E">
      <w:pPr>
        <w:pStyle w:val="ListParagraph"/>
        <w:spacing w:line="480" w:lineRule="auto"/>
        <w:ind w:hanging="720"/>
        <w:jc w:val="both"/>
        <w:rPr>
          <w:rFonts w:ascii="Arial" w:eastAsia="Times New Roman" w:hAnsi="Arial" w:cs="Arial"/>
          <w:i/>
          <w:iCs/>
          <w:color w:val="000000" w:themeColor="text1"/>
          <w:lang w:val="en-ZA" w:eastAsia="en-GB"/>
        </w:rPr>
      </w:pPr>
    </w:p>
    <w:p w14:paraId="1B01CE95" w14:textId="5F4E283C" w:rsidR="00367136" w:rsidRPr="00B77A2B" w:rsidRDefault="00B77A2B" w:rsidP="00B77A2B">
      <w:pPr>
        <w:spacing w:line="480" w:lineRule="auto"/>
        <w:ind w:left="720" w:hanging="720"/>
        <w:jc w:val="both"/>
        <w:rPr>
          <w:rFonts w:ascii="Arial" w:hAnsi="Arial" w:cs="Arial"/>
          <w:i/>
          <w:iCs/>
          <w:color w:val="000000" w:themeColor="text1"/>
          <w:lang w:val="en-US"/>
        </w:rPr>
      </w:pPr>
      <w:r w:rsidRPr="00AE634E">
        <w:rPr>
          <w:rFonts w:ascii="Arial" w:hAnsi="Arial" w:cs="Arial"/>
          <w:color w:val="000000" w:themeColor="text1"/>
          <w:lang w:val="en-US"/>
        </w:rPr>
        <w:t>[25]</w:t>
      </w:r>
      <w:r w:rsidRPr="00AE634E">
        <w:rPr>
          <w:rFonts w:ascii="Arial" w:hAnsi="Arial" w:cs="Arial"/>
          <w:color w:val="000000" w:themeColor="text1"/>
          <w:lang w:val="en-US"/>
        </w:rPr>
        <w:tab/>
      </w:r>
      <w:r w:rsidR="00367136" w:rsidRPr="00B77A2B">
        <w:rPr>
          <w:rFonts w:ascii="Arial" w:hAnsi="Arial" w:cs="Arial"/>
          <w:color w:val="000000" w:themeColor="text1"/>
          <w:lang w:val="en-US"/>
        </w:rPr>
        <w:t xml:space="preserve">In the </w:t>
      </w:r>
      <w:r w:rsidR="009B6F8B" w:rsidRPr="00B77A2B">
        <w:rPr>
          <w:rFonts w:ascii="Arial" w:hAnsi="Arial" w:cs="Arial"/>
          <w:color w:val="000000" w:themeColor="text1"/>
          <w:lang w:val="en-US"/>
        </w:rPr>
        <w:t>first action the second respondent testified on behalf of the first respondent, but was not a party to the litigation.</w:t>
      </w:r>
      <w:r w:rsidR="00341D3F" w:rsidRPr="00B77A2B">
        <w:rPr>
          <w:rFonts w:ascii="Arial" w:hAnsi="Arial" w:cs="Arial"/>
          <w:color w:val="000000" w:themeColor="text1"/>
          <w:lang w:val="en-US"/>
        </w:rPr>
        <w:t xml:space="preserve">  It appears further that </w:t>
      </w:r>
      <w:proofErr w:type="spellStart"/>
      <w:r w:rsidR="00341D3F" w:rsidRPr="00B77A2B">
        <w:rPr>
          <w:rFonts w:ascii="Arial" w:hAnsi="Arial" w:cs="Arial"/>
          <w:color w:val="000000" w:themeColor="text1"/>
          <w:lang w:val="en-US"/>
        </w:rPr>
        <w:t>Jolwana</w:t>
      </w:r>
      <w:proofErr w:type="spellEnd"/>
      <w:r w:rsidR="00341D3F" w:rsidRPr="00B77A2B">
        <w:rPr>
          <w:rFonts w:ascii="Arial" w:hAnsi="Arial" w:cs="Arial"/>
          <w:color w:val="000000" w:themeColor="text1"/>
          <w:lang w:val="en-US"/>
        </w:rPr>
        <w:t xml:space="preserve"> J refused to accept a belated attempt to introduce certain ev</w:t>
      </w:r>
      <w:r w:rsidR="00430500" w:rsidRPr="00B77A2B">
        <w:rPr>
          <w:rFonts w:ascii="Arial" w:hAnsi="Arial" w:cs="Arial"/>
          <w:color w:val="000000" w:themeColor="text1"/>
          <w:lang w:val="en-US"/>
        </w:rPr>
        <w:t>idence</w:t>
      </w:r>
      <w:r w:rsidR="00341D3F" w:rsidRPr="00B77A2B">
        <w:rPr>
          <w:rFonts w:ascii="Arial" w:hAnsi="Arial" w:cs="Arial"/>
          <w:color w:val="000000" w:themeColor="text1"/>
          <w:lang w:val="en-US"/>
        </w:rPr>
        <w:t xml:space="preserve"> on behalf of the first respondent.</w:t>
      </w:r>
      <w:r w:rsidR="00341D3F" w:rsidRPr="00430500">
        <w:rPr>
          <w:rStyle w:val="FootnoteReference"/>
          <w:rFonts w:ascii="Arial" w:hAnsi="Arial" w:cs="Arial"/>
          <w:color w:val="000000" w:themeColor="text1"/>
          <w:lang w:val="en-US"/>
        </w:rPr>
        <w:footnoteReference w:id="3"/>
      </w:r>
      <w:r w:rsidR="00341D3F" w:rsidRPr="00B77A2B">
        <w:rPr>
          <w:rFonts w:ascii="Arial" w:hAnsi="Arial" w:cs="Arial"/>
          <w:color w:val="000000" w:themeColor="text1"/>
          <w:lang w:val="en-US"/>
        </w:rPr>
        <w:t xml:space="preserve"> </w:t>
      </w:r>
    </w:p>
    <w:p w14:paraId="2F5EDAC2" w14:textId="77777777" w:rsidR="00AE634E" w:rsidRPr="00AE634E" w:rsidRDefault="00AE634E" w:rsidP="0027736E">
      <w:pPr>
        <w:spacing w:line="480" w:lineRule="auto"/>
        <w:ind w:left="360" w:hanging="720"/>
        <w:jc w:val="both"/>
        <w:rPr>
          <w:rFonts w:ascii="Arial" w:hAnsi="Arial" w:cs="Arial"/>
          <w:i/>
          <w:iCs/>
          <w:color w:val="000000" w:themeColor="text1"/>
          <w:lang w:val="en-US"/>
        </w:rPr>
      </w:pPr>
    </w:p>
    <w:p w14:paraId="64FB19E5" w14:textId="59FD94F6" w:rsidR="000369E2" w:rsidRPr="00B77A2B" w:rsidRDefault="00B77A2B" w:rsidP="00B77A2B">
      <w:pPr>
        <w:spacing w:line="480" w:lineRule="auto"/>
        <w:ind w:left="720" w:hanging="720"/>
        <w:jc w:val="both"/>
        <w:rPr>
          <w:rFonts w:ascii="Arial" w:hAnsi="Arial" w:cs="Arial"/>
          <w:i/>
          <w:iCs/>
          <w:color w:val="000000" w:themeColor="text1"/>
          <w:lang w:val="en-US"/>
        </w:rPr>
      </w:pPr>
      <w:r w:rsidRPr="00430500">
        <w:rPr>
          <w:rFonts w:ascii="Arial" w:hAnsi="Arial" w:cs="Arial"/>
          <w:color w:val="000000" w:themeColor="text1"/>
          <w:lang w:val="en-US"/>
        </w:rPr>
        <w:t>[26]</w:t>
      </w:r>
      <w:r w:rsidRPr="00430500">
        <w:rPr>
          <w:rFonts w:ascii="Arial" w:hAnsi="Arial" w:cs="Arial"/>
          <w:color w:val="000000" w:themeColor="text1"/>
          <w:lang w:val="en-US"/>
        </w:rPr>
        <w:tab/>
      </w:r>
      <w:r w:rsidR="00E1434C" w:rsidRPr="00B77A2B">
        <w:rPr>
          <w:rFonts w:ascii="Arial" w:hAnsi="Arial" w:cs="Arial"/>
          <w:color w:val="000000" w:themeColor="text1"/>
          <w:lang w:val="en-US"/>
        </w:rPr>
        <w:t xml:space="preserve">The judgment of </w:t>
      </w:r>
      <w:proofErr w:type="spellStart"/>
      <w:r w:rsidR="00E1434C" w:rsidRPr="00B77A2B">
        <w:rPr>
          <w:rFonts w:ascii="Arial" w:hAnsi="Arial" w:cs="Arial"/>
          <w:color w:val="000000" w:themeColor="text1"/>
          <w:lang w:val="en-US"/>
        </w:rPr>
        <w:t>Jolwana</w:t>
      </w:r>
      <w:proofErr w:type="spellEnd"/>
      <w:r w:rsidR="00E1434C" w:rsidRPr="00B77A2B">
        <w:rPr>
          <w:rFonts w:ascii="Arial" w:hAnsi="Arial" w:cs="Arial"/>
          <w:color w:val="000000" w:themeColor="text1"/>
          <w:lang w:val="en-US"/>
        </w:rPr>
        <w:t xml:space="preserve"> J </w:t>
      </w:r>
      <w:r w:rsidR="00367136" w:rsidRPr="00B77A2B">
        <w:rPr>
          <w:rFonts w:ascii="Arial" w:hAnsi="Arial" w:cs="Arial"/>
          <w:color w:val="000000" w:themeColor="text1"/>
          <w:lang w:val="en-US"/>
        </w:rPr>
        <w:t>concluded, on the evidence available in that matter, that the College did not exist</w:t>
      </w:r>
      <w:r w:rsidR="007C5332" w:rsidRPr="00B77A2B">
        <w:rPr>
          <w:rFonts w:ascii="Arial" w:hAnsi="Arial" w:cs="Arial"/>
          <w:color w:val="000000" w:themeColor="text1"/>
          <w:lang w:val="en-US"/>
        </w:rPr>
        <w:t xml:space="preserve"> when it was sold</w:t>
      </w:r>
      <w:r w:rsidR="00367136" w:rsidRPr="00B77A2B">
        <w:rPr>
          <w:rFonts w:ascii="Arial" w:hAnsi="Arial" w:cs="Arial"/>
          <w:color w:val="000000" w:themeColor="text1"/>
          <w:lang w:val="en-US"/>
        </w:rPr>
        <w:t>, stating as follows in paragraph 37:</w:t>
      </w:r>
    </w:p>
    <w:p w14:paraId="101D42BB" w14:textId="77777777" w:rsidR="00367136" w:rsidRPr="00430500" w:rsidRDefault="00367136" w:rsidP="0027736E">
      <w:pPr>
        <w:pStyle w:val="ListParagraph"/>
        <w:spacing w:line="480" w:lineRule="auto"/>
        <w:ind w:hanging="720"/>
        <w:jc w:val="both"/>
        <w:rPr>
          <w:rFonts w:ascii="Arial" w:hAnsi="Arial" w:cs="Arial"/>
          <w:color w:val="000000" w:themeColor="text1"/>
          <w:lang w:val="en-US"/>
        </w:rPr>
      </w:pPr>
    </w:p>
    <w:p w14:paraId="4D95BFEC" w14:textId="77777777" w:rsidR="00367136" w:rsidRPr="00B34564" w:rsidRDefault="00367136" w:rsidP="0027736E">
      <w:pPr>
        <w:pStyle w:val="ListParagraph"/>
        <w:spacing w:line="480" w:lineRule="auto"/>
        <w:ind w:left="1440"/>
        <w:jc w:val="both"/>
        <w:rPr>
          <w:rFonts w:ascii="Arial" w:hAnsi="Arial" w:cs="Arial"/>
          <w:color w:val="000000" w:themeColor="text1"/>
          <w:sz w:val="22"/>
          <w:szCs w:val="22"/>
          <w:lang w:val="en-US"/>
        </w:rPr>
      </w:pPr>
      <w:r w:rsidRPr="00B34564">
        <w:rPr>
          <w:rFonts w:ascii="Arial" w:hAnsi="Arial" w:cs="Arial"/>
          <w:color w:val="000000" w:themeColor="text1"/>
          <w:sz w:val="22"/>
          <w:szCs w:val="22"/>
          <w:lang w:val="en-US"/>
        </w:rPr>
        <w:t xml:space="preserve">‘On a preponderance of </w:t>
      </w:r>
      <w:proofErr w:type="gramStart"/>
      <w:r w:rsidR="00430500" w:rsidRPr="00B34564">
        <w:rPr>
          <w:rFonts w:ascii="Arial" w:hAnsi="Arial" w:cs="Arial"/>
          <w:color w:val="000000" w:themeColor="text1"/>
          <w:sz w:val="22"/>
          <w:szCs w:val="22"/>
          <w:lang w:val="en-US"/>
        </w:rPr>
        <w:t>probabilities</w:t>
      </w:r>
      <w:proofErr w:type="gramEnd"/>
      <w:r w:rsidRPr="00B34564">
        <w:rPr>
          <w:rFonts w:ascii="Arial" w:hAnsi="Arial" w:cs="Arial"/>
          <w:color w:val="000000" w:themeColor="text1"/>
          <w:sz w:val="22"/>
          <w:szCs w:val="22"/>
          <w:lang w:val="en-US"/>
        </w:rPr>
        <w:t xml:space="preserve"> the college that was sold did not exist, was probably a sham or even fraudulence on </w:t>
      </w:r>
      <w:proofErr w:type="spellStart"/>
      <w:r w:rsidRPr="00B34564">
        <w:rPr>
          <w:rFonts w:ascii="Arial" w:hAnsi="Arial" w:cs="Arial"/>
          <w:color w:val="000000" w:themeColor="text1"/>
          <w:sz w:val="22"/>
          <w:szCs w:val="22"/>
          <w:lang w:val="en-US"/>
        </w:rPr>
        <w:t>Mr</w:t>
      </w:r>
      <w:proofErr w:type="spellEnd"/>
      <w:r w:rsidRPr="00B34564">
        <w:rPr>
          <w:rFonts w:ascii="Arial" w:hAnsi="Arial" w:cs="Arial"/>
          <w:color w:val="000000" w:themeColor="text1"/>
          <w:sz w:val="22"/>
          <w:szCs w:val="22"/>
          <w:lang w:val="en-US"/>
        </w:rPr>
        <w:t xml:space="preserve"> </w:t>
      </w:r>
      <w:proofErr w:type="spellStart"/>
      <w:r w:rsidRPr="00B34564">
        <w:rPr>
          <w:rFonts w:ascii="Arial" w:hAnsi="Arial" w:cs="Arial"/>
          <w:color w:val="000000" w:themeColor="text1"/>
          <w:sz w:val="22"/>
          <w:szCs w:val="22"/>
          <w:lang w:val="en-US"/>
        </w:rPr>
        <w:t>Youmessi’s</w:t>
      </w:r>
      <w:proofErr w:type="spellEnd"/>
      <w:r w:rsidRPr="00B34564">
        <w:rPr>
          <w:rFonts w:ascii="Arial" w:hAnsi="Arial" w:cs="Arial"/>
          <w:color w:val="000000" w:themeColor="text1"/>
          <w:sz w:val="22"/>
          <w:szCs w:val="22"/>
          <w:lang w:val="en-US"/>
        </w:rPr>
        <w:t xml:space="preserve"> part.  What is </w:t>
      </w:r>
      <w:r w:rsidRPr="00B34564">
        <w:rPr>
          <w:rFonts w:ascii="Arial" w:hAnsi="Arial" w:cs="Arial"/>
          <w:color w:val="000000" w:themeColor="text1"/>
          <w:sz w:val="22"/>
          <w:szCs w:val="22"/>
          <w:lang w:val="en-US"/>
        </w:rPr>
        <w:lastRenderedPageBreak/>
        <w:t>troubling was his audacity to come to this Court to enforce a lease agreement based on a possibly fraudulent transaction of a sale of a business that did not exist for premises that were probably never occupied or really handed over for occupation to the defendant.’</w:t>
      </w:r>
    </w:p>
    <w:p w14:paraId="04F09F39" w14:textId="77777777" w:rsidR="00367136" w:rsidRPr="00430500" w:rsidRDefault="00367136" w:rsidP="0027736E">
      <w:pPr>
        <w:spacing w:line="480" w:lineRule="auto"/>
        <w:ind w:hanging="720"/>
        <w:jc w:val="both"/>
        <w:rPr>
          <w:rFonts w:ascii="Arial" w:hAnsi="Arial" w:cs="Arial"/>
          <w:i/>
          <w:iCs/>
          <w:color w:val="000000" w:themeColor="text1"/>
          <w:lang w:val="en-US"/>
        </w:rPr>
      </w:pPr>
    </w:p>
    <w:p w14:paraId="1E19030F" w14:textId="77777777" w:rsidR="00367136" w:rsidRPr="00430500" w:rsidRDefault="00367136" w:rsidP="0027736E">
      <w:pPr>
        <w:spacing w:line="480" w:lineRule="auto"/>
        <w:ind w:hanging="720"/>
        <w:jc w:val="both"/>
        <w:rPr>
          <w:rFonts w:ascii="Arial" w:hAnsi="Arial" w:cs="Arial"/>
          <w:color w:val="000000" w:themeColor="text1"/>
          <w:lang w:val="en-US"/>
        </w:rPr>
      </w:pPr>
      <w:r w:rsidRPr="00430500">
        <w:rPr>
          <w:rFonts w:ascii="Arial" w:hAnsi="Arial" w:cs="Arial"/>
          <w:i/>
          <w:iCs/>
          <w:color w:val="000000" w:themeColor="text1"/>
          <w:lang w:val="en-US"/>
        </w:rPr>
        <w:tab/>
      </w:r>
      <w:r w:rsidR="0027736E">
        <w:rPr>
          <w:rFonts w:ascii="Arial" w:hAnsi="Arial" w:cs="Arial"/>
          <w:i/>
          <w:iCs/>
          <w:color w:val="000000" w:themeColor="text1"/>
          <w:lang w:val="en-US"/>
        </w:rPr>
        <w:tab/>
      </w:r>
      <w:r w:rsidRPr="00430500">
        <w:rPr>
          <w:rFonts w:ascii="Arial" w:hAnsi="Arial" w:cs="Arial"/>
          <w:color w:val="000000" w:themeColor="text1"/>
          <w:lang w:val="en-US"/>
        </w:rPr>
        <w:t>And in paragraph 38:</w:t>
      </w:r>
    </w:p>
    <w:p w14:paraId="40971683" w14:textId="77777777" w:rsidR="00367136" w:rsidRPr="00430500" w:rsidRDefault="00367136" w:rsidP="0027736E">
      <w:pPr>
        <w:spacing w:line="480" w:lineRule="auto"/>
        <w:ind w:hanging="720"/>
        <w:jc w:val="both"/>
        <w:rPr>
          <w:rFonts w:ascii="Arial" w:hAnsi="Arial" w:cs="Arial"/>
          <w:color w:val="000000" w:themeColor="text1"/>
          <w:lang w:val="en-US"/>
        </w:rPr>
      </w:pPr>
    </w:p>
    <w:p w14:paraId="7F47850A" w14:textId="77777777" w:rsidR="00367136" w:rsidRPr="00B34564" w:rsidRDefault="00367136" w:rsidP="0027736E">
      <w:pPr>
        <w:spacing w:line="480" w:lineRule="auto"/>
        <w:ind w:left="1440"/>
        <w:jc w:val="both"/>
        <w:rPr>
          <w:rFonts w:ascii="Arial" w:hAnsi="Arial" w:cs="Arial"/>
          <w:color w:val="000000" w:themeColor="text1"/>
          <w:sz w:val="22"/>
          <w:szCs w:val="22"/>
          <w:lang w:val="en-US"/>
        </w:rPr>
      </w:pPr>
      <w:r w:rsidRPr="00B34564">
        <w:rPr>
          <w:rFonts w:ascii="Arial" w:hAnsi="Arial" w:cs="Arial"/>
          <w:color w:val="000000" w:themeColor="text1"/>
          <w:sz w:val="22"/>
          <w:szCs w:val="22"/>
          <w:lang w:val="en-US"/>
        </w:rPr>
        <w:t xml:space="preserve">‘It is </w:t>
      </w:r>
      <w:r w:rsidR="00430500" w:rsidRPr="00B34564">
        <w:rPr>
          <w:rFonts w:ascii="Arial" w:hAnsi="Arial" w:cs="Arial"/>
          <w:color w:val="000000" w:themeColor="text1"/>
          <w:sz w:val="22"/>
          <w:szCs w:val="22"/>
          <w:lang w:val="en-US"/>
        </w:rPr>
        <w:t>difficult</w:t>
      </w:r>
      <w:r w:rsidRPr="00B34564">
        <w:rPr>
          <w:rFonts w:ascii="Arial" w:hAnsi="Arial" w:cs="Arial"/>
          <w:color w:val="000000" w:themeColor="text1"/>
          <w:sz w:val="22"/>
          <w:szCs w:val="22"/>
          <w:lang w:val="en-US"/>
        </w:rPr>
        <w:t xml:space="preserve"> to avoid the suspicion that the sale of business agreement was deliberately designed to give credence to the existence of the college that was sold as a going concern and to hide the fact that it was possibly a fraudulent vehicle true (sic) which the defendant, despite </w:t>
      </w:r>
      <w:r w:rsidR="00430500" w:rsidRPr="00B34564">
        <w:rPr>
          <w:rFonts w:ascii="Arial" w:hAnsi="Arial" w:cs="Arial"/>
          <w:color w:val="000000" w:themeColor="text1"/>
          <w:sz w:val="22"/>
          <w:szCs w:val="22"/>
          <w:lang w:val="en-US"/>
        </w:rPr>
        <w:t>being</w:t>
      </w:r>
      <w:r w:rsidRPr="00B34564">
        <w:rPr>
          <w:rFonts w:ascii="Arial" w:hAnsi="Arial" w:cs="Arial"/>
          <w:color w:val="000000" w:themeColor="text1"/>
          <w:sz w:val="22"/>
          <w:szCs w:val="22"/>
          <w:lang w:val="en-US"/>
        </w:rPr>
        <w:t xml:space="preserve"> an attorney was duped into parting with R 700 000.00 for nothing, exploiting his gullibility.’</w:t>
      </w:r>
    </w:p>
    <w:p w14:paraId="75C7CE96" w14:textId="77777777" w:rsidR="00367136" w:rsidRPr="00430500" w:rsidRDefault="00367136" w:rsidP="0027736E">
      <w:pPr>
        <w:spacing w:line="480" w:lineRule="auto"/>
        <w:ind w:hanging="720"/>
        <w:jc w:val="both"/>
        <w:rPr>
          <w:rFonts w:ascii="Arial" w:hAnsi="Arial" w:cs="Arial"/>
          <w:i/>
          <w:iCs/>
          <w:color w:val="000000" w:themeColor="text1"/>
          <w:lang w:val="en-US"/>
        </w:rPr>
      </w:pPr>
    </w:p>
    <w:p w14:paraId="0D4D375F" w14:textId="77777777" w:rsidR="00367136" w:rsidRPr="00430500" w:rsidRDefault="00367136" w:rsidP="0027736E">
      <w:pPr>
        <w:spacing w:line="480" w:lineRule="auto"/>
        <w:ind w:hanging="720"/>
        <w:jc w:val="both"/>
        <w:rPr>
          <w:rFonts w:ascii="Arial" w:hAnsi="Arial" w:cs="Arial"/>
          <w:color w:val="000000" w:themeColor="text1"/>
          <w:lang w:val="en-US"/>
        </w:rPr>
      </w:pPr>
      <w:r w:rsidRPr="00430500">
        <w:rPr>
          <w:rFonts w:ascii="Arial" w:hAnsi="Arial" w:cs="Arial"/>
          <w:color w:val="000000" w:themeColor="text1"/>
          <w:lang w:val="en-US"/>
        </w:rPr>
        <w:tab/>
      </w:r>
      <w:r w:rsidR="0027736E">
        <w:rPr>
          <w:rFonts w:ascii="Arial" w:hAnsi="Arial" w:cs="Arial"/>
          <w:color w:val="000000" w:themeColor="text1"/>
          <w:lang w:val="en-US"/>
        </w:rPr>
        <w:tab/>
      </w:r>
      <w:r w:rsidRPr="00430500">
        <w:rPr>
          <w:rFonts w:ascii="Arial" w:hAnsi="Arial" w:cs="Arial"/>
          <w:color w:val="000000" w:themeColor="text1"/>
          <w:lang w:val="en-US"/>
        </w:rPr>
        <w:t>And in paragraph 43:</w:t>
      </w:r>
    </w:p>
    <w:p w14:paraId="6651FA1F" w14:textId="77777777" w:rsidR="00367136" w:rsidRPr="00430500" w:rsidRDefault="00367136" w:rsidP="0027736E">
      <w:pPr>
        <w:spacing w:line="480" w:lineRule="auto"/>
        <w:ind w:hanging="720"/>
        <w:jc w:val="both"/>
        <w:rPr>
          <w:rFonts w:ascii="Arial" w:hAnsi="Arial" w:cs="Arial"/>
          <w:color w:val="000000" w:themeColor="text1"/>
          <w:lang w:val="en-US"/>
        </w:rPr>
      </w:pPr>
    </w:p>
    <w:p w14:paraId="71F56375" w14:textId="77777777" w:rsidR="00367136" w:rsidRPr="00B34564" w:rsidRDefault="00367136" w:rsidP="0027736E">
      <w:pPr>
        <w:spacing w:line="480" w:lineRule="auto"/>
        <w:ind w:left="1440"/>
        <w:jc w:val="both"/>
        <w:rPr>
          <w:rFonts w:ascii="Arial" w:hAnsi="Arial" w:cs="Arial"/>
          <w:color w:val="000000" w:themeColor="text1"/>
          <w:sz w:val="22"/>
          <w:szCs w:val="22"/>
          <w:lang w:val="en-US"/>
        </w:rPr>
      </w:pPr>
      <w:r w:rsidRPr="00B34564">
        <w:rPr>
          <w:rFonts w:ascii="Arial" w:hAnsi="Arial" w:cs="Arial"/>
          <w:color w:val="000000" w:themeColor="text1"/>
          <w:sz w:val="22"/>
          <w:szCs w:val="22"/>
          <w:lang w:val="en-US"/>
        </w:rPr>
        <w:t xml:space="preserve">‘The plaintiff’s case was, both in respect of his claim for arrear rentals and in respect of the plea to the counterclaim badly pleaded.  </w:t>
      </w:r>
      <w:proofErr w:type="spellStart"/>
      <w:r w:rsidR="00341D3F" w:rsidRPr="00B34564">
        <w:rPr>
          <w:rFonts w:ascii="Arial" w:hAnsi="Arial" w:cs="Arial"/>
          <w:color w:val="000000" w:themeColor="text1"/>
          <w:sz w:val="22"/>
          <w:szCs w:val="22"/>
          <w:lang w:val="en-US"/>
        </w:rPr>
        <w:t>Mr</w:t>
      </w:r>
      <w:proofErr w:type="spellEnd"/>
      <w:r w:rsidR="00341D3F" w:rsidRPr="00B34564">
        <w:rPr>
          <w:rFonts w:ascii="Arial" w:hAnsi="Arial" w:cs="Arial"/>
          <w:color w:val="000000" w:themeColor="text1"/>
          <w:sz w:val="22"/>
          <w:szCs w:val="22"/>
          <w:lang w:val="en-US"/>
        </w:rPr>
        <w:t xml:space="preserve"> </w:t>
      </w:r>
      <w:proofErr w:type="spellStart"/>
      <w:r w:rsidR="00341D3F" w:rsidRPr="00B34564">
        <w:rPr>
          <w:rFonts w:ascii="Arial" w:hAnsi="Arial" w:cs="Arial"/>
          <w:color w:val="000000" w:themeColor="text1"/>
          <w:sz w:val="22"/>
          <w:szCs w:val="22"/>
          <w:lang w:val="en-US"/>
        </w:rPr>
        <w:t>Youmessi’s</w:t>
      </w:r>
      <w:proofErr w:type="spellEnd"/>
      <w:r w:rsidR="00341D3F" w:rsidRPr="00B34564">
        <w:rPr>
          <w:rFonts w:ascii="Arial" w:hAnsi="Arial" w:cs="Arial"/>
          <w:color w:val="000000" w:themeColor="text1"/>
          <w:sz w:val="22"/>
          <w:szCs w:val="22"/>
          <w:lang w:val="en-US"/>
        </w:rPr>
        <w:t xml:space="preserve"> evidence in respect of both the main claim and the counterclaim</w:t>
      </w:r>
      <w:r w:rsidR="007C5332" w:rsidRPr="00B34564">
        <w:rPr>
          <w:rFonts w:ascii="Arial" w:hAnsi="Arial" w:cs="Arial"/>
          <w:color w:val="000000" w:themeColor="text1"/>
          <w:sz w:val="22"/>
          <w:szCs w:val="22"/>
          <w:lang w:val="en-US"/>
        </w:rPr>
        <w:t xml:space="preserve"> was </w:t>
      </w:r>
      <w:proofErr w:type="gramStart"/>
      <w:r w:rsidR="007C5332" w:rsidRPr="00B34564">
        <w:rPr>
          <w:rFonts w:ascii="Arial" w:hAnsi="Arial" w:cs="Arial"/>
          <w:color w:val="000000" w:themeColor="text1"/>
          <w:sz w:val="22"/>
          <w:szCs w:val="22"/>
          <w:lang w:val="en-US"/>
        </w:rPr>
        <w:t>not only so</w:t>
      </w:r>
      <w:proofErr w:type="gramEnd"/>
      <w:r w:rsidR="007C5332" w:rsidRPr="00B34564">
        <w:rPr>
          <w:rFonts w:ascii="Arial" w:hAnsi="Arial" w:cs="Arial"/>
          <w:color w:val="000000" w:themeColor="text1"/>
          <w:sz w:val="22"/>
          <w:szCs w:val="22"/>
          <w:lang w:val="en-US"/>
        </w:rPr>
        <w:t xml:space="preserve"> inadequate as to be non-</w:t>
      </w:r>
      <w:r w:rsidR="00430500" w:rsidRPr="00B34564">
        <w:rPr>
          <w:rFonts w:ascii="Arial" w:hAnsi="Arial" w:cs="Arial"/>
          <w:color w:val="000000" w:themeColor="text1"/>
          <w:sz w:val="22"/>
          <w:szCs w:val="22"/>
          <w:lang w:val="en-US"/>
        </w:rPr>
        <w:t>existent</w:t>
      </w:r>
      <w:r w:rsidR="007C5332" w:rsidRPr="00B34564">
        <w:rPr>
          <w:rFonts w:ascii="Arial" w:hAnsi="Arial" w:cs="Arial"/>
          <w:color w:val="000000" w:themeColor="text1"/>
          <w:sz w:val="22"/>
          <w:szCs w:val="22"/>
          <w:lang w:val="en-US"/>
        </w:rPr>
        <w:t xml:space="preserve"> and connived.  It was also founded on falsity craftily designed to cover the possible rental fraudulence he sought to enforce in these proceedings or the fleecing of the defendant which was done with near perfection.’</w:t>
      </w:r>
    </w:p>
    <w:p w14:paraId="6DF5646E" w14:textId="77777777" w:rsidR="00AE634E" w:rsidRPr="00430500" w:rsidRDefault="00AE634E" w:rsidP="0027736E">
      <w:pPr>
        <w:spacing w:line="480" w:lineRule="auto"/>
        <w:ind w:left="1440" w:hanging="720"/>
        <w:jc w:val="both"/>
        <w:rPr>
          <w:rFonts w:ascii="Arial" w:hAnsi="Arial" w:cs="Arial"/>
          <w:i/>
          <w:iCs/>
          <w:color w:val="000000" w:themeColor="text1"/>
          <w:lang w:val="en-US"/>
        </w:rPr>
      </w:pPr>
    </w:p>
    <w:p w14:paraId="7A1AC392" w14:textId="0D838F15" w:rsidR="007C5332" w:rsidRPr="00B77A2B" w:rsidRDefault="00B77A2B" w:rsidP="00B77A2B">
      <w:pPr>
        <w:spacing w:line="480" w:lineRule="auto"/>
        <w:ind w:left="720" w:hanging="720"/>
        <w:jc w:val="both"/>
        <w:rPr>
          <w:rFonts w:ascii="Arial" w:hAnsi="Arial" w:cs="Arial"/>
          <w:i/>
          <w:iCs/>
          <w:color w:val="000000" w:themeColor="text1"/>
          <w:lang w:val="en-US"/>
        </w:rPr>
      </w:pPr>
      <w:r w:rsidRPr="00AE634E">
        <w:rPr>
          <w:rFonts w:ascii="Arial" w:hAnsi="Arial" w:cs="Arial"/>
          <w:color w:val="000000" w:themeColor="text1"/>
          <w:lang w:val="en-US"/>
        </w:rPr>
        <w:t>[27]</w:t>
      </w:r>
      <w:r w:rsidRPr="00AE634E">
        <w:rPr>
          <w:rFonts w:ascii="Arial" w:hAnsi="Arial" w:cs="Arial"/>
          <w:color w:val="000000" w:themeColor="text1"/>
          <w:lang w:val="en-US"/>
        </w:rPr>
        <w:tab/>
      </w:r>
      <w:r w:rsidR="007C5332" w:rsidRPr="00B77A2B">
        <w:rPr>
          <w:rFonts w:ascii="Arial" w:hAnsi="Arial" w:cs="Arial"/>
          <w:color w:val="000000" w:themeColor="text1"/>
          <w:lang w:val="en-US"/>
        </w:rPr>
        <w:t xml:space="preserve">The </w:t>
      </w:r>
      <w:r w:rsidR="00DD4FBD" w:rsidRPr="00B77A2B">
        <w:rPr>
          <w:rFonts w:ascii="Arial" w:hAnsi="Arial" w:cs="Arial"/>
          <w:color w:val="000000" w:themeColor="text1"/>
          <w:lang w:val="en-US"/>
        </w:rPr>
        <w:t xml:space="preserve">first respondent’s claim was dismissed, and the applicant’s counterclaim upheld, with the </w:t>
      </w:r>
      <w:r w:rsidR="007C5332" w:rsidRPr="00B77A2B">
        <w:rPr>
          <w:rFonts w:ascii="Arial" w:hAnsi="Arial" w:cs="Arial"/>
          <w:color w:val="000000" w:themeColor="text1"/>
          <w:lang w:val="en-US"/>
        </w:rPr>
        <w:t xml:space="preserve">sale agreement </w:t>
      </w:r>
      <w:r w:rsidR="00AE634E" w:rsidRPr="00B77A2B">
        <w:rPr>
          <w:rFonts w:ascii="Arial" w:hAnsi="Arial" w:cs="Arial"/>
          <w:color w:val="000000" w:themeColor="text1"/>
          <w:lang w:val="en-US"/>
        </w:rPr>
        <w:t xml:space="preserve">being </w:t>
      </w:r>
      <w:r w:rsidR="007C5332" w:rsidRPr="00B77A2B">
        <w:rPr>
          <w:rFonts w:ascii="Arial" w:hAnsi="Arial" w:cs="Arial"/>
          <w:color w:val="000000" w:themeColor="text1"/>
          <w:lang w:val="en-US"/>
        </w:rPr>
        <w:t xml:space="preserve">set aside and restitution ordered, on the basis that the applicant had been fraudulently deceived into signing a document </w:t>
      </w:r>
      <w:r w:rsidR="00AE634E" w:rsidRPr="00B77A2B">
        <w:rPr>
          <w:rFonts w:ascii="Arial" w:hAnsi="Arial" w:cs="Arial"/>
          <w:color w:val="000000" w:themeColor="text1"/>
          <w:lang w:val="en-US"/>
        </w:rPr>
        <w:lastRenderedPageBreak/>
        <w:t>to buy</w:t>
      </w:r>
      <w:r w:rsidR="007C5332" w:rsidRPr="00B77A2B">
        <w:rPr>
          <w:rFonts w:ascii="Arial" w:hAnsi="Arial" w:cs="Arial"/>
          <w:color w:val="000000" w:themeColor="text1"/>
          <w:lang w:val="en-US"/>
        </w:rPr>
        <w:t xml:space="preserve"> a non-existent school.</w:t>
      </w:r>
      <w:r w:rsidR="00B24751" w:rsidRPr="00B77A2B">
        <w:rPr>
          <w:rFonts w:ascii="Arial" w:hAnsi="Arial" w:cs="Arial"/>
          <w:color w:val="000000" w:themeColor="text1"/>
          <w:lang w:val="en-US"/>
        </w:rPr>
        <w:t xml:space="preserve">  There does not appear to have been any attempt to appeal the judgment.</w:t>
      </w:r>
    </w:p>
    <w:p w14:paraId="6FCDC2BB" w14:textId="77777777" w:rsidR="00AE634E" w:rsidRPr="00AE634E" w:rsidRDefault="00AE634E" w:rsidP="0027736E">
      <w:pPr>
        <w:spacing w:line="480" w:lineRule="auto"/>
        <w:ind w:hanging="720"/>
        <w:jc w:val="both"/>
        <w:rPr>
          <w:rFonts w:ascii="Arial" w:hAnsi="Arial" w:cs="Arial"/>
          <w:i/>
          <w:iCs/>
          <w:color w:val="000000" w:themeColor="text1"/>
          <w:lang w:val="en-US"/>
        </w:rPr>
      </w:pPr>
    </w:p>
    <w:p w14:paraId="43B4622A" w14:textId="232CB1DA" w:rsidR="00DD4FBD" w:rsidRPr="00B77A2B" w:rsidRDefault="00B77A2B" w:rsidP="00B77A2B">
      <w:pPr>
        <w:spacing w:line="480" w:lineRule="auto"/>
        <w:ind w:left="720" w:hanging="720"/>
        <w:jc w:val="both"/>
        <w:rPr>
          <w:rFonts w:ascii="Arial" w:hAnsi="Arial" w:cs="Arial"/>
          <w:i/>
          <w:iCs/>
          <w:color w:val="000000" w:themeColor="text1"/>
          <w:lang w:val="en-US"/>
        </w:rPr>
      </w:pPr>
      <w:r w:rsidRPr="00430500">
        <w:rPr>
          <w:rFonts w:ascii="Arial" w:hAnsi="Arial" w:cs="Arial"/>
          <w:color w:val="000000" w:themeColor="text1"/>
          <w:lang w:val="en-US"/>
        </w:rPr>
        <w:t>[28]</w:t>
      </w:r>
      <w:r w:rsidRPr="00430500">
        <w:rPr>
          <w:rFonts w:ascii="Arial" w:hAnsi="Arial" w:cs="Arial"/>
          <w:color w:val="000000" w:themeColor="text1"/>
          <w:lang w:val="en-US"/>
        </w:rPr>
        <w:tab/>
      </w:r>
      <w:r w:rsidR="00DD4FBD" w:rsidRPr="00B77A2B">
        <w:rPr>
          <w:rFonts w:ascii="Arial" w:hAnsi="Arial" w:cs="Arial"/>
          <w:color w:val="000000" w:themeColor="text1"/>
          <w:lang w:val="en-US"/>
        </w:rPr>
        <w:t xml:space="preserve">Both parties relied, </w:t>
      </w:r>
      <w:r w:rsidR="00DD4FBD" w:rsidRPr="00B77A2B">
        <w:rPr>
          <w:rFonts w:ascii="Arial" w:hAnsi="Arial" w:cs="Arial"/>
          <w:i/>
          <w:iCs/>
          <w:color w:val="000000" w:themeColor="text1"/>
          <w:lang w:val="en-US"/>
        </w:rPr>
        <w:t>inter alia</w:t>
      </w:r>
      <w:r w:rsidR="00DD4FBD" w:rsidRPr="00B77A2B">
        <w:rPr>
          <w:rFonts w:ascii="Arial" w:hAnsi="Arial" w:cs="Arial"/>
          <w:color w:val="000000" w:themeColor="text1"/>
          <w:lang w:val="en-US"/>
        </w:rPr>
        <w:t xml:space="preserve">, on the matter of </w:t>
      </w:r>
      <w:r w:rsidR="00DD4FBD" w:rsidRPr="00B77A2B">
        <w:rPr>
          <w:rFonts w:ascii="Arial" w:hAnsi="Arial" w:cs="Arial"/>
          <w:i/>
          <w:iCs/>
          <w:color w:val="000000" w:themeColor="text1"/>
          <w:lang w:val="en-US"/>
        </w:rPr>
        <w:t xml:space="preserve">Cape Pacific Ltd v </w:t>
      </w:r>
      <w:proofErr w:type="spellStart"/>
      <w:r w:rsidR="00DD4FBD" w:rsidRPr="00B77A2B">
        <w:rPr>
          <w:rFonts w:ascii="Arial" w:hAnsi="Arial" w:cs="Arial"/>
          <w:i/>
          <w:iCs/>
          <w:color w:val="000000" w:themeColor="text1"/>
          <w:lang w:val="en-US"/>
        </w:rPr>
        <w:t>Lubner</w:t>
      </w:r>
      <w:proofErr w:type="spellEnd"/>
      <w:r w:rsidR="00DD4FBD" w:rsidRPr="00B77A2B">
        <w:rPr>
          <w:rFonts w:ascii="Arial" w:hAnsi="Arial" w:cs="Arial"/>
          <w:i/>
          <w:iCs/>
          <w:color w:val="000000" w:themeColor="text1"/>
          <w:lang w:val="en-US"/>
        </w:rPr>
        <w:t xml:space="preserve"> Controlling </w:t>
      </w:r>
      <w:r w:rsidR="00430500" w:rsidRPr="00B77A2B">
        <w:rPr>
          <w:rFonts w:ascii="Arial" w:hAnsi="Arial" w:cs="Arial"/>
          <w:i/>
          <w:iCs/>
          <w:color w:val="000000" w:themeColor="text1"/>
          <w:lang w:val="en-US"/>
        </w:rPr>
        <w:t>Investments</w:t>
      </w:r>
      <w:r w:rsidR="00DD4FBD" w:rsidRPr="00B77A2B">
        <w:rPr>
          <w:rFonts w:ascii="Arial" w:hAnsi="Arial" w:cs="Arial"/>
          <w:i/>
          <w:iCs/>
          <w:color w:val="000000" w:themeColor="text1"/>
          <w:lang w:val="en-US"/>
        </w:rPr>
        <w:t xml:space="preserve"> (</w:t>
      </w:r>
      <w:r w:rsidR="00430500" w:rsidRPr="00B77A2B">
        <w:rPr>
          <w:rFonts w:ascii="Arial" w:hAnsi="Arial" w:cs="Arial"/>
          <w:i/>
          <w:iCs/>
          <w:color w:val="000000" w:themeColor="text1"/>
          <w:lang w:val="en-US"/>
        </w:rPr>
        <w:t>P</w:t>
      </w:r>
      <w:r w:rsidR="00DD4FBD" w:rsidRPr="00B77A2B">
        <w:rPr>
          <w:rFonts w:ascii="Arial" w:hAnsi="Arial" w:cs="Arial"/>
          <w:i/>
          <w:iCs/>
          <w:color w:val="000000" w:themeColor="text1"/>
          <w:lang w:val="en-US"/>
        </w:rPr>
        <w:t>ty) Ltd and Others</w:t>
      </w:r>
      <w:r w:rsidR="00DD4FBD" w:rsidRPr="00430500">
        <w:rPr>
          <w:rStyle w:val="FootnoteReference"/>
          <w:rFonts w:ascii="Arial" w:hAnsi="Arial" w:cs="Arial"/>
          <w:color w:val="000000" w:themeColor="text1"/>
          <w:lang w:val="en-US"/>
        </w:rPr>
        <w:footnoteReference w:id="4"/>
      </w:r>
      <w:r w:rsidR="005F2812" w:rsidRPr="00B77A2B">
        <w:rPr>
          <w:rFonts w:ascii="Arial" w:hAnsi="Arial" w:cs="Arial"/>
          <w:color w:val="000000" w:themeColor="text1"/>
          <w:lang w:val="en-US"/>
        </w:rPr>
        <w:t xml:space="preserve"> </w:t>
      </w:r>
      <w:r w:rsidR="00DD4FBD" w:rsidRPr="00B77A2B">
        <w:rPr>
          <w:rFonts w:ascii="Arial" w:hAnsi="Arial" w:cs="Arial"/>
          <w:color w:val="000000" w:themeColor="text1"/>
          <w:lang w:val="en-US"/>
        </w:rPr>
        <w:t>in regard to the issue of piercing the corporate veil</w:t>
      </w:r>
      <w:r w:rsidR="00AE634E" w:rsidRPr="00B77A2B">
        <w:rPr>
          <w:rFonts w:ascii="Arial" w:hAnsi="Arial" w:cs="Arial"/>
          <w:color w:val="000000" w:themeColor="text1"/>
          <w:lang w:val="en-US"/>
        </w:rPr>
        <w:t>, as would be required in order to grant the relief sought by the applicant.</w:t>
      </w:r>
      <w:r w:rsidR="00DD4FBD" w:rsidRPr="00B77A2B">
        <w:rPr>
          <w:rFonts w:ascii="Arial" w:hAnsi="Arial" w:cs="Arial"/>
          <w:color w:val="000000" w:themeColor="text1"/>
          <w:lang w:val="en-US"/>
        </w:rPr>
        <w:t xml:space="preserve">  In that regard the following was state</w:t>
      </w:r>
      <w:r w:rsidR="00324836" w:rsidRPr="00B77A2B">
        <w:rPr>
          <w:rFonts w:ascii="Arial" w:hAnsi="Arial" w:cs="Arial"/>
          <w:color w:val="000000" w:themeColor="text1"/>
          <w:lang w:val="en-US"/>
        </w:rPr>
        <w:t>d</w:t>
      </w:r>
      <w:r w:rsidR="00DD4FBD" w:rsidRPr="00B77A2B">
        <w:rPr>
          <w:rFonts w:ascii="Arial" w:hAnsi="Arial" w:cs="Arial"/>
          <w:color w:val="000000" w:themeColor="text1"/>
          <w:lang w:val="en-US"/>
        </w:rPr>
        <w:t xml:space="preserve"> in the </w:t>
      </w:r>
      <w:r w:rsidR="00DD4FBD" w:rsidRPr="00B77A2B">
        <w:rPr>
          <w:rFonts w:ascii="Arial" w:hAnsi="Arial" w:cs="Arial"/>
          <w:i/>
          <w:iCs/>
          <w:color w:val="000000" w:themeColor="text1"/>
          <w:lang w:val="en-US"/>
        </w:rPr>
        <w:t>Cape Pacific</w:t>
      </w:r>
      <w:r w:rsidR="00DD4FBD" w:rsidRPr="00B77A2B">
        <w:rPr>
          <w:rFonts w:ascii="Arial" w:hAnsi="Arial" w:cs="Arial"/>
          <w:color w:val="000000" w:themeColor="text1"/>
          <w:lang w:val="en-US"/>
        </w:rPr>
        <w:t xml:space="preserve"> matter:</w:t>
      </w:r>
      <w:r w:rsidR="00DD4FBD" w:rsidRPr="00430500">
        <w:rPr>
          <w:rStyle w:val="FootnoteReference"/>
          <w:rFonts w:ascii="Arial" w:hAnsi="Arial" w:cs="Arial"/>
          <w:color w:val="000000" w:themeColor="text1"/>
          <w:lang w:val="en-US"/>
        </w:rPr>
        <w:footnoteReference w:id="5"/>
      </w:r>
    </w:p>
    <w:p w14:paraId="7A26C430" w14:textId="77777777" w:rsidR="00DD4FBD" w:rsidRPr="00430500" w:rsidRDefault="00DD4FBD" w:rsidP="0027736E">
      <w:pPr>
        <w:pStyle w:val="ListParagraph"/>
        <w:spacing w:line="480" w:lineRule="auto"/>
        <w:ind w:hanging="720"/>
        <w:jc w:val="both"/>
        <w:rPr>
          <w:rFonts w:ascii="Arial" w:hAnsi="Arial" w:cs="Arial"/>
          <w:color w:val="000000" w:themeColor="text1"/>
          <w:lang w:val="en-US"/>
        </w:rPr>
      </w:pPr>
    </w:p>
    <w:p w14:paraId="3C416AF6" w14:textId="33D5A585" w:rsidR="00DD4FBD" w:rsidRDefault="00DD4FBD" w:rsidP="0027736E">
      <w:pPr>
        <w:spacing w:line="480" w:lineRule="auto"/>
        <w:ind w:left="108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‘It is trite law that '(a) registered company is legal persona distinct from the members who compose it' (</w:t>
      </w:r>
      <w:proofErr w:type="spellStart"/>
      <w:r w:rsidRPr="00B34564">
        <w:rPr>
          <w:rFonts w:ascii="Arial" w:eastAsia="Times New Roman" w:hAnsi="Arial" w:cs="Arial"/>
          <w:color w:val="000000" w:themeColor="text1"/>
          <w:sz w:val="22"/>
          <w:szCs w:val="22"/>
          <w:lang w:val="en-ZA" w:eastAsia="en-GB"/>
        </w:rPr>
        <w:t>Dadoo</w:t>
      </w:r>
      <w:proofErr w:type="spellEnd"/>
      <w:r w:rsidRPr="00B34564">
        <w:rPr>
          <w:rFonts w:ascii="Arial" w:eastAsia="Times New Roman" w:hAnsi="Arial" w:cs="Arial"/>
          <w:color w:val="000000" w:themeColor="text1"/>
          <w:sz w:val="22"/>
          <w:szCs w:val="22"/>
          <w:lang w:val="en-ZA" w:eastAsia="en-GB"/>
        </w:rPr>
        <w:t xml:space="preserve"> Ltd and Others v Krugersdorp Municipal Council </w:t>
      </w:r>
      <w:hyperlink r:id="rId8" w:history="1">
        <w:r w:rsidRPr="00B34564">
          <w:rPr>
            <w:rFonts w:ascii="Arial" w:eastAsia="Times New Roman" w:hAnsi="Arial" w:cs="Arial"/>
            <w:color w:val="000000" w:themeColor="text1"/>
            <w:sz w:val="22"/>
            <w:szCs w:val="22"/>
            <w:lang w:val="en-ZA" w:eastAsia="en-GB"/>
          </w:rPr>
          <w:t>1920 AD 530</w:t>
        </w:r>
      </w:hyperlink>
      <w:r w:rsidRPr="00B34564">
        <w:rPr>
          <w:rFonts w:ascii="Arial" w:eastAsia="Times New Roman" w:hAnsi="Arial" w:cs="Arial"/>
          <w:color w:val="000000" w:themeColor="text1"/>
          <w:sz w:val="22"/>
          <w:szCs w:val="22"/>
          <w:lang w:val="en-ZA" w:eastAsia="en-GB"/>
        </w:rPr>
        <w:t xml:space="preserve"> at 550). Equally trite is the fact that a court would be justified in certain circumstances in disregarding a company's separate personality </w:t>
      </w:r>
      <w:proofErr w:type="gramStart"/>
      <w:r w:rsidRPr="00B34564">
        <w:rPr>
          <w:rFonts w:ascii="Arial" w:eastAsia="Times New Roman" w:hAnsi="Arial" w:cs="Arial"/>
          <w:color w:val="000000" w:themeColor="text1"/>
          <w:sz w:val="22"/>
          <w:szCs w:val="22"/>
          <w:lang w:val="en-ZA" w:eastAsia="en-GB"/>
        </w:rPr>
        <w:t>in order to</w:t>
      </w:r>
      <w:proofErr w:type="gramEnd"/>
      <w:r w:rsidRPr="00B34564">
        <w:rPr>
          <w:rFonts w:ascii="Arial" w:eastAsia="Times New Roman" w:hAnsi="Arial" w:cs="Arial"/>
          <w:color w:val="000000" w:themeColor="text1"/>
          <w:sz w:val="22"/>
          <w:szCs w:val="22"/>
          <w:lang w:val="en-ZA" w:eastAsia="en-GB"/>
        </w:rPr>
        <w:t xml:space="preserve"> fix liability elsewhere for what are ostensibly acts of the company. This is generally referred to as lifting or piercing the corporate veil. (I shall confine myself to the use of the word piercing.) The focus then shifts from the company to the natural person behind it (or in control of its activities) as if there were no dichotomy between such person and the company (</w:t>
      </w:r>
      <w:proofErr w:type="spellStart"/>
      <w:r w:rsidRPr="00B34564">
        <w:rPr>
          <w:rFonts w:ascii="Arial" w:eastAsia="Times New Roman" w:hAnsi="Arial" w:cs="Arial"/>
          <w:color w:val="000000" w:themeColor="text1"/>
          <w:sz w:val="22"/>
          <w:szCs w:val="22"/>
          <w:lang w:val="en-ZA" w:eastAsia="en-GB"/>
        </w:rPr>
        <w:t>Henochsberg</w:t>
      </w:r>
      <w:proofErr w:type="spellEnd"/>
      <w:r w:rsidRPr="00B34564">
        <w:rPr>
          <w:rFonts w:ascii="Arial" w:eastAsia="Times New Roman" w:hAnsi="Arial" w:cs="Arial"/>
          <w:color w:val="000000" w:themeColor="text1"/>
          <w:sz w:val="22"/>
          <w:szCs w:val="22"/>
          <w:lang w:val="en-ZA" w:eastAsia="en-GB"/>
        </w:rPr>
        <w:t xml:space="preserve"> on the Companies Act 5th ed vol 1 at 54). In that way personal liability is attributed to someone who misuses or abuses the principle of corporate personality.</w:t>
      </w:r>
    </w:p>
    <w:p w14:paraId="263BC12D" w14:textId="77777777" w:rsidR="00E53F34" w:rsidRPr="00B34564" w:rsidRDefault="00E53F34" w:rsidP="0027736E">
      <w:pPr>
        <w:spacing w:line="480" w:lineRule="auto"/>
        <w:ind w:left="1080"/>
        <w:jc w:val="both"/>
        <w:rPr>
          <w:rFonts w:ascii="Arial" w:eastAsia="Times New Roman" w:hAnsi="Arial" w:cs="Arial"/>
          <w:color w:val="000000" w:themeColor="text1"/>
          <w:sz w:val="22"/>
          <w:szCs w:val="22"/>
          <w:lang w:val="en-ZA" w:eastAsia="en-GB"/>
        </w:rPr>
      </w:pPr>
    </w:p>
    <w:p w14:paraId="34B12D38" w14:textId="77777777" w:rsidR="00DD4FBD" w:rsidRPr="00B34564" w:rsidRDefault="00DD4FBD" w:rsidP="0027736E">
      <w:pPr>
        <w:spacing w:line="480" w:lineRule="auto"/>
        <w:ind w:left="108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 xml:space="preserve">The law is far from settled with regard to the circumstances in which it would be permissible to pierce the corporate veil. Each case involves a process of enquiring into the facts which, once determined, may be of decisive importance. And in </w:t>
      </w:r>
      <w:r w:rsidRPr="00B34564">
        <w:rPr>
          <w:rFonts w:ascii="Arial" w:eastAsia="Times New Roman" w:hAnsi="Arial" w:cs="Arial"/>
          <w:color w:val="000000" w:themeColor="text1"/>
          <w:sz w:val="22"/>
          <w:szCs w:val="22"/>
          <w:lang w:val="en-ZA" w:eastAsia="en-GB"/>
        </w:rPr>
        <w:lastRenderedPageBreak/>
        <w:t>determining whether or not it is legally appropriate in given circumstances to disregard corporate personality, one must bear in mind</w:t>
      </w:r>
    </w:p>
    <w:p w14:paraId="0C208C9F" w14:textId="77777777" w:rsidR="00DD4FBD" w:rsidRPr="00B34564" w:rsidRDefault="00DD4FBD" w:rsidP="0027736E">
      <w:pPr>
        <w:spacing w:line="480" w:lineRule="auto"/>
        <w:ind w:left="675" w:hanging="720"/>
        <w:jc w:val="both"/>
        <w:rPr>
          <w:rFonts w:ascii="Arial" w:eastAsia="Times New Roman" w:hAnsi="Arial" w:cs="Arial"/>
          <w:color w:val="000000" w:themeColor="text1"/>
          <w:sz w:val="22"/>
          <w:szCs w:val="22"/>
          <w:lang w:val="en-ZA" w:eastAsia="en-GB"/>
        </w:rPr>
      </w:pPr>
    </w:p>
    <w:p w14:paraId="57BF69FB" w14:textId="77777777" w:rsidR="00DD4FBD" w:rsidRPr="00B34564" w:rsidRDefault="00DD4FBD" w:rsidP="0027736E">
      <w:pPr>
        <w:spacing w:line="480" w:lineRule="auto"/>
        <w:ind w:left="1418" w:firstLine="22"/>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 xml:space="preserve">'the fundamental doctrine that the law regards the substance rather than the form of things - a doctrine common, one would think, to every system of jurisprudence and conveniently expressed in the maxim plus valet quod </w:t>
      </w:r>
      <w:proofErr w:type="spellStart"/>
      <w:r w:rsidRPr="00B34564">
        <w:rPr>
          <w:rFonts w:ascii="Arial" w:eastAsia="Times New Roman" w:hAnsi="Arial" w:cs="Arial"/>
          <w:color w:val="000000" w:themeColor="text1"/>
          <w:sz w:val="22"/>
          <w:szCs w:val="22"/>
          <w:lang w:val="en-ZA" w:eastAsia="en-GB"/>
        </w:rPr>
        <w:t>agitur</w:t>
      </w:r>
      <w:proofErr w:type="spellEnd"/>
      <w:r w:rsidRPr="00B34564">
        <w:rPr>
          <w:rFonts w:ascii="Arial" w:eastAsia="Times New Roman" w:hAnsi="Arial" w:cs="Arial"/>
          <w:color w:val="000000" w:themeColor="text1"/>
          <w:sz w:val="22"/>
          <w:szCs w:val="22"/>
          <w:lang w:val="en-ZA" w:eastAsia="en-GB"/>
        </w:rPr>
        <w:t xml:space="preserve"> </w:t>
      </w:r>
      <w:proofErr w:type="spellStart"/>
      <w:r w:rsidRPr="00B34564">
        <w:rPr>
          <w:rFonts w:ascii="Arial" w:eastAsia="Times New Roman" w:hAnsi="Arial" w:cs="Arial"/>
          <w:color w:val="000000" w:themeColor="text1"/>
          <w:sz w:val="22"/>
          <w:szCs w:val="22"/>
          <w:lang w:val="en-ZA" w:eastAsia="en-GB"/>
        </w:rPr>
        <w:t>quam</w:t>
      </w:r>
      <w:proofErr w:type="spellEnd"/>
      <w:r w:rsidRPr="00B34564">
        <w:rPr>
          <w:rFonts w:ascii="Arial" w:eastAsia="Times New Roman" w:hAnsi="Arial" w:cs="Arial"/>
          <w:color w:val="000000" w:themeColor="text1"/>
          <w:sz w:val="22"/>
          <w:szCs w:val="22"/>
          <w:lang w:val="en-ZA" w:eastAsia="en-GB"/>
        </w:rPr>
        <w:t xml:space="preserve"> quod simulate </w:t>
      </w:r>
      <w:proofErr w:type="spellStart"/>
      <w:r w:rsidRPr="00B34564">
        <w:rPr>
          <w:rFonts w:ascii="Arial" w:eastAsia="Times New Roman" w:hAnsi="Arial" w:cs="Arial"/>
          <w:color w:val="000000" w:themeColor="text1"/>
          <w:sz w:val="22"/>
          <w:szCs w:val="22"/>
          <w:lang w:val="en-ZA" w:eastAsia="en-GB"/>
        </w:rPr>
        <w:t>concipitur</w:t>
      </w:r>
      <w:proofErr w:type="spellEnd"/>
      <w:r w:rsidRPr="00B34564">
        <w:rPr>
          <w:rFonts w:ascii="Arial" w:eastAsia="Times New Roman" w:hAnsi="Arial" w:cs="Arial"/>
          <w:color w:val="000000" w:themeColor="text1"/>
          <w:sz w:val="22"/>
          <w:szCs w:val="22"/>
          <w:lang w:val="en-ZA" w:eastAsia="en-GB"/>
        </w:rPr>
        <w:t>',</w:t>
      </w:r>
    </w:p>
    <w:p w14:paraId="6551A131" w14:textId="77777777" w:rsidR="00DD4FBD" w:rsidRPr="00B34564" w:rsidRDefault="00DD4FBD" w:rsidP="0027736E">
      <w:pPr>
        <w:spacing w:line="480" w:lineRule="auto"/>
        <w:ind w:hanging="720"/>
        <w:jc w:val="both"/>
        <w:rPr>
          <w:rFonts w:ascii="Arial" w:eastAsia="Times New Roman" w:hAnsi="Arial" w:cs="Arial"/>
          <w:color w:val="000000" w:themeColor="text1"/>
          <w:sz w:val="22"/>
          <w:szCs w:val="22"/>
          <w:lang w:val="en-ZA" w:eastAsia="en-GB"/>
        </w:rPr>
      </w:pPr>
    </w:p>
    <w:p w14:paraId="07A1BAEF" w14:textId="77777777" w:rsidR="00DD4FBD" w:rsidRPr="00B34564" w:rsidRDefault="00DD4FBD" w:rsidP="0027736E">
      <w:pPr>
        <w:spacing w:line="480" w:lineRule="auto"/>
        <w:ind w:left="1134"/>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w:t>
      </w:r>
      <w:proofErr w:type="spellStart"/>
      <w:r w:rsidRPr="00B34564">
        <w:rPr>
          <w:rFonts w:ascii="Arial" w:eastAsia="Times New Roman" w:hAnsi="Arial" w:cs="Arial"/>
          <w:color w:val="000000" w:themeColor="text1"/>
          <w:sz w:val="22"/>
          <w:szCs w:val="22"/>
          <w:lang w:val="en-ZA" w:eastAsia="en-GB"/>
        </w:rPr>
        <w:t>Dadoo</w:t>
      </w:r>
      <w:proofErr w:type="spellEnd"/>
      <w:r w:rsidRPr="00B34564">
        <w:rPr>
          <w:rFonts w:ascii="Arial" w:eastAsia="Times New Roman" w:hAnsi="Arial" w:cs="Arial"/>
          <w:color w:val="000000" w:themeColor="text1"/>
          <w:sz w:val="22"/>
          <w:szCs w:val="22"/>
          <w:lang w:val="en-ZA" w:eastAsia="en-GB"/>
        </w:rPr>
        <w:t xml:space="preserve"> Ltd and Others v Krugersdorp Municipal Council (supra at 547).)Whatever the position, it is probably fair to say that a court has no general discretion simply to disregard a company's separate legal personality whenever it considers it just to do so (Botha v Van Niekerk </w:t>
      </w:r>
      <w:proofErr w:type="spellStart"/>
      <w:r w:rsidRPr="00B34564">
        <w:rPr>
          <w:rFonts w:ascii="Arial" w:eastAsia="Times New Roman" w:hAnsi="Arial" w:cs="Arial"/>
          <w:color w:val="000000" w:themeColor="text1"/>
          <w:sz w:val="22"/>
          <w:szCs w:val="22"/>
          <w:lang w:val="en-ZA" w:eastAsia="en-GB"/>
        </w:rPr>
        <w:t>en</w:t>
      </w:r>
      <w:proofErr w:type="spellEnd"/>
      <w:r w:rsidRPr="00B34564">
        <w:rPr>
          <w:rFonts w:ascii="Arial" w:eastAsia="Times New Roman" w:hAnsi="Arial" w:cs="Arial"/>
          <w:color w:val="000000" w:themeColor="text1"/>
          <w:sz w:val="22"/>
          <w:szCs w:val="22"/>
          <w:lang w:val="en-ZA" w:eastAsia="en-GB"/>
        </w:rPr>
        <w:t xml:space="preserve"> 'n Ander </w:t>
      </w:r>
      <w:hyperlink r:id="rId9" w:history="1">
        <w:r w:rsidRPr="00B34564">
          <w:rPr>
            <w:rFonts w:ascii="Arial" w:eastAsia="Times New Roman" w:hAnsi="Arial" w:cs="Arial"/>
            <w:color w:val="000000" w:themeColor="text1"/>
            <w:sz w:val="22"/>
            <w:szCs w:val="22"/>
            <w:lang w:val="en-ZA" w:eastAsia="en-GB"/>
          </w:rPr>
          <w:t>1983 (3) SA 513 (W)</w:t>
        </w:r>
      </w:hyperlink>
      <w:r w:rsidRPr="00B34564">
        <w:rPr>
          <w:rFonts w:ascii="Arial" w:eastAsia="Times New Roman" w:hAnsi="Arial" w:cs="Arial"/>
          <w:color w:val="000000" w:themeColor="text1"/>
          <w:sz w:val="22"/>
          <w:szCs w:val="22"/>
          <w:lang w:val="en-ZA" w:eastAsia="en-GB"/>
        </w:rPr>
        <w:t> at 524A; Gower's The Principles of Modern Company Law 5th ed at 133).’</w:t>
      </w:r>
    </w:p>
    <w:p w14:paraId="628D060A" w14:textId="77777777" w:rsidR="00DD4FBD" w:rsidRPr="00430500" w:rsidRDefault="00DD4FBD" w:rsidP="0027736E">
      <w:pPr>
        <w:pStyle w:val="lrpara"/>
        <w:spacing w:before="0" w:beforeAutospacing="0" w:after="0" w:afterAutospacing="0" w:line="480" w:lineRule="auto"/>
        <w:ind w:hanging="720"/>
        <w:jc w:val="both"/>
        <w:rPr>
          <w:rFonts w:ascii="Arial" w:hAnsi="Arial" w:cs="Arial"/>
          <w:color w:val="000000" w:themeColor="text1"/>
        </w:rPr>
      </w:pPr>
    </w:p>
    <w:p w14:paraId="572D95B5" w14:textId="77777777" w:rsidR="00DD4FBD" w:rsidRPr="00430500" w:rsidRDefault="00DD4FBD" w:rsidP="0027736E">
      <w:pPr>
        <w:pStyle w:val="lrpara"/>
        <w:spacing w:before="0" w:beforeAutospacing="0" w:after="0" w:afterAutospacing="0" w:line="480" w:lineRule="auto"/>
        <w:ind w:firstLine="675"/>
        <w:jc w:val="both"/>
        <w:rPr>
          <w:rFonts w:ascii="Arial" w:hAnsi="Arial" w:cs="Arial"/>
          <w:color w:val="000000" w:themeColor="text1"/>
        </w:rPr>
      </w:pPr>
      <w:r w:rsidRPr="00430500">
        <w:rPr>
          <w:rFonts w:ascii="Arial" w:hAnsi="Arial" w:cs="Arial"/>
          <w:color w:val="000000" w:themeColor="text1"/>
        </w:rPr>
        <w:t>And:</w:t>
      </w:r>
      <w:r w:rsidRPr="00430500">
        <w:rPr>
          <w:rStyle w:val="FootnoteReference"/>
          <w:rFonts w:ascii="Arial" w:hAnsi="Arial" w:cs="Arial"/>
          <w:color w:val="000000" w:themeColor="text1"/>
        </w:rPr>
        <w:footnoteReference w:id="6"/>
      </w:r>
    </w:p>
    <w:p w14:paraId="0AD5260F" w14:textId="77777777" w:rsidR="00DD4FBD" w:rsidRPr="00430500" w:rsidRDefault="00DD4FBD" w:rsidP="0027736E">
      <w:pPr>
        <w:pStyle w:val="lrpara"/>
        <w:spacing w:before="0" w:beforeAutospacing="0" w:after="0" w:afterAutospacing="0" w:line="480" w:lineRule="auto"/>
        <w:ind w:hanging="720"/>
        <w:jc w:val="both"/>
        <w:rPr>
          <w:rFonts w:ascii="Arial" w:hAnsi="Arial" w:cs="Arial"/>
          <w:color w:val="000000" w:themeColor="text1"/>
        </w:rPr>
      </w:pPr>
    </w:p>
    <w:p w14:paraId="2E21D71B" w14:textId="77777777" w:rsidR="00DD4FBD" w:rsidRPr="00B34564" w:rsidRDefault="00681CBA" w:rsidP="0027736E">
      <w:pPr>
        <w:pStyle w:val="lrpara"/>
        <w:spacing w:before="0" w:beforeAutospacing="0" w:after="0" w:afterAutospacing="0" w:line="480" w:lineRule="auto"/>
        <w:ind w:left="1134"/>
        <w:jc w:val="both"/>
        <w:rPr>
          <w:rFonts w:ascii="Arial" w:hAnsi="Arial" w:cs="Arial"/>
          <w:color w:val="000000" w:themeColor="text1"/>
          <w:sz w:val="22"/>
          <w:szCs w:val="22"/>
        </w:rPr>
      </w:pPr>
      <w:r w:rsidRPr="00B34564">
        <w:rPr>
          <w:rFonts w:ascii="Arial" w:hAnsi="Arial" w:cs="Arial"/>
          <w:color w:val="000000" w:themeColor="text1"/>
          <w:sz w:val="22"/>
          <w:szCs w:val="22"/>
        </w:rPr>
        <w:t>‘</w:t>
      </w:r>
      <w:r w:rsidR="00DD4FBD" w:rsidRPr="00B34564">
        <w:rPr>
          <w:rFonts w:ascii="Arial" w:hAnsi="Arial" w:cs="Arial"/>
          <w:color w:val="000000" w:themeColor="text1"/>
          <w:sz w:val="22"/>
          <w:szCs w:val="22"/>
        </w:rPr>
        <w:t>The principle of a company's separate juristic personality was first asserted in the House of Lords in</w:t>
      </w:r>
      <w:r w:rsidR="00DD4FBD" w:rsidRPr="00B34564">
        <w:rPr>
          <w:rStyle w:val="apple-converted-space"/>
          <w:rFonts w:ascii="Arial" w:hAnsi="Arial" w:cs="Arial"/>
          <w:color w:val="000000" w:themeColor="text1"/>
          <w:sz w:val="22"/>
          <w:szCs w:val="22"/>
        </w:rPr>
        <w:t> </w:t>
      </w:r>
      <w:r w:rsidR="00DD4FBD" w:rsidRPr="00B34564">
        <w:rPr>
          <w:rFonts w:ascii="Arial" w:hAnsi="Arial" w:cs="Arial"/>
          <w:color w:val="000000" w:themeColor="text1"/>
          <w:sz w:val="22"/>
          <w:szCs w:val="22"/>
        </w:rPr>
        <w:t>Aron Salomon v A Salomon and Co Ltd</w:t>
      </w:r>
      <w:r w:rsidR="00DD4FBD" w:rsidRPr="00B34564">
        <w:rPr>
          <w:rStyle w:val="apple-converted-space"/>
          <w:rFonts w:ascii="Arial" w:hAnsi="Arial" w:cs="Arial"/>
          <w:color w:val="000000" w:themeColor="text1"/>
          <w:sz w:val="22"/>
          <w:szCs w:val="22"/>
        </w:rPr>
        <w:t> </w:t>
      </w:r>
      <w:r w:rsidR="00DD4FBD" w:rsidRPr="00B34564">
        <w:rPr>
          <w:rFonts w:ascii="Arial" w:hAnsi="Arial" w:cs="Arial"/>
          <w:color w:val="000000" w:themeColor="text1"/>
          <w:sz w:val="22"/>
          <w:szCs w:val="22"/>
        </w:rPr>
        <w:t xml:space="preserve">[1897] AC 22. There already it appears to have been recognised that proof of fraud or dishonesty might justify the separate corporate personality of a company being disregarded. (See, in this regard, the speeches of Lord Halsbury at 33 and Lord </w:t>
      </w:r>
      <w:proofErr w:type="spellStart"/>
      <w:r w:rsidR="00DD4FBD" w:rsidRPr="00B34564">
        <w:rPr>
          <w:rFonts w:ascii="Arial" w:hAnsi="Arial" w:cs="Arial"/>
          <w:color w:val="000000" w:themeColor="text1"/>
          <w:sz w:val="22"/>
          <w:szCs w:val="22"/>
        </w:rPr>
        <w:t>Macnaghten</w:t>
      </w:r>
      <w:proofErr w:type="spellEnd"/>
      <w:r w:rsidR="00DD4FBD" w:rsidRPr="00B34564">
        <w:rPr>
          <w:rFonts w:ascii="Arial" w:hAnsi="Arial" w:cs="Arial"/>
          <w:color w:val="000000" w:themeColor="text1"/>
          <w:sz w:val="22"/>
          <w:szCs w:val="22"/>
        </w:rPr>
        <w:t xml:space="preserve"> at 52-3.) And over the years it has</w:t>
      </w:r>
      <w:r w:rsidRPr="00B34564">
        <w:rPr>
          <w:rStyle w:val="apple-converted-space"/>
          <w:rFonts w:ascii="Arial" w:hAnsi="Arial" w:cs="Arial"/>
          <w:color w:val="000000" w:themeColor="text1"/>
          <w:sz w:val="22"/>
          <w:szCs w:val="22"/>
        </w:rPr>
        <w:t xml:space="preserve"> </w:t>
      </w:r>
      <w:r w:rsidR="00DD4FBD" w:rsidRPr="00B34564">
        <w:rPr>
          <w:rFonts w:ascii="Arial" w:hAnsi="Arial" w:cs="Arial"/>
          <w:color w:val="000000" w:themeColor="text1"/>
          <w:sz w:val="22"/>
          <w:szCs w:val="22"/>
        </w:rPr>
        <w:t>come to be accepted that fraud, dishonesty or improper conduct could provide grounds for piercing the corporate veil. Recently this was confirmed in</w:t>
      </w:r>
      <w:r w:rsidR="00DD4FBD" w:rsidRPr="00B34564">
        <w:rPr>
          <w:rStyle w:val="apple-converted-space"/>
          <w:rFonts w:ascii="Arial" w:hAnsi="Arial" w:cs="Arial"/>
          <w:color w:val="000000" w:themeColor="text1"/>
          <w:sz w:val="22"/>
          <w:szCs w:val="22"/>
        </w:rPr>
        <w:t> </w:t>
      </w:r>
      <w:r w:rsidR="00DD4FBD" w:rsidRPr="00B34564">
        <w:rPr>
          <w:rFonts w:ascii="Arial" w:hAnsi="Arial" w:cs="Arial"/>
          <w:color w:val="000000" w:themeColor="text1"/>
          <w:sz w:val="22"/>
          <w:szCs w:val="22"/>
        </w:rPr>
        <w:t xml:space="preserve">The Shipping Corporation of India Ltd v </w:t>
      </w:r>
      <w:proofErr w:type="spellStart"/>
      <w:r w:rsidR="00DD4FBD" w:rsidRPr="00B34564">
        <w:rPr>
          <w:rFonts w:ascii="Arial" w:hAnsi="Arial" w:cs="Arial"/>
          <w:color w:val="000000" w:themeColor="text1"/>
          <w:sz w:val="22"/>
          <w:szCs w:val="22"/>
        </w:rPr>
        <w:t>Evdomon</w:t>
      </w:r>
      <w:proofErr w:type="spellEnd"/>
      <w:r w:rsidR="00DD4FBD" w:rsidRPr="00B34564">
        <w:rPr>
          <w:rFonts w:ascii="Arial" w:hAnsi="Arial" w:cs="Arial"/>
          <w:color w:val="000000" w:themeColor="text1"/>
          <w:sz w:val="22"/>
          <w:szCs w:val="22"/>
        </w:rPr>
        <w:t xml:space="preserve"> Corporation and Another </w:t>
      </w:r>
      <w:hyperlink r:id="rId10" w:history="1">
        <w:r w:rsidR="00DD4FBD" w:rsidRPr="00B34564">
          <w:rPr>
            <w:rStyle w:val="Hyperlink"/>
            <w:rFonts w:ascii="Arial" w:hAnsi="Arial" w:cs="Arial"/>
            <w:color w:val="000000" w:themeColor="text1"/>
            <w:sz w:val="22"/>
            <w:szCs w:val="22"/>
            <w:u w:val="none"/>
          </w:rPr>
          <w:t>1994 (1)</w:t>
        </w:r>
        <w:r w:rsidR="00DD4FBD" w:rsidRPr="00B34564">
          <w:rPr>
            <w:rStyle w:val="apple-converted-space"/>
            <w:rFonts w:ascii="Arial" w:hAnsi="Arial" w:cs="Arial"/>
            <w:color w:val="000000" w:themeColor="text1"/>
            <w:sz w:val="22"/>
            <w:szCs w:val="22"/>
          </w:rPr>
          <w:t> </w:t>
        </w:r>
        <w:r w:rsidR="00DD4FBD" w:rsidRPr="00B34564">
          <w:rPr>
            <w:rStyle w:val="Hyperlink"/>
            <w:rFonts w:ascii="Arial" w:hAnsi="Arial" w:cs="Arial"/>
            <w:color w:val="000000" w:themeColor="text1"/>
            <w:sz w:val="22"/>
            <w:szCs w:val="22"/>
            <w:u w:val="none"/>
          </w:rPr>
          <w:t>SA</w:t>
        </w:r>
        <w:r w:rsidR="00DD4FBD" w:rsidRPr="00B34564">
          <w:rPr>
            <w:rStyle w:val="apple-converted-space"/>
            <w:rFonts w:ascii="Arial" w:hAnsi="Arial" w:cs="Arial"/>
            <w:color w:val="000000" w:themeColor="text1"/>
            <w:sz w:val="22"/>
            <w:szCs w:val="22"/>
          </w:rPr>
          <w:t> </w:t>
        </w:r>
        <w:r w:rsidR="00DD4FBD" w:rsidRPr="00B34564">
          <w:rPr>
            <w:rStyle w:val="Hyperlink"/>
            <w:rFonts w:ascii="Arial" w:hAnsi="Arial" w:cs="Arial"/>
            <w:color w:val="000000" w:themeColor="text1"/>
            <w:sz w:val="22"/>
            <w:szCs w:val="22"/>
            <w:u w:val="none"/>
          </w:rPr>
          <w:t>550 (A)</w:t>
        </w:r>
      </w:hyperlink>
      <w:r w:rsidR="00DD4FBD" w:rsidRPr="00B34564">
        <w:rPr>
          <w:rStyle w:val="apple-converted-space"/>
          <w:rFonts w:ascii="Arial" w:hAnsi="Arial" w:cs="Arial"/>
          <w:color w:val="000000" w:themeColor="text1"/>
          <w:sz w:val="22"/>
          <w:szCs w:val="22"/>
        </w:rPr>
        <w:t> </w:t>
      </w:r>
      <w:r w:rsidR="00DD4FBD" w:rsidRPr="00B34564">
        <w:rPr>
          <w:rFonts w:ascii="Arial" w:hAnsi="Arial" w:cs="Arial"/>
          <w:color w:val="000000" w:themeColor="text1"/>
          <w:sz w:val="22"/>
          <w:szCs w:val="22"/>
        </w:rPr>
        <w:t>where Corbett CJ expressed himself as follows at 566C-F:</w:t>
      </w:r>
    </w:p>
    <w:p w14:paraId="6345EF7D" w14:textId="77777777" w:rsidR="0027736E" w:rsidRDefault="0027736E" w:rsidP="0027736E">
      <w:pPr>
        <w:pStyle w:val="lrquote"/>
        <w:spacing w:before="0" w:beforeAutospacing="0" w:after="0" w:afterAutospacing="0" w:line="480" w:lineRule="auto"/>
        <w:ind w:left="1440" w:hanging="720"/>
        <w:jc w:val="both"/>
        <w:rPr>
          <w:rFonts w:ascii="Arial" w:hAnsi="Arial" w:cs="Arial"/>
          <w:color w:val="000000" w:themeColor="text1"/>
          <w:sz w:val="22"/>
          <w:szCs w:val="22"/>
        </w:rPr>
      </w:pPr>
    </w:p>
    <w:p w14:paraId="0D016F98" w14:textId="77777777" w:rsidR="0027736E" w:rsidRDefault="0027736E" w:rsidP="0027736E">
      <w:pPr>
        <w:pStyle w:val="lrquote"/>
        <w:spacing w:before="0" w:beforeAutospacing="0" w:after="0" w:afterAutospacing="0" w:line="480" w:lineRule="auto"/>
        <w:ind w:left="1440" w:hanging="720"/>
        <w:jc w:val="both"/>
        <w:rPr>
          <w:rFonts w:ascii="Arial" w:hAnsi="Arial" w:cs="Arial"/>
          <w:color w:val="000000" w:themeColor="text1"/>
          <w:sz w:val="22"/>
          <w:szCs w:val="22"/>
        </w:rPr>
      </w:pPr>
    </w:p>
    <w:p w14:paraId="0B22E440" w14:textId="5D6E975D" w:rsidR="00DD4FBD" w:rsidRDefault="00DD4FBD" w:rsidP="0027736E">
      <w:pPr>
        <w:pStyle w:val="lrquote"/>
        <w:spacing w:before="0" w:beforeAutospacing="0" w:after="0" w:afterAutospacing="0" w:line="480" w:lineRule="auto"/>
        <w:ind w:left="1440"/>
        <w:jc w:val="both"/>
        <w:rPr>
          <w:rStyle w:val="apple-converted-space"/>
          <w:rFonts w:ascii="Arial" w:hAnsi="Arial" w:cs="Arial"/>
          <w:color w:val="000000" w:themeColor="text1"/>
          <w:sz w:val="22"/>
          <w:szCs w:val="22"/>
        </w:rPr>
      </w:pPr>
      <w:r w:rsidRPr="00B34564">
        <w:rPr>
          <w:rFonts w:ascii="Arial" w:hAnsi="Arial" w:cs="Arial"/>
          <w:color w:val="000000" w:themeColor="text1"/>
          <w:sz w:val="22"/>
          <w:szCs w:val="22"/>
        </w:rPr>
        <w:t>'It seems to me that, generally, it is of cardinal importance to keep distinct the property rights of a company and those of its shareholders, even where the latter is a single entity, and that the only permissible deviation from this rule known to our law occurs in those (in practice) rare cases where the circumstances justify "piercing" or "lifting" the corporate veil. And in this regard it should not make any difference</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whether the shares be held by a holding company or by a Government. I do not find it necessary to consider, or attempt to define, the circumstances under which the Court will pierce the corporate veil. Suffice it to say that they would generally have to include an element of fraud or other improper conduct in the establishment or use of the company or the conduct of its affairs. In this connection the words "device", "stratagem", "cloak" and "sham" have been used. . . .'</w:t>
      </w:r>
      <w:r w:rsidRPr="00B34564">
        <w:rPr>
          <w:rStyle w:val="apple-converted-space"/>
          <w:rFonts w:ascii="Arial" w:hAnsi="Arial" w:cs="Arial"/>
          <w:color w:val="000000" w:themeColor="text1"/>
          <w:sz w:val="22"/>
          <w:szCs w:val="22"/>
        </w:rPr>
        <w:t> </w:t>
      </w:r>
    </w:p>
    <w:p w14:paraId="76B1B794" w14:textId="77777777" w:rsidR="00E53F34" w:rsidRPr="00B34564" w:rsidRDefault="00E53F34" w:rsidP="0027736E">
      <w:pPr>
        <w:pStyle w:val="lrquote"/>
        <w:spacing w:before="0" w:beforeAutospacing="0" w:after="0" w:afterAutospacing="0" w:line="480" w:lineRule="auto"/>
        <w:ind w:left="1440"/>
        <w:jc w:val="both"/>
        <w:rPr>
          <w:rFonts w:ascii="Arial" w:hAnsi="Arial" w:cs="Arial"/>
          <w:color w:val="000000" w:themeColor="text1"/>
          <w:sz w:val="22"/>
          <w:szCs w:val="22"/>
        </w:rPr>
      </w:pPr>
    </w:p>
    <w:p w14:paraId="549B3068" w14:textId="77777777" w:rsidR="00DD4FBD" w:rsidRPr="00B34564" w:rsidRDefault="00DD4FBD" w:rsidP="0027736E">
      <w:pPr>
        <w:pStyle w:val="lrpara"/>
        <w:spacing w:before="0" w:beforeAutospacing="0" w:after="0" w:afterAutospacing="0" w:line="480" w:lineRule="auto"/>
        <w:ind w:left="1134"/>
        <w:jc w:val="both"/>
        <w:rPr>
          <w:rFonts w:ascii="Arial" w:hAnsi="Arial" w:cs="Arial"/>
          <w:color w:val="000000" w:themeColor="text1"/>
          <w:sz w:val="22"/>
          <w:szCs w:val="22"/>
        </w:rPr>
      </w:pPr>
      <w:r w:rsidRPr="00B34564">
        <w:rPr>
          <w:rFonts w:ascii="Arial" w:hAnsi="Arial" w:cs="Arial"/>
          <w:color w:val="000000" w:themeColor="text1"/>
          <w:sz w:val="22"/>
          <w:szCs w:val="22"/>
        </w:rPr>
        <w:t xml:space="preserve">Two matters arising from the quoted passage merit further comment. First, reference is made to 'those (in practice) rare cases where the circumstances justify "piercing" or "lifting" the corporate veil'. It is undoubtedly a salutary principle that our Courts should not lightly disregard a company's separate </w:t>
      </w:r>
      <w:proofErr w:type="gramStart"/>
      <w:r w:rsidRPr="00B34564">
        <w:rPr>
          <w:rFonts w:ascii="Arial" w:hAnsi="Arial" w:cs="Arial"/>
          <w:color w:val="000000" w:themeColor="text1"/>
          <w:sz w:val="22"/>
          <w:szCs w:val="22"/>
        </w:rPr>
        <w:t>personality, but</w:t>
      </w:r>
      <w:proofErr w:type="gramEnd"/>
      <w:r w:rsidRPr="00B34564">
        <w:rPr>
          <w:rFonts w:ascii="Arial" w:hAnsi="Arial" w:cs="Arial"/>
          <w:color w:val="000000" w:themeColor="text1"/>
          <w:sz w:val="22"/>
          <w:szCs w:val="22"/>
        </w:rPr>
        <w:t xml:space="preserve"> should strive to give</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 xml:space="preserve">effect to and uphold it. To do otherwise would negate or undermine the policy and principles that underpin the concept of separate corporate personality and the legal consequences that attach to it. But where fraud, </w:t>
      </w:r>
      <w:proofErr w:type="gramStart"/>
      <w:r w:rsidRPr="00B34564">
        <w:rPr>
          <w:rFonts w:ascii="Arial" w:hAnsi="Arial" w:cs="Arial"/>
          <w:color w:val="000000" w:themeColor="text1"/>
          <w:sz w:val="22"/>
          <w:szCs w:val="22"/>
        </w:rPr>
        <w:t>dishonesty</w:t>
      </w:r>
      <w:proofErr w:type="gramEnd"/>
      <w:r w:rsidRPr="00B34564">
        <w:rPr>
          <w:rFonts w:ascii="Arial" w:hAnsi="Arial" w:cs="Arial"/>
          <w:color w:val="000000" w:themeColor="text1"/>
          <w:sz w:val="22"/>
          <w:szCs w:val="22"/>
        </w:rPr>
        <w:t xml:space="preserve"> or other improper conduct (and I confine myself to such situations) is found to be present, other considerations will come into</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play. The need to preserve the separate corporate identity would in such circumstances have to be balanced against policy considerations which arise in favour of piercing the corporate veil (</w:t>
      </w:r>
      <w:proofErr w:type="spellStart"/>
      <w:r w:rsidRPr="00B34564">
        <w:rPr>
          <w:rFonts w:ascii="Arial" w:hAnsi="Arial" w:cs="Arial"/>
          <w:color w:val="000000" w:themeColor="text1"/>
          <w:sz w:val="22"/>
          <w:szCs w:val="22"/>
        </w:rPr>
        <w:t>cf</w:t>
      </w:r>
      <w:proofErr w:type="spellEnd"/>
      <w:r w:rsidRPr="00B34564">
        <w:rPr>
          <w:rFonts w:ascii="Arial" w:hAnsi="Arial" w:cs="Arial"/>
          <w:color w:val="000000" w:themeColor="text1"/>
          <w:sz w:val="22"/>
          <w:szCs w:val="22"/>
        </w:rPr>
        <w:t xml:space="preserve"> </w:t>
      </w:r>
      <w:proofErr w:type="spellStart"/>
      <w:r w:rsidRPr="00B34564">
        <w:rPr>
          <w:rFonts w:ascii="Arial" w:hAnsi="Arial" w:cs="Arial"/>
          <w:color w:val="000000" w:themeColor="text1"/>
          <w:sz w:val="22"/>
          <w:szCs w:val="22"/>
        </w:rPr>
        <w:t>Domanski</w:t>
      </w:r>
      <w:proofErr w:type="spellEnd"/>
      <w:r w:rsidRPr="00B34564">
        <w:rPr>
          <w:rFonts w:ascii="Arial" w:hAnsi="Arial" w:cs="Arial"/>
          <w:color w:val="000000" w:themeColor="text1"/>
          <w:sz w:val="22"/>
          <w:szCs w:val="22"/>
        </w:rPr>
        <w:t xml:space="preserve"> 'Piercing the Corporate Veil-A New Direction' (1986) 103</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SALJ</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 xml:space="preserve">224). And a court would then be entitled to look to substance </w:t>
      </w:r>
      <w:r w:rsidRPr="00B34564">
        <w:rPr>
          <w:rFonts w:ascii="Arial" w:hAnsi="Arial" w:cs="Arial"/>
          <w:color w:val="000000" w:themeColor="text1"/>
          <w:sz w:val="22"/>
          <w:szCs w:val="22"/>
        </w:rPr>
        <w:lastRenderedPageBreak/>
        <w:t>rather than form in order to arrive</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at the true facts, and if there has been a misuse of corporate</w:t>
      </w:r>
      <w:r w:rsidR="00681CBA" w:rsidRPr="00B34564">
        <w:rPr>
          <w:rFonts w:ascii="Arial" w:hAnsi="Arial" w:cs="Arial"/>
          <w:color w:val="000000" w:themeColor="text1"/>
          <w:sz w:val="22"/>
          <w:szCs w:val="22"/>
        </w:rPr>
        <w:t xml:space="preserve"> </w:t>
      </w:r>
      <w:r w:rsidRPr="00B34564">
        <w:rPr>
          <w:rFonts w:ascii="Arial" w:hAnsi="Arial" w:cs="Arial"/>
          <w:color w:val="000000" w:themeColor="text1"/>
          <w:sz w:val="22"/>
          <w:szCs w:val="22"/>
        </w:rPr>
        <w:t xml:space="preserve">personality, to disregard it and attribute liability where it should rightly lie. </w:t>
      </w:r>
      <w:r w:rsidRPr="00B34564">
        <w:rPr>
          <w:rFonts w:ascii="Arial" w:hAnsi="Arial" w:cs="Arial"/>
          <w:color w:val="000000" w:themeColor="text1"/>
          <w:sz w:val="22"/>
          <w:szCs w:val="22"/>
          <w:u w:val="single"/>
        </w:rPr>
        <w:t>Each case would obviously have to be considered on its own merits</w:t>
      </w:r>
      <w:r w:rsidRPr="00B34564">
        <w:rPr>
          <w:rFonts w:ascii="Arial" w:hAnsi="Arial" w:cs="Arial"/>
          <w:color w:val="000000" w:themeColor="text1"/>
          <w:sz w:val="22"/>
          <w:szCs w:val="22"/>
        </w:rPr>
        <w:t>.</w:t>
      </w:r>
      <w:r w:rsidR="00BD76DF" w:rsidRPr="00B34564">
        <w:rPr>
          <w:rStyle w:val="FootnoteReference"/>
          <w:rFonts w:ascii="Arial" w:hAnsi="Arial" w:cs="Arial"/>
          <w:color w:val="000000" w:themeColor="text1"/>
          <w:sz w:val="22"/>
          <w:szCs w:val="22"/>
        </w:rPr>
        <w:footnoteReference w:id="7"/>
      </w:r>
    </w:p>
    <w:p w14:paraId="609CF8B8" w14:textId="77777777" w:rsidR="00CC7211" w:rsidRPr="00B34564" w:rsidRDefault="00CC7211" w:rsidP="0027736E">
      <w:pPr>
        <w:pStyle w:val="lrpara"/>
        <w:spacing w:before="0" w:beforeAutospacing="0" w:after="0" w:afterAutospacing="0" w:line="480" w:lineRule="auto"/>
        <w:ind w:hanging="720"/>
        <w:jc w:val="both"/>
        <w:rPr>
          <w:rFonts w:ascii="Arial" w:hAnsi="Arial" w:cs="Arial"/>
          <w:color w:val="000000" w:themeColor="text1"/>
          <w:sz w:val="22"/>
          <w:szCs w:val="22"/>
        </w:rPr>
      </w:pPr>
    </w:p>
    <w:p w14:paraId="00FE9D1D" w14:textId="1ADC9F14" w:rsidR="00CC7211" w:rsidRDefault="00CC7211" w:rsidP="0027736E">
      <w:pPr>
        <w:pStyle w:val="lrpara"/>
        <w:spacing w:before="0" w:beforeAutospacing="0" w:after="0" w:afterAutospacing="0" w:line="480" w:lineRule="auto"/>
        <w:ind w:left="1134"/>
        <w:jc w:val="both"/>
        <w:rPr>
          <w:rFonts w:ascii="Arial" w:hAnsi="Arial" w:cs="Arial"/>
          <w:color w:val="000000" w:themeColor="text1"/>
          <w:sz w:val="22"/>
          <w:szCs w:val="22"/>
        </w:rPr>
      </w:pPr>
      <w:r w:rsidRPr="00B34564">
        <w:rPr>
          <w:rFonts w:ascii="Arial" w:hAnsi="Arial" w:cs="Arial"/>
          <w:color w:val="000000" w:themeColor="text1"/>
          <w:sz w:val="22"/>
          <w:szCs w:val="22"/>
        </w:rPr>
        <w:t>The second is the reference to the inclusion of 'an element of fraud or other improper conduct in the establishment or</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use</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of the company or the conduct of its affairs'. (My emphasis.) It is not necessary that a company should have been conceived and founded in deceit, and never have been</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intended to function genuinely as a company, before its corporate personality can be disregarded (as appears in some respects to have been the view of the trial Judge - see the judgment at 821G-J). As</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 xml:space="preserve">Gower (op </w:t>
      </w:r>
      <w:proofErr w:type="spellStart"/>
      <w:r w:rsidRPr="00B34564">
        <w:rPr>
          <w:rFonts w:ascii="Arial" w:hAnsi="Arial" w:cs="Arial"/>
          <w:color w:val="000000" w:themeColor="text1"/>
          <w:sz w:val="22"/>
          <w:szCs w:val="22"/>
        </w:rPr>
        <w:t>cit</w:t>
      </w:r>
      <w:proofErr w:type="spellEnd"/>
      <w:r w:rsidRPr="00B34564">
        <w:rPr>
          <w:rFonts w:ascii="Arial" w:hAnsi="Arial" w:cs="Arial"/>
          <w:color w:val="000000" w:themeColor="text1"/>
          <w:sz w:val="22"/>
          <w:szCs w:val="22"/>
        </w:rPr>
        <w:t>) states (at 133):</w:t>
      </w:r>
    </w:p>
    <w:p w14:paraId="1CCF94EA" w14:textId="77777777" w:rsidR="00E53F34" w:rsidRPr="00B34564" w:rsidRDefault="00E53F34" w:rsidP="0027736E">
      <w:pPr>
        <w:pStyle w:val="lrpara"/>
        <w:spacing w:before="0" w:beforeAutospacing="0" w:after="0" w:afterAutospacing="0" w:line="480" w:lineRule="auto"/>
        <w:ind w:left="1134"/>
        <w:jc w:val="both"/>
        <w:rPr>
          <w:rFonts w:ascii="Arial" w:hAnsi="Arial" w:cs="Arial"/>
          <w:color w:val="000000" w:themeColor="text1"/>
          <w:sz w:val="22"/>
          <w:szCs w:val="22"/>
        </w:rPr>
      </w:pPr>
    </w:p>
    <w:p w14:paraId="42DE1516" w14:textId="629095E5" w:rsidR="00CC7211" w:rsidRDefault="00CC7211" w:rsidP="0027736E">
      <w:pPr>
        <w:pStyle w:val="lrquote"/>
        <w:spacing w:before="0" w:beforeAutospacing="0" w:after="0" w:afterAutospacing="0" w:line="480" w:lineRule="auto"/>
        <w:ind w:left="1440"/>
        <w:jc w:val="both"/>
        <w:rPr>
          <w:rFonts w:ascii="Arial" w:hAnsi="Arial" w:cs="Arial"/>
          <w:color w:val="000000" w:themeColor="text1"/>
          <w:sz w:val="22"/>
          <w:szCs w:val="22"/>
        </w:rPr>
      </w:pPr>
      <w:r w:rsidRPr="00B34564">
        <w:rPr>
          <w:rFonts w:ascii="Arial" w:hAnsi="Arial" w:cs="Arial"/>
          <w:color w:val="000000" w:themeColor="text1"/>
          <w:sz w:val="22"/>
          <w:szCs w:val="22"/>
        </w:rPr>
        <w:t>'It also seems clear that a company can be a façade even though it was not</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originally incorporated with any deceptive intention; what counts is whether it is being used as a façade at the time of the relevant transactions.'</w:t>
      </w:r>
    </w:p>
    <w:p w14:paraId="5FD35791" w14:textId="77777777" w:rsidR="00E53F34" w:rsidRPr="00B34564" w:rsidRDefault="00E53F34" w:rsidP="0027736E">
      <w:pPr>
        <w:pStyle w:val="lrquote"/>
        <w:spacing w:before="0" w:beforeAutospacing="0" w:after="0" w:afterAutospacing="0" w:line="480" w:lineRule="auto"/>
        <w:ind w:left="1440"/>
        <w:jc w:val="both"/>
        <w:rPr>
          <w:rFonts w:ascii="Arial" w:hAnsi="Arial" w:cs="Arial"/>
          <w:color w:val="000000" w:themeColor="text1"/>
          <w:sz w:val="22"/>
          <w:szCs w:val="22"/>
        </w:rPr>
      </w:pPr>
    </w:p>
    <w:p w14:paraId="5CDBC5A2" w14:textId="77777777" w:rsidR="00CC7211" w:rsidRPr="00B34564" w:rsidRDefault="00CC7211" w:rsidP="0027736E">
      <w:pPr>
        <w:pStyle w:val="lrpara"/>
        <w:spacing w:before="0" w:beforeAutospacing="0" w:after="0" w:afterAutospacing="0" w:line="480" w:lineRule="auto"/>
        <w:ind w:left="1134"/>
        <w:jc w:val="both"/>
        <w:rPr>
          <w:rFonts w:ascii="Arial" w:hAnsi="Arial" w:cs="Arial"/>
          <w:color w:val="000000" w:themeColor="text1"/>
          <w:sz w:val="22"/>
          <w:szCs w:val="22"/>
        </w:rPr>
      </w:pPr>
      <w:r w:rsidRPr="00B34564">
        <w:rPr>
          <w:rFonts w:ascii="Arial" w:hAnsi="Arial" w:cs="Arial"/>
          <w:color w:val="000000" w:themeColor="text1"/>
          <w:sz w:val="22"/>
          <w:szCs w:val="22"/>
        </w:rPr>
        <w:t>Thus if a company, otherwise legitimately established and operated, is misused in a particular instance to perpetrate a fraud, or for a dishonest or improper purpose, there is no reason in principle or logic why its</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separate personality cannot be disregarded in relation to the transaction in question (in order to fix the individual or individuals responsible with personal liability) while giving full effect to it in other respects. In other words, there is no reason why what amounts to a piercing of the veil</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pro hac vice</w:t>
      </w:r>
      <w:r w:rsidRPr="00B34564">
        <w:rPr>
          <w:rStyle w:val="apple-converted-space"/>
          <w:rFonts w:ascii="Arial" w:hAnsi="Arial" w:cs="Arial"/>
          <w:color w:val="000000" w:themeColor="text1"/>
          <w:sz w:val="22"/>
          <w:szCs w:val="22"/>
        </w:rPr>
        <w:t> </w:t>
      </w:r>
      <w:r w:rsidRPr="00B34564">
        <w:rPr>
          <w:rFonts w:ascii="Arial" w:hAnsi="Arial" w:cs="Arial"/>
          <w:color w:val="000000" w:themeColor="text1"/>
          <w:sz w:val="22"/>
          <w:szCs w:val="22"/>
        </w:rPr>
        <w:t>should not be permitted.’</w:t>
      </w:r>
    </w:p>
    <w:p w14:paraId="7639B895" w14:textId="77777777" w:rsidR="00DD4FBD" w:rsidRPr="00430500" w:rsidRDefault="00DD4FBD" w:rsidP="0027736E">
      <w:pPr>
        <w:spacing w:line="480" w:lineRule="auto"/>
        <w:ind w:hanging="720"/>
        <w:jc w:val="both"/>
        <w:rPr>
          <w:rFonts w:ascii="Arial" w:hAnsi="Arial" w:cs="Arial"/>
          <w:i/>
          <w:iCs/>
          <w:color w:val="000000" w:themeColor="text1"/>
          <w:lang w:val="en-US"/>
        </w:rPr>
      </w:pPr>
    </w:p>
    <w:p w14:paraId="1F6B1914" w14:textId="003FD56A" w:rsidR="00CC7211"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[29]</w:t>
      </w:r>
      <w:r>
        <w:rPr>
          <w:rFonts w:ascii="Arial" w:hAnsi="Arial" w:cs="Arial"/>
          <w:color w:val="000000" w:themeColor="text1"/>
          <w:lang w:val="en-US"/>
        </w:rPr>
        <w:tab/>
      </w:r>
      <w:r w:rsidR="00CC7211" w:rsidRPr="00B77A2B">
        <w:rPr>
          <w:rFonts w:ascii="Arial" w:hAnsi="Arial" w:cs="Arial"/>
          <w:color w:val="000000" w:themeColor="text1"/>
          <w:lang w:val="en-US"/>
        </w:rPr>
        <w:t xml:space="preserve">The applicant asks this court to grant the requested relief on the basis of the outcome of a judgment in a separate action, submitting that any disputes of fact </w:t>
      </w:r>
      <w:r w:rsidR="00CC7211" w:rsidRPr="00B77A2B">
        <w:rPr>
          <w:rFonts w:ascii="Arial" w:hAnsi="Arial" w:cs="Arial"/>
          <w:color w:val="000000" w:themeColor="text1"/>
          <w:lang w:val="en-US"/>
        </w:rPr>
        <w:lastRenderedPageBreak/>
        <w:t xml:space="preserve">raised by the respondents have already been determined by the judgment of </w:t>
      </w:r>
      <w:proofErr w:type="spellStart"/>
      <w:r w:rsidR="00CC7211" w:rsidRPr="00B77A2B">
        <w:rPr>
          <w:rFonts w:ascii="Arial" w:hAnsi="Arial" w:cs="Arial"/>
          <w:color w:val="000000" w:themeColor="text1"/>
          <w:lang w:val="en-US"/>
        </w:rPr>
        <w:t>Jolwana</w:t>
      </w:r>
      <w:proofErr w:type="spellEnd"/>
      <w:r w:rsidR="00CC7211" w:rsidRPr="00B77A2B">
        <w:rPr>
          <w:rFonts w:ascii="Arial" w:hAnsi="Arial" w:cs="Arial"/>
          <w:color w:val="000000" w:themeColor="text1"/>
          <w:lang w:val="en-US"/>
        </w:rPr>
        <w:t xml:space="preserve"> J.  </w:t>
      </w:r>
    </w:p>
    <w:p w14:paraId="6AADCBEF" w14:textId="77777777" w:rsidR="001C0A02" w:rsidRPr="00BD76DF" w:rsidRDefault="001C0A02" w:rsidP="0027736E">
      <w:pPr>
        <w:pStyle w:val="ListParagraph"/>
        <w:spacing w:line="480" w:lineRule="auto"/>
        <w:ind w:hanging="720"/>
        <w:jc w:val="both"/>
        <w:rPr>
          <w:rFonts w:ascii="Arial" w:hAnsi="Arial" w:cs="Arial"/>
          <w:color w:val="000000" w:themeColor="text1"/>
          <w:lang w:val="en-US"/>
        </w:rPr>
      </w:pPr>
    </w:p>
    <w:p w14:paraId="28758E74" w14:textId="229C7B6A" w:rsidR="00551A50" w:rsidRPr="00B77A2B" w:rsidRDefault="00B77A2B" w:rsidP="00B77A2B">
      <w:pPr>
        <w:spacing w:line="480" w:lineRule="auto"/>
        <w:ind w:left="720" w:hanging="720"/>
        <w:jc w:val="both"/>
        <w:rPr>
          <w:rFonts w:ascii="Arial" w:hAnsi="Arial" w:cs="Arial"/>
          <w:i/>
          <w:iCs/>
          <w:color w:val="000000" w:themeColor="text1"/>
          <w:lang w:val="en-US"/>
        </w:rPr>
      </w:pPr>
      <w:r w:rsidRPr="00BD76DF">
        <w:rPr>
          <w:rFonts w:ascii="Arial" w:hAnsi="Arial" w:cs="Arial"/>
          <w:color w:val="000000" w:themeColor="text1"/>
          <w:lang w:val="en-US"/>
        </w:rPr>
        <w:t>[30]</w:t>
      </w:r>
      <w:r w:rsidRPr="00BD76DF">
        <w:rPr>
          <w:rFonts w:ascii="Arial" w:hAnsi="Arial" w:cs="Arial"/>
          <w:color w:val="000000" w:themeColor="text1"/>
          <w:lang w:val="en-US"/>
        </w:rPr>
        <w:tab/>
      </w:r>
      <w:r w:rsidR="00CC7211" w:rsidRPr="00B77A2B">
        <w:rPr>
          <w:rFonts w:ascii="Arial" w:hAnsi="Arial" w:cs="Arial"/>
          <w:color w:val="000000" w:themeColor="text1"/>
          <w:lang w:val="en-US"/>
        </w:rPr>
        <w:t xml:space="preserve">The court in the first action in essence determined that the second respondent, when representing the first respondent during the sale </w:t>
      </w:r>
      <w:r w:rsidR="00430500" w:rsidRPr="00B77A2B">
        <w:rPr>
          <w:rFonts w:ascii="Arial" w:hAnsi="Arial" w:cs="Arial"/>
          <w:color w:val="000000" w:themeColor="text1"/>
          <w:lang w:val="en-US"/>
        </w:rPr>
        <w:t>negotiations</w:t>
      </w:r>
      <w:r w:rsidR="00CC7211" w:rsidRPr="00B77A2B">
        <w:rPr>
          <w:rFonts w:ascii="Arial" w:hAnsi="Arial" w:cs="Arial"/>
          <w:color w:val="000000" w:themeColor="text1"/>
          <w:lang w:val="en-US"/>
        </w:rPr>
        <w:t xml:space="preserve">, fraudulently misrepresented to the applicant that a business existed which did not in fact exist.  </w:t>
      </w:r>
    </w:p>
    <w:p w14:paraId="40E6D0EE" w14:textId="77777777" w:rsidR="00BD76DF" w:rsidRPr="00BD76DF" w:rsidRDefault="00BD76DF" w:rsidP="0027736E">
      <w:pPr>
        <w:pStyle w:val="ListParagraph"/>
        <w:spacing w:line="480" w:lineRule="auto"/>
        <w:ind w:hanging="720"/>
        <w:jc w:val="both"/>
        <w:rPr>
          <w:rFonts w:ascii="Arial" w:hAnsi="Arial" w:cs="Arial"/>
          <w:i/>
          <w:iCs/>
          <w:color w:val="000000" w:themeColor="text1"/>
          <w:lang w:val="en-US"/>
        </w:rPr>
      </w:pPr>
    </w:p>
    <w:p w14:paraId="71EA1DAA" w14:textId="4BCE459F" w:rsidR="00CC7211"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[31]</w:t>
      </w:r>
      <w:r>
        <w:rPr>
          <w:rFonts w:ascii="Arial" w:hAnsi="Arial" w:cs="Arial"/>
          <w:color w:val="000000" w:themeColor="text1"/>
          <w:lang w:val="en-US"/>
        </w:rPr>
        <w:tab/>
      </w:r>
      <w:r w:rsidR="00551A50" w:rsidRPr="00B77A2B">
        <w:rPr>
          <w:rFonts w:ascii="Arial" w:hAnsi="Arial" w:cs="Arial"/>
          <w:color w:val="000000" w:themeColor="text1"/>
          <w:lang w:val="en-US"/>
        </w:rPr>
        <w:t xml:space="preserve">The </w:t>
      </w:r>
      <w:r w:rsidR="00CC7211" w:rsidRPr="00B77A2B">
        <w:rPr>
          <w:rFonts w:ascii="Arial" w:hAnsi="Arial" w:cs="Arial"/>
          <w:color w:val="000000" w:themeColor="text1"/>
          <w:lang w:val="en-US"/>
        </w:rPr>
        <w:t>court in the f</w:t>
      </w:r>
      <w:r w:rsidR="00551A50" w:rsidRPr="00B77A2B">
        <w:rPr>
          <w:rFonts w:ascii="Arial" w:hAnsi="Arial" w:cs="Arial"/>
          <w:color w:val="000000" w:themeColor="text1"/>
          <w:lang w:val="en-US"/>
        </w:rPr>
        <w:t>i</w:t>
      </w:r>
      <w:r w:rsidR="00CC7211" w:rsidRPr="00B77A2B">
        <w:rPr>
          <w:rFonts w:ascii="Arial" w:hAnsi="Arial" w:cs="Arial"/>
          <w:color w:val="000000" w:themeColor="text1"/>
          <w:lang w:val="en-US"/>
        </w:rPr>
        <w:t xml:space="preserve">rst action was not called upon to decide </w:t>
      </w:r>
      <w:r w:rsidR="00551A50" w:rsidRPr="00B77A2B">
        <w:rPr>
          <w:rFonts w:ascii="Arial" w:hAnsi="Arial" w:cs="Arial"/>
          <w:color w:val="000000" w:themeColor="text1"/>
          <w:lang w:val="en-US"/>
        </w:rPr>
        <w:t>whether or not, in so doing, it followed that the business of the first respondent was carried on recklessly or for fraudulent purposes, or with the intent to defraud the applicant as the judgment creditor of the first respondent.  Nor was it called upon to decide whether or not, given the circumstances, the incorporation and</w:t>
      </w:r>
      <w:r w:rsidR="00BD76DF" w:rsidRPr="00B77A2B">
        <w:rPr>
          <w:rFonts w:ascii="Arial" w:hAnsi="Arial" w:cs="Arial"/>
          <w:color w:val="000000" w:themeColor="text1"/>
          <w:lang w:val="en-US"/>
        </w:rPr>
        <w:t>/or</w:t>
      </w:r>
      <w:r w:rsidR="00551A50" w:rsidRPr="00B77A2B">
        <w:rPr>
          <w:rFonts w:ascii="Arial" w:hAnsi="Arial" w:cs="Arial"/>
          <w:color w:val="000000" w:themeColor="text1"/>
          <w:lang w:val="en-US"/>
        </w:rPr>
        <w:t xml:space="preserve"> use of the first respondent by the second respondent constituted a gross abuse of the juristic personality of the first respondent.  The court in the first action was not called upon to decide that the second respondent should be held personally liable, jointly and severally with the first respondent, for the debt incurred by the first respondent.</w:t>
      </w:r>
    </w:p>
    <w:p w14:paraId="3D80EF7B" w14:textId="77777777" w:rsidR="00BD76DF" w:rsidRPr="00BD76DF" w:rsidRDefault="00BD76DF" w:rsidP="0027736E">
      <w:pPr>
        <w:spacing w:line="480" w:lineRule="auto"/>
        <w:ind w:hanging="720"/>
        <w:jc w:val="both"/>
        <w:rPr>
          <w:rFonts w:ascii="Arial" w:hAnsi="Arial" w:cs="Arial"/>
          <w:color w:val="000000" w:themeColor="text1"/>
          <w:lang w:val="en-US"/>
        </w:rPr>
      </w:pPr>
    </w:p>
    <w:p w14:paraId="16700ABE" w14:textId="45CF555D" w:rsidR="00551A50"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[32]</w:t>
      </w:r>
      <w:r w:rsidRPr="00430500">
        <w:rPr>
          <w:rFonts w:ascii="Arial" w:hAnsi="Arial" w:cs="Arial"/>
          <w:color w:val="000000" w:themeColor="text1"/>
          <w:lang w:val="en-US"/>
        </w:rPr>
        <w:tab/>
      </w:r>
      <w:r w:rsidR="00896664" w:rsidRPr="00B77A2B">
        <w:rPr>
          <w:rFonts w:ascii="Arial" w:hAnsi="Arial" w:cs="Arial"/>
          <w:color w:val="000000" w:themeColor="text1"/>
          <w:lang w:val="en-US"/>
        </w:rPr>
        <w:t xml:space="preserve">In the matter of </w:t>
      </w:r>
      <w:r w:rsidR="00896664" w:rsidRPr="00B77A2B">
        <w:rPr>
          <w:rFonts w:ascii="Arial" w:hAnsi="Arial" w:cs="Arial"/>
          <w:i/>
          <w:iCs/>
          <w:color w:val="000000" w:themeColor="text1"/>
          <w:lang w:val="en-US"/>
        </w:rPr>
        <w:t xml:space="preserve">Prinsloo NO and Others v </w:t>
      </w:r>
      <w:proofErr w:type="spellStart"/>
      <w:r w:rsidR="00896664" w:rsidRPr="00B77A2B">
        <w:rPr>
          <w:rFonts w:ascii="Arial" w:hAnsi="Arial" w:cs="Arial"/>
          <w:i/>
          <w:iCs/>
          <w:color w:val="000000" w:themeColor="text1"/>
          <w:lang w:val="en-US"/>
        </w:rPr>
        <w:t>Goldex</w:t>
      </w:r>
      <w:proofErr w:type="spellEnd"/>
      <w:r w:rsidR="00896664" w:rsidRPr="00B77A2B">
        <w:rPr>
          <w:rFonts w:ascii="Arial" w:hAnsi="Arial" w:cs="Arial"/>
          <w:i/>
          <w:iCs/>
          <w:color w:val="000000" w:themeColor="text1"/>
          <w:lang w:val="en-US"/>
        </w:rPr>
        <w:t xml:space="preserve"> 15 (Pty) Ltd and Another</w:t>
      </w:r>
      <w:r w:rsidR="00896664" w:rsidRPr="00430500">
        <w:rPr>
          <w:rStyle w:val="FootnoteReference"/>
          <w:rFonts w:ascii="Arial" w:hAnsi="Arial" w:cs="Arial"/>
          <w:color w:val="000000" w:themeColor="text1"/>
          <w:lang w:val="en-US"/>
        </w:rPr>
        <w:footnoteReference w:id="8"/>
      </w:r>
      <w:r w:rsidR="00C17C5A" w:rsidRPr="00B77A2B">
        <w:rPr>
          <w:rFonts w:ascii="Arial" w:hAnsi="Arial" w:cs="Arial"/>
          <w:i/>
          <w:iCs/>
          <w:color w:val="000000" w:themeColor="text1"/>
          <w:lang w:val="en-US"/>
        </w:rPr>
        <w:t xml:space="preserve"> </w:t>
      </w:r>
      <w:r w:rsidR="00896664" w:rsidRPr="00B77A2B">
        <w:rPr>
          <w:rFonts w:ascii="Arial" w:hAnsi="Arial" w:cs="Arial"/>
          <w:color w:val="000000" w:themeColor="text1"/>
          <w:lang w:val="en-US"/>
        </w:rPr>
        <w:t>the following caution was sounded:</w:t>
      </w:r>
    </w:p>
    <w:p w14:paraId="6358D252" w14:textId="77777777" w:rsidR="00896664" w:rsidRPr="00430500" w:rsidRDefault="00896664" w:rsidP="0027736E">
      <w:pPr>
        <w:pStyle w:val="ListParagraph"/>
        <w:spacing w:line="480" w:lineRule="auto"/>
        <w:ind w:hanging="720"/>
        <w:jc w:val="both"/>
        <w:rPr>
          <w:rFonts w:ascii="Arial" w:hAnsi="Arial" w:cs="Arial"/>
          <w:color w:val="000000" w:themeColor="text1"/>
          <w:lang w:val="en-US"/>
        </w:rPr>
      </w:pPr>
    </w:p>
    <w:p w14:paraId="61896F93" w14:textId="77777777" w:rsidR="00896664" w:rsidRPr="00B34564" w:rsidRDefault="00896664" w:rsidP="0027736E">
      <w:pPr>
        <w:spacing w:line="480" w:lineRule="auto"/>
        <w:ind w:left="2160" w:hanging="108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‘[18]</w:t>
      </w:r>
      <w:r w:rsidR="0027736E">
        <w:rPr>
          <w:rFonts w:ascii="Arial" w:eastAsia="Times New Roman" w:hAnsi="Arial" w:cs="Arial"/>
          <w:color w:val="000000" w:themeColor="text1"/>
          <w:sz w:val="22"/>
          <w:szCs w:val="22"/>
          <w:lang w:val="en-ZA" w:eastAsia="en-GB"/>
        </w:rPr>
        <w:tab/>
      </w:r>
      <w:r w:rsidRPr="00B34564">
        <w:rPr>
          <w:rFonts w:ascii="Arial" w:eastAsia="Times New Roman" w:hAnsi="Arial" w:cs="Arial"/>
          <w:color w:val="000000" w:themeColor="text1"/>
          <w:sz w:val="22"/>
          <w:szCs w:val="22"/>
          <w:lang w:val="en-ZA" w:eastAsia="en-GB"/>
        </w:rPr>
        <w:t xml:space="preserve">This brings me to the appellants' second proposition: that it was inappropriate and unwise for Webster J to find Prinsloo guilty of </w:t>
      </w:r>
      <w:r w:rsidRPr="00B34564">
        <w:rPr>
          <w:rFonts w:ascii="Arial" w:eastAsia="Times New Roman" w:hAnsi="Arial" w:cs="Arial"/>
          <w:color w:val="000000" w:themeColor="text1"/>
          <w:sz w:val="22"/>
          <w:szCs w:val="22"/>
          <w:lang w:val="en-ZA" w:eastAsia="en-GB"/>
        </w:rPr>
        <w:lastRenderedPageBreak/>
        <w:t xml:space="preserve">fraud purely on the basis of allegations against him on affidavit, which he disputed on feasible grounds. This proposition emanates from the same considerations as the previous one. The appellants were also entitled to have their version approached with caution on the basis that it could only be rejected if it were clearly untenable, which it was not. What rendered a final rejection of the appellants' version in principle even more unwise and inappropriate was, of course, that, as the respondents' version could not be rejected out of hand, the application was in any event bound to fail.  </w:t>
      </w:r>
    </w:p>
    <w:p w14:paraId="708A47CC" w14:textId="77777777" w:rsidR="00BD76DF" w:rsidRPr="00B34564" w:rsidRDefault="00BD76DF" w:rsidP="0027736E">
      <w:pPr>
        <w:spacing w:line="480" w:lineRule="auto"/>
        <w:ind w:left="1080" w:hanging="720"/>
        <w:jc w:val="both"/>
        <w:rPr>
          <w:rFonts w:ascii="Arial" w:eastAsia="Times New Roman" w:hAnsi="Arial" w:cs="Arial"/>
          <w:color w:val="000000" w:themeColor="text1"/>
          <w:sz w:val="22"/>
          <w:szCs w:val="22"/>
          <w:lang w:val="en-ZA" w:eastAsia="en-GB"/>
        </w:rPr>
      </w:pPr>
    </w:p>
    <w:p w14:paraId="03F13E72" w14:textId="77777777" w:rsidR="00896664" w:rsidRPr="00B34564" w:rsidRDefault="00896664" w:rsidP="0027736E">
      <w:pPr>
        <w:spacing w:line="480" w:lineRule="auto"/>
        <w:ind w:left="2160" w:hanging="1080"/>
        <w:jc w:val="both"/>
        <w:rPr>
          <w:rFonts w:ascii="Arial" w:eastAsia="Times New Roman" w:hAnsi="Arial" w:cs="Arial"/>
          <w:color w:val="000000" w:themeColor="text1"/>
          <w:sz w:val="22"/>
          <w:szCs w:val="22"/>
          <w:lang w:val="en-ZA" w:eastAsia="en-GB"/>
        </w:rPr>
      </w:pPr>
      <w:r w:rsidRPr="00B34564">
        <w:rPr>
          <w:rFonts w:ascii="Arial" w:eastAsia="Times New Roman" w:hAnsi="Arial" w:cs="Arial"/>
          <w:color w:val="000000" w:themeColor="text1"/>
          <w:sz w:val="22"/>
          <w:szCs w:val="22"/>
          <w:lang w:val="en-ZA" w:eastAsia="en-GB"/>
        </w:rPr>
        <w:t>[19]</w:t>
      </w:r>
      <w:r w:rsidR="0027736E">
        <w:rPr>
          <w:rFonts w:ascii="Arial" w:eastAsia="Times New Roman" w:hAnsi="Arial" w:cs="Arial"/>
          <w:color w:val="000000" w:themeColor="text1"/>
          <w:sz w:val="22"/>
          <w:szCs w:val="22"/>
          <w:lang w:val="en-ZA" w:eastAsia="en-GB"/>
        </w:rPr>
        <w:tab/>
      </w:r>
      <w:r w:rsidRPr="00B34564">
        <w:rPr>
          <w:rFonts w:ascii="Arial" w:eastAsia="Times New Roman" w:hAnsi="Arial" w:cs="Arial"/>
          <w:color w:val="000000" w:themeColor="text1"/>
          <w:sz w:val="22"/>
          <w:szCs w:val="22"/>
          <w:lang w:val="en-ZA" w:eastAsia="en-GB"/>
        </w:rPr>
        <w:t>I therefore agree with the appellants' contention that Webster J should not have made a finding of fraud against Prinsloo on the basis of untested allegations against him on motion papers that were denied on grounds that could not be described as far-fetched or untenable. The reasons why he should not have done so derive not only from common sense, but from many years of collective judicial experience. They were thus formulated in </w:t>
      </w:r>
      <w:proofErr w:type="spellStart"/>
      <w:r w:rsidRPr="00B34564">
        <w:rPr>
          <w:rFonts w:ascii="Arial" w:eastAsia="Times New Roman" w:hAnsi="Arial" w:cs="Arial"/>
          <w:color w:val="000000" w:themeColor="text1"/>
          <w:sz w:val="22"/>
          <w:szCs w:val="22"/>
          <w:lang w:val="en-ZA" w:eastAsia="en-GB"/>
        </w:rPr>
        <w:t>Sewmungal</w:t>
      </w:r>
      <w:proofErr w:type="spellEnd"/>
      <w:r w:rsidRPr="00B34564">
        <w:rPr>
          <w:rFonts w:ascii="Arial" w:eastAsia="Times New Roman" w:hAnsi="Arial" w:cs="Arial"/>
          <w:color w:val="000000" w:themeColor="text1"/>
          <w:sz w:val="22"/>
          <w:szCs w:val="22"/>
          <w:lang w:val="en-ZA" w:eastAsia="en-GB"/>
        </w:rPr>
        <w:t xml:space="preserve"> and Another, NNO v Regent Cinema </w:t>
      </w:r>
      <w:hyperlink r:id="rId11" w:history="1">
        <w:r w:rsidRPr="00B34564">
          <w:rPr>
            <w:rFonts w:ascii="Arial" w:eastAsia="Times New Roman" w:hAnsi="Arial" w:cs="Arial"/>
            <w:color w:val="000000" w:themeColor="text1"/>
            <w:sz w:val="22"/>
            <w:szCs w:val="22"/>
            <w:lang w:val="en-ZA" w:eastAsia="en-GB"/>
          </w:rPr>
          <w:t>1977 (1) SA 814 (N)</w:t>
        </w:r>
      </w:hyperlink>
      <w:r w:rsidRPr="00B34564">
        <w:rPr>
          <w:rFonts w:ascii="Arial" w:eastAsia="Times New Roman" w:hAnsi="Arial" w:cs="Arial"/>
          <w:color w:val="000000" w:themeColor="text1"/>
          <w:sz w:val="22"/>
          <w:szCs w:val="22"/>
          <w:lang w:val="en-ZA" w:eastAsia="en-GB"/>
        </w:rPr>
        <w:t> at 819A – C:</w:t>
      </w:r>
    </w:p>
    <w:p w14:paraId="58F54D17" w14:textId="77777777" w:rsidR="0027736E" w:rsidRDefault="0027736E" w:rsidP="0027736E">
      <w:pPr>
        <w:spacing w:line="480" w:lineRule="auto"/>
        <w:ind w:left="1440" w:hanging="720"/>
        <w:jc w:val="both"/>
        <w:rPr>
          <w:rFonts w:ascii="Arial" w:eastAsia="Times New Roman" w:hAnsi="Arial" w:cs="Arial"/>
          <w:color w:val="000000" w:themeColor="text1"/>
          <w:sz w:val="22"/>
          <w:szCs w:val="22"/>
          <w:lang w:val="en-ZA" w:eastAsia="en-GB"/>
        </w:rPr>
      </w:pPr>
    </w:p>
    <w:p w14:paraId="559B559A" w14:textId="77777777" w:rsidR="00896664" w:rsidRPr="00896664" w:rsidRDefault="00896664" w:rsidP="0027736E">
      <w:pPr>
        <w:spacing w:line="480" w:lineRule="auto"/>
        <w:ind w:left="2880"/>
        <w:jc w:val="both"/>
        <w:rPr>
          <w:rFonts w:ascii="Arial" w:eastAsia="Times New Roman" w:hAnsi="Arial" w:cs="Arial"/>
          <w:i/>
          <w:iCs/>
          <w:color w:val="000000" w:themeColor="text1"/>
          <w:lang w:val="en-ZA" w:eastAsia="en-GB"/>
        </w:rPr>
      </w:pPr>
      <w:r w:rsidRPr="00B34564">
        <w:rPr>
          <w:rFonts w:ascii="Arial" w:eastAsia="Times New Roman" w:hAnsi="Arial" w:cs="Arial"/>
          <w:color w:val="000000" w:themeColor="text1"/>
          <w:sz w:val="22"/>
          <w:szCs w:val="22"/>
          <w:lang w:val="en-ZA" w:eastAsia="en-GB"/>
        </w:rPr>
        <w:t xml:space="preserve">'In approaching this particular type of problem [of factual disputes arising on affidavit] it is not wrong for a court at the outset to have some regard to the realities of litigation. What appears to be a good case on paper may become less impressive after the deponents to the affidavits have been cross-examined. Conversely, what appears to be an improbable case on the affidavits, may turn out to be less improbable or even probable in relation to a particular witness after he had </w:t>
      </w:r>
      <w:r w:rsidRPr="00B34564">
        <w:rPr>
          <w:rFonts w:ascii="Arial" w:eastAsia="Times New Roman" w:hAnsi="Arial" w:cs="Arial"/>
          <w:color w:val="000000" w:themeColor="text1"/>
          <w:sz w:val="22"/>
          <w:szCs w:val="22"/>
          <w:lang w:val="en-ZA" w:eastAsia="en-GB"/>
        </w:rPr>
        <w:lastRenderedPageBreak/>
        <w:t>been seen and heard by a court. An incautious answer in cross-examination may change the whole complexion of a case.'’</w:t>
      </w:r>
      <w:r w:rsidR="00CF3C23" w:rsidRPr="00B34564">
        <w:rPr>
          <w:rStyle w:val="FootnoteReference"/>
          <w:rFonts w:ascii="Arial" w:eastAsia="Times New Roman" w:hAnsi="Arial" w:cs="Arial"/>
          <w:color w:val="000000" w:themeColor="text1"/>
          <w:sz w:val="22"/>
          <w:szCs w:val="22"/>
          <w:lang w:val="en-ZA" w:eastAsia="en-GB"/>
        </w:rPr>
        <w:footnoteReference w:id="9"/>
      </w:r>
    </w:p>
    <w:p w14:paraId="432FE483" w14:textId="77777777" w:rsidR="00896664" w:rsidRPr="00BD76DF" w:rsidRDefault="00896664" w:rsidP="0027736E">
      <w:pPr>
        <w:spacing w:line="480" w:lineRule="auto"/>
        <w:ind w:hanging="720"/>
        <w:jc w:val="both"/>
        <w:rPr>
          <w:rFonts w:ascii="Arial" w:hAnsi="Arial" w:cs="Arial"/>
          <w:color w:val="000000" w:themeColor="text1"/>
          <w:lang w:val="en-US"/>
        </w:rPr>
      </w:pPr>
    </w:p>
    <w:p w14:paraId="1F5E6130" w14:textId="797E3E34" w:rsidR="004D5693" w:rsidRPr="00B77A2B" w:rsidRDefault="00B77A2B" w:rsidP="00B77A2B">
      <w:pPr>
        <w:spacing w:line="480" w:lineRule="auto"/>
        <w:ind w:left="720" w:hanging="720"/>
        <w:jc w:val="both"/>
        <w:rPr>
          <w:rFonts w:ascii="Arial" w:hAnsi="Arial" w:cs="Arial"/>
          <w:i/>
          <w:iCs/>
          <w:color w:val="000000" w:themeColor="text1"/>
          <w:lang w:val="en-US"/>
        </w:rPr>
      </w:pPr>
      <w:r w:rsidRPr="00BD76DF">
        <w:rPr>
          <w:rFonts w:ascii="Arial" w:hAnsi="Arial" w:cs="Arial"/>
          <w:color w:val="000000" w:themeColor="text1"/>
          <w:lang w:val="en-US"/>
        </w:rPr>
        <w:t>[33]</w:t>
      </w:r>
      <w:r w:rsidRPr="00BD76DF">
        <w:rPr>
          <w:rFonts w:ascii="Arial" w:hAnsi="Arial" w:cs="Arial"/>
          <w:color w:val="000000" w:themeColor="text1"/>
          <w:lang w:val="en-US"/>
        </w:rPr>
        <w:tab/>
      </w:r>
      <w:r w:rsidR="004D5693" w:rsidRPr="00B77A2B">
        <w:rPr>
          <w:rFonts w:ascii="Arial" w:hAnsi="Arial" w:cs="Arial"/>
          <w:color w:val="000000" w:themeColor="text1"/>
          <w:lang w:val="en-US"/>
        </w:rPr>
        <w:t>The applicants, instead of asking this court to decide the matter on motion, go one step further and ask, on motion, that the findings in the first action be adopted as the findings of this court, with the logical conclusion allegedly being that the relief sought should be granted.</w:t>
      </w:r>
    </w:p>
    <w:p w14:paraId="02C341FD" w14:textId="77777777" w:rsidR="00BD76DF" w:rsidRPr="00BD76DF" w:rsidRDefault="00BD76DF" w:rsidP="0027736E">
      <w:pPr>
        <w:spacing w:line="480" w:lineRule="auto"/>
        <w:ind w:hanging="720"/>
        <w:jc w:val="both"/>
        <w:rPr>
          <w:rFonts w:ascii="Arial" w:hAnsi="Arial" w:cs="Arial"/>
          <w:i/>
          <w:iCs/>
          <w:color w:val="000000" w:themeColor="text1"/>
          <w:lang w:val="en-US"/>
        </w:rPr>
      </w:pPr>
    </w:p>
    <w:p w14:paraId="17C72855" w14:textId="28470E53" w:rsidR="004D5693" w:rsidRPr="00B77A2B" w:rsidRDefault="00B77A2B" w:rsidP="00B77A2B">
      <w:pPr>
        <w:spacing w:line="480" w:lineRule="auto"/>
        <w:ind w:left="720" w:hanging="720"/>
        <w:jc w:val="both"/>
        <w:rPr>
          <w:rFonts w:ascii="Arial" w:hAnsi="Arial" w:cs="Arial"/>
          <w:i/>
          <w:iCs/>
          <w:color w:val="000000" w:themeColor="text1"/>
          <w:lang w:val="en-US"/>
        </w:rPr>
      </w:pPr>
      <w:r w:rsidRPr="00430500">
        <w:rPr>
          <w:rFonts w:ascii="Arial" w:hAnsi="Arial" w:cs="Arial"/>
          <w:color w:val="000000" w:themeColor="text1"/>
          <w:lang w:val="en-US"/>
        </w:rPr>
        <w:t>[34]</w:t>
      </w:r>
      <w:r w:rsidRPr="00430500">
        <w:rPr>
          <w:rFonts w:ascii="Arial" w:hAnsi="Arial" w:cs="Arial"/>
          <w:color w:val="000000" w:themeColor="text1"/>
          <w:lang w:val="en-US"/>
        </w:rPr>
        <w:tab/>
      </w:r>
      <w:r w:rsidR="004D5693" w:rsidRPr="00B77A2B">
        <w:rPr>
          <w:rFonts w:ascii="Arial" w:hAnsi="Arial" w:cs="Arial"/>
          <w:color w:val="000000" w:themeColor="text1"/>
          <w:lang w:val="en-US"/>
        </w:rPr>
        <w:t xml:space="preserve">In the first action the court had before it </w:t>
      </w:r>
      <w:r w:rsidR="004D5693" w:rsidRPr="00B77A2B">
        <w:rPr>
          <w:rFonts w:ascii="Arial" w:hAnsi="Arial" w:cs="Arial"/>
          <w:i/>
          <w:iCs/>
          <w:color w:val="000000" w:themeColor="text1"/>
          <w:lang w:val="en-US"/>
        </w:rPr>
        <w:t xml:space="preserve">inter alia </w:t>
      </w:r>
      <w:r w:rsidR="004D5693" w:rsidRPr="00B77A2B">
        <w:rPr>
          <w:rFonts w:ascii="Arial" w:hAnsi="Arial" w:cs="Arial"/>
          <w:color w:val="000000" w:themeColor="text1"/>
          <w:lang w:val="en-US"/>
        </w:rPr>
        <w:t xml:space="preserve">the original sale agreement, as well as the lease agreement that the applicant allegedly refused to sign.  It also had the benefit of observing the witnesses who testified, and hearing the oral evidence tendered on behalf of the parties.  </w:t>
      </w:r>
    </w:p>
    <w:p w14:paraId="4E62F8CE" w14:textId="77777777" w:rsidR="004D5693" w:rsidRPr="00BD76DF" w:rsidRDefault="004D5693" w:rsidP="0027736E">
      <w:pPr>
        <w:spacing w:line="480" w:lineRule="auto"/>
        <w:ind w:hanging="720"/>
        <w:jc w:val="both"/>
        <w:rPr>
          <w:rFonts w:ascii="Arial" w:hAnsi="Arial" w:cs="Arial"/>
          <w:i/>
          <w:iCs/>
          <w:color w:val="000000" w:themeColor="text1"/>
          <w:lang w:val="en-US"/>
        </w:rPr>
      </w:pPr>
    </w:p>
    <w:p w14:paraId="45EFE2F5" w14:textId="3505618E" w:rsidR="00FC694E" w:rsidRPr="00B77A2B" w:rsidRDefault="00B77A2B" w:rsidP="00B77A2B">
      <w:pPr>
        <w:spacing w:line="480" w:lineRule="auto"/>
        <w:ind w:left="720" w:hanging="720"/>
        <w:jc w:val="both"/>
        <w:rPr>
          <w:rFonts w:ascii="Arial" w:hAnsi="Arial" w:cs="Arial"/>
          <w:i/>
          <w:iCs/>
          <w:color w:val="000000" w:themeColor="text1"/>
          <w:lang w:val="en-US"/>
        </w:rPr>
      </w:pPr>
      <w:r w:rsidRPr="00BD76DF">
        <w:rPr>
          <w:rFonts w:ascii="Arial" w:hAnsi="Arial" w:cs="Arial"/>
          <w:color w:val="000000" w:themeColor="text1"/>
          <w:lang w:val="en-US"/>
        </w:rPr>
        <w:t>[35]</w:t>
      </w:r>
      <w:r w:rsidRPr="00BD76DF">
        <w:rPr>
          <w:rFonts w:ascii="Arial" w:hAnsi="Arial" w:cs="Arial"/>
          <w:color w:val="000000" w:themeColor="text1"/>
          <w:lang w:val="en-US"/>
        </w:rPr>
        <w:tab/>
      </w:r>
      <w:r w:rsidR="004D5693" w:rsidRPr="00B77A2B">
        <w:rPr>
          <w:rFonts w:ascii="Arial" w:hAnsi="Arial" w:cs="Arial"/>
          <w:color w:val="000000" w:themeColor="text1"/>
          <w:lang w:val="en-US"/>
        </w:rPr>
        <w:t xml:space="preserve">Certain </w:t>
      </w:r>
      <w:r w:rsidR="00430500" w:rsidRPr="00B77A2B">
        <w:rPr>
          <w:rFonts w:ascii="Arial" w:hAnsi="Arial" w:cs="Arial"/>
          <w:color w:val="000000" w:themeColor="text1"/>
          <w:lang w:val="en-US"/>
        </w:rPr>
        <w:t>discrepancies</w:t>
      </w:r>
      <w:r w:rsidR="004D5693" w:rsidRPr="00B77A2B">
        <w:rPr>
          <w:rFonts w:ascii="Arial" w:hAnsi="Arial" w:cs="Arial"/>
          <w:color w:val="000000" w:themeColor="text1"/>
          <w:lang w:val="en-US"/>
        </w:rPr>
        <w:t xml:space="preserve">, arising from the papers in this matter, accordingly cannot be addressed.  </w:t>
      </w:r>
    </w:p>
    <w:p w14:paraId="1EE2AEF7" w14:textId="77777777" w:rsidR="00BD76DF" w:rsidRPr="00BD76DF" w:rsidRDefault="00BD76DF" w:rsidP="0027736E">
      <w:pPr>
        <w:spacing w:line="480" w:lineRule="auto"/>
        <w:ind w:hanging="720"/>
        <w:jc w:val="both"/>
        <w:rPr>
          <w:rFonts w:ascii="Arial" w:hAnsi="Arial" w:cs="Arial"/>
          <w:i/>
          <w:iCs/>
          <w:color w:val="000000" w:themeColor="text1"/>
          <w:lang w:val="en-US"/>
        </w:rPr>
      </w:pPr>
    </w:p>
    <w:p w14:paraId="795F0B06" w14:textId="3EBB8547" w:rsidR="00CF682A" w:rsidRPr="00B77A2B" w:rsidRDefault="00B77A2B" w:rsidP="00B77A2B">
      <w:pPr>
        <w:spacing w:line="480" w:lineRule="auto"/>
        <w:ind w:left="720" w:hanging="720"/>
        <w:jc w:val="both"/>
        <w:rPr>
          <w:rFonts w:ascii="Arial" w:hAnsi="Arial" w:cs="Arial"/>
          <w:i/>
          <w:iCs/>
          <w:color w:val="000000" w:themeColor="text1"/>
          <w:lang w:val="en-US"/>
        </w:rPr>
      </w:pPr>
      <w:r w:rsidRPr="00BD76DF">
        <w:rPr>
          <w:rFonts w:ascii="Arial" w:hAnsi="Arial" w:cs="Arial"/>
          <w:color w:val="000000" w:themeColor="text1"/>
          <w:lang w:val="en-US"/>
        </w:rPr>
        <w:t>[36]</w:t>
      </w:r>
      <w:r w:rsidRPr="00BD76DF">
        <w:rPr>
          <w:rFonts w:ascii="Arial" w:hAnsi="Arial" w:cs="Arial"/>
          <w:color w:val="000000" w:themeColor="text1"/>
          <w:lang w:val="en-US"/>
        </w:rPr>
        <w:tab/>
      </w:r>
      <w:r w:rsidR="004D5693" w:rsidRPr="00B77A2B">
        <w:rPr>
          <w:rFonts w:ascii="Arial" w:hAnsi="Arial" w:cs="Arial"/>
          <w:color w:val="000000" w:themeColor="text1"/>
          <w:lang w:val="en-US"/>
        </w:rPr>
        <w:t>For example, a</w:t>
      </w:r>
      <w:r w:rsidR="00CF682A" w:rsidRPr="00B77A2B">
        <w:rPr>
          <w:rFonts w:ascii="Arial" w:hAnsi="Arial" w:cs="Arial"/>
          <w:color w:val="000000" w:themeColor="text1"/>
          <w:lang w:val="en-US"/>
        </w:rPr>
        <w:t xml:space="preserve">ccording to </w:t>
      </w:r>
      <w:proofErr w:type="spellStart"/>
      <w:r w:rsidR="00CF682A" w:rsidRPr="00B77A2B">
        <w:rPr>
          <w:rFonts w:ascii="Arial" w:hAnsi="Arial" w:cs="Arial"/>
          <w:color w:val="000000" w:themeColor="text1"/>
          <w:lang w:val="en-US"/>
        </w:rPr>
        <w:t>Jolwana</w:t>
      </w:r>
      <w:proofErr w:type="spellEnd"/>
      <w:r w:rsidR="00CF682A" w:rsidRPr="00B77A2B">
        <w:rPr>
          <w:rFonts w:ascii="Arial" w:hAnsi="Arial" w:cs="Arial"/>
          <w:color w:val="000000" w:themeColor="text1"/>
          <w:lang w:val="en-US"/>
        </w:rPr>
        <w:t xml:space="preserve"> J the applicant never paid any rental whatsoev</w:t>
      </w:r>
      <w:r w:rsidR="007C5332" w:rsidRPr="00B77A2B">
        <w:rPr>
          <w:rFonts w:ascii="Arial" w:hAnsi="Arial" w:cs="Arial"/>
          <w:color w:val="000000" w:themeColor="text1"/>
          <w:lang w:val="en-US"/>
        </w:rPr>
        <w:t>e</w:t>
      </w:r>
      <w:r w:rsidR="00CF682A" w:rsidRPr="00B77A2B">
        <w:rPr>
          <w:rFonts w:ascii="Arial" w:hAnsi="Arial" w:cs="Arial"/>
          <w:color w:val="000000" w:themeColor="text1"/>
          <w:lang w:val="en-US"/>
        </w:rPr>
        <w:t>r for the premises upon which the College was apparently located.</w:t>
      </w:r>
      <w:r w:rsidR="007C5332" w:rsidRPr="00430500">
        <w:rPr>
          <w:rStyle w:val="FootnoteReference"/>
          <w:rFonts w:ascii="Arial" w:hAnsi="Arial" w:cs="Arial"/>
          <w:color w:val="000000" w:themeColor="text1"/>
          <w:lang w:val="en-US"/>
        </w:rPr>
        <w:footnoteReference w:id="10"/>
      </w:r>
      <w:r w:rsidR="004D5693" w:rsidRPr="00B77A2B">
        <w:rPr>
          <w:rFonts w:ascii="Arial" w:hAnsi="Arial" w:cs="Arial"/>
          <w:color w:val="000000" w:themeColor="text1"/>
          <w:lang w:val="en-US"/>
        </w:rPr>
        <w:t xml:space="preserve"> This is confusing when considered </w:t>
      </w:r>
      <w:r w:rsidR="00430500" w:rsidRPr="00B77A2B">
        <w:rPr>
          <w:rFonts w:ascii="Arial" w:hAnsi="Arial" w:cs="Arial"/>
          <w:color w:val="000000" w:themeColor="text1"/>
          <w:lang w:val="en-US"/>
        </w:rPr>
        <w:t>in conjunction with</w:t>
      </w:r>
      <w:r w:rsidR="004D5693" w:rsidRPr="00B77A2B">
        <w:rPr>
          <w:rFonts w:ascii="Arial" w:hAnsi="Arial" w:cs="Arial"/>
          <w:color w:val="000000" w:themeColor="text1"/>
          <w:lang w:val="en-US"/>
        </w:rPr>
        <w:t xml:space="preserve"> the email from the applicant (dated 7 March 2017), annexed as ‘FK3’ to the first respondent’s answering affidavit</w:t>
      </w:r>
      <w:r w:rsidR="005F622C" w:rsidRPr="00B77A2B">
        <w:rPr>
          <w:rFonts w:ascii="Arial" w:hAnsi="Arial" w:cs="Arial"/>
          <w:color w:val="000000" w:themeColor="text1"/>
          <w:lang w:val="en-US"/>
        </w:rPr>
        <w:t xml:space="preserve"> in this matter</w:t>
      </w:r>
      <w:r w:rsidR="004D5693" w:rsidRPr="00B77A2B">
        <w:rPr>
          <w:rFonts w:ascii="Arial" w:hAnsi="Arial" w:cs="Arial"/>
          <w:color w:val="000000" w:themeColor="text1"/>
          <w:lang w:val="en-US"/>
        </w:rPr>
        <w:t xml:space="preserve">, to the respondents’ attorney of record, </w:t>
      </w:r>
      <w:proofErr w:type="spellStart"/>
      <w:r w:rsidR="004D5693" w:rsidRPr="00B77A2B">
        <w:rPr>
          <w:rFonts w:ascii="Arial" w:hAnsi="Arial" w:cs="Arial"/>
          <w:color w:val="000000" w:themeColor="text1"/>
          <w:lang w:val="en-US"/>
        </w:rPr>
        <w:t>apologi</w:t>
      </w:r>
      <w:r w:rsidR="00C17C5A" w:rsidRPr="00B77A2B">
        <w:rPr>
          <w:rFonts w:ascii="Arial" w:hAnsi="Arial" w:cs="Arial"/>
          <w:color w:val="000000" w:themeColor="text1"/>
          <w:lang w:val="en-US"/>
        </w:rPr>
        <w:t>s</w:t>
      </w:r>
      <w:r w:rsidR="004D5693" w:rsidRPr="00B77A2B">
        <w:rPr>
          <w:rFonts w:ascii="Arial" w:hAnsi="Arial" w:cs="Arial"/>
          <w:color w:val="000000" w:themeColor="text1"/>
          <w:lang w:val="en-US"/>
        </w:rPr>
        <w:t>ing</w:t>
      </w:r>
      <w:proofErr w:type="spellEnd"/>
      <w:r w:rsidR="004D5693" w:rsidRPr="00B77A2B">
        <w:rPr>
          <w:rFonts w:ascii="Arial" w:hAnsi="Arial" w:cs="Arial"/>
          <w:color w:val="000000" w:themeColor="text1"/>
          <w:lang w:val="en-US"/>
        </w:rPr>
        <w:t xml:space="preserve"> for a delayed payment </w:t>
      </w:r>
      <w:r w:rsidR="00FC694E" w:rsidRPr="00B77A2B">
        <w:rPr>
          <w:rFonts w:ascii="Arial" w:hAnsi="Arial" w:cs="Arial"/>
          <w:color w:val="000000" w:themeColor="text1"/>
          <w:lang w:val="en-US"/>
        </w:rPr>
        <w:t xml:space="preserve">(which the respondents aver is a rental payment) </w:t>
      </w:r>
      <w:r w:rsidR="004D5693" w:rsidRPr="00B77A2B">
        <w:rPr>
          <w:rFonts w:ascii="Arial" w:hAnsi="Arial" w:cs="Arial"/>
          <w:color w:val="000000" w:themeColor="text1"/>
          <w:lang w:val="en-US"/>
        </w:rPr>
        <w:t xml:space="preserve">and referring to students failing to pay their fees on time.  </w:t>
      </w:r>
      <w:r w:rsidR="00FC694E" w:rsidRPr="00B77A2B">
        <w:rPr>
          <w:rFonts w:ascii="Arial" w:hAnsi="Arial" w:cs="Arial"/>
          <w:color w:val="000000" w:themeColor="text1"/>
          <w:lang w:val="en-US"/>
        </w:rPr>
        <w:t xml:space="preserve">The full </w:t>
      </w:r>
      <w:r w:rsidR="00FC694E" w:rsidRPr="00B77A2B">
        <w:rPr>
          <w:rFonts w:ascii="Arial" w:hAnsi="Arial" w:cs="Arial"/>
          <w:color w:val="000000" w:themeColor="text1"/>
          <w:lang w:val="en-US"/>
        </w:rPr>
        <w:lastRenderedPageBreak/>
        <w:t>purchase price of</w:t>
      </w:r>
      <w:r w:rsidR="00BD76DF" w:rsidRPr="00B77A2B">
        <w:rPr>
          <w:rFonts w:ascii="Arial" w:hAnsi="Arial" w:cs="Arial"/>
          <w:color w:val="000000" w:themeColor="text1"/>
          <w:lang w:val="en-US"/>
        </w:rPr>
        <w:t xml:space="preserve"> </w:t>
      </w:r>
      <w:r w:rsidR="00FC694E" w:rsidRPr="00B77A2B">
        <w:rPr>
          <w:rFonts w:ascii="Arial" w:hAnsi="Arial" w:cs="Arial"/>
          <w:color w:val="000000" w:themeColor="text1"/>
          <w:lang w:val="en-US"/>
        </w:rPr>
        <w:t>R 700 000.00 had been paid by</w:t>
      </w:r>
      <w:r w:rsidR="005167F1" w:rsidRPr="00B77A2B">
        <w:rPr>
          <w:rFonts w:ascii="Arial" w:hAnsi="Arial" w:cs="Arial"/>
          <w:color w:val="000000" w:themeColor="text1"/>
          <w:lang w:val="en-US"/>
        </w:rPr>
        <w:t xml:space="preserve"> </w:t>
      </w:r>
      <w:r w:rsidR="00FC694E" w:rsidRPr="00B77A2B">
        <w:rPr>
          <w:rFonts w:ascii="Arial" w:hAnsi="Arial" w:cs="Arial"/>
          <w:color w:val="000000" w:themeColor="text1"/>
          <w:lang w:val="en-US"/>
        </w:rPr>
        <w:t>30 September 2015</w:t>
      </w:r>
      <w:r w:rsidR="005167F1" w:rsidRPr="00B77A2B">
        <w:rPr>
          <w:rFonts w:ascii="Arial" w:hAnsi="Arial" w:cs="Arial"/>
          <w:color w:val="000000" w:themeColor="text1"/>
          <w:lang w:val="en-US"/>
        </w:rPr>
        <w:t>,</w:t>
      </w:r>
      <w:r w:rsidR="00FC694E" w:rsidRPr="00B77A2B">
        <w:rPr>
          <w:rFonts w:ascii="Arial" w:hAnsi="Arial" w:cs="Arial"/>
          <w:color w:val="000000" w:themeColor="text1"/>
          <w:lang w:val="en-US"/>
        </w:rPr>
        <w:t xml:space="preserve"> and so the aforementioned payment could presumably not have been in relation to the purchase price.</w:t>
      </w:r>
      <w:r w:rsidR="00B5312D" w:rsidRPr="00B77A2B">
        <w:rPr>
          <w:rFonts w:ascii="Arial" w:hAnsi="Arial" w:cs="Arial"/>
          <w:color w:val="000000" w:themeColor="text1"/>
          <w:lang w:val="en-US"/>
        </w:rPr>
        <w:t xml:space="preserve">  The applicant does not address this aspect in reply, save to deny it.</w:t>
      </w:r>
    </w:p>
    <w:p w14:paraId="4E36E874" w14:textId="77777777" w:rsidR="00BD76DF" w:rsidRPr="00BD76DF" w:rsidRDefault="00BD76DF" w:rsidP="0027736E">
      <w:pPr>
        <w:spacing w:line="480" w:lineRule="auto"/>
        <w:ind w:hanging="720"/>
        <w:jc w:val="both"/>
        <w:rPr>
          <w:rFonts w:ascii="Arial" w:hAnsi="Arial" w:cs="Arial"/>
          <w:i/>
          <w:iCs/>
          <w:color w:val="000000" w:themeColor="text1"/>
          <w:lang w:val="en-US"/>
        </w:rPr>
      </w:pPr>
    </w:p>
    <w:p w14:paraId="2B808CF9" w14:textId="0380BE2C" w:rsidR="007C5332"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[37]</w:t>
      </w:r>
      <w:r>
        <w:rPr>
          <w:rFonts w:ascii="Arial" w:hAnsi="Arial" w:cs="Arial"/>
          <w:color w:val="000000" w:themeColor="text1"/>
          <w:lang w:val="en-US"/>
        </w:rPr>
        <w:tab/>
      </w:r>
      <w:r w:rsidR="004D5693" w:rsidRPr="00B77A2B">
        <w:rPr>
          <w:rFonts w:ascii="Arial" w:hAnsi="Arial" w:cs="Arial"/>
          <w:color w:val="000000" w:themeColor="text1"/>
          <w:lang w:val="en-US"/>
        </w:rPr>
        <w:t xml:space="preserve">The above takes on some significance when it is noted that the judgment of </w:t>
      </w:r>
      <w:proofErr w:type="spellStart"/>
      <w:r w:rsidR="004D5693" w:rsidRPr="00B77A2B">
        <w:rPr>
          <w:rFonts w:ascii="Arial" w:hAnsi="Arial" w:cs="Arial"/>
          <w:color w:val="000000" w:themeColor="text1"/>
          <w:lang w:val="en-US"/>
        </w:rPr>
        <w:t>Jolwana</w:t>
      </w:r>
      <w:proofErr w:type="spellEnd"/>
      <w:r w:rsidR="004D5693" w:rsidRPr="00B77A2B">
        <w:rPr>
          <w:rFonts w:ascii="Arial" w:hAnsi="Arial" w:cs="Arial"/>
          <w:color w:val="000000" w:themeColor="text1"/>
          <w:lang w:val="en-US"/>
        </w:rPr>
        <w:t xml:space="preserve"> J does not </w:t>
      </w:r>
      <w:r w:rsidR="00BD76DF" w:rsidRPr="00B77A2B">
        <w:rPr>
          <w:rFonts w:ascii="Arial" w:hAnsi="Arial" w:cs="Arial"/>
          <w:color w:val="000000" w:themeColor="text1"/>
          <w:lang w:val="en-US"/>
        </w:rPr>
        <w:t xml:space="preserve">appear to </w:t>
      </w:r>
      <w:r w:rsidR="004D5693" w:rsidRPr="00B77A2B">
        <w:rPr>
          <w:rFonts w:ascii="Arial" w:hAnsi="Arial" w:cs="Arial"/>
          <w:color w:val="000000" w:themeColor="text1"/>
          <w:lang w:val="en-US"/>
        </w:rPr>
        <w:t xml:space="preserve">refer to any evidence being tendered on behalf of the applicant in relation to what he actually did </w:t>
      </w:r>
      <w:r w:rsidR="00BD76DF" w:rsidRPr="00B77A2B">
        <w:rPr>
          <w:rFonts w:ascii="Arial" w:hAnsi="Arial" w:cs="Arial"/>
          <w:color w:val="000000" w:themeColor="text1"/>
          <w:lang w:val="en-US"/>
        </w:rPr>
        <w:t>with</w:t>
      </w:r>
      <w:r w:rsidR="004D5693" w:rsidRPr="00B77A2B">
        <w:rPr>
          <w:rFonts w:ascii="Arial" w:hAnsi="Arial" w:cs="Arial"/>
          <w:color w:val="000000" w:themeColor="text1"/>
          <w:lang w:val="en-US"/>
        </w:rPr>
        <w:t xml:space="preserve"> the College between 2015 and 2017.  </w:t>
      </w:r>
    </w:p>
    <w:p w14:paraId="7DACF655" w14:textId="77777777" w:rsidR="00BD76DF" w:rsidRPr="00BD76DF" w:rsidRDefault="00BD76DF" w:rsidP="0027736E">
      <w:pPr>
        <w:spacing w:line="480" w:lineRule="auto"/>
        <w:ind w:hanging="720"/>
        <w:jc w:val="both"/>
        <w:rPr>
          <w:rFonts w:ascii="Arial" w:hAnsi="Arial" w:cs="Arial"/>
          <w:color w:val="000000" w:themeColor="text1"/>
          <w:lang w:val="en-US"/>
        </w:rPr>
      </w:pPr>
    </w:p>
    <w:p w14:paraId="6F731ED3" w14:textId="66AB8009" w:rsidR="00CF3C2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[38]</w:t>
      </w:r>
      <w:r>
        <w:rPr>
          <w:rFonts w:ascii="Arial" w:hAnsi="Arial" w:cs="Arial"/>
          <w:color w:val="000000" w:themeColor="text1"/>
          <w:lang w:val="en-US"/>
        </w:rPr>
        <w:tab/>
      </w:r>
      <w:r w:rsidR="00CF3C23" w:rsidRPr="00B77A2B">
        <w:rPr>
          <w:rFonts w:ascii="Arial" w:hAnsi="Arial" w:cs="Arial"/>
          <w:color w:val="000000" w:themeColor="text1"/>
          <w:lang w:val="en-US"/>
        </w:rPr>
        <w:t>The second respondent was not a party to the first action, and the approach to the litigation may have been entirely different from the respondents’ side had that been the case.</w:t>
      </w:r>
    </w:p>
    <w:p w14:paraId="2E727FE9" w14:textId="77777777" w:rsidR="00BD76DF" w:rsidRPr="00BD76DF" w:rsidRDefault="00BD76DF" w:rsidP="0027736E">
      <w:pPr>
        <w:spacing w:line="480" w:lineRule="auto"/>
        <w:ind w:hanging="720"/>
        <w:jc w:val="both"/>
        <w:rPr>
          <w:rFonts w:ascii="Arial" w:hAnsi="Arial" w:cs="Arial"/>
          <w:color w:val="000000" w:themeColor="text1"/>
          <w:lang w:val="en-US"/>
        </w:rPr>
      </w:pPr>
    </w:p>
    <w:p w14:paraId="79A1DFD6" w14:textId="630FBAD2" w:rsidR="000F1EE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[39]</w:t>
      </w:r>
      <w:r>
        <w:rPr>
          <w:rFonts w:ascii="Arial" w:hAnsi="Arial" w:cs="Arial"/>
          <w:color w:val="000000" w:themeColor="text1"/>
          <w:lang w:val="en-US"/>
        </w:rPr>
        <w:tab/>
      </w:r>
      <w:r w:rsidR="00B24751" w:rsidRPr="00B77A2B">
        <w:rPr>
          <w:rFonts w:ascii="Arial" w:hAnsi="Arial" w:cs="Arial"/>
          <w:color w:val="000000" w:themeColor="text1"/>
          <w:lang w:val="en-US"/>
        </w:rPr>
        <w:t xml:space="preserve">The applicant, as proof of his attempts to execute in regard </w:t>
      </w:r>
      <w:r w:rsidR="00945C4B" w:rsidRPr="00B77A2B">
        <w:rPr>
          <w:rFonts w:ascii="Arial" w:hAnsi="Arial" w:cs="Arial"/>
          <w:color w:val="000000" w:themeColor="text1"/>
          <w:lang w:val="en-US"/>
        </w:rPr>
        <w:t xml:space="preserve">to the debt owed by the first respondent, emanating from the first action, </w:t>
      </w:r>
      <w:r w:rsidR="000F1EE3" w:rsidRPr="00B77A2B">
        <w:rPr>
          <w:rFonts w:ascii="Arial" w:hAnsi="Arial" w:cs="Arial"/>
          <w:color w:val="000000" w:themeColor="text1"/>
          <w:lang w:val="en-US"/>
        </w:rPr>
        <w:t xml:space="preserve">has annexed to his founding affidavit two returns of service.  </w:t>
      </w:r>
    </w:p>
    <w:p w14:paraId="52151EE9" w14:textId="77777777" w:rsidR="00BD76DF" w:rsidRPr="00BD76DF" w:rsidRDefault="00BD76DF" w:rsidP="0027736E">
      <w:pPr>
        <w:spacing w:line="480" w:lineRule="auto"/>
        <w:ind w:hanging="720"/>
        <w:jc w:val="both"/>
        <w:rPr>
          <w:rFonts w:ascii="Arial" w:hAnsi="Arial" w:cs="Arial"/>
          <w:color w:val="000000" w:themeColor="text1"/>
          <w:lang w:val="en-US"/>
        </w:rPr>
      </w:pPr>
    </w:p>
    <w:p w14:paraId="0F4FA864" w14:textId="4CA20DA3" w:rsidR="00B24751"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[40]</w:t>
      </w:r>
      <w:r>
        <w:rPr>
          <w:rFonts w:ascii="Arial" w:hAnsi="Arial" w:cs="Arial"/>
          <w:color w:val="000000" w:themeColor="text1"/>
          <w:lang w:val="en-US"/>
        </w:rPr>
        <w:tab/>
      </w:r>
      <w:r w:rsidR="000F1EE3" w:rsidRPr="00B77A2B">
        <w:rPr>
          <w:rFonts w:ascii="Arial" w:hAnsi="Arial" w:cs="Arial"/>
          <w:color w:val="000000" w:themeColor="text1"/>
          <w:lang w:val="en-US"/>
        </w:rPr>
        <w:t>The first (annexure ‘SK2’) is dated 12 May 2021 and reflects an attempt to attach the second respondent’s moveable assets at the home address of the second respondent, despite it being the first respondent that was liable for the debt.</w:t>
      </w:r>
    </w:p>
    <w:p w14:paraId="7DFBAC56" w14:textId="77777777" w:rsidR="00BD76DF" w:rsidRPr="00BD76DF" w:rsidRDefault="00BD76DF" w:rsidP="0027736E">
      <w:pPr>
        <w:spacing w:line="480" w:lineRule="auto"/>
        <w:ind w:hanging="720"/>
        <w:jc w:val="both"/>
        <w:rPr>
          <w:rFonts w:ascii="Arial" w:hAnsi="Arial" w:cs="Arial"/>
          <w:color w:val="000000" w:themeColor="text1"/>
          <w:lang w:val="en-US"/>
        </w:rPr>
      </w:pPr>
    </w:p>
    <w:p w14:paraId="3B0F5F4C" w14:textId="57C5085C" w:rsidR="000F1EE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[41]</w:t>
      </w:r>
      <w:r>
        <w:rPr>
          <w:rFonts w:ascii="Arial" w:hAnsi="Arial" w:cs="Arial"/>
          <w:color w:val="000000" w:themeColor="text1"/>
          <w:lang w:val="en-US"/>
        </w:rPr>
        <w:tab/>
      </w:r>
      <w:r w:rsidR="000F1EE3" w:rsidRPr="00B77A2B">
        <w:rPr>
          <w:rFonts w:ascii="Arial" w:hAnsi="Arial" w:cs="Arial"/>
          <w:color w:val="000000" w:themeColor="text1"/>
          <w:lang w:val="en-US"/>
        </w:rPr>
        <w:t xml:space="preserve">The second (also annexure ‘SK2’) is dated 14 May 2021, and discloses an attempt to demand payment from the second respondent (on behalf of the first </w:t>
      </w:r>
      <w:r w:rsidR="000F1EE3" w:rsidRPr="00B77A2B">
        <w:rPr>
          <w:rFonts w:ascii="Arial" w:hAnsi="Arial" w:cs="Arial"/>
          <w:color w:val="000000" w:themeColor="text1"/>
          <w:lang w:val="en-US"/>
        </w:rPr>
        <w:lastRenderedPageBreak/>
        <w:t>respondent) at the business address of the first respondent.  It is recorded that the first respondent is unable to pay the judgment debt and costs in full or in part, whereupon it appears a vehicle (apparently belonging to Silver Solutions 956 CC) was attached on the instructions of the applicant.</w:t>
      </w:r>
    </w:p>
    <w:p w14:paraId="57C7AA6B" w14:textId="77777777" w:rsidR="00BD76DF" w:rsidRPr="00BD76DF" w:rsidRDefault="00BD76DF" w:rsidP="0027736E">
      <w:pPr>
        <w:spacing w:line="480" w:lineRule="auto"/>
        <w:ind w:hanging="720"/>
        <w:jc w:val="both"/>
        <w:rPr>
          <w:rFonts w:ascii="Arial" w:hAnsi="Arial" w:cs="Arial"/>
          <w:color w:val="000000" w:themeColor="text1"/>
          <w:lang w:val="en-US"/>
        </w:rPr>
      </w:pPr>
    </w:p>
    <w:p w14:paraId="21E1B379" w14:textId="7FC6FF40" w:rsidR="000F1EE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[42]</w:t>
      </w:r>
      <w:r>
        <w:rPr>
          <w:rFonts w:ascii="Arial" w:hAnsi="Arial" w:cs="Arial"/>
          <w:color w:val="000000" w:themeColor="text1"/>
          <w:lang w:val="en-US"/>
        </w:rPr>
        <w:tab/>
      </w:r>
      <w:r w:rsidR="000F1EE3" w:rsidRPr="00B77A2B">
        <w:rPr>
          <w:rFonts w:ascii="Arial" w:hAnsi="Arial" w:cs="Arial"/>
          <w:color w:val="000000" w:themeColor="text1"/>
          <w:lang w:val="en-US"/>
        </w:rPr>
        <w:t>The applicant avers that he conducted an investigation to establish whether the first respondent had any immoveable assets against which he could execute, and established that no assets were registered in the name of the first respondent.  No further information or documentation is provided in this regard.</w:t>
      </w:r>
    </w:p>
    <w:p w14:paraId="6AAEF24F" w14:textId="77777777" w:rsidR="00BD76DF" w:rsidRPr="00BD76DF" w:rsidRDefault="00BD76DF" w:rsidP="0027736E">
      <w:pPr>
        <w:spacing w:line="480" w:lineRule="auto"/>
        <w:ind w:hanging="720"/>
        <w:jc w:val="both"/>
        <w:rPr>
          <w:rFonts w:ascii="Arial" w:hAnsi="Arial" w:cs="Arial"/>
          <w:color w:val="000000" w:themeColor="text1"/>
          <w:lang w:val="en-US"/>
        </w:rPr>
      </w:pPr>
    </w:p>
    <w:p w14:paraId="5492BA3B" w14:textId="3AFE8F29" w:rsidR="000F1EE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[43]</w:t>
      </w:r>
      <w:r>
        <w:rPr>
          <w:rFonts w:ascii="Arial" w:hAnsi="Arial" w:cs="Arial"/>
          <w:color w:val="000000" w:themeColor="text1"/>
          <w:lang w:val="en-US"/>
        </w:rPr>
        <w:tab/>
      </w:r>
      <w:r w:rsidR="00BA475B" w:rsidRPr="00B77A2B">
        <w:rPr>
          <w:rFonts w:ascii="Arial" w:hAnsi="Arial" w:cs="Arial"/>
          <w:color w:val="000000" w:themeColor="text1"/>
          <w:lang w:val="en-US"/>
        </w:rPr>
        <w:t xml:space="preserve">Whilst it </w:t>
      </w:r>
      <w:r w:rsidR="00E53F34" w:rsidRPr="00B77A2B">
        <w:rPr>
          <w:rFonts w:ascii="Arial" w:hAnsi="Arial" w:cs="Arial"/>
          <w:color w:val="000000" w:themeColor="text1"/>
          <w:lang w:val="en-US"/>
        </w:rPr>
        <w:t>does</w:t>
      </w:r>
      <w:r w:rsidR="00BA475B" w:rsidRPr="00B77A2B">
        <w:rPr>
          <w:rFonts w:ascii="Arial" w:hAnsi="Arial" w:cs="Arial"/>
          <w:color w:val="000000" w:themeColor="text1"/>
          <w:lang w:val="en-US"/>
        </w:rPr>
        <w:t xml:space="preserve"> not </w:t>
      </w:r>
      <w:r w:rsidR="00E53F34" w:rsidRPr="00B77A2B">
        <w:rPr>
          <w:rFonts w:ascii="Arial" w:hAnsi="Arial" w:cs="Arial"/>
          <w:color w:val="000000" w:themeColor="text1"/>
          <w:lang w:val="en-US"/>
        </w:rPr>
        <w:t xml:space="preserve">appear to be </w:t>
      </w:r>
      <w:r w:rsidR="00BA475B" w:rsidRPr="00B77A2B">
        <w:rPr>
          <w:rFonts w:ascii="Arial" w:hAnsi="Arial" w:cs="Arial"/>
          <w:color w:val="000000" w:themeColor="text1"/>
          <w:lang w:val="en-US"/>
        </w:rPr>
        <w:t>necessary that the applicant comprehensively pursue</w:t>
      </w:r>
      <w:r w:rsidR="00732C70" w:rsidRPr="00B77A2B">
        <w:rPr>
          <w:rFonts w:ascii="Arial" w:hAnsi="Arial" w:cs="Arial"/>
          <w:color w:val="000000" w:themeColor="text1"/>
          <w:lang w:val="en-US"/>
        </w:rPr>
        <w:t xml:space="preserve"> execution against</w:t>
      </w:r>
      <w:r w:rsidR="00BA475B" w:rsidRPr="00B77A2B">
        <w:rPr>
          <w:rFonts w:ascii="Arial" w:hAnsi="Arial" w:cs="Arial"/>
          <w:color w:val="000000" w:themeColor="text1"/>
          <w:lang w:val="en-US"/>
        </w:rPr>
        <w:t xml:space="preserve"> the first respondent</w:t>
      </w:r>
      <w:r w:rsidR="00732C70" w:rsidRPr="00B77A2B">
        <w:rPr>
          <w:rFonts w:ascii="Arial" w:hAnsi="Arial" w:cs="Arial"/>
          <w:color w:val="000000" w:themeColor="text1"/>
          <w:lang w:val="en-US"/>
        </w:rPr>
        <w:t xml:space="preserve"> before taking action against the second respondent,</w:t>
      </w:r>
      <w:r w:rsidR="00732C70">
        <w:rPr>
          <w:rStyle w:val="FootnoteReference"/>
          <w:rFonts w:ascii="Arial" w:hAnsi="Arial" w:cs="Arial"/>
          <w:color w:val="000000" w:themeColor="text1"/>
          <w:lang w:val="en-US"/>
        </w:rPr>
        <w:footnoteReference w:id="11"/>
      </w:r>
      <w:r w:rsidR="00732C70" w:rsidRPr="00B77A2B">
        <w:rPr>
          <w:rFonts w:ascii="Arial" w:hAnsi="Arial" w:cs="Arial"/>
          <w:color w:val="000000" w:themeColor="text1"/>
          <w:lang w:val="en-US"/>
        </w:rPr>
        <w:t xml:space="preserve"> the fact remains that a</w:t>
      </w:r>
      <w:r w:rsidR="000F1EE3" w:rsidRPr="00B77A2B">
        <w:rPr>
          <w:rFonts w:ascii="Arial" w:hAnsi="Arial" w:cs="Arial"/>
          <w:color w:val="000000" w:themeColor="text1"/>
          <w:lang w:val="en-US"/>
        </w:rPr>
        <w:t>side from the above</w:t>
      </w:r>
      <w:r w:rsidR="00732C70" w:rsidRPr="00B77A2B">
        <w:rPr>
          <w:rFonts w:ascii="Arial" w:hAnsi="Arial" w:cs="Arial"/>
          <w:color w:val="000000" w:themeColor="text1"/>
          <w:lang w:val="en-US"/>
        </w:rPr>
        <w:t>-mentioned returns of service</w:t>
      </w:r>
      <w:r w:rsidR="000F1EE3" w:rsidRPr="00B77A2B">
        <w:rPr>
          <w:rFonts w:ascii="Arial" w:hAnsi="Arial" w:cs="Arial"/>
          <w:color w:val="000000" w:themeColor="text1"/>
          <w:lang w:val="en-US"/>
        </w:rPr>
        <w:t xml:space="preserve">, the applicant </w:t>
      </w:r>
      <w:r w:rsidR="004C253C" w:rsidRPr="00B77A2B">
        <w:rPr>
          <w:rFonts w:ascii="Arial" w:hAnsi="Arial" w:cs="Arial"/>
          <w:color w:val="000000" w:themeColor="text1"/>
          <w:lang w:val="en-US"/>
        </w:rPr>
        <w:t>provides no further information in relation to the first respondent’s ability to pay its debt</w:t>
      </w:r>
      <w:r w:rsidR="00F51AB7" w:rsidRPr="00B77A2B">
        <w:rPr>
          <w:rFonts w:ascii="Arial" w:hAnsi="Arial" w:cs="Arial"/>
          <w:color w:val="000000" w:themeColor="text1"/>
          <w:lang w:val="en-US"/>
        </w:rPr>
        <w:t>,</w:t>
      </w:r>
      <w:r w:rsidR="004C253C">
        <w:rPr>
          <w:rStyle w:val="FootnoteReference"/>
          <w:rFonts w:ascii="Arial" w:hAnsi="Arial" w:cs="Arial"/>
          <w:color w:val="000000" w:themeColor="text1"/>
          <w:lang w:val="en-US"/>
        </w:rPr>
        <w:footnoteReference w:id="12"/>
      </w:r>
      <w:r w:rsidR="004C253C" w:rsidRPr="00B77A2B">
        <w:rPr>
          <w:rFonts w:ascii="Arial" w:hAnsi="Arial" w:cs="Arial"/>
          <w:color w:val="000000" w:themeColor="text1"/>
          <w:lang w:val="en-US"/>
        </w:rPr>
        <w:t xml:space="preserve"> and </w:t>
      </w:r>
      <w:r w:rsidR="000F1EE3" w:rsidRPr="00B77A2B">
        <w:rPr>
          <w:rFonts w:ascii="Arial" w:hAnsi="Arial" w:cs="Arial"/>
          <w:color w:val="000000" w:themeColor="text1"/>
          <w:lang w:val="en-US"/>
        </w:rPr>
        <w:t>relies entirely on the judgment in the first action</w:t>
      </w:r>
      <w:r w:rsidR="00732C70" w:rsidRPr="00B77A2B">
        <w:rPr>
          <w:rFonts w:ascii="Arial" w:hAnsi="Arial" w:cs="Arial"/>
          <w:color w:val="000000" w:themeColor="text1"/>
          <w:lang w:val="en-US"/>
        </w:rPr>
        <w:t xml:space="preserve"> in claiming the relief sought in this matter.</w:t>
      </w:r>
    </w:p>
    <w:p w14:paraId="1BFF5B1A" w14:textId="77777777" w:rsidR="00BD76DF" w:rsidRPr="00BD76DF" w:rsidRDefault="00BD76DF" w:rsidP="0027736E">
      <w:pPr>
        <w:spacing w:line="480" w:lineRule="auto"/>
        <w:ind w:hanging="720"/>
        <w:jc w:val="both"/>
        <w:rPr>
          <w:rFonts w:ascii="Arial" w:hAnsi="Arial" w:cs="Arial"/>
          <w:color w:val="000000" w:themeColor="text1"/>
          <w:lang w:val="en-US"/>
        </w:rPr>
      </w:pPr>
    </w:p>
    <w:p w14:paraId="2E56BCFA" w14:textId="3A4AF4C2" w:rsidR="000F1EE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[44]</w:t>
      </w:r>
      <w:r>
        <w:rPr>
          <w:rFonts w:ascii="Arial" w:hAnsi="Arial" w:cs="Arial"/>
          <w:color w:val="000000" w:themeColor="text1"/>
          <w:lang w:val="en-US"/>
        </w:rPr>
        <w:tab/>
      </w:r>
      <w:r w:rsidR="000F1EE3" w:rsidRPr="00B77A2B">
        <w:rPr>
          <w:rFonts w:ascii="Arial" w:hAnsi="Arial" w:cs="Arial"/>
          <w:color w:val="000000" w:themeColor="text1"/>
          <w:lang w:val="en-US"/>
        </w:rPr>
        <w:t xml:space="preserve">In my view the applicant has not made out an </w:t>
      </w:r>
      <w:r w:rsidR="00430500" w:rsidRPr="00B77A2B">
        <w:rPr>
          <w:rFonts w:ascii="Arial" w:hAnsi="Arial" w:cs="Arial"/>
          <w:color w:val="000000" w:themeColor="text1"/>
          <w:lang w:val="en-US"/>
        </w:rPr>
        <w:t>appropriate</w:t>
      </w:r>
      <w:r w:rsidR="000F1EE3" w:rsidRPr="00B77A2B">
        <w:rPr>
          <w:rFonts w:ascii="Arial" w:hAnsi="Arial" w:cs="Arial"/>
          <w:color w:val="000000" w:themeColor="text1"/>
          <w:lang w:val="en-US"/>
        </w:rPr>
        <w:t xml:space="preserve"> case for the relief sought</w:t>
      </w:r>
      <w:r w:rsidR="0042374E" w:rsidRPr="00B77A2B">
        <w:rPr>
          <w:rFonts w:ascii="Arial" w:hAnsi="Arial" w:cs="Arial"/>
          <w:color w:val="000000" w:themeColor="text1"/>
          <w:lang w:val="en-US"/>
        </w:rPr>
        <w:t>, as</w:t>
      </w:r>
      <w:r w:rsidR="000F1EE3" w:rsidRPr="00B77A2B">
        <w:rPr>
          <w:rFonts w:ascii="Arial" w:hAnsi="Arial" w:cs="Arial"/>
          <w:color w:val="000000" w:themeColor="text1"/>
          <w:lang w:val="en-US"/>
        </w:rPr>
        <w:t xml:space="preserve"> </w:t>
      </w:r>
      <w:r w:rsidR="00BD76DF" w:rsidRPr="00B77A2B">
        <w:rPr>
          <w:rFonts w:ascii="Arial" w:hAnsi="Arial" w:cs="Arial"/>
          <w:color w:val="000000" w:themeColor="text1"/>
          <w:lang w:val="en-US"/>
        </w:rPr>
        <w:t xml:space="preserve">he </w:t>
      </w:r>
      <w:r w:rsidR="000F1EE3" w:rsidRPr="00B77A2B">
        <w:rPr>
          <w:rFonts w:ascii="Arial" w:hAnsi="Arial" w:cs="Arial"/>
          <w:color w:val="000000" w:themeColor="text1"/>
          <w:lang w:val="en-US"/>
        </w:rPr>
        <w:t xml:space="preserve">has asked that the </w:t>
      </w:r>
      <w:r w:rsidR="0042374E" w:rsidRPr="00B77A2B">
        <w:rPr>
          <w:rFonts w:ascii="Arial" w:hAnsi="Arial" w:cs="Arial"/>
          <w:color w:val="000000" w:themeColor="text1"/>
          <w:lang w:val="en-US"/>
        </w:rPr>
        <w:t>findings</w:t>
      </w:r>
      <w:r w:rsidR="000F1EE3" w:rsidRPr="00B77A2B">
        <w:rPr>
          <w:rFonts w:ascii="Arial" w:hAnsi="Arial" w:cs="Arial"/>
          <w:color w:val="000000" w:themeColor="text1"/>
          <w:lang w:val="en-US"/>
        </w:rPr>
        <w:t xml:space="preserve"> of another court be adopted as the </w:t>
      </w:r>
      <w:r w:rsidR="0042374E" w:rsidRPr="00B77A2B">
        <w:rPr>
          <w:rFonts w:ascii="Arial" w:hAnsi="Arial" w:cs="Arial"/>
          <w:color w:val="000000" w:themeColor="text1"/>
          <w:lang w:val="en-US"/>
        </w:rPr>
        <w:t>findings</w:t>
      </w:r>
      <w:r w:rsidR="000F1EE3" w:rsidRPr="00B77A2B">
        <w:rPr>
          <w:rFonts w:ascii="Arial" w:hAnsi="Arial" w:cs="Arial"/>
          <w:color w:val="000000" w:themeColor="text1"/>
          <w:lang w:val="en-US"/>
        </w:rPr>
        <w:t xml:space="preserve"> of this court (absent sight of any of the evidence before that court), </w:t>
      </w:r>
      <w:r w:rsidR="0042374E" w:rsidRPr="00B77A2B">
        <w:rPr>
          <w:rFonts w:ascii="Arial" w:hAnsi="Arial" w:cs="Arial"/>
          <w:color w:val="000000" w:themeColor="text1"/>
          <w:lang w:val="en-US"/>
        </w:rPr>
        <w:t>and that this court use those findings to reach conclusions in relation to issues which were not before the original court.</w:t>
      </w:r>
      <w:r w:rsidR="00BD76DF">
        <w:rPr>
          <w:rStyle w:val="FootnoteReference"/>
          <w:rFonts w:ascii="Arial" w:hAnsi="Arial" w:cs="Arial"/>
          <w:color w:val="000000" w:themeColor="text1"/>
          <w:lang w:val="en-US"/>
        </w:rPr>
        <w:footnoteReference w:id="13"/>
      </w:r>
    </w:p>
    <w:p w14:paraId="509C9611" w14:textId="77777777" w:rsidR="00BD76DF" w:rsidRPr="00BD76DF" w:rsidRDefault="00BD76DF" w:rsidP="0027736E">
      <w:pPr>
        <w:spacing w:line="480" w:lineRule="auto"/>
        <w:ind w:hanging="720"/>
        <w:jc w:val="both"/>
        <w:rPr>
          <w:rFonts w:ascii="Arial" w:hAnsi="Arial" w:cs="Arial"/>
          <w:color w:val="000000" w:themeColor="text1"/>
          <w:lang w:val="en-US"/>
        </w:rPr>
      </w:pPr>
    </w:p>
    <w:p w14:paraId="2235DC73" w14:textId="146AA7D3" w:rsidR="00CF3C2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[45]</w:t>
      </w:r>
      <w:r>
        <w:rPr>
          <w:rFonts w:ascii="Arial" w:hAnsi="Arial" w:cs="Arial"/>
          <w:color w:val="000000" w:themeColor="text1"/>
          <w:lang w:val="en-US"/>
        </w:rPr>
        <w:tab/>
      </w:r>
      <w:r w:rsidR="00CF3C23" w:rsidRPr="00B77A2B">
        <w:rPr>
          <w:rFonts w:ascii="Arial" w:hAnsi="Arial" w:cs="Arial"/>
          <w:color w:val="000000" w:themeColor="text1"/>
          <w:lang w:val="en-US"/>
        </w:rPr>
        <w:t xml:space="preserve">It was submitted on behalf of the applicant that sections 64 and 65 of the Close Corporations Act require that this matter be determined on application.  </w:t>
      </w:r>
    </w:p>
    <w:p w14:paraId="0756EC31" w14:textId="77777777" w:rsidR="00BD76DF" w:rsidRPr="00BD76DF" w:rsidRDefault="00BD76DF" w:rsidP="0027736E">
      <w:pPr>
        <w:spacing w:line="480" w:lineRule="auto"/>
        <w:ind w:hanging="720"/>
        <w:jc w:val="both"/>
        <w:rPr>
          <w:rFonts w:ascii="Arial" w:hAnsi="Arial" w:cs="Arial"/>
          <w:color w:val="000000" w:themeColor="text1"/>
          <w:lang w:val="en-US"/>
        </w:rPr>
      </w:pPr>
    </w:p>
    <w:p w14:paraId="2CAFC10F" w14:textId="0C584E1B" w:rsidR="004D569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[46]</w:t>
      </w:r>
      <w:r>
        <w:rPr>
          <w:rFonts w:ascii="Arial" w:hAnsi="Arial" w:cs="Arial"/>
          <w:color w:val="000000" w:themeColor="text1"/>
          <w:lang w:val="en-US"/>
        </w:rPr>
        <w:tab/>
      </w:r>
      <w:r w:rsidR="00CF3C23" w:rsidRPr="00B77A2B">
        <w:rPr>
          <w:rFonts w:ascii="Arial" w:hAnsi="Arial" w:cs="Arial"/>
          <w:color w:val="000000" w:themeColor="text1"/>
          <w:lang w:val="en-US"/>
        </w:rPr>
        <w:t xml:space="preserve">In my view </w:t>
      </w:r>
      <w:r w:rsidR="005B026C" w:rsidRPr="00B77A2B">
        <w:rPr>
          <w:rFonts w:ascii="Arial" w:hAnsi="Arial" w:cs="Arial"/>
          <w:color w:val="000000" w:themeColor="text1"/>
          <w:lang w:val="en-US"/>
        </w:rPr>
        <w:t>the above-mentioned sections are not limited in such a manner, and it is open to the applicant to launch action proceedings in this regard.</w:t>
      </w:r>
      <w:r w:rsidR="00D67248">
        <w:rPr>
          <w:rStyle w:val="FootnoteReference"/>
          <w:rFonts w:ascii="Arial" w:hAnsi="Arial" w:cs="Arial"/>
          <w:color w:val="000000" w:themeColor="text1"/>
          <w:lang w:val="en-US"/>
        </w:rPr>
        <w:footnoteReference w:id="14"/>
      </w:r>
    </w:p>
    <w:p w14:paraId="6D8E2B32" w14:textId="77777777" w:rsidR="00BD76DF" w:rsidRPr="00BD76DF" w:rsidRDefault="00BD76DF" w:rsidP="0027736E">
      <w:pPr>
        <w:spacing w:line="480" w:lineRule="auto"/>
        <w:ind w:hanging="720"/>
        <w:jc w:val="both"/>
        <w:rPr>
          <w:rFonts w:ascii="Arial" w:hAnsi="Arial" w:cs="Arial"/>
          <w:color w:val="000000" w:themeColor="text1"/>
          <w:lang w:val="en-US"/>
        </w:rPr>
      </w:pPr>
    </w:p>
    <w:p w14:paraId="021C19B3" w14:textId="1BFDE37F" w:rsidR="00CF3C23"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[47]</w:t>
      </w:r>
      <w:r>
        <w:rPr>
          <w:rFonts w:ascii="Arial" w:hAnsi="Arial" w:cs="Arial"/>
          <w:color w:val="000000" w:themeColor="text1"/>
          <w:lang w:val="en-US"/>
        </w:rPr>
        <w:tab/>
      </w:r>
      <w:r w:rsidR="0042374E" w:rsidRPr="00B77A2B">
        <w:rPr>
          <w:rFonts w:ascii="Arial" w:hAnsi="Arial" w:cs="Arial"/>
          <w:color w:val="000000" w:themeColor="text1"/>
          <w:lang w:val="en-US"/>
        </w:rPr>
        <w:t xml:space="preserve">Even if I am wrong </w:t>
      </w:r>
      <w:proofErr w:type="gramStart"/>
      <w:r w:rsidR="0042374E" w:rsidRPr="00B77A2B">
        <w:rPr>
          <w:rFonts w:ascii="Arial" w:hAnsi="Arial" w:cs="Arial"/>
          <w:color w:val="000000" w:themeColor="text1"/>
          <w:lang w:val="en-US"/>
        </w:rPr>
        <w:t>in regard to</w:t>
      </w:r>
      <w:proofErr w:type="gramEnd"/>
      <w:r w:rsidR="0042374E" w:rsidRPr="00B77A2B">
        <w:rPr>
          <w:rFonts w:ascii="Arial" w:hAnsi="Arial" w:cs="Arial"/>
          <w:color w:val="000000" w:themeColor="text1"/>
          <w:lang w:val="en-US"/>
        </w:rPr>
        <w:t xml:space="preserve"> the above it would be impossible, in my view, appropriately to determine this matter on affidavit as the factual matrix of the applicant’s entire claim </w:t>
      </w:r>
      <w:r w:rsidR="00E25925" w:rsidRPr="00B77A2B">
        <w:rPr>
          <w:rFonts w:ascii="Arial" w:hAnsi="Arial" w:cs="Arial"/>
          <w:color w:val="000000" w:themeColor="text1"/>
          <w:lang w:val="en-US"/>
        </w:rPr>
        <w:t xml:space="preserve">is </w:t>
      </w:r>
      <w:r w:rsidR="00D57B0C" w:rsidRPr="00B77A2B">
        <w:rPr>
          <w:rFonts w:ascii="Arial" w:hAnsi="Arial" w:cs="Arial"/>
          <w:color w:val="000000" w:themeColor="text1"/>
          <w:lang w:val="en-US"/>
        </w:rPr>
        <w:t>provided via</w:t>
      </w:r>
      <w:r w:rsidR="0042374E" w:rsidRPr="00B77A2B">
        <w:rPr>
          <w:rFonts w:ascii="Arial" w:hAnsi="Arial" w:cs="Arial"/>
          <w:color w:val="000000" w:themeColor="text1"/>
          <w:lang w:val="en-US"/>
        </w:rPr>
        <w:t xml:space="preserve"> the judgment of another court, meaning that the relevant issues have not been properly ventilated before this court.</w:t>
      </w:r>
      <w:r w:rsidR="00821B5B" w:rsidRPr="00B77A2B">
        <w:rPr>
          <w:rFonts w:ascii="Arial" w:hAnsi="Arial" w:cs="Arial"/>
          <w:color w:val="000000" w:themeColor="text1"/>
          <w:lang w:val="en-US"/>
        </w:rPr>
        <w:t xml:space="preserve">  Such ventilation could only, in these circumstances, occur by way of appropriate oral and documentary evidence being provided.</w:t>
      </w:r>
    </w:p>
    <w:p w14:paraId="66F6C22F" w14:textId="77777777" w:rsidR="005348CD" w:rsidRPr="005348CD" w:rsidRDefault="005348CD" w:rsidP="005348CD">
      <w:pPr>
        <w:spacing w:line="480" w:lineRule="auto"/>
        <w:jc w:val="both"/>
        <w:rPr>
          <w:rFonts w:ascii="Arial" w:hAnsi="Arial" w:cs="Arial"/>
          <w:color w:val="000000" w:themeColor="text1"/>
          <w:lang w:val="en-US"/>
        </w:rPr>
      </w:pPr>
    </w:p>
    <w:p w14:paraId="6DD8F059" w14:textId="77777777" w:rsidR="00E25925" w:rsidRPr="005348CD" w:rsidRDefault="00E25925" w:rsidP="005348CD">
      <w:pPr>
        <w:rPr>
          <w:rFonts w:ascii="Arial" w:hAnsi="Arial" w:cs="Arial"/>
          <w:color w:val="000000" w:themeColor="text1"/>
          <w:lang w:val="en-US"/>
        </w:rPr>
      </w:pPr>
    </w:p>
    <w:p w14:paraId="72818504" w14:textId="7FF13BB7" w:rsidR="00E25925"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[48]</w:t>
      </w:r>
      <w:r>
        <w:rPr>
          <w:rFonts w:ascii="Arial" w:hAnsi="Arial" w:cs="Arial"/>
          <w:color w:val="000000" w:themeColor="text1"/>
          <w:lang w:val="en-US"/>
        </w:rPr>
        <w:tab/>
      </w:r>
      <w:r w:rsidR="00E25925" w:rsidRPr="00B77A2B">
        <w:rPr>
          <w:rFonts w:ascii="Arial" w:hAnsi="Arial" w:cs="Arial"/>
          <w:color w:val="000000" w:themeColor="text1"/>
          <w:lang w:val="en-US"/>
        </w:rPr>
        <w:t>Rule 6(5)(g) of the Uniform Rules states as follows:</w:t>
      </w:r>
    </w:p>
    <w:p w14:paraId="4A547872" w14:textId="77777777" w:rsidR="00E25925" w:rsidRPr="00E25925" w:rsidRDefault="00E25925" w:rsidP="00E25925">
      <w:pPr>
        <w:pStyle w:val="ListParagraph"/>
        <w:spacing w:line="480" w:lineRule="auto"/>
        <w:rPr>
          <w:rFonts w:ascii="Arial" w:hAnsi="Arial" w:cs="Arial"/>
          <w:color w:val="000000" w:themeColor="text1"/>
          <w:sz w:val="22"/>
          <w:szCs w:val="22"/>
          <w:lang w:val="en-US"/>
        </w:rPr>
      </w:pPr>
    </w:p>
    <w:p w14:paraId="7E4F7BFC" w14:textId="69E93697" w:rsidR="00E25925" w:rsidRPr="00E25925" w:rsidRDefault="00E25925" w:rsidP="00E25925">
      <w:pPr>
        <w:pStyle w:val="ListParagraph"/>
        <w:spacing w:line="480" w:lineRule="auto"/>
        <w:ind w:left="1440"/>
        <w:jc w:val="both"/>
        <w:rPr>
          <w:rFonts w:ascii="Arial" w:hAnsi="Arial" w:cs="Arial"/>
          <w:color w:val="000000" w:themeColor="text1"/>
          <w:sz w:val="22"/>
          <w:szCs w:val="22"/>
          <w:lang w:val="en-US"/>
        </w:rPr>
      </w:pPr>
      <w:r w:rsidRPr="00E25925">
        <w:rPr>
          <w:sz w:val="22"/>
          <w:szCs w:val="22"/>
        </w:rPr>
        <w:t>‘</w:t>
      </w:r>
      <w:r w:rsidRPr="00E25925">
        <w:rPr>
          <w:rFonts w:ascii="Arial" w:hAnsi="Arial" w:cs="Arial"/>
          <w:sz w:val="22"/>
          <w:szCs w:val="22"/>
        </w:rPr>
        <w:t xml:space="preserve">Where an application cannot properly be decided on affidavit the court may dismiss the application or make such order as it deems fit with a view to ensuring a just and expeditious decision. In particular, but without affecting the generality of the </w:t>
      </w:r>
      <w:proofErr w:type="spellStart"/>
      <w:r w:rsidRPr="00E25925">
        <w:rPr>
          <w:rFonts w:ascii="Arial" w:hAnsi="Arial" w:cs="Arial"/>
          <w:sz w:val="22"/>
          <w:szCs w:val="22"/>
        </w:rPr>
        <w:t>aforegoing</w:t>
      </w:r>
      <w:proofErr w:type="spellEnd"/>
      <w:r w:rsidRPr="00E25925">
        <w:rPr>
          <w:rFonts w:ascii="Arial" w:hAnsi="Arial" w:cs="Arial"/>
          <w:sz w:val="22"/>
          <w:szCs w:val="22"/>
        </w:rPr>
        <w:t>, it may direct that oral evidence be heard on specified issues with a view to resolving any dispute of fact and to that end may order any deponent to appear personally or grant leave for such deponent or any other person to be subpoenaed to appear and be examined and cross-</w:t>
      </w:r>
      <w:r w:rsidRPr="00E25925">
        <w:rPr>
          <w:rFonts w:ascii="Arial" w:hAnsi="Arial" w:cs="Arial"/>
          <w:sz w:val="22"/>
          <w:szCs w:val="22"/>
        </w:rPr>
        <w:lastRenderedPageBreak/>
        <w:t>examined as a witness or it may refer the matter to trial with appropriate directions as to pleadings or definition of issues, or otherwise.’</w:t>
      </w:r>
    </w:p>
    <w:p w14:paraId="744CE710" w14:textId="77777777" w:rsidR="00E25925" w:rsidRPr="00E25925" w:rsidRDefault="00E25925" w:rsidP="00E25925">
      <w:pPr>
        <w:pStyle w:val="ListParagraph"/>
        <w:rPr>
          <w:rFonts w:ascii="Arial" w:hAnsi="Arial" w:cs="Arial"/>
          <w:color w:val="000000" w:themeColor="text1"/>
          <w:lang w:val="en-US"/>
        </w:rPr>
      </w:pPr>
    </w:p>
    <w:p w14:paraId="28F9917A" w14:textId="405B8A3A" w:rsidR="00E25925" w:rsidRPr="00B77A2B" w:rsidRDefault="00B77A2B" w:rsidP="00B77A2B">
      <w:pPr>
        <w:spacing w:line="480" w:lineRule="auto"/>
        <w:ind w:left="720" w:hanging="720"/>
        <w:jc w:val="both"/>
        <w:rPr>
          <w:rFonts w:ascii="Arial" w:hAnsi="Arial" w:cs="Arial"/>
          <w:color w:val="000000" w:themeColor="text1"/>
          <w:lang w:val="en-US"/>
        </w:rPr>
      </w:pPr>
      <w:r w:rsidRPr="005348CD">
        <w:rPr>
          <w:rFonts w:ascii="Arial" w:hAnsi="Arial" w:cs="Arial"/>
          <w:color w:val="000000" w:themeColor="text1"/>
          <w:lang w:val="en-US"/>
        </w:rPr>
        <w:t>[49]</w:t>
      </w:r>
      <w:r w:rsidRPr="005348CD">
        <w:rPr>
          <w:rFonts w:ascii="Arial" w:hAnsi="Arial" w:cs="Arial"/>
          <w:color w:val="000000" w:themeColor="text1"/>
          <w:lang w:val="en-US"/>
        </w:rPr>
        <w:tab/>
      </w:r>
      <w:r w:rsidR="005348CD" w:rsidRPr="00B77A2B">
        <w:rPr>
          <w:rFonts w:ascii="Arial" w:hAnsi="Arial" w:cs="Arial"/>
          <w:color w:val="000000" w:themeColor="text1"/>
          <w:lang w:val="en-US"/>
        </w:rPr>
        <w:t>Neither of the parties made a formal application</w:t>
      </w:r>
      <w:r w:rsidR="005348CD">
        <w:rPr>
          <w:rStyle w:val="FootnoteReference"/>
          <w:rFonts w:ascii="Arial" w:hAnsi="Arial" w:cs="Arial"/>
          <w:color w:val="000000" w:themeColor="text1"/>
          <w:lang w:val="en-US"/>
        </w:rPr>
        <w:footnoteReference w:id="15"/>
      </w:r>
      <w:r w:rsidR="005348CD" w:rsidRPr="00B77A2B">
        <w:rPr>
          <w:rFonts w:ascii="Arial" w:hAnsi="Arial" w:cs="Arial"/>
          <w:color w:val="000000" w:themeColor="text1"/>
          <w:lang w:val="en-US"/>
        </w:rPr>
        <w:t xml:space="preserve"> that the matter be referred to oral evidence, and it is undesirable that such an order be made by a court </w:t>
      </w:r>
      <w:proofErr w:type="spellStart"/>
      <w:r w:rsidR="005348CD" w:rsidRPr="00B77A2B">
        <w:rPr>
          <w:rFonts w:ascii="Arial" w:hAnsi="Arial" w:cs="Arial"/>
          <w:i/>
          <w:iCs/>
          <w:color w:val="000000" w:themeColor="text1"/>
          <w:lang w:val="en-US"/>
        </w:rPr>
        <w:t>mero</w:t>
      </w:r>
      <w:proofErr w:type="spellEnd"/>
      <w:r w:rsidR="005348CD" w:rsidRPr="00B77A2B">
        <w:rPr>
          <w:rFonts w:ascii="Arial" w:hAnsi="Arial" w:cs="Arial"/>
          <w:i/>
          <w:iCs/>
          <w:color w:val="000000" w:themeColor="text1"/>
          <w:lang w:val="en-US"/>
        </w:rPr>
        <w:t xml:space="preserve"> motu.</w:t>
      </w:r>
      <w:r w:rsidR="005348CD">
        <w:rPr>
          <w:rStyle w:val="FootnoteReference"/>
          <w:rFonts w:ascii="Arial" w:hAnsi="Arial" w:cs="Arial"/>
          <w:i/>
          <w:iCs/>
          <w:color w:val="000000" w:themeColor="text1"/>
          <w:lang w:val="en-US"/>
        </w:rPr>
        <w:footnoteReference w:id="16"/>
      </w:r>
      <w:r w:rsidR="005348CD" w:rsidRPr="00B77A2B">
        <w:rPr>
          <w:rFonts w:ascii="Arial" w:hAnsi="Arial" w:cs="Arial"/>
          <w:color w:val="000000" w:themeColor="text1"/>
          <w:lang w:val="en-US"/>
        </w:rPr>
        <w:t>Nor would such a referral, in my view, serve any purpose, given the paucity of information contained in the founding affidavit.</w:t>
      </w:r>
    </w:p>
    <w:p w14:paraId="118D79E2" w14:textId="77777777" w:rsidR="005348CD" w:rsidRPr="005348CD" w:rsidRDefault="005348CD" w:rsidP="005348CD">
      <w:pPr>
        <w:pStyle w:val="ListParagraph"/>
        <w:spacing w:line="480" w:lineRule="auto"/>
        <w:jc w:val="both"/>
        <w:rPr>
          <w:rFonts w:ascii="Arial" w:hAnsi="Arial" w:cs="Arial"/>
          <w:color w:val="000000" w:themeColor="text1"/>
          <w:lang w:val="en-US"/>
        </w:rPr>
      </w:pPr>
    </w:p>
    <w:p w14:paraId="63437CC7" w14:textId="47544BEF" w:rsidR="0042374E"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[50]</w:t>
      </w:r>
      <w:r w:rsidRPr="00430500">
        <w:rPr>
          <w:rFonts w:ascii="Arial" w:hAnsi="Arial" w:cs="Arial"/>
          <w:color w:val="000000" w:themeColor="text1"/>
          <w:lang w:val="en-US"/>
        </w:rPr>
        <w:tab/>
      </w:r>
      <w:r w:rsidR="00821B5B" w:rsidRPr="00B77A2B">
        <w:rPr>
          <w:rFonts w:ascii="Arial" w:hAnsi="Arial" w:cs="Arial"/>
          <w:color w:val="000000" w:themeColor="text1"/>
          <w:lang w:val="en-US"/>
        </w:rPr>
        <w:t>The application accordingly falls to be dismissed</w:t>
      </w:r>
      <w:r w:rsidR="005348CD" w:rsidRPr="00B77A2B">
        <w:rPr>
          <w:rFonts w:ascii="Arial" w:hAnsi="Arial" w:cs="Arial"/>
          <w:color w:val="000000" w:themeColor="text1"/>
          <w:lang w:val="en-US"/>
        </w:rPr>
        <w:t>.</w:t>
      </w:r>
      <w:r w:rsidR="00B301A7">
        <w:rPr>
          <w:rStyle w:val="FootnoteReference"/>
          <w:rFonts w:ascii="Arial" w:hAnsi="Arial" w:cs="Arial"/>
          <w:color w:val="000000" w:themeColor="text1"/>
          <w:lang w:val="en-US"/>
        </w:rPr>
        <w:footnoteReference w:id="17"/>
      </w:r>
    </w:p>
    <w:p w14:paraId="2F16CF47" w14:textId="77777777" w:rsidR="00821B5B" w:rsidRPr="00430500" w:rsidRDefault="00821B5B" w:rsidP="0027736E">
      <w:pPr>
        <w:spacing w:line="480" w:lineRule="auto"/>
        <w:ind w:hanging="720"/>
        <w:jc w:val="both"/>
        <w:rPr>
          <w:rFonts w:ascii="Arial" w:hAnsi="Arial" w:cs="Arial"/>
          <w:color w:val="000000" w:themeColor="text1"/>
          <w:lang w:val="en-US"/>
        </w:rPr>
      </w:pPr>
    </w:p>
    <w:p w14:paraId="191A9E0D" w14:textId="66C7B922" w:rsidR="00821B5B" w:rsidRDefault="00821B5B" w:rsidP="0027736E">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t>Costs</w:t>
      </w:r>
    </w:p>
    <w:p w14:paraId="1716489D" w14:textId="77777777" w:rsidR="005348CD" w:rsidRPr="00430500" w:rsidRDefault="005348CD" w:rsidP="0027736E">
      <w:pPr>
        <w:spacing w:line="480" w:lineRule="auto"/>
        <w:jc w:val="both"/>
        <w:rPr>
          <w:rFonts w:ascii="Arial" w:hAnsi="Arial" w:cs="Arial"/>
          <w:b/>
          <w:bCs/>
          <w:color w:val="000000" w:themeColor="text1"/>
          <w:lang w:val="en-US"/>
        </w:rPr>
      </w:pPr>
    </w:p>
    <w:p w14:paraId="2D2E2899" w14:textId="2DF11434" w:rsidR="00154E01"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[51]</w:t>
      </w:r>
      <w:r>
        <w:rPr>
          <w:rFonts w:ascii="Arial" w:hAnsi="Arial" w:cs="Arial"/>
          <w:color w:val="000000" w:themeColor="text1"/>
          <w:lang w:val="en-US"/>
        </w:rPr>
        <w:tab/>
      </w:r>
      <w:r w:rsidR="00154E01" w:rsidRPr="00B77A2B">
        <w:rPr>
          <w:rFonts w:ascii="Arial" w:hAnsi="Arial" w:cs="Arial"/>
          <w:color w:val="000000" w:themeColor="text1"/>
          <w:lang w:val="en-US"/>
        </w:rPr>
        <w:t>All</w:t>
      </w:r>
      <w:r w:rsidR="00821B5B" w:rsidRPr="00B77A2B">
        <w:rPr>
          <w:rFonts w:ascii="Arial" w:hAnsi="Arial" w:cs="Arial"/>
          <w:color w:val="000000" w:themeColor="text1"/>
          <w:lang w:val="en-US"/>
        </w:rPr>
        <w:t xml:space="preserve"> parties requested costs on a punitive scale.  </w:t>
      </w:r>
    </w:p>
    <w:p w14:paraId="5ED8412F" w14:textId="77777777" w:rsidR="00BD76DF" w:rsidRPr="00430500" w:rsidRDefault="00BD76DF" w:rsidP="0027736E">
      <w:pPr>
        <w:pStyle w:val="ListParagraph"/>
        <w:spacing w:line="480" w:lineRule="auto"/>
        <w:ind w:hanging="720"/>
        <w:jc w:val="both"/>
        <w:rPr>
          <w:rFonts w:ascii="Arial" w:hAnsi="Arial" w:cs="Arial"/>
          <w:color w:val="000000" w:themeColor="text1"/>
          <w:lang w:val="en-US"/>
        </w:rPr>
      </w:pPr>
    </w:p>
    <w:p w14:paraId="29498C7B" w14:textId="1D4676D0" w:rsidR="00821B5B" w:rsidRPr="00B77A2B" w:rsidRDefault="00B77A2B" w:rsidP="00B77A2B">
      <w:pPr>
        <w:spacing w:line="480" w:lineRule="auto"/>
        <w:ind w:left="720" w:hanging="720"/>
        <w:jc w:val="both"/>
        <w:rPr>
          <w:rFonts w:ascii="Arial" w:hAnsi="Arial" w:cs="Arial"/>
          <w:color w:val="000000" w:themeColor="text1"/>
          <w:lang w:val="en-US"/>
        </w:rPr>
      </w:pPr>
      <w:r>
        <w:rPr>
          <w:rFonts w:ascii="Arial" w:hAnsi="Arial" w:cs="Arial"/>
          <w:color w:val="000000" w:themeColor="text1"/>
          <w:lang w:val="en-US"/>
        </w:rPr>
        <w:t>[52]</w:t>
      </w:r>
      <w:r>
        <w:rPr>
          <w:rFonts w:ascii="Arial" w:hAnsi="Arial" w:cs="Arial"/>
          <w:color w:val="000000" w:themeColor="text1"/>
          <w:lang w:val="en-US"/>
        </w:rPr>
        <w:tab/>
      </w:r>
      <w:r w:rsidR="00821B5B" w:rsidRPr="00B77A2B">
        <w:rPr>
          <w:rFonts w:ascii="Arial" w:hAnsi="Arial" w:cs="Arial"/>
          <w:color w:val="000000" w:themeColor="text1"/>
          <w:lang w:val="en-US"/>
        </w:rPr>
        <w:t xml:space="preserve">Whilst the applicant’s approach in this regard was ill-advised, it remains clear that he is simply attempting to recover a debt that is owed to him.  Notably absent from the </w:t>
      </w:r>
      <w:r w:rsidR="00430500" w:rsidRPr="00B77A2B">
        <w:rPr>
          <w:rFonts w:ascii="Arial" w:hAnsi="Arial" w:cs="Arial"/>
          <w:color w:val="000000" w:themeColor="text1"/>
          <w:lang w:val="en-US"/>
        </w:rPr>
        <w:t>respondents’</w:t>
      </w:r>
      <w:r w:rsidR="00821B5B" w:rsidRPr="00B77A2B">
        <w:rPr>
          <w:rFonts w:ascii="Arial" w:hAnsi="Arial" w:cs="Arial"/>
          <w:color w:val="000000" w:themeColor="text1"/>
          <w:lang w:val="en-US"/>
        </w:rPr>
        <w:t xml:space="preserve"> affidavits was any information relating to how that debt might be paid by the first respondent.</w:t>
      </w:r>
    </w:p>
    <w:p w14:paraId="059F0D73" w14:textId="77777777" w:rsidR="00BD76DF" w:rsidRPr="00BD76DF" w:rsidRDefault="00BD76DF" w:rsidP="0027736E">
      <w:pPr>
        <w:spacing w:line="480" w:lineRule="auto"/>
        <w:ind w:hanging="720"/>
        <w:jc w:val="both"/>
        <w:rPr>
          <w:rFonts w:ascii="Arial" w:hAnsi="Arial" w:cs="Arial"/>
          <w:color w:val="000000" w:themeColor="text1"/>
          <w:lang w:val="en-US"/>
        </w:rPr>
      </w:pPr>
    </w:p>
    <w:p w14:paraId="41D3A22F" w14:textId="3C0897BA" w:rsidR="00821B5B"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[53]</w:t>
      </w:r>
      <w:r w:rsidRPr="00430500">
        <w:rPr>
          <w:rFonts w:ascii="Arial" w:hAnsi="Arial" w:cs="Arial"/>
          <w:color w:val="000000" w:themeColor="text1"/>
          <w:lang w:val="en-US"/>
        </w:rPr>
        <w:tab/>
      </w:r>
      <w:r w:rsidR="00821B5B" w:rsidRPr="00B77A2B">
        <w:rPr>
          <w:rFonts w:ascii="Arial" w:hAnsi="Arial" w:cs="Arial"/>
          <w:color w:val="000000" w:themeColor="text1"/>
          <w:lang w:val="en-US"/>
        </w:rPr>
        <w:t>Given the above I see no reason why costs should not follow the result.</w:t>
      </w:r>
    </w:p>
    <w:p w14:paraId="6F01C1C2" w14:textId="77777777" w:rsidR="00821B5B" w:rsidRPr="00430500" w:rsidRDefault="00821B5B" w:rsidP="0027736E">
      <w:pPr>
        <w:spacing w:line="480" w:lineRule="auto"/>
        <w:ind w:hanging="720"/>
        <w:jc w:val="both"/>
        <w:rPr>
          <w:rFonts w:ascii="Arial" w:hAnsi="Arial" w:cs="Arial"/>
          <w:color w:val="000000" w:themeColor="text1"/>
          <w:lang w:val="en-US"/>
        </w:rPr>
      </w:pPr>
    </w:p>
    <w:p w14:paraId="3D810656" w14:textId="77777777" w:rsidR="000E6E23" w:rsidRDefault="000E6E23" w:rsidP="0027736E">
      <w:pPr>
        <w:spacing w:line="480" w:lineRule="auto"/>
        <w:jc w:val="both"/>
        <w:rPr>
          <w:rFonts w:ascii="Arial" w:hAnsi="Arial" w:cs="Arial"/>
          <w:b/>
          <w:bCs/>
          <w:color w:val="000000" w:themeColor="text1"/>
          <w:lang w:val="en-US"/>
        </w:rPr>
      </w:pPr>
    </w:p>
    <w:p w14:paraId="4CA345BF" w14:textId="77777777" w:rsidR="000E6E23" w:rsidRDefault="000E6E23" w:rsidP="0027736E">
      <w:pPr>
        <w:spacing w:line="480" w:lineRule="auto"/>
        <w:jc w:val="both"/>
        <w:rPr>
          <w:rFonts w:ascii="Arial" w:hAnsi="Arial" w:cs="Arial"/>
          <w:b/>
          <w:bCs/>
          <w:color w:val="000000" w:themeColor="text1"/>
          <w:lang w:val="en-US"/>
        </w:rPr>
      </w:pPr>
    </w:p>
    <w:p w14:paraId="317323C4" w14:textId="55D15D13" w:rsidR="00821B5B" w:rsidRDefault="00821B5B" w:rsidP="0027736E">
      <w:pPr>
        <w:spacing w:line="480" w:lineRule="auto"/>
        <w:jc w:val="both"/>
        <w:rPr>
          <w:rFonts w:ascii="Arial" w:hAnsi="Arial" w:cs="Arial"/>
          <w:b/>
          <w:bCs/>
          <w:color w:val="000000" w:themeColor="text1"/>
          <w:lang w:val="en-US"/>
        </w:rPr>
      </w:pPr>
      <w:r w:rsidRPr="00430500">
        <w:rPr>
          <w:rFonts w:ascii="Arial" w:hAnsi="Arial" w:cs="Arial"/>
          <w:b/>
          <w:bCs/>
          <w:color w:val="000000" w:themeColor="text1"/>
          <w:lang w:val="en-US"/>
        </w:rPr>
        <w:lastRenderedPageBreak/>
        <w:t>Order</w:t>
      </w:r>
    </w:p>
    <w:p w14:paraId="2263FA96" w14:textId="77777777" w:rsidR="005348CD" w:rsidRPr="00430500" w:rsidRDefault="005348CD" w:rsidP="0027736E">
      <w:pPr>
        <w:spacing w:line="480" w:lineRule="auto"/>
        <w:jc w:val="both"/>
        <w:rPr>
          <w:rFonts w:ascii="Arial" w:hAnsi="Arial" w:cs="Arial"/>
          <w:b/>
          <w:bCs/>
          <w:color w:val="000000" w:themeColor="text1"/>
          <w:lang w:val="en-US"/>
        </w:rPr>
      </w:pPr>
    </w:p>
    <w:p w14:paraId="292FEC73" w14:textId="4B270DF8" w:rsidR="00821B5B" w:rsidRPr="00B77A2B" w:rsidRDefault="00B77A2B" w:rsidP="00B77A2B">
      <w:pPr>
        <w:spacing w:line="480" w:lineRule="auto"/>
        <w:ind w:left="720" w:hanging="720"/>
        <w:jc w:val="both"/>
        <w:rPr>
          <w:rFonts w:ascii="Arial" w:hAnsi="Arial" w:cs="Arial"/>
          <w:color w:val="000000" w:themeColor="text1"/>
          <w:lang w:val="en-US"/>
        </w:rPr>
      </w:pPr>
      <w:r w:rsidRPr="00430500">
        <w:rPr>
          <w:rFonts w:ascii="Arial" w:hAnsi="Arial" w:cs="Arial"/>
          <w:color w:val="000000" w:themeColor="text1"/>
          <w:lang w:val="en-US"/>
        </w:rPr>
        <w:t>[54]</w:t>
      </w:r>
      <w:r w:rsidRPr="00430500">
        <w:rPr>
          <w:rFonts w:ascii="Arial" w:hAnsi="Arial" w:cs="Arial"/>
          <w:color w:val="000000" w:themeColor="text1"/>
          <w:lang w:val="en-US"/>
        </w:rPr>
        <w:tab/>
      </w:r>
      <w:r w:rsidR="00821B5B" w:rsidRPr="00B77A2B">
        <w:rPr>
          <w:rFonts w:ascii="Arial" w:hAnsi="Arial" w:cs="Arial"/>
          <w:color w:val="000000" w:themeColor="text1"/>
          <w:lang w:val="en-US"/>
        </w:rPr>
        <w:t xml:space="preserve">In the result, the first respondent’s first point </w:t>
      </w:r>
      <w:r w:rsidR="00821B5B" w:rsidRPr="00B77A2B">
        <w:rPr>
          <w:rFonts w:ascii="Arial" w:hAnsi="Arial" w:cs="Arial"/>
          <w:i/>
          <w:iCs/>
          <w:color w:val="000000" w:themeColor="text1"/>
          <w:lang w:val="en-US"/>
        </w:rPr>
        <w:t xml:space="preserve">in </w:t>
      </w:r>
      <w:proofErr w:type="spellStart"/>
      <w:r w:rsidR="00821B5B" w:rsidRPr="00B77A2B">
        <w:rPr>
          <w:rFonts w:ascii="Arial" w:hAnsi="Arial" w:cs="Arial"/>
          <w:i/>
          <w:iCs/>
          <w:color w:val="000000" w:themeColor="text1"/>
          <w:lang w:val="en-US"/>
        </w:rPr>
        <w:t>limine</w:t>
      </w:r>
      <w:proofErr w:type="spellEnd"/>
      <w:r w:rsidR="00821B5B" w:rsidRPr="00B77A2B">
        <w:rPr>
          <w:rFonts w:ascii="Arial" w:hAnsi="Arial" w:cs="Arial"/>
          <w:i/>
          <w:iCs/>
          <w:color w:val="000000" w:themeColor="text1"/>
          <w:lang w:val="en-US"/>
        </w:rPr>
        <w:t>,</w:t>
      </w:r>
      <w:r w:rsidR="00821B5B" w:rsidRPr="00B77A2B">
        <w:rPr>
          <w:rFonts w:ascii="Arial" w:hAnsi="Arial" w:cs="Arial"/>
          <w:color w:val="000000" w:themeColor="text1"/>
          <w:lang w:val="en-US"/>
        </w:rPr>
        <w:t xml:space="preserve"> and the second </w:t>
      </w:r>
      <w:r w:rsidR="00430500" w:rsidRPr="00B77A2B">
        <w:rPr>
          <w:rFonts w:ascii="Arial" w:hAnsi="Arial" w:cs="Arial"/>
          <w:color w:val="000000" w:themeColor="text1"/>
          <w:lang w:val="en-US"/>
        </w:rPr>
        <w:t>respondent’s</w:t>
      </w:r>
      <w:r w:rsidR="00821B5B" w:rsidRPr="00B77A2B">
        <w:rPr>
          <w:rFonts w:ascii="Arial" w:hAnsi="Arial" w:cs="Arial"/>
          <w:color w:val="000000" w:themeColor="text1"/>
          <w:lang w:val="en-US"/>
        </w:rPr>
        <w:t xml:space="preserve"> second</w:t>
      </w:r>
      <w:r w:rsidR="00BD76DF">
        <w:rPr>
          <w:rStyle w:val="FootnoteReference"/>
          <w:rFonts w:ascii="Arial" w:hAnsi="Arial" w:cs="Arial"/>
          <w:color w:val="000000" w:themeColor="text1"/>
          <w:lang w:val="en-US"/>
        </w:rPr>
        <w:footnoteReference w:id="18"/>
      </w:r>
      <w:r w:rsidR="00821B5B" w:rsidRPr="00B77A2B">
        <w:rPr>
          <w:rFonts w:ascii="Arial" w:hAnsi="Arial" w:cs="Arial"/>
          <w:color w:val="000000" w:themeColor="text1"/>
          <w:lang w:val="en-US"/>
        </w:rPr>
        <w:t xml:space="preserve"> point </w:t>
      </w:r>
      <w:r w:rsidR="00821B5B" w:rsidRPr="00B77A2B">
        <w:rPr>
          <w:rFonts w:ascii="Arial" w:hAnsi="Arial" w:cs="Arial"/>
          <w:i/>
          <w:iCs/>
          <w:color w:val="000000" w:themeColor="text1"/>
          <w:lang w:val="en-US"/>
        </w:rPr>
        <w:t xml:space="preserve">in </w:t>
      </w:r>
      <w:proofErr w:type="spellStart"/>
      <w:r w:rsidR="00821B5B" w:rsidRPr="00B77A2B">
        <w:rPr>
          <w:rFonts w:ascii="Arial" w:hAnsi="Arial" w:cs="Arial"/>
          <w:i/>
          <w:iCs/>
          <w:color w:val="000000" w:themeColor="text1"/>
          <w:lang w:val="en-US"/>
        </w:rPr>
        <w:t>limine</w:t>
      </w:r>
      <w:proofErr w:type="spellEnd"/>
      <w:r w:rsidR="00821B5B" w:rsidRPr="00B77A2B">
        <w:rPr>
          <w:rFonts w:ascii="Arial" w:hAnsi="Arial" w:cs="Arial"/>
          <w:color w:val="000000" w:themeColor="text1"/>
          <w:lang w:val="en-US"/>
        </w:rPr>
        <w:t>, is upheld, and the application is dismissed with costs.</w:t>
      </w:r>
    </w:p>
    <w:p w14:paraId="2E8EADE1" w14:textId="77777777" w:rsidR="00821B5B" w:rsidRDefault="00821B5B" w:rsidP="0027736E">
      <w:pPr>
        <w:spacing w:line="480" w:lineRule="auto"/>
        <w:ind w:left="360" w:hanging="720"/>
        <w:jc w:val="both"/>
        <w:rPr>
          <w:rFonts w:ascii="Arial" w:hAnsi="Arial" w:cs="Arial"/>
          <w:color w:val="000000" w:themeColor="text1"/>
          <w:lang w:val="en-US"/>
        </w:rPr>
      </w:pPr>
    </w:p>
    <w:p w14:paraId="32B149C3" w14:textId="77777777" w:rsidR="008707DC" w:rsidRDefault="008707DC" w:rsidP="0027736E">
      <w:pPr>
        <w:spacing w:line="480" w:lineRule="auto"/>
        <w:jc w:val="both"/>
        <w:rPr>
          <w:rFonts w:ascii="Arial" w:hAnsi="Arial" w:cs="Arial"/>
          <w:lang w:val="en-US"/>
        </w:rPr>
      </w:pPr>
      <w:r>
        <w:rPr>
          <w:rFonts w:ascii="Arial" w:hAnsi="Arial" w:cs="Arial"/>
          <w:lang w:val="en-US"/>
        </w:rPr>
        <w:t>______________________</w:t>
      </w:r>
    </w:p>
    <w:p w14:paraId="56677A15" w14:textId="77777777" w:rsidR="008707DC" w:rsidRPr="00940E6A" w:rsidRDefault="008707DC" w:rsidP="0027736E">
      <w:pPr>
        <w:spacing w:line="480" w:lineRule="auto"/>
        <w:jc w:val="both"/>
        <w:rPr>
          <w:rFonts w:ascii="Arial" w:hAnsi="Arial" w:cs="Arial"/>
          <w:b/>
          <w:bCs/>
          <w:lang w:val="en-US"/>
        </w:rPr>
      </w:pPr>
      <w:r w:rsidRPr="00940E6A">
        <w:rPr>
          <w:rFonts w:ascii="Arial" w:hAnsi="Arial" w:cs="Arial"/>
          <w:b/>
          <w:bCs/>
          <w:lang w:val="en-US"/>
        </w:rPr>
        <w:t>N MOLONY</w:t>
      </w:r>
    </w:p>
    <w:p w14:paraId="5AC352F7" w14:textId="77777777" w:rsidR="008707DC" w:rsidRDefault="008707DC" w:rsidP="0027736E">
      <w:pPr>
        <w:spacing w:line="480" w:lineRule="auto"/>
        <w:jc w:val="both"/>
        <w:rPr>
          <w:rFonts w:ascii="Arial" w:hAnsi="Arial" w:cs="Arial"/>
          <w:b/>
          <w:bCs/>
          <w:lang w:val="en-US"/>
        </w:rPr>
      </w:pPr>
      <w:r w:rsidRPr="00940E6A">
        <w:rPr>
          <w:rFonts w:ascii="Arial" w:hAnsi="Arial" w:cs="Arial"/>
          <w:b/>
          <w:bCs/>
          <w:lang w:val="en-US"/>
        </w:rPr>
        <w:t>ACTING JUDGE OF THE HIGH COURT</w:t>
      </w:r>
    </w:p>
    <w:p w14:paraId="1252B7AF" w14:textId="77777777" w:rsidR="008707DC" w:rsidRDefault="008707DC" w:rsidP="0027736E">
      <w:pPr>
        <w:spacing w:line="480" w:lineRule="auto"/>
        <w:jc w:val="both"/>
        <w:rPr>
          <w:rFonts w:ascii="Arial" w:hAnsi="Arial" w:cs="Arial"/>
          <w:b/>
          <w:bCs/>
          <w:lang w:val="en-US"/>
        </w:rPr>
      </w:pPr>
    </w:p>
    <w:p w14:paraId="7F21ED0B" w14:textId="77777777" w:rsidR="0027736E" w:rsidRDefault="0027736E" w:rsidP="0027736E">
      <w:pPr>
        <w:spacing w:line="480" w:lineRule="auto"/>
        <w:jc w:val="both"/>
        <w:rPr>
          <w:rFonts w:ascii="Arial" w:hAnsi="Arial" w:cs="Arial"/>
          <w:b/>
          <w:bCs/>
          <w:lang w:val="en-US"/>
        </w:rPr>
      </w:pPr>
    </w:p>
    <w:p w14:paraId="538FBB3A" w14:textId="77777777" w:rsidR="008707DC" w:rsidRDefault="008707DC" w:rsidP="0027736E">
      <w:pPr>
        <w:spacing w:line="480" w:lineRule="auto"/>
        <w:jc w:val="both"/>
        <w:rPr>
          <w:rFonts w:ascii="Arial" w:hAnsi="Arial" w:cs="Arial"/>
          <w:b/>
          <w:bCs/>
          <w:lang w:val="en-US"/>
        </w:rPr>
      </w:pPr>
      <w:r>
        <w:rPr>
          <w:rFonts w:ascii="Arial" w:hAnsi="Arial" w:cs="Arial"/>
          <w:b/>
          <w:bCs/>
          <w:lang w:val="en-US"/>
        </w:rPr>
        <w:t xml:space="preserve">On behalf of the applicants: </w:t>
      </w:r>
      <w:r>
        <w:rPr>
          <w:rFonts w:ascii="Arial" w:hAnsi="Arial" w:cs="Arial"/>
          <w:b/>
          <w:bCs/>
          <w:lang w:val="en-US"/>
        </w:rPr>
        <w:tab/>
      </w:r>
      <w:r w:rsidR="008D002E">
        <w:rPr>
          <w:rFonts w:ascii="Arial" w:hAnsi="Arial" w:cs="Arial"/>
          <w:b/>
          <w:bCs/>
          <w:lang w:val="en-US"/>
        </w:rPr>
        <w:t xml:space="preserve">Adv </w:t>
      </w:r>
      <w:proofErr w:type="spellStart"/>
      <w:r w:rsidR="008D002E">
        <w:rPr>
          <w:rFonts w:ascii="Arial" w:hAnsi="Arial" w:cs="Arial"/>
          <w:b/>
          <w:bCs/>
          <w:lang w:val="en-US"/>
        </w:rPr>
        <w:t>Nzuzo</w:t>
      </w:r>
      <w:proofErr w:type="spellEnd"/>
    </w:p>
    <w:p w14:paraId="4C0E8034" w14:textId="77777777" w:rsidR="008707DC" w:rsidRDefault="008707DC" w:rsidP="0027736E">
      <w:pPr>
        <w:spacing w:line="480" w:lineRule="auto"/>
        <w:jc w:val="both"/>
        <w:rPr>
          <w:rFonts w:ascii="Arial" w:hAnsi="Arial" w:cs="Arial"/>
          <w:b/>
          <w:bCs/>
          <w:lang w:val="en-US"/>
        </w:rPr>
      </w:pPr>
      <w:r>
        <w:rPr>
          <w:rFonts w:ascii="Arial" w:hAnsi="Arial" w:cs="Arial"/>
          <w:b/>
          <w:bCs/>
          <w:lang w:val="en-US"/>
        </w:rPr>
        <w:t xml:space="preserve">Instructed by: </w:t>
      </w:r>
      <w:r>
        <w:rPr>
          <w:rFonts w:ascii="Arial" w:hAnsi="Arial" w:cs="Arial"/>
          <w:b/>
          <w:bCs/>
          <w:lang w:val="en-US"/>
        </w:rPr>
        <w:tab/>
      </w:r>
      <w:r>
        <w:rPr>
          <w:rFonts w:ascii="Arial" w:hAnsi="Arial" w:cs="Arial"/>
          <w:b/>
          <w:bCs/>
          <w:lang w:val="en-US"/>
        </w:rPr>
        <w:tab/>
      </w:r>
      <w:r>
        <w:rPr>
          <w:rFonts w:ascii="Arial" w:hAnsi="Arial" w:cs="Arial"/>
          <w:b/>
          <w:bCs/>
          <w:lang w:val="en-US"/>
        </w:rPr>
        <w:tab/>
      </w:r>
      <w:proofErr w:type="spellStart"/>
      <w:r w:rsidR="008D002E">
        <w:rPr>
          <w:rFonts w:ascii="Arial" w:hAnsi="Arial" w:cs="Arial"/>
          <w:b/>
          <w:bCs/>
          <w:lang w:val="en-US"/>
        </w:rPr>
        <w:t>Sipunzi</w:t>
      </w:r>
      <w:proofErr w:type="spellEnd"/>
      <w:r w:rsidR="008D002E">
        <w:rPr>
          <w:rFonts w:ascii="Arial" w:hAnsi="Arial" w:cs="Arial"/>
          <w:b/>
          <w:bCs/>
          <w:lang w:val="en-US"/>
        </w:rPr>
        <w:t xml:space="preserve"> Attorneys</w:t>
      </w:r>
    </w:p>
    <w:p w14:paraId="63592673"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8D002E">
        <w:rPr>
          <w:rFonts w:ascii="Arial" w:hAnsi="Arial" w:cs="Arial"/>
          <w:b/>
          <w:bCs/>
          <w:lang w:val="en-US"/>
        </w:rPr>
        <w:t>Office No. 9, Beacon Park</w:t>
      </w:r>
    </w:p>
    <w:p w14:paraId="6E2508A1" w14:textId="77777777" w:rsidR="008D002E" w:rsidRDefault="008D002E"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89 </w:t>
      </w:r>
      <w:proofErr w:type="spellStart"/>
      <w:r>
        <w:rPr>
          <w:rFonts w:ascii="Arial" w:hAnsi="Arial" w:cs="Arial"/>
          <w:b/>
          <w:bCs/>
          <w:lang w:val="en-US"/>
        </w:rPr>
        <w:t>Beaconhurst</w:t>
      </w:r>
      <w:proofErr w:type="spellEnd"/>
      <w:r>
        <w:rPr>
          <w:rFonts w:ascii="Arial" w:hAnsi="Arial" w:cs="Arial"/>
          <w:b/>
          <w:bCs/>
          <w:lang w:val="en-US"/>
        </w:rPr>
        <w:t xml:space="preserve"> Drive</w:t>
      </w:r>
    </w:p>
    <w:p w14:paraId="1DC8F630"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8D002E">
        <w:rPr>
          <w:rFonts w:ascii="Arial" w:hAnsi="Arial" w:cs="Arial"/>
          <w:b/>
          <w:bCs/>
          <w:lang w:val="en-US"/>
        </w:rPr>
        <w:t>Beacon Bay</w:t>
      </w:r>
    </w:p>
    <w:p w14:paraId="41993FEB"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EAST LONDON</w:t>
      </w:r>
    </w:p>
    <w:p w14:paraId="2F35E1DB"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Tel: 0</w:t>
      </w:r>
      <w:r w:rsidR="008D002E">
        <w:rPr>
          <w:rFonts w:ascii="Arial" w:hAnsi="Arial" w:cs="Arial"/>
          <w:b/>
          <w:bCs/>
          <w:lang w:val="en-US"/>
        </w:rPr>
        <w:t>43 748 1828</w:t>
      </w:r>
    </w:p>
    <w:p w14:paraId="41264CF9"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Email</w:t>
      </w:r>
      <w:r w:rsidR="008D002E">
        <w:rPr>
          <w:rFonts w:ascii="Arial" w:hAnsi="Arial" w:cs="Arial"/>
          <w:b/>
          <w:bCs/>
          <w:lang w:val="en-US"/>
        </w:rPr>
        <w:t xml:space="preserve">: </w:t>
      </w:r>
      <w:hyperlink r:id="rId12" w:history="1">
        <w:r w:rsidR="008D002E" w:rsidRPr="00B26832">
          <w:rPr>
            <w:rStyle w:val="Hyperlink"/>
            <w:rFonts w:ascii="Arial" w:hAnsi="Arial" w:cs="Arial"/>
            <w:b/>
            <w:bCs/>
            <w:lang w:val="en-US"/>
          </w:rPr>
          <w:t>khakhas786@gmail.com</w:t>
        </w:r>
      </w:hyperlink>
      <w:r w:rsidR="008D002E">
        <w:rPr>
          <w:rFonts w:ascii="Arial" w:hAnsi="Arial" w:cs="Arial"/>
          <w:b/>
          <w:bCs/>
          <w:lang w:val="en-US"/>
        </w:rPr>
        <w:t xml:space="preserve"> </w:t>
      </w:r>
    </w:p>
    <w:p w14:paraId="7563D20F" w14:textId="77777777" w:rsidR="008707DC" w:rsidRDefault="008707DC" w:rsidP="0027736E">
      <w:pPr>
        <w:spacing w:line="480" w:lineRule="auto"/>
        <w:jc w:val="both"/>
        <w:rPr>
          <w:rFonts w:ascii="Arial" w:hAnsi="Arial" w:cs="Arial"/>
          <w:b/>
          <w:bCs/>
          <w:lang w:val="en-US"/>
        </w:rPr>
      </w:pPr>
    </w:p>
    <w:p w14:paraId="117E6EFB" w14:textId="77777777" w:rsidR="008D002E" w:rsidRDefault="008707DC" w:rsidP="0027736E">
      <w:pPr>
        <w:spacing w:line="480" w:lineRule="auto"/>
        <w:jc w:val="both"/>
        <w:rPr>
          <w:rFonts w:ascii="Arial" w:hAnsi="Arial" w:cs="Arial"/>
          <w:b/>
          <w:bCs/>
          <w:lang w:val="en-US"/>
        </w:rPr>
      </w:pPr>
      <w:r>
        <w:rPr>
          <w:rFonts w:ascii="Arial" w:hAnsi="Arial" w:cs="Arial"/>
          <w:b/>
          <w:bCs/>
          <w:lang w:val="en-US"/>
        </w:rPr>
        <w:t>On behalf of the first</w:t>
      </w:r>
      <w:r w:rsidR="008D002E">
        <w:rPr>
          <w:rFonts w:ascii="Arial" w:hAnsi="Arial" w:cs="Arial"/>
          <w:b/>
          <w:bCs/>
          <w:lang w:val="en-US"/>
        </w:rPr>
        <w:t xml:space="preserve"> and second</w:t>
      </w:r>
      <w:r>
        <w:rPr>
          <w:rFonts w:ascii="Arial" w:hAnsi="Arial" w:cs="Arial"/>
          <w:b/>
          <w:bCs/>
          <w:lang w:val="en-US"/>
        </w:rPr>
        <w:t xml:space="preserve"> </w:t>
      </w:r>
    </w:p>
    <w:p w14:paraId="3A744B75" w14:textId="77777777" w:rsidR="008707DC" w:rsidRDefault="008707DC" w:rsidP="0027736E">
      <w:pPr>
        <w:spacing w:line="480" w:lineRule="auto"/>
        <w:jc w:val="both"/>
        <w:rPr>
          <w:rFonts w:ascii="Arial" w:hAnsi="Arial" w:cs="Arial"/>
          <w:b/>
          <w:bCs/>
          <w:lang w:val="en-US"/>
        </w:rPr>
      </w:pPr>
      <w:r>
        <w:rPr>
          <w:rFonts w:ascii="Arial" w:hAnsi="Arial" w:cs="Arial"/>
          <w:b/>
          <w:bCs/>
          <w:lang w:val="en-US"/>
        </w:rPr>
        <w:t>respondents:</w:t>
      </w:r>
      <w:r>
        <w:rPr>
          <w:rFonts w:ascii="Arial" w:hAnsi="Arial" w:cs="Arial"/>
          <w:b/>
          <w:bCs/>
          <w:lang w:val="en-US"/>
        </w:rPr>
        <w:tab/>
      </w:r>
      <w:r>
        <w:rPr>
          <w:rFonts w:ascii="Arial" w:hAnsi="Arial" w:cs="Arial"/>
          <w:b/>
          <w:bCs/>
          <w:lang w:val="en-US"/>
        </w:rPr>
        <w:tab/>
      </w:r>
      <w:r w:rsidR="008D002E">
        <w:rPr>
          <w:rFonts w:ascii="Arial" w:hAnsi="Arial" w:cs="Arial"/>
          <w:b/>
          <w:bCs/>
          <w:lang w:val="en-US"/>
        </w:rPr>
        <w:tab/>
        <w:t>Adv Burger</w:t>
      </w:r>
    </w:p>
    <w:p w14:paraId="1A7F8ACB" w14:textId="77777777" w:rsidR="008707DC" w:rsidRDefault="008707DC" w:rsidP="0027736E">
      <w:pPr>
        <w:spacing w:line="480" w:lineRule="auto"/>
        <w:jc w:val="both"/>
        <w:rPr>
          <w:rFonts w:ascii="Arial" w:hAnsi="Arial" w:cs="Arial"/>
          <w:b/>
          <w:bCs/>
          <w:lang w:val="en-US"/>
        </w:rPr>
      </w:pPr>
    </w:p>
    <w:p w14:paraId="29FC4592" w14:textId="77777777" w:rsidR="008707DC" w:rsidRDefault="008707DC" w:rsidP="0027736E">
      <w:pPr>
        <w:spacing w:line="480" w:lineRule="auto"/>
        <w:jc w:val="both"/>
        <w:rPr>
          <w:rFonts w:ascii="Arial" w:hAnsi="Arial" w:cs="Arial"/>
          <w:b/>
          <w:bCs/>
          <w:lang w:val="en-US"/>
        </w:rPr>
      </w:pPr>
      <w:r>
        <w:rPr>
          <w:rFonts w:ascii="Arial" w:hAnsi="Arial" w:cs="Arial"/>
          <w:b/>
          <w:bCs/>
          <w:lang w:val="en-US"/>
        </w:rPr>
        <w:t>Instructed by:</w:t>
      </w:r>
      <w:r>
        <w:rPr>
          <w:rFonts w:ascii="Arial" w:hAnsi="Arial" w:cs="Arial"/>
          <w:b/>
          <w:bCs/>
          <w:lang w:val="en-US"/>
        </w:rPr>
        <w:tab/>
      </w:r>
      <w:r>
        <w:rPr>
          <w:rFonts w:ascii="Arial" w:hAnsi="Arial" w:cs="Arial"/>
          <w:b/>
          <w:bCs/>
          <w:lang w:val="en-US"/>
        </w:rPr>
        <w:tab/>
      </w:r>
      <w:r>
        <w:rPr>
          <w:rFonts w:ascii="Arial" w:hAnsi="Arial" w:cs="Arial"/>
          <w:b/>
          <w:bCs/>
          <w:lang w:val="en-US"/>
        </w:rPr>
        <w:tab/>
      </w:r>
      <w:r w:rsidR="008D002E">
        <w:rPr>
          <w:rFonts w:ascii="Arial" w:hAnsi="Arial" w:cs="Arial"/>
          <w:b/>
          <w:bCs/>
          <w:lang w:val="en-US"/>
        </w:rPr>
        <w:t>Deon Stander Attorney</w:t>
      </w:r>
    </w:p>
    <w:p w14:paraId="4E05B1E1" w14:textId="77777777" w:rsidR="008707DC" w:rsidRDefault="008707DC" w:rsidP="0027736E">
      <w:pPr>
        <w:spacing w:line="480" w:lineRule="auto"/>
        <w:jc w:val="both"/>
        <w:rPr>
          <w:rFonts w:ascii="Arial" w:hAnsi="Arial" w:cs="Arial"/>
          <w:b/>
          <w:bCs/>
          <w:lang w:val="en-US"/>
        </w:rPr>
      </w:pPr>
      <w:r>
        <w:rPr>
          <w:rFonts w:ascii="Arial" w:hAnsi="Arial" w:cs="Arial"/>
          <w:b/>
          <w:bCs/>
          <w:lang w:val="en-US"/>
        </w:rPr>
        <w:lastRenderedPageBreak/>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8D002E">
        <w:rPr>
          <w:rFonts w:ascii="Arial" w:hAnsi="Arial" w:cs="Arial"/>
          <w:b/>
          <w:bCs/>
          <w:lang w:val="en-US"/>
        </w:rPr>
        <w:t>40 Oakhill Road</w:t>
      </w:r>
    </w:p>
    <w:p w14:paraId="4B85D549"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8D002E">
        <w:rPr>
          <w:rFonts w:ascii="Arial" w:hAnsi="Arial" w:cs="Arial"/>
          <w:b/>
          <w:bCs/>
          <w:lang w:val="en-US"/>
        </w:rPr>
        <w:t>Berea</w:t>
      </w:r>
    </w:p>
    <w:p w14:paraId="68543579"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EAST LONDON</w:t>
      </w:r>
    </w:p>
    <w:p w14:paraId="019448A4" w14:textId="77777777" w:rsidR="008707DC"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Tel: 0</w:t>
      </w:r>
      <w:r w:rsidR="008D002E">
        <w:rPr>
          <w:rFonts w:ascii="Arial" w:hAnsi="Arial" w:cs="Arial"/>
          <w:b/>
          <w:bCs/>
          <w:lang w:val="en-US"/>
        </w:rPr>
        <w:t>43 721 1929</w:t>
      </w:r>
    </w:p>
    <w:p w14:paraId="30B35B59" w14:textId="77777777" w:rsidR="008707DC" w:rsidRPr="008D002E" w:rsidRDefault="008707DC" w:rsidP="0027736E">
      <w:pPr>
        <w:spacing w:line="480" w:lineRule="auto"/>
        <w:jc w:val="both"/>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 xml:space="preserve">Email: </w:t>
      </w:r>
      <w:hyperlink r:id="rId13" w:history="1">
        <w:r w:rsidR="008D002E" w:rsidRPr="00B26832">
          <w:rPr>
            <w:rStyle w:val="Hyperlink"/>
            <w:rFonts w:ascii="Arial" w:hAnsi="Arial" w:cs="Arial"/>
            <w:b/>
            <w:bCs/>
          </w:rPr>
          <w:t>deonstander01@gmail.com</w:t>
        </w:r>
      </w:hyperlink>
      <w:r w:rsidR="008D002E">
        <w:rPr>
          <w:rFonts w:ascii="Arial" w:hAnsi="Arial" w:cs="Arial"/>
          <w:b/>
          <w:bCs/>
        </w:rPr>
        <w:t xml:space="preserve"> </w:t>
      </w:r>
    </w:p>
    <w:p w14:paraId="6BC43FC5" w14:textId="77777777" w:rsidR="008707DC" w:rsidRDefault="008707DC" w:rsidP="0027736E">
      <w:pPr>
        <w:spacing w:line="480" w:lineRule="auto"/>
        <w:jc w:val="both"/>
        <w:rPr>
          <w:rFonts w:ascii="Arial" w:hAnsi="Arial" w:cs="Arial"/>
          <w:b/>
          <w:bCs/>
          <w:lang w:val="en-US"/>
        </w:rPr>
      </w:pPr>
    </w:p>
    <w:p w14:paraId="62CF571F" w14:textId="77777777" w:rsidR="008707DC" w:rsidRPr="008707DC" w:rsidRDefault="008707DC" w:rsidP="0027736E">
      <w:pPr>
        <w:spacing w:line="480" w:lineRule="auto"/>
        <w:ind w:left="360"/>
        <w:jc w:val="both"/>
        <w:rPr>
          <w:rFonts w:ascii="Arial" w:hAnsi="Arial" w:cs="Arial"/>
          <w:color w:val="000000" w:themeColor="text1"/>
          <w:lang w:val="en-US"/>
        </w:rPr>
      </w:pPr>
    </w:p>
    <w:sectPr w:rsidR="008707DC" w:rsidRPr="008707DC" w:rsidSect="00DC5DED">
      <w:headerReference w:type="even" r:id="rId14"/>
      <w:head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DD32" w14:textId="77777777" w:rsidR="0054671E" w:rsidRDefault="0054671E" w:rsidP="00DC5DED">
      <w:r>
        <w:separator/>
      </w:r>
    </w:p>
  </w:endnote>
  <w:endnote w:type="continuationSeparator" w:id="0">
    <w:p w14:paraId="7D3FBA85" w14:textId="77777777" w:rsidR="0054671E" w:rsidRDefault="0054671E" w:rsidP="00DC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DB45" w14:textId="77777777" w:rsidR="0054671E" w:rsidRDefault="0054671E" w:rsidP="00DC5DED">
      <w:r>
        <w:separator/>
      </w:r>
    </w:p>
  </w:footnote>
  <w:footnote w:type="continuationSeparator" w:id="0">
    <w:p w14:paraId="6DD18C17" w14:textId="77777777" w:rsidR="0054671E" w:rsidRDefault="0054671E" w:rsidP="00DC5DED">
      <w:r>
        <w:continuationSeparator/>
      </w:r>
    </w:p>
  </w:footnote>
  <w:footnote w:id="1">
    <w:p w14:paraId="26DC6787" w14:textId="77777777" w:rsidR="00430500" w:rsidRPr="00430500" w:rsidRDefault="00430500">
      <w:pPr>
        <w:pStyle w:val="FootnoteText"/>
        <w:rPr>
          <w:lang w:val="en-US"/>
        </w:rPr>
      </w:pPr>
      <w:r>
        <w:rPr>
          <w:rStyle w:val="FootnoteReference"/>
        </w:rPr>
        <w:footnoteRef/>
      </w:r>
      <w:r>
        <w:t xml:space="preserve"> </w:t>
      </w:r>
      <w:r>
        <w:rPr>
          <w:lang w:val="en-US"/>
        </w:rPr>
        <w:t>Incorrectly so, as the first respondent is a close corporation.</w:t>
      </w:r>
    </w:p>
  </w:footnote>
  <w:footnote w:id="2">
    <w:p w14:paraId="707C685A" w14:textId="77777777" w:rsidR="00E1434C" w:rsidRPr="00E1434C" w:rsidRDefault="00E1434C" w:rsidP="00AE634E">
      <w:pPr>
        <w:pStyle w:val="FootnoteText"/>
        <w:jc w:val="both"/>
        <w:rPr>
          <w:lang w:val="en-US"/>
        </w:rPr>
      </w:pPr>
      <w:r>
        <w:rPr>
          <w:rStyle w:val="FootnoteReference"/>
        </w:rPr>
        <w:footnoteRef/>
      </w:r>
      <w:r>
        <w:t xml:space="preserve"> </w:t>
      </w:r>
      <w:r>
        <w:rPr>
          <w:lang w:val="en-US"/>
        </w:rPr>
        <w:t>According to the judgment of Jolwana J</w:t>
      </w:r>
      <w:r w:rsidR="00AE634E">
        <w:rPr>
          <w:lang w:val="en-US"/>
        </w:rPr>
        <w:t xml:space="preserve"> in the first action</w:t>
      </w:r>
      <w:r w:rsidR="00CF682A">
        <w:rPr>
          <w:lang w:val="en-US"/>
        </w:rPr>
        <w:t xml:space="preserve"> (in paragraph 11 thereof)</w:t>
      </w:r>
      <w:r>
        <w:rPr>
          <w:lang w:val="en-US"/>
        </w:rPr>
        <w:t xml:space="preserve">, this was the entity reflected as the landlord in the lease agreement presented to the applicant </w:t>
      </w:r>
      <w:r w:rsidR="00CF682A">
        <w:rPr>
          <w:lang w:val="en-US"/>
        </w:rPr>
        <w:t xml:space="preserve">by the second respondent, </w:t>
      </w:r>
      <w:r>
        <w:rPr>
          <w:lang w:val="en-US"/>
        </w:rPr>
        <w:t>which the applicant refused to sign.</w:t>
      </w:r>
    </w:p>
  </w:footnote>
  <w:footnote w:id="3">
    <w:p w14:paraId="6FBC3B61" w14:textId="77777777" w:rsidR="00341D3F" w:rsidRPr="00341D3F" w:rsidRDefault="00341D3F">
      <w:pPr>
        <w:pStyle w:val="FootnoteText"/>
        <w:rPr>
          <w:lang w:val="en-US"/>
        </w:rPr>
      </w:pPr>
      <w:r>
        <w:rPr>
          <w:rStyle w:val="FootnoteReference"/>
        </w:rPr>
        <w:footnoteRef/>
      </w:r>
      <w:r>
        <w:t xml:space="preserve"> </w:t>
      </w:r>
      <w:r>
        <w:rPr>
          <w:lang w:val="en-US"/>
        </w:rPr>
        <w:t>See paragraph 14</w:t>
      </w:r>
      <w:r w:rsidR="00AE634E">
        <w:rPr>
          <w:lang w:val="en-US"/>
        </w:rPr>
        <w:t xml:space="preserve"> of the judgment in the first action</w:t>
      </w:r>
      <w:r>
        <w:rPr>
          <w:lang w:val="en-US"/>
        </w:rPr>
        <w:t>.</w:t>
      </w:r>
    </w:p>
  </w:footnote>
  <w:footnote w:id="4">
    <w:p w14:paraId="233EEDA7" w14:textId="77777777" w:rsidR="00DD4FBD" w:rsidRPr="00DD4FBD" w:rsidRDefault="00DD4FBD">
      <w:pPr>
        <w:pStyle w:val="FootnoteText"/>
        <w:rPr>
          <w:lang w:val="en-US"/>
        </w:rPr>
      </w:pPr>
      <w:r>
        <w:rPr>
          <w:rStyle w:val="FootnoteReference"/>
        </w:rPr>
        <w:footnoteRef/>
      </w:r>
      <w:r>
        <w:t xml:space="preserve"> </w:t>
      </w:r>
      <w:r>
        <w:rPr>
          <w:lang w:val="en-US"/>
        </w:rPr>
        <w:t>1995 (4) SA 790 (A).</w:t>
      </w:r>
    </w:p>
  </w:footnote>
  <w:footnote w:id="5">
    <w:p w14:paraId="402FEB6C" w14:textId="77777777" w:rsidR="00DD4FBD" w:rsidRPr="00DD4FBD" w:rsidRDefault="00DD4FBD">
      <w:pPr>
        <w:pStyle w:val="FootnoteText"/>
        <w:rPr>
          <w:lang w:val="en-US"/>
        </w:rPr>
      </w:pPr>
      <w:r>
        <w:rPr>
          <w:rStyle w:val="FootnoteReference"/>
        </w:rPr>
        <w:footnoteRef/>
      </w:r>
      <w:r>
        <w:t xml:space="preserve"> </w:t>
      </w:r>
      <w:r>
        <w:rPr>
          <w:i/>
          <w:iCs/>
          <w:lang w:val="en-US"/>
        </w:rPr>
        <w:t>Supra</w:t>
      </w:r>
      <w:r>
        <w:rPr>
          <w:lang w:val="en-US"/>
        </w:rPr>
        <w:t xml:space="preserve"> at pp. 802</w:t>
      </w:r>
      <w:r w:rsidR="00681CBA">
        <w:rPr>
          <w:lang w:val="en-US"/>
        </w:rPr>
        <w:t>E</w:t>
      </w:r>
      <w:r>
        <w:rPr>
          <w:lang w:val="en-US"/>
        </w:rPr>
        <w:t xml:space="preserve"> – 803</w:t>
      </w:r>
      <w:r w:rsidR="00681CBA">
        <w:rPr>
          <w:lang w:val="en-US"/>
        </w:rPr>
        <w:t>B</w:t>
      </w:r>
      <w:r>
        <w:rPr>
          <w:lang w:val="en-US"/>
        </w:rPr>
        <w:t>.</w:t>
      </w:r>
    </w:p>
  </w:footnote>
  <w:footnote w:id="6">
    <w:p w14:paraId="09675A37" w14:textId="77777777" w:rsidR="00DD4FBD" w:rsidRPr="00681CBA" w:rsidRDefault="00DD4FBD">
      <w:pPr>
        <w:pStyle w:val="FootnoteText"/>
        <w:rPr>
          <w:lang w:val="en-US"/>
        </w:rPr>
      </w:pPr>
      <w:r>
        <w:rPr>
          <w:rStyle w:val="FootnoteReference"/>
        </w:rPr>
        <w:footnoteRef/>
      </w:r>
      <w:r>
        <w:t xml:space="preserve"> </w:t>
      </w:r>
      <w:r w:rsidR="00681CBA">
        <w:rPr>
          <w:i/>
          <w:iCs/>
          <w:lang w:val="en-US"/>
        </w:rPr>
        <w:t>Supra</w:t>
      </w:r>
      <w:r w:rsidR="00681CBA">
        <w:rPr>
          <w:lang w:val="en-US"/>
        </w:rPr>
        <w:t xml:space="preserve"> at pp. 803C – 804D.</w:t>
      </w:r>
    </w:p>
  </w:footnote>
  <w:footnote w:id="7">
    <w:p w14:paraId="5CFCAA7F" w14:textId="77777777" w:rsidR="00BD76DF" w:rsidRPr="00BD76DF" w:rsidRDefault="00BD76DF">
      <w:pPr>
        <w:pStyle w:val="FootnoteText"/>
        <w:rPr>
          <w:lang w:val="en-US"/>
        </w:rPr>
      </w:pPr>
      <w:r>
        <w:rPr>
          <w:rStyle w:val="FootnoteReference"/>
        </w:rPr>
        <w:footnoteRef/>
      </w:r>
      <w:r>
        <w:t xml:space="preserve"> </w:t>
      </w:r>
      <w:r>
        <w:rPr>
          <w:lang w:val="en-US"/>
        </w:rPr>
        <w:t>My emphasis.</w:t>
      </w:r>
    </w:p>
  </w:footnote>
  <w:footnote w:id="8">
    <w:p w14:paraId="6425C504" w14:textId="77777777" w:rsidR="00896664" w:rsidRPr="00896664" w:rsidRDefault="00896664">
      <w:pPr>
        <w:pStyle w:val="FootnoteText"/>
        <w:rPr>
          <w:lang w:val="en-US"/>
        </w:rPr>
      </w:pPr>
      <w:r>
        <w:rPr>
          <w:rStyle w:val="FootnoteReference"/>
        </w:rPr>
        <w:footnoteRef/>
      </w:r>
      <w:r>
        <w:t xml:space="preserve"> </w:t>
      </w:r>
      <w:r>
        <w:rPr>
          <w:lang w:val="en-US"/>
        </w:rPr>
        <w:t>2014 (5) SA 297 (SCA).</w:t>
      </w:r>
    </w:p>
  </w:footnote>
  <w:footnote w:id="9">
    <w:p w14:paraId="18042676" w14:textId="77777777" w:rsidR="00CF3C23" w:rsidRPr="00CF3C23" w:rsidRDefault="00CF3C23">
      <w:pPr>
        <w:pStyle w:val="FootnoteText"/>
        <w:rPr>
          <w:lang w:val="en-US"/>
        </w:rPr>
      </w:pPr>
      <w:r>
        <w:rPr>
          <w:rStyle w:val="FootnoteReference"/>
        </w:rPr>
        <w:footnoteRef/>
      </w:r>
      <w:r>
        <w:t xml:space="preserve"> </w:t>
      </w:r>
      <w:r w:rsidR="0014776C">
        <w:rPr>
          <w:lang w:val="en-US"/>
        </w:rPr>
        <w:t>See further</w:t>
      </w:r>
      <w:r>
        <w:rPr>
          <w:lang w:val="en-US"/>
        </w:rPr>
        <w:t xml:space="preserve"> </w:t>
      </w:r>
      <w:r w:rsidRPr="00B34564">
        <w:rPr>
          <w:i/>
          <w:iCs/>
          <w:lang w:val="en-US"/>
        </w:rPr>
        <w:t>Pepkor Holdings Ltd and Others v AJVH Holdings (Pty) Ltd and Others</w:t>
      </w:r>
      <w:r>
        <w:rPr>
          <w:lang w:val="en-US"/>
        </w:rPr>
        <w:t xml:space="preserve"> 2021 (5) SA 115 (SCA) at para 39.</w:t>
      </w:r>
    </w:p>
  </w:footnote>
  <w:footnote w:id="10">
    <w:p w14:paraId="724447F1" w14:textId="77777777" w:rsidR="007C5332" w:rsidRPr="007C5332" w:rsidRDefault="007C5332">
      <w:pPr>
        <w:pStyle w:val="FootnoteText"/>
        <w:rPr>
          <w:lang w:val="en-US"/>
        </w:rPr>
      </w:pPr>
      <w:r>
        <w:rPr>
          <w:rStyle w:val="FootnoteReference"/>
        </w:rPr>
        <w:footnoteRef/>
      </w:r>
      <w:r>
        <w:t xml:space="preserve"> </w:t>
      </w:r>
      <w:r>
        <w:rPr>
          <w:lang w:val="en-US"/>
        </w:rPr>
        <w:t>See para 25</w:t>
      </w:r>
      <w:r w:rsidR="00BD76DF">
        <w:rPr>
          <w:lang w:val="en-US"/>
        </w:rPr>
        <w:t xml:space="preserve"> of the judgment in the first action.</w:t>
      </w:r>
    </w:p>
  </w:footnote>
  <w:footnote w:id="11">
    <w:p w14:paraId="4088E8E7" w14:textId="77777777" w:rsidR="00732C70" w:rsidRPr="00732C70" w:rsidRDefault="00732C70">
      <w:pPr>
        <w:pStyle w:val="FootnoteText"/>
        <w:rPr>
          <w:lang w:val="en-US"/>
        </w:rPr>
      </w:pPr>
      <w:r>
        <w:rPr>
          <w:rStyle w:val="FootnoteReference"/>
        </w:rPr>
        <w:footnoteRef/>
      </w:r>
      <w:r>
        <w:t xml:space="preserve"> </w:t>
      </w:r>
      <w:r>
        <w:rPr>
          <w:lang w:val="en-US"/>
        </w:rPr>
        <w:t xml:space="preserve">See </w:t>
      </w:r>
      <w:r w:rsidRPr="00B34564">
        <w:rPr>
          <w:i/>
          <w:iCs/>
          <w:lang w:val="en-US"/>
        </w:rPr>
        <w:t>Cape Pacific</w:t>
      </w:r>
      <w:r>
        <w:rPr>
          <w:lang w:val="en-US"/>
        </w:rPr>
        <w:t xml:space="preserve"> (</w:t>
      </w:r>
      <w:r w:rsidRPr="00732C70">
        <w:rPr>
          <w:i/>
          <w:iCs/>
          <w:lang w:val="en-US"/>
        </w:rPr>
        <w:t>supra</w:t>
      </w:r>
      <w:r>
        <w:rPr>
          <w:lang w:val="en-US"/>
        </w:rPr>
        <w:t>) at p. 805G - 806C.</w:t>
      </w:r>
      <w:r w:rsidR="005167F1">
        <w:rPr>
          <w:lang w:val="en-US"/>
        </w:rPr>
        <w:t xml:space="preserve">  </w:t>
      </w:r>
    </w:p>
  </w:footnote>
  <w:footnote w:id="12">
    <w:p w14:paraId="5F5BC59A" w14:textId="5CD6260A" w:rsidR="004C253C" w:rsidRPr="00F51AB7" w:rsidRDefault="004C253C" w:rsidP="005B026C">
      <w:pPr>
        <w:pStyle w:val="FootnoteText"/>
        <w:jc w:val="both"/>
        <w:rPr>
          <w:lang w:val="en-US"/>
        </w:rPr>
      </w:pPr>
      <w:r>
        <w:rPr>
          <w:rStyle w:val="FootnoteReference"/>
        </w:rPr>
        <w:footnoteRef/>
      </w:r>
      <w:r>
        <w:t xml:space="preserve"> </w:t>
      </w:r>
      <w:r>
        <w:rPr>
          <w:lang w:val="en-US"/>
        </w:rPr>
        <w:t xml:space="preserve">See </w:t>
      </w:r>
      <w:r w:rsidRPr="00B34564">
        <w:rPr>
          <w:i/>
          <w:iCs/>
          <w:lang w:val="en-US"/>
        </w:rPr>
        <w:t>L &amp; P Plant Hire Bk en Andere v Bosch en Andere</w:t>
      </w:r>
      <w:r>
        <w:rPr>
          <w:lang w:val="en-US"/>
        </w:rPr>
        <w:t xml:space="preserve"> 2002 (2</w:t>
      </w:r>
      <w:r w:rsidR="00F51AB7">
        <w:rPr>
          <w:lang w:val="en-US"/>
        </w:rPr>
        <w:t>)</w:t>
      </w:r>
      <w:r>
        <w:rPr>
          <w:lang w:val="en-US"/>
        </w:rPr>
        <w:t xml:space="preserve"> SA 662 (SCA) at the headnote and paras 39 – 40</w:t>
      </w:r>
      <w:r w:rsidR="00F51AB7">
        <w:rPr>
          <w:lang w:val="en-US"/>
        </w:rPr>
        <w:t xml:space="preserve"> and </w:t>
      </w:r>
      <w:r w:rsidR="00F51AB7">
        <w:rPr>
          <w:i/>
          <w:iCs/>
          <w:lang w:val="en-US"/>
        </w:rPr>
        <w:t xml:space="preserve">Saincic and Others v Industro-Clean (Pty) Ltd and Another </w:t>
      </w:r>
      <w:r w:rsidR="00F51AB7">
        <w:rPr>
          <w:lang w:val="en-US"/>
        </w:rPr>
        <w:t>2009 (1) SA 538 (SCA) at paras 26 – 30.</w:t>
      </w:r>
    </w:p>
  </w:footnote>
  <w:footnote w:id="13">
    <w:p w14:paraId="5EB87D0F" w14:textId="77777777" w:rsidR="00BD76DF" w:rsidRPr="008D002E" w:rsidRDefault="00BD76DF" w:rsidP="005B026C">
      <w:pPr>
        <w:pStyle w:val="FootnoteText"/>
        <w:jc w:val="both"/>
        <w:rPr>
          <w:lang w:val="en-US"/>
        </w:rPr>
      </w:pPr>
      <w:r>
        <w:rPr>
          <w:rStyle w:val="FootnoteReference"/>
        </w:rPr>
        <w:footnoteRef/>
      </w:r>
      <w:r>
        <w:t xml:space="preserve"> </w:t>
      </w:r>
      <w:r w:rsidR="008D002E">
        <w:t xml:space="preserve">These circumstances are, in my view, distinguishable from the circumstances in the </w:t>
      </w:r>
      <w:r w:rsidR="008D002E" w:rsidRPr="00B34564">
        <w:rPr>
          <w:i/>
          <w:iCs/>
        </w:rPr>
        <w:t>Cape Pacific</w:t>
      </w:r>
      <w:r w:rsidR="008D002E">
        <w:t xml:space="preserve"> matter (</w:t>
      </w:r>
      <w:r w:rsidR="008D002E" w:rsidRPr="00BA475B">
        <w:rPr>
          <w:i/>
          <w:iCs/>
        </w:rPr>
        <w:t>supra</w:t>
      </w:r>
      <w:r w:rsidR="008D002E">
        <w:t xml:space="preserve"> at p. 806</w:t>
      </w:r>
      <w:r w:rsidR="00732C70">
        <w:t>C</w:t>
      </w:r>
      <w:r w:rsidR="008D002E">
        <w:t>-</w:t>
      </w:r>
      <w:r w:rsidR="00BA475B">
        <w:t>J)</w:t>
      </w:r>
      <w:r w:rsidR="008D002E">
        <w:t xml:space="preserve">, in which a factual finding made in a previous action was combined with a finding in a subsequent action (which did not involve all of the same parties), and thus given effect to in the subsequent action.  </w:t>
      </w:r>
    </w:p>
  </w:footnote>
  <w:footnote w:id="14">
    <w:p w14:paraId="6068F171" w14:textId="2266FD92" w:rsidR="00D67248" w:rsidRPr="00D67248" w:rsidRDefault="00D67248" w:rsidP="00E25925">
      <w:pPr>
        <w:pStyle w:val="FootnoteText"/>
        <w:jc w:val="both"/>
        <w:rPr>
          <w:lang w:val="en-US"/>
        </w:rPr>
      </w:pPr>
      <w:r>
        <w:rPr>
          <w:rStyle w:val="FootnoteReference"/>
        </w:rPr>
        <w:footnoteRef/>
      </w:r>
      <w:r>
        <w:t xml:space="preserve"> </w:t>
      </w:r>
      <w:r>
        <w:rPr>
          <w:lang w:val="en-US"/>
        </w:rPr>
        <w:t xml:space="preserve">See </w:t>
      </w:r>
      <w:r>
        <w:rPr>
          <w:i/>
          <w:iCs/>
          <w:lang w:val="en-US"/>
        </w:rPr>
        <w:t xml:space="preserve">Howard v Herrigel and Another NNO </w:t>
      </w:r>
      <w:r>
        <w:rPr>
          <w:lang w:val="en-US"/>
        </w:rPr>
        <w:t xml:space="preserve">1991 (2) SA 660 (A) at 664 – 665 and </w:t>
      </w:r>
      <w:r>
        <w:rPr>
          <w:i/>
          <w:iCs/>
          <w:lang w:val="en-US"/>
        </w:rPr>
        <w:t xml:space="preserve">L &amp; P Plant Hire (supra) </w:t>
      </w:r>
      <w:r>
        <w:rPr>
          <w:lang w:val="en-US"/>
        </w:rPr>
        <w:t>at para 27.</w:t>
      </w:r>
    </w:p>
  </w:footnote>
  <w:footnote w:id="15">
    <w:p w14:paraId="1059A9F8" w14:textId="77777777" w:rsidR="005348CD" w:rsidRPr="00B34564" w:rsidRDefault="005348CD" w:rsidP="005348CD">
      <w:pPr>
        <w:pStyle w:val="FootnoteText"/>
        <w:jc w:val="both"/>
        <w:rPr>
          <w:lang w:val="en-US"/>
        </w:rPr>
      </w:pPr>
      <w:r>
        <w:rPr>
          <w:rStyle w:val="FootnoteReference"/>
        </w:rPr>
        <w:footnoteRef/>
      </w:r>
      <w:r>
        <w:t xml:space="preserve"> </w:t>
      </w:r>
      <w:r>
        <w:rPr>
          <w:lang w:val="en-US"/>
        </w:rPr>
        <w:t>There is, at best, a passing reference to such a referral (as an alternative to dismissal) in the first respondent’s answering affidavit.</w:t>
      </w:r>
    </w:p>
  </w:footnote>
  <w:footnote w:id="16">
    <w:p w14:paraId="6E38D505" w14:textId="2E1F6A77" w:rsidR="005348CD" w:rsidRPr="005348CD" w:rsidRDefault="005348CD" w:rsidP="005348CD">
      <w:pPr>
        <w:pStyle w:val="FootnoteText"/>
        <w:jc w:val="both"/>
        <w:rPr>
          <w:lang w:val="en-US"/>
        </w:rPr>
      </w:pPr>
      <w:r>
        <w:rPr>
          <w:rStyle w:val="FootnoteReference"/>
        </w:rPr>
        <w:footnoteRef/>
      </w:r>
      <w:r>
        <w:t xml:space="preserve"> </w:t>
      </w:r>
      <w:r>
        <w:rPr>
          <w:lang w:val="en-US"/>
        </w:rPr>
        <w:t xml:space="preserve">See </w:t>
      </w:r>
      <w:r>
        <w:rPr>
          <w:i/>
          <w:iCs/>
          <w:lang w:val="en-US"/>
        </w:rPr>
        <w:t>Santino Publishers CC v Waylite Marketing CC</w:t>
      </w:r>
      <w:r>
        <w:rPr>
          <w:lang w:val="en-US"/>
        </w:rPr>
        <w:t xml:space="preserve"> 2010 (2) SA 53 (GSJ) at paras 2 – 5.</w:t>
      </w:r>
    </w:p>
  </w:footnote>
  <w:footnote w:id="17">
    <w:p w14:paraId="261305A7" w14:textId="58520B56" w:rsidR="00B301A7" w:rsidRPr="00B301A7" w:rsidRDefault="00B301A7">
      <w:pPr>
        <w:pStyle w:val="FootnoteText"/>
        <w:rPr>
          <w:rFonts w:cstheme="minorHAnsi"/>
          <w:color w:val="000000" w:themeColor="text1"/>
          <w:lang w:val="en-US"/>
        </w:rPr>
      </w:pPr>
      <w:r w:rsidRPr="00B301A7">
        <w:rPr>
          <w:rStyle w:val="FootnoteReference"/>
          <w:rFonts w:cstheme="minorHAnsi"/>
          <w:color w:val="000000" w:themeColor="text1"/>
        </w:rPr>
        <w:footnoteRef/>
      </w:r>
      <w:r w:rsidRPr="00B301A7">
        <w:rPr>
          <w:rFonts w:cstheme="minorHAnsi"/>
          <w:color w:val="000000" w:themeColor="text1"/>
        </w:rPr>
        <w:t xml:space="preserve"> </w:t>
      </w:r>
      <w:r>
        <w:rPr>
          <w:rFonts w:cstheme="minorHAnsi"/>
          <w:color w:val="000000" w:themeColor="text1"/>
        </w:rPr>
        <w:t>See</w:t>
      </w:r>
      <w:r w:rsidRPr="00B301A7">
        <w:rPr>
          <w:rFonts w:cstheme="minorHAnsi"/>
          <w:color w:val="000000" w:themeColor="text1"/>
        </w:rPr>
        <w:t xml:space="preserve"> </w:t>
      </w:r>
      <w:r w:rsidRPr="00B301A7">
        <w:rPr>
          <w:rFonts w:cstheme="minorHAnsi"/>
          <w:i/>
          <w:iCs/>
          <w:color w:val="000000" w:themeColor="text1"/>
        </w:rPr>
        <w:t>Room Hire Co (Pty) Ltd v Jeppe Street Mansions (Pty) Ltd</w:t>
      </w:r>
      <w:r w:rsidRPr="00B301A7">
        <w:rPr>
          <w:rFonts w:cstheme="minorHAnsi"/>
          <w:color w:val="000000" w:themeColor="text1"/>
          <w:shd w:val="clear" w:color="auto" w:fill="FFFFFF"/>
        </w:rPr>
        <w:t> </w:t>
      </w:r>
      <w:hyperlink r:id="rId1" w:anchor="y1949v3SApg1155" w:history="1">
        <w:r w:rsidRPr="00B301A7">
          <w:rPr>
            <w:rStyle w:val="Hyperlink"/>
            <w:rFonts w:cstheme="minorHAnsi"/>
            <w:color w:val="000000" w:themeColor="text1"/>
            <w:u w:val="none"/>
          </w:rPr>
          <w:t>1949 (3) SA 1155 (T)</w:t>
        </w:r>
      </w:hyperlink>
      <w:r w:rsidRPr="00B301A7">
        <w:rPr>
          <w:rFonts w:cstheme="minorHAnsi"/>
          <w:color w:val="000000" w:themeColor="text1"/>
          <w:shd w:val="clear" w:color="auto" w:fill="FFFFFF"/>
        </w:rPr>
        <w:t> at 1162 and 1168</w:t>
      </w:r>
      <w:r>
        <w:rPr>
          <w:rFonts w:cstheme="minorHAnsi"/>
          <w:color w:val="000000" w:themeColor="text1"/>
          <w:shd w:val="clear" w:color="auto" w:fill="FFFFFF"/>
        </w:rPr>
        <w:t>.</w:t>
      </w:r>
    </w:p>
  </w:footnote>
  <w:footnote w:id="18">
    <w:p w14:paraId="06EDFA35" w14:textId="77777777" w:rsidR="00BD76DF" w:rsidRPr="00BD76DF" w:rsidRDefault="00BD76DF" w:rsidP="005348CD">
      <w:pPr>
        <w:pStyle w:val="FootnoteText"/>
        <w:jc w:val="both"/>
        <w:rPr>
          <w:lang w:val="en-US"/>
        </w:rPr>
      </w:pPr>
      <w:r>
        <w:rPr>
          <w:rStyle w:val="FootnoteReference"/>
        </w:rPr>
        <w:footnoteRef/>
      </w:r>
      <w:r>
        <w:t xml:space="preserve"> </w:t>
      </w:r>
      <w:r>
        <w:rPr>
          <w:lang w:val="en-US"/>
        </w:rPr>
        <w:t xml:space="preserve">Found at </w:t>
      </w:r>
      <w:r w:rsidR="008D002E">
        <w:rPr>
          <w:lang w:val="en-US"/>
        </w:rPr>
        <w:t>p. 60 of the paginated papers.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661023"/>
      <w:docPartObj>
        <w:docPartGallery w:val="Page Numbers (Top of Page)"/>
        <w:docPartUnique/>
      </w:docPartObj>
    </w:sdtPr>
    <w:sdtContent>
      <w:p w14:paraId="44E9A03C" w14:textId="77777777" w:rsidR="00DC5DED" w:rsidRDefault="00DC5DED" w:rsidP="00B26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4E85A" w14:textId="77777777" w:rsidR="00DC5DED" w:rsidRDefault="00DC5DED" w:rsidP="00DC5D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2060376"/>
      <w:docPartObj>
        <w:docPartGallery w:val="Page Numbers (Top of Page)"/>
        <w:docPartUnique/>
      </w:docPartObj>
    </w:sdtPr>
    <w:sdtContent>
      <w:p w14:paraId="293EF129" w14:textId="2C63B4F1" w:rsidR="00DC5DED" w:rsidRDefault="00DC5DED" w:rsidP="00B268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D0872">
          <w:rPr>
            <w:rStyle w:val="PageNumber"/>
            <w:noProof/>
          </w:rPr>
          <w:t>4</w:t>
        </w:r>
        <w:r>
          <w:rPr>
            <w:rStyle w:val="PageNumber"/>
          </w:rPr>
          <w:fldChar w:fldCharType="end"/>
        </w:r>
      </w:p>
    </w:sdtContent>
  </w:sdt>
  <w:p w14:paraId="6EB6806B" w14:textId="77777777" w:rsidR="00DC5DED" w:rsidRDefault="00DC5DED" w:rsidP="00DC5D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4F2"/>
    <w:multiLevelType w:val="hybridMultilevel"/>
    <w:tmpl w:val="396C32AE"/>
    <w:lvl w:ilvl="0" w:tplc="98AED1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170D35"/>
    <w:multiLevelType w:val="hybridMultilevel"/>
    <w:tmpl w:val="B76C3CF6"/>
    <w:lvl w:ilvl="0" w:tplc="A870739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8645D"/>
    <w:multiLevelType w:val="hybridMultilevel"/>
    <w:tmpl w:val="A9CA16D4"/>
    <w:lvl w:ilvl="0" w:tplc="27C663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1C16F4"/>
    <w:multiLevelType w:val="hybridMultilevel"/>
    <w:tmpl w:val="3A1C9E6A"/>
    <w:lvl w:ilvl="0" w:tplc="9DAEA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6B5CEA"/>
    <w:multiLevelType w:val="hybridMultilevel"/>
    <w:tmpl w:val="4742324E"/>
    <w:lvl w:ilvl="0" w:tplc="B28425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CD45C5"/>
    <w:multiLevelType w:val="hybridMultilevel"/>
    <w:tmpl w:val="DC44B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1371669">
    <w:abstractNumId w:val="5"/>
  </w:num>
  <w:num w:numId="2" w16cid:durableId="1974754457">
    <w:abstractNumId w:val="1"/>
  </w:num>
  <w:num w:numId="3" w16cid:durableId="1125343151">
    <w:abstractNumId w:val="4"/>
  </w:num>
  <w:num w:numId="4" w16cid:durableId="432364537">
    <w:abstractNumId w:val="2"/>
  </w:num>
  <w:num w:numId="5" w16cid:durableId="219295748">
    <w:abstractNumId w:val="0"/>
  </w:num>
  <w:num w:numId="6" w16cid:durableId="903686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A3"/>
    <w:rsid w:val="000369E2"/>
    <w:rsid w:val="000A14C7"/>
    <w:rsid w:val="000E6E23"/>
    <w:rsid w:val="000F1EE3"/>
    <w:rsid w:val="001138AE"/>
    <w:rsid w:val="0013235D"/>
    <w:rsid w:val="00145C47"/>
    <w:rsid w:val="0014776C"/>
    <w:rsid w:val="0015365C"/>
    <w:rsid w:val="00154E01"/>
    <w:rsid w:val="00181229"/>
    <w:rsid w:val="001C0A02"/>
    <w:rsid w:val="001F4FF0"/>
    <w:rsid w:val="00202523"/>
    <w:rsid w:val="00256DCD"/>
    <w:rsid w:val="0027736E"/>
    <w:rsid w:val="002C7B07"/>
    <w:rsid w:val="002D550D"/>
    <w:rsid w:val="002F1B11"/>
    <w:rsid w:val="00324836"/>
    <w:rsid w:val="00341D3F"/>
    <w:rsid w:val="00367136"/>
    <w:rsid w:val="00405B6A"/>
    <w:rsid w:val="0042374E"/>
    <w:rsid w:val="00430500"/>
    <w:rsid w:val="0047436D"/>
    <w:rsid w:val="004B5EDC"/>
    <w:rsid w:val="004C253C"/>
    <w:rsid w:val="004D0872"/>
    <w:rsid w:val="004D5693"/>
    <w:rsid w:val="005167F1"/>
    <w:rsid w:val="005348CD"/>
    <w:rsid w:val="0054671E"/>
    <w:rsid w:val="00551976"/>
    <w:rsid w:val="00551A50"/>
    <w:rsid w:val="005955FD"/>
    <w:rsid w:val="005B026C"/>
    <w:rsid w:val="005B7511"/>
    <w:rsid w:val="005C0FCF"/>
    <w:rsid w:val="005F2812"/>
    <w:rsid w:val="005F622C"/>
    <w:rsid w:val="0067704A"/>
    <w:rsid w:val="00681CBA"/>
    <w:rsid w:val="006A5B31"/>
    <w:rsid w:val="006B1FA7"/>
    <w:rsid w:val="00732C70"/>
    <w:rsid w:val="00786A32"/>
    <w:rsid w:val="007C5332"/>
    <w:rsid w:val="007D6F0E"/>
    <w:rsid w:val="007E4D14"/>
    <w:rsid w:val="007F079F"/>
    <w:rsid w:val="00821B5B"/>
    <w:rsid w:val="008414F7"/>
    <w:rsid w:val="0084446A"/>
    <w:rsid w:val="00865033"/>
    <w:rsid w:val="008707DC"/>
    <w:rsid w:val="00882A4D"/>
    <w:rsid w:val="00896664"/>
    <w:rsid w:val="008D002E"/>
    <w:rsid w:val="00917AA5"/>
    <w:rsid w:val="00945C4B"/>
    <w:rsid w:val="009B5187"/>
    <w:rsid w:val="009B6F8B"/>
    <w:rsid w:val="00A104BD"/>
    <w:rsid w:val="00A259F4"/>
    <w:rsid w:val="00A67066"/>
    <w:rsid w:val="00A94AE5"/>
    <w:rsid w:val="00AC66B7"/>
    <w:rsid w:val="00AE634E"/>
    <w:rsid w:val="00B00EE0"/>
    <w:rsid w:val="00B24751"/>
    <w:rsid w:val="00B301A7"/>
    <w:rsid w:val="00B302A3"/>
    <w:rsid w:val="00B34564"/>
    <w:rsid w:val="00B5312D"/>
    <w:rsid w:val="00B77A2B"/>
    <w:rsid w:val="00B93D9E"/>
    <w:rsid w:val="00BA475B"/>
    <w:rsid w:val="00BD2B40"/>
    <w:rsid w:val="00BD76DF"/>
    <w:rsid w:val="00C17C5A"/>
    <w:rsid w:val="00C918D3"/>
    <w:rsid w:val="00CC7211"/>
    <w:rsid w:val="00CF3C23"/>
    <w:rsid w:val="00CF4260"/>
    <w:rsid w:val="00CF682A"/>
    <w:rsid w:val="00D57B0C"/>
    <w:rsid w:val="00D57E47"/>
    <w:rsid w:val="00D61811"/>
    <w:rsid w:val="00D67248"/>
    <w:rsid w:val="00D96C58"/>
    <w:rsid w:val="00DA1EAC"/>
    <w:rsid w:val="00DC5DED"/>
    <w:rsid w:val="00DD4FBD"/>
    <w:rsid w:val="00DE5DA0"/>
    <w:rsid w:val="00E1434C"/>
    <w:rsid w:val="00E25925"/>
    <w:rsid w:val="00E368AA"/>
    <w:rsid w:val="00E53F34"/>
    <w:rsid w:val="00E626EE"/>
    <w:rsid w:val="00E875EC"/>
    <w:rsid w:val="00EC7BB1"/>
    <w:rsid w:val="00EF11E3"/>
    <w:rsid w:val="00F12324"/>
    <w:rsid w:val="00F2708D"/>
    <w:rsid w:val="00F27606"/>
    <w:rsid w:val="00F33BA3"/>
    <w:rsid w:val="00F34CFF"/>
    <w:rsid w:val="00F51AB7"/>
    <w:rsid w:val="00FC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EE3D"/>
  <w14:defaultImageDpi w14:val="32767"/>
  <w15:docId w15:val="{C21EFB9C-19CC-E248-8248-FBF2DE9D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DED"/>
    <w:pPr>
      <w:tabs>
        <w:tab w:val="center" w:pos="4680"/>
        <w:tab w:val="right" w:pos="9360"/>
      </w:tabs>
    </w:pPr>
  </w:style>
  <w:style w:type="character" w:customStyle="1" w:styleId="HeaderChar">
    <w:name w:val="Header Char"/>
    <w:basedOn w:val="DefaultParagraphFont"/>
    <w:link w:val="Header"/>
    <w:uiPriority w:val="99"/>
    <w:rsid w:val="00DC5DED"/>
  </w:style>
  <w:style w:type="character" w:styleId="PageNumber">
    <w:name w:val="page number"/>
    <w:basedOn w:val="DefaultParagraphFont"/>
    <w:uiPriority w:val="99"/>
    <w:semiHidden/>
    <w:unhideWhenUsed/>
    <w:rsid w:val="00DC5DED"/>
  </w:style>
  <w:style w:type="paragraph" w:styleId="ListParagraph">
    <w:name w:val="List Paragraph"/>
    <w:basedOn w:val="Normal"/>
    <w:uiPriority w:val="34"/>
    <w:qFormat/>
    <w:rsid w:val="00CF4260"/>
    <w:pPr>
      <w:ind w:left="720"/>
      <w:contextualSpacing/>
    </w:pPr>
  </w:style>
  <w:style w:type="character" w:customStyle="1" w:styleId="apple-converted-space">
    <w:name w:val="apple-converted-space"/>
    <w:basedOn w:val="DefaultParagraphFont"/>
    <w:rsid w:val="00B93D9E"/>
  </w:style>
  <w:style w:type="character" w:styleId="Hyperlink">
    <w:name w:val="Hyperlink"/>
    <w:basedOn w:val="DefaultParagraphFont"/>
    <w:uiPriority w:val="99"/>
    <w:unhideWhenUsed/>
    <w:rsid w:val="00B93D9E"/>
    <w:rPr>
      <w:color w:val="0000FF"/>
      <w:u w:val="single"/>
    </w:rPr>
  </w:style>
  <w:style w:type="paragraph" w:styleId="FootnoteText">
    <w:name w:val="footnote text"/>
    <w:basedOn w:val="Normal"/>
    <w:link w:val="FootnoteTextChar"/>
    <w:uiPriority w:val="99"/>
    <w:semiHidden/>
    <w:unhideWhenUsed/>
    <w:rsid w:val="00E1434C"/>
    <w:rPr>
      <w:sz w:val="20"/>
      <w:szCs w:val="20"/>
    </w:rPr>
  </w:style>
  <w:style w:type="character" w:customStyle="1" w:styleId="FootnoteTextChar">
    <w:name w:val="Footnote Text Char"/>
    <w:basedOn w:val="DefaultParagraphFont"/>
    <w:link w:val="FootnoteText"/>
    <w:uiPriority w:val="99"/>
    <w:semiHidden/>
    <w:rsid w:val="00E1434C"/>
    <w:rPr>
      <w:sz w:val="20"/>
      <w:szCs w:val="20"/>
    </w:rPr>
  </w:style>
  <w:style w:type="character" w:styleId="FootnoteReference">
    <w:name w:val="footnote reference"/>
    <w:basedOn w:val="DefaultParagraphFont"/>
    <w:uiPriority w:val="99"/>
    <w:semiHidden/>
    <w:unhideWhenUsed/>
    <w:rsid w:val="00E1434C"/>
    <w:rPr>
      <w:vertAlign w:val="superscript"/>
    </w:rPr>
  </w:style>
  <w:style w:type="paragraph" w:customStyle="1" w:styleId="lrpara">
    <w:name w:val="lrpara"/>
    <w:basedOn w:val="Normal"/>
    <w:rsid w:val="00DD4FBD"/>
    <w:pPr>
      <w:spacing w:before="100" w:beforeAutospacing="1" w:after="100" w:afterAutospacing="1"/>
    </w:pPr>
    <w:rPr>
      <w:rFonts w:ascii="Times New Roman" w:eastAsia="Times New Roman" w:hAnsi="Times New Roman" w:cs="Times New Roman"/>
      <w:lang w:val="en-ZA" w:eastAsia="en-GB"/>
    </w:rPr>
  </w:style>
  <w:style w:type="character" w:customStyle="1" w:styleId="mc">
    <w:name w:val="mc"/>
    <w:basedOn w:val="DefaultParagraphFont"/>
    <w:rsid w:val="00DD4FBD"/>
  </w:style>
  <w:style w:type="paragraph" w:customStyle="1" w:styleId="lrquote">
    <w:name w:val="lrquote"/>
    <w:basedOn w:val="Normal"/>
    <w:rsid w:val="00DD4FBD"/>
    <w:pPr>
      <w:spacing w:before="100" w:beforeAutospacing="1" w:after="100" w:afterAutospacing="1"/>
    </w:pPr>
    <w:rPr>
      <w:rFonts w:ascii="Times New Roman" w:eastAsia="Times New Roman" w:hAnsi="Times New Roman" w:cs="Times New Roman"/>
      <w:lang w:val="en-ZA" w:eastAsia="en-GB"/>
    </w:rPr>
  </w:style>
  <w:style w:type="paragraph" w:customStyle="1" w:styleId="pageno">
    <w:name w:val="pageno"/>
    <w:basedOn w:val="Normal"/>
    <w:rsid w:val="00DD4FBD"/>
    <w:pPr>
      <w:spacing w:before="100" w:beforeAutospacing="1" w:after="100" w:afterAutospacing="1"/>
    </w:pPr>
    <w:rPr>
      <w:rFonts w:ascii="Times New Roman" w:eastAsia="Times New Roman" w:hAnsi="Times New Roman" w:cs="Times New Roman"/>
      <w:lang w:val="en-ZA" w:eastAsia="en-GB"/>
    </w:rPr>
  </w:style>
  <w:style w:type="paragraph" w:customStyle="1" w:styleId="lrjudgecont">
    <w:name w:val="lrjudgecont"/>
    <w:basedOn w:val="Normal"/>
    <w:rsid w:val="00DD4FBD"/>
    <w:pPr>
      <w:spacing w:before="100" w:beforeAutospacing="1" w:after="100" w:afterAutospacing="1"/>
    </w:pPr>
    <w:rPr>
      <w:rFonts w:ascii="Times New Roman" w:eastAsia="Times New Roman" w:hAnsi="Times New Roman" w:cs="Times New Roman"/>
      <w:lang w:val="en-ZA" w:eastAsia="en-GB"/>
    </w:rPr>
  </w:style>
  <w:style w:type="character" w:customStyle="1" w:styleId="UnresolvedMention1">
    <w:name w:val="Unresolved Mention1"/>
    <w:basedOn w:val="DefaultParagraphFont"/>
    <w:uiPriority w:val="99"/>
    <w:rsid w:val="008D002E"/>
    <w:rPr>
      <w:color w:val="605E5C"/>
      <w:shd w:val="clear" w:color="auto" w:fill="E1DFDD"/>
    </w:rPr>
  </w:style>
  <w:style w:type="paragraph" w:styleId="Revision">
    <w:name w:val="Revision"/>
    <w:hidden/>
    <w:uiPriority w:val="99"/>
    <w:semiHidden/>
    <w:rsid w:val="00E875EC"/>
  </w:style>
  <w:style w:type="character" w:styleId="CommentReference">
    <w:name w:val="annotation reference"/>
    <w:basedOn w:val="DefaultParagraphFont"/>
    <w:uiPriority w:val="99"/>
    <w:semiHidden/>
    <w:unhideWhenUsed/>
    <w:rsid w:val="00E875EC"/>
    <w:rPr>
      <w:sz w:val="16"/>
      <w:szCs w:val="16"/>
    </w:rPr>
  </w:style>
  <w:style w:type="paragraph" w:styleId="CommentText">
    <w:name w:val="annotation text"/>
    <w:basedOn w:val="Normal"/>
    <w:link w:val="CommentTextChar"/>
    <w:uiPriority w:val="99"/>
    <w:semiHidden/>
    <w:unhideWhenUsed/>
    <w:rsid w:val="00E875EC"/>
    <w:rPr>
      <w:sz w:val="20"/>
      <w:szCs w:val="20"/>
    </w:rPr>
  </w:style>
  <w:style w:type="character" w:customStyle="1" w:styleId="CommentTextChar">
    <w:name w:val="Comment Text Char"/>
    <w:basedOn w:val="DefaultParagraphFont"/>
    <w:link w:val="CommentText"/>
    <w:uiPriority w:val="99"/>
    <w:semiHidden/>
    <w:rsid w:val="00E875EC"/>
    <w:rPr>
      <w:sz w:val="20"/>
      <w:szCs w:val="20"/>
    </w:rPr>
  </w:style>
  <w:style w:type="paragraph" w:styleId="CommentSubject">
    <w:name w:val="annotation subject"/>
    <w:basedOn w:val="CommentText"/>
    <w:next w:val="CommentText"/>
    <w:link w:val="CommentSubjectChar"/>
    <w:uiPriority w:val="99"/>
    <w:semiHidden/>
    <w:unhideWhenUsed/>
    <w:rsid w:val="00E875EC"/>
    <w:rPr>
      <w:b/>
      <w:bCs/>
    </w:rPr>
  </w:style>
  <w:style w:type="character" w:customStyle="1" w:styleId="CommentSubjectChar">
    <w:name w:val="Comment Subject Char"/>
    <w:basedOn w:val="CommentTextChar"/>
    <w:link w:val="CommentSubject"/>
    <w:uiPriority w:val="99"/>
    <w:semiHidden/>
    <w:rsid w:val="00E875EC"/>
    <w:rPr>
      <w:b/>
      <w:bCs/>
      <w:sz w:val="20"/>
      <w:szCs w:val="20"/>
    </w:rPr>
  </w:style>
  <w:style w:type="paragraph" w:styleId="BalloonText">
    <w:name w:val="Balloon Text"/>
    <w:basedOn w:val="Normal"/>
    <w:link w:val="BalloonTextChar"/>
    <w:uiPriority w:val="99"/>
    <w:semiHidden/>
    <w:unhideWhenUsed/>
    <w:rsid w:val="0027736E"/>
    <w:rPr>
      <w:rFonts w:ascii="Tahoma" w:hAnsi="Tahoma" w:cs="Tahoma"/>
      <w:sz w:val="16"/>
      <w:szCs w:val="16"/>
    </w:rPr>
  </w:style>
  <w:style w:type="character" w:customStyle="1" w:styleId="BalloonTextChar">
    <w:name w:val="Balloon Text Char"/>
    <w:basedOn w:val="DefaultParagraphFont"/>
    <w:link w:val="BalloonText"/>
    <w:uiPriority w:val="99"/>
    <w:semiHidden/>
    <w:rsid w:val="00277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14270">
      <w:bodyDiv w:val="1"/>
      <w:marLeft w:val="0"/>
      <w:marRight w:val="0"/>
      <w:marTop w:val="0"/>
      <w:marBottom w:val="0"/>
      <w:divBdr>
        <w:top w:val="none" w:sz="0" w:space="0" w:color="auto"/>
        <w:left w:val="none" w:sz="0" w:space="0" w:color="auto"/>
        <w:bottom w:val="none" w:sz="0" w:space="0" w:color="auto"/>
        <w:right w:val="none" w:sz="0" w:space="0" w:color="auto"/>
      </w:divBdr>
    </w:div>
    <w:div w:id="1102797041">
      <w:bodyDiv w:val="1"/>
      <w:marLeft w:val="0"/>
      <w:marRight w:val="0"/>
      <w:marTop w:val="0"/>
      <w:marBottom w:val="0"/>
      <w:divBdr>
        <w:top w:val="none" w:sz="0" w:space="0" w:color="auto"/>
        <w:left w:val="none" w:sz="0" w:space="0" w:color="auto"/>
        <w:bottom w:val="none" w:sz="0" w:space="0" w:color="auto"/>
        <w:right w:val="none" w:sz="0" w:space="0" w:color="auto"/>
      </w:divBdr>
    </w:div>
    <w:div w:id="1117413678">
      <w:bodyDiv w:val="1"/>
      <w:marLeft w:val="0"/>
      <w:marRight w:val="0"/>
      <w:marTop w:val="0"/>
      <w:marBottom w:val="0"/>
      <w:divBdr>
        <w:top w:val="none" w:sz="0" w:space="0" w:color="auto"/>
        <w:left w:val="none" w:sz="0" w:space="0" w:color="auto"/>
        <w:bottom w:val="none" w:sz="0" w:space="0" w:color="auto"/>
        <w:right w:val="none" w:sz="0" w:space="0" w:color="auto"/>
      </w:divBdr>
    </w:div>
    <w:div w:id="1318342560">
      <w:bodyDiv w:val="1"/>
      <w:marLeft w:val="0"/>
      <w:marRight w:val="0"/>
      <w:marTop w:val="0"/>
      <w:marBottom w:val="0"/>
      <w:divBdr>
        <w:top w:val="none" w:sz="0" w:space="0" w:color="auto"/>
        <w:left w:val="none" w:sz="0" w:space="0" w:color="auto"/>
        <w:bottom w:val="none" w:sz="0" w:space="0" w:color="auto"/>
        <w:right w:val="none" w:sz="0" w:space="0" w:color="auto"/>
      </w:divBdr>
      <w:divsChild>
        <w:div w:id="1057977062">
          <w:marLeft w:val="0"/>
          <w:marRight w:val="0"/>
          <w:marTop w:val="240"/>
          <w:marBottom w:val="0"/>
          <w:divBdr>
            <w:top w:val="none" w:sz="0" w:space="0" w:color="auto"/>
            <w:left w:val="none" w:sz="0" w:space="0" w:color="auto"/>
            <w:bottom w:val="none" w:sz="0" w:space="0" w:color="auto"/>
            <w:right w:val="none" w:sz="0" w:space="0" w:color="auto"/>
          </w:divBdr>
        </w:div>
        <w:div w:id="121072118">
          <w:marLeft w:val="0"/>
          <w:marRight w:val="0"/>
          <w:marTop w:val="120"/>
          <w:marBottom w:val="0"/>
          <w:divBdr>
            <w:top w:val="none" w:sz="0" w:space="0" w:color="auto"/>
            <w:left w:val="none" w:sz="0" w:space="0" w:color="auto"/>
            <w:bottom w:val="none" w:sz="0" w:space="0" w:color="auto"/>
            <w:right w:val="none" w:sz="0" w:space="0" w:color="auto"/>
          </w:divBdr>
        </w:div>
        <w:div w:id="521282282">
          <w:marLeft w:val="0"/>
          <w:marRight w:val="0"/>
          <w:marTop w:val="120"/>
          <w:marBottom w:val="0"/>
          <w:divBdr>
            <w:top w:val="none" w:sz="0" w:space="0" w:color="auto"/>
            <w:left w:val="none" w:sz="0" w:space="0" w:color="auto"/>
            <w:bottom w:val="none" w:sz="0" w:space="0" w:color="auto"/>
            <w:right w:val="none" w:sz="0" w:space="0" w:color="auto"/>
          </w:divBdr>
        </w:div>
        <w:div w:id="1809853908">
          <w:marLeft w:val="567"/>
          <w:marRight w:val="567"/>
          <w:marTop w:val="20"/>
          <w:marBottom w:val="20"/>
          <w:divBdr>
            <w:top w:val="none" w:sz="0" w:space="0" w:color="auto"/>
            <w:left w:val="none" w:sz="0" w:space="0" w:color="auto"/>
            <w:bottom w:val="none" w:sz="0" w:space="0" w:color="auto"/>
            <w:right w:val="none" w:sz="0" w:space="0" w:color="auto"/>
          </w:divBdr>
        </w:div>
        <w:div w:id="820117946">
          <w:marLeft w:val="0"/>
          <w:marRight w:val="0"/>
          <w:marTop w:val="240"/>
          <w:marBottom w:val="0"/>
          <w:divBdr>
            <w:top w:val="none" w:sz="0" w:space="0" w:color="auto"/>
            <w:left w:val="none" w:sz="0" w:space="0" w:color="auto"/>
            <w:bottom w:val="none" w:sz="0" w:space="0" w:color="auto"/>
            <w:right w:val="none" w:sz="0" w:space="0" w:color="auto"/>
          </w:divBdr>
        </w:div>
        <w:div w:id="1127312680">
          <w:marLeft w:val="0"/>
          <w:marRight w:val="0"/>
          <w:marTop w:val="120"/>
          <w:marBottom w:val="0"/>
          <w:divBdr>
            <w:top w:val="none" w:sz="0" w:space="0" w:color="auto"/>
            <w:left w:val="none" w:sz="0" w:space="0" w:color="auto"/>
            <w:bottom w:val="none" w:sz="0" w:space="0" w:color="auto"/>
            <w:right w:val="none" w:sz="0" w:space="0" w:color="auto"/>
          </w:divBdr>
        </w:div>
      </w:divsChild>
    </w:div>
    <w:div w:id="13896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jutastatevolve.co.za/researcher/y1920ADpg530" TargetMode="External"/><Relationship Id="rId13" Type="http://schemas.openxmlformats.org/officeDocument/2006/relationships/hyperlink" Target="mailto:deonstander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akhas786@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jutastatevolve.co.za/researcher/y1977v1SApg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jutastatevolve.co.za/researcher/y1994v1SApg550" TargetMode="External"/><Relationship Id="rId4" Type="http://schemas.openxmlformats.org/officeDocument/2006/relationships/settings" Target="settings.xml"/><Relationship Id="rId9" Type="http://schemas.openxmlformats.org/officeDocument/2006/relationships/hyperlink" Target="https://app.jutastatevolve.co.za/researcher/y1983v3SApg51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Users/davidmolony/Desktop/y1949v3SApg1155%25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A710-4E34-4641-B091-3BED9185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4864</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Molony</dc:creator>
  <cp:lastModifiedBy>Mariana Anguelov</cp:lastModifiedBy>
  <cp:revision>3</cp:revision>
  <cp:lastPrinted>2022-12-09T08:23:00Z</cp:lastPrinted>
  <dcterms:created xsi:type="dcterms:W3CDTF">2023-01-31T07:15:00Z</dcterms:created>
  <dcterms:modified xsi:type="dcterms:W3CDTF">2023-02-13T18:58:00Z</dcterms:modified>
</cp:coreProperties>
</file>