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92433" w14:textId="77777777" w:rsidR="0040649B" w:rsidRPr="000D03EE" w:rsidRDefault="0040649B" w:rsidP="0040649B">
      <w:pPr>
        <w:spacing w:line="360" w:lineRule="auto"/>
        <w:contextualSpacing/>
        <w:jc w:val="right"/>
        <w:rPr>
          <w:rFonts w:ascii="Times New Roman" w:hAnsi="Times New Roman"/>
          <w:b/>
          <w:sz w:val="28"/>
          <w:szCs w:val="28"/>
        </w:rPr>
      </w:pPr>
      <w:bookmarkStart w:id="0" w:name="_GoBack"/>
      <w:bookmarkEnd w:id="0"/>
      <w:r w:rsidRPr="000D03EE">
        <w:rPr>
          <w:rFonts w:ascii="Times New Roman" w:hAnsi="Times New Roman"/>
          <w:b/>
          <w:sz w:val="28"/>
          <w:szCs w:val="28"/>
        </w:rPr>
        <w:t>NOT REPORTABLE</w:t>
      </w:r>
    </w:p>
    <w:p w14:paraId="23CE6184" w14:textId="77777777" w:rsidR="0040649B" w:rsidRPr="000D03EE" w:rsidRDefault="0040649B" w:rsidP="0040649B">
      <w:pPr>
        <w:spacing w:line="360" w:lineRule="auto"/>
        <w:contextualSpacing/>
        <w:jc w:val="both"/>
        <w:rPr>
          <w:rFonts w:ascii="Times New Roman" w:hAnsi="Times New Roman"/>
          <w:b/>
          <w:sz w:val="28"/>
          <w:szCs w:val="28"/>
        </w:rPr>
      </w:pPr>
    </w:p>
    <w:p w14:paraId="3F7FC624" w14:textId="77777777" w:rsidR="0040649B" w:rsidRDefault="0040649B" w:rsidP="0040649B">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23E12DF8" w14:textId="77777777" w:rsidR="0040649B" w:rsidRDefault="0040649B" w:rsidP="0040649B">
      <w:pPr>
        <w:spacing w:line="360" w:lineRule="auto"/>
        <w:contextualSpacing/>
        <w:jc w:val="both"/>
        <w:rPr>
          <w:rFonts w:ascii="Times New Roman" w:hAnsi="Times New Roman"/>
          <w:b/>
          <w:sz w:val="28"/>
          <w:szCs w:val="28"/>
        </w:rPr>
      </w:pPr>
      <w:r>
        <w:rPr>
          <w:rFonts w:ascii="Times New Roman" w:hAnsi="Times New Roman"/>
          <w:b/>
          <w:sz w:val="28"/>
          <w:szCs w:val="28"/>
        </w:rPr>
        <w:t>(EAST LONDON CIRCUIT LOCAL DIVISION)</w:t>
      </w:r>
    </w:p>
    <w:p w14:paraId="10AD433C" w14:textId="77777777" w:rsidR="0040649B" w:rsidRPr="000D03EE" w:rsidRDefault="0040649B" w:rsidP="0040649B">
      <w:pPr>
        <w:spacing w:line="360" w:lineRule="auto"/>
        <w:contextualSpacing/>
        <w:jc w:val="both"/>
        <w:rPr>
          <w:rFonts w:ascii="Times New Roman" w:hAnsi="Times New Roman"/>
          <w:b/>
          <w:sz w:val="28"/>
          <w:szCs w:val="28"/>
        </w:rPr>
      </w:pPr>
    </w:p>
    <w:p w14:paraId="61F91ADA" w14:textId="77777777" w:rsidR="00A0484F" w:rsidRDefault="0040649B" w:rsidP="00A0484F">
      <w:pPr>
        <w:widowControl w:val="0"/>
        <w:autoSpaceDE w:val="0"/>
        <w:autoSpaceDN w:val="0"/>
        <w:adjustRightInd w:val="0"/>
        <w:spacing w:after="0" w:line="240" w:lineRule="auto"/>
        <w:contextualSpacing/>
        <w:jc w:val="right"/>
        <w:rPr>
          <w:rFonts w:ascii="Times New Roman" w:hAnsi="Times New Roman"/>
          <w:color w:val="000000"/>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sidR="00A0484F">
        <w:rPr>
          <w:rFonts w:ascii="Times New Roman" w:hAnsi="Times New Roman"/>
          <w:color w:val="000000"/>
          <w:sz w:val="28"/>
          <w:szCs w:val="28"/>
        </w:rPr>
        <w:t>CASE NO. EL 1281/2021</w:t>
      </w:r>
    </w:p>
    <w:p w14:paraId="2C881708" w14:textId="77777777" w:rsidR="00EA6748" w:rsidRDefault="00EA6748" w:rsidP="00A0484F">
      <w:pPr>
        <w:widowControl w:val="0"/>
        <w:autoSpaceDE w:val="0"/>
        <w:autoSpaceDN w:val="0"/>
        <w:adjustRightInd w:val="0"/>
        <w:spacing w:after="0" w:line="240" w:lineRule="auto"/>
        <w:contextualSpacing/>
        <w:jc w:val="right"/>
        <w:rPr>
          <w:rFonts w:ascii="Times New Roman" w:hAnsi="Times New Roman"/>
          <w:color w:val="000000"/>
          <w:sz w:val="28"/>
          <w:szCs w:val="28"/>
        </w:rPr>
      </w:pPr>
    </w:p>
    <w:p w14:paraId="7BE84EB7"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In the matter between:</w:t>
      </w:r>
    </w:p>
    <w:p w14:paraId="1A20C742" w14:textId="77777777" w:rsidR="00A0484F" w:rsidRPr="004F113B"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p>
    <w:p w14:paraId="7688DD5B" w14:textId="77777777" w:rsidR="00A0484F"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p>
    <w:p w14:paraId="7BA0D69A"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sidRPr="00B55113">
        <w:rPr>
          <w:rFonts w:ascii="Times New Roman" w:hAnsi="Times New Roman"/>
          <w:b/>
          <w:color w:val="000000"/>
          <w:sz w:val="28"/>
          <w:szCs w:val="28"/>
        </w:rPr>
        <w:t>GARTH PETERSEN</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First Applicant </w:t>
      </w:r>
    </w:p>
    <w:p w14:paraId="6455DD89"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sidRPr="00B55113">
        <w:rPr>
          <w:rFonts w:ascii="Times New Roman" w:hAnsi="Times New Roman"/>
          <w:b/>
          <w:color w:val="000000"/>
          <w:sz w:val="28"/>
          <w:szCs w:val="28"/>
        </w:rPr>
        <w:t>SARAH-JANE PETERSEN</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Second Applicant</w:t>
      </w:r>
    </w:p>
    <w:p w14:paraId="4D20B9E5"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p>
    <w:p w14:paraId="7B8859F5"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and</w:t>
      </w:r>
    </w:p>
    <w:p w14:paraId="38F00F0E" w14:textId="77777777" w:rsidR="00A0484F" w:rsidRPr="004F113B"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p>
    <w:p w14:paraId="6C7E5A15"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 xml:space="preserve">KHAYALETHU GQOSHA </w:t>
      </w:r>
      <w:r>
        <w:rPr>
          <w:rFonts w:ascii="Times New Roman" w:hAnsi="Times New Roman"/>
          <w:b/>
          <w:color w:val="000000"/>
          <w:sz w:val="28"/>
          <w:szCs w:val="28"/>
        </w:rPr>
        <w:tab/>
        <w:t xml:space="preserve">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b/>
        <w:t>First Respondent</w:t>
      </w:r>
    </w:p>
    <w:p w14:paraId="4652DB34" w14:textId="77777777" w:rsidR="00A0484F" w:rsidRPr="00B55113" w:rsidRDefault="00A0484F" w:rsidP="00A0484F">
      <w:pPr>
        <w:widowControl w:val="0"/>
        <w:autoSpaceDE w:val="0"/>
        <w:autoSpaceDN w:val="0"/>
        <w:adjustRightInd w:val="0"/>
        <w:spacing w:after="0" w:line="240" w:lineRule="auto"/>
        <w:contextualSpacing/>
        <w:rPr>
          <w:rFonts w:ascii="Times New Roman" w:hAnsi="Times New Roman"/>
          <w:b/>
          <w:color w:val="000000"/>
          <w:sz w:val="28"/>
          <w:szCs w:val="28"/>
        </w:rPr>
      </w:pPr>
      <w:r w:rsidRPr="00B55113">
        <w:rPr>
          <w:rFonts w:ascii="Times New Roman" w:hAnsi="Times New Roman"/>
          <w:b/>
          <w:color w:val="000000"/>
          <w:sz w:val="28"/>
          <w:szCs w:val="28"/>
        </w:rPr>
        <w:t>BUFFALO CITY METROPOLITAN</w:t>
      </w:r>
    </w:p>
    <w:p w14:paraId="73B0323A" w14:textId="77777777" w:rsidR="00A0484F" w:rsidRDefault="00A0484F" w:rsidP="00A0484F">
      <w:pPr>
        <w:widowControl w:val="0"/>
        <w:autoSpaceDE w:val="0"/>
        <w:autoSpaceDN w:val="0"/>
        <w:adjustRightInd w:val="0"/>
        <w:spacing w:after="0" w:line="240" w:lineRule="auto"/>
        <w:contextualSpacing/>
        <w:rPr>
          <w:rFonts w:ascii="Times New Roman" w:hAnsi="Times New Roman"/>
          <w:color w:val="000000"/>
          <w:sz w:val="28"/>
          <w:szCs w:val="28"/>
        </w:rPr>
      </w:pPr>
      <w:r w:rsidRPr="00B55113">
        <w:rPr>
          <w:rFonts w:ascii="Times New Roman" w:hAnsi="Times New Roman"/>
          <w:b/>
          <w:color w:val="000000"/>
          <w:sz w:val="28"/>
          <w:szCs w:val="28"/>
        </w:rPr>
        <w:t>MUNICIPALITY</w:t>
      </w:r>
      <w:r w:rsidRPr="00B55113">
        <w:rPr>
          <w:rFonts w:ascii="Times New Roman" w:hAnsi="Times New Roman"/>
          <w:b/>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Second Respondent </w:t>
      </w:r>
    </w:p>
    <w:p w14:paraId="4983E131" w14:textId="77777777" w:rsidR="0040649B" w:rsidRPr="009379AE" w:rsidRDefault="0040649B" w:rsidP="0040649B">
      <w:pPr>
        <w:pBdr>
          <w:bottom w:val="single" w:sz="12" w:space="1" w:color="auto"/>
        </w:pBdr>
        <w:spacing w:line="360" w:lineRule="auto"/>
        <w:contextualSpacing/>
        <w:jc w:val="both"/>
        <w:rPr>
          <w:rFonts w:ascii="Times New Roman" w:hAnsi="Times New Roman"/>
          <w:b/>
          <w:sz w:val="28"/>
          <w:szCs w:val="28"/>
        </w:rPr>
      </w:pPr>
    </w:p>
    <w:p w14:paraId="6362F408" w14:textId="77777777" w:rsidR="0040649B" w:rsidRPr="009379AE" w:rsidRDefault="0040649B" w:rsidP="0040649B">
      <w:pPr>
        <w:spacing w:line="360" w:lineRule="auto"/>
        <w:contextualSpacing/>
        <w:jc w:val="both"/>
        <w:rPr>
          <w:rFonts w:ascii="Times New Roman" w:hAnsi="Times New Roman"/>
          <w:sz w:val="28"/>
          <w:szCs w:val="28"/>
        </w:rPr>
      </w:pPr>
      <w:r w:rsidRPr="009379AE">
        <w:rPr>
          <w:rFonts w:ascii="Times New Roman" w:hAnsi="Times New Roman"/>
        </w:rPr>
        <w:t xml:space="preserve"> </w:t>
      </w:r>
    </w:p>
    <w:p w14:paraId="6638D1F0" w14:textId="77777777" w:rsidR="0040649B" w:rsidRDefault="007A41F9" w:rsidP="002D72FE">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 xml:space="preserve">JUDGMENT </w:t>
      </w:r>
      <w:r w:rsidR="00450F62">
        <w:rPr>
          <w:rFonts w:ascii="Times New Roman" w:hAnsi="Times New Roman"/>
          <w:b/>
          <w:sz w:val="28"/>
          <w:szCs w:val="28"/>
        </w:rPr>
        <w:t xml:space="preserve">IN RESPECT OF APPLICATION FOR EVICTION </w:t>
      </w:r>
    </w:p>
    <w:p w14:paraId="2CDAC7C5" w14:textId="77777777" w:rsidR="0040649B" w:rsidRDefault="0040649B" w:rsidP="0040649B">
      <w:pPr>
        <w:pBdr>
          <w:bottom w:val="single" w:sz="12" w:space="1" w:color="auto"/>
        </w:pBdr>
        <w:spacing w:line="360" w:lineRule="auto"/>
        <w:contextualSpacing/>
        <w:jc w:val="center"/>
        <w:rPr>
          <w:rFonts w:ascii="Times New Roman" w:hAnsi="Times New Roman"/>
          <w:b/>
          <w:sz w:val="28"/>
          <w:szCs w:val="28"/>
        </w:rPr>
      </w:pPr>
    </w:p>
    <w:p w14:paraId="602E9367" w14:textId="77777777" w:rsidR="0040649B" w:rsidRPr="009379AE" w:rsidRDefault="0040649B" w:rsidP="0040649B">
      <w:pPr>
        <w:tabs>
          <w:tab w:val="left" w:pos="567"/>
        </w:tabs>
        <w:spacing w:line="360" w:lineRule="auto"/>
        <w:ind w:hanging="709"/>
        <w:contextualSpacing/>
        <w:jc w:val="both"/>
        <w:rPr>
          <w:rFonts w:ascii="Times New Roman" w:hAnsi="Times New Roman"/>
          <w:sz w:val="28"/>
          <w:szCs w:val="28"/>
        </w:rPr>
      </w:pPr>
    </w:p>
    <w:p w14:paraId="75D9B127" w14:textId="77777777" w:rsidR="0040649B" w:rsidRDefault="0040649B" w:rsidP="0040649B">
      <w:pPr>
        <w:pStyle w:val="ListParagraph"/>
        <w:tabs>
          <w:tab w:val="left" w:pos="0"/>
        </w:tabs>
        <w:spacing w:line="360" w:lineRule="auto"/>
        <w:ind w:left="0"/>
        <w:jc w:val="both"/>
        <w:rPr>
          <w:rFonts w:ascii="Times New Roman" w:hAnsi="Times New Roman"/>
          <w:b/>
          <w:sz w:val="28"/>
          <w:szCs w:val="28"/>
        </w:rPr>
      </w:pPr>
    </w:p>
    <w:p w14:paraId="3B6E2419" w14:textId="77777777" w:rsidR="0040649B" w:rsidRDefault="0040649B" w:rsidP="0040649B">
      <w:pPr>
        <w:pStyle w:val="ListParagraph"/>
        <w:tabs>
          <w:tab w:val="left" w:pos="0"/>
        </w:tabs>
        <w:spacing w:line="360" w:lineRule="auto"/>
        <w:ind w:left="0"/>
        <w:jc w:val="both"/>
        <w:rPr>
          <w:rFonts w:ascii="Times New Roman" w:hAnsi="Times New Roman"/>
          <w:b/>
          <w:sz w:val="28"/>
          <w:szCs w:val="28"/>
        </w:rPr>
      </w:pPr>
      <w:r>
        <w:rPr>
          <w:rFonts w:ascii="Times New Roman" w:hAnsi="Times New Roman"/>
          <w:b/>
          <w:sz w:val="28"/>
          <w:szCs w:val="28"/>
        </w:rPr>
        <w:t>HARTLE J</w:t>
      </w:r>
    </w:p>
    <w:p w14:paraId="0B6BA189" w14:textId="77777777" w:rsidR="0040649B" w:rsidRDefault="0040649B" w:rsidP="0040649B">
      <w:pPr>
        <w:pStyle w:val="ListParagraph"/>
        <w:tabs>
          <w:tab w:val="left" w:pos="0"/>
        </w:tabs>
        <w:spacing w:line="360" w:lineRule="auto"/>
        <w:ind w:left="0"/>
        <w:jc w:val="both"/>
        <w:rPr>
          <w:rFonts w:ascii="Times New Roman" w:hAnsi="Times New Roman"/>
          <w:b/>
          <w:sz w:val="28"/>
          <w:szCs w:val="28"/>
        </w:rPr>
      </w:pPr>
    </w:p>
    <w:p w14:paraId="3B20BF10" w14:textId="77777777" w:rsidR="0040649B" w:rsidRDefault="0040649B" w:rsidP="0040649B">
      <w:pPr>
        <w:pStyle w:val="ListParagraph"/>
        <w:tabs>
          <w:tab w:val="left" w:pos="0"/>
        </w:tabs>
        <w:spacing w:line="360" w:lineRule="auto"/>
        <w:ind w:left="0"/>
        <w:jc w:val="both"/>
        <w:rPr>
          <w:rFonts w:ascii="Times New Roman" w:hAnsi="Times New Roman"/>
          <w:b/>
          <w:sz w:val="28"/>
          <w:szCs w:val="28"/>
        </w:rPr>
      </w:pPr>
    </w:p>
    <w:p w14:paraId="724EAECA" w14:textId="77777777" w:rsidR="002D72FE" w:rsidRDefault="002D72FE"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w:t>
      </w:r>
      <w:r w:rsidR="00450F62">
        <w:rPr>
          <w:rFonts w:ascii="Times New Roman" w:hAnsi="Times New Roman"/>
          <w:sz w:val="28"/>
          <w:szCs w:val="28"/>
        </w:rPr>
        <w:t>applicants</w:t>
      </w:r>
      <w:r>
        <w:rPr>
          <w:rFonts w:ascii="Times New Roman" w:hAnsi="Times New Roman"/>
          <w:sz w:val="28"/>
          <w:szCs w:val="28"/>
        </w:rPr>
        <w:t xml:space="preserve"> s</w:t>
      </w:r>
      <w:r w:rsidR="00450F62">
        <w:rPr>
          <w:rFonts w:ascii="Times New Roman" w:hAnsi="Times New Roman"/>
          <w:sz w:val="28"/>
          <w:szCs w:val="28"/>
        </w:rPr>
        <w:t>eek</w:t>
      </w:r>
      <w:r>
        <w:rPr>
          <w:rFonts w:ascii="Times New Roman" w:hAnsi="Times New Roman"/>
          <w:sz w:val="28"/>
          <w:szCs w:val="28"/>
        </w:rPr>
        <w:t xml:space="preserve"> the eviction of the first respondent and all persons occupying through or under him from residential premises situated at 28 Bonnie Doon Place, East London (“the property”).</w:t>
      </w:r>
    </w:p>
    <w:p w14:paraId="4F945D63" w14:textId="77777777" w:rsidR="00450F62" w:rsidRDefault="00450F62" w:rsidP="00450F62">
      <w:pPr>
        <w:pStyle w:val="ListParagraph"/>
        <w:spacing w:line="360" w:lineRule="auto"/>
        <w:ind w:left="0"/>
        <w:jc w:val="both"/>
        <w:rPr>
          <w:rFonts w:ascii="Times New Roman" w:hAnsi="Times New Roman"/>
          <w:sz w:val="28"/>
          <w:szCs w:val="28"/>
        </w:rPr>
      </w:pPr>
    </w:p>
    <w:p w14:paraId="09CF8F49" w14:textId="77777777" w:rsidR="00450F62" w:rsidRDefault="00450F62"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application purports to be one in terms of the provisions of section 4 of the Prevention of Illegal Eviction from and Unlawful Occupation of Land Act, </w:t>
      </w:r>
      <w:r>
        <w:rPr>
          <w:rFonts w:ascii="Times New Roman" w:hAnsi="Times New Roman"/>
          <w:sz w:val="28"/>
          <w:szCs w:val="28"/>
        </w:rPr>
        <w:lastRenderedPageBreak/>
        <w:t xml:space="preserve">No. 19 of 1998 (the “PIE Act”) and is predicated on the basis that the applicants are the lawful owners of the property and the first respondent and his family in unlawful occupation thereof. </w:t>
      </w:r>
      <w:r w:rsidR="001A6F42">
        <w:rPr>
          <w:rFonts w:ascii="Times New Roman" w:hAnsi="Times New Roman"/>
          <w:sz w:val="28"/>
          <w:szCs w:val="28"/>
        </w:rPr>
        <w:t xml:space="preserve">The applicants launched the application on the basis of urgency </w:t>
      </w:r>
      <w:r w:rsidR="00097A0A">
        <w:rPr>
          <w:rFonts w:ascii="Times New Roman" w:hAnsi="Times New Roman"/>
          <w:sz w:val="28"/>
          <w:szCs w:val="28"/>
        </w:rPr>
        <w:t>as provided for in terms of Uniform Rule 6 (12).</w:t>
      </w:r>
    </w:p>
    <w:p w14:paraId="7AB8A1B5" w14:textId="77777777" w:rsidR="00450F62" w:rsidRPr="00450F62" w:rsidRDefault="00450F62" w:rsidP="00450F62">
      <w:pPr>
        <w:pStyle w:val="ListParagraph"/>
        <w:rPr>
          <w:rFonts w:ascii="Times New Roman" w:hAnsi="Times New Roman"/>
          <w:sz w:val="28"/>
          <w:szCs w:val="28"/>
        </w:rPr>
      </w:pPr>
    </w:p>
    <w:p w14:paraId="182093D1" w14:textId="530D21B5" w:rsidR="00450F62" w:rsidRDefault="00450F62"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applicants </w:t>
      </w:r>
      <w:r w:rsidR="00C11A77">
        <w:rPr>
          <w:rFonts w:ascii="Times New Roman" w:hAnsi="Times New Roman"/>
          <w:sz w:val="28"/>
          <w:szCs w:val="28"/>
        </w:rPr>
        <w:t xml:space="preserve">divulged in their founding papers only the </w:t>
      </w:r>
      <w:r w:rsidR="00D4713F">
        <w:rPr>
          <w:rFonts w:ascii="Times New Roman" w:hAnsi="Times New Roman"/>
          <w:sz w:val="28"/>
          <w:szCs w:val="28"/>
        </w:rPr>
        <w:t>premise</w:t>
      </w:r>
      <w:r w:rsidR="00C11A77">
        <w:rPr>
          <w:rFonts w:ascii="Times New Roman" w:hAnsi="Times New Roman"/>
          <w:sz w:val="28"/>
          <w:szCs w:val="28"/>
        </w:rPr>
        <w:t xml:space="preserve"> that they had recently purchased the property and</w:t>
      </w:r>
      <w:r w:rsidR="00502A94">
        <w:rPr>
          <w:rFonts w:ascii="Times New Roman" w:hAnsi="Times New Roman"/>
          <w:sz w:val="28"/>
          <w:szCs w:val="28"/>
        </w:rPr>
        <w:t>,</w:t>
      </w:r>
      <w:r w:rsidR="00C11A77">
        <w:rPr>
          <w:rFonts w:ascii="Times New Roman" w:hAnsi="Times New Roman"/>
          <w:sz w:val="28"/>
          <w:szCs w:val="28"/>
        </w:rPr>
        <w:t xml:space="preserve"> contrary to a provision in the deed of sale guaranteeing them vacant possession</w:t>
      </w:r>
      <w:r w:rsidR="00502A94">
        <w:rPr>
          <w:rFonts w:ascii="Times New Roman" w:hAnsi="Times New Roman"/>
          <w:sz w:val="28"/>
          <w:szCs w:val="28"/>
        </w:rPr>
        <w:t>,</w:t>
      </w:r>
      <w:r w:rsidR="00C11A77">
        <w:rPr>
          <w:rFonts w:ascii="Times New Roman" w:hAnsi="Times New Roman"/>
          <w:sz w:val="28"/>
          <w:szCs w:val="28"/>
        </w:rPr>
        <w:t xml:space="preserve"> </w:t>
      </w:r>
      <w:r w:rsidR="00502A94">
        <w:rPr>
          <w:rFonts w:ascii="Times New Roman" w:hAnsi="Times New Roman"/>
          <w:sz w:val="28"/>
          <w:szCs w:val="28"/>
        </w:rPr>
        <w:t xml:space="preserve">that </w:t>
      </w:r>
      <w:r w:rsidR="00C11A77">
        <w:rPr>
          <w:rFonts w:ascii="Times New Roman" w:hAnsi="Times New Roman"/>
          <w:sz w:val="28"/>
          <w:szCs w:val="28"/>
        </w:rPr>
        <w:t>they had not acquired vacant possession thereof</w:t>
      </w:r>
      <w:r w:rsidR="002C15E9">
        <w:rPr>
          <w:rFonts w:ascii="Times New Roman" w:hAnsi="Times New Roman"/>
          <w:sz w:val="28"/>
          <w:szCs w:val="28"/>
        </w:rPr>
        <w:t xml:space="preserve"> by virtue of the fact that the first respondent and his family </w:t>
      </w:r>
      <w:r w:rsidR="00502A94">
        <w:rPr>
          <w:rFonts w:ascii="Times New Roman" w:hAnsi="Times New Roman"/>
          <w:sz w:val="28"/>
          <w:szCs w:val="28"/>
        </w:rPr>
        <w:t>were found to be</w:t>
      </w:r>
      <w:r w:rsidR="008E1725">
        <w:rPr>
          <w:rFonts w:ascii="Times New Roman" w:hAnsi="Times New Roman"/>
          <w:sz w:val="28"/>
          <w:szCs w:val="28"/>
        </w:rPr>
        <w:t xml:space="preserve"> unlawfu</w:t>
      </w:r>
      <w:r w:rsidR="004105BA">
        <w:rPr>
          <w:rFonts w:ascii="Times New Roman" w:hAnsi="Times New Roman"/>
          <w:sz w:val="28"/>
          <w:szCs w:val="28"/>
        </w:rPr>
        <w:t xml:space="preserve">lly occupying </w:t>
      </w:r>
      <w:r w:rsidR="00502A94">
        <w:rPr>
          <w:rFonts w:ascii="Times New Roman" w:hAnsi="Times New Roman"/>
          <w:sz w:val="28"/>
          <w:szCs w:val="28"/>
        </w:rPr>
        <w:t>the property after registration of transfer to them</w:t>
      </w:r>
      <w:r w:rsidR="004105BA">
        <w:rPr>
          <w:rFonts w:ascii="Times New Roman" w:hAnsi="Times New Roman"/>
          <w:sz w:val="28"/>
          <w:szCs w:val="28"/>
        </w:rPr>
        <w:t>.</w:t>
      </w:r>
    </w:p>
    <w:p w14:paraId="34D38488" w14:textId="77777777" w:rsidR="00ED1170" w:rsidRPr="00ED1170" w:rsidRDefault="00ED1170" w:rsidP="00ED1170">
      <w:pPr>
        <w:pStyle w:val="ListParagraph"/>
        <w:rPr>
          <w:rFonts w:ascii="Times New Roman" w:hAnsi="Times New Roman"/>
          <w:sz w:val="28"/>
          <w:szCs w:val="28"/>
        </w:rPr>
      </w:pPr>
    </w:p>
    <w:p w14:paraId="31901373" w14:textId="77777777" w:rsidR="00ED1170" w:rsidRDefault="00ED1170"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A copy of the deed of sale was not disclosed neither the rather unique circumstances under which the</w:t>
      </w:r>
      <w:r w:rsidR="004105BA">
        <w:rPr>
          <w:rFonts w:ascii="Times New Roman" w:hAnsi="Times New Roman"/>
          <w:sz w:val="28"/>
          <w:szCs w:val="28"/>
        </w:rPr>
        <w:t xml:space="preserve"> applicants</w:t>
      </w:r>
      <w:r>
        <w:rPr>
          <w:rFonts w:ascii="Times New Roman" w:hAnsi="Times New Roman"/>
          <w:sz w:val="28"/>
          <w:szCs w:val="28"/>
        </w:rPr>
        <w:t xml:space="preserve"> came to acquire the property.  </w:t>
      </w:r>
    </w:p>
    <w:p w14:paraId="7F46E589" w14:textId="77777777" w:rsidR="00ED1170" w:rsidRPr="00ED1170" w:rsidRDefault="00ED1170" w:rsidP="00ED1170">
      <w:pPr>
        <w:pStyle w:val="ListParagraph"/>
        <w:rPr>
          <w:rFonts w:ascii="Times New Roman" w:hAnsi="Times New Roman"/>
          <w:sz w:val="28"/>
          <w:szCs w:val="28"/>
        </w:rPr>
      </w:pPr>
    </w:p>
    <w:p w14:paraId="5DE0B2E7" w14:textId="2028B0BF" w:rsidR="006C6BC5" w:rsidRDefault="00ED1170" w:rsidP="002D72FE">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In proof of their ownership of the property they relied only on a copy of a Win</w:t>
      </w:r>
      <w:r w:rsidR="001E22FF">
        <w:rPr>
          <w:rFonts w:ascii="Times New Roman" w:hAnsi="Times New Roman"/>
          <w:sz w:val="28"/>
          <w:szCs w:val="28"/>
        </w:rPr>
        <w:t>Deed report</w:t>
      </w:r>
      <w:r>
        <w:rPr>
          <w:rFonts w:ascii="Times New Roman" w:hAnsi="Times New Roman"/>
          <w:sz w:val="28"/>
          <w:szCs w:val="28"/>
        </w:rPr>
        <w:t xml:space="preserve">, although at the </w:t>
      </w:r>
      <w:r w:rsidR="006C6BC5">
        <w:rPr>
          <w:rFonts w:ascii="Times New Roman" w:hAnsi="Times New Roman"/>
          <w:sz w:val="28"/>
          <w:szCs w:val="28"/>
        </w:rPr>
        <w:t xml:space="preserve">abortive </w:t>
      </w:r>
      <w:r>
        <w:rPr>
          <w:rFonts w:ascii="Times New Roman" w:hAnsi="Times New Roman"/>
          <w:sz w:val="28"/>
          <w:szCs w:val="28"/>
        </w:rPr>
        <w:t xml:space="preserve">first appearance of this matter </w:t>
      </w:r>
      <w:r w:rsidR="001E22FF">
        <w:rPr>
          <w:rFonts w:ascii="Times New Roman" w:hAnsi="Times New Roman"/>
          <w:sz w:val="28"/>
          <w:szCs w:val="28"/>
        </w:rPr>
        <w:t>on 2 November 2021</w:t>
      </w:r>
      <w:r w:rsidR="00F61FFC">
        <w:rPr>
          <w:rStyle w:val="FootnoteReference"/>
          <w:rFonts w:ascii="Times New Roman" w:hAnsi="Times New Roman"/>
          <w:sz w:val="28"/>
          <w:szCs w:val="28"/>
        </w:rPr>
        <w:footnoteReference w:id="1"/>
      </w:r>
      <w:r w:rsidR="001E22FF">
        <w:rPr>
          <w:rFonts w:ascii="Times New Roman" w:hAnsi="Times New Roman"/>
          <w:sz w:val="28"/>
          <w:szCs w:val="28"/>
        </w:rPr>
        <w:t xml:space="preserve"> </w:t>
      </w:r>
      <w:r>
        <w:rPr>
          <w:rFonts w:ascii="Times New Roman" w:hAnsi="Times New Roman"/>
          <w:sz w:val="28"/>
          <w:szCs w:val="28"/>
        </w:rPr>
        <w:t>and in response to the first respondent’s contention that the sale was contrived</w:t>
      </w:r>
      <w:r w:rsidR="001E22FF">
        <w:rPr>
          <w:rFonts w:ascii="Times New Roman" w:hAnsi="Times New Roman"/>
          <w:sz w:val="28"/>
          <w:szCs w:val="28"/>
        </w:rPr>
        <w:t>, put up a copy of the title deed which on the face of it confirms his and his wife’s acquisition of the property on the basis of a sale to them on 12 February 2021 by one Colin Kriel</w:t>
      </w:r>
      <w:r w:rsidR="001A6F42">
        <w:rPr>
          <w:rFonts w:ascii="Times New Roman" w:hAnsi="Times New Roman"/>
          <w:sz w:val="28"/>
          <w:szCs w:val="28"/>
        </w:rPr>
        <w:t xml:space="preserve"> for a purchase consideration of R2 500,000,00</w:t>
      </w:r>
      <w:r w:rsidR="006C6BC5">
        <w:rPr>
          <w:rFonts w:ascii="Times New Roman" w:hAnsi="Times New Roman"/>
          <w:sz w:val="28"/>
          <w:szCs w:val="28"/>
        </w:rPr>
        <w:t>.</w:t>
      </w:r>
      <w:r w:rsidR="009D2E18">
        <w:rPr>
          <w:rStyle w:val="FootnoteReference"/>
          <w:rFonts w:ascii="Times New Roman" w:hAnsi="Times New Roman"/>
          <w:sz w:val="28"/>
          <w:szCs w:val="28"/>
        </w:rPr>
        <w:footnoteReference w:id="2"/>
      </w:r>
      <w:r w:rsidR="006C6BC5">
        <w:rPr>
          <w:rFonts w:ascii="Times New Roman" w:hAnsi="Times New Roman"/>
          <w:sz w:val="28"/>
          <w:szCs w:val="28"/>
        </w:rPr>
        <w:t xml:space="preserve"> </w:t>
      </w:r>
      <w:r w:rsidR="00E60E72">
        <w:rPr>
          <w:rFonts w:ascii="Times New Roman" w:hAnsi="Times New Roman"/>
          <w:sz w:val="28"/>
          <w:szCs w:val="28"/>
        </w:rPr>
        <w:t>Even though</w:t>
      </w:r>
      <w:r w:rsidR="006C6BC5">
        <w:rPr>
          <w:rFonts w:ascii="Times New Roman" w:hAnsi="Times New Roman"/>
          <w:sz w:val="28"/>
          <w:szCs w:val="28"/>
        </w:rPr>
        <w:t xml:space="preserve"> this detail was </w:t>
      </w:r>
      <w:r w:rsidR="001E22FF">
        <w:rPr>
          <w:rFonts w:ascii="Times New Roman" w:hAnsi="Times New Roman"/>
          <w:sz w:val="28"/>
          <w:szCs w:val="28"/>
        </w:rPr>
        <w:t>not volunteered from the outset</w:t>
      </w:r>
      <w:r w:rsidR="006C6BC5">
        <w:rPr>
          <w:rFonts w:ascii="Times New Roman" w:hAnsi="Times New Roman"/>
          <w:sz w:val="28"/>
          <w:szCs w:val="28"/>
        </w:rPr>
        <w:t>,</w:t>
      </w:r>
      <w:r w:rsidR="001E22FF">
        <w:rPr>
          <w:rFonts w:ascii="Times New Roman" w:hAnsi="Times New Roman"/>
          <w:sz w:val="28"/>
          <w:szCs w:val="28"/>
        </w:rPr>
        <w:t xml:space="preserve"> </w:t>
      </w:r>
      <w:r w:rsidR="006C6BC5">
        <w:rPr>
          <w:rFonts w:ascii="Times New Roman" w:hAnsi="Times New Roman"/>
          <w:sz w:val="28"/>
          <w:szCs w:val="28"/>
        </w:rPr>
        <w:t xml:space="preserve">it is common cause </w:t>
      </w:r>
      <w:r w:rsidR="001A6F42">
        <w:rPr>
          <w:rFonts w:ascii="Times New Roman" w:hAnsi="Times New Roman"/>
          <w:sz w:val="28"/>
          <w:szCs w:val="28"/>
        </w:rPr>
        <w:t>that Colin Kriel</w:t>
      </w:r>
      <w:r w:rsidR="006C6BC5">
        <w:rPr>
          <w:rFonts w:ascii="Times New Roman" w:hAnsi="Times New Roman"/>
          <w:sz w:val="28"/>
          <w:szCs w:val="28"/>
        </w:rPr>
        <w:t xml:space="preserve"> </w:t>
      </w:r>
      <w:r w:rsidR="001E22FF">
        <w:rPr>
          <w:rFonts w:ascii="Times New Roman" w:hAnsi="Times New Roman"/>
          <w:sz w:val="28"/>
          <w:szCs w:val="28"/>
        </w:rPr>
        <w:t xml:space="preserve">is the uncle of the </w:t>
      </w:r>
      <w:r w:rsidR="006C6BC5">
        <w:rPr>
          <w:rFonts w:ascii="Times New Roman" w:hAnsi="Times New Roman"/>
          <w:sz w:val="28"/>
          <w:szCs w:val="28"/>
        </w:rPr>
        <w:t>second applicant</w:t>
      </w:r>
      <w:r w:rsidR="00097A0A">
        <w:rPr>
          <w:rFonts w:ascii="Times New Roman" w:hAnsi="Times New Roman"/>
          <w:sz w:val="28"/>
          <w:szCs w:val="28"/>
        </w:rPr>
        <w:t xml:space="preserve"> </w:t>
      </w:r>
      <w:r w:rsidR="009D2E18">
        <w:rPr>
          <w:rFonts w:ascii="Times New Roman" w:hAnsi="Times New Roman"/>
          <w:sz w:val="28"/>
          <w:szCs w:val="28"/>
        </w:rPr>
        <w:t>who</w:t>
      </w:r>
      <w:r w:rsidR="00097A0A">
        <w:rPr>
          <w:rFonts w:ascii="Times New Roman" w:hAnsi="Times New Roman"/>
          <w:sz w:val="28"/>
          <w:szCs w:val="28"/>
        </w:rPr>
        <w:t xml:space="preserve"> evidently</w:t>
      </w:r>
      <w:r w:rsidR="009D2E18">
        <w:rPr>
          <w:rFonts w:ascii="Times New Roman" w:hAnsi="Times New Roman"/>
          <w:sz w:val="28"/>
          <w:szCs w:val="28"/>
        </w:rPr>
        <w:t xml:space="preserve"> also transacted professional business with her</w:t>
      </w:r>
      <w:r w:rsidR="00097A0A">
        <w:rPr>
          <w:rFonts w:ascii="Times New Roman" w:hAnsi="Times New Roman"/>
          <w:sz w:val="28"/>
          <w:szCs w:val="28"/>
        </w:rPr>
        <w:t xml:space="preserve"> eponym</w:t>
      </w:r>
      <w:r w:rsidR="009D2E18">
        <w:rPr>
          <w:rFonts w:ascii="Times New Roman" w:hAnsi="Times New Roman"/>
          <w:sz w:val="28"/>
          <w:szCs w:val="28"/>
        </w:rPr>
        <w:t>ous firm, Kriel Petersen Attorneys of East London</w:t>
      </w:r>
      <w:r w:rsidR="00E60E72">
        <w:rPr>
          <w:rFonts w:ascii="Times New Roman" w:hAnsi="Times New Roman"/>
          <w:sz w:val="28"/>
          <w:szCs w:val="28"/>
        </w:rPr>
        <w:t>. The firm’s name is endorsed on the face of the title deed</w:t>
      </w:r>
      <w:r w:rsidR="00502A94">
        <w:rPr>
          <w:rFonts w:ascii="Times New Roman" w:hAnsi="Times New Roman"/>
          <w:sz w:val="28"/>
          <w:szCs w:val="28"/>
        </w:rPr>
        <w:t xml:space="preserve">, </w:t>
      </w:r>
      <w:r w:rsidR="00E60E72">
        <w:rPr>
          <w:rFonts w:ascii="Times New Roman" w:hAnsi="Times New Roman"/>
          <w:sz w:val="28"/>
          <w:szCs w:val="28"/>
        </w:rPr>
        <w:t xml:space="preserve">suggesting their professional involvement in the transfer of the property to </w:t>
      </w:r>
      <w:r w:rsidR="00DF0DB9">
        <w:rPr>
          <w:rFonts w:ascii="Times New Roman" w:hAnsi="Times New Roman"/>
          <w:sz w:val="28"/>
          <w:szCs w:val="28"/>
        </w:rPr>
        <w:t xml:space="preserve">herself and her </w:t>
      </w:r>
      <w:r w:rsidR="00DB0118">
        <w:rPr>
          <w:rFonts w:ascii="Times New Roman" w:hAnsi="Times New Roman"/>
          <w:sz w:val="28"/>
          <w:szCs w:val="28"/>
        </w:rPr>
        <w:t>husband</w:t>
      </w:r>
      <w:r w:rsidR="00502A94">
        <w:rPr>
          <w:rFonts w:ascii="Times New Roman" w:hAnsi="Times New Roman"/>
          <w:sz w:val="28"/>
          <w:szCs w:val="28"/>
        </w:rPr>
        <w:t xml:space="preserve"> as well.</w:t>
      </w:r>
    </w:p>
    <w:p w14:paraId="103C24C2" w14:textId="77777777" w:rsidR="006C6BC5" w:rsidRPr="006C6BC5" w:rsidRDefault="006C6BC5" w:rsidP="006C6BC5">
      <w:pPr>
        <w:pStyle w:val="ListParagraph"/>
        <w:rPr>
          <w:rFonts w:ascii="Times New Roman" w:hAnsi="Times New Roman"/>
          <w:sz w:val="28"/>
          <w:szCs w:val="28"/>
        </w:rPr>
      </w:pPr>
    </w:p>
    <w:p w14:paraId="6E5ADBF9" w14:textId="77777777" w:rsidR="00EE5440" w:rsidRDefault="006C6BC5" w:rsidP="00011BEB">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011BEB">
        <w:rPr>
          <w:rFonts w:ascii="Times New Roman" w:hAnsi="Times New Roman"/>
          <w:sz w:val="28"/>
          <w:szCs w:val="28"/>
        </w:rPr>
        <w:t>Although t</w:t>
      </w:r>
      <w:r>
        <w:rPr>
          <w:rFonts w:ascii="Times New Roman" w:hAnsi="Times New Roman"/>
          <w:sz w:val="28"/>
          <w:szCs w:val="28"/>
        </w:rPr>
        <w:t>he first respondent</w:t>
      </w:r>
      <w:r w:rsidR="00DA369A">
        <w:rPr>
          <w:rFonts w:ascii="Times New Roman" w:hAnsi="Times New Roman"/>
          <w:sz w:val="28"/>
          <w:szCs w:val="28"/>
        </w:rPr>
        <w:t>’s attorney</w:t>
      </w:r>
      <w:r>
        <w:rPr>
          <w:rFonts w:ascii="Times New Roman" w:hAnsi="Times New Roman"/>
          <w:sz w:val="28"/>
          <w:szCs w:val="28"/>
        </w:rPr>
        <w:t xml:space="preserve"> ostensibly objected to the</w:t>
      </w:r>
      <w:r w:rsidR="001A6F42">
        <w:rPr>
          <w:rFonts w:ascii="Times New Roman" w:hAnsi="Times New Roman"/>
          <w:sz w:val="28"/>
          <w:szCs w:val="28"/>
        </w:rPr>
        <w:t xml:space="preserve"> introduction of </w:t>
      </w:r>
      <w:r w:rsidR="00B121A3">
        <w:rPr>
          <w:rFonts w:ascii="Times New Roman" w:hAnsi="Times New Roman"/>
          <w:sz w:val="28"/>
          <w:szCs w:val="28"/>
        </w:rPr>
        <w:t>the title deed as</w:t>
      </w:r>
      <w:r w:rsidR="001A6F42">
        <w:rPr>
          <w:rFonts w:ascii="Times New Roman" w:hAnsi="Times New Roman"/>
          <w:sz w:val="28"/>
          <w:szCs w:val="28"/>
        </w:rPr>
        <w:t xml:space="preserve"> </w:t>
      </w:r>
      <w:r w:rsidR="00011BEB">
        <w:rPr>
          <w:rFonts w:ascii="Times New Roman" w:hAnsi="Times New Roman"/>
          <w:sz w:val="28"/>
          <w:szCs w:val="28"/>
        </w:rPr>
        <w:t>proof of ownership at</w:t>
      </w:r>
      <w:r w:rsidR="001A6F42">
        <w:rPr>
          <w:rFonts w:ascii="Times New Roman" w:hAnsi="Times New Roman"/>
          <w:sz w:val="28"/>
          <w:szCs w:val="28"/>
        </w:rPr>
        <w:t xml:space="preserve"> the initial hearing when the </w:t>
      </w:r>
      <w:r w:rsidR="00011BEB">
        <w:rPr>
          <w:rFonts w:ascii="Times New Roman" w:hAnsi="Times New Roman"/>
          <w:sz w:val="28"/>
          <w:szCs w:val="28"/>
        </w:rPr>
        <w:t>application</w:t>
      </w:r>
      <w:r w:rsidR="001A6F42">
        <w:rPr>
          <w:rFonts w:ascii="Times New Roman" w:hAnsi="Times New Roman"/>
          <w:sz w:val="28"/>
          <w:szCs w:val="28"/>
        </w:rPr>
        <w:t xml:space="preserve"> was </w:t>
      </w:r>
      <w:r w:rsidR="00011BEB">
        <w:rPr>
          <w:rFonts w:ascii="Times New Roman" w:hAnsi="Times New Roman"/>
          <w:sz w:val="28"/>
          <w:szCs w:val="28"/>
        </w:rPr>
        <w:t>struck from the roll for want of urgency, it</w:t>
      </w:r>
      <w:r w:rsidR="001E22FF">
        <w:rPr>
          <w:rFonts w:ascii="Times New Roman" w:hAnsi="Times New Roman"/>
          <w:sz w:val="28"/>
          <w:szCs w:val="28"/>
        </w:rPr>
        <w:t xml:space="preserve"> can hardly be gainsaid that the </w:t>
      </w:r>
      <w:r w:rsidR="00011BEB">
        <w:rPr>
          <w:rFonts w:ascii="Times New Roman" w:hAnsi="Times New Roman"/>
          <w:sz w:val="28"/>
          <w:szCs w:val="28"/>
        </w:rPr>
        <w:t>applicants</w:t>
      </w:r>
      <w:r w:rsidR="001E22FF">
        <w:rPr>
          <w:rFonts w:ascii="Times New Roman" w:hAnsi="Times New Roman"/>
          <w:sz w:val="28"/>
          <w:szCs w:val="28"/>
        </w:rPr>
        <w:t xml:space="preserve"> took ownership of the property on 28 July 2021.</w:t>
      </w:r>
    </w:p>
    <w:p w14:paraId="2EB5D3D2" w14:textId="77777777" w:rsidR="00011BEB" w:rsidRPr="00011BEB" w:rsidRDefault="00011BEB" w:rsidP="00011BEB">
      <w:pPr>
        <w:pStyle w:val="ListParagraph"/>
        <w:spacing w:line="360" w:lineRule="auto"/>
        <w:ind w:left="0"/>
        <w:jc w:val="both"/>
        <w:rPr>
          <w:rFonts w:ascii="Times New Roman" w:hAnsi="Times New Roman"/>
          <w:sz w:val="28"/>
          <w:szCs w:val="28"/>
        </w:rPr>
      </w:pPr>
    </w:p>
    <w:p w14:paraId="108BFC94" w14:textId="5069E391" w:rsidR="00EE5440" w:rsidRDefault="00011BEB" w:rsidP="00EE544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Notwithstanding </w:t>
      </w:r>
      <w:r w:rsidR="009266CB">
        <w:rPr>
          <w:rFonts w:ascii="Times New Roman" w:hAnsi="Times New Roman"/>
          <w:sz w:val="28"/>
          <w:szCs w:val="28"/>
        </w:rPr>
        <w:t>the</w:t>
      </w:r>
      <w:r w:rsidR="00E67542">
        <w:rPr>
          <w:rFonts w:ascii="Times New Roman" w:hAnsi="Times New Roman"/>
          <w:sz w:val="28"/>
          <w:szCs w:val="28"/>
        </w:rPr>
        <w:t xml:space="preserve"> applicants’</w:t>
      </w:r>
      <w:r w:rsidR="009266CB">
        <w:rPr>
          <w:rFonts w:ascii="Times New Roman" w:hAnsi="Times New Roman"/>
          <w:sz w:val="28"/>
          <w:szCs w:val="28"/>
        </w:rPr>
        <w:t xml:space="preserve"> right</w:t>
      </w:r>
      <w:r w:rsidR="00B9752A">
        <w:rPr>
          <w:rFonts w:ascii="Times New Roman" w:hAnsi="Times New Roman"/>
          <w:sz w:val="28"/>
          <w:szCs w:val="28"/>
        </w:rPr>
        <w:t>s</w:t>
      </w:r>
      <w:r w:rsidR="009266CB">
        <w:rPr>
          <w:rFonts w:ascii="Times New Roman" w:hAnsi="Times New Roman"/>
          <w:sz w:val="28"/>
          <w:szCs w:val="28"/>
        </w:rPr>
        <w:t xml:space="preserve"> as owners to </w:t>
      </w:r>
      <w:r w:rsidR="00E67542">
        <w:rPr>
          <w:rFonts w:ascii="Times New Roman" w:hAnsi="Times New Roman"/>
          <w:sz w:val="28"/>
          <w:szCs w:val="28"/>
        </w:rPr>
        <w:t xml:space="preserve">recover possession of their property by resort to the </w:t>
      </w:r>
      <w:r w:rsidR="00E67542" w:rsidRPr="00E67542">
        <w:rPr>
          <w:rFonts w:ascii="Times New Roman" w:hAnsi="Times New Roman"/>
          <w:i/>
          <w:iCs/>
          <w:sz w:val="28"/>
          <w:szCs w:val="28"/>
        </w:rPr>
        <w:t>rei vindicatio</w:t>
      </w:r>
      <w:r w:rsidR="00E67542">
        <w:rPr>
          <w:rFonts w:ascii="Times New Roman" w:hAnsi="Times New Roman"/>
          <w:sz w:val="28"/>
          <w:szCs w:val="28"/>
        </w:rPr>
        <w:t>, t</w:t>
      </w:r>
      <w:r w:rsidR="00EE5440">
        <w:rPr>
          <w:rFonts w:ascii="Times New Roman" w:hAnsi="Times New Roman"/>
          <w:sz w:val="28"/>
          <w:szCs w:val="28"/>
        </w:rPr>
        <w:t>he first respondent oppose</w:t>
      </w:r>
      <w:r w:rsidR="00886C51">
        <w:rPr>
          <w:rFonts w:ascii="Times New Roman" w:hAnsi="Times New Roman"/>
          <w:sz w:val="28"/>
          <w:szCs w:val="28"/>
        </w:rPr>
        <w:t>s</w:t>
      </w:r>
      <w:r w:rsidR="00EE5440">
        <w:rPr>
          <w:rFonts w:ascii="Times New Roman" w:hAnsi="Times New Roman"/>
          <w:sz w:val="28"/>
          <w:szCs w:val="28"/>
        </w:rPr>
        <w:t xml:space="preserve"> the application</w:t>
      </w:r>
      <w:r w:rsidR="00E67542">
        <w:rPr>
          <w:rFonts w:ascii="Times New Roman" w:hAnsi="Times New Roman"/>
          <w:sz w:val="28"/>
          <w:szCs w:val="28"/>
        </w:rPr>
        <w:t xml:space="preserve"> on the primary basis that he is not an “unlawful occupier” within the meaning contended for in the PIE Act.</w:t>
      </w:r>
      <w:r w:rsidR="00C5290F">
        <w:rPr>
          <w:rStyle w:val="FootnoteReference"/>
          <w:rFonts w:ascii="Times New Roman" w:hAnsi="Times New Roman"/>
          <w:sz w:val="28"/>
          <w:szCs w:val="28"/>
        </w:rPr>
        <w:footnoteReference w:id="3"/>
      </w:r>
      <w:r w:rsidR="00E67542">
        <w:rPr>
          <w:rFonts w:ascii="Times New Roman" w:hAnsi="Times New Roman"/>
          <w:sz w:val="28"/>
          <w:szCs w:val="28"/>
        </w:rPr>
        <w:t xml:space="preserve"> He pleads </w:t>
      </w:r>
      <w:r w:rsidR="00655EFF">
        <w:rPr>
          <w:rFonts w:ascii="Times New Roman" w:hAnsi="Times New Roman"/>
          <w:sz w:val="28"/>
          <w:szCs w:val="28"/>
        </w:rPr>
        <w:t>over</w:t>
      </w:r>
      <w:r w:rsidR="00804A6B">
        <w:rPr>
          <w:rFonts w:ascii="Times New Roman" w:hAnsi="Times New Roman"/>
          <w:sz w:val="28"/>
          <w:szCs w:val="28"/>
        </w:rPr>
        <w:t xml:space="preserve"> that it would not be just and equitable to </w:t>
      </w:r>
      <w:r w:rsidR="00655EFF">
        <w:rPr>
          <w:rFonts w:ascii="Times New Roman" w:hAnsi="Times New Roman"/>
          <w:sz w:val="28"/>
          <w:szCs w:val="28"/>
        </w:rPr>
        <w:t xml:space="preserve">evict him and his family and </w:t>
      </w:r>
      <w:r w:rsidR="00022C0D">
        <w:rPr>
          <w:rFonts w:ascii="Times New Roman" w:hAnsi="Times New Roman"/>
          <w:sz w:val="28"/>
          <w:szCs w:val="28"/>
        </w:rPr>
        <w:t xml:space="preserve">that </w:t>
      </w:r>
      <w:r w:rsidR="00655EFF">
        <w:rPr>
          <w:rFonts w:ascii="Times New Roman" w:hAnsi="Times New Roman"/>
          <w:sz w:val="28"/>
          <w:szCs w:val="28"/>
        </w:rPr>
        <w:t>they would be rendered homeless</w:t>
      </w:r>
      <w:r w:rsidR="00C5290F">
        <w:rPr>
          <w:rFonts w:ascii="Times New Roman" w:hAnsi="Times New Roman"/>
          <w:sz w:val="28"/>
          <w:szCs w:val="28"/>
        </w:rPr>
        <w:t xml:space="preserve"> by such injunction</w:t>
      </w:r>
      <w:r w:rsidR="00D6238A">
        <w:rPr>
          <w:rFonts w:ascii="Times New Roman" w:hAnsi="Times New Roman"/>
          <w:sz w:val="28"/>
          <w:szCs w:val="28"/>
        </w:rPr>
        <w:t>,</w:t>
      </w:r>
      <w:r w:rsidR="00110148">
        <w:rPr>
          <w:rFonts w:ascii="Times New Roman" w:hAnsi="Times New Roman"/>
          <w:sz w:val="28"/>
          <w:szCs w:val="28"/>
        </w:rPr>
        <w:t xml:space="preserve"> but </w:t>
      </w:r>
      <w:r w:rsidR="00D6238A">
        <w:rPr>
          <w:rFonts w:ascii="Times New Roman" w:hAnsi="Times New Roman"/>
          <w:sz w:val="28"/>
          <w:szCs w:val="28"/>
        </w:rPr>
        <w:t xml:space="preserve">evidently </w:t>
      </w:r>
      <w:r w:rsidR="00085D0D">
        <w:rPr>
          <w:rFonts w:ascii="Times New Roman" w:hAnsi="Times New Roman"/>
          <w:sz w:val="28"/>
          <w:szCs w:val="28"/>
        </w:rPr>
        <w:t xml:space="preserve">his main concern by such eviction is that it will </w:t>
      </w:r>
      <w:r w:rsidR="005C1FEC">
        <w:rPr>
          <w:rFonts w:ascii="Times New Roman" w:hAnsi="Times New Roman"/>
          <w:sz w:val="28"/>
          <w:szCs w:val="28"/>
        </w:rPr>
        <w:t>“render (his) case with Colin (Kriel) moot”</w:t>
      </w:r>
      <w:r w:rsidR="00104255">
        <w:rPr>
          <w:rFonts w:ascii="Times New Roman" w:hAnsi="Times New Roman"/>
          <w:sz w:val="28"/>
          <w:szCs w:val="28"/>
        </w:rPr>
        <w:t>.</w:t>
      </w:r>
      <w:r w:rsidR="007F6D6B">
        <w:rPr>
          <w:rStyle w:val="FootnoteReference"/>
          <w:rFonts w:ascii="Times New Roman" w:hAnsi="Times New Roman"/>
          <w:sz w:val="28"/>
          <w:szCs w:val="28"/>
        </w:rPr>
        <w:footnoteReference w:id="4"/>
      </w:r>
      <w:r w:rsidR="0001533A">
        <w:rPr>
          <w:rFonts w:ascii="Times New Roman" w:hAnsi="Times New Roman"/>
          <w:sz w:val="28"/>
          <w:szCs w:val="28"/>
        </w:rPr>
        <w:t xml:space="preserve"> The</w:t>
      </w:r>
      <w:r w:rsidR="00BF73CB">
        <w:rPr>
          <w:rFonts w:ascii="Times New Roman" w:hAnsi="Times New Roman"/>
          <w:sz w:val="28"/>
          <w:szCs w:val="28"/>
        </w:rPr>
        <w:t xml:space="preserve"> first respondent and his family</w:t>
      </w:r>
      <w:r w:rsidR="00856279">
        <w:rPr>
          <w:rFonts w:ascii="Times New Roman" w:hAnsi="Times New Roman"/>
          <w:sz w:val="28"/>
          <w:szCs w:val="28"/>
        </w:rPr>
        <w:t xml:space="preserve"> have lived in the property since </w:t>
      </w:r>
      <w:r w:rsidR="005C3142">
        <w:rPr>
          <w:rFonts w:ascii="Times New Roman" w:hAnsi="Times New Roman"/>
          <w:sz w:val="28"/>
          <w:szCs w:val="28"/>
        </w:rPr>
        <w:t>February 2016</w:t>
      </w:r>
      <w:r w:rsidR="0001533A">
        <w:rPr>
          <w:rFonts w:ascii="Times New Roman" w:hAnsi="Times New Roman"/>
          <w:sz w:val="28"/>
          <w:szCs w:val="28"/>
        </w:rPr>
        <w:t xml:space="preserve"> although the applicants plead that th</w:t>
      </w:r>
      <w:r w:rsidR="00C2709E">
        <w:rPr>
          <w:rFonts w:ascii="Times New Roman" w:hAnsi="Times New Roman"/>
          <w:sz w:val="28"/>
          <w:szCs w:val="28"/>
        </w:rPr>
        <w:t xml:space="preserve">eir unlawful occupation of the property </w:t>
      </w:r>
      <w:r w:rsidR="00B84160">
        <w:rPr>
          <w:rFonts w:ascii="Times New Roman" w:hAnsi="Times New Roman"/>
          <w:sz w:val="28"/>
          <w:szCs w:val="28"/>
        </w:rPr>
        <w:t xml:space="preserve">spans </w:t>
      </w:r>
      <w:r w:rsidR="008E512D">
        <w:rPr>
          <w:rFonts w:ascii="Times New Roman" w:hAnsi="Times New Roman"/>
          <w:sz w:val="28"/>
          <w:szCs w:val="28"/>
        </w:rPr>
        <w:t xml:space="preserve">only from the date </w:t>
      </w:r>
      <w:r w:rsidR="001351DD">
        <w:rPr>
          <w:rFonts w:ascii="Times New Roman" w:hAnsi="Times New Roman"/>
          <w:sz w:val="28"/>
          <w:szCs w:val="28"/>
        </w:rPr>
        <w:t xml:space="preserve">upon which </w:t>
      </w:r>
      <w:r w:rsidR="008E512D">
        <w:rPr>
          <w:rFonts w:ascii="Times New Roman" w:hAnsi="Times New Roman"/>
          <w:sz w:val="28"/>
          <w:szCs w:val="28"/>
        </w:rPr>
        <w:t>they took transfer of the property.</w:t>
      </w:r>
      <w:r w:rsidR="00D11321">
        <w:rPr>
          <w:rStyle w:val="FootnoteReference"/>
          <w:rFonts w:ascii="Times New Roman" w:hAnsi="Times New Roman"/>
          <w:sz w:val="28"/>
          <w:szCs w:val="28"/>
        </w:rPr>
        <w:footnoteReference w:id="5"/>
      </w:r>
      <w:r w:rsidR="00C2709E">
        <w:rPr>
          <w:rFonts w:ascii="Times New Roman" w:hAnsi="Times New Roman"/>
          <w:sz w:val="28"/>
          <w:szCs w:val="28"/>
        </w:rPr>
        <w:t xml:space="preserve"> </w:t>
      </w:r>
    </w:p>
    <w:p w14:paraId="656572B6" w14:textId="77777777" w:rsidR="00EE5440" w:rsidRPr="00EE5440" w:rsidRDefault="00EE5440" w:rsidP="00EE5440">
      <w:pPr>
        <w:pStyle w:val="ListParagraph"/>
        <w:rPr>
          <w:rFonts w:ascii="Times New Roman" w:hAnsi="Times New Roman"/>
          <w:sz w:val="28"/>
          <w:szCs w:val="28"/>
        </w:rPr>
      </w:pPr>
    </w:p>
    <w:p w14:paraId="7FEE8BC0" w14:textId="77777777" w:rsidR="00EE5440" w:rsidRDefault="00EE5440" w:rsidP="00EE544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In essence </w:t>
      </w:r>
      <w:r w:rsidR="001351DD">
        <w:rPr>
          <w:rFonts w:ascii="Times New Roman" w:hAnsi="Times New Roman"/>
          <w:sz w:val="28"/>
          <w:szCs w:val="28"/>
        </w:rPr>
        <w:t>the first respondent</w:t>
      </w:r>
      <w:r>
        <w:rPr>
          <w:rFonts w:ascii="Times New Roman" w:hAnsi="Times New Roman"/>
          <w:sz w:val="28"/>
          <w:szCs w:val="28"/>
        </w:rPr>
        <w:t xml:space="preserve"> allege</w:t>
      </w:r>
      <w:r w:rsidR="006C68C6">
        <w:rPr>
          <w:rFonts w:ascii="Times New Roman" w:hAnsi="Times New Roman"/>
          <w:sz w:val="28"/>
          <w:szCs w:val="28"/>
        </w:rPr>
        <w:t>s</w:t>
      </w:r>
      <w:r>
        <w:rPr>
          <w:rFonts w:ascii="Times New Roman" w:hAnsi="Times New Roman"/>
          <w:sz w:val="28"/>
          <w:szCs w:val="28"/>
        </w:rPr>
        <w:t xml:space="preserve"> a contrived purchase by the applicants of the property in order to thwart a “lien” he has over it.  This lien, so he explain</w:t>
      </w:r>
      <w:r w:rsidR="00215F12">
        <w:rPr>
          <w:rFonts w:ascii="Times New Roman" w:hAnsi="Times New Roman"/>
          <w:sz w:val="28"/>
          <w:szCs w:val="28"/>
        </w:rPr>
        <w:t>ed</w:t>
      </w:r>
      <w:r>
        <w:rPr>
          <w:rFonts w:ascii="Times New Roman" w:hAnsi="Times New Roman"/>
          <w:sz w:val="28"/>
          <w:szCs w:val="28"/>
        </w:rPr>
        <w:t xml:space="preserve">, had its origin in a </w:t>
      </w:r>
      <w:r w:rsidR="008B3746">
        <w:rPr>
          <w:rFonts w:ascii="Times New Roman" w:hAnsi="Times New Roman"/>
          <w:sz w:val="28"/>
          <w:szCs w:val="28"/>
        </w:rPr>
        <w:t>“</w:t>
      </w:r>
      <w:r>
        <w:rPr>
          <w:rFonts w:ascii="Times New Roman" w:hAnsi="Times New Roman"/>
          <w:sz w:val="28"/>
          <w:szCs w:val="28"/>
        </w:rPr>
        <w:t>loan</w:t>
      </w:r>
      <w:r w:rsidR="008B3746">
        <w:rPr>
          <w:rFonts w:ascii="Times New Roman" w:hAnsi="Times New Roman"/>
          <w:sz w:val="28"/>
          <w:szCs w:val="28"/>
        </w:rPr>
        <w:t>”</w:t>
      </w:r>
      <w:r>
        <w:rPr>
          <w:rFonts w:ascii="Times New Roman" w:hAnsi="Times New Roman"/>
          <w:sz w:val="28"/>
          <w:szCs w:val="28"/>
        </w:rPr>
        <w:t xml:space="preserve"> he advanced to Colin Kriel, who was introduced to him by the second applicant in her capacity as attorney or conveyancer after she was professionally involved in a failed </w:t>
      </w:r>
      <w:r w:rsidR="005024CA">
        <w:rPr>
          <w:rFonts w:ascii="Times New Roman" w:hAnsi="Times New Roman"/>
          <w:sz w:val="28"/>
          <w:szCs w:val="28"/>
        </w:rPr>
        <w:t xml:space="preserve">property </w:t>
      </w:r>
      <w:r w:rsidR="008B3746">
        <w:rPr>
          <w:rFonts w:ascii="Times New Roman" w:hAnsi="Times New Roman"/>
          <w:sz w:val="28"/>
          <w:szCs w:val="28"/>
        </w:rPr>
        <w:t>acquisition</w:t>
      </w:r>
      <w:r w:rsidR="00341A05">
        <w:rPr>
          <w:rFonts w:ascii="Times New Roman" w:hAnsi="Times New Roman"/>
          <w:sz w:val="28"/>
          <w:szCs w:val="28"/>
        </w:rPr>
        <w:t xml:space="preserve"> </w:t>
      </w:r>
      <w:r w:rsidR="00E63190">
        <w:rPr>
          <w:rFonts w:ascii="Times New Roman" w:hAnsi="Times New Roman"/>
          <w:sz w:val="28"/>
          <w:szCs w:val="28"/>
        </w:rPr>
        <w:t>by</w:t>
      </w:r>
      <w:r w:rsidR="00FD53D4">
        <w:rPr>
          <w:rFonts w:ascii="Times New Roman" w:hAnsi="Times New Roman"/>
          <w:sz w:val="28"/>
          <w:szCs w:val="28"/>
        </w:rPr>
        <w:t xml:space="preserve"> </w:t>
      </w:r>
      <w:r w:rsidR="00341A05">
        <w:rPr>
          <w:rFonts w:ascii="Times New Roman" w:hAnsi="Times New Roman"/>
          <w:sz w:val="28"/>
          <w:szCs w:val="28"/>
        </w:rPr>
        <w:t>him</w:t>
      </w:r>
      <w:r>
        <w:rPr>
          <w:rFonts w:ascii="Times New Roman" w:hAnsi="Times New Roman"/>
          <w:sz w:val="28"/>
          <w:szCs w:val="28"/>
        </w:rPr>
        <w:t xml:space="preserve">.  He alleges that she encouraged him to </w:t>
      </w:r>
      <w:r w:rsidR="00202B64">
        <w:rPr>
          <w:rFonts w:ascii="Times New Roman" w:hAnsi="Times New Roman"/>
          <w:sz w:val="28"/>
          <w:szCs w:val="28"/>
        </w:rPr>
        <w:t>“</w:t>
      </w:r>
      <w:r>
        <w:rPr>
          <w:rFonts w:ascii="Times New Roman" w:hAnsi="Times New Roman"/>
          <w:sz w:val="28"/>
          <w:szCs w:val="28"/>
        </w:rPr>
        <w:t>triple</w:t>
      </w:r>
      <w:r w:rsidR="00202B64">
        <w:rPr>
          <w:rFonts w:ascii="Times New Roman" w:hAnsi="Times New Roman"/>
          <w:sz w:val="28"/>
          <w:szCs w:val="28"/>
        </w:rPr>
        <w:t>”</w:t>
      </w:r>
      <w:r>
        <w:rPr>
          <w:rFonts w:ascii="Times New Roman" w:hAnsi="Times New Roman"/>
          <w:sz w:val="28"/>
          <w:szCs w:val="28"/>
        </w:rPr>
        <w:t xml:space="preserve"> </w:t>
      </w:r>
      <w:r w:rsidR="004236AD">
        <w:rPr>
          <w:rFonts w:ascii="Times New Roman" w:hAnsi="Times New Roman"/>
          <w:sz w:val="28"/>
          <w:szCs w:val="28"/>
        </w:rPr>
        <w:t>his</w:t>
      </w:r>
      <w:r>
        <w:rPr>
          <w:rFonts w:ascii="Times New Roman" w:hAnsi="Times New Roman"/>
          <w:sz w:val="28"/>
          <w:szCs w:val="28"/>
        </w:rPr>
        <w:t xml:space="preserve"> deposit of </w:t>
      </w:r>
      <w:r>
        <w:rPr>
          <w:rFonts w:ascii="Times New Roman" w:hAnsi="Times New Roman"/>
          <w:sz w:val="28"/>
          <w:szCs w:val="28"/>
        </w:rPr>
        <w:lastRenderedPageBreak/>
        <w:t>R1 900 000.00 which he had paid into the trust account of her law firm as a payment towards the purchase price of the failed transaction</w:t>
      </w:r>
      <w:r w:rsidR="00215F12">
        <w:rPr>
          <w:rFonts w:ascii="Times New Roman" w:hAnsi="Times New Roman"/>
          <w:sz w:val="28"/>
          <w:szCs w:val="28"/>
        </w:rPr>
        <w:t>,</w:t>
      </w:r>
      <w:r>
        <w:rPr>
          <w:rFonts w:ascii="Times New Roman" w:hAnsi="Times New Roman"/>
          <w:sz w:val="28"/>
          <w:szCs w:val="28"/>
        </w:rPr>
        <w:t xml:space="preserve"> </w:t>
      </w:r>
      <w:r w:rsidR="00F40889">
        <w:rPr>
          <w:rFonts w:ascii="Times New Roman" w:hAnsi="Times New Roman"/>
          <w:sz w:val="28"/>
          <w:szCs w:val="28"/>
        </w:rPr>
        <w:t xml:space="preserve">by </w:t>
      </w:r>
      <w:r w:rsidR="001B4644">
        <w:rPr>
          <w:rFonts w:ascii="Times New Roman" w:hAnsi="Times New Roman"/>
          <w:sz w:val="28"/>
          <w:szCs w:val="28"/>
        </w:rPr>
        <w:t xml:space="preserve">paying it </w:t>
      </w:r>
      <w:r>
        <w:rPr>
          <w:rFonts w:ascii="Times New Roman" w:hAnsi="Times New Roman"/>
          <w:sz w:val="28"/>
          <w:szCs w:val="28"/>
        </w:rPr>
        <w:t xml:space="preserve">to Colin Kriel </w:t>
      </w:r>
      <w:r w:rsidR="001B4644">
        <w:rPr>
          <w:rFonts w:ascii="Times New Roman" w:hAnsi="Times New Roman"/>
          <w:sz w:val="28"/>
          <w:szCs w:val="28"/>
        </w:rPr>
        <w:t>as</w:t>
      </w:r>
      <w:r>
        <w:rPr>
          <w:rFonts w:ascii="Times New Roman" w:hAnsi="Times New Roman"/>
          <w:sz w:val="28"/>
          <w:szCs w:val="28"/>
        </w:rPr>
        <w:t xml:space="preserve"> an investment.</w:t>
      </w:r>
    </w:p>
    <w:p w14:paraId="7D744A92" w14:textId="77777777" w:rsidR="00EE5440" w:rsidRPr="00EE5440" w:rsidRDefault="00EE5440" w:rsidP="00EE5440">
      <w:pPr>
        <w:pStyle w:val="ListParagraph"/>
        <w:rPr>
          <w:rFonts w:ascii="Times New Roman" w:hAnsi="Times New Roman"/>
          <w:sz w:val="28"/>
          <w:szCs w:val="28"/>
        </w:rPr>
      </w:pPr>
    </w:p>
    <w:p w14:paraId="715DACC3" w14:textId="77777777" w:rsidR="00EE5440" w:rsidRDefault="00EE5440" w:rsidP="00EE544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On 24 June 2015 </w:t>
      </w:r>
      <w:r w:rsidR="007922B8">
        <w:rPr>
          <w:rFonts w:ascii="Times New Roman" w:hAnsi="Times New Roman"/>
          <w:sz w:val="28"/>
          <w:szCs w:val="28"/>
        </w:rPr>
        <w:t xml:space="preserve">the second applicant </w:t>
      </w:r>
      <w:r w:rsidR="00756E8D">
        <w:rPr>
          <w:rFonts w:ascii="Times New Roman" w:hAnsi="Times New Roman"/>
          <w:sz w:val="28"/>
          <w:szCs w:val="28"/>
        </w:rPr>
        <w:t xml:space="preserve">advanced an initial sum of </w:t>
      </w:r>
      <w:r w:rsidR="00202B64">
        <w:rPr>
          <w:rFonts w:ascii="Times New Roman" w:hAnsi="Times New Roman"/>
          <w:sz w:val="28"/>
          <w:szCs w:val="28"/>
        </w:rPr>
        <w:t>$</w:t>
      </w:r>
      <w:r>
        <w:rPr>
          <w:rFonts w:ascii="Times New Roman" w:hAnsi="Times New Roman"/>
          <w:sz w:val="28"/>
          <w:szCs w:val="28"/>
        </w:rPr>
        <w:t xml:space="preserve">86 500.00 to Colin Kriel from her firm’s trust account pursuant to a loan agreement entered </w:t>
      </w:r>
      <w:r w:rsidR="00363CAA">
        <w:rPr>
          <w:rFonts w:ascii="Times New Roman" w:hAnsi="Times New Roman"/>
          <w:sz w:val="28"/>
          <w:szCs w:val="28"/>
        </w:rPr>
        <w:t xml:space="preserve">into </w:t>
      </w:r>
      <w:r>
        <w:rPr>
          <w:rFonts w:ascii="Times New Roman" w:hAnsi="Times New Roman"/>
          <w:sz w:val="28"/>
          <w:szCs w:val="28"/>
        </w:rPr>
        <w:t xml:space="preserve">between Colin Kriel and the first respondent which she </w:t>
      </w:r>
      <w:r w:rsidR="007922B8">
        <w:rPr>
          <w:rFonts w:ascii="Times New Roman" w:hAnsi="Times New Roman"/>
          <w:sz w:val="28"/>
          <w:szCs w:val="28"/>
        </w:rPr>
        <w:t xml:space="preserve">herself </w:t>
      </w:r>
      <w:r>
        <w:rPr>
          <w:rFonts w:ascii="Times New Roman" w:hAnsi="Times New Roman"/>
          <w:sz w:val="28"/>
          <w:szCs w:val="28"/>
        </w:rPr>
        <w:t xml:space="preserve">drafted.  Further advances were made to Colin Kriel </w:t>
      </w:r>
      <w:r w:rsidR="00215F12">
        <w:rPr>
          <w:rFonts w:ascii="Times New Roman" w:hAnsi="Times New Roman"/>
          <w:sz w:val="28"/>
          <w:szCs w:val="28"/>
        </w:rPr>
        <w:t xml:space="preserve">at </w:t>
      </w:r>
      <w:r>
        <w:rPr>
          <w:rFonts w:ascii="Times New Roman" w:hAnsi="Times New Roman"/>
          <w:sz w:val="28"/>
          <w:szCs w:val="28"/>
        </w:rPr>
        <w:t>his request in due course</w:t>
      </w:r>
      <w:r w:rsidR="00AE5ED0">
        <w:rPr>
          <w:rFonts w:ascii="Times New Roman" w:hAnsi="Times New Roman"/>
          <w:sz w:val="28"/>
          <w:szCs w:val="28"/>
        </w:rPr>
        <w:t>,</w:t>
      </w:r>
      <w:r>
        <w:rPr>
          <w:rFonts w:ascii="Times New Roman" w:hAnsi="Times New Roman"/>
          <w:sz w:val="28"/>
          <w:szCs w:val="28"/>
        </w:rPr>
        <w:t xml:space="preserve"> entailing addenda to the original agreement, culminating in an obligation by Colin Kriel </w:t>
      </w:r>
      <w:r w:rsidR="00756E8D">
        <w:rPr>
          <w:rFonts w:ascii="Times New Roman" w:hAnsi="Times New Roman"/>
          <w:sz w:val="28"/>
          <w:szCs w:val="28"/>
        </w:rPr>
        <w:t xml:space="preserve">ultimately to pay him a sum of </w:t>
      </w:r>
      <w:r w:rsidR="007922B8">
        <w:rPr>
          <w:rFonts w:ascii="Times New Roman" w:hAnsi="Times New Roman"/>
          <w:sz w:val="28"/>
          <w:szCs w:val="28"/>
        </w:rPr>
        <w:t>$</w:t>
      </w:r>
      <w:r>
        <w:rPr>
          <w:rFonts w:ascii="Times New Roman" w:hAnsi="Times New Roman"/>
          <w:sz w:val="28"/>
          <w:szCs w:val="28"/>
        </w:rPr>
        <w:t>249 550.00, plus interest.</w:t>
      </w:r>
    </w:p>
    <w:p w14:paraId="31B99A12" w14:textId="77777777" w:rsidR="00EE5440" w:rsidRPr="00EE5440" w:rsidRDefault="00EE5440" w:rsidP="00EE5440">
      <w:pPr>
        <w:pStyle w:val="ListParagraph"/>
        <w:rPr>
          <w:rFonts w:ascii="Times New Roman" w:hAnsi="Times New Roman"/>
          <w:sz w:val="28"/>
          <w:szCs w:val="28"/>
        </w:rPr>
      </w:pPr>
    </w:p>
    <w:p w14:paraId="3858674D" w14:textId="77777777" w:rsidR="00EE5440" w:rsidRDefault="00EE5440" w:rsidP="00EE544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Colin Kriel’s failure to pay the agreed amount to him in February 2016 led to the latter and him entering into a verbal agreement that he would take occupation of the property, then owned by Colin Kriel, “until (Kriel) has paid all the money that he owes me”.</w:t>
      </w:r>
      <w:r>
        <w:rPr>
          <w:rStyle w:val="FootnoteReference"/>
          <w:rFonts w:ascii="Times New Roman" w:hAnsi="Times New Roman"/>
          <w:sz w:val="28"/>
          <w:szCs w:val="28"/>
        </w:rPr>
        <w:footnoteReference w:id="6"/>
      </w:r>
      <w:r w:rsidR="000C0914">
        <w:rPr>
          <w:rFonts w:ascii="Times New Roman" w:hAnsi="Times New Roman"/>
          <w:sz w:val="28"/>
          <w:szCs w:val="28"/>
        </w:rPr>
        <w:t xml:space="preserve"> It appears further</w:t>
      </w:r>
      <w:r w:rsidR="004C7CBE">
        <w:rPr>
          <w:rFonts w:ascii="Times New Roman" w:hAnsi="Times New Roman"/>
          <w:sz w:val="28"/>
          <w:szCs w:val="28"/>
        </w:rPr>
        <w:t>, according to him,</w:t>
      </w:r>
      <w:r w:rsidR="000C0914">
        <w:rPr>
          <w:rFonts w:ascii="Times New Roman" w:hAnsi="Times New Roman"/>
          <w:sz w:val="28"/>
          <w:szCs w:val="28"/>
        </w:rPr>
        <w:t xml:space="preserve"> that </w:t>
      </w:r>
      <w:r w:rsidR="009F1D03">
        <w:rPr>
          <w:rFonts w:ascii="Times New Roman" w:hAnsi="Times New Roman"/>
          <w:sz w:val="28"/>
          <w:szCs w:val="28"/>
        </w:rPr>
        <w:t>the</w:t>
      </w:r>
      <w:r w:rsidR="000C0914">
        <w:rPr>
          <w:rFonts w:ascii="Times New Roman" w:hAnsi="Times New Roman"/>
          <w:sz w:val="28"/>
          <w:szCs w:val="28"/>
        </w:rPr>
        <w:t xml:space="preserve"> understanding </w:t>
      </w:r>
      <w:r w:rsidR="009F1D03">
        <w:rPr>
          <w:rFonts w:ascii="Times New Roman" w:hAnsi="Times New Roman"/>
          <w:sz w:val="28"/>
          <w:szCs w:val="28"/>
        </w:rPr>
        <w:t xml:space="preserve">was that he would not be required to pay </w:t>
      </w:r>
      <w:r w:rsidR="00B74FD0">
        <w:rPr>
          <w:rFonts w:ascii="Times New Roman" w:hAnsi="Times New Roman"/>
          <w:sz w:val="28"/>
          <w:szCs w:val="28"/>
        </w:rPr>
        <w:t xml:space="preserve">either rent or service charges </w:t>
      </w:r>
      <w:r w:rsidR="00185D65">
        <w:rPr>
          <w:rFonts w:ascii="Times New Roman" w:hAnsi="Times New Roman"/>
          <w:sz w:val="28"/>
          <w:szCs w:val="28"/>
        </w:rPr>
        <w:t>for so long as he occupied the property on this basis.</w:t>
      </w:r>
    </w:p>
    <w:p w14:paraId="327FC8BE" w14:textId="77777777" w:rsidR="00EE5440" w:rsidRPr="00EE5440" w:rsidRDefault="00EE5440" w:rsidP="00EE5440">
      <w:pPr>
        <w:pStyle w:val="ListParagraph"/>
        <w:rPr>
          <w:rFonts w:ascii="Times New Roman" w:hAnsi="Times New Roman"/>
          <w:sz w:val="28"/>
          <w:szCs w:val="28"/>
        </w:rPr>
      </w:pPr>
    </w:p>
    <w:p w14:paraId="6B44FDB5" w14:textId="77777777" w:rsidR="00AA2F4C" w:rsidRDefault="00C40ECF" w:rsidP="00EE544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Later, </w:t>
      </w:r>
      <w:r w:rsidR="005C2D71">
        <w:rPr>
          <w:rFonts w:ascii="Times New Roman" w:hAnsi="Times New Roman"/>
          <w:sz w:val="28"/>
          <w:szCs w:val="28"/>
        </w:rPr>
        <w:t xml:space="preserve">on 25 April 2016, </w:t>
      </w:r>
      <w:r>
        <w:rPr>
          <w:rFonts w:ascii="Times New Roman" w:hAnsi="Times New Roman"/>
          <w:sz w:val="28"/>
          <w:szCs w:val="28"/>
        </w:rPr>
        <w:t xml:space="preserve">when Colin Kriel fell </w:t>
      </w:r>
      <w:r w:rsidR="00AA2F4C">
        <w:rPr>
          <w:rFonts w:ascii="Times New Roman" w:hAnsi="Times New Roman"/>
          <w:sz w:val="28"/>
          <w:szCs w:val="28"/>
        </w:rPr>
        <w:t xml:space="preserve">into arrears with his bond </w:t>
      </w:r>
      <w:r w:rsidR="00FA2504">
        <w:rPr>
          <w:rFonts w:ascii="Times New Roman" w:hAnsi="Times New Roman"/>
          <w:sz w:val="28"/>
          <w:szCs w:val="28"/>
        </w:rPr>
        <w:t>re</w:t>
      </w:r>
      <w:r w:rsidR="00AA2F4C">
        <w:rPr>
          <w:rFonts w:ascii="Times New Roman" w:hAnsi="Times New Roman"/>
          <w:sz w:val="28"/>
          <w:szCs w:val="28"/>
        </w:rPr>
        <w:t>payment</w:t>
      </w:r>
      <w:r w:rsidR="00FA2504">
        <w:rPr>
          <w:rFonts w:ascii="Times New Roman" w:hAnsi="Times New Roman"/>
          <w:sz w:val="28"/>
          <w:szCs w:val="28"/>
        </w:rPr>
        <w:t>s owed to Absa</w:t>
      </w:r>
      <w:r w:rsidR="00F3537C">
        <w:rPr>
          <w:rFonts w:ascii="Times New Roman" w:hAnsi="Times New Roman"/>
          <w:sz w:val="28"/>
          <w:szCs w:val="28"/>
        </w:rPr>
        <w:t xml:space="preserve"> Bank Ltd</w:t>
      </w:r>
      <w:r w:rsidR="00AA2F4C">
        <w:rPr>
          <w:rFonts w:ascii="Times New Roman" w:hAnsi="Times New Roman"/>
          <w:sz w:val="28"/>
          <w:szCs w:val="28"/>
        </w:rPr>
        <w:t xml:space="preserve">, he and </w:t>
      </w:r>
      <w:r w:rsidR="005C2D71">
        <w:rPr>
          <w:rFonts w:ascii="Times New Roman" w:hAnsi="Times New Roman"/>
          <w:sz w:val="28"/>
          <w:szCs w:val="28"/>
        </w:rPr>
        <w:t>the latter</w:t>
      </w:r>
      <w:r w:rsidR="00AA2F4C">
        <w:rPr>
          <w:rFonts w:ascii="Times New Roman" w:hAnsi="Times New Roman"/>
          <w:sz w:val="28"/>
          <w:szCs w:val="28"/>
        </w:rPr>
        <w:t xml:space="preserve"> entered into a mock deed of sale (sic) </w:t>
      </w:r>
      <w:r w:rsidR="009F4B2D">
        <w:rPr>
          <w:rFonts w:ascii="Times New Roman" w:hAnsi="Times New Roman"/>
          <w:sz w:val="28"/>
          <w:szCs w:val="28"/>
        </w:rPr>
        <w:t>of the property to him</w:t>
      </w:r>
      <w:r w:rsidR="00BE27A9">
        <w:rPr>
          <w:rFonts w:ascii="Times New Roman" w:hAnsi="Times New Roman"/>
          <w:sz w:val="28"/>
          <w:szCs w:val="28"/>
        </w:rPr>
        <w:t xml:space="preserve"> (drafted by the second applicant</w:t>
      </w:r>
      <w:r w:rsidR="003531CE">
        <w:rPr>
          <w:rFonts w:ascii="Times New Roman" w:hAnsi="Times New Roman"/>
          <w:sz w:val="28"/>
          <w:szCs w:val="28"/>
        </w:rPr>
        <w:t xml:space="preserve">’s </w:t>
      </w:r>
      <w:r w:rsidR="00BE27A9">
        <w:rPr>
          <w:rFonts w:ascii="Times New Roman" w:hAnsi="Times New Roman"/>
          <w:sz w:val="28"/>
          <w:szCs w:val="28"/>
        </w:rPr>
        <w:t>firm)</w:t>
      </w:r>
      <w:r w:rsidR="009F4B2D">
        <w:rPr>
          <w:rFonts w:ascii="Times New Roman" w:hAnsi="Times New Roman"/>
          <w:sz w:val="28"/>
          <w:szCs w:val="28"/>
        </w:rPr>
        <w:t xml:space="preserve">, but only </w:t>
      </w:r>
      <w:r w:rsidR="00AA2F4C">
        <w:rPr>
          <w:rFonts w:ascii="Times New Roman" w:hAnsi="Times New Roman"/>
          <w:sz w:val="28"/>
          <w:szCs w:val="28"/>
        </w:rPr>
        <w:t xml:space="preserve">to create the impression that </w:t>
      </w:r>
      <w:r w:rsidR="003648B5">
        <w:rPr>
          <w:rFonts w:ascii="Times New Roman" w:hAnsi="Times New Roman"/>
          <w:sz w:val="28"/>
          <w:szCs w:val="28"/>
        </w:rPr>
        <w:t>the f</w:t>
      </w:r>
      <w:r w:rsidR="00130408">
        <w:rPr>
          <w:rFonts w:ascii="Times New Roman" w:hAnsi="Times New Roman"/>
          <w:sz w:val="28"/>
          <w:szCs w:val="28"/>
        </w:rPr>
        <w:t>irst respondent</w:t>
      </w:r>
      <w:r w:rsidR="00AA2F4C">
        <w:rPr>
          <w:rFonts w:ascii="Times New Roman" w:hAnsi="Times New Roman"/>
          <w:sz w:val="28"/>
          <w:szCs w:val="28"/>
        </w:rPr>
        <w:t xml:space="preserve"> was purchasing the property</w:t>
      </w:r>
      <w:r w:rsidR="00AE542B">
        <w:rPr>
          <w:rFonts w:ascii="Times New Roman" w:hAnsi="Times New Roman"/>
          <w:sz w:val="28"/>
          <w:szCs w:val="28"/>
        </w:rPr>
        <w:t xml:space="preserve"> from him</w:t>
      </w:r>
      <w:r w:rsidR="00AA2F4C">
        <w:rPr>
          <w:rFonts w:ascii="Times New Roman" w:hAnsi="Times New Roman"/>
          <w:sz w:val="28"/>
          <w:szCs w:val="28"/>
        </w:rPr>
        <w:t xml:space="preserve"> for 7 million rand</w:t>
      </w:r>
      <w:r w:rsidR="00F808F2">
        <w:rPr>
          <w:rFonts w:ascii="Times New Roman" w:hAnsi="Times New Roman"/>
          <w:sz w:val="28"/>
          <w:szCs w:val="28"/>
        </w:rPr>
        <w:t>s</w:t>
      </w:r>
      <w:r w:rsidR="00130408">
        <w:rPr>
          <w:rFonts w:ascii="Times New Roman" w:hAnsi="Times New Roman"/>
          <w:sz w:val="28"/>
          <w:szCs w:val="28"/>
        </w:rPr>
        <w:t xml:space="preserve">. </w:t>
      </w:r>
      <w:r w:rsidR="00F808F2">
        <w:rPr>
          <w:rFonts w:ascii="Times New Roman" w:hAnsi="Times New Roman"/>
          <w:sz w:val="28"/>
          <w:szCs w:val="28"/>
        </w:rPr>
        <w:t>Colin Kriel persuaded him that</w:t>
      </w:r>
      <w:r w:rsidR="0081649C">
        <w:rPr>
          <w:rFonts w:ascii="Times New Roman" w:hAnsi="Times New Roman"/>
          <w:sz w:val="28"/>
          <w:szCs w:val="28"/>
        </w:rPr>
        <w:t xml:space="preserve"> the</w:t>
      </w:r>
      <w:r w:rsidR="00AA2F4C">
        <w:rPr>
          <w:rFonts w:ascii="Times New Roman" w:hAnsi="Times New Roman"/>
          <w:sz w:val="28"/>
          <w:szCs w:val="28"/>
        </w:rPr>
        <w:t xml:space="preserve"> simulated agreement was intended only to be used as leverage with </w:t>
      </w:r>
      <w:r w:rsidR="00130408">
        <w:rPr>
          <w:rFonts w:ascii="Times New Roman" w:hAnsi="Times New Roman"/>
          <w:sz w:val="28"/>
          <w:szCs w:val="28"/>
        </w:rPr>
        <w:t>Absa</w:t>
      </w:r>
      <w:r w:rsidR="00F3537C">
        <w:rPr>
          <w:rFonts w:ascii="Times New Roman" w:hAnsi="Times New Roman"/>
          <w:sz w:val="28"/>
          <w:szCs w:val="28"/>
        </w:rPr>
        <w:t xml:space="preserve"> Bank Ltd</w:t>
      </w:r>
      <w:r w:rsidR="00E21029">
        <w:rPr>
          <w:rFonts w:ascii="Times New Roman" w:hAnsi="Times New Roman"/>
          <w:sz w:val="28"/>
          <w:szCs w:val="28"/>
        </w:rPr>
        <w:t xml:space="preserve"> in order for </w:t>
      </w:r>
      <w:r w:rsidR="0087263C">
        <w:rPr>
          <w:rFonts w:ascii="Times New Roman" w:hAnsi="Times New Roman"/>
          <w:sz w:val="28"/>
          <w:szCs w:val="28"/>
        </w:rPr>
        <w:t>the latter</w:t>
      </w:r>
      <w:r w:rsidR="00E21029">
        <w:rPr>
          <w:rFonts w:ascii="Times New Roman" w:hAnsi="Times New Roman"/>
          <w:sz w:val="28"/>
          <w:szCs w:val="28"/>
        </w:rPr>
        <w:t xml:space="preserve"> </w:t>
      </w:r>
      <w:r w:rsidR="00AA2F4C">
        <w:rPr>
          <w:rFonts w:ascii="Times New Roman" w:hAnsi="Times New Roman"/>
          <w:sz w:val="28"/>
          <w:szCs w:val="28"/>
        </w:rPr>
        <w:t xml:space="preserve">to gain some time to catch up with </w:t>
      </w:r>
      <w:r w:rsidR="00E21029">
        <w:rPr>
          <w:rFonts w:ascii="Times New Roman" w:hAnsi="Times New Roman"/>
          <w:sz w:val="28"/>
          <w:szCs w:val="28"/>
        </w:rPr>
        <w:t>h</w:t>
      </w:r>
      <w:r w:rsidR="00AA2F4C">
        <w:rPr>
          <w:rFonts w:ascii="Times New Roman" w:hAnsi="Times New Roman"/>
          <w:sz w:val="28"/>
          <w:szCs w:val="28"/>
        </w:rPr>
        <w:t>is arrears</w:t>
      </w:r>
      <w:r w:rsidR="00F3537C">
        <w:rPr>
          <w:rFonts w:ascii="Times New Roman" w:hAnsi="Times New Roman"/>
          <w:sz w:val="28"/>
          <w:szCs w:val="28"/>
        </w:rPr>
        <w:t xml:space="preserve"> on </w:t>
      </w:r>
      <w:r w:rsidR="0070383F">
        <w:rPr>
          <w:rFonts w:ascii="Times New Roman" w:hAnsi="Times New Roman"/>
          <w:sz w:val="28"/>
          <w:szCs w:val="28"/>
        </w:rPr>
        <w:t>the mortgage loan(s)</w:t>
      </w:r>
      <w:r w:rsidR="00AA2F4C">
        <w:rPr>
          <w:rFonts w:ascii="Times New Roman" w:hAnsi="Times New Roman"/>
          <w:sz w:val="28"/>
          <w:szCs w:val="28"/>
        </w:rPr>
        <w:t>.</w:t>
      </w:r>
      <w:r w:rsidR="00AA2F4C">
        <w:rPr>
          <w:rStyle w:val="FootnoteReference"/>
          <w:rFonts w:ascii="Times New Roman" w:hAnsi="Times New Roman"/>
          <w:sz w:val="28"/>
          <w:szCs w:val="28"/>
        </w:rPr>
        <w:footnoteReference w:id="7"/>
      </w:r>
    </w:p>
    <w:p w14:paraId="50C5FD0B" w14:textId="77777777" w:rsidR="00AA2F4C" w:rsidRPr="00AA2F4C" w:rsidRDefault="00AA2F4C" w:rsidP="00AA2F4C">
      <w:pPr>
        <w:pStyle w:val="ListParagraph"/>
        <w:rPr>
          <w:rFonts w:ascii="Times New Roman" w:hAnsi="Times New Roman"/>
          <w:sz w:val="28"/>
          <w:szCs w:val="28"/>
        </w:rPr>
      </w:pPr>
    </w:p>
    <w:p w14:paraId="5689653D" w14:textId="5A5D10B9" w:rsidR="00EE5440" w:rsidRDefault="007F7B75" w:rsidP="00EE544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He was su</w:t>
      </w:r>
      <w:r w:rsidR="00585735">
        <w:rPr>
          <w:rFonts w:ascii="Times New Roman" w:hAnsi="Times New Roman"/>
          <w:sz w:val="28"/>
          <w:szCs w:val="28"/>
        </w:rPr>
        <w:t xml:space="preserve">rprised therefore when on </w:t>
      </w:r>
      <w:r w:rsidR="00AA2F4C">
        <w:rPr>
          <w:rFonts w:ascii="Times New Roman" w:hAnsi="Times New Roman"/>
          <w:sz w:val="28"/>
          <w:szCs w:val="28"/>
        </w:rPr>
        <w:t xml:space="preserve">11 April 2019 Colin Kriel issued summons against him under East London Case No. 381/2019, alleging that he was </w:t>
      </w:r>
      <w:r w:rsidR="00DE7630">
        <w:rPr>
          <w:rFonts w:ascii="Times New Roman" w:hAnsi="Times New Roman"/>
          <w:sz w:val="28"/>
          <w:szCs w:val="28"/>
        </w:rPr>
        <w:t>holdi</w:t>
      </w:r>
      <w:r w:rsidR="00295BF4">
        <w:rPr>
          <w:rFonts w:ascii="Times New Roman" w:hAnsi="Times New Roman"/>
          <w:sz w:val="28"/>
          <w:szCs w:val="28"/>
        </w:rPr>
        <w:t xml:space="preserve">ng over and </w:t>
      </w:r>
      <w:r w:rsidR="00AA2F4C">
        <w:rPr>
          <w:rFonts w:ascii="Times New Roman" w:hAnsi="Times New Roman"/>
          <w:sz w:val="28"/>
          <w:szCs w:val="28"/>
        </w:rPr>
        <w:t xml:space="preserve">in unlawful occupation of the property </w:t>
      </w:r>
      <w:r w:rsidR="00295BF4">
        <w:rPr>
          <w:rFonts w:ascii="Times New Roman" w:hAnsi="Times New Roman"/>
          <w:sz w:val="28"/>
          <w:szCs w:val="28"/>
        </w:rPr>
        <w:t>after</w:t>
      </w:r>
      <w:r w:rsidR="00AA2F4C">
        <w:rPr>
          <w:rFonts w:ascii="Times New Roman" w:hAnsi="Times New Roman"/>
          <w:sz w:val="28"/>
          <w:szCs w:val="28"/>
        </w:rPr>
        <w:t xml:space="preserve"> having failed to pay him the purchase price as ostensibly agreed in the “mock” deed of sale.  </w:t>
      </w:r>
      <w:r w:rsidR="00D5062E">
        <w:rPr>
          <w:rFonts w:ascii="Times New Roman" w:hAnsi="Times New Roman"/>
          <w:sz w:val="28"/>
          <w:szCs w:val="28"/>
        </w:rPr>
        <w:t>He</w:t>
      </w:r>
      <w:r w:rsidR="00AA2F4C">
        <w:rPr>
          <w:rFonts w:ascii="Times New Roman" w:hAnsi="Times New Roman"/>
          <w:sz w:val="28"/>
          <w:szCs w:val="28"/>
        </w:rPr>
        <w:t xml:space="preserve"> </w:t>
      </w:r>
      <w:r w:rsidR="000F149D">
        <w:rPr>
          <w:rFonts w:ascii="Times New Roman" w:hAnsi="Times New Roman"/>
          <w:sz w:val="28"/>
          <w:szCs w:val="28"/>
        </w:rPr>
        <w:t xml:space="preserve">has </w:t>
      </w:r>
      <w:r w:rsidR="00AA2F4C">
        <w:rPr>
          <w:rFonts w:ascii="Times New Roman" w:hAnsi="Times New Roman"/>
          <w:sz w:val="28"/>
          <w:szCs w:val="28"/>
        </w:rPr>
        <w:t xml:space="preserve">defended </w:t>
      </w:r>
      <w:r w:rsidR="007B6E97">
        <w:rPr>
          <w:rFonts w:ascii="Times New Roman" w:hAnsi="Times New Roman"/>
          <w:sz w:val="28"/>
          <w:szCs w:val="28"/>
        </w:rPr>
        <w:t>the claim of Colin Kriel for his ejectment</w:t>
      </w:r>
      <w:r w:rsidR="000F149D">
        <w:rPr>
          <w:rFonts w:ascii="Times New Roman" w:hAnsi="Times New Roman"/>
          <w:sz w:val="28"/>
          <w:szCs w:val="28"/>
        </w:rPr>
        <w:t xml:space="preserve"> </w:t>
      </w:r>
      <w:r w:rsidR="00AA2F4C">
        <w:rPr>
          <w:rFonts w:ascii="Times New Roman" w:hAnsi="Times New Roman"/>
          <w:sz w:val="28"/>
          <w:szCs w:val="28"/>
        </w:rPr>
        <w:t>on the basis that he is not in unlawful occupation of the property</w:t>
      </w:r>
      <w:r w:rsidR="0043455A">
        <w:rPr>
          <w:rFonts w:ascii="Times New Roman" w:hAnsi="Times New Roman"/>
          <w:sz w:val="28"/>
          <w:szCs w:val="28"/>
        </w:rPr>
        <w:t>. A</w:t>
      </w:r>
      <w:r w:rsidR="00AA2F4C">
        <w:rPr>
          <w:rFonts w:ascii="Times New Roman" w:hAnsi="Times New Roman"/>
          <w:sz w:val="28"/>
          <w:szCs w:val="28"/>
        </w:rPr>
        <w:t>t the launch of the present application</w:t>
      </w:r>
      <w:r w:rsidR="001453CD">
        <w:rPr>
          <w:rFonts w:ascii="Times New Roman" w:hAnsi="Times New Roman"/>
          <w:sz w:val="28"/>
          <w:szCs w:val="28"/>
        </w:rPr>
        <w:t xml:space="preserve"> that action stood poised </w:t>
      </w:r>
      <w:r w:rsidR="00AA2F4C">
        <w:rPr>
          <w:rFonts w:ascii="Times New Roman" w:hAnsi="Times New Roman"/>
          <w:sz w:val="28"/>
          <w:szCs w:val="28"/>
        </w:rPr>
        <w:t>to go to trial</w:t>
      </w:r>
      <w:r w:rsidR="00366516">
        <w:rPr>
          <w:rFonts w:ascii="Times New Roman" w:hAnsi="Times New Roman"/>
          <w:sz w:val="28"/>
          <w:szCs w:val="28"/>
        </w:rPr>
        <w:t xml:space="preserve"> and is still a live dispute. A perusal of the court papers in that file, to which </w:t>
      </w:r>
      <w:r w:rsidR="001A5271">
        <w:rPr>
          <w:rFonts w:ascii="Times New Roman" w:hAnsi="Times New Roman"/>
          <w:sz w:val="28"/>
          <w:szCs w:val="28"/>
        </w:rPr>
        <w:t xml:space="preserve">the first respondent referred this court </w:t>
      </w:r>
      <w:r w:rsidR="009026FB">
        <w:rPr>
          <w:rFonts w:ascii="Times New Roman" w:hAnsi="Times New Roman"/>
          <w:sz w:val="28"/>
          <w:szCs w:val="28"/>
        </w:rPr>
        <w:t xml:space="preserve">in support of his plea of </w:t>
      </w:r>
      <w:r w:rsidR="009026FB" w:rsidRPr="009026FB">
        <w:rPr>
          <w:rFonts w:ascii="Times New Roman" w:hAnsi="Times New Roman"/>
          <w:i/>
          <w:iCs/>
          <w:sz w:val="28"/>
          <w:szCs w:val="28"/>
        </w:rPr>
        <w:t>lis pendens</w:t>
      </w:r>
      <w:r w:rsidR="009026FB">
        <w:rPr>
          <w:rFonts w:ascii="Times New Roman" w:hAnsi="Times New Roman"/>
          <w:sz w:val="28"/>
          <w:szCs w:val="28"/>
        </w:rPr>
        <w:t xml:space="preserve"> as it were, </w:t>
      </w:r>
      <w:r w:rsidR="000131C2">
        <w:rPr>
          <w:rFonts w:ascii="Times New Roman" w:hAnsi="Times New Roman"/>
          <w:sz w:val="28"/>
          <w:szCs w:val="28"/>
        </w:rPr>
        <w:t xml:space="preserve">confirms the same defence as presently raised to the </w:t>
      </w:r>
      <w:r w:rsidR="0031298F">
        <w:rPr>
          <w:rFonts w:ascii="Times New Roman" w:hAnsi="Times New Roman"/>
          <w:sz w:val="28"/>
          <w:szCs w:val="28"/>
        </w:rPr>
        <w:t>applicants</w:t>
      </w:r>
      <w:r w:rsidR="00792C13">
        <w:rPr>
          <w:rFonts w:ascii="Times New Roman" w:hAnsi="Times New Roman"/>
          <w:sz w:val="28"/>
          <w:szCs w:val="28"/>
        </w:rPr>
        <w:t>’</w:t>
      </w:r>
      <w:r w:rsidR="0031298F">
        <w:rPr>
          <w:rFonts w:ascii="Times New Roman" w:hAnsi="Times New Roman"/>
          <w:sz w:val="28"/>
          <w:szCs w:val="28"/>
        </w:rPr>
        <w:t xml:space="preserve"> claim for ejectment</w:t>
      </w:r>
      <w:r w:rsidR="000D7CB9">
        <w:rPr>
          <w:rFonts w:ascii="Times New Roman" w:hAnsi="Times New Roman"/>
          <w:sz w:val="28"/>
          <w:szCs w:val="28"/>
        </w:rPr>
        <w:t>.</w:t>
      </w:r>
    </w:p>
    <w:p w14:paraId="6FFDB19E" w14:textId="77777777" w:rsidR="00AA2F4C" w:rsidRPr="00AA2F4C" w:rsidRDefault="00AA2F4C" w:rsidP="00AA2F4C">
      <w:pPr>
        <w:pStyle w:val="ListParagraph"/>
        <w:rPr>
          <w:rFonts w:ascii="Times New Roman" w:hAnsi="Times New Roman"/>
          <w:sz w:val="28"/>
          <w:szCs w:val="28"/>
        </w:rPr>
      </w:pPr>
    </w:p>
    <w:p w14:paraId="72940025" w14:textId="77777777" w:rsidR="00AA2F4C" w:rsidRDefault="000D7CB9" w:rsidP="00EE5440">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It is t</w:t>
      </w:r>
      <w:r w:rsidR="00AA2F4C">
        <w:rPr>
          <w:rFonts w:ascii="Times New Roman" w:hAnsi="Times New Roman"/>
          <w:sz w:val="28"/>
          <w:szCs w:val="28"/>
        </w:rPr>
        <w:t>he first respondent</w:t>
      </w:r>
      <w:r>
        <w:rPr>
          <w:rFonts w:ascii="Times New Roman" w:hAnsi="Times New Roman"/>
          <w:sz w:val="28"/>
          <w:szCs w:val="28"/>
        </w:rPr>
        <w:t xml:space="preserve">’s belief </w:t>
      </w:r>
      <w:r w:rsidR="00AA2F4C">
        <w:rPr>
          <w:rFonts w:ascii="Times New Roman" w:hAnsi="Times New Roman"/>
          <w:sz w:val="28"/>
          <w:szCs w:val="28"/>
        </w:rPr>
        <w:t xml:space="preserve">that the sale of the property to the applicants </w:t>
      </w:r>
      <w:r w:rsidR="00C829FA">
        <w:rPr>
          <w:rFonts w:ascii="Times New Roman" w:hAnsi="Times New Roman"/>
          <w:sz w:val="28"/>
          <w:szCs w:val="28"/>
        </w:rPr>
        <w:t>was</w:t>
      </w:r>
      <w:r w:rsidR="007553AA">
        <w:rPr>
          <w:rFonts w:ascii="Times New Roman" w:hAnsi="Times New Roman"/>
          <w:sz w:val="28"/>
          <w:szCs w:val="28"/>
        </w:rPr>
        <w:t xml:space="preserve"> -</w:t>
      </w:r>
      <w:r w:rsidR="00C829FA">
        <w:rPr>
          <w:rFonts w:ascii="Times New Roman" w:hAnsi="Times New Roman"/>
          <w:sz w:val="28"/>
          <w:szCs w:val="28"/>
        </w:rPr>
        <w:t xml:space="preserve"> or</w:t>
      </w:r>
      <w:r w:rsidR="00677FC3">
        <w:rPr>
          <w:rFonts w:ascii="Times New Roman" w:hAnsi="Times New Roman"/>
          <w:sz w:val="28"/>
          <w:szCs w:val="28"/>
        </w:rPr>
        <w:t xml:space="preserve"> </w:t>
      </w:r>
      <w:r w:rsidR="004B7A89">
        <w:rPr>
          <w:rFonts w:ascii="Times New Roman" w:hAnsi="Times New Roman"/>
          <w:sz w:val="28"/>
          <w:szCs w:val="28"/>
        </w:rPr>
        <w:t xml:space="preserve">since it has </w:t>
      </w:r>
      <w:r w:rsidR="00357CF8">
        <w:rPr>
          <w:rFonts w:ascii="Times New Roman" w:hAnsi="Times New Roman"/>
          <w:sz w:val="28"/>
          <w:szCs w:val="28"/>
        </w:rPr>
        <w:t xml:space="preserve">now </w:t>
      </w:r>
      <w:r w:rsidR="00DA608D">
        <w:rPr>
          <w:rFonts w:ascii="Times New Roman" w:hAnsi="Times New Roman"/>
          <w:sz w:val="28"/>
          <w:szCs w:val="28"/>
        </w:rPr>
        <w:t>been</w:t>
      </w:r>
      <w:r w:rsidR="004B7A89">
        <w:rPr>
          <w:rFonts w:ascii="Times New Roman" w:hAnsi="Times New Roman"/>
          <w:sz w:val="28"/>
          <w:szCs w:val="28"/>
        </w:rPr>
        <w:t xml:space="preserve"> successfully concluded by way of registration of transfer</w:t>
      </w:r>
      <w:r w:rsidR="00357CF8">
        <w:rPr>
          <w:rFonts w:ascii="Times New Roman" w:hAnsi="Times New Roman"/>
          <w:sz w:val="28"/>
          <w:szCs w:val="28"/>
        </w:rPr>
        <w:t>,</w:t>
      </w:r>
      <w:r w:rsidR="00677FC3">
        <w:rPr>
          <w:rFonts w:ascii="Times New Roman" w:hAnsi="Times New Roman"/>
          <w:sz w:val="28"/>
          <w:szCs w:val="28"/>
        </w:rPr>
        <w:t xml:space="preserve"> </w:t>
      </w:r>
      <w:r w:rsidR="00E86009" w:rsidRPr="00E86009">
        <w:rPr>
          <w:rFonts w:ascii="Times New Roman" w:hAnsi="Times New Roman"/>
          <w:i/>
          <w:iCs/>
          <w:sz w:val="28"/>
          <w:szCs w:val="28"/>
        </w:rPr>
        <w:t>is</w:t>
      </w:r>
      <w:r w:rsidR="00E86009">
        <w:rPr>
          <w:rFonts w:ascii="Times New Roman" w:hAnsi="Times New Roman"/>
          <w:sz w:val="28"/>
          <w:szCs w:val="28"/>
        </w:rPr>
        <w:t>, a</w:t>
      </w:r>
      <w:r w:rsidR="00AA2F4C">
        <w:rPr>
          <w:rFonts w:ascii="Times New Roman" w:hAnsi="Times New Roman"/>
          <w:sz w:val="28"/>
          <w:szCs w:val="28"/>
        </w:rPr>
        <w:t xml:space="preserve"> “tactical maneuver by Colin Kriel acting in cahoots with (the applicants) to ensure his ejectment from the property without being paid what is owed to him by Colin Kriel.</w:t>
      </w:r>
      <w:r w:rsidR="00942763">
        <w:rPr>
          <w:rFonts w:ascii="Times New Roman" w:hAnsi="Times New Roman"/>
          <w:sz w:val="28"/>
          <w:szCs w:val="28"/>
        </w:rPr>
        <w:t>”</w:t>
      </w:r>
    </w:p>
    <w:p w14:paraId="32D66E20" w14:textId="77777777" w:rsidR="00AA2F4C" w:rsidRPr="00AA2F4C" w:rsidRDefault="00AA2F4C" w:rsidP="00AA2F4C">
      <w:pPr>
        <w:pStyle w:val="ListParagraph"/>
        <w:rPr>
          <w:rFonts w:ascii="Times New Roman" w:hAnsi="Times New Roman"/>
          <w:sz w:val="28"/>
          <w:szCs w:val="28"/>
        </w:rPr>
      </w:pPr>
    </w:p>
    <w:p w14:paraId="674B7DA4" w14:textId="0293F5D2" w:rsidR="00F111DF" w:rsidRDefault="00AA2F4C" w:rsidP="00F111D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 first respondent alluded to a separate action (EL 835/2016) in which Shumayela Properties (Pty) Ltd</w:t>
      </w:r>
      <w:r w:rsidR="00F111DF">
        <w:rPr>
          <w:rFonts w:ascii="Times New Roman" w:hAnsi="Times New Roman"/>
          <w:sz w:val="28"/>
          <w:szCs w:val="28"/>
        </w:rPr>
        <w:t xml:space="preserve">, </w:t>
      </w:r>
      <w:r w:rsidR="00642636">
        <w:rPr>
          <w:rFonts w:ascii="Times New Roman" w:hAnsi="Times New Roman"/>
          <w:sz w:val="28"/>
          <w:szCs w:val="28"/>
        </w:rPr>
        <w:t>represented by</w:t>
      </w:r>
      <w:r w:rsidR="00F111DF">
        <w:rPr>
          <w:rFonts w:ascii="Times New Roman" w:hAnsi="Times New Roman"/>
          <w:sz w:val="28"/>
          <w:szCs w:val="28"/>
        </w:rPr>
        <w:t xml:space="preserve"> Colin Kriel’s brother</w:t>
      </w:r>
      <w:r w:rsidR="00642636">
        <w:rPr>
          <w:rFonts w:ascii="Times New Roman" w:hAnsi="Times New Roman"/>
          <w:sz w:val="28"/>
          <w:szCs w:val="28"/>
        </w:rPr>
        <w:t xml:space="preserve"> </w:t>
      </w:r>
      <w:r w:rsidR="00F111DF">
        <w:rPr>
          <w:rFonts w:ascii="Times New Roman" w:hAnsi="Times New Roman"/>
          <w:sz w:val="28"/>
          <w:szCs w:val="28"/>
        </w:rPr>
        <w:t xml:space="preserve">Tony Kriel </w:t>
      </w:r>
      <w:r w:rsidR="00642636">
        <w:rPr>
          <w:rFonts w:ascii="Times New Roman" w:hAnsi="Times New Roman"/>
          <w:sz w:val="28"/>
          <w:szCs w:val="28"/>
        </w:rPr>
        <w:t>as</w:t>
      </w:r>
      <w:r w:rsidR="00F111DF">
        <w:rPr>
          <w:rFonts w:ascii="Times New Roman" w:hAnsi="Times New Roman"/>
          <w:sz w:val="28"/>
          <w:szCs w:val="28"/>
        </w:rPr>
        <w:t xml:space="preserve"> director, issued </w:t>
      </w:r>
      <w:r w:rsidR="00642636">
        <w:rPr>
          <w:rFonts w:ascii="Times New Roman" w:hAnsi="Times New Roman"/>
          <w:sz w:val="28"/>
          <w:szCs w:val="28"/>
        </w:rPr>
        <w:t>summons</w:t>
      </w:r>
      <w:r w:rsidR="00F111DF">
        <w:rPr>
          <w:rFonts w:ascii="Times New Roman" w:hAnsi="Times New Roman"/>
          <w:sz w:val="28"/>
          <w:szCs w:val="28"/>
        </w:rPr>
        <w:t xml:space="preserve"> against Roger Charles</w:t>
      </w:r>
      <w:r w:rsidR="00642636">
        <w:rPr>
          <w:rFonts w:ascii="Times New Roman" w:hAnsi="Times New Roman"/>
          <w:sz w:val="28"/>
          <w:szCs w:val="28"/>
        </w:rPr>
        <w:t xml:space="preserve"> Kriel,</w:t>
      </w:r>
      <w:r w:rsidR="00F111DF">
        <w:rPr>
          <w:rFonts w:ascii="Times New Roman" w:hAnsi="Times New Roman"/>
          <w:sz w:val="28"/>
          <w:szCs w:val="28"/>
        </w:rPr>
        <w:t xml:space="preserve"> Colin Graham Kriel (</w:t>
      </w:r>
      <w:r w:rsidR="005D7262">
        <w:rPr>
          <w:rFonts w:ascii="Times New Roman" w:hAnsi="Times New Roman"/>
          <w:sz w:val="28"/>
          <w:szCs w:val="28"/>
        </w:rPr>
        <w:t xml:space="preserve">who </w:t>
      </w:r>
      <w:r w:rsidR="00642636">
        <w:rPr>
          <w:rFonts w:ascii="Times New Roman" w:hAnsi="Times New Roman"/>
          <w:sz w:val="28"/>
          <w:szCs w:val="28"/>
        </w:rPr>
        <w:t xml:space="preserve">was </w:t>
      </w:r>
      <w:r w:rsidR="00F111DF">
        <w:rPr>
          <w:rFonts w:ascii="Times New Roman" w:hAnsi="Times New Roman"/>
          <w:sz w:val="28"/>
          <w:szCs w:val="28"/>
        </w:rPr>
        <w:t xml:space="preserve">joined </w:t>
      </w:r>
      <w:r w:rsidR="003149E8">
        <w:rPr>
          <w:rFonts w:ascii="Times New Roman" w:hAnsi="Times New Roman"/>
          <w:sz w:val="28"/>
          <w:szCs w:val="28"/>
        </w:rPr>
        <w:t>in th</w:t>
      </w:r>
      <w:r w:rsidR="00642636">
        <w:rPr>
          <w:rFonts w:ascii="Times New Roman" w:hAnsi="Times New Roman"/>
          <w:sz w:val="28"/>
          <w:szCs w:val="28"/>
        </w:rPr>
        <w:t>o</w:t>
      </w:r>
      <w:r w:rsidR="003149E8">
        <w:rPr>
          <w:rFonts w:ascii="Times New Roman" w:hAnsi="Times New Roman"/>
          <w:sz w:val="28"/>
          <w:szCs w:val="28"/>
        </w:rPr>
        <w:t>se</w:t>
      </w:r>
      <w:r w:rsidR="00F111DF">
        <w:rPr>
          <w:rFonts w:ascii="Times New Roman" w:hAnsi="Times New Roman"/>
          <w:sz w:val="28"/>
          <w:szCs w:val="28"/>
        </w:rPr>
        <w:t xml:space="preserve"> proceedings </w:t>
      </w:r>
      <w:r w:rsidR="003149E8">
        <w:rPr>
          <w:rFonts w:ascii="Times New Roman" w:hAnsi="Times New Roman"/>
          <w:sz w:val="28"/>
          <w:szCs w:val="28"/>
        </w:rPr>
        <w:t xml:space="preserve">only </w:t>
      </w:r>
      <w:r w:rsidR="00F111DF">
        <w:rPr>
          <w:rFonts w:ascii="Times New Roman" w:hAnsi="Times New Roman"/>
          <w:sz w:val="28"/>
          <w:szCs w:val="28"/>
        </w:rPr>
        <w:t xml:space="preserve">on 28 November 2018) and </w:t>
      </w:r>
      <w:r w:rsidR="00216231">
        <w:rPr>
          <w:rFonts w:ascii="Times New Roman" w:hAnsi="Times New Roman"/>
          <w:sz w:val="28"/>
          <w:szCs w:val="28"/>
        </w:rPr>
        <w:t>Geoffrey</w:t>
      </w:r>
      <w:r w:rsidR="00F111DF">
        <w:rPr>
          <w:rFonts w:ascii="Times New Roman" w:hAnsi="Times New Roman"/>
          <w:sz w:val="28"/>
          <w:szCs w:val="28"/>
        </w:rPr>
        <w:t xml:space="preserve"> Colin Kriel, the second applicant’s father and Colin’s brother</w:t>
      </w:r>
      <w:r w:rsidR="00642636">
        <w:rPr>
          <w:rFonts w:ascii="Times New Roman" w:hAnsi="Times New Roman"/>
          <w:sz w:val="28"/>
          <w:szCs w:val="28"/>
        </w:rPr>
        <w:t>s</w:t>
      </w:r>
      <w:r w:rsidR="00F111DF">
        <w:rPr>
          <w:rFonts w:ascii="Times New Roman" w:hAnsi="Times New Roman"/>
          <w:sz w:val="28"/>
          <w:szCs w:val="28"/>
        </w:rPr>
        <w:t xml:space="preserve"> respectively</w:t>
      </w:r>
      <w:r w:rsidR="00216231">
        <w:rPr>
          <w:rFonts w:ascii="Times New Roman" w:hAnsi="Times New Roman"/>
          <w:sz w:val="28"/>
          <w:szCs w:val="28"/>
        </w:rPr>
        <w:t xml:space="preserve">, </w:t>
      </w:r>
      <w:r w:rsidR="00F111DF">
        <w:rPr>
          <w:rFonts w:ascii="Times New Roman" w:hAnsi="Times New Roman"/>
          <w:sz w:val="28"/>
          <w:szCs w:val="28"/>
        </w:rPr>
        <w:t xml:space="preserve">cited </w:t>
      </w:r>
      <w:r w:rsidR="00F111DF" w:rsidRPr="00216231">
        <w:rPr>
          <w:rFonts w:ascii="Times New Roman" w:hAnsi="Times New Roman"/>
          <w:i/>
          <w:iCs/>
          <w:sz w:val="28"/>
          <w:szCs w:val="28"/>
        </w:rPr>
        <w:t>nomine officio</w:t>
      </w:r>
      <w:r w:rsidR="00F111DF">
        <w:rPr>
          <w:rFonts w:ascii="Times New Roman" w:hAnsi="Times New Roman"/>
          <w:sz w:val="28"/>
          <w:szCs w:val="28"/>
        </w:rPr>
        <w:t xml:space="preserve"> as defendants in their capacity as trustees of Thistle Trust No. IT 848/96, to recover c</w:t>
      </w:r>
      <w:r w:rsidR="00F111DF" w:rsidRPr="00F111DF">
        <w:rPr>
          <w:rFonts w:ascii="Times New Roman" w:hAnsi="Times New Roman"/>
          <w:sz w:val="28"/>
          <w:szCs w:val="28"/>
        </w:rPr>
        <w:t>ertain indebtedness to it</w:t>
      </w:r>
      <w:r w:rsidR="00F111DF">
        <w:rPr>
          <w:rFonts w:ascii="Times New Roman" w:hAnsi="Times New Roman"/>
          <w:sz w:val="28"/>
          <w:szCs w:val="28"/>
        </w:rPr>
        <w:t>.</w:t>
      </w:r>
    </w:p>
    <w:p w14:paraId="561FE95F" w14:textId="77777777" w:rsidR="00F111DF" w:rsidRPr="00F111DF" w:rsidRDefault="00F111DF" w:rsidP="00F111DF">
      <w:pPr>
        <w:pStyle w:val="ListParagraph"/>
        <w:rPr>
          <w:rFonts w:ascii="Times New Roman" w:hAnsi="Times New Roman"/>
          <w:sz w:val="28"/>
          <w:szCs w:val="28"/>
        </w:rPr>
      </w:pPr>
    </w:p>
    <w:p w14:paraId="2148D7D3" w14:textId="77777777" w:rsidR="00F111DF" w:rsidRDefault="00F111DF" w:rsidP="00F111D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It appears from a copy of a court order granted by consent between the various family members put up by the first respondent in respect of that action</w:t>
      </w:r>
      <w:r w:rsidR="0044663E">
        <w:rPr>
          <w:rFonts w:ascii="Times New Roman" w:hAnsi="Times New Roman"/>
          <w:sz w:val="28"/>
          <w:szCs w:val="28"/>
        </w:rPr>
        <w:t xml:space="preserve"> (</w:t>
      </w:r>
      <w:r w:rsidR="005D0F51">
        <w:rPr>
          <w:rFonts w:ascii="Times New Roman" w:hAnsi="Times New Roman"/>
          <w:sz w:val="28"/>
          <w:szCs w:val="28"/>
        </w:rPr>
        <w:t>“the Order”)</w:t>
      </w:r>
      <w:r>
        <w:rPr>
          <w:rFonts w:ascii="Times New Roman" w:hAnsi="Times New Roman"/>
          <w:sz w:val="28"/>
          <w:szCs w:val="28"/>
        </w:rPr>
        <w:t xml:space="preserve"> that on the day of Colin Kriel’s joinder, he was ordered in settlement of </w:t>
      </w:r>
      <w:r w:rsidR="005D0F51">
        <w:rPr>
          <w:rFonts w:ascii="Times New Roman" w:hAnsi="Times New Roman"/>
          <w:sz w:val="28"/>
          <w:szCs w:val="28"/>
        </w:rPr>
        <w:t>“claim 2”</w:t>
      </w:r>
      <w:r>
        <w:rPr>
          <w:rFonts w:ascii="Times New Roman" w:hAnsi="Times New Roman"/>
          <w:sz w:val="28"/>
          <w:szCs w:val="28"/>
        </w:rPr>
        <w:t xml:space="preserve"> in the action to pay in his personal capacity </w:t>
      </w:r>
      <w:r w:rsidR="003B7E64">
        <w:rPr>
          <w:rFonts w:ascii="Times New Roman" w:hAnsi="Times New Roman"/>
          <w:sz w:val="28"/>
          <w:szCs w:val="28"/>
        </w:rPr>
        <w:t xml:space="preserve">to the plaintiff </w:t>
      </w:r>
      <w:r>
        <w:rPr>
          <w:rFonts w:ascii="Times New Roman" w:hAnsi="Times New Roman"/>
          <w:sz w:val="28"/>
          <w:szCs w:val="28"/>
        </w:rPr>
        <w:lastRenderedPageBreak/>
        <w:t>a sum of 1 340 000.00</w:t>
      </w:r>
      <w:r w:rsidR="005E6064">
        <w:rPr>
          <w:rFonts w:ascii="Times New Roman" w:hAnsi="Times New Roman"/>
          <w:sz w:val="28"/>
          <w:szCs w:val="28"/>
        </w:rPr>
        <w:t>.</w:t>
      </w:r>
      <w:r>
        <w:rPr>
          <w:rFonts w:ascii="Times New Roman" w:hAnsi="Times New Roman"/>
          <w:sz w:val="28"/>
          <w:szCs w:val="28"/>
        </w:rPr>
        <w:t xml:space="preserve"> </w:t>
      </w:r>
      <w:r w:rsidR="00DD4EBA">
        <w:rPr>
          <w:rFonts w:ascii="Times New Roman" w:hAnsi="Times New Roman"/>
          <w:sz w:val="28"/>
          <w:szCs w:val="28"/>
        </w:rPr>
        <w:t>Payment</w:t>
      </w:r>
      <w:r w:rsidR="005E6064">
        <w:rPr>
          <w:rFonts w:ascii="Times New Roman" w:hAnsi="Times New Roman"/>
          <w:sz w:val="28"/>
          <w:szCs w:val="28"/>
        </w:rPr>
        <w:t xml:space="preserve"> </w:t>
      </w:r>
      <w:r w:rsidR="00DD4EBA">
        <w:rPr>
          <w:rFonts w:ascii="Times New Roman" w:hAnsi="Times New Roman"/>
          <w:sz w:val="28"/>
          <w:szCs w:val="28"/>
        </w:rPr>
        <w:t>of this amount was to be secured</w:t>
      </w:r>
      <w:r>
        <w:rPr>
          <w:rFonts w:ascii="Times New Roman" w:hAnsi="Times New Roman"/>
          <w:sz w:val="28"/>
          <w:szCs w:val="28"/>
        </w:rPr>
        <w:t xml:space="preserve"> by way of a mortgage bond </w:t>
      </w:r>
      <w:r w:rsidR="00944E0F">
        <w:rPr>
          <w:rFonts w:ascii="Times New Roman" w:hAnsi="Times New Roman"/>
          <w:sz w:val="28"/>
          <w:szCs w:val="28"/>
        </w:rPr>
        <w:t xml:space="preserve">to be registered </w:t>
      </w:r>
      <w:r>
        <w:rPr>
          <w:rFonts w:ascii="Times New Roman" w:hAnsi="Times New Roman"/>
          <w:sz w:val="28"/>
          <w:szCs w:val="28"/>
        </w:rPr>
        <w:t>over the property to rank behind Absa Bank Ltd</w:t>
      </w:r>
      <w:r w:rsidR="00C26C1B">
        <w:rPr>
          <w:rFonts w:ascii="Times New Roman" w:hAnsi="Times New Roman"/>
          <w:sz w:val="28"/>
          <w:szCs w:val="28"/>
        </w:rPr>
        <w:t>,</w:t>
      </w:r>
      <w:r>
        <w:rPr>
          <w:rFonts w:ascii="Times New Roman" w:hAnsi="Times New Roman"/>
          <w:sz w:val="28"/>
          <w:szCs w:val="28"/>
        </w:rPr>
        <w:t xml:space="preserve"> which was </w:t>
      </w:r>
      <w:r w:rsidR="00FE0DE2">
        <w:rPr>
          <w:rFonts w:ascii="Times New Roman" w:hAnsi="Times New Roman"/>
          <w:sz w:val="28"/>
          <w:szCs w:val="28"/>
        </w:rPr>
        <w:t xml:space="preserve">then </w:t>
      </w:r>
      <w:r w:rsidR="00C26C1B">
        <w:rPr>
          <w:rFonts w:ascii="Times New Roman" w:hAnsi="Times New Roman"/>
          <w:sz w:val="28"/>
          <w:szCs w:val="28"/>
        </w:rPr>
        <w:t xml:space="preserve">already </w:t>
      </w:r>
      <w:r>
        <w:rPr>
          <w:rFonts w:ascii="Times New Roman" w:hAnsi="Times New Roman"/>
          <w:sz w:val="28"/>
          <w:szCs w:val="28"/>
        </w:rPr>
        <w:t xml:space="preserve">holding six bonds registered </w:t>
      </w:r>
      <w:r w:rsidR="00DD4EBA">
        <w:rPr>
          <w:rFonts w:ascii="Times New Roman" w:hAnsi="Times New Roman"/>
          <w:sz w:val="28"/>
          <w:szCs w:val="28"/>
        </w:rPr>
        <w:t>against</w:t>
      </w:r>
      <w:r>
        <w:rPr>
          <w:rFonts w:ascii="Times New Roman" w:hAnsi="Times New Roman"/>
          <w:sz w:val="28"/>
          <w:szCs w:val="28"/>
        </w:rPr>
        <w:t xml:space="preserve"> the property.  (It appears from the historic information furnished on the WinDeed search in respect of the property that such a bond was registered by Shumayela Properties (Pty) Ltd per document reference B7721/2019 although no date is indicated</w:t>
      </w:r>
      <w:r w:rsidR="00351068">
        <w:rPr>
          <w:rFonts w:ascii="Times New Roman" w:hAnsi="Times New Roman"/>
          <w:sz w:val="28"/>
          <w:szCs w:val="28"/>
        </w:rPr>
        <w:t xml:space="preserve"> when this </w:t>
      </w:r>
      <w:r w:rsidR="00C26C1B">
        <w:rPr>
          <w:rFonts w:ascii="Times New Roman" w:hAnsi="Times New Roman"/>
          <w:sz w:val="28"/>
          <w:szCs w:val="28"/>
        </w:rPr>
        <w:t>occurred</w:t>
      </w:r>
      <w:r>
        <w:rPr>
          <w:rFonts w:ascii="Times New Roman" w:hAnsi="Times New Roman"/>
          <w:sz w:val="28"/>
          <w:szCs w:val="28"/>
        </w:rPr>
        <w:t>.)</w:t>
      </w:r>
    </w:p>
    <w:p w14:paraId="028C8C3A" w14:textId="77777777" w:rsidR="00F111DF" w:rsidRPr="00F111DF" w:rsidRDefault="00F111DF" w:rsidP="00F111DF">
      <w:pPr>
        <w:pStyle w:val="ListParagraph"/>
        <w:rPr>
          <w:rFonts w:ascii="Times New Roman" w:hAnsi="Times New Roman"/>
          <w:sz w:val="28"/>
          <w:szCs w:val="28"/>
        </w:rPr>
      </w:pPr>
    </w:p>
    <w:p w14:paraId="64EC46FD" w14:textId="77777777" w:rsidR="00F111DF" w:rsidRDefault="00B909D6" w:rsidP="00F111D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When</w:t>
      </w:r>
      <w:r w:rsidR="00F111DF">
        <w:rPr>
          <w:rFonts w:ascii="Times New Roman" w:hAnsi="Times New Roman"/>
          <w:sz w:val="28"/>
          <w:szCs w:val="28"/>
        </w:rPr>
        <w:t xml:space="preserve"> Colin Kriel failed to pay this bond there was a sequel to </w:t>
      </w:r>
      <w:r w:rsidR="00972068">
        <w:rPr>
          <w:rFonts w:ascii="Times New Roman" w:hAnsi="Times New Roman"/>
          <w:sz w:val="28"/>
          <w:szCs w:val="28"/>
        </w:rPr>
        <w:t>the Order</w:t>
      </w:r>
      <w:r w:rsidR="00F111DF">
        <w:rPr>
          <w:rFonts w:ascii="Times New Roman" w:hAnsi="Times New Roman"/>
          <w:sz w:val="28"/>
          <w:szCs w:val="28"/>
        </w:rPr>
        <w:t xml:space="preserve"> pursuant to which Shumayela Properties </w:t>
      </w:r>
      <w:r w:rsidR="00C20997">
        <w:rPr>
          <w:rFonts w:ascii="Times New Roman" w:hAnsi="Times New Roman"/>
          <w:sz w:val="28"/>
          <w:szCs w:val="28"/>
        </w:rPr>
        <w:t>brought</w:t>
      </w:r>
      <w:r w:rsidR="00F111DF">
        <w:rPr>
          <w:rFonts w:ascii="Times New Roman" w:hAnsi="Times New Roman"/>
          <w:sz w:val="28"/>
          <w:szCs w:val="28"/>
        </w:rPr>
        <w:t xml:space="preserve"> a</w:t>
      </w:r>
      <w:r w:rsidR="00972068">
        <w:rPr>
          <w:rFonts w:ascii="Times New Roman" w:hAnsi="Times New Roman"/>
          <w:sz w:val="28"/>
          <w:szCs w:val="28"/>
        </w:rPr>
        <w:t xml:space="preserve"> further</w:t>
      </w:r>
      <w:r w:rsidR="00F111DF">
        <w:rPr>
          <w:rFonts w:ascii="Times New Roman" w:hAnsi="Times New Roman"/>
          <w:sz w:val="28"/>
          <w:szCs w:val="28"/>
        </w:rPr>
        <w:t xml:space="preserve"> </w:t>
      </w:r>
      <w:r w:rsidR="00C20997">
        <w:rPr>
          <w:rFonts w:ascii="Times New Roman" w:hAnsi="Times New Roman"/>
          <w:sz w:val="28"/>
          <w:szCs w:val="28"/>
        </w:rPr>
        <w:t>application to declare</w:t>
      </w:r>
      <w:r w:rsidR="00F111DF">
        <w:rPr>
          <w:rFonts w:ascii="Times New Roman" w:hAnsi="Times New Roman"/>
          <w:sz w:val="28"/>
          <w:szCs w:val="28"/>
        </w:rPr>
        <w:t xml:space="preserve"> the property executable.  </w:t>
      </w:r>
      <w:r w:rsidR="00B16F10">
        <w:rPr>
          <w:rFonts w:ascii="Times New Roman" w:hAnsi="Times New Roman"/>
          <w:sz w:val="28"/>
          <w:szCs w:val="28"/>
        </w:rPr>
        <w:t>The first respondent</w:t>
      </w:r>
      <w:r w:rsidR="00F111DF">
        <w:rPr>
          <w:rFonts w:ascii="Times New Roman" w:hAnsi="Times New Roman"/>
          <w:sz w:val="28"/>
          <w:szCs w:val="28"/>
        </w:rPr>
        <w:t xml:space="preserve"> applied to join </w:t>
      </w:r>
      <w:r w:rsidR="00914AF1">
        <w:rPr>
          <w:rFonts w:ascii="Times New Roman" w:hAnsi="Times New Roman"/>
          <w:sz w:val="28"/>
          <w:szCs w:val="28"/>
        </w:rPr>
        <w:t xml:space="preserve">in </w:t>
      </w:r>
      <w:r w:rsidR="00F111DF">
        <w:rPr>
          <w:rFonts w:ascii="Times New Roman" w:hAnsi="Times New Roman"/>
          <w:sz w:val="28"/>
          <w:szCs w:val="28"/>
        </w:rPr>
        <w:t>those proceedings and at the hearing of that application asserted (as he does now) that he had “a lien over the property, as occupation of same was given to (him) as security for payment of (his) money.</w:t>
      </w:r>
      <w:r w:rsidR="00914AF1">
        <w:rPr>
          <w:rFonts w:ascii="Times New Roman" w:hAnsi="Times New Roman"/>
          <w:sz w:val="28"/>
          <w:szCs w:val="28"/>
        </w:rPr>
        <w:t>”</w:t>
      </w:r>
    </w:p>
    <w:p w14:paraId="576C4169" w14:textId="77777777" w:rsidR="00F111DF" w:rsidRPr="00F111DF" w:rsidRDefault="00F111DF" w:rsidP="00F111DF">
      <w:pPr>
        <w:pStyle w:val="ListParagraph"/>
        <w:rPr>
          <w:rFonts w:ascii="Times New Roman" w:hAnsi="Times New Roman"/>
          <w:sz w:val="28"/>
          <w:szCs w:val="28"/>
        </w:rPr>
      </w:pPr>
    </w:p>
    <w:p w14:paraId="6F164065" w14:textId="1455D447" w:rsidR="00F111DF" w:rsidRDefault="00F111DF" w:rsidP="00F111D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w:t>
      </w:r>
      <w:r w:rsidR="00A577A8">
        <w:rPr>
          <w:rFonts w:ascii="Times New Roman" w:hAnsi="Times New Roman"/>
          <w:sz w:val="28"/>
          <w:szCs w:val="28"/>
        </w:rPr>
        <w:t xml:space="preserve">he culmination of </w:t>
      </w:r>
      <w:r w:rsidR="00555ABF">
        <w:rPr>
          <w:rFonts w:ascii="Times New Roman" w:hAnsi="Times New Roman"/>
          <w:sz w:val="28"/>
          <w:szCs w:val="28"/>
        </w:rPr>
        <w:t xml:space="preserve">all of </w:t>
      </w:r>
      <w:r w:rsidR="00A577A8">
        <w:rPr>
          <w:rFonts w:ascii="Times New Roman" w:hAnsi="Times New Roman"/>
          <w:sz w:val="28"/>
          <w:szCs w:val="28"/>
        </w:rPr>
        <w:t xml:space="preserve">this </w:t>
      </w:r>
      <w:r w:rsidR="00555ABF">
        <w:rPr>
          <w:rFonts w:ascii="Times New Roman" w:hAnsi="Times New Roman"/>
          <w:sz w:val="28"/>
          <w:szCs w:val="28"/>
        </w:rPr>
        <w:t xml:space="preserve">is that </w:t>
      </w:r>
      <w:r w:rsidR="00A577A8">
        <w:rPr>
          <w:rFonts w:ascii="Times New Roman" w:hAnsi="Times New Roman"/>
          <w:sz w:val="28"/>
          <w:szCs w:val="28"/>
        </w:rPr>
        <w:t>on 12 January 2021 a</w:t>
      </w:r>
      <w:r w:rsidR="00A66632">
        <w:rPr>
          <w:rFonts w:ascii="Times New Roman" w:hAnsi="Times New Roman"/>
          <w:sz w:val="28"/>
          <w:szCs w:val="28"/>
        </w:rPr>
        <w:t xml:space="preserve"> further</w:t>
      </w:r>
      <w:r w:rsidR="00A577A8">
        <w:rPr>
          <w:rFonts w:ascii="Times New Roman" w:hAnsi="Times New Roman"/>
          <w:sz w:val="28"/>
          <w:szCs w:val="28"/>
        </w:rPr>
        <w:t xml:space="preserve"> order </w:t>
      </w:r>
      <w:r w:rsidR="00F00901">
        <w:rPr>
          <w:rFonts w:ascii="Times New Roman" w:hAnsi="Times New Roman"/>
          <w:sz w:val="28"/>
          <w:szCs w:val="28"/>
        </w:rPr>
        <w:t xml:space="preserve">(“the further Order”) </w:t>
      </w:r>
      <w:r w:rsidR="00A577A8">
        <w:rPr>
          <w:rFonts w:ascii="Times New Roman" w:hAnsi="Times New Roman"/>
          <w:sz w:val="28"/>
          <w:szCs w:val="28"/>
        </w:rPr>
        <w:t>granting leave to Shumayela Properties to immediately take its execution against the property</w:t>
      </w:r>
      <w:r w:rsidR="00555ABF">
        <w:rPr>
          <w:rFonts w:ascii="Times New Roman" w:hAnsi="Times New Roman"/>
          <w:sz w:val="28"/>
          <w:szCs w:val="28"/>
        </w:rPr>
        <w:t xml:space="preserve"> was made</w:t>
      </w:r>
      <w:r w:rsidR="00A577A8">
        <w:rPr>
          <w:rFonts w:ascii="Times New Roman" w:hAnsi="Times New Roman"/>
          <w:sz w:val="28"/>
          <w:szCs w:val="28"/>
        </w:rPr>
        <w:t>.  A reserve price was set for the sale of the property in execution in the sum of R2.5 million.  The court’s order in this respect provided further</w:t>
      </w:r>
      <w:r w:rsidR="003C3DD9">
        <w:rPr>
          <w:rFonts w:ascii="Times New Roman" w:hAnsi="Times New Roman"/>
          <w:sz w:val="28"/>
          <w:szCs w:val="28"/>
        </w:rPr>
        <w:t xml:space="preserve">, </w:t>
      </w:r>
      <w:r w:rsidR="00F46556">
        <w:rPr>
          <w:rFonts w:ascii="Times New Roman" w:hAnsi="Times New Roman"/>
          <w:sz w:val="28"/>
          <w:szCs w:val="28"/>
        </w:rPr>
        <w:t>ostensibly</w:t>
      </w:r>
      <w:r w:rsidR="003C3DD9">
        <w:rPr>
          <w:rFonts w:ascii="Times New Roman" w:hAnsi="Times New Roman"/>
          <w:sz w:val="28"/>
          <w:szCs w:val="28"/>
        </w:rPr>
        <w:t xml:space="preserve"> in </w:t>
      </w:r>
      <w:r w:rsidR="00F46556">
        <w:rPr>
          <w:rFonts w:ascii="Times New Roman" w:hAnsi="Times New Roman"/>
          <w:sz w:val="28"/>
          <w:szCs w:val="28"/>
        </w:rPr>
        <w:t>respect of</w:t>
      </w:r>
      <w:r w:rsidR="003C3DD9">
        <w:rPr>
          <w:rFonts w:ascii="Times New Roman" w:hAnsi="Times New Roman"/>
          <w:sz w:val="28"/>
          <w:szCs w:val="28"/>
        </w:rPr>
        <w:t xml:space="preserve"> the first respondent’s claimed </w:t>
      </w:r>
      <w:r w:rsidR="00F46556">
        <w:rPr>
          <w:rFonts w:ascii="Times New Roman" w:hAnsi="Times New Roman"/>
          <w:sz w:val="28"/>
          <w:szCs w:val="28"/>
        </w:rPr>
        <w:t>interest in those proceedings</w:t>
      </w:r>
      <w:r w:rsidR="00786B96">
        <w:rPr>
          <w:rFonts w:ascii="Times New Roman" w:hAnsi="Times New Roman"/>
          <w:sz w:val="28"/>
          <w:szCs w:val="28"/>
        </w:rPr>
        <w:t xml:space="preserve"> which had </w:t>
      </w:r>
      <w:r w:rsidR="004A34C3">
        <w:rPr>
          <w:rFonts w:ascii="Times New Roman" w:hAnsi="Times New Roman"/>
          <w:sz w:val="28"/>
          <w:szCs w:val="28"/>
        </w:rPr>
        <w:t>evidently</w:t>
      </w:r>
      <w:r w:rsidR="00AB3824">
        <w:rPr>
          <w:rFonts w:ascii="Times New Roman" w:hAnsi="Times New Roman"/>
          <w:sz w:val="28"/>
          <w:szCs w:val="28"/>
        </w:rPr>
        <w:t xml:space="preserve"> warranted</w:t>
      </w:r>
      <w:r w:rsidR="00786B96">
        <w:rPr>
          <w:rFonts w:ascii="Times New Roman" w:hAnsi="Times New Roman"/>
          <w:sz w:val="28"/>
          <w:szCs w:val="28"/>
        </w:rPr>
        <w:t xml:space="preserve"> him been joined</w:t>
      </w:r>
      <w:r w:rsidR="008921BB">
        <w:rPr>
          <w:rFonts w:ascii="Times New Roman" w:hAnsi="Times New Roman"/>
          <w:sz w:val="28"/>
          <w:szCs w:val="28"/>
        </w:rPr>
        <w:t xml:space="preserve"> in that application</w:t>
      </w:r>
      <w:r w:rsidR="00F46556">
        <w:rPr>
          <w:rFonts w:ascii="Times New Roman" w:hAnsi="Times New Roman"/>
          <w:sz w:val="28"/>
          <w:szCs w:val="28"/>
        </w:rPr>
        <w:t>,</w:t>
      </w:r>
      <w:r w:rsidR="00A577A8">
        <w:rPr>
          <w:rFonts w:ascii="Times New Roman" w:hAnsi="Times New Roman"/>
          <w:sz w:val="28"/>
          <w:szCs w:val="28"/>
        </w:rPr>
        <w:t xml:space="preserve"> that:</w:t>
      </w:r>
    </w:p>
    <w:p w14:paraId="43B14812" w14:textId="77777777" w:rsidR="00A577A8" w:rsidRDefault="00A577A8" w:rsidP="00A577A8">
      <w:pPr>
        <w:pStyle w:val="ListParagraph"/>
        <w:rPr>
          <w:rFonts w:ascii="Times New Roman" w:hAnsi="Times New Roman"/>
          <w:sz w:val="28"/>
          <w:szCs w:val="28"/>
        </w:rPr>
      </w:pPr>
    </w:p>
    <w:p w14:paraId="0326AB3E" w14:textId="77777777" w:rsidR="009A46A9" w:rsidRPr="00A66632" w:rsidRDefault="009A46A9" w:rsidP="00A66632">
      <w:pPr>
        <w:pStyle w:val="ListParagraph"/>
        <w:rPr>
          <w:rFonts w:ascii="Times New Roman" w:hAnsi="Times New Roman"/>
        </w:rPr>
      </w:pPr>
      <w:r w:rsidRPr="009A46A9">
        <w:rPr>
          <w:rFonts w:ascii="Times New Roman" w:hAnsi="Times New Roman"/>
        </w:rPr>
        <w:t>“</w:t>
      </w:r>
      <w:r w:rsidRPr="00A66632">
        <w:rPr>
          <w:rFonts w:ascii="Times New Roman" w:hAnsi="Times New Roman"/>
        </w:rPr>
        <w:t>4.</w:t>
      </w:r>
      <w:r w:rsidRPr="00A66632">
        <w:rPr>
          <w:rFonts w:ascii="Times New Roman" w:hAnsi="Times New Roman"/>
        </w:rPr>
        <w:tab/>
        <w:t>The following shall be included in the conditions of sale of the property.</w:t>
      </w:r>
    </w:p>
    <w:p w14:paraId="7D840EAF" w14:textId="77777777" w:rsidR="009A46A9" w:rsidRDefault="009A46A9" w:rsidP="009A46A9">
      <w:pPr>
        <w:ind w:left="1440"/>
        <w:jc w:val="both"/>
        <w:rPr>
          <w:rFonts w:ascii="Times New Roman" w:hAnsi="Times New Roman"/>
        </w:rPr>
      </w:pPr>
      <w:r w:rsidRPr="009A46A9">
        <w:rPr>
          <w:rFonts w:ascii="Times New Roman" w:hAnsi="Times New Roman"/>
        </w:rPr>
        <w:t>“The sale of the property is subject to any legal rights which Khayalethu Wiseman Gqosha may have as occupier of the property.”</w:t>
      </w:r>
      <w:r w:rsidR="00D673EB">
        <w:rPr>
          <w:rFonts w:ascii="Times New Roman" w:hAnsi="Times New Roman"/>
        </w:rPr>
        <w:t>”</w:t>
      </w:r>
    </w:p>
    <w:p w14:paraId="4E345360" w14:textId="77777777" w:rsidR="00D673EB" w:rsidRPr="009A46A9" w:rsidRDefault="00D673EB" w:rsidP="009A46A9">
      <w:pPr>
        <w:ind w:left="1440"/>
        <w:jc w:val="both"/>
        <w:rPr>
          <w:rFonts w:ascii="Times New Roman" w:hAnsi="Times New Roman"/>
        </w:rPr>
      </w:pPr>
    </w:p>
    <w:p w14:paraId="486F67C3" w14:textId="3C1FA771" w:rsidR="00A577A8" w:rsidRPr="00340885" w:rsidRDefault="00A577A8" w:rsidP="00340885">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applicants </w:t>
      </w:r>
      <w:r w:rsidR="00DB461C">
        <w:rPr>
          <w:rFonts w:ascii="Times New Roman" w:hAnsi="Times New Roman"/>
          <w:sz w:val="28"/>
          <w:szCs w:val="28"/>
        </w:rPr>
        <w:t>did not volunteer to this court</w:t>
      </w:r>
      <w:r>
        <w:rPr>
          <w:rFonts w:ascii="Times New Roman" w:hAnsi="Times New Roman"/>
          <w:sz w:val="28"/>
          <w:szCs w:val="28"/>
        </w:rPr>
        <w:t xml:space="preserve"> how it transpired that they came to purchase the property </w:t>
      </w:r>
      <w:r w:rsidR="00F83050">
        <w:rPr>
          <w:rFonts w:ascii="Times New Roman" w:hAnsi="Times New Roman"/>
          <w:sz w:val="28"/>
          <w:szCs w:val="28"/>
        </w:rPr>
        <w:t xml:space="preserve">or on what terms </w:t>
      </w:r>
      <w:r w:rsidR="00247E87">
        <w:rPr>
          <w:rFonts w:ascii="Times New Roman" w:hAnsi="Times New Roman"/>
          <w:sz w:val="28"/>
          <w:szCs w:val="28"/>
        </w:rPr>
        <w:t>vis-à-vis the first respondent</w:t>
      </w:r>
      <w:r w:rsidR="00223AB5">
        <w:rPr>
          <w:rFonts w:ascii="Times New Roman" w:hAnsi="Times New Roman"/>
          <w:sz w:val="28"/>
          <w:szCs w:val="28"/>
        </w:rPr>
        <w:t xml:space="preserve"> who could hardly have been </w:t>
      </w:r>
      <w:r w:rsidR="00F247AC">
        <w:rPr>
          <w:rFonts w:ascii="Times New Roman" w:hAnsi="Times New Roman"/>
          <w:sz w:val="28"/>
          <w:szCs w:val="28"/>
        </w:rPr>
        <w:t>out of</w:t>
      </w:r>
      <w:r w:rsidR="00223AB5">
        <w:rPr>
          <w:rFonts w:ascii="Times New Roman" w:hAnsi="Times New Roman"/>
          <w:sz w:val="28"/>
          <w:szCs w:val="28"/>
        </w:rPr>
        <w:t xml:space="preserve"> the picture</w:t>
      </w:r>
      <w:r w:rsidR="00F247AC">
        <w:rPr>
          <w:rFonts w:ascii="Times New Roman" w:hAnsi="Times New Roman"/>
          <w:sz w:val="28"/>
          <w:szCs w:val="28"/>
        </w:rPr>
        <w:t xml:space="preserve"> as it were</w:t>
      </w:r>
      <w:r w:rsidR="00223AB5">
        <w:rPr>
          <w:rFonts w:ascii="Times New Roman" w:hAnsi="Times New Roman"/>
          <w:sz w:val="28"/>
          <w:szCs w:val="28"/>
        </w:rPr>
        <w:t xml:space="preserve"> especially </w:t>
      </w:r>
      <w:r w:rsidR="0003698E">
        <w:rPr>
          <w:rFonts w:ascii="Times New Roman" w:hAnsi="Times New Roman"/>
          <w:sz w:val="28"/>
          <w:szCs w:val="28"/>
        </w:rPr>
        <w:t xml:space="preserve">from </w:t>
      </w:r>
      <w:r w:rsidR="00901D46">
        <w:rPr>
          <w:rFonts w:ascii="Times New Roman" w:hAnsi="Times New Roman"/>
          <w:sz w:val="28"/>
          <w:szCs w:val="28"/>
        </w:rPr>
        <w:t xml:space="preserve">the point of </w:t>
      </w:r>
      <w:r w:rsidR="00901D46">
        <w:rPr>
          <w:rFonts w:ascii="Times New Roman" w:hAnsi="Times New Roman"/>
          <w:sz w:val="28"/>
          <w:szCs w:val="28"/>
        </w:rPr>
        <w:lastRenderedPageBreak/>
        <w:t xml:space="preserve">view of </w:t>
      </w:r>
      <w:r w:rsidR="0003698E">
        <w:rPr>
          <w:rFonts w:ascii="Times New Roman" w:hAnsi="Times New Roman"/>
          <w:sz w:val="28"/>
          <w:szCs w:val="28"/>
        </w:rPr>
        <w:t>the second applicant</w:t>
      </w:r>
      <w:r w:rsidR="00CA3F21">
        <w:rPr>
          <w:rFonts w:ascii="Times New Roman" w:hAnsi="Times New Roman"/>
          <w:sz w:val="28"/>
          <w:szCs w:val="28"/>
        </w:rPr>
        <w:t xml:space="preserve"> </w:t>
      </w:r>
      <w:r w:rsidR="00BA4B32">
        <w:rPr>
          <w:rFonts w:ascii="Times New Roman" w:hAnsi="Times New Roman"/>
          <w:sz w:val="28"/>
          <w:szCs w:val="28"/>
        </w:rPr>
        <w:t>(the</w:t>
      </w:r>
      <w:r w:rsidR="00901D46">
        <w:rPr>
          <w:rFonts w:ascii="Times New Roman" w:hAnsi="Times New Roman"/>
          <w:sz w:val="28"/>
          <w:szCs w:val="28"/>
        </w:rPr>
        <w:t xml:space="preserve"> applicants</w:t>
      </w:r>
      <w:r w:rsidR="000C1528">
        <w:rPr>
          <w:rFonts w:ascii="Times New Roman" w:hAnsi="Times New Roman"/>
          <w:sz w:val="28"/>
          <w:szCs w:val="28"/>
        </w:rPr>
        <w:t>,</w:t>
      </w:r>
      <w:r w:rsidR="00DE1723">
        <w:rPr>
          <w:rFonts w:ascii="Times New Roman" w:hAnsi="Times New Roman"/>
          <w:sz w:val="28"/>
          <w:szCs w:val="28"/>
        </w:rPr>
        <w:t xml:space="preserve"> ostensibly</w:t>
      </w:r>
      <w:r w:rsidR="00BA4B32">
        <w:rPr>
          <w:rFonts w:ascii="Times New Roman" w:hAnsi="Times New Roman"/>
          <w:sz w:val="28"/>
          <w:szCs w:val="28"/>
        </w:rPr>
        <w:t xml:space="preserve"> </w:t>
      </w:r>
      <w:r w:rsidR="0089596C">
        <w:rPr>
          <w:rFonts w:ascii="Times New Roman" w:hAnsi="Times New Roman"/>
          <w:sz w:val="28"/>
          <w:szCs w:val="28"/>
        </w:rPr>
        <w:t>eschewing any direct dealings with Colin Kriel</w:t>
      </w:r>
      <w:r w:rsidR="00DE1723">
        <w:rPr>
          <w:rFonts w:ascii="Times New Roman" w:hAnsi="Times New Roman"/>
          <w:sz w:val="28"/>
          <w:szCs w:val="28"/>
        </w:rPr>
        <w:t>,</w:t>
      </w:r>
      <w:r w:rsidR="0089596C">
        <w:rPr>
          <w:rFonts w:ascii="Times New Roman" w:hAnsi="Times New Roman"/>
          <w:sz w:val="28"/>
          <w:szCs w:val="28"/>
        </w:rPr>
        <w:t xml:space="preserve"> </w:t>
      </w:r>
      <w:r w:rsidR="00396F85">
        <w:rPr>
          <w:rFonts w:ascii="Times New Roman" w:hAnsi="Times New Roman"/>
          <w:sz w:val="28"/>
          <w:szCs w:val="28"/>
        </w:rPr>
        <w:t>averred</w:t>
      </w:r>
      <w:r w:rsidR="000024DE">
        <w:rPr>
          <w:rFonts w:ascii="Times New Roman" w:hAnsi="Times New Roman"/>
          <w:sz w:val="28"/>
          <w:szCs w:val="28"/>
        </w:rPr>
        <w:t xml:space="preserve"> in their replying papers</w:t>
      </w:r>
      <w:r w:rsidR="00BA4B32">
        <w:rPr>
          <w:rFonts w:ascii="Times New Roman" w:hAnsi="Times New Roman"/>
          <w:sz w:val="28"/>
          <w:szCs w:val="28"/>
        </w:rPr>
        <w:t xml:space="preserve"> that they negotiated with the execution creditor</w:t>
      </w:r>
      <w:r w:rsidR="008460FB">
        <w:rPr>
          <w:rFonts w:ascii="Times New Roman" w:hAnsi="Times New Roman"/>
          <w:sz w:val="28"/>
          <w:szCs w:val="28"/>
        </w:rPr>
        <w:t xml:space="preserve"> </w:t>
      </w:r>
      <w:r w:rsidR="00B76408">
        <w:rPr>
          <w:rFonts w:ascii="Times New Roman" w:hAnsi="Times New Roman"/>
          <w:sz w:val="28"/>
          <w:szCs w:val="28"/>
        </w:rPr>
        <w:t>in resp</w:t>
      </w:r>
      <w:r w:rsidR="006E5CFE">
        <w:rPr>
          <w:rFonts w:ascii="Times New Roman" w:hAnsi="Times New Roman"/>
          <w:sz w:val="28"/>
          <w:szCs w:val="28"/>
        </w:rPr>
        <w:t>ect of the</w:t>
      </w:r>
      <w:r w:rsidR="0034212D">
        <w:rPr>
          <w:rFonts w:ascii="Times New Roman" w:hAnsi="Times New Roman"/>
          <w:sz w:val="28"/>
          <w:szCs w:val="28"/>
        </w:rPr>
        <w:t>ir</w:t>
      </w:r>
      <w:r w:rsidR="006E5CFE">
        <w:rPr>
          <w:rFonts w:ascii="Times New Roman" w:hAnsi="Times New Roman"/>
          <w:sz w:val="28"/>
          <w:szCs w:val="28"/>
        </w:rPr>
        <w:t xml:space="preserve"> private </w:t>
      </w:r>
      <w:r w:rsidR="005E7249">
        <w:rPr>
          <w:rFonts w:ascii="Times New Roman" w:hAnsi="Times New Roman"/>
          <w:sz w:val="28"/>
          <w:szCs w:val="28"/>
        </w:rPr>
        <w:t xml:space="preserve">purchase of the property </w:t>
      </w:r>
      <w:r w:rsidR="008460FB">
        <w:rPr>
          <w:rFonts w:ascii="Times New Roman" w:hAnsi="Times New Roman"/>
          <w:sz w:val="28"/>
          <w:szCs w:val="28"/>
        </w:rPr>
        <w:t xml:space="preserve">which to my mind requires </w:t>
      </w:r>
      <w:r w:rsidR="00646ABB">
        <w:rPr>
          <w:rFonts w:ascii="Times New Roman" w:hAnsi="Times New Roman"/>
          <w:sz w:val="28"/>
          <w:szCs w:val="28"/>
        </w:rPr>
        <w:t xml:space="preserve">elaboration </w:t>
      </w:r>
      <w:r w:rsidR="007B747C">
        <w:rPr>
          <w:rFonts w:ascii="Times New Roman" w:hAnsi="Times New Roman"/>
          <w:sz w:val="28"/>
          <w:szCs w:val="28"/>
        </w:rPr>
        <w:t xml:space="preserve">on its own </w:t>
      </w:r>
      <w:r w:rsidR="00646ABB">
        <w:rPr>
          <w:rFonts w:ascii="Times New Roman" w:hAnsi="Times New Roman"/>
          <w:sz w:val="28"/>
          <w:szCs w:val="28"/>
        </w:rPr>
        <w:t>wh</w:t>
      </w:r>
      <w:r w:rsidR="001C311E">
        <w:rPr>
          <w:rFonts w:ascii="Times New Roman" w:hAnsi="Times New Roman"/>
          <w:sz w:val="28"/>
          <w:szCs w:val="28"/>
        </w:rPr>
        <w:t xml:space="preserve">y they ignored the </w:t>
      </w:r>
      <w:r w:rsidR="002B7990">
        <w:rPr>
          <w:rFonts w:ascii="Times New Roman" w:hAnsi="Times New Roman"/>
          <w:sz w:val="28"/>
          <w:szCs w:val="28"/>
        </w:rPr>
        <w:t>court’s caveat expressed in the further order</w:t>
      </w:r>
      <w:r w:rsidR="00654E22">
        <w:rPr>
          <w:rFonts w:ascii="Times New Roman" w:hAnsi="Times New Roman"/>
          <w:sz w:val="28"/>
          <w:szCs w:val="28"/>
        </w:rPr>
        <w:t xml:space="preserve"> which especially </w:t>
      </w:r>
      <w:r w:rsidR="008F5357">
        <w:rPr>
          <w:rFonts w:ascii="Times New Roman" w:hAnsi="Times New Roman"/>
          <w:sz w:val="28"/>
          <w:szCs w:val="28"/>
        </w:rPr>
        <w:t>reserved</w:t>
      </w:r>
      <w:r w:rsidR="00654E22">
        <w:rPr>
          <w:rFonts w:ascii="Times New Roman" w:hAnsi="Times New Roman"/>
          <w:sz w:val="28"/>
          <w:szCs w:val="28"/>
        </w:rPr>
        <w:t xml:space="preserve"> the “legal rights</w:t>
      </w:r>
      <w:r w:rsidR="00C863C7">
        <w:rPr>
          <w:rFonts w:ascii="Times New Roman" w:hAnsi="Times New Roman"/>
          <w:sz w:val="28"/>
          <w:szCs w:val="28"/>
        </w:rPr>
        <w:t>” of the first respondent as “occupier</w:t>
      </w:r>
      <w:r w:rsidR="005E7249">
        <w:rPr>
          <w:rFonts w:ascii="Times New Roman" w:hAnsi="Times New Roman"/>
          <w:sz w:val="28"/>
          <w:szCs w:val="28"/>
        </w:rPr>
        <w:t>”</w:t>
      </w:r>
      <w:r w:rsidR="00C863C7">
        <w:rPr>
          <w:rFonts w:ascii="Times New Roman" w:hAnsi="Times New Roman"/>
          <w:sz w:val="28"/>
          <w:szCs w:val="28"/>
        </w:rPr>
        <w:t xml:space="preserve"> </w:t>
      </w:r>
      <w:r w:rsidR="005E7249">
        <w:rPr>
          <w:rFonts w:ascii="Times New Roman" w:hAnsi="Times New Roman"/>
          <w:sz w:val="28"/>
          <w:szCs w:val="28"/>
        </w:rPr>
        <w:t>thereof</w:t>
      </w:r>
      <w:r w:rsidR="000024DE" w:rsidRPr="00340885">
        <w:rPr>
          <w:rFonts w:ascii="Times New Roman" w:hAnsi="Times New Roman"/>
          <w:sz w:val="28"/>
          <w:szCs w:val="28"/>
        </w:rPr>
        <w:t>)</w:t>
      </w:r>
      <w:r w:rsidR="006B7B70" w:rsidRPr="00340885">
        <w:rPr>
          <w:rFonts w:ascii="Times New Roman" w:hAnsi="Times New Roman"/>
          <w:sz w:val="28"/>
          <w:szCs w:val="28"/>
        </w:rPr>
        <w:t>,</w:t>
      </w:r>
      <w:r w:rsidR="000024DE" w:rsidRPr="00340885">
        <w:rPr>
          <w:rFonts w:ascii="Times New Roman" w:hAnsi="Times New Roman"/>
          <w:sz w:val="28"/>
          <w:szCs w:val="28"/>
        </w:rPr>
        <w:t xml:space="preserve"> </w:t>
      </w:r>
      <w:r w:rsidRPr="00340885">
        <w:rPr>
          <w:rFonts w:ascii="Times New Roman" w:hAnsi="Times New Roman"/>
          <w:sz w:val="28"/>
          <w:szCs w:val="28"/>
        </w:rPr>
        <w:t>or why they saw fit, in laying out the essential allegations for their ejectment claim, to withhold details of the</w:t>
      </w:r>
      <w:r w:rsidR="00BE2FF6">
        <w:rPr>
          <w:rFonts w:ascii="Times New Roman" w:hAnsi="Times New Roman"/>
          <w:sz w:val="28"/>
          <w:szCs w:val="28"/>
        </w:rPr>
        <w:t xml:space="preserve"> </w:t>
      </w:r>
      <w:r w:rsidR="001B13A5">
        <w:rPr>
          <w:rFonts w:ascii="Times New Roman" w:hAnsi="Times New Roman"/>
          <w:sz w:val="28"/>
          <w:szCs w:val="28"/>
        </w:rPr>
        <w:t xml:space="preserve">evidently known fact of the </w:t>
      </w:r>
      <w:r w:rsidR="00BE2FF6">
        <w:rPr>
          <w:rFonts w:ascii="Times New Roman" w:hAnsi="Times New Roman"/>
          <w:sz w:val="28"/>
          <w:szCs w:val="28"/>
        </w:rPr>
        <w:t>first respondent’s</w:t>
      </w:r>
      <w:r w:rsidRPr="00340885">
        <w:rPr>
          <w:rFonts w:ascii="Times New Roman" w:hAnsi="Times New Roman"/>
          <w:sz w:val="28"/>
          <w:szCs w:val="28"/>
        </w:rPr>
        <w:t xml:space="preserve"> </w:t>
      </w:r>
      <w:r w:rsidR="001B13A5">
        <w:rPr>
          <w:rFonts w:ascii="Times New Roman" w:hAnsi="Times New Roman"/>
          <w:sz w:val="28"/>
          <w:szCs w:val="28"/>
        </w:rPr>
        <w:t xml:space="preserve">long standing </w:t>
      </w:r>
      <w:r w:rsidR="00A0795C">
        <w:rPr>
          <w:rFonts w:ascii="Times New Roman" w:hAnsi="Times New Roman"/>
          <w:sz w:val="28"/>
          <w:szCs w:val="28"/>
        </w:rPr>
        <w:t>possession</w:t>
      </w:r>
      <w:r w:rsidR="001B13A5">
        <w:rPr>
          <w:rFonts w:ascii="Times New Roman" w:hAnsi="Times New Roman"/>
          <w:sz w:val="28"/>
          <w:szCs w:val="28"/>
        </w:rPr>
        <w:t xml:space="preserve"> of the propert</w:t>
      </w:r>
      <w:r w:rsidR="00823FDF">
        <w:rPr>
          <w:rFonts w:ascii="Times New Roman" w:hAnsi="Times New Roman"/>
          <w:sz w:val="28"/>
          <w:szCs w:val="28"/>
        </w:rPr>
        <w:t xml:space="preserve">y and his </w:t>
      </w:r>
      <w:r w:rsidR="00B07C55">
        <w:rPr>
          <w:rFonts w:ascii="Times New Roman" w:hAnsi="Times New Roman"/>
          <w:sz w:val="28"/>
          <w:szCs w:val="28"/>
        </w:rPr>
        <w:t xml:space="preserve">peculiar </w:t>
      </w:r>
      <w:r w:rsidRPr="00340885">
        <w:rPr>
          <w:rFonts w:ascii="Times New Roman" w:hAnsi="Times New Roman"/>
          <w:sz w:val="28"/>
          <w:szCs w:val="28"/>
        </w:rPr>
        <w:t xml:space="preserve">relationship with Colin Kriel or the second applicant’s </w:t>
      </w:r>
      <w:r w:rsidR="00BD715C" w:rsidRPr="00340885">
        <w:rPr>
          <w:rFonts w:ascii="Times New Roman" w:hAnsi="Times New Roman"/>
          <w:sz w:val="28"/>
          <w:szCs w:val="28"/>
        </w:rPr>
        <w:t xml:space="preserve">firm’s </w:t>
      </w:r>
      <w:r w:rsidRPr="00340885">
        <w:rPr>
          <w:rFonts w:ascii="Times New Roman" w:hAnsi="Times New Roman"/>
          <w:sz w:val="28"/>
          <w:szCs w:val="28"/>
        </w:rPr>
        <w:t xml:space="preserve">professional dealings with </w:t>
      </w:r>
      <w:r w:rsidR="00B07C55">
        <w:rPr>
          <w:rFonts w:ascii="Times New Roman" w:hAnsi="Times New Roman"/>
          <w:sz w:val="28"/>
          <w:szCs w:val="28"/>
        </w:rPr>
        <w:t xml:space="preserve">both </w:t>
      </w:r>
      <w:r w:rsidR="00602C77">
        <w:rPr>
          <w:rFonts w:ascii="Times New Roman" w:hAnsi="Times New Roman"/>
          <w:sz w:val="28"/>
          <w:szCs w:val="28"/>
        </w:rPr>
        <w:t>the latter</w:t>
      </w:r>
      <w:r w:rsidRPr="00340885">
        <w:rPr>
          <w:rFonts w:ascii="Times New Roman" w:hAnsi="Times New Roman"/>
          <w:sz w:val="28"/>
          <w:szCs w:val="28"/>
        </w:rPr>
        <w:t xml:space="preserve"> and the first respondent</w:t>
      </w:r>
      <w:r w:rsidR="006B1FC4">
        <w:rPr>
          <w:rFonts w:ascii="Times New Roman" w:hAnsi="Times New Roman"/>
          <w:sz w:val="28"/>
          <w:szCs w:val="28"/>
        </w:rPr>
        <w:t xml:space="preserve"> in relat</w:t>
      </w:r>
      <w:r w:rsidR="00DD280A">
        <w:rPr>
          <w:rFonts w:ascii="Times New Roman" w:hAnsi="Times New Roman"/>
          <w:sz w:val="28"/>
          <w:szCs w:val="28"/>
        </w:rPr>
        <w:t>ion to the property</w:t>
      </w:r>
      <w:r w:rsidRPr="00340885">
        <w:rPr>
          <w:rFonts w:ascii="Times New Roman" w:hAnsi="Times New Roman"/>
          <w:sz w:val="28"/>
          <w:szCs w:val="28"/>
        </w:rPr>
        <w:t>.</w:t>
      </w:r>
      <w:r w:rsidR="00865FED">
        <w:rPr>
          <w:rFonts w:ascii="Times New Roman" w:hAnsi="Times New Roman"/>
          <w:sz w:val="28"/>
          <w:szCs w:val="28"/>
        </w:rPr>
        <w:t xml:space="preserve"> In reply they simply den</w:t>
      </w:r>
      <w:r w:rsidR="00F90CB1">
        <w:rPr>
          <w:rFonts w:ascii="Times New Roman" w:hAnsi="Times New Roman"/>
          <w:sz w:val="28"/>
          <w:szCs w:val="28"/>
        </w:rPr>
        <w:t>ied</w:t>
      </w:r>
      <w:r w:rsidR="00865FED">
        <w:rPr>
          <w:rFonts w:ascii="Times New Roman" w:hAnsi="Times New Roman"/>
          <w:sz w:val="28"/>
          <w:szCs w:val="28"/>
        </w:rPr>
        <w:t xml:space="preserve"> that a lien exists</w:t>
      </w:r>
      <w:r w:rsidR="008F5357">
        <w:rPr>
          <w:rFonts w:ascii="Times New Roman" w:hAnsi="Times New Roman"/>
          <w:sz w:val="28"/>
          <w:szCs w:val="28"/>
        </w:rPr>
        <w:t xml:space="preserve"> </w:t>
      </w:r>
      <w:r w:rsidR="00A70D3D">
        <w:rPr>
          <w:rFonts w:ascii="Times New Roman" w:hAnsi="Times New Roman"/>
          <w:sz w:val="28"/>
          <w:szCs w:val="28"/>
        </w:rPr>
        <w:t xml:space="preserve">which </w:t>
      </w:r>
      <w:r w:rsidR="00F60929">
        <w:rPr>
          <w:rFonts w:ascii="Times New Roman" w:hAnsi="Times New Roman"/>
          <w:sz w:val="28"/>
          <w:szCs w:val="28"/>
        </w:rPr>
        <w:t>denial</w:t>
      </w:r>
      <w:r w:rsidR="00A70D3D">
        <w:rPr>
          <w:rFonts w:ascii="Times New Roman" w:hAnsi="Times New Roman"/>
          <w:sz w:val="28"/>
          <w:szCs w:val="28"/>
        </w:rPr>
        <w:t xml:space="preserve"> rings hollow</w:t>
      </w:r>
      <w:r w:rsidR="00C85030">
        <w:rPr>
          <w:rFonts w:ascii="Times New Roman" w:hAnsi="Times New Roman"/>
          <w:sz w:val="28"/>
          <w:szCs w:val="28"/>
        </w:rPr>
        <w:t xml:space="preserve"> </w:t>
      </w:r>
      <w:r w:rsidR="00A551DC">
        <w:rPr>
          <w:rFonts w:ascii="Times New Roman" w:hAnsi="Times New Roman"/>
          <w:sz w:val="28"/>
          <w:szCs w:val="28"/>
        </w:rPr>
        <w:t xml:space="preserve">against </w:t>
      </w:r>
      <w:r w:rsidR="003B6D80">
        <w:rPr>
          <w:rFonts w:ascii="Times New Roman" w:hAnsi="Times New Roman"/>
          <w:sz w:val="28"/>
          <w:szCs w:val="28"/>
        </w:rPr>
        <w:t>the</w:t>
      </w:r>
      <w:r w:rsidR="00A551DC">
        <w:rPr>
          <w:rFonts w:ascii="Times New Roman" w:hAnsi="Times New Roman"/>
          <w:sz w:val="28"/>
          <w:szCs w:val="28"/>
        </w:rPr>
        <w:t xml:space="preserve"> premise </w:t>
      </w:r>
      <w:r w:rsidR="004F37EB">
        <w:rPr>
          <w:rFonts w:ascii="Times New Roman" w:hAnsi="Times New Roman"/>
          <w:sz w:val="28"/>
          <w:szCs w:val="28"/>
        </w:rPr>
        <w:t xml:space="preserve">of </w:t>
      </w:r>
      <w:r w:rsidR="00EB6CC2">
        <w:rPr>
          <w:rFonts w:ascii="Times New Roman" w:hAnsi="Times New Roman"/>
          <w:sz w:val="28"/>
          <w:szCs w:val="28"/>
        </w:rPr>
        <w:t xml:space="preserve">their </w:t>
      </w:r>
      <w:r w:rsidR="005754C0">
        <w:rPr>
          <w:rFonts w:ascii="Times New Roman" w:hAnsi="Times New Roman"/>
          <w:sz w:val="28"/>
          <w:szCs w:val="28"/>
        </w:rPr>
        <w:t xml:space="preserve">purported </w:t>
      </w:r>
      <w:r w:rsidR="004F37EB">
        <w:rPr>
          <w:rFonts w:ascii="Times New Roman" w:hAnsi="Times New Roman"/>
          <w:sz w:val="28"/>
          <w:szCs w:val="28"/>
        </w:rPr>
        <w:t xml:space="preserve">nescience </w:t>
      </w:r>
      <w:r w:rsidR="009005D6">
        <w:rPr>
          <w:rFonts w:ascii="Times New Roman" w:hAnsi="Times New Roman"/>
          <w:sz w:val="28"/>
          <w:szCs w:val="28"/>
        </w:rPr>
        <w:t xml:space="preserve">of </w:t>
      </w:r>
      <w:r w:rsidR="00B53068">
        <w:rPr>
          <w:rFonts w:ascii="Times New Roman" w:hAnsi="Times New Roman"/>
          <w:sz w:val="28"/>
          <w:szCs w:val="28"/>
        </w:rPr>
        <w:t xml:space="preserve">any prior dealings between </w:t>
      </w:r>
      <w:r w:rsidR="00E84AD6">
        <w:rPr>
          <w:rFonts w:ascii="Times New Roman" w:hAnsi="Times New Roman"/>
          <w:sz w:val="28"/>
          <w:szCs w:val="28"/>
        </w:rPr>
        <w:t>Colin Kriel and the first respondent.</w:t>
      </w:r>
    </w:p>
    <w:p w14:paraId="74EC6E2A" w14:textId="77777777" w:rsidR="00A577A8" w:rsidRDefault="00A577A8" w:rsidP="00A577A8">
      <w:pPr>
        <w:pStyle w:val="ListParagraph"/>
        <w:spacing w:line="360" w:lineRule="auto"/>
        <w:ind w:left="0"/>
        <w:jc w:val="both"/>
        <w:rPr>
          <w:rFonts w:ascii="Times New Roman" w:hAnsi="Times New Roman"/>
          <w:sz w:val="28"/>
          <w:szCs w:val="28"/>
        </w:rPr>
      </w:pPr>
    </w:p>
    <w:p w14:paraId="2D4B48A8" w14:textId="022B964A" w:rsidR="00A577A8" w:rsidRDefault="008A1DBC" w:rsidP="00F111D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w:t>
      </w:r>
      <w:r w:rsidR="00A577A8">
        <w:rPr>
          <w:rFonts w:ascii="Times New Roman" w:hAnsi="Times New Roman"/>
          <w:sz w:val="28"/>
          <w:szCs w:val="28"/>
        </w:rPr>
        <w:t xml:space="preserve">he first respondent alluded to yet another significant incident </w:t>
      </w:r>
      <w:r>
        <w:rPr>
          <w:rFonts w:ascii="Times New Roman" w:hAnsi="Times New Roman"/>
          <w:sz w:val="28"/>
          <w:szCs w:val="28"/>
        </w:rPr>
        <w:t>prece</w:t>
      </w:r>
      <w:r w:rsidR="00B5070F">
        <w:rPr>
          <w:rFonts w:ascii="Times New Roman" w:hAnsi="Times New Roman"/>
          <w:sz w:val="28"/>
          <w:szCs w:val="28"/>
        </w:rPr>
        <w:t>ding</w:t>
      </w:r>
      <w:r>
        <w:rPr>
          <w:rFonts w:ascii="Times New Roman" w:hAnsi="Times New Roman"/>
          <w:sz w:val="28"/>
          <w:szCs w:val="28"/>
        </w:rPr>
        <w:t xml:space="preserve"> the</w:t>
      </w:r>
      <w:r w:rsidR="00E60361">
        <w:rPr>
          <w:rFonts w:ascii="Times New Roman" w:hAnsi="Times New Roman"/>
          <w:sz w:val="28"/>
          <w:szCs w:val="28"/>
        </w:rPr>
        <w:t xml:space="preserve"> applicants</w:t>
      </w:r>
      <w:r>
        <w:rPr>
          <w:rFonts w:ascii="Times New Roman" w:hAnsi="Times New Roman"/>
          <w:sz w:val="28"/>
          <w:szCs w:val="28"/>
        </w:rPr>
        <w:t xml:space="preserve"> taking transfer of the property </w:t>
      </w:r>
      <w:r w:rsidR="00A577A8">
        <w:rPr>
          <w:rFonts w:ascii="Times New Roman" w:hAnsi="Times New Roman"/>
          <w:sz w:val="28"/>
          <w:szCs w:val="28"/>
        </w:rPr>
        <w:t xml:space="preserve">which </w:t>
      </w:r>
      <w:r w:rsidR="00C03FC5">
        <w:rPr>
          <w:rFonts w:ascii="Times New Roman" w:hAnsi="Times New Roman"/>
          <w:sz w:val="28"/>
          <w:szCs w:val="28"/>
        </w:rPr>
        <w:t xml:space="preserve">self-evidently </w:t>
      </w:r>
      <w:r w:rsidR="00E60361">
        <w:rPr>
          <w:rFonts w:ascii="Times New Roman" w:hAnsi="Times New Roman"/>
          <w:sz w:val="28"/>
          <w:szCs w:val="28"/>
        </w:rPr>
        <w:t>exposes</w:t>
      </w:r>
      <w:r w:rsidR="00A577A8">
        <w:rPr>
          <w:rFonts w:ascii="Times New Roman" w:hAnsi="Times New Roman"/>
          <w:sz w:val="28"/>
          <w:szCs w:val="28"/>
        </w:rPr>
        <w:t xml:space="preserve"> their complicity with Colin Kriel</w:t>
      </w:r>
      <w:r w:rsidR="00B77B78">
        <w:rPr>
          <w:rFonts w:ascii="Times New Roman" w:hAnsi="Times New Roman"/>
          <w:sz w:val="28"/>
          <w:szCs w:val="28"/>
        </w:rPr>
        <w:t xml:space="preserve"> and awareness</w:t>
      </w:r>
      <w:r w:rsidR="008E0EB0">
        <w:rPr>
          <w:rFonts w:ascii="Times New Roman" w:hAnsi="Times New Roman"/>
          <w:sz w:val="28"/>
          <w:szCs w:val="28"/>
        </w:rPr>
        <w:t xml:space="preserve"> of </w:t>
      </w:r>
      <w:r w:rsidR="00DD415F">
        <w:rPr>
          <w:rFonts w:ascii="Times New Roman" w:hAnsi="Times New Roman"/>
          <w:sz w:val="28"/>
          <w:szCs w:val="28"/>
        </w:rPr>
        <w:t>the first respondent’s long-standing</w:t>
      </w:r>
      <w:r w:rsidR="00B52F17">
        <w:rPr>
          <w:rFonts w:ascii="Times New Roman" w:hAnsi="Times New Roman"/>
          <w:sz w:val="28"/>
          <w:szCs w:val="28"/>
        </w:rPr>
        <w:t xml:space="preserve"> </w:t>
      </w:r>
      <w:r w:rsidR="004A34C3">
        <w:rPr>
          <w:rFonts w:ascii="Times New Roman" w:hAnsi="Times New Roman"/>
          <w:sz w:val="28"/>
          <w:szCs w:val="28"/>
        </w:rPr>
        <w:t>possession</w:t>
      </w:r>
      <w:r w:rsidR="00B52F17">
        <w:rPr>
          <w:rFonts w:ascii="Times New Roman" w:hAnsi="Times New Roman"/>
          <w:sz w:val="28"/>
          <w:szCs w:val="28"/>
        </w:rPr>
        <w:t xml:space="preserve"> of the property</w:t>
      </w:r>
      <w:r w:rsidR="00A577A8">
        <w:rPr>
          <w:rFonts w:ascii="Times New Roman" w:hAnsi="Times New Roman"/>
          <w:sz w:val="28"/>
          <w:szCs w:val="28"/>
        </w:rPr>
        <w:t>.  This is that on 26 February 2021 the first applicant wrote to the second respondent (ostensibly on behalf of Colin Kriel)</w:t>
      </w:r>
      <w:r w:rsidR="0041189A">
        <w:rPr>
          <w:rStyle w:val="FootnoteReference"/>
          <w:rFonts w:ascii="Times New Roman" w:hAnsi="Times New Roman"/>
          <w:sz w:val="28"/>
          <w:szCs w:val="28"/>
        </w:rPr>
        <w:footnoteReference w:id="8"/>
      </w:r>
      <w:r w:rsidR="00A577A8">
        <w:rPr>
          <w:rFonts w:ascii="Times New Roman" w:hAnsi="Times New Roman"/>
          <w:sz w:val="28"/>
          <w:szCs w:val="28"/>
        </w:rPr>
        <w:t xml:space="preserve"> </w:t>
      </w:r>
      <w:r w:rsidR="006750A5">
        <w:rPr>
          <w:rFonts w:ascii="Times New Roman" w:hAnsi="Times New Roman"/>
          <w:sz w:val="28"/>
          <w:szCs w:val="28"/>
        </w:rPr>
        <w:t xml:space="preserve">to request them </w:t>
      </w:r>
      <w:r w:rsidR="00A577A8">
        <w:rPr>
          <w:rFonts w:ascii="Times New Roman" w:hAnsi="Times New Roman"/>
          <w:sz w:val="28"/>
          <w:szCs w:val="28"/>
        </w:rPr>
        <w:t>to disconnect the supply of services to the property</w:t>
      </w:r>
      <w:r w:rsidR="006750A5">
        <w:rPr>
          <w:rFonts w:ascii="Times New Roman" w:hAnsi="Times New Roman"/>
          <w:sz w:val="28"/>
          <w:szCs w:val="28"/>
        </w:rPr>
        <w:t xml:space="preserve">.  This </w:t>
      </w:r>
      <w:r w:rsidR="00A42B37">
        <w:rPr>
          <w:rFonts w:ascii="Times New Roman" w:hAnsi="Times New Roman"/>
          <w:sz w:val="28"/>
          <w:szCs w:val="28"/>
        </w:rPr>
        <w:t>communication</w:t>
      </w:r>
      <w:r w:rsidR="000049FC">
        <w:rPr>
          <w:rFonts w:ascii="Times New Roman" w:hAnsi="Times New Roman"/>
          <w:sz w:val="28"/>
          <w:szCs w:val="28"/>
        </w:rPr>
        <w:t xml:space="preserve">, </w:t>
      </w:r>
      <w:r w:rsidR="001D65F8">
        <w:rPr>
          <w:rFonts w:ascii="Times New Roman" w:hAnsi="Times New Roman"/>
          <w:sz w:val="28"/>
          <w:szCs w:val="28"/>
        </w:rPr>
        <w:t>which urges</w:t>
      </w:r>
      <w:r w:rsidR="00A60462">
        <w:rPr>
          <w:rFonts w:ascii="Times New Roman" w:hAnsi="Times New Roman"/>
          <w:sz w:val="28"/>
          <w:szCs w:val="28"/>
        </w:rPr>
        <w:t xml:space="preserve"> upon the second respondent to urgently disconnect the </w:t>
      </w:r>
      <w:r w:rsidR="000049FC">
        <w:rPr>
          <w:rFonts w:ascii="Times New Roman" w:hAnsi="Times New Roman"/>
          <w:sz w:val="28"/>
          <w:szCs w:val="28"/>
        </w:rPr>
        <w:t>services</w:t>
      </w:r>
      <w:r w:rsidR="00A60462">
        <w:rPr>
          <w:rFonts w:ascii="Times New Roman" w:hAnsi="Times New Roman"/>
          <w:sz w:val="28"/>
          <w:szCs w:val="28"/>
        </w:rPr>
        <w:t xml:space="preserve"> </w:t>
      </w:r>
      <w:r w:rsidR="00C24213">
        <w:rPr>
          <w:rFonts w:ascii="Times New Roman" w:hAnsi="Times New Roman"/>
          <w:sz w:val="28"/>
          <w:szCs w:val="28"/>
        </w:rPr>
        <w:t xml:space="preserve">to </w:t>
      </w:r>
      <w:r w:rsidR="002E05C0">
        <w:rPr>
          <w:rFonts w:ascii="Times New Roman" w:hAnsi="Times New Roman"/>
          <w:sz w:val="28"/>
          <w:szCs w:val="28"/>
        </w:rPr>
        <w:t xml:space="preserve">the </w:t>
      </w:r>
      <w:r w:rsidR="00AB0C08">
        <w:rPr>
          <w:rFonts w:ascii="Times New Roman" w:hAnsi="Times New Roman"/>
          <w:sz w:val="28"/>
          <w:szCs w:val="28"/>
        </w:rPr>
        <w:t>property</w:t>
      </w:r>
      <w:r w:rsidR="000049FC">
        <w:rPr>
          <w:rFonts w:ascii="Times New Roman" w:hAnsi="Times New Roman"/>
          <w:sz w:val="28"/>
          <w:szCs w:val="28"/>
        </w:rPr>
        <w:t>,</w:t>
      </w:r>
      <w:r w:rsidR="000E70D2">
        <w:rPr>
          <w:rFonts w:ascii="Times New Roman" w:hAnsi="Times New Roman"/>
          <w:sz w:val="28"/>
          <w:szCs w:val="28"/>
        </w:rPr>
        <w:t xml:space="preserve"> reads as follows:</w:t>
      </w:r>
    </w:p>
    <w:p w14:paraId="3C2F1133" w14:textId="77777777" w:rsidR="000E70D2" w:rsidRPr="000E70D2" w:rsidRDefault="000E70D2" w:rsidP="000E70D2">
      <w:pPr>
        <w:pStyle w:val="ListParagraph"/>
        <w:rPr>
          <w:rFonts w:ascii="Times New Roman" w:hAnsi="Times New Roman"/>
          <w:sz w:val="28"/>
          <w:szCs w:val="28"/>
        </w:rPr>
      </w:pPr>
    </w:p>
    <w:p w14:paraId="74B3A5E5" w14:textId="77777777" w:rsidR="000E70D2" w:rsidRPr="00143347" w:rsidRDefault="009A46A9" w:rsidP="000E70D2">
      <w:pPr>
        <w:pStyle w:val="ListParagraph"/>
        <w:spacing w:line="360" w:lineRule="auto"/>
        <w:jc w:val="both"/>
        <w:rPr>
          <w:rFonts w:ascii="Times New Roman" w:hAnsi="Times New Roman"/>
        </w:rPr>
      </w:pPr>
      <w:r w:rsidRPr="00143347">
        <w:rPr>
          <w:rFonts w:ascii="Times New Roman" w:hAnsi="Times New Roman"/>
        </w:rPr>
        <w:t>“Morning Wayne</w:t>
      </w:r>
    </w:p>
    <w:p w14:paraId="2AF03043" w14:textId="77777777" w:rsidR="009A46A9" w:rsidRPr="00143347" w:rsidRDefault="009A46A9" w:rsidP="000E70D2">
      <w:pPr>
        <w:pStyle w:val="ListParagraph"/>
        <w:spacing w:line="360" w:lineRule="auto"/>
        <w:jc w:val="both"/>
        <w:rPr>
          <w:rFonts w:ascii="Times New Roman" w:hAnsi="Times New Roman"/>
        </w:rPr>
      </w:pPr>
    </w:p>
    <w:p w14:paraId="5B784DBC" w14:textId="77777777" w:rsidR="009A46A9" w:rsidRPr="00143347" w:rsidRDefault="009A46A9" w:rsidP="000E70D2">
      <w:pPr>
        <w:pStyle w:val="ListParagraph"/>
        <w:spacing w:line="360" w:lineRule="auto"/>
        <w:jc w:val="both"/>
        <w:rPr>
          <w:rFonts w:ascii="Times New Roman" w:hAnsi="Times New Roman"/>
        </w:rPr>
      </w:pPr>
      <w:r w:rsidRPr="00143347">
        <w:rPr>
          <w:rFonts w:ascii="Times New Roman" w:hAnsi="Times New Roman"/>
        </w:rPr>
        <w:t>Thank you for taking the time this morning to talk to me over the phone.</w:t>
      </w:r>
    </w:p>
    <w:p w14:paraId="314B0582" w14:textId="77777777" w:rsidR="009A46A9" w:rsidRPr="00143347" w:rsidRDefault="009A46A9" w:rsidP="000E70D2">
      <w:pPr>
        <w:pStyle w:val="ListParagraph"/>
        <w:spacing w:line="360" w:lineRule="auto"/>
        <w:jc w:val="both"/>
        <w:rPr>
          <w:rFonts w:ascii="Times New Roman" w:hAnsi="Times New Roman"/>
        </w:rPr>
      </w:pPr>
      <w:r w:rsidRPr="00143347">
        <w:rPr>
          <w:rFonts w:ascii="Times New Roman" w:hAnsi="Times New Roman"/>
        </w:rPr>
        <w:t xml:space="preserve">The person in question </w:t>
      </w:r>
      <w:r w:rsidR="00561994" w:rsidRPr="00143347">
        <w:rPr>
          <w:rFonts w:ascii="Times New Roman" w:hAnsi="Times New Roman"/>
        </w:rPr>
        <w:t xml:space="preserve">has been occupying the property since 2016 and stopped paying the municipal accounts as of late 2018.  We are very concerned as to how the occupier who is not </w:t>
      </w:r>
      <w:r w:rsidR="00561994" w:rsidRPr="00143347">
        <w:rPr>
          <w:rFonts w:ascii="Times New Roman" w:hAnsi="Times New Roman"/>
        </w:rPr>
        <w:lastRenderedPageBreak/>
        <w:t>a tenant and has no lease agreement but instead a potential buyer whereby the agreement was breached by non-payment,</w:t>
      </w:r>
      <w:r w:rsidR="00407CE3" w:rsidRPr="00AB0C08">
        <w:rPr>
          <w:rStyle w:val="FootnoteReference"/>
          <w:rFonts w:ascii="Times New Roman" w:hAnsi="Times New Roman"/>
          <w:sz w:val="28"/>
          <w:szCs w:val="28"/>
        </w:rPr>
        <w:footnoteReference w:id="9"/>
      </w:r>
      <w:r w:rsidR="00561994" w:rsidRPr="00AB0C08">
        <w:rPr>
          <w:rFonts w:ascii="Times New Roman" w:hAnsi="Times New Roman"/>
          <w:sz w:val="28"/>
          <w:szCs w:val="28"/>
        </w:rPr>
        <w:t xml:space="preserve"> </w:t>
      </w:r>
      <w:r w:rsidR="00561994" w:rsidRPr="00143347">
        <w:rPr>
          <w:rFonts w:ascii="Times New Roman" w:hAnsi="Times New Roman"/>
        </w:rPr>
        <w:t>has not been disconnected to date as the main and the tenant account (which he was able to set up at BCM) have both been handed over and have reached no payments since 2018.  I have confirmed that he is able to still purchase electricity and did so in January.  He has also been running up water bills randomly to the amounts of R11 000.00 per month.</w:t>
      </w:r>
    </w:p>
    <w:p w14:paraId="261F0865" w14:textId="4A393AF0" w:rsidR="00561994" w:rsidRPr="00143347" w:rsidRDefault="00561994" w:rsidP="000E70D2">
      <w:pPr>
        <w:pStyle w:val="ListParagraph"/>
        <w:spacing w:line="360" w:lineRule="auto"/>
        <w:jc w:val="both"/>
        <w:rPr>
          <w:rFonts w:ascii="Times New Roman" w:hAnsi="Times New Roman"/>
        </w:rPr>
      </w:pPr>
      <w:r w:rsidRPr="00143347">
        <w:rPr>
          <w:rFonts w:ascii="Times New Roman" w:hAnsi="Times New Roman"/>
        </w:rPr>
        <w:t>The owner did initiate eviction proceedings in 2019 which I have attached for your perusal,</w:t>
      </w:r>
      <w:r w:rsidR="00736B3D" w:rsidRPr="0067518C">
        <w:rPr>
          <w:rStyle w:val="FootnoteReference"/>
          <w:rFonts w:ascii="Times New Roman" w:hAnsi="Times New Roman"/>
          <w:sz w:val="28"/>
          <w:szCs w:val="28"/>
        </w:rPr>
        <w:footnoteReference w:id="10"/>
      </w:r>
      <w:r w:rsidRPr="0067518C">
        <w:rPr>
          <w:rFonts w:ascii="Times New Roman" w:hAnsi="Times New Roman"/>
          <w:sz w:val="28"/>
          <w:szCs w:val="28"/>
        </w:rPr>
        <w:t xml:space="preserve"> </w:t>
      </w:r>
      <w:r w:rsidRPr="00143347">
        <w:rPr>
          <w:rFonts w:ascii="Times New Roman" w:hAnsi="Times New Roman"/>
        </w:rPr>
        <w:t>as well as the letter from the attorney requesting disconnection on b</w:t>
      </w:r>
      <w:r w:rsidR="00143347" w:rsidRPr="00143347">
        <w:rPr>
          <w:rFonts w:ascii="Times New Roman" w:hAnsi="Times New Roman"/>
        </w:rPr>
        <w:t>ehal</w:t>
      </w:r>
      <w:r w:rsidRPr="00143347">
        <w:rPr>
          <w:rFonts w:ascii="Times New Roman" w:hAnsi="Times New Roman"/>
        </w:rPr>
        <w:t xml:space="preserve">f of </w:t>
      </w:r>
      <w:r w:rsidR="00143347" w:rsidRPr="00143347">
        <w:rPr>
          <w:rFonts w:ascii="Times New Roman" w:hAnsi="Times New Roman"/>
        </w:rPr>
        <w:t xml:space="preserve">the owner and a copy of the rates clearance certificate which is incomplete as per Barry </w:t>
      </w:r>
      <w:r w:rsidR="00EE0622">
        <w:rPr>
          <w:rFonts w:ascii="Times New Roman" w:hAnsi="Times New Roman"/>
        </w:rPr>
        <w:t>Br</w:t>
      </w:r>
      <w:r w:rsidR="00143347" w:rsidRPr="00143347">
        <w:rPr>
          <w:rFonts w:ascii="Times New Roman" w:hAnsi="Times New Roman"/>
        </w:rPr>
        <w:t>own.  I have also attached a detailed BP108 report on both accounts.</w:t>
      </w:r>
    </w:p>
    <w:p w14:paraId="0F91DF10" w14:textId="77777777" w:rsidR="00143347" w:rsidRPr="000E70D2" w:rsidRDefault="00143347" w:rsidP="000E70D2">
      <w:pPr>
        <w:pStyle w:val="ListParagraph"/>
        <w:spacing w:line="360" w:lineRule="auto"/>
        <w:jc w:val="both"/>
        <w:rPr>
          <w:rFonts w:ascii="Times New Roman" w:hAnsi="Times New Roman"/>
          <w:sz w:val="28"/>
          <w:szCs w:val="28"/>
        </w:rPr>
      </w:pPr>
      <w:r w:rsidRPr="00143347">
        <w:rPr>
          <w:rFonts w:ascii="Times New Roman" w:hAnsi="Times New Roman"/>
        </w:rPr>
        <w:t>I ask that you please consider this matter with urgency to avoid any further unnecessary municipal and legal costs to the owner.</w:t>
      </w:r>
      <w:r>
        <w:rPr>
          <w:rFonts w:ascii="Times New Roman" w:hAnsi="Times New Roman"/>
        </w:rPr>
        <w:t>”</w:t>
      </w:r>
    </w:p>
    <w:p w14:paraId="6A273084" w14:textId="77777777" w:rsidR="00EE5440" w:rsidRPr="00EE5440" w:rsidRDefault="00EE5440" w:rsidP="00EE5440">
      <w:pPr>
        <w:pStyle w:val="ListParagraph"/>
        <w:rPr>
          <w:rFonts w:ascii="Times New Roman" w:hAnsi="Times New Roman"/>
          <w:sz w:val="28"/>
          <w:szCs w:val="28"/>
        </w:rPr>
      </w:pPr>
    </w:p>
    <w:p w14:paraId="7C7D31A2" w14:textId="1DD5958F" w:rsidR="000E70D2" w:rsidRDefault="000E70D2"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first respondent relates that the second respondent acted upon this </w:t>
      </w:r>
      <w:r w:rsidR="00375896">
        <w:rPr>
          <w:rFonts w:ascii="Times New Roman" w:hAnsi="Times New Roman"/>
          <w:sz w:val="28"/>
          <w:szCs w:val="28"/>
        </w:rPr>
        <w:t>request</w:t>
      </w:r>
      <w:r>
        <w:rPr>
          <w:rFonts w:ascii="Times New Roman" w:hAnsi="Times New Roman"/>
          <w:sz w:val="28"/>
          <w:szCs w:val="28"/>
        </w:rPr>
        <w:t xml:space="preserve"> and terminated the electricity to the property on 8 March 2021.  However, after his attorney intervened to explain that the issue of his occupation was the subject matter of litigation</w:t>
      </w:r>
      <w:r w:rsidR="00941E11">
        <w:rPr>
          <w:rFonts w:ascii="Times New Roman" w:hAnsi="Times New Roman"/>
          <w:sz w:val="28"/>
          <w:szCs w:val="28"/>
        </w:rPr>
        <w:t xml:space="preserve"> (alluding to the </w:t>
      </w:r>
      <w:r w:rsidR="00936528">
        <w:rPr>
          <w:rFonts w:ascii="Times New Roman" w:hAnsi="Times New Roman"/>
          <w:sz w:val="28"/>
          <w:szCs w:val="28"/>
        </w:rPr>
        <w:t>pending action aforesaid)</w:t>
      </w:r>
      <w:r>
        <w:rPr>
          <w:rFonts w:ascii="Times New Roman" w:hAnsi="Times New Roman"/>
          <w:sz w:val="28"/>
          <w:szCs w:val="28"/>
        </w:rPr>
        <w:t xml:space="preserve">, his electricity connection was restored.  </w:t>
      </w:r>
      <w:r w:rsidR="00641EC2">
        <w:rPr>
          <w:rFonts w:ascii="Times New Roman" w:hAnsi="Times New Roman"/>
          <w:sz w:val="28"/>
          <w:szCs w:val="28"/>
        </w:rPr>
        <w:t>O</w:t>
      </w:r>
      <w:r>
        <w:rPr>
          <w:rFonts w:ascii="Times New Roman" w:hAnsi="Times New Roman"/>
          <w:sz w:val="28"/>
          <w:szCs w:val="28"/>
        </w:rPr>
        <w:t xml:space="preserve">ther municipal services to the property </w:t>
      </w:r>
      <w:r w:rsidR="00641EC2">
        <w:rPr>
          <w:rFonts w:ascii="Times New Roman" w:hAnsi="Times New Roman"/>
          <w:sz w:val="28"/>
          <w:szCs w:val="28"/>
        </w:rPr>
        <w:t>were</w:t>
      </w:r>
      <w:r>
        <w:rPr>
          <w:rFonts w:ascii="Times New Roman" w:hAnsi="Times New Roman"/>
          <w:sz w:val="28"/>
          <w:szCs w:val="28"/>
        </w:rPr>
        <w:t xml:space="preserve"> also unlawfully terminated at the behest of the first applicant.</w:t>
      </w:r>
    </w:p>
    <w:p w14:paraId="69E61374" w14:textId="77777777" w:rsidR="000E70D2" w:rsidRDefault="000E70D2" w:rsidP="000E70D2">
      <w:pPr>
        <w:pStyle w:val="ListParagraph"/>
        <w:spacing w:line="360" w:lineRule="auto"/>
        <w:ind w:left="0"/>
        <w:jc w:val="both"/>
        <w:rPr>
          <w:rFonts w:ascii="Times New Roman" w:hAnsi="Times New Roman"/>
          <w:sz w:val="28"/>
          <w:szCs w:val="28"/>
        </w:rPr>
      </w:pPr>
    </w:p>
    <w:p w14:paraId="3A852FDE" w14:textId="77777777" w:rsidR="00AC5642" w:rsidRPr="00FB7AAA" w:rsidRDefault="006443B6" w:rsidP="00FB7AAA">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In</w:t>
      </w:r>
      <w:r w:rsidR="000E70D2">
        <w:rPr>
          <w:rFonts w:ascii="Times New Roman" w:hAnsi="Times New Roman"/>
          <w:sz w:val="28"/>
          <w:szCs w:val="28"/>
        </w:rPr>
        <w:t xml:space="preserve"> a letter of demand addressed to the first respondent dated 1 September 2021 foreshadowing this application on an urgent basis the</w:t>
      </w:r>
      <w:r w:rsidR="009803F0">
        <w:rPr>
          <w:rFonts w:ascii="Times New Roman" w:hAnsi="Times New Roman"/>
          <w:sz w:val="28"/>
          <w:szCs w:val="28"/>
        </w:rPr>
        <w:t xml:space="preserve"> applicant</w:t>
      </w:r>
      <w:r w:rsidR="00FB7AAA">
        <w:rPr>
          <w:rFonts w:ascii="Times New Roman" w:hAnsi="Times New Roman"/>
          <w:sz w:val="28"/>
          <w:szCs w:val="28"/>
        </w:rPr>
        <w:t>’s</w:t>
      </w:r>
      <w:r w:rsidR="000E70D2">
        <w:rPr>
          <w:rFonts w:ascii="Times New Roman" w:hAnsi="Times New Roman"/>
          <w:sz w:val="28"/>
          <w:szCs w:val="28"/>
        </w:rPr>
        <w:t xml:space="preserve"> attorneys of record acknowledge the prior action that is alive</w:t>
      </w:r>
      <w:r w:rsidR="00AC5642">
        <w:rPr>
          <w:rFonts w:ascii="Times New Roman" w:hAnsi="Times New Roman"/>
          <w:sz w:val="28"/>
          <w:szCs w:val="28"/>
        </w:rPr>
        <w:t xml:space="preserve"> between the first respondent and Colin Kriel.</w:t>
      </w:r>
      <w:r w:rsidR="00FB7AAA">
        <w:rPr>
          <w:rFonts w:ascii="Times New Roman" w:hAnsi="Times New Roman"/>
          <w:sz w:val="28"/>
          <w:szCs w:val="28"/>
        </w:rPr>
        <w:t xml:space="preserve"> </w:t>
      </w:r>
      <w:r w:rsidR="00AC5642" w:rsidRPr="00FB7AAA">
        <w:rPr>
          <w:rFonts w:ascii="Times New Roman" w:hAnsi="Times New Roman"/>
          <w:sz w:val="28"/>
          <w:szCs w:val="28"/>
        </w:rPr>
        <w:t>Indeed</w:t>
      </w:r>
      <w:r w:rsidR="00FB7AAA">
        <w:rPr>
          <w:rFonts w:ascii="Times New Roman" w:hAnsi="Times New Roman"/>
          <w:sz w:val="28"/>
          <w:szCs w:val="28"/>
        </w:rPr>
        <w:t>,</w:t>
      </w:r>
      <w:r w:rsidR="00AC5642" w:rsidRPr="00FB7AAA">
        <w:rPr>
          <w:rFonts w:ascii="Times New Roman" w:hAnsi="Times New Roman"/>
          <w:sz w:val="28"/>
          <w:szCs w:val="28"/>
        </w:rPr>
        <w:t xml:space="preserve"> it is averred in the demand that</w:t>
      </w:r>
      <w:r w:rsidR="00143347" w:rsidRPr="00FB7AAA">
        <w:rPr>
          <w:rFonts w:ascii="Times New Roman" w:hAnsi="Times New Roman"/>
          <w:sz w:val="28"/>
          <w:szCs w:val="28"/>
        </w:rPr>
        <w:t>:</w:t>
      </w:r>
    </w:p>
    <w:p w14:paraId="228A329D" w14:textId="77777777" w:rsidR="00143347" w:rsidRPr="00143347" w:rsidRDefault="00143347" w:rsidP="00143347">
      <w:pPr>
        <w:pStyle w:val="ListParagraph"/>
        <w:rPr>
          <w:rFonts w:ascii="Times New Roman" w:hAnsi="Times New Roman"/>
          <w:sz w:val="28"/>
          <w:szCs w:val="28"/>
        </w:rPr>
      </w:pPr>
    </w:p>
    <w:p w14:paraId="2AC47825" w14:textId="34453E16" w:rsidR="00143347" w:rsidRPr="00C05079" w:rsidRDefault="00172FCD" w:rsidP="00143347">
      <w:pPr>
        <w:pStyle w:val="ListParagraph"/>
        <w:spacing w:line="360" w:lineRule="auto"/>
        <w:jc w:val="both"/>
        <w:rPr>
          <w:rFonts w:ascii="Times New Roman" w:hAnsi="Times New Roman"/>
        </w:rPr>
      </w:pPr>
      <w:r w:rsidRPr="00C05079">
        <w:rPr>
          <w:rFonts w:ascii="Times New Roman" w:hAnsi="Times New Roman"/>
        </w:rPr>
        <w:t xml:space="preserve">“Despite the </w:t>
      </w:r>
      <w:r w:rsidR="004A34C3" w:rsidRPr="00C05079">
        <w:rPr>
          <w:rFonts w:ascii="Times New Roman" w:hAnsi="Times New Roman"/>
        </w:rPr>
        <w:t>foregoing</w:t>
      </w:r>
      <w:r w:rsidRPr="00C05079">
        <w:rPr>
          <w:rFonts w:ascii="Times New Roman" w:hAnsi="Times New Roman"/>
        </w:rPr>
        <w:t>, our client has informed us that the is aware of the current action and/or eviction proceedings between your client and the previous owner, and his election not to pursue immediate eviction</w:t>
      </w:r>
      <w:r w:rsidR="00C05079" w:rsidRPr="00C05079">
        <w:rPr>
          <w:rFonts w:ascii="Times New Roman" w:hAnsi="Times New Roman"/>
        </w:rPr>
        <w:t xml:space="preserve"> </w:t>
      </w:r>
      <w:r w:rsidRPr="00C05079">
        <w:rPr>
          <w:rFonts w:ascii="Times New Roman" w:hAnsi="Times New Roman"/>
        </w:rPr>
        <w:t>pro</w:t>
      </w:r>
      <w:r w:rsidR="00C05079" w:rsidRPr="00C05079">
        <w:rPr>
          <w:rFonts w:ascii="Times New Roman" w:hAnsi="Times New Roman"/>
        </w:rPr>
        <w:t xml:space="preserve">ceedings against you client should not at all be construed as a forfeiture of his rights in law to do so.  Our client requires occupation of the property in due </w:t>
      </w:r>
      <w:r w:rsidR="004A34C3" w:rsidRPr="00C05079">
        <w:rPr>
          <w:rFonts w:ascii="Times New Roman" w:hAnsi="Times New Roman"/>
        </w:rPr>
        <w:t>course,</w:t>
      </w:r>
      <w:r w:rsidR="00C05079" w:rsidRPr="00C05079">
        <w:rPr>
          <w:rFonts w:ascii="Times New Roman" w:hAnsi="Times New Roman"/>
        </w:rPr>
        <w:t xml:space="preserve"> and </w:t>
      </w:r>
      <w:r w:rsidR="00C05079" w:rsidRPr="00C05079">
        <w:rPr>
          <w:rFonts w:ascii="Times New Roman" w:hAnsi="Times New Roman"/>
        </w:rPr>
        <w:lastRenderedPageBreak/>
        <w:t>should your client refuse to vacate when required to do so, our client shall enforce his rights to occupation of his property.”</w:t>
      </w:r>
    </w:p>
    <w:p w14:paraId="4E41E561" w14:textId="77777777" w:rsidR="00AC5642" w:rsidRPr="00AC5642" w:rsidRDefault="00AC5642" w:rsidP="00AC5642">
      <w:pPr>
        <w:pStyle w:val="ListParagraph"/>
        <w:rPr>
          <w:rFonts w:ascii="Times New Roman" w:hAnsi="Times New Roman"/>
          <w:sz w:val="28"/>
          <w:szCs w:val="28"/>
        </w:rPr>
      </w:pPr>
    </w:p>
    <w:p w14:paraId="51098E15" w14:textId="77777777" w:rsidR="00AC5642" w:rsidRPr="00AC5642" w:rsidRDefault="00AC5642" w:rsidP="00AC5642">
      <w:pPr>
        <w:pStyle w:val="ListParagraph"/>
        <w:rPr>
          <w:rFonts w:ascii="Times New Roman" w:hAnsi="Times New Roman"/>
          <w:sz w:val="28"/>
          <w:szCs w:val="28"/>
        </w:rPr>
      </w:pPr>
    </w:p>
    <w:p w14:paraId="769C9F48" w14:textId="78689AAA" w:rsidR="00665D39" w:rsidRDefault="00665D39"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The applicants</w:t>
      </w:r>
      <w:r w:rsidR="009B12B6">
        <w:rPr>
          <w:rFonts w:ascii="Times New Roman" w:hAnsi="Times New Roman"/>
          <w:sz w:val="28"/>
          <w:szCs w:val="28"/>
        </w:rPr>
        <w:t xml:space="preserve">, perhaps inadvertently, </w:t>
      </w:r>
      <w:r w:rsidR="00665C08">
        <w:rPr>
          <w:rFonts w:ascii="Times New Roman" w:hAnsi="Times New Roman"/>
          <w:sz w:val="28"/>
          <w:szCs w:val="28"/>
        </w:rPr>
        <w:t xml:space="preserve">also </w:t>
      </w:r>
      <w:r w:rsidR="007F3944">
        <w:rPr>
          <w:rFonts w:ascii="Times New Roman" w:hAnsi="Times New Roman"/>
          <w:sz w:val="28"/>
          <w:szCs w:val="28"/>
        </w:rPr>
        <w:t xml:space="preserve">exposed </w:t>
      </w:r>
      <w:r w:rsidR="002B20C9">
        <w:rPr>
          <w:rFonts w:ascii="Times New Roman" w:hAnsi="Times New Roman"/>
          <w:sz w:val="28"/>
          <w:szCs w:val="28"/>
        </w:rPr>
        <w:t xml:space="preserve">the fact of </w:t>
      </w:r>
      <w:r w:rsidR="007F3944">
        <w:rPr>
          <w:rFonts w:ascii="Times New Roman" w:hAnsi="Times New Roman"/>
          <w:sz w:val="28"/>
          <w:szCs w:val="28"/>
        </w:rPr>
        <w:t xml:space="preserve">their </w:t>
      </w:r>
      <w:r w:rsidR="002B20C9">
        <w:rPr>
          <w:rFonts w:ascii="Times New Roman" w:hAnsi="Times New Roman"/>
          <w:sz w:val="28"/>
          <w:szCs w:val="28"/>
        </w:rPr>
        <w:t xml:space="preserve">knowledge </w:t>
      </w:r>
      <w:r w:rsidR="00226163">
        <w:rPr>
          <w:rFonts w:ascii="Times New Roman" w:hAnsi="Times New Roman"/>
          <w:sz w:val="28"/>
          <w:szCs w:val="28"/>
        </w:rPr>
        <w:t xml:space="preserve">prior to </w:t>
      </w:r>
      <w:r w:rsidR="00681B40">
        <w:rPr>
          <w:rFonts w:ascii="Times New Roman" w:hAnsi="Times New Roman"/>
          <w:sz w:val="28"/>
          <w:szCs w:val="28"/>
        </w:rPr>
        <w:t xml:space="preserve">the launch of the present application </w:t>
      </w:r>
      <w:r w:rsidR="002B20C9">
        <w:rPr>
          <w:rFonts w:ascii="Times New Roman" w:hAnsi="Times New Roman"/>
          <w:sz w:val="28"/>
          <w:szCs w:val="28"/>
        </w:rPr>
        <w:t xml:space="preserve">of the first </w:t>
      </w:r>
      <w:r w:rsidR="00226163">
        <w:rPr>
          <w:rFonts w:ascii="Times New Roman" w:hAnsi="Times New Roman"/>
          <w:sz w:val="28"/>
          <w:szCs w:val="28"/>
        </w:rPr>
        <w:t>respondent’s</w:t>
      </w:r>
      <w:r w:rsidR="002B20C9">
        <w:rPr>
          <w:rFonts w:ascii="Times New Roman" w:hAnsi="Times New Roman"/>
          <w:sz w:val="28"/>
          <w:szCs w:val="28"/>
        </w:rPr>
        <w:t xml:space="preserve"> </w:t>
      </w:r>
      <w:r w:rsidR="00BA1AD3">
        <w:rPr>
          <w:rFonts w:ascii="Times New Roman" w:hAnsi="Times New Roman"/>
          <w:sz w:val="28"/>
          <w:szCs w:val="28"/>
        </w:rPr>
        <w:t xml:space="preserve">long-standing </w:t>
      </w:r>
      <w:r w:rsidR="00F8424A">
        <w:rPr>
          <w:rFonts w:ascii="Times New Roman" w:hAnsi="Times New Roman"/>
          <w:sz w:val="28"/>
          <w:szCs w:val="28"/>
        </w:rPr>
        <w:t>retention</w:t>
      </w:r>
      <w:r w:rsidR="00BA1AD3">
        <w:rPr>
          <w:rFonts w:ascii="Times New Roman" w:hAnsi="Times New Roman"/>
          <w:sz w:val="28"/>
          <w:szCs w:val="28"/>
        </w:rPr>
        <w:t xml:space="preserve"> </w:t>
      </w:r>
      <w:r w:rsidR="00584AF4">
        <w:rPr>
          <w:rFonts w:ascii="Times New Roman" w:hAnsi="Times New Roman"/>
          <w:sz w:val="28"/>
          <w:szCs w:val="28"/>
        </w:rPr>
        <w:t>of the property</w:t>
      </w:r>
      <w:r w:rsidR="001F21C5">
        <w:rPr>
          <w:rFonts w:ascii="Times New Roman" w:hAnsi="Times New Roman"/>
          <w:sz w:val="28"/>
          <w:szCs w:val="28"/>
        </w:rPr>
        <w:t xml:space="preserve"> as </w:t>
      </w:r>
      <w:r w:rsidR="00F8424A">
        <w:rPr>
          <w:rFonts w:ascii="Times New Roman" w:hAnsi="Times New Roman"/>
          <w:sz w:val="28"/>
          <w:szCs w:val="28"/>
        </w:rPr>
        <w:t xml:space="preserve">well as </w:t>
      </w:r>
      <w:r w:rsidR="001F21C5">
        <w:rPr>
          <w:rFonts w:ascii="Times New Roman" w:hAnsi="Times New Roman"/>
          <w:sz w:val="28"/>
          <w:szCs w:val="28"/>
        </w:rPr>
        <w:t xml:space="preserve">the pending litigation between </w:t>
      </w:r>
      <w:r w:rsidR="008A24EF">
        <w:rPr>
          <w:rFonts w:ascii="Times New Roman" w:hAnsi="Times New Roman"/>
          <w:sz w:val="28"/>
          <w:szCs w:val="28"/>
        </w:rPr>
        <w:t xml:space="preserve">him and Colin Kriel in </w:t>
      </w:r>
      <w:r w:rsidR="004873EF">
        <w:rPr>
          <w:rFonts w:ascii="Times New Roman" w:hAnsi="Times New Roman"/>
          <w:sz w:val="28"/>
          <w:szCs w:val="28"/>
        </w:rPr>
        <w:t>A</w:t>
      </w:r>
      <w:r w:rsidR="008A24EF">
        <w:rPr>
          <w:rFonts w:ascii="Times New Roman" w:hAnsi="Times New Roman"/>
          <w:sz w:val="28"/>
          <w:szCs w:val="28"/>
        </w:rPr>
        <w:t xml:space="preserve">nnexure </w:t>
      </w:r>
      <w:r w:rsidR="00DC5003">
        <w:rPr>
          <w:rFonts w:ascii="Times New Roman" w:hAnsi="Times New Roman"/>
          <w:sz w:val="28"/>
          <w:szCs w:val="28"/>
        </w:rPr>
        <w:t>“</w:t>
      </w:r>
      <w:r w:rsidR="008A24EF">
        <w:rPr>
          <w:rFonts w:ascii="Times New Roman" w:hAnsi="Times New Roman"/>
          <w:sz w:val="28"/>
          <w:szCs w:val="28"/>
        </w:rPr>
        <w:t>G</w:t>
      </w:r>
      <w:r w:rsidR="00681B40">
        <w:rPr>
          <w:rFonts w:ascii="Times New Roman" w:hAnsi="Times New Roman"/>
          <w:sz w:val="28"/>
          <w:szCs w:val="28"/>
        </w:rPr>
        <w:t>P 7”</w:t>
      </w:r>
      <w:r w:rsidR="00F83132">
        <w:rPr>
          <w:rFonts w:ascii="Times New Roman" w:hAnsi="Times New Roman"/>
          <w:sz w:val="28"/>
          <w:szCs w:val="28"/>
        </w:rPr>
        <w:t xml:space="preserve">. The annexure was put up ostensibly to </w:t>
      </w:r>
      <w:r w:rsidR="00972392">
        <w:rPr>
          <w:rFonts w:ascii="Times New Roman" w:hAnsi="Times New Roman"/>
          <w:sz w:val="28"/>
          <w:szCs w:val="28"/>
        </w:rPr>
        <w:t>demonstrate</w:t>
      </w:r>
      <w:r w:rsidR="00F83132">
        <w:rPr>
          <w:rFonts w:ascii="Times New Roman" w:hAnsi="Times New Roman"/>
          <w:sz w:val="28"/>
          <w:szCs w:val="28"/>
        </w:rPr>
        <w:t xml:space="preserve"> to this court </w:t>
      </w:r>
      <w:r w:rsidR="001C37AD">
        <w:rPr>
          <w:rFonts w:ascii="Times New Roman" w:hAnsi="Times New Roman"/>
          <w:sz w:val="28"/>
          <w:szCs w:val="28"/>
        </w:rPr>
        <w:t xml:space="preserve">that the first respondent’s attorneys </w:t>
      </w:r>
      <w:r w:rsidR="00DE5E76">
        <w:rPr>
          <w:rFonts w:ascii="Times New Roman" w:hAnsi="Times New Roman"/>
          <w:sz w:val="28"/>
          <w:szCs w:val="28"/>
        </w:rPr>
        <w:t xml:space="preserve">had </w:t>
      </w:r>
      <w:r w:rsidR="006F56B9">
        <w:rPr>
          <w:rFonts w:ascii="Times New Roman" w:hAnsi="Times New Roman"/>
          <w:sz w:val="28"/>
          <w:szCs w:val="28"/>
        </w:rPr>
        <w:t xml:space="preserve">on behalf of the first respondent </w:t>
      </w:r>
      <w:r w:rsidR="00DE5E76">
        <w:rPr>
          <w:rFonts w:ascii="Times New Roman" w:hAnsi="Times New Roman"/>
          <w:sz w:val="28"/>
          <w:szCs w:val="28"/>
        </w:rPr>
        <w:t xml:space="preserve">resisted their demand </w:t>
      </w:r>
      <w:r w:rsidR="00665C08">
        <w:rPr>
          <w:rFonts w:ascii="Times New Roman" w:hAnsi="Times New Roman"/>
          <w:sz w:val="28"/>
          <w:szCs w:val="28"/>
        </w:rPr>
        <w:t>(</w:t>
      </w:r>
      <w:r w:rsidR="002344F7">
        <w:rPr>
          <w:rFonts w:ascii="Times New Roman" w:hAnsi="Times New Roman"/>
          <w:sz w:val="28"/>
          <w:szCs w:val="28"/>
        </w:rPr>
        <w:t>dated 4 August 2021</w:t>
      </w:r>
      <w:r w:rsidR="00665C08">
        <w:rPr>
          <w:rFonts w:ascii="Times New Roman" w:hAnsi="Times New Roman"/>
          <w:sz w:val="28"/>
          <w:szCs w:val="28"/>
        </w:rPr>
        <w:t>)</w:t>
      </w:r>
      <w:r w:rsidR="002344F7">
        <w:rPr>
          <w:rFonts w:ascii="Times New Roman" w:hAnsi="Times New Roman"/>
          <w:sz w:val="28"/>
          <w:szCs w:val="28"/>
        </w:rPr>
        <w:t xml:space="preserve"> </w:t>
      </w:r>
      <w:r w:rsidR="00B77AF7">
        <w:rPr>
          <w:rFonts w:ascii="Times New Roman" w:hAnsi="Times New Roman"/>
          <w:sz w:val="28"/>
          <w:szCs w:val="28"/>
        </w:rPr>
        <w:t xml:space="preserve">as the new owners </w:t>
      </w:r>
      <w:r w:rsidR="002344F7">
        <w:rPr>
          <w:rFonts w:ascii="Times New Roman" w:hAnsi="Times New Roman"/>
          <w:sz w:val="28"/>
          <w:szCs w:val="28"/>
        </w:rPr>
        <w:t xml:space="preserve">of the property </w:t>
      </w:r>
      <w:r w:rsidR="00DC1154">
        <w:rPr>
          <w:rFonts w:ascii="Times New Roman" w:hAnsi="Times New Roman"/>
          <w:sz w:val="28"/>
          <w:szCs w:val="28"/>
        </w:rPr>
        <w:t xml:space="preserve">to </w:t>
      </w:r>
      <w:r w:rsidR="00D151A6">
        <w:rPr>
          <w:rFonts w:ascii="Times New Roman" w:hAnsi="Times New Roman"/>
          <w:sz w:val="28"/>
          <w:szCs w:val="28"/>
        </w:rPr>
        <w:t>inspect</w:t>
      </w:r>
      <w:r w:rsidR="00DC1154">
        <w:rPr>
          <w:rFonts w:ascii="Times New Roman" w:hAnsi="Times New Roman"/>
          <w:sz w:val="28"/>
          <w:szCs w:val="28"/>
        </w:rPr>
        <w:t xml:space="preserve"> </w:t>
      </w:r>
      <w:r w:rsidR="006F56B9">
        <w:rPr>
          <w:rFonts w:ascii="Times New Roman" w:hAnsi="Times New Roman"/>
          <w:sz w:val="28"/>
          <w:szCs w:val="28"/>
        </w:rPr>
        <w:t>it</w:t>
      </w:r>
      <w:r w:rsidR="00DC1154">
        <w:rPr>
          <w:rFonts w:ascii="Times New Roman" w:hAnsi="Times New Roman"/>
          <w:sz w:val="28"/>
          <w:szCs w:val="28"/>
        </w:rPr>
        <w:t xml:space="preserve"> </w:t>
      </w:r>
      <w:r w:rsidR="007655B2">
        <w:rPr>
          <w:rFonts w:ascii="Times New Roman" w:hAnsi="Times New Roman"/>
          <w:sz w:val="28"/>
          <w:szCs w:val="28"/>
        </w:rPr>
        <w:t>by referenc</w:t>
      </w:r>
      <w:r w:rsidR="006B0D26">
        <w:rPr>
          <w:rFonts w:ascii="Times New Roman" w:hAnsi="Times New Roman"/>
          <w:sz w:val="28"/>
          <w:szCs w:val="28"/>
        </w:rPr>
        <w:t>ing a “High Court Order”</w:t>
      </w:r>
      <w:r w:rsidR="004B6549" w:rsidRPr="004B6549">
        <w:rPr>
          <w:rFonts w:ascii="Times New Roman" w:hAnsi="Times New Roman"/>
          <w:sz w:val="28"/>
          <w:szCs w:val="28"/>
        </w:rPr>
        <w:t xml:space="preserve"> </w:t>
      </w:r>
      <w:r w:rsidR="004B6549">
        <w:rPr>
          <w:rFonts w:ascii="Times New Roman" w:hAnsi="Times New Roman"/>
          <w:sz w:val="28"/>
          <w:szCs w:val="28"/>
        </w:rPr>
        <w:t xml:space="preserve">(of which they claim to have </w:t>
      </w:r>
      <w:r w:rsidR="00F8424A">
        <w:rPr>
          <w:rFonts w:ascii="Times New Roman" w:hAnsi="Times New Roman"/>
          <w:sz w:val="28"/>
          <w:szCs w:val="28"/>
        </w:rPr>
        <w:t xml:space="preserve">had </w:t>
      </w:r>
      <w:r w:rsidR="004B6549">
        <w:rPr>
          <w:rFonts w:ascii="Times New Roman" w:hAnsi="Times New Roman"/>
          <w:sz w:val="28"/>
          <w:szCs w:val="28"/>
        </w:rPr>
        <w:t>no knowledge)</w:t>
      </w:r>
      <w:r w:rsidR="006B0D26">
        <w:rPr>
          <w:rFonts w:ascii="Times New Roman" w:hAnsi="Times New Roman"/>
          <w:sz w:val="28"/>
          <w:szCs w:val="28"/>
        </w:rPr>
        <w:t xml:space="preserve"> </w:t>
      </w:r>
      <w:r w:rsidR="008451DA">
        <w:rPr>
          <w:rFonts w:ascii="Times New Roman" w:hAnsi="Times New Roman"/>
          <w:sz w:val="28"/>
          <w:szCs w:val="28"/>
        </w:rPr>
        <w:t>that purportedly protected his rights as an occupier</w:t>
      </w:r>
      <w:r w:rsidR="00AF23FF">
        <w:rPr>
          <w:rFonts w:ascii="Times New Roman" w:hAnsi="Times New Roman"/>
          <w:sz w:val="28"/>
          <w:szCs w:val="28"/>
        </w:rPr>
        <w:t xml:space="preserve">.  </w:t>
      </w:r>
      <w:r w:rsidR="00DC516D">
        <w:rPr>
          <w:rFonts w:ascii="Times New Roman" w:hAnsi="Times New Roman"/>
          <w:sz w:val="28"/>
          <w:szCs w:val="28"/>
        </w:rPr>
        <w:t xml:space="preserve">Rather than </w:t>
      </w:r>
      <w:r w:rsidR="00EA3D94">
        <w:rPr>
          <w:rFonts w:ascii="Times New Roman" w:hAnsi="Times New Roman"/>
          <w:sz w:val="28"/>
          <w:szCs w:val="28"/>
        </w:rPr>
        <w:t>giving credence</w:t>
      </w:r>
      <w:r w:rsidR="009848A6">
        <w:rPr>
          <w:rFonts w:ascii="Times New Roman" w:hAnsi="Times New Roman"/>
          <w:sz w:val="28"/>
          <w:szCs w:val="28"/>
        </w:rPr>
        <w:t xml:space="preserve"> to</w:t>
      </w:r>
      <w:r w:rsidR="00DC516D">
        <w:rPr>
          <w:rFonts w:ascii="Times New Roman" w:hAnsi="Times New Roman"/>
          <w:sz w:val="28"/>
          <w:szCs w:val="28"/>
        </w:rPr>
        <w:t xml:space="preserve"> </w:t>
      </w:r>
      <w:r w:rsidR="00975B00">
        <w:rPr>
          <w:rFonts w:ascii="Times New Roman" w:hAnsi="Times New Roman"/>
          <w:sz w:val="28"/>
          <w:szCs w:val="28"/>
        </w:rPr>
        <w:t xml:space="preserve">the applicant’s </w:t>
      </w:r>
      <w:r w:rsidR="0010010F">
        <w:rPr>
          <w:rFonts w:ascii="Times New Roman" w:hAnsi="Times New Roman"/>
          <w:sz w:val="28"/>
          <w:szCs w:val="28"/>
        </w:rPr>
        <w:t>case that they were</w:t>
      </w:r>
      <w:r w:rsidR="00975B00">
        <w:rPr>
          <w:rFonts w:ascii="Times New Roman" w:hAnsi="Times New Roman"/>
          <w:sz w:val="28"/>
          <w:szCs w:val="28"/>
        </w:rPr>
        <w:t xml:space="preserve"> surprise</w:t>
      </w:r>
      <w:r w:rsidR="0010010F">
        <w:rPr>
          <w:rFonts w:ascii="Times New Roman" w:hAnsi="Times New Roman"/>
          <w:sz w:val="28"/>
          <w:szCs w:val="28"/>
        </w:rPr>
        <w:t>d</w:t>
      </w:r>
      <w:r w:rsidR="00975B00">
        <w:rPr>
          <w:rFonts w:ascii="Times New Roman" w:hAnsi="Times New Roman"/>
          <w:sz w:val="28"/>
          <w:szCs w:val="28"/>
        </w:rPr>
        <w:t xml:space="preserve"> </w:t>
      </w:r>
      <w:r w:rsidR="00972392">
        <w:rPr>
          <w:rFonts w:ascii="Times New Roman" w:hAnsi="Times New Roman"/>
          <w:sz w:val="28"/>
          <w:szCs w:val="28"/>
        </w:rPr>
        <w:t>to find</w:t>
      </w:r>
      <w:r w:rsidR="00975B00">
        <w:rPr>
          <w:rFonts w:ascii="Times New Roman" w:hAnsi="Times New Roman"/>
          <w:sz w:val="28"/>
          <w:szCs w:val="28"/>
        </w:rPr>
        <w:t xml:space="preserve"> out after the purchase </w:t>
      </w:r>
      <w:r w:rsidR="0010010F">
        <w:rPr>
          <w:rFonts w:ascii="Times New Roman" w:hAnsi="Times New Roman"/>
          <w:sz w:val="28"/>
          <w:szCs w:val="28"/>
        </w:rPr>
        <w:t>of the property that it was occupied, t</w:t>
      </w:r>
      <w:r w:rsidR="00AF23FF">
        <w:rPr>
          <w:rFonts w:ascii="Times New Roman" w:hAnsi="Times New Roman"/>
          <w:sz w:val="28"/>
          <w:szCs w:val="28"/>
        </w:rPr>
        <w:t xml:space="preserve">he </w:t>
      </w:r>
      <w:r w:rsidR="00F8424A">
        <w:rPr>
          <w:rFonts w:ascii="Times New Roman" w:hAnsi="Times New Roman"/>
          <w:sz w:val="28"/>
          <w:szCs w:val="28"/>
        </w:rPr>
        <w:t>first respondent’s attorney’s</w:t>
      </w:r>
      <w:r w:rsidR="00AF23FF">
        <w:rPr>
          <w:rFonts w:ascii="Times New Roman" w:hAnsi="Times New Roman"/>
          <w:sz w:val="28"/>
          <w:szCs w:val="28"/>
        </w:rPr>
        <w:t xml:space="preserve"> </w:t>
      </w:r>
      <w:r w:rsidR="00F8424A">
        <w:rPr>
          <w:rFonts w:ascii="Times New Roman" w:hAnsi="Times New Roman"/>
          <w:sz w:val="28"/>
          <w:szCs w:val="28"/>
        </w:rPr>
        <w:t>response creates a</w:t>
      </w:r>
      <w:r w:rsidR="00742EBE">
        <w:rPr>
          <w:rFonts w:ascii="Times New Roman" w:hAnsi="Times New Roman"/>
          <w:sz w:val="28"/>
          <w:szCs w:val="28"/>
        </w:rPr>
        <w:t>n entirely</w:t>
      </w:r>
      <w:r w:rsidR="00F8424A">
        <w:rPr>
          <w:rFonts w:ascii="Times New Roman" w:hAnsi="Times New Roman"/>
          <w:sz w:val="28"/>
          <w:szCs w:val="28"/>
        </w:rPr>
        <w:t xml:space="preserve"> different</w:t>
      </w:r>
      <w:r w:rsidR="002535CA">
        <w:rPr>
          <w:rFonts w:ascii="Times New Roman" w:hAnsi="Times New Roman"/>
          <w:sz w:val="28"/>
          <w:szCs w:val="28"/>
        </w:rPr>
        <w:t xml:space="preserve"> impression:</w:t>
      </w:r>
    </w:p>
    <w:p w14:paraId="71977D52" w14:textId="77777777" w:rsidR="002535CA" w:rsidRDefault="002535CA" w:rsidP="002535CA">
      <w:pPr>
        <w:pStyle w:val="ListParagraph"/>
        <w:spacing w:line="360" w:lineRule="auto"/>
        <w:jc w:val="both"/>
        <w:rPr>
          <w:rFonts w:ascii="Times New Roman" w:hAnsi="Times New Roman"/>
          <w:sz w:val="28"/>
          <w:szCs w:val="28"/>
        </w:rPr>
      </w:pPr>
    </w:p>
    <w:p w14:paraId="5BAFAFD8" w14:textId="77777777" w:rsidR="007A795C" w:rsidRPr="007A795C" w:rsidRDefault="007A795C" w:rsidP="002535CA">
      <w:pPr>
        <w:pStyle w:val="ListParagraph"/>
        <w:spacing w:line="360" w:lineRule="auto"/>
        <w:jc w:val="both"/>
        <w:rPr>
          <w:rFonts w:ascii="Times New Roman" w:hAnsi="Times New Roman"/>
        </w:rPr>
      </w:pPr>
      <w:r w:rsidRPr="007A795C">
        <w:rPr>
          <w:rFonts w:ascii="Times New Roman" w:hAnsi="Times New Roman"/>
        </w:rPr>
        <w:t>“Your “notice”, which I term “request”, to inspect the property has been handed over to us for a proper response.  First of all, we do not know in what capacity and on what basis you are requesting to inspect this property.  As far as we are aware the owner of the property is Colin Kriel, who is embroiled in litigation with our client regarding this property.</w:t>
      </w:r>
    </w:p>
    <w:p w14:paraId="7DF9D173" w14:textId="77777777" w:rsidR="007A795C" w:rsidRPr="007A795C" w:rsidRDefault="007A795C" w:rsidP="002535CA">
      <w:pPr>
        <w:pStyle w:val="ListParagraph"/>
        <w:spacing w:line="360" w:lineRule="auto"/>
        <w:jc w:val="both"/>
        <w:rPr>
          <w:rFonts w:ascii="Times New Roman" w:hAnsi="Times New Roman"/>
        </w:rPr>
      </w:pPr>
    </w:p>
    <w:p w14:paraId="73E51CC3" w14:textId="77777777" w:rsidR="007A795C" w:rsidRDefault="007A795C" w:rsidP="002535CA">
      <w:pPr>
        <w:pStyle w:val="ListParagraph"/>
        <w:spacing w:line="360" w:lineRule="auto"/>
        <w:jc w:val="both"/>
        <w:rPr>
          <w:rFonts w:ascii="Times New Roman" w:hAnsi="Times New Roman"/>
          <w:sz w:val="28"/>
          <w:szCs w:val="28"/>
          <w:highlight w:val="green"/>
        </w:rPr>
      </w:pPr>
      <w:r w:rsidRPr="007A795C">
        <w:rPr>
          <w:rFonts w:ascii="Times New Roman" w:hAnsi="Times New Roman"/>
        </w:rPr>
        <w:t>All of this is known to you as on the 28</w:t>
      </w:r>
      <w:r w:rsidRPr="007A795C">
        <w:rPr>
          <w:rFonts w:ascii="Times New Roman" w:hAnsi="Times New Roman"/>
          <w:vertAlign w:val="superscript"/>
        </w:rPr>
        <w:t>th</w:t>
      </w:r>
      <w:r w:rsidRPr="007A795C">
        <w:rPr>
          <w:rFonts w:ascii="Times New Roman" w:hAnsi="Times New Roman"/>
        </w:rPr>
        <w:t xml:space="preserve"> of February 2021, you wrote an email to Buffalo City Municipality, detailing the history of the property as well as the dispute between our client and Colin Kriel, requesting the municipality to disconnect the services to the property, despite the High Court Order that protected our client’s rights as the occupier of the said property.  When that attempt failed, the services were illegally disconnected by someone who went to the property and illegally cut the supply of the municipal services to the property.</w:t>
      </w:r>
      <w:r>
        <w:rPr>
          <w:rFonts w:ascii="Times New Roman" w:hAnsi="Times New Roman"/>
        </w:rPr>
        <w:t>”</w:t>
      </w:r>
    </w:p>
    <w:p w14:paraId="378D6BF0" w14:textId="77777777" w:rsidR="002535CA" w:rsidRDefault="002535CA" w:rsidP="002535CA">
      <w:pPr>
        <w:pStyle w:val="ListParagraph"/>
        <w:spacing w:line="360" w:lineRule="auto"/>
        <w:jc w:val="both"/>
        <w:rPr>
          <w:rFonts w:ascii="Times New Roman" w:hAnsi="Times New Roman"/>
          <w:sz w:val="28"/>
          <w:szCs w:val="28"/>
        </w:rPr>
      </w:pPr>
    </w:p>
    <w:p w14:paraId="47729CD8" w14:textId="787E43E6" w:rsidR="00343232" w:rsidRDefault="00343232"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first applicant </w:t>
      </w:r>
      <w:r w:rsidR="002B5E0E">
        <w:rPr>
          <w:rFonts w:ascii="Times New Roman" w:hAnsi="Times New Roman"/>
          <w:sz w:val="28"/>
          <w:szCs w:val="28"/>
        </w:rPr>
        <w:t xml:space="preserve">also </w:t>
      </w:r>
      <w:r>
        <w:rPr>
          <w:rFonts w:ascii="Times New Roman" w:hAnsi="Times New Roman"/>
          <w:sz w:val="28"/>
          <w:szCs w:val="28"/>
        </w:rPr>
        <w:t xml:space="preserve">attached </w:t>
      </w:r>
      <w:r w:rsidR="00D52506">
        <w:rPr>
          <w:rFonts w:ascii="Times New Roman" w:hAnsi="Times New Roman"/>
          <w:sz w:val="28"/>
          <w:szCs w:val="28"/>
        </w:rPr>
        <w:t>his own response to the communication received from</w:t>
      </w:r>
      <w:r w:rsidR="009F3DA2">
        <w:rPr>
          <w:rFonts w:ascii="Times New Roman" w:hAnsi="Times New Roman"/>
          <w:sz w:val="28"/>
          <w:szCs w:val="28"/>
        </w:rPr>
        <w:t xml:space="preserve"> the applicant’s attorney</w:t>
      </w:r>
      <w:r w:rsidR="00A42219">
        <w:rPr>
          <w:rFonts w:ascii="Times New Roman" w:hAnsi="Times New Roman"/>
          <w:sz w:val="28"/>
          <w:szCs w:val="28"/>
        </w:rPr>
        <w:t xml:space="preserve"> </w:t>
      </w:r>
      <w:r w:rsidR="00727A73">
        <w:rPr>
          <w:rFonts w:ascii="Times New Roman" w:hAnsi="Times New Roman"/>
          <w:sz w:val="28"/>
          <w:szCs w:val="28"/>
        </w:rPr>
        <w:t xml:space="preserve">(Annexure “GP </w:t>
      </w:r>
      <w:r w:rsidR="0063129F">
        <w:rPr>
          <w:rFonts w:ascii="Times New Roman" w:hAnsi="Times New Roman"/>
          <w:sz w:val="28"/>
          <w:szCs w:val="28"/>
        </w:rPr>
        <w:t xml:space="preserve">8”) </w:t>
      </w:r>
      <w:r w:rsidR="00910CA8">
        <w:rPr>
          <w:rFonts w:ascii="Times New Roman" w:hAnsi="Times New Roman"/>
          <w:sz w:val="28"/>
          <w:szCs w:val="28"/>
        </w:rPr>
        <w:t xml:space="preserve">to </w:t>
      </w:r>
      <w:r w:rsidR="00585D69">
        <w:rPr>
          <w:rFonts w:ascii="Times New Roman" w:hAnsi="Times New Roman"/>
          <w:sz w:val="28"/>
          <w:szCs w:val="28"/>
        </w:rPr>
        <w:t>clarify</w:t>
      </w:r>
      <w:r w:rsidR="00910CA8">
        <w:rPr>
          <w:rFonts w:ascii="Times New Roman" w:hAnsi="Times New Roman"/>
          <w:sz w:val="28"/>
          <w:szCs w:val="28"/>
        </w:rPr>
        <w:t xml:space="preserve"> that he was writing </w:t>
      </w:r>
      <w:r w:rsidR="00CE46E3">
        <w:rPr>
          <w:rFonts w:ascii="Times New Roman" w:hAnsi="Times New Roman"/>
          <w:sz w:val="28"/>
          <w:szCs w:val="28"/>
        </w:rPr>
        <w:t>in his capacity as “new owner” of the property</w:t>
      </w:r>
      <w:r w:rsidR="00FC0BBE">
        <w:rPr>
          <w:rFonts w:ascii="Times New Roman" w:hAnsi="Times New Roman"/>
          <w:sz w:val="28"/>
          <w:szCs w:val="28"/>
        </w:rPr>
        <w:t xml:space="preserve">. In reply to the allegation of </w:t>
      </w:r>
      <w:r w:rsidR="0045511C">
        <w:rPr>
          <w:rFonts w:ascii="Times New Roman" w:hAnsi="Times New Roman"/>
          <w:sz w:val="28"/>
          <w:szCs w:val="28"/>
        </w:rPr>
        <w:t>the attempted disconnection, he did not refute this</w:t>
      </w:r>
      <w:r w:rsidR="00742EBE">
        <w:rPr>
          <w:rFonts w:ascii="Times New Roman" w:hAnsi="Times New Roman"/>
          <w:sz w:val="28"/>
          <w:szCs w:val="28"/>
        </w:rPr>
        <w:t xml:space="preserve"> neither the general tenor </w:t>
      </w:r>
      <w:r w:rsidR="00742EBE">
        <w:rPr>
          <w:rFonts w:ascii="Times New Roman" w:hAnsi="Times New Roman"/>
          <w:sz w:val="28"/>
          <w:szCs w:val="28"/>
        </w:rPr>
        <w:lastRenderedPageBreak/>
        <w:t>raised in the first respondent’s attorney’s response that he and his wife knew well that the dispute between the first respondent and Colin Kriel had long been coming and that his rights as occupier were “protected” by a court order</w:t>
      </w:r>
      <w:r w:rsidR="0045511C">
        <w:rPr>
          <w:rFonts w:ascii="Times New Roman" w:hAnsi="Times New Roman"/>
          <w:sz w:val="28"/>
          <w:szCs w:val="28"/>
        </w:rPr>
        <w:t xml:space="preserve">.  </w:t>
      </w:r>
      <w:r w:rsidR="003057E3">
        <w:rPr>
          <w:rFonts w:ascii="Times New Roman" w:hAnsi="Times New Roman"/>
          <w:sz w:val="28"/>
          <w:szCs w:val="28"/>
        </w:rPr>
        <w:t>Instead,</w:t>
      </w:r>
      <w:r w:rsidR="0045511C">
        <w:rPr>
          <w:rFonts w:ascii="Times New Roman" w:hAnsi="Times New Roman"/>
          <w:sz w:val="28"/>
          <w:szCs w:val="28"/>
        </w:rPr>
        <w:t xml:space="preserve"> he </w:t>
      </w:r>
      <w:r w:rsidR="0029618A">
        <w:rPr>
          <w:rFonts w:ascii="Times New Roman" w:hAnsi="Times New Roman"/>
          <w:sz w:val="28"/>
          <w:szCs w:val="28"/>
        </w:rPr>
        <w:t xml:space="preserve">merely </w:t>
      </w:r>
      <w:r w:rsidR="0045511C">
        <w:rPr>
          <w:rFonts w:ascii="Times New Roman" w:hAnsi="Times New Roman"/>
          <w:sz w:val="28"/>
          <w:szCs w:val="28"/>
        </w:rPr>
        <w:t xml:space="preserve">lamented </w:t>
      </w:r>
      <w:r w:rsidR="00184B88">
        <w:rPr>
          <w:rFonts w:ascii="Times New Roman" w:hAnsi="Times New Roman"/>
          <w:sz w:val="28"/>
          <w:szCs w:val="28"/>
        </w:rPr>
        <w:t>as follows</w:t>
      </w:r>
      <w:r w:rsidR="00BD197C">
        <w:rPr>
          <w:rFonts w:ascii="Times New Roman" w:hAnsi="Times New Roman"/>
          <w:sz w:val="28"/>
          <w:szCs w:val="28"/>
        </w:rPr>
        <w:t xml:space="preserve">: </w:t>
      </w:r>
      <w:r w:rsidR="00091F47">
        <w:rPr>
          <w:rFonts w:ascii="Times New Roman" w:hAnsi="Times New Roman"/>
          <w:sz w:val="28"/>
          <w:szCs w:val="28"/>
        </w:rPr>
        <w:t xml:space="preserve">“I fail to believe that Buffalo City </w:t>
      </w:r>
      <w:r w:rsidR="003057E3">
        <w:rPr>
          <w:rFonts w:ascii="Times New Roman" w:hAnsi="Times New Roman"/>
          <w:sz w:val="28"/>
          <w:szCs w:val="28"/>
        </w:rPr>
        <w:t>Municipality</w:t>
      </w:r>
      <w:r w:rsidR="00091F47">
        <w:rPr>
          <w:rFonts w:ascii="Times New Roman" w:hAnsi="Times New Roman"/>
          <w:sz w:val="28"/>
          <w:szCs w:val="28"/>
        </w:rPr>
        <w:t xml:space="preserve"> would have been that</w:t>
      </w:r>
      <w:r w:rsidR="003057E3">
        <w:rPr>
          <w:rFonts w:ascii="Times New Roman" w:hAnsi="Times New Roman"/>
          <w:sz w:val="28"/>
          <w:szCs w:val="28"/>
        </w:rPr>
        <w:t xml:space="preserve"> negligent to give you the information that you are referring to without the consent of Mr. Kriel.”</w:t>
      </w:r>
    </w:p>
    <w:p w14:paraId="12F7EF53" w14:textId="77777777" w:rsidR="00C773D6" w:rsidRDefault="00C773D6" w:rsidP="00C773D6">
      <w:pPr>
        <w:pStyle w:val="ListParagraph"/>
        <w:spacing w:line="360" w:lineRule="auto"/>
        <w:ind w:left="0"/>
        <w:jc w:val="both"/>
        <w:rPr>
          <w:rFonts w:ascii="Times New Roman" w:hAnsi="Times New Roman"/>
          <w:sz w:val="28"/>
          <w:szCs w:val="28"/>
        </w:rPr>
      </w:pPr>
    </w:p>
    <w:p w14:paraId="4CA5095C" w14:textId="77777777" w:rsidR="00184B88" w:rsidRDefault="00184B88"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Neither applicant purported to explain th</w:t>
      </w:r>
      <w:r w:rsidR="00172A6E">
        <w:rPr>
          <w:rFonts w:ascii="Times New Roman" w:hAnsi="Times New Roman"/>
          <w:sz w:val="28"/>
          <w:szCs w:val="28"/>
        </w:rPr>
        <w:t xml:space="preserve">e interference with </w:t>
      </w:r>
      <w:r w:rsidR="00511634">
        <w:rPr>
          <w:rFonts w:ascii="Times New Roman" w:hAnsi="Times New Roman"/>
          <w:sz w:val="28"/>
          <w:szCs w:val="28"/>
        </w:rPr>
        <w:t>the first</w:t>
      </w:r>
      <w:r w:rsidR="00052A51">
        <w:rPr>
          <w:rFonts w:ascii="Times New Roman" w:hAnsi="Times New Roman"/>
          <w:sz w:val="28"/>
          <w:szCs w:val="28"/>
        </w:rPr>
        <w:t xml:space="preserve"> respondent’s</w:t>
      </w:r>
      <w:r w:rsidR="00172A6E">
        <w:rPr>
          <w:rFonts w:ascii="Times New Roman" w:hAnsi="Times New Roman"/>
          <w:sz w:val="28"/>
          <w:szCs w:val="28"/>
        </w:rPr>
        <w:t xml:space="preserve"> </w:t>
      </w:r>
      <w:r w:rsidR="00FE7AF2">
        <w:rPr>
          <w:rFonts w:ascii="Times New Roman" w:hAnsi="Times New Roman"/>
          <w:sz w:val="28"/>
          <w:szCs w:val="28"/>
        </w:rPr>
        <w:t xml:space="preserve">entitlement to municipal services </w:t>
      </w:r>
      <w:r w:rsidR="00C773D6">
        <w:rPr>
          <w:rFonts w:ascii="Times New Roman" w:hAnsi="Times New Roman"/>
          <w:sz w:val="28"/>
          <w:szCs w:val="28"/>
        </w:rPr>
        <w:t>in the formal papers filed.</w:t>
      </w:r>
    </w:p>
    <w:p w14:paraId="7264EFD3" w14:textId="77777777" w:rsidR="0063129F" w:rsidRPr="0063129F" w:rsidRDefault="0063129F" w:rsidP="0063129F">
      <w:pPr>
        <w:pStyle w:val="ListParagraph"/>
        <w:rPr>
          <w:rFonts w:ascii="Times New Roman" w:hAnsi="Times New Roman"/>
          <w:sz w:val="28"/>
          <w:szCs w:val="28"/>
        </w:rPr>
      </w:pPr>
    </w:p>
    <w:p w14:paraId="255176F4" w14:textId="1EFFC997" w:rsidR="000568A3" w:rsidRDefault="0063129F" w:rsidP="000568A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Th</w:t>
      </w:r>
      <w:r w:rsidR="00326D8F">
        <w:rPr>
          <w:rFonts w:ascii="Times New Roman" w:hAnsi="Times New Roman"/>
          <w:sz w:val="28"/>
          <w:szCs w:val="28"/>
        </w:rPr>
        <w:t>i</w:t>
      </w:r>
      <w:r w:rsidR="00E80974">
        <w:rPr>
          <w:rFonts w:ascii="Times New Roman" w:hAnsi="Times New Roman"/>
          <w:sz w:val="28"/>
          <w:szCs w:val="28"/>
        </w:rPr>
        <w:t xml:space="preserve">s background aside in an application in which the parties are expected to lay bare every </w:t>
      </w:r>
      <w:r w:rsidR="0067689F">
        <w:rPr>
          <w:rFonts w:ascii="Times New Roman" w:hAnsi="Times New Roman"/>
          <w:sz w:val="28"/>
          <w:szCs w:val="28"/>
        </w:rPr>
        <w:t xml:space="preserve">legally relevant </w:t>
      </w:r>
      <w:r w:rsidR="006C421B">
        <w:rPr>
          <w:rFonts w:ascii="Times New Roman" w:hAnsi="Times New Roman"/>
          <w:sz w:val="28"/>
          <w:szCs w:val="28"/>
        </w:rPr>
        <w:t xml:space="preserve">circumstance </w:t>
      </w:r>
      <w:r w:rsidR="00336320">
        <w:rPr>
          <w:rFonts w:ascii="Times New Roman" w:hAnsi="Times New Roman"/>
          <w:sz w:val="28"/>
          <w:szCs w:val="28"/>
        </w:rPr>
        <w:t xml:space="preserve">to assist the court in exercising its discretion </w:t>
      </w:r>
      <w:r w:rsidR="00527610">
        <w:rPr>
          <w:rFonts w:ascii="Times New Roman" w:hAnsi="Times New Roman"/>
          <w:sz w:val="28"/>
          <w:szCs w:val="28"/>
        </w:rPr>
        <w:t>to determine</w:t>
      </w:r>
      <w:r w:rsidR="009A1ECF">
        <w:rPr>
          <w:rFonts w:ascii="Times New Roman" w:hAnsi="Times New Roman"/>
          <w:sz w:val="28"/>
          <w:szCs w:val="28"/>
        </w:rPr>
        <w:t xml:space="preserve"> </w:t>
      </w:r>
      <w:r w:rsidR="007F371E">
        <w:rPr>
          <w:rFonts w:ascii="Times New Roman" w:hAnsi="Times New Roman"/>
          <w:sz w:val="28"/>
          <w:szCs w:val="28"/>
        </w:rPr>
        <w:t>whether it</w:t>
      </w:r>
      <w:r w:rsidR="005F3E42">
        <w:rPr>
          <w:rFonts w:ascii="Times New Roman" w:hAnsi="Times New Roman"/>
          <w:sz w:val="28"/>
          <w:szCs w:val="28"/>
        </w:rPr>
        <w:t xml:space="preserve"> is just and equitable to </w:t>
      </w:r>
      <w:r w:rsidR="009A1ECF">
        <w:rPr>
          <w:rFonts w:ascii="Times New Roman" w:hAnsi="Times New Roman"/>
          <w:sz w:val="28"/>
          <w:szCs w:val="28"/>
        </w:rPr>
        <w:t>order an eviction, the true</w:t>
      </w:r>
      <w:r>
        <w:rPr>
          <w:rFonts w:ascii="Times New Roman" w:hAnsi="Times New Roman"/>
          <w:sz w:val="28"/>
          <w:szCs w:val="28"/>
        </w:rPr>
        <w:t xml:space="preserve"> </w:t>
      </w:r>
      <w:r w:rsidR="009A1ECF">
        <w:rPr>
          <w:rFonts w:ascii="Times New Roman" w:hAnsi="Times New Roman"/>
          <w:sz w:val="28"/>
          <w:szCs w:val="28"/>
        </w:rPr>
        <w:t xml:space="preserve">and primary </w:t>
      </w:r>
      <w:r w:rsidR="003E2C31">
        <w:rPr>
          <w:rFonts w:ascii="Times New Roman" w:hAnsi="Times New Roman"/>
          <w:sz w:val="28"/>
          <w:szCs w:val="28"/>
        </w:rPr>
        <w:t xml:space="preserve">question to be determined is whether the </w:t>
      </w:r>
      <w:r w:rsidR="008C2E93">
        <w:rPr>
          <w:rFonts w:ascii="Times New Roman" w:hAnsi="Times New Roman"/>
          <w:sz w:val="28"/>
          <w:szCs w:val="28"/>
        </w:rPr>
        <w:t xml:space="preserve">first respondent is indeed </w:t>
      </w:r>
      <w:r w:rsidR="00A20807">
        <w:rPr>
          <w:rFonts w:ascii="Times New Roman" w:hAnsi="Times New Roman"/>
          <w:sz w:val="28"/>
          <w:szCs w:val="28"/>
        </w:rPr>
        <w:t>an unlawful occupier within the meaning of the definition</w:t>
      </w:r>
      <w:r w:rsidR="00A255DD">
        <w:rPr>
          <w:rFonts w:ascii="Times New Roman" w:hAnsi="Times New Roman"/>
          <w:sz w:val="28"/>
          <w:szCs w:val="28"/>
        </w:rPr>
        <w:t xml:space="preserve"> of this concept </w:t>
      </w:r>
      <w:r w:rsidR="00AF5F62">
        <w:rPr>
          <w:rFonts w:ascii="Times New Roman" w:hAnsi="Times New Roman"/>
          <w:sz w:val="28"/>
          <w:szCs w:val="28"/>
        </w:rPr>
        <w:t>in the PIE Act.</w:t>
      </w:r>
      <w:r w:rsidR="009A1ECF">
        <w:rPr>
          <w:rStyle w:val="FootnoteReference"/>
          <w:rFonts w:ascii="Times New Roman" w:hAnsi="Times New Roman"/>
          <w:sz w:val="28"/>
          <w:szCs w:val="28"/>
        </w:rPr>
        <w:footnoteReference w:id="11"/>
      </w:r>
      <w:r w:rsidR="002B5E0E">
        <w:rPr>
          <w:rFonts w:ascii="Times New Roman" w:hAnsi="Times New Roman"/>
          <w:sz w:val="28"/>
          <w:szCs w:val="28"/>
        </w:rPr>
        <w:t xml:space="preserve"> </w:t>
      </w:r>
    </w:p>
    <w:p w14:paraId="414D2783" w14:textId="77777777" w:rsidR="000568A3" w:rsidRPr="000568A3" w:rsidRDefault="000568A3" w:rsidP="000568A3">
      <w:pPr>
        <w:pStyle w:val="ListParagraph"/>
        <w:rPr>
          <w:rFonts w:ascii="Times New Roman" w:hAnsi="Times New Roman"/>
          <w:sz w:val="28"/>
          <w:szCs w:val="28"/>
        </w:rPr>
      </w:pPr>
    </w:p>
    <w:p w14:paraId="47F1A142" w14:textId="0B1C9D3C" w:rsidR="00C551E4" w:rsidRDefault="000568A3" w:rsidP="000568A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Whilst the onus is on </w:t>
      </w:r>
      <w:r w:rsidR="002C1215">
        <w:rPr>
          <w:rFonts w:ascii="Times New Roman" w:hAnsi="Times New Roman"/>
          <w:sz w:val="28"/>
          <w:szCs w:val="28"/>
        </w:rPr>
        <w:t xml:space="preserve">the first respondent to prove his “right” to </w:t>
      </w:r>
      <w:r w:rsidR="005A3030">
        <w:rPr>
          <w:rFonts w:ascii="Times New Roman" w:hAnsi="Times New Roman"/>
          <w:sz w:val="28"/>
          <w:szCs w:val="28"/>
        </w:rPr>
        <w:t>be</w:t>
      </w:r>
      <w:r w:rsidR="002C1215">
        <w:rPr>
          <w:rFonts w:ascii="Times New Roman" w:hAnsi="Times New Roman"/>
          <w:sz w:val="28"/>
          <w:szCs w:val="28"/>
        </w:rPr>
        <w:t xml:space="preserve"> in occupation</w:t>
      </w:r>
      <w:r w:rsidR="005A3030">
        <w:rPr>
          <w:rFonts w:ascii="Times New Roman" w:hAnsi="Times New Roman"/>
          <w:sz w:val="28"/>
          <w:szCs w:val="28"/>
        </w:rPr>
        <w:t xml:space="preserve"> of the property</w:t>
      </w:r>
      <w:r w:rsidR="002C1215">
        <w:rPr>
          <w:rFonts w:ascii="Times New Roman" w:hAnsi="Times New Roman"/>
          <w:sz w:val="28"/>
          <w:szCs w:val="28"/>
        </w:rPr>
        <w:t xml:space="preserve">, </w:t>
      </w:r>
      <w:r w:rsidR="005A3030">
        <w:rPr>
          <w:rFonts w:ascii="Times New Roman" w:hAnsi="Times New Roman"/>
          <w:sz w:val="28"/>
          <w:szCs w:val="28"/>
        </w:rPr>
        <w:t xml:space="preserve">the applicants have </w:t>
      </w:r>
      <w:r w:rsidR="00336617">
        <w:rPr>
          <w:rFonts w:ascii="Times New Roman" w:hAnsi="Times New Roman"/>
          <w:sz w:val="28"/>
          <w:szCs w:val="28"/>
        </w:rPr>
        <w:t xml:space="preserve">attracted an </w:t>
      </w:r>
      <w:r w:rsidR="00EB080D">
        <w:rPr>
          <w:rFonts w:ascii="Times New Roman" w:hAnsi="Times New Roman"/>
          <w:sz w:val="28"/>
          <w:szCs w:val="28"/>
        </w:rPr>
        <w:t xml:space="preserve">evidential burden </w:t>
      </w:r>
      <w:r w:rsidR="00336617">
        <w:rPr>
          <w:rFonts w:ascii="Times New Roman" w:hAnsi="Times New Roman"/>
          <w:sz w:val="28"/>
          <w:szCs w:val="28"/>
        </w:rPr>
        <w:t xml:space="preserve">(on the </w:t>
      </w:r>
      <w:r w:rsidR="00F33BC7">
        <w:rPr>
          <w:rFonts w:ascii="Times New Roman" w:hAnsi="Times New Roman"/>
          <w:sz w:val="28"/>
          <w:szCs w:val="28"/>
        </w:rPr>
        <w:t xml:space="preserve">belatedly accepted premise that the first respondent is holding over after </w:t>
      </w:r>
      <w:r w:rsidR="009D7C8D">
        <w:rPr>
          <w:rFonts w:ascii="Times New Roman" w:hAnsi="Times New Roman"/>
          <w:sz w:val="28"/>
          <w:szCs w:val="28"/>
        </w:rPr>
        <w:t xml:space="preserve">the </w:t>
      </w:r>
      <w:r w:rsidR="00EB080D">
        <w:rPr>
          <w:rFonts w:ascii="Times New Roman" w:hAnsi="Times New Roman"/>
          <w:sz w:val="28"/>
          <w:szCs w:val="28"/>
        </w:rPr>
        <w:t>deed</w:t>
      </w:r>
      <w:r w:rsidR="009D7C8D">
        <w:rPr>
          <w:rFonts w:ascii="Times New Roman" w:hAnsi="Times New Roman"/>
          <w:sz w:val="28"/>
          <w:szCs w:val="28"/>
        </w:rPr>
        <w:t xml:space="preserve"> of sale entered </w:t>
      </w:r>
      <w:r w:rsidR="00DA7285">
        <w:rPr>
          <w:rFonts w:ascii="Times New Roman" w:hAnsi="Times New Roman"/>
          <w:sz w:val="28"/>
          <w:szCs w:val="28"/>
        </w:rPr>
        <w:t>between him and Colin Kriel</w:t>
      </w:r>
      <w:r w:rsidR="00EB080D">
        <w:rPr>
          <w:rFonts w:ascii="Times New Roman" w:hAnsi="Times New Roman"/>
          <w:sz w:val="28"/>
          <w:szCs w:val="28"/>
        </w:rPr>
        <w:t xml:space="preserve"> was </w:t>
      </w:r>
      <w:r w:rsidR="00D93FD6">
        <w:rPr>
          <w:rFonts w:ascii="Times New Roman" w:hAnsi="Times New Roman"/>
          <w:sz w:val="28"/>
          <w:szCs w:val="28"/>
        </w:rPr>
        <w:t>cancelled) to</w:t>
      </w:r>
      <w:r w:rsidR="00336617">
        <w:rPr>
          <w:rFonts w:ascii="Times New Roman" w:hAnsi="Times New Roman"/>
          <w:sz w:val="28"/>
          <w:szCs w:val="28"/>
        </w:rPr>
        <w:t xml:space="preserve"> prove </w:t>
      </w:r>
      <w:r w:rsidR="001A32C8">
        <w:rPr>
          <w:rFonts w:ascii="Times New Roman" w:hAnsi="Times New Roman"/>
          <w:sz w:val="28"/>
          <w:szCs w:val="28"/>
        </w:rPr>
        <w:t xml:space="preserve">such cancellation. </w:t>
      </w:r>
      <w:r w:rsidR="00F35A6D">
        <w:rPr>
          <w:rFonts w:ascii="Times New Roman" w:hAnsi="Times New Roman"/>
          <w:sz w:val="28"/>
          <w:szCs w:val="28"/>
        </w:rPr>
        <w:t>However, o</w:t>
      </w:r>
      <w:r w:rsidR="00D93FD6">
        <w:rPr>
          <w:rFonts w:ascii="Times New Roman" w:hAnsi="Times New Roman"/>
          <w:sz w:val="28"/>
          <w:szCs w:val="28"/>
        </w:rPr>
        <w:t xml:space="preserve">n the first respondent’s </w:t>
      </w:r>
      <w:r w:rsidR="00BF73AF">
        <w:rPr>
          <w:rFonts w:ascii="Times New Roman" w:hAnsi="Times New Roman"/>
          <w:sz w:val="28"/>
          <w:szCs w:val="28"/>
        </w:rPr>
        <w:t>evidence</w:t>
      </w:r>
      <w:r w:rsidR="00B619FE">
        <w:rPr>
          <w:rFonts w:ascii="Times New Roman" w:hAnsi="Times New Roman"/>
          <w:sz w:val="28"/>
          <w:szCs w:val="28"/>
        </w:rPr>
        <w:t xml:space="preserve"> </w:t>
      </w:r>
      <w:r w:rsidR="00E76B3C">
        <w:rPr>
          <w:rFonts w:ascii="Times New Roman" w:hAnsi="Times New Roman"/>
          <w:sz w:val="28"/>
          <w:szCs w:val="28"/>
        </w:rPr>
        <w:t>-</w:t>
      </w:r>
      <w:r w:rsidR="00637192">
        <w:rPr>
          <w:rFonts w:ascii="Times New Roman" w:hAnsi="Times New Roman"/>
          <w:sz w:val="28"/>
          <w:szCs w:val="28"/>
        </w:rPr>
        <w:t xml:space="preserve"> which I must accept on the</w:t>
      </w:r>
      <w:r w:rsidR="006B5C24">
        <w:rPr>
          <w:rFonts w:ascii="Times New Roman" w:hAnsi="Times New Roman"/>
          <w:sz w:val="28"/>
          <w:szCs w:val="28"/>
        </w:rPr>
        <w:t xml:space="preserve"> basis of the</w:t>
      </w:r>
      <w:r w:rsidR="00637192">
        <w:rPr>
          <w:rFonts w:ascii="Times New Roman" w:hAnsi="Times New Roman"/>
          <w:sz w:val="28"/>
          <w:szCs w:val="28"/>
        </w:rPr>
        <w:t xml:space="preserve"> Plascon Evans</w:t>
      </w:r>
      <w:r w:rsidR="00132A62">
        <w:rPr>
          <w:rFonts w:ascii="Times New Roman" w:hAnsi="Times New Roman"/>
          <w:sz w:val="28"/>
          <w:szCs w:val="28"/>
        </w:rPr>
        <w:t xml:space="preserve"> principle</w:t>
      </w:r>
      <w:r w:rsidR="00637192">
        <w:rPr>
          <w:rFonts w:ascii="Times New Roman" w:hAnsi="Times New Roman"/>
          <w:sz w:val="28"/>
          <w:szCs w:val="28"/>
        </w:rPr>
        <w:t>,</w:t>
      </w:r>
      <w:r w:rsidR="006B5C24">
        <w:rPr>
          <w:rStyle w:val="FootnoteReference"/>
          <w:rFonts w:ascii="Times New Roman" w:hAnsi="Times New Roman"/>
          <w:sz w:val="28"/>
          <w:szCs w:val="28"/>
        </w:rPr>
        <w:footnoteReference w:id="12"/>
      </w:r>
      <w:r w:rsidR="00B619FE">
        <w:rPr>
          <w:rFonts w:ascii="Times New Roman" w:hAnsi="Times New Roman"/>
          <w:sz w:val="28"/>
          <w:szCs w:val="28"/>
        </w:rPr>
        <w:t xml:space="preserve"> he claims that this sale was a farce</w:t>
      </w:r>
      <w:r w:rsidR="00CA6619">
        <w:rPr>
          <w:rFonts w:ascii="Times New Roman" w:hAnsi="Times New Roman"/>
          <w:sz w:val="28"/>
          <w:szCs w:val="28"/>
        </w:rPr>
        <w:t xml:space="preserve"> and makes no bones about the fact that he has occupied the property in terms of a verbal agreement </w:t>
      </w:r>
      <w:r w:rsidR="00DC212F">
        <w:rPr>
          <w:rFonts w:ascii="Times New Roman" w:hAnsi="Times New Roman"/>
          <w:sz w:val="28"/>
          <w:szCs w:val="28"/>
        </w:rPr>
        <w:t xml:space="preserve">to </w:t>
      </w:r>
      <w:r w:rsidR="00960B7F">
        <w:rPr>
          <w:rFonts w:ascii="Times New Roman" w:hAnsi="Times New Roman"/>
          <w:sz w:val="28"/>
          <w:szCs w:val="28"/>
        </w:rPr>
        <w:t xml:space="preserve">keep possession of it </w:t>
      </w:r>
      <w:r w:rsidR="00A462EC">
        <w:rPr>
          <w:rFonts w:ascii="Times New Roman" w:hAnsi="Times New Roman"/>
          <w:sz w:val="28"/>
          <w:szCs w:val="28"/>
        </w:rPr>
        <w:t xml:space="preserve">and </w:t>
      </w:r>
      <w:r w:rsidR="00DC212F">
        <w:rPr>
          <w:rFonts w:ascii="Times New Roman" w:hAnsi="Times New Roman"/>
          <w:sz w:val="28"/>
          <w:szCs w:val="28"/>
        </w:rPr>
        <w:t>use it, basically free of any charge whatsoever</w:t>
      </w:r>
      <w:r w:rsidR="0097678B">
        <w:rPr>
          <w:rFonts w:ascii="Times New Roman" w:hAnsi="Times New Roman"/>
          <w:sz w:val="28"/>
          <w:szCs w:val="28"/>
        </w:rPr>
        <w:t>, since February 2016</w:t>
      </w:r>
      <w:r w:rsidR="00F0195D">
        <w:rPr>
          <w:rFonts w:ascii="Times New Roman" w:hAnsi="Times New Roman"/>
          <w:sz w:val="28"/>
          <w:szCs w:val="28"/>
        </w:rPr>
        <w:t>,</w:t>
      </w:r>
      <w:r w:rsidR="00281940">
        <w:rPr>
          <w:rFonts w:ascii="Times New Roman" w:hAnsi="Times New Roman"/>
          <w:sz w:val="28"/>
          <w:szCs w:val="28"/>
        </w:rPr>
        <w:t xml:space="preserve"> in terms of his claimed </w:t>
      </w:r>
      <w:r w:rsidR="00D7635A">
        <w:rPr>
          <w:rFonts w:ascii="Times New Roman" w:hAnsi="Times New Roman"/>
          <w:sz w:val="28"/>
          <w:szCs w:val="28"/>
        </w:rPr>
        <w:t>“</w:t>
      </w:r>
      <w:r w:rsidR="00281940">
        <w:rPr>
          <w:rFonts w:ascii="Times New Roman" w:hAnsi="Times New Roman"/>
          <w:sz w:val="28"/>
          <w:szCs w:val="28"/>
        </w:rPr>
        <w:t>lien</w:t>
      </w:r>
      <w:r w:rsidR="00D7635A">
        <w:rPr>
          <w:rFonts w:ascii="Times New Roman" w:hAnsi="Times New Roman"/>
          <w:sz w:val="28"/>
          <w:szCs w:val="28"/>
        </w:rPr>
        <w:t>”</w:t>
      </w:r>
      <w:r w:rsidR="0097678B">
        <w:rPr>
          <w:rFonts w:ascii="Times New Roman" w:hAnsi="Times New Roman"/>
          <w:sz w:val="28"/>
          <w:szCs w:val="28"/>
        </w:rPr>
        <w:t xml:space="preserve">.  </w:t>
      </w:r>
      <w:r w:rsidR="00281940">
        <w:rPr>
          <w:rFonts w:ascii="Times New Roman" w:hAnsi="Times New Roman"/>
          <w:sz w:val="28"/>
          <w:szCs w:val="28"/>
        </w:rPr>
        <w:t xml:space="preserve">This may all </w:t>
      </w:r>
      <w:r w:rsidR="00281940">
        <w:rPr>
          <w:rFonts w:ascii="Times New Roman" w:hAnsi="Times New Roman"/>
          <w:sz w:val="28"/>
          <w:szCs w:val="28"/>
        </w:rPr>
        <w:lastRenderedPageBreak/>
        <w:t>sound fanciful</w:t>
      </w:r>
      <w:r w:rsidR="00CD1295">
        <w:rPr>
          <w:rFonts w:ascii="Times New Roman" w:hAnsi="Times New Roman"/>
          <w:sz w:val="28"/>
          <w:szCs w:val="28"/>
        </w:rPr>
        <w:t xml:space="preserve">, yet it is </w:t>
      </w:r>
      <w:r w:rsidR="001D7195">
        <w:rPr>
          <w:rFonts w:ascii="Times New Roman" w:hAnsi="Times New Roman"/>
          <w:sz w:val="28"/>
          <w:szCs w:val="28"/>
        </w:rPr>
        <w:t xml:space="preserve">ironically </w:t>
      </w:r>
      <w:r w:rsidR="00CD1295">
        <w:rPr>
          <w:rFonts w:ascii="Times New Roman" w:hAnsi="Times New Roman"/>
          <w:sz w:val="28"/>
          <w:szCs w:val="28"/>
        </w:rPr>
        <w:t xml:space="preserve">consistent with the reality that </w:t>
      </w:r>
      <w:r w:rsidR="000B34EF">
        <w:rPr>
          <w:rFonts w:ascii="Times New Roman" w:hAnsi="Times New Roman"/>
          <w:sz w:val="28"/>
          <w:szCs w:val="28"/>
        </w:rPr>
        <w:t xml:space="preserve">he has maintained </w:t>
      </w:r>
      <w:r w:rsidR="00C82C41">
        <w:rPr>
          <w:rFonts w:ascii="Times New Roman" w:hAnsi="Times New Roman"/>
          <w:sz w:val="28"/>
          <w:szCs w:val="28"/>
        </w:rPr>
        <w:t>his possession of the property and has</w:t>
      </w:r>
      <w:r w:rsidR="00CD1295">
        <w:rPr>
          <w:rFonts w:ascii="Times New Roman" w:hAnsi="Times New Roman"/>
          <w:sz w:val="28"/>
          <w:szCs w:val="28"/>
        </w:rPr>
        <w:t xml:space="preserve"> paid neither rent nor service charges</w:t>
      </w:r>
      <w:r w:rsidR="00C349AF">
        <w:rPr>
          <w:rFonts w:ascii="Times New Roman" w:hAnsi="Times New Roman"/>
          <w:sz w:val="28"/>
          <w:szCs w:val="28"/>
        </w:rPr>
        <w:t xml:space="preserve"> in respect </w:t>
      </w:r>
      <w:r w:rsidR="00C82C41">
        <w:rPr>
          <w:rFonts w:ascii="Times New Roman" w:hAnsi="Times New Roman"/>
          <w:sz w:val="28"/>
          <w:szCs w:val="28"/>
        </w:rPr>
        <w:t>thereof</w:t>
      </w:r>
      <w:r w:rsidR="00C349AF">
        <w:rPr>
          <w:rFonts w:ascii="Times New Roman" w:hAnsi="Times New Roman"/>
          <w:sz w:val="28"/>
          <w:szCs w:val="28"/>
        </w:rPr>
        <w:t xml:space="preserve"> since he took occupation</w:t>
      </w:r>
      <w:r w:rsidR="00080669">
        <w:rPr>
          <w:rFonts w:ascii="Times New Roman" w:hAnsi="Times New Roman"/>
          <w:sz w:val="28"/>
          <w:szCs w:val="28"/>
        </w:rPr>
        <w:t xml:space="preserve">.  He volunteered that he only commenced paying service charges </w:t>
      </w:r>
      <w:r w:rsidR="0055274F">
        <w:rPr>
          <w:rFonts w:ascii="Times New Roman" w:hAnsi="Times New Roman"/>
          <w:sz w:val="28"/>
          <w:szCs w:val="28"/>
        </w:rPr>
        <w:t xml:space="preserve">to the second respondent </w:t>
      </w:r>
      <w:r w:rsidR="00080669">
        <w:rPr>
          <w:rFonts w:ascii="Times New Roman" w:hAnsi="Times New Roman"/>
          <w:sz w:val="28"/>
          <w:szCs w:val="28"/>
        </w:rPr>
        <w:t xml:space="preserve">more recently in order to ensure </w:t>
      </w:r>
      <w:r w:rsidR="00D24621">
        <w:rPr>
          <w:rFonts w:ascii="Times New Roman" w:hAnsi="Times New Roman"/>
          <w:sz w:val="28"/>
          <w:szCs w:val="28"/>
        </w:rPr>
        <w:t xml:space="preserve">that he </w:t>
      </w:r>
      <w:r w:rsidR="00094A2A">
        <w:rPr>
          <w:rFonts w:ascii="Times New Roman" w:hAnsi="Times New Roman"/>
          <w:sz w:val="28"/>
          <w:szCs w:val="28"/>
        </w:rPr>
        <w:t>can purchase</w:t>
      </w:r>
      <w:r w:rsidR="0098509C">
        <w:rPr>
          <w:rFonts w:ascii="Times New Roman" w:hAnsi="Times New Roman"/>
          <w:sz w:val="28"/>
          <w:szCs w:val="28"/>
        </w:rPr>
        <w:t xml:space="preserve"> electricity</w:t>
      </w:r>
      <w:r w:rsidR="00094A2A">
        <w:rPr>
          <w:rFonts w:ascii="Times New Roman" w:hAnsi="Times New Roman"/>
          <w:sz w:val="28"/>
          <w:szCs w:val="28"/>
        </w:rPr>
        <w:t xml:space="preserve"> from the second respondent</w:t>
      </w:r>
      <w:r w:rsidR="00E73AEF">
        <w:rPr>
          <w:rFonts w:ascii="Times New Roman" w:hAnsi="Times New Roman"/>
          <w:sz w:val="28"/>
          <w:szCs w:val="28"/>
        </w:rPr>
        <w:t xml:space="preserve">. </w:t>
      </w:r>
      <w:r w:rsidR="00E15AA4">
        <w:rPr>
          <w:rFonts w:ascii="Times New Roman" w:hAnsi="Times New Roman"/>
          <w:sz w:val="28"/>
          <w:szCs w:val="28"/>
        </w:rPr>
        <w:t xml:space="preserve">That he was allowed to occupy the property </w:t>
      </w:r>
      <w:r w:rsidR="00C551E4">
        <w:rPr>
          <w:rFonts w:ascii="Times New Roman" w:hAnsi="Times New Roman"/>
          <w:sz w:val="28"/>
          <w:szCs w:val="28"/>
        </w:rPr>
        <w:t xml:space="preserve">on such a basis </w:t>
      </w:r>
      <w:r w:rsidR="00E15AA4">
        <w:rPr>
          <w:rFonts w:ascii="Times New Roman" w:hAnsi="Times New Roman"/>
          <w:sz w:val="28"/>
          <w:szCs w:val="28"/>
        </w:rPr>
        <w:t xml:space="preserve">without </w:t>
      </w:r>
      <w:r w:rsidR="009F7B90">
        <w:rPr>
          <w:rFonts w:ascii="Times New Roman" w:hAnsi="Times New Roman"/>
          <w:sz w:val="28"/>
          <w:szCs w:val="28"/>
        </w:rPr>
        <w:t xml:space="preserve">any ostensible </w:t>
      </w:r>
      <w:r w:rsidR="00AC41F8">
        <w:rPr>
          <w:rFonts w:ascii="Times New Roman" w:hAnsi="Times New Roman"/>
          <w:sz w:val="28"/>
          <w:szCs w:val="28"/>
        </w:rPr>
        <w:t xml:space="preserve">demur </w:t>
      </w:r>
      <w:r w:rsidR="002029DC">
        <w:rPr>
          <w:rFonts w:ascii="Times New Roman" w:hAnsi="Times New Roman"/>
          <w:sz w:val="28"/>
          <w:szCs w:val="28"/>
        </w:rPr>
        <w:t xml:space="preserve">from Colin Kriel </w:t>
      </w:r>
      <w:r w:rsidR="00D541AB">
        <w:rPr>
          <w:rFonts w:ascii="Times New Roman" w:hAnsi="Times New Roman"/>
          <w:sz w:val="28"/>
          <w:szCs w:val="28"/>
        </w:rPr>
        <w:t xml:space="preserve">and without paying rent and service charges </w:t>
      </w:r>
      <w:r w:rsidR="007444D2">
        <w:rPr>
          <w:rFonts w:ascii="Times New Roman" w:hAnsi="Times New Roman"/>
          <w:sz w:val="28"/>
          <w:szCs w:val="28"/>
        </w:rPr>
        <w:t>(</w:t>
      </w:r>
      <w:r w:rsidR="00D541AB">
        <w:rPr>
          <w:rFonts w:ascii="Times New Roman" w:hAnsi="Times New Roman"/>
          <w:sz w:val="28"/>
          <w:szCs w:val="28"/>
        </w:rPr>
        <w:t>as an ordinary tenant would</w:t>
      </w:r>
      <w:r w:rsidR="007444D2">
        <w:rPr>
          <w:rFonts w:ascii="Times New Roman" w:hAnsi="Times New Roman"/>
          <w:sz w:val="28"/>
          <w:szCs w:val="28"/>
        </w:rPr>
        <w:t>)</w:t>
      </w:r>
      <w:r w:rsidR="00D541AB">
        <w:rPr>
          <w:rFonts w:ascii="Times New Roman" w:hAnsi="Times New Roman"/>
          <w:sz w:val="28"/>
          <w:szCs w:val="28"/>
        </w:rPr>
        <w:t xml:space="preserve"> </w:t>
      </w:r>
      <w:r w:rsidR="00050C14">
        <w:rPr>
          <w:rFonts w:ascii="Times New Roman" w:hAnsi="Times New Roman"/>
          <w:sz w:val="28"/>
          <w:szCs w:val="28"/>
        </w:rPr>
        <w:t xml:space="preserve">for several years </w:t>
      </w:r>
      <w:r w:rsidR="007444D2">
        <w:rPr>
          <w:rFonts w:ascii="Times New Roman" w:hAnsi="Times New Roman"/>
          <w:sz w:val="28"/>
          <w:szCs w:val="28"/>
        </w:rPr>
        <w:t>prior to</w:t>
      </w:r>
      <w:r w:rsidR="00AC41F8">
        <w:rPr>
          <w:rFonts w:ascii="Times New Roman" w:hAnsi="Times New Roman"/>
          <w:sz w:val="28"/>
          <w:szCs w:val="28"/>
        </w:rPr>
        <w:t xml:space="preserve"> the applicants purchas</w:t>
      </w:r>
      <w:r w:rsidR="007444D2">
        <w:rPr>
          <w:rFonts w:ascii="Times New Roman" w:hAnsi="Times New Roman"/>
          <w:sz w:val="28"/>
          <w:szCs w:val="28"/>
        </w:rPr>
        <w:t xml:space="preserve">ing </w:t>
      </w:r>
      <w:r w:rsidR="0029618A">
        <w:rPr>
          <w:rFonts w:ascii="Times New Roman" w:hAnsi="Times New Roman"/>
          <w:sz w:val="28"/>
          <w:szCs w:val="28"/>
        </w:rPr>
        <w:t xml:space="preserve">the property </w:t>
      </w:r>
      <w:r w:rsidR="00D541AB">
        <w:rPr>
          <w:rFonts w:ascii="Times New Roman" w:hAnsi="Times New Roman"/>
          <w:sz w:val="28"/>
          <w:szCs w:val="28"/>
        </w:rPr>
        <w:t xml:space="preserve">lends credence to some sort of </w:t>
      </w:r>
      <w:r w:rsidR="00671F13">
        <w:rPr>
          <w:rFonts w:ascii="Times New Roman" w:hAnsi="Times New Roman"/>
          <w:sz w:val="28"/>
          <w:szCs w:val="28"/>
        </w:rPr>
        <w:t xml:space="preserve">understanding between </w:t>
      </w:r>
      <w:r w:rsidR="0036551B">
        <w:rPr>
          <w:rFonts w:ascii="Times New Roman" w:hAnsi="Times New Roman"/>
          <w:sz w:val="28"/>
          <w:szCs w:val="28"/>
        </w:rPr>
        <w:t>him and Colin Kriel</w:t>
      </w:r>
      <w:r w:rsidR="00F46396">
        <w:rPr>
          <w:rFonts w:ascii="Times New Roman" w:hAnsi="Times New Roman"/>
          <w:sz w:val="28"/>
          <w:szCs w:val="28"/>
        </w:rPr>
        <w:t xml:space="preserve"> that must have been in place</w:t>
      </w:r>
      <w:r w:rsidR="00A232C2">
        <w:rPr>
          <w:rFonts w:ascii="Times New Roman" w:hAnsi="Times New Roman"/>
          <w:sz w:val="28"/>
          <w:szCs w:val="28"/>
        </w:rPr>
        <w:t>.</w:t>
      </w:r>
    </w:p>
    <w:p w14:paraId="1BC4448F" w14:textId="77777777" w:rsidR="00C551E4" w:rsidRDefault="00C551E4" w:rsidP="00C551E4">
      <w:pPr>
        <w:pStyle w:val="ListParagraph"/>
        <w:spacing w:line="360" w:lineRule="auto"/>
        <w:ind w:left="0"/>
        <w:jc w:val="both"/>
        <w:rPr>
          <w:rFonts w:ascii="Times New Roman" w:hAnsi="Times New Roman"/>
          <w:sz w:val="28"/>
          <w:szCs w:val="28"/>
        </w:rPr>
      </w:pPr>
    </w:p>
    <w:p w14:paraId="5386E4C9" w14:textId="2C1094CD" w:rsidR="000568A3" w:rsidRDefault="00A232C2" w:rsidP="000568A3">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fact that </w:t>
      </w:r>
      <w:r w:rsidR="00BF5AE2">
        <w:rPr>
          <w:rFonts w:ascii="Times New Roman" w:hAnsi="Times New Roman"/>
          <w:sz w:val="28"/>
          <w:szCs w:val="28"/>
        </w:rPr>
        <w:t xml:space="preserve">the first respondent was joined in the litigation between </w:t>
      </w:r>
      <w:r w:rsidR="006E09A5">
        <w:rPr>
          <w:rFonts w:ascii="Times New Roman" w:hAnsi="Times New Roman"/>
          <w:sz w:val="28"/>
          <w:szCs w:val="28"/>
        </w:rPr>
        <w:t>Shumayela</w:t>
      </w:r>
      <w:r w:rsidR="00185C68">
        <w:rPr>
          <w:rFonts w:ascii="Times New Roman" w:hAnsi="Times New Roman"/>
          <w:sz w:val="28"/>
          <w:szCs w:val="28"/>
        </w:rPr>
        <w:t xml:space="preserve"> Properties and Kriel family </w:t>
      </w:r>
      <w:r w:rsidR="00836EA8">
        <w:rPr>
          <w:rFonts w:ascii="Times New Roman" w:hAnsi="Times New Roman"/>
          <w:sz w:val="28"/>
          <w:szCs w:val="28"/>
        </w:rPr>
        <w:t>members</w:t>
      </w:r>
      <w:r w:rsidR="00185C68">
        <w:rPr>
          <w:rFonts w:ascii="Times New Roman" w:hAnsi="Times New Roman"/>
          <w:sz w:val="28"/>
          <w:szCs w:val="28"/>
        </w:rPr>
        <w:t xml:space="preserve"> </w:t>
      </w:r>
      <w:r w:rsidR="0007045F">
        <w:rPr>
          <w:rFonts w:ascii="Times New Roman" w:hAnsi="Times New Roman"/>
          <w:sz w:val="28"/>
          <w:szCs w:val="28"/>
        </w:rPr>
        <w:t xml:space="preserve">in </w:t>
      </w:r>
      <w:r w:rsidR="007444D2">
        <w:rPr>
          <w:rFonts w:ascii="Times New Roman" w:hAnsi="Times New Roman"/>
          <w:sz w:val="28"/>
          <w:szCs w:val="28"/>
        </w:rPr>
        <w:t xml:space="preserve">EL </w:t>
      </w:r>
      <w:r w:rsidR="0007045F">
        <w:rPr>
          <w:rFonts w:ascii="Times New Roman" w:hAnsi="Times New Roman"/>
          <w:sz w:val="28"/>
          <w:szCs w:val="28"/>
        </w:rPr>
        <w:t xml:space="preserve">case no </w:t>
      </w:r>
      <w:r w:rsidR="006B2172">
        <w:rPr>
          <w:rFonts w:ascii="Times New Roman" w:hAnsi="Times New Roman"/>
          <w:sz w:val="28"/>
          <w:szCs w:val="28"/>
        </w:rPr>
        <w:t xml:space="preserve">835/16 </w:t>
      </w:r>
      <w:r w:rsidR="0007045F">
        <w:rPr>
          <w:rFonts w:ascii="Times New Roman" w:hAnsi="Times New Roman"/>
          <w:sz w:val="28"/>
          <w:szCs w:val="28"/>
        </w:rPr>
        <w:t xml:space="preserve">also </w:t>
      </w:r>
      <w:r w:rsidR="001D4565">
        <w:rPr>
          <w:rFonts w:ascii="Times New Roman" w:hAnsi="Times New Roman"/>
          <w:sz w:val="28"/>
          <w:szCs w:val="28"/>
        </w:rPr>
        <w:t xml:space="preserve">confirms in principle a recognition </w:t>
      </w:r>
      <w:r w:rsidR="004C0983">
        <w:rPr>
          <w:rFonts w:ascii="Times New Roman" w:hAnsi="Times New Roman"/>
          <w:sz w:val="28"/>
          <w:szCs w:val="28"/>
        </w:rPr>
        <w:t xml:space="preserve">by a court </w:t>
      </w:r>
      <w:r w:rsidR="001D4565">
        <w:rPr>
          <w:rFonts w:ascii="Times New Roman" w:hAnsi="Times New Roman"/>
          <w:sz w:val="28"/>
          <w:szCs w:val="28"/>
        </w:rPr>
        <w:t xml:space="preserve">of </w:t>
      </w:r>
      <w:r w:rsidR="00021A24">
        <w:rPr>
          <w:rFonts w:ascii="Times New Roman" w:hAnsi="Times New Roman"/>
          <w:sz w:val="28"/>
          <w:szCs w:val="28"/>
        </w:rPr>
        <w:t xml:space="preserve">his interest in the property as an occupier, but what exactly the nature of </w:t>
      </w:r>
      <w:r w:rsidR="002C3127">
        <w:rPr>
          <w:rFonts w:ascii="Times New Roman" w:hAnsi="Times New Roman"/>
          <w:sz w:val="28"/>
          <w:szCs w:val="28"/>
        </w:rPr>
        <w:t>that right is</w:t>
      </w:r>
      <w:r w:rsidR="002A7577">
        <w:rPr>
          <w:rFonts w:ascii="Times New Roman" w:hAnsi="Times New Roman"/>
          <w:sz w:val="28"/>
          <w:szCs w:val="28"/>
        </w:rPr>
        <w:t xml:space="preserve"> (or rather what the court was </w:t>
      </w:r>
      <w:r w:rsidR="006F15C2">
        <w:rPr>
          <w:rFonts w:ascii="Times New Roman" w:hAnsi="Times New Roman"/>
          <w:sz w:val="28"/>
          <w:szCs w:val="28"/>
        </w:rPr>
        <w:t>recognizing</w:t>
      </w:r>
      <w:r w:rsidR="002A7577">
        <w:rPr>
          <w:rFonts w:ascii="Times New Roman" w:hAnsi="Times New Roman"/>
          <w:sz w:val="28"/>
          <w:szCs w:val="28"/>
        </w:rPr>
        <w:t xml:space="preserve"> in those proceedings</w:t>
      </w:r>
      <w:r w:rsidR="006F15C2">
        <w:rPr>
          <w:rFonts w:ascii="Times New Roman" w:hAnsi="Times New Roman"/>
          <w:sz w:val="28"/>
          <w:szCs w:val="28"/>
        </w:rPr>
        <w:t xml:space="preserve"> as constituting that “right”)</w:t>
      </w:r>
      <w:r w:rsidR="002C3127">
        <w:rPr>
          <w:rFonts w:ascii="Times New Roman" w:hAnsi="Times New Roman"/>
          <w:sz w:val="28"/>
          <w:szCs w:val="28"/>
        </w:rPr>
        <w:t>, is less clear.</w:t>
      </w:r>
    </w:p>
    <w:p w14:paraId="7903CDC1" w14:textId="77777777" w:rsidR="00D91ECA" w:rsidRDefault="00D91ECA" w:rsidP="00D91ECA">
      <w:pPr>
        <w:pStyle w:val="ListParagraph"/>
        <w:spacing w:line="360" w:lineRule="auto"/>
        <w:ind w:left="0"/>
        <w:jc w:val="both"/>
        <w:rPr>
          <w:rFonts w:ascii="Times New Roman" w:hAnsi="Times New Roman"/>
          <w:sz w:val="28"/>
          <w:szCs w:val="28"/>
        </w:rPr>
      </w:pPr>
    </w:p>
    <w:p w14:paraId="21F9640B" w14:textId="0C654759" w:rsidR="00E9026D" w:rsidRPr="00047C8E" w:rsidRDefault="00AB5D64" w:rsidP="00047C8E">
      <w:pPr>
        <w:pStyle w:val="ListParagraph"/>
        <w:numPr>
          <w:ilvl w:val="0"/>
          <w:numId w:val="3"/>
        </w:numPr>
        <w:spacing w:line="360" w:lineRule="auto"/>
        <w:ind w:left="0" w:firstLine="0"/>
        <w:jc w:val="both"/>
        <w:rPr>
          <w:rFonts w:ascii="Times New Roman" w:hAnsi="Times New Roman"/>
          <w:sz w:val="28"/>
          <w:szCs w:val="28"/>
        </w:rPr>
      </w:pPr>
      <w:r w:rsidRPr="00F05F69">
        <w:rPr>
          <w:rFonts w:ascii="Times New Roman" w:hAnsi="Times New Roman"/>
          <w:sz w:val="28"/>
          <w:szCs w:val="28"/>
        </w:rPr>
        <w:t xml:space="preserve">A contractual lien </w:t>
      </w:r>
      <w:r w:rsidR="00A93371">
        <w:rPr>
          <w:rFonts w:ascii="Times New Roman" w:hAnsi="Times New Roman"/>
          <w:sz w:val="28"/>
          <w:szCs w:val="28"/>
        </w:rPr>
        <w:t xml:space="preserve">against property </w:t>
      </w:r>
      <w:r w:rsidRPr="00F05F69">
        <w:rPr>
          <w:rFonts w:ascii="Times New Roman" w:hAnsi="Times New Roman"/>
          <w:sz w:val="28"/>
          <w:szCs w:val="28"/>
        </w:rPr>
        <w:t xml:space="preserve">serves </w:t>
      </w:r>
      <w:r w:rsidR="00F45556" w:rsidRPr="00F05F69">
        <w:rPr>
          <w:rFonts w:ascii="Times New Roman" w:hAnsi="Times New Roman"/>
          <w:sz w:val="28"/>
          <w:szCs w:val="28"/>
        </w:rPr>
        <w:t>to secure a creditor’s legal claim arising from a contract with the owner</w:t>
      </w:r>
      <w:r w:rsidR="00A93371">
        <w:rPr>
          <w:rFonts w:ascii="Times New Roman" w:hAnsi="Times New Roman"/>
          <w:sz w:val="28"/>
          <w:szCs w:val="28"/>
        </w:rPr>
        <w:t xml:space="preserve"> usually </w:t>
      </w:r>
      <w:r w:rsidR="000917CA">
        <w:rPr>
          <w:rFonts w:ascii="Times New Roman" w:hAnsi="Times New Roman"/>
          <w:sz w:val="28"/>
          <w:szCs w:val="28"/>
        </w:rPr>
        <w:t>pertaining to</w:t>
      </w:r>
      <w:r w:rsidR="0029618A">
        <w:rPr>
          <w:rFonts w:ascii="Times New Roman" w:hAnsi="Times New Roman"/>
          <w:sz w:val="28"/>
          <w:szCs w:val="28"/>
        </w:rPr>
        <w:t xml:space="preserve"> the </w:t>
      </w:r>
      <w:r w:rsidR="001C415D">
        <w:rPr>
          <w:rFonts w:ascii="Times New Roman" w:hAnsi="Times New Roman"/>
          <w:sz w:val="28"/>
          <w:szCs w:val="28"/>
        </w:rPr>
        <w:t>thing</w:t>
      </w:r>
      <w:r w:rsidR="0029618A">
        <w:rPr>
          <w:rFonts w:ascii="Times New Roman" w:hAnsi="Times New Roman"/>
          <w:sz w:val="28"/>
          <w:szCs w:val="28"/>
        </w:rPr>
        <w:t xml:space="preserve"> itself</w:t>
      </w:r>
      <w:r w:rsidR="00F836C0" w:rsidRPr="00047C8E">
        <w:rPr>
          <w:rFonts w:ascii="Times New Roman" w:hAnsi="Times New Roman"/>
          <w:sz w:val="28"/>
          <w:szCs w:val="28"/>
        </w:rPr>
        <w:t xml:space="preserve">.  The lien vests to secure the payment of the contract amount </w:t>
      </w:r>
      <w:r w:rsidR="0028637F" w:rsidRPr="00047C8E">
        <w:rPr>
          <w:rFonts w:ascii="Times New Roman" w:hAnsi="Times New Roman"/>
          <w:sz w:val="28"/>
          <w:szCs w:val="28"/>
        </w:rPr>
        <w:t>and usually concerns</w:t>
      </w:r>
      <w:r w:rsidR="002602D4" w:rsidRPr="00047C8E">
        <w:rPr>
          <w:rFonts w:ascii="Times New Roman" w:hAnsi="Times New Roman"/>
          <w:sz w:val="28"/>
          <w:szCs w:val="28"/>
        </w:rPr>
        <w:t xml:space="preserve"> an obligation arising on the back </w:t>
      </w:r>
      <w:r w:rsidR="00823032" w:rsidRPr="00047C8E">
        <w:rPr>
          <w:rFonts w:ascii="Times New Roman" w:hAnsi="Times New Roman"/>
          <w:sz w:val="28"/>
          <w:szCs w:val="28"/>
        </w:rPr>
        <w:t xml:space="preserve">of improvements </w:t>
      </w:r>
      <w:r w:rsidR="006837E8">
        <w:rPr>
          <w:rFonts w:ascii="Times New Roman" w:hAnsi="Times New Roman"/>
          <w:sz w:val="28"/>
          <w:szCs w:val="28"/>
        </w:rPr>
        <w:t xml:space="preserve">effected </w:t>
      </w:r>
      <w:r w:rsidR="00823032" w:rsidRPr="00047C8E">
        <w:rPr>
          <w:rFonts w:ascii="Times New Roman" w:hAnsi="Times New Roman"/>
          <w:sz w:val="28"/>
          <w:szCs w:val="28"/>
        </w:rPr>
        <w:t>to the property</w:t>
      </w:r>
      <w:r w:rsidR="00531434" w:rsidRPr="00047C8E">
        <w:rPr>
          <w:rFonts w:ascii="Times New Roman" w:hAnsi="Times New Roman"/>
          <w:sz w:val="28"/>
          <w:szCs w:val="28"/>
        </w:rPr>
        <w:t>,</w:t>
      </w:r>
      <w:r w:rsidR="004057A3" w:rsidRPr="00047C8E">
        <w:rPr>
          <w:rFonts w:ascii="Times New Roman" w:hAnsi="Times New Roman"/>
          <w:sz w:val="28"/>
          <w:szCs w:val="28"/>
        </w:rPr>
        <w:t xml:space="preserve"> which situation does not pertain </w:t>
      </w:r>
      <w:r w:rsidR="005603F5" w:rsidRPr="00047C8E">
        <w:rPr>
          <w:rFonts w:ascii="Times New Roman" w:hAnsi="Times New Roman"/>
          <w:sz w:val="28"/>
          <w:szCs w:val="28"/>
        </w:rPr>
        <w:t xml:space="preserve">here </w:t>
      </w:r>
      <w:r w:rsidR="00531434" w:rsidRPr="00047C8E">
        <w:rPr>
          <w:rFonts w:ascii="Times New Roman" w:hAnsi="Times New Roman"/>
          <w:sz w:val="28"/>
          <w:szCs w:val="28"/>
        </w:rPr>
        <w:t>on the first respondent’s version</w:t>
      </w:r>
      <w:r w:rsidR="00514C86" w:rsidRPr="00047C8E">
        <w:rPr>
          <w:rFonts w:ascii="Times New Roman" w:hAnsi="Times New Roman"/>
          <w:sz w:val="28"/>
          <w:szCs w:val="28"/>
        </w:rPr>
        <w:t>.</w:t>
      </w:r>
      <w:r w:rsidR="006113FA">
        <w:rPr>
          <w:rStyle w:val="FootnoteReference"/>
          <w:rFonts w:ascii="Times New Roman" w:hAnsi="Times New Roman"/>
          <w:sz w:val="28"/>
          <w:szCs w:val="28"/>
        </w:rPr>
        <w:footnoteReference w:id="13"/>
      </w:r>
      <w:r w:rsidR="00514C86" w:rsidRPr="00047C8E">
        <w:rPr>
          <w:rFonts w:ascii="Times New Roman" w:hAnsi="Times New Roman"/>
          <w:sz w:val="28"/>
          <w:szCs w:val="28"/>
        </w:rPr>
        <w:t xml:space="preserve">  </w:t>
      </w:r>
      <w:r w:rsidR="00B9784D" w:rsidRPr="00047C8E">
        <w:rPr>
          <w:rFonts w:ascii="Times New Roman" w:hAnsi="Times New Roman"/>
          <w:sz w:val="28"/>
          <w:szCs w:val="28"/>
        </w:rPr>
        <w:t xml:space="preserve">The first respondent seems to suggest that his verbal agreement </w:t>
      </w:r>
      <w:r w:rsidR="00FA0C3C" w:rsidRPr="00047C8E">
        <w:rPr>
          <w:rFonts w:ascii="Times New Roman" w:hAnsi="Times New Roman"/>
          <w:sz w:val="28"/>
          <w:szCs w:val="28"/>
        </w:rPr>
        <w:t xml:space="preserve">with Colin Kriel rather entailed a </w:t>
      </w:r>
      <w:r w:rsidR="002B3DDC" w:rsidRPr="00047C8E">
        <w:rPr>
          <w:rFonts w:ascii="Times New Roman" w:hAnsi="Times New Roman"/>
          <w:sz w:val="28"/>
          <w:szCs w:val="28"/>
        </w:rPr>
        <w:t xml:space="preserve">simple </w:t>
      </w:r>
      <w:r w:rsidR="00FA0C3C" w:rsidRPr="00047C8E">
        <w:rPr>
          <w:rFonts w:ascii="Times New Roman" w:hAnsi="Times New Roman"/>
          <w:sz w:val="28"/>
          <w:szCs w:val="28"/>
        </w:rPr>
        <w:t>ple</w:t>
      </w:r>
      <w:r w:rsidR="00680B2C" w:rsidRPr="00047C8E">
        <w:rPr>
          <w:rFonts w:ascii="Times New Roman" w:hAnsi="Times New Roman"/>
          <w:sz w:val="28"/>
          <w:szCs w:val="28"/>
        </w:rPr>
        <w:t>dge</w:t>
      </w:r>
      <w:r w:rsidR="00927463" w:rsidRPr="00047C8E">
        <w:rPr>
          <w:rFonts w:ascii="Times New Roman" w:hAnsi="Times New Roman"/>
          <w:sz w:val="28"/>
          <w:szCs w:val="28"/>
        </w:rPr>
        <w:t xml:space="preserve"> </w:t>
      </w:r>
      <w:r w:rsidR="003B2655" w:rsidRPr="00047C8E">
        <w:rPr>
          <w:rFonts w:ascii="Times New Roman" w:hAnsi="Times New Roman"/>
          <w:sz w:val="28"/>
          <w:szCs w:val="28"/>
        </w:rPr>
        <w:t xml:space="preserve">of the property </w:t>
      </w:r>
      <w:r w:rsidR="00927463" w:rsidRPr="00047C8E">
        <w:rPr>
          <w:rFonts w:ascii="Times New Roman" w:hAnsi="Times New Roman"/>
          <w:sz w:val="28"/>
          <w:szCs w:val="28"/>
        </w:rPr>
        <w:t>given as security for the latter’s indebtedness to him</w:t>
      </w:r>
      <w:r w:rsidR="00175BB6" w:rsidRPr="00047C8E">
        <w:rPr>
          <w:rFonts w:ascii="Times New Roman" w:hAnsi="Times New Roman"/>
          <w:sz w:val="28"/>
          <w:szCs w:val="28"/>
        </w:rPr>
        <w:t>,</w:t>
      </w:r>
      <w:r w:rsidR="00680B2C" w:rsidRPr="00047C8E">
        <w:rPr>
          <w:rFonts w:ascii="Times New Roman" w:hAnsi="Times New Roman"/>
          <w:sz w:val="28"/>
          <w:szCs w:val="28"/>
        </w:rPr>
        <w:t xml:space="preserve"> which </w:t>
      </w:r>
      <w:r w:rsidR="002B3DDC" w:rsidRPr="00047C8E">
        <w:rPr>
          <w:rFonts w:ascii="Times New Roman" w:hAnsi="Times New Roman"/>
          <w:sz w:val="28"/>
          <w:szCs w:val="28"/>
        </w:rPr>
        <w:t xml:space="preserve">in my opinion </w:t>
      </w:r>
      <w:r w:rsidR="00D22527" w:rsidRPr="00047C8E">
        <w:rPr>
          <w:rFonts w:ascii="Times New Roman" w:hAnsi="Times New Roman"/>
          <w:sz w:val="28"/>
          <w:szCs w:val="28"/>
        </w:rPr>
        <w:t xml:space="preserve">would </w:t>
      </w:r>
      <w:r w:rsidR="00175BB6" w:rsidRPr="00047C8E">
        <w:rPr>
          <w:rFonts w:ascii="Times New Roman" w:hAnsi="Times New Roman"/>
          <w:sz w:val="28"/>
          <w:szCs w:val="28"/>
        </w:rPr>
        <w:t xml:space="preserve">also constitute </w:t>
      </w:r>
      <w:r w:rsidR="00514C86" w:rsidRPr="00047C8E">
        <w:rPr>
          <w:rFonts w:ascii="Times New Roman" w:hAnsi="Times New Roman"/>
          <w:sz w:val="28"/>
          <w:szCs w:val="28"/>
        </w:rPr>
        <w:t>a defence</w:t>
      </w:r>
      <w:r w:rsidR="007C3009" w:rsidRPr="00047C8E">
        <w:rPr>
          <w:rFonts w:ascii="Times New Roman" w:hAnsi="Times New Roman"/>
          <w:sz w:val="28"/>
          <w:szCs w:val="28"/>
        </w:rPr>
        <w:t xml:space="preserve"> against </w:t>
      </w:r>
      <w:r w:rsidR="0029618A" w:rsidRPr="00047C8E">
        <w:rPr>
          <w:rFonts w:ascii="Times New Roman" w:hAnsi="Times New Roman"/>
          <w:sz w:val="28"/>
          <w:szCs w:val="28"/>
        </w:rPr>
        <w:t xml:space="preserve">an </w:t>
      </w:r>
      <w:r w:rsidR="007C3009" w:rsidRPr="00047C8E">
        <w:rPr>
          <w:rFonts w:ascii="Times New Roman" w:hAnsi="Times New Roman"/>
          <w:sz w:val="28"/>
          <w:szCs w:val="28"/>
        </w:rPr>
        <w:t xml:space="preserve">owner’s </w:t>
      </w:r>
      <w:r w:rsidR="007C3009" w:rsidRPr="00047C8E">
        <w:rPr>
          <w:rFonts w:ascii="Times New Roman" w:hAnsi="Times New Roman"/>
          <w:i/>
          <w:iCs/>
          <w:sz w:val="28"/>
          <w:szCs w:val="28"/>
        </w:rPr>
        <w:t>rei vindicatio</w:t>
      </w:r>
      <w:r w:rsidR="007C3009" w:rsidRPr="00047C8E">
        <w:rPr>
          <w:rFonts w:ascii="Times New Roman" w:hAnsi="Times New Roman"/>
          <w:sz w:val="28"/>
          <w:szCs w:val="28"/>
        </w:rPr>
        <w:t xml:space="preserve"> </w:t>
      </w:r>
      <w:r w:rsidR="004E6834" w:rsidRPr="00047C8E">
        <w:rPr>
          <w:rFonts w:ascii="Times New Roman" w:hAnsi="Times New Roman"/>
          <w:sz w:val="28"/>
          <w:szCs w:val="28"/>
        </w:rPr>
        <w:t xml:space="preserve">or establish a superior right to occupation of the property in </w:t>
      </w:r>
      <w:r w:rsidR="0029618A" w:rsidRPr="00047C8E">
        <w:rPr>
          <w:rFonts w:ascii="Times New Roman" w:hAnsi="Times New Roman"/>
          <w:sz w:val="28"/>
          <w:szCs w:val="28"/>
        </w:rPr>
        <w:t>such a</w:t>
      </w:r>
      <w:r w:rsidR="004E6834" w:rsidRPr="00047C8E">
        <w:rPr>
          <w:rFonts w:ascii="Times New Roman" w:hAnsi="Times New Roman"/>
          <w:sz w:val="28"/>
          <w:szCs w:val="28"/>
        </w:rPr>
        <w:t xml:space="preserve"> unique scenario.</w:t>
      </w:r>
      <w:r w:rsidR="003B2655" w:rsidRPr="00047C8E">
        <w:rPr>
          <w:rFonts w:ascii="Times New Roman" w:hAnsi="Times New Roman"/>
          <w:sz w:val="28"/>
          <w:szCs w:val="28"/>
        </w:rPr>
        <w:t xml:space="preserve"> </w:t>
      </w:r>
      <w:r w:rsidR="00DA63A1" w:rsidRPr="00047C8E">
        <w:rPr>
          <w:rFonts w:ascii="Times New Roman" w:hAnsi="Times New Roman"/>
          <w:sz w:val="28"/>
          <w:szCs w:val="28"/>
        </w:rPr>
        <w:t xml:space="preserve">Liens and pledges can be enforced </w:t>
      </w:r>
      <w:r w:rsidR="002A378F" w:rsidRPr="00047C8E">
        <w:rPr>
          <w:rFonts w:ascii="Times New Roman" w:hAnsi="Times New Roman"/>
          <w:sz w:val="28"/>
          <w:szCs w:val="28"/>
        </w:rPr>
        <w:t xml:space="preserve">against a </w:t>
      </w:r>
      <w:r w:rsidR="002A378F" w:rsidRPr="00047C8E">
        <w:rPr>
          <w:rFonts w:ascii="Times New Roman" w:hAnsi="Times New Roman"/>
          <w:sz w:val="28"/>
          <w:szCs w:val="28"/>
        </w:rPr>
        <w:lastRenderedPageBreak/>
        <w:t xml:space="preserve">curator of an insolvent estate </w:t>
      </w:r>
      <w:r w:rsidR="00C62F52" w:rsidRPr="00047C8E">
        <w:rPr>
          <w:rFonts w:ascii="Times New Roman" w:hAnsi="Times New Roman"/>
          <w:sz w:val="28"/>
          <w:szCs w:val="28"/>
        </w:rPr>
        <w:t xml:space="preserve">as well as against </w:t>
      </w:r>
      <w:r w:rsidR="00D63660" w:rsidRPr="00047C8E">
        <w:rPr>
          <w:rFonts w:ascii="Times New Roman" w:hAnsi="Times New Roman"/>
          <w:sz w:val="28"/>
          <w:szCs w:val="28"/>
        </w:rPr>
        <w:t>the owner’s successor in title</w:t>
      </w:r>
      <w:r w:rsidR="00722A32" w:rsidRPr="00047C8E">
        <w:rPr>
          <w:rFonts w:ascii="Times New Roman" w:hAnsi="Times New Roman"/>
          <w:sz w:val="28"/>
          <w:szCs w:val="28"/>
        </w:rPr>
        <w:t>.</w:t>
      </w:r>
      <w:r w:rsidR="009F1131">
        <w:rPr>
          <w:rStyle w:val="FootnoteReference"/>
          <w:rFonts w:ascii="Times New Roman" w:hAnsi="Times New Roman"/>
          <w:sz w:val="28"/>
          <w:szCs w:val="28"/>
        </w:rPr>
        <w:footnoteReference w:id="14"/>
      </w:r>
      <w:r w:rsidR="00722A32" w:rsidRPr="00047C8E">
        <w:rPr>
          <w:rFonts w:ascii="Times New Roman" w:hAnsi="Times New Roman"/>
          <w:sz w:val="28"/>
          <w:szCs w:val="28"/>
        </w:rPr>
        <w:t xml:space="preserve">  In this instance and on the applicants’ own showing it could not have escaped their </w:t>
      </w:r>
      <w:r w:rsidR="00096EA1" w:rsidRPr="00047C8E">
        <w:rPr>
          <w:rFonts w:ascii="Times New Roman" w:hAnsi="Times New Roman"/>
          <w:sz w:val="28"/>
          <w:szCs w:val="28"/>
        </w:rPr>
        <w:t xml:space="preserve">attention when they purchased the property from Colin Kriel that the first respondent </w:t>
      </w:r>
      <w:r w:rsidR="00BD3C33" w:rsidRPr="00047C8E">
        <w:rPr>
          <w:rFonts w:ascii="Times New Roman" w:hAnsi="Times New Roman"/>
          <w:sz w:val="28"/>
          <w:szCs w:val="28"/>
        </w:rPr>
        <w:t xml:space="preserve">was asserting a right of retention </w:t>
      </w:r>
      <w:r w:rsidR="00F96542" w:rsidRPr="00047C8E">
        <w:rPr>
          <w:rFonts w:ascii="Times New Roman" w:hAnsi="Times New Roman"/>
          <w:sz w:val="28"/>
          <w:szCs w:val="28"/>
        </w:rPr>
        <w:t xml:space="preserve">in respect </w:t>
      </w:r>
      <w:r w:rsidR="00BD3C33" w:rsidRPr="00047C8E">
        <w:rPr>
          <w:rFonts w:ascii="Times New Roman" w:hAnsi="Times New Roman"/>
          <w:sz w:val="28"/>
          <w:szCs w:val="28"/>
        </w:rPr>
        <w:t xml:space="preserve">of the property relative </w:t>
      </w:r>
      <w:r w:rsidR="00C90851" w:rsidRPr="00047C8E">
        <w:rPr>
          <w:rFonts w:ascii="Times New Roman" w:hAnsi="Times New Roman"/>
          <w:sz w:val="28"/>
          <w:szCs w:val="28"/>
        </w:rPr>
        <w:t>to Colin Kriel’s claimed indebtedness to him</w:t>
      </w:r>
      <w:r w:rsidR="00F1378A" w:rsidRPr="00047C8E">
        <w:rPr>
          <w:rFonts w:ascii="Times New Roman" w:hAnsi="Times New Roman"/>
          <w:sz w:val="28"/>
          <w:szCs w:val="28"/>
        </w:rPr>
        <w:t xml:space="preserve">. </w:t>
      </w:r>
      <w:r w:rsidR="008C7B68" w:rsidRPr="00047C8E">
        <w:rPr>
          <w:rFonts w:ascii="Times New Roman" w:hAnsi="Times New Roman"/>
          <w:sz w:val="28"/>
          <w:szCs w:val="28"/>
        </w:rPr>
        <w:t>This would have been evident from the</w:t>
      </w:r>
      <w:r w:rsidR="00C57B5E" w:rsidRPr="00047C8E">
        <w:rPr>
          <w:rFonts w:ascii="Times New Roman" w:hAnsi="Times New Roman"/>
          <w:sz w:val="28"/>
          <w:szCs w:val="28"/>
        </w:rPr>
        <w:t xml:space="preserve"> pending </w:t>
      </w:r>
      <w:r w:rsidR="00AC1FB0" w:rsidRPr="00047C8E">
        <w:rPr>
          <w:rFonts w:ascii="Times New Roman" w:hAnsi="Times New Roman"/>
          <w:sz w:val="28"/>
          <w:szCs w:val="28"/>
        </w:rPr>
        <w:t>litigation</w:t>
      </w:r>
      <w:r w:rsidR="0003476A" w:rsidRPr="00047C8E">
        <w:rPr>
          <w:rFonts w:ascii="Times New Roman" w:hAnsi="Times New Roman"/>
          <w:sz w:val="28"/>
          <w:szCs w:val="28"/>
        </w:rPr>
        <w:t xml:space="preserve"> but</w:t>
      </w:r>
      <w:r w:rsidR="00922111" w:rsidRPr="00047C8E">
        <w:rPr>
          <w:rFonts w:ascii="Times New Roman" w:hAnsi="Times New Roman"/>
          <w:sz w:val="28"/>
          <w:szCs w:val="28"/>
        </w:rPr>
        <w:t xml:space="preserve"> would also have been apparent from </w:t>
      </w:r>
      <w:r w:rsidR="00037CC9" w:rsidRPr="00047C8E">
        <w:rPr>
          <w:rFonts w:ascii="Times New Roman" w:hAnsi="Times New Roman"/>
          <w:sz w:val="28"/>
          <w:szCs w:val="28"/>
        </w:rPr>
        <w:t xml:space="preserve">paragraph 4 of </w:t>
      </w:r>
      <w:r w:rsidR="0025332B" w:rsidRPr="00047C8E">
        <w:rPr>
          <w:rFonts w:ascii="Times New Roman" w:hAnsi="Times New Roman"/>
          <w:sz w:val="28"/>
          <w:szCs w:val="28"/>
        </w:rPr>
        <w:t>this</w:t>
      </w:r>
      <w:r w:rsidR="00922111" w:rsidRPr="00047C8E">
        <w:rPr>
          <w:rFonts w:ascii="Times New Roman" w:hAnsi="Times New Roman"/>
          <w:sz w:val="28"/>
          <w:szCs w:val="28"/>
        </w:rPr>
        <w:t xml:space="preserve"> court’s </w:t>
      </w:r>
      <w:r w:rsidR="0025332B" w:rsidRPr="00047C8E">
        <w:rPr>
          <w:rFonts w:ascii="Times New Roman" w:hAnsi="Times New Roman"/>
          <w:sz w:val="28"/>
          <w:szCs w:val="28"/>
        </w:rPr>
        <w:t>further Order</w:t>
      </w:r>
      <w:r w:rsidR="00B02C2B" w:rsidRPr="00047C8E">
        <w:rPr>
          <w:rFonts w:ascii="Times New Roman" w:hAnsi="Times New Roman"/>
          <w:sz w:val="28"/>
          <w:szCs w:val="28"/>
        </w:rPr>
        <w:t xml:space="preserve"> which a conveyancer in the position of </w:t>
      </w:r>
      <w:r w:rsidR="00865C07" w:rsidRPr="00047C8E">
        <w:rPr>
          <w:rFonts w:ascii="Times New Roman" w:hAnsi="Times New Roman"/>
          <w:sz w:val="28"/>
          <w:szCs w:val="28"/>
        </w:rPr>
        <w:t xml:space="preserve">the second applicant </w:t>
      </w:r>
      <w:r w:rsidR="00693CE1" w:rsidRPr="00047C8E">
        <w:rPr>
          <w:rFonts w:ascii="Times New Roman" w:hAnsi="Times New Roman"/>
          <w:sz w:val="28"/>
          <w:szCs w:val="28"/>
        </w:rPr>
        <w:t>preparing conveyancing documents</w:t>
      </w:r>
      <w:r w:rsidR="009A3B16" w:rsidRPr="00047C8E">
        <w:rPr>
          <w:rFonts w:ascii="Times New Roman" w:hAnsi="Times New Roman"/>
          <w:sz w:val="28"/>
          <w:szCs w:val="28"/>
        </w:rPr>
        <w:t xml:space="preserve"> </w:t>
      </w:r>
      <w:r w:rsidR="003E61D0" w:rsidRPr="00047C8E">
        <w:rPr>
          <w:rFonts w:ascii="Times New Roman" w:hAnsi="Times New Roman"/>
          <w:sz w:val="28"/>
          <w:szCs w:val="28"/>
        </w:rPr>
        <w:t>in respect of</w:t>
      </w:r>
      <w:r w:rsidR="009A3B16" w:rsidRPr="00047C8E">
        <w:rPr>
          <w:rFonts w:ascii="Times New Roman" w:hAnsi="Times New Roman"/>
          <w:sz w:val="28"/>
          <w:szCs w:val="28"/>
        </w:rPr>
        <w:t xml:space="preserve"> the sale of the property </w:t>
      </w:r>
      <w:r w:rsidR="00B70E0D" w:rsidRPr="00047C8E">
        <w:rPr>
          <w:rFonts w:ascii="Times New Roman" w:hAnsi="Times New Roman"/>
          <w:sz w:val="28"/>
          <w:szCs w:val="28"/>
        </w:rPr>
        <w:t xml:space="preserve">to her and her husband </w:t>
      </w:r>
      <w:r w:rsidR="00D91ECA" w:rsidRPr="00047C8E">
        <w:rPr>
          <w:rFonts w:ascii="Times New Roman" w:hAnsi="Times New Roman"/>
          <w:sz w:val="28"/>
          <w:szCs w:val="28"/>
        </w:rPr>
        <w:t xml:space="preserve">would have been especially </w:t>
      </w:r>
      <w:r w:rsidR="0003476A" w:rsidRPr="00047C8E">
        <w:rPr>
          <w:rFonts w:ascii="Times New Roman" w:hAnsi="Times New Roman"/>
          <w:sz w:val="28"/>
          <w:szCs w:val="28"/>
        </w:rPr>
        <w:t xml:space="preserve">required to </w:t>
      </w:r>
      <w:r w:rsidR="005F51CC" w:rsidRPr="00047C8E">
        <w:rPr>
          <w:rFonts w:ascii="Times New Roman" w:hAnsi="Times New Roman"/>
          <w:sz w:val="28"/>
          <w:szCs w:val="28"/>
        </w:rPr>
        <w:t>take heed of</w:t>
      </w:r>
      <w:r w:rsidR="00D91ECA" w:rsidRPr="00047C8E">
        <w:rPr>
          <w:rFonts w:ascii="Times New Roman" w:hAnsi="Times New Roman"/>
          <w:sz w:val="28"/>
          <w:szCs w:val="28"/>
        </w:rPr>
        <w:t>.</w:t>
      </w:r>
      <w:r w:rsidR="000423A0" w:rsidRPr="00047C8E">
        <w:rPr>
          <w:rFonts w:ascii="Times New Roman" w:hAnsi="Times New Roman"/>
          <w:sz w:val="28"/>
          <w:szCs w:val="28"/>
        </w:rPr>
        <w:t xml:space="preserve"> </w:t>
      </w:r>
    </w:p>
    <w:p w14:paraId="777FC871" w14:textId="77777777" w:rsidR="00B04F97" w:rsidRPr="00F05F69" w:rsidRDefault="00D91ECA" w:rsidP="00E9026D">
      <w:pPr>
        <w:pStyle w:val="ListParagraph"/>
        <w:spacing w:line="360" w:lineRule="auto"/>
        <w:ind w:left="0"/>
        <w:jc w:val="both"/>
        <w:rPr>
          <w:rFonts w:ascii="Times New Roman" w:hAnsi="Times New Roman"/>
          <w:sz w:val="28"/>
          <w:szCs w:val="28"/>
        </w:rPr>
      </w:pPr>
      <w:r w:rsidRPr="00F05F69">
        <w:rPr>
          <w:rFonts w:ascii="Times New Roman" w:hAnsi="Times New Roman"/>
          <w:sz w:val="28"/>
          <w:szCs w:val="28"/>
        </w:rPr>
        <w:t xml:space="preserve"> </w:t>
      </w:r>
      <w:r w:rsidR="00B94119" w:rsidRPr="00F05F69">
        <w:rPr>
          <w:rFonts w:ascii="Times New Roman" w:hAnsi="Times New Roman"/>
          <w:sz w:val="28"/>
          <w:szCs w:val="28"/>
        </w:rPr>
        <w:t xml:space="preserve"> </w:t>
      </w:r>
    </w:p>
    <w:p w14:paraId="7C399E11" w14:textId="77777777" w:rsidR="00057DEB" w:rsidRDefault="00CB26D8"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T</w:t>
      </w:r>
      <w:r w:rsidR="00B04F97">
        <w:rPr>
          <w:rFonts w:ascii="Times New Roman" w:hAnsi="Times New Roman"/>
          <w:sz w:val="28"/>
          <w:szCs w:val="28"/>
        </w:rPr>
        <w:t xml:space="preserve">he first respondent </w:t>
      </w:r>
      <w:r>
        <w:rPr>
          <w:rFonts w:ascii="Times New Roman" w:hAnsi="Times New Roman"/>
          <w:sz w:val="28"/>
          <w:szCs w:val="28"/>
        </w:rPr>
        <w:t xml:space="preserve">(who I will assume for present purposes </w:t>
      </w:r>
      <w:r w:rsidR="0023048B">
        <w:rPr>
          <w:rFonts w:ascii="Times New Roman" w:hAnsi="Times New Roman"/>
          <w:sz w:val="28"/>
          <w:szCs w:val="28"/>
        </w:rPr>
        <w:t xml:space="preserve">bears the onus to establish </w:t>
      </w:r>
      <w:r w:rsidR="00036A4D">
        <w:rPr>
          <w:rFonts w:ascii="Times New Roman" w:hAnsi="Times New Roman"/>
          <w:sz w:val="28"/>
          <w:szCs w:val="28"/>
        </w:rPr>
        <w:t>the claimed lien to remain in possession of the property</w:t>
      </w:r>
      <w:r w:rsidR="00CD4EE8">
        <w:rPr>
          <w:rFonts w:ascii="Times New Roman" w:hAnsi="Times New Roman"/>
          <w:sz w:val="28"/>
          <w:szCs w:val="28"/>
        </w:rPr>
        <w:t xml:space="preserve">) </w:t>
      </w:r>
      <w:r w:rsidR="00B04F97">
        <w:rPr>
          <w:rFonts w:ascii="Times New Roman" w:hAnsi="Times New Roman"/>
          <w:sz w:val="28"/>
          <w:szCs w:val="28"/>
        </w:rPr>
        <w:t xml:space="preserve">is </w:t>
      </w:r>
      <w:r w:rsidR="00946692">
        <w:rPr>
          <w:rFonts w:ascii="Times New Roman" w:hAnsi="Times New Roman"/>
          <w:sz w:val="28"/>
          <w:szCs w:val="28"/>
        </w:rPr>
        <w:t xml:space="preserve">indeed </w:t>
      </w:r>
      <w:r w:rsidR="00B04F97">
        <w:rPr>
          <w:rFonts w:ascii="Times New Roman" w:hAnsi="Times New Roman"/>
          <w:sz w:val="28"/>
          <w:szCs w:val="28"/>
        </w:rPr>
        <w:t xml:space="preserve">vague about his commercial interest in the property and </w:t>
      </w:r>
      <w:r w:rsidR="00CD4EE8">
        <w:rPr>
          <w:rFonts w:ascii="Times New Roman" w:hAnsi="Times New Roman"/>
          <w:sz w:val="28"/>
          <w:szCs w:val="28"/>
        </w:rPr>
        <w:t xml:space="preserve">the </w:t>
      </w:r>
      <w:r w:rsidR="002E7F8F">
        <w:rPr>
          <w:rFonts w:ascii="Times New Roman" w:hAnsi="Times New Roman"/>
          <w:sz w:val="28"/>
          <w:szCs w:val="28"/>
        </w:rPr>
        <w:t>sta</w:t>
      </w:r>
      <w:r w:rsidR="00375ED5">
        <w:rPr>
          <w:rFonts w:ascii="Times New Roman" w:hAnsi="Times New Roman"/>
          <w:sz w:val="28"/>
          <w:szCs w:val="28"/>
        </w:rPr>
        <w:t xml:space="preserve">tus of his loan to </w:t>
      </w:r>
      <w:r w:rsidR="00B04F97">
        <w:rPr>
          <w:rFonts w:ascii="Times New Roman" w:hAnsi="Times New Roman"/>
          <w:sz w:val="28"/>
          <w:szCs w:val="28"/>
        </w:rPr>
        <w:t>Colin Kriel</w:t>
      </w:r>
      <w:r w:rsidR="00B45DB8">
        <w:rPr>
          <w:rFonts w:ascii="Times New Roman" w:hAnsi="Times New Roman"/>
          <w:sz w:val="28"/>
          <w:szCs w:val="28"/>
        </w:rPr>
        <w:t xml:space="preserve">. </w:t>
      </w:r>
      <w:r w:rsidR="00B04F97">
        <w:rPr>
          <w:rFonts w:ascii="Times New Roman" w:hAnsi="Times New Roman"/>
          <w:sz w:val="28"/>
          <w:szCs w:val="28"/>
        </w:rPr>
        <w:t xml:space="preserve"> </w:t>
      </w:r>
      <w:r w:rsidR="00A60598">
        <w:rPr>
          <w:rFonts w:ascii="Times New Roman" w:hAnsi="Times New Roman"/>
          <w:sz w:val="28"/>
          <w:szCs w:val="28"/>
        </w:rPr>
        <w:t>T</w:t>
      </w:r>
      <w:r w:rsidR="00B04F97">
        <w:rPr>
          <w:rFonts w:ascii="Times New Roman" w:hAnsi="Times New Roman"/>
          <w:sz w:val="28"/>
          <w:szCs w:val="28"/>
        </w:rPr>
        <w:t xml:space="preserve">he present extent of </w:t>
      </w:r>
      <w:r w:rsidR="00D071AF">
        <w:rPr>
          <w:rFonts w:ascii="Times New Roman" w:hAnsi="Times New Roman"/>
          <w:sz w:val="28"/>
          <w:szCs w:val="28"/>
        </w:rPr>
        <w:t xml:space="preserve">Colin Kriel’s </w:t>
      </w:r>
      <w:r w:rsidR="00A60598">
        <w:rPr>
          <w:rFonts w:ascii="Times New Roman" w:hAnsi="Times New Roman"/>
          <w:sz w:val="28"/>
          <w:szCs w:val="28"/>
        </w:rPr>
        <w:t xml:space="preserve">indebtedness to him </w:t>
      </w:r>
      <w:r w:rsidR="00B04F97">
        <w:rPr>
          <w:rFonts w:ascii="Times New Roman" w:hAnsi="Times New Roman"/>
          <w:sz w:val="28"/>
          <w:szCs w:val="28"/>
        </w:rPr>
        <w:t xml:space="preserve">is not mentioned anywhere, neither the minutiae of </w:t>
      </w:r>
      <w:r w:rsidR="00A60598">
        <w:rPr>
          <w:rFonts w:ascii="Times New Roman" w:hAnsi="Times New Roman"/>
          <w:sz w:val="28"/>
          <w:szCs w:val="28"/>
        </w:rPr>
        <w:t xml:space="preserve">the </w:t>
      </w:r>
      <w:r w:rsidR="00B04F97">
        <w:rPr>
          <w:rFonts w:ascii="Times New Roman" w:hAnsi="Times New Roman"/>
          <w:sz w:val="28"/>
          <w:szCs w:val="28"/>
        </w:rPr>
        <w:t xml:space="preserve">oral agreement or what the expectation was regarding the value of his occupation of the property </w:t>
      </w:r>
      <w:r w:rsidR="006C5B55">
        <w:rPr>
          <w:rFonts w:ascii="Times New Roman" w:hAnsi="Times New Roman"/>
          <w:sz w:val="28"/>
          <w:szCs w:val="28"/>
        </w:rPr>
        <w:t xml:space="preserve">(if any) </w:t>
      </w:r>
      <w:r w:rsidR="00A20510">
        <w:rPr>
          <w:rFonts w:ascii="Times New Roman" w:hAnsi="Times New Roman"/>
          <w:sz w:val="28"/>
          <w:szCs w:val="28"/>
        </w:rPr>
        <w:t>since</w:t>
      </w:r>
      <w:r w:rsidR="00B04F97">
        <w:rPr>
          <w:rFonts w:ascii="Times New Roman" w:hAnsi="Times New Roman"/>
          <w:sz w:val="28"/>
          <w:szCs w:val="28"/>
        </w:rPr>
        <w:t xml:space="preserve"> he </w:t>
      </w:r>
      <w:r w:rsidR="001549BD">
        <w:rPr>
          <w:rFonts w:ascii="Times New Roman" w:hAnsi="Times New Roman"/>
          <w:sz w:val="28"/>
          <w:szCs w:val="28"/>
        </w:rPr>
        <w:t xml:space="preserve">took </w:t>
      </w:r>
      <w:r w:rsidR="00656D6E">
        <w:rPr>
          <w:rFonts w:ascii="Times New Roman" w:hAnsi="Times New Roman"/>
          <w:sz w:val="28"/>
          <w:szCs w:val="28"/>
        </w:rPr>
        <w:t xml:space="preserve">possession of it </w:t>
      </w:r>
      <w:r w:rsidR="001549BD">
        <w:rPr>
          <w:rFonts w:ascii="Times New Roman" w:hAnsi="Times New Roman"/>
          <w:sz w:val="28"/>
          <w:szCs w:val="28"/>
        </w:rPr>
        <w:t xml:space="preserve">in </w:t>
      </w:r>
      <w:r w:rsidR="00B04F97">
        <w:rPr>
          <w:rFonts w:ascii="Times New Roman" w:hAnsi="Times New Roman"/>
          <w:sz w:val="28"/>
          <w:szCs w:val="28"/>
        </w:rPr>
        <w:t>2016</w:t>
      </w:r>
      <w:r w:rsidR="005407A8">
        <w:rPr>
          <w:rFonts w:ascii="Times New Roman" w:hAnsi="Times New Roman"/>
          <w:sz w:val="28"/>
          <w:szCs w:val="28"/>
        </w:rPr>
        <w:t>. However</w:t>
      </w:r>
      <w:r w:rsidR="00DD4233">
        <w:rPr>
          <w:rFonts w:ascii="Times New Roman" w:hAnsi="Times New Roman"/>
          <w:sz w:val="28"/>
          <w:szCs w:val="28"/>
        </w:rPr>
        <w:t>,</w:t>
      </w:r>
      <w:r w:rsidR="005407A8">
        <w:rPr>
          <w:rFonts w:ascii="Times New Roman" w:hAnsi="Times New Roman"/>
          <w:sz w:val="28"/>
          <w:szCs w:val="28"/>
        </w:rPr>
        <w:t xml:space="preserve"> </w:t>
      </w:r>
      <w:r w:rsidR="0052797B">
        <w:rPr>
          <w:rFonts w:ascii="Times New Roman" w:hAnsi="Times New Roman"/>
          <w:sz w:val="28"/>
          <w:szCs w:val="28"/>
        </w:rPr>
        <w:t xml:space="preserve">he </w:t>
      </w:r>
      <w:r w:rsidR="00DD4233">
        <w:rPr>
          <w:rFonts w:ascii="Times New Roman" w:hAnsi="Times New Roman"/>
          <w:sz w:val="28"/>
          <w:szCs w:val="28"/>
        </w:rPr>
        <w:t>defers</w:t>
      </w:r>
      <w:r w:rsidR="009358CB">
        <w:rPr>
          <w:rFonts w:ascii="Times New Roman" w:hAnsi="Times New Roman"/>
          <w:sz w:val="28"/>
          <w:szCs w:val="28"/>
        </w:rPr>
        <w:t xml:space="preserve"> to the </w:t>
      </w:r>
      <w:r w:rsidR="00DD4233">
        <w:rPr>
          <w:rFonts w:ascii="Times New Roman" w:hAnsi="Times New Roman"/>
          <w:sz w:val="28"/>
          <w:szCs w:val="28"/>
        </w:rPr>
        <w:t>pending litigation</w:t>
      </w:r>
      <w:r w:rsidR="00D64DB7">
        <w:rPr>
          <w:rFonts w:ascii="Times New Roman" w:hAnsi="Times New Roman"/>
          <w:sz w:val="28"/>
          <w:szCs w:val="28"/>
        </w:rPr>
        <w:t xml:space="preserve"> </w:t>
      </w:r>
      <w:r w:rsidR="00CD68EA">
        <w:rPr>
          <w:rFonts w:ascii="Times New Roman" w:hAnsi="Times New Roman"/>
          <w:sz w:val="28"/>
          <w:szCs w:val="28"/>
        </w:rPr>
        <w:t xml:space="preserve">in </w:t>
      </w:r>
      <w:r w:rsidR="00084CE4">
        <w:rPr>
          <w:rFonts w:ascii="Times New Roman" w:hAnsi="Times New Roman"/>
          <w:sz w:val="28"/>
          <w:szCs w:val="28"/>
        </w:rPr>
        <w:t xml:space="preserve">the </w:t>
      </w:r>
      <w:r w:rsidR="00CD68EA">
        <w:rPr>
          <w:rFonts w:ascii="Times New Roman" w:hAnsi="Times New Roman"/>
          <w:sz w:val="28"/>
          <w:szCs w:val="28"/>
        </w:rPr>
        <w:t xml:space="preserve">East London </w:t>
      </w:r>
      <w:r w:rsidR="00084CE4">
        <w:rPr>
          <w:rFonts w:ascii="Times New Roman" w:hAnsi="Times New Roman"/>
          <w:sz w:val="28"/>
          <w:szCs w:val="28"/>
        </w:rPr>
        <w:t xml:space="preserve">action </w:t>
      </w:r>
      <w:r w:rsidR="00A6108E">
        <w:rPr>
          <w:rFonts w:ascii="Times New Roman" w:hAnsi="Times New Roman"/>
          <w:sz w:val="28"/>
          <w:szCs w:val="28"/>
        </w:rPr>
        <w:t xml:space="preserve">under </w:t>
      </w:r>
      <w:r w:rsidR="00CD68EA">
        <w:rPr>
          <w:rFonts w:ascii="Times New Roman" w:hAnsi="Times New Roman"/>
          <w:sz w:val="28"/>
          <w:szCs w:val="28"/>
        </w:rPr>
        <w:t xml:space="preserve">Case No. 381/2019 </w:t>
      </w:r>
      <w:r w:rsidR="00D64DB7">
        <w:rPr>
          <w:rFonts w:ascii="Times New Roman" w:hAnsi="Times New Roman"/>
          <w:sz w:val="28"/>
          <w:szCs w:val="28"/>
        </w:rPr>
        <w:t>between him and Colin Kriel</w:t>
      </w:r>
      <w:r w:rsidR="00CF74E8">
        <w:rPr>
          <w:rFonts w:ascii="Times New Roman" w:hAnsi="Times New Roman"/>
          <w:sz w:val="28"/>
          <w:szCs w:val="28"/>
        </w:rPr>
        <w:t xml:space="preserve">, </w:t>
      </w:r>
      <w:r w:rsidR="00A8234E">
        <w:rPr>
          <w:rFonts w:ascii="Times New Roman" w:hAnsi="Times New Roman"/>
          <w:sz w:val="28"/>
          <w:szCs w:val="28"/>
        </w:rPr>
        <w:t xml:space="preserve">which </w:t>
      </w:r>
      <w:r w:rsidR="00C70599">
        <w:rPr>
          <w:rFonts w:ascii="Times New Roman" w:hAnsi="Times New Roman"/>
          <w:sz w:val="28"/>
          <w:szCs w:val="28"/>
        </w:rPr>
        <w:t xml:space="preserve">ostensibly </w:t>
      </w:r>
      <w:r w:rsidR="00A8234E">
        <w:rPr>
          <w:rFonts w:ascii="Times New Roman" w:hAnsi="Times New Roman"/>
          <w:sz w:val="28"/>
          <w:szCs w:val="28"/>
        </w:rPr>
        <w:t xml:space="preserve">involves the </w:t>
      </w:r>
      <w:r w:rsidR="00D071AF">
        <w:rPr>
          <w:rFonts w:ascii="Times New Roman" w:hAnsi="Times New Roman"/>
          <w:sz w:val="28"/>
          <w:szCs w:val="28"/>
        </w:rPr>
        <w:t>self-same</w:t>
      </w:r>
      <w:r w:rsidR="00A8234E">
        <w:rPr>
          <w:rFonts w:ascii="Times New Roman" w:hAnsi="Times New Roman"/>
          <w:sz w:val="28"/>
          <w:szCs w:val="28"/>
        </w:rPr>
        <w:t xml:space="preserve"> issues </w:t>
      </w:r>
      <w:r w:rsidR="00441E4A">
        <w:rPr>
          <w:rFonts w:ascii="Times New Roman" w:hAnsi="Times New Roman"/>
          <w:sz w:val="28"/>
          <w:szCs w:val="28"/>
        </w:rPr>
        <w:t xml:space="preserve">between them concerning whether his right to remain in possession of the property </w:t>
      </w:r>
      <w:r w:rsidR="00134B6F">
        <w:rPr>
          <w:rFonts w:ascii="Times New Roman" w:hAnsi="Times New Roman"/>
          <w:sz w:val="28"/>
          <w:szCs w:val="28"/>
        </w:rPr>
        <w:t>prevails against</w:t>
      </w:r>
      <w:r w:rsidR="00C70599">
        <w:rPr>
          <w:rFonts w:ascii="Times New Roman" w:hAnsi="Times New Roman"/>
          <w:sz w:val="28"/>
          <w:szCs w:val="28"/>
        </w:rPr>
        <w:t xml:space="preserve"> </w:t>
      </w:r>
      <w:r w:rsidR="007C1059">
        <w:rPr>
          <w:rFonts w:ascii="Times New Roman" w:hAnsi="Times New Roman"/>
          <w:sz w:val="28"/>
          <w:szCs w:val="28"/>
        </w:rPr>
        <w:t>the owner’s right to recover lost possession</w:t>
      </w:r>
      <w:r w:rsidR="008C7B3E">
        <w:rPr>
          <w:rFonts w:ascii="Times New Roman" w:hAnsi="Times New Roman"/>
          <w:sz w:val="28"/>
          <w:szCs w:val="28"/>
        </w:rPr>
        <w:t xml:space="preserve">, no doubt with the applicants joined </w:t>
      </w:r>
      <w:r w:rsidR="00AF521E">
        <w:rPr>
          <w:rFonts w:ascii="Times New Roman" w:hAnsi="Times New Roman"/>
          <w:sz w:val="28"/>
          <w:szCs w:val="28"/>
        </w:rPr>
        <w:t>or substituted in that matter</w:t>
      </w:r>
      <w:r w:rsidR="00DC5E8B">
        <w:rPr>
          <w:rFonts w:ascii="Times New Roman" w:hAnsi="Times New Roman"/>
          <w:sz w:val="28"/>
          <w:szCs w:val="28"/>
        </w:rPr>
        <w:t xml:space="preserve"> as the new owners</w:t>
      </w:r>
      <w:r w:rsidR="002B737D">
        <w:rPr>
          <w:rFonts w:ascii="Times New Roman" w:hAnsi="Times New Roman"/>
          <w:sz w:val="28"/>
          <w:szCs w:val="28"/>
        </w:rPr>
        <w:t>.</w:t>
      </w:r>
      <w:r w:rsidR="00391B34">
        <w:rPr>
          <w:rStyle w:val="FootnoteReference"/>
          <w:rFonts w:ascii="Times New Roman" w:hAnsi="Times New Roman"/>
          <w:sz w:val="28"/>
          <w:szCs w:val="28"/>
        </w:rPr>
        <w:footnoteReference w:id="15"/>
      </w:r>
      <w:r w:rsidR="002B737D">
        <w:rPr>
          <w:rFonts w:ascii="Times New Roman" w:hAnsi="Times New Roman"/>
          <w:sz w:val="28"/>
          <w:szCs w:val="28"/>
        </w:rPr>
        <w:t xml:space="preserve">  </w:t>
      </w:r>
      <w:r w:rsidR="00787D97">
        <w:rPr>
          <w:rFonts w:ascii="Times New Roman" w:hAnsi="Times New Roman"/>
          <w:sz w:val="28"/>
          <w:szCs w:val="28"/>
        </w:rPr>
        <w:t>I</w:t>
      </w:r>
      <w:r w:rsidR="00B63798">
        <w:rPr>
          <w:rFonts w:ascii="Times New Roman" w:hAnsi="Times New Roman"/>
          <w:sz w:val="28"/>
          <w:szCs w:val="28"/>
        </w:rPr>
        <w:t>ndeed</w:t>
      </w:r>
      <w:r w:rsidR="005B2CD7">
        <w:rPr>
          <w:rFonts w:ascii="Times New Roman" w:hAnsi="Times New Roman"/>
          <w:sz w:val="28"/>
          <w:szCs w:val="28"/>
        </w:rPr>
        <w:t xml:space="preserve"> I</w:t>
      </w:r>
      <w:r w:rsidR="00787D97">
        <w:rPr>
          <w:rFonts w:ascii="Times New Roman" w:hAnsi="Times New Roman"/>
          <w:sz w:val="28"/>
          <w:szCs w:val="28"/>
        </w:rPr>
        <w:t xml:space="preserve"> share</w:t>
      </w:r>
      <w:r w:rsidR="005C0728">
        <w:rPr>
          <w:rFonts w:ascii="Times New Roman" w:hAnsi="Times New Roman"/>
          <w:sz w:val="28"/>
          <w:szCs w:val="28"/>
        </w:rPr>
        <w:t xml:space="preserve"> his view that the applicants</w:t>
      </w:r>
      <w:r w:rsidR="00947847">
        <w:rPr>
          <w:rFonts w:ascii="Times New Roman" w:hAnsi="Times New Roman"/>
          <w:sz w:val="28"/>
          <w:szCs w:val="28"/>
        </w:rPr>
        <w:t xml:space="preserve"> have “jumped the gun</w:t>
      </w:r>
      <w:r w:rsidR="001874EA">
        <w:rPr>
          <w:rFonts w:ascii="Times New Roman" w:hAnsi="Times New Roman"/>
          <w:sz w:val="28"/>
          <w:szCs w:val="28"/>
        </w:rPr>
        <w:t>”</w:t>
      </w:r>
      <w:r w:rsidR="00947847">
        <w:rPr>
          <w:rFonts w:ascii="Times New Roman" w:hAnsi="Times New Roman"/>
          <w:sz w:val="28"/>
          <w:szCs w:val="28"/>
        </w:rPr>
        <w:t xml:space="preserve"> and prematurely brought </w:t>
      </w:r>
      <w:r w:rsidR="00095597">
        <w:rPr>
          <w:rFonts w:ascii="Times New Roman" w:hAnsi="Times New Roman"/>
          <w:sz w:val="28"/>
          <w:szCs w:val="28"/>
        </w:rPr>
        <w:t xml:space="preserve">the present application </w:t>
      </w:r>
      <w:r w:rsidR="00D65AF5">
        <w:rPr>
          <w:rFonts w:ascii="Times New Roman" w:hAnsi="Times New Roman"/>
          <w:sz w:val="28"/>
          <w:szCs w:val="28"/>
        </w:rPr>
        <w:t xml:space="preserve">before the pending action between </w:t>
      </w:r>
      <w:r w:rsidR="001874EA">
        <w:rPr>
          <w:rFonts w:ascii="Times New Roman" w:hAnsi="Times New Roman"/>
          <w:sz w:val="28"/>
          <w:szCs w:val="28"/>
        </w:rPr>
        <w:t xml:space="preserve">Colin Kriel and </w:t>
      </w:r>
      <w:r w:rsidR="006B3689">
        <w:rPr>
          <w:rFonts w:ascii="Times New Roman" w:hAnsi="Times New Roman"/>
          <w:sz w:val="28"/>
          <w:szCs w:val="28"/>
        </w:rPr>
        <w:t>him h</w:t>
      </w:r>
      <w:r w:rsidR="00057DEB">
        <w:rPr>
          <w:rFonts w:ascii="Times New Roman" w:hAnsi="Times New Roman"/>
          <w:sz w:val="28"/>
          <w:szCs w:val="28"/>
        </w:rPr>
        <w:t>as been finalized.</w:t>
      </w:r>
    </w:p>
    <w:p w14:paraId="4971FEAB" w14:textId="77777777" w:rsidR="00057DEB" w:rsidRPr="00057DEB" w:rsidRDefault="00057DEB" w:rsidP="00057DEB">
      <w:pPr>
        <w:pStyle w:val="ListParagraph"/>
        <w:rPr>
          <w:rFonts w:ascii="Times New Roman" w:hAnsi="Times New Roman"/>
          <w:sz w:val="28"/>
          <w:szCs w:val="28"/>
        </w:rPr>
      </w:pPr>
    </w:p>
    <w:p w14:paraId="3543AFC7" w14:textId="1F88629E" w:rsidR="00B04F97" w:rsidRDefault="00787D97"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 </w:t>
      </w:r>
      <w:r w:rsidR="001D35DC">
        <w:rPr>
          <w:rFonts w:ascii="Times New Roman" w:hAnsi="Times New Roman"/>
          <w:sz w:val="28"/>
          <w:szCs w:val="28"/>
        </w:rPr>
        <w:t>In my</w:t>
      </w:r>
      <w:r w:rsidR="00AF521E">
        <w:rPr>
          <w:rFonts w:ascii="Times New Roman" w:hAnsi="Times New Roman"/>
          <w:sz w:val="28"/>
          <w:szCs w:val="28"/>
        </w:rPr>
        <w:t xml:space="preserve"> view</w:t>
      </w:r>
      <w:r w:rsidR="000340DB">
        <w:rPr>
          <w:rFonts w:ascii="Times New Roman" w:hAnsi="Times New Roman"/>
          <w:sz w:val="28"/>
          <w:szCs w:val="28"/>
        </w:rPr>
        <w:t xml:space="preserve"> </w:t>
      </w:r>
      <w:r w:rsidR="002B737D">
        <w:rPr>
          <w:rFonts w:ascii="Times New Roman" w:hAnsi="Times New Roman"/>
          <w:sz w:val="28"/>
          <w:szCs w:val="28"/>
        </w:rPr>
        <w:t xml:space="preserve">all the elements </w:t>
      </w:r>
      <w:r w:rsidR="00611CBA">
        <w:rPr>
          <w:rFonts w:ascii="Times New Roman" w:hAnsi="Times New Roman"/>
          <w:sz w:val="28"/>
          <w:szCs w:val="28"/>
        </w:rPr>
        <w:t xml:space="preserve">of a successful plea of </w:t>
      </w:r>
      <w:r w:rsidR="00611CBA" w:rsidRPr="00084CE4">
        <w:rPr>
          <w:rFonts w:ascii="Times New Roman" w:hAnsi="Times New Roman"/>
          <w:i/>
          <w:iCs/>
          <w:sz w:val="28"/>
          <w:szCs w:val="28"/>
        </w:rPr>
        <w:t>lis pendens</w:t>
      </w:r>
      <w:r w:rsidR="000340DB">
        <w:rPr>
          <w:rFonts w:ascii="Times New Roman" w:hAnsi="Times New Roman"/>
          <w:sz w:val="28"/>
          <w:szCs w:val="28"/>
        </w:rPr>
        <w:t xml:space="preserve"> </w:t>
      </w:r>
      <w:r w:rsidR="00611CBA">
        <w:rPr>
          <w:rFonts w:ascii="Times New Roman" w:hAnsi="Times New Roman"/>
          <w:sz w:val="28"/>
          <w:szCs w:val="28"/>
        </w:rPr>
        <w:t xml:space="preserve">avail the </w:t>
      </w:r>
      <w:r w:rsidR="000340DB">
        <w:rPr>
          <w:rFonts w:ascii="Times New Roman" w:hAnsi="Times New Roman"/>
          <w:sz w:val="28"/>
          <w:szCs w:val="28"/>
        </w:rPr>
        <w:t xml:space="preserve">first respondent </w:t>
      </w:r>
      <w:r w:rsidR="00086FD3">
        <w:rPr>
          <w:rFonts w:ascii="Times New Roman" w:hAnsi="Times New Roman"/>
          <w:sz w:val="28"/>
          <w:szCs w:val="28"/>
        </w:rPr>
        <w:t xml:space="preserve">in the circumstances and given </w:t>
      </w:r>
      <w:r w:rsidR="00AF6B2D">
        <w:rPr>
          <w:rFonts w:ascii="Times New Roman" w:hAnsi="Times New Roman"/>
          <w:sz w:val="28"/>
          <w:szCs w:val="28"/>
        </w:rPr>
        <w:t xml:space="preserve">his reservations that the applicants </w:t>
      </w:r>
      <w:r w:rsidR="00A62308">
        <w:rPr>
          <w:rFonts w:ascii="Times New Roman" w:hAnsi="Times New Roman"/>
          <w:sz w:val="28"/>
          <w:szCs w:val="28"/>
        </w:rPr>
        <w:t>purpo</w:t>
      </w:r>
      <w:r w:rsidR="008845AC">
        <w:rPr>
          <w:rFonts w:ascii="Times New Roman" w:hAnsi="Times New Roman"/>
          <w:sz w:val="28"/>
          <w:szCs w:val="28"/>
        </w:rPr>
        <w:t>rted</w:t>
      </w:r>
      <w:r w:rsidR="00AF6B2D">
        <w:rPr>
          <w:rFonts w:ascii="Times New Roman" w:hAnsi="Times New Roman"/>
          <w:sz w:val="28"/>
          <w:szCs w:val="28"/>
        </w:rPr>
        <w:t xml:space="preserve"> to defeat his right of retention </w:t>
      </w:r>
      <w:r w:rsidR="00A62308">
        <w:rPr>
          <w:rFonts w:ascii="Times New Roman" w:hAnsi="Times New Roman"/>
          <w:sz w:val="28"/>
          <w:szCs w:val="28"/>
        </w:rPr>
        <w:t xml:space="preserve">by </w:t>
      </w:r>
      <w:r w:rsidR="00CD2CD8">
        <w:rPr>
          <w:rFonts w:ascii="Times New Roman" w:hAnsi="Times New Roman"/>
          <w:sz w:val="28"/>
          <w:szCs w:val="28"/>
        </w:rPr>
        <w:t xml:space="preserve">purchasing the property from Colin Kriel whilst knowing full well </w:t>
      </w:r>
      <w:r w:rsidR="00924C30">
        <w:rPr>
          <w:rFonts w:ascii="Times New Roman" w:hAnsi="Times New Roman"/>
          <w:sz w:val="28"/>
          <w:szCs w:val="28"/>
        </w:rPr>
        <w:t xml:space="preserve">that he was claiming a lien or pledge over </w:t>
      </w:r>
      <w:r w:rsidR="00BF6991">
        <w:rPr>
          <w:rFonts w:ascii="Times New Roman" w:hAnsi="Times New Roman"/>
          <w:sz w:val="28"/>
          <w:szCs w:val="28"/>
        </w:rPr>
        <w:t xml:space="preserve">it </w:t>
      </w:r>
      <w:r w:rsidR="00C53376">
        <w:rPr>
          <w:rFonts w:ascii="Times New Roman" w:hAnsi="Times New Roman"/>
          <w:sz w:val="28"/>
          <w:szCs w:val="28"/>
        </w:rPr>
        <w:t>(a concern not unreasonably held by him)</w:t>
      </w:r>
      <w:r w:rsidR="00AB04D7">
        <w:rPr>
          <w:rFonts w:ascii="Times New Roman" w:hAnsi="Times New Roman"/>
          <w:sz w:val="28"/>
          <w:szCs w:val="28"/>
        </w:rPr>
        <w:t xml:space="preserve">, it appears to me to be </w:t>
      </w:r>
      <w:r w:rsidR="00CE1576">
        <w:rPr>
          <w:rFonts w:ascii="Times New Roman" w:hAnsi="Times New Roman"/>
          <w:sz w:val="28"/>
          <w:szCs w:val="28"/>
        </w:rPr>
        <w:t>appropriate</w:t>
      </w:r>
      <w:r w:rsidR="00AB04D7">
        <w:rPr>
          <w:rFonts w:ascii="Times New Roman" w:hAnsi="Times New Roman"/>
          <w:sz w:val="28"/>
          <w:szCs w:val="28"/>
        </w:rPr>
        <w:t xml:space="preserve"> that the </w:t>
      </w:r>
      <w:r w:rsidR="00045BF0">
        <w:rPr>
          <w:rFonts w:ascii="Times New Roman" w:hAnsi="Times New Roman"/>
          <w:sz w:val="28"/>
          <w:szCs w:val="28"/>
        </w:rPr>
        <w:t>applicants</w:t>
      </w:r>
      <w:r w:rsidR="00AB04D7">
        <w:rPr>
          <w:rFonts w:ascii="Times New Roman" w:hAnsi="Times New Roman"/>
          <w:sz w:val="28"/>
          <w:szCs w:val="28"/>
        </w:rPr>
        <w:t xml:space="preserve"> </w:t>
      </w:r>
      <w:r w:rsidR="00DC5C36">
        <w:rPr>
          <w:rFonts w:ascii="Times New Roman" w:hAnsi="Times New Roman"/>
          <w:sz w:val="28"/>
          <w:szCs w:val="28"/>
        </w:rPr>
        <w:t xml:space="preserve">involve themselves in </w:t>
      </w:r>
      <w:r w:rsidR="00AB04D7">
        <w:rPr>
          <w:rFonts w:ascii="Times New Roman" w:hAnsi="Times New Roman"/>
          <w:sz w:val="28"/>
          <w:szCs w:val="28"/>
        </w:rPr>
        <w:t xml:space="preserve">the finalization of the </w:t>
      </w:r>
      <w:r w:rsidR="008845AC">
        <w:rPr>
          <w:rFonts w:ascii="Times New Roman" w:hAnsi="Times New Roman"/>
          <w:sz w:val="28"/>
          <w:szCs w:val="28"/>
        </w:rPr>
        <w:t xml:space="preserve">pending </w:t>
      </w:r>
      <w:r w:rsidR="00AB04D7">
        <w:rPr>
          <w:rFonts w:ascii="Times New Roman" w:hAnsi="Times New Roman"/>
          <w:sz w:val="28"/>
          <w:szCs w:val="28"/>
        </w:rPr>
        <w:t>action</w:t>
      </w:r>
      <w:r w:rsidR="00DC5C36">
        <w:rPr>
          <w:rFonts w:ascii="Times New Roman" w:hAnsi="Times New Roman"/>
          <w:sz w:val="28"/>
          <w:szCs w:val="28"/>
        </w:rPr>
        <w:t>. No doubt</w:t>
      </w:r>
      <w:r w:rsidR="00AB04D7">
        <w:rPr>
          <w:rFonts w:ascii="Times New Roman" w:hAnsi="Times New Roman"/>
          <w:sz w:val="28"/>
          <w:szCs w:val="28"/>
        </w:rPr>
        <w:t xml:space="preserve"> the matter can </w:t>
      </w:r>
      <w:r w:rsidR="00DB2D53">
        <w:rPr>
          <w:rFonts w:ascii="Times New Roman" w:hAnsi="Times New Roman"/>
          <w:sz w:val="28"/>
          <w:szCs w:val="28"/>
        </w:rPr>
        <w:t xml:space="preserve">also </w:t>
      </w:r>
      <w:r w:rsidR="00AB04D7">
        <w:rPr>
          <w:rFonts w:ascii="Times New Roman" w:hAnsi="Times New Roman"/>
          <w:sz w:val="28"/>
          <w:szCs w:val="28"/>
        </w:rPr>
        <w:t xml:space="preserve">be </w:t>
      </w:r>
      <w:r w:rsidR="00B64037">
        <w:rPr>
          <w:rFonts w:ascii="Times New Roman" w:hAnsi="Times New Roman"/>
          <w:sz w:val="28"/>
          <w:szCs w:val="28"/>
        </w:rPr>
        <w:t>resolved</w:t>
      </w:r>
      <w:r w:rsidR="00AB04D7">
        <w:rPr>
          <w:rFonts w:ascii="Times New Roman" w:hAnsi="Times New Roman"/>
          <w:sz w:val="28"/>
          <w:szCs w:val="28"/>
        </w:rPr>
        <w:t xml:space="preserve"> earlier</w:t>
      </w:r>
      <w:r w:rsidR="00814C74">
        <w:rPr>
          <w:rFonts w:ascii="Times New Roman" w:hAnsi="Times New Roman"/>
          <w:sz w:val="28"/>
          <w:szCs w:val="28"/>
        </w:rPr>
        <w:t xml:space="preserve"> by </w:t>
      </w:r>
      <w:r w:rsidR="00535298">
        <w:rPr>
          <w:rFonts w:ascii="Times New Roman" w:hAnsi="Times New Roman"/>
          <w:sz w:val="28"/>
          <w:szCs w:val="28"/>
        </w:rPr>
        <w:t xml:space="preserve">the debt which is the subject matter of the pledge or lien </w:t>
      </w:r>
      <w:r w:rsidR="00EC1207">
        <w:rPr>
          <w:rFonts w:ascii="Times New Roman" w:hAnsi="Times New Roman"/>
          <w:sz w:val="28"/>
          <w:szCs w:val="28"/>
        </w:rPr>
        <w:t>be</w:t>
      </w:r>
      <w:r w:rsidR="00DB2D53">
        <w:rPr>
          <w:rFonts w:ascii="Times New Roman" w:hAnsi="Times New Roman"/>
          <w:sz w:val="28"/>
          <w:szCs w:val="28"/>
        </w:rPr>
        <w:t>i</w:t>
      </w:r>
      <w:r w:rsidR="00EC1207">
        <w:rPr>
          <w:rFonts w:ascii="Times New Roman" w:hAnsi="Times New Roman"/>
          <w:sz w:val="28"/>
          <w:szCs w:val="28"/>
        </w:rPr>
        <w:t>n</w:t>
      </w:r>
      <w:r w:rsidR="00DB2D53">
        <w:rPr>
          <w:rFonts w:ascii="Times New Roman" w:hAnsi="Times New Roman"/>
          <w:sz w:val="28"/>
          <w:szCs w:val="28"/>
        </w:rPr>
        <w:t>g</w:t>
      </w:r>
      <w:r w:rsidR="00EC1207">
        <w:rPr>
          <w:rFonts w:ascii="Times New Roman" w:hAnsi="Times New Roman"/>
          <w:sz w:val="28"/>
          <w:szCs w:val="28"/>
        </w:rPr>
        <w:t xml:space="preserve"> settled or secured to the first respondent’s satisfaction.</w:t>
      </w:r>
      <w:r w:rsidR="00AB04D7">
        <w:rPr>
          <w:rFonts w:ascii="Times New Roman" w:hAnsi="Times New Roman"/>
          <w:sz w:val="28"/>
          <w:szCs w:val="28"/>
        </w:rPr>
        <w:t xml:space="preserve"> </w:t>
      </w:r>
    </w:p>
    <w:p w14:paraId="00BB2DFA" w14:textId="77777777" w:rsidR="00B04F97" w:rsidRPr="00B04F97" w:rsidRDefault="00B04F97" w:rsidP="00B04F97">
      <w:pPr>
        <w:pStyle w:val="ListParagraph"/>
        <w:rPr>
          <w:rFonts w:ascii="Times New Roman" w:hAnsi="Times New Roman"/>
          <w:sz w:val="28"/>
          <w:szCs w:val="28"/>
        </w:rPr>
      </w:pPr>
    </w:p>
    <w:p w14:paraId="27DF8AA4" w14:textId="69F6ADD2" w:rsidR="00B04F97" w:rsidRPr="003A04FC" w:rsidRDefault="005868DF" w:rsidP="00D4380F">
      <w:pPr>
        <w:pStyle w:val="ListParagraph"/>
        <w:numPr>
          <w:ilvl w:val="0"/>
          <w:numId w:val="3"/>
        </w:numPr>
        <w:spacing w:line="360" w:lineRule="auto"/>
        <w:ind w:left="0" w:firstLine="0"/>
        <w:jc w:val="both"/>
        <w:rPr>
          <w:rFonts w:ascii="Times New Roman" w:hAnsi="Times New Roman"/>
          <w:sz w:val="28"/>
          <w:szCs w:val="28"/>
        </w:rPr>
      </w:pPr>
      <w:r w:rsidRPr="007448DA">
        <w:rPr>
          <w:rFonts w:ascii="Times New Roman" w:eastAsia="Times New Roman" w:hAnsi="Times New Roman"/>
          <w:color w:val="000000"/>
          <w:sz w:val="28"/>
          <w:szCs w:val="28"/>
          <w:lang w:eastAsia="en-ZA"/>
        </w:rPr>
        <w:t xml:space="preserve">In given circumstances, </w:t>
      </w:r>
      <w:r w:rsidR="008845AC">
        <w:rPr>
          <w:rFonts w:ascii="Times New Roman" w:eastAsia="Times New Roman" w:hAnsi="Times New Roman"/>
          <w:color w:val="000000"/>
          <w:sz w:val="28"/>
          <w:szCs w:val="28"/>
          <w:lang w:eastAsia="en-ZA"/>
        </w:rPr>
        <w:t xml:space="preserve">a </w:t>
      </w:r>
      <w:r w:rsidRPr="007448DA">
        <w:rPr>
          <w:rFonts w:ascii="Times New Roman" w:eastAsia="Times New Roman" w:hAnsi="Times New Roman"/>
          <w:color w:val="000000"/>
          <w:sz w:val="28"/>
          <w:szCs w:val="28"/>
          <w:lang w:eastAsia="en-ZA"/>
        </w:rPr>
        <w:t xml:space="preserve">court </w:t>
      </w:r>
      <w:r w:rsidR="008845AC">
        <w:rPr>
          <w:rFonts w:ascii="Times New Roman" w:eastAsia="Times New Roman" w:hAnsi="Times New Roman"/>
          <w:color w:val="000000"/>
          <w:sz w:val="28"/>
          <w:szCs w:val="28"/>
          <w:lang w:eastAsia="en-ZA"/>
        </w:rPr>
        <w:t>can and should</w:t>
      </w:r>
      <w:r w:rsidRPr="007448DA">
        <w:rPr>
          <w:rFonts w:ascii="Times New Roman" w:eastAsia="Times New Roman" w:hAnsi="Times New Roman"/>
          <w:color w:val="000000"/>
          <w:sz w:val="28"/>
          <w:szCs w:val="28"/>
          <w:lang w:eastAsia="en-ZA"/>
        </w:rPr>
        <w:t xml:space="preserve"> stay eviction proceedings if the outcome of other proceedings </w:t>
      </w:r>
      <w:r w:rsidR="007448DA" w:rsidRPr="007448DA">
        <w:rPr>
          <w:rFonts w:ascii="Times New Roman" w:eastAsia="Times New Roman" w:hAnsi="Times New Roman"/>
          <w:color w:val="000000"/>
          <w:sz w:val="28"/>
          <w:szCs w:val="28"/>
          <w:lang w:eastAsia="en-ZA"/>
        </w:rPr>
        <w:t>impacts</w:t>
      </w:r>
      <w:r w:rsidRPr="007448DA">
        <w:rPr>
          <w:rFonts w:ascii="Times New Roman" w:eastAsia="Times New Roman" w:hAnsi="Times New Roman"/>
          <w:color w:val="000000"/>
          <w:sz w:val="28"/>
          <w:szCs w:val="28"/>
          <w:lang w:eastAsia="en-ZA"/>
        </w:rPr>
        <w:t xml:space="preserve"> the merits of the eviction or, if factual disputes</w:t>
      </w:r>
      <w:r w:rsidR="008845AC">
        <w:rPr>
          <w:rFonts w:ascii="Times New Roman" w:eastAsia="Times New Roman" w:hAnsi="Times New Roman"/>
          <w:color w:val="000000"/>
          <w:sz w:val="28"/>
          <w:szCs w:val="28"/>
          <w:lang w:eastAsia="en-ZA"/>
        </w:rPr>
        <w:t xml:space="preserve"> raised on the papers </w:t>
      </w:r>
      <w:r w:rsidR="008845AC" w:rsidRPr="007448DA">
        <w:rPr>
          <w:rFonts w:ascii="Times New Roman" w:eastAsia="Times New Roman" w:hAnsi="Times New Roman"/>
          <w:color w:val="000000"/>
          <w:sz w:val="28"/>
          <w:szCs w:val="28"/>
          <w:lang w:eastAsia="en-ZA"/>
        </w:rPr>
        <w:t>can</w:t>
      </w:r>
      <w:r w:rsidRPr="007448DA">
        <w:rPr>
          <w:rFonts w:ascii="Times New Roman" w:eastAsia="Times New Roman" w:hAnsi="Times New Roman"/>
          <w:color w:val="000000"/>
          <w:sz w:val="28"/>
          <w:szCs w:val="28"/>
          <w:lang w:eastAsia="en-ZA"/>
        </w:rPr>
        <w:t xml:space="preserve"> only be resolved by oral evidence.</w:t>
      </w:r>
      <w:r w:rsidR="007448DA" w:rsidRPr="007448DA">
        <w:rPr>
          <w:rStyle w:val="FootnoteReference"/>
          <w:rFonts w:ascii="Times New Roman" w:eastAsia="Times New Roman" w:hAnsi="Times New Roman"/>
          <w:color w:val="000000"/>
          <w:sz w:val="28"/>
          <w:szCs w:val="28"/>
          <w:lang w:eastAsia="en-ZA"/>
        </w:rPr>
        <w:footnoteReference w:id="16"/>
      </w:r>
      <w:r w:rsidR="00C33A9B">
        <w:rPr>
          <w:rFonts w:ascii="Times New Roman" w:eastAsia="Times New Roman" w:hAnsi="Times New Roman"/>
          <w:color w:val="000000"/>
          <w:sz w:val="28"/>
          <w:szCs w:val="28"/>
          <w:lang w:eastAsia="en-ZA"/>
        </w:rPr>
        <w:t xml:space="preserve"> </w:t>
      </w:r>
      <w:r w:rsidR="00BE5ED1">
        <w:rPr>
          <w:rFonts w:ascii="Times New Roman" w:eastAsia="Times New Roman" w:hAnsi="Times New Roman"/>
          <w:color w:val="000000"/>
          <w:sz w:val="28"/>
          <w:szCs w:val="28"/>
          <w:lang w:eastAsia="en-ZA"/>
        </w:rPr>
        <w:t xml:space="preserve">Either or both situations apply </w:t>
      </w:r>
      <w:r w:rsidR="00BE5ED1" w:rsidRPr="00BE5ED1">
        <w:rPr>
          <w:rFonts w:ascii="Times New Roman" w:eastAsia="Times New Roman" w:hAnsi="Times New Roman"/>
          <w:i/>
          <w:iCs/>
          <w:color w:val="000000"/>
          <w:sz w:val="28"/>
          <w:szCs w:val="28"/>
          <w:lang w:eastAsia="en-ZA"/>
        </w:rPr>
        <w:t>in casu</w:t>
      </w:r>
      <w:r w:rsidR="00BE5ED1">
        <w:rPr>
          <w:rFonts w:ascii="Times New Roman" w:eastAsia="Times New Roman" w:hAnsi="Times New Roman"/>
          <w:color w:val="000000"/>
          <w:sz w:val="28"/>
          <w:szCs w:val="28"/>
          <w:lang w:eastAsia="en-ZA"/>
        </w:rPr>
        <w:t xml:space="preserve">. </w:t>
      </w:r>
      <w:r w:rsidR="00C558A0">
        <w:rPr>
          <w:rFonts w:ascii="Times New Roman" w:eastAsia="Times New Roman" w:hAnsi="Times New Roman"/>
          <w:color w:val="000000"/>
          <w:sz w:val="28"/>
          <w:szCs w:val="28"/>
          <w:lang w:eastAsia="en-ZA"/>
        </w:rPr>
        <w:t>I c</w:t>
      </w:r>
      <w:r w:rsidR="00013F1F">
        <w:rPr>
          <w:rFonts w:ascii="Times New Roman" w:eastAsia="Times New Roman" w:hAnsi="Times New Roman"/>
          <w:color w:val="000000"/>
          <w:sz w:val="28"/>
          <w:szCs w:val="28"/>
          <w:lang w:eastAsia="en-ZA"/>
        </w:rPr>
        <w:t xml:space="preserve">annot </w:t>
      </w:r>
      <w:r w:rsidR="00464D8A">
        <w:rPr>
          <w:rFonts w:ascii="Times New Roman" w:eastAsia="Times New Roman" w:hAnsi="Times New Roman"/>
          <w:color w:val="000000"/>
          <w:sz w:val="28"/>
          <w:szCs w:val="28"/>
          <w:lang w:eastAsia="en-ZA"/>
        </w:rPr>
        <w:t xml:space="preserve">determine </w:t>
      </w:r>
      <w:r w:rsidR="005D6CF2">
        <w:rPr>
          <w:rFonts w:ascii="Times New Roman" w:eastAsia="Times New Roman" w:hAnsi="Times New Roman"/>
          <w:color w:val="000000"/>
          <w:sz w:val="28"/>
          <w:szCs w:val="28"/>
          <w:lang w:eastAsia="en-ZA"/>
        </w:rPr>
        <w:t>the issue whether the first respondent is an unlawful occupier</w:t>
      </w:r>
      <w:r w:rsidR="00464D8A">
        <w:rPr>
          <w:rFonts w:ascii="Times New Roman" w:eastAsia="Times New Roman" w:hAnsi="Times New Roman"/>
          <w:color w:val="000000"/>
          <w:sz w:val="28"/>
          <w:szCs w:val="28"/>
          <w:lang w:eastAsia="en-ZA"/>
        </w:rPr>
        <w:t xml:space="preserve"> on motion</w:t>
      </w:r>
      <w:r w:rsidR="00E17739">
        <w:rPr>
          <w:rFonts w:ascii="Times New Roman" w:eastAsia="Times New Roman" w:hAnsi="Times New Roman"/>
          <w:color w:val="000000"/>
          <w:sz w:val="28"/>
          <w:szCs w:val="28"/>
          <w:lang w:eastAsia="en-ZA"/>
        </w:rPr>
        <w:t xml:space="preserve"> (especially since the applicants have not entirely taken this court into their co</w:t>
      </w:r>
      <w:r w:rsidR="00670A52">
        <w:rPr>
          <w:rFonts w:ascii="Times New Roman" w:eastAsia="Times New Roman" w:hAnsi="Times New Roman"/>
          <w:color w:val="000000"/>
          <w:sz w:val="28"/>
          <w:szCs w:val="28"/>
          <w:lang w:eastAsia="en-ZA"/>
        </w:rPr>
        <w:t>nfidence)</w:t>
      </w:r>
      <w:r w:rsidR="006E14EC">
        <w:rPr>
          <w:rFonts w:ascii="Times New Roman" w:eastAsia="Times New Roman" w:hAnsi="Times New Roman"/>
          <w:color w:val="000000"/>
          <w:sz w:val="28"/>
          <w:szCs w:val="28"/>
          <w:lang w:eastAsia="en-ZA"/>
        </w:rPr>
        <w:t xml:space="preserve"> neither can I find that </w:t>
      </w:r>
      <w:r w:rsidR="001402E6">
        <w:rPr>
          <w:rFonts w:ascii="Times New Roman" w:eastAsia="Times New Roman" w:hAnsi="Times New Roman"/>
          <w:color w:val="000000"/>
          <w:sz w:val="28"/>
          <w:szCs w:val="28"/>
          <w:lang w:eastAsia="en-ZA"/>
        </w:rPr>
        <w:t>the p</w:t>
      </w:r>
      <w:r w:rsidR="007D74AD">
        <w:rPr>
          <w:rFonts w:ascii="Times New Roman" w:eastAsia="Times New Roman" w:hAnsi="Times New Roman"/>
          <w:color w:val="000000"/>
          <w:sz w:val="28"/>
          <w:szCs w:val="28"/>
          <w:lang w:eastAsia="en-ZA"/>
        </w:rPr>
        <w:t xml:space="preserve">ending litigation between </w:t>
      </w:r>
      <w:r w:rsidR="00014B21">
        <w:rPr>
          <w:rFonts w:ascii="Times New Roman" w:eastAsia="Times New Roman" w:hAnsi="Times New Roman"/>
          <w:color w:val="000000"/>
          <w:sz w:val="28"/>
          <w:szCs w:val="28"/>
          <w:lang w:eastAsia="en-ZA"/>
        </w:rPr>
        <w:t>Colin Kriel and the first respondent is legal</w:t>
      </w:r>
      <w:r w:rsidR="005E0412">
        <w:rPr>
          <w:rFonts w:ascii="Times New Roman" w:eastAsia="Times New Roman" w:hAnsi="Times New Roman"/>
          <w:color w:val="000000"/>
          <w:sz w:val="28"/>
          <w:szCs w:val="28"/>
          <w:lang w:eastAsia="en-ZA"/>
        </w:rPr>
        <w:t>ly</w:t>
      </w:r>
      <w:r w:rsidR="00014B21">
        <w:rPr>
          <w:rFonts w:ascii="Times New Roman" w:eastAsia="Times New Roman" w:hAnsi="Times New Roman"/>
          <w:color w:val="000000"/>
          <w:sz w:val="28"/>
          <w:szCs w:val="28"/>
          <w:lang w:eastAsia="en-ZA"/>
        </w:rPr>
        <w:t xml:space="preserve"> irrelevant.  To the contrary</w:t>
      </w:r>
      <w:r w:rsidR="005E0412">
        <w:rPr>
          <w:rFonts w:ascii="Times New Roman" w:eastAsia="Times New Roman" w:hAnsi="Times New Roman"/>
          <w:color w:val="000000"/>
          <w:sz w:val="28"/>
          <w:szCs w:val="28"/>
          <w:lang w:eastAsia="en-ZA"/>
        </w:rPr>
        <w:t xml:space="preserve">, </w:t>
      </w:r>
      <w:r w:rsidR="00AE2873">
        <w:rPr>
          <w:rFonts w:ascii="Times New Roman" w:eastAsia="Times New Roman" w:hAnsi="Times New Roman"/>
          <w:color w:val="000000"/>
          <w:sz w:val="28"/>
          <w:szCs w:val="28"/>
          <w:lang w:eastAsia="en-ZA"/>
        </w:rPr>
        <w:t xml:space="preserve">and according to the doctrine of notice, the applicants </w:t>
      </w:r>
      <w:r w:rsidR="00412DF4">
        <w:rPr>
          <w:rFonts w:ascii="Times New Roman" w:eastAsia="Times New Roman" w:hAnsi="Times New Roman"/>
          <w:color w:val="000000"/>
          <w:sz w:val="28"/>
          <w:szCs w:val="28"/>
          <w:lang w:eastAsia="en-ZA"/>
        </w:rPr>
        <w:t>at the time they bought</w:t>
      </w:r>
      <w:r w:rsidR="008D2143">
        <w:rPr>
          <w:rFonts w:ascii="Times New Roman" w:eastAsia="Times New Roman" w:hAnsi="Times New Roman"/>
          <w:color w:val="000000"/>
          <w:sz w:val="28"/>
          <w:szCs w:val="28"/>
          <w:lang w:eastAsia="en-ZA"/>
        </w:rPr>
        <w:t xml:space="preserve"> the property</w:t>
      </w:r>
      <w:r w:rsidR="0029033A">
        <w:rPr>
          <w:rFonts w:ascii="Times New Roman" w:eastAsia="Times New Roman" w:hAnsi="Times New Roman"/>
          <w:color w:val="000000"/>
          <w:sz w:val="28"/>
          <w:szCs w:val="28"/>
          <w:lang w:eastAsia="en-ZA"/>
        </w:rPr>
        <w:t>, on their own showing</w:t>
      </w:r>
      <w:r w:rsidR="002171A3">
        <w:rPr>
          <w:rFonts w:ascii="Times New Roman" w:eastAsia="Times New Roman" w:hAnsi="Times New Roman"/>
          <w:color w:val="000000"/>
          <w:sz w:val="28"/>
          <w:szCs w:val="28"/>
          <w:lang w:eastAsia="en-ZA"/>
        </w:rPr>
        <w:t>,</w:t>
      </w:r>
      <w:r w:rsidR="0029033A">
        <w:rPr>
          <w:rFonts w:ascii="Times New Roman" w:eastAsia="Times New Roman" w:hAnsi="Times New Roman"/>
          <w:color w:val="000000"/>
          <w:sz w:val="28"/>
          <w:szCs w:val="28"/>
          <w:lang w:eastAsia="en-ZA"/>
        </w:rPr>
        <w:t xml:space="preserve"> </w:t>
      </w:r>
      <w:r w:rsidR="000E7014">
        <w:rPr>
          <w:rFonts w:ascii="Times New Roman" w:eastAsia="Times New Roman" w:hAnsi="Times New Roman"/>
          <w:color w:val="000000"/>
          <w:sz w:val="28"/>
          <w:szCs w:val="28"/>
          <w:lang w:eastAsia="en-ZA"/>
        </w:rPr>
        <w:t xml:space="preserve">knew that the first </w:t>
      </w:r>
      <w:r w:rsidR="00193A82">
        <w:rPr>
          <w:rFonts w:ascii="Times New Roman" w:eastAsia="Times New Roman" w:hAnsi="Times New Roman"/>
          <w:color w:val="000000"/>
          <w:sz w:val="28"/>
          <w:szCs w:val="28"/>
          <w:lang w:eastAsia="en-ZA"/>
        </w:rPr>
        <w:t>respondent claimed</w:t>
      </w:r>
      <w:r w:rsidR="000E7014">
        <w:rPr>
          <w:rFonts w:ascii="Times New Roman" w:eastAsia="Times New Roman" w:hAnsi="Times New Roman"/>
          <w:color w:val="000000"/>
          <w:sz w:val="28"/>
          <w:szCs w:val="28"/>
          <w:lang w:eastAsia="en-ZA"/>
        </w:rPr>
        <w:t xml:space="preserve"> a </w:t>
      </w:r>
      <w:r w:rsidR="00223C94">
        <w:rPr>
          <w:rFonts w:ascii="Times New Roman" w:eastAsia="Times New Roman" w:hAnsi="Times New Roman"/>
          <w:color w:val="000000"/>
          <w:sz w:val="28"/>
          <w:szCs w:val="28"/>
          <w:lang w:eastAsia="en-ZA"/>
        </w:rPr>
        <w:t xml:space="preserve">“lien” </w:t>
      </w:r>
      <w:r w:rsidR="008845AC">
        <w:rPr>
          <w:rFonts w:ascii="Times New Roman" w:eastAsia="Times New Roman" w:hAnsi="Times New Roman"/>
          <w:color w:val="000000"/>
          <w:sz w:val="28"/>
          <w:szCs w:val="28"/>
          <w:lang w:eastAsia="en-ZA"/>
        </w:rPr>
        <w:t>(</w:t>
      </w:r>
      <w:r w:rsidR="00223C94">
        <w:rPr>
          <w:rFonts w:ascii="Times New Roman" w:eastAsia="Times New Roman" w:hAnsi="Times New Roman"/>
          <w:color w:val="000000"/>
          <w:sz w:val="28"/>
          <w:szCs w:val="28"/>
          <w:lang w:eastAsia="en-ZA"/>
        </w:rPr>
        <w:t>or pledge</w:t>
      </w:r>
      <w:r w:rsidR="008845AC">
        <w:rPr>
          <w:rFonts w:ascii="Times New Roman" w:eastAsia="Times New Roman" w:hAnsi="Times New Roman"/>
          <w:color w:val="000000"/>
          <w:sz w:val="28"/>
          <w:szCs w:val="28"/>
          <w:lang w:eastAsia="en-ZA"/>
        </w:rPr>
        <w:t>)</w:t>
      </w:r>
      <w:r w:rsidR="00E50294">
        <w:rPr>
          <w:rFonts w:ascii="Times New Roman" w:eastAsia="Times New Roman" w:hAnsi="Times New Roman"/>
          <w:color w:val="000000"/>
          <w:sz w:val="28"/>
          <w:szCs w:val="28"/>
          <w:lang w:eastAsia="en-ZA"/>
        </w:rPr>
        <w:t xml:space="preserve"> and in the result </w:t>
      </w:r>
      <w:r w:rsidR="00B67366">
        <w:rPr>
          <w:rFonts w:ascii="Times New Roman" w:eastAsia="Times New Roman" w:hAnsi="Times New Roman"/>
          <w:color w:val="000000"/>
          <w:sz w:val="28"/>
          <w:szCs w:val="28"/>
          <w:lang w:eastAsia="en-ZA"/>
        </w:rPr>
        <w:t xml:space="preserve">that right of retention ought to prevail against them as </w:t>
      </w:r>
      <w:r w:rsidR="002171A3">
        <w:rPr>
          <w:rFonts w:ascii="Times New Roman" w:eastAsia="Times New Roman" w:hAnsi="Times New Roman"/>
          <w:color w:val="000000"/>
          <w:sz w:val="28"/>
          <w:szCs w:val="28"/>
          <w:lang w:eastAsia="en-ZA"/>
        </w:rPr>
        <w:t xml:space="preserve">successors in title </w:t>
      </w:r>
      <w:r w:rsidR="00E45B92">
        <w:rPr>
          <w:rFonts w:ascii="Times New Roman" w:eastAsia="Times New Roman" w:hAnsi="Times New Roman"/>
          <w:color w:val="000000"/>
          <w:sz w:val="28"/>
          <w:szCs w:val="28"/>
          <w:lang w:eastAsia="en-ZA"/>
        </w:rPr>
        <w:t xml:space="preserve">if the court in the pending action </w:t>
      </w:r>
      <w:r w:rsidR="00397AB0">
        <w:rPr>
          <w:rFonts w:ascii="Times New Roman" w:eastAsia="Times New Roman" w:hAnsi="Times New Roman"/>
          <w:color w:val="000000"/>
          <w:sz w:val="28"/>
          <w:szCs w:val="28"/>
          <w:lang w:eastAsia="en-ZA"/>
        </w:rPr>
        <w:t>finds in the first respondent’s favour</w:t>
      </w:r>
      <w:r w:rsidR="00E952AC">
        <w:rPr>
          <w:rFonts w:ascii="Times New Roman" w:eastAsia="Times New Roman" w:hAnsi="Times New Roman"/>
          <w:color w:val="000000"/>
          <w:sz w:val="28"/>
          <w:szCs w:val="28"/>
          <w:lang w:eastAsia="en-ZA"/>
        </w:rPr>
        <w:t xml:space="preserve"> in this regard.</w:t>
      </w:r>
      <w:r w:rsidR="00212858">
        <w:rPr>
          <w:rStyle w:val="FootnoteReference"/>
          <w:rFonts w:ascii="Times New Roman" w:eastAsia="Times New Roman" w:hAnsi="Times New Roman"/>
          <w:color w:val="000000"/>
          <w:sz w:val="28"/>
          <w:szCs w:val="28"/>
          <w:lang w:eastAsia="en-ZA"/>
        </w:rPr>
        <w:footnoteReference w:id="17"/>
      </w:r>
      <w:r w:rsidR="00E952AC">
        <w:rPr>
          <w:rFonts w:ascii="Times New Roman" w:eastAsia="Times New Roman" w:hAnsi="Times New Roman"/>
          <w:color w:val="000000"/>
          <w:sz w:val="28"/>
          <w:szCs w:val="28"/>
          <w:lang w:eastAsia="en-ZA"/>
        </w:rPr>
        <w:t xml:space="preserve"> </w:t>
      </w:r>
    </w:p>
    <w:p w14:paraId="45D67F9C" w14:textId="77777777" w:rsidR="003A04FC" w:rsidRPr="003A04FC" w:rsidRDefault="003A04FC" w:rsidP="003A04FC">
      <w:pPr>
        <w:pStyle w:val="ListParagraph"/>
        <w:rPr>
          <w:rFonts w:ascii="Times New Roman" w:hAnsi="Times New Roman"/>
          <w:sz w:val="28"/>
          <w:szCs w:val="28"/>
        </w:rPr>
      </w:pPr>
    </w:p>
    <w:p w14:paraId="50EA5455" w14:textId="3DF9D09D" w:rsidR="005F3475" w:rsidRDefault="002D5820"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I have considered ordering a stay of these </w:t>
      </w:r>
      <w:r w:rsidR="00BB2BF9">
        <w:rPr>
          <w:rFonts w:ascii="Times New Roman" w:hAnsi="Times New Roman"/>
          <w:sz w:val="28"/>
          <w:szCs w:val="28"/>
        </w:rPr>
        <w:t>proceedings,</w:t>
      </w:r>
      <w:r>
        <w:rPr>
          <w:rFonts w:ascii="Times New Roman" w:hAnsi="Times New Roman"/>
          <w:sz w:val="28"/>
          <w:szCs w:val="28"/>
        </w:rPr>
        <w:t xml:space="preserve"> </w:t>
      </w:r>
      <w:r w:rsidR="00C80FCB">
        <w:rPr>
          <w:rFonts w:ascii="Times New Roman" w:hAnsi="Times New Roman"/>
          <w:sz w:val="28"/>
          <w:szCs w:val="28"/>
        </w:rPr>
        <w:t xml:space="preserve">but my concern is that the premise for the application </w:t>
      </w:r>
      <w:r w:rsidR="00BB2BF9">
        <w:rPr>
          <w:rFonts w:ascii="Times New Roman" w:hAnsi="Times New Roman"/>
          <w:sz w:val="28"/>
          <w:szCs w:val="28"/>
        </w:rPr>
        <w:t xml:space="preserve">set forth by the applicants </w:t>
      </w:r>
      <w:r w:rsidR="00CF3D2A">
        <w:rPr>
          <w:rFonts w:ascii="Times New Roman" w:hAnsi="Times New Roman"/>
          <w:sz w:val="28"/>
          <w:szCs w:val="28"/>
        </w:rPr>
        <w:t xml:space="preserve">in the papers </w:t>
      </w:r>
      <w:r w:rsidR="00C80FCB">
        <w:rPr>
          <w:rFonts w:ascii="Times New Roman" w:hAnsi="Times New Roman"/>
          <w:sz w:val="28"/>
          <w:szCs w:val="28"/>
        </w:rPr>
        <w:t xml:space="preserve">is </w:t>
      </w:r>
      <w:r w:rsidR="00BB2BF9">
        <w:rPr>
          <w:rFonts w:ascii="Times New Roman" w:hAnsi="Times New Roman"/>
          <w:sz w:val="28"/>
          <w:szCs w:val="28"/>
        </w:rPr>
        <w:t xml:space="preserve">not </w:t>
      </w:r>
      <w:r w:rsidR="006A5480">
        <w:rPr>
          <w:rFonts w:ascii="Times New Roman" w:hAnsi="Times New Roman"/>
          <w:sz w:val="28"/>
          <w:szCs w:val="28"/>
        </w:rPr>
        <w:t xml:space="preserve">a true </w:t>
      </w:r>
      <w:r w:rsidR="001A47BD">
        <w:rPr>
          <w:rFonts w:ascii="Times New Roman" w:hAnsi="Times New Roman"/>
          <w:sz w:val="28"/>
          <w:szCs w:val="28"/>
        </w:rPr>
        <w:t>one</w:t>
      </w:r>
      <w:r w:rsidR="008845AC">
        <w:rPr>
          <w:rFonts w:ascii="Times New Roman" w:hAnsi="Times New Roman"/>
          <w:sz w:val="28"/>
          <w:szCs w:val="28"/>
        </w:rPr>
        <w:t xml:space="preserve"> and that critical information </w:t>
      </w:r>
      <w:r w:rsidR="001A47BD">
        <w:rPr>
          <w:rFonts w:ascii="Times New Roman" w:hAnsi="Times New Roman"/>
          <w:sz w:val="28"/>
          <w:szCs w:val="28"/>
        </w:rPr>
        <w:t>has been</w:t>
      </w:r>
      <w:r w:rsidR="008845AC">
        <w:rPr>
          <w:rFonts w:ascii="Times New Roman" w:hAnsi="Times New Roman"/>
          <w:sz w:val="28"/>
          <w:szCs w:val="28"/>
        </w:rPr>
        <w:t xml:space="preserve"> withheld from the court</w:t>
      </w:r>
      <w:r w:rsidR="00F80EA3">
        <w:rPr>
          <w:rFonts w:ascii="Times New Roman" w:hAnsi="Times New Roman"/>
          <w:sz w:val="28"/>
          <w:szCs w:val="28"/>
        </w:rPr>
        <w:t>.</w:t>
      </w:r>
      <w:r w:rsidR="00D87ADA">
        <w:rPr>
          <w:rFonts w:ascii="Times New Roman" w:hAnsi="Times New Roman"/>
          <w:sz w:val="28"/>
          <w:szCs w:val="28"/>
        </w:rPr>
        <w:t xml:space="preserve"> Th</w:t>
      </w:r>
      <w:r w:rsidR="00110D27">
        <w:rPr>
          <w:rFonts w:ascii="Times New Roman" w:hAnsi="Times New Roman"/>
          <w:sz w:val="28"/>
          <w:szCs w:val="28"/>
        </w:rPr>
        <w:t>e launch of the</w:t>
      </w:r>
      <w:r w:rsidR="00D87ADA">
        <w:rPr>
          <w:rFonts w:ascii="Times New Roman" w:hAnsi="Times New Roman"/>
          <w:sz w:val="28"/>
          <w:szCs w:val="28"/>
        </w:rPr>
        <w:t xml:space="preserve"> </w:t>
      </w:r>
      <w:r w:rsidR="008845AC">
        <w:rPr>
          <w:rFonts w:ascii="Times New Roman" w:hAnsi="Times New Roman"/>
          <w:sz w:val="28"/>
          <w:szCs w:val="28"/>
        </w:rPr>
        <w:t xml:space="preserve">present </w:t>
      </w:r>
      <w:r w:rsidR="00D87ADA">
        <w:rPr>
          <w:rFonts w:ascii="Times New Roman" w:hAnsi="Times New Roman"/>
          <w:sz w:val="28"/>
          <w:szCs w:val="28"/>
        </w:rPr>
        <w:t xml:space="preserve">application was also </w:t>
      </w:r>
      <w:r w:rsidR="000E6D40">
        <w:rPr>
          <w:rFonts w:ascii="Times New Roman" w:hAnsi="Times New Roman"/>
          <w:sz w:val="28"/>
          <w:szCs w:val="28"/>
        </w:rPr>
        <w:t xml:space="preserve">unnecessary in the light of the </w:t>
      </w:r>
      <w:r w:rsidR="00CF3D2A">
        <w:rPr>
          <w:rFonts w:ascii="Times New Roman" w:hAnsi="Times New Roman"/>
          <w:sz w:val="28"/>
          <w:szCs w:val="28"/>
        </w:rPr>
        <w:t xml:space="preserve">pending </w:t>
      </w:r>
      <w:r w:rsidR="00CF3D2A">
        <w:rPr>
          <w:rFonts w:ascii="Times New Roman" w:hAnsi="Times New Roman"/>
          <w:sz w:val="28"/>
          <w:szCs w:val="28"/>
        </w:rPr>
        <w:lastRenderedPageBreak/>
        <w:t>litigation</w:t>
      </w:r>
      <w:r w:rsidR="003A50DB">
        <w:rPr>
          <w:rFonts w:ascii="Times New Roman" w:hAnsi="Times New Roman"/>
          <w:sz w:val="28"/>
          <w:szCs w:val="28"/>
        </w:rPr>
        <w:t xml:space="preserve"> in East London Case No. 381/2019</w:t>
      </w:r>
      <w:r w:rsidR="008845AC">
        <w:rPr>
          <w:rFonts w:ascii="Times New Roman" w:hAnsi="Times New Roman"/>
          <w:sz w:val="28"/>
          <w:szCs w:val="28"/>
        </w:rPr>
        <w:t xml:space="preserve"> which ought to dispose of the question whether the first respondent’s right of </w:t>
      </w:r>
      <w:r w:rsidR="00B324D5">
        <w:rPr>
          <w:rFonts w:ascii="Times New Roman" w:hAnsi="Times New Roman"/>
          <w:sz w:val="28"/>
          <w:szCs w:val="28"/>
        </w:rPr>
        <w:t>r</w:t>
      </w:r>
      <w:r w:rsidR="008845AC">
        <w:rPr>
          <w:rFonts w:ascii="Times New Roman" w:hAnsi="Times New Roman"/>
          <w:sz w:val="28"/>
          <w:szCs w:val="28"/>
        </w:rPr>
        <w:t xml:space="preserve">etention on the basis contended for can prevail against </w:t>
      </w:r>
      <w:r w:rsidR="003E0DFA">
        <w:rPr>
          <w:rFonts w:ascii="Times New Roman" w:hAnsi="Times New Roman"/>
          <w:sz w:val="28"/>
          <w:szCs w:val="28"/>
        </w:rPr>
        <w:t xml:space="preserve">the owner’s </w:t>
      </w:r>
      <w:r w:rsidR="003E0DFA" w:rsidRPr="003E0DFA">
        <w:rPr>
          <w:rFonts w:ascii="Times New Roman" w:hAnsi="Times New Roman"/>
          <w:i/>
          <w:iCs/>
          <w:sz w:val="28"/>
          <w:szCs w:val="28"/>
        </w:rPr>
        <w:t>rei vindicatio</w:t>
      </w:r>
      <w:r w:rsidR="003E0DFA">
        <w:rPr>
          <w:rFonts w:ascii="Times New Roman" w:hAnsi="Times New Roman"/>
          <w:sz w:val="28"/>
          <w:szCs w:val="28"/>
        </w:rPr>
        <w:t>.</w:t>
      </w:r>
    </w:p>
    <w:p w14:paraId="48B21C24" w14:textId="77777777" w:rsidR="005F3475" w:rsidRPr="005F3475" w:rsidRDefault="005F3475" w:rsidP="005F3475">
      <w:pPr>
        <w:pStyle w:val="ListParagraph"/>
        <w:rPr>
          <w:rFonts w:ascii="Times New Roman" w:hAnsi="Times New Roman"/>
          <w:sz w:val="28"/>
          <w:szCs w:val="28"/>
        </w:rPr>
      </w:pPr>
    </w:p>
    <w:p w14:paraId="73EE740E" w14:textId="5E5DA333" w:rsidR="00756E8D" w:rsidRPr="00523745" w:rsidRDefault="00FA18FA" w:rsidP="00734F59">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I mention too for guidance going forward that the applicants failed to meet the </w:t>
      </w:r>
      <w:r w:rsidR="009E2606">
        <w:rPr>
          <w:rFonts w:ascii="Times New Roman" w:hAnsi="Times New Roman"/>
          <w:sz w:val="28"/>
          <w:szCs w:val="28"/>
        </w:rPr>
        <w:t xml:space="preserve">procedural requirement postulated by </w:t>
      </w:r>
      <w:r w:rsidR="003A2F21">
        <w:rPr>
          <w:rFonts w:ascii="Times New Roman" w:hAnsi="Times New Roman"/>
          <w:sz w:val="28"/>
          <w:szCs w:val="28"/>
        </w:rPr>
        <w:t>section 4</w:t>
      </w:r>
      <w:r w:rsidR="00E837E2">
        <w:rPr>
          <w:rFonts w:ascii="Times New Roman" w:hAnsi="Times New Roman"/>
          <w:sz w:val="28"/>
          <w:szCs w:val="28"/>
        </w:rPr>
        <w:t xml:space="preserve"> (2) of the PIE Act</w:t>
      </w:r>
      <w:r w:rsidR="006047F6">
        <w:rPr>
          <w:rFonts w:ascii="Times New Roman" w:hAnsi="Times New Roman"/>
          <w:sz w:val="28"/>
          <w:szCs w:val="28"/>
        </w:rPr>
        <w:t xml:space="preserve"> in the sense that the court’s directions for service </w:t>
      </w:r>
      <w:r w:rsidR="003E0DFA">
        <w:rPr>
          <w:rFonts w:ascii="Times New Roman" w:hAnsi="Times New Roman"/>
          <w:sz w:val="28"/>
          <w:szCs w:val="28"/>
        </w:rPr>
        <w:t>were</w:t>
      </w:r>
      <w:r w:rsidR="00477226">
        <w:rPr>
          <w:rFonts w:ascii="Times New Roman" w:hAnsi="Times New Roman"/>
          <w:sz w:val="28"/>
          <w:szCs w:val="28"/>
        </w:rPr>
        <w:t xml:space="preserve"> not obtained.  The applican</w:t>
      </w:r>
      <w:r w:rsidR="00762ACA">
        <w:rPr>
          <w:rFonts w:ascii="Times New Roman" w:hAnsi="Times New Roman"/>
          <w:sz w:val="28"/>
          <w:szCs w:val="28"/>
        </w:rPr>
        <w:t>ts served a notice, but this was not autho</w:t>
      </w:r>
      <w:r w:rsidR="00BB7EE3">
        <w:rPr>
          <w:rFonts w:ascii="Times New Roman" w:hAnsi="Times New Roman"/>
          <w:sz w:val="28"/>
          <w:szCs w:val="28"/>
        </w:rPr>
        <w:t>rised by this court</w:t>
      </w:r>
      <w:r w:rsidR="006B2044">
        <w:rPr>
          <w:rFonts w:ascii="Times New Roman" w:hAnsi="Times New Roman"/>
          <w:sz w:val="28"/>
          <w:szCs w:val="28"/>
        </w:rPr>
        <w:t xml:space="preserve"> prior</w:t>
      </w:r>
      <w:r w:rsidR="00C06CDA">
        <w:rPr>
          <w:rFonts w:ascii="Times New Roman" w:hAnsi="Times New Roman"/>
          <w:sz w:val="28"/>
          <w:szCs w:val="28"/>
        </w:rPr>
        <w:t xml:space="preserve"> to the </w:t>
      </w:r>
      <w:r w:rsidR="00EC4EF0">
        <w:rPr>
          <w:rFonts w:ascii="Times New Roman" w:hAnsi="Times New Roman"/>
          <w:sz w:val="28"/>
          <w:szCs w:val="28"/>
        </w:rPr>
        <w:t xml:space="preserve">sheriff serving </w:t>
      </w:r>
      <w:r w:rsidR="00731F7E">
        <w:rPr>
          <w:rFonts w:ascii="Times New Roman" w:hAnsi="Times New Roman"/>
          <w:sz w:val="28"/>
          <w:szCs w:val="28"/>
        </w:rPr>
        <w:t>it on the respondents.</w:t>
      </w:r>
      <w:r w:rsidR="006611B8" w:rsidRPr="006611B8">
        <w:rPr>
          <w:rFonts w:ascii="Times New Roman" w:hAnsi="Times New Roman"/>
          <w:sz w:val="28"/>
          <w:szCs w:val="28"/>
        </w:rPr>
        <w:t xml:space="preserve"> </w:t>
      </w:r>
      <w:r w:rsidR="00E81F52">
        <w:rPr>
          <w:rFonts w:ascii="Times New Roman" w:hAnsi="Times New Roman"/>
          <w:sz w:val="28"/>
          <w:szCs w:val="28"/>
        </w:rPr>
        <w:t>When the matter was initially called on the urgent roll</w:t>
      </w:r>
      <w:r w:rsidR="00F304E5">
        <w:rPr>
          <w:rFonts w:ascii="Times New Roman" w:hAnsi="Times New Roman"/>
          <w:sz w:val="28"/>
          <w:szCs w:val="28"/>
        </w:rPr>
        <w:t xml:space="preserve">, </w:t>
      </w:r>
      <w:r w:rsidR="00394F1E">
        <w:rPr>
          <w:rFonts w:ascii="Times New Roman" w:hAnsi="Times New Roman"/>
          <w:sz w:val="28"/>
          <w:szCs w:val="28"/>
        </w:rPr>
        <w:t>Ms.</w:t>
      </w:r>
      <w:r w:rsidR="004D6CD2">
        <w:rPr>
          <w:rFonts w:ascii="Times New Roman" w:hAnsi="Times New Roman"/>
          <w:sz w:val="28"/>
          <w:szCs w:val="28"/>
        </w:rPr>
        <w:t xml:space="preserve"> Collett</w:t>
      </w:r>
      <w:r w:rsidR="00F304E5">
        <w:rPr>
          <w:rFonts w:ascii="Times New Roman" w:hAnsi="Times New Roman"/>
          <w:sz w:val="28"/>
          <w:szCs w:val="28"/>
        </w:rPr>
        <w:t xml:space="preserve"> for the applicants argued</w:t>
      </w:r>
      <w:r w:rsidR="006611B8">
        <w:rPr>
          <w:rFonts w:ascii="Times New Roman" w:hAnsi="Times New Roman"/>
          <w:sz w:val="28"/>
          <w:szCs w:val="28"/>
        </w:rPr>
        <w:t xml:space="preserve"> that urgency in terms of </w:t>
      </w:r>
      <w:r w:rsidR="00F304E5">
        <w:rPr>
          <w:rFonts w:ascii="Times New Roman" w:hAnsi="Times New Roman"/>
          <w:sz w:val="28"/>
          <w:szCs w:val="28"/>
        </w:rPr>
        <w:t xml:space="preserve">the provisions </w:t>
      </w:r>
      <w:r w:rsidR="00042221">
        <w:rPr>
          <w:rFonts w:ascii="Times New Roman" w:hAnsi="Times New Roman"/>
          <w:sz w:val="28"/>
          <w:szCs w:val="28"/>
        </w:rPr>
        <w:t>of Uniform</w:t>
      </w:r>
      <w:r w:rsidR="00C86B08">
        <w:rPr>
          <w:rFonts w:ascii="Times New Roman" w:hAnsi="Times New Roman"/>
          <w:sz w:val="28"/>
          <w:szCs w:val="28"/>
        </w:rPr>
        <w:t xml:space="preserve"> R</w:t>
      </w:r>
      <w:r w:rsidR="006611B8">
        <w:rPr>
          <w:rFonts w:ascii="Times New Roman" w:hAnsi="Times New Roman"/>
          <w:sz w:val="28"/>
          <w:szCs w:val="28"/>
        </w:rPr>
        <w:t>ule 6 (12), rather than reliance on section 5 of the PIE Act</w:t>
      </w:r>
      <w:r w:rsidR="001446FC">
        <w:rPr>
          <w:rFonts w:ascii="Times New Roman" w:hAnsi="Times New Roman"/>
          <w:sz w:val="28"/>
          <w:szCs w:val="28"/>
        </w:rPr>
        <w:t xml:space="preserve"> (involving </w:t>
      </w:r>
      <w:r w:rsidR="004815B8">
        <w:rPr>
          <w:rFonts w:ascii="Times New Roman" w:hAnsi="Times New Roman"/>
          <w:sz w:val="28"/>
          <w:szCs w:val="28"/>
        </w:rPr>
        <w:t xml:space="preserve">a deviation </w:t>
      </w:r>
      <w:r w:rsidR="00394F1E">
        <w:rPr>
          <w:rFonts w:ascii="Times New Roman" w:hAnsi="Times New Roman"/>
          <w:sz w:val="28"/>
          <w:szCs w:val="28"/>
        </w:rPr>
        <w:t xml:space="preserve">from </w:t>
      </w:r>
      <w:r w:rsidR="004815B8">
        <w:rPr>
          <w:rFonts w:ascii="Times New Roman" w:hAnsi="Times New Roman"/>
          <w:sz w:val="28"/>
          <w:szCs w:val="28"/>
        </w:rPr>
        <w:t>the normal forms</w:t>
      </w:r>
      <w:r w:rsidR="00394F1E">
        <w:rPr>
          <w:rFonts w:ascii="Times New Roman" w:hAnsi="Times New Roman"/>
          <w:sz w:val="28"/>
          <w:szCs w:val="28"/>
        </w:rPr>
        <w:t xml:space="preserve"> and an abridgement of time period</w:t>
      </w:r>
      <w:r w:rsidR="00684549">
        <w:rPr>
          <w:rFonts w:ascii="Times New Roman" w:hAnsi="Times New Roman"/>
          <w:sz w:val="28"/>
          <w:szCs w:val="28"/>
        </w:rPr>
        <w:t>s)</w:t>
      </w:r>
      <w:r w:rsidR="00C86B08">
        <w:rPr>
          <w:rFonts w:ascii="Times New Roman" w:hAnsi="Times New Roman"/>
          <w:sz w:val="28"/>
          <w:szCs w:val="28"/>
        </w:rPr>
        <w:t>,</w:t>
      </w:r>
      <w:r w:rsidR="006611B8">
        <w:rPr>
          <w:rFonts w:ascii="Times New Roman" w:hAnsi="Times New Roman"/>
          <w:sz w:val="28"/>
          <w:szCs w:val="28"/>
        </w:rPr>
        <w:t xml:space="preserve"> was a permissible basis </w:t>
      </w:r>
      <w:r w:rsidR="00C86B08">
        <w:rPr>
          <w:rFonts w:ascii="Times New Roman" w:hAnsi="Times New Roman"/>
          <w:sz w:val="28"/>
          <w:szCs w:val="28"/>
        </w:rPr>
        <w:t xml:space="preserve">upon </w:t>
      </w:r>
      <w:r w:rsidR="006611B8">
        <w:rPr>
          <w:rFonts w:ascii="Times New Roman" w:hAnsi="Times New Roman"/>
          <w:sz w:val="28"/>
          <w:szCs w:val="28"/>
        </w:rPr>
        <w:t>which to launch such an application</w:t>
      </w:r>
      <w:r w:rsidR="00D412CA">
        <w:rPr>
          <w:rFonts w:ascii="Times New Roman" w:hAnsi="Times New Roman"/>
          <w:sz w:val="28"/>
          <w:szCs w:val="28"/>
        </w:rPr>
        <w:t>.  Whil</w:t>
      </w:r>
      <w:r w:rsidR="00684549">
        <w:rPr>
          <w:rFonts w:ascii="Times New Roman" w:hAnsi="Times New Roman"/>
          <w:sz w:val="28"/>
          <w:szCs w:val="28"/>
        </w:rPr>
        <w:t>st</w:t>
      </w:r>
      <w:r w:rsidR="00D412CA">
        <w:rPr>
          <w:rFonts w:ascii="Times New Roman" w:hAnsi="Times New Roman"/>
          <w:sz w:val="28"/>
          <w:szCs w:val="28"/>
        </w:rPr>
        <w:t xml:space="preserve"> that may well be so, once the matter was s</w:t>
      </w:r>
      <w:r w:rsidR="00BC1DF6">
        <w:rPr>
          <w:rFonts w:ascii="Times New Roman" w:hAnsi="Times New Roman"/>
          <w:sz w:val="28"/>
          <w:szCs w:val="28"/>
        </w:rPr>
        <w:t>truck from the roll, the notice format relied upon (without any</w:t>
      </w:r>
      <w:r w:rsidR="00BB34B1">
        <w:rPr>
          <w:rFonts w:ascii="Times New Roman" w:hAnsi="Times New Roman"/>
          <w:sz w:val="28"/>
          <w:szCs w:val="28"/>
        </w:rPr>
        <w:t xml:space="preserve"> authorization from the court) </w:t>
      </w:r>
      <w:r w:rsidR="00100819">
        <w:rPr>
          <w:rFonts w:ascii="Times New Roman" w:hAnsi="Times New Roman"/>
          <w:sz w:val="28"/>
          <w:szCs w:val="28"/>
        </w:rPr>
        <w:t>did not survive and was required to be supplemented.</w:t>
      </w:r>
    </w:p>
    <w:p w14:paraId="1DE73B45" w14:textId="77777777" w:rsidR="00756E8D" w:rsidRPr="00756E8D" w:rsidRDefault="00756E8D" w:rsidP="00756E8D">
      <w:pPr>
        <w:pStyle w:val="ListParagraph"/>
        <w:rPr>
          <w:rFonts w:ascii="Times New Roman" w:hAnsi="Times New Roman"/>
          <w:sz w:val="28"/>
          <w:szCs w:val="28"/>
        </w:rPr>
      </w:pPr>
    </w:p>
    <w:p w14:paraId="4AD9750C" w14:textId="6B166DA5" w:rsidR="00756E8D" w:rsidRDefault="00756E8D"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Given the misconception</w:t>
      </w:r>
      <w:r w:rsidR="002F4DA5">
        <w:rPr>
          <w:rFonts w:ascii="Times New Roman" w:hAnsi="Times New Roman"/>
          <w:sz w:val="28"/>
          <w:szCs w:val="28"/>
        </w:rPr>
        <w:t xml:space="preserve"> </w:t>
      </w:r>
      <w:r w:rsidR="003E3792">
        <w:rPr>
          <w:rFonts w:ascii="Times New Roman" w:hAnsi="Times New Roman"/>
          <w:sz w:val="28"/>
          <w:szCs w:val="28"/>
        </w:rPr>
        <w:t>by</w:t>
      </w:r>
      <w:r w:rsidR="002F4DA5">
        <w:rPr>
          <w:rFonts w:ascii="Times New Roman" w:hAnsi="Times New Roman"/>
          <w:sz w:val="28"/>
          <w:szCs w:val="28"/>
        </w:rPr>
        <w:t xml:space="preserve"> the applicant</w:t>
      </w:r>
      <w:r w:rsidR="008C34D3">
        <w:rPr>
          <w:rFonts w:ascii="Times New Roman" w:hAnsi="Times New Roman"/>
          <w:sz w:val="28"/>
          <w:szCs w:val="28"/>
        </w:rPr>
        <w:t xml:space="preserve">s </w:t>
      </w:r>
      <w:r w:rsidR="00CE2008">
        <w:rPr>
          <w:rFonts w:ascii="Times New Roman" w:hAnsi="Times New Roman"/>
          <w:sz w:val="28"/>
          <w:szCs w:val="28"/>
        </w:rPr>
        <w:t xml:space="preserve">that they </w:t>
      </w:r>
      <w:r w:rsidR="008C34D3">
        <w:rPr>
          <w:rFonts w:ascii="Times New Roman" w:hAnsi="Times New Roman"/>
          <w:sz w:val="28"/>
          <w:szCs w:val="28"/>
        </w:rPr>
        <w:t xml:space="preserve">had complied with the </w:t>
      </w:r>
      <w:r w:rsidR="00AE7306">
        <w:rPr>
          <w:rFonts w:ascii="Times New Roman" w:hAnsi="Times New Roman"/>
          <w:sz w:val="28"/>
          <w:szCs w:val="28"/>
        </w:rPr>
        <w:t>peremp</w:t>
      </w:r>
      <w:r w:rsidR="008C34D3">
        <w:rPr>
          <w:rFonts w:ascii="Times New Roman" w:hAnsi="Times New Roman"/>
          <w:sz w:val="28"/>
          <w:szCs w:val="28"/>
        </w:rPr>
        <w:t xml:space="preserve">tory provisions of section 4 (2) of the PIE </w:t>
      </w:r>
      <w:r w:rsidR="00192010">
        <w:rPr>
          <w:rFonts w:ascii="Times New Roman" w:hAnsi="Times New Roman"/>
          <w:sz w:val="28"/>
          <w:szCs w:val="28"/>
        </w:rPr>
        <w:t>Act, I</w:t>
      </w:r>
      <w:r>
        <w:rPr>
          <w:rFonts w:ascii="Times New Roman" w:hAnsi="Times New Roman"/>
          <w:sz w:val="28"/>
          <w:szCs w:val="28"/>
        </w:rPr>
        <w:t xml:space="preserve"> invited the parties to make further submissions to me as to the following:</w:t>
      </w:r>
    </w:p>
    <w:p w14:paraId="136C22EE" w14:textId="77777777" w:rsidR="004129B2" w:rsidRPr="004129B2" w:rsidRDefault="004129B2" w:rsidP="004129B2">
      <w:pPr>
        <w:pStyle w:val="ListParagraph"/>
        <w:rPr>
          <w:rFonts w:ascii="Times New Roman" w:hAnsi="Times New Roman"/>
          <w:sz w:val="28"/>
          <w:szCs w:val="28"/>
        </w:rPr>
      </w:pPr>
    </w:p>
    <w:p w14:paraId="3684C892" w14:textId="77777777" w:rsidR="004129B2" w:rsidRPr="004129B2" w:rsidRDefault="004129B2" w:rsidP="007A795C">
      <w:pPr>
        <w:spacing w:after="120" w:line="360" w:lineRule="auto"/>
        <w:ind w:left="720"/>
        <w:contextualSpacing/>
        <w:jc w:val="both"/>
        <w:rPr>
          <w:rFonts w:ascii="Times New Roman" w:hAnsi="Times New Roman"/>
        </w:rPr>
      </w:pPr>
      <w:r>
        <w:rPr>
          <w:rFonts w:ascii="Times New Roman" w:hAnsi="Times New Roman" w:cs="Times New Roman"/>
          <w:lang w:val="en-US"/>
        </w:rPr>
        <w:t>“</w:t>
      </w:r>
      <w:r w:rsidRPr="004129B2">
        <w:rPr>
          <w:rFonts w:ascii="Times New Roman" w:hAnsi="Times New Roman"/>
        </w:rPr>
        <w:t xml:space="preserve">Given the effect of the ruling of Noncembu AJ dated 2 November 2021 concerning the issue of urgency, what impact does this have on the applicants’ claimed compliance with the peremptory procedural provisions of the Prevention </w:t>
      </w:r>
      <w:r w:rsidRPr="004129B2">
        <w:rPr>
          <w:rStyle w:val="Strong"/>
          <w:rFonts w:ascii="Times New Roman" w:hAnsi="Times New Roman"/>
          <w:b w:val="0"/>
          <w:color w:val="111111"/>
          <w:shd w:val="clear" w:color="auto" w:fill="FFFFFF"/>
        </w:rPr>
        <w:t>of Illegal Eviction from and Unlawful Occupation of Land Act,</w:t>
      </w:r>
      <w:r w:rsidRPr="004129B2">
        <w:rPr>
          <w:rFonts w:ascii="Times New Roman" w:hAnsi="Times New Roman"/>
        </w:rPr>
        <w:t xml:space="preserve"> No. 19 of 1998 (“the PIE Act”), since condonation was not afforded to the applicants, and no leave granted by this court to serve written and effective notice of the proceedings as prescribed in section 4 (2) of the PIE Act?</w:t>
      </w:r>
    </w:p>
    <w:p w14:paraId="1F0F6727" w14:textId="77777777" w:rsidR="004129B2" w:rsidRPr="00F86A60" w:rsidRDefault="004129B2" w:rsidP="007A795C">
      <w:pPr>
        <w:spacing w:after="120" w:line="360" w:lineRule="auto"/>
        <w:ind w:left="720"/>
        <w:contextualSpacing/>
        <w:jc w:val="both"/>
        <w:rPr>
          <w:rFonts w:ascii="Times New Roman" w:hAnsi="Times New Roman"/>
        </w:rPr>
      </w:pPr>
      <w:r w:rsidRPr="00F86A60">
        <w:rPr>
          <w:rFonts w:ascii="Times New Roman" w:hAnsi="Times New Roman"/>
        </w:rPr>
        <w:t xml:space="preserve">Assuming a procedural deficiency, can this court in such event remedy the procedural shortcomings by granting the necessary leave to the applicants to serve the requisite notice on the respondents and to permit them to approach the court on the same papers, duly supplemented, once they have complied with the procedural prescripts in the PIE Act and the </w:t>
      </w:r>
      <w:r w:rsidRPr="00F86A60">
        <w:rPr>
          <w:rFonts w:ascii="Times New Roman" w:hAnsi="Times New Roman"/>
        </w:rPr>
        <w:lastRenderedPageBreak/>
        <w:t>respondents have had an opportunity to place relevant circumstances before the court, in order to argue the matter further?</w:t>
      </w:r>
      <w:r w:rsidR="00F86A60">
        <w:rPr>
          <w:rFonts w:ascii="Times New Roman" w:hAnsi="Times New Roman"/>
        </w:rPr>
        <w:t>”</w:t>
      </w:r>
    </w:p>
    <w:p w14:paraId="2CF4FC0A" w14:textId="77777777" w:rsidR="004129B2" w:rsidRPr="004129B2" w:rsidRDefault="004129B2" w:rsidP="004129B2">
      <w:pPr>
        <w:pStyle w:val="ListParagraph"/>
        <w:ind w:left="1080"/>
        <w:rPr>
          <w:rFonts w:ascii="Times New Roman" w:hAnsi="Times New Roman"/>
        </w:rPr>
      </w:pPr>
    </w:p>
    <w:p w14:paraId="4D75E04D" w14:textId="3F18E6D0" w:rsidR="00756E8D" w:rsidRDefault="00192010"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Comprehensive submissions were made to me in this respect </w:t>
      </w:r>
      <w:r w:rsidR="00867C13">
        <w:rPr>
          <w:rFonts w:ascii="Times New Roman" w:hAnsi="Times New Roman"/>
          <w:sz w:val="28"/>
          <w:szCs w:val="28"/>
        </w:rPr>
        <w:t xml:space="preserve">by both parties.  The general </w:t>
      </w:r>
      <w:r w:rsidR="002E43C8">
        <w:rPr>
          <w:rFonts w:ascii="Times New Roman" w:hAnsi="Times New Roman"/>
          <w:sz w:val="28"/>
          <w:szCs w:val="28"/>
        </w:rPr>
        <w:t>tenor</w:t>
      </w:r>
      <w:r w:rsidR="00867C13">
        <w:rPr>
          <w:rFonts w:ascii="Times New Roman" w:hAnsi="Times New Roman"/>
          <w:sz w:val="28"/>
          <w:szCs w:val="28"/>
        </w:rPr>
        <w:t xml:space="preserve"> of these, </w:t>
      </w:r>
      <w:r w:rsidR="002E43C8">
        <w:rPr>
          <w:rFonts w:ascii="Times New Roman" w:hAnsi="Times New Roman"/>
          <w:sz w:val="28"/>
          <w:szCs w:val="28"/>
        </w:rPr>
        <w:t>consistent</w:t>
      </w:r>
      <w:r w:rsidR="00867C13">
        <w:rPr>
          <w:rFonts w:ascii="Times New Roman" w:hAnsi="Times New Roman"/>
          <w:sz w:val="28"/>
          <w:szCs w:val="28"/>
        </w:rPr>
        <w:t xml:space="preserve"> with the relevant case law, is that </w:t>
      </w:r>
      <w:r w:rsidR="00B70140">
        <w:rPr>
          <w:rFonts w:ascii="Times New Roman" w:hAnsi="Times New Roman"/>
          <w:sz w:val="28"/>
          <w:szCs w:val="28"/>
        </w:rPr>
        <w:t xml:space="preserve">the </w:t>
      </w:r>
      <w:r w:rsidR="00671F8D">
        <w:rPr>
          <w:rFonts w:ascii="Times New Roman" w:hAnsi="Times New Roman"/>
          <w:sz w:val="28"/>
          <w:szCs w:val="28"/>
        </w:rPr>
        <w:t xml:space="preserve">absent court authorised notice </w:t>
      </w:r>
      <w:r w:rsidR="003E0DFA">
        <w:rPr>
          <w:rFonts w:ascii="Times New Roman" w:hAnsi="Times New Roman"/>
          <w:sz w:val="28"/>
          <w:szCs w:val="28"/>
        </w:rPr>
        <w:t xml:space="preserve">in terms of section 4 (2) of the PIE Act </w:t>
      </w:r>
      <w:r w:rsidR="00671F8D">
        <w:rPr>
          <w:rFonts w:ascii="Times New Roman" w:hAnsi="Times New Roman"/>
          <w:sz w:val="28"/>
          <w:szCs w:val="28"/>
        </w:rPr>
        <w:t xml:space="preserve">was not fatal, </w:t>
      </w:r>
      <w:r w:rsidR="00CD6DFE">
        <w:rPr>
          <w:rFonts w:ascii="Times New Roman" w:hAnsi="Times New Roman"/>
          <w:sz w:val="28"/>
          <w:szCs w:val="28"/>
        </w:rPr>
        <w:t xml:space="preserve">neither had there been any prejudice </w:t>
      </w:r>
      <w:r w:rsidR="00B70140">
        <w:rPr>
          <w:rFonts w:ascii="Times New Roman" w:hAnsi="Times New Roman"/>
          <w:sz w:val="28"/>
          <w:szCs w:val="28"/>
        </w:rPr>
        <w:t xml:space="preserve">occasioned </w:t>
      </w:r>
      <w:r w:rsidR="00CD6DFE">
        <w:rPr>
          <w:rFonts w:ascii="Times New Roman" w:hAnsi="Times New Roman"/>
          <w:sz w:val="28"/>
          <w:szCs w:val="28"/>
        </w:rPr>
        <w:t>to t</w:t>
      </w:r>
      <w:r w:rsidR="00B70140">
        <w:rPr>
          <w:rFonts w:ascii="Times New Roman" w:hAnsi="Times New Roman"/>
          <w:sz w:val="28"/>
          <w:szCs w:val="28"/>
        </w:rPr>
        <w:t>he</w:t>
      </w:r>
      <w:r w:rsidR="00CD6DFE">
        <w:rPr>
          <w:rFonts w:ascii="Times New Roman" w:hAnsi="Times New Roman"/>
          <w:sz w:val="28"/>
          <w:szCs w:val="28"/>
        </w:rPr>
        <w:t xml:space="preserve"> first respondent </w:t>
      </w:r>
      <w:r w:rsidR="00580C3B">
        <w:rPr>
          <w:rFonts w:ascii="Times New Roman" w:hAnsi="Times New Roman"/>
          <w:sz w:val="28"/>
          <w:szCs w:val="28"/>
        </w:rPr>
        <w:t>by its omission</w:t>
      </w:r>
      <w:r w:rsidR="0083712A">
        <w:rPr>
          <w:rFonts w:ascii="Times New Roman" w:hAnsi="Times New Roman"/>
          <w:sz w:val="28"/>
          <w:szCs w:val="28"/>
        </w:rPr>
        <w:t>,</w:t>
      </w:r>
      <w:r w:rsidR="00580C3B">
        <w:rPr>
          <w:rFonts w:ascii="Times New Roman" w:hAnsi="Times New Roman"/>
          <w:sz w:val="28"/>
          <w:szCs w:val="28"/>
        </w:rPr>
        <w:t xml:space="preserve"> or </w:t>
      </w:r>
      <w:r w:rsidR="0083712A">
        <w:rPr>
          <w:rFonts w:ascii="Times New Roman" w:hAnsi="Times New Roman"/>
          <w:sz w:val="28"/>
          <w:szCs w:val="28"/>
        </w:rPr>
        <w:t xml:space="preserve">by </w:t>
      </w:r>
      <w:r w:rsidR="00580C3B">
        <w:rPr>
          <w:rFonts w:ascii="Times New Roman" w:hAnsi="Times New Roman"/>
          <w:sz w:val="28"/>
          <w:szCs w:val="28"/>
        </w:rPr>
        <w:t>the truncation of the relevant ti</w:t>
      </w:r>
      <w:r w:rsidR="00873660">
        <w:rPr>
          <w:rFonts w:ascii="Times New Roman" w:hAnsi="Times New Roman"/>
          <w:sz w:val="28"/>
          <w:szCs w:val="28"/>
        </w:rPr>
        <w:t xml:space="preserve">me periods made provision for in section 4 that </w:t>
      </w:r>
      <w:r w:rsidR="003F405C">
        <w:rPr>
          <w:rFonts w:ascii="Times New Roman" w:hAnsi="Times New Roman"/>
          <w:sz w:val="28"/>
          <w:szCs w:val="28"/>
        </w:rPr>
        <w:t xml:space="preserve">were to be </w:t>
      </w:r>
      <w:r w:rsidR="0083712A">
        <w:rPr>
          <w:rFonts w:ascii="Times New Roman" w:hAnsi="Times New Roman"/>
          <w:sz w:val="28"/>
          <w:szCs w:val="28"/>
        </w:rPr>
        <w:t xml:space="preserve">afforded to </w:t>
      </w:r>
      <w:r w:rsidR="000C4090">
        <w:rPr>
          <w:rFonts w:ascii="Times New Roman" w:hAnsi="Times New Roman"/>
          <w:sz w:val="28"/>
          <w:szCs w:val="28"/>
        </w:rPr>
        <w:t>him</w:t>
      </w:r>
      <w:r w:rsidR="003F405C">
        <w:rPr>
          <w:rFonts w:ascii="Times New Roman" w:hAnsi="Times New Roman"/>
          <w:sz w:val="28"/>
          <w:szCs w:val="28"/>
        </w:rPr>
        <w:t xml:space="preserve"> in addition to compliance with the provisions of Uniform Rule </w:t>
      </w:r>
      <w:r w:rsidR="00B70140">
        <w:rPr>
          <w:rFonts w:ascii="Times New Roman" w:hAnsi="Times New Roman"/>
          <w:sz w:val="28"/>
          <w:szCs w:val="28"/>
        </w:rPr>
        <w:t>6</w:t>
      </w:r>
      <w:r w:rsidR="000C4090">
        <w:rPr>
          <w:rFonts w:ascii="Times New Roman" w:hAnsi="Times New Roman"/>
          <w:sz w:val="28"/>
          <w:szCs w:val="28"/>
        </w:rPr>
        <w:t xml:space="preserve"> to put forward his case</w:t>
      </w:r>
      <w:r w:rsidR="00B70140">
        <w:rPr>
          <w:rFonts w:ascii="Times New Roman" w:hAnsi="Times New Roman"/>
          <w:sz w:val="28"/>
          <w:szCs w:val="28"/>
        </w:rPr>
        <w:t xml:space="preserve">.  </w:t>
      </w:r>
      <w:r w:rsidR="00867C13">
        <w:rPr>
          <w:rFonts w:ascii="Times New Roman" w:hAnsi="Times New Roman"/>
          <w:sz w:val="28"/>
          <w:szCs w:val="28"/>
        </w:rPr>
        <w:t>I</w:t>
      </w:r>
      <w:r w:rsidR="000C4090">
        <w:rPr>
          <w:rFonts w:ascii="Times New Roman" w:hAnsi="Times New Roman"/>
          <w:sz w:val="28"/>
          <w:szCs w:val="28"/>
        </w:rPr>
        <w:t xml:space="preserve">ndeed, </w:t>
      </w:r>
      <w:r w:rsidR="000F4A27">
        <w:rPr>
          <w:rFonts w:ascii="Times New Roman" w:hAnsi="Times New Roman"/>
          <w:sz w:val="28"/>
          <w:szCs w:val="28"/>
        </w:rPr>
        <w:t>I accept that I</w:t>
      </w:r>
      <w:r w:rsidR="00867C13">
        <w:rPr>
          <w:rFonts w:ascii="Times New Roman" w:hAnsi="Times New Roman"/>
          <w:sz w:val="28"/>
          <w:szCs w:val="28"/>
        </w:rPr>
        <w:t xml:space="preserve"> </w:t>
      </w:r>
      <w:r w:rsidR="002E43C8">
        <w:rPr>
          <w:rFonts w:ascii="Times New Roman" w:hAnsi="Times New Roman"/>
          <w:sz w:val="28"/>
          <w:szCs w:val="28"/>
        </w:rPr>
        <w:t xml:space="preserve">could have condoned the absence of </w:t>
      </w:r>
      <w:r w:rsidR="003B0ED0">
        <w:rPr>
          <w:rFonts w:ascii="Times New Roman" w:hAnsi="Times New Roman"/>
          <w:sz w:val="28"/>
          <w:szCs w:val="28"/>
        </w:rPr>
        <w:t xml:space="preserve">a directions order </w:t>
      </w:r>
      <w:r w:rsidR="000F4A27">
        <w:rPr>
          <w:rFonts w:ascii="Times New Roman" w:hAnsi="Times New Roman"/>
          <w:sz w:val="28"/>
          <w:szCs w:val="28"/>
        </w:rPr>
        <w:t>and</w:t>
      </w:r>
      <w:r w:rsidR="00B04FA7">
        <w:rPr>
          <w:rFonts w:ascii="Times New Roman" w:hAnsi="Times New Roman"/>
          <w:sz w:val="28"/>
          <w:szCs w:val="28"/>
        </w:rPr>
        <w:t xml:space="preserve"> the truncation aforesaid </w:t>
      </w:r>
      <w:r w:rsidR="003B0ED0">
        <w:rPr>
          <w:rFonts w:ascii="Times New Roman" w:hAnsi="Times New Roman"/>
          <w:sz w:val="28"/>
          <w:szCs w:val="28"/>
        </w:rPr>
        <w:t xml:space="preserve">as the purported notice </w:t>
      </w:r>
      <w:r w:rsidR="00394468">
        <w:rPr>
          <w:rFonts w:ascii="Times New Roman" w:hAnsi="Times New Roman"/>
          <w:sz w:val="28"/>
          <w:szCs w:val="28"/>
        </w:rPr>
        <w:t>seems to have</w:t>
      </w:r>
      <w:r w:rsidR="00004A4A">
        <w:rPr>
          <w:rFonts w:ascii="Times New Roman" w:hAnsi="Times New Roman"/>
          <w:sz w:val="28"/>
          <w:szCs w:val="28"/>
        </w:rPr>
        <w:t xml:space="preserve"> served its purpose in every respect</w:t>
      </w:r>
      <w:r w:rsidR="00B04FA7">
        <w:rPr>
          <w:rFonts w:ascii="Times New Roman" w:hAnsi="Times New Roman"/>
          <w:sz w:val="28"/>
          <w:szCs w:val="28"/>
        </w:rPr>
        <w:t>.</w:t>
      </w:r>
      <w:r w:rsidR="00004A4A">
        <w:rPr>
          <w:rFonts w:ascii="Times New Roman" w:hAnsi="Times New Roman"/>
          <w:sz w:val="28"/>
          <w:szCs w:val="28"/>
        </w:rPr>
        <w:t xml:space="preserve"> </w:t>
      </w:r>
      <w:r w:rsidR="00B04FA7">
        <w:rPr>
          <w:rFonts w:ascii="Times New Roman" w:hAnsi="Times New Roman"/>
          <w:sz w:val="28"/>
          <w:szCs w:val="28"/>
        </w:rPr>
        <w:t>T</w:t>
      </w:r>
      <w:r w:rsidR="00B1443E">
        <w:rPr>
          <w:rFonts w:ascii="Times New Roman" w:hAnsi="Times New Roman"/>
          <w:sz w:val="28"/>
          <w:szCs w:val="28"/>
        </w:rPr>
        <w:t xml:space="preserve">he first respondent </w:t>
      </w:r>
      <w:r w:rsidR="00367CD2">
        <w:rPr>
          <w:rFonts w:ascii="Times New Roman" w:hAnsi="Times New Roman"/>
          <w:sz w:val="28"/>
          <w:szCs w:val="28"/>
        </w:rPr>
        <w:t xml:space="preserve">was </w:t>
      </w:r>
      <w:r w:rsidR="00B04FA7">
        <w:rPr>
          <w:rFonts w:ascii="Times New Roman" w:hAnsi="Times New Roman"/>
          <w:sz w:val="28"/>
          <w:szCs w:val="28"/>
        </w:rPr>
        <w:t>certainly</w:t>
      </w:r>
      <w:r w:rsidR="00367CD2">
        <w:rPr>
          <w:rFonts w:ascii="Times New Roman" w:hAnsi="Times New Roman"/>
          <w:sz w:val="28"/>
          <w:szCs w:val="28"/>
        </w:rPr>
        <w:t xml:space="preserve"> aware of the proceedings and of his rights referred to in section </w:t>
      </w:r>
      <w:r w:rsidR="00572D20">
        <w:rPr>
          <w:rFonts w:ascii="Times New Roman" w:hAnsi="Times New Roman"/>
          <w:sz w:val="28"/>
          <w:szCs w:val="28"/>
        </w:rPr>
        <w:t>4 (5) (d) of the PIE Act</w:t>
      </w:r>
      <w:r w:rsidR="00B04FA7">
        <w:rPr>
          <w:rFonts w:ascii="Times New Roman" w:hAnsi="Times New Roman"/>
          <w:sz w:val="28"/>
          <w:szCs w:val="28"/>
        </w:rPr>
        <w:t xml:space="preserve"> and </w:t>
      </w:r>
      <w:r w:rsidR="00B86248">
        <w:rPr>
          <w:rFonts w:ascii="Times New Roman" w:hAnsi="Times New Roman"/>
          <w:sz w:val="28"/>
          <w:szCs w:val="28"/>
        </w:rPr>
        <w:t xml:space="preserve">in fact </w:t>
      </w:r>
      <w:r w:rsidR="00B04FA7">
        <w:rPr>
          <w:rFonts w:ascii="Times New Roman" w:hAnsi="Times New Roman"/>
          <w:sz w:val="28"/>
          <w:szCs w:val="28"/>
        </w:rPr>
        <w:t xml:space="preserve">made </w:t>
      </w:r>
      <w:r w:rsidR="00DF1210">
        <w:rPr>
          <w:rFonts w:ascii="Times New Roman" w:hAnsi="Times New Roman"/>
          <w:sz w:val="28"/>
          <w:szCs w:val="28"/>
        </w:rPr>
        <w:t xml:space="preserve">his </w:t>
      </w:r>
      <w:r w:rsidR="00383243">
        <w:rPr>
          <w:rFonts w:ascii="Times New Roman" w:hAnsi="Times New Roman"/>
          <w:sz w:val="28"/>
          <w:szCs w:val="28"/>
        </w:rPr>
        <w:t>submissions</w:t>
      </w:r>
      <w:r w:rsidR="00072C94">
        <w:rPr>
          <w:rFonts w:ascii="Times New Roman" w:hAnsi="Times New Roman"/>
          <w:sz w:val="28"/>
          <w:szCs w:val="28"/>
        </w:rPr>
        <w:t>, limited by their nature to the single observation that an eviction order would render him homeless</w:t>
      </w:r>
      <w:r w:rsidR="00383243">
        <w:rPr>
          <w:rFonts w:ascii="Times New Roman" w:hAnsi="Times New Roman"/>
          <w:sz w:val="28"/>
          <w:szCs w:val="28"/>
        </w:rPr>
        <w:t xml:space="preserve"> (</w:t>
      </w:r>
      <w:r w:rsidR="00BD3288">
        <w:rPr>
          <w:rFonts w:ascii="Times New Roman" w:hAnsi="Times New Roman"/>
          <w:sz w:val="28"/>
          <w:szCs w:val="28"/>
        </w:rPr>
        <w:t>a mere state of fact</w:t>
      </w:r>
      <w:r w:rsidR="003E0DFA">
        <w:rPr>
          <w:rFonts w:ascii="Times New Roman" w:hAnsi="Times New Roman"/>
          <w:sz w:val="28"/>
          <w:szCs w:val="28"/>
        </w:rPr>
        <w:t xml:space="preserve">), but </w:t>
      </w:r>
      <w:r w:rsidR="00BD3288">
        <w:rPr>
          <w:rFonts w:ascii="Times New Roman" w:hAnsi="Times New Roman"/>
          <w:sz w:val="28"/>
          <w:szCs w:val="28"/>
        </w:rPr>
        <w:t xml:space="preserve">which situation would </w:t>
      </w:r>
      <w:r w:rsidR="00B96E3D">
        <w:rPr>
          <w:rFonts w:ascii="Times New Roman" w:hAnsi="Times New Roman"/>
          <w:sz w:val="28"/>
          <w:szCs w:val="28"/>
        </w:rPr>
        <w:t>have</w:t>
      </w:r>
      <w:r w:rsidR="00BD3288">
        <w:rPr>
          <w:rFonts w:ascii="Times New Roman" w:hAnsi="Times New Roman"/>
          <w:sz w:val="28"/>
          <w:szCs w:val="28"/>
        </w:rPr>
        <w:t xml:space="preserve"> been ameliorated by </w:t>
      </w:r>
      <w:r w:rsidR="00B96E3D">
        <w:rPr>
          <w:rFonts w:ascii="Times New Roman" w:hAnsi="Times New Roman"/>
          <w:sz w:val="28"/>
          <w:szCs w:val="28"/>
        </w:rPr>
        <w:t xml:space="preserve">affording him and his family </w:t>
      </w:r>
      <w:r w:rsidR="00D35BB5">
        <w:rPr>
          <w:rFonts w:ascii="Times New Roman" w:hAnsi="Times New Roman"/>
          <w:sz w:val="28"/>
          <w:szCs w:val="28"/>
        </w:rPr>
        <w:t xml:space="preserve">reasonable notice to </w:t>
      </w:r>
      <w:r w:rsidR="001A5862">
        <w:rPr>
          <w:rFonts w:ascii="Times New Roman" w:hAnsi="Times New Roman"/>
          <w:sz w:val="28"/>
          <w:szCs w:val="28"/>
        </w:rPr>
        <w:t>move out of the property.  By the first respondent’s own admission</w:t>
      </w:r>
      <w:r w:rsidR="00B9513B">
        <w:rPr>
          <w:rFonts w:ascii="Times New Roman" w:hAnsi="Times New Roman"/>
          <w:sz w:val="28"/>
          <w:szCs w:val="28"/>
        </w:rPr>
        <w:t xml:space="preserve">, </w:t>
      </w:r>
      <w:r w:rsidR="001A5862">
        <w:rPr>
          <w:rFonts w:ascii="Times New Roman" w:hAnsi="Times New Roman"/>
          <w:sz w:val="28"/>
          <w:szCs w:val="28"/>
        </w:rPr>
        <w:t xml:space="preserve">his primary concern is </w:t>
      </w:r>
      <w:r w:rsidR="00181087">
        <w:rPr>
          <w:rFonts w:ascii="Times New Roman" w:hAnsi="Times New Roman"/>
          <w:sz w:val="28"/>
          <w:szCs w:val="28"/>
        </w:rPr>
        <w:t xml:space="preserve">his contention that he is not an unlawful occupier within the </w:t>
      </w:r>
      <w:r w:rsidR="00383243">
        <w:rPr>
          <w:rFonts w:ascii="Times New Roman" w:hAnsi="Times New Roman"/>
          <w:sz w:val="28"/>
          <w:szCs w:val="28"/>
        </w:rPr>
        <w:t>meaning of the definition in the PIE Act.</w:t>
      </w:r>
      <w:r w:rsidR="009B0811">
        <w:rPr>
          <w:rFonts w:ascii="Times New Roman" w:hAnsi="Times New Roman"/>
          <w:sz w:val="28"/>
          <w:szCs w:val="28"/>
        </w:rPr>
        <w:t xml:space="preserve"> Once that issue </w:t>
      </w:r>
      <w:r w:rsidR="009E5201">
        <w:rPr>
          <w:rFonts w:ascii="Times New Roman" w:hAnsi="Times New Roman"/>
          <w:sz w:val="28"/>
          <w:szCs w:val="28"/>
        </w:rPr>
        <w:t xml:space="preserve">has been resolved the applicants can approach the court </w:t>
      </w:r>
      <w:r w:rsidR="00265040">
        <w:rPr>
          <w:rFonts w:ascii="Times New Roman" w:hAnsi="Times New Roman"/>
          <w:sz w:val="28"/>
          <w:szCs w:val="28"/>
        </w:rPr>
        <w:t>afresh</w:t>
      </w:r>
      <w:r w:rsidR="00A51960">
        <w:rPr>
          <w:rFonts w:ascii="Times New Roman" w:hAnsi="Times New Roman"/>
          <w:sz w:val="28"/>
          <w:szCs w:val="28"/>
        </w:rPr>
        <w:t xml:space="preserve">, alternatively can </w:t>
      </w:r>
      <w:r w:rsidR="00F87EC8">
        <w:rPr>
          <w:rFonts w:ascii="Times New Roman" w:hAnsi="Times New Roman"/>
          <w:sz w:val="28"/>
          <w:szCs w:val="28"/>
        </w:rPr>
        <w:t xml:space="preserve">seek a directions order in the pending action </w:t>
      </w:r>
      <w:r w:rsidR="00452404">
        <w:rPr>
          <w:rFonts w:ascii="Times New Roman" w:hAnsi="Times New Roman"/>
          <w:sz w:val="28"/>
          <w:szCs w:val="28"/>
        </w:rPr>
        <w:t>to be served timeously before the h</w:t>
      </w:r>
      <w:r w:rsidR="00CD0DAE">
        <w:rPr>
          <w:rFonts w:ascii="Times New Roman" w:hAnsi="Times New Roman"/>
          <w:sz w:val="28"/>
          <w:szCs w:val="28"/>
        </w:rPr>
        <w:t>earing.</w:t>
      </w:r>
      <w:r w:rsidR="00CD0DAE">
        <w:rPr>
          <w:rStyle w:val="FootnoteReference"/>
          <w:rFonts w:ascii="Times New Roman" w:hAnsi="Times New Roman"/>
          <w:sz w:val="28"/>
          <w:szCs w:val="28"/>
        </w:rPr>
        <w:footnoteReference w:id="18"/>
      </w:r>
    </w:p>
    <w:p w14:paraId="3E2ACD8E" w14:textId="77777777" w:rsidR="00383243" w:rsidRDefault="00383243" w:rsidP="00383243">
      <w:pPr>
        <w:pStyle w:val="ListParagraph"/>
        <w:spacing w:line="360" w:lineRule="auto"/>
        <w:ind w:left="0"/>
        <w:jc w:val="both"/>
        <w:rPr>
          <w:rFonts w:ascii="Times New Roman" w:hAnsi="Times New Roman"/>
          <w:sz w:val="28"/>
          <w:szCs w:val="28"/>
        </w:rPr>
      </w:pPr>
    </w:p>
    <w:p w14:paraId="0B1C836D" w14:textId="77777777" w:rsidR="00756E8D" w:rsidRDefault="00756E8D" w:rsidP="00D4380F">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t xml:space="preserve">In the result, I </w:t>
      </w:r>
      <w:r w:rsidR="00B9513B">
        <w:rPr>
          <w:rFonts w:ascii="Times New Roman" w:hAnsi="Times New Roman"/>
          <w:sz w:val="28"/>
          <w:szCs w:val="28"/>
        </w:rPr>
        <w:t>issue</w:t>
      </w:r>
      <w:r>
        <w:rPr>
          <w:rFonts w:ascii="Times New Roman" w:hAnsi="Times New Roman"/>
          <w:sz w:val="28"/>
          <w:szCs w:val="28"/>
        </w:rPr>
        <w:t xml:space="preserve"> the following</w:t>
      </w:r>
      <w:r w:rsidR="00B9513B">
        <w:rPr>
          <w:rFonts w:ascii="Times New Roman" w:hAnsi="Times New Roman"/>
          <w:sz w:val="28"/>
          <w:szCs w:val="28"/>
        </w:rPr>
        <w:t xml:space="preserve"> order</w:t>
      </w:r>
      <w:r>
        <w:rPr>
          <w:rFonts w:ascii="Times New Roman" w:hAnsi="Times New Roman"/>
          <w:sz w:val="28"/>
          <w:szCs w:val="28"/>
        </w:rPr>
        <w:t>:</w:t>
      </w:r>
    </w:p>
    <w:p w14:paraId="5FEAA0F9" w14:textId="77777777" w:rsidR="00756E8D" w:rsidRPr="00756E8D" w:rsidRDefault="00756E8D" w:rsidP="00756E8D">
      <w:pPr>
        <w:pStyle w:val="ListParagraph"/>
        <w:rPr>
          <w:rFonts w:ascii="Times New Roman" w:hAnsi="Times New Roman"/>
          <w:sz w:val="28"/>
          <w:szCs w:val="28"/>
        </w:rPr>
      </w:pPr>
    </w:p>
    <w:p w14:paraId="472E4906" w14:textId="77777777" w:rsidR="00756E8D" w:rsidRDefault="00756E8D" w:rsidP="00756E8D">
      <w:pPr>
        <w:pStyle w:val="ListParagraph"/>
        <w:numPr>
          <w:ilvl w:val="0"/>
          <w:numId w:val="7"/>
        </w:numPr>
        <w:spacing w:line="360" w:lineRule="auto"/>
        <w:jc w:val="both"/>
        <w:rPr>
          <w:rFonts w:ascii="Times New Roman" w:hAnsi="Times New Roman"/>
          <w:sz w:val="28"/>
          <w:szCs w:val="28"/>
        </w:rPr>
      </w:pPr>
      <w:r>
        <w:rPr>
          <w:rFonts w:ascii="Times New Roman" w:hAnsi="Times New Roman"/>
          <w:sz w:val="28"/>
          <w:szCs w:val="28"/>
        </w:rPr>
        <w:t>The application is dismissed, with costs.</w:t>
      </w:r>
    </w:p>
    <w:p w14:paraId="55B4397B" w14:textId="77777777" w:rsidR="00222545" w:rsidRDefault="00222545" w:rsidP="00222545">
      <w:pPr>
        <w:pStyle w:val="ListParagraph"/>
        <w:spacing w:line="360" w:lineRule="auto"/>
        <w:ind w:left="0"/>
        <w:jc w:val="both"/>
        <w:rPr>
          <w:rFonts w:ascii="Times New Roman" w:hAnsi="Times New Roman"/>
          <w:sz w:val="28"/>
          <w:szCs w:val="28"/>
        </w:rPr>
      </w:pPr>
    </w:p>
    <w:p w14:paraId="7E0DF667" w14:textId="77777777" w:rsidR="00EA6748" w:rsidRDefault="00EA6748" w:rsidP="00222545">
      <w:pPr>
        <w:pStyle w:val="ListParagraph"/>
        <w:spacing w:line="360" w:lineRule="auto"/>
        <w:ind w:left="0"/>
        <w:jc w:val="both"/>
        <w:rPr>
          <w:rFonts w:ascii="Times New Roman" w:hAnsi="Times New Roman"/>
          <w:sz w:val="28"/>
          <w:szCs w:val="28"/>
        </w:rPr>
      </w:pPr>
    </w:p>
    <w:p w14:paraId="78B2BBA2" w14:textId="77777777" w:rsidR="00EA6748" w:rsidRDefault="00EA6748" w:rsidP="00222545">
      <w:pPr>
        <w:pStyle w:val="ListParagraph"/>
        <w:spacing w:line="360" w:lineRule="auto"/>
        <w:ind w:left="0"/>
        <w:jc w:val="both"/>
        <w:rPr>
          <w:rFonts w:ascii="Times New Roman" w:hAnsi="Times New Roman"/>
          <w:sz w:val="28"/>
          <w:szCs w:val="28"/>
        </w:rPr>
      </w:pPr>
    </w:p>
    <w:p w14:paraId="7BD53D8B" w14:textId="77777777" w:rsidR="00222545" w:rsidRPr="00A909D0" w:rsidRDefault="00222545" w:rsidP="00222545">
      <w:pPr>
        <w:spacing w:line="360" w:lineRule="auto"/>
        <w:contextualSpacing/>
        <w:jc w:val="both"/>
        <w:rPr>
          <w:rFonts w:ascii="Times New Roman" w:hAnsi="Times New Roman"/>
          <w:b/>
          <w:sz w:val="28"/>
          <w:szCs w:val="28"/>
        </w:rPr>
      </w:pPr>
      <w:r w:rsidRPr="00A909D0">
        <w:rPr>
          <w:rFonts w:ascii="Times New Roman" w:hAnsi="Times New Roman"/>
          <w:b/>
          <w:sz w:val="28"/>
          <w:szCs w:val="28"/>
        </w:rPr>
        <w:t>________________</w:t>
      </w:r>
    </w:p>
    <w:p w14:paraId="3EA6FBE7" w14:textId="77777777" w:rsidR="00222545" w:rsidRPr="005940F7" w:rsidRDefault="00222545" w:rsidP="00222545">
      <w:pPr>
        <w:spacing w:line="360" w:lineRule="auto"/>
        <w:contextualSpacing/>
        <w:jc w:val="both"/>
        <w:rPr>
          <w:rFonts w:ascii="Times New Roman" w:hAnsi="Times New Roman"/>
          <w:b/>
          <w:sz w:val="26"/>
          <w:szCs w:val="28"/>
        </w:rPr>
      </w:pPr>
      <w:r>
        <w:rPr>
          <w:rFonts w:ascii="Times New Roman" w:hAnsi="Times New Roman"/>
          <w:b/>
          <w:sz w:val="28"/>
          <w:szCs w:val="28"/>
        </w:rPr>
        <w:t xml:space="preserve">B HARTLE </w:t>
      </w:r>
    </w:p>
    <w:p w14:paraId="271A90E1" w14:textId="77777777" w:rsidR="00222545" w:rsidRDefault="00222545" w:rsidP="00222545">
      <w:pPr>
        <w:spacing w:line="360" w:lineRule="auto"/>
        <w:contextualSpacing/>
        <w:jc w:val="both"/>
        <w:rPr>
          <w:rFonts w:ascii="Times New Roman" w:hAnsi="Times New Roman"/>
          <w:b/>
          <w:sz w:val="28"/>
          <w:szCs w:val="28"/>
        </w:rPr>
      </w:pPr>
      <w:r w:rsidRPr="00A909D0">
        <w:rPr>
          <w:rFonts w:ascii="Times New Roman" w:hAnsi="Times New Roman"/>
          <w:b/>
          <w:sz w:val="28"/>
          <w:szCs w:val="28"/>
        </w:rPr>
        <w:t>JUDGE OF THE HIGH COURT</w:t>
      </w:r>
    </w:p>
    <w:p w14:paraId="4134D7E9" w14:textId="77777777" w:rsidR="007B541C" w:rsidRDefault="007B541C" w:rsidP="00222545">
      <w:pPr>
        <w:pStyle w:val="ListParagraph"/>
        <w:spacing w:line="360" w:lineRule="auto"/>
        <w:ind w:left="0"/>
        <w:jc w:val="both"/>
        <w:rPr>
          <w:rFonts w:ascii="Times New Roman" w:hAnsi="Times New Roman"/>
          <w:sz w:val="28"/>
          <w:szCs w:val="28"/>
        </w:rPr>
      </w:pPr>
    </w:p>
    <w:p w14:paraId="234BED1F" w14:textId="77777777" w:rsidR="00222545" w:rsidRDefault="00222545" w:rsidP="00222545">
      <w:pPr>
        <w:pStyle w:val="ListParagraph"/>
        <w:spacing w:line="360" w:lineRule="auto"/>
        <w:ind w:left="0"/>
        <w:jc w:val="both"/>
        <w:rPr>
          <w:rFonts w:ascii="Times New Roman" w:hAnsi="Times New Roman"/>
          <w:sz w:val="28"/>
          <w:szCs w:val="28"/>
        </w:rPr>
      </w:pPr>
    </w:p>
    <w:p w14:paraId="32D4922F" w14:textId="135E8E86" w:rsidR="007B541C" w:rsidRDefault="007B541C" w:rsidP="009034AD">
      <w:pPr>
        <w:spacing w:line="360" w:lineRule="auto"/>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sidR="002630E6">
        <w:rPr>
          <w:rFonts w:ascii="Times New Roman" w:hAnsi="Times New Roman"/>
          <w:sz w:val="28"/>
          <w:szCs w:val="28"/>
        </w:rPr>
        <w:tab/>
      </w:r>
      <w:r w:rsidR="00EA6748">
        <w:rPr>
          <w:rFonts w:ascii="Times New Roman" w:hAnsi="Times New Roman"/>
          <w:sz w:val="28"/>
          <w:szCs w:val="28"/>
        </w:rPr>
        <w:t xml:space="preserve"> </w:t>
      </w:r>
      <w:r w:rsidR="00450364">
        <w:rPr>
          <w:rFonts w:ascii="Times New Roman" w:hAnsi="Times New Roman"/>
          <w:sz w:val="28"/>
          <w:szCs w:val="28"/>
        </w:rPr>
        <w:tab/>
      </w:r>
      <w:r w:rsidR="00450364" w:rsidRPr="00450364">
        <w:rPr>
          <w:rFonts w:ascii="Times New Roman" w:hAnsi="Times New Roman"/>
          <w:sz w:val="28"/>
          <w:szCs w:val="28"/>
        </w:rPr>
        <w:t xml:space="preserve">14 February </w:t>
      </w:r>
      <w:r w:rsidR="00450364">
        <w:rPr>
          <w:rFonts w:ascii="Times New Roman" w:hAnsi="Times New Roman"/>
          <w:sz w:val="28"/>
          <w:szCs w:val="28"/>
        </w:rPr>
        <w:t>2022</w:t>
      </w:r>
    </w:p>
    <w:p w14:paraId="74F025DD" w14:textId="7AE3E1E9" w:rsidR="00450364" w:rsidRDefault="00450364" w:rsidP="009034AD">
      <w:pPr>
        <w:spacing w:line="360" w:lineRule="auto"/>
        <w:contextualSpacing/>
        <w:jc w:val="both"/>
        <w:rPr>
          <w:rFonts w:ascii="Times New Roman" w:hAnsi="Times New Roman"/>
          <w:sz w:val="28"/>
          <w:szCs w:val="28"/>
        </w:rPr>
      </w:pPr>
      <w:r>
        <w:rPr>
          <w:rFonts w:ascii="Times New Roman" w:hAnsi="Times New Roman"/>
          <w:sz w:val="28"/>
          <w:szCs w:val="28"/>
        </w:rPr>
        <w:t>Last date</w:t>
      </w:r>
      <w:r w:rsidRPr="00450364">
        <w:rPr>
          <w:rFonts w:ascii="Times New Roman" w:hAnsi="Times New Roman"/>
          <w:sz w:val="28"/>
          <w:szCs w:val="28"/>
        </w:rPr>
        <w:t xml:space="preserve"> submissions received</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29 April 2022</w:t>
      </w:r>
    </w:p>
    <w:p w14:paraId="1FF8D956" w14:textId="2D8E6D4B" w:rsidR="007B541C" w:rsidRPr="004525D8" w:rsidRDefault="007B541C" w:rsidP="007B541C">
      <w:pPr>
        <w:pStyle w:val="ListParagraph"/>
        <w:spacing w:line="360" w:lineRule="auto"/>
        <w:ind w:left="0"/>
        <w:jc w:val="both"/>
        <w:rPr>
          <w:rFonts w:ascii="Times New Roman" w:hAnsi="Times New Roman"/>
          <w:sz w:val="28"/>
          <w:szCs w:val="28"/>
        </w:rPr>
      </w:pPr>
      <w:r w:rsidRPr="00A909D0">
        <w:rPr>
          <w:rFonts w:ascii="Times New Roman" w:hAnsi="Times New Roman"/>
          <w:sz w:val="28"/>
          <w:szCs w:val="28"/>
        </w:rPr>
        <w:t xml:space="preserve">DATE OF </w:t>
      </w:r>
      <w:r w:rsidR="009034AD">
        <w:rPr>
          <w:rFonts w:ascii="Times New Roman" w:hAnsi="Times New Roman"/>
          <w:sz w:val="28"/>
          <w:szCs w:val="28"/>
        </w:rPr>
        <w:t>JUDGMENT</w:t>
      </w:r>
      <w:r w:rsidR="007F521A">
        <w:rPr>
          <w:rFonts w:ascii="Times New Roman" w:hAnsi="Times New Roman"/>
          <w:sz w:val="28"/>
          <w:szCs w:val="28"/>
        </w:rPr>
        <w:t>:</w:t>
      </w:r>
      <w:r w:rsidR="007F521A">
        <w:rPr>
          <w:rFonts w:ascii="Times New Roman" w:hAnsi="Times New Roman"/>
          <w:sz w:val="28"/>
          <w:szCs w:val="28"/>
        </w:rPr>
        <w:tab/>
      </w:r>
      <w:r w:rsidR="007F521A">
        <w:rPr>
          <w:rFonts w:ascii="Times New Roman" w:hAnsi="Times New Roman"/>
          <w:sz w:val="28"/>
          <w:szCs w:val="28"/>
        </w:rPr>
        <w:tab/>
      </w:r>
      <w:r w:rsidR="00450364">
        <w:rPr>
          <w:rFonts w:ascii="Times New Roman" w:hAnsi="Times New Roman"/>
          <w:sz w:val="28"/>
          <w:szCs w:val="28"/>
        </w:rPr>
        <w:tab/>
      </w:r>
      <w:r w:rsidR="00EA6748">
        <w:rPr>
          <w:rFonts w:ascii="Times New Roman" w:hAnsi="Times New Roman"/>
          <w:sz w:val="28"/>
          <w:szCs w:val="28"/>
        </w:rPr>
        <w:t xml:space="preserve">9 </w:t>
      </w:r>
      <w:r w:rsidR="009639B2">
        <w:rPr>
          <w:rFonts w:ascii="Times New Roman" w:hAnsi="Times New Roman"/>
          <w:sz w:val="28"/>
          <w:szCs w:val="28"/>
        </w:rPr>
        <w:t>June</w:t>
      </w:r>
      <w:r>
        <w:rPr>
          <w:rFonts w:ascii="Times New Roman" w:hAnsi="Times New Roman"/>
          <w:sz w:val="28"/>
          <w:szCs w:val="28"/>
        </w:rPr>
        <w:t xml:space="preserve"> 2022*</w:t>
      </w:r>
    </w:p>
    <w:p w14:paraId="28B67DED" w14:textId="61021BCF" w:rsidR="00A0484F" w:rsidRDefault="00152456" w:rsidP="00A0484F">
      <w:pPr>
        <w:spacing w:line="360" w:lineRule="auto"/>
        <w:contextualSpacing/>
        <w:jc w:val="both"/>
        <w:rPr>
          <w:rFonts w:ascii="Times New Roman" w:hAnsi="Times New Roman"/>
          <w:sz w:val="24"/>
          <w:szCs w:val="24"/>
        </w:rPr>
      </w:pPr>
      <w:r>
        <w:rPr>
          <w:rFonts w:ascii="Times New Roman" w:hAnsi="Times New Roman"/>
          <w:sz w:val="24"/>
          <w:szCs w:val="24"/>
        </w:rPr>
        <w:t xml:space="preserve">*Judgement delivered by email </w:t>
      </w:r>
      <w:r w:rsidR="00450364">
        <w:rPr>
          <w:rFonts w:ascii="Times New Roman" w:hAnsi="Times New Roman"/>
          <w:sz w:val="24"/>
          <w:szCs w:val="24"/>
        </w:rPr>
        <w:t xml:space="preserve">to the parties </w:t>
      </w:r>
      <w:r>
        <w:rPr>
          <w:rFonts w:ascii="Times New Roman" w:hAnsi="Times New Roman"/>
          <w:sz w:val="24"/>
          <w:szCs w:val="24"/>
        </w:rPr>
        <w:t>on this date.</w:t>
      </w:r>
    </w:p>
    <w:p w14:paraId="7C09C416" w14:textId="77777777" w:rsidR="00152456" w:rsidRDefault="00152456" w:rsidP="00A0484F">
      <w:pPr>
        <w:spacing w:line="360" w:lineRule="auto"/>
        <w:contextualSpacing/>
        <w:jc w:val="both"/>
        <w:rPr>
          <w:rFonts w:ascii="Times New Roman" w:hAnsi="Times New Roman"/>
          <w:sz w:val="24"/>
          <w:szCs w:val="24"/>
        </w:rPr>
      </w:pPr>
    </w:p>
    <w:p w14:paraId="1DB47BC7" w14:textId="77777777" w:rsidR="00EA6748" w:rsidRDefault="00EA6748" w:rsidP="00A0484F">
      <w:pPr>
        <w:spacing w:line="360" w:lineRule="auto"/>
        <w:contextualSpacing/>
        <w:jc w:val="both"/>
        <w:rPr>
          <w:rFonts w:ascii="Times New Roman" w:hAnsi="Times New Roman"/>
          <w:sz w:val="24"/>
          <w:szCs w:val="24"/>
        </w:rPr>
      </w:pPr>
    </w:p>
    <w:p w14:paraId="2FFD3778" w14:textId="77777777" w:rsidR="00EA6748" w:rsidRDefault="00EA6748" w:rsidP="00A0484F">
      <w:pPr>
        <w:spacing w:line="360" w:lineRule="auto"/>
        <w:contextualSpacing/>
        <w:jc w:val="both"/>
        <w:rPr>
          <w:rFonts w:ascii="Times New Roman" w:hAnsi="Times New Roman"/>
          <w:sz w:val="24"/>
          <w:szCs w:val="24"/>
        </w:rPr>
      </w:pPr>
    </w:p>
    <w:p w14:paraId="2045B696" w14:textId="77777777" w:rsidR="00EA6748" w:rsidRDefault="00EA6748" w:rsidP="00A0484F">
      <w:pPr>
        <w:spacing w:line="360" w:lineRule="auto"/>
        <w:contextualSpacing/>
        <w:jc w:val="both"/>
        <w:rPr>
          <w:rFonts w:ascii="Times New Roman" w:hAnsi="Times New Roman"/>
          <w:sz w:val="24"/>
          <w:szCs w:val="24"/>
        </w:rPr>
      </w:pPr>
    </w:p>
    <w:p w14:paraId="2D7A509D" w14:textId="77777777" w:rsidR="00A0484F" w:rsidRPr="00A909D0" w:rsidRDefault="00A0484F" w:rsidP="00A0484F">
      <w:pPr>
        <w:spacing w:line="360" w:lineRule="auto"/>
        <w:contextualSpacing/>
        <w:jc w:val="both"/>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14:paraId="487372BF" w14:textId="77777777" w:rsidR="00A0484F" w:rsidRPr="00A909D0" w:rsidRDefault="00A0484F" w:rsidP="00A0484F">
      <w:pPr>
        <w:spacing w:line="360" w:lineRule="auto"/>
        <w:contextualSpacing/>
        <w:jc w:val="both"/>
        <w:rPr>
          <w:rFonts w:ascii="Times New Roman" w:hAnsi="Times New Roman"/>
          <w:sz w:val="24"/>
          <w:szCs w:val="24"/>
        </w:rPr>
      </w:pPr>
    </w:p>
    <w:p w14:paraId="1005EFD1" w14:textId="77777777" w:rsidR="00A0484F" w:rsidRDefault="00A0484F" w:rsidP="00A0484F">
      <w:pPr>
        <w:spacing w:line="360" w:lineRule="auto"/>
        <w:contextualSpacing/>
        <w:jc w:val="both"/>
        <w:rPr>
          <w:rFonts w:ascii="Times New Roman" w:hAnsi="Times New Roman"/>
          <w:i/>
          <w:sz w:val="24"/>
          <w:szCs w:val="24"/>
        </w:rPr>
      </w:pPr>
      <w:r>
        <w:rPr>
          <w:rFonts w:ascii="Times New Roman" w:hAnsi="Times New Roman"/>
          <w:i/>
          <w:sz w:val="24"/>
          <w:szCs w:val="24"/>
        </w:rPr>
        <w:t>For the applicant</w:t>
      </w:r>
      <w:r w:rsidR="005C1973">
        <w:rPr>
          <w:rFonts w:ascii="Times New Roman" w:hAnsi="Times New Roman"/>
          <w:i/>
          <w:sz w:val="24"/>
          <w:szCs w:val="24"/>
        </w:rPr>
        <w:t>s</w:t>
      </w:r>
      <w:r>
        <w:rPr>
          <w:rFonts w:ascii="Times New Roman" w:hAnsi="Times New Roman"/>
          <w:i/>
          <w:sz w:val="24"/>
          <w:szCs w:val="24"/>
        </w:rPr>
        <w:t xml:space="preserve">: </w:t>
      </w:r>
      <w:r w:rsidRPr="00A909D0">
        <w:rPr>
          <w:rFonts w:ascii="Times New Roman" w:hAnsi="Times New Roman"/>
          <w:i/>
          <w:sz w:val="24"/>
          <w:szCs w:val="24"/>
        </w:rPr>
        <w:t xml:space="preserve">  </w:t>
      </w:r>
      <w:r>
        <w:rPr>
          <w:rFonts w:ascii="Times New Roman" w:hAnsi="Times New Roman"/>
          <w:i/>
          <w:sz w:val="24"/>
          <w:szCs w:val="24"/>
        </w:rPr>
        <w:t xml:space="preserve">Mr. S Collett instructed by </w:t>
      </w:r>
      <w:r w:rsidR="00CC4C80">
        <w:rPr>
          <w:rFonts w:ascii="Times New Roman" w:hAnsi="Times New Roman"/>
          <w:i/>
          <w:sz w:val="24"/>
          <w:szCs w:val="24"/>
        </w:rPr>
        <w:t>Van Rensburg &amp; Associates</w:t>
      </w:r>
      <w:r>
        <w:rPr>
          <w:rFonts w:ascii="Times New Roman" w:hAnsi="Times New Roman"/>
          <w:i/>
          <w:sz w:val="24"/>
          <w:szCs w:val="24"/>
        </w:rPr>
        <w:t xml:space="preserve">, East London (ref. </w:t>
      </w:r>
      <w:r w:rsidR="00CC4C80">
        <w:rPr>
          <w:rFonts w:ascii="Times New Roman" w:hAnsi="Times New Roman"/>
          <w:i/>
          <w:sz w:val="24"/>
          <w:szCs w:val="24"/>
        </w:rPr>
        <w:t>Mr R Collett).</w:t>
      </w:r>
    </w:p>
    <w:p w14:paraId="4ECDE404" w14:textId="77777777" w:rsidR="00A0484F" w:rsidRDefault="009034AD" w:rsidP="00672D72">
      <w:pPr>
        <w:spacing w:line="360" w:lineRule="auto"/>
        <w:contextualSpacing/>
        <w:jc w:val="both"/>
        <w:rPr>
          <w:rFonts w:ascii="Times New Roman" w:hAnsi="Times New Roman"/>
          <w:i/>
          <w:sz w:val="24"/>
          <w:szCs w:val="24"/>
        </w:rPr>
      </w:pPr>
      <w:r>
        <w:rPr>
          <w:rFonts w:ascii="Times New Roman" w:hAnsi="Times New Roman"/>
          <w:i/>
          <w:sz w:val="24"/>
          <w:szCs w:val="24"/>
        </w:rPr>
        <w:t>For the first respondent</w:t>
      </w:r>
      <w:r w:rsidR="00A0484F">
        <w:rPr>
          <w:rFonts w:ascii="Times New Roman" w:hAnsi="Times New Roman"/>
          <w:i/>
          <w:sz w:val="24"/>
          <w:szCs w:val="24"/>
        </w:rPr>
        <w:t xml:space="preserve">: </w:t>
      </w:r>
      <w:r w:rsidR="00672D72">
        <w:rPr>
          <w:rFonts w:ascii="Times New Roman" w:hAnsi="Times New Roman"/>
          <w:i/>
          <w:sz w:val="24"/>
          <w:szCs w:val="24"/>
        </w:rPr>
        <w:t>Mr</w:t>
      </w:r>
      <w:r>
        <w:rPr>
          <w:rFonts w:ascii="Times New Roman" w:hAnsi="Times New Roman"/>
          <w:i/>
          <w:sz w:val="24"/>
          <w:szCs w:val="24"/>
        </w:rPr>
        <w:t>.</w:t>
      </w:r>
      <w:r w:rsidR="00A0484F">
        <w:rPr>
          <w:rFonts w:ascii="Times New Roman" w:hAnsi="Times New Roman"/>
          <w:i/>
          <w:sz w:val="24"/>
          <w:szCs w:val="24"/>
        </w:rPr>
        <w:t xml:space="preserve"> Godongwana of Godongwana Pakade</w:t>
      </w:r>
      <w:r w:rsidR="00CC4C80">
        <w:rPr>
          <w:rFonts w:ascii="Times New Roman" w:hAnsi="Times New Roman"/>
          <w:i/>
          <w:sz w:val="24"/>
          <w:szCs w:val="24"/>
        </w:rPr>
        <w:t xml:space="preserve"> Attorneys</w:t>
      </w:r>
      <w:r w:rsidR="00A0484F">
        <w:rPr>
          <w:rFonts w:ascii="Times New Roman" w:hAnsi="Times New Roman"/>
          <w:i/>
          <w:sz w:val="24"/>
          <w:szCs w:val="24"/>
        </w:rPr>
        <w:t>, East London (ref. Mr. Godongwana)</w:t>
      </w:r>
      <w:r>
        <w:rPr>
          <w:rFonts w:ascii="Times New Roman" w:hAnsi="Times New Roman"/>
          <w:i/>
          <w:sz w:val="24"/>
          <w:szCs w:val="24"/>
        </w:rPr>
        <w:t>.</w:t>
      </w:r>
    </w:p>
    <w:p w14:paraId="4BB1450B" w14:textId="77777777" w:rsidR="00152456" w:rsidRPr="00A0484F" w:rsidRDefault="00152456" w:rsidP="00672D72">
      <w:pPr>
        <w:spacing w:line="360" w:lineRule="auto"/>
        <w:contextualSpacing/>
        <w:jc w:val="both"/>
        <w:rPr>
          <w:rFonts w:ascii="Times New Roman" w:hAnsi="Times New Roman"/>
          <w:sz w:val="28"/>
          <w:szCs w:val="28"/>
        </w:rPr>
      </w:pPr>
      <w:r>
        <w:rPr>
          <w:rFonts w:ascii="Times New Roman" w:hAnsi="Times New Roman"/>
          <w:i/>
          <w:sz w:val="24"/>
          <w:szCs w:val="24"/>
        </w:rPr>
        <w:t>For the second respondent: No appearance</w:t>
      </w:r>
      <w:r w:rsidR="00EA6748">
        <w:rPr>
          <w:rFonts w:ascii="Times New Roman" w:hAnsi="Times New Roman"/>
          <w:i/>
          <w:sz w:val="24"/>
          <w:szCs w:val="24"/>
        </w:rPr>
        <w:t>.</w:t>
      </w:r>
    </w:p>
    <w:sectPr w:rsidR="00152456" w:rsidRPr="00A0484F" w:rsidSect="00A0484F">
      <w:headerReference w:type="default" r:id="rId8"/>
      <w:type w:val="continuous"/>
      <w:pgSz w:w="11900" w:h="16840" w:code="9"/>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D8C68" w14:textId="77777777" w:rsidR="00380846" w:rsidRDefault="00380846" w:rsidP="00A0484F">
      <w:pPr>
        <w:spacing w:after="0" w:line="240" w:lineRule="auto"/>
      </w:pPr>
      <w:r>
        <w:separator/>
      </w:r>
    </w:p>
  </w:endnote>
  <w:endnote w:type="continuationSeparator" w:id="0">
    <w:p w14:paraId="2B9D7479" w14:textId="77777777" w:rsidR="00380846" w:rsidRDefault="00380846" w:rsidP="00A0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0DB94" w14:textId="77777777" w:rsidR="00380846" w:rsidRDefault="00380846" w:rsidP="00A0484F">
      <w:pPr>
        <w:spacing w:after="0" w:line="240" w:lineRule="auto"/>
      </w:pPr>
      <w:r>
        <w:separator/>
      </w:r>
    </w:p>
  </w:footnote>
  <w:footnote w:type="continuationSeparator" w:id="0">
    <w:p w14:paraId="33A92DAD" w14:textId="77777777" w:rsidR="00380846" w:rsidRDefault="00380846" w:rsidP="00A0484F">
      <w:pPr>
        <w:spacing w:after="0" w:line="240" w:lineRule="auto"/>
      </w:pPr>
      <w:r>
        <w:continuationSeparator/>
      </w:r>
    </w:p>
  </w:footnote>
  <w:footnote w:id="1">
    <w:p w14:paraId="76B8D170" w14:textId="77777777" w:rsidR="00F61FFC" w:rsidRPr="00F61FFC" w:rsidRDefault="00F61FFC" w:rsidP="00680A0C">
      <w:pPr>
        <w:pStyle w:val="FootnoteText"/>
        <w:jc w:val="both"/>
        <w:rPr>
          <w:lang w:val="en-GB"/>
        </w:rPr>
      </w:pPr>
      <w:r>
        <w:rPr>
          <w:rStyle w:val="FootnoteReference"/>
        </w:rPr>
        <w:footnoteRef/>
      </w:r>
      <w:r>
        <w:t xml:space="preserve"> </w:t>
      </w:r>
      <w:r w:rsidR="004836BC">
        <w:rPr>
          <w:lang w:val="en-GB"/>
        </w:rPr>
        <w:t xml:space="preserve">The matter was struck from the roll with costs </w:t>
      </w:r>
      <w:r w:rsidR="00CB7C44">
        <w:rPr>
          <w:lang w:val="en-GB"/>
        </w:rPr>
        <w:t xml:space="preserve">on this date </w:t>
      </w:r>
      <w:r w:rsidR="004836BC">
        <w:rPr>
          <w:lang w:val="en-GB"/>
        </w:rPr>
        <w:t>on the basis that the claimed urgency</w:t>
      </w:r>
      <w:r w:rsidR="00945CD3">
        <w:rPr>
          <w:lang w:val="en-GB"/>
        </w:rPr>
        <w:t xml:space="preserve"> had not been </w:t>
      </w:r>
      <w:r w:rsidR="00DB0118">
        <w:rPr>
          <w:lang w:val="en-GB"/>
        </w:rPr>
        <w:t>established.</w:t>
      </w:r>
    </w:p>
  </w:footnote>
  <w:footnote w:id="2">
    <w:p w14:paraId="2B47AB07" w14:textId="77777777" w:rsidR="009D2E18" w:rsidRPr="009D2E18" w:rsidRDefault="009D2E18" w:rsidP="00680A0C">
      <w:pPr>
        <w:pStyle w:val="FootnoteText"/>
        <w:jc w:val="both"/>
        <w:rPr>
          <w:lang w:val="en-GB"/>
        </w:rPr>
      </w:pPr>
      <w:r>
        <w:rPr>
          <w:rStyle w:val="FootnoteReference"/>
        </w:rPr>
        <w:footnoteRef/>
      </w:r>
      <w:r>
        <w:t xml:space="preserve"> </w:t>
      </w:r>
      <w:r>
        <w:rPr>
          <w:lang w:val="en-GB"/>
        </w:rPr>
        <w:t>The title deed was</w:t>
      </w:r>
      <w:r w:rsidR="00E60E72">
        <w:rPr>
          <w:lang w:val="en-GB"/>
        </w:rPr>
        <w:t xml:space="preserve"> received by the court first hearing the matter on 2 November 2021 and marked Exhibit “A”.</w:t>
      </w:r>
    </w:p>
  </w:footnote>
  <w:footnote w:id="3">
    <w:p w14:paraId="7778F066" w14:textId="77777777" w:rsidR="00C5290F" w:rsidRPr="00C5290F" w:rsidRDefault="00C5290F" w:rsidP="00680A0C">
      <w:pPr>
        <w:pStyle w:val="FootnoteText"/>
        <w:jc w:val="both"/>
        <w:rPr>
          <w:lang w:val="en-GB"/>
        </w:rPr>
      </w:pPr>
      <w:r>
        <w:rPr>
          <w:rStyle w:val="FootnoteReference"/>
        </w:rPr>
        <w:footnoteRef/>
      </w:r>
      <w:r>
        <w:t xml:space="preserve"> </w:t>
      </w:r>
      <w:r w:rsidR="00695648">
        <w:t>See the definition of “unlawful occupier” in section 1 of the PIE Act.</w:t>
      </w:r>
    </w:p>
  </w:footnote>
  <w:footnote w:id="4">
    <w:p w14:paraId="094C1B8E" w14:textId="6C2A2C2E" w:rsidR="007F6D6B" w:rsidRPr="007F6D6B" w:rsidRDefault="007F6D6B">
      <w:pPr>
        <w:pStyle w:val="FootnoteText"/>
        <w:rPr>
          <w:lang w:val="en-GB"/>
        </w:rPr>
      </w:pPr>
      <w:r>
        <w:rPr>
          <w:rStyle w:val="FootnoteReference"/>
        </w:rPr>
        <w:footnoteRef/>
      </w:r>
      <w:r>
        <w:t xml:space="preserve"> </w:t>
      </w:r>
      <w:r w:rsidR="008105A7">
        <w:rPr>
          <w:lang w:val="en-GB"/>
        </w:rPr>
        <w:t>T</w:t>
      </w:r>
      <w:r>
        <w:rPr>
          <w:lang w:val="en-GB"/>
        </w:rPr>
        <w:t xml:space="preserve">he first respondent </w:t>
      </w:r>
      <w:r w:rsidR="008105A7">
        <w:rPr>
          <w:lang w:val="en-GB"/>
        </w:rPr>
        <w:t xml:space="preserve">is probably referring to </w:t>
      </w:r>
      <w:r w:rsidR="00560249">
        <w:rPr>
          <w:lang w:val="en-GB"/>
        </w:rPr>
        <w:t>his</w:t>
      </w:r>
      <w:r w:rsidR="00A50743">
        <w:rPr>
          <w:lang w:val="en-GB"/>
        </w:rPr>
        <w:t xml:space="preserve"> </w:t>
      </w:r>
      <w:r w:rsidR="00F4210D">
        <w:rPr>
          <w:lang w:val="en-GB"/>
        </w:rPr>
        <w:t>s</w:t>
      </w:r>
      <w:r w:rsidR="00A41AC5">
        <w:rPr>
          <w:lang w:val="en-GB"/>
        </w:rPr>
        <w:t>ecurity constituted by his continued possession of the property.</w:t>
      </w:r>
    </w:p>
  </w:footnote>
  <w:footnote w:id="5">
    <w:p w14:paraId="75AB767B" w14:textId="490BD6D5" w:rsidR="00D11321" w:rsidRPr="00D11321" w:rsidRDefault="00D11321" w:rsidP="00680A0C">
      <w:pPr>
        <w:pStyle w:val="FootnoteText"/>
        <w:jc w:val="both"/>
        <w:rPr>
          <w:lang w:val="en-GB"/>
        </w:rPr>
      </w:pPr>
      <w:r>
        <w:rPr>
          <w:rStyle w:val="FootnoteReference"/>
        </w:rPr>
        <w:footnoteRef/>
      </w:r>
      <w:r>
        <w:t xml:space="preserve"> </w:t>
      </w:r>
      <w:r>
        <w:rPr>
          <w:lang w:val="en-GB"/>
        </w:rPr>
        <w:t xml:space="preserve">The applicants may well have only acquired </w:t>
      </w:r>
      <w:r w:rsidRPr="00C23EE4">
        <w:rPr>
          <w:i/>
          <w:iCs/>
          <w:lang w:val="en-GB"/>
        </w:rPr>
        <w:t>locus standi</w:t>
      </w:r>
      <w:r>
        <w:rPr>
          <w:lang w:val="en-GB"/>
        </w:rPr>
        <w:t xml:space="preserve"> to </w:t>
      </w:r>
      <w:r w:rsidR="0046608D">
        <w:rPr>
          <w:lang w:val="en-GB"/>
        </w:rPr>
        <w:t xml:space="preserve">invoke the </w:t>
      </w:r>
      <w:r w:rsidR="0046608D" w:rsidRPr="00C23EE4">
        <w:rPr>
          <w:i/>
          <w:iCs/>
          <w:lang w:val="en-GB"/>
        </w:rPr>
        <w:t>rei vindicatio</w:t>
      </w:r>
      <w:r w:rsidR="0046608D">
        <w:rPr>
          <w:lang w:val="en-GB"/>
        </w:rPr>
        <w:t xml:space="preserve"> on date of registration of transfer to them of the property, </w:t>
      </w:r>
      <w:r w:rsidR="00486ED7">
        <w:rPr>
          <w:lang w:val="en-GB"/>
        </w:rPr>
        <w:t xml:space="preserve">but the fact that the </w:t>
      </w:r>
      <w:r w:rsidR="00FF3661">
        <w:rPr>
          <w:lang w:val="en-GB"/>
        </w:rPr>
        <w:t>first respondent</w:t>
      </w:r>
      <w:r w:rsidR="004C1CE2">
        <w:rPr>
          <w:lang w:val="en-GB"/>
        </w:rPr>
        <w:t>’s occupation may be held to have been unlawful vis-à-vis the previous owner</w:t>
      </w:r>
      <w:r w:rsidR="00DB200E">
        <w:rPr>
          <w:lang w:val="en-GB"/>
        </w:rPr>
        <w:t xml:space="preserve"> earlier </w:t>
      </w:r>
      <w:r w:rsidR="00BE2717">
        <w:rPr>
          <w:lang w:val="en-GB"/>
        </w:rPr>
        <w:t xml:space="preserve">than this date is an entirely relevant factor </w:t>
      </w:r>
      <w:r w:rsidR="00A643DA">
        <w:rPr>
          <w:lang w:val="en-GB"/>
        </w:rPr>
        <w:t xml:space="preserve">in proceedings for </w:t>
      </w:r>
      <w:r w:rsidR="00C0324E">
        <w:rPr>
          <w:lang w:val="en-GB"/>
        </w:rPr>
        <w:t xml:space="preserve">eviction </w:t>
      </w:r>
      <w:r w:rsidR="00C23EE4">
        <w:rPr>
          <w:lang w:val="en-GB"/>
        </w:rPr>
        <w:t>under the provisions of the PIE Act</w:t>
      </w:r>
      <w:r w:rsidR="004819E3">
        <w:rPr>
          <w:lang w:val="en-GB"/>
        </w:rPr>
        <w:t xml:space="preserve">. </w:t>
      </w:r>
      <w:r w:rsidR="00A31B16">
        <w:rPr>
          <w:lang w:val="en-GB"/>
        </w:rPr>
        <w:t>It is also a determinant of whether the prov</w:t>
      </w:r>
      <w:r w:rsidR="00844CE8">
        <w:rPr>
          <w:lang w:val="en-GB"/>
        </w:rPr>
        <w:t>isions of sub-section (6) or (7) of the PIE Act apply.</w:t>
      </w:r>
      <w:r w:rsidR="00C10CA2">
        <w:rPr>
          <w:lang w:val="en-GB"/>
        </w:rPr>
        <w:t xml:space="preserve"> The applicants have not located their case under either</w:t>
      </w:r>
      <w:r w:rsidR="00C0324E">
        <w:rPr>
          <w:lang w:val="en-GB"/>
        </w:rPr>
        <w:t xml:space="preserve"> sub-section, n</w:t>
      </w:r>
      <w:r w:rsidR="00C10CA2">
        <w:rPr>
          <w:lang w:val="en-GB"/>
        </w:rPr>
        <w:t xml:space="preserve">either have they </w:t>
      </w:r>
      <w:r w:rsidR="00DB5E84">
        <w:rPr>
          <w:lang w:val="en-GB"/>
        </w:rPr>
        <w:t xml:space="preserve">even </w:t>
      </w:r>
      <w:r w:rsidR="00C10CA2">
        <w:rPr>
          <w:lang w:val="en-GB"/>
        </w:rPr>
        <w:t>made the essential averment that is just and equitable, according to one of those scenarios,</w:t>
      </w:r>
      <w:r w:rsidR="00230570">
        <w:rPr>
          <w:lang w:val="en-GB"/>
        </w:rPr>
        <w:t xml:space="preserve"> that this court should grant the order for the first respondent’s eviction from the property.</w:t>
      </w:r>
    </w:p>
  </w:footnote>
  <w:footnote w:id="6">
    <w:p w14:paraId="4DED4F95" w14:textId="77777777" w:rsidR="00B04F97" w:rsidRPr="00EE5440" w:rsidRDefault="00B04F97" w:rsidP="00680A0C">
      <w:pPr>
        <w:pStyle w:val="FootnoteText"/>
        <w:jc w:val="both"/>
        <w:rPr>
          <w:lang w:val="en-GB"/>
        </w:rPr>
      </w:pPr>
      <w:r>
        <w:rPr>
          <w:rStyle w:val="FootnoteReference"/>
        </w:rPr>
        <w:footnoteRef/>
      </w:r>
      <w:r>
        <w:t xml:space="preserve"> </w:t>
      </w:r>
      <w:r>
        <w:rPr>
          <w:lang w:val="en-GB"/>
        </w:rPr>
        <w:t xml:space="preserve">Exact details of the extent of Kriel’s indebtedness by the time of the launch of the application have not been disclosed.  </w:t>
      </w:r>
    </w:p>
  </w:footnote>
  <w:footnote w:id="7">
    <w:p w14:paraId="2412ED8F" w14:textId="77777777" w:rsidR="00B04F97" w:rsidRPr="00AA2F4C" w:rsidRDefault="00B04F97" w:rsidP="00680A0C">
      <w:pPr>
        <w:pStyle w:val="FootnoteText"/>
        <w:jc w:val="both"/>
        <w:rPr>
          <w:lang w:val="en-GB"/>
        </w:rPr>
      </w:pPr>
      <w:r>
        <w:rPr>
          <w:rStyle w:val="FootnoteReference"/>
        </w:rPr>
        <w:footnoteRef/>
      </w:r>
      <w:r>
        <w:t xml:space="preserve"> </w:t>
      </w:r>
      <w:r>
        <w:rPr>
          <w:lang w:val="en-GB"/>
        </w:rPr>
        <w:t xml:space="preserve">The first respondent purported to introduce </w:t>
      </w:r>
      <w:r w:rsidR="00D80C87">
        <w:rPr>
          <w:lang w:val="en-GB"/>
        </w:rPr>
        <w:t xml:space="preserve">a copy of </w:t>
      </w:r>
      <w:r>
        <w:rPr>
          <w:lang w:val="en-GB"/>
        </w:rPr>
        <w:t>the deed</w:t>
      </w:r>
      <w:r w:rsidR="009A46A9">
        <w:rPr>
          <w:lang w:val="en-GB"/>
        </w:rPr>
        <w:t xml:space="preserve"> of sale as an annexure to his</w:t>
      </w:r>
      <w:r w:rsidR="00D80C87">
        <w:rPr>
          <w:lang w:val="en-GB"/>
        </w:rPr>
        <w:t xml:space="preserve"> h</w:t>
      </w:r>
      <w:r>
        <w:rPr>
          <w:lang w:val="en-GB"/>
        </w:rPr>
        <w:t>eads of argument.</w:t>
      </w:r>
      <w:r w:rsidR="00212AC7">
        <w:rPr>
          <w:lang w:val="en-GB"/>
        </w:rPr>
        <w:t xml:space="preserve"> </w:t>
      </w:r>
      <w:r w:rsidR="0081649C">
        <w:rPr>
          <w:lang w:val="en-GB"/>
        </w:rPr>
        <w:t>This attempt</w:t>
      </w:r>
      <w:r w:rsidR="00212AC7">
        <w:rPr>
          <w:lang w:val="en-GB"/>
        </w:rPr>
        <w:t xml:space="preserve"> was </w:t>
      </w:r>
      <w:r w:rsidR="00623F10">
        <w:rPr>
          <w:lang w:val="en-GB"/>
        </w:rPr>
        <w:t xml:space="preserve">however </w:t>
      </w:r>
      <w:r w:rsidR="00212AC7">
        <w:rPr>
          <w:lang w:val="en-GB"/>
        </w:rPr>
        <w:t xml:space="preserve">objected to </w:t>
      </w:r>
      <w:r w:rsidR="00084C33">
        <w:rPr>
          <w:lang w:val="en-GB"/>
        </w:rPr>
        <w:t>on behalf of</w:t>
      </w:r>
      <w:r w:rsidR="00212AC7">
        <w:rPr>
          <w:lang w:val="en-GB"/>
        </w:rPr>
        <w:t xml:space="preserve"> the applicants at the first hearing of the matter</w:t>
      </w:r>
      <w:r w:rsidR="0081649C">
        <w:rPr>
          <w:lang w:val="en-GB"/>
        </w:rPr>
        <w:t xml:space="preserve"> and so the court has not had the benefit </w:t>
      </w:r>
      <w:r w:rsidR="00936E5F">
        <w:rPr>
          <w:lang w:val="en-GB"/>
        </w:rPr>
        <w:t>of considering its prov</w:t>
      </w:r>
      <w:r w:rsidR="00981AD1">
        <w:rPr>
          <w:lang w:val="en-GB"/>
        </w:rPr>
        <w:t xml:space="preserve">isions, whereas Colin Kriel </w:t>
      </w:r>
      <w:r w:rsidR="00103D87">
        <w:rPr>
          <w:lang w:val="en-GB"/>
        </w:rPr>
        <w:t>has ostensibly</w:t>
      </w:r>
      <w:r w:rsidR="00981AD1">
        <w:rPr>
          <w:lang w:val="en-GB"/>
        </w:rPr>
        <w:t xml:space="preserve"> relied on their provisions </w:t>
      </w:r>
      <w:r w:rsidR="00103D87">
        <w:rPr>
          <w:lang w:val="en-GB"/>
        </w:rPr>
        <w:t>in the live</w:t>
      </w:r>
      <w:r w:rsidR="00D87EAF">
        <w:rPr>
          <w:lang w:val="en-GB"/>
        </w:rPr>
        <w:t>, pending,</w:t>
      </w:r>
      <w:r w:rsidR="00103D87">
        <w:rPr>
          <w:lang w:val="en-GB"/>
        </w:rPr>
        <w:t xml:space="preserve"> action for</w:t>
      </w:r>
      <w:r w:rsidR="00AD3F8B">
        <w:rPr>
          <w:lang w:val="en-GB"/>
        </w:rPr>
        <w:t xml:space="preserve"> his</w:t>
      </w:r>
      <w:r w:rsidR="00981AD1">
        <w:rPr>
          <w:lang w:val="en-GB"/>
        </w:rPr>
        <w:t xml:space="preserve"> claim of ejectment against the first respondent</w:t>
      </w:r>
      <w:r w:rsidR="00AD3F8B">
        <w:rPr>
          <w:lang w:val="en-GB"/>
        </w:rPr>
        <w:t>.</w:t>
      </w:r>
    </w:p>
  </w:footnote>
  <w:footnote w:id="8">
    <w:p w14:paraId="0530460B" w14:textId="77777777" w:rsidR="0041189A" w:rsidRPr="0041189A" w:rsidRDefault="0041189A" w:rsidP="00680A0C">
      <w:pPr>
        <w:pStyle w:val="FootnoteText"/>
        <w:jc w:val="both"/>
        <w:rPr>
          <w:lang w:val="en-GB"/>
        </w:rPr>
      </w:pPr>
      <w:r>
        <w:rPr>
          <w:rStyle w:val="FootnoteReference"/>
        </w:rPr>
        <w:footnoteRef/>
      </w:r>
      <w:r>
        <w:t xml:space="preserve"> </w:t>
      </w:r>
      <w:r w:rsidR="00EF7CEF">
        <w:rPr>
          <w:lang w:val="en-GB"/>
        </w:rPr>
        <w:t xml:space="preserve">It is not clear in what capacity the first applicant would have purported </w:t>
      </w:r>
      <w:r w:rsidR="0075444A">
        <w:rPr>
          <w:lang w:val="en-GB"/>
        </w:rPr>
        <w:t xml:space="preserve">to have written on </w:t>
      </w:r>
      <w:r w:rsidR="007F7A4D">
        <w:rPr>
          <w:lang w:val="en-GB"/>
        </w:rPr>
        <w:t>Colin Kriel’s behalf to the second respondent.</w:t>
      </w:r>
    </w:p>
  </w:footnote>
  <w:footnote w:id="9">
    <w:p w14:paraId="27FBC53A" w14:textId="333965B9" w:rsidR="00407CE3" w:rsidRPr="00407CE3" w:rsidRDefault="00407CE3" w:rsidP="00680A0C">
      <w:pPr>
        <w:pStyle w:val="FootnoteText"/>
        <w:jc w:val="both"/>
        <w:rPr>
          <w:lang w:val="en-GB"/>
        </w:rPr>
      </w:pPr>
      <w:r>
        <w:rPr>
          <w:rStyle w:val="FootnoteReference"/>
        </w:rPr>
        <w:footnoteRef/>
      </w:r>
      <w:r>
        <w:t xml:space="preserve"> </w:t>
      </w:r>
      <w:r>
        <w:rPr>
          <w:lang w:val="en-GB"/>
        </w:rPr>
        <w:t>This premise</w:t>
      </w:r>
      <w:r w:rsidR="004A34C3">
        <w:rPr>
          <w:lang w:val="en-GB"/>
        </w:rPr>
        <w:t xml:space="preserve"> upon which the first applicant approached the second respondent to intervene</w:t>
      </w:r>
      <w:r>
        <w:rPr>
          <w:lang w:val="en-GB"/>
        </w:rPr>
        <w:t xml:space="preserve">, </w:t>
      </w:r>
      <w:r w:rsidR="004A34C3">
        <w:rPr>
          <w:lang w:val="en-GB"/>
        </w:rPr>
        <w:t xml:space="preserve">namely </w:t>
      </w:r>
      <w:r>
        <w:rPr>
          <w:lang w:val="en-GB"/>
        </w:rPr>
        <w:t xml:space="preserve">that the </w:t>
      </w:r>
      <w:r w:rsidR="00FC02B6">
        <w:rPr>
          <w:lang w:val="en-GB"/>
        </w:rPr>
        <w:t xml:space="preserve">first respondent </w:t>
      </w:r>
      <w:r w:rsidR="00F33472">
        <w:rPr>
          <w:lang w:val="en-GB"/>
        </w:rPr>
        <w:t>was</w:t>
      </w:r>
      <w:r w:rsidR="00FC02B6">
        <w:rPr>
          <w:lang w:val="en-GB"/>
        </w:rPr>
        <w:t xml:space="preserve"> holding over, was not the case made out by the applicants in their founding papers.  </w:t>
      </w:r>
    </w:p>
  </w:footnote>
  <w:footnote w:id="10">
    <w:p w14:paraId="1096ED38" w14:textId="60AFBF5C" w:rsidR="00736B3D" w:rsidRPr="00736B3D" w:rsidRDefault="00736B3D">
      <w:pPr>
        <w:pStyle w:val="FootnoteText"/>
        <w:rPr>
          <w:lang w:val="en-GB"/>
        </w:rPr>
      </w:pPr>
      <w:r>
        <w:rPr>
          <w:rStyle w:val="FootnoteReference"/>
        </w:rPr>
        <w:footnoteRef/>
      </w:r>
      <w:r>
        <w:t xml:space="preserve"> </w:t>
      </w:r>
      <w:r>
        <w:rPr>
          <w:lang w:val="en-GB"/>
        </w:rPr>
        <w:t xml:space="preserve">This is a clear indication that the first applicant </w:t>
      </w:r>
      <w:r w:rsidR="0067518C">
        <w:rPr>
          <w:lang w:val="en-GB"/>
        </w:rPr>
        <w:t>is aware of the pending action.</w:t>
      </w:r>
    </w:p>
  </w:footnote>
  <w:footnote w:id="11">
    <w:p w14:paraId="00CA0283" w14:textId="6556AB48" w:rsidR="009A1ECF" w:rsidRPr="009A1ECF" w:rsidRDefault="009A1ECF" w:rsidP="00680A0C">
      <w:pPr>
        <w:pStyle w:val="FootnoteText"/>
        <w:jc w:val="both"/>
        <w:rPr>
          <w:lang w:val="en-GB"/>
        </w:rPr>
      </w:pPr>
      <w:r>
        <w:rPr>
          <w:rStyle w:val="FootnoteReference"/>
        </w:rPr>
        <w:footnoteRef/>
      </w:r>
      <w:r>
        <w:t xml:space="preserve"> </w:t>
      </w:r>
      <w:r w:rsidR="00500DC4">
        <w:rPr>
          <w:lang w:val="en-GB"/>
        </w:rPr>
        <w:t xml:space="preserve">The first respondent </w:t>
      </w:r>
      <w:r w:rsidR="004C30C9">
        <w:rPr>
          <w:lang w:val="en-GB"/>
        </w:rPr>
        <w:t xml:space="preserve">accepts </w:t>
      </w:r>
      <w:r w:rsidR="00604728">
        <w:rPr>
          <w:lang w:val="en-GB"/>
        </w:rPr>
        <w:t xml:space="preserve">that </w:t>
      </w:r>
      <w:r w:rsidR="005950C6">
        <w:rPr>
          <w:lang w:val="en-GB"/>
        </w:rPr>
        <w:t xml:space="preserve">he will have to vacate </w:t>
      </w:r>
      <w:r w:rsidR="00604728">
        <w:rPr>
          <w:lang w:val="en-GB"/>
        </w:rPr>
        <w:t xml:space="preserve">if it transpires that he </w:t>
      </w:r>
      <w:r w:rsidR="005950C6">
        <w:rPr>
          <w:lang w:val="en-GB"/>
        </w:rPr>
        <w:t xml:space="preserve">has no legal right </w:t>
      </w:r>
      <w:r w:rsidR="001E0A60">
        <w:rPr>
          <w:lang w:val="en-GB"/>
        </w:rPr>
        <w:t xml:space="preserve">that justifies his continued </w:t>
      </w:r>
      <w:r w:rsidR="007C15A3">
        <w:rPr>
          <w:lang w:val="en-GB"/>
        </w:rPr>
        <w:t>possession</w:t>
      </w:r>
      <w:r w:rsidR="001E0A60">
        <w:rPr>
          <w:lang w:val="en-GB"/>
        </w:rPr>
        <w:t xml:space="preserve"> of the property</w:t>
      </w:r>
      <w:r w:rsidR="00505CE7">
        <w:rPr>
          <w:lang w:val="en-GB"/>
        </w:rPr>
        <w:t xml:space="preserve">, or if the debt that is the subject matter of his </w:t>
      </w:r>
      <w:r w:rsidR="00B410A3">
        <w:rPr>
          <w:lang w:val="en-GB"/>
        </w:rPr>
        <w:t>claimed lien is paid to him</w:t>
      </w:r>
      <w:r w:rsidR="00117A0D">
        <w:rPr>
          <w:lang w:val="en-GB"/>
        </w:rPr>
        <w:t>.</w:t>
      </w:r>
    </w:p>
  </w:footnote>
  <w:footnote w:id="12">
    <w:p w14:paraId="60CF1728" w14:textId="77777777" w:rsidR="006B5C24" w:rsidRPr="006B5C24" w:rsidRDefault="006B5C24" w:rsidP="00680A0C">
      <w:pPr>
        <w:pStyle w:val="FootnoteText"/>
        <w:jc w:val="both"/>
        <w:rPr>
          <w:lang w:val="en-GB"/>
        </w:rPr>
      </w:pPr>
      <w:r>
        <w:rPr>
          <w:rStyle w:val="FootnoteReference"/>
        </w:rPr>
        <w:footnoteRef/>
      </w:r>
      <w:r>
        <w:t xml:space="preserve"> </w:t>
      </w:r>
      <w:r>
        <w:rPr>
          <w:lang w:val="en-GB"/>
        </w:rPr>
        <w:t>Plascon-Evans Paints (TVL) Ltd v Van Riebeeck Paints (Pty) Ltd [1984] 2 All SA 366 (A).</w:t>
      </w:r>
    </w:p>
  </w:footnote>
  <w:footnote w:id="13">
    <w:p w14:paraId="246EDB7A" w14:textId="7AD24DF1" w:rsidR="006113FA" w:rsidRPr="006113FA" w:rsidRDefault="006113FA">
      <w:pPr>
        <w:pStyle w:val="FootnoteText"/>
        <w:rPr>
          <w:lang w:val="en-GB"/>
        </w:rPr>
      </w:pPr>
      <w:r>
        <w:rPr>
          <w:rStyle w:val="FootnoteReference"/>
        </w:rPr>
        <w:footnoteRef/>
      </w:r>
      <w:r>
        <w:t xml:space="preserve"> </w:t>
      </w:r>
      <w:r w:rsidR="00317E7F">
        <w:rPr>
          <w:lang w:val="en-GB"/>
        </w:rPr>
        <w:t xml:space="preserve">A lien is a legally recognized capacity to </w:t>
      </w:r>
      <w:r w:rsidR="00502144">
        <w:rPr>
          <w:lang w:val="en-GB"/>
        </w:rPr>
        <w:t xml:space="preserve">withhold to ensure that a claim will be met.  It </w:t>
      </w:r>
      <w:r w:rsidR="00BB3FCB">
        <w:rPr>
          <w:lang w:val="en-GB"/>
        </w:rPr>
        <w:t xml:space="preserve">is less of a real or personal right than it is a defence against the owner’s </w:t>
      </w:r>
      <w:r w:rsidR="00BB3FCB" w:rsidRPr="00334942">
        <w:rPr>
          <w:i/>
          <w:iCs/>
          <w:lang w:val="en-GB"/>
        </w:rPr>
        <w:t>rei vindicatio</w:t>
      </w:r>
      <w:r w:rsidR="00BB3FCB">
        <w:rPr>
          <w:lang w:val="en-GB"/>
        </w:rPr>
        <w:t xml:space="preserve">. </w:t>
      </w:r>
    </w:p>
  </w:footnote>
  <w:footnote w:id="14">
    <w:p w14:paraId="37296D43" w14:textId="376A9901" w:rsidR="009F1131" w:rsidRPr="009F1131" w:rsidRDefault="009F1131">
      <w:pPr>
        <w:pStyle w:val="FootnoteText"/>
        <w:rPr>
          <w:lang w:val="en-GB"/>
        </w:rPr>
      </w:pPr>
      <w:r>
        <w:rPr>
          <w:rStyle w:val="FootnoteReference"/>
        </w:rPr>
        <w:footnoteRef/>
      </w:r>
      <w:r>
        <w:t xml:space="preserve"> </w:t>
      </w:r>
      <w:r>
        <w:rPr>
          <w:lang w:val="en-GB"/>
        </w:rPr>
        <w:t xml:space="preserve">Levy v </w:t>
      </w:r>
      <w:r w:rsidR="0094686E">
        <w:rPr>
          <w:lang w:val="en-GB"/>
        </w:rPr>
        <w:t>Tyler 1933</w:t>
      </w:r>
      <w:r w:rsidR="003D1116" w:rsidRPr="003D1116">
        <w:rPr>
          <w:lang w:val="en-GB"/>
        </w:rPr>
        <w:t xml:space="preserve"> </w:t>
      </w:r>
      <w:r w:rsidR="003D1116">
        <w:rPr>
          <w:lang w:val="en-GB"/>
        </w:rPr>
        <w:t xml:space="preserve">TPD 377. </w:t>
      </w:r>
      <w:r w:rsidR="004B0049">
        <w:rPr>
          <w:lang w:val="en-GB"/>
        </w:rPr>
        <w:t>United Building Society v Smookler</w:t>
      </w:r>
      <w:r w:rsidR="00FC1D95">
        <w:rPr>
          <w:lang w:val="en-GB"/>
        </w:rPr>
        <w:t xml:space="preserve">’s Trustees and Golombick’s Trustee </w:t>
      </w:r>
      <w:r w:rsidR="008A1076">
        <w:rPr>
          <w:lang w:val="en-GB"/>
        </w:rPr>
        <w:t>1906 TS 623.</w:t>
      </w:r>
    </w:p>
  </w:footnote>
  <w:footnote w:id="15">
    <w:p w14:paraId="03B842E3" w14:textId="77777777" w:rsidR="00391B34" w:rsidRPr="00391B34" w:rsidRDefault="00391B34" w:rsidP="00680A0C">
      <w:pPr>
        <w:pStyle w:val="FootnoteText"/>
        <w:jc w:val="both"/>
        <w:rPr>
          <w:lang w:val="en-GB"/>
        </w:rPr>
      </w:pPr>
      <w:r>
        <w:rPr>
          <w:rStyle w:val="FootnoteReference"/>
        </w:rPr>
        <w:footnoteRef/>
      </w:r>
      <w:r>
        <w:t xml:space="preserve"> </w:t>
      </w:r>
      <w:r>
        <w:rPr>
          <w:lang w:val="en-GB"/>
        </w:rPr>
        <w:t>It can be fairly assumed in my view that Colin Kriel anticipated that there would be a dispute of fact</w:t>
      </w:r>
      <w:r w:rsidR="00E1578D">
        <w:rPr>
          <w:lang w:val="en-GB"/>
        </w:rPr>
        <w:t xml:space="preserve">, hence proceeding </w:t>
      </w:r>
      <w:r w:rsidR="00B07E9F">
        <w:rPr>
          <w:lang w:val="en-GB"/>
        </w:rPr>
        <w:t xml:space="preserve">by way of action against the first respondent rather than </w:t>
      </w:r>
      <w:r w:rsidR="00C53376">
        <w:rPr>
          <w:lang w:val="en-GB"/>
        </w:rPr>
        <w:t>on motion.</w:t>
      </w:r>
    </w:p>
  </w:footnote>
  <w:footnote w:id="16">
    <w:p w14:paraId="4EEAA5E0" w14:textId="77777777" w:rsidR="00B34F6D" w:rsidRPr="007E6C76" w:rsidRDefault="007448DA" w:rsidP="00680A0C">
      <w:pPr>
        <w:spacing w:after="0" w:line="240" w:lineRule="auto"/>
        <w:jc w:val="both"/>
        <w:rPr>
          <w:rFonts w:ascii="Verdana" w:eastAsia="Times New Roman" w:hAnsi="Verdana" w:cs="Arial"/>
          <w:color w:val="000000"/>
          <w:sz w:val="16"/>
          <w:szCs w:val="16"/>
          <w:lang w:eastAsia="en-ZA"/>
        </w:rPr>
      </w:pPr>
      <w:r>
        <w:rPr>
          <w:rStyle w:val="FootnoteReference"/>
        </w:rPr>
        <w:footnoteRef/>
      </w:r>
      <w:r>
        <w:t xml:space="preserve"> </w:t>
      </w:r>
      <w:r w:rsidR="00B34F6D" w:rsidRPr="00680A0C">
        <w:rPr>
          <w:rFonts w:ascii="Verdana" w:eastAsia="Times New Roman" w:hAnsi="Verdana" w:cs="Arial"/>
          <w:iCs/>
          <w:color w:val="000000"/>
          <w:sz w:val="16"/>
          <w:szCs w:val="16"/>
          <w:lang w:eastAsia="en-ZA"/>
        </w:rPr>
        <w:t>Pillay &amp; Another v Pillay &amp; Others</w:t>
      </w:r>
      <w:r w:rsidR="00B34F6D" w:rsidRPr="007E6C76">
        <w:rPr>
          <w:rFonts w:ascii="Verdana" w:eastAsia="Times New Roman" w:hAnsi="Verdana" w:cs="Arial"/>
          <w:i/>
          <w:iCs/>
          <w:color w:val="000000"/>
          <w:sz w:val="16"/>
          <w:szCs w:val="16"/>
          <w:lang w:eastAsia="en-ZA"/>
        </w:rPr>
        <w:t> </w:t>
      </w:r>
      <w:r w:rsidR="00B34F6D" w:rsidRPr="007E6C76">
        <w:rPr>
          <w:rFonts w:ascii="Verdana" w:eastAsia="Times New Roman" w:hAnsi="Verdana" w:cs="Arial"/>
          <w:color w:val="000000"/>
          <w:sz w:val="16"/>
          <w:szCs w:val="16"/>
          <w:lang w:eastAsia="en-ZA"/>
        </w:rPr>
        <w:t>[2012] JOL 28319 (KZD).</w:t>
      </w:r>
    </w:p>
    <w:p w14:paraId="1AEA710C" w14:textId="77777777" w:rsidR="007448DA" w:rsidRPr="007448DA" w:rsidRDefault="007448DA" w:rsidP="00680A0C">
      <w:pPr>
        <w:pStyle w:val="FootnoteText"/>
        <w:jc w:val="both"/>
        <w:rPr>
          <w:lang w:val="en-GB"/>
        </w:rPr>
      </w:pPr>
    </w:p>
  </w:footnote>
  <w:footnote w:id="17">
    <w:p w14:paraId="37774BA6" w14:textId="60535632" w:rsidR="00212858" w:rsidRPr="00212858" w:rsidRDefault="00212858">
      <w:pPr>
        <w:pStyle w:val="FootnoteText"/>
        <w:rPr>
          <w:lang w:val="en-GB"/>
        </w:rPr>
      </w:pPr>
      <w:r>
        <w:rPr>
          <w:rStyle w:val="FootnoteReference"/>
        </w:rPr>
        <w:footnoteRef/>
      </w:r>
      <w:r>
        <w:t xml:space="preserve"> </w:t>
      </w:r>
      <w:r>
        <w:rPr>
          <w:lang w:val="en-GB"/>
        </w:rPr>
        <w:t>Le</w:t>
      </w:r>
      <w:r w:rsidR="00F80A8F">
        <w:rPr>
          <w:lang w:val="en-GB"/>
        </w:rPr>
        <w:t xml:space="preserve">vy v Tyler, </w:t>
      </w:r>
      <w:r w:rsidR="00F80A8F" w:rsidRPr="00F80A8F">
        <w:rPr>
          <w:i/>
          <w:iCs/>
          <w:lang w:val="en-GB"/>
        </w:rPr>
        <w:t>Supra</w:t>
      </w:r>
      <w:r w:rsidR="00F80A8F">
        <w:rPr>
          <w:lang w:val="en-GB"/>
        </w:rPr>
        <w:t>.</w:t>
      </w:r>
    </w:p>
  </w:footnote>
  <w:footnote w:id="18">
    <w:p w14:paraId="35C29C0B" w14:textId="6A9AE735" w:rsidR="00CD0DAE" w:rsidRPr="00CD0DAE" w:rsidRDefault="00CD0DAE">
      <w:pPr>
        <w:pStyle w:val="FootnoteText"/>
        <w:rPr>
          <w:lang w:val="en-GB"/>
        </w:rPr>
      </w:pPr>
      <w:r>
        <w:rPr>
          <w:rStyle w:val="FootnoteReference"/>
        </w:rPr>
        <w:footnoteRef/>
      </w:r>
      <w:r>
        <w:t xml:space="preserve"> </w:t>
      </w:r>
      <w:r w:rsidR="00C66381" w:rsidRPr="00974835">
        <w:t xml:space="preserve">See </w:t>
      </w:r>
      <w:r w:rsidR="00C66381">
        <w:t>Christo</w:t>
      </w:r>
      <w:r w:rsidR="00C66381" w:rsidRPr="00875331">
        <w:t xml:space="preserve"> Smith, </w:t>
      </w:r>
      <w:r w:rsidR="00C66381" w:rsidRPr="00875331">
        <w:rPr>
          <w:rFonts w:cstheme="minorHAnsi"/>
        </w:rPr>
        <w:t>Eviction</w:t>
      </w:r>
      <w:r w:rsidR="00C66381" w:rsidRPr="00974835">
        <w:rPr>
          <w:rFonts w:cstheme="minorHAnsi"/>
        </w:rPr>
        <w:t xml:space="preserve"> and Rental Claims: A Practical Guide, Part 1: The Law of Eviction, Chapter 3 The Prevention of Illegal Eviction from and Unlawful Occupation of Land Act re </w:t>
      </w:r>
      <w:r w:rsidR="00D04BD5">
        <w:rPr>
          <w:rFonts w:cstheme="minorHAnsi"/>
        </w:rPr>
        <w:t>Notice and Procedure in General</w:t>
      </w:r>
      <w:r w:rsidR="00C66381" w:rsidRPr="00974835">
        <w:rPr>
          <w:rFonts w:cstheme="minorHAnsi"/>
        </w:rPr>
        <w:t xml:space="preserve"> at par </w:t>
      </w:r>
      <w:r w:rsidR="00D04BD5">
        <w:rPr>
          <w:rFonts w:cstheme="minorHAnsi"/>
        </w:rPr>
        <w:t>3.5.2</w:t>
      </w:r>
      <w:r w:rsidR="006320DD">
        <w:rPr>
          <w:rFonts w:cstheme="minorHAnsi"/>
        </w:rPr>
        <w:t>, especially numbered paragraphs 5 and 10</w:t>
      </w:r>
      <w:r w:rsidR="00F5326C">
        <w:rPr>
          <w:rFonts w:cstheme="minorHAnsi"/>
        </w:rPr>
        <w:t xml:space="preserve"> regarding the detailed procedures </w:t>
      </w:r>
      <w:r w:rsidR="00A63275">
        <w:rPr>
          <w:rFonts w:cstheme="minorHAnsi"/>
        </w:rPr>
        <w:t xml:space="preserve">to be followed </w:t>
      </w:r>
      <w:r w:rsidR="00F5326C">
        <w:rPr>
          <w:rFonts w:cstheme="minorHAnsi"/>
        </w:rPr>
        <w:t xml:space="preserve">in the </w:t>
      </w:r>
      <w:r w:rsidR="00A63275">
        <w:rPr>
          <w:rFonts w:cstheme="minorHAnsi"/>
        </w:rPr>
        <w:t>courts in this respect.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1667"/>
      <w:docPartObj>
        <w:docPartGallery w:val="Page Numbers (Top of Page)"/>
        <w:docPartUnique/>
      </w:docPartObj>
    </w:sdtPr>
    <w:sdtEndPr>
      <w:rPr>
        <w:noProof/>
      </w:rPr>
    </w:sdtEndPr>
    <w:sdtContent>
      <w:p w14:paraId="6DBF75C6" w14:textId="7FCC18D1" w:rsidR="00B04F97" w:rsidRDefault="00B04F97">
        <w:pPr>
          <w:pStyle w:val="Header"/>
          <w:jc w:val="center"/>
        </w:pPr>
        <w:r>
          <w:fldChar w:fldCharType="begin"/>
        </w:r>
        <w:r>
          <w:instrText xml:space="preserve"> PAGE   \* MERGEFORMAT </w:instrText>
        </w:r>
        <w:r>
          <w:fldChar w:fldCharType="separate"/>
        </w:r>
        <w:r w:rsidR="00166F07">
          <w:rPr>
            <w:noProof/>
          </w:rPr>
          <w:t>16</w:t>
        </w:r>
        <w:r>
          <w:rPr>
            <w:noProof/>
          </w:rPr>
          <w:fldChar w:fldCharType="end"/>
        </w:r>
      </w:p>
    </w:sdtContent>
  </w:sdt>
  <w:p w14:paraId="65161F32" w14:textId="77777777" w:rsidR="00B04F97" w:rsidRDefault="00B04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110"/>
    <w:multiLevelType w:val="hybridMultilevel"/>
    <w:tmpl w:val="1B4A6642"/>
    <w:lvl w:ilvl="0" w:tplc="37EEF9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4E0B11"/>
    <w:multiLevelType w:val="hybridMultilevel"/>
    <w:tmpl w:val="68B8D7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6573C88"/>
    <w:multiLevelType w:val="hybridMultilevel"/>
    <w:tmpl w:val="B9D23F6C"/>
    <w:lvl w:ilvl="0" w:tplc="5F0A802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05D5335"/>
    <w:multiLevelType w:val="hybridMultilevel"/>
    <w:tmpl w:val="BD90E23A"/>
    <w:lvl w:ilvl="0" w:tplc="1D28C9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D6A3D35"/>
    <w:multiLevelType w:val="hybridMultilevel"/>
    <w:tmpl w:val="1AD60E3A"/>
    <w:lvl w:ilvl="0" w:tplc="13D065A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5E0969"/>
    <w:multiLevelType w:val="hybridMultilevel"/>
    <w:tmpl w:val="22EE4E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4A72667"/>
    <w:multiLevelType w:val="hybridMultilevel"/>
    <w:tmpl w:val="BAD88A50"/>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A1918A1"/>
    <w:multiLevelType w:val="hybridMultilevel"/>
    <w:tmpl w:val="3BF0E6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CEC7552"/>
    <w:multiLevelType w:val="hybridMultilevel"/>
    <w:tmpl w:val="1888733A"/>
    <w:lvl w:ilvl="0" w:tplc="5F0A802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753C4463"/>
    <w:multiLevelType w:val="hybridMultilevel"/>
    <w:tmpl w:val="CD302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9B"/>
    <w:rsid w:val="000001D0"/>
    <w:rsid w:val="000024DE"/>
    <w:rsid w:val="000049FC"/>
    <w:rsid w:val="00004A4A"/>
    <w:rsid w:val="00011BEB"/>
    <w:rsid w:val="000131C2"/>
    <w:rsid w:val="00013F1F"/>
    <w:rsid w:val="00014B21"/>
    <w:rsid w:val="0001533A"/>
    <w:rsid w:val="00021A24"/>
    <w:rsid w:val="00022C0D"/>
    <w:rsid w:val="000340DB"/>
    <w:rsid w:val="0003476A"/>
    <w:rsid w:val="0003698E"/>
    <w:rsid w:val="00036A4D"/>
    <w:rsid w:val="00037CC9"/>
    <w:rsid w:val="00040AD6"/>
    <w:rsid w:val="00041325"/>
    <w:rsid w:val="00042221"/>
    <w:rsid w:val="000423A0"/>
    <w:rsid w:val="00045BF0"/>
    <w:rsid w:val="00047C8E"/>
    <w:rsid w:val="00050C14"/>
    <w:rsid w:val="00052A51"/>
    <w:rsid w:val="00054018"/>
    <w:rsid w:val="000568A3"/>
    <w:rsid w:val="00057DEB"/>
    <w:rsid w:val="00064CD8"/>
    <w:rsid w:val="0007022F"/>
    <w:rsid w:val="0007045F"/>
    <w:rsid w:val="00072C94"/>
    <w:rsid w:val="00080669"/>
    <w:rsid w:val="00084C33"/>
    <w:rsid w:val="00084CE4"/>
    <w:rsid w:val="00085D0D"/>
    <w:rsid w:val="00086840"/>
    <w:rsid w:val="00086FD3"/>
    <w:rsid w:val="00090D4E"/>
    <w:rsid w:val="000917CA"/>
    <w:rsid w:val="00091D13"/>
    <w:rsid w:val="00091F47"/>
    <w:rsid w:val="00094103"/>
    <w:rsid w:val="00094A2A"/>
    <w:rsid w:val="00095597"/>
    <w:rsid w:val="00096EA1"/>
    <w:rsid w:val="00097A0A"/>
    <w:rsid w:val="000A1B6A"/>
    <w:rsid w:val="000A49C4"/>
    <w:rsid w:val="000B0BCF"/>
    <w:rsid w:val="000B34EF"/>
    <w:rsid w:val="000B5735"/>
    <w:rsid w:val="000C0914"/>
    <w:rsid w:val="000C1528"/>
    <w:rsid w:val="000C4090"/>
    <w:rsid w:val="000D081D"/>
    <w:rsid w:val="000D7CB9"/>
    <w:rsid w:val="000E6CD4"/>
    <w:rsid w:val="000E6D40"/>
    <w:rsid w:val="000E7014"/>
    <w:rsid w:val="000E70D2"/>
    <w:rsid w:val="000F149D"/>
    <w:rsid w:val="000F4A27"/>
    <w:rsid w:val="0010010F"/>
    <w:rsid w:val="00100819"/>
    <w:rsid w:val="00103D87"/>
    <w:rsid w:val="00104255"/>
    <w:rsid w:val="001064B4"/>
    <w:rsid w:val="00110148"/>
    <w:rsid w:val="00110D27"/>
    <w:rsid w:val="001119DA"/>
    <w:rsid w:val="0011649B"/>
    <w:rsid w:val="00117A0D"/>
    <w:rsid w:val="00120FD4"/>
    <w:rsid w:val="00130408"/>
    <w:rsid w:val="00132A62"/>
    <w:rsid w:val="00134B6F"/>
    <w:rsid w:val="001351DD"/>
    <w:rsid w:val="001402E6"/>
    <w:rsid w:val="00143347"/>
    <w:rsid w:val="00144564"/>
    <w:rsid w:val="001446FC"/>
    <w:rsid w:val="001453CD"/>
    <w:rsid w:val="00147C07"/>
    <w:rsid w:val="00152456"/>
    <w:rsid w:val="001549BD"/>
    <w:rsid w:val="00163A0A"/>
    <w:rsid w:val="00166F07"/>
    <w:rsid w:val="00172A6E"/>
    <w:rsid w:val="00172FCD"/>
    <w:rsid w:val="00175BB6"/>
    <w:rsid w:val="001769B3"/>
    <w:rsid w:val="00181087"/>
    <w:rsid w:val="00184B88"/>
    <w:rsid w:val="00185C68"/>
    <w:rsid w:val="00185D65"/>
    <w:rsid w:val="001874EA"/>
    <w:rsid w:val="00192010"/>
    <w:rsid w:val="00193A82"/>
    <w:rsid w:val="001A188F"/>
    <w:rsid w:val="001A229C"/>
    <w:rsid w:val="001A32C8"/>
    <w:rsid w:val="001A47BD"/>
    <w:rsid w:val="001A5271"/>
    <w:rsid w:val="001A5862"/>
    <w:rsid w:val="001A6F42"/>
    <w:rsid w:val="001B0843"/>
    <w:rsid w:val="001B13A5"/>
    <w:rsid w:val="001B2830"/>
    <w:rsid w:val="001B45C6"/>
    <w:rsid w:val="001B4644"/>
    <w:rsid w:val="001C2B92"/>
    <w:rsid w:val="001C311E"/>
    <w:rsid w:val="001C37AD"/>
    <w:rsid w:val="001C415D"/>
    <w:rsid w:val="001C4FB9"/>
    <w:rsid w:val="001D35DC"/>
    <w:rsid w:val="001D4112"/>
    <w:rsid w:val="001D4565"/>
    <w:rsid w:val="001D65F8"/>
    <w:rsid w:val="001D7195"/>
    <w:rsid w:val="001E0A60"/>
    <w:rsid w:val="001E22FF"/>
    <w:rsid w:val="001F21C5"/>
    <w:rsid w:val="001F7437"/>
    <w:rsid w:val="002029DC"/>
    <w:rsid w:val="00202B64"/>
    <w:rsid w:val="00212858"/>
    <w:rsid w:val="00212AC7"/>
    <w:rsid w:val="00215F12"/>
    <w:rsid w:val="00215FDB"/>
    <w:rsid w:val="00216231"/>
    <w:rsid w:val="002171A3"/>
    <w:rsid w:val="00222545"/>
    <w:rsid w:val="00223AB5"/>
    <w:rsid w:val="00223C94"/>
    <w:rsid w:val="00223D3D"/>
    <w:rsid w:val="00226163"/>
    <w:rsid w:val="0023048B"/>
    <w:rsid w:val="00230570"/>
    <w:rsid w:val="00230A9D"/>
    <w:rsid w:val="002344F7"/>
    <w:rsid w:val="00247E87"/>
    <w:rsid w:val="0025332B"/>
    <w:rsid w:val="002535CA"/>
    <w:rsid w:val="002602D4"/>
    <w:rsid w:val="00260DDD"/>
    <w:rsid w:val="0026120B"/>
    <w:rsid w:val="00262D98"/>
    <w:rsid w:val="002630E6"/>
    <w:rsid w:val="00265040"/>
    <w:rsid w:val="00266D24"/>
    <w:rsid w:val="002709C4"/>
    <w:rsid w:val="00275DBD"/>
    <w:rsid w:val="00281940"/>
    <w:rsid w:val="00285F4F"/>
    <w:rsid w:val="0028637F"/>
    <w:rsid w:val="00287696"/>
    <w:rsid w:val="0029033A"/>
    <w:rsid w:val="00295BF4"/>
    <w:rsid w:val="0029618A"/>
    <w:rsid w:val="002A0706"/>
    <w:rsid w:val="002A378F"/>
    <w:rsid w:val="002A7577"/>
    <w:rsid w:val="002B06EC"/>
    <w:rsid w:val="002B20C9"/>
    <w:rsid w:val="002B3DDC"/>
    <w:rsid w:val="002B5E0E"/>
    <w:rsid w:val="002B737D"/>
    <w:rsid w:val="002B7990"/>
    <w:rsid w:val="002C1215"/>
    <w:rsid w:val="002C15E9"/>
    <w:rsid w:val="002C3127"/>
    <w:rsid w:val="002D5820"/>
    <w:rsid w:val="002D72FE"/>
    <w:rsid w:val="002E05C0"/>
    <w:rsid w:val="002E1589"/>
    <w:rsid w:val="002E43C8"/>
    <w:rsid w:val="002E7F8F"/>
    <w:rsid w:val="002F443B"/>
    <w:rsid w:val="002F4DA5"/>
    <w:rsid w:val="002F7F1E"/>
    <w:rsid w:val="0030050B"/>
    <w:rsid w:val="003057E3"/>
    <w:rsid w:val="0031298F"/>
    <w:rsid w:val="003149E8"/>
    <w:rsid w:val="00317E7F"/>
    <w:rsid w:val="00321BF3"/>
    <w:rsid w:val="00326D8F"/>
    <w:rsid w:val="0033060D"/>
    <w:rsid w:val="00334942"/>
    <w:rsid w:val="00335089"/>
    <w:rsid w:val="00336320"/>
    <w:rsid w:val="00336617"/>
    <w:rsid w:val="00340885"/>
    <w:rsid w:val="00341A05"/>
    <w:rsid w:val="0034212D"/>
    <w:rsid w:val="00343232"/>
    <w:rsid w:val="00351068"/>
    <w:rsid w:val="003531CE"/>
    <w:rsid w:val="00357CF8"/>
    <w:rsid w:val="00360874"/>
    <w:rsid w:val="00363CAA"/>
    <w:rsid w:val="003648B5"/>
    <w:rsid w:val="0036551B"/>
    <w:rsid w:val="00366516"/>
    <w:rsid w:val="00367CD2"/>
    <w:rsid w:val="00375438"/>
    <w:rsid w:val="00375896"/>
    <w:rsid w:val="00375ED5"/>
    <w:rsid w:val="003801A6"/>
    <w:rsid w:val="00380846"/>
    <w:rsid w:val="00383243"/>
    <w:rsid w:val="00391B34"/>
    <w:rsid w:val="003921FA"/>
    <w:rsid w:val="00394468"/>
    <w:rsid w:val="00394F1E"/>
    <w:rsid w:val="00396F85"/>
    <w:rsid w:val="00397AB0"/>
    <w:rsid w:val="003A04FC"/>
    <w:rsid w:val="003A1DCD"/>
    <w:rsid w:val="003A2F21"/>
    <w:rsid w:val="003A50DB"/>
    <w:rsid w:val="003B0ED0"/>
    <w:rsid w:val="003B2655"/>
    <w:rsid w:val="003B54AD"/>
    <w:rsid w:val="003B6D80"/>
    <w:rsid w:val="003B7E64"/>
    <w:rsid w:val="003C2B35"/>
    <w:rsid w:val="003C3DD9"/>
    <w:rsid w:val="003D1116"/>
    <w:rsid w:val="003D6EA9"/>
    <w:rsid w:val="003E0DFA"/>
    <w:rsid w:val="003E2C31"/>
    <w:rsid w:val="003E3792"/>
    <w:rsid w:val="003E61D0"/>
    <w:rsid w:val="003F405C"/>
    <w:rsid w:val="00403004"/>
    <w:rsid w:val="004057A3"/>
    <w:rsid w:val="0040649B"/>
    <w:rsid w:val="00407CE3"/>
    <w:rsid w:val="004105BA"/>
    <w:rsid w:val="0041189A"/>
    <w:rsid w:val="004129B2"/>
    <w:rsid w:val="00412DF4"/>
    <w:rsid w:val="004236AD"/>
    <w:rsid w:val="0043455A"/>
    <w:rsid w:val="0043668D"/>
    <w:rsid w:val="00441E4A"/>
    <w:rsid w:val="0044495C"/>
    <w:rsid w:val="0044663E"/>
    <w:rsid w:val="00450364"/>
    <w:rsid w:val="00450F62"/>
    <w:rsid w:val="00452404"/>
    <w:rsid w:val="004525D8"/>
    <w:rsid w:val="0045511C"/>
    <w:rsid w:val="00464D8A"/>
    <w:rsid w:val="0046608D"/>
    <w:rsid w:val="00477226"/>
    <w:rsid w:val="004815B8"/>
    <w:rsid w:val="004819E3"/>
    <w:rsid w:val="004836BC"/>
    <w:rsid w:val="00486ED7"/>
    <w:rsid w:val="004873EF"/>
    <w:rsid w:val="004A34C3"/>
    <w:rsid w:val="004B0049"/>
    <w:rsid w:val="004B6549"/>
    <w:rsid w:val="004B7A89"/>
    <w:rsid w:val="004C0983"/>
    <w:rsid w:val="004C1CE2"/>
    <w:rsid w:val="004C30C9"/>
    <w:rsid w:val="004C7CBE"/>
    <w:rsid w:val="004D3F68"/>
    <w:rsid w:val="004D6CD2"/>
    <w:rsid w:val="004E6834"/>
    <w:rsid w:val="004F37EB"/>
    <w:rsid w:val="004F62CF"/>
    <w:rsid w:val="004F6FE4"/>
    <w:rsid w:val="00500DC4"/>
    <w:rsid w:val="00502144"/>
    <w:rsid w:val="005024CA"/>
    <w:rsid w:val="00502A94"/>
    <w:rsid w:val="005038D5"/>
    <w:rsid w:val="00505CE7"/>
    <w:rsid w:val="00511634"/>
    <w:rsid w:val="00514C86"/>
    <w:rsid w:val="00522D73"/>
    <w:rsid w:val="00523745"/>
    <w:rsid w:val="00527610"/>
    <w:rsid w:val="0052797B"/>
    <w:rsid w:val="00527D82"/>
    <w:rsid w:val="00531434"/>
    <w:rsid w:val="00535298"/>
    <w:rsid w:val="00540689"/>
    <w:rsid w:val="005407A8"/>
    <w:rsid w:val="0055274F"/>
    <w:rsid w:val="00555ABF"/>
    <w:rsid w:val="00560249"/>
    <w:rsid w:val="005603F5"/>
    <w:rsid w:val="00561994"/>
    <w:rsid w:val="005624ED"/>
    <w:rsid w:val="00563362"/>
    <w:rsid w:val="00563588"/>
    <w:rsid w:val="0057199F"/>
    <w:rsid w:val="00572D20"/>
    <w:rsid w:val="005754C0"/>
    <w:rsid w:val="005806E5"/>
    <w:rsid w:val="00580C3B"/>
    <w:rsid w:val="00584780"/>
    <w:rsid w:val="00584AF4"/>
    <w:rsid w:val="00585735"/>
    <w:rsid w:val="00585D69"/>
    <w:rsid w:val="005868DF"/>
    <w:rsid w:val="00594808"/>
    <w:rsid w:val="005950C6"/>
    <w:rsid w:val="00596873"/>
    <w:rsid w:val="005A21F2"/>
    <w:rsid w:val="005A3030"/>
    <w:rsid w:val="005A6CE8"/>
    <w:rsid w:val="005B2CD7"/>
    <w:rsid w:val="005C0728"/>
    <w:rsid w:val="005C1973"/>
    <w:rsid w:val="005C1FEC"/>
    <w:rsid w:val="005C2D71"/>
    <w:rsid w:val="005C3142"/>
    <w:rsid w:val="005D0F51"/>
    <w:rsid w:val="005D3CB9"/>
    <w:rsid w:val="005D5591"/>
    <w:rsid w:val="005D6CF2"/>
    <w:rsid w:val="005D7262"/>
    <w:rsid w:val="005E0412"/>
    <w:rsid w:val="005E6064"/>
    <w:rsid w:val="005E7249"/>
    <w:rsid w:val="005F3475"/>
    <w:rsid w:val="005F3E42"/>
    <w:rsid w:val="005F51CC"/>
    <w:rsid w:val="005F6FE1"/>
    <w:rsid w:val="00602C77"/>
    <w:rsid w:val="006045D1"/>
    <w:rsid w:val="00604728"/>
    <w:rsid w:val="006047F6"/>
    <w:rsid w:val="006113FA"/>
    <w:rsid w:val="00611CBA"/>
    <w:rsid w:val="00616ECF"/>
    <w:rsid w:val="00623F10"/>
    <w:rsid w:val="0063129F"/>
    <w:rsid w:val="006320DD"/>
    <w:rsid w:val="00637192"/>
    <w:rsid w:val="00640E22"/>
    <w:rsid w:val="00641EC2"/>
    <w:rsid w:val="00642636"/>
    <w:rsid w:val="00642B09"/>
    <w:rsid w:val="0064344E"/>
    <w:rsid w:val="006437FC"/>
    <w:rsid w:val="006443B6"/>
    <w:rsid w:val="00646ABB"/>
    <w:rsid w:val="00654E22"/>
    <w:rsid w:val="00655EFF"/>
    <w:rsid w:val="00656D6E"/>
    <w:rsid w:val="006611B8"/>
    <w:rsid w:val="006653DD"/>
    <w:rsid w:val="00665C08"/>
    <w:rsid w:val="00665D39"/>
    <w:rsid w:val="00670A52"/>
    <w:rsid w:val="00671F13"/>
    <w:rsid w:val="00671F8D"/>
    <w:rsid w:val="00672D72"/>
    <w:rsid w:val="006750A5"/>
    <w:rsid w:val="0067518C"/>
    <w:rsid w:val="0067689F"/>
    <w:rsid w:val="00677FC3"/>
    <w:rsid w:val="00680A0C"/>
    <w:rsid w:val="00680B2C"/>
    <w:rsid w:val="00681B40"/>
    <w:rsid w:val="006837E8"/>
    <w:rsid w:val="00684549"/>
    <w:rsid w:val="00693CE1"/>
    <w:rsid w:val="00694FF8"/>
    <w:rsid w:val="00695648"/>
    <w:rsid w:val="006A5480"/>
    <w:rsid w:val="006B0D26"/>
    <w:rsid w:val="006B1FC4"/>
    <w:rsid w:val="006B2044"/>
    <w:rsid w:val="006B2172"/>
    <w:rsid w:val="006B3689"/>
    <w:rsid w:val="006B5C24"/>
    <w:rsid w:val="006B7B70"/>
    <w:rsid w:val="006C421B"/>
    <w:rsid w:val="006C5B55"/>
    <w:rsid w:val="006C68C6"/>
    <w:rsid w:val="006C6BC5"/>
    <w:rsid w:val="006C7193"/>
    <w:rsid w:val="006E09A5"/>
    <w:rsid w:val="006E14EC"/>
    <w:rsid w:val="006E5CFE"/>
    <w:rsid w:val="006F15C2"/>
    <w:rsid w:val="006F3124"/>
    <w:rsid w:val="006F56B9"/>
    <w:rsid w:val="006F5DAE"/>
    <w:rsid w:val="0070220A"/>
    <w:rsid w:val="0070383F"/>
    <w:rsid w:val="007060C5"/>
    <w:rsid w:val="00722A32"/>
    <w:rsid w:val="00727A73"/>
    <w:rsid w:val="00731F7E"/>
    <w:rsid w:val="00734F59"/>
    <w:rsid w:val="00736B3D"/>
    <w:rsid w:val="00742EBE"/>
    <w:rsid w:val="007444D2"/>
    <w:rsid w:val="007448DA"/>
    <w:rsid w:val="0075444A"/>
    <w:rsid w:val="007553AA"/>
    <w:rsid w:val="00756E8D"/>
    <w:rsid w:val="00762ACA"/>
    <w:rsid w:val="00762E14"/>
    <w:rsid w:val="007655B2"/>
    <w:rsid w:val="0077362C"/>
    <w:rsid w:val="00773D1C"/>
    <w:rsid w:val="00782BF1"/>
    <w:rsid w:val="00786B96"/>
    <w:rsid w:val="00787D97"/>
    <w:rsid w:val="007922B8"/>
    <w:rsid w:val="00792C13"/>
    <w:rsid w:val="007A3A56"/>
    <w:rsid w:val="007A41F9"/>
    <w:rsid w:val="007A795C"/>
    <w:rsid w:val="007B00D7"/>
    <w:rsid w:val="007B541C"/>
    <w:rsid w:val="007B6E97"/>
    <w:rsid w:val="007B747C"/>
    <w:rsid w:val="007C1059"/>
    <w:rsid w:val="007C1192"/>
    <w:rsid w:val="007C15A3"/>
    <w:rsid w:val="007C3009"/>
    <w:rsid w:val="007D2F40"/>
    <w:rsid w:val="007D74AD"/>
    <w:rsid w:val="007E412C"/>
    <w:rsid w:val="007F371E"/>
    <w:rsid w:val="007F3944"/>
    <w:rsid w:val="007F521A"/>
    <w:rsid w:val="007F6D6B"/>
    <w:rsid w:val="007F7A4D"/>
    <w:rsid w:val="007F7B75"/>
    <w:rsid w:val="008039C9"/>
    <w:rsid w:val="00804A6B"/>
    <w:rsid w:val="008105A7"/>
    <w:rsid w:val="00814C74"/>
    <w:rsid w:val="0081649C"/>
    <w:rsid w:val="00821B7F"/>
    <w:rsid w:val="00823032"/>
    <w:rsid w:val="00823354"/>
    <w:rsid w:val="00823FDF"/>
    <w:rsid w:val="00827F1C"/>
    <w:rsid w:val="008355F7"/>
    <w:rsid w:val="00836EA8"/>
    <w:rsid w:val="0083712A"/>
    <w:rsid w:val="00844CE8"/>
    <w:rsid w:val="008451DA"/>
    <w:rsid w:val="008460FB"/>
    <w:rsid w:val="00856279"/>
    <w:rsid w:val="00861C49"/>
    <w:rsid w:val="00865C07"/>
    <w:rsid w:val="00865FED"/>
    <w:rsid w:val="00867C13"/>
    <w:rsid w:val="0087263C"/>
    <w:rsid w:val="00873660"/>
    <w:rsid w:val="00876A54"/>
    <w:rsid w:val="008845AC"/>
    <w:rsid w:val="00886C51"/>
    <w:rsid w:val="0089007D"/>
    <w:rsid w:val="008921BB"/>
    <w:rsid w:val="0089596C"/>
    <w:rsid w:val="008A1076"/>
    <w:rsid w:val="008A1DBC"/>
    <w:rsid w:val="008A24EF"/>
    <w:rsid w:val="008A4EC1"/>
    <w:rsid w:val="008A5893"/>
    <w:rsid w:val="008B0E70"/>
    <w:rsid w:val="008B3746"/>
    <w:rsid w:val="008B59F7"/>
    <w:rsid w:val="008C2E93"/>
    <w:rsid w:val="008C34D3"/>
    <w:rsid w:val="008C7B3E"/>
    <w:rsid w:val="008C7B68"/>
    <w:rsid w:val="008D2143"/>
    <w:rsid w:val="008D293B"/>
    <w:rsid w:val="008D7617"/>
    <w:rsid w:val="008E02B3"/>
    <w:rsid w:val="008E0EB0"/>
    <w:rsid w:val="008E1725"/>
    <w:rsid w:val="008E512D"/>
    <w:rsid w:val="008F0E52"/>
    <w:rsid w:val="008F5357"/>
    <w:rsid w:val="009005D6"/>
    <w:rsid w:val="00901D46"/>
    <w:rsid w:val="009026FB"/>
    <w:rsid w:val="009034AD"/>
    <w:rsid w:val="00910CA8"/>
    <w:rsid w:val="00914AF1"/>
    <w:rsid w:val="00920473"/>
    <w:rsid w:val="00922111"/>
    <w:rsid w:val="00922874"/>
    <w:rsid w:val="00924C30"/>
    <w:rsid w:val="009266CB"/>
    <w:rsid w:val="00927463"/>
    <w:rsid w:val="00927C63"/>
    <w:rsid w:val="009358CB"/>
    <w:rsid w:val="00935E66"/>
    <w:rsid w:val="009364F4"/>
    <w:rsid w:val="00936528"/>
    <w:rsid w:val="00936E5F"/>
    <w:rsid w:val="00941E11"/>
    <w:rsid w:val="00942763"/>
    <w:rsid w:val="00944E0F"/>
    <w:rsid w:val="00945CD3"/>
    <w:rsid w:val="00946692"/>
    <w:rsid w:val="0094686E"/>
    <w:rsid w:val="00947847"/>
    <w:rsid w:val="00960B7F"/>
    <w:rsid w:val="009639B2"/>
    <w:rsid w:val="00972068"/>
    <w:rsid w:val="00972392"/>
    <w:rsid w:val="00975B00"/>
    <w:rsid w:val="0097678B"/>
    <w:rsid w:val="009803F0"/>
    <w:rsid w:val="00981AD1"/>
    <w:rsid w:val="009848A6"/>
    <w:rsid w:val="0098509C"/>
    <w:rsid w:val="009A1ECF"/>
    <w:rsid w:val="009A2438"/>
    <w:rsid w:val="009A3A0F"/>
    <w:rsid w:val="009A3B16"/>
    <w:rsid w:val="009A46A9"/>
    <w:rsid w:val="009B0811"/>
    <w:rsid w:val="009B12B6"/>
    <w:rsid w:val="009D2E18"/>
    <w:rsid w:val="009D7C8D"/>
    <w:rsid w:val="009E2606"/>
    <w:rsid w:val="009E5201"/>
    <w:rsid w:val="009F1131"/>
    <w:rsid w:val="009F1D03"/>
    <w:rsid w:val="009F3DA2"/>
    <w:rsid w:val="009F4B2D"/>
    <w:rsid w:val="009F7B90"/>
    <w:rsid w:val="00A0484F"/>
    <w:rsid w:val="00A0563E"/>
    <w:rsid w:val="00A0795C"/>
    <w:rsid w:val="00A11F12"/>
    <w:rsid w:val="00A20510"/>
    <w:rsid w:val="00A20807"/>
    <w:rsid w:val="00A227E4"/>
    <w:rsid w:val="00A232C2"/>
    <w:rsid w:val="00A24E6E"/>
    <w:rsid w:val="00A255DD"/>
    <w:rsid w:val="00A270AD"/>
    <w:rsid w:val="00A31B16"/>
    <w:rsid w:val="00A41AC5"/>
    <w:rsid w:val="00A42219"/>
    <w:rsid w:val="00A42B37"/>
    <w:rsid w:val="00A462EC"/>
    <w:rsid w:val="00A50743"/>
    <w:rsid w:val="00A51960"/>
    <w:rsid w:val="00A551DC"/>
    <w:rsid w:val="00A577A8"/>
    <w:rsid w:val="00A60462"/>
    <w:rsid w:val="00A60598"/>
    <w:rsid w:val="00A6108E"/>
    <w:rsid w:val="00A62308"/>
    <w:rsid w:val="00A63275"/>
    <w:rsid w:val="00A643DA"/>
    <w:rsid w:val="00A66632"/>
    <w:rsid w:val="00A70D3D"/>
    <w:rsid w:val="00A76884"/>
    <w:rsid w:val="00A801CE"/>
    <w:rsid w:val="00A80BD6"/>
    <w:rsid w:val="00A8234E"/>
    <w:rsid w:val="00A8416F"/>
    <w:rsid w:val="00A86117"/>
    <w:rsid w:val="00A93371"/>
    <w:rsid w:val="00AA2F4C"/>
    <w:rsid w:val="00AA79A4"/>
    <w:rsid w:val="00AB04D7"/>
    <w:rsid w:val="00AB0C08"/>
    <w:rsid w:val="00AB3824"/>
    <w:rsid w:val="00AB5D64"/>
    <w:rsid w:val="00AC1FB0"/>
    <w:rsid w:val="00AC41F8"/>
    <w:rsid w:val="00AC5642"/>
    <w:rsid w:val="00AC7611"/>
    <w:rsid w:val="00AD3F8B"/>
    <w:rsid w:val="00AD4DBE"/>
    <w:rsid w:val="00AE09A5"/>
    <w:rsid w:val="00AE1C69"/>
    <w:rsid w:val="00AE2873"/>
    <w:rsid w:val="00AE542B"/>
    <w:rsid w:val="00AE5ED0"/>
    <w:rsid w:val="00AE7306"/>
    <w:rsid w:val="00AF192F"/>
    <w:rsid w:val="00AF23FF"/>
    <w:rsid w:val="00AF2BAA"/>
    <w:rsid w:val="00AF521E"/>
    <w:rsid w:val="00AF5F62"/>
    <w:rsid w:val="00AF6B2D"/>
    <w:rsid w:val="00B02C2B"/>
    <w:rsid w:val="00B04F97"/>
    <w:rsid w:val="00B04FA7"/>
    <w:rsid w:val="00B07C55"/>
    <w:rsid w:val="00B07E9F"/>
    <w:rsid w:val="00B121A3"/>
    <w:rsid w:val="00B1443E"/>
    <w:rsid w:val="00B16F10"/>
    <w:rsid w:val="00B324D5"/>
    <w:rsid w:val="00B34F6D"/>
    <w:rsid w:val="00B410A3"/>
    <w:rsid w:val="00B45DB8"/>
    <w:rsid w:val="00B5070F"/>
    <w:rsid w:val="00B52F17"/>
    <w:rsid w:val="00B53068"/>
    <w:rsid w:val="00B619FE"/>
    <w:rsid w:val="00B63798"/>
    <w:rsid w:val="00B64037"/>
    <w:rsid w:val="00B67366"/>
    <w:rsid w:val="00B70140"/>
    <w:rsid w:val="00B70E0D"/>
    <w:rsid w:val="00B74F5C"/>
    <w:rsid w:val="00B74FD0"/>
    <w:rsid w:val="00B76408"/>
    <w:rsid w:val="00B77AF7"/>
    <w:rsid w:val="00B77B78"/>
    <w:rsid w:val="00B84160"/>
    <w:rsid w:val="00B86248"/>
    <w:rsid w:val="00B909D6"/>
    <w:rsid w:val="00B94119"/>
    <w:rsid w:val="00B9513B"/>
    <w:rsid w:val="00B96E3D"/>
    <w:rsid w:val="00B9752A"/>
    <w:rsid w:val="00B9784D"/>
    <w:rsid w:val="00BA1AD3"/>
    <w:rsid w:val="00BA4B32"/>
    <w:rsid w:val="00BB2BF9"/>
    <w:rsid w:val="00BB34B1"/>
    <w:rsid w:val="00BB3FCB"/>
    <w:rsid w:val="00BB4E92"/>
    <w:rsid w:val="00BB7EE3"/>
    <w:rsid w:val="00BC01A8"/>
    <w:rsid w:val="00BC1DF6"/>
    <w:rsid w:val="00BC728A"/>
    <w:rsid w:val="00BD197C"/>
    <w:rsid w:val="00BD3288"/>
    <w:rsid w:val="00BD3C33"/>
    <w:rsid w:val="00BD715C"/>
    <w:rsid w:val="00BE2717"/>
    <w:rsid w:val="00BE27A9"/>
    <w:rsid w:val="00BE2FF6"/>
    <w:rsid w:val="00BE5ED1"/>
    <w:rsid w:val="00BE6E4D"/>
    <w:rsid w:val="00BF5AE2"/>
    <w:rsid w:val="00BF6991"/>
    <w:rsid w:val="00BF73AF"/>
    <w:rsid w:val="00BF73CB"/>
    <w:rsid w:val="00C0324E"/>
    <w:rsid w:val="00C03FC5"/>
    <w:rsid w:val="00C05079"/>
    <w:rsid w:val="00C06CDA"/>
    <w:rsid w:val="00C10CA2"/>
    <w:rsid w:val="00C11A77"/>
    <w:rsid w:val="00C14EA4"/>
    <w:rsid w:val="00C14EFB"/>
    <w:rsid w:val="00C20997"/>
    <w:rsid w:val="00C23EE4"/>
    <w:rsid w:val="00C24213"/>
    <w:rsid w:val="00C26C1B"/>
    <w:rsid w:val="00C2709E"/>
    <w:rsid w:val="00C272E5"/>
    <w:rsid w:val="00C27E72"/>
    <w:rsid w:val="00C30323"/>
    <w:rsid w:val="00C32398"/>
    <w:rsid w:val="00C33A9B"/>
    <w:rsid w:val="00C349AF"/>
    <w:rsid w:val="00C361C9"/>
    <w:rsid w:val="00C40ECF"/>
    <w:rsid w:val="00C51523"/>
    <w:rsid w:val="00C5290F"/>
    <w:rsid w:val="00C53376"/>
    <w:rsid w:val="00C551E4"/>
    <w:rsid w:val="00C558A0"/>
    <w:rsid w:val="00C57B5E"/>
    <w:rsid w:val="00C62F52"/>
    <w:rsid w:val="00C66381"/>
    <w:rsid w:val="00C66952"/>
    <w:rsid w:val="00C70599"/>
    <w:rsid w:val="00C74028"/>
    <w:rsid w:val="00C773D6"/>
    <w:rsid w:val="00C80FCB"/>
    <w:rsid w:val="00C829FA"/>
    <w:rsid w:val="00C82C41"/>
    <w:rsid w:val="00C83532"/>
    <w:rsid w:val="00C85030"/>
    <w:rsid w:val="00C863C7"/>
    <w:rsid w:val="00C86B08"/>
    <w:rsid w:val="00C90156"/>
    <w:rsid w:val="00C90851"/>
    <w:rsid w:val="00C93E0D"/>
    <w:rsid w:val="00CA3F21"/>
    <w:rsid w:val="00CA6619"/>
    <w:rsid w:val="00CA7C7B"/>
    <w:rsid w:val="00CB26D8"/>
    <w:rsid w:val="00CB349E"/>
    <w:rsid w:val="00CB6AA3"/>
    <w:rsid w:val="00CB7C44"/>
    <w:rsid w:val="00CC4C80"/>
    <w:rsid w:val="00CC545E"/>
    <w:rsid w:val="00CD0DAE"/>
    <w:rsid w:val="00CD1295"/>
    <w:rsid w:val="00CD2CD8"/>
    <w:rsid w:val="00CD4EE8"/>
    <w:rsid w:val="00CD68EA"/>
    <w:rsid w:val="00CD6DFE"/>
    <w:rsid w:val="00CE1576"/>
    <w:rsid w:val="00CE1778"/>
    <w:rsid w:val="00CE2008"/>
    <w:rsid w:val="00CE46E3"/>
    <w:rsid w:val="00CF3D2A"/>
    <w:rsid w:val="00CF4E54"/>
    <w:rsid w:val="00CF74E8"/>
    <w:rsid w:val="00D02029"/>
    <w:rsid w:val="00D04BD5"/>
    <w:rsid w:val="00D071AF"/>
    <w:rsid w:val="00D11321"/>
    <w:rsid w:val="00D151A6"/>
    <w:rsid w:val="00D21B42"/>
    <w:rsid w:val="00D22527"/>
    <w:rsid w:val="00D22D9A"/>
    <w:rsid w:val="00D24621"/>
    <w:rsid w:val="00D35BB5"/>
    <w:rsid w:val="00D412CA"/>
    <w:rsid w:val="00D43471"/>
    <w:rsid w:val="00D4380F"/>
    <w:rsid w:val="00D4713F"/>
    <w:rsid w:val="00D5062E"/>
    <w:rsid w:val="00D52506"/>
    <w:rsid w:val="00D541AB"/>
    <w:rsid w:val="00D5645C"/>
    <w:rsid w:val="00D6238A"/>
    <w:rsid w:val="00D63660"/>
    <w:rsid w:val="00D64DB7"/>
    <w:rsid w:val="00D65AF5"/>
    <w:rsid w:val="00D66380"/>
    <w:rsid w:val="00D673EB"/>
    <w:rsid w:val="00D7635A"/>
    <w:rsid w:val="00D80C87"/>
    <w:rsid w:val="00D87ADA"/>
    <w:rsid w:val="00D87EAF"/>
    <w:rsid w:val="00D91ECA"/>
    <w:rsid w:val="00D93FD6"/>
    <w:rsid w:val="00D97995"/>
    <w:rsid w:val="00DA369A"/>
    <w:rsid w:val="00DA608D"/>
    <w:rsid w:val="00DA63A1"/>
    <w:rsid w:val="00DA7285"/>
    <w:rsid w:val="00DB0118"/>
    <w:rsid w:val="00DB200E"/>
    <w:rsid w:val="00DB2D53"/>
    <w:rsid w:val="00DB461C"/>
    <w:rsid w:val="00DB5E84"/>
    <w:rsid w:val="00DB76F3"/>
    <w:rsid w:val="00DC1154"/>
    <w:rsid w:val="00DC212F"/>
    <w:rsid w:val="00DC5003"/>
    <w:rsid w:val="00DC516D"/>
    <w:rsid w:val="00DC5C36"/>
    <w:rsid w:val="00DC5E8B"/>
    <w:rsid w:val="00DD280A"/>
    <w:rsid w:val="00DD415F"/>
    <w:rsid w:val="00DD4233"/>
    <w:rsid w:val="00DD4EBA"/>
    <w:rsid w:val="00DD5472"/>
    <w:rsid w:val="00DE1723"/>
    <w:rsid w:val="00DE5E76"/>
    <w:rsid w:val="00DE7630"/>
    <w:rsid w:val="00DF0DB9"/>
    <w:rsid w:val="00DF1210"/>
    <w:rsid w:val="00DF1E6D"/>
    <w:rsid w:val="00DF6D45"/>
    <w:rsid w:val="00E1578D"/>
    <w:rsid w:val="00E15AA4"/>
    <w:rsid w:val="00E17739"/>
    <w:rsid w:val="00E21029"/>
    <w:rsid w:val="00E422BE"/>
    <w:rsid w:val="00E433BE"/>
    <w:rsid w:val="00E45B92"/>
    <w:rsid w:val="00E50294"/>
    <w:rsid w:val="00E60361"/>
    <w:rsid w:val="00E60E72"/>
    <w:rsid w:val="00E63190"/>
    <w:rsid w:val="00E67542"/>
    <w:rsid w:val="00E67DB6"/>
    <w:rsid w:val="00E723ED"/>
    <w:rsid w:val="00E73AEF"/>
    <w:rsid w:val="00E76B3C"/>
    <w:rsid w:val="00E80974"/>
    <w:rsid w:val="00E81F52"/>
    <w:rsid w:val="00E837E2"/>
    <w:rsid w:val="00E83B96"/>
    <w:rsid w:val="00E84AD6"/>
    <w:rsid w:val="00E86009"/>
    <w:rsid w:val="00E9026D"/>
    <w:rsid w:val="00E952AC"/>
    <w:rsid w:val="00E96968"/>
    <w:rsid w:val="00EA3D94"/>
    <w:rsid w:val="00EA6748"/>
    <w:rsid w:val="00EB080D"/>
    <w:rsid w:val="00EB6CC2"/>
    <w:rsid w:val="00EC1207"/>
    <w:rsid w:val="00EC4EF0"/>
    <w:rsid w:val="00ED1170"/>
    <w:rsid w:val="00EE0622"/>
    <w:rsid w:val="00EE5440"/>
    <w:rsid w:val="00EF134E"/>
    <w:rsid w:val="00EF7CEF"/>
    <w:rsid w:val="00F001D4"/>
    <w:rsid w:val="00F0067D"/>
    <w:rsid w:val="00F00901"/>
    <w:rsid w:val="00F0195D"/>
    <w:rsid w:val="00F05F69"/>
    <w:rsid w:val="00F077D4"/>
    <w:rsid w:val="00F111DF"/>
    <w:rsid w:val="00F1378A"/>
    <w:rsid w:val="00F13B14"/>
    <w:rsid w:val="00F247AC"/>
    <w:rsid w:val="00F252D3"/>
    <w:rsid w:val="00F304E5"/>
    <w:rsid w:val="00F32A7F"/>
    <w:rsid w:val="00F33472"/>
    <w:rsid w:val="00F33BC7"/>
    <w:rsid w:val="00F3537C"/>
    <w:rsid w:val="00F35A6D"/>
    <w:rsid w:val="00F40889"/>
    <w:rsid w:val="00F4210D"/>
    <w:rsid w:val="00F45556"/>
    <w:rsid w:val="00F46396"/>
    <w:rsid w:val="00F46556"/>
    <w:rsid w:val="00F5326C"/>
    <w:rsid w:val="00F54FDD"/>
    <w:rsid w:val="00F60929"/>
    <w:rsid w:val="00F61FFC"/>
    <w:rsid w:val="00F67F11"/>
    <w:rsid w:val="00F711CE"/>
    <w:rsid w:val="00F75D67"/>
    <w:rsid w:val="00F75F07"/>
    <w:rsid w:val="00F808F2"/>
    <w:rsid w:val="00F80A8F"/>
    <w:rsid w:val="00F80EA3"/>
    <w:rsid w:val="00F83050"/>
    <w:rsid w:val="00F83132"/>
    <w:rsid w:val="00F836C0"/>
    <w:rsid w:val="00F8424A"/>
    <w:rsid w:val="00F84E51"/>
    <w:rsid w:val="00F86A60"/>
    <w:rsid w:val="00F87EC8"/>
    <w:rsid w:val="00F90CB1"/>
    <w:rsid w:val="00F96542"/>
    <w:rsid w:val="00FA0C3C"/>
    <w:rsid w:val="00FA18FA"/>
    <w:rsid w:val="00FA2504"/>
    <w:rsid w:val="00FB6026"/>
    <w:rsid w:val="00FB7AAA"/>
    <w:rsid w:val="00FC02B6"/>
    <w:rsid w:val="00FC0BBE"/>
    <w:rsid w:val="00FC1D95"/>
    <w:rsid w:val="00FD53D4"/>
    <w:rsid w:val="00FE0DE2"/>
    <w:rsid w:val="00FE1368"/>
    <w:rsid w:val="00FE62CF"/>
    <w:rsid w:val="00FE7AF2"/>
    <w:rsid w:val="00FF36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190C"/>
  <w15:chartTrackingRefBased/>
  <w15:docId w15:val="{C1726B73-6243-431C-B0FE-D822AC4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9B"/>
  </w:style>
  <w:style w:type="paragraph" w:styleId="Heading2">
    <w:name w:val="heading 2"/>
    <w:basedOn w:val="Normal"/>
    <w:link w:val="Heading2Char"/>
    <w:uiPriority w:val="9"/>
    <w:qFormat/>
    <w:rsid w:val="00782BF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9B"/>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A04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4F"/>
  </w:style>
  <w:style w:type="paragraph" w:styleId="Footer">
    <w:name w:val="footer"/>
    <w:basedOn w:val="Normal"/>
    <w:link w:val="FooterChar"/>
    <w:uiPriority w:val="99"/>
    <w:unhideWhenUsed/>
    <w:rsid w:val="00A04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4F"/>
  </w:style>
  <w:style w:type="paragraph" w:styleId="BalloonText">
    <w:name w:val="Balloon Text"/>
    <w:basedOn w:val="Normal"/>
    <w:link w:val="BalloonTextChar"/>
    <w:uiPriority w:val="99"/>
    <w:semiHidden/>
    <w:unhideWhenUsed/>
    <w:rsid w:val="00A04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4F"/>
    <w:rPr>
      <w:rFonts w:ascii="Segoe UI" w:hAnsi="Segoe UI" w:cs="Segoe UI"/>
      <w:sz w:val="18"/>
      <w:szCs w:val="18"/>
    </w:rPr>
  </w:style>
  <w:style w:type="paragraph" w:styleId="FootnoteText">
    <w:name w:val="footnote text"/>
    <w:basedOn w:val="Normal"/>
    <w:link w:val="FootnoteTextChar"/>
    <w:uiPriority w:val="99"/>
    <w:semiHidden/>
    <w:unhideWhenUsed/>
    <w:rsid w:val="003A1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DCD"/>
    <w:rPr>
      <w:sz w:val="20"/>
      <w:szCs w:val="20"/>
    </w:rPr>
  </w:style>
  <w:style w:type="character" w:styleId="FootnoteReference">
    <w:name w:val="footnote reference"/>
    <w:basedOn w:val="DefaultParagraphFont"/>
    <w:uiPriority w:val="99"/>
    <w:semiHidden/>
    <w:unhideWhenUsed/>
    <w:rsid w:val="003A1DCD"/>
    <w:rPr>
      <w:vertAlign w:val="superscript"/>
    </w:rPr>
  </w:style>
  <w:style w:type="character" w:customStyle="1" w:styleId="Heading2Char">
    <w:name w:val="Heading 2 Char"/>
    <w:basedOn w:val="DefaultParagraphFont"/>
    <w:link w:val="Heading2"/>
    <w:uiPriority w:val="9"/>
    <w:rsid w:val="00782BF1"/>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412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063">
      <w:bodyDiv w:val="1"/>
      <w:marLeft w:val="0"/>
      <w:marRight w:val="0"/>
      <w:marTop w:val="0"/>
      <w:marBottom w:val="0"/>
      <w:divBdr>
        <w:top w:val="none" w:sz="0" w:space="0" w:color="auto"/>
        <w:left w:val="none" w:sz="0" w:space="0" w:color="auto"/>
        <w:bottom w:val="none" w:sz="0" w:space="0" w:color="auto"/>
        <w:right w:val="none" w:sz="0" w:space="0" w:color="auto"/>
      </w:divBdr>
    </w:div>
    <w:div w:id="922490592">
      <w:bodyDiv w:val="1"/>
      <w:marLeft w:val="0"/>
      <w:marRight w:val="0"/>
      <w:marTop w:val="0"/>
      <w:marBottom w:val="0"/>
      <w:divBdr>
        <w:top w:val="none" w:sz="0" w:space="0" w:color="auto"/>
        <w:left w:val="none" w:sz="0" w:space="0" w:color="auto"/>
        <w:bottom w:val="none" w:sz="0" w:space="0" w:color="auto"/>
        <w:right w:val="none" w:sz="0" w:space="0" w:color="auto"/>
      </w:divBdr>
    </w:div>
    <w:div w:id="975112649">
      <w:bodyDiv w:val="1"/>
      <w:marLeft w:val="0"/>
      <w:marRight w:val="0"/>
      <w:marTop w:val="0"/>
      <w:marBottom w:val="0"/>
      <w:divBdr>
        <w:top w:val="none" w:sz="0" w:space="0" w:color="auto"/>
        <w:left w:val="none" w:sz="0" w:space="0" w:color="auto"/>
        <w:bottom w:val="none" w:sz="0" w:space="0" w:color="auto"/>
        <w:right w:val="none" w:sz="0" w:space="0" w:color="auto"/>
      </w:divBdr>
    </w:div>
    <w:div w:id="13479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9E00-ACDF-4113-9855-694C9949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HOME</cp:lastModifiedBy>
  <cp:revision>2</cp:revision>
  <cp:lastPrinted>2022-04-14T09:11:00Z</cp:lastPrinted>
  <dcterms:created xsi:type="dcterms:W3CDTF">2022-06-13T17:24:00Z</dcterms:created>
  <dcterms:modified xsi:type="dcterms:W3CDTF">2022-06-13T17:24:00Z</dcterms:modified>
</cp:coreProperties>
</file>