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1B" w:rsidRDefault="00A95CFD" w:rsidP="0099401E">
      <w:pPr>
        <w:spacing w:line="480" w:lineRule="auto"/>
        <w:rPr>
          <w:b/>
        </w:rPr>
      </w:pPr>
      <w:bookmarkStart w:id="0" w:name="_GoBack"/>
      <w:bookmarkEnd w:id="0"/>
      <w:r w:rsidRPr="007373B9">
        <w:rPr>
          <w:rFonts w:cs="Arial"/>
          <w:b/>
          <w:i/>
          <w:noProof/>
          <w:sz w:val="20"/>
          <w:szCs w:val="20"/>
          <w:lang w:eastAsia="en-ZA"/>
        </w:rPr>
        <w:drawing>
          <wp:anchor distT="0" distB="0" distL="114300" distR="114300" simplePos="0" relativeHeight="251659264" behindDoc="0" locked="0" layoutInCell="1" allowOverlap="1">
            <wp:simplePos x="0" y="0"/>
            <wp:positionH relativeFrom="margin">
              <wp:posOffset>2124075</wp:posOffset>
            </wp:positionH>
            <wp:positionV relativeFrom="paragraph">
              <wp:posOffset>0</wp:posOffset>
            </wp:positionV>
            <wp:extent cx="990600" cy="1171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2000"/>
                      <a:extLst>
                        <a:ext uri="{28A0092B-C50C-407E-A947-70E740481C1C}">
                          <a14:useLocalDpi xmlns:a14="http://schemas.microsoft.com/office/drawing/2010/main" val="0"/>
                        </a:ext>
                      </a:extLst>
                    </a:blip>
                    <a:srcRect/>
                    <a:stretch>
                      <a:fillRect/>
                    </a:stretch>
                  </pic:blipFill>
                  <pic:spPr bwMode="auto">
                    <a:xfrm>
                      <a:off x="0" y="0"/>
                      <a:ext cx="990600" cy="1171575"/>
                    </a:xfrm>
                    <a:prstGeom prst="rect">
                      <a:avLst/>
                    </a:prstGeom>
                    <a:noFill/>
                    <a:ln>
                      <a:noFill/>
                    </a:ln>
                  </pic:spPr>
                </pic:pic>
              </a:graphicData>
            </a:graphic>
          </wp:anchor>
        </w:drawing>
      </w:r>
    </w:p>
    <w:p w:rsidR="00042D1B" w:rsidRDefault="00042D1B" w:rsidP="0099401E">
      <w:pPr>
        <w:spacing w:line="480" w:lineRule="auto"/>
        <w:rPr>
          <w:b/>
        </w:rPr>
      </w:pPr>
    </w:p>
    <w:p w:rsidR="00042D1B" w:rsidRDefault="00042D1B" w:rsidP="0099401E">
      <w:pPr>
        <w:spacing w:line="480" w:lineRule="auto"/>
        <w:rPr>
          <w:b/>
        </w:rPr>
      </w:pPr>
    </w:p>
    <w:p w:rsidR="00042D1B" w:rsidRDefault="00042D1B" w:rsidP="0099401E">
      <w:pPr>
        <w:spacing w:line="480" w:lineRule="auto"/>
        <w:rPr>
          <w:b/>
        </w:rPr>
      </w:pPr>
    </w:p>
    <w:p w:rsidR="00A95CFD" w:rsidRDefault="00645CDC" w:rsidP="00645CDC">
      <w:pPr>
        <w:spacing w:line="480" w:lineRule="auto"/>
        <w:jc w:val="center"/>
        <w:rPr>
          <w:b/>
        </w:rPr>
      </w:pPr>
      <w:r>
        <w:rPr>
          <w:b/>
        </w:rPr>
        <w:t>IN THE HIGH COURT OF SOUTH AFRICA</w:t>
      </w:r>
    </w:p>
    <w:p w:rsidR="00645CDC" w:rsidRDefault="009615E2" w:rsidP="00645CDC">
      <w:pPr>
        <w:spacing w:line="480" w:lineRule="auto"/>
        <w:jc w:val="center"/>
        <w:rPr>
          <w:b/>
        </w:rPr>
      </w:pPr>
      <w:r>
        <w:rPr>
          <w:b/>
        </w:rPr>
        <w:t>[</w:t>
      </w:r>
      <w:r w:rsidR="00645CDC">
        <w:rPr>
          <w:b/>
        </w:rPr>
        <w:t>EAST LONDON CIRCUIT LOCAL DIVISION</w:t>
      </w:r>
      <w:r>
        <w:rPr>
          <w:b/>
        </w:rPr>
        <w:t>]</w:t>
      </w:r>
    </w:p>
    <w:p w:rsidR="00645CDC" w:rsidRDefault="006E7E0E" w:rsidP="00645CDC">
      <w:pPr>
        <w:spacing w:line="480" w:lineRule="auto"/>
        <w:jc w:val="right"/>
        <w:rPr>
          <w:b/>
        </w:rPr>
      </w:pPr>
      <w:r>
        <w:rPr>
          <w:b/>
        </w:rPr>
        <w:t>CASE NO.E</w:t>
      </w:r>
      <w:r w:rsidR="00393CBC">
        <w:rPr>
          <w:b/>
        </w:rPr>
        <w:t>.</w:t>
      </w:r>
      <w:r>
        <w:rPr>
          <w:b/>
        </w:rPr>
        <w:t>L 873</w:t>
      </w:r>
      <w:r w:rsidR="00645CDC">
        <w:rPr>
          <w:b/>
        </w:rPr>
        <w:t>/20</w:t>
      </w:r>
      <w:r>
        <w:rPr>
          <w:b/>
        </w:rPr>
        <w:t>19</w:t>
      </w:r>
    </w:p>
    <w:p w:rsidR="00645CDC" w:rsidRDefault="00645CDC" w:rsidP="00645CDC">
      <w:pPr>
        <w:spacing w:line="480" w:lineRule="auto"/>
        <w:rPr>
          <w:b/>
        </w:rPr>
      </w:pPr>
    </w:p>
    <w:p w:rsidR="00645CDC" w:rsidRDefault="00645CDC" w:rsidP="00645CDC">
      <w:pPr>
        <w:spacing w:line="480" w:lineRule="auto"/>
      </w:pPr>
      <w:r w:rsidRPr="00645CDC">
        <w:t>In the matter</w:t>
      </w:r>
      <w:r>
        <w:t xml:space="preserve"> between:</w:t>
      </w:r>
    </w:p>
    <w:p w:rsidR="00324FAA" w:rsidRDefault="00324FAA" w:rsidP="00645CDC">
      <w:pPr>
        <w:spacing w:line="480" w:lineRule="auto"/>
      </w:pPr>
    </w:p>
    <w:p w:rsidR="00324FAA" w:rsidRDefault="00324FAA" w:rsidP="00645CDC">
      <w:pPr>
        <w:spacing w:line="480" w:lineRule="auto"/>
      </w:pPr>
    </w:p>
    <w:p w:rsidR="00645CDC" w:rsidRDefault="006E7E0E" w:rsidP="00645CDC">
      <w:pPr>
        <w:spacing w:line="480" w:lineRule="auto"/>
      </w:pPr>
      <w:r w:rsidRPr="006E7E0E">
        <w:rPr>
          <w:b/>
        </w:rPr>
        <w:t>SIBULELE MFIKI</w:t>
      </w:r>
      <w:r w:rsidR="00C3370A">
        <w:rPr>
          <w:b/>
        </w:rPr>
        <w:t>LI</w:t>
      </w:r>
      <w:r w:rsidR="00645CDC" w:rsidRPr="006E7E0E">
        <w:rPr>
          <w:b/>
        </w:rPr>
        <w:tab/>
      </w:r>
      <w:r w:rsidR="00645CDC">
        <w:tab/>
      </w:r>
      <w:r w:rsidR="00645CDC">
        <w:tab/>
      </w:r>
      <w:r w:rsidR="00645CDC">
        <w:tab/>
      </w:r>
      <w:r w:rsidR="00645CDC">
        <w:tab/>
      </w:r>
      <w:r>
        <w:tab/>
      </w:r>
      <w:r>
        <w:tab/>
      </w:r>
      <w:r>
        <w:tab/>
      </w:r>
      <w:r>
        <w:tab/>
      </w:r>
      <w:r w:rsidR="00645CDC">
        <w:t>Applicant</w:t>
      </w:r>
    </w:p>
    <w:p w:rsidR="00645CDC" w:rsidRDefault="00645CDC" w:rsidP="00645CDC">
      <w:pPr>
        <w:spacing w:line="480" w:lineRule="auto"/>
      </w:pPr>
    </w:p>
    <w:p w:rsidR="00645CDC" w:rsidRDefault="00645CDC" w:rsidP="00645CDC">
      <w:pPr>
        <w:spacing w:line="480" w:lineRule="auto"/>
      </w:pPr>
      <w:r>
        <w:t>And</w:t>
      </w:r>
    </w:p>
    <w:p w:rsidR="00645CDC" w:rsidRDefault="00645CDC" w:rsidP="00645CDC">
      <w:pPr>
        <w:spacing w:line="480" w:lineRule="auto"/>
      </w:pPr>
    </w:p>
    <w:p w:rsidR="006E7E0E" w:rsidRPr="006E7E0E" w:rsidRDefault="006E7E0E" w:rsidP="00645CDC">
      <w:pPr>
        <w:spacing w:line="480" w:lineRule="auto"/>
        <w:rPr>
          <w:b/>
        </w:rPr>
      </w:pPr>
      <w:r w:rsidRPr="006E7E0E">
        <w:rPr>
          <w:b/>
        </w:rPr>
        <w:t xml:space="preserve">THE MINISTER OF POLICE FOR THE </w:t>
      </w:r>
    </w:p>
    <w:p w:rsidR="00645CDC" w:rsidRDefault="006E7E0E" w:rsidP="00645CDC">
      <w:pPr>
        <w:spacing w:line="480" w:lineRule="auto"/>
      </w:pPr>
      <w:r w:rsidRPr="006E7E0E">
        <w:rPr>
          <w:b/>
        </w:rPr>
        <w:t>REPUBLIC OF SOUTH AFRICA</w:t>
      </w:r>
      <w:r w:rsidRPr="006E7E0E">
        <w:rPr>
          <w:b/>
        </w:rPr>
        <w:tab/>
      </w:r>
      <w:r>
        <w:tab/>
      </w:r>
      <w:r w:rsidR="00645CDC">
        <w:tab/>
      </w:r>
      <w:r w:rsidR="00645CDC">
        <w:tab/>
      </w:r>
      <w:r w:rsidR="00645CDC">
        <w:tab/>
      </w:r>
      <w:r>
        <w:t xml:space="preserve">      First </w:t>
      </w:r>
      <w:r w:rsidR="00645CDC">
        <w:t>Respondent</w:t>
      </w:r>
    </w:p>
    <w:p w:rsidR="00645CDC" w:rsidRDefault="006E7E0E" w:rsidP="00645CDC">
      <w:pPr>
        <w:pBdr>
          <w:bottom w:val="single" w:sz="4" w:space="1" w:color="auto"/>
        </w:pBdr>
        <w:spacing w:line="480" w:lineRule="auto"/>
      </w:pPr>
      <w:r w:rsidRPr="006E7E0E">
        <w:rPr>
          <w:b/>
        </w:rPr>
        <w:t>NATIONAL DIRECTOR OF PUBLIC PROSECUTIONS</w:t>
      </w:r>
      <w:r>
        <w:tab/>
        <w:t>Second Respondent</w:t>
      </w:r>
    </w:p>
    <w:p w:rsidR="00645CDC" w:rsidRDefault="00645CDC" w:rsidP="00645CDC">
      <w:pPr>
        <w:spacing w:line="480" w:lineRule="auto"/>
        <w:jc w:val="center"/>
      </w:pPr>
    </w:p>
    <w:p w:rsidR="00645CDC" w:rsidRPr="00645CDC" w:rsidRDefault="006E7E0E" w:rsidP="00645CDC">
      <w:pPr>
        <w:spacing w:line="480" w:lineRule="auto"/>
        <w:jc w:val="center"/>
        <w:rPr>
          <w:b/>
        </w:rPr>
      </w:pPr>
      <w:r>
        <w:rPr>
          <w:b/>
        </w:rPr>
        <w:t>JUDGMENT</w:t>
      </w:r>
    </w:p>
    <w:p w:rsidR="00645CDC" w:rsidRDefault="00645CDC" w:rsidP="00645CDC">
      <w:pPr>
        <w:pBdr>
          <w:top w:val="single" w:sz="4" w:space="1" w:color="auto"/>
        </w:pBdr>
        <w:spacing w:line="480" w:lineRule="auto"/>
      </w:pPr>
    </w:p>
    <w:p w:rsidR="00645CDC" w:rsidRPr="006E7E0E" w:rsidRDefault="006E7E0E" w:rsidP="00645CDC">
      <w:pPr>
        <w:spacing w:line="480" w:lineRule="auto"/>
        <w:rPr>
          <w:b/>
        </w:rPr>
      </w:pPr>
      <w:r w:rsidRPr="006E7E0E">
        <w:rPr>
          <w:b/>
        </w:rPr>
        <w:t>TOKOTA J</w:t>
      </w:r>
    </w:p>
    <w:p w:rsidR="00645CDC" w:rsidRPr="00A17635" w:rsidRDefault="00A17635" w:rsidP="00645CDC">
      <w:pPr>
        <w:spacing w:line="480" w:lineRule="auto"/>
        <w:rPr>
          <w:b/>
        </w:rPr>
      </w:pPr>
      <w:r w:rsidRPr="00A17635">
        <w:rPr>
          <w:b/>
        </w:rPr>
        <w:t>Introduction:</w:t>
      </w:r>
    </w:p>
    <w:p w:rsidR="006E7E0E" w:rsidRDefault="00645CDC" w:rsidP="00A17635">
      <w:pPr>
        <w:spacing w:line="480" w:lineRule="auto"/>
        <w:jc w:val="both"/>
      </w:pPr>
      <w:r>
        <w:t>[1]</w:t>
      </w:r>
      <w:r>
        <w:tab/>
      </w:r>
      <w:r w:rsidR="006E7E0E">
        <w:t>The applicant instituted an action for damages</w:t>
      </w:r>
      <w:r w:rsidR="00324FAA">
        <w:t>’</w:t>
      </w:r>
      <w:r w:rsidR="00C93E1D">
        <w:t xml:space="preserve"> claim</w:t>
      </w:r>
      <w:r w:rsidR="006E7E0E">
        <w:t xml:space="preserve"> </w:t>
      </w:r>
      <w:r w:rsidR="00324FAA">
        <w:t>arising from the alleged</w:t>
      </w:r>
      <w:r w:rsidR="006E7E0E">
        <w:t xml:space="preserve"> unlawful arrest and detention</w:t>
      </w:r>
      <w:r w:rsidR="00D82AFF">
        <w:t xml:space="preserve"> against the first respondent</w:t>
      </w:r>
      <w:r w:rsidR="006E7E0E">
        <w:t xml:space="preserve"> (claim 1), malicious </w:t>
      </w:r>
      <w:r w:rsidR="006E7E0E">
        <w:lastRenderedPageBreak/>
        <w:t xml:space="preserve">prosecution </w:t>
      </w:r>
      <w:r w:rsidR="00D82AFF">
        <w:t xml:space="preserve">against the first and second respondents </w:t>
      </w:r>
      <w:r w:rsidR="006E7E0E">
        <w:t xml:space="preserve">(claim 2) and loss of income </w:t>
      </w:r>
      <w:r w:rsidR="00D82AFF">
        <w:t xml:space="preserve">against the first and second respondents </w:t>
      </w:r>
      <w:r w:rsidR="006E7E0E">
        <w:t>(c</w:t>
      </w:r>
      <w:r w:rsidR="000F5A70">
        <w:t>laim 3). The respondents raised</w:t>
      </w:r>
      <w:r w:rsidR="006E7E0E">
        <w:t xml:space="preserve"> a special plea </w:t>
      </w:r>
      <w:r w:rsidR="00B95791">
        <w:t xml:space="preserve">contending </w:t>
      </w:r>
      <w:r w:rsidR="006E7E0E">
        <w:t xml:space="preserve">that the plaintiff </w:t>
      </w:r>
      <w:r w:rsidR="002F4945">
        <w:t>is</w:t>
      </w:r>
      <w:r w:rsidR="00B8319C">
        <w:t xml:space="preserve"> </w:t>
      </w:r>
      <w:r w:rsidR="001F728C">
        <w:t>time-</w:t>
      </w:r>
      <w:r w:rsidR="002F4945">
        <w:t>barred</w:t>
      </w:r>
      <w:r w:rsidR="006E7E0E">
        <w:t xml:space="preserve"> for failure to comply with section 3</w:t>
      </w:r>
      <w:r w:rsidR="000F5A70">
        <w:t>(2)</w:t>
      </w:r>
      <w:r w:rsidR="006E7E0E">
        <w:t xml:space="preserve"> of the Institution of Legal Proceedings </w:t>
      </w:r>
      <w:r w:rsidR="00A17635">
        <w:t>Against</w:t>
      </w:r>
      <w:r w:rsidR="002F4945">
        <w:t xml:space="preserve"> Certain</w:t>
      </w:r>
      <w:r w:rsidR="006E7E0E">
        <w:t xml:space="preserve"> Organs of </w:t>
      </w:r>
      <w:r w:rsidR="002F4945">
        <w:t xml:space="preserve">the </w:t>
      </w:r>
      <w:r w:rsidR="006E7E0E">
        <w:t>State Act No. 40 of 2002 (the Act).</w:t>
      </w:r>
      <w:r w:rsidR="00D136F5">
        <w:t xml:space="preserve">The Act creates </w:t>
      </w:r>
      <w:r w:rsidR="00D136F5" w:rsidRPr="00D136F5">
        <w:t>time-bar limits enjoin</w:t>
      </w:r>
      <w:r w:rsidR="00D136F5">
        <w:t>ing</w:t>
      </w:r>
      <w:r w:rsidR="00D136F5" w:rsidRPr="00D136F5">
        <w:t xml:space="preserve"> a person who wishes to sue the </w:t>
      </w:r>
      <w:r w:rsidR="0045168C">
        <w:t>S</w:t>
      </w:r>
      <w:r w:rsidR="00D136F5" w:rsidRPr="00D136F5">
        <w:t xml:space="preserve">tate to give six months' notice from the date on which the debt becomes due, with </w:t>
      </w:r>
      <w:r w:rsidR="00393CBC">
        <w:t>the pr</w:t>
      </w:r>
      <w:r w:rsidR="00D136F5" w:rsidRPr="00D136F5">
        <w:t>ovision for condonation of th</w:t>
      </w:r>
      <w:r w:rsidR="00D136F5">
        <w:t xml:space="preserve">e late giving of such notice. </w:t>
      </w:r>
      <w:r w:rsidR="000F5A70">
        <w:t xml:space="preserve">In that notice the claimant must briefly set out the facts giving rise to such debt. The purported notice was issued outside the six-month period. </w:t>
      </w:r>
      <w:r w:rsidR="00A17635">
        <w:t>This is an appli</w:t>
      </w:r>
      <w:r w:rsidR="000F5A70">
        <w:t>cation for condonation for</w:t>
      </w:r>
      <w:r w:rsidR="00A17635">
        <w:t xml:space="preserve">failure to comply with the </w:t>
      </w:r>
      <w:r w:rsidR="00D136F5">
        <w:t xml:space="preserve">provisions of the </w:t>
      </w:r>
      <w:r w:rsidR="00A17635">
        <w:t>Act. The application is resisted by the respondents.</w:t>
      </w:r>
    </w:p>
    <w:p w:rsidR="00645CDC" w:rsidRDefault="00645CDC" w:rsidP="00A17635">
      <w:pPr>
        <w:spacing w:line="480" w:lineRule="auto"/>
        <w:jc w:val="both"/>
      </w:pPr>
    </w:p>
    <w:p w:rsidR="00B95791" w:rsidRDefault="00B95791" w:rsidP="00A17635">
      <w:pPr>
        <w:spacing w:line="480" w:lineRule="auto"/>
        <w:jc w:val="both"/>
        <w:rPr>
          <w:b/>
        </w:rPr>
      </w:pPr>
      <w:r>
        <w:rPr>
          <w:b/>
        </w:rPr>
        <w:t>Factual background</w:t>
      </w:r>
      <w:r w:rsidRPr="00B95791">
        <w:rPr>
          <w:b/>
        </w:rPr>
        <w:t>:</w:t>
      </w:r>
    </w:p>
    <w:p w:rsidR="000F5A70" w:rsidRPr="00B95791" w:rsidRDefault="000F5A70" w:rsidP="00A17635">
      <w:pPr>
        <w:spacing w:line="480" w:lineRule="auto"/>
        <w:jc w:val="both"/>
        <w:rPr>
          <w:b/>
        </w:rPr>
      </w:pPr>
    </w:p>
    <w:p w:rsidR="00645CDC" w:rsidRDefault="00A17635" w:rsidP="00A17635">
      <w:pPr>
        <w:spacing w:line="480" w:lineRule="auto"/>
        <w:jc w:val="both"/>
      </w:pPr>
      <w:r>
        <w:t>[2]</w:t>
      </w:r>
      <w:r w:rsidR="00645CDC">
        <w:tab/>
      </w:r>
      <w:r w:rsidR="00B95791">
        <w:t>On 12 July 2017</w:t>
      </w:r>
      <w:r w:rsidR="001F728C">
        <w:t>,</w:t>
      </w:r>
      <w:r w:rsidR="00B95791">
        <w:t xml:space="preserve"> the applicant was arrested by the police without a warrant of arrest</w:t>
      </w:r>
      <w:r w:rsidR="0045168C">
        <w:t>. He was</w:t>
      </w:r>
      <w:r w:rsidR="00B95791">
        <w:t xml:space="preserve"> deta</w:t>
      </w:r>
      <w:r w:rsidR="002F36CE">
        <w:t>ined until he appeared in court. The papers do not indicate the date of his appearance in court. Since this is not an issue it can be safely assumed that he appeared within the forty-</w:t>
      </w:r>
      <w:r w:rsidR="001F728C">
        <w:t>eight-</w:t>
      </w:r>
      <w:r w:rsidR="002F36CE">
        <w:t xml:space="preserve">hour </w:t>
      </w:r>
      <w:r w:rsidR="00107F00">
        <w:t xml:space="preserve">period </w:t>
      </w:r>
      <w:r w:rsidR="002F36CE">
        <w:t xml:space="preserve">required in terms of </w:t>
      </w:r>
      <w:r w:rsidR="000F5A70">
        <w:t xml:space="preserve">section 50(1) of </w:t>
      </w:r>
      <w:r w:rsidR="002F36CE">
        <w:t xml:space="preserve">the Criminal Procedure Act 51 of 1977 (the CPA). </w:t>
      </w:r>
      <w:r w:rsidR="00107F00">
        <w:t>The respondent</w:t>
      </w:r>
      <w:r w:rsidR="00393CBC">
        <w:t>s</w:t>
      </w:r>
      <w:r w:rsidR="00107F00">
        <w:t xml:space="preserve"> pleaded that the applicant was arrested on reasonable </w:t>
      </w:r>
      <w:r w:rsidR="00A638D5">
        <w:t xml:space="preserve">grounds of </w:t>
      </w:r>
      <w:r w:rsidR="0045168C">
        <w:t xml:space="preserve">suspicion </w:t>
      </w:r>
      <w:r w:rsidR="00107F00">
        <w:t>that he had committed murder and robbery</w:t>
      </w:r>
      <w:r w:rsidR="005460D7">
        <w:t xml:space="preserve"> which are offences referred to in schedule 1 of the CPA</w:t>
      </w:r>
      <w:r w:rsidR="00107F00">
        <w:t>.</w:t>
      </w:r>
    </w:p>
    <w:p w:rsidR="00107F00" w:rsidRDefault="00107F00" w:rsidP="00A17635">
      <w:pPr>
        <w:spacing w:line="480" w:lineRule="auto"/>
        <w:jc w:val="both"/>
      </w:pPr>
    </w:p>
    <w:p w:rsidR="00107F00" w:rsidRDefault="00107F00" w:rsidP="00A17635">
      <w:pPr>
        <w:spacing w:line="480" w:lineRule="auto"/>
        <w:jc w:val="both"/>
      </w:pPr>
      <w:r>
        <w:t>[3]</w:t>
      </w:r>
      <w:r>
        <w:tab/>
        <w:t>The applicant appeared in court on several occasions without his case being tried. The information given by the parties is so scanty that one does not know</w:t>
      </w:r>
      <w:r w:rsidR="00324FAA">
        <w:t xml:space="preserve"> </w:t>
      </w:r>
      <w:r>
        <w:t xml:space="preserve">when exactly was he released on bail. </w:t>
      </w:r>
      <w:r w:rsidR="00C43E9F">
        <w:t>On 19 July 2018</w:t>
      </w:r>
      <w:r w:rsidR="001F728C">
        <w:t>,</w:t>
      </w:r>
      <w:r w:rsidR="00C43E9F">
        <w:t xml:space="preserve"> t</w:t>
      </w:r>
      <w:r>
        <w:t xml:space="preserve">he </w:t>
      </w:r>
      <w:r w:rsidR="00C43E9F">
        <w:t xml:space="preserve">charges </w:t>
      </w:r>
      <w:r w:rsidR="000F5A70">
        <w:t xml:space="preserve">against the applicant </w:t>
      </w:r>
      <w:r w:rsidR="00C43E9F">
        <w:lastRenderedPageBreak/>
        <w:t xml:space="preserve">were </w:t>
      </w:r>
      <w:r w:rsidR="000F5A70">
        <w:t>withdrawn</w:t>
      </w:r>
      <w:r>
        <w:t xml:space="preserve">. </w:t>
      </w:r>
      <w:r w:rsidR="00C43E9F">
        <w:t xml:space="preserve">The applicant alleges that the magistrate </w:t>
      </w:r>
      <w:r w:rsidR="00635416">
        <w:t>remarked that the reason for the withdrawal was</w:t>
      </w:r>
      <w:r w:rsidR="00324FAA">
        <w:t xml:space="preserve"> </w:t>
      </w:r>
      <w:r w:rsidR="001F728C">
        <w:t xml:space="preserve">that </w:t>
      </w:r>
      <w:r w:rsidR="00635416">
        <w:t xml:space="preserve">there was no case against him. </w:t>
      </w:r>
      <w:r w:rsidR="00324FAA">
        <w:t xml:space="preserve"> </w:t>
      </w:r>
      <w:r w:rsidR="00A638D5">
        <w:t xml:space="preserve">According to the record it is recorded “case withdrawn by PP”. </w:t>
      </w:r>
      <w:r w:rsidR="00393CBC">
        <w:t xml:space="preserve">The record does not reveal that the magistrate said there was no case against the applicant. </w:t>
      </w:r>
    </w:p>
    <w:p w:rsidR="000F5A70" w:rsidRDefault="000F5A70" w:rsidP="00A17635">
      <w:pPr>
        <w:spacing w:line="480" w:lineRule="auto"/>
        <w:jc w:val="both"/>
      </w:pPr>
    </w:p>
    <w:p w:rsidR="00107F00" w:rsidRDefault="00635416" w:rsidP="00A17635">
      <w:pPr>
        <w:spacing w:line="480" w:lineRule="auto"/>
        <w:jc w:val="both"/>
      </w:pPr>
      <w:r>
        <w:t>[4]</w:t>
      </w:r>
      <w:r>
        <w:tab/>
        <w:t>On</w:t>
      </w:r>
      <w:r w:rsidR="006A7316">
        <w:t xml:space="preserve"> 2 October 2018</w:t>
      </w:r>
      <w:r w:rsidR="001F728C">
        <w:t>,</w:t>
      </w:r>
      <w:r w:rsidR="000C2D37">
        <w:t xml:space="preserve"> a letter</w:t>
      </w:r>
      <w:r w:rsidR="006A7316">
        <w:t xml:space="preserve"> </w:t>
      </w:r>
      <w:r w:rsidR="000C2D37">
        <w:t xml:space="preserve">purporting to be a notice </w:t>
      </w:r>
      <w:r w:rsidR="006A7316">
        <w:t>in terms of section 3</w:t>
      </w:r>
      <w:r w:rsidR="000C2D37">
        <w:t>(2)</w:t>
      </w:r>
      <w:r w:rsidR="006A7316">
        <w:t xml:space="preserve"> </w:t>
      </w:r>
      <w:r w:rsidR="00A638D5">
        <w:t xml:space="preserve">of the Act </w:t>
      </w:r>
      <w:r w:rsidR="006A7316">
        <w:t>was sent by registered mail to the National Commissioner of Police. No such notice was sent or served on the second respondent. On</w:t>
      </w:r>
      <w:r>
        <w:t xml:space="preserve"> 12 August2019</w:t>
      </w:r>
      <w:r w:rsidR="001F728C">
        <w:t>,</w:t>
      </w:r>
      <w:r>
        <w:t xml:space="preserve"> the summons was served on the first respondent and on 24 January 2020</w:t>
      </w:r>
      <w:r w:rsidR="001F728C">
        <w:t>,</w:t>
      </w:r>
      <w:r>
        <w:t xml:space="preserve"> the summons was served on the second respondent. On 19 June 2020</w:t>
      </w:r>
      <w:r w:rsidR="001F728C">
        <w:t>,</w:t>
      </w:r>
      <w:r>
        <w:t xml:space="preserve"> the summons was served on the Provincial Commissioner. </w:t>
      </w:r>
    </w:p>
    <w:p w:rsidR="00C425D6" w:rsidRDefault="00C425D6" w:rsidP="00A17635">
      <w:pPr>
        <w:spacing w:line="480" w:lineRule="auto"/>
        <w:jc w:val="both"/>
      </w:pPr>
    </w:p>
    <w:p w:rsidR="00C425D6" w:rsidRDefault="00C425D6" w:rsidP="00A17635">
      <w:pPr>
        <w:spacing w:line="480" w:lineRule="auto"/>
        <w:jc w:val="both"/>
      </w:pPr>
      <w:r>
        <w:t>[5]</w:t>
      </w:r>
      <w:r>
        <w:tab/>
      </w:r>
      <w:r w:rsidR="00051035">
        <w:t>Generally speaking</w:t>
      </w:r>
      <w:r w:rsidR="001F728C">
        <w:t>,</w:t>
      </w:r>
      <w:r w:rsidR="00051035">
        <w:t xml:space="preserve"> a</w:t>
      </w:r>
      <w:r>
        <w:t xml:space="preserve">s the applicant was arrested on 12 July 2017 and assuming that the arrest and detention </w:t>
      </w:r>
      <w:r w:rsidR="001F728C">
        <w:t xml:space="preserve">were </w:t>
      </w:r>
      <w:r>
        <w:t>unlawful</w:t>
      </w:r>
      <w:r w:rsidR="0045168C">
        <w:t>,</w:t>
      </w:r>
      <w:r>
        <w:t xml:space="preserve"> the debt </w:t>
      </w:r>
      <w:r w:rsidR="0045168C">
        <w:t>would have beco</w:t>
      </w:r>
      <w:r>
        <w:t>me due on that date and the six month-period would have expired in January 2018.</w:t>
      </w:r>
    </w:p>
    <w:p w:rsidR="00C425D6" w:rsidRDefault="00C425D6" w:rsidP="00A17635">
      <w:pPr>
        <w:spacing w:line="480" w:lineRule="auto"/>
        <w:jc w:val="both"/>
      </w:pPr>
    </w:p>
    <w:p w:rsidR="00C425D6" w:rsidRDefault="00E0708B" w:rsidP="00A17635">
      <w:pPr>
        <w:spacing w:line="480" w:lineRule="auto"/>
        <w:jc w:val="both"/>
      </w:pPr>
      <w:r>
        <w:t>[6]</w:t>
      </w:r>
      <w:r>
        <w:tab/>
        <w:t>The applicant stated</w:t>
      </w:r>
      <w:r w:rsidR="00C425D6">
        <w:t xml:space="preserve"> that sometime after he was released he got to know that he could institute a claim for damages for unlawful arrest and detention and malicious prosecution. He then started looking for a lawyer who could take his case on a contingency basis. </w:t>
      </w:r>
      <w:r w:rsidR="005460D7">
        <w:t xml:space="preserve">He contacted an </w:t>
      </w:r>
      <w:r w:rsidR="00C425D6">
        <w:t xml:space="preserve">attorney </w:t>
      </w:r>
      <w:r w:rsidR="005460D7">
        <w:t>who</w:t>
      </w:r>
      <w:r w:rsidR="00C425D6">
        <w:t xml:space="preserve"> wrote a letter on 2 October 2018.  Then on 12 August 2019 and 24 January 2020 summons</w:t>
      </w:r>
      <w:r>
        <w:t xml:space="preserve"> was</w:t>
      </w:r>
      <w:r w:rsidR="001F728C">
        <w:t xml:space="preserve"> </w:t>
      </w:r>
      <w:r w:rsidR="00C425D6">
        <w:t>served on the re</w:t>
      </w:r>
      <w:r w:rsidR="00CF0D92">
        <w:t>s</w:t>
      </w:r>
      <w:r w:rsidR="00C425D6">
        <w:t>pondents respectively.</w:t>
      </w:r>
    </w:p>
    <w:p w:rsidR="00C425D6" w:rsidRDefault="00C425D6" w:rsidP="00A17635">
      <w:pPr>
        <w:spacing w:line="480" w:lineRule="auto"/>
        <w:jc w:val="both"/>
      </w:pPr>
    </w:p>
    <w:p w:rsidR="00EF038E" w:rsidRDefault="00C425D6" w:rsidP="00A17635">
      <w:pPr>
        <w:spacing w:line="480" w:lineRule="auto"/>
        <w:jc w:val="both"/>
      </w:pPr>
      <w:r>
        <w:t>[7]</w:t>
      </w:r>
      <w:r>
        <w:tab/>
        <w:t>The applica</w:t>
      </w:r>
      <w:r w:rsidR="00CF0D92">
        <w:t xml:space="preserve">nt does not tell the court when exactly after his release did he know that he had a claim against the respondents. </w:t>
      </w:r>
    </w:p>
    <w:p w:rsidR="00B3539F" w:rsidRDefault="00B3539F" w:rsidP="00A17635">
      <w:pPr>
        <w:spacing w:line="480" w:lineRule="auto"/>
        <w:jc w:val="both"/>
        <w:rPr>
          <w:b/>
        </w:rPr>
      </w:pPr>
    </w:p>
    <w:p w:rsidR="008A15C6" w:rsidRPr="00B3539F" w:rsidRDefault="00B3539F" w:rsidP="00A17635">
      <w:pPr>
        <w:spacing w:line="480" w:lineRule="auto"/>
        <w:jc w:val="both"/>
        <w:rPr>
          <w:b/>
        </w:rPr>
      </w:pPr>
      <w:r w:rsidRPr="00B3539F">
        <w:rPr>
          <w:b/>
        </w:rPr>
        <w:t>Statutory Framework:</w:t>
      </w:r>
    </w:p>
    <w:p w:rsidR="00051035" w:rsidRDefault="00051035" w:rsidP="005460D7">
      <w:pPr>
        <w:spacing w:line="480" w:lineRule="auto"/>
        <w:jc w:val="both"/>
      </w:pPr>
    </w:p>
    <w:p w:rsidR="005460D7" w:rsidRDefault="008A15C6" w:rsidP="005460D7">
      <w:pPr>
        <w:spacing w:line="480" w:lineRule="auto"/>
        <w:jc w:val="both"/>
      </w:pPr>
      <w:r>
        <w:t>[8]</w:t>
      </w:r>
      <w:r>
        <w:tab/>
      </w:r>
      <w:r w:rsidR="005460D7">
        <w:t xml:space="preserve">Section 3 of </w:t>
      </w:r>
      <w:r w:rsidR="005460D7" w:rsidRPr="001570C8">
        <w:t xml:space="preserve">the </w:t>
      </w:r>
      <w:r w:rsidR="005460D7">
        <w:t>Act provides:</w:t>
      </w:r>
    </w:p>
    <w:p w:rsidR="005460D7" w:rsidRPr="001570C8" w:rsidRDefault="005460D7" w:rsidP="005460D7">
      <w:pPr>
        <w:spacing w:line="360" w:lineRule="auto"/>
        <w:jc w:val="both"/>
        <w:rPr>
          <w:i/>
          <w:sz w:val="22"/>
          <w:szCs w:val="22"/>
        </w:rPr>
      </w:pPr>
      <w:r>
        <w:rPr>
          <w:i/>
          <w:sz w:val="22"/>
          <w:szCs w:val="22"/>
        </w:rPr>
        <w:t>“</w:t>
      </w:r>
      <w:r w:rsidR="00E71754">
        <w:rPr>
          <w:i/>
          <w:sz w:val="22"/>
          <w:szCs w:val="22"/>
        </w:rPr>
        <w:t xml:space="preserve">3(1) </w:t>
      </w:r>
      <w:r w:rsidRPr="001570C8">
        <w:rPr>
          <w:i/>
          <w:sz w:val="22"/>
          <w:szCs w:val="22"/>
        </w:rPr>
        <w:t>No legal proceedings for the recovery of a debt may be instituted against an organ of state unless-</w:t>
      </w:r>
    </w:p>
    <w:p w:rsidR="005460D7" w:rsidRPr="001570C8" w:rsidRDefault="005460D7" w:rsidP="005460D7">
      <w:pPr>
        <w:spacing w:line="360" w:lineRule="auto"/>
        <w:jc w:val="both"/>
        <w:rPr>
          <w:i/>
          <w:sz w:val="22"/>
          <w:szCs w:val="22"/>
        </w:rPr>
      </w:pPr>
      <w:r w:rsidRPr="001570C8">
        <w:rPr>
          <w:i/>
          <w:sz w:val="22"/>
          <w:szCs w:val="22"/>
        </w:rPr>
        <w:tab/>
        <w:t>(a)</w:t>
      </w:r>
      <w:r w:rsidRPr="001570C8">
        <w:rPr>
          <w:i/>
          <w:sz w:val="22"/>
          <w:szCs w:val="22"/>
        </w:rPr>
        <w:tab/>
        <w:t xml:space="preserve">the creditor has given the organ of state in question notice in writing of </w:t>
      </w:r>
      <w:r w:rsidRPr="001570C8">
        <w:rPr>
          <w:i/>
          <w:sz w:val="22"/>
          <w:szCs w:val="22"/>
        </w:rPr>
        <w:tab/>
      </w:r>
      <w:r w:rsidRPr="001570C8">
        <w:rPr>
          <w:i/>
          <w:sz w:val="22"/>
          <w:szCs w:val="22"/>
        </w:rPr>
        <w:tab/>
        <w:t>his or her or its intention to institute the l</w:t>
      </w:r>
      <w:r>
        <w:rPr>
          <w:i/>
          <w:sz w:val="22"/>
          <w:szCs w:val="22"/>
        </w:rPr>
        <w:t xml:space="preserve">egal proceedings in question; </w:t>
      </w:r>
      <w:r w:rsidRPr="001570C8">
        <w:rPr>
          <w:i/>
          <w:sz w:val="22"/>
          <w:szCs w:val="22"/>
        </w:rPr>
        <w:t>or</w:t>
      </w:r>
    </w:p>
    <w:p w:rsidR="005460D7" w:rsidRPr="001570C8" w:rsidRDefault="005460D7" w:rsidP="005460D7">
      <w:pPr>
        <w:spacing w:line="360" w:lineRule="auto"/>
        <w:jc w:val="both"/>
        <w:rPr>
          <w:i/>
          <w:sz w:val="22"/>
          <w:szCs w:val="22"/>
        </w:rPr>
      </w:pPr>
      <w:r w:rsidRPr="001570C8">
        <w:rPr>
          <w:i/>
          <w:sz w:val="22"/>
          <w:szCs w:val="22"/>
        </w:rPr>
        <w:tab/>
        <w:t>(b)</w:t>
      </w:r>
      <w:r w:rsidRPr="001570C8">
        <w:rPr>
          <w:i/>
          <w:sz w:val="22"/>
          <w:szCs w:val="22"/>
        </w:rPr>
        <w:tab/>
        <w:t>the organ of state in question has consented in writing to the institution of that legal proceedings-</w:t>
      </w:r>
    </w:p>
    <w:p w:rsidR="005460D7" w:rsidRPr="001570C8" w:rsidRDefault="005460D7" w:rsidP="005460D7">
      <w:pPr>
        <w:spacing w:line="360" w:lineRule="auto"/>
        <w:jc w:val="both"/>
        <w:rPr>
          <w:i/>
          <w:sz w:val="22"/>
          <w:szCs w:val="22"/>
        </w:rPr>
      </w:pPr>
      <w:r w:rsidRPr="001570C8">
        <w:rPr>
          <w:i/>
          <w:sz w:val="22"/>
          <w:szCs w:val="22"/>
        </w:rPr>
        <w:tab/>
        <w:t>  (i)</w:t>
      </w:r>
      <w:r w:rsidRPr="001570C8">
        <w:rPr>
          <w:i/>
          <w:sz w:val="22"/>
          <w:szCs w:val="22"/>
        </w:rPr>
        <w:tab/>
        <w:t>without such notice; or</w:t>
      </w:r>
    </w:p>
    <w:p w:rsidR="005460D7" w:rsidRPr="001570C8" w:rsidRDefault="005460D7" w:rsidP="005460D7">
      <w:pPr>
        <w:spacing w:line="360" w:lineRule="auto"/>
        <w:jc w:val="both"/>
        <w:rPr>
          <w:i/>
          <w:sz w:val="22"/>
          <w:szCs w:val="22"/>
        </w:rPr>
      </w:pPr>
      <w:r w:rsidRPr="001570C8">
        <w:rPr>
          <w:i/>
          <w:sz w:val="22"/>
          <w:szCs w:val="22"/>
        </w:rPr>
        <w:tab/>
        <w:t> (ii)</w:t>
      </w:r>
      <w:r w:rsidRPr="001570C8">
        <w:rPr>
          <w:i/>
          <w:sz w:val="22"/>
          <w:szCs w:val="22"/>
        </w:rPr>
        <w:tab/>
        <w:t>upon receipt of a notice which does not comply with all the requirements set out in subsection (2).</w:t>
      </w:r>
    </w:p>
    <w:p w:rsidR="005460D7" w:rsidRPr="001570C8" w:rsidRDefault="00E71754" w:rsidP="005460D7">
      <w:pPr>
        <w:spacing w:line="360" w:lineRule="auto"/>
        <w:jc w:val="both"/>
        <w:rPr>
          <w:i/>
          <w:sz w:val="22"/>
          <w:szCs w:val="22"/>
        </w:rPr>
      </w:pPr>
      <w:r>
        <w:rPr>
          <w:i/>
          <w:sz w:val="22"/>
          <w:szCs w:val="22"/>
        </w:rPr>
        <w:t>3</w:t>
      </w:r>
      <w:r w:rsidR="005460D7" w:rsidRPr="001570C8">
        <w:rPr>
          <w:i/>
          <w:sz w:val="22"/>
          <w:szCs w:val="22"/>
        </w:rPr>
        <w:t>(2) A notice must-</w:t>
      </w:r>
    </w:p>
    <w:p w:rsidR="005460D7" w:rsidRPr="001570C8" w:rsidRDefault="005460D7" w:rsidP="005460D7">
      <w:pPr>
        <w:spacing w:line="360" w:lineRule="auto"/>
        <w:jc w:val="both"/>
        <w:rPr>
          <w:i/>
          <w:sz w:val="22"/>
          <w:szCs w:val="22"/>
        </w:rPr>
      </w:pPr>
      <w:r w:rsidRPr="001570C8">
        <w:rPr>
          <w:i/>
          <w:sz w:val="22"/>
          <w:szCs w:val="22"/>
        </w:rPr>
        <w:t>(a)</w:t>
      </w:r>
      <w:r w:rsidRPr="001570C8">
        <w:rPr>
          <w:i/>
          <w:sz w:val="22"/>
          <w:szCs w:val="22"/>
        </w:rPr>
        <w:tab/>
        <w:t xml:space="preserve">within six months from the date on which the debt became due, be </w:t>
      </w:r>
      <w:r w:rsidRPr="001570C8">
        <w:rPr>
          <w:i/>
          <w:sz w:val="22"/>
          <w:szCs w:val="22"/>
        </w:rPr>
        <w:tab/>
      </w:r>
      <w:r w:rsidRPr="001570C8">
        <w:rPr>
          <w:i/>
          <w:sz w:val="22"/>
          <w:szCs w:val="22"/>
        </w:rPr>
        <w:tab/>
      </w:r>
      <w:r w:rsidRPr="001570C8">
        <w:rPr>
          <w:i/>
          <w:sz w:val="22"/>
          <w:szCs w:val="22"/>
        </w:rPr>
        <w:tab/>
        <w:t>served on the organ of state in accordance with section 4 (1); and</w:t>
      </w:r>
    </w:p>
    <w:p w:rsidR="00EA6E1C" w:rsidRPr="00EA6E1C" w:rsidRDefault="00EA6E1C" w:rsidP="00EA6E1C">
      <w:pPr>
        <w:spacing w:line="360" w:lineRule="auto"/>
        <w:jc w:val="both"/>
        <w:rPr>
          <w:i/>
          <w:sz w:val="22"/>
          <w:szCs w:val="22"/>
        </w:rPr>
      </w:pPr>
      <w:r w:rsidRPr="00EA6E1C">
        <w:rPr>
          <w:i/>
          <w:sz w:val="22"/>
          <w:szCs w:val="22"/>
        </w:rPr>
        <w:t>(b)</w:t>
      </w:r>
      <w:r w:rsidRPr="00EA6E1C">
        <w:rPr>
          <w:i/>
          <w:sz w:val="22"/>
          <w:szCs w:val="22"/>
        </w:rPr>
        <w:tab/>
        <w:t>briefly set out-</w:t>
      </w:r>
    </w:p>
    <w:p w:rsidR="00EA6E1C" w:rsidRPr="00EA6E1C" w:rsidRDefault="00EA6E1C" w:rsidP="00EA6E1C">
      <w:pPr>
        <w:spacing w:line="360" w:lineRule="auto"/>
        <w:jc w:val="both"/>
        <w:rPr>
          <w:i/>
          <w:sz w:val="22"/>
          <w:szCs w:val="22"/>
        </w:rPr>
      </w:pPr>
      <w:r w:rsidRPr="00EA6E1C">
        <w:rPr>
          <w:i/>
          <w:sz w:val="22"/>
          <w:szCs w:val="22"/>
        </w:rPr>
        <w:tab/>
        <w:t>  (i)</w:t>
      </w:r>
      <w:r w:rsidRPr="00EA6E1C">
        <w:rPr>
          <w:i/>
          <w:sz w:val="22"/>
          <w:szCs w:val="22"/>
        </w:rPr>
        <w:tab/>
        <w:t>the facts giving rise to the debt; and</w:t>
      </w:r>
    </w:p>
    <w:p w:rsidR="005460D7" w:rsidRPr="001570C8" w:rsidRDefault="00EA6E1C" w:rsidP="00EA6E1C">
      <w:pPr>
        <w:spacing w:line="360" w:lineRule="auto"/>
        <w:jc w:val="both"/>
        <w:rPr>
          <w:i/>
          <w:sz w:val="22"/>
          <w:szCs w:val="22"/>
        </w:rPr>
      </w:pPr>
      <w:r w:rsidRPr="00EA6E1C">
        <w:rPr>
          <w:i/>
          <w:sz w:val="22"/>
          <w:szCs w:val="22"/>
        </w:rPr>
        <w:tab/>
        <w:t> (ii)</w:t>
      </w:r>
      <w:r w:rsidRPr="00EA6E1C">
        <w:rPr>
          <w:i/>
          <w:sz w:val="22"/>
          <w:szCs w:val="22"/>
        </w:rPr>
        <w:tab/>
        <w:t>such particulars of such debt as are within the knowledge of the creditor.</w:t>
      </w:r>
      <w:r>
        <w:rPr>
          <w:i/>
          <w:sz w:val="22"/>
          <w:szCs w:val="22"/>
        </w:rPr>
        <w:t>”</w:t>
      </w:r>
    </w:p>
    <w:p w:rsidR="005460D7" w:rsidRPr="001570C8" w:rsidRDefault="00E71754" w:rsidP="005460D7">
      <w:pPr>
        <w:spacing w:line="360" w:lineRule="auto"/>
        <w:jc w:val="both"/>
        <w:rPr>
          <w:i/>
          <w:sz w:val="22"/>
          <w:szCs w:val="22"/>
        </w:rPr>
      </w:pPr>
      <w:r>
        <w:rPr>
          <w:i/>
          <w:sz w:val="22"/>
          <w:szCs w:val="22"/>
        </w:rPr>
        <w:t>3</w:t>
      </w:r>
      <w:r w:rsidR="005460D7" w:rsidRPr="001570C8">
        <w:rPr>
          <w:i/>
          <w:sz w:val="22"/>
          <w:szCs w:val="22"/>
        </w:rPr>
        <w:t>(3) For purposes of subsection (2) (a)-</w:t>
      </w:r>
    </w:p>
    <w:p w:rsidR="005460D7" w:rsidRPr="001570C8" w:rsidRDefault="005460D7" w:rsidP="005460D7">
      <w:pPr>
        <w:spacing w:line="360" w:lineRule="auto"/>
        <w:jc w:val="both"/>
        <w:rPr>
          <w:i/>
          <w:sz w:val="22"/>
          <w:szCs w:val="22"/>
        </w:rPr>
      </w:pPr>
      <w:r w:rsidRPr="001570C8">
        <w:rPr>
          <w:i/>
          <w:sz w:val="22"/>
          <w:szCs w:val="22"/>
        </w:rPr>
        <w:t>(a)</w:t>
      </w:r>
      <w:r w:rsidRPr="001570C8">
        <w:rPr>
          <w:i/>
          <w:sz w:val="22"/>
          <w:szCs w:val="22"/>
        </w:rPr>
        <w:tab/>
        <w:t>a debt may not be regarded as being due until the creditor has knowledge of the identity of the organ of state and of the facts giving rise to the debt, but a creditor must be regarded as having acquired such knowledge as soon as he or she or it could have acquired it by exercising reasonable care, unless the organ of state wilfully prevented him or her or it from acquiring such knowledge; and</w:t>
      </w:r>
      <w:r w:rsidR="00013C61">
        <w:rPr>
          <w:i/>
          <w:sz w:val="22"/>
          <w:szCs w:val="22"/>
        </w:rPr>
        <w:t>...”</w:t>
      </w:r>
    </w:p>
    <w:p w:rsidR="005460D7" w:rsidRDefault="005460D7" w:rsidP="00E71754">
      <w:pPr>
        <w:spacing w:line="480" w:lineRule="auto"/>
        <w:jc w:val="both"/>
        <w:rPr>
          <w:i/>
          <w:sz w:val="22"/>
          <w:szCs w:val="22"/>
        </w:rPr>
      </w:pPr>
    </w:p>
    <w:p w:rsidR="00B3539F" w:rsidRDefault="00B3539F" w:rsidP="00B3539F">
      <w:pPr>
        <w:spacing w:line="480" w:lineRule="auto"/>
        <w:jc w:val="both"/>
      </w:pPr>
      <w:r>
        <w:t>[9]</w:t>
      </w:r>
      <w:r>
        <w:tab/>
        <w:t>Section 3(4) of the Act provides:</w:t>
      </w:r>
    </w:p>
    <w:p w:rsidR="00B3539F" w:rsidRPr="00241EA1" w:rsidRDefault="00B3539F" w:rsidP="00B3539F">
      <w:pPr>
        <w:spacing w:line="360" w:lineRule="auto"/>
        <w:jc w:val="both"/>
        <w:rPr>
          <w:i/>
          <w:sz w:val="22"/>
          <w:szCs w:val="22"/>
        </w:rPr>
      </w:pPr>
      <w:r w:rsidRPr="00241EA1">
        <w:rPr>
          <w:i/>
          <w:sz w:val="22"/>
          <w:szCs w:val="22"/>
        </w:rPr>
        <w:t>“(4) (a) If an organ of state relies on a creditor's failure to serve a notice in terms of subsection (2) (a), the creditor may apply to a court having jurisdiction for condonation of such failure.</w:t>
      </w:r>
    </w:p>
    <w:p w:rsidR="00B3539F" w:rsidRPr="00241EA1" w:rsidRDefault="00B3539F" w:rsidP="00B3539F">
      <w:pPr>
        <w:spacing w:line="360" w:lineRule="auto"/>
        <w:jc w:val="both"/>
        <w:rPr>
          <w:i/>
          <w:sz w:val="22"/>
          <w:szCs w:val="22"/>
        </w:rPr>
      </w:pPr>
      <w:r w:rsidRPr="00241EA1">
        <w:rPr>
          <w:i/>
          <w:sz w:val="22"/>
          <w:szCs w:val="22"/>
        </w:rPr>
        <w:t>(b) The court may grant an application referred to in paragraph (a) if it is satisfied that-</w:t>
      </w:r>
    </w:p>
    <w:p w:rsidR="00B3539F" w:rsidRPr="00241EA1" w:rsidRDefault="00B3539F" w:rsidP="00B3539F">
      <w:pPr>
        <w:spacing w:line="360" w:lineRule="auto"/>
        <w:jc w:val="both"/>
        <w:rPr>
          <w:i/>
          <w:sz w:val="22"/>
          <w:szCs w:val="22"/>
        </w:rPr>
      </w:pPr>
      <w:r w:rsidRPr="00241EA1">
        <w:rPr>
          <w:i/>
          <w:sz w:val="22"/>
          <w:szCs w:val="22"/>
        </w:rPr>
        <w:tab/>
        <w:t>  (i)</w:t>
      </w:r>
      <w:r w:rsidRPr="00241EA1">
        <w:rPr>
          <w:i/>
          <w:sz w:val="22"/>
          <w:szCs w:val="22"/>
        </w:rPr>
        <w:tab/>
        <w:t>the debt has not been extinguished by prescription;</w:t>
      </w:r>
    </w:p>
    <w:p w:rsidR="00B3539F" w:rsidRPr="00241EA1" w:rsidRDefault="00B3539F" w:rsidP="00B3539F">
      <w:pPr>
        <w:spacing w:line="360" w:lineRule="auto"/>
        <w:jc w:val="both"/>
        <w:rPr>
          <w:i/>
          <w:sz w:val="22"/>
          <w:szCs w:val="22"/>
        </w:rPr>
      </w:pPr>
      <w:r w:rsidRPr="00241EA1">
        <w:rPr>
          <w:i/>
          <w:sz w:val="22"/>
          <w:szCs w:val="22"/>
        </w:rPr>
        <w:tab/>
        <w:t> (ii)</w:t>
      </w:r>
      <w:r w:rsidRPr="00241EA1">
        <w:rPr>
          <w:i/>
          <w:sz w:val="22"/>
          <w:szCs w:val="22"/>
        </w:rPr>
        <w:tab/>
        <w:t>good cause exists for the failure by the creditor; and</w:t>
      </w:r>
    </w:p>
    <w:p w:rsidR="00B3539F" w:rsidRDefault="00B3539F" w:rsidP="00B3539F">
      <w:pPr>
        <w:spacing w:line="360" w:lineRule="auto"/>
        <w:jc w:val="both"/>
        <w:rPr>
          <w:i/>
          <w:sz w:val="22"/>
          <w:szCs w:val="22"/>
        </w:rPr>
      </w:pPr>
      <w:r w:rsidRPr="00241EA1">
        <w:rPr>
          <w:i/>
          <w:sz w:val="22"/>
          <w:szCs w:val="22"/>
        </w:rPr>
        <w:tab/>
        <w:t>(iii)</w:t>
      </w:r>
      <w:r w:rsidRPr="00241EA1">
        <w:rPr>
          <w:i/>
          <w:sz w:val="22"/>
          <w:szCs w:val="22"/>
        </w:rPr>
        <w:tab/>
        <w:t>the organ of state was not unreasonably prejudiced by the failure</w:t>
      </w:r>
      <w:r>
        <w:rPr>
          <w:i/>
          <w:sz w:val="22"/>
          <w:szCs w:val="22"/>
        </w:rPr>
        <w:t>”</w:t>
      </w:r>
      <w:r w:rsidRPr="00241EA1">
        <w:rPr>
          <w:i/>
          <w:sz w:val="22"/>
          <w:szCs w:val="22"/>
        </w:rPr>
        <w:t xml:space="preserve">. </w:t>
      </w:r>
    </w:p>
    <w:p w:rsidR="00B3539F" w:rsidRDefault="00B3539F" w:rsidP="00B3539F">
      <w:pPr>
        <w:spacing w:line="480" w:lineRule="auto"/>
        <w:jc w:val="both"/>
      </w:pPr>
    </w:p>
    <w:p w:rsidR="00B3539F" w:rsidRDefault="00B3539F" w:rsidP="00E71754">
      <w:pPr>
        <w:spacing w:line="480" w:lineRule="auto"/>
        <w:jc w:val="both"/>
      </w:pPr>
    </w:p>
    <w:p w:rsidR="00E71754" w:rsidRDefault="00B3539F" w:rsidP="00E71754">
      <w:pPr>
        <w:spacing w:line="480" w:lineRule="auto"/>
        <w:jc w:val="both"/>
      </w:pPr>
      <w:r>
        <w:t>[10]</w:t>
      </w:r>
      <w:r>
        <w:tab/>
      </w:r>
      <w:r w:rsidR="00E71754">
        <w:t>Section 12(3) of the Prescription Act 68 of 1969 is worded in a similar fashion as section 3(3)(a) of the Act where it provides:</w:t>
      </w:r>
    </w:p>
    <w:p w:rsidR="00E71754" w:rsidRPr="00E71754" w:rsidRDefault="00E71754" w:rsidP="00E71754">
      <w:pPr>
        <w:spacing w:line="480" w:lineRule="auto"/>
        <w:jc w:val="both"/>
        <w:rPr>
          <w:i/>
        </w:rPr>
      </w:pPr>
      <w:r>
        <w:t>“</w:t>
      </w:r>
      <w:r w:rsidRPr="00E71754">
        <w:rPr>
          <w:i/>
        </w:rPr>
        <w:t>A debt shall not be deemed to be due until the creditor has knowledge of the identity of the debtor and of the facts from which the debt arises: Provided that a creditor shall be deemed to have such knowledge if he could have acquired it by exercising reasonable care.</w:t>
      </w:r>
      <w:r>
        <w:rPr>
          <w:i/>
        </w:rPr>
        <w:t>”</w:t>
      </w:r>
    </w:p>
    <w:p w:rsidR="00B3539F" w:rsidRDefault="00B3539F" w:rsidP="005460D7">
      <w:pPr>
        <w:spacing w:line="480" w:lineRule="auto"/>
        <w:jc w:val="both"/>
      </w:pPr>
    </w:p>
    <w:p w:rsidR="005460D7" w:rsidRDefault="00241EA1" w:rsidP="005460D7">
      <w:pPr>
        <w:spacing w:line="480" w:lineRule="auto"/>
        <w:jc w:val="both"/>
      </w:pPr>
      <w:r>
        <w:t>[</w:t>
      </w:r>
      <w:r w:rsidR="00B3539F">
        <w:t>11</w:t>
      </w:r>
      <w:r w:rsidR="005460D7">
        <w:t>]</w:t>
      </w:r>
      <w:r w:rsidR="005460D7">
        <w:tab/>
        <w:t>Subject to the provisions of section 3(4) of the Act, if the creditor fails to serve the notice within six months from the date on which the debt became due he is precluded from instituting legal proceedings against an organ of State. The debt becomes due when the creditor gains knowledge of</w:t>
      </w:r>
      <w:r w:rsidR="00B3539F">
        <w:t xml:space="preserve"> the facts giving rise to it</w:t>
      </w:r>
      <w:r w:rsidR="005460D7">
        <w:t xml:space="preserve"> and of the identity of the debtor, or from the date on which he must be regarded as having acquired knowledge thereof by reason of exercising reasonable care. </w:t>
      </w:r>
    </w:p>
    <w:p w:rsidR="00B3539F" w:rsidRDefault="00B3539F" w:rsidP="00241EA1">
      <w:pPr>
        <w:spacing w:line="360" w:lineRule="auto"/>
        <w:jc w:val="both"/>
      </w:pPr>
    </w:p>
    <w:p w:rsidR="0096523D" w:rsidRPr="00B3539F" w:rsidRDefault="00B3539F" w:rsidP="00241EA1">
      <w:pPr>
        <w:spacing w:line="360" w:lineRule="auto"/>
        <w:jc w:val="both"/>
        <w:rPr>
          <w:b/>
        </w:rPr>
      </w:pPr>
      <w:r w:rsidRPr="00B3539F">
        <w:rPr>
          <w:b/>
        </w:rPr>
        <w:t>Discussion:</w:t>
      </w:r>
    </w:p>
    <w:p w:rsidR="00B3539F" w:rsidRDefault="00B3539F" w:rsidP="00C54CA4">
      <w:pPr>
        <w:spacing w:line="480" w:lineRule="auto"/>
        <w:jc w:val="both"/>
        <w:rPr>
          <w:sz w:val="22"/>
          <w:szCs w:val="22"/>
        </w:rPr>
      </w:pPr>
    </w:p>
    <w:p w:rsidR="008A15C6" w:rsidRDefault="00C54CA4" w:rsidP="00C54CA4">
      <w:pPr>
        <w:spacing w:line="480" w:lineRule="auto"/>
        <w:jc w:val="both"/>
      </w:pPr>
      <w:r w:rsidRPr="00C54CA4">
        <w:rPr>
          <w:sz w:val="22"/>
          <w:szCs w:val="22"/>
        </w:rPr>
        <w:t>[1</w:t>
      </w:r>
      <w:r w:rsidR="0045168C">
        <w:rPr>
          <w:sz w:val="22"/>
          <w:szCs w:val="22"/>
        </w:rPr>
        <w:t>2</w:t>
      </w:r>
      <w:r w:rsidRPr="00C54CA4">
        <w:rPr>
          <w:sz w:val="22"/>
          <w:szCs w:val="22"/>
        </w:rPr>
        <w:t>]</w:t>
      </w:r>
      <w:r w:rsidRPr="00C54CA4">
        <w:rPr>
          <w:sz w:val="22"/>
          <w:szCs w:val="22"/>
        </w:rPr>
        <w:tab/>
      </w:r>
      <w:r w:rsidR="00241EA1" w:rsidRPr="00241EA1">
        <w:t>The</w:t>
      </w:r>
      <w:r w:rsidR="005460D7" w:rsidRPr="00241EA1">
        <w:t xml:space="preserve"> question to be determined is whether the applicant’s failure to serve notice</w:t>
      </w:r>
      <w:r w:rsidR="004442E4">
        <w:t>s on the</w:t>
      </w:r>
      <w:r w:rsidR="00B3539F">
        <w:t xml:space="preserve"> respondents</w:t>
      </w:r>
      <w:r w:rsidR="005460D7" w:rsidRPr="00241EA1">
        <w:t xml:space="preserve"> in terms of section 3</w:t>
      </w:r>
      <w:r>
        <w:t>(2)(a)</w:t>
      </w:r>
      <w:r w:rsidR="005460D7" w:rsidRPr="00241EA1">
        <w:t xml:space="preserve"> of the</w:t>
      </w:r>
      <w:r w:rsidR="00241EA1" w:rsidRPr="00241EA1">
        <w:t xml:space="preserve"> Act can be condoned. </w:t>
      </w:r>
      <w:r>
        <w:t>Section 3(4)</w:t>
      </w:r>
      <w:r w:rsidR="008B1074">
        <w:t>(b)</w:t>
      </w:r>
      <w:r>
        <w:t xml:space="preserve"> gives the court the power to grant condonation upon being satisfied that the applicant has met </w:t>
      </w:r>
      <w:r w:rsidR="00051035">
        <w:t xml:space="preserve">the </w:t>
      </w:r>
      <w:r>
        <w:t>three requirements</w:t>
      </w:r>
      <w:r w:rsidR="004442E4">
        <w:t xml:space="preserve"> </w:t>
      </w:r>
      <w:r w:rsidR="00B3539F">
        <w:t>mentioned therein.</w:t>
      </w:r>
    </w:p>
    <w:p w:rsidR="00B56205" w:rsidRDefault="00B56205" w:rsidP="00C54CA4">
      <w:pPr>
        <w:spacing w:line="480" w:lineRule="auto"/>
        <w:jc w:val="both"/>
      </w:pPr>
    </w:p>
    <w:p w:rsidR="001F728C" w:rsidRDefault="00B56205" w:rsidP="0077305B">
      <w:pPr>
        <w:spacing w:line="480" w:lineRule="auto"/>
        <w:jc w:val="both"/>
      </w:pPr>
      <w:r>
        <w:lastRenderedPageBreak/>
        <w:t>[1</w:t>
      </w:r>
      <w:r w:rsidR="0045168C">
        <w:t>3</w:t>
      </w:r>
      <w:r>
        <w:t>]</w:t>
      </w:r>
      <w:r>
        <w:tab/>
      </w:r>
      <w:r w:rsidR="0077305B">
        <w:t>Condonation is not granted for</w:t>
      </w:r>
      <w:r w:rsidR="004442E4">
        <w:t xml:space="preserve"> </w:t>
      </w:r>
      <w:r w:rsidR="0077305B">
        <w:t>mere asking</w:t>
      </w:r>
      <w:r w:rsidR="0077305B">
        <w:rPr>
          <w:rStyle w:val="FootnoteReference"/>
        </w:rPr>
        <w:footnoteReference w:id="1"/>
      </w:r>
      <w:r w:rsidR="0077305B">
        <w:t xml:space="preserve">. </w:t>
      </w:r>
      <w:r w:rsidR="0077305B" w:rsidRPr="00DD44F2">
        <w:t xml:space="preserve">A party seeking condonation must make out a </w:t>
      </w:r>
      <w:r w:rsidR="0077305B">
        <w:t>proper case showing good cause</w:t>
      </w:r>
      <w:r w:rsidR="0077305B" w:rsidRPr="00DD44F2">
        <w:t xml:space="preserve"> entitling it to the court's indulgence</w:t>
      </w:r>
      <w:r w:rsidR="0077305B">
        <w:t>.</w:t>
      </w:r>
      <w:r w:rsidR="0077305B">
        <w:rPr>
          <w:rStyle w:val="FootnoteReference"/>
        </w:rPr>
        <w:footnoteReference w:id="2"/>
      </w:r>
      <w:r w:rsidR="0077305B">
        <w:t xml:space="preserve"> For condonation</w:t>
      </w:r>
      <w:r w:rsidR="001F728C">
        <w:t>,</w:t>
      </w:r>
      <w:r w:rsidR="0077305B">
        <w:t xml:space="preserve"> an applicant is expected to explain the entire period of the delay.</w:t>
      </w:r>
      <w:r w:rsidR="0077305B">
        <w:rPr>
          <w:rStyle w:val="FootnoteReference"/>
        </w:rPr>
        <w:footnoteReference w:id="3"/>
      </w:r>
    </w:p>
    <w:p w:rsidR="006F7272" w:rsidRDefault="006F7272" w:rsidP="006F7272">
      <w:pPr>
        <w:spacing w:line="480" w:lineRule="auto"/>
        <w:jc w:val="both"/>
        <w:rPr>
          <w:i/>
          <w:sz w:val="22"/>
          <w:szCs w:val="22"/>
        </w:rPr>
      </w:pPr>
    </w:p>
    <w:p w:rsidR="0077305B" w:rsidRDefault="008B1074" w:rsidP="0077305B">
      <w:pPr>
        <w:spacing w:line="480" w:lineRule="auto"/>
        <w:jc w:val="both"/>
      </w:pPr>
      <w:r w:rsidRPr="00B56205">
        <w:t>[1</w:t>
      </w:r>
      <w:r w:rsidR="0045168C">
        <w:t>4</w:t>
      </w:r>
      <w:r w:rsidRPr="00B56205">
        <w:t>]</w:t>
      </w:r>
      <w:r w:rsidRPr="00B56205">
        <w:tab/>
      </w:r>
      <w:r w:rsidR="00B3539F">
        <w:t xml:space="preserve">I now consider whether the </w:t>
      </w:r>
      <w:r w:rsidR="0045168C">
        <w:t>applicant has satisfied the treshhold set out in section 3(4) of the Act to enable the court to grant condonation</w:t>
      </w:r>
      <w:r w:rsidR="00B3539F">
        <w:t xml:space="preserve">. </w:t>
      </w:r>
      <w:r w:rsidR="0077305B">
        <w:t xml:space="preserve">In </w:t>
      </w:r>
      <w:r w:rsidR="0077305B" w:rsidRPr="00B56205">
        <w:rPr>
          <w:b/>
        </w:rPr>
        <w:t>Road Accident Fund and Another v Mdeyide</w:t>
      </w:r>
      <w:r w:rsidR="0077305B" w:rsidRPr="00B56205">
        <w:t xml:space="preserve"> 2011 (2) SA 26 (CC) (2011 (1) BCLR 1; </w:t>
      </w:r>
      <w:r w:rsidR="004442E4">
        <w:t>[2010] ZACC 18) para 8, for</w:t>
      </w:r>
      <w:r w:rsidR="0077305B">
        <w:t xml:space="preserve"> the vital importance of prescription</w:t>
      </w:r>
      <w:r w:rsidR="004442E4">
        <w:t xml:space="preserve"> </w:t>
      </w:r>
      <w:r w:rsidR="0077305B">
        <w:t>the Constitutional court said:</w:t>
      </w:r>
    </w:p>
    <w:p w:rsidR="0077305B" w:rsidRPr="00B56205" w:rsidRDefault="0077305B" w:rsidP="0077305B">
      <w:pPr>
        <w:spacing w:line="360" w:lineRule="auto"/>
        <w:jc w:val="both"/>
        <w:rPr>
          <w:i/>
          <w:sz w:val="22"/>
          <w:szCs w:val="22"/>
        </w:rPr>
      </w:pPr>
      <w:r>
        <w:tab/>
      </w:r>
      <w:r w:rsidRPr="00B56205">
        <w:rPr>
          <w:i/>
          <w:sz w:val="22"/>
          <w:szCs w:val="22"/>
        </w:rPr>
        <w:t xml:space="preserve">'This court has repeatedly emphasised the vital role time limits play in bringing certainty and stability to social and legal affairs, and maintaining the quality of adjudication. Without prescription periods, legal disputes would have the potential to be drawn out for indefinite periods of time, bringing about prolonged uncertainty to the parties to the dispute. The quality of adjudication by courts is likely to suffer as time passes, because evidence may have become lost, witnesses may no longer be available to testify, or their recollection of events may have faded. The quality of adjudication is central to the rule of law. For the law to be respected, decisions of courts must be given as soon as possible after the events giving rise to disputes, and must follow from sound reasoning, based on the best available evidence.' </w:t>
      </w:r>
    </w:p>
    <w:p w:rsidR="0077305B" w:rsidRDefault="0077305B" w:rsidP="00B56205">
      <w:pPr>
        <w:spacing w:line="480" w:lineRule="auto"/>
        <w:jc w:val="both"/>
      </w:pPr>
    </w:p>
    <w:p w:rsidR="008A15C6" w:rsidRPr="00B56205" w:rsidRDefault="0077305B" w:rsidP="00B56205">
      <w:pPr>
        <w:spacing w:line="480" w:lineRule="auto"/>
        <w:jc w:val="both"/>
      </w:pPr>
      <w:r>
        <w:t>[1</w:t>
      </w:r>
      <w:r w:rsidR="0045168C">
        <w:t>5</w:t>
      </w:r>
      <w:r>
        <w:t>]</w:t>
      </w:r>
      <w:r>
        <w:tab/>
        <w:t xml:space="preserve">In considering whether or not condonation should be granted I am guided by the requirements set out in section 3(4)(b) of the Act. </w:t>
      </w:r>
      <w:r w:rsidR="001F728C">
        <w:t>Concerning</w:t>
      </w:r>
      <w:r w:rsidR="008B1074" w:rsidRPr="00B56205">
        <w:t xml:space="preserve"> the first requirement</w:t>
      </w:r>
      <w:r w:rsidR="001F728C">
        <w:t>,</w:t>
      </w:r>
      <w:r w:rsidR="008B1074" w:rsidRPr="00B56205">
        <w:t xml:space="preserve"> the applicant was arrested on 12 July 2017. </w:t>
      </w:r>
      <w:r w:rsidR="00D82AFF" w:rsidRPr="00B56205">
        <w:t xml:space="preserve">The case against </w:t>
      </w:r>
      <w:r w:rsidR="00B3539F">
        <w:t>him</w:t>
      </w:r>
      <w:r w:rsidR="00D82AFF" w:rsidRPr="00B56205">
        <w:t xml:space="preserve"> was withdrawn on 19 July 2019. </w:t>
      </w:r>
      <w:r w:rsidR="00B3539F">
        <w:t>As can be gleaned from the above i</w:t>
      </w:r>
      <w:r w:rsidR="00D82AFF" w:rsidRPr="00B56205">
        <w:t xml:space="preserve">t is clear that when the summons </w:t>
      </w:r>
      <w:r w:rsidR="00D82AFF" w:rsidRPr="00B56205">
        <w:lastRenderedPageBreak/>
        <w:t>was served</w:t>
      </w:r>
      <w:r w:rsidR="0045168C">
        <w:t>,</w:t>
      </w:r>
      <w:r w:rsidR="00D82AFF" w:rsidRPr="00B56205">
        <w:t xml:space="preserve"> the claim</w:t>
      </w:r>
      <w:r w:rsidR="0096523D" w:rsidRPr="00B56205">
        <w:t>s</w:t>
      </w:r>
      <w:r w:rsidR="00D82AFF" w:rsidRPr="00B56205">
        <w:t xml:space="preserve"> had not </w:t>
      </w:r>
      <w:r w:rsidR="0096523D" w:rsidRPr="00B56205">
        <w:t xml:space="preserve">yet </w:t>
      </w:r>
      <w:r w:rsidR="00D82AFF" w:rsidRPr="00B56205">
        <w:t>prescribed.</w:t>
      </w:r>
      <w:r w:rsidR="004442E4">
        <w:t xml:space="preserve"> Therefore the first requirement has been satisfied.</w:t>
      </w:r>
    </w:p>
    <w:p w:rsidR="003754DB" w:rsidRPr="00B56205" w:rsidRDefault="003754DB" w:rsidP="00B56205">
      <w:pPr>
        <w:spacing w:line="480" w:lineRule="auto"/>
        <w:jc w:val="both"/>
        <w:rPr>
          <w:i/>
          <w:sz w:val="22"/>
          <w:szCs w:val="22"/>
        </w:rPr>
      </w:pPr>
    </w:p>
    <w:p w:rsidR="00756C8B" w:rsidRDefault="0096523D" w:rsidP="00A17635">
      <w:pPr>
        <w:spacing w:line="480" w:lineRule="auto"/>
        <w:jc w:val="both"/>
      </w:pPr>
      <w:r>
        <w:t>[1</w:t>
      </w:r>
      <w:r w:rsidR="0045168C">
        <w:t>6</w:t>
      </w:r>
      <w:r>
        <w:t>]</w:t>
      </w:r>
      <w:r>
        <w:tab/>
        <w:t>Concerning the second requirement</w:t>
      </w:r>
      <w:r w:rsidR="001F728C">
        <w:t>,</w:t>
      </w:r>
      <w:r>
        <w:t xml:space="preserve"> the applicant proffered an explanation that </w:t>
      </w:r>
      <w:r w:rsidR="004442E4">
        <w:t>‘</w:t>
      </w:r>
      <w:r>
        <w:t>some</w:t>
      </w:r>
      <w:r w:rsidR="004442E4">
        <w:t xml:space="preserve"> </w:t>
      </w:r>
      <w:r>
        <w:t>time</w:t>
      </w:r>
      <w:r w:rsidR="004442E4">
        <w:t>’</w:t>
      </w:r>
      <w:r>
        <w:t xml:space="preserve"> after his release he got to know that he could institute civil proceedings claiming damages </w:t>
      </w:r>
      <w:r w:rsidR="002B2D1F">
        <w:t xml:space="preserve">against the respondents. The applicant does not take this court into confidence and explain </w:t>
      </w:r>
      <w:r w:rsidR="004442E4">
        <w:t>when exactly did he obtain this legal advice.</w:t>
      </w:r>
      <w:r w:rsidR="00E71754">
        <w:t xml:space="preserve"> </w:t>
      </w:r>
      <w:r w:rsidR="004442E4">
        <w:t xml:space="preserve"> H</w:t>
      </w:r>
      <w:r w:rsidR="00B3539F">
        <w:t>e</w:t>
      </w:r>
      <w:r w:rsidR="004442E4">
        <w:t xml:space="preserve"> tender</w:t>
      </w:r>
      <w:r w:rsidR="00E71754">
        <w:t xml:space="preserve">s no explanation for </w:t>
      </w:r>
      <w:r w:rsidR="0014254F">
        <w:t xml:space="preserve">the period between his arrest </w:t>
      </w:r>
      <w:r w:rsidR="00E71754">
        <w:t>and his release</w:t>
      </w:r>
      <w:r w:rsidR="0014254F">
        <w:t>.</w:t>
      </w:r>
    </w:p>
    <w:p w:rsidR="00756C8B" w:rsidRDefault="00756C8B" w:rsidP="00A17635">
      <w:pPr>
        <w:spacing w:line="480" w:lineRule="auto"/>
        <w:jc w:val="both"/>
      </w:pPr>
    </w:p>
    <w:p w:rsidR="0077305B" w:rsidRPr="00161DEE" w:rsidRDefault="00756C8B" w:rsidP="0077305B">
      <w:pPr>
        <w:spacing w:line="480" w:lineRule="auto"/>
        <w:jc w:val="both"/>
        <w:rPr>
          <w:b/>
        </w:rPr>
      </w:pPr>
      <w:r>
        <w:t>[1</w:t>
      </w:r>
      <w:r w:rsidR="0045168C">
        <w:t>7</w:t>
      </w:r>
      <w:r>
        <w:t>]</w:t>
      </w:r>
      <w:r>
        <w:tab/>
      </w:r>
      <w:r w:rsidR="0077305B">
        <w:t>In considering the good cause a distinction must be drawn between knowledge of facts giving rise to</w:t>
      </w:r>
      <w:r w:rsidR="004442E4">
        <w:t xml:space="preserve"> the </w:t>
      </w:r>
      <w:r w:rsidR="0077305B">
        <w:t xml:space="preserve">debt and knowledge of a right to sue.  In </w:t>
      </w:r>
      <w:r w:rsidR="0077305B" w:rsidRPr="00161DEE">
        <w:rPr>
          <w:b/>
        </w:rPr>
        <w:t>Minister of Finance and Others v Gore NO</w:t>
      </w:r>
      <w:r w:rsidR="0077305B" w:rsidRPr="00161DEE">
        <w:rPr>
          <w:rStyle w:val="FootnoteReference"/>
          <w:b/>
        </w:rPr>
        <w:footnoteReference w:id="4"/>
      </w:r>
      <w:r w:rsidR="0077305B" w:rsidRPr="00161DEE">
        <w:t>the court held:</w:t>
      </w:r>
    </w:p>
    <w:p w:rsidR="0077305B" w:rsidRPr="00AB4E3A" w:rsidRDefault="0077305B" w:rsidP="0077305B">
      <w:pPr>
        <w:spacing w:line="480" w:lineRule="auto"/>
        <w:jc w:val="both"/>
        <w:rPr>
          <w:i/>
          <w:sz w:val="22"/>
          <w:szCs w:val="22"/>
        </w:rPr>
      </w:pPr>
      <w:r>
        <w:tab/>
      </w:r>
      <w:r w:rsidRPr="00AB4E3A">
        <w:rPr>
          <w:i/>
          <w:sz w:val="22"/>
          <w:szCs w:val="22"/>
        </w:rPr>
        <w:t xml:space="preserve">[17] This Court has, in a series of decisions, emphasised that time begins to run against the creditor when it has the minimum facts that are necessary to institute action. The running of prescription is not postponed until a creditor becomes aware of the full extent of its legal rights, nor until the creditor has evidence that would enable it to </w:t>
      </w:r>
      <w:r>
        <w:rPr>
          <w:i/>
          <w:sz w:val="22"/>
          <w:szCs w:val="22"/>
        </w:rPr>
        <w:t>prove a case 'comfortably'.</w:t>
      </w:r>
      <w:r w:rsidRPr="00AB4E3A">
        <w:rPr>
          <w:i/>
          <w:sz w:val="22"/>
          <w:szCs w:val="22"/>
        </w:rPr>
        <w:t>[Footnotes omitted.]</w:t>
      </w:r>
    </w:p>
    <w:p w:rsidR="0077305B" w:rsidRDefault="0077305B" w:rsidP="0077305B">
      <w:pPr>
        <w:spacing w:line="480" w:lineRule="auto"/>
        <w:jc w:val="both"/>
      </w:pPr>
    </w:p>
    <w:p w:rsidR="00D80F23" w:rsidRDefault="0045168C" w:rsidP="00051035">
      <w:pPr>
        <w:spacing w:line="480" w:lineRule="auto"/>
        <w:jc w:val="both"/>
      </w:pPr>
      <w:r>
        <w:t>[18]</w:t>
      </w:r>
      <w:r w:rsidR="0077305B">
        <w:tab/>
      </w:r>
      <w:r w:rsidR="00756C8B">
        <w:t xml:space="preserve">The </w:t>
      </w:r>
      <w:r w:rsidR="0077305B">
        <w:t>applicant</w:t>
      </w:r>
      <w:r w:rsidR="002A16D2">
        <w:t xml:space="preserve"> was arrested on 12 July 2017. </w:t>
      </w:r>
      <w:r w:rsidR="00122360">
        <w:t>Six month</w:t>
      </w:r>
      <w:r w:rsidR="004442E4">
        <w:t>-</w:t>
      </w:r>
      <w:r w:rsidR="00051035">
        <w:t xml:space="preserve">period </w:t>
      </w:r>
      <w:r w:rsidR="00122360">
        <w:t xml:space="preserve">expired on 13 January 2018. </w:t>
      </w:r>
      <w:r w:rsidR="00B3539F">
        <w:t>He</w:t>
      </w:r>
      <w:r w:rsidR="00122360">
        <w:t xml:space="preserve"> does not explain why the notice was only issued on 2 October 2018. </w:t>
      </w:r>
      <w:r w:rsidR="00B3539F">
        <w:t>There</w:t>
      </w:r>
      <w:r w:rsidR="00122360">
        <w:t xml:space="preserve"> is a gap of unexplained </w:t>
      </w:r>
      <w:r w:rsidR="004442E4">
        <w:t xml:space="preserve">period of </w:t>
      </w:r>
      <w:r w:rsidR="00122360">
        <w:t>eight months</w:t>
      </w:r>
      <w:r w:rsidR="004442E4">
        <w:t xml:space="preserve"> </w:t>
      </w:r>
      <w:r w:rsidR="00122360">
        <w:t xml:space="preserve">prior to the issuing of the notice. The special plea was raised on 8 January 2020 and this application was launched on 3 November 2021. </w:t>
      </w:r>
      <w:r w:rsidR="00D7518F">
        <w:t xml:space="preserve">However, </w:t>
      </w:r>
      <w:r w:rsidR="00B3539F">
        <w:t xml:space="preserve">the </w:t>
      </w:r>
      <w:r w:rsidR="00D7518F">
        <w:t>subsequent delay in bringing the application for condonation</w:t>
      </w:r>
      <w:r w:rsidR="005A4F38">
        <w:t>,</w:t>
      </w:r>
      <w:r w:rsidR="00D7518F">
        <w:t xml:space="preserve"> </w:t>
      </w:r>
      <w:r w:rsidR="005A4F38">
        <w:t xml:space="preserve">after the special plea was raised, </w:t>
      </w:r>
      <w:r w:rsidR="00D7518F">
        <w:t xml:space="preserve">does not fall within the ambit of section </w:t>
      </w:r>
      <w:r w:rsidR="00D7518F">
        <w:lastRenderedPageBreak/>
        <w:t xml:space="preserve">3(4)(b)(ii). I mention it merely to indicate the dilatory </w:t>
      </w:r>
      <w:r w:rsidR="00E95853">
        <w:t>tendency</w:t>
      </w:r>
      <w:r w:rsidR="00D7518F">
        <w:t xml:space="preserve"> of the applicant.</w:t>
      </w:r>
      <w:r w:rsidR="00051035">
        <w:t xml:space="preserve">The applicant was legally represented at the criminal trial. </w:t>
      </w:r>
    </w:p>
    <w:p w:rsidR="00AB4E3A" w:rsidRDefault="00AB4E3A" w:rsidP="00AB4E3A">
      <w:pPr>
        <w:spacing w:line="480" w:lineRule="auto"/>
        <w:jc w:val="both"/>
      </w:pPr>
    </w:p>
    <w:p w:rsidR="004C3E09" w:rsidRDefault="005A4F38" w:rsidP="00A17635">
      <w:pPr>
        <w:spacing w:line="480" w:lineRule="auto"/>
        <w:jc w:val="both"/>
      </w:pPr>
      <w:r>
        <w:t>[19</w:t>
      </w:r>
      <w:r w:rsidR="00161DEE">
        <w:t>]</w:t>
      </w:r>
      <w:r w:rsidR="00161DEE">
        <w:tab/>
      </w:r>
      <w:r w:rsidR="00375148">
        <w:t xml:space="preserve">In </w:t>
      </w:r>
      <w:r w:rsidR="00375148" w:rsidRPr="00161DEE">
        <w:rPr>
          <w:b/>
        </w:rPr>
        <w:t>Truter v Deysel</w:t>
      </w:r>
      <w:r w:rsidR="00375148" w:rsidRPr="00375148">
        <w:t> 2006 (4) SA 168 (SCA) ([2006] ZASCA 16)</w:t>
      </w:r>
      <w:r w:rsidR="00375148">
        <w:t xml:space="preserve"> para 16</w:t>
      </w:r>
      <w:r w:rsidR="009933D4">
        <w:t>-17</w:t>
      </w:r>
      <w:r w:rsidR="00375148">
        <w:t xml:space="preserve"> a case which dealt with section 12(3) of the Prescription Ac it was said </w:t>
      </w:r>
    </w:p>
    <w:p w:rsidR="00375148" w:rsidRDefault="009933D4" w:rsidP="00375148">
      <w:pPr>
        <w:spacing w:line="480" w:lineRule="auto"/>
        <w:jc w:val="both"/>
      </w:pPr>
      <w:r>
        <w:t>“</w:t>
      </w:r>
      <w:r w:rsidR="00375148" w:rsidRPr="009933D4">
        <w:rPr>
          <w:i/>
          <w:sz w:val="22"/>
          <w:szCs w:val="22"/>
        </w:rPr>
        <w:t>For the purposes of the Act, the term 'debt due' means a debt, including a delictual debt, which is owing</w:t>
      </w:r>
      <w:r w:rsidR="00BE275F" w:rsidRPr="009933D4">
        <w:rPr>
          <w:i/>
          <w:sz w:val="22"/>
          <w:szCs w:val="22"/>
        </w:rPr>
        <w:t xml:space="preserve"> and payable. A debt is due</w:t>
      </w:r>
      <w:r w:rsidR="00375148" w:rsidRPr="009933D4">
        <w:rPr>
          <w:i/>
          <w:sz w:val="22"/>
          <w:szCs w:val="22"/>
        </w:rPr>
        <w:t xml:space="preserve"> in this sense when the creditor acquires a complete cause of action for the recovery of the debt, that is, when the entire set of facts which the creditor must prove in order to succeed with his or her claim against the debtor is in place or, in other words, when everything has happened which would entitle the </w:t>
      </w:r>
      <w:r w:rsidRPr="009933D4">
        <w:rPr>
          <w:i/>
          <w:sz w:val="22"/>
          <w:szCs w:val="22"/>
        </w:rPr>
        <w:t xml:space="preserve">creditor to institute action </w:t>
      </w:r>
      <w:r w:rsidR="00375148" w:rsidRPr="009933D4">
        <w:rPr>
          <w:i/>
          <w:sz w:val="22"/>
          <w:szCs w:val="22"/>
        </w:rPr>
        <w:t>a</w:t>
      </w:r>
      <w:r w:rsidRPr="009933D4">
        <w:rPr>
          <w:i/>
          <w:sz w:val="22"/>
          <w:szCs w:val="22"/>
        </w:rPr>
        <w:t>nd to pursue his or her claim.</w:t>
      </w:r>
    </w:p>
    <w:p w:rsidR="009933D4" w:rsidRPr="009933D4" w:rsidRDefault="009933D4" w:rsidP="00375148">
      <w:pPr>
        <w:spacing w:line="480" w:lineRule="auto"/>
        <w:jc w:val="both"/>
        <w:rPr>
          <w:i/>
          <w:sz w:val="22"/>
          <w:szCs w:val="22"/>
        </w:rPr>
      </w:pPr>
    </w:p>
    <w:p w:rsidR="00375148" w:rsidRPr="009933D4" w:rsidRDefault="00375148" w:rsidP="00375148">
      <w:pPr>
        <w:spacing w:line="480" w:lineRule="auto"/>
        <w:jc w:val="both"/>
        <w:rPr>
          <w:i/>
          <w:sz w:val="22"/>
          <w:szCs w:val="22"/>
        </w:rPr>
      </w:pPr>
      <w:r w:rsidRPr="009933D4">
        <w:rPr>
          <w:i/>
          <w:sz w:val="22"/>
          <w:szCs w:val="22"/>
        </w:rPr>
        <w:t xml:space="preserve">[17] In a delictual claim, the requirements of fault and unlawfulness do not constitute factual ingredients of the cause of action, but are legal conclusions </w:t>
      </w:r>
      <w:r w:rsidR="009933D4" w:rsidRPr="009933D4">
        <w:rPr>
          <w:i/>
          <w:sz w:val="22"/>
          <w:szCs w:val="22"/>
        </w:rPr>
        <w:t>to be drawn from the facts:</w:t>
      </w:r>
    </w:p>
    <w:p w:rsidR="004C3E09" w:rsidRPr="009933D4" w:rsidRDefault="00375148" w:rsidP="00375148">
      <w:pPr>
        <w:spacing w:line="480" w:lineRule="auto"/>
        <w:jc w:val="both"/>
        <w:rPr>
          <w:i/>
          <w:sz w:val="22"/>
          <w:szCs w:val="22"/>
        </w:rPr>
      </w:pPr>
      <w:r w:rsidRPr="009933D4">
        <w:rPr>
          <w:i/>
          <w:sz w:val="22"/>
          <w:szCs w:val="22"/>
        </w:rPr>
        <w:tab/>
        <w:t>'A cause of action means the combination of facts that are material for the plaintiff to prove in order to succeed with his action. Such facts must enable a court to arrive at certain legal conclusions regarding u</w:t>
      </w:r>
      <w:r w:rsidR="009933D4">
        <w:rPr>
          <w:i/>
          <w:sz w:val="22"/>
          <w:szCs w:val="22"/>
        </w:rPr>
        <w:t xml:space="preserve">nlawfulness and fault, the </w:t>
      </w:r>
      <w:r w:rsidRPr="009933D4">
        <w:rPr>
          <w:i/>
          <w:sz w:val="22"/>
          <w:szCs w:val="22"/>
        </w:rPr>
        <w:t>constituent elements of a delictual cause of action being a combination of factual and legal conclusions, namely a causative act, harm, unlawfulness and cul</w:t>
      </w:r>
      <w:r w:rsidR="009933D4">
        <w:rPr>
          <w:i/>
          <w:sz w:val="22"/>
          <w:szCs w:val="22"/>
        </w:rPr>
        <w:t>pability or fault.'</w:t>
      </w:r>
      <w:r w:rsidR="009933D4">
        <w:rPr>
          <w:rStyle w:val="FootnoteReference"/>
          <w:i/>
          <w:sz w:val="22"/>
          <w:szCs w:val="22"/>
        </w:rPr>
        <w:footnoteReference w:id="5"/>
      </w:r>
    </w:p>
    <w:p w:rsidR="009933D4" w:rsidRDefault="009933D4" w:rsidP="00A17635">
      <w:pPr>
        <w:spacing w:line="480" w:lineRule="auto"/>
        <w:jc w:val="both"/>
      </w:pPr>
    </w:p>
    <w:p w:rsidR="004C3E09" w:rsidRDefault="005A4F38" w:rsidP="00A17635">
      <w:pPr>
        <w:spacing w:line="480" w:lineRule="auto"/>
        <w:jc w:val="both"/>
      </w:pPr>
      <w:r>
        <w:t>[20</w:t>
      </w:r>
      <w:r w:rsidR="00FE4B14" w:rsidRPr="00FE4B14">
        <w:t>]</w:t>
      </w:r>
      <w:r w:rsidR="00FE4B14" w:rsidRPr="00FE4B14">
        <w:tab/>
      </w:r>
      <w:r w:rsidR="00FE4B14">
        <w:t xml:space="preserve">In </w:t>
      </w:r>
      <w:r w:rsidR="004C3E09" w:rsidRPr="00FE4B14">
        <w:rPr>
          <w:b/>
        </w:rPr>
        <w:t>Madinda v Minister of Safety &amp; Security</w:t>
      </w:r>
      <w:r w:rsidR="004C3E09" w:rsidRPr="004C3E09">
        <w:t> 2008 (4) SA 312 (SCA) ([2008] 3 All SA 143; [2008] ZASCA 34)</w:t>
      </w:r>
      <w:r w:rsidR="004C3E09">
        <w:t xml:space="preserve"> para.10</w:t>
      </w:r>
      <w:r w:rsidR="00FE4B14">
        <w:t xml:space="preserve"> it was said:</w:t>
      </w:r>
    </w:p>
    <w:p w:rsidR="00161DEE" w:rsidRDefault="004C3E09">
      <w:pPr>
        <w:spacing w:line="480" w:lineRule="auto"/>
        <w:jc w:val="both"/>
        <w:rPr>
          <w:i/>
          <w:sz w:val="22"/>
          <w:szCs w:val="22"/>
        </w:rPr>
      </w:pPr>
      <w:r w:rsidRPr="00FE4B14">
        <w:rPr>
          <w:i/>
          <w:sz w:val="22"/>
          <w:szCs w:val="22"/>
        </w:rPr>
        <w:t>. 'Good cause' looks at all those factors which bear on the fairness of granting the relief as between the parties and as affecting the proper administration of justice. In any give</w:t>
      </w:r>
      <w:r w:rsidR="009933D4" w:rsidRPr="00FE4B14">
        <w:rPr>
          <w:i/>
          <w:sz w:val="22"/>
          <w:szCs w:val="22"/>
        </w:rPr>
        <w:t>n factual complex it may be</w:t>
      </w:r>
      <w:r w:rsidRPr="00FE4B14">
        <w:rPr>
          <w:i/>
          <w:sz w:val="22"/>
          <w:szCs w:val="22"/>
        </w:rPr>
        <w:t xml:space="preserve"> that only some of many such possible factors become relevant. These may </w:t>
      </w:r>
      <w:r w:rsidRPr="00FE4B14">
        <w:rPr>
          <w:i/>
          <w:sz w:val="22"/>
          <w:szCs w:val="22"/>
        </w:rPr>
        <w:lastRenderedPageBreak/>
        <w:t>include prospects of success in the proposed action, the reasons for the delay, the sufficiency of the explanation offered, the bona fides of the applicant, and any contribution by other persons or parties to the delay and the applicant's responsibility therefor.</w:t>
      </w:r>
    </w:p>
    <w:p w:rsidR="00DC0CDD" w:rsidRDefault="00DC0CDD">
      <w:pPr>
        <w:spacing w:line="480" w:lineRule="auto"/>
        <w:jc w:val="both"/>
        <w:rPr>
          <w:sz w:val="22"/>
          <w:szCs w:val="22"/>
        </w:rPr>
      </w:pPr>
    </w:p>
    <w:p w:rsidR="00DC0CDD" w:rsidRDefault="005A4F38">
      <w:pPr>
        <w:spacing w:line="480" w:lineRule="auto"/>
        <w:jc w:val="both"/>
      </w:pPr>
      <w:r>
        <w:t>[21</w:t>
      </w:r>
      <w:r w:rsidR="00DC0CDD" w:rsidRPr="00DC0CDD">
        <w:t>]</w:t>
      </w:r>
      <w:r w:rsidR="00DC0CDD" w:rsidRPr="00DC0CDD">
        <w:tab/>
        <w:t xml:space="preserve">The applicant knew </w:t>
      </w:r>
      <w:r w:rsidR="00922CF0">
        <w:t xml:space="preserve">or must have known </w:t>
      </w:r>
      <w:r w:rsidR="00DC0CDD" w:rsidRPr="00DC0CDD">
        <w:t xml:space="preserve">of the facts giving rise to the debt </w:t>
      </w:r>
      <w:r w:rsidR="00540E7F">
        <w:t>as well as the identity of his debtor</w:t>
      </w:r>
      <w:r w:rsidR="00922CF0">
        <w:t xml:space="preserve"> </w:t>
      </w:r>
      <w:r w:rsidR="00DC0CDD" w:rsidRPr="00DC0CDD">
        <w:t>when he was arrested. According to him</w:t>
      </w:r>
      <w:r w:rsidR="001F728C">
        <w:t>,</w:t>
      </w:r>
      <w:r w:rsidR="00DC0CDD" w:rsidRPr="00DC0CDD">
        <w:t xml:space="preserve"> he protested </w:t>
      </w:r>
      <w:r w:rsidR="00DC0CDD">
        <w:t>about his arrest. It does not appear from his affidavit that he did not know about facts. What becomes clear is that he did not know if he could institute a claim against the respondents. He only sought advice in this regard ‘some time’ after he was released.</w:t>
      </w:r>
    </w:p>
    <w:p w:rsidR="00DC0CDD" w:rsidRDefault="00DC0CDD">
      <w:pPr>
        <w:spacing w:line="480" w:lineRule="auto"/>
        <w:jc w:val="both"/>
      </w:pPr>
    </w:p>
    <w:p w:rsidR="00DC0CDD" w:rsidRDefault="00540E7F">
      <w:pPr>
        <w:spacing w:line="480" w:lineRule="auto"/>
        <w:jc w:val="both"/>
      </w:pPr>
      <w:r>
        <w:t>[2</w:t>
      </w:r>
      <w:r w:rsidR="005A4F38">
        <w:t>2</w:t>
      </w:r>
      <w:r>
        <w:t>]</w:t>
      </w:r>
      <w:r>
        <w:tab/>
      </w:r>
      <w:r w:rsidR="006D0D07">
        <w:t>Knowledge of the right to institute damages</w:t>
      </w:r>
      <w:r w:rsidR="00922CF0">
        <w:t>’</w:t>
      </w:r>
      <w:r w:rsidR="006D0D07">
        <w:t xml:space="preserve"> claim against the respondents is a conclusion of law which does not “</w:t>
      </w:r>
      <w:r w:rsidR="006D0D07">
        <w:rPr>
          <w:i/>
        </w:rPr>
        <w:t>constitute factual ingredient of the cause of action</w:t>
      </w:r>
      <w:r>
        <w:rPr>
          <w:i/>
        </w:rPr>
        <w:t>.</w:t>
      </w:r>
      <w:r w:rsidR="006D0D07">
        <w:rPr>
          <w:rStyle w:val="FootnoteReference"/>
          <w:i/>
        </w:rPr>
        <w:footnoteReference w:id="6"/>
      </w:r>
      <w:r w:rsidR="0045544B">
        <w:t xml:space="preserve"> In his affidavit</w:t>
      </w:r>
      <w:r w:rsidR="001F728C">
        <w:t>,</w:t>
      </w:r>
      <w:r w:rsidR="0045544B">
        <w:t xml:space="preserve"> he does not claim that he did not know the facts nor does he claim not to have known the debtor</w:t>
      </w:r>
      <w:r w:rsidR="00922CF0">
        <w:t xml:space="preserve"> prior to the expiry of six months after his arrest and detention</w:t>
      </w:r>
      <w:r w:rsidR="0045544B">
        <w:t>.</w:t>
      </w:r>
      <w:r w:rsidR="00A045F7">
        <w:t xml:space="preserve"> As to the prospects of success</w:t>
      </w:r>
      <w:r w:rsidR="001F728C">
        <w:t>,</w:t>
      </w:r>
      <w:r w:rsidR="00A045F7">
        <w:t xml:space="preserve"> the applicant merely states that “</w:t>
      </w:r>
      <w:r w:rsidR="00A045F7" w:rsidRPr="00A045F7">
        <w:rPr>
          <w:i/>
        </w:rPr>
        <w:t xml:space="preserve">I am advised that the prospects of succeeding in the claim </w:t>
      </w:r>
      <w:r w:rsidRPr="00A045F7">
        <w:rPr>
          <w:i/>
        </w:rPr>
        <w:t>against</w:t>
      </w:r>
      <w:r w:rsidR="00A045F7" w:rsidRPr="00A045F7">
        <w:rPr>
          <w:i/>
        </w:rPr>
        <w:t xml:space="preserve"> the respondents are good</w:t>
      </w:r>
      <w:r w:rsidR="00922CF0">
        <w:rPr>
          <w:i/>
        </w:rPr>
        <w:t>.</w:t>
      </w:r>
      <w:r w:rsidR="00A045F7" w:rsidRPr="00A045F7">
        <w:rPr>
          <w:i/>
        </w:rPr>
        <w:t>”</w:t>
      </w:r>
    </w:p>
    <w:p w:rsidR="0045544B" w:rsidRDefault="0045544B">
      <w:pPr>
        <w:spacing w:line="480" w:lineRule="auto"/>
        <w:jc w:val="both"/>
      </w:pPr>
    </w:p>
    <w:p w:rsidR="0045544B" w:rsidRDefault="0045544B">
      <w:pPr>
        <w:spacing w:line="480" w:lineRule="auto"/>
        <w:jc w:val="both"/>
      </w:pPr>
      <w:r>
        <w:t>[2</w:t>
      </w:r>
      <w:r w:rsidR="005A4F38">
        <w:t>3</w:t>
      </w:r>
      <w:r>
        <w:t>]</w:t>
      </w:r>
      <w:r>
        <w:tab/>
        <w:t>With regard to the claim for malicious prosecution</w:t>
      </w:r>
      <w:r w:rsidR="001F728C">
        <w:t>,</w:t>
      </w:r>
      <w:r w:rsidR="009D2265">
        <w:t xml:space="preserve"> the cau</w:t>
      </w:r>
      <w:r w:rsidR="00922CF0">
        <w:t>se of action in that regard</w:t>
      </w:r>
      <w:r w:rsidR="009D2265">
        <w:t xml:space="preserve"> arose when the case was withdrawn against the applicant on 19 July 2018.</w:t>
      </w:r>
      <w:r w:rsidR="00461EDE">
        <w:t xml:space="preserve"> The so-called notice was then issued on 2 October 2018 which was still within the six month</w:t>
      </w:r>
      <w:r w:rsidR="00922CF0">
        <w:t>s’ period</w:t>
      </w:r>
      <w:r w:rsidR="00461EDE">
        <w:t>. In the letter of demand dated 2 October 2018</w:t>
      </w:r>
      <w:r w:rsidR="001F728C">
        <w:t>,</w:t>
      </w:r>
      <w:r w:rsidR="00461EDE">
        <w:t xml:space="preserve"> the applicant’s attorneys demanded R400 000.00 for </w:t>
      </w:r>
      <w:r w:rsidR="00EA6E1C">
        <w:t>‘</w:t>
      </w:r>
      <w:r w:rsidR="00461EDE">
        <w:t>humiliation and embarrassment, pain and suffering</w:t>
      </w:r>
      <w:r w:rsidR="00EA6E1C">
        <w:t>’</w:t>
      </w:r>
      <w:r w:rsidR="00461EDE">
        <w:t xml:space="preserve"> and </w:t>
      </w:r>
      <w:r w:rsidR="00922CF0">
        <w:t>R</w:t>
      </w:r>
      <w:r w:rsidR="001F728C">
        <w:t xml:space="preserve">2 </w:t>
      </w:r>
      <w:r w:rsidR="00461EDE">
        <w:t>million</w:t>
      </w:r>
      <w:r w:rsidR="00922CF0">
        <w:t xml:space="preserve"> rand</w:t>
      </w:r>
      <w:r w:rsidR="00461EDE">
        <w:t xml:space="preserve"> for ‘bully boy conduct’ of the members of the South African Police Services assisted by the prosecutor in causing the applicant to be detained.</w:t>
      </w:r>
    </w:p>
    <w:p w:rsidR="00EA6E1C" w:rsidRDefault="00EA6E1C">
      <w:pPr>
        <w:spacing w:line="480" w:lineRule="auto"/>
        <w:jc w:val="both"/>
      </w:pPr>
    </w:p>
    <w:p w:rsidR="00EA6E1C" w:rsidRDefault="00540E7F">
      <w:pPr>
        <w:spacing w:line="480" w:lineRule="auto"/>
        <w:jc w:val="both"/>
      </w:pPr>
      <w:r>
        <w:t>[2</w:t>
      </w:r>
      <w:r w:rsidR="005A4F38">
        <w:t>4</w:t>
      </w:r>
      <w:r w:rsidR="00EA6E1C">
        <w:t>]</w:t>
      </w:r>
      <w:r w:rsidR="00EA6E1C">
        <w:tab/>
        <w:t xml:space="preserve">From the contents of the </w:t>
      </w:r>
      <w:r w:rsidR="00922CF0">
        <w:t xml:space="preserve">purported </w:t>
      </w:r>
      <w:r w:rsidR="00EA6E1C">
        <w:t>notice</w:t>
      </w:r>
      <w:r w:rsidR="001F728C">
        <w:t>,</w:t>
      </w:r>
      <w:r w:rsidR="00922CF0">
        <w:t xml:space="preserve"> it is clear that the notice</w:t>
      </w:r>
      <w:r w:rsidR="00EA6E1C">
        <w:t xml:space="preserve"> </w:t>
      </w:r>
      <w:r w:rsidR="00581E4C">
        <w:t>did</w:t>
      </w:r>
      <w:r w:rsidR="00EA6E1C">
        <w:t xml:space="preserve"> not comply with section 3</w:t>
      </w:r>
      <w:r w:rsidR="00B8319C">
        <w:t xml:space="preserve"> </w:t>
      </w:r>
      <w:r w:rsidR="00581E4C">
        <w:t>i</w:t>
      </w:r>
      <w:r w:rsidR="00EA6E1C">
        <w:t xml:space="preserve">n that it refers to something </w:t>
      </w:r>
      <w:r w:rsidR="00581E4C">
        <w:t>else</w:t>
      </w:r>
      <w:r w:rsidR="00EA6E1C">
        <w:t xml:space="preserve"> ot</w:t>
      </w:r>
      <w:r w:rsidR="00581E4C">
        <w:t>her than the claim that the res</w:t>
      </w:r>
      <w:r w:rsidR="00EA6E1C">
        <w:t>pondents are facing.</w:t>
      </w:r>
      <w:r w:rsidR="00D14392">
        <w:t xml:space="preserve"> </w:t>
      </w:r>
      <w:r w:rsidR="005A4F38">
        <w:t>At the risk of repetition, t</w:t>
      </w:r>
      <w:r w:rsidR="00D14392">
        <w:t>he claims against the respondents are (a) unlawful ar</w:t>
      </w:r>
      <w:r>
        <w:t>rest and detention (claim 1);</w:t>
      </w:r>
      <w:r w:rsidR="00D14392">
        <w:t xml:space="preserve"> malicious prosecution (claim 2) and (3) loss of earnings</w:t>
      </w:r>
      <w:r w:rsidR="00B01A1A">
        <w:t>. (Claim</w:t>
      </w:r>
      <w:r w:rsidR="00D14392">
        <w:t xml:space="preserve"> 3)</w:t>
      </w:r>
      <w:r>
        <w:t>.</w:t>
      </w:r>
      <w:r w:rsidR="00B8319C">
        <w:t xml:space="preserve"> There is no explanation for this discrepancy. There is no </w:t>
      </w:r>
      <w:r w:rsidR="00922CF0">
        <w:t>link between the claim and the notice</w:t>
      </w:r>
      <w:r w:rsidR="00B8319C">
        <w:t xml:space="preserve"> whatsoev</w:t>
      </w:r>
      <w:r w:rsidR="00922CF0">
        <w:t>er</w:t>
      </w:r>
      <w:r w:rsidR="00E07ED9">
        <w:t>.</w:t>
      </w:r>
      <w:r w:rsidR="005A4F38">
        <w:t xml:space="preserve"> There is also no explanation in the affidavit why the claims mentioned in the letter were not pursued.</w:t>
      </w:r>
    </w:p>
    <w:p w:rsidR="00EA6E1C" w:rsidRDefault="00EA6E1C">
      <w:pPr>
        <w:spacing w:line="480" w:lineRule="auto"/>
        <w:jc w:val="both"/>
      </w:pPr>
    </w:p>
    <w:p w:rsidR="00EA6E1C" w:rsidRPr="00B9370C" w:rsidRDefault="00EA6E1C">
      <w:pPr>
        <w:spacing w:line="480" w:lineRule="auto"/>
        <w:jc w:val="both"/>
      </w:pPr>
      <w:r>
        <w:t>[2</w:t>
      </w:r>
      <w:r w:rsidR="005A4F38">
        <w:t>5</w:t>
      </w:r>
      <w:r>
        <w:t>]</w:t>
      </w:r>
      <w:r>
        <w:tab/>
        <w:t>There was no notice given to the second respondent</w:t>
      </w:r>
      <w:r w:rsidR="00540E7F">
        <w:t xml:space="preserve"> at all</w:t>
      </w:r>
      <w:r>
        <w:t>. The applicant in his affidavit did</w:t>
      </w:r>
      <w:r w:rsidR="00540E7F">
        <w:t xml:space="preserve"> not address this problem</w:t>
      </w:r>
      <w:r>
        <w:t>. He gave no explanation whatsoever as to why such notice was not given. Furthermore</w:t>
      </w:r>
      <w:r w:rsidR="001F728C">
        <w:t>,</w:t>
      </w:r>
      <w:r>
        <w:t xml:space="preserve"> he does not se</w:t>
      </w:r>
      <w:r w:rsidR="00581E4C">
        <w:t xml:space="preserve">ek any condonation for </w:t>
      </w:r>
      <w:r w:rsidR="00D14392">
        <w:t>not having</w:t>
      </w:r>
      <w:r>
        <w:t xml:space="preserve"> do</w:t>
      </w:r>
      <w:r w:rsidR="00581E4C">
        <w:t>ne</w:t>
      </w:r>
      <w:r>
        <w:t xml:space="preserve"> so.</w:t>
      </w:r>
      <w:r w:rsidR="00D14392">
        <w:t xml:space="preserve"> There is therefore nothing to consider in relation to the second respondent and the application in this regard should be dismissed </w:t>
      </w:r>
      <w:r w:rsidR="00D14392" w:rsidRPr="00D14392">
        <w:rPr>
          <w:i/>
        </w:rPr>
        <w:t>cadit quaestio</w:t>
      </w:r>
      <w:r w:rsidR="00D14392">
        <w:rPr>
          <w:i/>
        </w:rPr>
        <w:t>.</w:t>
      </w:r>
      <w:r w:rsidR="00922CF0">
        <w:rPr>
          <w:i/>
        </w:rPr>
        <w:t xml:space="preserve"> </w:t>
      </w:r>
      <w:r w:rsidR="00B9370C">
        <w:t>In relation to the first respondent since the aspect of the malicious prosecution was not addressed and I refrain from making any finding</w:t>
      </w:r>
      <w:r w:rsidR="001F728C">
        <w:t>s</w:t>
      </w:r>
      <w:r w:rsidR="00B9370C">
        <w:t xml:space="preserve"> in this regard.</w:t>
      </w:r>
    </w:p>
    <w:p w:rsidR="00EA6E1C" w:rsidRDefault="00EA6E1C">
      <w:pPr>
        <w:spacing w:line="480" w:lineRule="auto"/>
        <w:jc w:val="both"/>
      </w:pPr>
    </w:p>
    <w:p w:rsidR="00B01A1A" w:rsidRPr="00FF5E67" w:rsidRDefault="00B01A1A">
      <w:pPr>
        <w:spacing w:line="480" w:lineRule="auto"/>
        <w:jc w:val="both"/>
      </w:pPr>
      <w:r>
        <w:t>[2</w:t>
      </w:r>
      <w:r w:rsidR="005A4F38">
        <w:t>6</w:t>
      </w:r>
      <w:r>
        <w:t>]</w:t>
      </w:r>
      <w:r w:rsidR="00B9370C">
        <w:tab/>
        <w:t>As regards</w:t>
      </w:r>
      <w:r>
        <w:t xml:space="preserve"> prospects of success</w:t>
      </w:r>
      <w:r w:rsidR="001F728C">
        <w:t>,</w:t>
      </w:r>
      <w:r w:rsidR="00B9370C">
        <w:t>t</w:t>
      </w:r>
      <w:r>
        <w:t>he applicant merely states that he has been advised that there are prospects of success. That is not enough. In dealing with prospects of success the applicant is expected to deal with each head of his claim. In this regard</w:t>
      </w:r>
      <w:r w:rsidR="001F728C">
        <w:t>,</w:t>
      </w:r>
      <w:r w:rsidR="00922CF0">
        <w:t xml:space="preserve"> there is no such exposition</w:t>
      </w:r>
      <w:r>
        <w:t xml:space="preserve">.  </w:t>
      </w:r>
      <w:r w:rsidR="00FF5E67">
        <w:t xml:space="preserve">I agree with Mr </w:t>
      </w:r>
      <w:r w:rsidR="00FF5E67">
        <w:rPr>
          <w:i/>
        </w:rPr>
        <w:t>Jikwana</w:t>
      </w:r>
      <w:r w:rsidR="00FF5E67">
        <w:t xml:space="preserve"> </w:t>
      </w:r>
      <w:r w:rsidR="00922CF0">
        <w:t xml:space="preserve">who appeared </w:t>
      </w:r>
      <w:r w:rsidR="00FF5E67">
        <w:t xml:space="preserve">for the respondents that </w:t>
      </w:r>
      <w:r w:rsidR="00AD78F0">
        <w:t>the applicant has not demonstrated that there are prospects of success in his claims. The claims of torture are not supported by any evidence. He does not even state how he was tortured. Furthermore</w:t>
      </w:r>
      <w:r w:rsidR="001F728C">
        <w:t>,</w:t>
      </w:r>
      <w:r w:rsidR="00AD78F0">
        <w:t xml:space="preserve"> there </w:t>
      </w:r>
      <w:r w:rsidR="00B9370C">
        <w:t>is no</w:t>
      </w:r>
      <w:r w:rsidR="00AD78F0">
        <w:t xml:space="preserve"> claim for assault.</w:t>
      </w:r>
    </w:p>
    <w:p w:rsidR="00B01A1A" w:rsidRDefault="00B01A1A">
      <w:pPr>
        <w:spacing w:line="480" w:lineRule="auto"/>
        <w:jc w:val="both"/>
      </w:pPr>
    </w:p>
    <w:p w:rsidR="00AB6D33" w:rsidRDefault="00B9370C">
      <w:pPr>
        <w:spacing w:line="480" w:lineRule="auto"/>
        <w:jc w:val="both"/>
      </w:pPr>
      <w:r>
        <w:lastRenderedPageBreak/>
        <w:t>[2</w:t>
      </w:r>
      <w:r w:rsidR="005A4F38">
        <w:t>7</w:t>
      </w:r>
      <w:r w:rsidR="00B01A1A">
        <w:t>]</w:t>
      </w:r>
      <w:r w:rsidR="00B01A1A">
        <w:tab/>
        <w:t xml:space="preserve">I now turn to deal with </w:t>
      </w:r>
      <w:r w:rsidR="001F728C">
        <w:t>the</w:t>
      </w:r>
      <w:r w:rsidR="00922CF0">
        <w:t xml:space="preserve"> </w:t>
      </w:r>
      <w:r w:rsidR="00B01A1A">
        <w:t xml:space="preserve">reasons for the delay. </w:t>
      </w:r>
      <w:r w:rsidR="005A4F38">
        <w:t>As pointed out</w:t>
      </w:r>
      <w:r w:rsidR="00AB6D33">
        <w:t xml:space="preserve"> above the</w:t>
      </w:r>
      <w:r w:rsidR="00A672C7">
        <w:t xml:space="preserve"> explanation for the delay</w:t>
      </w:r>
      <w:r w:rsidR="00922CF0">
        <w:t xml:space="preserve"> is </w:t>
      </w:r>
      <w:r w:rsidR="00AB6D33">
        <w:t xml:space="preserve">poor. </w:t>
      </w:r>
      <w:r w:rsidR="00A672C7">
        <w:t xml:space="preserve"> </w:t>
      </w:r>
      <w:r w:rsidR="00AB6D33">
        <w:t>All the applicant did ‘some time’ after his release was to seek legal advice regarding the claims.</w:t>
      </w:r>
    </w:p>
    <w:p w:rsidR="00B01A1A" w:rsidRDefault="005A4F38">
      <w:pPr>
        <w:spacing w:line="480" w:lineRule="auto"/>
        <w:jc w:val="both"/>
      </w:pPr>
      <w:r>
        <w:t>The only excuse I could glean</w:t>
      </w:r>
      <w:r w:rsidR="00B01A1A">
        <w:t xml:space="preserve"> from the affidavit is that the applicant did not know if he had a claim against the respondents until </w:t>
      </w:r>
      <w:r>
        <w:t xml:space="preserve">‘some time’ after </w:t>
      </w:r>
      <w:r w:rsidR="00B01A1A">
        <w:t xml:space="preserve">he got advice from his lawyers. </w:t>
      </w:r>
      <w:r w:rsidR="00A672C7">
        <w:t xml:space="preserve">The </w:t>
      </w:r>
      <w:r w:rsidR="00B01A1A">
        <w:t xml:space="preserve">right to claim against the respondents </w:t>
      </w:r>
      <w:r w:rsidR="00E95853">
        <w:t xml:space="preserve">as stated in the </w:t>
      </w:r>
      <w:r w:rsidR="001F728C">
        <w:t>above-</w:t>
      </w:r>
      <w:r w:rsidR="00E95853">
        <w:t xml:space="preserve">quoted cases relates to </w:t>
      </w:r>
      <w:r w:rsidR="001F728C">
        <w:t>the</w:t>
      </w:r>
      <w:r w:rsidR="00A672C7">
        <w:t xml:space="preserve"> </w:t>
      </w:r>
      <w:r w:rsidR="00E95853">
        <w:t>conclusion of law and therefore falls outside the ambit of section 3(4).</w:t>
      </w:r>
      <w:r w:rsidR="00E95853">
        <w:rPr>
          <w:rStyle w:val="FootnoteReference"/>
        </w:rPr>
        <w:footnoteReference w:id="7"/>
      </w:r>
    </w:p>
    <w:p w:rsidR="00E95853" w:rsidRDefault="00E95853">
      <w:pPr>
        <w:spacing w:line="480" w:lineRule="auto"/>
        <w:jc w:val="both"/>
      </w:pPr>
    </w:p>
    <w:p w:rsidR="00E95853" w:rsidRDefault="00E95853">
      <w:pPr>
        <w:spacing w:line="480" w:lineRule="auto"/>
        <w:jc w:val="both"/>
      </w:pPr>
      <w:r>
        <w:t>[2</w:t>
      </w:r>
      <w:r w:rsidR="005A4F38">
        <w:t>8</w:t>
      </w:r>
      <w:r>
        <w:t>]</w:t>
      </w:r>
      <w:r>
        <w:tab/>
        <w:t xml:space="preserve"> In an application for condonation</w:t>
      </w:r>
      <w:r w:rsidR="001F728C">
        <w:t>,</w:t>
      </w:r>
      <w:r>
        <w:t xml:space="preserve"> a full explanation for the entire period is required.</w:t>
      </w:r>
      <w:r w:rsidR="00FF5E67">
        <w:rPr>
          <w:rStyle w:val="FootnoteReference"/>
        </w:rPr>
        <w:footnoteReference w:id="8"/>
      </w:r>
      <w:r>
        <w:t xml:space="preserve"> The applicant has failed to do so.</w:t>
      </w:r>
      <w:r w:rsidR="005A4F38">
        <w:t xml:space="preserve"> In their</w:t>
      </w:r>
      <w:r w:rsidR="00AD78F0">
        <w:t xml:space="preserve"> answering affidavit the respondents pertinentl</w:t>
      </w:r>
      <w:r w:rsidR="00B9370C">
        <w:t>y pointed out that</w:t>
      </w:r>
      <w:r w:rsidR="00C52843">
        <w:t xml:space="preserve"> “</w:t>
      </w:r>
      <w:r w:rsidR="00C52843">
        <w:rPr>
          <w:i/>
        </w:rPr>
        <w:t xml:space="preserve">at the time of his arrest and subsequently thereafter, the applicant knew the minimum facts necessary to institute a claim against the respondents’. </w:t>
      </w:r>
      <w:r w:rsidR="00F24645">
        <w:t>The applicant filed n</w:t>
      </w:r>
      <w:r w:rsidR="00C52843">
        <w:t>o replying affidavit to demonstrate the contrary.</w:t>
      </w:r>
    </w:p>
    <w:p w:rsidR="00C52843" w:rsidRDefault="00C52843">
      <w:pPr>
        <w:spacing w:line="480" w:lineRule="auto"/>
        <w:jc w:val="both"/>
      </w:pPr>
    </w:p>
    <w:p w:rsidR="00C52843" w:rsidRPr="00A672C7" w:rsidRDefault="00C52843">
      <w:pPr>
        <w:spacing w:line="480" w:lineRule="auto"/>
        <w:jc w:val="both"/>
        <w:rPr>
          <w:i/>
        </w:rPr>
      </w:pPr>
      <w:r>
        <w:t>[2</w:t>
      </w:r>
      <w:r w:rsidR="005A4F38">
        <w:t>9</w:t>
      </w:r>
      <w:r>
        <w:t>]</w:t>
      </w:r>
      <w:r>
        <w:tab/>
        <w:t xml:space="preserve">The respondents in their answering affidavit point out that at the criminal trial the applicant was legally represented and therefore had access to legal advice. The State did not prevent him from acting against it. The applicant elected not to file any replying affidavit to contend otherwise. I agree with Mr </w:t>
      </w:r>
      <w:r>
        <w:rPr>
          <w:i/>
        </w:rPr>
        <w:t xml:space="preserve">Jikwana </w:t>
      </w:r>
      <w:r>
        <w:t>that the applicant knew or ought, by reasonable exercise of care, to have known all the minimum facts giving rise to the debt as well as the identity of the debtor as envisaged in the Act as far back as 12 July 2017 and elected not to do anything regarding his claims.</w:t>
      </w:r>
      <w:r w:rsidR="00A672C7">
        <w:t xml:space="preserve"> It has been held that a man whose legal interests are threatened should be vigilant to protect them and </w:t>
      </w:r>
      <w:r w:rsidR="00A672C7">
        <w:lastRenderedPageBreak/>
        <w:t>not to wait for others to protect them for him. The law comes to the aid of those who act and not those who slumber;</w:t>
      </w:r>
      <w:r w:rsidR="00A672C7" w:rsidRPr="00A672C7">
        <w:t xml:space="preserve"> </w:t>
      </w:r>
      <w:r w:rsidR="00A672C7" w:rsidRPr="00A672C7">
        <w:rPr>
          <w:i/>
        </w:rPr>
        <w:t>Vigilantibus non do</w:t>
      </w:r>
      <w:r w:rsidR="00A672C7">
        <w:rPr>
          <w:i/>
        </w:rPr>
        <w:t>rmientibus jura subveniunt.</w:t>
      </w:r>
      <w:r w:rsidR="00A672C7" w:rsidRPr="00A672C7">
        <w:rPr>
          <w:i/>
        </w:rPr>
        <w:t xml:space="preserve"> .</w:t>
      </w:r>
    </w:p>
    <w:p w:rsidR="00F24645" w:rsidRPr="00346710" w:rsidRDefault="00346710" w:rsidP="00346710">
      <w:pPr>
        <w:spacing w:line="360" w:lineRule="auto"/>
        <w:jc w:val="both"/>
        <w:rPr>
          <w:i/>
        </w:rPr>
      </w:pPr>
      <w:r>
        <w:t xml:space="preserve">In </w:t>
      </w:r>
      <w:r w:rsidRPr="00346710">
        <w:rPr>
          <w:b/>
        </w:rPr>
        <w:t>Mtokonya v Minister of Police</w:t>
      </w:r>
      <w:r w:rsidRPr="00346710">
        <w:t> 2018 (5) SA 22 (CC) (2017 (11) BCLR 1443; [2017] ZACC 33)</w:t>
      </w:r>
      <w:r>
        <w:t xml:space="preserve"> para.145   Jafta J stated</w:t>
      </w:r>
      <w:r w:rsidRPr="00346710">
        <w:rPr>
          <w:sz w:val="22"/>
          <w:szCs w:val="22"/>
        </w:rPr>
        <w:t xml:space="preserve"> “</w:t>
      </w:r>
      <w:r w:rsidRPr="00346710">
        <w:rPr>
          <w:i/>
          <w:sz w:val="22"/>
          <w:szCs w:val="22"/>
        </w:rPr>
        <w:t>the purpose served by s 12(3) is to prevent the commencement of prescription being delayed by the negligent inaction of the creditor who faces no impediments to instituting legal proceedings. The legitimate purpose served by provisions of a limitation such as s 12(3) is founded on public policy and is underpinned by two principles. The first is the interest of the state which requires that there should be a limit to litigation. The second is that the law helps the vigilant and not those who slumber</w:t>
      </w:r>
      <w:r w:rsidRPr="00346710">
        <w:rPr>
          <w:i/>
        </w:rPr>
        <w:t>.”</w:t>
      </w:r>
    </w:p>
    <w:p w:rsidR="00346710" w:rsidRPr="00346710" w:rsidRDefault="00346710" w:rsidP="00346710">
      <w:pPr>
        <w:spacing w:line="480" w:lineRule="auto"/>
        <w:jc w:val="both"/>
      </w:pPr>
    </w:p>
    <w:p w:rsidR="00F24645" w:rsidRDefault="00354B67">
      <w:pPr>
        <w:spacing w:line="480" w:lineRule="auto"/>
        <w:jc w:val="both"/>
      </w:pPr>
      <w:r>
        <w:t>[30</w:t>
      </w:r>
      <w:r w:rsidR="00F24645">
        <w:t>]</w:t>
      </w:r>
      <w:r w:rsidR="00F24645">
        <w:tab/>
        <w:t xml:space="preserve">In all the circumstances I am of the view that the applicant has failed to meet the </w:t>
      </w:r>
      <w:r w:rsidR="00AB6D33">
        <w:t>second requirement</w:t>
      </w:r>
      <w:r w:rsidR="00F24645">
        <w:t xml:space="preserve"> of section 3(4)</w:t>
      </w:r>
      <w:r w:rsidR="00AB6D33">
        <w:t>(b).</w:t>
      </w:r>
    </w:p>
    <w:p w:rsidR="00AB6D33" w:rsidRDefault="00AB6D33">
      <w:pPr>
        <w:spacing w:line="480" w:lineRule="auto"/>
        <w:jc w:val="both"/>
      </w:pPr>
    </w:p>
    <w:p w:rsidR="00AB6D33" w:rsidRDefault="004A4AAF">
      <w:pPr>
        <w:spacing w:line="480" w:lineRule="auto"/>
        <w:jc w:val="both"/>
      </w:pPr>
      <w:r>
        <w:t>[3</w:t>
      </w:r>
      <w:r w:rsidR="00354B67">
        <w:t>1</w:t>
      </w:r>
      <w:r w:rsidR="00AB6D33">
        <w:t>]</w:t>
      </w:r>
      <w:r w:rsidR="00AB6D33">
        <w:tab/>
        <w:t>With regard to the prejudice</w:t>
      </w:r>
      <w:r w:rsidR="004340AE">
        <w:t>,</w:t>
      </w:r>
      <w:r w:rsidR="003C67F5">
        <w:t xml:space="preserve"> the applicant in his purported notice </w:t>
      </w:r>
      <w:r w:rsidR="004340AE">
        <w:t xml:space="preserve">letter dated 2 October 2018 </w:t>
      </w:r>
      <w:r w:rsidR="003C67F5">
        <w:t>no mention is made of any unlawful arrest and detention. Although malicious pr</w:t>
      </w:r>
      <w:r w:rsidR="004340AE">
        <w:t>osecution is mentioned,</w:t>
      </w:r>
      <w:r w:rsidR="003C67F5">
        <w:t xml:space="preserve"> according to the notice</w:t>
      </w:r>
      <w:r w:rsidR="004340AE">
        <w:t>,</w:t>
      </w:r>
      <w:r w:rsidR="00346710">
        <w:t xml:space="preserve"> </w:t>
      </w:r>
      <w:r w:rsidR="004340AE">
        <w:t>the</w:t>
      </w:r>
      <w:r w:rsidR="003C67F5">
        <w:t xml:space="preserve"> claims </w:t>
      </w:r>
      <w:r w:rsidR="001F728C">
        <w:t xml:space="preserve">were </w:t>
      </w:r>
      <w:r w:rsidR="003C67F5">
        <w:t>for humiliation</w:t>
      </w:r>
      <w:r w:rsidR="004340AE">
        <w:t xml:space="preserve"> and embarrassment, pain and suffering in the amount of R400 000 and a ‘bully conduct’ of the members of SAPS </w:t>
      </w:r>
      <w:r w:rsidR="001F728C">
        <w:t>for</w:t>
      </w:r>
      <w:r w:rsidR="00346710">
        <w:t xml:space="preserve"> R</w:t>
      </w:r>
      <w:r w:rsidR="004340AE">
        <w:t>2million</w:t>
      </w:r>
      <w:r w:rsidR="001F728C">
        <w:t xml:space="preserve"> rand</w:t>
      </w:r>
      <w:r w:rsidR="004340AE">
        <w:t>. In this regard the prejudice is obvious. The cause of action is now something different from the notice itself. No opportunity was given to the respondents to consider their positions in terms of the claim.</w:t>
      </w:r>
    </w:p>
    <w:p w:rsidR="004340AE" w:rsidRDefault="004340AE">
      <w:pPr>
        <w:spacing w:line="480" w:lineRule="auto"/>
        <w:jc w:val="both"/>
      </w:pPr>
    </w:p>
    <w:p w:rsidR="004340AE" w:rsidRDefault="004A4AAF">
      <w:pPr>
        <w:spacing w:line="480" w:lineRule="auto"/>
        <w:jc w:val="both"/>
      </w:pPr>
      <w:r>
        <w:t>[3</w:t>
      </w:r>
      <w:r w:rsidR="00354B67">
        <w:t>2</w:t>
      </w:r>
      <w:r w:rsidR="004340AE">
        <w:t>]</w:t>
      </w:r>
      <w:r w:rsidR="004340AE">
        <w:tab/>
        <w:t>In all the circumstances to the extent that the claim concerns unlawful arrest and detention as well as loss of income the applicant has failed to give a reasonable explanation why section 3 of the Act was not complied with.</w:t>
      </w:r>
    </w:p>
    <w:p w:rsidR="004340AE" w:rsidRDefault="004340AE">
      <w:pPr>
        <w:spacing w:line="480" w:lineRule="auto"/>
        <w:jc w:val="both"/>
      </w:pPr>
    </w:p>
    <w:p w:rsidR="004340AE" w:rsidRPr="004340AE" w:rsidRDefault="004340AE">
      <w:pPr>
        <w:spacing w:line="480" w:lineRule="auto"/>
        <w:jc w:val="both"/>
        <w:rPr>
          <w:b/>
        </w:rPr>
      </w:pPr>
      <w:r w:rsidRPr="004340AE">
        <w:rPr>
          <w:b/>
        </w:rPr>
        <w:t>Costs:</w:t>
      </w:r>
    </w:p>
    <w:p w:rsidR="004340AE" w:rsidRDefault="004340AE">
      <w:pPr>
        <w:spacing w:line="480" w:lineRule="auto"/>
        <w:jc w:val="both"/>
      </w:pPr>
      <w:r>
        <w:lastRenderedPageBreak/>
        <w:t>[3</w:t>
      </w:r>
      <w:r w:rsidR="00354B67">
        <w:t>3</w:t>
      </w:r>
      <w:r>
        <w:t>]</w:t>
      </w:r>
      <w:r>
        <w:tab/>
        <w:t xml:space="preserve">The general rule is that costs should follow the result. There is no reason </w:t>
      </w:r>
      <w:r w:rsidR="00346710">
        <w:t xml:space="preserve">why </w:t>
      </w:r>
      <w:r>
        <w:t>the rule should not apply in this case.</w:t>
      </w:r>
    </w:p>
    <w:p w:rsidR="004340AE" w:rsidRDefault="004340AE">
      <w:pPr>
        <w:spacing w:line="480" w:lineRule="auto"/>
        <w:jc w:val="both"/>
      </w:pPr>
    </w:p>
    <w:p w:rsidR="004340AE" w:rsidRDefault="004340AE">
      <w:pPr>
        <w:spacing w:line="480" w:lineRule="auto"/>
        <w:jc w:val="both"/>
      </w:pPr>
      <w:r>
        <w:t>[3</w:t>
      </w:r>
      <w:r w:rsidR="00354B67">
        <w:t>4</w:t>
      </w:r>
      <w:r>
        <w:t>]</w:t>
      </w:r>
      <w:r>
        <w:tab/>
        <w:t>In the result the following order will issue:</w:t>
      </w:r>
    </w:p>
    <w:p w:rsidR="004340AE" w:rsidRPr="004A4AAF" w:rsidRDefault="004340AE">
      <w:pPr>
        <w:spacing w:line="480" w:lineRule="auto"/>
        <w:jc w:val="both"/>
        <w:rPr>
          <w:b/>
        </w:rPr>
      </w:pPr>
    </w:p>
    <w:p w:rsidR="004340AE" w:rsidRPr="004A4AAF" w:rsidRDefault="004340AE">
      <w:pPr>
        <w:spacing w:line="480" w:lineRule="auto"/>
        <w:jc w:val="both"/>
        <w:rPr>
          <w:b/>
        </w:rPr>
      </w:pPr>
      <w:r w:rsidRPr="004A4AAF">
        <w:rPr>
          <w:b/>
        </w:rPr>
        <w:t>1. The application for condonation in terms of section 3 of Act 40 of 2002 is dismissed with costs.</w:t>
      </w:r>
    </w:p>
    <w:p w:rsidR="004A4AAF" w:rsidRPr="004A4AAF" w:rsidRDefault="004A4AAF">
      <w:pPr>
        <w:spacing w:line="480" w:lineRule="auto"/>
        <w:jc w:val="both"/>
        <w:rPr>
          <w:b/>
        </w:rPr>
      </w:pPr>
    </w:p>
    <w:p w:rsidR="004A4AAF" w:rsidRDefault="004A4AAF">
      <w:pPr>
        <w:spacing w:line="480" w:lineRule="auto"/>
        <w:jc w:val="both"/>
      </w:pPr>
    </w:p>
    <w:p w:rsidR="004A4AAF" w:rsidRDefault="004A4AAF">
      <w:pPr>
        <w:spacing w:line="480" w:lineRule="auto"/>
        <w:jc w:val="both"/>
      </w:pPr>
    </w:p>
    <w:p w:rsidR="004A4AAF" w:rsidRPr="004A4AAF" w:rsidRDefault="004A4AAF" w:rsidP="004A4AAF">
      <w:pPr>
        <w:jc w:val="both"/>
        <w:rPr>
          <w:b/>
        </w:rPr>
      </w:pPr>
      <w:r w:rsidRPr="004A4AAF">
        <w:rPr>
          <w:b/>
        </w:rPr>
        <w:t>B R TOKOTA</w:t>
      </w:r>
    </w:p>
    <w:p w:rsidR="004A4AAF" w:rsidRPr="004A4AAF" w:rsidRDefault="004A4AAF" w:rsidP="004A4AAF">
      <w:pPr>
        <w:jc w:val="both"/>
        <w:rPr>
          <w:b/>
        </w:rPr>
      </w:pPr>
      <w:r w:rsidRPr="004A4AAF">
        <w:rPr>
          <w:b/>
        </w:rPr>
        <w:t>JUDGE OF THE HIGH COURT</w:t>
      </w:r>
    </w:p>
    <w:p w:rsidR="004A4AAF" w:rsidRDefault="004A4AAF">
      <w:pPr>
        <w:spacing w:line="480" w:lineRule="auto"/>
        <w:jc w:val="both"/>
      </w:pPr>
    </w:p>
    <w:p w:rsidR="00324FAA" w:rsidRDefault="00324FAA">
      <w:pPr>
        <w:spacing w:line="480" w:lineRule="auto"/>
        <w:jc w:val="both"/>
      </w:pPr>
    </w:p>
    <w:p w:rsidR="00324FAA" w:rsidRDefault="00324FAA">
      <w:pPr>
        <w:spacing w:line="480" w:lineRule="auto"/>
        <w:jc w:val="both"/>
      </w:pPr>
    </w:p>
    <w:p w:rsidR="004A4AAF" w:rsidRDefault="004A4AAF">
      <w:pPr>
        <w:spacing w:line="480" w:lineRule="auto"/>
        <w:jc w:val="both"/>
      </w:pPr>
      <w:r>
        <w:t>Appearances:</w:t>
      </w:r>
    </w:p>
    <w:p w:rsidR="004A4AAF" w:rsidRDefault="004A4AAF" w:rsidP="004A4AAF">
      <w:pPr>
        <w:spacing w:line="480" w:lineRule="auto"/>
        <w:jc w:val="both"/>
      </w:pPr>
      <w:r>
        <w:t>For the applicant:</w:t>
      </w:r>
      <w:r>
        <w:tab/>
      </w:r>
      <w:r>
        <w:tab/>
      </w:r>
      <w:r>
        <w:tab/>
      </w:r>
      <w:r>
        <w:tab/>
      </w:r>
      <w:r>
        <w:tab/>
        <w:t>J L Kilani</w:t>
      </w:r>
    </w:p>
    <w:p w:rsidR="004A4AAF" w:rsidRDefault="004A4AAF" w:rsidP="004A4AAF">
      <w:pPr>
        <w:spacing w:line="480" w:lineRule="auto"/>
        <w:jc w:val="both"/>
      </w:pPr>
      <w:r>
        <w:t>Instructed by Lutango Sigcawu</w:t>
      </w:r>
    </w:p>
    <w:p w:rsidR="004A4AAF" w:rsidRDefault="004A4AAF" w:rsidP="004A4AAF">
      <w:pPr>
        <w:spacing w:line="480" w:lineRule="auto"/>
        <w:jc w:val="both"/>
      </w:pPr>
      <w:r>
        <w:t>Attorneys</w:t>
      </w:r>
    </w:p>
    <w:p w:rsidR="004A4AAF" w:rsidRDefault="004A4AAF" w:rsidP="004A4AAF">
      <w:pPr>
        <w:spacing w:line="480" w:lineRule="auto"/>
        <w:jc w:val="both"/>
      </w:pPr>
      <w:r>
        <w:t>For the Respondents:</w:t>
      </w:r>
      <w:r>
        <w:tab/>
      </w:r>
      <w:r>
        <w:tab/>
      </w:r>
      <w:r>
        <w:tab/>
      </w:r>
      <w:r>
        <w:tab/>
        <w:t>T M Jikwana</w:t>
      </w:r>
    </w:p>
    <w:p w:rsidR="004A4AAF" w:rsidRDefault="004A4AAF" w:rsidP="004A4AAF">
      <w:pPr>
        <w:spacing w:line="480" w:lineRule="auto"/>
        <w:jc w:val="both"/>
      </w:pPr>
      <w:r>
        <w:t>Instructed by State Attorney</w:t>
      </w:r>
    </w:p>
    <w:p w:rsidR="004A4AAF" w:rsidRDefault="004A4AAF" w:rsidP="004A4AAF">
      <w:pPr>
        <w:spacing w:line="480" w:lineRule="auto"/>
        <w:jc w:val="both"/>
      </w:pPr>
      <w:r>
        <w:t>Date of Hearing:</w:t>
      </w:r>
      <w:r>
        <w:tab/>
      </w:r>
      <w:r>
        <w:tab/>
      </w:r>
      <w:r>
        <w:tab/>
      </w:r>
      <w:r>
        <w:tab/>
      </w:r>
      <w:r>
        <w:tab/>
        <w:t>2 June 2022.</w:t>
      </w:r>
    </w:p>
    <w:p w:rsidR="004A4AAF" w:rsidRDefault="004A4AAF" w:rsidP="004A4AAF">
      <w:pPr>
        <w:spacing w:line="480" w:lineRule="auto"/>
        <w:jc w:val="both"/>
      </w:pPr>
      <w:r>
        <w:t>Date delivered:</w:t>
      </w:r>
      <w:r w:rsidR="00346710">
        <w:tab/>
      </w:r>
      <w:r w:rsidR="00346710">
        <w:tab/>
      </w:r>
      <w:r w:rsidR="00346710">
        <w:tab/>
      </w:r>
      <w:r w:rsidR="00346710">
        <w:tab/>
      </w:r>
      <w:r w:rsidR="00346710">
        <w:tab/>
      </w:r>
      <w:r w:rsidR="00D15AF4">
        <w:t>12</w:t>
      </w:r>
      <w:r w:rsidR="00346710">
        <w:t xml:space="preserve"> July 2022.</w:t>
      </w:r>
    </w:p>
    <w:p w:rsidR="00AB6D33" w:rsidRPr="00C52843" w:rsidRDefault="00AB6D33">
      <w:pPr>
        <w:spacing w:line="480" w:lineRule="auto"/>
        <w:jc w:val="both"/>
      </w:pPr>
    </w:p>
    <w:sectPr w:rsidR="00AB6D33" w:rsidRPr="00C52843" w:rsidSect="0075704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FC8" w:rsidRDefault="006F4FC8" w:rsidP="0083621F">
      <w:r>
        <w:separator/>
      </w:r>
    </w:p>
  </w:endnote>
  <w:endnote w:type="continuationSeparator" w:id="0">
    <w:p w:rsidR="006F4FC8" w:rsidRDefault="006F4FC8" w:rsidP="0083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FC8" w:rsidRDefault="006F4FC8" w:rsidP="0083621F">
      <w:r>
        <w:separator/>
      </w:r>
    </w:p>
  </w:footnote>
  <w:footnote w:type="continuationSeparator" w:id="0">
    <w:p w:rsidR="006F4FC8" w:rsidRDefault="006F4FC8" w:rsidP="0083621F">
      <w:r>
        <w:continuationSeparator/>
      </w:r>
    </w:p>
  </w:footnote>
  <w:footnote w:id="1">
    <w:p w:rsidR="00922CF0" w:rsidRDefault="00922CF0" w:rsidP="0077305B">
      <w:pPr>
        <w:pStyle w:val="FootnoteText"/>
      </w:pPr>
      <w:r>
        <w:rPr>
          <w:rStyle w:val="FootnoteReference"/>
        </w:rPr>
        <w:footnoteRef/>
      </w:r>
      <w:r w:rsidRPr="00161DEE">
        <w:t>Grootboom v N</w:t>
      </w:r>
      <w:r>
        <w:t xml:space="preserve">ational </w:t>
      </w:r>
      <w:r w:rsidRPr="00161DEE">
        <w:t>P</w:t>
      </w:r>
      <w:r>
        <w:t xml:space="preserve">rosecuting </w:t>
      </w:r>
      <w:r w:rsidRPr="00161DEE">
        <w:t>A</w:t>
      </w:r>
      <w:r>
        <w:t>uthority and Another</w:t>
      </w:r>
      <w:r w:rsidRPr="00161DEE">
        <w:t> 2014 (2) SA 68 (CC) (2014 (1) BCLR 65; [2013] ZACC 37)</w:t>
      </w:r>
      <w:r>
        <w:t xml:space="preserve"> para 23.</w:t>
      </w:r>
    </w:p>
  </w:footnote>
  <w:footnote w:id="2">
    <w:p w:rsidR="00922CF0" w:rsidRPr="00DD44F2" w:rsidRDefault="00922CF0" w:rsidP="0077305B">
      <w:pPr>
        <w:rPr>
          <w:rFonts w:ascii="Times New Roman" w:hAnsi="Times New Roman"/>
          <w:sz w:val="20"/>
          <w:szCs w:val="20"/>
        </w:rPr>
      </w:pPr>
      <w:r>
        <w:rPr>
          <w:rStyle w:val="FootnoteReference"/>
        </w:rPr>
        <w:footnoteRef/>
      </w:r>
      <w:r w:rsidRPr="00DD44F2">
        <w:rPr>
          <w:rFonts w:ascii="Times New Roman" w:hAnsi="Times New Roman"/>
          <w:sz w:val="20"/>
          <w:szCs w:val="20"/>
        </w:rPr>
        <w:t>Von Abo v President of the Republic of South Africa 2009 (5) SA 345 (CC) (2009 (10) BCLR 1052; [2009] ZACC 15) in para 20; an</w:t>
      </w:r>
      <w:r>
        <w:rPr>
          <w:rFonts w:ascii="Times New Roman" w:hAnsi="Times New Roman"/>
          <w:sz w:val="20"/>
          <w:szCs w:val="20"/>
        </w:rPr>
        <w:t>d Van Wyk infra  n 2 in para 22.;</w:t>
      </w:r>
      <w:r w:rsidRPr="00DD44F2">
        <w:rPr>
          <w:rFonts w:ascii="Times New Roman" w:hAnsi="Times New Roman"/>
          <w:sz w:val="20"/>
          <w:szCs w:val="20"/>
        </w:rPr>
        <w:t>Grootboom v NPA 2014 (2) SA 68 (CC) (2014 (1) BCLR 65; [2013] ZACC 37)</w:t>
      </w:r>
      <w:r>
        <w:rPr>
          <w:rFonts w:ascii="Times New Roman" w:hAnsi="Times New Roman"/>
          <w:sz w:val="20"/>
          <w:szCs w:val="20"/>
        </w:rPr>
        <w:t xml:space="preserve"> para.23</w:t>
      </w:r>
    </w:p>
  </w:footnote>
  <w:footnote w:id="3">
    <w:p w:rsidR="00922CF0" w:rsidRDefault="00922CF0" w:rsidP="0077305B">
      <w:pPr>
        <w:pStyle w:val="FootnoteText"/>
      </w:pPr>
      <w:r>
        <w:rPr>
          <w:rStyle w:val="FootnoteReference"/>
        </w:rPr>
        <w:footnoteRef/>
      </w:r>
      <w:r w:rsidRPr="00CF0D92">
        <w:t xml:space="preserve">Van Wyk v </w:t>
      </w:r>
      <w:r>
        <w:t>Unitas Hospital and Another</w:t>
      </w:r>
      <w:r w:rsidRPr="00CF0D92">
        <w:t xml:space="preserve"> (Open Democratic Advice Centre as Amicus Curiae)  2008 (2) SA 472 (CC) (2008 (4) BCLR 442; [2007] ZACC 24) para 22.</w:t>
      </w:r>
      <w:r>
        <w:t>;</w:t>
      </w:r>
      <w:r w:rsidRPr="00CF0D92">
        <w:t xml:space="preserve"> Von Abo v President of the RSA 2009 (5) SA 345 (CC) (2009 (10) BCLR 1052; [2009] ZACC 15)</w:t>
      </w:r>
      <w:r>
        <w:t xml:space="preserve"> para.20;</w:t>
      </w:r>
      <w:r w:rsidRPr="008A15C6">
        <w:t xml:space="preserve"> Laerskool Generaal Hendrik Schoeman v Bastian Financial Services (Pty) Ltd 2012 (2) SA 637 (CC) ([2009] ZACC 12)</w:t>
      </w:r>
      <w:r>
        <w:t xml:space="preserve"> para.15;</w:t>
      </w:r>
      <w:r w:rsidRPr="008A15C6">
        <w:t xml:space="preserve"> eThekwini Muni v Ingonyama Trust 2014 (3) SA 240 (CC) (2013 (5) BCLR 497; [2013] ZACC 7)</w:t>
      </w:r>
      <w:r>
        <w:t>para.28</w:t>
      </w:r>
    </w:p>
  </w:footnote>
  <w:footnote w:id="4">
    <w:p w:rsidR="00922CF0" w:rsidRDefault="00922CF0" w:rsidP="0077305B">
      <w:pPr>
        <w:pStyle w:val="FootnoteText"/>
      </w:pPr>
      <w:r>
        <w:rPr>
          <w:rStyle w:val="FootnoteReference"/>
        </w:rPr>
        <w:footnoteRef/>
      </w:r>
      <w:r>
        <w:t xml:space="preserve">Minister of Finance and Others v Gore NO 2007 (1) SA 111 (SCA) ([2007] 1 All SA 309; [2006] ZASCA 98) para 17. </w:t>
      </w:r>
    </w:p>
  </w:footnote>
  <w:footnote w:id="5">
    <w:p w:rsidR="00922CF0" w:rsidRDefault="00922CF0">
      <w:pPr>
        <w:pStyle w:val="FootnoteText"/>
      </w:pPr>
      <w:r>
        <w:rPr>
          <w:rStyle w:val="FootnoteReference"/>
        </w:rPr>
        <w:footnoteRef/>
      </w:r>
      <w:r>
        <w:t xml:space="preserve"> See also </w:t>
      </w:r>
      <w:r w:rsidRPr="009933D4">
        <w:t>Links v Dept of Health, NP 2016 (4) SA 414 (CC) (2016 (5) BCLR 656; [2016] ZACC 10)</w:t>
      </w:r>
      <w:r>
        <w:t xml:space="preserve"> para.31</w:t>
      </w:r>
    </w:p>
  </w:footnote>
  <w:footnote w:id="6">
    <w:p w:rsidR="00922CF0" w:rsidRDefault="00922CF0">
      <w:pPr>
        <w:pStyle w:val="FootnoteText"/>
      </w:pPr>
      <w:r>
        <w:rPr>
          <w:rStyle w:val="FootnoteReference"/>
        </w:rPr>
        <w:footnoteRef/>
      </w:r>
      <w:r>
        <w:t xml:space="preserve"> Truter supra para.17</w:t>
      </w:r>
    </w:p>
  </w:footnote>
  <w:footnote w:id="7">
    <w:p w:rsidR="00922CF0" w:rsidRDefault="00922CF0">
      <w:pPr>
        <w:pStyle w:val="FootnoteText"/>
      </w:pPr>
      <w:r>
        <w:rPr>
          <w:rStyle w:val="FootnoteReference"/>
        </w:rPr>
        <w:footnoteRef/>
      </w:r>
      <w:r>
        <w:t xml:space="preserve"> See </w:t>
      </w:r>
      <w:r w:rsidRPr="00E95853">
        <w:t>Eskom v Bojanala Platinum District Municipality and Another 2003 JDR 0498 (T</w:t>
      </w:r>
      <w:r>
        <w:t>): para [16] ;</w:t>
      </w:r>
    </w:p>
  </w:footnote>
  <w:footnote w:id="8">
    <w:p w:rsidR="00922CF0" w:rsidRDefault="00922CF0">
      <w:pPr>
        <w:pStyle w:val="FootnoteText"/>
      </w:pPr>
      <w:r>
        <w:rPr>
          <w:rStyle w:val="FootnoteReference"/>
        </w:rPr>
        <w:footnoteRef/>
      </w:r>
      <w:r w:rsidRPr="00FF5E67">
        <w:t>Uitenhage TLC v SARS 2004 (1) SA 292 (SCA) ([2003] 4 All SA 37; [2003] ZASCA 76)</w:t>
      </w:r>
      <w:r>
        <w:t xml:space="preserve"> para.6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2291"/>
      <w:docPartObj>
        <w:docPartGallery w:val="Page Numbers (Top of Page)"/>
        <w:docPartUnique/>
      </w:docPartObj>
    </w:sdtPr>
    <w:sdtEndPr/>
    <w:sdtContent>
      <w:p w:rsidR="00922CF0" w:rsidRDefault="00D15AF4">
        <w:pPr>
          <w:pStyle w:val="Header"/>
          <w:jc w:val="center"/>
        </w:pPr>
        <w:r>
          <w:fldChar w:fldCharType="begin"/>
        </w:r>
        <w:r>
          <w:instrText xml:space="preserve"> PAGE   \* MERGEFORMAT </w:instrText>
        </w:r>
        <w:r>
          <w:fldChar w:fldCharType="separate"/>
        </w:r>
        <w:r w:rsidR="000C49FB">
          <w:rPr>
            <w:noProof/>
          </w:rPr>
          <w:t>2</w:t>
        </w:r>
        <w:r>
          <w:rPr>
            <w:noProof/>
          </w:rPr>
          <w:fldChar w:fldCharType="end"/>
        </w:r>
      </w:p>
    </w:sdtContent>
  </w:sdt>
  <w:p w:rsidR="00922CF0" w:rsidRDefault="00922C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AwtDA2NzU1NzI2MjRU0lEKTi0uzszPAykwrAUAKnqNKiwAAAA="/>
  </w:docVars>
  <w:rsids>
    <w:rsidRoot w:val="0099401E"/>
    <w:rsid w:val="00013C61"/>
    <w:rsid w:val="00042D1B"/>
    <w:rsid w:val="00051035"/>
    <w:rsid w:val="000929A9"/>
    <w:rsid w:val="000B4A57"/>
    <w:rsid w:val="000C2D37"/>
    <w:rsid w:val="000C49FB"/>
    <w:rsid w:val="000D1BE5"/>
    <w:rsid w:val="000F5A70"/>
    <w:rsid w:val="00107F00"/>
    <w:rsid w:val="00122360"/>
    <w:rsid w:val="00134385"/>
    <w:rsid w:val="00136773"/>
    <w:rsid w:val="0014254F"/>
    <w:rsid w:val="00161DEE"/>
    <w:rsid w:val="00175E72"/>
    <w:rsid w:val="001B4DC3"/>
    <w:rsid w:val="001D5C49"/>
    <w:rsid w:val="001F728C"/>
    <w:rsid w:val="00206D0F"/>
    <w:rsid w:val="00210972"/>
    <w:rsid w:val="00241EA1"/>
    <w:rsid w:val="0024642E"/>
    <w:rsid w:val="002A16D2"/>
    <w:rsid w:val="002A4006"/>
    <w:rsid w:val="002B2342"/>
    <w:rsid w:val="002B2D1F"/>
    <w:rsid w:val="002C40B8"/>
    <w:rsid w:val="002F36CE"/>
    <w:rsid w:val="002F4945"/>
    <w:rsid w:val="00324FAA"/>
    <w:rsid w:val="00346710"/>
    <w:rsid w:val="00354B67"/>
    <w:rsid w:val="003640B6"/>
    <w:rsid w:val="00375148"/>
    <w:rsid w:val="003754DB"/>
    <w:rsid w:val="00393CBC"/>
    <w:rsid w:val="003C67F5"/>
    <w:rsid w:val="003D3BA2"/>
    <w:rsid w:val="00406AC2"/>
    <w:rsid w:val="00424D41"/>
    <w:rsid w:val="004340AE"/>
    <w:rsid w:val="004442E4"/>
    <w:rsid w:val="0045168C"/>
    <w:rsid w:val="0045544B"/>
    <w:rsid w:val="00461EDE"/>
    <w:rsid w:val="004A4AAF"/>
    <w:rsid w:val="004C2810"/>
    <w:rsid w:val="004C3E09"/>
    <w:rsid w:val="00516E24"/>
    <w:rsid w:val="005343EA"/>
    <w:rsid w:val="00540E7F"/>
    <w:rsid w:val="005460D7"/>
    <w:rsid w:val="00581E4C"/>
    <w:rsid w:val="00582702"/>
    <w:rsid w:val="005832FD"/>
    <w:rsid w:val="005A4F38"/>
    <w:rsid w:val="005D019A"/>
    <w:rsid w:val="005E33E0"/>
    <w:rsid w:val="005F04E7"/>
    <w:rsid w:val="005F6C78"/>
    <w:rsid w:val="006167F0"/>
    <w:rsid w:val="00635416"/>
    <w:rsid w:val="00645CDC"/>
    <w:rsid w:val="0067374E"/>
    <w:rsid w:val="00677868"/>
    <w:rsid w:val="00692765"/>
    <w:rsid w:val="006A0EAB"/>
    <w:rsid w:val="006A7316"/>
    <w:rsid w:val="006D0D07"/>
    <w:rsid w:val="006D6FD0"/>
    <w:rsid w:val="006E7E0E"/>
    <w:rsid w:val="006F4FC8"/>
    <w:rsid w:val="006F6667"/>
    <w:rsid w:val="006F7272"/>
    <w:rsid w:val="007008FE"/>
    <w:rsid w:val="0071262F"/>
    <w:rsid w:val="007227B5"/>
    <w:rsid w:val="00735467"/>
    <w:rsid w:val="00756C8B"/>
    <w:rsid w:val="00757048"/>
    <w:rsid w:val="0075793E"/>
    <w:rsid w:val="007704BE"/>
    <w:rsid w:val="0077305B"/>
    <w:rsid w:val="00780F40"/>
    <w:rsid w:val="00795AD8"/>
    <w:rsid w:val="007C0F4A"/>
    <w:rsid w:val="00804648"/>
    <w:rsid w:val="00831579"/>
    <w:rsid w:val="0083207B"/>
    <w:rsid w:val="00834EBE"/>
    <w:rsid w:val="0083621F"/>
    <w:rsid w:val="00857B60"/>
    <w:rsid w:val="008A15C6"/>
    <w:rsid w:val="008B1074"/>
    <w:rsid w:val="008F715C"/>
    <w:rsid w:val="008F73E9"/>
    <w:rsid w:val="009225EC"/>
    <w:rsid w:val="00922CF0"/>
    <w:rsid w:val="009269E9"/>
    <w:rsid w:val="00927CA9"/>
    <w:rsid w:val="00931734"/>
    <w:rsid w:val="009615E2"/>
    <w:rsid w:val="0096523D"/>
    <w:rsid w:val="00974A9B"/>
    <w:rsid w:val="009933D4"/>
    <w:rsid w:val="0099401E"/>
    <w:rsid w:val="009B483E"/>
    <w:rsid w:val="009B5AD8"/>
    <w:rsid w:val="009D2265"/>
    <w:rsid w:val="00A045F7"/>
    <w:rsid w:val="00A17635"/>
    <w:rsid w:val="00A56D78"/>
    <w:rsid w:val="00A638D5"/>
    <w:rsid w:val="00A672C7"/>
    <w:rsid w:val="00A77072"/>
    <w:rsid w:val="00A95CFD"/>
    <w:rsid w:val="00AB4E3A"/>
    <w:rsid w:val="00AB6D33"/>
    <w:rsid w:val="00AD78F0"/>
    <w:rsid w:val="00B01A1A"/>
    <w:rsid w:val="00B317FC"/>
    <w:rsid w:val="00B3539F"/>
    <w:rsid w:val="00B43FA3"/>
    <w:rsid w:val="00B54AE1"/>
    <w:rsid w:val="00B56205"/>
    <w:rsid w:val="00B8319C"/>
    <w:rsid w:val="00B87345"/>
    <w:rsid w:val="00B9370C"/>
    <w:rsid w:val="00B95791"/>
    <w:rsid w:val="00BE275F"/>
    <w:rsid w:val="00BF21F4"/>
    <w:rsid w:val="00C0135C"/>
    <w:rsid w:val="00C041F9"/>
    <w:rsid w:val="00C303E7"/>
    <w:rsid w:val="00C3370A"/>
    <w:rsid w:val="00C425D6"/>
    <w:rsid w:val="00C43E9F"/>
    <w:rsid w:val="00C52843"/>
    <w:rsid w:val="00C54CA4"/>
    <w:rsid w:val="00C56CC9"/>
    <w:rsid w:val="00C81628"/>
    <w:rsid w:val="00C93E1D"/>
    <w:rsid w:val="00C97CE6"/>
    <w:rsid w:val="00C97EE8"/>
    <w:rsid w:val="00CA2107"/>
    <w:rsid w:val="00CC1FDA"/>
    <w:rsid w:val="00CF0D92"/>
    <w:rsid w:val="00D136F5"/>
    <w:rsid w:val="00D14392"/>
    <w:rsid w:val="00D15AF4"/>
    <w:rsid w:val="00D50D39"/>
    <w:rsid w:val="00D7518F"/>
    <w:rsid w:val="00D80F23"/>
    <w:rsid w:val="00D82AFF"/>
    <w:rsid w:val="00DB2B64"/>
    <w:rsid w:val="00DC0CDD"/>
    <w:rsid w:val="00DC2A50"/>
    <w:rsid w:val="00DD44F2"/>
    <w:rsid w:val="00DE17B0"/>
    <w:rsid w:val="00DF566D"/>
    <w:rsid w:val="00DF5DDA"/>
    <w:rsid w:val="00E008F4"/>
    <w:rsid w:val="00E0708B"/>
    <w:rsid w:val="00E07ED9"/>
    <w:rsid w:val="00E67746"/>
    <w:rsid w:val="00E71754"/>
    <w:rsid w:val="00E77249"/>
    <w:rsid w:val="00E84C61"/>
    <w:rsid w:val="00E95853"/>
    <w:rsid w:val="00E968E7"/>
    <w:rsid w:val="00EA6E1C"/>
    <w:rsid w:val="00ED1A38"/>
    <w:rsid w:val="00EE5376"/>
    <w:rsid w:val="00EF038E"/>
    <w:rsid w:val="00EF1DCA"/>
    <w:rsid w:val="00EF283E"/>
    <w:rsid w:val="00F1454B"/>
    <w:rsid w:val="00F24645"/>
    <w:rsid w:val="00F61EDF"/>
    <w:rsid w:val="00F66CDF"/>
    <w:rsid w:val="00FC77A2"/>
    <w:rsid w:val="00FE435C"/>
    <w:rsid w:val="00FE4B14"/>
    <w:rsid w:val="00FF1802"/>
    <w:rsid w:val="00FF31B2"/>
    <w:rsid w:val="00FF3FA0"/>
    <w:rsid w:val="00FF5E6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AEE26-64D3-4B1D-8C9B-D63A14DF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1E"/>
    <w:rPr>
      <w:rFonts w:ascii="Arial" w:hAnsi="Arial"/>
      <w:sz w:val="24"/>
      <w:szCs w:val="24"/>
      <w:lang w:eastAsia="en-US"/>
    </w:rPr>
  </w:style>
  <w:style w:type="paragraph" w:styleId="Heading1">
    <w:name w:val="heading 1"/>
    <w:basedOn w:val="Normal"/>
    <w:next w:val="Normal"/>
    <w:link w:val="Heading1Char"/>
    <w:qFormat/>
    <w:rsid w:val="00974A9B"/>
    <w:pPr>
      <w:keepNext/>
      <w:spacing w:after="360" w:line="480" w:lineRule="auto"/>
      <w:jc w:val="both"/>
      <w:outlineLvl w:val="0"/>
    </w:pPr>
    <w:rPr>
      <w:b/>
      <w:u w:val="single"/>
    </w:rPr>
  </w:style>
  <w:style w:type="paragraph" w:styleId="Heading2">
    <w:name w:val="heading 2"/>
    <w:basedOn w:val="Normal"/>
    <w:next w:val="Normal"/>
    <w:link w:val="Heading2Char"/>
    <w:uiPriority w:val="9"/>
    <w:semiHidden/>
    <w:unhideWhenUsed/>
    <w:qFormat/>
    <w:rsid w:val="00974A9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A9B"/>
    <w:rPr>
      <w:rFonts w:ascii="Arial" w:hAnsi="Arial"/>
      <w:b/>
      <w:sz w:val="24"/>
      <w:szCs w:val="24"/>
      <w:u w:val="single"/>
      <w:lang w:eastAsia="en-US"/>
    </w:rPr>
  </w:style>
  <w:style w:type="character" w:customStyle="1" w:styleId="Heading2Char">
    <w:name w:val="Heading 2 Char"/>
    <w:link w:val="Heading2"/>
    <w:uiPriority w:val="9"/>
    <w:semiHidden/>
    <w:rsid w:val="00974A9B"/>
    <w:rPr>
      <w:rFonts w:ascii="Cambria" w:hAnsi="Cambria"/>
      <w:b/>
      <w:bCs/>
      <w:i/>
      <w:iCs/>
      <w:sz w:val="28"/>
      <w:szCs w:val="28"/>
      <w:lang w:eastAsia="en-US"/>
    </w:rPr>
  </w:style>
  <w:style w:type="paragraph" w:styleId="ListParagraph">
    <w:name w:val="List Paragraph"/>
    <w:basedOn w:val="Normal"/>
    <w:uiPriority w:val="34"/>
    <w:qFormat/>
    <w:rsid w:val="00974A9B"/>
    <w:pPr>
      <w:spacing w:after="200" w:line="276" w:lineRule="auto"/>
      <w:ind w:left="720"/>
      <w:contextualSpacing/>
    </w:pPr>
    <w:rPr>
      <w:rFonts w:ascii="Calibri" w:eastAsia="Calibri" w:hAnsi="Calibri"/>
      <w:sz w:val="22"/>
      <w:szCs w:val="22"/>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Char Char Char,Char Char"/>
    <w:basedOn w:val="Normal"/>
    <w:link w:val="FootnoteTextChar"/>
    <w:uiPriority w:val="99"/>
    <w:semiHidden/>
    <w:unhideWhenUsed/>
    <w:rsid w:val="0083621F"/>
    <w:pPr>
      <w:jc w:val="both"/>
    </w:pPr>
    <w:rPr>
      <w:rFonts w:ascii="Times New Roman" w:hAnsi="Times New Roman"/>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uiPriority w:val="99"/>
    <w:semiHidden/>
    <w:rsid w:val="0083621F"/>
    <w:rPr>
      <w:lang w:eastAsia="en-US"/>
    </w:rPr>
  </w:style>
  <w:style w:type="character" w:styleId="FootnoteReference">
    <w:name w:val="footnote reference"/>
    <w:basedOn w:val="DefaultParagraphFont"/>
    <w:uiPriority w:val="99"/>
    <w:semiHidden/>
    <w:unhideWhenUsed/>
    <w:rsid w:val="0083621F"/>
    <w:rPr>
      <w:rFonts w:cs="Times New Roman"/>
      <w:vertAlign w:val="superscript"/>
    </w:rPr>
  </w:style>
  <w:style w:type="paragraph" w:styleId="Header">
    <w:name w:val="header"/>
    <w:basedOn w:val="Normal"/>
    <w:link w:val="HeaderChar"/>
    <w:uiPriority w:val="99"/>
    <w:unhideWhenUsed/>
    <w:rsid w:val="00735467"/>
    <w:pPr>
      <w:tabs>
        <w:tab w:val="center" w:pos="4513"/>
        <w:tab w:val="right" w:pos="9026"/>
      </w:tabs>
    </w:pPr>
  </w:style>
  <w:style w:type="character" w:customStyle="1" w:styleId="HeaderChar">
    <w:name w:val="Header Char"/>
    <w:basedOn w:val="DefaultParagraphFont"/>
    <w:link w:val="Header"/>
    <w:uiPriority w:val="99"/>
    <w:rsid w:val="00735467"/>
    <w:rPr>
      <w:rFonts w:ascii="Arial" w:hAnsi="Arial"/>
      <w:sz w:val="24"/>
      <w:szCs w:val="24"/>
      <w:lang w:eastAsia="en-US"/>
    </w:rPr>
  </w:style>
  <w:style w:type="paragraph" w:styleId="Footer">
    <w:name w:val="footer"/>
    <w:basedOn w:val="Normal"/>
    <w:link w:val="FooterChar"/>
    <w:uiPriority w:val="99"/>
    <w:unhideWhenUsed/>
    <w:rsid w:val="00735467"/>
    <w:pPr>
      <w:tabs>
        <w:tab w:val="center" w:pos="4513"/>
        <w:tab w:val="right" w:pos="9026"/>
      </w:tabs>
    </w:pPr>
  </w:style>
  <w:style w:type="character" w:customStyle="1" w:styleId="FooterChar">
    <w:name w:val="Footer Char"/>
    <w:basedOn w:val="DefaultParagraphFont"/>
    <w:link w:val="Footer"/>
    <w:uiPriority w:val="99"/>
    <w:rsid w:val="00735467"/>
    <w:rPr>
      <w:rFonts w:ascii="Arial" w:hAnsi="Arial"/>
      <w:sz w:val="24"/>
      <w:szCs w:val="24"/>
      <w:lang w:eastAsia="en-US"/>
    </w:rPr>
  </w:style>
  <w:style w:type="character" w:styleId="CommentReference">
    <w:name w:val="annotation reference"/>
    <w:basedOn w:val="DefaultParagraphFont"/>
    <w:uiPriority w:val="99"/>
    <w:semiHidden/>
    <w:unhideWhenUsed/>
    <w:rsid w:val="001F728C"/>
    <w:rPr>
      <w:sz w:val="16"/>
      <w:szCs w:val="16"/>
    </w:rPr>
  </w:style>
  <w:style w:type="paragraph" w:styleId="CommentText">
    <w:name w:val="annotation text"/>
    <w:basedOn w:val="Normal"/>
    <w:link w:val="CommentTextChar"/>
    <w:uiPriority w:val="99"/>
    <w:semiHidden/>
    <w:unhideWhenUsed/>
    <w:rsid w:val="001F728C"/>
    <w:rPr>
      <w:sz w:val="20"/>
      <w:szCs w:val="20"/>
    </w:rPr>
  </w:style>
  <w:style w:type="character" w:customStyle="1" w:styleId="CommentTextChar">
    <w:name w:val="Comment Text Char"/>
    <w:basedOn w:val="DefaultParagraphFont"/>
    <w:link w:val="CommentText"/>
    <w:uiPriority w:val="99"/>
    <w:semiHidden/>
    <w:rsid w:val="001F728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F728C"/>
    <w:rPr>
      <w:b/>
      <w:bCs/>
    </w:rPr>
  </w:style>
  <w:style w:type="character" w:customStyle="1" w:styleId="CommentSubjectChar">
    <w:name w:val="Comment Subject Char"/>
    <w:basedOn w:val="CommentTextChar"/>
    <w:link w:val="CommentSubject"/>
    <w:uiPriority w:val="99"/>
    <w:semiHidden/>
    <w:rsid w:val="001F728C"/>
    <w:rPr>
      <w:rFonts w:ascii="Arial" w:hAnsi="Arial"/>
      <w:b/>
      <w:bCs/>
      <w:lang w:eastAsia="en-US"/>
    </w:rPr>
  </w:style>
  <w:style w:type="paragraph" w:styleId="BalloonText">
    <w:name w:val="Balloon Text"/>
    <w:basedOn w:val="Normal"/>
    <w:link w:val="BalloonTextChar"/>
    <w:uiPriority w:val="99"/>
    <w:semiHidden/>
    <w:unhideWhenUsed/>
    <w:rsid w:val="001F7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28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4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B68B-1D86-43E6-84FE-5B86D659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2916</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Tokota</dc:creator>
  <cp:lastModifiedBy>HOME</cp:lastModifiedBy>
  <cp:revision>2</cp:revision>
  <cp:lastPrinted>2022-07-11T08:01:00Z</cp:lastPrinted>
  <dcterms:created xsi:type="dcterms:W3CDTF">2022-07-22T14:57:00Z</dcterms:created>
  <dcterms:modified xsi:type="dcterms:W3CDTF">2022-07-22T14:57:00Z</dcterms:modified>
</cp:coreProperties>
</file>