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2FD6F37" w:rsidR="00D450B5" w:rsidRPr="00454C8A" w:rsidRDefault="00A67616" w:rsidP="00772E4B">
      <w:pPr>
        <w:jc w:val="center"/>
        <w:rPr>
          <w:b/>
          <w:bCs/>
          <w:color w:val="0070C0"/>
          <w:lang w:val="en-GB"/>
        </w:rPr>
      </w:pPr>
      <w:r>
        <w:rPr>
          <w:b/>
          <w:bCs/>
          <w:lang w:val="en-GB"/>
        </w:rPr>
        <w:t>(</w:t>
      </w:r>
      <w:r w:rsidR="00D450B5" w:rsidRPr="00044B50">
        <w:rPr>
          <w:b/>
          <w:bCs/>
          <w:lang w:val="en-GB"/>
        </w:rPr>
        <w:t>EASTERN CAPE DIVISION,</w:t>
      </w:r>
      <w:r w:rsidR="00CA22C7">
        <w:rPr>
          <w:b/>
          <w:bCs/>
          <w:lang w:val="en-GB"/>
        </w:rPr>
        <w:t xml:space="preserve"> </w:t>
      </w:r>
      <w:r w:rsidR="00EC63CC">
        <w:rPr>
          <w:b/>
          <w:bCs/>
          <w:lang w:val="en-GB"/>
        </w:rPr>
        <w:t>EAST LONDON CIRCUIT COUR</w:t>
      </w:r>
      <w:r w:rsidR="00575A73">
        <w:rPr>
          <w:b/>
          <w:bCs/>
          <w:lang w:val="en-GB"/>
        </w:rPr>
        <w:t>T</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007B13CD" w:rsidR="00D450B5" w:rsidRPr="00044B50" w:rsidRDefault="00D450B5" w:rsidP="00772E4B">
      <w:pPr>
        <w:ind w:right="-52"/>
        <w:jc w:val="center"/>
        <w:rPr>
          <w:b/>
          <w:bCs/>
          <w:lang w:val="en-GB"/>
        </w:rPr>
      </w:pPr>
      <w:r w:rsidRPr="00044B50">
        <w:rPr>
          <w:lang w:val="en-GB"/>
        </w:rPr>
        <w:t xml:space="preserve">                                                                                           </w:t>
      </w:r>
      <w:r w:rsidR="006D6261">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7E28468C" w:rsidR="00E44987" w:rsidRPr="00044B50" w:rsidRDefault="00E44987" w:rsidP="008A75F3">
      <w:pPr>
        <w:ind w:left="5760" w:firstLine="720"/>
        <w:rPr>
          <w:lang w:val="en-GB"/>
        </w:rPr>
      </w:pPr>
      <w:r w:rsidRPr="00044B50">
        <w:rPr>
          <w:lang w:val="en-GB"/>
        </w:rPr>
        <w:t xml:space="preserve">Case no: </w:t>
      </w:r>
      <w:r w:rsidR="006D6261">
        <w:rPr>
          <w:lang w:val="en-GB"/>
        </w:rPr>
        <w:t>EL531/2020</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2DDD852F" w:rsidR="00D450B5" w:rsidRPr="00556CAE" w:rsidRDefault="006D6261" w:rsidP="00425615">
      <w:pPr>
        <w:tabs>
          <w:tab w:val="left" w:pos="7371"/>
        </w:tabs>
        <w:suppressAutoHyphens/>
        <w:ind w:right="-194"/>
        <w:jc w:val="both"/>
        <w:rPr>
          <w:b/>
          <w:lang w:val="en-GB"/>
        </w:rPr>
      </w:pPr>
      <w:r w:rsidRPr="00556CAE">
        <w:rPr>
          <w:b/>
          <w:lang w:val="en-GB"/>
        </w:rPr>
        <w:t xml:space="preserve">ONDELA SOKOMANI </w:t>
      </w:r>
      <w:r w:rsidR="000A6120">
        <w:rPr>
          <w:b/>
          <w:lang w:val="en-GB"/>
        </w:rPr>
        <w:tab/>
      </w:r>
      <w:r w:rsidR="00556CAE" w:rsidRPr="00556CAE">
        <w:rPr>
          <w:b/>
          <w:lang w:val="en-GB"/>
        </w:rPr>
        <w:t xml:space="preserve"> </w:t>
      </w:r>
      <w:r w:rsidRPr="00556CAE">
        <w:rPr>
          <w:b/>
          <w:lang w:val="en-GB"/>
        </w:rPr>
        <w:t>First Applicant</w:t>
      </w:r>
    </w:p>
    <w:p w14:paraId="06CAA2B8" w14:textId="59EA348C" w:rsidR="00556CAE" w:rsidRPr="00556CAE" w:rsidRDefault="00556CAE" w:rsidP="00425615">
      <w:pPr>
        <w:tabs>
          <w:tab w:val="left" w:pos="7088"/>
        </w:tabs>
        <w:suppressAutoHyphens/>
        <w:ind w:right="-194"/>
        <w:jc w:val="both"/>
        <w:rPr>
          <w:b/>
          <w:lang w:val="en-GB"/>
        </w:rPr>
      </w:pPr>
      <w:r w:rsidRPr="00556CAE">
        <w:rPr>
          <w:b/>
          <w:lang w:val="en-GB"/>
        </w:rPr>
        <w:t xml:space="preserve">ANELISA SONGQUMASE </w:t>
      </w:r>
      <w:r w:rsidRPr="00556CAE">
        <w:rPr>
          <w:b/>
          <w:lang w:val="en-GB"/>
        </w:rPr>
        <w:tab/>
        <w:t>Second Applicant</w:t>
      </w:r>
    </w:p>
    <w:p w14:paraId="08EED660" w14:textId="704EC9B4" w:rsidR="00556CAE" w:rsidRPr="00556CAE" w:rsidRDefault="00556CAE" w:rsidP="00425615">
      <w:pPr>
        <w:tabs>
          <w:tab w:val="left" w:pos="7371"/>
        </w:tabs>
        <w:suppressAutoHyphens/>
        <w:ind w:right="-194"/>
        <w:jc w:val="both"/>
        <w:rPr>
          <w:b/>
          <w:lang w:val="en-GB"/>
        </w:rPr>
      </w:pPr>
      <w:r w:rsidRPr="00556CAE">
        <w:rPr>
          <w:b/>
          <w:lang w:val="en-GB"/>
        </w:rPr>
        <w:t xml:space="preserve">FUNDISWA SIZANI </w:t>
      </w:r>
      <w:r w:rsidRPr="00556CAE">
        <w:rPr>
          <w:b/>
          <w:lang w:val="en-GB"/>
        </w:rPr>
        <w:tab/>
        <w:t>Third Applicant</w:t>
      </w:r>
    </w:p>
    <w:p w14:paraId="199CF621" w14:textId="19865DAB" w:rsidR="00556CAE" w:rsidRPr="00556CAE" w:rsidRDefault="00556CAE" w:rsidP="00425615">
      <w:pPr>
        <w:tabs>
          <w:tab w:val="left" w:pos="7088"/>
        </w:tabs>
        <w:suppressAutoHyphens/>
        <w:ind w:right="-194"/>
        <w:jc w:val="both"/>
        <w:rPr>
          <w:b/>
          <w:lang w:val="en-GB"/>
        </w:rPr>
      </w:pPr>
      <w:r w:rsidRPr="00556CAE">
        <w:rPr>
          <w:b/>
          <w:lang w:val="en-GB"/>
        </w:rPr>
        <w:t xml:space="preserve">LUSAPHO COTO </w:t>
      </w:r>
      <w:r w:rsidR="006A3375">
        <w:rPr>
          <w:b/>
          <w:lang w:val="en-GB"/>
        </w:rPr>
        <w:tab/>
        <w:t xml:space="preserve"> </w:t>
      </w:r>
      <w:r w:rsidR="00425615">
        <w:rPr>
          <w:b/>
          <w:lang w:val="en-GB"/>
        </w:rPr>
        <w:tab/>
      </w:r>
      <w:r w:rsidR="006A3375">
        <w:rPr>
          <w:b/>
          <w:lang w:val="en-GB"/>
        </w:rPr>
        <w:t>Fourth</w:t>
      </w:r>
      <w:r w:rsidRPr="00556CAE">
        <w:rPr>
          <w:b/>
          <w:lang w:val="en-GB"/>
        </w:rPr>
        <w:t xml:space="preserve"> Applicant</w:t>
      </w:r>
    </w:p>
    <w:p w14:paraId="36A5DE8F" w14:textId="35E6FA81" w:rsidR="00556CAE" w:rsidRPr="00556CAE" w:rsidRDefault="00556CAE" w:rsidP="00425615">
      <w:pPr>
        <w:tabs>
          <w:tab w:val="left" w:pos="7371"/>
        </w:tabs>
        <w:suppressAutoHyphens/>
        <w:ind w:right="-194"/>
        <w:jc w:val="both"/>
        <w:rPr>
          <w:b/>
          <w:lang w:val="en-GB"/>
        </w:rPr>
      </w:pPr>
      <w:r w:rsidRPr="00556CAE">
        <w:rPr>
          <w:b/>
          <w:lang w:val="en-GB"/>
        </w:rPr>
        <w:t xml:space="preserve">XOLANI </w:t>
      </w:r>
      <w:r w:rsidR="000A6120" w:rsidRPr="00556CAE">
        <w:rPr>
          <w:b/>
          <w:lang w:val="en-GB"/>
        </w:rPr>
        <w:t xml:space="preserve">LOBESE </w:t>
      </w:r>
      <w:r w:rsidR="000A6120">
        <w:rPr>
          <w:b/>
          <w:lang w:val="en-GB"/>
        </w:rPr>
        <w:tab/>
        <w:t xml:space="preserve"> Fifth</w:t>
      </w:r>
      <w:r w:rsidRPr="00556CAE">
        <w:rPr>
          <w:b/>
          <w:lang w:val="en-GB"/>
        </w:rPr>
        <w:t xml:space="preserve"> Applicant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36EC44CD" w14:textId="499A90AE" w:rsidR="000A6120" w:rsidRDefault="000A6120" w:rsidP="000A6120">
      <w:pPr>
        <w:tabs>
          <w:tab w:val="left" w:pos="7088"/>
        </w:tabs>
        <w:ind w:right="-194"/>
        <w:jc w:val="both"/>
        <w:rPr>
          <w:b/>
          <w:lang w:val="en-GB"/>
        </w:rPr>
      </w:pPr>
      <w:r w:rsidRPr="000A6120">
        <w:rPr>
          <w:b/>
          <w:lang w:val="en-GB"/>
        </w:rPr>
        <w:t xml:space="preserve">THE AFRICAN NATIONAL CONGRESS </w:t>
      </w:r>
      <w:r w:rsidRPr="000A6120">
        <w:rPr>
          <w:b/>
          <w:lang w:val="en-GB"/>
        </w:rPr>
        <w:tab/>
      </w:r>
      <w:r>
        <w:rPr>
          <w:b/>
          <w:lang w:val="en-GB"/>
        </w:rPr>
        <w:t xml:space="preserve"> </w:t>
      </w:r>
      <w:r w:rsidRPr="000A6120">
        <w:rPr>
          <w:b/>
          <w:lang w:val="en-GB"/>
        </w:rPr>
        <w:t>First Respondent</w:t>
      </w:r>
    </w:p>
    <w:p w14:paraId="1102D9F9" w14:textId="77777777" w:rsidR="000A6120" w:rsidRDefault="000A6120" w:rsidP="000A6120">
      <w:pPr>
        <w:tabs>
          <w:tab w:val="left" w:pos="6804"/>
          <w:tab w:val="left" w:pos="6946"/>
        </w:tabs>
        <w:ind w:right="-194"/>
        <w:rPr>
          <w:b/>
          <w:lang w:val="en-GB"/>
        </w:rPr>
      </w:pPr>
      <w:r>
        <w:rPr>
          <w:b/>
          <w:lang w:val="en-GB"/>
        </w:rPr>
        <w:t xml:space="preserve">NATIONAL EXECUTIVE COMMITTEE </w:t>
      </w:r>
      <w:r>
        <w:rPr>
          <w:b/>
          <w:lang w:val="en-GB"/>
        </w:rPr>
        <w:tab/>
        <w:t>Second Respondent</w:t>
      </w:r>
    </w:p>
    <w:p w14:paraId="0ADB50B8" w14:textId="77777777" w:rsidR="006A3375" w:rsidRDefault="000A6120" w:rsidP="000A6120">
      <w:pPr>
        <w:tabs>
          <w:tab w:val="left" w:pos="7088"/>
          <w:tab w:val="left" w:pos="7655"/>
        </w:tabs>
        <w:ind w:right="-194"/>
        <w:rPr>
          <w:b/>
          <w:lang w:val="en-GB"/>
        </w:rPr>
      </w:pPr>
      <w:r>
        <w:rPr>
          <w:b/>
          <w:lang w:val="en-GB"/>
        </w:rPr>
        <w:t xml:space="preserve">EASTERN CAPE PROVINCIAL TASK TEAM (ANC) </w:t>
      </w:r>
      <w:r>
        <w:rPr>
          <w:b/>
          <w:lang w:val="en-GB"/>
        </w:rPr>
        <w:tab/>
        <w:t>Third Respondent</w:t>
      </w:r>
    </w:p>
    <w:p w14:paraId="4F0E2CE6" w14:textId="2E295F9B" w:rsidR="00C246F2" w:rsidRPr="000A6120" w:rsidRDefault="006A3375" w:rsidP="006A3375">
      <w:pPr>
        <w:tabs>
          <w:tab w:val="left" w:pos="6946"/>
          <w:tab w:val="left" w:pos="7371"/>
          <w:tab w:val="left" w:pos="7655"/>
        </w:tabs>
        <w:ind w:right="-194"/>
        <w:rPr>
          <w:b/>
          <w:bCs/>
          <w:lang w:val="en-GB"/>
        </w:rPr>
      </w:pPr>
      <w:r>
        <w:rPr>
          <w:b/>
          <w:lang w:val="en-GB"/>
        </w:rPr>
        <w:t xml:space="preserve">DR WB RUBUSANA REGIONAL TASK TEAM (ANC) </w:t>
      </w:r>
      <w:r>
        <w:rPr>
          <w:b/>
          <w:lang w:val="en-GB"/>
        </w:rPr>
        <w:tab/>
        <w:t>Fourth Respondent</w:t>
      </w:r>
    </w:p>
    <w:p w14:paraId="76889E9C" w14:textId="24974D08" w:rsidR="00D450B5" w:rsidRPr="00044B50" w:rsidRDefault="00D450B5" w:rsidP="00425615">
      <w:pPr>
        <w:ind w:right="-194"/>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16711D48" w14:textId="0C7D110D" w:rsidR="003C1CE9" w:rsidRDefault="003C1CE9" w:rsidP="00682CE5">
      <w:pPr>
        <w:autoSpaceDE w:val="0"/>
        <w:autoSpaceDN w:val="0"/>
        <w:adjustRightInd w:val="0"/>
        <w:jc w:val="both"/>
        <w:rPr>
          <w:lang w:val="en-GB"/>
        </w:rPr>
      </w:pPr>
    </w:p>
    <w:p w14:paraId="3503D48C" w14:textId="717BCA52" w:rsidR="003C1CE9" w:rsidRDefault="003C1CE9" w:rsidP="00682CE5">
      <w:pPr>
        <w:autoSpaceDE w:val="0"/>
        <w:autoSpaceDN w:val="0"/>
        <w:adjustRightInd w:val="0"/>
        <w:jc w:val="both"/>
        <w:rPr>
          <w:b/>
          <w:bCs/>
          <w:lang w:val="en-GB"/>
        </w:rPr>
      </w:pPr>
      <w:r>
        <w:rPr>
          <w:b/>
          <w:bCs/>
          <w:lang w:val="en-GB"/>
        </w:rPr>
        <w:lastRenderedPageBreak/>
        <w:t>Background</w:t>
      </w:r>
    </w:p>
    <w:p w14:paraId="7350E543" w14:textId="77777777" w:rsidR="00FC2AC4" w:rsidRDefault="00FC2AC4" w:rsidP="00FC2AC4">
      <w:pPr>
        <w:pStyle w:val="ListParagraph"/>
        <w:autoSpaceDE w:val="0"/>
        <w:autoSpaceDN w:val="0"/>
        <w:adjustRightInd w:val="0"/>
        <w:ind w:left="0"/>
        <w:jc w:val="both"/>
        <w:rPr>
          <w:lang w:val="en-GB"/>
        </w:rPr>
      </w:pPr>
    </w:p>
    <w:p w14:paraId="067766A9" w14:textId="50514F4A" w:rsidR="00FC2AC4" w:rsidRPr="0098671D" w:rsidRDefault="0098671D" w:rsidP="0098671D">
      <w:pPr>
        <w:autoSpaceDE w:val="0"/>
        <w:autoSpaceDN w:val="0"/>
        <w:adjustRightInd w:val="0"/>
        <w:jc w:val="both"/>
        <w:rPr>
          <w:lang w:val="en-GB"/>
        </w:rPr>
      </w:pPr>
      <w:r w:rsidRPr="00992016">
        <w:rPr>
          <w:lang w:val="en-GB"/>
        </w:rPr>
        <w:t>[1]</w:t>
      </w:r>
      <w:r w:rsidRPr="00992016">
        <w:rPr>
          <w:lang w:val="en-GB"/>
        </w:rPr>
        <w:tab/>
      </w:r>
      <w:r w:rsidR="00FC506A" w:rsidRPr="0098671D">
        <w:rPr>
          <w:lang w:val="en-GB"/>
        </w:rPr>
        <w:t>The applicants launched an urgent application</w:t>
      </w:r>
      <w:r w:rsidR="000F4A5A" w:rsidRPr="0098671D">
        <w:rPr>
          <w:lang w:val="en-GB"/>
        </w:rPr>
        <w:t xml:space="preserve"> to </w:t>
      </w:r>
      <w:r w:rsidR="001B6BC2" w:rsidRPr="0098671D">
        <w:rPr>
          <w:lang w:val="en-GB"/>
        </w:rPr>
        <w:t>interdict</w:t>
      </w:r>
      <w:r w:rsidR="000F4A5A" w:rsidRPr="0098671D">
        <w:rPr>
          <w:lang w:val="en-GB"/>
        </w:rPr>
        <w:t xml:space="preserve"> </w:t>
      </w:r>
      <w:r w:rsidR="00BB11E3" w:rsidRPr="0098671D">
        <w:rPr>
          <w:lang w:val="en-GB"/>
        </w:rPr>
        <w:t>an ANC</w:t>
      </w:r>
      <w:r w:rsidR="000F4A5A" w:rsidRPr="0098671D">
        <w:rPr>
          <w:lang w:val="en-GB"/>
        </w:rPr>
        <w:t xml:space="preserve"> regional conference</w:t>
      </w:r>
      <w:r w:rsidR="00986F36" w:rsidRPr="0098671D">
        <w:rPr>
          <w:lang w:val="en-GB"/>
        </w:rPr>
        <w:t>,</w:t>
      </w:r>
      <w:r w:rsidR="00454C8A" w:rsidRPr="0098671D">
        <w:rPr>
          <w:lang w:val="en-GB"/>
        </w:rPr>
        <w:t xml:space="preserve"> which had been</w:t>
      </w:r>
      <w:r w:rsidR="00986F36" w:rsidRPr="0098671D">
        <w:rPr>
          <w:lang w:val="en-GB"/>
        </w:rPr>
        <w:t xml:space="preserve"> scheduled for 8 and 9 April 2022</w:t>
      </w:r>
      <w:r w:rsidR="000F4A5A" w:rsidRPr="0098671D">
        <w:rPr>
          <w:lang w:val="en-GB"/>
        </w:rPr>
        <w:t>.</w:t>
      </w:r>
      <w:r w:rsidR="00430561" w:rsidRPr="0098671D">
        <w:rPr>
          <w:lang w:val="en-GB"/>
        </w:rPr>
        <w:t xml:space="preserve"> The</w:t>
      </w:r>
      <w:r w:rsidR="00454C8A" w:rsidRPr="0098671D">
        <w:rPr>
          <w:lang w:val="en-GB"/>
        </w:rPr>
        <w:t>y</w:t>
      </w:r>
      <w:r w:rsidR="00430561" w:rsidRPr="0098671D">
        <w:rPr>
          <w:lang w:val="en-GB"/>
        </w:rPr>
        <w:t xml:space="preserve"> claimed that they had been excluded from participation, affecting their rights to political freedom, due to various irregularities. </w:t>
      </w:r>
      <w:r w:rsidR="009358E4" w:rsidRPr="0098671D">
        <w:rPr>
          <w:lang w:val="en-GB"/>
        </w:rPr>
        <w:t xml:space="preserve">In addition to non-existing and deceased ANC members </w:t>
      </w:r>
      <w:r w:rsidR="001F64ED" w:rsidRPr="0098671D">
        <w:rPr>
          <w:lang w:val="en-GB"/>
        </w:rPr>
        <w:t xml:space="preserve">reflecting </w:t>
      </w:r>
      <w:r w:rsidR="009358E4" w:rsidRPr="0098671D">
        <w:rPr>
          <w:lang w:val="en-GB"/>
        </w:rPr>
        <w:t xml:space="preserve">as having participated in Branch General Meetings (BGMs), it was alleged that an ‘out of term’ Provincial Executive Committee (PEC) had disbanded various </w:t>
      </w:r>
      <w:r w:rsidR="00306C56" w:rsidRPr="0098671D">
        <w:rPr>
          <w:lang w:val="en-GB"/>
        </w:rPr>
        <w:t>Branch Executive Committees</w:t>
      </w:r>
      <w:r w:rsidR="00033E14" w:rsidRPr="0098671D">
        <w:rPr>
          <w:lang w:val="en-GB"/>
        </w:rPr>
        <w:t xml:space="preserve"> (BECs)</w:t>
      </w:r>
      <w:r w:rsidR="00A917DF" w:rsidRPr="0098671D">
        <w:rPr>
          <w:lang w:val="en-GB"/>
        </w:rPr>
        <w:t xml:space="preserve"> and appointed new Branch Task Teams (BTTs) to lead the branche</w:t>
      </w:r>
      <w:r w:rsidR="0052136B" w:rsidRPr="0098671D">
        <w:rPr>
          <w:lang w:val="en-GB"/>
        </w:rPr>
        <w:t>s, without due process having been followed.</w:t>
      </w:r>
      <w:r w:rsidR="009C401F" w:rsidRPr="0098671D">
        <w:rPr>
          <w:lang w:val="en-GB"/>
        </w:rPr>
        <w:t xml:space="preserve"> It was also alleged that there had been non-compliance with the ANC Guidelines for Branch, Regional and Provincial Conferences</w:t>
      </w:r>
      <w:r w:rsidR="0063144C" w:rsidRPr="0098671D">
        <w:rPr>
          <w:lang w:val="en-GB"/>
        </w:rPr>
        <w:t xml:space="preserve"> (‘the Guidelines’)</w:t>
      </w:r>
      <w:r w:rsidR="009C401F" w:rsidRPr="0098671D">
        <w:rPr>
          <w:lang w:val="en-GB"/>
        </w:rPr>
        <w:t xml:space="preserve">, as adopted by the </w:t>
      </w:r>
      <w:r w:rsidR="00930A30" w:rsidRPr="0098671D">
        <w:rPr>
          <w:lang w:val="en-GB"/>
        </w:rPr>
        <w:t>National Executive Committee (</w:t>
      </w:r>
      <w:r w:rsidR="009C401F" w:rsidRPr="0098671D">
        <w:rPr>
          <w:lang w:val="en-GB"/>
        </w:rPr>
        <w:t>NEC</w:t>
      </w:r>
      <w:r w:rsidR="00930A30" w:rsidRPr="0098671D">
        <w:rPr>
          <w:lang w:val="en-GB"/>
        </w:rPr>
        <w:t>)</w:t>
      </w:r>
      <w:r w:rsidR="009C401F" w:rsidRPr="0098671D">
        <w:rPr>
          <w:lang w:val="en-GB"/>
        </w:rPr>
        <w:t xml:space="preserve"> of the party.</w:t>
      </w:r>
      <w:r w:rsidR="00353D7F" w:rsidRPr="0098671D">
        <w:rPr>
          <w:lang w:val="en-GB"/>
        </w:rPr>
        <w:t xml:space="preserve"> The application was opposed by the third and fourth respondents</w:t>
      </w:r>
      <w:r w:rsidR="00296D16" w:rsidRPr="0098671D">
        <w:rPr>
          <w:lang w:val="en-GB"/>
        </w:rPr>
        <w:t xml:space="preserve"> (‘the respondents’)</w:t>
      </w:r>
      <w:r w:rsidR="00353D7F" w:rsidRPr="0098671D">
        <w:rPr>
          <w:lang w:val="en-GB"/>
        </w:rPr>
        <w:t>.</w:t>
      </w:r>
    </w:p>
    <w:p w14:paraId="608B1303" w14:textId="77777777" w:rsidR="00BB23E5" w:rsidRDefault="00BB23E5" w:rsidP="00BB23E5">
      <w:pPr>
        <w:pStyle w:val="ListParagraph"/>
        <w:autoSpaceDE w:val="0"/>
        <w:autoSpaceDN w:val="0"/>
        <w:adjustRightInd w:val="0"/>
        <w:ind w:left="0"/>
        <w:jc w:val="both"/>
        <w:rPr>
          <w:lang w:val="en-GB"/>
        </w:rPr>
      </w:pPr>
    </w:p>
    <w:p w14:paraId="526533C7" w14:textId="4F2092AE" w:rsidR="00BB23E5" w:rsidRPr="0098671D" w:rsidRDefault="0098671D" w:rsidP="0098671D">
      <w:pPr>
        <w:autoSpaceDE w:val="0"/>
        <w:autoSpaceDN w:val="0"/>
        <w:adjustRightInd w:val="0"/>
        <w:jc w:val="both"/>
        <w:rPr>
          <w:lang w:val="en-GB"/>
        </w:rPr>
      </w:pPr>
      <w:r>
        <w:rPr>
          <w:lang w:val="en-GB"/>
        </w:rPr>
        <w:t>[2]</w:t>
      </w:r>
      <w:r>
        <w:rPr>
          <w:lang w:val="en-GB"/>
        </w:rPr>
        <w:tab/>
      </w:r>
      <w:r w:rsidR="00BB23E5" w:rsidRPr="0098671D">
        <w:rPr>
          <w:lang w:val="en-GB"/>
        </w:rPr>
        <w:t xml:space="preserve">On 7 April 2022, this Court (per Mjali J) issued a rule </w:t>
      </w:r>
      <w:r w:rsidR="00BB23E5" w:rsidRPr="0098671D">
        <w:rPr>
          <w:i/>
          <w:iCs/>
          <w:lang w:val="en-GB"/>
        </w:rPr>
        <w:t>nisi</w:t>
      </w:r>
      <w:r w:rsidR="00BB23E5" w:rsidRPr="0098671D">
        <w:rPr>
          <w:lang w:val="en-GB"/>
        </w:rPr>
        <w:t xml:space="preserve"> calling upon the respondents to show cause why the following orders should not be confirmed:</w:t>
      </w:r>
    </w:p>
    <w:p w14:paraId="0F804365" w14:textId="31FA06A1" w:rsidR="00BB23E5" w:rsidRPr="0098671D" w:rsidRDefault="0098671D" w:rsidP="0098671D">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BB23E5" w:rsidRPr="0098671D">
        <w:rPr>
          <w:lang w:val="en-GB"/>
        </w:rPr>
        <w:t>That the Branch Biennial General Meetings (BBGMs) and B</w:t>
      </w:r>
      <w:r w:rsidR="008A532F" w:rsidRPr="0098671D">
        <w:rPr>
          <w:lang w:val="en-GB"/>
        </w:rPr>
        <w:t xml:space="preserve">GMs </w:t>
      </w:r>
      <w:r w:rsidR="00BB23E5" w:rsidRPr="0098671D">
        <w:rPr>
          <w:lang w:val="en-GB"/>
        </w:rPr>
        <w:t xml:space="preserve">conducted during the months of February and March 2022 in the Dr WB Rubusana region of the ANC were conducted in an unconstitutional and unlawful manner. </w:t>
      </w:r>
    </w:p>
    <w:p w14:paraId="46A634F6" w14:textId="3E1EA370" w:rsidR="00BB23E5" w:rsidRPr="0098671D" w:rsidRDefault="0098671D" w:rsidP="0098671D">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BB23E5" w:rsidRPr="0098671D">
        <w:rPr>
          <w:lang w:val="en-GB"/>
        </w:rPr>
        <w:t>That the decisions, resolutions and outcomes of the above meetings</w:t>
      </w:r>
      <w:r w:rsidR="008A532F" w:rsidRPr="0098671D">
        <w:rPr>
          <w:lang w:val="en-GB"/>
        </w:rPr>
        <w:t xml:space="preserve"> (‘the </w:t>
      </w:r>
      <w:r w:rsidR="002639B0" w:rsidRPr="0098671D">
        <w:rPr>
          <w:lang w:val="en-GB"/>
        </w:rPr>
        <w:t xml:space="preserve">branch </w:t>
      </w:r>
      <w:r w:rsidR="008A532F" w:rsidRPr="0098671D">
        <w:rPr>
          <w:lang w:val="en-GB"/>
        </w:rPr>
        <w:t>meetings’)</w:t>
      </w:r>
      <w:r w:rsidR="00BB23E5" w:rsidRPr="0098671D">
        <w:rPr>
          <w:lang w:val="en-GB"/>
        </w:rPr>
        <w:t xml:space="preserve"> are void.</w:t>
      </w:r>
    </w:p>
    <w:p w14:paraId="714A8ED7" w14:textId="77777777" w:rsidR="00BB23E5" w:rsidRPr="004E2F8E" w:rsidRDefault="00BB23E5" w:rsidP="00BB23E5">
      <w:pPr>
        <w:pStyle w:val="ListParagraph"/>
        <w:autoSpaceDE w:val="0"/>
        <w:autoSpaceDN w:val="0"/>
        <w:adjustRightInd w:val="0"/>
        <w:ind w:left="0"/>
        <w:jc w:val="both"/>
        <w:rPr>
          <w:lang w:val="en-GB"/>
        </w:rPr>
      </w:pPr>
    </w:p>
    <w:p w14:paraId="672EACBE" w14:textId="7FFC528D" w:rsidR="00454C8A" w:rsidRPr="0098671D" w:rsidRDefault="0098671D" w:rsidP="0098671D">
      <w:pPr>
        <w:autoSpaceDE w:val="0"/>
        <w:autoSpaceDN w:val="0"/>
        <w:adjustRightInd w:val="0"/>
        <w:jc w:val="both"/>
        <w:rPr>
          <w:lang w:val="en-GB"/>
        </w:rPr>
      </w:pPr>
      <w:r>
        <w:rPr>
          <w:lang w:val="en-GB"/>
        </w:rPr>
        <w:t>[3]</w:t>
      </w:r>
      <w:r>
        <w:rPr>
          <w:lang w:val="en-GB"/>
        </w:rPr>
        <w:tab/>
      </w:r>
      <w:r w:rsidR="00BB23E5" w:rsidRPr="0098671D">
        <w:rPr>
          <w:lang w:val="en-GB"/>
        </w:rPr>
        <w:t xml:space="preserve">The ANC Regional Conference of the Dr WB Rubusana region, scheduled to commence on 8 April 2022, was also interdicted pending the finalisation of all internal appeals and subject to the ANC ensuring compliance with its own constitution ‘and the resolution of the cause of complaint by the applicants’. </w:t>
      </w:r>
      <w:r w:rsidR="00F6633F" w:rsidRPr="0098671D">
        <w:rPr>
          <w:lang w:val="en-GB"/>
        </w:rPr>
        <w:t xml:space="preserve">The third and fourth respondents were ordered to pay the costs of the application, including the costs of two counsel. </w:t>
      </w:r>
    </w:p>
    <w:p w14:paraId="686DE0E9" w14:textId="77777777" w:rsidR="00454C8A" w:rsidRDefault="00454C8A" w:rsidP="00454C8A">
      <w:pPr>
        <w:pStyle w:val="ListParagraph"/>
        <w:autoSpaceDE w:val="0"/>
        <w:autoSpaceDN w:val="0"/>
        <w:adjustRightInd w:val="0"/>
        <w:ind w:left="0"/>
        <w:jc w:val="both"/>
        <w:rPr>
          <w:lang w:val="en-GB"/>
        </w:rPr>
      </w:pPr>
    </w:p>
    <w:p w14:paraId="5456C743" w14:textId="18069C54" w:rsidR="00BB23E5" w:rsidRPr="0098671D" w:rsidRDefault="0098671D" w:rsidP="0098671D">
      <w:pPr>
        <w:autoSpaceDE w:val="0"/>
        <w:autoSpaceDN w:val="0"/>
        <w:adjustRightInd w:val="0"/>
        <w:jc w:val="both"/>
        <w:rPr>
          <w:lang w:val="en-GB"/>
        </w:rPr>
      </w:pPr>
      <w:r w:rsidRPr="00575A73">
        <w:rPr>
          <w:lang w:val="en-GB"/>
        </w:rPr>
        <w:t>[4]</w:t>
      </w:r>
      <w:r w:rsidRPr="00575A73">
        <w:rPr>
          <w:lang w:val="en-GB"/>
        </w:rPr>
        <w:tab/>
      </w:r>
      <w:r w:rsidR="00300195" w:rsidRPr="0098671D">
        <w:rPr>
          <w:lang w:val="en-GB"/>
        </w:rPr>
        <w:t xml:space="preserve">The </w:t>
      </w:r>
      <w:r w:rsidR="00DA6708" w:rsidRPr="0098671D">
        <w:rPr>
          <w:lang w:val="en-GB"/>
        </w:rPr>
        <w:t xml:space="preserve">key </w:t>
      </w:r>
      <w:r w:rsidR="00300195" w:rsidRPr="0098671D">
        <w:rPr>
          <w:lang w:val="en-GB"/>
        </w:rPr>
        <w:t>issue</w:t>
      </w:r>
      <w:r w:rsidR="009E7F1B" w:rsidRPr="0098671D">
        <w:rPr>
          <w:lang w:val="en-GB"/>
        </w:rPr>
        <w:t>s</w:t>
      </w:r>
      <w:r w:rsidR="00300195" w:rsidRPr="0098671D">
        <w:rPr>
          <w:lang w:val="en-GB"/>
        </w:rPr>
        <w:t xml:space="preserve"> to be determined </w:t>
      </w:r>
      <w:r w:rsidR="009E7F1B" w:rsidRPr="0098671D">
        <w:rPr>
          <w:lang w:val="en-GB"/>
        </w:rPr>
        <w:t>are</w:t>
      </w:r>
      <w:r w:rsidR="00300195" w:rsidRPr="0098671D">
        <w:rPr>
          <w:lang w:val="en-GB"/>
        </w:rPr>
        <w:t xml:space="preserve"> whether </w:t>
      </w:r>
      <w:r w:rsidR="00CB02A6" w:rsidRPr="0098671D">
        <w:rPr>
          <w:lang w:val="en-GB"/>
        </w:rPr>
        <w:t>the</w:t>
      </w:r>
      <w:r w:rsidR="00300195" w:rsidRPr="0098671D">
        <w:rPr>
          <w:lang w:val="en-GB"/>
        </w:rPr>
        <w:t xml:space="preserve"> rule </w:t>
      </w:r>
      <w:r w:rsidR="00300195" w:rsidRPr="0098671D">
        <w:rPr>
          <w:i/>
          <w:iCs/>
          <w:lang w:val="en-GB"/>
        </w:rPr>
        <w:t>nisi</w:t>
      </w:r>
      <w:r w:rsidR="00300195" w:rsidRPr="0098671D">
        <w:rPr>
          <w:lang w:val="en-GB"/>
        </w:rPr>
        <w:t xml:space="preserve"> issued on 7 April 2022 should be confirmed, or whether the matter is moot given that internal appeals </w:t>
      </w:r>
      <w:r w:rsidR="00300195" w:rsidRPr="0098671D">
        <w:rPr>
          <w:lang w:val="en-GB"/>
        </w:rPr>
        <w:lastRenderedPageBreak/>
        <w:t>have been concluded and considering that the interdicted conference was subsequently convened</w:t>
      </w:r>
      <w:r w:rsidR="00454C8A" w:rsidRPr="0098671D">
        <w:rPr>
          <w:lang w:val="en-GB"/>
        </w:rPr>
        <w:t>, and what cost</w:t>
      </w:r>
      <w:r w:rsidR="00A67616" w:rsidRPr="0098671D">
        <w:rPr>
          <w:lang w:val="en-GB"/>
        </w:rPr>
        <w:t>s</w:t>
      </w:r>
      <w:r w:rsidR="00454C8A" w:rsidRPr="0098671D">
        <w:rPr>
          <w:lang w:val="en-GB"/>
        </w:rPr>
        <w:t xml:space="preserve"> order should be made.</w:t>
      </w:r>
    </w:p>
    <w:p w14:paraId="20274A9B" w14:textId="77777777" w:rsidR="00BB23E5" w:rsidRDefault="00BB23E5" w:rsidP="00BB23E5">
      <w:pPr>
        <w:pStyle w:val="ListParagraph"/>
        <w:autoSpaceDE w:val="0"/>
        <w:autoSpaceDN w:val="0"/>
        <w:adjustRightInd w:val="0"/>
        <w:ind w:left="0"/>
        <w:jc w:val="both"/>
        <w:rPr>
          <w:lang w:val="en-GB"/>
        </w:rPr>
      </w:pPr>
    </w:p>
    <w:p w14:paraId="629C2A91" w14:textId="71BE8764" w:rsidR="006A620B" w:rsidRPr="0098671D" w:rsidRDefault="0098671D" w:rsidP="0098671D">
      <w:pPr>
        <w:autoSpaceDE w:val="0"/>
        <w:autoSpaceDN w:val="0"/>
        <w:adjustRightInd w:val="0"/>
        <w:jc w:val="both"/>
        <w:rPr>
          <w:lang w:val="en-GB"/>
        </w:rPr>
      </w:pPr>
      <w:r w:rsidRPr="005F1DCA">
        <w:rPr>
          <w:lang w:val="en-GB"/>
        </w:rPr>
        <w:t>[5]</w:t>
      </w:r>
      <w:r w:rsidRPr="005F1DCA">
        <w:rPr>
          <w:lang w:val="en-GB"/>
        </w:rPr>
        <w:tab/>
      </w:r>
      <w:r w:rsidR="00BC1669" w:rsidRPr="0098671D">
        <w:rPr>
          <w:lang w:val="en-GB"/>
        </w:rPr>
        <w:t>The applicants were, respectively, members in good standing of Ward</w:t>
      </w:r>
      <w:r w:rsidR="00454C8A" w:rsidRPr="0098671D">
        <w:rPr>
          <w:lang w:val="en-GB"/>
        </w:rPr>
        <w:t>s</w:t>
      </w:r>
      <w:r w:rsidR="00BC1669" w:rsidRPr="0098671D">
        <w:rPr>
          <w:lang w:val="en-GB"/>
        </w:rPr>
        <w:t xml:space="preserve"> 22, 16, 46, 40 and 34 </w:t>
      </w:r>
      <w:r w:rsidR="00B14386" w:rsidRPr="0098671D">
        <w:rPr>
          <w:lang w:val="en-GB"/>
        </w:rPr>
        <w:t>of the ANC in the Dr WB Rubusana Region.</w:t>
      </w:r>
      <w:r w:rsidR="00D2570A" w:rsidRPr="0098671D">
        <w:rPr>
          <w:lang w:val="en-GB"/>
        </w:rPr>
        <w:t xml:space="preserve"> In addition to raising </w:t>
      </w:r>
      <w:r w:rsidR="00E945D5" w:rsidRPr="0098671D">
        <w:rPr>
          <w:lang w:val="en-GB"/>
        </w:rPr>
        <w:t>various irregularities in their own branches,</w:t>
      </w:r>
      <w:r w:rsidR="008B7266">
        <w:rPr>
          <w:rStyle w:val="FootnoteReference"/>
          <w:lang w:val="en-GB"/>
        </w:rPr>
        <w:footnoteReference w:id="1"/>
      </w:r>
      <w:r w:rsidR="00E945D5" w:rsidRPr="0098671D">
        <w:rPr>
          <w:lang w:val="en-GB"/>
        </w:rPr>
        <w:t xml:space="preserve"> the applicants </w:t>
      </w:r>
      <w:r w:rsidR="00D2570A" w:rsidRPr="0098671D">
        <w:rPr>
          <w:lang w:val="en-GB"/>
        </w:rPr>
        <w:t xml:space="preserve">purported to challenge the unlawful </w:t>
      </w:r>
      <w:r w:rsidR="00E945D5" w:rsidRPr="0098671D">
        <w:rPr>
          <w:lang w:val="en-GB"/>
        </w:rPr>
        <w:t xml:space="preserve">disbandment of </w:t>
      </w:r>
      <w:r w:rsidR="0047007B" w:rsidRPr="0098671D">
        <w:rPr>
          <w:lang w:val="en-GB"/>
        </w:rPr>
        <w:t xml:space="preserve">branch executive committee structures of the party in </w:t>
      </w:r>
      <w:r w:rsidR="00E945D5" w:rsidRPr="0098671D">
        <w:rPr>
          <w:lang w:val="en-GB"/>
        </w:rPr>
        <w:t>Wards 42, 11, 12, 17, 20, 22, 26, 34 and 46.</w:t>
      </w:r>
      <w:r w:rsidR="008044F9" w:rsidRPr="0098671D">
        <w:rPr>
          <w:lang w:val="en-GB"/>
        </w:rPr>
        <w:t xml:space="preserve"> </w:t>
      </w:r>
      <w:r w:rsidR="005A495B" w:rsidRPr="0098671D">
        <w:rPr>
          <w:lang w:val="en-GB"/>
        </w:rPr>
        <w:t xml:space="preserve">The basis for this challenge is that it was an ‘out of term’ PEC that resolved to disband the affected branches during January 2022. No response to appeals lodged with the NEC had been received and the dissolutions were unnecessary. BTTs </w:t>
      </w:r>
      <w:r w:rsidR="00223CB0" w:rsidRPr="0098671D">
        <w:rPr>
          <w:lang w:val="en-GB"/>
        </w:rPr>
        <w:t xml:space="preserve">were </w:t>
      </w:r>
      <w:r w:rsidR="005A495B" w:rsidRPr="0098671D">
        <w:rPr>
          <w:lang w:val="en-GB"/>
        </w:rPr>
        <w:t>appointed in place of the dissolved BECs without due process and communication</w:t>
      </w:r>
      <w:r w:rsidR="008575D5" w:rsidRPr="0098671D">
        <w:rPr>
          <w:lang w:val="en-GB"/>
        </w:rPr>
        <w:t xml:space="preserve"> and held branch meetings without </w:t>
      </w:r>
      <w:r w:rsidR="00815B1A" w:rsidRPr="0098671D">
        <w:rPr>
          <w:lang w:val="en-GB"/>
        </w:rPr>
        <w:t>ensuring proper</w:t>
      </w:r>
      <w:r w:rsidR="008575D5" w:rsidRPr="0098671D">
        <w:rPr>
          <w:lang w:val="en-GB"/>
        </w:rPr>
        <w:t xml:space="preserve"> communicati</w:t>
      </w:r>
      <w:r w:rsidR="007641F0" w:rsidRPr="0098671D">
        <w:rPr>
          <w:lang w:val="en-GB"/>
        </w:rPr>
        <w:t>on</w:t>
      </w:r>
      <w:r w:rsidR="008575D5" w:rsidRPr="0098671D">
        <w:rPr>
          <w:lang w:val="en-GB"/>
        </w:rPr>
        <w:t xml:space="preserve"> with members.</w:t>
      </w:r>
      <w:r w:rsidR="005F1DCA" w:rsidRPr="0098671D">
        <w:rPr>
          <w:lang w:val="en-GB"/>
        </w:rPr>
        <w:t xml:space="preserve"> </w:t>
      </w:r>
      <w:r w:rsidR="00257C87" w:rsidRPr="0098671D">
        <w:rPr>
          <w:lang w:val="en-GB"/>
        </w:rPr>
        <w:t>T</w:t>
      </w:r>
      <w:r w:rsidR="00F83B35" w:rsidRPr="0098671D">
        <w:rPr>
          <w:lang w:val="en-GB"/>
        </w:rPr>
        <w:t xml:space="preserve">he papers make it clear that </w:t>
      </w:r>
      <w:r w:rsidR="00234093" w:rsidRPr="0098671D">
        <w:rPr>
          <w:lang w:val="en-GB"/>
        </w:rPr>
        <w:t xml:space="preserve">the </w:t>
      </w:r>
      <w:r w:rsidR="00F83B35" w:rsidRPr="0098671D">
        <w:rPr>
          <w:lang w:val="en-GB"/>
        </w:rPr>
        <w:t>original application was motivated by the need to interdict the Regional Conference scheduled for 8 April 2022</w:t>
      </w:r>
      <w:r w:rsidR="00234093" w:rsidRPr="0098671D">
        <w:rPr>
          <w:lang w:val="en-GB"/>
        </w:rPr>
        <w:t xml:space="preserve"> </w:t>
      </w:r>
      <w:r w:rsidR="004E45C2" w:rsidRPr="0098671D">
        <w:rPr>
          <w:lang w:val="en-GB"/>
        </w:rPr>
        <w:t>‘</w:t>
      </w:r>
      <w:r w:rsidR="00234093" w:rsidRPr="0098671D">
        <w:rPr>
          <w:lang w:val="en-GB"/>
        </w:rPr>
        <w:t>pending consideration of the appeal processes by the NEC on the dissolution of the respective branches’.</w:t>
      </w:r>
      <w:r w:rsidR="00F83B35" w:rsidRPr="0098671D">
        <w:rPr>
          <w:lang w:val="en-GB"/>
        </w:rPr>
        <w:t xml:space="preserve"> </w:t>
      </w:r>
    </w:p>
    <w:p w14:paraId="7478B729" w14:textId="77777777" w:rsidR="00C5323A" w:rsidRPr="00C5323A" w:rsidRDefault="00C5323A" w:rsidP="00C5323A">
      <w:pPr>
        <w:pStyle w:val="ListParagraph"/>
        <w:autoSpaceDE w:val="0"/>
        <w:autoSpaceDN w:val="0"/>
        <w:adjustRightInd w:val="0"/>
        <w:ind w:left="0"/>
        <w:jc w:val="both"/>
        <w:rPr>
          <w:lang w:val="en-GB"/>
        </w:rPr>
      </w:pPr>
    </w:p>
    <w:p w14:paraId="1C19F995" w14:textId="6CA3CB1C" w:rsidR="006A620B" w:rsidRPr="0098671D" w:rsidRDefault="0098671D" w:rsidP="0098671D">
      <w:pPr>
        <w:autoSpaceDE w:val="0"/>
        <w:autoSpaceDN w:val="0"/>
        <w:adjustRightInd w:val="0"/>
        <w:jc w:val="both"/>
        <w:rPr>
          <w:lang w:val="en-GB"/>
        </w:rPr>
      </w:pPr>
      <w:r w:rsidRPr="00F41E19">
        <w:rPr>
          <w:lang w:val="en-GB"/>
        </w:rPr>
        <w:t>[6]</w:t>
      </w:r>
      <w:r w:rsidRPr="00F41E19">
        <w:rPr>
          <w:lang w:val="en-GB"/>
        </w:rPr>
        <w:tab/>
      </w:r>
      <w:r w:rsidR="00975B13" w:rsidRPr="0098671D">
        <w:rPr>
          <w:lang w:val="en-GB"/>
        </w:rPr>
        <w:t xml:space="preserve">Having unsuccessfully opposed the granting of the rule </w:t>
      </w:r>
      <w:r w:rsidR="00975B13" w:rsidRPr="0098671D">
        <w:rPr>
          <w:i/>
          <w:iCs/>
          <w:lang w:val="en-GB"/>
        </w:rPr>
        <w:t>nisi</w:t>
      </w:r>
      <w:r w:rsidR="00975B13" w:rsidRPr="0098671D">
        <w:rPr>
          <w:lang w:val="en-GB"/>
        </w:rPr>
        <w:t>,</w:t>
      </w:r>
      <w:r w:rsidR="00975B13" w:rsidRPr="0098671D">
        <w:rPr>
          <w:i/>
          <w:iCs/>
          <w:lang w:val="en-GB"/>
        </w:rPr>
        <w:t xml:space="preserve"> </w:t>
      </w:r>
      <w:r w:rsidR="00975B13" w:rsidRPr="0098671D">
        <w:rPr>
          <w:lang w:val="en-GB"/>
        </w:rPr>
        <w:t>t</w:t>
      </w:r>
      <w:r w:rsidR="006A620B" w:rsidRPr="0098671D">
        <w:rPr>
          <w:lang w:val="en-GB"/>
        </w:rPr>
        <w:t xml:space="preserve">he respondents filed an </w:t>
      </w:r>
      <w:r w:rsidR="00296D16" w:rsidRPr="0098671D">
        <w:rPr>
          <w:lang w:val="en-GB"/>
        </w:rPr>
        <w:t xml:space="preserve">additional </w:t>
      </w:r>
      <w:r w:rsidR="006A620B" w:rsidRPr="0098671D">
        <w:rPr>
          <w:lang w:val="en-GB"/>
        </w:rPr>
        <w:t>answering affidavit seeking to demonstrate that the interim order was not capable of confirmation. They argue</w:t>
      </w:r>
      <w:r w:rsidR="00D36DBB" w:rsidRPr="0098671D">
        <w:rPr>
          <w:lang w:val="en-GB"/>
        </w:rPr>
        <w:t>d</w:t>
      </w:r>
      <w:r w:rsidR="006A620B" w:rsidRPr="0098671D">
        <w:rPr>
          <w:lang w:val="en-GB"/>
        </w:rPr>
        <w:t xml:space="preserve"> that the matter should be confined to those branches whose members were before the court as applicants</w:t>
      </w:r>
      <w:r w:rsidR="006137B4">
        <w:rPr>
          <w:rStyle w:val="FootnoteReference"/>
          <w:lang w:val="en-GB"/>
        </w:rPr>
        <w:footnoteReference w:id="2"/>
      </w:r>
      <w:r w:rsidR="006A620B" w:rsidRPr="0098671D">
        <w:rPr>
          <w:lang w:val="en-GB"/>
        </w:rPr>
        <w:t xml:space="preserve"> and in the context of appeals relevant to the interim interdict having been adjudicated to finality. </w:t>
      </w:r>
      <w:r w:rsidR="00E650F8" w:rsidRPr="0098671D">
        <w:rPr>
          <w:lang w:val="en-GB"/>
        </w:rPr>
        <w:t xml:space="preserve">The answering affidavit and supporting documentation reflect decisions of the Provincial Dispute Resolution Committee </w:t>
      </w:r>
      <w:r w:rsidR="002D16E1" w:rsidRPr="0098671D">
        <w:rPr>
          <w:lang w:val="en-GB"/>
        </w:rPr>
        <w:t xml:space="preserve">(PDRC) </w:t>
      </w:r>
      <w:r w:rsidR="00E650F8" w:rsidRPr="0098671D">
        <w:rPr>
          <w:lang w:val="en-GB"/>
        </w:rPr>
        <w:t>and</w:t>
      </w:r>
      <w:r w:rsidR="008F181C" w:rsidRPr="0098671D">
        <w:rPr>
          <w:lang w:val="en-GB"/>
        </w:rPr>
        <w:t>, in some cases, the</w:t>
      </w:r>
      <w:r w:rsidR="00E650F8" w:rsidRPr="0098671D">
        <w:rPr>
          <w:lang w:val="en-GB"/>
        </w:rPr>
        <w:t xml:space="preserve"> National Dispute Resolution Committee</w:t>
      </w:r>
      <w:r w:rsidR="002D16E1" w:rsidRPr="0098671D">
        <w:rPr>
          <w:lang w:val="en-GB"/>
        </w:rPr>
        <w:t xml:space="preserve"> (NDRC)</w:t>
      </w:r>
      <w:r w:rsidR="00E650F8" w:rsidRPr="0098671D">
        <w:rPr>
          <w:lang w:val="en-GB"/>
        </w:rPr>
        <w:t xml:space="preserve"> in addressing various appeals lodged</w:t>
      </w:r>
      <w:r w:rsidR="008C1751" w:rsidRPr="0098671D">
        <w:rPr>
          <w:lang w:val="en-GB"/>
        </w:rPr>
        <w:t xml:space="preserve"> in respect of irregularities</w:t>
      </w:r>
      <w:r w:rsidR="00E650F8" w:rsidRPr="0098671D">
        <w:rPr>
          <w:lang w:val="en-GB"/>
        </w:rPr>
        <w:t xml:space="preserve">. </w:t>
      </w:r>
      <w:r w:rsidR="006A620B" w:rsidRPr="0098671D">
        <w:rPr>
          <w:lang w:val="en-GB"/>
        </w:rPr>
        <w:t xml:space="preserve">In </w:t>
      </w:r>
      <w:r w:rsidR="00B252B4" w:rsidRPr="0098671D">
        <w:rPr>
          <w:lang w:val="en-GB"/>
        </w:rPr>
        <w:t>two instances (wards 16 and 22)</w:t>
      </w:r>
      <w:r w:rsidR="00665C01" w:rsidRPr="0098671D">
        <w:rPr>
          <w:lang w:val="en-GB"/>
        </w:rPr>
        <w:t>,</w:t>
      </w:r>
      <w:r w:rsidR="006A620B" w:rsidRPr="0098671D">
        <w:rPr>
          <w:lang w:val="en-GB"/>
        </w:rPr>
        <w:t xml:space="preserve"> the internal process resulted in re-runs</w:t>
      </w:r>
      <w:r w:rsidR="002D16E1" w:rsidRPr="0098671D">
        <w:rPr>
          <w:lang w:val="en-GB"/>
        </w:rPr>
        <w:t xml:space="preserve"> being ordered by the </w:t>
      </w:r>
      <w:r w:rsidR="0056475C" w:rsidRPr="0098671D">
        <w:rPr>
          <w:lang w:val="en-GB"/>
        </w:rPr>
        <w:t>NDRC</w:t>
      </w:r>
      <w:r w:rsidR="006A620B" w:rsidRPr="0098671D">
        <w:rPr>
          <w:lang w:val="en-GB"/>
        </w:rPr>
        <w:t>, nullifying the earlier meetings against which appeals were lodged.</w:t>
      </w:r>
      <w:r w:rsidR="007F7B60">
        <w:rPr>
          <w:rStyle w:val="FootnoteReference"/>
          <w:lang w:val="en-GB"/>
        </w:rPr>
        <w:footnoteReference w:id="3"/>
      </w:r>
      <w:r w:rsidR="006A620B" w:rsidRPr="0098671D">
        <w:rPr>
          <w:lang w:val="en-GB"/>
        </w:rPr>
        <w:t xml:space="preserve"> </w:t>
      </w:r>
      <w:r w:rsidR="00683C15" w:rsidRPr="0098671D">
        <w:rPr>
          <w:lang w:val="en-GB"/>
        </w:rPr>
        <w:t>T</w:t>
      </w:r>
      <w:r w:rsidR="006A620B" w:rsidRPr="0098671D">
        <w:rPr>
          <w:lang w:val="en-GB"/>
        </w:rPr>
        <w:t>he interdicted regional conference ha</w:t>
      </w:r>
      <w:r w:rsidR="00ED5D66" w:rsidRPr="0098671D">
        <w:rPr>
          <w:lang w:val="en-GB"/>
        </w:rPr>
        <w:t>d, by time</w:t>
      </w:r>
      <w:r w:rsidR="00ED5D66" w:rsidRPr="0098671D">
        <w:rPr>
          <w:color w:val="0070C0"/>
          <w:lang w:val="en-GB"/>
        </w:rPr>
        <w:t xml:space="preserve"> </w:t>
      </w:r>
      <w:r w:rsidR="00ED5D66" w:rsidRPr="0098671D">
        <w:rPr>
          <w:lang w:val="en-GB"/>
        </w:rPr>
        <w:t>th</w:t>
      </w:r>
      <w:r w:rsidR="00665C01" w:rsidRPr="0098671D">
        <w:rPr>
          <w:lang w:val="en-GB"/>
        </w:rPr>
        <w:t>e</w:t>
      </w:r>
      <w:r w:rsidR="00ED5D66" w:rsidRPr="0098671D">
        <w:rPr>
          <w:lang w:val="en-GB"/>
        </w:rPr>
        <w:t xml:space="preserve"> </w:t>
      </w:r>
      <w:r w:rsidR="00ED5D66" w:rsidRPr="0098671D">
        <w:rPr>
          <w:lang w:val="en-GB"/>
        </w:rPr>
        <w:lastRenderedPageBreak/>
        <w:t>opposing affidavit was filed on 26 May 2022,</w:t>
      </w:r>
      <w:r w:rsidR="006A620B" w:rsidRPr="0098671D">
        <w:rPr>
          <w:lang w:val="en-GB"/>
        </w:rPr>
        <w:t xml:space="preserve"> al</w:t>
      </w:r>
      <w:r w:rsidR="00ED5D66" w:rsidRPr="0098671D">
        <w:rPr>
          <w:lang w:val="en-GB"/>
        </w:rPr>
        <w:t>ready</w:t>
      </w:r>
      <w:r w:rsidR="006A620B" w:rsidRPr="0098671D">
        <w:rPr>
          <w:lang w:val="en-GB"/>
        </w:rPr>
        <w:t xml:space="preserve"> been convened</w:t>
      </w:r>
      <w:r w:rsidR="001331EE" w:rsidRPr="0098671D">
        <w:rPr>
          <w:lang w:val="en-GB"/>
        </w:rPr>
        <w:t>, once the various internal appeals had been finalised.</w:t>
      </w:r>
      <w:r w:rsidR="005B4F7C" w:rsidRPr="0098671D">
        <w:rPr>
          <w:lang w:val="en-GB"/>
        </w:rPr>
        <w:t xml:space="preserve"> </w:t>
      </w:r>
    </w:p>
    <w:p w14:paraId="2B889B1A" w14:textId="77777777" w:rsidR="006A620B" w:rsidRDefault="006A620B" w:rsidP="006A620B">
      <w:pPr>
        <w:pStyle w:val="ListParagraph"/>
        <w:autoSpaceDE w:val="0"/>
        <w:autoSpaceDN w:val="0"/>
        <w:adjustRightInd w:val="0"/>
        <w:ind w:left="0"/>
        <w:jc w:val="both"/>
        <w:rPr>
          <w:lang w:val="en-GB"/>
        </w:rPr>
      </w:pPr>
    </w:p>
    <w:p w14:paraId="04F7F767" w14:textId="1EB8559D" w:rsidR="006A620B" w:rsidRPr="0098671D" w:rsidRDefault="0098671D" w:rsidP="0098671D">
      <w:pPr>
        <w:autoSpaceDE w:val="0"/>
        <w:autoSpaceDN w:val="0"/>
        <w:adjustRightInd w:val="0"/>
        <w:jc w:val="both"/>
        <w:rPr>
          <w:lang w:val="en-GB"/>
        </w:rPr>
      </w:pPr>
      <w:r w:rsidRPr="00C945F9">
        <w:rPr>
          <w:lang w:val="en-GB"/>
        </w:rPr>
        <w:t>[7]</w:t>
      </w:r>
      <w:r w:rsidRPr="00C945F9">
        <w:rPr>
          <w:lang w:val="en-GB"/>
        </w:rPr>
        <w:tab/>
      </w:r>
      <w:r w:rsidR="008A08B2" w:rsidRPr="0098671D">
        <w:rPr>
          <w:lang w:val="en-GB"/>
        </w:rPr>
        <w:t>O</w:t>
      </w:r>
      <w:r w:rsidR="005B4F7C" w:rsidRPr="0098671D">
        <w:rPr>
          <w:lang w:val="en-GB"/>
        </w:rPr>
        <w:t>nly limited replying affidavits were filed in response</w:t>
      </w:r>
      <w:r w:rsidR="008A08B2" w:rsidRPr="0098671D">
        <w:rPr>
          <w:lang w:val="en-GB"/>
        </w:rPr>
        <w:t xml:space="preserve">, relating to </w:t>
      </w:r>
      <w:r w:rsidR="00A6453B" w:rsidRPr="0098671D">
        <w:rPr>
          <w:lang w:val="en-GB"/>
        </w:rPr>
        <w:t xml:space="preserve">two </w:t>
      </w:r>
      <w:r w:rsidR="008A08B2" w:rsidRPr="0098671D">
        <w:rPr>
          <w:lang w:val="en-GB"/>
        </w:rPr>
        <w:t>disputed scanner reports</w:t>
      </w:r>
      <w:r w:rsidR="00300F93" w:rsidRPr="0098671D">
        <w:rPr>
          <w:lang w:val="en-GB"/>
        </w:rPr>
        <w:t xml:space="preserve"> from March 2022.</w:t>
      </w:r>
      <w:r w:rsidR="0082553B" w:rsidRPr="0098671D">
        <w:rPr>
          <w:lang w:val="en-GB"/>
        </w:rPr>
        <w:t xml:space="preserve"> </w:t>
      </w:r>
      <w:r w:rsidR="00E110AC" w:rsidRPr="0098671D">
        <w:rPr>
          <w:lang w:val="en-GB"/>
        </w:rPr>
        <w:t>Based on these affidavits and the attached supporting documentation, i</w:t>
      </w:r>
      <w:r w:rsidR="001A493D" w:rsidRPr="0098671D">
        <w:rPr>
          <w:lang w:val="en-GB"/>
        </w:rPr>
        <w:t>t may be accepted</w:t>
      </w:r>
      <w:r w:rsidR="00435E74" w:rsidRPr="0098671D">
        <w:rPr>
          <w:lang w:val="en-GB"/>
        </w:rPr>
        <w:t xml:space="preserve"> </w:t>
      </w:r>
      <w:r w:rsidR="001A493D" w:rsidRPr="0098671D">
        <w:rPr>
          <w:lang w:val="en-GB"/>
        </w:rPr>
        <w:t xml:space="preserve">that the scanner reports for wards 46 and 34 reflected, respectively, one and two deceased erstwhile members of the ANC </w:t>
      </w:r>
      <w:r w:rsidR="003E1183" w:rsidRPr="0098671D">
        <w:rPr>
          <w:lang w:val="en-GB"/>
        </w:rPr>
        <w:t xml:space="preserve">appear </w:t>
      </w:r>
      <w:r w:rsidR="001A493D" w:rsidRPr="0098671D">
        <w:rPr>
          <w:lang w:val="en-GB"/>
        </w:rPr>
        <w:t xml:space="preserve">in the record of persons in attendance at </w:t>
      </w:r>
      <w:r w:rsidR="002D4D0C" w:rsidRPr="0098671D">
        <w:rPr>
          <w:lang w:val="en-GB"/>
        </w:rPr>
        <w:t xml:space="preserve">these </w:t>
      </w:r>
      <w:r w:rsidR="001A493D" w:rsidRPr="0098671D">
        <w:rPr>
          <w:lang w:val="en-GB"/>
        </w:rPr>
        <w:t>branch meetings.</w:t>
      </w:r>
      <w:r w:rsidR="005A495B" w:rsidRPr="0098671D">
        <w:rPr>
          <w:lang w:val="en-GB"/>
        </w:rPr>
        <w:t xml:space="preserve"> </w:t>
      </w:r>
      <w:r w:rsidR="00C945F9" w:rsidRPr="0098671D">
        <w:rPr>
          <w:lang w:val="en-GB"/>
        </w:rPr>
        <w:t>It</w:t>
      </w:r>
      <w:r w:rsidR="002E26FE" w:rsidRPr="0098671D">
        <w:rPr>
          <w:lang w:val="en-GB"/>
        </w:rPr>
        <w:t xml:space="preserve"> </w:t>
      </w:r>
      <w:r w:rsidR="00D568C8" w:rsidRPr="0098671D">
        <w:rPr>
          <w:lang w:val="en-GB"/>
        </w:rPr>
        <w:t>has also been established</w:t>
      </w:r>
      <w:r w:rsidR="00C945F9" w:rsidRPr="0098671D">
        <w:rPr>
          <w:lang w:val="en-GB"/>
        </w:rPr>
        <w:t xml:space="preserve"> that at least certain branch meetings which took place during February and March 2022 were beset by irregularities.</w:t>
      </w:r>
      <w:r w:rsidR="00C945F9">
        <w:rPr>
          <w:rStyle w:val="FootnoteReference"/>
          <w:lang w:val="en-GB"/>
        </w:rPr>
        <w:footnoteReference w:id="4"/>
      </w:r>
      <w:r w:rsidR="00C945F9" w:rsidRPr="0098671D">
        <w:rPr>
          <w:lang w:val="en-GB"/>
        </w:rPr>
        <w:t xml:space="preserve"> Whether a case was properly made out to </w:t>
      </w:r>
      <w:r w:rsidR="009304E9" w:rsidRPr="0098671D">
        <w:rPr>
          <w:lang w:val="en-GB"/>
        </w:rPr>
        <w:t xml:space="preserve">declare </w:t>
      </w:r>
      <w:r w:rsidR="003244F9" w:rsidRPr="0098671D">
        <w:rPr>
          <w:lang w:val="en-GB"/>
        </w:rPr>
        <w:t xml:space="preserve">all </w:t>
      </w:r>
      <w:r w:rsidR="00C945F9" w:rsidRPr="0098671D">
        <w:rPr>
          <w:lang w:val="en-GB"/>
        </w:rPr>
        <w:t>the branch meetings conducted during those months as unconstitutional and unlawful</w:t>
      </w:r>
      <w:r w:rsidR="00C95BFB" w:rsidRPr="0098671D">
        <w:rPr>
          <w:lang w:val="en-GB"/>
        </w:rPr>
        <w:t>, and whether the rule should be confirmed given subsequent events,</w:t>
      </w:r>
      <w:r w:rsidR="00C945F9" w:rsidRPr="0098671D">
        <w:rPr>
          <w:lang w:val="en-GB"/>
        </w:rPr>
        <w:t xml:space="preserve"> </w:t>
      </w:r>
      <w:r w:rsidR="00C95BFB" w:rsidRPr="0098671D">
        <w:rPr>
          <w:lang w:val="en-GB"/>
        </w:rPr>
        <w:t>are</w:t>
      </w:r>
      <w:r w:rsidR="00C945F9" w:rsidRPr="0098671D">
        <w:rPr>
          <w:lang w:val="en-GB"/>
        </w:rPr>
        <w:t xml:space="preserve"> separate matter</w:t>
      </w:r>
      <w:r w:rsidR="00C95BFB" w:rsidRPr="0098671D">
        <w:rPr>
          <w:lang w:val="en-GB"/>
        </w:rPr>
        <w:t>s</w:t>
      </w:r>
      <w:r w:rsidR="00C945F9" w:rsidRPr="0098671D">
        <w:rPr>
          <w:lang w:val="en-GB"/>
        </w:rPr>
        <w:t xml:space="preserve">. </w:t>
      </w:r>
      <w:r w:rsidR="00C21A66" w:rsidRPr="0098671D">
        <w:rPr>
          <w:lang w:val="en-GB"/>
        </w:rPr>
        <w:t xml:space="preserve">The applicants argued that the irregularities experienced constitute violations of the ANC constitution and the Guidelines, which constitute the terms of the agreement between the ANC and its members, so that the applicants are entitled to the declaratory order sought. </w:t>
      </w:r>
      <w:r w:rsidR="00F179A3" w:rsidRPr="0098671D">
        <w:rPr>
          <w:lang w:val="en-GB"/>
        </w:rPr>
        <w:t xml:space="preserve">The respondents </w:t>
      </w:r>
      <w:r w:rsidR="00C56C1F" w:rsidRPr="0098671D">
        <w:rPr>
          <w:lang w:val="en-GB"/>
        </w:rPr>
        <w:t>submitted</w:t>
      </w:r>
      <w:r w:rsidR="00F179A3" w:rsidRPr="0098671D">
        <w:rPr>
          <w:lang w:val="en-GB"/>
        </w:rPr>
        <w:t xml:space="preserve"> that </w:t>
      </w:r>
      <w:r w:rsidR="00F505D0" w:rsidRPr="0098671D">
        <w:rPr>
          <w:lang w:val="en-GB"/>
        </w:rPr>
        <w:t xml:space="preserve">the meetings in question were quorate and that </w:t>
      </w:r>
      <w:r w:rsidR="00F179A3" w:rsidRPr="0098671D">
        <w:rPr>
          <w:lang w:val="en-GB"/>
        </w:rPr>
        <w:t xml:space="preserve">even if </w:t>
      </w:r>
      <w:r w:rsidR="00F505D0" w:rsidRPr="0098671D">
        <w:rPr>
          <w:lang w:val="en-GB"/>
        </w:rPr>
        <w:t>these</w:t>
      </w:r>
      <w:r w:rsidR="00F179A3" w:rsidRPr="0098671D">
        <w:rPr>
          <w:lang w:val="en-GB"/>
        </w:rPr>
        <w:t xml:space="preserve"> irregularit</w:t>
      </w:r>
      <w:r w:rsidR="00CB1D66" w:rsidRPr="0098671D">
        <w:rPr>
          <w:lang w:val="en-GB"/>
        </w:rPr>
        <w:t>ies</w:t>
      </w:r>
      <w:r w:rsidR="00F179A3" w:rsidRPr="0098671D">
        <w:rPr>
          <w:lang w:val="en-GB"/>
        </w:rPr>
        <w:t xml:space="preserve"> </w:t>
      </w:r>
      <w:r w:rsidR="00F505D0" w:rsidRPr="0098671D">
        <w:rPr>
          <w:lang w:val="en-GB"/>
        </w:rPr>
        <w:t>had occurred, they did not adversely influence the standing and outcomes of the meetings in issue, and that the internal appeal processes had effectively discharged the interim interdict</w:t>
      </w:r>
      <w:r w:rsidR="00EB7DEE" w:rsidRPr="0098671D">
        <w:rPr>
          <w:lang w:val="en-GB"/>
        </w:rPr>
        <w:t>, so that these issues are moot.</w:t>
      </w:r>
    </w:p>
    <w:p w14:paraId="7FA363EF" w14:textId="7309D347" w:rsidR="00085777" w:rsidRDefault="00085777" w:rsidP="002721FF">
      <w:pPr>
        <w:rPr>
          <w:lang w:val="en-GB"/>
        </w:rPr>
      </w:pPr>
    </w:p>
    <w:p w14:paraId="5AFB3CE8" w14:textId="75CD09A1" w:rsidR="002721FF" w:rsidRDefault="002721FF" w:rsidP="002721FF">
      <w:pPr>
        <w:rPr>
          <w:b/>
          <w:bCs/>
          <w:lang w:val="en-GB"/>
        </w:rPr>
      </w:pPr>
      <w:r>
        <w:rPr>
          <w:b/>
          <w:bCs/>
          <w:lang w:val="en-GB"/>
        </w:rPr>
        <w:t>The ANC Constitution and Guidelines</w:t>
      </w:r>
    </w:p>
    <w:p w14:paraId="55F7676A" w14:textId="77777777" w:rsidR="002721FF" w:rsidRPr="002721FF" w:rsidRDefault="002721FF" w:rsidP="002721FF">
      <w:pPr>
        <w:rPr>
          <w:b/>
          <w:bCs/>
          <w:lang w:val="en-GB"/>
        </w:rPr>
      </w:pPr>
    </w:p>
    <w:p w14:paraId="41425C66" w14:textId="5AF3C97C" w:rsidR="007A30EF" w:rsidRPr="0098671D" w:rsidRDefault="0098671D" w:rsidP="0098671D">
      <w:pPr>
        <w:autoSpaceDE w:val="0"/>
        <w:autoSpaceDN w:val="0"/>
        <w:adjustRightInd w:val="0"/>
        <w:jc w:val="both"/>
        <w:rPr>
          <w:lang w:val="en-GB"/>
        </w:rPr>
      </w:pPr>
      <w:r w:rsidRPr="009A0513">
        <w:rPr>
          <w:lang w:val="en-GB"/>
        </w:rPr>
        <w:t>[8]</w:t>
      </w:r>
      <w:r w:rsidRPr="009A0513">
        <w:rPr>
          <w:lang w:val="en-GB"/>
        </w:rPr>
        <w:tab/>
      </w:r>
      <w:r w:rsidR="00EE101F" w:rsidRPr="0098671D">
        <w:rPr>
          <w:lang w:val="en-GB"/>
        </w:rPr>
        <w:t xml:space="preserve">The legal nature of a political party is accepted as being that of an association. </w:t>
      </w:r>
      <w:r w:rsidR="00186B3C" w:rsidRPr="0098671D">
        <w:rPr>
          <w:lang w:val="en-GB"/>
        </w:rPr>
        <w:t xml:space="preserve">As a voluntary association is founded on the basis of mutual agreement, the relationship between a political party and its members is governed by the express or implied terms of the agreement. </w:t>
      </w:r>
      <w:r w:rsidR="007A30EF" w:rsidRPr="0098671D">
        <w:rPr>
          <w:lang w:val="en-GB"/>
        </w:rPr>
        <w:t xml:space="preserve">The constitution of a voluntary association, together with all the rules or regulations passed in terms thereof, collectively form the agreement entered into by that association’s members and serve as the internal </w:t>
      </w:r>
      <w:r w:rsidR="007A30EF" w:rsidRPr="0098671D">
        <w:rPr>
          <w:lang w:val="en-GB"/>
        </w:rPr>
        <w:lastRenderedPageBreak/>
        <w:t>statute of that association.</w:t>
      </w:r>
      <w:r w:rsidR="007A30EF">
        <w:rPr>
          <w:rStyle w:val="FootnoteReference"/>
          <w:lang w:val="en-GB"/>
        </w:rPr>
        <w:footnoteReference w:id="5"/>
      </w:r>
      <w:r w:rsidR="007A30EF" w:rsidRPr="0098671D">
        <w:rPr>
          <w:lang w:val="en-GB"/>
        </w:rPr>
        <w:t xml:space="preserve"> It is a contract concluded between its members that binds them and </w:t>
      </w:r>
      <w:r w:rsidR="00527949" w:rsidRPr="0098671D">
        <w:rPr>
          <w:lang w:val="en-GB"/>
        </w:rPr>
        <w:t xml:space="preserve">there is </w:t>
      </w:r>
      <w:r w:rsidR="007A30EF" w:rsidRPr="0098671D">
        <w:rPr>
          <w:lang w:val="en-GB"/>
        </w:rPr>
        <w:t>a duty on the association to comply with the provisions of its own constitution.</w:t>
      </w:r>
      <w:r w:rsidR="007A30EF">
        <w:rPr>
          <w:rStyle w:val="FootnoteReference"/>
          <w:lang w:val="en-GB"/>
        </w:rPr>
        <w:footnoteReference w:id="6"/>
      </w:r>
      <w:r w:rsidR="007A30EF" w:rsidRPr="0098671D">
        <w:rPr>
          <w:lang w:val="en-GB"/>
        </w:rPr>
        <w:t xml:space="preserve"> </w:t>
      </w:r>
    </w:p>
    <w:p w14:paraId="13DA858E" w14:textId="29DF82CB" w:rsidR="007A30EF" w:rsidRDefault="007A30EF" w:rsidP="007A30EF">
      <w:pPr>
        <w:pStyle w:val="ListParagraph"/>
        <w:autoSpaceDE w:val="0"/>
        <w:autoSpaceDN w:val="0"/>
        <w:adjustRightInd w:val="0"/>
        <w:ind w:left="0"/>
        <w:jc w:val="both"/>
        <w:rPr>
          <w:lang w:val="en-GB"/>
        </w:rPr>
      </w:pPr>
    </w:p>
    <w:p w14:paraId="6BA361D0" w14:textId="339F66DC" w:rsidR="00AD78AE" w:rsidRPr="0098671D" w:rsidRDefault="0098671D" w:rsidP="0098671D">
      <w:pPr>
        <w:autoSpaceDE w:val="0"/>
        <w:autoSpaceDN w:val="0"/>
        <w:adjustRightInd w:val="0"/>
        <w:jc w:val="both"/>
        <w:rPr>
          <w:lang w:val="en-GB"/>
        </w:rPr>
      </w:pPr>
      <w:r w:rsidRPr="00356662">
        <w:rPr>
          <w:lang w:val="en-GB"/>
        </w:rPr>
        <w:t>[9]</w:t>
      </w:r>
      <w:r w:rsidRPr="00356662">
        <w:rPr>
          <w:lang w:val="en-GB"/>
        </w:rPr>
        <w:tab/>
      </w:r>
      <w:r w:rsidR="00085777" w:rsidRPr="0098671D">
        <w:rPr>
          <w:lang w:val="en-GB"/>
        </w:rPr>
        <w:t xml:space="preserve">The ANC’s </w:t>
      </w:r>
      <w:r w:rsidR="001753FD" w:rsidRPr="0098671D">
        <w:rPr>
          <w:lang w:val="en-GB"/>
        </w:rPr>
        <w:t>c</w:t>
      </w:r>
      <w:r w:rsidR="00085777" w:rsidRPr="0098671D">
        <w:rPr>
          <w:lang w:val="en-GB"/>
        </w:rPr>
        <w:t>onstitution together with its rules constitute the terms of the agreement entered into by its members, who each have a unique contractual relationship with the party.</w:t>
      </w:r>
      <w:r w:rsidR="00085777">
        <w:rPr>
          <w:rStyle w:val="FootnoteReference"/>
          <w:lang w:val="en-GB"/>
        </w:rPr>
        <w:footnoteReference w:id="7"/>
      </w:r>
      <w:r w:rsidR="00EE101F" w:rsidRPr="0098671D">
        <w:rPr>
          <w:lang w:val="en-GB"/>
        </w:rPr>
        <w:t xml:space="preserve"> </w:t>
      </w:r>
      <w:r w:rsidR="00206CF9" w:rsidRPr="0098671D">
        <w:rPr>
          <w:lang w:val="en-GB"/>
        </w:rPr>
        <w:t xml:space="preserve">The relationship is distinct given that the party constitution is the instrument that gives effect to the </w:t>
      </w:r>
      <w:r w:rsidR="00586938" w:rsidRPr="0098671D">
        <w:rPr>
          <w:lang w:val="en-GB"/>
        </w:rPr>
        <w:t>political rights entrenched in s 19 of the Constitution of the Republic of South Africa, 1996</w:t>
      </w:r>
      <w:r w:rsidR="00EE5865" w:rsidRPr="0098671D">
        <w:rPr>
          <w:lang w:val="en-GB"/>
        </w:rPr>
        <w:t xml:space="preserve"> (‘the Constitution’)</w:t>
      </w:r>
      <w:r w:rsidR="00586938" w:rsidRPr="0098671D">
        <w:rPr>
          <w:lang w:val="en-GB"/>
        </w:rPr>
        <w:t>.</w:t>
      </w:r>
      <w:r w:rsidR="00D54D37" w:rsidRPr="0098671D">
        <w:rPr>
          <w:lang w:val="en-GB"/>
        </w:rPr>
        <w:t xml:space="preserve"> </w:t>
      </w:r>
      <w:r w:rsidR="009A0513" w:rsidRPr="0098671D">
        <w:rPr>
          <w:lang w:val="en-GB"/>
        </w:rPr>
        <w:t>A breach of the rules of a political party may therefore give rise to a claim founded on the infringement of the underlying constitutional right.</w:t>
      </w:r>
      <w:r w:rsidR="009A0513">
        <w:rPr>
          <w:rStyle w:val="FootnoteReference"/>
          <w:lang w:val="en-GB"/>
        </w:rPr>
        <w:footnoteReference w:id="8"/>
      </w:r>
    </w:p>
    <w:p w14:paraId="1F3D7B4A" w14:textId="77777777" w:rsidR="00EA44D4" w:rsidRPr="00D3052A" w:rsidRDefault="00EA44D4" w:rsidP="00EA44D4">
      <w:pPr>
        <w:pStyle w:val="ListParagraph"/>
        <w:autoSpaceDE w:val="0"/>
        <w:autoSpaceDN w:val="0"/>
        <w:adjustRightInd w:val="0"/>
        <w:ind w:left="0"/>
        <w:jc w:val="both"/>
        <w:rPr>
          <w:sz w:val="22"/>
          <w:szCs w:val="22"/>
          <w:lang w:val="en-GB"/>
        </w:rPr>
      </w:pPr>
    </w:p>
    <w:p w14:paraId="1984D476" w14:textId="02E48086" w:rsidR="00246BCB" w:rsidRPr="0098671D" w:rsidRDefault="0098671D" w:rsidP="0098671D">
      <w:pPr>
        <w:autoSpaceDE w:val="0"/>
        <w:autoSpaceDN w:val="0"/>
        <w:adjustRightInd w:val="0"/>
        <w:jc w:val="both"/>
        <w:rPr>
          <w:lang w:val="en-GB"/>
        </w:rPr>
      </w:pPr>
      <w:r>
        <w:rPr>
          <w:lang w:val="en-GB"/>
        </w:rPr>
        <w:t>[10]</w:t>
      </w:r>
      <w:r>
        <w:rPr>
          <w:lang w:val="en-GB"/>
        </w:rPr>
        <w:tab/>
      </w:r>
      <w:r w:rsidR="00246BCB" w:rsidRPr="0098671D">
        <w:rPr>
          <w:lang w:val="en-GB"/>
        </w:rPr>
        <w:t xml:space="preserve">The ANC is </w:t>
      </w:r>
      <w:r w:rsidR="00356662" w:rsidRPr="0098671D">
        <w:rPr>
          <w:lang w:val="en-GB"/>
        </w:rPr>
        <w:t xml:space="preserve">therefore </w:t>
      </w:r>
      <w:r w:rsidR="00246BCB" w:rsidRPr="0098671D">
        <w:rPr>
          <w:lang w:val="en-GB"/>
        </w:rPr>
        <w:t xml:space="preserve">obliged to act in accordance with its own </w:t>
      </w:r>
      <w:r w:rsidR="00070883" w:rsidRPr="0098671D">
        <w:rPr>
          <w:lang w:val="en-GB"/>
        </w:rPr>
        <w:t>c</w:t>
      </w:r>
      <w:r w:rsidR="00246BCB" w:rsidRPr="0098671D">
        <w:rPr>
          <w:lang w:val="en-GB"/>
        </w:rPr>
        <w:t>onstitution, based on the broader citizens’ constitutional right to participate in the activities of a political party.</w:t>
      </w:r>
      <w:r w:rsidR="00246BCB">
        <w:rPr>
          <w:rStyle w:val="FootnoteReference"/>
          <w:lang w:val="en-GB"/>
        </w:rPr>
        <w:footnoteReference w:id="9"/>
      </w:r>
      <w:r w:rsidR="00246BCB" w:rsidRPr="0098671D">
        <w:rPr>
          <w:lang w:val="en-GB"/>
        </w:rPr>
        <w:t xml:space="preserve"> How that participation right is exercised is unspecified in the Constitution and left to political parties to regulate. As the Constitutional Court held in </w:t>
      </w:r>
      <w:r w:rsidR="00246BCB" w:rsidRPr="0098671D">
        <w:rPr>
          <w:i/>
          <w:iCs/>
          <w:lang w:val="en-GB"/>
        </w:rPr>
        <w:t xml:space="preserve">Ramakatsa </w:t>
      </w:r>
      <w:r w:rsidR="00246BCB" w:rsidRPr="0098671D">
        <w:rPr>
          <w:lang w:val="en-GB"/>
        </w:rPr>
        <w:t>1:</w:t>
      </w:r>
    </w:p>
    <w:p w14:paraId="17D76F56" w14:textId="77777777" w:rsidR="00246BCB" w:rsidRDefault="00246BCB" w:rsidP="00246BCB">
      <w:pPr>
        <w:pStyle w:val="ListParagraph"/>
        <w:autoSpaceDE w:val="0"/>
        <w:autoSpaceDN w:val="0"/>
        <w:adjustRightInd w:val="0"/>
        <w:ind w:left="0"/>
        <w:jc w:val="both"/>
        <w:rPr>
          <w:sz w:val="22"/>
          <w:szCs w:val="22"/>
          <w:lang w:val="en-GB"/>
        </w:rPr>
      </w:pPr>
      <w:r>
        <w:rPr>
          <w:sz w:val="22"/>
          <w:szCs w:val="22"/>
          <w:lang w:val="en-GB"/>
        </w:rPr>
        <w:t>‘Therefore, these parties are best placed to determine how members would participate in internal activities. The various Constitutions of political parties are instruments which facilitate and regulate participation by members in the activities of a political party.’</w:t>
      </w:r>
    </w:p>
    <w:p w14:paraId="031DCD8B" w14:textId="77777777" w:rsidR="0004691F" w:rsidRPr="00D30CEE" w:rsidRDefault="0004691F" w:rsidP="0004691F">
      <w:pPr>
        <w:autoSpaceDE w:val="0"/>
        <w:autoSpaceDN w:val="0"/>
        <w:adjustRightInd w:val="0"/>
        <w:jc w:val="both"/>
        <w:rPr>
          <w:lang w:val="en-GB"/>
        </w:rPr>
      </w:pPr>
    </w:p>
    <w:p w14:paraId="6818CA29" w14:textId="2EC01386" w:rsidR="00CD5F98" w:rsidRPr="0098671D" w:rsidRDefault="0098671D" w:rsidP="0098671D">
      <w:pPr>
        <w:autoSpaceDE w:val="0"/>
        <w:autoSpaceDN w:val="0"/>
        <w:adjustRightInd w:val="0"/>
        <w:jc w:val="both"/>
        <w:rPr>
          <w:lang w:val="en-GB"/>
        </w:rPr>
      </w:pPr>
      <w:r>
        <w:rPr>
          <w:lang w:val="en-GB"/>
        </w:rPr>
        <w:t>[11]</w:t>
      </w:r>
      <w:r>
        <w:rPr>
          <w:lang w:val="en-GB"/>
        </w:rPr>
        <w:tab/>
      </w:r>
      <w:r w:rsidR="00CD5F98" w:rsidRPr="0098671D">
        <w:rPr>
          <w:lang w:val="en-GB"/>
        </w:rPr>
        <w:t xml:space="preserve">In </w:t>
      </w:r>
      <w:r w:rsidR="00CD5F98" w:rsidRPr="0098671D">
        <w:rPr>
          <w:i/>
          <w:iCs/>
          <w:lang w:val="en-GB"/>
        </w:rPr>
        <w:t>Mgabadeli and Others v African National Congress and Others</w:t>
      </w:r>
      <w:r w:rsidR="00CD5F98" w:rsidRPr="0098671D">
        <w:rPr>
          <w:lang w:val="en-GB"/>
        </w:rPr>
        <w:t xml:space="preserve">, </w:t>
      </w:r>
      <w:r w:rsidR="00DA2D40" w:rsidRPr="0098671D">
        <w:rPr>
          <w:lang w:val="en-GB"/>
        </w:rPr>
        <w:t>a</w:t>
      </w:r>
      <w:r w:rsidR="00CD5F98" w:rsidRPr="0098671D">
        <w:rPr>
          <w:lang w:val="en-GB"/>
        </w:rPr>
        <w:t xml:space="preserve"> full </w:t>
      </w:r>
      <w:r w:rsidR="00DA2D40" w:rsidRPr="0098671D">
        <w:rPr>
          <w:lang w:val="en-GB"/>
        </w:rPr>
        <w:t>bench of this Division</w:t>
      </w:r>
      <w:r w:rsidR="00CD5F98" w:rsidRPr="0098671D">
        <w:rPr>
          <w:lang w:val="en-GB"/>
        </w:rPr>
        <w:t xml:space="preserve"> confirmed the principle of general non-interference with the internal arrangements and management of a political party acting within the terms of its constitution.</w:t>
      </w:r>
      <w:r w:rsidR="00CD5F98">
        <w:rPr>
          <w:rStyle w:val="FootnoteReference"/>
          <w:lang w:val="en-GB"/>
        </w:rPr>
        <w:footnoteReference w:id="10"/>
      </w:r>
      <w:r w:rsidR="00CD5F98" w:rsidRPr="0098671D">
        <w:rPr>
          <w:lang w:val="en-GB"/>
        </w:rPr>
        <w:t xml:space="preserve"> Participation in the activities of a political party are regulated by parties themselves, who are best placed to regulate their own internal affairs. As to dispute resolution, the court held as follows:</w:t>
      </w:r>
      <w:r w:rsidR="00CD5F98">
        <w:rPr>
          <w:rStyle w:val="FootnoteReference"/>
          <w:lang w:val="en-GB"/>
        </w:rPr>
        <w:footnoteReference w:id="11"/>
      </w:r>
    </w:p>
    <w:p w14:paraId="2EC63EAE" w14:textId="3B6E61D2" w:rsidR="00CD5F98" w:rsidRPr="00CD5F98" w:rsidRDefault="00CD5F98" w:rsidP="002341C4">
      <w:pPr>
        <w:pStyle w:val="ListParagraph"/>
        <w:autoSpaceDE w:val="0"/>
        <w:autoSpaceDN w:val="0"/>
        <w:adjustRightInd w:val="0"/>
        <w:ind w:left="0"/>
        <w:jc w:val="both"/>
        <w:rPr>
          <w:lang w:val="en-GB"/>
        </w:rPr>
      </w:pPr>
      <w:r>
        <w:rPr>
          <w:sz w:val="22"/>
          <w:szCs w:val="22"/>
          <w:lang w:val="en-GB"/>
        </w:rPr>
        <w:lastRenderedPageBreak/>
        <w:t>‘Finally, by reason of the underlying contractual nature of an association, it is open to the parties to agree on an internal mechanism to deal with disputes. Judicial intervention may as a result be deferred or suspended until a member has pursued all extrajudicial remedies that may be available. Where the rules of an association provide for an internal remedy a member in the normal course of events first exhausts the remedy before seeking relief in a court of law. This is however not an absolute rule. As in the case of any other contract, the existence of an internal or domestic remedy, its content and effect is to be determined on a proper construction of the terms of the constitution of the association.’</w:t>
      </w:r>
    </w:p>
    <w:p w14:paraId="14102AF4" w14:textId="77777777" w:rsidR="00CD5F98" w:rsidRPr="00CD5F98" w:rsidRDefault="00CD5F98" w:rsidP="00CD5F98">
      <w:pPr>
        <w:pStyle w:val="ListParagraph"/>
        <w:autoSpaceDE w:val="0"/>
        <w:autoSpaceDN w:val="0"/>
        <w:adjustRightInd w:val="0"/>
        <w:ind w:left="0"/>
        <w:jc w:val="both"/>
        <w:rPr>
          <w:lang w:val="en-GB"/>
        </w:rPr>
      </w:pPr>
    </w:p>
    <w:p w14:paraId="1C047630" w14:textId="31CAC57F" w:rsidR="002341C4" w:rsidRPr="0098671D" w:rsidRDefault="0098671D" w:rsidP="0098671D">
      <w:pPr>
        <w:autoSpaceDE w:val="0"/>
        <w:autoSpaceDN w:val="0"/>
        <w:adjustRightInd w:val="0"/>
        <w:jc w:val="both"/>
        <w:rPr>
          <w:lang w:val="en-GB"/>
        </w:rPr>
      </w:pPr>
      <w:r>
        <w:rPr>
          <w:lang w:val="en-GB"/>
        </w:rPr>
        <w:t>[12]</w:t>
      </w:r>
      <w:r>
        <w:rPr>
          <w:lang w:val="en-GB"/>
        </w:rPr>
        <w:tab/>
      </w:r>
      <w:r w:rsidR="002341C4" w:rsidRPr="0098671D">
        <w:rPr>
          <w:lang w:val="en-GB"/>
        </w:rPr>
        <w:t>When it is necessary to interpret a constitution, it must be interpreted in accordance with the ordinary rules of construction that apply to contracts in general. This requires giving effect to the plain language of the document, objectively ascertained within its context.</w:t>
      </w:r>
      <w:r w:rsidR="002341C4">
        <w:rPr>
          <w:rStyle w:val="FootnoteReference"/>
          <w:lang w:val="en-GB"/>
        </w:rPr>
        <w:footnoteReference w:id="12"/>
      </w:r>
      <w:r w:rsidR="002341C4" w:rsidRPr="0098671D">
        <w:rPr>
          <w:lang w:val="en-GB"/>
        </w:rPr>
        <w:t xml:space="preserve"> In the course of interpretation, preference should be given to a sensible meaning over ‘one that leads to insensible or unbusinesslike results or undermines the apparent purpose of the document’.</w:t>
      </w:r>
      <w:r w:rsidR="002341C4">
        <w:rPr>
          <w:rStyle w:val="FootnoteReference"/>
          <w:lang w:val="en-GB"/>
        </w:rPr>
        <w:footnoteReference w:id="13"/>
      </w:r>
    </w:p>
    <w:p w14:paraId="16B8A3A6" w14:textId="77777777" w:rsidR="002341C4" w:rsidRPr="00044B50" w:rsidRDefault="002341C4" w:rsidP="002341C4">
      <w:pPr>
        <w:pStyle w:val="ListParagraph"/>
        <w:autoSpaceDE w:val="0"/>
        <w:autoSpaceDN w:val="0"/>
        <w:adjustRightInd w:val="0"/>
        <w:ind w:left="0"/>
        <w:jc w:val="both"/>
        <w:rPr>
          <w:lang w:val="en-GB"/>
        </w:rPr>
      </w:pPr>
    </w:p>
    <w:p w14:paraId="3A407347" w14:textId="633A1CBF" w:rsidR="008268B0" w:rsidRPr="0098671D" w:rsidRDefault="0098671D" w:rsidP="0098671D">
      <w:pPr>
        <w:autoSpaceDE w:val="0"/>
        <w:autoSpaceDN w:val="0"/>
        <w:adjustRightInd w:val="0"/>
        <w:jc w:val="both"/>
        <w:rPr>
          <w:lang w:val="en-GB"/>
        </w:rPr>
      </w:pPr>
      <w:r>
        <w:rPr>
          <w:lang w:val="en-GB"/>
        </w:rPr>
        <w:t>[13]</w:t>
      </w:r>
      <w:r>
        <w:rPr>
          <w:lang w:val="en-GB"/>
        </w:rPr>
        <w:tab/>
      </w:r>
      <w:r w:rsidR="00C844BE" w:rsidRPr="0098671D">
        <w:rPr>
          <w:lang w:val="en-GB"/>
        </w:rPr>
        <w:t xml:space="preserve">The ANC </w:t>
      </w:r>
      <w:r w:rsidR="00816E79" w:rsidRPr="0098671D">
        <w:rPr>
          <w:lang w:val="en-GB"/>
        </w:rPr>
        <w:t>c</w:t>
      </w:r>
      <w:r w:rsidR="00C844BE" w:rsidRPr="0098671D">
        <w:rPr>
          <w:lang w:val="en-GB"/>
        </w:rPr>
        <w:t>onstitution provides that the PEC is the highest organ of the ANC in a province between provincial conferences</w:t>
      </w:r>
      <w:r w:rsidR="00D20033" w:rsidRPr="0098671D">
        <w:rPr>
          <w:lang w:val="en-GB"/>
        </w:rPr>
        <w:t xml:space="preserve">. </w:t>
      </w:r>
      <w:r w:rsidR="00F34F39" w:rsidRPr="0098671D">
        <w:rPr>
          <w:lang w:val="en-GB"/>
        </w:rPr>
        <w:t xml:space="preserve">It is empowered to ‘suspend, dissolve and re-launch Branch Executive Committees </w:t>
      </w:r>
      <w:r w:rsidR="00D521E7" w:rsidRPr="0098671D">
        <w:rPr>
          <w:lang w:val="en-GB"/>
        </w:rPr>
        <w:t xml:space="preserve">[BECs] </w:t>
      </w:r>
      <w:r w:rsidR="00F34F39" w:rsidRPr="0098671D">
        <w:rPr>
          <w:lang w:val="en-GB"/>
        </w:rPr>
        <w:t>and Regional Executive Committees [RECs] where necessary, subject to any directives from the Provincial Conference.</w:t>
      </w:r>
      <w:r w:rsidR="005F01BC" w:rsidRPr="0098671D">
        <w:rPr>
          <w:lang w:val="en-GB"/>
        </w:rPr>
        <w:t>’</w:t>
      </w:r>
      <w:r w:rsidR="00F34F39" w:rsidRPr="0098671D">
        <w:rPr>
          <w:lang w:val="en-GB"/>
        </w:rPr>
        <w:t xml:space="preserve"> </w:t>
      </w:r>
      <w:r w:rsidR="00F84449" w:rsidRPr="0098671D">
        <w:rPr>
          <w:lang w:val="en-GB"/>
        </w:rPr>
        <w:t xml:space="preserve">The PEC must appoint an interim structure during the period of suspension or dissolution to fulfil the functions of the BEC or REC, as the case may be. </w:t>
      </w:r>
      <w:r w:rsidR="00022B85" w:rsidRPr="0098671D">
        <w:rPr>
          <w:lang w:val="en-GB"/>
        </w:rPr>
        <w:t>A</w:t>
      </w:r>
      <w:r w:rsidR="00124F2B" w:rsidRPr="0098671D">
        <w:rPr>
          <w:lang w:val="en-GB"/>
        </w:rPr>
        <w:t xml:space="preserve"> BEC or a REC which has been suspended or dissolved enjoys a right of appeal to the NEC in terms of the ANC constitution.</w:t>
      </w:r>
      <w:r w:rsidR="005E09E8">
        <w:rPr>
          <w:rStyle w:val="FootnoteReference"/>
          <w:lang w:val="en-GB"/>
        </w:rPr>
        <w:footnoteReference w:id="14"/>
      </w:r>
    </w:p>
    <w:p w14:paraId="039153E0" w14:textId="77777777" w:rsidR="008268B0" w:rsidRDefault="008268B0" w:rsidP="008268B0">
      <w:pPr>
        <w:pStyle w:val="ListParagraph"/>
        <w:autoSpaceDE w:val="0"/>
        <w:autoSpaceDN w:val="0"/>
        <w:adjustRightInd w:val="0"/>
        <w:ind w:left="0"/>
        <w:jc w:val="both"/>
        <w:rPr>
          <w:lang w:val="en-GB"/>
        </w:rPr>
      </w:pPr>
    </w:p>
    <w:p w14:paraId="6BF64E67" w14:textId="60D30DCB" w:rsidR="007312CE" w:rsidRPr="0098671D" w:rsidRDefault="0098671D" w:rsidP="0098671D">
      <w:pPr>
        <w:autoSpaceDE w:val="0"/>
        <w:autoSpaceDN w:val="0"/>
        <w:adjustRightInd w:val="0"/>
        <w:jc w:val="both"/>
        <w:rPr>
          <w:lang w:val="en-GB"/>
        </w:rPr>
      </w:pPr>
      <w:r>
        <w:rPr>
          <w:lang w:val="en-GB"/>
        </w:rPr>
        <w:t>[14]</w:t>
      </w:r>
      <w:r>
        <w:rPr>
          <w:lang w:val="en-GB"/>
        </w:rPr>
        <w:tab/>
      </w:r>
      <w:r w:rsidR="003F7741" w:rsidRPr="0098671D">
        <w:rPr>
          <w:lang w:val="en-GB"/>
        </w:rPr>
        <w:t xml:space="preserve">The </w:t>
      </w:r>
      <w:r w:rsidR="00E763E6" w:rsidRPr="0098671D">
        <w:rPr>
          <w:lang w:val="en-GB"/>
        </w:rPr>
        <w:t>G</w:t>
      </w:r>
      <w:r w:rsidR="003F7741" w:rsidRPr="0098671D">
        <w:rPr>
          <w:lang w:val="en-GB"/>
        </w:rPr>
        <w:t>uidelines</w:t>
      </w:r>
      <w:r w:rsidR="00997136" w:rsidRPr="0098671D">
        <w:rPr>
          <w:lang w:val="en-GB"/>
        </w:rPr>
        <w:t>, adopted in terms of rule 26 of the ANC constitution,</w:t>
      </w:r>
      <w:r w:rsidR="005E1F5B" w:rsidRPr="0098671D">
        <w:rPr>
          <w:lang w:val="en-GB"/>
        </w:rPr>
        <w:t xml:space="preserve"> </w:t>
      </w:r>
      <w:r w:rsidR="00335AB2" w:rsidRPr="0098671D">
        <w:rPr>
          <w:lang w:val="en-GB"/>
        </w:rPr>
        <w:t>address</w:t>
      </w:r>
      <w:r w:rsidR="005E1F5B" w:rsidRPr="0098671D">
        <w:rPr>
          <w:lang w:val="en-GB"/>
        </w:rPr>
        <w:t xml:space="preserve"> branch dispute resolution processes</w:t>
      </w:r>
      <w:r w:rsidR="0039411B" w:rsidRPr="0098671D">
        <w:rPr>
          <w:lang w:val="en-GB"/>
        </w:rPr>
        <w:t>, and provide for the BEC to consider complaints and deliver verdicts in respect of a range of matters, including disputes about membership lists and attendance registers, and about matters relating to the conduct, proceedings or constitutionality of BGMs or BBGMs.</w:t>
      </w:r>
      <w:r w:rsidR="004E5B31">
        <w:rPr>
          <w:rStyle w:val="FootnoteReference"/>
          <w:lang w:val="en-GB"/>
        </w:rPr>
        <w:footnoteReference w:id="15"/>
      </w:r>
      <w:r w:rsidR="0039411B" w:rsidRPr="0098671D">
        <w:rPr>
          <w:lang w:val="en-GB"/>
        </w:rPr>
        <w:t xml:space="preserve"> </w:t>
      </w:r>
      <w:r w:rsidR="00186A64" w:rsidRPr="0098671D">
        <w:rPr>
          <w:lang w:val="en-GB"/>
        </w:rPr>
        <w:t>The Guidelines state further</w:t>
      </w:r>
      <w:r w:rsidR="001B0575" w:rsidRPr="0098671D">
        <w:rPr>
          <w:lang w:val="en-GB"/>
        </w:rPr>
        <w:t xml:space="preserve"> </w:t>
      </w:r>
      <w:r w:rsidR="001B0575" w:rsidRPr="0098671D">
        <w:rPr>
          <w:lang w:val="en-GB"/>
        </w:rPr>
        <w:lastRenderedPageBreak/>
        <w:t>that if a member is not satisfied by the resolution of the dispute by the BEC, the member can appeal in writing to the PDRC</w:t>
      </w:r>
      <w:r w:rsidR="0098297B" w:rsidRPr="0098671D">
        <w:rPr>
          <w:lang w:val="en-GB"/>
        </w:rPr>
        <w:t xml:space="preserve">. The final body of appeal on </w:t>
      </w:r>
      <w:r w:rsidR="007312CE" w:rsidRPr="0098671D">
        <w:rPr>
          <w:lang w:val="en-GB"/>
        </w:rPr>
        <w:t xml:space="preserve">such </w:t>
      </w:r>
      <w:r w:rsidR="0098297B" w:rsidRPr="0098671D">
        <w:rPr>
          <w:lang w:val="en-GB"/>
        </w:rPr>
        <w:t xml:space="preserve">disputes is the </w:t>
      </w:r>
      <w:r w:rsidR="00163358" w:rsidRPr="0098671D">
        <w:rPr>
          <w:lang w:val="en-GB"/>
        </w:rPr>
        <w:t>NDRC</w:t>
      </w:r>
      <w:r w:rsidR="0098297B" w:rsidRPr="0098671D">
        <w:rPr>
          <w:lang w:val="en-GB"/>
        </w:rPr>
        <w:t>.</w:t>
      </w:r>
      <w:r w:rsidR="00F834BD">
        <w:rPr>
          <w:rStyle w:val="FootnoteReference"/>
          <w:lang w:val="en-GB"/>
        </w:rPr>
        <w:footnoteReference w:id="16"/>
      </w:r>
      <w:r w:rsidR="0098297B" w:rsidRPr="0098671D">
        <w:rPr>
          <w:lang w:val="en-GB"/>
        </w:rPr>
        <w:t xml:space="preserve"> </w:t>
      </w:r>
      <w:r w:rsidR="001B0575" w:rsidRPr="0098671D">
        <w:rPr>
          <w:lang w:val="en-GB"/>
        </w:rPr>
        <w:t xml:space="preserve"> </w:t>
      </w:r>
    </w:p>
    <w:p w14:paraId="632AB9C8" w14:textId="77777777" w:rsidR="007312CE" w:rsidRPr="007312CE" w:rsidRDefault="007312CE" w:rsidP="007312CE">
      <w:pPr>
        <w:pStyle w:val="ListParagraph"/>
        <w:rPr>
          <w:lang w:val="en-GB"/>
        </w:rPr>
      </w:pPr>
    </w:p>
    <w:p w14:paraId="008E3B1D" w14:textId="04CAB4BD" w:rsidR="007312CE" w:rsidRPr="0098671D" w:rsidRDefault="0098671D" w:rsidP="0098671D">
      <w:pPr>
        <w:autoSpaceDE w:val="0"/>
        <w:autoSpaceDN w:val="0"/>
        <w:adjustRightInd w:val="0"/>
        <w:jc w:val="both"/>
        <w:rPr>
          <w:lang w:val="en-GB"/>
        </w:rPr>
      </w:pPr>
      <w:r w:rsidRPr="004555AA">
        <w:rPr>
          <w:lang w:val="en-GB"/>
        </w:rPr>
        <w:t>[15]</w:t>
      </w:r>
      <w:r w:rsidRPr="004555AA">
        <w:rPr>
          <w:lang w:val="en-GB"/>
        </w:rPr>
        <w:tab/>
      </w:r>
      <w:r w:rsidR="00FE0B8B" w:rsidRPr="0098671D">
        <w:rPr>
          <w:lang w:val="en-GB"/>
        </w:rPr>
        <w:t>As indicated, t</w:t>
      </w:r>
      <w:r w:rsidR="00BB3208" w:rsidRPr="0098671D">
        <w:rPr>
          <w:lang w:val="en-GB"/>
        </w:rPr>
        <w:t>he founding papers</w:t>
      </w:r>
      <w:r w:rsidR="00663587" w:rsidRPr="0098671D">
        <w:rPr>
          <w:lang w:val="en-GB"/>
        </w:rPr>
        <w:t>, in addition to their focus on branch meeting irregularities,</w:t>
      </w:r>
      <w:r w:rsidR="00BB3208" w:rsidRPr="0098671D">
        <w:rPr>
          <w:lang w:val="en-GB"/>
        </w:rPr>
        <w:t xml:space="preserve"> </w:t>
      </w:r>
      <w:r w:rsidR="009D6C37" w:rsidRPr="0098671D">
        <w:rPr>
          <w:lang w:val="en-GB"/>
        </w:rPr>
        <w:t xml:space="preserve">also </w:t>
      </w:r>
      <w:r w:rsidR="00BB3208" w:rsidRPr="0098671D">
        <w:rPr>
          <w:lang w:val="en-GB"/>
        </w:rPr>
        <w:t xml:space="preserve">reflect </w:t>
      </w:r>
      <w:r w:rsidR="00AD34B6" w:rsidRPr="0098671D">
        <w:rPr>
          <w:lang w:val="en-GB"/>
        </w:rPr>
        <w:t xml:space="preserve">substantive and procedural </w:t>
      </w:r>
      <w:r w:rsidR="00BB3208" w:rsidRPr="0098671D">
        <w:rPr>
          <w:lang w:val="en-GB"/>
        </w:rPr>
        <w:t>complaints about PEC decisions to disband various branches</w:t>
      </w:r>
      <w:r w:rsidR="00AD34B6" w:rsidRPr="0098671D">
        <w:rPr>
          <w:lang w:val="en-GB"/>
        </w:rPr>
        <w:t>, the applicants</w:t>
      </w:r>
      <w:r w:rsidR="0080724E" w:rsidRPr="0098671D">
        <w:rPr>
          <w:lang w:val="en-GB"/>
        </w:rPr>
        <w:t xml:space="preserve"> confirming that the affected branches had exercised their right to appeal to the NEC</w:t>
      </w:r>
      <w:r w:rsidR="002F0270" w:rsidRPr="0098671D">
        <w:rPr>
          <w:lang w:val="en-GB"/>
        </w:rPr>
        <w:t xml:space="preserve"> and argu</w:t>
      </w:r>
      <w:r w:rsidR="00BF33BE" w:rsidRPr="0098671D">
        <w:rPr>
          <w:lang w:val="en-GB"/>
        </w:rPr>
        <w:t>ing</w:t>
      </w:r>
      <w:r w:rsidR="002F0270" w:rsidRPr="0098671D">
        <w:rPr>
          <w:lang w:val="en-GB"/>
        </w:rPr>
        <w:t xml:space="preserve"> that their constitutional rights had been violated by the NEC’s failure to respond</w:t>
      </w:r>
      <w:r w:rsidR="0080724E" w:rsidRPr="0098671D">
        <w:rPr>
          <w:lang w:val="en-GB"/>
        </w:rPr>
        <w:t>.</w:t>
      </w:r>
      <w:r w:rsidR="00333059" w:rsidRPr="0098671D">
        <w:rPr>
          <w:lang w:val="en-GB"/>
        </w:rPr>
        <w:t xml:space="preserve"> </w:t>
      </w:r>
      <w:r w:rsidR="00554B90" w:rsidRPr="0098671D">
        <w:rPr>
          <w:lang w:val="en-GB"/>
        </w:rPr>
        <w:t xml:space="preserve">Both of these issues </w:t>
      </w:r>
      <w:r w:rsidR="00E35D40" w:rsidRPr="0098671D">
        <w:rPr>
          <w:lang w:val="en-GB"/>
        </w:rPr>
        <w:t xml:space="preserve">(branch irregularities and disbandment) </w:t>
      </w:r>
      <w:r w:rsidR="00554B90" w:rsidRPr="0098671D">
        <w:rPr>
          <w:lang w:val="en-GB"/>
        </w:rPr>
        <w:t xml:space="preserve">require </w:t>
      </w:r>
      <w:r w:rsidR="008E3715" w:rsidRPr="0098671D">
        <w:rPr>
          <w:lang w:val="en-GB"/>
        </w:rPr>
        <w:t>consideration.</w:t>
      </w:r>
    </w:p>
    <w:p w14:paraId="2934631B" w14:textId="448A32DF" w:rsidR="005E1F5B" w:rsidRDefault="005E1F5B" w:rsidP="00CD08E7">
      <w:pPr>
        <w:rPr>
          <w:lang w:val="en-GB"/>
        </w:rPr>
      </w:pPr>
    </w:p>
    <w:p w14:paraId="04CE6A0F" w14:textId="4ED7B400" w:rsidR="00CD08E7" w:rsidRDefault="00CD08E7" w:rsidP="00CD08E7">
      <w:pPr>
        <w:rPr>
          <w:b/>
          <w:bCs/>
          <w:lang w:val="en-GB"/>
        </w:rPr>
      </w:pPr>
      <w:r>
        <w:rPr>
          <w:b/>
          <w:bCs/>
          <w:lang w:val="en-GB"/>
        </w:rPr>
        <w:t>The legal position</w:t>
      </w:r>
    </w:p>
    <w:p w14:paraId="2735A631" w14:textId="77777777" w:rsidR="00CD08E7" w:rsidRPr="00CD08E7" w:rsidRDefault="00CD08E7" w:rsidP="00CD08E7">
      <w:pPr>
        <w:rPr>
          <w:lang w:val="en-GB"/>
        </w:rPr>
      </w:pPr>
    </w:p>
    <w:p w14:paraId="50356F61" w14:textId="014E94BD" w:rsidR="00CD08E7" w:rsidRPr="0098671D" w:rsidRDefault="0098671D" w:rsidP="0098671D">
      <w:pPr>
        <w:autoSpaceDE w:val="0"/>
        <w:autoSpaceDN w:val="0"/>
        <w:adjustRightInd w:val="0"/>
        <w:jc w:val="both"/>
        <w:rPr>
          <w:lang w:val="en-GB"/>
        </w:rPr>
      </w:pPr>
      <w:r>
        <w:rPr>
          <w:lang w:val="en-GB"/>
        </w:rPr>
        <w:t>[16]</w:t>
      </w:r>
      <w:r>
        <w:rPr>
          <w:lang w:val="en-GB"/>
        </w:rPr>
        <w:tab/>
      </w:r>
      <w:r w:rsidR="00CD08E7" w:rsidRPr="0098671D">
        <w:rPr>
          <w:lang w:val="en-GB"/>
        </w:rPr>
        <w:t xml:space="preserve">It must be emphasised that the present application concerns confirmation of a rule </w:t>
      </w:r>
      <w:r w:rsidR="00CD08E7" w:rsidRPr="0098671D">
        <w:rPr>
          <w:i/>
          <w:iCs/>
          <w:lang w:val="en-GB"/>
        </w:rPr>
        <w:t>nisi</w:t>
      </w:r>
      <w:r w:rsidR="00CD08E7" w:rsidRPr="0098671D">
        <w:rPr>
          <w:lang w:val="en-GB"/>
        </w:rPr>
        <w:t>. The rule has been defined as a court order issued at the instance of an applicant calling upon another party to show cause before the court on a particular day why the relief applied for should not be granted. The decree, rule or order does not take effect unless the person affected fails within the stated time to appear and show cause why it should not take effect.</w:t>
      </w:r>
      <w:r w:rsidR="00CD08E7">
        <w:rPr>
          <w:rStyle w:val="FootnoteReference"/>
          <w:lang w:val="en-GB"/>
        </w:rPr>
        <w:footnoteReference w:id="17"/>
      </w:r>
      <w:r w:rsidR="00CD08E7" w:rsidRPr="0098671D">
        <w:rPr>
          <w:lang w:val="en-GB"/>
        </w:rPr>
        <w:t xml:space="preserve"> If cause is shown on the return day, the court must decide on the evidence adduced, and according to the circumstances, either discharge the rule, or make it absolute, or vary it, or make such order thereon as seems just.</w:t>
      </w:r>
      <w:r w:rsidR="00CD08E7">
        <w:rPr>
          <w:rStyle w:val="FootnoteReference"/>
          <w:lang w:val="en-GB"/>
        </w:rPr>
        <w:footnoteReference w:id="18"/>
      </w:r>
    </w:p>
    <w:p w14:paraId="2CFEC451" w14:textId="77777777" w:rsidR="00CD08E7" w:rsidRPr="00D45765" w:rsidRDefault="00CD08E7" w:rsidP="00CD08E7">
      <w:pPr>
        <w:pStyle w:val="ListParagraph"/>
        <w:rPr>
          <w:lang w:val="en-GB"/>
        </w:rPr>
      </w:pPr>
    </w:p>
    <w:p w14:paraId="44BE165E" w14:textId="44713ED5" w:rsidR="00CD08E7" w:rsidRPr="0098671D" w:rsidRDefault="0098671D" w:rsidP="0098671D">
      <w:pPr>
        <w:autoSpaceDE w:val="0"/>
        <w:autoSpaceDN w:val="0"/>
        <w:adjustRightInd w:val="0"/>
        <w:jc w:val="both"/>
        <w:rPr>
          <w:lang w:val="en-GB"/>
        </w:rPr>
      </w:pPr>
      <w:r w:rsidRPr="00F6392F">
        <w:rPr>
          <w:lang w:val="en-GB"/>
        </w:rPr>
        <w:t>[17]</w:t>
      </w:r>
      <w:r w:rsidRPr="00F6392F">
        <w:rPr>
          <w:lang w:val="en-GB"/>
        </w:rPr>
        <w:tab/>
      </w:r>
      <w:r w:rsidR="00CD08E7" w:rsidRPr="0098671D">
        <w:rPr>
          <w:lang w:val="en-GB"/>
        </w:rPr>
        <w:t>Section 172(1)</w:t>
      </w:r>
      <w:r w:rsidR="00CD08E7" w:rsidRPr="0098671D">
        <w:rPr>
          <w:i/>
          <w:iCs/>
          <w:lang w:val="en-GB"/>
        </w:rPr>
        <w:t>(a)</w:t>
      </w:r>
      <w:r w:rsidR="00CD08E7" w:rsidRPr="0098671D">
        <w:rPr>
          <w:lang w:val="en-GB"/>
        </w:rPr>
        <w:t xml:space="preserve"> of the Constitution states that, when deciding a constitutional matter within its power, a court ‘must declare that any law or conduct that is inconsistent with the Constitution is invalid to the extent of its inconsistency’.</w:t>
      </w:r>
      <w:r w:rsidR="00CD08E7">
        <w:rPr>
          <w:rStyle w:val="FootnoteReference"/>
          <w:lang w:val="en-GB"/>
        </w:rPr>
        <w:footnoteReference w:id="19"/>
      </w:r>
      <w:r w:rsidR="00CD08E7" w:rsidRPr="0098671D">
        <w:rPr>
          <w:lang w:val="en-GB"/>
        </w:rPr>
        <w:t xml:space="preserve"> The constitutional issue sought to be raised must arise on the facts of the case before the </w:t>
      </w:r>
      <w:r w:rsidR="00CD08E7" w:rsidRPr="0098671D">
        <w:rPr>
          <w:lang w:val="en-GB"/>
        </w:rPr>
        <w:lastRenderedPageBreak/>
        <w:t>court.</w:t>
      </w:r>
      <w:r w:rsidR="00CD08E7">
        <w:rPr>
          <w:rStyle w:val="FootnoteReference"/>
          <w:lang w:val="en-GB"/>
        </w:rPr>
        <w:footnoteReference w:id="20"/>
      </w:r>
      <w:r w:rsidR="00CD08E7" w:rsidRPr="0098671D">
        <w:rPr>
          <w:lang w:val="en-GB"/>
        </w:rPr>
        <w:t xml:space="preserve"> This is a unique, constitutionally-created, remedy.</w:t>
      </w:r>
      <w:r w:rsidR="00CD08E7">
        <w:rPr>
          <w:rStyle w:val="FootnoteReference"/>
          <w:lang w:val="en-GB"/>
        </w:rPr>
        <w:footnoteReference w:id="21"/>
      </w:r>
      <w:r w:rsidR="00CD08E7" w:rsidRPr="0098671D">
        <w:rPr>
          <w:lang w:val="en-GB"/>
        </w:rPr>
        <w:t xml:space="preserve"> The section does not, however, articulate the circumstances in which a Court should decide a constitutional matter:</w:t>
      </w:r>
      <w:r w:rsidR="00CD08E7">
        <w:rPr>
          <w:rStyle w:val="FootnoteReference"/>
          <w:lang w:val="en-GB"/>
        </w:rPr>
        <w:footnoteReference w:id="22"/>
      </w:r>
    </w:p>
    <w:p w14:paraId="4B6CDDCD" w14:textId="77777777" w:rsidR="00CD08E7" w:rsidRDefault="00CD08E7" w:rsidP="00CD08E7">
      <w:pPr>
        <w:jc w:val="both"/>
        <w:rPr>
          <w:sz w:val="22"/>
          <w:szCs w:val="22"/>
          <w:lang w:val="en-GB"/>
        </w:rPr>
      </w:pPr>
      <w:r>
        <w:rPr>
          <w:sz w:val="22"/>
          <w:szCs w:val="22"/>
          <w:lang w:val="en-GB"/>
        </w:rPr>
        <w:t>‘[11] In determining when a Court should decide a constitutional matter, the jurisprudence developed under s 19(1)</w:t>
      </w:r>
      <w:r>
        <w:rPr>
          <w:i/>
          <w:iCs/>
          <w:sz w:val="22"/>
          <w:szCs w:val="22"/>
          <w:lang w:val="en-GB"/>
        </w:rPr>
        <w:t>(a)</w:t>
      </w:r>
      <w:r>
        <w:rPr>
          <w:sz w:val="22"/>
          <w:szCs w:val="22"/>
          <w:lang w:val="en-GB"/>
        </w:rPr>
        <w:t xml:space="preserve">(iii) will have relevance, as Didcott J pointed out in the </w:t>
      </w:r>
      <w:r>
        <w:rPr>
          <w:i/>
          <w:iCs/>
          <w:sz w:val="22"/>
          <w:szCs w:val="22"/>
          <w:lang w:val="en-GB"/>
        </w:rPr>
        <w:t>J T Publishing</w:t>
      </w:r>
      <w:r>
        <w:rPr>
          <w:sz w:val="22"/>
          <w:szCs w:val="22"/>
          <w:lang w:val="en-GB"/>
        </w:rPr>
        <w:t xml:space="preserve"> case. It is, however, also clear from that judgment that the constitutional setting may well introduce considerations different from those that are relevant to the exercise of a Judge’s discretion in terms of s 19(1)</w:t>
      </w:r>
      <w:r>
        <w:rPr>
          <w:i/>
          <w:iCs/>
          <w:sz w:val="22"/>
          <w:szCs w:val="22"/>
          <w:lang w:val="en-GB"/>
        </w:rPr>
        <w:t>(a)</w:t>
      </w:r>
      <w:r>
        <w:rPr>
          <w:sz w:val="22"/>
          <w:szCs w:val="22"/>
          <w:lang w:val="en-GB"/>
        </w:rPr>
        <w:t xml:space="preserve">(iii). </w:t>
      </w:r>
    </w:p>
    <w:p w14:paraId="2A85F085" w14:textId="77777777" w:rsidR="00CD08E7" w:rsidRDefault="00CD08E7" w:rsidP="00CD08E7">
      <w:pPr>
        <w:jc w:val="both"/>
        <w:rPr>
          <w:sz w:val="22"/>
          <w:szCs w:val="22"/>
          <w:lang w:val="en-GB"/>
        </w:rPr>
      </w:pPr>
    </w:p>
    <w:p w14:paraId="6F68D922" w14:textId="77777777" w:rsidR="00CD08E7" w:rsidRPr="00480641" w:rsidRDefault="00CD08E7" w:rsidP="00CD08E7">
      <w:pPr>
        <w:jc w:val="both"/>
        <w:rPr>
          <w:sz w:val="22"/>
          <w:szCs w:val="22"/>
          <w:lang w:val="en-GB"/>
        </w:rPr>
      </w:pPr>
      <w:r>
        <w:rPr>
          <w:sz w:val="22"/>
          <w:szCs w:val="22"/>
          <w:lang w:val="en-GB"/>
        </w:rPr>
        <w:t>[12] What is clear is that the High Court erred in approaching the prayer for constitutional invalidity as if it were a prayer for discretionary relief in terms of s 19(1)</w:t>
      </w:r>
      <w:r>
        <w:rPr>
          <w:i/>
          <w:iCs/>
          <w:sz w:val="22"/>
          <w:szCs w:val="22"/>
          <w:lang w:val="en-GB"/>
        </w:rPr>
        <w:t>(a)</w:t>
      </w:r>
      <w:r>
        <w:rPr>
          <w:sz w:val="22"/>
          <w:szCs w:val="22"/>
          <w:lang w:val="en-GB"/>
        </w:rPr>
        <w:t>(iii). The relief was sought in terms of the Constitution itself and not under the Supreme Court Act. It is already settled jurisprudence of this Court that a Court should not ordinarily decide a constitutional issue unless it is necessary to do so. Nor should it ordinarily decide a constitutional issue which is moot. The decision as to whether a Court should decide a constitutional matter remains one governed by the Constitution and its imperatives, not one determined solely by a consideration of the circumstances in which declaratory relief under s 19 of the Supreme Court Act would be granted.’ (Footnotes omitted).</w:t>
      </w:r>
    </w:p>
    <w:p w14:paraId="245EDDBF" w14:textId="77777777" w:rsidR="00CD08E7" w:rsidRPr="00480641" w:rsidRDefault="00CD08E7" w:rsidP="00CD08E7">
      <w:pPr>
        <w:rPr>
          <w:lang w:val="en-GB"/>
        </w:rPr>
      </w:pPr>
    </w:p>
    <w:p w14:paraId="666DAD8B" w14:textId="0456715A" w:rsidR="00CD08E7" w:rsidRPr="0098671D" w:rsidRDefault="0098671D" w:rsidP="0098671D">
      <w:pPr>
        <w:autoSpaceDE w:val="0"/>
        <w:autoSpaceDN w:val="0"/>
        <w:adjustRightInd w:val="0"/>
        <w:jc w:val="both"/>
        <w:rPr>
          <w:lang w:val="en-GB"/>
        </w:rPr>
      </w:pPr>
      <w:r>
        <w:rPr>
          <w:lang w:val="en-GB"/>
        </w:rPr>
        <w:t>[18]</w:t>
      </w:r>
      <w:r>
        <w:rPr>
          <w:lang w:val="en-GB"/>
        </w:rPr>
        <w:tab/>
      </w:r>
      <w:r w:rsidR="00CD08E7" w:rsidRPr="0098671D">
        <w:rPr>
          <w:lang w:val="en-GB"/>
        </w:rPr>
        <w:t>Cases in which a ‘bare declaration’ which would have no tangible, concrete result, because the matter involved an academic, abstract or hypothetical scenario, would seemingly not warrant such a declaration.</w:t>
      </w:r>
      <w:r w:rsidR="00CD08E7">
        <w:rPr>
          <w:rStyle w:val="FootnoteReference"/>
          <w:lang w:val="en-GB"/>
        </w:rPr>
        <w:footnoteReference w:id="23"/>
      </w:r>
      <w:r w:rsidR="00CD08E7" w:rsidRPr="0098671D">
        <w:rPr>
          <w:lang w:val="en-GB"/>
        </w:rPr>
        <w:t xml:space="preserve"> As Didcott J held, with reference to the interim Constitution:</w:t>
      </w:r>
    </w:p>
    <w:p w14:paraId="18A7A070" w14:textId="77777777" w:rsidR="00CD08E7" w:rsidRDefault="00CD08E7" w:rsidP="00CD08E7">
      <w:pPr>
        <w:jc w:val="both"/>
        <w:rPr>
          <w:sz w:val="22"/>
          <w:szCs w:val="22"/>
          <w:lang w:val="en-GB"/>
        </w:rPr>
      </w:pPr>
      <w:r>
        <w:rPr>
          <w:sz w:val="22"/>
          <w:szCs w:val="22"/>
          <w:lang w:val="en-GB"/>
        </w:rPr>
        <w:t xml:space="preserve">‘Section 98(5) admittedly enjoins us to declare that a law is invalid once we have found it to be inconsistent with the Constitution. But the requirement does not mean that we are </w:t>
      </w:r>
      <w:r>
        <w:rPr>
          <w:sz w:val="22"/>
          <w:szCs w:val="22"/>
          <w:lang w:val="en-GB"/>
        </w:rPr>
        <w:lastRenderedPageBreak/>
        <w:t>compelled to determine the anterior issue of inconsistency when, owing to its wholly abstract, academic or hypothetical nature should it have such in a given case, our going into it can produce no concrete or tangible result, indeed none whatsoever beyond the bare declaration.’</w:t>
      </w:r>
    </w:p>
    <w:p w14:paraId="71C2B496" w14:textId="77777777" w:rsidR="00CD08E7" w:rsidRPr="007A6AF4" w:rsidRDefault="00CD08E7" w:rsidP="00CD08E7">
      <w:pPr>
        <w:jc w:val="both"/>
        <w:rPr>
          <w:sz w:val="22"/>
          <w:szCs w:val="22"/>
          <w:lang w:val="en-GB"/>
        </w:rPr>
      </w:pPr>
    </w:p>
    <w:p w14:paraId="5596DEC5" w14:textId="062B94D3" w:rsidR="00CD08E7" w:rsidRPr="0098671D" w:rsidRDefault="0098671D" w:rsidP="0098671D">
      <w:pPr>
        <w:autoSpaceDE w:val="0"/>
        <w:autoSpaceDN w:val="0"/>
        <w:adjustRightInd w:val="0"/>
        <w:jc w:val="both"/>
        <w:rPr>
          <w:lang w:val="en-GB"/>
        </w:rPr>
      </w:pPr>
      <w:r>
        <w:rPr>
          <w:lang w:val="en-GB"/>
        </w:rPr>
        <w:t>[19]</w:t>
      </w:r>
      <w:r>
        <w:rPr>
          <w:lang w:val="en-GB"/>
        </w:rPr>
        <w:tab/>
      </w:r>
      <w:r w:rsidR="00CD08E7" w:rsidRPr="0098671D">
        <w:rPr>
          <w:lang w:val="en-GB"/>
        </w:rPr>
        <w:t>Mootness arises when a matter ‘no longer presents an existing or live controversy’.</w:t>
      </w:r>
      <w:r w:rsidR="00CD08E7">
        <w:rPr>
          <w:rStyle w:val="FootnoteReference"/>
          <w:lang w:val="en-GB"/>
        </w:rPr>
        <w:footnoteReference w:id="24"/>
      </w:r>
      <w:r w:rsidR="00CD08E7" w:rsidRPr="0098671D">
        <w:rPr>
          <w:lang w:val="en-GB"/>
        </w:rPr>
        <w:t xml:space="preserve"> This is because judicial resources should be wielded efficiently and because, in line with the decision in </w:t>
      </w:r>
      <w:r w:rsidR="00CD08E7" w:rsidRPr="0098671D">
        <w:rPr>
          <w:i/>
          <w:iCs/>
          <w:lang w:val="en-GB"/>
        </w:rPr>
        <w:t>J T Publishing</w:t>
      </w:r>
      <w:r w:rsidR="00CD08E7" w:rsidRPr="0098671D">
        <w:rPr>
          <w:lang w:val="en-GB"/>
        </w:rPr>
        <w:t>, abstract, academic or hypothetical questions should be avoided by the courts. This principle has been repeatedly reaffirmed by the Constitutional Court.</w:t>
      </w:r>
      <w:r w:rsidR="00CD08E7">
        <w:rPr>
          <w:rStyle w:val="FootnoteReference"/>
          <w:lang w:val="en-GB"/>
        </w:rPr>
        <w:footnoteReference w:id="25"/>
      </w:r>
      <w:r w:rsidR="00CD08E7" w:rsidRPr="0098671D">
        <w:rPr>
          <w:lang w:val="en-GB"/>
        </w:rPr>
        <w:t xml:space="preserve">  </w:t>
      </w:r>
    </w:p>
    <w:p w14:paraId="17ED0436" w14:textId="77777777" w:rsidR="00CD08E7" w:rsidRDefault="00CD08E7" w:rsidP="00CD08E7">
      <w:pPr>
        <w:pStyle w:val="ListParagraph"/>
        <w:autoSpaceDE w:val="0"/>
        <w:autoSpaceDN w:val="0"/>
        <w:adjustRightInd w:val="0"/>
        <w:ind w:left="0"/>
        <w:jc w:val="both"/>
        <w:rPr>
          <w:lang w:val="en-GB"/>
        </w:rPr>
      </w:pPr>
    </w:p>
    <w:p w14:paraId="7AC73A85" w14:textId="5D238125" w:rsidR="00CD08E7" w:rsidRPr="0098671D" w:rsidRDefault="0098671D" w:rsidP="0098671D">
      <w:pPr>
        <w:autoSpaceDE w:val="0"/>
        <w:autoSpaceDN w:val="0"/>
        <w:adjustRightInd w:val="0"/>
        <w:jc w:val="both"/>
        <w:rPr>
          <w:lang w:val="en-GB"/>
        </w:rPr>
      </w:pPr>
      <w:r>
        <w:rPr>
          <w:lang w:val="en-GB"/>
        </w:rPr>
        <w:t>[20]</w:t>
      </w:r>
      <w:r>
        <w:rPr>
          <w:lang w:val="en-GB"/>
        </w:rPr>
        <w:tab/>
      </w:r>
      <w:r w:rsidR="00CD08E7" w:rsidRPr="0098671D">
        <w:rPr>
          <w:lang w:val="en-GB"/>
        </w:rPr>
        <w:t>Nonetheless, mootness is not always an absolute bar to the justiciability of an issue, and it has been generally accepted that courts have a discretion whether or not to consider it.</w:t>
      </w:r>
      <w:r w:rsidR="00CD08E7">
        <w:rPr>
          <w:rStyle w:val="FootnoteReference"/>
          <w:lang w:val="en-GB"/>
        </w:rPr>
        <w:footnoteReference w:id="26"/>
      </w:r>
      <w:r w:rsidR="00CD08E7" w:rsidRPr="0098671D">
        <w:rPr>
          <w:lang w:val="en-GB"/>
        </w:rPr>
        <w:t xml:space="preserve"> The interests of justice is the key consideration.</w:t>
      </w:r>
      <w:r w:rsidR="00CD08E7">
        <w:rPr>
          <w:rStyle w:val="FootnoteReference"/>
          <w:lang w:val="en-GB"/>
        </w:rPr>
        <w:footnoteReference w:id="27"/>
      </w:r>
      <w:r w:rsidR="00CD08E7" w:rsidRPr="0098671D">
        <w:rPr>
          <w:lang w:val="en-GB"/>
        </w:rPr>
        <w:t xml:space="preserve"> In the context of appeals to the Constitutional Court, the following factors have been held to be potentially relevant in determining whether the interests of justice require a decision in a matter no longer presenting live issues:</w:t>
      </w:r>
      <w:r w:rsidR="00CD08E7">
        <w:rPr>
          <w:rStyle w:val="FootnoteReference"/>
          <w:lang w:val="en-GB"/>
        </w:rPr>
        <w:footnoteReference w:id="28"/>
      </w:r>
    </w:p>
    <w:p w14:paraId="481CF548" w14:textId="269C2E1C" w:rsidR="00CD08E7" w:rsidRPr="0098671D" w:rsidRDefault="0098671D" w:rsidP="0098671D">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CD08E7" w:rsidRPr="0098671D">
        <w:rPr>
          <w:lang w:val="en-GB"/>
        </w:rPr>
        <w:t>the nature and extent of the practical effect that any possible order might have;</w:t>
      </w:r>
    </w:p>
    <w:p w14:paraId="19FA9377" w14:textId="47A7916D" w:rsidR="00CD08E7" w:rsidRPr="0098671D" w:rsidRDefault="0098671D" w:rsidP="0098671D">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CD08E7" w:rsidRPr="0098671D">
        <w:rPr>
          <w:lang w:val="en-GB"/>
        </w:rPr>
        <w:t>the importance of the issue, including the public importance of an otherwise moot issue;</w:t>
      </w:r>
      <w:r w:rsidR="00CD08E7">
        <w:rPr>
          <w:rStyle w:val="FootnoteReference"/>
          <w:lang w:val="en-GB"/>
        </w:rPr>
        <w:footnoteReference w:id="29"/>
      </w:r>
    </w:p>
    <w:p w14:paraId="3CF7FA92" w14:textId="407D17F8" w:rsidR="00CD08E7" w:rsidRPr="0098671D" w:rsidRDefault="0098671D" w:rsidP="0098671D">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CD08E7" w:rsidRPr="0098671D">
        <w:rPr>
          <w:lang w:val="en-GB"/>
        </w:rPr>
        <w:t>the complexity of the issue;</w:t>
      </w:r>
    </w:p>
    <w:p w14:paraId="105491AD" w14:textId="6FC8E2BB" w:rsidR="00CD08E7" w:rsidRPr="0098671D" w:rsidRDefault="0098671D" w:rsidP="0098671D">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CD08E7" w:rsidRPr="0098671D">
        <w:rPr>
          <w:lang w:val="en-GB"/>
        </w:rPr>
        <w:t>the fullness or otherwise of the argument advanced; and</w:t>
      </w:r>
    </w:p>
    <w:p w14:paraId="17655D23" w14:textId="649CC195" w:rsidR="00CD08E7" w:rsidRPr="0098671D" w:rsidRDefault="0098671D" w:rsidP="0098671D">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CD08E7" w:rsidRPr="0098671D">
        <w:rPr>
          <w:lang w:val="en-GB"/>
        </w:rPr>
        <w:t>resolving disputes between different courts.</w:t>
      </w:r>
    </w:p>
    <w:p w14:paraId="26B2BF8A" w14:textId="77777777" w:rsidR="00CD08E7" w:rsidRPr="008B0C87" w:rsidRDefault="00CD08E7" w:rsidP="00CD08E7">
      <w:pPr>
        <w:pStyle w:val="ListParagraph"/>
        <w:autoSpaceDE w:val="0"/>
        <w:autoSpaceDN w:val="0"/>
        <w:adjustRightInd w:val="0"/>
        <w:jc w:val="both"/>
        <w:rPr>
          <w:lang w:val="en-GB"/>
        </w:rPr>
      </w:pPr>
    </w:p>
    <w:p w14:paraId="5D011CF2" w14:textId="13E5BE80" w:rsidR="000E0C9E" w:rsidRPr="0098671D" w:rsidRDefault="0098671D" w:rsidP="0098671D">
      <w:pPr>
        <w:autoSpaceDE w:val="0"/>
        <w:autoSpaceDN w:val="0"/>
        <w:adjustRightInd w:val="0"/>
        <w:jc w:val="both"/>
        <w:rPr>
          <w:lang w:val="en-GB"/>
        </w:rPr>
      </w:pPr>
      <w:r w:rsidRPr="00FF57B7">
        <w:rPr>
          <w:lang w:val="en-GB"/>
        </w:rPr>
        <w:lastRenderedPageBreak/>
        <w:t>[21]</w:t>
      </w:r>
      <w:r w:rsidRPr="00FF57B7">
        <w:rPr>
          <w:lang w:val="en-GB"/>
        </w:rPr>
        <w:tab/>
      </w:r>
      <w:r w:rsidR="00FF57B7" w:rsidRPr="0098671D">
        <w:rPr>
          <w:lang w:val="en-GB"/>
        </w:rPr>
        <w:t>Mootness is likely to be a bar to relief where the constitutional issue is not merely moot as between the parties but is also moot relative to society at large, and no considerations of compelling public interest require the court to reach a decision.</w:t>
      </w:r>
      <w:r w:rsidR="00FF57B7">
        <w:rPr>
          <w:rStyle w:val="FootnoteReference"/>
          <w:lang w:val="en-GB"/>
        </w:rPr>
        <w:footnoteReference w:id="30"/>
      </w:r>
      <w:r w:rsidR="00FF57B7" w:rsidRPr="0098671D">
        <w:rPr>
          <w:lang w:val="en-GB"/>
        </w:rPr>
        <w:t xml:space="preserve"> </w:t>
      </w:r>
      <w:r w:rsidR="000E0C9E" w:rsidRPr="0098671D">
        <w:rPr>
          <w:lang w:val="en-GB"/>
        </w:rPr>
        <w:t xml:space="preserve">Such considerations have also been </w:t>
      </w:r>
      <w:r w:rsidR="007B2882" w:rsidRPr="0098671D">
        <w:rPr>
          <w:lang w:val="en-GB"/>
        </w:rPr>
        <w:t>referenced</w:t>
      </w:r>
      <w:r w:rsidR="000E0C9E" w:rsidRPr="0098671D">
        <w:rPr>
          <w:lang w:val="en-GB"/>
        </w:rPr>
        <w:t>, in considering the issue of mootness, by full benches of this Division</w:t>
      </w:r>
      <w:r w:rsidR="00491B26" w:rsidRPr="0098671D">
        <w:rPr>
          <w:lang w:val="en-GB"/>
        </w:rPr>
        <w:t>, also when sitting as courts of first instance.</w:t>
      </w:r>
      <w:r w:rsidR="000E0C9E">
        <w:rPr>
          <w:rStyle w:val="FootnoteReference"/>
          <w:lang w:val="en-GB"/>
        </w:rPr>
        <w:footnoteReference w:id="31"/>
      </w:r>
      <w:r w:rsidR="000E0C9E" w:rsidRPr="0098671D">
        <w:rPr>
          <w:lang w:val="en-GB"/>
        </w:rPr>
        <w:t xml:space="preserve"> </w:t>
      </w:r>
    </w:p>
    <w:p w14:paraId="2BACB935" w14:textId="77777777" w:rsidR="000E0C9E" w:rsidRPr="000E0C9E" w:rsidRDefault="000E0C9E" w:rsidP="000E0C9E">
      <w:pPr>
        <w:pStyle w:val="ListParagraph"/>
        <w:rPr>
          <w:lang w:val="en-GB"/>
        </w:rPr>
      </w:pPr>
    </w:p>
    <w:p w14:paraId="326AD0F9" w14:textId="707885D0" w:rsidR="00CD08E7" w:rsidRPr="0098671D" w:rsidRDefault="0098671D" w:rsidP="0098671D">
      <w:pPr>
        <w:autoSpaceDE w:val="0"/>
        <w:autoSpaceDN w:val="0"/>
        <w:adjustRightInd w:val="0"/>
        <w:jc w:val="both"/>
        <w:rPr>
          <w:lang w:val="en-GB"/>
        </w:rPr>
      </w:pPr>
      <w:r w:rsidRPr="00103ADD">
        <w:rPr>
          <w:lang w:val="en-GB"/>
        </w:rPr>
        <w:t>[22]</w:t>
      </w:r>
      <w:r w:rsidRPr="00103ADD">
        <w:rPr>
          <w:lang w:val="en-GB"/>
        </w:rPr>
        <w:tab/>
      </w:r>
      <w:r w:rsidR="00676E07" w:rsidRPr="0098671D">
        <w:rPr>
          <w:lang w:val="en-GB"/>
        </w:rPr>
        <w:t>More recently, i</w:t>
      </w:r>
      <w:r w:rsidR="000E0C9E" w:rsidRPr="0098671D">
        <w:rPr>
          <w:lang w:val="en-GB"/>
        </w:rPr>
        <w:t xml:space="preserve">n </w:t>
      </w:r>
      <w:r w:rsidR="000E0C9E" w:rsidRPr="0098671D">
        <w:rPr>
          <w:i/>
          <w:iCs/>
          <w:lang w:val="en-GB"/>
        </w:rPr>
        <w:t>Minister of Justice and Others v Estate Stransham-Ford</w:t>
      </w:r>
      <w:r w:rsidR="000E0C9E" w:rsidRPr="0098671D">
        <w:rPr>
          <w:lang w:val="en-GB"/>
        </w:rPr>
        <w:t>,</w:t>
      </w:r>
      <w:r w:rsidR="000E0C9E" w:rsidRPr="000F610D">
        <w:rPr>
          <w:rStyle w:val="FootnoteReference"/>
          <w:lang w:val="en-GB"/>
        </w:rPr>
        <w:footnoteReference w:id="32"/>
      </w:r>
      <w:r w:rsidR="000E0C9E" w:rsidRPr="0098671D">
        <w:rPr>
          <w:lang w:val="en-GB"/>
        </w:rPr>
        <w:t xml:space="preserve"> (‘</w:t>
      </w:r>
      <w:r w:rsidR="000E0C9E" w:rsidRPr="0098671D">
        <w:rPr>
          <w:i/>
          <w:iCs/>
          <w:lang w:val="en-GB"/>
        </w:rPr>
        <w:t>Stransham-Ford</w:t>
      </w:r>
      <w:r w:rsidR="000E0C9E" w:rsidRPr="0098671D">
        <w:rPr>
          <w:lang w:val="en-GB"/>
        </w:rPr>
        <w:t>’) the SCA held that constitutional issues only arise for decision where, on the facts of a particular case, it is necessary to decide the constitutional issue</w:t>
      </w:r>
      <w:r w:rsidR="00D35B3B" w:rsidRPr="0098671D">
        <w:rPr>
          <w:lang w:val="en-GB"/>
        </w:rPr>
        <w:t>. Courts should avoid</w:t>
      </w:r>
      <w:r w:rsidR="000E0C9E" w:rsidRPr="0098671D">
        <w:rPr>
          <w:lang w:val="en-GB"/>
        </w:rPr>
        <w:t xml:space="preserve"> dealing with a situation where events subsequent to the commencement of litigation resulted in ther</w:t>
      </w:r>
      <w:r w:rsidR="005F26E6" w:rsidRPr="0098671D">
        <w:rPr>
          <w:lang w:val="en-GB"/>
        </w:rPr>
        <w:t>e</w:t>
      </w:r>
      <w:r w:rsidR="000E0C9E" w:rsidRPr="0098671D">
        <w:rPr>
          <w:lang w:val="en-GB"/>
        </w:rPr>
        <w:t xml:space="preserve"> no longer being an issue for determination.</w:t>
      </w:r>
      <w:r w:rsidR="000E0C9E">
        <w:rPr>
          <w:rStyle w:val="FootnoteReference"/>
          <w:lang w:val="en-GB"/>
        </w:rPr>
        <w:footnoteReference w:id="33"/>
      </w:r>
      <w:r w:rsidR="000E0C9E" w:rsidRPr="0098671D">
        <w:rPr>
          <w:i/>
          <w:iCs/>
          <w:lang w:val="en-GB"/>
        </w:rPr>
        <w:t xml:space="preserve"> </w:t>
      </w:r>
      <w:r w:rsidR="00103ADD" w:rsidRPr="0098671D">
        <w:rPr>
          <w:lang w:val="en-GB"/>
        </w:rPr>
        <w:t>T</w:t>
      </w:r>
      <w:r w:rsidR="00CD08E7" w:rsidRPr="0098671D">
        <w:rPr>
          <w:lang w:val="en-GB"/>
        </w:rPr>
        <w:t xml:space="preserve">he SCA </w:t>
      </w:r>
      <w:r w:rsidR="00103ADD" w:rsidRPr="0098671D">
        <w:rPr>
          <w:lang w:val="en-GB"/>
        </w:rPr>
        <w:t>added</w:t>
      </w:r>
      <w:r w:rsidR="00CD08E7" w:rsidRPr="0098671D">
        <w:rPr>
          <w:lang w:val="en-GB"/>
        </w:rPr>
        <w:t xml:space="preserve"> that the discretion to hear moot matters in the interests of justice was reserved by the Constitutional Court to cases where an order would have a practical impact on the future conduct of one or both of the parties to the litigation.</w:t>
      </w:r>
      <w:r w:rsidR="00CD08E7">
        <w:rPr>
          <w:rStyle w:val="FootnoteReference"/>
          <w:lang w:val="en-GB"/>
        </w:rPr>
        <w:footnoteReference w:id="34"/>
      </w:r>
      <w:r w:rsidR="00CD08E7" w:rsidRPr="0098671D">
        <w:rPr>
          <w:lang w:val="en-GB"/>
        </w:rPr>
        <w:t xml:space="preserve"> The SCA</w:t>
      </w:r>
      <w:r w:rsidR="00853F53" w:rsidRPr="0098671D">
        <w:rPr>
          <w:lang w:val="en-GB"/>
        </w:rPr>
        <w:t xml:space="preserve"> (and other appeal courts)</w:t>
      </w:r>
      <w:r w:rsidR="00CD08E7" w:rsidRPr="0098671D">
        <w:rPr>
          <w:lang w:val="en-GB"/>
        </w:rPr>
        <w:t xml:space="preserve"> enjoy a similar jurisdiction in terms of s 16(2)</w:t>
      </w:r>
      <w:r w:rsidR="00CD08E7" w:rsidRPr="0098671D">
        <w:rPr>
          <w:i/>
          <w:iCs/>
          <w:lang w:val="en-GB"/>
        </w:rPr>
        <w:t>(a)</w:t>
      </w:r>
      <w:r w:rsidR="00CD08E7" w:rsidRPr="0098671D">
        <w:rPr>
          <w:lang w:val="en-GB"/>
        </w:rPr>
        <w:t xml:space="preserve"> of the Superior Courts Act, 2013.</w:t>
      </w:r>
      <w:r w:rsidR="00CD08E7">
        <w:rPr>
          <w:rStyle w:val="FootnoteReference"/>
          <w:lang w:val="en-GB"/>
        </w:rPr>
        <w:footnoteReference w:id="35"/>
      </w:r>
      <w:r w:rsidR="00CD08E7" w:rsidRPr="0098671D">
        <w:rPr>
          <w:lang w:val="en-GB"/>
        </w:rPr>
        <w:t xml:space="preserve"> But courts of first instance should take heed. A</w:t>
      </w:r>
      <w:r w:rsidR="00880941" w:rsidRPr="0098671D">
        <w:rPr>
          <w:lang w:val="en-GB"/>
        </w:rPr>
        <w:t>ccording to</w:t>
      </w:r>
      <w:r w:rsidR="00CD08E7" w:rsidRPr="0098671D">
        <w:rPr>
          <w:lang w:val="en-GB"/>
        </w:rPr>
        <w:t xml:space="preserve"> Wallis JA:</w:t>
      </w:r>
      <w:r w:rsidR="00CD08E7">
        <w:rPr>
          <w:rStyle w:val="FootnoteReference"/>
          <w:lang w:val="en-GB"/>
        </w:rPr>
        <w:footnoteReference w:id="36"/>
      </w:r>
    </w:p>
    <w:p w14:paraId="46DFB101" w14:textId="77777777" w:rsidR="00CD08E7" w:rsidRPr="00505996" w:rsidRDefault="00CD08E7" w:rsidP="00CD08E7">
      <w:pPr>
        <w:pStyle w:val="ListParagraph"/>
        <w:autoSpaceDE w:val="0"/>
        <w:autoSpaceDN w:val="0"/>
        <w:adjustRightInd w:val="0"/>
        <w:ind w:left="0"/>
        <w:jc w:val="both"/>
        <w:rPr>
          <w:sz w:val="22"/>
          <w:szCs w:val="22"/>
          <w:lang w:val="en-GB"/>
        </w:rPr>
      </w:pPr>
      <w:r>
        <w:rPr>
          <w:sz w:val="22"/>
          <w:szCs w:val="22"/>
          <w:lang w:val="en-GB"/>
        </w:rPr>
        <w:t>‘In any event, I do not accept that it is open to courts of first instance to make orders on causes of action that have been extinguished, merely because they think that their decision will have broader societal implications. There must be many areas of the law of public interest where a judge may think that it would be helpful to have clarification but, unless the occasion arises in litigation that is properly before the court, it is not open to a judge to undertake that task.’</w:t>
      </w:r>
    </w:p>
    <w:p w14:paraId="0E965752" w14:textId="77777777" w:rsidR="00CD08E7" w:rsidRPr="00BE1B1D" w:rsidRDefault="00CD08E7" w:rsidP="00CD08E7">
      <w:pPr>
        <w:pStyle w:val="ListParagraph"/>
        <w:autoSpaceDE w:val="0"/>
        <w:autoSpaceDN w:val="0"/>
        <w:adjustRightInd w:val="0"/>
        <w:ind w:left="0"/>
        <w:jc w:val="both"/>
        <w:rPr>
          <w:lang w:val="en-GB"/>
        </w:rPr>
      </w:pPr>
    </w:p>
    <w:p w14:paraId="38A0A41B" w14:textId="6B15B78D" w:rsidR="00CD08E7" w:rsidRPr="0098671D" w:rsidRDefault="0098671D" w:rsidP="0098671D">
      <w:pPr>
        <w:autoSpaceDE w:val="0"/>
        <w:autoSpaceDN w:val="0"/>
        <w:adjustRightInd w:val="0"/>
        <w:jc w:val="both"/>
        <w:rPr>
          <w:lang w:val="en-GB"/>
        </w:rPr>
      </w:pPr>
      <w:r>
        <w:rPr>
          <w:lang w:val="en-GB"/>
        </w:rPr>
        <w:lastRenderedPageBreak/>
        <w:t>[23]</w:t>
      </w:r>
      <w:r>
        <w:rPr>
          <w:lang w:val="en-GB"/>
        </w:rPr>
        <w:tab/>
      </w:r>
      <w:r w:rsidR="00CD08E7" w:rsidRPr="0098671D">
        <w:rPr>
          <w:lang w:val="en-GB"/>
        </w:rPr>
        <w:t>The difference between the exercise of an appeal court’s jurisdiction in dealing with moot issues and the role of this Court was explained as follows:</w:t>
      </w:r>
      <w:r w:rsidR="00CD08E7">
        <w:rPr>
          <w:rStyle w:val="FootnoteReference"/>
          <w:lang w:val="en-GB"/>
        </w:rPr>
        <w:footnoteReference w:id="37"/>
      </w:r>
    </w:p>
    <w:p w14:paraId="03219155" w14:textId="6DF0FF91" w:rsidR="00030F79" w:rsidRPr="0004691F" w:rsidRDefault="00CD08E7" w:rsidP="0004691F">
      <w:pPr>
        <w:pStyle w:val="ListParagraph"/>
        <w:autoSpaceDE w:val="0"/>
        <w:autoSpaceDN w:val="0"/>
        <w:adjustRightInd w:val="0"/>
        <w:ind w:left="0"/>
        <w:jc w:val="both"/>
        <w:rPr>
          <w:sz w:val="22"/>
          <w:szCs w:val="22"/>
          <w:lang w:val="en-GB"/>
        </w:rPr>
      </w:pPr>
      <w:r>
        <w:rPr>
          <w:sz w:val="22"/>
          <w:szCs w:val="22"/>
          <w:lang w:val="en-GB"/>
        </w:rPr>
        <w:t>‘When a court of appeal addresses issues that were properly determined by a first-instance court, and determines them afresh because they raise issues of public importance, it is always mindful that otherwise under our system of precedent the judgment at first instance will affect the conduct of officials and influence other courts when confronting similar issues…The appeal court’s jurisdiction was exercise because “a discrete legal issue of public importance arose that would affect matters in the future and on which the adjudication of this court was required”. The High Court is not vested with similar powers. Its function is to determine cases that present live issues for determination.</w:t>
      </w:r>
      <w:r w:rsidR="00174A52">
        <w:rPr>
          <w:sz w:val="22"/>
          <w:szCs w:val="22"/>
          <w:lang w:val="en-GB"/>
        </w:rPr>
        <w:t>’</w:t>
      </w:r>
      <w:r w:rsidR="0047186F">
        <w:rPr>
          <w:lang w:val="en-GB"/>
        </w:rPr>
        <w:t xml:space="preserve"> </w:t>
      </w:r>
    </w:p>
    <w:p w14:paraId="7495395E" w14:textId="618BDE8F" w:rsidR="00030F79" w:rsidRDefault="00030F79" w:rsidP="00030F79">
      <w:pPr>
        <w:pStyle w:val="ListParagraph"/>
        <w:autoSpaceDE w:val="0"/>
        <w:autoSpaceDN w:val="0"/>
        <w:adjustRightInd w:val="0"/>
        <w:ind w:left="0"/>
        <w:jc w:val="both"/>
        <w:rPr>
          <w:lang w:val="en-GB"/>
        </w:rPr>
      </w:pPr>
    </w:p>
    <w:p w14:paraId="4DE5EC97" w14:textId="080498B5" w:rsidR="00030F79" w:rsidRDefault="00030F79" w:rsidP="00030F79">
      <w:pPr>
        <w:pStyle w:val="ListParagraph"/>
        <w:autoSpaceDE w:val="0"/>
        <w:autoSpaceDN w:val="0"/>
        <w:adjustRightInd w:val="0"/>
        <w:ind w:left="0"/>
        <w:jc w:val="both"/>
        <w:rPr>
          <w:b/>
          <w:bCs/>
          <w:lang w:val="en-GB"/>
        </w:rPr>
      </w:pPr>
      <w:r>
        <w:rPr>
          <w:b/>
          <w:bCs/>
          <w:lang w:val="en-GB"/>
        </w:rPr>
        <w:t>Analysis</w:t>
      </w:r>
    </w:p>
    <w:p w14:paraId="33630097" w14:textId="77777777" w:rsidR="00030F79" w:rsidRPr="00030F79" w:rsidRDefault="00030F79" w:rsidP="00030F79">
      <w:pPr>
        <w:pStyle w:val="ListParagraph"/>
        <w:autoSpaceDE w:val="0"/>
        <w:autoSpaceDN w:val="0"/>
        <w:adjustRightInd w:val="0"/>
        <w:ind w:left="0"/>
        <w:jc w:val="both"/>
        <w:rPr>
          <w:b/>
          <w:bCs/>
          <w:lang w:val="en-GB"/>
        </w:rPr>
      </w:pPr>
    </w:p>
    <w:p w14:paraId="70CEFD2B" w14:textId="7FF440A6" w:rsidR="0054411C" w:rsidRPr="0098671D" w:rsidRDefault="0098671D" w:rsidP="0098671D">
      <w:pPr>
        <w:autoSpaceDE w:val="0"/>
        <w:autoSpaceDN w:val="0"/>
        <w:adjustRightInd w:val="0"/>
        <w:jc w:val="both"/>
        <w:rPr>
          <w:lang w:val="en-GB"/>
        </w:rPr>
      </w:pPr>
      <w:r w:rsidRPr="00E07CAF">
        <w:rPr>
          <w:lang w:val="en-GB"/>
        </w:rPr>
        <w:t>[24]</w:t>
      </w:r>
      <w:r w:rsidRPr="00E07CAF">
        <w:rPr>
          <w:lang w:val="en-GB"/>
        </w:rPr>
        <w:tab/>
      </w:r>
      <w:r w:rsidR="00B5773A" w:rsidRPr="0098671D">
        <w:rPr>
          <w:lang w:val="en-GB"/>
        </w:rPr>
        <w:t>This matter concerns the confirmation of t</w:t>
      </w:r>
      <w:r w:rsidR="00351034" w:rsidRPr="0098671D">
        <w:rPr>
          <w:lang w:val="en-GB"/>
        </w:rPr>
        <w:t xml:space="preserve">he rule </w:t>
      </w:r>
      <w:r w:rsidR="00351034" w:rsidRPr="0098671D">
        <w:rPr>
          <w:i/>
          <w:iCs/>
          <w:lang w:val="en-GB"/>
        </w:rPr>
        <w:t xml:space="preserve">nisi </w:t>
      </w:r>
      <w:r w:rsidR="00351034" w:rsidRPr="0098671D">
        <w:rPr>
          <w:lang w:val="en-GB"/>
        </w:rPr>
        <w:t>issued on 7 April 2022</w:t>
      </w:r>
      <w:r w:rsidR="00B5773A" w:rsidRPr="0098671D">
        <w:rPr>
          <w:lang w:val="en-GB"/>
        </w:rPr>
        <w:t xml:space="preserve">. The rule </w:t>
      </w:r>
      <w:r w:rsidR="001821F8" w:rsidRPr="0098671D">
        <w:rPr>
          <w:lang w:val="en-GB"/>
        </w:rPr>
        <w:t xml:space="preserve">is framed in two parts. The first </w:t>
      </w:r>
      <w:r w:rsidR="00B5773A" w:rsidRPr="0098671D">
        <w:rPr>
          <w:lang w:val="en-GB"/>
        </w:rPr>
        <w:t xml:space="preserve">relates to declaratory relief </w:t>
      </w:r>
      <w:r w:rsidR="00D975F7" w:rsidRPr="0098671D">
        <w:rPr>
          <w:lang w:val="en-GB"/>
        </w:rPr>
        <w:t xml:space="preserve">involving unconstitutional and unlawful conduct at ANC BGMs and BBGMs conducted during February and March 2022 in the Dr WB Rubusana region. </w:t>
      </w:r>
      <w:r w:rsidR="001821F8" w:rsidRPr="0098671D">
        <w:rPr>
          <w:lang w:val="en-GB"/>
        </w:rPr>
        <w:t>The second part follows on from the first, holding that the decisions, resolutions and outcomes of the meetings held during February and March 2022 are void.</w:t>
      </w:r>
      <w:r w:rsidR="00351034" w:rsidRPr="0098671D">
        <w:rPr>
          <w:lang w:val="en-GB"/>
        </w:rPr>
        <w:t xml:space="preserve"> </w:t>
      </w:r>
      <w:r w:rsidR="004A662D" w:rsidRPr="0098671D">
        <w:rPr>
          <w:lang w:val="en-GB"/>
        </w:rPr>
        <w:t xml:space="preserve">Following the founding papers, the ‘unconstitutional and unlawful’ conduct alleged may be classified under two headings: </w:t>
      </w:r>
      <w:r w:rsidR="00E07CAF" w:rsidRPr="0098671D">
        <w:rPr>
          <w:lang w:val="en-GB"/>
        </w:rPr>
        <w:t xml:space="preserve">irregularities in meetings and </w:t>
      </w:r>
      <w:r w:rsidR="004A662D" w:rsidRPr="0098671D">
        <w:rPr>
          <w:lang w:val="en-GB"/>
        </w:rPr>
        <w:t>disbandment of the BECs</w:t>
      </w:r>
      <w:r w:rsidR="00E07CAF" w:rsidRPr="0098671D">
        <w:rPr>
          <w:lang w:val="en-GB"/>
        </w:rPr>
        <w:t>.</w:t>
      </w:r>
    </w:p>
    <w:p w14:paraId="79E2E74F" w14:textId="77777777" w:rsidR="0054411C" w:rsidRDefault="0054411C" w:rsidP="0054411C">
      <w:pPr>
        <w:pStyle w:val="ListParagraph"/>
        <w:autoSpaceDE w:val="0"/>
        <w:autoSpaceDN w:val="0"/>
        <w:adjustRightInd w:val="0"/>
        <w:ind w:left="0"/>
        <w:jc w:val="both"/>
        <w:rPr>
          <w:lang w:val="en-GB"/>
        </w:rPr>
      </w:pPr>
    </w:p>
    <w:p w14:paraId="5E7C5A20" w14:textId="7CF16B71" w:rsidR="008B394C" w:rsidRPr="0098671D" w:rsidRDefault="0098671D" w:rsidP="0098671D">
      <w:pPr>
        <w:autoSpaceDE w:val="0"/>
        <w:autoSpaceDN w:val="0"/>
        <w:adjustRightInd w:val="0"/>
        <w:jc w:val="both"/>
        <w:rPr>
          <w:lang w:val="en-GB"/>
        </w:rPr>
      </w:pPr>
      <w:r>
        <w:rPr>
          <w:lang w:val="en-GB"/>
        </w:rPr>
        <w:t>[25]</w:t>
      </w:r>
      <w:r>
        <w:rPr>
          <w:lang w:val="en-GB"/>
        </w:rPr>
        <w:tab/>
      </w:r>
      <w:r w:rsidR="0054411C" w:rsidRPr="0098671D">
        <w:rPr>
          <w:lang w:val="en-GB"/>
        </w:rPr>
        <w:t xml:space="preserve">It is immediately apparent that the rule </w:t>
      </w:r>
      <w:r w:rsidR="00351034" w:rsidRPr="0098671D">
        <w:rPr>
          <w:lang w:val="en-GB"/>
        </w:rPr>
        <w:t xml:space="preserve">is couched </w:t>
      </w:r>
      <w:r w:rsidR="002A3263" w:rsidRPr="0098671D">
        <w:rPr>
          <w:lang w:val="en-GB"/>
        </w:rPr>
        <w:t>in extremely wide terms.</w:t>
      </w:r>
      <w:r w:rsidR="00C100E2" w:rsidRPr="0098671D">
        <w:rPr>
          <w:lang w:val="en-GB"/>
        </w:rPr>
        <w:t xml:space="preserve"> The only sensible interpretation of the rule is to read both parts to </w:t>
      </w:r>
      <w:r w:rsidR="00351034" w:rsidRPr="0098671D">
        <w:rPr>
          <w:lang w:val="en-GB"/>
        </w:rPr>
        <w:t>includ</w:t>
      </w:r>
      <w:r w:rsidR="003F48EB" w:rsidRPr="0098671D">
        <w:rPr>
          <w:lang w:val="en-GB"/>
        </w:rPr>
        <w:t>e</w:t>
      </w:r>
      <w:r w:rsidR="00351034" w:rsidRPr="0098671D">
        <w:rPr>
          <w:lang w:val="en-GB"/>
        </w:rPr>
        <w:t xml:space="preserve"> all ANC BGMs and BBGMs conducted during the months of February and March 2022 in the Dr WB Rubusana region</w:t>
      </w:r>
      <w:r w:rsidR="00723D98" w:rsidRPr="0098671D">
        <w:rPr>
          <w:lang w:val="en-GB"/>
        </w:rPr>
        <w:t xml:space="preserve">. </w:t>
      </w:r>
      <w:r w:rsidR="007C1FDD" w:rsidRPr="0098671D">
        <w:rPr>
          <w:lang w:val="en-GB"/>
        </w:rPr>
        <w:t xml:space="preserve">The difficulty with this is that the applicants were members of </w:t>
      </w:r>
      <w:r w:rsidR="00976373" w:rsidRPr="0098671D">
        <w:rPr>
          <w:lang w:val="en-GB"/>
        </w:rPr>
        <w:t>a limited number of</w:t>
      </w:r>
      <w:r w:rsidR="007C1FDD" w:rsidRPr="0098671D">
        <w:rPr>
          <w:lang w:val="en-GB"/>
        </w:rPr>
        <w:t xml:space="preserve"> wards (22, 16, 46, 40 and 34). The application was launched ‘in our capacity as the leaders of the disbanded branch executive committee structures of the ANC, </w:t>
      </w:r>
      <w:r w:rsidR="007C1FDD" w:rsidRPr="0098671D">
        <w:rPr>
          <w:i/>
          <w:iCs/>
          <w:lang w:val="en-GB"/>
        </w:rPr>
        <w:t xml:space="preserve">viz </w:t>
      </w:r>
      <w:r w:rsidR="007C1FDD" w:rsidRPr="0098671D">
        <w:rPr>
          <w:lang w:val="en-GB"/>
        </w:rPr>
        <w:t>Ward 42, 11, 12, 17, 20, 22, 26, 34 and 46’.</w:t>
      </w:r>
      <w:r w:rsidR="00B335B6" w:rsidRPr="0098671D">
        <w:rPr>
          <w:lang w:val="en-GB"/>
        </w:rPr>
        <w:t xml:space="preserve"> The case the respondents were required to meet, from the outset, was restricted to issues with these branches</w:t>
      </w:r>
      <w:r w:rsidR="005632A1" w:rsidRPr="0098671D">
        <w:rPr>
          <w:lang w:val="en-GB"/>
        </w:rPr>
        <w:t xml:space="preserve"> (in </w:t>
      </w:r>
      <w:r w:rsidR="005632A1" w:rsidRPr="0098671D">
        <w:rPr>
          <w:lang w:val="en-GB"/>
        </w:rPr>
        <w:lastRenderedPageBreak/>
        <w:t>particular, disbandment</w:t>
      </w:r>
      <w:r w:rsidR="00A177FD" w:rsidRPr="0098671D">
        <w:rPr>
          <w:lang w:val="en-GB"/>
        </w:rPr>
        <w:t xml:space="preserve"> </w:t>
      </w:r>
      <w:r w:rsidR="00B335B6" w:rsidRPr="0098671D">
        <w:rPr>
          <w:lang w:val="en-GB"/>
        </w:rPr>
        <w:t xml:space="preserve">and </w:t>
      </w:r>
      <w:r w:rsidR="005632A1" w:rsidRPr="0098671D">
        <w:rPr>
          <w:lang w:val="en-GB"/>
        </w:rPr>
        <w:t>specified irregularities</w:t>
      </w:r>
      <w:r w:rsidR="008F629B" w:rsidRPr="0098671D">
        <w:rPr>
          <w:lang w:val="en-GB"/>
        </w:rPr>
        <w:t xml:space="preserve"> / non-compliance with the Guidelines</w:t>
      </w:r>
      <w:r w:rsidR="00137189" w:rsidRPr="0098671D">
        <w:rPr>
          <w:lang w:val="en-GB"/>
        </w:rPr>
        <w:t xml:space="preserve"> </w:t>
      </w:r>
      <w:r w:rsidR="0093242C" w:rsidRPr="0098671D">
        <w:rPr>
          <w:lang w:val="en-GB"/>
        </w:rPr>
        <w:t>in relation to</w:t>
      </w:r>
      <w:r w:rsidR="00137189" w:rsidRPr="0098671D">
        <w:rPr>
          <w:lang w:val="en-GB"/>
        </w:rPr>
        <w:t xml:space="preserve"> </w:t>
      </w:r>
      <w:r w:rsidR="00F25A41" w:rsidRPr="0098671D">
        <w:rPr>
          <w:lang w:val="en-GB"/>
        </w:rPr>
        <w:t xml:space="preserve">branch </w:t>
      </w:r>
      <w:r w:rsidR="00137189" w:rsidRPr="0098671D">
        <w:rPr>
          <w:lang w:val="en-GB"/>
        </w:rPr>
        <w:t>meetings</w:t>
      </w:r>
      <w:r w:rsidR="005632A1" w:rsidRPr="0098671D">
        <w:rPr>
          <w:lang w:val="en-GB"/>
        </w:rPr>
        <w:t>).</w:t>
      </w:r>
      <w:r w:rsidR="00D60C96">
        <w:rPr>
          <w:rStyle w:val="FootnoteReference"/>
          <w:lang w:val="en-GB"/>
        </w:rPr>
        <w:footnoteReference w:id="38"/>
      </w:r>
      <w:r w:rsidR="005632A1" w:rsidRPr="0098671D">
        <w:rPr>
          <w:lang w:val="en-GB"/>
        </w:rPr>
        <w:t xml:space="preserve"> </w:t>
      </w:r>
    </w:p>
    <w:p w14:paraId="639A67A6" w14:textId="77777777" w:rsidR="008B394C" w:rsidRPr="008B394C" w:rsidRDefault="008B394C" w:rsidP="008B394C">
      <w:pPr>
        <w:pStyle w:val="ListParagraph"/>
        <w:rPr>
          <w:lang w:val="en-GB"/>
        </w:rPr>
      </w:pPr>
    </w:p>
    <w:p w14:paraId="5965E906" w14:textId="520B64C7" w:rsidR="007C1FDD" w:rsidRPr="0098671D" w:rsidRDefault="0098671D" w:rsidP="0098671D">
      <w:pPr>
        <w:autoSpaceDE w:val="0"/>
        <w:autoSpaceDN w:val="0"/>
        <w:adjustRightInd w:val="0"/>
        <w:jc w:val="both"/>
        <w:rPr>
          <w:lang w:val="en-GB"/>
        </w:rPr>
      </w:pPr>
      <w:r w:rsidRPr="00C100E2">
        <w:rPr>
          <w:lang w:val="en-GB"/>
        </w:rPr>
        <w:t>[26]</w:t>
      </w:r>
      <w:r w:rsidRPr="00C100E2">
        <w:rPr>
          <w:lang w:val="en-GB"/>
        </w:rPr>
        <w:tab/>
      </w:r>
      <w:r w:rsidR="00B335B6" w:rsidRPr="0098671D">
        <w:rPr>
          <w:lang w:val="en-GB"/>
        </w:rPr>
        <w:t xml:space="preserve">I find no basis on the papers to confirm a rule relating to other ANC BGMs and BBGMs in the region that might have been conducted during February and March 2022. </w:t>
      </w:r>
      <w:r w:rsidR="0084365C" w:rsidRPr="0098671D">
        <w:rPr>
          <w:lang w:val="en-GB"/>
        </w:rPr>
        <w:t xml:space="preserve">The </w:t>
      </w:r>
      <w:r w:rsidR="0019764F" w:rsidRPr="0098671D">
        <w:rPr>
          <w:lang w:val="en-GB"/>
        </w:rPr>
        <w:t xml:space="preserve">mere </w:t>
      </w:r>
      <w:r w:rsidR="0084365C" w:rsidRPr="0098671D">
        <w:rPr>
          <w:lang w:val="en-GB"/>
        </w:rPr>
        <w:t xml:space="preserve">fact that the first replying affidavit </w:t>
      </w:r>
      <w:r w:rsidR="00F51362" w:rsidRPr="0098671D">
        <w:rPr>
          <w:lang w:val="en-GB"/>
        </w:rPr>
        <w:t xml:space="preserve">indicates that the membership statistics and data system of the ANC is not linked to the Department of Home Affairs </w:t>
      </w:r>
      <w:r w:rsidR="0099386A" w:rsidRPr="0098671D">
        <w:rPr>
          <w:lang w:val="en-GB"/>
        </w:rPr>
        <w:t>neither</w:t>
      </w:r>
      <w:r w:rsidR="00F51362" w:rsidRPr="0098671D">
        <w:rPr>
          <w:lang w:val="en-GB"/>
        </w:rPr>
        <w:t xml:space="preserve"> make</w:t>
      </w:r>
      <w:r w:rsidR="0099386A" w:rsidRPr="0098671D">
        <w:rPr>
          <w:lang w:val="en-GB"/>
        </w:rPr>
        <w:t>s</w:t>
      </w:r>
      <w:r w:rsidR="00F51362" w:rsidRPr="0098671D">
        <w:rPr>
          <w:lang w:val="en-GB"/>
        </w:rPr>
        <w:t xml:space="preserve"> out the case for</w:t>
      </w:r>
      <w:r w:rsidR="00701A81" w:rsidRPr="0098671D">
        <w:rPr>
          <w:lang w:val="en-GB"/>
        </w:rPr>
        <w:t xml:space="preserve"> systemic irregularities </w:t>
      </w:r>
      <w:r w:rsidR="0099386A" w:rsidRPr="0098671D">
        <w:rPr>
          <w:lang w:val="en-GB"/>
        </w:rPr>
        <w:t xml:space="preserve">nor </w:t>
      </w:r>
      <w:r w:rsidR="00E31594" w:rsidRPr="0098671D">
        <w:rPr>
          <w:lang w:val="en-GB"/>
        </w:rPr>
        <w:t>support</w:t>
      </w:r>
      <w:r w:rsidR="00182874" w:rsidRPr="0098671D">
        <w:rPr>
          <w:lang w:val="en-GB"/>
        </w:rPr>
        <w:t>s</w:t>
      </w:r>
      <w:r w:rsidR="00E31594" w:rsidRPr="0098671D">
        <w:rPr>
          <w:lang w:val="en-GB"/>
        </w:rPr>
        <w:t xml:space="preserve"> confirmation </w:t>
      </w:r>
      <w:r w:rsidR="00182874" w:rsidRPr="0098671D">
        <w:rPr>
          <w:lang w:val="en-GB"/>
        </w:rPr>
        <w:t>of the rule as constructed</w:t>
      </w:r>
      <w:r w:rsidR="00F51362" w:rsidRPr="0098671D">
        <w:rPr>
          <w:lang w:val="en-GB"/>
        </w:rPr>
        <w:t xml:space="preserve">. </w:t>
      </w:r>
      <w:r w:rsidR="00316EB5" w:rsidRPr="0098671D">
        <w:rPr>
          <w:lang w:val="en-GB"/>
        </w:rPr>
        <w:t xml:space="preserve">The </w:t>
      </w:r>
      <w:r w:rsidR="007C5DEE" w:rsidRPr="0098671D">
        <w:rPr>
          <w:lang w:val="en-GB"/>
        </w:rPr>
        <w:t xml:space="preserve">arguments ignore the reality that there </w:t>
      </w:r>
      <w:r w:rsidR="00316EB5" w:rsidRPr="0098671D">
        <w:rPr>
          <w:lang w:val="en-GB"/>
        </w:rPr>
        <w:t xml:space="preserve">may </w:t>
      </w:r>
      <w:r w:rsidR="00951EAB" w:rsidRPr="0098671D">
        <w:rPr>
          <w:lang w:val="en-GB"/>
        </w:rPr>
        <w:t xml:space="preserve">also </w:t>
      </w:r>
      <w:r w:rsidR="00316EB5" w:rsidRPr="0098671D">
        <w:rPr>
          <w:lang w:val="en-GB"/>
        </w:rPr>
        <w:t xml:space="preserve">be </w:t>
      </w:r>
      <w:r w:rsidR="0058578F" w:rsidRPr="0098671D">
        <w:rPr>
          <w:lang w:val="en-GB"/>
        </w:rPr>
        <w:t xml:space="preserve">various </w:t>
      </w:r>
      <w:r w:rsidR="00316EB5" w:rsidRPr="0098671D">
        <w:rPr>
          <w:lang w:val="en-GB"/>
        </w:rPr>
        <w:t>other approaches to negating the fraudulent use of identification documents by people seeking to participate in branch meetings</w:t>
      </w:r>
      <w:r w:rsidR="00D01FDE" w:rsidRPr="0098671D">
        <w:rPr>
          <w:lang w:val="en-GB"/>
        </w:rPr>
        <w:t xml:space="preserve">. </w:t>
      </w:r>
      <w:r w:rsidR="008330E7" w:rsidRPr="0098671D">
        <w:rPr>
          <w:lang w:val="en-GB"/>
        </w:rPr>
        <w:t>In addition, w</w:t>
      </w:r>
      <w:r w:rsidR="00A315B3" w:rsidRPr="0098671D">
        <w:rPr>
          <w:lang w:val="en-GB"/>
        </w:rPr>
        <w:t>hat occurred at other meetings in the region during February and March 2022 was not placed before this court</w:t>
      </w:r>
      <w:r w:rsidR="00316EB5" w:rsidRPr="0098671D">
        <w:rPr>
          <w:lang w:val="en-GB"/>
        </w:rPr>
        <w:t xml:space="preserve">. </w:t>
      </w:r>
      <w:r w:rsidR="00677D1B" w:rsidRPr="0098671D">
        <w:rPr>
          <w:lang w:val="en-GB"/>
        </w:rPr>
        <w:t>Nevertheless, I accept that it remains possible</w:t>
      </w:r>
      <w:r w:rsidR="00464177" w:rsidRPr="0098671D">
        <w:rPr>
          <w:lang w:val="en-GB"/>
        </w:rPr>
        <w:t>, in principle,</w:t>
      </w:r>
      <w:r w:rsidR="00677D1B" w:rsidRPr="0098671D">
        <w:rPr>
          <w:lang w:val="en-GB"/>
        </w:rPr>
        <w:t xml:space="preserve"> to confirm </w:t>
      </w:r>
      <w:r w:rsidR="00C74B26" w:rsidRPr="0098671D">
        <w:rPr>
          <w:lang w:val="en-GB"/>
        </w:rPr>
        <w:t>the rule in a varied, more restric</w:t>
      </w:r>
      <w:r w:rsidR="000429FD" w:rsidRPr="0098671D">
        <w:rPr>
          <w:lang w:val="en-GB"/>
        </w:rPr>
        <w:t>t</w:t>
      </w:r>
      <w:r w:rsidR="00C74B26" w:rsidRPr="0098671D">
        <w:rPr>
          <w:lang w:val="en-GB"/>
        </w:rPr>
        <w:t>ed form</w:t>
      </w:r>
      <w:r w:rsidR="005C4D70" w:rsidRPr="0098671D">
        <w:rPr>
          <w:lang w:val="en-GB"/>
        </w:rPr>
        <w:t xml:space="preserve"> and proceed to consider whether this is appropriate in the circumstances.</w:t>
      </w:r>
    </w:p>
    <w:p w14:paraId="062D8595" w14:textId="77777777" w:rsidR="007C1FDD" w:rsidRDefault="007C1FDD" w:rsidP="007C1FDD">
      <w:pPr>
        <w:pStyle w:val="ListParagraph"/>
        <w:autoSpaceDE w:val="0"/>
        <w:autoSpaceDN w:val="0"/>
        <w:adjustRightInd w:val="0"/>
        <w:ind w:left="0"/>
        <w:jc w:val="both"/>
        <w:rPr>
          <w:lang w:val="en-GB"/>
        </w:rPr>
      </w:pPr>
    </w:p>
    <w:p w14:paraId="2A384D0D" w14:textId="5E306369" w:rsidR="008B3137" w:rsidRPr="0098671D" w:rsidRDefault="0098671D" w:rsidP="0098671D">
      <w:pPr>
        <w:autoSpaceDE w:val="0"/>
        <w:autoSpaceDN w:val="0"/>
        <w:adjustRightInd w:val="0"/>
        <w:jc w:val="both"/>
        <w:rPr>
          <w:lang w:val="en-GB"/>
        </w:rPr>
      </w:pPr>
      <w:r>
        <w:rPr>
          <w:lang w:val="en-GB"/>
        </w:rPr>
        <w:t>[27]</w:t>
      </w:r>
      <w:r>
        <w:rPr>
          <w:lang w:val="en-GB"/>
        </w:rPr>
        <w:tab/>
      </w:r>
      <w:r w:rsidR="00182AA6" w:rsidRPr="0098671D">
        <w:rPr>
          <w:lang w:val="en-GB"/>
        </w:rPr>
        <w:t xml:space="preserve">The interplay between the ANC’s constitution and s 19 of the Constitution has been thoroughly canvassed in the majority judgment in </w:t>
      </w:r>
      <w:r w:rsidR="00182AA6" w:rsidRPr="0098671D">
        <w:rPr>
          <w:i/>
          <w:iCs/>
          <w:lang w:val="en-GB"/>
        </w:rPr>
        <w:t>Ramakatsa</w:t>
      </w:r>
      <w:r w:rsidR="00EE5865" w:rsidRPr="0098671D">
        <w:rPr>
          <w:i/>
          <w:iCs/>
          <w:lang w:val="en-GB"/>
        </w:rPr>
        <w:t xml:space="preserve"> </w:t>
      </w:r>
      <w:r w:rsidR="00EE5865" w:rsidRPr="0098671D">
        <w:rPr>
          <w:lang w:val="en-GB"/>
        </w:rPr>
        <w:t>1</w:t>
      </w:r>
      <w:r w:rsidR="00182AA6" w:rsidRPr="0098671D">
        <w:rPr>
          <w:lang w:val="en-GB"/>
        </w:rPr>
        <w:t xml:space="preserve">. </w:t>
      </w:r>
      <w:r w:rsidR="00C456AC" w:rsidRPr="0098671D">
        <w:rPr>
          <w:lang w:val="en-GB"/>
        </w:rPr>
        <w:t xml:space="preserve">Given that relationship, it must be accepted that this court is seized with a </w:t>
      </w:r>
      <w:r w:rsidR="00216FA0" w:rsidRPr="0098671D">
        <w:rPr>
          <w:lang w:val="en-GB"/>
        </w:rPr>
        <w:t xml:space="preserve">‘constitutional issue’ when </w:t>
      </w:r>
      <w:r w:rsidR="00AC3E23" w:rsidRPr="0098671D">
        <w:rPr>
          <w:lang w:val="en-GB"/>
        </w:rPr>
        <w:t xml:space="preserve">it considers </w:t>
      </w:r>
      <w:r w:rsidR="00D01553" w:rsidRPr="0098671D">
        <w:rPr>
          <w:lang w:val="en-GB"/>
        </w:rPr>
        <w:t xml:space="preserve">what transpired at the impugned meetings. </w:t>
      </w:r>
      <w:r w:rsidR="000516F8" w:rsidRPr="0098671D">
        <w:rPr>
          <w:lang w:val="en-GB"/>
        </w:rPr>
        <w:t xml:space="preserve">This court need not </w:t>
      </w:r>
      <w:r w:rsidR="0004647F" w:rsidRPr="0098671D">
        <w:rPr>
          <w:lang w:val="en-GB"/>
        </w:rPr>
        <w:t>belabour</w:t>
      </w:r>
      <w:r w:rsidR="000516F8" w:rsidRPr="0098671D">
        <w:rPr>
          <w:lang w:val="en-GB"/>
        </w:rPr>
        <w:t xml:space="preserve"> the unquestionable importance of proper participation in the activities of a political party, </w:t>
      </w:r>
      <w:r w:rsidR="00A21600" w:rsidRPr="0098671D">
        <w:rPr>
          <w:lang w:val="en-GB"/>
        </w:rPr>
        <w:t>or reiterate that a breach of the terms of the constitution of a political party now has a direct link with a contravention of</w:t>
      </w:r>
      <w:r w:rsidR="00F73A13" w:rsidRPr="0098671D">
        <w:rPr>
          <w:lang w:val="en-GB"/>
        </w:rPr>
        <w:t xml:space="preserve"> a</w:t>
      </w:r>
      <w:r w:rsidR="00A21600" w:rsidRPr="0098671D">
        <w:rPr>
          <w:lang w:val="en-GB"/>
        </w:rPr>
        <w:t xml:space="preserve"> constitutional right. </w:t>
      </w:r>
      <w:r w:rsidR="000822E4" w:rsidRPr="0098671D">
        <w:rPr>
          <w:lang w:val="en-GB"/>
        </w:rPr>
        <w:t xml:space="preserve">Mr </w:t>
      </w:r>
      <w:r w:rsidR="000822E4" w:rsidRPr="0098671D">
        <w:rPr>
          <w:i/>
          <w:iCs/>
          <w:lang w:val="en-GB"/>
        </w:rPr>
        <w:t>Katz SC</w:t>
      </w:r>
      <w:r w:rsidR="000822E4" w:rsidRPr="0098671D">
        <w:rPr>
          <w:lang w:val="en-GB"/>
        </w:rPr>
        <w:t xml:space="preserve"> urged the court to confirm the declaration of invalidity merely because conduct inconsistent with the Constitution had occurred at certain branch meetings.</w:t>
      </w:r>
      <w:r w:rsidR="00056C38" w:rsidRPr="0098671D">
        <w:rPr>
          <w:lang w:val="en-GB"/>
        </w:rPr>
        <w:t xml:space="preserve"> Based on s 172 of the Constitution, it was argued that such relief was obligatory in the absence of any explanation or justification from the respondents regarding the conduct of those meetings.</w:t>
      </w:r>
      <w:r w:rsidR="00ED30C9" w:rsidRPr="0098671D">
        <w:rPr>
          <w:lang w:val="en-GB"/>
        </w:rPr>
        <w:t xml:space="preserve"> </w:t>
      </w:r>
    </w:p>
    <w:p w14:paraId="4CF0A62B" w14:textId="77777777" w:rsidR="008B3137" w:rsidRPr="008B3137" w:rsidRDefault="008B3137" w:rsidP="008B3137">
      <w:pPr>
        <w:pStyle w:val="ListParagraph"/>
        <w:rPr>
          <w:lang w:val="en-GB"/>
        </w:rPr>
      </w:pPr>
    </w:p>
    <w:p w14:paraId="5EAB1A45" w14:textId="52E884DA" w:rsidR="00DA54F3" w:rsidRPr="0098671D" w:rsidRDefault="0098671D" w:rsidP="0098671D">
      <w:pPr>
        <w:autoSpaceDE w:val="0"/>
        <w:autoSpaceDN w:val="0"/>
        <w:adjustRightInd w:val="0"/>
        <w:jc w:val="both"/>
        <w:rPr>
          <w:lang w:val="en-GB"/>
        </w:rPr>
      </w:pPr>
      <w:r>
        <w:rPr>
          <w:lang w:val="en-GB"/>
        </w:rPr>
        <w:t>[28]</w:t>
      </w:r>
      <w:r>
        <w:rPr>
          <w:lang w:val="en-GB"/>
        </w:rPr>
        <w:tab/>
      </w:r>
      <w:r w:rsidR="0063349F" w:rsidRPr="0098671D">
        <w:rPr>
          <w:lang w:val="en-GB"/>
        </w:rPr>
        <w:t xml:space="preserve">The Constitutional Court has confirmed that declaratory orders are flexible remedies which can assist in clarifying legal and constitutional obligations in a manner </w:t>
      </w:r>
      <w:r w:rsidR="0063349F" w:rsidRPr="0098671D">
        <w:rPr>
          <w:lang w:val="en-GB"/>
        </w:rPr>
        <w:lastRenderedPageBreak/>
        <w:t>which promotes the protection and enforcement of the Constitution and its values.</w:t>
      </w:r>
      <w:r w:rsidR="0063349F">
        <w:rPr>
          <w:rStyle w:val="FootnoteReference"/>
          <w:lang w:val="en-GB"/>
        </w:rPr>
        <w:footnoteReference w:id="39"/>
      </w:r>
      <w:r w:rsidR="0063349F" w:rsidRPr="0098671D">
        <w:rPr>
          <w:lang w:val="en-GB"/>
        </w:rPr>
        <w:t xml:space="preserve"> </w:t>
      </w:r>
      <w:r w:rsidR="00814FBA" w:rsidRPr="0098671D">
        <w:rPr>
          <w:lang w:val="en-GB"/>
        </w:rPr>
        <w:t xml:space="preserve">Following </w:t>
      </w:r>
      <w:r w:rsidR="00814FBA" w:rsidRPr="0098671D">
        <w:rPr>
          <w:i/>
          <w:iCs/>
          <w:lang w:val="en-GB"/>
        </w:rPr>
        <w:t>Islamic Unity Convention</w:t>
      </w:r>
      <w:r w:rsidR="00814FBA" w:rsidRPr="0098671D">
        <w:rPr>
          <w:lang w:val="en-GB"/>
        </w:rPr>
        <w:t xml:space="preserve">, however, it is clear that this court is not always obliged to decide a constitutional matter raised on the papers before it. </w:t>
      </w:r>
      <w:r w:rsidR="0047186F" w:rsidRPr="0098671D">
        <w:rPr>
          <w:lang w:val="en-GB"/>
        </w:rPr>
        <w:t>This put</w:t>
      </w:r>
      <w:r w:rsidR="00786B25" w:rsidRPr="0098671D">
        <w:rPr>
          <w:lang w:val="en-GB"/>
        </w:rPr>
        <w:t xml:space="preserve"> paid to the argument that this court is obliged</w:t>
      </w:r>
      <w:r w:rsidR="00250811" w:rsidRPr="0098671D">
        <w:rPr>
          <w:lang w:val="en-GB"/>
        </w:rPr>
        <w:t xml:space="preserve"> to</w:t>
      </w:r>
      <w:r w:rsidR="00786B25" w:rsidRPr="0098671D">
        <w:rPr>
          <w:lang w:val="en-GB"/>
        </w:rPr>
        <w:t xml:space="preserve"> declare </w:t>
      </w:r>
      <w:r w:rsidR="004A5643" w:rsidRPr="0098671D">
        <w:rPr>
          <w:lang w:val="en-GB"/>
        </w:rPr>
        <w:t>any</w:t>
      </w:r>
      <w:r w:rsidR="00786B25" w:rsidRPr="0098671D">
        <w:rPr>
          <w:lang w:val="en-GB"/>
        </w:rPr>
        <w:t xml:space="preserve"> irregular conduct which occurred </w:t>
      </w:r>
      <w:r w:rsidR="00CB006D" w:rsidRPr="0098671D">
        <w:rPr>
          <w:lang w:val="en-GB"/>
        </w:rPr>
        <w:t>at branches unconstitutional</w:t>
      </w:r>
      <w:r w:rsidR="00044EC4" w:rsidRPr="0098671D">
        <w:rPr>
          <w:lang w:val="en-GB"/>
        </w:rPr>
        <w:t xml:space="preserve"> and unlawful</w:t>
      </w:r>
      <w:r w:rsidR="004A5643" w:rsidRPr="0098671D">
        <w:rPr>
          <w:lang w:val="en-GB"/>
        </w:rPr>
        <w:t xml:space="preserve"> simply because the conduct occurred and the applicants seek such declaratory relief</w:t>
      </w:r>
      <w:r w:rsidR="00044EC4" w:rsidRPr="0098671D">
        <w:rPr>
          <w:lang w:val="en-GB"/>
        </w:rPr>
        <w:t xml:space="preserve">. </w:t>
      </w:r>
      <w:r w:rsidR="006679EE" w:rsidRPr="0098671D">
        <w:rPr>
          <w:lang w:val="en-GB"/>
        </w:rPr>
        <w:t xml:space="preserve">In fact, a constitutional issue should not be decided unless it is necessary to do so, which will not </w:t>
      </w:r>
      <w:r w:rsidR="009A3800" w:rsidRPr="0098671D">
        <w:rPr>
          <w:lang w:val="en-GB"/>
        </w:rPr>
        <w:t xml:space="preserve">ordinarily </w:t>
      </w:r>
      <w:r w:rsidR="006679EE" w:rsidRPr="0098671D">
        <w:rPr>
          <w:lang w:val="en-GB"/>
        </w:rPr>
        <w:t>be the case if the constitutional issue is moot.</w:t>
      </w:r>
      <w:r w:rsidR="002B7C83" w:rsidRPr="0098671D">
        <w:rPr>
          <w:lang w:val="en-GB"/>
        </w:rPr>
        <w:t xml:space="preserve"> </w:t>
      </w:r>
    </w:p>
    <w:p w14:paraId="651BBD6E" w14:textId="77777777" w:rsidR="00DA54F3" w:rsidRPr="00DA54F3" w:rsidRDefault="00DA54F3" w:rsidP="00DA54F3">
      <w:pPr>
        <w:pStyle w:val="ListParagraph"/>
        <w:rPr>
          <w:lang w:val="en-GB"/>
        </w:rPr>
      </w:pPr>
    </w:p>
    <w:p w14:paraId="4D52AFCF" w14:textId="4DFE9444" w:rsidR="00CD08E7" w:rsidRPr="0098671D" w:rsidRDefault="0098671D" w:rsidP="0098671D">
      <w:pPr>
        <w:autoSpaceDE w:val="0"/>
        <w:autoSpaceDN w:val="0"/>
        <w:adjustRightInd w:val="0"/>
        <w:jc w:val="both"/>
        <w:rPr>
          <w:lang w:val="en-GB"/>
        </w:rPr>
      </w:pPr>
      <w:r w:rsidRPr="00DA54F3">
        <w:rPr>
          <w:lang w:val="en-GB"/>
        </w:rPr>
        <w:t>[29]</w:t>
      </w:r>
      <w:r w:rsidRPr="00DA54F3">
        <w:rPr>
          <w:lang w:val="en-GB"/>
        </w:rPr>
        <w:tab/>
      </w:r>
      <w:r w:rsidR="002B7C83" w:rsidRPr="0098671D">
        <w:rPr>
          <w:lang w:val="en-GB"/>
        </w:rPr>
        <w:t xml:space="preserve">Constitutional imperatives must be considered as part of deciding whether the constitutional matter should be decided. </w:t>
      </w:r>
      <w:r w:rsidR="00CD39C9" w:rsidRPr="0098671D">
        <w:rPr>
          <w:lang w:val="en-GB"/>
        </w:rPr>
        <w:t>Hypothetical, abstract or academic cases where a ‘bare declaration’ would result in no tangible result would not merit determination.</w:t>
      </w:r>
      <w:r w:rsidR="00DA54F3" w:rsidRPr="0098671D">
        <w:rPr>
          <w:lang w:val="en-GB"/>
        </w:rPr>
        <w:t xml:space="preserve"> </w:t>
      </w:r>
      <w:r w:rsidR="006A0924" w:rsidRPr="0098671D">
        <w:rPr>
          <w:lang w:val="en-GB"/>
        </w:rPr>
        <w:t>It is common cause that v</w:t>
      </w:r>
      <w:r w:rsidR="005B7710" w:rsidRPr="0098671D">
        <w:rPr>
          <w:lang w:val="en-GB"/>
        </w:rPr>
        <w:t xml:space="preserve">arious internal appeal processes were pending at the time the application was launched. </w:t>
      </w:r>
      <w:r w:rsidR="00E260BB" w:rsidRPr="0098671D">
        <w:rPr>
          <w:lang w:val="en-GB"/>
        </w:rPr>
        <w:t>The applicants’ replying affidavit, filed on 5 April 2022, confirms as much in relation to alleged irregularities in branch meetings:</w:t>
      </w:r>
    </w:p>
    <w:p w14:paraId="0E0F49A8" w14:textId="7C4A76BF" w:rsidR="00E260BB" w:rsidRDefault="00E260BB" w:rsidP="00E260BB">
      <w:pPr>
        <w:pStyle w:val="ListParagraph"/>
        <w:autoSpaceDE w:val="0"/>
        <w:autoSpaceDN w:val="0"/>
        <w:adjustRightInd w:val="0"/>
        <w:ind w:left="0"/>
        <w:jc w:val="both"/>
        <w:rPr>
          <w:sz w:val="22"/>
          <w:szCs w:val="22"/>
          <w:lang w:val="en-GB"/>
        </w:rPr>
      </w:pPr>
      <w:r>
        <w:rPr>
          <w:sz w:val="22"/>
          <w:szCs w:val="22"/>
          <w:lang w:val="en-GB"/>
        </w:rPr>
        <w:t>‘In any event, the fact of the matter is that no appeal has been convened to determine these issues and the deponent is not the PDRC, as such we seek that the appeal for this branch be convened and a determination be made.’</w:t>
      </w:r>
    </w:p>
    <w:p w14:paraId="4FBA883A" w14:textId="77777777" w:rsidR="00E260BB" w:rsidRPr="00E260BB" w:rsidRDefault="00E260BB" w:rsidP="00E260BB">
      <w:pPr>
        <w:pStyle w:val="ListParagraph"/>
        <w:autoSpaceDE w:val="0"/>
        <w:autoSpaceDN w:val="0"/>
        <w:adjustRightInd w:val="0"/>
        <w:ind w:left="0"/>
        <w:jc w:val="both"/>
        <w:rPr>
          <w:sz w:val="22"/>
          <w:szCs w:val="22"/>
          <w:lang w:val="en-GB"/>
        </w:rPr>
      </w:pPr>
    </w:p>
    <w:p w14:paraId="4191A63F" w14:textId="645C6C98" w:rsidR="001539B0" w:rsidRPr="0098671D" w:rsidRDefault="0098671D" w:rsidP="0098671D">
      <w:pPr>
        <w:autoSpaceDE w:val="0"/>
        <w:autoSpaceDN w:val="0"/>
        <w:adjustRightInd w:val="0"/>
        <w:jc w:val="both"/>
        <w:rPr>
          <w:lang w:val="en-GB"/>
        </w:rPr>
      </w:pPr>
      <w:r>
        <w:rPr>
          <w:lang w:val="en-GB"/>
        </w:rPr>
        <w:t>[30]</w:t>
      </w:r>
      <w:r>
        <w:rPr>
          <w:lang w:val="en-GB"/>
        </w:rPr>
        <w:tab/>
      </w:r>
      <w:r w:rsidR="00E260BB" w:rsidRPr="0098671D">
        <w:rPr>
          <w:lang w:val="en-GB"/>
        </w:rPr>
        <w:t xml:space="preserve">As indicated, </w:t>
      </w:r>
      <w:r w:rsidR="00BE7351" w:rsidRPr="0098671D">
        <w:rPr>
          <w:lang w:val="en-GB"/>
        </w:rPr>
        <w:t xml:space="preserve">the respondents </w:t>
      </w:r>
      <w:r w:rsidR="00017D84" w:rsidRPr="0098671D">
        <w:rPr>
          <w:lang w:val="en-GB"/>
        </w:rPr>
        <w:t>subsequently</w:t>
      </w:r>
      <w:r w:rsidR="00BE7351" w:rsidRPr="0098671D">
        <w:rPr>
          <w:lang w:val="en-GB"/>
        </w:rPr>
        <w:t xml:space="preserve"> provided responses as to the outcome of the various internal appeal processes</w:t>
      </w:r>
      <w:r w:rsidR="00536A03" w:rsidRPr="0098671D">
        <w:rPr>
          <w:lang w:val="en-GB"/>
        </w:rPr>
        <w:t>, which</w:t>
      </w:r>
      <w:r w:rsidR="008D3968" w:rsidRPr="0098671D">
        <w:rPr>
          <w:lang w:val="en-GB"/>
        </w:rPr>
        <w:t xml:space="preserve">, leaving aside the </w:t>
      </w:r>
      <w:r w:rsidR="009C0FCE" w:rsidRPr="0098671D">
        <w:rPr>
          <w:lang w:val="en-GB"/>
        </w:rPr>
        <w:t xml:space="preserve">misplaced </w:t>
      </w:r>
      <w:r w:rsidR="008D3968" w:rsidRPr="0098671D">
        <w:rPr>
          <w:lang w:val="en-GB"/>
        </w:rPr>
        <w:t>claim of systemic irregularit</w:t>
      </w:r>
      <w:r w:rsidR="003A5430" w:rsidRPr="0098671D">
        <w:rPr>
          <w:lang w:val="en-GB"/>
        </w:rPr>
        <w:t>ies,</w:t>
      </w:r>
      <w:r w:rsidR="00BE7351" w:rsidRPr="0098671D">
        <w:rPr>
          <w:lang w:val="en-GB"/>
        </w:rPr>
        <w:t xml:space="preserve"> relat</w:t>
      </w:r>
      <w:r w:rsidR="00536A03" w:rsidRPr="0098671D">
        <w:rPr>
          <w:lang w:val="en-GB"/>
        </w:rPr>
        <w:t>e</w:t>
      </w:r>
      <w:r w:rsidR="00BE7351" w:rsidRPr="0098671D">
        <w:rPr>
          <w:lang w:val="en-GB"/>
        </w:rPr>
        <w:t xml:space="preserve"> to </w:t>
      </w:r>
      <w:r w:rsidR="00536A03" w:rsidRPr="0098671D">
        <w:rPr>
          <w:lang w:val="en-GB"/>
        </w:rPr>
        <w:t xml:space="preserve">all </w:t>
      </w:r>
      <w:r w:rsidR="00BE7351" w:rsidRPr="0098671D">
        <w:rPr>
          <w:lang w:val="en-GB"/>
        </w:rPr>
        <w:t xml:space="preserve">the </w:t>
      </w:r>
      <w:r w:rsidR="004B1807" w:rsidRPr="0098671D">
        <w:rPr>
          <w:lang w:val="en-GB"/>
        </w:rPr>
        <w:t xml:space="preserve">alleged irregularities in the </w:t>
      </w:r>
      <w:r w:rsidR="00BE7351" w:rsidRPr="0098671D">
        <w:rPr>
          <w:lang w:val="en-GB"/>
        </w:rPr>
        <w:t>different branches</w:t>
      </w:r>
      <w:r w:rsidR="00536A03" w:rsidRPr="0098671D">
        <w:rPr>
          <w:lang w:val="en-GB"/>
        </w:rPr>
        <w:t xml:space="preserve"> that were </w:t>
      </w:r>
      <w:r w:rsidR="00B634AB" w:rsidRPr="0098671D">
        <w:rPr>
          <w:lang w:val="en-GB"/>
        </w:rPr>
        <w:t>referenced</w:t>
      </w:r>
      <w:r w:rsidR="00536A03" w:rsidRPr="0098671D">
        <w:rPr>
          <w:lang w:val="en-GB"/>
        </w:rPr>
        <w:t xml:space="preserve"> in the founding papers.</w:t>
      </w:r>
      <w:r w:rsidR="000E5E81" w:rsidRPr="0098671D">
        <w:rPr>
          <w:lang w:val="en-GB"/>
        </w:rPr>
        <w:t xml:space="preserve"> </w:t>
      </w:r>
      <w:r w:rsidR="003B256D" w:rsidRPr="0098671D">
        <w:rPr>
          <w:lang w:val="en-GB"/>
        </w:rPr>
        <w:t>Following</w:t>
      </w:r>
      <w:r w:rsidR="0019517B" w:rsidRPr="0098671D">
        <w:rPr>
          <w:lang w:val="en-GB"/>
        </w:rPr>
        <w:t xml:space="preserve"> the completion of those </w:t>
      </w:r>
      <w:r w:rsidR="0011368C" w:rsidRPr="0098671D">
        <w:rPr>
          <w:lang w:val="en-GB"/>
        </w:rPr>
        <w:t xml:space="preserve">internal </w:t>
      </w:r>
      <w:r w:rsidR="0019517B" w:rsidRPr="0098671D">
        <w:rPr>
          <w:lang w:val="en-GB"/>
        </w:rPr>
        <w:t>processes,</w:t>
      </w:r>
      <w:r w:rsidR="003B256D" w:rsidRPr="0098671D">
        <w:rPr>
          <w:lang w:val="en-GB"/>
        </w:rPr>
        <w:t xml:space="preserve"> the regional conference was convened.</w:t>
      </w:r>
      <w:r w:rsidR="00B22183" w:rsidRPr="0098671D">
        <w:rPr>
          <w:lang w:val="en-GB"/>
        </w:rPr>
        <w:t xml:space="preserve"> </w:t>
      </w:r>
      <w:r w:rsidR="00BB3852" w:rsidRPr="0098671D">
        <w:rPr>
          <w:lang w:val="en-GB"/>
        </w:rPr>
        <w:t xml:space="preserve">There is nothing on the papers before me to suggest that any live issues </w:t>
      </w:r>
      <w:r w:rsidR="00873259" w:rsidRPr="0098671D">
        <w:rPr>
          <w:lang w:val="en-GB"/>
        </w:rPr>
        <w:t xml:space="preserve">or controversies </w:t>
      </w:r>
      <w:r w:rsidR="00BB3852" w:rsidRPr="0098671D">
        <w:rPr>
          <w:lang w:val="en-GB"/>
        </w:rPr>
        <w:t>emanating from those matters persist.</w:t>
      </w:r>
      <w:r w:rsidR="00440C2A" w:rsidRPr="0098671D">
        <w:rPr>
          <w:lang w:val="en-GB"/>
        </w:rPr>
        <w:t xml:space="preserve"> </w:t>
      </w:r>
      <w:r w:rsidR="002D6428" w:rsidRPr="0098671D">
        <w:rPr>
          <w:lang w:val="en-GB"/>
        </w:rPr>
        <w:t xml:space="preserve">The events subsequent to the granting of the rule </w:t>
      </w:r>
      <w:r w:rsidR="002D6428" w:rsidRPr="0098671D">
        <w:rPr>
          <w:i/>
          <w:iCs/>
          <w:lang w:val="en-GB"/>
        </w:rPr>
        <w:t>nisi</w:t>
      </w:r>
      <w:r w:rsidR="00440C2A" w:rsidRPr="0098671D">
        <w:rPr>
          <w:lang w:val="en-GB"/>
        </w:rPr>
        <w:t>,</w:t>
      </w:r>
      <w:r w:rsidR="00327569" w:rsidRPr="0098671D">
        <w:rPr>
          <w:lang w:val="en-GB"/>
        </w:rPr>
        <w:t xml:space="preserve"> particularly the</w:t>
      </w:r>
      <w:r w:rsidR="00627A24" w:rsidRPr="0098671D">
        <w:rPr>
          <w:lang w:val="en-GB"/>
        </w:rPr>
        <w:t xml:space="preserve"> various internal appeal processes followed,</w:t>
      </w:r>
      <w:r w:rsidR="005B38BB" w:rsidRPr="0098671D">
        <w:rPr>
          <w:lang w:val="en-GB"/>
        </w:rPr>
        <w:t xml:space="preserve"> and their outcomes, </w:t>
      </w:r>
      <w:r w:rsidR="00AF56AC" w:rsidRPr="0098671D">
        <w:rPr>
          <w:lang w:val="en-GB"/>
        </w:rPr>
        <w:t>have altered the landscape so that there is no real issue for determination.</w:t>
      </w:r>
      <w:r w:rsidR="0023621C">
        <w:rPr>
          <w:rStyle w:val="FootnoteReference"/>
          <w:lang w:val="en-GB"/>
        </w:rPr>
        <w:footnoteReference w:id="40"/>
      </w:r>
      <w:r w:rsidR="00AF56AC" w:rsidRPr="0098671D">
        <w:rPr>
          <w:lang w:val="en-GB"/>
        </w:rPr>
        <w:t xml:space="preserve"> </w:t>
      </w:r>
      <w:r w:rsidR="0047186F" w:rsidRPr="0098671D">
        <w:rPr>
          <w:lang w:val="en-GB"/>
        </w:rPr>
        <w:t>As the Labour Appeal Court has noted in a different context, this is not an unusual occurrence.</w:t>
      </w:r>
      <w:r w:rsidR="0047186F">
        <w:rPr>
          <w:rStyle w:val="FootnoteReference"/>
          <w:lang w:val="en-GB"/>
        </w:rPr>
        <w:footnoteReference w:id="41"/>
      </w:r>
      <w:r w:rsidR="0047186F" w:rsidRPr="0098671D">
        <w:rPr>
          <w:lang w:val="en-GB"/>
        </w:rPr>
        <w:t xml:space="preserve"> </w:t>
      </w:r>
      <w:r w:rsidR="008770DC" w:rsidRPr="0098671D">
        <w:rPr>
          <w:lang w:val="en-GB"/>
        </w:rPr>
        <w:lastRenderedPageBreak/>
        <w:t xml:space="preserve">Reverting to what occurred at the impugned branch meetings, and declaring </w:t>
      </w:r>
      <w:r w:rsidR="00A42C88" w:rsidRPr="0098671D">
        <w:rPr>
          <w:lang w:val="en-GB"/>
        </w:rPr>
        <w:t xml:space="preserve">that </w:t>
      </w:r>
      <w:r w:rsidR="008770DC" w:rsidRPr="0098671D">
        <w:rPr>
          <w:lang w:val="en-GB"/>
        </w:rPr>
        <w:t>conduct to be unconstitutional and unlawful w</w:t>
      </w:r>
      <w:r w:rsidR="000516F8" w:rsidRPr="0098671D">
        <w:rPr>
          <w:lang w:val="en-GB"/>
        </w:rPr>
        <w:t xml:space="preserve">ould </w:t>
      </w:r>
      <w:r w:rsidR="00CB62D9" w:rsidRPr="0098671D">
        <w:rPr>
          <w:lang w:val="en-GB"/>
        </w:rPr>
        <w:t>lack practical effect</w:t>
      </w:r>
      <w:r w:rsidR="000516F8" w:rsidRPr="0098671D">
        <w:rPr>
          <w:lang w:val="en-GB"/>
        </w:rPr>
        <w:t xml:space="preserve"> considering the subsequent events.</w:t>
      </w:r>
      <w:r w:rsidR="007F2F75">
        <w:rPr>
          <w:rStyle w:val="FootnoteReference"/>
          <w:lang w:val="en-GB"/>
        </w:rPr>
        <w:footnoteReference w:id="42"/>
      </w:r>
      <w:r w:rsidR="000516F8" w:rsidRPr="0098671D">
        <w:rPr>
          <w:lang w:val="en-GB"/>
        </w:rPr>
        <w:t xml:space="preserve"> If anything, </w:t>
      </w:r>
      <w:r w:rsidR="00CD75D6" w:rsidRPr="0098671D">
        <w:rPr>
          <w:lang w:val="en-GB"/>
        </w:rPr>
        <w:t>confirming the second part of the rule</w:t>
      </w:r>
      <w:r w:rsidR="000516F8" w:rsidRPr="0098671D">
        <w:rPr>
          <w:lang w:val="en-GB"/>
        </w:rPr>
        <w:t xml:space="preserve"> may cause unnecessary consternation </w:t>
      </w:r>
      <w:r w:rsidR="00CD75D6" w:rsidRPr="0098671D">
        <w:rPr>
          <w:lang w:val="en-GB"/>
        </w:rPr>
        <w:t>about whether the various subsequent occurrences, including internal appeal outcomes, re-runs and the regional conference itself, should now be rewound.</w:t>
      </w:r>
      <w:r w:rsidR="0017271D" w:rsidRPr="0098671D">
        <w:rPr>
          <w:lang w:val="en-GB"/>
        </w:rPr>
        <w:t xml:space="preserve"> </w:t>
      </w:r>
      <w:r w:rsidR="001F7765" w:rsidRPr="0098671D">
        <w:rPr>
          <w:lang w:val="en-GB"/>
        </w:rPr>
        <w:t>No</w:t>
      </w:r>
      <w:r w:rsidR="005251C5" w:rsidRPr="0098671D">
        <w:rPr>
          <w:lang w:val="en-GB"/>
        </w:rPr>
        <w:t xml:space="preserve"> case for any of those drastic outcomes has been made</w:t>
      </w:r>
      <w:r w:rsidR="001F7765" w:rsidRPr="0098671D">
        <w:rPr>
          <w:lang w:val="en-GB"/>
        </w:rPr>
        <w:t>.</w:t>
      </w:r>
      <w:r w:rsidR="002607E5" w:rsidRPr="0098671D">
        <w:rPr>
          <w:lang w:val="en-GB"/>
        </w:rPr>
        <w:t xml:space="preserve"> </w:t>
      </w:r>
      <w:r w:rsidR="006B4122" w:rsidRPr="0098671D">
        <w:rPr>
          <w:lang w:val="en-GB"/>
        </w:rPr>
        <w:t>T</w:t>
      </w:r>
      <w:r w:rsidR="002607E5" w:rsidRPr="0098671D">
        <w:rPr>
          <w:lang w:val="en-GB"/>
        </w:rPr>
        <w:t xml:space="preserve">he confirmation of the rule based on irregularities at certain branch meetings </w:t>
      </w:r>
      <w:r w:rsidR="006B4122" w:rsidRPr="0098671D">
        <w:rPr>
          <w:lang w:val="en-GB"/>
        </w:rPr>
        <w:t>is now unnecessary given the outcome of the internal appeal processes.</w:t>
      </w:r>
    </w:p>
    <w:p w14:paraId="24108FA2" w14:textId="77777777" w:rsidR="001539B0" w:rsidRDefault="001539B0" w:rsidP="001539B0">
      <w:pPr>
        <w:pStyle w:val="ListParagraph"/>
        <w:autoSpaceDE w:val="0"/>
        <w:autoSpaceDN w:val="0"/>
        <w:adjustRightInd w:val="0"/>
        <w:ind w:left="0"/>
        <w:jc w:val="both"/>
        <w:rPr>
          <w:lang w:val="en-GB"/>
        </w:rPr>
      </w:pPr>
    </w:p>
    <w:p w14:paraId="20439819" w14:textId="10C09DF5" w:rsidR="00937871" w:rsidRPr="0098671D" w:rsidRDefault="0098671D" w:rsidP="0098671D">
      <w:pPr>
        <w:autoSpaceDE w:val="0"/>
        <w:autoSpaceDN w:val="0"/>
        <w:adjustRightInd w:val="0"/>
        <w:jc w:val="both"/>
        <w:rPr>
          <w:lang w:val="en-GB"/>
        </w:rPr>
      </w:pPr>
      <w:r>
        <w:rPr>
          <w:lang w:val="en-GB"/>
        </w:rPr>
        <w:t>[31]</w:t>
      </w:r>
      <w:r>
        <w:rPr>
          <w:lang w:val="en-GB"/>
        </w:rPr>
        <w:tab/>
      </w:r>
      <w:r w:rsidR="00937871" w:rsidRPr="0098671D">
        <w:rPr>
          <w:lang w:val="en-GB"/>
        </w:rPr>
        <w:t xml:space="preserve">Following </w:t>
      </w:r>
      <w:r w:rsidR="00937871" w:rsidRPr="0098671D">
        <w:rPr>
          <w:i/>
          <w:iCs/>
          <w:lang w:val="en-GB"/>
        </w:rPr>
        <w:t>Stransham-Ford</w:t>
      </w:r>
      <w:r w:rsidR="00937871" w:rsidRPr="0098671D">
        <w:rPr>
          <w:lang w:val="en-GB"/>
        </w:rPr>
        <w:t>, as a court of first instance</w:t>
      </w:r>
      <w:r w:rsidR="00250811" w:rsidRPr="0098671D">
        <w:rPr>
          <w:lang w:val="en-GB"/>
        </w:rPr>
        <w:t>,</w:t>
      </w:r>
      <w:r w:rsidR="00937871" w:rsidRPr="0098671D">
        <w:rPr>
          <w:lang w:val="en-GB"/>
        </w:rPr>
        <w:t xml:space="preserve"> that appears to be the end of the matter and there is no discretion to nevertheless proceed in the interests of justice, or because an issue of public importance has been raised, where there is no live issue for determination. The various cases cited by the applicants deal with the exercise of a discretion in appeal cases and are distinguishable.</w:t>
      </w:r>
      <w:r w:rsidR="00937871">
        <w:rPr>
          <w:rStyle w:val="FootnoteReference"/>
          <w:lang w:val="en-GB"/>
        </w:rPr>
        <w:footnoteReference w:id="43"/>
      </w:r>
      <w:r w:rsidR="00937871" w:rsidRPr="0098671D">
        <w:rPr>
          <w:lang w:val="en-GB"/>
        </w:rPr>
        <w:t xml:space="preserve"> I might add that even had I applied the factors traditionally considered by appeal courts in deciding whether the interests of justice require a decision, my view would have remained the same.</w:t>
      </w:r>
    </w:p>
    <w:p w14:paraId="37605CAE" w14:textId="77777777" w:rsidR="00937871" w:rsidRDefault="00937871" w:rsidP="00937871">
      <w:pPr>
        <w:pStyle w:val="ListParagraph"/>
        <w:autoSpaceDE w:val="0"/>
        <w:autoSpaceDN w:val="0"/>
        <w:adjustRightInd w:val="0"/>
        <w:ind w:left="0"/>
        <w:jc w:val="both"/>
        <w:rPr>
          <w:lang w:val="en-GB"/>
        </w:rPr>
      </w:pPr>
    </w:p>
    <w:p w14:paraId="128FFBDC" w14:textId="69B5A017" w:rsidR="0025248A" w:rsidRPr="0098671D" w:rsidRDefault="0098671D" w:rsidP="0098671D">
      <w:pPr>
        <w:autoSpaceDE w:val="0"/>
        <w:autoSpaceDN w:val="0"/>
        <w:adjustRightInd w:val="0"/>
        <w:jc w:val="both"/>
        <w:rPr>
          <w:lang w:val="en-GB"/>
        </w:rPr>
      </w:pPr>
      <w:r>
        <w:rPr>
          <w:lang w:val="en-GB"/>
        </w:rPr>
        <w:t>[32]</w:t>
      </w:r>
      <w:r>
        <w:rPr>
          <w:lang w:val="en-GB"/>
        </w:rPr>
        <w:tab/>
      </w:r>
      <w:r w:rsidR="003B57AF" w:rsidRPr="0098671D">
        <w:rPr>
          <w:lang w:val="en-GB"/>
        </w:rPr>
        <w:t>There are different</w:t>
      </w:r>
      <w:r w:rsidR="001539B0" w:rsidRPr="0098671D">
        <w:rPr>
          <w:lang w:val="en-GB"/>
        </w:rPr>
        <w:t xml:space="preserve"> difficul</w:t>
      </w:r>
      <w:r w:rsidR="003B57AF" w:rsidRPr="0098671D">
        <w:rPr>
          <w:lang w:val="en-GB"/>
        </w:rPr>
        <w:t>ties</w:t>
      </w:r>
      <w:r w:rsidR="001539B0" w:rsidRPr="0098671D">
        <w:rPr>
          <w:lang w:val="en-GB"/>
        </w:rPr>
        <w:t xml:space="preserve"> in respect of confirming the rule based on the issues raised in respect of the disbandment of certain branches. </w:t>
      </w:r>
      <w:r w:rsidR="000B654A" w:rsidRPr="0098671D">
        <w:rPr>
          <w:lang w:val="en-GB"/>
        </w:rPr>
        <w:t xml:space="preserve">It appears from the papers that </w:t>
      </w:r>
      <w:r w:rsidR="00ED48AA" w:rsidRPr="0098671D">
        <w:rPr>
          <w:lang w:val="en-GB"/>
        </w:rPr>
        <w:t>appeals against the dissolution of BECs were submitted to the NEC in terms of the ANC constitution</w:t>
      </w:r>
      <w:r w:rsidR="00090B20" w:rsidRPr="0098671D">
        <w:rPr>
          <w:lang w:val="en-GB"/>
        </w:rPr>
        <w:t>,</w:t>
      </w:r>
      <w:r w:rsidR="00D75122" w:rsidRPr="0098671D">
        <w:rPr>
          <w:lang w:val="en-GB"/>
        </w:rPr>
        <w:t xml:space="preserve"> seemingly</w:t>
      </w:r>
      <w:r w:rsidR="00090B20" w:rsidRPr="0098671D">
        <w:rPr>
          <w:lang w:val="en-GB"/>
        </w:rPr>
        <w:t xml:space="preserve"> without response.</w:t>
      </w:r>
      <w:r w:rsidR="00D75122" w:rsidRPr="0098671D">
        <w:rPr>
          <w:lang w:val="en-GB"/>
        </w:rPr>
        <w:t xml:space="preserve"> One question is whether entering the merits of this aspect of the case is appropriate absent the NEC</w:t>
      </w:r>
      <w:r w:rsidR="000F4EEA" w:rsidRPr="0098671D">
        <w:rPr>
          <w:lang w:val="en-GB"/>
        </w:rPr>
        <w:t>’</w:t>
      </w:r>
      <w:r w:rsidR="00D75122" w:rsidRPr="0098671D">
        <w:rPr>
          <w:lang w:val="en-GB"/>
        </w:rPr>
        <w:t xml:space="preserve">s </w:t>
      </w:r>
      <w:r w:rsidR="00BD7BB3" w:rsidRPr="0098671D">
        <w:rPr>
          <w:lang w:val="en-GB"/>
        </w:rPr>
        <w:t>response. The timing of a constitutional challenge and the doctrine of ripeness in the context of an ANC provincial conference</w:t>
      </w:r>
      <w:r w:rsidR="006729EB" w:rsidRPr="0098671D">
        <w:rPr>
          <w:lang w:val="en-GB"/>
        </w:rPr>
        <w:t xml:space="preserve"> and the duty to exhaust an internal remedy</w:t>
      </w:r>
      <w:r w:rsidR="00BD7BB3" w:rsidRPr="0098671D">
        <w:rPr>
          <w:lang w:val="en-GB"/>
        </w:rPr>
        <w:t xml:space="preserve"> was carefully analysed </w:t>
      </w:r>
      <w:r w:rsidR="00D3608D" w:rsidRPr="0098671D">
        <w:rPr>
          <w:lang w:val="en-GB"/>
        </w:rPr>
        <w:t>in</w:t>
      </w:r>
      <w:r w:rsidR="00BD7BB3" w:rsidRPr="0098671D">
        <w:rPr>
          <w:lang w:val="en-GB"/>
        </w:rPr>
        <w:t xml:space="preserve"> </w:t>
      </w:r>
      <w:r w:rsidR="00BD7BB3" w:rsidRPr="0098671D">
        <w:rPr>
          <w:i/>
          <w:iCs/>
          <w:lang w:val="en-GB"/>
        </w:rPr>
        <w:t>M</w:t>
      </w:r>
      <w:r w:rsidR="00D3608D" w:rsidRPr="0098671D">
        <w:rPr>
          <w:i/>
          <w:iCs/>
          <w:lang w:val="en-GB"/>
        </w:rPr>
        <w:t>gabadeli</w:t>
      </w:r>
      <w:r w:rsidR="00D3608D" w:rsidRPr="0098671D">
        <w:rPr>
          <w:lang w:val="en-GB"/>
        </w:rPr>
        <w:t>.</w:t>
      </w:r>
      <w:r w:rsidR="00EC716A">
        <w:rPr>
          <w:rStyle w:val="FootnoteReference"/>
          <w:lang w:val="en-GB"/>
        </w:rPr>
        <w:footnoteReference w:id="44"/>
      </w:r>
      <w:r w:rsidR="00D3608D" w:rsidRPr="0098671D">
        <w:rPr>
          <w:lang w:val="en-GB"/>
        </w:rPr>
        <w:t xml:space="preserve"> </w:t>
      </w:r>
      <w:r w:rsidR="00F50986" w:rsidRPr="0098671D">
        <w:rPr>
          <w:lang w:val="en-GB"/>
        </w:rPr>
        <w:t>Applying the principles confirmed in that decision, I am unconvinced that this dimension of the present application remains a ‘real, earnest, and vital controversy between the litigants’ given the flow of subsequent events.</w:t>
      </w:r>
      <w:r w:rsidR="003555FA" w:rsidRPr="0098671D">
        <w:rPr>
          <w:lang w:val="en-GB"/>
        </w:rPr>
        <w:t xml:space="preserve"> In particular, given that the Regional Conference has been held</w:t>
      </w:r>
      <w:r w:rsidR="000016FE" w:rsidRPr="0098671D">
        <w:rPr>
          <w:lang w:val="en-GB"/>
        </w:rPr>
        <w:t xml:space="preserve"> some time </w:t>
      </w:r>
      <w:r w:rsidR="000016FE" w:rsidRPr="0098671D">
        <w:rPr>
          <w:lang w:val="en-GB"/>
        </w:rPr>
        <w:lastRenderedPageBreak/>
        <w:t xml:space="preserve">ago, </w:t>
      </w:r>
      <w:r w:rsidR="00E468CD" w:rsidRPr="0098671D">
        <w:rPr>
          <w:lang w:val="en-GB"/>
        </w:rPr>
        <w:t xml:space="preserve">the matter would appear to be of academic interest only. </w:t>
      </w:r>
      <w:r w:rsidR="00F95F91" w:rsidRPr="0098671D">
        <w:rPr>
          <w:lang w:val="en-GB"/>
        </w:rPr>
        <w:t xml:space="preserve">I do not consider the circumstances to warrant the exercise of a discretion to nevertheless proceed to address the merits in relation </w:t>
      </w:r>
      <w:r w:rsidR="007F6128" w:rsidRPr="0098671D">
        <w:rPr>
          <w:lang w:val="en-GB"/>
        </w:rPr>
        <w:t>to a matter to be determined by the NEC.</w:t>
      </w:r>
      <w:r w:rsidR="007D2446">
        <w:rPr>
          <w:rStyle w:val="FootnoteReference"/>
          <w:lang w:val="en-GB"/>
        </w:rPr>
        <w:footnoteReference w:id="45"/>
      </w:r>
      <w:r w:rsidR="0025248A" w:rsidRPr="0098671D">
        <w:rPr>
          <w:lang w:val="en-GB"/>
        </w:rPr>
        <w:t xml:space="preserve"> </w:t>
      </w:r>
    </w:p>
    <w:p w14:paraId="31BDD306" w14:textId="77777777" w:rsidR="007121B6" w:rsidRDefault="007121B6" w:rsidP="007121B6">
      <w:pPr>
        <w:pStyle w:val="ListParagraph"/>
        <w:autoSpaceDE w:val="0"/>
        <w:autoSpaceDN w:val="0"/>
        <w:adjustRightInd w:val="0"/>
        <w:ind w:left="0"/>
        <w:jc w:val="both"/>
        <w:rPr>
          <w:lang w:val="en-GB"/>
        </w:rPr>
      </w:pPr>
    </w:p>
    <w:p w14:paraId="710B32C9" w14:textId="4FBF6AD8" w:rsidR="007121B6" w:rsidRPr="0098671D" w:rsidRDefault="0098671D" w:rsidP="0098671D">
      <w:pPr>
        <w:autoSpaceDE w:val="0"/>
        <w:autoSpaceDN w:val="0"/>
        <w:adjustRightInd w:val="0"/>
        <w:jc w:val="both"/>
        <w:rPr>
          <w:lang w:val="en-GB"/>
        </w:rPr>
      </w:pPr>
      <w:r>
        <w:rPr>
          <w:lang w:val="en-GB"/>
        </w:rPr>
        <w:t>[33]</w:t>
      </w:r>
      <w:r>
        <w:rPr>
          <w:lang w:val="en-GB"/>
        </w:rPr>
        <w:tab/>
      </w:r>
      <w:r w:rsidR="007121B6" w:rsidRPr="0098671D">
        <w:rPr>
          <w:lang w:val="en-GB"/>
        </w:rPr>
        <w:t xml:space="preserve">The </w:t>
      </w:r>
      <w:r w:rsidR="00C6775D" w:rsidRPr="0098671D">
        <w:rPr>
          <w:lang w:val="en-GB"/>
        </w:rPr>
        <w:t>outcome would remain unchanged even if this court were to accept that the NEC</w:t>
      </w:r>
      <w:r w:rsidR="00750435" w:rsidRPr="0098671D">
        <w:rPr>
          <w:lang w:val="en-GB"/>
        </w:rPr>
        <w:t>’</w:t>
      </w:r>
      <w:r w:rsidR="00C6775D" w:rsidRPr="0098671D">
        <w:rPr>
          <w:lang w:val="en-GB"/>
        </w:rPr>
        <w:t>s failure to respond should be treated as a final position to refuse the appeal.</w:t>
      </w:r>
      <w:r w:rsidR="00F17AC7">
        <w:rPr>
          <w:rStyle w:val="FootnoteReference"/>
          <w:lang w:val="en-GB"/>
        </w:rPr>
        <w:footnoteReference w:id="46"/>
      </w:r>
      <w:r w:rsidR="00C6775D" w:rsidRPr="0098671D">
        <w:rPr>
          <w:lang w:val="en-GB"/>
        </w:rPr>
        <w:t xml:space="preserve"> </w:t>
      </w:r>
      <w:r w:rsidR="004777D8" w:rsidRPr="0098671D">
        <w:rPr>
          <w:lang w:val="en-GB"/>
        </w:rPr>
        <w:t xml:space="preserve">I hasten to add that this was not the applicants’ argument. </w:t>
      </w:r>
      <w:r w:rsidR="00E671EC" w:rsidRPr="0098671D">
        <w:rPr>
          <w:lang w:val="en-GB"/>
        </w:rPr>
        <w:t>The respondents second answering affidavit took the point that any appeal to the NEC in respect of a dissolution would not return the affected BECs to office, so that the BTTs were within their rights to proceed to convene the various meetings that followed</w:t>
      </w:r>
      <w:r w:rsidR="00750435" w:rsidRPr="0098671D">
        <w:rPr>
          <w:lang w:val="en-GB"/>
        </w:rPr>
        <w:t>, pending any decision by the NEC to overturn the dissolution</w:t>
      </w:r>
      <w:r w:rsidR="00E671EC" w:rsidRPr="0098671D">
        <w:rPr>
          <w:lang w:val="en-GB"/>
        </w:rPr>
        <w:t xml:space="preserve">. This averment was left unchallenged in reply and in argument and must be accepted as reflecting the correct position, so that </w:t>
      </w:r>
      <w:r w:rsidR="007A2A99" w:rsidRPr="0098671D">
        <w:rPr>
          <w:lang w:val="en-GB"/>
        </w:rPr>
        <w:t xml:space="preserve">the rule </w:t>
      </w:r>
      <w:r w:rsidR="007A2A99" w:rsidRPr="0098671D">
        <w:rPr>
          <w:i/>
          <w:iCs/>
          <w:lang w:val="en-GB"/>
        </w:rPr>
        <w:t xml:space="preserve">nisi </w:t>
      </w:r>
      <w:r w:rsidR="007A2A99" w:rsidRPr="0098671D">
        <w:rPr>
          <w:lang w:val="en-GB"/>
        </w:rPr>
        <w:t>cannot be confirmed based on reasons related to disbandment.</w:t>
      </w:r>
    </w:p>
    <w:p w14:paraId="3C5CE8F7" w14:textId="77777777" w:rsidR="0038128E" w:rsidRPr="0038128E" w:rsidRDefault="0038128E" w:rsidP="0038128E">
      <w:pPr>
        <w:pStyle w:val="ListParagraph"/>
        <w:rPr>
          <w:lang w:val="en-GB"/>
        </w:rPr>
      </w:pPr>
    </w:p>
    <w:p w14:paraId="3114CECC" w14:textId="7DACED93" w:rsidR="00ED522A" w:rsidRPr="0098671D" w:rsidRDefault="0098671D" w:rsidP="0098671D">
      <w:pPr>
        <w:autoSpaceDE w:val="0"/>
        <w:autoSpaceDN w:val="0"/>
        <w:adjustRightInd w:val="0"/>
        <w:jc w:val="both"/>
        <w:rPr>
          <w:lang w:val="en-GB"/>
        </w:rPr>
      </w:pPr>
      <w:r w:rsidRPr="00C56718">
        <w:rPr>
          <w:lang w:val="en-GB"/>
        </w:rPr>
        <w:t>[34]</w:t>
      </w:r>
      <w:r w:rsidRPr="00C56718">
        <w:rPr>
          <w:lang w:val="en-GB"/>
        </w:rPr>
        <w:tab/>
      </w:r>
      <w:r w:rsidR="0038128E" w:rsidRPr="0098671D">
        <w:rPr>
          <w:lang w:val="en-GB"/>
        </w:rPr>
        <w:t xml:space="preserve">I am </w:t>
      </w:r>
      <w:r w:rsidR="00186697" w:rsidRPr="0098671D">
        <w:rPr>
          <w:lang w:val="en-GB"/>
        </w:rPr>
        <w:t xml:space="preserve">in any event </w:t>
      </w:r>
      <w:r w:rsidR="0068797D" w:rsidRPr="0098671D">
        <w:rPr>
          <w:lang w:val="en-GB"/>
        </w:rPr>
        <w:t xml:space="preserve">also </w:t>
      </w:r>
      <w:r w:rsidR="0038128E" w:rsidRPr="0098671D">
        <w:rPr>
          <w:lang w:val="en-GB"/>
        </w:rPr>
        <w:t>unconvinced by the applicants’ arguments on the merits related to the dissolution of the BECs</w:t>
      </w:r>
      <w:r w:rsidR="00265E9C" w:rsidRPr="0098671D">
        <w:rPr>
          <w:lang w:val="en-GB"/>
        </w:rPr>
        <w:t>, given the facts at hand.</w:t>
      </w:r>
      <w:r w:rsidR="00021B6A" w:rsidRPr="0098671D">
        <w:rPr>
          <w:lang w:val="en-GB"/>
        </w:rPr>
        <w:t xml:space="preserve"> </w:t>
      </w:r>
      <w:r w:rsidR="00D217A3" w:rsidRPr="0098671D">
        <w:rPr>
          <w:lang w:val="en-GB"/>
        </w:rPr>
        <w:t xml:space="preserve">It is common cause that the COVID-19 pandemic resulted in the NEC postponing all conferences, and that the Secretary-General of the party mandated that all ANC structures should not be disbanded based </w:t>
      </w:r>
      <w:r w:rsidR="005362A5" w:rsidRPr="0098671D">
        <w:rPr>
          <w:lang w:val="en-GB"/>
        </w:rPr>
        <w:t xml:space="preserve">(only) </w:t>
      </w:r>
      <w:r w:rsidR="00D217A3" w:rsidRPr="0098671D">
        <w:rPr>
          <w:lang w:val="en-GB"/>
        </w:rPr>
        <w:t>on the fact that the date by which they were to hold a conference was overdue.</w:t>
      </w:r>
      <w:r w:rsidR="00D217A3" w:rsidRPr="0098671D">
        <w:rPr>
          <w:i/>
          <w:iCs/>
          <w:lang w:val="en-GB"/>
        </w:rPr>
        <w:t xml:space="preserve"> </w:t>
      </w:r>
      <w:r w:rsidR="00216526" w:rsidRPr="0098671D">
        <w:rPr>
          <w:lang w:val="en-GB"/>
        </w:rPr>
        <w:t xml:space="preserve">It may be accepted that this proclamation effectively </w:t>
      </w:r>
      <w:r w:rsidR="00252480" w:rsidRPr="0098671D">
        <w:rPr>
          <w:lang w:val="en-GB"/>
        </w:rPr>
        <w:t>postponed provincial and regional conferences, as well as branch meetings</w:t>
      </w:r>
      <w:r w:rsidR="00216526" w:rsidRPr="0098671D">
        <w:rPr>
          <w:lang w:val="en-GB"/>
        </w:rPr>
        <w:t>.</w:t>
      </w:r>
      <w:r w:rsidR="00B107E2" w:rsidRPr="0098671D">
        <w:rPr>
          <w:lang w:val="en-GB"/>
        </w:rPr>
        <w:t xml:space="preserve"> </w:t>
      </w:r>
      <w:r w:rsidR="00252480" w:rsidRPr="0098671D">
        <w:rPr>
          <w:lang w:val="en-GB"/>
        </w:rPr>
        <w:t xml:space="preserve">The directive </w:t>
      </w:r>
      <w:r w:rsidR="00222D30" w:rsidRPr="0098671D">
        <w:rPr>
          <w:lang w:val="en-GB"/>
        </w:rPr>
        <w:t>cannot be interpreted to have placed</w:t>
      </w:r>
      <w:r w:rsidR="00252480" w:rsidRPr="0098671D">
        <w:rPr>
          <w:lang w:val="en-GB"/>
        </w:rPr>
        <w:t xml:space="preserve"> an absolute moratorium on disbandment of branches. </w:t>
      </w:r>
    </w:p>
    <w:p w14:paraId="064E2B2D" w14:textId="77777777" w:rsidR="00ED522A" w:rsidRPr="00ED522A" w:rsidRDefault="00ED522A" w:rsidP="00ED522A">
      <w:pPr>
        <w:pStyle w:val="ListParagraph"/>
        <w:rPr>
          <w:lang w:val="en-GB"/>
        </w:rPr>
      </w:pPr>
    </w:p>
    <w:p w14:paraId="1D97469C" w14:textId="62FCD7E2" w:rsidR="00630B85" w:rsidRPr="0098671D" w:rsidRDefault="0098671D" w:rsidP="0098671D">
      <w:pPr>
        <w:autoSpaceDE w:val="0"/>
        <w:autoSpaceDN w:val="0"/>
        <w:adjustRightInd w:val="0"/>
        <w:jc w:val="both"/>
        <w:rPr>
          <w:lang w:val="en-GB"/>
        </w:rPr>
      </w:pPr>
      <w:r>
        <w:rPr>
          <w:lang w:val="en-GB"/>
        </w:rPr>
        <w:t>[35]</w:t>
      </w:r>
      <w:r>
        <w:rPr>
          <w:lang w:val="en-GB"/>
        </w:rPr>
        <w:tab/>
      </w:r>
      <w:r w:rsidR="00B107E2" w:rsidRPr="0098671D">
        <w:rPr>
          <w:lang w:val="en-GB"/>
        </w:rPr>
        <w:t xml:space="preserve">The position changed during January 2022 when structures were advised to ensure that regional and provincial conferences should be </w:t>
      </w:r>
      <w:r w:rsidR="00FD0F48" w:rsidRPr="0098671D">
        <w:rPr>
          <w:lang w:val="en-GB"/>
        </w:rPr>
        <w:t>finalised by the end of March 2022.</w:t>
      </w:r>
      <w:r w:rsidR="00C21096" w:rsidRPr="0098671D">
        <w:rPr>
          <w:lang w:val="en-GB"/>
        </w:rPr>
        <w:t xml:space="preserve"> </w:t>
      </w:r>
      <w:r w:rsidR="00630B85" w:rsidRPr="0098671D">
        <w:rPr>
          <w:lang w:val="en-GB"/>
        </w:rPr>
        <w:t>As the applicants conceded in reply, t</w:t>
      </w:r>
      <w:r w:rsidR="00021B6A" w:rsidRPr="0098671D">
        <w:rPr>
          <w:lang w:val="en-GB"/>
        </w:rPr>
        <w:t>he PEC is empowered to suspend, dissolve and re-launch BECs where necessary, subject to any directives from the Provincial Conference</w:t>
      </w:r>
      <w:r w:rsidR="00696D7D" w:rsidRPr="0098671D">
        <w:rPr>
          <w:lang w:val="en-GB"/>
        </w:rPr>
        <w:t>.</w:t>
      </w:r>
      <w:r w:rsidR="00696D7D">
        <w:rPr>
          <w:rStyle w:val="FootnoteReference"/>
          <w:lang w:val="en-GB"/>
        </w:rPr>
        <w:footnoteReference w:id="47"/>
      </w:r>
      <w:r w:rsidR="00021B6A" w:rsidRPr="0098671D">
        <w:rPr>
          <w:lang w:val="en-GB"/>
        </w:rPr>
        <w:t xml:space="preserve"> </w:t>
      </w:r>
      <w:r w:rsidR="00696D7D" w:rsidRPr="0098671D">
        <w:rPr>
          <w:lang w:val="en-GB"/>
        </w:rPr>
        <w:t xml:space="preserve">The PEC must then </w:t>
      </w:r>
      <w:r w:rsidR="00FF1418" w:rsidRPr="0098671D">
        <w:rPr>
          <w:lang w:val="en-GB"/>
        </w:rPr>
        <w:t>appoint an interim structure during the period of suspension or dissolution to fulfil the functions of the BEC.</w:t>
      </w:r>
      <w:r w:rsidR="000F217D">
        <w:rPr>
          <w:rStyle w:val="FootnoteReference"/>
          <w:lang w:val="en-GB"/>
        </w:rPr>
        <w:footnoteReference w:id="48"/>
      </w:r>
      <w:r w:rsidR="00462E60" w:rsidRPr="0098671D">
        <w:rPr>
          <w:lang w:val="en-GB"/>
        </w:rPr>
        <w:t xml:space="preserve"> </w:t>
      </w:r>
      <w:r w:rsidR="00630B85" w:rsidRPr="0098671D">
        <w:rPr>
          <w:lang w:val="en-GB"/>
        </w:rPr>
        <w:t xml:space="preserve">The founding </w:t>
      </w:r>
      <w:r w:rsidR="00630B85" w:rsidRPr="0098671D">
        <w:rPr>
          <w:lang w:val="en-GB"/>
        </w:rPr>
        <w:lastRenderedPageBreak/>
        <w:t>affidavit, while complaining about the appointment of BTTs to substitute the functions of the BECs in existence at the time, focused on the failure of BTTs to notify members of meetings and the subsequent irregularities discovered in relation to those meetings. In reply, the applicants accepted that the PEC has the power to disband a BEC but question</w:t>
      </w:r>
      <w:r w:rsidR="001725C6" w:rsidRPr="0098671D">
        <w:rPr>
          <w:lang w:val="en-GB"/>
        </w:rPr>
        <w:t>ed</w:t>
      </w:r>
      <w:r w:rsidR="00630B85" w:rsidRPr="0098671D">
        <w:rPr>
          <w:lang w:val="en-GB"/>
        </w:rPr>
        <w:t xml:space="preserve"> only whether, given a directive from the Secretary-General not to disband branches, it was open for the PEC to do so without consultation with the REC. </w:t>
      </w:r>
    </w:p>
    <w:p w14:paraId="4F7CA164" w14:textId="77777777" w:rsidR="00630B85" w:rsidRDefault="00630B85" w:rsidP="00630B85">
      <w:pPr>
        <w:pStyle w:val="ListParagraph"/>
        <w:autoSpaceDE w:val="0"/>
        <w:autoSpaceDN w:val="0"/>
        <w:adjustRightInd w:val="0"/>
        <w:ind w:left="0"/>
        <w:jc w:val="both"/>
        <w:rPr>
          <w:lang w:val="en-GB"/>
        </w:rPr>
      </w:pPr>
    </w:p>
    <w:p w14:paraId="38C55B0E" w14:textId="462C9B9E" w:rsidR="00371D9E" w:rsidRPr="0098671D" w:rsidRDefault="0098671D" w:rsidP="0098671D">
      <w:pPr>
        <w:autoSpaceDE w:val="0"/>
        <w:autoSpaceDN w:val="0"/>
        <w:adjustRightInd w:val="0"/>
        <w:jc w:val="both"/>
        <w:rPr>
          <w:lang w:val="en-GB"/>
        </w:rPr>
      </w:pPr>
      <w:r>
        <w:rPr>
          <w:lang w:val="en-GB"/>
        </w:rPr>
        <w:t>[36]</w:t>
      </w:r>
      <w:r>
        <w:rPr>
          <w:lang w:val="en-GB"/>
        </w:rPr>
        <w:tab/>
      </w:r>
      <w:r w:rsidR="00571300" w:rsidRPr="0098671D">
        <w:rPr>
          <w:lang w:val="en-GB"/>
        </w:rPr>
        <w:t>The PEC in office at the time resolved to disband various branches</w:t>
      </w:r>
      <w:r w:rsidR="006F28E4" w:rsidRPr="0098671D">
        <w:rPr>
          <w:lang w:val="en-GB"/>
        </w:rPr>
        <w:t xml:space="preserve">, even though there may have been internal </w:t>
      </w:r>
      <w:r w:rsidR="00FE23A7" w:rsidRPr="0098671D">
        <w:rPr>
          <w:lang w:val="en-GB"/>
        </w:rPr>
        <w:t>consternation</w:t>
      </w:r>
      <w:r w:rsidR="006F28E4" w:rsidRPr="0098671D">
        <w:rPr>
          <w:lang w:val="en-GB"/>
        </w:rPr>
        <w:t xml:space="preserve"> with that decision.</w:t>
      </w:r>
      <w:r w:rsidR="00B7782A" w:rsidRPr="0098671D">
        <w:rPr>
          <w:lang w:val="en-GB"/>
        </w:rPr>
        <w:t xml:space="preserve"> </w:t>
      </w:r>
      <w:r w:rsidR="00ED522A" w:rsidRPr="0098671D">
        <w:rPr>
          <w:lang w:val="en-GB"/>
        </w:rPr>
        <w:t>There is nothing on the papers to suggest that the NEC had exercised its power</w:t>
      </w:r>
      <w:r w:rsidR="009508AB" w:rsidRPr="0098671D">
        <w:rPr>
          <w:lang w:val="en-GB"/>
        </w:rPr>
        <w:t>, in terms of clause 12.2.4 of the ANC constitution,</w:t>
      </w:r>
      <w:r w:rsidR="00ED522A" w:rsidRPr="0098671D">
        <w:rPr>
          <w:lang w:val="en-GB"/>
        </w:rPr>
        <w:t xml:space="preserve"> to suspend or dissolve the PEC prior to the time the PEC exercised this power</w:t>
      </w:r>
      <w:r w:rsidR="00A93184" w:rsidRPr="0098671D">
        <w:rPr>
          <w:lang w:val="en-GB"/>
        </w:rPr>
        <w:t xml:space="preserve">, </w:t>
      </w:r>
      <w:r w:rsidR="00D944E1" w:rsidRPr="0098671D">
        <w:rPr>
          <w:lang w:val="en-GB"/>
        </w:rPr>
        <w:t xml:space="preserve">or that it had been automatically dissolved through the passing of time. </w:t>
      </w:r>
      <w:r w:rsidR="00AE044C" w:rsidRPr="0098671D">
        <w:rPr>
          <w:lang w:val="en-GB"/>
        </w:rPr>
        <w:t>In the circumstances, t</w:t>
      </w:r>
      <w:r w:rsidR="00A93184" w:rsidRPr="0098671D">
        <w:rPr>
          <w:lang w:val="en-GB"/>
        </w:rPr>
        <w:t>he respondents’ averment that the repository of the power to disband the BECs exercised this power must be accepted.</w:t>
      </w:r>
      <w:r w:rsidR="00F14F0E" w:rsidRPr="0098671D">
        <w:rPr>
          <w:lang w:val="en-GB"/>
        </w:rPr>
        <w:t xml:space="preserve"> </w:t>
      </w:r>
    </w:p>
    <w:p w14:paraId="0642E741" w14:textId="77777777" w:rsidR="00371D9E" w:rsidRPr="00371D9E" w:rsidRDefault="00371D9E" w:rsidP="00371D9E">
      <w:pPr>
        <w:pStyle w:val="ListParagraph"/>
        <w:rPr>
          <w:lang w:val="en-GB"/>
        </w:rPr>
      </w:pPr>
    </w:p>
    <w:p w14:paraId="79B26120" w14:textId="01893C69" w:rsidR="003A65E7" w:rsidRPr="0098671D" w:rsidRDefault="0098671D" w:rsidP="0098671D">
      <w:pPr>
        <w:autoSpaceDE w:val="0"/>
        <w:autoSpaceDN w:val="0"/>
        <w:adjustRightInd w:val="0"/>
        <w:jc w:val="both"/>
        <w:rPr>
          <w:lang w:val="en-GB"/>
        </w:rPr>
      </w:pPr>
      <w:r>
        <w:rPr>
          <w:lang w:val="en-GB"/>
        </w:rPr>
        <w:t>[37]</w:t>
      </w:r>
      <w:r>
        <w:rPr>
          <w:lang w:val="en-GB"/>
        </w:rPr>
        <w:tab/>
      </w:r>
      <w:r w:rsidR="00371D9E" w:rsidRPr="0098671D">
        <w:rPr>
          <w:lang w:val="en-GB"/>
        </w:rPr>
        <w:t>As for the reasons for the disbandment, b</w:t>
      </w:r>
      <w:r w:rsidR="00D83434" w:rsidRPr="0098671D">
        <w:rPr>
          <w:lang w:val="en-GB"/>
        </w:rPr>
        <w:t>oth the first and second answering affidavits make repeated reference to various BECs having been dysfunctional at the time they were dissolved.</w:t>
      </w:r>
      <w:r w:rsidR="009A3B6D" w:rsidRPr="0098671D">
        <w:rPr>
          <w:lang w:val="en-GB"/>
        </w:rPr>
        <w:t xml:space="preserve"> The implication is that dissolution was perceived to be necessary by the PEC.</w:t>
      </w:r>
      <w:r w:rsidR="00D83434" w:rsidRPr="0098671D">
        <w:rPr>
          <w:lang w:val="en-GB"/>
        </w:rPr>
        <w:t xml:space="preserve"> </w:t>
      </w:r>
      <w:r w:rsidR="00325F37" w:rsidRPr="0098671D">
        <w:rPr>
          <w:lang w:val="en-GB"/>
        </w:rPr>
        <w:t>Procedurally, t</w:t>
      </w:r>
      <w:r w:rsidR="00B7782A" w:rsidRPr="0098671D">
        <w:rPr>
          <w:lang w:val="en-GB"/>
        </w:rPr>
        <w:t xml:space="preserve">he power </w:t>
      </w:r>
      <w:r w:rsidR="00D83434" w:rsidRPr="0098671D">
        <w:rPr>
          <w:lang w:val="en-GB"/>
        </w:rPr>
        <w:t xml:space="preserve">to dissolve branches </w:t>
      </w:r>
      <w:r w:rsidR="00B7782A" w:rsidRPr="0098671D">
        <w:rPr>
          <w:lang w:val="en-GB"/>
        </w:rPr>
        <w:t xml:space="preserve">was never delegated to the REC and a basis for a more complete form of consultation </w:t>
      </w:r>
      <w:r w:rsidR="00561887" w:rsidRPr="0098671D">
        <w:rPr>
          <w:lang w:val="en-GB"/>
        </w:rPr>
        <w:t xml:space="preserve">and notification </w:t>
      </w:r>
      <w:r w:rsidR="001C3E9B" w:rsidRPr="0098671D">
        <w:rPr>
          <w:lang w:val="en-GB"/>
        </w:rPr>
        <w:t xml:space="preserve">of disbandment </w:t>
      </w:r>
      <w:r w:rsidR="00B7782A" w:rsidRPr="0098671D">
        <w:rPr>
          <w:lang w:val="en-GB"/>
        </w:rPr>
        <w:t>than that which occ</w:t>
      </w:r>
      <w:r w:rsidR="005D2F72" w:rsidRPr="0098671D">
        <w:rPr>
          <w:lang w:val="en-GB"/>
        </w:rPr>
        <w:t>urred has not been established.</w:t>
      </w:r>
      <w:r w:rsidR="004C62B7">
        <w:rPr>
          <w:rStyle w:val="FootnoteReference"/>
          <w:lang w:val="en-GB"/>
        </w:rPr>
        <w:footnoteReference w:id="49"/>
      </w:r>
      <w:r w:rsidR="004C62B7" w:rsidRPr="0098671D">
        <w:rPr>
          <w:lang w:val="en-GB"/>
        </w:rPr>
        <w:t xml:space="preserve"> </w:t>
      </w:r>
      <w:r w:rsidR="00D83434" w:rsidRPr="0098671D">
        <w:rPr>
          <w:lang w:val="en-GB"/>
        </w:rPr>
        <w:t xml:space="preserve">The dissolutions, and various related matters, were discussed with the affected BECs. Applying </w:t>
      </w:r>
      <w:r w:rsidR="00D83434" w:rsidRPr="0098671D">
        <w:rPr>
          <w:i/>
          <w:iCs/>
          <w:lang w:val="en-GB"/>
        </w:rPr>
        <w:t>Plascon-Evans</w:t>
      </w:r>
      <w:r w:rsidR="00D83434" w:rsidRPr="0098671D">
        <w:rPr>
          <w:lang w:val="en-GB"/>
        </w:rPr>
        <w:t xml:space="preserve">, these answers stand on the papers and must be </w:t>
      </w:r>
      <w:r w:rsidR="000A5022" w:rsidRPr="0098671D">
        <w:rPr>
          <w:lang w:val="en-GB"/>
        </w:rPr>
        <w:t>preferred</w:t>
      </w:r>
      <w:r w:rsidR="00AE54A4" w:rsidRPr="0098671D">
        <w:rPr>
          <w:lang w:val="en-GB"/>
        </w:rPr>
        <w:t xml:space="preserve"> to the arguments to the contrary</w:t>
      </w:r>
      <w:r w:rsidR="00D83434" w:rsidRPr="0098671D">
        <w:rPr>
          <w:lang w:val="en-GB"/>
        </w:rPr>
        <w:t>.</w:t>
      </w:r>
      <w:r w:rsidR="00D83434" w:rsidRPr="0098671D">
        <w:rPr>
          <w:i/>
          <w:iCs/>
          <w:lang w:val="en-GB"/>
        </w:rPr>
        <w:t xml:space="preserve"> </w:t>
      </w:r>
      <w:r w:rsidR="000C5AB3" w:rsidRPr="0098671D">
        <w:rPr>
          <w:lang w:val="en-GB"/>
        </w:rPr>
        <w:t>BTTs were then put in place and fulfilled the functions of the BECs.</w:t>
      </w:r>
      <w:r w:rsidR="00D0222E">
        <w:rPr>
          <w:rStyle w:val="FootnoteReference"/>
          <w:lang w:val="en-GB"/>
        </w:rPr>
        <w:footnoteReference w:id="50"/>
      </w:r>
      <w:r w:rsidR="000C5AB3" w:rsidRPr="0098671D">
        <w:rPr>
          <w:lang w:val="en-GB"/>
        </w:rPr>
        <w:t xml:space="preserve"> </w:t>
      </w:r>
      <w:r w:rsidR="006F28E4" w:rsidRPr="0098671D">
        <w:rPr>
          <w:lang w:val="en-GB"/>
        </w:rPr>
        <w:t>The answering papers add that the PTT, once in office, ratified those decisions</w:t>
      </w:r>
      <w:r w:rsidR="00EA0D8F" w:rsidRPr="0098671D">
        <w:rPr>
          <w:lang w:val="en-GB"/>
        </w:rPr>
        <w:t>,</w:t>
      </w:r>
      <w:r w:rsidR="001B2A44" w:rsidRPr="0098671D">
        <w:rPr>
          <w:lang w:val="en-GB"/>
        </w:rPr>
        <w:t xml:space="preserve"> and that the same protocol </w:t>
      </w:r>
      <w:r w:rsidR="00CD43B7" w:rsidRPr="0098671D">
        <w:rPr>
          <w:lang w:val="en-GB"/>
        </w:rPr>
        <w:t>would be</w:t>
      </w:r>
      <w:r w:rsidR="001B2A44" w:rsidRPr="0098671D">
        <w:rPr>
          <w:lang w:val="en-GB"/>
        </w:rPr>
        <w:t xml:space="preserve"> followed in cases where the term of office of a REC or BEC ended without a regional conference or BBGM being called,</w:t>
      </w:r>
      <w:r w:rsidR="00EA0D8F" w:rsidRPr="0098671D">
        <w:rPr>
          <w:lang w:val="en-GB"/>
        </w:rPr>
        <w:t xml:space="preserve"> averment</w:t>
      </w:r>
      <w:r w:rsidR="001B2A44" w:rsidRPr="0098671D">
        <w:rPr>
          <w:lang w:val="en-GB"/>
        </w:rPr>
        <w:t>s</w:t>
      </w:r>
      <w:r w:rsidR="00EA0D8F" w:rsidRPr="0098671D">
        <w:rPr>
          <w:lang w:val="en-GB"/>
        </w:rPr>
        <w:t xml:space="preserve"> left unchallenged in reply.</w:t>
      </w:r>
      <w:r w:rsidR="00B15046" w:rsidRPr="0098671D">
        <w:rPr>
          <w:lang w:val="en-GB"/>
        </w:rPr>
        <w:t xml:space="preserve"> To the extent that this remains a relevant </w:t>
      </w:r>
      <w:r w:rsidR="00B15046" w:rsidRPr="0098671D">
        <w:rPr>
          <w:lang w:val="en-GB"/>
        </w:rPr>
        <w:lastRenderedPageBreak/>
        <w:t>consideration, I am not satisfied that the respondents’ version as to ratification can safely be rejected on the papers.</w:t>
      </w:r>
    </w:p>
    <w:p w14:paraId="332E363A" w14:textId="77777777" w:rsidR="003A65E7" w:rsidRDefault="003A65E7" w:rsidP="003A65E7">
      <w:pPr>
        <w:pStyle w:val="ListParagraph"/>
        <w:autoSpaceDE w:val="0"/>
        <w:autoSpaceDN w:val="0"/>
        <w:adjustRightInd w:val="0"/>
        <w:ind w:left="0"/>
        <w:jc w:val="both"/>
        <w:rPr>
          <w:lang w:val="en-GB"/>
        </w:rPr>
      </w:pPr>
    </w:p>
    <w:p w14:paraId="70A69247" w14:textId="7A6B184B" w:rsidR="00E24E41" w:rsidRPr="0098671D" w:rsidRDefault="0098671D" w:rsidP="0098671D">
      <w:pPr>
        <w:autoSpaceDE w:val="0"/>
        <w:autoSpaceDN w:val="0"/>
        <w:adjustRightInd w:val="0"/>
        <w:jc w:val="both"/>
        <w:rPr>
          <w:lang w:val="en-GB"/>
        </w:rPr>
      </w:pPr>
      <w:r>
        <w:rPr>
          <w:lang w:val="en-GB"/>
        </w:rPr>
        <w:t>[38]</w:t>
      </w:r>
      <w:r>
        <w:rPr>
          <w:lang w:val="en-GB"/>
        </w:rPr>
        <w:tab/>
      </w:r>
      <w:r w:rsidR="00D7230A" w:rsidRPr="0098671D">
        <w:rPr>
          <w:lang w:val="en-GB"/>
        </w:rPr>
        <w:t xml:space="preserve">The rule must be discharged for all these reasons. </w:t>
      </w:r>
    </w:p>
    <w:p w14:paraId="4146AB86" w14:textId="77777777" w:rsidR="00E24E41" w:rsidRPr="00E24E41" w:rsidRDefault="00E24E41" w:rsidP="00E24E41">
      <w:pPr>
        <w:pStyle w:val="ListParagraph"/>
        <w:rPr>
          <w:lang w:val="en-GB"/>
        </w:rPr>
      </w:pPr>
    </w:p>
    <w:p w14:paraId="3B5CD0A9" w14:textId="6F8C5A8E" w:rsidR="003679A6" w:rsidRPr="0098671D" w:rsidRDefault="0098671D" w:rsidP="0098671D">
      <w:pPr>
        <w:autoSpaceDE w:val="0"/>
        <w:autoSpaceDN w:val="0"/>
        <w:adjustRightInd w:val="0"/>
        <w:jc w:val="both"/>
        <w:rPr>
          <w:lang w:val="en-GB"/>
        </w:rPr>
      </w:pPr>
      <w:r>
        <w:rPr>
          <w:lang w:val="en-GB"/>
        </w:rPr>
        <w:t>[39]</w:t>
      </w:r>
      <w:r>
        <w:rPr>
          <w:lang w:val="en-GB"/>
        </w:rPr>
        <w:tab/>
      </w:r>
      <w:r w:rsidR="00BF2C42" w:rsidRPr="0098671D">
        <w:rPr>
          <w:lang w:val="en-GB"/>
        </w:rPr>
        <w:t xml:space="preserve">As for costs, the applicants were successful in obtaining a costs order against the respondents when the rule </w:t>
      </w:r>
      <w:r w:rsidR="00BF2C42" w:rsidRPr="0098671D">
        <w:rPr>
          <w:i/>
          <w:iCs/>
          <w:lang w:val="en-GB"/>
        </w:rPr>
        <w:t xml:space="preserve">nisi </w:t>
      </w:r>
      <w:r w:rsidR="00BF2C42" w:rsidRPr="0098671D">
        <w:rPr>
          <w:lang w:val="en-GB"/>
        </w:rPr>
        <w:t xml:space="preserve">and interdict was granted in their favour. </w:t>
      </w:r>
      <w:r w:rsidR="004B625D" w:rsidRPr="0098671D">
        <w:rPr>
          <w:lang w:val="en-GB"/>
        </w:rPr>
        <w:t xml:space="preserve">Various subsequent postponement orders were granted with costs to be costs in the cause. </w:t>
      </w:r>
      <w:r w:rsidR="00E24E41" w:rsidRPr="0098671D">
        <w:rPr>
          <w:lang w:val="en-GB"/>
        </w:rPr>
        <w:t xml:space="preserve">The rule </w:t>
      </w:r>
      <w:r w:rsidR="00E24E41" w:rsidRPr="0098671D">
        <w:rPr>
          <w:i/>
          <w:iCs/>
          <w:lang w:val="en-GB"/>
        </w:rPr>
        <w:t xml:space="preserve">nisi </w:t>
      </w:r>
      <w:r w:rsidR="00E24E41" w:rsidRPr="0098671D">
        <w:rPr>
          <w:lang w:val="en-GB"/>
        </w:rPr>
        <w:t>was confirmed by Stretch J on 4 October 2022, with costs following the result, but that order was subsequently rescinded</w:t>
      </w:r>
      <w:r w:rsidR="00B64D25" w:rsidRPr="0098671D">
        <w:rPr>
          <w:lang w:val="en-GB"/>
        </w:rPr>
        <w:t>,</w:t>
      </w:r>
      <w:r w:rsidR="00E24E41" w:rsidRPr="0098671D">
        <w:rPr>
          <w:lang w:val="en-GB"/>
        </w:rPr>
        <w:t xml:space="preserve"> with no order as to costs</w:t>
      </w:r>
      <w:r w:rsidR="00B64D25" w:rsidRPr="0098671D">
        <w:rPr>
          <w:lang w:val="en-GB"/>
        </w:rPr>
        <w:t>, on 7 October 2022</w:t>
      </w:r>
      <w:r w:rsidR="00E24E41" w:rsidRPr="0098671D">
        <w:rPr>
          <w:lang w:val="en-GB"/>
        </w:rPr>
        <w:t xml:space="preserve">. </w:t>
      </w:r>
      <w:r w:rsidR="003679A6" w:rsidRPr="0098671D">
        <w:rPr>
          <w:lang w:val="en-GB"/>
        </w:rPr>
        <w:t>The question is whether the usual order in respect of the costs of proceedings subsequent to the granting of the rule and interdict</w:t>
      </w:r>
      <w:r w:rsidR="00525FF7" w:rsidRPr="0098671D">
        <w:rPr>
          <w:lang w:val="en-GB"/>
        </w:rPr>
        <w:t>,</w:t>
      </w:r>
      <w:r w:rsidR="003679A6" w:rsidRPr="0098671D">
        <w:rPr>
          <w:lang w:val="en-GB"/>
        </w:rPr>
        <w:t xml:space="preserve"> should follow, so that the applicants are saddled with a costs order. </w:t>
      </w:r>
    </w:p>
    <w:p w14:paraId="72BDB703" w14:textId="77777777" w:rsidR="003679A6" w:rsidRPr="003679A6" w:rsidRDefault="003679A6" w:rsidP="003679A6">
      <w:pPr>
        <w:pStyle w:val="ListParagraph"/>
        <w:rPr>
          <w:lang w:val="en-GB"/>
        </w:rPr>
      </w:pPr>
    </w:p>
    <w:p w14:paraId="0ADA95F9" w14:textId="4FDF913D" w:rsidR="001202EE" w:rsidRPr="0098671D" w:rsidRDefault="0098671D" w:rsidP="0098671D">
      <w:pPr>
        <w:autoSpaceDE w:val="0"/>
        <w:autoSpaceDN w:val="0"/>
        <w:adjustRightInd w:val="0"/>
        <w:jc w:val="both"/>
        <w:rPr>
          <w:lang w:val="en-GB"/>
        </w:rPr>
      </w:pPr>
      <w:r>
        <w:rPr>
          <w:lang w:val="en-GB"/>
        </w:rPr>
        <w:t>[40]</w:t>
      </w:r>
      <w:r>
        <w:rPr>
          <w:lang w:val="en-GB"/>
        </w:rPr>
        <w:tab/>
      </w:r>
      <w:r w:rsidR="001202EE" w:rsidRPr="0098671D">
        <w:rPr>
          <w:lang w:val="en-GB"/>
        </w:rPr>
        <w:t xml:space="preserve">In </w:t>
      </w:r>
      <w:r w:rsidR="001202EE" w:rsidRPr="0098671D">
        <w:rPr>
          <w:i/>
          <w:iCs/>
          <w:lang w:val="en-GB"/>
        </w:rPr>
        <w:t xml:space="preserve">Ramakatsa </w:t>
      </w:r>
      <w:r w:rsidR="001202EE" w:rsidRPr="0098671D">
        <w:rPr>
          <w:lang w:val="en-GB"/>
        </w:rPr>
        <w:t xml:space="preserve">1, the majority of the court considered whether the appellants, who had been substantially successful in their application for leave to appeal directly to the Constitutional Court, should obtain their costs following the usual approach, and because they had been compelled to approach the court to vindicate constitutional rights. The relevant </w:t>
      </w:r>
      <w:r w:rsidR="0044290E" w:rsidRPr="0098671D">
        <w:rPr>
          <w:lang w:val="en-GB"/>
        </w:rPr>
        <w:t>part</w:t>
      </w:r>
      <w:r w:rsidR="001202EE" w:rsidRPr="0098671D">
        <w:rPr>
          <w:lang w:val="en-GB"/>
        </w:rPr>
        <w:t xml:space="preserve"> of the judgment reads as follows:</w:t>
      </w:r>
      <w:r w:rsidR="00F341C1">
        <w:rPr>
          <w:rStyle w:val="FootnoteReference"/>
          <w:lang w:val="en-GB"/>
        </w:rPr>
        <w:footnoteReference w:id="51"/>
      </w:r>
    </w:p>
    <w:p w14:paraId="43E369C5" w14:textId="77777777" w:rsidR="00AE7AE2" w:rsidRPr="00AE7AE2" w:rsidRDefault="00AE7AE2" w:rsidP="00AE7AE2">
      <w:pPr>
        <w:jc w:val="both"/>
        <w:rPr>
          <w:sz w:val="22"/>
          <w:szCs w:val="22"/>
          <w:lang w:val="en-GB"/>
        </w:rPr>
      </w:pPr>
      <w:r w:rsidRPr="00AE7AE2">
        <w:rPr>
          <w:sz w:val="22"/>
          <w:szCs w:val="22"/>
          <w:lang w:val="en-GB"/>
        </w:rPr>
        <w:t>‘It is so that, ordinarily, a party that successfully vindicates a constitutional right is awarded costs. That is so particularly if the respondent is a public body that bears an obligation to uphold the Constitution. The present dispute amounts to not much more than a power struggle within provincial structures of the same political party. If these rifts are to heal, in time, the parties will have to talk to each other. A costs order may make the healing and reconciliation more difficult for those concerned. The second relevant consideration is that this is a class action against, in addition to the ANC, several individual provincial and branch office bearers. A cost order against the personal estates of one or more of them may not be just and equitable. We accordingly make no order as to costs.’</w:t>
      </w:r>
    </w:p>
    <w:p w14:paraId="197A6EF1" w14:textId="77777777" w:rsidR="00AE7AE2" w:rsidRPr="00AE7AE2" w:rsidRDefault="00AE7AE2" w:rsidP="00AE7AE2">
      <w:pPr>
        <w:rPr>
          <w:lang w:val="en-GB"/>
        </w:rPr>
      </w:pPr>
    </w:p>
    <w:p w14:paraId="6A2145AA" w14:textId="42FD2C1A" w:rsidR="00AE7AE2" w:rsidRPr="0098671D" w:rsidRDefault="0098671D" w:rsidP="0098671D">
      <w:pPr>
        <w:autoSpaceDE w:val="0"/>
        <w:autoSpaceDN w:val="0"/>
        <w:adjustRightInd w:val="0"/>
        <w:jc w:val="both"/>
        <w:rPr>
          <w:lang w:val="en-GB"/>
        </w:rPr>
      </w:pPr>
      <w:r>
        <w:rPr>
          <w:lang w:val="en-GB"/>
        </w:rPr>
        <w:t>[41]</w:t>
      </w:r>
      <w:r>
        <w:rPr>
          <w:lang w:val="en-GB"/>
        </w:rPr>
        <w:tab/>
      </w:r>
      <w:r w:rsidR="00AE7AE2" w:rsidRPr="0098671D">
        <w:rPr>
          <w:lang w:val="en-GB"/>
        </w:rPr>
        <w:t>The awarding of costs is a discretionary matter, to be determined after careful consideration of the proceedin</w:t>
      </w:r>
      <w:r w:rsidR="00E34CD3" w:rsidRPr="0098671D">
        <w:rPr>
          <w:lang w:val="en-GB"/>
        </w:rPr>
        <w:t>g</w:t>
      </w:r>
      <w:r w:rsidR="00AE7AE2" w:rsidRPr="0098671D">
        <w:rPr>
          <w:lang w:val="en-GB"/>
        </w:rPr>
        <w:t xml:space="preserve">s as a whole. While the applicants have been unsuccessful in obtaining confirmation of the rule, </w:t>
      </w:r>
      <w:r w:rsidR="003E3A66" w:rsidRPr="0098671D">
        <w:rPr>
          <w:lang w:val="en-GB"/>
        </w:rPr>
        <w:t xml:space="preserve">these proceedings involved </w:t>
      </w:r>
      <w:r w:rsidR="00D97B5E" w:rsidRPr="0098671D">
        <w:rPr>
          <w:lang w:val="en-GB"/>
        </w:rPr>
        <w:t xml:space="preserve">the </w:t>
      </w:r>
      <w:r w:rsidR="00D97B5E" w:rsidRPr="0098671D">
        <w:rPr>
          <w:lang w:val="en-GB"/>
        </w:rPr>
        <w:lastRenderedPageBreak/>
        <w:t>continuation of proceedings centred around</w:t>
      </w:r>
      <w:r w:rsidR="003E3A66" w:rsidRPr="0098671D">
        <w:rPr>
          <w:lang w:val="en-GB"/>
        </w:rPr>
        <w:t xml:space="preserve"> a constitutional issue. I am cognisant of the practice in constitutional-related litigation that an unsuccessful litigant ought not to be ordered to pay costs. This is primarily due to the chilling effect such an order may have on future litigants seeking to vindicate constitutional rights</w:t>
      </w:r>
      <w:r w:rsidR="001C2CA9" w:rsidRPr="0098671D">
        <w:rPr>
          <w:lang w:val="en-GB"/>
        </w:rPr>
        <w:t>, and because constitutional litigation, irrespective of outcome, often transcends the resolution of the dispute between the parties and has a wider impact on the rights of similarly situated persons.</w:t>
      </w:r>
      <w:r w:rsidR="006E4164">
        <w:rPr>
          <w:rStyle w:val="FootnoteReference"/>
          <w:lang w:val="en-GB"/>
        </w:rPr>
        <w:footnoteReference w:id="52"/>
      </w:r>
      <w:r w:rsidR="0097616F" w:rsidRPr="0098671D">
        <w:rPr>
          <w:lang w:val="en-GB"/>
        </w:rPr>
        <w:t xml:space="preserve"> </w:t>
      </w:r>
      <w:r w:rsidR="00D60560" w:rsidRPr="0098671D">
        <w:rPr>
          <w:lang w:val="en-GB"/>
        </w:rPr>
        <w:t xml:space="preserve">Despite the outcome, </w:t>
      </w:r>
      <w:r w:rsidR="00695295" w:rsidRPr="0098671D">
        <w:rPr>
          <w:lang w:val="en-GB"/>
        </w:rPr>
        <w:t>I am satisfied that genuine and substantive issues were raised in a proper manner</w:t>
      </w:r>
      <w:r w:rsidR="00284019" w:rsidRPr="0098671D">
        <w:rPr>
          <w:lang w:val="en-GB"/>
        </w:rPr>
        <w:t xml:space="preserve"> when the applicants sought confirmation of the rule</w:t>
      </w:r>
      <w:r w:rsidR="00695295" w:rsidRPr="0098671D">
        <w:rPr>
          <w:lang w:val="en-GB"/>
        </w:rPr>
        <w:t xml:space="preserve">. </w:t>
      </w:r>
      <w:r w:rsidR="008D5B9B" w:rsidRPr="0098671D">
        <w:rPr>
          <w:lang w:val="en-GB"/>
        </w:rPr>
        <w:t>To that consideration may be added</w:t>
      </w:r>
      <w:r w:rsidR="0097616F" w:rsidRPr="0098671D">
        <w:rPr>
          <w:lang w:val="en-GB"/>
        </w:rPr>
        <w:t xml:space="preserve"> the sentiments expressed in </w:t>
      </w:r>
      <w:r w:rsidR="0097616F" w:rsidRPr="0098671D">
        <w:rPr>
          <w:i/>
          <w:iCs/>
          <w:lang w:val="en-GB"/>
        </w:rPr>
        <w:t>Ramakatsa</w:t>
      </w:r>
      <w:r w:rsidR="0097616F" w:rsidRPr="0098671D">
        <w:rPr>
          <w:lang w:val="en-GB"/>
        </w:rPr>
        <w:t xml:space="preserve"> 1 about disputes that emanate from power struggles within a political party</w:t>
      </w:r>
      <w:r w:rsidR="008D5B9B" w:rsidRPr="0098671D">
        <w:rPr>
          <w:lang w:val="en-GB"/>
        </w:rPr>
        <w:t>, and the need to move towards the healing of rifts</w:t>
      </w:r>
      <w:r w:rsidR="00563BF1" w:rsidRPr="0098671D">
        <w:rPr>
          <w:lang w:val="en-GB"/>
        </w:rPr>
        <w:t xml:space="preserve">, as well as the concern regarding the </w:t>
      </w:r>
      <w:r w:rsidR="00D90260" w:rsidRPr="0098671D">
        <w:rPr>
          <w:lang w:val="en-GB"/>
        </w:rPr>
        <w:t>appropriateness</w:t>
      </w:r>
      <w:r w:rsidR="00563BF1" w:rsidRPr="0098671D">
        <w:rPr>
          <w:lang w:val="en-GB"/>
        </w:rPr>
        <w:t xml:space="preserve"> of a costs order against the personal estates of party members</w:t>
      </w:r>
      <w:r w:rsidR="00D753B8" w:rsidRPr="0098671D">
        <w:rPr>
          <w:lang w:val="en-GB"/>
        </w:rPr>
        <w:t xml:space="preserve">. </w:t>
      </w:r>
      <w:r w:rsidR="0036202E" w:rsidRPr="0098671D">
        <w:rPr>
          <w:lang w:val="en-GB"/>
        </w:rPr>
        <w:t>In these circumstances, I am of the view that each party should bear their own costs.</w:t>
      </w:r>
    </w:p>
    <w:p w14:paraId="2475E75A" w14:textId="77777777" w:rsidR="000A2CAD" w:rsidRPr="000A2CAD" w:rsidRDefault="000A2CAD" w:rsidP="00E75DA8">
      <w:pPr>
        <w:jc w:val="both"/>
        <w:rPr>
          <w:b/>
          <w:bCs/>
          <w:lang w:val="en-US"/>
        </w:rPr>
      </w:pPr>
    </w:p>
    <w:p w14:paraId="12044215" w14:textId="77777777" w:rsidR="00EC63CC" w:rsidRPr="00911CB5" w:rsidRDefault="00EC63CC" w:rsidP="00EC63CC">
      <w:pPr>
        <w:jc w:val="both"/>
        <w:rPr>
          <w:b/>
          <w:bCs/>
          <w:lang w:val="en-US"/>
        </w:rPr>
      </w:pPr>
      <w:r w:rsidRPr="00911CB5">
        <w:rPr>
          <w:b/>
          <w:bCs/>
          <w:lang w:val="en-US"/>
        </w:rPr>
        <w:t>Order</w:t>
      </w:r>
    </w:p>
    <w:p w14:paraId="4867DA26" w14:textId="77777777" w:rsidR="00EC63CC" w:rsidRPr="00911CB5" w:rsidRDefault="00EC63CC" w:rsidP="00EC63CC">
      <w:pPr>
        <w:jc w:val="both"/>
        <w:rPr>
          <w:b/>
          <w:bCs/>
          <w:lang w:val="en-US"/>
        </w:rPr>
      </w:pPr>
    </w:p>
    <w:p w14:paraId="5328B853" w14:textId="1AC7299D" w:rsidR="00EC63CC" w:rsidRPr="0098671D" w:rsidRDefault="0098671D" w:rsidP="0098671D">
      <w:pPr>
        <w:ind w:left="720" w:hanging="360"/>
        <w:jc w:val="both"/>
        <w:rPr>
          <w:lang w:val="en-US"/>
        </w:rPr>
      </w:pPr>
      <w:r w:rsidRPr="00911CB5">
        <w:rPr>
          <w:lang w:val="en-US"/>
        </w:rPr>
        <w:t>1.</w:t>
      </w:r>
      <w:r w:rsidRPr="00911CB5">
        <w:rPr>
          <w:lang w:val="en-US"/>
        </w:rPr>
        <w:tab/>
      </w:r>
      <w:r w:rsidR="002A6CEF" w:rsidRPr="0098671D">
        <w:rPr>
          <w:lang w:val="en-US"/>
        </w:rPr>
        <w:t>The application is dismissed.</w:t>
      </w:r>
    </w:p>
    <w:p w14:paraId="5C341DCB" w14:textId="6088D9C8" w:rsidR="00EC63CC" w:rsidRPr="0098671D" w:rsidRDefault="0098671D" w:rsidP="0098671D">
      <w:pPr>
        <w:ind w:left="720" w:hanging="360"/>
        <w:jc w:val="both"/>
        <w:rPr>
          <w:lang w:val="en-US"/>
        </w:rPr>
      </w:pPr>
      <w:r>
        <w:rPr>
          <w:lang w:val="en-US"/>
        </w:rPr>
        <w:t>2.</w:t>
      </w:r>
      <w:r>
        <w:rPr>
          <w:lang w:val="en-US"/>
        </w:rPr>
        <w:tab/>
      </w:r>
      <w:r w:rsidR="002A6CEF" w:rsidRPr="0098671D">
        <w:rPr>
          <w:lang w:val="en-US"/>
        </w:rPr>
        <w:t>Each party is to pay its own costs.</w:t>
      </w:r>
    </w:p>
    <w:p w14:paraId="0980BB69" w14:textId="77777777" w:rsidR="00F45098" w:rsidRDefault="00F45098" w:rsidP="00F45098">
      <w:pPr>
        <w:pStyle w:val="ListParagraph"/>
        <w:jc w:val="both"/>
        <w:rPr>
          <w:lang w:val="en-US"/>
        </w:rPr>
      </w:pPr>
    </w:p>
    <w:p w14:paraId="23380044" w14:textId="6A58F572" w:rsidR="00871800" w:rsidRDefault="00871800" w:rsidP="00871800">
      <w:pPr>
        <w:jc w:val="both"/>
        <w:rPr>
          <w:lang w:val="en-US"/>
        </w:rPr>
      </w:pPr>
    </w:p>
    <w:p w14:paraId="3FAD15C8" w14:textId="6BF2508D" w:rsidR="00186697" w:rsidRDefault="00186697" w:rsidP="00D133F0">
      <w:pPr>
        <w:ind w:left="4320" w:firstLine="720"/>
        <w:jc w:val="both"/>
        <w:rPr>
          <w:lang w:val="en-GB"/>
        </w:rPr>
      </w:pPr>
    </w:p>
    <w:p w14:paraId="498B066D" w14:textId="77777777" w:rsidR="00186697" w:rsidRDefault="00186697" w:rsidP="00D133F0">
      <w:pPr>
        <w:ind w:left="4320" w:firstLine="720"/>
        <w:jc w:val="both"/>
        <w:rPr>
          <w:lang w:val="en-GB"/>
        </w:rPr>
      </w:pPr>
    </w:p>
    <w:p w14:paraId="363DCE68" w14:textId="6E2982C7" w:rsidR="00D450B5" w:rsidRPr="00044B50" w:rsidRDefault="00D450B5" w:rsidP="00186697">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186697">
      <w:pPr>
        <w:jc w:val="both"/>
        <w:rPr>
          <w:b/>
          <w:bCs/>
          <w:lang w:val="en-GB"/>
        </w:rPr>
      </w:pPr>
      <w:r w:rsidRPr="00044B50">
        <w:rPr>
          <w:b/>
          <w:bCs/>
          <w:lang w:val="en-GB"/>
        </w:rPr>
        <w:t xml:space="preserve">A. GOVINDJEE                                                                                                                                                       </w:t>
      </w:r>
    </w:p>
    <w:p w14:paraId="14E92973" w14:textId="77777777" w:rsidR="00D450B5" w:rsidRPr="00044B50" w:rsidRDefault="00D450B5" w:rsidP="00186697">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022363E5" w:rsidR="007A7BBE" w:rsidRPr="00A87D38" w:rsidRDefault="007A7BBE" w:rsidP="00186697">
      <w:pPr>
        <w:widowControl w:val="0"/>
        <w:rPr>
          <w:spacing w:val="14"/>
          <w:kern w:val="2"/>
          <w:lang w:val="en-GB"/>
        </w:rPr>
      </w:pPr>
      <w:r w:rsidRPr="00425615">
        <w:rPr>
          <w:b/>
          <w:spacing w:val="14"/>
          <w:kern w:val="2"/>
          <w:lang w:val="en-GB"/>
        </w:rPr>
        <w:t>Heard</w:t>
      </w:r>
      <w:r w:rsidRPr="00A87D38">
        <w:rPr>
          <w:spacing w:val="14"/>
          <w:kern w:val="2"/>
          <w:lang w:val="en-GB"/>
        </w:rPr>
        <w:t>:</w:t>
      </w:r>
      <w:r w:rsidR="00425615">
        <w:rPr>
          <w:spacing w:val="14"/>
          <w:kern w:val="2"/>
          <w:lang w:val="en-GB"/>
        </w:rPr>
        <w:t>28 October 2022</w:t>
      </w:r>
    </w:p>
    <w:p w14:paraId="5D550954" w14:textId="65B864AE" w:rsidR="007A7BBE" w:rsidRPr="00A87D38" w:rsidRDefault="007A7BBE" w:rsidP="00186697">
      <w:pPr>
        <w:widowControl w:val="0"/>
        <w:rPr>
          <w:spacing w:val="14"/>
          <w:kern w:val="2"/>
          <w:lang w:val="en-GB"/>
        </w:rPr>
      </w:pPr>
      <w:r w:rsidRPr="00425615">
        <w:rPr>
          <w:b/>
          <w:spacing w:val="14"/>
          <w:kern w:val="2"/>
          <w:lang w:val="en-GB"/>
        </w:rPr>
        <w:t>Delivered</w:t>
      </w:r>
      <w:r w:rsidRPr="00A87D38">
        <w:rPr>
          <w:spacing w:val="14"/>
          <w:kern w:val="2"/>
          <w:lang w:val="en-GB"/>
        </w:rPr>
        <w:t>:</w:t>
      </w:r>
      <w:r w:rsidR="00425615">
        <w:rPr>
          <w:spacing w:val="14"/>
          <w:kern w:val="2"/>
          <w:lang w:val="en-GB"/>
        </w:rPr>
        <w:t>0</w:t>
      </w:r>
      <w:r w:rsidR="00DD2614">
        <w:rPr>
          <w:spacing w:val="14"/>
          <w:kern w:val="2"/>
          <w:lang w:val="en-GB"/>
        </w:rPr>
        <w:t>3</w:t>
      </w:r>
      <w:r w:rsidR="00425615">
        <w:rPr>
          <w:spacing w:val="14"/>
          <w:kern w:val="2"/>
          <w:lang w:val="en-GB"/>
        </w:rPr>
        <w:t xml:space="preserve"> February 2023</w:t>
      </w:r>
    </w:p>
    <w:p w14:paraId="398380BF" w14:textId="7978C693" w:rsidR="007A7BBE" w:rsidRDefault="007A7BBE" w:rsidP="004A5151">
      <w:pPr>
        <w:autoSpaceDE w:val="0"/>
        <w:autoSpaceDN w:val="0"/>
        <w:adjustRightInd w:val="0"/>
        <w:jc w:val="both"/>
        <w:rPr>
          <w:lang w:val="en-GB"/>
        </w:rPr>
      </w:pPr>
    </w:p>
    <w:p w14:paraId="2966E4E6" w14:textId="795188B8" w:rsidR="00425615" w:rsidRDefault="00425615" w:rsidP="004A5151">
      <w:pPr>
        <w:autoSpaceDE w:val="0"/>
        <w:autoSpaceDN w:val="0"/>
        <w:adjustRightInd w:val="0"/>
        <w:jc w:val="both"/>
        <w:rPr>
          <w:lang w:val="en-GB"/>
        </w:rPr>
      </w:pPr>
    </w:p>
    <w:p w14:paraId="47F6ED56" w14:textId="002E7C73" w:rsidR="00425615" w:rsidRDefault="00425615" w:rsidP="004A5151">
      <w:pPr>
        <w:autoSpaceDE w:val="0"/>
        <w:autoSpaceDN w:val="0"/>
        <w:adjustRightInd w:val="0"/>
        <w:jc w:val="both"/>
        <w:rPr>
          <w:lang w:val="en-GB"/>
        </w:rPr>
      </w:pPr>
    </w:p>
    <w:p w14:paraId="3F36F9C8" w14:textId="77777777" w:rsidR="00425615" w:rsidRPr="00044B50" w:rsidRDefault="00425615"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0AB7D3B6" w:rsidR="00C33845" w:rsidRDefault="00C33845" w:rsidP="00772E4B">
      <w:pPr>
        <w:jc w:val="both"/>
        <w:rPr>
          <w:lang w:val="en-GB"/>
        </w:rPr>
      </w:pPr>
      <w:r>
        <w:rPr>
          <w:lang w:val="en-GB"/>
        </w:rPr>
        <w:t xml:space="preserve">For the </w:t>
      </w:r>
      <w:r w:rsidR="00425615">
        <w:rPr>
          <w:lang w:val="en-GB"/>
        </w:rPr>
        <w:t>A</w:t>
      </w:r>
      <w:r w:rsidR="006C62BF">
        <w:rPr>
          <w:lang w:val="en-GB"/>
        </w:rPr>
        <w:t>pplicants</w:t>
      </w:r>
      <w:r>
        <w:rPr>
          <w:lang w:val="en-GB"/>
        </w:rPr>
        <w:t>:</w:t>
      </w:r>
      <w:r>
        <w:rPr>
          <w:lang w:val="en-GB"/>
        </w:rPr>
        <w:tab/>
      </w:r>
      <w:r>
        <w:rPr>
          <w:lang w:val="en-GB"/>
        </w:rPr>
        <w:tab/>
      </w:r>
      <w:r>
        <w:rPr>
          <w:lang w:val="en-GB"/>
        </w:rPr>
        <w:tab/>
      </w:r>
      <w:r>
        <w:rPr>
          <w:lang w:val="en-GB"/>
        </w:rPr>
        <w:tab/>
      </w:r>
      <w:r w:rsidR="006C62BF">
        <w:rPr>
          <w:lang w:val="en-GB"/>
        </w:rPr>
        <w:t>Adv A Katz SC</w:t>
      </w:r>
    </w:p>
    <w:p w14:paraId="4436A41D" w14:textId="4E074000"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Adv D Cooke</w:t>
      </w:r>
    </w:p>
    <w:p w14:paraId="54BA5973" w14:textId="1A5E88F2"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Adv S Maliwa</w:t>
      </w:r>
    </w:p>
    <w:p w14:paraId="436B0481" w14:textId="77777777" w:rsidR="006C62BF" w:rsidRDefault="006C62BF" w:rsidP="00772E4B">
      <w:pPr>
        <w:jc w:val="both"/>
        <w:rPr>
          <w:lang w:val="en-GB"/>
        </w:rPr>
      </w:pPr>
    </w:p>
    <w:p w14:paraId="0A4C1323" w14:textId="77777777" w:rsidR="006C62BF" w:rsidRDefault="006C62BF" w:rsidP="00772E4B">
      <w:pPr>
        <w:jc w:val="both"/>
        <w:rPr>
          <w:lang w:val="en-GB"/>
        </w:rPr>
      </w:pPr>
      <w:r>
        <w:rPr>
          <w:lang w:val="en-GB"/>
        </w:rPr>
        <w:t>Instructed by:</w:t>
      </w:r>
      <w:r>
        <w:rPr>
          <w:lang w:val="en-GB"/>
        </w:rPr>
        <w:tab/>
      </w:r>
      <w:r>
        <w:rPr>
          <w:lang w:val="en-GB"/>
        </w:rPr>
        <w:tab/>
      </w:r>
      <w:r>
        <w:rPr>
          <w:lang w:val="en-GB"/>
        </w:rPr>
        <w:tab/>
      </w:r>
      <w:r>
        <w:rPr>
          <w:lang w:val="en-GB"/>
        </w:rPr>
        <w:tab/>
        <w:t>Makangela Mtungani Inc.</w:t>
      </w:r>
    </w:p>
    <w:p w14:paraId="1E832359"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Applicant’s Attorneys</w:t>
      </w:r>
    </w:p>
    <w:p w14:paraId="6010607E"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58 Free Square</w:t>
      </w:r>
    </w:p>
    <w:p w14:paraId="7D692DEF"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Unit A</w:t>
      </w:r>
    </w:p>
    <w:p w14:paraId="2A6FB7DF"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Vincent</w:t>
      </w:r>
    </w:p>
    <w:p w14:paraId="75BBA5E2" w14:textId="5F35D5A9"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Email:sinawom@makangelamtungani.co.za</w:t>
      </w:r>
      <w:r>
        <w:rPr>
          <w:lang w:val="en-GB"/>
        </w:rPr>
        <w:tab/>
      </w:r>
      <w:r>
        <w:rPr>
          <w:lang w:val="en-GB"/>
        </w:rPr>
        <w:tab/>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08C6B8F2" w14:textId="77777777" w:rsidR="006C62BF" w:rsidRDefault="00C33845" w:rsidP="00772E4B">
      <w:pPr>
        <w:jc w:val="both"/>
        <w:rPr>
          <w:lang w:val="en-GB"/>
        </w:rPr>
      </w:pPr>
      <w:r>
        <w:rPr>
          <w:lang w:val="en-GB"/>
        </w:rPr>
        <w:t xml:space="preserve">For the </w:t>
      </w:r>
      <w:r w:rsidR="006C62BF">
        <w:rPr>
          <w:lang w:val="en-GB"/>
        </w:rPr>
        <w:t>Respondents</w:t>
      </w:r>
      <w:r>
        <w:rPr>
          <w:lang w:val="en-GB"/>
        </w:rPr>
        <w:t>:</w:t>
      </w:r>
      <w:r>
        <w:rPr>
          <w:lang w:val="en-GB"/>
        </w:rPr>
        <w:tab/>
      </w:r>
      <w:r>
        <w:rPr>
          <w:lang w:val="en-GB"/>
        </w:rPr>
        <w:tab/>
      </w:r>
      <w:r>
        <w:rPr>
          <w:lang w:val="en-GB"/>
        </w:rPr>
        <w:tab/>
      </w:r>
      <w:r w:rsidR="006C62BF">
        <w:rPr>
          <w:lang w:val="en-GB"/>
        </w:rPr>
        <w:t>Adv AM Bodlani SC</w:t>
      </w:r>
    </w:p>
    <w:p w14:paraId="1B627F68" w14:textId="18B9F6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Adv Z Mashiya</w:t>
      </w:r>
    </w:p>
    <w:p w14:paraId="5C910955" w14:textId="77777777" w:rsidR="006C62BF" w:rsidRDefault="006C62BF" w:rsidP="00772E4B">
      <w:pPr>
        <w:jc w:val="both"/>
        <w:rPr>
          <w:lang w:val="en-GB"/>
        </w:rPr>
      </w:pPr>
    </w:p>
    <w:p w14:paraId="7B9861B1" w14:textId="77777777" w:rsidR="006C62BF" w:rsidRDefault="006C62BF" w:rsidP="00772E4B">
      <w:pPr>
        <w:jc w:val="both"/>
        <w:rPr>
          <w:lang w:val="en-GB"/>
        </w:rPr>
      </w:pPr>
      <w:r>
        <w:rPr>
          <w:lang w:val="en-GB"/>
        </w:rPr>
        <w:t>Instructed by:</w:t>
      </w:r>
      <w:r>
        <w:rPr>
          <w:lang w:val="en-GB"/>
        </w:rPr>
        <w:tab/>
      </w:r>
      <w:r>
        <w:rPr>
          <w:lang w:val="en-GB"/>
        </w:rPr>
        <w:tab/>
      </w:r>
      <w:r>
        <w:rPr>
          <w:lang w:val="en-GB"/>
        </w:rPr>
        <w:tab/>
      </w:r>
      <w:r>
        <w:rPr>
          <w:lang w:val="en-GB"/>
        </w:rPr>
        <w:tab/>
        <w:t>Sakhela Inc.</w:t>
      </w:r>
    </w:p>
    <w:p w14:paraId="1C233B76"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Respondent’s Attorneys</w:t>
      </w:r>
    </w:p>
    <w:p w14:paraId="436FFDB8"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54 Stewart Drive</w:t>
      </w:r>
    </w:p>
    <w:p w14:paraId="0A4F8D92"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Baysville</w:t>
      </w:r>
    </w:p>
    <w:p w14:paraId="25D2E8C9" w14:textId="77777777" w:rsidR="006C62BF"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6190544B" w14:textId="2DE448FE" w:rsidR="00C33845" w:rsidRPr="00044B50" w:rsidRDefault="006C62B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Email:sakhelan@sakhelainc.co.za</w:t>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3F2DB8" w14:textId="77777777" w:rsidR="00C00F3C" w:rsidRDefault="00C00F3C" w:rsidP="00C00F3C">
      <w:pPr>
        <w:autoSpaceDE w:val="0"/>
        <w:autoSpaceDN w:val="0"/>
        <w:adjustRightInd w:val="0"/>
        <w:jc w:val="both"/>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425615">
      <w:headerReference w:type="even" r:id="rId9"/>
      <w:headerReference w:type="default" r:id="rId1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BE5D" w14:textId="77777777" w:rsidR="00F97EA0" w:rsidRDefault="00F97EA0" w:rsidP="00005691">
      <w:r>
        <w:separator/>
      </w:r>
    </w:p>
  </w:endnote>
  <w:endnote w:type="continuationSeparator" w:id="0">
    <w:p w14:paraId="4A463E35" w14:textId="77777777" w:rsidR="00F97EA0" w:rsidRDefault="00F97EA0"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19AB" w14:textId="77777777" w:rsidR="00F97EA0" w:rsidRDefault="00F97EA0" w:rsidP="00005691">
      <w:r>
        <w:separator/>
      </w:r>
    </w:p>
  </w:footnote>
  <w:footnote w:type="continuationSeparator" w:id="0">
    <w:p w14:paraId="69839199" w14:textId="77777777" w:rsidR="00F97EA0" w:rsidRDefault="00F97EA0" w:rsidP="00005691">
      <w:r>
        <w:continuationSeparator/>
      </w:r>
    </w:p>
  </w:footnote>
  <w:footnote w:id="1">
    <w:p w14:paraId="049105BD" w14:textId="57914E51" w:rsidR="008B7266" w:rsidRPr="008B7266" w:rsidRDefault="008B7266" w:rsidP="000530C6">
      <w:pPr>
        <w:pStyle w:val="FootnoteText"/>
        <w:spacing w:line="240" w:lineRule="auto"/>
        <w:jc w:val="both"/>
        <w:rPr>
          <w:lang w:val="en-US"/>
        </w:rPr>
      </w:pPr>
      <w:r>
        <w:rPr>
          <w:rStyle w:val="FootnoteReference"/>
        </w:rPr>
        <w:footnoteRef/>
      </w:r>
      <w:r>
        <w:t xml:space="preserve"> </w:t>
      </w:r>
      <w:r>
        <w:rPr>
          <w:lang w:val="en-US"/>
        </w:rPr>
        <w:t>The complaints relate mainly to the names of people appearing in branch meeting scanner report</w:t>
      </w:r>
      <w:r w:rsidR="00BD5D48">
        <w:rPr>
          <w:lang w:val="en-US"/>
        </w:rPr>
        <w:t>s</w:t>
      </w:r>
      <w:r>
        <w:rPr>
          <w:lang w:val="en-US"/>
        </w:rPr>
        <w:t xml:space="preserve"> when they did not attend or could not have attended because they were incarcerated or deceased.</w:t>
      </w:r>
    </w:p>
  </w:footnote>
  <w:footnote w:id="2">
    <w:p w14:paraId="64F1307C" w14:textId="09D193F2" w:rsidR="006137B4" w:rsidRPr="006137B4" w:rsidRDefault="006137B4" w:rsidP="000530C6">
      <w:pPr>
        <w:pStyle w:val="FootnoteText"/>
        <w:spacing w:line="240" w:lineRule="auto"/>
        <w:jc w:val="both"/>
        <w:rPr>
          <w:lang w:val="en-US"/>
        </w:rPr>
      </w:pPr>
      <w:r>
        <w:rPr>
          <w:rStyle w:val="FootnoteReference"/>
        </w:rPr>
        <w:footnoteRef/>
      </w:r>
      <w:r>
        <w:t xml:space="preserve"> </w:t>
      </w:r>
      <w:r>
        <w:rPr>
          <w:lang w:val="en-US"/>
        </w:rPr>
        <w:t>In sequence, the branches implicated are wards 11, 12, 16, 17, 20, 22, 26</w:t>
      </w:r>
      <w:r w:rsidR="00852CEF">
        <w:rPr>
          <w:lang w:val="en-US"/>
        </w:rPr>
        <w:t>, 34, 40, 42 and 46.</w:t>
      </w:r>
    </w:p>
  </w:footnote>
  <w:footnote w:id="3">
    <w:p w14:paraId="5AB0B99A" w14:textId="5BCB8756" w:rsidR="007F7B60" w:rsidRPr="007F7B60" w:rsidRDefault="007F7B60" w:rsidP="000530C6">
      <w:pPr>
        <w:pStyle w:val="FootnoteText"/>
        <w:spacing w:line="240" w:lineRule="auto"/>
        <w:jc w:val="both"/>
        <w:rPr>
          <w:lang w:val="en-US"/>
        </w:rPr>
      </w:pPr>
      <w:r>
        <w:rPr>
          <w:rStyle w:val="FootnoteReference"/>
        </w:rPr>
        <w:footnoteRef/>
      </w:r>
      <w:r>
        <w:t xml:space="preserve"> </w:t>
      </w:r>
      <w:r>
        <w:rPr>
          <w:lang w:val="en-US"/>
        </w:rPr>
        <w:t xml:space="preserve">In the case of ward 16, the reasons provided by the NDRC included membership fraud and glaring discrepancies in the scanner report. The branch was ordered to rerun the meeting with a Provincial Task Team </w:t>
      </w:r>
      <w:r w:rsidR="00EF5605">
        <w:rPr>
          <w:lang w:val="en-US"/>
        </w:rPr>
        <w:t>member deployed</w:t>
      </w:r>
      <w:r>
        <w:rPr>
          <w:lang w:val="en-US"/>
        </w:rPr>
        <w:t xml:space="preserve"> to oversee the meeting.</w:t>
      </w:r>
      <w:r w:rsidR="00E20A08">
        <w:rPr>
          <w:lang w:val="en-US"/>
        </w:rPr>
        <w:t xml:space="preserve"> In the case of ward 22, the NDRC noted that sworn affidavits had been provided by members whose identification documents had been scanned despite their non-attendance at the meeting, so that a rerun was ordered.</w:t>
      </w:r>
    </w:p>
  </w:footnote>
  <w:footnote w:id="4">
    <w:p w14:paraId="62C1FB47" w14:textId="77777777" w:rsidR="00C945F9" w:rsidRPr="00E86BDD" w:rsidRDefault="00C945F9" w:rsidP="000530C6">
      <w:pPr>
        <w:pStyle w:val="FootnoteText"/>
        <w:spacing w:line="240" w:lineRule="auto"/>
        <w:jc w:val="both"/>
        <w:rPr>
          <w:lang w:val="en-US"/>
        </w:rPr>
      </w:pPr>
      <w:r>
        <w:rPr>
          <w:rStyle w:val="FootnoteReference"/>
        </w:rPr>
        <w:footnoteRef/>
      </w:r>
      <w:r>
        <w:t xml:space="preserve"> </w:t>
      </w:r>
      <w:r>
        <w:rPr>
          <w:lang w:val="en-US"/>
        </w:rPr>
        <w:t xml:space="preserve">On 24 February 2022, for example, the Provincial Secretary of the party advised that a PEC Investigative Team would conduct a process in respect of reported violent incidents in wards 1, 2, 6, 22 and 42, yet no report was forthcoming. See </w:t>
      </w:r>
      <w:r>
        <w:rPr>
          <w:i/>
          <w:iCs/>
          <w:lang w:val="en-US"/>
        </w:rPr>
        <w:t>Ramakatsa and Others v African National Congress and Another</w:t>
      </w:r>
      <w:r>
        <w:rPr>
          <w:lang w:val="en-US"/>
        </w:rPr>
        <w:t xml:space="preserve"> [2021] ZASCA 31 (‘</w:t>
      </w:r>
      <w:r>
        <w:rPr>
          <w:i/>
          <w:iCs/>
          <w:lang w:val="en-US"/>
        </w:rPr>
        <w:t xml:space="preserve">Ramakatsa </w:t>
      </w:r>
      <w:r>
        <w:rPr>
          <w:lang w:val="en-US"/>
        </w:rPr>
        <w:t>2’) para 16, where attendance register irregularities were found to render a BGM unlawful.</w:t>
      </w:r>
    </w:p>
  </w:footnote>
  <w:footnote w:id="5">
    <w:p w14:paraId="7EA97DB5" w14:textId="77777777" w:rsidR="007A30EF" w:rsidRPr="00776213" w:rsidRDefault="007A30EF" w:rsidP="000530C6">
      <w:pPr>
        <w:pStyle w:val="FootnoteText"/>
        <w:spacing w:line="240" w:lineRule="auto"/>
        <w:jc w:val="both"/>
        <w:rPr>
          <w:lang w:val="en-US"/>
        </w:rPr>
      </w:pPr>
      <w:r>
        <w:rPr>
          <w:rStyle w:val="FootnoteReference"/>
        </w:rPr>
        <w:footnoteRef/>
      </w:r>
      <w:r>
        <w:t xml:space="preserve"> </w:t>
      </w:r>
      <w:r>
        <w:rPr>
          <w:i/>
          <w:iCs/>
          <w:lang w:val="en-US"/>
        </w:rPr>
        <w:t>Turner v Jockey Club of South Africa</w:t>
      </w:r>
      <w:r>
        <w:rPr>
          <w:lang w:val="en-US"/>
        </w:rPr>
        <w:t xml:space="preserve"> 1974 (3) SA 633 (A) at 645B-C; </w:t>
      </w:r>
      <w:r>
        <w:rPr>
          <w:i/>
          <w:iCs/>
          <w:lang w:val="en-US"/>
        </w:rPr>
        <w:t>Natal Rugby Union v Gould</w:t>
      </w:r>
      <w:r>
        <w:rPr>
          <w:lang w:val="en-US"/>
        </w:rPr>
        <w:t xml:space="preserve"> 1999 (1) SA 432 (SCA) at 440F-G.</w:t>
      </w:r>
    </w:p>
  </w:footnote>
  <w:footnote w:id="6">
    <w:p w14:paraId="47489266" w14:textId="400A83BC" w:rsidR="007A30EF" w:rsidRPr="00056E37" w:rsidRDefault="007A30EF" w:rsidP="000530C6">
      <w:pPr>
        <w:pStyle w:val="FootnoteText"/>
        <w:spacing w:line="240" w:lineRule="auto"/>
        <w:jc w:val="both"/>
        <w:rPr>
          <w:lang w:val="en-US"/>
        </w:rPr>
      </w:pPr>
      <w:r>
        <w:rPr>
          <w:rStyle w:val="FootnoteReference"/>
        </w:rPr>
        <w:footnoteRef/>
      </w:r>
      <w:r>
        <w:t xml:space="preserve"> </w:t>
      </w:r>
      <w:r w:rsidR="00186C90">
        <w:rPr>
          <w:i/>
          <w:iCs/>
          <w:lang w:val="en-US"/>
        </w:rPr>
        <w:t>Ramakatsa and Others v Magashule and Others</w:t>
      </w:r>
      <w:r w:rsidR="00186C90">
        <w:rPr>
          <w:lang w:val="en-US"/>
        </w:rPr>
        <w:t xml:space="preserve"> [2012] ZACC 31; 2013 (2) BCLR 202 (CC) (‘</w:t>
      </w:r>
      <w:r w:rsidR="00186C90">
        <w:rPr>
          <w:i/>
          <w:iCs/>
          <w:lang w:val="en-US"/>
        </w:rPr>
        <w:t xml:space="preserve">Ramakatsa </w:t>
      </w:r>
      <w:r w:rsidR="00186C90">
        <w:rPr>
          <w:lang w:val="en-US"/>
        </w:rPr>
        <w:t>1’)</w:t>
      </w:r>
      <w:r>
        <w:rPr>
          <w:lang w:val="en-US"/>
        </w:rPr>
        <w:t xml:space="preserve"> para 16.</w:t>
      </w:r>
    </w:p>
  </w:footnote>
  <w:footnote w:id="7">
    <w:p w14:paraId="65E1FFCA" w14:textId="46B66027" w:rsidR="00085777" w:rsidRPr="004131AC" w:rsidRDefault="00085777" w:rsidP="000530C6">
      <w:pPr>
        <w:pStyle w:val="FootnoteText"/>
        <w:spacing w:line="240" w:lineRule="auto"/>
        <w:jc w:val="both"/>
        <w:rPr>
          <w:lang w:val="en-US"/>
        </w:rPr>
      </w:pPr>
      <w:r>
        <w:rPr>
          <w:rStyle w:val="FootnoteReference"/>
        </w:rPr>
        <w:footnoteRef/>
      </w:r>
      <w:r>
        <w:t xml:space="preserve"> </w:t>
      </w:r>
      <w:r>
        <w:rPr>
          <w:i/>
          <w:iCs/>
          <w:lang w:val="en-US"/>
        </w:rPr>
        <w:t xml:space="preserve">Ramakatsa </w:t>
      </w:r>
      <w:r>
        <w:rPr>
          <w:lang w:val="en-US"/>
        </w:rPr>
        <w:t xml:space="preserve">1 </w:t>
      </w:r>
      <w:r w:rsidR="00855291">
        <w:rPr>
          <w:lang w:val="en-US"/>
        </w:rPr>
        <w:t>ibid</w:t>
      </w:r>
      <w:r w:rsidR="00B62E25">
        <w:rPr>
          <w:lang w:val="en-US"/>
        </w:rPr>
        <w:t xml:space="preserve"> fn 6 </w:t>
      </w:r>
      <w:r>
        <w:rPr>
          <w:lang w:val="en-US"/>
        </w:rPr>
        <w:t>para 79.</w:t>
      </w:r>
    </w:p>
  </w:footnote>
  <w:footnote w:id="8">
    <w:p w14:paraId="75372FCD" w14:textId="40CBCFD8" w:rsidR="009A0513" w:rsidRPr="00AE56AF" w:rsidRDefault="009A0513" w:rsidP="000530C6">
      <w:pPr>
        <w:pStyle w:val="FootnoteText"/>
        <w:spacing w:line="240" w:lineRule="auto"/>
        <w:jc w:val="both"/>
        <w:rPr>
          <w:lang w:val="en-US"/>
        </w:rPr>
      </w:pPr>
      <w:r>
        <w:rPr>
          <w:rStyle w:val="FootnoteReference"/>
        </w:rPr>
        <w:footnoteRef/>
      </w:r>
      <w:r>
        <w:t xml:space="preserve"> </w:t>
      </w:r>
      <w:r>
        <w:rPr>
          <w:i/>
          <w:iCs/>
          <w:lang w:val="en-US"/>
        </w:rPr>
        <w:t>Mgabadeli and Others v African National Congress and Others</w:t>
      </w:r>
      <w:r>
        <w:rPr>
          <w:lang w:val="en-US"/>
        </w:rPr>
        <w:t xml:space="preserve"> [2017] ZAECGHC 131 </w:t>
      </w:r>
      <w:r w:rsidR="00DE39EE">
        <w:rPr>
          <w:lang w:val="en-US"/>
        </w:rPr>
        <w:t>(‘</w:t>
      </w:r>
      <w:r w:rsidR="00DE39EE">
        <w:rPr>
          <w:i/>
          <w:iCs/>
          <w:lang w:val="en-US"/>
        </w:rPr>
        <w:t>Mgabadeli</w:t>
      </w:r>
      <w:r w:rsidR="00DE39EE">
        <w:rPr>
          <w:lang w:val="en-US"/>
        </w:rPr>
        <w:t>’)</w:t>
      </w:r>
      <w:r w:rsidR="00DE39EE">
        <w:rPr>
          <w:i/>
          <w:iCs/>
          <w:lang w:val="en-US"/>
        </w:rPr>
        <w:t xml:space="preserve"> </w:t>
      </w:r>
      <w:r>
        <w:rPr>
          <w:lang w:val="en-US"/>
        </w:rPr>
        <w:t>para 15.</w:t>
      </w:r>
    </w:p>
  </w:footnote>
  <w:footnote w:id="9">
    <w:p w14:paraId="592C82D9" w14:textId="2936893D" w:rsidR="00246BCB" w:rsidRPr="006A5619" w:rsidRDefault="00246BCB" w:rsidP="000530C6">
      <w:pPr>
        <w:pStyle w:val="FootnoteText"/>
        <w:spacing w:line="240" w:lineRule="auto"/>
        <w:jc w:val="both"/>
        <w:rPr>
          <w:lang w:val="en-US"/>
        </w:rPr>
      </w:pPr>
      <w:r>
        <w:rPr>
          <w:rStyle w:val="FootnoteReference"/>
        </w:rPr>
        <w:footnoteRef/>
      </w:r>
      <w:r>
        <w:t xml:space="preserve"> </w:t>
      </w:r>
      <w:r w:rsidR="00186C90">
        <w:rPr>
          <w:i/>
          <w:iCs/>
          <w:lang w:val="en-US"/>
        </w:rPr>
        <w:t xml:space="preserve">Ramakatsa </w:t>
      </w:r>
      <w:r w:rsidR="00186C90">
        <w:rPr>
          <w:lang w:val="en-US"/>
        </w:rPr>
        <w:t xml:space="preserve">1 </w:t>
      </w:r>
      <w:r w:rsidR="00452878">
        <w:rPr>
          <w:lang w:val="en-US"/>
        </w:rPr>
        <w:t xml:space="preserve">op cit fn 6 </w:t>
      </w:r>
      <w:r>
        <w:rPr>
          <w:lang w:val="en-US"/>
        </w:rPr>
        <w:t>para 16.</w:t>
      </w:r>
    </w:p>
  </w:footnote>
  <w:footnote w:id="10">
    <w:p w14:paraId="04DF957E" w14:textId="438256A3" w:rsidR="00CD5F98" w:rsidRPr="007D10FC" w:rsidRDefault="00CD5F98" w:rsidP="000530C6">
      <w:pPr>
        <w:pStyle w:val="FootnoteText"/>
        <w:spacing w:line="240" w:lineRule="auto"/>
        <w:jc w:val="both"/>
        <w:rPr>
          <w:lang w:val="en-US"/>
        </w:rPr>
      </w:pPr>
      <w:r>
        <w:rPr>
          <w:rStyle w:val="FootnoteReference"/>
        </w:rPr>
        <w:footnoteRef/>
      </w:r>
      <w:r>
        <w:t xml:space="preserve"> </w:t>
      </w:r>
      <w:r>
        <w:rPr>
          <w:i/>
          <w:iCs/>
          <w:lang w:val="en-US"/>
        </w:rPr>
        <w:t>Mgabadeli</w:t>
      </w:r>
      <w:r>
        <w:rPr>
          <w:lang w:val="en-US"/>
        </w:rPr>
        <w:t xml:space="preserve"> </w:t>
      </w:r>
      <w:r w:rsidR="00330A3F">
        <w:rPr>
          <w:lang w:val="en-US"/>
        </w:rPr>
        <w:t xml:space="preserve">op cit fn 8 </w:t>
      </w:r>
      <w:r>
        <w:rPr>
          <w:lang w:val="en-US"/>
        </w:rPr>
        <w:t>para 16.</w:t>
      </w:r>
    </w:p>
  </w:footnote>
  <w:footnote w:id="11">
    <w:p w14:paraId="1076C444" w14:textId="2D9487CA" w:rsidR="00CD5F98" w:rsidRPr="00CB475D" w:rsidRDefault="00CD5F98" w:rsidP="000530C6">
      <w:pPr>
        <w:pStyle w:val="FootnoteText"/>
        <w:spacing w:line="240" w:lineRule="auto"/>
        <w:jc w:val="both"/>
        <w:rPr>
          <w:lang w:val="en-US"/>
        </w:rPr>
      </w:pPr>
      <w:r>
        <w:rPr>
          <w:rStyle w:val="FootnoteReference"/>
        </w:rPr>
        <w:footnoteRef/>
      </w:r>
      <w:r>
        <w:t xml:space="preserve"> </w:t>
      </w:r>
      <w:r w:rsidR="009360CC">
        <w:t xml:space="preserve">Ibid </w:t>
      </w:r>
      <w:r w:rsidR="009360CC">
        <w:rPr>
          <w:lang w:val="en-US"/>
        </w:rPr>
        <w:t>p</w:t>
      </w:r>
      <w:r>
        <w:rPr>
          <w:lang w:val="en-US"/>
        </w:rPr>
        <w:t>ara 17 (footnotes omitted).</w:t>
      </w:r>
    </w:p>
  </w:footnote>
  <w:footnote w:id="12">
    <w:p w14:paraId="7236C682" w14:textId="77777777" w:rsidR="002341C4" w:rsidRPr="00C8200E" w:rsidRDefault="002341C4" w:rsidP="000530C6">
      <w:pPr>
        <w:pStyle w:val="FootnoteText"/>
        <w:spacing w:line="240" w:lineRule="auto"/>
        <w:jc w:val="both"/>
        <w:rPr>
          <w:lang w:val="en-US"/>
        </w:rPr>
      </w:pPr>
      <w:r>
        <w:rPr>
          <w:rStyle w:val="FootnoteReference"/>
        </w:rPr>
        <w:footnoteRef/>
      </w:r>
      <w:r>
        <w:t xml:space="preserve"> </w:t>
      </w:r>
      <w:r>
        <w:rPr>
          <w:i/>
          <w:iCs/>
          <w:lang w:val="en-US"/>
        </w:rPr>
        <w:t>Natal Joint Municipal Pension Fund v Endumeni Municipality</w:t>
      </w:r>
      <w:r>
        <w:rPr>
          <w:lang w:val="en-US"/>
        </w:rPr>
        <w:t xml:space="preserve"> [2012] ZASCA 13; 2012 (4) SA 593 (SCA) para 18.</w:t>
      </w:r>
    </w:p>
  </w:footnote>
  <w:footnote w:id="13">
    <w:p w14:paraId="3A6A5679" w14:textId="77777777" w:rsidR="002341C4" w:rsidRPr="0079403D" w:rsidRDefault="002341C4" w:rsidP="000530C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National Federated Chamber of Commerce and Industry and Others v Mkhize and Others</w:t>
      </w:r>
      <w:r>
        <w:rPr>
          <w:lang w:val="en-US"/>
        </w:rPr>
        <w:t xml:space="preserve"> [2014] ZASCA 177; [2015] 1 All SA 393 para 21.</w:t>
      </w:r>
    </w:p>
  </w:footnote>
  <w:footnote w:id="14">
    <w:p w14:paraId="64A14433" w14:textId="053FAE51" w:rsidR="005E09E8" w:rsidRPr="005E09E8" w:rsidRDefault="005E09E8" w:rsidP="000530C6">
      <w:pPr>
        <w:pStyle w:val="FootnoteText"/>
        <w:spacing w:line="240" w:lineRule="auto"/>
        <w:jc w:val="both"/>
        <w:rPr>
          <w:lang w:val="en-US"/>
        </w:rPr>
      </w:pPr>
      <w:r>
        <w:rPr>
          <w:rStyle w:val="FootnoteReference"/>
        </w:rPr>
        <w:footnoteRef/>
      </w:r>
      <w:r>
        <w:t xml:space="preserve"> </w:t>
      </w:r>
      <w:r>
        <w:rPr>
          <w:lang w:val="en-US"/>
        </w:rPr>
        <w:t>Clause 19.9.12 of the ANC constitution.</w:t>
      </w:r>
    </w:p>
  </w:footnote>
  <w:footnote w:id="15">
    <w:p w14:paraId="6CB2B9E3" w14:textId="3996F78A" w:rsidR="004E5B31" w:rsidRPr="004E5B31" w:rsidRDefault="004E5B31" w:rsidP="000530C6">
      <w:pPr>
        <w:pStyle w:val="FootnoteText"/>
        <w:spacing w:line="240" w:lineRule="auto"/>
        <w:jc w:val="both"/>
        <w:rPr>
          <w:lang w:val="en-US"/>
        </w:rPr>
      </w:pPr>
      <w:r>
        <w:rPr>
          <w:rStyle w:val="FootnoteReference"/>
        </w:rPr>
        <w:footnoteRef/>
      </w:r>
      <w:r>
        <w:t xml:space="preserve"> </w:t>
      </w:r>
      <w:r>
        <w:rPr>
          <w:lang w:val="en-US"/>
        </w:rPr>
        <w:t xml:space="preserve">Clause 7 of the Guidelines. </w:t>
      </w:r>
    </w:p>
  </w:footnote>
  <w:footnote w:id="16">
    <w:p w14:paraId="62F73EED" w14:textId="27AA0F4A" w:rsidR="00F834BD" w:rsidRPr="00F834BD" w:rsidRDefault="00F834BD" w:rsidP="000530C6">
      <w:pPr>
        <w:pStyle w:val="FootnoteText"/>
        <w:spacing w:line="240" w:lineRule="auto"/>
        <w:jc w:val="both"/>
        <w:rPr>
          <w:lang w:val="en-US"/>
        </w:rPr>
      </w:pPr>
      <w:r>
        <w:rPr>
          <w:rStyle w:val="FootnoteReference"/>
        </w:rPr>
        <w:footnoteRef/>
      </w:r>
      <w:r>
        <w:t xml:space="preserve"> </w:t>
      </w:r>
      <w:r>
        <w:rPr>
          <w:lang w:val="en-US"/>
        </w:rPr>
        <w:t>Clause 7.6 and 7.9 of the Guideli</w:t>
      </w:r>
      <w:r w:rsidR="008A4D96">
        <w:rPr>
          <w:lang w:val="en-US"/>
        </w:rPr>
        <w:t>nes.</w:t>
      </w:r>
      <w:r w:rsidR="007312CE">
        <w:rPr>
          <w:lang w:val="en-US"/>
        </w:rPr>
        <w:t xml:space="preserve"> Also see Appendix 4 of the ANC </w:t>
      </w:r>
      <w:r w:rsidR="00D21213">
        <w:rPr>
          <w:lang w:val="en-US"/>
        </w:rPr>
        <w:t>c</w:t>
      </w:r>
      <w:r w:rsidR="007312CE">
        <w:rPr>
          <w:lang w:val="en-US"/>
        </w:rPr>
        <w:t>onstitution on the National Dispute Resolution Committee and the National Dispute Resolution Appeal Committee.</w:t>
      </w:r>
    </w:p>
  </w:footnote>
  <w:footnote w:id="17">
    <w:p w14:paraId="5A87A8FD" w14:textId="77777777" w:rsidR="00CD08E7" w:rsidRPr="008D30BD" w:rsidRDefault="00CD08E7" w:rsidP="000530C6">
      <w:pPr>
        <w:pStyle w:val="FootnoteText"/>
        <w:spacing w:line="240" w:lineRule="auto"/>
        <w:jc w:val="both"/>
        <w:rPr>
          <w:lang w:val="en-US"/>
        </w:rPr>
      </w:pPr>
      <w:r>
        <w:rPr>
          <w:rStyle w:val="FootnoteReference"/>
        </w:rPr>
        <w:footnoteRef/>
      </w:r>
      <w:r>
        <w:t xml:space="preserve"> </w:t>
      </w:r>
      <w:r>
        <w:rPr>
          <w:i/>
          <w:iCs/>
          <w:lang w:val="en-US"/>
        </w:rPr>
        <w:t>Shoba v Officer Commanding, Temporary Police Camp, Wagendrift Dam and Another; Maphanga v Officer Commanding, South African Police Murder and Robbery Unit, Pietermaritzburg and Others</w:t>
      </w:r>
      <w:r>
        <w:rPr>
          <w:lang w:val="en-US"/>
        </w:rPr>
        <w:t xml:space="preserve"> 1995 (4) SA 1 (A) at 18-19.</w:t>
      </w:r>
    </w:p>
  </w:footnote>
  <w:footnote w:id="18">
    <w:p w14:paraId="216AD4F8" w14:textId="77777777" w:rsidR="00CD08E7" w:rsidRPr="00B634FD" w:rsidRDefault="00CD08E7" w:rsidP="000530C6">
      <w:pPr>
        <w:pStyle w:val="FootnoteText"/>
        <w:spacing w:line="240" w:lineRule="auto"/>
        <w:jc w:val="both"/>
        <w:rPr>
          <w:lang w:val="en-US"/>
        </w:rPr>
      </w:pPr>
      <w:r>
        <w:rPr>
          <w:rStyle w:val="FootnoteReference"/>
        </w:rPr>
        <w:footnoteRef/>
      </w:r>
      <w:r>
        <w:t xml:space="preserve"> </w:t>
      </w:r>
      <w:r>
        <w:rPr>
          <w:lang w:val="en-US"/>
        </w:rPr>
        <w:t xml:space="preserve">GB Van Zyl </w:t>
      </w:r>
      <w:r>
        <w:rPr>
          <w:i/>
          <w:iCs/>
          <w:lang w:val="en-US"/>
        </w:rPr>
        <w:t>The Theory of the Judicial Practice of South Africa</w:t>
      </w:r>
      <w:r>
        <w:rPr>
          <w:lang w:val="en-US"/>
        </w:rPr>
        <w:t xml:space="preserve"> (4</w:t>
      </w:r>
      <w:r w:rsidRPr="00B634FD">
        <w:rPr>
          <w:vertAlign w:val="superscript"/>
          <w:lang w:val="en-US"/>
        </w:rPr>
        <w:t>th</w:t>
      </w:r>
      <w:r>
        <w:rPr>
          <w:lang w:val="en-US"/>
        </w:rPr>
        <w:t xml:space="preserve"> Ed) (Juta) 401. The court is not bound by the exact terms of the rule </w:t>
      </w:r>
      <w:r>
        <w:rPr>
          <w:i/>
          <w:iCs/>
          <w:lang w:val="en-US"/>
        </w:rPr>
        <w:t>nisi</w:t>
      </w:r>
      <w:r>
        <w:rPr>
          <w:lang w:val="en-US"/>
        </w:rPr>
        <w:t xml:space="preserve">, but may mould it so as to meet the justice of the case. </w:t>
      </w:r>
    </w:p>
  </w:footnote>
  <w:footnote w:id="19">
    <w:p w14:paraId="1A78E684" w14:textId="77777777" w:rsidR="00CD08E7" w:rsidRPr="00601782" w:rsidRDefault="00CD08E7" w:rsidP="000530C6">
      <w:pPr>
        <w:pStyle w:val="FootnoteText"/>
        <w:spacing w:line="240" w:lineRule="auto"/>
        <w:jc w:val="both"/>
        <w:rPr>
          <w:lang w:val="en-US"/>
        </w:rPr>
      </w:pPr>
      <w:r>
        <w:rPr>
          <w:rStyle w:val="FootnoteReference"/>
        </w:rPr>
        <w:footnoteRef/>
      </w:r>
      <w:r>
        <w:t xml:space="preserve"> </w:t>
      </w:r>
      <w:r>
        <w:rPr>
          <w:lang w:val="en-US"/>
        </w:rPr>
        <w:t>S 172(1)</w:t>
      </w:r>
      <w:r>
        <w:rPr>
          <w:i/>
          <w:iCs/>
          <w:lang w:val="en-US"/>
        </w:rPr>
        <w:t>(b)</w:t>
      </w:r>
      <w:r>
        <w:rPr>
          <w:lang w:val="en-US"/>
        </w:rPr>
        <w:t xml:space="preserve"> adds that a court ‘may make any order that is just and equitable’. </w:t>
      </w:r>
    </w:p>
  </w:footnote>
  <w:footnote w:id="20">
    <w:p w14:paraId="2B30272D" w14:textId="77777777" w:rsidR="00CD08E7" w:rsidRPr="00F6392F" w:rsidRDefault="00CD08E7" w:rsidP="000530C6">
      <w:pPr>
        <w:pStyle w:val="FootnoteText"/>
        <w:spacing w:line="240" w:lineRule="auto"/>
        <w:jc w:val="both"/>
        <w:rPr>
          <w:lang w:val="en-US"/>
        </w:rPr>
      </w:pPr>
      <w:r>
        <w:rPr>
          <w:rStyle w:val="FootnoteReference"/>
        </w:rPr>
        <w:footnoteRef/>
      </w:r>
      <w:r>
        <w:t xml:space="preserve"> </w:t>
      </w:r>
      <w:r>
        <w:rPr>
          <w:i/>
          <w:iCs/>
          <w:lang w:val="en-US"/>
        </w:rPr>
        <w:t>Director of Public Prosecutions, Transvaal v Minister of Justice and Constitutional Development and Others</w:t>
      </w:r>
      <w:r>
        <w:rPr>
          <w:lang w:val="en-US"/>
        </w:rPr>
        <w:t xml:space="preserve"> 2009 (4) SA 222 (CC) para 43.</w:t>
      </w:r>
    </w:p>
  </w:footnote>
  <w:footnote w:id="21">
    <w:p w14:paraId="715BBF4A" w14:textId="311A33E0" w:rsidR="00CD08E7" w:rsidRPr="00A53D0D" w:rsidRDefault="00CD08E7" w:rsidP="000530C6">
      <w:pPr>
        <w:pStyle w:val="FootnoteText"/>
        <w:spacing w:line="240" w:lineRule="auto"/>
        <w:jc w:val="both"/>
        <w:rPr>
          <w:lang w:val="en-US"/>
        </w:rPr>
      </w:pPr>
      <w:r>
        <w:rPr>
          <w:rStyle w:val="FootnoteReference"/>
        </w:rPr>
        <w:footnoteRef/>
      </w:r>
      <w:r>
        <w:t xml:space="preserve"> </w:t>
      </w:r>
      <w:r>
        <w:rPr>
          <w:i/>
          <w:iCs/>
          <w:lang w:val="en-US"/>
        </w:rPr>
        <w:t>Islamic Unity Convention v Independent Broadcasting Authority and Others</w:t>
      </w:r>
      <w:r>
        <w:rPr>
          <w:lang w:val="en-US"/>
        </w:rPr>
        <w:t xml:space="preserve"> (‘</w:t>
      </w:r>
      <w:r>
        <w:rPr>
          <w:i/>
          <w:iCs/>
          <w:lang w:val="en-US"/>
        </w:rPr>
        <w:t>Islamic Unity Convention</w:t>
      </w:r>
      <w:r>
        <w:rPr>
          <w:lang w:val="en-US"/>
        </w:rPr>
        <w:t>’)</w:t>
      </w:r>
      <w:r>
        <w:rPr>
          <w:i/>
          <w:iCs/>
          <w:lang w:val="en-US"/>
        </w:rPr>
        <w:t xml:space="preserve"> </w:t>
      </w:r>
      <w:r>
        <w:rPr>
          <w:lang w:val="en-US"/>
        </w:rPr>
        <w:t xml:space="preserve">2002 (4) SA 294 (CC) </w:t>
      </w:r>
      <w:r w:rsidR="00C514CB">
        <w:rPr>
          <w:lang w:val="en-US"/>
        </w:rPr>
        <w:t>(‘</w:t>
      </w:r>
      <w:r w:rsidR="00C514CB">
        <w:rPr>
          <w:i/>
          <w:iCs/>
          <w:lang w:val="en-US"/>
        </w:rPr>
        <w:t>Islamic Unity Convention</w:t>
      </w:r>
      <w:r w:rsidR="00C514CB">
        <w:rPr>
          <w:lang w:val="en-US"/>
        </w:rPr>
        <w:t>’)</w:t>
      </w:r>
      <w:r w:rsidR="00C514CB">
        <w:rPr>
          <w:i/>
          <w:iCs/>
          <w:lang w:val="en-US"/>
        </w:rPr>
        <w:t xml:space="preserve"> </w:t>
      </w:r>
      <w:r>
        <w:rPr>
          <w:lang w:val="en-US"/>
        </w:rPr>
        <w:t xml:space="preserve">para 10. On the differences between the jurisdiction of the High Court to grant declaratory relief and s 172 of the Constitution, also see </w:t>
      </w:r>
      <w:r>
        <w:rPr>
          <w:i/>
          <w:iCs/>
          <w:lang w:val="en-US"/>
        </w:rPr>
        <w:t>National Director of Public Prosecutions and Another v Mohamed NO and Others</w:t>
      </w:r>
      <w:r>
        <w:rPr>
          <w:lang w:val="en-US"/>
        </w:rPr>
        <w:t xml:space="preserve"> 2003 (4) SA 1 (CC) paras 55-56. In </w:t>
      </w:r>
      <w:r>
        <w:rPr>
          <w:i/>
          <w:iCs/>
          <w:lang w:val="en-US"/>
        </w:rPr>
        <w:t>Rail Commuters Action Group and Others v Transnet Ltd t/a Metrorail and Others</w:t>
      </w:r>
      <w:r>
        <w:rPr>
          <w:lang w:val="en-US"/>
        </w:rPr>
        <w:t xml:space="preserve"> 2005 (2) SA 359 (CC)</w:t>
      </w:r>
      <w:r w:rsidR="003F4D58">
        <w:rPr>
          <w:lang w:val="en-US"/>
        </w:rPr>
        <w:t xml:space="preserve"> (‘</w:t>
      </w:r>
      <w:r w:rsidR="003F4D58">
        <w:rPr>
          <w:i/>
          <w:iCs/>
          <w:lang w:val="en-US"/>
        </w:rPr>
        <w:t>Rail Commuters</w:t>
      </w:r>
      <w:r w:rsidR="003F4D58">
        <w:rPr>
          <w:lang w:val="en-US"/>
        </w:rPr>
        <w:t>’)</w:t>
      </w:r>
      <w:r>
        <w:rPr>
          <w:lang w:val="en-US"/>
        </w:rPr>
        <w:t>, the Constitutional Court confirmed, with reference to s 38 of the Constitution, that a declaratory order might also be appropriate where a court has not found conduct to be in conflict with the Constitution: para 106.</w:t>
      </w:r>
    </w:p>
  </w:footnote>
  <w:footnote w:id="22">
    <w:p w14:paraId="67C660D5" w14:textId="169E2A3D" w:rsidR="00CD08E7" w:rsidRPr="008127DE" w:rsidRDefault="00CD08E7" w:rsidP="000530C6">
      <w:pPr>
        <w:pStyle w:val="FootnoteText"/>
        <w:spacing w:line="240" w:lineRule="auto"/>
        <w:jc w:val="both"/>
        <w:rPr>
          <w:lang w:val="en-US"/>
        </w:rPr>
      </w:pPr>
      <w:r>
        <w:rPr>
          <w:rStyle w:val="FootnoteReference"/>
        </w:rPr>
        <w:footnoteRef/>
      </w:r>
      <w:r>
        <w:t xml:space="preserve"> </w:t>
      </w:r>
      <w:r>
        <w:rPr>
          <w:i/>
          <w:iCs/>
          <w:lang w:val="en-US"/>
        </w:rPr>
        <w:t>Islamic Unity Convention</w:t>
      </w:r>
      <w:r>
        <w:rPr>
          <w:lang w:val="en-US"/>
        </w:rPr>
        <w:t xml:space="preserve"> </w:t>
      </w:r>
      <w:r w:rsidR="00071083">
        <w:rPr>
          <w:lang w:val="en-US"/>
        </w:rPr>
        <w:t>ibid</w:t>
      </w:r>
      <w:r w:rsidR="00D717E6">
        <w:rPr>
          <w:lang w:val="en-US"/>
        </w:rPr>
        <w:t xml:space="preserve"> </w:t>
      </w:r>
      <w:r>
        <w:rPr>
          <w:lang w:val="en-US"/>
        </w:rPr>
        <w:t>paras 11 and 12. Section 21(1)</w:t>
      </w:r>
      <w:r>
        <w:rPr>
          <w:i/>
          <w:iCs/>
          <w:lang w:val="en-US"/>
        </w:rPr>
        <w:t>(c)</w:t>
      </w:r>
      <w:r>
        <w:rPr>
          <w:lang w:val="en-US"/>
        </w:rPr>
        <w:t xml:space="preserve"> of the Superior Courts Act, 2013 (Act 10 of 2013) contains similar wording to s 19(1)</w:t>
      </w:r>
      <w:r>
        <w:rPr>
          <w:i/>
          <w:iCs/>
          <w:lang w:val="en-US"/>
        </w:rPr>
        <w:t>(a)</w:t>
      </w:r>
      <w:r>
        <w:rPr>
          <w:lang w:val="en-US"/>
        </w:rPr>
        <w:t>(iii) of the repealed Supreme Court Act, 1959 (Act 59 of 1959).</w:t>
      </w:r>
    </w:p>
  </w:footnote>
  <w:footnote w:id="23">
    <w:p w14:paraId="407DBB66" w14:textId="77777777" w:rsidR="00CD08E7" w:rsidRPr="009F3D1C" w:rsidRDefault="00CD08E7" w:rsidP="000530C6">
      <w:pPr>
        <w:pStyle w:val="FootnoteText"/>
        <w:spacing w:line="240" w:lineRule="auto"/>
        <w:jc w:val="both"/>
        <w:rPr>
          <w:lang w:val="en-US"/>
        </w:rPr>
      </w:pPr>
      <w:r>
        <w:rPr>
          <w:rStyle w:val="FootnoteReference"/>
        </w:rPr>
        <w:footnoteRef/>
      </w:r>
      <w:r>
        <w:t xml:space="preserve"> </w:t>
      </w:r>
      <w:r>
        <w:rPr>
          <w:i/>
          <w:iCs/>
          <w:lang w:val="en-US"/>
        </w:rPr>
        <w:t>J T Publishing (Pty) Ltd and Another v Minister of Safety and Security and Others</w:t>
      </w:r>
      <w:r>
        <w:rPr>
          <w:lang w:val="en-US"/>
        </w:rPr>
        <w:t xml:space="preserve"> (‘</w:t>
      </w:r>
      <w:r>
        <w:rPr>
          <w:i/>
          <w:iCs/>
          <w:lang w:val="en-US"/>
        </w:rPr>
        <w:t>J T Publishing</w:t>
      </w:r>
      <w:r>
        <w:rPr>
          <w:lang w:val="en-US"/>
        </w:rPr>
        <w:t>’)</w:t>
      </w:r>
      <w:r>
        <w:rPr>
          <w:i/>
          <w:iCs/>
          <w:lang w:val="en-US"/>
        </w:rPr>
        <w:t xml:space="preserve"> </w:t>
      </w:r>
      <w:r>
        <w:rPr>
          <w:lang w:val="en-US"/>
        </w:rPr>
        <w:t xml:space="preserve">1997 (3) SA 514 (CC) para 15. Also see </w:t>
      </w:r>
      <w:r>
        <w:rPr>
          <w:i/>
          <w:iCs/>
          <w:lang w:val="en-US"/>
        </w:rPr>
        <w:t>Islamic Unity Convention</w:t>
      </w:r>
      <w:r>
        <w:rPr>
          <w:lang w:val="en-US"/>
        </w:rPr>
        <w:t xml:space="preserve"> ibid para 10.</w:t>
      </w:r>
    </w:p>
  </w:footnote>
  <w:footnote w:id="24">
    <w:p w14:paraId="328B00BC" w14:textId="77777777" w:rsidR="00CD08E7" w:rsidRPr="005D36B6" w:rsidRDefault="00CD08E7" w:rsidP="000530C6">
      <w:pPr>
        <w:pStyle w:val="FootnoteText"/>
        <w:spacing w:line="240" w:lineRule="auto"/>
        <w:jc w:val="both"/>
        <w:rPr>
          <w:lang w:val="en-US"/>
        </w:rPr>
      </w:pPr>
      <w:r>
        <w:rPr>
          <w:rStyle w:val="FootnoteReference"/>
        </w:rPr>
        <w:footnoteRef/>
      </w:r>
      <w:r>
        <w:t xml:space="preserve"> </w:t>
      </w:r>
      <w:r>
        <w:rPr>
          <w:i/>
          <w:iCs/>
          <w:lang w:val="en-US"/>
        </w:rPr>
        <w:t>National Coalition for Gay and Lesbian Equality and Others</w:t>
      </w:r>
      <w:r>
        <w:rPr>
          <w:lang w:val="en-US"/>
        </w:rPr>
        <w:t xml:space="preserve"> </w:t>
      </w:r>
      <w:r>
        <w:rPr>
          <w:i/>
          <w:iCs/>
          <w:lang w:val="en-US"/>
        </w:rPr>
        <w:t>v Minister of Home Affairs and Others</w:t>
      </w:r>
      <w:r>
        <w:rPr>
          <w:lang w:val="en-US"/>
        </w:rPr>
        <w:t xml:space="preserve"> 2000 (2) SA 1 (CC) para 21 and fn 18.</w:t>
      </w:r>
    </w:p>
  </w:footnote>
  <w:footnote w:id="25">
    <w:p w14:paraId="19A80D7B" w14:textId="77777777" w:rsidR="00CD08E7" w:rsidRPr="009624B8" w:rsidRDefault="00CD08E7" w:rsidP="000530C6">
      <w:pPr>
        <w:pStyle w:val="FootnoteText"/>
        <w:spacing w:line="240" w:lineRule="auto"/>
        <w:jc w:val="both"/>
        <w:rPr>
          <w:lang w:val="en-US"/>
        </w:rPr>
      </w:pPr>
      <w:r>
        <w:rPr>
          <w:rStyle w:val="FootnoteReference"/>
        </w:rPr>
        <w:footnoteRef/>
      </w:r>
      <w:r>
        <w:rPr>
          <w:rStyle w:val="FootnoteReference"/>
        </w:rPr>
        <w:footnoteRef/>
      </w:r>
      <w:r>
        <w:t xml:space="preserve"> </w:t>
      </w:r>
      <w:r>
        <w:rPr>
          <w:lang w:val="en-US"/>
        </w:rPr>
        <w:t xml:space="preserve">See, for example, </w:t>
      </w:r>
      <w:r>
        <w:rPr>
          <w:i/>
          <w:iCs/>
          <w:lang w:val="en-US"/>
        </w:rPr>
        <w:t>Director-General Department of Home Affairs and Another v Mukhamadiva</w:t>
      </w:r>
      <w:r>
        <w:rPr>
          <w:lang w:val="en-US"/>
        </w:rPr>
        <w:t xml:space="preserve"> [2013] ZACC 47 paras 33-37, where Moseneke DCJ traced the development of this position.</w:t>
      </w:r>
    </w:p>
  </w:footnote>
  <w:footnote w:id="26">
    <w:p w14:paraId="546BD86F" w14:textId="77777777" w:rsidR="00CD08E7" w:rsidRPr="00D4151C" w:rsidRDefault="00CD08E7" w:rsidP="000530C6">
      <w:pPr>
        <w:pStyle w:val="FootnoteText"/>
        <w:spacing w:line="240" w:lineRule="auto"/>
        <w:jc w:val="both"/>
        <w:rPr>
          <w:lang w:val="en-US"/>
        </w:rPr>
      </w:pPr>
      <w:r>
        <w:rPr>
          <w:rStyle w:val="FootnoteReference"/>
        </w:rPr>
        <w:footnoteRef/>
      </w:r>
      <w:r>
        <w:t xml:space="preserve"> </w:t>
      </w:r>
      <w:r>
        <w:rPr>
          <w:i/>
          <w:iCs/>
        </w:rPr>
        <w:t xml:space="preserve">Independent Electoral Commission v Langeberg Municipality </w:t>
      </w:r>
      <w:r>
        <w:t>2001 (3) SA 925 (CC) (‘</w:t>
      </w:r>
      <w:r>
        <w:rPr>
          <w:i/>
          <w:iCs/>
        </w:rPr>
        <w:t>Langeberg Municipality</w:t>
      </w:r>
      <w:r>
        <w:t>’)</w:t>
      </w:r>
      <w:r>
        <w:rPr>
          <w:i/>
          <w:iCs/>
        </w:rPr>
        <w:t xml:space="preserve"> </w:t>
      </w:r>
      <w:r>
        <w:t xml:space="preserve">para 9; </w:t>
      </w:r>
      <w:r>
        <w:rPr>
          <w:i/>
          <w:iCs/>
        </w:rPr>
        <w:t>Sebola and Another v Standard Bank of South Africa Ltd and Another</w:t>
      </w:r>
      <w:r>
        <w:t xml:space="preserve"> 2012 (5) SA 142 (CC) para 32; Also s</w:t>
      </w:r>
      <w:r>
        <w:rPr>
          <w:lang w:val="en-US"/>
        </w:rPr>
        <w:t xml:space="preserve">ee </w:t>
      </w:r>
      <w:r>
        <w:rPr>
          <w:i/>
          <w:iCs/>
          <w:lang w:val="en-US"/>
        </w:rPr>
        <w:t>Ramuhovhi and Another v President of the Republic of South Africa and Others</w:t>
      </w:r>
      <w:r>
        <w:rPr>
          <w:lang w:val="en-US"/>
        </w:rPr>
        <w:t xml:space="preserve"> 2016 (6) SA 210 (LT) para 19.</w:t>
      </w:r>
    </w:p>
  </w:footnote>
  <w:footnote w:id="27">
    <w:p w14:paraId="485AFFBD" w14:textId="77777777" w:rsidR="00CD08E7" w:rsidRPr="00BF5AF1" w:rsidRDefault="00CD08E7" w:rsidP="000530C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Van Wyk v Unitas Hospital and Another (Open Democratic Advice Centre as Amicus Curiae) </w:t>
      </w:r>
      <w:r>
        <w:rPr>
          <w:lang w:val="en-US"/>
        </w:rPr>
        <w:t xml:space="preserve">2008 (2) SA 472 (CC); para 29; In the context of decisions of the ANC, see </w:t>
      </w:r>
      <w:r>
        <w:rPr>
          <w:i/>
          <w:iCs/>
          <w:lang w:val="en-US"/>
        </w:rPr>
        <w:t>Motswana and Others v African National Congress and Others</w:t>
      </w:r>
      <w:r>
        <w:rPr>
          <w:lang w:val="en-US"/>
        </w:rPr>
        <w:t xml:space="preserve"> [2019] ZAGPJHC 4 para 19.</w:t>
      </w:r>
    </w:p>
  </w:footnote>
  <w:footnote w:id="28">
    <w:p w14:paraId="6611DCE9" w14:textId="35764694" w:rsidR="00CD08E7" w:rsidRPr="00484EA5" w:rsidRDefault="00CD08E7" w:rsidP="000530C6">
      <w:pPr>
        <w:pStyle w:val="FootnoteText"/>
        <w:spacing w:line="240" w:lineRule="auto"/>
        <w:jc w:val="both"/>
        <w:rPr>
          <w:lang w:val="en-US"/>
        </w:rPr>
      </w:pPr>
      <w:r>
        <w:rPr>
          <w:rStyle w:val="FootnoteReference"/>
        </w:rPr>
        <w:footnoteRef/>
      </w:r>
      <w:r>
        <w:t xml:space="preserve"> </w:t>
      </w:r>
      <w:r>
        <w:rPr>
          <w:i/>
          <w:iCs/>
          <w:lang w:val="en-US"/>
        </w:rPr>
        <w:t>MEC for Education, KwaZulu-Natal, and Others v Pillay</w:t>
      </w:r>
      <w:r>
        <w:rPr>
          <w:lang w:val="en-US"/>
        </w:rPr>
        <w:t xml:space="preserve"> 2008 (1) SA 474 (CC) para 32; </w:t>
      </w:r>
      <w:r>
        <w:rPr>
          <w:i/>
          <w:iCs/>
          <w:lang w:val="en-US"/>
        </w:rPr>
        <w:t>Langeberg Municipality</w:t>
      </w:r>
      <w:r>
        <w:rPr>
          <w:lang w:val="en-US"/>
        </w:rPr>
        <w:t xml:space="preserve"> </w:t>
      </w:r>
      <w:r w:rsidR="006B4AF8">
        <w:rPr>
          <w:lang w:val="en-US"/>
        </w:rPr>
        <w:t xml:space="preserve">op cit fn 26 </w:t>
      </w:r>
      <w:r>
        <w:rPr>
          <w:lang w:val="en-US"/>
        </w:rPr>
        <w:t>para 11.</w:t>
      </w:r>
    </w:p>
  </w:footnote>
  <w:footnote w:id="29">
    <w:p w14:paraId="5654BC05" w14:textId="77777777" w:rsidR="00CD08E7" w:rsidRPr="003343B3" w:rsidRDefault="00CD08E7" w:rsidP="000530C6">
      <w:pPr>
        <w:pStyle w:val="FootnoteText"/>
        <w:spacing w:line="240" w:lineRule="auto"/>
        <w:jc w:val="both"/>
        <w:rPr>
          <w:i/>
          <w:iCs/>
          <w:lang w:val="en-US"/>
        </w:rPr>
      </w:pPr>
      <w:r>
        <w:rPr>
          <w:rStyle w:val="FootnoteReference"/>
        </w:rPr>
        <w:footnoteRef/>
      </w:r>
      <w:r>
        <w:t xml:space="preserve"> </w:t>
      </w:r>
      <w:r>
        <w:rPr>
          <w:i/>
          <w:iCs/>
          <w:lang w:val="en-US"/>
        </w:rPr>
        <w:t>Director-General Department of Home Affairs and Another v Mukhamadiva</w:t>
      </w:r>
      <w:r>
        <w:rPr>
          <w:lang w:val="en-US"/>
        </w:rPr>
        <w:t xml:space="preserve"> [2013] ZACC 47 para 40.</w:t>
      </w:r>
    </w:p>
  </w:footnote>
  <w:footnote w:id="30">
    <w:p w14:paraId="6448EBD5" w14:textId="77777777" w:rsidR="00FF57B7" w:rsidRPr="00823D26" w:rsidRDefault="00FF57B7" w:rsidP="000530C6">
      <w:pPr>
        <w:pStyle w:val="FootnoteText"/>
        <w:spacing w:line="240" w:lineRule="auto"/>
        <w:jc w:val="both"/>
        <w:rPr>
          <w:lang w:val="en-US"/>
        </w:rPr>
      </w:pPr>
      <w:r>
        <w:rPr>
          <w:rStyle w:val="FootnoteReference"/>
        </w:rPr>
        <w:footnoteRef/>
      </w:r>
      <w:r>
        <w:t xml:space="preserve"> </w:t>
      </w:r>
      <w:r>
        <w:rPr>
          <w:i/>
          <w:iCs/>
          <w:lang w:val="en-US"/>
        </w:rPr>
        <w:t xml:space="preserve">President of the Ordinary Court Martial NO v Freedom of Expression Institute </w:t>
      </w:r>
      <w:r>
        <w:rPr>
          <w:lang w:val="en-US"/>
        </w:rPr>
        <w:t>1999 (4) SA 682 (CC) para 16.</w:t>
      </w:r>
    </w:p>
  </w:footnote>
  <w:footnote w:id="31">
    <w:p w14:paraId="4B97F6C0" w14:textId="77777777" w:rsidR="000E0C9E" w:rsidRPr="00FD26F8" w:rsidRDefault="000E0C9E" w:rsidP="000530C6">
      <w:pPr>
        <w:pStyle w:val="FootnoteText"/>
        <w:spacing w:line="240" w:lineRule="auto"/>
        <w:jc w:val="both"/>
        <w:rPr>
          <w:lang w:val="en-US"/>
        </w:rPr>
      </w:pPr>
      <w:r>
        <w:rPr>
          <w:rStyle w:val="FootnoteReference"/>
        </w:rPr>
        <w:footnoteRef/>
      </w:r>
      <w:r>
        <w:t xml:space="preserve"> </w:t>
      </w:r>
      <w:r>
        <w:rPr>
          <w:i/>
          <w:iCs/>
          <w:lang w:val="en-US"/>
        </w:rPr>
        <w:t>Centre for Child Law and Others</w:t>
      </w:r>
      <w:r>
        <w:rPr>
          <w:lang w:val="en-US"/>
        </w:rPr>
        <w:t xml:space="preserve"> </w:t>
      </w:r>
      <w:r>
        <w:rPr>
          <w:i/>
          <w:iCs/>
          <w:lang w:val="en-US"/>
        </w:rPr>
        <w:t>v Minister of Basic Education and Others</w:t>
      </w:r>
      <w:r>
        <w:rPr>
          <w:lang w:val="en-US"/>
        </w:rPr>
        <w:t xml:space="preserve"> 2020 (3) SA 141 (ECG) para 59; </w:t>
      </w:r>
      <w:r>
        <w:rPr>
          <w:i/>
          <w:iCs/>
          <w:lang w:val="en-US"/>
        </w:rPr>
        <w:t>Malawu v MEC for Cooperative Governance and Traditional Affairs, Eastern Cape and Another</w:t>
      </w:r>
      <w:r>
        <w:rPr>
          <w:lang w:val="en-US"/>
        </w:rPr>
        <w:t xml:space="preserve"> [2022] ZAECMKHC 27 para 42. Also see the remarks of the court in </w:t>
      </w:r>
      <w:r>
        <w:rPr>
          <w:i/>
          <w:iCs/>
          <w:lang w:val="en-US"/>
        </w:rPr>
        <w:t>The Fonarun Naree Trustees, Copenship Bulkers A/S (In Liquidation) and Others v Afri Grain Marketing (Pty) Ltd and Others</w:t>
      </w:r>
      <w:r>
        <w:rPr>
          <w:lang w:val="en-US"/>
        </w:rPr>
        <w:t xml:space="preserve"> 2020 (4) SA 188 (GJ) para 21.</w:t>
      </w:r>
    </w:p>
  </w:footnote>
  <w:footnote w:id="32">
    <w:p w14:paraId="3208FFFC" w14:textId="4B3D8010" w:rsidR="000E0C9E" w:rsidRPr="000B2182" w:rsidRDefault="000E0C9E" w:rsidP="000530C6">
      <w:pPr>
        <w:pStyle w:val="FootnoteText"/>
        <w:spacing w:line="240" w:lineRule="auto"/>
        <w:jc w:val="both"/>
        <w:rPr>
          <w:lang w:val="en-US"/>
        </w:rPr>
      </w:pPr>
      <w:r>
        <w:rPr>
          <w:rStyle w:val="FootnoteReference"/>
        </w:rPr>
        <w:footnoteRef/>
      </w:r>
      <w:r>
        <w:t xml:space="preserve"> </w:t>
      </w:r>
      <w:r>
        <w:rPr>
          <w:i/>
          <w:iCs/>
          <w:lang w:val="en-US"/>
        </w:rPr>
        <w:t>Minister of Justice and Others v Estate Stransham-Ford</w:t>
      </w:r>
      <w:r>
        <w:rPr>
          <w:lang w:val="en-US"/>
        </w:rPr>
        <w:t xml:space="preserve"> 2017 (3) SA 152 (SCA) </w:t>
      </w:r>
      <w:r w:rsidR="00C704C8">
        <w:rPr>
          <w:lang w:val="en-US"/>
        </w:rPr>
        <w:t>(‘</w:t>
      </w:r>
      <w:r w:rsidR="00C704C8">
        <w:rPr>
          <w:i/>
          <w:iCs/>
          <w:lang w:val="en-US"/>
        </w:rPr>
        <w:t>Stransham-Ford</w:t>
      </w:r>
      <w:r w:rsidR="00C704C8">
        <w:rPr>
          <w:lang w:val="en-US"/>
        </w:rPr>
        <w:t>’)</w:t>
      </w:r>
      <w:r w:rsidR="00C704C8">
        <w:rPr>
          <w:i/>
          <w:iCs/>
          <w:lang w:val="en-US"/>
        </w:rPr>
        <w:t xml:space="preserve"> </w:t>
      </w:r>
      <w:r>
        <w:rPr>
          <w:lang w:val="en-US"/>
        </w:rPr>
        <w:t>paras 21-27.</w:t>
      </w:r>
    </w:p>
  </w:footnote>
  <w:footnote w:id="33">
    <w:p w14:paraId="1E512AF5" w14:textId="77777777" w:rsidR="000E0C9E" w:rsidRPr="00A4666B" w:rsidRDefault="000E0C9E" w:rsidP="000530C6">
      <w:pPr>
        <w:pStyle w:val="FootnoteText"/>
        <w:spacing w:line="240" w:lineRule="auto"/>
        <w:jc w:val="both"/>
        <w:rPr>
          <w:lang w:val="en-US"/>
        </w:rPr>
      </w:pPr>
      <w:r>
        <w:rPr>
          <w:rStyle w:val="FootnoteReference"/>
        </w:rPr>
        <w:footnoteRef/>
      </w:r>
      <w:r>
        <w:t xml:space="preserve"> </w:t>
      </w:r>
      <w:r>
        <w:rPr>
          <w:lang w:val="en-US"/>
        </w:rPr>
        <w:t>The SCA appeared to confine consideration of the term ‘mootness’ to instances where events overtake matters after judgment has been delivered, so that further consideration of the case by way of appeal would not produce a practically effective judgment. The situation where a cause of action ceased to exist before judgment in the court of first instance was distinguished on the basis that there was then no longer a claim before the court for its adjudication: para 26.</w:t>
      </w:r>
    </w:p>
  </w:footnote>
  <w:footnote w:id="34">
    <w:p w14:paraId="137E5D66" w14:textId="039B9ABA" w:rsidR="00CD08E7" w:rsidRPr="003F000E" w:rsidRDefault="00CD08E7" w:rsidP="000530C6">
      <w:pPr>
        <w:pStyle w:val="FootnoteText"/>
        <w:spacing w:line="240" w:lineRule="auto"/>
        <w:jc w:val="both"/>
        <w:rPr>
          <w:lang w:val="en-US"/>
        </w:rPr>
      </w:pPr>
      <w:r>
        <w:rPr>
          <w:rStyle w:val="FootnoteReference"/>
        </w:rPr>
        <w:footnoteRef/>
      </w:r>
      <w:r>
        <w:t xml:space="preserve"> </w:t>
      </w:r>
      <w:r>
        <w:rPr>
          <w:i/>
          <w:iCs/>
          <w:lang w:val="en-US"/>
        </w:rPr>
        <w:t>Stransham-Ford</w:t>
      </w:r>
      <w:r>
        <w:rPr>
          <w:lang w:val="en-US"/>
        </w:rPr>
        <w:t xml:space="preserve"> </w:t>
      </w:r>
      <w:r w:rsidR="00AE04FE">
        <w:rPr>
          <w:lang w:val="en-US"/>
        </w:rPr>
        <w:t xml:space="preserve">op cit fn 32 </w:t>
      </w:r>
      <w:r>
        <w:rPr>
          <w:lang w:val="en-US"/>
        </w:rPr>
        <w:t>para 23.</w:t>
      </w:r>
    </w:p>
  </w:footnote>
  <w:footnote w:id="35">
    <w:p w14:paraId="71D1CD3F" w14:textId="77777777" w:rsidR="00CD08E7" w:rsidRPr="008B552C" w:rsidRDefault="00CD08E7" w:rsidP="000530C6">
      <w:pPr>
        <w:pStyle w:val="FootnoteText"/>
        <w:spacing w:line="240" w:lineRule="auto"/>
        <w:jc w:val="both"/>
        <w:rPr>
          <w:lang w:val="en-US"/>
        </w:rPr>
      </w:pPr>
      <w:r>
        <w:rPr>
          <w:rStyle w:val="FootnoteReference"/>
        </w:rPr>
        <w:footnoteRef/>
      </w:r>
      <w:r>
        <w:t xml:space="preserve"> </w:t>
      </w:r>
      <w:r>
        <w:rPr>
          <w:lang w:val="en-US"/>
        </w:rPr>
        <w:t>Act 10 of 2013.</w:t>
      </w:r>
    </w:p>
  </w:footnote>
  <w:footnote w:id="36">
    <w:p w14:paraId="18BBD6C3" w14:textId="7A86C622" w:rsidR="00CD08E7" w:rsidRPr="00996DE5" w:rsidRDefault="00CD08E7" w:rsidP="000530C6">
      <w:pPr>
        <w:pStyle w:val="FootnoteText"/>
        <w:spacing w:line="240" w:lineRule="auto"/>
        <w:jc w:val="both"/>
        <w:rPr>
          <w:lang w:val="en-US"/>
        </w:rPr>
      </w:pPr>
      <w:r>
        <w:rPr>
          <w:rStyle w:val="FootnoteReference"/>
        </w:rPr>
        <w:footnoteRef/>
      </w:r>
      <w:r>
        <w:t xml:space="preserve"> </w:t>
      </w:r>
      <w:r>
        <w:rPr>
          <w:i/>
          <w:iCs/>
          <w:lang w:val="en-US"/>
        </w:rPr>
        <w:t>Stransham-Ford</w:t>
      </w:r>
      <w:r>
        <w:rPr>
          <w:lang w:val="en-US"/>
        </w:rPr>
        <w:t xml:space="preserve"> </w:t>
      </w:r>
      <w:r w:rsidR="00284011">
        <w:rPr>
          <w:lang w:val="en-US"/>
        </w:rPr>
        <w:t xml:space="preserve">op cit fn 32 </w:t>
      </w:r>
      <w:r>
        <w:rPr>
          <w:lang w:val="en-US"/>
        </w:rPr>
        <w:t xml:space="preserve">para 24. Cf </w:t>
      </w:r>
      <w:r>
        <w:rPr>
          <w:i/>
          <w:iCs/>
          <w:lang w:val="en-US"/>
        </w:rPr>
        <w:t>J and Another v Minister of Home Affairs and Another</w:t>
      </w:r>
      <w:r>
        <w:rPr>
          <w:lang w:val="en-US"/>
        </w:rPr>
        <w:t xml:space="preserve"> [2023] ZAECQBHC 1 para 20.</w:t>
      </w:r>
    </w:p>
  </w:footnote>
  <w:footnote w:id="37">
    <w:p w14:paraId="792AA777" w14:textId="0F051290" w:rsidR="00CD08E7" w:rsidRPr="007378AA" w:rsidRDefault="00CD08E7" w:rsidP="000530C6">
      <w:pPr>
        <w:pStyle w:val="FootnoteText"/>
        <w:spacing w:line="240" w:lineRule="auto"/>
        <w:jc w:val="both"/>
        <w:rPr>
          <w:lang w:val="en-US"/>
        </w:rPr>
      </w:pPr>
      <w:r>
        <w:rPr>
          <w:rStyle w:val="FootnoteReference"/>
        </w:rPr>
        <w:footnoteRef/>
      </w:r>
      <w:r>
        <w:t xml:space="preserve"> </w:t>
      </w:r>
      <w:r>
        <w:rPr>
          <w:i/>
          <w:iCs/>
          <w:lang w:val="en-US"/>
        </w:rPr>
        <w:t>Stransham-Ford</w:t>
      </w:r>
      <w:r>
        <w:rPr>
          <w:lang w:val="en-US"/>
        </w:rPr>
        <w:t xml:space="preserve"> </w:t>
      </w:r>
      <w:r w:rsidR="009E2CF3">
        <w:rPr>
          <w:lang w:val="en-US"/>
        </w:rPr>
        <w:t xml:space="preserve">op cit fn 32 </w:t>
      </w:r>
      <w:r>
        <w:rPr>
          <w:lang w:val="en-US"/>
        </w:rPr>
        <w:t>para 25 (references omitted).</w:t>
      </w:r>
    </w:p>
  </w:footnote>
  <w:footnote w:id="38">
    <w:p w14:paraId="629B694B" w14:textId="2B932210" w:rsidR="00D60C96" w:rsidRPr="00D60C96" w:rsidRDefault="00D60C96" w:rsidP="000530C6">
      <w:pPr>
        <w:pStyle w:val="FootnoteText"/>
        <w:spacing w:line="240" w:lineRule="auto"/>
        <w:jc w:val="both"/>
        <w:rPr>
          <w:lang w:val="en-US"/>
        </w:rPr>
      </w:pPr>
      <w:r>
        <w:rPr>
          <w:rStyle w:val="FootnoteReference"/>
        </w:rPr>
        <w:footnoteRef/>
      </w:r>
      <w:r>
        <w:t xml:space="preserve"> </w:t>
      </w:r>
      <w:r>
        <w:rPr>
          <w:lang w:val="en-US"/>
        </w:rPr>
        <w:t xml:space="preserve">On the importance of accuracy of pleadings and the need to hold parties to their pleadings in such matters, see </w:t>
      </w:r>
      <w:r>
        <w:rPr>
          <w:i/>
          <w:iCs/>
          <w:lang w:val="en-US"/>
        </w:rPr>
        <w:t>SATAWU v Garvas and Others (City of Cape Town as Intervening Party and Freedom of Expression Institute as Amicus Curiae)</w:t>
      </w:r>
      <w:r>
        <w:rPr>
          <w:lang w:val="en-US"/>
        </w:rPr>
        <w:t xml:space="preserve"> 2012 (8) BCLR 840 (CC) paras 113, 114.</w:t>
      </w:r>
    </w:p>
  </w:footnote>
  <w:footnote w:id="39">
    <w:p w14:paraId="0F476D63" w14:textId="2FC8F09E" w:rsidR="0063349F" w:rsidRPr="0063349F" w:rsidRDefault="0063349F" w:rsidP="000530C6">
      <w:pPr>
        <w:pStyle w:val="FootnoteText"/>
        <w:spacing w:line="240" w:lineRule="auto"/>
        <w:jc w:val="both"/>
        <w:rPr>
          <w:lang w:val="en-US"/>
        </w:rPr>
      </w:pPr>
      <w:r>
        <w:rPr>
          <w:rStyle w:val="FootnoteReference"/>
        </w:rPr>
        <w:footnoteRef/>
      </w:r>
      <w:r>
        <w:t xml:space="preserve"> </w:t>
      </w:r>
      <w:r>
        <w:rPr>
          <w:i/>
          <w:iCs/>
          <w:lang w:val="en-US"/>
        </w:rPr>
        <w:t xml:space="preserve">Rail Commuters </w:t>
      </w:r>
      <w:r w:rsidR="00502123">
        <w:rPr>
          <w:lang w:val="en-US"/>
        </w:rPr>
        <w:t>op cit fn 21</w:t>
      </w:r>
      <w:r>
        <w:rPr>
          <w:lang w:val="en-US"/>
        </w:rPr>
        <w:t xml:space="preserve"> at 410F.</w:t>
      </w:r>
    </w:p>
  </w:footnote>
  <w:footnote w:id="40">
    <w:p w14:paraId="334A1418" w14:textId="2E0920F9" w:rsidR="0023621C" w:rsidRPr="0023621C" w:rsidRDefault="0023621C" w:rsidP="000530C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Wings Park Port Elizabeth (Pty) Ltd v MEC, Environmental Affairs, Eastern Cape and Others</w:t>
      </w:r>
      <w:r>
        <w:rPr>
          <w:lang w:val="en-US"/>
        </w:rPr>
        <w:t xml:space="preserve"> 2019 (2) SA 606 (ECG) para 47.</w:t>
      </w:r>
    </w:p>
  </w:footnote>
  <w:footnote w:id="41">
    <w:p w14:paraId="6D89CB43" w14:textId="4DA9189F" w:rsidR="0047186F" w:rsidRPr="0047186F" w:rsidRDefault="0047186F" w:rsidP="000530C6">
      <w:pPr>
        <w:pStyle w:val="FootnoteText"/>
        <w:spacing w:line="240" w:lineRule="auto"/>
        <w:jc w:val="both"/>
        <w:rPr>
          <w:lang w:val="en-US"/>
        </w:rPr>
      </w:pPr>
      <w:r>
        <w:rPr>
          <w:rStyle w:val="FootnoteReference"/>
        </w:rPr>
        <w:footnoteRef/>
      </w:r>
      <w:r>
        <w:t xml:space="preserve"> </w:t>
      </w:r>
      <w:r>
        <w:rPr>
          <w:i/>
          <w:iCs/>
          <w:lang w:val="en-US"/>
        </w:rPr>
        <w:t>Ekurhuleni Metropolitan Municipality v South African Municipal Workers Union and Others</w:t>
      </w:r>
      <w:r>
        <w:rPr>
          <w:lang w:val="en-US"/>
        </w:rPr>
        <w:t xml:space="preserve"> [2011] ZALAC 1; [2011] 5 BLLR 516 (LAC); (2011) 32 </w:t>
      </w:r>
      <w:r>
        <w:rPr>
          <w:i/>
          <w:iCs/>
          <w:lang w:val="en-US"/>
        </w:rPr>
        <w:t>ILJ</w:t>
      </w:r>
      <w:r>
        <w:rPr>
          <w:lang w:val="en-US"/>
        </w:rPr>
        <w:t xml:space="preserve"> 1686 (LAC) para</w:t>
      </w:r>
      <w:r w:rsidR="00872149">
        <w:rPr>
          <w:lang w:val="en-US"/>
        </w:rPr>
        <w:t>s 18-20.</w:t>
      </w:r>
    </w:p>
  </w:footnote>
  <w:footnote w:id="42">
    <w:p w14:paraId="536380AB" w14:textId="13FA41E7" w:rsidR="007F2F75" w:rsidRPr="007F2F75" w:rsidRDefault="007F2F75" w:rsidP="000530C6">
      <w:pPr>
        <w:pStyle w:val="FootnoteText"/>
        <w:spacing w:line="240" w:lineRule="auto"/>
        <w:jc w:val="both"/>
        <w:rPr>
          <w:i/>
          <w:iCs/>
          <w:lang w:val="en-US"/>
        </w:rPr>
      </w:pPr>
      <w:r>
        <w:rPr>
          <w:rStyle w:val="FootnoteReference"/>
        </w:rPr>
        <w:footnoteRef/>
      </w:r>
      <w:r>
        <w:t xml:space="preserve"> </w:t>
      </w:r>
      <w:r>
        <w:rPr>
          <w:lang w:val="en-US"/>
        </w:rPr>
        <w:t xml:space="preserve">Cf </w:t>
      </w:r>
      <w:r w:rsidR="00F444D4">
        <w:rPr>
          <w:i/>
          <w:iCs/>
          <w:lang w:val="en-US"/>
        </w:rPr>
        <w:t xml:space="preserve">Ntamo v African National Congress, Regional Executive Committee of the Eastern Cape Province </w:t>
      </w:r>
      <w:r w:rsidR="00F444D4">
        <w:rPr>
          <w:lang w:val="en-US"/>
        </w:rPr>
        <w:t>2018 JDR 0881 (ECM)</w:t>
      </w:r>
      <w:r w:rsidR="000530C6">
        <w:rPr>
          <w:lang w:val="en-US"/>
        </w:rPr>
        <w:t xml:space="preserve"> para 24.</w:t>
      </w:r>
    </w:p>
  </w:footnote>
  <w:footnote w:id="43">
    <w:p w14:paraId="5C2EC59B" w14:textId="77777777" w:rsidR="00937871" w:rsidRPr="00A819B6" w:rsidRDefault="00937871" w:rsidP="000530C6">
      <w:pPr>
        <w:pStyle w:val="FootnoteText"/>
        <w:spacing w:line="240" w:lineRule="auto"/>
        <w:jc w:val="both"/>
        <w:rPr>
          <w:lang w:val="en-US"/>
        </w:rPr>
      </w:pPr>
      <w:r>
        <w:rPr>
          <w:rStyle w:val="FootnoteReference"/>
        </w:rPr>
        <w:footnoteRef/>
      </w:r>
      <w:r>
        <w:t xml:space="preserve"> </w:t>
      </w:r>
      <w:r>
        <w:rPr>
          <w:lang w:val="en-US"/>
        </w:rPr>
        <w:t xml:space="preserve">See, for example, </w:t>
      </w:r>
      <w:r>
        <w:rPr>
          <w:i/>
          <w:iCs/>
          <w:lang w:val="en-US"/>
        </w:rPr>
        <w:t>Pheko and Others v Ekurhuleni Metropolitan Municipality</w:t>
      </w:r>
      <w:r>
        <w:rPr>
          <w:lang w:val="en-US"/>
        </w:rPr>
        <w:t xml:space="preserve"> 2012 (2) SA 598 (CC) para 31.</w:t>
      </w:r>
    </w:p>
  </w:footnote>
  <w:footnote w:id="44">
    <w:p w14:paraId="1C7A395B" w14:textId="49D8F999" w:rsidR="00EC716A" w:rsidRPr="00EC716A" w:rsidRDefault="00EC716A" w:rsidP="000530C6">
      <w:pPr>
        <w:pStyle w:val="FootnoteText"/>
        <w:spacing w:line="240" w:lineRule="auto"/>
        <w:jc w:val="both"/>
        <w:rPr>
          <w:lang w:val="en-US"/>
        </w:rPr>
      </w:pPr>
      <w:r>
        <w:rPr>
          <w:rStyle w:val="FootnoteReference"/>
        </w:rPr>
        <w:footnoteRef/>
      </w:r>
      <w:r>
        <w:t xml:space="preserve"> </w:t>
      </w:r>
      <w:r>
        <w:rPr>
          <w:i/>
          <w:iCs/>
          <w:lang w:val="en-US"/>
        </w:rPr>
        <w:t>Mgabadeli</w:t>
      </w:r>
      <w:r>
        <w:rPr>
          <w:lang w:val="en-US"/>
        </w:rPr>
        <w:t xml:space="preserve"> </w:t>
      </w:r>
      <w:r w:rsidR="00502123">
        <w:rPr>
          <w:lang w:val="en-US"/>
        </w:rPr>
        <w:t xml:space="preserve">op cit fn 8 </w:t>
      </w:r>
      <w:r>
        <w:rPr>
          <w:lang w:val="en-US"/>
        </w:rPr>
        <w:t>para 17 and following.</w:t>
      </w:r>
    </w:p>
  </w:footnote>
  <w:footnote w:id="45">
    <w:p w14:paraId="2C635F80" w14:textId="4821ABE8" w:rsidR="007D2446" w:rsidRPr="007D2446" w:rsidRDefault="007D2446" w:rsidP="000530C6">
      <w:pPr>
        <w:pStyle w:val="FootnoteText"/>
        <w:spacing w:line="240" w:lineRule="auto"/>
        <w:jc w:val="both"/>
        <w:rPr>
          <w:lang w:val="en-US"/>
        </w:rPr>
      </w:pPr>
      <w:r>
        <w:rPr>
          <w:rStyle w:val="FootnoteReference"/>
        </w:rPr>
        <w:footnoteRef/>
      </w:r>
      <w:r>
        <w:t xml:space="preserve"> </w:t>
      </w:r>
      <w:r>
        <w:rPr>
          <w:lang w:val="en-US"/>
        </w:rPr>
        <w:t xml:space="preserve">See </w:t>
      </w:r>
      <w:r w:rsidRPr="001725C6">
        <w:rPr>
          <w:i/>
          <w:iCs/>
          <w:lang w:val="en-US"/>
        </w:rPr>
        <w:t>Mgabadeli</w:t>
      </w:r>
      <w:r>
        <w:rPr>
          <w:lang w:val="en-US"/>
        </w:rPr>
        <w:t xml:space="preserve"> </w:t>
      </w:r>
      <w:r w:rsidR="00036BE6">
        <w:rPr>
          <w:lang w:val="en-US"/>
        </w:rPr>
        <w:t xml:space="preserve">op cit fn 8 </w:t>
      </w:r>
      <w:r>
        <w:rPr>
          <w:lang w:val="en-US"/>
        </w:rPr>
        <w:t>para 34.</w:t>
      </w:r>
    </w:p>
  </w:footnote>
  <w:footnote w:id="46">
    <w:p w14:paraId="4418A710" w14:textId="24FA982E" w:rsidR="00F17AC7" w:rsidRPr="00F17AC7" w:rsidRDefault="00F17AC7" w:rsidP="000530C6">
      <w:pPr>
        <w:pStyle w:val="FootnoteText"/>
        <w:spacing w:line="240" w:lineRule="auto"/>
        <w:jc w:val="both"/>
        <w:rPr>
          <w:lang w:val="en-US"/>
        </w:rPr>
      </w:pPr>
      <w:r>
        <w:rPr>
          <w:rStyle w:val="FootnoteReference"/>
        </w:rPr>
        <w:footnoteRef/>
      </w:r>
      <w:r>
        <w:t xml:space="preserve"> </w:t>
      </w:r>
      <w:r w:rsidR="0034792C">
        <w:t xml:space="preserve">See </w:t>
      </w:r>
      <w:r>
        <w:rPr>
          <w:i/>
          <w:iCs/>
          <w:lang w:val="en-GB"/>
        </w:rPr>
        <w:t xml:space="preserve">Ramakatsa </w:t>
      </w:r>
      <w:r>
        <w:rPr>
          <w:lang w:val="en-GB"/>
        </w:rPr>
        <w:t xml:space="preserve">2 </w:t>
      </w:r>
      <w:r w:rsidR="00BA0AD1">
        <w:rPr>
          <w:lang w:val="en-GB"/>
        </w:rPr>
        <w:t xml:space="preserve">op cit fn 4 </w:t>
      </w:r>
      <w:r>
        <w:rPr>
          <w:lang w:val="en-GB"/>
        </w:rPr>
        <w:t>para 28.</w:t>
      </w:r>
    </w:p>
  </w:footnote>
  <w:footnote w:id="47">
    <w:p w14:paraId="3BC5B5EC" w14:textId="1186E029" w:rsidR="00696D7D" w:rsidRPr="00696D7D" w:rsidRDefault="00696D7D" w:rsidP="000530C6">
      <w:pPr>
        <w:pStyle w:val="FootnoteText"/>
        <w:spacing w:line="240" w:lineRule="auto"/>
        <w:jc w:val="both"/>
        <w:rPr>
          <w:lang w:val="en-US"/>
        </w:rPr>
      </w:pPr>
      <w:r>
        <w:rPr>
          <w:rStyle w:val="FootnoteReference"/>
        </w:rPr>
        <w:footnoteRef/>
      </w:r>
      <w:r>
        <w:t xml:space="preserve"> </w:t>
      </w:r>
      <w:r>
        <w:rPr>
          <w:lang w:val="en-US"/>
        </w:rPr>
        <w:t>Clause 19.9.12.2 of the ANC constitution.</w:t>
      </w:r>
    </w:p>
  </w:footnote>
  <w:footnote w:id="48">
    <w:p w14:paraId="092567F4" w14:textId="3E14E9F0" w:rsidR="000F217D" w:rsidRPr="000F217D" w:rsidRDefault="000F217D" w:rsidP="000530C6">
      <w:pPr>
        <w:pStyle w:val="FootnoteText"/>
        <w:spacing w:line="240" w:lineRule="auto"/>
        <w:jc w:val="both"/>
        <w:rPr>
          <w:lang w:val="en-US"/>
        </w:rPr>
      </w:pPr>
      <w:r>
        <w:rPr>
          <w:rStyle w:val="FootnoteReference"/>
        </w:rPr>
        <w:footnoteRef/>
      </w:r>
      <w:r>
        <w:t xml:space="preserve"> </w:t>
      </w:r>
      <w:r>
        <w:rPr>
          <w:lang w:val="en-US"/>
        </w:rPr>
        <w:t>Clause 19.9.12.3 of the ANC constitution.</w:t>
      </w:r>
    </w:p>
  </w:footnote>
  <w:footnote w:id="49">
    <w:p w14:paraId="7A1BD411" w14:textId="4B9DE2D1" w:rsidR="004C62B7" w:rsidRPr="004C62B7" w:rsidRDefault="004C62B7" w:rsidP="000530C6">
      <w:pPr>
        <w:pStyle w:val="FootnoteText"/>
        <w:spacing w:line="240" w:lineRule="auto"/>
        <w:jc w:val="both"/>
        <w:rPr>
          <w:lang w:val="en-US"/>
        </w:rPr>
      </w:pPr>
      <w:r>
        <w:rPr>
          <w:rStyle w:val="FootnoteReference"/>
        </w:rPr>
        <w:footnoteRef/>
      </w:r>
      <w:r>
        <w:t xml:space="preserve"> </w:t>
      </w:r>
      <w:r>
        <w:rPr>
          <w:lang w:val="en-US"/>
        </w:rPr>
        <w:t>The erstwhile secretary of the REC in the region confirms that he was consulted on behalf of the REC whenever the PEC dissolved branches in the region</w:t>
      </w:r>
      <w:r w:rsidR="003C00B8">
        <w:rPr>
          <w:lang w:val="en-US"/>
        </w:rPr>
        <w:t>, that he, representing the REC, ‘was always aware and participated in what was happening’.</w:t>
      </w:r>
      <w:r w:rsidR="002D290B">
        <w:rPr>
          <w:lang w:val="en-US"/>
        </w:rPr>
        <w:t xml:space="preserve"> Also see clause 21.10 of the ANC constitution: ‘The powers of the REC are those as may be delegated to it by the PEC. In addition, the REC may, subject to the directions and instructions of the PEC, exercise the following powers …’</w:t>
      </w:r>
    </w:p>
  </w:footnote>
  <w:footnote w:id="50">
    <w:p w14:paraId="5F8901B5" w14:textId="66C32DE1" w:rsidR="00D0222E" w:rsidRPr="00D0222E" w:rsidRDefault="00D0222E" w:rsidP="000530C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Ntamo </w:t>
      </w:r>
      <w:r w:rsidR="007F2F75">
        <w:rPr>
          <w:lang w:val="en-US"/>
        </w:rPr>
        <w:t xml:space="preserve">op cit fn </w:t>
      </w:r>
      <w:r w:rsidR="0000374E">
        <w:rPr>
          <w:lang w:val="en-US"/>
        </w:rPr>
        <w:t xml:space="preserve">42 </w:t>
      </w:r>
      <w:r>
        <w:rPr>
          <w:lang w:val="en-US"/>
        </w:rPr>
        <w:t>para 33.</w:t>
      </w:r>
    </w:p>
  </w:footnote>
  <w:footnote w:id="51">
    <w:p w14:paraId="646FA399" w14:textId="21D26241" w:rsidR="00F341C1" w:rsidRPr="00F341C1" w:rsidRDefault="00F341C1" w:rsidP="000530C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Ramakatsa</w:t>
      </w:r>
      <w:r>
        <w:rPr>
          <w:lang w:val="en-US"/>
        </w:rPr>
        <w:t xml:space="preserve"> 1 </w:t>
      </w:r>
      <w:r w:rsidR="00F10186">
        <w:rPr>
          <w:lang w:val="en-US"/>
        </w:rPr>
        <w:t xml:space="preserve">op cit fn 6 </w:t>
      </w:r>
      <w:r>
        <w:rPr>
          <w:lang w:val="en-US"/>
        </w:rPr>
        <w:t xml:space="preserve">para 127. Also see </w:t>
      </w:r>
      <w:r>
        <w:rPr>
          <w:i/>
          <w:iCs/>
          <w:lang w:val="en-US"/>
        </w:rPr>
        <w:t>Dube and Others</w:t>
      </w:r>
      <w:r>
        <w:rPr>
          <w:lang w:val="en-US"/>
        </w:rPr>
        <w:t xml:space="preserve"> </w:t>
      </w:r>
      <w:r>
        <w:rPr>
          <w:i/>
          <w:iCs/>
          <w:lang w:val="en-US"/>
        </w:rPr>
        <w:t>v Zikalala and Others</w:t>
      </w:r>
      <w:r>
        <w:rPr>
          <w:lang w:val="en-US"/>
        </w:rPr>
        <w:t xml:space="preserve"> [2017] 4 All SA365 (KZP) paras 160-163.</w:t>
      </w:r>
    </w:p>
  </w:footnote>
  <w:footnote w:id="52">
    <w:p w14:paraId="535B7EEF" w14:textId="646A3C38" w:rsidR="006E4164" w:rsidRPr="006E4164" w:rsidRDefault="006E4164">
      <w:pPr>
        <w:pStyle w:val="FootnoteText"/>
        <w:rPr>
          <w:i/>
          <w:iCs/>
          <w:lang w:val="en-US"/>
        </w:rPr>
      </w:pPr>
      <w:r>
        <w:rPr>
          <w:rStyle w:val="FootnoteReference"/>
        </w:rPr>
        <w:footnoteRef/>
      </w:r>
      <w:r>
        <w:t xml:space="preserve"> </w:t>
      </w:r>
      <w:r>
        <w:rPr>
          <w:lang w:val="en-US"/>
        </w:rPr>
        <w:t xml:space="preserve">See </w:t>
      </w:r>
      <w:r>
        <w:rPr>
          <w:i/>
          <w:iCs/>
          <w:lang w:val="en-US"/>
        </w:rPr>
        <w:t>Affordable Medicines Trust v Minister of Health</w:t>
      </w:r>
      <w:r>
        <w:rPr>
          <w:lang w:val="en-US"/>
        </w:rPr>
        <w:t xml:space="preserve"> [2005] ZACC 3 at para 138 and following.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308C9C13"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671D">
          <w:rPr>
            <w:rStyle w:val="PageNumber"/>
            <w:noProof/>
          </w:rPr>
          <w:t>17</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10FF0"/>
    <w:multiLevelType w:val="hybridMultilevel"/>
    <w:tmpl w:val="1830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94AC0"/>
    <w:multiLevelType w:val="hybridMultilevel"/>
    <w:tmpl w:val="C3B21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A7798"/>
    <w:multiLevelType w:val="multilevel"/>
    <w:tmpl w:val="0004E5B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2382B"/>
    <w:multiLevelType w:val="hybridMultilevel"/>
    <w:tmpl w:val="31E2288E"/>
    <w:lvl w:ilvl="0" w:tplc="FCC809DA">
      <w:start w:val="1"/>
      <w:numFmt w:val="decimal"/>
      <w:lvlText w:val="[%1]"/>
      <w:lvlJc w:val="left"/>
      <w:pPr>
        <w:ind w:left="928"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C6E7B"/>
    <w:multiLevelType w:val="hybridMultilevel"/>
    <w:tmpl w:val="1678814E"/>
    <w:lvl w:ilvl="0" w:tplc="B46C16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251F1"/>
    <w:multiLevelType w:val="hybridMultilevel"/>
    <w:tmpl w:val="52504DD6"/>
    <w:lvl w:ilvl="0" w:tplc="F742516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E4C9B"/>
    <w:multiLevelType w:val="hybridMultilevel"/>
    <w:tmpl w:val="D170431A"/>
    <w:lvl w:ilvl="0" w:tplc="B69E61C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856AD"/>
    <w:multiLevelType w:val="hybridMultilevel"/>
    <w:tmpl w:val="C8D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26C01"/>
    <w:multiLevelType w:val="hybridMultilevel"/>
    <w:tmpl w:val="542E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F3D74"/>
    <w:multiLevelType w:val="multilevel"/>
    <w:tmpl w:val="8A8A4E0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71284"/>
    <w:multiLevelType w:val="hybridMultilevel"/>
    <w:tmpl w:val="F6A24714"/>
    <w:lvl w:ilvl="0" w:tplc="DA581E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D55CE"/>
    <w:multiLevelType w:val="hybridMultilevel"/>
    <w:tmpl w:val="6CB83C86"/>
    <w:lvl w:ilvl="0" w:tplc="27CE71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E7694"/>
    <w:multiLevelType w:val="hybridMultilevel"/>
    <w:tmpl w:val="D0445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7"/>
  </w:num>
  <w:num w:numId="6">
    <w:abstractNumId w:val="11"/>
  </w:num>
  <w:num w:numId="7">
    <w:abstractNumId w:val="22"/>
  </w:num>
  <w:num w:numId="8">
    <w:abstractNumId w:val="2"/>
  </w:num>
  <w:num w:numId="9">
    <w:abstractNumId w:val="8"/>
  </w:num>
  <w:num w:numId="10">
    <w:abstractNumId w:val="13"/>
  </w:num>
  <w:num w:numId="11">
    <w:abstractNumId w:val="19"/>
  </w:num>
  <w:num w:numId="12">
    <w:abstractNumId w:val="7"/>
  </w:num>
  <w:num w:numId="13">
    <w:abstractNumId w:val="15"/>
  </w:num>
  <w:num w:numId="14">
    <w:abstractNumId w:val="3"/>
  </w:num>
  <w:num w:numId="15">
    <w:abstractNumId w:val="12"/>
  </w:num>
  <w:num w:numId="16">
    <w:abstractNumId w:val="21"/>
  </w:num>
  <w:num w:numId="17">
    <w:abstractNumId w:val="10"/>
  </w:num>
  <w:num w:numId="18">
    <w:abstractNumId w:val="20"/>
  </w:num>
  <w:num w:numId="19">
    <w:abstractNumId w:val="18"/>
  </w:num>
  <w:num w:numId="20">
    <w:abstractNumId w:val="14"/>
  </w:num>
  <w:num w:numId="21">
    <w:abstractNumId w:val="1"/>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0A5F"/>
    <w:rsid w:val="000016FE"/>
    <w:rsid w:val="00001DE7"/>
    <w:rsid w:val="0000217A"/>
    <w:rsid w:val="000029AE"/>
    <w:rsid w:val="0000374E"/>
    <w:rsid w:val="00004E1E"/>
    <w:rsid w:val="00005691"/>
    <w:rsid w:val="00005ABB"/>
    <w:rsid w:val="00005BC2"/>
    <w:rsid w:val="0000642E"/>
    <w:rsid w:val="00006CE8"/>
    <w:rsid w:val="00006EF3"/>
    <w:rsid w:val="00007087"/>
    <w:rsid w:val="00007904"/>
    <w:rsid w:val="000109B4"/>
    <w:rsid w:val="00010C41"/>
    <w:rsid w:val="0001171C"/>
    <w:rsid w:val="00012A2F"/>
    <w:rsid w:val="00013536"/>
    <w:rsid w:val="00014437"/>
    <w:rsid w:val="00014770"/>
    <w:rsid w:val="00014BD4"/>
    <w:rsid w:val="00016FDA"/>
    <w:rsid w:val="00017D84"/>
    <w:rsid w:val="0002025F"/>
    <w:rsid w:val="00021B6A"/>
    <w:rsid w:val="000220C3"/>
    <w:rsid w:val="00022804"/>
    <w:rsid w:val="00022B85"/>
    <w:rsid w:val="0002365B"/>
    <w:rsid w:val="0002615C"/>
    <w:rsid w:val="00027DA3"/>
    <w:rsid w:val="00030A25"/>
    <w:rsid w:val="00030F79"/>
    <w:rsid w:val="000323B0"/>
    <w:rsid w:val="00033E14"/>
    <w:rsid w:val="000341AF"/>
    <w:rsid w:val="00034B32"/>
    <w:rsid w:val="0003553E"/>
    <w:rsid w:val="000363F1"/>
    <w:rsid w:val="00036BE6"/>
    <w:rsid w:val="0004040E"/>
    <w:rsid w:val="00040F79"/>
    <w:rsid w:val="000422CD"/>
    <w:rsid w:val="000429FD"/>
    <w:rsid w:val="0004347D"/>
    <w:rsid w:val="0004373B"/>
    <w:rsid w:val="0004457B"/>
    <w:rsid w:val="00044B50"/>
    <w:rsid w:val="00044EC4"/>
    <w:rsid w:val="000451D0"/>
    <w:rsid w:val="0004522A"/>
    <w:rsid w:val="0004647F"/>
    <w:rsid w:val="000464BC"/>
    <w:rsid w:val="0004691F"/>
    <w:rsid w:val="00047035"/>
    <w:rsid w:val="000478E8"/>
    <w:rsid w:val="0005061D"/>
    <w:rsid w:val="00051060"/>
    <w:rsid w:val="000516F8"/>
    <w:rsid w:val="00051F6C"/>
    <w:rsid w:val="000530C6"/>
    <w:rsid w:val="000536DD"/>
    <w:rsid w:val="00053D81"/>
    <w:rsid w:val="00054DEC"/>
    <w:rsid w:val="00056042"/>
    <w:rsid w:val="00056C38"/>
    <w:rsid w:val="00056E37"/>
    <w:rsid w:val="00056FBA"/>
    <w:rsid w:val="000574BF"/>
    <w:rsid w:val="00063188"/>
    <w:rsid w:val="000633C3"/>
    <w:rsid w:val="00063C6E"/>
    <w:rsid w:val="00063D5A"/>
    <w:rsid w:val="00065BB2"/>
    <w:rsid w:val="0007050F"/>
    <w:rsid w:val="00070883"/>
    <w:rsid w:val="00071083"/>
    <w:rsid w:val="0007234C"/>
    <w:rsid w:val="00073EFC"/>
    <w:rsid w:val="000778A4"/>
    <w:rsid w:val="00080D4E"/>
    <w:rsid w:val="000815F5"/>
    <w:rsid w:val="000822E4"/>
    <w:rsid w:val="0008239A"/>
    <w:rsid w:val="00083322"/>
    <w:rsid w:val="00083386"/>
    <w:rsid w:val="000833DB"/>
    <w:rsid w:val="000842ED"/>
    <w:rsid w:val="00084C6F"/>
    <w:rsid w:val="00085028"/>
    <w:rsid w:val="00085777"/>
    <w:rsid w:val="00086278"/>
    <w:rsid w:val="00086A06"/>
    <w:rsid w:val="0009015D"/>
    <w:rsid w:val="00090B20"/>
    <w:rsid w:val="000910CD"/>
    <w:rsid w:val="00091F8C"/>
    <w:rsid w:val="000931AA"/>
    <w:rsid w:val="000945E2"/>
    <w:rsid w:val="0009497C"/>
    <w:rsid w:val="000964FE"/>
    <w:rsid w:val="00096BC1"/>
    <w:rsid w:val="000976CA"/>
    <w:rsid w:val="00097B07"/>
    <w:rsid w:val="000A12C7"/>
    <w:rsid w:val="000A18E0"/>
    <w:rsid w:val="000A2CAD"/>
    <w:rsid w:val="000A31F9"/>
    <w:rsid w:val="000A5022"/>
    <w:rsid w:val="000A538A"/>
    <w:rsid w:val="000A59DC"/>
    <w:rsid w:val="000A6120"/>
    <w:rsid w:val="000A6230"/>
    <w:rsid w:val="000A7D4E"/>
    <w:rsid w:val="000B0358"/>
    <w:rsid w:val="000B0946"/>
    <w:rsid w:val="000B0DC8"/>
    <w:rsid w:val="000B2182"/>
    <w:rsid w:val="000B26AE"/>
    <w:rsid w:val="000B26CF"/>
    <w:rsid w:val="000B2C3E"/>
    <w:rsid w:val="000B531E"/>
    <w:rsid w:val="000B5790"/>
    <w:rsid w:val="000B5FBC"/>
    <w:rsid w:val="000B6309"/>
    <w:rsid w:val="000B643B"/>
    <w:rsid w:val="000B654A"/>
    <w:rsid w:val="000B71CF"/>
    <w:rsid w:val="000B78EC"/>
    <w:rsid w:val="000C20DA"/>
    <w:rsid w:val="000C2D21"/>
    <w:rsid w:val="000C3531"/>
    <w:rsid w:val="000C3620"/>
    <w:rsid w:val="000C39A5"/>
    <w:rsid w:val="000C450C"/>
    <w:rsid w:val="000C5AB3"/>
    <w:rsid w:val="000C5EDD"/>
    <w:rsid w:val="000C703E"/>
    <w:rsid w:val="000C7746"/>
    <w:rsid w:val="000C7A27"/>
    <w:rsid w:val="000D085B"/>
    <w:rsid w:val="000D0D78"/>
    <w:rsid w:val="000D22FB"/>
    <w:rsid w:val="000D31A5"/>
    <w:rsid w:val="000D3797"/>
    <w:rsid w:val="000D38A2"/>
    <w:rsid w:val="000D397E"/>
    <w:rsid w:val="000D487F"/>
    <w:rsid w:val="000D4BFA"/>
    <w:rsid w:val="000D667A"/>
    <w:rsid w:val="000D68F5"/>
    <w:rsid w:val="000E05B4"/>
    <w:rsid w:val="000E0A2E"/>
    <w:rsid w:val="000E0C9E"/>
    <w:rsid w:val="000E1C45"/>
    <w:rsid w:val="000E2444"/>
    <w:rsid w:val="000E3E15"/>
    <w:rsid w:val="000E4F0D"/>
    <w:rsid w:val="000E5100"/>
    <w:rsid w:val="000E5E81"/>
    <w:rsid w:val="000E7ECD"/>
    <w:rsid w:val="000F05E0"/>
    <w:rsid w:val="000F1A95"/>
    <w:rsid w:val="000F217D"/>
    <w:rsid w:val="000F4A5A"/>
    <w:rsid w:val="000F4EEA"/>
    <w:rsid w:val="000F610D"/>
    <w:rsid w:val="000F6BFE"/>
    <w:rsid w:val="000F764E"/>
    <w:rsid w:val="000F7DF4"/>
    <w:rsid w:val="0010068E"/>
    <w:rsid w:val="00100F9A"/>
    <w:rsid w:val="00101782"/>
    <w:rsid w:val="0010218C"/>
    <w:rsid w:val="00102D5B"/>
    <w:rsid w:val="00103ADD"/>
    <w:rsid w:val="001044DB"/>
    <w:rsid w:val="00105EB6"/>
    <w:rsid w:val="0010622C"/>
    <w:rsid w:val="001070F6"/>
    <w:rsid w:val="001078B5"/>
    <w:rsid w:val="00107A5F"/>
    <w:rsid w:val="0011026A"/>
    <w:rsid w:val="00110EF0"/>
    <w:rsid w:val="00111600"/>
    <w:rsid w:val="001124A5"/>
    <w:rsid w:val="00112CEB"/>
    <w:rsid w:val="0011368C"/>
    <w:rsid w:val="001137AF"/>
    <w:rsid w:val="00114DE1"/>
    <w:rsid w:val="00116EB9"/>
    <w:rsid w:val="001202EE"/>
    <w:rsid w:val="00120878"/>
    <w:rsid w:val="00120E93"/>
    <w:rsid w:val="001226DE"/>
    <w:rsid w:val="00123296"/>
    <w:rsid w:val="00124F2B"/>
    <w:rsid w:val="0012621C"/>
    <w:rsid w:val="00126DBB"/>
    <w:rsid w:val="00130228"/>
    <w:rsid w:val="001304DB"/>
    <w:rsid w:val="00131984"/>
    <w:rsid w:val="00131A28"/>
    <w:rsid w:val="00132A97"/>
    <w:rsid w:val="001331EE"/>
    <w:rsid w:val="001337CC"/>
    <w:rsid w:val="0013442F"/>
    <w:rsid w:val="00134C11"/>
    <w:rsid w:val="00135C81"/>
    <w:rsid w:val="00137189"/>
    <w:rsid w:val="00137E08"/>
    <w:rsid w:val="001417A7"/>
    <w:rsid w:val="00142F79"/>
    <w:rsid w:val="001434BF"/>
    <w:rsid w:val="001435EB"/>
    <w:rsid w:val="00144974"/>
    <w:rsid w:val="00145881"/>
    <w:rsid w:val="001469ED"/>
    <w:rsid w:val="00146BA3"/>
    <w:rsid w:val="001517E0"/>
    <w:rsid w:val="001539B0"/>
    <w:rsid w:val="00154D20"/>
    <w:rsid w:val="00157785"/>
    <w:rsid w:val="00157898"/>
    <w:rsid w:val="00157C19"/>
    <w:rsid w:val="00160EBC"/>
    <w:rsid w:val="00160F58"/>
    <w:rsid w:val="0016102B"/>
    <w:rsid w:val="00163358"/>
    <w:rsid w:val="00163A58"/>
    <w:rsid w:val="00164B7B"/>
    <w:rsid w:val="001725C6"/>
    <w:rsid w:val="0017271D"/>
    <w:rsid w:val="001729AE"/>
    <w:rsid w:val="00172B5C"/>
    <w:rsid w:val="00173547"/>
    <w:rsid w:val="00174A52"/>
    <w:rsid w:val="00174B6D"/>
    <w:rsid w:val="001753FD"/>
    <w:rsid w:val="0017614D"/>
    <w:rsid w:val="0018006A"/>
    <w:rsid w:val="001800D4"/>
    <w:rsid w:val="00180F4E"/>
    <w:rsid w:val="00181669"/>
    <w:rsid w:val="00181923"/>
    <w:rsid w:val="00181E7E"/>
    <w:rsid w:val="00182175"/>
    <w:rsid w:val="001821F8"/>
    <w:rsid w:val="00182874"/>
    <w:rsid w:val="00182AA6"/>
    <w:rsid w:val="00184625"/>
    <w:rsid w:val="00186697"/>
    <w:rsid w:val="00186769"/>
    <w:rsid w:val="00186A64"/>
    <w:rsid w:val="00186B3C"/>
    <w:rsid w:val="00186C90"/>
    <w:rsid w:val="00186D3A"/>
    <w:rsid w:val="001870AF"/>
    <w:rsid w:val="00191768"/>
    <w:rsid w:val="00192869"/>
    <w:rsid w:val="0019391C"/>
    <w:rsid w:val="001943D2"/>
    <w:rsid w:val="00194813"/>
    <w:rsid w:val="0019517B"/>
    <w:rsid w:val="001954F0"/>
    <w:rsid w:val="00195571"/>
    <w:rsid w:val="001955AB"/>
    <w:rsid w:val="00196742"/>
    <w:rsid w:val="0019764F"/>
    <w:rsid w:val="001A493D"/>
    <w:rsid w:val="001A4F33"/>
    <w:rsid w:val="001B0575"/>
    <w:rsid w:val="001B0D01"/>
    <w:rsid w:val="001B1F21"/>
    <w:rsid w:val="001B1FED"/>
    <w:rsid w:val="001B2408"/>
    <w:rsid w:val="001B2578"/>
    <w:rsid w:val="001B2A44"/>
    <w:rsid w:val="001B2FE4"/>
    <w:rsid w:val="001B3A37"/>
    <w:rsid w:val="001B40AC"/>
    <w:rsid w:val="001B505F"/>
    <w:rsid w:val="001B6481"/>
    <w:rsid w:val="001B69E3"/>
    <w:rsid w:val="001B6BC2"/>
    <w:rsid w:val="001B7887"/>
    <w:rsid w:val="001C04BC"/>
    <w:rsid w:val="001C2CA9"/>
    <w:rsid w:val="001C2DD7"/>
    <w:rsid w:val="001C3E9B"/>
    <w:rsid w:val="001C48A5"/>
    <w:rsid w:val="001C7061"/>
    <w:rsid w:val="001D0962"/>
    <w:rsid w:val="001D2096"/>
    <w:rsid w:val="001D214B"/>
    <w:rsid w:val="001D4C5E"/>
    <w:rsid w:val="001D5A9D"/>
    <w:rsid w:val="001D5F83"/>
    <w:rsid w:val="001D61C8"/>
    <w:rsid w:val="001D6431"/>
    <w:rsid w:val="001E0F36"/>
    <w:rsid w:val="001E125E"/>
    <w:rsid w:val="001E1834"/>
    <w:rsid w:val="001E1972"/>
    <w:rsid w:val="001E1B07"/>
    <w:rsid w:val="001E1F59"/>
    <w:rsid w:val="001E24E0"/>
    <w:rsid w:val="001E457D"/>
    <w:rsid w:val="001E4824"/>
    <w:rsid w:val="001E640A"/>
    <w:rsid w:val="001E6A6E"/>
    <w:rsid w:val="001E701F"/>
    <w:rsid w:val="001E7844"/>
    <w:rsid w:val="001E78D5"/>
    <w:rsid w:val="001E7C8F"/>
    <w:rsid w:val="001F2276"/>
    <w:rsid w:val="001F335C"/>
    <w:rsid w:val="001F3A41"/>
    <w:rsid w:val="001F59AB"/>
    <w:rsid w:val="001F64ED"/>
    <w:rsid w:val="001F7765"/>
    <w:rsid w:val="00201DC6"/>
    <w:rsid w:val="00201F12"/>
    <w:rsid w:val="00202E85"/>
    <w:rsid w:val="002041C7"/>
    <w:rsid w:val="00206CF9"/>
    <w:rsid w:val="00206D6C"/>
    <w:rsid w:val="00207573"/>
    <w:rsid w:val="002115FE"/>
    <w:rsid w:val="0021430F"/>
    <w:rsid w:val="00215EBC"/>
    <w:rsid w:val="00216526"/>
    <w:rsid w:val="00216FA0"/>
    <w:rsid w:val="0021730A"/>
    <w:rsid w:val="00217399"/>
    <w:rsid w:val="002203EC"/>
    <w:rsid w:val="0022284A"/>
    <w:rsid w:val="00222854"/>
    <w:rsid w:val="00222D30"/>
    <w:rsid w:val="00223CB0"/>
    <w:rsid w:val="00224363"/>
    <w:rsid w:val="0022594E"/>
    <w:rsid w:val="00226444"/>
    <w:rsid w:val="0022650A"/>
    <w:rsid w:val="00226ADA"/>
    <w:rsid w:val="00227333"/>
    <w:rsid w:val="00227379"/>
    <w:rsid w:val="00227586"/>
    <w:rsid w:val="002275E0"/>
    <w:rsid w:val="002279B3"/>
    <w:rsid w:val="00231325"/>
    <w:rsid w:val="00231D55"/>
    <w:rsid w:val="002327AF"/>
    <w:rsid w:val="002332E6"/>
    <w:rsid w:val="00234093"/>
    <w:rsid w:val="0023410F"/>
    <w:rsid w:val="002341C4"/>
    <w:rsid w:val="0023621C"/>
    <w:rsid w:val="0023677B"/>
    <w:rsid w:val="00236B9D"/>
    <w:rsid w:val="0023768E"/>
    <w:rsid w:val="002402F6"/>
    <w:rsid w:val="00242F13"/>
    <w:rsid w:val="00243F65"/>
    <w:rsid w:val="00245504"/>
    <w:rsid w:val="00245BEB"/>
    <w:rsid w:val="00245C45"/>
    <w:rsid w:val="0024633D"/>
    <w:rsid w:val="00246481"/>
    <w:rsid w:val="00246BCB"/>
    <w:rsid w:val="00247551"/>
    <w:rsid w:val="00250530"/>
    <w:rsid w:val="0025056A"/>
    <w:rsid w:val="00250811"/>
    <w:rsid w:val="002508E5"/>
    <w:rsid w:val="00252480"/>
    <w:rsid w:val="0025248A"/>
    <w:rsid w:val="00252FC1"/>
    <w:rsid w:val="00253273"/>
    <w:rsid w:val="00253CCB"/>
    <w:rsid w:val="002554A7"/>
    <w:rsid w:val="0025582E"/>
    <w:rsid w:val="00256208"/>
    <w:rsid w:val="00256FCC"/>
    <w:rsid w:val="00257A15"/>
    <w:rsid w:val="00257C87"/>
    <w:rsid w:val="002606D8"/>
    <w:rsid w:val="002607E5"/>
    <w:rsid w:val="00260A94"/>
    <w:rsid w:val="00260B67"/>
    <w:rsid w:val="002612A5"/>
    <w:rsid w:val="00261583"/>
    <w:rsid w:val="0026158F"/>
    <w:rsid w:val="00262D2A"/>
    <w:rsid w:val="002635B7"/>
    <w:rsid w:val="002639B0"/>
    <w:rsid w:val="00263B8D"/>
    <w:rsid w:val="0026495C"/>
    <w:rsid w:val="00265010"/>
    <w:rsid w:val="00265180"/>
    <w:rsid w:val="00265AEB"/>
    <w:rsid w:val="00265E9C"/>
    <w:rsid w:val="0026634E"/>
    <w:rsid w:val="0026645C"/>
    <w:rsid w:val="002677E7"/>
    <w:rsid w:val="002705E9"/>
    <w:rsid w:val="002721FF"/>
    <w:rsid w:val="00272B4B"/>
    <w:rsid w:val="00273903"/>
    <w:rsid w:val="00274388"/>
    <w:rsid w:val="00274C64"/>
    <w:rsid w:val="00275410"/>
    <w:rsid w:val="00276100"/>
    <w:rsid w:val="00276CA4"/>
    <w:rsid w:val="00277453"/>
    <w:rsid w:val="00277EB6"/>
    <w:rsid w:val="00284011"/>
    <w:rsid w:val="00284019"/>
    <w:rsid w:val="002852C4"/>
    <w:rsid w:val="00285664"/>
    <w:rsid w:val="00286A28"/>
    <w:rsid w:val="00287A18"/>
    <w:rsid w:val="00287A26"/>
    <w:rsid w:val="00287D8A"/>
    <w:rsid w:val="00290DC6"/>
    <w:rsid w:val="00290E92"/>
    <w:rsid w:val="0029395B"/>
    <w:rsid w:val="00294129"/>
    <w:rsid w:val="00294313"/>
    <w:rsid w:val="002960D0"/>
    <w:rsid w:val="00296D16"/>
    <w:rsid w:val="002A01B5"/>
    <w:rsid w:val="002A080F"/>
    <w:rsid w:val="002A0EB5"/>
    <w:rsid w:val="002A157A"/>
    <w:rsid w:val="002A1950"/>
    <w:rsid w:val="002A1D97"/>
    <w:rsid w:val="002A1E2F"/>
    <w:rsid w:val="002A21AF"/>
    <w:rsid w:val="002A2398"/>
    <w:rsid w:val="002A2AA4"/>
    <w:rsid w:val="002A3263"/>
    <w:rsid w:val="002A3836"/>
    <w:rsid w:val="002A3C5C"/>
    <w:rsid w:val="002A3DB9"/>
    <w:rsid w:val="002A61D9"/>
    <w:rsid w:val="002A6332"/>
    <w:rsid w:val="002A6593"/>
    <w:rsid w:val="002A6B82"/>
    <w:rsid w:val="002A6CEF"/>
    <w:rsid w:val="002A73A7"/>
    <w:rsid w:val="002B31B7"/>
    <w:rsid w:val="002B3FE3"/>
    <w:rsid w:val="002B54B7"/>
    <w:rsid w:val="002B6730"/>
    <w:rsid w:val="002B7874"/>
    <w:rsid w:val="002B7C83"/>
    <w:rsid w:val="002C0DDD"/>
    <w:rsid w:val="002C1ECF"/>
    <w:rsid w:val="002C1ED3"/>
    <w:rsid w:val="002C3A0D"/>
    <w:rsid w:val="002C45D8"/>
    <w:rsid w:val="002C67BF"/>
    <w:rsid w:val="002C7128"/>
    <w:rsid w:val="002D140E"/>
    <w:rsid w:val="002D16E1"/>
    <w:rsid w:val="002D231E"/>
    <w:rsid w:val="002D290B"/>
    <w:rsid w:val="002D4CBC"/>
    <w:rsid w:val="002D4D0C"/>
    <w:rsid w:val="002D602B"/>
    <w:rsid w:val="002D6428"/>
    <w:rsid w:val="002D6D70"/>
    <w:rsid w:val="002D6F1F"/>
    <w:rsid w:val="002E0CCA"/>
    <w:rsid w:val="002E141A"/>
    <w:rsid w:val="002E1B95"/>
    <w:rsid w:val="002E26FE"/>
    <w:rsid w:val="002E3EC7"/>
    <w:rsid w:val="002E4808"/>
    <w:rsid w:val="002E483E"/>
    <w:rsid w:val="002E5662"/>
    <w:rsid w:val="002E7045"/>
    <w:rsid w:val="002E7199"/>
    <w:rsid w:val="002E73E7"/>
    <w:rsid w:val="002F012F"/>
    <w:rsid w:val="002F0270"/>
    <w:rsid w:val="002F0513"/>
    <w:rsid w:val="002F0990"/>
    <w:rsid w:val="002F0C58"/>
    <w:rsid w:val="002F13D1"/>
    <w:rsid w:val="002F37F8"/>
    <w:rsid w:val="002F4EDB"/>
    <w:rsid w:val="002F5DFA"/>
    <w:rsid w:val="002F60D3"/>
    <w:rsid w:val="002F7574"/>
    <w:rsid w:val="00300195"/>
    <w:rsid w:val="00300A59"/>
    <w:rsid w:val="00300F93"/>
    <w:rsid w:val="00301942"/>
    <w:rsid w:val="0030214A"/>
    <w:rsid w:val="00302277"/>
    <w:rsid w:val="00302E78"/>
    <w:rsid w:val="00304504"/>
    <w:rsid w:val="00306111"/>
    <w:rsid w:val="00306288"/>
    <w:rsid w:val="00306C56"/>
    <w:rsid w:val="0031137B"/>
    <w:rsid w:val="003140F9"/>
    <w:rsid w:val="003148EA"/>
    <w:rsid w:val="003150CA"/>
    <w:rsid w:val="00315CB8"/>
    <w:rsid w:val="00315D8D"/>
    <w:rsid w:val="003168ED"/>
    <w:rsid w:val="00316EB5"/>
    <w:rsid w:val="003172EB"/>
    <w:rsid w:val="00317AB4"/>
    <w:rsid w:val="003205A3"/>
    <w:rsid w:val="00321E11"/>
    <w:rsid w:val="003228A7"/>
    <w:rsid w:val="003244F9"/>
    <w:rsid w:val="0032480B"/>
    <w:rsid w:val="00324CE8"/>
    <w:rsid w:val="003251A9"/>
    <w:rsid w:val="003257AD"/>
    <w:rsid w:val="00325BD4"/>
    <w:rsid w:val="00325F37"/>
    <w:rsid w:val="00326A33"/>
    <w:rsid w:val="00327569"/>
    <w:rsid w:val="0032785C"/>
    <w:rsid w:val="00327E36"/>
    <w:rsid w:val="00327E53"/>
    <w:rsid w:val="00330795"/>
    <w:rsid w:val="00330A3F"/>
    <w:rsid w:val="00330E85"/>
    <w:rsid w:val="0033219D"/>
    <w:rsid w:val="00333059"/>
    <w:rsid w:val="003332EF"/>
    <w:rsid w:val="003343B3"/>
    <w:rsid w:val="00334624"/>
    <w:rsid w:val="00335693"/>
    <w:rsid w:val="00335897"/>
    <w:rsid w:val="00335AB2"/>
    <w:rsid w:val="0033634C"/>
    <w:rsid w:val="0033669D"/>
    <w:rsid w:val="003367DD"/>
    <w:rsid w:val="00341AB2"/>
    <w:rsid w:val="00343E5D"/>
    <w:rsid w:val="0034439B"/>
    <w:rsid w:val="003455A7"/>
    <w:rsid w:val="003469BB"/>
    <w:rsid w:val="0034792C"/>
    <w:rsid w:val="00350743"/>
    <w:rsid w:val="00350A47"/>
    <w:rsid w:val="00351034"/>
    <w:rsid w:val="003513CA"/>
    <w:rsid w:val="00351FAC"/>
    <w:rsid w:val="003529AF"/>
    <w:rsid w:val="00353652"/>
    <w:rsid w:val="00353D7F"/>
    <w:rsid w:val="003555FA"/>
    <w:rsid w:val="003564CA"/>
    <w:rsid w:val="00356662"/>
    <w:rsid w:val="0035756C"/>
    <w:rsid w:val="00357751"/>
    <w:rsid w:val="003601F1"/>
    <w:rsid w:val="00360BFC"/>
    <w:rsid w:val="0036202E"/>
    <w:rsid w:val="0036277F"/>
    <w:rsid w:val="00362A40"/>
    <w:rsid w:val="00363BF3"/>
    <w:rsid w:val="003649E8"/>
    <w:rsid w:val="00366631"/>
    <w:rsid w:val="00366767"/>
    <w:rsid w:val="003679A6"/>
    <w:rsid w:val="003679D5"/>
    <w:rsid w:val="00367B79"/>
    <w:rsid w:val="003700BB"/>
    <w:rsid w:val="0037015D"/>
    <w:rsid w:val="00370660"/>
    <w:rsid w:val="00371D9E"/>
    <w:rsid w:val="0037217E"/>
    <w:rsid w:val="003724FD"/>
    <w:rsid w:val="00372CA8"/>
    <w:rsid w:val="00373BB6"/>
    <w:rsid w:val="00374F02"/>
    <w:rsid w:val="00375614"/>
    <w:rsid w:val="003807F9"/>
    <w:rsid w:val="00380E60"/>
    <w:rsid w:val="0038128E"/>
    <w:rsid w:val="00381483"/>
    <w:rsid w:val="00381C36"/>
    <w:rsid w:val="00381D62"/>
    <w:rsid w:val="0038500E"/>
    <w:rsid w:val="00385F58"/>
    <w:rsid w:val="003866BE"/>
    <w:rsid w:val="003869D5"/>
    <w:rsid w:val="003905B9"/>
    <w:rsid w:val="00391478"/>
    <w:rsid w:val="0039206E"/>
    <w:rsid w:val="00392746"/>
    <w:rsid w:val="00392A4B"/>
    <w:rsid w:val="00392AA2"/>
    <w:rsid w:val="00393BA3"/>
    <w:rsid w:val="0039411B"/>
    <w:rsid w:val="0039527F"/>
    <w:rsid w:val="00395A71"/>
    <w:rsid w:val="0039682A"/>
    <w:rsid w:val="00397704"/>
    <w:rsid w:val="00397D00"/>
    <w:rsid w:val="003A37F4"/>
    <w:rsid w:val="003A4F1D"/>
    <w:rsid w:val="003A4F95"/>
    <w:rsid w:val="003A5430"/>
    <w:rsid w:val="003A65E7"/>
    <w:rsid w:val="003A6F71"/>
    <w:rsid w:val="003A745C"/>
    <w:rsid w:val="003A7AA6"/>
    <w:rsid w:val="003A7BAA"/>
    <w:rsid w:val="003B01D4"/>
    <w:rsid w:val="003B10EC"/>
    <w:rsid w:val="003B1570"/>
    <w:rsid w:val="003B15C9"/>
    <w:rsid w:val="003B21BF"/>
    <w:rsid w:val="003B23B4"/>
    <w:rsid w:val="003B256D"/>
    <w:rsid w:val="003B3C31"/>
    <w:rsid w:val="003B43B8"/>
    <w:rsid w:val="003B54ED"/>
    <w:rsid w:val="003B57AF"/>
    <w:rsid w:val="003B596F"/>
    <w:rsid w:val="003B5FEE"/>
    <w:rsid w:val="003B6020"/>
    <w:rsid w:val="003B7110"/>
    <w:rsid w:val="003B724A"/>
    <w:rsid w:val="003B76D9"/>
    <w:rsid w:val="003C00B8"/>
    <w:rsid w:val="003C0CEB"/>
    <w:rsid w:val="003C1AEB"/>
    <w:rsid w:val="003C1CE9"/>
    <w:rsid w:val="003C351A"/>
    <w:rsid w:val="003C3BC6"/>
    <w:rsid w:val="003C5934"/>
    <w:rsid w:val="003C5EE2"/>
    <w:rsid w:val="003C6060"/>
    <w:rsid w:val="003C652A"/>
    <w:rsid w:val="003C7080"/>
    <w:rsid w:val="003C7628"/>
    <w:rsid w:val="003C7F5A"/>
    <w:rsid w:val="003D11D0"/>
    <w:rsid w:val="003D16FA"/>
    <w:rsid w:val="003D205D"/>
    <w:rsid w:val="003D239A"/>
    <w:rsid w:val="003D2C74"/>
    <w:rsid w:val="003D5245"/>
    <w:rsid w:val="003D5507"/>
    <w:rsid w:val="003D5A10"/>
    <w:rsid w:val="003D5E6D"/>
    <w:rsid w:val="003D71EF"/>
    <w:rsid w:val="003D7CB9"/>
    <w:rsid w:val="003E0F7C"/>
    <w:rsid w:val="003E1183"/>
    <w:rsid w:val="003E2B73"/>
    <w:rsid w:val="003E2F03"/>
    <w:rsid w:val="003E3A66"/>
    <w:rsid w:val="003E3BBF"/>
    <w:rsid w:val="003E424A"/>
    <w:rsid w:val="003E6B5A"/>
    <w:rsid w:val="003E75F3"/>
    <w:rsid w:val="003F000E"/>
    <w:rsid w:val="003F09C5"/>
    <w:rsid w:val="003F0D9E"/>
    <w:rsid w:val="003F1974"/>
    <w:rsid w:val="003F20C3"/>
    <w:rsid w:val="003F2109"/>
    <w:rsid w:val="003F3EB9"/>
    <w:rsid w:val="003F48EB"/>
    <w:rsid w:val="003F4D58"/>
    <w:rsid w:val="003F50FF"/>
    <w:rsid w:val="003F5377"/>
    <w:rsid w:val="003F5900"/>
    <w:rsid w:val="003F6355"/>
    <w:rsid w:val="003F7741"/>
    <w:rsid w:val="00400266"/>
    <w:rsid w:val="00401A9A"/>
    <w:rsid w:val="0040297A"/>
    <w:rsid w:val="00402EEA"/>
    <w:rsid w:val="004040AA"/>
    <w:rsid w:val="00404201"/>
    <w:rsid w:val="00405CEF"/>
    <w:rsid w:val="00406337"/>
    <w:rsid w:val="00406A00"/>
    <w:rsid w:val="00406FFB"/>
    <w:rsid w:val="004074B3"/>
    <w:rsid w:val="004075EA"/>
    <w:rsid w:val="004079DB"/>
    <w:rsid w:val="00410C82"/>
    <w:rsid w:val="0041108E"/>
    <w:rsid w:val="00412DF2"/>
    <w:rsid w:val="004131AC"/>
    <w:rsid w:val="004138F5"/>
    <w:rsid w:val="00413D22"/>
    <w:rsid w:val="00414C90"/>
    <w:rsid w:val="004165B0"/>
    <w:rsid w:val="004165D6"/>
    <w:rsid w:val="00416D7B"/>
    <w:rsid w:val="0042163E"/>
    <w:rsid w:val="00423163"/>
    <w:rsid w:val="004244A5"/>
    <w:rsid w:val="00425615"/>
    <w:rsid w:val="00427318"/>
    <w:rsid w:val="004276CD"/>
    <w:rsid w:val="0042778E"/>
    <w:rsid w:val="00427843"/>
    <w:rsid w:val="0042792A"/>
    <w:rsid w:val="00427DE1"/>
    <w:rsid w:val="004302B6"/>
    <w:rsid w:val="00430561"/>
    <w:rsid w:val="0043230A"/>
    <w:rsid w:val="0043511C"/>
    <w:rsid w:val="00435538"/>
    <w:rsid w:val="00435E74"/>
    <w:rsid w:val="004372E2"/>
    <w:rsid w:val="00437E88"/>
    <w:rsid w:val="00440672"/>
    <w:rsid w:val="00440C2A"/>
    <w:rsid w:val="00441E70"/>
    <w:rsid w:val="0044290E"/>
    <w:rsid w:val="00443779"/>
    <w:rsid w:val="00443785"/>
    <w:rsid w:val="00443CCC"/>
    <w:rsid w:val="004441E4"/>
    <w:rsid w:val="004448C0"/>
    <w:rsid w:val="004448E8"/>
    <w:rsid w:val="00444915"/>
    <w:rsid w:val="00447377"/>
    <w:rsid w:val="004474FB"/>
    <w:rsid w:val="004510DA"/>
    <w:rsid w:val="00452878"/>
    <w:rsid w:val="004528CC"/>
    <w:rsid w:val="004529C3"/>
    <w:rsid w:val="00454C8A"/>
    <w:rsid w:val="004555AA"/>
    <w:rsid w:val="0045608B"/>
    <w:rsid w:val="00461A93"/>
    <w:rsid w:val="004629BB"/>
    <w:rsid w:val="00462E60"/>
    <w:rsid w:val="00464177"/>
    <w:rsid w:val="004652FD"/>
    <w:rsid w:val="0046539B"/>
    <w:rsid w:val="004657F4"/>
    <w:rsid w:val="00466979"/>
    <w:rsid w:val="00466D17"/>
    <w:rsid w:val="00467E20"/>
    <w:rsid w:val="0047007B"/>
    <w:rsid w:val="0047186F"/>
    <w:rsid w:val="00471A45"/>
    <w:rsid w:val="00472A4C"/>
    <w:rsid w:val="00472B05"/>
    <w:rsid w:val="00472E85"/>
    <w:rsid w:val="00473068"/>
    <w:rsid w:val="004735D5"/>
    <w:rsid w:val="00474CAD"/>
    <w:rsid w:val="0047556B"/>
    <w:rsid w:val="00475C2D"/>
    <w:rsid w:val="00476458"/>
    <w:rsid w:val="00477226"/>
    <w:rsid w:val="004777D8"/>
    <w:rsid w:val="00480641"/>
    <w:rsid w:val="004813E8"/>
    <w:rsid w:val="004827F3"/>
    <w:rsid w:val="004829F2"/>
    <w:rsid w:val="0048334C"/>
    <w:rsid w:val="00484EA5"/>
    <w:rsid w:val="00485304"/>
    <w:rsid w:val="00486114"/>
    <w:rsid w:val="004863E4"/>
    <w:rsid w:val="00486497"/>
    <w:rsid w:val="00487264"/>
    <w:rsid w:val="00490D2A"/>
    <w:rsid w:val="0049105D"/>
    <w:rsid w:val="004918C4"/>
    <w:rsid w:val="00491B26"/>
    <w:rsid w:val="004932A2"/>
    <w:rsid w:val="00496DFB"/>
    <w:rsid w:val="00496E8C"/>
    <w:rsid w:val="00496EAA"/>
    <w:rsid w:val="004A00B9"/>
    <w:rsid w:val="004A08D7"/>
    <w:rsid w:val="004A5151"/>
    <w:rsid w:val="004A5643"/>
    <w:rsid w:val="004A5DB1"/>
    <w:rsid w:val="004A662D"/>
    <w:rsid w:val="004A687F"/>
    <w:rsid w:val="004A7359"/>
    <w:rsid w:val="004B1807"/>
    <w:rsid w:val="004B3161"/>
    <w:rsid w:val="004B4004"/>
    <w:rsid w:val="004B4A30"/>
    <w:rsid w:val="004B4D0B"/>
    <w:rsid w:val="004B5937"/>
    <w:rsid w:val="004B5BAF"/>
    <w:rsid w:val="004B5CB4"/>
    <w:rsid w:val="004B625D"/>
    <w:rsid w:val="004B632A"/>
    <w:rsid w:val="004B7E82"/>
    <w:rsid w:val="004C06AD"/>
    <w:rsid w:val="004C0946"/>
    <w:rsid w:val="004C0C08"/>
    <w:rsid w:val="004C0C57"/>
    <w:rsid w:val="004C13CF"/>
    <w:rsid w:val="004C1C91"/>
    <w:rsid w:val="004C3789"/>
    <w:rsid w:val="004C37E1"/>
    <w:rsid w:val="004C62B7"/>
    <w:rsid w:val="004C6E55"/>
    <w:rsid w:val="004C7EB2"/>
    <w:rsid w:val="004D0163"/>
    <w:rsid w:val="004D0AC5"/>
    <w:rsid w:val="004D19EB"/>
    <w:rsid w:val="004D3210"/>
    <w:rsid w:val="004D35C6"/>
    <w:rsid w:val="004D5034"/>
    <w:rsid w:val="004E06B4"/>
    <w:rsid w:val="004E1628"/>
    <w:rsid w:val="004E189A"/>
    <w:rsid w:val="004E1A28"/>
    <w:rsid w:val="004E1B57"/>
    <w:rsid w:val="004E2076"/>
    <w:rsid w:val="004E2F8E"/>
    <w:rsid w:val="004E318F"/>
    <w:rsid w:val="004E45C2"/>
    <w:rsid w:val="004E5A0A"/>
    <w:rsid w:val="004E5B31"/>
    <w:rsid w:val="004E6694"/>
    <w:rsid w:val="004E6764"/>
    <w:rsid w:val="004E791F"/>
    <w:rsid w:val="004F021C"/>
    <w:rsid w:val="004F1757"/>
    <w:rsid w:val="004F1D20"/>
    <w:rsid w:val="004F326C"/>
    <w:rsid w:val="004F38A6"/>
    <w:rsid w:val="004F444A"/>
    <w:rsid w:val="004F5575"/>
    <w:rsid w:val="004F55AC"/>
    <w:rsid w:val="004F79D9"/>
    <w:rsid w:val="004F7C46"/>
    <w:rsid w:val="00501474"/>
    <w:rsid w:val="005014BC"/>
    <w:rsid w:val="00501617"/>
    <w:rsid w:val="005019D3"/>
    <w:rsid w:val="00502123"/>
    <w:rsid w:val="00502229"/>
    <w:rsid w:val="005023CA"/>
    <w:rsid w:val="005030DE"/>
    <w:rsid w:val="0050422D"/>
    <w:rsid w:val="00505996"/>
    <w:rsid w:val="00505D2A"/>
    <w:rsid w:val="0050634D"/>
    <w:rsid w:val="005078B2"/>
    <w:rsid w:val="005079C1"/>
    <w:rsid w:val="00507BBF"/>
    <w:rsid w:val="00511260"/>
    <w:rsid w:val="00511565"/>
    <w:rsid w:val="0051172C"/>
    <w:rsid w:val="0051380C"/>
    <w:rsid w:val="00514878"/>
    <w:rsid w:val="0051706E"/>
    <w:rsid w:val="00520E7F"/>
    <w:rsid w:val="0052136B"/>
    <w:rsid w:val="00522130"/>
    <w:rsid w:val="00523DBC"/>
    <w:rsid w:val="005244E9"/>
    <w:rsid w:val="005251C5"/>
    <w:rsid w:val="00525DF3"/>
    <w:rsid w:val="00525FF7"/>
    <w:rsid w:val="005278B3"/>
    <w:rsid w:val="00527949"/>
    <w:rsid w:val="00530509"/>
    <w:rsid w:val="00532080"/>
    <w:rsid w:val="00533E79"/>
    <w:rsid w:val="00533EBE"/>
    <w:rsid w:val="00534706"/>
    <w:rsid w:val="00534728"/>
    <w:rsid w:val="0053570C"/>
    <w:rsid w:val="005362A5"/>
    <w:rsid w:val="00536A03"/>
    <w:rsid w:val="0054052F"/>
    <w:rsid w:val="00541E16"/>
    <w:rsid w:val="0054396E"/>
    <w:rsid w:val="0054411C"/>
    <w:rsid w:val="00545009"/>
    <w:rsid w:val="00545140"/>
    <w:rsid w:val="00545668"/>
    <w:rsid w:val="005473C7"/>
    <w:rsid w:val="005502F3"/>
    <w:rsid w:val="00550371"/>
    <w:rsid w:val="005507F1"/>
    <w:rsid w:val="0055098F"/>
    <w:rsid w:val="005517B9"/>
    <w:rsid w:val="00553E7D"/>
    <w:rsid w:val="005542BD"/>
    <w:rsid w:val="00554B90"/>
    <w:rsid w:val="005560F6"/>
    <w:rsid w:val="00556489"/>
    <w:rsid w:val="00556CAE"/>
    <w:rsid w:val="00556EDA"/>
    <w:rsid w:val="00556FC7"/>
    <w:rsid w:val="005573D6"/>
    <w:rsid w:val="0056029F"/>
    <w:rsid w:val="005617A4"/>
    <w:rsid w:val="00561887"/>
    <w:rsid w:val="005632A1"/>
    <w:rsid w:val="005632CF"/>
    <w:rsid w:val="00563BF1"/>
    <w:rsid w:val="0056475C"/>
    <w:rsid w:val="0056509F"/>
    <w:rsid w:val="00565326"/>
    <w:rsid w:val="005658FE"/>
    <w:rsid w:val="00570A0D"/>
    <w:rsid w:val="00571300"/>
    <w:rsid w:val="00573432"/>
    <w:rsid w:val="00574443"/>
    <w:rsid w:val="005754FC"/>
    <w:rsid w:val="00575A73"/>
    <w:rsid w:val="00575F9C"/>
    <w:rsid w:val="00576979"/>
    <w:rsid w:val="005770E5"/>
    <w:rsid w:val="00577D50"/>
    <w:rsid w:val="00580D85"/>
    <w:rsid w:val="005813AC"/>
    <w:rsid w:val="0058354A"/>
    <w:rsid w:val="00583926"/>
    <w:rsid w:val="00583C94"/>
    <w:rsid w:val="00584BA7"/>
    <w:rsid w:val="0058578F"/>
    <w:rsid w:val="00586938"/>
    <w:rsid w:val="00586CFB"/>
    <w:rsid w:val="00586FD7"/>
    <w:rsid w:val="00587D29"/>
    <w:rsid w:val="0059070E"/>
    <w:rsid w:val="00591072"/>
    <w:rsid w:val="0059341B"/>
    <w:rsid w:val="005934B8"/>
    <w:rsid w:val="0059410B"/>
    <w:rsid w:val="00594C9D"/>
    <w:rsid w:val="00595C65"/>
    <w:rsid w:val="005964E5"/>
    <w:rsid w:val="005968B2"/>
    <w:rsid w:val="005969E2"/>
    <w:rsid w:val="00597705"/>
    <w:rsid w:val="005A118F"/>
    <w:rsid w:val="005A2449"/>
    <w:rsid w:val="005A2C73"/>
    <w:rsid w:val="005A2E0F"/>
    <w:rsid w:val="005A32DC"/>
    <w:rsid w:val="005A3E4D"/>
    <w:rsid w:val="005A495B"/>
    <w:rsid w:val="005A4FC0"/>
    <w:rsid w:val="005A5535"/>
    <w:rsid w:val="005A71F7"/>
    <w:rsid w:val="005B070C"/>
    <w:rsid w:val="005B1333"/>
    <w:rsid w:val="005B1872"/>
    <w:rsid w:val="005B35B9"/>
    <w:rsid w:val="005B38BB"/>
    <w:rsid w:val="005B4F7C"/>
    <w:rsid w:val="005B649F"/>
    <w:rsid w:val="005B7710"/>
    <w:rsid w:val="005B7922"/>
    <w:rsid w:val="005B7CEE"/>
    <w:rsid w:val="005C0B5D"/>
    <w:rsid w:val="005C0F20"/>
    <w:rsid w:val="005C1439"/>
    <w:rsid w:val="005C15DC"/>
    <w:rsid w:val="005C1DEC"/>
    <w:rsid w:val="005C28AE"/>
    <w:rsid w:val="005C36E4"/>
    <w:rsid w:val="005C4D70"/>
    <w:rsid w:val="005C4FDA"/>
    <w:rsid w:val="005C5C47"/>
    <w:rsid w:val="005C6A41"/>
    <w:rsid w:val="005D0320"/>
    <w:rsid w:val="005D0612"/>
    <w:rsid w:val="005D0B78"/>
    <w:rsid w:val="005D25D6"/>
    <w:rsid w:val="005D2F72"/>
    <w:rsid w:val="005D3407"/>
    <w:rsid w:val="005D36B6"/>
    <w:rsid w:val="005D3941"/>
    <w:rsid w:val="005D411A"/>
    <w:rsid w:val="005D47C3"/>
    <w:rsid w:val="005D5E9D"/>
    <w:rsid w:val="005D6BF3"/>
    <w:rsid w:val="005D6D77"/>
    <w:rsid w:val="005E09E8"/>
    <w:rsid w:val="005E1A72"/>
    <w:rsid w:val="005E1F5B"/>
    <w:rsid w:val="005E2F30"/>
    <w:rsid w:val="005E3541"/>
    <w:rsid w:val="005E558C"/>
    <w:rsid w:val="005E560B"/>
    <w:rsid w:val="005E601A"/>
    <w:rsid w:val="005E6988"/>
    <w:rsid w:val="005F01BC"/>
    <w:rsid w:val="005F033E"/>
    <w:rsid w:val="005F03D5"/>
    <w:rsid w:val="005F04A5"/>
    <w:rsid w:val="005F158C"/>
    <w:rsid w:val="005F1DCA"/>
    <w:rsid w:val="005F236B"/>
    <w:rsid w:val="005F2425"/>
    <w:rsid w:val="005F26E6"/>
    <w:rsid w:val="005F6436"/>
    <w:rsid w:val="005F6D85"/>
    <w:rsid w:val="005F77BC"/>
    <w:rsid w:val="00600269"/>
    <w:rsid w:val="0060138F"/>
    <w:rsid w:val="00601782"/>
    <w:rsid w:val="0060391E"/>
    <w:rsid w:val="0060443D"/>
    <w:rsid w:val="0060486E"/>
    <w:rsid w:val="00605079"/>
    <w:rsid w:val="006062FB"/>
    <w:rsid w:val="00606867"/>
    <w:rsid w:val="00607419"/>
    <w:rsid w:val="006078C2"/>
    <w:rsid w:val="006101AF"/>
    <w:rsid w:val="00612393"/>
    <w:rsid w:val="006125A7"/>
    <w:rsid w:val="00612ACF"/>
    <w:rsid w:val="00612DEA"/>
    <w:rsid w:val="00613779"/>
    <w:rsid w:val="006137B4"/>
    <w:rsid w:val="00613E36"/>
    <w:rsid w:val="00614A7A"/>
    <w:rsid w:val="00615598"/>
    <w:rsid w:val="00616B35"/>
    <w:rsid w:val="00617A30"/>
    <w:rsid w:val="00617F99"/>
    <w:rsid w:val="00620660"/>
    <w:rsid w:val="006215E6"/>
    <w:rsid w:val="00621B4B"/>
    <w:rsid w:val="006232F1"/>
    <w:rsid w:val="00623DDE"/>
    <w:rsid w:val="00624695"/>
    <w:rsid w:val="00624975"/>
    <w:rsid w:val="006249C3"/>
    <w:rsid w:val="0062596F"/>
    <w:rsid w:val="00625D2D"/>
    <w:rsid w:val="006271A4"/>
    <w:rsid w:val="00627A24"/>
    <w:rsid w:val="00630138"/>
    <w:rsid w:val="00630385"/>
    <w:rsid w:val="00630B85"/>
    <w:rsid w:val="006313FC"/>
    <w:rsid w:val="0063144C"/>
    <w:rsid w:val="00631740"/>
    <w:rsid w:val="006332F2"/>
    <w:rsid w:val="0063349F"/>
    <w:rsid w:val="006342D5"/>
    <w:rsid w:val="00634B17"/>
    <w:rsid w:val="00637A17"/>
    <w:rsid w:val="00641035"/>
    <w:rsid w:val="00641661"/>
    <w:rsid w:val="00642736"/>
    <w:rsid w:val="006430FA"/>
    <w:rsid w:val="00644FB0"/>
    <w:rsid w:val="006476E6"/>
    <w:rsid w:val="00650EE2"/>
    <w:rsid w:val="006511A4"/>
    <w:rsid w:val="006513E2"/>
    <w:rsid w:val="00651916"/>
    <w:rsid w:val="00651DE7"/>
    <w:rsid w:val="006531C9"/>
    <w:rsid w:val="006535E1"/>
    <w:rsid w:val="00653E92"/>
    <w:rsid w:val="00657C8E"/>
    <w:rsid w:val="0066025E"/>
    <w:rsid w:val="00661223"/>
    <w:rsid w:val="00661D64"/>
    <w:rsid w:val="00662682"/>
    <w:rsid w:val="00663587"/>
    <w:rsid w:val="006639A0"/>
    <w:rsid w:val="00663D7F"/>
    <w:rsid w:val="00664CD0"/>
    <w:rsid w:val="00665C01"/>
    <w:rsid w:val="00665D94"/>
    <w:rsid w:val="006668FE"/>
    <w:rsid w:val="00667591"/>
    <w:rsid w:val="006679EE"/>
    <w:rsid w:val="00667F9F"/>
    <w:rsid w:val="006710E7"/>
    <w:rsid w:val="00671A0B"/>
    <w:rsid w:val="00671D78"/>
    <w:rsid w:val="0067210D"/>
    <w:rsid w:val="006724B1"/>
    <w:rsid w:val="006729EB"/>
    <w:rsid w:val="00675C81"/>
    <w:rsid w:val="00675F6F"/>
    <w:rsid w:val="00676E07"/>
    <w:rsid w:val="006777D1"/>
    <w:rsid w:val="00677D1B"/>
    <w:rsid w:val="0068034D"/>
    <w:rsid w:val="00680CAC"/>
    <w:rsid w:val="00681152"/>
    <w:rsid w:val="00682481"/>
    <w:rsid w:val="00682987"/>
    <w:rsid w:val="00682CE5"/>
    <w:rsid w:val="00683C15"/>
    <w:rsid w:val="006841DC"/>
    <w:rsid w:val="0068468E"/>
    <w:rsid w:val="00685DAD"/>
    <w:rsid w:val="0068615D"/>
    <w:rsid w:val="0068675A"/>
    <w:rsid w:val="0068797D"/>
    <w:rsid w:val="0069106B"/>
    <w:rsid w:val="00691AF2"/>
    <w:rsid w:val="00691CB2"/>
    <w:rsid w:val="006923CE"/>
    <w:rsid w:val="00692BAF"/>
    <w:rsid w:val="00694527"/>
    <w:rsid w:val="00695295"/>
    <w:rsid w:val="0069550C"/>
    <w:rsid w:val="00696D7D"/>
    <w:rsid w:val="00697465"/>
    <w:rsid w:val="00697EB1"/>
    <w:rsid w:val="006A0924"/>
    <w:rsid w:val="006A19BC"/>
    <w:rsid w:val="006A2310"/>
    <w:rsid w:val="006A2706"/>
    <w:rsid w:val="006A3375"/>
    <w:rsid w:val="006A498B"/>
    <w:rsid w:val="006A5619"/>
    <w:rsid w:val="006A620B"/>
    <w:rsid w:val="006A6F23"/>
    <w:rsid w:val="006A6FBC"/>
    <w:rsid w:val="006A70AF"/>
    <w:rsid w:val="006B0CCB"/>
    <w:rsid w:val="006B150C"/>
    <w:rsid w:val="006B1AA4"/>
    <w:rsid w:val="006B1DCE"/>
    <w:rsid w:val="006B2167"/>
    <w:rsid w:val="006B249E"/>
    <w:rsid w:val="006B4122"/>
    <w:rsid w:val="006B42B2"/>
    <w:rsid w:val="006B4AF8"/>
    <w:rsid w:val="006B6180"/>
    <w:rsid w:val="006B692B"/>
    <w:rsid w:val="006B6B1C"/>
    <w:rsid w:val="006C177A"/>
    <w:rsid w:val="006C1B13"/>
    <w:rsid w:val="006C32C4"/>
    <w:rsid w:val="006C62BF"/>
    <w:rsid w:val="006D067F"/>
    <w:rsid w:val="006D07FB"/>
    <w:rsid w:val="006D173A"/>
    <w:rsid w:val="006D2E02"/>
    <w:rsid w:val="006D5A67"/>
    <w:rsid w:val="006D6261"/>
    <w:rsid w:val="006D762E"/>
    <w:rsid w:val="006D7896"/>
    <w:rsid w:val="006D7DFD"/>
    <w:rsid w:val="006E16D1"/>
    <w:rsid w:val="006E2B6D"/>
    <w:rsid w:val="006E2FDB"/>
    <w:rsid w:val="006E37ED"/>
    <w:rsid w:val="006E3C88"/>
    <w:rsid w:val="006E4164"/>
    <w:rsid w:val="006E4C1C"/>
    <w:rsid w:val="006F0575"/>
    <w:rsid w:val="006F09D8"/>
    <w:rsid w:val="006F1624"/>
    <w:rsid w:val="006F20F9"/>
    <w:rsid w:val="006F2296"/>
    <w:rsid w:val="006F28E4"/>
    <w:rsid w:val="006F3052"/>
    <w:rsid w:val="006F31BD"/>
    <w:rsid w:val="006F3259"/>
    <w:rsid w:val="006F3C00"/>
    <w:rsid w:val="006F47B2"/>
    <w:rsid w:val="006F613B"/>
    <w:rsid w:val="006F78DB"/>
    <w:rsid w:val="00700040"/>
    <w:rsid w:val="00701A81"/>
    <w:rsid w:val="00702C42"/>
    <w:rsid w:val="00704A2E"/>
    <w:rsid w:val="007057AB"/>
    <w:rsid w:val="00705F57"/>
    <w:rsid w:val="00707343"/>
    <w:rsid w:val="007073FB"/>
    <w:rsid w:val="00710C28"/>
    <w:rsid w:val="00711476"/>
    <w:rsid w:val="00711C08"/>
    <w:rsid w:val="00711CC1"/>
    <w:rsid w:val="007121B6"/>
    <w:rsid w:val="00712ED3"/>
    <w:rsid w:val="00714697"/>
    <w:rsid w:val="00714883"/>
    <w:rsid w:val="00714C9E"/>
    <w:rsid w:val="00715651"/>
    <w:rsid w:val="00716F3B"/>
    <w:rsid w:val="00717903"/>
    <w:rsid w:val="00717B10"/>
    <w:rsid w:val="00720C7A"/>
    <w:rsid w:val="007228AB"/>
    <w:rsid w:val="00723D98"/>
    <w:rsid w:val="00724B29"/>
    <w:rsid w:val="00725178"/>
    <w:rsid w:val="00727A78"/>
    <w:rsid w:val="00730A5A"/>
    <w:rsid w:val="00731207"/>
    <w:rsid w:val="007312CE"/>
    <w:rsid w:val="007315A4"/>
    <w:rsid w:val="007316B3"/>
    <w:rsid w:val="00734430"/>
    <w:rsid w:val="007378AA"/>
    <w:rsid w:val="0074053C"/>
    <w:rsid w:val="00743D4D"/>
    <w:rsid w:val="00743EB1"/>
    <w:rsid w:val="0074485F"/>
    <w:rsid w:val="007451A8"/>
    <w:rsid w:val="0074527C"/>
    <w:rsid w:val="00745BF2"/>
    <w:rsid w:val="00745E2B"/>
    <w:rsid w:val="00746757"/>
    <w:rsid w:val="00750435"/>
    <w:rsid w:val="00751ADD"/>
    <w:rsid w:val="007520F6"/>
    <w:rsid w:val="00752D2C"/>
    <w:rsid w:val="007532C0"/>
    <w:rsid w:val="00753D47"/>
    <w:rsid w:val="007541BA"/>
    <w:rsid w:val="00756020"/>
    <w:rsid w:val="00756098"/>
    <w:rsid w:val="00757F3C"/>
    <w:rsid w:val="007631E0"/>
    <w:rsid w:val="00763628"/>
    <w:rsid w:val="00763BF3"/>
    <w:rsid w:val="007641F0"/>
    <w:rsid w:val="00764F87"/>
    <w:rsid w:val="00765323"/>
    <w:rsid w:val="00767A6B"/>
    <w:rsid w:val="00771094"/>
    <w:rsid w:val="00771421"/>
    <w:rsid w:val="00772E4B"/>
    <w:rsid w:val="007744D5"/>
    <w:rsid w:val="0077459E"/>
    <w:rsid w:val="00775448"/>
    <w:rsid w:val="00776213"/>
    <w:rsid w:val="0077676B"/>
    <w:rsid w:val="00781FEE"/>
    <w:rsid w:val="00782782"/>
    <w:rsid w:val="007841E0"/>
    <w:rsid w:val="00784331"/>
    <w:rsid w:val="007850AF"/>
    <w:rsid w:val="007863FC"/>
    <w:rsid w:val="007866DC"/>
    <w:rsid w:val="00786B25"/>
    <w:rsid w:val="007909E3"/>
    <w:rsid w:val="00791218"/>
    <w:rsid w:val="00791465"/>
    <w:rsid w:val="0079276A"/>
    <w:rsid w:val="0079403D"/>
    <w:rsid w:val="00794AA8"/>
    <w:rsid w:val="00796986"/>
    <w:rsid w:val="00796F39"/>
    <w:rsid w:val="00796F7A"/>
    <w:rsid w:val="00797A49"/>
    <w:rsid w:val="007A02C2"/>
    <w:rsid w:val="007A1488"/>
    <w:rsid w:val="007A1A81"/>
    <w:rsid w:val="007A2884"/>
    <w:rsid w:val="007A2A99"/>
    <w:rsid w:val="007A30EF"/>
    <w:rsid w:val="007A3705"/>
    <w:rsid w:val="007A39B0"/>
    <w:rsid w:val="007A649E"/>
    <w:rsid w:val="007A6AF4"/>
    <w:rsid w:val="007A7BBE"/>
    <w:rsid w:val="007B0D59"/>
    <w:rsid w:val="007B196E"/>
    <w:rsid w:val="007B1F09"/>
    <w:rsid w:val="007B2882"/>
    <w:rsid w:val="007B4E03"/>
    <w:rsid w:val="007B566C"/>
    <w:rsid w:val="007B686F"/>
    <w:rsid w:val="007B6CEF"/>
    <w:rsid w:val="007C0F73"/>
    <w:rsid w:val="007C1540"/>
    <w:rsid w:val="007C17AD"/>
    <w:rsid w:val="007C1FDD"/>
    <w:rsid w:val="007C243B"/>
    <w:rsid w:val="007C247A"/>
    <w:rsid w:val="007C34F9"/>
    <w:rsid w:val="007C4731"/>
    <w:rsid w:val="007C546A"/>
    <w:rsid w:val="007C5DEE"/>
    <w:rsid w:val="007D0644"/>
    <w:rsid w:val="007D0A2D"/>
    <w:rsid w:val="007D10FC"/>
    <w:rsid w:val="007D2420"/>
    <w:rsid w:val="007D2446"/>
    <w:rsid w:val="007D244F"/>
    <w:rsid w:val="007D3ACE"/>
    <w:rsid w:val="007D3EAA"/>
    <w:rsid w:val="007D477A"/>
    <w:rsid w:val="007D64EC"/>
    <w:rsid w:val="007E05A2"/>
    <w:rsid w:val="007E1089"/>
    <w:rsid w:val="007E1B26"/>
    <w:rsid w:val="007E1F8D"/>
    <w:rsid w:val="007E33A2"/>
    <w:rsid w:val="007E4BA0"/>
    <w:rsid w:val="007E514B"/>
    <w:rsid w:val="007E5714"/>
    <w:rsid w:val="007E5E24"/>
    <w:rsid w:val="007E6BEB"/>
    <w:rsid w:val="007E700A"/>
    <w:rsid w:val="007F1128"/>
    <w:rsid w:val="007F1E72"/>
    <w:rsid w:val="007F2227"/>
    <w:rsid w:val="007F2C37"/>
    <w:rsid w:val="007F2F75"/>
    <w:rsid w:val="007F4798"/>
    <w:rsid w:val="007F5EB5"/>
    <w:rsid w:val="007F6128"/>
    <w:rsid w:val="007F7B60"/>
    <w:rsid w:val="00800438"/>
    <w:rsid w:val="008019A5"/>
    <w:rsid w:val="008020C2"/>
    <w:rsid w:val="008020CD"/>
    <w:rsid w:val="0080285C"/>
    <w:rsid w:val="00803543"/>
    <w:rsid w:val="008044F9"/>
    <w:rsid w:val="00806AFC"/>
    <w:rsid w:val="0080724E"/>
    <w:rsid w:val="00810336"/>
    <w:rsid w:val="008105A1"/>
    <w:rsid w:val="0081156D"/>
    <w:rsid w:val="00811B30"/>
    <w:rsid w:val="0081226E"/>
    <w:rsid w:val="008127DE"/>
    <w:rsid w:val="00812D95"/>
    <w:rsid w:val="00813448"/>
    <w:rsid w:val="00814EDE"/>
    <w:rsid w:val="00814FBA"/>
    <w:rsid w:val="00815B1A"/>
    <w:rsid w:val="0081612B"/>
    <w:rsid w:val="00816E79"/>
    <w:rsid w:val="00816ED1"/>
    <w:rsid w:val="00821D82"/>
    <w:rsid w:val="0082292B"/>
    <w:rsid w:val="008230F2"/>
    <w:rsid w:val="00823442"/>
    <w:rsid w:val="00823D26"/>
    <w:rsid w:val="008242ED"/>
    <w:rsid w:val="0082553B"/>
    <w:rsid w:val="008268B0"/>
    <w:rsid w:val="008276BB"/>
    <w:rsid w:val="00830529"/>
    <w:rsid w:val="00830F6A"/>
    <w:rsid w:val="00832EA6"/>
    <w:rsid w:val="00832FD6"/>
    <w:rsid w:val="008330E7"/>
    <w:rsid w:val="0083336E"/>
    <w:rsid w:val="00834066"/>
    <w:rsid w:val="008343B4"/>
    <w:rsid w:val="00836989"/>
    <w:rsid w:val="00837B9A"/>
    <w:rsid w:val="00837E1F"/>
    <w:rsid w:val="008405CE"/>
    <w:rsid w:val="008405CF"/>
    <w:rsid w:val="00841726"/>
    <w:rsid w:val="008417D1"/>
    <w:rsid w:val="008426AA"/>
    <w:rsid w:val="0084295A"/>
    <w:rsid w:val="0084365C"/>
    <w:rsid w:val="0084393F"/>
    <w:rsid w:val="00846269"/>
    <w:rsid w:val="00851511"/>
    <w:rsid w:val="00852CEF"/>
    <w:rsid w:val="008536CA"/>
    <w:rsid w:val="00853F53"/>
    <w:rsid w:val="008547C2"/>
    <w:rsid w:val="00854A89"/>
    <w:rsid w:val="00855291"/>
    <w:rsid w:val="00855355"/>
    <w:rsid w:val="008557C2"/>
    <w:rsid w:val="00855F97"/>
    <w:rsid w:val="008575D5"/>
    <w:rsid w:val="0086080D"/>
    <w:rsid w:val="008634DE"/>
    <w:rsid w:val="008647BD"/>
    <w:rsid w:val="008665C4"/>
    <w:rsid w:val="0086751C"/>
    <w:rsid w:val="008677E3"/>
    <w:rsid w:val="00870B41"/>
    <w:rsid w:val="00871800"/>
    <w:rsid w:val="0087195C"/>
    <w:rsid w:val="00872149"/>
    <w:rsid w:val="00873259"/>
    <w:rsid w:val="00873C6E"/>
    <w:rsid w:val="00873EB9"/>
    <w:rsid w:val="00874809"/>
    <w:rsid w:val="00875D5A"/>
    <w:rsid w:val="00875F1E"/>
    <w:rsid w:val="008770DC"/>
    <w:rsid w:val="00880351"/>
    <w:rsid w:val="008804AE"/>
    <w:rsid w:val="0088086C"/>
    <w:rsid w:val="00880941"/>
    <w:rsid w:val="00881509"/>
    <w:rsid w:val="008825BB"/>
    <w:rsid w:val="00882735"/>
    <w:rsid w:val="0088275A"/>
    <w:rsid w:val="00882EFE"/>
    <w:rsid w:val="00883767"/>
    <w:rsid w:val="00883C2E"/>
    <w:rsid w:val="00884269"/>
    <w:rsid w:val="00885C05"/>
    <w:rsid w:val="00885F6F"/>
    <w:rsid w:val="00890F28"/>
    <w:rsid w:val="00892541"/>
    <w:rsid w:val="0089372D"/>
    <w:rsid w:val="00893E14"/>
    <w:rsid w:val="0089533C"/>
    <w:rsid w:val="00895554"/>
    <w:rsid w:val="008957A8"/>
    <w:rsid w:val="00895A54"/>
    <w:rsid w:val="00896B6A"/>
    <w:rsid w:val="008A0454"/>
    <w:rsid w:val="008A08B2"/>
    <w:rsid w:val="008A0B17"/>
    <w:rsid w:val="008A1381"/>
    <w:rsid w:val="008A1A60"/>
    <w:rsid w:val="008A29B3"/>
    <w:rsid w:val="008A3B56"/>
    <w:rsid w:val="008A4281"/>
    <w:rsid w:val="008A4D96"/>
    <w:rsid w:val="008A532F"/>
    <w:rsid w:val="008A537D"/>
    <w:rsid w:val="008A5BB8"/>
    <w:rsid w:val="008A668E"/>
    <w:rsid w:val="008A7240"/>
    <w:rsid w:val="008A75F3"/>
    <w:rsid w:val="008A7BFC"/>
    <w:rsid w:val="008A7CF7"/>
    <w:rsid w:val="008A7FAD"/>
    <w:rsid w:val="008B0C87"/>
    <w:rsid w:val="008B100F"/>
    <w:rsid w:val="008B1DA6"/>
    <w:rsid w:val="008B3137"/>
    <w:rsid w:val="008B3660"/>
    <w:rsid w:val="008B394C"/>
    <w:rsid w:val="008B552C"/>
    <w:rsid w:val="008B7266"/>
    <w:rsid w:val="008C0F6C"/>
    <w:rsid w:val="008C1751"/>
    <w:rsid w:val="008C1916"/>
    <w:rsid w:val="008C210D"/>
    <w:rsid w:val="008C357C"/>
    <w:rsid w:val="008C3E59"/>
    <w:rsid w:val="008C480D"/>
    <w:rsid w:val="008C4C45"/>
    <w:rsid w:val="008C651B"/>
    <w:rsid w:val="008C7138"/>
    <w:rsid w:val="008D2564"/>
    <w:rsid w:val="008D2848"/>
    <w:rsid w:val="008D30BD"/>
    <w:rsid w:val="008D3968"/>
    <w:rsid w:val="008D3C26"/>
    <w:rsid w:val="008D565B"/>
    <w:rsid w:val="008D5B9B"/>
    <w:rsid w:val="008D714F"/>
    <w:rsid w:val="008E00B4"/>
    <w:rsid w:val="008E1626"/>
    <w:rsid w:val="008E270C"/>
    <w:rsid w:val="008E3715"/>
    <w:rsid w:val="008E51D4"/>
    <w:rsid w:val="008E66F8"/>
    <w:rsid w:val="008E74EF"/>
    <w:rsid w:val="008E7904"/>
    <w:rsid w:val="008E7EFA"/>
    <w:rsid w:val="008F051D"/>
    <w:rsid w:val="008F0FC5"/>
    <w:rsid w:val="008F0FD2"/>
    <w:rsid w:val="008F17A3"/>
    <w:rsid w:val="008F181C"/>
    <w:rsid w:val="008F4376"/>
    <w:rsid w:val="008F4BB7"/>
    <w:rsid w:val="008F58F5"/>
    <w:rsid w:val="008F59AF"/>
    <w:rsid w:val="008F5B07"/>
    <w:rsid w:val="008F61FC"/>
    <w:rsid w:val="008F629B"/>
    <w:rsid w:val="008F74A5"/>
    <w:rsid w:val="00901474"/>
    <w:rsid w:val="009014FD"/>
    <w:rsid w:val="00902AA7"/>
    <w:rsid w:val="00902C55"/>
    <w:rsid w:val="00903496"/>
    <w:rsid w:val="00903A37"/>
    <w:rsid w:val="009041F8"/>
    <w:rsid w:val="0090469D"/>
    <w:rsid w:val="00904CD2"/>
    <w:rsid w:val="00904D53"/>
    <w:rsid w:val="00905580"/>
    <w:rsid w:val="00905C49"/>
    <w:rsid w:val="00906C53"/>
    <w:rsid w:val="0090737A"/>
    <w:rsid w:val="00910689"/>
    <w:rsid w:val="00913CAF"/>
    <w:rsid w:val="0091491D"/>
    <w:rsid w:val="0091517B"/>
    <w:rsid w:val="0091563E"/>
    <w:rsid w:val="00920429"/>
    <w:rsid w:val="00921597"/>
    <w:rsid w:val="00921696"/>
    <w:rsid w:val="0092525C"/>
    <w:rsid w:val="009257EE"/>
    <w:rsid w:val="00925ECA"/>
    <w:rsid w:val="009262E3"/>
    <w:rsid w:val="00926A0C"/>
    <w:rsid w:val="00927B9C"/>
    <w:rsid w:val="00927D1D"/>
    <w:rsid w:val="00927E7F"/>
    <w:rsid w:val="009300E6"/>
    <w:rsid w:val="009304E9"/>
    <w:rsid w:val="00930A30"/>
    <w:rsid w:val="00931856"/>
    <w:rsid w:val="00931957"/>
    <w:rsid w:val="00932259"/>
    <w:rsid w:val="0093242C"/>
    <w:rsid w:val="009358E4"/>
    <w:rsid w:val="009360CC"/>
    <w:rsid w:val="00936720"/>
    <w:rsid w:val="00937871"/>
    <w:rsid w:val="00937B2D"/>
    <w:rsid w:val="00937F6E"/>
    <w:rsid w:val="00940225"/>
    <w:rsid w:val="009429D4"/>
    <w:rsid w:val="00943D4D"/>
    <w:rsid w:val="00944464"/>
    <w:rsid w:val="00945BC4"/>
    <w:rsid w:val="009503FE"/>
    <w:rsid w:val="009508AB"/>
    <w:rsid w:val="00951EAB"/>
    <w:rsid w:val="0095255D"/>
    <w:rsid w:val="0095291D"/>
    <w:rsid w:val="0095338E"/>
    <w:rsid w:val="00954778"/>
    <w:rsid w:val="0095687B"/>
    <w:rsid w:val="00957730"/>
    <w:rsid w:val="00960CDB"/>
    <w:rsid w:val="009624B8"/>
    <w:rsid w:val="00962E0E"/>
    <w:rsid w:val="00963B39"/>
    <w:rsid w:val="00964882"/>
    <w:rsid w:val="009648F1"/>
    <w:rsid w:val="00964C44"/>
    <w:rsid w:val="00964DFA"/>
    <w:rsid w:val="0096634B"/>
    <w:rsid w:val="00967C45"/>
    <w:rsid w:val="0097136D"/>
    <w:rsid w:val="009730AA"/>
    <w:rsid w:val="009737E6"/>
    <w:rsid w:val="0097492C"/>
    <w:rsid w:val="00974E2D"/>
    <w:rsid w:val="00975B13"/>
    <w:rsid w:val="00975DB5"/>
    <w:rsid w:val="0097616F"/>
    <w:rsid w:val="00976373"/>
    <w:rsid w:val="00976D27"/>
    <w:rsid w:val="00976DCD"/>
    <w:rsid w:val="00976F0D"/>
    <w:rsid w:val="0098066C"/>
    <w:rsid w:val="009812F2"/>
    <w:rsid w:val="009814B0"/>
    <w:rsid w:val="00981871"/>
    <w:rsid w:val="0098297B"/>
    <w:rsid w:val="00982DF1"/>
    <w:rsid w:val="00984181"/>
    <w:rsid w:val="00984C42"/>
    <w:rsid w:val="00985176"/>
    <w:rsid w:val="0098571F"/>
    <w:rsid w:val="0098671D"/>
    <w:rsid w:val="00986F36"/>
    <w:rsid w:val="00987780"/>
    <w:rsid w:val="0099005D"/>
    <w:rsid w:val="00992016"/>
    <w:rsid w:val="00992B0D"/>
    <w:rsid w:val="0099386A"/>
    <w:rsid w:val="009949C6"/>
    <w:rsid w:val="009966BD"/>
    <w:rsid w:val="009969E0"/>
    <w:rsid w:val="00996B5C"/>
    <w:rsid w:val="00996DE5"/>
    <w:rsid w:val="00997136"/>
    <w:rsid w:val="00997563"/>
    <w:rsid w:val="009976DC"/>
    <w:rsid w:val="009A0513"/>
    <w:rsid w:val="009A0545"/>
    <w:rsid w:val="009A0B4E"/>
    <w:rsid w:val="009A1EC2"/>
    <w:rsid w:val="009A26C9"/>
    <w:rsid w:val="009A36AF"/>
    <w:rsid w:val="009A3800"/>
    <w:rsid w:val="009A3B6D"/>
    <w:rsid w:val="009A3E97"/>
    <w:rsid w:val="009A591E"/>
    <w:rsid w:val="009A77E7"/>
    <w:rsid w:val="009B1B5C"/>
    <w:rsid w:val="009B306D"/>
    <w:rsid w:val="009B5983"/>
    <w:rsid w:val="009B7145"/>
    <w:rsid w:val="009B7B65"/>
    <w:rsid w:val="009C052D"/>
    <w:rsid w:val="009C09A0"/>
    <w:rsid w:val="009C0FCE"/>
    <w:rsid w:val="009C2135"/>
    <w:rsid w:val="009C323D"/>
    <w:rsid w:val="009C36F1"/>
    <w:rsid w:val="009C3A19"/>
    <w:rsid w:val="009C3B51"/>
    <w:rsid w:val="009C3E3C"/>
    <w:rsid w:val="009C401F"/>
    <w:rsid w:val="009C4F54"/>
    <w:rsid w:val="009C5271"/>
    <w:rsid w:val="009C63A4"/>
    <w:rsid w:val="009C63D5"/>
    <w:rsid w:val="009C6B5F"/>
    <w:rsid w:val="009C787C"/>
    <w:rsid w:val="009C7E6D"/>
    <w:rsid w:val="009C7FC6"/>
    <w:rsid w:val="009D03B4"/>
    <w:rsid w:val="009D161A"/>
    <w:rsid w:val="009D1693"/>
    <w:rsid w:val="009D1BCC"/>
    <w:rsid w:val="009D22DC"/>
    <w:rsid w:val="009D3092"/>
    <w:rsid w:val="009D3192"/>
    <w:rsid w:val="009D3D26"/>
    <w:rsid w:val="009D4AB7"/>
    <w:rsid w:val="009D5302"/>
    <w:rsid w:val="009D62F3"/>
    <w:rsid w:val="009D6C37"/>
    <w:rsid w:val="009D754F"/>
    <w:rsid w:val="009E1896"/>
    <w:rsid w:val="009E1980"/>
    <w:rsid w:val="009E1ACC"/>
    <w:rsid w:val="009E2833"/>
    <w:rsid w:val="009E28D8"/>
    <w:rsid w:val="009E2BB3"/>
    <w:rsid w:val="009E2CF3"/>
    <w:rsid w:val="009E325E"/>
    <w:rsid w:val="009E3484"/>
    <w:rsid w:val="009E3F4C"/>
    <w:rsid w:val="009E4B9F"/>
    <w:rsid w:val="009E569F"/>
    <w:rsid w:val="009E5FDA"/>
    <w:rsid w:val="009E62CB"/>
    <w:rsid w:val="009E646F"/>
    <w:rsid w:val="009E776E"/>
    <w:rsid w:val="009E7F1B"/>
    <w:rsid w:val="009F1760"/>
    <w:rsid w:val="009F195D"/>
    <w:rsid w:val="009F1FD0"/>
    <w:rsid w:val="009F3D1C"/>
    <w:rsid w:val="009F4396"/>
    <w:rsid w:val="009F5BAA"/>
    <w:rsid w:val="009F5D93"/>
    <w:rsid w:val="009F6F14"/>
    <w:rsid w:val="009F7433"/>
    <w:rsid w:val="00A00F3C"/>
    <w:rsid w:val="00A0144A"/>
    <w:rsid w:val="00A02844"/>
    <w:rsid w:val="00A034F2"/>
    <w:rsid w:val="00A042CC"/>
    <w:rsid w:val="00A0552D"/>
    <w:rsid w:val="00A06BF5"/>
    <w:rsid w:val="00A076B8"/>
    <w:rsid w:val="00A07981"/>
    <w:rsid w:val="00A07E9C"/>
    <w:rsid w:val="00A11066"/>
    <w:rsid w:val="00A1196D"/>
    <w:rsid w:val="00A11A36"/>
    <w:rsid w:val="00A11C5C"/>
    <w:rsid w:val="00A122F8"/>
    <w:rsid w:val="00A1243E"/>
    <w:rsid w:val="00A12914"/>
    <w:rsid w:val="00A129B3"/>
    <w:rsid w:val="00A12EEB"/>
    <w:rsid w:val="00A13024"/>
    <w:rsid w:val="00A14173"/>
    <w:rsid w:val="00A167B8"/>
    <w:rsid w:val="00A17060"/>
    <w:rsid w:val="00A177FD"/>
    <w:rsid w:val="00A17ED7"/>
    <w:rsid w:val="00A20492"/>
    <w:rsid w:val="00A20A1B"/>
    <w:rsid w:val="00A21600"/>
    <w:rsid w:val="00A2185E"/>
    <w:rsid w:val="00A21919"/>
    <w:rsid w:val="00A24C31"/>
    <w:rsid w:val="00A26381"/>
    <w:rsid w:val="00A315B3"/>
    <w:rsid w:val="00A31C08"/>
    <w:rsid w:val="00A32889"/>
    <w:rsid w:val="00A331C2"/>
    <w:rsid w:val="00A34381"/>
    <w:rsid w:val="00A36A40"/>
    <w:rsid w:val="00A36D42"/>
    <w:rsid w:val="00A414A1"/>
    <w:rsid w:val="00A41BC0"/>
    <w:rsid w:val="00A42274"/>
    <w:rsid w:val="00A42488"/>
    <w:rsid w:val="00A42893"/>
    <w:rsid w:val="00A42906"/>
    <w:rsid w:val="00A42C45"/>
    <w:rsid w:val="00A42C88"/>
    <w:rsid w:val="00A43E5D"/>
    <w:rsid w:val="00A44644"/>
    <w:rsid w:val="00A4465A"/>
    <w:rsid w:val="00A44BBF"/>
    <w:rsid w:val="00A45490"/>
    <w:rsid w:val="00A4666B"/>
    <w:rsid w:val="00A4723D"/>
    <w:rsid w:val="00A47250"/>
    <w:rsid w:val="00A5180C"/>
    <w:rsid w:val="00A521EE"/>
    <w:rsid w:val="00A53D0D"/>
    <w:rsid w:val="00A5427C"/>
    <w:rsid w:val="00A542C3"/>
    <w:rsid w:val="00A57CEA"/>
    <w:rsid w:val="00A603C3"/>
    <w:rsid w:val="00A60551"/>
    <w:rsid w:val="00A60EB7"/>
    <w:rsid w:val="00A61267"/>
    <w:rsid w:val="00A6298D"/>
    <w:rsid w:val="00A62F4D"/>
    <w:rsid w:val="00A63829"/>
    <w:rsid w:val="00A63EA8"/>
    <w:rsid w:val="00A64250"/>
    <w:rsid w:val="00A6453B"/>
    <w:rsid w:val="00A64FD8"/>
    <w:rsid w:val="00A6550F"/>
    <w:rsid w:val="00A66E8E"/>
    <w:rsid w:val="00A67616"/>
    <w:rsid w:val="00A67C97"/>
    <w:rsid w:val="00A711F9"/>
    <w:rsid w:val="00A71783"/>
    <w:rsid w:val="00A719FE"/>
    <w:rsid w:val="00A7390D"/>
    <w:rsid w:val="00A74937"/>
    <w:rsid w:val="00A75B8E"/>
    <w:rsid w:val="00A76522"/>
    <w:rsid w:val="00A80111"/>
    <w:rsid w:val="00A8177E"/>
    <w:rsid w:val="00A819B6"/>
    <w:rsid w:val="00A81DF8"/>
    <w:rsid w:val="00A82B55"/>
    <w:rsid w:val="00A83F39"/>
    <w:rsid w:val="00A84210"/>
    <w:rsid w:val="00A8500C"/>
    <w:rsid w:val="00A85465"/>
    <w:rsid w:val="00A866AE"/>
    <w:rsid w:val="00A878A5"/>
    <w:rsid w:val="00A87B87"/>
    <w:rsid w:val="00A87D38"/>
    <w:rsid w:val="00A917DF"/>
    <w:rsid w:val="00A92225"/>
    <w:rsid w:val="00A93184"/>
    <w:rsid w:val="00A932D4"/>
    <w:rsid w:val="00A9381F"/>
    <w:rsid w:val="00A958D5"/>
    <w:rsid w:val="00A95B9A"/>
    <w:rsid w:val="00A95CB4"/>
    <w:rsid w:val="00A960DD"/>
    <w:rsid w:val="00A965B0"/>
    <w:rsid w:val="00A97227"/>
    <w:rsid w:val="00A976E6"/>
    <w:rsid w:val="00AA00D8"/>
    <w:rsid w:val="00AA1799"/>
    <w:rsid w:val="00AA2B8D"/>
    <w:rsid w:val="00AA32DA"/>
    <w:rsid w:val="00AA3353"/>
    <w:rsid w:val="00AA34D1"/>
    <w:rsid w:val="00AA45A4"/>
    <w:rsid w:val="00AA4712"/>
    <w:rsid w:val="00AA4FAB"/>
    <w:rsid w:val="00AA65F4"/>
    <w:rsid w:val="00AA68C2"/>
    <w:rsid w:val="00AA7A71"/>
    <w:rsid w:val="00AB01B3"/>
    <w:rsid w:val="00AB1B2B"/>
    <w:rsid w:val="00AB43EE"/>
    <w:rsid w:val="00AB4F07"/>
    <w:rsid w:val="00AB5121"/>
    <w:rsid w:val="00AB51EA"/>
    <w:rsid w:val="00AB6F0C"/>
    <w:rsid w:val="00AB7494"/>
    <w:rsid w:val="00AC0AF9"/>
    <w:rsid w:val="00AC1EC5"/>
    <w:rsid w:val="00AC31A4"/>
    <w:rsid w:val="00AC3E23"/>
    <w:rsid w:val="00AC4AC4"/>
    <w:rsid w:val="00AC6FC9"/>
    <w:rsid w:val="00AC7F40"/>
    <w:rsid w:val="00AC7FDF"/>
    <w:rsid w:val="00AD0544"/>
    <w:rsid w:val="00AD061A"/>
    <w:rsid w:val="00AD1C15"/>
    <w:rsid w:val="00AD34B6"/>
    <w:rsid w:val="00AD35F0"/>
    <w:rsid w:val="00AD3709"/>
    <w:rsid w:val="00AD3C9F"/>
    <w:rsid w:val="00AD611E"/>
    <w:rsid w:val="00AD78AE"/>
    <w:rsid w:val="00AE044C"/>
    <w:rsid w:val="00AE04FE"/>
    <w:rsid w:val="00AE06C5"/>
    <w:rsid w:val="00AE099A"/>
    <w:rsid w:val="00AE154F"/>
    <w:rsid w:val="00AE18E1"/>
    <w:rsid w:val="00AE1EE1"/>
    <w:rsid w:val="00AE207E"/>
    <w:rsid w:val="00AE2782"/>
    <w:rsid w:val="00AE2C20"/>
    <w:rsid w:val="00AE3DAE"/>
    <w:rsid w:val="00AE412E"/>
    <w:rsid w:val="00AE54A4"/>
    <w:rsid w:val="00AE56AF"/>
    <w:rsid w:val="00AE5E46"/>
    <w:rsid w:val="00AE7AE2"/>
    <w:rsid w:val="00AF05EC"/>
    <w:rsid w:val="00AF252E"/>
    <w:rsid w:val="00AF2663"/>
    <w:rsid w:val="00AF2AE0"/>
    <w:rsid w:val="00AF399D"/>
    <w:rsid w:val="00AF3D6B"/>
    <w:rsid w:val="00AF3D85"/>
    <w:rsid w:val="00AF4917"/>
    <w:rsid w:val="00AF4DC9"/>
    <w:rsid w:val="00AF56AC"/>
    <w:rsid w:val="00AF6292"/>
    <w:rsid w:val="00AF680F"/>
    <w:rsid w:val="00AF6DF0"/>
    <w:rsid w:val="00B00514"/>
    <w:rsid w:val="00B00C04"/>
    <w:rsid w:val="00B01C2D"/>
    <w:rsid w:val="00B01FAF"/>
    <w:rsid w:val="00B04260"/>
    <w:rsid w:val="00B04A4E"/>
    <w:rsid w:val="00B04F67"/>
    <w:rsid w:val="00B0511A"/>
    <w:rsid w:val="00B05AB4"/>
    <w:rsid w:val="00B05D39"/>
    <w:rsid w:val="00B07473"/>
    <w:rsid w:val="00B100BE"/>
    <w:rsid w:val="00B107E2"/>
    <w:rsid w:val="00B11284"/>
    <w:rsid w:val="00B11F80"/>
    <w:rsid w:val="00B13873"/>
    <w:rsid w:val="00B13A6B"/>
    <w:rsid w:val="00B14386"/>
    <w:rsid w:val="00B14FF9"/>
    <w:rsid w:val="00B15046"/>
    <w:rsid w:val="00B15508"/>
    <w:rsid w:val="00B15D9A"/>
    <w:rsid w:val="00B16021"/>
    <w:rsid w:val="00B160F4"/>
    <w:rsid w:val="00B1684F"/>
    <w:rsid w:val="00B1722F"/>
    <w:rsid w:val="00B178AF"/>
    <w:rsid w:val="00B17CCB"/>
    <w:rsid w:val="00B207AC"/>
    <w:rsid w:val="00B20D36"/>
    <w:rsid w:val="00B21512"/>
    <w:rsid w:val="00B215A0"/>
    <w:rsid w:val="00B21FA2"/>
    <w:rsid w:val="00B22183"/>
    <w:rsid w:val="00B235FF"/>
    <w:rsid w:val="00B24486"/>
    <w:rsid w:val="00B24846"/>
    <w:rsid w:val="00B24957"/>
    <w:rsid w:val="00B252B4"/>
    <w:rsid w:val="00B26963"/>
    <w:rsid w:val="00B26AA4"/>
    <w:rsid w:val="00B30BDA"/>
    <w:rsid w:val="00B30C98"/>
    <w:rsid w:val="00B319C3"/>
    <w:rsid w:val="00B31CBF"/>
    <w:rsid w:val="00B32AE8"/>
    <w:rsid w:val="00B3323A"/>
    <w:rsid w:val="00B335B6"/>
    <w:rsid w:val="00B335E7"/>
    <w:rsid w:val="00B34ECD"/>
    <w:rsid w:val="00B36696"/>
    <w:rsid w:val="00B418D6"/>
    <w:rsid w:val="00B42DEC"/>
    <w:rsid w:val="00B446F9"/>
    <w:rsid w:val="00B46D45"/>
    <w:rsid w:val="00B50382"/>
    <w:rsid w:val="00B512A3"/>
    <w:rsid w:val="00B51F04"/>
    <w:rsid w:val="00B53331"/>
    <w:rsid w:val="00B54323"/>
    <w:rsid w:val="00B54CC2"/>
    <w:rsid w:val="00B559B2"/>
    <w:rsid w:val="00B565D4"/>
    <w:rsid w:val="00B56BAF"/>
    <w:rsid w:val="00B56D2F"/>
    <w:rsid w:val="00B56DA8"/>
    <w:rsid w:val="00B5773A"/>
    <w:rsid w:val="00B57BF8"/>
    <w:rsid w:val="00B60E51"/>
    <w:rsid w:val="00B62E25"/>
    <w:rsid w:val="00B634AB"/>
    <w:rsid w:val="00B634FD"/>
    <w:rsid w:val="00B63F7F"/>
    <w:rsid w:val="00B64208"/>
    <w:rsid w:val="00B64D25"/>
    <w:rsid w:val="00B6537F"/>
    <w:rsid w:val="00B65433"/>
    <w:rsid w:val="00B65D0C"/>
    <w:rsid w:val="00B65DEE"/>
    <w:rsid w:val="00B673D7"/>
    <w:rsid w:val="00B712DB"/>
    <w:rsid w:val="00B71571"/>
    <w:rsid w:val="00B715B1"/>
    <w:rsid w:val="00B71A8E"/>
    <w:rsid w:val="00B72C80"/>
    <w:rsid w:val="00B7619E"/>
    <w:rsid w:val="00B77677"/>
    <w:rsid w:val="00B7782A"/>
    <w:rsid w:val="00B77BF3"/>
    <w:rsid w:val="00B77FD1"/>
    <w:rsid w:val="00B81F12"/>
    <w:rsid w:val="00B83257"/>
    <w:rsid w:val="00B8381D"/>
    <w:rsid w:val="00B84964"/>
    <w:rsid w:val="00B849F3"/>
    <w:rsid w:val="00B85F87"/>
    <w:rsid w:val="00B904BC"/>
    <w:rsid w:val="00B9092D"/>
    <w:rsid w:val="00B91527"/>
    <w:rsid w:val="00B92470"/>
    <w:rsid w:val="00B929D1"/>
    <w:rsid w:val="00B93A20"/>
    <w:rsid w:val="00B93AC6"/>
    <w:rsid w:val="00B95349"/>
    <w:rsid w:val="00B955C0"/>
    <w:rsid w:val="00B956D4"/>
    <w:rsid w:val="00B95B9C"/>
    <w:rsid w:val="00B961E2"/>
    <w:rsid w:val="00B96F73"/>
    <w:rsid w:val="00BA0067"/>
    <w:rsid w:val="00BA00A1"/>
    <w:rsid w:val="00BA0AD1"/>
    <w:rsid w:val="00BA0F9A"/>
    <w:rsid w:val="00BA2179"/>
    <w:rsid w:val="00BA40D8"/>
    <w:rsid w:val="00BA6110"/>
    <w:rsid w:val="00BA65AC"/>
    <w:rsid w:val="00BB11E3"/>
    <w:rsid w:val="00BB23E5"/>
    <w:rsid w:val="00BB2985"/>
    <w:rsid w:val="00BB3208"/>
    <w:rsid w:val="00BB3852"/>
    <w:rsid w:val="00BB3F24"/>
    <w:rsid w:val="00BB7861"/>
    <w:rsid w:val="00BC0A20"/>
    <w:rsid w:val="00BC1669"/>
    <w:rsid w:val="00BC21A0"/>
    <w:rsid w:val="00BC237A"/>
    <w:rsid w:val="00BC4EF3"/>
    <w:rsid w:val="00BC77C0"/>
    <w:rsid w:val="00BD0B25"/>
    <w:rsid w:val="00BD185A"/>
    <w:rsid w:val="00BD234D"/>
    <w:rsid w:val="00BD2561"/>
    <w:rsid w:val="00BD5D48"/>
    <w:rsid w:val="00BD5DCD"/>
    <w:rsid w:val="00BD616D"/>
    <w:rsid w:val="00BD6B91"/>
    <w:rsid w:val="00BD6C4D"/>
    <w:rsid w:val="00BD7BB3"/>
    <w:rsid w:val="00BE0997"/>
    <w:rsid w:val="00BE1907"/>
    <w:rsid w:val="00BE1A97"/>
    <w:rsid w:val="00BE1B1D"/>
    <w:rsid w:val="00BE3AF3"/>
    <w:rsid w:val="00BE485B"/>
    <w:rsid w:val="00BE600B"/>
    <w:rsid w:val="00BE6A74"/>
    <w:rsid w:val="00BE7351"/>
    <w:rsid w:val="00BE7D08"/>
    <w:rsid w:val="00BF0840"/>
    <w:rsid w:val="00BF0DFF"/>
    <w:rsid w:val="00BF22B8"/>
    <w:rsid w:val="00BF2603"/>
    <w:rsid w:val="00BF2C42"/>
    <w:rsid w:val="00BF33BE"/>
    <w:rsid w:val="00BF51CE"/>
    <w:rsid w:val="00BF5AF1"/>
    <w:rsid w:val="00BF6541"/>
    <w:rsid w:val="00C00F3C"/>
    <w:rsid w:val="00C01A0D"/>
    <w:rsid w:val="00C028D9"/>
    <w:rsid w:val="00C036E4"/>
    <w:rsid w:val="00C038B8"/>
    <w:rsid w:val="00C03B35"/>
    <w:rsid w:val="00C06574"/>
    <w:rsid w:val="00C06F31"/>
    <w:rsid w:val="00C0787C"/>
    <w:rsid w:val="00C07D87"/>
    <w:rsid w:val="00C100E2"/>
    <w:rsid w:val="00C1111B"/>
    <w:rsid w:val="00C11EE9"/>
    <w:rsid w:val="00C12670"/>
    <w:rsid w:val="00C12B8C"/>
    <w:rsid w:val="00C14308"/>
    <w:rsid w:val="00C155D9"/>
    <w:rsid w:val="00C167EF"/>
    <w:rsid w:val="00C21096"/>
    <w:rsid w:val="00C21217"/>
    <w:rsid w:val="00C216C8"/>
    <w:rsid w:val="00C21A39"/>
    <w:rsid w:val="00C21A66"/>
    <w:rsid w:val="00C2211D"/>
    <w:rsid w:val="00C2344F"/>
    <w:rsid w:val="00C246F2"/>
    <w:rsid w:val="00C26707"/>
    <w:rsid w:val="00C267FE"/>
    <w:rsid w:val="00C27719"/>
    <w:rsid w:val="00C31BCD"/>
    <w:rsid w:val="00C320EB"/>
    <w:rsid w:val="00C32F7B"/>
    <w:rsid w:val="00C33845"/>
    <w:rsid w:val="00C34605"/>
    <w:rsid w:val="00C3513F"/>
    <w:rsid w:val="00C355AA"/>
    <w:rsid w:val="00C36223"/>
    <w:rsid w:val="00C3628B"/>
    <w:rsid w:val="00C365AC"/>
    <w:rsid w:val="00C37140"/>
    <w:rsid w:val="00C40725"/>
    <w:rsid w:val="00C4207E"/>
    <w:rsid w:val="00C451A3"/>
    <w:rsid w:val="00C456AC"/>
    <w:rsid w:val="00C4577E"/>
    <w:rsid w:val="00C50C8F"/>
    <w:rsid w:val="00C50D41"/>
    <w:rsid w:val="00C50F77"/>
    <w:rsid w:val="00C51156"/>
    <w:rsid w:val="00C514CB"/>
    <w:rsid w:val="00C52773"/>
    <w:rsid w:val="00C5323A"/>
    <w:rsid w:val="00C53FD7"/>
    <w:rsid w:val="00C544F3"/>
    <w:rsid w:val="00C54B6D"/>
    <w:rsid w:val="00C55C61"/>
    <w:rsid w:val="00C56718"/>
    <w:rsid w:val="00C56B27"/>
    <w:rsid w:val="00C56C1F"/>
    <w:rsid w:val="00C57047"/>
    <w:rsid w:val="00C57F28"/>
    <w:rsid w:val="00C64F44"/>
    <w:rsid w:val="00C650ED"/>
    <w:rsid w:val="00C65132"/>
    <w:rsid w:val="00C65F6A"/>
    <w:rsid w:val="00C6775D"/>
    <w:rsid w:val="00C67F3E"/>
    <w:rsid w:val="00C704C8"/>
    <w:rsid w:val="00C70CD5"/>
    <w:rsid w:val="00C70E5F"/>
    <w:rsid w:val="00C71181"/>
    <w:rsid w:val="00C7216F"/>
    <w:rsid w:val="00C721D0"/>
    <w:rsid w:val="00C728FB"/>
    <w:rsid w:val="00C730E4"/>
    <w:rsid w:val="00C73289"/>
    <w:rsid w:val="00C73BB8"/>
    <w:rsid w:val="00C74B26"/>
    <w:rsid w:val="00C74C3B"/>
    <w:rsid w:val="00C74CC5"/>
    <w:rsid w:val="00C7525B"/>
    <w:rsid w:val="00C76B48"/>
    <w:rsid w:val="00C76CC4"/>
    <w:rsid w:val="00C77815"/>
    <w:rsid w:val="00C80FC8"/>
    <w:rsid w:val="00C816A7"/>
    <w:rsid w:val="00C8200E"/>
    <w:rsid w:val="00C823C5"/>
    <w:rsid w:val="00C827DF"/>
    <w:rsid w:val="00C82C03"/>
    <w:rsid w:val="00C82D42"/>
    <w:rsid w:val="00C8322A"/>
    <w:rsid w:val="00C83583"/>
    <w:rsid w:val="00C844BE"/>
    <w:rsid w:val="00C84B12"/>
    <w:rsid w:val="00C85AB6"/>
    <w:rsid w:val="00C869BC"/>
    <w:rsid w:val="00C8737E"/>
    <w:rsid w:val="00C90444"/>
    <w:rsid w:val="00C9243B"/>
    <w:rsid w:val="00C92E7F"/>
    <w:rsid w:val="00C945F9"/>
    <w:rsid w:val="00C953C0"/>
    <w:rsid w:val="00C95BFB"/>
    <w:rsid w:val="00C96E5A"/>
    <w:rsid w:val="00C97AC3"/>
    <w:rsid w:val="00C97ACC"/>
    <w:rsid w:val="00CA181F"/>
    <w:rsid w:val="00CA22C7"/>
    <w:rsid w:val="00CA2A54"/>
    <w:rsid w:val="00CA3219"/>
    <w:rsid w:val="00CA5298"/>
    <w:rsid w:val="00CA536B"/>
    <w:rsid w:val="00CB006D"/>
    <w:rsid w:val="00CB01EB"/>
    <w:rsid w:val="00CB02A6"/>
    <w:rsid w:val="00CB0DFA"/>
    <w:rsid w:val="00CB1D66"/>
    <w:rsid w:val="00CB250C"/>
    <w:rsid w:val="00CB256B"/>
    <w:rsid w:val="00CB2E4A"/>
    <w:rsid w:val="00CB34D5"/>
    <w:rsid w:val="00CB475D"/>
    <w:rsid w:val="00CB4C5A"/>
    <w:rsid w:val="00CB62D9"/>
    <w:rsid w:val="00CB6CB0"/>
    <w:rsid w:val="00CB70E6"/>
    <w:rsid w:val="00CC134C"/>
    <w:rsid w:val="00CC191B"/>
    <w:rsid w:val="00CC36F9"/>
    <w:rsid w:val="00CC3E8F"/>
    <w:rsid w:val="00CC64CE"/>
    <w:rsid w:val="00CD08E7"/>
    <w:rsid w:val="00CD0BA2"/>
    <w:rsid w:val="00CD18DE"/>
    <w:rsid w:val="00CD39C9"/>
    <w:rsid w:val="00CD43B7"/>
    <w:rsid w:val="00CD4FD5"/>
    <w:rsid w:val="00CD5F98"/>
    <w:rsid w:val="00CD643B"/>
    <w:rsid w:val="00CD716F"/>
    <w:rsid w:val="00CD75D6"/>
    <w:rsid w:val="00CD7B7F"/>
    <w:rsid w:val="00CE0D42"/>
    <w:rsid w:val="00CE0FDC"/>
    <w:rsid w:val="00CE19D1"/>
    <w:rsid w:val="00CE23EF"/>
    <w:rsid w:val="00CE3108"/>
    <w:rsid w:val="00CE313F"/>
    <w:rsid w:val="00CE6197"/>
    <w:rsid w:val="00CE6490"/>
    <w:rsid w:val="00CE6BEE"/>
    <w:rsid w:val="00CE702E"/>
    <w:rsid w:val="00CE7723"/>
    <w:rsid w:val="00CF088A"/>
    <w:rsid w:val="00CF0B88"/>
    <w:rsid w:val="00CF0EEB"/>
    <w:rsid w:val="00CF1AEC"/>
    <w:rsid w:val="00CF2153"/>
    <w:rsid w:val="00CF38F2"/>
    <w:rsid w:val="00CF5CD7"/>
    <w:rsid w:val="00CF6FF9"/>
    <w:rsid w:val="00CF79DF"/>
    <w:rsid w:val="00CF7C93"/>
    <w:rsid w:val="00D00702"/>
    <w:rsid w:val="00D01553"/>
    <w:rsid w:val="00D01E61"/>
    <w:rsid w:val="00D01FDE"/>
    <w:rsid w:val="00D0222E"/>
    <w:rsid w:val="00D02296"/>
    <w:rsid w:val="00D026A9"/>
    <w:rsid w:val="00D02B99"/>
    <w:rsid w:val="00D0306C"/>
    <w:rsid w:val="00D034FA"/>
    <w:rsid w:val="00D06027"/>
    <w:rsid w:val="00D06561"/>
    <w:rsid w:val="00D0751A"/>
    <w:rsid w:val="00D078F8"/>
    <w:rsid w:val="00D07D25"/>
    <w:rsid w:val="00D10714"/>
    <w:rsid w:val="00D110F0"/>
    <w:rsid w:val="00D116BA"/>
    <w:rsid w:val="00D11BAD"/>
    <w:rsid w:val="00D120B7"/>
    <w:rsid w:val="00D12852"/>
    <w:rsid w:val="00D13010"/>
    <w:rsid w:val="00D133F0"/>
    <w:rsid w:val="00D140A2"/>
    <w:rsid w:val="00D143ED"/>
    <w:rsid w:val="00D16C5A"/>
    <w:rsid w:val="00D16DAA"/>
    <w:rsid w:val="00D17E12"/>
    <w:rsid w:val="00D20033"/>
    <w:rsid w:val="00D20AA8"/>
    <w:rsid w:val="00D20DF8"/>
    <w:rsid w:val="00D20F59"/>
    <w:rsid w:val="00D21213"/>
    <w:rsid w:val="00D217A3"/>
    <w:rsid w:val="00D21B84"/>
    <w:rsid w:val="00D22983"/>
    <w:rsid w:val="00D25359"/>
    <w:rsid w:val="00D25465"/>
    <w:rsid w:val="00D2570A"/>
    <w:rsid w:val="00D25E7D"/>
    <w:rsid w:val="00D261EA"/>
    <w:rsid w:val="00D26D6A"/>
    <w:rsid w:val="00D26FD7"/>
    <w:rsid w:val="00D27732"/>
    <w:rsid w:val="00D27842"/>
    <w:rsid w:val="00D3052A"/>
    <w:rsid w:val="00D30628"/>
    <w:rsid w:val="00D30CEE"/>
    <w:rsid w:val="00D31D6C"/>
    <w:rsid w:val="00D32211"/>
    <w:rsid w:val="00D3271D"/>
    <w:rsid w:val="00D32B3D"/>
    <w:rsid w:val="00D33C8D"/>
    <w:rsid w:val="00D35B3B"/>
    <w:rsid w:val="00D35B80"/>
    <w:rsid w:val="00D3608D"/>
    <w:rsid w:val="00D36DBB"/>
    <w:rsid w:val="00D37148"/>
    <w:rsid w:val="00D37A00"/>
    <w:rsid w:val="00D40860"/>
    <w:rsid w:val="00D4151C"/>
    <w:rsid w:val="00D41733"/>
    <w:rsid w:val="00D4280D"/>
    <w:rsid w:val="00D42B76"/>
    <w:rsid w:val="00D43787"/>
    <w:rsid w:val="00D447D8"/>
    <w:rsid w:val="00D447FF"/>
    <w:rsid w:val="00D450B5"/>
    <w:rsid w:val="00D45623"/>
    <w:rsid w:val="00D45765"/>
    <w:rsid w:val="00D45942"/>
    <w:rsid w:val="00D45968"/>
    <w:rsid w:val="00D46804"/>
    <w:rsid w:val="00D468AF"/>
    <w:rsid w:val="00D470FA"/>
    <w:rsid w:val="00D47F57"/>
    <w:rsid w:val="00D50983"/>
    <w:rsid w:val="00D521E7"/>
    <w:rsid w:val="00D53B35"/>
    <w:rsid w:val="00D54D37"/>
    <w:rsid w:val="00D5648F"/>
    <w:rsid w:val="00D568C8"/>
    <w:rsid w:val="00D56E3B"/>
    <w:rsid w:val="00D57CC2"/>
    <w:rsid w:val="00D60560"/>
    <w:rsid w:val="00D60C96"/>
    <w:rsid w:val="00D616EC"/>
    <w:rsid w:val="00D625B8"/>
    <w:rsid w:val="00D6315B"/>
    <w:rsid w:val="00D648BA"/>
    <w:rsid w:val="00D64F27"/>
    <w:rsid w:val="00D66709"/>
    <w:rsid w:val="00D66A4D"/>
    <w:rsid w:val="00D66D68"/>
    <w:rsid w:val="00D717E6"/>
    <w:rsid w:val="00D7230A"/>
    <w:rsid w:val="00D72312"/>
    <w:rsid w:val="00D724E1"/>
    <w:rsid w:val="00D73059"/>
    <w:rsid w:val="00D74160"/>
    <w:rsid w:val="00D75122"/>
    <w:rsid w:val="00D753B8"/>
    <w:rsid w:val="00D7602F"/>
    <w:rsid w:val="00D76A95"/>
    <w:rsid w:val="00D775BF"/>
    <w:rsid w:val="00D801E1"/>
    <w:rsid w:val="00D82515"/>
    <w:rsid w:val="00D82682"/>
    <w:rsid w:val="00D82E21"/>
    <w:rsid w:val="00D83434"/>
    <w:rsid w:val="00D840E2"/>
    <w:rsid w:val="00D846FE"/>
    <w:rsid w:val="00D860CB"/>
    <w:rsid w:val="00D864D6"/>
    <w:rsid w:val="00D87C68"/>
    <w:rsid w:val="00D90260"/>
    <w:rsid w:val="00D92783"/>
    <w:rsid w:val="00D92B70"/>
    <w:rsid w:val="00D92D3B"/>
    <w:rsid w:val="00D944E1"/>
    <w:rsid w:val="00D9456A"/>
    <w:rsid w:val="00D94B4E"/>
    <w:rsid w:val="00D94DBD"/>
    <w:rsid w:val="00D95628"/>
    <w:rsid w:val="00D96037"/>
    <w:rsid w:val="00D975F7"/>
    <w:rsid w:val="00D97B5E"/>
    <w:rsid w:val="00DA00BB"/>
    <w:rsid w:val="00DA167F"/>
    <w:rsid w:val="00DA2D40"/>
    <w:rsid w:val="00DA38F9"/>
    <w:rsid w:val="00DA54F3"/>
    <w:rsid w:val="00DA59E2"/>
    <w:rsid w:val="00DA6708"/>
    <w:rsid w:val="00DA776D"/>
    <w:rsid w:val="00DA7AAB"/>
    <w:rsid w:val="00DB0815"/>
    <w:rsid w:val="00DB1088"/>
    <w:rsid w:val="00DB1859"/>
    <w:rsid w:val="00DB47C3"/>
    <w:rsid w:val="00DB6676"/>
    <w:rsid w:val="00DB7472"/>
    <w:rsid w:val="00DC2ABE"/>
    <w:rsid w:val="00DC59DE"/>
    <w:rsid w:val="00DC6A54"/>
    <w:rsid w:val="00DC7217"/>
    <w:rsid w:val="00DC79BB"/>
    <w:rsid w:val="00DD0F9E"/>
    <w:rsid w:val="00DD11EB"/>
    <w:rsid w:val="00DD1B8B"/>
    <w:rsid w:val="00DD1F32"/>
    <w:rsid w:val="00DD23D6"/>
    <w:rsid w:val="00DD2614"/>
    <w:rsid w:val="00DD3194"/>
    <w:rsid w:val="00DD482E"/>
    <w:rsid w:val="00DD4855"/>
    <w:rsid w:val="00DD5439"/>
    <w:rsid w:val="00DD692A"/>
    <w:rsid w:val="00DD75C4"/>
    <w:rsid w:val="00DE0DCA"/>
    <w:rsid w:val="00DE1FBA"/>
    <w:rsid w:val="00DE39EE"/>
    <w:rsid w:val="00DE4550"/>
    <w:rsid w:val="00DE55DE"/>
    <w:rsid w:val="00DE5968"/>
    <w:rsid w:val="00DE61E6"/>
    <w:rsid w:val="00DE6A2A"/>
    <w:rsid w:val="00DF1227"/>
    <w:rsid w:val="00DF131F"/>
    <w:rsid w:val="00DF2695"/>
    <w:rsid w:val="00DF2C98"/>
    <w:rsid w:val="00DF36DD"/>
    <w:rsid w:val="00DF39F8"/>
    <w:rsid w:val="00DF77FD"/>
    <w:rsid w:val="00DF7AB6"/>
    <w:rsid w:val="00E00DCA"/>
    <w:rsid w:val="00E033B7"/>
    <w:rsid w:val="00E038DB"/>
    <w:rsid w:val="00E04FFB"/>
    <w:rsid w:val="00E05EEE"/>
    <w:rsid w:val="00E065DD"/>
    <w:rsid w:val="00E0695A"/>
    <w:rsid w:val="00E075A8"/>
    <w:rsid w:val="00E07CAF"/>
    <w:rsid w:val="00E07D5A"/>
    <w:rsid w:val="00E105EE"/>
    <w:rsid w:val="00E10D91"/>
    <w:rsid w:val="00E110AC"/>
    <w:rsid w:val="00E134FC"/>
    <w:rsid w:val="00E1436B"/>
    <w:rsid w:val="00E14F22"/>
    <w:rsid w:val="00E151BD"/>
    <w:rsid w:val="00E1647E"/>
    <w:rsid w:val="00E16607"/>
    <w:rsid w:val="00E16762"/>
    <w:rsid w:val="00E169E8"/>
    <w:rsid w:val="00E170FA"/>
    <w:rsid w:val="00E2020E"/>
    <w:rsid w:val="00E20A08"/>
    <w:rsid w:val="00E20D15"/>
    <w:rsid w:val="00E238A2"/>
    <w:rsid w:val="00E24E41"/>
    <w:rsid w:val="00E25A13"/>
    <w:rsid w:val="00E260BB"/>
    <w:rsid w:val="00E265B8"/>
    <w:rsid w:val="00E26F75"/>
    <w:rsid w:val="00E3064C"/>
    <w:rsid w:val="00E31594"/>
    <w:rsid w:val="00E33007"/>
    <w:rsid w:val="00E3361B"/>
    <w:rsid w:val="00E34483"/>
    <w:rsid w:val="00E3456D"/>
    <w:rsid w:val="00E34CD3"/>
    <w:rsid w:val="00E35D40"/>
    <w:rsid w:val="00E406B2"/>
    <w:rsid w:val="00E4190D"/>
    <w:rsid w:val="00E432E4"/>
    <w:rsid w:val="00E44987"/>
    <w:rsid w:val="00E44F34"/>
    <w:rsid w:val="00E45859"/>
    <w:rsid w:val="00E468CD"/>
    <w:rsid w:val="00E47666"/>
    <w:rsid w:val="00E47C2B"/>
    <w:rsid w:val="00E504E9"/>
    <w:rsid w:val="00E507A9"/>
    <w:rsid w:val="00E5253D"/>
    <w:rsid w:val="00E53860"/>
    <w:rsid w:val="00E554E7"/>
    <w:rsid w:val="00E5688C"/>
    <w:rsid w:val="00E57658"/>
    <w:rsid w:val="00E57C72"/>
    <w:rsid w:val="00E60AEE"/>
    <w:rsid w:val="00E60D5F"/>
    <w:rsid w:val="00E626F0"/>
    <w:rsid w:val="00E62AA7"/>
    <w:rsid w:val="00E64F7C"/>
    <w:rsid w:val="00E650F8"/>
    <w:rsid w:val="00E6547E"/>
    <w:rsid w:val="00E65E36"/>
    <w:rsid w:val="00E669A1"/>
    <w:rsid w:val="00E671EC"/>
    <w:rsid w:val="00E67625"/>
    <w:rsid w:val="00E67A94"/>
    <w:rsid w:val="00E700D9"/>
    <w:rsid w:val="00E7169B"/>
    <w:rsid w:val="00E75DA8"/>
    <w:rsid w:val="00E75FF6"/>
    <w:rsid w:val="00E763E6"/>
    <w:rsid w:val="00E77A6F"/>
    <w:rsid w:val="00E8390A"/>
    <w:rsid w:val="00E83A3B"/>
    <w:rsid w:val="00E84A9B"/>
    <w:rsid w:val="00E86BDD"/>
    <w:rsid w:val="00E901D7"/>
    <w:rsid w:val="00E91424"/>
    <w:rsid w:val="00E9172D"/>
    <w:rsid w:val="00E91BD8"/>
    <w:rsid w:val="00E922BE"/>
    <w:rsid w:val="00E9258D"/>
    <w:rsid w:val="00E9268E"/>
    <w:rsid w:val="00E92B00"/>
    <w:rsid w:val="00E9368B"/>
    <w:rsid w:val="00E945D5"/>
    <w:rsid w:val="00E94D9A"/>
    <w:rsid w:val="00E953FA"/>
    <w:rsid w:val="00E9577D"/>
    <w:rsid w:val="00E96EB1"/>
    <w:rsid w:val="00E9793B"/>
    <w:rsid w:val="00E97D0F"/>
    <w:rsid w:val="00E97E28"/>
    <w:rsid w:val="00EA0D8F"/>
    <w:rsid w:val="00EA34EF"/>
    <w:rsid w:val="00EA44D4"/>
    <w:rsid w:val="00EA484D"/>
    <w:rsid w:val="00EA4A96"/>
    <w:rsid w:val="00EA55FE"/>
    <w:rsid w:val="00EB1A14"/>
    <w:rsid w:val="00EB1C95"/>
    <w:rsid w:val="00EB3B0A"/>
    <w:rsid w:val="00EB3DAC"/>
    <w:rsid w:val="00EB4093"/>
    <w:rsid w:val="00EB4238"/>
    <w:rsid w:val="00EB46F3"/>
    <w:rsid w:val="00EB4958"/>
    <w:rsid w:val="00EB7DEE"/>
    <w:rsid w:val="00EC1371"/>
    <w:rsid w:val="00EC2445"/>
    <w:rsid w:val="00EC33B2"/>
    <w:rsid w:val="00EC3647"/>
    <w:rsid w:val="00EC3796"/>
    <w:rsid w:val="00EC41A4"/>
    <w:rsid w:val="00EC4369"/>
    <w:rsid w:val="00EC5D78"/>
    <w:rsid w:val="00EC63CC"/>
    <w:rsid w:val="00EC6563"/>
    <w:rsid w:val="00EC716A"/>
    <w:rsid w:val="00EC7294"/>
    <w:rsid w:val="00EC7555"/>
    <w:rsid w:val="00EC7728"/>
    <w:rsid w:val="00ED0109"/>
    <w:rsid w:val="00ED0680"/>
    <w:rsid w:val="00ED10A6"/>
    <w:rsid w:val="00ED27B9"/>
    <w:rsid w:val="00ED2905"/>
    <w:rsid w:val="00ED30C9"/>
    <w:rsid w:val="00ED3D65"/>
    <w:rsid w:val="00ED48AA"/>
    <w:rsid w:val="00ED522A"/>
    <w:rsid w:val="00ED5D66"/>
    <w:rsid w:val="00ED6A1D"/>
    <w:rsid w:val="00ED7E7A"/>
    <w:rsid w:val="00EE0B8C"/>
    <w:rsid w:val="00EE0D8C"/>
    <w:rsid w:val="00EE101F"/>
    <w:rsid w:val="00EE149D"/>
    <w:rsid w:val="00EE172B"/>
    <w:rsid w:val="00EE2319"/>
    <w:rsid w:val="00EE37A4"/>
    <w:rsid w:val="00EE3F56"/>
    <w:rsid w:val="00EE4BB2"/>
    <w:rsid w:val="00EE560A"/>
    <w:rsid w:val="00EE5865"/>
    <w:rsid w:val="00EE6B47"/>
    <w:rsid w:val="00EE733B"/>
    <w:rsid w:val="00EE7B6D"/>
    <w:rsid w:val="00EF0C1F"/>
    <w:rsid w:val="00EF13A5"/>
    <w:rsid w:val="00EF1724"/>
    <w:rsid w:val="00EF1AA9"/>
    <w:rsid w:val="00EF1B4E"/>
    <w:rsid w:val="00EF1CC2"/>
    <w:rsid w:val="00EF3963"/>
    <w:rsid w:val="00EF5079"/>
    <w:rsid w:val="00EF5605"/>
    <w:rsid w:val="00EF7A77"/>
    <w:rsid w:val="00EF7DE3"/>
    <w:rsid w:val="00F006C9"/>
    <w:rsid w:val="00F02F54"/>
    <w:rsid w:val="00F03638"/>
    <w:rsid w:val="00F039ED"/>
    <w:rsid w:val="00F03F16"/>
    <w:rsid w:val="00F05E4B"/>
    <w:rsid w:val="00F06206"/>
    <w:rsid w:val="00F0620D"/>
    <w:rsid w:val="00F07ECC"/>
    <w:rsid w:val="00F10116"/>
    <w:rsid w:val="00F10186"/>
    <w:rsid w:val="00F11B23"/>
    <w:rsid w:val="00F12383"/>
    <w:rsid w:val="00F1344F"/>
    <w:rsid w:val="00F13850"/>
    <w:rsid w:val="00F13A34"/>
    <w:rsid w:val="00F146CB"/>
    <w:rsid w:val="00F14B1E"/>
    <w:rsid w:val="00F14F0E"/>
    <w:rsid w:val="00F15CAB"/>
    <w:rsid w:val="00F15D92"/>
    <w:rsid w:val="00F179A3"/>
    <w:rsid w:val="00F17AC7"/>
    <w:rsid w:val="00F17EB7"/>
    <w:rsid w:val="00F21559"/>
    <w:rsid w:val="00F220EF"/>
    <w:rsid w:val="00F2298C"/>
    <w:rsid w:val="00F22C56"/>
    <w:rsid w:val="00F23643"/>
    <w:rsid w:val="00F24CF2"/>
    <w:rsid w:val="00F25235"/>
    <w:rsid w:val="00F254F6"/>
    <w:rsid w:val="00F259BD"/>
    <w:rsid w:val="00F25A41"/>
    <w:rsid w:val="00F3022D"/>
    <w:rsid w:val="00F30708"/>
    <w:rsid w:val="00F31B14"/>
    <w:rsid w:val="00F31B3B"/>
    <w:rsid w:val="00F31E35"/>
    <w:rsid w:val="00F3228A"/>
    <w:rsid w:val="00F3395E"/>
    <w:rsid w:val="00F33A72"/>
    <w:rsid w:val="00F3415D"/>
    <w:rsid w:val="00F341C1"/>
    <w:rsid w:val="00F34F39"/>
    <w:rsid w:val="00F35BA6"/>
    <w:rsid w:val="00F35E97"/>
    <w:rsid w:val="00F363F1"/>
    <w:rsid w:val="00F37256"/>
    <w:rsid w:val="00F4074B"/>
    <w:rsid w:val="00F41E19"/>
    <w:rsid w:val="00F43DFC"/>
    <w:rsid w:val="00F444D4"/>
    <w:rsid w:val="00F45098"/>
    <w:rsid w:val="00F45E5A"/>
    <w:rsid w:val="00F50172"/>
    <w:rsid w:val="00F505D0"/>
    <w:rsid w:val="00F50986"/>
    <w:rsid w:val="00F51362"/>
    <w:rsid w:val="00F52E01"/>
    <w:rsid w:val="00F535A3"/>
    <w:rsid w:val="00F54740"/>
    <w:rsid w:val="00F565D0"/>
    <w:rsid w:val="00F57A3E"/>
    <w:rsid w:val="00F62899"/>
    <w:rsid w:val="00F637A9"/>
    <w:rsid w:val="00F6392F"/>
    <w:rsid w:val="00F63A4A"/>
    <w:rsid w:val="00F63E31"/>
    <w:rsid w:val="00F645AE"/>
    <w:rsid w:val="00F65264"/>
    <w:rsid w:val="00F656EB"/>
    <w:rsid w:val="00F6633F"/>
    <w:rsid w:val="00F670D8"/>
    <w:rsid w:val="00F679EE"/>
    <w:rsid w:val="00F67D00"/>
    <w:rsid w:val="00F67D2C"/>
    <w:rsid w:val="00F70011"/>
    <w:rsid w:val="00F720FA"/>
    <w:rsid w:val="00F733B2"/>
    <w:rsid w:val="00F73A13"/>
    <w:rsid w:val="00F75DF6"/>
    <w:rsid w:val="00F772EA"/>
    <w:rsid w:val="00F77698"/>
    <w:rsid w:val="00F814E4"/>
    <w:rsid w:val="00F81D01"/>
    <w:rsid w:val="00F834BD"/>
    <w:rsid w:val="00F83B35"/>
    <w:rsid w:val="00F83BC2"/>
    <w:rsid w:val="00F84449"/>
    <w:rsid w:val="00F84ED2"/>
    <w:rsid w:val="00F90290"/>
    <w:rsid w:val="00F910A0"/>
    <w:rsid w:val="00F915B8"/>
    <w:rsid w:val="00F91A5E"/>
    <w:rsid w:val="00F91B3B"/>
    <w:rsid w:val="00F94EC0"/>
    <w:rsid w:val="00F95F91"/>
    <w:rsid w:val="00F96F94"/>
    <w:rsid w:val="00F976C6"/>
    <w:rsid w:val="00F97EA0"/>
    <w:rsid w:val="00FA0C52"/>
    <w:rsid w:val="00FA215D"/>
    <w:rsid w:val="00FA2451"/>
    <w:rsid w:val="00FA3FB9"/>
    <w:rsid w:val="00FA457D"/>
    <w:rsid w:val="00FA4DA0"/>
    <w:rsid w:val="00FA6E33"/>
    <w:rsid w:val="00FA72B1"/>
    <w:rsid w:val="00FB5F94"/>
    <w:rsid w:val="00FC28D5"/>
    <w:rsid w:val="00FC2AC4"/>
    <w:rsid w:val="00FC479C"/>
    <w:rsid w:val="00FC506A"/>
    <w:rsid w:val="00FC6E57"/>
    <w:rsid w:val="00FC70A2"/>
    <w:rsid w:val="00FC7151"/>
    <w:rsid w:val="00FC7D8E"/>
    <w:rsid w:val="00FD0C02"/>
    <w:rsid w:val="00FD0F48"/>
    <w:rsid w:val="00FD15A1"/>
    <w:rsid w:val="00FD1FCF"/>
    <w:rsid w:val="00FD26F8"/>
    <w:rsid w:val="00FD282F"/>
    <w:rsid w:val="00FD6EAA"/>
    <w:rsid w:val="00FE0ABB"/>
    <w:rsid w:val="00FE0B8B"/>
    <w:rsid w:val="00FE141F"/>
    <w:rsid w:val="00FE1F2D"/>
    <w:rsid w:val="00FE20F0"/>
    <w:rsid w:val="00FE23A7"/>
    <w:rsid w:val="00FE7911"/>
    <w:rsid w:val="00FF1418"/>
    <w:rsid w:val="00FF1735"/>
    <w:rsid w:val="00FF2176"/>
    <w:rsid w:val="00FF25A7"/>
    <w:rsid w:val="00FF31C9"/>
    <w:rsid w:val="00FF3D51"/>
    <w:rsid w:val="00FF57B7"/>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5176"/>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NormalWeb">
    <w:name w:val="Normal (Web)"/>
    <w:basedOn w:val="Normal"/>
    <w:uiPriority w:val="99"/>
    <w:unhideWhenUsed/>
    <w:rsid w:val="004448C0"/>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4448C0"/>
  </w:style>
  <w:style w:type="character" w:styleId="Hyperlink">
    <w:name w:val="Hyperlink"/>
    <w:basedOn w:val="DefaultParagraphFont"/>
    <w:uiPriority w:val="99"/>
    <w:semiHidden/>
    <w:unhideWhenUsed/>
    <w:rsid w:val="004448C0"/>
    <w:rPr>
      <w:color w:val="0000FF"/>
      <w:u w:val="single"/>
    </w:rPr>
  </w:style>
  <w:style w:type="paragraph" w:customStyle="1" w:styleId="western">
    <w:name w:val="western"/>
    <w:basedOn w:val="Normal"/>
    <w:rsid w:val="0040297A"/>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2Char">
    <w:name w:val="Heading 2 Char"/>
    <w:basedOn w:val="DefaultParagraphFont"/>
    <w:link w:val="Heading2"/>
    <w:uiPriority w:val="9"/>
    <w:rsid w:val="00985176"/>
    <w:rPr>
      <w:rFonts w:ascii="Times New Roman" w:eastAsia="Times New Roman" w:hAnsi="Times New Roman" w:cs="Times New Roman"/>
      <w:b/>
      <w:bCs/>
      <w:color w:val="auto"/>
      <w:sz w:val="36"/>
      <w:szCs w:val="36"/>
      <w:lang w:eastAsia="en-GB"/>
    </w:rPr>
  </w:style>
  <w:style w:type="paragraph" w:customStyle="1" w:styleId="Default">
    <w:name w:val="Default"/>
    <w:rsid w:val="00573432"/>
    <w:pPr>
      <w:autoSpaceDE w:val="0"/>
      <w:autoSpaceDN w:val="0"/>
      <w:adjustRightInd w:val="0"/>
      <w:spacing w:line="240" w:lineRule="auto"/>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0101">
      <w:bodyDiv w:val="1"/>
      <w:marLeft w:val="0"/>
      <w:marRight w:val="0"/>
      <w:marTop w:val="0"/>
      <w:marBottom w:val="0"/>
      <w:divBdr>
        <w:top w:val="none" w:sz="0" w:space="0" w:color="auto"/>
        <w:left w:val="none" w:sz="0" w:space="0" w:color="auto"/>
        <w:bottom w:val="none" w:sz="0" w:space="0" w:color="auto"/>
        <w:right w:val="none" w:sz="0" w:space="0" w:color="auto"/>
      </w:divBdr>
    </w:div>
    <w:div w:id="611059925">
      <w:bodyDiv w:val="1"/>
      <w:marLeft w:val="0"/>
      <w:marRight w:val="0"/>
      <w:marTop w:val="0"/>
      <w:marBottom w:val="0"/>
      <w:divBdr>
        <w:top w:val="none" w:sz="0" w:space="0" w:color="auto"/>
        <w:left w:val="none" w:sz="0" w:space="0" w:color="auto"/>
        <w:bottom w:val="none" w:sz="0" w:space="0" w:color="auto"/>
        <w:right w:val="none" w:sz="0" w:space="0" w:color="auto"/>
      </w:divBdr>
    </w:div>
    <w:div w:id="615059435">
      <w:bodyDiv w:val="1"/>
      <w:marLeft w:val="0"/>
      <w:marRight w:val="0"/>
      <w:marTop w:val="0"/>
      <w:marBottom w:val="0"/>
      <w:divBdr>
        <w:top w:val="none" w:sz="0" w:space="0" w:color="auto"/>
        <w:left w:val="none" w:sz="0" w:space="0" w:color="auto"/>
        <w:bottom w:val="none" w:sz="0" w:space="0" w:color="auto"/>
        <w:right w:val="none" w:sz="0" w:space="0" w:color="auto"/>
      </w:divBdr>
    </w:div>
    <w:div w:id="631667439">
      <w:bodyDiv w:val="1"/>
      <w:marLeft w:val="0"/>
      <w:marRight w:val="0"/>
      <w:marTop w:val="0"/>
      <w:marBottom w:val="0"/>
      <w:divBdr>
        <w:top w:val="none" w:sz="0" w:space="0" w:color="auto"/>
        <w:left w:val="none" w:sz="0" w:space="0" w:color="auto"/>
        <w:bottom w:val="none" w:sz="0" w:space="0" w:color="auto"/>
        <w:right w:val="none" w:sz="0" w:space="0" w:color="auto"/>
      </w:divBdr>
    </w:div>
    <w:div w:id="984503484">
      <w:bodyDiv w:val="1"/>
      <w:marLeft w:val="0"/>
      <w:marRight w:val="0"/>
      <w:marTop w:val="0"/>
      <w:marBottom w:val="0"/>
      <w:divBdr>
        <w:top w:val="none" w:sz="0" w:space="0" w:color="auto"/>
        <w:left w:val="none" w:sz="0" w:space="0" w:color="auto"/>
        <w:bottom w:val="none" w:sz="0" w:space="0" w:color="auto"/>
        <w:right w:val="none" w:sz="0" w:space="0" w:color="auto"/>
      </w:divBdr>
    </w:div>
    <w:div w:id="993415322">
      <w:bodyDiv w:val="1"/>
      <w:marLeft w:val="0"/>
      <w:marRight w:val="0"/>
      <w:marTop w:val="0"/>
      <w:marBottom w:val="0"/>
      <w:divBdr>
        <w:top w:val="none" w:sz="0" w:space="0" w:color="auto"/>
        <w:left w:val="none" w:sz="0" w:space="0" w:color="auto"/>
        <w:bottom w:val="none" w:sz="0" w:space="0" w:color="auto"/>
        <w:right w:val="none" w:sz="0" w:space="0" w:color="auto"/>
      </w:divBdr>
    </w:div>
    <w:div w:id="1275287671">
      <w:bodyDiv w:val="1"/>
      <w:marLeft w:val="0"/>
      <w:marRight w:val="0"/>
      <w:marTop w:val="0"/>
      <w:marBottom w:val="0"/>
      <w:divBdr>
        <w:top w:val="none" w:sz="0" w:space="0" w:color="auto"/>
        <w:left w:val="none" w:sz="0" w:space="0" w:color="auto"/>
        <w:bottom w:val="none" w:sz="0" w:space="0" w:color="auto"/>
        <w:right w:val="none" w:sz="0" w:space="0" w:color="auto"/>
      </w:divBdr>
    </w:div>
    <w:div w:id="1276713671">
      <w:bodyDiv w:val="1"/>
      <w:marLeft w:val="0"/>
      <w:marRight w:val="0"/>
      <w:marTop w:val="0"/>
      <w:marBottom w:val="0"/>
      <w:divBdr>
        <w:top w:val="none" w:sz="0" w:space="0" w:color="auto"/>
        <w:left w:val="none" w:sz="0" w:space="0" w:color="auto"/>
        <w:bottom w:val="none" w:sz="0" w:space="0" w:color="auto"/>
        <w:right w:val="none" w:sz="0" w:space="0" w:color="auto"/>
      </w:divBdr>
    </w:div>
    <w:div w:id="1541161975">
      <w:bodyDiv w:val="1"/>
      <w:marLeft w:val="0"/>
      <w:marRight w:val="0"/>
      <w:marTop w:val="0"/>
      <w:marBottom w:val="0"/>
      <w:divBdr>
        <w:top w:val="none" w:sz="0" w:space="0" w:color="auto"/>
        <w:left w:val="none" w:sz="0" w:space="0" w:color="auto"/>
        <w:bottom w:val="none" w:sz="0" w:space="0" w:color="auto"/>
        <w:right w:val="none" w:sz="0" w:space="0" w:color="auto"/>
      </w:divBdr>
    </w:div>
    <w:div w:id="18816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FB29-14ED-48D1-A18C-183A51E8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dcterms:created xsi:type="dcterms:W3CDTF">2023-02-07T10:42:00Z</dcterms:created>
  <dcterms:modified xsi:type="dcterms:W3CDTF">2023-02-14T14:49:00Z</dcterms:modified>
</cp:coreProperties>
</file>