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B4C4" w14:textId="77777777" w:rsidR="00FC49B2" w:rsidRPr="00070D12" w:rsidRDefault="00FC49B2" w:rsidP="00FC49B2">
      <w:pPr>
        <w:widowControl w:val="0"/>
        <w:tabs>
          <w:tab w:val="center" w:pos="4513"/>
          <w:tab w:val="right" w:pos="9026"/>
        </w:tabs>
        <w:spacing w:after="0" w:line="360" w:lineRule="auto"/>
        <w:jc w:val="center"/>
        <w:rPr>
          <w:rFonts w:ascii="Arial" w:hAnsi="Arial" w:cs="Arial"/>
          <w:b/>
          <w:kern w:val="0"/>
          <w:sz w:val="24"/>
          <w:szCs w:val="24"/>
          <w14:ligatures w14:val="none"/>
        </w:rPr>
      </w:pPr>
      <w:r w:rsidRPr="00070D12">
        <w:rPr>
          <w:rFonts w:ascii="Arial" w:eastAsia="Times New Roman" w:hAnsi="Arial" w:cs="Arial"/>
          <w:noProof/>
          <w:kern w:val="0"/>
          <w:sz w:val="24"/>
          <w:szCs w:val="24"/>
          <w:lang w:eastAsia="en-ZA"/>
          <w14:ligatures w14:val="none"/>
        </w:rPr>
        <w:drawing>
          <wp:inline distT="0" distB="0" distL="0" distR="0" wp14:anchorId="1F8100EC" wp14:editId="330D1C9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ACAAD14" w14:textId="77777777" w:rsidR="00FC49B2" w:rsidRPr="00070D12" w:rsidRDefault="00FC49B2" w:rsidP="00FC49B2">
      <w:pPr>
        <w:widowControl w:val="0"/>
        <w:tabs>
          <w:tab w:val="center" w:pos="4513"/>
          <w:tab w:val="right" w:pos="9026"/>
        </w:tabs>
        <w:spacing w:after="0" w:line="360" w:lineRule="auto"/>
        <w:jc w:val="center"/>
        <w:rPr>
          <w:rFonts w:ascii="Arial" w:hAnsi="Arial" w:cs="Arial"/>
          <w:b/>
          <w:kern w:val="0"/>
          <w:sz w:val="24"/>
          <w:szCs w:val="24"/>
          <w14:ligatures w14:val="none"/>
        </w:rPr>
      </w:pPr>
      <w:r w:rsidRPr="00070D12">
        <w:rPr>
          <w:rFonts w:ascii="Arial" w:hAnsi="Arial" w:cs="Arial"/>
          <w:b/>
          <w:kern w:val="0"/>
          <w:sz w:val="24"/>
          <w:szCs w:val="24"/>
          <w14:ligatures w14:val="none"/>
        </w:rPr>
        <w:t>IN THE HIGH COURT OF SOUTH AFRICA</w:t>
      </w:r>
    </w:p>
    <w:p w14:paraId="6C5EA511" w14:textId="77777777" w:rsidR="00FC49B2" w:rsidRPr="00070D12" w:rsidRDefault="00FC49B2" w:rsidP="00FC49B2">
      <w:pPr>
        <w:widowControl w:val="0"/>
        <w:tabs>
          <w:tab w:val="right" w:pos="9213"/>
        </w:tabs>
        <w:spacing w:line="360" w:lineRule="auto"/>
        <w:jc w:val="center"/>
        <w:rPr>
          <w:rFonts w:ascii="Arial" w:hAnsi="Arial" w:cs="Arial"/>
          <w:b/>
          <w:kern w:val="0"/>
          <w:sz w:val="24"/>
          <w:szCs w:val="24"/>
          <w14:ligatures w14:val="none"/>
        </w:rPr>
      </w:pPr>
      <w:r w:rsidRPr="00070D12">
        <w:rPr>
          <w:rFonts w:ascii="Arial" w:hAnsi="Arial" w:cs="Arial"/>
          <w:b/>
          <w:kern w:val="0"/>
          <w:sz w:val="24"/>
          <w:szCs w:val="24"/>
          <w14:ligatures w14:val="none"/>
        </w:rPr>
        <w:t>(</w:t>
      </w:r>
      <w:r>
        <w:rPr>
          <w:rFonts w:ascii="Arial" w:hAnsi="Arial" w:cs="Arial"/>
          <w:b/>
          <w:kern w:val="0"/>
          <w:sz w:val="24"/>
          <w:szCs w:val="24"/>
          <w14:ligatures w14:val="none"/>
        </w:rPr>
        <w:t xml:space="preserve">EASTERN CAPE DIVISION, </w:t>
      </w:r>
      <w:r w:rsidRPr="00070D12">
        <w:rPr>
          <w:rFonts w:ascii="Arial" w:hAnsi="Arial" w:cs="Arial"/>
          <w:b/>
          <w:kern w:val="0"/>
          <w:sz w:val="24"/>
          <w:szCs w:val="24"/>
          <w14:ligatures w14:val="none"/>
        </w:rPr>
        <w:t xml:space="preserve">EAST LONDON CIRCUIT </w:t>
      </w:r>
      <w:r>
        <w:rPr>
          <w:rFonts w:ascii="Arial" w:hAnsi="Arial" w:cs="Arial"/>
          <w:b/>
          <w:kern w:val="0"/>
          <w:sz w:val="24"/>
          <w:szCs w:val="24"/>
          <w14:ligatures w14:val="none"/>
        </w:rPr>
        <w:t>COURT</w:t>
      </w:r>
      <w:r w:rsidRPr="00070D12">
        <w:rPr>
          <w:rFonts w:ascii="Arial" w:hAnsi="Arial" w:cs="Arial"/>
          <w:b/>
          <w:kern w:val="0"/>
          <w:sz w:val="24"/>
          <w:szCs w:val="24"/>
          <w14:ligatures w14:val="none"/>
        </w:rPr>
        <w:t>)</w:t>
      </w:r>
    </w:p>
    <w:p w14:paraId="05EF5DFD" w14:textId="4CE274EB" w:rsidR="00FC49B2" w:rsidRPr="00070D12" w:rsidRDefault="00FC49B2" w:rsidP="00FC49B2">
      <w:pPr>
        <w:widowControl w:val="0"/>
        <w:tabs>
          <w:tab w:val="right" w:pos="9356"/>
        </w:tabs>
        <w:spacing w:line="240" w:lineRule="auto"/>
        <w:rPr>
          <w:rFonts w:ascii="Arial" w:hAnsi="Arial" w:cs="Arial"/>
          <w:b/>
          <w:kern w:val="0"/>
          <w:sz w:val="24"/>
          <w:szCs w:val="24"/>
          <w14:ligatures w14:val="none"/>
        </w:rPr>
      </w:pPr>
      <w:r w:rsidRPr="00070D12">
        <w:rPr>
          <w:rFonts w:ascii="Arial" w:hAnsi="Arial" w:cs="Arial"/>
          <w:b/>
          <w:kern w:val="0"/>
          <w:sz w:val="24"/>
          <w:szCs w:val="24"/>
          <w14:ligatures w14:val="none"/>
        </w:rPr>
        <w:tab/>
        <w:t xml:space="preserve">CASE NO. </w:t>
      </w:r>
      <w:r>
        <w:rPr>
          <w:rFonts w:ascii="Arial" w:hAnsi="Arial" w:cs="Arial"/>
          <w:b/>
          <w:kern w:val="0"/>
          <w:sz w:val="24"/>
          <w:szCs w:val="24"/>
          <w14:ligatures w14:val="none"/>
        </w:rPr>
        <w:t>1340/2022</w:t>
      </w:r>
    </w:p>
    <w:p w14:paraId="4AF55A19" w14:textId="77777777" w:rsidR="00FC49B2" w:rsidRPr="00070D12" w:rsidRDefault="00FC49B2" w:rsidP="00FC49B2">
      <w:pPr>
        <w:widowControl w:val="0"/>
        <w:tabs>
          <w:tab w:val="right" w:pos="8931"/>
        </w:tabs>
        <w:spacing w:line="240" w:lineRule="auto"/>
        <w:rPr>
          <w:rFonts w:ascii="Arial" w:hAnsi="Arial" w:cs="Arial"/>
          <w:b/>
          <w:kern w:val="0"/>
          <w:sz w:val="24"/>
          <w:szCs w:val="24"/>
          <w14:ligatures w14:val="none"/>
        </w:rPr>
      </w:pPr>
    </w:p>
    <w:p w14:paraId="418E4AD9" w14:textId="77777777" w:rsidR="00FC49B2" w:rsidRPr="00070D12" w:rsidRDefault="00FC49B2" w:rsidP="00FC49B2">
      <w:pPr>
        <w:widowControl w:val="0"/>
        <w:tabs>
          <w:tab w:val="right" w:pos="9213"/>
        </w:tabs>
        <w:spacing w:line="240" w:lineRule="auto"/>
        <w:rPr>
          <w:rFonts w:ascii="Arial" w:hAnsi="Arial" w:cs="Arial"/>
          <w:kern w:val="0"/>
          <w:sz w:val="24"/>
          <w:szCs w:val="24"/>
          <w14:ligatures w14:val="none"/>
        </w:rPr>
      </w:pPr>
      <w:r w:rsidRPr="00070D12">
        <w:rPr>
          <w:rFonts w:ascii="Arial" w:hAnsi="Arial" w:cs="Arial"/>
          <w:kern w:val="0"/>
          <w:sz w:val="24"/>
          <w:szCs w:val="24"/>
          <w14:ligatures w14:val="none"/>
        </w:rPr>
        <w:t>In the matter between:</w:t>
      </w:r>
    </w:p>
    <w:p w14:paraId="0ADA318A" w14:textId="77777777" w:rsidR="00FC49B2" w:rsidRPr="00070D12" w:rsidRDefault="00FC49B2" w:rsidP="00FC49B2">
      <w:pPr>
        <w:widowControl w:val="0"/>
        <w:tabs>
          <w:tab w:val="right" w:pos="9213"/>
        </w:tabs>
        <w:spacing w:line="240" w:lineRule="auto"/>
        <w:rPr>
          <w:rFonts w:ascii="Arial" w:hAnsi="Arial" w:cs="Arial"/>
          <w:kern w:val="0"/>
          <w:sz w:val="24"/>
          <w:szCs w:val="24"/>
          <w14:ligatures w14:val="none"/>
        </w:rPr>
      </w:pPr>
    </w:p>
    <w:p w14:paraId="6FAB3247" w14:textId="6F9F45C4" w:rsidR="00FC49B2" w:rsidRPr="00070D12" w:rsidRDefault="00FC49B2" w:rsidP="00FC49B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MZINGAYE GQOMO</w:t>
      </w:r>
      <w:r w:rsidRPr="00070D12">
        <w:rPr>
          <w:rFonts w:ascii="Arial" w:hAnsi="Arial" w:cs="Arial"/>
          <w:b/>
          <w:kern w:val="0"/>
          <w:sz w:val="24"/>
          <w:szCs w:val="24"/>
          <w14:ligatures w14:val="none"/>
        </w:rPr>
        <w:tab/>
      </w:r>
      <w:r>
        <w:rPr>
          <w:rFonts w:ascii="Arial" w:hAnsi="Arial" w:cs="Arial"/>
          <w:b/>
          <w:kern w:val="0"/>
          <w:sz w:val="24"/>
          <w:szCs w:val="24"/>
          <w14:ligatures w14:val="none"/>
        </w:rPr>
        <w:t>Applicant</w:t>
      </w:r>
    </w:p>
    <w:p w14:paraId="52839613" w14:textId="77777777" w:rsidR="00FC49B2" w:rsidRPr="00070D12" w:rsidRDefault="00FC49B2" w:rsidP="00FC49B2">
      <w:pPr>
        <w:widowControl w:val="0"/>
        <w:tabs>
          <w:tab w:val="right" w:pos="8931"/>
        </w:tabs>
        <w:spacing w:line="240" w:lineRule="auto"/>
        <w:rPr>
          <w:rFonts w:ascii="Arial" w:hAnsi="Arial" w:cs="Arial"/>
          <w:b/>
          <w:kern w:val="0"/>
          <w:sz w:val="24"/>
          <w:szCs w:val="24"/>
          <w14:ligatures w14:val="none"/>
        </w:rPr>
      </w:pPr>
    </w:p>
    <w:p w14:paraId="1D213E75" w14:textId="77777777" w:rsidR="00FC49B2" w:rsidRPr="00070D12" w:rsidRDefault="00FC49B2" w:rsidP="00FC49B2">
      <w:pPr>
        <w:widowControl w:val="0"/>
        <w:tabs>
          <w:tab w:val="right" w:pos="8640"/>
        </w:tabs>
        <w:spacing w:line="240" w:lineRule="auto"/>
        <w:rPr>
          <w:rFonts w:ascii="Arial" w:hAnsi="Arial" w:cs="Arial"/>
          <w:b/>
          <w:kern w:val="0"/>
          <w:sz w:val="24"/>
          <w:szCs w:val="24"/>
          <w14:ligatures w14:val="none"/>
        </w:rPr>
      </w:pPr>
      <w:r w:rsidRPr="00070D12">
        <w:rPr>
          <w:rFonts w:ascii="Arial" w:hAnsi="Arial" w:cs="Arial"/>
          <w:b/>
          <w:kern w:val="0"/>
          <w:sz w:val="24"/>
          <w:szCs w:val="24"/>
          <w14:ligatures w14:val="none"/>
        </w:rPr>
        <w:t>and</w:t>
      </w:r>
    </w:p>
    <w:p w14:paraId="1F65C308" w14:textId="77777777" w:rsidR="00FC49B2" w:rsidRPr="00070D12" w:rsidRDefault="00FC49B2" w:rsidP="00FC49B2">
      <w:pPr>
        <w:widowControl w:val="0"/>
        <w:tabs>
          <w:tab w:val="right" w:pos="8640"/>
        </w:tabs>
        <w:spacing w:line="240" w:lineRule="auto"/>
        <w:rPr>
          <w:rFonts w:ascii="Arial" w:hAnsi="Arial" w:cs="Arial"/>
          <w:b/>
          <w:kern w:val="0"/>
          <w:sz w:val="24"/>
          <w:szCs w:val="24"/>
          <w14:ligatures w14:val="none"/>
        </w:rPr>
      </w:pPr>
    </w:p>
    <w:p w14:paraId="1DF7CA0C" w14:textId="409C497B" w:rsidR="00FC49B2" w:rsidRDefault="00FC49B2" w:rsidP="00FC49B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LEGAL PRACTICE COUNCIL</w:t>
      </w:r>
      <w:r w:rsidRPr="00070D12">
        <w:rPr>
          <w:rFonts w:ascii="Arial" w:hAnsi="Arial" w:cs="Arial"/>
          <w:b/>
          <w:kern w:val="0"/>
          <w:sz w:val="24"/>
          <w:szCs w:val="24"/>
          <w14:ligatures w14:val="none"/>
        </w:rPr>
        <w:t xml:space="preserve"> </w:t>
      </w:r>
      <w:r w:rsidRPr="00070D12">
        <w:rPr>
          <w:rFonts w:ascii="Arial" w:hAnsi="Arial" w:cs="Arial"/>
          <w:b/>
          <w:kern w:val="0"/>
          <w:sz w:val="24"/>
          <w:szCs w:val="24"/>
          <w14:ligatures w14:val="none"/>
        </w:rPr>
        <w:tab/>
      </w:r>
      <w:r>
        <w:rPr>
          <w:rFonts w:ascii="Arial" w:hAnsi="Arial" w:cs="Arial"/>
          <w:b/>
          <w:kern w:val="0"/>
          <w:sz w:val="24"/>
          <w:szCs w:val="24"/>
          <w14:ligatures w14:val="none"/>
        </w:rPr>
        <w:t>Respondent</w:t>
      </w:r>
    </w:p>
    <w:p w14:paraId="028E4197" w14:textId="50762E70" w:rsidR="00B402D6" w:rsidRPr="00DE1286" w:rsidRDefault="00B402D6" w:rsidP="00DE1286">
      <w:pPr>
        <w:spacing w:line="360" w:lineRule="auto"/>
        <w:rPr>
          <w:rFonts w:ascii="Arial" w:hAnsi="Arial" w:cs="Arial"/>
          <w:sz w:val="24"/>
          <w:szCs w:val="24"/>
        </w:rPr>
      </w:pPr>
      <w:r w:rsidRPr="00DE1286">
        <w:rPr>
          <w:rFonts w:ascii="Arial" w:hAnsi="Arial" w:cs="Arial"/>
          <w:sz w:val="24"/>
          <w:szCs w:val="24"/>
        </w:rPr>
        <w:t>______________________________________________________________________</w:t>
      </w:r>
    </w:p>
    <w:p w14:paraId="0D6D88A5" w14:textId="188B1C76" w:rsidR="00B402D6" w:rsidRPr="00427124" w:rsidRDefault="00B402D6" w:rsidP="00427124">
      <w:pPr>
        <w:spacing w:line="360" w:lineRule="auto"/>
        <w:jc w:val="center"/>
        <w:rPr>
          <w:rFonts w:ascii="Arial" w:hAnsi="Arial" w:cs="Arial"/>
          <w:b/>
          <w:bCs/>
          <w:sz w:val="24"/>
          <w:szCs w:val="24"/>
        </w:rPr>
      </w:pPr>
      <w:r w:rsidRPr="00427124">
        <w:rPr>
          <w:rFonts w:ascii="Arial" w:hAnsi="Arial" w:cs="Arial"/>
          <w:b/>
          <w:bCs/>
          <w:sz w:val="24"/>
          <w:szCs w:val="24"/>
        </w:rPr>
        <w:t>REASONS FOR JUDGMENT</w:t>
      </w:r>
    </w:p>
    <w:p w14:paraId="57E77CDC" w14:textId="1B2F6F59" w:rsidR="00B402D6" w:rsidRPr="00DE1286" w:rsidRDefault="00B402D6" w:rsidP="00DE1286">
      <w:pPr>
        <w:spacing w:line="360" w:lineRule="auto"/>
        <w:rPr>
          <w:rFonts w:ascii="Arial" w:hAnsi="Arial" w:cs="Arial"/>
          <w:sz w:val="24"/>
          <w:szCs w:val="24"/>
        </w:rPr>
      </w:pPr>
      <w:r w:rsidRPr="00DE1286">
        <w:rPr>
          <w:rFonts w:ascii="Arial" w:hAnsi="Arial" w:cs="Arial"/>
          <w:sz w:val="24"/>
          <w:szCs w:val="24"/>
        </w:rPr>
        <w:t>______________________________________________________________________</w:t>
      </w:r>
    </w:p>
    <w:p w14:paraId="13DCC3D9" w14:textId="05CF5ADD" w:rsidR="00B402D6" w:rsidRPr="00427124" w:rsidRDefault="00B402D6" w:rsidP="00DE1286">
      <w:pPr>
        <w:spacing w:line="360" w:lineRule="auto"/>
        <w:rPr>
          <w:rFonts w:ascii="Arial" w:hAnsi="Arial" w:cs="Arial"/>
          <w:b/>
          <w:bCs/>
          <w:sz w:val="24"/>
          <w:szCs w:val="24"/>
        </w:rPr>
      </w:pPr>
      <w:r w:rsidRPr="00427124">
        <w:rPr>
          <w:rFonts w:ascii="Arial" w:hAnsi="Arial" w:cs="Arial"/>
          <w:b/>
          <w:bCs/>
          <w:sz w:val="24"/>
          <w:szCs w:val="24"/>
        </w:rPr>
        <w:t>LAING J</w:t>
      </w:r>
    </w:p>
    <w:p w14:paraId="50989E72" w14:textId="77777777" w:rsidR="00427124" w:rsidRDefault="00427124" w:rsidP="00DE1286">
      <w:pPr>
        <w:spacing w:line="360" w:lineRule="auto"/>
        <w:rPr>
          <w:rFonts w:ascii="Arial" w:hAnsi="Arial" w:cs="Arial"/>
          <w:sz w:val="24"/>
          <w:szCs w:val="24"/>
        </w:rPr>
      </w:pPr>
    </w:p>
    <w:p w14:paraId="0198E268" w14:textId="41C24185" w:rsidR="00FC49B2" w:rsidRPr="00D92068" w:rsidRDefault="00D92068" w:rsidP="00D9206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402D6" w:rsidRPr="00D92068">
        <w:rPr>
          <w:rFonts w:ascii="Arial" w:hAnsi="Arial" w:cs="Arial"/>
          <w:sz w:val="24"/>
          <w:szCs w:val="24"/>
        </w:rPr>
        <w:t xml:space="preserve">This was </w:t>
      </w:r>
      <w:r w:rsidR="00DE1286" w:rsidRPr="00D92068">
        <w:rPr>
          <w:rFonts w:ascii="Arial" w:hAnsi="Arial" w:cs="Arial"/>
          <w:sz w:val="24"/>
          <w:szCs w:val="24"/>
        </w:rPr>
        <w:t>an application for the review and setting aside of a decision taken by the respondent. The applicant also sought an order remitting the decision back to the respondent for reconsideration by an investigating committee. In the alternative, the applicant sought an order declaring the decision invalid and replacing it with the court’s own decision.</w:t>
      </w:r>
    </w:p>
    <w:p w14:paraId="6744538F" w14:textId="77777777" w:rsidR="00FC49B2" w:rsidRDefault="00FC49B2" w:rsidP="00FC49B2">
      <w:pPr>
        <w:pStyle w:val="ListParagraph"/>
        <w:spacing w:line="360" w:lineRule="auto"/>
        <w:ind w:left="0"/>
        <w:jc w:val="both"/>
        <w:rPr>
          <w:rFonts w:ascii="Arial" w:hAnsi="Arial" w:cs="Arial"/>
          <w:sz w:val="24"/>
          <w:szCs w:val="24"/>
        </w:rPr>
      </w:pPr>
    </w:p>
    <w:p w14:paraId="3E1282F7" w14:textId="52388A5C" w:rsidR="00427124" w:rsidRPr="00D92068" w:rsidRDefault="00D92068" w:rsidP="00D92068">
      <w:pPr>
        <w:spacing w:line="360" w:lineRule="auto"/>
        <w:jc w:val="both"/>
        <w:rPr>
          <w:rFonts w:ascii="Arial" w:hAnsi="Arial" w:cs="Arial"/>
          <w:sz w:val="24"/>
          <w:szCs w:val="24"/>
        </w:rPr>
      </w:pPr>
      <w:r w:rsidRPr="00FC49B2">
        <w:rPr>
          <w:rFonts w:ascii="Arial" w:hAnsi="Arial" w:cs="Arial"/>
          <w:sz w:val="24"/>
          <w:szCs w:val="24"/>
        </w:rPr>
        <w:lastRenderedPageBreak/>
        <w:t>[2]</w:t>
      </w:r>
      <w:r w:rsidRPr="00FC49B2">
        <w:rPr>
          <w:rFonts w:ascii="Arial" w:hAnsi="Arial" w:cs="Arial"/>
          <w:sz w:val="24"/>
          <w:szCs w:val="24"/>
        </w:rPr>
        <w:tab/>
      </w:r>
      <w:r w:rsidR="00427124" w:rsidRPr="00D92068">
        <w:rPr>
          <w:rFonts w:ascii="Arial" w:hAnsi="Arial" w:cs="Arial"/>
          <w:sz w:val="24"/>
          <w:szCs w:val="24"/>
        </w:rPr>
        <w:t>The parties settled the merits of the application prior to argument. The court subsequently directed each party to pay its own costs. The applicant has requested written reasons for the order.</w:t>
      </w:r>
    </w:p>
    <w:p w14:paraId="74772AA8" w14:textId="77777777" w:rsidR="00427124" w:rsidRDefault="00427124" w:rsidP="00DE1286">
      <w:pPr>
        <w:spacing w:line="360" w:lineRule="auto"/>
        <w:rPr>
          <w:rFonts w:ascii="Arial" w:hAnsi="Arial" w:cs="Arial"/>
          <w:sz w:val="24"/>
          <w:szCs w:val="24"/>
        </w:rPr>
      </w:pPr>
    </w:p>
    <w:p w14:paraId="60DE6907" w14:textId="6023B966" w:rsidR="00427124" w:rsidRPr="00427124" w:rsidRDefault="00F55B23" w:rsidP="00A41036">
      <w:pPr>
        <w:spacing w:line="360" w:lineRule="auto"/>
        <w:jc w:val="both"/>
        <w:rPr>
          <w:rFonts w:ascii="Arial" w:hAnsi="Arial" w:cs="Arial"/>
          <w:b/>
          <w:bCs/>
          <w:sz w:val="24"/>
          <w:szCs w:val="24"/>
        </w:rPr>
      </w:pPr>
      <w:r>
        <w:rPr>
          <w:rFonts w:ascii="Arial" w:hAnsi="Arial" w:cs="Arial"/>
          <w:b/>
          <w:bCs/>
          <w:sz w:val="24"/>
          <w:szCs w:val="24"/>
        </w:rPr>
        <w:t>Applicant’s case</w:t>
      </w:r>
    </w:p>
    <w:p w14:paraId="49A04B48" w14:textId="77777777" w:rsidR="00427124" w:rsidRDefault="00427124" w:rsidP="00DE1286">
      <w:pPr>
        <w:spacing w:line="360" w:lineRule="auto"/>
        <w:rPr>
          <w:rFonts w:ascii="Arial" w:hAnsi="Arial" w:cs="Arial"/>
          <w:sz w:val="24"/>
          <w:szCs w:val="24"/>
        </w:rPr>
      </w:pPr>
    </w:p>
    <w:p w14:paraId="1DF745B8" w14:textId="01090C24" w:rsidR="00A41036" w:rsidRPr="00D92068" w:rsidRDefault="00D92068" w:rsidP="00D9206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75B9B" w:rsidRPr="00D92068">
        <w:rPr>
          <w:rFonts w:ascii="Arial" w:hAnsi="Arial" w:cs="Arial"/>
          <w:sz w:val="24"/>
          <w:szCs w:val="24"/>
        </w:rPr>
        <w:t>On 19 May 2021, t</w:t>
      </w:r>
      <w:r w:rsidR="00427124" w:rsidRPr="00D92068">
        <w:rPr>
          <w:rFonts w:ascii="Arial" w:hAnsi="Arial" w:cs="Arial"/>
          <w:sz w:val="24"/>
          <w:szCs w:val="24"/>
        </w:rPr>
        <w:t>he applicant lodged a complaint with the respondent</w:t>
      </w:r>
      <w:r w:rsidR="00D75B9B" w:rsidRPr="00D92068">
        <w:rPr>
          <w:rFonts w:ascii="Arial" w:hAnsi="Arial" w:cs="Arial"/>
          <w:sz w:val="24"/>
          <w:szCs w:val="24"/>
        </w:rPr>
        <w:t>’s Eastern Cape provincial office</w:t>
      </w:r>
      <w:r w:rsidR="00427124" w:rsidRPr="00D92068">
        <w:rPr>
          <w:rFonts w:ascii="Arial" w:hAnsi="Arial" w:cs="Arial"/>
          <w:sz w:val="24"/>
          <w:szCs w:val="24"/>
        </w:rPr>
        <w:t xml:space="preserve"> about the conduct of an East London legal practitioner, Mr Bernardus Niehaus. It is unnecessary to </w:t>
      </w:r>
      <w:r w:rsidR="007D253E" w:rsidRPr="00D92068">
        <w:rPr>
          <w:rFonts w:ascii="Arial" w:hAnsi="Arial" w:cs="Arial"/>
          <w:sz w:val="24"/>
          <w:szCs w:val="24"/>
        </w:rPr>
        <w:t xml:space="preserve">set out the </w:t>
      </w:r>
      <w:r w:rsidR="00427124" w:rsidRPr="00D92068">
        <w:rPr>
          <w:rFonts w:ascii="Arial" w:hAnsi="Arial" w:cs="Arial"/>
          <w:sz w:val="24"/>
          <w:szCs w:val="24"/>
        </w:rPr>
        <w:t>details thereof</w:t>
      </w:r>
      <w:r w:rsidR="007D253E" w:rsidRPr="00D92068">
        <w:rPr>
          <w:rFonts w:ascii="Arial" w:hAnsi="Arial" w:cs="Arial"/>
          <w:sz w:val="24"/>
          <w:szCs w:val="24"/>
        </w:rPr>
        <w:t xml:space="preserve">, save to mention that it pertained to the authenticity of </w:t>
      </w:r>
      <w:r w:rsidR="00D621E7" w:rsidRPr="00D92068">
        <w:rPr>
          <w:rFonts w:ascii="Arial" w:hAnsi="Arial" w:cs="Arial"/>
          <w:sz w:val="24"/>
          <w:szCs w:val="24"/>
        </w:rPr>
        <w:t>an</w:t>
      </w:r>
      <w:r w:rsidR="007D253E" w:rsidRPr="00D92068">
        <w:rPr>
          <w:rFonts w:ascii="Arial" w:hAnsi="Arial" w:cs="Arial"/>
          <w:sz w:val="24"/>
          <w:szCs w:val="24"/>
        </w:rPr>
        <w:t xml:space="preserve"> affidavit </w:t>
      </w:r>
      <w:r w:rsidR="00D621E7" w:rsidRPr="00D92068">
        <w:rPr>
          <w:rFonts w:ascii="Arial" w:hAnsi="Arial" w:cs="Arial"/>
          <w:sz w:val="24"/>
          <w:szCs w:val="24"/>
        </w:rPr>
        <w:t>deposed to by</w:t>
      </w:r>
      <w:r w:rsidR="007D253E" w:rsidRPr="00D92068">
        <w:rPr>
          <w:rFonts w:ascii="Arial" w:hAnsi="Arial" w:cs="Arial"/>
          <w:sz w:val="24"/>
          <w:szCs w:val="24"/>
        </w:rPr>
        <w:t xml:space="preserve"> a Mr Siyabulela </w:t>
      </w:r>
      <w:proofErr w:type="spellStart"/>
      <w:r w:rsidR="007D253E" w:rsidRPr="00D92068">
        <w:rPr>
          <w:rFonts w:ascii="Arial" w:hAnsi="Arial" w:cs="Arial"/>
          <w:sz w:val="24"/>
          <w:szCs w:val="24"/>
        </w:rPr>
        <w:t>Mananga</w:t>
      </w:r>
      <w:proofErr w:type="spellEnd"/>
      <w:r w:rsidR="007D253E" w:rsidRPr="00D92068">
        <w:rPr>
          <w:rFonts w:ascii="Arial" w:hAnsi="Arial" w:cs="Arial"/>
          <w:sz w:val="24"/>
          <w:szCs w:val="24"/>
        </w:rPr>
        <w:t>, who had instructed Mr Niehaus to institute action proceedings against the applicant</w:t>
      </w:r>
      <w:r w:rsidR="00D621E7" w:rsidRPr="00D92068">
        <w:rPr>
          <w:rFonts w:ascii="Arial" w:hAnsi="Arial" w:cs="Arial"/>
          <w:sz w:val="24"/>
          <w:szCs w:val="24"/>
        </w:rPr>
        <w:t xml:space="preserve"> in relation to a claim previously brought against the Road Accident Fund</w:t>
      </w:r>
      <w:r w:rsidR="005D638D" w:rsidRPr="00D92068">
        <w:rPr>
          <w:rFonts w:ascii="Arial" w:hAnsi="Arial" w:cs="Arial"/>
          <w:sz w:val="24"/>
          <w:szCs w:val="24"/>
        </w:rPr>
        <w:t>.</w:t>
      </w:r>
    </w:p>
    <w:p w14:paraId="08143E56" w14:textId="77777777" w:rsidR="00A41036" w:rsidRDefault="00A41036" w:rsidP="00A41036">
      <w:pPr>
        <w:pStyle w:val="ListParagraph"/>
        <w:spacing w:line="360" w:lineRule="auto"/>
        <w:ind w:left="0"/>
        <w:jc w:val="both"/>
        <w:rPr>
          <w:rFonts w:ascii="Arial" w:hAnsi="Arial" w:cs="Arial"/>
          <w:sz w:val="24"/>
          <w:szCs w:val="24"/>
        </w:rPr>
      </w:pPr>
    </w:p>
    <w:p w14:paraId="4330D623" w14:textId="5EB3E849" w:rsidR="00A41036" w:rsidRPr="00D92068" w:rsidRDefault="00D92068" w:rsidP="00D9206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6C41" w:rsidRPr="00D92068">
        <w:rPr>
          <w:rFonts w:ascii="Arial" w:hAnsi="Arial" w:cs="Arial"/>
          <w:sz w:val="24"/>
          <w:szCs w:val="24"/>
        </w:rPr>
        <w:t xml:space="preserve">The provincial office referred the matter to an investigating committee, which dismissed the complaint. On 7 July 2022, the provincial office informed the applicant of the decision and advised him that he was entitled to appeal the findings of the investigating committee. An internal appeal was not available to the applicant, however, because </w:t>
      </w:r>
      <w:r w:rsidR="00E6531D" w:rsidRPr="00D92068">
        <w:rPr>
          <w:rFonts w:ascii="Arial" w:hAnsi="Arial" w:cs="Arial"/>
          <w:sz w:val="24"/>
          <w:szCs w:val="24"/>
        </w:rPr>
        <w:t xml:space="preserve">the </w:t>
      </w:r>
      <w:r w:rsidR="00696AC8" w:rsidRPr="00D92068">
        <w:rPr>
          <w:rFonts w:ascii="Arial" w:hAnsi="Arial" w:cs="Arial"/>
          <w:sz w:val="24"/>
          <w:szCs w:val="24"/>
        </w:rPr>
        <w:t xml:space="preserve">appeal tribunal established by the </w:t>
      </w:r>
      <w:r w:rsidR="00E6531D" w:rsidRPr="00D92068">
        <w:rPr>
          <w:rFonts w:ascii="Arial" w:hAnsi="Arial" w:cs="Arial"/>
          <w:sz w:val="24"/>
          <w:szCs w:val="24"/>
        </w:rPr>
        <w:t xml:space="preserve">respondent </w:t>
      </w:r>
      <w:r w:rsidR="00696AC8" w:rsidRPr="00D92068">
        <w:rPr>
          <w:rFonts w:ascii="Arial" w:hAnsi="Arial" w:cs="Arial"/>
          <w:sz w:val="24"/>
          <w:szCs w:val="24"/>
        </w:rPr>
        <w:t>was</w:t>
      </w:r>
      <w:r w:rsidR="00E6531D" w:rsidRPr="00D92068">
        <w:rPr>
          <w:rFonts w:ascii="Arial" w:hAnsi="Arial" w:cs="Arial"/>
          <w:sz w:val="24"/>
          <w:szCs w:val="24"/>
        </w:rPr>
        <w:t xml:space="preserve"> not yet </w:t>
      </w:r>
      <w:r w:rsidR="00696AC8" w:rsidRPr="00D92068">
        <w:rPr>
          <w:rFonts w:ascii="Arial" w:hAnsi="Arial" w:cs="Arial"/>
          <w:sz w:val="24"/>
          <w:szCs w:val="24"/>
        </w:rPr>
        <w:t>operational.</w:t>
      </w:r>
    </w:p>
    <w:p w14:paraId="4393C3E6" w14:textId="77777777" w:rsidR="00A41036" w:rsidRPr="00A41036" w:rsidRDefault="00A41036" w:rsidP="00A41036">
      <w:pPr>
        <w:pStyle w:val="ListParagraph"/>
        <w:rPr>
          <w:rFonts w:ascii="Arial" w:hAnsi="Arial" w:cs="Arial"/>
          <w:sz w:val="24"/>
          <w:szCs w:val="24"/>
        </w:rPr>
      </w:pPr>
    </w:p>
    <w:p w14:paraId="009FD4D2" w14:textId="13840C27" w:rsidR="002676FB" w:rsidRPr="00D92068" w:rsidRDefault="00D92068" w:rsidP="00D92068">
      <w:pPr>
        <w:spacing w:line="360" w:lineRule="auto"/>
        <w:jc w:val="both"/>
        <w:rPr>
          <w:rFonts w:ascii="Arial" w:hAnsi="Arial" w:cs="Arial"/>
          <w:sz w:val="24"/>
          <w:szCs w:val="24"/>
        </w:rPr>
      </w:pPr>
      <w:r w:rsidRPr="00A41036">
        <w:rPr>
          <w:rFonts w:ascii="Arial" w:hAnsi="Arial" w:cs="Arial"/>
          <w:sz w:val="24"/>
          <w:szCs w:val="24"/>
        </w:rPr>
        <w:t>[5]</w:t>
      </w:r>
      <w:r w:rsidRPr="00A41036">
        <w:rPr>
          <w:rFonts w:ascii="Arial" w:hAnsi="Arial" w:cs="Arial"/>
          <w:sz w:val="24"/>
          <w:szCs w:val="24"/>
        </w:rPr>
        <w:tab/>
      </w:r>
      <w:r w:rsidR="00D679D8" w:rsidRPr="00D92068">
        <w:rPr>
          <w:rFonts w:ascii="Arial" w:hAnsi="Arial" w:cs="Arial"/>
          <w:sz w:val="24"/>
          <w:szCs w:val="24"/>
        </w:rPr>
        <w:t xml:space="preserve">The applicant </w:t>
      </w:r>
      <w:r w:rsidR="000221A9" w:rsidRPr="00D92068">
        <w:rPr>
          <w:rFonts w:ascii="Arial" w:hAnsi="Arial" w:cs="Arial"/>
          <w:sz w:val="24"/>
          <w:szCs w:val="24"/>
        </w:rPr>
        <w:t>then launched the present application</w:t>
      </w:r>
      <w:r w:rsidR="00EA3E16" w:rsidRPr="00D92068">
        <w:rPr>
          <w:rFonts w:ascii="Arial" w:hAnsi="Arial" w:cs="Arial"/>
          <w:sz w:val="24"/>
          <w:szCs w:val="24"/>
        </w:rPr>
        <w:t xml:space="preserve">, challenging the </w:t>
      </w:r>
      <w:r w:rsidR="004454E3" w:rsidRPr="00D92068">
        <w:rPr>
          <w:rFonts w:ascii="Arial" w:hAnsi="Arial" w:cs="Arial"/>
          <w:sz w:val="24"/>
          <w:szCs w:val="24"/>
        </w:rPr>
        <w:t xml:space="preserve">investigating committee’s </w:t>
      </w:r>
      <w:r w:rsidR="00EA3E16" w:rsidRPr="00D92068">
        <w:rPr>
          <w:rFonts w:ascii="Arial" w:hAnsi="Arial" w:cs="Arial"/>
          <w:sz w:val="24"/>
          <w:szCs w:val="24"/>
        </w:rPr>
        <w:t>decision</w:t>
      </w:r>
      <w:r w:rsidR="00270A08" w:rsidRPr="00D92068">
        <w:rPr>
          <w:rFonts w:ascii="Arial" w:hAnsi="Arial" w:cs="Arial"/>
          <w:sz w:val="24"/>
          <w:szCs w:val="24"/>
        </w:rPr>
        <w:t xml:space="preserve">. The </w:t>
      </w:r>
      <w:r w:rsidR="004454E3" w:rsidRPr="00D92068">
        <w:rPr>
          <w:rFonts w:ascii="Arial" w:hAnsi="Arial" w:cs="Arial"/>
          <w:sz w:val="24"/>
          <w:szCs w:val="24"/>
        </w:rPr>
        <w:t xml:space="preserve">basis of </w:t>
      </w:r>
      <w:r w:rsidR="003271D7" w:rsidRPr="00D92068">
        <w:rPr>
          <w:rFonts w:ascii="Arial" w:hAnsi="Arial" w:cs="Arial"/>
          <w:sz w:val="24"/>
          <w:szCs w:val="24"/>
        </w:rPr>
        <w:t xml:space="preserve">the challenge was that available </w:t>
      </w:r>
      <w:r w:rsidR="00270A08" w:rsidRPr="00D92068">
        <w:rPr>
          <w:rFonts w:ascii="Arial" w:hAnsi="Arial" w:cs="Arial"/>
          <w:sz w:val="24"/>
          <w:szCs w:val="24"/>
        </w:rPr>
        <w:t xml:space="preserve">evidence </w:t>
      </w:r>
      <w:r w:rsidR="003271D7" w:rsidRPr="00D92068">
        <w:rPr>
          <w:rFonts w:ascii="Arial" w:hAnsi="Arial" w:cs="Arial"/>
          <w:sz w:val="24"/>
          <w:szCs w:val="24"/>
        </w:rPr>
        <w:t xml:space="preserve">demonstrated </w:t>
      </w:r>
      <w:r w:rsidR="00270A08" w:rsidRPr="00D92068">
        <w:rPr>
          <w:rFonts w:ascii="Arial" w:hAnsi="Arial" w:cs="Arial"/>
          <w:sz w:val="24"/>
          <w:szCs w:val="24"/>
        </w:rPr>
        <w:t xml:space="preserve">that Mr </w:t>
      </w:r>
      <w:proofErr w:type="spellStart"/>
      <w:r w:rsidR="00270A08" w:rsidRPr="00D92068">
        <w:rPr>
          <w:rFonts w:ascii="Arial" w:hAnsi="Arial" w:cs="Arial"/>
          <w:sz w:val="24"/>
          <w:szCs w:val="24"/>
        </w:rPr>
        <w:t>Manang</w:t>
      </w:r>
      <w:r w:rsidR="002027F7" w:rsidRPr="00D92068">
        <w:rPr>
          <w:rFonts w:ascii="Arial" w:hAnsi="Arial" w:cs="Arial"/>
          <w:sz w:val="24"/>
          <w:szCs w:val="24"/>
        </w:rPr>
        <w:t>a</w:t>
      </w:r>
      <w:proofErr w:type="spellEnd"/>
      <w:r w:rsidR="002027F7" w:rsidRPr="00D92068">
        <w:rPr>
          <w:rFonts w:ascii="Arial" w:hAnsi="Arial" w:cs="Arial"/>
          <w:sz w:val="24"/>
          <w:szCs w:val="24"/>
        </w:rPr>
        <w:t xml:space="preserve"> had no capacity to sign </w:t>
      </w:r>
      <w:r w:rsidR="0063390E" w:rsidRPr="00D92068">
        <w:rPr>
          <w:rFonts w:ascii="Arial" w:hAnsi="Arial" w:cs="Arial"/>
          <w:sz w:val="24"/>
          <w:szCs w:val="24"/>
        </w:rPr>
        <w:t xml:space="preserve">the affidavit by reason of the injuries that he </w:t>
      </w:r>
      <w:r w:rsidR="00557CDB" w:rsidRPr="00D92068">
        <w:rPr>
          <w:rFonts w:ascii="Arial" w:hAnsi="Arial" w:cs="Arial"/>
          <w:sz w:val="24"/>
          <w:szCs w:val="24"/>
        </w:rPr>
        <w:t xml:space="preserve">had </w:t>
      </w:r>
      <w:r w:rsidR="0063390E" w:rsidRPr="00D92068">
        <w:rPr>
          <w:rFonts w:ascii="Arial" w:hAnsi="Arial" w:cs="Arial"/>
          <w:sz w:val="24"/>
          <w:szCs w:val="24"/>
        </w:rPr>
        <w:t xml:space="preserve">sustained </w:t>
      </w:r>
      <w:r w:rsidR="008F75FE" w:rsidRPr="00D92068">
        <w:rPr>
          <w:rFonts w:ascii="Arial" w:hAnsi="Arial" w:cs="Arial"/>
          <w:sz w:val="24"/>
          <w:szCs w:val="24"/>
        </w:rPr>
        <w:t>in a motor vehicle accident.</w:t>
      </w:r>
    </w:p>
    <w:p w14:paraId="7FBF1986" w14:textId="77777777" w:rsidR="00CD1027" w:rsidRDefault="00CD1027" w:rsidP="00DE1286">
      <w:pPr>
        <w:spacing w:line="360" w:lineRule="auto"/>
        <w:rPr>
          <w:rFonts w:ascii="Arial" w:hAnsi="Arial" w:cs="Arial"/>
          <w:sz w:val="24"/>
          <w:szCs w:val="24"/>
        </w:rPr>
      </w:pPr>
    </w:p>
    <w:p w14:paraId="657199E3" w14:textId="2D61E536" w:rsidR="00CD1027" w:rsidRPr="00CD1027" w:rsidRDefault="00CD1027" w:rsidP="00A41036">
      <w:pPr>
        <w:spacing w:line="360" w:lineRule="auto"/>
        <w:jc w:val="both"/>
        <w:rPr>
          <w:rFonts w:ascii="Arial" w:hAnsi="Arial" w:cs="Arial"/>
          <w:b/>
          <w:bCs/>
          <w:sz w:val="24"/>
          <w:szCs w:val="24"/>
        </w:rPr>
      </w:pPr>
      <w:r w:rsidRPr="00CD1027">
        <w:rPr>
          <w:rFonts w:ascii="Arial" w:hAnsi="Arial" w:cs="Arial"/>
          <w:b/>
          <w:bCs/>
          <w:sz w:val="24"/>
          <w:szCs w:val="24"/>
        </w:rPr>
        <w:t>Respondent’s case</w:t>
      </w:r>
    </w:p>
    <w:p w14:paraId="4BE4686C" w14:textId="77777777" w:rsidR="00CD1027" w:rsidRDefault="00CD1027" w:rsidP="00DE1286">
      <w:pPr>
        <w:spacing w:line="360" w:lineRule="auto"/>
        <w:rPr>
          <w:rFonts w:ascii="Arial" w:hAnsi="Arial" w:cs="Arial"/>
          <w:sz w:val="24"/>
          <w:szCs w:val="24"/>
        </w:rPr>
      </w:pPr>
    </w:p>
    <w:p w14:paraId="10117183" w14:textId="3422C1AA" w:rsidR="00557CDB" w:rsidRPr="00D92068" w:rsidRDefault="00D92068" w:rsidP="00D92068">
      <w:pPr>
        <w:spacing w:line="360" w:lineRule="auto"/>
        <w:jc w:val="both"/>
        <w:rPr>
          <w:rFonts w:ascii="Arial" w:hAnsi="Arial" w:cs="Arial"/>
          <w:sz w:val="24"/>
          <w:szCs w:val="24"/>
        </w:rPr>
      </w:pPr>
      <w:r w:rsidRPr="00A41036">
        <w:rPr>
          <w:rFonts w:ascii="Arial" w:hAnsi="Arial" w:cs="Arial"/>
          <w:sz w:val="24"/>
          <w:szCs w:val="24"/>
        </w:rPr>
        <w:lastRenderedPageBreak/>
        <w:t>[6]</w:t>
      </w:r>
      <w:r w:rsidRPr="00A41036">
        <w:rPr>
          <w:rFonts w:ascii="Arial" w:hAnsi="Arial" w:cs="Arial"/>
          <w:sz w:val="24"/>
          <w:szCs w:val="24"/>
        </w:rPr>
        <w:tab/>
      </w:r>
      <w:r w:rsidR="008A7AF2" w:rsidRPr="00D92068">
        <w:rPr>
          <w:rFonts w:ascii="Arial" w:hAnsi="Arial" w:cs="Arial"/>
          <w:sz w:val="24"/>
          <w:szCs w:val="24"/>
        </w:rPr>
        <w:t xml:space="preserve">The respondent </w:t>
      </w:r>
      <w:r w:rsidR="00530AB4" w:rsidRPr="00D92068">
        <w:rPr>
          <w:rFonts w:ascii="Arial" w:hAnsi="Arial" w:cs="Arial"/>
          <w:sz w:val="24"/>
          <w:szCs w:val="24"/>
        </w:rPr>
        <w:t>filed its answering papers</w:t>
      </w:r>
      <w:r w:rsidR="004F5E11" w:rsidRPr="00D92068">
        <w:rPr>
          <w:rFonts w:ascii="Arial" w:hAnsi="Arial" w:cs="Arial"/>
          <w:sz w:val="24"/>
          <w:szCs w:val="24"/>
        </w:rPr>
        <w:t xml:space="preserve">. It </w:t>
      </w:r>
      <w:r w:rsidR="00530AB4" w:rsidRPr="00D92068">
        <w:rPr>
          <w:rFonts w:ascii="Arial" w:hAnsi="Arial" w:cs="Arial"/>
          <w:sz w:val="24"/>
          <w:szCs w:val="24"/>
        </w:rPr>
        <w:t>point</w:t>
      </w:r>
      <w:r w:rsidR="004F5E11" w:rsidRPr="00D92068">
        <w:rPr>
          <w:rFonts w:ascii="Arial" w:hAnsi="Arial" w:cs="Arial"/>
          <w:sz w:val="24"/>
          <w:szCs w:val="24"/>
        </w:rPr>
        <w:t>ed</w:t>
      </w:r>
      <w:r w:rsidR="00530AB4" w:rsidRPr="00D92068">
        <w:rPr>
          <w:rFonts w:ascii="Arial" w:hAnsi="Arial" w:cs="Arial"/>
          <w:sz w:val="24"/>
          <w:szCs w:val="24"/>
        </w:rPr>
        <w:t xml:space="preserve"> out that </w:t>
      </w:r>
      <w:r w:rsidR="00A745F7" w:rsidRPr="00D92068">
        <w:rPr>
          <w:rFonts w:ascii="Arial" w:hAnsi="Arial" w:cs="Arial"/>
          <w:sz w:val="24"/>
          <w:szCs w:val="24"/>
        </w:rPr>
        <w:t xml:space="preserve">the director of its provincial office, a Mr Alfred Hona, had </w:t>
      </w:r>
      <w:r w:rsidR="00B503A9" w:rsidRPr="00D92068">
        <w:rPr>
          <w:rFonts w:ascii="Arial" w:hAnsi="Arial" w:cs="Arial"/>
          <w:sz w:val="24"/>
          <w:szCs w:val="24"/>
        </w:rPr>
        <w:t xml:space="preserve">contacted the applicant and indicated that the </w:t>
      </w:r>
      <w:r w:rsidR="00771EC4" w:rsidRPr="00D92068">
        <w:rPr>
          <w:rFonts w:ascii="Arial" w:hAnsi="Arial" w:cs="Arial"/>
          <w:sz w:val="24"/>
          <w:szCs w:val="24"/>
        </w:rPr>
        <w:t>respondent was amenable to settlement of the matter as follows:</w:t>
      </w:r>
    </w:p>
    <w:p w14:paraId="113C20DC" w14:textId="6C71DF5F" w:rsidR="00771EC4" w:rsidRPr="00226DA1" w:rsidRDefault="001B3301" w:rsidP="00A41036">
      <w:pPr>
        <w:spacing w:line="360" w:lineRule="auto"/>
        <w:ind w:left="720"/>
        <w:jc w:val="both"/>
        <w:rPr>
          <w:rFonts w:ascii="Arial" w:hAnsi="Arial" w:cs="Arial"/>
          <w:sz w:val="20"/>
          <w:szCs w:val="20"/>
        </w:rPr>
      </w:pPr>
      <w:r w:rsidRPr="00226DA1">
        <w:rPr>
          <w:rFonts w:ascii="Arial" w:hAnsi="Arial" w:cs="Arial"/>
          <w:sz w:val="20"/>
          <w:szCs w:val="20"/>
        </w:rPr>
        <w:t>‘…The decision of the investigation committee dated 9 June 2022 is set aside</w:t>
      </w:r>
      <w:r w:rsidR="00211E7A" w:rsidRPr="00226DA1">
        <w:rPr>
          <w:rFonts w:ascii="Arial" w:hAnsi="Arial" w:cs="Arial"/>
          <w:sz w:val="20"/>
          <w:szCs w:val="20"/>
        </w:rPr>
        <w:t xml:space="preserve">, and the Applicant’s complaint shall be referred to a new Investigation Committee appointed by the </w:t>
      </w:r>
      <w:r w:rsidR="00F55B23" w:rsidRPr="00226DA1">
        <w:rPr>
          <w:rFonts w:ascii="Arial" w:hAnsi="Arial" w:cs="Arial"/>
          <w:sz w:val="20"/>
          <w:szCs w:val="20"/>
        </w:rPr>
        <w:t xml:space="preserve">Director of the Respondent’s Eastern Cape Provincial Office for investigation in accordance with </w:t>
      </w:r>
      <w:r w:rsidR="00AC53D4" w:rsidRPr="00226DA1">
        <w:rPr>
          <w:rFonts w:ascii="Arial" w:hAnsi="Arial" w:cs="Arial"/>
          <w:sz w:val="20"/>
          <w:szCs w:val="20"/>
        </w:rPr>
        <w:t xml:space="preserve">Rule </w:t>
      </w:r>
      <w:r w:rsidR="00FE77A2" w:rsidRPr="00226DA1">
        <w:rPr>
          <w:rFonts w:ascii="Arial" w:hAnsi="Arial" w:cs="Arial"/>
          <w:sz w:val="20"/>
          <w:szCs w:val="20"/>
        </w:rPr>
        <w:t>40 of the Rules</w:t>
      </w:r>
      <w:r w:rsidR="00020960" w:rsidRPr="00226DA1">
        <w:rPr>
          <w:rFonts w:ascii="Arial" w:hAnsi="Arial" w:cs="Arial"/>
          <w:sz w:val="20"/>
          <w:szCs w:val="20"/>
        </w:rPr>
        <w:t xml:space="preserve"> promulgated </w:t>
      </w:r>
      <w:r w:rsidR="00B03EA9" w:rsidRPr="00226DA1">
        <w:rPr>
          <w:rFonts w:ascii="Arial" w:hAnsi="Arial" w:cs="Arial"/>
          <w:sz w:val="20"/>
          <w:szCs w:val="20"/>
        </w:rPr>
        <w:t xml:space="preserve">under the Legal Practice Act, with the investigation committee to consist of at least two suitably qualified </w:t>
      </w:r>
      <w:r w:rsidR="0039245F" w:rsidRPr="00226DA1">
        <w:rPr>
          <w:rFonts w:ascii="Arial" w:hAnsi="Arial" w:cs="Arial"/>
          <w:sz w:val="20"/>
          <w:szCs w:val="20"/>
        </w:rPr>
        <w:t>legal practitioners; and</w:t>
      </w:r>
    </w:p>
    <w:p w14:paraId="58488583" w14:textId="0E202395" w:rsidR="008A32D8" w:rsidRPr="00226DA1" w:rsidRDefault="0039245F" w:rsidP="00A41036">
      <w:pPr>
        <w:spacing w:line="360" w:lineRule="auto"/>
        <w:ind w:firstLine="720"/>
        <w:jc w:val="both"/>
        <w:rPr>
          <w:rFonts w:ascii="Arial" w:hAnsi="Arial" w:cs="Arial"/>
          <w:sz w:val="20"/>
          <w:szCs w:val="20"/>
        </w:rPr>
      </w:pPr>
      <w:r w:rsidRPr="00226DA1">
        <w:rPr>
          <w:rFonts w:ascii="Arial" w:hAnsi="Arial" w:cs="Arial"/>
          <w:sz w:val="20"/>
          <w:szCs w:val="20"/>
        </w:rPr>
        <w:t>…each party shall pay its own costs.’</w:t>
      </w:r>
      <w:r w:rsidR="000B465D" w:rsidRPr="00226DA1">
        <w:rPr>
          <w:rStyle w:val="FootnoteReference"/>
          <w:rFonts w:ascii="Arial" w:hAnsi="Arial" w:cs="Arial"/>
          <w:sz w:val="20"/>
          <w:szCs w:val="20"/>
        </w:rPr>
        <w:footnoteReference w:id="1"/>
      </w:r>
    </w:p>
    <w:p w14:paraId="1AD71101" w14:textId="77777777" w:rsidR="008A32D8" w:rsidRDefault="008A32D8" w:rsidP="00DE1286">
      <w:pPr>
        <w:spacing w:line="360" w:lineRule="auto"/>
        <w:rPr>
          <w:rFonts w:ascii="Arial" w:hAnsi="Arial" w:cs="Arial"/>
          <w:sz w:val="24"/>
          <w:szCs w:val="24"/>
        </w:rPr>
      </w:pPr>
    </w:p>
    <w:p w14:paraId="2E7E488B" w14:textId="15C68CA4"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A32D8" w:rsidRPr="00D92068">
        <w:rPr>
          <w:rFonts w:ascii="Arial" w:hAnsi="Arial" w:cs="Arial"/>
          <w:sz w:val="24"/>
          <w:szCs w:val="24"/>
        </w:rPr>
        <w:t xml:space="preserve">The applicant accepted </w:t>
      </w:r>
      <w:r w:rsidR="00D456C9" w:rsidRPr="00D92068">
        <w:rPr>
          <w:rFonts w:ascii="Arial" w:hAnsi="Arial" w:cs="Arial"/>
          <w:sz w:val="24"/>
          <w:szCs w:val="24"/>
        </w:rPr>
        <w:t xml:space="preserve">the proposal but insisted that the respondent pay the costs of the application on </w:t>
      </w:r>
      <w:r w:rsidR="00226DA1" w:rsidRPr="00D92068">
        <w:rPr>
          <w:rFonts w:ascii="Arial" w:hAnsi="Arial" w:cs="Arial"/>
          <w:sz w:val="24"/>
          <w:szCs w:val="24"/>
        </w:rPr>
        <w:t>an attorney-and-client scale.</w:t>
      </w:r>
      <w:r w:rsidR="002E6420" w:rsidRPr="00D92068">
        <w:rPr>
          <w:rFonts w:ascii="Arial" w:hAnsi="Arial" w:cs="Arial"/>
          <w:sz w:val="24"/>
          <w:szCs w:val="24"/>
        </w:rPr>
        <w:t xml:space="preserve"> The parties </w:t>
      </w:r>
      <w:r w:rsidR="00405E14" w:rsidRPr="00D92068">
        <w:rPr>
          <w:rFonts w:ascii="Arial" w:hAnsi="Arial" w:cs="Arial"/>
          <w:sz w:val="24"/>
          <w:szCs w:val="24"/>
        </w:rPr>
        <w:t>reached a deadlock on the issue.</w:t>
      </w:r>
    </w:p>
    <w:p w14:paraId="661A4538" w14:textId="77777777" w:rsidR="00CF0949" w:rsidRDefault="00CF0949" w:rsidP="00CF0949">
      <w:pPr>
        <w:pStyle w:val="ListParagraph"/>
        <w:spacing w:line="360" w:lineRule="auto"/>
        <w:ind w:left="0"/>
        <w:jc w:val="both"/>
        <w:rPr>
          <w:rFonts w:ascii="Arial" w:hAnsi="Arial" w:cs="Arial"/>
          <w:sz w:val="24"/>
          <w:szCs w:val="24"/>
        </w:rPr>
      </w:pPr>
    </w:p>
    <w:p w14:paraId="6E92CC88" w14:textId="04717DC1" w:rsidR="00E35770"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[8]</w:t>
      </w:r>
      <w:r w:rsidRPr="00CF0949">
        <w:rPr>
          <w:rFonts w:ascii="Arial" w:hAnsi="Arial" w:cs="Arial"/>
          <w:sz w:val="24"/>
          <w:szCs w:val="24"/>
        </w:rPr>
        <w:tab/>
      </w:r>
      <w:r w:rsidR="00E35770" w:rsidRPr="00D92068">
        <w:rPr>
          <w:rFonts w:ascii="Arial" w:hAnsi="Arial" w:cs="Arial"/>
          <w:sz w:val="24"/>
          <w:szCs w:val="24"/>
        </w:rPr>
        <w:t>The respondent aver</w:t>
      </w:r>
      <w:r w:rsidR="00D621E7" w:rsidRPr="00D92068">
        <w:rPr>
          <w:rFonts w:ascii="Arial" w:hAnsi="Arial" w:cs="Arial"/>
          <w:sz w:val="24"/>
          <w:szCs w:val="24"/>
        </w:rPr>
        <w:t>red</w:t>
      </w:r>
      <w:r w:rsidR="00E35770" w:rsidRPr="00D92068">
        <w:rPr>
          <w:rFonts w:ascii="Arial" w:hAnsi="Arial" w:cs="Arial"/>
          <w:sz w:val="24"/>
          <w:szCs w:val="24"/>
        </w:rPr>
        <w:t xml:space="preserve"> that </w:t>
      </w:r>
      <w:r w:rsidR="0071341F" w:rsidRPr="00D92068">
        <w:rPr>
          <w:rFonts w:ascii="Arial" w:hAnsi="Arial" w:cs="Arial"/>
          <w:sz w:val="24"/>
          <w:szCs w:val="24"/>
        </w:rPr>
        <w:t xml:space="preserve">it </w:t>
      </w:r>
      <w:r w:rsidR="00B542CD" w:rsidRPr="00D92068">
        <w:rPr>
          <w:rFonts w:ascii="Arial" w:hAnsi="Arial" w:cs="Arial"/>
          <w:sz w:val="24"/>
          <w:szCs w:val="24"/>
        </w:rPr>
        <w:t xml:space="preserve">had </w:t>
      </w:r>
      <w:r w:rsidR="0071341F" w:rsidRPr="00D92068">
        <w:rPr>
          <w:rFonts w:ascii="Arial" w:hAnsi="Arial" w:cs="Arial"/>
          <w:sz w:val="24"/>
          <w:szCs w:val="24"/>
        </w:rPr>
        <w:t xml:space="preserve">made the proposal </w:t>
      </w:r>
      <w:r w:rsidR="007559FE" w:rsidRPr="00D92068">
        <w:rPr>
          <w:rFonts w:ascii="Arial" w:hAnsi="Arial" w:cs="Arial"/>
          <w:sz w:val="24"/>
          <w:szCs w:val="24"/>
        </w:rPr>
        <w:t xml:space="preserve">for </w:t>
      </w:r>
      <w:r w:rsidR="00CC25BE" w:rsidRPr="00D92068">
        <w:rPr>
          <w:rFonts w:ascii="Arial" w:hAnsi="Arial" w:cs="Arial"/>
          <w:sz w:val="24"/>
          <w:szCs w:val="24"/>
        </w:rPr>
        <w:t>pragmatic purposes</w:t>
      </w:r>
      <w:r w:rsidR="002471D3" w:rsidRPr="00D92068">
        <w:rPr>
          <w:rFonts w:ascii="Arial" w:hAnsi="Arial" w:cs="Arial"/>
          <w:sz w:val="24"/>
          <w:szCs w:val="24"/>
        </w:rPr>
        <w:t xml:space="preserve">, </w:t>
      </w:r>
      <w:r w:rsidR="00CC25BE" w:rsidRPr="00D92068">
        <w:rPr>
          <w:rFonts w:ascii="Arial" w:hAnsi="Arial" w:cs="Arial"/>
          <w:sz w:val="24"/>
          <w:szCs w:val="24"/>
        </w:rPr>
        <w:t xml:space="preserve">to </w:t>
      </w:r>
      <w:r w:rsidR="00FE1B39" w:rsidRPr="00D92068">
        <w:rPr>
          <w:rFonts w:ascii="Arial" w:hAnsi="Arial" w:cs="Arial"/>
          <w:sz w:val="24"/>
          <w:szCs w:val="24"/>
        </w:rPr>
        <w:t xml:space="preserve">avoid the costs of </w:t>
      </w:r>
      <w:r w:rsidR="00A36F4F" w:rsidRPr="00D92068">
        <w:rPr>
          <w:rFonts w:ascii="Arial" w:hAnsi="Arial" w:cs="Arial"/>
          <w:sz w:val="24"/>
          <w:szCs w:val="24"/>
        </w:rPr>
        <w:t>litigation</w:t>
      </w:r>
      <w:r w:rsidR="002471D3" w:rsidRPr="00D92068">
        <w:rPr>
          <w:rFonts w:ascii="Arial" w:hAnsi="Arial" w:cs="Arial"/>
          <w:sz w:val="24"/>
          <w:szCs w:val="24"/>
        </w:rPr>
        <w:t>. I</w:t>
      </w:r>
      <w:r w:rsidR="00CC25BE" w:rsidRPr="00D92068">
        <w:rPr>
          <w:rFonts w:ascii="Arial" w:hAnsi="Arial" w:cs="Arial"/>
          <w:sz w:val="24"/>
          <w:szCs w:val="24"/>
        </w:rPr>
        <w:t xml:space="preserve">n any event, no internal appeal was available </w:t>
      </w:r>
      <w:r w:rsidR="007D10EF" w:rsidRPr="00D92068">
        <w:rPr>
          <w:rFonts w:ascii="Arial" w:hAnsi="Arial" w:cs="Arial"/>
          <w:sz w:val="24"/>
          <w:szCs w:val="24"/>
        </w:rPr>
        <w:t xml:space="preserve">because </w:t>
      </w:r>
      <w:r w:rsidR="00A36F4F" w:rsidRPr="00D92068">
        <w:rPr>
          <w:rFonts w:ascii="Arial" w:hAnsi="Arial" w:cs="Arial"/>
          <w:sz w:val="24"/>
          <w:szCs w:val="24"/>
        </w:rPr>
        <w:t xml:space="preserve">the </w:t>
      </w:r>
      <w:r w:rsidR="007658C6" w:rsidRPr="00D92068">
        <w:rPr>
          <w:rFonts w:ascii="Arial" w:hAnsi="Arial" w:cs="Arial"/>
          <w:sz w:val="24"/>
          <w:szCs w:val="24"/>
        </w:rPr>
        <w:t xml:space="preserve">appeal tribunal was not </w:t>
      </w:r>
      <w:r w:rsidR="007D10EF" w:rsidRPr="00D92068">
        <w:rPr>
          <w:rFonts w:ascii="Arial" w:hAnsi="Arial" w:cs="Arial"/>
          <w:sz w:val="24"/>
          <w:szCs w:val="24"/>
        </w:rPr>
        <w:t xml:space="preserve">yet </w:t>
      </w:r>
      <w:r w:rsidR="007658C6" w:rsidRPr="00D92068">
        <w:rPr>
          <w:rFonts w:ascii="Arial" w:hAnsi="Arial" w:cs="Arial"/>
          <w:sz w:val="24"/>
          <w:szCs w:val="24"/>
        </w:rPr>
        <w:t>operational</w:t>
      </w:r>
      <w:r w:rsidR="007559FE" w:rsidRPr="00D92068">
        <w:rPr>
          <w:rFonts w:ascii="Arial" w:hAnsi="Arial" w:cs="Arial"/>
          <w:sz w:val="24"/>
          <w:szCs w:val="24"/>
        </w:rPr>
        <w:t>.</w:t>
      </w:r>
    </w:p>
    <w:p w14:paraId="331DE5BA" w14:textId="77777777" w:rsidR="004270C5" w:rsidRDefault="004270C5" w:rsidP="00DE1286">
      <w:pPr>
        <w:spacing w:line="360" w:lineRule="auto"/>
        <w:rPr>
          <w:rFonts w:ascii="Arial" w:hAnsi="Arial" w:cs="Arial"/>
          <w:sz w:val="24"/>
          <w:szCs w:val="24"/>
        </w:rPr>
      </w:pPr>
    </w:p>
    <w:p w14:paraId="1326F87C" w14:textId="73759E18" w:rsidR="004270C5" w:rsidRPr="004270C5" w:rsidRDefault="004270C5" w:rsidP="00CF0949">
      <w:pPr>
        <w:spacing w:line="360" w:lineRule="auto"/>
        <w:jc w:val="both"/>
        <w:rPr>
          <w:rFonts w:ascii="Arial" w:hAnsi="Arial" w:cs="Arial"/>
          <w:b/>
          <w:bCs/>
          <w:sz w:val="24"/>
          <w:szCs w:val="24"/>
        </w:rPr>
      </w:pPr>
      <w:r w:rsidRPr="004270C5">
        <w:rPr>
          <w:rFonts w:ascii="Arial" w:hAnsi="Arial" w:cs="Arial"/>
          <w:b/>
          <w:bCs/>
          <w:sz w:val="24"/>
          <w:szCs w:val="24"/>
        </w:rPr>
        <w:t>In reply</w:t>
      </w:r>
    </w:p>
    <w:p w14:paraId="421D5FA4" w14:textId="77777777" w:rsidR="004270C5" w:rsidRDefault="004270C5" w:rsidP="00DE1286">
      <w:pPr>
        <w:spacing w:line="360" w:lineRule="auto"/>
        <w:rPr>
          <w:rFonts w:ascii="Arial" w:hAnsi="Arial" w:cs="Arial"/>
          <w:sz w:val="24"/>
          <w:szCs w:val="24"/>
        </w:rPr>
      </w:pPr>
    </w:p>
    <w:p w14:paraId="4EE5A254" w14:textId="58C3CBF2"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270C5" w:rsidRPr="00D92068">
        <w:rPr>
          <w:rFonts w:ascii="Arial" w:hAnsi="Arial" w:cs="Arial"/>
          <w:sz w:val="24"/>
          <w:szCs w:val="24"/>
        </w:rPr>
        <w:t>The applicant</w:t>
      </w:r>
      <w:r w:rsidR="00C22BF0" w:rsidRPr="00D92068">
        <w:rPr>
          <w:rFonts w:ascii="Arial" w:hAnsi="Arial" w:cs="Arial"/>
          <w:sz w:val="24"/>
          <w:szCs w:val="24"/>
        </w:rPr>
        <w:t xml:space="preserve"> </w:t>
      </w:r>
      <w:r w:rsidR="0003479A" w:rsidRPr="00D92068">
        <w:rPr>
          <w:rFonts w:ascii="Arial" w:hAnsi="Arial" w:cs="Arial"/>
          <w:sz w:val="24"/>
          <w:szCs w:val="24"/>
        </w:rPr>
        <w:t>asserted that the respondent had f</w:t>
      </w:r>
      <w:r w:rsidR="00464357" w:rsidRPr="00D92068">
        <w:rPr>
          <w:rFonts w:ascii="Arial" w:hAnsi="Arial" w:cs="Arial"/>
          <w:sz w:val="24"/>
          <w:szCs w:val="24"/>
        </w:rPr>
        <w:t>a</w:t>
      </w:r>
      <w:r w:rsidR="0003479A" w:rsidRPr="00D92068">
        <w:rPr>
          <w:rFonts w:ascii="Arial" w:hAnsi="Arial" w:cs="Arial"/>
          <w:sz w:val="24"/>
          <w:szCs w:val="24"/>
        </w:rPr>
        <w:t xml:space="preserve">iled to </w:t>
      </w:r>
      <w:r w:rsidR="004333F1" w:rsidRPr="00D92068">
        <w:rPr>
          <w:rFonts w:ascii="Arial" w:hAnsi="Arial" w:cs="Arial"/>
          <w:sz w:val="24"/>
          <w:szCs w:val="24"/>
        </w:rPr>
        <w:t xml:space="preserve">comply with rule 53 of the Uniform Rules of Court (‘URC’) </w:t>
      </w:r>
      <w:r w:rsidR="00A174F2" w:rsidRPr="00D92068">
        <w:rPr>
          <w:rFonts w:ascii="Arial" w:hAnsi="Arial" w:cs="Arial"/>
          <w:sz w:val="24"/>
          <w:szCs w:val="24"/>
        </w:rPr>
        <w:t>since</w:t>
      </w:r>
      <w:r w:rsidR="004333F1" w:rsidRPr="00D92068">
        <w:rPr>
          <w:rFonts w:ascii="Arial" w:hAnsi="Arial" w:cs="Arial"/>
          <w:sz w:val="24"/>
          <w:szCs w:val="24"/>
        </w:rPr>
        <w:t xml:space="preserve"> it had f</w:t>
      </w:r>
      <w:r w:rsidR="00464357" w:rsidRPr="00D92068">
        <w:rPr>
          <w:rFonts w:ascii="Arial" w:hAnsi="Arial" w:cs="Arial"/>
          <w:sz w:val="24"/>
          <w:szCs w:val="24"/>
        </w:rPr>
        <w:t>a</w:t>
      </w:r>
      <w:r w:rsidR="004333F1" w:rsidRPr="00D92068">
        <w:rPr>
          <w:rFonts w:ascii="Arial" w:hAnsi="Arial" w:cs="Arial"/>
          <w:sz w:val="24"/>
          <w:szCs w:val="24"/>
        </w:rPr>
        <w:t>iled to deliver the record of the investigat</w:t>
      </w:r>
      <w:r w:rsidR="00A174F2" w:rsidRPr="00D92068">
        <w:rPr>
          <w:rFonts w:ascii="Arial" w:hAnsi="Arial" w:cs="Arial"/>
          <w:sz w:val="24"/>
          <w:szCs w:val="24"/>
        </w:rPr>
        <w:t xml:space="preserve">ing </w:t>
      </w:r>
      <w:r w:rsidR="004333F1" w:rsidRPr="00D92068">
        <w:rPr>
          <w:rFonts w:ascii="Arial" w:hAnsi="Arial" w:cs="Arial"/>
          <w:sz w:val="24"/>
          <w:szCs w:val="24"/>
        </w:rPr>
        <w:t>committee’s decision</w:t>
      </w:r>
      <w:r w:rsidR="00A174F2" w:rsidRPr="00D92068">
        <w:rPr>
          <w:rFonts w:ascii="Arial" w:hAnsi="Arial" w:cs="Arial"/>
          <w:sz w:val="24"/>
          <w:szCs w:val="24"/>
        </w:rPr>
        <w:t>.</w:t>
      </w:r>
      <w:r w:rsidR="00FD482D" w:rsidRPr="00D92068">
        <w:rPr>
          <w:rFonts w:ascii="Arial" w:hAnsi="Arial" w:cs="Arial"/>
          <w:sz w:val="24"/>
          <w:szCs w:val="24"/>
        </w:rPr>
        <w:t xml:space="preserve"> This had created prejudice.</w:t>
      </w:r>
    </w:p>
    <w:p w14:paraId="11D022E4" w14:textId="77777777" w:rsidR="00CF0949" w:rsidRDefault="00CF0949" w:rsidP="00CF0949">
      <w:pPr>
        <w:pStyle w:val="ListParagraph"/>
        <w:spacing w:line="360" w:lineRule="auto"/>
        <w:ind w:left="0"/>
        <w:jc w:val="both"/>
        <w:rPr>
          <w:rFonts w:ascii="Arial" w:hAnsi="Arial" w:cs="Arial"/>
          <w:sz w:val="24"/>
          <w:szCs w:val="24"/>
        </w:rPr>
      </w:pPr>
    </w:p>
    <w:p w14:paraId="587A1027" w14:textId="59DB66A1" w:rsidR="00276DE4"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lastRenderedPageBreak/>
        <w:t>[10]</w:t>
      </w:r>
      <w:r w:rsidRPr="00CF0949">
        <w:rPr>
          <w:rFonts w:ascii="Arial" w:hAnsi="Arial" w:cs="Arial"/>
          <w:sz w:val="24"/>
          <w:szCs w:val="24"/>
        </w:rPr>
        <w:tab/>
      </w:r>
      <w:r w:rsidR="009D10B6" w:rsidRPr="00D92068">
        <w:rPr>
          <w:rFonts w:ascii="Arial" w:hAnsi="Arial" w:cs="Arial"/>
          <w:sz w:val="24"/>
          <w:szCs w:val="24"/>
        </w:rPr>
        <w:t xml:space="preserve">He admitted that he had accepted the respondent’s proposal, save for the </w:t>
      </w:r>
      <w:r w:rsidR="00D44C6C" w:rsidRPr="00D92068">
        <w:rPr>
          <w:rFonts w:ascii="Arial" w:hAnsi="Arial" w:cs="Arial"/>
          <w:sz w:val="24"/>
          <w:szCs w:val="24"/>
        </w:rPr>
        <w:t xml:space="preserve">question of costs. The real reason </w:t>
      </w:r>
      <w:r w:rsidR="00BB7846" w:rsidRPr="00D92068">
        <w:rPr>
          <w:rFonts w:ascii="Arial" w:hAnsi="Arial" w:cs="Arial"/>
          <w:sz w:val="24"/>
          <w:szCs w:val="24"/>
        </w:rPr>
        <w:t xml:space="preserve">why the respondent made the proposal, said the applicant, was because </w:t>
      </w:r>
      <w:r w:rsidR="00BB7608" w:rsidRPr="00D92068">
        <w:rPr>
          <w:rFonts w:ascii="Arial" w:hAnsi="Arial" w:cs="Arial"/>
          <w:sz w:val="24"/>
          <w:szCs w:val="24"/>
        </w:rPr>
        <w:t xml:space="preserve">it had not properly investigated </w:t>
      </w:r>
      <w:r w:rsidR="00A86CC1" w:rsidRPr="00D92068">
        <w:rPr>
          <w:rFonts w:ascii="Arial" w:hAnsi="Arial" w:cs="Arial"/>
          <w:sz w:val="24"/>
          <w:szCs w:val="24"/>
        </w:rPr>
        <w:t>his complaint before reaching its decision.</w:t>
      </w:r>
    </w:p>
    <w:p w14:paraId="729CA3E3" w14:textId="3AEBFF19" w:rsidR="00A86CC1" w:rsidRPr="00CD117B" w:rsidRDefault="00A86CC1" w:rsidP="00CF0949">
      <w:pPr>
        <w:spacing w:line="360" w:lineRule="auto"/>
        <w:jc w:val="both"/>
        <w:rPr>
          <w:rFonts w:ascii="Arial" w:hAnsi="Arial" w:cs="Arial"/>
          <w:b/>
          <w:bCs/>
          <w:sz w:val="24"/>
          <w:szCs w:val="24"/>
        </w:rPr>
      </w:pPr>
      <w:r w:rsidRPr="00CD117B">
        <w:rPr>
          <w:rFonts w:ascii="Arial" w:hAnsi="Arial" w:cs="Arial"/>
          <w:b/>
          <w:bCs/>
          <w:sz w:val="24"/>
          <w:szCs w:val="24"/>
        </w:rPr>
        <w:t xml:space="preserve">Issues to </w:t>
      </w:r>
      <w:r w:rsidR="00CD117B">
        <w:rPr>
          <w:rFonts w:ascii="Arial" w:hAnsi="Arial" w:cs="Arial"/>
          <w:b/>
          <w:bCs/>
          <w:sz w:val="24"/>
          <w:szCs w:val="24"/>
        </w:rPr>
        <w:t>have been</w:t>
      </w:r>
      <w:r w:rsidRPr="00CD117B">
        <w:rPr>
          <w:rFonts w:ascii="Arial" w:hAnsi="Arial" w:cs="Arial"/>
          <w:b/>
          <w:bCs/>
          <w:sz w:val="24"/>
          <w:szCs w:val="24"/>
        </w:rPr>
        <w:t xml:space="preserve"> </w:t>
      </w:r>
      <w:proofErr w:type="gramStart"/>
      <w:r w:rsidRPr="00CD117B">
        <w:rPr>
          <w:rFonts w:ascii="Arial" w:hAnsi="Arial" w:cs="Arial"/>
          <w:b/>
          <w:bCs/>
          <w:sz w:val="24"/>
          <w:szCs w:val="24"/>
        </w:rPr>
        <w:t>decided</w:t>
      </w:r>
      <w:proofErr w:type="gramEnd"/>
    </w:p>
    <w:p w14:paraId="12A9F31B" w14:textId="77777777" w:rsidR="00A86CC1" w:rsidRDefault="00A86CC1" w:rsidP="00DE1286">
      <w:pPr>
        <w:spacing w:line="360" w:lineRule="auto"/>
        <w:rPr>
          <w:rFonts w:ascii="Arial" w:hAnsi="Arial" w:cs="Arial"/>
          <w:sz w:val="24"/>
          <w:szCs w:val="24"/>
        </w:rPr>
      </w:pPr>
    </w:p>
    <w:p w14:paraId="6B0F5B65" w14:textId="3AB60073"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86CC1" w:rsidRPr="00D92068">
        <w:rPr>
          <w:rFonts w:ascii="Arial" w:hAnsi="Arial" w:cs="Arial"/>
          <w:sz w:val="24"/>
          <w:szCs w:val="24"/>
        </w:rPr>
        <w:t>The parties</w:t>
      </w:r>
      <w:r w:rsidR="005C6245" w:rsidRPr="00D92068">
        <w:rPr>
          <w:rFonts w:ascii="Arial" w:hAnsi="Arial" w:cs="Arial"/>
          <w:sz w:val="24"/>
          <w:szCs w:val="24"/>
        </w:rPr>
        <w:t xml:space="preserve"> were </w:t>
      </w:r>
      <w:r w:rsidR="00D67B72" w:rsidRPr="00D92068">
        <w:rPr>
          <w:rFonts w:ascii="Arial" w:hAnsi="Arial" w:cs="Arial"/>
          <w:i/>
          <w:iCs/>
          <w:sz w:val="24"/>
          <w:szCs w:val="24"/>
        </w:rPr>
        <w:t>ad idem</w:t>
      </w:r>
      <w:r w:rsidR="00D67B72" w:rsidRPr="00D92068">
        <w:rPr>
          <w:rFonts w:ascii="Arial" w:hAnsi="Arial" w:cs="Arial"/>
          <w:sz w:val="24"/>
          <w:szCs w:val="24"/>
        </w:rPr>
        <w:t>, at the commencement of argument, that the only issue before the court was that of costs. The merits had already been settled.</w:t>
      </w:r>
    </w:p>
    <w:p w14:paraId="6AFBD802" w14:textId="77777777" w:rsidR="00CF0949" w:rsidRDefault="00CF0949" w:rsidP="00CF0949">
      <w:pPr>
        <w:pStyle w:val="ListParagraph"/>
        <w:spacing w:line="360" w:lineRule="auto"/>
        <w:ind w:left="0"/>
        <w:jc w:val="both"/>
        <w:rPr>
          <w:rFonts w:ascii="Arial" w:hAnsi="Arial" w:cs="Arial"/>
          <w:sz w:val="24"/>
          <w:szCs w:val="24"/>
        </w:rPr>
      </w:pPr>
    </w:p>
    <w:p w14:paraId="199AAAFD" w14:textId="5526B44A" w:rsidR="00390068"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[12]</w:t>
      </w:r>
      <w:r w:rsidRPr="00CF0949">
        <w:rPr>
          <w:rFonts w:ascii="Arial" w:hAnsi="Arial" w:cs="Arial"/>
          <w:sz w:val="24"/>
          <w:szCs w:val="24"/>
        </w:rPr>
        <w:tab/>
      </w:r>
      <w:r w:rsidR="00732C4D" w:rsidRPr="00D92068">
        <w:rPr>
          <w:rFonts w:ascii="Arial" w:hAnsi="Arial" w:cs="Arial"/>
          <w:sz w:val="24"/>
          <w:szCs w:val="24"/>
        </w:rPr>
        <w:t xml:space="preserve">It is necessary to discuss, briefly, the principles </w:t>
      </w:r>
      <w:r w:rsidR="0034116C" w:rsidRPr="00D92068">
        <w:rPr>
          <w:rFonts w:ascii="Arial" w:hAnsi="Arial" w:cs="Arial"/>
          <w:sz w:val="24"/>
          <w:szCs w:val="24"/>
        </w:rPr>
        <w:t xml:space="preserve">that </w:t>
      </w:r>
      <w:r w:rsidR="00501177" w:rsidRPr="00D92068">
        <w:rPr>
          <w:rFonts w:ascii="Arial" w:hAnsi="Arial" w:cs="Arial"/>
          <w:sz w:val="24"/>
          <w:szCs w:val="24"/>
        </w:rPr>
        <w:t>we</w:t>
      </w:r>
      <w:r w:rsidR="0034116C" w:rsidRPr="00D92068">
        <w:rPr>
          <w:rFonts w:ascii="Arial" w:hAnsi="Arial" w:cs="Arial"/>
          <w:sz w:val="24"/>
          <w:szCs w:val="24"/>
        </w:rPr>
        <w:t xml:space="preserve">re relevant to the </w:t>
      </w:r>
      <w:r w:rsidR="00501177" w:rsidRPr="00D92068">
        <w:rPr>
          <w:rFonts w:ascii="Arial" w:hAnsi="Arial" w:cs="Arial"/>
          <w:sz w:val="24"/>
          <w:szCs w:val="24"/>
        </w:rPr>
        <w:t>decision.</w:t>
      </w:r>
    </w:p>
    <w:p w14:paraId="09F02386" w14:textId="77777777" w:rsidR="00501177" w:rsidRDefault="00501177" w:rsidP="00DE1286">
      <w:pPr>
        <w:spacing w:line="360" w:lineRule="auto"/>
        <w:rPr>
          <w:rFonts w:ascii="Arial" w:hAnsi="Arial" w:cs="Arial"/>
          <w:sz w:val="24"/>
          <w:szCs w:val="24"/>
        </w:rPr>
      </w:pPr>
    </w:p>
    <w:p w14:paraId="08728EAE" w14:textId="1376BA49" w:rsidR="00501177" w:rsidRPr="00501177" w:rsidRDefault="00501177" w:rsidP="00CF0949">
      <w:pPr>
        <w:spacing w:line="360" w:lineRule="auto"/>
        <w:jc w:val="both"/>
        <w:rPr>
          <w:rFonts w:ascii="Arial" w:hAnsi="Arial" w:cs="Arial"/>
          <w:b/>
          <w:bCs/>
          <w:sz w:val="24"/>
          <w:szCs w:val="24"/>
        </w:rPr>
      </w:pPr>
      <w:r w:rsidRPr="00501177">
        <w:rPr>
          <w:rFonts w:ascii="Arial" w:hAnsi="Arial" w:cs="Arial"/>
          <w:b/>
          <w:bCs/>
          <w:sz w:val="24"/>
          <w:szCs w:val="24"/>
        </w:rPr>
        <w:t>Legal framework</w:t>
      </w:r>
    </w:p>
    <w:p w14:paraId="2E67DC90" w14:textId="77777777" w:rsidR="00501177" w:rsidRDefault="00501177" w:rsidP="00DE1286">
      <w:pPr>
        <w:spacing w:line="360" w:lineRule="auto"/>
        <w:rPr>
          <w:rFonts w:ascii="Arial" w:hAnsi="Arial" w:cs="Arial"/>
          <w:sz w:val="24"/>
          <w:szCs w:val="24"/>
        </w:rPr>
      </w:pPr>
    </w:p>
    <w:p w14:paraId="52D7E7BD" w14:textId="03770D22" w:rsidR="00501177"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[13]</w:t>
      </w:r>
      <w:r w:rsidRPr="00CF0949">
        <w:rPr>
          <w:rFonts w:ascii="Arial" w:hAnsi="Arial" w:cs="Arial"/>
          <w:sz w:val="24"/>
          <w:szCs w:val="24"/>
        </w:rPr>
        <w:tab/>
      </w:r>
      <w:r w:rsidR="00501177" w:rsidRPr="00D92068">
        <w:rPr>
          <w:rFonts w:ascii="Arial" w:hAnsi="Arial" w:cs="Arial"/>
          <w:sz w:val="24"/>
          <w:szCs w:val="24"/>
        </w:rPr>
        <w:t>A court</w:t>
      </w:r>
      <w:r w:rsidR="003D72E8" w:rsidRPr="00D92068">
        <w:rPr>
          <w:rFonts w:ascii="Arial" w:hAnsi="Arial" w:cs="Arial"/>
          <w:sz w:val="24"/>
          <w:szCs w:val="24"/>
        </w:rPr>
        <w:t xml:space="preserve"> </w:t>
      </w:r>
      <w:r w:rsidR="00D621E7" w:rsidRPr="00D92068">
        <w:rPr>
          <w:rFonts w:ascii="Arial" w:hAnsi="Arial" w:cs="Arial"/>
          <w:sz w:val="24"/>
          <w:szCs w:val="24"/>
        </w:rPr>
        <w:t xml:space="preserve">enjoys a wide </w:t>
      </w:r>
      <w:r w:rsidR="003D72E8" w:rsidRPr="00D92068">
        <w:rPr>
          <w:rFonts w:ascii="Arial" w:hAnsi="Arial" w:cs="Arial"/>
          <w:sz w:val="24"/>
          <w:szCs w:val="24"/>
        </w:rPr>
        <w:t xml:space="preserve">discretion </w:t>
      </w:r>
      <w:r w:rsidR="007801F1" w:rsidRPr="00D92068">
        <w:rPr>
          <w:rFonts w:ascii="Arial" w:hAnsi="Arial" w:cs="Arial"/>
          <w:sz w:val="24"/>
          <w:szCs w:val="24"/>
        </w:rPr>
        <w:t xml:space="preserve">when making a costs </w:t>
      </w:r>
      <w:r w:rsidR="00C86DCB" w:rsidRPr="00D92068">
        <w:rPr>
          <w:rFonts w:ascii="Arial" w:hAnsi="Arial" w:cs="Arial"/>
          <w:sz w:val="24"/>
          <w:szCs w:val="24"/>
        </w:rPr>
        <w:t>order</w:t>
      </w:r>
      <w:r w:rsidR="007801F1" w:rsidRPr="00D92068">
        <w:rPr>
          <w:rFonts w:ascii="Arial" w:hAnsi="Arial" w:cs="Arial"/>
          <w:sz w:val="24"/>
          <w:szCs w:val="24"/>
        </w:rPr>
        <w:t xml:space="preserve">. Van </w:t>
      </w:r>
      <w:proofErr w:type="spellStart"/>
      <w:r w:rsidR="007801F1" w:rsidRPr="00D92068">
        <w:rPr>
          <w:rFonts w:ascii="Arial" w:hAnsi="Arial" w:cs="Arial"/>
          <w:sz w:val="24"/>
          <w:szCs w:val="24"/>
        </w:rPr>
        <w:t>Loggerenberg</w:t>
      </w:r>
      <w:proofErr w:type="spellEnd"/>
      <w:r w:rsidR="007801F1" w:rsidRPr="00D92068">
        <w:rPr>
          <w:rFonts w:ascii="Arial" w:hAnsi="Arial" w:cs="Arial"/>
          <w:sz w:val="24"/>
          <w:szCs w:val="24"/>
        </w:rPr>
        <w:t xml:space="preserve"> ha</w:t>
      </w:r>
      <w:r w:rsidR="00587255" w:rsidRPr="00D92068">
        <w:rPr>
          <w:rFonts w:ascii="Arial" w:hAnsi="Arial" w:cs="Arial"/>
          <w:sz w:val="24"/>
          <w:szCs w:val="24"/>
        </w:rPr>
        <w:t>s</w:t>
      </w:r>
      <w:r w:rsidR="007801F1" w:rsidRPr="00D92068">
        <w:rPr>
          <w:rFonts w:ascii="Arial" w:hAnsi="Arial" w:cs="Arial"/>
          <w:sz w:val="24"/>
          <w:szCs w:val="24"/>
        </w:rPr>
        <w:t xml:space="preserve"> this to say </w:t>
      </w:r>
      <w:r w:rsidR="00587255" w:rsidRPr="00D92068">
        <w:rPr>
          <w:rFonts w:ascii="Arial" w:hAnsi="Arial" w:cs="Arial"/>
          <w:sz w:val="24"/>
          <w:szCs w:val="24"/>
        </w:rPr>
        <w:t>about the subject:</w:t>
      </w:r>
      <w:r w:rsidR="00587255">
        <w:rPr>
          <w:rStyle w:val="FootnoteReference"/>
          <w:rFonts w:ascii="Arial" w:hAnsi="Arial" w:cs="Arial"/>
          <w:sz w:val="24"/>
          <w:szCs w:val="24"/>
        </w:rPr>
        <w:footnoteReference w:id="2"/>
      </w:r>
    </w:p>
    <w:p w14:paraId="3C41D305" w14:textId="7562917D" w:rsidR="00587255" w:rsidRPr="0033509F" w:rsidRDefault="00587255" w:rsidP="00CF0949">
      <w:pPr>
        <w:spacing w:line="360" w:lineRule="auto"/>
        <w:ind w:left="720"/>
        <w:jc w:val="both"/>
        <w:rPr>
          <w:rFonts w:ascii="Arial" w:hAnsi="Arial" w:cs="Arial"/>
          <w:sz w:val="20"/>
          <w:szCs w:val="20"/>
        </w:rPr>
      </w:pPr>
      <w:r w:rsidRPr="0033509F">
        <w:rPr>
          <w:rFonts w:ascii="Arial" w:hAnsi="Arial" w:cs="Arial"/>
          <w:sz w:val="20"/>
          <w:szCs w:val="20"/>
        </w:rPr>
        <w:t>‘</w:t>
      </w:r>
      <w:r w:rsidR="007802B1" w:rsidRPr="0033509F">
        <w:rPr>
          <w:rFonts w:ascii="Arial" w:hAnsi="Arial" w:cs="Arial"/>
          <w:sz w:val="20"/>
          <w:szCs w:val="20"/>
        </w:rPr>
        <w:t xml:space="preserve">It has frequently been emphasized that in awarding costs, </w:t>
      </w:r>
      <w:r w:rsidR="00464B61" w:rsidRPr="0033509F">
        <w:rPr>
          <w:rFonts w:ascii="Arial" w:hAnsi="Arial" w:cs="Arial"/>
          <w:sz w:val="20"/>
          <w:szCs w:val="20"/>
        </w:rPr>
        <w:t xml:space="preserve">the court has a discretion to be exercised judicially upon a consideration </w:t>
      </w:r>
      <w:r w:rsidR="00C0281B" w:rsidRPr="0033509F">
        <w:rPr>
          <w:rFonts w:ascii="Arial" w:hAnsi="Arial" w:cs="Arial"/>
          <w:sz w:val="20"/>
          <w:szCs w:val="20"/>
        </w:rPr>
        <w:t>of the facts in each case, and that in essence the decision is a matter of fairness to both sides</w:t>
      </w:r>
      <w:r w:rsidR="003B2504" w:rsidRPr="0033509F">
        <w:rPr>
          <w:rFonts w:ascii="Arial" w:hAnsi="Arial" w:cs="Arial"/>
          <w:sz w:val="20"/>
          <w:szCs w:val="20"/>
        </w:rPr>
        <w:t>. In leaving the court a discretion, the law contemplates that it should take</w:t>
      </w:r>
      <w:r w:rsidR="002D2727" w:rsidRPr="0033509F">
        <w:rPr>
          <w:rFonts w:ascii="Arial" w:hAnsi="Arial" w:cs="Arial"/>
          <w:sz w:val="20"/>
          <w:szCs w:val="20"/>
        </w:rPr>
        <w:t xml:space="preserve"> into consideration the circumstances of each case, carefully weighing the issues in the case</w:t>
      </w:r>
      <w:r w:rsidR="00C523D2" w:rsidRPr="0033509F">
        <w:rPr>
          <w:rFonts w:ascii="Arial" w:hAnsi="Arial" w:cs="Arial"/>
          <w:sz w:val="20"/>
          <w:szCs w:val="20"/>
        </w:rPr>
        <w:t>, the conduct of the parties and any other circumstance which may</w:t>
      </w:r>
      <w:r w:rsidR="00830349" w:rsidRPr="0033509F">
        <w:rPr>
          <w:rFonts w:ascii="Arial" w:hAnsi="Arial" w:cs="Arial"/>
          <w:sz w:val="20"/>
          <w:szCs w:val="20"/>
        </w:rPr>
        <w:t xml:space="preserve"> have a bearing on the issue of costs and then make such order</w:t>
      </w:r>
      <w:r w:rsidR="0077053A" w:rsidRPr="0033509F">
        <w:rPr>
          <w:rFonts w:ascii="Arial" w:hAnsi="Arial" w:cs="Arial"/>
          <w:sz w:val="20"/>
          <w:szCs w:val="20"/>
        </w:rPr>
        <w:t xml:space="preserve"> as to costs as would be fair and just between the parties</w:t>
      </w:r>
      <w:r w:rsidR="00B92551" w:rsidRPr="0033509F">
        <w:rPr>
          <w:rFonts w:ascii="Arial" w:hAnsi="Arial" w:cs="Arial"/>
          <w:sz w:val="20"/>
          <w:szCs w:val="20"/>
        </w:rPr>
        <w:t>.’</w:t>
      </w:r>
      <w:r w:rsidR="00B92551" w:rsidRPr="0033509F">
        <w:rPr>
          <w:rStyle w:val="FootnoteReference"/>
          <w:rFonts w:ascii="Arial" w:hAnsi="Arial" w:cs="Arial"/>
          <w:sz w:val="20"/>
          <w:szCs w:val="20"/>
        </w:rPr>
        <w:footnoteReference w:id="3"/>
      </w:r>
    </w:p>
    <w:p w14:paraId="1E657525" w14:textId="77777777" w:rsidR="0033509F" w:rsidRDefault="0033509F" w:rsidP="00DE1286">
      <w:pPr>
        <w:spacing w:line="360" w:lineRule="auto"/>
        <w:rPr>
          <w:rFonts w:ascii="Arial" w:hAnsi="Arial" w:cs="Arial"/>
          <w:sz w:val="24"/>
          <w:szCs w:val="24"/>
        </w:rPr>
      </w:pPr>
    </w:p>
    <w:p w14:paraId="12E50B08" w14:textId="3A8945A3" w:rsidR="00CF0949" w:rsidRPr="00D92068" w:rsidRDefault="00D92068" w:rsidP="00D92068">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33509F" w:rsidRPr="00D92068">
        <w:rPr>
          <w:rFonts w:ascii="Arial" w:hAnsi="Arial" w:cs="Arial"/>
          <w:sz w:val="24"/>
          <w:szCs w:val="24"/>
        </w:rPr>
        <w:t xml:space="preserve">The </w:t>
      </w:r>
      <w:r w:rsidR="003558FB" w:rsidRPr="00D92068">
        <w:rPr>
          <w:rFonts w:ascii="Arial" w:hAnsi="Arial" w:cs="Arial"/>
          <w:sz w:val="24"/>
          <w:szCs w:val="24"/>
        </w:rPr>
        <w:t>standard</w:t>
      </w:r>
      <w:r w:rsidR="0033509F" w:rsidRPr="00D92068">
        <w:rPr>
          <w:rFonts w:ascii="Arial" w:hAnsi="Arial" w:cs="Arial"/>
          <w:sz w:val="24"/>
          <w:szCs w:val="24"/>
        </w:rPr>
        <w:t xml:space="preserve"> rule i</w:t>
      </w:r>
      <w:r w:rsidR="00DE4EFB" w:rsidRPr="00D92068">
        <w:rPr>
          <w:rFonts w:ascii="Arial" w:hAnsi="Arial" w:cs="Arial"/>
          <w:sz w:val="24"/>
          <w:szCs w:val="24"/>
        </w:rPr>
        <w:t>s that the successful party is entitled to his or her costs.</w:t>
      </w:r>
      <w:r w:rsidR="007212AB" w:rsidRPr="00D92068">
        <w:rPr>
          <w:rFonts w:ascii="Arial" w:hAnsi="Arial" w:cs="Arial"/>
          <w:sz w:val="24"/>
          <w:szCs w:val="24"/>
        </w:rPr>
        <w:t xml:space="preserve"> However, in deciding who is the successful party, a court must consider the substance of the judgment </w:t>
      </w:r>
      <w:r w:rsidR="006A52A4" w:rsidRPr="00D92068">
        <w:rPr>
          <w:rFonts w:ascii="Arial" w:hAnsi="Arial" w:cs="Arial"/>
          <w:sz w:val="24"/>
          <w:szCs w:val="24"/>
        </w:rPr>
        <w:t>and not merely its form.</w:t>
      </w:r>
      <w:r w:rsidR="00DE4EFB">
        <w:rPr>
          <w:rStyle w:val="FootnoteReference"/>
          <w:rFonts w:ascii="Arial" w:hAnsi="Arial" w:cs="Arial"/>
          <w:sz w:val="24"/>
          <w:szCs w:val="24"/>
        </w:rPr>
        <w:footnoteReference w:id="4"/>
      </w:r>
      <w:r w:rsidR="00E96189" w:rsidRPr="00D92068">
        <w:rPr>
          <w:rFonts w:ascii="Arial" w:hAnsi="Arial" w:cs="Arial"/>
          <w:sz w:val="24"/>
          <w:szCs w:val="24"/>
        </w:rPr>
        <w:t xml:space="preserve"> </w:t>
      </w:r>
    </w:p>
    <w:p w14:paraId="2554915A" w14:textId="77777777" w:rsidR="00CF0949" w:rsidRDefault="00CF0949" w:rsidP="00CF0949">
      <w:pPr>
        <w:pStyle w:val="ListParagraph"/>
        <w:spacing w:line="360" w:lineRule="auto"/>
        <w:ind w:left="0"/>
        <w:jc w:val="both"/>
        <w:rPr>
          <w:rFonts w:ascii="Arial" w:hAnsi="Arial" w:cs="Arial"/>
          <w:sz w:val="24"/>
          <w:szCs w:val="24"/>
        </w:rPr>
      </w:pPr>
    </w:p>
    <w:p w14:paraId="71698D7E" w14:textId="7405BFC0"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82F8A" w:rsidRPr="00D92068">
        <w:rPr>
          <w:rFonts w:ascii="Arial" w:hAnsi="Arial" w:cs="Arial"/>
          <w:sz w:val="24"/>
          <w:szCs w:val="24"/>
        </w:rPr>
        <w:t xml:space="preserve">In a situation where the merits of the dispute have been disposed of, such as here, the </w:t>
      </w:r>
      <w:r w:rsidR="00A5400A" w:rsidRPr="00D92068">
        <w:rPr>
          <w:rFonts w:ascii="Arial" w:hAnsi="Arial" w:cs="Arial"/>
          <w:sz w:val="24"/>
          <w:szCs w:val="24"/>
        </w:rPr>
        <w:t xml:space="preserve">principle is that the question of costs must be decided </w:t>
      </w:r>
      <w:r w:rsidR="003558FB" w:rsidRPr="00D92068">
        <w:rPr>
          <w:rFonts w:ascii="Arial" w:hAnsi="Arial" w:cs="Arial"/>
          <w:sz w:val="24"/>
          <w:szCs w:val="24"/>
        </w:rPr>
        <w:t>along broad, general lines.</w:t>
      </w:r>
      <w:r w:rsidR="004E30FD" w:rsidRPr="00D92068">
        <w:rPr>
          <w:rFonts w:ascii="Arial" w:hAnsi="Arial" w:cs="Arial"/>
          <w:sz w:val="24"/>
          <w:szCs w:val="24"/>
        </w:rPr>
        <w:t xml:space="preserve"> </w:t>
      </w:r>
      <w:r w:rsidR="00B6115E" w:rsidRPr="00D92068">
        <w:rPr>
          <w:rFonts w:ascii="Arial" w:hAnsi="Arial" w:cs="Arial"/>
          <w:sz w:val="24"/>
          <w:szCs w:val="24"/>
        </w:rPr>
        <w:t xml:space="preserve">The court must not decide the question </w:t>
      </w:r>
      <w:r w:rsidR="004E30FD" w:rsidRPr="00D92068">
        <w:rPr>
          <w:rFonts w:ascii="Arial" w:hAnsi="Arial" w:cs="Arial"/>
          <w:sz w:val="24"/>
          <w:szCs w:val="24"/>
        </w:rPr>
        <w:t xml:space="preserve">along lines that would </w:t>
      </w:r>
      <w:r w:rsidR="00CC0ED4" w:rsidRPr="00D92068">
        <w:rPr>
          <w:rFonts w:ascii="Arial" w:hAnsi="Arial" w:cs="Arial"/>
          <w:sz w:val="24"/>
          <w:szCs w:val="24"/>
        </w:rPr>
        <w:t>necessitate a full hearing of the merits.</w:t>
      </w:r>
      <w:r w:rsidR="00F55A36">
        <w:rPr>
          <w:rStyle w:val="FootnoteReference"/>
          <w:rFonts w:ascii="Arial" w:hAnsi="Arial" w:cs="Arial"/>
          <w:sz w:val="24"/>
          <w:szCs w:val="24"/>
        </w:rPr>
        <w:footnoteReference w:id="5"/>
      </w:r>
      <w:r w:rsidR="00C104B7" w:rsidRPr="00D92068">
        <w:rPr>
          <w:rFonts w:ascii="Arial" w:hAnsi="Arial" w:cs="Arial"/>
          <w:sz w:val="24"/>
          <w:szCs w:val="24"/>
        </w:rPr>
        <w:t xml:space="preserve"> </w:t>
      </w:r>
    </w:p>
    <w:p w14:paraId="79661A73" w14:textId="77777777" w:rsidR="00CF0949" w:rsidRPr="00CF0949" w:rsidRDefault="00CF0949" w:rsidP="00CF0949">
      <w:pPr>
        <w:pStyle w:val="ListParagraph"/>
        <w:rPr>
          <w:rFonts w:ascii="Arial" w:hAnsi="Arial" w:cs="Arial"/>
          <w:sz w:val="24"/>
          <w:szCs w:val="24"/>
        </w:rPr>
      </w:pPr>
    </w:p>
    <w:p w14:paraId="16393C7D" w14:textId="25182DBB" w:rsidR="007C21C3"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[16]</w:t>
      </w:r>
      <w:r w:rsidRPr="00CF0949">
        <w:rPr>
          <w:rFonts w:ascii="Arial" w:hAnsi="Arial" w:cs="Arial"/>
          <w:sz w:val="24"/>
          <w:szCs w:val="24"/>
        </w:rPr>
        <w:tab/>
      </w:r>
      <w:r w:rsidR="007C21C3" w:rsidRPr="00D92068">
        <w:rPr>
          <w:rFonts w:ascii="Arial" w:hAnsi="Arial" w:cs="Arial"/>
          <w:sz w:val="24"/>
          <w:szCs w:val="24"/>
        </w:rPr>
        <w:t>The application of the above legal framework to the facts of the matter is addressed in the paragraphs that follow.</w:t>
      </w:r>
    </w:p>
    <w:p w14:paraId="6CAAD8AB" w14:textId="77777777" w:rsidR="007C21C3" w:rsidRDefault="007C21C3" w:rsidP="00DE1286">
      <w:pPr>
        <w:spacing w:line="360" w:lineRule="auto"/>
        <w:rPr>
          <w:rFonts w:ascii="Arial" w:hAnsi="Arial" w:cs="Arial"/>
          <w:sz w:val="24"/>
          <w:szCs w:val="24"/>
        </w:rPr>
      </w:pPr>
    </w:p>
    <w:p w14:paraId="4C919B86" w14:textId="79959A5C" w:rsidR="007C21C3" w:rsidRPr="007C21C3" w:rsidRDefault="007C21C3" w:rsidP="00CF0949">
      <w:pPr>
        <w:spacing w:line="360" w:lineRule="auto"/>
        <w:jc w:val="both"/>
        <w:rPr>
          <w:rFonts w:ascii="Arial" w:hAnsi="Arial" w:cs="Arial"/>
          <w:b/>
          <w:bCs/>
          <w:sz w:val="24"/>
          <w:szCs w:val="24"/>
        </w:rPr>
      </w:pPr>
      <w:r w:rsidRPr="007C21C3">
        <w:rPr>
          <w:rFonts w:ascii="Arial" w:hAnsi="Arial" w:cs="Arial"/>
          <w:b/>
          <w:bCs/>
          <w:sz w:val="24"/>
          <w:szCs w:val="24"/>
        </w:rPr>
        <w:t>Application to the facts</w:t>
      </w:r>
    </w:p>
    <w:p w14:paraId="3A76968C" w14:textId="77777777" w:rsidR="007C21C3" w:rsidRDefault="007C21C3" w:rsidP="00DE1286">
      <w:pPr>
        <w:spacing w:line="360" w:lineRule="auto"/>
        <w:rPr>
          <w:rFonts w:ascii="Arial" w:hAnsi="Arial" w:cs="Arial"/>
          <w:sz w:val="24"/>
          <w:szCs w:val="24"/>
        </w:rPr>
      </w:pPr>
    </w:p>
    <w:p w14:paraId="2C5A15A8" w14:textId="4393AFDC"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C21C3" w:rsidRPr="00D92068">
        <w:rPr>
          <w:rFonts w:ascii="Arial" w:hAnsi="Arial" w:cs="Arial"/>
          <w:sz w:val="24"/>
          <w:szCs w:val="24"/>
        </w:rPr>
        <w:t xml:space="preserve">The </w:t>
      </w:r>
      <w:r w:rsidR="00830B29" w:rsidRPr="00D92068">
        <w:rPr>
          <w:rFonts w:ascii="Arial" w:hAnsi="Arial" w:cs="Arial"/>
          <w:sz w:val="24"/>
          <w:szCs w:val="24"/>
        </w:rPr>
        <w:t xml:space="preserve">applicant </w:t>
      </w:r>
      <w:r w:rsidR="00A86304" w:rsidRPr="00D92068">
        <w:rPr>
          <w:rFonts w:ascii="Arial" w:hAnsi="Arial" w:cs="Arial"/>
          <w:sz w:val="24"/>
          <w:szCs w:val="24"/>
        </w:rPr>
        <w:t>refuted</w:t>
      </w:r>
      <w:r w:rsidR="00575CFF" w:rsidRPr="00D92068">
        <w:rPr>
          <w:rFonts w:ascii="Arial" w:hAnsi="Arial" w:cs="Arial"/>
          <w:sz w:val="24"/>
          <w:szCs w:val="24"/>
        </w:rPr>
        <w:t>, at the outset,</w:t>
      </w:r>
      <w:r w:rsidR="00A86304" w:rsidRPr="00D92068">
        <w:rPr>
          <w:rFonts w:ascii="Arial" w:hAnsi="Arial" w:cs="Arial"/>
          <w:sz w:val="24"/>
          <w:szCs w:val="24"/>
        </w:rPr>
        <w:t xml:space="preserve"> the respondent’s assertion that the settlement proposal had been made for pragmatic purposes. He contend</w:t>
      </w:r>
      <w:r w:rsidR="00830B29" w:rsidRPr="00D92068">
        <w:rPr>
          <w:rFonts w:ascii="Arial" w:hAnsi="Arial" w:cs="Arial"/>
          <w:sz w:val="24"/>
          <w:szCs w:val="24"/>
        </w:rPr>
        <w:t>ed</w:t>
      </w:r>
      <w:r w:rsidR="00A86304" w:rsidRPr="00D92068">
        <w:rPr>
          <w:rFonts w:ascii="Arial" w:hAnsi="Arial" w:cs="Arial"/>
          <w:sz w:val="24"/>
          <w:szCs w:val="24"/>
        </w:rPr>
        <w:t>, rather,</w:t>
      </w:r>
      <w:r w:rsidR="00830B29" w:rsidRPr="00D92068">
        <w:rPr>
          <w:rFonts w:ascii="Arial" w:hAnsi="Arial" w:cs="Arial"/>
          <w:sz w:val="24"/>
          <w:szCs w:val="24"/>
        </w:rPr>
        <w:t xml:space="preserve"> that the respondent’s settlement proposal </w:t>
      </w:r>
      <w:r w:rsidR="00BE7C79" w:rsidRPr="00D92068">
        <w:rPr>
          <w:rFonts w:ascii="Arial" w:hAnsi="Arial" w:cs="Arial"/>
          <w:sz w:val="24"/>
          <w:szCs w:val="24"/>
        </w:rPr>
        <w:t>was</w:t>
      </w:r>
      <w:r w:rsidR="00830B29" w:rsidRPr="00D92068">
        <w:rPr>
          <w:rFonts w:ascii="Arial" w:hAnsi="Arial" w:cs="Arial"/>
          <w:sz w:val="24"/>
          <w:szCs w:val="24"/>
        </w:rPr>
        <w:t xml:space="preserve"> a concession that it had not properly investigated his complaint. </w:t>
      </w:r>
      <w:r w:rsidR="00A86304" w:rsidRPr="00D92068">
        <w:rPr>
          <w:rFonts w:ascii="Arial" w:hAnsi="Arial" w:cs="Arial"/>
          <w:sz w:val="24"/>
          <w:szCs w:val="24"/>
        </w:rPr>
        <w:t xml:space="preserve">He provided no substantiation for </w:t>
      </w:r>
      <w:r w:rsidR="00BE7C79" w:rsidRPr="00D92068">
        <w:rPr>
          <w:rFonts w:ascii="Arial" w:hAnsi="Arial" w:cs="Arial"/>
          <w:sz w:val="24"/>
          <w:szCs w:val="24"/>
        </w:rPr>
        <w:t>t</w:t>
      </w:r>
      <w:r w:rsidR="00A86304" w:rsidRPr="00D92068">
        <w:rPr>
          <w:rFonts w:ascii="Arial" w:hAnsi="Arial" w:cs="Arial"/>
          <w:sz w:val="24"/>
          <w:szCs w:val="24"/>
        </w:rPr>
        <w:t>his.</w:t>
      </w:r>
      <w:r w:rsidR="00830B29" w:rsidRPr="00D92068">
        <w:rPr>
          <w:rFonts w:ascii="Arial" w:hAnsi="Arial" w:cs="Arial"/>
          <w:sz w:val="24"/>
          <w:szCs w:val="24"/>
        </w:rPr>
        <w:t xml:space="preserve"> </w:t>
      </w:r>
    </w:p>
    <w:p w14:paraId="530E3EAC" w14:textId="77777777" w:rsidR="00CF0949" w:rsidRDefault="00CF0949" w:rsidP="00CF0949">
      <w:pPr>
        <w:pStyle w:val="ListParagraph"/>
        <w:spacing w:line="360" w:lineRule="auto"/>
        <w:ind w:left="0"/>
        <w:jc w:val="both"/>
        <w:rPr>
          <w:rFonts w:ascii="Arial" w:hAnsi="Arial" w:cs="Arial"/>
          <w:sz w:val="24"/>
          <w:szCs w:val="24"/>
        </w:rPr>
      </w:pPr>
    </w:p>
    <w:p w14:paraId="41BFAEFA" w14:textId="34EE3278"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E7C79" w:rsidRPr="00D92068">
        <w:rPr>
          <w:rFonts w:ascii="Arial" w:hAnsi="Arial" w:cs="Arial"/>
          <w:sz w:val="24"/>
          <w:szCs w:val="24"/>
        </w:rPr>
        <w:t xml:space="preserve">The </w:t>
      </w:r>
      <w:r w:rsidR="00575CFF" w:rsidRPr="00D92068">
        <w:rPr>
          <w:rFonts w:ascii="Arial" w:hAnsi="Arial" w:cs="Arial"/>
          <w:sz w:val="24"/>
          <w:szCs w:val="24"/>
        </w:rPr>
        <w:t xml:space="preserve">court could not decide whether there was a basis for the applicant’s contention without a full and proper hearing of the merits. The merits were, however, not before the court. In the circumstances, the applicant was constrained to rely primarily on the standard rule that he was entitled to his costs because he had been substantially </w:t>
      </w:r>
      <w:r w:rsidR="00575CFF" w:rsidRPr="00D92068">
        <w:rPr>
          <w:rFonts w:ascii="Arial" w:hAnsi="Arial" w:cs="Arial"/>
          <w:sz w:val="24"/>
          <w:szCs w:val="24"/>
        </w:rPr>
        <w:lastRenderedPageBreak/>
        <w:t xml:space="preserve">successful, overall, in his application. The proposal made by the respondent was the main relief that </w:t>
      </w:r>
      <w:r w:rsidR="00EB7A83" w:rsidRPr="00D92068">
        <w:rPr>
          <w:rFonts w:ascii="Arial" w:hAnsi="Arial" w:cs="Arial"/>
          <w:sz w:val="24"/>
          <w:szCs w:val="24"/>
        </w:rPr>
        <w:t>t</w:t>
      </w:r>
      <w:r w:rsidR="00575CFF" w:rsidRPr="00D92068">
        <w:rPr>
          <w:rFonts w:ascii="Arial" w:hAnsi="Arial" w:cs="Arial"/>
          <w:sz w:val="24"/>
          <w:szCs w:val="24"/>
        </w:rPr>
        <w:t xml:space="preserve">he </w:t>
      </w:r>
      <w:r w:rsidR="00EB7A83" w:rsidRPr="00D92068">
        <w:rPr>
          <w:rFonts w:ascii="Arial" w:hAnsi="Arial" w:cs="Arial"/>
          <w:sz w:val="24"/>
          <w:szCs w:val="24"/>
        </w:rPr>
        <w:t xml:space="preserve">applicant </w:t>
      </w:r>
      <w:r w:rsidR="00575CFF" w:rsidRPr="00D92068">
        <w:rPr>
          <w:rFonts w:ascii="Arial" w:hAnsi="Arial" w:cs="Arial"/>
          <w:sz w:val="24"/>
          <w:szCs w:val="24"/>
        </w:rPr>
        <w:t>had sought</w:t>
      </w:r>
      <w:r w:rsidR="00EB7A83" w:rsidRPr="00D92068">
        <w:rPr>
          <w:rFonts w:ascii="Arial" w:hAnsi="Arial" w:cs="Arial"/>
          <w:sz w:val="24"/>
          <w:szCs w:val="24"/>
        </w:rPr>
        <w:t xml:space="preserve"> originally.</w:t>
      </w:r>
    </w:p>
    <w:p w14:paraId="4AA7FF0F" w14:textId="77777777" w:rsidR="00CF0949" w:rsidRPr="00CF0949" w:rsidRDefault="00CF0949" w:rsidP="00CF0949">
      <w:pPr>
        <w:pStyle w:val="ListParagraph"/>
        <w:rPr>
          <w:rFonts w:ascii="Arial" w:hAnsi="Arial" w:cs="Arial"/>
          <w:sz w:val="24"/>
          <w:szCs w:val="24"/>
        </w:rPr>
      </w:pPr>
    </w:p>
    <w:p w14:paraId="2AA4F283" w14:textId="2E3D3867"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B7A83" w:rsidRPr="00D92068">
        <w:rPr>
          <w:rFonts w:ascii="Arial" w:hAnsi="Arial" w:cs="Arial"/>
          <w:sz w:val="24"/>
          <w:szCs w:val="24"/>
        </w:rPr>
        <w:t xml:space="preserve">To have asserted that the standard rule should have been applied was incorrect. It ignored the obvious, viz. that the respondent had not made </w:t>
      </w:r>
      <w:r w:rsidR="006C3D23" w:rsidRPr="00D92068">
        <w:rPr>
          <w:rFonts w:ascii="Arial" w:hAnsi="Arial" w:cs="Arial"/>
          <w:sz w:val="24"/>
          <w:szCs w:val="24"/>
        </w:rPr>
        <w:t>any concession regarding the merits of the applicant’s claim. Moreover, no court had made any findings thereon.</w:t>
      </w:r>
    </w:p>
    <w:p w14:paraId="6B924EBA" w14:textId="77777777" w:rsidR="00CF0949" w:rsidRPr="00CF0949" w:rsidRDefault="00CF0949" w:rsidP="00CF0949">
      <w:pPr>
        <w:pStyle w:val="ListParagraph"/>
        <w:rPr>
          <w:rFonts w:ascii="Arial" w:hAnsi="Arial" w:cs="Arial"/>
          <w:sz w:val="24"/>
          <w:szCs w:val="24"/>
        </w:rPr>
      </w:pPr>
    </w:p>
    <w:p w14:paraId="27E2052E" w14:textId="3E41D636"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630E3" w:rsidRPr="00D92068">
        <w:rPr>
          <w:rFonts w:ascii="Arial" w:hAnsi="Arial" w:cs="Arial"/>
          <w:sz w:val="24"/>
          <w:szCs w:val="24"/>
        </w:rPr>
        <w:t>T</w:t>
      </w:r>
      <w:r w:rsidR="006C3D23" w:rsidRPr="00D92068">
        <w:rPr>
          <w:rFonts w:ascii="Arial" w:hAnsi="Arial" w:cs="Arial"/>
          <w:sz w:val="24"/>
          <w:szCs w:val="24"/>
        </w:rPr>
        <w:t xml:space="preserve">he </w:t>
      </w:r>
      <w:r w:rsidR="00044320" w:rsidRPr="00D92068">
        <w:rPr>
          <w:rFonts w:ascii="Arial" w:hAnsi="Arial" w:cs="Arial"/>
          <w:sz w:val="24"/>
          <w:szCs w:val="24"/>
        </w:rPr>
        <w:t>applicant was confronted</w:t>
      </w:r>
      <w:r w:rsidR="00323136" w:rsidRPr="00D92068">
        <w:rPr>
          <w:rFonts w:ascii="Arial" w:hAnsi="Arial" w:cs="Arial"/>
          <w:sz w:val="24"/>
          <w:szCs w:val="24"/>
        </w:rPr>
        <w:t xml:space="preserve">, too, </w:t>
      </w:r>
      <w:r w:rsidR="00044320" w:rsidRPr="00D92068">
        <w:rPr>
          <w:rFonts w:ascii="Arial" w:hAnsi="Arial" w:cs="Arial"/>
          <w:sz w:val="24"/>
          <w:szCs w:val="24"/>
        </w:rPr>
        <w:t xml:space="preserve">by </w:t>
      </w:r>
      <w:r w:rsidR="00323136" w:rsidRPr="00D92068">
        <w:rPr>
          <w:rFonts w:ascii="Arial" w:hAnsi="Arial" w:cs="Arial"/>
          <w:sz w:val="24"/>
          <w:szCs w:val="24"/>
        </w:rPr>
        <w:t xml:space="preserve">the issue of non-joinder. </w:t>
      </w:r>
      <w:r w:rsidR="00783651" w:rsidRPr="00D92068">
        <w:rPr>
          <w:rFonts w:ascii="Arial" w:hAnsi="Arial" w:cs="Arial"/>
          <w:sz w:val="24"/>
          <w:szCs w:val="24"/>
        </w:rPr>
        <w:t xml:space="preserve">The test for joinder was clearly stated in </w:t>
      </w:r>
      <w:r w:rsidR="00783651" w:rsidRPr="00D92068">
        <w:rPr>
          <w:rFonts w:ascii="Arial" w:hAnsi="Arial" w:cs="Arial"/>
          <w:i/>
          <w:iCs/>
          <w:sz w:val="24"/>
          <w:szCs w:val="24"/>
        </w:rPr>
        <w:t xml:space="preserve">Henri Viljoen (Pty) Ltd v </w:t>
      </w:r>
      <w:proofErr w:type="spellStart"/>
      <w:r w:rsidR="00783651" w:rsidRPr="00D92068">
        <w:rPr>
          <w:rFonts w:ascii="Arial" w:hAnsi="Arial" w:cs="Arial"/>
          <w:i/>
          <w:iCs/>
          <w:sz w:val="24"/>
          <w:szCs w:val="24"/>
        </w:rPr>
        <w:t>Awerbuch</w:t>
      </w:r>
      <w:proofErr w:type="spellEnd"/>
      <w:r w:rsidR="00783651" w:rsidRPr="00D92068">
        <w:rPr>
          <w:rFonts w:ascii="Arial" w:hAnsi="Arial" w:cs="Arial"/>
          <w:i/>
          <w:iCs/>
          <w:sz w:val="24"/>
          <w:szCs w:val="24"/>
        </w:rPr>
        <w:t xml:space="preserve"> Bros</w:t>
      </w:r>
      <w:r w:rsidR="00783651" w:rsidRPr="00D92068">
        <w:rPr>
          <w:rFonts w:ascii="Arial" w:hAnsi="Arial" w:cs="Arial"/>
          <w:sz w:val="24"/>
          <w:szCs w:val="24"/>
        </w:rPr>
        <w:t>.</w:t>
      </w:r>
      <w:r w:rsidR="00783651" w:rsidRPr="00783651">
        <w:rPr>
          <w:vertAlign w:val="superscript"/>
        </w:rPr>
        <w:footnoteReference w:id="6"/>
      </w:r>
      <w:r w:rsidR="00783651" w:rsidRPr="00D92068">
        <w:rPr>
          <w:rFonts w:ascii="Arial" w:hAnsi="Arial" w:cs="Arial"/>
          <w:sz w:val="24"/>
          <w:szCs w:val="24"/>
        </w:rPr>
        <w:t xml:space="preserve"> The court in that regard affirmed earlier authority to hold that a person is a necessary party and should be joined if such person has a direct and substantial interest in any order that the court might make; alternatively, if such an order cannot be sustained or carried into effect without prejudicing such person, unless he or she has waived the right to be joined.</w:t>
      </w:r>
      <w:r w:rsidR="00783651" w:rsidRPr="00783651">
        <w:rPr>
          <w:vertAlign w:val="superscript"/>
        </w:rPr>
        <w:footnoteReference w:id="7"/>
      </w:r>
    </w:p>
    <w:p w14:paraId="06AADEDC" w14:textId="77777777" w:rsidR="00CF0949" w:rsidRPr="00CF0949" w:rsidRDefault="00CF0949" w:rsidP="00CF0949">
      <w:pPr>
        <w:pStyle w:val="ListParagraph"/>
        <w:rPr>
          <w:rFonts w:ascii="Arial" w:hAnsi="Arial" w:cs="Arial"/>
          <w:sz w:val="24"/>
          <w:szCs w:val="24"/>
        </w:rPr>
      </w:pPr>
    </w:p>
    <w:p w14:paraId="7C1FCB94" w14:textId="1869F116"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83651" w:rsidRPr="00D92068">
        <w:rPr>
          <w:rFonts w:ascii="Arial" w:hAnsi="Arial" w:cs="Arial"/>
          <w:sz w:val="24"/>
          <w:szCs w:val="24"/>
        </w:rPr>
        <w:t>In the present matter</w:t>
      </w:r>
      <w:r w:rsidR="00323136" w:rsidRPr="00D92068">
        <w:rPr>
          <w:rFonts w:ascii="Arial" w:hAnsi="Arial" w:cs="Arial"/>
          <w:sz w:val="24"/>
          <w:szCs w:val="24"/>
        </w:rPr>
        <w:t xml:space="preserve">, the respondent pointed out that </w:t>
      </w:r>
      <w:r w:rsidR="00651B99" w:rsidRPr="00D92068">
        <w:rPr>
          <w:rFonts w:ascii="Arial" w:hAnsi="Arial" w:cs="Arial"/>
          <w:sz w:val="24"/>
          <w:szCs w:val="24"/>
        </w:rPr>
        <w:t xml:space="preserve">the Eastern Cape </w:t>
      </w:r>
      <w:r w:rsidR="008630E3" w:rsidRPr="00D92068">
        <w:rPr>
          <w:rFonts w:ascii="Arial" w:hAnsi="Arial" w:cs="Arial"/>
          <w:sz w:val="24"/>
          <w:szCs w:val="24"/>
        </w:rPr>
        <w:t>P</w:t>
      </w:r>
      <w:r w:rsidR="00651B99" w:rsidRPr="00D92068">
        <w:rPr>
          <w:rFonts w:ascii="Arial" w:hAnsi="Arial" w:cs="Arial"/>
          <w:sz w:val="24"/>
          <w:szCs w:val="24"/>
        </w:rPr>
        <w:t xml:space="preserve">rovincial </w:t>
      </w:r>
      <w:r w:rsidR="008630E3" w:rsidRPr="00D92068">
        <w:rPr>
          <w:rFonts w:ascii="Arial" w:hAnsi="Arial" w:cs="Arial"/>
          <w:sz w:val="24"/>
          <w:szCs w:val="24"/>
        </w:rPr>
        <w:t>Council</w:t>
      </w:r>
      <w:r w:rsidR="00651B99" w:rsidRPr="00D92068">
        <w:rPr>
          <w:rFonts w:ascii="Arial" w:hAnsi="Arial" w:cs="Arial"/>
          <w:sz w:val="24"/>
          <w:szCs w:val="24"/>
        </w:rPr>
        <w:t xml:space="preserve"> </w:t>
      </w:r>
      <w:r w:rsidR="00323136" w:rsidRPr="00D92068">
        <w:rPr>
          <w:rFonts w:ascii="Arial" w:hAnsi="Arial" w:cs="Arial"/>
          <w:sz w:val="24"/>
          <w:szCs w:val="24"/>
        </w:rPr>
        <w:t xml:space="preserve">was a statutory body that had been established in terms of section 23(1) of the Legal Practice Act 28 of 2014 (‘the LPA’). It was distinct from the respondent and </w:t>
      </w:r>
      <w:r w:rsidR="008630E3" w:rsidRPr="00D92068">
        <w:rPr>
          <w:rFonts w:ascii="Arial" w:hAnsi="Arial" w:cs="Arial"/>
          <w:sz w:val="24"/>
          <w:szCs w:val="24"/>
        </w:rPr>
        <w:t xml:space="preserve">had the power to establish investigating and </w:t>
      </w:r>
      <w:r w:rsidR="00FF7F1D" w:rsidRPr="00D92068">
        <w:rPr>
          <w:rFonts w:ascii="Arial" w:hAnsi="Arial" w:cs="Arial"/>
          <w:sz w:val="24"/>
          <w:szCs w:val="24"/>
        </w:rPr>
        <w:t>disciplinary committees. The applicant</w:t>
      </w:r>
      <w:r w:rsidR="00323136" w:rsidRPr="00D92068">
        <w:rPr>
          <w:rFonts w:ascii="Arial" w:hAnsi="Arial" w:cs="Arial"/>
          <w:sz w:val="24"/>
          <w:szCs w:val="24"/>
        </w:rPr>
        <w:t xml:space="preserve"> </w:t>
      </w:r>
      <w:r w:rsidR="00FF7F1D" w:rsidRPr="00D92068">
        <w:rPr>
          <w:rFonts w:ascii="Arial" w:hAnsi="Arial" w:cs="Arial"/>
          <w:sz w:val="24"/>
          <w:szCs w:val="24"/>
        </w:rPr>
        <w:t>had failed to join it as a party to the proceedings.</w:t>
      </w:r>
      <w:r w:rsidR="00323136" w:rsidRPr="00D92068">
        <w:rPr>
          <w:rFonts w:ascii="Arial" w:hAnsi="Arial" w:cs="Arial"/>
          <w:sz w:val="24"/>
          <w:szCs w:val="24"/>
        </w:rPr>
        <w:t xml:space="preserve"> Furthermore, the investigating committee whose decision formed the subject of the application was also a distinct legal entity, established under section 37(1) of the LPA. This, too, had not been joined. </w:t>
      </w:r>
      <w:r w:rsidR="00783651" w:rsidRPr="00D92068">
        <w:rPr>
          <w:rFonts w:ascii="Arial" w:hAnsi="Arial" w:cs="Arial"/>
          <w:sz w:val="24"/>
          <w:szCs w:val="24"/>
        </w:rPr>
        <w:t>Both the Eastern Cape Provincial Council and the investigating committee had a direct and substantial interest in any order that reviewed and set aside a decision taken regarding a complaint lodged against a legal practitioner.</w:t>
      </w:r>
    </w:p>
    <w:p w14:paraId="73CA57C1" w14:textId="77777777" w:rsidR="00CF0949" w:rsidRPr="00CF0949" w:rsidRDefault="00CF0949" w:rsidP="00CF0949">
      <w:pPr>
        <w:pStyle w:val="ListParagraph"/>
        <w:rPr>
          <w:rFonts w:ascii="Arial" w:hAnsi="Arial" w:cs="Arial"/>
          <w:sz w:val="24"/>
          <w:szCs w:val="24"/>
        </w:rPr>
      </w:pPr>
    </w:p>
    <w:p w14:paraId="4CB7BED7" w14:textId="22C7229F" w:rsidR="00CF0949" w:rsidRPr="00D92068" w:rsidRDefault="00D92068" w:rsidP="00D92068">
      <w:pPr>
        <w:spacing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323136" w:rsidRPr="00D92068">
        <w:rPr>
          <w:rFonts w:ascii="Arial" w:hAnsi="Arial" w:cs="Arial"/>
          <w:sz w:val="24"/>
          <w:szCs w:val="24"/>
        </w:rPr>
        <w:t xml:space="preserve">Possibly of most concern to the court, however, was the applicant’s failure to have joined the </w:t>
      </w:r>
      <w:r w:rsidR="00783651" w:rsidRPr="00D92068">
        <w:rPr>
          <w:rFonts w:ascii="Arial" w:hAnsi="Arial" w:cs="Arial"/>
          <w:sz w:val="24"/>
          <w:szCs w:val="24"/>
        </w:rPr>
        <w:t xml:space="preserve">legal practitioner himself, Mr Niehaus. He was the </w:t>
      </w:r>
      <w:r w:rsidR="00323136" w:rsidRPr="00D92068">
        <w:rPr>
          <w:rFonts w:ascii="Arial" w:hAnsi="Arial" w:cs="Arial"/>
          <w:sz w:val="24"/>
          <w:szCs w:val="24"/>
        </w:rPr>
        <w:t xml:space="preserve">object of the </w:t>
      </w:r>
      <w:r w:rsidR="00783651" w:rsidRPr="00D92068">
        <w:rPr>
          <w:rFonts w:ascii="Arial" w:hAnsi="Arial" w:cs="Arial"/>
          <w:sz w:val="24"/>
          <w:szCs w:val="24"/>
        </w:rPr>
        <w:t xml:space="preserve">applicant’s </w:t>
      </w:r>
      <w:r w:rsidR="00323136" w:rsidRPr="00D92068">
        <w:rPr>
          <w:rFonts w:ascii="Arial" w:hAnsi="Arial" w:cs="Arial"/>
          <w:sz w:val="24"/>
          <w:szCs w:val="24"/>
        </w:rPr>
        <w:t xml:space="preserve">complaint. </w:t>
      </w:r>
      <w:r w:rsidR="00783651" w:rsidRPr="00D92068">
        <w:rPr>
          <w:rFonts w:ascii="Arial" w:hAnsi="Arial" w:cs="Arial"/>
          <w:sz w:val="24"/>
          <w:szCs w:val="24"/>
        </w:rPr>
        <w:t xml:space="preserve">The investigating committee had previously invited him to submit a response to the complaint, which he had done. </w:t>
      </w:r>
      <w:r w:rsidR="000F2D0A" w:rsidRPr="00D92068">
        <w:rPr>
          <w:rFonts w:ascii="Arial" w:hAnsi="Arial" w:cs="Arial"/>
          <w:sz w:val="24"/>
          <w:szCs w:val="24"/>
        </w:rPr>
        <w:t>At the least, i</w:t>
      </w:r>
      <w:r w:rsidR="00783651" w:rsidRPr="00D92068">
        <w:rPr>
          <w:rFonts w:ascii="Arial" w:hAnsi="Arial" w:cs="Arial"/>
          <w:sz w:val="24"/>
          <w:szCs w:val="24"/>
        </w:rPr>
        <w:t xml:space="preserve">t can hardly be said that Mr Niehaus </w:t>
      </w:r>
      <w:r w:rsidR="000F2D0A" w:rsidRPr="00D92068">
        <w:rPr>
          <w:rFonts w:ascii="Arial" w:hAnsi="Arial" w:cs="Arial"/>
          <w:sz w:val="24"/>
          <w:szCs w:val="24"/>
        </w:rPr>
        <w:t>would have suffered no prejudice if an order had been made that reviewed and set aside the decision and remitted it back to the investigating committee for reconsideration, alternatively, replaced it with the court’s own decision. He would have been entitled to</w:t>
      </w:r>
      <w:r w:rsidR="00F72577" w:rsidRPr="00D92068">
        <w:rPr>
          <w:rFonts w:ascii="Arial" w:hAnsi="Arial" w:cs="Arial"/>
          <w:sz w:val="24"/>
          <w:szCs w:val="24"/>
        </w:rPr>
        <w:t xml:space="preserve"> </w:t>
      </w:r>
      <w:r w:rsidR="000F2D0A" w:rsidRPr="00D92068">
        <w:rPr>
          <w:rFonts w:ascii="Arial" w:hAnsi="Arial" w:cs="Arial"/>
          <w:sz w:val="24"/>
          <w:szCs w:val="24"/>
        </w:rPr>
        <w:t xml:space="preserve">participate in the proceedings and to defend the matter. </w:t>
      </w:r>
      <w:r w:rsidR="00F72577" w:rsidRPr="00D92068">
        <w:rPr>
          <w:rFonts w:ascii="Arial" w:hAnsi="Arial" w:cs="Arial"/>
          <w:sz w:val="24"/>
          <w:szCs w:val="24"/>
        </w:rPr>
        <w:t>The applicant never afforded such an opportunity to Mr Niehaus.</w:t>
      </w:r>
      <w:r w:rsidR="000F2D0A" w:rsidRPr="00D92068">
        <w:rPr>
          <w:rFonts w:ascii="Arial" w:hAnsi="Arial" w:cs="Arial"/>
          <w:sz w:val="24"/>
          <w:szCs w:val="24"/>
        </w:rPr>
        <w:t xml:space="preserve"> </w:t>
      </w:r>
    </w:p>
    <w:p w14:paraId="45C7EAF0" w14:textId="77777777" w:rsidR="00CF0949" w:rsidRPr="00CF0949" w:rsidRDefault="00CF0949" w:rsidP="00CF0949">
      <w:pPr>
        <w:pStyle w:val="ListParagraph"/>
        <w:rPr>
          <w:rFonts w:ascii="Arial" w:hAnsi="Arial" w:cs="Arial"/>
          <w:sz w:val="24"/>
          <w:szCs w:val="24"/>
        </w:rPr>
      </w:pPr>
    </w:p>
    <w:p w14:paraId="6ADCD714" w14:textId="54548323" w:rsidR="00F72577"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[23]</w:t>
      </w:r>
      <w:r w:rsidRPr="00CF0949">
        <w:rPr>
          <w:rFonts w:ascii="Arial" w:hAnsi="Arial" w:cs="Arial"/>
          <w:sz w:val="24"/>
          <w:szCs w:val="24"/>
        </w:rPr>
        <w:tab/>
      </w:r>
      <w:r w:rsidR="00F72577" w:rsidRPr="00D92068">
        <w:rPr>
          <w:rFonts w:ascii="Arial" w:hAnsi="Arial" w:cs="Arial"/>
          <w:sz w:val="24"/>
          <w:szCs w:val="24"/>
        </w:rPr>
        <w:t xml:space="preserve">The applicant referred, in argument, to </w:t>
      </w:r>
      <w:r w:rsidR="00F72577" w:rsidRPr="00D92068">
        <w:rPr>
          <w:rFonts w:ascii="Arial" w:hAnsi="Arial" w:cs="Arial"/>
          <w:i/>
          <w:iCs/>
          <w:sz w:val="24"/>
          <w:szCs w:val="24"/>
        </w:rPr>
        <w:t>Legal Practice Council v Craddock</w:t>
      </w:r>
      <w:r w:rsidR="008432A2" w:rsidRPr="00D92068">
        <w:rPr>
          <w:rFonts w:ascii="Arial" w:hAnsi="Arial" w:cs="Arial"/>
          <w:sz w:val="24"/>
          <w:szCs w:val="24"/>
        </w:rPr>
        <w:t>.</w:t>
      </w:r>
      <w:r w:rsidR="00F72577">
        <w:rPr>
          <w:rStyle w:val="FootnoteReference"/>
          <w:rFonts w:ascii="Arial" w:hAnsi="Arial" w:cs="Arial"/>
          <w:sz w:val="24"/>
          <w:szCs w:val="24"/>
        </w:rPr>
        <w:footnoteReference w:id="8"/>
      </w:r>
      <w:r w:rsidR="00360435" w:rsidRPr="00D92068">
        <w:rPr>
          <w:rFonts w:ascii="Arial" w:hAnsi="Arial" w:cs="Arial"/>
          <w:sz w:val="24"/>
          <w:szCs w:val="24"/>
        </w:rPr>
        <w:t xml:space="preserve"> </w:t>
      </w:r>
      <w:r w:rsidR="008432A2" w:rsidRPr="00D92068">
        <w:rPr>
          <w:rFonts w:ascii="Arial" w:hAnsi="Arial" w:cs="Arial"/>
          <w:sz w:val="24"/>
          <w:szCs w:val="24"/>
        </w:rPr>
        <w:t>That matter is distinguishable from the present, however, since it pertained to an application for an order striking the respondent from the roll of attorneys.</w:t>
      </w:r>
      <w:r w:rsidR="00360435" w:rsidRPr="00D92068">
        <w:rPr>
          <w:rFonts w:ascii="Arial" w:hAnsi="Arial" w:cs="Arial"/>
          <w:sz w:val="24"/>
          <w:szCs w:val="24"/>
        </w:rPr>
        <w:t xml:space="preserve"> </w:t>
      </w:r>
    </w:p>
    <w:p w14:paraId="7703BEE7" w14:textId="11F956E2" w:rsidR="008432A2" w:rsidRPr="008432A2" w:rsidRDefault="008432A2" w:rsidP="00CF0949">
      <w:pPr>
        <w:spacing w:line="360" w:lineRule="auto"/>
        <w:jc w:val="both"/>
        <w:rPr>
          <w:rFonts w:ascii="Arial" w:hAnsi="Arial" w:cs="Arial"/>
          <w:b/>
          <w:bCs/>
          <w:sz w:val="24"/>
          <w:szCs w:val="24"/>
        </w:rPr>
      </w:pPr>
      <w:r w:rsidRPr="008432A2">
        <w:rPr>
          <w:rFonts w:ascii="Arial" w:hAnsi="Arial" w:cs="Arial"/>
          <w:b/>
          <w:bCs/>
          <w:sz w:val="24"/>
          <w:szCs w:val="24"/>
        </w:rPr>
        <w:t>Relief and order</w:t>
      </w:r>
    </w:p>
    <w:p w14:paraId="41A7DD7D" w14:textId="77777777" w:rsidR="008432A2" w:rsidRDefault="008432A2" w:rsidP="00DE1286">
      <w:pPr>
        <w:spacing w:line="360" w:lineRule="auto"/>
        <w:rPr>
          <w:rFonts w:ascii="Arial" w:hAnsi="Arial" w:cs="Arial"/>
          <w:sz w:val="24"/>
          <w:szCs w:val="24"/>
        </w:rPr>
      </w:pPr>
    </w:p>
    <w:p w14:paraId="07B61B3D" w14:textId="5376E4E7"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8432A2" w:rsidRPr="00D92068">
        <w:rPr>
          <w:rFonts w:ascii="Arial" w:hAnsi="Arial" w:cs="Arial"/>
          <w:sz w:val="24"/>
          <w:szCs w:val="24"/>
        </w:rPr>
        <w:t>Having considered the circumstances</w:t>
      </w:r>
      <w:r w:rsidR="00044320" w:rsidRPr="00D92068">
        <w:rPr>
          <w:rFonts w:ascii="Arial" w:hAnsi="Arial" w:cs="Arial"/>
          <w:sz w:val="24"/>
          <w:szCs w:val="24"/>
        </w:rPr>
        <w:t xml:space="preserve"> of the matter</w:t>
      </w:r>
      <w:r w:rsidR="008432A2" w:rsidRPr="00D92068">
        <w:rPr>
          <w:rFonts w:ascii="Arial" w:hAnsi="Arial" w:cs="Arial"/>
          <w:sz w:val="24"/>
          <w:szCs w:val="24"/>
        </w:rPr>
        <w:t xml:space="preserve">, the court was not persuaded that the applicant was entitled to his costs. It was clear that the respondent had merely made the proposal in view of the practical requirements and </w:t>
      </w:r>
      <w:r w:rsidR="00027B0E" w:rsidRPr="00D92068">
        <w:rPr>
          <w:rFonts w:ascii="Arial" w:hAnsi="Arial" w:cs="Arial"/>
          <w:sz w:val="24"/>
          <w:szCs w:val="24"/>
        </w:rPr>
        <w:t xml:space="preserve">likely </w:t>
      </w:r>
      <w:r w:rsidR="008432A2" w:rsidRPr="00D92068">
        <w:rPr>
          <w:rFonts w:ascii="Arial" w:hAnsi="Arial" w:cs="Arial"/>
          <w:sz w:val="24"/>
          <w:szCs w:val="24"/>
        </w:rPr>
        <w:t xml:space="preserve">consequences of </w:t>
      </w:r>
      <w:r w:rsidR="00044320" w:rsidRPr="00D92068">
        <w:rPr>
          <w:rFonts w:ascii="Arial" w:hAnsi="Arial" w:cs="Arial"/>
          <w:sz w:val="24"/>
          <w:szCs w:val="24"/>
        </w:rPr>
        <w:t>proceeding further with litigation</w:t>
      </w:r>
      <w:r w:rsidR="00027B0E" w:rsidRPr="00D92068">
        <w:rPr>
          <w:rFonts w:ascii="Arial" w:hAnsi="Arial" w:cs="Arial"/>
          <w:sz w:val="24"/>
          <w:szCs w:val="24"/>
        </w:rPr>
        <w:t>. It was a matter-of-fact approach to a situation where, in the absence of an internal appeal process, the delays and expenses of litigation were best avoided by both parties. The respondent made no concession</w:t>
      </w:r>
      <w:r w:rsidR="00044320" w:rsidRPr="00D92068">
        <w:rPr>
          <w:rFonts w:ascii="Arial" w:hAnsi="Arial" w:cs="Arial"/>
          <w:sz w:val="24"/>
          <w:szCs w:val="24"/>
        </w:rPr>
        <w:t>s</w:t>
      </w:r>
      <w:r w:rsidR="00027B0E" w:rsidRPr="00D92068">
        <w:rPr>
          <w:rFonts w:ascii="Arial" w:hAnsi="Arial" w:cs="Arial"/>
          <w:sz w:val="24"/>
          <w:szCs w:val="24"/>
        </w:rPr>
        <w:t xml:space="preserve"> whatsoever in relation to the merits.</w:t>
      </w:r>
    </w:p>
    <w:p w14:paraId="60773504" w14:textId="77777777" w:rsidR="00CF0949" w:rsidRDefault="00CF0949" w:rsidP="00CF0949">
      <w:pPr>
        <w:pStyle w:val="ListParagraph"/>
        <w:spacing w:line="360" w:lineRule="auto"/>
        <w:ind w:left="0"/>
        <w:jc w:val="both"/>
        <w:rPr>
          <w:rFonts w:ascii="Arial" w:hAnsi="Arial" w:cs="Arial"/>
          <w:sz w:val="24"/>
          <w:szCs w:val="24"/>
        </w:rPr>
      </w:pPr>
    </w:p>
    <w:p w14:paraId="6BA26219" w14:textId="124B0FD9" w:rsidR="00CF0949" w:rsidRPr="00D92068" w:rsidRDefault="00D92068" w:rsidP="00D92068">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27B0E" w:rsidRPr="00D92068">
        <w:rPr>
          <w:rFonts w:ascii="Arial" w:hAnsi="Arial" w:cs="Arial"/>
          <w:sz w:val="24"/>
          <w:szCs w:val="24"/>
        </w:rPr>
        <w:t xml:space="preserve">The failure of the applicant, moreover, to have joined the Eastern Cape Provincial Council, the investigating committee, and (most importantly) Mr Niehaus, would have created difficulties for him at any hearing of the merits. Such difficulties could have proved </w:t>
      </w:r>
      <w:r w:rsidR="00027B0E" w:rsidRPr="00D92068">
        <w:rPr>
          <w:rFonts w:ascii="Arial" w:hAnsi="Arial" w:cs="Arial"/>
          <w:sz w:val="24"/>
          <w:szCs w:val="24"/>
        </w:rPr>
        <w:lastRenderedPageBreak/>
        <w:t>fatal for the applicant. As with the merits of the matter</w:t>
      </w:r>
      <w:r w:rsidR="00044320" w:rsidRPr="00D92068">
        <w:rPr>
          <w:rFonts w:ascii="Arial" w:hAnsi="Arial" w:cs="Arial"/>
          <w:sz w:val="24"/>
          <w:szCs w:val="24"/>
        </w:rPr>
        <w:t xml:space="preserve">, however, the issue of non-joinder was not before the court.  </w:t>
      </w:r>
    </w:p>
    <w:p w14:paraId="26126F15" w14:textId="77777777" w:rsidR="00CF0949" w:rsidRPr="00CF0949" w:rsidRDefault="00CF0949" w:rsidP="00CF0949">
      <w:pPr>
        <w:pStyle w:val="ListParagraph"/>
        <w:rPr>
          <w:rFonts w:ascii="Arial" w:hAnsi="Arial" w:cs="Arial"/>
          <w:sz w:val="24"/>
          <w:szCs w:val="24"/>
        </w:rPr>
      </w:pPr>
    </w:p>
    <w:p w14:paraId="0122EB1A" w14:textId="271483A1" w:rsidR="00044320" w:rsidRPr="00D92068" w:rsidRDefault="00D92068" w:rsidP="00D92068">
      <w:pPr>
        <w:spacing w:line="360" w:lineRule="auto"/>
        <w:jc w:val="both"/>
        <w:rPr>
          <w:rFonts w:ascii="Arial" w:hAnsi="Arial" w:cs="Arial"/>
          <w:sz w:val="24"/>
          <w:szCs w:val="24"/>
        </w:rPr>
      </w:pPr>
      <w:r w:rsidRPr="00CF0949">
        <w:rPr>
          <w:rFonts w:ascii="Arial" w:hAnsi="Arial" w:cs="Arial"/>
          <w:sz w:val="24"/>
          <w:szCs w:val="24"/>
        </w:rPr>
        <w:t>[26]</w:t>
      </w:r>
      <w:r w:rsidRPr="00CF0949">
        <w:rPr>
          <w:rFonts w:ascii="Arial" w:hAnsi="Arial" w:cs="Arial"/>
          <w:sz w:val="24"/>
          <w:szCs w:val="24"/>
        </w:rPr>
        <w:tab/>
      </w:r>
      <w:r w:rsidR="00027B0E" w:rsidRPr="00D92068">
        <w:rPr>
          <w:rFonts w:ascii="Arial" w:hAnsi="Arial" w:cs="Arial"/>
          <w:sz w:val="24"/>
          <w:szCs w:val="24"/>
        </w:rPr>
        <w:t>The court, overall, was satisfied that it would have been fair and just to both parties simply to have directed th</w:t>
      </w:r>
      <w:r w:rsidR="00044320" w:rsidRPr="00D92068">
        <w:rPr>
          <w:rFonts w:ascii="Arial" w:hAnsi="Arial" w:cs="Arial"/>
          <w:sz w:val="24"/>
          <w:szCs w:val="24"/>
        </w:rPr>
        <w:t>em to pay their own costs. This was, in the end, the order that was made.</w:t>
      </w:r>
    </w:p>
    <w:p w14:paraId="69857553" w14:textId="77777777" w:rsidR="00044320" w:rsidRDefault="00044320" w:rsidP="00DE1286">
      <w:pPr>
        <w:spacing w:line="360" w:lineRule="auto"/>
        <w:rPr>
          <w:rFonts w:ascii="Arial" w:hAnsi="Arial" w:cs="Arial"/>
          <w:sz w:val="24"/>
          <w:szCs w:val="24"/>
        </w:rPr>
      </w:pPr>
    </w:p>
    <w:p w14:paraId="64DBC05F" w14:textId="77777777" w:rsidR="00044320" w:rsidRDefault="00044320" w:rsidP="00DE1286">
      <w:pPr>
        <w:spacing w:line="360" w:lineRule="auto"/>
        <w:rPr>
          <w:rFonts w:ascii="Arial" w:hAnsi="Arial" w:cs="Arial"/>
          <w:sz w:val="24"/>
          <w:szCs w:val="24"/>
        </w:rPr>
      </w:pPr>
    </w:p>
    <w:p w14:paraId="4FFB550D" w14:textId="1B9FA6B5" w:rsidR="00044320" w:rsidRDefault="00044320" w:rsidP="00CF0949">
      <w:pPr>
        <w:spacing w:line="240" w:lineRule="auto"/>
        <w:jc w:val="both"/>
        <w:rPr>
          <w:rFonts w:ascii="Arial" w:hAnsi="Arial" w:cs="Arial"/>
          <w:sz w:val="24"/>
          <w:szCs w:val="24"/>
        </w:rPr>
      </w:pPr>
      <w:r>
        <w:rPr>
          <w:rFonts w:ascii="Arial" w:hAnsi="Arial" w:cs="Arial"/>
          <w:sz w:val="24"/>
          <w:szCs w:val="24"/>
        </w:rPr>
        <w:t>_________________________</w:t>
      </w:r>
    </w:p>
    <w:p w14:paraId="52F3A984" w14:textId="77777777" w:rsidR="00044320" w:rsidRPr="00044320" w:rsidRDefault="00044320" w:rsidP="00CF0949">
      <w:pPr>
        <w:spacing w:line="240" w:lineRule="auto"/>
        <w:jc w:val="both"/>
        <w:rPr>
          <w:rFonts w:ascii="Arial" w:hAnsi="Arial" w:cs="Arial"/>
          <w:b/>
          <w:bCs/>
          <w:sz w:val="24"/>
          <w:szCs w:val="24"/>
        </w:rPr>
      </w:pPr>
      <w:r w:rsidRPr="00044320">
        <w:rPr>
          <w:rFonts w:ascii="Arial" w:hAnsi="Arial" w:cs="Arial"/>
          <w:b/>
          <w:bCs/>
          <w:sz w:val="24"/>
          <w:szCs w:val="24"/>
        </w:rPr>
        <w:t>JGA LAING</w:t>
      </w:r>
    </w:p>
    <w:p w14:paraId="22CAC37D" w14:textId="2F95ABB1" w:rsidR="00027B0E" w:rsidRDefault="00044320" w:rsidP="00CF0949">
      <w:pPr>
        <w:spacing w:line="240" w:lineRule="auto"/>
        <w:jc w:val="both"/>
        <w:rPr>
          <w:rFonts w:ascii="Arial" w:hAnsi="Arial" w:cs="Arial"/>
          <w:sz w:val="24"/>
          <w:szCs w:val="24"/>
        </w:rPr>
      </w:pPr>
      <w:r w:rsidRPr="00044320">
        <w:rPr>
          <w:rFonts w:ascii="Arial" w:hAnsi="Arial" w:cs="Arial"/>
          <w:b/>
          <w:bCs/>
          <w:sz w:val="24"/>
          <w:szCs w:val="24"/>
        </w:rPr>
        <w:t>JUDGE OF THE HIGH COURT</w:t>
      </w:r>
      <w:r w:rsidR="00027B0E">
        <w:rPr>
          <w:rFonts w:ascii="Arial" w:hAnsi="Arial" w:cs="Arial"/>
          <w:sz w:val="24"/>
          <w:szCs w:val="24"/>
        </w:rPr>
        <w:t xml:space="preserve"> </w:t>
      </w:r>
    </w:p>
    <w:p w14:paraId="1BE869B6" w14:textId="50763D50" w:rsidR="00023F0F" w:rsidRDefault="00023F0F" w:rsidP="00CF0949">
      <w:pPr>
        <w:spacing w:line="240" w:lineRule="auto"/>
        <w:jc w:val="both"/>
        <w:rPr>
          <w:rFonts w:ascii="Arial" w:hAnsi="Arial" w:cs="Arial"/>
          <w:sz w:val="24"/>
          <w:szCs w:val="24"/>
        </w:rPr>
      </w:pPr>
    </w:p>
    <w:p w14:paraId="631AFB8E" w14:textId="5DBB875A" w:rsidR="00023F0F" w:rsidRDefault="00023F0F" w:rsidP="00CF0949">
      <w:pPr>
        <w:spacing w:line="240" w:lineRule="auto"/>
        <w:jc w:val="both"/>
        <w:rPr>
          <w:rFonts w:ascii="Arial" w:hAnsi="Arial" w:cs="Arial"/>
          <w:sz w:val="24"/>
          <w:szCs w:val="24"/>
        </w:rPr>
      </w:pPr>
    </w:p>
    <w:p w14:paraId="7E445FE2" w14:textId="411246D1" w:rsidR="00023F0F" w:rsidRDefault="00023F0F" w:rsidP="00CF0949">
      <w:pPr>
        <w:spacing w:line="240" w:lineRule="auto"/>
        <w:jc w:val="both"/>
        <w:rPr>
          <w:rFonts w:ascii="Arial" w:hAnsi="Arial" w:cs="Arial"/>
          <w:sz w:val="24"/>
          <w:szCs w:val="24"/>
        </w:rPr>
      </w:pPr>
    </w:p>
    <w:p w14:paraId="75338C93" w14:textId="186AF87C" w:rsidR="00023F0F" w:rsidRDefault="00023F0F" w:rsidP="00CF0949">
      <w:pPr>
        <w:spacing w:line="240" w:lineRule="auto"/>
        <w:jc w:val="both"/>
        <w:rPr>
          <w:rFonts w:ascii="Arial" w:hAnsi="Arial" w:cs="Arial"/>
          <w:sz w:val="24"/>
          <w:szCs w:val="24"/>
        </w:rPr>
      </w:pPr>
    </w:p>
    <w:p w14:paraId="5ACB768D" w14:textId="1FA4E9D5" w:rsidR="00023F0F" w:rsidRDefault="00023F0F" w:rsidP="00CF0949">
      <w:pPr>
        <w:spacing w:line="240" w:lineRule="auto"/>
        <w:jc w:val="both"/>
        <w:rPr>
          <w:rFonts w:ascii="Arial" w:hAnsi="Arial" w:cs="Arial"/>
          <w:sz w:val="24"/>
          <w:szCs w:val="24"/>
        </w:rPr>
      </w:pPr>
    </w:p>
    <w:p w14:paraId="007AA422" w14:textId="638AAD65" w:rsidR="00023F0F" w:rsidRDefault="00023F0F" w:rsidP="00CF0949">
      <w:pPr>
        <w:spacing w:line="240" w:lineRule="auto"/>
        <w:jc w:val="both"/>
        <w:rPr>
          <w:rFonts w:ascii="Arial" w:hAnsi="Arial" w:cs="Arial"/>
          <w:sz w:val="24"/>
          <w:szCs w:val="24"/>
        </w:rPr>
      </w:pPr>
      <w:r>
        <w:rPr>
          <w:rFonts w:ascii="Arial" w:hAnsi="Arial" w:cs="Arial"/>
          <w:sz w:val="24"/>
          <w:szCs w:val="24"/>
        </w:rPr>
        <w:t xml:space="preserve">APPEARANCE </w:t>
      </w:r>
    </w:p>
    <w:p w14:paraId="5A2AF8E5" w14:textId="01A75B62" w:rsidR="00023F0F" w:rsidRDefault="00023F0F" w:rsidP="00CF0949">
      <w:pPr>
        <w:spacing w:line="24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Kilani</w:t>
      </w:r>
      <w:proofErr w:type="spellEnd"/>
      <w:r>
        <w:rPr>
          <w:rFonts w:ascii="Arial" w:hAnsi="Arial" w:cs="Arial"/>
          <w:sz w:val="24"/>
          <w:szCs w:val="24"/>
        </w:rPr>
        <w:t xml:space="preserve">, instructed by F. </w:t>
      </w:r>
      <w:proofErr w:type="spellStart"/>
      <w:r>
        <w:rPr>
          <w:rFonts w:ascii="Arial" w:hAnsi="Arial" w:cs="Arial"/>
          <w:sz w:val="24"/>
          <w:szCs w:val="24"/>
        </w:rPr>
        <w:t>Myaiza</w:t>
      </w:r>
      <w:proofErr w:type="spellEnd"/>
      <w:r>
        <w:rPr>
          <w:rFonts w:ascii="Arial" w:hAnsi="Arial" w:cs="Arial"/>
          <w:sz w:val="24"/>
          <w:szCs w:val="24"/>
        </w:rPr>
        <w:t xml:space="preserve"> Attorneys, East London. </w:t>
      </w:r>
    </w:p>
    <w:p w14:paraId="0C6977DA" w14:textId="20CE1430" w:rsidR="00023F0F" w:rsidRDefault="00023F0F" w:rsidP="00CF0949">
      <w:pPr>
        <w:spacing w:line="240" w:lineRule="auto"/>
        <w:jc w:val="both"/>
        <w:rPr>
          <w:rFonts w:ascii="Arial" w:hAnsi="Arial" w:cs="Arial"/>
          <w:sz w:val="24"/>
          <w:szCs w:val="24"/>
        </w:rPr>
      </w:pPr>
    </w:p>
    <w:p w14:paraId="1CE93414" w14:textId="770EF1FE" w:rsidR="00023F0F" w:rsidRDefault="00023F0F" w:rsidP="00023F0F">
      <w:pPr>
        <w:spacing w:line="240" w:lineRule="auto"/>
        <w:ind w:left="2880" w:hanging="288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t xml:space="preserve">Adv Watt, instructed by Wheeldon Rushmere &amp; Cole Inc, </w:t>
      </w:r>
      <w:proofErr w:type="spellStart"/>
      <w:r>
        <w:rPr>
          <w:rFonts w:ascii="Arial" w:hAnsi="Arial" w:cs="Arial"/>
          <w:sz w:val="24"/>
          <w:szCs w:val="24"/>
        </w:rPr>
        <w:t>Makhanda</w:t>
      </w:r>
      <w:proofErr w:type="spellEnd"/>
      <w:r>
        <w:rPr>
          <w:rFonts w:ascii="Arial" w:hAnsi="Arial" w:cs="Arial"/>
          <w:sz w:val="24"/>
          <w:szCs w:val="24"/>
        </w:rPr>
        <w:t xml:space="preserve"> c/o Lionel Trichardt &amp; Associates, East London.</w:t>
      </w:r>
    </w:p>
    <w:p w14:paraId="1366A26D" w14:textId="3813137E" w:rsidR="00023F0F" w:rsidRDefault="00023F0F" w:rsidP="00023F0F">
      <w:pPr>
        <w:spacing w:line="240" w:lineRule="auto"/>
        <w:ind w:left="2880" w:hanging="2880"/>
        <w:jc w:val="both"/>
        <w:rPr>
          <w:rFonts w:ascii="Arial" w:hAnsi="Arial" w:cs="Arial"/>
          <w:sz w:val="24"/>
          <w:szCs w:val="24"/>
        </w:rPr>
      </w:pPr>
    </w:p>
    <w:p w14:paraId="4EDFA9CE" w14:textId="5B129FBD" w:rsidR="00023F0F" w:rsidRDefault="00023F0F" w:rsidP="00023F0F">
      <w:pPr>
        <w:spacing w:line="240" w:lineRule="auto"/>
        <w:ind w:left="2880" w:hanging="2880"/>
        <w:jc w:val="both"/>
        <w:rPr>
          <w:rFonts w:ascii="Arial" w:hAnsi="Arial" w:cs="Arial"/>
          <w:sz w:val="24"/>
          <w:szCs w:val="24"/>
        </w:rPr>
      </w:pPr>
      <w:r>
        <w:rPr>
          <w:rFonts w:ascii="Arial" w:hAnsi="Arial" w:cs="Arial"/>
          <w:sz w:val="24"/>
          <w:szCs w:val="24"/>
        </w:rPr>
        <w:t xml:space="preserve">Date of hearing: </w:t>
      </w:r>
      <w:r>
        <w:rPr>
          <w:rFonts w:ascii="Arial" w:hAnsi="Arial" w:cs="Arial"/>
          <w:sz w:val="24"/>
          <w:szCs w:val="24"/>
        </w:rPr>
        <w:tab/>
      </w:r>
      <w:r w:rsidR="00961175">
        <w:rPr>
          <w:rFonts w:ascii="Arial" w:hAnsi="Arial" w:cs="Arial"/>
          <w:sz w:val="24"/>
          <w:szCs w:val="24"/>
        </w:rPr>
        <w:tab/>
      </w:r>
      <w:r>
        <w:rPr>
          <w:rFonts w:ascii="Arial" w:hAnsi="Arial" w:cs="Arial"/>
          <w:sz w:val="24"/>
          <w:szCs w:val="24"/>
        </w:rPr>
        <w:tab/>
      </w:r>
      <w:r w:rsidR="00961175">
        <w:rPr>
          <w:rFonts w:ascii="Arial" w:hAnsi="Arial" w:cs="Arial"/>
          <w:sz w:val="24"/>
          <w:szCs w:val="24"/>
        </w:rPr>
        <w:tab/>
      </w:r>
      <w:r>
        <w:rPr>
          <w:rFonts w:ascii="Arial" w:hAnsi="Arial" w:cs="Arial"/>
          <w:sz w:val="24"/>
          <w:szCs w:val="24"/>
        </w:rPr>
        <w:t>16 February 2023.</w:t>
      </w:r>
    </w:p>
    <w:p w14:paraId="2FE1A863" w14:textId="20EA070C" w:rsidR="00023F0F" w:rsidRPr="00DE1286" w:rsidRDefault="00023F0F" w:rsidP="00023F0F">
      <w:pPr>
        <w:spacing w:line="240" w:lineRule="auto"/>
        <w:ind w:left="2880" w:hanging="2880"/>
        <w:jc w:val="both"/>
        <w:rPr>
          <w:rFonts w:ascii="Arial" w:hAnsi="Arial" w:cs="Arial"/>
          <w:sz w:val="24"/>
          <w:szCs w:val="24"/>
        </w:rPr>
      </w:pPr>
      <w:r>
        <w:rPr>
          <w:rFonts w:ascii="Arial" w:hAnsi="Arial" w:cs="Arial"/>
          <w:sz w:val="24"/>
          <w:szCs w:val="24"/>
        </w:rPr>
        <w:t xml:space="preserve">Date of delivery of </w:t>
      </w:r>
      <w:r w:rsidR="00961175">
        <w:rPr>
          <w:rFonts w:ascii="Arial" w:hAnsi="Arial" w:cs="Arial"/>
          <w:sz w:val="24"/>
          <w:szCs w:val="24"/>
        </w:rPr>
        <w:t xml:space="preserve">reasons for </w:t>
      </w:r>
      <w:r>
        <w:rPr>
          <w:rFonts w:ascii="Arial" w:hAnsi="Arial" w:cs="Arial"/>
          <w:sz w:val="24"/>
          <w:szCs w:val="24"/>
        </w:rPr>
        <w:t>judgment:</w:t>
      </w:r>
      <w:r w:rsidR="00961175">
        <w:rPr>
          <w:rFonts w:ascii="Arial" w:hAnsi="Arial" w:cs="Arial"/>
          <w:sz w:val="24"/>
          <w:szCs w:val="24"/>
        </w:rPr>
        <w:tab/>
        <w:t>04 May 2023.</w:t>
      </w:r>
      <w:r>
        <w:rPr>
          <w:rFonts w:ascii="Arial" w:hAnsi="Arial" w:cs="Arial"/>
          <w:sz w:val="24"/>
          <w:szCs w:val="24"/>
        </w:rPr>
        <w:tab/>
      </w:r>
    </w:p>
    <w:sectPr w:rsidR="00023F0F" w:rsidRPr="00DE1286" w:rsidSect="00CF094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9BD4" w14:textId="77777777" w:rsidR="00EC7286" w:rsidRDefault="00EC7286" w:rsidP="000B465D">
      <w:pPr>
        <w:spacing w:after="0" w:line="240" w:lineRule="auto"/>
      </w:pPr>
      <w:r>
        <w:separator/>
      </w:r>
    </w:p>
  </w:endnote>
  <w:endnote w:type="continuationSeparator" w:id="0">
    <w:p w14:paraId="5F7C6B6B" w14:textId="77777777" w:rsidR="00EC7286" w:rsidRDefault="00EC7286" w:rsidP="000B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BEC4" w14:textId="77777777" w:rsidR="00EC7286" w:rsidRDefault="00EC7286" w:rsidP="000B465D">
      <w:pPr>
        <w:spacing w:after="0" w:line="240" w:lineRule="auto"/>
      </w:pPr>
      <w:r>
        <w:separator/>
      </w:r>
    </w:p>
  </w:footnote>
  <w:footnote w:type="continuationSeparator" w:id="0">
    <w:p w14:paraId="54CF7DF5" w14:textId="77777777" w:rsidR="00EC7286" w:rsidRDefault="00EC7286" w:rsidP="000B465D">
      <w:pPr>
        <w:spacing w:after="0" w:line="240" w:lineRule="auto"/>
      </w:pPr>
      <w:r>
        <w:continuationSeparator/>
      </w:r>
    </w:p>
  </w:footnote>
  <w:footnote w:id="1">
    <w:p w14:paraId="09ABB736" w14:textId="151DC285" w:rsidR="000B465D" w:rsidRPr="000B465D" w:rsidRDefault="000B465D" w:rsidP="00CF0949">
      <w:pPr>
        <w:pStyle w:val="FootnoteText"/>
        <w:jc w:val="both"/>
        <w:rPr>
          <w:lang w:val="en-US"/>
        </w:rPr>
      </w:pPr>
      <w:r>
        <w:rPr>
          <w:rStyle w:val="FootnoteReference"/>
        </w:rPr>
        <w:footnoteRef/>
      </w:r>
      <w:r>
        <w:t xml:space="preserve"> </w:t>
      </w:r>
      <w:r>
        <w:rPr>
          <w:lang w:val="en-US"/>
        </w:rPr>
        <w:t>Sic.</w:t>
      </w:r>
    </w:p>
  </w:footnote>
  <w:footnote w:id="2">
    <w:p w14:paraId="66EFC270" w14:textId="3AFEA5CA" w:rsidR="00587255" w:rsidRPr="00587255" w:rsidRDefault="00587255" w:rsidP="00CF0949">
      <w:pPr>
        <w:pStyle w:val="FootnoteText"/>
        <w:jc w:val="both"/>
        <w:rPr>
          <w:lang w:val="en-US"/>
        </w:rPr>
      </w:pPr>
      <w:r>
        <w:rPr>
          <w:rStyle w:val="FootnoteReference"/>
        </w:rPr>
        <w:footnoteRef/>
      </w:r>
      <w:r>
        <w:t xml:space="preserve"> </w:t>
      </w:r>
      <w:r w:rsidR="00D26E72">
        <w:t>DE v</w:t>
      </w:r>
      <w:r>
        <w:rPr>
          <w:lang w:val="en-US"/>
        </w:rPr>
        <w:t>an Loggerenberg,</w:t>
      </w:r>
      <w:r w:rsidR="00D26E72">
        <w:rPr>
          <w:lang w:val="en-US"/>
        </w:rPr>
        <w:t xml:space="preserve"> </w:t>
      </w:r>
      <w:r w:rsidR="00D26E72" w:rsidRPr="00E52845">
        <w:rPr>
          <w:i/>
          <w:iCs/>
          <w:lang w:val="en-US"/>
        </w:rPr>
        <w:t>Erasmus: Superior Court Practice</w:t>
      </w:r>
      <w:r w:rsidR="00FE09E3">
        <w:rPr>
          <w:lang w:val="en-US"/>
        </w:rPr>
        <w:t xml:space="preserve"> (Jutastat e-publications, RS</w:t>
      </w:r>
      <w:r w:rsidR="004B59A3">
        <w:rPr>
          <w:lang w:val="en-US"/>
        </w:rPr>
        <w:t xml:space="preserve"> </w:t>
      </w:r>
      <w:r w:rsidR="00FE09E3">
        <w:rPr>
          <w:lang w:val="en-US"/>
        </w:rPr>
        <w:t>20</w:t>
      </w:r>
      <w:r w:rsidR="00E52845">
        <w:rPr>
          <w:lang w:val="en-US"/>
        </w:rPr>
        <w:t>, 2022)</w:t>
      </w:r>
      <w:r w:rsidR="004B59A3">
        <w:rPr>
          <w:lang w:val="en-US"/>
        </w:rPr>
        <w:t>, at D5-6.</w:t>
      </w:r>
    </w:p>
  </w:footnote>
  <w:footnote w:id="3">
    <w:p w14:paraId="1E8774EA" w14:textId="5B4467C6" w:rsidR="00B92551" w:rsidRPr="00B92551" w:rsidRDefault="00B92551" w:rsidP="00CF0949">
      <w:pPr>
        <w:pStyle w:val="FootnoteText"/>
        <w:jc w:val="both"/>
        <w:rPr>
          <w:lang w:val="en-US"/>
        </w:rPr>
      </w:pPr>
      <w:r>
        <w:rPr>
          <w:rStyle w:val="FootnoteReference"/>
        </w:rPr>
        <w:footnoteRef/>
      </w:r>
      <w:r>
        <w:t xml:space="preserve"> </w:t>
      </w:r>
      <w:r w:rsidR="00E87173">
        <w:rPr>
          <w:lang w:val="en-US"/>
        </w:rPr>
        <w:t xml:space="preserve">The principles were set out in </w:t>
      </w:r>
      <w:r w:rsidR="00E87173" w:rsidRPr="004B326E">
        <w:rPr>
          <w:i/>
          <w:iCs/>
          <w:lang w:val="en-US"/>
        </w:rPr>
        <w:t>Fripp v Gibbon &amp; Co</w:t>
      </w:r>
      <w:r w:rsidR="00606EBA">
        <w:rPr>
          <w:lang w:val="en-US"/>
        </w:rPr>
        <w:t xml:space="preserve"> 1913 AD 354 and have been followed consistently. See, more recently, </w:t>
      </w:r>
      <w:r w:rsidR="00AD1BBB" w:rsidRPr="004B326E">
        <w:rPr>
          <w:i/>
          <w:iCs/>
          <w:lang w:val="en-US"/>
        </w:rPr>
        <w:t>Public Protector v South African Reserve Bank</w:t>
      </w:r>
      <w:r w:rsidR="00174D99">
        <w:rPr>
          <w:lang w:val="en-US"/>
        </w:rPr>
        <w:t xml:space="preserve"> 2019 (6) SA 253 (CC), at 298E; </w:t>
      </w:r>
      <w:r w:rsidR="006C0DC1">
        <w:rPr>
          <w:lang w:val="en-US"/>
        </w:rPr>
        <w:t xml:space="preserve">and </w:t>
      </w:r>
      <w:r w:rsidR="006C0DC1" w:rsidRPr="004B326E">
        <w:rPr>
          <w:i/>
          <w:iCs/>
          <w:lang w:val="en-US"/>
        </w:rPr>
        <w:t>Central Energy Fund SOC Ltd v Venus Rays Trade (Pty) Ltd</w:t>
      </w:r>
      <w:r w:rsidR="004B326E">
        <w:rPr>
          <w:lang w:val="en-US"/>
        </w:rPr>
        <w:t xml:space="preserve"> 2022 (5) SA 56 (SCA), at paragraph [78].</w:t>
      </w:r>
    </w:p>
  </w:footnote>
  <w:footnote w:id="4">
    <w:p w14:paraId="02791EDB" w14:textId="0DB25AC4" w:rsidR="00DE4EFB" w:rsidRPr="00DE4EFB" w:rsidRDefault="00DE4EFB" w:rsidP="00CF0949">
      <w:pPr>
        <w:pStyle w:val="FootnoteText"/>
        <w:jc w:val="both"/>
        <w:rPr>
          <w:lang w:val="en-US"/>
        </w:rPr>
      </w:pPr>
      <w:r>
        <w:rPr>
          <w:rStyle w:val="FootnoteReference"/>
        </w:rPr>
        <w:footnoteRef/>
      </w:r>
      <w:r>
        <w:t xml:space="preserve"> </w:t>
      </w:r>
      <w:r w:rsidR="006A52A4">
        <w:t xml:space="preserve">DE van Loggerenberg, </w:t>
      </w:r>
      <w:r w:rsidR="006A52A4" w:rsidRPr="00F55A36">
        <w:rPr>
          <w:i/>
          <w:iCs/>
        </w:rPr>
        <w:t>op cit</w:t>
      </w:r>
      <w:r w:rsidR="006A52A4">
        <w:t xml:space="preserve">, at </w:t>
      </w:r>
      <w:r w:rsidR="006D08B0">
        <w:t>D5-7.</w:t>
      </w:r>
    </w:p>
  </w:footnote>
  <w:footnote w:id="5">
    <w:p w14:paraId="326FB941" w14:textId="7F516296" w:rsidR="00F55A36" w:rsidRPr="00F55A36" w:rsidRDefault="00F55A36" w:rsidP="00CF0949">
      <w:pPr>
        <w:pStyle w:val="FootnoteText"/>
        <w:jc w:val="both"/>
        <w:rPr>
          <w:lang w:val="en-US"/>
        </w:rPr>
      </w:pPr>
      <w:r>
        <w:rPr>
          <w:rStyle w:val="FootnoteReference"/>
        </w:rPr>
        <w:footnoteRef/>
      </w:r>
      <w:r>
        <w:t xml:space="preserve"> </w:t>
      </w:r>
      <w:r>
        <w:rPr>
          <w:lang w:val="en-US"/>
        </w:rPr>
        <w:t xml:space="preserve">DE van Loggerenberg, </w:t>
      </w:r>
      <w:r w:rsidRPr="00F55A36">
        <w:rPr>
          <w:i/>
          <w:iCs/>
          <w:lang w:val="en-US"/>
        </w:rPr>
        <w:t>op cit</w:t>
      </w:r>
      <w:r>
        <w:rPr>
          <w:lang w:val="en-US"/>
        </w:rPr>
        <w:t xml:space="preserve">, at </w:t>
      </w:r>
      <w:r w:rsidR="00B87E5B">
        <w:rPr>
          <w:lang w:val="en-US"/>
        </w:rPr>
        <w:t xml:space="preserve">D5-36D. See, too, </w:t>
      </w:r>
      <w:r w:rsidR="00B87E5B" w:rsidRPr="002E675D">
        <w:rPr>
          <w:i/>
          <w:iCs/>
          <w:lang w:val="en-US"/>
        </w:rPr>
        <w:t>Jenkins v SA Boilermakers</w:t>
      </w:r>
      <w:r w:rsidR="002346D3" w:rsidRPr="002E675D">
        <w:rPr>
          <w:i/>
          <w:iCs/>
          <w:lang w:val="en-US"/>
        </w:rPr>
        <w:t>, Iron &amp; Steel Workers &amp; Ship Builders Society</w:t>
      </w:r>
      <w:r w:rsidR="002346D3">
        <w:rPr>
          <w:lang w:val="en-US"/>
        </w:rPr>
        <w:t xml:space="preserve"> 1946 WLD</w:t>
      </w:r>
      <w:r w:rsidR="002346E6">
        <w:rPr>
          <w:lang w:val="en-US"/>
        </w:rPr>
        <w:t xml:space="preserve"> 15, at 17-18</w:t>
      </w:r>
      <w:r w:rsidR="0080054B">
        <w:rPr>
          <w:lang w:val="en-US"/>
        </w:rPr>
        <w:t xml:space="preserve">; and, more recently, </w:t>
      </w:r>
      <w:r w:rsidR="0080054B" w:rsidRPr="002E675D">
        <w:rPr>
          <w:i/>
          <w:iCs/>
          <w:lang w:val="en-US"/>
        </w:rPr>
        <w:t>Eloff v Road Accident Fund</w:t>
      </w:r>
      <w:r w:rsidR="002E675D">
        <w:rPr>
          <w:lang w:val="en-US"/>
        </w:rPr>
        <w:t xml:space="preserve"> 2009 (3) SA 27 (C), at 35D-I.</w:t>
      </w:r>
    </w:p>
  </w:footnote>
  <w:footnote w:id="6">
    <w:p w14:paraId="419D549E" w14:textId="77777777" w:rsidR="00783651" w:rsidRPr="009E38E3" w:rsidRDefault="00783651" w:rsidP="00CF0949">
      <w:pPr>
        <w:pStyle w:val="FootnoteText"/>
        <w:jc w:val="both"/>
        <w:rPr>
          <w:lang w:val="en-US"/>
        </w:rPr>
      </w:pPr>
      <w:r>
        <w:rPr>
          <w:rStyle w:val="FootnoteReference"/>
        </w:rPr>
        <w:footnoteRef/>
      </w:r>
      <w:r>
        <w:t xml:space="preserve"> </w:t>
      </w:r>
      <w:r>
        <w:rPr>
          <w:lang w:val="en-US"/>
        </w:rPr>
        <w:t>1953 (2) SA 151 (O).</w:t>
      </w:r>
    </w:p>
  </w:footnote>
  <w:footnote w:id="7">
    <w:p w14:paraId="4BC4028C" w14:textId="77777777" w:rsidR="00783651" w:rsidRPr="002B61A7" w:rsidRDefault="00783651" w:rsidP="00783651">
      <w:pPr>
        <w:pStyle w:val="FootnoteText"/>
        <w:rPr>
          <w:lang w:val="en-US"/>
        </w:rPr>
      </w:pPr>
      <w:r>
        <w:rPr>
          <w:rStyle w:val="FootnoteReference"/>
        </w:rPr>
        <w:footnoteRef/>
      </w:r>
      <w:r>
        <w:t xml:space="preserve"> </w:t>
      </w:r>
      <w:r w:rsidRPr="00FE7476">
        <w:rPr>
          <w:i/>
          <w:iCs/>
          <w:lang w:val="en-US"/>
        </w:rPr>
        <w:t>Kethel v Kethel’s Estate</w:t>
      </w:r>
      <w:r>
        <w:rPr>
          <w:lang w:val="en-US"/>
        </w:rPr>
        <w:t xml:space="preserve"> 1949 (3) SA 598 (A), at 610; </w:t>
      </w:r>
      <w:r w:rsidRPr="004D4623">
        <w:rPr>
          <w:i/>
          <w:iCs/>
          <w:lang w:val="en-US"/>
        </w:rPr>
        <w:t>Amalgamated Engineering Union v Minister of Labour</w:t>
      </w:r>
      <w:r w:rsidRPr="004D4623">
        <w:rPr>
          <w:lang w:val="en-US"/>
        </w:rPr>
        <w:t xml:space="preserve"> 1949 (3) 637 (A), at 659</w:t>
      </w:r>
      <w:r>
        <w:rPr>
          <w:lang w:val="en-US"/>
        </w:rPr>
        <w:t xml:space="preserve">. The principle continues to be followed as apparent from, more recently, </w:t>
      </w:r>
      <w:r w:rsidRPr="002B61A7">
        <w:rPr>
          <w:i/>
          <w:iCs/>
          <w:lang w:val="en-US"/>
        </w:rPr>
        <w:t>Watson NO v Ngonyama</w:t>
      </w:r>
      <w:r>
        <w:rPr>
          <w:lang w:val="en-US"/>
        </w:rPr>
        <w:t xml:space="preserve"> 2021 (5) SA 559 (SCA), at paragraph [52].</w:t>
      </w:r>
      <w:r w:rsidRPr="00CF3E74">
        <w:rPr>
          <w:sz w:val="22"/>
          <w:szCs w:val="22"/>
          <w:lang w:val="en-US"/>
        </w:rPr>
        <w:t xml:space="preserve"> </w:t>
      </w:r>
      <w:r w:rsidRPr="00FA034C">
        <w:rPr>
          <w:lang w:val="en-US"/>
        </w:rPr>
        <w:t>See, too, the discussion in</w:t>
      </w:r>
      <w:r>
        <w:rPr>
          <w:sz w:val="22"/>
          <w:szCs w:val="22"/>
          <w:lang w:val="en-US"/>
        </w:rPr>
        <w:t xml:space="preserve"> </w:t>
      </w:r>
      <w:r w:rsidRPr="00CF3E74">
        <w:rPr>
          <w:lang w:val="en-US"/>
        </w:rPr>
        <w:t xml:space="preserve">DE van Loggerenberg, </w:t>
      </w:r>
      <w:r w:rsidRPr="00CF3E74">
        <w:rPr>
          <w:i/>
          <w:iCs/>
          <w:lang w:val="en-US"/>
        </w:rPr>
        <w:t>Erasmus: Superior Court Practice</w:t>
      </w:r>
      <w:r w:rsidRPr="00CF3E74">
        <w:rPr>
          <w:lang w:val="en-US"/>
        </w:rPr>
        <w:t xml:space="preserve"> (Jutatstat, RS 16, 2021), at D1-124.</w:t>
      </w:r>
    </w:p>
  </w:footnote>
  <w:footnote w:id="8">
    <w:p w14:paraId="26126764" w14:textId="71BBC276" w:rsidR="00F72577" w:rsidRPr="00F72577" w:rsidRDefault="00F72577">
      <w:pPr>
        <w:pStyle w:val="FootnoteText"/>
        <w:rPr>
          <w:lang w:val="en-US"/>
        </w:rPr>
      </w:pPr>
      <w:r>
        <w:rPr>
          <w:rStyle w:val="FootnoteReference"/>
        </w:rPr>
        <w:footnoteRef/>
      </w:r>
      <w:r>
        <w:t xml:space="preserve"> </w:t>
      </w:r>
      <w:r>
        <w:rPr>
          <w:lang w:val="en-US"/>
        </w:rPr>
        <w:t>2022 JDR 2317 (ECMA).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2209"/>
      <w:docPartObj>
        <w:docPartGallery w:val="Page Numbers (Top of Page)"/>
        <w:docPartUnique/>
      </w:docPartObj>
    </w:sdtPr>
    <w:sdtEndPr>
      <w:rPr>
        <w:noProof/>
      </w:rPr>
    </w:sdtEndPr>
    <w:sdtContent>
      <w:p w14:paraId="6185D41A" w14:textId="1C218BCD" w:rsidR="00CF0949" w:rsidRDefault="00CF0949">
        <w:pPr>
          <w:pStyle w:val="Header"/>
          <w:jc w:val="center"/>
        </w:pPr>
        <w:r>
          <w:fldChar w:fldCharType="begin"/>
        </w:r>
        <w:r>
          <w:instrText xml:space="preserve"> PAGE   \* MERGEFORMAT </w:instrText>
        </w:r>
        <w:r>
          <w:fldChar w:fldCharType="separate"/>
        </w:r>
        <w:r w:rsidR="00251987">
          <w:rPr>
            <w:noProof/>
          </w:rPr>
          <w:t>4</w:t>
        </w:r>
        <w:r>
          <w:rPr>
            <w:noProof/>
          </w:rPr>
          <w:fldChar w:fldCharType="end"/>
        </w:r>
      </w:p>
    </w:sdtContent>
  </w:sdt>
  <w:p w14:paraId="4A29DEE3" w14:textId="77777777" w:rsidR="00CF0949" w:rsidRDefault="00CF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82ACC"/>
    <w:multiLevelType w:val="hybridMultilevel"/>
    <w:tmpl w:val="A57E782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4330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D6"/>
    <w:rsid w:val="00020960"/>
    <w:rsid w:val="000221A9"/>
    <w:rsid w:val="00023F0F"/>
    <w:rsid w:val="00027B0E"/>
    <w:rsid w:val="0003479A"/>
    <w:rsid w:val="00044320"/>
    <w:rsid w:val="000B465D"/>
    <w:rsid w:val="000F2D0A"/>
    <w:rsid w:val="0016553B"/>
    <w:rsid w:val="00174D99"/>
    <w:rsid w:val="001B3301"/>
    <w:rsid w:val="002027F7"/>
    <w:rsid w:val="00211E7A"/>
    <w:rsid w:val="00226DA1"/>
    <w:rsid w:val="002346D3"/>
    <w:rsid w:val="002346E6"/>
    <w:rsid w:val="002471D3"/>
    <w:rsid w:val="00247AE2"/>
    <w:rsid w:val="00251987"/>
    <w:rsid w:val="002676FB"/>
    <w:rsid w:val="00270A08"/>
    <w:rsid w:val="00276DE4"/>
    <w:rsid w:val="002D2727"/>
    <w:rsid w:val="002D4981"/>
    <w:rsid w:val="002E6420"/>
    <w:rsid w:val="002E675D"/>
    <w:rsid w:val="00323136"/>
    <w:rsid w:val="003271D7"/>
    <w:rsid w:val="0033509F"/>
    <w:rsid w:val="0034116C"/>
    <w:rsid w:val="003558FB"/>
    <w:rsid w:val="00360435"/>
    <w:rsid w:val="00390068"/>
    <w:rsid w:val="0039245F"/>
    <w:rsid w:val="003B2504"/>
    <w:rsid w:val="003D72E8"/>
    <w:rsid w:val="003E1899"/>
    <w:rsid w:val="00405E14"/>
    <w:rsid w:val="004270C5"/>
    <w:rsid w:val="00427124"/>
    <w:rsid w:val="004333F1"/>
    <w:rsid w:val="004454E3"/>
    <w:rsid w:val="00464357"/>
    <w:rsid w:val="00464B61"/>
    <w:rsid w:val="004B326E"/>
    <w:rsid w:val="004B59A3"/>
    <w:rsid w:val="004E30FD"/>
    <w:rsid w:val="004F5E11"/>
    <w:rsid w:val="00501177"/>
    <w:rsid w:val="00505EFD"/>
    <w:rsid w:val="0051562E"/>
    <w:rsid w:val="00530AB4"/>
    <w:rsid w:val="00557CDB"/>
    <w:rsid w:val="00575CFF"/>
    <w:rsid w:val="00587255"/>
    <w:rsid w:val="005B68E5"/>
    <w:rsid w:val="005C6245"/>
    <w:rsid w:val="005D638D"/>
    <w:rsid w:val="00606EBA"/>
    <w:rsid w:val="0063390E"/>
    <w:rsid w:val="00651B99"/>
    <w:rsid w:val="00681846"/>
    <w:rsid w:val="00696AC8"/>
    <w:rsid w:val="006A52A4"/>
    <w:rsid w:val="006B0239"/>
    <w:rsid w:val="006C0DC1"/>
    <w:rsid w:val="006C3D23"/>
    <w:rsid w:val="006D08B0"/>
    <w:rsid w:val="0071341F"/>
    <w:rsid w:val="007212AB"/>
    <w:rsid w:val="00732C4D"/>
    <w:rsid w:val="007559FE"/>
    <w:rsid w:val="007658C6"/>
    <w:rsid w:val="0077053A"/>
    <w:rsid w:val="00771EC4"/>
    <w:rsid w:val="007801F1"/>
    <w:rsid w:val="007802B1"/>
    <w:rsid w:val="00783651"/>
    <w:rsid w:val="007C21C3"/>
    <w:rsid w:val="007D10EF"/>
    <w:rsid w:val="007D253E"/>
    <w:rsid w:val="0080054B"/>
    <w:rsid w:val="00830349"/>
    <w:rsid w:val="00830B29"/>
    <w:rsid w:val="008432A2"/>
    <w:rsid w:val="008630E3"/>
    <w:rsid w:val="008A32D8"/>
    <w:rsid w:val="008A7AF2"/>
    <w:rsid w:val="008F75FE"/>
    <w:rsid w:val="00961175"/>
    <w:rsid w:val="00982F8A"/>
    <w:rsid w:val="009D10B6"/>
    <w:rsid w:val="00A174F2"/>
    <w:rsid w:val="00A36F4F"/>
    <w:rsid w:val="00A41036"/>
    <w:rsid w:val="00A5400A"/>
    <w:rsid w:val="00A745F7"/>
    <w:rsid w:val="00A86304"/>
    <w:rsid w:val="00A86CC1"/>
    <w:rsid w:val="00AC53D4"/>
    <w:rsid w:val="00AD1BBB"/>
    <w:rsid w:val="00B03175"/>
    <w:rsid w:val="00B03EA9"/>
    <w:rsid w:val="00B402D6"/>
    <w:rsid w:val="00B503A9"/>
    <w:rsid w:val="00B542CD"/>
    <w:rsid w:val="00B6115E"/>
    <w:rsid w:val="00B87E5B"/>
    <w:rsid w:val="00B92551"/>
    <w:rsid w:val="00BB7608"/>
    <w:rsid w:val="00BB7846"/>
    <w:rsid w:val="00BE7C79"/>
    <w:rsid w:val="00C0281B"/>
    <w:rsid w:val="00C104B7"/>
    <w:rsid w:val="00C22BF0"/>
    <w:rsid w:val="00C25492"/>
    <w:rsid w:val="00C4431F"/>
    <w:rsid w:val="00C523D2"/>
    <w:rsid w:val="00C86DCB"/>
    <w:rsid w:val="00CB128C"/>
    <w:rsid w:val="00CC0ED4"/>
    <w:rsid w:val="00CC25BE"/>
    <w:rsid w:val="00CD1027"/>
    <w:rsid w:val="00CD117B"/>
    <w:rsid w:val="00CF0949"/>
    <w:rsid w:val="00D26E72"/>
    <w:rsid w:val="00D44C6C"/>
    <w:rsid w:val="00D456C9"/>
    <w:rsid w:val="00D621E7"/>
    <w:rsid w:val="00D679D8"/>
    <w:rsid w:val="00D67B72"/>
    <w:rsid w:val="00D75B9B"/>
    <w:rsid w:val="00D80E73"/>
    <w:rsid w:val="00D92068"/>
    <w:rsid w:val="00DE1286"/>
    <w:rsid w:val="00DE4EFB"/>
    <w:rsid w:val="00E35770"/>
    <w:rsid w:val="00E52845"/>
    <w:rsid w:val="00E6531D"/>
    <w:rsid w:val="00E66C41"/>
    <w:rsid w:val="00E87173"/>
    <w:rsid w:val="00E96189"/>
    <w:rsid w:val="00EA3E16"/>
    <w:rsid w:val="00EB7A83"/>
    <w:rsid w:val="00EC7286"/>
    <w:rsid w:val="00F010BA"/>
    <w:rsid w:val="00F55A36"/>
    <w:rsid w:val="00F55B23"/>
    <w:rsid w:val="00F72577"/>
    <w:rsid w:val="00FC49B2"/>
    <w:rsid w:val="00FD482D"/>
    <w:rsid w:val="00FE09E3"/>
    <w:rsid w:val="00FE1B39"/>
    <w:rsid w:val="00FE77A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B71B"/>
  <w15:chartTrackingRefBased/>
  <w15:docId w15:val="{7C298327-496E-489C-B0BA-D7C344E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65D"/>
    <w:rPr>
      <w:sz w:val="20"/>
      <w:szCs w:val="20"/>
      <w:lang w:val="en-ZA"/>
    </w:rPr>
  </w:style>
  <w:style w:type="character" w:styleId="FootnoteReference">
    <w:name w:val="footnote reference"/>
    <w:basedOn w:val="DefaultParagraphFont"/>
    <w:uiPriority w:val="99"/>
    <w:semiHidden/>
    <w:unhideWhenUsed/>
    <w:rsid w:val="000B465D"/>
    <w:rPr>
      <w:vertAlign w:val="superscript"/>
    </w:rPr>
  </w:style>
  <w:style w:type="paragraph" w:styleId="ListParagraph">
    <w:name w:val="List Paragraph"/>
    <w:basedOn w:val="Normal"/>
    <w:uiPriority w:val="34"/>
    <w:qFormat/>
    <w:rsid w:val="00FC49B2"/>
    <w:pPr>
      <w:ind w:left="720"/>
      <w:contextualSpacing/>
    </w:pPr>
  </w:style>
  <w:style w:type="paragraph" w:styleId="Header">
    <w:name w:val="header"/>
    <w:basedOn w:val="Normal"/>
    <w:link w:val="HeaderChar"/>
    <w:uiPriority w:val="99"/>
    <w:unhideWhenUsed/>
    <w:rsid w:val="00CF0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49"/>
    <w:rPr>
      <w:lang w:val="en-ZA"/>
    </w:rPr>
  </w:style>
  <w:style w:type="paragraph" w:styleId="Footer">
    <w:name w:val="footer"/>
    <w:basedOn w:val="Normal"/>
    <w:link w:val="FooterChar"/>
    <w:uiPriority w:val="99"/>
    <w:unhideWhenUsed/>
    <w:rsid w:val="00CF0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49"/>
    <w:rPr>
      <w:lang w:val="en-ZA"/>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1617</Words>
  <Characters>8785</Characters>
  <Application>Microsoft Office Word</Application>
  <DocSecurity>0</DocSecurity>
  <Lines>488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cp:lastPrinted>2023-05-03T13:08:00Z</cp:lastPrinted>
  <dcterms:created xsi:type="dcterms:W3CDTF">2023-05-16T08:21:00Z</dcterms:created>
  <dcterms:modified xsi:type="dcterms:W3CDTF">2023-05-20T08:54:00Z</dcterms:modified>
</cp:coreProperties>
</file>