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81EFE" w14:textId="77777777" w:rsidR="008C7E67" w:rsidRDefault="008C7E67" w:rsidP="008C7E67">
      <w:pPr>
        <w:spacing w:line="480" w:lineRule="auto"/>
        <w:jc w:val="center"/>
        <w:rPr>
          <w:rFonts w:ascii="Arial" w:hAnsi="Arial" w:cs="Arial"/>
          <w:b/>
          <w:bCs/>
          <w:sz w:val="24"/>
          <w:szCs w:val="24"/>
          <w:lang w:val="en-US"/>
        </w:rPr>
      </w:pPr>
      <w:bookmarkStart w:id="0" w:name="_Hlk133398337"/>
      <w:bookmarkStart w:id="1" w:name="_GoBack"/>
      <w:bookmarkEnd w:id="1"/>
      <w:r w:rsidRPr="009F31F8">
        <w:rPr>
          <w:rFonts w:ascii="Times New Roman" w:hAnsi="Times New Roman" w:cs="Times New Roman"/>
          <w:noProof/>
          <w:lang w:val="en-US"/>
        </w:rPr>
        <w:drawing>
          <wp:inline distT="0" distB="0" distL="0" distR="0" wp14:anchorId="096C4573" wp14:editId="19B10C19">
            <wp:extent cx="1216025" cy="1143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188" cy="1149733"/>
                    </a:xfrm>
                    <a:prstGeom prst="rect">
                      <a:avLst/>
                    </a:prstGeom>
                    <a:noFill/>
                  </pic:spPr>
                </pic:pic>
              </a:graphicData>
            </a:graphic>
          </wp:inline>
        </w:drawing>
      </w:r>
    </w:p>
    <w:p w14:paraId="4D49D788" w14:textId="77777777" w:rsidR="008C7E67" w:rsidRDefault="008C7E67" w:rsidP="008C7E67">
      <w:pPr>
        <w:spacing w:line="276" w:lineRule="auto"/>
        <w:jc w:val="center"/>
        <w:rPr>
          <w:rFonts w:ascii="Arial" w:hAnsi="Arial" w:cs="Arial"/>
          <w:b/>
          <w:bCs/>
          <w:sz w:val="24"/>
          <w:szCs w:val="24"/>
          <w:lang w:val="en-US"/>
        </w:rPr>
      </w:pPr>
      <w:r>
        <w:rPr>
          <w:rFonts w:ascii="Arial" w:hAnsi="Arial" w:cs="Arial"/>
          <w:b/>
          <w:bCs/>
          <w:sz w:val="24"/>
          <w:szCs w:val="24"/>
          <w:lang w:val="en-US"/>
        </w:rPr>
        <w:t>IN THE HIGH COURT OF SOUTH AFRICA</w:t>
      </w:r>
    </w:p>
    <w:p w14:paraId="24DE4D68" w14:textId="03871E47" w:rsidR="008C7E67" w:rsidRDefault="008C7E67" w:rsidP="008C7E67">
      <w:pPr>
        <w:spacing w:line="276" w:lineRule="auto"/>
        <w:jc w:val="center"/>
        <w:rPr>
          <w:rFonts w:ascii="Arial" w:hAnsi="Arial" w:cs="Arial"/>
          <w:b/>
          <w:bCs/>
          <w:sz w:val="24"/>
          <w:szCs w:val="24"/>
          <w:lang w:val="en-US"/>
        </w:rPr>
      </w:pPr>
      <w:r>
        <w:rPr>
          <w:rFonts w:ascii="Arial" w:hAnsi="Arial" w:cs="Arial"/>
          <w:b/>
          <w:bCs/>
          <w:sz w:val="24"/>
          <w:szCs w:val="24"/>
          <w:lang w:val="en-US"/>
        </w:rPr>
        <w:t>[EAST LONDON CIRCUIT DIVISION – EAST LONDON]</w:t>
      </w:r>
    </w:p>
    <w:p w14:paraId="7F4C4FD1" w14:textId="47C864AE" w:rsidR="008C7E67" w:rsidRDefault="008C7E67" w:rsidP="008C7E67">
      <w:pPr>
        <w:spacing w:line="276" w:lineRule="auto"/>
        <w:jc w:val="right"/>
        <w:rPr>
          <w:rFonts w:ascii="Arial" w:hAnsi="Arial" w:cs="Arial"/>
          <w:b/>
          <w:bCs/>
          <w:sz w:val="24"/>
          <w:szCs w:val="24"/>
          <w:lang w:val="en-US"/>
        </w:rPr>
      </w:pPr>
      <w:r>
        <w:rPr>
          <w:rFonts w:ascii="Arial" w:hAnsi="Arial" w:cs="Arial"/>
          <w:b/>
          <w:bCs/>
          <w:sz w:val="24"/>
          <w:szCs w:val="24"/>
          <w:lang w:val="en-US"/>
        </w:rPr>
        <w:t>CASE NO.: E</w:t>
      </w:r>
      <w:r w:rsidR="00FF7B54">
        <w:rPr>
          <w:rFonts w:ascii="Arial" w:hAnsi="Arial" w:cs="Arial"/>
          <w:b/>
          <w:bCs/>
          <w:sz w:val="24"/>
          <w:szCs w:val="24"/>
          <w:lang w:val="en-US"/>
        </w:rPr>
        <w:t>L 705/</w:t>
      </w:r>
      <w:r w:rsidR="00CC2EA2">
        <w:rPr>
          <w:rFonts w:ascii="Arial" w:hAnsi="Arial" w:cs="Arial"/>
          <w:b/>
          <w:bCs/>
          <w:sz w:val="24"/>
          <w:szCs w:val="24"/>
          <w:lang w:val="en-US"/>
        </w:rPr>
        <w:t>2021</w:t>
      </w:r>
    </w:p>
    <w:p w14:paraId="2D9EF83E" w14:textId="77777777" w:rsidR="008C7E67" w:rsidRDefault="008C7E67" w:rsidP="008C7E67">
      <w:pPr>
        <w:spacing w:line="276" w:lineRule="auto"/>
        <w:jc w:val="both"/>
        <w:rPr>
          <w:rFonts w:ascii="Arial" w:hAnsi="Arial" w:cs="Arial"/>
          <w:b/>
          <w:bCs/>
          <w:sz w:val="24"/>
          <w:szCs w:val="24"/>
          <w:lang w:val="en-US"/>
        </w:rPr>
      </w:pPr>
      <w:r>
        <w:rPr>
          <w:rFonts w:ascii="Arial" w:hAnsi="Arial" w:cs="Arial"/>
          <w:b/>
          <w:bCs/>
          <w:sz w:val="24"/>
          <w:szCs w:val="24"/>
          <w:lang w:val="en-US"/>
        </w:rPr>
        <w:t>In the matter between:-</w:t>
      </w:r>
    </w:p>
    <w:p w14:paraId="46A62AFB" w14:textId="77777777" w:rsidR="008C7E67" w:rsidRDefault="008C7E67" w:rsidP="008C7E67">
      <w:pPr>
        <w:spacing w:line="276" w:lineRule="auto"/>
        <w:jc w:val="both"/>
        <w:rPr>
          <w:rFonts w:ascii="Arial" w:hAnsi="Arial" w:cs="Arial"/>
          <w:b/>
          <w:bCs/>
          <w:sz w:val="24"/>
          <w:szCs w:val="24"/>
          <w:lang w:val="en-US"/>
        </w:rPr>
      </w:pPr>
    </w:p>
    <w:p w14:paraId="6FCBAB75" w14:textId="79E753F7" w:rsidR="008C7E67" w:rsidRDefault="008C7E67" w:rsidP="008C7E67">
      <w:pPr>
        <w:spacing w:line="276" w:lineRule="auto"/>
        <w:jc w:val="both"/>
        <w:rPr>
          <w:rFonts w:ascii="Arial" w:hAnsi="Arial" w:cs="Arial"/>
          <w:b/>
          <w:bCs/>
          <w:sz w:val="24"/>
          <w:szCs w:val="24"/>
          <w:lang w:val="en-US"/>
        </w:rPr>
      </w:pPr>
      <w:r>
        <w:rPr>
          <w:rFonts w:ascii="Arial" w:hAnsi="Arial" w:cs="Arial"/>
          <w:b/>
          <w:bCs/>
          <w:sz w:val="24"/>
          <w:szCs w:val="24"/>
          <w:lang w:val="en-US"/>
        </w:rPr>
        <w:t>SALDOSOL INVESTMENTS (PTY) LTD</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009A7C1C">
        <w:rPr>
          <w:rFonts w:ascii="Arial" w:hAnsi="Arial" w:cs="Arial"/>
          <w:b/>
          <w:bCs/>
          <w:sz w:val="24"/>
          <w:szCs w:val="24"/>
          <w:lang w:val="en-US"/>
        </w:rPr>
        <w:t xml:space="preserve">  PLAINTIFF</w:t>
      </w:r>
    </w:p>
    <w:p w14:paraId="737DA442" w14:textId="77777777" w:rsidR="008C7E67" w:rsidRDefault="008C7E67" w:rsidP="008C7E67">
      <w:pPr>
        <w:spacing w:line="276" w:lineRule="auto"/>
        <w:jc w:val="both"/>
        <w:rPr>
          <w:rFonts w:ascii="Arial" w:hAnsi="Arial" w:cs="Arial"/>
          <w:b/>
          <w:bCs/>
          <w:sz w:val="24"/>
          <w:szCs w:val="24"/>
          <w:lang w:val="en-US"/>
        </w:rPr>
      </w:pPr>
    </w:p>
    <w:p w14:paraId="36136273" w14:textId="77777777" w:rsidR="008C7E67" w:rsidRDefault="008C7E67" w:rsidP="008C7E67">
      <w:pPr>
        <w:spacing w:line="276" w:lineRule="auto"/>
        <w:jc w:val="both"/>
        <w:rPr>
          <w:rFonts w:ascii="Arial" w:hAnsi="Arial" w:cs="Arial"/>
          <w:b/>
          <w:bCs/>
          <w:sz w:val="24"/>
          <w:szCs w:val="24"/>
          <w:lang w:val="en-US"/>
        </w:rPr>
      </w:pPr>
      <w:r>
        <w:rPr>
          <w:rFonts w:ascii="Arial" w:hAnsi="Arial" w:cs="Arial"/>
          <w:b/>
          <w:bCs/>
          <w:sz w:val="24"/>
          <w:szCs w:val="24"/>
          <w:lang w:val="en-US"/>
        </w:rPr>
        <w:t xml:space="preserve">and </w:t>
      </w:r>
    </w:p>
    <w:p w14:paraId="20B4B3F7" w14:textId="77777777" w:rsidR="008C7E67" w:rsidRDefault="008C7E67" w:rsidP="008C7E67">
      <w:pPr>
        <w:spacing w:line="276" w:lineRule="auto"/>
        <w:jc w:val="both"/>
        <w:rPr>
          <w:rFonts w:ascii="Arial" w:hAnsi="Arial" w:cs="Arial"/>
          <w:b/>
          <w:bCs/>
          <w:sz w:val="24"/>
          <w:szCs w:val="24"/>
          <w:lang w:val="en-US"/>
        </w:rPr>
      </w:pPr>
    </w:p>
    <w:p w14:paraId="4F68CA92" w14:textId="4A23F2D6" w:rsidR="008C7E67" w:rsidRDefault="008C7E67" w:rsidP="008C7E67">
      <w:pPr>
        <w:spacing w:line="276" w:lineRule="auto"/>
        <w:jc w:val="both"/>
        <w:rPr>
          <w:rFonts w:ascii="Arial" w:hAnsi="Arial" w:cs="Arial"/>
          <w:b/>
          <w:bCs/>
          <w:sz w:val="24"/>
          <w:szCs w:val="24"/>
          <w:lang w:val="en-US"/>
        </w:rPr>
      </w:pPr>
      <w:r>
        <w:rPr>
          <w:rFonts w:ascii="Arial" w:hAnsi="Arial" w:cs="Arial"/>
          <w:b/>
          <w:bCs/>
          <w:sz w:val="24"/>
          <w:szCs w:val="24"/>
          <w:lang w:val="en-US"/>
        </w:rPr>
        <w:t>AMATHOLE DISTRICT MUNICIPALITY</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Pr>
          <w:rFonts w:ascii="Arial" w:hAnsi="Arial" w:cs="Arial"/>
          <w:b/>
          <w:bCs/>
          <w:sz w:val="24"/>
          <w:szCs w:val="24"/>
          <w:lang w:val="en-US"/>
        </w:rPr>
        <w:tab/>
        <w:t xml:space="preserve">  </w:t>
      </w:r>
      <w:r w:rsidR="009A7C1C">
        <w:rPr>
          <w:rFonts w:ascii="Arial" w:hAnsi="Arial" w:cs="Arial"/>
          <w:b/>
          <w:bCs/>
          <w:sz w:val="24"/>
          <w:szCs w:val="24"/>
          <w:lang w:val="en-US"/>
        </w:rPr>
        <w:t xml:space="preserve">   DEFENDANT</w:t>
      </w:r>
    </w:p>
    <w:p w14:paraId="65028945" w14:textId="77777777" w:rsidR="008C7E67" w:rsidRDefault="008C7E67" w:rsidP="008C7E67">
      <w:pPr>
        <w:pBdr>
          <w:top w:val="single" w:sz="12" w:space="1" w:color="auto"/>
          <w:bottom w:val="single" w:sz="12" w:space="1" w:color="auto"/>
        </w:pBdr>
        <w:spacing w:line="276" w:lineRule="auto"/>
        <w:jc w:val="center"/>
        <w:rPr>
          <w:rFonts w:ascii="Arial" w:hAnsi="Arial" w:cs="Arial"/>
          <w:b/>
          <w:bCs/>
          <w:sz w:val="24"/>
          <w:szCs w:val="24"/>
          <w:lang w:val="en-US"/>
        </w:rPr>
      </w:pPr>
    </w:p>
    <w:p w14:paraId="2392D0F3" w14:textId="361FD33B" w:rsidR="008C7E67" w:rsidRDefault="008C7E67" w:rsidP="00786139">
      <w:pPr>
        <w:pBdr>
          <w:top w:val="single" w:sz="12" w:space="1" w:color="auto"/>
          <w:bottom w:val="single" w:sz="12" w:space="1" w:color="auto"/>
        </w:pBdr>
        <w:spacing w:line="276" w:lineRule="auto"/>
        <w:jc w:val="center"/>
        <w:rPr>
          <w:rFonts w:ascii="Arial" w:hAnsi="Arial" w:cs="Arial"/>
          <w:b/>
          <w:bCs/>
          <w:sz w:val="24"/>
          <w:szCs w:val="24"/>
          <w:lang w:val="en-US"/>
        </w:rPr>
      </w:pPr>
      <w:r>
        <w:rPr>
          <w:rFonts w:ascii="Arial" w:hAnsi="Arial" w:cs="Arial"/>
          <w:b/>
          <w:bCs/>
          <w:sz w:val="24"/>
          <w:szCs w:val="24"/>
          <w:lang w:val="en-US"/>
        </w:rPr>
        <w:t xml:space="preserve"> JUDGMENT</w:t>
      </w:r>
    </w:p>
    <w:p w14:paraId="33000006" w14:textId="1952E518" w:rsidR="007549BE" w:rsidRDefault="008C7E67" w:rsidP="00E00C45">
      <w:pPr>
        <w:spacing w:line="480" w:lineRule="auto"/>
        <w:jc w:val="both"/>
        <w:rPr>
          <w:rFonts w:ascii="Arial" w:hAnsi="Arial" w:cs="Arial"/>
          <w:b/>
          <w:bCs/>
          <w:sz w:val="24"/>
          <w:szCs w:val="24"/>
          <w:lang w:val="en-US"/>
        </w:rPr>
      </w:pPr>
      <w:r>
        <w:rPr>
          <w:rFonts w:ascii="Arial" w:hAnsi="Arial" w:cs="Arial"/>
          <w:b/>
          <w:bCs/>
          <w:sz w:val="24"/>
          <w:szCs w:val="24"/>
          <w:lang w:val="en-US"/>
        </w:rPr>
        <w:t>NORMAN J</w:t>
      </w:r>
      <w:r w:rsidR="00786139">
        <w:rPr>
          <w:rFonts w:ascii="Arial" w:hAnsi="Arial" w:cs="Arial"/>
          <w:b/>
          <w:bCs/>
          <w:sz w:val="24"/>
          <w:szCs w:val="24"/>
          <w:lang w:val="en-US"/>
        </w:rPr>
        <w:t xml:space="preserve">: </w:t>
      </w:r>
    </w:p>
    <w:p w14:paraId="19E563D4" w14:textId="795E5F2F" w:rsidR="00A4060E" w:rsidRDefault="00EF21DA" w:rsidP="00E00C45">
      <w:pPr>
        <w:spacing w:line="480" w:lineRule="auto"/>
        <w:ind w:left="720" w:hanging="72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CA3CE7">
        <w:rPr>
          <w:rFonts w:ascii="Arial" w:hAnsi="Arial" w:cs="Arial"/>
          <w:sz w:val="24"/>
          <w:szCs w:val="24"/>
          <w:lang w:val="en-US"/>
        </w:rPr>
        <w:t>This is an application for summary judgment</w:t>
      </w:r>
      <w:bookmarkEnd w:id="0"/>
      <w:r w:rsidR="00097969">
        <w:rPr>
          <w:rFonts w:ascii="Arial" w:hAnsi="Arial" w:cs="Arial"/>
          <w:sz w:val="24"/>
          <w:szCs w:val="24"/>
          <w:lang w:val="en-US"/>
        </w:rPr>
        <w:t xml:space="preserve">. </w:t>
      </w:r>
      <w:r w:rsidR="00672D60">
        <w:rPr>
          <w:rFonts w:ascii="Arial" w:hAnsi="Arial" w:cs="Arial"/>
          <w:sz w:val="24"/>
          <w:szCs w:val="24"/>
          <w:lang w:val="en-US"/>
        </w:rPr>
        <w:t>P</w:t>
      </w:r>
      <w:r w:rsidR="00D01591">
        <w:rPr>
          <w:rFonts w:ascii="Arial" w:hAnsi="Arial" w:cs="Arial"/>
          <w:sz w:val="24"/>
          <w:szCs w:val="24"/>
          <w:lang w:val="en-US"/>
        </w:rPr>
        <w:t>laintiff</w:t>
      </w:r>
      <w:r w:rsidR="00097969">
        <w:rPr>
          <w:rFonts w:ascii="Arial" w:hAnsi="Arial" w:cs="Arial"/>
          <w:sz w:val="24"/>
          <w:szCs w:val="24"/>
          <w:lang w:val="en-US"/>
        </w:rPr>
        <w:t xml:space="preserve"> claims </w:t>
      </w:r>
      <w:r w:rsidR="00B57A1C">
        <w:rPr>
          <w:rFonts w:ascii="Arial" w:hAnsi="Arial" w:cs="Arial"/>
          <w:sz w:val="24"/>
          <w:szCs w:val="24"/>
          <w:lang w:val="en-US"/>
        </w:rPr>
        <w:t>payment of an amount of</w:t>
      </w:r>
      <w:r w:rsidR="00E95997">
        <w:rPr>
          <w:rFonts w:ascii="Arial" w:hAnsi="Arial" w:cs="Arial"/>
          <w:sz w:val="24"/>
          <w:szCs w:val="24"/>
          <w:lang w:val="en-US"/>
        </w:rPr>
        <w:t xml:space="preserve"> R8 087</w:t>
      </w:r>
      <w:r w:rsidR="00957875">
        <w:rPr>
          <w:rFonts w:ascii="Arial" w:hAnsi="Arial" w:cs="Arial"/>
          <w:sz w:val="24"/>
          <w:szCs w:val="24"/>
          <w:lang w:val="en-US"/>
        </w:rPr>
        <w:t> </w:t>
      </w:r>
      <w:r w:rsidR="00E95997">
        <w:rPr>
          <w:rFonts w:ascii="Arial" w:hAnsi="Arial" w:cs="Arial"/>
          <w:sz w:val="24"/>
          <w:szCs w:val="24"/>
          <w:lang w:val="en-US"/>
        </w:rPr>
        <w:t>2</w:t>
      </w:r>
      <w:r w:rsidR="00957875">
        <w:rPr>
          <w:rFonts w:ascii="Arial" w:hAnsi="Arial" w:cs="Arial"/>
          <w:sz w:val="24"/>
          <w:szCs w:val="24"/>
          <w:lang w:val="en-US"/>
        </w:rPr>
        <w:t>41.74 in respect of arrear rental</w:t>
      </w:r>
      <w:r w:rsidR="00501473">
        <w:rPr>
          <w:rFonts w:ascii="Arial" w:hAnsi="Arial" w:cs="Arial"/>
          <w:sz w:val="24"/>
          <w:szCs w:val="24"/>
          <w:lang w:val="en-US"/>
        </w:rPr>
        <w:t xml:space="preserve"> and </w:t>
      </w:r>
      <w:r w:rsidR="00D32873">
        <w:rPr>
          <w:rFonts w:ascii="Arial" w:hAnsi="Arial" w:cs="Arial"/>
          <w:sz w:val="24"/>
          <w:szCs w:val="24"/>
          <w:lang w:val="en-US"/>
        </w:rPr>
        <w:t xml:space="preserve">other charges </w:t>
      </w:r>
      <w:r w:rsidR="001F1108">
        <w:rPr>
          <w:rFonts w:ascii="Arial" w:hAnsi="Arial" w:cs="Arial"/>
          <w:sz w:val="24"/>
          <w:szCs w:val="24"/>
          <w:lang w:val="en-US"/>
        </w:rPr>
        <w:t>pursuant to a lease agreement concluded</w:t>
      </w:r>
      <w:r w:rsidR="00C373F3">
        <w:rPr>
          <w:rFonts w:ascii="Arial" w:hAnsi="Arial" w:cs="Arial"/>
          <w:sz w:val="24"/>
          <w:szCs w:val="24"/>
          <w:lang w:val="en-US"/>
        </w:rPr>
        <w:t xml:space="preserve"> between</w:t>
      </w:r>
      <w:r w:rsidR="00672D60">
        <w:rPr>
          <w:rFonts w:ascii="Arial" w:hAnsi="Arial" w:cs="Arial"/>
          <w:sz w:val="24"/>
          <w:szCs w:val="24"/>
          <w:lang w:val="en-US"/>
        </w:rPr>
        <w:t xml:space="preserve"> it</w:t>
      </w:r>
      <w:r w:rsidR="00C373F3">
        <w:rPr>
          <w:rFonts w:ascii="Arial" w:hAnsi="Arial" w:cs="Arial"/>
          <w:sz w:val="24"/>
          <w:szCs w:val="24"/>
          <w:lang w:val="en-US"/>
        </w:rPr>
        <w:t xml:space="preserve"> and </w:t>
      </w:r>
      <w:r w:rsidR="00672D60">
        <w:rPr>
          <w:rFonts w:ascii="Arial" w:hAnsi="Arial" w:cs="Arial"/>
          <w:sz w:val="24"/>
          <w:szCs w:val="24"/>
          <w:lang w:val="en-US"/>
        </w:rPr>
        <w:t>the</w:t>
      </w:r>
      <w:r w:rsidR="007C5AED">
        <w:rPr>
          <w:rFonts w:ascii="Arial" w:hAnsi="Arial" w:cs="Arial"/>
          <w:sz w:val="24"/>
          <w:szCs w:val="24"/>
          <w:lang w:val="en-US"/>
        </w:rPr>
        <w:t xml:space="preserve"> </w:t>
      </w:r>
      <w:r w:rsidR="00C373F3">
        <w:rPr>
          <w:rFonts w:ascii="Arial" w:hAnsi="Arial" w:cs="Arial"/>
          <w:sz w:val="24"/>
          <w:szCs w:val="24"/>
          <w:lang w:val="en-US"/>
        </w:rPr>
        <w:t>defendant</w:t>
      </w:r>
      <w:r w:rsidR="009B2459">
        <w:rPr>
          <w:rFonts w:ascii="Arial" w:hAnsi="Arial" w:cs="Arial"/>
          <w:sz w:val="24"/>
          <w:szCs w:val="24"/>
          <w:lang w:val="en-US"/>
        </w:rPr>
        <w:t xml:space="preserve"> together with interest thereon</w:t>
      </w:r>
      <w:r w:rsidR="000E057D">
        <w:rPr>
          <w:rFonts w:ascii="Arial" w:hAnsi="Arial" w:cs="Arial"/>
          <w:sz w:val="24"/>
          <w:szCs w:val="24"/>
          <w:lang w:val="en-US"/>
        </w:rPr>
        <w:t xml:space="preserve"> and legal costs</w:t>
      </w:r>
      <w:r w:rsidR="00140583">
        <w:rPr>
          <w:rFonts w:ascii="Arial" w:hAnsi="Arial" w:cs="Arial"/>
          <w:sz w:val="24"/>
          <w:szCs w:val="24"/>
          <w:lang w:val="en-US"/>
        </w:rPr>
        <w:t>.</w:t>
      </w:r>
    </w:p>
    <w:p w14:paraId="088F57D8" w14:textId="5B2DD05A" w:rsidR="007C5AED" w:rsidRPr="007C5AED" w:rsidRDefault="007C5AED" w:rsidP="00E00C45">
      <w:pPr>
        <w:spacing w:line="480" w:lineRule="auto"/>
        <w:ind w:left="720" w:hanging="720"/>
        <w:jc w:val="both"/>
        <w:rPr>
          <w:rFonts w:ascii="Arial" w:hAnsi="Arial" w:cs="Arial"/>
          <w:i/>
          <w:iCs/>
          <w:sz w:val="24"/>
          <w:szCs w:val="24"/>
          <w:lang w:val="en-US"/>
        </w:rPr>
      </w:pPr>
      <w:r w:rsidRPr="007C5AED">
        <w:rPr>
          <w:rFonts w:ascii="Arial" w:hAnsi="Arial" w:cs="Arial"/>
          <w:i/>
          <w:iCs/>
          <w:sz w:val="24"/>
          <w:szCs w:val="24"/>
          <w:lang w:val="en-US"/>
        </w:rPr>
        <w:t>Common cause facts</w:t>
      </w:r>
    </w:p>
    <w:p w14:paraId="7F0AE3B1" w14:textId="3684450C" w:rsidR="002E2530" w:rsidRDefault="00140583" w:rsidP="002E2530">
      <w:pPr>
        <w:spacing w:line="480" w:lineRule="auto"/>
        <w:ind w:left="720" w:hanging="720"/>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7C5AED">
        <w:rPr>
          <w:rFonts w:ascii="Arial" w:hAnsi="Arial" w:cs="Arial"/>
          <w:sz w:val="24"/>
          <w:szCs w:val="24"/>
          <w:lang w:val="en-US"/>
        </w:rPr>
        <w:t>It is common cause that the parties entered into</w:t>
      </w:r>
      <w:r w:rsidR="000D23CD">
        <w:rPr>
          <w:rFonts w:ascii="Arial" w:hAnsi="Arial" w:cs="Arial"/>
          <w:sz w:val="24"/>
          <w:szCs w:val="24"/>
          <w:lang w:val="en-US"/>
        </w:rPr>
        <w:t xml:space="preserve"> a written lease agreement</w:t>
      </w:r>
      <w:r w:rsidR="00142977">
        <w:rPr>
          <w:rFonts w:ascii="Arial" w:hAnsi="Arial" w:cs="Arial"/>
          <w:sz w:val="24"/>
          <w:szCs w:val="24"/>
          <w:lang w:val="en-US"/>
        </w:rPr>
        <w:t xml:space="preserve"> concluded on </w:t>
      </w:r>
      <w:r w:rsidR="00F113E5">
        <w:rPr>
          <w:rFonts w:ascii="Arial" w:hAnsi="Arial" w:cs="Arial"/>
          <w:sz w:val="24"/>
          <w:szCs w:val="24"/>
          <w:lang w:val="en-US"/>
        </w:rPr>
        <w:t>1 August 2014</w:t>
      </w:r>
      <w:r w:rsidR="0008133F">
        <w:rPr>
          <w:rFonts w:ascii="Arial" w:hAnsi="Arial" w:cs="Arial"/>
          <w:sz w:val="24"/>
          <w:szCs w:val="24"/>
          <w:lang w:val="en-US"/>
        </w:rPr>
        <w:t xml:space="preserve"> in respect of an immovable property</w:t>
      </w:r>
      <w:r w:rsidR="007C5AED">
        <w:rPr>
          <w:rFonts w:ascii="Arial" w:hAnsi="Arial" w:cs="Arial"/>
          <w:sz w:val="24"/>
          <w:szCs w:val="24"/>
          <w:lang w:val="en-US"/>
        </w:rPr>
        <w:t xml:space="preserve">, known </w:t>
      </w:r>
      <w:r w:rsidR="00B2491B">
        <w:rPr>
          <w:rFonts w:ascii="Arial" w:hAnsi="Arial" w:cs="Arial"/>
          <w:sz w:val="24"/>
          <w:szCs w:val="24"/>
          <w:lang w:val="en-US"/>
        </w:rPr>
        <w:t>as Phase</w:t>
      </w:r>
      <w:r w:rsidR="0008133F">
        <w:rPr>
          <w:rFonts w:ascii="Arial" w:hAnsi="Arial" w:cs="Arial"/>
          <w:sz w:val="24"/>
          <w:szCs w:val="24"/>
          <w:lang w:val="en-US"/>
        </w:rPr>
        <w:t xml:space="preserve"> 4 Waverly</w:t>
      </w:r>
      <w:r w:rsidR="00030729">
        <w:rPr>
          <w:rFonts w:ascii="Arial" w:hAnsi="Arial" w:cs="Arial"/>
          <w:sz w:val="24"/>
          <w:szCs w:val="24"/>
          <w:lang w:val="en-US"/>
        </w:rPr>
        <w:t xml:space="preserve"> </w:t>
      </w:r>
      <w:r w:rsidR="008F66F1">
        <w:rPr>
          <w:rFonts w:ascii="Arial" w:hAnsi="Arial" w:cs="Arial"/>
          <w:sz w:val="24"/>
          <w:szCs w:val="24"/>
          <w:lang w:val="en-US"/>
        </w:rPr>
        <w:t>O</w:t>
      </w:r>
      <w:r w:rsidR="00030729">
        <w:rPr>
          <w:rFonts w:ascii="Arial" w:hAnsi="Arial" w:cs="Arial"/>
          <w:sz w:val="24"/>
          <w:szCs w:val="24"/>
          <w:lang w:val="en-US"/>
        </w:rPr>
        <w:t xml:space="preserve">ffice </w:t>
      </w:r>
      <w:r w:rsidR="008F66F1">
        <w:rPr>
          <w:rFonts w:ascii="Arial" w:hAnsi="Arial" w:cs="Arial"/>
          <w:sz w:val="24"/>
          <w:szCs w:val="24"/>
          <w:lang w:val="en-US"/>
        </w:rPr>
        <w:t>P</w:t>
      </w:r>
      <w:r w:rsidR="00030729">
        <w:rPr>
          <w:rFonts w:ascii="Arial" w:hAnsi="Arial" w:cs="Arial"/>
          <w:sz w:val="24"/>
          <w:szCs w:val="24"/>
          <w:lang w:val="en-US"/>
        </w:rPr>
        <w:t>ark</w:t>
      </w:r>
      <w:r w:rsidR="00DD5018">
        <w:rPr>
          <w:rFonts w:ascii="Arial" w:hAnsi="Arial" w:cs="Arial"/>
          <w:sz w:val="24"/>
          <w:szCs w:val="24"/>
          <w:lang w:val="en-US"/>
        </w:rPr>
        <w:t>, Phillip Frame</w:t>
      </w:r>
      <w:r w:rsidR="004831F3">
        <w:rPr>
          <w:rFonts w:ascii="Arial" w:hAnsi="Arial" w:cs="Arial"/>
          <w:sz w:val="24"/>
          <w:szCs w:val="24"/>
          <w:lang w:val="en-US"/>
        </w:rPr>
        <w:t xml:space="preserve"> Road, Chilse</w:t>
      </w:r>
      <w:r w:rsidR="00786139">
        <w:rPr>
          <w:rFonts w:ascii="Arial" w:hAnsi="Arial" w:cs="Arial"/>
          <w:sz w:val="24"/>
          <w:szCs w:val="24"/>
          <w:lang w:val="en-US"/>
        </w:rPr>
        <w:t>l</w:t>
      </w:r>
      <w:r w:rsidR="004831F3">
        <w:rPr>
          <w:rFonts w:ascii="Arial" w:hAnsi="Arial" w:cs="Arial"/>
          <w:sz w:val="24"/>
          <w:szCs w:val="24"/>
          <w:lang w:val="en-US"/>
        </w:rPr>
        <w:t>hurst, East London</w:t>
      </w:r>
      <w:r w:rsidR="00064525">
        <w:rPr>
          <w:rFonts w:ascii="Arial" w:hAnsi="Arial" w:cs="Arial"/>
          <w:sz w:val="24"/>
          <w:szCs w:val="24"/>
          <w:lang w:val="en-US"/>
        </w:rPr>
        <w:t xml:space="preserve"> for a period of three (3) years</w:t>
      </w:r>
      <w:r w:rsidR="00E4203E">
        <w:rPr>
          <w:rFonts w:ascii="Arial" w:hAnsi="Arial" w:cs="Arial"/>
          <w:sz w:val="24"/>
          <w:szCs w:val="24"/>
          <w:lang w:val="en-US"/>
        </w:rPr>
        <w:t xml:space="preserve"> commencing on 1 November 2014</w:t>
      </w:r>
      <w:r w:rsidR="00ED068A">
        <w:rPr>
          <w:rFonts w:ascii="Arial" w:hAnsi="Arial" w:cs="Arial"/>
          <w:sz w:val="24"/>
          <w:szCs w:val="24"/>
          <w:lang w:val="en-US"/>
        </w:rPr>
        <w:t xml:space="preserve">. </w:t>
      </w:r>
      <w:r w:rsidR="007C5AED">
        <w:rPr>
          <w:rFonts w:ascii="Arial" w:hAnsi="Arial" w:cs="Arial"/>
          <w:sz w:val="24"/>
          <w:szCs w:val="24"/>
          <w:lang w:val="en-US"/>
        </w:rPr>
        <w:t>O</w:t>
      </w:r>
      <w:r w:rsidR="00ED068A">
        <w:rPr>
          <w:rFonts w:ascii="Arial" w:hAnsi="Arial" w:cs="Arial"/>
          <w:sz w:val="24"/>
          <w:szCs w:val="24"/>
          <w:lang w:val="en-US"/>
        </w:rPr>
        <w:t xml:space="preserve">n 1 </w:t>
      </w:r>
      <w:r w:rsidR="00ED068A">
        <w:rPr>
          <w:rFonts w:ascii="Arial" w:hAnsi="Arial" w:cs="Arial"/>
          <w:sz w:val="24"/>
          <w:szCs w:val="24"/>
          <w:lang w:val="en-US"/>
        </w:rPr>
        <w:lastRenderedPageBreak/>
        <w:t>November 2014</w:t>
      </w:r>
      <w:r w:rsidR="007552D8">
        <w:rPr>
          <w:rFonts w:ascii="Arial" w:hAnsi="Arial" w:cs="Arial"/>
          <w:sz w:val="24"/>
          <w:szCs w:val="24"/>
          <w:lang w:val="en-US"/>
        </w:rPr>
        <w:t xml:space="preserve"> the parties concluded a written addendum to the lease</w:t>
      </w:r>
      <w:r w:rsidR="007E759F">
        <w:rPr>
          <w:rFonts w:ascii="Arial" w:hAnsi="Arial" w:cs="Arial"/>
          <w:sz w:val="24"/>
          <w:szCs w:val="24"/>
          <w:lang w:val="en-US"/>
        </w:rPr>
        <w:t xml:space="preserve"> agreement which related to further tenant</w:t>
      </w:r>
      <w:r w:rsidR="00BB5BE4">
        <w:rPr>
          <w:rFonts w:ascii="Arial" w:hAnsi="Arial" w:cs="Arial"/>
          <w:sz w:val="24"/>
          <w:szCs w:val="24"/>
          <w:lang w:val="en-US"/>
        </w:rPr>
        <w:t xml:space="preserve"> installation </w:t>
      </w:r>
      <w:r w:rsidR="00A720EE">
        <w:rPr>
          <w:rFonts w:ascii="Arial" w:hAnsi="Arial" w:cs="Arial"/>
          <w:sz w:val="24"/>
          <w:szCs w:val="24"/>
          <w:lang w:val="en-US"/>
        </w:rPr>
        <w:t>items and to provide the defendant with hygiene services</w:t>
      </w:r>
      <w:r w:rsidR="002E2530">
        <w:rPr>
          <w:rFonts w:ascii="Arial" w:hAnsi="Arial" w:cs="Arial"/>
          <w:sz w:val="24"/>
          <w:szCs w:val="24"/>
          <w:lang w:val="en-US"/>
        </w:rPr>
        <w:t>. The</w:t>
      </w:r>
      <w:r w:rsidR="007C5AED">
        <w:rPr>
          <w:rFonts w:ascii="Arial" w:hAnsi="Arial" w:cs="Arial"/>
          <w:sz w:val="24"/>
          <w:szCs w:val="24"/>
          <w:lang w:val="en-US"/>
        </w:rPr>
        <w:t>y further entered into</w:t>
      </w:r>
      <w:r w:rsidR="002E2530">
        <w:rPr>
          <w:rFonts w:ascii="Arial" w:hAnsi="Arial" w:cs="Arial"/>
          <w:sz w:val="24"/>
          <w:szCs w:val="24"/>
          <w:lang w:val="en-US"/>
        </w:rPr>
        <w:t xml:space="preserve"> a second addendum to the </w:t>
      </w:r>
      <w:r w:rsidR="00F14F2A">
        <w:rPr>
          <w:rFonts w:ascii="Arial" w:hAnsi="Arial" w:cs="Arial"/>
          <w:sz w:val="24"/>
          <w:szCs w:val="24"/>
          <w:lang w:val="en-US"/>
        </w:rPr>
        <w:t xml:space="preserve">lease which was concluded </w:t>
      </w:r>
      <w:r w:rsidR="00923CD8">
        <w:rPr>
          <w:rFonts w:ascii="Arial" w:hAnsi="Arial" w:cs="Arial"/>
          <w:sz w:val="24"/>
          <w:szCs w:val="24"/>
          <w:lang w:val="en-US"/>
        </w:rPr>
        <w:t>on 15 December 2014</w:t>
      </w:r>
      <w:r w:rsidR="007F3183">
        <w:rPr>
          <w:rFonts w:ascii="Arial" w:hAnsi="Arial" w:cs="Arial"/>
          <w:sz w:val="24"/>
          <w:szCs w:val="24"/>
          <w:lang w:val="en-US"/>
        </w:rPr>
        <w:t xml:space="preserve"> extending the lease for a period of two (2) </w:t>
      </w:r>
      <w:r w:rsidR="00057A14">
        <w:rPr>
          <w:rFonts w:ascii="Arial" w:hAnsi="Arial" w:cs="Arial"/>
          <w:sz w:val="24"/>
          <w:szCs w:val="24"/>
          <w:lang w:val="en-US"/>
        </w:rPr>
        <w:t>years</w:t>
      </w:r>
      <w:r w:rsidR="007F3183">
        <w:rPr>
          <w:rFonts w:ascii="Arial" w:hAnsi="Arial" w:cs="Arial"/>
          <w:sz w:val="24"/>
          <w:szCs w:val="24"/>
          <w:lang w:val="en-US"/>
        </w:rPr>
        <w:t xml:space="preserve"> </w:t>
      </w:r>
      <w:r w:rsidR="00057A14">
        <w:rPr>
          <w:rFonts w:ascii="Arial" w:hAnsi="Arial" w:cs="Arial"/>
          <w:sz w:val="24"/>
          <w:szCs w:val="24"/>
          <w:lang w:val="en-US"/>
        </w:rPr>
        <w:t>to December 2017</w:t>
      </w:r>
      <w:r w:rsidR="0068158E">
        <w:rPr>
          <w:rFonts w:ascii="Arial" w:hAnsi="Arial" w:cs="Arial"/>
          <w:sz w:val="24"/>
          <w:szCs w:val="24"/>
          <w:lang w:val="en-US"/>
        </w:rPr>
        <w:t xml:space="preserve"> with plaintiff undertaking </w:t>
      </w:r>
      <w:r w:rsidR="003546C0">
        <w:rPr>
          <w:rFonts w:ascii="Arial" w:hAnsi="Arial" w:cs="Arial"/>
          <w:sz w:val="24"/>
          <w:szCs w:val="24"/>
          <w:lang w:val="en-US"/>
        </w:rPr>
        <w:t>to attend to further tenant installation</w:t>
      </w:r>
      <w:r w:rsidR="006F67FB">
        <w:rPr>
          <w:rFonts w:ascii="Arial" w:hAnsi="Arial" w:cs="Arial"/>
          <w:sz w:val="24"/>
          <w:szCs w:val="24"/>
          <w:lang w:val="en-US"/>
        </w:rPr>
        <w:t>s as referred to in the second addendum</w:t>
      </w:r>
      <w:r w:rsidR="00CC0266">
        <w:rPr>
          <w:rFonts w:ascii="Arial" w:hAnsi="Arial" w:cs="Arial"/>
          <w:sz w:val="24"/>
          <w:szCs w:val="24"/>
          <w:lang w:val="en-US"/>
        </w:rPr>
        <w:t>.</w:t>
      </w:r>
    </w:p>
    <w:p w14:paraId="32758E37" w14:textId="39DD0CD6" w:rsidR="00716A35" w:rsidRDefault="00E53CF0" w:rsidP="002E2530">
      <w:pPr>
        <w:spacing w:line="480" w:lineRule="auto"/>
        <w:ind w:left="720" w:hanging="720"/>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On 24 August 2016, the parties</w:t>
      </w:r>
      <w:r w:rsidR="00FD70CD">
        <w:rPr>
          <w:rFonts w:ascii="Arial" w:hAnsi="Arial" w:cs="Arial"/>
          <w:sz w:val="24"/>
          <w:szCs w:val="24"/>
          <w:lang w:val="en-US"/>
        </w:rPr>
        <w:t xml:space="preserve"> concluded </w:t>
      </w:r>
      <w:r w:rsidR="00786139">
        <w:rPr>
          <w:rFonts w:ascii="Arial" w:hAnsi="Arial" w:cs="Arial"/>
          <w:sz w:val="24"/>
          <w:szCs w:val="24"/>
          <w:lang w:val="en-US"/>
        </w:rPr>
        <w:t>a</w:t>
      </w:r>
      <w:r w:rsidR="00FD70CD">
        <w:rPr>
          <w:rFonts w:ascii="Arial" w:hAnsi="Arial" w:cs="Arial"/>
          <w:sz w:val="24"/>
          <w:szCs w:val="24"/>
          <w:lang w:val="en-US"/>
        </w:rPr>
        <w:t xml:space="preserve"> third addendum</w:t>
      </w:r>
      <w:r w:rsidR="00304704">
        <w:rPr>
          <w:rFonts w:ascii="Arial" w:hAnsi="Arial" w:cs="Arial"/>
          <w:sz w:val="24"/>
          <w:szCs w:val="24"/>
          <w:lang w:val="en-US"/>
        </w:rPr>
        <w:t xml:space="preserve"> to the lease agreement where the plaintiff undertook to attend </w:t>
      </w:r>
      <w:r w:rsidR="00501473">
        <w:rPr>
          <w:rFonts w:ascii="Arial" w:hAnsi="Arial" w:cs="Arial"/>
          <w:sz w:val="24"/>
          <w:szCs w:val="24"/>
          <w:lang w:val="en-US"/>
        </w:rPr>
        <w:t xml:space="preserve">to </w:t>
      </w:r>
      <w:r w:rsidR="00E86F0D">
        <w:rPr>
          <w:rFonts w:ascii="Arial" w:hAnsi="Arial" w:cs="Arial"/>
          <w:sz w:val="24"/>
          <w:szCs w:val="24"/>
          <w:lang w:val="en-US"/>
        </w:rPr>
        <w:t>further tenant installation</w:t>
      </w:r>
      <w:r w:rsidR="00786139">
        <w:rPr>
          <w:rFonts w:ascii="Arial" w:hAnsi="Arial" w:cs="Arial"/>
          <w:sz w:val="24"/>
          <w:szCs w:val="24"/>
          <w:lang w:val="en-US"/>
        </w:rPr>
        <w:t>s</w:t>
      </w:r>
      <w:r w:rsidR="008B6EDA">
        <w:rPr>
          <w:rFonts w:ascii="Arial" w:hAnsi="Arial" w:cs="Arial"/>
          <w:sz w:val="24"/>
          <w:szCs w:val="24"/>
          <w:lang w:val="en-US"/>
        </w:rPr>
        <w:t xml:space="preserve">. </w:t>
      </w:r>
      <w:r w:rsidR="0059135D">
        <w:rPr>
          <w:rFonts w:ascii="Arial" w:hAnsi="Arial" w:cs="Arial"/>
          <w:sz w:val="24"/>
          <w:szCs w:val="24"/>
          <w:lang w:val="en-US"/>
        </w:rPr>
        <w:t>The parties agreed that the further tenant installation</w:t>
      </w:r>
      <w:r w:rsidR="008F0A8C">
        <w:rPr>
          <w:rFonts w:ascii="Arial" w:hAnsi="Arial" w:cs="Arial"/>
          <w:sz w:val="24"/>
          <w:szCs w:val="24"/>
          <w:lang w:val="en-US"/>
        </w:rPr>
        <w:t xml:space="preserve">s and services referred to in the first </w:t>
      </w:r>
      <w:r w:rsidR="00517552">
        <w:rPr>
          <w:rFonts w:ascii="Arial" w:hAnsi="Arial" w:cs="Arial"/>
          <w:sz w:val="24"/>
          <w:szCs w:val="24"/>
          <w:lang w:val="en-US"/>
        </w:rPr>
        <w:t>to third</w:t>
      </w:r>
      <w:r w:rsidR="008F0A8C">
        <w:rPr>
          <w:rFonts w:ascii="Arial" w:hAnsi="Arial" w:cs="Arial"/>
          <w:sz w:val="24"/>
          <w:szCs w:val="24"/>
          <w:lang w:val="en-US"/>
        </w:rPr>
        <w:t xml:space="preserve"> </w:t>
      </w:r>
      <w:r w:rsidR="008F0A8C" w:rsidRPr="00466192">
        <w:rPr>
          <w:rFonts w:ascii="Arial" w:hAnsi="Arial" w:cs="Arial"/>
          <w:color w:val="000000" w:themeColor="text1"/>
          <w:sz w:val="24"/>
          <w:szCs w:val="24"/>
          <w:lang w:val="en-US"/>
        </w:rPr>
        <w:t>addend</w:t>
      </w:r>
      <w:r w:rsidR="007C5AED" w:rsidRPr="00466192">
        <w:rPr>
          <w:rFonts w:ascii="Arial" w:hAnsi="Arial" w:cs="Arial"/>
          <w:color w:val="000000" w:themeColor="text1"/>
          <w:sz w:val="24"/>
          <w:szCs w:val="24"/>
          <w:lang w:val="en-US"/>
        </w:rPr>
        <w:t>a</w:t>
      </w:r>
      <w:r w:rsidR="0043600F">
        <w:rPr>
          <w:rFonts w:ascii="Arial" w:hAnsi="Arial" w:cs="Arial"/>
          <w:sz w:val="24"/>
          <w:szCs w:val="24"/>
          <w:lang w:val="en-US"/>
        </w:rPr>
        <w:t xml:space="preserve"> would be </w:t>
      </w:r>
      <w:r w:rsidR="000C6B60">
        <w:rPr>
          <w:rFonts w:ascii="Arial" w:hAnsi="Arial" w:cs="Arial"/>
          <w:sz w:val="24"/>
          <w:szCs w:val="24"/>
          <w:lang w:val="en-US"/>
        </w:rPr>
        <w:t>amortized</w:t>
      </w:r>
      <w:r w:rsidR="00A267AE">
        <w:rPr>
          <w:rFonts w:ascii="Arial" w:hAnsi="Arial" w:cs="Arial"/>
          <w:sz w:val="24"/>
          <w:szCs w:val="24"/>
          <w:lang w:val="en-US"/>
        </w:rPr>
        <w:t xml:space="preserve"> over the lease period</w:t>
      </w:r>
      <w:r w:rsidR="00716A35">
        <w:rPr>
          <w:rFonts w:ascii="Arial" w:hAnsi="Arial" w:cs="Arial"/>
          <w:sz w:val="24"/>
          <w:szCs w:val="24"/>
          <w:lang w:val="en-US"/>
        </w:rPr>
        <w:t xml:space="preserve">. </w:t>
      </w:r>
    </w:p>
    <w:p w14:paraId="3DDFD92E" w14:textId="0DEDA3A6" w:rsidR="00BA70F0" w:rsidRDefault="00716A35" w:rsidP="002E2530">
      <w:pPr>
        <w:spacing w:line="480" w:lineRule="auto"/>
        <w:ind w:left="720" w:hanging="720"/>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On 8 February 2018</w:t>
      </w:r>
      <w:r w:rsidR="00C41827">
        <w:rPr>
          <w:rFonts w:ascii="Arial" w:hAnsi="Arial" w:cs="Arial"/>
          <w:sz w:val="24"/>
          <w:szCs w:val="24"/>
          <w:lang w:val="en-US"/>
        </w:rPr>
        <w:t xml:space="preserve"> the parties concluded a written renewal </w:t>
      </w:r>
      <w:r w:rsidR="00350C90">
        <w:rPr>
          <w:rFonts w:ascii="Arial" w:hAnsi="Arial" w:cs="Arial"/>
          <w:sz w:val="24"/>
          <w:szCs w:val="24"/>
          <w:lang w:val="en-US"/>
        </w:rPr>
        <w:t xml:space="preserve">of </w:t>
      </w:r>
      <w:r w:rsidR="007C5AED">
        <w:rPr>
          <w:rFonts w:ascii="Arial" w:hAnsi="Arial" w:cs="Arial"/>
          <w:sz w:val="24"/>
          <w:szCs w:val="24"/>
          <w:lang w:val="en-US"/>
        </w:rPr>
        <w:t xml:space="preserve">the </w:t>
      </w:r>
      <w:r w:rsidR="00350C90">
        <w:rPr>
          <w:rFonts w:ascii="Arial" w:hAnsi="Arial" w:cs="Arial"/>
          <w:sz w:val="24"/>
          <w:szCs w:val="24"/>
          <w:lang w:val="en-US"/>
        </w:rPr>
        <w:t xml:space="preserve">lease agreement where they agreed to renew the lease for </w:t>
      </w:r>
      <w:r w:rsidR="0095217A">
        <w:rPr>
          <w:rFonts w:ascii="Arial" w:hAnsi="Arial" w:cs="Arial"/>
          <w:sz w:val="24"/>
          <w:szCs w:val="24"/>
          <w:lang w:val="en-US"/>
        </w:rPr>
        <w:t>a further period of three (3) years</w:t>
      </w:r>
      <w:r w:rsidR="004D176B">
        <w:rPr>
          <w:rFonts w:ascii="Arial" w:hAnsi="Arial" w:cs="Arial"/>
          <w:sz w:val="24"/>
          <w:szCs w:val="24"/>
          <w:lang w:val="en-US"/>
        </w:rPr>
        <w:t xml:space="preserve"> with an option </w:t>
      </w:r>
      <w:r w:rsidR="00E8145A">
        <w:rPr>
          <w:rFonts w:ascii="Arial" w:hAnsi="Arial" w:cs="Arial"/>
          <w:sz w:val="24"/>
          <w:szCs w:val="24"/>
          <w:lang w:val="en-US"/>
        </w:rPr>
        <w:t>to renew for a further two (2) years</w:t>
      </w:r>
      <w:r w:rsidR="00BA70F0">
        <w:rPr>
          <w:rFonts w:ascii="Arial" w:hAnsi="Arial" w:cs="Arial"/>
          <w:sz w:val="24"/>
          <w:szCs w:val="24"/>
          <w:lang w:val="en-US"/>
        </w:rPr>
        <w:t xml:space="preserve">. </w:t>
      </w:r>
    </w:p>
    <w:p w14:paraId="766F0265" w14:textId="23C19012" w:rsidR="007C5AED" w:rsidRPr="007C5AED" w:rsidRDefault="007C5AED" w:rsidP="002E2530">
      <w:pPr>
        <w:spacing w:line="480" w:lineRule="auto"/>
        <w:ind w:left="720" w:hanging="720"/>
        <w:jc w:val="both"/>
        <w:rPr>
          <w:rFonts w:ascii="Arial" w:hAnsi="Arial" w:cs="Arial"/>
          <w:i/>
          <w:iCs/>
          <w:sz w:val="24"/>
          <w:szCs w:val="24"/>
          <w:lang w:val="en-US"/>
        </w:rPr>
      </w:pPr>
      <w:r w:rsidRPr="007C5AED">
        <w:rPr>
          <w:rFonts w:ascii="Arial" w:hAnsi="Arial" w:cs="Arial"/>
          <w:i/>
          <w:iCs/>
          <w:sz w:val="24"/>
          <w:szCs w:val="24"/>
          <w:lang w:val="en-US"/>
        </w:rPr>
        <w:t>Alleged breach</w:t>
      </w:r>
    </w:p>
    <w:p w14:paraId="2C48E5BD" w14:textId="3173539A" w:rsidR="00ED2E12" w:rsidRDefault="00BA70F0" w:rsidP="00ED2E12">
      <w:pPr>
        <w:spacing w:line="480" w:lineRule="auto"/>
        <w:ind w:left="720" w:hanging="720"/>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786139">
        <w:rPr>
          <w:rFonts w:ascii="Arial" w:hAnsi="Arial" w:cs="Arial"/>
          <w:sz w:val="24"/>
          <w:szCs w:val="24"/>
          <w:lang w:val="en-US"/>
        </w:rPr>
        <w:t>P</w:t>
      </w:r>
      <w:r>
        <w:rPr>
          <w:rFonts w:ascii="Arial" w:hAnsi="Arial" w:cs="Arial"/>
          <w:sz w:val="24"/>
          <w:szCs w:val="24"/>
          <w:lang w:val="en-US"/>
        </w:rPr>
        <w:t>laintiff allege</w:t>
      </w:r>
      <w:r w:rsidR="00786139">
        <w:rPr>
          <w:rFonts w:ascii="Arial" w:hAnsi="Arial" w:cs="Arial"/>
          <w:sz w:val="24"/>
          <w:szCs w:val="24"/>
          <w:lang w:val="en-US"/>
        </w:rPr>
        <w:t>s</w:t>
      </w:r>
      <w:r>
        <w:rPr>
          <w:rFonts w:ascii="Arial" w:hAnsi="Arial" w:cs="Arial"/>
          <w:sz w:val="24"/>
          <w:szCs w:val="24"/>
          <w:lang w:val="en-US"/>
        </w:rPr>
        <w:t xml:space="preserve"> that the defendant breached the lease agreement </w:t>
      </w:r>
      <w:r w:rsidR="00B04441">
        <w:rPr>
          <w:rFonts w:ascii="Arial" w:hAnsi="Arial" w:cs="Arial"/>
          <w:sz w:val="24"/>
          <w:szCs w:val="24"/>
          <w:lang w:val="en-US"/>
        </w:rPr>
        <w:t>in that it failed to make payments</w:t>
      </w:r>
      <w:r w:rsidR="007F0B1E">
        <w:rPr>
          <w:rFonts w:ascii="Arial" w:hAnsi="Arial" w:cs="Arial"/>
          <w:sz w:val="24"/>
          <w:szCs w:val="24"/>
          <w:lang w:val="en-US"/>
        </w:rPr>
        <w:t xml:space="preserve"> of the monthly renta</w:t>
      </w:r>
      <w:r w:rsidR="00FD7677">
        <w:rPr>
          <w:rFonts w:ascii="Arial" w:hAnsi="Arial" w:cs="Arial"/>
          <w:sz w:val="24"/>
          <w:szCs w:val="24"/>
          <w:lang w:val="en-US"/>
        </w:rPr>
        <w:t>l</w:t>
      </w:r>
      <w:r w:rsidR="00786139">
        <w:rPr>
          <w:rFonts w:ascii="Arial" w:hAnsi="Arial" w:cs="Arial"/>
          <w:sz w:val="24"/>
          <w:szCs w:val="24"/>
          <w:lang w:val="en-US"/>
        </w:rPr>
        <w:t>s</w:t>
      </w:r>
      <w:r w:rsidR="00BB4F5D">
        <w:rPr>
          <w:rFonts w:ascii="Arial" w:hAnsi="Arial" w:cs="Arial"/>
          <w:sz w:val="24"/>
          <w:szCs w:val="24"/>
          <w:lang w:val="en-US"/>
        </w:rPr>
        <w:t xml:space="preserve"> and other charges</w:t>
      </w:r>
      <w:r w:rsidR="005E51D8">
        <w:rPr>
          <w:rFonts w:ascii="Arial" w:hAnsi="Arial" w:cs="Arial"/>
          <w:sz w:val="24"/>
          <w:szCs w:val="24"/>
          <w:lang w:val="en-US"/>
        </w:rPr>
        <w:t xml:space="preserve"> as </w:t>
      </w:r>
      <w:r w:rsidR="00786139">
        <w:rPr>
          <w:rFonts w:ascii="Arial" w:hAnsi="Arial" w:cs="Arial"/>
          <w:sz w:val="24"/>
          <w:szCs w:val="24"/>
          <w:lang w:val="en-US"/>
        </w:rPr>
        <w:t xml:space="preserve">and </w:t>
      </w:r>
      <w:r w:rsidR="005E51D8">
        <w:rPr>
          <w:rFonts w:ascii="Arial" w:hAnsi="Arial" w:cs="Arial"/>
          <w:sz w:val="24"/>
          <w:szCs w:val="24"/>
          <w:lang w:val="en-US"/>
        </w:rPr>
        <w:t>when they fell due</w:t>
      </w:r>
      <w:r w:rsidR="0085436A">
        <w:rPr>
          <w:rFonts w:ascii="Arial" w:hAnsi="Arial" w:cs="Arial"/>
          <w:sz w:val="24"/>
          <w:szCs w:val="24"/>
          <w:lang w:val="en-US"/>
        </w:rPr>
        <w:t>. It allege</w:t>
      </w:r>
      <w:r w:rsidR="00A50478">
        <w:rPr>
          <w:rFonts w:ascii="Arial" w:hAnsi="Arial" w:cs="Arial"/>
          <w:sz w:val="24"/>
          <w:szCs w:val="24"/>
          <w:lang w:val="en-US"/>
        </w:rPr>
        <w:t>d</w:t>
      </w:r>
      <w:r w:rsidR="0085436A">
        <w:rPr>
          <w:rFonts w:ascii="Arial" w:hAnsi="Arial" w:cs="Arial"/>
          <w:sz w:val="24"/>
          <w:szCs w:val="24"/>
          <w:lang w:val="en-US"/>
        </w:rPr>
        <w:t xml:space="preserve"> that as of 4 June 2021</w:t>
      </w:r>
      <w:r w:rsidR="009443E9">
        <w:rPr>
          <w:rFonts w:ascii="Arial" w:hAnsi="Arial" w:cs="Arial"/>
          <w:sz w:val="24"/>
          <w:szCs w:val="24"/>
          <w:lang w:val="en-US"/>
        </w:rPr>
        <w:t xml:space="preserve"> the defendant was in arrears in the amount </w:t>
      </w:r>
      <w:r w:rsidR="00345434">
        <w:rPr>
          <w:rFonts w:ascii="Arial" w:hAnsi="Arial" w:cs="Arial"/>
          <w:sz w:val="24"/>
          <w:szCs w:val="24"/>
          <w:lang w:val="en-US"/>
        </w:rPr>
        <w:t>of R4 782 838.</w:t>
      </w:r>
      <w:r w:rsidR="00AB4509">
        <w:rPr>
          <w:rFonts w:ascii="Arial" w:hAnsi="Arial" w:cs="Arial"/>
          <w:sz w:val="24"/>
          <w:szCs w:val="24"/>
          <w:lang w:val="en-US"/>
        </w:rPr>
        <w:t>30 in respect of outstanding rental</w:t>
      </w:r>
      <w:r w:rsidR="000D3956">
        <w:rPr>
          <w:rFonts w:ascii="Arial" w:hAnsi="Arial" w:cs="Arial"/>
          <w:sz w:val="24"/>
          <w:szCs w:val="24"/>
          <w:lang w:val="en-US"/>
        </w:rPr>
        <w:t xml:space="preserve"> and other charges</w:t>
      </w:r>
      <w:r w:rsidR="00501473">
        <w:rPr>
          <w:rFonts w:ascii="Arial" w:hAnsi="Arial" w:cs="Arial"/>
          <w:sz w:val="24"/>
          <w:szCs w:val="24"/>
          <w:lang w:val="en-US"/>
        </w:rPr>
        <w:t>. It also claimed</w:t>
      </w:r>
      <w:r w:rsidR="00B7607D">
        <w:rPr>
          <w:rFonts w:ascii="Arial" w:hAnsi="Arial" w:cs="Arial"/>
          <w:color w:val="FF0000"/>
          <w:sz w:val="24"/>
          <w:szCs w:val="24"/>
          <w:lang w:val="en-US"/>
        </w:rPr>
        <w:t xml:space="preserve"> </w:t>
      </w:r>
      <w:r w:rsidR="000D3956">
        <w:rPr>
          <w:rFonts w:ascii="Arial" w:hAnsi="Arial" w:cs="Arial"/>
          <w:sz w:val="24"/>
          <w:szCs w:val="24"/>
          <w:lang w:val="en-US"/>
        </w:rPr>
        <w:t xml:space="preserve">an amount </w:t>
      </w:r>
      <w:r w:rsidR="007D0ED5">
        <w:rPr>
          <w:rFonts w:ascii="Arial" w:hAnsi="Arial" w:cs="Arial"/>
          <w:sz w:val="24"/>
          <w:szCs w:val="24"/>
          <w:lang w:val="en-US"/>
        </w:rPr>
        <w:t xml:space="preserve">of </w:t>
      </w:r>
      <w:r w:rsidR="00C81B36">
        <w:rPr>
          <w:rFonts w:ascii="Arial" w:hAnsi="Arial" w:cs="Arial"/>
          <w:sz w:val="24"/>
          <w:szCs w:val="24"/>
          <w:lang w:val="en-US"/>
        </w:rPr>
        <w:t xml:space="preserve">R3 304 403.50 </w:t>
      </w:r>
      <w:r w:rsidR="00135098">
        <w:rPr>
          <w:rFonts w:ascii="Arial" w:hAnsi="Arial" w:cs="Arial"/>
          <w:sz w:val="24"/>
          <w:szCs w:val="24"/>
          <w:lang w:val="en-US"/>
        </w:rPr>
        <w:t xml:space="preserve">in respect </w:t>
      </w:r>
      <w:r w:rsidR="00A811E9">
        <w:rPr>
          <w:rFonts w:ascii="Arial" w:hAnsi="Arial" w:cs="Arial"/>
          <w:sz w:val="24"/>
          <w:szCs w:val="24"/>
          <w:lang w:val="en-US"/>
        </w:rPr>
        <w:t xml:space="preserve">of </w:t>
      </w:r>
      <w:r w:rsidR="0052292D">
        <w:rPr>
          <w:rFonts w:ascii="Arial" w:hAnsi="Arial" w:cs="Arial"/>
          <w:sz w:val="24"/>
          <w:szCs w:val="24"/>
          <w:lang w:val="en-US"/>
        </w:rPr>
        <w:t>accumulated interest</w:t>
      </w:r>
      <w:r w:rsidR="00501473">
        <w:rPr>
          <w:rFonts w:ascii="Arial" w:hAnsi="Arial" w:cs="Arial"/>
          <w:sz w:val="24"/>
          <w:szCs w:val="24"/>
          <w:lang w:val="en-US"/>
        </w:rPr>
        <w:t xml:space="preserve">. The total sum </w:t>
      </w:r>
      <w:r w:rsidR="00B7607D">
        <w:rPr>
          <w:rFonts w:ascii="Arial" w:hAnsi="Arial" w:cs="Arial"/>
          <w:sz w:val="24"/>
          <w:szCs w:val="24"/>
          <w:lang w:val="en-US"/>
        </w:rPr>
        <w:t xml:space="preserve">allegedly </w:t>
      </w:r>
      <w:r w:rsidR="00501473">
        <w:rPr>
          <w:rFonts w:ascii="Arial" w:hAnsi="Arial" w:cs="Arial"/>
          <w:sz w:val="24"/>
          <w:szCs w:val="24"/>
          <w:lang w:val="en-US"/>
        </w:rPr>
        <w:t xml:space="preserve">owed is </w:t>
      </w:r>
      <w:r w:rsidR="00751D81">
        <w:rPr>
          <w:rFonts w:ascii="Arial" w:hAnsi="Arial" w:cs="Arial"/>
          <w:sz w:val="24"/>
          <w:szCs w:val="24"/>
          <w:lang w:val="en-US"/>
        </w:rPr>
        <w:t>R8 807 241.</w:t>
      </w:r>
      <w:r w:rsidR="005B2E99">
        <w:rPr>
          <w:rFonts w:ascii="Arial" w:hAnsi="Arial" w:cs="Arial"/>
          <w:sz w:val="24"/>
          <w:szCs w:val="24"/>
          <w:lang w:val="en-US"/>
        </w:rPr>
        <w:t>74</w:t>
      </w:r>
      <w:r w:rsidR="00786139">
        <w:rPr>
          <w:rFonts w:ascii="Arial" w:hAnsi="Arial" w:cs="Arial"/>
          <w:sz w:val="24"/>
          <w:szCs w:val="24"/>
          <w:lang w:val="en-US"/>
        </w:rPr>
        <w:t>.</w:t>
      </w:r>
      <w:r w:rsidR="00E06412">
        <w:rPr>
          <w:rFonts w:ascii="Arial" w:hAnsi="Arial" w:cs="Arial"/>
          <w:sz w:val="24"/>
          <w:szCs w:val="24"/>
          <w:lang w:val="en-US"/>
        </w:rPr>
        <w:t xml:space="preserve"> </w:t>
      </w:r>
      <w:r w:rsidR="00786139">
        <w:rPr>
          <w:rFonts w:ascii="Arial" w:hAnsi="Arial" w:cs="Arial"/>
          <w:sz w:val="24"/>
          <w:szCs w:val="24"/>
          <w:lang w:val="en-US"/>
        </w:rPr>
        <w:t>P</w:t>
      </w:r>
      <w:r w:rsidR="00E06412">
        <w:rPr>
          <w:rFonts w:ascii="Arial" w:hAnsi="Arial" w:cs="Arial"/>
          <w:sz w:val="24"/>
          <w:szCs w:val="24"/>
          <w:lang w:val="en-US"/>
        </w:rPr>
        <w:t xml:space="preserve">laintiff </w:t>
      </w:r>
      <w:r w:rsidR="00501473">
        <w:rPr>
          <w:rFonts w:ascii="Arial" w:hAnsi="Arial" w:cs="Arial"/>
          <w:sz w:val="24"/>
          <w:szCs w:val="24"/>
          <w:lang w:val="en-US"/>
        </w:rPr>
        <w:t xml:space="preserve">relies on a </w:t>
      </w:r>
      <w:r w:rsidR="001B6D99">
        <w:rPr>
          <w:rFonts w:ascii="Arial" w:hAnsi="Arial" w:cs="Arial"/>
          <w:sz w:val="24"/>
          <w:szCs w:val="24"/>
          <w:lang w:val="en-US"/>
        </w:rPr>
        <w:t xml:space="preserve">statement </w:t>
      </w:r>
      <w:r w:rsidR="00501473">
        <w:rPr>
          <w:rFonts w:ascii="Arial" w:hAnsi="Arial" w:cs="Arial"/>
          <w:sz w:val="24"/>
          <w:szCs w:val="24"/>
          <w:lang w:val="en-US"/>
        </w:rPr>
        <w:t xml:space="preserve">attached </w:t>
      </w:r>
      <w:r w:rsidR="001B6D99">
        <w:rPr>
          <w:rFonts w:ascii="Arial" w:hAnsi="Arial" w:cs="Arial"/>
          <w:sz w:val="24"/>
          <w:szCs w:val="24"/>
          <w:lang w:val="en-US"/>
        </w:rPr>
        <w:t xml:space="preserve">to its particulars of </w:t>
      </w:r>
      <w:r w:rsidR="00B2491B">
        <w:rPr>
          <w:rFonts w:ascii="Arial" w:hAnsi="Arial" w:cs="Arial"/>
          <w:sz w:val="24"/>
          <w:szCs w:val="24"/>
          <w:lang w:val="en-US"/>
        </w:rPr>
        <w:t>claim,</w:t>
      </w:r>
      <w:r w:rsidR="00501473">
        <w:rPr>
          <w:rFonts w:ascii="Arial" w:hAnsi="Arial" w:cs="Arial"/>
          <w:sz w:val="24"/>
          <w:szCs w:val="24"/>
          <w:lang w:val="en-US"/>
        </w:rPr>
        <w:t xml:space="preserve"> </w:t>
      </w:r>
      <w:r w:rsidR="00585270">
        <w:rPr>
          <w:rFonts w:ascii="Arial" w:hAnsi="Arial" w:cs="Arial"/>
          <w:sz w:val="24"/>
          <w:szCs w:val="24"/>
          <w:lang w:val="en-US"/>
        </w:rPr>
        <w:t>marked “POC</w:t>
      </w:r>
      <w:r w:rsidR="00F82FBB">
        <w:rPr>
          <w:rFonts w:ascii="Arial" w:hAnsi="Arial" w:cs="Arial"/>
          <w:sz w:val="24"/>
          <w:szCs w:val="24"/>
          <w:lang w:val="en-US"/>
        </w:rPr>
        <w:t>6”</w:t>
      </w:r>
      <w:r w:rsidR="00CA725F">
        <w:rPr>
          <w:rFonts w:ascii="Arial" w:hAnsi="Arial" w:cs="Arial"/>
          <w:sz w:val="24"/>
          <w:szCs w:val="24"/>
          <w:lang w:val="en-US"/>
        </w:rPr>
        <w:t>.</w:t>
      </w:r>
    </w:p>
    <w:p w14:paraId="3ABDBEEB" w14:textId="11D5C8A8" w:rsidR="00B66F14" w:rsidRDefault="00CA725F" w:rsidP="002E2530">
      <w:pPr>
        <w:spacing w:line="480" w:lineRule="auto"/>
        <w:ind w:left="720" w:hanging="720"/>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r>
      <w:r w:rsidR="005826CD">
        <w:rPr>
          <w:rFonts w:ascii="Arial" w:hAnsi="Arial" w:cs="Arial"/>
          <w:sz w:val="24"/>
          <w:szCs w:val="24"/>
          <w:lang w:val="en-US"/>
        </w:rPr>
        <w:t>D</w:t>
      </w:r>
      <w:r>
        <w:rPr>
          <w:rFonts w:ascii="Arial" w:hAnsi="Arial" w:cs="Arial"/>
          <w:sz w:val="24"/>
          <w:szCs w:val="24"/>
          <w:lang w:val="en-US"/>
        </w:rPr>
        <w:t xml:space="preserve">efendant defended the action </w:t>
      </w:r>
      <w:r w:rsidR="00772ACA">
        <w:rPr>
          <w:rFonts w:ascii="Arial" w:hAnsi="Arial" w:cs="Arial"/>
          <w:sz w:val="24"/>
          <w:szCs w:val="24"/>
          <w:lang w:val="en-US"/>
        </w:rPr>
        <w:t xml:space="preserve">and it </w:t>
      </w:r>
      <w:r w:rsidR="00B7607D">
        <w:rPr>
          <w:rFonts w:ascii="Arial" w:hAnsi="Arial" w:cs="Arial"/>
          <w:color w:val="000000" w:themeColor="text1"/>
          <w:sz w:val="24"/>
          <w:szCs w:val="24"/>
          <w:lang w:val="en-US"/>
        </w:rPr>
        <w:t xml:space="preserve">raised two </w:t>
      </w:r>
      <w:r w:rsidR="00786139">
        <w:rPr>
          <w:rFonts w:ascii="Arial" w:hAnsi="Arial" w:cs="Arial"/>
          <w:sz w:val="24"/>
          <w:szCs w:val="24"/>
          <w:lang w:val="en-US"/>
        </w:rPr>
        <w:t xml:space="preserve">special </w:t>
      </w:r>
      <w:r w:rsidR="00596F4C">
        <w:rPr>
          <w:rFonts w:ascii="Arial" w:hAnsi="Arial" w:cs="Arial"/>
          <w:sz w:val="24"/>
          <w:szCs w:val="24"/>
          <w:lang w:val="en-US"/>
        </w:rPr>
        <w:t>plea</w:t>
      </w:r>
      <w:r w:rsidR="00B7607D">
        <w:rPr>
          <w:rFonts w:ascii="Arial" w:hAnsi="Arial" w:cs="Arial"/>
          <w:sz w:val="24"/>
          <w:szCs w:val="24"/>
          <w:lang w:val="en-US"/>
        </w:rPr>
        <w:t>s. The first one is</w:t>
      </w:r>
      <w:r w:rsidR="00690D42">
        <w:rPr>
          <w:rFonts w:ascii="Arial" w:hAnsi="Arial" w:cs="Arial"/>
          <w:sz w:val="24"/>
          <w:szCs w:val="24"/>
          <w:lang w:val="en-US"/>
        </w:rPr>
        <w:t xml:space="preserve"> </w:t>
      </w:r>
      <w:r w:rsidR="004E310A">
        <w:rPr>
          <w:rFonts w:ascii="Arial" w:hAnsi="Arial" w:cs="Arial"/>
          <w:sz w:val="24"/>
          <w:szCs w:val="24"/>
          <w:lang w:val="en-US"/>
        </w:rPr>
        <w:t xml:space="preserve">based </w:t>
      </w:r>
      <w:r w:rsidR="00690D42">
        <w:rPr>
          <w:rFonts w:ascii="Arial" w:hAnsi="Arial" w:cs="Arial"/>
          <w:sz w:val="24"/>
          <w:szCs w:val="24"/>
          <w:lang w:val="en-US"/>
        </w:rPr>
        <w:t xml:space="preserve">on </w:t>
      </w:r>
      <w:r w:rsidR="00786139">
        <w:rPr>
          <w:rFonts w:ascii="Arial" w:hAnsi="Arial" w:cs="Arial"/>
          <w:sz w:val="24"/>
          <w:szCs w:val="24"/>
          <w:lang w:val="en-US"/>
        </w:rPr>
        <w:t xml:space="preserve">the plaintiff’s failure to comply with </w:t>
      </w:r>
      <w:r w:rsidR="00690D42">
        <w:rPr>
          <w:rFonts w:ascii="Arial" w:hAnsi="Arial" w:cs="Arial"/>
          <w:sz w:val="24"/>
          <w:szCs w:val="24"/>
          <w:lang w:val="en-US"/>
        </w:rPr>
        <w:t xml:space="preserve">the provisions </w:t>
      </w:r>
      <w:r w:rsidR="00614313">
        <w:rPr>
          <w:rFonts w:ascii="Arial" w:hAnsi="Arial" w:cs="Arial"/>
          <w:sz w:val="24"/>
          <w:szCs w:val="24"/>
          <w:lang w:val="en-US"/>
        </w:rPr>
        <w:t xml:space="preserve">of </w:t>
      </w:r>
      <w:r w:rsidR="00B12497">
        <w:rPr>
          <w:rFonts w:ascii="Arial" w:hAnsi="Arial" w:cs="Arial"/>
          <w:sz w:val="24"/>
          <w:szCs w:val="24"/>
          <w:lang w:val="en-US"/>
        </w:rPr>
        <w:t xml:space="preserve">section 3 </w:t>
      </w:r>
      <w:r w:rsidR="00786139">
        <w:rPr>
          <w:rFonts w:ascii="Arial" w:hAnsi="Arial" w:cs="Arial"/>
          <w:sz w:val="24"/>
          <w:szCs w:val="24"/>
          <w:lang w:val="en-US"/>
        </w:rPr>
        <w:t xml:space="preserve">and 4 </w:t>
      </w:r>
      <w:r w:rsidR="00B12497">
        <w:rPr>
          <w:rFonts w:ascii="Arial" w:hAnsi="Arial" w:cs="Arial"/>
          <w:sz w:val="24"/>
          <w:szCs w:val="24"/>
          <w:lang w:val="en-US"/>
        </w:rPr>
        <w:t xml:space="preserve">of the Institution of </w:t>
      </w:r>
      <w:r w:rsidR="006E4290">
        <w:rPr>
          <w:rFonts w:ascii="Arial" w:hAnsi="Arial" w:cs="Arial"/>
          <w:sz w:val="24"/>
          <w:szCs w:val="24"/>
          <w:lang w:val="en-US"/>
        </w:rPr>
        <w:t xml:space="preserve">Legal Proceedings </w:t>
      </w:r>
      <w:r w:rsidR="00820B1C">
        <w:rPr>
          <w:rFonts w:ascii="Arial" w:hAnsi="Arial" w:cs="Arial"/>
          <w:sz w:val="24"/>
          <w:szCs w:val="24"/>
          <w:lang w:val="en-US"/>
        </w:rPr>
        <w:t>against Certain Organs of Sta</w:t>
      </w:r>
      <w:r w:rsidR="00604FAB">
        <w:rPr>
          <w:rFonts w:ascii="Arial" w:hAnsi="Arial" w:cs="Arial"/>
          <w:sz w:val="24"/>
          <w:szCs w:val="24"/>
          <w:lang w:val="en-US"/>
        </w:rPr>
        <w:t>te</w:t>
      </w:r>
      <w:r w:rsidR="007F3114">
        <w:rPr>
          <w:rFonts w:ascii="Arial" w:hAnsi="Arial" w:cs="Arial"/>
          <w:sz w:val="24"/>
          <w:szCs w:val="24"/>
          <w:lang w:val="en-US"/>
        </w:rPr>
        <w:t xml:space="preserve"> Act 40 </w:t>
      </w:r>
      <w:r w:rsidR="007F3114">
        <w:rPr>
          <w:rFonts w:ascii="Arial" w:hAnsi="Arial" w:cs="Arial"/>
          <w:sz w:val="24"/>
          <w:szCs w:val="24"/>
          <w:lang w:val="en-US"/>
        </w:rPr>
        <w:lastRenderedPageBreak/>
        <w:t xml:space="preserve">of </w:t>
      </w:r>
      <w:r w:rsidR="00B2491B">
        <w:rPr>
          <w:rFonts w:ascii="Arial" w:hAnsi="Arial" w:cs="Arial"/>
          <w:sz w:val="24"/>
          <w:szCs w:val="24"/>
          <w:lang w:val="en-US"/>
        </w:rPr>
        <w:t>2002 (the</w:t>
      </w:r>
      <w:r w:rsidR="00786139">
        <w:rPr>
          <w:rFonts w:ascii="Arial" w:hAnsi="Arial" w:cs="Arial"/>
          <w:sz w:val="24"/>
          <w:szCs w:val="24"/>
          <w:lang w:val="en-US"/>
        </w:rPr>
        <w:t xml:space="preserve"> Institution Act). </w:t>
      </w:r>
      <w:r w:rsidR="006A7675">
        <w:rPr>
          <w:rFonts w:ascii="Arial" w:hAnsi="Arial" w:cs="Arial"/>
          <w:sz w:val="24"/>
          <w:szCs w:val="24"/>
          <w:lang w:val="en-US"/>
        </w:rPr>
        <w:t xml:space="preserve"> </w:t>
      </w:r>
      <w:r w:rsidR="004B0FA0">
        <w:rPr>
          <w:rFonts w:ascii="Arial" w:hAnsi="Arial" w:cs="Arial"/>
          <w:sz w:val="24"/>
          <w:szCs w:val="24"/>
          <w:lang w:val="en-US"/>
        </w:rPr>
        <w:t xml:space="preserve">The defendant contended that </w:t>
      </w:r>
      <w:r w:rsidR="00501473">
        <w:rPr>
          <w:rFonts w:ascii="Arial" w:hAnsi="Arial" w:cs="Arial"/>
          <w:sz w:val="24"/>
          <w:szCs w:val="24"/>
          <w:lang w:val="en-US"/>
        </w:rPr>
        <w:t>without</w:t>
      </w:r>
      <w:r w:rsidR="00786139">
        <w:rPr>
          <w:rFonts w:ascii="Arial" w:hAnsi="Arial" w:cs="Arial"/>
          <w:sz w:val="24"/>
          <w:szCs w:val="24"/>
          <w:lang w:val="en-US"/>
        </w:rPr>
        <w:t xml:space="preserve"> </w:t>
      </w:r>
      <w:r w:rsidR="0034408D">
        <w:rPr>
          <w:rFonts w:ascii="Arial" w:hAnsi="Arial" w:cs="Arial"/>
          <w:sz w:val="24"/>
          <w:szCs w:val="24"/>
          <w:lang w:val="en-US"/>
        </w:rPr>
        <w:t xml:space="preserve">compliance with the provisions </w:t>
      </w:r>
      <w:r w:rsidR="00C90ED2">
        <w:rPr>
          <w:rFonts w:ascii="Arial" w:hAnsi="Arial" w:cs="Arial"/>
          <w:sz w:val="24"/>
          <w:szCs w:val="24"/>
          <w:lang w:val="en-US"/>
        </w:rPr>
        <w:t>of this Act, the plaintiff is non-suited</w:t>
      </w:r>
      <w:r w:rsidR="005F0620">
        <w:rPr>
          <w:rFonts w:ascii="Arial" w:hAnsi="Arial" w:cs="Arial"/>
          <w:sz w:val="24"/>
          <w:szCs w:val="24"/>
          <w:lang w:val="en-US"/>
        </w:rPr>
        <w:t>.</w:t>
      </w:r>
    </w:p>
    <w:p w14:paraId="6B0CE904" w14:textId="1D466D7A" w:rsidR="00501473" w:rsidRDefault="00B66F14" w:rsidP="00501473">
      <w:pPr>
        <w:spacing w:line="480" w:lineRule="auto"/>
        <w:ind w:left="720" w:hanging="720"/>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B7607D">
        <w:rPr>
          <w:rFonts w:ascii="Arial" w:hAnsi="Arial" w:cs="Arial"/>
          <w:sz w:val="24"/>
          <w:szCs w:val="24"/>
          <w:lang w:val="en-US"/>
        </w:rPr>
        <w:t xml:space="preserve">The second special plea raised is that of </w:t>
      </w:r>
      <w:r>
        <w:rPr>
          <w:rFonts w:ascii="Arial" w:hAnsi="Arial" w:cs="Arial"/>
          <w:sz w:val="24"/>
          <w:szCs w:val="24"/>
          <w:lang w:val="en-US"/>
        </w:rPr>
        <w:t>prescription</w:t>
      </w:r>
      <w:r w:rsidR="00B7607D">
        <w:rPr>
          <w:rFonts w:ascii="Arial" w:hAnsi="Arial" w:cs="Arial"/>
          <w:sz w:val="24"/>
          <w:szCs w:val="24"/>
          <w:lang w:val="en-US"/>
        </w:rPr>
        <w:t>. The defendant contends that</w:t>
      </w:r>
      <w:r w:rsidR="00A433D9">
        <w:rPr>
          <w:rFonts w:ascii="Arial" w:hAnsi="Arial" w:cs="Arial"/>
          <w:sz w:val="24"/>
          <w:szCs w:val="24"/>
          <w:lang w:val="en-US"/>
        </w:rPr>
        <w:t xml:space="preserve"> </w:t>
      </w:r>
      <w:r w:rsidR="00B7106F">
        <w:rPr>
          <w:rFonts w:ascii="Arial" w:hAnsi="Arial" w:cs="Arial"/>
          <w:sz w:val="24"/>
          <w:szCs w:val="24"/>
          <w:lang w:val="en-US"/>
        </w:rPr>
        <w:t xml:space="preserve">the entries made in “POC6” were made </w:t>
      </w:r>
      <w:r w:rsidR="00306693">
        <w:rPr>
          <w:rFonts w:ascii="Arial" w:hAnsi="Arial" w:cs="Arial"/>
          <w:sz w:val="24"/>
          <w:szCs w:val="24"/>
          <w:lang w:val="en-US"/>
        </w:rPr>
        <w:t xml:space="preserve">in December 2014 and that </w:t>
      </w:r>
      <w:r w:rsidR="00501473">
        <w:rPr>
          <w:rFonts w:ascii="Arial" w:hAnsi="Arial" w:cs="Arial"/>
          <w:sz w:val="24"/>
          <w:szCs w:val="24"/>
          <w:lang w:val="en-US"/>
        </w:rPr>
        <w:t>s</w:t>
      </w:r>
      <w:r w:rsidR="00306693">
        <w:rPr>
          <w:rFonts w:ascii="Arial" w:hAnsi="Arial" w:cs="Arial"/>
          <w:sz w:val="24"/>
          <w:szCs w:val="24"/>
          <w:lang w:val="en-US"/>
        </w:rPr>
        <w:t xml:space="preserve">ummons </w:t>
      </w:r>
      <w:r w:rsidR="005B67A6">
        <w:rPr>
          <w:rFonts w:ascii="Arial" w:hAnsi="Arial" w:cs="Arial"/>
          <w:sz w:val="24"/>
          <w:szCs w:val="24"/>
          <w:lang w:val="en-US"/>
        </w:rPr>
        <w:t xml:space="preserve">was only served </w:t>
      </w:r>
      <w:r w:rsidR="00572164">
        <w:rPr>
          <w:rFonts w:ascii="Arial" w:hAnsi="Arial" w:cs="Arial"/>
          <w:sz w:val="24"/>
          <w:szCs w:val="24"/>
          <w:lang w:val="en-US"/>
        </w:rPr>
        <w:t>on 10 June 2021</w:t>
      </w:r>
      <w:r w:rsidR="006807CF">
        <w:rPr>
          <w:rFonts w:ascii="Arial" w:hAnsi="Arial" w:cs="Arial"/>
          <w:sz w:val="24"/>
          <w:szCs w:val="24"/>
          <w:lang w:val="en-US"/>
        </w:rPr>
        <w:t xml:space="preserve"> and </w:t>
      </w:r>
      <w:r w:rsidR="00ED2E12">
        <w:rPr>
          <w:rFonts w:ascii="Arial" w:hAnsi="Arial" w:cs="Arial"/>
          <w:sz w:val="24"/>
          <w:szCs w:val="24"/>
          <w:lang w:val="en-US"/>
        </w:rPr>
        <w:t xml:space="preserve">therefore </w:t>
      </w:r>
      <w:r w:rsidR="006807CF">
        <w:rPr>
          <w:rFonts w:ascii="Arial" w:hAnsi="Arial" w:cs="Arial"/>
          <w:sz w:val="24"/>
          <w:szCs w:val="24"/>
          <w:lang w:val="en-US"/>
        </w:rPr>
        <w:t>a period of more than three (3) years had la</w:t>
      </w:r>
      <w:r w:rsidR="00DD30F3">
        <w:rPr>
          <w:rFonts w:ascii="Arial" w:hAnsi="Arial" w:cs="Arial"/>
          <w:sz w:val="24"/>
          <w:szCs w:val="24"/>
          <w:lang w:val="en-US"/>
        </w:rPr>
        <w:t>psed</w:t>
      </w:r>
      <w:r w:rsidR="00ED2E12">
        <w:rPr>
          <w:rFonts w:ascii="Arial" w:hAnsi="Arial" w:cs="Arial"/>
          <w:sz w:val="24"/>
          <w:szCs w:val="24"/>
          <w:lang w:val="en-US"/>
        </w:rPr>
        <w:t xml:space="preserve">. </w:t>
      </w:r>
      <w:r w:rsidR="00501473">
        <w:rPr>
          <w:rFonts w:ascii="Arial" w:hAnsi="Arial" w:cs="Arial"/>
          <w:sz w:val="24"/>
          <w:szCs w:val="24"/>
          <w:lang w:val="en-US"/>
        </w:rPr>
        <w:t xml:space="preserve">It contended that any amount that would have been payable more than three (3) years before service of the summons, had prescribed. </w:t>
      </w:r>
    </w:p>
    <w:p w14:paraId="4D8CFF58" w14:textId="77777777" w:rsidR="00501473" w:rsidRPr="00C00DD9" w:rsidRDefault="00501473" w:rsidP="00501473">
      <w:pPr>
        <w:spacing w:line="480" w:lineRule="auto"/>
        <w:ind w:left="720" w:hanging="720"/>
        <w:jc w:val="both"/>
        <w:rPr>
          <w:rFonts w:ascii="Arial" w:hAnsi="Arial" w:cs="Arial"/>
          <w:i/>
          <w:iCs/>
          <w:sz w:val="24"/>
          <w:szCs w:val="24"/>
          <w:lang w:val="en-US"/>
        </w:rPr>
      </w:pPr>
      <w:r w:rsidRPr="00C00DD9">
        <w:rPr>
          <w:rFonts w:ascii="Arial" w:hAnsi="Arial" w:cs="Arial"/>
          <w:i/>
          <w:iCs/>
          <w:sz w:val="24"/>
          <w:szCs w:val="24"/>
          <w:lang w:val="en-US"/>
        </w:rPr>
        <w:t>Plaintiff’s replication</w:t>
      </w:r>
    </w:p>
    <w:p w14:paraId="352C9FB2" w14:textId="64C1731E" w:rsidR="00501473" w:rsidRDefault="00501473" w:rsidP="00501473">
      <w:pPr>
        <w:spacing w:line="480" w:lineRule="auto"/>
        <w:ind w:left="720" w:hanging="720"/>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t xml:space="preserve">In respect of the prescription point, the plaintiff replicated on the basis that prescription of the debt claimed from defendant was interrupted in terms of section 14 of the Prescription Act 68 of 1969 in that the defendant acknowledged indebtedness of its liability before the debt became prescribed. </w:t>
      </w:r>
    </w:p>
    <w:p w14:paraId="2D9523D9" w14:textId="23FAAA56" w:rsidR="00501473" w:rsidRDefault="00501473" w:rsidP="00501473">
      <w:pPr>
        <w:spacing w:line="480" w:lineRule="auto"/>
        <w:ind w:left="720" w:hanging="720"/>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t>In so far as the non-compliance with sections 3 and 4 of the Institution Act, plaintiff contends that the claim is for specific performance arising out of the defendant’s breach of contract and not for a debt as defined in the Institution Act (for payment of damages). It further contends that there was no obligation on the plaintiff to comply with the aforesaid provisions of the Institution Act or to allege compliance therewith.</w:t>
      </w:r>
    </w:p>
    <w:p w14:paraId="32CD4963" w14:textId="291DCD14" w:rsidR="001D2584" w:rsidRPr="001D2584" w:rsidRDefault="001D2584" w:rsidP="00501473">
      <w:pPr>
        <w:spacing w:line="480" w:lineRule="auto"/>
        <w:ind w:left="720" w:hanging="720"/>
        <w:jc w:val="both"/>
        <w:rPr>
          <w:rFonts w:ascii="Arial" w:hAnsi="Arial" w:cs="Arial"/>
          <w:i/>
          <w:iCs/>
          <w:sz w:val="24"/>
          <w:szCs w:val="24"/>
          <w:lang w:val="en-US"/>
        </w:rPr>
      </w:pPr>
      <w:r w:rsidRPr="001D2584">
        <w:rPr>
          <w:rFonts w:ascii="Arial" w:hAnsi="Arial" w:cs="Arial"/>
          <w:i/>
          <w:iCs/>
          <w:sz w:val="24"/>
          <w:szCs w:val="24"/>
          <w:lang w:val="en-US"/>
        </w:rPr>
        <w:t xml:space="preserve">Summary judgment application </w:t>
      </w:r>
    </w:p>
    <w:p w14:paraId="4D644A0E" w14:textId="138A4FCE" w:rsidR="00501473" w:rsidRDefault="00501473" w:rsidP="00501473">
      <w:pPr>
        <w:spacing w:line="480" w:lineRule="auto"/>
        <w:ind w:left="720" w:hanging="720"/>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t xml:space="preserve">In the application for summary judgment, deposed to by the director of the plaintiff, </w:t>
      </w:r>
      <w:r w:rsidRPr="00B7607D">
        <w:rPr>
          <w:rFonts w:ascii="Arial" w:hAnsi="Arial" w:cs="Arial"/>
          <w:color w:val="000000" w:themeColor="text1"/>
          <w:sz w:val="24"/>
          <w:szCs w:val="24"/>
          <w:lang w:val="en-US"/>
        </w:rPr>
        <w:t xml:space="preserve">Jean Prieur du Plessis, </w:t>
      </w:r>
      <w:r w:rsidR="00B6735E" w:rsidRPr="00B7607D">
        <w:rPr>
          <w:rFonts w:ascii="Arial" w:hAnsi="Arial" w:cs="Arial"/>
          <w:color w:val="000000" w:themeColor="text1"/>
          <w:sz w:val="24"/>
          <w:szCs w:val="24"/>
          <w:lang w:val="en-US"/>
        </w:rPr>
        <w:t>plaintiff addressed</w:t>
      </w:r>
      <w:r w:rsidR="00081D5A" w:rsidRPr="00B7607D">
        <w:rPr>
          <w:rFonts w:ascii="Arial" w:hAnsi="Arial" w:cs="Arial"/>
          <w:color w:val="000000" w:themeColor="text1"/>
          <w:sz w:val="24"/>
          <w:szCs w:val="24"/>
          <w:lang w:val="en-US"/>
        </w:rPr>
        <w:t xml:space="preserve"> </w:t>
      </w:r>
      <w:r w:rsidR="00BE5E18">
        <w:rPr>
          <w:rFonts w:ascii="Arial" w:hAnsi="Arial" w:cs="Arial"/>
          <w:color w:val="000000" w:themeColor="text1"/>
          <w:sz w:val="24"/>
          <w:szCs w:val="24"/>
          <w:lang w:val="en-US"/>
        </w:rPr>
        <w:t>the</w:t>
      </w:r>
      <w:r w:rsidRPr="00B7607D">
        <w:rPr>
          <w:rFonts w:ascii="Arial" w:hAnsi="Arial" w:cs="Arial"/>
          <w:color w:val="000000" w:themeColor="text1"/>
          <w:sz w:val="24"/>
          <w:szCs w:val="24"/>
          <w:lang w:val="en-US"/>
        </w:rPr>
        <w:t xml:space="preserve"> defence</w:t>
      </w:r>
      <w:r w:rsidR="00BE5E18">
        <w:rPr>
          <w:rFonts w:ascii="Arial" w:hAnsi="Arial" w:cs="Arial"/>
          <w:color w:val="000000" w:themeColor="text1"/>
          <w:sz w:val="24"/>
          <w:szCs w:val="24"/>
          <w:lang w:val="en-US"/>
        </w:rPr>
        <w:t>s</w:t>
      </w:r>
      <w:r w:rsidRPr="00B7607D">
        <w:rPr>
          <w:rFonts w:ascii="Arial" w:hAnsi="Arial" w:cs="Arial"/>
          <w:color w:val="000000" w:themeColor="text1"/>
          <w:sz w:val="24"/>
          <w:szCs w:val="24"/>
          <w:lang w:val="en-US"/>
        </w:rPr>
        <w:t xml:space="preserve"> </w:t>
      </w:r>
      <w:r>
        <w:rPr>
          <w:rFonts w:ascii="Arial" w:hAnsi="Arial" w:cs="Arial"/>
          <w:sz w:val="24"/>
          <w:szCs w:val="24"/>
          <w:lang w:val="en-US"/>
        </w:rPr>
        <w:t xml:space="preserve">raised by the defendant. It contends that the </w:t>
      </w:r>
      <w:r w:rsidR="00081D5A">
        <w:rPr>
          <w:rFonts w:ascii="Arial" w:hAnsi="Arial" w:cs="Arial"/>
          <w:sz w:val="24"/>
          <w:szCs w:val="24"/>
          <w:lang w:val="en-US"/>
        </w:rPr>
        <w:t xml:space="preserve">defence </w:t>
      </w:r>
      <w:r>
        <w:rPr>
          <w:rFonts w:ascii="Arial" w:hAnsi="Arial" w:cs="Arial"/>
          <w:sz w:val="24"/>
          <w:szCs w:val="24"/>
          <w:lang w:val="en-US"/>
        </w:rPr>
        <w:t>that there was no demand for interest is meritless. Plaintiff makes a point that “</w:t>
      </w:r>
      <w:r>
        <w:rPr>
          <w:rFonts w:ascii="Arial" w:hAnsi="Arial" w:cs="Arial"/>
          <w:i/>
          <w:iCs/>
          <w:sz w:val="24"/>
          <w:szCs w:val="24"/>
          <w:lang w:val="en-US"/>
        </w:rPr>
        <w:t xml:space="preserve">I am advised that it is the function of </w:t>
      </w:r>
      <w:r>
        <w:rPr>
          <w:rFonts w:ascii="Arial" w:hAnsi="Arial" w:cs="Arial"/>
          <w:i/>
          <w:iCs/>
          <w:sz w:val="24"/>
          <w:szCs w:val="24"/>
          <w:lang w:val="en-US"/>
        </w:rPr>
        <w:lastRenderedPageBreak/>
        <w:t>the Court to interpret the relevant provisions of the lease and not that of the parties.”</w:t>
      </w:r>
      <w:r>
        <w:rPr>
          <w:rFonts w:ascii="Arial" w:hAnsi="Arial" w:cs="Arial"/>
          <w:sz w:val="24"/>
          <w:szCs w:val="24"/>
          <w:lang w:val="en-US"/>
        </w:rPr>
        <w:t xml:space="preserve"> However, it proceed</w:t>
      </w:r>
      <w:r w:rsidR="001D2584">
        <w:rPr>
          <w:rFonts w:ascii="Arial" w:hAnsi="Arial" w:cs="Arial"/>
          <w:sz w:val="24"/>
          <w:szCs w:val="24"/>
          <w:lang w:val="en-US"/>
        </w:rPr>
        <w:t>ed</w:t>
      </w:r>
      <w:r>
        <w:rPr>
          <w:rFonts w:ascii="Arial" w:hAnsi="Arial" w:cs="Arial"/>
          <w:sz w:val="24"/>
          <w:szCs w:val="24"/>
          <w:lang w:val="en-US"/>
        </w:rPr>
        <w:t xml:space="preserve"> to give an interpretation to certain clauses, namely 4.1 and 4.3. It further contends that interest charged on arrear rental was reflected on the monthly invoices and statements issued to the defendant as reflected on annexure “POC6”.</w:t>
      </w:r>
    </w:p>
    <w:p w14:paraId="134C93A2" w14:textId="565D97B9" w:rsidR="00501473" w:rsidRDefault="00501473" w:rsidP="00501473">
      <w:pPr>
        <w:spacing w:line="480" w:lineRule="auto"/>
        <w:ind w:left="720" w:hanging="720"/>
        <w:jc w:val="both"/>
        <w:rPr>
          <w:rFonts w:ascii="Arial" w:hAnsi="Arial" w:cs="Arial"/>
          <w:sz w:val="24"/>
          <w:szCs w:val="24"/>
          <w:lang w:val="en-US"/>
        </w:rPr>
      </w:pPr>
      <w:r>
        <w:rPr>
          <w:rFonts w:ascii="Arial" w:hAnsi="Arial" w:cs="Arial"/>
          <w:sz w:val="24"/>
          <w:szCs w:val="24"/>
          <w:lang w:val="en-US"/>
        </w:rPr>
        <w:t xml:space="preserve">[11]   </w:t>
      </w:r>
      <w:r>
        <w:rPr>
          <w:rFonts w:ascii="Arial" w:hAnsi="Arial" w:cs="Arial"/>
          <w:sz w:val="24"/>
          <w:szCs w:val="24"/>
          <w:lang w:val="en-US"/>
        </w:rPr>
        <w:tab/>
        <w:t xml:space="preserve">In relation to the prescription plea, plaintiff alleged that the plea is vague because the defendant has not indicated which portion of the claim has become prescribed. </w:t>
      </w:r>
      <w:r w:rsidR="001D2584">
        <w:rPr>
          <w:rFonts w:ascii="Arial" w:hAnsi="Arial" w:cs="Arial"/>
          <w:sz w:val="24"/>
          <w:szCs w:val="24"/>
          <w:lang w:val="en-US"/>
        </w:rPr>
        <w:t xml:space="preserve">The </w:t>
      </w:r>
      <w:r>
        <w:rPr>
          <w:rFonts w:ascii="Arial" w:hAnsi="Arial" w:cs="Arial"/>
          <w:sz w:val="24"/>
          <w:szCs w:val="24"/>
          <w:lang w:val="en-US"/>
        </w:rPr>
        <w:t xml:space="preserve">defendant never disputed the statements </w:t>
      </w:r>
      <w:r w:rsidR="00B2491B">
        <w:rPr>
          <w:rFonts w:ascii="Arial" w:hAnsi="Arial" w:cs="Arial"/>
          <w:sz w:val="24"/>
          <w:szCs w:val="24"/>
          <w:lang w:val="en-US"/>
        </w:rPr>
        <w:t>and invoices</w:t>
      </w:r>
      <w:r>
        <w:rPr>
          <w:rFonts w:ascii="Arial" w:hAnsi="Arial" w:cs="Arial"/>
          <w:sz w:val="24"/>
          <w:szCs w:val="24"/>
          <w:lang w:val="en-US"/>
        </w:rPr>
        <w:t xml:space="preserve"> issued to it by the plaintiff and instead made payments in respect thereof, and by so </w:t>
      </w:r>
      <w:r w:rsidR="00B2491B">
        <w:rPr>
          <w:rFonts w:ascii="Arial" w:hAnsi="Arial" w:cs="Arial"/>
          <w:sz w:val="24"/>
          <w:szCs w:val="24"/>
          <w:lang w:val="en-US"/>
        </w:rPr>
        <w:t>doing,</w:t>
      </w:r>
      <w:r>
        <w:rPr>
          <w:rFonts w:ascii="Arial" w:hAnsi="Arial" w:cs="Arial"/>
          <w:sz w:val="24"/>
          <w:szCs w:val="24"/>
          <w:lang w:val="en-US"/>
        </w:rPr>
        <w:t xml:space="preserve"> such conduct constitutes acknowledgement of the defendant’s liability. </w:t>
      </w:r>
    </w:p>
    <w:p w14:paraId="453863AD" w14:textId="2616138B" w:rsidR="00501473" w:rsidRDefault="00501473" w:rsidP="001D2584">
      <w:pPr>
        <w:spacing w:line="480" w:lineRule="auto"/>
        <w:ind w:left="720" w:hanging="720"/>
        <w:jc w:val="both"/>
        <w:rPr>
          <w:rFonts w:ascii="Arial" w:hAnsi="Arial" w:cs="Arial"/>
          <w:sz w:val="24"/>
          <w:szCs w:val="24"/>
          <w:lang w:val="en-US"/>
        </w:rPr>
      </w:pPr>
      <w:r>
        <w:rPr>
          <w:rFonts w:ascii="Arial" w:hAnsi="Arial" w:cs="Arial"/>
          <w:sz w:val="24"/>
          <w:szCs w:val="24"/>
          <w:lang w:val="en-US"/>
        </w:rPr>
        <w:t xml:space="preserve">[12]    Prescription was interrupted by an express or tacit acknowledgement of liability by the defendant.   In this regard it relies on various documentation such </w:t>
      </w:r>
      <w:r w:rsidR="00B2491B">
        <w:rPr>
          <w:rFonts w:ascii="Arial" w:hAnsi="Arial" w:cs="Arial"/>
          <w:sz w:val="24"/>
          <w:szCs w:val="24"/>
          <w:lang w:val="en-US"/>
        </w:rPr>
        <w:t>as the</w:t>
      </w:r>
      <w:r>
        <w:rPr>
          <w:rFonts w:ascii="Arial" w:hAnsi="Arial" w:cs="Arial"/>
          <w:sz w:val="24"/>
          <w:szCs w:val="24"/>
          <w:lang w:val="en-US"/>
        </w:rPr>
        <w:t xml:space="preserve"> emails exchanged between the plaintiff and the Senior Manager: Accounting Officer of the defendant, a Mr Sicelo Kweleta, where the defendant expressed an intention to settle the arrears. </w:t>
      </w:r>
    </w:p>
    <w:p w14:paraId="30A55A9F" w14:textId="0DD42301" w:rsidR="00501473" w:rsidRDefault="00501473" w:rsidP="001D2584">
      <w:pPr>
        <w:spacing w:line="480" w:lineRule="auto"/>
        <w:ind w:left="720" w:hanging="720"/>
        <w:jc w:val="both"/>
        <w:rPr>
          <w:rFonts w:ascii="Arial" w:hAnsi="Arial" w:cs="Arial"/>
          <w:sz w:val="24"/>
          <w:szCs w:val="24"/>
          <w:lang w:val="en-US"/>
        </w:rPr>
      </w:pPr>
      <w:r>
        <w:rPr>
          <w:rFonts w:ascii="Arial" w:hAnsi="Arial" w:cs="Arial"/>
          <w:sz w:val="24"/>
          <w:szCs w:val="24"/>
          <w:lang w:val="en-US"/>
        </w:rPr>
        <w:t xml:space="preserve">[13] </w:t>
      </w:r>
      <w:r>
        <w:rPr>
          <w:rFonts w:ascii="Arial" w:hAnsi="Arial" w:cs="Arial"/>
          <w:sz w:val="24"/>
          <w:szCs w:val="24"/>
          <w:lang w:val="en-US"/>
        </w:rPr>
        <w:tab/>
      </w:r>
      <w:r w:rsidR="001D2584">
        <w:rPr>
          <w:rFonts w:ascii="Arial" w:hAnsi="Arial" w:cs="Arial"/>
          <w:sz w:val="24"/>
          <w:szCs w:val="24"/>
          <w:lang w:val="en-US"/>
        </w:rPr>
        <w:t>P</w:t>
      </w:r>
      <w:r>
        <w:rPr>
          <w:rFonts w:ascii="Arial" w:hAnsi="Arial" w:cs="Arial"/>
          <w:sz w:val="24"/>
          <w:szCs w:val="24"/>
          <w:lang w:val="en-US"/>
        </w:rPr>
        <w:t>laintiff relie</w:t>
      </w:r>
      <w:r w:rsidR="001D2584">
        <w:rPr>
          <w:rFonts w:ascii="Arial" w:hAnsi="Arial" w:cs="Arial"/>
          <w:sz w:val="24"/>
          <w:szCs w:val="24"/>
          <w:lang w:val="en-US"/>
        </w:rPr>
        <w:t xml:space="preserve">d </w:t>
      </w:r>
      <w:r>
        <w:rPr>
          <w:rFonts w:ascii="Arial" w:hAnsi="Arial" w:cs="Arial"/>
          <w:sz w:val="24"/>
          <w:szCs w:val="24"/>
          <w:lang w:val="en-US"/>
        </w:rPr>
        <w:t>and dr</w:t>
      </w:r>
      <w:r w:rsidR="001D2584">
        <w:rPr>
          <w:rFonts w:ascii="Arial" w:hAnsi="Arial" w:cs="Arial"/>
          <w:sz w:val="24"/>
          <w:szCs w:val="24"/>
          <w:lang w:val="en-US"/>
        </w:rPr>
        <w:t>ew</w:t>
      </w:r>
      <w:r>
        <w:rPr>
          <w:rFonts w:ascii="Arial" w:hAnsi="Arial" w:cs="Arial"/>
          <w:sz w:val="24"/>
          <w:szCs w:val="24"/>
          <w:lang w:val="en-US"/>
        </w:rPr>
        <w:t xml:space="preserve"> the attention of the Court to clause 4.2 of the lease in terms of which the plaintiff has a discretion to allocate payments made by the defendant. It then produced an updated statement marked “JP5”.</w:t>
      </w:r>
    </w:p>
    <w:p w14:paraId="6B13D7E4" w14:textId="0883F6AD" w:rsidR="00501473" w:rsidRDefault="00501473" w:rsidP="00501473">
      <w:pPr>
        <w:spacing w:line="480" w:lineRule="auto"/>
        <w:ind w:left="720" w:hanging="720"/>
        <w:jc w:val="both"/>
        <w:rPr>
          <w:rFonts w:ascii="Arial" w:hAnsi="Arial" w:cs="Arial"/>
          <w:sz w:val="24"/>
          <w:szCs w:val="24"/>
          <w:lang w:val="en-US"/>
        </w:rPr>
      </w:pPr>
      <w:r>
        <w:rPr>
          <w:rFonts w:ascii="Arial" w:hAnsi="Arial" w:cs="Arial"/>
          <w:sz w:val="24"/>
          <w:szCs w:val="24"/>
          <w:lang w:val="en-US"/>
        </w:rPr>
        <w:t>[14]    Plaintiff disputed the defendant’s defence that no demand was made because according to it all the invoices and monthly statements issued during the subsistence of the lease constituted legitimate means of demand. It relie</w:t>
      </w:r>
      <w:r w:rsidR="0039738C">
        <w:rPr>
          <w:rFonts w:ascii="Arial" w:hAnsi="Arial" w:cs="Arial"/>
          <w:sz w:val="24"/>
          <w:szCs w:val="24"/>
          <w:lang w:val="en-US"/>
        </w:rPr>
        <w:t>d</w:t>
      </w:r>
      <w:r>
        <w:rPr>
          <w:rFonts w:ascii="Arial" w:hAnsi="Arial" w:cs="Arial"/>
          <w:sz w:val="24"/>
          <w:szCs w:val="24"/>
          <w:lang w:val="en-US"/>
        </w:rPr>
        <w:t xml:space="preserve"> on the letters sent to the defendant on 16 February 2021 and 21 April 2021, as letters of demand.</w:t>
      </w:r>
    </w:p>
    <w:p w14:paraId="0AD77A8B" w14:textId="7E151AC1" w:rsidR="00BE5E18" w:rsidRDefault="00BE5E18" w:rsidP="00501473">
      <w:pPr>
        <w:spacing w:line="480" w:lineRule="auto"/>
        <w:ind w:left="720" w:hanging="720"/>
        <w:jc w:val="both"/>
        <w:rPr>
          <w:rFonts w:ascii="Arial" w:hAnsi="Arial" w:cs="Arial"/>
          <w:sz w:val="24"/>
          <w:szCs w:val="24"/>
          <w:lang w:val="en-US"/>
        </w:rPr>
      </w:pPr>
      <w:r>
        <w:rPr>
          <w:rFonts w:ascii="Arial" w:hAnsi="Arial" w:cs="Arial"/>
          <w:sz w:val="24"/>
          <w:szCs w:val="24"/>
          <w:lang w:val="en-US"/>
        </w:rPr>
        <w:lastRenderedPageBreak/>
        <w:t xml:space="preserve">[15]   It stated that the Institution Act is not applicable in the action and there was accordingly no obligation to comply therewith. In the alternative, it submitted that if it is found that the notice was necessary then it sought condonation for its non- compliance with the Institution Act. </w:t>
      </w:r>
    </w:p>
    <w:p w14:paraId="5F500CBE" w14:textId="1B72C268" w:rsidR="00B2491B" w:rsidRDefault="00501473" w:rsidP="00B2491B">
      <w:pPr>
        <w:spacing w:line="480" w:lineRule="auto"/>
        <w:ind w:left="720" w:hanging="720"/>
        <w:jc w:val="both"/>
        <w:rPr>
          <w:rFonts w:ascii="Arial" w:hAnsi="Arial" w:cs="Arial"/>
          <w:i/>
          <w:iCs/>
          <w:sz w:val="20"/>
          <w:szCs w:val="20"/>
          <w:lang w:val="en-US"/>
        </w:rPr>
      </w:pPr>
      <w:r>
        <w:rPr>
          <w:rFonts w:ascii="Arial" w:hAnsi="Arial" w:cs="Arial"/>
          <w:sz w:val="24"/>
          <w:szCs w:val="24"/>
          <w:lang w:val="en-US"/>
        </w:rPr>
        <w:t>[1</w:t>
      </w:r>
      <w:r w:rsidR="00A66A01">
        <w:rPr>
          <w:rFonts w:ascii="Arial" w:hAnsi="Arial" w:cs="Arial"/>
          <w:sz w:val="24"/>
          <w:szCs w:val="24"/>
          <w:lang w:val="en-US"/>
        </w:rPr>
        <w:t>6</w:t>
      </w:r>
      <w:r>
        <w:rPr>
          <w:rFonts w:ascii="Arial" w:hAnsi="Arial" w:cs="Arial"/>
          <w:sz w:val="24"/>
          <w:szCs w:val="24"/>
          <w:lang w:val="en-US"/>
        </w:rPr>
        <w:t xml:space="preserve">]    It concluded by stating that </w:t>
      </w:r>
      <w:r w:rsidR="00B2491B" w:rsidRPr="00AA3F21">
        <w:rPr>
          <w:rFonts w:ascii="Arial" w:hAnsi="Arial" w:cs="Arial"/>
          <w:i/>
          <w:iCs/>
          <w:sz w:val="20"/>
          <w:szCs w:val="20"/>
          <w:lang w:val="en-US"/>
        </w:rPr>
        <w:t>“the</w:t>
      </w:r>
      <w:r w:rsidRPr="00AA3F21">
        <w:rPr>
          <w:rFonts w:ascii="Arial" w:hAnsi="Arial" w:cs="Arial"/>
          <w:i/>
          <w:iCs/>
          <w:sz w:val="20"/>
          <w:szCs w:val="20"/>
          <w:lang w:val="en-US"/>
        </w:rPr>
        <w:t xml:space="preserve"> defendant’s attempted defences alleged in the amended plea, are vague, sketchy and laconic and demonstrate that the defendant does not have any bona fide defence to the plaintiff’s claim nor does it raise any triable issues in its amended plea.”</w:t>
      </w:r>
    </w:p>
    <w:p w14:paraId="607E3878" w14:textId="6F9F0DFA" w:rsidR="001D2584" w:rsidRPr="00B2491B" w:rsidRDefault="00ED2E12" w:rsidP="00B2491B">
      <w:pPr>
        <w:spacing w:line="480" w:lineRule="auto"/>
        <w:jc w:val="both"/>
        <w:rPr>
          <w:rFonts w:ascii="Arial" w:hAnsi="Arial" w:cs="Arial"/>
          <w:i/>
          <w:iCs/>
          <w:sz w:val="20"/>
          <w:szCs w:val="20"/>
          <w:lang w:val="en-US"/>
        </w:rPr>
      </w:pPr>
      <w:r w:rsidRPr="00ED2E12">
        <w:rPr>
          <w:rFonts w:ascii="Arial" w:hAnsi="Arial" w:cs="Arial"/>
          <w:i/>
          <w:iCs/>
          <w:sz w:val="24"/>
          <w:szCs w:val="24"/>
          <w:lang w:val="en-US"/>
        </w:rPr>
        <w:t xml:space="preserve">Defendant’s opposing affidavit </w:t>
      </w:r>
    </w:p>
    <w:p w14:paraId="57438613" w14:textId="2ADDF448" w:rsidR="003E2207" w:rsidRDefault="00077DDD" w:rsidP="003B2661">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501473">
        <w:rPr>
          <w:rFonts w:ascii="Arial" w:hAnsi="Arial" w:cs="Arial"/>
          <w:sz w:val="24"/>
          <w:szCs w:val="24"/>
          <w:lang w:val="en-US"/>
        </w:rPr>
        <w:t>1</w:t>
      </w:r>
      <w:r w:rsidR="00A66A01">
        <w:rPr>
          <w:rFonts w:ascii="Arial" w:hAnsi="Arial" w:cs="Arial"/>
          <w:sz w:val="24"/>
          <w:szCs w:val="24"/>
          <w:lang w:val="en-US"/>
        </w:rPr>
        <w:t>7</w:t>
      </w:r>
      <w:r>
        <w:rPr>
          <w:rFonts w:ascii="Arial" w:hAnsi="Arial" w:cs="Arial"/>
          <w:sz w:val="24"/>
          <w:szCs w:val="24"/>
          <w:lang w:val="en-US"/>
        </w:rPr>
        <w:t>]</w:t>
      </w:r>
      <w:r w:rsidR="00007D18">
        <w:rPr>
          <w:rFonts w:ascii="Arial" w:hAnsi="Arial" w:cs="Arial"/>
          <w:sz w:val="24"/>
          <w:szCs w:val="24"/>
          <w:lang w:val="en-US"/>
        </w:rPr>
        <w:tab/>
      </w:r>
      <w:r w:rsidR="00ED2E12">
        <w:rPr>
          <w:rFonts w:ascii="Arial" w:hAnsi="Arial" w:cs="Arial"/>
          <w:sz w:val="24"/>
          <w:szCs w:val="24"/>
          <w:lang w:val="en-US"/>
        </w:rPr>
        <w:t>D</w:t>
      </w:r>
      <w:r w:rsidR="0001705B">
        <w:rPr>
          <w:rFonts w:ascii="Arial" w:hAnsi="Arial" w:cs="Arial"/>
          <w:sz w:val="24"/>
          <w:szCs w:val="24"/>
          <w:lang w:val="en-US"/>
        </w:rPr>
        <w:t>efendant</w:t>
      </w:r>
      <w:r w:rsidR="00C00DD9">
        <w:rPr>
          <w:rFonts w:ascii="Arial" w:hAnsi="Arial" w:cs="Arial"/>
          <w:sz w:val="24"/>
          <w:szCs w:val="24"/>
          <w:lang w:val="en-US"/>
        </w:rPr>
        <w:t xml:space="preserve"> in </w:t>
      </w:r>
      <w:r w:rsidR="004126B8">
        <w:rPr>
          <w:rFonts w:ascii="Arial" w:hAnsi="Arial" w:cs="Arial"/>
          <w:sz w:val="24"/>
          <w:szCs w:val="24"/>
          <w:lang w:val="en-US"/>
        </w:rPr>
        <w:t xml:space="preserve">resisting </w:t>
      </w:r>
      <w:r w:rsidR="00C00DD9">
        <w:rPr>
          <w:rFonts w:ascii="Arial" w:hAnsi="Arial" w:cs="Arial"/>
          <w:sz w:val="24"/>
          <w:szCs w:val="24"/>
          <w:lang w:val="en-US"/>
        </w:rPr>
        <w:t xml:space="preserve">the </w:t>
      </w:r>
      <w:r w:rsidR="004126B8">
        <w:rPr>
          <w:rFonts w:ascii="Arial" w:hAnsi="Arial" w:cs="Arial"/>
          <w:sz w:val="24"/>
          <w:szCs w:val="24"/>
          <w:lang w:val="en-US"/>
        </w:rPr>
        <w:t>summary judgmen</w:t>
      </w:r>
      <w:r w:rsidR="00386E86">
        <w:rPr>
          <w:rFonts w:ascii="Arial" w:hAnsi="Arial" w:cs="Arial"/>
          <w:sz w:val="24"/>
          <w:szCs w:val="24"/>
          <w:lang w:val="en-US"/>
        </w:rPr>
        <w:t>t</w:t>
      </w:r>
      <w:r w:rsidR="00C00DD9">
        <w:rPr>
          <w:rFonts w:ascii="Arial" w:hAnsi="Arial" w:cs="Arial"/>
          <w:sz w:val="24"/>
          <w:szCs w:val="24"/>
          <w:lang w:val="en-US"/>
        </w:rPr>
        <w:t xml:space="preserve"> application </w:t>
      </w:r>
      <w:r w:rsidR="001D2584">
        <w:rPr>
          <w:rFonts w:ascii="Arial" w:hAnsi="Arial" w:cs="Arial"/>
          <w:sz w:val="24"/>
          <w:szCs w:val="24"/>
          <w:lang w:val="en-US"/>
        </w:rPr>
        <w:t xml:space="preserve">filed </w:t>
      </w:r>
      <w:r w:rsidR="00C00DD9">
        <w:rPr>
          <w:rFonts w:ascii="Arial" w:hAnsi="Arial" w:cs="Arial"/>
          <w:sz w:val="24"/>
          <w:szCs w:val="24"/>
          <w:lang w:val="en-US"/>
        </w:rPr>
        <w:t>an opposing affidavit deposed to by</w:t>
      </w:r>
      <w:r w:rsidR="001D2584">
        <w:rPr>
          <w:rFonts w:ascii="Arial" w:hAnsi="Arial" w:cs="Arial"/>
          <w:sz w:val="24"/>
          <w:szCs w:val="24"/>
          <w:lang w:val="en-US"/>
        </w:rPr>
        <w:t xml:space="preserve"> </w:t>
      </w:r>
      <w:r w:rsidR="00386E86">
        <w:rPr>
          <w:rFonts w:ascii="Arial" w:hAnsi="Arial" w:cs="Arial"/>
          <w:sz w:val="24"/>
          <w:szCs w:val="24"/>
          <w:lang w:val="en-US"/>
        </w:rPr>
        <w:t>Thandekile Themba Mnyimba</w:t>
      </w:r>
      <w:r w:rsidR="00831EE3">
        <w:rPr>
          <w:rFonts w:ascii="Arial" w:hAnsi="Arial" w:cs="Arial"/>
          <w:sz w:val="24"/>
          <w:szCs w:val="24"/>
          <w:lang w:val="en-US"/>
        </w:rPr>
        <w:t>,</w:t>
      </w:r>
      <w:r w:rsidR="00C00DD9">
        <w:rPr>
          <w:rFonts w:ascii="Arial" w:hAnsi="Arial" w:cs="Arial"/>
          <w:sz w:val="24"/>
          <w:szCs w:val="24"/>
          <w:lang w:val="en-US"/>
        </w:rPr>
        <w:t xml:space="preserve"> its </w:t>
      </w:r>
      <w:r w:rsidR="009C4914">
        <w:rPr>
          <w:rFonts w:ascii="Arial" w:hAnsi="Arial" w:cs="Arial"/>
          <w:sz w:val="24"/>
          <w:szCs w:val="24"/>
          <w:lang w:val="en-US"/>
        </w:rPr>
        <w:t>m</w:t>
      </w:r>
      <w:r w:rsidR="00831EE3">
        <w:rPr>
          <w:rFonts w:ascii="Arial" w:hAnsi="Arial" w:cs="Arial"/>
          <w:sz w:val="24"/>
          <w:szCs w:val="24"/>
          <w:lang w:val="en-US"/>
        </w:rPr>
        <w:t xml:space="preserve">unicipal </w:t>
      </w:r>
      <w:r w:rsidR="009C4914">
        <w:rPr>
          <w:rFonts w:ascii="Arial" w:hAnsi="Arial" w:cs="Arial"/>
          <w:sz w:val="24"/>
          <w:szCs w:val="24"/>
          <w:lang w:val="en-US"/>
        </w:rPr>
        <w:t>m</w:t>
      </w:r>
      <w:r w:rsidR="00831EE3">
        <w:rPr>
          <w:rFonts w:ascii="Arial" w:hAnsi="Arial" w:cs="Arial"/>
          <w:sz w:val="24"/>
          <w:szCs w:val="24"/>
          <w:lang w:val="en-US"/>
        </w:rPr>
        <w:t>anager</w:t>
      </w:r>
      <w:r w:rsidR="00C00DD9">
        <w:rPr>
          <w:rFonts w:ascii="Arial" w:hAnsi="Arial" w:cs="Arial"/>
          <w:sz w:val="24"/>
          <w:szCs w:val="24"/>
          <w:lang w:val="en-US"/>
        </w:rPr>
        <w:t xml:space="preserve">. </w:t>
      </w:r>
      <w:r w:rsidR="00B2491B">
        <w:rPr>
          <w:rFonts w:ascii="Arial" w:hAnsi="Arial" w:cs="Arial"/>
          <w:sz w:val="24"/>
          <w:szCs w:val="24"/>
          <w:lang w:val="en-US"/>
        </w:rPr>
        <w:t>He raised</w:t>
      </w:r>
      <w:r w:rsidR="00941C14">
        <w:rPr>
          <w:rFonts w:ascii="Arial" w:hAnsi="Arial" w:cs="Arial"/>
          <w:sz w:val="24"/>
          <w:szCs w:val="24"/>
          <w:lang w:val="en-US"/>
        </w:rPr>
        <w:t xml:space="preserve"> </w:t>
      </w:r>
      <w:r w:rsidR="000235A7">
        <w:rPr>
          <w:rFonts w:ascii="Arial" w:hAnsi="Arial" w:cs="Arial"/>
          <w:sz w:val="24"/>
          <w:szCs w:val="24"/>
          <w:lang w:val="en-US"/>
        </w:rPr>
        <w:t xml:space="preserve">the following </w:t>
      </w:r>
      <w:r w:rsidR="00AC7F24">
        <w:rPr>
          <w:rFonts w:ascii="Arial" w:hAnsi="Arial" w:cs="Arial"/>
          <w:sz w:val="24"/>
          <w:szCs w:val="24"/>
          <w:lang w:val="en-US"/>
        </w:rPr>
        <w:t xml:space="preserve">preliminary </w:t>
      </w:r>
      <w:r w:rsidR="00F6596F">
        <w:rPr>
          <w:rFonts w:ascii="Arial" w:hAnsi="Arial" w:cs="Arial"/>
          <w:sz w:val="24"/>
          <w:szCs w:val="24"/>
          <w:lang w:val="en-US"/>
        </w:rPr>
        <w:t>points</w:t>
      </w:r>
      <w:r w:rsidR="003E2207">
        <w:rPr>
          <w:rFonts w:ascii="Arial" w:hAnsi="Arial" w:cs="Arial"/>
          <w:sz w:val="24"/>
          <w:szCs w:val="24"/>
          <w:lang w:val="en-US"/>
        </w:rPr>
        <w:t>:</w:t>
      </w:r>
    </w:p>
    <w:p w14:paraId="570816A9" w14:textId="77777777" w:rsidR="004165F4" w:rsidRPr="002B7D0C" w:rsidRDefault="003E2207" w:rsidP="002B7D0C">
      <w:pPr>
        <w:spacing w:line="240" w:lineRule="auto"/>
        <w:ind w:left="2160" w:hanging="720"/>
        <w:jc w:val="both"/>
        <w:rPr>
          <w:rFonts w:ascii="Arial" w:hAnsi="Arial" w:cs="Arial"/>
          <w:i/>
          <w:iCs/>
          <w:sz w:val="20"/>
          <w:szCs w:val="20"/>
          <w:lang w:val="en-US"/>
        </w:rPr>
      </w:pPr>
      <w:r w:rsidRPr="002B7D0C">
        <w:rPr>
          <w:rFonts w:ascii="Arial" w:hAnsi="Arial" w:cs="Arial"/>
          <w:sz w:val="20"/>
          <w:szCs w:val="20"/>
          <w:lang w:val="en-US"/>
        </w:rPr>
        <w:t>“</w:t>
      </w:r>
      <w:r w:rsidR="004165F4" w:rsidRPr="002B7D0C">
        <w:rPr>
          <w:rFonts w:ascii="Arial" w:hAnsi="Arial" w:cs="Arial"/>
          <w:sz w:val="20"/>
          <w:szCs w:val="20"/>
          <w:lang w:val="en-US"/>
        </w:rPr>
        <w:t>1.</w:t>
      </w:r>
      <w:r w:rsidR="004165F4" w:rsidRPr="002B7D0C">
        <w:rPr>
          <w:rFonts w:ascii="Arial" w:hAnsi="Arial" w:cs="Arial"/>
          <w:sz w:val="20"/>
          <w:szCs w:val="20"/>
          <w:lang w:val="en-US"/>
        </w:rPr>
        <w:tab/>
      </w:r>
      <w:r w:rsidRPr="002B7D0C">
        <w:rPr>
          <w:rFonts w:ascii="Arial" w:hAnsi="Arial" w:cs="Arial"/>
          <w:i/>
          <w:iCs/>
          <w:sz w:val="20"/>
          <w:szCs w:val="20"/>
          <w:lang w:val="en-US"/>
        </w:rPr>
        <w:t xml:space="preserve">That </w:t>
      </w:r>
      <w:r w:rsidR="001246A7" w:rsidRPr="002B7D0C">
        <w:rPr>
          <w:rFonts w:ascii="Arial" w:hAnsi="Arial" w:cs="Arial"/>
          <w:i/>
          <w:iCs/>
          <w:sz w:val="20"/>
          <w:szCs w:val="20"/>
          <w:lang w:val="en-US"/>
        </w:rPr>
        <w:t xml:space="preserve">the plaintiff failed to comply with the provisions of section </w:t>
      </w:r>
      <w:r w:rsidR="00A703ED" w:rsidRPr="002B7D0C">
        <w:rPr>
          <w:rFonts w:ascii="Arial" w:hAnsi="Arial" w:cs="Arial"/>
          <w:i/>
          <w:iCs/>
          <w:sz w:val="20"/>
          <w:szCs w:val="20"/>
          <w:lang w:val="en-US"/>
        </w:rPr>
        <w:t xml:space="preserve">3 and 4 of the Institution of Legal </w:t>
      </w:r>
      <w:r w:rsidR="004B23CD" w:rsidRPr="002B7D0C">
        <w:rPr>
          <w:rFonts w:ascii="Arial" w:hAnsi="Arial" w:cs="Arial"/>
          <w:i/>
          <w:iCs/>
          <w:sz w:val="20"/>
          <w:szCs w:val="20"/>
          <w:lang w:val="en-US"/>
        </w:rPr>
        <w:t>Proceedings against Organs of State</w:t>
      </w:r>
      <w:r w:rsidR="00141DD8" w:rsidRPr="002B7D0C">
        <w:rPr>
          <w:rFonts w:ascii="Arial" w:hAnsi="Arial" w:cs="Arial"/>
          <w:i/>
          <w:iCs/>
          <w:sz w:val="20"/>
          <w:szCs w:val="20"/>
          <w:lang w:val="en-US"/>
        </w:rPr>
        <w:t xml:space="preserve"> Act</w:t>
      </w:r>
      <w:r w:rsidR="008F6DB1" w:rsidRPr="002B7D0C">
        <w:rPr>
          <w:rFonts w:ascii="Arial" w:hAnsi="Arial" w:cs="Arial"/>
          <w:i/>
          <w:iCs/>
          <w:sz w:val="20"/>
          <w:szCs w:val="20"/>
          <w:lang w:val="en-US"/>
        </w:rPr>
        <w:t xml:space="preserve"> 40 </w:t>
      </w:r>
      <w:r w:rsidR="002216F9" w:rsidRPr="002B7D0C">
        <w:rPr>
          <w:rFonts w:ascii="Arial" w:hAnsi="Arial" w:cs="Arial"/>
          <w:i/>
          <w:iCs/>
          <w:sz w:val="20"/>
          <w:szCs w:val="20"/>
          <w:lang w:val="en-US"/>
        </w:rPr>
        <w:t>of 2002</w:t>
      </w:r>
      <w:r w:rsidR="004165F4" w:rsidRPr="002B7D0C">
        <w:rPr>
          <w:rFonts w:ascii="Arial" w:hAnsi="Arial" w:cs="Arial"/>
          <w:i/>
          <w:iCs/>
          <w:sz w:val="20"/>
          <w:szCs w:val="20"/>
          <w:lang w:val="en-US"/>
        </w:rPr>
        <w:t>;</w:t>
      </w:r>
    </w:p>
    <w:p w14:paraId="5EE3EDC1" w14:textId="77777777" w:rsidR="004165F4" w:rsidRPr="002B7D0C" w:rsidRDefault="004165F4" w:rsidP="002B7D0C">
      <w:pPr>
        <w:spacing w:line="240" w:lineRule="auto"/>
        <w:ind w:left="2160" w:hanging="720"/>
        <w:jc w:val="both"/>
        <w:rPr>
          <w:rFonts w:ascii="Arial" w:hAnsi="Arial" w:cs="Arial"/>
          <w:i/>
          <w:iCs/>
          <w:sz w:val="20"/>
          <w:szCs w:val="20"/>
          <w:lang w:val="en-US"/>
        </w:rPr>
      </w:pPr>
      <w:r w:rsidRPr="002B7D0C">
        <w:rPr>
          <w:rFonts w:ascii="Arial" w:hAnsi="Arial" w:cs="Arial"/>
          <w:i/>
          <w:iCs/>
          <w:sz w:val="20"/>
          <w:szCs w:val="20"/>
          <w:lang w:val="en-US"/>
        </w:rPr>
        <w:t>2.</w:t>
      </w:r>
      <w:r w:rsidRPr="002B7D0C">
        <w:rPr>
          <w:rFonts w:ascii="Arial" w:hAnsi="Arial" w:cs="Arial"/>
          <w:i/>
          <w:iCs/>
          <w:sz w:val="20"/>
          <w:szCs w:val="20"/>
          <w:lang w:val="en-US"/>
        </w:rPr>
        <w:tab/>
        <w:t>T</w:t>
      </w:r>
      <w:r w:rsidR="002216F9" w:rsidRPr="002B7D0C">
        <w:rPr>
          <w:rFonts w:ascii="Arial" w:hAnsi="Arial" w:cs="Arial"/>
          <w:i/>
          <w:iCs/>
          <w:sz w:val="20"/>
          <w:szCs w:val="20"/>
          <w:lang w:val="en-US"/>
        </w:rPr>
        <w:t xml:space="preserve">hat the claim where it refers to amounts </w:t>
      </w:r>
      <w:r w:rsidR="00E70BC7" w:rsidRPr="002B7D0C">
        <w:rPr>
          <w:rFonts w:ascii="Arial" w:hAnsi="Arial" w:cs="Arial"/>
          <w:i/>
          <w:iCs/>
          <w:sz w:val="20"/>
          <w:szCs w:val="20"/>
          <w:lang w:val="en-US"/>
        </w:rPr>
        <w:t>which are more than three (3) years</w:t>
      </w:r>
      <w:r w:rsidR="008B35C6" w:rsidRPr="002B7D0C">
        <w:rPr>
          <w:rFonts w:ascii="Arial" w:hAnsi="Arial" w:cs="Arial"/>
          <w:i/>
          <w:iCs/>
          <w:sz w:val="20"/>
          <w:szCs w:val="20"/>
          <w:lang w:val="en-US"/>
        </w:rPr>
        <w:t xml:space="preserve"> before the institution of a claim have become </w:t>
      </w:r>
      <w:r w:rsidR="0093341D" w:rsidRPr="002B7D0C">
        <w:rPr>
          <w:rFonts w:ascii="Arial" w:hAnsi="Arial" w:cs="Arial"/>
          <w:i/>
          <w:iCs/>
          <w:sz w:val="20"/>
          <w:szCs w:val="20"/>
          <w:lang w:val="en-US"/>
        </w:rPr>
        <w:t>prescribed</w:t>
      </w:r>
      <w:r w:rsidR="008F6DB1" w:rsidRPr="002B7D0C">
        <w:rPr>
          <w:rFonts w:ascii="Arial" w:hAnsi="Arial" w:cs="Arial"/>
          <w:i/>
          <w:iCs/>
          <w:sz w:val="20"/>
          <w:szCs w:val="20"/>
          <w:lang w:val="en-US"/>
        </w:rPr>
        <w:t>.</w:t>
      </w:r>
    </w:p>
    <w:p w14:paraId="5192B49B" w14:textId="77777777" w:rsidR="006667FD" w:rsidRDefault="004165F4" w:rsidP="002B7D0C">
      <w:pPr>
        <w:spacing w:line="240" w:lineRule="auto"/>
        <w:ind w:left="2160" w:hanging="720"/>
        <w:jc w:val="both"/>
        <w:rPr>
          <w:rFonts w:ascii="Arial" w:hAnsi="Arial" w:cs="Arial"/>
          <w:i/>
          <w:iCs/>
          <w:sz w:val="20"/>
          <w:szCs w:val="20"/>
          <w:lang w:val="en-US"/>
        </w:rPr>
      </w:pPr>
      <w:r w:rsidRPr="002B7D0C">
        <w:rPr>
          <w:rFonts w:ascii="Arial" w:hAnsi="Arial" w:cs="Arial"/>
          <w:i/>
          <w:iCs/>
          <w:sz w:val="20"/>
          <w:szCs w:val="20"/>
          <w:lang w:val="en-US"/>
        </w:rPr>
        <w:t>3.</w:t>
      </w:r>
      <w:r w:rsidRPr="002B7D0C">
        <w:rPr>
          <w:rFonts w:ascii="Arial" w:hAnsi="Arial" w:cs="Arial"/>
          <w:i/>
          <w:iCs/>
          <w:sz w:val="20"/>
          <w:szCs w:val="20"/>
          <w:lang w:val="en-US"/>
        </w:rPr>
        <w:tab/>
      </w:r>
      <w:r w:rsidR="0037708E" w:rsidRPr="002B7D0C">
        <w:rPr>
          <w:rFonts w:ascii="Arial" w:hAnsi="Arial" w:cs="Arial"/>
          <w:i/>
          <w:iCs/>
          <w:sz w:val="20"/>
          <w:szCs w:val="20"/>
          <w:lang w:val="en-US"/>
        </w:rPr>
        <w:t xml:space="preserve">That according to the initial lease agreement </w:t>
      </w:r>
      <w:r w:rsidR="005C798A" w:rsidRPr="002B7D0C">
        <w:rPr>
          <w:rFonts w:ascii="Arial" w:hAnsi="Arial" w:cs="Arial"/>
          <w:i/>
          <w:iCs/>
          <w:sz w:val="20"/>
          <w:szCs w:val="20"/>
          <w:lang w:val="en-US"/>
        </w:rPr>
        <w:t xml:space="preserve">it provided that any other amounts </w:t>
      </w:r>
      <w:r w:rsidR="008D59DC" w:rsidRPr="002B7D0C">
        <w:rPr>
          <w:rFonts w:ascii="Arial" w:hAnsi="Arial" w:cs="Arial"/>
          <w:i/>
          <w:iCs/>
          <w:sz w:val="20"/>
          <w:szCs w:val="20"/>
          <w:lang w:val="en-US"/>
        </w:rPr>
        <w:t xml:space="preserve">other than those listed in clauses </w:t>
      </w:r>
      <w:r w:rsidR="00660004" w:rsidRPr="002B7D0C">
        <w:rPr>
          <w:rFonts w:ascii="Arial" w:hAnsi="Arial" w:cs="Arial"/>
          <w:i/>
          <w:iCs/>
          <w:sz w:val="20"/>
          <w:szCs w:val="20"/>
          <w:lang w:val="en-US"/>
        </w:rPr>
        <w:t>4.1.1 to 4.1.3 were payable on demand</w:t>
      </w:r>
      <w:r w:rsidR="00314761" w:rsidRPr="002B7D0C">
        <w:rPr>
          <w:rFonts w:ascii="Arial" w:hAnsi="Arial" w:cs="Arial"/>
          <w:i/>
          <w:iCs/>
          <w:sz w:val="20"/>
          <w:szCs w:val="20"/>
          <w:lang w:val="en-US"/>
        </w:rPr>
        <w:t xml:space="preserve">. That clauses 4.1.1 to 4.1.3 do not provide for the </w:t>
      </w:r>
      <w:r w:rsidR="00A47E46" w:rsidRPr="002B7D0C">
        <w:rPr>
          <w:rFonts w:ascii="Arial" w:hAnsi="Arial" w:cs="Arial"/>
          <w:i/>
          <w:iCs/>
          <w:sz w:val="20"/>
          <w:szCs w:val="20"/>
          <w:lang w:val="en-US"/>
        </w:rPr>
        <w:t>payment of interest</w:t>
      </w:r>
      <w:r w:rsidR="00660BF7" w:rsidRPr="002B7D0C">
        <w:rPr>
          <w:rFonts w:ascii="Arial" w:hAnsi="Arial" w:cs="Arial"/>
          <w:i/>
          <w:iCs/>
          <w:sz w:val="20"/>
          <w:szCs w:val="20"/>
          <w:lang w:val="en-US"/>
        </w:rPr>
        <w:t xml:space="preserve"> and </w:t>
      </w:r>
      <w:r w:rsidR="0054014E" w:rsidRPr="002B7D0C">
        <w:rPr>
          <w:rFonts w:ascii="Arial" w:hAnsi="Arial" w:cs="Arial"/>
          <w:i/>
          <w:iCs/>
          <w:sz w:val="20"/>
          <w:szCs w:val="20"/>
          <w:lang w:val="en-US"/>
        </w:rPr>
        <w:t>therefore interest is only payable on demand</w:t>
      </w:r>
      <w:r w:rsidR="00614B04" w:rsidRPr="002B7D0C">
        <w:rPr>
          <w:rFonts w:ascii="Arial" w:hAnsi="Arial" w:cs="Arial"/>
          <w:i/>
          <w:iCs/>
          <w:sz w:val="20"/>
          <w:szCs w:val="20"/>
          <w:lang w:val="en-US"/>
        </w:rPr>
        <w:t>.”</w:t>
      </w:r>
    </w:p>
    <w:p w14:paraId="22FA4FEC" w14:textId="77777777" w:rsidR="00ED2E12" w:rsidRPr="002B7D0C" w:rsidRDefault="00ED2E12" w:rsidP="002B7D0C">
      <w:pPr>
        <w:spacing w:line="240" w:lineRule="auto"/>
        <w:ind w:left="2160" w:hanging="720"/>
        <w:jc w:val="both"/>
        <w:rPr>
          <w:rFonts w:ascii="Arial" w:hAnsi="Arial" w:cs="Arial"/>
          <w:sz w:val="20"/>
          <w:szCs w:val="20"/>
          <w:lang w:val="en-US"/>
        </w:rPr>
      </w:pPr>
    </w:p>
    <w:p w14:paraId="5E72E9A6" w14:textId="02841FEE" w:rsidR="00ED2E12" w:rsidRDefault="006667FD" w:rsidP="00980B67">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1D2584">
        <w:rPr>
          <w:rFonts w:ascii="Arial" w:hAnsi="Arial" w:cs="Arial"/>
          <w:sz w:val="24"/>
          <w:szCs w:val="24"/>
          <w:lang w:val="en-US"/>
        </w:rPr>
        <w:t>1</w:t>
      </w:r>
      <w:r w:rsidR="00A66A01">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r>
      <w:r w:rsidR="004C029A">
        <w:rPr>
          <w:rFonts w:ascii="Arial" w:hAnsi="Arial" w:cs="Arial"/>
          <w:sz w:val="24"/>
          <w:szCs w:val="24"/>
          <w:lang w:val="en-US"/>
        </w:rPr>
        <w:t xml:space="preserve">Defendant </w:t>
      </w:r>
      <w:r w:rsidR="00B2491B">
        <w:rPr>
          <w:rFonts w:ascii="Arial" w:hAnsi="Arial" w:cs="Arial"/>
          <w:sz w:val="24"/>
          <w:szCs w:val="24"/>
          <w:lang w:val="en-US"/>
        </w:rPr>
        <w:t>contended</w:t>
      </w:r>
      <w:r>
        <w:rPr>
          <w:rFonts w:ascii="Arial" w:hAnsi="Arial" w:cs="Arial"/>
          <w:sz w:val="24"/>
          <w:szCs w:val="24"/>
          <w:lang w:val="en-US"/>
        </w:rPr>
        <w:t xml:space="preserve"> that</w:t>
      </w:r>
      <w:r w:rsidR="00ED2E12">
        <w:rPr>
          <w:rFonts w:ascii="Arial" w:hAnsi="Arial" w:cs="Arial"/>
          <w:sz w:val="24"/>
          <w:szCs w:val="24"/>
          <w:lang w:val="en-US"/>
        </w:rPr>
        <w:t xml:space="preserve">: </w:t>
      </w:r>
    </w:p>
    <w:p w14:paraId="5EB69544" w14:textId="169573FD" w:rsidR="00941C14" w:rsidRDefault="00ED2E12" w:rsidP="00B2491B">
      <w:pPr>
        <w:spacing w:line="480" w:lineRule="auto"/>
        <w:ind w:left="1418" w:hanging="851"/>
        <w:jc w:val="both"/>
        <w:rPr>
          <w:rFonts w:ascii="Arial" w:hAnsi="Arial" w:cs="Arial"/>
          <w:sz w:val="24"/>
          <w:szCs w:val="24"/>
          <w:lang w:val="en-US"/>
        </w:rPr>
      </w:pPr>
      <w:r>
        <w:rPr>
          <w:rFonts w:ascii="Arial" w:hAnsi="Arial" w:cs="Arial"/>
          <w:sz w:val="24"/>
          <w:szCs w:val="24"/>
          <w:lang w:val="en-US"/>
        </w:rPr>
        <w:t xml:space="preserve">   </w:t>
      </w:r>
      <w:r w:rsidR="001D2584">
        <w:rPr>
          <w:rFonts w:ascii="Arial" w:hAnsi="Arial" w:cs="Arial"/>
          <w:sz w:val="24"/>
          <w:szCs w:val="24"/>
          <w:lang w:val="en-US"/>
        </w:rPr>
        <w:t xml:space="preserve">(a) </w:t>
      </w:r>
      <w:r w:rsidR="00AA2C38">
        <w:rPr>
          <w:rFonts w:ascii="Arial" w:hAnsi="Arial" w:cs="Arial"/>
          <w:sz w:val="24"/>
          <w:szCs w:val="24"/>
          <w:lang w:val="en-US"/>
        </w:rPr>
        <w:t xml:space="preserve"> </w:t>
      </w:r>
      <w:r w:rsidR="00941C14">
        <w:rPr>
          <w:rFonts w:ascii="Arial" w:hAnsi="Arial" w:cs="Arial"/>
          <w:sz w:val="24"/>
          <w:szCs w:val="24"/>
          <w:lang w:val="en-US"/>
        </w:rPr>
        <w:t xml:space="preserve"> Annexure “POC6” represents account entries commencing on 1 December 2014, a period of more than three (3) years from the date upon which plaintiff’s </w:t>
      </w:r>
      <w:r w:rsidR="001D2584">
        <w:rPr>
          <w:rFonts w:ascii="Arial" w:hAnsi="Arial" w:cs="Arial"/>
          <w:sz w:val="24"/>
          <w:szCs w:val="24"/>
          <w:lang w:val="en-US"/>
        </w:rPr>
        <w:t>s</w:t>
      </w:r>
      <w:r w:rsidR="00941C14">
        <w:rPr>
          <w:rFonts w:ascii="Arial" w:hAnsi="Arial" w:cs="Arial"/>
          <w:sz w:val="24"/>
          <w:szCs w:val="24"/>
          <w:lang w:val="en-US"/>
        </w:rPr>
        <w:t>ummons was served on the defendant. Plaintiff’s claim has prescribed or alternatively</w:t>
      </w:r>
      <w:r w:rsidR="001D2584">
        <w:rPr>
          <w:rFonts w:ascii="Arial" w:hAnsi="Arial" w:cs="Arial"/>
          <w:sz w:val="24"/>
          <w:szCs w:val="24"/>
          <w:lang w:val="en-US"/>
        </w:rPr>
        <w:t xml:space="preserve">, </w:t>
      </w:r>
      <w:r w:rsidR="00941C14">
        <w:rPr>
          <w:rFonts w:ascii="Arial" w:hAnsi="Arial" w:cs="Arial"/>
          <w:sz w:val="24"/>
          <w:szCs w:val="24"/>
          <w:lang w:val="en-US"/>
        </w:rPr>
        <w:t>a portion thereof has become prescribed in terms of section 11 of the Prescription Act 86 of 1969.</w:t>
      </w:r>
    </w:p>
    <w:p w14:paraId="4ABB8D09" w14:textId="1287045F" w:rsidR="00ED2E12" w:rsidRDefault="006667FD" w:rsidP="00B2491B">
      <w:pPr>
        <w:spacing w:line="480" w:lineRule="auto"/>
        <w:ind w:left="1418" w:hanging="851"/>
        <w:jc w:val="both"/>
        <w:rPr>
          <w:rFonts w:ascii="Arial" w:hAnsi="Arial" w:cs="Arial"/>
          <w:sz w:val="24"/>
          <w:szCs w:val="24"/>
          <w:lang w:val="en-US"/>
        </w:rPr>
      </w:pPr>
      <w:r>
        <w:rPr>
          <w:rFonts w:ascii="Arial" w:hAnsi="Arial" w:cs="Arial"/>
          <w:sz w:val="24"/>
          <w:szCs w:val="24"/>
          <w:lang w:val="en-US"/>
        </w:rPr>
        <w:lastRenderedPageBreak/>
        <w:t xml:space="preserve"> </w:t>
      </w:r>
      <w:r w:rsidR="00941C14">
        <w:rPr>
          <w:rFonts w:ascii="Arial" w:hAnsi="Arial" w:cs="Arial"/>
          <w:sz w:val="24"/>
          <w:szCs w:val="24"/>
          <w:lang w:val="en-US"/>
        </w:rPr>
        <w:t xml:space="preserve">(b)     </w:t>
      </w:r>
      <w:r w:rsidR="00ED2E12">
        <w:rPr>
          <w:rFonts w:ascii="Arial" w:hAnsi="Arial" w:cs="Arial"/>
          <w:sz w:val="24"/>
          <w:szCs w:val="24"/>
          <w:lang w:val="en-US"/>
        </w:rPr>
        <w:t>A</w:t>
      </w:r>
      <w:r>
        <w:rPr>
          <w:rFonts w:ascii="Arial" w:hAnsi="Arial" w:cs="Arial"/>
          <w:sz w:val="24"/>
          <w:szCs w:val="24"/>
          <w:lang w:val="en-US"/>
        </w:rPr>
        <w:t xml:space="preserve">ny claim </w:t>
      </w:r>
      <w:r w:rsidR="006E3412">
        <w:rPr>
          <w:rFonts w:ascii="Arial" w:hAnsi="Arial" w:cs="Arial"/>
          <w:sz w:val="24"/>
          <w:szCs w:val="24"/>
          <w:lang w:val="en-US"/>
        </w:rPr>
        <w:t xml:space="preserve">for accumulated interest which is not </w:t>
      </w:r>
      <w:r w:rsidR="005C2C91">
        <w:rPr>
          <w:rFonts w:ascii="Arial" w:hAnsi="Arial" w:cs="Arial"/>
          <w:sz w:val="24"/>
          <w:szCs w:val="24"/>
          <w:lang w:val="en-US"/>
        </w:rPr>
        <w:t>supported by demand</w:t>
      </w:r>
      <w:r w:rsidR="009C4914">
        <w:rPr>
          <w:rFonts w:ascii="Arial" w:hAnsi="Arial" w:cs="Arial"/>
          <w:sz w:val="24"/>
          <w:szCs w:val="24"/>
          <w:lang w:val="en-US"/>
        </w:rPr>
        <w:t>,</w:t>
      </w:r>
      <w:r w:rsidR="005C2C91">
        <w:rPr>
          <w:rFonts w:ascii="Arial" w:hAnsi="Arial" w:cs="Arial"/>
          <w:sz w:val="24"/>
          <w:szCs w:val="24"/>
          <w:lang w:val="en-US"/>
        </w:rPr>
        <w:t xml:space="preserve"> which the plaintiff</w:t>
      </w:r>
      <w:r w:rsidR="006C7106">
        <w:rPr>
          <w:rFonts w:ascii="Arial" w:hAnsi="Arial" w:cs="Arial"/>
          <w:sz w:val="24"/>
          <w:szCs w:val="24"/>
          <w:lang w:val="en-US"/>
        </w:rPr>
        <w:t xml:space="preserve"> was obliged to make </w:t>
      </w:r>
      <w:r w:rsidR="00BC21EC">
        <w:rPr>
          <w:rFonts w:ascii="Arial" w:hAnsi="Arial" w:cs="Arial"/>
          <w:sz w:val="24"/>
          <w:szCs w:val="24"/>
          <w:lang w:val="en-US"/>
        </w:rPr>
        <w:t>before any rights thereof vested</w:t>
      </w:r>
      <w:r w:rsidR="009C4914">
        <w:rPr>
          <w:rFonts w:ascii="Arial" w:hAnsi="Arial" w:cs="Arial"/>
          <w:sz w:val="24"/>
          <w:szCs w:val="24"/>
          <w:lang w:val="en-US"/>
        </w:rPr>
        <w:t>,</w:t>
      </w:r>
      <w:r w:rsidR="00BC21EC">
        <w:rPr>
          <w:rFonts w:ascii="Arial" w:hAnsi="Arial" w:cs="Arial"/>
          <w:sz w:val="24"/>
          <w:szCs w:val="24"/>
          <w:lang w:val="en-US"/>
        </w:rPr>
        <w:t xml:space="preserve"> </w:t>
      </w:r>
      <w:r w:rsidR="009911D7">
        <w:rPr>
          <w:rFonts w:ascii="Arial" w:hAnsi="Arial" w:cs="Arial"/>
          <w:sz w:val="24"/>
          <w:szCs w:val="24"/>
          <w:lang w:val="en-US"/>
        </w:rPr>
        <w:t>is not payable because plaintiff has not complied with</w:t>
      </w:r>
      <w:r w:rsidR="00A453CD">
        <w:rPr>
          <w:rFonts w:ascii="Arial" w:hAnsi="Arial" w:cs="Arial"/>
          <w:sz w:val="24"/>
          <w:szCs w:val="24"/>
          <w:lang w:val="en-US"/>
        </w:rPr>
        <w:t xml:space="preserve"> its obligations</w:t>
      </w:r>
      <w:r w:rsidR="002B7D0C">
        <w:rPr>
          <w:rFonts w:ascii="Arial" w:hAnsi="Arial" w:cs="Arial"/>
          <w:sz w:val="24"/>
          <w:szCs w:val="24"/>
          <w:lang w:val="en-US"/>
        </w:rPr>
        <w:t>.</w:t>
      </w:r>
    </w:p>
    <w:p w14:paraId="79CE94C0" w14:textId="3A7D7C41" w:rsidR="006667FD" w:rsidRDefault="00621FC7" w:rsidP="00B2491B">
      <w:pPr>
        <w:spacing w:line="480" w:lineRule="auto"/>
        <w:ind w:left="1418" w:hanging="851"/>
        <w:jc w:val="both"/>
        <w:rPr>
          <w:rFonts w:ascii="Arial" w:hAnsi="Arial" w:cs="Arial"/>
          <w:sz w:val="24"/>
          <w:szCs w:val="24"/>
          <w:lang w:val="en-US"/>
        </w:rPr>
      </w:pPr>
      <w:r>
        <w:rPr>
          <w:rFonts w:ascii="Arial" w:hAnsi="Arial" w:cs="Arial"/>
          <w:sz w:val="24"/>
          <w:szCs w:val="24"/>
          <w:lang w:val="en-US"/>
        </w:rPr>
        <w:t xml:space="preserve"> </w:t>
      </w:r>
      <w:r w:rsidR="00C00DD9">
        <w:rPr>
          <w:rFonts w:ascii="Arial" w:hAnsi="Arial" w:cs="Arial"/>
          <w:sz w:val="24"/>
          <w:szCs w:val="24"/>
          <w:lang w:val="en-US"/>
        </w:rPr>
        <w:t>(</w:t>
      </w:r>
      <w:r w:rsidR="001D2584">
        <w:rPr>
          <w:rFonts w:ascii="Arial" w:hAnsi="Arial" w:cs="Arial"/>
          <w:sz w:val="24"/>
          <w:szCs w:val="24"/>
          <w:lang w:val="en-US"/>
        </w:rPr>
        <w:t>c</w:t>
      </w:r>
      <w:r w:rsidR="00C00DD9">
        <w:rPr>
          <w:rFonts w:ascii="Arial" w:hAnsi="Arial" w:cs="Arial"/>
          <w:sz w:val="24"/>
          <w:szCs w:val="24"/>
          <w:lang w:val="en-US"/>
        </w:rPr>
        <w:t xml:space="preserve">) </w:t>
      </w:r>
      <w:r w:rsidR="00ED2E12">
        <w:rPr>
          <w:rFonts w:ascii="Arial" w:hAnsi="Arial" w:cs="Arial"/>
          <w:sz w:val="24"/>
          <w:szCs w:val="24"/>
          <w:lang w:val="en-US"/>
        </w:rPr>
        <w:t xml:space="preserve"> T</w:t>
      </w:r>
      <w:r>
        <w:rPr>
          <w:rFonts w:ascii="Arial" w:hAnsi="Arial" w:cs="Arial"/>
          <w:sz w:val="24"/>
          <w:szCs w:val="24"/>
          <w:lang w:val="en-US"/>
        </w:rPr>
        <w:t>hat</w:t>
      </w:r>
      <w:r w:rsidR="00C62886">
        <w:rPr>
          <w:rFonts w:ascii="Arial" w:hAnsi="Arial" w:cs="Arial"/>
          <w:sz w:val="24"/>
          <w:szCs w:val="24"/>
          <w:lang w:val="en-US"/>
        </w:rPr>
        <w:t xml:space="preserve"> plaintiff has claimed a total sum of </w:t>
      </w:r>
      <w:r w:rsidR="000A30DC">
        <w:rPr>
          <w:rFonts w:ascii="Arial" w:hAnsi="Arial" w:cs="Arial"/>
          <w:sz w:val="24"/>
          <w:szCs w:val="24"/>
          <w:lang w:val="en-US"/>
        </w:rPr>
        <w:t xml:space="preserve">R3 304 403.54 for </w:t>
      </w:r>
      <w:r w:rsidR="002946D6">
        <w:rPr>
          <w:rFonts w:ascii="Arial" w:hAnsi="Arial" w:cs="Arial"/>
          <w:sz w:val="24"/>
          <w:szCs w:val="24"/>
          <w:lang w:val="en-US"/>
        </w:rPr>
        <w:t>accumulated interest</w:t>
      </w:r>
      <w:r w:rsidR="008D2E74">
        <w:rPr>
          <w:rFonts w:ascii="Arial" w:hAnsi="Arial" w:cs="Arial"/>
          <w:sz w:val="24"/>
          <w:szCs w:val="24"/>
          <w:lang w:val="en-US"/>
        </w:rPr>
        <w:t xml:space="preserve"> and it only relied on a demand made </w:t>
      </w:r>
      <w:r w:rsidR="00BE5E18">
        <w:rPr>
          <w:rFonts w:ascii="Arial" w:hAnsi="Arial" w:cs="Arial"/>
          <w:sz w:val="24"/>
          <w:szCs w:val="24"/>
          <w:lang w:val="en-US"/>
        </w:rPr>
        <w:t xml:space="preserve">in its letter dated </w:t>
      </w:r>
      <w:r w:rsidR="008D2E74">
        <w:rPr>
          <w:rFonts w:ascii="Arial" w:hAnsi="Arial" w:cs="Arial"/>
          <w:sz w:val="24"/>
          <w:szCs w:val="24"/>
          <w:lang w:val="en-US"/>
        </w:rPr>
        <w:t>21 April 2021</w:t>
      </w:r>
      <w:r w:rsidR="00980B67">
        <w:rPr>
          <w:rFonts w:ascii="Arial" w:hAnsi="Arial" w:cs="Arial"/>
          <w:sz w:val="24"/>
          <w:szCs w:val="24"/>
          <w:lang w:val="en-US"/>
        </w:rPr>
        <w:t>.</w:t>
      </w:r>
    </w:p>
    <w:p w14:paraId="57933DF0" w14:textId="54435C2B" w:rsidR="00ED2E12" w:rsidRDefault="00B2491B" w:rsidP="00B2491B">
      <w:pPr>
        <w:spacing w:line="480" w:lineRule="auto"/>
        <w:ind w:left="1418" w:hanging="851"/>
        <w:jc w:val="both"/>
        <w:rPr>
          <w:rFonts w:ascii="Arial" w:hAnsi="Arial" w:cs="Arial"/>
          <w:sz w:val="24"/>
          <w:szCs w:val="24"/>
          <w:lang w:val="en-US"/>
        </w:rPr>
      </w:pPr>
      <w:r>
        <w:rPr>
          <w:rFonts w:ascii="Arial" w:hAnsi="Arial" w:cs="Arial"/>
          <w:sz w:val="24"/>
          <w:szCs w:val="24"/>
          <w:lang w:val="en-US"/>
        </w:rPr>
        <w:t>(d</w:t>
      </w:r>
      <w:r w:rsidR="00C00DD9">
        <w:rPr>
          <w:rFonts w:ascii="Arial" w:hAnsi="Arial" w:cs="Arial"/>
          <w:sz w:val="24"/>
          <w:szCs w:val="24"/>
          <w:lang w:val="en-US"/>
        </w:rPr>
        <w:t xml:space="preserve">) </w:t>
      </w:r>
      <w:r w:rsidR="004E310A">
        <w:rPr>
          <w:rFonts w:ascii="Arial" w:hAnsi="Arial" w:cs="Arial"/>
          <w:sz w:val="24"/>
          <w:szCs w:val="24"/>
          <w:lang w:val="en-US"/>
        </w:rPr>
        <w:t xml:space="preserve">  </w:t>
      </w:r>
      <w:r>
        <w:rPr>
          <w:rFonts w:ascii="Arial" w:hAnsi="Arial" w:cs="Arial"/>
          <w:sz w:val="24"/>
          <w:szCs w:val="24"/>
          <w:lang w:val="en-US"/>
        </w:rPr>
        <w:tab/>
      </w:r>
      <w:r w:rsidR="00ED2E12">
        <w:rPr>
          <w:rFonts w:ascii="Arial" w:hAnsi="Arial" w:cs="Arial"/>
          <w:sz w:val="24"/>
          <w:szCs w:val="24"/>
          <w:lang w:val="en-US"/>
        </w:rPr>
        <w:t>T</w:t>
      </w:r>
      <w:r w:rsidR="00980B67">
        <w:rPr>
          <w:rFonts w:ascii="Arial" w:hAnsi="Arial" w:cs="Arial"/>
          <w:sz w:val="24"/>
          <w:szCs w:val="24"/>
          <w:lang w:val="en-US"/>
        </w:rPr>
        <w:t xml:space="preserve">he letters that were sent on </w:t>
      </w:r>
      <w:r w:rsidR="00E77694">
        <w:rPr>
          <w:rFonts w:ascii="Arial" w:hAnsi="Arial" w:cs="Arial"/>
          <w:sz w:val="24"/>
          <w:szCs w:val="24"/>
          <w:lang w:val="en-US"/>
        </w:rPr>
        <w:t>16 February 2021 and</w:t>
      </w:r>
      <w:r w:rsidR="003444E4">
        <w:rPr>
          <w:rFonts w:ascii="Arial" w:hAnsi="Arial" w:cs="Arial"/>
          <w:sz w:val="24"/>
          <w:szCs w:val="24"/>
          <w:lang w:val="en-US"/>
        </w:rPr>
        <w:t xml:space="preserve"> 21 April 2021</w:t>
      </w:r>
      <w:r w:rsidR="009C4914">
        <w:rPr>
          <w:rFonts w:ascii="Arial" w:hAnsi="Arial" w:cs="Arial"/>
          <w:sz w:val="24"/>
          <w:szCs w:val="24"/>
          <w:lang w:val="en-US"/>
        </w:rPr>
        <w:t>, to the defendant</w:t>
      </w:r>
      <w:r w:rsidR="00ED2E12">
        <w:rPr>
          <w:rFonts w:ascii="Arial" w:hAnsi="Arial" w:cs="Arial"/>
          <w:sz w:val="24"/>
          <w:szCs w:val="24"/>
          <w:lang w:val="en-US"/>
        </w:rPr>
        <w:t xml:space="preserve"> by the </w:t>
      </w:r>
      <w:r>
        <w:rPr>
          <w:rFonts w:ascii="Arial" w:hAnsi="Arial" w:cs="Arial"/>
          <w:sz w:val="24"/>
          <w:szCs w:val="24"/>
          <w:lang w:val="en-US"/>
        </w:rPr>
        <w:t>plaintiff,</w:t>
      </w:r>
      <w:r w:rsidR="009C4914">
        <w:rPr>
          <w:rFonts w:ascii="Arial" w:hAnsi="Arial" w:cs="Arial"/>
          <w:sz w:val="24"/>
          <w:szCs w:val="24"/>
          <w:lang w:val="en-US"/>
        </w:rPr>
        <w:t xml:space="preserve"> </w:t>
      </w:r>
      <w:r w:rsidR="003444E4">
        <w:rPr>
          <w:rFonts w:ascii="Arial" w:hAnsi="Arial" w:cs="Arial"/>
          <w:sz w:val="24"/>
          <w:szCs w:val="24"/>
          <w:lang w:val="en-US"/>
        </w:rPr>
        <w:t xml:space="preserve">did not comply with the </w:t>
      </w:r>
      <w:r w:rsidR="000D3DAF">
        <w:rPr>
          <w:rFonts w:ascii="Arial" w:hAnsi="Arial" w:cs="Arial"/>
          <w:sz w:val="24"/>
          <w:szCs w:val="24"/>
          <w:lang w:val="en-US"/>
        </w:rPr>
        <w:t xml:space="preserve">provisions </w:t>
      </w:r>
      <w:r w:rsidR="009C4914">
        <w:rPr>
          <w:rFonts w:ascii="Arial" w:hAnsi="Arial" w:cs="Arial"/>
          <w:sz w:val="24"/>
          <w:szCs w:val="24"/>
          <w:lang w:val="en-US"/>
        </w:rPr>
        <w:t xml:space="preserve">of </w:t>
      </w:r>
      <w:r w:rsidR="003444E4">
        <w:rPr>
          <w:rFonts w:ascii="Arial" w:hAnsi="Arial" w:cs="Arial"/>
          <w:sz w:val="24"/>
          <w:szCs w:val="24"/>
          <w:lang w:val="en-US"/>
        </w:rPr>
        <w:t xml:space="preserve">sections </w:t>
      </w:r>
      <w:r w:rsidR="000F12C1">
        <w:rPr>
          <w:rFonts w:ascii="Arial" w:hAnsi="Arial" w:cs="Arial"/>
          <w:sz w:val="24"/>
          <w:szCs w:val="24"/>
          <w:lang w:val="en-US"/>
        </w:rPr>
        <w:t>3</w:t>
      </w:r>
      <w:r w:rsidR="009C4914">
        <w:rPr>
          <w:rFonts w:ascii="Arial" w:hAnsi="Arial" w:cs="Arial"/>
          <w:sz w:val="24"/>
          <w:szCs w:val="24"/>
          <w:lang w:val="en-US"/>
        </w:rPr>
        <w:t>(</w:t>
      </w:r>
      <w:r w:rsidR="000F12C1">
        <w:rPr>
          <w:rFonts w:ascii="Arial" w:hAnsi="Arial" w:cs="Arial"/>
          <w:sz w:val="24"/>
          <w:szCs w:val="24"/>
          <w:lang w:val="en-US"/>
        </w:rPr>
        <w:t>1</w:t>
      </w:r>
      <w:r w:rsidR="009C4914">
        <w:rPr>
          <w:rFonts w:ascii="Arial" w:hAnsi="Arial" w:cs="Arial"/>
          <w:sz w:val="24"/>
          <w:szCs w:val="24"/>
          <w:lang w:val="en-US"/>
        </w:rPr>
        <w:t>)</w:t>
      </w:r>
      <w:r w:rsidR="000F12C1">
        <w:rPr>
          <w:rFonts w:ascii="Arial" w:hAnsi="Arial" w:cs="Arial"/>
          <w:sz w:val="24"/>
          <w:szCs w:val="24"/>
          <w:lang w:val="en-US"/>
        </w:rPr>
        <w:t xml:space="preserve"> and 4</w:t>
      </w:r>
      <w:r w:rsidR="009C4914">
        <w:rPr>
          <w:rFonts w:ascii="Arial" w:hAnsi="Arial" w:cs="Arial"/>
          <w:sz w:val="24"/>
          <w:szCs w:val="24"/>
          <w:lang w:val="en-US"/>
        </w:rPr>
        <w:t>(</w:t>
      </w:r>
      <w:r>
        <w:rPr>
          <w:rFonts w:ascii="Arial" w:hAnsi="Arial" w:cs="Arial"/>
          <w:sz w:val="24"/>
          <w:szCs w:val="24"/>
          <w:lang w:val="en-US"/>
        </w:rPr>
        <w:t>1) read</w:t>
      </w:r>
      <w:r w:rsidR="000F12C1">
        <w:rPr>
          <w:rFonts w:ascii="Arial" w:hAnsi="Arial" w:cs="Arial"/>
          <w:sz w:val="24"/>
          <w:szCs w:val="24"/>
          <w:lang w:val="en-US"/>
        </w:rPr>
        <w:t xml:space="preserve"> with section</w:t>
      </w:r>
      <w:r w:rsidR="009C4914">
        <w:rPr>
          <w:rFonts w:ascii="Arial" w:hAnsi="Arial" w:cs="Arial"/>
          <w:sz w:val="24"/>
          <w:szCs w:val="24"/>
          <w:lang w:val="en-US"/>
        </w:rPr>
        <w:t>s</w:t>
      </w:r>
      <w:r w:rsidR="000F12C1">
        <w:rPr>
          <w:rFonts w:ascii="Arial" w:hAnsi="Arial" w:cs="Arial"/>
          <w:sz w:val="24"/>
          <w:szCs w:val="24"/>
          <w:lang w:val="en-US"/>
        </w:rPr>
        <w:t xml:space="preserve"> 4</w:t>
      </w:r>
      <w:r w:rsidR="009C4914">
        <w:rPr>
          <w:rFonts w:ascii="Arial" w:hAnsi="Arial" w:cs="Arial"/>
          <w:sz w:val="24"/>
          <w:szCs w:val="24"/>
          <w:lang w:val="en-US"/>
        </w:rPr>
        <w:t>(</w:t>
      </w:r>
      <w:r w:rsidR="000F12C1">
        <w:rPr>
          <w:rFonts w:ascii="Arial" w:hAnsi="Arial" w:cs="Arial"/>
          <w:sz w:val="24"/>
          <w:szCs w:val="24"/>
          <w:lang w:val="en-US"/>
        </w:rPr>
        <w:t>2</w:t>
      </w:r>
      <w:r w:rsidR="009C4914">
        <w:rPr>
          <w:rFonts w:ascii="Arial" w:hAnsi="Arial" w:cs="Arial"/>
          <w:sz w:val="24"/>
          <w:szCs w:val="24"/>
          <w:lang w:val="en-US"/>
        </w:rPr>
        <w:t>)</w:t>
      </w:r>
      <w:r w:rsidR="000F12C1">
        <w:rPr>
          <w:rFonts w:ascii="Arial" w:hAnsi="Arial" w:cs="Arial"/>
          <w:sz w:val="24"/>
          <w:szCs w:val="24"/>
          <w:lang w:val="en-US"/>
        </w:rPr>
        <w:t xml:space="preserve"> of</w:t>
      </w:r>
      <w:r w:rsidR="005F024C">
        <w:rPr>
          <w:rFonts w:ascii="Arial" w:hAnsi="Arial" w:cs="Arial"/>
          <w:sz w:val="24"/>
          <w:szCs w:val="24"/>
          <w:lang w:val="en-US"/>
        </w:rPr>
        <w:t xml:space="preserve"> the </w:t>
      </w:r>
      <w:r w:rsidR="003B17C0">
        <w:rPr>
          <w:rFonts w:ascii="Arial" w:hAnsi="Arial" w:cs="Arial"/>
          <w:sz w:val="24"/>
          <w:szCs w:val="24"/>
          <w:lang w:val="en-US"/>
        </w:rPr>
        <w:t>Institution Act. Th</w:t>
      </w:r>
      <w:r w:rsidR="009C4914">
        <w:rPr>
          <w:rFonts w:ascii="Arial" w:hAnsi="Arial" w:cs="Arial"/>
          <w:sz w:val="24"/>
          <w:szCs w:val="24"/>
          <w:lang w:val="en-US"/>
        </w:rPr>
        <w:t xml:space="preserve">ose </w:t>
      </w:r>
      <w:r>
        <w:rPr>
          <w:rFonts w:ascii="Arial" w:hAnsi="Arial" w:cs="Arial"/>
          <w:sz w:val="24"/>
          <w:szCs w:val="24"/>
          <w:lang w:val="en-US"/>
        </w:rPr>
        <w:t>letters,</w:t>
      </w:r>
      <w:r w:rsidR="009C4914">
        <w:rPr>
          <w:rFonts w:ascii="Arial" w:hAnsi="Arial" w:cs="Arial"/>
          <w:sz w:val="24"/>
          <w:szCs w:val="24"/>
          <w:lang w:val="en-US"/>
        </w:rPr>
        <w:t xml:space="preserve"> he </w:t>
      </w:r>
      <w:r>
        <w:rPr>
          <w:rFonts w:ascii="Arial" w:hAnsi="Arial" w:cs="Arial"/>
          <w:sz w:val="24"/>
          <w:szCs w:val="24"/>
          <w:lang w:val="en-US"/>
        </w:rPr>
        <w:t>averred, were</w:t>
      </w:r>
      <w:r w:rsidR="003B17C0">
        <w:rPr>
          <w:rFonts w:ascii="Arial" w:hAnsi="Arial" w:cs="Arial"/>
          <w:sz w:val="24"/>
          <w:szCs w:val="24"/>
          <w:lang w:val="en-US"/>
        </w:rPr>
        <w:t xml:space="preserve"> not addressed to the </w:t>
      </w:r>
      <w:r w:rsidR="009C4914">
        <w:rPr>
          <w:rFonts w:ascii="Arial" w:hAnsi="Arial" w:cs="Arial"/>
          <w:sz w:val="24"/>
          <w:szCs w:val="24"/>
          <w:lang w:val="en-US"/>
        </w:rPr>
        <w:t>m</w:t>
      </w:r>
      <w:r w:rsidR="008A257B">
        <w:rPr>
          <w:rFonts w:ascii="Arial" w:hAnsi="Arial" w:cs="Arial"/>
          <w:sz w:val="24"/>
          <w:szCs w:val="24"/>
          <w:lang w:val="en-US"/>
        </w:rPr>
        <w:t xml:space="preserve">unicipal </w:t>
      </w:r>
      <w:r w:rsidR="009C4914">
        <w:rPr>
          <w:rFonts w:ascii="Arial" w:hAnsi="Arial" w:cs="Arial"/>
          <w:sz w:val="24"/>
          <w:szCs w:val="24"/>
          <w:lang w:val="en-US"/>
        </w:rPr>
        <w:t>m</w:t>
      </w:r>
      <w:r w:rsidR="008A257B">
        <w:rPr>
          <w:rFonts w:ascii="Arial" w:hAnsi="Arial" w:cs="Arial"/>
          <w:sz w:val="24"/>
          <w:szCs w:val="24"/>
          <w:lang w:val="en-US"/>
        </w:rPr>
        <w:t xml:space="preserve">anager as contemplated </w:t>
      </w:r>
      <w:r w:rsidR="00CA623B">
        <w:rPr>
          <w:rFonts w:ascii="Arial" w:hAnsi="Arial" w:cs="Arial"/>
          <w:sz w:val="24"/>
          <w:szCs w:val="24"/>
          <w:lang w:val="en-US"/>
        </w:rPr>
        <w:t xml:space="preserve">in the </w:t>
      </w:r>
      <w:r w:rsidR="009C4914">
        <w:rPr>
          <w:rFonts w:ascii="Arial" w:hAnsi="Arial" w:cs="Arial"/>
          <w:sz w:val="24"/>
          <w:szCs w:val="24"/>
          <w:lang w:val="en-US"/>
        </w:rPr>
        <w:t xml:space="preserve">Institution </w:t>
      </w:r>
      <w:r w:rsidR="00CA623B">
        <w:rPr>
          <w:rFonts w:ascii="Arial" w:hAnsi="Arial" w:cs="Arial"/>
          <w:sz w:val="24"/>
          <w:szCs w:val="24"/>
          <w:lang w:val="en-US"/>
        </w:rPr>
        <w:t xml:space="preserve">Act. </w:t>
      </w:r>
    </w:p>
    <w:p w14:paraId="1F1732B7" w14:textId="4696E489" w:rsidR="006571D8" w:rsidRDefault="00C00DD9" w:rsidP="00B2491B">
      <w:pPr>
        <w:spacing w:line="480" w:lineRule="auto"/>
        <w:ind w:left="1418" w:hanging="851"/>
        <w:jc w:val="both"/>
        <w:rPr>
          <w:rFonts w:ascii="Arial" w:hAnsi="Arial" w:cs="Arial"/>
          <w:sz w:val="24"/>
          <w:szCs w:val="24"/>
          <w:lang w:val="en-US"/>
        </w:rPr>
      </w:pPr>
      <w:r>
        <w:rPr>
          <w:rFonts w:ascii="Arial" w:hAnsi="Arial" w:cs="Arial"/>
          <w:sz w:val="24"/>
          <w:szCs w:val="24"/>
          <w:lang w:val="en-US"/>
        </w:rPr>
        <w:t>(</w:t>
      </w:r>
      <w:r w:rsidR="001D2584">
        <w:rPr>
          <w:rFonts w:ascii="Arial" w:hAnsi="Arial" w:cs="Arial"/>
          <w:sz w:val="24"/>
          <w:szCs w:val="24"/>
          <w:lang w:val="en-US"/>
        </w:rPr>
        <w:t>e</w:t>
      </w:r>
      <w:r>
        <w:rPr>
          <w:rFonts w:ascii="Arial" w:hAnsi="Arial" w:cs="Arial"/>
          <w:sz w:val="24"/>
          <w:szCs w:val="24"/>
          <w:lang w:val="en-US"/>
        </w:rPr>
        <w:t xml:space="preserve">) </w:t>
      </w:r>
      <w:r w:rsidR="00ED2E12">
        <w:rPr>
          <w:rFonts w:ascii="Arial" w:hAnsi="Arial" w:cs="Arial"/>
          <w:sz w:val="24"/>
          <w:szCs w:val="24"/>
          <w:lang w:val="en-US"/>
        </w:rPr>
        <w:t xml:space="preserve">  </w:t>
      </w:r>
      <w:r w:rsidR="00CA623B">
        <w:rPr>
          <w:rFonts w:ascii="Arial" w:hAnsi="Arial" w:cs="Arial"/>
          <w:sz w:val="24"/>
          <w:szCs w:val="24"/>
          <w:lang w:val="en-US"/>
        </w:rPr>
        <w:t xml:space="preserve">The </w:t>
      </w:r>
      <w:r w:rsidR="007358BC">
        <w:rPr>
          <w:rFonts w:ascii="Arial" w:hAnsi="Arial" w:cs="Arial"/>
          <w:sz w:val="24"/>
          <w:szCs w:val="24"/>
          <w:lang w:val="en-US"/>
        </w:rPr>
        <w:t xml:space="preserve">plaintiff’s attempt to </w:t>
      </w:r>
      <w:r w:rsidR="008543FE">
        <w:rPr>
          <w:rFonts w:ascii="Arial" w:hAnsi="Arial" w:cs="Arial"/>
          <w:sz w:val="24"/>
          <w:szCs w:val="24"/>
          <w:lang w:val="en-US"/>
        </w:rPr>
        <w:t xml:space="preserve">seek condonation </w:t>
      </w:r>
      <w:r w:rsidR="009D696E">
        <w:rPr>
          <w:rFonts w:ascii="Arial" w:hAnsi="Arial" w:cs="Arial"/>
          <w:sz w:val="24"/>
          <w:szCs w:val="24"/>
          <w:lang w:val="en-US"/>
        </w:rPr>
        <w:t xml:space="preserve">for its non-compliance </w:t>
      </w:r>
      <w:r w:rsidR="00DD5CC1">
        <w:rPr>
          <w:rFonts w:ascii="Arial" w:hAnsi="Arial" w:cs="Arial"/>
          <w:sz w:val="24"/>
          <w:szCs w:val="24"/>
          <w:lang w:val="en-US"/>
        </w:rPr>
        <w:t xml:space="preserve">with the provisions </w:t>
      </w:r>
      <w:r w:rsidR="004D4236">
        <w:rPr>
          <w:rFonts w:ascii="Arial" w:hAnsi="Arial" w:cs="Arial"/>
          <w:sz w:val="24"/>
          <w:szCs w:val="24"/>
          <w:lang w:val="en-US"/>
        </w:rPr>
        <w:t>of section</w:t>
      </w:r>
      <w:r w:rsidR="009C4914">
        <w:rPr>
          <w:rFonts w:ascii="Arial" w:hAnsi="Arial" w:cs="Arial"/>
          <w:sz w:val="24"/>
          <w:szCs w:val="24"/>
          <w:lang w:val="en-US"/>
        </w:rPr>
        <w:t>s</w:t>
      </w:r>
      <w:r w:rsidR="004D4236">
        <w:rPr>
          <w:rFonts w:ascii="Arial" w:hAnsi="Arial" w:cs="Arial"/>
          <w:sz w:val="24"/>
          <w:szCs w:val="24"/>
          <w:lang w:val="en-US"/>
        </w:rPr>
        <w:t xml:space="preserve"> 3 and 4</w:t>
      </w:r>
      <w:r w:rsidR="00C87D00">
        <w:rPr>
          <w:rFonts w:ascii="Arial" w:hAnsi="Arial" w:cs="Arial"/>
          <w:sz w:val="24"/>
          <w:szCs w:val="24"/>
          <w:lang w:val="en-US"/>
        </w:rPr>
        <w:t xml:space="preserve"> </w:t>
      </w:r>
      <w:r w:rsidR="009C4914">
        <w:rPr>
          <w:rFonts w:ascii="Arial" w:hAnsi="Arial" w:cs="Arial"/>
          <w:sz w:val="24"/>
          <w:szCs w:val="24"/>
          <w:lang w:val="en-US"/>
        </w:rPr>
        <w:t xml:space="preserve">of the Institution Act </w:t>
      </w:r>
      <w:r w:rsidR="00C87D00">
        <w:rPr>
          <w:rFonts w:ascii="Arial" w:hAnsi="Arial" w:cs="Arial"/>
          <w:sz w:val="24"/>
          <w:szCs w:val="24"/>
          <w:lang w:val="en-US"/>
        </w:rPr>
        <w:t xml:space="preserve">in the affidavit for summary </w:t>
      </w:r>
      <w:r w:rsidR="00B2491B">
        <w:rPr>
          <w:rFonts w:ascii="Arial" w:hAnsi="Arial" w:cs="Arial"/>
          <w:sz w:val="24"/>
          <w:szCs w:val="24"/>
          <w:lang w:val="en-US"/>
        </w:rPr>
        <w:t>judgment, is</w:t>
      </w:r>
      <w:r w:rsidR="002C15D4">
        <w:rPr>
          <w:rFonts w:ascii="Arial" w:hAnsi="Arial" w:cs="Arial"/>
          <w:sz w:val="24"/>
          <w:szCs w:val="24"/>
          <w:lang w:val="en-US"/>
        </w:rPr>
        <w:t xml:space="preserve"> impermissible</w:t>
      </w:r>
      <w:r w:rsidR="006571D8">
        <w:rPr>
          <w:rFonts w:ascii="Arial" w:hAnsi="Arial" w:cs="Arial"/>
          <w:sz w:val="24"/>
          <w:szCs w:val="24"/>
          <w:lang w:val="en-US"/>
        </w:rPr>
        <w:t>.</w:t>
      </w:r>
    </w:p>
    <w:p w14:paraId="36C5EBB8" w14:textId="444F28EE" w:rsidR="00980B67" w:rsidRDefault="00C00DD9" w:rsidP="00B2491B">
      <w:pPr>
        <w:spacing w:line="480" w:lineRule="auto"/>
        <w:ind w:left="1418" w:hanging="851"/>
        <w:jc w:val="both"/>
        <w:rPr>
          <w:rFonts w:ascii="Arial" w:hAnsi="Arial" w:cs="Arial"/>
          <w:sz w:val="24"/>
          <w:szCs w:val="24"/>
          <w:lang w:val="en-US"/>
        </w:rPr>
      </w:pPr>
      <w:r>
        <w:rPr>
          <w:rFonts w:ascii="Arial" w:hAnsi="Arial" w:cs="Arial"/>
          <w:sz w:val="24"/>
          <w:szCs w:val="24"/>
          <w:lang w:val="en-US"/>
        </w:rPr>
        <w:t>(</w:t>
      </w:r>
      <w:r w:rsidR="001D2584">
        <w:rPr>
          <w:rFonts w:ascii="Arial" w:hAnsi="Arial" w:cs="Arial"/>
          <w:sz w:val="24"/>
          <w:szCs w:val="24"/>
          <w:lang w:val="en-US"/>
        </w:rPr>
        <w:t>f</w:t>
      </w:r>
      <w:r>
        <w:rPr>
          <w:rFonts w:ascii="Arial" w:hAnsi="Arial" w:cs="Arial"/>
          <w:sz w:val="24"/>
          <w:szCs w:val="24"/>
          <w:lang w:val="en-US"/>
        </w:rPr>
        <w:t xml:space="preserve">) </w:t>
      </w:r>
      <w:r w:rsidR="00ED2E12">
        <w:rPr>
          <w:rFonts w:ascii="Arial" w:hAnsi="Arial" w:cs="Arial"/>
          <w:sz w:val="24"/>
          <w:szCs w:val="24"/>
          <w:lang w:val="en-US"/>
        </w:rPr>
        <w:t xml:space="preserve">    </w:t>
      </w:r>
      <w:r w:rsidR="00B2491B">
        <w:rPr>
          <w:rFonts w:ascii="Arial" w:hAnsi="Arial" w:cs="Arial"/>
          <w:sz w:val="24"/>
          <w:szCs w:val="24"/>
          <w:lang w:val="en-US"/>
        </w:rPr>
        <w:tab/>
        <w:t>Plaintiff, in</w:t>
      </w:r>
      <w:r w:rsidR="003A54AB">
        <w:rPr>
          <w:rFonts w:ascii="Arial" w:hAnsi="Arial" w:cs="Arial"/>
          <w:sz w:val="24"/>
          <w:szCs w:val="24"/>
          <w:lang w:val="en-US"/>
        </w:rPr>
        <w:t xml:space="preserve"> its particulars of </w:t>
      </w:r>
      <w:r w:rsidR="00B2491B">
        <w:rPr>
          <w:rFonts w:ascii="Arial" w:hAnsi="Arial" w:cs="Arial"/>
          <w:sz w:val="24"/>
          <w:szCs w:val="24"/>
          <w:lang w:val="en-US"/>
        </w:rPr>
        <w:t>claim,</w:t>
      </w:r>
      <w:r w:rsidR="009C4914">
        <w:rPr>
          <w:rFonts w:ascii="Arial" w:hAnsi="Arial" w:cs="Arial"/>
          <w:sz w:val="24"/>
          <w:szCs w:val="24"/>
          <w:lang w:val="en-US"/>
        </w:rPr>
        <w:t xml:space="preserve"> </w:t>
      </w:r>
      <w:r w:rsidR="00C63F83">
        <w:rPr>
          <w:rFonts w:ascii="Arial" w:hAnsi="Arial" w:cs="Arial"/>
          <w:sz w:val="24"/>
          <w:szCs w:val="24"/>
          <w:lang w:val="en-US"/>
        </w:rPr>
        <w:t xml:space="preserve">failed to </w:t>
      </w:r>
      <w:r w:rsidR="009C4914">
        <w:rPr>
          <w:rFonts w:ascii="Arial" w:hAnsi="Arial" w:cs="Arial"/>
          <w:sz w:val="24"/>
          <w:szCs w:val="24"/>
          <w:lang w:val="en-US"/>
        </w:rPr>
        <w:t xml:space="preserve">give </w:t>
      </w:r>
      <w:r w:rsidR="00ED2E12">
        <w:rPr>
          <w:rFonts w:ascii="Arial" w:hAnsi="Arial" w:cs="Arial"/>
          <w:sz w:val="24"/>
          <w:szCs w:val="24"/>
          <w:lang w:val="en-US"/>
        </w:rPr>
        <w:t xml:space="preserve">the </w:t>
      </w:r>
      <w:r w:rsidR="00905536">
        <w:rPr>
          <w:rFonts w:ascii="Arial" w:hAnsi="Arial" w:cs="Arial"/>
          <w:sz w:val="24"/>
          <w:szCs w:val="24"/>
          <w:lang w:val="en-US"/>
        </w:rPr>
        <w:t>exact dates</w:t>
      </w:r>
      <w:r w:rsidR="009C4914">
        <w:rPr>
          <w:rFonts w:ascii="Arial" w:hAnsi="Arial" w:cs="Arial"/>
          <w:sz w:val="24"/>
          <w:szCs w:val="24"/>
          <w:lang w:val="en-US"/>
        </w:rPr>
        <w:t xml:space="preserve"> and months when rentals were not paid. </w:t>
      </w:r>
      <w:r w:rsidR="000020DD">
        <w:rPr>
          <w:rFonts w:ascii="Arial" w:hAnsi="Arial" w:cs="Arial"/>
          <w:sz w:val="24"/>
          <w:szCs w:val="24"/>
          <w:lang w:val="en-US"/>
        </w:rPr>
        <w:t xml:space="preserve"> </w:t>
      </w:r>
      <w:r w:rsidR="009C4914">
        <w:rPr>
          <w:rFonts w:ascii="Arial" w:hAnsi="Arial" w:cs="Arial"/>
          <w:sz w:val="24"/>
          <w:szCs w:val="24"/>
          <w:lang w:val="en-US"/>
        </w:rPr>
        <w:t>P</w:t>
      </w:r>
      <w:r w:rsidR="000020DD">
        <w:rPr>
          <w:rFonts w:ascii="Arial" w:hAnsi="Arial" w:cs="Arial"/>
          <w:sz w:val="24"/>
          <w:szCs w:val="24"/>
          <w:lang w:val="en-US"/>
        </w:rPr>
        <w:t xml:space="preserve">laintiff </w:t>
      </w:r>
      <w:r w:rsidR="009C4914">
        <w:rPr>
          <w:rFonts w:ascii="Arial" w:hAnsi="Arial" w:cs="Arial"/>
          <w:sz w:val="24"/>
          <w:szCs w:val="24"/>
          <w:lang w:val="en-US"/>
        </w:rPr>
        <w:t xml:space="preserve">failed </w:t>
      </w:r>
      <w:r w:rsidR="000020DD">
        <w:rPr>
          <w:rFonts w:ascii="Arial" w:hAnsi="Arial" w:cs="Arial"/>
          <w:sz w:val="24"/>
          <w:szCs w:val="24"/>
          <w:lang w:val="en-US"/>
        </w:rPr>
        <w:t>t</w:t>
      </w:r>
      <w:r w:rsidR="009C4914">
        <w:rPr>
          <w:rFonts w:ascii="Arial" w:hAnsi="Arial" w:cs="Arial"/>
          <w:sz w:val="24"/>
          <w:szCs w:val="24"/>
          <w:lang w:val="en-US"/>
        </w:rPr>
        <w:t xml:space="preserve">o indicate precisely when </w:t>
      </w:r>
      <w:r w:rsidR="000020DD">
        <w:rPr>
          <w:rFonts w:ascii="Arial" w:hAnsi="Arial" w:cs="Arial"/>
          <w:sz w:val="24"/>
          <w:szCs w:val="24"/>
          <w:lang w:val="en-US"/>
        </w:rPr>
        <w:t>any debt became</w:t>
      </w:r>
      <w:r w:rsidR="00A92359">
        <w:rPr>
          <w:rFonts w:ascii="Arial" w:hAnsi="Arial" w:cs="Arial"/>
          <w:sz w:val="24"/>
          <w:szCs w:val="24"/>
          <w:lang w:val="en-US"/>
        </w:rPr>
        <w:t xml:space="preserve"> due and payable. </w:t>
      </w:r>
      <w:r w:rsidR="00ED2E12">
        <w:rPr>
          <w:rFonts w:ascii="Arial" w:hAnsi="Arial" w:cs="Arial"/>
          <w:sz w:val="24"/>
          <w:szCs w:val="24"/>
          <w:lang w:val="en-US"/>
        </w:rPr>
        <w:t xml:space="preserve">It </w:t>
      </w:r>
      <w:r w:rsidR="00A92359">
        <w:rPr>
          <w:rFonts w:ascii="Arial" w:hAnsi="Arial" w:cs="Arial"/>
          <w:sz w:val="24"/>
          <w:szCs w:val="24"/>
          <w:lang w:val="en-US"/>
        </w:rPr>
        <w:t>also</w:t>
      </w:r>
      <w:r w:rsidR="00810494">
        <w:rPr>
          <w:rFonts w:ascii="Arial" w:hAnsi="Arial" w:cs="Arial"/>
          <w:sz w:val="24"/>
          <w:szCs w:val="24"/>
          <w:lang w:val="en-US"/>
        </w:rPr>
        <w:t xml:space="preserve"> made reference to further invoices </w:t>
      </w:r>
      <w:r w:rsidR="00672BF3">
        <w:rPr>
          <w:rFonts w:ascii="Arial" w:hAnsi="Arial" w:cs="Arial"/>
          <w:sz w:val="24"/>
          <w:szCs w:val="24"/>
          <w:lang w:val="en-US"/>
        </w:rPr>
        <w:t>issued b</w:t>
      </w:r>
      <w:r w:rsidR="009C4914">
        <w:rPr>
          <w:rFonts w:ascii="Arial" w:hAnsi="Arial" w:cs="Arial"/>
          <w:sz w:val="24"/>
          <w:szCs w:val="24"/>
          <w:lang w:val="en-US"/>
        </w:rPr>
        <w:t>ut</w:t>
      </w:r>
      <w:r w:rsidR="00672BF3">
        <w:rPr>
          <w:rFonts w:ascii="Arial" w:hAnsi="Arial" w:cs="Arial"/>
          <w:sz w:val="24"/>
          <w:szCs w:val="24"/>
          <w:lang w:val="en-US"/>
        </w:rPr>
        <w:t xml:space="preserve"> failed to state which invoice</w:t>
      </w:r>
      <w:r w:rsidR="00304DAA">
        <w:rPr>
          <w:rFonts w:ascii="Arial" w:hAnsi="Arial" w:cs="Arial"/>
          <w:sz w:val="24"/>
          <w:szCs w:val="24"/>
          <w:lang w:val="en-US"/>
        </w:rPr>
        <w:t xml:space="preserve">s were </w:t>
      </w:r>
      <w:r w:rsidR="009C4914">
        <w:rPr>
          <w:rFonts w:ascii="Arial" w:hAnsi="Arial" w:cs="Arial"/>
          <w:sz w:val="24"/>
          <w:szCs w:val="24"/>
          <w:lang w:val="en-US"/>
        </w:rPr>
        <w:t xml:space="preserve">not paid and in respect of </w:t>
      </w:r>
      <w:r w:rsidR="00304DAA">
        <w:rPr>
          <w:rFonts w:ascii="Arial" w:hAnsi="Arial" w:cs="Arial"/>
          <w:sz w:val="24"/>
          <w:szCs w:val="24"/>
          <w:lang w:val="en-US"/>
        </w:rPr>
        <w:t xml:space="preserve">which </w:t>
      </w:r>
      <w:r w:rsidR="00840AFB">
        <w:rPr>
          <w:rFonts w:ascii="Arial" w:hAnsi="Arial" w:cs="Arial"/>
          <w:sz w:val="24"/>
          <w:szCs w:val="24"/>
          <w:lang w:val="en-US"/>
        </w:rPr>
        <w:t>months those invoices related</w:t>
      </w:r>
      <w:r w:rsidR="00B86BDE">
        <w:rPr>
          <w:rFonts w:ascii="Arial" w:hAnsi="Arial" w:cs="Arial"/>
          <w:sz w:val="24"/>
          <w:szCs w:val="24"/>
          <w:lang w:val="en-US"/>
        </w:rPr>
        <w:t xml:space="preserve"> to</w:t>
      </w:r>
      <w:r>
        <w:rPr>
          <w:rFonts w:ascii="Arial" w:hAnsi="Arial" w:cs="Arial"/>
          <w:sz w:val="24"/>
          <w:szCs w:val="24"/>
          <w:lang w:val="en-US"/>
        </w:rPr>
        <w:t xml:space="preserve"> </w:t>
      </w:r>
      <w:r w:rsidR="00B86BDE">
        <w:rPr>
          <w:rFonts w:ascii="Arial" w:hAnsi="Arial" w:cs="Arial"/>
          <w:sz w:val="24"/>
          <w:szCs w:val="24"/>
          <w:lang w:val="en-US"/>
        </w:rPr>
        <w:t>and</w:t>
      </w:r>
      <w:r w:rsidR="00B2491B">
        <w:rPr>
          <w:rFonts w:ascii="Arial" w:hAnsi="Arial" w:cs="Arial"/>
          <w:sz w:val="24"/>
          <w:szCs w:val="24"/>
          <w:lang w:val="en-US"/>
        </w:rPr>
        <w:t>/ or</w:t>
      </w:r>
      <w:r w:rsidR="009C4914">
        <w:rPr>
          <w:rFonts w:ascii="Arial" w:hAnsi="Arial" w:cs="Arial"/>
          <w:sz w:val="24"/>
          <w:szCs w:val="24"/>
          <w:lang w:val="en-US"/>
        </w:rPr>
        <w:t xml:space="preserve"> </w:t>
      </w:r>
      <w:r w:rsidR="00B86BDE">
        <w:rPr>
          <w:rFonts w:ascii="Arial" w:hAnsi="Arial" w:cs="Arial"/>
          <w:sz w:val="24"/>
          <w:szCs w:val="24"/>
          <w:lang w:val="en-US"/>
        </w:rPr>
        <w:t>which rentals</w:t>
      </w:r>
      <w:r w:rsidR="00F46721">
        <w:rPr>
          <w:rFonts w:ascii="Arial" w:hAnsi="Arial" w:cs="Arial"/>
          <w:sz w:val="24"/>
          <w:szCs w:val="24"/>
          <w:lang w:val="en-US"/>
        </w:rPr>
        <w:t xml:space="preserve"> </w:t>
      </w:r>
      <w:r w:rsidR="00763C7F">
        <w:rPr>
          <w:rFonts w:ascii="Arial" w:hAnsi="Arial" w:cs="Arial"/>
          <w:sz w:val="24"/>
          <w:szCs w:val="24"/>
          <w:lang w:val="en-US"/>
        </w:rPr>
        <w:t xml:space="preserve">were outstanding in respect of which </w:t>
      </w:r>
      <w:r w:rsidR="004A708A">
        <w:rPr>
          <w:rFonts w:ascii="Arial" w:hAnsi="Arial" w:cs="Arial"/>
          <w:sz w:val="24"/>
          <w:szCs w:val="24"/>
          <w:lang w:val="en-US"/>
        </w:rPr>
        <w:t>months.</w:t>
      </w:r>
    </w:p>
    <w:p w14:paraId="55BFA37E" w14:textId="03DD2909" w:rsidR="00C00DD9" w:rsidRDefault="00C00DD9" w:rsidP="00B2491B">
      <w:pPr>
        <w:spacing w:line="480" w:lineRule="auto"/>
        <w:ind w:left="1418" w:hanging="851"/>
        <w:jc w:val="both"/>
        <w:rPr>
          <w:rFonts w:ascii="Arial" w:hAnsi="Arial" w:cs="Arial"/>
          <w:sz w:val="24"/>
          <w:szCs w:val="24"/>
          <w:lang w:val="en-US"/>
        </w:rPr>
      </w:pPr>
      <w:r>
        <w:rPr>
          <w:rFonts w:ascii="Arial" w:hAnsi="Arial" w:cs="Arial"/>
          <w:sz w:val="24"/>
          <w:szCs w:val="24"/>
          <w:lang w:val="en-US"/>
        </w:rPr>
        <w:t>(</w:t>
      </w:r>
      <w:r w:rsidR="001D2584">
        <w:rPr>
          <w:rFonts w:ascii="Arial" w:hAnsi="Arial" w:cs="Arial"/>
          <w:sz w:val="24"/>
          <w:szCs w:val="24"/>
          <w:lang w:val="en-US"/>
        </w:rPr>
        <w:t>g</w:t>
      </w:r>
      <w:r>
        <w:rPr>
          <w:rFonts w:ascii="Arial" w:hAnsi="Arial" w:cs="Arial"/>
          <w:sz w:val="24"/>
          <w:szCs w:val="24"/>
          <w:lang w:val="en-US"/>
        </w:rPr>
        <w:t xml:space="preserve">)  </w:t>
      </w:r>
      <w:r w:rsidR="00340BC6">
        <w:rPr>
          <w:rFonts w:ascii="Arial" w:hAnsi="Arial" w:cs="Arial"/>
          <w:sz w:val="24"/>
          <w:szCs w:val="24"/>
          <w:lang w:val="en-US"/>
        </w:rPr>
        <w:t xml:space="preserve"> </w:t>
      </w:r>
      <w:r w:rsidR="001D2584">
        <w:rPr>
          <w:rFonts w:ascii="Arial" w:hAnsi="Arial" w:cs="Arial"/>
          <w:sz w:val="24"/>
          <w:szCs w:val="24"/>
          <w:lang w:val="en-US"/>
        </w:rPr>
        <w:t xml:space="preserve">   </w:t>
      </w:r>
      <w:r w:rsidR="004C029A">
        <w:rPr>
          <w:rFonts w:ascii="Arial" w:hAnsi="Arial" w:cs="Arial"/>
          <w:sz w:val="24"/>
          <w:szCs w:val="24"/>
          <w:lang w:val="en-US"/>
        </w:rPr>
        <w:t>The municipal manager</w:t>
      </w:r>
      <w:r w:rsidR="001D2584">
        <w:rPr>
          <w:rFonts w:ascii="Arial" w:hAnsi="Arial" w:cs="Arial"/>
          <w:sz w:val="24"/>
          <w:szCs w:val="24"/>
          <w:lang w:val="en-US"/>
        </w:rPr>
        <w:t xml:space="preserve"> submitted that </w:t>
      </w:r>
      <w:r w:rsidR="009A77EE">
        <w:rPr>
          <w:rFonts w:ascii="Arial" w:hAnsi="Arial" w:cs="Arial"/>
          <w:sz w:val="24"/>
          <w:szCs w:val="24"/>
          <w:lang w:val="en-US"/>
        </w:rPr>
        <w:t xml:space="preserve">the defendant’s defence to the claim is </w:t>
      </w:r>
      <w:r w:rsidR="00EA2A54">
        <w:rPr>
          <w:rFonts w:ascii="Arial" w:hAnsi="Arial" w:cs="Arial"/>
          <w:i/>
          <w:iCs/>
          <w:sz w:val="24"/>
          <w:szCs w:val="24"/>
          <w:lang w:val="en-US"/>
        </w:rPr>
        <w:t>bona fide</w:t>
      </w:r>
      <w:r w:rsidR="00B15E5F">
        <w:rPr>
          <w:rFonts w:ascii="Arial" w:hAnsi="Arial" w:cs="Arial"/>
          <w:sz w:val="24"/>
          <w:szCs w:val="24"/>
          <w:lang w:val="en-US"/>
        </w:rPr>
        <w:t xml:space="preserve">. </w:t>
      </w:r>
      <w:r w:rsidR="002268F7">
        <w:rPr>
          <w:rFonts w:ascii="Arial" w:hAnsi="Arial" w:cs="Arial"/>
          <w:sz w:val="24"/>
          <w:szCs w:val="24"/>
          <w:lang w:val="en-US"/>
        </w:rPr>
        <w:t xml:space="preserve">The defendant </w:t>
      </w:r>
      <w:r w:rsidR="004E310A">
        <w:rPr>
          <w:rFonts w:ascii="Arial" w:hAnsi="Arial" w:cs="Arial"/>
          <w:sz w:val="24"/>
          <w:szCs w:val="24"/>
          <w:lang w:val="en-US"/>
        </w:rPr>
        <w:t>relied on</w:t>
      </w:r>
      <w:r w:rsidR="00D20DC5">
        <w:rPr>
          <w:rFonts w:ascii="Arial" w:hAnsi="Arial" w:cs="Arial"/>
          <w:sz w:val="24"/>
          <w:szCs w:val="24"/>
          <w:lang w:val="en-US"/>
        </w:rPr>
        <w:t xml:space="preserve"> certain invoices and a reconciliation of utilities from July 2020 to March 2022 as annexures </w:t>
      </w:r>
      <w:r w:rsidR="00B2491B">
        <w:rPr>
          <w:rFonts w:ascii="Arial" w:hAnsi="Arial" w:cs="Arial"/>
          <w:sz w:val="24"/>
          <w:szCs w:val="24"/>
          <w:lang w:val="en-US"/>
        </w:rPr>
        <w:t>“MM</w:t>
      </w:r>
      <w:r w:rsidR="00D20DC5">
        <w:rPr>
          <w:rFonts w:ascii="Arial" w:hAnsi="Arial" w:cs="Arial"/>
          <w:sz w:val="24"/>
          <w:szCs w:val="24"/>
          <w:lang w:val="en-US"/>
        </w:rPr>
        <w:t xml:space="preserve">1” to </w:t>
      </w:r>
      <w:r w:rsidR="002268F7">
        <w:rPr>
          <w:rFonts w:ascii="Arial" w:hAnsi="Arial" w:cs="Arial"/>
          <w:sz w:val="24"/>
          <w:szCs w:val="24"/>
          <w:lang w:val="en-US"/>
        </w:rPr>
        <w:t>“MM3”.</w:t>
      </w:r>
      <w:r w:rsidR="001D2584">
        <w:rPr>
          <w:rFonts w:ascii="Arial" w:hAnsi="Arial" w:cs="Arial"/>
          <w:sz w:val="24"/>
          <w:szCs w:val="24"/>
          <w:lang w:val="en-US"/>
        </w:rPr>
        <w:t xml:space="preserve"> </w:t>
      </w:r>
    </w:p>
    <w:p w14:paraId="769B67DE" w14:textId="2908E277" w:rsidR="00BE5E18" w:rsidRDefault="005F0F41" w:rsidP="00B2491B">
      <w:pPr>
        <w:spacing w:line="480" w:lineRule="auto"/>
        <w:ind w:left="1418" w:hanging="851"/>
        <w:jc w:val="both"/>
        <w:rPr>
          <w:rFonts w:ascii="Arial" w:hAnsi="Arial" w:cs="Arial"/>
          <w:sz w:val="24"/>
          <w:szCs w:val="24"/>
          <w:lang w:val="en-US"/>
        </w:rPr>
      </w:pPr>
      <w:r>
        <w:rPr>
          <w:rFonts w:ascii="Arial" w:hAnsi="Arial" w:cs="Arial"/>
          <w:sz w:val="24"/>
          <w:szCs w:val="24"/>
          <w:lang w:val="en-US"/>
        </w:rPr>
        <w:lastRenderedPageBreak/>
        <w:t xml:space="preserve">(h)      The plaintiff invoked the provisions of clause 4.2 of the lease agreement for the first time in the summary application whereas that clause is not pleaded in its particulars of claim. </w:t>
      </w:r>
    </w:p>
    <w:p w14:paraId="2A69185C" w14:textId="3433EBB1" w:rsidR="00761424" w:rsidRPr="00DF4C22" w:rsidRDefault="00081D5A" w:rsidP="00202421">
      <w:pPr>
        <w:spacing w:line="480" w:lineRule="auto"/>
        <w:ind w:left="720" w:hanging="720"/>
        <w:jc w:val="both"/>
        <w:rPr>
          <w:rFonts w:ascii="Arial" w:hAnsi="Arial" w:cs="Arial"/>
          <w:i/>
          <w:iCs/>
          <w:sz w:val="24"/>
          <w:szCs w:val="24"/>
          <w:lang w:val="en-US"/>
        </w:rPr>
      </w:pPr>
      <w:r>
        <w:rPr>
          <w:rFonts w:ascii="Arial" w:hAnsi="Arial" w:cs="Arial"/>
          <w:i/>
          <w:iCs/>
          <w:sz w:val="24"/>
          <w:szCs w:val="24"/>
          <w:lang w:val="en-US"/>
        </w:rPr>
        <w:t>Plaintiff’s l</w:t>
      </w:r>
      <w:r w:rsidR="00DF4C22" w:rsidRPr="00DF4C22">
        <w:rPr>
          <w:rFonts w:ascii="Arial" w:hAnsi="Arial" w:cs="Arial"/>
          <w:i/>
          <w:iCs/>
          <w:sz w:val="24"/>
          <w:szCs w:val="24"/>
          <w:lang w:val="en-US"/>
        </w:rPr>
        <w:t xml:space="preserve">egal submissions </w:t>
      </w:r>
    </w:p>
    <w:p w14:paraId="32E72E60" w14:textId="4F77C5A1" w:rsidR="00761424" w:rsidRDefault="00761424" w:rsidP="00202421">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8D20FD">
        <w:rPr>
          <w:rFonts w:ascii="Arial" w:hAnsi="Arial" w:cs="Arial"/>
          <w:sz w:val="24"/>
          <w:szCs w:val="24"/>
          <w:lang w:val="en-US"/>
        </w:rPr>
        <w:t>1</w:t>
      </w:r>
      <w:r w:rsidR="00A66A01">
        <w:rPr>
          <w:rFonts w:ascii="Arial" w:hAnsi="Arial" w:cs="Arial"/>
          <w:sz w:val="24"/>
          <w:szCs w:val="24"/>
          <w:lang w:val="en-US"/>
        </w:rPr>
        <w:t>9</w:t>
      </w:r>
      <w:r>
        <w:rPr>
          <w:rFonts w:ascii="Arial" w:hAnsi="Arial" w:cs="Arial"/>
          <w:sz w:val="24"/>
          <w:szCs w:val="24"/>
          <w:lang w:val="en-US"/>
        </w:rPr>
        <w:t xml:space="preserve">] </w:t>
      </w:r>
      <w:r w:rsidR="00B2491B">
        <w:rPr>
          <w:rFonts w:ascii="Arial" w:hAnsi="Arial" w:cs="Arial"/>
          <w:sz w:val="24"/>
          <w:szCs w:val="24"/>
          <w:lang w:val="en-US"/>
        </w:rPr>
        <w:tab/>
      </w:r>
      <w:r w:rsidRPr="0039738C">
        <w:rPr>
          <w:rFonts w:ascii="Arial" w:hAnsi="Arial" w:cs="Arial"/>
          <w:color w:val="000000" w:themeColor="text1"/>
          <w:sz w:val="24"/>
          <w:szCs w:val="24"/>
          <w:lang w:val="en-US"/>
        </w:rPr>
        <w:t>Mr</w:t>
      </w:r>
      <w:r w:rsidR="00081D5A" w:rsidRPr="0039738C">
        <w:rPr>
          <w:rFonts w:ascii="Arial" w:hAnsi="Arial" w:cs="Arial"/>
          <w:color w:val="000000" w:themeColor="text1"/>
          <w:sz w:val="24"/>
          <w:szCs w:val="24"/>
          <w:lang w:val="en-US"/>
        </w:rPr>
        <w:t xml:space="preserve"> Pretorius </w:t>
      </w:r>
      <w:r>
        <w:rPr>
          <w:rFonts w:ascii="Arial" w:hAnsi="Arial" w:cs="Arial"/>
          <w:sz w:val="24"/>
          <w:szCs w:val="24"/>
          <w:lang w:val="en-US"/>
        </w:rPr>
        <w:t xml:space="preserve">appeared for the plaintiff and </w:t>
      </w:r>
      <w:r w:rsidRPr="0039738C">
        <w:rPr>
          <w:rFonts w:ascii="Arial" w:hAnsi="Arial" w:cs="Arial"/>
          <w:color w:val="000000" w:themeColor="text1"/>
          <w:sz w:val="24"/>
          <w:szCs w:val="24"/>
          <w:lang w:val="en-US"/>
        </w:rPr>
        <w:t xml:space="preserve">Mr </w:t>
      </w:r>
      <w:r w:rsidR="00081D5A" w:rsidRPr="0039738C">
        <w:rPr>
          <w:rFonts w:ascii="Arial" w:hAnsi="Arial" w:cs="Arial"/>
          <w:color w:val="000000" w:themeColor="text1"/>
          <w:sz w:val="24"/>
          <w:szCs w:val="24"/>
          <w:lang w:val="en-US"/>
        </w:rPr>
        <w:t xml:space="preserve">Matotie </w:t>
      </w:r>
      <w:r>
        <w:rPr>
          <w:rFonts w:ascii="Arial" w:hAnsi="Arial" w:cs="Arial"/>
          <w:sz w:val="24"/>
          <w:szCs w:val="24"/>
          <w:lang w:val="en-US"/>
        </w:rPr>
        <w:t xml:space="preserve">for the defendant.  </w:t>
      </w:r>
    </w:p>
    <w:p w14:paraId="345C0A31" w14:textId="10D6EA1B" w:rsidR="00E115F8" w:rsidRDefault="00081D5A" w:rsidP="00202421">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A66A01">
        <w:rPr>
          <w:rFonts w:ascii="Arial" w:hAnsi="Arial" w:cs="Arial"/>
          <w:sz w:val="24"/>
          <w:szCs w:val="24"/>
          <w:lang w:val="en-US"/>
        </w:rPr>
        <w:t>20</w:t>
      </w:r>
      <w:r>
        <w:rPr>
          <w:rFonts w:ascii="Arial" w:hAnsi="Arial" w:cs="Arial"/>
          <w:sz w:val="24"/>
          <w:szCs w:val="24"/>
          <w:lang w:val="en-US"/>
        </w:rPr>
        <w:t xml:space="preserve">]   </w:t>
      </w:r>
      <w:r w:rsidR="00761424">
        <w:rPr>
          <w:rFonts w:ascii="Arial" w:hAnsi="Arial" w:cs="Arial"/>
          <w:sz w:val="24"/>
          <w:szCs w:val="24"/>
          <w:lang w:val="en-US"/>
        </w:rPr>
        <w:t xml:space="preserve"> </w:t>
      </w:r>
      <w:r w:rsidR="00B2491B">
        <w:rPr>
          <w:rFonts w:ascii="Arial" w:hAnsi="Arial" w:cs="Arial"/>
          <w:sz w:val="24"/>
          <w:szCs w:val="24"/>
          <w:lang w:val="en-US"/>
        </w:rPr>
        <w:tab/>
      </w:r>
      <w:r w:rsidR="00761424">
        <w:rPr>
          <w:rFonts w:ascii="Arial" w:hAnsi="Arial" w:cs="Arial"/>
          <w:sz w:val="24"/>
          <w:szCs w:val="24"/>
          <w:lang w:val="en-US"/>
        </w:rPr>
        <w:t xml:space="preserve">It was submitted on behalf of the plaintiff that the defences raised are not </w:t>
      </w:r>
      <w:r w:rsidR="00761424" w:rsidRPr="00761424">
        <w:rPr>
          <w:rFonts w:ascii="Arial" w:hAnsi="Arial" w:cs="Arial"/>
          <w:i/>
          <w:iCs/>
          <w:sz w:val="24"/>
          <w:szCs w:val="24"/>
          <w:lang w:val="en-US"/>
        </w:rPr>
        <w:t>bona fide</w:t>
      </w:r>
      <w:r w:rsidR="00761424">
        <w:rPr>
          <w:rFonts w:ascii="Arial" w:hAnsi="Arial" w:cs="Arial"/>
          <w:sz w:val="24"/>
          <w:szCs w:val="24"/>
          <w:lang w:val="en-US"/>
        </w:rPr>
        <w:t xml:space="preserve">. </w:t>
      </w:r>
      <w:r w:rsidR="007B4BFA">
        <w:rPr>
          <w:rFonts w:ascii="Arial" w:hAnsi="Arial" w:cs="Arial"/>
          <w:sz w:val="24"/>
          <w:szCs w:val="24"/>
          <w:lang w:val="en-US"/>
        </w:rPr>
        <w:t xml:space="preserve"> </w:t>
      </w:r>
      <w:r w:rsidR="00761424">
        <w:rPr>
          <w:rFonts w:ascii="Arial" w:hAnsi="Arial" w:cs="Arial"/>
          <w:sz w:val="24"/>
          <w:szCs w:val="24"/>
          <w:lang w:val="en-US"/>
        </w:rPr>
        <w:t xml:space="preserve">To the extent that there are differences in figures, it was argued, this court must simply deduct what has been paid and grant summary judgment on the outstanding amounts. </w:t>
      </w:r>
    </w:p>
    <w:p w14:paraId="068B7DCD" w14:textId="674E9072" w:rsidR="00761424" w:rsidRDefault="00E115F8" w:rsidP="00202421">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8D20FD">
        <w:rPr>
          <w:rFonts w:ascii="Arial" w:hAnsi="Arial" w:cs="Arial"/>
          <w:sz w:val="24"/>
          <w:szCs w:val="24"/>
          <w:lang w:val="en-US"/>
        </w:rPr>
        <w:t>2</w:t>
      </w:r>
      <w:r w:rsidR="00A66A01">
        <w:rPr>
          <w:rFonts w:ascii="Arial" w:hAnsi="Arial" w:cs="Arial"/>
          <w:sz w:val="24"/>
          <w:szCs w:val="24"/>
          <w:lang w:val="en-US"/>
        </w:rPr>
        <w:t>1</w:t>
      </w:r>
      <w:r w:rsidR="0043702A">
        <w:rPr>
          <w:rFonts w:ascii="Arial" w:hAnsi="Arial" w:cs="Arial"/>
          <w:sz w:val="24"/>
          <w:szCs w:val="24"/>
          <w:lang w:val="en-US"/>
        </w:rPr>
        <w:t xml:space="preserve">] </w:t>
      </w:r>
      <w:r w:rsidR="0043702A">
        <w:rPr>
          <w:rFonts w:ascii="Arial" w:hAnsi="Arial" w:cs="Arial"/>
          <w:sz w:val="24"/>
          <w:szCs w:val="24"/>
          <w:lang w:val="en-US"/>
        </w:rPr>
        <w:tab/>
      </w:r>
      <w:r w:rsidR="007B4BFA">
        <w:rPr>
          <w:rFonts w:ascii="Arial" w:hAnsi="Arial" w:cs="Arial"/>
          <w:sz w:val="24"/>
          <w:szCs w:val="24"/>
          <w:lang w:val="en-US"/>
        </w:rPr>
        <w:t>It was argued that clause 4.2 is not pleaded in the particulars of claim because plaintiff does not rely on it for the breach. It was simply raised in reaction to the</w:t>
      </w:r>
      <w:r w:rsidR="00081D5A">
        <w:rPr>
          <w:rFonts w:ascii="Arial" w:hAnsi="Arial" w:cs="Arial"/>
          <w:sz w:val="24"/>
          <w:szCs w:val="24"/>
          <w:lang w:val="en-US"/>
        </w:rPr>
        <w:t xml:space="preserve"> </w:t>
      </w:r>
      <w:r w:rsidR="007B4BFA">
        <w:rPr>
          <w:rFonts w:ascii="Arial" w:hAnsi="Arial" w:cs="Arial"/>
          <w:sz w:val="24"/>
          <w:szCs w:val="24"/>
          <w:lang w:val="en-US"/>
        </w:rPr>
        <w:t xml:space="preserve">defendant’s affidavit.  It was submitted that plaintiff is not required to tabulate the months not paid </w:t>
      </w:r>
      <w:r w:rsidR="00B2491B">
        <w:rPr>
          <w:rFonts w:ascii="Arial" w:hAnsi="Arial" w:cs="Arial"/>
          <w:sz w:val="24"/>
          <w:szCs w:val="24"/>
          <w:lang w:val="en-US"/>
        </w:rPr>
        <w:t>for because</w:t>
      </w:r>
      <w:r w:rsidR="007B4BFA">
        <w:rPr>
          <w:rFonts w:ascii="Arial" w:hAnsi="Arial" w:cs="Arial"/>
          <w:sz w:val="24"/>
          <w:szCs w:val="24"/>
          <w:lang w:val="en-US"/>
        </w:rPr>
        <w:t xml:space="preserve"> it is impossible to do so because of the arbitrary payments made by the defendant.  There are payments that do not co- relate with invoices, </w:t>
      </w:r>
      <w:r w:rsidR="00B2491B">
        <w:rPr>
          <w:rFonts w:ascii="Arial" w:hAnsi="Arial" w:cs="Arial"/>
          <w:sz w:val="24"/>
          <w:szCs w:val="24"/>
          <w:lang w:val="en-US"/>
        </w:rPr>
        <w:t>however,</w:t>
      </w:r>
      <w:r w:rsidR="007B4BFA">
        <w:rPr>
          <w:rFonts w:ascii="Arial" w:hAnsi="Arial" w:cs="Arial"/>
          <w:sz w:val="24"/>
          <w:szCs w:val="24"/>
          <w:lang w:val="en-US"/>
        </w:rPr>
        <w:t xml:space="preserve"> there is a running balance tha</w:t>
      </w:r>
      <w:r w:rsidR="00081D5A">
        <w:rPr>
          <w:rFonts w:ascii="Arial" w:hAnsi="Arial" w:cs="Arial"/>
          <w:sz w:val="24"/>
          <w:szCs w:val="24"/>
          <w:lang w:val="en-US"/>
        </w:rPr>
        <w:t xml:space="preserve">t </w:t>
      </w:r>
      <w:r w:rsidR="007B4BFA">
        <w:rPr>
          <w:rFonts w:ascii="Arial" w:hAnsi="Arial" w:cs="Arial"/>
          <w:sz w:val="24"/>
          <w:szCs w:val="24"/>
          <w:lang w:val="en-US"/>
        </w:rPr>
        <w:t xml:space="preserve">gives the exact payments made on which dates. </w:t>
      </w:r>
    </w:p>
    <w:p w14:paraId="31D28601" w14:textId="77B3C123" w:rsidR="004006F3" w:rsidRPr="00AC03B9" w:rsidRDefault="00DF4C22" w:rsidP="00202421">
      <w:pPr>
        <w:spacing w:line="480" w:lineRule="auto"/>
        <w:ind w:left="720" w:hanging="720"/>
        <w:jc w:val="both"/>
        <w:rPr>
          <w:rFonts w:ascii="Arial" w:hAnsi="Arial" w:cs="Arial"/>
          <w:sz w:val="24"/>
          <w:szCs w:val="24"/>
          <w:lang w:val="en-US"/>
        </w:rPr>
      </w:pPr>
      <w:r>
        <w:rPr>
          <w:rFonts w:ascii="Arial" w:hAnsi="Arial" w:cs="Arial"/>
          <w:sz w:val="24"/>
          <w:szCs w:val="24"/>
          <w:lang w:val="en-US"/>
        </w:rPr>
        <w:t>[2</w:t>
      </w:r>
      <w:r w:rsidR="00A66A01">
        <w:rPr>
          <w:rFonts w:ascii="Arial" w:hAnsi="Arial" w:cs="Arial"/>
          <w:sz w:val="24"/>
          <w:szCs w:val="24"/>
          <w:lang w:val="en-US"/>
        </w:rPr>
        <w:t>2</w:t>
      </w:r>
      <w:r w:rsidR="0043702A">
        <w:rPr>
          <w:rFonts w:ascii="Arial" w:hAnsi="Arial" w:cs="Arial"/>
          <w:sz w:val="24"/>
          <w:szCs w:val="24"/>
          <w:lang w:val="en-US"/>
        </w:rPr>
        <w:t xml:space="preserve">] </w:t>
      </w:r>
      <w:r w:rsidR="0043702A">
        <w:rPr>
          <w:rFonts w:ascii="Arial" w:hAnsi="Arial" w:cs="Arial"/>
          <w:sz w:val="24"/>
          <w:szCs w:val="24"/>
          <w:lang w:val="en-US"/>
        </w:rPr>
        <w:tab/>
      </w:r>
      <w:r w:rsidR="00081D5A">
        <w:rPr>
          <w:rFonts w:ascii="Arial" w:hAnsi="Arial" w:cs="Arial"/>
          <w:sz w:val="24"/>
          <w:szCs w:val="24"/>
          <w:lang w:val="en-US"/>
        </w:rPr>
        <w:t xml:space="preserve">It was submitted that a creditor is only required to give notice to an organ of state in respect of a claim for damages. In this regard reliance was placed on </w:t>
      </w:r>
      <w:r w:rsidR="00081D5A" w:rsidRPr="00AC03B9">
        <w:rPr>
          <w:rFonts w:ascii="Arial" w:hAnsi="Arial" w:cs="Arial"/>
          <w:b/>
          <w:bCs/>
          <w:i/>
          <w:iCs/>
          <w:sz w:val="24"/>
          <w:szCs w:val="24"/>
          <w:lang w:val="en-US"/>
        </w:rPr>
        <w:t xml:space="preserve">Director- </w:t>
      </w:r>
      <w:r w:rsidR="00B2491B" w:rsidRPr="00AC03B9">
        <w:rPr>
          <w:rFonts w:ascii="Arial" w:hAnsi="Arial" w:cs="Arial"/>
          <w:b/>
          <w:bCs/>
          <w:i/>
          <w:iCs/>
          <w:sz w:val="24"/>
          <w:szCs w:val="24"/>
          <w:lang w:val="en-US"/>
        </w:rPr>
        <w:t>General,</w:t>
      </w:r>
      <w:r w:rsidR="00081D5A" w:rsidRPr="00AC03B9">
        <w:rPr>
          <w:rFonts w:ascii="Arial" w:hAnsi="Arial" w:cs="Arial"/>
          <w:b/>
          <w:bCs/>
          <w:i/>
          <w:iCs/>
          <w:sz w:val="24"/>
          <w:szCs w:val="24"/>
          <w:lang w:val="en-US"/>
        </w:rPr>
        <w:t xml:space="preserve"> Department of Public Works v Kovac</w:t>
      </w:r>
      <w:r w:rsidR="00AC03B9" w:rsidRPr="00AC03B9">
        <w:rPr>
          <w:rFonts w:ascii="Arial" w:hAnsi="Arial" w:cs="Arial"/>
          <w:b/>
          <w:bCs/>
          <w:i/>
          <w:iCs/>
          <w:sz w:val="24"/>
          <w:szCs w:val="24"/>
          <w:lang w:val="en-US"/>
        </w:rPr>
        <w:t>s</w:t>
      </w:r>
      <w:r w:rsidR="00081D5A" w:rsidRPr="00AC03B9">
        <w:rPr>
          <w:rFonts w:ascii="Arial" w:hAnsi="Arial" w:cs="Arial"/>
          <w:b/>
          <w:bCs/>
          <w:i/>
          <w:iCs/>
          <w:sz w:val="24"/>
          <w:szCs w:val="24"/>
          <w:lang w:val="en-US"/>
        </w:rPr>
        <w:t xml:space="preserve"> Inv</w:t>
      </w:r>
      <w:r w:rsidR="00AC03B9" w:rsidRPr="00AC03B9">
        <w:rPr>
          <w:rFonts w:ascii="Arial" w:hAnsi="Arial" w:cs="Arial"/>
          <w:b/>
          <w:bCs/>
          <w:i/>
          <w:iCs/>
          <w:sz w:val="24"/>
          <w:szCs w:val="24"/>
          <w:lang w:val="en-US"/>
        </w:rPr>
        <w:t>estments</w:t>
      </w:r>
      <w:r w:rsidR="00081D5A" w:rsidRPr="00AC03B9">
        <w:rPr>
          <w:rFonts w:ascii="Arial" w:hAnsi="Arial" w:cs="Arial"/>
          <w:b/>
          <w:bCs/>
          <w:i/>
          <w:iCs/>
          <w:sz w:val="24"/>
          <w:szCs w:val="24"/>
          <w:lang w:val="en-US"/>
        </w:rPr>
        <w:t xml:space="preserve"> 289 </w:t>
      </w:r>
      <w:r w:rsidR="00B2491B" w:rsidRPr="00AC03B9">
        <w:rPr>
          <w:rFonts w:ascii="Arial" w:hAnsi="Arial" w:cs="Arial"/>
          <w:b/>
          <w:bCs/>
          <w:i/>
          <w:iCs/>
          <w:sz w:val="24"/>
          <w:szCs w:val="24"/>
          <w:lang w:val="en-US"/>
        </w:rPr>
        <w:t>(</w:t>
      </w:r>
      <w:r w:rsidR="0043702A" w:rsidRPr="00AC03B9">
        <w:rPr>
          <w:rFonts w:ascii="Arial" w:hAnsi="Arial" w:cs="Arial"/>
          <w:b/>
          <w:bCs/>
          <w:i/>
          <w:iCs/>
          <w:sz w:val="24"/>
          <w:szCs w:val="24"/>
          <w:lang w:val="en-US"/>
        </w:rPr>
        <w:t>Pty)</w:t>
      </w:r>
      <w:r w:rsidR="00081D5A" w:rsidRPr="00AC03B9">
        <w:rPr>
          <w:rFonts w:ascii="Arial" w:hAnsi="Arial" w:cs="Arial"/>
          <w:b/>
          <w:bCs/>
          <w:i/>
          <w:iCs/>
          <w:sz w:val="24"/>
          <w:szCs w:val="24"/>
          <w:lang w:val="en-US"/>
        </w:rPr>
        <w:t xml:space="preserve"> Ltd</w:t>
      </w:r>
      <w:r w:rsidR="004006F3" w:rsidRPr="00AC03B9">
        <w:rPr>
          <w:rStyle w:val="FootnoteReference"/>
          <w:rFonts w:ascii="Arial" w:hAnsi="Arial" w:cs="Arial"/>
          <w:b/>
          <w:bCs/>
          <w:i/>
          <w:iCs/>
          <w:sz w:val="24"/>
          <w:szCs w:val="24"/>
          <w:lang w:val="en-US"/>
        </w:rPr>
        <w:footnoteReference w:id="1"/>
      </w:r>
      <w:r w:rsidR="004006F3" w:rsidRPr="00AC03B9">
        <w:rPr>
          <w:rFonts w:ascii="Arial" w:hAnsi="Arial" w:cs="Arial"/>
          <w:b/>
          <w:bCs/>
          <w:i/>
          <w:iCs/>
          <w:sz w:val="24"/>
          <w:szCs w:val="24"/>
          <w:lang w:val="en-US"/>
        </w:rPr>
        <w:t>,</w:t>
      </w:r>
      <w:r w:rsidR="004006F3">
        <w:rPr>
          <w:rFonts w:ascii="Arial" w:hAnsi="Arial" w:cs="Arial"/>
          <w:b/>
          <w:bCs/>
          <w:sz w:val="24"/>
          <w:szCs w:val="24"/>
          <w:lang w:val="en-US"/>
        </w:rPr>
        <w:t xml:space="preserve"> </w:t>
      </w:r>
      <w:r w:rsidR="004006F3" w:rsidRPr="00AC03B9">
        <w:rPr>
          <w:rFonts w:ascii="Arial" w:hAnsi="Arial" w:cs="Arial"/>
          <w:sz w:val="24"/>
          <w:szCs w:val="24"/>
          <w:lang w:val="en-US"/>
        </w:rPr>
        <w:t xml:space="preserve">for the submission that: </w:t>
      </w:r>
    </w:p>
    <w:p w14:paraId="03FA2928" w14:textId="46BE3847" w:rsidR="00081D5A" w:rsidRDefault="00B2491B" w:rsidP="00B2491B">
      <w:pPr>
        <w:spacing w:line="276" w:lineRule="auto"/>
        <w:ind w:left="1440"/>
        <w:jc w:val="both"/>
        <w:rPr>
          <w:rFonts w:ascii="Arial" w:hAnsi="Arial" w:cs="Arial"/>
          <w:sz w:val="20"/>
          <w:szCs w:val="20"/>
          <w:lang w:val="en-US"/>
        </w:rPr>
      </w:pPr>
      <w:r w:rsidRPr="004006F3">
        <w:rPr>
          <w:rFonts w:ascii="Arial" w:hAnsi="Arial" w:cs="Arial"/>
          <w:sz w:val="20"/>
          <w:szCs w:val="20"/>
          <w:lang w:val="en-US"/>
        </w:rPr>
        <w:lastRenderedPageBreak/>
        <w:t>“There</w:t>
      </w:r>
      <w:r w:rsidR="004006F3" w:rsidRPr="004006F3">
        <w:rPr>
          <w:rFonts w:ascii="Arial" w:hAnsi="Arial" w:cs="Arial"/>
          <w:sz w:val="20"/>
          <w:szCs w:val="20"/>
          <w:lang w:val="en-US"/>
        </w:rPr>
        <w:t xml:space="preserve"> are therefore two legs to the enquiry whether a claim is a debt in terms of the Act. </w:t>
      </w:r>
      <w:r w:rsidR="0043702A" w:rsidRPr="004006F3">
        <w:rPr>
          <w:rFonts w:ascii="Arial" w:hAnsi="Arial" w:cs="Arial"/>
          <w:sz w:val="20"/>
          <w:szCs w:val="20"/>
          <w:lang w:val="en-US"/>
        </w:rPr>
        <w:t xml:space="preserve">First, </w:t>
      </w:r>
      <w:r w:rsidR="0043702A">
        <w:rPr>
          <w:rFonts w:ascii="Arial" w:hAnsi="Arial" w:cs="Arial"/>
          <w:sz w:val="20"/>
          <w:szCs w:val="20"/>
          <w:lang w:val="en-US"/>
        </w:rPr>
        <w:t>it</w:t>
      </w:r>
      <w:r w:rsidR="004006F3" w:rsidRPr="004006F3">
        <w:rPr>
          <w:rFonts w:ascii="Arial" w:hAnsi="Arial" w:cs="Arial"/>
          <w:sz w:val="20"/>
          <w:szCs w:val="20"/>
          <w:lang w:val="en-US"/>
        </w:rPr>
        <w:t xml:space="preserve"> must arise from a contract, a delict or ‘any other liability’. Second, it must render the organ of State liable for damages.”</w:t>
      </w:r>
      <w:r w:rsidR="004006F3">
        <w:rPr>
          <w:rStyle w:val="FootnoteReference"/>
          <w:rFonts w:ascii="Arial" w:hAnsi="Arial" w:cs="Arial"/>
          <w:sz w:val="20"/>
          <w:szCs w:val="20"/>
          <w:lang w:val="en-US"/>
        </w:rPr>
        <w:footnoteReference w:id="2"/>
      </w:r>
      <w:r w:rsidR="004006F3" w:rsidRPr="004006F3">
        <w:rPr>
          <w:rFonts w:ascii="Arial" w:hAnsi="Arial" w:cs="Arial"/>
          <w:sz w:val="20"/>
          <w:szCs w:val="20"/>
          <w:lang w:val="en-US"/>
        </w:rPr>
        <w:t xml:space="preserve"> </w:t>
      </w:r>
    </w:p>
    <w:p w14:paraId="0A4F9311" w14:textId="1D8AD2C2" w:rsidR="004006F3" w:rsidRDefault="004006F3" w:rsidP="00202421">
      <w:pPr>
        <w:spacing w:line="480" w:lineRule="auto"/>
        <w:ind w:left="720" w:hanging="720"/>
        <w:jc w:val="both"/>
        <w:rPr>
          <w:rFonts w:ascii="Arial" w:hAnsi="Arial" w:cs="Arial"/>
          <w:sz w:val="24"/>
          <w:szCs w:val="24"/>
          <w:lang w:val="en-US"/>
        </w:rPr>
      </w:pPr>
      <w:r w:rsidRPr="004006F3">
        <w:rPr>
          <w:rFonts w:ascii="Arial" w:hAnsi="Arial" w:cs="Arial"/>
          <w:sz w:val="24"/>
          <w:szCs w:val="24"/>
          <w:lang w:val="en-US"/>
        </w:rPr>
        <w:t>[</w:t>
      </w:r>
      <w:r w:rsidR="004C2A3A">
        <w:rPr>
          <w:rFonts w:ascii="Arial" w:hAnsi="Arial" w:cs="Arial"/>
          <w:sz w:val="24"/>
          <w:szCs w:val="24"/>
          <w:lang w:val="en-US"/>
        </w:rPr>
        <w:t>2</w:t>
      </w:r>
      <w:r w:rsidR="00A66A01">
        <w:rPr>
          <w:rFonts w:ascii="Arial" w:hAnsi="Arial" w:cs="Arial"/>
          <w:sz w:val="24"/>
          <w:szCs w:val="24"/>
          <w:lang w:val="en-US"/>
        </w:rPr>
        <w:t>3</w:t>
      </w:r>
      <w:r w:rsidRPr="004006F3">
        <w:rPr>
          <w:rFonts w:ascii="Arial" w:hAnsi="Arial" w:cs="Arial"/>
          <w:sz w:val="24"/>
          <w:szCs w:val="24"/>
          <w:lang w:val="en-US"/>
        </w:rPr>
        <w:t xml:space="preserve">] </w:t>
      </w:r>
      <w:r w:rsidR="00B2491B">
        <w:rPr>
          <w:rFonts w:ascii="Arial" w:hAnsi="Arial" w:cs="Arial"/>
          <w:sz w:val="24"/>
          <w:szCs w:val="24"/>
          <w:lang w:val="en-US"/>
        </w:rPr>
        <w:tab/>
      </w:r>
      <w:r w:rsidR="00E115F8">
        <w:rPr>
          <w:rFonts w:ascii="Arial" w:hAnsi="Arial" w:cs="Arial"/>
          <w:sz w:val="24"/>
          <w:szCs w:val="24"/>
          <w:lang w:val="en-US"/>
        </w:rPr>
        <w:t>I</w:t>
      </w:r>
      <w:r w:rsidR="00C33332">
        <w:rPr>
          <w:rFonts w:ascii="Arial" w:hAnsi="Arial" w:cs="Arial"/>
          <w:sz w:val="24"/>
          <w:szCs w:val="24"/>
          <w:lang w:val="en-US"/>
        </w:rPr>
        <w:t xml:space="preserve">t was submitted </w:t>
      </w:r>
      <w:r w:rsidR="00B2491B">
        <w:rPr>
          <w:rFonts w:ascii="Arial" w:hAnsi="Arial" w:cs="Arial"/>
          <w:sz w:val="24"/>
          <w:szCs w:val="24"/>
          <w:lang w:val="en-US"/>
        </w:rPr>
        <w:t>that,</w:t>
      </w:r>
      <w:r w:rsidR="00E115F8">
        <w:rPr>
          <w:rFonts w:ascii="Arial" w:hAnsi="Arial" w:cs="Arial"/>
          <w:sz w:val="24"/>
          <w:szCs w:val="24"/>
          <w:lang w:val="en-US"/>
        </w:rPr>
        <w:t xml:space="preserve"> based on the aforementioned decision, </w:t>
      </w:r>
      <w:r w:rsidR="00C33332">
        <w:rPr>
          <w:rFonts w:ascii="Arial" w:hAnsi="Arial" w:cs="Arial"/>
          <w:sz w:val="24"/>
          <w:szCs w:val="24"/>
          <w:lang w:val="en-US"/>
        </w:rPr>
        <w:t>there was accordingly</w:t>
      </w:r>
      <w:r w:rsidR="00E115F8">
        <w:rPr>
          <w:rFonts w:ascii="Arial" w:hAnsi="Arial" w:cs="Arial"/>
          <w:sz w:val="24"/>
          <w:szCs w:val="24"/>
          <w:lang w:val="en-US"/>
        </w:rPr>
        <w:t xml:space="preserve"> no obligation to send the notice because the Institution Act does not apply to the debt claimed herein.</w:t>
      </w:r>
    </w:p>
    <w:p w14:paraId="548FC96E" w14:textId="0DE3646E" w:rsidR="00271D6C" w:rsidRDefault="00124778" w:rsidP="005F0F41">
      <w:pPr>
        <w:spacing w:line="480" w:lineRule="auto"/>
        <w:ind w:left="720" w:hanging="720"/>
        <w:jc w:val="both"/>
        <w:rPr>
          <w:rFonts w:ascii="Arial" w:hAnsi="Arial" w:cs="Arial"/>
          <w:color w:val="FF0000"/>
          <w:sz w:val="24"/>
          <w:szCs w:val="24"/>
          <w:lang w:val="en-US"/>
        </w:rPr>
      </w:pPr>
      <w:r>
        <w:rPr>
          <w:rFonts w:ascii="Arial" w:hAnsi="Arial" w:cs="Arial"/>
          <w:sz w:val="24"/>
          <w:szCs w:val="24"/>
          <w:lang w:val="en-US"/>
        </w:rPr>
        <w:t>[</w:t>
      </w:r>
      <w:r w:rsidR="004C2A3A">
        <w:rPr>
          <w:rFonts w:ascii="Arial" w:hAnsi="Arial" w:cs="Arial"/>
          <w:sz w:val="24"/>
          <w:szCs w:val="24"/>
          <w:lang w:val="en-US"/>
        </w:rPr>
        <w:t>2</w:t>
      </w:r>
      <w:r w:rsidR="00A66A01">
        <w:rPr>
          <w:rFonts w:ascii="Arial" w:hAnsi="Arial" w:cs="Arial"/>
          <w:sz w:val="24"/>
          <w:szCs w:val="24"/>
          <w:lang w:val="en-US"/>
        </w:rPr>
        <w:t>4</w:t>
      </w:r>
      <w:r w:rsidR="00B2491B">
        <w:rPr>
          <w:rFonts w:ascii="Arial" w:hAnsi="Arial" w:cs="Arial"/>
          <w:sz w:val="24"/>
          <w:szCs w:val="24"/>
          <w:lang w:val="en-US"/>
        </w:rPr>
        <w:t xml:space="preserve">] </w:t>
      </w:r>
      <w:r w:rsidR="00B2491B">
        <w:rPr>
          <w:rFonts w:ascii="Arial" w:hAnsi="Arial" w:cs="Arial"/>
          <w:sz w:val="24"/>
          <w:szCs w:val="24"/>
          <w:lang w:val="en-US"/>
        </w:rPr>
        <w:tab/>
        <w:t>It</w:t>
      </w:r>
      <w:r>
        <w:rPr>
          <w:rFonts w:ascii="Arial" w:hAnsi="Arial" w:cs="Arial"/>
          <w:sz w:val="24"/>
          <w:szCs w:val="24"/>
          <w:lang w:val="en-US"/>
        </w:rPr>
        <w:t xml:space="preserve"> was argued that the defence raised by the defendant that it had paid and owe nothing to the plaintiff should not be allowed. </w:t>
      </w:r>
      <w:r w:rsidR="00271D6C">
        <w:rPr>
          <w:rFonts w:ascii="Arial" w:hAnsi="Arial" w:cs="Arial"/>
          <w:sz w:val="24"/>
          <w:szCs w:val="24"/>
          <w:lang w:val="en-US"/>
        </w:rPr>
        <w:t xml:space="preserve"> The onus is on the defendant because it raised payment as a defence</w:t>
      </w:r>
      <w:r w:rsidR="00AC03B9">
        <w:rPr>
          <w:rFonts w:ascii="Arial" w:hAnsi="Arial" w:cs="Arial"/>
          <w:sz w:val="24"/>
          <w:szCs w:val="24"/>
          <w:lang w:val="en-US"/>
        </w:rPr>
        <w:t>, it was argued</w:t>
      </w:r>
      <w:r w:rsidR="00271D6C">
        <w:rPr>
          <w:rFonts w:ascii="Arial" w:hAnsi="Arial" w:cs="Arial"/>
          <w:sz w:val="24"/>
          <w:szCs w:val="24"/>
          <w:lang w:val="en-US"/>
        </w:rPr>
        <w:t xml:space="preserve">. </w:t>
      </w:r>
      <w:r>
        <w:rPr>
          <w:rFonts w:ascii="Arial" w:hAnsi="Arial" w:cs="Arial"/>
          <w:sz w:val="24"/>
          <w:szCs w:val="24"/>
          <w:lang w:val="en-US"/>
        </w:rPr>
        <w:t xml:space="preserve">In this regard reliance was placed </w:t>
      </w:r>
      <w:r w:rsidR="0043702A" w:rsidRPr="00AC03B9">
        <w:rPr>
          <w:rFonts w:ascii="Arial" w:hAnsi="Arial" w:cs="Arial"/>
          <w:color w:val="000000" w:themeColor="text1"/>
          <w:sz w:val="24"/>
          <w:szCs w:val="24"/>
          <w:lang w:val="en-US"/>
        </w:rPr>
        <w:t>on,</w:t>
      </w:r>
      <w:r w:rsidR="00AC03B9" w:rsidRPr="00AC03B9">
        <w:rPr>
          <w:rFonts w:ascii="Arial" w:hAnsi="Arial" w:cs="Arial"/>
          <w:color w:val="000000" w:themeColor="text1"/>
          <w:sz w:val="24"/>
          <w:szCs w:val="24"/>
          <w:lang w:val="en-US"/>
        </w:rPr>
        <w:t xml:space="preserve"> </w:t>
      </w:r>
      <w:r w:rsidR="00AC03B9" w:rsidRPr="00AC03B9">
        <w:rPr>
          <w:rFonts w:ascii="Arial" w:hAnsi="Arial" w:cs="Arial"/>
          <w:i/>
          <w:iCs/>
          <w:color w:val="000000" w:themeColor="text1"/>
          <w:sz w:val="24"/>
          <w:szCs w:val="24"/>
          <w:lang w:val="en-US"/>
        </w:rPr>
        <w:t>inter alia,</w:t>
      </w:r>
      <w:r w:rsidR="00AC03B9" w:rsidRPr="00AC03B9">
        <w:rPr>
          <w:rFonts w:ascii="Arial" w:hAnsi="Arial" w:cs="Arial"/>
          <w:color w:val="000000" w:themeColor="text1"/>
          <w:sz w:val="24"/>
          <w:szCs w:val="24"/>
          <w:lang w:val="en-US"/>
        </w:rPr>
        <w:t xml:space="preserve"> </w:t>
      </w:r>
      <w:r w:rsidR="00271D6C" w:rsidRPr="00A66A01">
        <w:rPr>
          <w:rFonts w:ascii="Arial" w:hAnsi="Arial" w:cs="Arial"/>
          <w:b/>
          <w:bCs/>
          <w:i/>
          <w:iCs/>
          <w:color w:val="000000" w:themeColor="text1"/>
          <w:sz w:val="24"/>
          <w:szCs w:val="24"/>
          <w:lang w:val="en-US"/>
        </w:rPr>
        <w:t>Pillay v Krishna</w:t>
      </w:r>
      <w:r w:rsidR="00AC03B9" w:rsidRPr="00A66A01">
        <w:rPr>
          <w:rFonts w:ascii="Arial" w:hAnsi="Arial" w:cs="Arial"/>
          <w:b/>
          <w:bCs/>
          <w:i/>
          <w:iCs/>
          <w:color w:val="000000" w:themeColor="text1"/>
          <w:sz w:val="24"/>
          <w:szCs w:val="24"/>
          <w:lang w:val="en-US"/>
        </w:rPr>
        <w:t xml:space="preserve"> and Another</w:t>
      </w:r>
      <w:r w:rsidR="00AC03B9" w:rsidRPr="00AC03B9">
        <w:rPr>
          <w:rStyle w:val="FootnoteReference"/>
          <w:rFonts w:ascii="Arial" w:hAnsi="Arial" w:cs="Arial"/>
          <w:color w:val="000000" w:themeColor="text1"/>
          <w:sz w:val="24"/>
          <w:szCs w:val="24"/>
          <w:lang w:val="en-US"/>
        </w:rPr>
        <w:footnoteReference w:id="3"/>
      </w:r>
      <w:r w:rsidR="00AC03B9" w:rsidRPr="00AC03B9">
        <w:rPr>
          <w:rFonts w:ascii="Arial" w:hAnsi="Arial" w:cs="Arial"/>
          <w:color w:val="000000" w:themeColor="text1"/>
          <w:sz w:val="24"/>
          <w:szCs w:val="24"/>
          <w:lang w:val="en-US"/>
        </w:rPr>
        <w:t xml:space="preserve">. </w:t>
      </w:r>
    </w:p>
    <w:p w14:paraId="489E8FBB" w14:textId="30429803" w:rsidR="000E3BCB" w:rsidRDefault="00097512" w:rsidP="000E3BCB">
      <w:pPr>
        <w:spacing w:line="480" w:lineRule="auto"/>
        <w:ind w:left="720" w:hanging="720"/>
        <w:jc w:val="both"/>
        <w:rPr>
          <w:rFonts w:ascii="Arial" w:hAnsi="Arial" w:cs="Arial"/>
          <w:color w:val="FF0000"/>
          <w:sz w:val="24"/>
          <w:szCs w:val="24"/>
          <w:lang w:val="en-US"/>
        </w:rPr>
      </w:pPr>
      <w:r w:rsidRPr="000E3BCB">
        <w:rPr>
          <w:rFonts w:ascii="Arial" w:hAnsi="Arial" w:cs="Arial"/>
          <w:color w:val="000000" w:themeColor="text1"/>
          <w:sz w:val="24"/>
          <w:szCs w:val="24"/>
          <w:lang w:val="en-US"/>
        </w:rPr>
        <w:t>[</w:t>
      </w:r>
      <w:r w:rsidR="004C2A3A" w:rsidRPr="000E3BCB">
        <w:rPr>
          <w:rFonts w:ascii="Arial" w:hAnsi="Arial" w:cs="Arial"/>
          <w:color w:val="000000" w:themeColor="text1"/>
          <w:sz w:val="24"/>
          <w:szCs w:val="24"/>
          <w:lang w:val="en-US"/>
        </w:rPr>
        <w:t>2</w:t>
      </w:r>
      <w:r w:rsidR="00A66A01">
        <w:rPr>
          <w:rFonts w:ascii="Arial" w:hAnsi="Arial" w:cs="Arial"/>
          <w:color w:val="000000" w:themeColor="text1"/>
          <w:sz w:val="24"/>
          <w:szCs w:val="24"/>
          <w:lang w:val="en-US"/>
        </w:rPr>
        <w:t>5</w:t>
      </w:r>
      <w:r w:rsidRPr="000E3BCB">
        <w:rPr>
          <w:rFonts w:ascii="Arial" w:hAnsi="Arial" w:cs="Arial"/>
          <w:color w:val="000000" w:themeColor="text1"/>
          <w:sz w:val="24"/>
          <w:szCs w:val="24"/>
          <w:lang w:val="en-US"/>
        </w:rPr>
        <w:t>]</w:t>
      </w:r>
      <w:r w:rsidRPr="000E3BCB">
        <w:rPr>
          <w:rFonts w:ascii="Arial" w:hAnsi="Arial" w:cs="Arial"/>
          <w:color w:val="000000" w:themeColor="text1"/>
          <w:sz w:val="24"/>
          <w:szCs w:val="24"/>
          <w:lang w:val="en-US"/>
        </w:rPr>
        <w:tab/>
      </w:r>
      <w:r w:rsidR="00124778" w:rsidRPr="000E3BCB">
        <w:rPr>
          <w:rFonts w:ascii="Arial" w:hAnsi="Arial" w:cs="Arial"/>
          <w:color w:val="000000" w:themeColor="text1"/>
          <w:sz w:val="24"/>
          <w:szCs w:val="24"/>
          <w:lang w:val="en-US"/>
        </w:rPr>
        <w:t xml:space="preserve">Relying on </w:t>
      </w:r>
      <w:r w:rsidR="000E3BCB" w:rsidRPr="00A66A01">
        <w:rPr>
          <w:rFonts w:ascii="Arial" w:hAnsi="Arial" w:cs="Arial"/>
          <w:b/>
          <w:bCs/>
          <w:i/>
          <w:iCs/>
          <w:color w:val="000000" w:themeColor="text1"/>
          <w:sz w:val="24"/>
          <w:szCs w:val="24"/>
          <w:lang w:val="en-US"/>
        </w:rPr>
        <w:t xml:space="preserve">Eerste Nasionale Bank van Suidelike Afrika BPK v </w:t>
      </w:r>
      <w:r w:rsidR="00124778" w:rsidRPr="00A66A01">
        <w:rPr>
          <w:rFonts w:ascii="Arial" w:hAnsi="Arial" w:cs="Arial"/>
          <w:b/>
          <w:bCs/>
          <w:i/>
          <w:iCs/>
          <w:color w:val="000000" w:themeColor="text1"/>
          <w:sz w:val="24"/>
          <w:szCs w:val="24"/>
          <w:lang w:val="en-US"/>
        </w:rPr>
        <w:t>Vermeulen</w:t>
      </w:r>
      <w:r w:rsidR="000E3BCB" w:rsidRPr="000E3BCB">
        <w:rPr>
          <w:rStyle w:val="FootnoteReference"/>
          <w:rFonts w:ascii="Arial" w:hAnsi="Arial" w:cs="Arial"/>
          <w:b/>
          <w:bCs/>
          <w:color w:val="000000" w:themeColor="text1"/>
          <w:sz w:val="24"/>
          <w:szCs w:val="24"/>
          <w:lang w:val="en-US"/>
        </w:rPr>
        <w:footnoteReference w:id="4"/>
      </w:r>
      <w:r w:rsidR="00124778" w:rsidRPr="000E3BCB">
        <w:rPr>
          <w:rFonts w:ascii="Arial" w:hAnsi="Arial" w:cs="Arial"/>
          <w:color w:val="000000" w:themeColor="text1"/>
          <w:sz w:val="24"/>
          <w:szCs w:val="24"/>
          <w:lang w:val="en-US"/>
        </w:rPr>
        <w:t xml:space="preserve"> case, plaintiff submitted that it is not disputed that invoices were continuously issued and payments were continuously made.</w:t>
      </w:r>
      <w:r w:rsidR="000E3BCB">
        <w:rPr>
          <w:rFonts w:ascii="Arial" w:hAnsi="Arial" w:cs="Arial"/>
          <w:color w:val="000000" w:themeColor="text1"/>
          <w:sz w:val="24"/>
          <w:szCs w:val="24"/>
          <w:lang w:val="en-US"/>
        </w:rPr>
        <w:t xml:space="preserve"> </w:t>
      </w:r>
      <w:r w:rsidR="00124778" w:rsidRPr="000E3BCB">
        <w:rPr>
          <w:rFonts w:ascii="Arial" w:hAnsi="Arial" w:cs="Arial"/>
          <w:color w:val="000000" w:themeColor="text1"/>
          <w:sz w:val="24"/>
          <w:szCs w:val="24"/>
          <w:lang w:val="en-US"/>
        </w:rPr>
        <w:t>Each payment made interrupt</w:t>
      </w:r>
      <w:r w:rsidR="005F0F41">
        <w:rPr>
          <w:rFonts w:ascii="Arial" w:hAnsi="Arial" w:cs="Arial"/>
          <w:color w:val="000000" w:themeColor="text1"/>
          <w:sz w:val="24"/>
          <w:szCs w:val="24"/>
          <w:lang w:val="en-US"/>
        </w:rPr>
        <w:t>ed</w:t>
      </w:r>
      <w:r w:rsidR="00124778" w:rsidRPr="000E3BCB">
        <w:rPr>
          <w:rFonts w:ascii="Arial" w:hAnsi="Arial" w:cs="Arial"/>
          <w:color w:val="000000" w:themeColor="text1"/>
          <w:sz w:val="24"/>
          <w:szCs w:val="24"/>
          <w:lang w:val="en-US"/>
        </w:rPr>
        <w:t xml:space="preserve"> </w:t>
      </w:r>
      <w:r w:rsidRPr="000E3BCB">
        <w:rPr>
          <w:rFonts w:ascii="Arial" w:hAnsi="Arial" w:cs="Arial"/>
          <w:color w:val="000000" w:themeColor="text1"/>
          <w:sz w:val="24"/>
          <w:szCs w:val="24"/>
          <w:lang w:val="en-US"/>
        </w:rPr>
        <w:t>prescription,</w:t>
      </w:r>
      <w:r w:rsidR="00124778" w:rsidRPr="000E3BCB">
        <w:rPr>
          <w:rFonts w:ascii="Arial" w:hAnsi="Arial" w:cs="Arial"/>
          <w:color w:val="000000" w:themeColor="text1"/>
          <w:sz w:val="24"/>
          <w:szCs w:val="24"/>
          <w:lang w:val="en-US"/>
        </w:rPr>
        <w:t xml:space="preserve"> argued the plaintiff</w:t>
      </w:r>
      <w:r w:rsidR="000E3BCB" w:rsidRPr="000E3BCB">
        <w:rPr>
          <w:rFonts w:ascii="Arial" w:hAnsi="Arial" w:cs="Arial"/>
          <w:color w:val="000000" w:themeColor="text1"/>
          <w:sz w:val="24"/>
          <w:szCs w:val="24"/>
          <w:lang w:val="en-US"/>
        </w:rPr>
        <w:t xml:space="preserve">. </w:t>
      </w:r>
    </w:p>
    <w:p w14:paraId="522DAA84" w14:textId="1B01051C" w:rsidR="00271D6C" w:rsidRDefault="000E3BCB" w:rsidP="00D049B1">
      <w:pPr>
        <w:spacing w:line="480" w:lineRule="auto"/>
        <w:ind w:left="720" w:hanging="720"/>
        <w:jc w:val="both"/>
        <w:rPr>
          <w:rFonts w:ascii="Arial" w:hAnsi="Arial" w:cs="Arial"/>
          <w:color w:val="FF0000"/>
          <w:sz w:val="24"/>
          <w:szCs w:val="24"/>
          <w:lang w:val="en-US"/>
        </w:rPr>
      </w:pPr>
      <w:r w:rsidRPr="00D049B1">
        <w:rPr>
          <w:rFonts w:ascii="Arial" w:hAnsi="Arial" w:cs="Arial"/>
          <w:color w:val="000000" w:themeColor="text1"/>
          <w:sz w:val="24"/>
          <w:szCs w:val="24"/>
          <w:lang w:val="en-US"/>
        </w:rPr>
        <w:t xml:space="preserve">[26] </w:t>
      </w:r>
      <w:r w:rsidR="00124778" w:rsidRPr="00D049B1">
        <w:rPr>
          <w:rFonts w:ascii="Arial" w:hAnsi="Arial" w:cs="Arial"/>
          <w:color w:val="000000" w:themeColor="text1"/>
          <w:sz w:val="24"/>
          <w:szCs w:val="24"/>
          <w:lang w:val="en-US"/>
        </w:rPr>
        <w:t xml:space="preserve"> </w:t>
      </w:r>
      <w:r w:rsidR="00AA2C38">
        <w:rPr>
          <w:rFonts w:ascii="Arial" w:hAnsi="Arial" w:cs="Arial"/>
          <w:color w:val="000000" w:themeColor="text1"/>
          <w:sz w:val="24"/>
          <w:szCs w:val="24"/>
          <w:lang w:val="en-US"/>
        </w:rPr>
        <w:t xml:space="preserve"> Plaintiff </w:t>
      </w:r>
      <w:r w:rsidR="00124778" w:rsidRPr="00D049B1">
        <w:rPr>
          <w:rFonts w:ascii="Arial" w:hAnsi="Arial" w:cs="Arial"/>
          <w:color w:val="000000" w:themeColor="text1"/>
          <w:sz w:val="24"/>
          <w:szCs w:val="24"/>
          <w:lang w:val="en-US"/>
        </w:rPr>
        <w:t>argued that this court does not have to con</w:t>
      </w:r>
      <w:r w:rsidRPr="00D049B1">
        <w:rPr>
          <w:rFonts w:ascii="Arial" w:hAnsi="Arial" w:cs="Arial"/>
          <w:color w:val="000000" w:themeColor="text1"/>
          <w:sz w:val="24"/>
          <w:szCs w:val="24"/>
          <w:lang w:val="en-US"/>
        </w:rPr>
        <w:t>cern</w:t>
      </w:r>
      <w:r w:rsidR="00124778" w:rsidRPr="00D049B1">
        <w:rPr>
          <w:rFonts w:ascii="Arial" w:hAnsi="Arial" w:cs="Arial"/>
          <w:color w:val="000000" w:themeColor="text1"/>
          <w:sz w:val="24"/>
          <w:szCs w:val="24"/>
          <w:lang w:val="en-US"/>
        </w:rPr>
        <w:t xml:space="preserve"> itself with anything prior to 31 May 2017 because the account of the defendant was in credit</w:t>
      </w:r>
      <w:r w:rsidRPr="00D049B1">
        <w:rPr>
          <w:rFonts w:ascii="Arial" w:hAnsi="Arial" w:cs="Arial"/>
          <w:color w:val="000000" w:themeColor="text1"/>
          <w:sz w:val="24"/>
          <w:szCs w:val="24"/>
          <w:lang w:val="en-US"/>
        </w:rPr>
        <w:t>.</w:t>
      </w:r>
      <w:r w:rsidR="00D049B1" w:rsidRPr="00D049B1">
        <w:rPr>
          <w:rFonts w:ascii="Arial" w:hAnsi="Arial" w:cs="Arial"/>
          <w:color w:val="000000" w:themeColor="text1"/>
          <w:sz w:val="24"/>
          <w:szCs w:val="24"/>
          <w:lang w:val="en-US"/>
        </w:rPr>
        <w:t xml:space="preserve"> </w:t>
      </w:r>
      <w:r w:rsidR="00271D6C" w:rsidRPr="00D049B1">
        <w:rPr>
          <w:rFonts w:ascii="Arial" w:hAnsi="Arial" w:cs="Arial"/>
          <w:color w:val="000000" w:themeColor="text1"/>
          <w:sz w:val="24"/>
          <w:szCs w:val="24"/>
          <w:lang w:val="en-US"/>
        </w:rPr>
        <w:t xml:space="preserve">Plaintiff argued that interest is something that was agreed between the parties. If payment was not made on time </w:t>
      </w:r>
      <w:r w:rsidR="005F0F41">
        <w:rPr>
          <w:rFonts w:ascii="Arial" w:hAnsi="Arial" w:cs="Arial"/>
          <w:color w:val="000000" w:themeColor="text1"/>
          <w:sz w:val="24"/>
          <w:szCs w:val="24"/>
          <w:lang w:val="en-US"/>
        </w:rPr>
        <w:t xml:space="preserve">parties agreed that </w:t>
      </w:r>
      <w:r w:rsidR="00271D6C" w:rsidRPr="00D049B1">
        <w:rPr>
          <w:rFonts w:ascii="Arial" w:hAnsi="Arial" w:cs="Arial"/>
          <w:color w:val="000000" w:themeColor="text1"/>
          <w:sz w:val="24"/>
          <w:szCs w:val="24"/>
          <w:lang w:val="en-US"/>
        </w:rPr>
        <w:t xml:space="preserve">there would be a charge. </w:t>
      </w:r>
    </w:p>
    <w:p w14:paraId="17B74E72" w14:textId="5242EACD" w:rsidR="00D049B1" w:rsidRPr="00D049B1" w:rsidRDefault="00D049B1" w:rsidP="00D049B1">
      <w:pPr>
        <w:spacing w:line="480" w:lineRule="auto"/>
        <w:ind w:left="720" w:hanging="720"/>
        <w:jc w:val="both"/>
        <w:rPr>
          <w:rFonts w:ascii="Arial" w:hAnsi="Arial" w:cs="Arial"/>
          <w:i/>
          <w:iCs/>
          <w:color w:val="000000" w:themeColor="text1"/>
          <w:sz w:val="24"/>
          <w:szCs w:val="24"/>
          <w:lang w:val="en-US"/>
        </w:rPr>
      </w:pPr>
      <w:r w:rsidRPr="00D049B1">
        <w:rPr>
          <w:rFonts w:ascii="Arial" w:hAnsi="Arial" w:cs="Arial"/>
          <w:i/>
          <w:iCs/>
          <w:color w:val="000000" w:themeColor="text1"/>
          <w:sz w:val="24"/>
          <w:szCs w:val="24"/>
          <w:lang w:val="en-US"/>
        </w:rPr>
        <w:t>Defendant’s legal submissions</w:t>
      </w:r>
    </w:p>
    <w:p w14:paraId="1E0938A1" w14:textId="5E6CB487" w:rsidR="00FD36E1" w:rsidRDefault="00F075E4" w:rsidP="00097512">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4C2A3A">
        <w:rPr>
          <w:rFonts w:ascii="Arial" w:hAnsi="Arial" w:cs="Arial"/>
          <w:sz w:val="24"/>
          <w:szCs w:val="24"/>
          <w:lang w:val="en-US"/>
        </w:rPr>
        <w:t>2</w:t>
      </w:r>
      <w:r w:rsidR="00A66A01">
        <w:rPr>
          <w:rFonts w:ascii="Arial" w:hAnsi="Arial" w:cs="Arial"/>
          <w:sz w:val="24"/>
          <w:szCs w:val="24"/>
          <w:lang w:val="en-US"/>
        </w:rPr>
        <w:t>7</w:t>
      </w:r>
      <w:r>
        <w:rPr>
          <w:rFonts w:ascii="Arial" w:hAnsi="Arial" w:cs="Arial"/>
          <w:sz w:val="24"/>
          <w:szCs w:val="24"/>
          <w:lang w:val="en-US"/>
        </w:rPr>
        <w:t xml:space="preserve">] </w:t>
      </w:r>
      <w:r w:rsidR="00097512">
        <w:rPr>
          <w:rFonts w:ascii="Arial" w:hAnsi="Arial" w:cs="Arial"/>
          <w:sz w:val="24"/>
          <w:szCs w:val="24"/>
          <w:lang w:val="en-US"/>
        </w:rPr>
        <w:tab/>
      </w:r>
      <w:r w:rsidR="00761424">
        <w:rPr>
          <w:rFonts w:ascii="Arial" w:hAnsi="Arial" w:cs="Arial"/>
          <w:sz w:val="24"/>
          <w:szCs w:val="24"/>
          <w:lang w:val="en-US"/>
        </w:rPr>
        <w:t xml:space="preserve">Mr </w:t>
      </w:r>
      <w:r w:rsidR="00097512">
        <w:rPr>
          <w:rFonts w:ascii="Arial" w:hAnsi="Arial" w:cs="Arial"/>
          <w:sz w:val="24"/>
          <w:szCs w:val="24"/>
          <w:lang w:val="en-US"/>
        </w:rPr>
        <w:t>Matoti</w:t>
      </w:r>
      <w:r w:rsidR="004C029A">
        <w:rPr>
          <w:rFonts w:ascii="Arial" w:hAnsi="Arial" w:cs="Arial"/>
          <w:sz w:val="24"/>
          <w:szCs w:val="24"/>
          <w:lang w:val="en-US"/>
        </w:rPr>
        <w:t>e</w:t>
      </w:r>
      <w:r w:rsidR="00097512">
        <w:rPr>
          <w:rFonts w:ascii="Arial" w:hAnsi="Arial" w:cs="Arial"/>
          <w:sz w:val="24"/>
          <w:szCs w:val="24"/>
          <w:lang w:val="en-US"/>
        </w:rPr>
        <w:t xml:space="preserve"> argued</w:t>
      </w:r>
      <w:r w:rsidR="00761424">
        <w:rPr>
          <w:rFonts w:ascii="Arial" w:hAnsi="Arial" w:cs="Arial"/>
          <w:sz w:val="24"/>
          <w:szCs w:val="24"/>
          <w:lang w:val="en-US"/>
        </w:rPr>
        <w:t xml:space="preserve"> that the defences raised are bona fide and the court should refuse summary judgment. </w:t>
      </w:r>
      <w:r w:rsidR="00E115F8">
        <w:rPr>
          <w:rFonts w:ascii="Arial" w:hAnsi="Arial" w:cs="Arial"/>
          <w:sz w:val="24"/>
          <w:szCs w:val="24"/>
          <w:lang w:val="en-US"/>
        </w:rPr>
        <w:t xml:space="preserve"> He relied on</w:t>
      </w:r>
      <w:r w:rsidR="00FD36E1">
        <w:rPr>
          <w:rFonts w:ascii="Arial" w:hAnsi="Arial" w:cs="Arial"/>
          <w:sz w:val="24"/>
          <w:szCs w:val="24"/>
          <w:lang w:val="en-US"/>
        </w:rPr>
        <w:t xml:space="preserve"> </w:t>
      </w:r>
      <w:r w:rsidR="00FD36E1" w:rsidRPr="00097512">
        <w:rPr>
          <w:rFonts w:ascii="Arial" w:hAnsi="Arial" w:cs="Arial"/>
          <w:b/>
          <w:bCs/>
          <w:i/>
          <w:iCs/>
          <w:sz w:val="24"/>
          <w:szCs w:val="24"/>
          <w:lang w:val="en-US"/>
        </w:rPr>
        <w:t xml:space="preserve">Tumileng Trading CC v National Security and Fire </w:t>
      </w:r>
      <w:r w:rsidR="004C2A3A" w:rsidRPr="00097512">
        <w:rPr>
          <w:rFonts w:ascii="Arial" w:hAnsi="Arial" w:cs="Arial"/>
          <w:b/>
          <w:bCs/>
          <w:i/>
          <w:iCs/>
          <w:sz w:val="24"/>
          <w:szCs w:val="24"/>
          <w:lang w:val="en-US"/>
        </w:rPr>
        <w:t>(Pty</w:t>
      </w:r>
      <w:r w:rsidR="00FD36E1" w:rsidRPr="00097512">
        <w:rPr>
          <w:rFonts w:ascii="Arial" w:hAnsi="Arial" w:cs="Arial"/>
          <w:b/>
          <w:bCs/>
          <w:i/>
          <w:iCs/>
          <w:sz w:val="24"/>
          <w:szCs w:val="24"/>
          <w:lang w:val="en-US"/>
        </w:rPr>
        <w:t>) Ltd</w:t>
      </w:r>
      <w:r w:rsidR="00FD36E1" w:rsidRPr="00FD36E1">
        <w:rPr>
          <w:rStyle w:val="FootnoteReference"/>
          <w:rFonts w:ascii="Arial" w:hAnsi="Arial" w:cs="Arial"/>
          <w:b/>
          <w:bCs/>
          <w:sz w:val="24"/>
          <w:szCs w:val="24"/>
          <w:lang w:val="en-US"/>
        </w:rPr>
        <w:footnoteReference w:id="5"/>
      </w:r>
      <w:r w:rsidR="00FD36E1">
        <w:rPr>
          <w:rFonts w:ascii="Arial" w:hAnsi="Arial" w:cs="Arial"/>
          <w:sz w:val="24"/>
          <w:szCs w:val="24"/>
          <w:lang w:val="en-US"/>
        </w:rPr>
        <w:t xml:space="preserve">, where Binns-Ward J </w:t>
      </w:r>
      <w:r w:rsidR="00856FE9">
        <w:rPr>
          <w:rFonts w:ascii="Arial" w:hAnsi="Arial" w:cs="Arial"/>
          <w:sz w:val="24"/>
          <w:szCs w:val="24"/>
          <w:lang w:val="en-US"/>
        </w:rPr>
        <w:t>held:</w:t>
      </w:r>
      <w:r w:rsidR="00FD36E1">
        <w:rPr>
          <w:rFonts w:ascii="Arial" w:hAnsi="Arial" w:cs="Arial"/>
          <w:sz w:val="24"/>
          <w:szCs w:val="24"/>
          <w:lang w:val="en-US"/>
        </w:rPr>
        <w:t xml:space="preserve"> </w:t>
      </w:r>
    </w:p>
    <w:p w14:paraId="1DFA4C0E" w14:textId="404FD9BE" w:rsidR="00FD36E1" w:rsidRDefault="00FD36E1" w:rsidP="0084137E">
      <w:pPr>
        <w:spacing w:line="276" w:lineRule="auto"/>
        <w:ind w:left="1276" w:hanging="1276"/>
        <w:jc w:val="both"/>
        <w:rPr>
          <w:rFonts w:ascii="Arial" w:hAnsi="Arial" w:cs="Arial"/>
          <w:sz w:val="20"/>
          <w:szCs w:val="20"/>
          <w:lang w:val="en-US"/>
        </w:rPr>
      </w:pPr>
      <w:r>
        <w:rPr>
          <w:rFonts w:ascii="Arial" w:hAnsi="Arial" w:cs="Arial"/>
          <w:sz w:val="24"/>
          <w:szCs w:val="24"/>
          <w:lang w:val="en-US"/>
        </w:rPr>
        <w:lastRenderedPageBreak/>
        <w:t xml:space="preserve">          </w:t>
      </w:r>
      <w:r>
        <w:rPr>
          <w:rFonts w:ascii="Arial" w:hAnsi="Arial" w:cs="Arial"/>
          <w:sz w:val="24"/>
          <w:szCs w:val="24"/>
          <w:lang w:val="en-US"/>
        </w:rPr>
        <w:tab/>
      </w:r>
      <w:r w:rsidR="00097512" w:rsidRPr="00FD36E1">
        <w:rPr>
          <w:rFonts w:ascii="Arial" w:hAnsi="Arial" w:cs="Arial"/>
          <w:sz w:val="20"/>
          <w:szCs w:val="20"/>
          <w:lang w:val="en-US"/>
        </w:rPr>
        <w:t>“A</w:t>
      </w:r>
      <w:r w:rsidRPr="00FD36E1">
        <w:rPr>
          <w:rFonts w:ascii="Arial" w:hAnsi="Arial" w:cs="Arial"/>
          <w:sz w:val="20"/>
          <w:szCs w:val="20"/>
          <w:lang w:val="en-US"/>
        </w:rPr>
        <w:t xml:space="preserve"> defendant is not required to show that its defence is likely to prevail. If a defendant can show that it has a legally cognizable defence on the face of it, and that the defence is genuine or </w:t>
      </w:r>
      <w:r w:rsidRPr="00FD36E1">
        <w:rPr>
          <w:rFonts w:ascii="Arial" w:hAnsi="Arial" w:cs="Arial"/>
          <w:i/>
          <w:iCs/>
          <w:sz w:val="20"/>
          <w:szCs w:val="20"/>
          <w:lang w:val="en-US"/>
        </w:rPr>
        <w:t>bona fide</w:t>
      </w:r>
      <w:r w:rsidRPr="00FD36E1">
        <w:rPr>
          <w:rFonts w:ascii="Arial" w:hAnsi="Arial" w:cs="Arial"/>
          <w:sz w:val="20"/>
          <w:szCs w:val="20"/>
          <w:lang w:val="en-US"/>
        </w:rPr>
        <w:t>, summary judgment must be refused. The defendant’s prospects of success are irrelevant”</w:t>
      </w:r>
      <w:r>
        <w:rPr>
          <w:rFonts w:ascii="Arial" w:hAnsi="Arial" w:cs="Arial"/>
          <w:sz w:val="20"/>
          <w:szCs w:val="20"/>
          <w:lang w:val="en-US"/>
        </w:rPr>
        <w:t>.</w:t>
      </w:r>
    </w:p>
    <w:p w14:paraId="4A97E622" w14:textId="115AEA86" w:rsidR="00FD36E1" w:rsidRPr="00F075E4" w:rsidRDefault="00097512" w:rsidP="00097512">
      <w:pPr>
        <w:spacing w:line="480" w:lineRule="auto"/>
        <w:ind w:left="720" w:hanging="720"/>
        <w:jc w:val="both"/>
        <w:rPr>
          <w:rFonts w:ascii="Arial" w:hAnsi="Arial" w:cs="Arial"/>
          <w:b/>
          <w:bCs/>
          <w:sz w:val="24"/>
          <w:szCs w:val="24"/>
          <w:lang w:val="en-US"/>
        </w:rPr>
      </w:pPr>
      <w:r>
        <w:rPr>
          <w:rFonts w:ascii="Arial" w:hAnsi="Arial" w:cs="Arial"/>
          <w:sz w:val="24"/>
          <w:szCs w:val="24"/>
          <w:lang w:val="en-US"/>
        </w:rPr>
        <w:t>[</w:t>
      </w:r>
      <w:r w:rsidR="00A66A01">
        <w:rPr>
          <w:rFonts w:ascii="Arial" w:hAnsi="Arial" w:cs="Arial"/>
          <w:sz w:val="24"/>
          <w:szCs w:val="24"/>
          <w:lang w:val="en-US"/>
        </w:rPr>
        <w:t>28</w:t>
      </w:r>
      <w:r>
        <w:rPr>
          <w:rFonts w:ascii="Arial" w:hAnsi="Arial" w:cs="Arial"/>
          <w:sz w:val="24"/>
          <w:szCs w:val="24"/>
          <w:lang w:val="en-US"/>
        </w:rPr>
        <w:t>]</w:t>
      </w:r>
      <w:r>
        <w:rPr>
          <w:rFonts w:ascii="Arial" w:hAnsi="Arial" w:cs="Arial"/>
          <w:sz w:val="24"/>
          <w:szCs w:val="24"/>
          <w:lang w:val="en-US"/>
        </w:rPr>
        <w:tab/>
      </w:r>
      <w:r w:rsidR="00FD36E1" w:rsidRPr="00F075E4">
        <w:rPr>
          <w:rFonts w:ascii="Arial" w:hAnsi="Arial" w:cs="Arial"/>
          <w:sz w:val="24"/>
          <w:szCs w:val="24"/>
          <w:lang w:val="en-US"/>
        </w:rPr>
        <w:t>He further submitted that an acknowledgment after a claim had already</w:t>
      </w:r>
      <w:r w:rsidR="00F075E4">
        <w:rPr>
          <w:rFonts w:ascii="Arial" w:hAnsi="Arial" w:cs="Arial"/>
          <w:sz w:val="24"/>
          <w:szCs w:val="24"/>
          <w:lang w:val="en-US"/>
        </w:rPr>
        <w:t xml:space="preserve"> </w:t>
      </w:r>
      <w:r w:rsidR="00FD36E1" w:rsidRPr="00F075E4">
        <w:rPr>
          <w:rFonts w:ascii="Arial" w:hAnsi="Arial" w:cs="Arial"/>
          <w:sz w:val="24"/>
          <w:szCs w:val="24"/>
          <w:lang w:val="en-US"/>
        </w:rPr>
        <w:t xml:space="preserve">prescribed does not interrupt prescription. In this regard he relied on </w:t>
      </w:r>
      <w:r w:rsidR="00FD36E1" w:rsidRPr="0043702A">
        <w:rPr>
          <w:rFonts w:ascii="Arial" w:hAnsi="Arial" w:cs="Arial"/>
          <w:b/>
          <w:bCs/>
          <w:i/>
          <w:iCs/>
          <w:sz w:val="24"/>
          <w:szCs w:val="24"/>
          <w:lang w:val="en-US"/>
        </w:rPr>
        <w:t>Desai NO v Desai and Others</w:t>
      </w:r>
      <w:r w:rsidR="00F075E4">
        <w:rPr>
          <w:rStyle w:val="FootnoteReference"/>
          <w:rFonts w:ascii="Arial" w:hAnsi="Arial" w:cs="Arial"/>
          <w:b/>
          <w:bCs/>
          <w:sz w:val="24"/>
          <w:szCs w:val="24"/>
          <w:lang w:val="en-US"/>
        </w:rPr>
        <w:footnoteReference w:id="6"/>
      </w:r>
      <w:r w:rsidR="00FD36E1" w:rsidRPr="00F075E4">
        <w:rPr>
          <w:rFonts w:ascii="Arial" w:hAnsi="Arial" w:cs="Arial"/>
          <w:b/>
          <w:bCs/>
          <w:sz w:val="24"/>
          <w:szCs w:val="24"/>
          <w:lang w:val="en-US"/>
        </w:rPr>
        <w:t xml:space="preserve"> </w:t>
      </w:r>
    </w:p>
    <w:p w14:paraId="228BB3F6" w14:textId="466B64B9" w:rsidR="001D0DC1" w:rsidRDefault="00F075E4" w:rsidP="00202421">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A66A01">
        <w:rPr>
          <w:rFonts w:ascii="Arial" w:hAnsi="Arial" w:cs="Arial"/>
          <w:sz w:val="24"/>
          <w:szCs w:val="24"/>
          <w:lang w:val="en-US"/>
        </w:rPr>
        <w:t>29</w:t>
      </w:r>
      <w:r>
        <w:rPr>
          <w:rFonts w:ascii="Arial" w:hAnsi="Arial" w:cs="Arial"/>
          <w:sz w:val="24"/>
          <w:szCs w:val="24"/>
          <w:lang w:val="en-US"/>
        </w:rPr>
        <w:t xml:space="preserve">] </w:t>
      </w:r>
      <w:r w:rsidR="00097512">
        <w:rPr>
          <w:rFonts w:ascii="Arial" w:hAnsi="Arial" w:cs="Arial"/>
          <w:sz w:val="24"/>
          <w:szCs w:val="24"/>
          <w:lang w:val="en-US"/>
        </w:rPr>
        <w:tab/>
      </w:r>
      <w:r w:rsidR="00761424">
        <w:rPr>
          <w:rFonts w:ascii="Arial" w:hAnsi="Arial" w:cs="Arial"/>
          <w:sz w:val="24"/>
          <w:szCs w:val="24"/>
          <w:lang w:val="en-US"/>
        </w:rPr>
        <w:t xml:space="preserve">He submitted that the accumulated interest that is being claimed was never demanded. The particulars of claim do not allege that a demand was made prior to the issuing of the summons. </w:t>
      </w:r>
      <w:r w:rsidR="001D0DC1">
        <w:rPr>
          <w:rFonts w:ascii="Arial" w:hAnsi="Arial" w:cs="Arial"/>
          <w:sz w:val="24"/>
          <w:szCs w:val="24"/>
          <w:lang w:val="en-US"/>
        </w:rPr>
        <w:t xml:space="preserve"> The correctness of any interest calculated is placed in dispute and that is an issue for determination by the trial court. </w:t>
      </w:r>
    </w:p>
    <w:p w14:paraId="545A8ADA" w14:textId="2DF186F7" w:rsidR="001D0DC1" w:rsidRDefault="001D0DC1" w:rsidP="00202421">
      <w:pPr>
        <w:spacing w:line="480" w:lineRule="auto"/>
        <w:ind w:left="720" w:hanging="720"/>
        <w:jc w:val="both"/>
        <w:rPr>
          <w:rFonts w:ascii="Arial" w:hAnsi="Arial" w:cs="Arial"/>
          <w:sz w:val="24"/>
          <w:szCs w:val="24"/>
          <w:lang w:val="en-US"/>
        </w:rPr>
      </w:pPr>
      <w:r>
        <w:rPr>
          <w:rFonts w:ascii="Arial" w:hAnsi="Arial" w:cs="Arial"/>
          <w:sz w:val="24"/>
          <w:szCs w:val="24"/>
          <w:lang w:val="en-US"/>
        </w:rPr>
        <w:t>[3</w:t>
      </w:r>
      <w:r w:rsidR="00A66A01">
        <w:rPr>
          <w:rFonts w:ascii="Arial" w:hAnsi="Arial" w:cs="Arial"/>
          <w:sz w:val="24"/>
          <w:szCs w:val="24"/>
          <w:lang w:val="en-US"/>
        </w:rPr>
        <w:t>0</w:t>
      </w:r>
      <w:r w:rsidR="00856FE9">
        <w:rPr>
          <w:rFonts w:ascii="Arial" w:hAnsi="Arial" w:cs="Arial"/>
          <w:sz w:val="24"/>
          <w:szCs w:val="24"/>
          <w:lang w:val="en-US"/>
        </w:rPr>
        <w:t xml:space="preserve">] </w:t>
      </w:r>
      <w:r w:rsidR="00856FE9">
        <w:rPr>
          <w:rFonts w:ascii="Arial" w:hAnsi="Arial" w:cs="Arial"/>
          <w:sz w:val="24"/>
          <w:szCs w:val="24"/>
          <w:lang w:val="en-US"/>
        </w:rPr>
        <w:tab/>
      </w:r>
      <w:r>
        <w:rPr>
          <w:rFonts w:ascii="Arial" w:hAnsi="Arial" w:cs="Arial"/>
          <w:sz w:val="24"/>
          <w:szCs w:val="24"/>
          <w:lang w:val="en-US"/>
        </w:rPr>
        <w:t>It was submitted that if the court has regard to “MM3</w:t>
      </w:r>
      <w:r w:rsidR="0043702A">
        <w:rPr>
          <w:rFonts w:ascii="Arial" w:hAnsi="Arial" w:cs="Arial"/>
          <w:sz w:val="24"/>
          <w:szCs w:val="24"/>
          <w:lang w:val="en-US"/>
        </w:rPr>
        <w:t>”,</w:t>
      </w:r>
      <w:r>
        <w:rPr>
          <w:rFonts w:ascii="Arial" w:hAnsi="Arial" w:cs="Arial"/>
          <w:sz w:val="24"/>
          <w:szCs w:val="24"/>
          <w:lang w:val="en-US"/>
        </w:rPr>
        <w:t xml:space="preserve"> it would observe that no interest is claimed on that invoice.  </w:t>
      </w:r>
      <w:r w:rsidR="006C7A6B">
        <w:rPr>
          <w:rFonts w:ascii="Arial" w:hAnsi="Arial" w:cs="Arial"/>
          <w:sz w:val="24"/>
          <w:szCs w:val="24"/>
          <w:lang w:val="en-US"/>
        </w:rPr>
        <w:t xml:space="preserve">It was further submitted that a comparison of amounts in </w:t>
      </w:r>
      <w:r w:rsidR="00FB1901">
        <w:rPr>
          <w:rFonts w:ascii="Arial" w:hAnsi="Arial" w:cs="Arial"/>
          <w:sz w:val="24"/>
          <w:szCs w:val="24"/>
          <w:lang w:val="en-US"/>
        </w:rPr>
        <w:t>“POC</w:t>
      </w:r>
      <w:r w:rsidR="006C7A6B">
        <w:rPr>
          <w:rFonts w:ascii="Arial" w:hAnsi="Arial" w:cs="Arial"/>
          <w:sz w:val="24"/>
          <w:szCs w:val="24"/>
          <w:lang w:val="en-US"/>
        </w:rPr>
        <w:t>6</w:t>
      </w:r>
      <w:r w:rsidR="00FB1901">
        <w:rPr>
          <w:rFonts w:ascii="Arial" w:hAnsi="Arial" w:cs="Arial"/>
          <w:sz w:val="24"/>
          <w:szCs w:val="24"/>
          <w:lang w:val="en-US"/>
        </w:rPr>
        <w:t>”</w:t>
      </w:r>
      <w:r w:rsidR="00692692">
        <w:rPr>
          <w:rFonts w:ascii="Arial" w:hAnsi="Arial" w:cs="Arial"/>
          <w:sz w:val="24"/>
          <w:szCs w:val="24"/>
          <w:lang w:val="en-US"/>
        </w:rPr>
        <w:t xml:space="preserve"> </w:t>
      </w:r>
      <w:r w:rsidR="00FB1901">
        <w:rPr>
          <w:rFonts w:ascii="Arial" w:hAnsi="Arial" w:cs="Arial"/>
          <w:sz w:val="24"/>
          <w:szCs w:val="24"/>
          <w:lang w:val="en-US"/>
        </w:rPr>
        <w:t>or</w:t>
      </w:r>
      <w:r w:rsidR="006C7A6B">
        <w:rPr>
          <w:rFonts w:ascii="Arial" w:hAnsi="Arial" w:cs="Arial"/>
          <w:sz w:val="24"/>
          <w:szCs w:val="24"/>
          <w:lang w:val="en-US"/>
        </w:rPr>
        <w:t xml:space="preserve"> </w:t>
      </w:r>
      <w:r w:rsidR="00692692">
        <w:rPr>
          <w:rFonts w:ascii="Arial" w:hAnsi="Arial" w:cs="Arial"/>
          <w:sz w:val="24"/>
          <w:szCs w:val="24"/>
          <w:lang w:val="en-US"/>
        </w:rPr>
        <w:t>“</w:t>
      </w:r>
      <w:r w:rsidR="006C7A6B">
        <w:rPr>
          <w:rFonts w:ascii="Arial" w:hAnsi="Arial" w:cs="Arial"/>
          <w:sz w:val="24"/>
          <w:szCs w:val="24"/>
          <w:lang w:val="en-US"/>
        </w:rPr>
        <w:t>JP</w:t>
      </w:r>
      <w:r w:rsidR="00856FE9">
        <w:rPr>
          <w:rFonts w:ascii="Arial" w:hAnsi="Arial" w:cs="Arial"/>
          <w:sz w:val="24"/>
          <w:szCs w:val="24"/>
          <w:lang w:val="en-US"/>
        </w:rPr>
        <w:t xml:space="preserve">5 </w:t>
      </w:r>
      <w:r w:rsidR="0043702A">
        <w:rPr>
          <w:rFonts w:ascii="Arial" w:hAnsi="Arial" w:cs="Arial"/>
          <w:sz w:val="24"/>
          <w:szCs w:val="24"/>
          <w:lang w:val="en-US"/>
        </w:rPr>
        <w:t>“with</w:t>
      </w:r>
      <w:r w:rsidR="006C7A6B">
        <w:rPr>
          <w:rFonts w:ascii="Arial" w:hAnsi="Arial" w:cs="Arial"/>
          <w:sz w:val="24"/>
          <w:szCs w:val="24"/>
          <w:lang w:val="en-US"/>
        </w:rPr>
        <w:t xml:space="preserve"> the amount contained in the</w:t>
      </w:r>
      <w:r w:rsidR="00DF7D89">
        <w:rPr>
          <w:rFonts w:ascii="Arial" w:hAnsi="Arial" w:cs="Arial"/>
          <w:sz w:val="24"/>
          <w:szCs w:val="24"/>
          <w:lang w:val="en-US"/>
        </w:rPr>
        <w:t xml:space="preserve"> unsigned</w:t>
      </w:r>
      <w:r w:rsidR="006C7A6B">
        <w:rPr>
          <w:rFonts w:ascii="Arial" w:hAnsi="Arial" w:cs="Arial"/>
          <w:sz w:val="24"/>
          <w:szCs w:val="24"/>
          <w:lang w:val="en-US"/>
        </w:rPr>
        <w:t xml:space="preserve"> ‘settlement agreement’ that was prepared by the plaintiff there was a difference of (R6 365 350) which has not been explained. </w:t>
      </w:r>
      <w:r w:rsidR="00761424">
        <w:rPr>
          <w:rFonts w:ascii="Arial" w:hAnsi="Arial" w:cs="Arial"/>
          <w:sz w:val="24"/>
          <w:szCs w:val="24"/>
          <w:lang w:val="en-US"/>
        </w:rPr>
        <w:t>On this basis alone, it is submitted, the court should refuse summary judgment.</w:t>
      </w:r>
      <w:r>
        <w:rPr>
          <w:rFonts w:ascii="Arial" w:hAnsi="Arial" w:cs="Arial"/>
          <w:sz w:val="24"/>
          <w:szCs w:val="24"/>
          <w:lang w:val="en-US"/>
        </w:rPr>
        <w:t xml:space="preserve"> </w:t>
      </w:r>
      <w:r w:rsidR="006C7A6B">
        <w:rPr>
          <w:rFonts w:ascii="Arial" w:hAnsi="Arial" w:cs="Arial"/>
          <w:sz w:val="24"/>
          <w:szCs w:val="24"/>
          <w:lang w:val="en-US"/>
        </w:rPr>
        <w:t xml:space="preserve"> It was further submitted that the suggestion by the </w:t>
      </w:r>
      <w:r w:rsidR="00DF7D89">
        <w:rPr>
          <w:rFonts w:ascii="Arial" w:hAnsi="Arial" w:cs="Arial"/>
          <w:sz w:val="24"/>
          <w:szCs w:val="24"/>
          <w:lang w:val="en-US"/>
        </w:rPr>
        <w:t>plaintiff</w:t>
      </w:r>
      <w:r w:rsidR="006C7A6B">
        <w:rPr>
          <w:rFonts w:ascii="Arial" w:hAnsi="Arial" w:cs="Arial"/>
          <w:sz w:val="24"/>
          <w:szCs w:val="24"/>
          <w:lang w:val="en-US"/>
        </w:rPr>
        <w:t xml:space="preserve"> in argument that the court should simply subtract any amounts in dispute or prescribed would not assist in overcoming the </w:t>
      </w:r>
      <w:r w:rsidR="00F90142">
        <w:rPr>
          <w:rFonts w:ascii="Arial" w:hAnsi="Arial" w:cs="Arial"/>
          <w:sz w:val="24"/>
          <w:szCs w:val="24"/>
          <w:lang w:val="en-US"/>
        </w:rPr>
        <w:t xml:space="preserve">issues relating </w:t>
      </w:r>
      <w:r w:rsidR="0043702A">
        <w:rPr>
          <w:rFonts w:ascii="Arial" w:hAnsi="Arial" w:cs="Arial"/>
          <w:sz w:val="24"/>
          <w:szCs w:val="24"/>
          <w:lang w:val="en-US"/>
        </w:rPr>
        <w:t>to “</w:t>
      </w:r>
      <w:r w:rsidR="00FB1901">
        <w:rPr>
          <w:rFonts w:ascii="Arial" w:hAnsi="Arial" w:cs="Arial"/>
          <w:sz w:val="24"/>
          <w:szCs w:val="24"/>
          <w:lang w:val="en-US"/>
        </w:rPr>
        <w:t>POC</w:t>
      </w:r>
      <w:r w:rsidR="006C7A6B">
        <w:rPr>
          <w:rFonts w:ascii="Arial" w:hAnsi="Arial" w:cs="Arial"/>
          <w:sz w:val="24"/>
          <w:szCs w:val="24"/>
          <w:lang w:val="en-US"/>
        </w:rPr>
        <w:t xml:space="preserve"> 6” , which is the bedrock of the claim. </w:t>
      </w:r>
    </w:p>
    <w:p w14:paraId="549FC149" w14:textId="3B6B2214" w:rsidR="00761424" w:rsidRPr="00DF7D89" w:rsidRDefault="00FB1901" w:rsidP="00DF7D89">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856FE9">
        <w:rPr>
          <w:rFonts w:ascii="Arial" w:hAnsi="Arial" w:cs="Arial"/>
          <w:sz w:val="24"/>
          <w:szCs w:val="24"/>
          <w:lang w:val="en-US"/>
        </w:rPr>
        <w:t>3</w:t>
      </w:r>
      <w:r w:rsidR="00A66A01">
        <w:rPr>
          <w:rFonts w:ascii="Arial" w:hAnsi="Arial" w:cs="Arial"/>
          <w:sz w:val="24"/>
          <w:szCs w:val="24"/>
          <w:lang w:val="en-US"/>
        </w:rPr>
        <w:t>1</w:t>
      </w:r>
      <w:r>
        <w:rPr>
          <w:rFonts w:ascii="Arial" w:hAnsi="Arial" w:cs="Arial"/>
          <w:sz w:val="24"/>
          <w:szCs w:val="24"/>
          <w:lang w:val="en-US"/>
        </w:rPr>
        <w:t>]</w:t>
      </w:r>
      <w:r>
        <w:rPr>
          <w:rFonts w:ascii="Arial" w:hAnsi="Arial" w:cs="Arial"/>
          <w:sz w:val="24"/>
          <w:szCs w:val="24"/>
          <w:lang w:val="en-US"/>
        </w:rPr>
        <w:tab/>
      </w:r>
      <w:r w:rsidR="00917A1A">
        <w:rPr>
          <w:rFonts w:ascii="Arial" w:hAnsi="Arial" w:cs="Arial"/>
          <w:sz w:val="24"/>
          <w:szCs w:val="24"/>
          <w:lang w:val="en-US"/>
        </w:rPr>
        <w:t xml:space="preserve">Mr Matotie did not </w:t>
      </w:r>
      <w:r w:rsidR="002E0223">
        <w:rPr>
          <w:rFonts w:ascii="Arial" w:hAnsi="Arial" w:cs="Arial"/>
          <w:sz w:val="24"/>
          <w:szCs w:val="24"/>
          <w:lang w:val="en-US"/>
        </w:rPr>
        <w:t>argue</w:t>
      </w:r>
      <w:r w:rsidR="00917A1A">
        <w:rPr>
          <w:rFonts w:ascii="Arial" w:hAnsi="Arial" w:cs="Arial"/>
          <w:sz w:val="24"/>
          <w:szCs w:val="24"/>
          <w:lang w:val="en-US"/>
        </w:rPr>
        <w:t xml:space="preserve"> the non–compliance with the Institution Act point </w:t>
      </w:r>
      <w:r w:rsidR="002E0223">
        <w:rPr>
          <w:rFonts w:ascii="Arial" w:hAnsi="Arial" w:cs="Arial"/>
          <w:sz w:val="24"/>
          <w:szCs w:val="24"/>
          <w:lang w:val="en-US"/>
        </w:rPr>
        <w:t>but did not abandon it either.</w:t>
      </w:r>
      <w:r w:rsidR="00917A1A">
        <w:rPr>
          <w:rFonts w:ascii="Arial" w:hAnsi="Arial" w:cs="Arial"/>
          <w:sz w:val="24"/>
          <w:szCs w:val="24"/>
          <w:lang w:val="en-US"/>
        </w:rPr>
        <w:t xml:space="preserve"> </w:t>
      </w:r>
      <w:r w:rsidR="00761424" w:rsidRPr="00F90142">
        <w:rPr>
          <w:rFonts w:ascii="Arial" w:hAnsi="Arial" w:cs="Arial"/>
          <w:color w:val="000000" w:themeColor="text1"/>
          <w:sz w:val="24"/>
          <w:szCs w:val="24"/>
          <w:lang w:val="en-US"/>
        </w:rPr>
        <w:t>In it</w:t>
      </w:r>
      <w:r w:rsidR="00F90142" w:rsidRPr="00F90142">
        <w:rPr>
          <w:rFonts w:ascii="Arial" w:hAnsi="Arial" w:cs="Arial"/>
          <w:color w:val="000000" w:themeColor="text1"/>
          <w:sz w:val="24"/>
          <w:szCs w:val="24"/>
          <w:lang w:val="en-US"/>
        </w:rPr>
        <w:t>s opposing affidavit the d</w:t>
      </w:r>
      <w:r w:rsidR="00761424" w:rsidRPr="00F90142">
        <w:rPr>
          <w:rFonts w:ascii="Arial" w:hAnsi="Arial" w:cs="Arial"/>
          <w:color w:val="000000" w:themeColor="text1"/>
          <w:sz w:val="24"/>
          <w:szCs w:val="24"/>
          <w:lang w:val="en-US"/>
        </w:rPr>
        <w:t xml:space="preserve">efendant </w:t>
      </w:r>
      <w:r w:rsidR="00F90142" w:rsidRPr="00F90142">
        <w:rPr>
          <w:rFonts w:ascii="Arial" w:hAnsi="Arial" w:cs="Arial"/>
          <w:color w:val="000000" w:themeColor="text1"/>
          <w:sz w:val="24"/>
          <w:szCs w:val="24"/>
          <w:lang w:val="en-US"/>
        </w:rPr>
        <w:t xml:space="preserve">had </w:t>
      </w:r>
      <w:r w:rsidR="00761424" w:rsidRPr="00F90142">
        <w:rPr>
          <w:rFonts w:ascii="Arial" w:hAnsi="Arial" w:cs="Arial"/>
          <w:color w:val="000000" w:themeColor="text1"/>
          <w:sz w:val="24"/>
          <w:szCs w:val="24"/>
          <w:lang w:val="en-US"/>
        </w:rPr>
        <w:t>submit</w:t>
      </w:r>
      <w:r w:rsidR="00F90142" w:rsidRPr="00F90142">
        <w:rPr>
          <w:rFonts w:ascii="Arial" w:hAnsi="Arial" w:cs="Arial"/>
          <w:color w:val="000000" w:themeColor="text1"/>
          <w:sz w:val="24"/>
          <w:szCs w:val="24"/>
          <w:lang w:val="en-US"/>
        </w:rPr>
        <w:t xml:space="preserve">ted </w:t>
      </w:r>
      <w:r w:rsidR="00761424" w:rsidRPr="00F90142">
        <w:rPr>
          <w:rFonts w:ascii="Arial" w:hAnsi="Arial" w:cs="Arial"/>
          <w:color w:val="000000" w:themeColor="text1"/>
          <w:sz w:val="24"/>
          <w:szCs w:val="24"/>
          <w:lang w:val="en-US"/>
        </w:rPr>
        <w:t xml:space="preserve">that failure to give notice as envisaged in the Institution Act bars the plaintiff from continuing with the action. It was also argued that the attempt to seek </w:t>
      </w:r>
      <w:r w:rsidR="00761424" w:rsidRPr="00F90142">
        <w:rPr>
          <w:rFonts w:ascii="Arial" w:hAnsi="Arial" w:cs="Arial"/>
          <w:color w:val="000000" w:themeColor="text1"/>
          <w:sz w:val="24"/>
          <w:szCs w:val="24"/>
          <w:lang w:val="en-US"/>
        </w:rPr>
        <w:lastRenderedPageBreak/>
        <w:t xml:space="preserve">condonation for the non- compliance with the Institution </w:t>
      </w:r>
      <w:r w:rsidR="0043702A" w:rsidRPr="00F90142">
        <w:rPr>
          <w:rFonts w:ascii="Arial" w:hAnsi="Arial" w:cs="Arial"/>
          <w:color w:val="000000" w:themeColor="text1"/>
          <w:sz w:val="24"/>
          <w:szCs w:val="24"/>
          <w:lang w:val="en-US"/>
        </w:rPr>
        <w:t>Act in</w:t>
      </w:r>
      <w:r w:rsidR="00761424" w:rsidRPr="00F90142">
        <w:rPr>
          <w:rFonts w:ascii="Arial" w:hAnsi="Arial" w:cs="Arial"/>
          <w:color w:val="000000" w:themeColor="text1"/>
          <w:sz w:val="24"/>
          <w:szCs w:val="24"/>
          <w:lang w:val="en-US"/>
        </w:rPr>
        <w:t xml:space="preserve"> the application for summary judgment is impermissible. </w:t>
      </w:r>
    </w:p>
    <w:p w14:paraId="5D3DCB2D" w14:textId="77777777" w:rsidR="00DF4C22" w:rsidRPr="002268F7" w:rsidRDefault="00DF4C22" w:rsidP="00E0226A">
      <w:pPr>
        <w:spacing w:line="240" w:lineRule="auto"/>
        <w:ind w:left="720" w:hanging="720"/>
        <w:jc w:val="both"/>
        <w:rPr>
          <w:rFonts w:ascii="Arial" w:hAnsi="Arial" w:cs="Arial"/>
          <w:i/>
          <w:iCs/>
          <w:sz w:val="24"/>
          <w:szCs w:val="24"/>
          <w:lang w:val="en-US"/>
        </w:rPr>
      </w:pPr>
      <w:r w:rsidRPr="002268F7">
        <w:rPr>
          <w:rFonts w:ascii="Arial" w:hAnsi="Arial" w:cs="Arial"/>
          <w:i/>
          <w:iCs/>
          <w:sz w:val="24"/>
          <w:szCs w:val="24"/>
          <w:lang w:val="en-US"/>
        </w:rPr>
        <w:t>Discussion</w:t>
      </w:r>
    </w:p>
    <w:p w14:paraId="457B9841" w14:textId="06895EA2" w:rsidR="00CA3370" w:rsidRDefault="00DF4C22" w:rsidP="00F90142">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856FE9">
        <w:rPr>
          <w:rFonts w:ascii="Arial" w:hAnsi="Arial" w:cs="Arial"/>
          <w:sz w:val="24"/>
          <w:szCs w:val="24"/>
          <w:lang w:val="en-US"/>
        </w:rPr>
        <w:t>3</w:t>
      </w:r>
      <w:r w:rsidR="00A66A01">
        <w:rPr>
          <w:rFonts w:ascii="Arial" w:hAnsi="Arial" w:cs="Arial"/>
          <w:sz w:val="24"/>
          <w:szCs w:val="24"/>
          <w:lang w:val="en-US"/>
        </w:rPr>
        <w:t>2</w:t>
      </w:r>
      <w:r w:rsidR="0043702A">
        <w:rPr>
          <w:rFonts w:ascii="Arial" w:hAnsi="Arial" w:cs="Arial"/>
          <w:sz w:val="24"/>
          <w:szCs w:val="24"/>
          <w:lang w:val="en-US"/>
        </w:rPr>
        <w:t xml:space="preserve">] </w:t>
      </w:r>
      <w:r w:rsidR="0043702A">
        <w:rPr>
          <w:rFonts w:ascii="Arial" w:hAnsi="Arial" w:cs="Arial"/>
          <w:sz w:val="24"/>
          <w:szCs w:val="24"/>
          <w:lang w:val="en-US"/>
        </w:rPr>
        <w:tab/>
        <w:t>At</w:t>
      </w:r>
      <w:r w:rsidR="00CA3370">
        <w:rPr>
          <w:rFonts w:ascii="Arial" w:hAnsi="Arial" w:cs="Arial"/>
          <w:sz w:val="24"/>
          <w:szCs w:val="24"/>
          <w:lang w:val="en-US"/>
        </w:rPr>
        <w:t xml:space="preserve"> the hearing of this matter on 13 April 2023 the plaintiff’s counsel produced a document marked annexure “D</w:t>
      </w:r>
      <w:r w:rsidR="0043702A">
        <w:rPr>
          <w:rFonts w:ascii="Arial" w:hAnsi="Arial" w:cs="Arial"/>
          <w:sz w:val="24"/>
          <w:szCs w:val="24"/>
          <w:lang w:val="en-US"/>
        </w:rPr>
        <w:t>”.</w:t>
      </w:r>
      <w:r w:rsidR="00F90142">
        <w:rPr>
          <w:rFonts w:ascii="Arial" w:hAnsi="Arial" w:cs="Arial"/>
          <w:sz w:val="24"/>
          <w:szCs w:val="24"/>
          <w:lang w:val="en-US"/>
        </w:rPr>
        <w:t xml:space="preserve"> Annexure “</w:t>
      </w:r>
      <w:r w:rsidR="0043702A">
        <w:rPr>
          <w:rFonts w:ascii="Arial" w:hAnsi="Arial" w:cs="Arial"/>
          <w:sz w:val="24"/>
          <w:szCs w:val="24"/>
          <w:lang w:val="en-US"/>
        </w:rPr>
        <w:t>D” reflected a</w:t>
      </w:r>
      <w:r w:rsidR="00F90142">
        <w:rPr>
          <w:rFonts w:ascii="Arial" w:hAnsi="Arial" w:cs="Arial"/>
          <w:sz w:val="24"/>
          <w:szCs w:val="24"/>
          <w:lang w:val="en-US"/>
        </w:rPr>
        <w:t xml:space="preserve"> summary for rental, utilities &amp; other accounts per detailed ledger as R10 499 028.98 and for accumulated interest as R 2 751 514.29. In argument counsel for the plaintiff submitted that the balance owing was R5 525 </w:t>
      </w:r>
      <w:r w:rsidR="0043702A">
        <w:rPr>
          <w:rFonts w:ascii="Arial" w:hAnsi="Arial" w:cs="Arial"/>
          <w:sz w:val="24"/>
          <w:szCs w:val="24"/>
          <w:lang w:val="en-US"/>
        </w:rPr>
        <w:t>459.49</w:t>
      </w:r>
      <w:r w:rsidR="00F90142">
        <w:rPr>
          <w:rFonts w:ascii="Arial" w:hAnsi="Arial" w:cs="Arial"/>
          <w:sz w:val="24"/>
          <w:szCs w:val="24"/>
          <w:lang w:val="en-US"/>
        </w:rPr>
        <w:t xml:space="preserve"> </w:t>
      </w:r>
      <w:r w:rsidR="005E2266">
        <w:rPr>
          <w:rFonts w:ascii="Arial" w:hAnsi="Arial" w:cs="Arial"/>
          <w:sz w:val="24"/>
          <w:szCs w:val="24"/>
          <w:lang w:val="en-US"/>
        </w:rPr>
        <w:t>f</w:t>
      </w:r>
      <w:r w:rsidR="00F90142">
        <w:rPr>
          <w:rFonts w:ascii="Arial" w:hAnsi="Arial" w:cs="Arial"/>
          <w:sz w:val="24"/>
          <w:szCs w:val="24"/>
          <w:lang w:val="en-US"/>
        </w:rPr>
        <w:t xml:space="preserve">or the months of March and April for </w:t>
      </w:r>
      <w:r w:rsidR="0043702A">
        <w:rPr>
          <w:rFonts w:ascii="Arial" w:hAnsi="Arial" w:cs="Arial"/>
          <w:sz w:val="24"/>
          <w:szCs w:val="24"/>
          <w:lang w:val="en-US"/>
        </w:rPr>
        <w:t>rentals and</w:t>
      </w:r>
      <w:r w:rsidR="00F90142">
        <w:rPr>
          <w:rFonts w:ascii="Arial" w:hAnsi="Arial" w:cs="Arial"/>
          <w:sz w:val="24"/>
          <w:szCs w:val="24"/>
          <w:lang w:val="en-US"/>
        </w:rPr>
        <w:t xml:space="preserve"> interest for those months </w:t>
      </w:r>
      <w:r w:rsidR="0043702A">
        <w:rPr>
          <w:rFonts w:ascii="Arial" w:hAnsi="Arial" w:cs="Arial"/>
          <w:sz w:val="24"/>
          <w:szCs w:val="24"/>
          <w:lang w:val="en-US"/>
        </w:rPr>
        <w:t>being R</w:t>
      </w:r>
      <w:r w:rsidR="00F90142">
        <w:rPr>
          <w:rFonts w:ascii="Arial" w:hAnsi="Arial" w:cs="Arial"/>
          <w:sz w:val="24"/>
          <w:szCs w:val="24"/>
          <w:lang w:val="en-US"/>
        </w:rPr>
        <w:t xml:space="preserve">71 864.97 and R44 009.63, respectively. </w:t>
      </w:r>
      <w:r w:rsidR="004234EE">
        <w:rPr>
          <w:rFonts w:ascii="Arial" w:hAnsi="Arial" w:cs="Arial"/>
          <w:sz w:val="24"/>
          <w:szCs w:val="24"/>
          <w:lang w:val="en-US"/>
        </w:rPr>
        <w:t>In its further supplementary affidavit submitted on 21 April 2023, plaintiff</w:t>
      </w:r>
      <w:r w:rsidR="00AC3B7B">
        <w:rPr>
          <w:rFonts w:ascii="Arial" w:hAnsi="Arial" w:cs="Arial"/>
          <w:sz w:val="24"/>
          <w:szCs w:val="24"/>
          <w:lang w:val="en-US"/>
        </w:rPr>
        <w:t xml:space="preserve"> annexed another annexure “SA3” which has a total of R5 451 251.07</w:t>
      </w:r>
      <w:r w:rsidR="00E0226A">
        <w:rPr>
          <w:rFonts w:ascii="Arial" w:hAnsi="Arial" w:cs="Arial"/>
          <w:sz w:val="24"/>
          <w:szCs w:val="24"/>
          <w:lang w:val="en-US"/>
        </w:rPr>
        <w:t>.</w:t>
      </w:r>
      <w:r w:rsidR="00F90142">
        <w:rPr>
          <w:rFonts w:ascii="Arial" w:hAnsi="Arial" w:cs="Arial"/>
          <w:sz w:val="24"/>
          <w:szCs w:val="24"/>
          <w:lang w:val="en-US"/>
        </w:rPr>
        <w:t xml:space="preserve"> </w:t>
      </w:r>
    </w:p>
    <w:p w14:paraId="318CD91F" w14:textId="6689A428" w:rsidR="00CA3370" w:rsidRDefault="00CA3370" w:rsidP="00CA3370">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856FE9">
        <w:rPr>
          <w:rFonts w:ascii="Arial" w:hAnsi="Arial" w:cs="Arial"/>
          <w:sz w:val="24"/>
          <w:szCs w:val="24"/>
          <w:lang w:val="en-US"/>
        </w:rPr>
        <w:t>3</w:t>
      </w:r>
      <w:r w:rsidR="00A66A01">
        <w:rPr>
          <w:rFonts w:ascii="Arial" w:hAnsi="Arial" w:cs="Arial"/>
          <w:sz w:val="24"/>
          <w:szCs w:val="24"/>
          <w:lang w:val="en-US"/>
        </w:rPr>
        <w:t>3</w:t>
      </w:r>
      <w:r>
        <w:rPr>
          <w:rFonts w:ascii="Arial" w:hAnsi="Arial" w:cs="Arial"/>
          <w:sz w:val="24"/>
          <w:szCs w:val="24"/>
          <w:lang w:val="en-US"/>
        </w:rPr>
        <w:t>]</w:t>
      </w:r>
      <w:r w:rsidR="006A6B4F">
        <w:rPr>
          <w:rFonts w:ascii="Arial" w:hAnsi="Arial" w:cs="Arial"/>
          <w:sz w:val="24"/>
          <w:szCs w:val="24"/>
          <w:lang w:val="en-US"/>
        </w:rPr>
        <w:tab/>
      </w:r>
      <w:r>
        <w:rPr>
          <w:rFonts w:ascii="Arial" w:hAnsi="Arial" w:cs="Arial"/>
          <w:sz w:val="24"/>
          <w:szCs w:val="24"/>
          <w:lang w:val="en-US"/>
        </w:rPr>
        <w:t>As a result of this annexure the parties were afforded an opportunity to consider the annexure and make further submissions in relation t</w:t>
      </w:r>
      <w:r w:rsidR="00DF7D89">
        <w:rPr>
          <w:rFonts w:ascii="Arial" w:hAnsi="Arial" w:cs="Arial"/>
          <w:sz w:val="24"/>
          <w:szCs w:val="24"/>
          <w:lang w:val="en-US"/>
        </w:rPr>
        <w:t>hereto</w:t>
      </w:r>
      <w:r>
        <w:rPr>
          <w:rFonts w:ascii="Arial" w:hAnsi="Arial" w:cs="Arial"/>
          <w:sz w:val="24"/>
          <w:szCs w:val="24"/>
          <w:lang w:val="en-US"/>
        </w:rPr>
        <w:t xml:space="preserve">. Plaintiff did so timeously and the defendant submitted an affidavit on 26 May 2023.  Upon considering both submissions this court is of the view that nothing turns on those further submissions. </w:t>
      </w:r>
    </w:p>
    <w:p w14:paraId="1191650C" w14:textId="3E760D24" w:rsidR="00CA3370" w:rsidRDefault="006A6B4F" w:rsidP="00CA3370">
      <w:pPr>
        <w:spacing w:line="480" w:lineRule="auto"/>
        <w:ind w:left="720" w:hanging="720"/>
        <w:jc w:val="both"/>
        <w:rPr>
          <w:rFonts w:ascii="Arial" w:hAnsi="Arial" w:cs="Arial"/>
          <w:sz w:val="24"/>
          <w:szCs w:val="24"/>
          <w:lang w:val="en-US"/>
        </w:rPr>
      </w:pPr>
      <w:r>
        <w:rPr>
          <w:rFonts w:ascii="Arial" w:hAnsi="Arial" w:cs="Arial"/>
          <w:sz w:val="24"/>
          <w:szCs w:val="24"/>
          <w:lang w:val="en-US"/>
        </w:rPr>
        <w:t>[3</w:t>
      </w:r>
      <w:r w:rsidR="00A66A01">
        <w:rPr>
          <w:rFonts w:ascii="Arial" w:hAnsi="Arial" w:cs="Arial"/>
          <w:sz w:val="24"/>
          <w:szCs w:val="24"/>
          <w:lang w:val="en-US"/>
        </w:rPr>
        <w:t>4</w:t>
      </w:r>
      <w:r w:rsidR="0043702A">
        <w:rPr>
          <w:rFonts w:ascii="Arial" w:hAnsi="Arial" w:cs="Arial"/>
          <w:sz w:val="24"/>
          <w:szCs w:val="24"/>
          <w:lang w:val="en-US"/>
        </w:rPr>
        <w:t xml:space="preserve">] </w:t>
      </w:r>
      <w:r w:rsidR="0043702A">
        <w:rPr>
          <w:rFonts w:ascii="Arial" w:hAnsi="Arial" w:cs="Arial"/>
          <w:sz w:val="24"/>
          <w:szCs w:val="24"/>
          <w:lang w:val="en-US"/>
        </w:rPr>
        <w:tab/>
      </w:r>
      <w:r w:rsidR="00CA3370">
        <w:rPr>
          <w:rFonts w:ascii="Arial" w:hAnsi="Arial" w:cs="Arial"/>
          <w:sz w:val="24"/>
          <w:szCs w:val="24"/>
          <w:lang w:val="en-US"/>
        </w:rPr>
        <w:t xml:space="preserve">Plaintiff contends that invoices were issued and were not contested. </w:t>
      </w:r>
      <w:r w:rsidR="00B6168E">
        <w:rPr>
          <w:rFonts w:ascii="Arial" w:hAnsi="Arial" w:cs="Arial"/>
          <w:sz w:val="24"/>
          <w:szCs w:val="24"/>
          <w:lang w:val="en-US"/>
        </w:rPr>
        <w:t xml:space="preserve"> In its additional affidavit it attached one invoice that reflected an interest charge in the amount of R16 799.38, the remaining invoices had no interest or arrear amounts reflected thereon. </w:t>
      </w:r>
    </w:p>
    <w:p w14:paraId="06621EBE" w14:textId="0CF1712A" w:rsidR="00F6730F" w:rsidRPr="00DF7D89" w:rsidRDefault="00917A1A" w:rsidP="00081D5A">
      <w:pPr>
        <w:spacing w:line="480" w:lineRule="auto"/>
        <w:ind w:left="720" w:hanging="720"/>
        <w:jc w:val="both"/>
        <w:rPr>
          <w:rFonts w:ascii="Arial" w:hAnsi="Arial" w:cs="Arial"/>
          <w:color w:val="000000" w:themeColor="text1"/>
          <w:sz w:val="24"/>
          <w:szCs w:val="24"/>
          <w:lang w:val="en-US"/>
        </w:rPr>
      </w:pPr>
      <w:r>
        <w:rPr>
          <w:rFonts w:ascii="Arial" w:hAnsi="Arial" w:cs="Arial"/>
          <w:sz w:val="24"/>
          <w:szCs w:val="24"/>
          <w:lang w:val="en-US"/>
        </w:rPr>
        <w:t>[</w:t>
      </w:r>
      <w:r w:rsidR="006A6B4F">
        <w:rPr>
          <w:rFonts w:ascii="Arial" w:hAnsi="Arial" w:cs="Arial"/>
          <w:sz w:val="24"/>
          <w:szCs w:val="24"/>
          <w:lang w:val="en-US"/>
        </w:rPr>
        <w:t>3</w:t>
      </w:r>
      <w:r w:rsidR="00A66A01">
        <w:rPr>
          <w:rFonts w:ascii="Arial" w:hAnsi="Arial" w:cs="Arial"/>
          <w:sz w:val="24"/>
          <w:szCs w:val="24"/>
          <w:lang w:val="en-US"/>
        </w:rPr>
        <w:t>5</w:t>
      </w:r>
      <w:r>
        <w:rPr>
          <w:rFonts w:ascii="Arial" w:hAnsi="Arial" w:cs="Arial"/>
          <w:sz w:val="24"/>
          <w:szCs w:val="24"/>
          <w:lang w:val="en-US"/>
        </w:rPr>
        <w:t xml:space="preserve">] </w:t>
      </w:r>
      <w:r w:rsidR="00FB1901">
        <w:rPr>
          <w:rFonts w:ascii="Arial" w:hAnsi="Arial" w:cs="Arial"/>
          <w:sz w:val="24"/>
          <w:szCs w:val="24"/>
          <w:lang w:val="en-US"/>
        </w:rPr>
        <w:tab/>
      </w:r>
      <w:r w:rsidR="00081D5A" w:rsidRPr="00DF7D89">
        <w:rPr>
          <w:rFonts w:ascii="Arial" w:hAnsi="Arial" w:cs="Arial"/>
          <w:color w:val="000000" w:themeColor="text1"/>
          <w:sz w:val="24"/>
          <w:szCs w:val="24"/>
          <w:lang w:val="en-US"/>
        </w:rPr>
        <w:t xml:space="preserve">In its </w:t>
      </w:r>
      <w:r w:rsidRPr="00DF7D89">
        <w:rPr>
          <w:rFonts w:ascii="Arial" w:hAnsi="Arial" w:cs="Arial"/>
          <w:color w:val="000000" w:themeColor="text1"/>
          <w:sz w:val="24"/>
          <w:szCs w:val="24"/>
          <w:lang w:val="en-US"/>
        </w:rPr>
        <w:t>supporting</w:t>
      </w:r>
      <w:r w:rsidR="00081D5A" w:rsidRPr="00DF7D89">
        <w:rPr>
          <w:rFonts w:ascii="Arial" w:hAnsi="Arial" w:cs="Arial"/>
          <w:color w:val="000000" w:themeColor="text1"/>
          <w:sz w:val="24"/>
          <w:szCs w:val="24"/>
          <w:lang w:val="en-US"/>
        </w:rPr>
        <w:t xml:space="preserve"> affidavit </w:t>
      </w:r>
      <w:r w:rsidR="00FB1901" w:rsidRPr="00DF7D89">
        <w:rPr>
          <w:rFonts w:ascii="Arial" w:hAnsi="Arial" w:cs="Arial"/>
          <w:color w:val="000000" w:themeColor="text1"/>
          <w:sz w:val="24"/>
          <w:szCs w:val="24"/>
          <w:lang w:val="en-US"/>
        </w:rPr>
        <w:t>plaintiff stated</w:t>
      </w:r>
      <w:r w:rsidRPr="00DF7D89">
        <w:rPr>
          <w:rFonts w:ascii="Arial" w:hAnsi="Arial" w:cs="Arial"/>
          <w:color w:val="000000" w:themeColor="text1"/>
          <w:sz w:val="24"/>
          <w:szCs w:val="24"/>
          <w:lang w:val="en-US"/>
        </w:rPr>
        <w:t xml:space="preserve"> at para </w:t>
      </w:r>
      <w:r w:rsidR="00FB1901" w:rsidRPr="00DF7D89">
        <w:rPr>
          <w:rFonts w:ascii="Arial" w:hAnsi="Arial" w:cs="Arial"/>
          <w:color w:val="000000" w:themeColor="text1"/>
          <w:sz w:val="24"/>
          <w:szCs w:val="24"/>
          <w:lang w:val="en-US"/>
        </w:rPr>
        <w:t>53:</w:t>
      </w:r>
      <w:r w:rsidR="00F6730F" w:rsidRPr="00DF7D89">
        <w:rPr>
          <w:rFonts w:ascii="Arial" w:hAnsi="Arial" w:cs="Arial"/>
          <w:color w:val="000000" w:themeColor="text1"/>
          <w:sz w:val="24"/>
          <w:szCs w:val="24"/>
          <w:lang w:val="en-US"/>
        </w:rPr>
        <w:t xml:space="preserve"> </w:t>
      </w:r>
    </w:p>
    <w:p w14:paraId="6B7062CC" w14:textId="54E22A1B" w:rsidR="00F6730F" w:rsidRPr="00DF7D89" w:rsidRDefault="00FB1901" w:rsidP="00FB1901">
      <w:pPr>
        <w:spacing w:line="480" w:lineRule="auto"/>
        <w:ind w:left="1440"/>
        <w:jc w:val="both"/>
        <w:rPr>
          <w:rFonts w:ascii="Arial" w:hAnsi="Arial" w:cs="Arial"/>
          <w:i/>
          <w:iCs/>
          <w:color w:val="000000" w:themeColor="text1"/>
          <w:sz w:val="20"/>
          <w:szCs w:val="20"/>
          <w:lang w:val="en-US"/>
        </w:rPr>
      </w:pPr>
      <w:r w:rsidRPr="00DF7D89">
        <w:rPr>
          <w:rFonts w:ascii="Arial" w:hAnsi="Arial" w:cs="Arial"/>
          <w:i/>
          <w:iCs/>
          <w:color w:val="000000" w:themeColor="text1"/>
          <w:sz w:val="20"/>
          <w:szCs w:val="20"/>
          <w:lang w:val="en-US"/>
        </w:rPr>
        <w:t>“53</w:t>
      </w:r>
      <w:r w:rsidR="00F6730F" w:rsidRPr="00DF7D89">
        <w:rPr>
          <w:rFonts w:ascii="Arial" w:hAnsi="Arial" w:cs="Arial"/>
          <w:i/>
          <w:iCs/>
          <w:color w:val="000000" w:themeColor="text1"/>
          <w:sz w:val="20"/>
          <w:szCs w:val="20"/>
          <w:lang w:val="en-US"/>
        </w:rPr>
        <w:t xml:space="preserve">. I draw the court’s attention to clause 4.2 of the lease in terms of which the plaintiff has a discretion to allocate payments made by the defendant. An updated statement </w:t>
      </w:r>
      <w:r w:rsidR="00F6730F" w:rsidRPr="00DF7D89">
        <w:rPr>
          <w:rFonts w:ascii="Arial" w:hAnsi="Arial" w:cs="Arial"/>
          <w:i/>
          <w:iCs/>
          <w:color w:val="000000" w:themeColor="text1"/>
          <w:sz w:val="20"/>
          <w:szCs w:val="20"/>
          <w:lang w:val="en-US"/>
        </w:rPr>
        <w:lastRenderedPageBreak/>
        <w:t xml:space="preserve">which reflects invoices issued, interest charged on arrear rental and payment made by the defendant after 4 June 2021 is attached hereto marked </w:t>
      </w:r>
      <w:r w:rsidR="0043702A" w:rsidRPr="00DF7D89">
        <w:rPr>
          <w:rFonts w:ascii="Arial" w:hAnsi="Arial" w:cs="Arial"/>
          <w:i/>
          <w:iCs/>
          <w:color w:val="000000" w:themeColor="text1"/>
          <w:sz w:val="20"/>
          <w:szCs w:val="20"/>
          <w:lang w:val="en-US"/>
        </w:rPr>
        <w:t>“JP</w:t>
      </w:r>
      <w:r w:rsidR="00F6730F" w:rsidRPr="00DF7D89">
        <w:rPr>
          <w:rFonts w:ascii="Arial" w:hAnsi="Arial" w:cs="Arial"/>
          <w:i/>
          <w:iCs/>
          <w:color w:val="000000" w:themeColor="text1"/>
          <w:sz w:val="20"/>
          <w:szCs w:val="20"/>
          <w:lang w:val="en-US"/>
        </w:rPr>
        <w:t>5” ,the contents of which I verify as correct.”</w:t>
      </w:r>
      <w:r w:rsidR="00F90142" w:rsidRPr="00DF7D89">
        <w:rPr>
          <w:rFonts w:ascii="Arial" w:hAnsi="Arial" w:cs="Arial"/>
          <w:i/>
          <w:iCs/>
          <w:color w:val="000000" w:themeColor="text1"/>
          <w:sz w:val="20"/>
          <w:szCs w:val="20"/>
          <w:lang w:val="en-US"/>
        </w:rPr>
        <w:t xml:space="preserve"> </w:t>
      </w:r>
    </w:p>
    <w:p w14:paraId="2CB1E095" w14:textId="7D8268CA" w:rsidR="00081D5A" w:rsidRPr="00DF7D89" w:rsidRDefault="00F6730F" w:rsidP="00FB1901">
      <w:pPr>
        <w:spacing w:line="480" w:lineRule="auto"/>
        <w:ind w:left="720" w:hanging="720"/>
        <w:jc w:val="both"/>
        <w:rPr>
          <w:rFonts w:ascii="Arial" w:hAnsi="Arial" w:cs="Arial"/>
          <w:color w:val="000000" w:themeColor="text1"/>
          <w:sz w:val="24"/>
          <w:szCs w:val="24"/>
          <w:lang w:val="en-US"/>
        </w:rPr>
      </w:pPr>
      <w:r w:rsidRPr="00DF7D89">
        <w:rPr>
          <w:rFonts w:ascii="Arial" w:hAnsi="Arial" w:cs="Arial"/>
          <w:color w:val="000000" w:themeColor="text1"/>
          <w:sz w:val="24"/>
          <w:szCs w:val="24"/>
          <w:lang w:val="en-US"/>
        </w:rPr>
        <w:t>[</w:t>
      </w:r>
      <w:r w:rsidR="006A6B4F" w:rsidRPr="00DF7D89">
        <w:rPr>
          <w:rFonts w:ascii="Arial" w:hAnsi="Arial" w:cs="Arial"/>
          <w:color w:val="000000" w:themeColor="text1"/>
          <w:sz w:val="24"/>
          <w:szCs w:val="24"/>
          <w:lang w:val="en-US"/>
        </w:rPr>
        <w:t>3</w:t>
      </w:r>
      <w:r w:rsidR="00A66A01">
        <w:rPr>
          <w:rFonts w:ascii="Arial" w:hAnsi="Arial" w:cs="Arial"/>
          <w:color w:val="000000" w:themeColor="text1"/>
          <w:sz w:val="24"/>
          <w:szCs w:val="24"/>
          <w:lang w:val="en-US"/>
        </w:rPr>
        <w:t>6</w:t>
      </w:r>
      <w:r w:rsidRPr="00DF7D89">
        <w:rPr>
          <w:rFonts w:ascii="Arial" w:hAnsi="Arial" w:cs="Arial"/>
          <w:color w:val="000000" w:themeColor="text1"/>
          <w:sz w:val="24"/>
          <w:szCs w:val="24"/>
          <w:lang w:val="en-US"/>
        </w:rPr>
        <w:t xml:space="preserve">]    </w:t>
      </w:r>
      <w:r w:rsidR="00F90142" w:rsidRPr="00DF7D89">
        <w:rPr>
          <w:rFonts w:ascii="Arial" w:hAnsi="Arial" w:cs="Arial"/>
          <w:color w:val="000000" w:themeColor="text1"/>
          <w:sz w:val="24"/>
          <w:szCs w:val="24"/>
          <w:lang w:val="en-US"/>
        </w:rPr>
        <w:t>C</w:t>
      </w:r>
      <w:r w:rsidR="00081D5A" w:rsidRPr="00DF7D89">
        <w:rPr>
          <w:rFonts w:ascii="Arial" w:hAnsi="Arial" w:cs="Arial"/>
          <w:color w:val="000000" w:themeColor="text1"/>
          <w:sz w:val="24"/>
          <w:szCs w:val="24"/>
          <w:lang w:val="en-US"/>
        </w:rPr>
        <w:t>lause 4.2 of the lease agreement provides:</w:t>
      </w:r>
    </w:p>
    <w:p w14:paraId="3F018115" w14:textId="77777777" w:rsidR="00081D5A" w:rsidRPr="00DF7D89" w:rsidRDefault="00081D5A" w:rsidP="00081D5A">
      <w:pPr>
        <w:spacing w:line="240" w:lineRule="auto"/>
        <w:ind w:left="2160" w:hanging="720"/>
        <w:jc w:val="both"/>
        <w:rPr>
          <w:rFonts w:ascii="Arial" w:hAnsi="Arial" w:cs="Arial"/>
          <w:i/>
          <w:iCs/>
          <w:color w:val="000000" w:themeColor="text1"/>
          <w:sz w:val="24"/>
          <w:szCs w:val="24"/>
          <w:lang w:val="en-US"/>
        </w:rPr>
      </w:pPr>
      <w:r w:rsidRPr="00DF7D89">
        <w:rPr>
          <w:rFonts w:ascii="Arial" w:hAnsi="Arial" w:cs="Arial"/>
          <w:i/>
          <w:iCs/>
          <w:color w:val="000000" w:themeColor="text1"/>
          <w:sz w:val="20"/>
          <w:szCs w:val="20"/>
          <w:lang w:val="en-US"/>
        </w:rPr>
        <w:t>“4.2</w:t>
      </w:r>
      <w:r w:rsidRPr="00DF7D89">
        <w:rPr>
          <w:rFonts w:ascii="Arial" w:hAnsi="Arial" w:cs="Arial"/>
          <w:i/>
          <w:iCs/>
          <w:color w:val="000000" w:themeColor="text1"/>
          <w:sz w:val="20"/>
          <w:szCs w:val="20"/>
          <w:lang w:val="en-US"/>
        </w:rPr>
        <w:tab/>
        <w:t>The landlord may appropriate any payment received from or for the benefit of the tenant in reduction of any amount payable by the tenant to the landlord in terms of the contract.”</w:t>
      </w:r>
      <w:r w:rsidRPr="00DF7D89">
        <w:rPr>
          <w:rFonts w:ascii="Arial" w:hAnsi="Arial" w:cs="Arial"/>
          <w:i/>
          <w:iCs/>
          <w:color w:val="000000" w:themeColor="text1"/>
          <w:sz w:val="24"/>
          <w:szCs w:val="24"/>
          <w:lang w:val="en-US"/>
        </w:rPr>
        <w:t xml:space="preserve"> </w:t>
      </w:r>
    </w:p>
    <w:p w14:paraId="37C1CB03" w14:textId="77777777" w:rsidR="00081D5A" w:rsidRPr="00941C14" w:rsidRDefault="00081D5A" w:rsidP="00081D5A">
      <w:pPr>
        <w:spacing w:line="240" w:lineRule="auto"/>
        <w:ind w:left="2160" w:hanging="720"/>
        <w:jc w:val="both"/>
        <w:rPr>
          <w:rFonts w:ascii="Arial" w:hAnsi="Arial" w:cs="Arial"/>
          <w:i/>
          <w:iCs/>
          <w:color w:val="ED7D31" w:themeColor="accent2"/>
          <w:sz w:val="24"/>
          <w:szCs w:val="24"/>
          <w:lang w:val="en-US"/>
        </w:rPr>
      </w:pPr>
    </w:p>
    <w:p w14:paraId="3BCDD1C2" w14:textId="71C71158" w:rsidR="00DF7D89" w:rsidRPr="00DF7D89" w:rsidRDefault="00081D5A" w:rsidP="00DF7D89">
      <w:pPr>
        <w:spacing w:line="480" w:lineRule="auto"/>
        <w:ind w:left="720" w:hanging="720"/>
        <w:jc w:val="both"/>
        <w:rPr>
          <w:rFonts w:ascii="Arial" w:hAnsi="Arial" w:cs="Arial"/>
          <w:color w:val="000000" w:themeColor="text1"/>
          <w:sz w:val="24"/>
          <w:szCs w:val="24"/>
          <w:lang w:val="en-US"/>
        </w:rPr>
      </w:pPr>
      <w:r>
        <w:rPr>
          <w:rFonts w:ascii="Arial" w:hAnsi="Arial" w:cs="Arial"/>
          <w:sz w:val="24"/>
          <w:szCs w:val="24"/>
          <w:lang w:val="en-US"/>
        </w:rPr>
        <w:t>[</w:t>
      </w:r>
      <w:r w:rsidR="00A66A01">
        <w:rPr>
          <w:rFonts w:ascii="Arial" w:hAnsi="Arial" w:cs="Arial"/>
          <w:sz w:val="24"/>
          <w:szCs w:val="24"/>
          <w:lang w:val="en-US"/>
        </w:rPr>
        <w:t>37</w:t>
      </w:r>
      <w:r>
        <w:rPr>
          <w:rFonts w:ascii="Arial" w:hAnsi="Arial" w:cs="Arial"/>
          <w:sz w:val="24"/>
          <w:szCs w:val="24"/>
          <w:lang w:val="en-US"/>
        </w:rPr>
        <w:t>]</w:t>
      </w:r>
      <w:r>
        <w:rPr>
          <w:rFonts w:ascii="Arial" w:hAnsi="Arial" w:cs="Arial"/>
          <w:sz w:val="24"/>
          <w:szCs w:val="24"/>
          <w:lang w:val="en-US"/>
        </w:rPr>
        <w:tab/>
      </w:r>
      <w:r w:rsidRPr="00DF7D89">
        <w:rPr>
          <w:rFonts w:ascii="Arial" w:hAnsi="Arial" w:cs="Arial"/>
          <w:color w:val="000000" w:themeColor="text1"/>
          <w:sz w:val="24"/>
          <w:szCs w:val="24"/>
          <w:lang w:val="en-US"/>
        </w:rPr>
        <w:t xml:space="preserve">In paragraph 3.3 of the particulars of claim the plaintiff does not rely on 4.2 as it has expressly recorded those clauses upon which it relies. </w:t>
      </w:r>
      <w:r w:rsidR="00F90142" w:rsidRPr="00DF7D89">
        <w:rPr>
          <w:rFonts w:ascii="Arial" w:hAnsi="Arial" w:cs="Arial"/>
          <w:color w:val="000000" w:themeColor="text1"/>
          <w:sz w:val="24"/>
          <w:szCs w:val="24"/>
          <w:lang w:val="en-US"/>
        </w:rPr>
        <w:t>This clause is directly relevant to</w:t>
      </w:r>
      <w:r w:rsidR="009767FF">
        <w:rPr>
          <w:rFonts w:ascii="Arial" w:hAnsi="Arial" w:cs="Arial"/>
          <w:color w:val="000000" w:themeColor="text1"/>
          <w:sz w:val="24"/>
          <w:szCs w:val="24"/>
          <w:lang w:val="en-US"/>
        </w:rPr>
        <w:t xml:space="preserve">, </w:t>
      </w:r>
      <w:r w:rsidR="009767FF" w:rsidRPr="009767FF">
        <w:rPr>
          <w:rFonts w:ascii="Arial" w:hAnsi="Arial" w:cs="Arial"/>
          <w:i/>
          <w:iCs/>
          <w:color w:val="000000" w:themeColor="text1"/>
          <w:sz w:val="24"/>
          <w:szCs w:val="24"/>
          <w:lang w:val="en-US"/>
        </w:rPr>
        <w:t>inter alia,</w:t>
      </w:r>
      <w:r w:rsidR="009767FF">
        <w:rPr>
          <w:rFonts w:ascii="Arial" w:hAnsi="Arial" w:cs="Arial"/>
          <w:color w:val="000000" w:themeColor="text1"/>
          <w:sz w:val="24"/>
          <w:szCs w:val="24"/>
          <w:lang w:val="en-US"/>
        </w:rPr>
        <w:t xml:space="preserve"> how</w:t>
      </w:r>
      <w:r w:rsidR="00F90142" w:rsidRPr="00DF7D89">
        <w:rPr>
          <w:rFonts w:ascii="Arial" w:hAnsi="Arial" w:cs="Arial"/>
          <w:color w:val="000000" w:themeColor="text1"/>
          <w:sz w:val="24"/>
          <w:szCs w:val="24"/>
          <w:lang w:val="en-US"/>
        </w:rPr>
        <w:t xml:space="preserve"> the</w:t>
      </w:r>
      <w:r w:rsidR="009767FF">
        <w:rPr>
          <w:rFonts w:ascii="Arial" w:hAnsi="Arial" w:cs="Arial"/>
          <w:color w:val="000000" w:themeColor="text1"/>
          <w:sz w:val="24"/>
          <w:szCs w:val="24"/>
          <w:lang w:val="en-US"/>
        </w:rPr>
        <w:t xml:space="preserve"> payments were allocated to the various invoices. </w:t>
      </w:r>
      <w:r w:rsidR="00F90142" w:rsidRPr="00DF7D89">
        <w:rPr>
          <w:rFonts w:ascii="Arial" w:hAnsi="Arial" w:cs="Arial"/>
          <w:color w:val="000000" w:themeColor="text1"/>
          <w:sz w:val="24"/>
          <w:szCs w:val="24"/>
          <w:lang w:val="en-US"/>
        </w:rPr>
        <w:t xml:space="preserve">There is merit in the defendant’s complaint that this clause is not pleaded. </w:t>
      </w:r>
      <w:r w:rsidR="00DF7D89">
        <w:rPr>
          <w:rFonts w:ascii="Arial" w:hAnsi="Arial" w:cs="Arial"/>
          <w:color w:val="000000" w:themeColor="text1"/>
          <w:sz w:val="24"/>
          <w:szCs w:val="24"/>
          <w:lang w:val="en-US"/>
        </w:rPr>
        <w:t xml:space="preserve">It is relevant for the purposes of adequately defending the claim to know how the payments </w:t>
      </w:r>
      <w:r w:rsidR="009767FF">
        <w:rPr>
          <w:rFonts w:ascii="Arial" w:hAnsi="Arial" w:cs="Arial"/>
          <w:color w:val="000000" w:themeColor="text1"/>
          <w:sz w:val="24"/>
          <w:szCs w:val="24"/>
          <w:lang w:val="en-US"/>
        </w:rPr>
        <w:t>were</w:t>
      </w:r>
      <w:r w:rsidR="00DF7D89">
        <w:rPr>
          <w:rFonts w:ascii="Arial" w:hAnsi="Arial" w:cs="Arial"/>
          <w:color w:val="000000" w:themeColor="text1"/>
          <w:sz w:val="24"/>
          <w:szCs w:val="24"/>
          <w:lang w:val="en-US"/>
        </w:rPr>
        <w:t xml:space="preserve"> allocated. That should appear from the pleadings. </w:t>
      </w:r>
    </w:p>
    <w:p w14:paraId="02AB4411" w14:textId="061F5B3E" w:rsidR="00DF7D89" w:rsidRDefault="00081D5A" w:rsidP="00081D5A">
      <w:pPr>
        <w:spacing w:line="480" w:lineRule="auto"/>
        <w:ind w:left="720" w:hanging="720"/>
        <w:jc w:val="both"/>
        <w:rPr>
          <w:rFonts w:ascii="Arial" w:hAnsi="Arial" w:cs="Arial"/>
          <w:color w:val="000000" w:themeColor="text1"/>
          <w:sz w:val="24"/>
          <w:szCs w:val="24"/>
          <w:lang w:val="en-US"/>
        </w:rPr>
      </w:pPr>
      <w:r>
        <w:rPr>
          <w:rFonts w:ascii="Arial" w:hAnsi="Arial" w:cs="Arial"/>
          <w:sz w:val="24"/>
          <w:szCs w:val="24"/>
          <w:lang w:val="en-US"/>
        </w:rPr>
        <w:t>[</w:t>
      </w:r>
      <w:r w:rsidR="00A66A01">
        <w:rPr>
          <w:rFonts w:ascii="Arial" w:hAnsi="Arial" w:cs="Arial"/>
          <w:sz w:val="24"/>
          <w:szCs w:val="24"/>
          <w:lang w:val="en-US"/>
        </w:rPr>
        <w:t>38</w:t>
      </w:r>
      <w:r>
        <w:rPr>
          <w:rFonts w:ascii="Arial" w:hAnsi="Arial" w:cs="Arial"/>
          <w:sz w:val="24"/>
          <w:szCs w:val="24"/>
          <w:lang w:val="en-US"/>
        </w:rPr>
        <w:t>]</w:t>
      </w:r>
      <w:r>
        <w:rPr>
          <w:rFonts w:ascii="Arial" w:hAnsi="Arial" w:cs="Arial"/>
          <w:sz w:val="24"/>
          <w:szCs w:val="24"/>
          <w:lang w:val="en-US"/>
        </w:rPr>
        <w:tab/>
        <w:t xml:space="preserve">Clause 4.1.4 provides that the defendant will pay monthly rental in advance, monthly contributions to property assessment rates, stamp duty, contract costs and </w:t>
      </w:r>
      <w:r w:rsidR="0043702A">
        <w:rPr>
          <w:rFonts w:ascii="Arial" w:hAnsi="Arial" w:cs="Arial"/>
          <w:sz w:val="24"/>
          <w:szCs w:val="24"/>
          <w:lang w:val="en-US"/>
        </w:rPr>
        <w:t>deposit and</w:t>
      </w:r>
      <w:r w:rsidR="004C029A">
        <w:rPr>
          <w:rFonts w:ascii="Arial" w:hAnsi="Arial" w:cs="Arial"/>
          <w:sz w:val="24"/>
          <w:szCs w:val="24"/>
          <w:lang w:val="en-US"/>
        </w:rPr>
        <w:t xml:space="preserve"> at 4.1.4 the parties agreed </w:t>
      </w:r>
      <w:r w:rsidR="00A66A01">
        <w:rPr>
          <w:rFonts w:ascii="Arial" w:hAnsi="Arial" w:cs="Arial"/>
          <w:sz w:val="24"/>
          <w:szCs w:val="24"/>
          <w:lang w:val="en-US"/>
        </w:rPr>
        <w:t>that:</w:t>
      </w:r>
      <w:r w:rsidR="004C029A" w:rsidRPr="004C029A">
        <w:rPr>
          <w:rFonts w:ascii="Arial" w:hAnsi="Arial" w:cs="Arial"/>
          <w:color w:val="000000" w:themeColor="text1"/>
          <w:sz w:val="24"/>
          <w:szCs w:val="24"/>
          <w:lang w:val="en-US"/>
        </w:rPr>
        <w:t xml:space="preserve"> </w:t>
      </w:r>
      <w:r w:rsidRPr="004C029A">
        <w:rPr>
          <w:rFonts w:ascii="Arial" w:hAnsi="Arial" w:cs="Arial"/>
          <w:color w:val="000000" w:themeColor="text1"/>
          <w:sz w:val="24"/>
          <w:szCs w:val="24"/>
          <w:lang w:val="en-US"/>
        </w:rPr>
        <w:t xml:space="preserve"> </w:t>
      </w:r>
    </w:p>
    <w:p w14:paraId="293C5432" w14:textId="77777777" w:rsidR="00DF7D89" w:rsidRDefault="00DF7D89" w:rsidP="00081D5A">
      <w:pPr>
        <w:spacing w:line="480" w:lineRule="auto"/>
        <w:ind w:left="720" w:hanging="720"/>
        <w:jc w:val="both"/>
        <w:rPr>
          <w:rFonts w:ascii="Arial" w:hAnsi="Arial" w:cs="Arial"/>
          <w:sz w:val="24"/>
          <w:szCs w:val="24"/>
          <w:lang w:val="en-US"/>
        </w:rPr>
      </w:pPr>
      <w:r>
        <w:rPr>
          <w:rFonts w:ascii="Arial" w:hAnsi="Arial" w:cs="Arial"/>
          <w:sz w:val="24"/>
          <w:szCs w:val="24"/>
          <w:lang w:val="en-US"/>
        </w:rPr>
        <w:t xml:space="preserve">                     </w:t>
      </w:r>
      <w:r w:rsidR="00081D5A" w:rsidRPr="004C029A">
        <w:rPr>
          <w:rFonts w:ascii="Arial" w:hAnsi="Arial" w:cs="Arial"/>
          <w:i/>
          <w:iCs/>
          <w:color w:val="000000" w:themeColor="text1"/>
          <w:sz w:val="24"/>
          <w:szCs w:val="24"/>
          <w:lang w:val="en-US"/>
        </w:rPr>
        <w:t xml:space="preserve">“4.1.4 </w:t>
      </w:r>
      <w:r w:rsidR="00081D5A" w:rsidRPr="005D7AF6">
        <w:rPr>
          <w:rFonts w:ascii="Arial" w:hAnsi="Arial" w:cs="Arial"/>
          <w:i/>
          <w:iCs/>
          <w:sz w:val="24"/>
          <w:szCs w:val="24"/>
          <w:lang w:val="en-US"/>
        </w:rPr>
        <w:t>any other amount on demand”</w:t>
      </w:r>
      <w:r w:rsidR="00081D5A">
        <w:rPr>
          <w:rFonts w:ascii="Arial" w:hAnsi="Arial" w:cs="Arial"/>
          <w:sz w:val="24"/>
          <w:szCs w:val="24"/>
          <w:lang w:val="en-US"/>
        </w:rPr>
        <w:t xml:space="preserve">. </w:t>
      </w:r>
    </w:p>
    <w:p w14:paraId="37A74AB3" w14:textId="0014DB4F" w:rsidR="00081D5A" w:rsidRDefault="00DF7D89" w:rsidP="00081D5A">
      <w:pPr>
        <w:spacing w:line="480" w:lineRule="auto"/>
        <w:ind w:left="720" w:hanging="720"/>
        <w:jc w:val="both"/>
        <w:rPr>
          <w:rFonts w:ascii="Arial" w:hAnsi="Arial" w:cs="Arial"/>
          <w:sz w:val="24"/>
          <w:szCs w:val="24"/>
          <w:lang w:val="en-US"/>
        </w:rPr>
      </w:pPr>
      <w:r>
        <w:rPr>
          <w:rFonts w:ascii="Arial" w:hAnsi="Arial" w:cs="Arial"/>
          <w:i/>
          <w:iCs/>
          <w:color w:val="000000" w:themeColor="text1"/>
          <w:sz w:val="24"/>
          <w:szCs w:val="24"/>
          <w:lang w:val="en-US"/>
        </w:rPr>
        <w:t xml:space="preserve">           </w:t>
      </w:r>
      <w:r w:rsidR="00081D5A">
        <w:rPr>
          <w:rFonts w:ascii="Arial" w:hAnsi="Arial" w:cs="Arial"/>
          <w:sz w:val="24"/>
          <w:szCs w:val="24"/>
          <w:lang w:val="en-US"/>
        </w:rPr>
        <w:t xml:space="preserve">It is for this reason that the defendant contends that any interest claimed </w:t>
      </w:r>
      <w:r>
        <w:rPr>
          <w:rFonts w:ascii="Arial" w:hAnsi="Arial" w:cs="Arial"/>
          <w:sz w:val="24"/>
          <w:szCs w:val="24"/>
          <w:lang w:val="en-US"/>
        </w:rPr>
        <w:t xml:space="preserve">     </w:t>
      </w:r>
      <w:r w:rsidR="001353DC">
        <w:rPr>
          <w:rFonts w:ascii="Arial" w:hAnsi="Arial" w:cs="Arial"/>
          <w:sz w:val="24"/>
          <w:szCs w:val="24"/>
          <w:lang w:val="en-US"/>
        </w:rPr>
        <w:t>became due</w:t>
      </w:r>
      <w:r w:rsidR="00081D5A">
        <w:rPr>
          <w:rFonts w:ascii="Arial" w:hAnsi="Arial" w:cs="Arial"/>
          <w:sz w:val="24"/>
          <w:szCs w:val="24"/>
          <w:lang w:val="en-US"/>
        </w:rPr>
        <w:t xml:space="preserve"> and payable only on demand.</w:t>
      </w:r>
      <w:r w:rsidR="009767FF">
        <w:rPr>
          <w:rFonts w:ascii="Arial" w:hAnsi="Arial" w:cs="Arial"/>
          <w:sz w:val="24"/>
          <w:szCs w:val="24"/>
          <w:lang w:val="en-US"/>
        </w:rPr>
        <w:t xml:space="preserve"> </w:t>
      </w:r>
    </w:p>
    <w:p w14:paraId="26A863DA" w14:textId="051CA3C5" w:rsidR="00DF4C22" w:rsidRDefault="001353DC" w:rsidP="00DF4C22">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A66A01">
        <w:rPr>
          <w:rFonts w:ascii="Arial" w:hAnsi="Arial" w:cs="Arial"/>
          <w:sz w:val="24"/>
          <w:szCs w:val="24"/>
          <w:lang w:val="en-US"/>
        </w:rPr>
        <w:t>39</w:t>
      </w:r>
      <w:r>
        <w:rPr>
          <w:rFonts w:ascii="Arial" w:hAnsi="Arial" w:cs="Arial"/>
          <w:sz w:val="24"/>
          <w:szCs w:val="24"/>
          <w:lang w:val="en-US"/>
        </w:rPr>
        <w:t>]</w:t>
      </w:r>
      <w:r>
        <w:rPr>
          <w:rFonts w:ascii="Arial" w:hAnsi="Arial" w:cs="Arial"/>
          <w:sz w:val="24"/>
          <w:szCs w:val="24"/>
          <w:lang w:val="en-US"/>
        </w:rPr>
        <w:tab/>
      </w:r>
      <w:r w:rsidR="00DF4C22">
        <w:rPr>
          <w:rFonts w:ascii="Arial" w:hAnsi="Arial" w:cs="Arial"/>
          <w:sz w:val="24"/>
          <w:szCs w:val="24"/>
          <w:lang w:val="en-US"/>
        </w:rPr>
        <w:t xml:space="preserve">It seems to me that the plaintiff has accorded to itself a right of reply in the summary judgment application because it replied to an opposing affidavit </w:t>
      </w:r>
      <w:r w:rsidR="009767FF">
        <w:rPr>
          <w:rFonts w:ascii="Arial" w:hAnsi="Arial" w:cs="Arial"/>
          <w:sz w:val="24"/>
          <w:szCs w:val="24"/>
          <w:lang w:val="en-US"/>
        </w:rPr>
        <w:t>filed by</w:t>
      </w:r>
      <w:r w:rsidR="00DF4C22">
        <w:rPr>
          <w:rFonts w:ascii="Arial" w:hAnsi="Arial" w:cs="Arial"/>
          <w:sz w:val="24"/>
          <w:szCs w:val="24"/>
          <w:lang w:val="en-US"/>
        </w:rPr>
        <w:t xml:space="preserve"> the defendant. This was in relation to the first application</w:t>
      </w:r>
      <w:r w:rsidR="009767FF">
        <w:rPr>
          <w:rFonts w:ascii="Arial" w:hAnsi="Arial" w:cs="Arial"/>
          <w:sz w:val="24"/>
          <w:szCs w:val="24"/>
          <w:lang w:val="en-US"/>
        </w:rPr>
        <w:t>.</w:t>
      </w:r>
      <w:r w:rsidR="00DF4C22">
        <w:rPr>
          <w:rFonts w:ascii="Arial" w:hAnsi="Arial" w:cs="Arial"/>
          <w:sz w:val="24"/>
          <w:szCs w:val="24"/>
          <w:lang w:val="en-US"/>
        </w:rPr>
        <w:t xml:space="preserve"> </w:t>
      </w:r>
      <w:r w:rsidR="009767FF">
        <w:rPr>
          <w:rFonts w:ascii="Arial" w:hAnsi="Arial" w:cs="Arial"/>
          <w:sz w:val="24"/>
          <w:szCs w:val="24"/>
          <w:lang w:val="en-US"/>
        </w:rPr>
        <w:t>I</w:t>
      </w:r>
      <w:r w:rsidR="00DF4C22">
        <w:rPr>
          <w:rFonts w:ascii="Arial" w:hAnsi="Arial" w:cs="Arial"/>
          <w:sz w:val="24"/>
          <w:szCs w:val="24"/>
          <w:lang w:val="en-US"/>
        </w:rPr>
        <w:t xml:space="preserve">t contends that </w:t>
      </w:r>
      <w:r w:rsidR="005F0F41">
        <w:rPr>
          <w:rFonts w:ascii="Arial" w:hAnsi="Arial" w:cs="Arial"/>
          <w:sz w:val="24"/>
          <w:szCs w:val="24"/>
          <w:lang w:val="en-US"/>
        </w:rPr>
        <w:t>the reconciliation done by the defendant</w:t>
      </w:r>
      <w:r w:rsidR="00DF4C22">
        <w:rPr>
          <w:rFonts w:ascii="Arial" w:hAnsi="Arial" w:cs="Arial"/>
          <w:sz w:val="24"/>
          <w:szCs w:val="24"/>
          <w:lang w:val="en-US"/>
        </w:rPr>
        <w:t xml:space="preserve"> is irrelevant and is intended to cloud </w:t>
      </w:r>
      <w:r w:rsidR="00DF4C22">
        <w:rPr>
          <w:rFonts w:ascii="Arial" w:hAnsi="Arial" w:cs="Arial"/>
          <w:sz w:val="24"/>
          <w:szCs w:val="24"/>
          <w:lang w:val="en-US"/>
        </w:rPr>
        <w:lastRenderedPageBreak/>
        <w:t>matters because it covers only a small portion of a relevant period upon which the plaintiff’s claim is based.</w:t>
      </w:r>
    </w:p>
    <w:p w14:paraId="250B6841" w14:textId="10B688B9" w:rsidR="00DF4C22" w:rsidRPr="00883827" w:rsidRDefault="00DF4C22" w:rsidP="00DF4C22">
      <w:pPr>
        <w:spacing w:line="480" w:lineRule="auto"/>
        <w:ind w:left="720" w:hanging="720"/>
        <w:jc w:val="both"/>
        <w:rPr>
          <w:rFonts w:ascii="Arial" w:hAnsi="Arial" w:cs="Arial"/>
          <w:color w:val="000000" w:themeColor="text1"/>
          <w:sz w:val="24"/>
          <w:szCs w:val="24"/>
          <w:lang w:val="en-US"/>
        </w:rPr>
      </w:pPr>
      <w:r>
        <w:rPr>
          <w:rFonts w:ascii="Arial" w:hAnsi="Arial" w:cs="Arial"/>
          <w:sz w:val="24"/>
          <w:szCs w:val="24"/>
          <w:lang w:val="en-US"/>
        </w:rPr>
        <w:t>[</w:t>
      </w:r>
      <w:r w:rsidR="00AD6FBE">
        <w:rPr>
          <w:rFonts w:ascii="Arial" w:hAnsi="Arial" w:cs="Arial"/>
          <w:sz w:val="24"/>
          <w:szCs w:val="24"/>
          <w:lang w:val="en-US"/>
        </w:rPr>
        <w:t>4</w:t>
      </w:r>
      <w:r w:rsidR="00A66A01">
        <w:rPr>
          <w:rFonts w:ascii="Arial" w:hAnsi="Arial" w:cs="Arial"/>
          <w:sz w:val="24"/>
          <w:szCs w:val="24"/>
          <w:lang w:val="en-US"/>
        </w:rPr>
        <w:t>0</w:t>
      </w:r>
      <w:r>
        <w:rPr>
          <w:rFonts w:ascii="Arial" w:hAnsi="Arial" w:cs="Arial"/>
          <w:sz w:val="24"/>
          <w:szCs w:val="24"/>
          <w:lang w:val="en-US"/>
        </w:rPr>
        <w:t>]</w:t>
      </w:r>
      <w:r>
        <w:rPr>
          <w:rFonts w:ascii="Arial" w:hAnsi="Arial" w:cs="Arial"/>
          <w:sz w:val="24"/>
          <w:szCs w:val="24"/>
          <w:lang w:val="en-US"/>
        </w:rPr>
        <w:tab/>
      </w:r>
      <w:r w:rsidRPr="00883827">
        <w:rPr>
          <w:rFonts w:ascii="Arial" w:hAnsi="Arial" w:cs="Arial"/>
          <w:color w:val="000000" w:themeColor="text1"/>
          <w:sz w:val="24"/>
          <w:szCs w:val="24"/>
          <w:lang w:val="en-US"/>
        </w:rPr>
        <w:t>In the opposing affidavit deposed to by the defendant, he contends that the plaintiff has not alleged which exact months it has not paid rentals or other charges. The defendant disputes the correctness of “POC6” and it further disputes its indebtedness to the plaintiff.</w:t>
      </w:r>
      <w:r w:rsidR="00DF7D89" w:rsidRPr="00883827">
        <w:rPr>
          <w:rFonts w:ascii="Arial" w:hAnsi="Arial" w:cs="Arial"/>
          <w:color w:val="000000" w:themeColor="text1"/>
          <w:sz w:val="24"/>
          <w:szCs w:val="24"/>
          <w:lang w:val="en-US"/>
        </w:rPr>
        <w:t xml:space="preserve"> </w:t>
      </w:r>
      <w:r w:rsidR="009767FF" w:rsidRPr="00883827">
        <w:rPr>
          <w:rFonts w:ascii="Arial" w:hAnsi="Arial" w:cs="Arial"/>
          <w:color w:val="000000" w:themeColor="text1"/>
          <w:sz w:val="24"/>
          <w:szCs w:val="24"/>
          <w:lang w:val="en-US"/>
        </w:rPr>
        <w:t>It is crucial in action proceedings that a party that is being sued must know the case that it has to meet</w:t>
      </w:r>
      <w:r w:rsidR="00883827" w:rsidRPr="00883827">
        <w:rPr>
          <w:rFonts w:ascii="Arial" w:hAnsi="Arial" w:cs="Arial"/>
          <w:color w:val="000000" w:themeColor="text1"/>
          <w:sz w:val="24"/>
          <w:szCs w:val="24"/>
          <w:lang w:val="en-US"/>
        </w:rPr>
        <w:t xml:space="preserve">. The rentals claimed herein are substantial amounts. It is not unreasonable to seek the kind of detail that the defendant is asking for especially where the claim is supported only by entries. It may be a cumbersome exercise but it is a necessary one especially where the plaintiff on its own has verified its cause of action by relying on various different amounts. </w:t>
      </w:r>
    </w:p>
    <w:p w14:paraId="05BD660A" w14:textId="52970F3F" w:rsidR="00DF4C22" w:rsidRDefault="00DF4C22" w:rsidP="001353DC">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AD6FBE">
        <w:rPr>
          <w:rFonts w:ascii="Arial" w:hAnsi="Arial" w:cs="Arial"/>
          <w:sz w:val="24"/>
          <w:szCs w:val="24"/>
          <w:lang w:val="en-US"/>
        </w:rPr>
        <w:t>4</w:t>
      </w:r>
      <w:r w:rsidR="00A66A01">
        <w:rPr>
          <w:rFonts w:ascii="Arial" w:hAnsi="Arial" w:cs="Arial"/>
          <w:sz w:val="24"/>
          <w:szCs w:val="24"/>
          <w:lang w:val="en-US"/>
        </w:rPr>
        <w:t>1</w:t>
      </w:r>
      <w:r>
        <w:rPr>
          <w:rFonts w:ascii="Arial" w:hAnsi="Arial" w:cs="Arial"/>
          <w:sz w:val="24"/>
          <w:szCs w:val="24"/>
          <w:lang w:val="en-US"/>
        </w:rPr>
        <w:t>]</w:t>
      </w:r>
      <w:r>
        <w:rPr>
          <w:rFonts w:ascii="Arial" w:hAnsi="Arial" w:cs="Arial"/>
          <w:sz w:val="24"/>
          <w:szCs w:val="24"/>
          <w:lang w:val="en-US"/>
        </w:rPr>
        <w:tab/>
        <w:t xml:space="preserve">Plaintiff bears the onus to prove its claim against the defendant. The defendant has put up documentation indicating that, for example, from July 2020 to March 2022 the only amount due to plaintiff was R352 376.41. It further annexed “MM1” reflecting a reconciliation from July 2020 to March 2022 which showed </w:t>
      </w:r>
      <w:r w:rsidR="00883827">
        <w:rPr>
          <w:rFonts w:ascii="Arial" w:hAnsi="Arial" w:cs="Arial"/>
          <w:sz w:val="24"/>
          <w:szCs w:val="24"/>
          <w:lang w:val="en-US"/>
        </w:rPr>
        <w:t xml:space="preserve">entries of various invoices </w:t>
      </w:r>
      <w:r>
        <w:rPr>
          <w:rFonts w:ascii="Arial" w:hAnsi="Arial" w:cs="Arial"/>
          <w:sz w:val="24"/>
          <w:szCs w:val="24"/>
          <w:lang w:val="en-US"/>
        </w:rPr>
        <w:t>amount</w:t>
      </w:r>
      <w:r w:rsidR="00883827">
        <w:rPr>
          <w:rFonts w:ascii="Arial" w:hAnsi="Arial" w:cs="Arial"/>
          <w:sz w:val="24"/>
          <w:szCs w:val="24"/>
          <w:lang w:val="en-US"/>
        </w:rPr>
        <w:t xml:space="preserve">ing to </w:t>
      </w:r>
      <w:r w:rsidR="00E84DF5" w:rsidRPr="00771CC9">
        <w:rPr>
          <w:rFonts w:ascii="Arial" w:hAnsi="Arial" w:cs="Arial"/>
          <w:sz w:val="24"/>
          <w:szCs w:val="24"/>
          <w:lang w:val="en-US"/>
        </w:rPr>
        <w:t>R65 012 571.84</w:t>
      </w:r>
      <w:r w:rsidR="00E84DF5">
        <w:rPr>
          <w:rFonts w:ascii="Arial" w:hAnsi="Arial" w:cs="Arial"/>
          <w:sz w:val="24"/>
          <w:szCs w:val="24"/>
          <w:lang w:val="en-US"/>
        </w:rPr>
        <w:t xml:space="preserve"> </w:t>
      </w:r>
      <w:r w:rsidR="00883827">
        <w:rPr>
          <w:rFonts w:ascii="Arial" w:hAnsi="Arial" w:cs="Arial"/>
          <w:sz w:val="24"/>
          <w:szCs w:val="24"/>
          <w:lang w:val="en-US"/>
        </w:rPr>
        <w:t xml:space="preserve">and the full amount </w:t>
      </w:r>
      <w:r w:rsidR="0043702A">
        <w:rPr>
          <w:rFonts w:ascii="Arial" w:hAnsi="Arial" w:cs="Arial"/>
          <w:sz w:val="24"/>
          <w:szCs w:val="24"/>
          <w:lang w:val="en-US"/>
        </w:rPr>
        <w:t>was,</w:t>
      </w:r>
      <w:r>
        <w:rPr>
          <w:rFonts w:ascii="Arial" w:hAnsi="Arial" w:cs="Arial"/>
          <w:sz w:val="24"/>
          <w:szCs w:val="24"/>
          <w:lang w:val="en-US"/>
        </w:rPr>
        <w:t xml:space="preserve"> according to it,</w:t>
      </w:r>
      <w:r w:rsidR="00883827">
        <w:rPr>
          <w:rFonts w:ascii="Arial" w:hAnsi="Arial" w:cs="Arial"/>
          <w:sz w:val="24"/>
          <w:szCs w:val="24"/>
          <w:lang w:val="en-US"/>
        </w:rPr>
        <w:t xml:space="preserve"> </w:t>
      </w:r>
      <w:r>
        <w:rPr>
          <w:rFonts w:ascii="Arial" w:hAnsi="Arial" w:cs="Arial"/>
          <w:sz w:val="24"/>
          <w:szCs w:val="24"/>
          <w:lang w:val="en-US"/>
        </w:rPr>
        <w:t xml:space="preserve">paid in full. </w:t>
      </w:r>
      <w:r w:rsidR="006E452C">
        <w:rPr>
          <w:rFonts w:ascii="Arial" w:hAnsi="Arial" w:cs="Arial"/>
          <w:sz w:val="24"/>
          <w:szCs w:val="24"/>
          <w:lang w:val="en-US"/>
        </w:rPr>
        <w:t xml:space="preserve">This reconciliation </w:t>
      </w:r>
      <w:r w:rsidR="005D7FC1">
        <w:rPr>
          <w:rFonts w:ascii="Arial" w:hAnsi="Arial" w:cs="Arial"/>
          <w:sz w:val="24"/>
          <w:szCs w:val="24"/>
          <w:lang w:val="en-US"/>
        </w:rPr>
        <w:t xml:space="preserve">is in support of the defendant’s plea of denial of any monies owing. To that extent it raises at least a cognizable </w:t>
      </w:r>
      <w:r w:rsidR="0043702A">
        <w:rPr>
          <w:rFonts w:ascii="Arial" w:hAnsi="Arial" w:cs="Arial"/>
          <w:sz w:val="24"/>
          <w:szCs w:val="24"/>
          <w:lang w:val="en-US"/>
        </w:rPr>
        <w:t>defence.</w:t>
      </w:r>
      <w:r w:rsidR="005D7FC1">
        <w:rPr>
          <w:rFonts w:ascii="Arial" w:hAnsi="Arial" w:cs="Arial"/>
          <w:sz w:val="24"/>
          <w:szCs w:val="24"/>
          <w:lang w:val="en-US"/>
        </w:rPr>
        <w:t xml:space="preserve"> </w:t>
      </w:r>
    </w:p>
    <w:p w14:paraId="61F687B5" w14:textId="48EFFD56" w:rsidR="00E84DF5" w:rsidRDefault="003B3857" w:rsidP="00E84DF5">
      <w:pPr>
        <w:spacing w:line="480" w:lineRule="auto"/>
        <w:ind w:left="720" w:hanging="720"/>
        <w:jc w:val="both"/>
        <w:rPr>
          <w:rFonts w:ascii="Arial" w:hAnsi="Arial" w:cs="Arial"/>
          <w:sz w:val="24"/>
          <w:szCs w:val="24"/>
          <w:lang w:val="en-US"/>
        </w:rPr>
      </w:pPr>
      <w:r w:rsidRPr="00E84DF5">
        <w:rPr>
          <w:rFonts w:ascii="Arial" w:hAnsi="Arial" w:cs="Arial"/>
          <w:color w:val="000000" w:themeColor="text1"/>
          <w:sz w:val="24"/>
          <w:szCs w:val="24"/>
          <w:lang w:val="en-US"/>
        </w:rPr>
        <w:t>[</w:t>
      </w:r>
      <w:r w:rsidR="00AD6FBE" w:rsidRPr="00E84DF5">
        <w:rPr>
          <w:rFonts w:ascii="Arial" w:hAnsi="Arial" w:cs="Arial"/>
          <w:color w:val="000000" w:themeColor="text1"/>
          <w:sz w:val="24"/>
          <w:szCs w:val="24"/>
          <w:lang w:val="en-US"/>
        </w:rPr>
        <w:t>4</w:t>
      </w:r>
      <w:r w:rsidR="00A66A01">
        <w:rPr>
          <w:rFonts w:ascii="Arial" w:hAnsi="Arial" w:cs="Arial"/>
          <w:color w:val="000000" w:themeColor="text1"/>
          <w:sz w:val="24"/>
          <w:szCs w:val="24"/>
          <w:lang w:val="en-US"/>
        </w:rPr>
        <w:t>2</w:t>
      </w:r>
      <w:r w:rsidRPr="00E84DF5">
        <w:rPr>
          <w:rFonts w:ascii="Arial" w:hAnsi="Arial" w:cs="Arial"/>
          <w:color w:val="000000" w:themeColor="text1"/>
          <w:sz w:val="24"/>
          <w:szCs w:val="24"/>
          <w:lang w:val="en-US"/>
        </w:rPr>
        <w:t>]</w:t>
      </w:r>
      <w:r w:rsidR="00AD6FBE">
        <w:rPr>
          <w:rFonts w:ascii="Arial" w:hAnsi="Arial" w:cs="Arial"/>
          <w:sz w:val="24"/>
          <w:szCs w:val="24"/>
          <w:lang w:val="en-US"/>
        </w:rPr>
        <w:tab/>
      </w:r>
      <w:r w:rsidR="00E84DF5">
        <w:rPr>
          <w:rFonts w:ascii="Arial" w:hAnsi="Arial" w:cs="Arial"/>
          <w:sz w:val="24"/>
          <w:szCs w:val="24"/>
          <w:lang w:val="en-US"/>
        </w:rPr>
        <w:t xml:space="preserve">The defendant attached “MM2” which is a copy of an invoice dated January 2021. That invoice </w:t>
      </w:r>
      <w:r w:rsidR="0043702A">
        <w:rPr>
          <w:rFonts w:ascii="Arial" w:hAnsi="Arial" w:cs="Arial"/>
          <w:sz w:val="24"/>
          <w:szCs w:val="24"/>
          <w:lang w:val="en-US"/>
        </w:rPr>
        <w:t>reflected: rental</w:t>
      </w:r>
      <w:r w:rsidR="00E84DF5">
        <w:rPr>
          <w:rFonts w:ascii="Arial" w:hAnsi="Arial" w:cs="Arial"/>
          <w:sz w:val="24"/>
          <w:szCs w:val="24"/>
          <w:lang w:val="en-US"/>
        </w:rPr>
        <w:t xml:space="preserve"> for office </w:t>
      </w:r>
      <w:r w:rsidR="00A66A01">
        <w:rPr>
          <w:rFonts w:ascii="Arial" w:hAnsi="Arial" w:cs="Arial"/>
          <w:sz w:val="24"/>
          <w:szCs w:val="24"/>
          <w:lang w:val="en-US"/>
        </w:rPr>
        <w:t>space, rental</w:t>
      </w:r>
      <w:r w:rsidR="00E84DF5">
        <w:rPr>
          <w:rFonts w:ascii="Arial" w:hAnsi="Arial" w:cs="Arial"/>
          <w:sz w:val="24"/>
          <w:szCs w:val="24"/>
          <w:lang w:val="en-US"/>
        </w:rPr>
        <w:t xml:space="preserve"> for open parking , rental for covered parking and cleaning removals of the ‘SHE bins’. The total amount due was R2 901 964.09. That is all. There are no arrear amounts </w:t>
      </w:r>
      <w:r w:rsidR="00E84DF5">
        <w:rPr>
          <w:rFonts w:ascii="Arial" w:hAnsi="Arial" w:cs="Arial"/>
          <w:sz w:val="24"/>
          <w:szCs w:val="24"/>
          <w:lang w:val="en-US"/>
        </w:rPr>
        <w:lastRenderedPageBreak/>
        <w:t>reflected or interest due and payable. On the invoice there is an endorsement that:</w:t>
      </w:r>
    </w:p>
    <w:p w14:paraId="49C11441" w14:textId="79E22E7B" w:rsidR="00E84DF5" w:rsidRPr="00353F5B" w:rsidRDefault="00E84DF5" w:rsidP="00E84DF5">
      <w:pPr>
        <w:spacing w:line="240" w:lineRule="auto"/>
        <w:ind w:left="1500"/>
        <w:jc w:val="both"/>
        <w:rPr>
          <w:rFonts w:ascii="Arial" w:hAnsi="Arial" w:cs="Arial"/>
          <w:sz w:val="20"/>
          <w:szCs w:val="20"/>
          <w:lang w:val="en-US"/>
        </w:rPr>
      </w:pPr>
      <w:r w:rsidRPr="00353F5B">
        <w:rPr>
          <w:rFonts w:ascii="Arial" w:hAnsi="Arial" w:cs="Arial"/>
          <w:sz w:val="20"/>
          <w:szCs w:val="20"/>
          <w:lang w:val="en-US"/>
        </w:rPr>
        <w:t>“Rental invoices payable on the 1</w:t>
      </w:r>
      <w:r w:rsidRPr="00353F5B">
        <w:rPr>
          <w:rFonts w:ascii="Arial" w:hAnsi="Arial" w:cs="Arial"/>
          <w:sz w:val="20"/>
          <w:szCs w:val="20"/>
          <w:vertAlign w:val="superscript"/>
          <w:lang w:val="en-US"/>
        </w:rPr>
        <w:t>st</w:t>
      </w:r>
      <w:r w:rsidRPr="00353F5B">
        <w:rPr>
          <w:rFonts w:ascii="Arial" w:hAnsi="Arial" w:cs="Arial"/>
          <w:sz w:val="20"/>
          <w:szCs w:val="20"/>
          <w:lang w:val="en-US"/>
        </w:rPr>
        <w:t xml:space="preserve"> of each month and utility invoices payable on receipt. Late payments will attract </w:t>
      </w:r>
      <w:r w:rsidRPr="00E84DF5">
        <w:rPr>
          <w:rFonts w:ascii="Arial" w:hAnsi="Arial" w:cs="Arial"/>
          <w:sz w:val="20"/>
          <w:szCs w:val="20"/>
          <w:u w:val="single"/>
          <w:lang w:val="en-US"/>
        </w:rPr>
        <w:t>penalties.</w:t>
      </w:r>
      <w:r w:rsidRPr="00353F5B">
        <w:rPr>
          <w:rFonts w:ascii="Arial" w:hAnsi="Arial" w:cs="Arial"/>
          <w:sz w:val="20"/>
          <w:szCs w:val="20"/>
          <w:lang w:val="en-US"/>
        </w:rPr>
        <w:t xml:space="preserve"> Use your account number as reference when making payments. (</w:t>
      </w:r>
      <w:r w:rsidR="00A66A01" w:rsidRPr="00353F5B">
        <w:rPr>
          <w:rFonts w:ascii="Arial" w:hAnsi="Arial" w:cs="Arial"/>
          <w:sz w:val="20"/>
          <w:szCs w:val="20"/>
          <w:lang w:val="en-US"/>
        </w:rPr>
        <w:t>Banking</w:t>
      </w:r>
      <w:r w:rsidRPr="00353F5B">
        <w:rPr>
          <w:rFonts w:ascii="Arial" w:hAnsi="Arial" w:cs="Arial"/>
          <w:sz w:val="20"/>
          <w:szCs w:val="20"/>
          <w:lang w:val="en-US"/>
        </w:rPr>
        <w:t xml:space="preserve"> details furnished).</w:t>
      </w:r>
    </w:p>
    <w:p w14:paraId="0F32D1DD" w14:textId="77777777" w:rsidR="00E84DF5" w:rsidRPr="00353F5B" w:rsidRDefault="00E84DF5" w:rsidP="00E84DF5">
      <w:pPr>
        <w:spacing w:line="240" w:lineRule="auto"/>
        <w:ind w:left="720" w:hanging="720"/>
        <w:jc w:val="both"/>
        <w:rPr>
          <w:rFonts w:ascii="Arial" w:hAnsi="Arial" w:cs="Arial"/>
          <w:sz w:val="20"/>
          <w:szCs w:val="20"/>
          <w:lang w:val="en-US"/>
        </w:rPr>
      </w:pPr>
      <w:r w:rsidRPr="00353F5B">
        <w:rPr>
          <w:rFonts w:ascii="Arial" w:hAnsi="Arial" w:cs="Arial"/>
          <w:sz w:val="20"/>
          <w:szCs w:val="20"/>
          <w:lang w:val="en-US"/>
        </w:rPr>
        <w:tab/>
      </w:r>
      <w:r>
        <w:rPr>
          <w:rFonts w:ascii="Arial" w:hAnsi="Arial" w:cs="Arial"/>
          <w:sz w:val="20"/>
          <w:szCs w:val="20"/>
          <w:lang w:val="en-US"/>
        </w:rPr>
        <w:tab/>
      </w:r>
      <w:r w:rsidRPr="00353F5B">
        <w:rPr>
          <w:rFonts w:ascii="Arial" w:hAnsi="Arial" w:cs="Arial"/>
          <w:sz w:val="20"/>
          <w:szCs w:val="20"/>
          <w:lang w:val="en-US"/>
        </w:rPr>
        <w:t>Rental for office space</w:t>
      </w:r>
      <w:r w:rsidRPr="00353F5B">
        <w:rPr>
          <w:rFonts w:ascii="Arial" w:hAnsi="Arial" w:cs="Arial"/>
          <w:sz w:val="20"/>
          <w:szCs w:val="20"/>
          <w:lang w:val="en-US"/>
        </w:rPr>
        <w:tab/>
      </w:r>
      <w:r w:rsidRPr="00353F5B">
        <w:rPr>
          <w:rFonts w:ascii="Arial" w:hAnsi="Arial" w:cs="Arial"/>
          <w:sz w:val="20"/>
          <w:szCs w:val="20"/>
          <w:lang w:val="en-US"/>
        </w:rPr>
        <w:tab/>
      </w:r>
      <w:r>
        <w:rPr>
          <w:rFonts w:ascii="Arial" w:hAnsi="Arial" w:cs="Arial"/>
          <w:sz w:val="20"/>
          <w:szCs w:val="20"/>
          <w:lang w:val="en-US"/>
        </w:rPr>
        <w:tab/>
      </w:r>
      <w:r w:rsidRPr="00353F5B">
        <w:rPr>
          <w:rFonts w:ascii="Arial" w:hAnsi="Arial" w:cs="Arial"/>
          <w:sz w:val="20"/>
          <w:szCs w:val="20"/>
          <w:lang w:val="en-US"/>
        </w:rPr>
        <w:t xml:space="preserve">- </w:t>
      </w:r>
      <w:r w:rsidRPr="00353F5B">
        <w:rPr>
          <w:rFonts w:ascii="Arial" w:hAnsi="Arial" w:cs="Arial"/>
          <w:sz w:val="20"/>
          <w:szCs w:val="20"/>
          <w:lang w:val="en-US"/>
        </w:rPr>
        <w:tab/>
        <w:t>R2 625 595.40</w:t>
      </w:r>
    </w:p>
    <w:p w14:paraId="2BA9D35E" w14:textId="77777777" w:rsidR="00E84DF5" w:rsidRPr="00353F5B" w:rsidRDefault="00E84DF5" w:rsidP="00E84DF5">
      <w:pPr>
        <w:spacing w:line="240" w:lineRule="auto"/>
        <w:ind w:left="720" w:hanging="720"/>
        <w:jc w:val="both"/>
        <w:rPr>
          <w:rFonts w:ascii="Arial" w:hAnsi="Arial" w:cs="Arial"/>
          <w:sz w:val="20"/>
          <w:szCs w:val="20"/>
          <w:lang w:val="en-US"/>
        </w:rPr>
      </w:pPr>
      <w:r w:rsidRPr="00353F5B">
        <w:rPr>
          <w:rFonts w:ascii="Arial" w:hAnsi="Arial" w:cs="Arial"/>
          <w:sz w:val="20"/>
          <w:szCs w:val="20"/>
          <w:lang w:val="en-US"/>
        </w:rPr>
        <w:tab/>
      </w:r>
      <w:r>
        <w:rPr>
          <w:rFonts w:ascii="Arial" w:hAnsi="Arial" w:cs="Arial"/>
          <w:sz w:val="20"/>
          <w:szCs w:val="20"/>
          <w:lang w:val="en-US"/>
        </w:rPr>
        <w:tab/>
      </w:r>
      <w:r w:rsidRPr="00353F5B">
        <w:rPr>
          <w:rFonts w:ascii="Arial" w:hAnsi="Arial" w:cs="Arial"/>
          <w:sz w:val="20"/>
          <w:szCs w:val="20"/>
          <w:lang w:val="en-US"/>
        </w:rPr>
        <w:t>Rental for open parking bays</w:t>
      </w:r>
      <w:r w:rsidRPr="00353F5B">
        <w:rPr>
          <w:rFonts w:ascii="Arial" w:hAnsi="Arial" w:cs="Arial"/>
          <w:sz w:val="20"/>
          <w:szCs w:val="20"/>
          <w:lang w:val="en-US"/>
        </w:rPr>
        <w:tab/>
      </w:r>
      <w:r>
        <w:rPr>
          <w:rFonts w:ascii="Arial" w:hAnsi="Arial" w:cs="Arial"/>
          <w:sz w:val="20"/>
          <w:szCs w:val="20"/>
          <w:lang w:val="en-US"/>
        </w:rPr>
        <w:tab/>
      </w:r>
      <w:r w:rsidRPr="00353F5B">
        <w:rPr>
          <w:rFonts w:ascii="Arial" w:hAnsi="Arial" w:cs="Arial"/>
          <w:sz w:val="20"/>
          <w:szCs w:val="20"/>
          <w:lang w:val="en-US"/>
        </w:rPr>
        <w:t xml:space="preserve">- </w:t>
      </w:r>
      <w:r w:rsidRPr="00353F5B">
        <w:rPr>
          <w:rFonts w:ascii="Arial" w:hAnsi="Arial" w:cs="Arial"/>
          <w:sz w:val="20"/>
          <w:szCs w:val="20"/>
          <w:lang w:val="en-US"/>
        </w:rPr>
        <w:tab/>
        <w:t>R146 107.50</w:t>
      </w:r>
    </w:p>
    <w:p w14:paraId="2D1E8CF3" w14:textId="77777777" w:rsidR="00E84DF5" w:rsidRPr="00353F5B" w:rsidRDefault="00E84DF5" w:rsidP="00E84DF5">
      <w:pPr>
        <w:spacing w:line="240" w:lineRule="auto"/>
        <w:ind w:left="720" w:hanging="720"/>
        <w:jc w:val="both"/>
        <w:rPr>
          <w:rFonts w:ascii="Arial" w:hAnsi="Arial" w:cs="Arial"/>
          <w:sz w:val="20"/>
          <w:szCs w:val="20"/>
          <w:lang w:val="en-US"/>
        </w:rPr>
      </w:pPr>
      <w:r w:rsidRPr="00353F5B">
        <w:rPr>
          <w:rFonts w:ascii="Arial" w:hAnsi="Arial" w:cs="Arial"/>
          <w:sz w:val="20"/>
          <w:szCs w:val="20"/>
          <w:lang w:val="en-US"/>
        </w:rPr>
        <w:tab/>
      </w:r>
      <w:r>
        <w:rPr>
          <w:rFonts w:ascii="Arial" w:hAnsi="Arial" w:cs="Arial"/>
          <w:sz w:val="20"/>
          <w:szCs w:val="20"/>
          <w:lang w:val="en-US"/>
        </w:rPr>
        <w:tab/>
      </w:r>
      <w:r w:rsidRPr="00353F5B">
        <w:rPr>
          <w:rFonts w:ascii="Arial" w:hAnsi="Arial" w:cs="Arial"/>
          <w:sz w:val="20"/>
          <w:szCs w:val="20"/>
          <w:lang w:val="en-US"/>
        </w:rPr>
        <w:t>Rental for covered parking bays</w:t>
      </w:r>
      <w:r w:rsidRPr="00353F5B">
        <w:rPr>
          <w:rFonts w:ascii="Arial" w:hAnsi="Arial" w:cs="Arial"/>
          <w:sz w:val="20"/>
          <w:szCs w:val="20"/>
          <w:lang w:val="en-US"/>
        </w:rPr>
        <w:tab/>
      </w:r>
      <w:r>
        <w:rPr>
          <w:rFonts w:ascii="Arial" w:hAnsi="Arial" w:cs="Arial"/>
          <w:sz w:val="20"/>
          <w:szCs w:val="20"/>
          <w:lang w:val="en-US"/>
        </w:rPr>
        <w:tab/>
      </w:r>
      <w:r w:rsidRPr="00353F5B">
        <w:rPr>
          <w:rFonts w:ascii="Arial" w:hAnsi="Arial" w:cs="Arial"/>
          <w:sz w:val="20"/>
          <w:szCs w:val="20"/>
          <w:lang w:val="en-US"/>
        </w:rPr>
        <w:t>-</w:t>
      </w:r>
      <w:r w:rsidRPr="00353F5B">
        <w:rPr>
          <w:rFonts w:ascii="Arial" w:hAnsi="Arial" w:cs="Arial"/>
          <w:sz w:val="20"/>
          <w:szCs w:val="20"/>
          <w:lang w:val="en-US"/>
        </w:rPr>
        <w:tab/>
        <w:t>R126 236.00</w:t>
      </w:r>
    </w:p>
    <w:p w14:paraId="08120AEA" w14:textId="77777777" w:rsidR="00E84DF5" w:rsidRPr="00353F5B" w:rsidRDefault="00E84DF5" w:rsidP="00E84DF5">
      <w:pPr>
        <w:spacing w:line="240" w:lineRule="auto"/>
        <w:ind w:left="720" w:hanging="720"/>
        <w:jc w:val="both"/>
        <w:rPr>
          <w:rFonts w:ascii="Arial" w:hAnsi="Arial" w:cs="Arial"/>
          <w:sz w:val="20"/>
          <w:szCs w:val="20"/>
          <w:lang w:val="en-US"/>
        </w:rPr>
      </w:pPr>
      <w:r w:rsidRPr="00353F5B">
        <w:rPr>
          <w:rFonts w:ascii="Arial" w:hAnsi="Arial" w:cs="Arial"/>
          <w:sz w:val="20"/>
          <w:szCs w:val="20"/>
          <w:lang w:val="en-US"/>
        </w:rPr>
        <w:tab/>
      </w:r>
      <w:r>
        <w:rPr>
          <w:rFonts w:ascii="Arial" w:hAnsi="Arial" w:cs="Arial"/>
          <w:sz w:val="20"/>
          <w:szCs w:val="20"/>
          <w:lang w:val="en-US"/>
        </w:rPr>
        <w:tab/>
      </w:r>
      <w:r w:rsidRPr="00353F5B">
        <w:rPr>
          <w:rFonts w:ascii="Arial" w:hAnsi="Arial" w:cs="Arial"/>
          <w:sz w:val="20"/>
          <w:szCs w:val="20"/>
          <w:lang w:val="en-US"/>
        </w:rPr>
        <w:t>Cleaning remover</w:t>
      </w:r>
      <w:r w:rsidRPr="00353F5B">
        <w:rPr>
          <w:rFonts w:ascii="Arial" w:hAnsi="Arial" w:cs="Arial"/>
          <w:sz w:val="20"/>
          <w:szCs w:val="20"/>
          <w:lang w:val="en-US"/>
        </w:rPr>
        <w:tab/>
      </w:r>
      <w:r w:rsidRPr="00353F5B">
        <w:rPr>
          <w:rFonts w:ascii="Arial" w:hAnsi="Arial" w:cs="Arial"/>
          <w:sz w:val="20"/>
          <w:szCs w:val="20"/>
          <w:lang w:val="en-US"/>
        </w:rPr>
        <w:tab/>
      </w:r>
      <w:r w:rsidRPr="00353F5B">
        <w:rPr>
          <w:rFonts w:ascii="Arial" w:hAnsi="Arial" w:cs="Arial"/>
          <w:sz w:val="20"/>
          <w:szCs w:val="20"/>
          <w:lang w:val="en-US"/>
        </w:rPr>
        <w:tab/>
        <w:t>-</w:t>
      </w:r>
      <w:r w:rsidRPr="00353F5B">
        <w:rPr>
          <w:rFonts w:ascii="Arial" w:hAnsi="Arial" w:cs="Arial"/>
          <w:sz w:val="20"/>
          <w:szCs w:val="20"/>
          <w:lang w:val="en-US"/>
        </w:rPr>
        <w:tab/>
        <w:t>R4 046.99</w:t>
      </w:r>
    </w:p>
    <w:p w14:paraId="3739752C" w14:textId="5E36FDEB" w:rsidR="00E84DF5" w:rsidRDefault="00E84DF5" w:rsidP="00E84DF5">
      <w:pPr>
        <w:spacing w:line="480" w:lineRule="auto"/>
        <w:ind w:left="720" w:hanging="720"/>
        <w:jc w:val="both"/>
        <w:rPr>
          <w:rFonts w:ascii="Arial" w:hAnsi="Arial" w:cs="Arial"/>
          <w:sz w:val="24"/>
          <w:szCs w:val="24"/>
          <w:lang w:val="en-US"/>
        </w:rPr>
      </w:pPr>
      <w:r>
        <w:rPr>
          <w:rFonts w:ascii="Arial" w:hAnsi="Arial" w:cs="Arial"/>
          <w:sz w:val="24"/>
          <w:szCs w:val="24"/>
          <w:lang w:val="en-US"/>
        </w:rPr>
        <w:tab/>
        <w:t xml:space="preserve">           All these amounts included VAT. </w:t>
      </w:r>
      <w:r w:rsidR="0043702A">
        <w:rPr>
          <w:rFonts w:ascii="Arial" w:hAnsi="Arial" w:cs="Arial"/>
          <w:sz w:val="24"/>
          <w:szCs w:val="24"/>
          <w:lang w:val="en-US"/>
        </w:rPr>
        <w:t>(my</w:t>
      </w:r>
      <w:r w:rsidRPr="00E84DF5">
        <w:rPr>
          <w:rFonts w:ascii="Arial" w:hAnsi="Arial" w:cs="Arial"/>
          <w:i/>
          <w:iCs/>
          <w:sz w:val="24"/>
          <w:szCs w:val="24"/>
          <w:lang w:val="en-US"/>
        </w:rPr>
        <w:t xml:space="preserve"> emphasis</w:t>
      </w:r>
      <w:r>
        <w:rPr>
          <w:rFonts w:ascii="Arial" w:hAnsi="Arial" w:cs="Arial"/>
          <w:sz w:val="24"/>
          <w:szCs w:val="24"/>
          <w:lang w:val="en-US"/>
        </w:rPr>
        <w:t>)</w:t>
      </w:r>
      <w:r w:rsidR="0043702A">
        <w:rPr>
          <w:rFonts w:ascii="Arial" w:hAnsi="Arial" w:cs="Arial"/>
          <w:sz w:val="24"/>
          <w:szCs w:val="24"/>
          <w:lang w:val="en-US"/>
        </w:rPr>
        <w:t>.</w:t>
      </w:r>
      <w:r>
        <w:rPr>
          <w:rFonts w:ascii="Arial" w:hAnsi="Arial" w:cs="Arial"/>
          <w:sz w:val="24"/>
          <w:szCs w:val="24"/>
          <w:lang w:val="en-US"/>
        </w:rPr>
        <w:t xml:space="preserve"> </w:t>
      </w:r>
    </w:p>
    <w:p w14:paraId="3250DB5F" w14:textId="0A8447BF" w:rsidR="00E84DF5" w:rsidRDefault="00E84DF5" w:rsidP="00E84DF5">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A66A01">
        <w:rPr>
          <w:rFonts w:ascii="Arial" w:hAnsi="Arial" w:cs="Arial"/>
          <w:sz w:val="24"/>
          <w:szCs w:val="24"/>
          <w:lang w:val="en-US"/>
        </w:rPr>
        <w:t>4</w:t>
      </w:r>
      <w:r>
        <w:rPr>
          <w:rFonts w:ascii="Arial" w:hAnsi="Arial" w:cs="Arial"/>
          <w:sz w:val="24"/>
          <w:szCs w:val="24"/>
          <w:lang w:val="en-US"/>
        </w:rPr>
        <w:t>3]</w:t>
      </w:r>
      <w:r>
        <w:rPr>
          <w:rFonts w:ascii="Arial" w:hAnsi="Arial" w:cs="Arial"/>
          <w:sz w:val="24"/>
          <w:szCs w:val="24"/>
          <w:lang w:val="en-US"/>
        </w:rPr>
        <w:tab/>
        <w:t xml:space="preserve">A reconciliation for July 2020 to September 2021 reflects that all those invoices listed </w:t>
      </w:r>
      <w:r w:rsidR="00771CC9">
        <w:rPr>
          <w:rFonts w:ascii="Arial" w:hAnsi="Arial" w:cs="Arial"/>
          <w:sz w:val="24"/>
          <w:szCs w:val="24"/>
          <w:lang w:val="en-US"/>
        </w:rPr>
        <w:t>t</w:t>
      </w:r>
      <w:r>
        <w:rPr>
          <w:rFonts w:ascii="Arial" w:hAnsi="Arial" w:cs="Arial"/>
          <w:sz w:val="24"/>
          <w:szCs w:val="24"/>
          <w:lang w:val="en-US"/>
        </w:rPr>
        <w:t>herein were paid and dates of payment are reflected on the reconciliation statement. It is also reflected thereon that the invoices amounted to R45 540 253.27 and that the exact same amount was paid.</w:t>
      </w:r>
      <w:r w:rsidR="005D7FC1">
        <w:rPr>
          <w:rFonts w:ascii="Arial" w:hAnsi="Arial" w:cs="Arial"/>
          <w:sz w:val="24"/>
          <w:szCs w:val="24"/>
          <w:lang w:val="en-US"/>
        </w:rPr>
        <w:t xml:space="preserve"> This reconciliation too, because it incorporates a period after 4 June 2021, </w:t>
      </w:r>
      <w:r w:rsidR="0043702A">
        <w:rPr>
          <w:rFonts w:ascii="Arial" w:hAnsi="Arial" w:cs="Arial"/>
          <w:sz w:val="24"/>
          <w:szCs w:val="24"/>
          <w:lang w:val="en-US"/>
        </w:rPr>
        <w:t>(which</w:t>
      </w:r>
      <w:r w:rsidR="005D7FC1">
        <w:rPr>
          <w:rFonts w:ascii="Arial" w:hAnsi="Arial" w:cs="Arial"/>
          <w:sz w:val="24"/>
          <w:szCs w:val="24"/>
          <w:lang w:val="en-US"/>
        </w:rPr>
        <w:t xml:space="preserve"> is pleaded in paragraph 15 of the particulars of claim</w:t>
      </w:r>
      <w:r w:rsidR="00A66A01">
        <w:rPr>
          <w:rFonts w:ascii="Arial" w:hAnsi="Arial" w:cs="Arial"/>
          <w:sz w:val="24"/>
          <w:szCs w:val="24"/>
          <w:lang w:val="en-US"/>
        </w:rPr>
        <w:t>),</w:t>
      </w:r>
      <w:r w:rsidR="005D7FC1">
        <w:rPr>
          <w:rFonts w:ascii="Arial" w:hAnsi="Arial" w:cs="Arial"/>
          <w:sz w:val="24"/>
          <w:szCs w:val="24"/>
          <w:lang w:val="en-US"/>
        </w:rPr>
        <w:t xml:space="preserve"> does raise a defence that may be good in law. </w:t>
      </w:r>
    </w:p>
    <w:p w14:paraId="3CF988CD" w14:textId="26C4A2E3" w:rsidR="00E84DF5" w:rsidRDefault="00E84DF5" w:rsidP="00771CC9">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A66A01">
        <w:rPr>
          <w:rFonts w:ascii="Arial" w:hAnsi="Arial" w:cs="Arial"/>
          <w:sz w:val="24"/>
          <w:szCs w:val="24"/>
          <w:lang w:val="en-US"/>
        </w:rPr>
        <w:t>44</w:t>
      </w:r>
      <w:r>
        <w:rPr>
          <w:rFonts w:ascii="Arial" w:hAnsi="Arial" w:cs="Arial"/>
          <w:sz w:val="24"/>
          <w:szCs w:val="24"/>
          <w:lang w:val="en-US"/>
        </w:rPr>
        <w:t xml:space="preserve">] </w:t>
      </w:r>
      <w:r w:rsidR="00A66A01">
        <w:rPr>
          <w:rFonts w:ascii="Arial" w:hAnsi="Arial" w:cs="Arial"/>
          <w:sz w:val="24"/>
          <w:szCs w:val="24"/>
          <w:lang w:val="en-US"/>
        </w:rPr>
        <w:tab/>
      </w:r>
      <w:r>
        <w:rPr>
          <w:rFonts w:ascii="Arial" w:hAnsi="Arial" w:cs="Arial"/>
          <w:sz w:val="24"/>
          <w:szCs w:val="24"/>
          <w:lang w:val="en-US"/>
        </w:rPr>
        <w:t xml:space="preserve">The defendant disputes the entries in “POC6”, which is the document upon which the claim is founded. As it was found in </w:t>
      </w:r>
      <w:r>
        <w:rPr>
          <w:rFonts w:ascii="Arial" w:hAnsi="Arial" w:cs="Arial"/>
          <w:b/>
          <w:bCs/>
          <w:i/>
          <w:iCs/>
          <w:sz w:val="24"/>
          <w:szCs w:val="24"/>
          <w:lang w:val="en-US"/>
        </w:rPr>
        <w:t>Maharaj v Barclays National Bank Ltd</w:t>
      </w:r>
      <w:r>
        <w:rPr>
          <w:rStyle w:val="FootnoteReference"/>
          <w:rFonts w:ascii="Arial" w:hAnsi="Arial" w:cs="Arial"/>
          <w:b/>
          <w:bCs/>
          <w:i/>
          <w:iCs/>
          <w:sz w:val="24"/>
          <w:szCs w:val="24"/>
          <w:lang w:val="en-US"/>
        </w:rPr>
        <w:footnoteReference w:id="7"/>
      </w:r>
      <w:r>
        <w:rPr>
          <w:rFonts w:ascii="Arial" w:hAnsi="Arial" w:cs="Arial"/>
          <w:sz w:val="24"/>
          <w:szCs w:val="24"/>
          <w:lang w:val="en-US"/>
        </w:rPr>
        <w:t xml:space="preserve"> by Corbett </w:t>
      </w:r>
      <w:r w:rsidR="0043702A">
        <w:rPr>
          <w:rFonts w:ascii="Arial" w:hAnsi="Arial" w:cs="Arial"/>
          <w:sz w:val="24"/>
          <w:szCs w:val="24"/>
          <w:lang w:val="en-US"/>
        </w:rPr>
        <w:t>JA,</w:t>
      </w:r>
      <w:r>
        <w:rPr>
          <w:rFonts w:ascii="Arial" w:hAnsi="Arial" w:cs="Arial"/>
          <w:sz w:val="24"/>
          <w:szCs w:val="24"/>
          <w:lang w:val="en-US"/>
        </w:rPr>
        <w:t xml:space="preserve"> the defendant has disputed the entries of facts alleged by the plaintiff. This court has no obligation to determine whether or not there is a balance of probabilities in favour of </w:t>
      </w:r>
      <w:r w:rsidR="0043702A">
        <w:rPr>
          <w:rFonts w:ascii="Arial" w:hAnsi="Arial" w:cs="Arial"/>
          <w:sz w:val="24"/>
          <w:szCs w:val="24"/>
          <w:lang w:val="en-US"/>
        </w:rPr>
        <w:t>one</w:t>
      </w:r>
      <w:r>
        <w:rPr>
          <w:rFonts w:ascii="Arial" w:hAnsi="Arial" w:cs="Arial"/>
          <w:sz w:val="24"/>
          <w:szCs w:val="24"/>
          <w:lang w:val="en-US"/>
        </w:rPr>
        <w:t xml:space="preserve"> party or the other. The defendant has fully disclosed the nature and grounds of its defense and the material facts upon which its defenses are based. Those facts appear to constitute a </w:t>
      </w:r>
      <w:r>
        <w:rPr>
          <w:rFonts w:ascii="Arial" w:hAnsi="Arial" w:cs="Arial"/>
          <w:i/>
          <w:iCs/>
          <w:sz w:val="24"/>
          <w:szCs w:val="24"/>
          <w:lang w:val="en-US"/>
        </w:rPr>
        <w:t xml:space="preserve">bona fide </w:t>
      </w:r>
      <w:r w:rsidRPr="007473D9">
        <w:rPr>
          <w:rFonts w:ascii="Arial" w:hAnsi="Arial" w:cs="Arial"/>
          <w:sz w:val="24"/>
          <w:szCs w:val="24"/>
          <w:lang w:val="en-US"/>
        </w:rPr>
        <w:t>defence which is good in law.</w:t>
      </w:r>
      <w:r>
        <w:rPr>
          <w:rFonts w:ascii="Arial" w:hAnsi="Arial" w:cs="Arial"/>
          <w:sz w:val="24"/>
          <w:szCs w:val="24"/>
          <w:lang w:val="en-US"/>
        </w:rPr>
        <w:t xml:space="preserve"> </w:t>
      </w:r>
    </w:p>
    <w:p w14:paraId="13238A3A" w14:textId="77777777" w:rsidR="0043702A" w:rsidRDefault="0043702A" w:rsidP="00771CC9">
      <w:pPr>
        <w:spacing w:line="480" w:lineRule="auto"/>
        <w:ind w:left="720" w:hanging="720"/>
        <w:jc w:val="both"/>
        <w:rPr>
          <w:rFonts w:ascii="Arial" w:hAnsi="Arial" w:cs="Arial"/>
          <w:i/>
          <w:iCs/>
          <w:sz w:val="24"/>
          <w:szCs w:val="24"/>
          <w:lang w:val="en-US"/>
        </w:rPr>
      </w:pPr>
    </w:p>
    <w:p w14:paraId="5C233104" w14:textId="77777777" w:rsidR="0043702A" w:rsidRDefault="0043702A" w:rsidP="00771CC9">
      <w:pPr>
        <w:spacing w:line="480" w:lineRule="auto"/>
        <w:ind w:left="720" w:hanging="720"/>
        <w:jc w:val="both"/>
        <w:rPr>
          <w:rFonts w:ascii="Arial" w:hAnsi="Arial" w:cs="Arial"/>
          <w:i/>
          <w:iCs/>
          <w:sz w:val="24"/>
          <w:szCs w:val="24"/>
          <w:lang w:val="en-US"/>
        </w:rPr>
      </w:pPr>
    </w:p>
    <w:p w14:paraId="00A23B1F" w14:textId="557A9E99" w:rsidR="00E84DF5" w:rsidRPr="00771CC9" w:rsidRDefault="00E84DF5" w:rsidP="00771CC9">
      <w:pPr>
        <w:spacing w:line="480" w:lineRule="auto"/>
        <w:ind w:left="720" w:hanging="720"/>
        <w:jc w:val="both"/>
        <w:rPr>
          <w:rFonts w:ascii="Arial" w:hAnsi="Arial" w:cs="Arial"/>
          <w:i/>
          <w:iCs/>
          <w:sz w:val="24"/>
          <w:szCs w:val="24"/>
          <w:lang w:val="en-US"/>
        </w:rPr>
      </w:pPr>
      <w:r w:rsidRPr="00E84DF5">
        <w:rPr>
          <w:rFonts w:ascii="Arial" w:hAnsi="Arial" w:cs="Arial"/>
          <w:i/>
          <w:iCs/>
          <w:sz w:val="24"/>
          <w:szCs w:val="24"/>
          <w:lang w:val="en-US"/>
        </w:rPr>
        <w:t>Prescription defence</w:t>
      </w:r>
    </w:p>
    <w:p w14:paraId="77D75FA2" w14:textId="617D5383" w:rsidR="00DF4C22" w:rsidRDefault="00771CC9" w:rsidP="00DF4C22">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A66A01">
        <w:rPr>
          <w:rFonts w:ascii="Arial" w:hAnsi="Arial" w:cs="Arial"/>
          <w:sz w:val="24"/>
          <w:szCs w:val="24"/>
          <w:lang w:val="en-US"/>
        </w:rPr>
        <w:t>4</w:t>
      </w:r>
      <w:r>
        <w:rPr>
          <w:rFonts w:ascii="Arial" w:hAnsi="Arial" w:cs="Arial"/>
          <w:sz w:val="24"/>
          <w:szCs w:val="24"/>
          <w:lang w:val="en-US"/>
        </w:rPr>
        <w:t xml:space="preserve">5]   </w:t>
      </w:r>
      <w:r w:rsidR="00F90142">
        <w:rPr>
          <w:rFonts w:ascii="Arial" w:hAnsi="Arial" w:cs="Arial"/>
          <w:sz w:val="24"/>
          <w:szCs w:val="24"/>
          <w:lang w:val="en-US"/>
        </w:rPr>
        <w:t>The special plea of p</w:t>
      </w:r>
      <w:r w:rsidR="00DF4C22">
        <w:rPr>
          <w:rFonts w:ascii="Arial" w:hAnsi="Arial" w:cs="Arial"/>
          <w:sz w:val="24"/>
          <w:szCs w:val="24"/>
          <w:lang w:val="en-US"/>
        </w:rPr>
        <w:t xml:space="preserve">rescription is a legal defence. Plaintiff replicated to it. </w:t>
      </w:r>
      <w:r w:rsidR="005D7FC1">
        <w:rPr>
          <w:rFonts w:ascii="Arial" w:hAnsi="Arial" w:cs="Arial"/>
          <w:sz w:val="24"/>
          <w:szCs w:val="24"/>
          <w:lang w:val="en-US"/>
        </w:rPr>
        <w:t xml:space="preserve"> </w:t>
      </w:r>
      <w:r w:rsidR="00DF4C22">
        <w:rPr>
          <w:rFonts w:ascii="Arial" w:hAnsi="Arial" w:cs="Arial"/>
          <w:sz w:val="24"/>
          <w:szCs w:val="24"/>
          <w:lang w:val="en-US"/>
        </w:rPr>
        <w:t xml:space="preserve">By so doing it created a </w:t>
      </w:r>
      <w:r w:rsidR="00DF4C22" w:rsidRPr="00DF4C22">
        <w:rPr>
          <w:rFonts w:ascii="Arial" w:hAnsi="Arial" w:cs="Arial"/>
          <w:i/>
          <w:iCs/>
          <w:sz w:val="24"/>
          <w:szCs w:val="24"/>
          <w:lang w:val="en-US"/>
        </w:rPr>
        <w:t xml:space="preserve">lis </w:t>
      </w:r>
      <w:r w:rsidR="00DF4C22">
        <w:rPr>
          <w:rFonts w:ascii="Arial" w:hAnsi="Arial" w:cs="Arial"/>
          <w:sz w:val="24"/>
          <w:szCs w:val="24"/>
          <w:lang w:val="en-US"/>
        </w:rPr>
        <w:t>between it and the defendant</w:t>
      </w:r>
      <w:r w:rsidR="00DF7D89">
        <w:rPr>
          <w:rFonts w:ascii="Arial" w:hAnsi="Arial" w:cs="Arial"/>
          <w:sz w:val="24"/>
          <w:szCs w:val="24"/>
          <w:lang w:val="en-US"/>
        </w:rPr>
        <w:t xml:space="preserve">. </w:t>
      </w:r>
      <w:r w:rsidR="00DF4C22">
        <w:rPr>
          <w:rFonts w:ascii="Arial" w:hAnsi="Arial" w:cs="Arial"/>
          <w:sz w:val="24"/>
          <w:szCs w:val="24"/>
          <w:lang w:val="en-US"/>
        </w:rPr>
        <w:t xml:space="preserve"> It requires a court to determine whether or not a claim has prescribed. That enquiry is different from an enquiry that obtains in </w:t>
      </w:r>
      <w:r w:rsidR="00883827">
        <w:rPr>
          <w:rFonts w:ascii="Arial" w:hAnsi="Arial" w:cs="Arial"/>
          <w:sz w:val="24"/>
          <w:szCs w:val="24"/>
          <w:lang w:val="en-US"/>
        </w:rPr>
        <w:t xml:space="preserve">a </w:t>
      </w:r>
      <w:r w:rsidR="00DF4C22">
        <w:rPr>
          <w:rFonts w:ascii="Arial" w:hAnsi="Arial" w:cs="Arial"/>
          <w:sz w:val="24"/>
          <w:szCs w:val="24"/>
          <w:lang w:val="en-US"/>
        </w:rPr>
        <w:t xml:space="preserve">summary judgment </w:t>
      </w:r>
      <w:r w:rsidR="008D20FD">
        <w:rPr>
          <w:rFonts w:ascii="Arial" w:hAnsi="Arial" w:cs="Arial"/>
          <w:sz w:val="24"/>
          <w:szCs w:val="24"/>
          <w:lang w:val="en-US"/>
        </w:rPr>
        <w:t>application,</w:t>
      </w:r>
      <w:r w:rsidR="00DF4C22">
        <w:rPr>
          <w:rFonts w:ascii="Arial" w:hAnsi="Arial" w:cs="Arial"/>
          <w:sz w:val="24"/>
          <w:szCs w:val="24"/>
          <w:lang w:val="en-US"/>
        </w:rPr>
        <w:t xml:space="preserve"> </w:t>
      </w:r>
      <w:r>
        <w:rPr>
          <w:rFonts w:ascii="Arial" w:hAnsi="Arial" w:cs="Arial"/>
          <w:sz w:val="24"/>
          <w:szCs w:val="24"/>
          <w:lang w:val="en-US"/>
        </w:rPr>
        <w:t>namely</w:t>
      </w:r>
      <w:r w:rsidR="00DF4C22">
        <w:rPr>
          <w:rFonts w:ascii="Arial" w:hAnsi="Arial" w:cs="Arial"/>
          <w:sz w:val="24"/>
          <w:szCs w:val="24"/>
          <w:lang w:val="en-US"/>
        </w:rPr>
        <w:t xml:space="preserve">, whether or not a defence </w:t>
      </w:r>
      <w:r w:rsidR="005D7FC1">
        <w:rPr>
          <w:rFonts w:ascii="Arial" w:hAnsi="Arial" w:cs="Arial"/>
          <w:sz w:val="24"/>
          <w:szCs w:val="24"/>
          <w:lang w:val="en-US"/>
        </w:rPr>
        <w:t xml:space="preserve">advanced </w:t>
      </w:r>
      <w:r w:rsidR="00DF4C22">
        <w:rPr>
          <w:rFonts w:ascii="Arial" w:hAnsi="Arial" w:cs="Arial"/>
          <w:sz w:val="24"/>
          <w:szCs w:val="24"/>
          <w:lang w:val="en-US"/>
        </w:rPr>
        <w:t xml:space="preserve">is bona fide. </w:t>
      </w:r>
    </w:p>
    <w:p w14:paraId="5F450C99" w14:textId="7E748BA3" w:rsidR="005303EC" w:rsidRPr="00F90142" w:rsidRDefault="001353DC" w:rsidP="00D049B1">
      <w:pPr>
        <w:spacing w:line="480" w:lineRule="auto"/>
        <w:ind w:left="720" w:hanging="720"/>
        <w:jc w:val="both"/>
        <w:rPr>
          <w:rFonts w:ascii="Arial" w:hAnsi="Arial" w:cs="Arial"/>
          <w:color w:val="000000" w:themeColor="text1"/>
          <w:sz w:val="24"/>
          <w:szCs w:val="24"/>
          <w:lang w:val="en-US"/>
        </w:rPr>
      </w:pPr>
      <w:r>
        <w:rPr>
          <w:rFonts w:ascii="Arial" w:hAnsi="Arial" w:cs="Arial"/>
          <w:sz w:val="24"/>
          <w:szCs w:val="24"/>
          <w:lang w:val="en-US"/>
        </w:rPr>
        <w:t>[</w:t>
      </w:r>
      <w:r w:rsidR="00AD6FBE">
        <w:rPr>
          <w:rFonts w:ascii="Arial" w:hAnsi="Arial" w:cs="Arial"/>
          <w:sz w:val="24"/>
          <w:szCs w:val="24"/>
          <w:lang w:val="en-US"/>
        </w:rPr>
        <w:t>46</w:t>
      </w:r>
      <w:r>
        <w:rPr>
          <w:rFonts w:ascii="Arial" w:hAnsi="Arial" w:cs="Arial"/>
          <w:sz w:val="24"/>
          <w:szCs w:val="24"/>
          <w:lang w:val="en-US"/>
        </w:rPr>
        <w:t>]</w:t>
      </w:r>
      <w:r>
        <w:rPr>
          <w:rFonts w:ascii="Arial" w:hAnsi="Arial" w:cs="Arial"/>
          <w:sz w:val="24"/>
          <w:szCs w:val="24"/>
          <w:lang w:val="en-US"/>
        </w:rPr>
        <w:tab/>
      </w:r>
      <w:r w:rsidR="00D049B1" w:rsidRPr="00F90142">
        <w:rPr>
          <w:rFonts w:ascii="Arial" w:hAnsi="Arial" w:cs="Arial"/>
          <w:color w:val="000000" w:themeColor="text1"/>
          <w:sz w:val="24"/>
          <w:szCs w:val="24"/>
          <w:lang w:val="en-US"/>
        </w:rPr>
        <w:t xml:space="preserve">It was further submitted </w:t>
      </w:r>
      <w:r w:rsidR="00771CC9">
        <w:rPr>
          <w:rFonts w:ascii="Arial" w:hAnsi="Arial" w:cs="Arial"/>
          <w:color w:val="000000" w:themeColor="text1"/>
          <w:sz w:val="24"/>
          <w:szCs w:val="24"/>
          <w:lang w:val="en-US"/>
        </w:rPr>
        <w:t xml:space="preserve">by the plaintiff </w:t>
      </w:r>
      <w:r w:rsidR="00D049B1" w:rsidRPr="00F90142">
        <w:rPr>
          <w:rFonts w:ascii="Arial" w:hAnsi="Arial" w:cs="Arial"/>
          <w:color w:val="000000" w:themeColor="text1"/>
          <w:sz w:val="24"/>
          <w:szCs w:val="24"/>
          <w:lang w:val="en-US"/>
        </w:rPr>
        <w:t xml:space="preserve">that the prescription point taken related </w:t>
      </w:r>
      <w:r w:rsidR="00D049B1" w:rsidRPr="00771CC9">
        <w:rPr>
          <w:rFonts w:ascii="Arial" w:hAnsi="Arial" w:cs="Arial"/>
          <w:color w:val="000000" w:themeColor="text1"/>
          <w:sz w:val="24"/>
          <w:szCs w:val="24"/>
          <w:lang w:val="en-US"/>
        </w:rPr>
        <w:t xml:space="preserve">only to </w:t>
      </w:r>
      <w:r w:rsidR="00883827" w:rsidRPr="00771CC9">
        <w:rPr>
          <w:rFonts w:ascii="Arial" w:hAnsi="Arial" w:cs="Arial"/>
          <w:color w:val="000000" w:themeColor="text1"/>
          <w:sz w:val="24"/>
          <w:szCs w:val="24"/>
          <w:lang w:val="en-US"/>
        </w:rPr>
        <w:t>rentals</w:t>
      </w:r>
      <w:r w:rsidR="00D049B1" w:rsidRPr="00771CC9">
        <w:rPr>
          <w:rFonts w:ascii="Arial" w:hAnsi="Arial" w:cs="Arial"/>
          <w:color w:val="000000" w:themeColor="text1"/>
          <w:sz w:val="24"/>
          <w:szCs w:val="24"/>
          <w:lang w:val="en-US"/>
        </w:rPr>
        <w:t xml:space="preserve">.  </w:t>
      </w:r>
      <w:r w:rsidR="005D7FC1" w:rsidRPr="00F90142">
        <w:rPr>
          <w:rFonts w:ascii="Arial" w:hAnsi="Arial" w:cs="Arial"/>
          <w:color w:val="000000" w:themeColor="text1"/>
          <w:sz w:val="24"/>
          <w:szCs w:val="24"/>
          <w:lang w:val="en-US"/>
        </w:rPr>
        <w:t xml:space="preserve">There </w:t>
      </w:r>
      <w:r w:rsidR="0043702A" w:rsidRPr="00F90142">
        <w:rPr>
          <w:rFonts w:ascii="Arial" w:hAnsi="Arial" w:cs="Arial"/>
          <w:color w:val="000000" w:themeColor="text1"/>
          <w:sz w:val="24"/>
          <w:szCs w:val="24"/>
          <w:lang w:val="en-US"/>
        </w:rPr>
        <w:t>is</w:t>
      </w:r>
      <w:r w:rsidR="0043702A">
        <w:rPr>
          <w:rFonts w:ascii="Arial" w:hAnsi="Arial" w:cs="Arial"/>
          <w:color w:val="000000" w:themeColor="text1"/>
          <w:sz w:val="24"/>
          <w:szCs w:val="24"/>
          <w:lang w:val="en-US"/>
        </w:rPr>
        <w:t xml:space="preserve"> </w:t>
      </w:r>
      <w:r w:rsidR="0043702A" w:rsidRPr="00F90142">
        <w:rPr>
          <w:rFonts w:ascii="Arial" w:hAnsi="Arial" w:cs="Arial"/>
          <w:color w:val="000000" w:themeColor="text1"/>
          <w:sz w:val="24"/>
          <w:szCs w:val="24"/>
          <w:lang w:val="en-US"/>
        </w:rPr>
        <w:t>no</w:t>
      </w:r>
      <w:r w:rsidR="005D7FC1" w:rsidRPr="00F90142">
        <w:rPr>
          <w:rFonts w:ascii="Arial" w:hAnsi="Arial" w:cs="Arial"/>
          <w:color w:val="000000" w:themeColor="text1"/>
          <w:sz w:val="24"/>
          <w:szCs w:val="24"/>
          <w:lang w:val="en-US"/>
        </w:rPr>
        <w:t xml:space="preserve"> merit in this submission</w:t>
      </w:r>
      <w:r w:rsidR="005D7FC1">
        <w:rPr>
          <w:rFonts w:ascii="Arial" w:hAnsi="Arial" w:cs="Arial"/>
          <w:color w:val="000000" w:themeColor="text1"/>
          <w:sz w:val="24"/>
          <w:szCs w:val="24"/>
          <w:lang w:val="en-US"/>
        </w:rPr>
        <w:t xml:space="preserve"> because it </w:t>
      </w:r>
      <w:r w:rsidR="00D049B1" w:rsidRPr="00F90142">
        <w:rPr>
          <w:rFonts w:ascii="Arial" w:hAnsi="Arial" w:cs="Arial"/>
          <w:color w:val="000000" w:themeColor="text1"/>
          <w:sz w:val="24"/>
          <w:szCs w:val="24"/>
          <w:lang w:val="en-US"/>
        </w:rPr>
        <w:t xml:space="preserve">goes against what is expressly and clearly </w:t>
      </w:r>
      <w:r w:rsidR="005303EC" w:rsidRPr="00F90142">
        <w:rPr>
          <w:rFonts w:ascii="Arial" w:hAnsi="Arial" w:cs="Arial"/>
          <w:color w:val="000000" w:themeColor="text1"/>
          <w:sz w:val="24"/>
          <w:szCs w:val="24"/>
          <w:lang w:val="en-US"/>
        </w:rPr>
        <w:t xml:space="preserve">raised by the defendant </w:t>
      </w:r>
      <w:r w:rsidR="005D7FC1">
        <w:rPr>
          <w:rFonts w:ascii="Arial" w:hAnsi="Arial" w:cs="Arial"/>
          <w:color w:val="000000" w:themeColor="text1"/>
          <w:sz w:val="24"/>
          <w:szCs w:val="24"/>
          <w:lang w:val="en-US"/>
        </w:rPr>
        <w:t>when</w:t>
      </w:r>
      <w:r w:rsidR="005303EC" w:rsidRPr="00F90142">
        <w:rPr>
          <w:rFonts w:ascii="Arial" w:hAnsi="Arial" w:cs="Arial"/>
          <w:color w:val="000000" w:themeColor="text1"/>
          <w:sz w:val="24"/>
          <w:szCs w:val="24"/>
          <w:lang w:val="en-US"/>
        </w:rPr>
        <w:t xml:space="preserve"> </w:t>
      </w:r>
      <w:r w:rsidR="005D7FC1">
        <w:rPr>
          <w:rFonts w:ascii="Arial" w:hAnsi="Arial" w:cs="Arial"/>
          <w:color w:val="000000" w:themeColor="text1"/>
          <w:sz w:val="24"/>
          <w:szCs w:val="24"/>
          <w:lang w:val="en-US"/>
        </w:rPr>
        <w:t>it</w:t>
      </w:r>
      <w:r w:rsidR="005303EC" w:rsidRPr="00F90142">
        <w:rPr>
          <w:rFonts w:ascii="Arial" w:hAnsi="Arial" w:cs="Arial"/>
          <w:color w:val="000000" w:themeColor="text1"/>
          <w:sz w:val="24"/>
          <w:szCs w:val="24"/>
          <w:lang w:val="en-US"/>
        </w:rPr>
        <w:t xml:space="preserve"> </w:t>
      </w:r>
      <w:r w:rsidR="0043702A" w:rsidRPr="00F90142">
        <w:rPr>
          <w:rFonts w:ascii="Arial" w:hAnsi="Arial" w:cs="Arial"/>
          <w:color w:val="000000" w:themeColor="text1"/>
          <w:sz w:val="24"/>
          <w:szCs w:val="24"/>
          <w:lang w:val="en-US"/>
        </w:rPr>
        <w:t>stated:</w:t>
      </w:r>
      <w:r w:rsidR="005303EC" w:rsidRPr="00F90142">
        <w:rPr>
          <w:rFonts w:ascii="Arial" w:hAnsi="Arial" w:cs="Arial"/>
          <w:color w:val="000000" w:themeColor="text1"/>
          <w:sz w:val="24"/>
          <w:szCs w:val="24"/>
          <w:lang w:val="en-US"/>
        </w:rPr>
        <w:t xml:space="preserve"> </w:t>
      </w:r>
    </w:p>
    <w:p w14:paraId="4EAF0FDA" w14:textId="427B9958" w:rsidR="00D049B1" w:rsidRPr="00F90142" w:rsidRDefault="0043702A" w:rsidP="0043702A">
      <w:pPr>
        <w:spacing w:line="480" w:lineRule="auto"/>
        <w:ind w:left="2160" w:hanging="720"/>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Pr="00F90142">
        <w:rPr>
          <w:rFonts w:ascii="Arial" w:hAnsi="Arial" w:cs="Arial"/>
          <w:i/>
          <w:iCs/>
          <w:color w:val="000000" w:themeColor="text1"/>
          <w:sz w:val="24"/>
          <w:szCs w:val="24"/>
          <w:lang w:val="en-US"/>
        </w:rPr>
        <w:t xml:space="preserve">15.3 </w:t>
      </w:r>
      <w:r>
        <w:rPr>
          <w:rFonts w:ascii="Arial" w:hAnsi="Arial" w:cs="Arial"/>
          <w:i/>
          <w:iCs/>
          <w:color w:val="000000" w:themeColor="text1"/>
          <w:sz w:val="24"/>
          <w:szCs w:val="24"/>
          <w:lang w:val="en-US"/>
        </w:rPr>
        <w:tab/>
      </w:r>
      <w:r w:rsidRPr="00F90142">
        <w:rPr>
          <w:rFonts w:ascii="Arial" w:hAnsi="Arial" w:cs="Arial"/>
          <w:i/>
          <w:iCs/>
          <w:color w:val="000000" w:themeColor="text1"/>
          <w:sz w:val="24"/>
          <w:szCs w:val="24"/>
          <w:lang w:val="en-US"/>
        </w:rPr>
        <w:t>Subject</w:t>
      </w:r>
      <w:r w:rsidR="005303EC" w:rsidRPr="00F90142">
        <w:rPr>
          <w:rFonts w:ascii="Arial" w:hAnsi="Arial" w:cs="Arial"/>
          <w:i/>
          <w:iCs/>
          <w:color w:val="000000" w:themeColor="text1"/>
          <w:sz w:val="24"/>
          <w:szCs w:val="24"/>
          <w:lang w:val="en-US"/>
        </w:rPr>
        <w:t xml:space="preserve"> to what I state hereafter, should the accumulated interest in the </w:t>
      </w:r>
      <w:r w:rsidR="005303EC" w:rsidRPr="00F90142">
        <w:rPr>
          <w:rFonts w:ascii="Arial" w:hAnsi="Arial" w:cs="Arial"/>
          <w:i/>
          <w:iCs/>
          <w:color w:val="000000" w:themeColor="text1"/>
          <w:sz w:val="24"/>
          <w:szCs w:val="24"/>
          <w:lang w:val="en-US"/>
        </w:rPr>
        <w:tab/>
        <w:t>PoC be computed on this basis only, the claim for any amounts more than three (3) years before service of the Summons,</w:t>
      </w:r>
      <w:r w:rsidR="008B61BF">
        <w:rPr>
          <w:rFonts w:ascii="Arial" w:hAnsi="Arial" w:cs="Arial"/>
          <w:i/>
          <w:iCs/>
          <w:color w:val="000000" w:themeColor="text1"/>
          <w:sz w:val="24"/>
          <w:szCs w:val="24"/>
          <w:lang w:val="en-US"/>
        </w:rPr>
        <w:t xml:space="preserve"> </w:t>
      </w:r>
      <w:r w:rsidR="005303EC" w:rsidRPr="00F90142">
        <w:rPr>
          <w:rFonts w:ascii="Arial" w:hAnsi="Arial" w:cs="Arial"/>
          <w:i/>
          <w:iCs/>
          <w:color w:val="000000" w:themeColor="text1"/>
          <w:sz w:val="24"/>
          <w:szCs w:val="24"/>
          <w:lang w:val="en-US"/>
        </w:rPr>
        <w:t>has</w:t>
      </w:r>
      <w:r w:rsidR="008B61BF">
        <w:rPr>
          <w:rFonts w:ascii="Arial" w:hAnsi="Arial" w:cs="Arial"/>
          <w:i/>
          <w:iCs/>
          <w:color w:val="000000" w:themeColor="text1"/>
          <w:sz w:val="24"/>
          <w:szCs w:val="24"/>
          <w:lang w:val="en-US"/>
        </w:rPr>
        <w:t xml:space="preserve"> </w:t>
      </w:r>
      <w:r w:rsidR="005303EC" w:rsidRPr="00F90142">
        <w:rPr>
          <w:rFonts w:ascii="Arial" w:hAnsi="Arial" w:cs="Arial"/>
          <w:i/>
          <w:iCs/>
          <w:color w:val="000000" w:themeColor="text1"/>
          <w:sz w:val="24"/>
          <w:szCs w:val="24"/>
          <w:lang w:val="en-US"/>
        </w:rPr>
        <w:t>clearly prescribed. “</w:t>
      </w:r>
      <w:r w:rsidR="005303EC" w:rsidRPr="00F90142">
        <w:rPr>
          <w:rFonts w:ascii="Arial" w:hAnsi="Arial" w:cs="Arial"/>
          <w:color w:val="000000" w:themeColor="text1"/>
          <w:sz w:val="24"/>
          <w:szCs w:val="24"/>
          <w:lang w:val="en-US"/>
        </w:rPr>
        <w:t xml:space="preserve"> </w:t>
      </w:r>
      <w:r w:rsidR="00D049B1" w:rsidRPr="00F90142">
        <w:rPr>
          <w:rFonts w:ascii="Arial" w:hAnsi="Arial" w:cs="Arial"/>
          <w:color w:val="000000" w:themeColor="text1"/>
          <w:sz w:val="24"/>
          <w:szCs w:val="24"/>
          <w:lang w:val="en-US"/>
        </w:rPr>
        <w:t xml:space="preserve"> </w:t>
      </w:r>
    </w:p>
    <w:p w14:paraId="2C04E207" w14:textId="4A571F6A" w:rsidR="00883827" w:rsidRDefault="008B61BF" w:rsidP="0074449E">
      <w:pPr>
        <w:spacing w:line="480" w:lineRule="auto"/>
        <w:ind w:left="720" w:hanging="720"/>
        <w:jc w:val="both"/>
        <w:rPr>
          <w:rFonts w:ascii="Arial" w:hAnsi="Arial" w:cs="Arial"/>
          <w:sz w:val="24"/>
          <w:szCs w:val="24"/>
          <w:lang w:val="en-US"/>
        </w:rPr>
      </w:pPr>
      <w:r>
        <w:rPr>
          <w:rFonts w:ascii="Arial" w:hAnsi="Arial" w:cs="Arial"/>
          <w:sz w:val="24"/>
          <w:szCs w:val="24"/>
          <w:lang w:val="en-US"/>
        </w:rPr>
        <w:t>[4</w:t>
      </w:r>
      <w:r w:rsidR="00A66A01">
        <w:rPr>
          <w:rFonts w:ascii="Arial" w:hAnsi="Arial" w:cs="Arial"/>
          <w:sz w:val="24"/>
          <w:szCs w:val="24"/>
          <w:lang w:val="en-US"/>
        </w:rPr>
        <w:t>7</w:t>
      </w:r>
      <w:r>
        <w:rPr>
          <w:rFonts w:ascii="Arial" w:hAnsi="Arial" w:cs="Arial"/>
          <w:sz w:val="24"/>
          <w:szCs w:val="24"/>
          <w:lang w:val="en-US"/>
        </w:rPr>
        <w:t>]   It is not within my province at this point to decide whether the special pleas are going to succeed or not.  The fact that the plaintiff has conceded that certain amounts prior to 31 May 2017 may be disregarded by this court is indicative of the fact that there is</w:t>
      </w:r>
      <w:r w:rsidR="00771CC9">
        <w:rPr>
          <w:rFonts w:ascii="Arial" w:hAnsi="Arial" w:cs="Arial"/>
          <w:sz w:val="24"/>
          <w:szCs w:val="24"/>
          <w:lang w:val="en-US"/>
        </w:rPr>
        <w:t xml:space="preserve"> </w:t>
      </w:r>
      <w:r>
        <w:rPr>
          <w:rFonts w:ascii="Arial" w:hAnsi="Arial" w:cs="Arial"/>
          <w:sz w:val="24"/>
          <w:szCs w:val="24"/>
          <w:lang w:val="en-US"/>
        </w:rPr>
        <w:t xml:space="preserve">merit in the </w:t>
      </w:r>
      <w:r w:rsidR="00771CC9">
        <w:rPr>
          <w:rFonts w:ascii="Arial" w:hAnsi="Arial" w:cs="Arial"/>
          <w:sz w:val="24"/>
          <w:szCs w:val="24"/>
          <w:lang w:val="en-US"/>
        </w:rPr>
        <w:t>defenses</w:t>
      </w:r>
      <w:r w:rsidR="0074449E">
        <w:rPr>
          <w:rFonts w:ascii="Arial" w:hAnsi="Arial" w:cs="Arial"/>
          <w:sz w:val="24"/>
          <w:szCs w:val="24"/>
          <w:lang w:val="en-US"/>
        </w:rPr>
        <w:t xml:space="preserve"> raised by the defendant.</w:t>
      </w:r>
      <w:r>
        <w:rPr>
          <w:rFonts w:ascii="Arial" w:hAnsi="Arial" w:cs="Arial"/>
          <w:sz w:val="24"/>
          <w:szCs w:val="24"/>
          <w:lang w:val="en-US"/>
        </w:rPr>
        <w:t xml:space="preserve"> </w:t>
      </w:r>
    </w:p>
    <w:p w14:paraId="5EB71537" w14:textId="24BEE755" w:rsidR="00771CC9" w:rsidRPr="00771CC9" w:rsidRDefault="00771CC9" w:rsidP="0074449E">
      <w:pPr>
        <w:spacing w:line="480" w:lineRule="auto"/>
        <w:ind w:left="720" w:hanging="720"/>
        <w:jc w:val="both"/>
        <w:rPr>
          <w:rFonts w:ascii="Arial" w:hAnsi="Arial" w:cs="Arial"/>
          <w:i/>
          <w:iCs/>
          <w:sz w:val="24"/>
          <w:szCs w:val="24"/>
          <w:lang w:val="en-US"/>
        </w:rPr>
      </w:pPr>
      <w:r w:rsidRPr="00771CC9">
        <w:rPr>
          <w:rFonts w:ascii="Arial" w:hAnsi="Arial" w:cs="Arial"/>
          <w:i/>
          <w:iCs/>
          <w:sz w:val="24"/>
          <w:szCs w:val="24"/>
          <w:lang w:val="en-US"/>
        </w:rPr>
        <w:t>Institution notice point</w:t>
      </w:r>
    </w:p>
    <w:p w14:paraId="2D3E3EF6" w14:textId="0752C6D0" w:rsidR="00283592" w:rsidRPr="0074449E" w:rsidRDefault="00883827" w:rsidP="0074449E">
      <w:pPr>
        <w:spacing w:line="480" w:lineRule="auto"/>
        <w:ind w:left="720" w:hanging="720"/>
        <w:jc w:val="both"/>
        <w:rPr>
          <w:rFonts w:ascii="Arial" w:hAnsi="Arial" w:cs="Arial"/>
          <w:sz w:val="24"/>
          <w:szCs w:val="24"/>
          <w:lang w:val="en-US"/>
        </w:rPr>
      </w:pPr>
      <w:r>
        <w:rPr>
          <w:rFonts w:ascii="Arial" w:hAnsi="Arial" w:cs="Arial"/>
          <w:sz w:val="24"/>
          <w:szCs w:val="24"/>
          <w:lang w:val="en-US"/>
        </w:rPr>
        <w:t>[4</w:t>
      </w:r>
      <w:r w:rsidR="00A66A01">
        <w:rPr>
          <w:rFonts w:ascii="Arial" w:hAnsi="Arial" w:cs="Arial"/>
          <w:sz w:val="24"/>
          <w:szCs w:val="24"/>
          <w:lang w:val="en-US"/>
        </w:rPr>
        <w:t>8</w:t>
      </w:r>
      <w:r w:rsidR="002473AB">
        <w:rPr>
          <w:rFonts w:ascii="Arial" w:hAnsi="Arial" w:cs="Arial"/>
          <w:sz w:val="24"/>
          <w:szCs w:val="24"/>
          <w:lang w:val="en-US"/>
        </w:rPr>
        <w:t xml:space="preserve">] </w:t>
      </w:r>
      <w:r w:rsidR="002473AB">
        <w:rPr>
          <w:rFonts w:ascii="Arial" w:hAnsi="Arial" w:cs="Arial"/>
          <w:sz w:val="24"/>
          <w:szCs w:val="24"/>
          <w:lang w:val="en-US"/>
        </w:rPr>
        <w:tab/>
        <w:t>Plaintiff</w:t>
      </w:r>
      <w:r w:rsidR="00DF4C22" w:rsidRPr="00EF598A">
        <w:rPr>
          <w:rFonts w:ascii="Arial" w:hAnsi="Arial" w:cs="Arial"/>
          <w:color w:val="000000" w:themeColor="text1"/>
          <w:sz w:val="24"/>
          <w:szCs w:val="24"/>
          <w:lang w:val="en-US"/>
        </w:rPr>
        <w:t xml:space="preserve"> advance</w:t>
      </w:r>
      <w:r w:rsidR="00C32BF6" w:rsidRPr="00EF598A">
        <w:rPr>
          <w:rFonts w:ascii="Arial" w:hAnsi="Arial" w:cs="Arial"/>
          <w:color w:val="000000" w:themeColor="text1"/>
          <w:sz w:val="24"/>
          <w:szCs w:val="24"/>
          <w:lang w:val="en-US"/>
        </w:rPr>
        <w:t>d</w:t>
      </w:r>
      <w:r w:rsidR="00DF4C22" w:rsidRPr="00EF598A">
        <w:rPr>
          <w:rFonts w:ascii="Arial" w:hAnsi="Arial" w:cs="Arial"/>
          <w:color w:val="000000" w:themeColor="text1"/>
          <w:sz w:val="24"/>
          <w:szCs w:val="24"/>
          <w:lang w:val="en-US"/>
        </w:rPr>
        <w:t xml:space="preserve"> legal argument in relation to the Institution Act</w:t>
      </w:r>
      <w:r w:rsidR="00771CC9">
        <w:rPr>
          <w:rFonts w:ascii="Arial" w:hAnsi="Arial" w:cs="Arial"/>
          <w:color w:val="000000" w:themeColor="text1"/>
          <w:sz w:val="24"/>
          <w:szCs w:val="24"/>
          <w:lang w:val="en-US"/>
        </w:rPr>
        <w:t xml:space="preserve"> and argued</w:t>
      </w:r>
      <w:r w:rsidR="009767FF">
        <w:rPr>
          <w:rFonts w:ascii="Arial" w:hAnsi="Arial" w:cs="Arial"/>
          <w:sz w:val="24"/>
          <w:szCs w:val="24"/>
          <w:lang w:val="en-US"/>
        </w:rPr>
        <w:t xml:space="preserve"> that the institution point had been abandoned. There were no submissions made in relation to this point by the </w:t>
      </w:r>
      <w:r w:rsidR="002473AB">
        <w:rPr>
          <w:rFonts w:ascii="Arial" w:hAnsi="Arial" w:cs="Arial"/>
          <w:sz w:val="24"/>
          <w:szCs w:val="24"/>
          <w:lang w:val="en-US"/>
        </w:rPr>
        <w:t>defendant.</w:t>
      </w:r>
      <w:r w:rsidR="009767FF">
        <w:rPr>
          <w:rFonts w:ascii="Arial" w:hAnsi="Arial" w:cs="Arial"/>
          <w:sz w:val="24"/>
          <w:szCs w:val="24"/>
          <w:lang w:val="en-US"/>
        </w:rPr>
        <w:t xml:space="preserve"> However, it was also not </w:t>
      </w:r>
      <w:r w:rsidR="009767FF">
        <w:rPr>
          <w:rFonts w:ascii="Arial" w:hAnsi="Arial" w:cs="Arial"/>
          <w:sz w:val="24"/>
          <w:szCs w:val="24"/>
          <w:lang w:val="en-US"/>
        </w:rPr>
        <w:lastRenderedPageBreak/>
        <w:t xml:space="preserve">abandoned. It </w:t>
      </w:r>
      <w:r w:rsidR="002473AB">
        <w:rPr>
          <w:rFonts w:ascii="Arial" w:hAnsi="Arial" w:cs="Arial"/>
          <w:sz w:val="24"/>
          <w:szCs w:val="24"/>
          <w:lang w:val="en-US"/>
        </w:rPr>
        <w:t>is for</w:t>
      </w:r>
      <w:r w:rsidR="009767FF">
        <w:rPr>
          <w:rFonts w:ascii="Arial" w:hAnsi="Arial" w:cs="Arial"/>
          <w:sz w:val="24"/>
          <w:szCs w:val="24"/>
          <w:lang w:val="en-US"/>
        </w:rPr>
        <w:t xml:space="preserve"> that reason that I find it necessary to deal with it since it is one of the special defences raised.</w:t>
      </w:r>
      <w:r w:rsidR="00DF4C22" w:rsidRPr="00EF598A">
        <w:rPr>
          <w:rFonts w:ascii="Arial" w:hAnsi="Arial" w:cs="Arial"/>
          <w:color w:val="000000" w:themeColor="text1"/>
          <w:sz w:val="24"/>
          <w:szCs w:val="24"/>
          <w:lang w:val="en-US"/>
        </w:rPr>
        <w:t xml:space="preserve"> In </w:t>
      </w:r>
      <w:r w:rsidR="009767FF">
        <w:rPr>
          <w:rFonts w:ascii="Arial" w:hAnsi="Arial" w:cs="Arial"/>
          <w:color w:val="000000" w:themeColor="text1"/>
          <w:sz w:val="24"/>
          <w:szCs w:val="24"/>
          <w:lang w:val="en-US"/>
        </w:rPr>
        <w:t xml:space="preserve">attacking </w:t>
      </w:r>
      <w:r w:rsidR="00DF4C22" w:rsidRPr="00EF598A">
        <w:rPr>
          <w:rFonts w:ascii="Arial" w:hAnsi="Arial" w:cs="Arial"/>
          <w:color w:val="000000" w:themeColor="text1"/>
          <w:sz w:val="24"/>
          <w:szCs w:val="24"/>
          <w:lang w:val="en-US"/>
        </w:rPr>
        <w:t>the point</w:t>
      </w:r>
      <w:r w:rsidR="009767FF">
        <w:rPr>
          <w:rFonts w:ascii="Arial" w:hAnsi="Arial" w:cs="Arial"/>
          <w:color w:val="000000" w:themeColor="text1"/>
          <w:sz w:val="24"/>
          <w:szCs w:val="24"/>
          <w:lang w:val="en-US"/>
        </w:rPr>
        <w:t xml:space="preserve">, plaintiff </w:t>
      </w:r>
      <w:r w:rsidR="0074449E" w:rsidRPr="00EF598A">
        <w:rPr>
          <w:rFonts w:ascii="Arial" w:hAnsi="Arial" w:cs="Arial"/>
          <w:sz w:val="24"/>
          <w:szCs w:val="24"/>
          <w:lang w:val="en-US"/>
        </w:rPr>
        <w:t xml:space="preserve">relied on </w:t>
      </w:r>
      <w:r w:rsidR="00DA0367" w:rsidRPr="00EF598A">
        <w:rPr>
          <w:rFonts w:ascii="Arial" w:hAnsi="Arial" w:cs="Arial"/>
          <w:i/>
          <w:iCs/>
          <w:sz w:val="24"/>
          <w:szCs w:val="24"/>
          <w:lang w:val="en-US"/>
        </w:rPr>
        <w:t xml:space="preserve">Director- </w:t>
      </w:r>
      <w:r w:rsidR="002473AB" w:rsidRPr="00EF598A">
        <w:rPr>
          <w:rFonts w:ascii="Arial" w:hAnsi="Arial" w:cs="Arial"/>
          <w:i/>
          <w:iCs/>
          <w:sz w:val="24"/>
          <w:szCs w:val="24"/>
          <w:lang w:val="en-US"/>
        </w:rPr>
        <w:t>General,</w:t>
      </w:r>
      <w:r w:rsidR="00DA0367" w:rsidRPr="00EF598A">
        <w:rPr>
          <w:rFonts w:ascii="Arial" w:hAnsi="Arial" w:cs="Arial"/>
          <w:i/>
          <w:iCs/>
          <w:sz w:val="24"/>
          <w:szCs w:val="24"/>
          <w:lang w:val="en-US"/>
        </w:rPr>
        <w:t xml:space="preserve"> Department of Public Works</w:t>
      </w:r>
      <w:r w:rsidR="00283592" w:rsidRPr="00EF598A">
        <w:rPr>
          <w:rFonts w:ascii="Arial" w:hAnsi="Arial" w:cs="Arial"/>
          <w:i/>
          <w:iCs/>
          <w:sz w:val="24"/>
          <w:szCs w:val="24"/>
          <w:lang w:val="en-US"/>
        </w:rPr>
        <w:t xml:space="preserve"> v Kovacs</w:t>
      </w:r>
      <w:r w:rsidR="00283592" w:rsidRPr="00EF598A">
        <w:rPr>
          <w:rStyle w:val="FootnoteReference"/>
          <w:rFonts w:ascii="Arial" w:hAnsi="Arial" w:cs="Arial"/>
          <w:sz w:val="24"/>
          <w:szCs w:val="24"/>
          <w:lang w:val="en-US"/>
        </w:rPr>
        <w:footnoteReference w:id="8"/>
      </w:r>
      <w:r w:rsidR="00283592" w:rsidRPr="00EF598A">
        <w:rPr>
          <w:rFonts w:ascii="Arial" w:hAnsi="Arial" w:cs="Arial"/>
          <w:sz w:val="24"/>
          <w:szCs w:val="24"/>
          <w:lang w:val="en-US"/>
        </w:rPr>
        <w:t xml:space="preserve"> , where Cassim </w:t>
      </w:r>
      <w:r w:rsidR="002473AB" w:rsidRPr="00EF598A">
        <w:rPr>
          <w:rFonts w:ascii="Arial" w:hAnsi="Arial" w:cs="Arial"/>
          <w:sz w:val="24"/>
          <w:szCs w:val="24"/>
          <w:lang w:val="en-US"/>
        </w:rPr>
        <w:t>AJ found</w:t>
      </w:r>
      <w:r w:rsidR="00283592">
        <w:rPr>
          <w:rFonts w:ascii="Arial" w:hAnsi="Arial" w:cs="Arial"/>
          <w:lang w:val="en-US"/>
        </w:rPr>
        <w:t xml:space="preserve">: </w:t>
      </w:r>
    </w:p>
    <w:p w14:paraId="19156A60" w14:textId="77D7BCCF" w:rsidR="00283592" w:rsidRPr="00EF598A" w:rsidRDefault="002473AB" w:rsidP="002473AB">
      <w:pPr>
        <w:pStyle w:val="NormalWeb"/>
        <w:ind w:left="1440"/>
        <w:jc w:val="both"/>
        <w:rPr>
          <w:rFonts w:ascii="Arial" w:hAnsi="Arial" w:cs="Arial"/>
          <w:i/>
          <w:iCs/>
          <w:sz w:val="20"/>
          <w:szCs w:val="20"/>
          <w:lang w:val="en-US"/>
        </w:rPr>
      </w:pPr>
      <w:r w:rsidRPr="00283592">
        <w:rPr>
          <w:rFonts w:ascii="Arial" w:hAnsi="Arial" w:cs="Arial"/>
          <w:i/>
          <w:iCs/>
          <w:sz w:val="20"/>
          <w:szCs w:val="20"/>
          <w:lang w:val="en-US"/>
        </w:rPr>
        <w:t>“[</w:t>
      </w:r>
      <w:r w:rsidR="00283592" w:rsidRPr="00283592">
        <w:rPr>
          <w:rFonts w:ascii="Arial" w:hAnsi="Arial" w:cs="Arial"/>
          <w:i/>
          <w:iCs/>
          <w:sz w:val="20"/>
          <w:szCs w:val="20"/>
          <w:lang w:val="en-US"/>
        </w:rPr>
        <w:t>8] The enquiry does not stop in para (a) of the definition of ‘debt’ in the Act. Paragraph (b) of the definition lists, in addition to the features mentioned in para (a) , another feature that the contractual, delictual or other claim must possess: it must be a claim for which an organ of State is liable for the payment of damages. There are therefore two legs to the enquiry whether a claim is a debt in terms of the Act. First, it must arise from a contract, a delict</w:t>
      </w:r>
      <w:r w:rsidR="00283592">
        <w:rPr>
          <w:rFonts w:ascii="Arial" w:hAnsi="Arial" w:cs="Arial"/>
          <w:i/>
          <w:iCs/>
          <w:sz w:val="20"/>
          <w:szCs w:val="20"/>
          <w:lang w:val="en-US"/>
        </w:rPr>
        <w:t xml:space="preserve"> </w:t>
      </w:r>
      <w:r w:rsidR="00283592" w:rsidRPr="00283592">
        <w:rPr>
          <w:rFonts w:ascii="Arial" w:hAnsi="Arial" w:cs="Arial"/>
          <w:i/>
          <w:iCs/>
          <w:sz w:val="20"/>
          <w:szCs w:val="20"/>
          <w:lang w:val="en-US"/>
        </w:rPr>
        <w:t>or any other liability’. Second, it must render the organ of State liable for damages.”</w:t>
      </w:r>
    </w:p>
    <w:p w14:paraId="581B2237" w14:textId="61C6DFE9" w:rsidR="00CC0266" w:rsidRPr="0074449E" w:rsidRDefault="000315F3" w:rsidP="0074449E">
      <w:pPr>
        <w:pStyle w:val="NormalWeb"/>
        <w:ind w:left="709" w:hanging="709"/>
        <w:jc w:val="both"/>
        <w:rPr>
          <w:rFonts w:ascii="Arial" w:hAnsi="Arial" w:cs="Arial"/>
          <w:i/>
          <w:iCs/>
          <w:sz w:val="20"/>
          <w:szCs w:val="20"/>
          <w:lang w:val="en-US"/>
        </w:rPr>
      </w:pPr>
      <w:r>
        <w:rPr>
          <w:rFonts w:ascii="Arial" w:hAnsi="Arial" w:cs="Arial"/>
          <w:lang w:val="en-US"/>
        </w:rPr>
        <w:t xml:space="preserve">         </w:t>
      </w:r>
    </w:p>
    <w:p w14:paraId="6351B05C" w14:textId="13BF64BF" w:rsidR="003B3857" w:rsidRDefault="002501E5" w:rsidP="00202421">
      <w:pPr>
        <w:spacing w:line="480" w:lineRule="auto"/>
        <w:ind w:left="720" w:hanging="720"/>
        <w:jc w:val="both"/>
        <w:rPr>
          <w:rFonts w:ascii="Arial" w:hAnsi="Arial" w:cs="Arial"/>
          <w:sz w:val="24"/>
          <w:szCs w:val="24"/>
          <w:lang w:val="en-US"/>
        </w:rPr>
      </w:pPr>
      <w:r>
        <w:rPr>
          <w:rFonts w:ascii="Arial" w:hAnsi="Arial" w:cs="Arial"/>
          <w:sz w:val="24"/>
          <w:szCs w:val="24"/>
          <w:lang w:val="en-US"/>
        </w:rPr>
        <w:t>[4</w:t>
      </w:r>
      <w:r w:rsidR="00A66A01">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r>
      <w:r w:rsidR="003B3857">
        <w:rPr>
          <w:rFonts w:ascii="Arial" w:hAnsi="Arial" w:cs="Arial"/>
          <w:sz w:val="24"/>
          <w:szCs w:val="24"/>
          <w:lang w:val="en-US"/>
        </w:rPr>
        <w:t xml:space="preserve">In </w:t>
      </w:r>
      <w:r w:rsidR="003B3857" w:rsidRPr="002501E5">
        <w:rPr>
          <w:rFonts w:ascii="Arial" w:hAnsi="Arial" w:cs="Arial"/>
          <w:b/>
          <w:bCs/>
          <w:i/>
          <w:iCs/>
          <w:sz w:val="24"/>
          <w:szCs w:val="24"/>
          <w:lang w:val="en-US"/>
        </w:rPr>
        <w:t xml:space="preserve">Mothupi v Member of the Executive </w:t>
      </w:r>
      <w:r w:rsidRPr="002501E5">
        <w:rPr>
          <w:rFonts w:ascii="Arial" w:hAnsi="Arial" w:cs="Arial"/>
          <w:b/>
          <w:bCs/>
          <w:i/>
          <w:iCs/>
          <w:sz w:val="24"/>
          <w:szCs w:val="24"/>
          <w:lang w:val="en-US"/>
        </w:rPr>
        <w:t>Council,</w:t>
      </w:r>
      <w:r w:rsidR="003B3857" w:rsidRPr="002501E5">
        <w:rPr>
          <w:rFonts w:ascii="Arial" w:hAnsi="Arial" w:cs="Arial"/>
          <w:b/>
          <w:bCs/>
          <w:i/>
          <w:iCs/>
          <w:sz w:val="24"/>
          <w:szCs w:val="24"/>
          <w:lang w:val="en-US"/>
        </w:rPr>
        <w:t xml:space="preserve"> </w:t>
      </w:r>
      <w:r w:rsidRPr="002501E5">
        <w:rPr>
          <w:rFonts w:ascii="Arial" w:hAnsi="Arial" w:cs="Arial"/>
          <w:b/>
          <w:bCs/>
          <w:i/>
          <w:iCs/>
          <w:sz w:val="24"/>
          <w:szCs w:val="24"/>
          <w:lang w:val="en-US"/>
        </w:rPr>
        <w:t>Department of</w:t>
      </w:r>
      <w:r w:rsidR="003B3857" w:rsidRPr="002501E5">
        <w:rPr>
          <w:rFonts w:ascii="Arial" w:hAnsi="Arial" w:cs="Arial"/>
          <w:b/>
          <w:bCs/>
          <w:i/>
          <w:iCs/>
          <w:sz w:val="24"/>
          <w:szCs w:val="24"/>
          <w:lang w:val="en-US"/>
        </w:rPr>
        <w:t xml:space="preserve"> Health Free State Province</w:t>
      </w:r>
      <w:r w:rsidR="003B3857" w:rsidRPr="005D2893">
        <w:rPr>
          <w:rStyle w:val="FootnoteReference"/>
          <w:rFonts w:ascii="Arial" w:hAnsi="Arial" w:cs="Arial"/>
          <w:i/>
          <w:iCs/>
          <w:sz w:val="24"/>
          <w:szCs w:val="24"/>
          <w:lang w:val="en-US"/>
        </w:rPr>
        <w:footnoteReference w:id="9"/>
      </w:r>
      <w:r w:rsidR="003B3857" w:rsidRPr="005D2893">
        <w:rPr>
          <w:rFonts w:ascii="Arial" w:hAnsi="Arial" w:cs="Arial"/>
          <w:i/>
          <w:iCs/>
          <w:sz w:val="24"/>
          <w:szCs w:val="24"/>
          <w:lang w:val="en-US"/>
        </w:rPr>
        <w:t xml:space="preserve"> </w:t>
      </w:r>
      <w:r w:rsidR="005D2893">
        <w:rPr>
          <w:rFonts w:ascii="Arial" w:hAnsi="Arial" w:cs="Arial"/>
          <w:sz w:val="24"/>
          <w:szCs w:val="24"/>
          <w:lang w:val="en-US"/>
        </w:rPr>
        <w:t xml:space="preserve">, Leach JA </w:t>
      </w:r>
      <w:r w:rsidR="002473AB">
        <w:rPr>
          <w:rFonts w:ascii="Arial" w:hAnsi="Arial" w:cs="Arial"/>
          <w:sz w:val="24"/>
          <w:szCs w:val="24"/>
          <w:lang w:val="en-US"/>
        </w:rPr>
        <w:t>stated:</w:t>
      </w:r>
      <w:r w:rsidR="005D2893">
        <w:rPr>
          <w:rFonts w:ascii="Arial" w:hAnsi="Arial" w:cs="Arial"/>
          <w:sz w:val="24"/>
          <w:szCs w:val="24"/>
          <w:lang w:val="en-US"/>
        </w:rPr>
        <w:t xml:space="preserve"> </w:t>
      </w:r>
    </w:p>
    <w:p w14:paraId="14A70010" w14:textId="7E0AC4D3" w:rsidR="004741CF" w:rsidRPr="005D2893" w:rsidRDefault="005D2893" w:rsidP="002501E5">
      <w:pPr>
        <w:spacing w:line="276" w:lineRule="auto"/>
        <w:ind w:left="1156"/>
        <w:jc w:val="both"/>
        <w:rPr>
          <w:rFonts w:ascii="Arial" w:hAnsi="Arial" w:cs="Arial"/>
          <w:sz w:val="20"/>
          <w:szCs w:val="20"/>
          <w:lang w:val="en-US"/>
        </w:rPr>
      </w:pPr>
      <w:r w:rsidRPr="002501E5">
        <w:rPr>
          <w:rFonts w:ascii="Arial" w:hAnsi="Arial" w:cs="Arial"/>
          <w:i/>
          <w:iCs/>
          <w:color w:val="242121"/>
          <w:sz w:val="20"/>
          <w:szCs w:val="20"/>
          <w:shd w:val="clear" w:color="auto" w:fill="FFFFFF"/>
        </w:rPr>
        <w:t xml:space="preserve">“[12] But more importantly, the respondent does not allege that it has suffered any prejudice. </w:t>
      </w:r>
      <w:r w:rsidRPr="002501E5">
        <w:rPr>
          <w:rFonts w:ascii="Arial" w:hAnsi="Arial" w:cs="Arial"/>
          <w:i/>
          <w:iCs/>
          <w:color w:val="242121"/>
          <w:sz w:val="20"/>
          <w:szCs w:val="20"/>
          <w:u w:val="single"/>
          <w:shd w:val="clear" w:color="auto" w:fill="FFFFFF"/>
        </w:rPr>
        <w:t>The object of a provision such as s 3 is to enable the State, a large and cumbersome organisation, to investigate claims so as to consider whether to settle or compromise a claim before costs escalate unnecessarily, or to properly prepare its defence – which may be frustrated if it is unable to investigate relatively soon after the alleged incident occurred</w:t>
      </w:r>
      <w:r w:rsidRPr="002501E5">
        <w:rPr>
          <w:rFonts w:ascii="Arial" w:hAnsi="Arial" w:cs="Arial"/>
          <w:i/>
          <w:iCs/>
          <w:color w:val="242121"/>
          <w:sz w:val="20"/>
          <w:szCs w:val="20"/>
          <w:shd w:val="clear" w:color="auto" w:fill="FFFFFF"/>
        </w:rPr>
        <w:t>. In the present case, however, the identity of the medical practitioner who administered the spinal anaesthetic which the appellant alleges led to her paraplegia, is not only known but an affidavit from her, in which she disputes any negligence on her part, has been filed of record. In these circumstances, the respondent cannot allege that the underlying purpose of the notice provisions has not been met or that it has been prejudiced by the lack of receiving notice.”</w:t>
      </w:r>
      <w:r>
        <w:rPr>
          <w:rFonts w:ascii="Arial" w:hAnsi="Arial" w:cs="Arial"/>
          <w:color w:val="242121"/>
          <w:sz w:val="20"/>
          <w:szCs w:val="20"/>
          <w:shd w:val="clear" w:color="auto" w:fill="FFFFFF"/>
        </w:rPr>
        <w:t xml:space="preserve"> </w:t>
      </w:r>
      <w:r w:rsidR="002473AB">
        <w:rPr>
          <w:rFonts w:ascii="Arial" w:hAnsi="Arial" w:cs="Arial"/>
          <w:color w:val="242121"/>
          <w:sz w:val="20"/>
          <w:szCs w:val="20"/>
          <w:shd w:val="clear" w:color="auto" w:fill="FFFFFF"/>
        </w:rPr>
        <w:t>(my</w:t>
      </w:r>
      <w:r>
        <w:rPr>
          <w:rFonts w:ascii="Arial" w:hAnsi="Arial" w:cs="Arial"/>
          <w:color w:val="242121"/>
          <w:sz w:val="20"/>
          <w:szCs w:val="20"/>
          <w:shd w:val="clear" w:color="auto" w:fill="FFFFFF"/>
        </w:rPr>
        <w:t xml:space="preserve"> </w:t>
      </w:r>
      <w:r w:rsidR="002473AB">
        <w:rPr>
          <w:rFonts w:ascii="Arial" w:hAnsi="Arial" w:cs="Arial"/>
          <w:color w:val="242121"/>
          <w:sz w:val="20"/>
          <w:szCs w:val="20"/>
          <w:shd w:val="clear" w:color="auto" w:fill="FFFFFF"/>
        </w:rPr>
        <w:t>emphasis).</w:t>
      </w:r>
      <w:r>
        <w:rPr>
          <w:rFonts w:ascii="Arial" w:hAnsi="Arial" w:cs="Arial"/>
          <w:color w:val="242121"/>
          <w:sz w:val="20"/>
          <w:szCs w:val="20"/>
          <w:shd w:val="clear" w:color="auto" w:fill="FFFFFF"/>
        </w:rPr>
        <w:t xml:space="preserve"> </w:t>
      </w:r>
    </w:p>
    <w:p w14:paraId="32209E42" w14:textId="77777777" w:rsidR="004741CF" w:rsidRDefault="004741CF" w:rsidP="00097969">
      <w:pPr>
        <w:spacing w:line="276" w:lineRule="auto"/>
        <w:jc w:val="both"/>
        <w:rPr>
          <w:rFonts w:ascii="Arial" w:hAnsi="Arial" w:cs="Arial"/>
          <w:sz w:val="24"/>
          <w:szCs w:val="24"/>
          <w:lang w:val="en-US"/>
        </w:rPr>
      </w:pPr>
    </w:p>
    <w:p w14:paraId="633F97C6" w14:textId="5EB35C3D" w:rsidR="00FD73AA" w:rsidRDefault="002501E5" w:rsidP="00FD73AA">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A66A01">
        <w:rPr>
          <w:rFonts w:ascii="Arial" w:hAnsi="Arial" w:cs="Arial"/>
          <w:sz w:val="24"/>
          <w:szCs w:val="24"/>
          <w:lang w:val="en-US"/>
        </w:rPr>
        <w:t>50</w:t>
      </w:r>
      <w:r>
        <w:rPr>
          <w:rFonts w:ascii="Arial" w:hAnsi="Arial" w:cs="Arial"/>
          <w:sz w:val="24"/>
          <w:szCs w:val="24"/>
          <w:lang w:val="en-US"/>
        </w:rPr>
        <w:t>]</w:t>
      </w:r>
      <w:r w:rsidR="005D2893">
        <w:rPr>
          <w:rFonts w:ascii="Arial" w:hAnsi="Arial" w:cs="Arial"/>
          <w:sz w:val="24"/>
          <w:szCs w:val="24"/>
          <w:lang w:val="en-US"/>
        </w:rPr>
        <w:t xml:space="preserve"> </w:t>
      </w:r>
      <w:r>
        <w:rPr>
          <w:rFonts w:ascii="Arial" w:hAnsi="Arial" w:cs="Arial"/>
          <w:sz w:val="24"/>
          <w:szCs w:val="24"/>
          <w:lang w:val="en-US"/>
        </w:rPr>
        <w:tab/>
      </w:r>
      <w:r w:rsidR="0074449E">
        <w:rPr>
          <w:rFonts w:ascii="Arial" w:hAnsi="Arial" w:cs="Arial"/>
          <w:sz w:val="24"/>
          <w:szCs w:val="24"/>
          <w:lang w:val="en-US"/>
        </w:rPr>
        <w:t>A trial court may find that the notice was necessary in order to enable the defendant to investigate the claim prior to the institution of the action</w:t>
      </w:r>
      <w:r w:rsidR="00EF598A">
        <w:rPr>
          <w:rFonts w:ascii="Arial" w:hAnsi="Arial" w:cs="Arial"/>
          <w:sz w:val="24"/>
          <w:szCs w:val="24"/>
          <w:lang w:val="en-US"/>
        </w:rPr>
        <w:t xml:space="preserve">, especially in a matter that dates as far back as 2014. </w:t>
      </w:r>
    </w:p>
    <w:p w14:paraId="1A7177F5" w14:textId="06C69BB7" w:rsidR="00FD73AA" w:rsidRPr="00ED3805" w:rsidRDefault="00FD73AA" w:rsidP="00FD73AA">
      <w:pPr>
        <w:spacing w:line="480" w:lineRule="auto"/>
        <w:ind w:left="720" w:hanging="720"/>
        <w:jc w:val="both"/>
        <w:rPr>
          <w:rFonts w:ascii="Arial" w:hAnsi="Arial" w:cs="Arial"/>
          <w:i/>
          <w:iCs/>
          <w:sz w:val="24"/>
          <w:szCs w:val="24"/>
          <w:lang w:val="en-US"/>
        </w:rPr>
      </w:pPr>
      <w:r w:rsidRPr="00ED3805">
        <w:rPr>
          <w:rFonts w:ascii="Arial" w:hAnsi="Arial" w:cs="Arial"/>
          <w:i/>
          <w:iCs/>
          <w:sz w:val="24"/>
          <w:szCs w:val="24"/>
          <w:lang w:val="en-US"/>
        </w:rPr>
        <w:t>Condonation for non- compliance with the Institution Act</w:t>
      </w:r>
    </w:p>
    <w:p w14:paraId="0E13BA8A" w14:textId="53A6F33C" w:rsidR="00FD73AA" w:rsidRDefault="00FD73AA" w:rsidP="00FD73AA">
      <w:pPr>
        <w:spacing w:line="480" w:lineRule="auto"/>
        <w:ind w:left="720" w:hanging="720"/>
        <w:jc w:val="both"/>
        <w:rPr>
          <w:rFonts w:ascii="Arial" w:hAnsi="Arial" w:cs="Arial"/>
          <w:sz w:val="24"/>
          <w:szCs w:val="24"/>
          <w:lang w:val="en-US"/>
        </w:rPr>
      </w:pPr>
      <w:r>
        <w:rPr>
          <w:rFonts w:ascii="Arial" w:hAnsi="Arial" w:cs="Arial"/>
          <w:sz w:val="24"/>
          <w:szCs w:val="24"/>
          <w:lang w:val="en-US"/>
        </w:rPr>
        <w:lastRenderedPageBreak/>
        <w:t>[5</w:t>
      </w:r>
      <w:r w:rsidR="00BF3A5F">
        <w:rPr>
          <w:rFonts w:ascii="Arial" w:hAnsi="Arial" w:cs="Arial"/>
          <w:sz w:val="24"/>
          <w:szCs w:val="24"/>
          <w:lang w:val="en-US"/>
        </w:rPr>
        <w:t>1</w:t>
      </w:r>
      <w:r>
        <w:rPr>
          <w:rFonts w:ascii="Arial" w:hAnsi="Arial" w:cs="Arial"/>
          <w:sz w:val="24"/>
          <w:szCs w:val="24"/>
          <w:lang w:val="en-US"/>
        </w:rPr>
        <w:t>]</w:t>
      </w:r>
      <w:r>
        <w:rPr>
          <w:rFonts w:ascii="Arial" w:hAnsi="Arial" w:cs="Arial"/>
          <w:sz w:val="24"/>
          <w:szCs w:val="24"/>
          <w:lang w:val="en-US"/>
        </w:rPr>
        <w:tab/>
      </w:r>
      <w:r w:rsidR="00D44016">
        <w:rPr>
          <w:rFonts w:ascii="Arial" w:hAnsi="Arial" w:cs="Arial"/>
          <w:sz w:val="24"/>
          <w:szCs w:val="24"/>
          <w:lang w:val="en-US"/>
        </w:rPr>
        <w:t>Plaintiff,</w:t>
      </w:r>
      <w:r>
        <w:rPr>
          <w:rFonts w:ascii="Arial" w:hAnsi="Arial" w:cs="Arial"/>
          <w:sz w:val="24"/>
          <w:szCs w:val="24"/>
          <w:lang w:val="en-US"/>
        </w:rPr>
        <w:t xml:space="preserve"> as an alternative, purported to seek condonation for its alleged non-compliance with the Institution Act. That is not what summary judgment is intended for. In </w:t>
      </w:r>
      <w:r w:rsidR="00D44016">
        <w:rPr>
          <w:rFonts w:ascii="Arial" w:hAnsi="Arial" w:cs="Arial"/>
          <w:sz w:val="24"/>
          <w:szCs w:val="24"/>
          <w:lang w:val="en-US"/>
        </w:rPr>
        <w:t>fact,</w:t>
      </w:r>
      <w:r>
        <w:rPr>
          <w:rFonts w:ascii="Arial" w:hAnsi="Arial" w:cs="Arial"/>
          <w:sz w:val="24"/>
          <w:szCs w:val="24"/>
          <w:lang w:val="en-US"/>
        </w:rPr>
        <w:t xml:space="preserve"> seeking condonation demonstrates that the defence raised by the defendant in this regard may be sound in </w:t>
      </w:r>
      <w:r w:rsidR="00D44016">
        <w:rPr>
          <w:rFonts w:ascii="Arial" w:hAnsi="Arial" w:cs="Arial"/>
          <w:sz w:val="24"/>
          <w:szCs w:val="24"/>
          <w:lang w:val="en-US"/>
        </w:rPr>
        <w:t>law.</w:t>
      </w:r>
      <w:r>
        <w:rPr>
          <w:rFonts w:ascii="Arial" w:hAnsi="Arial" w:cs="Arial"/>
          <w:sz w:val="24"/>
          <w:szCs w:val="24"/>
          <w:lang w:val="en-US"/>
        </w:rPr>
        <w:t xml:space="preserve"> On this ground </w:t>
      </w:r>
      <w:r w:rsidR="00D44016">
        <w:rPr>
          <w:rFonts w:ascii="Arial" w:hAnsi="Arial" w:cs="Arial"/>
          <w:sz w:val="24"/>
          <w:szCs w:val="24"/>
          <w:lang w:val="en-US"/>
        </w:rPr>
        <w:t>alone,</w:t>
      </w:r>
      <w:r>
        <w:rPr>
          <w:rFonts w:ascii="Arial" w:hAnsi="Arial" w:cs="Arial"/>
          <w:sz w:val="24"/>
          <w:szCs w:val="24"/>
          <w:lang w:val="en-US"/>
        </w:rPr>
        <w:t xml:space="preserve"> and to the extent that the failure to give notice point is a good one, the claims against the defendant cannot be granted summarily without a proper condonation application brought in terms of the Institution Act. That is a process that falls outside the summary judgment application. </w:t>
      </w:r>
    </w:p>
    <w:p w14:paraId="25E7ED04" w14:textId="47832F59" w:rsidR="00FD73AA" w:rsidRDefault="00FD73AA" w:rsidP="00FD73AA">
      <w:pPr>
        <w:spacing w:line="480" w:lineRule="auto"/>
        <w:ind w:left="720" w:hanging="720"/>
        <w:jc w:val="both"/>
        <w:rPr>
          <w:rFonts w:ascii="Arial" w:hAnsi="Arial" w:cs="Arial"/>
          <w:sz w:val="24"/>
          <w:szCs w:val="24"/>
          <w:lang w:val="en-US"/>
        </w:rPr>
      </w:pPr>
      <w:r>
        <w:rPr>
          <w:rFonts w:ascii="Arial" w:hAnsi="Arial" w:cs="Arial"/>
          <w:sz w:val="24"/>
          <w:szCs w:val="24"/>
          <w:lang w:val="en-US"/>
        </w:rPr>
        <w:t xml:space="preserve">  [</w:t>
      </w:r>
      <w:r w:rsidR="00BF3A5F">
        <w:rPr>
          <w:rFonts w:ascii="Arial" w:hAnsi="Arial" w:cs="Arial"/>
          <w:sz w:val="24"/>
          <w:szCs w:val="24"/>
          <w:lang w:val="en-US"/>
        </w:rPr>
        <w:t>52</w:t>
      </w:r>
      <w:r w:rsidR="00D44016">
        <w:rPr>
          <w:rFonts w:ascii="Arial" w:hAnsi="Arial" w:cs="Arial"/>
          <w:sz w:val="24"/>
          <w:szCs w:val="24"/>
          <w:lang w:val="en-US"/>
        </w:rPr>
        <w:t xml:space="preserve">] </w:t>
      </w:r>
      <w:r w:rsidR="00D44016">
        <w:rPr>
          <w:rFonts w:ascii="Arial" w:hAnsi="Arial" w:cs="Arial"/>
          <w:sz w:val="24"/>
          <w:szCs w:val="24"/>
          <w:lang w:val="en-US"/>
        </w:rPr>
        <w:tab/>
        <w:t>Importantly</w:t>
      </w:r>
      <w:r>
        <w:rPr>
          <w:rFonts w:ascii="Arial" w:hAnsi="Arial" w:cs="Arial"/>
          <w:sz w:val="24"/>
          <w:szCs w:val="24"/>
          <w:lang w:val="en-US"/>
        </w:rPr>
        <w:t xml:space="preserve">, the condonation sought cannot be granted in these proceedings because the defendant has pleaded prescription of the claim or a portion </w:t>
      </w:r>
      <w:r w:rsidR="00D44016">
        <w:rPr>
          <w:rFonts w:ascii="Arial" w:hAnsi="Arial" w:cs="Arial"/>
          <w:sz w:val="24"/>
          <w:szCs w:val="24"/>
          <w:lang w:val="en-US"/>
        </w:rPr>
        <w:t>thereof.</w:t>
      </w:r>
      <w:r>
        <w:rPr>
          <w:rFonts w:ascii="Arial" w:hAnsi="Arial" w:cs="Arial"/>
          <w:sz w:val="24"/>
          <w:szCs w:val="24"/>
          <w:lang w:val="en-US"/>
        </w:rPr>
        <w:t xml:space="preserve"> </w:t>
      </w:r>
      <w:r w:rsidR="00D44016">
        <w:rPr>
          <w:rFonts w:ascii="Arial" w:hAnsi="Arial" w:cs="Arial"/>
          <w:sz w:val="24"/>
          <w:szCs w:val="24"/>
          <w:lang w:val="en-US"/>
        </w:rPr>
        <w:t>A court</w:t>
      </w:r>
      <w:r>
        <w:rPr>
          <w:rFonts w:ascii="Arial" w:hAnsi="Arial" w:cs="Arial"/>
          <w:sz w:val="24"/>
          <w:szCs w:val="24"/>
          <w:lang w:val="en-US"/>
        </w:rPr>
        <w:t xml:space="preserve"> when granting condonation must satisfy </w:t>
      </w:r>
      <w:r w:rsidR="00D44016">
        <w:rPr>
          <w:rFonts w:ascii="Arial" w:hAnsi="Arial" w:cs="Arial"/>
          <w:sz w:val="24"/>
          <w:szCs w:val="24"/>
          <w:lang w:val="en-US"/>
        </w:rPr>
        <w:t>itself, amongst</w:t>
      </w:r>
      <w:r>
        <w:rPr>
          <w:rFonts w:ascii="Arial" w:hAnsi="Arial" w:cs="Arial"/>
          <w:sz w:val="24"/>
          <w:szCs w:val="24"/>
          <w:lang w:val="en-US"/>
        </w:rPr>
        <w:t xml:space="preserve"> </w:t>
      </w:r>
      <w:r w:rsidR="00D44016">
        <w:rPr>
          <w:rFonts w:ascii="Arial" w:hAnsi="Arial" w:cs="Arial"/>
          <w:sz w:val="24"/>
          <w:szCs w:val="24"/>
          <w:lang w:val="en-US"/>
        </w:rPr>
        <w:t>others, that</w:t>
      </w:r>
      <w:r>
        <w:rPr>
          <w:rFonts w:ascii="Arial" w:hAnsi="Arial" w:cs="Arial"/>
          <w:sz w:val="24"/>
          <w:szCs w:val="24"/>
          <w:lang w:val="en-US"/>
        </w:rPr>
        <w:t xml:space="preserve"> the debt forming the subject matter of the action has not been extinguished by prescription as envisaged in section 3(4)(b) of the Institution Act. The prescription point raised by the defendant relates to both the amount of rentals claimed plus interest claimed. Defendant also contends that the interest claimed was not alleged and is not readily ascertainable. That is no small issue that can simply be ignored as it constitutes a dispute between the parties which is worth taking to trial. Most importantly I am not persuaded that these defences were raised as a tactical strategy to delay the claim. </w:t>
      </w:r>
    </w:p>
    <w:p w14:paraId="4D7C84B9" w14:textId="18F46AAB" w:rsidR="00FD73AA" w:rsidRDefault="00FD73AA" w:rsidP="00FD73AA">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BF3A5F">
        <w:rPr>
          <w:rFonts w:ascii="Arial" w:hAnsi="Arial" w:cs="Arial"/>
          <w:sz w:val="24"/>
          <w:szCs w:val="24"/>
          <w:lang w:val="en-US"/>
        </w:rPr>
        <w:t>53</w:t>
      </w:r>
      <w:r>
        <w:rPr>
          <w:rFonts w:ascii="Arial" w:hAnsi="Arial" w:cs="Arial"/>
          <w:sz w:val="24"/>
          <w:szCs w:val="24"/>
          <w:lang w:val="en-US"/>
        </w:rPr>
        <w:t>]</w:t>
      </w:r>
      <w:r>
        <w:rPr>
          <w:rFonts w:ascii="Arial" w:hAnsi="Arial" w:cs="Arial"/>
          <w:sz w:val="24"/>
          <w:szCs w:val="24"/>
          <w:lang w:val="en-US"/>
        </w:rPr>
        <w:tab/>
        <w:t xml:space="preserve">It is not the function of this Court when entertaining the summary judgment, to trawl through several pages of disputed entries and decide whether or not the defences raised are valid based on those entries. That is the work of the trial court where such entries will be supported by evidence and the veracity thereof will be tested. </w:t>
      </w:r>
    </w:p>
    <w:p w14:paraId="53C00059" w14:textId="3CFC97FB" w:rsidR="00FD73AA" w:rsidRDefault="00FD73AA" w:rsidP="0074449E">
      <w:pPr>
        <w:spacing w:line="480" w:lineRule="auto"/>
        <w:ind w:left="720" w:hanging="720"/>
        <w:jc w:val="both"/>
        <w:rPr>
          <w:rFonts w:ascii="Arial" w:hAnsi="Arial" w:cs="Arial"/>
          <w:sz w:val="24"/>
          <w:szCs w:val="24"/>
          <w:lang w:val="en-US"/>
        </w:rPr>
      </w:pPr>
    </w:p>
    <w:p w14:paraId="0DCE010C" w14:textId="77777777" w:rsidR="00D44016" w:rsidRDefault="00D44016" w:rsidP="0074449E">
      <w:pPr>
        <w:spacing w:line="480" w:lineRule="auto"/>
        <w:ind w:left="720" w:hanging="720"/>
        <w:jc w:val="both"/>
        <w:rPr>
          <w:rFonts w:ascii="Arial" w:hAnsi="Arial" w:cs="Arial"/>
          <w:sz w:val="24"/>
          <w:szCs w:val="24"/>
          <w:lang w:val="en-US"/>
        </w:rPr>
      </w:pPr>
    </w:p>
    <w:p w14:paraId="7DE11323" w14:textId="2180B018" w:rsidR="00ED3805" w:rsidRPr="00ED3805" w:rsidRDefault="00ED3805" w:rsidP="00EF598A">
      <w:pPr>
        <w:spacing w:line="480" w:lineRule="auto"/>
        <w:ind w:left="720" w:hanging="720"/>
        <w:jc w:val="both"/>
        <w:rPr>
          <w:rFonts w:ascii="Arial" w:hAnsi="Arial" w:cs="Arial"/>
          <w:i/>
          <w:iCs/>
          <w:sz w:val="24"/>
          <w:szCs w:val="24"/>
          <w:lang w:val="en-US"/>
        </w:rPr>
      </w:pPr>
      <w:r w:rsidRPr="00ED3805">
        <w:rPr>
          <w:rFonts w:ascii="Arial" w:hAnsi="Arial" w:cs="Arial"/>
          <w:i/>
          <w:iCs/>
          <w:sz w:val="24"/>
          <w:szCs w:val="24"/>
          <w:lang w:val="en-US"/>
        </w:rPr>
        <w:t>Acknowledgement of liability</w:t>
      </w:r>
    </w:p>
    <w:p w14:paraId="045885BD" w14:textId="17B9A334" w:rsidR="00346FCD" w:rsidRDefault="00346FCD" w:rsidP="003176D1">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AD6FBE">
        <w:rPr>
          <w:rFonts w:ascii="Arial" w:hAnsi="Arial" w:cs="Arial"/>
          <w:sz w:val="24"/>
          <w:szCs w:val="24"/>
          <w:lang w:val="en-US"/>
        </w:rPr>
        <w:t>5</w:t>
      </w:r>
      <w:r w:rsidR="00BF3A5F">
        <w:rPr>
          <w:rFonts w:ascii="Arial" w:hAnsi="Arial" w:cs="Arial"/>
          <w:sz w:val="24"/>
          <w:szCs w:val="24"/>
          <w:lang w:val="en-US"/>
        </w:rPr>
        <w:t>4</w:t>
      </w:r>
      <w:r>
        <w:rPr>
          <w:rFonts w:ascii="Arial" w:hAnsi="Arial" w:cs="Arial"/>
          <w:sz w:val="24"/>
          <w:szCs w:val="24"/>
          <w:lang w:val="en-US"/>
        </w:rPr>
        <w:t>]</w:t>
      </w:r>
      <w:r>
        <w:rPr>
          <w:rFonts w:ascii="Arial" w:hAnsi="Arial" w:cs="Arial"/>
          <w:sz w:val="24"/>
          <w:szCs w:val="24"/>
          <w:lang w:val="en-US"/>
        </w:rPr>
        <w:tab/>
        <w:t xml:space="preserve">Plaintiff relies on, </w:t>
      </w:r>
      <w:r>
        <w:rPr>
          <w:rFonts w:ascii="Arial" w:hAnsi="Arial" w:cs="Arial"/>
          <w:i/>
          <w:iCs/>
          <w:sz w:val="24"/>
          <w:szCs w:val="24"/>
          <w:lang w:val="en-US"/>
        </w:rPr>
        <w:t xml:space="preserve">inter alia, </w:t>
      </w:r>
      <w:r>
        <w:rPr>
          <w:rFonts w:ascii="Arial" w:hAnsi="Arial" w:cs="Arial"/>
          <w:sz w:val="24"/>
          <w:szCs w:val="24"/>
          <w:lang w:val="en-US"/>
        </w:rPr>
        <w:t xml:space="preserve">the decision in </w:t>
      </w:r>
      <w:r>
        <w:rPr>
          <w:rFonts w:ascii="Arial" w:hAnsi="Arial" w:cs="Arial"/>
          <w:b/>
          <w:bCs/>
          <w:i/>
          <w:iCs/>
          <w:sz w:val="24"/>
          <w:szCs w:val="24"/>
          <w:lang w:val="en-US"/>
        </w:rPr>
        <w:t>Investec Bank Ltd v Erf 436 Elandspoort (Pty) Ltd &amp; Others</w:t>
      </w:r>
      <w:r>
        <w:rPr>
          <w:rStyle w:val="FootnoteReference"/>
          <w:rFonts w:ascii="Arial" w:hAnsi="Arial" w:cs="Arial"/>
          <w:b/>
          <w:bCs/>
          <w:i/>
          <w:iCs/>
          <w:sz w:val="24"/>
          <w:szCs w:val="24"/>
          <w:lang w:val="en-US"/>
        </w:rPr>
        <w:footnoteReference w:id="10"/>
      </w:r>
      <w:r>
        <w:rPr>
          <w:rFonts w:ascii="Arial" w:hAnsi="Arial" w:cs="Arial"/>
          <w:sz w:val="24"/>
          <w:szCs w:val="24"/>
          <w:lang w:val="en-US"/>
        </w:rPr>
        <w:t xml:space="preserve"> for its contention that each payment made was an express or tacit acknowledgment of liability. I am of the view that the facts in the </w:t>
      </w:r>
      <w:r>
        <w:rPr>
          <w:rFonts w:ascii="Arial" w:hAnsi="Arial" w:cs="Arial"/>
          <w:i/>
          <w:iCs/>
          <w:sz w:val="24"/>
          <w:szCs w:val="24"/>
          <w:lang w:val="en-US"/>
        </w:rPr>
        <w:t>Investec</w:t>
      </w:r>
      <w:r>
        <w:rPr>
          <w:rFonts w:ascii="Arial" w:hAnsi="Arial" w:cs="Arial"/>
          <w:sz w:val="24"/>
          <w:szCs w:val="24"/>
          <w:lang w:val="en-US"/>
        </w:rPr>
        <w:t xml:space="preserve"> </w:t>
      </w:r>
      <w:r w:rsidR="0072327D">
        <w:rPr>
          <w:rFonts w:ascii="Arial" w:hAnsi="Arial" w:cs="Arial"/>
          <w:sz w:val="24"/>
          <w:szCs w:val="24"/>
          <w:lang w:val="en-US"/>
        </w:rPr>
        <w:t xml:space="preserve">case </w:t>
      </w:r>
      <w:r>
        <w:rPr>
          <w:rFonts w:ascii="Arial" w:hAnsi="Arial" w:cs="Arial"/>
          <w:sz w:val="24"/>
          <w:szCs w:val="24"/>
          <w:lang w:val="en-US"/>
        </w:rPr>
        <w:t xml:space="preserve">are distinguishable from the facts of this case. In </w:t>
      </w:r>
      <w:r w:rsidR="00D44016">
        <w:rPr>
          <w:rFonts w:ascii="Arial" w:hAnsi="Arial" w:cs="Arial"/>
          <w:i/>
          <w:iCs/>
          <w:sz w:val="24"/>
          <w:szCs w:val="24"/>
          <w:lang w:val="en-US"/>
        </w:rPr>
        <w:t>Investec</w:t>
      </w:r>
      <w:r w:rsidR="00D44016">
        <w:rPr>
          <w:rFonts w:ascii="Arial" w:hAnsi="Arial" w:cs="Arial"/>
          <w:sz w:val="24"/>
          <w:szCs w:val="24"/>
          <w:lang w:val="en-US"/>
        </w:rPr>
        <w:t>,</w:t>
      </w:r>
      <w:r w:rsidR="003176D1">
        <w:rPr>
          <w:rFonts w:ascii="Arial" w:hAnsi="Arial" w:cs="Arial"/>
          <w:sz w:val="24"/>
          <w:szCs w:val="24"/>
          <w:lang w:val="en-US"/>
        </w:rPr>
        <w:t xml:space="preserve"> the facts as summarized by the Supreme Court of Appeal were: T</w:t>
      </w:r>
      <w:r>
        <w:rPr>
          <w:rFonts w:ascii="Arial" w:hAnsi="Arial" w:cs="Arial"/>
          <w:sz w:val="24"/>
          <w:szCs w:val="24"/>
          <w:lang w:val="en-US"/>
        </w:rPr>
        <w:t>here was a loan made by a company Erf 436 which was secured by the passing of a notarial mortgage bond over a 50 year</w:t>
      </w:r>
      <w:r w:rsidR="003176D1">
        <w:rPr>
          <w:rFonts w:ascii="Arial" w:hAnsi="Arial" w:cs="Arial"/>
          <w:sz w:val="24"/>
          <w:szCs w:val="24"/>
          <w:lang w:val="en-US"/>
        </w:rPr>
        <w:t>-</w:t>
      </w:r>
      <w:r>
        <w:rPr>
          <w:rFonts w:ascii="Arial" w:hAnsi="Arial" w:cs="Arial"/>
          <w:sz w:val="24"/>
          <w:szCs w:val="24"/>
          <w:lang w:val="en-US"/>
        </w:rPr>
        <w:t xml:space="preserve"> long notarial lease in respect of a commercial property concluded by Erf 436 as lessee and the South African Rail Commuter Corporate (SARCC) as lessor.</w:t>
      </w:r>
      <w:r w:rsidR="003176D1">
        <w:rPr>
          <w:rFonts w:ascii="Arial" w:hAnsi="Arial" w:cs="Arial"/>
          <w:sz w:val="24"/>
          <w:szCs w:val="24"/>
          <w:lang w:val="en-US"/>
        </w:rPr>
        <w:t xml:space="preserve"> </w:t>
      </w:r>
      <w:r>
        <w:rPr>
          <w:rFonts w:ascii="Arial" w:hAnsi="Arial" w:cs="Arial"/>
          <w:sz w:val="24"/>
          <w:szCs w:val="24"/>
          <w:lang w:val="en-US"/>
        </w:rPr>
        <w:t xml:space="preserve">Erf 436 defaulted about two and a half years later. The lease was cancelled by an order of court. That rendered </w:t>
      </w:r>
      <w:r>
        <w:rPr>
          <w:rFonts w:ascii="Arial" w:hAnsi="Arial" w:cs="Arial"/>
          <w:i/>
          <w:iCs/>
          <w:sz w:val="24"/>
          <w:szCs w:val="24"/>
          <w:lang w:val="en-US"/>
        </w:rPr>
        <w:t>Investec</w:t>
      </w:r>
      <w:r w:rsidR="003176D1">
        <w:rPr>
          <w:rFonts w:ascii="Arial" w:hAnsi="Arial" w:cs="Arial"/>
          <w:i/>
          <w:iCs/>
          <w:sz w:val="24"/>
          <w:szCs w:val="24"/>
          <w:lang w:val="en-US"/>
        </w:rPr>
        <w:t>’s</w:t>
      </w:r>
      <w:r>
        <w:rPr>
          <w:rFonts w:ascii="Arial" w:hAnsi="Arial" w:cs="Arial"/>
          <w:sz w:val="24"/>
          <w:szCs w:val="24"/>
          <w:lang w:val="en-US"/>
        </w:rPr>
        <w:t xml:space="preserve"> security worthless. </w:t>
      </w:r>
      <w:r>
        <w:rPr>
          <w:rFonts w:ascii="Arial" w:hAnsi="Arial" w:cs="Arial"/>
          <w:i/>
          <w:iCs/>
          <w:sz w:val="24"/>
          <w:szCs w:val="24"/>
          <w:lang w:val="en-US"/>
        </w:rPr>
        <w:t xml:space="preserve">Investec </w:t>
      </w:r>
      <w:r>
        <w:rPr>
          <w:rFonts w:ascii="Arial" w:hAnsi="Arial" w:cs="Arial"/>
          <w:sz w:val="24"/>
          <w:szCs w:val="24"/>
          <w:lang w:val="en-US"/>
        </w:rPr>
        <w:t xml:space="preserve">then demanded payment of the loan from Erf 436 following its default. </w:t>
      </w:r>
      <w:r>
        <w:rPr>
          <w:rFonts w:ascii="Arial" w:hAnsi="Arial" w:cs="Arial"/>
          <w:i/>
          <w:iCs/>
          <w:sz w:val="24"/>
          <w:szCs w:val="24"/>
          <w:lang w:val="en-US"/>
        </w:rPr>
        <w:t xml:space="preserve">Investec </w:t>
      </w:r>
      <w:r>
        <w:rPr>
          <w:rFonts w:ascii="Arial" w:hAnsi="Arial" w:cs="Arial"/>
          <w:sz w:val="24"/>
          <w:szCs w:val="24"/>
          <w:lang w:val="en-US"/>
        </w:rPr>
        <w:t xml:space="preserve">exercised its option and concluded a lease with the SARCC. The terms of the agreement between </w:t>
      </w:r>
      <w:r>
        <w:rPr>
          <w:rFonts w:ascii="Arial" w:hAnsi="Arial" w:cs="Arial"/>
          <w:i/>
          <w:iCs/>
          <w:sz w:val="24"/>
          <w:szCs w:val="24"/>
          <w:lang w:val="en-US"/>
        </w:rPr>
        <w:t xml:space="preserve">Investec </w:t>
      </w:r>
      <w:r>
        <w:rPr>
          <w:rFonts w:ascii="Arial" w:hAnsi="Arial" w:cs="Arial"/>
          <w:sz w:val="24"/>
          <w:szCs w:val="24"/>
          <w:lang w:val="en-US"/>
        </w:rPr>
        <w:t xml:space="preserve">and Erf 436 were that Erf 436 would continue to manage the property and collect rentals from subtenants. Those amounts were credited to Erf 436’s loan account with </w:t>
      </w:r>
      <w:r>
        <w:rPr>
          <w:rFonts w:ascii="Arial" w:hAnsi="Arial" w:cs="Arial"/>
          <w:i/>
          <w:iCs/>
          <w:sz w:val="24"/>
          <w:szCs w:val="24"/>
          <w:lang w:val="en-US"/>
        </w:rPr>
        <w:t xml:space="preserve">Investec. </w:t>
      </w:r>
      <w:r>
        <w:rPr>
          <w:rFonts w:ascii="Arial" w:hAnsi="Arial" w:cs="Arial"/>
          <w:sz w:val="24"/>
          <w:szCs w:val="24"/>
          <w:lang w:val="en-US"/>
        </w:rPr>
        <w:t xml:space="preserve">That arrangement remained up to a </w:t>
      </w:r>
      <w:r w:rsidR="00D44016">
        <w:rPr>
          <w:rFonts w:ascii="Arial" w:hAnsi="Arial" w:cs="Arial"/>
          <w:sz w:val="24"/>
          <w:szCs w:val="24"/>
          <w:lang w:val="en-US"/>
        </w:rPr>
        <w:t>certain point</w:t>
      </w:r>
      <w:r>
        <w:rPr>
          <w:rFonts w:ascii="Arial" w:hAnsi="Arial" w:cs="Arial"/>
          <w:sz w:val="24"/>
          <w:szCs w:val="24"/>
          <w:lang w:val="en-US"/>
        </w:rPr>
        <w:t xml:space="preserve">. The parties further agreed to make efforts to sell </w:t>
      </w:r>
      <w:r w:rsidRPr="006806E9">
        <w:rPr>
          <w:rFonts w:ascii="Arial" w:hAnsi="Arial" w:cs="Arial"/>
          <w:i/>
          <w:iCs/>
          <w:sz w:val="24"/>
          <w:szCs w:val="24"/>
          <w:lang w:val="en-US"/>
        </w:rPr>
        <w:t>Investec</w:t>
      </w:r>
      <w:r w:rsidR="00FB6EA6">
        <w:rPr>
          <w:rFonts w:ascii="Arial" w:hAnsi="Arial" w:cs="Arial"/>
          <w:i/>
          <w:iCs/>
          <w:sz w:val="24"/>
          <w:szCs w:val="24"/>
          <w:lang w:val="en-US"/>
        </w:rPr>
        <w:t>’s</w:t>
      </w:r>
      <w:r>
        <w:rPr>
          <w:rFonts w:ascii="Arial" w:hAnsi="Arial" w:cs="Arial"/>
          <w:sz w:val="24"/>
          <w:szCs w:val="24"/>
          <w:lang w:val="en-US"/>
        </w:rPr>
        <w:t xml:space="preserve"> rights in terms of the lease with a view to</w:t>
      </w:r>
      <w:r w:rsidR="00FB6EA6">
        <w:rPr>
          <w:rFonts w:ascii="Arial" w:hAnsi="Arial" w:cs="Arial"/>
          <w:sz w:val="24"/>
          <w:szCs w:val="24"/>
          <w:lang w:val="en-US"/>
        </w:rPr>
        <w:t xml:space="preserve"> have</w:t>
      </w:r>
      <w:r>
        <w:rPr>
          <w:rFonts w:ascii="Arial" w:hAnsi="Arial" w:cs="Arial"/>
          <w:sz w:val="24"/>
          <w:szCs w:val="24"/>
          <w:lang w:val="en-US"/>
        </w:rPr>
        <w:t xml:space="preserve"> the purchase price being used to settle Erf 436’s loan obligations.</w:t>
      </w:r>
    </w:p>
    <w:p w14:paraId="530F6885" w14:textId="4AE7DFD3" w:rsidR="00346FCD" w:rsidRDefault="00346FCD" w:rsidP="00346FCD">
      <w:pPr>
        <w:spacing w:line="480" w:lineRule="auto"/>
        <w:ind w:left="720" w:hanging="720"/>
        <w:jc w:val="both"/>
        <w:rPr>
          <w:rFonts w:ascii="Arial" w:hAnsi="Arial" w:cs="Arial"/>
          <w:sz w:val="24"/>
          <w:szCs w:val="24"/>
          <w:lang w:val="en-US"/>
        </w:rPr>
      </w:pPr>
      <w:r>
        <w:rPr>
          <w:rFonts w:ascii="Arial" w:hAnsi="Arial" w:cs="Arial"/>
          <w:sz w:val="24"/>
          <w:szCs w:val="24"/>
          <w:lang w:val="en-US"/>
        </w:rPr>
        <w:lastRenderedPageBreak/>
        <w:t>[</w:t>
      </w:r>
      <w:r w:rsidR="00AD6FBE">
        <w:rPr>
          <w:rFonts w:ascii="Arial" w:hAnsi="Arial" w:cs="Arial"/>
          <w:sz w:val="24"/>
          <w:szCs w:val="24"/>
          <w:lang w:val="en-US"/>
        </w:rPr>
        <w:t>5</w:t>
      </w:r>
      <w:r w:rsidR="00BF3A5F">
        <w:rPr>
          <w:rFonts w:ascii="Arial" w:hAnsi="Arial" w:cs="Arial"/>
          <w:sz w:val="24"/>
          <w:szCs w:val="24"/>
          <w:lang w:val="en-US"/>
        </w:rPr>
        <w:t>5</w:t>
      </w:r>
      <w:r>
        <w:rPr>
          <w:rFonts w:ascii="Arial" w:hAnsi="Arial" w:cs="Arial"/>
          <w:sz w:val="24"/>
          <w:szCs w:val="24"/>
          <w:lang w:val="en-US"/>
        </w:rPr>
        <w:t>]</w:t>
      </w:r>
      <w:r>
        <w:rPr>
          <w:rFonts w:ascii="Arial" w:hAnsi="Arial" w:cs="Arial"/>
          <w:sz w:val="24"/>
          <w:szCs w:val="24"/>
          <w:lang w:val="en-US"/>
        </w:rPr>
        <w:tab/>
        <w:t xml:space="preserve">There was another agreement between </w:t>
      </w:r>
      <w:r w:rsidRPr="008D214F">
        <w:rPr>
          <w:rFonts w:ascii="Arial" w:hAnsi="Arial" w:cs="Arial"/>
          <w:i/>
          <w:iCs/>
          <w:sz w:val="24"/>
          <w:szCs w:val="24"/>
          <w:lang w:val="en-US"/>
        </w:rPr>
        <w:t>Investec</w:t>
      </w:r>
      <w:r>
        <w:rPr>
          <w:rFonts w:ascii="Arial" w:hAnsi="Arial" w:cs="Arial"/>
          <w:i/>
          <w:iCs/>
          <w:sz w:val="24"/>
          <w:szCs w:val="24"/>
          <w:lang w:val="en-US"/>
        </w:rPr>
        <w:t xml:space="preserve"> </w:t>
      </w:r>
      <w:r>
        <w:rPr>
          <w:rFonts w:ascii="Arial" w:hAnsi="Arial" w:cs="Arial"/>
          <w:sz w:val="24"/>
          <w:szCs w:val="24"/>
          <w:lang w:val="en-US"/>
        </w:rPr>
        <w:t xml:space="preserve">and Erf 436 wherein </w:t>
      </w:r>
      <w:r>
        <w:rPr>
          <w:rFonts w:ascii="Arial" w:hAnsi="Arial" w:cs="Arial"/>
          <w:i/>
          <w:iCs/>
          <w:sz w:val="24"/>
          <w:szCs w:val="24"/>
          <w:lang w:val="en-US"/>
        </w:rPr>
        <w:t xml:space="preserve">Investec </w:t>
      </w:r>
      <w:r>
        <w:rPr>
          <w:rFonts w:ascii="Arial" w:hAnsi="Arial" w:cs="Arial"/>
          <w:sz w:val="24"/>
          <w:szCs w:val="24"/>
          <w:lang w:val="en-US"/>
        </w:rPr>
        <w:t xml:space="preserve">took over the function from Erf 436 of managing the property and collecting rentals from subtenants. The income collected by </w:t>
      </w:r>
      <w:r>
        <w:rPr>
          <w:rFonts w:ascii="Arial" w:hAnsi="Arial" w:cs="Arial"/>
          <w:i/>
          <w:iCs/>
          <w:sz w:val="24"/>
          <w:szCs w:val="24"/>
          <w:lang w:val="en-US"/>
        </w:rPr>
        <w:t xml:space="preserve">Investec </w:t>
      </w:r>
      <w:r>
        <w:rPr>
          <w:rFonts w:ascii="Arial" w:hAnsi="Arial" w:cs="Arial"/>
          <w:sz w:val="24"/>
          <w:szCs w:val="24"/>
          <w:lang w:val="en-US"/>
        </w:rPr>
        <w:t xml:space="preserve">was also allocated to the payment of the Erf 436’s loan. Later </w:t>
      </w:r>
      <w:r>
        <w:rPr>
          <w:rFonts w:ascii="Arial" w:hAnsi="Arial" w:cs="Arial"/>
          <w:i/>
          <w:iCs/>
          <w:sz w:val="24"/>
          <w:szCs w:val="24"/>
          <w:lang w:val="en-US"/>
        </w:rPr>
        <w:t xml:space="preserve">Investec </w:t>
      </w:r>
      <w:r>
        <w:rPr>
          <w:rFonts w:ascii="Arial" w:hAnsi="Arial" w:cs="Arial"/>
          <w:sz w:val="24"/>
          <w:szCs w:val="24"/>
          <w:lang w:val="en-US"/>
        </w:rPr>
        <w:t xml:space="preserve">sold its rights to </w:t>
      </w:r>
      <w:r w:rsidRPr="009349DF">
        <w:rPr>
          <w:rFonts w:ascii="Arial" w:hAnsi="Arial" w:cs="Arial"/>
          <w:color w:val="000000" w:themeColor="text1"/>
          <w:sz w:val="24"/>
          <w:szCs w:val="24"/>
          <w:lang w:val="en-US"/>
        </w:rPr>
        <w:t>Jo</w:t>
      </w:r>
      <w:r w:rsidR="009349DF" w:rsidRPr="009349DF">
        <w:rPr>
          <w:rFonts w:ascii="Arial" w:hAnsi="Arial" w:cs="Arial"/>
          <w:color w:val="000000" w:themeColor="text1"/>
          <w:sz w:val="24"/>
          <w:szCs w:val="24"/>
          <w:lang w:val="en-US"/>
        </w:rPr>
        <w:t>hn</w:t>
      </w:r>
      <w:r w:rsidRPr="009349DF">
        <w:rPr>
          <w:rFonts w:ascii="Arial" w:hAnsi="Arial" w:cs="Arial"/>
          <w:color w:val="000000" w:themeColor="text1"/>
          <w:sz w:val="24"/>
          <w:szCs w:val="24"/>
          <w:lang w:val="en-US"/>
        </w:rPr>
        <w:t>ny</w:t>
      </w:r>
      <w:r w:rsidRPr="009349DF">
        <w:rPr>
          <w:rFonts w:ascii="Arial" w:hAnsi="Arial" w:cs="Arial"/>
          <w:color w:val="FF0000"/>
          <w:sz w:val="24"/>
          <w:szCs w:val="24"/>
          <w:lang w:val="en-US"/>
        </w:rPr>
        <w:t xml:space="preserve"> </w:t>
      </w:r>
      <w:r w:rsidRPr="009349DF">
        <w:rPr>
          <w:rFonts w:ascii="Arial" w:hAnsi="Arial" w:cs="Arial"/>
          <w:sz w:val="24"/>
          <w:szCs w:val="24"/>
          <w:lang w:val="en-US"/>
        </w:rPr>
        <w:t>Prop (Pty) Ltd.</w:t>
      </w:r>
      <w:r>
        <w:rPr>
          <w:rFonts w:ascii="Arial" w:hAnsi="Arial" w:cs="Arial"/>
          <w:sz w:val="24"/>
          <w:szCs w:val="24"/>
          <w:lang w:val="en-US"/>
        </w:rPr>
        <w:t xml:space="preserve"> After the sale a certain amount was credited to Erf 436’s loan account. </w:t>
      </w:r>
      <w:r>
        <w:rPr>
          <w:rFonts w:ascii="Arial" w:hAnsi="Arial" w:cs="Arial"/>
          <w:i/>
          <w:iCs/>
          <w:sz w:val="24"/>
          <w:szCs w:val="24"/>
          <w:lang w:val="en-US"/>
        </w:rPr>
        <w:t xml:space="preserve">Investec </w:t>
      </w:r>
      <w:r>
        <w:rPr>
          <w:rFonts w:ascii="Arial" w:hAnsi="Arial" w:cs="Arial"/>
          <w:sz w:val="24"/>
          <w:szCs w:val="24"/>
          <w:lang w:val="en-US"/>
        </w:rPr>
        <w:t>claimed the balance of the loan from Erf 436</w:t>
      </w:r>
      <w:r w:rsidR="003176D1">
        <w:rPr>
          <w:rFonts w:ascii="Arial" w:hAnsi="Arial" w:cs="Arial"/>
          <w:sz w:val="24"/>
          <w:szCs w:val="24"/>
          <w:lang w:val="en-US"/>
        </w:rPr>
        <w:t xml:space="preserve">, whereupon Erf 436 </w:t>
      </w:r>
      <w:r>
        <w:rPr>
          <w:rFonts w:ascii="Arial" w:hAnsi="Arial" w:cs="Arial"/>
          <w:sz w:val="24"/>
          <w:szCs w:val="24"/>
          <w:lang w:val="en-US"/>
        </w:rPr>
        <w:t>raised the plea of prescription</w:t>
      </w:r>
      <w:r w:rsidR="008D62E9">
        <w:rPr>
          <w:rFonts w:ascii="Arial" w:hAnsi="Arial" w:cs="Arial"/>
          <w:sz w:val="24"/>
          <w:szCs w:val="24"/>
          <w:lang w:val="en-US"/>
        </w:rPr>
        <w:t>.</w:t>
      </w:r>
      <w:r>
        <w:rPr>
          <w:rFonts w:ascii="Arial" w:hAnsi="Arial" w:cs="Arial"/>
          <w:sz w:val="24"/>
          <w:szCs w:val="24"/>
          <w:lang w:val="en-US"/>
        </w:rPr>
        <w:t xml:space="preserve"> </w:t>
      </w:r>
      <w:r w:rsidR="008D62E9">
        <w:rPr>
          <w:rFonts w:ascii="Arial" w:hAnsi="Arial" w:cs="Arial"/>
          <w:sz w:val="24"/>
          <w:szCs w:val="24"/>
          <w:lang w:val="en-US"/>
        </w:rPr>
        <w:t xml:space="preserve">In </w:t>
      </w:r>
      <w:r>
        <w:rPr>
          <w:rFonts w:ascii="Arial" w:hAnsi="Arial" w:cs="Arial"/>
          <w:sz w:val="24"/>
          <w:szCs w:val="24"/>
          <w:lang w:val="en-US"/>
        </w:rPr>
        <w:t xml:space="preserve">replication to </w:t>
      </w:r>
      <w:r w:rsidR="008D62E9">
        <w:rPr>
          <w:rFonts w:ascii="Arial" w:hAnsi="Arial" w:cs="Arial"/>
          <w:sz w:val="24"/>
          <w:szCs w:val="24"/>
          <w:lang w:val="en-US"/>
        </w:rPr>
        <w:t>the plea,</w:t>
      </w:r>
      <w:r>
        <w:rPr>
          <w:rFonts w:ascii="Arial" w:hAnsi="Arial" w:cs="Arial"/>
          <w:sz w:val="24"/>
          <w:szCs w:val="24"/>
          <w:lang w:val="en-US"/>
        </w:rPr>
        <w:t xml:space="preserve"> </w:t>
      </w:r>
      <w:r>
        <w:rPr>
          <w:rFonts w:ascii="Arial" w:hAnsi="Arial" w:cs="Arial"/>
          <w:i/>
          <w:iCs/>
          <w:sz w:val="24"/>
          <w:szCs w:val="24"/>
          <w:lang w:val="en-US"/>
        </w:rPr>
        <w:t>Investec</w:t>
      </w:r>
      <w:r w:rsidR="008D62E9">
        <w:rPr>
          <w:rFonts w:ascii="Arial" w:hAnsi="Arial" w:cs="Arial"/>
          <w:i/>
          <w:iCs/>
          <w:sz w:val="24"/>
          <w:szCs w:val="24"/>
          <w:lang w:val="en-US"/>
        </w:rPr>
        <w:t>,</w:t>
      </w:r>
      <w:r>
        <w:rPr>
          <w:rFonts w:ascii="Arial" w:hAnsi="Arial" w:cs="Arial"/>
          <w:i/>
          <w:iCs/>
          <w:sz w:val="24"/>
          <w:szCs w:val="24"/>
          <w:lang w:val="en-US"/>
        </w:rPr>
        <w:t xml:space="preserve"> </w:t>
      </w:r>
      <w:r>
        <w:rPr>
          <w:rFonts w:ascii="Arial" w:hAnsi="Arial" w:cs="Arial"/>
          <w:sz w:val="24"/>
          <w:szCs w:val="24"/>
          <w:lang w:val="en-US"/>
        </w:rPr>
        <w:t>pleaded that on the basis of the payments made to reduce Erf 436’s loan and various statements made in letters on behalf of Erf 436 it made a series of acknowledgements of liability.</w:t>
      </w:r>
    </w:p>
    <w:p w14:paraId="11298D63" w14:textId="746986B6" w:rsidR="00346FCD" w:rsidRDefault="00346FCD" w:rsidP="00346FCD">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AD6FBE">
        <w:rPr>
          <w:rFonts w:ascii="Arial" w:hAnsi="Arial" w:cs="Arial"/>
          <w:sz w:val="24"/>
          <w:szCs w:val="24"/>
          <w:lang w:val="en-US"/>
        </w:rPr>
        <w:t>5</w:t>
      </w:r>
      <w:r w:rsidR="00BF3A5F">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t xml:space="preserve">Plasket JA, in the </w:t>
      </w:r>
      <w:r>
        <w:rPr>
          <w:rFonts w:ascii="Arial" w:hAnsi="Arial" w:cs="Arial"/>
          <w:i/>
          <w:iCs/>
          <w:sz w:val="24"/>
          <w:szCs w:val="24"/>
          <w:lang w:val="en-US"/>
        </w:rPr>
        <w:t xml:space="preserve">Investec </w:t>
      </w:r>
      <w:r>
        <w:rPr>
          <w:rFonts w:ascii="Arial" w:hAnsi="Arial" w:cs="Arial"/>
          <w:sz w:val="24"/>
          <w:szCs w:val="24"/>
          <w:lang w:val="en-US"/>
        </w:rPr>
        <w:t>case emphasized that the context in which the payments were made is relevant. In paragraphs 41 and 43 of the judgment, that context is clear and that was:</w:t>
      </w:r>
    </w:p>
    <w:p w14:paraId="0221C4FE" w14:textId="77777777" w:rsidR="00346FCD" w:rsidRDefault="00346FCD" w:rsidP="00346FCD">
      <w:pPr>
        <w:spacing w:line="240" w:lineRule="auto"/>
        <w:ind w:left="1440"/>
        <w:jc w:val="both"/>
        <w:rPr>
          <w:rFonts w:ascii="Arial" w:hAnsi="Arial" w:cs="Arial"/>
          <w:sz w:val="20"/>
          <w:szCs w:val="20"/>
          <w:lang w:val="en-US"/>
        </w:rPr>
      </w:pPr>
      <w:r w:rsidRPr="008467D1">
        <w:rPr>
          <w:rFonts w:ascii="Arial" w:hAnsi="Arial" w:cs="Arial"/>
          <w:i/>
          <w:iCs/>
          <w:sz w:val="20"/>
          <w:szCs w:val="20"/>
          <w:lang w:val="en-US"/>
        </w:rPr>
        <w:t>“That context was an agreement between Investec and Erf 436 that Investec would collect rentals from subtenants and credit Erf 436 with the net amount so collected every month and that when Investec’s rights were sold the purchase price would likewise be credited to Erf 436’s account.</w:t>
      </w:r>
      <w:r>
        <w:rPr>
          <w:rFonts w:ascii="Arial" w:hAnsi="Arial" w:cs="Arial"/>
          <w:i/>
          <w:iCs/>
          <w:sz w:val="20"/>
          <w:szCs w:val="20"/>
          <w:lang w:val="en-US"/>
        </w:rPr>
        <w:t xml:space="preserve"> The basis for the acknowledgment of liability in respect of each of those payments does not rest on agency, but on the agreements entered into by the parties as to how the loan would be repaid.</w:t>
      </w:r>
      <w:r w:rsidRPr="008467D1">
        <w:rPr>
          <w:rFonts w:ascii="Arial" w:hAnsi="Arial" w:cs="Arial"/>
          <w:i/>
          <w:iCs/>
          <w:sz w:val="20"/>
          <w:szCs w:val="20"/>
          <w:lang w:val="en-US"/>
        </w:rPr>
        <w:t>’</w:t>
      </w:r>
      <w:r w:rsidRPr="008467D1">
        <w:rPr>
          <w:rFonts w:ascii="Arial" w:hAnsi="Arial" w:cs="Arial"/>
          <w:sz w:val="20"/>
          <w:szCs w:val="20"/>
          <w:lang w:val="en-US"/>
        </w:rPr>
        <w:t xml:space="preserve"> </w:t>
      </w:r>
    </w:p>
    <w:p w14:paraId="648EF653" w14:textId="77777777" w:rsidR="00346FCD" w:rsidRPr="008467D1" w:rsidRDefault="00346FCD" w:rsidP="00346FCD">
      <w:pPr>
        <w:spacing w:line="240" w:lineRule="auto"/>
        <w:ind w:left="1440"/>
        <w:jc w:val="both"/>
        <w:rPr>
          <w:rFonts w:ascii="Arial" w:hAnsi="Arial" w:cs="Arial"/>
          <w:sz w:val="20"/>
          <w:szCs w:val="20"/>
          <w:lang w:val="en-US"/>
        </w:rPr>
      </w:pPr>
    </w:p>
    <w:p w14:paraId="21CD1BA4" w14:textId="3937BE5F" w:rsidR="00ED3805" w:rsidRPr="00ED3805" w:rsidRDefault="00346FCD" w:rsidP="00ED3805">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AD6FBE">
        <w:rPr>
          <w:rFonts w:ascii="Arial" w:hAnsi="Arial" w:cs="Arial"/>
          <w:sz w:val="24"/>
          <w:szCs w:val="24"/>
          <w:lang w:val="en-US"/>
        </w:rPr>
        <w:t>5</w:t>
      </w:r>
      <w:r w:rsidR="00BF3A5F">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t xml:space="preserve">In the </w:t>
      </w:r>
      <w:r>
        <w:rPr>
          <w:rFonts w:ascii="Arial" w:hAnsi="Arial" w:cs="Arial"/>
          <w:i/>
          <w:iCs/>
          <w:sz w:val="24"/>
          <w:szCs w:val="24"/>
          <w:lang w:val="en-US"/>
        </w:rPr>
        <w:t xml:space="preserve">Investec </w:t>
      </w:r>
      <w:r>
        <w:rPr>
          <w:rFonts w:ascii="Arial" w:hAnsi="Arial" w:cs="Arial"/>
          <w:sz w:val="24"/>
          <w:szCs w:val="24"/>
          <w:lang w:val="en-US"/>
        </w:rPr>
        <w:t xml:space="preserve">matter evidence was led at the trial which enabled the </w:t>
      </w:r>
      <w:r w:rsidR="002A7581">
        <w:rPr>
          <w:rFonts w:ascii="Arial" w:hAnsi="Arial" w:cs="Arial"/>
          <w:sz w:val="24"/>
          <w:szCs w:val="24"/>
          <w:lang w:val="en-US"/>
        </w:rPr>
        <w:t>c</w:t>
      </w:r>
      <w:r>
        <w:rPr>
          <w:rFonts w:ascii="Arial" w:hAnsi="Arial" w:cs="Arial"/>
          <w:sz w:val="24"/>
          <w:szCs w:val="24"/>
          <w:lang w:val="en-US"/>
        </w:rPr>
        <w:t xml:space="preserve">ourt to consider the context in which the payments were made which facts were largely not in dispute. That is not what obtains </w:t>
      </w:r>
      <w:r w:rsidR="008D62E9">
        <w:rPr>
          <w:rFonts w:ascii="Arial" w:hAnsi="Arial" w:cs="Arial"/>
          <w:sz w:val="24"/>
          <w:szCs w:val="24"/>
          <w:lang w:val="en-US"/>
        </w:rPr>
        <w:t xml:space="preserve">in </w:t>
      </w:r>
      <w:r>
        <w:rPr>
          <w:rFonts w:ascii="Arial" w:hAnsi="Arial" w:cs="Arial"/>
          <w:sz w:val="24"/>
          <w:szCs w:val="24"/>
          <w:lang w:val="en-US"/>
        </w:rPr>
        <w:t>the case at hand, prescription is raised and the plaintiff replicated to it, the parties attached letters and correspondence. Such letters and correspondence viewed in isolation may not bring about the context which would enable th</w:t>
      </w:r>
      <w:r w:rsidR="002A7581">
        <w:rPr>
          <w:rFonts w:ascii="Arial" w:hAnsi="Arial" w:cs="Arial"/>
          <w:sz w:val="24"/>
          <w:szCs w:val="24"/>
          <w:lang w:val="en-US"/>
        </w:rPr>
        <w:t>is</w:t>
      </w:r>
      <w:r>
        <w:rPr>
          <w:rFonts w:ascii="Arial" w:hAnsi="Arial" w:cs="Arial"/>
          <w:sz w:val="24"/>
          <w:szCs w:val="24"/>
          <w:lang w:val="en-US"/>
        </w:rPr>
        <w:t xml:space="preserve"> </w:t>
      </w:r>
      <w:r w:rsidR="002A7581">
        <w:rPr>
          <w:rFonts w:ascii="Arial" w:hAnsi="Arial" w:cs="Arial"/>
          <w:sz w:val="24"/>
          <w:szCs w:val="24"/>
          <w:lang w:val="en-US"/>
        </w:rPr>
        <w:t>c</w:t>
      </w:r>
      <w:r>
        <w:rPr>
          <w:rFonts w:ascii="Arial" w:hAnsi="Arial" w:cs="Arial"/>
          <w:sz w:val="24"/>
          <w:szCs w:val="24"/>
          <w:lang w:val="en-US"/>
        </w:rPr>
        <w:t>ourt to reject or accept the prescription plea in the summary judgment application.</w:t>
      </w:r>
    </w:p>
    <w:p w14:paraId="54AA385F" w14:textId="54BAE647" w:rsidR="00ED3805" w:rsidRDefault="00ED3805" w:rsidP="00ED3805">
      <w:pPr>
        <w:spacing w:line="480" w:lineRule="auto"/>
        <w:ind w:left="720" w:hanging="720"/>
        <w:jc w:val="both"/>
        <w:rPr>
          <w:rFonts w:ascii="Arial" w:hAnsi="Arial" w:cs="Arial"/>
          <w:sz w:val="24"/>
          <w:szCs w:val="24"/>
          <w:lang w:val="en-US"/>
        </w:rPr>
      </w:pPr>
      <w:r>
        <w:rPr>
          <w:rFonts w:ascii="Arial" w:hAnsi="Arial" w:cs="Arial"/>
          <w:sz w:val="24"/>
          <w:szCs w:val="24"/>
          <w:lang w:val="en-US"/>
        </w:rPr>
        <w:lastRenderedPageBreak/>
        <w:t>[</w:t>
      </w:r>
      <w:r w:rsidR="00BF3A5F">
        <w:rPr>
          <w:rFonts w:ascii="Arial" w:hAnsi="Arial" w:cs="Arial"/>
          <w:sz w:val="24"/>
          <w:szCs w:val="24"/>
          <w:lang w:val="en-US"/>
        </w:rPr>
        <w:t>58</w:t>
      </w:r>
      <w:r>
        <w:rPr>
          <w:rFonts w:ascii="Arial" w:hAnsi="Arial" w:cs="Arial"/>
          <w:sz w:val="24"/>
          <w:szCs w:val="24"/>
          <w:lang w:val="en-US"/>
        </w:rPr>
        <w:t>]</w:t>
      </w:r>
      <w:r>
        <w:rPr>
          <w:rFonts w:ascii="Arial" w:hAnsi="Arial" w:cs="Arial"/>
          <w:sz w:val="24"/>
          <w:szCs w:val="24"/>
          <w:lang w:val="en-US"/>
        </w:rPr>
        <w:tab/>
        <w:t xml:space="preserve">Plaintiff also relies on acknowledgment of debt at, </w:t>
      </w:r>
      <w:r>
        <w:rPr>
          <w:rFonts w:ascii="Arial" w:hAnsi="Arial" w:cs="Arial"/>
          <w:i/>
          <w:iCs/>
          <w:sz w:val="24"/>
          <w:szCs w:val="24"/>
          <w:lang w:val="en-US"/>
        </w:rPr>
        <w:t xml:space="preserve">inter alia, </w:t>
      </w:r>
      <w:r>
        <w:rPr>
          <w:rFonts w:ascii="Arial" w:hAnsi="Arial" w:cs="Arial"/>
          <w:sz w:val="24"/>
          <w:szCs w:val="24"/>
          <w:lang w:val="en-US"/>
        </w:rPr>
        <w:t xml:space="preserve">a meeting that was held between the plaintiffs, defendant and national treasury on 14 May 2021. It contends that such acknowledgement interrupted prescription. Plaintiff submits that the defendant acknowledged its indebtedness to it at that meeting. The defendant, on the other hand, submits that the meeting was to convey to the defendant’s largest service providers and </w:t>
      </w:r>
      <w:r w:rsidR="00FB5F0A">
        <w:rPr>
          <w:rFonts w:ascii="Arial" w:hAnsi="Arial" w:cs="Arial"/>
          <w:sz w:val="24"/>
          <w:szCs w:val="24"/>
          <w:lang w:val="en-US"/>
        </w:rPr>
        <w:t>creditors,</w:t>
      </w:r>
      <w:r>
        <w:rPr>
          <w:rFonts w:ascii="Arial" w:hAnsi="Arial" w:cs="Arial"/>
          <w:sz w:val="24"/>
          <w:szCs w:val="24"/>
          <w:lang w:val="en-US"/>
        </w:rPr>
        <w:t xml:space="preserve"> the mandatory financial recovery plan that was being developed by the National Treasury’s Municipal Recoveries Systems </w:t>
      </w:r>
      <w:r w:rsidR="00FB5F0A">
        <w:rPr>
          <w:rFonts w:ascii="Arial" w:hAnsi="Arial" w:cs="Arial"/>
          <w:sz w:val="24"/>
          <w:szCs w:val="24"/>
          <w:lang w:val="en-US"/>
        </w:rPr>
        <w:t>Team, for</w:t>
      </w:r>
      <w:r>
        <w:rPr>
          <w:rFonts w:ascii="Arial" w:hAnsi="Arial" w:cs="Arial"/>
          <w:sz w:val="24"/>
          <w:szCs w:val="24"/>
          <w:lang w:val="en-US"/>
        </w:rPr>
        <w:t xml:space="preserve"> the defendant and not to make any admissions of liability. Each of the parties attributes a different purpose and outcome to that meeting. That can only be resolved at trial through </w:t>
      </w:r>
      <w:r>
        <w:rPr>
          <w:rFonts w:ascii="Arial" w:hAnsi="Arial" w:cs="Arial"/>
          <w:i/>
          <w:iCs/>
          <w:sz w:val="24"/>
          <w:szCs w:val="24"/>
          <w:lang w:val="en-US"/>
        </w:rPr>
        <w:t xml:space="preserve">viva voce </w:t>
      </w:r>
      <w:r>
        <w:rPr>
          <w:rFonts w:ascii="Arial" w:hAnsi="Arial" w:cs="Arial"/>
          <w:sz w:val="24"/>
          <w:szCs w:val="24"/>
          <w:lang w:val="en-US"/>
        </w:rPr>
        <w:t xml:space="preserve">evidence and not by way of summary judgment. I find that the determination of whether or not there was an acknowledgment of liability, </w:t>
      </w:r>
      <w:r w:rsidR="00FB5F0A">
        <w:rPr>
          <w:rFonts w:ascii="Arial" w:hAnsi="Arial" w:cs="Arial"/>
          <w:sz w:val="24"/>
          <w:szCs w:val="24"/>
          <w:lang w:val="en-US"/>
        </w:rPr>
        <w:t>constitutes a</w:t>
      </w:r>
      <w:r>
        <w:rPr>
          <w:rFonts w:ascii="Arial" w:hAnsi="Arial" w:cs="Arial"/>
          <w:sz w:val="24"/>
          <w:szCs w:val="24"/>
          <w:lang w:val="en-US"/>
        </w:rPr>
        <w:t xml:space="preserve"> triable issue. </w:t>
      </w:r>
    </w:p>
    <w:p w14:paraId="48FCB589" w14:textId="5ED56B17" w:rsidR="00ED3805" w:rsidRDefault="00ED3805" w:rsidP="00771CC9">
      <w:pPr>
        <w:spacing w:line="480" w:lineRule="auto"/>
        <w:ind w:left="720" w:hanging="720"/>
        <w:jc w:val="both"/>
        <w:rPr>
          <w:rFonts w:ascii="Arial" w:hAnsi="Arial" w:cs="Arial"/>
          <w:color w:val="000000" w:themeColor="text1"/>
          <w:sz w:val="24"/>
          <w:szCs w:val="24"/>
          <w:lang w:val="en-US"/>
        </w:rPr>
      </w:pPr>
      <w:r>
        <w:rPr>
          <w:rFonts w:ascii="Arial" w:hAnsi="Arial" w:cs="Arial"/>
          <w:sz w:val="24"/>
          <w:szCs w:val="24"/>
          <w:lang w:val="en-US"/>
        </w:rPr>
        <w:t>[</w:t>
      </w:r>
      <w:r w:rsidR="00BF3A5F">
        <w:rPr>
          <w:rFonts w:ascii="Arial" w:hAnsi="Arial" w:cs="Arial"/>
          <w:sz w:val="24"/>
          <w:szCs w:val="24"/>
          <w:lang w:val="en-US"/>
        </w:rPr>
        <w:t>59</w:t>
      </w:r>
      <w:r>
        <w:rPr>
          <w:rFonts w:ascii="Arial" w:hAnsi="Arial" w:cs="Arial"/>
          <w:sz w:val="24"/>
          <w:szCs w:val="24"/>
          <w:lang w:val="en-US"/>
        </w:rPr>
        <w:t>]</w:t>
      </w:r>
      <w:r>
        <w:rPr>
          <w:rFonts w:ascii="Arial" w:hAnsi="Arial" w:cs="Arial"/>
          <w:sz w:val="24"/>
          <w:szCs w:val="24"/>
          <w:lang w:val="en-US"/>
        </w:rPr>
        <w:tab/>
        <w:t xml:space="preserve">In </w:t>
      </w:r>
      <w:r w:rsidRPr="00A93267">
        <w:rPr>
          <w:rFonts w:ascii="Arial" w:hAnsi="Arial" w:cs="Arial"/>
          <w:b/>
          <w:bCs/>
          <w:i/>
          <w:iCs/>
          <w:sz w:val="24"/>
          <w:szCs w:val="24"/>
          <w:lang w:val="en-US"/>
        </w:rPr>
        <w:t>Pentz v Government of the Republic of South Africa</w:t>
      </w:r>
      <w:r>
        <w:rPr>
          <w:rStyle w:val="FootnoteReference"/>
          <w:rFonts w:ascii="Arial" w:hAnsi="Arial" w:cs="Arial"/>
          <w:b/>
          <w:bCs/>
          <w:i/>
          <w:iCs/>
          <w:sz w:val="24"/>
          <w:szCs w:val="24"/>
          <w:lang w:val="en-US"/>
        </w:rPr>
        <w:footnoteReference w:id="11"/>
      </w:r>
      <w:r>
        <w:rPr>
          <w:rFonts w:ascii="Arial" w:hAnsi="Arial" w:cs="Arial"/>
          <w:sz w:val="24"/>
          <w:szCs w:val="24"/>
          <w:lang w:val="en-US"/>
        </w:rPr>
        <w:t xml:space="preserve"> the Court found that for an acknowledgment of liability to interrupt prescription it must be given by a debtor to a creditor or the creditor’s agent. In that case it was found that the policeman was not the agent of the government department concerned. The plaintiff bears the onus to prove that the payments made by the defendant constituted an acknowledgment of liability by the defendant for prescription to be interrupted</w:t>
      </w:r>
      <w:r>
        <w:rPr>
          <w:rStyle w:val="FootnoteReference"/>
          <w:rFonts w:ascii="Arial" w:hAnsi="Arial" w:cs="Arial"/>
          <w:sz w:val="24"/>
          <w:szCs w:val="24"/>
          <w:lang w:val="en-US"/>
        </w:rPr>
        <w:footnoteReference w:id="12"/>
      </w:r>
      <w:r>
        <w:rPr>
          <w:rFonts w:ascii="Arial" w:hAnsi="Arial" w:cs="Arial"/>
          <w:sz w:val="24"/>
          <w:szCs w:val="24"/>
          <w:lang w:val="en-US"/>
        </w:rPr>
        <w:t>.</w:t>
      </w:r>
      <w:r w:rsidR="009349DF">
        <w:rPr>
          <w:rFonts w:ascii="Arial" w:hAnsi="Arial" w:cs="Arial"/>
          <w:sz w:val="24"/>
          <w:szCs w:val="24"/>
          <w:lang w:val="en-US"/>
        </w:rPr>
        <w:t xml:space="preserve"> </w:t>
      </w:r>
    </w:p>
    <w:p w14:paraId="116C29B8" w14:textId="5665DA23" w:rsidR="00C536EF" w:rsidRDefault="00771CC9" w:rsidP="00C536EF">
      <w:pPr>
        <w:spacing w:line="480" w:lineRule="auto"/>
        <w:ind w:left="720" w:hanging="720"/>
        <w:jc w:val="both"/>
        <w:rPr>
          <w:rFonts w:ascii="Arial" w:hAnsi="Arial" w:cs="Arial"/>
          <w:sz w:val="24"/>
          <w:szCs w:val="24"/>
          <w:lang w:val="en-US"/>
        </w:rPr>
      </w:pPr>
      <w:r>
        <w:rPr>
          <w:rFonts w:ascii="Arial" w:hAnsi="Arial" w:cs="Arial"/>
          <w:color w:val="000000" w:themeColor="text1"/>
          <w:sz w:val="24"/>
          <w:szCs w:val="24"/>
          <w:lang w:val="en-US"/>
        </w:rPr>
        <w:t>[</w:t>
      </w:r>
      <w:r w:rsidR="00BF3A5F">
        <w:rPr>
          <w:rFonts w:ascii="Arial" w:hAnsi="Arial" w:cs="Arial"/>
          <w:color w:val="000000" w:themeColor="text1"/>
          <w:sz w:val="24"/>
          <w:szCs w:val="24"/>
          <w:lang w:val="en-US"/>
        </w:rPr>
        <w:t>60</w:t>
      </w:r>
      <w:r>
        <w:rPr>
          <w:rFonts w:ascii="Arial" w:hAnsi="Arial" w:cs="Arial"/>
          <w:color w:val="000000" w:themeColor="text1"/>
          <w:sz w:val="24"/>
          <w:szCs w:val="24"/>
          <w:lang w:val="en-US"/>
        </w:rPr>
        <w:t xml:space="preserve">]   </w:t>
      </w:r>
      <w:r w:rsidR="00C536EF">
        <w:rPr>
          <w:rFonts w:ascii="Arial" w:hAnsi="Arial" w:cs="Arial"/>
          <w:sz w:val="24"/>
          <w:szCs w:val="24"/>
          <w:lang w:val="en-US"/>
        </w:rPr>
        <w:t xml:space="preserve">Plaintiff, in argument, suggested that the </w:t>
      </w:r>
      <w:r w:rsidR="009349DF">
        <w:rPr>
          <w:rFonts w:ascii="Arial" w:hAnsi="Arial" w:cs="Arial"/>
          <w:sz w:val="24"/>
          <w:szCs w:val="24"/>
          <w:lang w:val="en-US"/>
        </w:rPr>
        <w:t>c</w:t>
      </w:r>
      <w:r w:rsidR="00C536EF">
        <w:rPr>
          <w:rFonts w:ascii="Arial" w:hAnsi="Arial" w:cs="Arial"/>
          <w:sz w:val="24"/>
          <w:szCs w:val="24"/>
          <w:lang w:val="en-US"/>
        </w:rPr>
        <w:t xml:space="preserve">ourt must disallow the amounts that have prescribed and grant summary judgment in respect of those that have not prescribed. This submission loses sight of the fact that the plaintiff in its </w:t>
      </w:r>
      <w:r w:rsidR="00C536EF">
        <w:rPr>
          <w:rFonts w:ascii="Arial" w:hAnsi="Arial" w:cs="Arial"/>
          <w:sz w:val="24"/>
          <w:szCs w:val="24"/>
          <w:lang w:val="en-US"/>
        </w:rPr>
        <w:lastRenderedPageBreak/>
        <w:t>replication to prescription disputed that any of the claimed amounts have prescribed. The other difficulty with this submission is that it focuses on the rental amounts only when the defendant ha</w:t>
      </w:r>
      <w:r w:rsidR="009349DF">
        <w:rPr>
          <w:rFonts w:ascii="Arial" w:hAnsi="Arial" w:cs="Arial"/>
          <w:sz w:val="24"/>
          <w:szCs w:val="24"/>
          <w:lang w:val="en-US"/>
        </w:rPr>
        <w:t>d</w:t>
      </w:r>
      <w:r w:rsidR="00C536EF">
        <w:rPr>
          <w:rFonts w:ascii="Arial" w:hAnsi="Arial" w:cs="Arial"/>
          <w:sz w:val="24"/>
          <w:szCs w:val="24"/>
          <w:lang w:val="en-US"/>
        </w:rPr>
        <w:t xml:space="preserve"> raised prescription in relation to interest as well. The entries relied upon by the plaintiff are disputed and the defendant has placed facts upon which the disputes are based.</w:t>
      </w:r>
    </w:p>
    <w:p w14:paraId="768E96CB" w14:textId="00C96E21" w:rsidR="00346FCD" w:rsidRPr="00771CC9" w:rsidRDefault="00C536EF" w:rsidP="00346FCD">
      <w:pPr>
        <w:spacing w:line="480" w:lineRule="auto"/>
        <w:ind w:left="720" w:hanging="720"/>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BF3A5F">
        <w:rPr>
          <w:rFonts w:ascii="Arial" w:hAnsi="Arial" w:cs="Arial"/>
          <w:color w:val="000000" w:themeColor="text1"/>
          <w:sz w:val="24"/>
          <w:szCs w:val="24"/>
          <w:lang w:val="en-US"/>
        </w:rPr>
        <w:t>61</w:t>
      </w:r>
      <w:r>
        <w:rPr>
          <w:rFonts w:ascii="Arial" w:hAnsi="Arial" w:cs="Arial"/>
          <w:color w:val="000000" w:themeColor="text1"/>
          <w:sz w:val="24"/>
          <w:szCs w:val="24"/>
          <w:lang w:val="en-US"/>
        </w:rPr>
        <w:t xml:space="preserve">] </w:t>
      </w:r>
      <w:r w:rsidR="00346FCD" w:rsidRPr="00771CC9">
        <w:rPr>
          <w:rFonts w:ascii="Arial" w:hAnsi="Arial" w:cs="Arial"/>
          <w:color w:val="000000" w:themeColor="text1"/>
          <w:sz w:val="24"/>
          <w:szCs w:val="24"/>
          <w:lang w:val="en-US"/>
        </w:rPr>
        <w:t>Prescription in respect of all the</w:t>
      </w:r>
      <w:r w:rsidR="00167A67" w:rsidRPr="00771CC9">
        <w:rPr>
          <w:rFonts w:ascii="Arial" w:hAnsi="Arial" w:cs="Arial"/>
          <w:color w:val="000000" w:themeColor="text1"/>
          <w:sz w:val="24"/>
          <w:szCs w:val="24"/>
          <w:lang w:val="en-US"/>
        </w:rPr>
        <w:t xml:space="preserve"> above </w:t>
      </w:r>
      <w:r>
        <w:rPr>
          <w:rFonts w:ascii="Arial" w:hAnsi="Arial" w:cs="Arial"/>
          <w:color w:val="000000" w:themeColor="text1"/>
          <w:sz w:val="24"/>
          <w:szCs w:val="24"/>
          <w:lang w:val="en-US"/>
        </w:rPr>
        <w:t>decided</w:t>
      </w:r>
      <w:r w:rsidR="00346FCD" w:rsidRPr="00771CC9">
        <w:rPr>
          <w:rFonts w:ascii="Arial" w:hAnsi="Arial" w:cs="Arial"/>
          <w:color w:val="000000" w:themeColor="text1"/>
          <w:sz w:val="24"/>
          <w:szCs w:val="24"/>
          <w:lang w:val="en-US"/>
        </w:rPr>
        <w:t xml:space="preserve"> cases is a </w:t>
      </w:r>
      <w:r w:rsidR="008D62E9" w:rsidRPr="00771CC9">
        <w:rPr>
          <w:rFonts w:ascii="Arial" w:hAnsi="Arial" w:cs="Arial"/>
          <w:color w:val="000000" w:themeColor="text1"/>
          <w:sz w:val="24"/>
          <w:szCs w:val="24"/>
          <w:lang w:val="en-US"/>
        </w:rPr>
        <w:t xml:space="preserve">legal issue </w:t>
      </w:r>
      <w:r w:rsidR="00346FCD" w:rsidRPr="00771CC9">
        <w:rPr>
          <w:rFonts w:ascii="Arial" w:hAnsi="Arial" w:cs="Arial"/>
          <w:color w:val="000000" w:themeColor="text1"/>
          <w:sz w:val="24"/>
          <w:szCs w:val="24"/>
          <w:lang w:val="en-US"/>
        </w:rPr>
        <w:t xml:space="preserve">that </w:t>
      </w:r>
      <w:r w:rsidR="008D62E9" w:rsidRPr="00771CC9">
        <w:rPr>
          <w:rFonts w:ascii="Arial" w:hAnsi="Arial" w:cs="Arial"/>
          <w:color w:val="000000" w:themeColor="text1"/>
          <w:sz w:val="24"/>
          <w:szCs w:val="24"/>
          <w:lang w:val="en-US"/>
        </w:rPr>
        <w:t>was</w:t>
      </w:r>
      <w:r w:rsidR="00346FCD" w:rsidRPr="00771CC9">
        <w:rPr>
          <w:rFonts w:ascii="Arial" w:hAnsi="Arial" w:cs="Arial"/>
          <w:color w:val="000000" w:themeColor="text1"/>
          <w:sz w:val="24"/>
          <w:szCs w:val="24"/>
          <w:lang w:val="en-US"/>
        </w:rPr>
        <w:t xml:space="preserve"> decided by the trial court</w:t>
      </w:r>
      <w:r>
        <w:rPr>
          <w:rFonts w:ascii="Arial" w:hAnsi="Arial" w:cs="Arial"/>
          <w:color w:val="000000" w:themeColor="text1"/>
          <w:sz w:val="24"/>
          <w:szCs w:val="24"/>
          <w:lang w:val="en-US"/>
        </w:rPr>
        <w:t>s</w:t>
      </w:r>
      <w:r w:rsidR="00346FCD" w:rsidRPr="00771CC9">
        <w:rPr>
          <w:rFonts w:ascii="Arial" w:hAnsi="Arial" w:cs="Arial"/>
          <w:color w:val="000000" w:themeColor="text1"/>
          <w:sz w:val="24"/>
          <w:szCs w:val="24"/>
          <w:lang w:val="en-US"/>
        </w:rPr>
        <w:t xml:space="preserve"> and not through summary judgment proceedings. </w:t>
      </w:r>
      <w:r w:rsidR="00883827" w:rsidRPr="00771CC9">
        <w:rPr>
          <w:rFonts w:ascii="Arial" w:hAnsi="Arial" w:cs="Arial"/>
          <w:color w:val="000000" w:themeColor="text1"/>
          <w:sz w:val="24"/>
          <w:szCs w:val="24"/>
          <w:lang w:val="en-US"/>
        </w:rPr>
        <w:t>The fact that the defendant raise</w:t>
      </w:r>
      <w:r w:rsidR="00167A67" w:rsidRPr="00771CC9">
        <w:rPr>
          <w:rFonts w:ascii="Arial" w:hAnsi="Arial" w:cs="Arial"/>
          <w:color w:val="000000" w:themeColor="text1"/>
          <w:sz w:val="24"/>
          <w:szCs w:val="24"/>
          <w:lang w:val="en-US"/>
        </w:rPr>
        <w:t>d</w:t>
      </w:r>
      <w:r w:rsidR="00883827" w:rsidRPr="00771CC9">
        <w:rPr>
          <w:rFonts w:ascii="Arial" w:hAnsi="Arial" w:cs="Arial"/>
          <w:color w:val="000000" w:themeColor="text1"/>
          <w:sz w:val="24"/>
          <w:szCs w:val="24"/>
          <w:lang w:val="en-US"/>
        </w:rPr>
        <w:t xml:space="preserve"> prescription of the claim and interest or a portion </w:t>
      </w:r>
      <w:r w:rsidR="00FB5F0A" w:rsidRPr="00771CC9">
        <w:rPr>
          <w:rFonts w:ascii="Arial" w:hAnsi="Arial" w:cs="Arial"/>
          <w:color w:val="000000" w:themeColor="text1"/>
          <w:sz w:val="24"/>
          <w:szCs w:val="24"/>
          <w:lang w:val="en-US"/>
        </w:rPr>
        <w:t>thereof,</w:t>
      </w:r>
      <w:r w:rsidR="00883827" w:rsidRPr="00771CC9">
        <w:rPr>
          <w:rFonts w:ascii="Arial" w:hAnsi="Arial" w:cs="Arial"/>
          <w:color w:val="000000" w:themeColor="text1"/>
          <w:sz w:val="24"/>
          <w:szCs w:val="24"/>
          <w:lang w:val="en-US"/>
        </w:rPr>
        <w:t xml:space="preserve"> for example, cannot be ignored or regarded as a </w:t>
      </w:r>
      <w:r w:rsidR="00167A67" w:rsidRPr="00771CC9">
        <w:rPr>
          <w:rFonts w:ascii="Arial" w:hAnsi="Arial" w:cs="Arial"/>
          <w:color w:val="000000" w:themeColor="text1"/>
          <w:sz w:val="24"/>
          <w:szCs w:val="24"/>
          <w:lang w:val="en-US"/>
        </w:rPr>
        <w:t>delaying tactic</w:t>
      </w:r>
      <w:r>
        <w:rPr>
          <w:rFonts w:ascii="Arial" w:hAnsi="Arial" w:cs="Arial"/>
          <w:color w:val="000000" w:themeColor="text1"/>
          <w:sz w:val="24"/>
          <w:szCs w:val="24"/>
          <w:lang w:val="en-US"/>
        </w:rPr>
        <w:t xml:space="preserve">, in the circumstances of this case. </w:t>
      </w:r>
    </w:p>
    <w:p w14:paraId="1D4C775C" w14:textId="0DCFD00F" w:rsidR="00C536EF" w:rsidRPr="00771CC9" w:rsidRDefault="00C536EF" w:rsidP="00FB5F0A">
      <w:pPr>
        <w:spacing w:line="480" w:lineRule="auto"/>
        <w:jc w:val="both"/>
        <w:rPr>
          <w:rFonts w:ascii="Arial" w:hAnsi="Arial" w:cs="Arial"/>
          <w:i/>
          <w:iCs/>
          <w:sz w:val="24"/>
          <w:szCs w:val="24"/>
          <w:lang w:val="en-US"/>
        </w:rPr>
      </w:pPr>
      <w:r w:rsidRPr="00771CC9">
        <w:rPr>
          <w:rFonts w:ascii="Arial" w:hAnsi="Arial" w:cs="Arial"/>
          <w:i/>
          <w:iCs/>
          <w:sz w:val="24"/>
          <w:szCs w:val="24"/>
          <w:lang w:val="en-US"/>
        </w:rPr>
        <w:t>Test in summary judgment applications</w:t>
      </w:r>
    </w:p>
    <w:p w14:paraId="198BD160" w14:textId="31CE15B8" w:rsidR="00C536EF" w:rsidRPr="00C32BF6" w:rsidRDefault="00C536EF" w:rsidP="00C536EF">
      <w:pPr>
        <w:spacing w:line="480" w:lineRule="auto"/>
        <w:ind w:left="720" w:hanging="720"/>
        <w:jc w:val="both"/>
        <w:rPr>
          <w:rFonts w:ascii="Arial" w:hAnsi="Arial" w:cs="Arial"/>
          <w:i/>
          <w:iCs/>
          <w:lang w:val="en-US"/>
        </w:rPr>
      </w:pPr>
      <w:r>
        <w:rPr>
          <w:rFonts w:ascii="Arial" w:hAnsi="Arial" w:cs="Arial"/>
          <w:sz w:val="24"/>
          <w:szCs w:val="24"/>
          <w:lang w:val="en-US"/>
        </w:rPr>
        <w:t>[</w:t>
      </w:r>
      <w:r w:rsidR="00BF3A5F">
        <w:rPr>
          <w:rFonts w:ascii="Arial" w:hAnsi="Arial" w:cs="Arial"/>
          <w:sz w:val="24"/>
          <w:szCs w:val="24"/>
          <w:lang w:val="en-US"/>
        </w:rPr>
        <w:t>62</w:t>
      </w:r>
      <w:r>
        <w:rPr>
          <w:rFonts w:ascii="Arial" w:hAnsi="Arial" w:cs="Arial"/>
          <w:sz w:val="24"/>
          <w:szCs w:val="24"/>
          <w:lang w:val="en-US"/>
        </w:rPr>
        <w:t xml:space="preserve">] </w:t>
      </w:r>
      <w:r w:rsidR="00BF3A5F">
        <w:rPr>
          <w:rFonts w:ascii="Arial" w:hAnsi="Arial" w:cs="Arial"/>
          <w:sz w:val="24"/>
          <w:szCs w:val="24"/>
          <w:lang w:val="en-US"/>
        </w:rPr>
        <w:tab/>
      </w:r>
      <w:r w:rsidRPr="00C536EF">
        <w:rPr>
          <w:rFonts w:ascii="Arial" w:hAnsi="Arial" w:cs="Arial"/>
          <w:i/>
          <w:iCs/>
          <w:sz w:val="24"/>
          <w:szCs w:val="24"/>
          <w:lang w:val="en-US"/>
        </w:rPr>
        <w:t>Erasmus, Superior Court Practice</w:t>
      </w:r>
      <w:r>
        <w:rPr>
          <w:rFonts w:ascii="Arial" w:hAnsi="Arial" w:cs="Arial"/>
          <w:sz w:val="24"/>
          <w:szCs w:val="24"/>
          <w:lang w:val="en-US"/>
        </w:rPr>
        <w:t xml:space="preserve">, comments as follows when dealing with Rule 32: </w:t>
      </w:r>
    </w:p>
    <w:p w14:paraId="336B6149" w14:textId="0DB91A7E" w:rsidR="00C536EF" w:rsidRPr="00C536EF" w:rsidRDefault="00FB5F0A" w:rsidP="00BF3A5F">
      <w:pPr>
        <w:spacing w:line="240" w:lineRule="auto"/>
        <w:ind w:left="1440"/>
        <w:jc w:val="both"/>
        <w:rPr>
          <w:rFonts w:ascii="Arial" w:hAnsi="Arial" w:cs="Arial"/>
          <w:i/>
          <w:iCs/>
          <w:sz w:val="20"/>
          <w:szCs w:val="20"/>
          <w:lang w:val="en-US"/>
        </w:rPr>
      </w:pPr>
      <w:r w:rsidRPr="00C536EF">
        <w:rPr>
          <w:rFonts w:ascii="Arial" w:hAnsi="Arial" w:cs="Arial"/>
          <w:i/>
          <w:iCs/>
          <w:sz w:val="20"/>
          <w:szCs w:val="20"/>
          <w:lang w:val="en-US"/>
        </w:rPr>
        <w:t>“Summary</w:t>
      </w:r>
      <w:r w:rsidR="00C536EF" w:rsidRPr="00C536EF">
        <w:rPr>
          <w:rFonts w:ascii="Arial" w:hAnsi="Arial" w:cs="Arial"/>
          <w:i/>
          <w:iCs/>
          <w:sz w:val="20"/>
          <w:szCs w:val="20"/>
          <w:lang w:val="en-US"/>
        </w:rPr>
        <w:t xml:space="preserve"> judgment was a procedure introduced in England, in the second half of the last century, to assist a plaintiff in a case where a defendant, who cannot set up a bona </w:t>
      </w:r>
      <w:r w:rsidRPr="00C536EF">
        <w:rPr>
          <w:rFonts w:ascii="Arial" w:hAnsi="Arial" w:cs="Arial"/>
          <w:i/>
          <w:iCs/>
          <w:sz w:val="20"/>
          <w:szCs w:val="20"/>
          <w:lang w:val="en-US"/>
        </w:rPr>
        <w:t>fide defence</w:t>
      </w:r>
      <w:r w:rsidR="00C536EF" w:rsidRPr="00C536EF">
        <w:rPr>
          <w:rFonts w:ascii="Arial" w:hAnsi="Arial" w:cs="Arial"/>
          <w:i/>
          <w:iCs/>
          <w:sz w:val="20"/>
          <w:szCs w:val="20"/>
          <w:lang w:val="en-US"/>
        </w:rPr>
        <w:t xml:space="preserve"> or raise against the plaintiff’s case an issue which ought to be tried, enters appearance merely in order to delay the granting of the plaintiff’s rights.</w:t>
      </w:r>
      <w:r>
        <w:rPr>
          <w:rFonts w:ascii="Arial" w:hAnsi="Arial" w:cs="Arial"/>
          <w:i/>
          <w:iCs/>
          <w:sz w:val="20"/>
          <w:szCs w:val="20"/>
          <w:lang w:val="en-US"/>
        </w:rPr>
        <w:t xml:space="preserve"> </w:t>
      </w:r>
      <w:r w:rsidR="00C536EF" w:rsidRPr="00C536EF">
        <w:rPr>
          <w:rFonts w:ascii="Arial" w:hAnsi="Arial" w:cs="Arial"/>
          <w:i/>
          <w:iCs/>
          <w:sz w:val="20"/>
          <w:szCs w:val="20"/>
          <w:lang w:val="en-US"/>
        </w:rPr>
        <w:t>(footnotes omitted)</w:t>
      </w:r>
      <w:r>
        <w:rPr>
          <w:rFonts w:ascii="Arial" w:hAnsi="Arial" w:cs="Arial"/>
          <w:i/>
          <w:iCs/>
          <w:sz w:val="20"/>
          <w:szCs w:val="20"/>
          <w:lang w:val="en-US"/>
        </w:rPr>
        <w:t>.</w:t>
      </w:r>
    </w:p>
    <w:p w14:paraId="4E518D67" w14:textId="17DA6E81" w:rsidR="00B92423" w:rsidRDefault="00C536EF" w:rsidP="00B92423">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BF3A5F">
        <w:rPr>
          <w:rFonts w:ascii="Arial" w:hAnsi="Arial" w:cs="Arial"/>
          <w:sz w:val="24"/>
          <w:szCs w:val="24"/>
          <w:lang w:val="en-US"/>
        </w:rPr>
        <w:t xml:space="preserve">63] </w:t>
      </w:r>
      <w:r w:rsidR="00BF3A5F">
        <w:rPr>
          <w:rFonts w:ascii="Arial" w:hAnsi="Arial" w:cs="Arial"/>
          <w:sz w:val="24"/>
          <w:szCs w:val="24"/>
          <w:lang w:val="en-US"/>
        </w:rPr>
        <w:tab/>
      </w:r>
      <w:r>
        <w:rPr>
          <w:rFonts w:ascii="Arial" w:hAnsi="Arial" w:cs="Arial"/>
          <w:sz w:val="24"/>
          <w:szCs w:val="24"/>
          <w:lang w:val="en-US"/>
        </w:rPr>
        <w:t>The test to be applied is</w:t>
      </w:r>
      <w:r w:rsidR="009349DF">
        <w:rPr>
          <w:rFonts w:ascii="Arial" w:hAnsi="Arial" w:cs="Arial"/>
          <w:sz w:val="24"/>
          <w:szCs w:val="24"/>
          <w:lang w:val="en-US"/>
        </w:rPr>
        <w:t xml:space="preserve"> that, </w:t>
      </w:r>
      <w:r>
        <w:rPr>
          <w:rFonts w:ascii="Arial" w:hAnsi="Arial" w:cs="Arial"/>
          <w:sz w:val="24"/>
          <w:szCs w:val="24"/>
          <w:lang w:val="en-US"/>
        </w:rPr>
        <w:t>a court faced with a summary judgment application is</w:t>
      </w:r>
      <w:r w:rsidR="009349DF">
        <w:rPr>
          <w:rFonts w:ascii="Arial" w:hAnsi="Arial" w:cs="Arial"/>
          <w:sz w:val="24"/>
          <w:szCs w:val="24"/>
          <w:lang w:val="en-US"/>
        </w:rPr>
        <w:t xml:space="preserve"> not</w:t>
      </w:r>
      <w:r>
        <w:rPr>
          <w:rStyle w:val="FootnoteReference"/>
          <w:rFonts w:ascii="Arial" w:hAnsi="Arial" w:cs="Arial"/>
          <w:sz w:val="24"/>
          <w:szCs w:val="24"/>
          <w:lang w:val="en-US"/>
        </w:rPr>
        <w:footnoteReference w:id="13"/>
      </w:r>
      <w:r>
        <w:rPr>
          <w:rFonts w:ascii="Arial" w:hAnsi="Arial" w:cs="Arial"/>
          <w:sz w:val="24"/>
          <w:szCs w:val="24"/>
          <w:lang w:val="en-US"/>
        </w:rPr>
        <w:t>,</w:t>
      </w:r>
      <w:r w:rsidRPr="00D969B4">
        <w:rPr>
          <w:rFonts w:ascii="Arial" w:hAnsi="Arial" w:cs="Arial"/>
          <w:sz w:val="24"/>
          <w:szCs w:val="24"/>
          <w:lang w:val="en-US"/>
        </w:rPr>
        <w:t>charged with determining the substantive merit of a defence, nor with determining its prospects of success. It is concerned only with an assessment of whether the pleaded defence is genuinely advance</w:t>
      </w:r>
      <w:r>
        <w:rPr>
          <w:rFonts w:ascii="Arial" w:hAnsi="Arial" w:cs="Arial"/>
          <w:sz w:val="24"/>
          <w:szCs w:val="24"/>
          <w:lang w:val="en-US"/>
        </w:rPr>
        <w:t>d</w:t>
      </w:r>
      <w:r w:rsidRPr="00D969B4">
        <w:rPr>
          <w:rFonts w:ascii="Arial" w:hAnsi="Arial" w:cs="Arial"/>
          <w:sz w:val="24"/>
          <w:szCs w:val="24"/>
          <w:lang w:val="en-US"/>
        </w:rPr>
        <w:t>, as opposed to a sham put up for purposes of obtaining delay. A court engaged in that exercise is not going to be willing to become involved in determining disputes of fact on the merits of the principal case.</w:t>
      </w:r>
    </w:p>
    <w:p w14:paraId="0FD212F1" w14:textId="77777777" w:rsidR="00B92423" w:rsidRDefault="00B92423" w:rsidP="00B92423">
      <w:pPr>
        <w:spacing w:line="480" w:lineRule="auto"/>
        <w:ind w:left="720" w:hanging="720"/>
        <w:jc w:val="both"/>
        <w:rPr>
          <w:rFonts w:ascii="Arial" w:hAnsi="Arial" w:cs="Arial"/>
          <w:sz w:val="24"/>
          <w:szCs w:val="24"/>
          <w:lang w:val="en-US"/>
        </w:rPr>
      </w:pPr>
    </w:p>
    <w:p w14:paraId="5CE07C07" w14:textId="729BDA6E" w:rsidR="00E3681D" w:rsidRPr="00B92423" w:rsidRDefault="00B92423" w:rsidP="00B92423">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BF3A5F">
        <w:rPr>
          <w:rFonts w:ascii="Arial" w:hAnsi="Arial" w:cs="Arial"/>
          <w:sz w:val="24"/>
          <w:szCs w:val="24"/>
          <w:lang w:val="en-US"/>
        </w:rPr>
        <w:t>64</w:t>
      </w:r>
      <w:r>
        <w:rPr>
          <w:rFonts w:ascii="Arial" w:hAnsi="Arial" w:cs="Arial"/>
          <w:sz w:val="24"/>
          <w:szCs w:val="24"/>
          <w:lang w:val="en-US"/>
        </w:rPr>
        <w:t xml:space="preserve">]  </w:t>
      </w:r>
      <w:r w:rsidR="00A95F0F">
        <w:rPr>
          <w:rFonts w:ascii="Arial" w:hAnsi="Arial" w:cs="Arial"/>
          <w:sz w:val="24"/>
          <w:szCs w:val="24"/>
          <w:lang w:val="en-US"/>
        </w:rPr>
        <w:t xml:space="preserve">In </w:t>
      </w:r>
      <w:r w:rsidR="00A95F0F">
        <w:rPr>
          <w:rFonts w:ascii="Arial" w:hAnsi="Arial" w:cs="Arial"/>
          <w:b/>
          <w:bCs/>
          <w:i/>
          <w:iCs/>
          <w:sz w:val="24"/>
          <w:szCs w:val="24"/>
          <w:lang w:val="en-US"/>
        </w:rPr>
        <w:t xml:space="preserve">Tumileng Trading CC v </w:t>
      </w:r>
      <w:r w:rsidR="00B07241">
        <w:rPr>
          <w:rFonts w:ascii="Arial" w:hAnsi="Arial" w:cs="Arial"/>
          <w:b/>
          <w:bCs/>
          <w:i/>
          <w:iCs/>
          <w:sz w:val="24"/>
          <w:szCs w:val="24"/>
          <w:lang w:val="en-US"/>
        </w:rPr>
        <w:t xml:space="preserve">National Security and </w:t>
      </w:r>
      <w:r w:rsidR="003F16BC">
        <w:rPr>
          <w:rFonts w:ascii="Arial" w:hAnsi="Arial" w:cs="Arial"/>
          <w:b/>
          <w:bCs/>
          <w:i/>
          <w:iCs/>
          <w:sz w:val="24"/>
          <w:szCs w:val="24"/>
          <w:lang w:val="en-US"/>
        </w:rPr>
        <w:t>Fire (Pty) Ltd</w:t>
      </w:r>
      <w:r w:rsidR="003F16BC">
        <w:rPr>
          <w:rStyle w:val="FootnoteReference"/>
          <w:rFonts w:ascii="Arial" w:hAnsi="Arial" w:cs="Arial"/>
          <w:b/>
          <w:bCs/>
          <w:i/>
          <w:iCs/>
          <w:sz w:val="24"/>
          <w:szCs w:val="24"/>
          <w:lang w:val="en-US"/>
        </w:rPr>
        <w:footnoteReference w:id="14"/>
      </w:r>
      <w:r w:rsidR="00D96906">
        <w:rPr>
          <w:rFonts w:ascii="Arial" w:hAnsi="Arial" w:cs="Arial"/>
          <w:sz w:val="24"/>
          <w:szCs w:val="24"/>
          <w:lang w:val="en-US"/>
        </w:rPr>
        <w:t xml:space="preserve"> </w:t>
      </w:r>
      <w:r w:rsidR="00E3681D">
        <w:rPr>
          <w:rFonts w:ascii="Arial" w:hAnsi="Arial" w:cs="Arial"/>
          <w:sz w:val="24"/>
          <w:szCs w:val="24"/>
          <w:lang w:val="en-US"/>
        </w:rPr>
        <w:t xml:space="preserve">Justice Binns-Ward </w:t>
      </w:r>
      <w:r w:rsidR="003F16BC">
        <w:rPr>
          <w:rFonts w:ascii="Arial" w:hAnsi="Arial" w:cs="Arial"/>
          <w:sz w:val="24"/>
          <w:szCs w:val="24"/>
          <w:lang w:val="en-US"/>
        </w:rPr>
        <w:t>stated</w:t>
      </w:r>
      <w:r w:rsidR="00E3681D">
        <w:rPr>
          <w:rFonts w:ascii="Arial" w:hAnsi="Arial" w:cs="Arial"/>
          <w:sz w:val="24"/>
          <w:szCs w:val="24"/>
          <w:lang w:val="en-US"/>
        </w:rPr>
        <w:t>:</w:t>
      </w:r>
    </w:p>
    <w:p w14:paraId="544ADCD9" w14:textId="706D1485" w:rsidR="00D969B4" w:rsidRDefault="00E3681D" w:rsidP="001E3691">
      <w:pPr>
        <w:spacing w:line="276" w:lineRule="auto"/>
        <w:ind w:left="1440"/>
        <w:jc w:val="both"/>
        <w:rPr>
          <w:rFonts w:ascii="Arial" w:hAnsi="Arial" w:cs="Arial"/>
          <w:i/>
          <w:iCs/>
          <w:sz w:val="20"/>
          <w:szCs w:val="20"/>
          <w:lang w:val="en-US"/>
        </w:rPr>
      </w:pPr>
      <w:r w:rsidRPr="007A5EE6">
        <w:rPr>
          <w:rFonts w:ascii="Arial" w:hAnsi="Arial" w:cs="Arial"/>
          <w:i/>
          <w:iCs/>
          <w:sz w:val="20"/>
          <w:szCs w:val="20"/>
          <w:lang w:val="en-US"/>
        </w:rPr>
        <w:t>“</w:t>
      </w:r>
      <w:r w:rsidR="009C2C35" w:rsidRPr="007A5EE6">
        <w:rPr>
          <w:rFonts w:ascii="Arial" w:hAnsi="Arial" w:cs="Arial"/>
          <w:i/>
          <w:iCs/>
          <w:sz w:val="20"/>
          <w:szCs w:val="20"/>
          <w:lang w:val="en-US"/>
        </w:rPr>
        <w:t>A defendant is not required to show that its defence is likely to prevail. If a defendant can show that it has a legally cognisable defence on the face of it, and that the defence is genuine or bona fide, summary judgment must be refused. The defendant’s prospects of success are irrelevant.</w:t>
      </w:r>
      <w:r w:rsidR="003C7123">
        <w:rPr>
          <w:rFonts w:ascii="Arial" w:hAnsi="Arial" w:cs="Arial"/>
          <w:i/>
          <w:iCs/>
          <w:sz w:val="20"/>
          <w:szCs w:val="20"/>
          <w:lang w:val="en-US"/>
        </w:rPr>
        <w:t>”</w:t>
      </w:r>
    </w:p>
    <w:p w14:paraId="6AAE7152" w14:textId="77777777" w:rsidR="00B92423" w:rsidRPr="001E3691" w:rsidRDefault="00B92423" w:rsidP="001E3691">
      <w:pPr>
        <w:spacing w:line="276" w:lineRule="auto"/>
        <w:ind w:left="1440"/>
        <w:jc w:val="both"/>
        <w:rPr>
          <w:rFonts w:ascii="Arial" w:hAnsi="Arial" w:cs="Arial"/>
          <w:i/>
          <w:iCs/>
          <w:sz w:val="20"/>
          <w:szCs w:val="20"/>
          <w:lang w:val="en-US"/>
        </w:rPr>
      </w:pPr>
    </w:p>
    <w:p w14:paraId="08C91FA4" w14:textId="73C30CA2" w:rsidR="00EC4FA3" w:rsidRDefault="00092F9D" w:rsidP="00490563">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BF3A5F">
        <w:rPr>
          <w:rFonts w:ascii="Arial" w:hAnsi="Arial" w:cs="Arial"/>
          <w:sz w:val="24"/>
          <w:szCs w:val="24"/>
          <w:lang w:val="en-US"/>
        </w:rPr>
        <w:t>65</w:t>
      </w:r>
      <w:r>
        <w:rPr>
          <w:rFonts w:ascii="Arial" w:hAnsi="Arial" w:cs="Arial"/>
          <w:sz w:val="24"/>
          <w:szCs w:val="24"/>
          <w:lang w:val="en-US"/>
        </w:rPr>
        <w:t>]</w:t>
      </w:r>
      <w:r>
        <w:rPr>
          <w:rFonts w:ascii="Arial" w:hAnsi="Arial" w:cs="Arial"/>
          <w:sz w:val="24"/>
          <w:szCs w:val="24"/>
          <w:lang w:val="en-US"/>
        </w:rPr>
        <w:tab/>
        <w:t xml:space="preserve">Binns-Ward J cautioned </w:t>
      </w:r>
      <w:r w:rsidR="00FB5F0A">
        <w:rPr>
          <w:rFonts w:ascii="Arial" w:hAnsi="Arial" w:cs="Arial"/>
          <w:sz w:val="24"/>
          <w:szCs w:val="24"/>
          <w:lang w:val="en-US"/>
        </w:rPr>
        <w:t>against what</w:t>
      </w:r>
      <w:r w:rsidR="00CD507B">
        <w:rPr>
          <w:rFonts w:ascii="Arial" w:hAnsi="Arial" w:cs="Arial"/>
          <w:sz w:val="24"/>
          <w:szCs w:val="24"/>
          <w:lang w:val="en-US"/>
        </w:rPr>
        <w:t xml:space="preserve"> has happened in this case</w:t>
      </w:r>
      <w:r w:rsidR="0062451C">
        <w:rPr>
          <w:rFonts w:ascii="Arial" w:hAnsi="Arial" w:cs="Arial"/>
          <w:sz w:val="24"/>
          <w:szCs w:val="24"/>
          <w:lang w:val="en-US"/>
        </w:rPr>
        <w:t xml:space="preserve"> where the plaintiff has submitted </w:t>
      </w:r>
      <w:r w:rsidR="00B92423">
        <w:rPr>
          <w:rFonts w:ascii="Arial" w:hAnsi="Arial" w:cs="Arial"/>
          <w:sz w:val="24"/>
          <w:szCs w:val="24"/>
          <w:lang w:val="en-US"/>
        </w:rPr>
        <w:t xml:space="preserve">several </w:t>
      </w:r>
      <w:r w:rsidR="00FB5F0A">
        <w:rPr>
          <w:rFonts w:ascii="Arial" w:hAnsi="Arial" w:cs="Arial"/>
          <w:sz w:val="24"/>
          <w:szCs w:val="24"/>
          <w:lang w:val="en-US"/>
        </w:rPr>
        <w:t>documentations</w:t>
      </w:r>
      <w:r w:rsidR="00412593">
        <w:rPr>
          <w:rFonts w:ascii="Arial" w:hAnsi="Arial" w:cs="Arial"/>
          <w:sz w:val="24"/>
          <w:szCs w:val="24"/>
          <w:lang w:val="en-US"/>
        </w:rPr>
        <w:t xml:space="preserve"> i</w:t>
      </w:r>
      <w:r w:rsidR="00B92423">
        <w:rPr>
          <w:rFonts w:ascii="Arial" w:hAnsi="Arial" w:cs="Arial"/>
          <w:sz w:val="24"/>
          <w:szCs w:val="24"/>
          <w:lang w:val="en-US"/>
        </w:rPr>
        <w:t>n</w:t>
      </w:r>
      <w:r w:rsidR="00412593">
        <w:rPr>
          <w:rFonts w:ascii="Arial" w:hAnsi="Arial" w:cs="Arial"/>
          <w:sz w:val="24"/>
          <w:szCs w:val="24"/>
          <w:lang w:val="en-US"/>
        </w:rPr>
        <w:t xml:space="preserve"> support </w:t>
      </w:r>
      <w:r w:rsidR="00237529">
        <w:rPr>
          <w:rFonts w:ascii="Arial" w:hAnsi="Arial" w:cs="Arial"/>
          <w:sz w:val="24"/>
          <w:szCs w:val="24"/>
          <w:lang w:val="en-US"/>
        </w:rPr>
        <w:t>of the summary judgment application</w:t>
      </w:r>
      <w:r w:rsidR="00FD3521">
        <w:rPr>
          <w:rFonts w:ascii="Arial" w:hAnsi="Arial" w:cs="Arial"/>
          <w:sz w:val="24"/>
          <w:szCs w:val="24"/>
          <w:lang w:val="en-US"/>
        </w:rPr>
        <w:t xml:space="preserve">. </w:t>
      </w:r>
      <w:r w:rsidR="00B92423">
        <w:rPr>
          <w:rFonts w:ascii="Arial" w:hAnsi="Arial" w:cs="Arial"/>
          <w:sz w:val="24"/>
          <w:szCs w:val="24"/>
          <w:lang w:val="en-US"/>
        </w:rPr>
        <w:t>T</w:t>
      </w:r>
      <w:r w:rsidR="00746BB1">
        <w:rPr>
          <w:rFonts w:ascii="Arial" w:hAnsi="Arial" w:cs="Arial"/>
          <w:sz w:val="24"/>
          <w:szCs w:val="24"/>
          <w:lang w:val="en-US"/>
        </w:rPr>
        <w:t xml:space="preserve">he plaintiff’s additional </w:t>
      </w:r>
      <w:r w:rsidR="00A71F14">
        <w:rPr>
          <w:rFonts w:ascii="Arial" w:hAnsi="Arial" w:cs="Arial"/>
          <w:sz w:val="24"/>
          <w:szCs w:val="24"/>
          <w:lang w:val="en-US"/>
        </w:rPr>
        <w:t xml:space="preserve">affidavit dated </w:t>
      </w:r>
      <w:r w:rsidR="00BC597A">
        <w:rPr>
          <w:rFonts w:ascii="Arial" w:hAnsi="Arial" w:cs="Arial"/>
          <w:sz w:val="24"/>
          <w:szCs w:val="24"/>
          <w:lang w:val="en-US"/>
        </w:rPr>
        <w:t xml:space="preserve">30 March </w:t>
      </w:r>
      <w:r w:rsidR="00FB5F0A">
        <w:rPr>
          <w:rFonts w:ascii="Arial" w:hAnsi="Arial" w:cs="Arial"/>
          <w:sz w:val="24"/>
          <w:szCs w:val="24"/>
          <w:lang w:val="en-US"/>
        </w:rPr>
        <w:t>2023</w:t>
      </w:r>
      <w:r w:rsidR="00B92423">
        <w:rPr>
          <w:rFonts w:ascii="Arial" w:hAnsi="Arial" w:cs="Arial"/>
          <w:sz w:val="24"/>
          <w:szCs w:val="24"/>
          <w:lang w:val="en-US"/>
        </w:rPr>
        <w:t xml:space="preserve"> consisted of several photographs, </w:t>
      </w:r>
      <w:r w:rsidR="00C26E5C">
        <w:rPr>
          <w:rFonts w:ascii="Arial" w:hAnsi="Arial" w:cs="Arial"/>
          <w:sz w:val="24"/>
          <w:szCs w:val="24"/>
          <w:lang w:val="en-US"/>
        </w:rPr>
        <w:t xml:space="preserve">that </w:t>
      </w:r>
      <w:r w:rsidR="00B92423">
        <w:rPr>
          <w:rFonts w:ascii="Arial" w:hAnsi="Arial" w:cs="Arial"/>
          <w:sz w:val="24"/>
          <w:szCs w:val="24"/>
          <w:lang w:val="en-US"/>
        </w:rPr>
        <w:t>depict</w:t>
      </w:r>
      <w:r w:rsidR="00C26E5C">
        <w:rPr>
          <w:rFonts w:ascii="Arial" w:hAnsi="Arial" w:cs="Arial"/>
          <w:sz w:val="24"/>
          <w:szCs w:val="24"/>
          <w:lang w:val="en-US"/>
        </w:rPr>
        <w:t xml:space="preserve"> toilets</w:t>
      </w:r>
      <w:r w:rsidR="00B92423">
        <w:rPr>
          <w:rFonts w:ascii="Arial" w:hAnsi="Arial" w:cs="Arial"/>
          <w:sz w:val="24"/>
          <w:szCs w:val="24"/>
          <w:lang w:val="en-US"/>
        </w:rPr>
        <w:t>, basins and</w:t>
      </w:r>
      <w:r w:rsidR="00951FB6">
        <w:rPr>
          <w:rFonts w:ascii="Arial" w:hAnsi="Arial" w:cs="Arial"/>
          <w:sz w:val="24"/>
          <w:szCs w:val="24"/>
          <w:lang w:val="en-US"/>
        </w:rPr>
        <w:t xml:space="preserve"> lights</w:t>
      </w:r>
      <w:r w:rsidR="00B92423">
        <w:rPr>
          <w:rFonts w:ascii="Arial" w:hAnsi="Arial" w:cs="Arial"/>
          <w:sz w:val="24"/>
          <w:szCs w:val="24"/>
          <w:lang w:val="en-US"/>
        </w:rPr>
        <w:t xml:space="preserve">. The pages </w:t>
      </w:r>
      <w:r w:rsidR="00FB5F0A">
        <w:rPr>
          <w:rFonts w:ascii="Arial" w:hAnsi="Arial" w:cs="Arial"/>
          <w:sz w:val="24"/>
          <w:szCs w:val="24"/>
          <w:lang w:val="en-US"/>
        </w:rPr>
        <w:t>consisting of</w:t>
      </w:r>
      <w:r w:rsidR="00B92423">
        <w:rPr>
          <w:rFonts w:ascii="Arial" w:hAnsi="Arial" w:cs="Arial"/>
          <w:sz w:val="24"/>
          <w:szCs w:val="24"/>
          <w:lang w:val="en-US"/>
        </w:rPr>
        <w:t xml:space="preserve"> those photographs</w:t>
      </w:r>
      <w:r w:rsidR="000236CA">
        <w:rPr>
          <w:rFonts w:ascii="Arial" w:hAnsi="Arial" w:cs="Arial"/>
          <w:sz w:val="24"/>
          <w:szCs w:val="24"/>
          <w:lang w:val="en-US"/>
        </w:rPr>
        <w:t xml:space="preserve"> </w:t>
      </w:r>
      <w:r w:rsidR="001C1CC4">
        <w:rPr>
          <w:rFonts w:ascii="Arial" w:hAnsi="Arial" w:cs="Arial"/>
          <w:sz w:val="24"/>
          <w:szCs w:val="24"/>
          <w:lang w:val="en-US"/>
        </w:rPr>
        <w:t>attached to th</w:t>
      </w:r>
      <w:r w:rsidR="00B92423">
        <w:rPr>
          <w:rFonts w:ascii="Arial" w:hAnsi="Arial" w:cs="Arial"/>
          <w:sz w:val="24"/>
          <w:szCs w:val="24"/>
          <w:lang w:val="en-US"/>
        </w:rPr>
        <w:t>e additional</w:t>
      </w:r>
      <w:r w:rsidR="001C1CC4">
        <w:rPr>
          <w:rFonts w:ascii="Arial" w:hAnsi="Arial" w:cs="Arial"/>
          <w:sz w:val="24"/>
          <w:szCs w:val="24"/>
          <w:lang w:val="en-US"/>
        </w:rPr>
        <w:t xml:space="preserve"> affidavit </w:t>
      </w:r>
      <w:r w:rsidR="00011B77">
        <w:rPr>
          <w:rFonts w:ascii="Arial" w:hAnsi="Arial" w:cs="Arial"/>
          <w:sz w:val="24"/>
          <w:szCs w:val="24"/>
          <w:lang w:val="en-US"/>
        </w:rPr>
        <w:t>amount</w:t>
      </w:r>
      <w:r w:rsidR="00B92423">
        <w:rPr>
          <w:rFonts w:ascii="Arial" w:hAnsi="Arial" w:cs="Arial"/>
          <w:sz w:val="24"/>
          <w:szCs w:val="24"/>
          <w:lang w:val="en-US"/>
        </w:rPr>
        <w:t xml:space="preserve">ed </w:t>
      </w:r>
      <w:r w:rsidR="00011B77">
        <w:rPr>
          <w:rFonts w:ascii="Arial" w:hAnsi="Arial" w:cs="Arial"/>
          <w:sz w:val="24"/>
          <w:szCs w:val="24"/>
          <w:lang w:val="en-US"/>
        </w:rPr>
        <w:t xml:space="preserve">to </w:t>
      </w:r>
      <w:r w:rsidR="00B92423">
        <w:rPr>
          <w:rFonts w:ascii="Arial" w:hAnsi="Arial" w:cs="Arial"/>
          <w:sz w:val="24"/>
          <w:szCs w:val="24"/>
          <w:lang w:val="en-US"/>
        </w:rPr>
        <w:t xml:space="preserve">approximately </w:t>
      </w:r>
      <w:r w:rsidR="00011B77">
        <w:rPr>
          <w:rFonts w:ascii="Arial" w:hAnsi="Arial" w:cs="Arial"/>
          <w:sz w:val="24"/>
          <w:szCs w:val="24"/>
          <w:lang w:val="en-US"/>
        </w:rPr>
        <w:t>fifty pages</w:t>
      </w:r>
      <w:r w:rsidR="00B92423">
        <w:rPr>
          <w:rFonts w:ascii="Arial" w:hAnsi="Arial" w:cs="Arial"/>
          <w:sz w:val="24"/>
          <w:szCs w:val="24"/>
          <w:lang w:val="en-US"/>
        </w:rPr>
        <w:t xml:space="preserve">. </w:t>
      </w:r>
      <w:r w:rsidR="00FB5F0A">
        <w:rPr>
          <w:rFonts w:ascii="Arial" w:hAnsi="Arial" w:cs="Arial"/>
          <w:sz w:val="24"/>
          <w:szCs w:val="24"/>
          <w:lang w:val="en-US"/>
        </w:rPr>
        <w:t>These photographs</w:t>
      </w:r>
      <w:r w:rsidR="00490563">
        <w:rPr>
          <w:rFonts w:ascii="Arial" w:hAnsi="Arial" w:cs="Arial"/>
          <w:sz w:val="24"/>
          <w:szCs w:val="24"/>
          <w:lang w:val="en-US"/>
        </w:rPr>
        <w:t xml:space="preserve"> burdened the summary judgment application unnecessarily. </w:t>
      </w:r>
    </w:p>
    <w:p w14:paraId="138B0652" w14:textId="343C73ED" w:rsidR="00891002" w:rsidRDefault="00EC4FA3" w:rsidP="00EC1E61">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BF3A5F">
        <w:rPr>
          <w:rFonts w:ascii="Arial" w:hAnsi="Arial" w:cs="Arial"/>
          <w:sz w:val="24"/>
          <w:szCs w:val="24"/>
          <w:lang w:val="en-US"/>
        </w:rPr>
        <w:t>66</w:t>
      </w:r>
      <w:r>
        <w:rPr>
          <w:rFonts w:ascii="Arial" w:hAnsi="Arial" w:cs="Arial"/>
          <w:sz w:val="24"/>
          <w:szCs w:val="24"/>
          <w:lang w:val="en-US"/>
        </w:rPr>
        <w:t>]</w:t>
      </w:r>
      <w:r>
        <w:rPr>
          <w:rFonts w:ascii="Arial" w:hAnsi="Arial" w:cs="Arial"/>
          <w:sz w:val="24"/>
          <w:szCs w:val="24"/>
          <w:lang w:val="en-US"/>
        </w:rPr>
        <w:tab/>
      </w:r>
      <w:r w:rsidR="00490563">
        <w:rPr>
          <w:rFonts w:ascii="Arial" w:hAnsi="Arial" w:cs="Arial"/>
          <w:sz w:val="24"/>
          <w:szCs w:val="24"/>
          <w:lang w:val="en-US"/>
        </w:rPr>
        <w:t xml:space="preserve">Lastly, plaintiff relied </w:t>
      </w:r>
      <w:r w:rsidR="00FB5F0A">
        <w:rPr>
          <w:rFonts w:ascii="Arial" w:hAnsi="Arial" w:cs="Arial"/>
          <w:sz w:val="24"/>
          <w:szCs w:val="24"/>
          <w:lang w:val="en-US"/>
        </w:rPr>
        <w:t xml:space="preserve">on </w:t>
      </w:r>
      <w:r w:rsidR="00FB5F0A" w:rsidRPr="00BF3A5F">
        <w:rPr>
          <w:rFonts w:ascii="Arial" w:hAnsi="Arial" w:cs="Arial"/>
          <w:b/>
          <w:bCs/>
          <w:i/>
          <w:iCs/>
          <w:sz w:val="24"/>
          <w:szCs w:val="24"/>
          <w:lang w:val="en-US"/>
        </w:rPr>
        <w:t>Pillay</w:t>
      </w:r>
      <w:r w:rsidR="00480957">
        <w:rPr>
          <w:rFonts w:ascii="Arial" w:hAnsi="Arial" w:cs="Arial"/>
          <w:b/>
          <w:bCs/>
          <w:i/>
          <w:iCs/>
          <w:sz w:val="24"/>
          <w:szCs w:val="24"/>
          <w:lang w:val="en-US"/>
        </w:rPr>
        <w:t xml:space="preserve"> v </w:t>
      </w:r>
      <w:r w:rsidR="00CB6CF4">
        <w:rPr>
          <w:rFonts w:ascii="Arial" w:hAnsi="Arial" w:cs="Arial"/>
          <w:b/>
          <w:bCs/>
          <w:i/>
          <w:iCs/>
          <w:sz w:val="24"/>
          <w:szCs w:val="24"/>
          <w:lang w:val="en-US"/>
        </w:rPr>
        <w:t>Kr</w:t>
      </w:r>
      <w:r w:rsidR="00E10534">
        <w:rPr>
          <w:rFonts w:ascii="Arial" w:hAnsi="Arial" w:cs="Arial"/>
          <w:b/>
          <w:bCs/>
          <w:i/>
          <w:iCs/>
          <w:sz w:val="24"/>
          <w:szCs w:val="24"/>
          <w:lang w:val="en-US"/>
        </w:rPr>
        <w:t>i</w:t>
      </w:r>
      <w:r w:rsidR="00CB6CF4">
        <w:rPr>
          <w:rFonts w:ascii="Arial" w:hAnsi="Arial" w:cs="Arial"/>
          <w:b/>
          <w:bCs/>
          <w:i/>
          <w:iCs/>
          <w:sz w:val="24"/>
          <w:szCs w:val="24"/>
          <w:lang w:val="en-US"/>
        </w:rPr>
        <w:t>shna</w:t>
      </w:r>
      <w:r w:rsidR="00E10534">
        <w:rPr>
          <w:rFonts w:ascii="Arial" w:hAnsi="Arial" w:cs="Arial"/>
          <w:b/>
          <w:bCs/>
          <w:i/>
          <w:iCs/>
          <w:sz w:val="24"/>
          <w:szCs w:val="24"/>
          <w:lang w:val="en-US"/>
        </w:rPr>
        <w:t xml:space="preserve"> &amp; Another</w:t>
      </w:r>
      <w:r w:rsidR="00E10534">
        <w:rPr>
          <w:rStyle w:val="FootnoteReference"/>
          <w:rFonts w:ascii="Arial" w:hAnsi="Arial" w:cs="Arial"/>
          <w:b/>
          <w:bCs/>
          <w:i/>
          <w:iCs/>
          <w:sz w:val="24"/>
          <w:szCs w:val="24"/>
          <w:lang w:val="en-US"/>
        </w:rPr>
        <w:footnoteReference w:id="15"/>
      </w:r>
      <w:r w:rsidR="00C26E5C">
        <w:rPr>
          <w:rFonts w:ascii="Arial" w:hAnsi="Arial" w:cs="Arial"/>
          <w:sz w:val="24"/>
          <w:szCs w:val="24"/>
          <w:lang w:val="en-US"/>
        </w:rPr>
        <w:t xml:space="preserve"> </w:t>
      </w:r>
      <w:r w:rsidR="00162234">
        <w:rPr>
          <w:rFonts w:ascii="Arial" w:hAnsi="Arial" w:cs="Arial"/>
          <w:sz w:val="24"/>
          <w:szCs w:val="24"/>
          <w:lang w:val="en-US"/>
        </w:rPr>
        <w:t xml:space="preserve">for its contention </w:t>
      </w:r>
      <w:r w:rsidR="009D5B89">
        <w:rPr>
          <w:rFonts w:ascii="Arial" w:hAnsi="Arial" w:cs="Arial"/>
          <w:sz w:val="24"/>
          <w:szCs w:val="24"/>
          <w:lang w:val="en-US"/>
        </w:rPr>
        <w:t xml:space="preserve">that </w:t>
      </w:r>
      <w:r w:rsidR="00521915">
        <w:rPr>
          <w:rFonts w:ascii="Arial" w:hAnsi="Arial" w:cs="Arial"/>
          <w:sz w:val="24"/>
          <w:szCs w:val="24"/>
          <w:lang w:val="en-US"/>
        </w:rPr>
        <w:t xml:space="preserve">once the defendant alleged that it had </w:t>
      </w:r>
      <w:r w:rsidR="00FB5F0A">
        <w:rPr>
          <w:rFonts w:ascii="Arial" w:hAnsi="Arial" w:cs="Arial"/>
          <w:sz w:val="24"/>
          <w:szCs w:val="24"/>
          <w:lang w:val="en-US"/>
        </w:rPr>
        <w:t>paid, it</w:t>
      </w:r>
      <w:r w:rsidR="00C465FF">
        <w:rPr>
          <w:rFonts w:ascii="Arial" w:hAnsi="Arial" w:cs="Arial"/>
          <w:sz w:val="24"/>
          <w:szCs w:val="24"/>
          <w:lang w:val="en-US"/>
        </w:rPr>
        <w:t xml:space="preserve"> bears the onus</w:t>
      </w:r>
      <w:r w:rsidR="00D707E3">
        <w:rPr>
          <w:rFonts w:ascii="Arial" w:hAnsi="Arial" w:cs="Arial"/>
          <w:sz w:val="24"/>
          <w:szCs w:val="24"/>
          <w:lang w:val="en-US"/>
        </w:rPr>
        <w:t xml:space="preserve">. That is correct but in the context of </w:t>
      </w:r>
      <w:r w:rsidR="00490563">
        <w:rPr>
          <w:rFonts w:ascii="Arial" w:hAnsi="Arial" w:cs="Arial"/>
          <w:sz w:val="24"/>
          <w:szCs w:val="24"/>
          <w:lang w:val="en-US"/>
        </w:rPr>
        <w:t xml:space="preserve">the </w:t>
      </w:r>
      <w:r w:rsidR="00D707E3">
        <w:rPr>
          <w:rFonts w:ascii="Arial" w:hAnsi="Arial" w:cs="Arial"/>
          <w:i/>
          <w:iCs/>
          <w:sz w:val="24"/>
          <w:szCs w:val="24"/>
          <w:lang w:val="en-US"/>
        </w:rPr>
        <w:t xml:space="preserve">Pillay </w:t>
      </w:r>
      <w:r w:rsidR="00FB5F0A">
        <w:rPr>
          <w:rFonts w:ascii="Arial" w:hAnsi="Arial" w:cs="Arial"/>
          <w:sz w:val="24"/>
          <w:szCs w:val="24"/>
          <w:lang w:val="en-US"/>
        </w:rPr>
        <w:t>matter,</w:t>
      </w:r>
      <w:r w:rsidR="00490563">
        <w:rPr>
          <w:rFonts w:ascii="Arial" w:hAnsi="Arial" w:cs="Arial"/>
          <w:sz w:val="24"/>
          <w:szCs w:val="24"/>
          <w:lang w:val="en-US"/>
        </w:rPr>
        <w:t xml:space="preserve"> such onus </w:t>
      </w:r>
      <w:r w:rsidR="00A23496">
        <w:rPr>
          <w:rFonts w:ascii="Arial" w:hAnsi="Arial" w:cs="Arial"/>
          <w:sz w:val="24"/>
          <w:szCs w:val="24"/>
          <w:lang w:val="en-US"/>
        </w:rPr>
        <w:t xml:space="preserve">had to be established </w:t>
      </w:r>
      <w:r w:rsidR="00D660CB">
        <w:rPr>
          <w:rFonts w:ascii="Arial" w:hAnsi="Arial" w:cs="Arial"/>
          <w:sz w:val="24"/>
          <w:szCs w:val="24"/>
          <w:lang w:val="en-US"/>
        </w:rPr>
        <w:t xml:space="preserve">through evidence that </w:t>
      </w:r>
      <w:r w:rsidR="00FA62C2">
        <w:rPr>
          <w:rFonts w:ascii="Arial" w:hAnsi="Arial" w:cs="Arial"/>
          <w:sz w:val="24"/>
          <w:szCs w:val="24"/>
          <w:lang w:val="en-US"/>
        </w:rPr>
        <w:t xml:space="preserve">had to </w:t>
      </w:r>
      <w:r w:rsidR="00FB71B6">
        <w:rPr>
          <w:rFonts w:ascii="Arial" w:hAnsi="Arial" w:cs="Arial"/>
          <w:sz w:val="24"/>
          <w:szCs w:val="24"/>
          <w:lang w:val="en-US"/>
        </w:rPr>
        <w:t>b</w:t>
      </w:r>
      <w:r w:rsidR="00FA62C2">
        <w:rPr>
          <w:rFonts w:ascii="Arial" w:hAnsi="Arial" w:cs="Arial"/>
          <w:sz w:val="24"/>
          <w:szCs w:val="24"/>
          <w:lang w:val="en-US"/>
        </w:rPr>
        <w:t>e led</w:t>
      </w:r>
      <w:r w:rsidR="00B7497B">
        <w:rPr>
          <w:rFonts w:ascii="Arial" w:hAnsi="Arial" w:cs="Arial"/>
          <w:sz w:val="24"/>
          <w:szCs w:val="24"/>
          <w:lang w:val="en-US"/>
        </w:rPr>
        <w:t>.</w:t>
      </w:r>
      <w:r w:rsidR="007748E9">
        <w:rPr>
          <w:rFonts w:ascii="Arial" w:hAnsi="Arial" w:cs="Arial"/>
          <w:sz w:val="24"/>
          <w:szCs w:val="24"/>
          <w:lang w:val="en-US"/>
        </w:rPr>
        <w:t xml:space="preserve"> The fact that</w:t>
      </w:r>
      <w:r w:rsidR="0091730A">
        <w:rPr>
          <w:rFonts w:ascii="Arial" w:hAnsi="Arial" w:cs="Arial"/>
          <w:sz w:val="24"/>
          <w:szCs w:val="24"/>
          <w:lang w:val="en-US"/>
        </w:rPr>
        <w:t xml:space="preserve"> a defendant says that it ha</w:t>
      </w:r>
      <w:r w:rsidR="00147A29">
        <w:rPr>
          <w:rFonts w:ascii="Arial" w:hAnsi="Arial" w:cs="Arial"/>
          <w:sz w:val="24"/>
          <w:szCs w:val="24"/>
          <w:lang w:val="en-US"/>
        </w:rPr>
        <w:t>s</w:t>
      </w:r>
      <w:r w:rsidR="0091730A">
        <w:rPr>
          <w:rFonts w:ascii="Arial" w:hAnsi="Arial" w:cs="Arial"/>
          <w:sz w:val="24"/>
          <w:szCs w:val="24"/>
          <w:lang w:val="en-US"/>
        </w:rPr>
        <w:t xml:space="preserve"> made a payment</w:t>
      </w:r>
      <w:r w:rsidR="00B83AE3">
        <w:rPr>
          <w:rFonts w:ascii="Arial" w:hAnsi="Arial" w:cs="Arial"/>
          <w:sz w:val="24"/>
          <w:szCs w:val="24"/>
          <w:lang w:val="en-US"/>
        </w:rPr>
        <w:t xml:space="preserve"> does not on its own </w:t>
      </w:r>
      <w:r w:rsidR="008B3E0F">
        <w:rPr>
          <w:rFonts w:ascii="Arial" w:hAnsi="Arial" w:cs="Arial"/>
          <w:sz w:val="24"/>
          <w:szCs w:val="24"/>
          <w:lang w:val="en-US"/>
        </w:rPr>
        <w:t xml:space="preserve">justify that the matter </w:t>
      </w:r>
      <w:r w:rsidR="001C1115">
        <w:rPr>
          <w:rFonts w:ascii="Arial" w:hAnsi="Arial" w:cs="Arial"/>
          <w:sz w:val="24"/>
          <w:szCs w:val="24"/>
          <w:lang w:val="en-US"/>
        </w:rPr>
        <w:t xml:space="preserve">must be summarily </w:t>
      </w:r>
      <w:r w:rsidR="00A52227">
        <w:rPr>
          <w:rFonts w:ascii="Arial" w:hAnsi="Arial" w:cs="Arial"/>
          <w:sz w:val="24"/>
          <w:szCs w:val="24"/>
          <w:lang w:val="en-US"/>
        </w:rPr>
        <w:t>dealt with</w:t>
      </w:r>
      <w:r w:rsidR="00980A05">
        <w:rPr>
          <w:rFonts w:ascii="Arial" w:hAnsi="Arial" w:cs="Arial"/>
          <w:sz w:val="24"/>
          <w:szCs w:val="24"/>
          <w:lang w:val="en-US"/>
        </w:rPr>
        <w:t>, without it going to trial</w:t>
      </w:r>
      <w:r w:rsidR="00BD4A2C">
        <w:rPr>
          <w:rFonts w:ascii="Arial" w:hAnsi="Arial" w:cs="Arial"/>
          <w:sz w:val="24"/>
          <w:szCs w:val="24"/>
          <w:lang w:val="en-US"/>
        </w:rPr>
        <w:t xml:space="preserve">. Even in the </w:t>
      </w:r>
      <w:r w:rsidR="00BD4A2C">
        <w:rPr>
          <w:rFonts w:ascii="Arial" w:hAnsi="Arial" w:cs="Arial"/>
          <w:i/>
          <w:iCs/>
          <w:sz w:val="24"/>
          <w:szCs w:val="24"/>
          <w:lang w:val="en-US"/>
        </w:rPr>
        <w:t>Pillay</w:t>
      </w:r>
      <w:r w:rsidR="00BD4A2C">
        <w:rPr>
          <w:rFonts w:ascii="Arial" w:hAnsi="Arial" w:cs="Arial"/>
          <w:sz w:val="24"/>
          <w:szCs w:val="24"/>
          <w:lang w:val="en-US"/>
        </w:rPr>
        <w:t xml:space="preserve"> matter</w:t>
      </w:r>
      <w:r w:rsidR="00490563">
        <w:rPr>
          <w:rFonts w:ascii="Arial" w:hAnsi="Arial" w:cs="Arial"/>
          <w:sz w:val="24"/>
          <w:szCs w:val="24"/>
          <w:lang w:val="en-US"/>
        </w:rPr>
        <w:t>,</w:t>
      </w:r>
      <w:r w:rsidR="002C6E6B">
        <w:rPr>
          <w:rFonts w:ascii="Arial" w:hAnsi="Arial" w:cs="Arial"/>
          <w:sz w:val="24"/>
          <w:szCs w:val="24"/>
          <w:lang w:val="en-US"/>
        </w:rPr>
        <w:t xml:space="preserve"> witnesses were led</w:t>
      </w:r>
      <w:r w:rsidR="00DD6A70">
        <w:rPr>
          <w:rFonts w:ascii="Arial" w:hAnsi="Arial" w:cs="Arial"/>
          <w:sz w:val="24"/>
          <w:szCs w:val="24"/>
          <w:lang w:val="en-US"/>
        </w:rPr>
        <w:t xml:space="preserve"> and that is how in the end the </w:t>
      </w:r>
      <w:r w:rsidR="00490563">
        <w:rPr>
          <w:rFonts w:ascii="Arial" w:hAnsi="Arial" w:cs="Arial"/>
          <w:sz w:val="24"/>
          <w:szCs w:val="24"/>
          <w:lang w:val="en-US"/>
        </w:rPr>
        <w:t>c</w:t>
      </w:r>
      <w:r w:rsidR="00DD6A70">
        <w:rPr>
          <w:rFonts w:ascii="Arial" w:hAnsi="Arial" w:cs="Arial"/>
          <w:sz w:val="24"/>
          <w:szCs w:val="24"/>
          <w:lang w:val="en-US"/>
        </w:rPr>
        <w:t xml:space="preserve">ourt decided </w:t>
      </w:r>
      <w:r w:rsidR="00490563">
        <w:rPr>
          <w:rFonts w:ascii="Arial" w:hAnsi="Arial" w:cs="Arial"/>
          <w:sz w:val="24"/>
          <w:szCs w:val="24"/>
          <w:lang w:val="en-US"/>
        </w:rPr>
        <w:t xml:space="preserve">whether or not the party who bore the onus discharged it. </w:t>
      </w:r>
    </w:p>
    <w:p w14:paraId="163F19FD" w14:textId="701ED164" w:rsidR="009A202C" w:rsidRDefault="007C01CD" w:rsidP="00EC1E61">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BF3A5F">
        <w:rPr>
          <w:rFonts w:ascii="Arial" w:hAnsi="Arial" w:cs="Arial"/>
          <w:sz w:val="24"/>
          <w:szCs w:val="24"/>
          <w:lang w:val="en-US"/>
        </w:rPr>
        <w:t>67</w:t>
      </w:r>
      <w:r>
        <w:rPr>
          <w:rFonts w:ascii="Arial" w:hAnsi="Arial" w:cs="Arial"/>
          <w:sz w:val="24"/>
          <w:szCs w:val="24"/>
          <w:lang w:val="en-US"/>
        </w:rPr>
        <w:t>]</w:t>
      </w:r>
      <w:r>
        <w:rPr>
          <w:rFonts w:ascii="Arial" w:hAnsi="Arial" w:cs="Arial"/>
          <w:sz w:val="24"/>
          <w:szCs w:val="24"/>
          <w:lang w:val="en-US"/>
        </w:rPr>
        <w:tab/>
        <w:t xml:space="preserve">At page </w:t>
      </w:r>
      <w:r w:rsidR="00445419">
        <w:rPr>
          <w:rFonts w:ascii="Arial" w:hAnsi="Arial" w:cs="Arial"/>
          <w:sz w:val="24"/>
          <w:szCs w:val="24"/>
          <w:lang w:val="en-US"/>
        </w:rPr>
        <w:t xml:space="preserve">955 of the </w:t>
      </w:r>
      <w:r w:rsidR="00445419">
        <w:rPr>
          <w:rFonts w:ascii="Arial" w:hAnsi="Arial" w:cs="Arial"/>
          <w:i/>
          <w:iCs/>
          <w:sz w:val="24"/>
          <w:szCs w:val="24"/>
          <w:lang w:val="en-US"/>
        </w:rPr>
        <w:t xml:space="preserve">Pillay </w:t>
      </w:r>
      <w:r w:rsidR="00445419">
        <w:rPr>
          <w:rFonts w:ascii="Arial" w:hAnsi="Arial" w:cs="Arial"/>
          <w:sz w:val="24"/>
          <w:szCs w:val="24"/>
          <w:lang w:val="en-US"/>
        </w:rPr>
        <w:t>judgment</w:t>
      </w:r>
      <w:r w:rsidR="00662CA2">
        <w:rPr>
          <w:rFonts w:ascii="Arial" w:hAnsi="Arial" w:cs="Arial"/>
          <w:sz w:val="24"/>
          <w:szCs w:val="24"/>
          <w:lang w:val="en-US"/>
        </w:rPr>
        <w:t xml:space="preserve"> Davis AJA stated</w:t>
      </w:r>
      <w:r w:rsidR="009A202C">
        <w:rPr>
          <w:rFonts w:ascii="Arial" w:hAnsi="Arial" w:cs="Arial"/>
          <w:sz w:val="24"/>
          <w:szCs w:val="24"/>
          <w:lang w:val="en-US"/>
        </w:rPr>
        <w:t>:</w:t>
      </w:r>
    </w:p>
    <w:p w14:paraId="00399322" w14:textId="56CA245E" w:rsidR="00092F9D" w:rsidRPr="001E762D" w:rsidRDefault="009A202C" w:rsidP="005E58B1">
      <w:pPr>
        <w:spacing w:line="240" w:lineRule="auto"/>
        <w:ind w:left="1440"/>
        <w:jc w:val="both"/>
        <w:rPr>
          <w:rFonts w:ascii="Arial" w:hAnsi="Arial" w:cs="Arial"/>
          <w:sz w:val="20"/>
          <w:szCs w:val="20"/>
          <w:lang w:val="en-US"/>
        </w:rPr>
      </w:pPr>
      <w:r w:rsidRPr="00E956BE">
        <w:rPr>
          <w:rFonts w:ascii="Arial" w:hAnsi="Arial" w:cs="Arial"/>
          <w:i/>
          <w:iCs/>
          <w:sz w:val="20"/>
          <w:szCs w:val="20"/>
          <w:lang w:val="en-US"/>
        </w:rPr>
        <w:lastRenderedPageBreak/>
        <w:t xml:space="preserve">“In </w:t>
      </w:r>
      <w:r w:rsidR="00BE6D60" w:rsidRPr="00E956BE">
        <w:rPr>
          <w:rFonts w:ascii="Arial" w:hAnsi="Arial" w:cs="Arial"/>
          <w:i/>
          <w:iCs/>
          <w:sz w:val="20"/>
          <w:szCs w:val="20"/>
          <w:lang w:val="en-US"/>
        </w:rPr>
        <w:t>other words, his cause</w:t>
      </w:r>
      <w:r w:rsidR="00C0455B" w:rsidRPr="00E956BE">
        <w:rPr>
          <w:rFonts w:ascii="Arial" w:hAnsi="Arial" w:cs="Arial"/>
          <w:i/>
          <w:iCs/>
          <w:sz w:val="20"/>
          <w:szCs w:val="20"/>
          <w:lang w:val="en-US"/>
        </w:rPr>
        <w:t xml:space="preserve"> of action is that the defendant </w:t>
      </w:r>
      <w:r w:rsidR="00B44012" w:rsidRPr="00E956BE">
        <w:rPr>
          <w:rFonts w:ascii="Arial" w:hAnsi="Arial" w:cs="Arial"/>
          <w:i/>
          <w:iCs/>
          <w:sz w:val="20"/>
          <w:szCs w:val="20"/>
          <w:lang w:val="en-US"/>
        </w:rPr>
        <w:t xml:space="preserve">obliged himself to pay and that he </w:t>
      </w:r>
      <w:r w:rsidR="00CF359F" w:rsidRPr="00E956BE">
        <w:rPr>
          <w:rFonts w:ascii="Arial" w:hAnsi="Arial" w:cs="Arial"/>
          <w:i/>
          <w:iCs/>
          <w:sz w:val="20"/>
          <w:szCs w:val="20"/>
          <w:lang w:val="en-US"/>
        </w:rPr>
        <w:t xml:space="preserve">has not paid. If the defendant admits </w:t>
      </w:r>
      <w:r w:rsidR="00D7550A" w:rsidRPr="00E956BE">
        <w:rPr>
          <w:rFonts w:ascii="Arial" w:hAnsi="Arial" w:cs="Arial"/>
          <w:i/>
          <w:iCs/>
          <w:sz w:val="20"/>
          <w:szCs w:val="20"/>
          <w:lang w:val="en-US"/>
        </w:rPr>
        <w:t xml:space="preserve">the original obligation to pay but </w:t>
      </w:r>
      <w:r w:rsidR="00035B02" w:rsidRPr="00E956BE">
        <w:rPr>
          <w:rFonts w:ascii="Arial" w:hAnsi="Arial" w:cs="Arial"/>
          <w:i/>
          <w:iCs/>
          <w:sz w:val="20"/>
          <w:szCs w:val="20"/>
          <w:lang w:val="en-US"/>
        </w:rPr>
        <w:t>claims that he has disc</w:t>
      </w:r>
      <w:r w:rsidR="007E7EBF" w:rsidRPr="00E956BE">
        <w:rPr>
          <w:rFonts w:ascii="Arial" w:hAnsi="Arial" w:cs="Arial"/>
          <w:i/>
          <w:iCs/>
          <w:sz w:val="20"/>
          <w:szCs w:val="20"/>
          <w:lang w:val="en-US"/>
        </w:rPr>
        <w:t>h</w:t>
      </w:r>
      <w:r w:rsidR="00035B02" w:rsidRPr="00E956BE">
        <w:rPr>
          <w:rFonts w:ascii="Arial" w:hAnsi="Arial" w:cs="Arial"/>
          <w:i/>
          <w:iCs/>
          <w:sz w:val="20"/>
          <w:szCs w:val="20"/>
          <w:lang w:val="en-US"/>
        </w:rPr>
        <w:t>arged it</w:t>
      </w:r>
      <w:r w:rsidR="00834E82" w:rsidRPr="00E956BE">
        <w:rPr>
          <w:rFonts w:ascii="Arial" w:hAnsi="Arial" w:cs="Arial"/>
          <w:i/>
          <w:iCs/>
          <w:sz w:val="20"/>
          <w:szCs w:val="20"/>
          <w:lang w:val="en-US"/>
        </w:rPr>
        <w:t>,</w:t>
      </w:r>
      <w:r w:rsidR="00A474B3" w:rsidRPr="00E956BE">
        <w:rPr>
          <w:rFonts w:ascii="Arial" w:hAnsi="Arial" w:cs="Arial"/>
          <w:i/>
          <w:iCs/>
          <w:sz w:val="20"/>
          <w:szCs w:val="20"/>
          <w:lang w:val="en-US"/>
        </w:rPr>
        <w:t xml:space="preserve"> the onus still remains up to the plaintiff to establish </w:t>
      </w:r>
      <w:r w:rsidR="00867B98" w:rsidRPr="00E956BE">
        <w:rPr>
          <w:rFonts w:ascii="Arial" w:hAnsi="Arial" w:cs="Arial"/>
          <w:i/>
          <w:iCs/>
          <w:sz w:val="20"/>
          <w:szCs w:val="20"/>
          <w:lang w:val="en-US"/>
        </w:rPr>
        <w:t>his cause of action</w:t>
      </w:r>
      <w:r w:rsidR="00FA079B" w:rsidRPr="00E956BE">
        <w:rPr>
          <w:rFonts w:ascii="Arial" w:hAnsi="Arial" w:cs="Arial"/>
          <w:i/>
          <w:iCs/>
          <w:sz w:val="20"/>
          <w:szCs w:val="20"/>
          <w:lang w:val="en-US"/>
        </w:rPr>
        <w:t xml:space="preserve">. It may well be that </w:t>
      </w:r>
      <w:r w:rsidR="00CF1117" w:rsidRPr="00E956BE">
        <w:rPr>
          <w:rFonts w:ascii="Arial" w:hAnsi="Arial" w:cs="Arial"/>
          <w:i/>
          <w:iCs/>
          <w:sz w:val="20"/>
          <w:szCs w:val="20"/>
          <w:lang w:val="en-US"/>
        </w:rPr>
        <w:t xml:space="preserve">at the trial the defendant </w:t>
      </w:r>
      <w:r w:rsidR="007839E8" w:rsidRPr="00E956BE">
        <w:rPr>
          <w:rFonts w:ascii="Arial" w:hAnsi="Arial" w:cs="Arial"/>
          <w:i/>
          <w:iCs/>
          <w:sz w:val="20"/>
          <w:szCs w:val="20"/>
          <w:lang w:val="en-US"/>
        </w:rPr>
        <w:t>will find some difficulty in rebutting the plaintiff</w:t>
      </w:r>
      <w:r w:rsidR="007B4B4E" w:rsidRPr="00E956BE">
        <w:rPr>
          <w:rFonts w:ascii="Arial" w:hAnsi="Arial" w:cs="Arial"/>
          <w:i/>
          <w:iCs/>
          <w:sz w:val="20"/>
          <w:szCs w:val="20"/>
          <w:lang w:val="en-US"/>
        </w:rPr>
        <w:t>’s denial on oath</w:t>
      </w:r>
      <w:r w:rsidR="007D2366" w:rsidRPr="00E956BE">
        <w:rPr>
          <w:rFonts w:ascii="Arial" w:hAnsi="Arial" w:cs="Arial"/>
          <w:i/>
          <w:iCs/>
          <w:sz w:val="20"/>
          <w:szCs w:val="20"/>
          <w:lang w:val="en-US"/>
        </w:rPr>
        <w:t xml:space="preserve"> that the money has been paid</w:t>
      </w:r>
      <w:r w:rsidR="00DB27E9" w:rsidRPr="00E956BE">
        <w:rPr>
          <w:rFonts w:ascii="Arial" w:hAnsi="Arial" w:cs="Arial"/>
          <w:i/>
          <w:iCs/>
          <w:sz w:val="20"/>
          <w:szCs w:val="20"/>
          <w:lang w:val="en-US"/>
        </w:rPr>
        <w:t>, but that is a question of the</w:t>
      </w:r>
      <w:r w:rsidR="00FC7A54" w:rsidRPr="00E956BE">
        <w:rPr>
          <w:rFonts w:ascii="Arial" w:hAnsi="Arial" w:cs="Arial"/>
          <w:i/>
          <w:iCs/>
          <w:sz w:val="20"/>
          <w:szCs w:val="20"/>
          <w:lang w:val="en-US"/>
        </w:rPr>
        <w:t xml:space="preserve"> sufficiency of proof</w:t>
      </w:r>
      <w:r w:rsidR="00701F04" w:rsidRPr="00E956BE">
        <w:rPr>
          <w:rFonts w:ascii="Arial" w:hAnsi="Arial" w:cs="Arial"/>
          <w:i/>
          <w:iCs/>
          <w:sz w:val="20"/>
          <w:szCs w:val="20"/>
          <w:lang w:val="en-US"/>
        </w:rPr>
        <w:t>, and not of the onus of proof</w:t>
      </w:r>
      <w:r w:rsidR="004B4CE0" w:rsidRPr="00E956BE">
        <w:rPr>
          <w:rFonts w:ascii="Arial" w:hAnsi="Arial" w:cs="Arial"/>
          <w:i/>
          <w:iCs/>
          <w:sz w:val="20"/>
          <w:szCs w:val="20"/>
          <w:lang w:val="en-US"/>
        </w:rPr>
        <w:t>.</w:t>
      </w:r>
      <w:r w:rsidR="004113BF" w:rsidRPr="00E956BE">
        <w:rPr>
          <w:rFonts w:ascii="Arial" w:hAnsi="Arial" w:cs="Arial"/>
          <w:i/>
          <w:iCs/>
          <w:sz w:val="20"/>
          <w:szCs w:val="20"/>
          <w:lang w:val="en-US"/>
        </w:rPr>
        <w:t xml:space="preserve"> If no evidence is led at all</w:t>
      </w:r>
      <w:r w:rsidR="00952CF7" w:rsidRPr="00E956BE">
        <w:rPr>
          <w:rFonts w:ascii="Arial" w:hAnsi="Arial" w:cs="Arial"/>
          <w:i/>
          <w:iCs/>
          <w:sz w:val="20"/>
          <w:szCs w:val="20"/>
          <w:lang w:val="en-US"/>
        </w:rPr>
        <w:t xml:space="preserve">, the plaintiff must fail because </w:t>
      </w:r>
      <w:r w:rsidR="003043A2" w:rsidRPr="00E956BE">
        <w:rPr>
          <w:rFonts w:ascii="Arial" w:hAnsi="Arial" w:cs="Arial"/>
          <w:i/>
          <w:iCs/>
          <w:sz w:val="20"/>
          <w:szCs w:val="20"/>
          <w:lang w:val="en-US"/>
        </w:rPr>
        <w:t>he has not proved his cause of action</w:t>
      </w:r>
      <w:r w:rsidR="00E86C4E" w:rsidRPr="00E956BE">
        <w:rPr>
          <w:rFonts w:ascii="Arial" w:hAnsi="Arial" w:cs="Arial"/>
          <w:i/>
          <w:iCs/>
          <w:sz w:val="20"/>
          <w:szCs w:val="20"/>
          <w:lang w:val="en-US"/>
        </w:rPr>
        <w:t xml:space="preserve">. Similarly, if the evidence </w:t>
      </w:r>
      <w:r w:rsidR="00ED5908" w:rsidRPr="00E956BE">
        <w:rPr>
          <w:rFonts w:ascii="Arial" w:hAnsi="Arial" w:cs="Arial"/>
          <w:i/>
          <w:iCs/>
          <w:sz w:val="20"/>
          <w:szCs w:val="20"/>
          <w:lang w:val="en-US"/>
        </w:rPr>
        <w:t xml:space="preserve">is led and the court cannot decide </w:t>
      </w:r>
      <w:r w:rsidR="00DF1F23" w:rsidRPr="00E956BE">
        <w:rPr>
          <w:rFonts w:ascii="Arial" w:hAnsi="Arial" w:cs="Arial"/>
          <w:i/>
          <w:iCs/>
          <w:sz w:val="20"/>
          <w:szCs w:val="20"/>
          <w:lang w:val="en-US"/>
        </w:rPr>
        <w:t xml:space="preserve">whether the debt was paid or not </w:t>
      </w:r>
      <w:r w:rsidR="00243156" w:rsidRPr="00E956BE">
        <w:rPr>
          <w:rFonts w:ascii="Arial" w:hAnsi="Arial" w:cs="Arial"/>
          <w:i/>
          <w:iCs/>
          <w:sz w:val="20"/>
          <w:szCs w:val="20"/>
          <w:lang w:val="en-US"/>
        </w:rPr>
        <w:t>the plaintiff again must fail</w:t>
      </w:r>
      <w:r w:rsidR="002C4F8B" w:rsidRPr="00E956BE">
        <w:rPr>
          <w:rFonts w:ascii="Arial" w:hAnsi="Arial" w:cs="Arial"/>
          <w:i/>
          <w:iCs/>
          <w:sz w:val="20"/>
          <w:szCs w:val="20"/>
          <w:lang w:val="en-US"/>
        </w:rPr>
        <w:t>, because one of the facts essential</w:t>
      </w:r>
      <w:r w:rsidR="005344CE" w:rsidRPr="00E956BE">
        <w:rPr>
          <w:rFonts w:ascii="Arial" w:hAnsi="Arial" w:cs="Arial"/>
          <w:i/>
          <w:iCs/>
          <w:sz w:val="20"/>
          <w:szCs w:val="20"/>
          <w:lang w:val="en-US"/>
        </w:rPr>
        <w:t xml:space="preserve"> to his cause of action </w:t>
      </w:r>
      <w:r w:rsidR="00641B39" w:rsidRPr="00E956BE">
        <w:rPr>
          <w:rFonts w:ascii="Arial" w:hAnsi="Arial" w:cs="Arial"/>
          <w:i/>
          <w:iCs/>
          <w:sz w:val="20"/>
          <w:szCs w:val="20"/>
          <w:lang w:val="en-US"/>
        </w:rPr>
        <w:t>remains unproved</w:t>
      </w:r>
      <w:r w:rsidR="00F82359" w:rsidRPr="00E956BE">
        <w:rPr>
          <w:rFonts w:ascii="Arial" w:hAnsi="Arial" w:cs="Arial"/>
          <w:i/>
          <w:iCs/>
          <w:sz w:val="20"/>
          <w:szCs w:val="20"/>
          <w:lang w:val="en-US"/>
        </w:rPr>
        <w:t>.</w:t>
      </w:r>
      <w:r w:rsidR="00253410" w:rsidRPr="00E956BE">
        <w:rPr>
          <w:rFonts w:ascii="Arial" w:hAnsi="Arial" w:cs="Arial"/>
          <w:i/>
          <w:iCs/>
          <w:sz w:val="20"/>
          <w:szCs w:val="20"/>
          <w:lang w:val="en-US"/>
        </w:rPr>
        <w:t>”</w:t>
      </w:r>
      <w:r w:rsidR="005E58B1">
        <w:rPr>
          <w:rFonts w:ascii="Arial" w:hAnsi="Arial" w:cs="Arial"/>
          <w:i/>
          <w:iCs/>
          <w:sz w:val="24"/>
          <w:szCs w:val="24"/>
          <w:lang w:val="en-US"/>
        </w:rPr>
        <w:tab/>
      </w:r>
      <w:r w:rsidR="00A474B3">
        <w:rPr>
          <w:rFonts w:ascii="Arial" w:hAnsi="Arial" w:cs="Arial"/>
          <w:i/>
          <w:iCs/>
          <w:sz w:val="24"/>
          <w:szCs w:val="24"/>
          <w:lang w:val="en-US"/>
        </w:rPr>
        <w:t xml:space="preserve"> </w:t>
      </w:r>
      <w:r w:rsidR="00BE6D60">
        <w:rPr>
          <w:rFonts w:ascii="Arial" w:hAnsi="Arial" w:cs="Arial"/>
          <w:i/>
          <w:iCs/>
          <w:sz w:val="24"/>
          <w:szCs w:val="24"/>
          <w:lang w:val="en-US"/>
        </w:rPr>
        <w:t xml:space="preserve"> </w:t>
      </w:r>
      <w:r w:rsidR="007748E9">
        <w:rPr>
          <w:rFonts w:ascii="Arial" w:hAnsi="Arial" w:cs="Arial"/>
          <w:sz w:val="24"/>
          <w:szCs w:val="24"/>
          <w:lang w:val="en-US"/>
        </w:rPr>
        <w:t xml:space="preserve"> </w:t>
      </w:r>
      <w:r w:rsidR="00FA62C2">
        <w:rPr>
          <w:rFonts w:ascii="Arial" w:hAnsi="Arial" w:cs="Arial"/>
          <w:sz w:val="24"/>
          <w:szCs w:val="24"/>
          <w:lang w:val="en-US"/>
        </w:rPr>
        <w:t xml:space="preserve"> </w:t>
      </w:r>
      <w:r w:rsidR="00C465FF">
        <w:rPr>
          <w:rFonts w:ascii="Arial" w:hAnsi="Arial" w:cs="Arial"/>
          <w:sz w:val="24"/>
          <w:szCs w:val="24"/>
          <w:lang w:val="en-US"/>
        </w:rPr>
        <w:t xml:space="preserve"> </w:t>
      </w:r>
      <w:r w:rsidR="003A5172">
        <w:rPr>
          <w:rFonts w:ascii="Arial" w:hAnsi="Arial" w:cs="Arial"/>
          <w:sz w:val="24"/>
          <w:szCs w:val="24"/>
          <w:lang w:val="en-US"/>
        </w:rPr>
        <w:t xml:space="preserve"> </w:t>
      </w:r>
      <w:r w:rsidR="00F03EF6">
        <w:rPr>
          <w:rFonts w:ascii="Arial" w:hAnsi="Arial" w:cs="Arial"/>
          <w:sz w:val="24"/>
          <w:szCs w:val="24"/>
          <w:lang w:val="en-US"/>
        </w:rPr>
        <w:t xml:space="preserve"> </w:t>
      </w:r>
      <w:r w:rsidR="00EC1E61">
        <w:rPr>
          <w:rFonts w:ascii="Arial" w:hAnsi="Arial" w:cs="Arial"/>
          <w:sz w:val="24"/>
          <w:szCs w:val="24"/>
          <w:lang w:val="en-US"/>
        </w:rPr>
        <w:tab/>
      </w:r>
    </w:p>
    <w:p w14:paraId="323F62CA" w14:textId="2792B965" w:rsidR="001F714C" w:rsidRDefault="001F714C" w:rsidP="00346FCD">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BF3A5F">
        <w:rPr>
          <w:rFonts w:ascii="Arial" w:hAnsi="Arial" w:cs="Arial"/>
          <w:sz w:val="24"/>
          <w:szCs w:val="24"/>
          <w:lang w:val="en-US"/>
        </w:rPr>
        <w:t>68</w:t>
      </w:r>
      <w:r>
        <w:rPr>
          <w:rFonts w:ascii="Arial" w:hAnsi="Arial" w:cs="Arial"/>
          <w:sz w:val="24"/>
          <w:szCs w:val="24"/>
          <w:lang w:val="en-US"/>
        </w:rPr>
        <w:t>]</w:t>
      </w:r>
      <w:r>
        <w:rPr>
          <w:rFonts w:ascii="Arial" w:hAnsi="Arial" w:cs="Arial"/>
          <w:sz w:val="24"/>
          <w:szCs w:val="24"/>
          <w:lang w:val="en-US"/>
        </w:rPr>
        <w:tab/>
      </w:r>
      <w:r w:rsidR="00E956BE">
        <w:rPr>
          <w:rFonts w:ascii="Arial" w:hAnsi="Arial" w:cs="Arial"/>
          <w:sz w:val="24"/>
          <w:szCs w:val="24"/>
          <w:lang w:val="en-US"/>
        </w:rPr>
        <w:t>The plaintiff also relied</w:t>
      </w:r>
      <w:r w:rsidR="00B136E6">
        <w:rPr>
          <w:rFonts w:ascii="Arial" w:hAnsi="Arial" w:cs="Arial"/>
          <w:sz w:val="24"/>
          <w:szCs w:val="24"/>
          <w:lang w:val="en-US"/>
        </w:rPr>
        <w:t xml:space="preserve"> for its contention that this Court must</w:t>
      </w:r>
      <w:r w:rsidR="002D04F3">
        <w:rPr>
          <w:rFonts w:ascii="Arial" w:hAnsi="Arial" w:cs="Arial"/>
          <w:sz w:val="24"/>
          <w:szCs w:val="24"/>
          <w:lang w:val="en-US"/>
        </w:rPr>
        <w:t xml:space="preserve"> grant summary judgment on</w:t>
      </w:r>
      <w:r w:rsidR="00327F28">
        <w:rPr>
          <w:rFonts w:ascii="Arial" w:hAnsi="Arial" w:cs="Arial"/>
          <w:sz w:val="24"/>
          <w:szCs w:val="24"/>
          <w:lang w:val="en-US"/>
        </w:rPr>
        <w:t xml:space="preserve">, </w:t>
      </w:r>
      <w:r w:rsidR="00327F28">
        <w:rPr>
          <w:rFonts w:ascii="Arial" w:hAnsi="Arial" w:cs="Arial"/>
          <w:i/>
          <w:iCs/>
          <w:sz w:val="24"/>
          <w:szCs w:val="24"/>
          <w:lang w:val="en-US"/>
        </w:rPr>
        <w:t xml:space="preserve">inter alia, </w:t>
      </w:r>
      <w:r w:rsidR="00327F28">
        <w:rPr>
          <w:rFonts w:ascii="Arial" w:hAnsi="Arial" w:cs="Arial"/>
          <w:b/>
          <w:bCs/>
          <w:i/>
          <w:iCs/>
          <w:sz w:val="24"/>
          <w:szCs w:val="24"/>
          <w:lang w:val="en-US"/>
        </w:rPr>
        <w:t xml:space="preserve">Standard Bank of South Africa Ltd v Oneanate </w:t>
      </w:r>
      <w:r w:rsidR="007C0D02">
        <w:rPr>
          <w:rFonts w:ascii="Arial" w:hAnsi="Arial" w:cs="Arial"/>
          <w:b/>
          <w:bCs/>
          <w:i/>
          <w:iCs/>
          <w:sz w:val="24"/>
          <w:szCs w:val="24"/>
          <w:lang w:val="en-US"/>
        </w:rPr>
        <w:t>Investments (Pty) Ltd</w:t>
      </w:r>
      <w:r w:rsidR="00CB3B2A">
        <w:rPr>
          <w:rFonts w:ascii="Arial" w:hAnsi="Arial" w:cs="Arial"/>
          <w:b/>
          <w:bCs/>
          <w:i/>
          <w:iCs/>
          <w:sz w:val="24"/>
          <w:szCs w:val="24"/>
          <w:lang w:val="en-US"/>
        </w:rPr>
        <w:t xml:space="preserve"> (in liquidation</w:t>
      </w:r>
      <w:r w:rsidR="00050E64">
        <w:rPr>
          <w:rFonts w:ascii="Arial" w:hAnsi="Arial" w:cs="Arial"/>
          <w:b/>
          <w:bCs/>
          <w:i/>
          <w:iCs/>
          <w:sz w:val="24"/>
          <w:szCs w:val="24"/>
          <w:lang w:val="en-US"/>
        </w:rPr>
        <w:t>)</w:t>
      </w:r>
      <w:r w:rsidR="00050E64">
        <w:rPr>
          <w:rStyle w:val="FootnoteReference"/>
          <w:rFonts w:ascii="Arial" w:hAnsi="Arial" w:cs="Arial"/>
          <w:b/>
          <w:bCs/>
          <w:i/>
          <w:iCs/>
          <w:sz w:val="24"/>
          <w:szCs w:val="24"/>
          <w:lang w:val="en-US"/>
        </w:rPr>
        <w:footnoteReference w:id="16"/>
      </w:r>
      <w:r w:rsidR="00D91137">
        <w:rPr>
          <w:rFonts w:ascii="Arial" w:hAnsi="Arial" w:cs="Arial"/>
          <w:b/>
          <w:bCs/>
          <w:i/>
          <w:iCs/>
          <w:sz w:val="24"/>
          <w:szCs w:val="24"/>
          <w:lang w:val="en-US"/>
        </w:rPr>
        <w:t xml:space="preserve"> </w:t>
      </w:r>
      <w:r w:rsidR="00D91137">
        <w:rPr>
          <w:rFonts w:ascii="Arial" w:hAnsi="Arial" w:cs="Arial"/>
          <w:sz w:val="24"/>
          <w:szCs w:val="24"/>
          <w:lang w:val="en-US"/>
        </w:rPr>
        <w:t xml:space="preserve">the Court </w:t>
      </w:r>
      <w:r w:rsidR="0001137E">
        <w:rPr>
          <w:rFonts w:ascii="Arial" w:hAnsi="Arial" w:cs="Arial"/>
          <w:sz w:val="24"/>
          <w:szCs w:val="24"/>
          <w:lang w:val="en-US"/>
        </w:rPr>
        <w:t xml:space="preserve">dealt with entries made </w:t>
      </w:r>
      <w:r w:rsidR="00B24645">
        <w:rPr>
          <w:rFonts w:ascii="Arial" w:hAnsi="Arial" w:cs="Arial"/>
          <w:sz w:val="24"/>
          <w:szCs w:val="24"/>
          <w:lang w:val="en-US"/>
        </w:rPr>
        <w:t xml:space="preserve">in the </w:t>
      </w:r>
      <w:r w:rsidR="00D2259D">
        <w:rPr>
          <w:rFonts w:ascii="Arial" w:hAnsi="Arial" w:cs="Arial"/>
          <w:sz w:val="24"/>
          <w:szCs w:val="24"/>
          <w:lang w:val="en-US"/>
        </w:rPr>
        <w:t>bank’s book and</w:t>
      </w:r>
      <w:r w:rsidR="00D2259D" w:rsidRPr="00CE3404">
        <w:rPr>
          <w:rFonts w:ascii="Arial" w:hAnsi="Arial" w:cs="Arial"/>
          <w:color w:val="000000" w:themeColor="text1"/>
          <w:sz w:val="24"/>
          <w:szCs w:val="24"/>
          <w:lang w:val="en-US"/>
        </w:rPr>
        <w:t xml:space="preserve"> </w:t>
      </w:r>
      <w:r w:rsidR="00DD03BD" w:rsidRPr="00CE3404">
        <w:rPr>
          <w:rFonts w:ascii="Arial" w:hAnsi="Arial" w:cs="Arial"/>
          <w:color w:val="000000" w:themeColor="text1"/>
          <w:sz w:val="24"/>
          <w:szCs w:val="24"/>
          <w:lang w:val="en-US"/>
        </w:rPr>
        <w:t>Z</w:t>
      </w:r>
      <w:r w:rsidR="001E3691" w:rsidRPr="00CE3404">
        <w:rPr>
          <w:rFonts w:ascii="Arial" w:hAnsi="Arial" w:cs="Arial"/>
          <w:color w:val="000000" w:themeColor="text1"/>
          <w:sz w:val="24"/>
          <w:szCs w:val="24"/>
          <w:lang w:val="en-US"/>
        </w:rPr>
        <w:t>ul</w:t>
      </w:r>
      <w:r w:rsidR="00DD03BD" w:rsidRPr="00CE3404">
        <w:rPr>
          <w:rFonts w:ascii="Arial" w:hAnsi="Arial" w:cs="Arial"/>
          <w:color w:val="000000" w:themeColor="text1"/>
          <w:sz w:val="24"/>
          <w:szCs w:val="24"/>
          <w:lang w:val="en-US"/>
        </w:rPr>
        <w:t xml:space="preserve">man </w:t>
      </w:r>
      <w:r w:rsidR="00FB5F0A">
        <w:rPr>
          <w:rFonts w:ascii="Arial" w:hAnsi="Arial" w:cs="Arial"/>
          <w:sz w:val="24"/>
          <w:szCs w:val="24"/>
          <w:lang w:val="en-US"/>
        </w:rPr>
        <w:t>JA at</w:t>
      </w:r>
      <w:r w:rsidR="00BD2D34">
        <w:rPr>
          <w:rFonts w:ascii="Arial" w:hAnsi="Arial" w:cs="Arial"/>
          <w:sz w:val="24"/>
          <w:szCs w:val="24"/>
          <w:lang w:val="en-US"/>
        </w:rPr>
        <w:t xml:space="preserve"> page 821</w:t>
      </w:r>
      <w:r w:rsidR="00D2259D">
        <w:rPr>
          <w:rFonts w:ascii="Arial" w:hAnsi="Arial" w:cs="Arial"/>
          <w:sz w:val="24"/>
          <w:szCs w:val="24"/>
          <w:lang w:val="en-US"/>
        </w:rPr>
        <w:t xml:space="preserve"> had this to say</w:t>
      </w:r>
      <w:r w:rsidR="005A3F70">
        <w:rPr>
          <w:rFonts w:ascii="Arial" w:hAnsi="Arial" w:cs="Arial"/>
          <w:sz w:val="24"/>
          <w:szCs w:val="24"/>
          <w:lang w:val="en-US"/>
        </w:rPr>
        <w:t>:</w:t>
      </w:r>
    </w:p>
    <w:p w14:paraId="3A2FC4F8" w14:textId="60689901" w:rsidR="00752AC3" w:rsidRDefault="00752AC3" w:rsidP="005B43A5">
      <w:pPr>
        <w:spacing w:line="240" w:lineRule="auto"/>
        <w:ind w:left="1440"/>
        <w:jc w:val="both"/>
        <w:rPr>
          <w:rFonts w:ascii="Arial" w:hAnsi="Arial" w:cs="Arial"/>
          <w:i/>
          <w:iCs/>
          <w:sz w:val="24"/>
          <w:szCs w:val="24"/>
          <w:lang w:val="en-US"/>
        </w:rPr>
      </w:pPr>
      <w:r w:rsidRPr="005B43A5">
        <w:rPr>
          <w:rFonts w:ascii="Arial" w:hAnsi="Arial" w:cs="Arial"/>
          <w:i/>
          <w:iCs/>
          <w:sz w:val="20"/>
          <w:szCs w:val="20"/>
          <w:lang w:val="en-US"/>
        </w:rPr>
        <w:t>“</w:t>
      </w:r>
      <w:r w:rsidR="006F44AF" w:rsidRPr="005B43A5">
        <w:rPr>
          <w:rFonts w:ascii="Arial" w:hAnsi="Arial" w:cs="Arial"/>
          <w:i/>
          <w:iCs/>
          <w:sz w:val="20"/>
          <w:szCs w:val="20"/>
          <w:lang w:val="en-US"/>
        </w:rPr>
        <w:t>In order</w:t>
      </w:r>
      <w:r w:rsidR="00BD2D34" w:rsidRPr="005B43A5">
        <w:rPr>
          <w:rFonts w:ascii="Arial" w:hAnsi="Arial" w:cs="Arial"/>
          <w:i/>
          <w:iCs/>
          <w:sz w:val="20"/>
          <w:szCs w:val="20"/>
          <w:lang w:val="en-US"/>
        </w:rPr>
        <w:t xml:space="preserve"> to properly evaluate Oneanate</w:t>
      </w:r>
      <w:r w:rsidR="00CB4F28" w:rsidRPr="005B43A5">
        <w:rPr>
          <w:rFonts w:ascii="Arial" w:hAnsi="Arial" w:cs="Arial"/>
          <w:i/>
          <w:iCs/>
          <w:sz w:val="20"/>
          <w:szCs w:val="20"/>
          <w:lang w:val="en-US"/>
        </w:rPr>
        <w:t xml:space="preserve">’s contentions it is </w:t>
      </w:r>
      <w:r w:rsidR="00115438" w:rsidRPr="005B43A5">
        <w:rPr>
          <w:rFonts w:ascii="Arial" w:hAnsi="Arial" w:cs="Arial"/>
          <w:i/>
          <w:iCs/>
          <w:sz w:val="20"/>
          <w:szCs w:val="20"/>
          <w:lang w:val="en-US"/>
        </w:rPr>
        <w:t xml:space="preserve">necessary to </w:t>
      </w:r>
      <w:r w:rsidR="002C23D9" w:rsidRPr="005B43A5">
        <w:rPr>
          <w:rFonts w:ascii="Arial" w:hAnsi="Arial" w:cs="Arial"/>
          <w:i/>
          <w:iCs/>
          <w:sz w:val="20"/>
          <w:szCs w:val="20"/>
          <w:lang w:val="en-US"/>
        </w:rPr>
        <w:t xml:space="preserve">have regard not simply </w:t>
      </w:r>
      <w:r w:rsidR="00A15ED4" w:rsidRPr="005B43A5">
        <w:rPr>
          <w:rFonts w:ascii="Arial" w:hAnsi="Arial" w:cs="Arial"/>
          <w:i/>
          <w:iCs/>
          <w:sz w:val="20"/>
          <w:szCs w:val="20"/>
          <w:lang w:val="en-US"/>
        </w:rPr>
        <w:t xml:space="preserve">to </w:t>
      </w:r>
      <w:r w:rsidR="008262F5" w:rsidRPr="005B43A5">
        <w:rPr>
          <w:rFonts w:ascii="Arial" w:hAnsi="Arial" w:cs="Arial"/>
          <w:i/>
          <w:iCs/>
          <w:sz w:val="20"/>
          <w:szCs w:val="20"/>
          <w:lang w:val="en-US"/>
        </w:rPr>
        <w:t xml:space="preserve">the entries in the bank’s books </w:t>
      </w:r>
      <w:r w:rsidR="004838EC" w:rsidRPr="005B43A5">
        <w:rPr>
          <w:rFonts w:ascii="Arial" w:hAnsi="Arial" w:cs="Arial"/>
          <w:i/>
          <w:iCs/>
          <w:sz w:val="20"/>
          <w:szCs w:val="20"/>
          <w:lang w:val="en-US"/>
        </w:rPr>
        <w:t>when the credits were passed to Oneanate</w:t>
      </w:r>
      <w:r w:rsidR="00792963" w:rsidRPr="005B43A5">
        <w:rPr>
          <w:rFonts w:ascii="Arial" w:hAnsi="Arial" w:cs="Arial"/>
          <w:i/>
          <w:iCs/>
          <w:sz w:val="20"/>
          <w:szCs w:val="20"/>
          <w:lang w:val="en-US"/>
        </w:rPr>
        <w:t xml:space="preserve">’s </w:t>
      </w:r>
      <w:r w:rsidR="009C17CE" w:rsidRPr="005B43A5">
        <w:rPr>
          <w:rFonts w:ascii="Arial" w:hAnsi="Arial" w:cs="Arial"/>
          <w:i/>
          <w:iCs/>
          <w:sz w:val="20"/>
          <w:szCs w:val="20"/>
          <w:lang w:val="en-US"/>
        </w:rPr>
        <w:t xml:space="preserve">account on 23 May 1988 and to the reversal of that credit by </w:t>
      </w:r>
      <w:r w:rsidR="00411F11" w:rsidRPr="005B43A5">
        <w:rPr>
          <w:rFonts w:ascii="Arial" w:hAnsi="Arial" w:cs="Arial"/>
          <w:i/>
          <w:iCs/>
          <w:sz w:val="20"/>
          <w:szCs w:val="20"/>
          <w:lang w:val="en-US"/>
        </w:rPr>
        <w:t>way of a debit on 01 July 1988</w:t>
      </w:r>
      <w:r w:rsidR="00F062BA" w:rsidRPr="005B43A5">
        <w:rPr>
          <w:rFonts w:ascii="Arial" w:hAnsi="Arial" w:cs="Arial"/>
          <w:i/>
          <w:iCs/>
          <w:sz w:val="20"/>
          <w:szCs w:val="20"/>
          <w:lang w:val="en-US"/>
        </w:rPr>
        <w:t xml:space="preserve"> but also to the entire matrix </w:t>
      </w:r>
      <w:r w:rsidR="003F6BB5" w:rsidRPr="005B43A5">
        <w:rPr>
          <w:rFonts w:ascii="Arial" w:hAnsi="Arial" w:cs="Arial"/>
          <w:i/>
          <w:iCs/>
          <w:sz w:val="20"/>
          <w:szCs w:val="20"/>
          <w:lang w:val="en-US"/>
        </w:rPr>
        <w:t xml:space="preserve">of facts </w:t>
      </w:r>
      <w:r w:rsidR="002E6CBF" w:rsidRPr="005B43A5">
        <w:rPr>
          <w:rFonts w:ascii="Arial" w:hAnsi="Arial" w:cs="Arial"/>
          <w:i/>
          <w:iCs/>
          <w:sz w:val="20"/>
          <w:szCs w:val="20"/>
          <w:lang w:val="en-US"/>
        </w:rPr>
        <w:t xml:space="preserve">against which such entries </w:t>
      </w:r>
      <w:r w:rsidR="002C484C" w:rsidRPr="005B43A5">
        <w:rPr>
          <w:rFonts w:ascii="Arial" w:hAnsi="Arial" w:cs="Arial"/>
          <w:i/>
          <w:iCs/>
          <w:sz w:val="20"/>
          <w:szCs w:val="20"/>
          <w:lang w:val="en-US"/>
        </w:rPr>
        <w:t xml:space="preserve">came </w:t>
      </w:r>
      <w:r w:rsidR="003D2901" w:rsidRPr="005B43A5">
        <w:rPr>
          <w:rFonts w:ascii="Arial" w:hAnsi="Arial" w:cs="Arial"/>
          <w:i/>
          <w:iCs/>
          <w:sz w:val="20"/>
          <w:szCs w:val="20"/>
          <w:lang w:val="en-US"/>
        </w:rPr>
        <w:t>to be made</w:t>
      </w:r>
      <w:r w:rsidR="00906A06" w:rsidRPr="005B43A5">
        <w:rPr>
          <w:rFonts w:ascii="Arial" w:hAnsi="Arial" w:cs="Arial"/>
          <w:i/>
          <w:iCs/>
          <w:sz w:val="20"/>
          <w:szCs w:val="20"/>
          <w:lang w:val="en-US"/>
        </w:rPr>
        <w:t>. In addition</w:t>
      </w:r>
      <w:r w:rsidR="004E62E4" w:rsidRPr="005B43A5">
        <w:rPr>
          <w:rFonts w:ascii="Arial" w:hAnsi="Arial" w:cs="Arial"/>
          <w:i/>
          <w:iCs/>
          <w:sz w:val="20"/>
          <w:szCs w:val="20"/>
          <w:lang w:val="en-US"/>
        </w:rPr>
        <w:t xml:space="preserve"> regard needs to be</w:t>
      </w:r>
      <w:r w:rsidR="00303261" w:rsidRPr="005B43A5">
        <w:rPr>
          <w:rFonts w:ascii="Arial" w:hAnsi="Arial" w:cs="Arial"/>
          <w:i/>
          <w:iCs/>
          <w:sz w:val="20"/>
          <w:szCs w:val="20"/>
          <w:lang w:val="en-US"/>
        </w:rPr>
        <w:t xml:space="preserve"> </w:t>
      </w:r>
      <w:r w:rsidR="004A32C4" w:rsidRPr="005B43A5">
        <w:rPr>
          <w:rFonts w:ascii="Arial" w:hAnsi="Arial" w:cs="Arial"/>
          <w:i/>
          <w:iCs/>
          <w:sz w:val="20"/>
          <w:szCs w:val="20"/>
          <w:lang w:val="en-US"/>
        </w:rPr>
        <w:t>heard to Oneanate’s plea</w:t>
      </w:r>
      <w:r w:rsidR="00AD4BCB" w:rsidRPr="005B43A5">
        <w:rPr>
          <w:rFonts w:ascii="Arial" w:hAnsi="Arial" w:cs="Arial"/>
          <w:i/>
          <w:iCs/>
          <w:sz w:val="20"/>
          <w:szCs w:val="20"/>
          <w:lang w:val="en-US"/>
        </w:rPr>
        <w:t xml:space="preserve"> of payment and to certain admission</w:t>
      </w:r>
      <w:r w:rsidR="00CF1153" w:rsidRPr="005B43A5">
        <w:rPr>
          <w:rFonts w:ascii="Arial" w:hAnsi="Arial" w:cs="Arial"/>
          <w:i/>
          <w:iCs/>
          <w:sz w:val="20"/>
          <w:szCs w:val="20"/>
          <w:lang w:val="en-US"/>
        </w:rPr>
        <w:t xml:space="preserve">s </w:t>
      </w:r>
      <w:r w:rsidR="00114974" w:rsidRPr="005B43A5">
        <w:rPr>
          <w:rFonts w:ascii="Arial" w:hAnsi="Arial" w:cs="Arial"/>
          <w:i/>
          <w:iCs/>
          <w:sz w:val="20"/>
          <w:szCs w:val="20"/>
          <w:lang w:val="en-US"/>
        </w:rPr>
        <w:t xml:space="preserve">made </w:t>
      </w:r>
      <w:r w:rsidR="00D97169" w:rsidRPr="005B43A5">
        <w:rPr>
          <w:rFonts w:ascii="Arial" w:hAnsi="Arial" w:cs="Arial"/>
          <w:i/>
          <w:iCs/>
          <w:sz w:val="20"/>
          <w:szCs w:val="20"/>
          <w:lang w:val="en-US"/>
        </w:rPr>
        <w:t>by Oneanate at a pre-trial conference</w:t>
      </w:r>
      <w:r w:rsidR="00CD3598" w:rsidRPr="005B43A5">
        <w:rPr>
          <w:rFonts w:ascii="Arial" w:hAnsi="Arial" w:cs="Arial"/>
          <w:i/>
          <w:iCs/>
          <w:sz w:val="20"/>
          <w:szCs w:val="20"/>
          <w:lang w:val="en-US"/>
        </w:rPr>
        <w:t xml:space="preserve"> concerning the plea</w:t>
      </w:r>
      <w:r w:rsidR="006B478F">
        <w:rPr>
          <w:rFonts w:ascii="Arial" w:hAnsi="Arial" w:cs="Arial"/>
          <w:i/>
          <w:iCs/>
          <w:sz w:val="24"/>
          <w:szCs w:val="24"/>
          <w:lang w:val="en-US"/>
        </w:rPr>
        <w:t>.</w:t>
      </w:r>
    </w:p>
    <w:p w14:paraId="66497CA5" w14:textId="77777777" w:rsidR="005C6CEE" w:rsidRDefault="005C6CEE" w:rsidP="005B43A5">
      <w:pPr>
        <w:spacing w:line="240" w:lineRule="auto"/>
        <w:ind w:left="1440"/>
        <w:jc w:val="both"/>
        <w:rPr>
          <w:rFonts w:ascii="Arial" w:hAnsi="Arial" w:cs="Arial"/>
          <w:sz w:val="24"/>
          <w:szCs w:val="24"/>
          <w:lang w:val="en-US"/>
        </w:rPr>
      </w:pPr>
    </w:p>
    <w:p w14:paraId="6F3EB96C" w14:textId="7AF5CF9A" w:rsidR="003A14D8" w:rsidRDefault="003A14D8" w:rsidP="003A14D8">
      <w:pPr>
        <w:spacing w:line="480" w:lineRule="auto"/>
        <w:jc w:val="both"/>
        <w:rPr>
          <w:rFonts w:ascii="Arial" w:hAnsi="Arial" w:cs="Arial"/>
          <w:sz w:val="24"/>
          <w:szCs w:val="24"/>
          <w:lang w:val="en-US"/>
        </w:rPr>
      </w:pPr>
      <w:r>
        <w:rPr>
          <w:rFonts w:ascii="Arial" w:hAnsi="Arial" w:cs="Arial"/>
          <w:sz w:val="24"/>
          <w:szCs w:val="24"/>
          <w:lang w:val="en-US"/>
        </w:rPr>
        <w:t>[</w:t>
      </w:r>
      <w:r w:rsidR="00BF3A5F">
        <w:rPr>
          <w:rFonts w:ascii="Arial" w:hAnsi="Arial" w:cs="Arial"/>
          <w:sz w:val="24"/>
          <w:szCs w:val="24"/>
          <w:lang w:val="en-US"/>
        </w:rPr>
        <w:t>69</w:t>
      </w:r>
      <w:r>
        <w:rPr>
          <w:rFonts w:ascii="Arial" w:hAnsi="Arial" w:cs="Arial"/>
          <w:sz w:val="24"/>
          <w:szCs w:val="24"/>
          <w:lang w:val="en-US"/>
        </w:rPr>
        <w:t>]</w:t>
      </w:r>
      <w:r>
        <w:rPr>
          <w:rFonts w:ascii="Arial" w:hAnsi="Arial" w:cs="Arial"/>
          <w:sz w:val="24"/>
          <w:szCs w:val="24"/>
          <w:lang w:val="en-US"/>
        </w:rPr>
        <w:tab/>
        <w:t>At page 823 the Court stated that:</w:t>
      </w:r>
    </w:p>
    <w:p w14:paraId="18EFE894" w14:textId="387976D7" w:rsidR="005C6CEE" w:rsidRDefault="003A14D8" w:rsidP="005C6CEE">
      <w:pPr>
        <w:spacing w:line="240" w:lineRule="auto"/>
        <w:ind w:left="1440"/>
        <w:jc w:val="both"/>
        <w:rPr>
          <w:rFonts w:ascii="Arial" w:hAnsi="Arial" w:cs="Arial"/>
          <w:i/>
          <w:iCs/>
          <w:sz w:val="20"/>
          <w:szCs w:val="20"/>
          <w:lang w:val="en-US"/>
        </w:rPr>
      </w:pPr>
      <w:r w:rsidRPr="005B43A5">
        <w:rPr>
          <w:rFonts w:ascii="Arial" w:hAnsi="Arial" w:cs="Arial"/>
          <w:i/>
          <w:iCs/>
          <w:sz w:val="20"/>
          <w:szCs w:val="20"/>
          <w:lang w:val="en-US"/>
        </w:rPr>
        <w:t>“</w:t>
      </w:r>
      <w:r w:rsidR="00982835" w:rsidRPr="005B43A5">
        <w:rPr>
          <w:rFonts w:ascii="Arial" w:hAnsi="Arial" w:cs="Arial"/>
          <w:i/>
          <w:iCs/>
          <w:sz w:val="20"/>
          <w:szCs w:val="20"/>
          <w:lang w:val="en-US"/>
        </w:rPr>
        <w:t xml:space="preserve">Entries on bank accounts may </w:t>
      </w:r>
      <w:r w:rsidR="00B5045E" w:rsidRPr="005B43A5">
        <w:rPr>
          <w:rFonts w:ascii="Arial" w:hAnsi="Arial" w:cs="Arial"/>
          <w:i/>
          <w:iCs/>
          <w:sz w:val="20"/>
          <w:szCs w:val="20"/>
          <w:lang w:val="en-US"/>
        </w:rPr>
        <w:t>reflect valid j</w:t>
      </w:r>
      <w:r w:rsidR="00B5045E" w:rsidRPr="00CE3404">
        <w:rPr>
          <w:rFonts w:ascii="Arial" w:hAnsi="Arial" w:cs="Arial"/>
          <w:i/>
          <w:iCs/>
          <w:color w:val="000000" w:themeColor="text1"/>
          <w:sz w:val="20"/>
          <w:szCs w:val="20"/>
          <w:lang w:val="en-US"/>
        </w:rPr>
        <w:t>uris</w:t>
      </w:r>
      <w:r w:rsidR="00CE3404" w:rsidRPr="00CE3404">
        <w:rPr>
          <w:rFonts w:ascii="Arial" w:hAnsi="Arial" w:cs="Arial"/>
          <w:i/>
          <w:iCs/>
          <w:color w:val="000000" w:themeColor="text1"/>
          <w:sz w:val="20"/>
          <w:szCs w:val="20"/>
          <w:lang w:val="en-US"/>
        </w:rPr>
        <w:t>tic</w:t>
      </w:r>
      <w:r w:rsidR="00AD740D" w:rsidRPr="00CE3404">
        <w:rPr>
          <w:rFonts w:ascii="Arial" w:hAnsi="Arial" w:cs="Arial"/>
          <w:i/>
          <w:iCs/>
          <w:color w:val="000000" w:themeColor="text1"/>
          <w:sz w:val="20"/>
          <w:szCs w:val="20"/>
          <w:lang w:val="en-US"/>
        </w:rPr>
        <w:t xml:space="preserve"> </w:t>
      </w:r>
      <w:r w:rsidR="00AD740D" w:rsidRPr="005B43A5">
        <w:rPr>
          <w:rFonts w:ascii="Arial" w:hAnsi="Arial" w:cs="Arial"/>
          <w:i/>
          <w:iCs/>
          <w:sz w:val="20"/>
          <w:szCs w:val="20"/>
          <w:lang w:val="en-US"/>
        </w:rPr>
        <w:t>act</w:t>
      </w:r>
      <w:r w:rsidR="00372572" w:rsidRPr="005B43A5">
        <w:rPr>
          <w:rFonts w:ascii="Arial" w:hAnsi="Arial" w:cs="Arial"/>
          <w:i/>
          <w:iCs/>
          <w:sz w:val="20"/>
          <w:szCs w:val="20"/>
          <w:lang w:val="en-US"/>
        </w:rPr>
        <w:t>s</w:t>
      </w:r>
      <w:r w:rsidR="00AD740D" w:rsidRPr="005B43A5">
        <w:rPr>
          <w:rFonts w:ascii="Arial" w:hAnsi="Arial" w:cs="Arial"/>
          <w:i/>
          <w:iCs/>
          <w:sz w:val="20"/>
          <w:szCs w:val="20"/>
          <w:lang w:val="en-US"/>
        </w:rPr>
        <w:t xml:space="preserve"> but that</w:t>
      </w:r>
      <w:r w:rsidR="00372572" w:rsidRPr="005B43A5">
        <w:rPr>
          <w:rFonts w:ascii="Arial" w:hAnsi="Arial" w:cs="Arial"/>
          <w:i/>
          <w:iCs/>
          <w:sz w:val="20"/>
          <w:szCs w:val="20"/>
          <w:lang w:val="en-US"/>
        </w:rPr>
        <w:t xml:space="preserve"> is not necessarily so</w:t>
      </w:r>
      <w:r w:rsidR="00303F06" w:rsidRPr="005B43A5">
        <w:rPr>
          <w:rFonts w:ascii="Arial" w:hAnsi="Arial" w:cs="Arial"/>
          <w:i/>
          <w:iCs/>
          <w:sz w:val="20"/>
          <w:szCs w:val="20"/>
          <w:lang w:val="en-US"/>
        </w:rPr>
        <w:t>. Whilst in general it may be said</w:t>
      </w:r>
      <w:r w:rsidR="00164FEC" w:rsidRPr="005B43A5">
        <w:rPr>
          <w:rFonts w:ascii="Arial" w:hAnsi="Arial" w:cs="Arial"/>
          <w:i/>
          <w:iCs/>
          <w:sz w:val="20"/>
          <w:szCs w:val="20"/>
          <w:lang w:val="en-US"/>
        </w:rPr>
        <w:t xml:space="preserve"> that</w:t>
      </w:r>
      <w:r w:rsidR="00303F06" w:rsidRPr="005B43A5">
        <w:rPr>
          <w:rFonts w:ascii="Arial" w:hAnsi="Arial" w:cs="Arial"/>
          <w:i/>
          <w:iCs/>
          <w:sz w:val="20"/>
          <w:szCs w:val="20"/>
          <w:lang w:val="en-US"/>
        </w:rPr>
        <w:t xml:space="preserve"> </w:t>
      </w:r>
      <w:r w:rsidR="00E44CCB" w:rsidRPr="005B43A5">
        <w:rPr>
          <w:rFonts w:ascii="Arial" w:hAnsi="Arial" w:cs="Arial"/>
          <w:i/>
          <w:iCs/>
          <w:sz w:val="20"/>
          <w:szCs w:val="20"/>
          <w:lang w:val="en-US"/>
        </w:rPr>
        <w:t xml:space="preserve">entries </w:t>
      </w:r>
      <w:r w:rsidR="00B322F1" w:rsidRPr="005B43A5">
        <w:rPr>
          <w:rFonts w:ascii="Arial" w:hAnsi="Arial" w:cs="Arial"/>
          <w:i/>
          <w:iCs/>
          <w:sz w:val="20"/>
          <w:szCs w:val="20"/>
          <w:lang w:val="en-US"/>
        </w:rPr>
        <w:t xml:space="preserve">in the </w:t>
      </w:r>
      <w:r w:rsidR="00DF7FA5" w:rsidRPr="005B43A5">
        <w:rPr>
          <w:rFonts w:ascii="Arial" w:hAnsi="Arial" w:cs="Arial"/>
          <w:i/>
          <w:iCs/>
          <w:sz w:val="20"/>
          <w:szCs w:val="20"/>
          <w:lang w:val="en-US"/>
        </w:rPr>
        <w:t xml:space="preserve">bank’s books constitutes prima facie evidence </w:t>
      </w:r>
      <w:r w:rsidR="00837DBF" w:rsidRPr="005B43A5">
        <w:rPr>
          <w:rFonts w:ascii="Arial" w:hAnsi="Arial" w:cs="Arial"/>
          <w:i/>
          <w:iCs/>
          <w:sz w:val="20"/>
          <w:szCs w:val="20"/>
          <w:lang w:val="en-US"/>
        </w:rPr>
        <w:t>of the transactions so recorded</w:t>
      </w:r>
      <w:r w:rsidR="004C0CEB" w:rsidRPr="005B43A5">
        <w:rPr>
          <w:rFonts w:ascii="Arial" w:hAnsi="Arial" w:cs="Arial"/>
          <w:i/>
          <w:iCs/>
          <w:sz w:val="20"/>
          <w:szCs w:val="20"/>
          <w:lang w:val="en-US"/>
        </w:rPr>
        <w:t xml:space="preserve">, this does not mean that in a particular case one </w:t>
      </w:r>
      <w:r w:rsidR="00132C07" w:rsidRPr="005B43A5">
        <w:rPr>
          <w:rFonts w:ascii="Arial" w:hAnsi="Arial" w:cs="Arial"/>
          <w:i/>
          <w:iCs/>
          <w:sz w:val="20"/>
          <w:szCs w:val="20"/>
          <w:lang w:val="en-US"/>
        </w:rPr>
        <w:t xml:space="preserve">is precluded, </w:t>
      </w:r>
      <w:r w:rsidR="00A95CDF" w:rsidRPr="005B43A5">
        <w:rPr>
          <w:rFonts w:ascii="Arial" w:hAnsi="Arial" w:cs="Arial"/>
          <w:i/>
          <w:iCs/>
          <w:sz w:val="20"/>
          <w:szCs w:val="20"/>
          <w:lang w:val="en-US"/>
        </w:rPr>
        <w:t>unless say by estoppel</w:t>
      </w:r>
      <w:r w:rsidR="00B10FAE" w:rsidRPr="005B43A5">
        <w:rPr>
          <w:rFonts w:ascii="Arial" w:hAnsi="Arial" w:cs="Arial"/>
          <w:i/>
          <w:iCs/>
          <w:sz w:val="20"/>
          <w:szCs w:val="20"/>
          <w:lang w:val="en-US"/>
        </w:rPr>
        <w:t>, from looking behind such entr</w:t>
      </w:r>
      <w:r w:rsidR="005F1C18" w:rsidRPr="005B43A5">
        <w:rPr>
          <w:rFonts w:ascii="Arial" w:hAnsi="Arial" w:cs="Arial"/>
          <w:i/>
          <w:iCs/>
          <w:sz w:val="20"/>
          <w:szCs w:val="20"/>
          <w:lang w:val="en-US"/>
        </w:rPr>
        <w:t>ies to discover what the true state of affairs is</w:t>
      </w:r>
      <w:r w:rsidR="00C5588E" w:rsidRPr="005B43A5">
        <w:rPr>
          <w:rFonts w:ascii="Arial" w:hAnsi="Arial" w:cs="Arial"/>
          <w:i/>
          <w:iCs/>
          <w:sz w:val="20"/>
          <w:szCs w:val="20"/>
          <w:lang w:val="en-US"/>
        </w:rPr>
        <w:t xml:space="preserve">. So, for example, if a customer </w:t>
      </w:r>
      <w:r w:rsidR="00493CEE" w:rsidRPr="005B43A5">
        <w:rPr>
          <w:rFonts w:ascii="Arial" w:hAnsi="Arial" w:cs="Arial"/>
          <w:i/>
          <w:iCs/>
          <w:sz w:val="20"/>
          <w:szCs w:val="20"/>
          <w:lang w:val="en-US"/>
        </w:rPr>
        <w:t xml:space="preserve">deposit </w:t>
      </w:r>
      <w:r w:rsidR="00707FB5" w:rsidRPr="005B43A5">
        <w:rPr>
          <w:rFonts w:ascii="Arial" w:hAnsi="Arial" w:cs="Arial"/>
          <w:i/>
          <w:iCs/>
          <w:sz w:val="20"/>
          <w:szCs w:val="20"/>
          <w:lang w:val="en-US"/>
        </w:rPr>
        <w:t xml:space="preserve">a cheque </w:t>
      </w:r>
      <w:r w:rsidR="00E602CE" w:rsidRPr="005B43A5">
        <w:rPr>
          <w:rFonts w:ascii="Arial" w:hAnsi="Arial" w:cs="Arial"/>
          <w:i/>
          <w:iCs/>
          <w:sz w:val="20"/>
          <w:szCs w:val="20"/>
          <w:lang w:val="en-US"/>
        </w:rPr>
        <w:t>into its bank account</w:t>
      </w:r>
      <w:r w:rsidR="00004AA7" w:rsidRPr="005B43A5">
        <w:rPr>
          <w:rFonts w:ascii="Arial" w:hAnsi="Arial" w:cs="Arial"/>
          <w:i/>
          <w:iCs/>
          <w:sz w:val="20"/>
          <w:szCs w:val="20"/>
          <w:lang w:val="en-US"/>
        </w:rPr>
        <w:t xml:space="preserve">, the bank would </w:t>
      </w:r>
      <w:r w:rsidR="006546BB" w:rsidRPr="005B43A5">
        <w:rPr>
          <w:rFonts w:ascii="Arial" w:hAnsi="Arial" w:cs="Arial"/>
          <w:i/>
          <w:iCs/>
          <w:sz w:val="20"/>
          <w:szCs w:val="20"/>
          <w:lang w:val="en-US"/>
        </w:rPr>
        <w:t>upon receiving the deposit pass</w:t>
      </w:r>
      <w:r w:rsidR="00065194" w:rsidRPr="005B43A5">
        <w:rPr>
          <w:rFonts w:ascii="Arial" w:hAnsi="Arial" w:cs="Arial"/>
          <w:i/>
          <w:iCs/>
          <w:sz w:val="20"/>
          <w:szCs w:val="20"/>
          <w:lang w:val="en-US"/>
        </w:rPr>
        <w:t xml:space="preserve"> a credit entry </w:t>
      </w:r>
      <w:r w:rsidR="00A93E6C" w:rsidRPr="005B43A5">
        <w:rPr>
          <w:rFonts w:ascii="Arial" w:hAnsi="Arial" w:cs="Arial"/>
          <w:i/>
          <w:iCs/>
          <w:sz w:val="20"/>
          <w:szCs w:val="20"/>
          <w:lang w:val="en-US"/>
        </w:rPr>
        <w:t>to</w:t>
      </w:r>
      <w:r w:rsidR="00065194" w:rsidRPr="005B43A5">
        <w:rPr>
          <w:rFonts w:ascii="Arial" w:hAnsi="Arial" w:cs="Arial"/>
          <w:i/>
          <w:iCs/>
          <w:sz w:val="20"/>
          <w:szCs w:val="20"/>
          <w:lang w:val="en-US"/>
        </w:rPr>
        <w:t xml:space="preserve"> that customer’s</w:t>
      </w:r>
      <w:r w:rsidR="002F6EA1" w:rsidRPr="005B43A5">
        <w:rPr>
          <w:rFonts w:ascii="Arial" w:hAnsi="Arial" w:cs="Arial"/>
          <w:i/>
          <w:iCs/>
          <w:sz w:val="20"/>
          <w:szCs w:val="20"/>
          <w:lang w:val="en-US"/>
        </w:rPr>
        <w:t xml:space="preserve"> account. If it is established </w:t>
      </w:r>
      <w:r w:rsidR="000F06E8" w:rsidRPr="005B43A5">
        <w:rPr>
          <w:rFonts w:ascii="Arial" w:hAnsi="Arial" w:cs="Arial"/>
          <w:i/>
          <w:iCs/>
          <w:sz w:val="20"/>
          <w:szCs w:val="20"/>
          <w:lang w:val="en-US"/>
        </w:rPr>
        <w:t>that the drawer’s signature ha</w:t>
      </w:r>
      <w:r w:rsidR="00BA1CD6" w:rsidRPr="005B43A5">
        <w:rPr>
          <w:rFonts w:ascii="Arial" w:hAnsi="Arial" w:cs="Arial"/>
          <w:i/>
          <w:iCs/>
          <w:sz w:val="20"/>
          <w:szCs w:val="20"/>
          <w:lang w:val="en-US"/>
        </w:rPr>
        <w:t>s</w:t>
      </w:r>
      <w:r w:rsidR="000F06E8" w:rsidRPr="005B43A5">
        <w:rPr>
          <w:rFonts w:ascii="Arial" w:hAnsi="Arial" w:cs="Arial"/>
          <w:i/>
          <w:iCs/>
          <w:sz w:val="20"/>
          <w:szCs w:val="20"/>
          <w:lang w:val="en-US"/>
        </w:rPr>
        <w:t xml:space="preserve"> bee</w:t>
      </w:r>
      <w:r w:rsidR="004E0488" w:rsidRPr="005B43A5">
        <w:rPr>
          <w:rFonts w:ascii="Arial" w:hAnsi="Arial" w:cs="Arial"/>
          <w:i/>
          <w:iCs/>
          <w:sz w:val="20"/>
          <w:szCs w:val="20"/>
          <w:lang w:val="en-US"/>
        </w:rPr>
        <w:t>n</w:t>
      </w:r>
      <w:r w:rsidR="00BA1CD6" w:rsidRPr="005B43A5">
        <w:rPr>
          <w:rFonts w:ascii="Arial" w:hAnsi="Arial" w:cs="Arial"/>
          <w:i/>
          <w:iCs/>
          <w:sz w:val="20"/>
          <w:szCs w:val="20"/>
          <w:lang w:val="en-US"/>
        </w:rPr>
        <w:t xml:space="preserve"> forged it cannot </w:t>
      </w:r>
      <w:r w:rsidR="00236C2F" w:rsidRPr="005B43A5">
        <w:rPr>
          <w:rFonts w:ascii="Arial" w:hAnsi="Arial" w:cs="Arial"/>
          <w:i/>
          <w:iCs/>
          <w:sz w:val="20"/>
          <w:szCs w:val="20"/>
          <w:lang w:val="en-US"/>
        </w:rPr>
        <w:t xml:space="preserve">be suggested that the bank would </w:t>
      </w:r>
      <w:r w:rsidR="00BF6D7B" w:rsidRPr="005B43A5">
        <w:rPr>
          <w:rFonts w:ascii="Arial" w:hAnsi="Arial" w:cs="Arial"/>
          <w:i/>
          <w:iCs/>
          <w:sz w:val="20"/>
          <w:szCs w:val="20"/>
          <w:lang w:val="en-US"/>
        </w:rPr>
        <w:t>be precluded from rev</w:t>
      </w:r>
      <w:r w:rsidR="00393294" w:rsidRPr="005B43A5">
        <w:rPr>
          <w:rFonts w:ascii="Arial" w:hAnsi="Arial" w:cs="Arial"/>
          <w:i/>
          <w:iCs/>
          <w:sz w:val="20"/>
          <w:szCs w:val="20"/>
          <w:lang w:val="en-US"/>
        </w:rPr>
        <w:t>ersing the credit entry</w:t>
      </w:r>
      <w:r w:rsidR="006503CC" w:rsidRPr="005B43A5">
        <w:rPr>
          <w:rFonts w:ascii="Arial" w:hAnsi="Arial" w:cs="Arial"/>
          <w:i/>
          <w:iCs/>
          <w:sz w:val="20"/>
          <w:szCs w:val="20"/>
          <w:lang w:val="en-US"/>
        </w:rPr>
        <w:t xml:space="preserve"> prev</w:t>
      </w:r>
      <w:r w:rsidR="00723D32" w:rsidRPr="005B43A5">
        <w:rPr>
          <w:rFonts w:ascii="Arial" w:hAnsi="Arial" w:cs="Arial"/>
          <w:i/>
          <w:iCs/>
          <w:sz w:val="20"/>
          <w:szCs w:val="20"/>
          <w:lang w:val="en-US"/>
        </w:rPr>
        <w:t>iously</w:t>
      </w:r>
      <w:r w:rsidR="001B3E9A" w:rsidRPr="005B43A5">
        <w:rPr>
          <w:rFonts w:ascii="Arial" w:hAnsi="Arial" w:cs="Arial"/>
          <w:i/>
          <w:iCs/>
          <w:sz w:val="20"/>
          <w:szCs w:val="20"/>
          <w:lang w:val="en-US"/>
        </w:rPr>
        <w:t xml:space="preserve"> </w:t>
      </w:r>
      <w:r w:rsidR="008A3894" w:rsidRPr="005B43A5">
        <w:rPr>
          <w:rFonts w:ascii="Arial" w:hAnsi="Arial" w:cs="Arial"/>
          <w:i/>
          <w:iCs/>
          <w:sz w:val="20"/>
          <w:szCs w:val="20"/>
          <w:lang w:val="en-US"/>
        </w:rPr>
        <w:t xml:space="preserve">made. So, if a customer </w:t>
      </w:r>
      <w:r w:rsidR="00907402" w:rsidRPr="005B43A5">
        <w:rPr>
          <w:rFonts w:ascii="Arial" w:hAnsi="Arial" w:cs="Arial"/>
          <w:i/>
          <w:iCs/>
          <w:sz w:val="20"/>
          <w:szCs w:val="20"/>
          <w:lang w:val="en-US"/>
        </w:rPr>
        <w:t xml:space="preserve">deposits </w:t>
      </w:r>
      <w:r w:rsidR="00114BE7" w:rsidRPr="005B43A5">
        <w:rPr>
          <w:rFonts w:ascii="Arial" w:hAnsi="Arial" w:cs="Arial"/>
          <w:i/>
          <w:iCs/>
          <w:sz w:val="20"/>
          <w:szCs w:val="20"/>
          <w:lang w:val="en-US"/>
        </w:rPr>
        <w:t>bank notes</w:t>
      </w:r>
      <w:r w:rsidR="00C9135F" w:rsidRPr="005B43A5">
        <w:rPr>
          <w:rFonts w:ascii="Arial" w:hAnsi="Arial" w:cs="Arial"/>
          <w:i/>
          <w:iCs/>
          <w:sz w:val="20"/>
          <w:szCs w:val="20"/>
          <w:lang w:val="en-US"/>
        </w:rPr>
        <w:t xml:space="preserve"> into its account the </w:t>
      </w:r>
      <w:r w:rsidR="00BA5CCB" w:rsidRPr="005B43A5">
        <w:rPr>
          <w:rFonts w:ascii="Arial" w:hAnsi="Arial" w:cs="Arial"/>
          <w:i/>
          <w:iCs/>
          <w:sz w:val="20"/>
          <w:szCs w:val="20"/>
          <w:lang w:val="en-US"/>
        </w:rPr>
        <w:t xml:space="preserve">bank would </w:t>
      </w:r>
      <w:r w:rsidR="00CA0FE8" w:rsidRPr="005B43A5">
        <w:rPr>
          <w:rFonts w:ascii="Arial" w:hAnsi="Arial" w:cs="Arial"/>
          <w:i/>
          <w:iCs/>
          <w:sz w:val="20"/>
          <w:szCs w:val="20"/>
          <w:lang w:val="en-US"/>
        </w:rPr>
        <w:t>similarly pass</w:t>
      </w:r>
      <w:r w:rsidR="00C13DA7" w:rsidRPr="005B43A5">
        <w:rPr>
          <w:rFonts w:ascii="Arial" w:hAnsi="Arial" w:cs="Arial"/>
          <w:i/>
          <w:iCs/>
          <w:sz w:val="20"/>
          <w:szCs w:val="20"/>
          <w:lang w:val="en-US"/>
        </w:rPr>
        <w:t xml:space="preserve"> a credit </w:t>
      </w:r>
      <w:r w:rsidR="00EB28AA" w:rsidRPr="005B43A5">
        <w:rPr>
          <w:rFonts w:ascii="Arial" w:hAnsi="Arial" w:cs="Arial"/>
          <w:i/>
          <w:iCs/>
          <w:sz w:val="20"/>
          <w:szCs w:val="20"/>
          <w:lang w:val="en-US"/>
        </w:rPr>
        <w:t>entry in respect thereof</w:t>
      </w:r>
      <w:r w:rsidR="007253E1" w:rsidRPr="005B43A5">
        <w:rPr>
          <w:rFonts w:ascii="Arial" w:hAnsi="Arial" w:cs="Arial"/>
          <w:i/>
          <w:iCs/>
          <w:sz w:val="20"/>
          <w:szCs w:val="20"/>
          <w:lang w:val="en-US"/>
        </w:rPr>
        <w:t xml:space="preserve">. If it subsequently transpires that </w:t>
      </w:r>
      <w:r w:rsidR="00222A23" w:rsidRPr="005B43A5">
        <w:rPr>
          <w:rFonts w:ascii="Arial" w:hAnsi="Arial" w:cs="Arial"/>
          <w:i/>
          <w:iCs/>
          <w:sz w:val="20"/>
          <w:szCs w:val="20"/>
          <w:lang w:val="en-US"/>
        </w:rPr>
        <w:t>the bank notes were forger</w:t>
      </w:r>
      <w:r w:rsidR="00274341" w:rsidRPr="005B43A5">
        <w:rPr>
          <w:rFonts w:ascii="Arial" w:hAnsi="Arial" w:cs="Arial"/>
          <w:i/>
          <w:iCs/>
          <w:sz w:val="20"/>
          <w:szCs w:val="20"/>
          <w:lang w:val="en-US"/>
        </w:rPr>
        <w:t>ies, it can again not</w:t>
      </w:r>
      <w:r w:rsidR="000C5609" w:rsidRPr="005B43A5">
        <w:rPr>
          <w:rFonts w:ascii="Arial" w:hAnsi="Arial" w:cs="Arial"/>
          <w:i/>
          <w:iCs/>
          <w:sz w:val="20"/>
          <w:szCs w:val="20"/>
          <w:lang w:val="en-US"/>
        </w:rPr>
        <w:t xml:space="preserve"> be successfully </w:t>
      </w:r>
      <w:r w:rsidR="00DA49B2" w:rsidRPr="005B43A5">
        <w:rPr>
          <w:rFonts w:ascii="Arial" w:hAnsi="Arial" w:cs="Arial"/>
          <w:i/>
          <w:iCs/>
          <w:sz w:val="20"/>
          <w:szCs w:val="20"/>
          <w:lang w:val="en-US"/>
        </w:rPr>
        <w:t xml:space="preserve">contended that the bank would be precluded </w:t>
      </w:r>
      <w:r w:rsidR="003047CD" w:rsidRPr="005B43A5">
        <w:rPr>
          <w:rFonts w:ascii="Arial" w:hAnsi="Arial" w:cs="Arial"/>
          <w:i/>
          <w:iCs/>
          <w:sz w:val="20"/>
          <w:szCs w:val="20"/>
          <w:lang w:val="en-US"/>
        </w:rPr>
        <w:t>from reversing the credit entr</w:t>
      </w:r>
      <w:r w:rsidR="00421AAE" w:rsidRPr="005B43A5">
        <w:rPr>
          <w:rFonts w:ascii="Arial" w:hAnsi="Arial" w:cs="Arial"/>
          <w:i/>
          <w:iCs/>
          <w:sz w:val="20"/>
          <w:szCs w:val="20"/>
          <w:lang w:val="en-US"/>
        </w:rPr>
        <w:t>y</w:t>
      </w:r>
      <w:r w:rsidR="00F52C3C" w:rsidRPr="005B43A5">
        <w:rPr>
          <w:rFonts w:ascii="Arial" w:hAnsi="Arial" w:cs="Arial"/>
          <w:i/>
          <w:iCs/>
          <w:sz w:val="20"/>
          <w:szCs w:val="20"/>
          <w:lang w:val="en-US"/>
        </w:rPr>
        <w:t>.</w:t>
      </w:r>
      <w:r w:rsidR="00393294" w:rsidRPr="005B43A5">
        <w:rPr>
          <w:rFonts w:ascii="Arial" w:hAnsi="Arial" w:cs="Arial"/>
          <w:i/>
          <w:iCs/>
          <w:sz w:val="20"/>
          <w:szCs w:val="20"/>
          <w:lang w:val="en-US"/>
        </w:rPr>
        <w:t xml:space="preserve"> </w:t>
      </w:r>
      <w:r w:rsidR="00BA1CD6" w:rsidRPr="005B43A5">
        <w:rPr>
          <w:rFonts w:ascii="Arial" w:hAnsi="Arial" w:cs="Arial"/>
          <w:i/>
          <w:iCs/>
          <w:sz w:val="20"/>
          <w:szCs w:val="20"/>
          <w:lang w:val="en-US"/>
        </w:rPr>
        <w:t xml:space="preserve"> </w:t>
      </w:r>
      <w:r w:rsidR="00065194" w:rsidRPr="005B43A5">
        <w:rPr>
          <w:rFonts w:ascii="Arial" w:hAnsi="Arial" w:cs="Arial"/>
          <w:i/>
          <w:iCs/>
          <w:sz w:val="20"/>
          <w:szCs w:val="20"/>
          <w:lang w:val="en-US"/>
        </w:rPr>
        <w:t xml:space="preserve"> </w:t>
      </w:r>
      <w:r w:rsidR="00AD740D" w:rsidRPr="005B43A5">
        <w:rPr>
          <w:rFonts w:ascii="Arial" w:hAnsi="Arial" w:cs="Arial"/>
          <w:i/>
          <w:iCs/>
          <w:sz w:val="20"/>
          <w:szCs w:val="20"/>
          <w:lang w:val="en-US"/>
        </w:rPr>
        <w:t xml:space="preserve"> </w:t>
      </w:r>
    </w:p>
    <w:p w14:paraId="6A15C64A" w14:textId="77777777" w:rsidR="0070241F" w:rsidRDefault="0070241F" w:rsidP="005C6CEE">
      <w:pPr>
        <w:spacing w:line="240" w:lineRule="auto"/>
        <w:ind w:left="1440"/>
        <w:jc w:val="both"/>
        <w:rPr>
          <w:rFonts w:ascii="Arial" w:hAnsi="Arial" w:cs="Arial"/>
          <w:i/>
          <w:iCs/>
          <w:sz w:val="20"/>
          <w:szCs w:val="20"/>
          <w:lang w:val="en-US"/>
        </w:rPr>
      </w:pPr>
    </w:p>
    <w:p w14:paraId="0BD9555F" w14:textId="704D173D" w:rsidR="005C6CEE" w:rsidRPr="00CE3404" w:rsidRDefault="005C6CEE" w:rsidP="005A7148">
      <w:pPr>
        <w:spacing w:line="480" w:lineRule="auto"/>
        <w:ind w:left="720" w:hanging="720"/>
        <w:jc w:val="both"/>
        <w:rPr>
          <w:rFonts w:ascii="Arial" w:hAnsi="Arial" w:cs="Arial"/>
          <w:color w:val="000000" w:themeColor="text1"/>
          <w:sz w:val="24"/>
          <w:szCs w:val="24"/>
          <w:lang w:val="en-US"/>
        </w:rPr>
      </w:pPr>
      <w:r w:rsidRPr="005C6CEE">
        <w:rPr>
          <w:rFonts w:ascii="Arial" w:hAnsi="Arial" w:cs="Arial"/>
          <w:sz w:val="24"/>
          <w:szCs w:val="24"/>
          <w:lang w:val="en-US"/>
        </w:rPr>
        <w:t>[</w:t>
      </w:r>
      <w:r w:rsidR="00BF3A5F">
        <w:rPr>
          <w:rFonts w:ascii="Arial" w:hAnsi="Arial" w:cs="Arial"/>
          <w:sz w:val="24"/>
          <w:szCs w:val="24"/>
          <w:lang w:val="en-US"/>
        </w:rPr>
        <w:t>70</w:t>
      </w:r>
      <w:r w:rsidRPr="005C6CEE">
        <w:rPr>
          <w:rFonts w:ascii="Arial" w:hAnsi="Arial" w:cs="Arial"/>
          <w:sz w:val="24"/>
          <w:szCs w:val="24"/>
          <w:lang w:val="en-US"/>
        </w:rPr>
        <w:t>]</w:t>
      </w:r>
      <w:r>
        <w:rPr>
          <w:rFonts w:ascii="Arial" w:hAnsi="Arial" w:cs="Arial"/>
          <w:sz w:val="24"/>
          <w:szCs w:val="24"/>
          <w:lang w:val="en-US"/>
        </w:rPr>
        <w:t xml:space="preserve"> </w:t>
      </w:r>
      <w:r w:rsidR="001C0F1E">
        <w:rPr>
          <w:rFonts w:ascii="Arial" w:hAnsi="Arial" w:cs="Arial"/>
          <w:sz w:val="24"/>
          <w:szCs w:val="24"/>
          <w:lang w:val="en-US"/>
        </w:rPr>
        <w:tab/>
      </w:r>
      <w:r w:rsidR="00ED3805">
        <w:rPr>
          <w:rFonts w:ascii="Arial" w:hAnsi="Arial" w:cs="Arial"/>
          <w:sz w:val="24"/>
          <w:szCs w:val="24"/>
          <w:lang w:val="en-US"/>
        </w:rPr>
        <w:t>For all the reasons given above</w:t>
      </w:r>
      <w:r w:rsidR="005A7148">
        <w:rPr>
          <w:rFonts w:ascii="Arial" w:hAnsi="Arial" w:cs="Arial"/>
          <w:sz w:val="24"/>
          <w:szCs w:val="24"/>
          <w:lang w:val="en-US"/>
        </w:rPr>
        <w:t xml:space="preserve">, </w:t>
      </w:r>
      <w:r>
        <w:rPr>
          <w:rFonts w:ascii="Arial" w:hAnsi="Arial" w:cs="Arial"/>
          <w:sz w:val="24"/>
          <w:szCs w:val="24"/>
          <w:lang w:val="en-US"/>
        </w:rPr>
        <w:t xml:space="preserve">I am satisfied that the </w:t>
      </w:r>
      <w:r w:rsidR="00D11239">
        <w:rPr>
          <w:rFonts w:ascii="Arial" w:hAnsi="Arial" w:cs="Arial"/>
          <w:sz w:val="24"/>
          <w:szCs w:val="24"/>
          <w:lang w:val="en-US"/>
        </w:rPr>
        <w:t>defenses</w:t>
      </w:r>
      <w:r>
        <w:rPr>
          <w:rFonts w:ascii="Arial" w:hAnsi="Arial" w:cs="Arial"/>
          <w:sz w:val="24"/>
          <w:szCs w:val="24"/>
          <w:lang w:val="en-US"/>
        </w:rPr>
        <w:t xml:space="preserve"> that have been raised by the defendant are </w:t>
      </w:r>
      <w:r w:rsidR="005A7148" w:rsidRPr="001C0F1E">
        <w:rPr>
          <w:rFonts w:ascii="Arial" w:hAnsi="Arial" w:cs="Arial"/>
          <w:i/>
          <w:iCs/>
          <w:sz w:val="24"/>
          <w:szCs w:val="24"/>
          <w:lang w:val="en-US"/>
        </w:rPr>
        <w:t>bona fide</w:t>
      </w:r>
      <w:r w:rsidR="005A7148">
        <w:rPr>
          <w:rFonts w:ascii="Arial" w:hAnsi="Arial" w:cs="Arial"/>
          <w:sz w:val="24"/>
          <w:szCs w:val="24"/>
          <w:lang w:val="en-US"/>
        </w:rPr>
        <w:t xml:space="preserve"> </w:t>
      </w:r>
      <w:r>
        <w:rPr>
          <w:rFonts w:ascii="Arial" w:hAnsi="Arial" w:cs="Arial"/>
          <w:sz w:val="24"/>
          <w:szCs w:val="24"/>
          <w:lang w:val="en-US"/>
        </w:rPr>
        <w:t>and do raise triable issues</w:t>
      </w:r>
      <w:r w:rsidR="0070241F">
        <w:rPr>
          <w:rFonts w:ascii="Arial" w:hAnsi="Arial" w:cs="Arial"/>
          <w:sz w:val="24"/>
          <w:szCs w:val="24"/>
          <w:lang w:val="en-US"/>
        </w:rPr>
        <w:t xml:space="preserve"> that warrant ventilation before a trial court. It follows that summary judgment should be </w:t>
      </w:r>
      <w:r w:rsidR="0070241F">
        <w:rPr>
          <w:rFonts w:ascii="Arial" w:hAnsi="Arial" w:cs="Arial"/>
          <w:sz w:val="24"/>
          <w:szCs w:val="24"/>
          <w:lang w:val="en-US"/>
        </w:rPr>
        <w:lastRenderedPageBreak/>
        <w:t xml:space="preserve">refused. </w:t>
      </w:r>
      <w:r w:rsidR="0070241F" w:rsidRPr="00CE3404">
        <w:rPr>
          <w:rFonts w:ascii="Arial" w:hAnsi="Arial" w:cs="Arial"/>
          <w:color w:val="000000" w:themeColor="text1"/>
          <w:sz w:val="24"/>
          <w:szCs w:val="24"/>
          <w:lang w:val="en-US"/>
        </w:rPr>
        <w:t xml:space="preserve">On the issue of costs </w:t>
      </w:r>
      <w:r w:rsidR="005A7148" w:rsidRPr="00CE3404">
        <w:rPr>
          <w:rFonts w:ascii="Arial" w:hAnsi="Arial" w:cs="Arial"/>
          <w:color w:val="000000" w:themeColor="text1"/>
          <w:sz w:val="24"/>
          <w:szCs w:val="24"/>
          <w:lang w:val="en-US"/>
        </w:rPr>
        <w:t xml:space="preserve">I am of the view that costs should </w:t>
      </w:r>
      <w:r w:rsidR="00386790">
        <w:rPr>
          <w:rFonts w:ascii="Arial" w:hAnsi="Arial" w:cs="Arial"/>
          <w:color w:val="000000" w:themeColor="text1"/>
          <w:sz w:val="24"/>
          <w:szCs w:val="24"/>
          <w:lang w:val="en-US"/>
        </w:rPr>
        <w:t xml:space="preserve">follow the result. </w:t>
      </w:r>
    </w:p>
    <w:p w14:paraId="69B33D80" w14:textId="251F9252" w:rsidR="00346FCD" w:rsidRPr="007153DC" w:rsidRDefault="00346FCD" w:rsidP="00346FCD">
      <w:pPr>
        <w:spacing w:line="480" w:lineRule="auto"/>
        <w:ind w:left="720" w:hanging="720"/>
        <w:jc w:val="both"/>
        <w:rPr>
          <w:rFonts w:ascii="Arial" w:hAnsi="Arial" w:cs="Arial"/>
          <w:b/>
          <w:bCs/>
          <w:sz w:val="24"/>
          <w:szCs w:val="24"/>
          <w:lang w:val="en-US"/>
        </w:rPr>
      </w:pPr>
      <w:r>
        <w:rPr>
          <w:rFonts w:ascii="Arial" w:hAnsi="Arial" w:cs="Arial"/>
          <w:sz w:val="24"/>
          <w:szCs w:val="24"/>
          <w:lang w:val="en-US"/>
        </w:rPr>
        <w:t>[</w:t>
      </w:r>
      <w:r w:rsidR="00F52C3C">
        <w:rPr>
          <w:rFonts w:ascii="Arial" w:hAnsi="Arial" w:cs="Arial"/>
          <w:sz w:val="24"/>
          <w:szCs w:val="24"/>
          <w:lang w:val="en-US"/>
        </w:rPr>
        <w:t>7</w:t>
      </w:r>
      <w:r w:rsidR="00E57180">
        <w:rPr>
          <w:rFonts w:ascii="Arial" w:hAnsi="Arial" w:cs="Arial"/>
          <w:sz w:val="24"/>
          <w:szCs w:val="24"/>
          <w:lang w:val="en-US"/>
        </w:rPr>
        <w:t>1</w:t>
      </w:r>
      <w:r>
        <w:rPr>
          <w:rFonts w:ascii="Arial" w:hAnsi="Arial" w:cs="Arial"/>
          <w:sz w:val="24"/>
          <w:szCs w:val="24"/>
          <w:lang w:val="en-US"/>
        </w:rPr>
        <w:t>]</w:t>
      </w:r>
      <w:r>
        <w:rPr>
          <w:rFonts w:ascii="Arial" w:hAnsi="Arial" w:cs="Arial"/>
          <w:sz w:val="24"/>
          <w:szCs w:val="24"/>
          <w:lang w:val="en-US"/>
        </w:rPr>
        <w:tab/>
      </w:r>
      <w:r w:rsidRPr="007153DC">
        <w:rPr>
          <w:rFonts w:ascii="Arial" w:hAnsi="Arial" w:cs="Arial"/>
          <w:b/>
          <w:bCs/>
          <w:sz w:val="24"/>
          <w:szCs w:val="24"/>
          <w:lang w:val="en-US"/>
        </w:rPr>
        <w:t>I accordingly make the following Order:</w:t>
      </w:r>
    </w:p>
    <w:p w14:paraId="1C4B4679" w14:textId="77777777" w:rsidR="00346FCD" w:rsidRPr="007153DC" w:rsidRDefault="00346FCD" w:rsidP="00346FCD">
      <w:pPr>
        <w:spacing w:line="480" w:lineRule="auto"/>
        <w:ind w:left="720" w:hanging="720"/>
        <w:jc w:val="both"/>
        <w:rPr>
          <w:rFonts w:ascii="Arial" w:hAnsi="Arial" w:cs="Arial"/>
          <w:b/>
          <w:bCs/>
          <w:sz w:val="24"/>
          <w:szCs w:val="24"/>
          <w:lang w:val="en-US"/>
        </w:rPr>
      </w:pPr>
      <w:r w:rsidRPr="007153DC">
        <w:rPr>
          <w:rFonts w:ascii="Arial" w:hAnsi="Arial" w:cs="Arial"/>
          <w:b/>
          <w:bCs/>
          <w:sz w:val="24"/>
          <w:szCs w:val="24"/>
          <w:lang w:val="en-US"/>
        </w:rPr>
        <w:tab/>
        <w:t>1.</w:t>
      </w:r>
      <w:r w:rsidRPr="007153DC">
        <w:rPr>
          <w:rFonts w:ascii="Arial" w:hAnsi="Arial" w:cs="Arial"/>
          <w:b/>
          <w:bCs/>
          <w:sz w:val="24"/>
          <w:szCs w:val="24"/>
          <w:lang w:val="en-US"/>
        </w:rPr>
        <w:tab/>
        <w:t>Summary judgment is refused.</w:t>
      </w:r>
    </w:p>
    <w:p w14:paraId="0EDB4F46" w14:textId="77777777" w:rsidR="00346FCD" w:rsidRPr="007153DC" w:rsidRDefault="00346FCD" w:rsidP="00346FCD">
      <w:pPr>
        <w:spacing w:line="480" w:lineRule="auto"/>
        <w:ind w:left="720" w:hanging="720"/>
        <w:jc w:val="both"/>
        <w:rPr>
          <w:rFonts w:ascii="Arial" w:hAnsi="Arial" w:cs="Arial"/>
          <w:b/>
          <w:bCs/>
          <w:sz w:val="24"/>
          <w:szCs w:val="24"/>
          <w:lang w:val="en-US"/>
        </w:rPr>
      </w:pPr>
      <w:r w:rsidRPr="007153DC">
        <w:rPr>
          <w:rFonts w:ascii="Arial" w:hAnsi="Arial" w:cs="Arial"/>
          <w:b/>
          <w:bCs/>
          <w:sz w:val="24"/>
          <w:szCs w:val="24"/>
          <w:lang w:val="en-US"/>
        </w:rPr>
        <w:tab/>
        <w:t>2.</w:t>
      </w:r>
      <w:r w:rsidRPr="007153DC">
        <w:rPr>
          <w:rFonts w:ascii="Arial" w:hAnsi="Arial" w:cs="Arial"/>
          <w:b/>
          <w:bCs/>
          <w:sz w:val="24"/>
          <w:szCs w:val="24"/>
          <w:lang w:val="en-US"/>
        </w:rPr>
        <w:tab/>
        <w:t>Defendant is granted leave to defend the action.</w:t>
      </w:r>
    </w:p>
    <w:p w14:paraId="10F26C54" w14:textId="77777777" w:rsidR="00E57180" w:rsidRDefault="00346FCD" w:rsidP="00232AA8">
      <w:pPr>
        <w:spacing w:line="480" w:lineRule="auto"/>
        <w:ind w:left="720" w:hanging="720"/>
        <w:jc w:val="both"/>
        <w:rPr>
          <w:rFonts w:ascii="Arial" w:hAnsi="Arial" w:cs="Arial"/>
          <w:sz w:val="24"/>
          <w:szCs w:val="24"/>
          <w:lang w:val="en-US"/>
        </w:rPr>
      </w:pPr>
      <w:r w:rsidRPr="007153DC">
        <w:rPr>
          <w:rFonts w:ascii="Arial" w:hAnsi="Arial" w:cs="Arial"/>
          <w:b/>
          <w:bCs/>
          <w:sz w:val="24"/>
          <w:szCs w:val="24"/>
          <w:lang w:val="en-US"/>
        </w:rPr>
        <w:tab/>
        <w:t>3.</w:t>
      </w:r>
      <w:r w:rsidRPr="007153DC">
        <w:rPr>
          <w:rFonts w:ascii="Arial" w:hAnsi="Arial" w:cs="Arial"/>
          <w:b/>
          <w:bCs/>
          <w:sz w:val="24"/>
          <w:szCs w:val="24"/>
          <w:lang w:val="en-US"/>
        </w:rPr>
        <w:tab/>
      </w:r>
      <w:r w:rsidR="00386790">
        <w:rPr>
          <w:rFonts w:ascii="Arial" w:hAnsi="Arial" w:cs="Arial"/>
          <w:b/>
          <w:bCs/>
          <w:sz w:val="24"/>
          <w:szCs w:val="24"/>
          <w:lang w:val="en-US"/>
        </w:rPr>
        <w:t xml:space="preserve">Plaintiff is ordered to pay costs of the summary judgment </w:t>
      </w:r>
      <w:r w:rsidR="00386790">
        <w:rPr>
          <w:rFonts w:ascii="Arial" w:hAnsi="Arial" w:cs="Arial"/>
          <w:b/>
          <w:bCs/>
          <w:sz w:val="24"/>
          <w:szCs w:val="24"/>
          <w:lang w:val="en-US"/>
        </w:rPr>
        <w:tab/>
        <w:t xml:space="preserve">application. </w:t>
      </w:r>
      <w:r>
        <w:rPr>
          <w:rFonts w:ascii="Arial" w:hAnsi="Arial" w:cs="Arial"/>
          <w:sz w:val="24"/>
          <w:szCs w:val="24"/>
          <w:lang w:val="en-US"/>
        </w:rPr>
        <w:t xml:space="preserve">  </w:t>
      </w:r>
    </w:p>
    <w:p w14:paraId="3EBAC4CE" w14:textId="473D2CF4" w:rsidR="00346FCD" w:rsidRDefault="00346FCD" w:rsidP="00232AA8">
      <w:pPr>
        <w:spacing w:line="480" w:lineRule="auto"/>
        <w:ind w:left="720" w:hanging="720"/>
        <w:jc w:val="both"/>
        <w:rPr>
          <w:rFonts w:ascii="Arial" w:hAnsi="Arial" w:cs="Arial"/>
          <w:sz w:val="24"/>
          <w:szCs w:val="24"/>
          <w:lang w:val="en-US"/>
        </w:rPr>
      </w:pPr>
      <w:r>
        <w:rPr>
          <w:rFonts w:ascii="Arial" w:hAnsi="Arial" w:cs="Arial"/>
          <w:sz w:val="24"/>
          <w:szCs w:val="24"/>
          <w:lang w:val="en-US"/>
        </w:rPr>
        <w:tab/>
        <w:t xml:space="preserve">  </w:t>
      </w:r>
    </w:p>
    <w:p w14:paraId="1E1CF1C6" w14:textId="77777777" w:rsidR="00346FCD" w:rsidRDefault="00346FCD" w:rsidP="00346FCD">
      <w:pPr>
        <w:spacing w:line="276" w:lineRule="auto"/>
        <w:jc w:val="both"/>
        <w:rPr>
          <w:rFonts w:ascii="Arial" w:hAnsi="Arial" w:cs="Arial"/>
          <w:b/>
          <w:bCs/>
          <w:sz w:val="24"/>
          <w:szCs w:val="24"/>
          <w:lang w:val="en-US"/>
        </w:rPr>
      </w:pPr>
      <w:r>
        <w:rPr>
          <w:rFonts w:ascii="Arial" w:hAnsi="Arial" w:cs="Arial"/>
          <w:b/>
          <w:bCs/>
          <w:sz w:val="24"/>
          <w:szCs w:val="24"/>
          <w:lang w:val="en-US"/>
        </w:rPr>
        <w:t>___________________________</w:t>
      </w:r>
    </w:p>
    <w:p w14:paraId="5773F1B9" w14:textId="77777777" w:rsidR="00346FCD" w:rsidRDefault="00346FCD" w:rsidP="00346FCD">
      <w:pPr>
        <w:spacing w:line="276" w:lineRule="auto"/>
        <w:jc w:val="both"/>
        <w:rPr>
          <w:rFonts w:ascii="Arial" w:hAnsi="Arial" w:cs="Arial"/>
          <w:b/>
          <w:bCs/>
          <w:sz w:val="24"/>
          <w:szCs w:val="24"/>
          <w:lang w:val="en-US"/>
        </w:rPr>
      </w:pPr>
      <w:r>
        <w:rPr>
          <w:rFonts w:ascii="Arial" w:hAnsi="Arial" w:cs="Arial"/>
          <w:b/>
          <w:bCs/>
          <w:sz w:val="24"/>
          <w:szCs w:val="24"/>
          <w:lang w:val="en-US"/>
        </w:rPr>
        <w:t>T.V NORMAN</w:t>
      </w:r>
    </w:p>
    <w:p w14:paraId="160D3A46" w14:textId="77777777" w:rsidR="00346FCD" w:rsidRDefault="00346FCD" w:rsidP="00346FCD">
      <w:pPr>
        <w:spacing w:line="276" w:lineRule="auto"/>
        <w:jc w:val="both"/>
        <w:rPr>
          <w:rFonts w:ascii="Arial" w:hAnsi="Arial" w:cs="Arial"/>
          <w:b/>
          <w:bCs/>
          <w:sz w:val="24"/>
          <w:szCs w:val="24"/>
          <w:lang w:val="en-US"/>
        </w:rPr>
      </w:pPr>
      <w:r>
        <w:rPr>
          <w:rFonts w:ascii="Arial" w:hAnsi="Arial" w:cs="Arial"/>
          <w:b/>
          <w:bCs/>
          <w:sz w:val="24"/>
          <w:szCs w:val="24"/>
          <w:lang w:val="en-US"/>
        </w:rPr>
        <w:t>JUDGE OF THE HIGH COURT</w:t>
      </w:r>
    </w:p>
    <w:p w14:paraId="04F535B9" w14:textId="77777777" w:rsidR="00346FCD" w:rsidRDefault="00346FCD" w:rsidP="00346FCD">
      <w:pPr>
        <w:spacing w:line="276" w:lineRule="auto"/>
        <w:jc w:val="both"/>
        <w:rPr>
          <w:rFonts w:ascii="Arial" w:hAnsi="Arial" w:cs="Arial"/>
          <w:b/>
          <w:bCs/>
          <w:sz w:val="24"/>
          <w:szCs w:val="24"/>
          <w:lang w:val="en-US"/>
        </w:rPr>
      </w:pPr>
    </w:p>
    <w:p w14:paraId="42B2229D" w14:textId="77777777" w:rsidR="00FB5F0A" w:rsidRDefault="00FB5F0A" w:rsidP="00346FCD">
      <w:pPr>
        <w:spacing w:line="276" w:lineRule="auto"/>
        <w:jc w:val="both"/>
        <w:rPr>
          <w:rFonts w:ascii="Arial" w:hAnsi="Arial" w:cs="Arial"/>
          <w:b/>
          <w:bCs/>
          <w:sz w:val="24"/>
          <w:szCs w:val="24"/>
          <w:lang w:val="en-US"/>
        </w:rPr>
      </w:pPr>
    </w:p>
    <w:p w14:paraId="1A01130E" w14:textId="77777777" w:rsidR="00FB5F0A" w:rsidRDefault="00FB5F0A" w:rsidP="00346FCD">
      <w:pPr>
        <w:spacing w:line="276" w:lineRule="auto"/>
        <w:jc w:val="both"/>
        <w:rPr>
          <w:rFonts w:ascii="Arial" w:hAnsi="Arial" w:cs="Arial"/>
          <w:b/>
          <w:bCs/>
          <w:sz w:val="24"/>
          <w:szCs w:val="24"/>
          <w:lang w:val="en-US"/>
        </w:rPr>
      </w:pPr>
    </w:p>
    <w:p w14:paraId="042532F0" w14:textId="77777777" w:rsidR="00FB5F0A" w:rsidRDefault="00FB5F0A" w:rsidP="00346FCD">
      <w:pPr>
        <w:spacing w:line="276" w:lineRule="auto"/>
        <w:jc w:val="both"/>
        <w:rPr>
          <w:rFonts w:ascii="Arial" w:hAnsi="Arial" w:cs="Arial"/>
          <w:b/>
          <w:bCs/>
          <w:sz w:val="24"/>
          <w:szCs w:val="24"/>
          <w:lang w:val="en-US"/>
        </w:rPr>
      </w:pPr>
    </w:p>
    <w:p w14:paraId="39C6D416" w14:textId="77777777" w:rsidR="00FB5F0A" w:rsidRDefault="00FB5F0A" w:rsidP="00346FCD">
      <w:pPr>
        <w:spacing w:line="276" w:lineRule="auto"/>
        <w:jc w:val="both"/>
        <w:rPr>
          <w:rFonts w:ascii="Arial" w:hAnsi="Arial" w:cs="Arial"/>
          <w:b/>
          <w:bCs/>
          <w:sz w:val="24"/>
          <w:szCs w:val="24"/>
          <w:lang w:val="en-US"/>
        </w:rPr>
      </w:pPr>
    </w:p>
    <w:p w14:paraId="2853EB9F" w14:textId="77777777" w:rsidR="00FB5F0A" w:rsidRDefault="00FB5F0A" w:rsidP="00346FCD">
      <w:pPr>
        <w:spacing w:line="276" w:lineRule="auto"/>
        <w:jc w:val="both"/>
        <w:rPr>
          <w:rFonts w:ascii="Arial" w:hAnsi="Arial" w:cs="Arial"/>
          <w:b/>
          <w:bCs/>
          <w:sz w:val="24"/>
          <w:szCs w:val="24"/>
          <w:lang w:val="en-US"/>
        </w:rPr>
      </w:pPr>
    </w:p>
    <w:p w14:paraId="5C2B45C1" w14:textId="77777777" w:rsidR="00FB5F0A" w:rsidRDefault="00FB5F0A" w:rsidP="00346FCD">
      <w:pPr>
        <w:spacing w:line="276" w:lineRule="auto"/>
        <w:jc w:val="both"/>
        <w:rPr>
          <w:rFonts w:ascii="Arial" w:hAnsi="Arial" w:cs="Arial"/>
          <w:b/>
          <w:bCs/>
          <w:sz w:val="24"/>
          <w:szCs w:val="24"/>
          <w:lang w:val="en-US"/>
        </w:rPr>
      </w:pPr>
    </w:p>
    <w:p w14:paraId="79F8C41E" w14:textId="77777777" w:rsidR="00FB5F0A" w:rsidRDefault="00FB5F0A" w:rsidP="00346FCD">
      <w:pPr>
        <w:spacing w:line="276" w:lineRule="auto"/>
        <w:jc w:val="both"/>
        <w:rPr>
          <w:rFonts w:ascii="Arial" w:hAnsi="Arial" w:cs="Arial"/>
          <w:b/>
          <w:bCs/>
          <w:sz w:val="24"/>
          <w:szCs w:val="24"/>
          <w:lang w:val="en-US"/>
        </w:rPr>
      </w:pPr>
    </w:p>
    <w:p w14:paraId="2FD37193" w14:textId="77777777" w:rsidR="00FB5F0A" w:rsidRDefault="00FB5F0A" w:rsidP="00346FCD">
      <w:pPr>
        <w:spacing w:line="276" w:lineRule="auto"/>
        <w:jc w:val="both"/>
        <w:rPr>
          <w:rFonts w:ascii="Arial" w:hAnsi="Arial" w:cs="Arial"/>
          <w:b/>
          <w:bCs/>
          <w:sz w:val="24"/>
          <w:szCs w:val="24"/>
          <w:lang w:val="en-US"/>
        </w:rPr>
      </w:pPr>
    </w:p>
    <w:p w14:paraId="170F1AF0" w14:textId="77777777" w:rsidR="00FB5F0A" w:rsidRDefault="00FB5F0A" w:rsidP="00346FCD">
      <w:pPr>
        <w:spacing w:line="276" w:lineRule="auto"/>
        <w:jc w:val="both"/>
        <w:rPr>
          <w:rFonts w:ascii="Arial" w:hAnsi="Arial" w:cs="Arial"/>
          <w:b/>
          <w:bCs/>
          <w:sz w:val="24"/>
          <w:szCs w:val="24"/>
          <w:lang w:val="en-US"/>
        </w:rPr>
      </w:pPr>
    </w:p>
    <w:p w14:paraId="5B1DA2F0" w14:textId="77777777" w:rsidR="00FB5F0A" w:rsidRDefault="00FB5F0A" w:rsidP="00346FCD">
      <w:pPr>
        <w:spacing w:line="276" w:lineRule="auto"/>
        <w:jc w:val="both"/>
        <w:rPr>
          <w:rFonts w:ascii="Arial" w:hAnsi="Arial" w:cs="Arial"/>
          <w:b/>
          <w:bCs/>
          <w:sz w:val="24"/>
          <w:szCs w:val="24"/>
          <w:lang w:val="en-US"/>
        </w:rPr>
      </w:pPr>
    </w:p>
    <w:p w14:paraId="06D5B8E1" w14:textId="77777777" w:rsidR="00FB5F0A" w:rsidRDefault="00FB5F0A" w:rsidP="00346FCD">
      <w:pPr>
        <w:spacing w:line="276" w:lineRule="auto"/>
        <w:jc w:val="both"/>
        <w:rPr>
          <w:rFonts w:ascii="Arial" w:hAnsi="Arial" w:cs="Arial"/>
          <w:b/>
          <w:bCs/>
          <w:sz w:val="24"/>
          <w:szCs w:val="24"/>
          <w:lang w:val="en-US"/>
        </w:rPr>
      </w:pPr>
    </w:p>
    <w:p w14:paraId="4C5713B7" w14:textId="77777777" w:rsidR="00FB5F0A" w:rsidRDefault="00FB5F0A" w:rsidP="00346FCD">
      <w:pPr>
        <w:spacing w:line="276" w:lineRule="auto"/>
        <w:jc w:val="both"/>
        <w:rPr>
          <w:rFonts w:ascii="Arial" w:hAnsi="Arial" w:cs="Arial"/>
          <w:b/>
          <w:bCs/>
          <w:sz w:val="24"/>
          <w:szCs w:val="24"/>
          <w:lang w:val="en-US"/>
        </w:rPr>
      </w:pPr>
    </w:p>
    <w:p w14:paraId="5894DF32" w14:textId="77777777" w:rsidR="00FB5F0A" w:rsidRDefault="00FB5F0A" w:rsidP="00346FCD">
      <w:pPr>
        <w:spacing w:line="276" w:lineRule="auto"/>
        <w:jc w:val="both"/>
        <w:rPr>
          <w:rFonts w:ascii="Arial" w:hAnsi="Arial" w:cs="Arial"/>
          <w:b/>
          <w:bCs/>
          <w:sz w:val="24"/>
          <w:szCs w:val="24"/>
          <w:lang w:val="en-US"/>
        </w:rPr>
      </w:pPr>
    </w:p>
    <w:p w14:paraId="4C7A2D5F" w14:textId="77777777" w:rsidR="00FB5F0A" w:rsidRDefault="00FB5F0A" w:rsidP="00346FCD">
      <w:pPr>
        <w:spacing w:line="276" w:lineRule="auto"/>
        <w:jc w:val="both"/>
        <w:rPr>
          <w:rFonts w:ascii="Arial" w:hAnsi="Arial" w:cs="Arial"/>
          <w:b/>
          <w:bCs/>
          <w:sz w:val="24"/>
          <w:szCs w:val="24"/>
          <w:lang w:val="en-US"/>
        </w:rPr>
      </w:pPr>
    </w:p>
    <w:p w14:paraId="4CCE70AF" w14:textId="77777777" w:rsidR="00FB5F0A" w:rsidRDefault="00FB5F0A" w:rsidP="00346FCD">
      <w:pPr>
        <w:spacing w:line="276" w:lineRule="auto"/>
        <w:jc w:val="both"/>
        <w:rPr>
          <w:rFonts w:ascii="Arial" w:hAnsi="Arial" w:cs="Arial"/>
          <w:b/>
          <w:bCs/>
          <w:sz w:val="24"/>
          <w:szCs w:val="24"/>
          <w:lang w:val="en-US"/>
        </w:rPr>
      </w:pPr>
    </w:p>
    <w:p w14:paraId="0CA72285" w14:textId="77777777" w:rsidR="00FB5F0A" w:rsidRDefault="00FB5F0A" w:rsidP="00346FCD">
      <w:pPr>
        <w:spacing w:line="276" w:lineRule="auto"/>
        <w:jc w:val="both"/>
        <w:rPr>
          <w:rFonts w:ascii="Arial" w:hAnsi="Arial" w:cs="Arial"/>
          <w:b/>
          <w:bCs/>
          <w:sz w:val="24"/>
          <w:szCs w:val="24"/>
          <w:lang w:val="en-US"/>
        </w:rPr>
      </w:pPr>
    </w:p>
    <w:p w14:paraId="7E0BDA41" w14:textId="77777777" w:rsidR="00FB5F0A" w:rsidRDefault="00FB5F0A" w:rsidP="00346FCD">
      <w:pPr>
        <w:spacing w:line="276" w:lineRule="auto"/>
        <w:jc w:val="both"/>
        <w:rPr>
          <w:rFonts w:ascii="Arial" w:hAnsi="Arial" w:cs="Arial"/>
          <w:b/>
          <w:bCs/>
          <w:sz w:val="24"/>
          <w:szCs w:val="24"/>
          <w:lang w:val="en-US"/>
        </w:rPr>
      </w:pPr>
    </w:p>
    <w:p w14:paraId="4E1AB70C" w14:textId="08FC864F" w:rsidR="00346FCD" w:rsidRDefault="00346FCD" w:rsidP="00346FCD">
      <w:pPr>
        <w:spacing w:line="276" w:lineRule="auto"/>
        <w:jc w:val="both"/>
        <w:rPr>
          <w:rFonts w:ascii="Arial" w:hAnsi="Arial" w:cs="Arial"/>
          <w:b/>
          <w:bCs/>
          <w:sz w:val="24"/>
          <w:szCs w:val="24"/>
          <w:lang w:val="en-US"/>
        </w:rPr>
      </w:pPr>
      <w:r>
        <w:rPr>
          <w:rFonts w:ascii="Arial" w:hAnsi="Arial" w:cs="Arial"/>
          <w:b/>
          <w:bCs/>
          <w:sz w:val="24"/>
          <w:szCs w:val="24"/>
          <w:lang w:val="en-US"/>
        </w:rPr>
        <w:t xml:space="preserve">Matter Heard on </w:t>
      </w:r>
      <w:r>
        <w:rPr>
          <w:rFonts w:ascii="Arial" w:hAnsi="Arial" w:cs="Arial"/>
          <w:b/>
          <w:bCs/>
          <w:sz w:val="24"/>
          <w:szCs w:val="24"/>
          <w:lang w:val="en-US"/>
        </w:rPr>
        <w:tab/>
      </w:r>
      <w:r w:rsidR="009A1756">
        <w:rPr>
          <w:rFonts w:ascii="Arial" w:hAnsi="Arial" w:cs="Arial"/>
          <w:b/>
          <w:bCs/>
          <w:sz w:val="24"/>
          <w:szCs w:val="24"/>
          <w:lang w:val="en-US"/>
        </w:rPr>
        <w:tab/>
      </w:r>
      <w:r>
        <w:rPr>
          <w:rFonts w:ascii="Arial" w:hAnsi="Arial" w:cs="Arial"/>
          <w:b/>
          <w:bCs/>
          <w:sz w:val="24"/>
          <w:szCs w:val="24"/>
          <w:lang w:val="en-US"/>
        </w:rPr>
        <w:t xml:space="preserve">: </w:t>
      </w:r>
      <w:r w:rsidR="00CE3404">
        <w:rPr>
          <w:rFonts w:ascii="Arial" w:hAnsi="Arial" w:cs="Arial"/>
          <w:b/>
          <w:bCs/>
          <w:sz w:val="24"/>
          <w:szCs w:val="24"/>
          <w:lang w:val="en-US"/>
        </w:rPr>
        <w:t xml:space="preserve">          </w:t>
      </w:r>
      <w:r>
        <w:rPr>
          <w:rFonts w:ascii="Arial" w:hAnsi="Arial" w:cs="Arial"/>
          <w:b/>
          <w:bCs/>
          <w:sz w:val="24"/>
          <w:szCs w:val="24"/>
          <w:lang w:val="en-US"/>
        </w:rPr>
        <w:t>13 April 2023</w:t>
      </w:r>
    </w:p>
    <w:p w14:paraId="71ED3414" w14:textId="60E569CA" w:rsidR="00346FCD" w:rsidRDefault="00346FCD" w:rsidP="00346FCD">
      <w:pPr>
        <w:spacing w:line="276" w:lineRule="auto"/>
        <w:jc w:val="both"/>
        <w:rPr>
          <w:rFonts w:ascii="Arial" w:hAnsi="Arial" w:cs="Arial"/>
          <w:b/>
          <w:bCs/>
          <w:sz w:val="24"/>
          <w:szCs w:val="24"/>
          <w:lang w:val="en-US"/>
        </w:rPr>
      </w:pPr>
      <w:r>
        <w:rPr>
          <w:rFonts w:ascii="Arial" w:hAnsi="Arial" w:cs="Arial"/>
          <w:b/>
          <w:bCs/>
          <w:sz w:val="24"/>
          <w:szCs w:val="24"/>
          <w:lang w:val="en-US"/>
        </w:rPr>
        <w:t xml:space="preserve">Judgment Delivered </w:t>
      </w:r>
      <w:r w:rsidR="009A1756">
        <w:rPr>
          <w:rFonts w:ascii="Arial" w:hAnsi="Arial" w:cs="Arial"/>
          <w:b/>
          <w:bCs/>
          <w:sz w:val="24"/>
          <w:szCs w:val="24"/>
          <w:lang w:val="en-US"/>
        </w:rPr>
        <w:t>on</w:t>
      </w:r>
      <w:r w:rsidR="009A1756">
        <w:rPr>
          <w:rFonts w:ascii="Arial" w:hAnsi="Arial" w:cs="Arial"/>
          <w:b/>
          <w:bCs/>
          <w:sz w:val="24"/>
          <w:szCs w:val="24"/>
          <w:lang w:val="en-US"/>
        </w:rPr>
        <w:tab/>
        <w:t>:</w:t>
      </w:r>
      <w:r>
        <w:rPr>
          <w:rFonts w:ascii="Arial" w:hAnsi="Arial" w:cs="Arial"/>
          <w:b/>
          <w:bCs/>
          <w:sz w:val="24"/>
          <w:szCs w:val="24"/>
          <w:lang w:val="en-US"/>
        </w:rPr>
        <w:t xml:space="preserve"> </w:t>
      </w:r>
      <w:r>
        <w:rPr>
          <w:rFonts w:ascii="Arial" w:hAnsi="Arial" w:cs="Arial"/>
          <w:b/>
          <w:bCs/>
          <w:sz w:val="24"/>
          <w:szCs w:val="24"/>
          <w:lang w:val="en-US"/>
        </w:rPr>
        <w:tab/>
        <w:t xml:space="preserve">  </w:t>
      </w:r>
      <w:r w:rsidR="00BE5F81">
        <w:rPr>
          <w:rFonts w:ascii="Arial" w:hAnsi="Arial" w:cs="Arial"/>
          <w:b/>
          <w:bCs/>
          <w:sz w:val="24"/>
          <w:szCs w:val="24"/>
          <w:lang w:val="en-US"/>
        </w:rPr>
        <w:t>13</w:t>
      </w:r>
      <w:r w:rsidR="001C0F1E">
        <w:rPr>
          <w:rFonts w:ascii="Arial" w:hAnsi="Arial" w:cs="Arial"/>
          <w:b/>
          <w:bCs/>
          <w:sz w:val="24"/>
          <w:szCs w:val="24"/>
          <w:lang w:val="en-US"/>
        </w:rPr>
        <w:t xml:space="preserve">  </w:t>
      </w:r>
      <w:r>
        <w:rPr>
          <w:rFonts w:ascii="Arial" w:hAnsi="Arial" w:cs="Arial"/>
          <w:b/>
          <w:bCs/>
          <w:sz w:val="24"/>
          <w:szCs w:val="24"/>
          <w:lang w:val="en-US"/>
        </w:rPr>
        <w:t>June 2023</w:t>
      </w:r>
    </w:p>
    <w:p w14:paraId="33F3D29C" w14:textId="77777777" w:rsidR="00346FCD" w:rsidRDefault="00346FCD" w:rsidP="00346FCD">
      <w:pPr>
        <w:spacing w:line="276" w:lineRule="auto"/>
        <w:jc w:val="both"/>
        <w:rPr>
          <w:rFonts w:ascii="Arial" w:hAnsi="Arial" w:cs="Arial"/>
          <w:b/>
          <w:bCs/>
          <w:sz w:val="24"/>
          <w:szCs w:val="24"/>
          <w:lang w:val="en-US"/>
        </w:rPr>
      </w:pPr>
    </w:p>
    <w:p w14:paraId="51EC6C6F" w14:textId="225E6DAC" w:rsidR="00346FCD" w:rsidRDefault="00346FCD" w:rsidP="00346FCD">
      <w:pPr>
        <w:spacing w:line="276" w:lineRule="auto"/>
        <w:jc w:val="both"/>
        <w:rPr>
          <w:rFonts w:ascii="Arial" w:hAnsi="Arial" w:cs="Arial"/>
          <w:b/>
          <w:bCs/>
          <w:sz w:val="24"/>
          <w:szCs w:val="24"/>
          <w:lang w:val="en-US"/>
        </w:rPr>
      </w:pPr>
      <w:r>
        <w:rPr>
          <w:rFonts w:ascii="Arial" w:hAnsi="Arial" w:cs="Arial"/>
          <w:b/>
          <w:bCs/>
          <w:sz w:val="24"/>
          <w:szCs w:val="24"/>
          <w:lang w:val="en-US"/>
        </w:rPr>
        <w:t>APPEARANCES:</w:t>
      </w:r>
    </w:p>
    <w:p w14:paraId="7608C31A" w14:textId="5807F8EC" w:rsidR="00346FCD" w:rsidRDefault="00346FCD" w:rsidP="00346FCD">
      <w:pPr>
        <w:spacing w:line="276" w:lineRule="auto"/>
        <w:jc w:val="both"/>
        <w:rPr>
          <w:rFonts w:ascii="Arial" w:hAnsi="Arial" w:cs="Arial"/>
          <w:b/>
          <w:bCs/>
          <w:sz w:val="24"/>
          <w:szCs w:val="24"/>
          <w:lang w:val="en-US"/>
        </w:rPr>
      </w:pPr>
      <w:r>
        <w:rPr>
          <w:rFonts w:ascii="Arial" w:hAnsi="Arial" w:cs="Arial"/>
          <w:b/>
          <w:bCs/>
          <w:sz w:val="24"/>
          <w:szCs w:val="24"/>
          <w:lang w:val="en-US"/>
        </w:rPr>
        <w:t xml:space="preserve">FOR THE </w:t>
      </w:r>
      <w:r w:rsidR="00C44E91">
        <w:rPr>
          <w:rFonts w:ascii="Arial" w:hAnsi="Arial" w:cs="Arial"/>
          <w:b/>
          <w:bCs/>
          <w:sz w:val="24"/>
          <w:szCs w:val="24"/>
          <w:lang w:val="en-US"/>
        </w:rPr>
        <w:t>PLAINTIFF</w:t>
      </w:r>
      <w:r>
        <w:rPr>
          <w:rFonts w:ascii="Arial" w:hAnsi="Arial" w:cs="Arial"/>
          <w:b/>
          <w:bCs/>
          <w:sz w:val="24"/>
          <w:szCs w:val="24"/>
          <w:lang w:val="en-US"/>
        </w:rPr>
        <w:tab/>
        <w:t>:</w:t>
      </w:r>
      <w:r>
        <w:rPr>
          <w:rFonts w:ascii="Arial" w:hAnsi="Arial" w:cs="Arial"/>
          <w:b/>
          <w:bCs/>
          <w:sz w:val="24"/>
          <w:szCs w:val="24"/>
          <w:lang w:val="en-US"/>
        </w:rPr>
        <w:tab/>
        <w:t>ADV. J. PRETORIUS</w:t>
      </w:r>
    </w:p>
    <w:p w14:paraId="216BDBE7" w14:textId="41DFFC7E" w:rsidR="00DE6613" w:rsidRDefault="00346FCD" w:rsidP="00346FCD">
      <w:pPr>
        <w:spacing w:line="276" w:lineRule="auto"/>
        <w:jc w:val="both"/>
        <w:rPr>
          <w:rFonts w:ascii="Arial" w:hAnsi="Arial" w:cs="Arial"/>
          <w:b/>
          <w:bCs/>
          <w:sz w:val="24"/>
          <w:szCs w:val="24"/>
          <w:lang w:val="en-US"/>
        </w:rPr>
      </w:pPr>
      <w:r>
        <w:rPr>
          <w:rFonts w:ascii="Arial" w:hAnsi="Arial" w:cs="Arial"/>
          <w:b/>
          <w:bCs/>
          <w:sz w:val="24"/>
          <w:szCs w:val="24"/>
          <w:lang w:val="en-US"/>
        </w:rPr>
        <w:tab/>
        <w:t>Instructed by</w:t>
      </w:r>
      <w:r>
        <w:rPr>
          <w:rFonts w:ascii="Arial" w:hAnsi="Arial" w:cs="Arial"/>
          <w:b/>
          <w:bCs/>
          <w:sz w:val="24"/>
          <w:szCs w:val="24"/>
          <w:lang w:val="en-US"/>
        </w:rPr>
        <w:tab/>
        <w:t>:</w:t>
      </w:r>
      <w:r>
        <w:rPr>
          <w:rFonts w:ascii="Arial" w:hAnsi="Arial" w:cs="Arial"/>
          <w:b/>
          <w:bCs/>
          <w:sz w:val="24"/>
          <w:szCs w:val="24"/>
          <w:lang w:val="en-US"/>
        </w:rPr>
        <w:tab/>
        <w:t>FOURIE VAN PLETZEN INC.</w:t>
      </w:r>
    </w:p>
    <w:p w14:paraId="185D6207" w14:textId="77777777" w:rsidR="00346FCD" w:rsidRDefault="00346FCD" w:rsidP="00346FCD">
      <w:pPr>
        <w:spacing w:line="276" w:lineRule="auto"/>
        <w:jc w:val="bot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REF: F Van Pletzen/MAT6976</w:t>
      </w:r>
    </w:p>
    <w:p w14:paraId="518662DC" w14:textId="77777777" w:rsidR="00346FCD" w:rsidRDefault="00346FCD" w:rsidP="00346FCD">
      <w:pPr>
        <w:spacing w:line="276" w:lineRule="auto"/>
        <w:jc w:val="bot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TEL: 011 678 2950</w:t>
      </w:r>
    </w:p>
    <w:p w14:paraId="2B8B743B" w14:textId="77777777" w:rsidR="00346FCD" w:rsidRDefault="00346FCD" w:rsidP="00346FCD">
      <w:pPr>
        <w:spacing w:line="276" w:lineRule="auto"/>
        <w:jc w:val="bot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EMAIL: </w:t>
      </w:r>
      <w:hyperlink r:id="rId9" w:history="1">
        <w:r w:rsidRPr="00D67C01">
          <w:rPr>
            <w:rStyle w:val="Hyperlink"/>
            <w:rFonts w:ascii="Arial" w:hAnsi="Arial" w:cs="Arial"/>
            <w:b/>
            <w:bCs/>
            <w:sz w:val="24"/>
            <w:szCs w:val="24"/>
            <w:lang w:val="en-US"/>
          </w:rPr>
          <w:t>fourie@fvpinc.co.za</w:t>
        </w:r>
      </w:hyperlink>
      <w:r>
        <w:rPr>
          <w:rFonts w:ascii="Arial" w:hAnsi="Arial" w:cs="Arial"/>
          <w:b/>
          <w:bCs/>
          <w:sz w:val="24"/>
          <w:szCs w:val="24"/>
          <w:lang w:val="en-US"/>
        </w:rPr>
        <w:t xml:space="preserve"> </w:t>
      </w:r>
    </w:p>
    <w:p w14:paraId="1FF6BAE6" w14:textId="77777777" w:rsidR="00346FCD" w:rsidRDefault="00346FCD" w:rsidP="00346FCD">
      <w:pPr>
        <w:spacing w:line="276" w:lineRule="auto"/>
        <w:jc w:val="bot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c/o</w:t>
      </w:r>
      <w:r>
        <w:rPr>
          <w:rFonts w:ascii="Arial" w:hAnsi="Arial" w:cs="Arial"/>
          <w:b/>
          <w:bCs/>
          <w:sz w:val="24"/>
          <w:szCs w:val="24"/>
          <w:lang w:val="en-US"/>
        </w:rPr>
        <w:tab/>
        <w:t>:</w:t>
      </w:r>
      <w:r>
        <w:rPr>
          <w:rFonts w:ascii="Arial" w:hAnsi="Arial" w:cs="Arial"/>
          <w:b/>
          <w:bCs/>
          <w:sz w:val="24"/>
          <w:szCs w:val="24"/>
          <w:lang w:val="en-US"/>
        </w:rPr>
        <w:tab/>
        <w:t>GRAVETT SCHOEMAN INC.</w:t>
      </w:r>
    </w:p>
    <w:p w14:paraId="576CDDA0" w14:textId="77777777" w:rsidR="00346FCD" w:rsidRDefault="00346FCD" w:rsidP="00346FCD">
      <w:pPr>
        <w:spacing w:line="276" w:lineRule="auto"/>
        <w:jc w:val="bot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THE HUB, BONZA BAY ROAD</w:t>
      </w:r>
    </w:p>
    <w:p w14:paraId="067F1553" w14:textId="77777777" w:rsidR="00346FCD" w:rsidRDefault="00346FCD" w:rsidP="00346FCD">
      <w:pPr>
        <w:spacing w:line="276" w:lineRule="auto"/>
        <w:jc w:val="bot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BEACON BAY</w:t>
      </w:r>
    </w:p>
    <w:p w14:paraId="5461CE98" w14:textId="77777777" w:rsidR="00346FCD" w:rsidRDefault="00346FCD" w:rsidP="00346FCD">
      <w:pPr>
        <w:spacing w:line="276" w:lineRule="auto"/>
        <w:jc w:val="bot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EAST LONDON</w:t>
      </w:r>
    </w:p>
    <w:p w14:paraId="473F74F6" w14:textId="77777777" w:rsidR="00346FCD" w:rsidRDefault="00346FCD" w:rsidP="00346FCD">
      <w:pPr>
        <w:spacing w:line="276" w:lineRule="auto"/>
        <w:jc w:val="both"/>
        <w:rPr>
          <w:rFonts w:ascii="Arial" w:hAnsi="Arial" w:cs="Arial"/>
          <w:b/>
          <w:bCs/>
          <w:sz w:val="24"/>
          <w:szCs w:val="24"/>
          <w:lang w:val="en-US"/>
        </w:rPr>
      </w:pPr>
    </w:p>
    <w:p w14:paraId="6876CFBD" w14:textId="74A3BDA2" w:rsidR="00346FCD" w:rsidRDefault="00346FCD" w:rsidP="00346FCD">
      <w:pPr>
        <w:spacing w:line="276" w:lineRule="auto"/>
        <w:jc w:val="both"/>
        <w:rPr>
          <w:rFonts w:ascii="Arial" w:hAnsi="Arial" w:cs="Arial"/>
          <w:b/>
          <w:bCs/>
          <w:sz w:val="24"/>
          <w:szCs w:val="24"/>
          <w:lang w:val="en-US"/>
        </w:rPr>
      </w:pPr>
      <w:r>
        <w:rPr>
          <w:rFonts w:ascii="Arial" w:hAnsi="Arial" w:cs="Arial"/>
          <w:b/>
          <w:bCs/>
          <w:sz w:val="24"/>
          <w:szCs w:val="24"/>
          <w:lang w:val="en-US"/>
        </w:rPr>
        <w:t xml:space="preserve">FOR THE </w:t>
      </w:r>
      <w:r w:rsidR="00C44E91">
        <w:rPr>
          <w:rFonts w:ascii="Arial" w:hAnsi="Arial" w:cs="Arial"/>
          <w:b/>
          <w:bCs/>
          <w:sz w:val="24"/>
          <w:szCs w:val="24"/>
          <w:lang w:val="en-US"/>
        </w:rPr>
        <w:t>DEFENDANT</w:t>
      </w:r>
      <w:r>
        <w:rPr>
          <w:rFonts w:ascii="Arial" w:hAnsi="Arial" w:cs="Arial"/>
          <w:b/>
          <w:bCs/>
          <w:sz w:val="24"/>
          <w:szCs w:val="24"/>
          <w:lang w:val="en-US"/>
        </w:rPr>
        <w:tab/>
        <w:t>:</w:t>
      </w:r>
      <w:r>
        <w:rPr>
          <w:rFonts w:ascii="Arial" w:hAnsi="Arial" w:cs="Arial"/>
          <w:b/>
          <w:bCs/>
          <w:sz w:val="24"/>
          <w:szCs w:val="24"/>
          <w:lang w:val="en-US"/>
        </w:rPr>
        <w:tab/>
        <w:t>ADV. MATOTIE</w:t>
      </w:r>
    </w:p>
    <w:p w14:paraId="0A47D48A" w14:textId="4DAABFE0" w:rsidR="00346FCD" w:rsidRDefault="00346FCD" w:rsidP="00C44E91">
      <w:pPr>
        <w:spacing w:line="276" w:lineRule="auto"/>
        <w:jc w:val="both"/>
        <w:rPr>
          <w:rFonts w:ascii="Arial" w:hAnsi="Arial" w:cs="Arial"/>
          <w:b/>
          <w:bCs/>
          <w:sz w:val="24"/>
          <w:szCs w:val="24"/>
          <w:lang w:val="en-US"/>
        </w:rPr>
      </w:pPr>
      <w:r>
        <w:rPr>
          <w:rFonts w:ascii="Arial" w:hAnsi="Arial" w:cs="Arial"/>
          <w:b/>
          <w:bCs/>
          <w:sz w:val="24"/>
          <w:szCs w:val="24"/>
          <w:lang w:val="en-US"/>
        </w:rPr>
        <w:tab/>
        <w:t>Instructed by</w:t>
      </w:r>
      <w:r>
        <w:rPr>
          <w:rFonts w:ascii="Arial" w:hAnsi="Arial" w:cs="Arial"/>
          <w:b/>
          <w:bCs/>
          <w:sz w:val="24"/>
          <w:szCs w:val="24"/>
          <w:lang w:val="en-US"/>
        </w:rPr>
        <w:tab/>
        <w:t>:</w:t>
      </w:r>
      <w:r>
        <w:rPr>
          <w:rFonts w:ascii="Arial" w:hAnsi="Arial" w:cs="Arial"/>
          <w:b/>
          <w:bCs/>
          <w:sz w:val="24"/>
          <w:szCs w:val="24"/>
          <w:lang w:val="en-US"/>
        </w:rPr>
        <w:tab/>
      </w:r>
      <w:r w:rsidR="00C44E91">
        <w:rPr>
          <w:rFonts w:ascii="Arial" w:hAnsi="Arial" w:cs="Arial"/>
          <w:b/>
          <w:bCs/>
          <w:sz w:val="24"/>
          <w:szCs w:val="24"/>
          <w:lang w:val="en-US"/>
        </w:rPr>
        <w:t>Y. TSIPA ATTORNEYS</w:t>
      </w:r>
    </w:p>
    <w:p w14:paraId="798FA297" w14:textId="299D3E13" w:rsidR="00C44E91" w:rsidRDefault="00C44E91" w:rsidP="00C44E91">
      <w:pPr>
        <w:spacing w:line="276" w:lineRule="auto"/>
        <w:jc w:val="bot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NO. 16A KILIMANJARO BUILDING </w:t>
      </w:r>
    </w:p>
    <w:p w14:paraId="47935912" w14:textId="0CD19DB7" w:rsidR="00C44E91" w:rsidRDefault="00C44E91" w:rsidP="00C44E91">
      <w:pPr>
        <w:spacing w:line="276" w:lineRule="auto"/>
        <w:jc w:val="bot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KING STREET</w:t>
      </w:r>
    </w:p>
    <w:p w14:paraId="650C6BF2" w14:textId="276E4DB9" w:rsidR="00C44E91" w:rsidRDefault="00C44E91" w:rsidP="00C44E91">
      <w:pPr>
        <w:spacing w:line="276" w:lineRule="auto"/>
        <w:jc w:val="bot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BUTTERWORTH</w:t>
      </w:r>
    </w:p>
    <w:p w14:paraId="54AA2A32" w14:textId="3060A0AA" w:rsidR="00C44E91" w:rsidRDefault="00C44E91" w:rsidP="00C44E91">
      <w:pPr>
        <w:spacing w:line="276" w:lineRule="auto"/>
        <w:jc w:val="bot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REF: A51/CL/2023</w:t>
      </w:r>
    </w:p>
    <w:p w14:paraId="575A490B" w14:textId="108EC2A4" w:rsidR="00C44E91" w:rsidRDefault="00C44E91" w:rsidP="00C44E91">
      <w:pPr>
        <w:spacing w:line="276" w:lineRule="auto"/>
        <w:jc w:val="bot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TEL: 072 784 4430</w:t>
      </w:r>
    </w:p>
    <w:p w14:paraId="24686B22" w14:textId="7ED907E9" w:rsidR="00C44E91" w:rsidRDefault="00C44E91" w:rsidP="00C44E91">
      <w:pPr>
        <w:spacing w:line="276" w:lineRule="auto"/>
        <w:jc w:val="bot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EMAIL: </w:t>
      </w:r>
      <w:hyperlink r:id="rId10" w:history="1">
        <w:r w:rsidR="00B31D91" w:rsidRPr="00BD7C14">
          <w:rPr>
            <w:rStyle w:val="Hyperlink"/>
            <w:rFonts w:ascii="Arial" w:hAnsi="Arial" w:cs="Arial"/>
            <w:b/>
            <w:bCs/>
            <w:sz w:val="24"/>
            <w:szCs w:val="24"/>
            <w:lang w:val="en-US"/>
          </w:rPr>
          <w:t>dazanatsipa@gmail.com</w:t>
        </w:r>
      </w:hyperlink>
    </w:p>
    <w:p w14:paraId="189ECA28" w14:textId="748D0FAA" w:rsidR="00B31D91" w:rsidRDefault="00B31D91" w:rsidP="00C44E91">
      <w:pPr>
        <w:spacing w:line="276" w:lineRule="auto"/>
        <w:jc w:val="bot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c/o</w:t>
      </w:r>
      <w:r>
        <w:rPr>
          <w:rFonts w:ascii="Arial" w:hAnsi="Arial" w:cs="Arial"/>
          <w:b/>
          <w:bCs/>
          <w:sz w:val="24"/>
          <w:szCs w:val="24"/>
          <w:lang w:val="en-US"/>
        </w:rPr>
        <w:tab/>
        <w:t>:</w:t>
      </w:r>
      <w:r>
        <w:rPr>
          <w:rFonts w:ascii="Arial" w:hAnsi="Arial" w:cs="Arial"/>
          <w:b/>
          <w:bCs/>
          <w:sz w:val="24"/>
          <w:szCs w:val="24"/>
          <w:lang w:val="en-US"/>
        </w:rPr>
        <w:tab/>
        <w:t>MT KLAAS ATTORNEYS INC.</w:t>
      </w:r>
    </w:p>
    <w:p w14:paraId="06098A4A" w14:textId="5506DCBF" w:rsidR="00B31D91" w:rsidRDefault="00B31D91" w:rsidP="00C44E91">
      <w:pPr>
        <w:spacing w:line="276" w:lineRule="auto"/>
        <w:jc w:val="bot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45 STEWARD DRIVE </w:t>
      </w:r>
    </w:p>
    <w:p w14:paraId="1B692B86" w14:textId="5700944E" w:rsidR="00B31D91" w:rsidRDefault="00B31D91" w:rsidP="00C44E91">
      <w:pPr>
        <w:spacing w:line="276" w:lineRule="auto"/>
        <w:jc w:val="bot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BEYSVILLE</w:t>
      </w:r>
    </w:p>
    <w:p w14:paraId="40E41E00" w14:textId="16DC3822" w:rsidR="00B31D91" w:rsidRDefault="00B31D91" w:rsidP="00C44E91">
      <w:pPr>
        <w:spacing w:line="276" w:lineRule="auto"/>
        <w:jc w:val="bot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EAST LONDON</w:t>
      </w:r>
    </w:p>
    <w:p w14:paraId="0D158EC8" w14:textId="3DFBD565" w:rsidR="002B7927" w:rsidRPr="004741CF" w:rsidRDefault="00B31D91" w:rsidP="00097969">
      <w:pPr>
        <w:spacing w:line="276" w:lineRule="auto"/>
        <w:jc w:val="both"/>
        <w:rPr>
          <w:rFonts w:ascii="Arial" w:hAnsi="Arial" w:cs="Arial"/>
          <w:b/>
          <w:bCs/>
          <w:sz w:val="24"/>
          <w:szCs w:val="24"/>
          <w:lang w:val="en-US"/>
        </w:rPr>
      </w:pPr>
      <w:r>
        <w:rPr>
          <w:rFonts w:ascii="Arial" w:hAnsi="Arial" w:cs="Arial"/>
          <w:b/>
          <w:bCs/>
          <w:sz w:val="24"/>
          <w:szCs w:val="24"/>
          <w:lang w:val="en-US"/>
        </w:rPr>
        <w:lastRenderedPageBreak/>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EMAIL: </w:t>
      </w:r>
      <w:hyperlink r:id="rId11" w:history="1">
        <w:r w:rsidR="00E15B35" w:rsidRPr="00BD7C14">
          <w:rPr>
            <w:rStyle w:val="Hyperlink"/>
            <w:rFonts w:ascii="Arial" w:hAnsi="Arial" w:cs="Arial"/>
            <w:b/>
            <w:bCs/>
            <w:sz w:val="24"/>
            <w:szCs w:val="24"/>
            <w:lang w:val="en-US"/>
          </w:rPr>
          <w:t>klaasattorneys@telkomsa.net</w:t>
        </w:r>
      </w:hyperlink>
      <w:r w:rsidR="00C44E91">
        <w:rPr>
          <w:rFonts w:ascii="Arial" w:hAnsi="Arial" w:cs="Arial"/>
          <w:b/>
          <w:bCs/>
          <w:sz w:val="24"/>
          <w:szCs w:val="24"/>
          <w:lang w:val="en-US"/>
        </w:rPr>
        <w:tab/>
      </w:r>
    </w:p>
    <w:sectPr w:rsidR="002B7927" w:rsidRPr="004741C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C512F" w14:textId="77777777" w:rsidR="001035A0" w:rsidRDefault="001035A0" w:rsidP="00E00C45">
      <w:pPr>
        <w:spacing w:after="0" w:line="240" w:lineRule="auto"/>
      </w:pPr>
      <w:r>
        <w:separator/>
      </w:r>
    </w:p>
  </w:endnote>
  <w:endnote w:type="continuationSeparator" w:id="0">
    <w:p w14:paraId="01757826" w14:textId="77777777" w:rsidR="001035A0" w:rsidRDefault="001035A0" w:rsidP="00E00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512791"/>
      <w:docPartObj>
        <w:docPartGallery w:val="Page Numbers (Bottom of Page)"/>
        <w:docPartUnique/>
      </w:docPartObj>
    </w:sdtPr>
    <w:sdtEndPr>
      <w:rPr>
        <w:noProof/>
      </w:rPr>
    </w:sdtEndPr>
    <w:sdtContent>
      <w:p w14:paraId="05AB35B7" w14:textId="532B9150" w:rsidR="00E00C45" w:rsidRDefault="00E00C45">
        <w:pPr>
          <w:pStyle w:val="Footer"/>
          <w:jc w:val="right"/>
        </w:pPr>
        <w:r>
          <w:fldChar w:fldCharType="begin"/>
        </w:r>
        <w:r>
          <w:instrText xml:space="preserve"> PAGE   \* MERGEFORMAT </w:instrText>
        </w:r>
        <w:r>
          <w:fldChar w:fldCharType="separate"/>
        </w:r>
        <w:r w:rsidR="00337EC6">
          <w:rPr>
            <w:noProof/>
          </w:rPr>
          <w:t>2</w:t>
        </w:r>
        <w:r>
          <w:rPr>
            <w:noProof/>
          </w:rPr>
          <w:fldChar w:fldCharType="end"/>
        </w:r>
      </w:p>
    </w:sdtContent>
  </w:sdt>
  <w:p w14:paraId="502AB470" w14:textId="77777777" w:rsidR="00E00C45" w:rsidRDefault="00E00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F14C5" w14:textId="77777777" w:rsidR="001035A0" w:rsidRDefault="001035A0" w:rsidP="00E00C45">
      <w:pPr>
        <w:spacing w:after="0" w:line="240" w:lineRule="auto"/>
      </w:pPr>
      <w:r>
        <w:separator/>
      </w:r>
    </w:p>
  </w:footnote>
  <w:footnote w:type="continuationSeparator" w:id="0">
    <w:p w14:paraId="43B44886" w14:textId="77777777" w:rsidR="001035A0" w:rsidRDefault="001035A0" w:rsidP="00E00C45">
      <w:pPr>
        <w:spacing w:after="0" w:line="240" w:lineRule="auto"/>
      </w:pPr>
      <w:r>
        <w:continuationSeparator/>
      </w:r>
    </w:p>
  </w:footnote>
  <w:footnote w:id="1">
    <w:p w14:paraId="720FD061" w14:textId="34B1FA85" w:rsidR="004006F3" w:rsidRPr="004006F3" w:rsidRDefault="004006F3" w:rsidP="0043702A">
      <w:pPr>
        <w:pStyle w:val="FootnoteText"/>
        <w:ind w:left="142" w:hanging="142"/>
        <w:jc w:val="both"/>
        <w:rPr>
          <w:lang w:val="en-US"/>
        </w:rPr>
      </w:pPr>
      <w:r>
        <w:rPr>
          <w:rStyle w:val="FootnoteReference"/>
        </w:rPr>
        <w:footnoteRef/>
      </w:r>
      <w:r>
        <w:t xml:space="preserve"> 2010 (6) SA 646 </w:t>
      </w:r>
      <w:r w:rsidR="0043702A">
        <w:t>(GNP</w:t>
      </w:r>
      <w:r w:rsidR="00A66A01">
        <w:t>);</w:t>
      </w:r>
      <w:r>
        <w:t xml:space="preserve"> See </w:t>
      </w:r>
      <w:r w:rsidR="00A66A01">
        <w:t>also:</w:t>
      </w:r>
      <w:r>
        <w:t xml:space="preserve"> </w:t>
      </w:r>
      <w:r w:rsidRPr="00A66A01">
        <w:rPr>
          <w:b/>
          <w:bCs/>
          <w:i/>
          <w:iCs/>
        </w:rPr>
        <w:t>Thabani  Zulu &amp; Co ( Pty ) Ltd v Minister of Water Affairs and Another</w:t>
      </w:r>
      <w:r>
        <w:t xml:space="preserve"> 2012 (4) SA 91 ( KZD) ; </w:t>
      </w:r>
      <w:r w:rsidRPr="00A66A01">
        <w:rPr>
          <w:b/>
          <w:bCs/>
          <w:i/>
          <w:iCs/>
        </w:rPr>
        <w:t>Nicor IT Consulting ( Pty ) Ltd v North West Housing Corporation</w:t>
      </w:r>
      <w:r>
        <w:t xml:space="preserve"> 2010 (3) SA 90 ( NMW) paras [12] – [14], [27],[33]and [34]</w:t>
      </w:r>
      <w:r w:rsidR="0043702A">
        <w:t>.</w:t>
      </w:r>
      <w:r>
        <w:t xml:space="preserve"> </w:t>
      </w:r>
    </w:p>
  </w:footnote>
  <w:footnote w:id="2">
    <w:p w14:paraId="7CE19BFA" w14:textId="41C11174" w:rsidR="004006F3" w:rsidRPr="0043702A" w:rsidRDefault="004006F3">
      <w:pPr>
        <w:pStyle w:val="FootnoteText"/>
        <w:rPr>
          <w:rFonts w:ascii="Arial" w:hAnsi="Arial" w:cs="Arial"/>
          <w:lang w:val="en-US"/>
        </w:rPr>
      </w:pPr>
      <w:r w:rsidRPr="0043702A">
        <w:rPr>
          <w:rStyle w:val="FootnoteReference"/>
          <w:rFonts w:ascii="Arial" w:hAnsi="Arial" w:cs="Arial"/>
        </w:rPr>
        <w:footnoteRef/>
      </w:r>
      <w:r w:rsidRPr="0043702A">
        <w:rPr>
          <w:rFonts w:ascii="Arial" w:hAnsi="Arial" w:cs="Arial"/>
        </w:rPr>
        <w:t xml:space="preserve"> Kovac</w:t>
      </w:r>
      <w:r w:rsidR="00AC03B9" w:rsidRPr="0043702A">
        <w:rPr>
          <w:rFonts w:ascii="Arial" w:hAnsi="Arial" w:cs="Arial"/>
        </w:rPr>
        <w:t xml:space="preserve">s, supra, </w:t>
      </w:r>
      <w:r w:rsidRPr="0043702A">
        <w:rPr>
          <w:rFonts w:ascii="Arial" w:hAnsi="Arial" w:cs="Arial"/>
        </w:rPr>
        <w:t>para [8] at 648 E-F</w:t>
      </w:r>
      <w:r w:rsidR="0043702A">
        <w:rPr>
          <w:rFonts w:ascii="Arial" w:hAnsi="Arial" w:cs="Arial"/>
        </w:rPr>
        <w:t>.</w:t>
      </w:r>
      <w:r w:rsidRPr="0043702A">
        <w:rPr>
          <w:rFonts w:ascii="Arial" w:hAnsi="Arial" w:cs="Arial"/>
        </w:rPr>
        <w:t xml:space="preserve"> </w:t>
      </w:r>
    </w:p>
  </w:footnote>
  <w:footnote w:id="3">
    <w:p w14:paraId="4638F138" w14:textId="3C15DAB8" w:rsidR="00AC03B9" w:rsidRPr="0043702A" w:rsidRDefault="00AC03B9">
      <w:pPr>
        <w:pStyle w:val="FootnoteText"/>
        <w:rPr>
          <w:rFonts w:ascii="Arial" w:hAnsi="Arial" w:cs="Arial"/>
          <w:lang w:val="en-US"/>
        </w:rPr>
      </w:pPr>
      <w:r w:rsidRPr="0043702A">
        <w:rPr>
          <w:rStyle w:val="FootnoteReference"/>
          <w:rFonts w:ascii="Arial" w:hAnsi="Arial" w:cs="Arial"/>
        </w:rPr>
        <w:footnoteRef/>
      </w:r>
      <w:r w:rsidRPr="0043702A">
        <w:rPr>
          <w:rFonts w:ascii="Arial" w:hAnsi="Arial" w:cs="Arial"/>
        </w:rPr>
        <w:t xml:space="preserve"> </w:t>
      </w:r>
      <w:r w:rsidRPr="0043702A">
        <w:rPr>
          <w:rFonts w:ascii="Arial" w:hAnsi="Arial" w:cs="Arial"/>
          <w:color w:val="000000" w:themeColor="text1"/>
          <w:lang w:val="en-US"/>
        </w:rPr>
        <w:t>1946 AD 946.</w:t>
      </w:r>
    </w:p>
  </w:footnote>
  <w:footnote w:id="4">
    <w:p w14:paraId="24E70119" w14:textId="26C778B7" w:rsidR="000E3BCB" w:rsidRPr="0043702A" w:rsidRDefault="000E3BCB">
      <w:pPr>
        <w:pStyle w:val="FootnoteText"/>
        <w:rPr>
          <w:rFonts w:ascii="Arial" w:hAnsi="Arial" w:cs="Arial"/>
          <w:lang w:val="en-US"/>
        </w:rPr>
      </w:pPr>
      <w:r w:rsidRPr="0043702A">
        <w:rPr>
          <w:rStyle w:val="FootnoteReference"/>
          <w:rFonts w:ascii="Arial" w:hAnsi="Arial" w:cs="Arial"/>
        </w:rPr>
        <w:footnoteRef/>
      </w:r>
      <w:r w:rsidRPr="0043702A">
        <w:rPr>
          <w:rFonts w:ascii="Arial" w:hAnsi="Arial" w:cs="Arial"/>
        </w:rPr>
        <w:t xml:space="preserve"> </w:t>
      </w:r>
      <w:r w:rsidRPr="0043702A">
        <w:rPr>
          <w:rFonts w:ascii="Arial" w:hAnsi="Arial" w:cs="Arial"/>
          <w:lang w:val="en-US"/>
        </w:rPr>
        <w:t>1997 (1) SA 498 (OFS) @ 503 G-1</w:t>
      </w:r>
      <w:r w:rsidR="0043702A">
        <w:rPr>
          <w:rFonts w:ascii="Arial" w:hAnsi="Arial" w:cs="Arial"/>
          <w:lang w:val="en-US"/>
        </w:rPr>
        <w:t>.</w:t>
      </w:r>
    </w:p>
  </w:footnote>
  <w:footnote w:id="5">
    <w:p w14:paraId="20C6FB84" w14:textId="285E4A3F" w:rsidR="00FD36E1" w:rsidRPr="00097512" w:rsidRDefault="00FD36E1">
      <w:pPr>
        <w:pStyle w:val="FootnoteText"/>
        <w:rPr>
          <w:rFonts w:ascii="Arial" w:hAnsi="Arial" w:cs="Arial"/>
          <w:lang w:val="en-US"/>
        </w:rPr>
      </w:pPr>
      <w:r w:rsidRPr="0043702A">
        <w:rPr>
          <w:rStyle w:val="FootnoteReference"/>
          <w:rFonts w:ascii="Arial" w:hAnsi="Arial" w:cs="Arial"/>
        </w:rPr>
        <w:footnoteRef/>
      </w:r>
      <w:r w:rsidRPr="0043702A">
        <w:rPr>
          <w:rFonts w:ascii="Arial" w:hAnsi="Arial" w:cs="Arial"/>
        </w:rPr>
        <w:t xml:space="preserve"> </w:t>
      </w:r>
      <w:r w:rsidRPr="0043702A">
        <w:rPr>
          <w:rFonts w:ascii="Arial" w:hAnsi="Arial" w:cs="Arial"/>
          <w:lang w:val="en-US"/>
        </w:rPr>
        <w:t xml:space="preserve">2020 (6) SA 624 </w:t>
      </w:r>
      <w:r w:rsidR="00097512" w:rsidRPr="0043702A">
        <w:rPr>
          <w:rFonts w:ascii="Arial" w:hAnsi="Arial" w:cs="Arial"/>
          <w:lang w:val="en-US"/>
        </w:rPr>
        <w:t>(WCC</w:t>
      </w:r>
      <w:r w:rsidRPr="0043702A">
        <w:rPr>
          <w:rFonts w:ascii="Arial" w:hAnsi="Arial" w:cs="Arial"/>
          <w:lang w:val="en-US"/>
        </w:rPr>
        <w:t>) at para 13</w:t>
      </w:r>
      <w:r w:rsidR="00097512" w:rsidRPr="0043702A">
        <w:rPr>
          <w:rFonts w:ascii="Arial" w:hAnsi="Arial" w:cs="Arial"/>
          <w:lang w:val="en-US"/>
        </w:rPr>
        <w:t>.</w:t>
      </w:r>
      <w:r w:rsidRPr="00097512">
        <w:rPr>
          <w:rFonts w:ascii="Arial" w:hAnsi="Arial" w:cs="Arial"/>
          <w:lang w:val="en-US"/>
        </w:rPr>
        <w:t xml:space="preserve"> </w:t>
      </w:r>
    </w:p>
  </w:footnote>
  <w:footnote w:id="6">
    <w:p w14:paraId="5199AC9E" w14:textId="7226AC36" w:rsidR="00F075E4" w:rsidRPr="00FB1901" w:rsidRDefault="00F075E4">
      <w:pPr>
        <w:pStyle w:val="FootnoteText"/>
        <w:rPr>
          <w:rFonts w:ascii="Arial" w:hAnsi="Arial" w:cs="Arial"/>
          <w:lang w:val="en-US"/>
        </w:rPr>
      </w:pPr>
      <w:r w:rsidRPr="00FB1901">
        <w:rPr>
          <w:rStyle w:val="FootnoteReference"/>
          <w:rFonts w:ascii="Arial" w:hAnsi="Arial" w:cs="Arial"/>
        </w:rPr>
        <w:footnoteRef/>
      </w:r>
      <w:r w:rsidRPr="00FB1901">
        <w:rPr>
          <w:rFonts w:ascii="Arial" w:hAnsi="Arial" w:cs="Arial"/>
        </w:rPr>
        <w:t xml:space="preserve"> </w:t>
      </w:r>
      <w:r w:rsidRPr="00FB1901">
        <w:rPr>
          <w:rFonts w:ascii="Arial" w:hAnsi="Arial" w:cs="Arial"/>
          <w:lang w:val="en-US"/>
        </w:rPr>
        <w:t xml:space="preserve">1996 (1) SA 141 </w:t>
      </w:r>
      <w:r w:rsidR="00FB1901" w:rsidRPr="00FB1901">
        <w:rPr>
          <w:rFonts w:ascii="Arial" w:hAnsi="Arial" w:cs="Arial"/>
          <w:lang w:val="en-US"/>
        </w:rPr>
        <w:t>(A</w:t>
      </w:r>
      <w:r w:rsidRPr="00FB1901">
        <w:rPr>
          <w:rFonts w:ascii="Arial" w:hAnsi="Arial" w:cs="Arial"/>
          <w:lang w:val="en-US"/>
        </w:rPr>
        <w:t>) at 147 G</w:t>
      </w:r>
      <w:r w:rsidR="00FB1901" w:rsidRPr="00FB1901">
        <w:rPr>
          <w:rFonts w:ascii="Arial" w:hAnsi="Arial" w:cs="Arial"/>
          <w:lang w:val="en-US"/>
        </w:rPr>
        <w:t>.</w:t>
      </w:r>
    </w:p>
  </w:footnote>
  <w:footnote w:id="7">
    <w:p w14:paraId="37561F77" w14:textId="77777777" w:rsidR="00E84DF5" w:rsidRPr="003272C0" w:rsidRDefault="00E84DF5" w:rsidP="00E84DF5">
      <w:pPr>
        <w:pStyle w:val="FootnoteText"/>
        <w:rPr>
          <w:lang w:val="en-US"/>
        </w:rPr>
      </w:pPr>
      <w:r>
        <w:rPr>
          <w:rStyle w:val="FootnoteReference"/>
        </w:rPr>
        <w:footnoteRef/>
      </w:r>
      <w:r>
        <w:t xml:space="preserve"> </w:t>
      </w:r>
      <w:r>
        <w:rPr>
          <w:lang w:val="en-US"/>
        </w:rPr>
        <w:t>1976 (1) SA 418 at 426 (a) – (e).</w:t>
      </w:r>
    </w:p>
  </w:footnote>
  <w:footnote w:id="8">
    <w:p w14:paraId="0E9E9825" w14:textId="77FBDB08" w:rsidR="00283592" w:rsidRPr="00283592" w:rsidRDefault="00283592">
      <w:pPr>
        <w:pStyle w:val="FootnoteText"/>
        <w:rPr>
          <w:lang w:val="en-US"/>
        </w:rPr>
      </w:pPr>
      <w:r>
        <w:rPr>
          <w:rStyle w:val="FootnoteReference"/>
        </w:rPr>
        <w:footnoteRef/>
      </w:r>
      <w:r>
        <w:t xml:space="preserve"> </w:t>
      </w:r>
      <w:r>
        <w:rPr>
          <w:lang w:val="en-US"/>
        </w:rPr>
        <w:t>2010 (6) SA 646 GNP para 8</w:t>
      </w:r>
      <w:r w:rsidR="00D44016">
        <w:rPr>
          <w:lang w:val="en-US"/>
        </w:rPr>
        <w:t>.</w:t>
      </w:r>
      <w:r>
        <w:rPr>
          <w:lang w:val="en-US"/>
        </w:rPr>
        <w:t xml:space="preserve"> </w:t>
      </w:r>
    </w:p>
  </w:footnote>
  <w:footnote w:id="9">
    <w:p w14:paraId="76B8EF79" w14:textId="140EA9D6" w:rsidR="003B3857" w:rsidRDefault="003B3857" w:rsidP="003B3857">
      <w:pPr>
        <w:spacing w:line="480" w:lineRule="auto"/>
        <w:ind w:left="720" w:hanging="720"/>
        <w:jc w:val="both"/>
        <w:rPr>
          <w:rFonts w:ascii="Arial" w:hAnsi="Arial" w:cs="Arial"/>
          <w:sz w:val="24"/>
          <w:szCs w:val="24"/>
          <w:lang w:val="en-US"/>
        </w:rPr>
      </w:pPr>
      <w:r>
        <w:rPr>
          <w:rStyle w:val="FootnoteReference"/>
        </w:rPr>
        <w:footnoteRef/>
      </w:r>
      <w:r>
        <w:t xml:space="preserve"> </w:t>
      </w:r>
      <w:r w:rsidR="002501E5" w:rsidRPr="00EF598A">
        <w:rPr>
          <w:rFonts w:ascii="Arial" w:hAnsi="Arial" w:cs="Arial"/>
          <w:sz w:val="20"/>
          <w:szCs w:val="20"/>
          <w:lang w:val="en-US"/>
        </w:rPr>
        <w:t>(20598</w:t>
      </w:r>
      <w:r w:rsidRPr="00EF598A">
        <w:rPr>
          <w:rFonts w:ascii="Arial" w:hAnsi="Arial" w:cs="Arial"/>
          <w:sz w:val="20"/>
          <w:szCs w:val="20"/>
          <w:lang w:val="en-US"/>
        </w:rPr>
        <w:t xml:space="preserve">/2014) [2016] ZASCA 27 </w:t>
      </w:r>
      <w:r w:rsidR="00D44016" w:rsidRPr="00EF598A">
        <w:rPr>
          <w:rFonts w:ascii="Arial" w:hAnsi="Arial" w:cs="Arial"/>
          <w:sz w:val="20"/>
          <w:szCs w:val="20"/>
          <w:lang w:val="en-US"/>
        </w:rPr>
        <w:t>(22</w:t>
      </w:r>
      <w:r w:rsidRPr="00EF598A">
        <w:rPr>
          <w:rFonts w:ascii="Arial" w:hAnsi="Arial" w:cs="Arial"/>
          <w:sz w:val="20"/>
          <w:szCs w:val="20"/>
          <w:lang w:val="en-US"/>
        </w:rPr>
        <w:t xml:space="preserve"> March 2016</w:t>
      </w:r>
      <w:r w:rsidR="00EF598A" w:rsidRPr="00EF598A">
        <w:rPr>
          <w:rFonts w:ascii="Arial" w:hAnsi="Arial" w:cs="Arial"/>
          <w:sz w:val="20"/>
          <w:szCs w:val="20"/>
          <w:lang w:val="en-US"/>
        </w:rPr>
        <w:t>)</w:t>
      </w:r>
      <w:r w:rsidRPr="00EF598A">
        <w:rPr>
          <w:rFonts w:ascii="Arial" w:hAnsi="Arial" w:cs="Arial"/>
          <w:sz w:val="20"/>
          <w:szCs w:val="20"/>
          <w:lang w:val="en-US"/>
        </w:rPr>
        <w:t xml:space="preserve"> at para [12]</w:t>
      </w:r>
      <w:r w:rsidR="00D44016">
        <w:rPr>
          <w:rFonts w:ascii="Arial" w:hAnsi="Arial" w:cs="Arial"/>
          <w:sz w:val="20"/>
          <w:szCs w:val="20"/>
          <w:lang w:val="en-US"/>
        </w:rPr>
        <w:t>.</w:t>
      </w:r>
      <w:r>
        <w:rPr>
          <w:rFonts w:ascii="Arial" w:hAnsi="Arial" w:cs="Arial"/>
          <w:sz w:val="24"/>
          <w:szCs w:val="24"/>
          <w:lang w:val="en-US"/>
        </w:rPr>
        <w:t xml:space="preserve"> </w:t>
      </w:r>
    </w:p>
    <w:p w14:paraId="1D3D6F0D" w14:textId="2FC7E846" w:rsidR="003B3857" w:rsidRPr="003B3857" w:rsidRDefault="003B3857">
      <w:pPr>
        <w:pStyle w:val="FootnoteText"/>
        <w:rPr>
          <w:lang w:val="en-US"/>
        </w:rPr>
      </w:pPr>
    </w:p>
  </w:footnote>
  <w:footnote w:id="10">
    <w:p w14:paraId="00B16889" w14:textId="77777777" w:rsidR="00346FCD" w:rsidRPr="003E36C7" w:rsidRDefault="00346FCD" w:rsidP="00346FCD">
      <w:pPr>
        <w:pStyle w:val="FootnoteText"/>
        <w:rPr>
          <w:lang w:val="en-US"/>
        </w:rPr>
      </w:pPr>
      <w:r>
        <w:rPr>
          <w:rStyle w:val="FootnoteReference"/>
        </w:rPr>
        <w:footnoteRef/>
      </w:r>
      <w:r>
        <w:t xml:space="preserve"> </w:t>
      </w:r>
      <w:r>
        <w:rPr>
          <w:lang w:val="en-US"/>
        </w:rPr>
        <w:t>2021 (1) SA 28 (SCA).</w:t>
      </w:r>
    </w:p>
  </w:footnote>
  <w:footnote w:id="11">
    <w:p w14:paraId="22914121" w14:textId="77777777" w:rsidR="00ED3805" w:rsidRPr="002E13D2" w:rsidRDefault="00ED3805" w:rsidP="00ED3805">
      <w:pPr>
        <w:pStyle w:val="FootnoteText"/>
        <w:rPr>
          <w:rFonts w:ascii="Arial" w:hAnsi="Arial" w:cs="Arial"/>
          <w:lang w:val="en-US"/>
        </w:rPr>
      </w:pPr>
      <w:r w:rsidRPr="002E13D2">
        <w:rPr>
          <w:rStyle w:val="FootnoteReference"/>
          <w:rFonts w:ascii="Arial" w:hAnsi="Arial" w:cs="Arial"/>
        </w:rPr>
        <w:footnoteRef/>
      </w:r>
      <w:r w:rsidRPr="002E13D2">
        <w:rPr>
          <w:rFonts w:ascii="Arial" w:hAnsi="Arial" w:cs="Arial"/>
        </w:rPr>
        <w:t xml:space="preserve"> </w:t>
      </w:r>
      <w:r w:rsidRPr="002E13D2">
        <w:rPr>
          <w:rFonts w:ascii="Arial" w:hAnsi="Arial" w:cs="Arial"/>
          <w:lang w:val="en-US"/>
        </w:rPr>
        <w:t>1983 (3) SA 584 (A).</w:t>
      </w:r>
    </w:p>
  </w:footnote>
  <w:footnote w:id="12">
    <w:p w14:paraId="397C5B1E" w14:textId="77777777" w:rsidR="00ED3805" w:rsidRPr="00D15EFF" w:rsidRDefault="00ED3805" w:rsidP="00ED3805">
      <w:pPr>
        <w:pStyle w:val="FootnoteText"/>
        <w:ind w:left="142" w:hanging="142"/>
        <w:rPr>
          <w:lang w:val="en-US"/>
        </w:rPr>
      </w:pPr>
      <w:r w:rsidRPr="002E13D2">
        <w:rPr>
          <w:rStyle w:val="FootnoteReference"/>
          <w:rFonts w:ascii="Arial" w:hAnsi="Arial" w:cs="Arial"/>
        </w:rPr>
        <w:footnoteRef/>
      </w:r>
      <w:r w:rsidRPr="002E13D2">
        <w:rPr>
          <w:rFonts w:ascii="Arial" w:hAnsi="Arial" w:cs="Arial"/>
        </w:rPr>
        <w:t xml:space="preserve"> </w:t>
      </w:r>
      <w:r w:rsidRPr="002E13D2">
        <w:rPr>
          <w:rFonts w:ascii="Arial" w:hAnsi="Arial" w:cs="Arial"/>
          <w:lang w:val="en-US"/>
        </w:rPr>
        <w:t xml:space="preserve">See </w:t>
      </w:r>
      <w:r w:rsidRPr="002E13D2">
        <w:rPr>
          <w:rFonts w:ascii="Arial" w:hAnsi="Arial" w:cs="Arial"/>
          <w:b/>
          <w:bCs/>
          <w:i/>
          <w:iCs/>
          <w:lang w:val="en-US"/>
        </w:rPr>
        <w:t>Frost Consolidated Lease Incorporation (Pty) Ltd v Service SA (Pty) Ltd &amp; Another</w:t>
      </w:r>
      <w:r w:rsidRPr="002E13D2">
        <w:rPr>
          <w:rFonts w:ascii="Arial" w:hAnsi="Arial" w:cs="Arial"/>
          <w:lang w:val="en-US"/>
        </w:rPr>
        <w:t xml:space="preserve"> 1981 (4) SA 380 (W) at 383 (f) – 384 (e).</w:t>
      </w:r>
    </w:p>
  </w:footnote>
  <w:footnote w:id="13">
    <w:p w14:paraId="2AE6F920" w14:textId="216C7A90" w:rsidR="00C536EF" w:rsidRPr="001C2AAC" w:rsidRDefault="00C536EF" w:rsidP="00C536EF">
      <w:pPr>
        <w:pStyle w:val="FootnoteText"/>
        <w:rPr>
          <w:lang w:val="en-US"/>
        </w:rPr>
      </w:pPr>
      <w:r>
        <w:rPr>
          <w:rStyle w:val="FootnoteReference"/>
        </w:rPr>
        <w:footnoteRef/>
      </w:r>
      <w:r>
        <w:t xml:space="preserve"> Tumileng judgment para 23</w:t>
      </w:r>
      <w:r w:rsidR="00FB5F0A">
        <w:t>.</w:t>
      </w:r>
    </w:p>
  </w:footnote>
  <w:footnote w:id="14">
    <w:p w14:paraId="526CCABB" w14:textId="7ED3F298" w:rsidR="003F16BC" w:rsidRPr="003F16BC" w:rsidRDefault="003F16BC">
      <w:pPr>
        <w:pStyle w:val="FootnoteText"/>
        <w:rPr>
          <w:lang w:val="en-US"/>
        </w:rPr>
      </w:pPr>
      <w:r>
        <w:rPr>
          <w:rStyle w:val="FootnoteReference"/>
        </w:rPr>
        <w:footnoteRef/>
      </w:r>
      <w:r>
        <w:t xml:space="preserve"> </w:t>
      </w:r>
      <w:r w:rsidRPr="00090BEA">
        <w:rPr>
          <w:rFonts w:ascii="Arial" w:hAnsi="Arial" w:cs="Arial"/>
          <w:lang w:val="en-US"/>
        </w:rPr>
        <w:t>2020 (6) SA 624 (WCC) at par</w:t>
      </w:r>
      <w:r>
        <w:rPr>
          <w:rFonts w:ascii="Arial" w:hAnsi="Arial" w:cs="Arial"/>
          <w:lang w:val="en-US"/>
        </w:rPr>
        <w:t>a</w:t>
      </w:r>
      <w:r w:rsidRPr="00090BEA">
        <w:rPr>
          <w:rFonts w:ascii="Arial" w:hAnsi="Arial" w:cs="Arial"/>
          <w:lang w:val="en-US"/>
        </w:rPr>
        <w:t xml:space="preserve"> 1</w:t>
      </w:r>
      <w:r>
        <w:rPr>
          <w:rFonts w:ascii="Arial" w:hAnsi="Arial" w:cs="Arial"/>
          <w:lang w:val="en-US"/>
        </w:rPr>
        <w:t>3.</w:t>
      </w:r>
    </w:p>
  </w:footnote>
  <w:footnote w:id="15">
    <w:p w14:paraId="09C0DDBD" w14:textId="4BE01239" w:rsidR="00E10534" w:rsidRPr="00E10534" w:rsidRDefault="00E10534">
      <w:pPr>
        <w:pStyle w:val="FootnoteText"/>
        <w:rPr>
          <w:lang w:val="en-US"/>
        </w:rPr>
      </w:pPr>
      <w:r>
        <w:rPr>
          <w:rStyle w:val="FootnoteReference"/>
        </w:rPr>
        <w:footnoteRef/>
      </w:r>
      <w:r>
        <w:t xml:space="preserve"> </w:t>
      </w:r>
      <w:r>
        <w:rPr>
          <w:lang w:val="en-US"/>
        </w:rPr>
        <w:t>1946 AD</w:t>
      </w:r>
      <w:r w:rsidR="000B0AE3">
        <w:rPr>
          <w:lang w:val="en-US"/>
        </w:rPr>
        <w:t xml:space="preserve"> 946</w:t>
      </w:r>
      <w:r w:rsidR="008B221E">
        <w:rPr>
          <w:lang w:val="en-US"/>
        </w:rPr>
        <w:t>.</w:t>
      </w:r>
    </w:p>
  </w:footnote>
  <w:footnote w:id="16">
    <w:p w14:paraId="36A873D1" w14:textId="1F98E8A8" w:rsidR="00050E64" w:rsidRPr="00050E64" w:rsidRDefault="00050E64">
      <w:pPr>
        <w:pStyle w:val="FootnoteText"/>
        <w:rPr>
          <w:lang w:val="en-US"/>
        </w:rPr>
      </w:pPr>
      <w:r>
        <w:rPr>
          <w:rStyle w:val="FootnoteReference"/>
        </w:rPr>
        <w:footnoteRef/>
      </w:r>
      <w:r>
        <w:t xml:space="preserve"> </w:t>
      </w:r>
      <w:r w:rsidRPr="00D91137">
        <w:rPr>
          <w:rFonts w:ascii="Arial" w:hAnsi="Arial" w:cs="Arial"/>
          <w:lang w:val="en-US"/>
        </w:rPr>
        <w:t>1998 (1) SA 811</w:t>
      </w:r>
      <w:r w:rsidR="00643C7A" w:rsidRPr="00D91137">
        <w:rPr>
          <w:rFonts w:ascii="Arial" w:hAnsi="Arial" w:cs="Arial"/>
          <w:lang w:val="en-US"/>
        </w:rPr>
        <w:t xml:space="preserve"> SCA.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B84A3D"/>
    <w:multiLevelType w:val="multilevel"/>
    <w:tmpl w:val="849E4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7E210E"/>
    <w:multiLevelType w:val="hybridMultilevel"/>
    <w:tmpl w:val="A5309424"/>
    <w:lvl w:ilvl="0" w:tplc="820A569A">
      <w:start w:val="1"/>
      <w:numFmt w:val="lowerRoman"/>
      <w:lvlText w:val="(%1)"/>
      <w:lvlJc w:val="left"/>
      <w:pPr>
        <w:ind w:left="1996" w:hanging="72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2">
    <w:nsid w:val="7A20672D"/>
    <w:multiLevelType w:val="multilevel"/>
    <w:tmpl w:val="F3E2E7A2"/>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67"/>
    <w:rsid w:val="0000009C"/>
    <w:rsid w:val="000020DD"/>
    <w:rsid w:val="00004AA7"/>
    <w:rsid w:val="00005843"/>
    <w:rsid w:val="00007D18"/>
    <w:rsid w:val="00010C8C"/>
    <w:rsid w:val="0001137E"/>
    <w:rsid w:val="00011B77"/>
    <w:rsid w:val="0001705B"/>
    <w:rsid w:val="00017106"/>
    <w:rsid w:val="000235A7"/>
    <w:rsid w:val="000236CA"/>
    <w:rsid w:val="00025BA2"/>
    <w:rsid w:val="00030729"/>
    <w:rsid w:val="000315F3"/>
    <w:rsid w:val="00034D2E"/>
    <w:rsid w:val="00035B02"/>
    <w:rsid w:val="00050E64"/>
    <w:rsid w:val="00057A14"/>
    <w:rsid w:val="00060828"/>
    <w:rsid w:val="00064525"/>
    <w:rsid w:val="00065194"/>
    <w:rsid w:val="0007279A"/>
    <w:rsid w:val="00072EC6"/>
    <w:rsid w:val="00077DDD"/>
    <w:rsid w:val="0008133F"/>
    <w:rsid w:val="00081D5A"/>
    <w:rsid w:val="00090BEA"/>
    <w:rsid w:val="00092F9D"/>
    <w:rsid w:val="0009308B"/>
    <w:rsid w:val="0009355B"/>
    <w:rsid w:val="0009388E"/>
    <w:rsid w:val="00097512"/>
    <w:rsid w:val="00097969"/>
    <w:rsid w:val="000A30DC"/>
    <w:rsid w:val="000A3549"/>
    <w:rsid w:val="000A3620"/>
    <w:rsid w:val="000A3885"/>
    <w:rsid w:val="000A4507"/>
    <w:rsid w:val="000A5568"/>
    <w:rsid w:val="000A7E0D"/>
    <w:rsid w:val="000B0AE3"/>
    <w:rsid w:val="000B2820"/>
    <w:rsid w:val="000C3F84"/>
    <w:rsid w:val="000C5609"/>
    <w:rsid w:val="000C6B60"/>
    <w:rsid w:val="000D23CD"/>
    <w:rsid w:val="000D3956"/>
    <w:rsid w:val="000D3DAF"/>
    <w:rsid w:val="000E057D"/>
    <w:rsid w:val="000E0BD0"/>
    <w:rsid w:val="000E1C7B"/>
    <w:rsid w:val="000E3BCB"/>
    <w:rsid w:val="000F06E8"/>
    <w:rsid w:val="000F12C1"/>
    <w:rsid w:val="000F2FD9"/>
    <w:rsid w:val="000F3008"/>
    <w:rsid w:val="00102CFA"/>
    <w:rsid w:val="001035A0"/>
    <w:rsid w:val="00107A4B"/>
    <w:rsid w:val="0011304C"/>
    <w:rsid w:val="0011318D"/>
    <w:rsid w:val="0011432F"/>
    <w:rsid w:val="00114974"/>
    <w:rsid w:val="00114BE7"/>
    <w:rsid w:val="00115438"/>
    <w:rsid w:val="00116E21"/>
    <w:rsid w:val="001246A7"/>
    <w:rsid w:val="00124778"/>
    <w:rsid w:val="00132C07"/>
    <w:rsid w:val="00135098"/>
    <w:rsid w:val="001353DC"/>
    <w:rsid w:val="00137326"/>
    <w:rsid w:val="00140583"/>
    <w:rsid w:val="00141DD8"/>
    <w:rsid w:val="00142977"/>
    <w:rsid w:val="00147A29"/>
    <w:rsid w:val="00155848"/>
    <w:rsid w:val="00156AB1"/>
    <w:rsid w:val="00156FA8"/>
    <w:rsid w:val="00162234"/>
    <w:rsid w:val="00164FEC"/>
    <w:rsid w:val="00166393"/>
    <w:rsid w:val="00167A67"/>
    <w:rsid w:val="0017111F"/>
    <w:rsid w:val="00183E31"/>
    <w:rsid w:val="00185CC0"/>
    <w:rsid w:val="00192494"/>
    <w:rsid w:val="001A4DE3"/>
    <w:rsid w:val="001A6954"/>
    <w:rsid w:val="001B028C"/>
    <w:rsid w:val="001B3E9A"/>
    <w:rsid w:val="001B6D99"/>
    <w:rsid w:val="001C0F1E"/>
    <w:rsid w:val="001C1115"/>
    <w:rsid w:val="001C1CC4"/>
    <w:rsid w:val="001C2AAC"/>
    <w:rsid w:val="001C5932"/>
    <w:rsid w:val="001C7466"/>
    <w:rsid w:val="001D0DC1"/>
    <w:rsid w:val="001D2584"/>
    <w:rsid w:val="001D4332"/>
    <w:rsid w:val="001D558C"/>
    <w:rsid w:val="001D5D11"/>
    <w:rsid w:val="001D621A"/>
    <w:rsid w:val="001E3691"/>
    <w:rsid w:val="001E4EE8"/>
    <w:rsid w:val="001E74A5"/>
    <w:rsid w:val="001E762D"/>
    <w:rsid w:val="001F1108"/>
    <w:rsid w:val="001F6421"/>
    <w:rsid w:val="001F714C"/>
    <w:rsid w:val="001F7BD3"/>
    <w:rsid w:val="00202421"/>
    <w:rsid w:val="0020791C"/>
    <w:rsid w:val="00221288"/>
    <w:rsid w:val="0022169C"/>
    <w:rsid w:val="002216F9"/>
    <w:rsid w:val="00222A23"/>
    <w:rsid w:val="002268F7"/>
    <w:rsid w:val="00227A29"/>
    <w:rsid w:val="00231887"/>
    <w:rsid w:val="00232149"/>
    <w:rsid w:val="00232AA8"/>
    <w:rsid w:val="002341D6"/>
    <w:rsid w:val="002366CB"/>
    <w:rsid w:val="00236C2F"/>
    <w:rsid w:val="002371D4"/>
    <w:rsid w:val="00237529"/>
    <w:rsid w:val="00237A54"/>
    <w:rsid w:val="00243156"/>
    <w:rsid w:val="00244678"/>
    <w:rsid w:val="002473AB"/>
    <w:rsid w:val="002501E5"/>
    <w:rsid w:val="0025034F"/>
    <w:rsid w:val="00251322"/>
    <w:rsid w:val="00252A87"/>
    <w:rsid w:val="00252ADF"/>
    <w:rsid w:val="002531A5"/>
    <w:rsid w:val="00253410"/>
    <w:rsid w:val="00253F25"/>
    <w:rsid w:val="0026402F"/>
    <w:rsid w:val="00271D6C"/>
    <w:rsid w:val="00274341"/>
    <w:rsid w:val="002744B4"/>
    <w:rsid w:val="00275FAF"/>
    <w:rsid w:val="00282C67"/>
    <w:rsid w:val="00282CE3"/>
    <w:rsid w:val="00283592"/>
    <w:rsid w:val="002946D6"/>
    <w:rsid w:val="0029493F"/>
    <w:rsid w:val="00296492"/>
    <w:rsid w:val="00296D7A"/>
    <w:rsid w:val="002A1C8D"/>
    <w:rsid w:val="002A6AE9"/>
    <w:rsid w:val="002A6CA1"/>
    <w:rsid w:val="002A7581"/>
    <w:rsid w:val="002B203F"/>
    <w:rsid w:val="002B3FE1"/>
    <w:rsid w:val="002B6A01"/>
    <w:rsid w:val="002B7927"/>
    <w:rsid w:val="002B7D0C"/>
    <w:rsid w:val="002C15D4"/>
    <w:rsid w:val="002C23D9"/>
    <w:rsid w:val="002C484C"/>
    <w:rsid w:val="002C4F8B"/>
    <w:rsid w:val="002C6E6B"/>
    <w:rsid w:val="002D04F3"/>
    <w:rsid w:val="002D17BE"/>
    <w:rsid w:val="002D4638"/>
    <w:rsid w:val="002E0223"/>
    <w:rsid w:val="002E23FA"/>
    <w:rsid w:val="002E2530"/>
    <w:rsid w:val="002E5BC3"/>
    <w:rsid w:val="002E6CBF"/>
    <w:rsid w:val="002F3BBE"/>
    <w:rsid w:val="002F6EA1"/>
    <w:rsid w:val="00303261"/>
    <w:rsid w:val="00303F06"/>
    <w:rsid w:val="003043A2"/>
    <w:rsid w:val="00304704"/>
    <w:rsid w:val="003047CD"/>
    <w:rsid w:val="00304DAA"/>
    <w:rsid w:val="00306693"/>
    <w:rsid w:val="00314761"/>
    <w:rsid w:val="003160A0"/>
    <w:rsid w:val="003163B5"/>
    <w:rsid w:val="003176D1"/>
    <w:rsid w:val="00317C42"/>
    <w:rsid w:val="003245FE"/>
    <w:rsid w:val="003272C0"/>
    <w:rsid w:val="00327F28"/>
    <w:rsid w:val="00330C87"/>
    <w:rsid w:val="00333A09"/>
    <w:rsid w:val="003375EE"/>
    <w:rsid w:val="00337CC9"/>
    <w:rsid w:val="00337EC6"/>
    <w:rsid w:val="00340BC6"/>
    <w:rsid w:val="0034337B"/>
    <w:rsid w:val="0034408D"/>
    <w:rsid w:val="003444E4"/>
    <w:rsid w:val="00345434"/>
    <w:rsid w:val="00346151"/>
    <w:rsid w:val="00346FCD"/>
    <w:rsid w:val="00347546"/>
    <w:rsid w:val="00350C3E"/>
    <w:rsid w:val="00350C90"/>
    <w:rsid w:val="003546C0"/>
    <w:rsid w:val="00370F4C"/>
    <w:rsid w:val="00372572"/>
    <w:rsid w:val="00373858"/>
    <w:rsid w:val="00374137"/>
    <w:rsid w:val="00374387"/>
    <w:rsid w:val="0037708E"/>
    <w:rsid w:val="00386790"/>
    <w:rsid w:val="00386E86"/>
    <w:rsid w:val="00392A5C"/>
    <w:rsid w:val="00393294"/>
    <w:rsid w:val="0039738C"/>
    <w:rsid w:val="003A0D4A"/>
    <w:rsid w:val="003A14D8"/>
    <w:rsid w:val="003A2FEE"/>
    <w:rsid w:val="003A40B5"/>
    <w:rsid w:val="003A4961"/>
    <w:rsid w:val="003A5172"/>
    <w:rsid w:val="003A54AB"/>
    <w:rsid w:val="003A6DF4"/>
    <w:rsid w:val="003A70B6"/>
    <w:rsid w:val="003A74C6"/>
    <w:rsid w:val="003B056A"/>
    <w:rsid w:val="003B17C0"/>
    <w:rsid w:val="003B2661"/>
    <w:rsid w:val="003B2EAF"/>
    <w:rsid w:val="003B3857"/>
    <w:rsid w:val="003C7123"/>
    <w:rsid w:val="003D1A8B"/>
    <w:rsid w:val="003D2901"/>
    <w:rsid w:val="003E2207"/>
    <w:rsid w:val="003E2346"/>
    <w:rsid w:val="003E4762"/>
    <w:rsid w:val="003F16BC"/>
    <w:rsid w:val="003F2FB0"/>
    <w:rsid w:val="003F6BB5"/>
    <w:rsid w:val="003F6C85"/>
    <w:rsid w:val="004006F3"/>
    <w:rsid w:val="004113BF"/>
    <w:rsid w:val="00411F11"/>
    <w:rsid w:val="00412593"/>
    <w:rsid w:val="004126B8"/>
    <w:rsid w:val="004165F4"/>
    <w:rsid w:val="00421AAE"/>
    <w:rsid w:val="004234EE"/>
    <w:rsid w:val="00426189"/>
    <w:rsid w:val="00435DE9"/>
    <w:rsid w:val="0043600F"/>
    <w:rsid w:val="0043702A"/>
    <w:rsid w:val="004416BA"/>
    <w:rsid w:val="00442E3A"/>
    <w:rsid w:val="004431D1"/>
    <w:rsid w:val="00445419"/>
    <w:rsid w:val="00446F45"/>
    <w:rsid w:val="00451991"/>
    <w:rsid w:val="00457A0E"/>
    <w:rsid w:val="004600AF"/>
    <w:rsid w:val="00466192"/>
    <w:rsid w:val="004670A1"/>
    <w:rsid w:val="004673CC"/>
    <w:rsid w:val="004709D8"/>
    <w:rsid w:val="004741CF"/>
    <w:rsid w:val="00477892"/>
    <w:rsid w:val="00480919"/>
    <w:rsid w:val="00480957"/>
    <w:rsid w:val="00482BE4"/>
    <w:rsid w:val="004831F3"/>
    <w:rsid w:val="004838EC"/>
    <w:rsid w:val="00490563"/>
    <w:rsid w:val="00493CEE"/>
    <w:rsid w:val="004A32C4"/>
    <w:rsid w:val="004A472B"/>
    <w:rsid w:val="004A5ABE"/>
    <w:rsid w:val="004A708A"/>
    <w:rsid w:val="004A7663"/>
    <w:rsid w:val="004B0FA0"/>
    <w:rsid w:val="004B23B2"/>
    <w:rsid w:val="004B23CD"/>
    <w:rsid w:val="004B4CE0"/>
    <w:rsid w:val="004C029A"/>
    <w:rsid w:val="004C0CEB"/>
    <w:rsid w:val="004C195E"/>
    <w:rsid w:val="004C29AF"/>
    <w:rsid w:val="004C2A3A"/>
    <w:rsid w:val="004C7759"/>
    <w:rsid w:val="004D14BD"/>
    <w:rsid w:val="004D176B"/>
    <w:rsid w:val="004D4236"/>
    <w:rsid w:val="004D478A"/>
    <w:rsid w:val="004D5230"/>
    <w:rsid w:val="004E0488"/>
    <w:rsid w:val="004E310A"/>
    <w:rsid w:val="004E62E4"/>
    <w:rsid w:val="004F7109"/>
    <w:rsid w:val="00501473"/>
    <w:rsid w:val="005032C5"/>
    <w:rsid w:val="00513A0A"/>
    <w:rsid w:val="00513F06"/>
    <w:rsid w:val="00515016"/>
    <w:rsid w:val="0051582D"/>
    <w:rsid w:val="00516779"/>
    <w:rsid w:val="0051684C"/>
    <w:rsid w:val="00517552"/>
    <w:rsid w:val="00521915"/>
    <w:rsid w:val="0052292D"/>
    <w:rsid w:val="005303EC"/>
    <w:rsid w:val="005344CE"/>
    <w:rsid w:val="00534D0E"/>
    <w:rsid w:val="0054014E"/>
    <w:rsid w:val="00541283"/>
    <w:rsid w:val="005471C9"/>
    <w:rsid w:val="0054762E"/>
    <w:rsid w:val="00556589"/>
    <w:rsid w:val="00567E47"/>
    <w:rsid w:val="00572164"/>
    <w:rsid w:val="005739A7"/>
    <w:rsid w:val="005754A5"/>
    <w:rsid w:val="005762FA"/>
    <w:rsid w:val="005826CD"/>
    <w:rsid w:val="0058335E"/>
    <w:rsid w:val="00585270"/>
    <w:rsid w:val="0059135D"/>
    <w:rsid w:val="00593567"/>
    <w:rsid w:val="00594054"/>
    <w:rsid w:val="00595241"/>
    <w:rsid w:val="00596F4C"/>
    <w:rsid w:val="005A2324"/>
    <w:rsid w:val="005A3F70"/>
    <w:rsid w:val="005A4008"/>
    <w:rsid w:val="005A4B87"/>
    <w:rsid w:val="005A6B52"/>
    <w:rsid w:val="005A7148"/>
    <w:rsid w:val="005A7408"/>
    <w:rsid w:val="005B2C34"/>
    <w:rsid w:val="005B2E99"/>
    <w:rsid w:val="005B3C24"/>
    <w:rsid w:val="005B43A5"/>
    <w:rsid w:val="005B67A6"/>
    <w:rsid w:val="005C2C91"/>
    <w:rsid w:val="005C6CEE"/>
    <w:rsid w:val="005C798A"/>
    <w:rsid w:val="005D2893"/>
    <w:rsid w:val="005D72C9"/>
    <w:rsid w:val="005D7806"/>
    <w:rsid w:val="005D7AF6"/>
    <w:rsid w:val="005D7FC1"/>
    <w:rsid w:val="005E06DC"/>
    <w:rsid w:val="005E2266"/>
    <w:rsid w:val="005E51D8"/>
    <w:rsid w:val="005E58B1"/>
    <w:rsid w:val="005F024C"/>
    <w:rsid w:val="005F0620"/>
    <w:rsid w:val="005F0F41"/>
    <w:rsid w:val="005F12A4"/>
    <w:rsid w:val="005F1C18"/>
    <w:rsid w:val="005F4349"/>
    <w:rsid w:val="005F5127"/>
    <w:rsid w:val="00603446"/>
    <w:rsid w:val="00604FAB"/>
    <w:rsid w:val="00605EF0"/>
    <w:rsid w:val="00611172"/>
    <w:rsid w:val="00614313"/>
    <w:rsid w:val="00614B04"/>
    <w:rsid w:val="006212C5"/>
    <w:rsid w:val="00621FC7"/>
    <w:rsid w:val="0062451C"/>
    <w:rsid w:val="006252F5"/>
    <w:rsid w:val="006303C0"/>
    <w:rsid w:val="00634368"/>
    <w:rsid w:val="006362D3"/>
    <w:rsid w:val="00637EFF"/>
    <w:rsid w:val="00641B39"/>
    <w:rsid w:val="00643C7A"/>
    <w:rsid w:val="00644DB2"/>
    <w:rsid w:val="00645305"/>
    <w:rsid w:val="006473BA"/>
    <w:rsid w:val="006503CC"/>
    <w:rsid w:val="006546BB"/>
    <w:rsid w:val="006571D8"/>
    <w:rsid w:val="00657E53"/>
    <w:rsid w:val="00660004"/>
    <w:rsid w:val="00660A41"/>
    <w:rsid w:val="00660BF7"/>
    <w:rsid w:val="00662CA2"/>
    <w:rsid w:val="00665FC6"/>
    <w:rsid w:val="006667FD"/>
    <w:rsid w:val="00672BF3"/>
    <w:rsid w:val="00672D60"/>
    <w:rsid w:val="00673AD2"/>
    <w:rsid w:val="0067501F"/>
    <w:rsid w:val="006807CF"/>
    <w:rsid w:val="0068158E"/>
    <w:rsid w:val="0068367E"/>
    <w:rsid w:val="00685285"/>
    <w:rsid w:val="006879B8"/>
    <w:rsid w:val="006900A1"/>
    <w:rsid w:val="00690D42"/>
    <w:rsid w:val="00691614"/>
    <w:rsid w:val="00692692"/>
    <w:rsid w:val="00694AA5"/>
    <w:rsid w:val="006A21C2"/>
    <w:rsid w:val="006A6253"/>
    <w:rsid w:val="006A6B4F"/>
    <w:rsid w:val="006A7675"/>
    <w:rsid w:val="006B478F"/>
    <w:rsid w:val="006B735C"/>
    <w:rsid w:val="006C2FA8"/>
    <w:rsid w:val="006C5778"/>
    <w:rsid w:val="006C6D37"/>
    <w:rsid w:val="006C7106"/>
    <w:rsid w:val="006C7A6B"/>
    <w:rsid w:val="006C7CD1"/>
    <w:rsid w:val="006D160D"/>
    <w:rsid w:val="006D3261"/>
    <w:rsid w:val="006E3412"/>
    <w:rsid w:val="006E4290"/>
    <w:rsid w:val="006E452C"/>
    <w:rsid w:val="006F1D4A"/>
    <w:rsid w:val="006F2872"/>
    <w:rsid w:val="006F44AF"/>
    <w:rsid w:val="006F67FB"/>
    <w:rsid w:val="00700C36"/>
    <w:rsid w:val="00701F04"/>
    <w:rsid w:val="0070241F"/>
    <w:rsid w:val="007053B7"/>
    <w:rsid w:val="00706EB2"/>
    <w:rsid w:val="00707FB5"/>
    <w:rsid w:val="007103F9"/>
    <w:rsid w:val="00716A35"/>
    <w:rsid w:val="00717258"/>
    <w:rsid w:val="0072026C"/>
    <w:rsid w:val="0072123B"/>
    <w:rsid w:val="0072138E"/>
    <w:rsid w:val="0072172A"/>
    <w:rsid w:val="0072222E"/>
    <w:rsid w:val="0072327D"/>
    <w:rsid w:val="00723D32"/>
    <w:rsid w:val="007253E1"/>
    <w:rsid w:val="00734736"/>
    <w:rsid w:val="007358BC"/>
    <w:rsid w:val="007429C4"/>
    <w:rsid w:val="00744259"/>
    <w:rsid w:val="0074449E"/>
    <w:rsid w:val="00744A9B"/>
    <w:rsid w:val="00745906"/>
    <w:rsid w:val="00746BB1"/>
    <w:rsid w:val="007473D9"/>
    <w:rsid w:val="00747B18"/>
    <w:rsid w:val="00751D81"/>
    <w:rsid w:val="00752AC3"/>
    <w:rsid w:val="007549BE"/>
    <w:rsid w:val="007552D8"/>
    <w:rsid w:val="00761424"/>
    <w:rsid w:val="00762AA1"/>
    <w:rsid w:val="00763C7F"/>
    <w:rsid w:val="00766490"/>
    <w:rsid w:val="00771CC9"/>
    <w:rsid w:val="00772ACA"/>
    <w:rsid w:val="007748E9"/>
    <w:rsid w:val="007839E8"/>
    <w:rsid w:val="00786139"/>
    <w:rsid w:val="00786E37"/>
    <w:rsid w:val="00787D6D"/>
    <w:rsid w:val="00792963"/>
    <w:rsid w:val="00795660"/>
    <w:rsid w:val="007A1B16"/>
    <w:rsid w:val="007A5EE6"/>
    <w:rsid w:val="007B3263"/>
    <w:rsid w:val="007B4B4E"/>
    <w:rsid w:val="007B4BFA"/>
    <w:rsid w:val="007C01CD"/>
    <w:rsid w:val="007C0D02"/>
    <w:rsid w:val="007C193C"/>
    <w:rsid w:val="007C248E"/>
    <w:rsid w:val="007C49C5"/>
    <w:rsid w:val="007C54E6"/>
    <w:rsid w:val="007C5AED"/>
    <w:rsid w:val="007C5FE7"/>
    <w:rsid w:val="007C733B"/>
    <w:rsid w:val="007C7EA7"/>
    <w:rsid w:val="007D0ED5"/>
    <w:rsid w:val="007D1038"/>
    <w:rsid w:val="007D2366"/>
    <w:rsid w:val="007D4FE1"/>
    <w:rsid w:val="007E29C8"/>
    <w:rsid w:val="007E759F"/>
    <w:rsid w:val="007E7ABB"/>
    <w:rsid w:val="007E7EBF"/>
    <w:rsid w:val="007F0B1E"/>
    <w:rsid w:val="007F2781"/>
    <w:rsid w:val="007F3114"/>
    <w:rsid w:val="007F3183"/>
    <w:rsid w:val="007F415A"/>
    <w:rsid w:val="007F4B8D"/>
    <w:rsid w:val="007F5DD8"/>
    <w:rsid w:val="007F6BAF"/>
    <w:rsid w:val="007F7D59"/>
    <w:rsid w:val="00810494"/>
    <w:rsid w:val="00814172"/>
    <w:rsid w:val="00820B1C"/>
    <w:rsid w:val="00822803"/>
    <w:rsid w:val="00824963"/>
    <w:rsid w:val="00824CA5"/>
    <w:rsid w:val="008262F5"/>
    <w:rsid w:val="008307CD"/>
    <w:rsid w:val="00831EE3"/>
    <w:rsid w:val="00834E82"/>
    <w:rsid w:val="008368F7"/>
    <w:rsid w:val="00837DBF"/>
    <w:rsid w:val="00840AFB"/>
    <w:rsid w:val="0084137E"/>
    <w:rsid w:val="00851502"/>
    <w:rsid w:val="00852029"/>
    <w:rsid w:val="0085202A"/>
    <w:rsid w:val="00853331"/>
    <w:rsid w:val="0085436A"/>
    <w:rsid w:val="008543FE"/>
    <w:rsid w:val="00854E4C"/>
    <w:rsid w:val="00856FE9"/>
    <w:rsid w:val="00861142"/>
    <w:rsid w:val="00867B98"/>
    <w:rsid w:val="00870763"/>
    <w:rsid w:val="008766FA"/>
    <w:rsid w:val="00881B00"/>
    <w:rsid w:val="00883827"/>
    <w:rsid w:val="00885DBD"/>
    <w:rsid w:val="00891002"/>
    <w:rsid w:val="008932FA"/>
    <w:rsid w:val="0089411C"/>
    <w:rsid w:val="008A0915"/>
    <w:rsid w:val="008A1431"/>
    <w:rsid w:val="008A257B"/>
    <w:rsid w:val="008A3894"/>
    <w:rsid w:val="008A4338"/>
    <w:rsid w:val="008A6E3F"/>
    <w:rsid w:val="008B221E"/>
    <w:rsid w:val="008B35C6"/>
    <w:rsid w:val="008B3E0F"/>
    <w:rsid w:val="008B61BF"/>
    <w:rsid w:val="008B6EC5"/>
    <w:rsid w:val="008B6EDA"/>
    <w:rsid w:val="008C7E67"/>
    <w:rsid w:val="008D1102"/>
    <w:rsid w:val="008D20FD"/>
    <w:rsid w:val="008D2E74"/>
    <w:rsid w:val="008D3D04"/>
    <w:rsid w:val="008D5735"/>
    <w:rsid w:val="008D59DC"/>
    <w:rsid w:val="008D62E9"/>
    <w:rsid w:val="008E05BA"/>
    <w:rsid w:val="008E6C62"/>
    <w:rsid w:val="008F0A8C"/>
    <w:rsid w:val="008F66F1"/>
    <w:rsid w:val="008F6DB1"/>
    <w:rsid w:val="009011BE"/>
    <w:rsid w:val="00905536"/>
    <w:rsid w:val="00905865"/>
    <w:rsid w:val="00905E62"/>
    <w:rsid w:val="00906A06"/>
    <w:rsid w:val="00907402"/>
    <w:rsid w:val="009111A8"/>
    <w:rsid w:val="0091730A"/>
    <w:rsid w:val="00917643"/>
    <w:rsid w:val="00917A1A"/>
    <w:rsid w:val="00922017"/>
    <w:rsid w:val="00923CD8"/>
    <w:rsid w:val="00924B10"/>
    <w:rsid w:val="0092639C"/>
    <w:rsid w:val="0093341D"/>
    <w:rsid w:val="009349DF"/>
    <w:rsid w:val="00941C14"/>
    <w:rsid w:val="00943B0D"/>
    <w:rsid w:val="009443E9"/>
    <w:rsid w:val="00946088"/>
    <w:rsid w:val="0094626B"/>
    <w:rsid w:val="00951EDB"/>
    <w:rsid w:val="00951FB6"/>
    <w:rsid w:val="0095217A"/>
    <w:rsid w:val="00952CF7"/>
    <w:rsid w:val="00953F11"/>
    <w:rsid w:val="009568D7"/>
    <w:rsid w:val="0095696C"/>
    <w:rsid w:val="00956E6A"/>
    <w:rsid w:val="00957875"/>
    <w:rsid w:val="009621C7"/>
    <w:rsid w:val="00971678"/>
    <w:rsid w:val="00973F64"/>
    <w:rsid w:val="00975C4F"/>
    <w:rsid w:val="00975E24"/>
    <w:rsid w:val="009767FF"/>
    <w:rsid w:val="00977F73"/>
    <w:rsid w:val="00980A05"/>
    <w:rsid w:val="00980B67"/>
    <w:rsid w:val="00982835"/>
    <w:rsid w:val="0098636B"/>
    <w:rsid w:val="00990BC7"/>
    <w:rsid w:val="009911D7"/>
    <w:rsid w:val="009916DA"/>
    <w:rsid w:val="009947AF"/>
    <w:rsid w:val="009A1673"/>
    <w:rsid w:val="009A1756"/>
    <w:rsid w:val="009A202C"/>
    <w:rsid w:val="009A77EE"/>
    <w:rsid w:val="009A7C1C"/>
    <w:rsid w:val="009A7DD0"/>
    <w:rsid w:val="009B2459"/>
    <w:rsid w:val="009B71C9"/>
    <w:rsid w:val="009B7678"/>
    <w:rsid w:val="009C176B"/>
    <w:rsid w:val="009C17CE"/>
    <w:rsid w:val="009C2480"/>
    <w:rsid w:val="009C2C35"/>
    <w:rsid w:val="009C4914"/>
    <w:rsid w:val="009C67EA"/>
    <w:rsid w:val="009D5ABD"/>
    <w:rsid w:val="009D5B89"/>
    <w:rsid w:val="009D696E"/>
    <w:rsid w:val="009E0898"/>
    <w:rsid w:val="009F0B99"/>
    <w:rsid w:val="009F1B41"/>
    <w:rsid w:val="009F6D76"/>
    <w:rsid w:val="009F72EA"/>
    <w:rsid w:val="009F7FF3"/>
    <w:rsid w:val="00A0537F"/>
    <w:rsid w:val="00A100F1"/>
    <w:rsid w:val="00A14120"/>
    <w:rsid w:val="00A15ED4"/>
    <w:rsid w:val="00A16CDE"/>
    <w:rsid w:val="00A21B57"/>
    <w:rsid w:val="00A23496"/>
    <w:rsid w:val="00A2507C"/>
    <w:rsid w:val="00A267AE"/>
    <w:rsid w:val="00A27D0F"/>
    <w:rsid w:val="00A354A7"/>
    <w:rsid w:val="00A37F6C"/>
    <w:rsid w:val="00A4060E"/>
    <w:rsid w:val="00A433D9"/>
    <w:rsid w:val="00A453CD"/>
    <w:rsid w:val="00A45A27"/>
    <w:rsid w:val="00A474B3"/>
    <w:rsid w:val="00A47E46"/>
    <w:rsid w:val="00A50248"/>
    <w:rsid w:val="00A50478"/>
    <w:rsid w:val="00A52227"/>
    <w:rsid w:val="00A55A94"/>
    <w:rsid w:val="00A56FF4"/>
    <w:rsid w:val="00A61D68"/>
    <w:rsid w:val="00A62272"/>
    <w:rsid w:val="00A63802"/>
    <w:rsid w:val="00A65711"/>
    <w:rsid w:val="00A66A01"/>
    <w:rsid w:val="00A703ED"/>
    <w:rsid w:val="00A71F14"/>
    <w:rsid w:val="00A720EE"/>
    <w:rsid w:val="00A75331"/>
    <w:rsid w:val="00A76535"/>
    <w:rsid w:val="00A77229"/>
    <w:rsid w:val="00A80683"/>
    <w:rsid w:val="00A811E9"/>
    <w:rsid w:val="00A83BD1"/>
    <w:rsid w:val="00A859DC"/>
    <w:rsid w:val="00A92359"/>
    <w:rsid w:val="00A93C21"/>
    <w:rsid w:val="00A93E6C"/>
    <w:rsid w:val="00A95CDF"/>
    <w:rsid w:val="00A95F0F"/>
    <w:rsid w:val="00AA2C38"/>
    <w:rsid w:val="00AA3F21"/>
    <w:rsid w:val="00AB207C"/>
    <w:rsid w:val="00AB4509"/>
    <w:rsid w:val="00AB4B59"/>
    <w:rsid w:val="00AB6914"/>
    <w:rsid w:val="00AC03B9"/>
    <w:rsid w:val="00AC0594"/>
    <w:rsid w:val="00AC117E"/>
    <w:rsid w:val="00AC2FD4"/>
    <w:rsid w:val="00AC3B7B"/>
    <w:rsid w:val="00AC4490"/>
    <w:rsid w:val="00AC7F24"/>
    <w:rsid w:val="00AD0EE6"/>
    <w:rsid w:val="00AD379D"/>
    <w:rsid w:val="00AD4BCB"/>
    <w:rsid w:val="00AD5197"/>
    <w:rsid w:val="00AD6FBE"/>
    <w:rsid w:val="00AD740D"/>
    <w:rsid w:val="00AD7ED0"/>
    <w:rsid w:val="00AE0ED1"/>
    <w:rsid w:val="00AF6CB6"/>
    <w:rsid w:val="00B013F9"/>
    <w:rsid w:val="00B04441"/>
    <w:rsid w:val="00B057ED"/>
    <w:rsid w:val="00B07241"/>
    <w:rsid w:val="00B10FAE"/>
    <w:rsid w:val="00B12497"/>
    <w:rsid w:val="00B136E6"/>
    <w:rsid w:val="00B15E5F"/>
    <w:rsid w:val="00B22AEA"/>
    <w:rsid w:val="00B24645"/>
    <w:rsid w:val="00B2491B"/>
    <w:rsid w:val="00B25F6E"/>
    <w:rsid w:val="00B27259"/>
    <w:rsid w:val="00B31D91"/>
    <w:rsid w:val="00B322F1"/>
    <w:rsid w:val="00B34419"/>
    <w:rsid w:val="00B36CC3"/>
    <w:rsid w:val="00B432D3"/>
    <w:rsid w:val="00B44012"/>
    <w:rsid w:val="00B5045E"/>
    <w:rsid w:val="00B57A1C"/>
    <w:rsid w:val="00B601AC"/>
    <w:rsid w:val="00B6168E"/>
    <w:rsid w:val="00B662DC"/>
    <w:rsid w:val="00B66E67"/>
    <w:rsid w:val="00B66F14"/>
    <w:rsid w:val="00B6735E"/>
    <w:rsid w:val="00B701DC"/>
    <w:rsid w:val="00B7106F"/>
    <w:rsid w:val="00B7497B"/>
    <w:rsid w:val="00B7607D"/>
    <w:rsid w:val="00B76110"/>
    <w:rsid w:val="00B76F8B"/>
    <w:rsid w:val="00B77F87"/>
    <w:rsid w:val="00B8187B"/>
    <w:rsid w:val="00B82054"/>
    <w:rsid w:val="00B83AE3"/>
    <w:rsid w:val="00B83B92"/>
    <w:rsid w:val="00B85769"/>
    <w:rsid w:val="00B86BDE"/>
    <w:rsid w:val="00B92423"/>
    <w:rsid w:val="00B93F1A"/>
    <w:rsid w:val="00BA1CD6"/>
    <w:rsid w:val="00BA1F03"/>
    <w:rsid w:val="00BA4770"/>
    <w:rsid w:val="00BA5480"/>
    <w:rsid w:val="00BA5CCB"/>
    <w:rsid w:val="00BA70F0"/>
    <w:rsid w:val="00BB4F5D"/>
    <w:rsid w:val="00BB5BE4"/>
    <w:rsid w:val="00BB6575"/>
    <w:rsid w:val="00BB6F0E"/>
    <w:rsid w:val="00BC21EC"/>
    <w:rsid w:val="00BC597A"/>
    <w:rsid w:val="00BC680C"/>
    <w:rsid w:val="00BC754A"/>
    <w:rsid w:val="00BD2D34"/>
    <w:rsid w:val="00BD3621"/>
    <w:rsid w:val="00BD3FF6"/>
    <w:rsid w:val="00BD4A2C"/>
    <w:rsid w:val="00BD591E"/>
    <w:rsid w:val="00BD7302"/>
    <w:rsid w:val="00BE351C"/>
    <w:rsid w:val="00BE5E18"/>
    <w:rsid w:val="00BE5F81"/>
    <w:rsid w:val="00BE6D60"/>
    <w:rsid w:val="00BF18FA"/>
    <w:rsid w:val="00BF2AB9"/>
    <w:rsid w:val="00BF3A5F"/>
    <w:rsid w:val="00BF6D7B"/>
    <w:rsid w:val="00C00DD9"/>
    <w:rsid w:val="00C02BE0"/>
    <w:rsid w:val="00C0455B"/>
    <w:rsid w:val="00C1075D"/>
    <w:rsid w:val="00C13DA7"/>
    <w:rsid w:val="00C14659"/>
    <w:rsid w:val="00C14C3C"/>
    <w:rsid w:val="00C166B4"/>
    <w:rsid w:val="00C265A7"/>
    <w:rsid w:val="00C26E5C"/>
    <w:rsid w:val="00C27AB5"/>
    <w:rsid w:val="00C32BF6"/>
    <w:rsid w:val="00C33332"/>
    <w:rsid w:val="00C370DA"/>
    <w:rsid w:val="00C373F3"/>
    <w:rsid w:val="00C40991"/>
    <w:rsid w:val="00C41827"/>
    <w:rsid w:val="00C42F05"/>
    <w:rsid w:val="00C44E91"/>
    <w:rsid w:val="00C465FF"/>
    <w:rsid w:val="00C536EF"/>
    <w:rsid w:val="00C5588E"/>
    <w:rsid w:val="00C606A8"/>
    <w:rsid w:val="00C61248"/>
    <w:rsid w:val="00C62886"/>
    <w:rsid w:val="00C63F83"/>
    <w:rsid w:val="00C642C4"/>
    <w:rsid w:val="00C678C9"/>
    <w:rsid w:val="00C816B7"/>
    <w:rsid w:val="00C81B36"/>
    <w:rsid w:val="00C84326"/>
    <w:rsid w:val="00C86245"/>
    <w:rsid w:val="00C87D00"/>
    <w:rsid w:val="00C90ED2"/>
    <w:rsid w:val="00C9135F"/>
    <w:rsid w:val="00C91AA8"/>
    <w:rsid w:val="00C944B7"/>
    <w:rsid w:val="00CA0E9D"/>
    <w:rsid w:val="00CA0FE8"/>
    <w:rsid w:val="00CA3370"/>
    <w:rsid w:val="00CA3CE7"/>
    <w:rsid w:val="00CA564A"/>
    <w:rsid w:val="00CA623B"/>
    <w:rsid w:val="00CA725F"/>
    <w:rsid w:val="00CA74AC"/>
    <w:rsid w:val="00CB2247"/>
    <w:rsid w:val="00CB3B2A"/>
    <w:rsid w:val="00CB4F28"/>
    <w:rsid w:val="00CB5F16"/>
    <w:rsid w:val="00CB6CF4"/>
    <w:rsid w:val="00CC0264"/>
    <w:rsid w:val="00CC0266"/>
    <w:rsid w:val="00CC2EA2"/>
    <w:rsid w:val="00CC49ED"/>
    <w:rsid w:val="00CC7292"/>
    <w:rsid w:val="00CC7A1D"/>
    <w:rsid w:val="00CD10EB"/>
    <w:rsid w:val="00CD145E"/>
    <w:rsid w:val="00CD24A1"/>
    <w:rsid w:val="00CD3598"/>
    <w:rsid w:val="00CD507B"/>
    <w:rsid w:val="00CE3404"/>
    <w:rsid w:val="00CE422B"/>
    <w:rsid w:val="00CE68E3"/>
    <w:rsid w:val="00CF023D"/>
    <w:rsid w:val="00CF1117"/>
    <w:rsid w:val="00CF1153"/>
    <w:rsid w:val="00CF2FB1"/>
    <w:rsid w:val="00CF359F"/>
    <w:rsid w:val="00D01591"/>
    <w:rsid w:val="00D02FE8"/>
    <w:rsid w:val="00D049B1"/>
    <w:rsid w:val="00D04B16"/>
    <w:rsid w:val="00D11239"/>
    <w:rsid w:val="00D20DC5"/>
    <w:rsid w:val="00D2259D"/>
    <w:rsid w:val="00D27399"/>
    <w:rsid w:val="00D32873"/>
    <w:rsid w:val="00D356C5"/>
    <w:rsid w:val="00D36A90"/>
    <w:rsid w:val="00D40587"/>
    <w:rsid w:val="00D44016"/>
    <w:rsid w:val="00D44B75"/>
    <w:rsid w:val="00D5428B"/>
    <w:rsid w:val="00D63EB7"/>
    <w:rsid w:val="00D643A2"/>
    <w:rsid w:val="00D64A54"/>
    <w:rsid w:val="00D660CB"/>
    <w:rsid w:val="00D67EB7"/>
    <w:rsid w:val="00D707E3"/>
    <w:rsid w:val="00D7550A"/>
    <w:rsid w:val="00D75FC7"/>
    <w:rsid w:val="00D8107D"/>
    <w:rsid w:val="00D91137"/>
    <w:rsid w:val="00D911EA"/>
    <w:rsid w:val="00D94485"/>
    <w:rsid w:val="00D9636F"/>
    <w:rsid w:val="00D96906"/>
    <w:rsid w:val="00D969B4"/>
    <w:rsid w:val="00D97169"/>
    <w:rsid w:val="00DA0367"/>
    <w:rsid w:val="00DA3AEA"/>
    <w:rsid w:val="00DA49B2"/>
    <w:rsid w:val="00DA4D0D"/>
    <w:rsid w:val="00DA529B"/>
    <w:rsid w:val="00DA790A"/>
    <w:rsid w:val="00DB23AE"/>
    <w:rsid w:val="00DB273E"/>
    <w:rsid w:val="00DB27E9"/>
    <w:rsid w:val="00DB440A"/>
    <w:rsid w:val="00DD03BD"/>
    <w:rsid w:val="00DD30F3"/>
    <w:rsid w:val="00DD5018"/>
    <w:rsid w:val="00DD5CC1"/>
    <w:rsid w:val="00DD6A70"/>
    <w:rsid w:val="00DD7129"/>
    <w:rsid w:val="00DE07F7"/>
    <w:rsid w:val="00DE0809"/>
    <w:rsid w:val="00DE48C1"/>
    <w:rsid w:val="00DE4EB8"/>
    <w:rsid w:val="00DE6613"/>
    <w:rsid w:val="00DF0B9C"/>
    <w:rsid w:val="00DF1F23"/>
    <w:rsid w:val="00DF2B05"/>
    <w:rsid w:val="00DF4662"/>
    <w:rsid w:val="00DF4C22"/>
    <w:rsid w:val="00DF7D89"/>
    <w:rsid w:val="00DF7FA5"/>
    <w:rsid w:val="00E00C45"/>
    <w:rsid w:val="00E0226A"/>
    <w:rsid w:val="00E029D2"/>
    <w:rsid w:val="00E06412"/>
    <w:rsid w:val="00E07A30"/>
    <w:rsid w:val="00E10534"/>
    <w:rsid w:val="00E115F8"/>
    <w:rsid w:val="00E14A6B"/>
    <w:rsid w:val="00E15B35"/>
    <w:rsid w:val="00E1684D"/>
    <w:rsid w:val="00E311B8"/>
    <w:rsid w:val="00E3681D"/>
    <w:rsid w:val="00E3788F"/>
    <w:rsid w:val="00E37D0D"/>
    <w:rsid w:val="00E4203E"/>
    <w:rsid w:val="00E44CCB"/>
    <w:rsid w:val="00E53CF0"/>
    <w:rsid w:val="00E57180"/>
    <w:rsid w:val="00E602CE"/>
    <w:rsid w:val="00E61764"/>
    <w:rsid w:val="00E62128"/>
    <w:rsid w:val="00E6228D"/>
    <w:rsid w:val="00E62794"/>
    <w:rsid w:val="00E70BC7"/>
    <w:rsid w:val="00E71DD7"/>
    <w:rsid w:val="00E73290"/>
    <w:rsid w:val="00E74BC7"/>
    <w:rsid w:val="00E7502F"/>
    <w:rsid w:val="00E77694"/>
    <w:rsid w:val="00E8145A"/>
    <w:rsid w:val="00E82448"/>
    <w:rsid w:val="00E8367B"/>
    <w:rsid w:val="00E84DF5"/>
    <w:rsid w:val="00E86C4E"/>
    <w:rsid w:val="00E86F0D"/>
    <w:rsid w:val="00E8754E"/>
    <w:rsid w:val="00E92C5A"/>
    <w:rsid w:val="00E94F8D"/>
    <w:rsid w:val="00E956BE"/>
    <w:rsid w:val="00E95997"/>
    <w:rsid w:val="00EA1156"/>
    <w:rsid w:val="00EA206B"/>
    <w:rsid w:val="00EA2A54"/>
    <w:rsid w:val="00EA70B5"/>
    <w:rsid w:val="00EB289C"/>
    <w:rsid w:val="00EB28AA"/>
    <w:rsid w:val="00EB6AFC"/>
    <w:rsid w:val="00EC1E61"/>
    <w:rsid w:val="00EC4FA3"/>
    <w:rsid w:val="00ED068A"/>
    <w:rsid w:val="00ED1F5F"/>
    <w:rsid w:val="00ED2E12"/>
    <w:rsid w:val="00ED3805"/>
    <w:rsid w:val="00ED5908"/>
    <w:rsid w:val="00EE17F4"/>
    <w:rsid w:val="00EE1FDE"/>
    <w:rsid w:val="00EE49B2"/>
    <w:rsid w:val="00EE4E7A"/>
    <w:rsid w:val="00EE6F21"/>
    <w:rsid w:val="00EE7144"/>
    <w:rsid w:val="00EF19F0"/>
    <w:rsid w:val="00EF21DA"/>
    <w:rsid w:val="00EF598A"/>
    <w:rsid w:val="00EF76A1"/>
    <w:rsid w:val="00EF7826"/>
    <w:rsid w:val="00EF7D4C"/>
    <w:rsid w:val="00F002BC"/>
    <w:rsid w:val="00F022BB"/>
    <w:rsid w:val="00F02604"/>
    <w:rsid w:val="00F03EF6"/>
    <w:rsid w:val="00F05109"/>
    <w:rsid w:val="00F060CB"/>
    <w:rsid w:val="00F062BA"/>
    <w:rsid w:val="00F075E4"/>
    <w:rsid w:val="00F113E5"/>
    <w:rsid w:val="00F14F2A"/>
    <w:rsid w:val="00F156CC"/>
    <w:rsid w:val="00F27351"/>
    <w:rsid w:val="00F3181A"/>
    <w:rsid w:val="00F3232A"/>
    <w:rsid w:val="00F3723E"/>
    <w:rsid w:val="00F42221"/>
    <w:rsid w:val="00F453D5"/>
    <w:rsid w:val="00F46721"/>
    <w:rsid w:val="00F50B62"/>
    <w:rsid w:val="00F52C3C"/>
    <w:rsid w:val="00F54449"/>
    <w:rsid w:val="00F62257"/>
    <w:rsid w:val="00F64EFA"/>
    <w:rsid w:val="00F6596F"/>
    <w:rsid w:val="00F6730F"/>
    <w:rsid w:val="00F67540"/>
    <w:rsid w:val="00F736B0"/>
    <w:rsid w:val="00F82359"/>
    <w:rsid w:val="00F82FBB"/>
    <w:rsid w:val="00F90142"/>
    <w:rsid w:val="00F934AC"/>
    <w:rsid w:val="00F973BC"/>
    <w:rsid w:val="00FA079B"/>
    <w:rsid w:val="00FA219F"/>
    <w:rsid w:val="00FA62C2"/>
    <w:rsid w:val="00FB1901"/>
    <w:rsid w:val="00FB5C07"/>
    <w:rsid w:val="00FB5F0A"/>
    <w:rsid w:val="00FB6EA6"/>
    <w:rsid w:val="00FB71B6"/>
    <w:rsid w:val="00FC2C43"/>
    <w:rsid w:val="00FC7A54"/>
    <w:rsid w:val="00FC7F98"/>
    <w:rsid w:val="00FD113E"/>
    <w:rsid w:val="00FD3521"/>
    <w:rsid w:val="00FD36E1"/>
    <w:rsid w:val="00FD70CD"/>
    <w:rsid w:val="00FD73AA"/>
    <w:rsid w:val="00FD7677"/>
    <w:rsid w:val="00FE1A61"/>
    <w:rsid w:val="00FE2FB7"/>
    <w:rsid w:val="00FE41D9"/>
    <w:rsid w:val="00FE594C"/>
    <w:rsid w:val="00FF4106"/>
    <w:rsid w:val="00FF5E3A"/>
    <w:rsid w:val="00FF7B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84E5"/>
  <w15:chartTrackingRefBased/>
  <w15:docId w15:val="{16A3A873-CBFE-4BDF-B738-6620C82B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C45"/>
  </w:style>
  <w:style w:type="paragraph" w:styleId="Footer">
    <w:name w:val="footer"/>
    <w:basedOn w:val="Normal"/>
    <w:link w:val="FooterChar"/>
    <w:uiPriority w:val="99"/>
    <w:unhideWhenUsed/>
    <w:rsid w:val="00E00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C45"/>
  </w:style>
  <w:style w:type="paragraph" w:styleId="NormalWeb">
    <w:name w:val="Normal (Web)"/>
    <w:basedOn w:val="Normal"/>
    <w:uiPriority w:val="99"/>
    <w:unhideWhenUsed/>
    <w:rsid w:val="007D103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FootnoteText">
    <w:name w:val="footnote text"/>
    <w:basedOn w:val="Normal"/>
    <w:link w:val="FootnoteTextChar"/>
    <w:uiPriority w:val="99"/>
    <w:semiHidden/>
    <w:unhideWhenUsed/>
    <w:rsid w:val="003B38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857"/>
    <w:rPr>
      <w:sz w:val="20"/>
      <w:szCs w:val="20"/>
    </w:rPr>
  </w:style>
  <w:style w:type="character" w:styleId="FootnoteReference">
    <w:name w:val="footnote reference"/>
    <w:basedOn w:val="DefaultParagraphFont"/>
    <w:uiPriority w:val="99"/>
    <w:semiHidden/>
    <w:unhideWhenUsed/>
    <w:rsid w:val="003B3857"/>
    <w:rPr>
      <w:vertAlign w:val="superscript"/>
    </w:rPr>
  </w:style>
  <w:style w:type="character" w:styleId="Hyperlink">
    <w:name w:val="Hyperlink"/>
    <w:basedOn w:val="DefaultParagraphFont"/>
    <w:uiPriority w:val="99"/>
    <w:unhideWhenUsed/>
    <w:rsid w:val="00346FCD"/>
    <w:rPr>
      <w:color w:val="0563C1" w:themeColor="hyperlink"/>
      <w:u w:val="single"/>
    </w:rPr>
  </w:style>
  <w:style w:type="character" w:customStyle="1" w:styleId="UnresolvedMention">
    <w:name w:val="Unresolved Mention"/>
    <w:basedOn w:val="DefaultParagraphFont"/>
    <w:uiPriority w:val="99"/>
    <w:semiHidden/>
    <w:unhideWhenUsed/>
    <w:rsid w:val="00B31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79959">
      <w:bodyDiv w:val="1"/>
      <w:marLeft w:val="0"/>
      <w:marRight w:val="0"/>
      <w:marTop w:val="0"/>
      <w:marBottom w:val="0"/>
      <w:divBdr>
        <w:top w:val="none" w:sz="0" w:space="0" w:color="auto"/>
        <w:left w:val="none" w:sz="0" w:space="0" w:color="auto"/>
        <w:bottom w:val="none" w:sz="0" w:space="0" w:color="auto"/>
        <w:right w:val="none" w:sz="0" w:space="0" w:color="auto"/>
      </w:divBdr>
      <w:divsChild>
        <w:div w:id="1960381761">
          <w:marLeft w:val="0"/>
          <w:marRight w:val="0"/>
          <w:marTop w:val="0"/>
          <w:marBottom w:val="0"/>
          <w:divBdr>
            <w:top w:val="none" w:sz="0" w:space="0" w:color="auto"/>
            <w:left w:val="none" w:sz="0" w:space="0" w:color="auto"/>
            <w:bottom w:val="none" w:sz="0" w:space="0" w:color="auto"/>
            <w:right w:val="none" w:sz="0" w:space="0" w:color="auto"/>
          </w:divBdr>
          <w:divsChild>
            <w:div w:id="618074610">
              <w:marLeft w:val="0"/>
              <w:marRight w:val="0"/>
              <w:marTop w:val="0"/>
              <w:marBottom w:val="0"/>
              <w:divBdr>
                <w:top w:val="none" w:sz="0" w:space="0" w:color="auto"/>
                <w:left w:val="none" w:sz="0" w:space="0" w:color="auto"/>
                <w:bottom w:val="none" w:sz="0" w:space="0" w:color="auto"/>
                <w:right w:val="none" w:sz="0" w:space="0" w:color="auto"/>
              </w:divBdr>
              <w:divsChild>
                <w:div w:id="1711371690">
                  <w:marLeft w:val="0"/>
                  <w:marRight w:val="0"/>
                  <w:marTop w:val="0"/>
                  <w:marBottom w:val="0"/>
                  <w:divBdr>
                    <w:top w:val="none" w:sz="0" w:space="0" w:color="auto"/>
                    <w:left w:val="none" w:sz="0" w:space="0" w:color="auto"/>
                    <w:bottom w:val="none" w:sz="0" w:space="0" w:color="auto"/>
                    <w:right w:val="none" w:sz="0" w:space="0" w:color="auto"/>
                  </w:divBdr>
                </w:div>
              </w:divsChild>
            </w:div>
            <w:div w:id="407965737">
              <w:marLeft w:val="0"/>
              <w:marRight w:val="0"/>
              <w:marTop w:val="0"/>
              <w:marBottom w:val="0"/>
              <w:divBdr>
                <w:top w:val="none" w:sz="0" w:space="0" w:color="auto"/>
                <w:left w:val="none" w:sz="0" w:space="0" w:color="auto"/>
                <w:bottom w:val="none" w:sz="0" w:space="0" w:color="auto"/>
                <w:right w:val="none" w:sz="0" w:space="0" w:color="auto"/>
              </w:divBdr>
              <w:divsChild>
                <w:div w:id="19029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83858">
      <w:bodyDiv w:val="1"/>
      <w:marLeft w:val="0"/>
      <w:marRight w:val="0"/>
      <w:marTop w:val="0"/>
      <w:marBottom w:val="0"/>
      <w:divBdr>
        <w:top w:val="none" w:sz="0" w:space="0" w:color="auto"/>
        <w:left w:val="none" w:sz="0" w:space="0" w:color="auto"/>
        <w:bottom w:val="none" w:sz="0" w:space="0" w:color="auto"/>
        <w:right w:val="none" w:sz="0" w:space="0" w:color="auto"/>
      </w:divBdr>
      <w:divsChild>
        <w:div w:id="636185475">
          <w:marLeft w:val="0"/>
          <w:marRight w:val="0"/>
          <w:marTop w:val="0"/>
          <w:marBottom w:val="0"/>
          <w:divBdr>
            <w:top w:val="none" w:sz="0" w:space="0" w:color="auto"/>
            <w:left w:val="none" w:sz="0" w:space="0" w:color="auto"/>
            <w:bottom w:val="none" w:sz="0" w:space="0" w:color="auto"/>
            <w:right w:val="none" w:sz="0" w:space="0" w:color="auto"/>
          </w:divBdr>
          <w:divsChild>
            <w:div w:id="853109597">
              <w:marLeft w:val="0"/>
              <w:marRight w:val="0"/>
              <w:marTop w:val="0"/>
              <w:marBottom w:val="0"/>
              <w:divBdr>
                <w:top w:val="none" w:sz="0" w:space="0" w:color="auto"/>
                <w:left w:val="none" w:sz="0" w:space="0" w:color="auto"/>
                <w:bottom w:val="none" w:sz="0" w:space="0" w:color="auto"/>
                <w:right w:val="none" w:sz="0" w:space="0" w:color="auto"/>
              </w:divBdr>
              <w:divsChild>
                <w:div w:id="744884555">
                  <w:marLeft w:val="0"/>
                  <w:marRight w:val="0"/>
                  <w:marTop w:val="0"/>
                  <w:marBottom w:val="0"/>
                  <w:divBdr>
                    <w:top w:val="none" w:sz="0" w:space="0" w:color="auto"/>
                    <w:left w:val="none" w:sz="0" w:space="0" w:color="auto"/>
                    <w:bottom w:val="none" w:sz="0" w:space="0" w:color="auto"/>
                    <w:right w:val="none" w:sz="0" w:space="0" w:color="auto"/>
                  </w:divBdr>
                </w:div>
                <w:div w:id="247465242">
                  <w:marLeft w:val="0"/>
                  <w:marRight w:val="0"/>
                  <w:marTop w:val="0"/>
                  <w:marBottom w:val="0"/>
                  <w:divBdr>
                    <w:top w:val="none" w:sz="0" w:space="0" w:color="auto"/>
                    <w:left w:val="none" w:sz="0" w:space="0" w:color="auto"/>
                    <w:bottom w:val="none" w:sz="0" w:space="0" w:color="auto"/>
                    <w:right w:val="none" w:sz="0" w:space="0" w:color="auto"/>
                  </w:divBdr>
                </w:div>
              </w:divsChild>
            </w:div>
            <w:div w:id="862748588">
              <w:marLeft w:val="0"/>
              <w:marRight w:val="0"/>
              <w:marTop w:val="0"/>
              <w:marBottom w:val="0"/>
              <w:divBdr>
                <w:top w:val="none" w:sz="0" w:space="0" w:color="auto"/>
                <w:left w:val="none" w:sz="0" w:space="0" w:color="auto"/>
                <w:bottom w:val="none" w:sz="0" w:space="0" w:color="auto"/>
                <w:right w:val="none" w:sz="0" w:space="0" w:color="auto"/>
              </w:divBdr>
              <w:divsChild>
                <w:div w:id="40520393">
                  <w:marLeft w:val="0"/>
                  <w:marRight w:val="0"/>
                  <w:marTop w:val="0"/>
                  <w:marBottom w:val="0"/>
                  <w:divBdr>
                    <w:top w:val="none" w:sz="0" w:space="0" w:color="auto"/>
                    <w:left w:val="none" w:sz="0" w:space="0" w:color="auto"/>
                    <w:bottom w:val="none" w:sz="0" w:space="0" w:color="auto"/>
                    <w:right w:val="none" w:sz="0" w:space="0" w:color="auto"/>
                  </w:divBdr>
                </w:div>
                <w:div w:id="413624766">
                  <w:marLeft w:val="0"/>
                  <w:marRight w:val="0"/>
                  <w:marTop w:val="0"/>
                  <w:marBottom w:val="0"/>
                  <w:divBdr>
                    <w:top w:val="none" w:sz="0" w:space="0" w:color="auto"/>
                    <w:left w:val="none" w:sz="0" w:space="0" w:color="auto"/>
                    <w:bottom w:val="none" w:sz="0" w:space="0" w:color="auto"/>
                    <w:right w:val="none" w:sz="0" w:space="0" w:color="auto"/>
                  </w:divBdr>
                </w:div>
              </w:divsChild>
            </w:div>
            <w:div w:id="566574131">
              <w:marLeft w:val="0"/>
              <w:marRight w:val="0"/>
              <w:marTop w:val="0"/>
              <w:marBottom w:val="0"/>
              <w:divBdr>
                <w:top w:val="none" w:sz="0" w:space="0" w:color="auto"/>
                <w:left w:val="none" w:sz="0" w:space="0" w:color="auto"/>
                <w:bottom w:val="none" w:sz="0" w:space="0" w:color="auto"/>
                <w:right w:val="none" w:sz="0" w:space="0" w:color="auto"/>
              </w:divBdr>
              <w:divsChild>
                <w:div w:id="424304210">
                  <w:marLeft w:val="0"/>
                  <w:marRight w:val="0"/>
                  <w:marTop w:val="0"/>
                  <w:marBottom w:val="0"/>
                  <w:divBdr>
                    <w:top w:val="none" w:sz="0" w:space="0" w:color="auto"/>
                    <w:left w:val="none" w:sz="0" w:space="0" w:color="auto"/>
                    <w:bottom w:val="none" w:sz="0" w:space="0" w:color="auto"/>
                    <w:right w:val="none" w:sz="0" w:space="0" w:color="auto"/>
                  </w:divBdr>
                </w:div>
              </w:divsChild>
            </w:div>
            <w:div w:id="1821457449">
              <w:marLeft w:val="0"/>
              <w:marRight w:val="0"/>
              <w:marTop w:val="0"/>
              <w:marBottom w:val="0"/>
              <w:divBdr>
                <w:top w:val="none" w:sz="0" w:space="0" w:color="auto"/>
                <w:left w:val="none" w:sz="0" w:space="0" w:color="auto"/>
                <w:bottom w:val="none" w:sz="0" w:space="0" w:color="auto"/>
                <w:right w:val="none" w:sz="0" w:space="0" w:color="auto"/>
              </w:divBdr>
              <w:divsChild>
                <w:div w:id="206795072">
                  <w:marLeft w:val="0"/>
                  <w:marRight w:val="0"/>
                  <w:marTop w:val="0"/>
                  <w:marBottom w:val="0"/>
                  <w:divBdr>
                    <w:top w:val="none" w:sz="0" w:space="0" w:color="auto"/>
                    <w:left w:val="none" w:sz="0" w:space="0" w:color="auto"/>
                    <w:bottom w:val="none" w:sz="0" w:space="0" w:color="auto"/>
                    <w:right w:val="none" w:sz="0" w:space="0" w:color="auto"/>
                  </w:divBdr>
                </w:div>
                <w:div w:id="1461419166">
                  <w:marLeft w:val="0"/>
                  <w:marRight w:val="0"/>
                  <w:marTop w:val="0"/>
                  <w:marBottom w:val="0"/>
                  <w:divBdr>
                    <w:top w:val="none" w:sz="0" w:space="0" w:color="auto"/>
                    <w:left w:val="none" w:sz="0" w:space="0" w:color="auto"/>
                    <w:bottom w:val="none" w:sz="0" w:space="0" w:color="auto"/>
                    <w:right w:val="none" w:sz="0" w:space="0" w:color="auto"/>
                  </w:divBdr>
                </w:div>
              </w:divsChild>
            </w:div>
            <w:div w:id="1523861582">
              <w:marLeft w:val="0"/>
              <w:marRight w:val="0"/>
              <w:marTop w:val="0"/>
              <w:marBottom w:val="0"/>
              <w:divBdr>
                <w:top w:val="none" w:sz="0" w:space="0" w:color="auto"/>
                <w:left w:val="none" w:sz="0" w:space="0" w:color="auto"/>
                <w:bottom w:val="none" w:sz="0" w:space="0" w:color="auto"/>
                <w:right w:val="none" w:sz="0" w:space="0" w:color="auto"/>
              </w:divBdr>
              <w:divsChild>
                <w:div w:id="222449095">
                  <w:marLeft w:val="0"/>
                  <w:marRight w:val="0"/>
                  <w:marTop w:val="0"/>
                  <w:marBottom w:val="0"/>
                  <w:divBdr>
                    <w:top w:val="none" w:sz="0" w:space="0" w:color="auto"/>
                    <w:left w:val="none" w:sz="0" w:space="0" w:color="auto"/>
                    <w:bottom w:val="none" w:sz="0" w:space="0" w:color="auto"/>
                    <w:right w:val="none" w:sz="0" w:space="0" w:color="auto"/>
                  </w:divBdr>
                </w:div>
              </w:divsChild>
            </w:div>
            <w:div w:id="1645888688">
              <w:marLeft w:val="0"/>
              <w:marRight w:val="0"/>
              <w:marTop w:val="0"/>
              <w:marBottom w:val="0"/>
              <w:divBdr>
                <w:top w:val="none" w:sz="0" w:space="0" w:color="auto"/>
                <w:left w:val="none" w:sz="0" w:space="0" w:color="auto"/>
                <w:bottom w:val="none" w:sz="0" w:space="0" w:color="auto"/>
                <w:right w:val="none" w:sz="0" w:space="0" w:color="auto"/>
              </w:divBdr>
              <w:divsChild>
                <w:div w:id="2036730346">
                  <w:marLeft w:val="0"/>
                  <w:marRight w:val="0"/>
                  <w:marTop w:val="0"/>
                  <w:marBottom w:val="0"/>
                  <w:divBdr>
                    <w:top w:val="none" w:sz="0" w:space="0" w:color="auto"/>
                    <w:left w:val="none" w:sz="0" w:space="0" w:color="auto"/>
                    <w:bottom w:val="none" w:sz="0" w:space="0" w:color="auto"/>
                    <w:right w:val="none" w:sz="0" w:space="0" w:color="auto"/>
                  </w:divBdr>
                </w:div>
              </w:divsChild>
            </w:div>
            <w:div w:id="788089768">
              <w:marLeft w:val="0"/>
              <w:marRight w:val="0"/>
              <w:marTop w:val="0"/>
              <w:marBottom w:val="0"/>
              <w:divBdr>
                <w:top w:val="none" w:sz="0" w:space="0" w:color="auto"/>
                <w:left w:val="none" w:sz="0" w:space="0" w:color="auto"/>
                <w:bottom w:val="none" w:sz="0" w:space="0" w:color="auto"/>
                <w:right w:val="none" w:sz="0" w:space="0" w:color="auto"/>
              </w:divBdr>
              <w:divsChild>
                <w:div w:id="499197132">
                  <w:marLeft w:val="0"/>
                  <w:marRight w:val="0"/>
                  <w:marTop w:val="0"/>
                  <w:marBottom w:val="0"/>
                  <w:divBdr>
                    <w:top w:val="none" w:sz="0" w:space="0" w:color="auto"/>
                    <w:left w:val="none" w:sz="0" w:space="0" w:color="auto"/>
                    <w:bottom w:val="none" w:sz="0" w:space="0" w:color="auto"/>
                    <w:right w:val="none" w:sz="0" w:space="0" w:color="auto"/>
                  </w:divBdr>
                </w:div>
              </w:divsChild>
            </w:div>
            <w:div w:id="389890356">
              <w:marLeft w:val="0"/>
              <w:marRight w:val="0"/>
              <w:marTop w:val="0"/>
              <w:marBottom w:val="0"/>
              <w:divBdr>
                <w:top w:val="none" w:sz="0" w:space="0" w:color="auto"/>
                <w:left w:val="none" w:sz="0" w:space="0" w:color="auto"/>
                <w:bottom w:val="none" w:sz="0" w:space="0" w:color="auto"/>
                <w:right w:val="none" w:sz="0" w:space="0" w:color="auto"/>
              </w:divBdr>
              <w:divsChild>
                <w:div w:id="408887709">
                  <w:marLeft w:val="0"/>
                  <w:marRight w:val="0"/>
                  <w:marTop w:val="0"/>
                  <w:marBottom w:val="0"/>
                  <w:divBdr>
                    <w:top w:val="none" w:sz="0" w:space="0" w:color="auto"/>
                    <w:left w:val="none" w:sz="0" w:space="0" w:color="auto"/>
                    <w:bottom w:val="none" w:sz="0" w:space="0" w:color="auto"/>
                    <w:right w:val="none" w:sz="0" w:space="0" w:color="auto"/>
                  </w:divBdr>
                </w:div>
              </w:divsChild>
            </w:div>
            <w:div w:id="310061000">
              <w:marLeft w:val="0"/>
              <w:marRight w:val="0"/>
              <w:marTop w:val="0"/>
              <w:marBottom w:val="0"/>
              <w:divBdr>
                <w:top w:val="none" w:sz="0" w:space="0" w:color="auto"/>
                <w:left w:val="none" w:sz="0" w:space="0" w:color="auto"/>
                <w:bottom w:val="none" w:sz="0" w:space="0" w:color="auto"/>
                <w:right w:val="none" w:sz="0" w:space="0" w:color="auto"/>
              </w:divBdr>
              <w:divsChild>
                <w:div w:id="2959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63598">
      <w:bodyDiv w:val="1"/>
      <w:marLeft w:val="0"/>
      <w:marRight w:val="0"/>
      <w:marTop w:val="0"/>
      <w:marBottom w:val="0"/>
      <w:divBdr>
        <w:top w:val="none" w:sz="0" w:space="0" w:color="auto"/>
        <w:left w:val="none" w:sz="0" w:space="0" w:color="auto"/>
        <w:bottom w:val="none" w:sz="0" w:space="0" w:color="auto"/>
        <w:right w:val="none" w:sz="0" w:space="0" w:color="auto"/>
      </w:divBdr>
      <w:divsChild>
        <w:div w:id="373236400">
          <w:marLeft w:val="0"/>
          <w:marRight w:val="0"/>
          <w:marTop w:val="0"/>
          <w:marBottom w:val="0"/>
          <w:divBdr>
            <w:top w:val="none" w:sz="0" w:space="0" w:color="auto"/>
            <w:left w:val="none" w:sz="0" w:space="0" w:color="auto"/>
            <w:bottom w:val="none" w:sz="0" w:space="0" w:color="auto"/>
            <w:right w:val="none" w:sz="0" w:space="0" w:color="auto"/>
          </w:divBdr>
          <w:divsChild>
            <w:div w:id="1763407937">
              <w:marLeft w:val="0"/>
              <w:marRight w:val="0"/>
              <w:marTop w:val="0"/>
              <w:marBottom w:val="0"/>
              <w:divBdr>
                <w:top w:val="none" w:sz="0" w:space="0" w:color="auto"/>
                <w:left w:val="none" w:sz="0" w:space="0" w:color="auto"/>
                <w:bottom w:val="none" w:sz="0" w:space="0" w:color="auto"/>
                <w:right w:val="none" w:sz="0" w:space="0" w:color="auto"/>
              </w:divBdr>
              <w:divsChild>
                <w:div w:id="1099302475">
                  <w:marLeft w:val="0"/>
                  <w:marRight w:val="0"/>
                  <w:marTop w:val="0"/>
                  <w:marBottom w:val="0"/>
                  <w:divBdr>
                    <w:top w:val="none" w:sz="0" w:space="0" w:color="auto"/>
                    <w:left w:val="none" w:sz="0" w:space="0" w:color="auto"/>
                    <w:bottom w:val="none" w:sz="0" w:space="0" w:color="auto"/>
                    <w:right w:val="none" w:sz="0" w:space="0" w:color="auto"/>
                  </w:divBdr>
                </w:div>
                <w:div w:id="2088188948">
                  <w:marLeft w:val="0"/>
                  <w:marRight w:val="0"/>
                  <w:marTop w:val="0"/>
                  <w:marBottom w:val="0"/>
                  <w:divBdr>
                    <w:top w:val="none" w:sz="0" w:space="0" w:color="auto"/>
                    <w:left w:val="none" w:sz="0" w:space="0" w:color="auto"/>
                    <w:bottom w:val="none" w:sz="0" w:space="0" w:color="auto"/>
                    <w:right w:val="none" w:sz="0" w:space="0" w:color="auto"/>
                  </w:divBdr>
                </w:div>
              </w:divsChild>
            </w:div>
            <w:div w:id="1934632355">
              <w:marLeft w:val="0"/>
              <w:marRight w:val="0"/>
              <w:marTop w:val="0"/>
              <w:marBottom w:val="0"/>
              <w:divBdr>
                <w:top w:val="none" w:sz="0" w:space="0" w:color="auto"/>
                <w:left w:val="none" w:sz="0" w:space="0" w:color="auto"/>
                <w:bottom w:val="none" w:sz="0" w:space="0" w:color="auto"/>
                <w:right w:val="none" w:sz="0" w:space="0" w:color="auto"/>
              </w:divBdr>
              <w:divsChild>
                <w:div w:id="228463762">
                  <w:marLeft w:val="0"/>
                  <w:marRight w:val="0"/>
                  <w:marTop w:val="0"/>
                  <w:marBottom w:val="0"/>
                  <w:divBdr>
                    <w:top w:val="none" w:sz="0" w:space="0" w:color="auto"/>
                    <w:left w:val="none" w:sz="0" w:space="0" w:color="auto"/>
                    <w:bottom w:val="none" w:sz="0" w:space="0" w:color="auto"/>
                    <w:right w:val="none" w:sz="0" w:space="0" w:color="auto"/>
                  </w:divBdr>
                </w:div>
                <w:div w:id="1027366501">
                  <w:marLeft w:val="0"/>
                  <w:marRight w:val="0"/>
                  <w:marTop w:val="0"/>
                  <w:marBottom w:val="0"/>
                  <w:divBdr>
                    <w:top w:val="none" w:sz="0" w:space="0" w:color="auto"/>
                    <w:left w:val="none" w:sz="0" w:space="0" w:color="auto"/>
                    <w:bottom w:val="none" w:sz="0" w:space="0" w:color="auto"/>
                    <w:right w:val="none" w:sz="0" w:space="0" w:color="auto"/>
                  </w:divBdr>
                </w:div>
              </w:divsChild>
            </w:div>
            <w:div w:id="2040155849">
              <w:marLeft w:val="0"/>
              <w:marRight w:val="0"/>
              <w:marTop w:val="0"/>
              <w:marBottom w:val="0"/>
              <w:divBdr>
                <w:top w:val="none" w:sz="0" w:space="0" w:color="auto"/>
                <w:left w:val="none" w:sz="0" w:space="0" w:color="auto"/>
                <w:bottom w:val="none" w:sz="0" w:space="0" w:color="auto"/>
                <w:right w:val="none" w:sz="0" w:space="0" w:color="auto"/>
              </w:divBdr>
              <w:divsChild>
                <w:div w:id="1872064363">
                  <w:marLeft w:val="0"/>
                  <w:marRight w:val="0"/>
                  <w:marTop w:val="0"/>
                  <w:marBottom w:val="0"/>
                  <w:divBdr>
                    <w:top w:val="none" w:sz="0" w:space="0" w:color="auto"/>
                    <w:left w:val="none" w:sz="0" w:space="0" w:color="auto"/>
                    <w:bottom w:val="none" w:sz="0" w:space="0" w:color="auto"/>
                    <w:right w:val="none" w:sz="0" w:space="0" w:color="auto"/>
                  </w:divBdr>
                </w:div>
              </w:divsChild>
            </w:div>
            <w:div w:id="944073127">
              <w:marLeft w:val="0"/>
              <w:marRight w:val="0"/>
              <w:marTop w:val="0"/>
              <w:marBottom w:val="0"/>
              <w:divBdr>
                <w:top w:val="none" w:sz="0" w:space="0" w:color="auto"/>
                <w:left w:val="none" w:sz="0" w:space="0" w:color="auto"/>
                <w:bottom w:val="none" w:sz="0" w:space="0" w:color="auto"/>
                <w:right w:val="none" w:sz="0" w:space="0" w:color="auto"/>
              </w:divBdr>
              <w:divsChild>
                <w:div w:id="369499555">
                  <w:marLeft w:val="0"/>
                  <w:marRight w:val="0"/>
                  <w:marTop w:val="0"/>
                  <w:marBottom w:val="0"/>
                  <w:divBdr>
                    <w:top w:val="none" w:sz="0" w:space="0" w:color="auto"/>
                    <w:left w:val="none" w:sz="0" w:space="0" w:color="auto"/>
                    <w:bottom w:val="none" w:sz="0" w:space="0" w:color="auto"/>
                    <w:right w:val="none" w:sz="0" w:space="0" w:color="auto"/>
                  </w:divBdr>
                </w:div>
                <w:div w:id="2004627004">
                  <w:marLeft w:val="0"/>
                  <w:marRight w:val="0"/>
                  <w:marTop w:val="0"/>
                  <w:marBottom w:val="0"/>
                  <w:divBdr>
                    <w:top w:val="none" w:sz="0" w:space="0" w:color="auto"/>
                    <w:left w:val="none" w:sz="0" w:space="0" w:color="auto"/>
                    <w:bottom w:val="none" w:sz="0" w:space="0" w:color="auto"/>
                    <w:right w:val="none" w:sz="0" w:space="0" w:color="auto"/>
                  </w:divBdr>
                </w:div>
              </w:divsChild>
            </w:div>
            <w:div w:id="472992741">
              <w:marLeft w:val="0"/>
              <w:marRight w:val="0"/>
              <w:marTop w:val="0"/>
              <w:marBottom w:val="0"/>
              <w:divBdr>
                <w:top w:val="none" w:sz="0" w:space="0" w:color="auto"/>
                <w:left w:val="none" w:sz="0" w:space="0" w:color="auto"/>
                <w:bottom w:val="none" w:sz="0" w:space="0" w:color="auto"/>
                <w:right w:val="none" w:sz="0" w:space="0" w:color="auto"/>
              </w:divBdr>
              <w:divsChild>
                <w:div w:id="1474062274">
                  <w:marLeft w:val="0"/>
                  <w:marRight w:val="0"/>
                  <w:marTop w:val="0"/>
                  <w:marBottom w:val="0"/>
                  <w:divBdr>
                    <w:top w:val="none" w:sz="0" w:space="0" w:color="auto"/>
                    <w:left w:val="none" w:sz="0" w:space="0" w:color="auto"/>
                    <w:bottom w:val="none" w:sz="0" w:space="0" w:color="auto"/>
                    <w:right w:val="none" w:sz="0" w:space="0" w:color="auto"/>
                  </w:divBdr>
                </w:div>
              </w:divsChild>
            </w:div>
            <w:div w:id="1619680254">
              <w:marLeft w:val="0"/>
              <w:marRight w:val="0"/>
              <w:marTop w:val="0"/>
              <w:marBottom w:val="0"/>
              <w:divBdr>
                <w:top w:val="none" w:sz="0" w:space="0" w:color="auto"/>
                <w:left w:val="none" w:sz="0" w:space="0" w:color="auto"/>
                <w:bottom w:val="none" w:sz="0" w:space="0" w:color="auto"/>
                <w:right w:val="none" w:sz="0" w:space="0" w:color="auto"/>
              </w:divBdr>
              <w:divsChild>
                <w:div w:id="791559498">
                  <w:marLeft w:val="0"/>
                  <w:marRight w:val="0"/>
                  <w:marTop w:val="0"/>
                  <w:marBottom w:val="0"/>
                  <w:divBdr>
                    <w:top w:val="none" w:sz="0" w:space="0" w:color="auto"/>
                    <w:left w:val="none" w:sz="0" w:space="0" w:color="auto"/>
                    <w:bottom w:val="none" w:sz="0" w:space="0" w:color="auto"/>
                    <w:right w:val="none" w:sz="0" w:space="0" w:color="auto"/>
                  </w:divBdr>
                </w:div>
              </w:divsChild>
            </w:div>
            <w:div w:id="937639924">
              <w:marLeft w:val="0"/>
              <w:marRight w:val="0"/>
              <w:marTop w:val="0"/>
              <w:marBottom w:val="0"/>
              <w:divBdr>
                <w:top w:val="none" w:sz="0" w:space="0" w:color="auto"/>
                <w:left w:val="none" w:sz="0" w:space="0" w:color="auto"/>
                <w:bottom w:val="none" w:sz="0" w:space="0" w:color="auto"/>
                <w:right w:val="none" w:sz="0" w:space="0" w:color="auto"/>
              </w:divBdr>
              <w:divsChild>
                <w:div w:id="1315453237">
                  <w:marLeft w:val="0"/>
                  <w:marRight w:val="0"/>
                  <w:marTop w:val="0"/>
                  <w:marBottom w:val="0"/>
                  <w:divBdr>
                    <w:top w:val="none" w:sz="0" w:space="0" w:color="auto"/>
                    <w:left w:val="none" w:sz="0" w:space="0" w:color="auto"/>
                    <w:bottom w:val="none" w:sz="0" w:space="0" w:color="auto"/>
                    <w:right w:val="none" w:sz="0" w:space="0" w:color="auto"/>
                  </w:divBdr>
                </w:div>
              </w:divsChild>
            </w:div>
            <w:div w:id="1419983041">
              <w:marLeft w:val="0"/>
              <w:marRight w:val="0"/>
              <w:marTop w:val="0"/>
              <w:marBottom w:val="0"/>
              <w:divBdr>
                <w:top w:val="none" w:sz="0" w:space="0" w:color="auto"/>
                <w:left w:val="none" w:sz="0" w:space="0" w:color="auto"/>
                <w:bottom w:val="none" w:sz="0" w:space="0" w:color="auto"/>
                <w:right w:val="none" w:sz="0" w:space="0" w:color="auto"/>
              </w:divBdr>
              <w:divsChild>
                <w:div w:id="119879372">
                  <w:marLeft w:val="0"/>
                  <w:marRight w:val="0"/>
                  <w:marTop w:val="0"/>
                  <w:marBottom w:val="0"/>
                  <w:divBdr>
                    <w:top w:val="none" w:sz="0" w:space="0" w:color="auto"/>
                    <w:left w:val="none" w:sz="0" w:space="0" w:color="auto"/>
                    <w:bottom w:val="none" w:sz="0" w:space="0" w:color="auto"/>
                    <w:right w:val="none" w:sz="0" w:space="0" w:color="auto"/>
                  </w:divBdr>
                </w:div>
              </w:divsChild>
            </w:div>
            <w:div w:id="792090474">
              <w:marLeft w:val="0"/>
              <w:marRight w:val="0"/>
              <w:marTop w:val="0"/>
              <w:marBottom w:val="0"/>
              <w:divBdr>
                <w:top w:val="none" w:sz="0" w:space="0" w:color="auto"/>
                <w:left w:val="none" w:sz="0" w:space="0" w:color="auto"/>
                <w:bottom w:val="none" w:sz="0" w:space="0" w:color="auto"/>
                <w:right w:val="none" w:sz="0" w:space="0" w:color="auto"/>
              </w:divBdr>
              <w:divsChild>
                <w:div w:id="18196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12793">
      <w:bodyDiv w:val="1"/>
      <w:marLeft w:val="0"/>
      <w:marRight w:val="0"/>
      <w:marTop w:val="0"/>
      <w:marBottom w:val="0"/>
      <w:divBdr>
        <w:top w:val="none" w:sz="0" w:space="0" w:color="auto"/>
        <w:left w:val="none" w:sz="0" w:space="0" w:color="auto"/>
        <w:bottom w:val="none" w:sz="0" w:space="0" w:color="auto"/>
        <w:right w:val="none" w:sz="0" w:space="0" w:color="auto"/>
      </w:divBdr>
      <w:divsChild>
        <w:div w:id="618948324">
          <w:marLeft w:val="0"/>
          <w:marRight w:val="0"/>
          <w:marTop w:val="0"/>
          <w:marBottom w:val="0"/>
          <w:divBdr>
            <w:top w:val="none" w:sz="0" w:space="0" w:color="auto"/>
            <w:left w:val="none" w:sz="0" w:space="0" w:color="auto"/>
            <w:bottom w:val="none" w:sz="0" w:space="0" w:color="auto"/>
            <w:right w:val="none" w:sz="0" w:space="0" w:color="auto"/>
          </w:divBdr>
          <w:divsChild>
            <w:div w:id="470094693">
              <w:marLeft w:val="0"/>
              <w:marRight w:val="0"/>
              <w:marTop w:val="0"/>
              <w:marBottom w:val="0"/>
              <w:divBdr>
                <w:top w:val="none" w:sz="0" w:space="0" w:color="auto"/>
                <w:left w:val="none" w:sz="0" w:space="0" w:color="auto"/>
                <w:bottom w:val="none" w:sz="0" w:space="0" w:color="auto"/>
                <w:right w:val="none" w:sz="0" w:space="0" w:color="auto"/>
              </w:divBdr>
              <w:divsChild>
                <w:div w:id="1134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2551">
      <w:bodyDiv w:val="1"/>
      <w:marLeft w:val="0"/>
      <w:marRight w:val="0"/>
      <w:marTop w:val="0"/>
      <w:marBottom w:val="0"/>
      <w:divBdr>
        <w:top w:val="none" w:sz="0" w:space="0" w:color="auto"/>
        <w:left w:val="none" w:sz="0" w:space="0" w:color="auto"/>
        <w:bottom w:val="none" w:sz="0" w:space="0" w:color="auto"/>
        <w:right w:val="none" w:sz="0" w:space="0" w:color="auto"/>
      </w:divBdr>
      <w:divsChild>
        <w:div w:id="435058228">
          <w:marLeft w:val="0"/>
          <w:marRight w:val="0"/>
          <w:marTop w:val="0"/>
          <w:marBottom w:val="0"/>
          <w:divBdr>
            <w:top w:val="none" w:sz="0" w:space="0" w:color="auto"/>
            <w:left w:val="none" w:sz="0" w:space="0" w:color="auto"/>
            <w:bottom w:val="none" w:sz="0" w:space="0" w:color="auto"/>
            <w:right w:val="none" w:sz="0" w:space="0" w:color="auto"/>
          </w:divBdr>
          <w:divsChild>
            <w:div w:id="1515151234">
              <w:marLeft w:val="0"/>
              <w:marRight w:val="0"/>
              <w:marTop w:val="0"/>
              <w:marBottom w:val="0"/>
              <w:divBdr>
                <w:top w:val="none" w:sz="0" w:space="0" w:color="auto"/>
                <w:left w:val="none" w:sz="0" w:space="0" w:color="auto"/>
                <w:bottom w:val="none" w:sz="0" w:space="0" w:color="auto"/>
                <w:right w:val="none" w:sz="0" w:space="0" w:color="auto"/>
              </w:divBdr>
              <w:divsChild>
                <w:div w:id="1378893803">
                  <w:marLeft w:val="0"/>
                  <w:marRight w:val="0"/>
                  <w:marTop w:val="0"/>
                  <w:marBottom w:val="0"/>
                  <w:divBdr>
                    <w:top w:val="none" w:sz="0" w:space="0" w:color="auto"/>
                    <w:left w:val="none" w:sz="0" w:space="0" w:color="auto"/>
                    <w:bottom w:val="none" w:sz="0" w:space="0" w:color="auto"/>
                    <w:right w:val="none" w:sz="0" w:space="0" w:color="auto"/>
                  </w:divBdr>
                </w:div>
                <w:div w:id="673998901">
                  <w:marLeft w:val="0"/>
                  <w:marRight w:val="0"/>
                  <w:marTop w:val="0"/>
                  <w:marBottom w:val="0"/>
                  <w:divBdr>
                    <w:top w:val="none" w:sz="0" w:space="0" w:color="auto"/>
                    <w:left w:val="none" w:sz="0" w:space="0" w:color="auto"/>
                    <w:bottom w:val="none" w:sz="0" w:space="0" w:color="auto"/>
                    <w:right w:val="none" w:sz="0" w:space="0" w:color="auto"/>
                  </w:divBdr>
                </w:div>
              </w:divsChild>
            </w:div>
            <w:div w:id="399906416">
              <w:marLeft w:val="0"/>
              <w:marRight w:val="0"/>
              <w:marTop w:val="0"/>
              <w:marBottom w:val="0"/>
              <w:divBdr>
                <w:top w:val="none" w:sz="0" w:space="0" w:color="auto"/>
                <w:left w:val="none" w:sz="0" w:space="0" w:color="auto"/>
                <w:bottom w:val="none" w:sz="0" w:space="0" w:color="auto"/>
                <w:right w:val="none" w:sz="0" w:space="0" w:color="auto"/>
              </w:divBdr>
              <w:divsChild>
                <w:div w:id="307906813">
                  <w:marLeft w:val="0"/>
                  <w:marRight w:val="0"/>
                  <w:marTop w:val="0"/>
                  <w:marBottom w:val="0"/>
                  <w:divBdr>
                    <w:top w:val="none" w:sz="0" w:space="0" w:color="auto"/>
                    <w:left w:val="none" w:sz="0" w:space="0" w:color="auto"/>
                    <w:bottom w:val="none" w:sz="0" w:space="0" w:color="auto"/>
                    <w:right w:val="none" w:sz="0" w:space="0" w:color="auto"/>
                  </w:divBdr>
                </w:div>
                <w:div w:id="1099839419">
                  <w:marLeft w:val="0"/>
                  <w:marRight w:val="0"/>
                  <w:marTop w:val="0"/>
                  <w:marBottom w:val="0"/>
                  <w:divBdr>
                    <w:top w:val="none" w:sz="0" w:space="0" w:color="auto"/>
                    <w:left w:val="none" w:sz="0" w:space="0" w:color="auto"/>
                    <w:bottom w:val="none" w:sz="0" w:space="0" w:color="auto"/>
                    <w:right w:val="none" w:sz="0" w:space="0" w:color="auto"/>
                  </w:divBdr>
                </w:div>
              </w:divsChild>
            </w:div>
            <w:div w:id="854341213">
              <w:marLeft w:val="0"/>
              <w:marRight w:val="0"/>
              <w:marTop w:val="0"/>
              <w:marBottom w:val="0"/>
              <w:divBdr>
                <w:top w:val="none" w:sz="0" w:space="0" w:color="auto"/>
                <w:left w:val="none" w:sz="0" w:space="0" w:color="auto"/>
                <w:bottom w:val="none" w:sz="0" w:space="0" w:color="auto"/>
                <w:right w:val="none" w:sz="0" w:space="0" w:color="auto"/>
              </w:divBdr>
              <w:divsChild>
                <w:div w:id="1614633631">
                  <w:marLeft w:val="0"/>
                  <w:marRight w:val="0"/>
                  <w:marTop w:val="0"/>
                  <w:marBottom w:val="0"/>
                  <w:divBdr>
                    <w:top w:val="none" w:sz="0" w:space="0" w:color="auto"/>
                    <w:left w:val="none" w:sz="0" w:space="0" w:color="auto"/>
                    <w:bottom w:val="none" w:sz="0" w:space="0" w:color="auto"/>
                    <w:right w:val="none" w:sz="0" w:space="0" w:color="auto"/>
                  </w:divBdr>
                </w:div>
              </w:divsChild>
            </w:div>
            <w:div w:id="806318284">
              <w:marLeft w:val="0"/>
              <w:marRight w:val="0"/>
              <w:marTop w:val="0"/>
              <w:marBottom w:val="0"/>
              <w:divBdr>
                <w:top w:val="none" w:sz="0" w:space="0" w:color="auto"/>
                <w:left w:val="none" w:sz="0" w:space="0" w:color="auto"/>
                <w:bottom w:val="none" w:sz="0" w:space="0" w:color="auto"/>
                <w:right w:val="none" w:sz="0" w:space="0" w:color="auto"/>
              </w:divBdr>
              <w:divsChild>
                <w:div w:id="374742557">
                  <w:marLeft w:val="0"/>
                  <w:marRight w:val="0"/>
                  <w:marTop w:val="0"/>
                  <w:marBottom w:val="0"/>
                  <w:divBdr>
                    <w:top w:val="none" w:sz="0" w:space="0" w:color="auto"/>
                    <w:left w:val="none" w:sz="0" w:space="0" w:color="auto"/>
                    <w:bottom w:val="none" w:sz="0" w:space="0" w:color="auto"/>
                    <w:right w:val="none" w:sz="0" w:space="0" w:color="auto"/>
                  </w:divBdr>
                </w:div>
                <w:div w:id="1280993806">
                  <w:marLeft w:val="0"/>
                  <w:marRight w:val="0"/>
                  <w:marTop w:val="0"/>
                  <w:marBottom w:val="0"/>
                  <w:divBdr>
                    <w:top w:val="none" w:sz="0" w:space="0" w:color="auto"/>
                    <w:left w:val="none" w:sz="0" w:space="0" w:color="auto"/>
                    <w:bottom w:val="none" w:sz="0" w:space="0" w:color="auto"/>
                    <w:right w:val="none" w:sz="0" w:space="0" w:color="auto"/>
                  </w:divBdr>
                </w:div>
              </w:divsChild>
            </w:div>
            <w:div w:id="794835480">
              <w:marLeft w:val="0"/>
              <w:marRight w:val="0"/>
              <w:marTop w:val="0"/>
              <w:marBottom w:val="0"/>
              <w:divBdr>
                <w:top w:val="none" w:sz="0" w:space="0" w:color="auto"/>
                <w:left w:val="none" w:sz="0" w:space="0" w:color="auto"/>
                <w:bottom w:val="none" w:sz="0" w:space="0" w:color="auto"/>
                <w:right w:val="none" w:sz="0" w:space="0" w:color="auto"/>
              </w:divBdr>
              <w:divsChild>
                <w:div w:id="1748644872">
                  <w:marLeft w:val="0"/>
                  <w:marRight w:val="0"/>
                  <w:marTop w:val="0"/>
                  <w:marBottom w:val="0"/>
                  <w:divBdr>
                    <w:top w:val="none" w:sz="0" w:space="0" w:color="auto"/>
                    <w:left w:val="none" w:sz="0" w:space="0" w:color="auto"/>
                    <w:bottom w:val="none" w:sz="0" w:space="0" w:color="auto"/>
                    <w:right w:val="none" w:sz="0" w:space="0" w:color="auto"/>
                  </w:divBdr>
                </w:div>
              </w:divsChild>
            </w:div>
            <w:div w:id="607666738">
              <w:marLeft w:val="0"/>
              <w:marRight w:val="0"/>
              <w:marTop w:val="0"/>
              <w:marBottom w:val="0"/>
              <w:divBdr>
                <w:top w:val="none" w:sz="0" w:space="0" w:color="auto"/>
                <w:left w:val="none" w:sz="0" w:space="0" w:color="auto"/>
                <w:bottom w:val="none" w:sz="0" w:space="0" w:color="auto"/>
                <w:right w:val="none" w:sz="0" w:space="0" w:color="auto"/>
              </w:divBdr>
              <w:divsChild>
                <w:div w:id="1343387120">
                  <w:marLeft w:val="0"/>
                  <w:marRight w:val="0"/>
                  <w:marTop w:val="0"/>
                  <w:marBottom w:val="0"/>
                  <w:divBdr>
                    <w:top w:val="none" w:sz="0" w:space="0" w:color="auto"/>
                    <w:left w:val="none" w:sz="0" w:space="0" w:color="auto"/>
                    <w:bottom w:val="none" w:sz="0" w:space="0" w:color="auto"/>
                    <w:right w:val="none" w:sz="0" w:space="0" w:color="auto"/>
                  </w:divBdr>
                </w:div>
              </w:divsChild>
            </w:div>
            <w:div w:id="1844271736">
              <w:marLeft w:val="0"/>
              <w:marRight w:val="0"/>
              <w:marTop w:val="0"/>
              <w:marBottom w:val="0"/>
              <w:divBdr>
                <w:top w:val="none" w:sz="0" w:space="0" w:color="auto"/>
                <w:left w:val="none" w:sz="0" w:space="0" w:color="auto"/>
                <w:bottom w:val="none" w:sz="0" w:space="0" w:color="auto"/>
                <w:right w:val="none" w:sz="0" w:space="0" w:color="auto"/>
              </w:divBdr>
              <w:divsChild>
                <w:div w:id="149374086">
                  <w:marLeft w:val="0"/>
                  <w:marRight w:val="0"/>
                  <w:marTop w:val="0"/>
                  <w:marBottom w:val="0"/>
                  <w:divBdr>
                    <w:top w:val="none" w:sz="0" w:space="0" w:color="auto"/>
                    <w:left w:val="none" w:sz="0" w:space="0" w:color="auto"/>
                    <w:bottom w:val="none" w:sz="0" w:space="0" w:color="auto"/>
                    <w:right w:val="none" w:sz="0" w:space="0" w:color="auto"/>
                  </w:divBdr>
                </w:div>
              </w:divsChild>
            </w:div>
            <w:div w:id="1858158975">
              <w:marLeft w:val="0"/>
              <w:marRight w:val="0"/>
              <w:marTop w:val="0"/>
              <w:marBottom w:val="0"/>
              <w:divBdr>
                <w:top w:val="none" w:sz="0" w:space="0" w:color="auto"/>
                <w:left w:val="none" w:sz="0" w:space="0" w:color="auto"/>
                <w:bottom w:val="none" w:sz="0" w:space="0" w:color="auto"/>
                <w:right w:val="none" w:sz="0" w:space="0" w:color="auto"/>
              </w:divBdr>
              <w:divsChild>
                <w:div w:id="1602225589">
                  <w:marLeft w:val="0"/>
                  <w:marRight w:val="0"/>
                  <w:marTop w:val="0"/>
                  <w:marBottom w:val="0"/>
                  <w:divBdr>
                    <w:top w:val="none" w:sz="0" w:space="0" w:color="auto"/>
                    <w:left w:val="none" w:sz="0" w:space="0" w:color="auto"/>
                    <w:bottom w:val="none" w:sz="0" w:space="0" w:color="auto"/>
                    <w:right w:val="none" w:sz="0" w:space="0" w:color="auto"/>
                  </w:divBdr>
                </w:div>
              </w:divsChild>
            </w:div>
            <w:div w:id="816186122">
              <w:marLeft w:val="0"/>
              <w:marRight w:val="0"/>
              <w:marTop w:val="0"/>
              <w:marBottom w:val="0"/>
              <w:divBdr>
                <w:top w:val="none" w:sz="0" w:space="0" w:color="auto"/>
                <w:left w:val="none" w:sz="0" w:space="0" w:color="auto"/>
                <w:bottom w:val="none" w:sz="0" w:space="0" w:color="auto"/>
                <w:right w:val="none" w:sz="0" w:space="0" w:color="auto"/>
              </w:divBdr>
              <w:divsChild>
                <w:div w:id="76522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02656">
      <w:bodyDiv w:val="1"/>
      <w:marLeft w:val="0"/>
      <w:marRight w:val="0"/>
      <w:marTop w:val="0"/>
      <w:marBottom w:val="0"/>
      <w:divBdr>
        <w:top w:val="none" w:sz="0" w:space="0" w:color="auto"/>
        <w:left w:val="none" w:sz="0" w:space="0" w:color="auto"/>
        <w:bottom w:val="none" w:sz="0" w:space="0" w:color="auto"/>
        <w:right w:val="none" w:sz="0" w:space="0" w:color="auto"/>
      </w:divBdr>
      <w:divsChild>
        <w:div w:id="1171874792">
          <w:marLeft w:val="0"/>
          <w:marRight w:val="0"/>
          <w:marTop w:val="0"/>
          <w:marBottom w:val="0"/>
          <w:divBdr>
            <w:top w:val="none" w:sz="0" w:space="0" w:color="auto"/>
            <w:left w:val="none" w:sz="0" w:space="0" w:color="auto"/>
            <w:bottom w:val="none" w:sz="0" w:space="0" w:color="auto"/>
            <w:right w:val="none" w:sz="0" w:space="0" w:color="auto"/>
          </w:divBdr>
          <w:divsChild>
            <w:div w:id="948044898">
              <w:marLeft w:val="0"/>
              <w:marRight w:val="0"/>
              <w:marTop w:val="0"/>
              <w:marBottom w:val="0"/>
              <w:divBdr>
                <w:top w:val="none" w:sz="0" w:space="0" w:color="auto"/>
                <w:left w:val="none" w:sz="0" w:space="0" w:color="auto"/>
                <w:bottom w:val="none" w:sz="0" w:space="0" w:color="auto"/>
                <w:right w:val="none" w:sz="0" w:space="0" w:color="auto"/>
              </w:divBdr>
              <w:divsChild>
                <w:div w:id="1114518512">
                  <w:marLeft w:val="0"/>
                  <w:marRight w:val="0"/>
                  <w:marTop w:val="0"/>
                  <w:marBottom w:val="0"/>
                  <w:divBdr>
                    <w:top w:val="none" w:sz="0" w:space="0" w:color="auto"/>
                    <w:left w:val="none" w:sz="0" w:space="0" w:color="auto"/>
                    <w:bottom w:val="none" w:sz="0" w:space="0" w:color="auto"/>
                    <w:right w:val="none" w:sz="0" w:space="0" w:color="auto"/>
                  </w:divBdr>
                </w:div>
                <w:div w:id="466707007">
                  <w:marLeft w:val="0"/>
                  <w:marRight w:val="0"/>
                  <w:marTop w:val="0"/>
                  <w:marBottom w:val="0"/>
                  <w:divBdr>
                    <w:top w:val="none" w:sz="0" w:space="0" w:color="auto"/>
                    <w:left w:val="none" w:sz="0" w:space="0" w:color="auto"/>
                    <w:bottom w:val="none" w:sz="0" w:space="0" w:color="auto"/>
                    <w:right w:val="none" w:sz="0" w:space="0" w:color="auto"/>
                  </w:divBdr>
                </w:div>
              </w:divsChild>
            </w:div>
            <w:div w:id="1363943571">
              <w:marLeft w:val="0"/>
              <w:marRight w:val="0"/>
              <w:marTop w:val="0"/>
              <w:marBottom w:val="0"/>
              <w:divBdr>
                <w:top w:val="none" w:sz="0" w:space="0" w:color="auto"/>
                <w:left w:val="none" w:sz="0" w:space="0" w:color="auto"/>
                <w:bottom w:val="none" w:sz="0" w:space="0" w:color="auto"/>
                <w:right w:val="none" w:sz="0" w:space="0" w:color="auto"/>
              </w:divBdr>
              <w:divsChild>
                <w:div w:id="881596422">
                  <w:marLeft w:val="0"/>
                  <w:marRight w:val="0"/>
                  <w:marTop w:val="0"/>
                  <w:marBottom w:val="0"/>
                  <w:divBdr>
                    <w:top w:val="none" w:sz="0" w:space="0" w:color="auto"/>
                    <w:left w:val="none" w:sz="0" w:space="0" w:color="auto"/>
                    <w:bottom w:val="none" w:sz="0" w:space="0" w:color="auto"/>
                    <w:right w:val="none" w:sz="0" w:space="0" w:color="auto"/>
                  </w:divBdr>
                </w:div>
                <w:div w:id="740054991">
                  <w:marLeft w:val="0"/>
                  <w:marRight w:val="0"/>
                  <w:marTop w:val="0"/>
                  <w:marBottom w:val="0"/>
                  <w:divBdr>
                    <w:top w:val="none" w:sz="0" w:space="0" w:color="auto"/>
                    <w:left w:val="none" w:sz="0" w:space="0" w:color="auto"/>
                    <w:bottom w:val="none" w:sz="0" w:space="0" w:color="auto"/>
                    <w:right w:val="none" w:sz="0" w:space="0" w:color="auto"/>
                  </w:divBdr>
                </w:div>
              </w:divsChild>
            </w:div>
            <w:div w:id="1056854461">
              <w:marLeft w:val="0"/>
              <w:marRight w:val="0"/>
              <w:marTop w:val="0"/>
              <w:marBottom w:val="0"/>
              <w:divBdr>
                <w:top w:val="none" w:sz="0" w:space="0" w:color="auto"/>
                <w:left w:val="none" w:sz="0" w:space="0" w:color="auto"/>
                <w:bottom w:val="none" w:sz="0" w:space="0" w:color="auto"/>
                <w:right w:val="none" w:sz="0" w:space="0" w:color="auto"/>
              </w:divBdr>
              <w:divsChild>
                <w:div w:id="770392484">
                  <w:marLeft w:val="0"/>
                  <w:marRight w:val="0"/>
                  <w:marTop w:val="0"/>
                  <w:marBottom w:val="0"/>
                  <w:divBdr>
                    <w:top w:val="none" w:sz="0" w:space="0" w:color="auto"/>
                    <w:left w:val="none" w:sz="0" w:space="0" w:color="auto"/>
                    <w:bottom w:val="none" w:sz="0" w:space="0" w:color="auto"/>
                    <w:right w:val="none" w:sz="0" w:space="0" w:color="auto"/>
                  </w:divBdr>
                </w:div>
              </w:divsChild>
            </w:div>
            <w:div w:id="2049068778">
              <w:marLeft w:val="0"/>
              <w:marRight w:val="0"/>
              <w:marTop w:val="0"/>
              <w:marBottom w:val="0"/>
              <w:divBdr>
                <w:top w:val="none" w:sz="0" w:space="0" w:color="auto"/>
                <w:left w:val="none" w:sz="0" w:space="0" w:color="auto"/>
                <w:bottom w:val="none" w:sz="0" w:space="0" w:color="auto"/>
                <w:right w:val="none" w:sz="0" w:space="0" w:color="auto"/>
              </w:divBdr>
              <w:divsChild>
                <w:div w:id="1521431523">
                  <w:marLeft w:val="0"/>
                  <w:marRight w:val="0"/>
                  <w:marTop w:val="0"/>
                  <w:marBottom w:val="0"/>
                  <w:divBdr>
                    <w:top w:val="none" w:sz="0" w:space="0" w:color="auto"/>
                    <w:left w:val="none" w:sz="0" w:space="0" w:color="auto"/>
                    <w:bottom w:val="none" w:sz="0" w:space="0" w:color="auto"/>
                    <w:right w:val="none" w:sz="0" w:space="0" w:color="auto"/>
                  </w:divBdr>
                </w:div>
                <w:div w:id="426389033">
                  <w:marLeft w:val="0"/>
                  <w:marRight w:val="0"/>
                  <w:marTop w:val="0"/>
                  <w:marBottom w:val="0"/>
                  <w:divBdr>
                    <w:top w:val="none" w:sz="0" w:space="0" w:color="auto"/>
                    <w:left w:val="none" w:sz="0" w:space="0" w:color="auto"/>
                    <w:bottom w:val="none" w:sz="0" w:space="0" w:color="auto"/>
                    <w:right w:val="none" w:sz="0" w:space="0" w:color="auto"/>
                  </w:divBdr>
                </w:div>
              </w:divsChild>
            </w:div>
            <w:div w:id="340855123">
              <w:marLeft w:val="0"/>
              <w:marRight w:val="0"/>
              <w:marTop w:val="0"/>
              <w:marBottom w:val="0"/>
              <w:divBdr>
                <w:top w:val="none" w:sz="0" w:space="0" w:color="auto"/>
                <w:left w:val="none" w:sz="0" w:space="0" w:color="auto"/>
                <w:bottom w:val="none" w:sz="0" w:space="0" w:color="auto"/>
                <w:right w:val="none" w:sz="0" w:space="0" w:color="auto"/>
              </w:divBdr>
              <w:divsChild>
                <w:div w:id="381096234">
                  <w:marLeft w:val="0"/>
                  <w:marRight w:val="0"/>
                  <w:marTop w:val="0"/>
                  <w:marBottom w:val="0"/>
                  <w:divBdr>
                    <w:top w:val="none" w:sz="0" w:space="0" w:color="auto"/>
                    <w:left w:val="none" w:sz="0" w:space="0" w:color="auto"/>
                    <w:bottom w:val="none" w:sz="0" w:space="0" w:color="auto"/>
                    <w:right w:val="none" w:sz="0" w:space="0" w:color="auto"/>
                  </w:divBdr>
                </w:div>
              </w:divsChild>
            </w:div>
            <w:div w:id="108089154">
              <w:marLeft w:val="0"/>
              <w:marRight w:val="0"/>
              <w:marTop w:val="0"/>
              <w:marBottom w:val="0"/>
              <w:divBdr>
                <w:top w:val="none" w:sz="0" w:space="0" w:color="auto"/>
                <w:left w:val="none" w:sz="0" w:space="0" w:color="auto"/>
                <w:bottom w:val="none" w:sz="0" w:space="0" w:color="auto"/>
                <w:right w:val="none" w:sz="0" w:space="0" w:color="auto"/>
              </w:divBdr>
              <w:divsChild>
                <w:div w:id="1183395253">
                  <w:marLeft w:val="0"/>
                  <w:marRight w:val="0"/>
                  <w:marTop w:val="0"/>
                  <w:marBottom w:val="0"/>
                  <w:divBdr>
                    <w:top w:val="none" w:sz="0" w:space="0" w:color="auto"/>
                    <w:left w:val="none" w:sz="0" w:space="0" w:color="auto"/>
                    <w:bottom w:val="none" w:sz="0" w:space="0" w:color="auto"/>
                    <w:right w:val="none" w:sz="0" w:space="0" w:color="auto"/>
                  </w:divBdr>
                </w:div>
              </w:divsChild>
            </w:div>
            <w:div w:id="1729062820">
              <w:marLeft w:val="0"/>
              <w:marRight w:val="0"/>
              <w:marTop w:val="0"/>
              <w:marBottom w:val="0"/>
              <w:divBdr>
                <w:top w:val="none" w:sz="0" w:space="0" w:color="auto"/>
                <w:left w:val="none" w:sz="0" w:space="0" w:color="auto"/>
                <w:bottom w:val="none" w:sz="0" w:space="0" w:color="auto"/>
                <w:right w:val="none" w:sz="0" w:space="0" w:color="auto"/>
              </w:divBdr>
              <w:divsChild>
                <w:div w:id="1129515245">
                  <w:marLeft w:val="0"/>
                  <w:marRight w:val="0"/>
                  <w:marTop w:val="0"/>
                  <w:marBottom w:val="0"/>
                  <w:divBdr>
                    <w:top w:val="none" w:sz="0" w:space="0" w:color="auto"/>
                    <w:left w:val="none" w:sz="0" w:space="0" w:color="auto"/>
                    <w:bottom w:val="none" w:sz="0" w:space="0" w:color="auto"/>
                    <w:right w:val="none" w:sz="0" w:space="0" w:color="auto"/>
                  </w:divBdr>
                </w:div>
              </w:divsChild>
            </w:div>
            <w:div w:id="959653059">
              <w:marLeft w:val="0"/>
              <w:marRight w:val="0"/>
              <w:marTop w:val="0"/>
              <w:marBottom w:val="0"/>
              <w:divBdr>
                <w:top w:val="none" w:sz="0" w:space="0" w:color="auto"/>
                <w:left w:val="none" w:sz="0" w:space="0" w:color="auto"/>
                <w:bottom w:val="none" w:sz="0" w:space="0" w:color="auto"/>
                <w:right w:val="none" w:sz="0" w:space="0" w:color="auto"/>
              </w:divBdr>
              <w:divsChild>
                <w:div w:id="351691451">
                  <w:marLeft w:val="0"/>
                  <w:marRight w:val="0"/>
                  <w:marTop w:val="0"/>
                  <w:marBottom w:val="0"/>
                  <w:divBdr>
                    <w:top w:val="none" w:sz="0" w:space="0" w:color="auto"/>
                    <w:left w:val="none" w:sz="0" w:space="0" w:color="auto"/>
                    <w:bottom w:val="none" w:sz="0" w:space="0" w:color="auto"/>
                    <w:right w:val="none" w:sz="0" w:space="0" w:color="auto"/>
                  </w:divBdr>
                </w:div>
              </w:divsChild>
            </w:div>
            <w:div w:id="827941953">
              <w:marLeft w:val="0"/>
              <w:marRight w:val="0"/>
              <w:marTop w:val="0"/>
              <w:marBottom w:val="0"/>
              <w:divBdr>
                <w:top w:val="none" w:sz="0" w:space="0" w:color="auto"/>
                <w:left w:val="none" w:sz="0" w:space="0" w:color="auto"/>
                <w:bottom w:val="none" w:sz="0" w:space="0" w:color="auto"/>
                <w:right w:val="none" w:sz="0" w:space="0" w:color="auto"/>
              </w:divBdr>
              <w:divsChild>
                <w:div w:id="140503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aasattorneys@telkomsa.net" TargetMode="External"/><Relationship Id="rId5" Type="http://schemas.openxmlformats.org/officeDocument/2006/relationships/webSettings" Target="webSettings.xml"/><Relationship Id="rId10" Type="http://schemas.openxmlformats.org/officeDocument/2006/relationships/hyperlink" Target="mailto:dazanatsipa@gmail.com" TargetMode="External"/><Relationship Id="rId4" Type="http://schemas.openxmlformats.org/officeDocument/2006/relationships/settings" Target="settings.xml"/><Relationship Id="rId9" Type="http://schemas.openxmlformats.org/officeDocument/2006/relationships/hyperlink" Target="mailto:fourie@fvpinc.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F9B99-261D-497F-B957-03DB2F77A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5731</Words>
  <Characters>32673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Andisiwe Madolo</dc:creator>
  <cp:keywords/>
  <dc:description/>
  <cp:lastModifiedBy>Mokone</cp:lastModifiedBy>
  <cp:revision>2</cp:revision>
  <cp:lastPrinted>2023-06-08T07:56:00Z</cp:lastPrinted>
  <dcterms:created xsi:type="dcterms:W3CDTF">2023-06-14T12:30:00Z</dcterms:created>
  <dcterms:modified xsi:type="dcterms:W3CDTF">2023-06-14T12:30:00Z</dcterms:modified>
</cp:coreProperties>
</file>