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49B9CF45" w:rsidR="00D450B5" w:rsidRPr="00044B50" w:rsidRDefault="00B3218F" w:rsidP="00772E4B">
      <w:pPr>
        <w:autoSpaceDE w:val="0"/>
        <w:autoSpaceDN w:val="0"/>
        <w:adjustRightInd w:val="0"/>
        <w:jc w:val="right"/>
        <w:rPr>
          <w:lang w:val="en-GB"/>
        </w:rPr>
      </w:pPr>
      <w:r w:rsidRPr="000531EC">
        <w:rPr>
          <w:b/>
          <w:bCs/>
          <w:noProof/>
        </w:rPr>
        <w:drawing>
          <wp:inline distT="0" distB="0" distL="0" distR="0" wp14:anchorId="7851700A" wp14:editId="14A88C6B">
            <wp:extent cx="5727700" cy="27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7700" cy="272922"/>
                    </a:xfrm>
                    <a:prstGeom prst="rect">
                      <a:avLst/>
                    </a:prstGeom>
                  </pic:spPr>
                </pic:pic>
              </a:graphicData>
            </a:graphic>
          </wp:inline>
        </w:drawing>
      </w: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36A00F3A" w14:textId="77777777" w:rsidR="009B7089" w:rsidRPr="00044B50" w:rsidRDefault="009B7089" w:rsidP="009B7089">
      <w:pPr>
        <w:jc w:val="center"/>
        <w:rPr>
          <w:b/>
          <w:bCs/>
          <w:lang w:val="en-GB"/>
        </w:rPr>
      </w:pPr>
      <w:r w:rsidRPr="00044B50">
        <w:rPr>
          <w:b/>
          <w:bCs/>
          <w:lang w:val="en-GB"/>
        </w:rPr>
        <w:t>IN THE HIGH COURT OF SOUTH AFRICA</w:t>
      </w:r>
    </w:p>
    <w:p w14:paraId="3574F90A" w14:textId="77777777" w:rsidR="009B7089" w:rsidRPr="00454C8A" w:rsidRDefault="009B7089" w:rsidP="009B7089">
      <w:pPr>
        <w:jc w:val="center"/>
        <w:rPr>
          <w:b/>
          <w:bCs/>
          <w:color w:val="0070C0"/>
          <w:lang w:val="en-GB"/>
        </w:rPr>
      </w:pPr>
      <w:r>
        <w:rPr>
          <w:b/>
          <w:bCs/>
          <w:lang w:val="en-GB"/>
        </w:rPr>
        <w:t>(</w:t>
      </w:r>
      <w:r w:rsidRPr="00044B50">
        <w:rPr>
          <w:b/>
          <w:bCs/>
          <w:lang w:val="en-GB"/>
        </w:rPr>
        <w:t>EASTERN CAPE DIVISION,</w:t>
      </w:r>
      <w:r>
        <w:rPr>
          <w:b/>
          <w:bCs/>
          <w:lang w:val="en-GB"/>
        </w:rPr>
        <w:t xml:space="preserve"> EAST LONDON CIRCUIT COURT)</w:t>
      </w:r>
    </w:p>
    <w:p w14:paraId="6382CDB9" w14:textId="77777777" w:rsidR="009B7089" w:rsidRPr="00044B50" w:rsidRDefault="009B7089" w:rsidP="009B7089">
      <w:pPr>
        <w:widowControl w:val="0"/>
        <w:jc w:val="both"/>
        <w:rPr>
          <w:spacing w:val="14"/>
          <w:kern w:val="2"/>
          <w:u w:val="single"/>
          <w:lang w:val="en-GB"/>
        </w:rPr>
      </w:pPr>
    </w:p>
    <w:p w14:paraId="2C1B0AEC" w14:textId="73FCE4C9" w:rsidR="009B7089" w:rsidRPr="00044B50" w:rsidRDefault="009B7089" w:rsidP="009B7089">
      <w:pPr>
        <w:tabs>
          <w:tab w:val="left" w:pos="5954"/>
        </w:tabs>
        <w:ind w:right="-52"/>
        <w:jc w:val="center"/>
        <w:rPr>
          <w:b/>
          <w:bCs/>
          <w:lang w:val="en-GB"/>
        </w:rPr>
      </w:pPr>
      <w:r w:rsidRPr="00044B50">
        <w:rPr>
          <w:lang w:val="en-GB"/>
        </w:rPr>
        <w:t xml:space="preserve">                                                                                           </w:t>
      </w:r>
      <w:r>
        <w:rPr>
          <w:lang w:val="en-GB"/>
        </w:rPr>
        <w:t xml:space="preserve">   </w:t>
      </w:r>
      <w:r>
        <w:rPr>
          <w:lang w:val="en-GB"/>
        </w:rPr>
        <w:tab/>
      </w:r>
      <w:r w:rsidRPr="00044B50">
        <w:rPr>
          <w:b/>
          <w:bCs/>
          <w:lang w:val="en-GB"/>
        </w:rPr>
        <w:t xml:space="preserve">NOT REPORTABLE                                     </w:t>
      </w:r>
    </w:p>
    <w:p w14:paraId="247EDBF9" w14:textId="77777777" w:rsidR="009B7089" w:rsidRDefault="009B7089" w:rsidP="009B7089">
      <w:pPr>
        <w:jc w:val="center"/>
        <w:rPr>
          <w:lang w:val="en-GB"/>
        </w:rPr>
      </w:pPr>
      <w:r w:rsidRPr="00044B50">
        <w:rPr>
          <w:lang w:val="en-GB"/>
        </w:rPr>
        <w:t xml:space="preserve">                                                                                                  </w:t>
      </w:r>
    </w:p>
    <w:p w14:paraId="31C9A9F0" w14:textId="1ADC640D" w:rsidR="009B7089" w:rsidRPr="00044B50" w:rsidRDefault="009B7089" w:rsidP="009B7089">
      <w:pPr>
        <w:ind w:left="5760" w:firstLine="720"/>
        <w:rPr>
          <w:lang w:val="en-GB"/>
        </w:rPr>
      </w:pPr>
      <w:r w:rsidRPr="00044B50">
        <w:rPr>
          <w:lang w:val="en-GB"/>
        </w:rPr>
        <w:t xml:space="preserve">Case no: </w:t>
      </w:r>
      <w:r>
        <w:rPr>
          <w:lang w:val="en-GB"/>
        </w:rPr>
        <w:t>EL1848/2022</w:t>
      </w:r>
    </w:p>
    <w:p w14:paraId="208924CC" w14:textId="77777777" w:rsidR="009B7089" w:rsidRPr="00044B50" w:rsidRDefault="009B7089" w:rsidP="009B7089">
      <w:pPr>
        <w:widowControl w:val="0"/>
        <w:jc w:val="right"/>
        <w:rPr>
          <w:spacing w:val="14"/>
          <w:kern w:val="2"/>
          <w:lang w:val="en-GB"/>
        </w:rPr>
      </w:pPr>
    </w:p>
    <w:p w14:paraId="485559F6" w14:textId="77777777" w:rsidR="009B7089" w:rsidRPr="00044B50" w:rsidRDefault="009B7089" w:rsidP="009B7089">
      <w:pPr>
        <w:widowControl w:val="0"/>
        <w:jc w:val="both"/>
        <w:rPr>
          <w:spacing w:val="14"/>
          <w:kern w:val="2"/>
          <w:lang w:val="en-GB"/>
        </w:rPr>
      </w:pPr>
      <w:r w:rsidRPr="00044B50">
        <w:rPr>
          <w:spacing w:val="14"/>
          <w:kern w:val="2"/>
          <w:lang w:val="en-GB"/>
        </w:rPr>
        <w:t>In the matter between:</w:t>
      </w:r>
    </w:p>
    <w:p w14:paraId="0D690085" w14:textId="77777777" w:rsidR="009B7089" w:rsidRPr="00044B50" w:rsidRDefault="009B7089" w:rsidP="009B7089">
      <w:pPr>
        <w:widowControl w:val="0"/>
        <w:tabs>
          <w:tab w:val="right" w:pos="8198"/>
        </w:tabs>
        <w:jc w:val="both"/>
        <w:rPr>
          <w:spacing w:val="14"/>
          <w:kern w:val="2"/>
          <w:lang w:val="en-GB"/>
        </w:rPr>
      </w:pPr>
    </w:p>
    <w:p w14:paraId="1045B31B" w14:textId="0BC5BC94" w:rsidR="009B7089" w:rsidRDefault="009B7089" w:rsidP="009B7089">
      <w:pPr>
        <w:tabs>
          <w:tab w:val="left" w:pos="7938"/>
        </w:tabs>
        <w:suppressAutoHyphens/>
        <w:ind w:right="-194"/>
        <w:jc w:val="both"/>
        <w:rPr>
          <w:b/>
          <w:lang w:val="en-GB"/>
        </w:rPr>
      </w:pPr>
      <w:r>
        <w:rPr>
          <w:b/>
          <w:lang w:val="en-GB"/>
        </w:rPr>
        <w:t>M</w:t>
      </w:r>
      <w:r w:rsidR="00B3218F">
        <w:rPr>
          <w:b/>
          <w:lang w:val="en-GB"/>
        </w:rPr>
        <w:t xml:space="preserve"> </w:t>
      </w:r>
      <w:r>
        <w:rPr>
          <w:b/>
          <w:lang w:val="en-GB"/>
        </w:rPr>
        <w:t>D</w:t>
      </w:r>
      <w:r>
        <w:rPr>
          <w:b/>
          <w:lang w:val="en-GB"/>
        </w:rPr>
        <w:tab/>
      </w:r>
      <w:r w:rsidRPr="00556CAE">
        <w:rPr>
          <w:b/>
          <w:lang w:val="en-GB"/>
        </w:rPr>
        <w:t xml:space="preserve"> Applicant</w:t>
      </w:r>
    </w:p>
    <w:p w14:paraId="3E96DF0A" w14:textId="77777777" w:rsidR="009B7089" w:rsidRPr="00556CAE" w:rsidRDefault="009B7089" w:rsidP="009B7089">
      <w:pPr>
        <w:tabs>
          <w:tab w:val="left" w:pos="7371"/>
        </w:tabs>
        <w:suppressAutoHyphens/>
        <w:ind w:right="-194"/>
        <w:jc w:val="both"/>
        <w:rPr>
          <w:b/>
          <w:lang w:val="en-GB"/>
        </w:rPr>
      </w:pPr>
    </w:p>
    <w:p w14:paraId="384528C0" w14:textId="77777777" w:rsidR="009B7089" w:rsidRPr="00044B50" w:rsidRDefault="009B7089" w:rsidP="009B7089">
      <w:pPr>
        <w:jc w:val="both"/>
        <w:rPr>
          <w:lang w:val="en-GB"/>
        </w:rPr>
      </w:pPr>
      <w:r w:rsidRPr="00044B50">
        <w:rPr>
          <w:lang w:val="en-GB"/>
        </w:rPr>
        <w:t>and</w:t>
      </w:r>
    </w:p>
    <w:p w14:paraId="5039214B" w14:textId="77777777" w:rsidR="009B7089" w:rsidRPr="00044B50" w:rsidRDefault="009B7089" w:rsidP="009B7089">
      <w:pPr>
        <w:jc w:val="both"/>
        <w:rPr>
          <w:lang w:val="en-GB"/>
        </w:rPr>
      </w:pPr>
    </w:p>
    <w:p w14:paraId="3ABF2864" w14:textId="765E7468" w:rsidR="009B7089" w:rsidRDefault="00B3218F" w:rsidP="009B7089">
      <w:pPr>
        <w:tabs>
          <w:tab w:val="left" w:pos="7088"/>
        </w:tabs>
        <w:ind w:right="-194"/>
        <w:jc w:val="both"/>
        <w:rPr>
          <w:b/>
          <w:lang w:val="en-GB"/>
        </w:rPr>
      </w:pPr>
      <w:r>
        <w:rPr>
          <w:b/>
          <w:lang w:val="en-GB"/>
        </w:rPr>
        <w:t>B</w:t>
      </w:r>
      <w:r w:rsidR="009B7089">
        <w:rPr>
          <w:b/>
          <w:lang w:val="en-GB"/>
        </w:rPr>
        <w:t xml:space="preserve"> D</w:t>
      </w:r>
      <w:r w:rsidR="009B7089" w:rsidRPr="000A6120">
        <w:rPr>
          <w:b/>
          <w:lang w:val="en-GB"/>
        </w:rPr>
        <w:tab/>
      </w:r>
      <w:r w:rsidR="009B7089">
        <w:rPr>
          <w:b/>
          <w:lang w:val="en-GB"/>
        </w:rPr>
        <w:t xml:space="preserve"> </w:t>
      </w:r>
      <w:r w:rsidR="009B7089" w:rsidRPr="000A6120">
        <w:rPr>
          <w:b/>
          <w:lang w:val="en-GB"/>
        </w:rPr>
        <w:t>First Respondent</w:t>
      </w:r>
    </w:p>
    <w:p w14:paraId="527D5E9E" w14:textId="35A421F4" w:rsidR="009B7089" w:rsidRDefault="009B7089" w:rsidP="009B7089">
      <w:pPr>
        <w:tabs>
          <w:tab w:val="left" w:pos="6804"/>
          <w:tab w:val="left" w:pos="6946"/>
        </w:tabs>
        <w:ind w:right="-194"/>
        <w:rPr>
          <w:b/>
          <w:lang w:val="en-GB"/>
        </w:rPr>
      </w:pPr>
      <w:r>
        <w:rPr>
          <w:b/>
          <w:lang w:val="en-GB"/>
        </w:rPr>
        <w:t xml:space="preserve">MUZINKANHLANHLA MNTAMBO </w:t>
      </w:r>
      <w:r>
        <w:rPr>
          <w:b/>
          <w:lang w:val="en-GB"/>
        </w:rPr>
        <w:tab/>
        <w:t>Second Respondent</w:t>
      </w:r>
    </w:p>
    <w:p w14:paraId="2EA3A885" w14:textId="770B65D1" w:rsidR="009B7089" w:rsidRDefault="009B7089" w:rsidP="009B7089">
      <w:pPr>
        <w:tabs>
          <w:tab w:val="left" w:pos="7088"/>
          <w:tab w:val="left" w:pos="7655"/>
        </w:tabs>
        <w:ind w:right="-194"/>
        <w:rPr>
          <w:b/>
          <w:lang w:val="en-GB"/>
        </w:rPr>
      </w:pPr>
      <w:r>
        <w:rPr>
          <w:b/>
          <w:lang w:val="en-GB"/>
        </w:rPr>
        <w:t xml:space="preserve">SIPHAMANDLA MNTAMBO </w:t>
      </w:r>
      <w:r>
        <w:rPr>
          <w:b/>
          <w:lang w:val="en-GB"/>
        </w:rPr>
        <w:tab/>
        <w:t>Third Respondent</w:t>
      </w:r>
    </w:p>
    <w:p w14:paraId="76889E9C" w14:textId="638DD7D3" w:rsidR="00D450B5" w:rsidRPr="00044B50" w:rsidRDefault="00D450B5" w:rsidP="00841E66">
      <w:pPr>
        <w:ind w:right="-336"/>
        <w:jc w:val="both"/>
        <w:rPr>
          <w:lang w:val="en-GB"/>
        </w:rPr>
      </w:pPr>
      <w:r w:rsidRPr="00044B50">
        <w:rPr>
          <w:lang w:val="en-GB"/>
        </w:rPr>
        <w:t>__________________________________________________________________</w:t>
      </w:r>
      <w:r w:rsidR="006B1DCE">
        <w:rPr>
          <w:lang w:val="en-GB"/>
        </w:rPr>
        <w:t>_</w:t>
      </w:r>
      <w:r w:rsidR="00841E66">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06F9EB59" w:rsidR="00D450B5" w:rsidRPr="00044B50" w:rsidRDefault="00D450B5" w:rsidP="00841E66">
      <w:pPr>
        <w:ind w:right="-336"/>
        <w:jc w:val="both"/>
        <w:rPr>
          <w:lang w:val="en-GB"/>
        </w:rPr>
      </w:pPr>
      <w:r w:rsidRPr="00044B50">
        <w:rPr>
          <w:lang w:val="en-GB"/>
        </w:rPr>
        <w:t>___________________________________________________________________</w:t>
      </w:r>
      <w:r w:rsidR="00841E66">
        <w:rPr>
          <w:lang w:val="en-GB"/>
        </w:rPr>
        <w:t>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3225DD1D" w14:textId="608B449B" w:rsidR="008C480D" w:rsidRPr="00B3218F" w:rsidRDefault="00B3218F" w:rsidP="00B3218F">
      <w:pPr>
        <w:autoSpaceDE w:val="0"/>
        <w:autoSpaceDN w:val="0"/>
        <w:adjustRightInd w:val="0"/>
        <w:jc w:val="both"/>
        <w:rPr>
          <w:lang w:val="en-GB"/>
        </w:rPr>
      </w:pPr>
      <w:r>
        <w:rPr>
          <w:lang w:val="en-GB"/>
        </w:rPr>
        <w:t>[1]</w:t>
      </w:r>
      <w:r>
        <w:rPr>
          <w:lang w:val="en-GB"/>
        </w:rPr>
        <w:tab/>
      </w:r>
      <w:r w:rsidR="006A7DA6" w:rsidRPr="00B3218F">
        <w:rPr>
          <w:lang w:val="en-GB"/>
        </w:rPr>
        <w:t xml:space="preserve">The </w:t>
      </w:r>
      <w:r w:rsidR="00856D30" w:rsidRPr="00B3218F">
        <w:rPr>
          <w:lang w:val="en-GB"/>
        </w:rPr>
        <w:t xml:space="preserve">applicant (‘Mr </w:t>
      </w:r>
      <w:r w:rsidRPr="00B3218F">
        <w:rPr>
          <w:lang w:val="en-GB"/>
        </w:rPr>
        <w:t>[</w:t>
      </w:r>
      <w:r w:rsidR="00856D30" w:rsidRPr="00B3218F">
        <w:rPr>
          <w:lang w:val="en-GB"/>
        </w:rPr>
        <w:t>D</w:t>
      </w:r>
      <w:r w:rsidRPr="00B3218F">
        <w:rPr>
          <w:lang w:val="en-GB"/>
        </w:rPr>
        <w:t>..]</w:t>
      </w:r>
      <w:r w:rsidR="00856D30" w:rsidRPr="00B3218F">
        <w:rPr>
          <w:lang w:val="en-GB"/>
        </w:rPr>
        <w:t xml:space="preserve">’) and the first respondent (‘Mrs </w:t>
      </w:r>
      <w:r w:rsidRPr="00B3218F">
        <w:rPr>
          <w:lang w:val="en-GB"/>
        </w:rPr>
        <w:t>[D…]</w:t>
      </w:r>
      <w:r w:rsidR="00856D30" w:rsidRPr="00B3218F">
        <w:rPr>
          <w:lang w:val="en-GB"/>
        </w:rPr>
        <w:t xml:space="preserve">’) are married out of community of property, with the accrual system, and are in the process of being divorced. The title deed of Erf </w:t>
      </w:r>
      <w:r w:rsidRPr="00B3218F">
        <w:rPr>
          <w:lang w:val="en-GB"/>
        </w:rPr>
        <w:t>[…]</w:t>
      </w:r>
      <w:r w:rsidR="00856D30" w:rsidRPr="00B3218F">
        <w:rPr>
          <w:lang w:val="en-GB"/>
        </w:rPr>
        <w:t xml:space="preserve"> East London</w:t>
      </w:r>
      <w:r w:rsidR="008E3637" w:rsidRPr="00B3218F">
        <w:rPr>
          <w:lang w:val="en-GB"/>
        </w:rPr>
        <w:t xml:space="preserve"> (‘the property’)</w:t>
      </w:r>
      <w:r w:rsidR="00856D30" w:rsidRPr="00B3218F">
        <w:rPr>
          <w:lang w:val="en-GB"/>
        </w:rPr>
        <w:t xml:space="preserve"> reflects </w:t>
      </w:r>
      <w:r w:rsidR="008E3637" w:rsidRPr="00B3218F">
        <w:rPr>
          <w:lang w:val="en-GB"/>
        </w:rPr>
        <w:t>that their respective estates have an undivided half share in the property.</w:t>
      </w:r>
      <w:r w:rsidR="00856D30" w:rsidRPr="00B3218F">
        <w:rPr>
          <w:lang w:val="en-GB"/>
        </w:rPr>
        <w:t xml:space="preserve"> </w:t>
      </w:r>
      <w:r w:rsidR="00320C1F" w:rsidRPr="00B3218F">
        <w:rPr>
          <w:lang w:val="en-GB"/>
        </w:rPr>
        <w:t>Mr and Mrs D</w:t>
      </w:r>
      <w:r w:rsidRPr="00B3218F">
        <w:rPr>
          <w:lang w:val="en-GB"/>
        </w:rPr>
        <w:t xml:space="preserve"> </w:t>
      </w:r>
      <w:r w:rsidR="00320C1F" w:rsidRPr="00B3218F">
        <w:rPr>
          <w:lang w:val="en-GB"/>
        </w:rPr>
        <w:t xml:space="preserve">intended to sell the property and </w:t>
      </w:r>
      <w:proofErr w:type="gramStart"/>
      <w:r w:rsidR="00320C1F" w:rsidRPr="00B3218F">
        <w:rPr>
          <w:lang w:val="en-GB"/>
        </w:rPr>
        <w:t>entered into</w:t>
      </w:r>
      <w:proofErr w:type="gramEnd"/>
      <w:r w:rsidR="00320C1F" w:rsidRPr="00B3218F">
        <w:rPr>
          <w:lang w:val="en-GB"/>
        </w:rPr>
        <w:t xml:space="preserve"> a </w:t>
      </w:r>
      <w:r w:rsidR="00251E53" w:rsidRPr="00B3218F">
        <w:rPr>
          <w:lang w:val="en-GB"/>
        </w:rPr>
        <w:t>d</w:t>
      </w:r>
      <w:r w:rsidR="00320C1F" w:rsidRPr="00B3218F">
        <w:rPr>
          <w:lang w:val="en-GB"/>
        </w:rPr>
        <w:t xml:space="preserve">eed of </w:t>
      </w:r>
      <w:r w:rsidR="00251E53" w:rsidRPr="00B3218F">
        <w:rPr>
          <w:lang w:val="en-GB"/>
        </w:rPr>
        <w:t>s</w:t>
      </w:r>
      <w:r w:rsidR="00320C1F" w:rsidRPr="00B3218F">
        <w:rPr>
          <w:lang w:val="en-GB"/>
        </w:rPr>
        <w:t xml:space="preserve">ale with the second and third </w:t>
      </w:r>
      <w:r w:rsidR="00320C1F" w:rsidRPr="00B3218F">
        <w:rPr>
          <w:lang w:val="en-GB"/>
        </w:rPr>
        <w:lastRenderedPageBreak/>
        <w:t>respondents (‘the purchasers’)</w:t>
      </w:r>
      <w:r w:rsidR="0066097F" w:rsidRPr="00B3218F">
        <w:rPr>
          <w:lang w:val="en-GB"/>
        </w:rPr>
        <w:t xml:space="preserve"> during July 2022</w:t>
      </w:r>
      <w:r w:rsidR="00320C1F" w:rsidRPr="00B3218F">
        <w:rPr>
          <w:lang w:val="en-GB"/>
        </w:rPr>
        <w:t xml:space="preserve">. </w:t>
      </w:r>
      <w:r w:rsidR="000C57CB" w:rsidRPr="00B3218F">
        <w:rPr>
          <w:lang w:val="en-GB"/>
        </w:rPr>
        <w:t xml:space="preserve">After the necessary documentation pertaining to the transfer of the property had been lodged with the Registrar of Deeds, Mrs D decided to cancel the sale and retain the property. </w:t>
      </w:r>
      <w:r w:rsidR="00856D30" w:rsidRPr="00B3218F">
        <w:rPr>
          <w:lang w:val="en-GB"/>
        </w:rPr>
        <w:t>Mr D</w:t>
      </w:r>
      <w:r w:rsidRPr="00B3218F">
        <w:rPr>
          <w:lang w:val="en-GB"/>
        </w:rPr>
        <w:t xml:space="preserve"> </w:t>
      </w:r>
      <w:r w:rsidR="00856D30" w:rsidRPr="00B3218F">
        <w:rPr>
          <w:lang w:val="en-GB"/>
        </w:rPr>
        <w:t xml:space="preserve">seeks an order compelling Mrs D to cause transfer of </w:t>
      </w:r>
      <w:r w:rsidR="005F1F61" w:rsidRPr="00B3218F">
        <w:rPr>
          <w:lang w:val="en-GB"/>
        </w:rPr>
        <w:t>the property</w:t>
      </w:r>
      <w:r w:rsidR="00856D30" w:rsidRPr="00B3218F">
        <w:rPr>
          <w:lang w:val="en-GB"/>
        </w:rPr>
        <w:t xml:space="preserve"> to pass </w:t>
      </w:r>
      <w:r w:rsidR="005F1F61" w:rsidRPr="00B3218F">
        <w:rPr>
          <w:lang w:val="en-GB"/>
        </w:rPr>
        <w:t xml:space="preserve">to the purchasers in terms of </w:t>
      </w:r>
      <w:r w:rsidR="00320C1F" w:rsidRPr="00B3218F">
        <w:rPr>
          <w:lang w:val="en-GB"/>
        </w:rPr>
        <w:t>the</w:t>
      </w:r>
      <w:r w:rsidR="005F1F61" w:rsidRPr="00B3218F">
        <w:rPr>
          <w:lang w:val="en-GB"/>
        </w:rPr>
        <w:t xml:space="preserve"> deed of sale.</w:t>
      </w:r>
    </w:p>
    <w:p w14:paraId="3C2979CE" w14:textId="77777777" w:rsidR="00CA29E0" w:rsidRDefault="00CA29E0" w:rsidP="00CA29E0">
      <w:pPr>
        <w:pStyle w:val="ListParagraph"/>
        <w:autoSpaceDE w:val="0"/>
        <w:autoSpaceDN w:val="0"/>
        <w:adjustRightInd w:val="0"/>
        <w:ind w:left="0"/>
        <w:jc w:val="both"/>
        <w:rPr>
          <w:lang w:val="en-GB"/>
        </w:rPr>
      </w:pPr>
    </w:p>
    <w:p w14:paraId="472D1345" w14:textId="6A5E7AE6" w:rsidR="00CA29E0" w:rsidRPr="00B3218F" w:rsidRDefault="00B3218F" w:rsidP="00B3218F">
      <w:pPr>
        <w:autoSpaceDE w:val="0"/>
        <w:autoSpaceDN w:val="0"/>
        <w:adjustRightInd w:val="0"/>
        <w:jc w:val="both"/>
        <w:rPr>
          <w:lang w:val="en-GB"/>
        </w:rPr>
      </w:pPr>
      <w:r>
        <w:rPr>
          <w:lang w:val="en-GB"/>
        </w:rPr>
        <w:t>[2]</w:t>
      </w:r>
      <w:r>
        <w:rPr>
          <w:lang w:val="en-GB"/>
        </w:rPr>
        <w:tab/>
      </w:r>
      <w:r w:rsidR="006C06EA" w:rsidRPr="00B3218F">
        <w:rPr>
          <w:lang w:val="en-GB"/>
        </w:rPr>
        <w:t>T</w:t>
      </w:r>
      <w:r w:rsidR="00CA29E0" w:rsidRPr="00B3218F">
        <w:rPr>
          <w:lang w:val="en-GB"/>
        </w:rPr>
        <w:t>he purchasers previously attempted to purchase the property but failed to comply with a suspensive condition, so that the sale fell through. It is common cause that the present sale is also subject to a suspensive condition that the purchasers obtain a loan</w:t>
      </w:r>
      <w:r w:rsidR="00C3717B" w:rsidRPr="00B3218F">
        <w:rPr>
          <w:lang w:val="en-GB"/>
        </w:rPr>
        <w:t>, secured by the registration of a mortgage over the property</w:t>
      </w:r>
      <w:r w:rsidR="00A1785B" w:rsidRPr="00B3218F">
        <w:rPr>
          <w:lang w:val="en-GB"/>
        </w:rPr>
        <w:t>,</w:t>
      </w:r>
      <w:r w:rsidR="00CA29E0" w:rsidRPr="00B3218F">
        <w:rPr>
          <w:lang w:val="en-GB"/>
        </w:rPr>
        <w:t xml:space="preserve"> in the sum of R3 400 000. There is, however, a dispute as to the date by which the loan had to be obtained</w:t>
      </w:r>
      <w:r w:rsidR="00824579" w:rsidRPr="00B3218F">
        <w:rPr>
          <w:lang w:val="en-GB"/>
        </w:rPr>
        <w:t xml:space="preserve"> in terms of the wording of the suspensive condition</w:t>
      </w:r>
      <w:r w:rsidR="00CA29E0" w:rsidRPr="00B3218F">
        <w:rPr>
          <w:lang w:val="en-GB"/>
        </w:rPr>
        <w:t>.</w:t>
      </w:r>
    </w:p>
    <w:p w14:paraId="67D59974" w14:textId="77777777" w:rsidR="00E260A9" w:rsidRPr="00E260A9" w:rsidRDefault="00E260A9" w:rsidP="00E260A9">
      <w:pPr>
        <w:pStyle w:val="ListParagraph"/>
        <w:rPr>
          <w:lang w:val="en-GB"/>
        </w:rPr>
      </w:pPr>
    </w:p>
    <w:p w14:paraId="2EE87E70" w14:textId="74C8D43A" w:rsidR="00781847" w:rsidRPr="00B3218F" w:rsidRDefault="00B3218F" w:rsidP="00B3218F">
      <w:pPr>
        <w:autoSpaceDE w:val="0"/>
        <w:autoSpaceDN w:val="0"/>
        <w:adjustRightInd w:val="0"/>
        <w:jc w:val="both"/>
        <w:rPr>
          <w:lang w:val="en-GB"/>
        </w:rPr>
      </w:pPr>
      <w:r>
        <w:rPr>
          <w:lang w:val="en-GB"/>
        </w:rPr>
        <w:t>[3]</w:t>
      </w:r>
      <w:r>
        <w:rPr>
          <w:lang w:val="en-GB"/>
        </w:rPr>
        <w:tab/>
      </w:r>
      <w:r w:rsidR="003930E6" w:rsidRPr="00B3218F">
        <w:rPr>
          <w:lang w:val="en-GB"/>
        </w:rPr>
        <w:t xml:space="preserve">Annexure ‘FA 2’ to the founding papers contains a copy of the deed of sale. </w:t>
      </w:r>
      <w:r w:rsidR="00781847" w:rsidRPr="00B3218F">
        <w:rPr>
          <w:lang w:val="en-GB"/>
        </w:rPr>
        <w:t xml:space="preserve"> Clause 21 is headed ‘Suspensive Conditions’. The typed portion provides as follows:</w:t>
      </w:r>
    </w:p>
    <w:p w14:paraId="28474CA8" w14:textId="64359CDC" w:rsidR="00781847" w:rsidRDefault="00781847" w:rsidP="00781847">
      <w:pPr>
        <w:jc w:val="both"/>
        <w:rPr>
          <w:sz w:val="22"/>
          <w:szCs w:val="22"/>
          <w:lang w:val="en-GB"/>
        </w:rPr>
      </w:pPr>
      <w:r>
        <w:rPr>
          <w:sz w:val="22"/>
          <w:szCs w:val="22"/>
          <w:lang w:val="en-GB"/>
        </w:rPr>
        <w:t>‘This transaction is subject to a financial institution approving in principle on its normal terms and conditions pertaining to a transaction of this nature, a loan of not less than R …………. before or on …………. to be secured by the registration of a First Mortgage over the within property. The Purchaser shall forthwith apply for the necessary bond finance and furthermore irrevocably appoints Century 21 East London to act as his / her agent for the purpose of securing the necessary bond finance.’</w:t>
      </w:r>
    </w:p>
    <w:p w14:paraId="08DF7441" w14:textId="77777777" w:rsidR="00781847" w:rsidRPr="00781847" w:rsidRDefault="00781847" w:rsidP="00781847">
      <w:pPr>
        <w:rPr>
          <w:sz w:val="22"/>
          <w:szCs w:val="22"/>
          <w:lang w:val="en-GB"/>
        </w:rPr>
      </w:pPr>
    </w:p>
    <w:p w14:paraId="60C1047A" w14:textId="3F7F3791" w:rsidR="00E260A9" w:rsidRPr="00B3218F" w:rsidRDefault="00B3218F" w:rsidP="00B3218F">
      <w:pPr>
        <w:autoSpaceDE w:val="0"/>
        <w:autoSpaceDN w:val="0"/>
        <w:adjustRightInd w:val="0"/>
        <w:jc w:val="both"/>
        <w:rPr>
          <w:lang w:val="en-GB"/>
        </w:rPr>
      </w:pPr>
      <w:r>
        <w:rPr>
          <w:lang w:val="en-GB"/>
        </w:rPr>
        <w:t>[4]</w:t>
      </w:r>
      <w:r>
        <w:rPr>
          <w:lang w:val="en-GB"/>
        </w:rPr>
        <w:tab/>
      </w:r>
      <w:r w:rsidR="003930E6" w:rsidRPr="00B3218F">
        <w:rPr>
          <w:lang w:val="en-GB"/>
        </w:rPr>
        <w:t>Three differently signed copies of clause 21, dealing with the suspensive condition, are attached to the papers, without further explanation.</w:t>
      </w:r>
      <w:r w:rsidR="00594EC4">
        <w:rPr>
          <w:rStyle w:val="FootnoteReference"/>
          <w:lang w:val="en-GB"/>
        </w:rPr>
        <w:footnoteReference w:id="1"/>
      </w:r>
      <w:r w:rsidR="003930E6" w:rsidRPr="00B3218F">
        <w:rPr>
          <w:lang w:val="en-GB"/>
        </w:rPr>
        <w:t xml:space="preserve"> </w:t>
      </w:r>
      <w:r w:rsidR="00EC708B" w:rsidRPr="00B3218F">
        <w:rPr>
          <w:lang w:val="en-GB"/>
        </w:rPr>
        <w:t>In each instance the amount of ‘R 3 400 000’ has been inserted in writing. In the first copy, the second blank space reflects ‘8 Aug 2022’ in writing, but the ‘8’ has been crossed out and replaced with ‘12’. No initials or signature appear alongside any of th</w:t>
      </w:r>
      <w:r w:rsidR="00095D9A" w:rsidRPr="00B3218F">
        <w:rPr>
          <w:lang w:val="en-GB"/>
        </w:rPr>
        <w:t>at</w:t>
      </w:r>
      <w:r w:rsidR="00EC708B" w:rsidRPr="00B3218F">
        <w:rPr>
          <w:lang w:val="en-GB"/>
        </w:rPr>
        <w:t xml:space="preserve"> writing</w:t>
      </w:r>
      <w:r w:rsidR="00095D9A" w:rsidRPr="00B3218F">
        <w:rPr>
          <w:lang w:val="en-GB"/>
        </w:rPr>
        <w:t>, although four signatures / initials appear above that clause alongside clause 19.2, which has been struck out</w:t>
      </w:r>
      <w:r w:rsidR="00EC708B" w:rsidRPr="00B3218F">
        <w:rPr>
          <w:lang w:val="en-GB"/>
        </w:rPr>
        <w:t xml:space="preserve">. In the second instance, </w:t>
      </w:r>
      <w:r w:rsidR="00CF5D2C" w:rsidRPr="00B3218F">
        <w:rPr>
          <w:lang w:val="en-GB"/>
        </w:rPr>
        <w:t xml:space="preserve">the appearance of clause </w:t>
      </w:r>
      <w:r w:rsidR="00A76BAC" w:rsidRPr="00B3218F">
        <w:rPr>
          <w:lang w:val="en-GB"/>
        </w:rPr>
        <w:t xml:space="preserve">21 </w:t>
      </w:r>
      <w:r w:rsidR="00CF5D2C" w:rsidRPr="00B3218F">
        <w:rPr>
          <w:lang w:val="en-GB"/>
        </w:rPr>
        <w:t xml:space="preserve">is the same but, in addition, </w:t>
      </w:r>
      <w:r w:rsidR="00EC708B" w:rsidRPr="00B3218F">
        <w:rPr>
          <w:lang w:val="en-GB"/>
        </w:rPr>
        <w:t xml:space="preserve">a </w:t>
      </w:r>
      <w:r w:rsidR="00F1113C" w:rsidRPr="00B3218F">
        <w:rPr>
          <w:lang w:val="en-GB"/>
        </w:rPr>
        <w:t xml:space="preserve">single </w:t>
      </w:r>
      <w:r w:rsidR="00EC708B" w:rsidRPr="00B3218F">
        <w:rPr>
          <w:lang w:val="en-GB"/>
        </w:rPr>
        <w:t xml:space="preserve">signature appears alongside ‘R 3 400 000’. In the third, a particularly poor copy of the relevant page, signatures appear on both sides of the </w:t>
      </w:r>
      <w:r w:rsidR="00EC708B" w:rsidRPr="00B3218F">
        <w:rPr>
          <w:lang w:val="en-GB"/>
        </w:rPr>
        <w:lastRenderedPageBreak/>
        <w:t>page alongside the space where the date has been inserted</w:t>
      </w:r>
      <w:r w:rsidR="00697FD5" w:rsidRPr="00B3218F">
        <w:rPr>
          <w:lang w:val="en-GB"/>
        </w:rPr>
        <w:t xml:space="preserve"> in clause 21</w:t>
      </w:r>
      <w:r w:rsidR="00EC708B" w:rsidRPr="00B3218F">
        <w:rPr>
          <w:lang w:val="en-GB"/>
        </w:rPr>
        <w:t xml:space="preserve">. Again, ‘8’ Aug 2022 has been </w:t>
      </w:r>
      <w:r w:rsidR="002F08AD" w:rsidRPr="00B3218F">
        <w:rPr>
          <w:lang w:val="en-GB"/>
        </w:rPr>
        <w:t xml:space="preserve">crossed out and </w:t>
      </w:r>
      <w:r w:rsidR="00EC708B" w:rsidRPr="00B3218F">
        <w:rPr>
          <w:lang w:val="en-GB"/>
        </w:rPr>
        <w:t>replaced with ‘12’.</w:t>
      </w:r>
    </w:p>
    <w:p w14:paraId="01C9DD17" w14:textId="77777777" w:rsidR="00E2425C" w:rsidRDefault="00E2425C" w:rsidP="00E2425C">
      <w:pPr>
        <w:pStyle w:val="ListParagraph"/>
        <w:autoSpaceDE w:val="0"/>
        <w:autoSpaceDN w:val="0"/>
        <w:adjustRightInd w:val="0"/>
        <w:ind w:left="0"/>
        <w:jc w:val="both"/>
        <w:rPr>
          <w:lang w:val="en-GB"/>
        </w:rPr>
      </w:pPr>
    </w:p>
    <w:p w14:paraId="2B9440EA" w14:textId="75CF77CD" w:rsidR="00E2425C" w:rsidRPr="00B3218F" w:rsidRDefault="00B3218F" w:rsidP="00B3218F">
      <w:pPr>
        <w:autoSpaceDE w:val="0"/>
        <w:autoSpaceDN w:val="0"/>
        <w:adjustRightInd w:val="0"/>
        <w:jc w:val="both"/>
        <w:rPr>
          <w:lang w:val="en-GB"/>
        </w:rPr>
      </w:pPr>
      <w:r>
        <w:rPr>
          <w:lang w:val="en-GB"/>
        </w:rPr>
        <w:t>[5]</w:t>
      </w:r>
      <w:r>
        <w:rPr>
          <w:lang w:val="en-GB"/>
        </w:rPr>
        <w:tab/>
      </w:r>
      <w:r w:rsidR="00E2425C" w:rsidRPr="00B3218F">
        <w:rPr>
          <w:lang w:val="en-GB"/>
        </w:rPr>
        <w:t>Mr D submit</w:t>
      </w:r>
      <w:r w:rsidR="00DC7C37" w:rsidRPr="00B3218F">
        <w:rPr>
          <w:lang w:val="en-GB"/>
        </w:rPr>
        <w:t>ted</w:t>
      </w:r>
      <w:r w:rsidR="00E2425C" w:rsidRPr="00B3218F">
        <w:rPr>
          <w:lang w:val="en-GB"/>
        </w:rPr>
        <w:t xml:space="preserve"> that the sale was subject to a suspensive condition that the purchasers would obtain a loan in the sum of R 3 400 000 on or by 12 August 2022, and that the suspensive condition was fulfilled. That submission place</w:t>
      </w:r>
      <w:r w:rsidR="009B4D2B" w:rsidRPr="00B3218F">
        <w:rPr>
          <w:lang w:val="en-GB"/>
        </w:rPr>
        <w:t>d</w:t>
      </w:r>
      <w:r w:rsidR="00E2425C" w:rsidRPr="00B3218F">
        <w:rPr>
          <w:lang w:val="en-GB"/>
        </w:rPr>
        <w:t xml:space="preserve"> reliance on a Standard Bank ‘Quotation and pre-agreement statement’, dated 11 August 2022.</w:t>
      </w:r>
      <w:r w:rsidR="005C405F">
        <w:rPr>
          <w:rStyle w:val="FootnoteReference"/>
          <w:lang w:val="en-GB"/>
        </w:rPr>
        <w:footnoteReference w:id="2"/>
      </w:r>
      <w:r w:rsidR="00D1677C" w:rsidRPr="00B3218F">
        <w:rPr>
          <w:lang w:val="en-GB"/>
        </w:rPr>
        <w:t xml:space="preserve"> Mrs D denie</w:t>
      </w:r>
      <w:r w:rsidR="001B5209" w:rsidRPr="00B3218F">
        <w:rPr>
          <w:lang w:val="en-GB"/>
        </w:rPr>
        <w:t>d</w:t>
      </w:r>
      <w:r w:rsidR="00D1677C" w:rsidRPr="00B3218F">
        <w:rPr>
          <w:lang w:val="en-GB"/>
        </w:rPr>
        <w:t xml:space="preserve"> that Annexure ‘FA 2’ is the ‘correct document that I signed’, adding that the document attached to the founding papers </w:t>
      </w:r>
      <w:r w:rsidR="00AC6F37" w:rsidRPr="00B3218F">
        <w:rPr>
          <w:lang w:val="en-GB"/>
        </w:rPr>
        <w:t>was</w:t>
      </w:r>
      <w:r w:rsidR="00D1677C" w:rsidRPr="00B3218F">
        <w:rPr>
          <w:lang w:val="en-GB"/>
        </w:rPr>
        <w:t xml:space="preserve"> materially different from the document she had signed. She highlight</w:t>
      </w:r>
      <w:r w:rsidR="00AC6F37" w:rsidRPr="00B3218F">
        <w:rPr>
          <w:lang w:val="en-GB"/>
        </w:rPr>
        <w:t>ed</w:t>
      </w:r>
      <w:r w:rsidR="00D1677C" w:rsidRPr="00B3218F">
        <w:rPr>
          <w:lang w:val="en-GB"/>
        </w:rPr>
        <w:t xml:space="preserve"> the changed date in clause 21 of the deed of sale</w:t>
      </w:r>
      <w:r w:rsidR="00011C38" w:rsidRPr="00B3218F">
        <w:rPr>
          <w:lang w:val="en-GB"/>
        </w:rPr>
        <w:t xml:space="preserve">, noting that the </w:t>
      </w:r>
      <w:r w:rsidR="0049265B" w:rsidRPr="00B3218F">
        <w:rPr>
          <w:lang w:val="en-GB"/>
        </w:rPr>
        <w:t xml:space="preserve">visible </w:t>
      </w:r>
      <w:r w:rsidR="00011C38" w:rsidRPr="00B3218F">
        <w:rPr>
          <w:lang w:val="en-GB"/>
        </w:rPr>
        <w:t xml:space="preserve">alterations </w:t>
      </w:r>
      <w:r w:rsidR="00142C4E" w:rsidRPr="00B3218F">
        <w:rPr>
          <w:lang w:val="en-GB"/>
        </w:rPr>
        <w:t xml:space="preserve">to that clause </w:t>
      </w:r>
      <w:r w:rsidR="00BF04DC" w:rsidRPr="00B3218F">
        <w:rPr>
          <w:lang w:val="en-GB"/>
        </w:rPr>
        <w:t>had</w:t>
      </w:r>
      <w:r w:rsidR="00011C38" w:rsidRPr="00B3218F">
        <w:rPr>
          <w:lang w:val="en-GB"/>
        </w:rPr>
        <w:t xml:space="preserve"> not been initialled by all parties.</w:t>
      </w:r>
      <w:r w:rsidR="006C076F" w:rsidRPr="00B3218F">
        <w:rPr>
          <w:lang w:val="en-GB"/>
        </w:rPr>
        <w:t xml:space="preserve"> </w:t>
      </w:r>
      <w:proofErr w:type="gramStart"/>
      <w:r w:rsidR="006C076F" w:rsidRPr="00B3218F">
        <w:rPr>
          <w:lang w:val="en-GB"/>
        </w:rPr>
        <w:t>In particular, Mrs</w:t>
      </w:r>
      <w:proofErr w:type="gramEnd"/>
      <w:r w:rsidR="006C076F" w:rsidRPr="00B3218F">
        <w:rPr>
          <w:lang w:val="en-GB"/>
        </w:rPr>
        <w:t xml:space="preserve"> D argue</w:t>
      </w:r>
      <w:r w:rsidR="00EB6F09" w:rsidRPr="00B3218F">
        <w:rPr>
          <w:lang w:val="en-GB"/>
        </w:rPr>
        <w:t>d</w:t>
      </w:r>
      <w:r w:rsidR="006C076F" w:rsidRPr="00B3218F">
        <w:rPr>
          <w:lang w:val="en-GB"/>
        </w:rPr>
        <w:t xml:space="preserve"> that the purchasers </w:t>
      </w:r>
      <w:r w:rsidR="000F467F" w:rsidRPr="00B3218F">
        <w:rPr>
          <w:lang w:val="en-GB"/>
        </w:rPr>
        <w:t>had</w:t>
      </w:r>
      <w:r w:rsidR="006C076F" w:rsidRPr="00B3218F">
        <w:rPr>
          <w:lang w:val="en-GB"/>
        </w:rPr>
        <w:t xml:space="preserve"> not obtain</w:t>
      </w:r>
      <w:r w:rsidR="000F467F" w:rsidRPr="00B3218F">
        <w:rPr>
          <w:lang w:val="en-GB"/>
        </w:rPr>
        <w:t>ed</w:t>
      </w:r>
      <w:r w:rsidR="006C076F" w:rsidRPr="00B3218F">
        <w:rPr>
          <w:lang w:val="en-GB"/>
        </w:rPr>
        <w:t xml:space="preserve"> the loan by the (original) date specified in the deed of sale, so that the suspensive condition remained unfulfilled</w:t>
      </w:r>
      <w:r w:rsidR="00A3481B" w:rsidRPr="00B3218F">
        <w:rPr>
          <w:lang w:val="en-GB"/>
        </w:rPr>
        <w:t xml:space="preserve"> at the material ti</w:t>
      </w:r>
      <w:r w:rsidR="00D27C57" w:rsidRPr="00B3218F">
        <w:rPr>
          <w:lang w:val="en-GB"/>
        </w:rPr>
        <w:t>me.</w:t>
      </w:r>
      <w:r w:rsidR="00013EEB" w:rsidRPr="00B3218F">
        <w:rPr>
          <w:lang w:val="en-GB"/>
        </w:rPr>
        <w:t xml:space="preserve"> In reply, Mr D state</w:t>
      </w:r>
      <w:r w:rsidR="004256A9" w:rsidRPr="00B3218F">
        <w:rPr>
          <w:lang w:val="en-GB"/>
        </w:rPr>
        <w:t>d</w:t>
      </w:r>
      <w:r w:rsidR="00013EEB" w:rsidRPr="00B3218F">
        <w:rPr>
          <w:lang w:val="en-GB"/>
        </w:rPr>
        <w:t xml:space="preserve"> as follows:</w:t>
      </w:r>
    </w:p>
    <w:p w14:paraId="017F4DAA" w14:textId="3141DBAF" w:rsidR="00013EEB" w:rsidRDefault="00013EEB" w:rsidP="00013EEB">
      <w:pPr>
        <w:jc w:val="both"/>
        <w:rPr>
          <w:sz w:val="22"/>
          <w:szCs w:val="22"/>
          <w:lang w:val="en-GB"/>
        </w:rPr>
      </w:pPr>
      <w:r>
        <w:rPr>
          <w:sz w:val="22"/>
          <w:szCs w:val="22"/>
          <w:lang w:val="en-GB"/>
        </w:rPr>
        <w:t>‘Indeed, the Second and Third Respondent fulfilled the suspensive condition and otherwise complied with the sale. I respectfully refer the court to annexure FA 4 to my founding affidavit. Even if the Second and Third Respondent did commit a breach (which they did not), then the provisions of the default clause to the sale ought to have taken effect.’</w:t>
      </w:r>
      <w:r w:rsidR="004463DB">
        <w:rPr>
          <w:rStyle w:val="FootnoteReference"/>
          <w:sz w:val="22"/>
          <w:szCs w:val="22"/>
          <w:lang w:val="en-GB"/>
        </w:rPr>
        <w:footnoteReference w:id="3"/>
      </w:r>
    </w:p>
    <w:p w14:paraId="434D407A" w14:textId="77777777" w:rsidR="005C515A" w:rsidRPr="00013EEB" w:rsidRDefault="005C515A" w:rsidP="00013EEB">
      <w:pPr>
        <w:jc w:val="both"/>
        <w:rPr>
          <w:sz w:val="22"/>
          <w:szCs w:val="22"/>
          <w:lang w:val="en-GB"/>
        </w:rPr>
      </w:pPr>
    </w:p>
    <w:p w14:paraId="79C9A88E" w14:textId="413745D1" w:rsidR="00FE5EFA" w:rsidRPr="00B3218F" w:rsidRDefault="00B3218F" w:rsidP="00B3218F">
      <w:pPr>
        <w:autoSpaceDE w:val="0"/>
        <w:autoSpaceDN w:val="0"/>
        <w:adjustRightInd w:val="0"/>
        <w:jc w:val="both"/>
        <w:rPr>
          <w:lang w:val="en-GB"/>
        </w:rPr>
      </w:pPr>
      <w:r>
        <w:rPr>
          <w:lang w:val="en-GB"/>
        </w:rPr>
        <w:t>[6]</w:t>
      </w:r>
      <w:r>
        <w:rPr>
          <w:lang w:val="en-GB"/>
        </w:rPr>
        <w:tab/>
      </w:r>
      <w:r w:rsidR="00001255" w:rsidRPr="00B3218F">
        <w:rPr>
          <w:lang w:val="en-GB"/>
        </w:rPr>
        <w:t>In motion proceedings, the affidavits constitute both the pleadings and the evidence.</w:t>
      </w:r>
      <w:r w:rsidR="00001255">
        <w:rPr>
          <w:rStyle w:val="FootnoteReference"/>
          <w:lang w:val="en-GB"/>
        </w:rPr>
        <w:footnoteReference w:id="4"/>
      </w:r>
      <w:r w:rsidR="00001255" w:rsidRPr="00B3218F">
        <w:rPr>
          <w:lang w:val="en-GB"/>
        </w:rPr>
        <w:t xml:space="preserve"> </w:t>
      </w:r>
      <w:r w:rsidR="001949B9" w:rsidRPr="00B3218F">
        <w:rPr>
          <w:lang w:val="en-GB"/>
        </w:rPr>
        <w:t>The issues and averments in support of the parties’ cases should appear clearly therefrom.</w:t>
      </w:r>
      <w:r w:rsidR="000C1A91">
        <w:rPr>
          <w:rStyle w:val="FootnoteReference"/>
          <w:lang w:val="en-GB"/>
        </w:rPr>
        <w:footnoteReference w:id="5"/>
      </w:r>
      <w:r w:rsidR="00B66F74" w:rsidRPr="00B3218F">
        <w:rPr>
          <w:lang w:val="en-GB"/>
        </w:rPr>
        <w:t xml:space="preserve"> </w:t>
      </w:r>
      <w:r w:rsidR="00A75D5A" w:rsidRPr="00B3218F">
        <w:rPr>
          <w:lang w:val="en-GB"/>
        </w:rPr>
        <w:t xml:space="preserve">The original of a document is the best evidence of its contents. </w:t>
      </w:r>
      <w:r w:rsidR="00B66F74" w:rsidRPr="00B3218F">
        <w:rPr>
          <w:lang w:val="en-GB"/>
        </w:rPr>
        <w:t>The rationale for requiring original documentary evidence is precisely to avoid error and falsification</w:t>
      </w:r>
      <w:r w:rsidR="002A473B" w:rsidRPr="00B3218F">
        <w:rPr>
          <w:lang w:val="en-GB"/>
        </w:rPr>
        <w:t>, and has been associated with the best evidence rule</w:t>
      </w:r>
      <w:r w:rsidR="00DA708B" w:rsidRPr="00B3218F">
        <w:rPr>
          <w:lang w:val="en-GB"/>
        </w:rPr>
        <w:t xml:space="preserve"> in cases where the content of a document is directly in issue.</w:t>
      </w:r>
      <w:r w:rsidR="008563FC">
        <w:rPr>
          <w:rStyle w:val="FootnoteReference"/>
          <w:lang w:val="en-GB"/>
        </w:rPr>
        <w:footnoteReference w:id="6"/>
      </w:r>
      <w:r w:rsidR="00CD03DF" w:rsidRPr="00B3218F">
        <w:rPr>
          <w:lang w:val="en-GB"/>
        </w:rPr>
        <w:t xml:space="preserve"> </w:t>
      </w:r>
      <w:proofErr w:type="spellStart"/>
      <w:r w:rsidR="00CD03DF" w:rsidRPr="00B3218F">
        <w:rPr>
          <w:lang w:val="en-GB"/>
        </w:rPr>
        <w:t>Schwikkard</w:t>
      </w:r>
      <w:proofErr w:type="spellEnd"/>
      <w:r w:rsidR="00CD03DF" w:rsidRPr="00B3218F">
        <w:rPr>
          <w:lang w:val="en-GB"/>
        </w:rPr>
        <w:t xml:space="preserve"> </w:t>
      </w:r>
      <w:r w:rsidR="00CD03DF" w:rsidRPr="00B3218F">
        <w:rPr>
          <w:i/>
          <w:iCs/>
          <w:lang w:val="en-GB"/>
        </w:rPr>
        <w:t>et al</w:t>
      </w:r>
      <w:r w:rsidR="00CD03DF" w:rsidRPr="00B3218F">
        <w:rPr>
          <w:lang w:val="en-GB"/>
        </w:rPr>
        <w:t xml:space="preserve"> confirm that production of </w:t>
      </w:r>
      <w:r w:rsidR="00CD03DF" w:rsidRPr="00B3218F">
        <w:rPr>
          <w:lang w:val="en-GB"/>
        </w:rPr>
        <w:lastRenderedPageBreak/>
        <w:t>the original document remains a requirement in South Africa</w:t>
      </w:r>
      <w:r w:rsidR="00544D9C" w:rsidRPr="00B3218F">
        <w:rPr>
          <w:lang w:val="en-GB"/>
        </w:rPr>
        <w:t>n</w:t>
      </w:r>
      <w:r w:rsidR="00CD03DF" w:rsidRPr="00B3218F">
        <w:rPr>
          <w:lang w:val="en-GB"/>
        </w:rPr>
        <w:t xml:space="preserve"> law, so that secondary evidence is typically inadmissible to prove the contents of a document.</w:t>
      </w:r>
      <w:r w:rsidR="00336F39">
        <w:rPr>
          <w:rStyle w:val="FootnoteReference"/>
          <w:lang w:val="en-GB"/>
        </w:rPr>
        <w:footnoteReference w:id="7"/>
      </w:r>
      <w:r w:rsidR="00FE5EFA" w:rsidRPr="00B3218F">
        <w:rPr>
          <w:lang w:val="en-GB"/>
        </w:rPr>
        <w:t xml:space="preserve"> </w:t>
      </w:r>
    </w:p>
    <w:p w14:paraId="652F8E02" w14:textId="77777777" w:rsidR="00FE5EFA" w:rsidRDefault="00FE5EFA" w:rsidP="00FE5EFA">
      <w:pPr>
        <w:pStyle w:val="ListParagraph"/>
        <w:autoSpaceDE w:val="0"/>
        <w:autoSpaceDN w:val="0"/>
        <w:adjustRightInd w:val="0"/>
        <w:ind w:left="0"/>
        <w:jc w:val="both"/>
        <w:rPr>
          <w:lang w:val="en-GB"/>
        </w:rPr>
      </w:pPr>
    </w:p>
    <w:p w14:paraId="53527A1F" w14:textId="12922DC4" w:rsidR="00091792" w:rsidRPr="00B3218F" w:rsidRDefault="00B3218F" w:rsidP="00B3218F">
      <w:pPr>
        <w:autoSpaceDE w:val="0"/>
        <w:autoSpaceDN w:val="0"/>
        <w:adjustRightInd w:val="0"/>
        <w:jc w:val="both"/>
        <w:rPr>
          <w:lang w:val="en-GB"/>
        </w:rPr>
      </w:pPr>
      <w:r w:rsidRPr="00C01D71">
        <w:rPr>
          <w:lang w:val="en-GB"/>
        </w:rPr>
        <w:t>[7]</w:t>
      </w:r>
      <w:r w:rsidRPr="00C01D71">
        <w:rPr>
          <w:lang w:val="en-GB"/>
        </w:rPr>
        <w:tab/>
      </w:r>
      <w:r w:rsidR="00FE5EFA" w:rsidRPr="00B3218F">
        <w:rPr>
          <w:lang w:val="en-GB"/>
        </w:rPr>
        <w:t xml:space="preserve">The applicant was unable to produce the original document during the hearing of the matter and there is nothing on the papers to suggest that one of the recognised exceptions is applicable so that the copies produced should be accepted as secondary evidence. </w:t>
      </w:r>
      <w:r w:rsidR="00426035" w:rsidRPr="00B3218F">
        <w:rPr>
          <w:lang w:val="en-GB"/>
        </w:rPr>
        <w:t xml:space="preserve">Accepting counsel’s suggestion from the bar that the document was likely in the possession of a third party, the requisite procedural steps to retrieve the original appear not to have been pursued. </w:t>
      </w:r>
      <w:r w:rsidR="00FE5EFA" w:rsidRPr="00B3218F">
        <w:rPr>
          <w:lang w:val="en-GB"/>
        </w:rPr>
        <w:t xml:space="preserve">This </w:t>
      </w:r>
      <w:r w:rsidR="00426035" w:rsidRPr="00B3218F">
        <w:rPr>
          <w:lang w:val="en-GB"/>
        </w:rPr>
        <w:t xml:space="preserve">all </w:t>
      </w:r>
      <w:r w:rsidR="00FE5EFA" w:rsidRPr="00B3218F">
        <w:rPr>
          <w:lang w:val="en-GB"/>
        </w:rPr>
        <w:t>amounts to a contravention of one of the basic rules governing the admissibility of a document</w:t>
      </w:r>
      <w:r w:rsidR="00426035" w:rsidRPr="00B3218F">
        <w:rPr>
          <w:lang w:val="en-GB"/>
        </w:rPr>
        <w:t xml:space="preserve">, in circumstances where a disputed alteration of a material date is readily apparent. </w:t>
      </w:r>
      <w:r w:rsidR="00950AE3" w:rsidRPr="00B3218F">
        <w:rPr>
          <w:lang w:val="en-GB"/>
        </w:rPr>
        <w:t xml:space="preserve">No case has been made that the secondary evidence presented is all that is available to prove the contents of the document, </w:t>
      </w:r>
      <w:r w:rsidR="00965488" w:rsidRPr="00B3218F">
        <w:rPr>
          <w:lang w:val="en-GB"/>
        </w:rPr>
        <w:t xml:space="preserve">or that one of the other exceptional circumstances prevails, </w:t>
      </w:r>
      <w:proofErr w:type="gramStart"/>
      <w:r w:rsidR="00950AE3" w:rsidRPr="00B3218F">
        <w:rPr>
          <w:lang w:val="en-GB"/>
        </w:rPr>
        <w:t>so as to</w:t>
      </w:r>
      <w:proofErr w:type="gramEnd"/>
      <w:r w:rsidR="00950AE3" w:rsidRPr="00B3218F">
        <w:rPr>
          <w:lang w:val="en-GB"/>
        </w:rPr>
        <w:t xml:space="preserve"> justify it being admitted into evidence. </w:t>
      </w:r>
      <w:r w:rsidR="00426035" w:rsidRPr="00B3218F">
        <w:rPr>
          <w:lang w:val="en-GB"/>
        </w:rPr>
        <w:t>That, on its own, is sufficient to deprive the applicant of the relief he seeks</w:t>
      </w:r>
      <w:r w:rsidR="00322BF4" w:rsidRPr="00B3218F">
        <w:rPr>
          <w:lang w:val="en-GB"/>
        </w:rPr>
        <w:t xml:space="preserve"> in my view</w:t>
      </w:r>
      <w:r w:rsidR="00426035" w:rsidRPr="00B3218F">
        <w:rPr>
          <w:lang w:val="en-GB"/>
        </w:rPr>
        <w:t>.</w:t>
      </w:r>
      <w:r w:rsidR="0019349F">
        <w:rPr>
          <w:rStyle w:val="FootnoteReference"/>
          <w:lang w:val="en-GB"/>
        </w:rPr>
        <w:footnoteReference w:id="8"/>
      </w:r>
      <w:r w:rsidR="00C01D71" w:rsidRPr="00B3218F">
        <w:rPr>
          <w:lang w:val="en-GB"/>
        </w:rPr>
        <w:t xml:space="preserve"> </w:t>
      </w:r>
      <w:r w:rsidR="00016FA7" w:rsidRPr="00B3218F">
        <w:rPr>
          <w:lang w:val="en-GB"/>
        </w:rPr>
        <w:t>For reasons</w:t>
      </w:r>
      <w:r w:rsidR="00E20EE7" w:rsidRPr="00B3218F">
        <w:rPr>
          <w:lang w:val="en-GB"/>
        </w:rPr>
        <w:t xml:space="preserve"> that follow</w:t>
      </w:r>
      <w:r w:rsidR="00016FA7" w:rsidRPr="00B3218F">
        <w:rPr>
          <w:lang w:val="en-GB"/>
        </w:rPr>
        <w:t>, a</w:t>
      </w:r>
      <w:r w:rsidR="00885B2D" w:rsidRPr="00B3218F">
        <w:rPr>
          <w:lang w:val="en-GB"/>
        </w:rPr>
        <w:t xml:space="preserve">ccepting the copies of the document appearing in the papers </w:t>
      </w:r>
      <w:r w:rsidR="00AA009D" w:rsidRPr="00B3218F">
        <w:rPr>
          <w:lang w:val="en-GB"/>
        </w:rPr>
        <w:t xml:space="preserve">as documentary evidence </w:t>
      </w:r>
      <w:r w:rsidR="00885B2D" w:rsidRPr="00B3218F">
        <w:rPr>
          <w:lang w:val="en-GB"/>
        </w:rPr>
        <w:t xml:space="preserve">does not result in a different outcome. </w:t>
      </w:r>
    </w:p>
    <w:p w14:paraId="1E23C9E9" w14:textId="77777777" w:rsidR="00091792" w:rsidRPr="00091792" w:rsidRDefault="00091792" w:rsidP="00091792">
      <w:pPr>
        <w:pStyle w:val="ListParagraph"/>
        <w:rPr>
          <w:lang w:val="en-GB"/>
        </w:rPr>
      </w:pPr>
    </w:p>
    <w:p w14:paraId="0D2B270D" w14:textId="56CC1983" w:rsidR="00C2629C" w:rsidRPr="00B3218F" w:rsidRDefault="00B3218F" w:rsidP="00B3218F">
      <w:pPr>
        <w:autoSpaceDE w:val="0"/>
        <w:autoSpaceDN w:val="0"/>
        <w:adjustRightInd w:val="0"/>
        <w:jc w:val="both"/>
        <w:rPr>
          <w:lang w:val="en-GB"/>
        </w:rPr>
      </w:pPr>
      <w:r>
        <w:rPr>
          <w:lang w:val="en-GB"/>
        </w:rPr>
        <w:t>[8]</w:t>
      </w:r>
      <w:r>
        <w:rPr>
          <w:lang w:val="en-GB"/>
        </w:rPr>
        <w:tab/>
      </w:r>
      <w:r w:rsidR="00C2629C" w:rsidRPr="00B3218F">
        <w:rPr>
          <w:lang w:val="en-GB"/>
        </w:rPr>
        <w:t>It is trite that Mr D was obliged to make out his case in the founding affidavit, which must contain sufficient facts in itself for this Court to find in his favour.</w:t>
      </w:r>
      <w:r w:rsidR="00C2629C">
        <w:rPr>
          <w:rStyle w:val="FootnoteReference"/>
          <w:lang w:val="en-GB"/>
        </w:rPr>
        <w:footnoteReference w:id="9"/>
      </w:r>
      <w:r w:rsidR="00C2629C" w:rsidRPr="00B3218F">
        <w:rPr>
          <w:lang w:val="en-GB"/>
        </w:rPr>
        <w:t xml:space="preserve"> </w:t>
      </w:r>
      <w:r w:rsidR="00F31B4C" w:rsidRPr="00B3218F">
        <w:rPr>
          <w:lang w:val="en-GB"/>
        </w:rPr>
        <w:t>Despite the various different versions of clause 21 attached to the founding papers, the applicant proceeded blithely on the basis that the date by which the loan was to be obtained was 12 August 2022</w:t>
      </w:r>
      <w:r w:rsidR="008E13A3" w:rsidRPr="00B3218F">
        <w:rPr>
          <w:lang w:val="en-GB"/>
        </w:rPr>
        <w:t xml:space="preserve">, and that the suspensive condition had been fulfilled by the purchasers courtesy of the receipt of the ‘Quotation and pre-agreement statement’. </w:t>
      </w:r>
      <w:r w:rsidR="009A2BD5" w:rsidRPr="00B3218F">
        <w:rPr>
          <w:lang w:val="en-GB"/>
        </w:rPr>
        <w:t>That approach resulted in the applicant failing to advance any</w:t>
      </w:r>
      <w:r w:rsidR="00D904CF" w:rsidRPr="00B3218F">
        <w:rPr>
          <w:lang w:val="en-GB"/>
        </w:rPr>
        <w:t xml:space="preserve"> proper basis for this Court to find in his favour if that date was not accepted</w:t>
      </w:r>
      <w:r w:rsidR="00726DE9" w:rsidRPr="00B3218F">
        <w:rPr>
          <w:lang w:val="en-GB"/>
        </w:rPr>
        <w:t xml:space="preserve">. </w:t>
      </w:r>
      <w:r w:rsidR="00D26BDD" w:rsidRPr="00B3218F">
        <w:rPr>
          <w:lang w:val="en-GB"/>
        </w:rPr>
        <w:t xml:space="preserve">As already indicated, </w:t>
      </w:r>
      <w:r w:rsidR="00056957" w:rsidRPr="00B3218F">
        <w:rPr>
          <w:lang w:val="en-GB"/>
        </w:rPr>
        <w:t>Mrs D took issue</w:t>
      </w:r>
      <w:r w:rsidR="00482666" w:rsidRPr="00B3218F">
        <w:rPr>
          <w:lang w:val="en-GB"/>
        </w:rPr>
        <w:t xml:space="preserve">, inter alia, </w:t>
      </w:r>
      <w:r w:rsidR="00056957" w:rsidRPr="00B3218F">
        <w:rPr>
          <w:lang w:val="en-GB"/>
        </w:rPr>
        <w:t xml:space="preserve">with the </w:t>
      </w:r>
      <w:r w:rsidR="00590320" w:rsidRPr="00B3218F">
        <w:rPr>
          <w:lang w:val="en-GB"/>
        </w:rPr>
        <w:t xml:space="preserve">relevant </w:t>
      </w:r>
      <w:r w:rsidR="00056957" w:rsidRPr="00B3218F">
        <w:rPr>
          <w:lang w:val="en-GB"/>
        </w:rPr>
        <w:t xml:space="preserve">date in her answering affidavit, indicating that </w:t>
      </w:r>
      <w:r w:rsidR="00056957" w:rsidRPr="00B3218F">
        <w:rPr>
          <w:lang w:val="en-GB"/>
        </w:rPr>
        <w:lastRenderedPageBreak/>
        <w:t xml:space="preserve">the purchasers had not complied with the suspensive condition timeously. </w:t>
      </w:r>
      <w:r w:rsidR="0091540B" w:rsidRPr="00B3218F">
        <w:rPr>
          <w:lang w:val="en-GB"/>
        </w:rPr>
        <w:t>The reply failed to address that issue head-on.</w:t>
      </w:r>
      <w:r w:rsidR="00480839">
        <w:rPr>
          <w:rStyle w:val="FootnoteReference"/>
          <w:lang w:val="en-GB"/>
        </w:rPr>
        <w:footnoteReference w:id="10"/>
      </w:r>
    </w:p>
    <w:p w14:paraId="4B85CB47" w14:textId="77777777" w:rsidR="00C2629C" w:rsidRPr="00C2629C" w:rsidRDefault="00C2629C" w:rsidP="00C2629C">
      <w:pPr>
        <w:pStyle w:val="ListParagraph"/>
        <w:rPr>
          <w:lang w:val="en-GB"/>
        </w:rPr>
      </w:pPr>
    </w:p>
    <w:p w14:paraId="0D15346A" w14:textId="13FD3F22" w:rsidR="00E73886" w:rsidRPr="00B3218F" w:rsidRDefault="00B3218F" w:rsidP="00B3218F">
      <w:pPr>
        <w:autoSpaceDE w:val="0"/>
        <w:autoSpaceDN w:val="0"/>
        <w:adjustRightInd w:val="0"/>
        <w:jc w:val="both"/>
        <w:rPr>
          <w:lang w:val="en-GB"/>
        </w:rPr>
      </w:pPr>
      <w:r>
        <w:rPr>
          <w:lang w:val="en-GB"/>
        </w:rPr>
        <w:t>[9]</w:t>
      </w:r>
      <w:r>
        <w:rPr>
          <w:lang w:val="en-GB"/>
        </w:rPr>
        <w:tab/>
      </w:r>
      <w:r w:rsidR="00C36FE5" w:rsidRPr="00B3218F">
        <w:rPr>
          <w:lang w:val="en-GB"/>
        </w:rPr>
        <w:t xml:space="preserve">The difficulties faced by the applicant do not end there. </w:t>
      </w:r>
      <w:r w:rsidR="00251E53" w:rsidRPr="00B3218F">
        <w:rPr>
          <w:lang w:val="en-GB"/>
        </w:rPr>
        <w:t xml:space="preserve">The formal legal requirements of a contract of purchase and sale have been considered in </w:t>
      </w:r>
      <w:proofErr w:type="gramStart"/>
      <w:r w:rsidR="00251E53" w:rsidRPr="00B3218F">
        <w:rPr>
          <w:lang w:val="en-GB"/>
        </w:rPr>
        <w:t>a number of</w:t>
      </w:r>
      <w:proofErr w:type="gramEnd"/>
      <w:r w:rsidR="00251E53" w:rsidRPr="00B3218F">
        <w:rPr>
          <w:lang w:val="en-GB"/>
        </w:rPr>
        <w:t xml:space="preserve"> decisions. This includes that the material terms of the contract must be reduced to writing and that the court must be able to ascertain </w:t>
      </w:r>
      <w:r w:rsidR="00CF5D00" w:rsidRPr="00B3218F">
        <w:rPr>
          <w:lang w:val="en-GB"/>
        </w:rPr>
        <w:t xml:space="preserve">these terms </w:t>
      </w:r>
      <w:r w:rsidR="00251E53" w:rsidRPr="00B3218F">
        <w:rPr>
          <w:lang w:val="en-GB"/>
        </w:rPr>
        <w:t>with reasonable certainty.</w:t>
      </w:r>
      <w:r w:rsidR="00251E53">
        <w:rPr>
          <w:rStyle w:val="FootnoteReference"/>
          <w:lang w:val="en-GB"/>
        </w:rPr>
        <w:footnoteReference w:id="11"/>
      </w:r>
      <w:r w:rsidR="00251E53" w:rsidRPr="00B3218F">
        <w:rPr>
          <w:lang w:val="en-GB"/>
        </w:rPr>
        <w:t xml:space="preserve"> </w:t>
      </w:r>
      <w:r w:rsidR="000D5D91" w:rsidRPr="00B3218F">
        <w:rPr>
          <w:lang w:val="en-GB"/>
        </w:rPr>
        <w:t>No alienation of land is of any force or effect unless it is contained in a deed of alienation signed by (all) the parties thereto or by their agents acting on their written authority.</w:t>
      </w:r>
      <w:r w:rsidR="000D5D91">
        <w:rPr>
          <w:rStyle w:val="FootnoteReference"/>
          <w:lang w:val="en-GB"/>
        </w:rPr>
        <w:footnoteReference w:id="12"/>
      </w:r>
      <w:r w:rsidR="000C7750" w:rsidRPr="00B3218F">
        <w:rPr>
          <w:lang w:val="en-GB"/>
        </w:rPr>
        <w:t xml:space="preserve"> </w:t>
      </w:r>
    </w:p>
    <w:p w14:paraId="0188915E" w14:textId="77777777" w:rsidR="00E73886" w:rsidRPr="00E73886" w:rsidRDefault="00E73886" w:rsidP="00E73886">
      <w:pPr>
        <w:pStyle w:val="ListParagraph"/>
        <w:rPr>
          <w:lang w:val="en-GB"/>
        </w:rPr>
      </w:pPr>
    </w:p>
    <w:p w14:paraId="164D9F6D" w14:textId="07872F76" w:rsidR="005B43F6" w:rsidRPr="00B3218F" w:rsidRDefault="00B3218F" w:rsidP="00B3218F">
      <w:pPr>
        <w:autoSpaceDE w:val="0"/>
        <w:autoSpaceDN w:val="0"/>
        <w:adjustRightInd w:val="0"/>
        <w:jc w:val="both"/>
        <w:rPr>
          <w:lang w:val="en-GB"/>
        </w:rPr>
      </w:pPr>
      <w:r w:rsidRPr="000C7750">
        <w:rPr>
          <w:lang w:val="en-GB"/>
        </w:rPr>
        <w:t>[10]</w:t>
      </w:r>
      <w:r w:rsidRPr="000C7750">
        <w:rPr>
          <w:lang w:val="en-GB"/>
        </w:rPr>
        <w:tab/>
      </w:r>
      <w:r w:rsidR="005B43F6" w:rsidRPr="00B3218F">
        <w:rPr>
          <w:lang w:val="en-GB"/>
        </w:rPr>
        <w:t xml:space="preserve">The legal effect of the statutory </w:t>
      </w:r>
      <w:r w:rsidR="00DF7884" w:rsidRPr="00B3218F">
        <w:rPr>
          <w:lang w:val="en-GB"/>
        </w:rPr>
        <w:t>predecessor</w:t>
      </w:r>
      <w:r w:rsidR="005B43F6" w:rsidRPr="00B3218F">
        <w:rPr>
          <w:lang w:val="en-GB"/>
        </w:rPr>
        <w:t xml:space="preserve"> of this requirement has been explained </w:t>
      </w:r>
      <w:r w:rsidR="00515B89" w:rsidRPr="00B3218F">
        <w:rPr>
          <w:lang w:val="en-GB"/>
        </w:rPr>
        <w:t xml:space="preserve">by Corbett JA </w:t>
      </w:r>
      <w:r w:rsidR="005B43F6" w:rsidRPr="00B3218F">
        <w:rPr>
          <w:lang w:val="en-GB"/>
        </w:rPr>
        <w:t>as follows:</w:t>
      </w:r>
      <w:r w:rsidR="005B43F6">
        <w:rPr>
          <w:rStyle w:val="FootnoteReference"/>
          <w:lang w:val="en-GB"/>
        </w:rPr>
        <w:footnoteReference w:id="13"/>
      </w:r>
    </w:p>
    <w:p w14:paraId="17407E8A" w14:textId="3D9F8771" w:rsidR="00DF7884" w:rsidRPr="00DF7884" w:rsidRDefault="00DF7884" w:rsidP="00DF7884">
      <w:pPr>
        <w:pStyle w:val="ListParagraph"/>
        <w:autoSpaceDE w:val="0"/>
        <w:autoSpaceDN w:val="0"/>
        <w:adjustRightInd w:val="0"/>
        <w:ind w:left="0"/>
        <w:jc w:val="both"/>
        <w:rPr>
          <w:sz w:val="22"/>
          <w:szCs w:val="22"/>
          <w:lang w:val="en-GB"/>
        </w:rPr>
      </w:pPr>
      <w:r>
        <w:rPr>
          <w:sz w:val="22"/>
          <w:szCs w:val="22"/>
          <w:lang w:val="en-GB"/>
        </w:rPr>
        <w:t xml:space="preserve">‘…the whole contract of sale, or at any rate all the material terms thereof [must] be reduced to writing…The material terms of the contract are not confined to those prescribing the </w:t>
      </w:r>
      <w:r>
        <w:rPr>
          <w:i/>
          <w:iCs/>
          <w:sz w:val="22"/>
          <w:szCs w:val="22"/>
          <w:lang w:val="en-GB"/>
        </w:rPr>
        <w:t>essentialia</w:t>
      </w:r>
      <w:r>
        <w:rPr>
          <w:sz w:val="22"/>
          <w:szCs w:val="22"/>
          <w:lang w:val="en-GB"/>
        </w:rPr>
        <w:t xml:space="preserve"> of a contract of sale, viz the parties to the contract, the </w:t>
      </w:r>
      <w:proofErr w:type="spellStart"/>
      <w:r>
        <w:rPr>
          <w:i/>
          <w:iCs/>
          <w:sz w:val="22"/>
          <w:szCs w:val="22"/>
          <w:lang w:val="en-GB"/>
        </w:rPr>
        <w:t>merx</w:t>
      </w:r>
      <w:proofErr w:type="spellEnd"/>
      <w:r>
        <w:rPr>
          <w:sz w:val="22"/>
          <w:szCs w:val="22"/>
          <w:lang w:val="en-GB"/>
        </w:rPr>
        <w:t xml:space="preserve"> and the </w:t>
      </w:r>
      <w:proofErr w:type="spellStart"/>
      <w:r>
        <w:rPr>
          <w:i/>
          <w:iCs/>
          <w:sz w:val="22"/>
          <w:szCs w:val="22"/>
          <w:lang w:val="en-GB"/>
        </w:rPr>
        <w:t>pretium</w:t>
      </w:r>
      <w:proofErr w:type="spellEnd"/>
      <w:r>
        <w:rPr>
          <w:sz w:val="22"/>
          <w:szCs w:val="22"/>
          <w:lang w:val="en-GB"/>
        </w:rPr>
        <w:t>, but include, in addition, all other material terms. It is not easy to define what constitutes a material term. Nor is it necessary in the present case to do so since clause 11, upon which the dispute turns and which has the effect (if operative) of suspending the whole contract pending fulfilment of a condition as to the procurement of a loan on the security of a first mortgage bond to be passed over the property sold and also of causing the contract to be “automatically cancelled” in the event of such a loan not being obtained, would clearly constitute a material term of the contract.’</w:t>
      </w:r>
    </w:p>
    <w:p w14:paraId="3AE9CC99" w14:textId="77777777" w:rsidR="005B43F6" w:rsidRPr="005B43F6" w:rsidRDefault="005B43F6" w:rsidP="005B43F6">
      <w:pPr>
        <w:pStyle w:val="ListParagraph"/>
        <w:rPr>
          <w:lang w:val="en-GB"/>
        </w:rPr>
      </w:pPr>
    </w:p>
    <w:p w14:paraId="23513B12" w14:textId="6403E469" w:rsidR="00B52945" w:rsidRPr="00B3218F" w:rsidRDefault="00B3218F" w:rsidP="00B3218F">
      <w:pPr>
        <w:autoSpaceDE w:val="0"/>
        <w:autoSpaceDN w:val="0"/>
        <w:adjustRightInd w:val="0"/>
        <w:jc w:val="both"/>
        <w:rPr>
          <w:lang w:val="en-GB"/>
        </w:rPr>
      </w:pPr>
      <w:r>
        <w:rPr>
          <w:lang w:val="en-GB"/>
        </w:rPr>
        <w:lastRenderedPageBreak/>
        <w:t>[11]</w:t>
      </w:r>
      <w:r>
        <w:rPr>
          <w:lang w:val="en-GB"/>
        </w:rPr>
        <w:tab/>
      </w:r>
      <w:r w:rsidR="002C1CBB" w:rsidRPr="00B3218F">
        <w:rPr>
          <w:lang w:val="en-GB"/>
        </w:rPr>
        <w:t>There is no dispute that the clause constitutes a suspensive condition.</w:t>
      </w:r>
      <w:r w:rsidR="002C1CBB">
        <w:rPr>
          <w:rStyle w:val="FootnoteReference"/>
          <w:lang w:val="en-GB"/>
        </w:rPr>
        <w:footnoteReference w:id="14"/>
      </w:r>
      <w:r w:rsidR="002C1CBB" w:rsidRPr="00B3218F">
        <w:rPr>
          <w:lang w:val="en-GB"/>
        </w:rPr>
        <w:t xml:space="preserve"> </w:t>
      </w:r>
      <w:r w:rsidR="006B77B9" w:rsidRPr="00B3218F">
        <w:rPr>
          <w:lang w:val="en-GB"/>
        </w:rPr>
        <w:t xml:space="preserve">The wording is similar to that considered in </w:t>
      </w:r>
      <w:r w:rsidR="006B77B9" w:rsidRPr="00B3218F">
        <w:rPr>
          <w:i/>
          <w:iCs/>
          <w:lang w:val="en-GB"/>
        </w:rPr>
        <w:t>Johnston v Leal</w:t>
      </w:r>
      <w:r w:rsidR="00B23610">
        <w:rPr>
          <w:rStyle w:val="FootnoteReference"/>
          <w:i/>
          <w:iCs/>
          <w:lang w:val="en-GB"/>
        </w:rPr>
        <w:footnoteReference w:id="15"/>
      </w:r>
      <w:r w:rsidR="006B77B9" w:rsidRPr="00B3218F">
        <w:rPr>
          <w:lang w:val="en-GB"/>
        </w:rPr>
        <w:t xml:space="preserve"> and constitutes </w:t>
      </w:r>
      <w:r w:rsidR="001677B5" w:rsidRPr="00B3218F">
        <w:rPr>
          <w:lang w:val="en-GB"/>
        </w:rPr>
        <w:t>a material term of the agreement</w:t>
      </w:r>
      <w:r w:rsidR="00E51400" w:rsidRPr="00B3218F">
        <w:rPr>
          <w:lang w:val="en-GB"/>
        </w:rPr>
        <w:t>. T</w:t>
      </w:r>
      <w:r w:rsidR="00B52945" w:rsidRPr="00B3218F">
        <w:rPr>
          <w:lang w:val="en-GB"/>
        </w:rPr>
        <w:t xml:space="preserve">he effect of </w:t>
      </w:r>
      <w:r w:rsidR="00C82ADE" w:rsidRPr="00B3218F">
        <w:rPr>
          <w:lang w:val="en-GB"/>
        </w:rPr>
        <w:t>this</w:t>
      </w:r>
      <w:r w:rsidR="00B52945" w:rsidRPr="00B3218F">
        <w:rPr>
          <w:lang w:val="en-GB"/>
        </w:rPr>
        <w:t xml:space="preserve"> is the following:</w:t>
      </w:r>
      <w:r w:rsidR="00086A46">
        <w:rPr>
          <w:rStyle w:val="FootnoteReference"/>
          <w:lang w:val="en-GB"/>
        </w:rPr>
        <w:footnoteReference w:id="16"/>
      </w:r>
    </w:p>
    <w:p w14:paraId="000DE7FC" w14:textId="308F2DF4" w:rsidR="00B52945" w:rsidRDefault="00B52945" w:rsidP="00B52945">
      <w:pPr>
        <w:pStyle w:val="ListParagraph"/>
        <w:autoSpaceDE w:val="0"/>
        <w:autoSpaceDN w:val="0"/>
        <w:adjustRightInd w:val="0"/>
        <w:ind w:left="0"/>
        <w:jc w:val="both"/>
        <w:rPr>
          <w:lang w:val="en-GB"/>
        </w:rPr>
      </w:pPr>
      <w:r w:rsidRPr="0066462C">
        <w:rPr>
          <w:sz w:val="22"/>
          <w:szCs w:val="22"/>
          <w:lang w:val="en-GB"/>
        </w:rPr>
        <w:t>‘The sale is an alienation of land. To be valid its terms must be in writing and signed. That means that every term that is conceived by the parties to form part of the sale must comply with the prescribed statutory formalities. If any term does not so comply, the term itself is void and so is the sale as a whole – at any rate if the offending term</w:t>
      </w:r>
      <w:r w:rsidR="001677B5" w:rsidRPr="0066462C">
        <w:rPr>
          <w:sz w:val="22"/>
          <w:szCs w:val="22"/>
          <w:lang w:val="en-GB"/>
        </w:rPr>
        <w:t xml:space="preserve"> </w:t>
      </w:r>
      <w:r w:rsidRPr="0066462C">
        <w:rPr>
          <w:sz w:val="22"/>
          <w:szCs w:val="22"/>
          <w:lang w:val="en-GB"/>
        </w:rPr>
        <w:t>is a material one that cannot be severed from the enforceable portion of the contract. A term that relates to the performance and thus to the obligations of any of the respective parties, such as a term incorporating a suspensive or resolutive condition, would be a material term.’</w:t>
      </w:r>
    </w:p>
    <w:p w14:paraId="7FE2B1F1" w14:textId="77777777" w:rsidR="00034159" w:rsidRDefault="00034159" w:rsidP="00B52945">
      <w:pPr>
        <w:pStyle w:val="ListParagraph"/>
        <w:autoSpaceDE w:val="0"/>
        <w:autoSpaceDN w:val="0"/>
        <w:adjustRightInd w:val="0"/>
        <w:ind w:left="0"/>
        <w:jc w:val="both"/>
        <w:rPr>
          <w:lang w:val="en-GB"/>
        </w:rPr>
      </w:pPr>
    </w:p>
    <w:p w14:paraId="1B10E37D" w14:textId="55BC03BF" w:rsidR="004A672E" w:rsidRPr="00B3218F" w:rsidRDefault="00B3218F" w:rsidP="00B3218F">
      <w:pPr>
        <w:autoSpaceDE w:val="0"/>
        <w:autoSpaceDN w:val="0"/>
        <w:adjustRightInd w:val="0"/>
        <w:jc w:val="both"/>
        <w:rPr>
          <w:lang w:val="en-GB"/>
        </w:rPr>
      </w:pPr>
      <w:r>
        <w:rPr>
          <w:lang w:val="en-GB"/>
        </w:rPr>
        <w:t>[12]</w:t>
      </w:r>
      <w:r>
        <w:rPr>
          <w:lang w:val="en-GB"/>
        </w:rPr>
        <w:tab/>
      </w:r>
      <w:r w:rsidR="00491C9E" w:rsidRPr="00B3218F">
        <w:rPr>
          <w:lang w:val="en-GB"/>
        </w:rPr>
        <w:t xml:space="preserve">Given the alteration of the handwritten date indicated in the suspensive condition, there is uncertainty about </w:t>
      </w:r>
      <w:r w:rsidR="00BE5936" w:rsidRPr="00B3218F">
        <w:rPr>
          <w:lang w:val="en-GB"/>
        </w:rPr>
        <w:t>the content of a</w:t>
      </w:r>
      <w:r w:rsidR="00491C9E" w:rsidRPr="00B3218F">
        <w:rPr>
          <w:lang w:val="en-GB"/>
        </w:rPr>
        <w:t xml:space="preserve"> material term of the contract. </w:t>
      </w:r>
      <w:r w:rsidR="00A106D8" w:rsidRPr="00B3218F">
        <w:rPr>
          <w:lang w:val="en-GB"/>
        </w:rPr>
        <w:t xml:space="preserve">In addition, </w:t>
      </w:r>
      <w:r w:rsidR="000D74E1" w:rsidRPr="00B3218F">
        <w:rPr>
          <w:lang w:val="en-GB"/>
        </w:rPr>
        <w:t xml:space="preserve">while </w:t>
      </w:r>
      <w:r w:rsidR="00A106D8" w:rsidRPr="00B3218F">
        <w:rPr>
          <w:lang w:val="en-GB"/>
        </w:rPr>
        <w:t>p</w:t>
      </w:r>
      <w:r w:rsidR="00661E49" w:rsidRPr="00B3218F">
        <w:rPr>
          <w:lang w:val="en-GB"/>
        </w:rPr>
        <w:t>arties to a contract are free to vary the contract</w:t>
      </w:r>
      <w:r w:rsidR="000D74E1" w:rsidRPr="00B3218F">
        <w:rPr>
          <w:lang w:val="en-GB"/>
        </w:rPr>
        <w:t xml:space="preserve">, </w:t>
      </w:r>
      <w:r w:rsidR="00661E49" w:rsidRPr="00B3218F">
        <w:rPr>
          <w:lang w:val="en-GB"/>
        </w:rPr>
        <w:t>when the legislature prescribes certain formalities for the making of contracts of a certain type, courts are expected to ensure that those formalities have been complied with in respect of the variation, rather than to permit informal variation. This is to ensure that the intention of the legislature is not frustrated.</w:t>
      </w:r>
      <w:r w:rsidR="00661E49">
        <w:rPr>
          <w:rStyle w:val="FootnoteReference"/>
          <w:lang w:val="en-GB"/>
        </w:rPr>
        <w:footnoteReference w:id="17"/>
      </w:r>
      <w:r w:rsidR="00661E49" w:rsidRPr="00B3218F">
        <w:rPr>
          <w:lang w:val="en-GB"/>
        </w:rPr>
        <w:t xml:space="preserve"> </w:t>
      </w:r>
      <w:r w:rsidR="00AF69CB" w:rsidRPr="00B3218F">
        <w:rPr>
          <w:lang w:val="en-GB"/>
        </w:rPr>
        <w:t>This would include that any variation is in writing, and signed by all the parties to the contract, which has patently not occurred</w:t>
      </w:r>
      <w:r w:rsidR="00A159A3" w:rsidRPr="00B3218F">
        <w:rPr>
          <w:lang w:val="en-GB"/>
        </w:rPr>
        <w:t xml:space="preserve"> in this instance.</w:t>
      </w:r>
      <w:r w:rsidR="00763BD6">
        <w:rPr>
          <w:rStyle w:val="FootnoteReference"/>
          <w:lang w:val="en-GB"/>
        </w:rPr>
        <w:footnoteReference w:id="18"/>
      </w:r>
      <w:r w:rsidR="00763BD6" w:rsidRPr="00B3218F">
        <w:rPr>
          <w:lang w:val="en-GB"/>
        </w:rPr>
        <w:t xml:space="preserve"> </w:t>
      </w:r>
    </w:p>
    <w:p w14:paraId="4A39C5A8" w14:textId="77777777" w:rsidR="009E3F65" w:rsidRPr="009E3F65" w:rsidRDefault="009E3F65" w:rsidP="009E3F65">
      <w:pPr>
        <w:pStyle w:val="ListParagraph"/>
        <w:autoSpaceDE w:val="0"/>
        <w:autoSpaceDN w:val="0"/>
        <w:adjustRightInd w:val="0"/>
        <w:ind w:left="0"/>
        <w:jc w:val="both"/>
        <w:rPr>
          <w:lang w:val="en-GB"/>
        </w:rPr>
      </w:pPr>
    </w:p>
    <w:p w14:paraId="403EF46D" w14:textId="31BDC9D6" w:rsidR="00885B2D" w:rsidRPr="00B3218F" w:rsidRDefault="00B3218F" w:rsidP="00B3218F">
      <w:pPr>
        <w:autoSpaceDE w:val="0"/>
        <w:autoSpaceDN w:val="0"/>
        <w:adjustRightInd w:val="0"/>
        <w:jc w:val="both"/>
        <w:rPr>
          <w:lang w:val="en-GB"/>
        </w:rPr>
      </w:pPr>
      <w:r w:rsidRPr="005E682D">
        <w:rPr>
          <w:lang w:val="en-GB"/>
        </w:rPr>
        <w:t>[13]</w:t>
      </w:r>
      <w:r w:rsidRPr="005E682D">
        <w:rPr>
          <w:lang w:val="en-GB"/>
        </w:rPr>
        <w:tab/>
      </w:r>
      <w:r w:rsidR="003E1C19" w:rsidRPr="00B3218F">
        <w:rPr>
          <w:lang w:val="en-GB"/>
        </w:rPr>
        <w:t xml:space="preserve">The result of non-compliance with s 2(1) of the Alienation of Land Act, 1981, is that the agreement concerned is void </w:t>
      </w:r>
      <w:r w:rsidR="003E1C19" w:rsidRPr="00B3218F">
        <w:rPr>
          <w:i/>
          <w:iCs/>
          <w:lang w:val="en-GB"/>
        </w:rPr>
        <w:t>ab initio</w:t>
      </w:r>
      <w:r w:rsidR="003E1C19" w:rsidRPr="00B3218F">
        <w:rPr>
          <w:lang w:val="en-GB"/>
        </w:rPr>
        <w:t xml:space="preserve"> and of no force or effect.</w:t>
      </w:r>
      <w:r w:rsidR="003E1C19">
        <w:rPr>
          <w:rStyle w:val="FootnoteReference"/>
          <w:lang w:val="en-GB"/>
        </w:rPr>
        <w:footnoteReference w:id="19"/>
      </w:r>
      <w:r w:rsidR="003E1C19" w:rsidRPr="00B3218F">
        <w:rPr>
          <w:lang w:val="en-GB"/>
        </w:rPr>
        <w:t xml:space="preserve"> </w:t>
      </w:r>
      <w:r w:rsidR="00921C69" w:rsidRPr="00B3218F">
        <w:rPr>
          <w:lang w:val="en-GB"/>
        </w:rPr>
        <w:t>While the deed of sale was seemingly signed by all parties, the alteration of the date from ‘8’ to ‘12’ August was not</w:t>
      </w:r>
      <w:r w:rsidR="00D50FD9" w:rsidRPr="00B3218F">
        <w:rPr>
          <w:lang w:val="en-GB"/>
        </w:rPr>
        <w:t>, so that</w:t>
      </w:r>
      <w:r w:rsidR="0073465D" w:rsidRPr="00B3218F">
        <w:rPr>
          <w:lang w:val="en-GB"/>
        </w:rPr>
        <w:t>, at best for the applicant,</w:t>
      </w:r>
      <w:r w:rsidR="00D50FD9" w:rsidRPr="00B3218F">
        <w:rPr>
          <w:lang w:val="en-GB"/>
        </w:rPr>
        <w:t xml:space="preserve"> it is the former date that </w:t>
      </w:r>
      <w:r w:rsidR="006507B0" w:rsidRPr="00B3218F">
        <w:rPr>
          <w:lang w:val="en-GB"/>
        </w:rPr>
        <w:t xml:space="preserve">must </w:t>
      </w:r>
      <w:r w:rsidR="006507B0" w:rsidRPr="00B3218F">
        <w:rPr>
          <w:lang w:val="en-GB"/>
        </w:rPr>
        <w:lastRenderedPageBreak/>
        <w:t>be accepted as that agreed to by all the parties for purposes of the suspensive condition.</w:t>
      </w:r>
      <w:r w:rsidR="00C805D8">
        <w:rPr>
          <w:rStyle w:val="FootnoteReference"/>
          <w:lang w:val="en-GB"/>
        </w:rPr>
        <w:footnoteReference w:id="20"/>
      </w:r>
      <w:r w:rsidR="006507B0" w:rsidRPr="00B3218F">
        <w:rPr>
          <w:lang w:val="en-GB"/>
        </w:rPr>
        <w:t xml:space="preserve"> </w:t>
      </w:r>
      <w:r w:rsidR="00841466" w:rsidRPr="00B3218F">
        <w:rPr>
          <w:lang w:val="en-GB"/>
        </w:rPr>
        <w:t>The consequence of this is that the confirmation of the loan</w:t>
      </w:r>
      <w:r w:rsidR="00921C69" w:rsidRPr="00B3218F">
        <w:rPr>
          <w:lang w:val="en-GB"/>
        </w:rPr>
        <w:t xml:space="preserve"> </w:t>
      </w:r>
      <w:r w:rsidR="00841466" w:rsidRPr="00B3218F">
        <w:rPr>
          <w:lang w:val="en-GB"/>
        </w:rPr>
        <w:t xml:space="preserve">on 11 August 2022, accepting </w:t>
      </w:r>
      <w:r w:rsidR="00770C88" w:rsidRPr="00B3218F">
        <w:rPr>
          <w:lang w:val="en-GB"/>
        </w:rPr>
        <w:t xml:space="preserve">in the applicant’s favour </w:t>
      </w:r>
      <w:r w:rsidR="00841466" w:rsidRPr="00B3218F">
        <w:rPr>
          <w:lang w:val="en-GB"/>
        </w:rPr>
        <w:t>that this is what the ‘Quotation and Pre-Agreement Statement’ intended to convey,</w:t>
      </w:r>
      <w:r w:rsidR="005A2272">
        <w:rPr>
          <w:rStyle w:val="FootnoteReference"/>
          <w:lang w:val="en-GB"/>
        </w:rPr>
        <w:footnoteReference w:id="21"/>
      </w:r>
      <w:r w:rsidR="00841466" w:rsidRPr="00B3218F">
        <w:rPr>
          <w:lang w:val="en-GB"/>
        </w:rPr>
        <w:t xml:space="preserve"> was outside of the timeframe</w:t>
      </w:r>
      <w:r w:rsidR="00B20A8D" w:rsidRPr="00B3218F">
        <w:rPr>
          <w:lang w:val="en-GB"/>
        </w:rPr>
        <w:t xml:space="preserve"> </w:t>
      </w:r>
      <w:r w:rsidR="00E965C0" w:rsidRPr="00B3218F">
        <w:rPr>
          <w:lang w:val="en-GB"/>
        </w:rPr>
        <w:t>reflected</w:t>
      </w:r>
      <w:r w:rsidR="00B20A8D" w:rsidRPr="00B3218F">
        <w:rPr>
          <w:lang w:val="en-GB"/>
        </w:rPr>
        <w:t xml:space="preserve"> in the suspensive condition</w:t>
      </w:r>
      <w:r w:rsidR="00441E89" w:rsidRPr="00B3218F">
        <w:rPr>
          <w:lang w:val="en-GB"/>
        </w:rPr>
        <w:t xml:space="preserve"> agreed to by all the parties</w:t>
      </w:r>
      <w:r w:rsidR="00841466" w:rsidRPr="00B3218F">
        <w:rPr>
          <w:lang w:val="en-GB"/>
        </w:rPr>
        <w:t xml:space="preserve">. </w:t>
      </w:r>
      <w:r w:rsidR="00742AE9" w:rsidRPr="00B3218F">
        <w:rPr>
          <w:lang w:val="en-GB"/>
        </w:rPr>
        <w:t xml:space="preserve">The effect of the non-fulfilment of the suspensive condition was that the contract </w:t>
      </w:r>
      <w:r w:rsidR="00CB6EF4" w:rsidRPr="00B3218F">
        <w:rPr>
          <w:lang w:val="en-GB"/>
        </w:rPr>
        <w:t>did</w:t>
      </w:r>
      <w:r w:rsidR="00742AE9" w:rsidRPr="00B3218F">
        <w:rPr>
          <w:lang w:val="en-GB"/>
        </w:rPr>
        <w:t xml:space="preserve"> not</w:t>
      </w:r>
      <w:r w:rsidR="00CB6EF4" w:rsidRPr="00B3218F">
        <w:rPr>
          <w:lang w:val="en-GB"/>
        </w:rPr>
        <w:t xml:space="preserve"> become</w:t>
      </w:r>
      <w:r w:rsidR="00742AE9" w:rsidRPr="00B3218F">
        <w:rPr>
          <w:lang w:val="en-GB"/>
        </w:rPr>
        <w:t xml:space="preserve"> perfecta.</w:t>
      </w:r>
      <w:r w:rsidR="00CB6EF4">
        <w:rPr>
          <w:rStyle w:val="FootnoteReference"/>
          <w:lang w:val="en-GB"/>
        </w:rPr>
        <w:footnoteReference w:id="22"/>
      </w:r>
    </w:p>
    <w:p w14:paraId="05B71786" w14:textId="77777777" w:rsidR="00B20A8D" w:rsidRPr="00B20A8D" w:rsidRDefault="00B20A8D" w:rsidP="00B20A8D">
      <w:pPr>
        <w:pStyle w:val="ListParagraph"/>
        <w:rPr>
          <w:lang w:val="en-GB"/>
        </w:rPr>
      </w:pPr>
    </w:p>
    <w:p w14:paraId="7CFBB842" w14:textId="60CB1089" w:rsidR="00F8213A" w:rsidRPr="00B3218F" w:rsidRDefault="00B3218F" w:rsidP="00B3218F">
      <w:pPr>
        <w:autoSpaceDE w:val="0"/>
        <w:autoSpaceDN w:val="0"/>
        <w:adjustRightInd w:val="0"/>
        <w:jc w:val="both"/>
        <w:rPr>
          <w:lang w:val="en-GB"/>
        </w:rPr>
      </w:pPr>
      <w:r>
        <w:rPr>
          <w:lang w:val="en-GB"/>
        </w:rPr>
        <w:t>[14]</w:t>
      </w:r>
      <w:r>
        <w:rPr>
          <w:lang w:val="en-GB"/>
        </w:rPr>
        <w:tab/>
      </w:r>
      <w:r w:rsidR="0007171C" w:rsidRPr="00B3218F">
        <w:rPr>
          <w:lang w:val="en-GB"/>
        </w:rPr>
        <w:t>A party claiming on a contract subject to a suspensive condition must plead and prove the condition and its fulfilment.</w:t>
      </w:r>
      <w:r w:rsidR="0007171C">
        <w:rPr>
          <w:rStyle w:val="FootnoteReference"/>
          <w:lang w:val="en-GB"/>
        </w:rPr>
        <w:footnoteReference w:id="23"/>
      </w:r>
      <w:r w:rsidR="0007171C" w:rsidRPr="00B3218F">
        <w:rPr>
          <w:lang w:val="en-GB"/>
        </w:rPr>
        <w:t xml:space="preserve"> </w:t>
      </w:r>
      <w:r w:rsidR="007C2D65" w:rsidRPr="00B3218F">
        <w:rPr>
          <w:lang w:val="en-GB"/>
        </w:rPr>
        <w:t>The applicant has in this instance failed to prove the fulfilment of the suspensive condition contained in clause 21 of the written agreement, so that the agreement is of no force and effect.</w:t>
      </w:r>
      <w:r w:rsidR="00912D17">
        <w:rPr>
          <w:rStyle w:val="FootnoteReference"/>
          <w:lang w:val="en-GB"/>
        </w:rPr>
        <w:footnoteReference w:id="24"/>
      </w:r>
      <w:r w:rsidR="00B40AB1" w:rsidRPr="00B3218F">
        <w:rPr>
          <w:lang w:val="en-GB"/>
        </w:rPr>
        <w:t xml:space="preserve"> </w:t>
      </w:r>
      <w:r w:rsidR="008C56C1" w:rsidRPr="00B3218F">
        <w:rPr>
          <w:lang w:val="en-GB"/>
        </w:rPr>
        <w:t>There is nothing in the agreement to suggest otherwise.</w:t>
      </w:r>
      <w:r w:rsidR="008C56C1">
        <w:rPr>
          <w:rStyle w:val="FootnoteReference"/>
          <w:lang w:val="en-GB"/>
        </w:rPr>
        <w:footnoteReference w:id="25"/>
      </w:r>
      <w:r w:rsidR="008C56C1" w:rsidRPr="00B3218F">
        <w:rPr>
          <w:lang w:val="en-GB"/>
        </w:rPr>
        <w:t xml:space="preserve"> </w:t>
      </w:r>
      <w:r w:rsidR="00610449" w:rsidRPr="00B3218F">
        <w:rPr>
          <w:lang w:val="en-GB"/>
        </w:rPr>
        <w:t>Non-fulfilment</w:t>
      </w:r>
      <w:r w:rsidR="00B40AB1" w:rsidRPr="00B3218F">
        <w:rPr>
          <w:lang w:val="en-GB"/>
        </w:rPr>
        <w:t xml:space="preserve"> of the suspensive condition renders the contract void</w:t>
      </w:r>
      <w:r w:rsidR="00BA51E5" w:rsidRPr="00B3218F">
        <w:rPr>
          <w:lang w:val="en-GB"/>
        </w:rPr>
        <w:t xml:space="preserve">. One of the consequences of this is that compliance with the breach / default clause, in respect of providing written notice of breach, is inapplicable. </w:t>
      </w:r>
      <w:r w:rsidR="0088509A" w:rsidRPr="00B3218F">
        <w:rPr>
          <w:lang w:val="en-GB"/>
        </w:rPr>
        <w:t xml:space="preserve">Another is that </w:t>
      </w:r>
      <w:r w:rsidR="00354551" w:rsidRPr="00B3218F">
        <w:rPr>
          <w:lang w:val="en-GB"/>
        </w:rPr>
        <w:t>the subsequent steps taken by the parties or their representatives towards transfer of the property cannot</w:t>
      </w:r>
      <w:r w:rsidR="00FC298D" w:rsidRPr="00B3218F">
        <w:rPr>
          <w:lang w:val="en-GB"/>
        </w:rPr>
        <w:t>, in this instance,</w:t>
      </w:r>
      <w:r w:rsidR="00354551" w:rsidRPr="00B3218F">
        <w:rPr>
          <w:lang w:val="en-GB"/>
        </w:rPr>
        <w:t xml:space="preserve"> resuscitate</w:t>
      </w:r>
      <w:r w:rsidR="009B7AB7" w:rsidRPr="00B3218F">
        <w:rPr>
          <w:lang w:val="en-GB"/>
        </w:rPr>
        <w:t xml:space="preserve"> the contrac</w:t>
      </w:r>
      <w:r w:rsidR="00064331" w:rsidRPr="00B3218F">
        <w:rPr>
          <w:lang w:val="en-GB"/>
        </w:rPr>
        <w:t>t.</w:t>
      </w:r>
      <w:r w:rsidR="0022225A">
        <w:rPr>
          <w:rStyle w:val="FootnoteReference"/>
          <w:lang w:val="en-GB"/>
        </w:rPr>
        <w:footnoteReference w:id="26"/>
      </w:r>
      <w:r w:rsidR="00354551" w:rsidRPr="00B3218F">
        <w:rPr>
          <w:lang w:val="en-GB"/>
        </w:rPr>
        <w:t xml:space="preserve"> </w:t>
      </w:r>
      <w:r w:rsidR="00BA51E5" w:rsidRPr="00B3218F">
        <w:rPr>
          <w:lang w:val="en-GB"/>
        </w:rPr>
        <w:t>T</w:t>
      </w:r>
      <w:r w:rsidR="00B40AB1" w:rsidRPr="00B3218F">
        <w:rPr>
          <w:lang w:val="en-GB"/>
        </w:rPr>
        <w:t xml:space="preserve">here is </w:t>
      </w:r>
      <w:r w:rsidR="00BA51E5" w:rsidRPr="00B3218F">
        <w:rPr>
          <w:lang w:val="en-GB"/>
        </w:rPr>
        <w:t>also</w:t>
      </w:r>
      <w:r w:rsidR="00B40AB1" w:rsidRPr="00B3218F">
        <w:rPr>
          <w:lang w:val="en-GB"/>
        </w:rPr>
        <w:t xml:space="preserve"> no question of a party waiving a right to cancel the contract once there has been non-fulfilment</w:t>
      </w:r>
      <w:r w:rsidR="006F6481" w:rsidRPr="00B3218F">
        <w:rPr>
          <w:lang w:val="en-GB"/>
        </w:rPr>
        <w:t xml:space="preserve"> of the suspensive condition</w:t>
      </w:r>
      <w:r w:rsidR="00B40AB1" w:rsidRPr="00B3218F">
        <w:rPr>
          <w:lang w:val="en-GB"/>
        </w:rPr>
        <w:t>.</w:t>
      </w:r>
      <w:r w:rsidR="008B2B58">
        <w:rPr>
          <w:rStyle w:val="FootnoteReference"/>
          <w:lang w:val="en-GB"/>
        </w:rPr>
        <w:footnoteReference w:id="27"/>
      </w:r>
      <w:r w:rsidR="00B87B41" w:rsidRPr="00B3218F">
        <w:rPr>
          <w:lang w:val="en-GB"/>
        </w:rPr>
        <w:t xml:space="preserve"> </w:t>
      </w:r>
      <w:r w:rsidR="009F795E" w:rsidRPr="00B3218F">
        <w:rPr>
          <w:lang w:val="en-GB"/>
        </w:rPr>
        <w:t>In any event, i</w:t>
      </w:r>
      <w:r w:rsidR="00B26DA6" w:rsidRPr="00B3218F">
        <w:rPr>
          <w:lang w:val="en-GB"/>
        </w:rPr>
        <w:t>t</w:t>
      </w:r>
      <w:r w:rsidR="00EB39EB" w:rsidRPr="00B3218F">
        <w:rPr>
          <w:lang w:val="en-GB"/>
        </w:rPr>
        <w:t xml:space="preserve"> </w:t>
      </w:r>
      <w:r w:rsidR="00B26DA6" w:rsidRPr="00B3218F">
        <w:rPr>
          <w:lang w:val="en-GB"/>
        </w:rPr>
        <w:t xml:space="preserve">is trite that the defence of an election or waiver must </w:t>
      </w:r>
      <w:r w:rsidR="00533C85" w:rsidRPr="00B3218F">
        <w:rPr>
          <w:lang w:val="en-GB"/>
        </w:rPr>
        <w:t xml:space="preserve">generally </w:t>
      </w:r>
      <w:r w:rsidR="00B26DA6" w:rsidRPr="00B3218F">
        <w:rPr>
          <w:lang w:val="en-GB"/>
        </w:rPr>
        <w:t>be pertinently raised and pleaded.</w:t>
      </w:r>
      <w:r w:rsidR="00137551">
        <w:rPr>
          <w:rStyle w:val="FootnoteReference"/>
          <w:lang w:val="en-GB"/>
        </w:rPr>
        <w:footnoteReference w:id="28"/>
      </w:r>
      <w:r w:rsidR="00EB39EB" w:rsidRPr="00B3218F">
        <w:rPr>
          <w:lang w:val="en-GB"/>
        </w:rPr>
        <w:t xml:space="preserve"> </w:t>
      </w:r>
      <w:r w:rsidR="009F3AE6" w:rsidRPr="00B3218F">
        <w:rPr>
          <w:lang w:val="en-GB"/>
        </w:rPr>
        <w:lastRenderedPageBreak/>
        <w:t>Neither t</w:t>
      </w:r>
      <w:r w:rsidR="00BE5387" w:rsidRPr="00B3218F">
        <w:rPr>
          <w:lang w:val="en-GB"/>
        </w:rPr>
        <w:t xml:space="preserve">he purchasers </w:t>
      </w:r>
      <w:r w:rsidR="009F3AE6" w:rsidRPr="00B3218F">
        <w:rPr>
          <w:lang w:val="en-GB"/>
        </w:rPr>
        <w:t xml:space="preserve">nor the applicant </w:t>
      </w:r>
      <w:r w:rsidR="00BE5387" w:rsidRPr="00B3218F">
        <w:rPr>
          <w:lang w:val="en-GB"/>
        </w:rPr>
        <w:t>d</w:t>
      </w:r>
      <w:r w:rsidR="009F3AE6" w:rsidRPr="00B3218F">
        <w:rPr>
          <w:lang w:val="en-GB"/>
        </w:rPr>
        <w:t>id</w:t>
      </w:r>
      <w:r w:rsidR="00BE5387" w:rsidRPr="00B3218F">
        <w:rPr>
          <w:lang w:val="en-GB"/>
        </w:rPr>
        <w:t xml:space="preserve"> so. </w:t>
      </w:r>
      <w:r w:rsidR="00EB39EB" w:rsidRPr="00B3218F">
        <w:rPr>
          <w:lang w:val="en-GB"/>
        </w:rPr>
        <w:t>Furthermore, in cases where a contract places a time limit on the fulfilment of a condition, the party for whose exclusive benefit it was imposed cannot waive it after the time limit has expired.</w:t>
      </w:r>
      <w:r w:rsidR="00D060B0">
        <w:rPr>
          <w:rStyle w:val="FootnoteReference"/>
          <w:lang w:val="en-GB"/>
        </w:rPr>
        <w:footnoteReference w:id="29"/>
      </w:r>
      <w:r w:rsidR="00CD253C" w:rsidRPr="00B3218F">
        <w:rPr>
          <w:lang w:val="en-GB"/>
        </w:rPr>
        <w:t xml:space="preserve"> </w:t>
      </w:r>
    </w:p>
    <w:p w14:paraId="12F9A1E0" w14:textId="77777777" w:rsidR="00EB0FFD" w:rsidRPr="00EB0FFD" w:rsidRDefault="00EB0FFD" w:rsidP="00EB0FFD">
      <w:pPr>
        <w:pStyle w:val="ListParagraph"/>
        <w:rPr>
          <w:lang w:val="en-GB"/>
        </w:rPr>
      </w:pPr>
    </w:p>
    <w:p w14:paraId="7F4C5F9E" w14:textId="77F6A65C" w:rsidR="00F75E4F" w:rsidRPr="00B3218F" w:rsidRDefault="00B3218F" w:rsidP="00B3218F">
      <w:pPr>
        <w:autoSpaceDE w:val="0"/>
        <w:autoSpaceDN w:val="0"/>
        <w:adjustRightInd w:val="0"/>
        <w:jc w:val="both"/>
        <w:rPr>
          <w:lang w:val="en-GB"/>
        </w:rPr>
      </w:pPr>
      <w:r>
        <w:rPr>
          <w:lang w:val="en-GB"/>
        </w:rPr>
        <w:t>[15]</w:t>
      </w:r>
      <w:r>
        <w:rPr>
          <w:lang w:val="en-GB"/>
        </w:rPr>
        <w:tab/>
      </w:r>
      <w:r w:rsidR="00EB0FFD" w:rsidRPr="00B3218F">
        <w:rPr>
          <w:lang w:val="en-GB"/>
        </w:rPr>
        <w:t xml:space="preserve">The application therefore must be dismissed. </w:t>
      </w:r>
      <w:r w:rsidR="00FB7060" w:rsidRPr="00B3218F">
        <w:rPr>
          <w:lang w:val="en-GB"/>
        </w:rPr>
        <w:t>Mrs D has successfully opposed the application and is entitled to costs. Her</w:t>
      </w:r>
      <w:r w:rsidR="00DD2499" w:rsidRPr="00B3218F">
        <w:rPr>
          <w:lang w:val="en-GB"/>
        </w:rPr>
        <w:t xml:space="preserve"> papers were</w:t>
      </w:r>
      <w:r w:rsidR="00FB7060" w:rsidRPr="00B3218F">
        <w:rPr>
          <w:lang w:val="en-GB"/>
        </w:rPr>
        <w:t>, however,</w:t>
      </w:r>
      <w:r w:rsidR="00DD2499" w:rsidRPr="00B3218F">
        <w:rPr>
          <w:lang w:val="en-GB"/>
        </w:rPr>
        <w:t xml:space="preserve"> replete with unnecessary material, considering the real issues to be determined. </w:t>
      </w:r>
      <w:r w:rsidR="00373D07" w:rsidRPr="00B3218F">
        <w:rPr>
          <w:lang w:val="en-GB"/>
        </w:rPr>
        <w:t>Mrs D</w:t>
      </w:r>
      <w:r w:rsidRPr="00B3218F">
        <w:rPr>
          <w:lang w:val="en-GB"/>
        </w:rPr>
        <w:t xml:space="preserve"> </w:t>
      </w:r>
      <w:r w:rsidR="00373D07" w:rsidRPr="00B3218F">
        <w:rPr>
          <w:lang w:val="en-GB"/>
        </w:rPr>
        <w:t xml:space="preserve">raised a number of points in </w:t>
      </w:r>
      <w:proofErr w:type="spellStart"/>
      <w:r w:rsidR="00373D07" w:rsidRPr="00B3218F">
        <w:rPr>
          <w:lang w:val="en-GB"/>
        </w:rPr>
        <w:t>limine</w:t>
      </w:r>
      <w:proofErr w:type="spellEnd"/>
      <w:r w:rsidR="00373D07" w:rsidRPr="00B3218F">
        <w:rPr>
          <w:lang w:val="en-GB"/>
        </w:rPr>
        <w:t xml:space="preserve"> in her answering affidavit, including detailed submissions of a legal nature regarding urgency</w:t>
      </w:r>
      <w:r w:rsidR="00652E62" w:rsidRPr="00B3218F">
        <w:rPr>
          <w:lang w:val="en-GB"/>
        </w:rPr>
        <w:t xml:space="preserve">, non-joinder of the firm of attorneys </w:t>
      </w:r>
      <w:r w:rsidR="00BA1639" w:rsidRPr="00B3218F">
        <w:rPr>
          <w:lang w:val="en-GB"/>
        </w:rPr>
        <w:t>responsible for transfer of the property</w:t>
      </w:r>
      <w:r w:rsidR="002E7FD4" w:rsidRPr="00B3218F">
        <w:rPr>
          <w:lang w:val="en-GB"/>
        </w:rPr>
        <w:t xml:space="preserve"> and</w:t>
      </w:r>
      <w:r w:rsidR="00BA1639" w:rsidRPr="00B3218F">
        <w:rPr>
          <w:lang w:val="en-GB"/>
        </w:rPr>
        <w:t xml:space="preserve"> non-joinder of the sheriff.</w:t>
      </w:r>
      <w:r w:rsidR="00A34342" w:rsidRPr="00B3218F">
        <w:rPr>
          <w:lang w:val="en-GB"/>
        </w:rPr>
        <w:t xml:space="preserve"> The response to the merits was also unnecessarily prolix</w:t>
      </w:r>
      <w:r w:rsidR="00124A13" w:rsidRPr="00B3218F">
        <w:rPr>
          <w:lang w:val="en-GB"/>
        </w:rPr>
        <w:t>, with a number of paragraphs devoted to responding to background averments irrelevant to the actual dispute between the parties.</w:t>
      </w:r>
      <w:r w:rsidR="005E0394" w:rsidRPr="00B3218F">
        <w:rPr>
          <w:lang w:val="en-GB"/>
        </w:rPr>
        <w:t xml:space="preserve"> </w:t>
      </w:r>
      <w:r w:rsidR="0015078F" w:rsidRPr="00B3218F">
        <w:rPr>
          <w:lang w:val="en-GB"/>
        </w:rPr>
        <w:t>That</w:t>
      </w:r>
      <w:r w:rsidR="00995533" w:rsidRPr="00B3218F">
        <w:rPr>
          <w:lang w:val="en-GB"/>
        </w:rPr>
        <w:t xml:space="preserve"> approach warrants censure. </w:t>
      </w:r>
      <w:r w:rsidR="002B1428" w:rsidRPr="00B3218F">
        <w:rPr>
          <w:lang w:val="en-GB"/>
        </w:rPr>
        <w:t xml:space="preserve">I have </w:t>
      </w:r>
      <w:r w:rsidR="00F67BEC" w:rsidRPr="00B3218F">
        <w:rPr>
          <w:lang w:val="en-GB"/>
        </w:rPr>
        <w:t xml:space="preserve">also </w:t>
      </w:r>
      <w:r w:rsidR="002B1428" w:rsidRPr="00B3218F">
        <w:rPr>
          <w:lang w:val="en-GB"/>
        </w:rPr>
        <w:t xml:space="preserve">noted that </w:t>
      </w:r>
      <w:r w:rsidR="005E0394" w:rsidRPr="00B3218F">
        <w:rPr>
          <w:lang w:val="en-GB"/>
        </w:rPr>
        <w:t>Mrs D supplementary affidavit was filed late</w:t>
      </w:r>
      <w:r w:rsidR="002974AA" w:rsidRPr="00B3218F">
        <w:rPr>
          <w:lang w:val="en-GB"/>
        </w:rPr>
        <w:t>, and that heads of argument were filed on her behalf</w:t>
      </w:r>
      <w:r w:rsidR="00124A13" w:rsidRPr="00B3218F">
        <w:rPr>
          <w:lang w:val="en-GB"/>
        </w:rPr>
        <w:t xml:space="preserve"> </w:t>
      </w:r>
      <w:r w:rsidR="002974AA" w:rsidRPr="00B3218F">
        <w:rPr>
          <w:lang w:val="en-GB"/>
        </w:rPr>
        <w:t xml:space="preserve">well outside the </w:t>
      </w:r>
      <w:proofErr w:type="gramStart"/>
      <w:r w:rsidR="002974AA" w:rsidRPr="00B3218F">
        <w:rPr>
          <w:lang w:val="en-GB"/>
        </w:rPr>
        <w:t>time period</w:t>
      </w:r>
      <w:proofErr w:type="gramEnd"/>
      <w:r w:rsidR="002974AA" w:rsidRPr="00B3218F">
        <w:rPr>
          <w:lang w:val="en-GB"/>
        </w:rPr>
        <w:t xml:space="preserve"> set by way of a directive from the Judge President.</w:t>
      </w:r>
    </w:p>
    <w:p w14:paraId="2FFD27B0" w14:textId="77777777" w:rsidR="00F75E4F" w:rsidRPr="00F75E4F" w:rsidRDefault="00F75E4F" w:rsidP="00F75E4F">
      <w:pPr>
        <w:pStyle w:val="ListParagraph"/>
        <w:rPr>
          <w:lang w:val="en-GB"/>
        </w:rPr>
      </w:pPr>
    </w:p>
    <w:p w14:paraId="115BE818" w14:textId="0EA1740F" w:rsidR="00215D1A" w:rsidRPr="00B3218F" w:rsidRDefault="00B3218F" w:rsidP="00B3218F">
      <w:pPr>
        <w:autoSpaceDE w:val="0"/>
        <w:autoSpaceDN w:val="0"/>
        <w:adjustRightInd w:val="0"/>
        <w:jc w:val="both"/>
        <w:rPr>
          <w:lang w:val="en-GB"/>
        </w:rPr>
      </w:pPr>
      <w:r>
        <w:rPr>
          <w:lang w:val="en-GB"/>
        </w:rPr>
        <w:t>[16]</w:t>
      </w:r>
      <w:r>
        <w:rPr>
          <w:lang w:val="en-GB"/>
        </w:rPr>
        <w:tab/>
      </w:r>
      <w:r w:rsidR="00B16E37" w:rsidRPr="00B3218F">
        <w:rPr>
          <w:lang w:val="en-GB"/>
        </w:rPr>
        <w:t xml:space="preserve">In the exercise of my discretion, I consider it appropriate that the applicant only be responsible for 50% of the first respondent’s costs. </w:t>
      </w:r>
      <w:r w:rsidR="00D56F42" w:rsidRPr="00B3218F">
        <w:rPr>
          <w:lang w:val="en-GB"/>
        </w:rPr>
        <w:t xml:space="preserve">Although </w:t>
      </w:r>
      <w:r w:rsidR="001853D6" w:rsidRPr="00B3218F">
        <w:rPr>
          <w:lang w:val="en-GB"/>
        </w:rPr>
        <w:t>Mr D approach</w:t>
      </w:r>
      <w:r w:rsidR="00D56F42" w:rsidRPr="00B3218F">
        <w:rPr>
          <w:lang w:val="en-GB"/>
        </w:rPr>
        <w:t xml:space="preserve"> to</w:t>
      </w:r>
      <w:r w:rsidR="001853D6" w:rsidRPr="00B3218F">
        <w:rPr>
          <w:lang w:val="en-GB"/>
        </w:rPr>
        <w:t>wards</w:t>
      </w:r>
      <w:r w:rsidR="00D56F42" w:rsidRPr="00B3218F">
        <w:rPr>
          <w:lang w:val="en-GB"/>
        </w:rPr>
        <w:t xml:space="preserve"> the disputed clause was questionable, </w:t>
      </w:r>
      <w:r w:rsidR="001853D6" w:rsidRPr="00B3218F">
        <w:rPr>
          <w:lang w:val="en-GB"/>
        </w:rPr>
        <w:t>in all the circumstances I am prepared to give him the benefit of the doubt and refuse the request for a punitive costs order.</w:t>
      </w:r>
      <w:r w:rsidR="00850037" w:rsidRPr="00B3218F">
        <w:rPr>
          <w:lang w:val="en-GB"/>
        </w:rPr>
        <w:t xml:space="preserve"> Counsel for the second and third respondents confirmed that they did not seek a costs order against the applicant in the event that the application was unsuccessful.</w:t>
      </w:r>
    </w:p>
    <w:p w14:paraId="617E24DB" w14:textId="711DDE10" w:rsidR="00D56F42" w:rsidRDefault="00D56F42" w:rsidP="00D56F42">
      <w:pPr>
        <w:rPr>
          <w:lang w:val="en-GB"/>
        </w:rPr>
      </w:pPr>
    </w:p>
    <w:p w14:paraId="031ACEE0" w14:textId="77777777" w:rsidR="006931AA" w:rsidRDefault="006931AA" w:rsidP="00D56F42">
      <w:pPr>
        <w:rPr>
          <w:b/>
          <w:bCs/>
          <w:lang w:val="en-GB"/>
        </w:rPr>
      </w:pPr>
    </w:p>
    <w:p w14:paraId="4563ECCD" w14:textId="77777777" w:rsidR="006931AA" w:rsidRDefault="006931AA" w:rsidP="00D56F42">
      <w:pPr>
        <w:rPr>
          <w:b/>
          <w:bCs/>
          <w:lang w:val="en-GB"/>
        </w:rPr>
      </w:pPr>
    </w:p>
    <w:p w14:paraId="45888D66" w14:textId="77777777" w:rsidR="006931AA" w:rsidRDefault="006931AA" w:rsidP="00D56F42">
      <w:pPr>
        <w:rPr>
          <w:b/>
          <w:bCs/>
          <w:lang w:val="en-GB"/>
        </w:rPr>
      </w:pPr>
    </w:p>
    <w:p w14:paraId="3DD44594" w14:textId="77777777" w:rsidR="006931AA" w:rsidRDefault="006931AA" w:rsidP="00D56F42">
      <w:pPr>
        <w:rPr>
          <w:b/>
          <w:bCs/>
          <w:lang w:val="en-GB"/>
        </w:rPr>
      </w:pPr>
    </w:p>
    <w:p w14:paraId="6643B255" w14:textId="77777777" w:rsidR="006931AA" w:rsidRDefault="006931AA" w:rsidP="00D56F42">
      <w:pPr>
        <w:rPr>
          <w:b/>
          <w:bCs/>
          <w:lang w:val="en-GB"/>
        </w:rPr>
      </w:pPr>
    </w:p>
    <w:p w14:paraId="5887081F" w14:textId="77777777" w:rsidR="006931AA" w:rsidRDefault="006931AA" w:rsidP="00D56F42">
      <w:pPr>
        <w:rPr>
          <w:b/>
          <w:bCs/>
          <w:lang w:val="en-GB"/>
        </w:rPr>
      </w:pPr>
    </w:p>
    <w:p w14:paraId="21DD0366" w14:textId="4E1D63B5" w:rsidR="00D56F42" w:rsidRDefault="00D56F42" w:rsidP="00D56F42">
      <w:pPr>
        <w:rPr>
          <w:b/>
          <w:bCs/>
          <w:lang w:val="en-GB"/>
        </w:rPr>
      </w:pPr>
      <w:r>
        <w:rPr>
          <w:b/>
          <w:bCs/>
          <w:lang w:val="en-GB"/>
        </w:rPr>
        <w:lastRenderedPageBreak/>
        <w:t>Order</w:t>
      </w:r>
    </w:p>
    <w:p w14:paraId="45BCB794" w14:textId="77777777" w:rsidR="00D56F42" w:rsidRPr="00D56F42" w:rsidRDefault="00D56F42" w:rsidP="00D56F42">
      <w:pPr>
        <w:rPr>
          <w:b/>
          <w:bCs/>
          <w:lang w:val="en-GB"/>
        </w:rPr>
      </w:pPr>
    </w:p>
    <w:p w14:paraId="53974A82" w14:textId="5244450E" w:rsidR="00D56F42" w:rsidRPr="00B3218F" w:rsidRDefault="00B3218F" w:rsidP="00B3218F">
      <w:pPr>
        <w:autoSpaceDE w:val="0"/>
        <w:autoSpaceDN w:val="0"/>
        <w:adjustRightInd w:val="0"/>
        <w:jc w:val="both"/>
        <w:rPr>
          <w:lang w:val="en-GB"/>
        </w:rPr>
      </w:pPr>
      <w:r>
        <w:rPr>
          <w:lang w:val="en-GB"/>
        </w:rPr>
        <w:t>[17]</w:t>
      </w:r>
      <w:r>
        <w:rPr>
          <w:lang w:val="en-GB"/>
        </w:rPr>
        <w:tab/>
      </w:r>
      <w:r w:rsidR="00D56F42" w:rsidRPr="00B3218F">
        <w:rPr>
          <w:lang w:val="en-GB"/>
        </w:rPr>
        <w:t>The following order will issue:</w:t>
      </w:r>
    </w:p>
    <w:p w14:paraId="2EA57FA3" w14:textId="77777777" w:rsidR="004B77E5" w:rsidRDefault="004B77E5" w:rsidP="004B77E5">
      <w:pPr>
        <w:pStyle w:val="ListParagraph"/>
        <w:autoSpaceDE w:val="0"/>
        <w:autoSpaceDN w:val="0"/>
        <w:adjustRightInd w:val="0"/>
        <w:ind w:left="0"/>
        <w:jc w:val="both"/>
        <w:rPr>
          <w:lang w:val="en-GB"/>
        </w:rPr>
      </w:pPr>
    </w:p>
    <w:p w14:paraId="6FB72E75" w14:textId="2B545E92" w:rsidR="00D56F42" w:rsidRPr="00B3218F" w:rsidRDefault="00B3218F" w:rsidP="00B3218F">
      <w:pPr>
        <w:autoSpaceDE w:val="0"/>
        <w:autoSpaceDN w:val="0"/>
        <w:adjustRightInd w:val="0"/>
        <w:ind w:left="1080" w:hanging="360"/>
        <w:jc w:val="both"/>
        <w:rPr>
          <w:lang w:val="en-GB"/>
        </w:rPr>
      </w:pPr>
      <w:r>
        <w:rPr>
          <w:lang w:val="en-GB"/>
        </w:rPr>
        <w:t>1.</w:t>
      </w:r>
      <w:r>
        <w:rPr>
          <w:lang w:val="en-GB"/>
        </w:rPr>
        <w:tab/>
      </w:r>
      <w:r w:rsidR="00D56F42" w:rsidRPr="00B3218F">
        <w:rPr>
          <w:lang w:val="en-GB"/>
        </w:rPr>
        <w:t>The application is dismissed.</w:t>
      </w:r>
    </w:p>
    <w:p w14:paraId="334572E5" w14:textId="0512325D" w:rsidR="00B57F93" w:rsidRPr="00B3218F" w:rsidRDefault="00B3218F" w:rsidP="00B3218F">
      <w:pPr>
        <w:autoSpaceDE w:val="0"/>
        <w:autoSpaceDN w:val="0"/>
        <w:adjustRightInd w:val="0"/>
        <w:ind w:left="1080" w:hanging="360"/>
        <w:jc w:val="both"/>
        <w:rPr>
          <w:lang w:val="en-GB"/>
        </w:rPr>
      </w:pPr>
      <w:r w:rsidRPr="00B57F93">
        <w:rPr>
          <w:lang w:val="en-GB"/>
        </w:rPr>
        <w:t>2.</w:t>
      </w:r>
      <w:r w:rsidRPr="00B57F93">
        <w:rPr>
          <w:lang w:val="en-GB"/>
        </w:rPr>
        <w:tab/>
      </w:r>
      <w:r w:rsidR="00D56F42" w:rsidRPr="00B3218F">
        <w:rPr>
          <w:lang w:val="en-GB"/>
        </w:rPr>
        <w:t>The applicant is</w:t>
      </w:r>
      <w:r w:rsidR="00FB7060" w:rsidRPr="00B3218F">
        <w:rPr>
          <w:lang w:val="en-GB"/>
        </w:rPr>
        <w:t xml:space="preserve"> directed to pay 50% of the costs of the first respondent</w:t>
      </w:r>
      <w:r w:rsidR="0064476F" w:rsidRPr="00B3218F">
        <w:rPr>
          <w:lang w:val="en-GB"/>
        </w:rPr>
        <w:t xml:space="preserve">, including </w:t>
      </w:r>
      <w:r w:rsidR="00D35F0D" w:rsidRPr="00B3218F">
        <w:rPr>
          <w:lang w:val="en-GB"/>
        </w:rPr>
        <w:t>all</w:t>
      </w:r>
      <w:r w:rsidR="0064476F" w:rsidRPr="00B3218F">
        <w:rPr>
          <w:lang w:val="en-GB"/>
        </w:rPr>
        <w:t xml:space="preserve"> costs previously reserved</w:t>
      </w:r>
      <w:r w:rsidR="00FB7060" w:rsidRPr="00B3218F">
        <w:rPr>
          <w:lang w:val="en-GB"/>
        </w:rPr>
        <w:t>.</w:t>
      </w:r>
    </w:p>
    <w:p w14:paraId="1E94E12D" w14:textId="40A2B1FD" w:rsidR="00D56F42" w:rsidRPr="00DD2499" w:rsidRDefault="00D56F42" w:rsidP="00D56F42">
      <w:pPr>
        <w:pStyle w:val="ListParagraph"/>
        <w:autoSpaceDE w:val="0"/>
        <w:autoSpaceDN w:val="0"/>
        <w:adjustRightInd w:val="0"/>
        <w:ind w:left="0"/>
        <w:jc w:val="both"/>
        <w:rPr>
          <w:lang w:val="en-GB"/>
        </w:rPr>
      </w:pPr>
    </w:p>
    <w:p w14:paraId="3016ED2F" w14:textId="1C97D01F" w:rsidR="00215D1A" w:rsidRPr="00215D1A" w:rsidRDefault="00215D1A" w:rsidP="00215D1A">
      <w:pPr>
        <w:pStyle w:val="ListParagraph"/>
        <w:rPr>
          <w:lang w:val="en-GB"/>
        </w:rPr>
      </w:pPr>
    </w:p>
    <w:p w14:paraId="38FC7F46" w14:textId="0E9B046B"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20F7F15F" w:rsidR="007A7BBE" w:rsidRPr="00A87D38" w:rsidRDefault="007A7BBE" w:rsidP="00CA056D">
      <w:pPr>
        <w:widowControl w:val="0"/>
        <w:ind w:right="656"/>
        <w:rPr>
          <w:spacing w:val="14"/>
          <w:kern w:val="2"/>
          <w:lang w:val="en-GB"/>
        </w:rPr>
      </w:pPr>
      <w:r w:rsidRPr="00514439">
        <w:rPr>
          <w:b/>
          <w:spacing w:val="14"/>
          <w:kern w:val="2"/>
          <w:lang w:val="en-GB"/>
        </w:rPr>
        <w:t>Heard</w:t>
      </w:r>
      <w:r w:rsidRPr="00A87D38">
        <w:rPr>
          <w:spacing w:val="14"/>
          <w:kern w:val="2"/>
          <w:lang w:val="en-GB"/>
        </w:rPr>
        <w:t>:</w:t>
      </w:r>
      <w:r w:rsidR="00AB5E03">
        <w:rPr>
          <w:spacing w:val="14"/>
          <w:kern w:val="2"/>
          <w:lang w:val="en-GB"/>
        </w:rPr>
        <w:t>01 February 2023</w:t>
      </w:r>
    </w:p>
    <w:p w14:paraId="299C01BC" w14:textId="77777777" w:rsidR="00CA056D" w:rsidRDefault="00CA056D" w:rsidP="000D4C7F">
      <w:pPr>
        <w:widowControl w:val="0"/>
        <w:ind w:left="4320" w:right="656" w:firstLine="720"/>
        <w:jc w:val="right"/>
        <w:rPr>
          <w:spacing w:val="14"/>
          <w:kern w:val="2"/>
          <w:lang w:val="en-GB"/>
        </w:rPr>
      </w:pPr>
    </w:p>
    <w:p w14:paraId="5D550954" w14:textId="468D4A1E" w:rsidR="007A7BBE" w:rsidRPr="00A87D38" w:rsidRDefault="007A7BBE" w:rsidP="00CA056D">
      <w:pPr>
        <w:widowControl w:val="0"/>
        <w:ind w:right="656"/>
        <w:rPr>
          <w:spacing w:val="14"/>
          <w:kern w:val="2"/>
          <w:lang w:val="en-GB"/>
        </w:rPr>
      </w:pPr>
      <w:r w:rsidRPr="00514439">
        <w:rPr>
          <w:b/>
          <w:spacing w:val="14"/>
          <w:kern w:val="2"/>
          <w:lang w:val="en-GB"/>
        </w:rPr>
        <w:t>Delivered</w:t>
      </w:r>
      <w:r w:rsidRPr="00A87D38">
        <w:rPr>
          <w:spacing w:val="14"/>
          <w:kern w:val="2"/>
          <w:lang w:val="en-GB"/>
        </w:rPr>
        <w:t>:</w:t>
      </w:r>
      <w:r w:rsidR="00AB5E03">
        <w:rPr>
          <w:spacing w:val="14"/>
          <w:kern w:val="2"/>
          <w:lang w:val="en-GB"/>
        </w:rPr>
        <w:t>14 February 2023</w:t>
      </w:r>
    </w:p>
    <w:p w14:paraId="398380BF" w14:textId="146414EC" w:rsidR="007A7BBE" w:rsidRDefault="007A7BBE" w:rsidP="004A5151">
      <w:pPr>
        <w:autoSpaceDE w:val="0"/>
        <w:autoSpaceDN w:val="0"/>
        <w:adjustRightInd w:val="0"/>
        <w:jc w:val="both"/>
        <w:rPr>
          <w:lang w:val="en-GB"/>
        </w:rPr>
      </w:pPr>
    </w:p>
    <w:p w14:paraId="5E835D27" w14:textId="7E20460D" w:rsidR="00514439" w:rsidRDefault="00514439"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3227FDF7" w:rsidR="00C33845" w:rsidRDefault="00C33845" w:rsidP="00772E4B">
      <w:pPr>
        <w:jc w:val="both"/>
        <w:rPr>
          <w:lang w:val="en-GB"/>
        </w:rPr>
      </w:pPr>
      <w:r>
        <w:rPr>
          <w:lang w:val="en-GB"/>
        </w:rPr>
        <w:t xml:space="preserve">For </w:t>
      </w:r>
      <w:r w:rsidR="00AB5E03">
        <w:rPr>
          <w:lang w:val="en-GB"/>
        </w:rPr>
        <w:t>the Applicant:</w:t>
      </w:r>
      <w:r w:rsidR="00AB5E03">
        <w:rPr>
          <w:lang w:val="en-GB"/>
        </w:rPr>
        <w:tab/>
      </w:r>
      <w:r w:rsidR="00AB5E03">
        <w:rPr>
          <w:lang w:val="en-GB"/>
        </w:rPr>
        <w:tab/>
      </w:r>
      <w:r w:rsidR="00AB5E03">
        <w:rPr>
          <w:lang w:val="en-GB"/>
        </w:rPr>
        <w:tab/>
      </w:r>
      <w:r>
        <w:rPr>
          <w:lang w:val="en-GB"/>
        </w:rPr>
        <w:tab/>
      </w:r>
      <w:r w:rsidR="00514439">
        <w:rPr>
          <w:lang w:val="en-GB"/>
        </w:rPr>
        <w:t>Adv CB Wood</w:t>
      </w:r>
    </w:p>
    <w:p w14:paraId="4346ACF2" w14:textId="61E5C917"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on Beresford</w:t>
      </w:r>
    </w:p>
    <w:p w14:paraId="476070E4" w14:textId="7EF445B2"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7C22A729" w14:textId="77777777" w:rsidR="00514439" w:rsidRDefault="00514439" w:rsidP="00772E4B">
      <w:pPr>
        <w:jc w:val="both"/>
        <w:rPr>
          <w:lang w:val="en-GB"/>
        </w:rPr>
      </w:pPr>
    </w:p>
    <w:p w14:paraId="0C5F9A59" w14:textId="1F9D678F" w:rsidR="00AB5E03" w:rsidRDefault="00AB5E03" w:rsidP="00772E4B">
      <w:pPr>
        <w:jc w:val="both"/>
        <w:rPr>
          <w:lang w:val="en-GB"/>
        </w:rPr>
      </w:pPr>
      <w:r>
        <w:rPr>
          <w:lang w:val="en-GB"/>
        </w:rPr>
        <w:t>Instructed by:</w:t>
      </w:r>
      <w:r>
        <w:rPr>
          <w:lang w:val="en-GB"/>
        </w:rPr>
        <w:tab/>
      </w:r>
      <w:r>
        <w:rPr>
          <w:lang w:val="en-GB"/>
        </w:rPr>
        <w:tab/>
      </w:r>
      <w:r>
        <w:rPr>
          <w:lang w:val="en-GB"/>
        </w:rPr>
        <w:tab/>
      </w:r>
      <w:r>
        <w:rPr>
          <w:lang w:val="en-GB"/>
        </w:rPr>
        <w:tab/>
      </w:r>
      <w:proofErr w:type="spellStart"/>
      <w:r>
        <w:rPr>
          <w:lang w:val="en-GB"/>
        </w:rPr>
        <w:t>Gravett</w:t>
      </w:r>
      <w:proofErr w:type="spellEnd"/>
      <w:r>
        <w:rPr>
          <w:lang w:val="en-GB"/>
        </w:rPr>
        <w:t xml:space="preserve"> Schoeman Inc.</w:t>
      </w:r>
    </w:p>
    <w:p w14:paraId="749AA06E" w14:textId="7DA88CD3" w:rsidR="00AB5E03" w:rsidRDefault="00AB5E03"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Applicant’s Attorney</w:t>
      </w:r>
    </w:p>
    <w:p w14:paraId="462F7409" w14:textId="3C2AE0C0" w:rsidR="00AB5E03" w:rsidRDefault="00AB5E03"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The Hub | Bonza Bay Road</w:t>
      </w:r>
    </w:p>
    <w:p w14:paraId="53FCFCF7" w14:textId="33AC7D97" w:rsidR="00AB5E03" w:rsidRDefault="00AB5E03" w:rsidP="00772E4B">
      <w:pPr>
        <w:jc w:val="both"/>
        <w:rPr>
          <w:lang w:val="en-GB"/>
        </w:rPr>
      </w:pPr>
      <w:r>
        <w:rPr>
          <w:lang w:val="en-GB"/>
        </w:rPr>
        <w:tab/>
      </w:r>
      <w:r>
        <w:rPr>
          <w:lang w:val="en-GB"/>
        </w:rPr>
        <w:tab/>
      </w:r>
      <w:r>
        <w:rPr>
          <w:lang w:val="en-GB"/>
        </w:rPr>
        <w:tab/>
      </w:r>
      <w:r>
        <w:rPr>
          <w:lang w:val="en-GB"/>
        </w:rPr>
        <w:tab/>
      </w:r>
      <w:r>
        <w:rPr>
          <w:lang w:val="en-GB"/>
        </w:rPr>
        <w:tab/>
      </w:r>
      <w:r>
        <w:rPr>
          <w:lang w:val="en-GB"/>
        </w:rPr>
        <w:tab/>
        <w:t>Beacon Bay</w:t>
      </w:r>
    </w:p>
    <w:p w14:paraId="0B2EA445" w14:textId="0F975C1D" w:rsidR="00AB5E03" w:rsidRDefault="00AB5E03"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3CB589D8" w14:textId="2CBCD9E7" w:rsidR="00AB5E03" w:rsidRDefault="00AB5E03"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w:t>
      </w:r>
      <w:r w:rsidR="001C508F">
        <w:rPr>
          <w:lang w:val="en-GB"/>
        </w:rPr>
        <w:t xml:space="preserve"> </w:t>
      </w:r>
      <w:r>
        <w:rPr>
          <w:lang w:val="en-GB"/>
        </w:rPr>
        <w:t>alexander@gslegal.co.za</w:t>
      </w:r>
    </w:p>
    <w:p w14:paraId="020EA7D5" w14:textId="05E9869A" w:rsidR="00C33845" w:rsidRDefault="00AB5E03"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w:t>
      </w:r>
      <w:r w:rsidR="00B95BDB">
        <w:rPr>
          <w:lang w:val="en-GB"/>
        </w:rPr>
        <w:t xml:space="preserve"> </w:t>
      </w:r>
      <w:r>
        <w:rPr>
          <w:lang w:val="en-GB"/>
        </w:rPr>
        <w:t xml:space="preserve">043 748 </w:t>
      </w:r>
      <w:r w:rsidR="00514439">
        <w:rPr>
          <w:lang w:val="en-GB"/>
        </w:rPr>
        <w:t>2857</w:t>
      </w:r>
    </w:p>
    <w:p w14:paraId="23A2D137" w14:textId="77777777" w:rsidR="00C33845" w:rsidRDefault="00C33845" w:rsidP="00772E4B">
      <w:pPr>
        <w:jc w:val="both"/>
        <w:rPr>
          <w:lang w:val="en-GB"/>
        </w:rPr>
      </w:pPr>
    </w:p>
    <w:p w14:paraId="78E1F3A0" w14:textId="655F8333" w:rsidR="00514439" w:rsidRDefault="00C33845" w:rsidP="00772E4B">
      <w:pPr>
        <w:jc w:val="both"/>
        <w:rPr>
          <w:lang w:val="en-GB"/>
        </w:rPr>
      </w:pPr>
      <w:r>
        <w:rPr>
          <w:lang w:val="en-GB"/>
        </w:rPr>
        <w:lastRenderedPageBreak/>
        <w:t xml:space="preserve">For </w:t>
      </w:r>
      <w:r w:rsidR="00514439">
        <w:rPr>
          <w:lang w:val="en-GB"/>
        </w:rPr>
        <w:t>the</w:t>
      </w:r>
      <w:r w:rsidR="00841E66">
        <w:rPr>
          <w:lang w:val="en-GB"/>
        </w:rPr>
        <w:t xml:space="preserve"> 1st</w:t>
      </w:r>
      <w:r w:rsidR="00514439">
        <w:rPr>
          <w:lang w:val="en-GB"/>
        </w:rPr>
        <w:t xml:space="preserve"> respondent:</w:t>
      </w:r>
      <w:r w:rsidR="00514439">
        <w:rPr>
          <w:lang w:val="en-GB"/>
        </w:rPr>
        <w:tab/>
      </w:r>
      <w:r w:rsidR="00514439">
        <w:rPr>
          <w:lang w:val="en-GB"/>
        </w:rPr>
        <w:tab/>
      </w:r>
      <w:r w:rsidR="00514439">
        <w:rPr>
          <w:lang w:val="en-GB"/>
        </w:rPr>
        <w:tab/>
        <w:t xml:space="preserve">Adv ZB </w:t>
      </w:r>
      <w:proofErr w:type="spellStart"/>
      <w:r w:rsidR="00514439">
        <w:rPr>
          <w:lang w:val="en-GB"/>
        </w:rPr>
        <w:t>Ncalo</w:t>
      </w:r>
      <w:proofErr w:type="spellEnd"/>
    </w:p>
    <w:p w14:paraId="58568E12" w14:textId="5BE893A1"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w:t>
      </w:r>
    </w:p>
    <w:p w14:paraId="047475A3" w14:textId="2ED64D95"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Mthatha</w:t>
      </w:r>
    </w:p>
    <w:p w14:paraId="6E6B2BD6" w14:textId="37B7DCC2" w:rsidR="00514439" w:rsidRDefault="00514439" w:rsidP="00772E4B">
      <w:pPr>
        <w:jc w:val="both"/>
        <w:rPr>
          <w:lang w:val="en-GB"/>
        </w:rPr>
      </w:pPr>
    </w:p>
    <w:p w14:paraId="239CD6AB" w14:textId="408A2E95" w:rsidR="00514439" w:rsidRDefault="00514439" w:rsidP="00772E4B">
      <w:pPr>
        <w:jc w:val="both"/>
        <w:rPr>
          <w:lang w:val="en-GB"/>
        </w:rPr>
      </w:pPr>
      <w:r>
        <w:rPr>
          <w:lang w:val="en-GB"/>
        </w:rPr>
        <w:t>Instructed by:</w:t>
      </w:r>
      <w:r>
        <w:rPr>
          <w:lang w:val="en-GB"/>
        </w:rPr>
        <w:tab/>
      </w:r>
      <w:r>
        <w:rPr>
          <w:lang w:val="en-GB"/>
        </w:rPr>
        <w:tab/>
      </w:r>
      <w:r>
        <w:rPr>
          <w:lang w:val="en-GB"/>
        </w:rPr>
        <w:tab/>
      </w:r>
      <w:r>
        <w:rPr>
          <w:lang w:val="en-GB"/>
        </w:rPr>
        <w:tab/>
        <w:t xml:space="preserve">Odwa </w:t>
      </w:r>
      <w:proofErr w:type="spellStart"/>
      <w:r>
        <w:rPr>
          <w:lang w:val="en-GB"/>
        </w:rPr>
        <w:t>Bhentswana</w:t>
      </w:r>
      <w:proofErr w:type="spellEnd"/>
      <w:r>
        <w:rPr>
          <w:lang w:val="en-GB"/>
        </w:rPr>
        <w:t xml:space="preserve"> Inc.</w:t>
      </w:r>
    </w:p>
    <w:p w14:paraId="1029D596" w14:textId="7F67ECD6"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First Respondent’s Attorney</w:t>
      </w:r>
    </w:p>
    <w:p w14:paraId="50F5CF98" w14:textId="2B9ADEE2"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Suite 150 | First floor</w:t>
      </w:r>
    </w:p>
    <w:p w14:paraId="6F653B79" w14:textId="3719A0F1"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ECDC Building</w:t>
      </w:r>
    </w:p>
    <w:p w14:paraId="6D400CD3" w14:textId="7BD99CDC"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Mthatha</w:t>
      </w:r>
    </w:p>
    <w:p w14:paraId="666398E2" w14:textId="4012CFDB" w:rsidR="00514439" w:rsidRDefault="005144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w:t>
      </w:r>
      <w:r w:rsidR="001C508F">
        <w:rPr>
          <w:lang w:val="en-GB"/>
        </w:rPr>
        <w:t xml:space="preserve"> </w:t>
      </w:r>
      <w:r>
        <w:rPr>
          <w:lang w:val="en-GB"/>
        </w:rPr>
        <w:t>ncalodakada@gmail.com</w:t>
      </w:r>
    </w:p>
    <w:p w14:paraId="3E948B9F" w14:textId="5A28A517" w:rsidR="00841E66" w:rsidRDefault="00841E66" w:rsidP="00772E4B">
      <w:pPr>
        <w:jc w:val="both"/>
        <w:rPr>
          <w:lang w:val="en-GB"/>
        </w:rPr>
      </w:pPr>
    </w:p>
    <w:p w14:paraId="1A1EC029" w14:textId="77777777" w:rsidR="00841E66" w:rsidRDefault="00841E66" w:rsidP="00772E4B">
      <w:pPr>
        <w:jc w:val="both"/>
        <w:rPr>
          <w:lang w:val="en-GB"/>
        </w:rPr>
      </w:pPr>
      <w:r>
        <w:rPr>
          <w:lang w:val="en-GB"/>
        </w:rPr>
        <w:t>For the 2</w:t>
      </w:r>
      <w:r w:rsidRPr="00841E66">
        <w:rPr>
          <w:vertAlign w:val="superscript"/>
          <w:lang w:val="en-GB"/>
        </w:rPr>
        <w:t>nd</w:t>
      </w:r>
      <w:r>
        <w:rPr>
          <w:lang w:val="en-GB"/>
        </w:rPr>
        <w:t xml:space="preserve"> and 3</w:t>
      </w:r>
      <w:r w:rsidRPr="00841E66">
        <w:rPr>
          <w:vertAlign w:val="superscript"/>
          <w:lang w:val="en-GB"/>
        </w:rPr>
        <w:t>rd</w:t>
      </w:r>
      <w:r>
        <w:rPr>
          <w:lang w:val="en-GB"/>
        </w:rPr>
        <w:t xml:space="preserve"> respondents:</w:t>
      </w:r>
      <w:r>
        <w:rPr>
          <w:lang w:val="en-GB"/>
        </w:rPr>
        <w:tab/>
      </w:r>
      <w:r>
        <w:rPr>
          <w:lang w:val="en-GB"/>
        </w:rPr>
        <w:tab/>
        <w:t xml:space="preserve">Adv BC </w:t>
      </w:r>
      <w:proofErr w:type="spellStart"/>
      <w:r>
        <w:rPr>
          <w:lang w:val="en-GB"/>
        </w:rPr>
        <w:t>Tarr</w:t>
      </w:r>
      <w:proofErr w:type="spellEnd"/>
    </w:p>
    <w:p w14:paraId="60BB520F" w14:textId="77777777"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w:t>
      </w:r>
    </w:p>
    <w:p w14:paraId="2A36255E" w14:textId="77777777"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563497A5" w14:textId="77777777" w:rsidR="00841E66" w:rsidRDefault="00841E66" w:rsidP="00772E4B">
      <w:pPr>
        <w:jc w:val="both"/>
        <w:rPr>
          <w:lang w:val="en-GB"/>
        </w:rPr>
      </w:pPr>
    </w:p>
    <w:p w14:paraId="4762CBC7" w14:textId="77777777" w:rsidR="00841E66" w:rsidRDefault="00841E66" w:rsidP="00772E4B">
      <w:pPr>
        <w:jc w:val="both"/>
        <w:rPr>
          <w:lang w:val="en-GB"/>
        </w:rPr>
      </w:pPr>
      <w:r>
        <w:rPr>
          <w:lang w:val="en-GB"/>
        </w:rPr>
        <w:t>Instructed by:</w:t>
      </w:r>
      <w:r>
        <w:rPr>
          <w:lang w:val="en-GB"/>
        </w:rPr>
        <w:tab/>
      </w:r>
      <w:r>
        <w:rPr>
          <w:lang w:val="en-GB"/>
        </w:rPr>
        <w:tab/>
      </w:r>
      <w:r>
        <w:rPr>
          <w:lang w:val="en-GB"/>
        </w:rPr>
        <w:tab/>
      </w:r>
      <w:r>
        <w:rPr>
          <w:lang w:val="en-GB"/>
        </w:rPr>
        <w:tab/>
      </w:r>
      <w:proofErr w:type="spellStart"/>
      <w:r>
        <w:rPr>
          <w:lang w:val="en-GB"/>
        </w:rPr>
        <w:t>Nieuwoudt</w:t>
      </w:r>
      <w:proofErr w:type="spellEnd"/>
      <w:r>
        <w:rPr>
          <w:lang w:val="en-GB"/>
        </w:rPr>
        <w:t xml:space="preserve"> Du-Plessis Inc.</w:t>
      </w:r>
    </w:p>
    <w:p w14:paraId="51D86EDF" w14:textId="31E8B6A7"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w:t>
      </w:r>
      <w:r w:rsidRPr="00841E66">
        <w:rPr>
          <w:vertAlign w:val="superscript"/>
          <w:lang w:val="en-GB"/>
        </w:rPr>
        <w:t>nd</w:t>
      </w:r>
      <w:r>
        <w:rPr>
          <w:lang w:val="en-GB"/>
        </w:rPr>
        <w:t xml:space="preserve"> &amp; 3</w:t>
      </w:r>
      <w:r w:rsidRPr="00841E66">
        <w:rPr>
          <w:vertAlign w:val="superscript"/>
          <w:lang w:val="en-GB"/>
        </w:rPr>
        <w:t>rd</w:t>
      </w:r>
      <w:r>
        <w:rPr>
          <w:lang w:val="en-GB"/>
        </w:rPr>
        <w:t xml:space="preserve"> Respondent’s Attorney</w:t>
      </w:r>
    </w:p>
    <w:p w14:paraId="47B3E149" w14:textId="4E06FEEB"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 Douglas Road</w:t>
      </w:r>
    </w:p>
    <w:p w14:paraId="7D6E5841" w14:textId="59141940"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Vincent</w:t>
      </w:r>
    </w:p>
    <w:p w14:paraId="7319A4BB" w14:textId="395A32B5"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1248EAA7" w14:textId="6400487C"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w:t>
      </w:r>
      <w:r w:rsidR="001C508F">
        <w:rPr>
          <w:lang w:val="en-GB"/>
        </w:rPr>
        <w:t xml:space="preserve"> </w:t>
      </w:r>
      <w:r>
        <w:rPr>
          <w:lang w:val="en-GB"/>
        </w:rPr>
        <w:t>secretary@ndp-law.co.za</w:t>
      </w:r>
    </w:p>
    <w:p w14:paraId="21915AD9" w14:textId="1A9CA16D"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w:t>
      </w:r>
      <w:r w:rsidR="00B95BDB">
        <w:rPr>
          <w:lang w:val="en-GB"/>
        </w:rPr>
        <w:t xml:space="preserve"> </w:t>
      </w:r>
      <w:r>
        <w:rPr>
          <w:lang w:val="en-GB"/>
        </w:rPr>
        <w:t>043 721 0465</w:t>
      </w:r>
    </w:p>
    <w:p w14:paraId="64524BCE" w14:textId="1BFE08CF" w:rsidR="00841E66" w:rsidRDefault="00841E66" w:rsidP="00772E4B">
      <w:pPr>
        <w:jc w:val="both"/>
        <w:rPr>
          <w:lang w:val="en-GB"/>
        </w:rPr>
      </w:pPr>
      <w:r>
        <w:rPr>
          <w:lang w:val="en-GB"/>
        </w:rPr>
        <w:tab/>
      </w:r>
      <w:r>
        <w:rPr>
          <w:lang w:val="en-GB"/>
        </w:rPr>
        <w:tab/>
      </w:r>
      <w:r>
        <w:rPr>
          <w:lang w:val="en-GB"/>
        </w:rPr>
        <w:tab/>
      </w:r>
      <w:r>
        <w:rPr>
          <w:lang w:val="en-GB"/>
        </w:rPr>
        <w:tab/>
      </w:r>
      <w:r>
        <w:rPr>
          <w:lang w:val="en-GB"/>
        </w:rPr>
        <w:tab/>
      </w:r>
    </w:p>
    <w:p w14:paraId="56213917" w14:textId="361B48D3" w:rsidR="00841E66" w:rsidRDefault="00841E66" w:rsidP="00772E4B">
      <w:pPr>
        <w:jc w:val="both"/>
        <w:rPr>
          <w:lang w:val="en-GB"/>
        </w:rPr>
      </w:pPr>
    </w:p>
    <w:p w14:paraId="4FC5A1D7" w14:textId="77777777" w:rsidR="00841E66" w:rsidRDefault="00841E66" w:rsidP="00772E4B">
      <w:pPr>
        <w:jc w:val="both"/>
        <w:rPr>
          <w:lang w:val="en-GB"/>
        </w:rPr>
      </w:pPr>
    </w:p>
    <w:p w14:paraId="6AF14AA8" w14:textId="77777777" w:rsidR="00841E66" w:rsidRDefault="00841E66" w:rsidP="00772E4B">
      <w:pPr>
        <w:jc w:val="both"/>
        <w:rPr>
          <w:lang w:val="en-GB"/>
        </w:rPr>
      </w:pPr>
    </w:p>
    <w:p w14:paraId="25BD8D54" w14:textId="77777777" w:rsidR="00514439" w:rsidRDefault="00514439" w:rsidP="00772E4B">
      <w:pPr>
        <w:jc w:val="both"/>
        <w:rPr>
          <w:lang w:val="en-GB"/>
        </w:rPr>
      </w:pPr>
    </w:p>
    <w:p w14:paraId="6190544B" w14:textId="32FB9723" w:rsidR="00C33845" w:rsidRPr="00044B50" w:rsidRDefault="00C33845" w:rsidP="00772E4B">
      <w:pPr>
        <w:jc w:val="both"/>
        <w:rPr>
          <w:lang w:val="en-GB"/>
        </w:rPr>
      </w:pPr>
      <w:r>
        <w:rPr>
          <w:lang w:val="en-GB"/>
        </w:rPr>
        <w:tab/>
      </w:r>
      <w:r>
        <w:rPr>
          <w:lang w:val="en-GB"/>
        </w:rPr>
        <w:tab/>
      </w:r>
      <w:r>
        <w:rPr>
          <w:lang w:val="en-GB"/>
        </w:rPr>
        <w:tab/>
      </w:r>
      <w:r>
        <w:rPr>
          <w:lang w:val="en-GB"/>
        </w:rPr>
        <w:tab/>
      </w:r>
      <w:r>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5A04A6F1" w14:textId="12405B60" w:rsidR="009A05BC" w:rsidRPr="009A05BC" w:rsidRDefault="009A05BC" w:rsidP="00772E4B">
      <w:pPr>
        <w:autoSpaceDE w:val="0"/>
        <w:autoSpaceDN w:val="0"/>
        <w:adjustRightInd w:val="0"/>
        <w:jc w:val="both"/>
        <w:rPr>
          <w:lang w:val="en-GB"/>
        </w:rPr>
      </w:pPr>
    </w:p>
    <w:sectPr w:rsidR="009A05BC" w:rsidRPr="009A05BC"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BF2C" w14:textId="77777777" w:rsidR="00BB425D" w:rsidRDefault="00BB425D" w:rsidP="00005691">
      <w:r>
        <w:separator/>
      </w:r>
    </w:p>
  </w:endnote>
  <w:endnote w:type="continuationSeparator" w:id="0">
    <w:p w14:paraId="0134AFA8" w14:textId="77777777" w:rsidR="00BB425D" w:rsidRDefault="00BB425D"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E5EF" w14:textId="77777777" w:rsidR="00BB425D" w:rsidRDefault="00BB425D" w:rsidP="00005691">
      <w:r>
        <w:separator/>
      </w:r>
    </w:p>
  </w:footnote>
  <w:footnote w:type="continuationSeparator" w:id="0">
    <w:p w14:paraId="3C0ABD59" w14:textId="77777777" w:rsidR="00BB425D" w:rsidRDefault="00BB425D" w:rsidP="00005691">
      <w:r>
        <w:continuationSeparator/>
      </w:r>
    </w:p>
  </w:footnote>
  <w:footnote w:id="1">
    <w:p w14:paraId="41DE02F9" w14:textId="7CF032F3" w:rsidR="00594EC4" w:rsidRPr="00594EC4" w:rsidRDefault="00594EC4" w:rsidP="00480839">
      <w:pPr>
        <w:pStyle w:val="FootnoteText"/>
        <w:spacing w:line="240" w:lineRule="auto"/>
        <w:jc w:val="both"/>
        <w:rPr>
          <w:lang w:val="en-US"/>
        </w:rPr>
      </w:pPr>
      <w:r>
        <w:rPr>
          <w:rStyle w:val="FootnoteReference"/>
        </w:rPr>
        <w:footnoteRef/>
      </w:r>
      <w:r>
        <w:t xml:space="preserve"> </w:t>
      </w:r>
      <w:r>
        <w:rPr>
          <w:lang w:val="en-US"/>
        </w:rPr>
        <w:t xml:space="preserve">The signatures referred to, in this instance, are the signatures of all the parties at the bottom of the relevant page of the deed of sale. </w:t>
      </w:r>
    </w:p>
  </w:footnote>
  <w:footnote w:id="2">
    <w:p w14:paraId="7A683C9D" w14:textId="209CEC8E" w:rsidR="005C405F" w:rsidRPr="005C405F" w:rsidRDefault="005C405F" w:rsidP="00480839">
      <w:pPr>
        <w:pStyle w:val="FootnoteText"/>
        <w:spacing w:line="240" w:lineRule="auto"/>
        <w:jc w:val="both"/>
        <w:rPr>
          <w:lang w:val="en-US"/>
        </w:rPr>
      </w:pPr>
      <w:r>
        <w:rPr>
          <w:rStyle w:val="FootnoteReference"/>
        </w:rPr>
        <w:footnoteRef/>
      </w:r>
      <w:r>
        <w:t xml:space="preserve"> </w:t>
      </w:r>
      <w:r>
        <w:rPr>
          <w:lang w:val="en-US"/>
        </w:rPr>
        <w:t>One of the ‘special conditions’ noted on this document is that ‘This loan has been granted in terms of the intended use and occupation of the property as declared by you’</w:t>
      </w:r>
      <w:r w:rsidR="007D50DD">
        <w:rPr>
          <w:lang w:val="en-US"/>
        </w:rPr>
        <w:t>.</w:t>
      </w:r>
    </w:p>
  </w:footnote>
  <w:footnote w:id="3">
    <w:p w14:paraId="46959A79" w14:textId="4FDAAD96" w:rsidR="004463DB" w:rsidRPr="004463DB" w:rsidRDefault="004463DB" w:rsidP="00480839">
      <w:pPr>
        <w:pStyle w:val="FootnoteText"/>
        <w:spacing w:line="240" w:lineRule="auto"/>
        <w:jc w:val="both"/>
        <w:rPr>
          <w:lang w:val="en-US"/>
        </w:rPr>
      </w:pPr>
      <w:r>
        <w:rPr>
          <w:rStyle w:val="FootnoteReference"/>
        </w:rPr>
        <w:footnoteRef/>
      </w:r>
      <w:r>
        <w:t xml:space="preserve"> </w:t>
      </w:r>
      <w:r w:rsidR="002707EB">
        <w:t xml:space="preserve">Annexure FA 4 is a letter from Standard Bank to the </w:t>
      </w:r>
      <w:proofErr w:type="spellStart"/>
      <w:r w:rsidR="002707EB">
        <w:t>Dyobisos</w:t>
      </w:r>
      <w:proofErr w:type="spellEnd"/>
      <w:r w:rsidR="002707EB">
        <w:t xml:space="preserve"> dated 25 August 2022, confirming that funds to a maximum of R3,4 million were being held on behalf of the purchasers, payable to the sellers upon receipt of written confirmation of</w:t>
      </w:r>
      <w:r w:rsidR="00E63688">
        <w:t>, inter alia,</w:t>
      </w:r>
      <w:r w:rsidR="002707EB">
        <w:t xml:space="preserve"> registration of transfer. </w:t>
      </w:r>
      <w:r>
        <w:rPr>
          <w:lang w:val="en-US"/>
        </w:rPr>
        <w:t>Clause 11</w:t>
      </w:r>
      <w:r w:rsidR="00303059">
        <w:rPr>
          <w:lang w:val="en-US"/>
        </w:rPr>
        <w:t>.1</w:t>
      </w:r>
      <w:r>
        <w:rPr>
          <w:lang w:val="en-US"/>
        </w:rPr>
        <w:t xml:space="preserve"> of the deed of sale deals with breach of contract on the part of the purchaser</w:t>
      </w:r>
      <w:r w:rsidR="00D0645E">
        <w:rPr>
          <w:lang w:val="en-US"/>
        </w:rPr>
        <w:t>s</w:t>
      </w:r>
      <w:r>
        <w:rPr>
          <w:lang w:val="en-US"/>
        </w:rPr>
        <w:t xml:space="preserve">, and provides for various remedies for the </w:t>
      </w:r>
      <w:r w:rsidR="00D0645E">
        <w:rPr>
          <w:lang w:val="en-US"/>
        </w:rPr>
        <w:t xml:space="preserve">benefit of the </w:t>
      </w:r>
      <w:r>
        <w:rPr>
          <w:lang w:val="en-US"/>
        </w:rPr>
        <w:t>sellers.</w:t>
      </w:r>
      <w:r w:rsidR="00303059">
        <w:rPr>
          <w:lang w:val="en-US"/>
        </w:rPr>
        <w:t xml:space="preserve"> Clause 11.5 deals with sellers’ breach and the recourse available to the purchasers.</w:t>
      </w:r>
      <w:r w:rsidR="002707EB">
        <w:rPr>
          <w:lang w:val="en-US"/>
        </w:rPr>
        <w:t xml:space="preserve"> </w:t>
      </w:r>
    </w:p>
  </w:footnote>
  <w:footnote w:id="4">
    <w:p w14:paraId="00582A7D" w14:textId="675F5122" w:rsidR="00001255" w:rsidRPr="00001255" w:rsidRDefault="00001255" w:rsidP="00480839">
      <w:pPr>
        <w:pStyle w:val="FootnoteText"/>
        <w:spacing w:line="240" w:lineRule="auto"/>
        <w:jc w:val="both"/>
        <w:rPr>
          <w:lang w:val="en-US"/>
        </w:rPr>
      </w:pPr>
      <w:r>
        <w:rPr>
          <w:rStyle w:val="FootnoteReference"/>
        </w:rPr>
        <w:footnoteRef/>
      </w:r>
      <w:r>
        <w:t xml:space="preserve"> </w:t>
      </w:r>
      <w:r>
        <w:rPr>
          <w:i/>
          <w:iCs/>
          <w:lang w:val="en-US"/>
        </w:rPr>
        <w:t>Transnet Ltd v Rubenstein</w:t>
      </w:r>
      <w:r>
        <w:rPr>
          <w:lang w:val="en-US"/>
        </w:rPr>
        <w:t xml:space="preserve"> 2006 (1) SA 591 (SCA) para 28.</w:t>
      </w:r>
    </w:p>
  </w:footnote>
  <w:footnote w:id="5">
    <w:p w14:paraId="5730293B" w14:textId="2A85927B" w:rsidR="000C1A91" w:rsidRPr="000C1A91" w:rsidRDefault="000C1A91" w:rsidP="00480839">
      <w:pPr>
        <w:pStyle w:val="FootnoteText"/>
        <w:spacing w:line="240" w:lineRule="auto"/>
        <w:jc w:val="both"/>
        <w:rPr>
          <w:lang w:val="en-US"/>
        </w:rPr>
      </w:pPr>
      <w:r>
        <w:rPr>
          <w:rStyle w:val="FootnoteReference"/>
        </w:rPr>
        <w:footnoteRef/>
      </w:r>
      <w:r>
        <w:t xml:space="preserve"> </w:t>
      </w:r>
      <w:r>
        <w:rPr>
          <w:i/>
          <w:iCs/>
          <w:lang w:val="en-US"/>
        </w:rPr>
        <w:t xml:space="preserve">Minister of Land Affairs and Agriculture and Others v D&amp;F </w:t>
      </w:r>
      <w:proofErr w:type="spellStart"/>
      <w:r>
        <w:rPr>
          <w:i/>
          <w:iCs/>
          <w:lang w:val="en-US"/>
        </w:rPr>
        <w:t>Wevell</w:t>
      </w:r>
      <w:proofErr w:type="spellEnd"/>
      <w:r>
        <w:rPr>
          <w:i/>
          <w:iCs/>
          <w:lang w:val="en-US"/>
        </w:rPr>
        <w:t xml:space="preserve"> Trust and Others</w:t>
      </w:r>
      <w:r>
        <w:rPr>
          <w:lang w:val="en-US"/>
        </w:rPr>
        <w:t xml:space="preserve"> 2008 (2) SA 184 (SCA) para 4</w:t>
      </w:r>
      <w:r w:rsidR="007319BB">
        <w:rPr>
          <w:lang w:val="en-US"/>
        </w:rPr>
        <w:t>3.</w:t>
      </w:r>
    </w:p>
  </w:footnote>
  <w:footnote w:id="6">
    <w:p w14:paraId="7BCEE2A7" w14:textId="71BE26D7" w:rsidR="008563FC" w:rsidRPr="008563FC" w:rsidRDefault="008563FC" w:rsidP="00480839">
      <w:pPr>
        <w:pStyle w:val="FootnoteText"/>
        <w:spacing w:line="240" w:lineRule="auto"/>
        <w:jc w:val="both"/>
        <w:rPr>
          <w:lang w:val="en-US"/>
        </w:rPr>
      </w:pPr>
      <w:r>
        <w:rPr>
          <w:rStyle w:val="FootnoteReference"/>
        </w:rPr>
        <w:footnoteRef/>
      </w:r>
      <w:r>
        <w:t xml:space="preserve"> </w:t>
      </w:r>
      <w:proofErr w:type="spellStart"/>
      <w:r>
        <w:rPr>
          <w:i/>
          <w:iCs/>
          <w:lang w:val="en-US"/>
        </w:rPr>
        <w:t>Welz</w:t>
      </w:r>
      <w:proofErr w:type="spellEnd"/>
      <w:r>
        <w:rPr>
          <w:i/>
          <w:iCs/>
          <w:lang w:val="en-US"/>
        </w:rPr>
        <w:t xml:space="preserve"> and Another v Hall and Others</w:t>
      </w:r>
      <w:r>
        <w:rPr>
          <w:lang w:val="en-US"/>
        </w:rPr>
        <w:t xml:space="preserve"> 1996 (4) SA 1073 (C) at 1079C-E.</w:t>
      </w:r>
    </w:p>
  </w:footnote>
  <w:footnote w:id="7">
    <w:p w14:paraId="6906D82E" w14:textId="1F91DFBA" w:rsidR="00336F39" w:rsidRPr="00710C9D" w:rsidRDefault="00336F39" w:rsidP="00480839">
      <w:pPr>
        <w:pStyle w:val="FootnoteText"/>
        <w:spacing w:line="240" w:lineRule="auto"/>
        <w:jc w:val="both"/>
        <w:rPr>
          <w:lang w:val="en-US"/>
        </w:rPr>
      </w:pPr>
      <w:r>
        <w:rPr>
          <w:rStyle w:val="FootnoteReference"/>
        </w:rPr>
        <w:footnoteRef/>
      </w:r>
      <w:r>
        <w:t xml:space="preserve"> </w:t>
      </w:r>
      <w:proofErr w:type="spellStart"/>
      <w:r>
        <w:rPr>
          <w:lang w:val="en-US"/>
        </w:rPr>
        <w:t>Schwikkard</w:t>
      </w:r>
      <w:proofErr w:type="spellEnd"/>
      <w:r>
        <w:rPr>
          <w:lang w:val="en-US"/>
        </w:rPr>
        <w:t xml:space="preserve"> </w:t>
      </w:r>
      <w:r>
        <w:rPr>
          <w:i/>
          <w:iCs/>
          <w:lang w:val="en-US"/>
        </w:rPr>
        <w:t>et al</w:t>
      </w:r>
      <w:r>
        <w:rPr>
          <w:lang w:val="en-US"/>
        </w:rPr>
        <w:t xml:space="preserve"> </w:t>
      </w:r>
      <w:r>
        <w:rPr>
          <w:i/>
          <w:iCs/>
          <w:lang w:val="en-US"/>
        </w:rPr>
        <w:t>Principles of Evidence</w:t>
      </w:r>
      <w:r>
        <w:rPr>
          <w:lang w:val="en-US"/>
        </w:rPr>
        <w:t xml:space="preserve"> (4</w:t>
      </w:r>
      <w:r w:rsidRPr="00336F39">
        <w:rPr>
          <w:vertAlign w:val="superscript"/>
          <w:lang w:val="en-US"/>
        </w:rPr>
        <w:t>th</w:t>
      </w:r>
      <w:r>
        <w:rPr>
          <w:lang w:val="en-US"/>
        </w:rPr>
        <w:t xml:space="preserve"> Ed) (2016) ch20-p432.</w:t>
      </w:r>
      <w:r w:rsidR="00710C9D">
        <w:rPr>
          <w:lang w:val="en-US"/>
        </w:rPr>
        <w:t xml:space="preserve"> See </w:t>
      </w:r>
      <w:r w:rsidR="00710C9D">
        <w:rPr>
          <w:i/>
          <w:iCs/>
          <w:lang w:val="en-US"/>
        </w:rPr>
        <w:t>Singh v Govender Brothers Construction</w:t>
      </w:r>
      <w:r w:rsidR="00710C9D">
        <w:rPr>
          <w:lang w:val="en-US"/>
        </w:rPr>
        <w:t xml:space="preserve"> 1986 (3) SA 613 (N) at 617.</w:t>
      </w:r>
    </w:p>
  </w:footnote>
  <w:footnote w:id="8">
    <w:p w14:paraId="7DFEF11F" w14:textId="3B4F25EF" w:rsidR="0019349F" w:rsidRPr="0019349F" w:rsidRDefault="0019349F" w:rsidP="00480839">
      <w:pPr>
        <w:pStyle w:val="FootnoteText"/>
        <w:spacing w:line="240" w:lineRule="auto"/>
        <w:jc w:val="both"/>
        <w:rPr>
          <w:lang w:val="en-US"/>
        </w:rPr>
      </w:pPr>
      <w:r>
        <w:rPr>
          <w:rStyle w:val="FootnoteReference"/>
        </w:rPr>
        <w:footnoteRef/>
      </w:r>
      <w:r>
        <w:t xml:space="preserve"> </w:t>
      </w:r>
      <w:r w:rsidR="00816445">
        <w:rPr>
          <w:lang w:val="en-US"/>
        </w:rPr>
        <w:t xml:space="preserve">On the </w:t>
      </w:r>
      <w:r w:rsidR="00200250">
        <w:rPr>
          <w:lang w:val="en-US"/>
        </w:rPr>
        <w:t xml:space="preserve">nature of the </w:t>
      </w:r>
      <w:r w:rsidR="00816445">
        <w:rPr>
          <w:lang w:val="en-US"/>
        </w:rPr>
        <w:t>discretion of the Court to grant specific performance, see</w:t>
      </w:r>
      <w:r>
        <w:rPr>
          <w:lang w:val="en-US"/>
        </w:rPr>
        <w:t xml:space="preserve"> </w:t>
      </w:r>
      <w:r>
        <w:rPr>
          <w:i/>
          <w:iCs/>
          <w:lang w:val="en-US"/>
        </w:rPr>
        <w:t>Benson v SA Mutual Life Assurance Society</w:t>
      </w:r>
      <w:r>
        <w:rPr>
          <w:lang w:val="en-US"/>
        </w:rPr>
        <w:t xml:space="preserve"> 1986 (1) SA 776 (A) at 781</w:t>
      </w:r>
      <w:r w:rsidR="00B93CF3">
        <w:rPr>
          <w:lang w:val="en-US"/>
        </w:rPr>
        <w:t>H-781I.</w:t>
      </w:r>
    </w:p>
  </w:footnote>
  <w:footnote w:id="9">
    <w:p w14:paraId="5F0DF99D" w14:textId="21D9F582" w:rsidR="00C2629C" w:rsidRPr="00942CB5" w:rsidRDefault="00C2629C" w:rsidP="00480839">
      <w:pPr>
        <w:pStyle w:val="FootnoteText"/>
        <w:spacing w:line="240" w:lineRule="auto"/>
        <w:jc w:val="both"/>
        <w:rPr>
          <w:lang w:val="en-US"/>
        </w:rPr>
      </w:pPr>
      <w:r>
        <w:rPr>
          <w:rStyle w:val="FootnoteReference"/>
        </w:rPr>
        <w:footnoteRef/>
      </w:r>
      <w:r>
        <w:t xml:space="preserve"> </w:t>
      </w:r>
      <w:r>
        <w:rPr>
          <w:i/>
          <w:iCs/>
          <w:lang w:val="en-US"/>
        </w:rPr>
        <w:t>Director of Hospital Services v Mistry</w:t>
      </w:r>
      <w:r>
        <w:rPr>
          <w:lang w:val="en-US"/>
        </w:rPr>
        <w:t xml:space="preserve"> 1979 (1) SA 626 (A) at 635H-636B.</w:t>
      </w:r>
      <w:r w:rsidR="00942CB5">
        <w:rPr>
          <w:lang w:val="en-US"/>
        </w:rPr>
        <w:t xml:space="preserve"> On the importance of holding parties to their pleadings, see </w:t>
      </w:r>
      <w:r w:rsidR="00942CB5">
        <w:rPr>
          <w:i/>
          <w:iCs/>
          <w:lang w:val="en-US"/>
        </w:rPr>
        <w:t xml:space="preserve">South African Transport and Allied Workers Union and Another v </w:t>
      </w:r>
      <w:proofErr w:type="spellStart"/>
      <w:r w:rsidR="00942CB5">
        <w:rPr>
          <w:i/>
          <w:iCs/>
          <w:lang w:val="en-US"/>
        </w:rPr>
        <w:t>Garvas</w:t>
      </w:r>
      <w:proofErr w:type="spellEnd"/>
      <w:r w:rsidR="00942CB5">
        <w:rPr>
          <w:i/>
          <w:iCs/>
          <w:lang w:val="en-US"/>
        </w:rPr>
        <w:t xml:space="preserve"> and Others</w:t>
      </w:r>
      <w:r w:rsidR="00942CB5">
        <w:rPr>
          <w:lang w:val="en-US"/>
        </w:rPr>
        <w:t xml:space="preserve"> 2013 (1) SA 83 (CC) para 114.</w:t>
      </w:r>
    </w:p>
  </w:footnote>
  <w:footnote w:id="10">
    <w:p w14:paraId="1EB3B158" w14:textId="2FA5CC82" w:rsidR="00480839" w:rsidRPr="00480839" w:rsidRDefault="00480839" w:rsidP="00480839">
      <w:pPr>
        <w:pStyle w:val="FootnoteText"/>
        <w:spacing w:line="240" w:lineRule="auto"/>
        <w:jc w:val="both"/>
        <w:rPr>
          <w:lang w:val="en-US"/>
        </w:rPr>
      </w:pPr>
      <w:r>
        <w:rPr>
          <w:rStyle w:val="FootnoteReference"/>
        </w:rPr>
        <w:footnoteRef/>
      </w:r>
      <w:r>
        <w:t xml:space="preserve"> </w:t>
      </w:r>
      <w:r>
        <w:rPr>
          <w:lang w:val="en-US"/>
        </w:rPr>
        <w:t>An eleventh</w:t>
      </w:r>
      <w:r w:rsidR="001A175C">
        <w:rPr>
          <w:lang w:val="en-US"/>
        </w:rPr>
        <w:t>-</w:t>
      </w:r>
      <w:r>
        <w:rPr>
          <w:lang w:val="en-US"/>
        </w:rPr>
        <w:t>hour postponement request,</w:t>
      </w:r>
      <w:r w:rsidR="00752D37">
        <w:rPr>
          <w:lang w:val="en-US"/>
        </w:rPr>
        <w:t xml:space="preserve"> for the applicant to file further papers, was </w:t>
      </w:r>
      <w:r w:rsidR="00775A5F">
        <w:rPr>
          <w:lang w:val="en-US"/>
        </w:rPr>
        <w:t xml:space="preserve">advanced </w:t>
      </w:r>
      <w:r>
        <w:rPr>
          <w:lang w:val="en-US"/>
        </w:rPr>
        <w:t>during argument and after the various problems with the applicant’s papers had been raised</w:t>
      </w:r>
      <w:r w:rsidR="00752D37">
        <w:rPr>
          <w:lang w:val="en-US"/>
        </w:rPr>
        <w:t>.</w:t>
      </w:r>
      <w:r>
        <w:rPr>
          <w:lang w:val="en-US"/>
        </w:rPr>
        <w:t xml:space="preserve"> </w:t>
      </w:r>
      <w:r w:rsidR="00752D37">
        <w:rPr>
          <w:lang w:val="en-US"/>
        </w:rPr>
        <w:t>This was</w:t>
      </w:r>
      <w:r>
        <w:rPr>
          <w:lang w:val="en-US"/>
        </w:rPr>
        <w:t xml:space="preserve"> refused on the basis that the parties had ample time to settle their papers</w:t>
      </w:r>
      <w:r w:rsidR="00583A60">
        <w:rPr>
          <w:lang w:val="en-US"/>
        </w:rPr>
        <w:t>, the matter had been fully ventilated</w:t>
      </w:r>
      <w:r w:rsidR="00130124">
        <w:rPr>
          <w:lang w:val="en-US"/>
        </w:rPr>
        <w:t xml:space="preserve">, also during argument, </w:t>
      </w:r>
      <w:r w:rsidR="00583A60">
        <w:rPr>
          <w:lang w:val="en-US"/>
        </w:rPr>
        <w:t xml:space="preserve">and because it would not be in the interests of justice for </w:t>
      </w:r>
      <w:r w:rsidR="001D2C85">
        <w:rPr>
          <w:lang w:val="en-US"/>
        </w:rPr>
        <w:t>the matter to be delayed.</w:t>
      </w:r>
    </w:p>
  </w:footnote>
  <w:footnote w:id="11">
    <w:p w14:paraId="6E404A41" w14:textId="792E6AC8" w:rsidR="00251E53" w:rsidRPr="00251E53" w:rsidRDefault="00251E53" w:rsidP="00480839">
      <w:pPr>
        <w:pStyle w:val="FootnoteText"/>
        <w:spacing w:line="240" w:lineRule="auto"/>
        <w:jc w:val="both"/>
        <w:rPr>
          <w:lang w:val="en-US"/>
        </w:rPr>
      </w:pPr>
      <w:r>
        <w:rPr>
          <w:rStyle w:val="FootnoteReference"/>
        </w:rPr>
        <w:footnoteRef/>
      </w:r>
      <w:r>
        <w:t xml:space="preserve"> </w:t>
      </w:r>
      <w:r>
        <w:rPr>
          <w:i/>
          <w:iCs/>
          <w:lang w:val="en-US"/>
        </w:rPr>
        <w:t>Chretien v Bell</w:t>
      </w:r>
      <w:r>
        <w:rPr>
          <w:lang w:val="en-US"/>
        </w:rPr>
        <w:t xml:space="preserve"> 2011 (1) SA 54 (SCA) para 9.</w:t>
      </w:r>
    </w:p>
  </w:footnote>
  <w:footnote w:id="12">
    <w:p w14:paraId="50F710ED" w14:textId="77777777" w:rsidR="000D5D91" w:rsidRPr="0069096F" w:rsidRDefault="000D5D91" w:rsidP="00480839">
      <w:pPr>
        <w:pStyle w:val="FootnoteText"/>
        <w:spacing w:line="240" w:lineRule="auto"/>
        <w:jc w:val="both"/>
        <w:rPr>
          <w:lang w:val="en-US"/>
        </w:rPr>
      </w:pPr>
      <w:r>
        <w:rPr>
          <w:rStyle w:val="FootnoteReference"/>
        </w:rPr>
        <w:footnoteRef/>
      </w:r>
      <w:r>
        <w:t xml:space="preserve"> </w:t>
      </w:r>
      <w:r>
        <w:rPr>
          <w:lang w:val="en-US"/>
        </w:rPr>
        <w:t>S 2(1) of the Alienation of Land Act, 1981 (Act 68 of 1981).</w:t>
      </w:r>
    </w:p>
  </w:footnote>
  <w:footnote w:id="13">
    <w:p w14:paraId="438CA195" w14:textId="57B6B067" w:rsidR="005B43F6" w:rsidRPr="005B43F6" w:rsidRDefault="005B43F6" w:rsidP="00480839">
      <w:pPr>
        <w:pStyle w:val="FootnoteText"/>
        <w:spacing w:line="240" w:lineRule="auto"/>
        <w:jc w:val="both"/>
        <w:rPr>
          <w:lang w:val="en-US"/>
        </w:rPr>
      </w:pPr>
      <w:r>
        <w:rPr>
          <w:rStyle w:val="FootnoteReference"/>
        </w:rPr>
        <w:footnoteRef/>
      </w:r>
      <w:r>
        <w:t xml:space="preserve"> </w:t>
      </w:r>
      <w:r>
        <w:rPr>
          <w:i/>
          <w:iCs/>
          <w:lang w:val="en-US"/>
        </w:rPr>
        <w:t>Johns</w:t>
      </w:r>
      <w:r w:rsidR="003E1C19">
        <w:rPr>
          <w:i/>
          <w:iCs/>
          <w:lang w:val="en-US"/>
        </w:rPr>
        <w:t>t</w:t>
      </w:r>
      <w:r>
        <w:rPr>
          <w:i/>
          <w:iCs/>
          <w:lang w:val="en-US"/>
        </w:rPr>
        <w:t>on v Leal</w:t>
      </w:r>
      <w:r>
        <w:rPr>
          <w:lang w:val="en-US"/>
        </w:rPr>
        <w:t xml:space="preserve"> 1980 (3) SA 927 (A) at 937G-938C</w:t>
      </w:r>
      <w:r w:rsidR="00DF7884">
        <w:rPr>
          <w:lang w:val="en-US"/>
        </w:rPr>
        <w:t xml:space="preserve"> (references omitted).</w:t>
      </w:r>
    </w:p>
  </w:footnote>
  <w:footnote w:id="14">
    <w:p w14:paraId="470FD5B7" w14:textId="77777777" w:rsidR="002C1CBB" w:rsidRPr="00806397" w:rsidRDefault="002C1CBB" w:rsidP="0048083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Chester v Snowy Owl Properties &amp; Another</w:t>
      </w:r>
      <w:r>
        <w:rPr>
          <w:lang w:val="en-US"/>
        </w:rPr>
        <w:t xml:space="preserve"> [2021] ZASCA 30 paras 19-20.</w:t>
      </w:r>
    </w:p>
  </w:footnote>
  <w:footnote w:id="15">
    <w:p w14:paraId="382749D6" w14:textId="57036836" w:rsidR="00B23610" w:rsidRPr="00B23610" w:rsidRDefault="00B23610" w:rsidP="00480839">
      <w:pPr>
        <w:pStyle w:val="FootnoteText"/>
        <w:spacing w:line="240" w:lineRule="auto"/>
        <w:jc w:val="both"/>
        <w:rPr>
          <w:lang w:val="en-US"/>
        </w:rPr>
      </w:pPr>
      <w:r>
        <w:rPr>
          <w:rStyle w:val="FootnoteReference"/>
        </w:rPr>
        <w:footnoteRef/>
      </w:r>
      <w:r>
        <w:t xml:space="preserve"> </w:t>
      </w:r>
      <w:r>
        <w:rPr>
          <w:i/>
          <w:iCs/>
        </w:rPr>
        <w:t xml:space="preserve">Johnston v Leal </w:t>
      </w:r>
      <w:r>
        <w:rPr>
          <w:lang w:val="en-US"/>
        </w:rPr>
        <w:t xml:space="preserve">op </w:t>
      </w:r>
      <w:proofErr w:type="spellStart"/>
      <w:r>
        <w:rPr>
          <w:lang w:val="en-US"/>
        </w:rPr>
        <w:t>cit</w:t>
      </w:r>
      <w:proofErr w:type="spellEnd"/>
      <w:r>
        <w:rPr>
          <w:lang w:val="en-US"/>
        </w:rPr>
        <w:t xml:space="preserve"> </w:t>
      </w:r>
      <w:proofErr w:type="spellStart"/>
      <w:r>
        <w:rPr>
          <w:lang w:val="en-US"/>
        </w:rPr>
        <w:t>fn</w:t>
      </w:r>
      <w:proofErr w:type="spellEnd"/>
      <w:r w:rsidR="00AA7E1F">
        <w:rPr>
          <w:lang w:val="en-US"/>
        </w:rPr>
        <w:t xml:space="preserve"> 13.</w:t>
      </w:r>
    </w:p>
  </w:footnote>
  <w:footnote w:id="16">
    <w:p w14:paraId="78E027AE" w14:textId="00A9CDCB" w:rsidR="00086A46" w:rsidRPr="00086A46" w:rsidRDefault="00086A46" w:rsidP="0048083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Van Leeuwen Pipe and Tube (Pty) Ltd v </w:t>
      </w:r>
      <w:proofErr w:type="spellStart"/>
      <w:r>
        <w:rPr>
          <w:i/>
          <w:iCs/>
          <w:lang w:val="en-US"/>
        </w:rPr>
        <w:t>Mulroy</w:t>
      </w:r>
      <w:proofErr w:type="spellEnd"/>
      <w:r>
        <w:rPr>
          <w:i/>
          <w:iCs/>
          <w:lang w:val="en-US"/>
        </w:rPr>
        <w:t xml:space="preserve"> and Another</w:t>
      </w:r>
      <w:r>
        <w:rPr>
          <w:lang w:val="en-US"/>
        </w:rPr>
        <w:t xml:space="preserve"> 1985 (3) SA 396 (D) at 400F–I, cited with approval in </w:t>
      </w:r>
      <w:proofErr w:type="spellStart"/>
      <w:r>
        <w:rPr>
          <w:i/>
          <w:iCs/>
          <w:lang w:val="en-US"/>
        </w:rPr>
        <w:t>Rockbreakers</w:t>
      </w:r>
      <w:proofErr w:type="spellEnd"/>
      <w:r>
        <w:rPr>
          <w:i/>
          <w:iCs/>
          <w:lang w:val="en-US"/>
        </w:rPr>
        <w:t xml:space="preserve"> and Parts (Pty) Ltd v Rolag Property Trading (Pty) Ltd </w:t>
      </w:r>
      <w:r>
        <w:rPr>
          <w:lang w:val="en-US"/>
        </w:rPr>
        <w:t>2010 (2) SA 400 (SCA) para 7.</w:t>
      </w:r>
    </w:p>
  </w:footnote>
  <w:footnote w:id="17">
    <w:p w14:paraId="76257B58" w14:textId="50E66C73" w:rsidR="00661E49" w:rsidRPr="00661E49" w:rsidRDefault="00661E49" w:rsidP="00480839">
      <w:pPr>
        <w:pStyle w:val="FootnoteText"/>
        <w:spacing w:line="240" w:lineRule="auto"/>
        <w:jc w:val="both"/>
        <w:rPr>
          <w:lang w:val="en-US"/>
        </w:rPr>
      </w:pPr>
      <w:r>
        <w:rPr>
          <w:rStyle w:val="FootnoteReference"/>
        </w:rPr>
        <w:footnoteRef/>
      </w:r>
      <w:r>
        <w:t xml:space="preserve"> </w:t>
      </w:r>
      <w:r>
        <w:rPr>
          <w:lang w:val="en-US"/>
        </w:rPr>
        <w:t xml:space="preserve">See </w:t>
      </w:r>
      <w:r w:rsidR="00B52D0E">
        <w:rPr>
          <w:lang w:val="en-US"/>
        </w:rPr>
        <w:t xml:space="preserve">GB Bradfield </w:t>
      </w:r>
      <w:r w:rsidR="00B52D0E">
        <w:rPr>
          <w:i/>
          <w:iCs/>
          <w:lang w:val="en-US"/>
        </w:rPr>
        <w:t>Christie’s Law of Contract in South Africa</w:t>
      </w:r>
      <w:r w:rsidR="00B52D0E">
        <w:rPr>
          <w:lang w:val="en-US"/>
        </w:rPr>
        <w:t xml:space="preserve"> (7</w:t>
      </w:r>
      <w:r w:rsidR="00B52D0E" w:rsidRPr="008B2B58">
        <w:rPr>
          <w:vertAlign w:val="superscript"/>
          <w:lang w:val="en-US"/>
        </w:rPr>
        <w:t>th</w:t>
      </w:r>
      <w:r w:rsidR="00B52D0E">
        <w:rPr>
          <w:lang w:val="en-US"/>
        </w:rPr>
        <w:t xml:space="preserve"> Ed) (LexisNexis) (2016) </w:t>
      </w:r>
      <w:r>
        <w:rPr>
          <w:lang w:val="en-US"/>
        </w:rPr>
        <w:t>at 51</w:t>
      </w:r>
      <w:r w:rsidR="00546CE9">
        <w:rPr>
          <w:lang w:val="en-US"/>
        </w:rPr>
        <w:t>8.</w:t>
      </w:r>
      <w:r w:rsidR="004A672E">
        <w:rPr>
          <w:lang w:val="en-US"/>
        </w:rPr>
        <w:t xml:space="preserve"> It may be added that the deed of sale contained the following ‘warranties and representation’ clause: ‘The Deed of Sale constitutes the entire contract between Seller and Purchaser and is in substitution of any prior agreement or arrangement between the parties and no Warranties, representations or conditions not recorded herein shall be binding on the Seller unless endorsed hereon and signed by the parties hereto.’</w:t>
      </w:r>
    </w:p>
  </w:footnote>
  <w:footnote w:id="18">
    <w:p w14:paraId="17492797" w14:textId="3D06B185" w:rsidR="00763BD6" w:rsidRPr="00763BD6" w:rsidRDefault="00763BD6" w:rsidP="00480839">
      <w:pPr>
        <w:pStyle w:val="FootnoteText"/>
        <w:spacing w:line="240" w:lineRule="auto"/>
        <w:jc w:val="both"/>
        <w:rPr>
          <w:lang w:val="en-US"/>
        </w:rPr>
      </w:pPr>
      <w:r>
        <w:rPr>
          <w:rStyle w:val="FootnoteReference"/>
        </w:rPr>
        <w:footnoteRef/>
      </w:r>
      <w:r>
        <w:t xml:space="preserve"> </w:t>
      </w:r>
      <w:r>
        <w:rPr>
          <w:lang w:val="en-US"/>
        </w:rPr>
        <w:t xml:space="preserve">The papers are silent as to the identity of the one or two persons who either </w:t>
      </w:r>
      <w:proofErr w:type="spellStart"/>
      <w:r>
        <w:rPr>
          <w:lang w:val="en-US"/>
        </w:rPr>
        <w:t>initialled</w:t>
      </w:r>
      <w:proofErr w:type="spellEnd"/>
      <w:r>
        <w:rPr>
          <w:lang w:val="en-US"/>
        </w:rPr>
        <w:t xml:space="preserve"> or signed alongside </w:t>
      </w:r>
      <w:r w:rsidR="00873451">
        <w:rPr>
          <w:lang w:val="en-US"/>
        </w:rPr>
        <w:t>the disputed alteration.</w:t>
      </w:r>
    </w:p>
  </w:footnote>
  <w:footnote w:id="19">
    <w:p w14:paraId="2895B57F" w14:textId="559B9A5B" w:rsidR="003E1C19" w:rsidRPr="003E1C19" w:rsidRDefault="003E1C19" w:rsidP="00480839">
      <w:pPr>
        <w:pStyle w:val="FootnoteText"/>
        <w:spacing w:line="240" w:lineRule="auto"/>
        <w:jc w:val="both"/>
        <w:rPr>
          <w:lang w:val="en-US"/>
        </w:rPr>
      </w:pPr>
      <w:r>
        <w:rPr>
          <w:rStyle w:val="FootnoteReference"/>
        </w:rPr>
        <w:footnoteRef/>
      </w:r>
      <w:r>
        <w:t xml:space="preserve"> </w:t>
      </w:r>
      <w:r>
        <w:rPr>
          <w:i/>
          <w:iCs/>
          <w:lang w:val="en-US"/>
        </w:rPr>
        <w:t>Johnston v Leal</w:t>
      </w:r>
      <w:r>
        <w:rPr>
          <w:lang w:val="en-US"/>
        </w:rPr>
        <w:t xml:space="preserve"> 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w:t>
      </w:r>
      <w:r w:rsidR="00FB2D80">
        <w:rPr>
          <w:lang w:val="en-US"/>
        </w:rPr>
        <w:t xml:space="preserve">13 </w:t>
      </w:r>
      <w:r>
        <w:rPr>
          <w:lang w:val="en-US"/>
        </w:rPr>
        <w:t>at 939A-B.</w:t>
      </w:r>
      <w:r w:rsidR="005A65C7">
        <w:rPr>
          <w:lang w:val="en-US"/>
        </w:rPr>
        <w:t xml:space="preserve"> </w:t>
      </w:r>
    </w:p>
  </w:footnote>
  <w:footnote w:id="20">
    <w:p w14:paraId="56BFF807" w14:textId="165E234D" w:rsidR="00C805D8" w:rsidRPr="00C805D8" w:rsidRDefault="00C805D8" w:rsidP="00480839">
      <w:pPr>
        <w:pStyle w:val="FootnoteText"/>
        <w:spacing w:line="240" w:lineRule="auto"/>
        <w:jc w:val="both"/>
        <w:rPr>
          <w:lang w:val="en-US"/>
        </w:rPr>
      </w:pPr>
      <w:r>
        <w:rPr>
          <w:rStyle w:val="FootnoteReference"/>
        </w:rPr>
        <w:footnoteRef/>
      </w:r>
      <w:r>
        <w:t xml:space="preserve"> </w:t>
      </w:r>
      <w:r>
        <w:rPr>
          <w:lang w:val="en-US"/>
        </w:rPr>
        <w:t xml:space="preserve">As to the requirement that contracts for the sale of land </w:t>
      </w:r>
      <w:proofErr w:type="gramStart"/>
      <w:r>
        <w:rPr>
          <w:lang w:val="en-US"/>
        </w:rPr>
        <w:t>have to</w:t>
      </w:r>
      <w:proofErr w:type="gramEnd"/>
      <w:r>
        <w:rPr>
          <w:lang w:val="en-US"/>
        </w:rPr>
        <w:t xml:space="preserve"> be signed by all the relevant parties, see G Glover </w:t>
      </w:r>
      <w:r>
        <w:rPr>
          <w:i/>
          <w:iCs/>
          <w:lang w:val="en-US"/>
        </w:rPr>
        <w:t>Kerr’s Law of Sal</w:t>
      </w:r>
      <w:r w:rsidR="005A65C7">
        <w:rPr>
          <w:i/>
          <w:iCs/>
          <w:lang w:val="en-US"/>
        </w:rPr>
        <w:t>e</w:t>
      </w:r>
      <w:r>
        <w:rPr>
          <w:i/>
          <w:iCs/>
          <w:lang w:val="en-US"/>
        </w:rPr>
        <w:t xml:space="preserve"> and Lease</w:t>
      </w:r>
      <w:r>
        <w:rPr>
          <w:lang w:val="en-US"/>
        </w:rPr>
        <w:t xml:space="preserve"> (4</w:t>
      </w:r>
      <w:r w:rsidRPr="00C805D8">
        <w:rPr>
          <w:vertAlign w:val="superscript"/>
          <w:lang w:val="en-US"/>
        </w:rPr>
        <w:t>th</w:t>
      </w:r>
      <w:r>
        <w:rPr>
          <w:lang w:val="en-US"/>
        </w:rPr>
        <w:t xml:space="preserve"> Ed) (LexisNexis) (2014) </w:t>
      </w:r>
      <w:r w:rsidR="000904CD">
        <w:rPr>
          <w:lang w:val="en-US"/>
        </w:rPr>
        <w:t>p</w:t>
      </w:r>
      <w:r w:rsidR="00002A65">
        <w:rPr>
          <w:lang w:val="en-US"/>
        </w:rPr>
        <w:t>119.</w:t>
      </w:r>
    </w:p>
  </w:footnote>
  <w:footnote w:id="21">
    <w:p w14:paraId="0C232697" w14:textId="2A498FD5" w:rsidR="005A2272" w:rsidRPr="005A2272" w:rsidRDefault="005A2272" w:rsidP="00480839">
      <w:pPr>
        <w:pStyle w:val="FootnoteText"/>
        <w:spacing w:line="240" w:lineRule="auto"/>
        <w:jc w:val="both"/>
        <w:rPr>
          <w:lang w:val="en-US"/>
        </w:rPr>
      </w:pPr>
      <w:r>
        <w:rPr>
          <w:rStyle w:val="FootnoteReference"/>
        </w:rPr>
        <w:footnoteRef/>
      </w:r>
      <w:r>
        <w:t xml:space="preserve"> </w:t>
      </w:r>
      <w:r>
        <w:rPr>
          <w:lang w:val="en-US"/>
        </w:rPr>
        <w:t>Confirmation of finance was in fact only provided on 25 August 2022, by way of a letter from Standard Bank</w:t>
      </w:r>
      <w:r w:rsidR="004F58D9">
        <w:rPr>
          <w:lang w:val="en-US"/>
        </w:rPr>
        <w:t xml:space="preserve"> attached to the founding papers.</w:t>
      </w:r>
    </w:p>
  </w:footnote>
  <w:footnote w:id="22">
    <w:p w14:paraId="1C7AD1AA" w14:textId="1A8CD209" w:rsidR="00CB6EF4" w:rsidRPr="00CB6EF4" w:rsidRDefault="00CB6EF4" w:rsidP="00480839">
      <w:pPr>
        <w:pStyle w:val="FootnoteText"/>
        <w:spacing w:line="240" w:lineRule="auto"/>
        <w:jc w:val="both"/>
        <w:rPr>
          <w:lang w:val="en-US"/>
        </w:rPr>
      </w:pPr>
      <w:r>
        <w:rPr>
          <w:rStyle w:val="FootnoteReference"/>
        </w:rPr>
        <w:footnoteRef/>
      </w:r>
      <w:r>
        <w:t xml:space="preserve"> </w:t>
      </w:r>
      <w:r>
        <w:rPr>
          <w:i/>
          <w:iCs/>
          <w:lang w:val="en-US"/>
        </w:rPr>
        <w:t xml:space="preserve">Southern Era Resources Ltd v </w:t>
      </w:r>
      <w:proofErr w:type="spellStart"/>
      <w:r>
        <w:rPr>
          <w:i/>
          <w:iCs/>
          <w:lang w:val="en-US"/>
        </w:rPr>
        <w:t>Farndell</w:t>
      </w:r>
      <w:proofErr w:type="spellEnd"/>
      <w:r>
        <w:rPr>
          <w:i/>
          <w:iCs/>
          <w:lang w:val="en-US"/>
        </w:rPr>
        <w:t xml:space="preserve"> NO</w:t>
      </w:r>
      <w:r>
        <w:rPr>
          <w:lang w:val="en-US"/>
        </w:rPr>
        <w:t xml:space="preserve"> 2010 (4) SA 200 (SCA) para 9.</w:t>
      </w:r>
    </w:p>
  </w:footnote>
  <w:footnote w:id="23">
    <w:p w14:paraId="34EC6B88" w14:textId="321BF9E0" w:rsidR="0007171C" w:rsidRPr="0007171C" w:rsidRDefault="0007171C" w:rsidP="00480839">
      <w:pPr>
        <w:pStyle w:val="FootnoteText"/>
        <w:spacing w:line="240" w:lineRule="auto"/>
        <w:jc w:val="both"/>
        <w:rPr>
          <w:lang w:val="en-US"/>
        </w:rPr>
      </w:pPr>
      <w:r>
        <w:rPr>
          <w:rStyle w:val="FootnoteReference"/>
        </w:rPr>
        <w:footnoteRef/>
      </w:r>
      <w:r>
        <w:t xml:space="preserve"> </w:t>
      </w:r>
      <w:r>
        <w:rPr>
          <w:i/>
          <w:iCs/>
          <w:lang w:val="en-US"/>
        </w:rPr>
        <w:t>Union Share Agency and Investments Ltd v Spain</w:t>
      </w:r>
      <w:r>
        <w:rPr>
          <w:lang w:val="en-US"/>
        </w:rPr>
        <w:t xml:space="preserve"> 1928 AD 74 at 79.</w:t>
      </w:r>
    </w:p>
  </w:footnote>
  <w:footnote w:id="24">
    <w:p w14:paraId="612D1115" w14:textId="34E50A67" w:rsidR="00912D17" w:rsidRPr="005D7CBC" w:rsidRDefault="00912D17" w:rsidP="00480839">
      <w:pPr>
        <w:pStyle w:val="FootnoteText"/>
        <w:spacing w:line="240" w:lineRule="auto"/>
        <w:jc w:val="both"/>
        <w:rPr>
          <w:lang w:val="en-US"/>
        </w:rPr>
      </w:pPr>
      <w:r>
        <w:rPr>
          <w:rStyle w:val="FootnoteReference"/>
        </w:rPr>
        <w:footnoteRef/>
      </w:r>
      <w:r>
        <w:t xml:space="preserve"> </w:t>
      </w:r>
      <w:r>
        <w:rPr>
          <w:lang w:val="en-US"/>
        </w:rPr>
        <w:t xml:space="preserve">See </w:t>
      </w:r>
      <w:proofErr w:type="spellStart"/>
      <w:r>
        <w:rPr>
          <w:i/>
          <w:iCs/>
          <w:lang w:val="en-US"/>
        </w:rPr>
        <w:t>Corondimas</w:t>
      </w:r>
      <w:proofErr w:type="spellEnd"/>
      <w:r>
        <w:rPr>
          <w:i/>
          <w:iCs/>
          <w:lang w:val="en-US"/>
        </w:rPr>
        <w:t xml:space="preserve"> v </w:t>
      </w:r>
      <w:proofErr w:type="spellStart"/>
      <w:r>
        <w:rPr>
          <w:i/>
          <w:iCs/>
          <w:lang w:val="en-US"/>
        </w:rPr>
        <w:t>Badat</w:t>
      </w:r>
      <w:proofErr w:type="spellEnd"/>
      <w:r>
        <w:rPr>
          <w:lang w:val="en-US"/>
        </w:rPr>
        <w:t xml:space="preserve"> 1946 AD 548 at 551</w:t>
      </w:r>
      <w:r w:rsidR="00FB47DB">
        <w:rPr>
          <w:lang w:val="en-US"/>
        </w:rPr>
        <w:t>: when a contract of sale is subject to a true suspensive condition, there exists no contract of sale unless and until the condition is fulfilled</w:t>
      </w:r>
      <w:r w:rsidR="005D7CBC">
        <w:rPr>
          <w:lang w:val="en-US"/>
        </w:rPr>
        <w:t xml:space="preserve">. Also see </w:t>
      </w:r>
      <w:proofErr w:type="spellStart"/>
      <w:r w:rsidR="005D7CBC">
        <w:rPr>
          <w:i/>
          <w:iCs/>
          <w:lang w:val="en-US"/>
        </w:rPr>
        <w:t>Geue</w:t>
      </w:r>
      <w:proofErr w:type="spellEnd"/>
      <w:r w:rsidR="005D7CBC">
        <w:rPr>
          <w:i/>
          <w:iCs/>
          <w:lang w:val="en-US"/>
        </w:rPr>
        <w:t xml:space="preserve"> v Van der Lith</w:t>
      </w:r>
      <w:r w:rsidR="005D7CBC">
        <w:rPr>
          <w:lang w:val="en-US"/>
        </w:rPr>
        <w:t xml:space="preserve"> 2004 (3) SA 333 (SCA) para 8: an agreement of sale subject to a suspensive condition cannot, pending fulfilment of the condition, be regarded as a ‘sale’.</w:t>
      </w:r>
    </w:p>
  </w:footnote>
  <w:footnote w:id="25">
    <w:p w14:paraId="680BD934" w14:textId="3FACE529" w:rsidR="008C56C1" w:rsidRPr="008C56C1" w:rsidRDefault="008C56C1" w:rsidP="00480839">
      <w:pPr>
        <w:pStyle w:val="FootnoteText"/>
        <w:spacing w:line="240" w:lineRule="auto"/>
        <w:jc w:val="both"/>
        <w:rPr>
          <w:lang w:val="en-US"/>
        </w:rPr>
      </w:pPr>
      <w:r>
        <w:rPr>
          <w:rStyle w:val="FootnoteReference"/>
        </w:rPr>
        <w:footnoteRef/>
      </w:r>
      <w:r>
        <w:t xml:space="preserve"> </w:t>
      </w:r>
      <w:r>
        <w:rPr>
          <w:lang w:val="en-US"/>
        </w:rPr>
        <w:t xml:space="preserve">See </w:t>
      </w:r>
      <w:proofErr w:type="spellStart"/>
      <w:r>
        <w:rPr>
          <w:i/>
          <w:iCs/>
          <w:lang w:val="en-US"/>
        </w:rPr>
        <w:t>Paradyskloof</w:t>
      </w:r>
      <w:proofErr w:type="spellEnd"/>
      <w:r>
        <w:rPr>
          <w:i/>
          <w:iCs/>
          <w:lang w:val="en-US"/>
        </w:rPr>
        <w:t xml:space="preserve"> Golf Estate v Stellenbosch Municipality; </w:t>
      </w:r>
      <w:proofErr w:type="spellStart"/>
      <w:r>
        <w:rPr>
          <w:i/>
          <w:iCs/>
          <w:lang w:val="en-US"/>
        </w:rPr>
        <w:t>Paradyskloof</w:t>
      </w:r>
      <w:proofErr w:type="spellEnd"/>
      <w:r>
        <w:rPr>
          <w:i/>
          <w:iCs/>
          <w:lang w:val="en-US"/>
        </w:rPr>
        <w:t xml:space="preserve"> Golf Estate (Pty) Ltd v Stellenbosch Municipality </w:t>
      </w:r>
      <w:r>
        <w:rPr>
          <w:lang w:val="en-US"/>
        </w:rPr>
        <w:t>2011 (2) SA 525 (SCA) para 17.</w:t>
      </w:r>
    </w:p>
  </w:footnote>
  <w:footnote w:id="26">
    <w:p w14:paraId="439AF162" w14:textId="62DC40D9" w:rsidR="0022225A" w:rsidRPr="0022225A" w:rsidRDefault="0022225A" w:rsidP="00480839">
      <w:pPr>
        <w:pStyle w:val="FootnoteText"/>
        <w:spacing w:line="240" w:lineRule="auto"/>
        <w:jc w:val="both"/>
        <w:rPr>
          <w:lang w:val="en-US"/>
        </w:rPr>
      </w:pPr>
      <w:r>
        <w:rPr>
          <w:rStyle w:val="FootnoteReference"/>
        </w:rPr>
        <w:footnoteRef/>
      </w:r>
      <w:r>
        <w:t xml:space="preserve"> </w:t>
      </w:r>
      <w:r>
        <w:rPr>
          <w:lang w:val="en-US"/>
        </w:rPr>
        <w:t xml:space="preserve">See, for example, </w:t>
      </w:r>
      <w:r>
        <w:rPr>
          <w:i/>
          <w:iCs/>
          <w:lang w:val="en-US"/>
        </w:rPr>
        <w:t>Chretien v Bell</w:t>
      </w:r>
      <w:r>
        <w:rPr>
          <w:lang w:val="en-US"/>
        </w:rPr>
        <w:t xml:space="preserve"> 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w:t>
      </w:r>
      <w:r w:rsidR="004127F8">
        <w:rPr>
          <w:lang w:val="en-US"/>
        </w:rPr>
        <w:t xml:space="preserve">11 </w:t>
      </w:r>
      <w:r>
        <w:rPr>
          <w:lang w:val="en-US"/>
        </w:rPr>
        <w:t>para 7.</w:t>
      </w:r>
    </w:p>
  </w:footnote>
  <w:footnote w:id="27">
    <w:p w14:paraId="0461DA03" w14:textId="44D7305E" w:rsidR="008B2B58" w:rsidRPr="00DA1C1C" w:rsidRDefault="008B2B58" w:rsidP="00480839">
      <w:pPr>
        <w:pStyle w:val="FootnoteText"/>
        <w:spacing w:line="240" w:lineRule="auto"/>
        <w:jc w:val="both"/>
        <w:rPr>
          <w:lang w:val="en-US"/>
        </w:rPr>
      </w:pPr>
      <w:r>
        <w:rPr>
          <w:rStyle w:val="FootnoteReference"/>
        </w:rPr>
        <w:footnoteRef/>
      </w:r>
      <w:r>
        <w:t xml:space="preserve"> </w:t>
      </w:r>
      <w:r>
        <w:rPr>
          <w:lang w:val="en-US"/>
        </w:rPr>
        <w:t xml:space="preserve">Bradfield </w:t>
      </w:r>
      <w:r w:rsidR="00A95CEC">
        <w:rPr>
          <w:lang w:val="en-US"/>
        </w:rPr>
        <w:t xml:space="preserve">op </w:t>
      </w:r>
      <w:proofErr w:type="spellStart"/>
      <w:r w:rsidR="00A95CEC">
        <w:rPr>
          <w:lang w:val="en-US"/>
        </w:rPr>
        <w:t>cit</w:t>
      </w:r>
      <w:proofErr w:type="spellEnd"/>
      <w:r w:rsidR="00A95CEC">
        <w:rPr>
          <w:lang w:val="en-US"/>
        </w:rPr>
        <w:t xml:space="preserve"> </w:t>
      </w:r>
      <w:proofErr w:type="spellStart"/>
      <w:r w:rsidR="00A95CEC">
        <w:rPr>
          <w:lang w:val="en-US"/>
        </w:rPr>
        <w:t>fn</w:t>
      </w:r>
      <w:proofErr w:type="spellEnd"/>
      <w:r w:rsidR="00A95CEC">
        <w:rPr>
          <w:lang w:val="en-US"/>
        </w:rPr>
        <w:t xml:space="preserve"> 17 at</w:t>
      </w:r>
      <w:r>
        <w:rPr>
          <w:lang w:val="en-US"/>
        </w:rPr>
        <w:t xml:space="preserve"> 171.</w:t>
      </w:r>
      <w:r w:rsidR="003B6A63">
        <w:rPr>
          <w:lang w:val="en-US"/>
        </w:rPr>
        <w:t xml:space="preserve"> See </w:t>
      </w:r>
      <w:proofErr w:type="spellStart"/>
      <w:r w:rsidR="003B6A63">
        <w:rPr>
          <w:i/>
          <w:iCs/>
          <w:lang w:val="en-US"/>
        </w:rPr>
        <w:t>Fairoaks</w:t>
      </w:r>
      <w:proofErr w:type="spellEnd"/>
      <w:r w:rsidR="003B6A63">
        <w:rPr>
          <w:i/>
          <w:iCs/>
          <w:lang w:val="en-US"/>
        </w:rPr>
        <w:t xml:space="preserve"> Investment Holdings (Pty) Ltd v Oliver</w:t>
      </w:r>
      <w:r w:rsidR="003B6A63">
        <w:rPr>
          <w:lang w:val="en-US"/>
        </w:rPr>
        <w:t xml:space="preserve"> 2008 (4) SA 302</w:t>
      </w:r>
      <w:r w:rsidR="00121B89">
        <w:rPr>
          <w:lang w:val="en-US"/>
        </w:rPr>
        <w:t xml:space="preserve"> (SCA)</w:t>
      </w:r>
      <w:r w:rsidR="003A6749">
        <w:rPr>
          <w:lang w:val="en-US"/>
        </w:rPr>
        <w:t xml:space="preserve"> para 22</w:t>
      </w:r>
      <w:r w:rsidR="00363B80">
        <w:rPr>
          <w:lang w:val="en-US"/>
        </w:rPr>
        <w:t>: non-</w:t>
      </w:r>
      <w:proofErr w:type="spellStart"/>
      <w:r w:rsidR="00363B80">
        <w:rPr>
          <w:lang w:val="en-US"/>
        </w:rPr>
        <w:t>fufilment</w:t>
      </w:r>
      <w:proofErr w:type="spellEnd"/>
      <w:r w:rsidR="00363B80">
        <w:rPr>
          <w:lang w:val="en-US"/>
        </w:rPr>
        <w:t xml:space="preserve"> of a condition inserted for the benefit of the purchaser resulted in the agreement lapsing. </w:t>
      </w:r>
      <w:r w:rsidR="00D31E95">
        <w:rPr>
          <w:lang w:val="en-US"/>
        </w:rPr>
        <w:t xml:space="preserve">Also see </w:t>
      </w:r>
      <w:r w:rsidR="00D31E95">
        <w:rPr>
          <w:i/>
          <w:iCs/>
          <w:lang w:val="en-US"/>
        </w:rPr>
        <w:t xml:space="preserve">Van Jaarsveld v </w:t>
      </w:r>
      <w:r w:rsidR="00D31E95" w:rsidRPr="00D31E95">
        <w:rPr>
          <w:i/>
          <w:iCs/>
          <w:lang w:val="en-US"/>
        </w:rPr>
        <w:t>Coetzee</w:t>
      </w:r>
      <w:r w:rsidR="00D31E95">
        <w:rPr>
          <w:lang w:val="en-US"/>
        </w:rPr>
        <w:t xml:space="preserve"> 1973 (3) SA 241 (A) at 244C-G. </w:t>
      </w:r>
      <w:r w:rsidR="00363B80" w:rsidRPr="00D31E95">
        <w:rPr>
          <w:lang w:val="en-US"/>
        </w:rPr>
        <w:t>The</w:t>
      </w:r>
      <w:r w:rsidR="00363B80">
        <w:rPr>
          <w:lang w:val="en-US"/>
        </w:rPr>
        <w:t xml:space="preserve"> effect of that could not possibly have given rise to a right on the part of the seller which could unilaterally be waived by the seller, thereby resurrecting the agreement, without the condition which had been inserted for the benefit of the purchaser.</w:t>
      </w:r>
      <w:r w:rsidR="00DA1C1C">
        <w:rPr>
          <w:lang w:val="en-US"/>
        </w:rPr>
        <w:t xml:space="preserve"> See </w:t>
      </w:r>
      <w:r w:rsidR="00DA1C1C">
        <w:rPr>
          <w:i/>
          <w:iCs/>
          <w:lang w:val="en-US"/>
        </w:rPr>
        <w:t>Kovacs Investments 724 (Pty) Ltd v Marais</w:t>
      </w:r>
      <w:r w:rsidR="00DA1C1C">
        <w:rPr>
          <w:lang w:val="en-US"/>
        </w:rPr>
        <w:t xml:space="preserve"> [2009] ZASCA 84 para 10 </w:t>
      </w:r>
      <w:r w:rsidR="00B47ED0">
        <w:rPr>
          <w:lang w:val="en-US"/>
        </w:rPr>
        <w:t>and following</w:t>
      </w:r>
      <w:r w:rsidR="00306F45">
        <w:rPr>
          <w:lang w:val="en-US"/>
        </w:rPr>
        <w:t xml:space="preserve"> and para 23.</w:t>
      </w:r>
    </w:p>
  </w:footnote>
  <w:footnote w:id="28">
    <w:p w14:paraId="6F3F9C51" w14:textId="09049272" w:rsidR="00137551" w:rsidRPr="008E3F87" w:rsidRDefault="00137551" w:rsidP="00480839">
      <w:pPr>
        <w:pStyle w:val="FootnoteText"/>
        <w:spacing w:line="240" w:lineRule="auto"/>
        <w:jc w:val="both"/>
        <w:rPr>
          <w:lang w:val="en-US"/>
        </w:rPr>
      </w:pPr>
      <w:r>
        <w:rPr>
          <w:rStyle w:val="FootnoteReference"/>
        </w:rPr>
        <w:footnoteRef/>
      </w:r>
      <w:r>
        <w:t xml:space="preserve"> </w:t>
      </w:r>
      <w:r>
        <w:rPr>
          <w:i/>
          <w:iCs/>
          <w:lang w:val="en-US"/>
        </w:rPr>
        <w:t>Collen v Rietfontein Engineering Works</w:t>
      </w:r>
      <w:r>
        <w:rPr>
          <w:lang w:val="en-US"/>
        </w:rPr>
        <w:t xml:space="preserve"> 1948 (1) SA 413 (A); </w:t>
      </w:r>
      <w:proofErr w:type="spellStart"/>
      <w:r>
        <w:rPr>
          <w:i/>
          <w:iCs/>
          <w:lang w:val="en-US"/>
        </w:rPr>
        <w:t>Montesse</w:t>
      </w:r>
      <w:proofErr w:type="spellEnd"/>
      <w:r>
        <w:rPr>
          <w:i/>
          <w:iCs/>
          <w:lang w:val="en-US"/>
        </w:rPr>
        <w:t xml:space="preserve"> Township and Investment Corporation (Pty) Ltd and Another</w:t>
      </w:r>
      <w:r>
        <w:rPr>
          <w:lang w:val="en-US"/>
        </w:rPr>
        <w:t xml:space="preserve"> </w:t>
      </w:r>
      <w:r>
        <w:rPr>
          <w:i/>
          <w:iCs/>
          <w:lang w:val="en-US"/>
        </w:rPr>
        <w:t>v Gouws NO and Another</w:t>
      </w:r>
      <w:r>
        <w:rPr>
          <w:lang w:val="en-US"/>
        </w:rPr>
        <w:t xml:space="preserve"> 1965 (4) SA 373 (A) at 381B-D</w:t>
      </w:r>
      <w:r w:rsidR="008E3F87">
        <w:rPr>
          <w:lang w:val="en-US"/>
        </w:rPr>
        <w:t xml:space="preserve">; Also see </w:t>
      </w:r>
      <w:r w:rsidR="008E3F87">
        <w:rPr>
          <w:i/>
          <w:iCs/>
          <w:lang w:val="en-US"/>
        </w:rPr>
        <w:t xml:space="preserve">McGrane v Cape Royale The Residence (Pty) Ltd </w:t>
      </w:r>
      <w:r w:rsidR="008E3F87">
        <w:rPr>
          <w:lang w:val="en-US"/>
        </w:rPr>
        <w:t>[2021] ZASCA 139 para</w:t>
      </w:r>
      <w:r w:rsidR="000A1D86">
        <w:rPr>
          <w:lang w:val="en-US"/>
        </w:rPr>
        <w:t>s 21-2</w:t>
      </w:r>
      <w:r w:rsidR="00BB4E9D">
        <w:rPr>
          <w:lang w:val="en-US"/>
        </w:rPr>
        <w:t>4.</w:t>
      </w:r>
      <w:r w:rsidR="006A409F">
        <w:rPr>
          <w:lang w:val="en-US"/>
        </w:rPr>
        <w:t xml:space="preserve"> Similarly, the applicant is unable to rely on estoppel for this reason, and because estoppel is a ‘weapon of </w:t>
      </w:r>
      <w:proofErr w:type="spellStart"/>
      <w:r w:rsidR="006A409F">
        <w:rPr>
          <w:lang w:val="en-US"/>
        </w:rPr>
        <w:t>defence</w:t>
      </w:r>
      <w:proofErr w:type="spellEnd"/>
      <w:r w:rsidR="006A409F">
        <w:rPr>
          <w:lang w:val="en-US"/>
        </w:rPr>
        <w:t>’ and cannot found a cause of action</w:t>
      </w:r>
      <w:r w:rsidR="00ED1FCF">
        <w:rPr>
          <w:lang w:val="en-US"/>
        </w:rPr>
        <w:t xml:space="preserve">: see LTC Harms ‘Estoppel’ in </w:t>
      </w:r>
      <w:r w:rsidR="00ED1FCF">
        <w:rPr>
          <w:i/>
          <w:iCs/>
          <w:lang w:val="en-US"/>
        </w:rPr>
        <w:t>JA Faris (Ed) LAWSA</w:t>
      </w:r>
      <w:r w:rsidR="00ED1FCF">
        <w:rPr>
          <w:lang w:val="en-US"/>
        </w:rPr>
        <w:t xml:space="preserve"> at 98.</w:t>
      </w:r>
      <w:r w:rsidR="006A409F">
        <w:rPr>
          <w:lang w:val="en-US"/>
        </w:rPr>
        <w:t xml:space="preserve"> </w:t>
      </w:r>
    </w:p>
  </w:footnote>
  <w:footnote w:id="29">
    <w:p w14:paraId="091B27D0" w14:textId="52627351" w:rsidR="00D060B0" w:rsidRPr="00903156" w:rsidRDefault="00D060B0" w:rsidP="00480839">
      <w:pPr>
        <w:pStyle w:val="FootnoteText"/>
        <w:spacing w:line="240" w:lineRule="auto"/>
        <w:jc w:val="both"/>
        <w:rPr>
          <w:lang w:val="en-US"/>
        </w:rPr>
      </w:pPr>
      <w:r>
        <w:rPr>
          <w:rStyle w:val="FootnoteReference"/>
        </w:rPr>
        <w:footnoteRef/>
      </w:r>
      <w:r>
        <w:t xml:space="preserve"> </w:t>
      </w:r>
      <w:r>
        <w:rPr>
          <w:lang w:val="en-US"/>
        </w:rPr>
        <w:t xml:space="preserve">See </w:t>
      </w:r>
      <w:r w:rsidR="007B2116">
        <w:rPr>
          <w:lang w:val="en-US"/>
        </w:rPr>
        <w:t xml:space="preserve">the authorities cited by </w:t>
      </w:r>
      <w:r>
        <w:rPr>
          <w:lang w:val="en-US"/>
        </w:rPr>
        <w:t xml:space="preserve">Bradfield 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w:t>
      </w:r>
      <w:r w:rsidR="00B612ED">
        <w:rPr>
          <w:lang w:val="en-US"/>
        </w:rPr>
        <w:t xml:space="preserve">17 </w:t>
      </w:r>
      <w:r>
        <w:rPr>
          <w:lang w:val="en-US"/>
        </w:rPr>
        <w:t>at 171</w:t>
      </w:r>
      <w:r w:rsidR="007B2116">
        <w:rPr>
          <w:lang w:val="en-US"/>
        </w:rPr>
        <w:t xml:space="preserve">, </w:t>
      </w:r>
      <w:proofErr w:type="spellStart"/>
      <w:r w:rsidR="007B2116">
        <w:rPr>
          <w:lang w:val="en-US"/>
        </w:rPr>
        <w:t>fn</w:t>
      </w:r>
      <w:proofErr w:type="spellEnd"/>
      <w:r w:rsidR="007B2116">
        <w:rPr>
          <w:lang w:val="en-US"/>
        </w:rPr>
        <w:t xml:space="preserve"> 158</w:t>
      </w:r>
      <w:r>
        <w:rPr>
          <w:lang w:val="en-US"/>
        </w:rPr>
        <w:t>.</w:t>
      </w:r>
      <w:r w:rsidR="00903156">
        <w:rPr>
          <w:lang w:val="en-US"/>
        </w:rPr>
        <w:t xml:space="preserve"> As far as it may be suggested that the lapsed agreement may have been revived, see </w:t>
      </w:r>
      <w:proofErr w:type="spellStart"/>
      <w:r w:rsidR="00903156">
        <w:rPr>
          <w:i/>
          <w:iCs/>
          <w:lang w:val="en-US"/>
        </w:rPr>
        <w:t>Fairoaks</w:t>
      </w:r>
      <w:proofErr w:type="spellEnd"/>
      <w:r w:rsidR="00903156">
        <w:rPr>
          <w:i/>
          <w:iCs/>
          <w:lang w:val="en-US"/>
        </w:rPr>
        <w:t xml:space="preserve"> Investment Holdings (Pty) Ltd v Oliver</w:t>
      </w:r>
      <w:r w:rsidR="00903156">
        <w:rPr>
          <w:lang w:val="en-US"/>
        </w:rPr>
        <w:t xml:space="preserve"> </w:t>
      </w:r>
      <w:r w:rsidR="000B5431">
        <w:rPr>
          <w:lang w:val="en-US"/>
        </w:rPr>
        <w:t xml:space="preserve">op </w:t>
      </w:r>
      <w:proofErr w:type="spellStart"/>
      <w:r w:rsidR="000B5431">
        <w:rPr>
          <w:lang w:val="en-US"/>
        </w:rPr>
        <w:t>cit</w:t>
      </w:r>
      <w:proofErr w:type="spellEnd"/>
      <w:r w:rsidR="000B5431">
        <w:rPr>
          <w:lang w:val="en-US"/>
        </w:rPr>
        <w:t xml:space="preserve"> </w:t>
      </w:r>
      <w:proofErr w:type="spellStart"/>
      <w:r w:rsidR="000B5431">
        <w:rPr>
          <w:lang w:val="en-US"/>
        </w:rPr>
        <w:t>fn</w:t>
      </w:r>
      <w:proofErr w:type="spellEnd"/>
      <w:r w:rsidR="000B5431">
        <w:rPr>
          <w:lang w:val="en-US"/>
        </w:rPr>
        <w:t xml:space="preserve"> 27</w:t>
      </w:r>
      <w:r w:rsidR="00903156">
        <w:rPr>
          <w:lang w:val="en-US"/>
        </w:rPr>
        <w:t xml:space="preserve"> </w:t>
      </w:r>
      <w:r w:rsidR="00770537">
        <w:rPr>
          <w:lang w:val="en-US"/>
        </w:rPr>
        <w:t>para 21</w:t>
      </w:r>
      <w:r w:rsidR="004A5E2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0F9842B1"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3394">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36EE6"/>
    <w:multiLevelType w:val="hybridMultilevel"/>
    <w:tmpl w:val="C0C02010"/>
    <w:lvl w:ilvl="0" w:tplc="1CAE9C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501964">
    <w:abstractNumId w:val="2"/>
  </w:num>
  <w:num w:numId="2" w16cid:durableId="437457614">
    <w:abstractNumId w:val="0"/>
  </w:num>
  <w:num w:numId="3" w16cid:durableId="1244342943">
    <w:abstractNumId w:val="4"/>
  </w:num>
  <w:num w:numId="4" w16cid:durableId="1860772647">
    <w:abstractNumId w:val="3"/>
  </w:num>
  <w:num w:numId="5" w16cid:durableId="1533372678">
    <w:abstractNumId w:val="9"/>
  </w:num>
  <w:num w:numId="6" w16cid:durableId="791439768">
    <w:abstractNumId w:val="7"/>
  </w:num>
  <w:num w:numId="7" w16cid:durableId="1998486514">
    <w:abstractNumId w:val="11"/>
  </w:num>
  <w:num w:numId="8" w16cid:durableId="1826698342">
    <w:abstractNumId w:val="1"/>
  </w:num>
  <w:num w:numId="9" w16cid:durableId="1354839070">
    <w:abstractNumId w:val="5"/>
  </w:num>
  <w:num w:numId="10" w16cid:durableId="472716946">
    <w:abstractNumId w:val="8"/>
  </w:num>
  <w:num w:numId="11" w16cid:durableId="1691252487">
    <w:abstractNumId w:val="10"/>
  </w:num>
  <w:num w:numId="12" w16cid:durableId="854422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1255"/>
    <w:rsid w:val="0000206B"/>
    <w:rsid w:val="0000217A"/>
    <w:rsid w:val="00002A65"/>
    <w:rsid w:val="00004E1E"/>
    <w:rsid w:val="00005691"/>
    <w:rsid w:val="00005ABB"/>
    <w:rsid w:val="00005BC2"/>
    <w:rsid w:val="0000642E"/>
    <w:rsid w:val="00006EF3"/>
    <w:rsid w:val="00007087"/>
    <w:rsid w:val="00007904"/>
    <w:rsid w:val="0001046A"/>
    <w:rsid w:val="000109B4"/>
    <w:rsid w:val="00011C38"/>
    <w:rsid w:val="00011D4A"/>
    <w:rsid w:val="00012A2F"/>
    <w:rsid w:val="00013EEB"/>
    <w:rsid w:val="00014437"/>
    <w:rsid w:val="00014770"/>
    <w:rsid w:val="00015CE8"/>
    <w:rsid w:val="00016FA7"/>
    <w:rsid w:val="00016FDA"/>
    <w:rsid w:val="000220C3"/>
    <w:rsid w:val="00022804"/>
    <w:rsid w:val="00027DA3"/>
    <w:rsid w:val="00030A25"/>
    <w:rsid w:val="000323B0"/>
    <w:rsid w:val="00034159"/>
    <w:rsid w:val="000341AF"/>
    <w:rsid w:val="00034B32"/>
    <w:rsid w:val="0003553E"/>
    <w:rsid w:val="0004040E"/>
    <w:rsid w:val="00040F79"/>
    <w:rsid w:val="000422CD"/>
    <w:rsid w:val="0004347D"/>
    <w:rsid w:val="0004373B"/>
    <w:rsid w:val="000447DE"/>
    <w:rsid w:val="00044B50"/>
    <w:rsid w:val="000451D0"/>
    <w:rsid w:val="00047035"/>
    <w:rsid w:val="000478E8"/>
    <w:rsid w:val="0005061D"/>
    <w:rsid w:val="00051F6C"/>
    <w:rsid w:val="000536DD"/>
    <w:rsid w:val="00053D81"/>
    <w:rsid w:val="00054DEC"/>
    <w:rsid w:val="0005528E"/>
    <w:rsid w:val="00055C33"/>
    <w:rsid w:val="00056042"/>
    <w:rsid w:val="00056957"/>
    <w:rsid w:val="00056FBA"/>
    <w:rsid w:val="000574BF"/>
    <w:rsid w:val="00060098"/>
    <w:rsid w:val="00063188"/>
    <w:rsid w:val="00063C6E"/>
    <w:rsid w:val="00063D5A"/>
    <w:rsid w:val="00064331"/>
    <w:rsid w:val="0007050F"/>
    <w:rsid w:val="0007171C"/>
    <w:rsid w:val="0007234C"/>
    <w:rsid w:val="00073EFC"/>
    <w:rsid w:val="000778A4"/>
    <w:rsid w:val="00080D4E"/>
    <w:rsid w:val="000815F5"/>
    <w:rsid w:val="00083322"/>
    <w:rsid w:val="00083386"/>
    <w:rsid w:val="000833DB"/>
    <w:rsid w:val="00084C6F"/>
    <w:rsid w:val="00086278"/>
    <w:rsid w:val="00086A06"/>
    <w:rsid w:val="00086A46"/>
    <w:rsid w:val="0009015D"/>
    <w:rsid w:val="000904CD"/>
    <w:rsid w:val="000910CD"/>
    <w:rsid w:val="00091792"/>
    <w:rsid w:val="00091F22"/>
    <w:rsid w:val="00091F8C"/>
    <w:rsid w:val="0009497C"/>
    <w:rsid w:val="00095D9A"/>
    <w:rsid w:val="00096BC1"/>
    <w:rsid w:val="000976CA"/>
    <w:rsid w:val="000A1D86"/>
    <w:rsid w:val="000A59DC"/>
    <w:rsid w:val="000A7F56"/>
    <w:rsid w:val="000B0946"/>
    <w:rsid w:val="000B0DC8"/>
    <w:rsid w:val="000B26AE"/>
    <w:rsid w:val="000B26CF"/>
    <w:rsid w:val="000B5431"/>
    <w:rsid w:val="000B5790"/>
    <w:rsid w:val="000B5FBC"/>
    <w:rsid w:val="000B6309"/>
    <w:rsid w:val="000B643B"/>
    <w:rsid w:val="000B78EC"/>
    <w:rsid w:val="000C1A91"/>
    <w:rsid w:val="000C2D21"/>
    <w:rsid w:val="000C3531"/>
    <w:rsid w:val="000C3620"/>
    <w:rsid w:val="000C39A5"/>
    <w:rsid w:val="000C450C"/>
    <w:rsid w:val="000C57CB"/>
    <w:rsid w:val="000C7746"/>
    <w:rsid w:val="000C7750"/>
    <w:rsid w:val="000C7A27"/>
    <w:rsid w:val="000D085B"/>
    <w:rsid w:val="000D0BAD"/>
    <w:rsid w:val="000D0D78"/>
    <w:rsid w:val="000D22FB"/>
    <w:rsid w:val="000D487F"/>
    <w:rsid w:val="000D4BFA"/>
    <w:rsid w:val="000D4C7F"/>
    <w:rsid w:val="000D5D91"/>
    <w:rsid w:val="000D667A"/>
    <w:rsid w:val="000D74E1"/>
    <w:rsid w:val="000E1C45"/>
    <w:rsid w:val="000E2444"/>
    <w:rsid w:val="000E3E15"/>
    <w:rsid w:val="000E4F0D"/>
    <w:rsid w:val="000E5100"/>
    <w:rsid w:val="000E7ECD"/>
    <w:rsid w:val="000F05E0"/>
    <w:rsid w:val="000F1A95"/>
    <w:rsid w:val="000F467F"/>
    <w:rsid w:val="000F4D82"/>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288B"/>
    <w:rsid w:val="00116EB9"/>
    <w:rsid w:val="00120E93"/>
    <w:rsid w:val="00121B89"/>
    <w:rsid w:val="001226DE"/>
    <w:rsid w:val="00123296"/>
    <w:rsid w:val="00124A13"/>
    <w:rsid w:val="0012621C"/>
    <w:rsid w:val="00130124"/>
    <w:rsid w:val="00130228"/>
    <w:rsid w:val="00131984"/>
    <w:rsid w:val="00131A28"/>
    <w:rsid w:val="001337CC"/>
    <w:rsid w:val="00134C11"/>
    <w:rsid w:val="00135C81"/>
    <w:rsid w:val="00137551"/>
    <w:rsid w:val="00137E08"/>
    <w:rsid w:val="00142C4E"/>
    <w:rsid w:val="00142F79"/>
    <w:rsid w:val="001435EB"/>
    <w:rsid w:val="00144974"/>
    <w:rsid w:val="00146BA3"/>
    <w:rsid w:val="001505C9"/>
    <w:rsid w:val="0015078F"/>
    <w:rsid w:val="001517E0"/>
    <w:rsid w:val="00157785"/>
    <w:rsid w:val="00157898"/>
    <w:rsid w:val="00157C19"/>
    <w:rsid w:val="00160EBC"/>
    <w:rsid w:val="00160F58"/>
    <w:rsid w:val="00163A58"/>
    <w:rsid w:val="00164B7B"/>
    <w:rsid w:val="00166C0F"/>
    <w:rsid w:val="001677B5"/>
    <w:rsid w:val="00172B5C"/>
    <w:rsid w:val="00173547"/>
    <w:rsid w:val="00174B6D"/>
    <w:rsid w:val="0017614D"/>
    <w:rsid w:val="0018006A"/>
    <w:rsid w:val="00180F4E"/>
    <w:rsid w:val="00181923"/>
    <w:rsid w:val="00181E7E"/>
    <w:rsid w:val="00182175"/>
    <w:rsid w:val="00184625"/>
    <w:rsid w:val="001853D6"/>
    <w:rsid w:val="00186769"/>
    <w:rsid w:val="001870AF"/>
    <w:rsid w:val="00191768"/>
    <w:rsid w:val="00192869"/>
    <w:rsid w:val="0019349F"/>
    <w:rsid w:val="001943D2"/>
    <w:rsid w:val="001949B9"/>
    <w:rsid w:val="001954F0"/>
    <w:rsid w:val="00195571"/>
    <w:rsid w:val="001955AB"/>
    <w:rsid w:val="00196742"/>
    <w:rsid w:val="001A175C"/>
    <w:rsid w:val="001A4F33"/>
    <w:rsid w:val="001B0D01"/>
    <w:rsid w:val="001B2578"/>
    <w:rsid w:val="001B2FE4"/>
    <w:rsid w:val="001B505F"/>
    <w:rsid w:val="001B5209"/>
    <w:rsid w:val="001B69E3"/>
    <w:rsid w:val="001C04BC"/>
    <w:rsid w:val="001C2DD7"/>
    <w:rsid w:val="001C48A5"/>
    <w:rsid w:val="001C508F"/>
    <w:rsid w:val="001C7061"/>
    <w:rsid w:val="001D0962"/>
    <w:rsid w:val="001D214B"/>
    <w:rsid w:val="001D2C85"/>
    <w:rsid w:val="001D4C5E"/>
    <w:rsid w:val="001D5A9D"/>
    <w:rsid w:val="001D5F83"/>
    <w:rsid w:val="001D61C8"/>
    <w:rsid w:val="001E0F36"/>
    <w:rsid w:val="001E1834"/>
    <w:rsid w:val="001E1B07"/>
    <w:rsid w:val="001E24E0"/>
    <w:rsid w:val="001E4824"/>
    <w:rsid w:val="001E5F6A"/>
    <w:rsid w:val="001E640A"/>
    <w:rsid w:val="001E6A6E"/>
    <w:rsid w:val="001E701F"/>
    <w:rsid w:val="001E7844"/>
    <w:rsid w:val="001E78D5"/>
    <w:rsid w:val="001E7C8F"/>
    <w:rsid w:val="001F2276"/>
    <w:rsid w:val="001F335C"/>
    <w:rsid w:val="001F3A41"/>
    <w:rsid w:val="001F59AB"/>
    <w:rsid w:val="00200250"/>
    <w:rsid w:val="00201DC6"/>
    <w:rsid w:val="00201F12"/>
    <w:rsid w:val="00206D6C"/>
    <w:rsid w:val="00207573"/>
    <w:rsid w:val="0021057F"/>
    <w:rsid w:val="002115FE"/>
    <w:rsid w:val="002131CD"/>
    <w:rsid w:val="00213565"/>
    <w:rsid w:val="0021430F"/>
    <w:rsid w:val="00215D1A"/>
    <w:rsid w:val="00215EBC"/>
    <w:rsid w:val="0021730A"/>
    <w:rsid w:val="00217399"/>
    <w:rsid w:val="002200D8"/>
    <w:rsid w:val="002203EC"/>
    <w:rsid w:val="0022225A"/>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1E53"/>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07EB"/>
    <w:rsid w:val="00273903"/>
    <w:rsid w:val="00274C64"/>
    <w:rsid w:val="00275410"/>
    <w:rsid w:val="00276100"/>
    <w:rsid w:val="00277EB6"/>
    <w:rsid w:val="0028182D"/>
    <w:rsid w:val="0028241D"/>
    <w:rsid w:val="002852C4"/>
    <w:rsid w:val="00285664"/>
    <w:rsid w:val="00287A18"/>
    <w:rsid w:val="00287A26"/>
    <w:rsid w:val="00290DC6"/>
    <w:rsid w:val="00290E92"/>
    <w:rsid w:val="0029395B"/>
    <w:rsid w:val="00294129"/>
    <w:rsid w:val="00294313"/>
    <w:rsid w:val="002960D0"/>
    <w:rsid w:val="002974AA"/>
    <w:rsid w:val="002A01B5"/>
    <w:rsid w:val="002A080F"/>
    <w:rsid w:val="002A0EB5"/>
    <w:rsid w:val="002A157A"/>
    <w:rsid w:val="002A1950"/>
    <w:rsid w:val="002A1CAD"/>
    <w:rsid w:val="002A1D97"/>
    <w:rsid w:val="002A1E2F"/>
    <w:rsid w:val="002A21AF"/>
    <w:rsid w:val="002A2AA4"/>
    <w:rsid w:val="002A2F39"/>
    <w:rsid w:val="002A3836"/>
    <w:rsid w:val="002A3C5C"/>
    <w:rsid w:val="002A473B"/>
    <w:rsid w:val="002A61D9"/>
    <w:rsid w:val="002A6332"/>
    <w:rsid w:val="002A6593"/>
    <w:rsid w:val="002A6B82"/>
    <w:rsid w:val="002A73A7"/>
    <w:rsid w:val="002B0DEA"/>
    <w:rsid w:val="002B1428"/>
    <w:rsid w:val="002B31B7"/>
    <w:rsid w:val="002B3FE3"/>
    <w:rsid w:val="002B54B7"/>
    <w:rsid w:val="002B6730"/>
    <w:rsid w:val="002B7874"/>
    <w:rsid w:val="002C1CBB"/>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E7FD4"/>
    <w:rsid w:val="002F012F"/>
    <w:rsid w:val="002F0513"/>
    <w:rsid w:val="002F08AD"/>
    <w:rsid w:val="002F0990"/>
    <w:rsid w:val="002F0C58"/>
    <w:rsid w:val="002F13D1"/>
    <w:rsid w:val="002F1B90"/>
    <w:rsid w:val="002F37F8"/>
    <w:rsid w:val="002F4EDB"/>
    <w:rsid w:val="002F4F00"/>
    <w:rsid w:val="002F60D3"/>
    <w:rsid w:val="002F69D5"/>
    <w:rsid w:val="002F7574"/>
    <w:rsid w:val="00300A59"/>
    <w:rsid w:val="00300A65"/>
    <w:rsid w:val="0030214A"/>
    <w:rsid w:val="00302E78"/>
    <w:rsid w:val="00303059"/>
    <w:rsid w:val="003035F7"/>
    <w:rsid w:val="00306288"/>
    <w:rsid w:val="00306F45"/>
    <w:rsid w:val="003140F9"/>
    <w:rsid w:val="003148EA"/>
    <w:rsid w:val="003150CA"/>
    <w:rsid w:val="00315CB8"/>
    <w:rsid w:val="00315D8D"/>
    <w:rsid w:val="003168ED"/>
    <w:rsid w:val="003172EB"/>
    <w:rsid w:val="00317AB4"/>
    <w:rsid w:val="00320C1F"/>
    <w:rsid w:val="00321E11"/>
    <w:rsid w:val="003228A7"/>
    <w:rsid w:val="00322BF4"/>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36F39"/>
    <w:rsid w:val="0034206E"/>
    <w:rsid w:val="00343E5D"/>
    <w:rsid w:val="0034439B"/>
    <w:rsid w:val="003455A7"/>
    <w:rsid w:val="003469BB"/>
    <w:rsid w:val="00350743"/>
    <w:rsid w:val="00350A47"/>
    <w:rsid w:val="003513CA"/>
    <w:rsid w:val="00351FAC"/>
    <w:rsid w:val="003529AF"/>
    <w:rsid w:val="00353652"/>
    <w:rsid w:val="00354551"/>
    <w:rsid w:val="003564CA"/>
    <w:rsid w:val="0035756C"/>
    <w:rsid w:val="00357751"/>
    <w:rsid w:val="003601F1"/>
    <w:rsid w:val="00360BFC"/>
    <w:rsid w:val="00362A40"/>
    <w:rsid w:val="00363B80"/>
    <w:rsid w:val="00363BF3"/>
    <w:rsid w:val="003649E8"/>
    <w:rsid w:val="00366631"/>
    <w:rsid w:val="003679D5"/>
    <w:rsid w:val="00367B79"/>
    <w:rsid w:val="003700BB"/>
    <w:rsid w:val="0037015D"/>
    <w:rsid w:val="0037217E"/>
    <w:rsid w:val="00373BB6"/>
    <w:rsid w:val="00373D07"/>
    <w:rsid w:val="00374F02"/>
    <w:rsid w:val="00375614"/>
    <w:rsid w:val="00380E60"/>
    <w:rsid w:val="00381483"/>
    <w:rsid w:val="00381C36"/>
    <w:rsid w:val="00381D62"/>
    <w:rsid w:val="00382739"/>
    <w:rsid w:val="00382ADF"/>
    <w:rsid w:val="003869D5"/>
    <w:rsid w:val="003905B9"/>
    <w:rsid w:val="0039206E"/>
    <w:rsid w:val="00392A4B"/>
    <w:rsid w:val="00392AA2"/>
    <w:rsid w:val="003930E6"/>
    <w:rsid w:val="00393842"/>
    <w:rsid w:val="00393BA3"/>
    <w:rsid w:val="0039527F"/>
    <w:rsid w:val="00395A71"/>
    <w:rsid w:val="0039682A"/>
    <w:rsid w:val="00397784"/>
    <w:rsid w:val="003A37F4"/>
    <w:rsid w:val="003A4F1D"/>
    <w:rsid w:val="003A4F95"/>
    <w:rsid w:val="003A6749"/>
    <w:rsid w:val="003A6F71"/>
    <w:rsid w:val="003A745C"/>
    <w:rsid w:val="003A7AA6"/>
    <w:rsid w:val="003A7BAA"/>
    <w:rsid w:val="003B01D4"/>
    <w:rsid w:val="003B10EC"/>
    <w:rsid w:val="003B1570"/>
    <w:rsid w:val="003B15C9"/>
    <w:rsid w:val="003B21BF"/>
    <w:rsid w:val="003B3C31"/>
    <w:rsid w:val="003B43B8"/>
    <w:rsid w:val="003B5FEE"/>
    <w:rsid w:val="003B6A63"/>
    <w:rsid w:val="003B76D9"/>
    <w:rsid w:val="003C0CEB"/>
    <w:rsid w:val="003C351A"/>
    <w:rsid w:val="003C3BC6"/>
    <w:rsid w:val="003C5934"/>
    <w:rsid w:val="003C5C4D"/>
    <w:rsid w:val="003C7080"/>
    <w:rsid w:val="003C7C59"/>
    <w:rsid w:val="003D11D0"/>
    <w:rsid w:val="003D239A"/>
    <w:rsid w:val="003D2C74"/>
    <w:rsid w:val="003D5245"/>
    <w:rsid w:val="003D5507"/>
    <w:rsid w:val="003D5A10"/>
    <w:rsid w:val="003D5E6D"/>
    <w:rsid w:val="003D7CB9"/>
    <w:rsid w:val="003E0F7C"/>
    <w:rsid w:val="003E1C19"/>
    <w:rsid w:val="003E2B73"/>
    <w:rsid w:val="003E2F03"/>
    <w:rsid w:val="003E3BBF"/>
    <w:rsid w:val="003E424A"/>
    <w:rsid w:val="003E75F3"/>
    <w:rsid w:val="003F0D9E"/>
    <w:rsid w:val="003F1974"/>
    <w:rsid w:val="003F2109"/>
    <w:rsid w:val="003F2790"/>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7F8"/>
    <w:rsid w:val="00412DF2"/>
    <w:rsid w:val="004138F5"/>
    <w:rsid w:val="00413D22"/>
    <w:rsid w:val="00414C90"/>
    <w:rsid w:val="004165B0"/>
    <w:rsid w:val="004165D6"/>
    <w:rsid w:val="0042163E"/>
    <w:rsid w:val="00423163"/>
    <w:rsid w:val="004244A5"/>
    <w:rsid w:val="004256A9"/>
    <w:rsid w:val="00426035"/>
    <w:rsid w:val="00427318"/>
    <w:rsid w:val="004276CD"/>
    <w:rsid w:val="0042778E"/>
    <w:rsid w:val="00427843"/>
    <w:rsid w:val="004302B6"/>
    <w:rsid w:val="0043230A"/>
    <w:rsid w:val="0043511C"/>
    <w:rsid w:val="00435538"/>
    <w:rsid w:val="00437E88"/>
    <w:rsid w:val="00440672"/>
    <w:rsid w:val="00441E70"/>
    <w:rsid w:val="00441E89"/>
    <w:rsid w:val="00443779"/>
    <w:rsid w:val="00443CCC"/>
    <w:rsid w:val="004441E4"/>
    <w:rsid w:val="004448E8"/>
    <w:rsid w:val="004463DB"/>
    <w:rsid w:val="004474FB"/>
    <w:rsid w:val="00450240"/>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80839"/>
    <w:rsid w:val="004813E8"/>
    <w:rsid w:val="00482666"/>
    <w:rsid w:val="004827F3"/>
    <w:rsid w:val="004829F2"/>
    <w:rsid w:val="00486114"/>
    <w:rsid w:val="004863E4"/>
    <w:rsid w:val="00487264"/>
    <w:rsid w:val="00490D2A"/>
    <w:rsid w:val="0049105D"/>
    <w:rsid w:val="004918C4"/>
    <w:rsid w:val="00491C9E"/>
    <w:rsid w:val="0049265B"/>
    <w:rsid w:val="004932A2"/>
    <w:rsid w:val="00496E8C"/>
    <w:rsid w:val="00496EAA"/>
    <w:rsid w:val="004A00B9"/>
    <w:rsid w:val="004A02B4"/>
    <w:rsid w:val="004A08D7"/>
    <w:rsid w:val="004A5151"/>
    <w:rsid w:val="004A5DB1"/>
    <w:rsid w:val="004A5E27"/>
    <w:rsid w:val="004A672E"/>
    <w:rsid w:val="004A687F"/>
    <w:rsid w:val="004A7359"/>
    <w:rsid w:val="004B3161"/>
    <w:rsid w:val="004B5BAF"/>
    <w:rsid w:val="004B5CB4"/>
    <w:rsid w:val="004B632A"/>
    <w:rsid w:val="004B77E5"/>
    <w:rsid w:val="004B7E82"/>
    <w:rsid w:val="004C06AD"/>
    <w:rsid w:val="004C0946"/>
    <w:rsid w:val="004C0C08"/>
    <w:rsid w:val="004C13CF"/>
    <w:rsid w:val="004C3866"/>
    <w:rsid w:val="004C7EB2"/>
    <w:rsid w:val="004D0163"/>
    <w:rsid w:val="004D0AC5"/>
    <w:rsid w:val="004D19EB"/>
    <w:rsid w:val="004D1AAF"/>
    <w:rsid w:val="004D3210"/>
    <w:rsid w:val="004D35C6"/>
    <w:rsid w:val="004E06B4"/>
    <w:rsid w:val="004E13D3"/>
    <w:rsid w:val="004E189A"/>
    <w:rsid w:val="004E1A28"/>
    <w:rsid w:val="004E2076"/>
    <w:rsid w:val="004E2F8E"/>
    <w:rsid w:val="004E318F"/>
    <w:rsid w:val="004E5A0A"/>
    <w:rsid w:val="004E6694"/>
    <w:rsid w:val="004E6764"/>
    <w:rsid w:val="004E75FE"/>
    <w:rsid w:val="004E791F"/>
    <w:rsid w:val="004F021C"/>
    <w:rsid w:val="004F1757"/>
    <w:rsid w:val="004F1D20"/>
    <w:rsid w:val="004F326C"/>
    <w:rsid w:val="004F38A6"/>
    <w:rsid w:val="004F444A"/>
    <w:rsid w:val="004F5575"/>
    <w:rsid w:val="004F58D9"/>
    <w:rsid w:val="004F79D9"/>
    <w:rsid w:val="005014BC"/>
    <w:rsid w:val="00501617"/>
    <w:rsid w:val="00502229"/>
    <w:rsid w:val="0050254B"/>
    <w:rsid w:val="005030DE"/>
    <w:rsid w:val="0050634D"/>
    <w:rsid w:val="005078B2"/>
    <w:rsid w:val="005079C1"/>
    <w:rsid w:val="00507BBF"/>
    <w:rsid w:val="00511260"/>
    <w:rsid w:val="00511565"/>
    <w:rsid w:val="0051172C"/>
    <w:rsid w:val="0051380C"/>
    <w:rsid w:val="00514439"/>
    <w:rsid w:val="00514878"/>
    <w:rsid w:val="00515B89"/>
    <w:rsid w:val="0051706E"/>
    <w:rsid w:val="00520E7F"/>
    <w:rsid w:val="00523DBC"/>
    <w:rsid w:val="005244E9"/>
    <w:rsid w:val="00525DF3"/>
    <w:rsid w:val="00530509"/>
    <w:rsid w:val="00532080"/>
    <w:rsid w:val="00533C85"/>
    <w:rsid w:val="00544D9C"/>
    <w:rsid w:val="00545009"/>
    <w:rsid w:val="00545140"/>
    <w:rsid w:val="00545668"/>
    <w:rsid w:val="00546B80"/>
    <w:rsid w:val="00546CE9"/>
    <w:rsid w:val="0055098F"/>
    <w:rsid w:val="005517B9"/>
    <w:rsid w:val="0055276B"/>
    <w:rsid w:val="00553E7D"/>
    <w:rsid w:val="005542BD"/>
    <w:rsid w:val="00556489"/>
    <w:rsid w:val="00556EDA"/>
    <w:rsid w:val="00556FC7"/>
    <w:rsid w:val="005573D6"/>
    <w:rsid w:val="0056029F"/>
    <w:rsid w:val="0056509F"/>
    <w:rsid w:val="00565326"/>
    <w:rsid w:val="005703D6"/>
    <w:rsid w:val="00570A0D"/>
    <w:rsid w:val="005754FC"/>
    <w:rsid w:val="00575F9C"/>
    <w:rsid w:val="00576979"/>
    <w:rsid w:val="00577D50"/>
    <w:rsid w:val="00580D85"/>
    <w:rsid w:val="005813AC"/>
    <w:rsid w:val="0058354A"/>
    <w:rsid w:val="00583A60"/>
    <w:rsid w:val="00584BA7"/>
    <w:rsid w:val="00586CFB"/>
    <w:rsid w:val="00587D29"/>
    <w:rsid w:val="00590320"/>
    <w:rsid w:val="00591072"/>
    <w:rsid w:val="0059178F"/>
    <w:rsid w:val="005934B8"/>
    <w:rsid w:val="00594C9D"/>
    <w:rsid w:val="00594EC4"/>
    <w:rsid w:val="00595C65"/>
    <w:rsid w:val="005964E5"/>
    <w:rsid w:val="005969E2"/>
    <w:rsid w:val="00597705"/>
    <w:rsid w:val="005A2272"/>
    <w:rsid w:val="005A2449"/>
    <w:rsid w:val="005A2C73"/>
    <w:rsid w:val="005A3E4D"/>
    <w:rsid w:val="005A4FC0"/>
    <w:rsid w:val="005A65C7"/>
    <w:rsid w:val="005A71F7"/>
    <w:rsid w:val="005B1333"/>
    <w:rsid w:val="005B1872"/>
    <w:rsid w:val="005B43F6"/>
    <w:rsid w:val="005B649F"/>
    <w:rsid w:val="005B7922"/>
    <w:rsid w:val="005B7CEE"/>
    <w:rsid w:val="005C10BF"/>
    <w:rsid w:val="005C1439"/>
    <w:rsid w:val="005C15DC"/>
    <w:rsid w:val="005C1DEC"/>
    <w:rsid w:val="005C28AE"/>
    <w:rsid w:val="005C36E4"/>
    <w:rsid w:val="005C405F"/>
    <w:rsid w:val="005C4FDA"/>
    <w:rsid w:val="005C515A"/>
    <w:rsid w:val="005C5C47"/>
    <w:rsid w:val="005C6A41"/>
    <w:rsid w:val="005D0320"/>
    <w:rsid w:val="005D0B78"/>
    <w:rsid w:val="005D25D6"/>
    <w:rsid w:val="005D3407"/>
    <w:rsid w:val="005D3941"/>
    <w:rsid w:val="005D411A"/>
    <w:rsid w:val="005D47C3"/>
    <w:rsid w:val="005D5E9D"/>
    <w:rsid w:val="005D6BF3"/>
    <w:rsid w:val="005D6D77"/>
    <w:rsid w:val="005D7CBC"/>
    <w:rsid w:val="005E0394"/>
    <w:rsid w:val="005E2F30"/>
    <w:rsid w:val="005E3541"/>
    <w:rsid w:val="005E411E"/>
    <w:rsid w:val="005E560B"/>
    <w:rsid w:val="005E601A"/>
    <w:rsid w:val="005E682D"/>
    <w:rsid w:val="005F03D5"/>
    <w:rsid w:val="005F04A5"/>
    <w:rsid w:val="005F158C"/>
    <w:rsid w:val="005F182F"/>
    <w:rsid w:val="005F1F61"/>
    <w:rsid w:val="005F236B"/>
    <w:rsid w:val="005F6D85"/>
    <w:rsid w:val="005F77BC"/>
    <w:rsid w:val="005F7B16"/>
    <w:rsid w:val="00600269"/>
    <w:rsid w:val="0060138F"/>
    <w:rsid w:val="0060391E"/>
    <w:rsid w:val="0060443D"/>
    <w:rsid w:val="0060486E"/>
    <w:rsid w:val="006062FB"/>
    <w:rsid w:val="00606867"/>
    <w:rsid w:val="00607419"/>
    <w:rsid w:val="006101AF"/>
    <w:rsid w:val="00610449"/>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7A17"/>
    <w:rsid w:val="00641035"/>
    <w:rsid w:val="00641661"/>
    <w:rsid w:val="0064476F"/>
    <w:rsid w:val="00644FB0"/>
    <w:rsid w:val="006476E6"/>
    <w:rsid w:val="006507B0"/>
    <w:rsid w:val="00650EE2"/>
    <w:rsid w:val="006511A4"/>
    <w:rsid w:val="006513E2"/>
    <w:rsid w:val="00651916"/>
    <w:rsid w:val="00651DE7"/>
    <w:rsid w:val="00652E62"/>
    <w:rsid w:val="006531C9"/>
    <w:rsid w:val="006535E1"/>
    <w:rsid w:val="0066025E"/>
    <w:rsid w:val="0066097F"/>
    <w:rsid w:val="00661D64"/>
    <w:rsid w:val="00661E49"/>
    <w:rsid w:val="00662682"/>
    <w:rsid w:val="006639A0"/>
    <w:rsid w:val="00663D7F"/>
    <w:rsid w:val="0066436D"/>
    <w:rsid w:val="0066462C"/>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87EEA"/>
    <w:rsid w:val="0069096F"/>
    <w:rsid w:val="0069106B"/>
    <w:rsid w:val="00691AF2"/>
    <w:rsid w:val="00691CB2"/>
    <w:rsid w:val="006931AA"/>
    <w:rsid w:val="006944F4"/>
    <w:rsid w:val="00694527"/>
    <w:rsid w:val="0069550C"/>
    <w:rsid w:val="00697465"/>
    <w:rsid w:val="00697EB1"/>
    <w:rsid w:val="00697FD5"/>
    <w:rsid w:val="006A2310"/>
    <w:rsid w:val="006A2706"/>
    <w:rsid w:val="006A409F"/>
    <w:rsid w:val="006A498B"/>
    <w:rsid w:val="006A7DA6"/>
    <w:rsid w:val="006B150C"/>
    <w:rsid w:val="006B1DCE"/>
    <w:rsid w:val="006B42B2"/>
    <w:rsid w:val="006B6180"/>
    <w:rsid w:val="006B692B"/>
    <w:rsid w:val="006B77B9"/>
    <w:rsid w:val="006C06EA"/>
    <w:rsid w:val="006C076F"/>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6481"/>
    <w:rsid w:val="006F78DB"/>
    <w:rsid w:val="00702C42"/>
    <w:rsid w:val="00704A2E"/>
    <w:rsid w:val="007057AB"/>
    <w:rsid w:val="00705F57"/>
    <w:rsid w:val="00707343"/>
    <w:rsid w:val="007073FB"/>
    <w:rsid w:val="00710C28"/>
    <w:rsid w:val="00710C9D"/>
    <w:rsid w:val="00711C08"/>
    <w:rsid w:val="00711CC1"/>
    <w:rsid w:val="00712ED3"/>
    <w:rsid w:val="00714697"/>
    <w:rsid w:val="00714C9E"/>
    <w:rsid w:val="00715651"/>
    <w:rsid w:val="00717903"/>
    <w:rsid w:val="00717B10"/>
    <w:rsid w:val="00724B29"/>
    <w:rsid w:val="00726BEE"/>
    <w:rsid w:val="00726DE9"/>
    <w:rsid w:val="00727A78"/>
    <w:rsid w:val="00730A5A"/>
    <w:rsid w:val="00731207"/>
    <w:rsid w:val="007319BB"/>
    <w:rsid w:val="00734430"/>
    <w:rsid w:val="0073465D"/>
    <w:rsid w:val="0074053C"/>
    <w:rsid w:val="00742AE9"/>
    <w:rsid w:val="00743D4D"/>
    <w:rsid w:val="00743EB1"/>
    <w:rsid w:val="0074485F"/>
    <w:rsid w:val="007451A8"/>
    <w:rsid w:val="0074527C"/>
    <w:rsid w:val="00745BF2"/>
    <w:rsid w:val="00745E2B"/>
    <w:rsid w:val="00746757"/>
    <w:rsid w:val="00751ADD"/>
    <w:rsid w:val="007520F6"/>
    <w:rsid w:val="00752D37"/>
    <w:rsid w:val="007532C0"/>
    <w:rsid w:val="00756020"/>
    <w:rsid w:val="00756098"/>
    <w:rsid w:val="00757F3C"/>
    <w:rsid w:val="007631E0"/>
    <w:rsid w:val="00763628"/>
    <w:rsid w:val="00763BD6"/>
    <w:rsid w:val="00763BF3"/>
    <w:rsid w:val="00764F87"/>
    <w:rsid w:val="00767A6B"/>
    <w:rsid w:val="00770537"/>
    <w:rsid w:val="00770C88"/>
    <w:rsid w:val="00771094"/>
    <w:rsid w:val="00771421"/>
    <w:rsid w:val="00772E4B"/>
    <w:rsid w:val="007744D5"/>
    <w:rsid w:val="0077459E"/>
    <w:rsid w:val="00775448"/>
    <w:rsid w:val="00775A5F"/>
    <w:rsid w:val="0077676B"/>
    <w:rsid w:val="007774CB"/>
    <w:rsid w:val="00781347"/>
    <w:rsid w:val="00781847"/>
    <w:rsid w:val="00782782"/>
    <w:rsid w:val="007841E0"/>
    <w:rsid w:val="007863FC"/>
    <w:rsid w:val="007866DC"/>
    <w:rsid w:val="00791465"/>
    <w:rsid w:val="0079276A"/>
    <w:rsid w:val="00794AA8"/>
    <w:rsid w:val="00796986"/>
    <w:rsid w:val="00796F04"/>
    <w:rsid w:val="00796F39"/>
    <w:rsid w:val="00796F7A"/>
    <w:rsid w:val="00797A49"/>
    <w:rsid w:val="007A1488"/>
    <w:rsid w:val="007A1A81"/>
    <w:rsid w:val="007A2884"/>
    <w:rsid w:val="007A3705"/>
    <w:rsid w:val="007A39B0"/>
    <w:rsid w:val="007A7BBE"/>
    <w:rsid w:val="007B196E"/>
    <w:rsid w:val="007B1F09"/>
    <w:rsid w:val="007B2116"/>
    <w:rsid w:val="007B2B21"/>
    <w:rsid w:val="007B566C"/>
    <w:rsid w:val="007B686F"/>
    <w:rsid w:val="007B6CEF"/>
    <w:rsid w:val="007C17AD"/>
    <w:rsid w:val="007C247A"/>
    <w:rsid w:val="007C2D65"/>
    <w:rsid w:val="007C4731"/>
    <w:rsid w:val="007C546A"/>
    <w:rsid w:val="007D0644"/>
    <w:rsid w:val="007D0A2D"/>
    <w:rsid w:val="007D3ACE"/>
    <w:rsid w:val="007D50DD"/>
    <w:rsid w:val="007D64EC"/>
    <w:rsid w:val="007E05A2"/>
    <w:rsid w:val="007E1089"/>
    <w:rsid w:val="007E1B26"/>
    <w:rsid w:val="007E1F8D"/>
    <w:rsid w:val="007E5E24"/>
    <w:rsid w:val="007F1E72"/>
    <w:rsid w:val="007F2C37"/>
    <w:rsid w:val="007F4798"/>
    <w:rsid w:val="007F7FAC"/>
    <w:rsid w:val="00800438"/>
    <w:rsid w:val="008019A5"/>
    <w:rsid w:val="008020C2"/>
    <w:rsid w:val="008020CD"/>
    <w:rsid w:val="00803543"/>
    <w:rsid w:val="00806397"/>
    <w:rsid w:val="00806AFC"/>
    <w:rsid w:val="00810336"/>
    <w:rsid w:val="0081156D"/>
    <w:rsid w:val="00811B30"/>
    <w:rsid w:val="00812D95"/>
    <w:rsid w:val="00813448"/>
    <w:rsid w:val="00814EDE"/>
    <w:rsid w:val="0081612B"/>
    <w:rsid w:val="00816445"/>
    <w:rsid w:val="00816ED1"/>
    <w:rsid w:val="00821D82"/>
    <w:rsid w:val="008230F2"/>
    <w:rsid w:val="00823442"/>
    <w:rsid w:val="00823CFE"/>
    <w:rsid w:val="008242ED"/>
    <w:rsid w:val="00824579"/>
    <w:rsid w:val="008276BB"/>
    <w:rsid w:val="008306E4"/>
    <w:rsid w:val="00830F6A"/>
    <w:rsid w:val="00832EA6"/>
    <w:rsid w:val="00832FD6"/>
    <w:rsid w:val="0083336E"/>
    <w:rsid w:val="00834066"/>
    <w:rsid w:val="008343B4"/>
    <w:rsid w:val="00837B9A"/>
    <w:rsid w:val="00837E1F"/>
    <w:rsid w:val="008405CE"/>
    <w:rsid w:val="008405CF"/>
    <w:rsid w:val="00841466"/>
    <w:rsid w:val="00841726"/>
    <w:rsid w:val="008417D1"/>
    <w:rsid w:val="00841E66"/>
    <w:rsid w:val="008426AA"/>
    <w:rsid w:val="0084295A"/>
    <w:rsid w:val="0084393F"/>
    <w:rsid w:val="00846269"/>
    <w:rsid w:val="00850037"/>
    <w:rsid w:val="00851511"/>
    <w:rsid w:val="008519A2"/>
    <w:rsid w:val="00852AE9"/>
    <w:rsid w:val="008536CA"/>
    <w:rsid w:val="008547C2"/>
    <w:rsid w:val="00854A89"/>
    <w:rsid w:val="00855355"/>
    <w:rsid w:val="008557C2"/>
    <w:rsid w:val="00855F97"/>
    <w:rsid w:val="008563FC"/>
    <w:rsid w:val="00856D30"/>
    <w:rsid w:val="0086080D"/>
    <w:rsid w:val="008623FD"/>
    <w:rsid w:val="008634DE"/>
    <w:rsid w:val="008647BD"/>
    <w:rsid w:val="008665C4"/>
    <w:rsid w:val="0086751C"/>
    <w:rsid w:val="008677E3"/>
    <w:rsid w:val="00870B41"/>
    <w:rsid w:val="0087195C"/>
    <w:rsid w:val="00873451"/>
    <w:rsid w:val="00873C6E"/>
    <w:rsid w:val="00873EB9"/>
    <w:rsid w:val="00875D5A"/>
    <w:rsid w:val="00875F1E"/>
    <w:rsid w:val="00880351"/>
    <w:rsid w:val="008803A2"/>
    <w:rsid w:val="0088086C"/>
    <w:rsid w:val="008825BB"/>
    <w:rsid w:val="00882735"/>
    <w:rsid w:val="0088275A"/>
    <w:rsid w:val="00882EFE"/>
    <w:rsid w:val="0088509A"/>
    <w:rsid w:val="00885B2D"/>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2B58"/>
    <w:rsid w:val="008B3660"/>
    <w:rsid w:val="008C210D"/>
    <w:rsid w:val="008C3E59"/>
    <w:rsid w:val="008C480D"/>
    <w:rsid w:val="008C4C45"/>
    <w:rsid w:val="008C56C1"/>
    <w:rsid w:val="008C651B"/>
    <w:rsid w:val="008C7138"/>
    <w:rsid w:val="008D136B"/>
    <w:rsid w:val="008D2564"/>
    <w:rsid w:val="008D3C26"/>
    <w:rsid w:val="008E13A3"/>
    <w:rsid w:val="008E1626"/>
    <w:rsid w:val="008E270C"/>
    <w:rsid w:val="008E3637"/>
    <w:rsid w:val="008E3F87"/>
    <w:rsid w:val="008E51D4"/>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1474"/>
    <w:rsid w:val="009014FD"/>
    <w:rsid w:val="00902AA7"/>
    <w:rsid w:val="00902C55"/>
    <w:rsid w:val="00903156"/>
    <w:rsid w:val="00903496"/>
    <w:rsid w:val="00903A37"/>
    <w:rsid w:val="009041F8"/>
    <w:rsid w:val="00904D53"/>
    <w:rsid w:val="00905C49"/>
    <w:rsid w:val="00906C53"/>
    <w:rsid w:val="0090737A"/>
    <w:rsid w:val="00912D17"/>
    <w:rsid w:val="00913921"/>
    <w:rsid w:val="0091491D"/>
    <w:rsid w:val="0091517B"/>
    <w:rsid w:val="0091540B"/>
    <w:rsid w:val="00921597"/>
    <w:rsid w:val="00921696"/>
    <w:rsid w:val="00921C69"/>
    <w:rsid w:val="0092525C"/>
    <w:rsid w:val="009257EE"/>
    <w:rsid w:val="009262E3"/>
    <w:rsid w:val="00927E7F"/>
    <w:rsid w:val="009300E6"/>
    <w:rsid w:val="00931856"/>
    <w:rsid w:val="00931957"/>
    <w:rsid w:val="00932259"/>
    <w:rsid w:val="00937B2D"/>
    <w:rsid w:val="00937F6E"/>
    <w:rsid w:val="00940225"/>
    <w:rsid w:val="009429D4"/>
    <w:rsid w:val="00942CB5"/>
    <w:rsid w:val="00943D4D"/>
    <w:rsid w:val="00944464"/>
    <w:rsid w:val="00945BC4"/>
    <w:rsid w:val="009503FE"/>
    <w:rsid w:val="00950AE3"/>
    <w:rsid w:val="0095291D"/>
    <w:rsid w:val="00954778"/>
    <w:rsid w:val="0095687B"/>
    <w:rsid w:val="00957730"/>
    <w:rsid w:val="00960CDB"/>
    <w:rsid w:val="00962E0E"/>
    <w:rsid w:val="00964882"/>
    <w:rsid w:val="009648F1"/>
    <w:rsid w:val="00964C44"/>
    <w:rsid w:val="00964DFA"/>
    <w:rsid w:val="00965488"/>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7780"/>
    <w:rsid w:val="0099005D"/>
    <w:rsid w:val="009915EB"/>
    <w:rsid w:val="00992B0D"/>
    <w:rsid w:val="009949C6"/>
    <w:rsid w:val="00995533"/>
    <w:rsid w:val="009969E0"/>
    <w:rsid w:val="00996B5C"/>
    <w:rsid w:val="009A0545"/>
    <w:rsid w:val="009A05BC"/>
    <w:rsid w:val="009A0B4E"/>
    <w:rsid w:val="009A1EC2"/>
    <w:rsid w:val="009A2BD5"/>
    <w:rsid w:val="009A36AF"/>
    <w:rsid w:val="009A3E97"/>
    <w:rsid w:val="009A591E"/>
    <w:rsid w:val="009A77E7"/>
    <w:rsid w:val="009B1B5C"/>
    <w:rsid w:val="009B306D"/>
    <w:rsid w:val="009B3AC6"/>
    <w:rsid w:val="009B4D2B"/>
    <w:rsid w:val="009B5983"/>
    <w:rsid w:val="009B7089"/>
    <w:rsid w:val="009B7AB7"/>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0C7"/>
    <w:rsid w:val="009D4AB7"/>
    <w:rsid w:val="009D5302"/>
    <w:rsid w:val="009D62F3"/>
    <w:rsid w:val="009D754F"/>
    <w:rsid w:val="009E1896"/>
    <w:rsid w:val="009E1980"/>
    <w:rsid w:val="009E1ACC"/>
    <w:rsid w:val="009E20B0"/>
    <w:rsid w:val="009E2833"/>
    <w:rsid w:val="009E2BB3"/>
    <w:rsid w:val="009E325E"/>
    <w:rsid w:val="009E3484"/>
    <w:rsid w:val="009E3F65"/>
    <w:rsid w:val="009E569F"/>
    <w:rsid w:val="009E5FDA"/>
    <w:rsid w:val="009E646F"/>
    <w:rsid w:val="009E776E"/>
    <w:rsid w:val="009F1760"/>
    <w:rsid w:val="009F3AE6"/>
    <w:rsid w:val="009F4396"/>
    <w:rsid w:val="009F5BAA"/>
    <w:rsid w:val="009F5D93"/>
    <w:rsid w:val="009F6F14"/>
    <w:rsid w:val="009F7433"/>
    <w:rsid w:val="009F795E"/>
    <w:rsid w:val="00A00F3C"/>
    <w:rsid w:val="00A0144A"/>
    <w:rsid w:val="00A02844"/>
    <w:rsid w:val="00A034F2"/>
    <w:rsid w:val="00A042CC"/>
    <w:rsid w:val="00A06BF5"/>
    <w:rsid w:val="00A076B8"/>
    <w:rsid w:val="00A07E9C"/>
    <w:rsid w:val="00A106D8"/>
    <w:rsid w:val="00A11066"/>
    <w:rsid w:val="00A1196D"/>
    <w:rsid w:val="00A11A36"/>
    <w:rsid w:val="00A122F8"/>
    <w:rsid w:val="00A1243E"/>
    <w:rsid w:val="00A12914"/>
    <w:rsid w:val="00A12EEB"/>
    <w:rsid w:val="00A14173"/>
    <w:rsid w:val="00A159A3"/>
    <w:rsid w:val="00A167B8"/>
    <w:rsid w:val="00A17060"/>
    <w:rsid w:val="00A1785B"/>
    <w:rsid w:val="00A17ED7"/>
    <w:rsid w:val="00A20492"/>
    <w:rsid w:val="00A2185E"/>
    <w:rsid w:val="00A21919"/>
    <w:rsid w:val="00A26381"/>
    <w:rsid w:val="00A31C08"/>
    <w:rsid w:val="00A32889"/>
    <w:rsid w:val="00A330D0"/>
    <w:rsid w:val="00A331C2"/>
    <w:rsid w:val="00A34342"/>
    <w:rsid w:val="00A3481B"/>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2BA1"/>
    <w:rsid w:val="00A63829"/>
    <w:rsid w:val="00A64250"/>
    <w:rsid w:val="00A64FD8"/>
    <w:rsid w:val="00A6550F"/>
    <w:rsid w:val="00A67C97"/>
    <w:rsid w:val="00A711F9"/>
    <w:rsid w:val="00A71783"/>
    <w:rsid w:val="00A719FE"/>
    <w:rsid w:val="00A74937"/>
    <w:rsid w:val="00A75B8E"/>
    <w:rsid w:val="00A75D5A"/>
    <w:rsid w:val="00A76BAC"/>
    <w:rsid w:val="00A80058"/>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5CEC"/>
    <w:rsid w:val="00A976E6"/>
    <w:rsid w:val="00AA009D"/>
    <w:rsid w:val="00AA00D8"/>
    <w:rsid w:val="00AA32DA"/>
    <w:rsid w:val="00AA45A4"/>
    <w:rsid w:val="00AA4712"/>
    <w:rsid w:val="00AA4FAB"/>
    <w:rsid w:val="00AA6121"/>
    <w:rsid w:val="00AA65F4"/>
    <w:rsid w:val="00AA7A71"/>
    <w:rsid w:val="00AA7E1F"/>
    <w:rsid w:val="00AB01B3"/>
    <w:rsid w:val="00AB1B2B"/>
    <w:rsid w:val="00AB43EE"/>
    <w:rsid w:val="00AB4F07"/>
    <w:rsid w:val="00AB5121"/>
    <w:rsid w:val="00AB51EA"/>
    <w:rsid w:val="00AB5E03"/>
    <w:rsid w:val="00AB6F0C"/>
    <w:rsid w:val="00AC1EC5"/>
    <w:rsid w:val="00AC4AC4"/>
    <w:rsid w:val="00AC6F37"/>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E6E4D"/>
    <w:rsid w:val="00AF05EC"/>
    <w:rsid w:val="00AF252E"/>
    <w:rsid w:val="00AF2AE0"/>
    <w:rsid w:val="00AF399D"/>
    <w:rsid w:val="00AF3D6B"/>
    <w:rsid w:val="00AF4917"/>
    <w:rsid w:val="00AF4DC9"/>
    <w:rsid w:val="00AF6292"/>
    <w:rsid w:val="00AF680F"/>
    <w:rsid w:val="00AF69CB"/>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6E37"/>
    <w:rsid w:val="00B1722F"/>
    <w:rsid w:val="00B17CCB"/>
    <w:rsid w:val="00B207AC"/>
    <w:rsid w:val="00B20A8D"/>
    <w:rsid w:val="00B20D36"/>
    <w:rsid w:val="00B21512"/>
    <w:rsid w:val="00B21FA2"/>
    <w:rsid w:val="00B235FF"/>
    <w:rsid w:val="00B23610"/>
    <w:rsid w:val="00B24486"/>
    <w:rsid w:val="00B24846"/>
    <w:rsid w:val="00B26963"/>
    <w:rsid w:val="00B26AA4"/>
    <w:rsid w:val="00B26DA6"/>
    <w:rsid w:val="00B30BDA"/>
    <w:rsid w:val="00B30C98"/>
    <w:rsid w:val="00B3218F"/>
    <w:rsid w:val="00B32AE8"/>
    <w:rsid w:val="00B3323A"/>
    <w:rsid w:val="00B34ECD"/>
    <w:rsid w:val="00B36696"/>
    <w:rsid w:val="00B40AB1"/>
    <w:rsid w:val="00B418D6"/>
    <w:rsid w:val="00B446F9"/>
    <w:rsid w:val="00B46ADF"/>
    <w:rsid w:val="00B47ED0"/>
    <w:rsid w:val="00B50382"/>
    <w:rsid w:val="00B512A3"/>
    <w:rsid w:val="00B51F04"/>
    <w:rsid w:val="00B52945"/>
    <w:rsid w:val="00B52D0E"/>
    <w:rsid w:val="00B53331"/>
    <w:rsid w:val="00B559B2"/>
    <w:rsid w:val="00B565D4"/>
    <w:rsid w:val="00B56BAF"/>
    <w:rsid w:val="00B56D2F"/>
    <w:rsid w:val="00B56DA8"/>
    <w:rsid w:val="00B57BF8"/>
    <w:rsid w:val="00B57F93"/>
    <w:rsid w:val="00B60E51"/>
    <w:rsid w:val="00B612ED"/>
    <w:rsid w:val="00B63F7F"/>
    <w:rsid w:val="00B6537F"/>
    <w:rsid w:val="00B65433"/>
    <w:rsid w:val="00B65D0C"/>
    <w:rsid w:val="00B65DEE"/>
    <w:rsid w:val="00B66F74"/>
    <w:rsid w:val="00B673D7"/>
    <w:rsid w:val="00B71571"/>
    <w:rsid w:val="00B715B1"/>
    <w:rsid w:val="00B7619E"/>
    <w:rsid w:val="00B77677"/>
    <w:rsid w:val="00B77BF3"/>
    <w:rsid w:val="00B83257"/>
    <w:rsid w:val="00B8381D"/>
    <w:rsid w:val="00B84964"/>
    <w:rsid w:val="00B849F3"/>
    <w:rsid w:val="00B85F87"/>
    <w:rsid w:val="00B87B41"/>
    <w:rsid w:val="00B9092D"/>
    <w:rsid w:val="00B91527"/>
    <w:rsid w:val="00B92470"/>
    <w:rsid w:val="00B929D1"/>
    <w:rsid w:val="00B93AC6"/>
    <w:rsid w:val="00B93CF3"/>
    <w:rsid w:val="00B95349"/>
    <w:rsid w:val="00B955C0"/>
    <w:rsid w:val="00B95B9C"/>
    <w:rsid w:val="00B95BDB"/>
    <w:rsid w:val="00B961E2"/>
    <w:rsid w:val="00BA0067"/>
    <w:rsid w:val="00BA0F9A"/>
    <w:rsid w:val="00BA1639"/>
    <w:rsid w:val="00BA2179"/>
    <w:rsid w:val="00BA51E5"/>
    <w:rsid w:val="00BA65AC"/>
    <w:rsid w:val="00BB2985"/>
    <w:rsid w:val="00BB425D"/>
    <w:rsid w:val="00BB4E9D"/>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5387"/>
    <w:rsid w:val="00BE5936"/>
    <w:rsid w:val="00BE6A74"/>
    <w:rsid w:val="00BE7D08"/>
    <w:rsid w:val="00BF04DC"/>
    <w:rsid w:val="00BF0840"/>
    <w:rsid w:val="00BF0DFF"/>
    <w:rsid w:val="00BF22B8"/>
    <w:rsid w:val="00BF2603"/>
    <w:rsid w:val="00BF51CE"/>
    <w:rsid w:val="00BF6541"/>
    <w:rsid w:val="00C01A0D"/>
    <w:rsid w:val="00C01D71"/>
    <w:rsid w:val="00C028D9"/>
    <w:rsid w:val="00C036E4"/>
    <w:rsid w:val="00C038B8"/>
    <w:rsid w:val="00C03B35"/>
    <w:rsid w:val="00C06574"/>
    <w:rsid w:val="00C06F31"/>
    <w:rsid w:val="00C11EE9"/>
    <w:rsid w:val="00C12B8C"/>
    <w:rsid w:val="00C13394"/>
    <w:rsid w:val="00C155D9"/>
    <w:rsid w:val="00C2211D"/>
    <w:rsid w:val="00C2344F"/>
    <w:rsid w:val="00C246F2"/>
    <w:rsid w:val="00C2629C"/>
    <w:rsid w:val="00C26707"/>
    <w:rsid w:val="00C27719"/>
    <w:rsid w:val="00C31BCD"/>
    <w:rsid w:val="00C320EB"/>
    <w:rsid w:val="00C32F7B"/>
    <w:rsid w:val="00C33845"/>
    <w:rsid w:val="00C3513F"/>
    <w:rsid w:val="00C355AA"/>
    <w:rsid w:val="00C36223"/>
    <w:rsid w:val="00C36FE5"/>
    <w:rsid w:val="00C3717B"/>
    <w:rsid w:val="00C40725"/>
    <w:rsid w:val="00C4207E"/>
    <w:rsid w:val="00C44437"/>
    <w:rsid w:val="00C451A3"/>
    <w:rsid w:val="00C45226"/>
    <w:rsid w:val="00C4577E"/>
    <w:rsid w:val="00C5077B"/>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05D8"/>
    <w:rsid w:val="00C823C5"/>
    <w:rsid w:val="00C82ADE"/>
    <w:rsid w:val="00C82D42"/>
    <w:rsid w:val="00C8322A"/>
    <w:rsid w:val="00C83583"/>
    <w:rsid w:val="00C84B12"/>
    <w:rsid w:val="00C869BC"/>
    <w:rsid w:val="00C8737E"/>
    <w:rsid w:val="00C90444"/>
    <w:rsid w:val="00C9243B"/>
    <w:rsid w:val="00C939AF"/>
    <w:rsid w:val="00C953C0"/>
    <w:rsid w:val="00C96E5A"/>
    <w:rsid w:val="00C97ACC"/>
    <w:rsid w:val="00CA056D"/>
    <w:rsid w:val="00CA181F"/>
    <w:rsid w:val="00CA22C7"/>
    <w:rsid w:val="00CA29E0"/>
    <w:rsid w:val="00CA2A54"/>
    <w:rsid w:val="00CA3219"/>
    <w:rsid w:val="00CB01EB"/>
    <w:rsid w:val="00CB0DFA"/>
    <w:rsid w:val="00CB250C"/>
    <w:rsid w:val="00CB34D5"/>
    <w:rsid w:val="00CB6CB0"/>
    <w:rsid w:val="00CB6EF4"/>
    <w:rsid w:val="00CC134C"/>
    <w:rsid w:val="00CC36F9"/>
    <w:rsid w:val="00CC3E8F"/>
    <w:rsid w:val="00CD03DF"/>
    <w:rsid w:val="00CD0BA2"/>
    <w:rsid w:val="00CD18DE"/>
    <w:rsid w:val="00CD253C"/>
    <w:rsid w:val="00CD2E30"/>
    <w:rsid w:val="00CD643B"/>
    <w:rsid w:val="00CD76FC"/>
    <w:rsid w:val="00CD7B7F"/>
    <w:rsid w:val="00CE0D42"/>
    <w:rsid w:val="00CE19D1"/>
    <w:rsid w:val="00CE23EF"/>
    <w:rsid w:val="00CE6197"/>
    <w:rsid w:val="00CE6490"/>
    <w:rsid w:val="00CE6BEE"/>
    <w:rsid w:val="00CE702E"/>
    <w:rsid w:val="00CE7723"/>
    <w:rsid w:val="00CF088A"/>
    <w:rsid w:val="00CF1AEC"/>
    <w:rsid w:val="00CF38F2"/>
    <w:rsid w:val="00CF5CD7"/>
    <w:rsid w:val="00CF5D00"/>
    <w:rsid w:val="00CF5D2C"/>
    <w:rsid w:val="00CF79DF"/>
    <w:rsid w:val="00D00702"/>
    <w:rsid w:val="00D01E61"/>
    <w:rsid w:val="00D02296"/>
    <w:rsid w:val="00D02B99"/>
    <w:rsid w:val="00D0306C"/>
    <w:rsid w:val="00D034FA"/>
    <w:rsid w:val="00D06027"/>
    <w:rsid w:val="00D060B0"/>
    <w:rsid w:val="00D0645E"/>
    <w:rsid w:val="00D0751A"/>
    <w:rsid w:val="00D078F8"/>
    <w:rsid w:val="00D07D25"/>
    <w:rsid w:val="00D110F0"/>
    <w:rsid w:val="00D116BA"/>
    <w:rsid w:val="00D12852"/>
    <w:rsid w:val="00D13010"/>
    <w:rsid w:val="00D133F0"/>
    <w:rsid w:val="00D143ED"/>
    <w:rsid w:val="00D1677C"/>
    <w:rsid w:val="00D16C5A"/>
    <w:rsid w:val="00D16DAA"/>
    <w:rsid w:val="00D17E12"/>
    <w:rsid w:val="00D20F59"/>
    <w:rsid w:val="00D21B84"/>
    <w:rsid w:val="00D22983"/>
    <w:rsid w:val="00D25359"/>
    <w:rsid w:val="00D25E7D"/>
    <w:rsid w:val="00D261EA"/>
    <w:rsid w:val="00D26BDD"/>
    <w:rsid w:val="00D26D6A"/>
    <w:rsid w:val="00D27732"/>
    <w:rsid w:val="00D27842"/>
    <w:rsid w:val="00D27C57"/>
    <w:rsid w:val="00D30628"/>
    <w:rsid w:val="00D30CEE"/>
    <w:rsid w:val="00D31D6C"/>
    <w:rsid w:val="00D31E95"/>
    <w:rsid w:val="00D32B3D"/>
    <w:rsid w:val="00D33C8D"/>
    <w:rsid w:val="00D35F0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0FD9"/>
    <w:rsid w:val="00D53B35"/>
    <w:rsid w:val="00D53E00"/>
    <w:rsid w:val="00D5648F"/>
    <w:rsid w:val="00D56E3B"/>
    <w:rsid w:val="00D56F42"/>
    <w:rsid w:val="00D57CC2"/>
    <w:rsid w:val="00D616EC"/>
    <w:rsid w:val="00D625B8"/>
    <w:rsid w:val="00D62D85"/>
    <w:rsid w:val="00D648BA"/>
    <w:rsid w:val="00D66709"/>
    <w:rsid w:val="00D66A4D"/>
    <w:rsid w:val="00D724E1"/>
    <w:rsid w:val="00D76A95"/>
    <w:rsid w:val="00D801E1"/>
    <w:rsid w:val="00D82515"/>
    <w:rsid w:val="00D82682"/>
    <w:rsid w:val="00D82E21"/>
    <w:rsid w:val="00D840E2"/>
    <w:rsid w:val="00D846FE"/>
    <w:rsid w:val="00D860CB"/>
    <w:rsid w:val="00D87C68"/>
    <w:rsid w:val="00D904CF"/>
    <w:rsid w:val="00D90EC3"/>
    <w:rsid w:val="00D92783"/>
    <w:rsid w:val="00D92B70"/>
    <w:rsid w:val="00D92D3B"/>
    <w:rsid w:val="00D9456A"/>
    <w:rsid w:val="00D94B4E"/>
    <w:rsid w:val="00D94DBD"/>
    <w:rsid w:val="00D96890"/>
    <w:rsid w:val="00DA00BB"/>
    <w:rsid w:val="00DA1C1C"/>
    <w:rsid w:val="00DA38F9"/>
    <w:rsid w:val="00DA708B"/>
    <w:rsid w:val="00DA776D"/>
    <w:rsid w:val="00DA7AAB"/>
    <w:rsid w:val="00DB0815"/>
    <w:rsid w:val="00DB1859"/>
    <w:rsid w:val="00DB3ABE"/>
    <w:rsid w:val="00DB6676"/>
    <w:rsid w:val="00DC2ABE"/>
    <w:rsid w:val="00DC59DE"/>
    <w:rsid w:val="00DC6771"/>
    <w:rsid w:val="00DC7217"/>
    <w:rsid w:val="00DC79BB"/>
    <w:rsid w:val="00DC7C37"/>
    <w:rsid w:val="00DD11EB"/>
    <w:rsid w:val="00DD1B8B"/>
    <w:rsid w:val="00DD1F32"/>
    <w:rsid w:val="00DD23D6"/>
    <w:rsid w:val="00DD2499"/>
    <w:rsid w:val="00DD4855"/>
    <w:rsid w:val="00DD75C4"/>
    <w:rsid w:val="00DE1FBA"/>
    <w:rsid w:val="00DE4550"/>
    <w:rsid w:val="00DE55DE"/>
    <w:rsid w:val="00DE5968"/>
    <w:rsid w:val="00DE6A2A"/>
    <w:rsid w:val="00DF05A7"/>
    <w:rsid w:val="00DF1227"/>
    <w:rsid w:val="00DF131F"/>
    <w:rsid w:val="00DF2C98"/>
    <w:rsid w:val="00DF3B92"/>
    <w:rsid w:val="00DF77FD"/>
    <w:rsid w:val="00DF7884"/>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0EE7"/>
    <w:rsid w:val="00E2425C"/>
    <w:rsid w:val="00E25A13"/>
    <w:rsid w:val="00E260A9"/>
    <w:rsid w:val="00E26F75"/>
    <w:rsid w:val="00E3064C"/>
    <w:rsid w:val="00E33007"/>
    <w:rsid w:val="00E34483"/>
    <w:rsid w:val="00E3456D"/>
    <w:rsid w:val="00E406B2"/>
    <w:rsid w:val="00E4190D"/>
    <w:rsid w:val="00E44987"/>
    <w:rsid w:val="00E44F34"/>
    <w:rsid w:val="00E45859"/>
    <w:rsid w:val="00E47666"/>
    <w:rsid w:val="00E47C2B"/>
    <w:rsid w:val="00E504E9"/>
    <w:rsid w:val="00E507A9"/>
    <w:rsid w:val="00E51400"/>
    <w:rsid w:val="00E5253D"/>
    <w:rsid w:val="00E53860"/>
    <w:rsid w:val="00E554E7"/>
    <w:rsid w:val="00E5688C"/>
    <w:rsid w:val="00E57C72"/>
    <w:rsid w:val="00E60AEE"/>
    <w:rsid w:val="00E624C6"/>
    <w:rsid w:val="00E63688"/>
    <w:rsid w:val="00E6547E"/>
    <w:rsid w:val="00E65E36"/>
    <w:rsid w:val="00E669A1"/>
    <w:rsid w:val="00E67625"/>
    <w:rsid w:val="00E700D9"/>
    <w:rsid w:val="00E73886"/>
    <w:rsid w:val="00E759FD"/>
    <w:rsid w:val="00E75FF6"/>
    <w:rsid w:val="00E77A6F"/>
    <w:rsid w:val="00E8390A"/>
    <w:rsid w:val="00E83A3B"/>
    <w:rsid w:val="00E901D7"/>
    <w:rsid w:val="00E9172D"/>
    <w:rsid w:val="00E91BD8"/>
    <w:rsid w:val="00E922BE"/>
    <w:rsid w:val="00E9258D"/>
    <w:rsid w:val="00E9268E"/>
    <w:rsid w:val="00E92B00"/>
    <w:rsid w:val="00E9368B"/>
    <w:rsid w:val="00E94D9A"/>
    <w:rsid w:val="00E953FA"/>
    <w:rsid w:val="00E965C0"/>
    <w:rsid w:val="00E97D0F"/>
    <w:rsid w:val="00E97E28"/>
    <w:rsid w:val="00EA484D"/>
    <w:rsid w:val="00EA4A96"/>
    <w:rsid w:val="00EA6DFF"/>
    <w:rsid w:val="00EB0FFD"/>
    <w:rsid w:val="00EB1A14"/>
    <w:rsid w:val="00EB1C95"/>
    <w:rsid w:val="00EB39EB"/>
    <w:rsid w:val="00EB3B0A"/>
    <w:rsid w:val="00EB3DAC"/>
    <w:rsid w:val="00EB4093"/>
    <w:rsid w:val="00EB46F3"/>
    <w:rsid w:val="00EB4958"/>
    <w:rsid w:val="00EB6F09"/>
    <w:rsid w:val="00EC1371"/>
    <w:rsid w:val="00EC2445"/>
    <w:rsid w:val="00EC33B2"/>
    <w:rsid w:val="00EC3796"/>
    <w:rsid w:val="00EC41A4"/>
    <w:rsid w:val="00EC5D78"/>
    <w:rsid w:val="00EC6563"/>
    <w:rsid w:val="00EC708B"/>
    <w:rsid w:val="00EC7294"/>
    <w:rsid w:val="00EC7555"/>
    <w:rsid w:val="00EC7728"/>
    <w:rsid w:val="00ED0109"/>
    <w:rsid w:val="00ED0680"/>
    <w:rsid w:val="00ED10A6"/>
    <w:rsid w:val="00ED1FCF"/>
    <w:rsid w:val="00ED27B9"/>
    <w:rsid w:val="00ED2905"/>
    <w:rsid w:val="00ED3D65"/>
    <w:rsid w:val="00ED7E7A"/>
    <w:rsid w:val="00EE0D8C"/>
    <w:rsid w:val="00EE149D"/>
    <w:rsid w:val="00EE172B"/>
    <w:rsid w:val="00EE3F56"/>
    <w:rsid w:val="00EE4010"/>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13C"/>
    <w:rsid w:val="00F11B23"/>
    <w:rsid w:val="00F1344F"/>
    <w:rsid w:val="00F13850"/>
    <w:rsid w:val="00F13A34"/>
    <w:rsid w:val="00F146CB"/>
    <w:rsid w:val="00F14B1E"/>
    <w:rsid w:val="00F15D92"/>
    <w:rsid w:val="00F21AB1"/>
    <w:rsid w:val="00F220EF"/>
    <w:rsid w:val="00F2298C"/>
    <w:rsid w:val="00F24CF2"/>
    <w:rsid w:val="00F25235"/>
    <w:rsid w:val="00F254F6"/>
    <w:rsid w:val="00F3022D"/>
    <w:rsid w:val="00F30708"/>
    <w:rsid w:val="00F31B3B"/>
    <w:rsid w:val="00F31B4C"/>
    <w:rsid w:val="00F31E35"/>
    <w:rsid w:val="00F3228A"/>
    <w:rsid w:val="00F3395E"/>
    <w:rsid w:val="00F33A72"/>
    <w:rsid w:val="00F3415D"/>
    <w:rsid w:val="00F363F1"/>
    <w:rsid w:val="00F37256"/>
    <w:rsid w:val="00F43DFC"/>
    <w:rsid w:val="00F45E5A"/>
    <w:rsid w:val="00F50172"/>
    <w:rsid w:val="00F54740"/>
    <w:rsid w:val="00F565D0"/>
    <w:rsid w:val="00F57998"/>
    <w:rsid w:val="00F57A3E"/>
    <w:rsid w:val="00F62899"/>
    <w:rsid w:val="00F637A9"/>
    <w:rsid w:val="00F63A4A"/>
    <w:rsid w:val="00F63E31"/>
    <w:rsid w:val="00F645AE"/>
    <w:rsid w:val="00F67BEC"/>
    <w:rsid w:val="00F67D00"/>
    <w:rsid w:val="00F67D2C"/>
    <w:rsid w:val="00F70011"/>
    <w:rsid w:val="00F720FA"/>
    <w:rsid w:val="00F733B2"/>
    <w:rsid w:val="00F75DF6"/>
    <w:rsid w:val="00F75E4F"/>
    <w:rsid w:val="00F772EA"/>
    <w:rsid w:val="00F77698"/>
    <w:rsid w:val="00F8213A"/>
    <w:rsid w:val="00F83BC2"/>
    <w:rsid w:val="00F84ED2"/>
    <w:rsid w:val="00F87AC1"/>
    <w:rsid w:val="00F90290"/>
    <w:rsid w:val="00F915B8"/>
    <w:rsid w:val="00F91B3B"/>
    <w:rsid w:val="00F94EC0"/>
    <w:rsid w:val="00F976C6"/>
    <w:rsid w:val="00FA0C52"/>
    <w:rsid w:val="00FA215D"/>
    <w:rsid w:val="00FA2451"/>
    <w:rsid w:val="00FA2726"/>
    <w:rsid w:val="00FA3FB9"/>
    <w:rsid w:val="00FA4442"/>
    <w:rsid w:val="00FA457D"/>
    <w:rsid w:val="00FA6E33"/>
    <w:rsid w:val="00FA72B1"/>
    <w:rsid w:val="00FB2D80"/>
    <w:rsid w:val="00FB47DB"/>
    <w:rsid w:val="00FB4ED3"/>
    <w:rsid w:val="00FB7060"/>
    <w:rsid w:val="00FC298D"/>
    <w:rsid w:val="00FC479C"/>
    <w:rsid w:val="00FC6E57"/>
    <w:rsid w:val="00FC7151"/>
    <w:rsid w:val="00FD0560"/>
    <w:rsid w:val="00FD06AC"/>
    <w:rsid w:val="00FD0C02"/>
    <w:rsid w:val="00FD1FCF"/>
    <w:rsid w:val="00FD282F"/>
    <w:rsid w:val="00FD6EAA"/>
    <w:rsid w:val="00FE0ABB"/>
    <w:rsid w:val="00FE141F"/>
    <w:rsid w:val="00FE20F0"/>
    <w:rsid w:val="00FE5EFA"/>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apple-converted-space">
    <w:name w:val="apple-converted-space"/>
    <w:basedOn w:val="DefaultParagraphFont"/>
    <w:rsid w:val="00856D30"/>
  </w:style>
  <w:style w:type="character" w:styleId="Hyperlink">
    <w:name w:val="Hyperlink"/>
    <w:basedOn w:val="DefaultParagraphFont"/>
    <w:uiPriority w:val="99"/>
    <w:unhideWhenUsed/>
    <w:rsid w:val="00856D30"/>
    <w:rPr>
      <w:color w:val="0000FF"/>
      <w:u w:val="single"/>
    </w:rPr>
  </w:style>
  <w:style w:type="character" w:customStyle="1" w:styleId="mc">
    <w:name w:val="mc"/>
    <w:basedOn w:val="DefaultParagraphFont"/>
    <w:rsid w:val="0085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4644-542A-46C2-AB11-F28581BB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4</cp:revision>
  <dcterms:created xsi:type="dcterms:W3CDTF">2023-02-15T14:02:00Z</dcterms:created>
  <dcterms:modified xsi:type="dcterms:W3CDTF">2023-02-16T18:31:00Z</dcterms:modified>
</cp:coreProperties>
</file>