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096D6" w14:textId="77777777" w:rsidR="00354A12" w:rsidRPr="003C36E9" w:rsidRDefault="00354A12" w:rsidP="00354A12">
      <w:pPr>
        <w:spacing w:line="360" w:lineRule="auto"/>
        <w:jc w:val="both"/>
        <w:rPr>
          <w:rFonts w:ascii="Times New Roman" w:hAnsi="Times New Roman" w:cs="Times New Roman"/>
          <w:sz w:val="28"/>
          <w:szCs w:val="28"/>
        </w:rPr>
      </w:pPr>
      <w:bookmarkStart w:id="0" w:name="_GoBack"/>
      <w:bookmarkEnd w:id="0"/>
    </w:p>
    <w:p w14:paraId="66E7569F" w14:textId="77777777" w:rsidR="00EA1AAE" w:rsidRDefault="00EA1AAE" w:rsidP="00EA1AAE">
      <w:pPr>
        <w:spacing w:line="360" w:lineRule="auto"/>
        <w:jc w:val="center"/>
        <w:rPr>
          <w:rFonts w:ascii="Times New Roman" w:hAnsi="Times New Roman" w:cs="Times New Roman"/>
          <w:sz w:val="28"/>
          <w:szCs w:val="28"/>
        </w:rPr>
      </w:pPr>
      <w:r>
        <w:rPr>
          <w:noProof/>
          <w:lang w:eastAsia="en-ZA"/>
        </w:rPr>
        <w:drawing>
          <wp:inline distT="0" distB="0" distL="0" distR="0" wp14:anchorId="3EA44679" wp14:editId="3F305292">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53F30B85" w14:textId="77777777" w:rsidR="00EA1AAE" w:rsidRDefault="00EA1AAE" w:rsidP="00EA1AAE">
      <w:pPr>
        <w:spacing w:line="360" w:lineRule="auto"/>
        <w:jc w:val="center"/>
        <w:rPr>
          <w:rFonts w:ascii="Times New Roman" w:hAnsi="Times New Roman" w:cs="Times New Roman"/>
          <w:sz w:val="28"/>
          <w:szCs w:val="28"/>
        </w:rPr>
      </w:pPr>
    </w:p>
    <w:p w14:paraId="2E0DCD87" w14:textId="77777777" w:rsidR="00160558" w:rsidRPr="00701B17" w:rsidRDefault="00160558" w:rsidP="00160558">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14:paraId="62927035" w14:textId="77777777" w:rsidR="00160558" w:rsidRPr="00701B17" w:rsidRDefault="00160558" w:rsidP="001605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701B17">
        <w:rPr>
          <w:rFonts w:ascii="Times New Roman" w:hAnsi="Times New Roman" w:cs="Times New Roman"/>
          <w:b/>
          <w:sz w:val="28"/>
          <w:szCs w:val="28"/>
        </w:rPr>
        <w:t xml:space="preserve">EASTERN CAPE DIVISION, </w:t>
      </w:r>
      <w:r>
        <w:rPr>
          <w:rFonts w:ascii="Times New Roman" w:hAnsi="Times New Roman" w:cs="Times New Roman"/>
          <w:b/>
          <w:sz w:val="28"/>
          <w:szCs w:val="28"/>
        </w:rPr>
        <w:t>EAST LONDON CIRCUIT COURT)</w:t>
      </w:r>
    </w:p>
    <w:p w14:paraId="26E79BFD" w14:textId="77777777" w:rsidR="00EA1AAE" w:rsidRDefault="00EA1AAE" w:rsidP="00EA1AAE">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14:paraId="1E58009E" w14:textId="77777777" w:rsidR="00EA1AAE" w:rsidRPr="00701B17" w:rsidRDefault="00EA1AAE" w:rsidP="00EA1AAE">
      <w:pPr>
        <w:spacing w:line="360" w:lineRule="auto"/>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r w:rsidRPr="00701B17">
        <w:rPr>
          <w:rFonts w:ascii="Times New Roman" w:hAnsi="Times New Roman" w:cs="Times New Roman"/>
          <w:b/>
          <w:sz w:val="28"/>
          <w:szCs w:val="28"/>
        </w:rPr>
        <w:t xml:space="preserve">CASE NO. </w:t>
      </w:r>
      <w:r w:rsidR="00160558">
        <w:rPr>
          <w:rFonts w:ascii="Times New Roman" w:hAnsi="Times New Roman" w:cs="Times New Roman"/>
          <w:b/>
          <w:sz w:val="28"/>
          <w:szCs w:val="28"/>
        </w:rPr>
        <w:t>CC72/2019</w:t>
      </w:r>
    </w:p>
    <w:p w14:paraId="311C80B8" w14:textId="77777777" w:rsidR="00EA1AAE" w:rsidRDefault="00EA1AAE" w:rsidP="00EA1AAE">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D82EC16" w14:textId="77777777" w:rsidR="00160558" w:rsidRDefault="00160558" w:rsidP="00EA1AAE">
      <w:pPr>
        <w:spacing w:line="360" w:lineRule="auto"/>
        <w:jc w:val="both"/>
        <w:rPr>
          <w:rFonts w:ascii="Times New Roman" w:hAnsi="Times New Roman" w:cs="Times New Roman"/>
          <w:sz w:val="28"/>
          <w:szCs w:val="28"/>
        </w:rPr>
      </w:pPr>
    </w:p>
    <w:p w14:paraId="12A7C849" w14:textId="77777777" w:rsidR="00160558" w:rsidRDefault="00160558" w:rsidP="00160558">
      <w:pPr>
        <w:spacing w:line="360" w:lineRule="auto"/>
        <w:jc w:val="both"/>
        <w:rPr>
          <w:rFonts w:ascii="Times New Roman" w:hAnsi="Times New Roman" w:cs="Times New Roman"/>
          <w:sz w:val="28"/>
          <w:szCs w:val="28"/>
        </w:rPr>
      </w:pPr>
      <w:r>
        <w:rPr>
          <w:rFonts w:ascii="Times New Roman" w:hAnsi="Times New Roman" w:cs="Times New Roman"/>
          <w:b/>
          <w:sz w:val="28"/>
          <w:szCs w:val="28"/>
        </w:rPr>
        <w:t>THE STATE</w:t>
      </w:r>
    </w:p>
    <w:p w14:paraId="49BB4627" w14:textId="77777777" w:rsidR="00160558" w:rsidRDefault="00160558" w:rsidP="00160558">
      <w:pPr>
        <w:spacing w:line="360" w:lineRule="auto"/>
        <w:jc w:val="both"/>
        <w:rPr>
          <w:rFonts w:ascii="Times New Roman" w:hAnsi="Times New Roman" w:cs="Times New Roman"/>
          <w:sz w:val="28"/>
          <w:szCs w:val="28"/>
        </w:rPr>
      </w:pPr>
    </w:p>
    <w:p w14:paraId="307F1166" w14:textId="77777777" w:rsidR="00160558" w:rsidRDefault="00160558" w:rsidP="00160558">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15CB379F" w14:textId="77777777" w:rsidR="00160558" w:rsidRDefault="00160558" w:rsidP="00160558">
      <w:pPr>
        <w:spacing w:line="360" w:lineRule="auto"/>
        <w:jc w:val="both"/>
        <w:rPr>
          <w:rFonts w:ascii="Times New Roman" w:hAnsi="Times New Roman" w:cs="Times New Roman"/>
          <w:sz w:val="28"/>
          <w:szCs w:val="28"/>
        </w:rPr>
      </w:pPr>
    </w:p>
    <w:p w14:paraId="30217FC4" w14:textId="77777777" w:rsidR="00160558" w:rsidRPr="00160558" w:rsidRDefault="00160558" w:rsidP="00160558">
      <w:pPr>
        <w:spacing w:line="360" w:lineRule="auto"/>
        <w:jc w:val="both"/>
        <w:rPr>
          <w:rFonts w:ascii="Times New Roman" w:hAnsi="Times New Roman" w:cs="Times New Roman"/>
          <w:b/>
          <w:sz w:val="28"/>
          <w:szCs w:val="28"/>
        </w:rPr>
      </w:pPr>
      <w:r>
        <w:rPr>
          <w:rFonts w:ascii="Times New Roman" w:hAnsi="Times New Roman" w:cs="Times New Roman"/>
          <w:b/>
          <w:sz w:val="28"/>
          <w:szCs w:val="28"/>
        </w:rPr>
        <w:t>PATRICK UGOKA</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160558">
        <w:rPr>
          <w:rFonts w:ascii="Times New Roman" w:hAnsi="Times New Roman" w:cs="Times New Roman"/>
          <w:b/>
          <w:sz w:val="28"/>
          <w:szCs w:val="28"/>
        </w:rPr>
        <w:t>ACCUSED</w:t>
      </w:r>
    </w:p>
    <w:p w14:paraId="102F541A" w14:textId="77777777" w:rsidR="00160558" w:rsidRDefault="00160558" w:rsidP="00EA1AAE">
      <w:pPr>
        <w:spacing w:line="360" w:lineRule="auto"/>
        <w:jc w:val="both"/>
        <w:rPr>
          <w:rFonts w:ascii="Times New Roman" w:hAnsi="Times New Roman" w:cs="Times New Roman"/>
          <w:sz w:val="28"/>
          <w:szCs w:val="28"/>
        </w:rPr>
      </w:pPr>
    </w:p>
    <w:p w14:paraId="02BA3161"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3C05181A" w14:textId="77777777" w:rsidR="00354A12" w:rsidRPr="003C36E9" w:rsidRDefault="00354A12" w:rsidP="00354A12">
      <w:pPr>
        <w:spacing w:line="240" w:lineRule="auto"/>
        <w:jc w:val="both"/>
        <w:rPr>
          <w:rFonts w:ascii="Times New Roman" w:hAnsi="Times New Roman" w:cs="Times New Roman"/>
          <w:sz w:val="28"/>
          <w:szCs w:val="28"/>
        </w:rPr>
      </w:pPr>
    </w:p>
    <w:p w14:paraId="2A7A6A53"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14:paraId="354DCA92"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04610368" w14:textId="77777777" w:rsidR="00354A12" w:rsidRPr="003C36E9" w:rsidRDefault="00354A12" w:rsidP="00354A12">
      <w:pPr>
        <w:spacing w:line="240" w:lineRule="auto"/>
        <w:jc w:val="both"/>
        <w:rPr>
          <w:rFonts w:ascii="Times New Roman" w:hAnsi="Times New Roman" w:cs="Times New Roman"/>
          <w:sz w:val="28"/>
          <w:szCs w:val="28"/>
        </w:rPr>
      </w:pPr>
    </w:p>
    <w:p w14:paraId="18CC6162" w14:textId="77777777" w:rsidR="00354A12" w:rsidRPr="003C36E9" w:rsidRDefault="00354A12" w:rsidP="00354A12">
      <w:pPr>
        <w:spacing w:line="360" w:lineRule="auto"/>
        <w:jc w:val="both"/>
        <w:rPr>
          <w:rFonts w:ascii="Times New Roman" w:hAnsi="Times New Roman" w:cs="Times New Roman"/>
          <w:b/>
          <w:sz w:val="28"/>
          <w:szCs w:val="28"/>
        </w:rPr>
      </w:pPr>
    </w:p>
    <w:p w14:paraId="73C0B3B5" w14:textId="77777777"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14:paraId="42BB0F0E" w14:textId="77777777" w:rsidR="00354A12" w:rsidRPr="00EA1AAE" w:rsidRDefault="00354A12" w:rsidP="00354A12">
      <w:pPr>
        <w:spacing w:line="360" w:lineRule="auto"/>
        <w:jc w:val="both"/>
        <w:rPr>
          <w:rFonts w:ascii="Times New Roman" w:hAnsi="Times New Roman" w:cs="Times New Roman"/>
          <w:b/>
          <w:sz w:val="28"/>
          <w:szCs w:val="28"/>
        </w:rPr>
      </w:pPr>
    </w:p>
    <w:p w14:paraId="1D3D5FEF" w14:textId="3304E189" w:rsidR="00DD6E7E"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5F3004">
        <w:rPr>
          <w:rFonts w:ascii="Times New Roman" w:hAnsi="Times New Roman"/>
          <w:sz w:val="28"/>
          <w:szCs w:val="28"/>
        </w:rPr>
        <w:t>The charge against the accused is one of rape in contravention of section 3 of the Criminal Law (Sexual Offences and Related Matters) Amendment Act, 32 of 2007 read with section 94 of the Criminal Procedure Act 51 o</w:t>
      </w:r>
      <w:r w:rsidR="00E374F3">
        <w:rPr>
          <w:rFonts w:ascii="Times New Roman" w:hAnsi="Times New Roman"/>
          <w:sz w:val="28"/>
          <w:szCs w:val="28"/>
        </w:rPr>
        <w:t>f 1977. The State alleges that on divers occasions</w:t>
      </w:r>
      <w:r w:rsidR="009B6F0F">
        <w:rPr>
          <w:rFonts w:ascii="Times New Roman" w:hAnsi="Times New Roman"/>
          <w:sz w:val="28"/>
          <w:szCs w:val="28"/>
        </w:rPr>
        <w:t xml:space="preserve"> between 2017 and September 2018, and in </w:t>
      </w:r>
      <w:r w:rsidR="009B6F0F">
        <w:rPr>
          <w:rFonts w:ascii="Times New Roman" w:hAnsi="Times New Roman"/>
          <w:sz w:val="28"/>
          <w:szCs w:val="28"/>
        </w:rPr>
        <w:lastRenderedPageBreak/>
        <w:t>Cambridge, East London, the accused unlawfully and intentionally committed acts of sexual penetration with MD, a girl aged 11 to 12 years, by having repeated intercourse with her per</w:t>
      </w:r>
      <w:r w:rsidR="00F0234E">
        <w:rPr>
          <w:rFonts w:ascii="Times New Roman" w:hAnsi="Times New Roman"/>
          <w:sz w:val="28"/>
          <w:szCs w:val="28"/>
        </w:rPr>
        <w:t xml:space="preserve"> </w:t>
      </w:r>
      <w:r w:rsidR="00F0234E" w:rsidRPr="00CF4335">
        <w:rPr>
          <w:rFonts w:ascii="Times New Roman" w:hAnsi="Times New Roman"/>
          <w:i/>
          <w:sz w:val="28"/>
          <w:szCs w:val="28"/>
        </w:rPr>
        <w:t>vaginam</w:t>
      </w:r>
      <w:r w:rsidR="009B6F0F">
        <w:rPr>
          <w:rFonts w:ascii="Times New Roman" w:hAnsi="Times New Roman"/>
          <w:sz w:val="28"/>
          <w:szCs w:val="28"/>
        </w:rPr>
        <w:t xml:space="preserve"> without her consent and against her will.</w:t>
      </w:r>
      <w:r w:rsidR="00BC690B">
        <w:rPr>
          <w:rFonts w:ascii="Times New Roman" w:hAnsi="Times New Roman"/>
          <w:sz w:val="28"/>
          <w:szCs w:val="28"/>
        </w:rPr>
        <w:t xml:space="preserve"> The trial commenced on 31 August 2021.</w:t>
      </w:r>
      <w:r w:rsidR="007E750C">
        <w:rPr>
          <w:rFonts w:ascii="Times New Roman" w:hAnsi="Times New Roman"/>
          <w:sz w:val="28"/>
          <w:szCs w:val="28"/>
        </w:rPr>
        <w:t xml:space="preserve"> The accused pleaded not guilty to the charge. Save to deny the allegations against him, the accused did not tender a plea explanation.</w:t>
      </w:r>
    </w:p>
    <w:p w14:paraId="5696111D" w14:textId="246432FD" w:rsidR="007E750C"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7E750C">
        <w:rPr>
          <w:rFonts w:ascii="Times New Roman" w:hAnsi="Times New Roman"/>
          <w:sz w:val="28"/>
          <w:szCs w:val="28"/>
        </w:rPr>
        <w:t xml:space="preserve">Before closing its case, the </w:t>
      </w:r>
      <w:r w:rsidR="00B167C4">
        <w:rPr>
          <w:rFonts w:ascii="Times New Roman" w:hAnsi="Times New Roman"/>
          <w:sz w:val="28"/>
          <w:szCs w:val="28"/>
        </w:rPr>
        <w:t>State</w:t>
      </w:r>
      <w:r w:rsidR="007E750C">
        <w:rPr>
          <w:rFonts w:ascii="Times New Roman" w:hAnsi="Times New Roman"/>
          <w:sz w:val="28"/>
          <w:szCs w:val="28"/>
        </w:rPr>
        <w:t xml:space="preserve"> led the evidence of 5 witnesses, namely: MD, Ms Okuhle Mapholoba, </w:t>
      </w:r>
      <w:r w:rsidR="00A95DB0">
        <w:rPr>
          <w:rFonts w:ascii="Times New Roman" w:hAnsi="Times New Roman"/>
          <w:sz w:val="28"/>
          <w:szCs w:val="28"/>
        </w:rPr>
        <w:t>Ms Nomphelo Nikelo, Ms Sivuyisiwe Ugoka, and Ms Nomvuyo Makinana, a nurse.</w:t>
      </w:r>
    </w:p>
    <w:p w14:paraId="561B75B4" w14:textId="1A1B4CF6" w:rsidR="00A95DB0"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A95DB0">
        <w:rPr>
          <w:rFonts w:ascii="Times New Roman" w:hAnsi="Times New Roman"/>
          <w:sz w:val="28"/>
          <w:szCs w:val="28"/>
        </w:rPr>
        <w:t>MD testified through an</w:t>
      </w:r>
      <w:r w:rsidR="00375BC7">
        <w:rPr>
          <w:rFonts w:ascii="Times New Roman" w:hAnsi="Times New Roman"/>
          <w:sz w:val="28"/>
          <w:szCs w:val="28"/>
        </w:rPr>
        <w:t xml:space="preserve"> isiXhosa speaking intermediary</w:t>
      </w:r>
      <w:r w:rsidR="00CF4335">
        <w:rPr>
          <w:rFonts w:ascii="Times New Roman" w:hAnsi="Times New Roman"/>
          <w:sz w:val="28"/>
          <w:szCs w:val="28"/>
        </w:rPr>
        <w:t>. For the benefit of the accused, the evidence was further translated into Igbo by an interpreter.</w:t>
      </w:r>
      <w:r w:rsidR="00201B51">
        <w:rPr>
          <w:rFonts w:ascii="Times New Roman" w:hAnsi="Times New Roman"/>
          <w:sz w:val="28"/>
          <w:szCs w:val="28"/>
        </w:rPr>
        <w:t xml:space="preserve"> The accused had at all times during the conduct of the proceedings been legally represented, and although at some point, the number of his legal representatives </w:t>
      </w:r>
      <w:r w:rsidR="009A1D1F">
        <w:rPr>
          <w:rFonts w:ascii="Times New Roman" w:hAnsi="Times New Roman"/>
          <w:sz w:val="28"/>
          <w:szCs w:val="28"/>
        </w:rPr>
        <w:t xml:space="preserve">on his defence team </w:t>
      </w:r>
      <w:r w:rsidR="00201B51">
        <w:rPr>
          <w:rFonts w:ascii="Times New Roman" w:hAnsi="Times New Roman"/>
          <w:sz w:val="28"/>
          <w:szCs w:val="28"/>
        </w:rPr>
        <w:t>had</w:t>
      </w:r>
      <w:r w:rsidR="002C1DCB" w:rsidRPr="002C1DCB">
        <w:rPr>
          <w:rFonts w:ascii="Times New Roman" w:hAnsi="Times New Roman"/>
          <w:sz w:val="28"/>
          <w:szCs w:val="28"/>
        </w:rPr>
        <w:t xml:space="preserve"> </w:t>
      </w:r>
      <w:r w:rsidR="002C1DCB">
        <w:rPr>
          <w:rFonts w:ascii="Times New Roman" w:hAnsi="Times New Roman"/>
          <w:sz w:val="28"/>
          <w:szCs w:val="28"/>
        </w:rPr>
        <w:t>altered</w:t>
      </w:r>
      <w:r w:rsidR="00201B51">
        <w:rPr>
          <w:rFonts w:ascii="Times New Roman" w:hAnsi="Times New Roman"/>
          <w:sz w:val="28"/>
          <w:szCs w:val="28"/>
        </w:rPr>
        <w:t>, this had no material effect on the conduct of the proceedings.</w:t>
      </w:r>
    </w:p>
    <w:p w14:paraId="767F5101" w14:textId="35DDD403" w:rsidR="00DD6E7E"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2C1DCB">
        <w:rPr>
          <w:rFonts w:ascii="Times New Roman" w:hAnsi="Times New Roman"/>
          <w:sz w:val="28"/>
          <w:szCs w:val="28"/>
        </w:rPr>
        <w:t xml:space="preserve">At the close of the case for the </w:t>
      </w:r>
      <w:r w:rsidR="00B167C4">
        <w:rPr>
          <w:rFonts w:ascii="Times New Roman" w:hAnsi="Times New Roman"/>
          <w:sz w:val="28"/>
          <w:szCs w:val="28"/>
        </w:rPr>
        <w:t>State</w:t>
      </w:r>
      <w:r w:rsidR="002C1DCB">
        <w:rPr>
          <w:rFonts w:ascii="Times New Roman" w:hAnsi="Times New Roman"/>
          <w:sz w:val="28"/>
          <w:szCs w:val="28"/>
        </w:rPr>
        <w:t>,</w:t>
      </w:r>
      <w:r w:rsidR="009A1D1F">
        <w:rPr>
          <w:rFonts w:ascii="Times New Roman" w:hAnsi="Times New Roman"/>
          <w:sz w:val="28"/>
          <w:szCs w:val="28"/>
        </w:rPr>
        <w:t xml:space="preserve"> the defence brought an application for the discharge of the accused in terms of section 174 of the Criminal Procedure Act.</w:t>
      </w:r>
    </w:p>
    <w:p w14:paraId="0D5392AB" w14:textId="67D01C62" w:rsidR="009A1D1F" w:rsidRDefault="00467BC2" w:rsidP="00467BC2">
      <w:pPr>
        <w:pStyle w:val="LegalList1"/>
        <w:spacing w:after="0"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9A1D1F">
        <w:rPr>
          <w:rFonts w:ascii="Times New Roman" w:hAnsi="Times New Roman"/>
          <w:sz w:val="28"/>
          <w:szCs w:val="28"/>
        </w:rPr>
        <w:t>Sectio</w:t>
      </w:r>
      <w:r w:rsidR="001A4C58">
        <w:rPr>
          <w:rFonts w:ascii="Times New Roman" w:hAnsi="Times New Roman"/>
          <w:sz w:val="28"/>
          <w:szCs w:val="28"/>
        </w:rPr>
        <w:t xml:space="preserve">n 174 of the </w:t>
      </w:r>
      <w:r w:rsidR="009A1D1F">
        <w:rPr>
          <w:rFonts w:ascii="Times New Roman" w:hAnsi="Times New Roman"/>
          <w:sz w:val="28"/>
          <w:szCs w:val="28"/>
        </w:rPr>
        <w:t>Act provides:</w:t>
      </w:r>
    </w:p>
    <w:p w14:paraId="5A2E74F9" w14:textId="77777777" w:rsidR="009A1D1F" w:rsidRPr="00C20B4D" w:rsidRDefault="009A1D1F" w:rsidP="00C20B4D">
      <w:pPr>
        <w:pStyle w:val="LegalList1"/>
        <w:spacing w:line="360" w:lineRule="auto"/>
        <w:rPr>
          <w:rFonts w:ascii="Times New Roman" w:hAnsi="Times New Roman"/>
        </w:rPr>
      </w:pPr>
      <w:r w:rsidRPr="00C20B4D">
        <w:rPr>
          <w:rFonts w:ascii="Times New Roman" w:hAnsi="Times New Roman"/>
        </w:rPr>
        <w:t>‘If, at the close of the case for the prosecution at any trial, the court is of the opinion that there is no evidence that the accused committed the offence referred to in the charge</w:t>
      </w:r>
      <w:r w:rsidR="00491519" w:rsidRPr="00C20B4D">
        <w:rPr>
          <w:rFonts w:ascii="Times New Roman" w:hAnsi="Times New Roman"/>
        </w:rPr>
        <w:t xml:space="preserve"> or any offence of which he may be convicted on the charge, it may return a verdict of not guilty.’</w:t>
      </w:r>
    </w:p>
    <w:p w14:paraId="434A5FE8" w14:textId="70F450E4" w:rsidR="00DD6E7E" w:rsidRDefault="00467BC2" w:rsidP="00467BC2">
      <w:pPr>
        <w:pStyle w:val="LegalList1"/>
        <w:spacing w:line="360" w:lineRule="auto"/>
        <w:rPr>
          <w:rFonts w:ascii="Times New Roman" w:hAnsi="Times New Roman"/>
          <w:sz w:val="28"/>
          <w:szCs w:val="28"/>
        </w:rPr>
      </w:pPr>
      <w:r>
        <w:rPr>
          <w:rFonts w:ascii="Times New Roman" w:hAnsi="Times New Roman"/>
          <w:sz w:val="28"/>
          <w:szCs w:val="28"/>
        </w:rPr>
        <w:lastRenderedPageBreak/>
        <w:t>[6]</w:t>
      </w:r>
      <w:r>
        <w:rPr>
          <w:rFonts w:ascii="Times New Roman" w:hAnsi="Times New Roman"/>
          <w:sz w:val="28"/>
          <w:szCs w:val="28"/>
        </w:rPr>
        <w:tab/>
      </w:r>
      <w:r w:rsidR="00C20B4D">
        <w:rPr>
          <w:rFonts w:ascii="Times New Roman" w:hAnsi="Times New Roman"/>
          <w:sz w:val="28"/>
          <w:szCs w:val="28"/>
        </w:rPr>
        <w:t xml:space="preserve">It is well established that the words ‘no evidence’ </w:t>
      </w:r>
      <w:r w:rsidR="00D05ABE">
        <w:rPr>
          <w:rFonts w:ascii="Times New Roman" w:hAnsi="Times New Roman"/>
          <w:sz w:val="28"/>
          <w:szCs w:val="28"/>
        </w:rPr>
        <w:t xml:space="preserve">do </w:t>
      </w:r>
      <w:r w:rsidR="00C20B4D">
        <w:rPr>
          <w:rFonts w:ascii="Times New Roman" w:hAnsi="Times New Roman"/>
          <w:sz w:val="28"/>
          <w:szCs w:val="28"/>
        </w:rPr>
        <w:t>not mean no evidence at all, but rather no evidence on which a reasonable court, acting carefully, might convict.</w:t>
      </w:r>
      <w:r w:rsidR="00C20B4D">
        <w:rPr>
          <w:rStyle w:val="FootnoteReference"/>
          <w:rFonts w:ascii="Times New Roman" w:hAnsi="Times New Roman"/>
          <w:sz w:val="28"/>
          <w:szCs w:val="28"/>
        </w:rPr>
        <w:footnoteReference w:id="1"/>
      </w:r>
    </w:p>
    <w:p w14:paraId="174E0CE4" w14:textId="0073AE5A" w:rsidR="009F6B9B"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7A5886">
        <w:rPr>
          <w:rFonts w:ascii="Times New Roman" w:hAnsi="Times New Roman"/>
          <w:sz w:val="28"/>
          <w:szCs w:val="28"/>
        </w:rPr>
        <w:t xml:space="preserve">Under the present constitutional order, the </w:t>
      </w:r>
      <w:r w:rsidR="00A85C67" w:rsidRPr="00862F6E">
        <w:rPr>
          <w:rFonts w:ascii="Times New Roman" w:hAnsi="Times New Roman"/>
          <w:sz w:val="28"/>
          <w:szCs w:val="28"/>
        </w:rPr>
        <w:t xml:space="preserve">test </w:t>
      </w:r>
      <w:r w:rsidR="007A5886">
        <w:rPr>
          <w:rFonts w:ascii="Times New Roman" w:hAnsi="Times New Roman"/>
          <w:sz w:val="28"/>
          <w:szCs w:val="28"/>
        </w:rPr>
        <w:t xml:space="preserve">as to whether </w:t>
      </w:r>
      <w:r w:rsidR="007A5886" w:rsidRPr="00862F6E">
        <w:rPr>
          <w:rFonts w:ascii="Times New Roman" w:hAnsi="Times New Roman"/>
          <w:sz w:val="28"/>
          <w:szCs w:val="28"/>
        </w:rPr>
        <w:t xml:space="preserve">a court should grant a discharge at the close of the </w:t>
      </w:r>
      <w:r w:rsidR="00B167C4">
        <w:rPr>
          <w:rFonts w:ascii="Times New Roman" w:hAnsi="Times New Roman"/>
          <w:sz w:val="28"/>
          <w:szCs w:val="28"/>
        </w:rPr>
        <w:t>State</w:t>
      </w:r>
      <w:r w:rsidR="007A5886" w:rsidRPr="00862F6E">
        <w:rPr>
          <w:rFonts w:ascii="Times New Roman" w:hAnsi="Times New Roman"/>
          <w:sz w:val="28"/>
          <w:szCs w:val="28"/>
        </w:rPr>
        <w:t xml:space="preserve">’s case </w:t>
      </w:r>
      <w:r w:rsidR="00A85C67" w:rsidRPr="00862F6E">
        <w:rPr>
          <w:rFonts w:ascii="Times New Roman" w:hAnsi="Times New Roman"/>
          <w:sz w:val="28"/>
          <w:szCs w:val="28"/>
        </w:rPr>
        <w:t xml:space="preserve">is </w:t>
      </w:r>
      <w:r w:rsidR="00A85C67" w:rsidRPr="0028797D">
        <w:rPr>
          <w:rFonts w:ascii="Times New Roman" w:hAnsi="Times New Roman"/>
          <w:i/>
          <w:sz w:val="28"/>
          <w:szCs w:val="28"/>
        </w:rPr>
        <w:t>sui generis</w:t>
      </w:r>
      <w:r w:rsidR="00A85C67" w:rsidRPr="00862F6E">
        <w:rPr>
          <w:rFonts w:ascii="Times New Roman" w:hAnsi="Times New Roman"/>
          <w:sz w:val="28"/>
          <w:szCs w:val="28"/>
        </w:rPr>
        <w:t xml:space="preserve"> </w:t>
      </w:r>
      <w:r w:rsidR="009F6B9B">
        <w:rPr>
          <w:rFonts w:ascii="Times New Roman" w:hAnsi="Times New Roman"/>
          <w:sz w:val="28"/>
          <w:szCs w:val="28"/>
        </w:rPr>
        <w:t xml:space="preserve">– it </w:t>
      </w:r>
      <w:r w:rsidR="000E1CA6" w:rsidRPr="00862F6E">
        <w:rPr>
          <w:rFonts w:ascii="Times New Roman" w:hAnsi="Times New Roman"/>
          <w:sz w:val="28"/>
          <w:szCs w:val="28"/>
        </w:rPr>
        <w:t>entails a discretion by the trial court. It is a discretion, which must, self-evidently, be exercised judicially</w:t>
      </w:r>
      <w:r w:rsidR="00A85C67" w:rsidRPr="00862F6E">
        <w:rPr>
          <w:rFonts w:ascii="Times New Roman" w:hAnsi="Times New Roman"/>
          <w:sz w:val="28"/>
          <w:szCs w:val="28"/>
        </w:rPr>
        <w:t xml:space="preserve"> having regard to the specific facts and circumstances of each case.</w:t>
      </w:r>
      <w:r w:rsidR="003E5621" w:rsidRPr="00862F6E">
        <w:rPr>
          <w:rFonts w:ascii="Times New Roman" w:hAnsi="Times New Roman"/>
          <w:sz w:val="28"/>
          <w:szCs w:val="28"/>
        </w:rPr>
        <w:t xml:space="preserve"> </w:t>
      </w:r>
      <w:r w:rsidR="00BF3D71" w:rsidRPr="00862F6E">
        <w:rPr>
          <w:rFonts w:ascii="Times New Roman" w:hAnsi="Times New Roman"/>
          <w:sz w:val="28"/>
          <w:szCs w:val="28"/>
        </w:rPr>
        <w:t xml:space="preserve">The test </w:t>
      </w:r>
      <w:r w:rsidR="00862F6E">
        <w:rPr>
          <w:rFonts w:ascii="Times New Roman" w:hAnsi="Times New Roman"/>
          <w:sz w:val="28"/>
          <w:szCs w:val="28"/>
        </w:rPr>
        <w:t xml:space="preserve">is informed by </w:t>
      </w:r>
      <w:r w:rsidR="00C80212">
        <w:rPr>
          <w:rFonts w:ascii="Times New Roman" w:hAnsi="Times New Roman"/>
          <w:sz w:val="28"/>
          <w:szCs w:val="28"/>
        </w:rPr>
        <w:t>fair trial</w:t>
      </w:r>
      <w:r w:rsidR="00FC6EA1">
        <w:rPr>
          <w:rFonts w:ascii="Times New Roman" w:hAnsi="Times New Roman"/>
          <w:sz w:val="28"/>
          <w:szCs w:val="28"/>
        </w:rPr>
        <w:t xml:space="preserve"> principles</w:t>
      </w:r>
      <w:r w:rsidR="00C80212">
        <w:rPr>
          <w:rStyle w:val="FootnoteReference"/>
          <w:rFonts w:ascii="Times New Roman" w:hAnsi="Times New Roman"/>
          <w:sz w:val="28"/>
          <w:szCs w:val="28"/>
        </w:rPr>
        <w:footnoteReference w:id="2"/>
      </w:r>
      <w:r w:rsidR="00101246">
        <w:rPr>
          <w:rFonts w:ascii="Times New Roman" w:hAnsi="Times New Roman"/>
          <w:sz w:val="28"/>
          <w:szCs w:val="28"/>
        </w:rPr>
        <w:t>.</w:t>
      </w:r>
    </w:p>
    <w:p w14:paraId="285156DA" w14:textId="6D20052E" w:rsidR="003B6965" w:rsidRDefault="00467BC2" w:rsidP="00467BC2">
      <w:pPr>
        <w:pStyle w:val="LegalList1"/>
        <w:autoSpaceDE w:val="0"/>
        <w:autoSpaceDN w:val="0"/>
        <w:adjustRightInd w:val="0"/>
        <w:spacing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101246" w:rsidRPr="00D069CB">
        <w:rPr>
          <w:rFonts w:ascii="Times New Roman" w:hAnsi="Times New Roman"/>
          <w:sz w:val="28"/>
          <w:szCs w:val="28"/>
        </w:rPr>
        <w:t xml:space="preserve">In </w:t>
      </w:r>
      <w:r w:rsidR="00101246" w:rsidRPr="004D2524">
        <w:rPr>
          <w:rFonts w:ascii="Times New Roman" w:hAnsi="Times New Roman"/>
          <w:i/>
          <w:sz w:val="28"/>
          <w:szCs w:val="28"/>
        </w:rPr>
        <w:t>S v Lubaxa</w:t>
      </w:r>
      <w:r w:rsidR="0028797D">
        <w:rPr>
          <w:rStyle w:val="FootnoteReference"/>
          <w:rFonts w:ascii="Times New Roman" w:hAnsi="Times New Roman"/>
          <w:sz w:val="28"/>
          <w:szCs w:val="28"/>
        </w:rPr>
        <w:footnoteReference w:id="3"/>
      </w:r>
      <w:r w:rsidR="00D05ABE" w:rsidRPr="00D069CB">
        <w:rPr>
          <w:rFonts w:ascii="Times New Roman" w:hAnsi="Times New Roman"/>
          <w:sz w:val="28"/>
          <w:szCs w:val="28"/>
        </w:rPr>
        <w:t xml:space="preserve"> </w:t>
      </w:r>
      <w:r w:rsidR="00186680" w:rsidRPr="00D069CB">
        <w:rPr>
          <w:rFonts w:ascii="Times New Roman" w:hAnsi="Times New Roman"/>
          <w:sz w:val="28"/>
          <w:szCs w:val="28"/>
        </w:rPr>
        <w:t xml:space="preserve">the </w:t>
      </w:r>
      <w:r w:rsidR="009F6B9B" w:rsidRPr="00D069CB">
        <w:rPr>
          <w:rFonts w:ascii="Times New Roman" w:hAnsi="Times New Roman"/>
          <w:sz w:val="28"/>
          <w:szCs w:val="28"/>
        </w:rPr>
        <w:t xml:space="preserve">Supreme Court of Appeal </w:t>
      </w:r>
      <w:r w:rsidR="00D42C04">
        <w:rPr>
          <w:rFonts w:ascii="Times New Roman" w:hAnsi="Times New Roman"/>
          <w:sz w:val="28"/>
          <w:szCs w:val="28"/>
        </w:rPr>
        <w:t>discarded</w:t>
      </w:r>
      <w:r w:rsidR="00D42C04" w:rsidRPr="00D069CB">
        <w:rPr>
          <w:rFonts w:ascii="Times New Roman" w:hAnsi="Times New Roman"/>
          <w:sz w:val="28"/>
          <w:szCs w:val="28"/>
        </w:rPr>
        <w:t xml:space="preserve"> </w:t>
      </w:r>
      <w:r w:rsidR="009F6B9B" w:rsidRPr="00D069CB">
        <w:rPr>
          <w:rFonts w:ascii="Times New Roman" w:hAnsi="Times New Roman"/>
          <w:sz w:val="28"/>
          <w:szCs w:val="28"/>
        </w:rPr>
        <w:t xml:space="preserve">the </w:t>
      </w:r>
      <w:r w:rsidR="00186680" w:rsidRPr="00D069CB">
        <w:rPr>
          <w:rFonts w:ascii="Times New Roman" w:hAnsi="Times New Roman"/>
          <w:sz w:val="28"/>
          <w:szCs w:val="28"/>
        </w:rPr>
        <w:t>contentious pre-constitutional consideration</w:t>
      </w:r>
      <w:r w:rsidR="00187E38" w:rsidRPr="00D069CB">
        <w:rPr>
          <w:rFonts w:ascii="Times New Roman" w:hAnsi="Times New Roman"/>
          <w:sz w:val="28"/>
          <w:szCs w:val="28"/>
        </w:rPr>
        <w:t xml:space="preserve"> </w:t>
      </w:r>
      <w:r w:rsidR="009F6B9B" w:rsidRPr="00D069CB">
        <w:rPr>
          <w:rFonts w:ascii="Times New Roman" w:hAnsi="Times New Roman"/>
          <w:sz w:val="28"/>
          <w:szCs w:val="28"/>
        </w:rPr>
        <w:t xml:space="preserve">that a discharge should be refused </w:t>
      </w:r>
      <w:r w:rsidR="00E40C3B" w:rsidRPr="00D069CB">
        <w:rPr>
          <w:rFonts w:ascii="Times New Roman" w:hAnsi="Times New Roman"/>
          <w:sz w:val="28"/>
          <w:szCs w:val="28"/>
        </w:rPr>
        <w:t xml:space="preserve">in the event </w:t>
      </w:r>
      <w:r w:rsidR="00187E38" w:rsidRPr="00D069CB">
        <w:rPr>
          <w:rFonts w:ascii="Times New Roman" w:hAnsi="Times New Roman"/>
          <w:sz w:val="28"/>
          <w:szCs w:val="28"/>
        </w:rPr>
        <w:t>of a reasonable possibility that the defence evidence may supplement the State</w:t>
      </w:r>
      <w:r w:rsidR="00B14377">
        <w:rPr>
          <w:rFonts w:ascii="Times New Roman" w:hAnsi="Times New Roman"/>
          <w:sz w:val="28"/>
          <w:szCs w:val="28"/>
        </w:rPr>
        <w:t>’s</w:t>
      </w:r>
      <w:r w:rsidR="00187E38" w:rsidRPr="00D069CB">
        <w:rPr>
          <w:rFonts w:ascii="Times New Roman" w:hAnsi="Times New Roman"/>
          <w:sz w:val="28"/>
          <w:szCs w:val="28"/>
        </w:rPr>
        <w:t xml:space="preserve"> case</w:t>
      </w:r>
      <w:r w:rsidR="009F6B9B" w:rsidRPr="00D069CB">
        <w:rPr>
          <w:rFonts w:ascii="Times New Roman" w:hAnsi="Times New Roman"/>
          <w:sz w:val="28"/>
          <w:szCs w:val="28"/>
        </w:rPr>
        <w:t>.</w:t>
      </w:r>
      <w:r w:rsidR="002924EE">
        <w:rPr>
          <w:rStyle w:val="FootnoteReference"/>
          <w:rFonts w:ascii="Times New Roman" w:hAnsi="Times New Roman"/>
          <w:sz w:val="28"/>
          <w:szCs w:val="28"/>
        </w:rPr>
        <w:footnoteReference w:id="4"/>
      </w:r>
      <w:r w:rsidR="00D069CB">
        <w:rPr>
          <w:rFonts w:ascii="Times New Roman" w:hAnsi="Times New Roman"/>
          <w:sz w:val="28"/>
          <w:szCs w:val="28"/>
        </w:rPr>
        <w:t xml:space="preserve"> </w:t>
      </w:r>
      <w:r w:rsidR="00E40C3B" w:rsidRPr="00D069CB">
        <w:rPr>
          <w:rFonts w:ascii="Times New Roman" w:hAnsi="Times New Roman"/>
          <w:sz w:val="28"/>
          <w:szCs w:val="28"/>
        </w:rPr>
        <w:t xml:space="preserve">The court </w:t>
      </w:r>
      <w:r w:rsidR="009F6B9B" w:rsidRPr="00D069CB">
        <w:rPr>
          <w:rFonts w:ascii="Times New Roman" w:hAnsi="Times New Roman"/>
          <w:sz w:val="28"/>
          <w:szCs w:val="28"/>
        </w:rPr>
        <w:t xml:space="preserve">maintained that to </w:t>
      </w:r>
      <w:r w:rsidR="0032565C">
        <w:rPr>
          <w:rFonts w:ascii="Times New Roman" w:hAnsi="Times New Roman"/>
          <w:sz w:val="28"/>
          <w:szCs w:val="28"/>
        </w:rPr>
        <w:t>compel</w:t>
      </w:r>
      <w:r w:rsidR="0032565C" w:rsidRPr="00D069CB">
        <w:rPr>
          <w:rFonts w:ascii="Times New Roman" w:hAnsi="Times New Roman"/>
          <w:sz w:val="28"/>
          <w:szCs w:val="28"/>
        </w:rPr>
        <w:t xml:space="preserve"> </w:t>
      </w:r>
      <w:r w:rsidR="009F6B9B" w:rsidRPr="00D069CB">
        <w:rPr>
          <w:rFonts w:ascii="Times New Roman" w:hAnsi="Times New Roman"/>
          <w:sz w:val="28"/>
          <w:szCs w:val="28"/>
        </w:rPr>
        <w:t xml:space="preserve">a full trial in the expectation that an accused would incriminate </w:t>
      </w:r>
      <w:r w:rsidR="00D069CB">
        <w:rPr>
          <w:rFonts w:ascii="Times New Roman" w:hAnsi="Times New Roman"/>
          <w:sz w:val="28"/>
          <w:szCs w:val="28"/>
        </w:rPr>
        <w:t xml:space="preserve">himself </w:t>
      </w:r>
      <w:r w:rsidR="009F6B9B" w:rsidRPr="00D069CB">
        <w:rPr>
          <w:rFonts w:ascii="Times New Roman" w:hAnsi="Times New Roman"/>
          <w:sz w:val="28"/>
          <w:szCs w:val="28"/>
        </w:rPr>
        <w:t xml:space="preserve">where the </w:t>
      </w:r>
      <w:r w:rsidR="00E40C3B" w:rsidRPr="00D069CB">
        <w:rPr>
          <w:rFonts w:ascii="Times New Roman" w:hAnsi="Times New Roman"/>
          <w:sz w:val="28"/>
          <w:szCs w:val="28"/>
        </w:rPr>
        <w:t>S</w:t>
      </w:r>
      <w:r w:rsidR="009F6B9B" w:rsidRPr="00D069CB">
        <w:rPr>
          <w:rFonts w:ascii="Times New Roman" w:hAnsi="Times New Roman"/>
          <w:sz w:val="28"/>
          <w:szCs w:val="28"/>
        </w:rPr>
        <w:t xml:space="preserve">tate’s evidence had failed to do so, was a violation of the </w:t>
      </w:r>
      <w:r w:rsidR="00B14377">
        <w:rPr>
          <w:rFonts w:ascii="Times New Roman" w:hAnsi="Times New Roman"/>
          <w:sz w:val="28"/>
          <w:szCs w:val="28"/>
        </w:rPr>
        <w:t>c</w:t>
      </w:r>
      <w:r w:rsidR="009F6B9B" w:rsidRPr="00D069CB">
        <w:rPr>
          <w:rFonts w:ascii="Times New Roman" w:hAnsi="Times New Roman"/>
          <w:sz w:val="28"/>
          <w:szCs w:val="28"/>
        </w:rPr>
        <w:t xml:space="preserve">onstitutional protection accorded to rights of dignity and personal freedom that were long recognised and embodied in common law principles. </w:t>
      </w:r>
      <w:r w:rsidR="00B14377">
        <w:rPr>
          <w:rFonts w:ascii="Times New Roman" w:hAnsi="Times New Roman"/>
          <w:sz w:val="28"/>
          <w:szCs w:val="28"/>
        </w:rPr>
        <w:t xml:space="preserve">Fundamental thereto </w:t>
      </w:r>
      <w:r w:rsidR="009F6B9B" w:rsidRPr="00D069CB">
        <w:rPr>
          <w:rFonts w:ascii="Times New Roman" w:hAnsi="Times New Roman"/>
          <w:sz w:val="28"/>
          <w:szCs w:val="28"/>
        </w:rPr>
        <w:t>is that there should be ‘reasonable and probable’ cause to believe that an accused is guilty of an offence before a prosecution is initiated.</w:t>
      </w:r>
    </w:p>
    <w:p w14:paraId="537DC2BC" w14:textId="526AFAB0" w:rsidR="009F6B9B" w:rsidRPr="00D111E8" w:rsidRDefault="00467BC2" w:rsidP="00467BC2">
      <w:pPr>
        <w:pStyle w:val="LegalList1"/>
        <w:autoSpaceDE w:val="0"/>
        <w:autoSpaceDN w:val="0"/>
        <w:adjustRightInd w:val="0"/>
        <w:spacing w:line="360" w:lineRule="auto"/>
        <w:rPr>
          <w:rFonts w:ascii="Times New Roman" w:hAnsi="Times New Roman"/>
          <w:sz w:val="28"/>
          <w:szCs w:val="28"/>
        </w:rPr>
      </w:pPr>
      <w:r w:rsidRPr="00D111E8">
        <w:rPr>
          <w:rFonts w:ascii="Times New Roman" w:hAnsi="Times New Roman"/>
          <w:sz w:val="28"/>
          <w:szCs w:val="28"/>
        </w:rPr>
        <w:t>[9]</w:t>
      </w:r>
      <w:r w:rsidRPr="00D111E8">
        <w:rPr>
          <w:rFonts w:ascii="Times New Roman" w:hAnsi="Times New Roman"/>
          <w:sz w:val="28"/>
          <w:szCs w:val="28"/>
        </w:rPr>
        <w:tab/>
      </w:r>
      <w:r w:rsidR="009F6B9B" w:rsidRPr="00D069CB">
        <w:rPr>
          <w:rFonts w:ascii="Times New Roman" w:hAnsi="Times New Roman"/>
          <w:sz w:val="28"/>
          <w:szCs w:val="28"/>
        </w:rPr>
        <w:t>The court considered that the constitutional protection accorded to dignity and freedom underpin</w:t>
      </w:r>
      <w:r w:rsidR="00E40C3B" w:rsidRPr="00D069CB">
        <w:rPr>
          <w:rFonts w:ascii="Times New Roman" w:hAnsi="Times New Roman"/>
          <w:sz w:val="28"/>
          <w:szCs w:val="28"/>
        </w:rPr>
        <w:t>s</w:t>
      </w:r>
      <w:r w:rsidR="009F6B9B" w:rsidRPr="00D069CB">
        <w:rPr>
          <w:rFonts w:ascii="Times New Roman" w:hAnsi="Times New Roman"/>
          <w:sz w:val="28"/>
          <w:szCs w:val="28"/>
        </w:rPr>
        <w:t xml:space="preserve"> this position. Therefore, if a prosecution is not to commence without that minimum of evidence, it should cease when the evidence falls below that threshold. In that circumstance, </w:t>
      </w:r>
      <w:r w:rsidR="00D069CB" w:rsidRPr="00D069CB">
        <w:rPr>
          <w:rFonts w:ascii="Times New Roman" w:hAnsi="Times New Roman"/>
          <w:sz w:val="28"/>
          <w:szCs w:val="28"/>
        </w:rPr>
        <w:t xml:space="preserve">where a </w:t>
      </w:r>
      <w:r w:rsidR="009F6B9B" w:rsidRPr="00D069CB">
        <w:rPr>
          <w:rFonts w:ascii="Times New Roman" w:hAnsi="Times New Roman"/>
          <w:sz w:val="28"/>
          <w:szCs w:val="28"/>
        </w:rPr>
        <w:t xml:space="preserve">conviction would no </w:t>
      </w:r>
      <w:r w:rsidR="009F6B9B" w:rsidRPr="00D069CB">
        <w:rPr>
          <w:rFonts w:ascii="Times New Roman" w:hAnsi="Times New Roman"/>
          <w:sz w:val="28"/>
          <w:szCs w:val="28"/>
        </w:rPr>
        <w:lastRenderedPageBreak/>
        <w:t>longer be possible except if an accused incriminates himself</w:t>
      </w:r>
      <w:r w:rsidR="00D069CB" w:rsidRPr="00D069CB">
        <w:rPr>
          <w:rFonts w:ascii="Times New Roman" w:hAnsi="Times New Roman"/>
          <w:sz w:val="28"/>
          <w:szCs w:val="28"/>
        </w:rPr>
        <w:t xml:space="preserve">, </w:t>
      </w:r>
      <w:r w:rsidR="00D069CB" w:rsidRPr="00D111E8">
        <w:rPr>
          <w:rFonts w:ascii="Times New Roman" w:hAnsi="Times New Roman"/>
          <w:sz w:val="28"/>
          <w:szCs w:val="28"/>
        </w:rPr>
        <w:t>fair</w:t>
      </w:r>
      <w:r w:rsidR="00325AE5">
        <w:rPr>
          <w:rFonts w:ascii="Times New Roman" w:hAnsi="Times New Roman"/>
          <w:sz w:val="28"/>
          <w:szCs w:val="28"/>
        </w:rPr>
        <w:t>ness requires that a</w:t>
      </w:r>
      <w:r w:rsidR="00D069CB" w:rsidRPr="00D111E8">
        <w:rPr>
          <w:rFonts w:ascii="Times New Roman" w:hAnsi="Times New Roman"/>
          <w:sz w:val="28"/>
          <w:szCs w:val="28"/>
        </w:rPr>
        <w:t xml:space="preserve"> trial </w:t>
      </w:r>
      <w:r w:rsidR="009C773D" w:rsidRPr="00D111E8">
        <w:rPr>
          <w:rFonts w:ascii="Times New Roman" w:hAnsi="Times New Roman"/>
          <w:sz w:val="28"/>
          <w:szCs w:val="28"/>
        </w:rPr>
        <w:t xml:space="preserve">should </w:t>
      </w:r>
      <w:r w:rsidR="00D069CB" w:rsidRPr="00D111E8">
        <w:rPr>
          <w:rFonts w:ascii="Times New Roman" w:hAnsi="Times New Roman"/>
          <w:sz w:val="28"/>
          <w:szCs w:val="28"/>
        </w:rPr>
        <w:t>be stopped for it threatens to infringe constitutional protection.</w:t>
      </w:r>
    </w:p>
    <w:p w14:paraId="1AA48276" w14:textId="5B9A8847" w:rsidR="00D111E8" w:rsidRPr="00D111E8" w:rsidRDefault="00467BC2" w:rsidP="00467BC2">
      <w:pPr>
        <w:pStyle w:val="LegalList1"/>
        <w:spacing w:line="360" w:lineRule="auto"/>
        <w:rPr>
          <w:rFonts w:ascii="Times New Roman" w:hAnsi="Times New Roman"/>
          <w:sz w:val="28"/>
          <w:szCs w:val="28"/>
        </w:rPr>
      </w:pPr>
      <w:r w:rsidRPr="00D111E8">
        <w:rPr>
          <w:rFonts w:ascii="Times New Roman" w:hAnsi="Times New Roman"/>
          <w:sz w:val="28"/>
          <w:szCs w:val="28"/>
        </w:rPr>
        <w:t>[10]</w:t>
      </w:r>
      <w:r w:rsidRPr="00D111E8">
        <w:rPr>
          <w:rFonts w:ascii="Times New Roman" w:hAnsi="Times New Roman"/>
          <w:sz w:val="28"/>
          <w:szCs w:val="28"/>
        </w:rPr>
        <w:tab/>
      </w:r>
      <w:r w:rsidR="00D111E8" w:rsidRPr="00D111E8">
        <w:rPr>
          <w:rFonts w:ascii="Times New Roman" w:hAnsi="Times New Roman"/>
          <w:sz w:val="28"/>
          <w:szCs w:val="28"/>
        </w:rPr>
        <w:t xml:space="preserve">At this stage of the proceedings, the credibility of the </w:t>
      </w:r>
      <w:r w:rsidR="00D111E8">
        <w:rPr>
          <w:rFonts w:ascii="Times New Roman" w:hAnsi="Times New Roman"/>
          <w:sz w:val="28"/>
          <w:szCs w:val="28"/>
        </w:rPr>
        <w:t>S</w:t>
      </w:r>
      <w:r w:rsidR="00D111E8" w:rsidRPr="00D111E8">
        <w:rPr>
          <w:rFonts w:ascii="Times New Roman" w:hAnsi="Times New Roman"/>
          <w:sz w:val="28"/>
          <w:szCs w:val="28"/>
        </w:rPr>
        <w:t xml:space="preserve">tate witnesses plays a very limited role. Their evidence can only be ignored if </w:t>
      </w:r>
      <w:r w:rsidR="00D111E8">
        <w:rPr>
          <w:rFonts w:ascii="Times New Roman" w:hAnsi="Times New Roman"/>
          <w:sz w:val="28"/>
          <w:szCs w:val="28"/>
        </w:rPr>
        <w:t>‘</w:t>
      </w:r>
      <w:r w:rsidR="00D111E8" w:rsidRPr="00D111E8">
        <w:rPr>
          <w:rFonts w:ascii="Times New Roman" w:hAnsi="Times New Roman"/>
          <w:i/>
          <w:sz w:val="28"/>
          <w:szCs w:val="28"/>
        </w:rPr>
        <w:t>it is of such poor quality that no reasonable person could possibly accept it</w:t>
      </w:r>
      <w:r w:rsidR="00D111E8">
        <w:rPr>
          <w:rFonts w:ascii="Times New Roman" w:hAnsi="Times New Roman"/>
          <w:i/>
          <w:sz w:val="28"/>
          <w:szCs w:val="28"/>
        </w:rPr>
        <w:t>’</w:t>
      </w:r>
      <w:r w:rsidR="00D111E8" w:rsidRPr="00D111E8">
        <w:rPr>
          <w:rFonts w:ascii="Times New Roman" w:hAnsi="Times New Roman"/>
          <w:sz w:val="28"/>
          <w:szCs w:val="28"/>
        </w:rPr>
        <w:t>.</w:t>
      </w:r>
      <w:r w:rsidR="00D111E8" w:rsidRPr="00D111E8">
        <w:rPr>
          <w:rStyle w:val="FootnoteReference"/>
          <w:rFonts w:ascii="Times New Roman" w:hAnsi="Times New Roman"/>
          <w:sz w:val="28"/>
          <w:szCs w:val="28"/>
        </w:rPr>
        <w:footnoteReference w:id="5"/>
      </w:r>
      <w:r w:rsidR="00D111E8" w:rsidRPr="00D111E8">
        <w:rPr>
          <w:rFonts w:ascii="Times New Roman" w:hAnsi="Times New Roman"/>
          <w:sz w:val="28"/>
          <w:szCs w:val="28"/>
        </w:rPr>
        <w:t xml:space="preserve"> This sentiment was also expressed in </w:t>
      </w:r>
      <w:r w:rsidR="00D111E8" w:rsidRPr="00D111E8">
        <w:rPr>
          <w:rFonts w:ascii="Times New Roman" w:hAnsi="Times New Roman"/>
          <w:i/>
          <w:sz w:val="28"/>
          <w:szCs w:val="28"/>
        </w:rPr>
        <w:t>S v Agliotti</w:t>
      </w:r>
      <w:r w:rsidR="00D111E8" w:rsidRPr="00D111E8">
        <w:rPr>
          <w:rStyle w:val="FootnoteReference"/>
          <w:rFonts w:ascii="Times New Roman" w:hAnsi="Times New Roman"/>
          <w:sz w:val="28"/>
          <w:szCs w:val="28"/>
        </w:rPr>
        <w:footnoteReference w:id="6"/>
      </w:r>
      <w:r w:rsidR="00D111E8" w:rsidRPr="00D111E8">
        <w:rPr>
          <w:rFonts w:ascii="Times New Roman" w:hAnsi="Times New Roman"/>
          <w:sz w:val="28"/>
          <w:szCs w:val="28"/>
        </w:rPr>
        <w:t xml:space="preserve"> where the court considered it </w:t>
      </w:r>
      <w:r w:rsidR="002C60DC">
        <w:rPr>
          <w:rFonts w:ascii="Times New Roman" w:hAnsi="Times New Roman"/>
          <w:sz w:val="28"/>
          <w:szCs w:val="28"/>
        </w:rPr>
        <w:t>‘</w:t>
      </w:r>
      <w:r w:rsidR="00D111E8" w:rsidRPr="00D111E8">
        <w:rPr>
          <w:rFonts w:ascii="Times New Roman" w:hAnsi="Times New Roman"/>
          <w:i/>
          <w:sz w:val="28"/>
          <w:szCs w:val="28"/>
        </w:rPr>
        <w:t>unwise to attempt to banish issues of credibility</w:t>
      </w:r>
      <w:r w:rsidR="002C60DC">
        <w:rPr>
          <w:rFonts w:ascii="Times New Roman" w:hAnsi="Times New Roman"/>
          <w:i/>
          <w:sz w:val="28"/>
          <w:szCs w:val="28"/>
        </w:rPr>
        <w:t xml:space="preserve">’ </w:t>
      </w:r>
      <w:r w:rsidR="00D111E8" w:rsidRPr="00D111E8">
        <w:rPr>
          <w:rFonts w:ascii="Times New Roman" w:hAnsi="Times New Roman"/>
          <w:sz w:val="28"/>
          <w:szCs w:val="28"/>
        </w:rPr>
        <w:t>in a section 174 application.</w:t>
      </w:r>
    </w:p>
    <w:p w14:paraId="342DAC61" w14:textId="4983AD42" w:rsidR="00DD6E7E"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F87BBB">
        <w:rPr>
          <w:rFonts w:ascii="Times New Roman" w:hAnsi="Times New Roman"/>
          <w:sz w:val="28"/>
          <w:szCs w:val="28"/>
        </w:rPr>
        <w:t>In s</w:t>
      </w:r>
      <w:r w:rsidR="002A558C">
        <w:rPr>
          <w:rFonts w:ascii="Times New Roman" w:hAnsi="Times New Roman"/>
          <w:sz w:val="28"/>
          <w:szCs w:val="28"/>
        </w:rPr>
        <w:t xml:space="preserve">ummarising the </w:t>
      </w:r>
      <w:r w:rsidR="002C60DC">
        <w:rPr>
          <w:rFonts w:ascii="Times New Roman" w:hAnsi="Times New Roman"/>
          <w:sz w:val="28"/>
          <w:szCs w:val="28"/>
        </w:rPr>
        <w:t>legal position regarding applications in terms of section 174</w:t>
      </w:r>
      <w:r w:rsidR="00AB4215">
        <w:rPr>
          <w:rFonts w:ascii="Times New Roman" w:hAnsi="Times New Roman"/>
          <w:sz w:val="28"/>
          <w:szCs w:val="28"/>
        </w:rPr>
        <w:t xml:space="preserve"> the following considerations are of note</w:t>
      </w:r>
      <w:r w:rsidR="002A558C">
        <w:rPr>
          <w:rFonts w:ascii="Times New Roman" w:hAnsi="Times New Roman"/>
          <w:sz w:val="28"/>
          <w:szCs w:val="28"/>
        </w:rPr>
        <w:t>:</w:t>
      </w:r>
      <w:r w:rsidR="00B10CFE">
        <w:rPr>
          <w:rStyle w:val="FootnoteReference"/>
          <w:rFonts w:ascii="Times New Roman" w:hAnsi="Times New Roman"/>
          <w:sz w:val="28"/>
          <w:szCs w:val="28"/>
        </w:rPr>
        <w:footnoteReference w:id="7"/>
      </w:r>
    </w:p>
    <w:p w14:paraId="573AD1F7" w14:textId="77777777" w:rsidR="002A558C" w:rsidRDefault="0078308C" w:rsidP="0078308C">
      <w:pPr>
        <w:pStyle w:val="LegalList1"/>
        <w:spacing w:line="360" w:lineRule="auto"/>
        <w:rPr>
          <w:rFonts w:ascii="Times New Roman" w:hAnsi="Times New Roman"/>
          <w:sz w:val="28"/>
          <w:szCs w:val="28"/>
        </w:rPr>
      </w:pPr>
      <w:r>
        <w:rPr>
          <w:rFonts w:ascii="Times New Roman" w:hAnsi="Times New Roman"/>
          <w:sz w:val="28"/>
          <w:szCs w:val="28"/>
        </w:rPr>
        <w:t xml:space="preserve">(a) </w:t>
      </w:r>
      <w:r>
        <w:rPr>
          <w:rFonts w:ascii="Times New Roman" w:hAnsi="Times New Roman"/>
          <w:sz w:val="28"/>
          <w:szCs w:val="28"/>
        </w:rPr>
        <w:tab/>
      </w:r>
      <w:r w:rsidR="002A558C">
        <w:rPr>
          <w:rFonts w:ascii="Times New Roman" w:hAnsi="Times New Roman"/>
          <w:sz w:val="28"/>
          <w:szCs w:val="28"/>
        </w:rPr>
        <w:t xml:space="preserve">An accused person is entitled to be discharged at the close of the case for the </w:t>
      </w:r>
      <w:r w:rsidR="00B167C4">
        <w:rPr>
          <w:rFonts w:ascii="Times New Roman" w:hAnsi="Times New Roman"/>
          <w:sz w:val="28"/>
          <w:szCs w:val="28"/>
        </w:rPr>
        <w:t>State</w:t>
      </w:r>
      <w:r w:rsidR="002A558C">
        <w:rPr>
          <w:rFonts w:ascii="Times New Roman" w:hAnsi="Times New Roman"/>
          <w:sz w:val="28"/>
          <w:szCs w:val="28"/>
        </w:rPr>
        <w:t xml:space="preserve"> if there is no possibility of a conviction other than if he enters the witness box and incriminates himself;</w:t>
      </w:r>
    </w:p>
    <w:p w14:paraId="0695CA93" w14:textId="77777777" w:rsidR="002A558C" w:rsidRDefault="0078308C" w:rsidP="0078308C">
      <w:pPr>
        <w:pStyle w:val="LegalList1"/>
        <w:spacing w:line="360" w:lineRule="auto"/>
        <w:rPr>
          <w:rFonts w:ascii="Times New Roman" w:hAnsi="Times New Roman"/>
          <w:sz w:val="28"/>
          <w:szCs w:val="28"/>
        </w:rPr>
      </w:pPr>
      <w:r>
        <w:rPr>
          <w:rFonts w:ascii="Times New Roman" w:hAnsi="Times New Roman"/>
          <w:sz w:val="28"/>
          <w:szCs w:val="28"/>
        </w:rPr>
        <w:t xml:space="preserve">(b) </w:t>
      </w:r>
      <w:r>
        <w:rPr>
          <w:rFonts w:ascii="Times New Roman" w:hAnsi="Times New Roman"/>
          <w:sz w:val="28"/>
          <w:szCs w:val="28"/>
        </w:rPr>
        <w:tab/>
      </w:r>
      <w:r w:rsidR="002A558C">
        <w:rPr>
          <w:rFonts w:ascii="Times New Roman" w:hAnsi="Times New Roman"/>
          <w:sz w:val="28"/>
          <w:szCs w:val="28"/>
        </w:rPr>
        <w:t xml:space="preserve">In deciding whether an accused person is entitled to be discharged at the close of the </w:t>
      </w:r>
      <w:r w:rsidR="00B167C4">
        <w:rPr>
          <w:rFonts w:ascii="Times New Roman" w:hAnsi="Times New Roman"/>
          <w:sz w:val="28"/>
          <w:szCs w:val="28"/>
        </w:rPr>
        <w:t>State</w:t>
      </w:r>
      <w:r w:rsidR="002A558C">
        <w:rPr>
          <w:rFonts w:ascii="Times New Roman" w:hAnsi="Times New Roman"/>
          <w:sz w:val="28"/>
          <w:szCs w:val="28"/>
        </w:rPr>
        <w:t xml:space="preserve">’s case, the court may take into account the credibility of the </w:t>
      </w:r>
      <w:r w:rsidR="00B167C4">
        <w:rPr>
          <w:rFonts w:ascii="Times New Roman" w:hAnsi="Times New Roman"/>
          <w:sz w:val="28"/>
          <w:szCs w:val="28"/>
        </w:rPr>
        <w:t>State</w:t>
      </w:r>
      <w:r w:rsidR="002A558C">
        <w:rPr>
          <w:rFonts w:ascii="Times New Roman" w:hAnsi="Times New Roman"/>
          <w:sz w:val="28"/>
          <w:szCs w:val="28"/>
        </w:rPr>
        <w:t xml:space="preserve"> witnesses, even if only to a limited extent;</w:t>
      </w:r>
    </w:p>
    <w:p w14:paraId="3B8914B6" w14:textId="77777777" w:rsidR="002A558C" w:rsidRPr="00D111E8" w:rsidRDefault="0078308C" w:rsidP="0078308C">
      <w:pPr>
        <w:pStyle w:val="LegalList1"/>
        <w:spacing w:line="360" w:lineRule="auto"/>
        <w:rPr>
          <w:rFonts w:ascii="Times New Roman" w:hAnsi="Times New Roman"/>
          <w:sz w:val="28"/>
          <w:szCs w:val="28"/>
        </w:rPr>
      </w:pPr>
      <w:r>
        <w:rPr>
          <w:rFonts w:ascii="Times New Roman" w:hAnsi="Times New Roman"/>
          <w:sz w:val="28"/>
          <w:szCs w:val="28"/>
        </w:rPr>
        <w:t xml:space="preserve">(c) </w:t>
      </w:r>
      <w:r>
        <w:rPr>
          <w:rFonts w:ascii="Times New Roman" w:hAnsi="Times New Roman"/>
          <w:sz w:val="28"/>
          <w:szCs w:val="28"/>
        </w:rPr>
        <w:tab/>
      </w:r>
      <w:r w:rsidR="002A558C">
        <w:rPr>
          <w:rFonts w:ascii="Times New Roman" w:hAnsi="Times New Roman"/>
          <w:sz w:val="28"/>
          <w:szCs w:val="28"/>
        </w:rPr>
        <w:t xml:space="preserve">Where the evidence of the </w:t>
      </w:r>
      <w:r w:rsidR="00B167C4">
        <w:rPr>
          <w:rFonts w:ascii="Times New Roman" w:hAnsi="Times New Roman"/>
          <w:sz w:val="28"/>
          <w:szCs w:val="28"/>
        </w:rPr>
        <w:t>State</w:t>
      </w:r>
      <w:r w:rsidR="002A558C">
        <w:rPr>
          <w:rFonts w:ascii="Times New Roman" w:hAnsi="Times New Roman"/>
          <w:sz w:val="28"/>
          <w:szCs w:val="28"/>
        </w:rPr>
        <w:t xml:space="preserve"> witnesses implicating the accused is of such poor quality that it cannot safely be relied upon, and there is accordingly no credible evidence on record</w:t>
      </w:r>
      <w:r w:rsidR="00B10CFE">
        <w:rPr>
          <w:rFonts w:ascii="Times New Roman" w:hAnsi="Times New Roman"/>
          <w:sz w:val="28"/>
          <w:szCs w:val="28"/>
        </w:rPr>
        <w:t xml:space="preserve"> upon which a court, acting carefully, may convict, an application for discharge should be granted.</w:t>
      </w:r>
    </w:p>
    <w:p w14:paraId="14EC6382" w14:textId="6159B50D" w:rsidR="00216DBF" w:rsidRPr="0081471F" w:rsidRDefault="00467BC2" w:rsidP="00467BC2">
      <w:pPr>
        <w:pStyle w:val="LegalList1"/>
        <w:spacing w:line="360" w:lineRule="auto"/>
        <w:rPr>
          <w:rFonts w:ascii="Times New Roman" w:hAnsi="Times New Roman"/>
          <w:sz w:val="28"/>
          <w:szCs w:val="28"/>
        </w:rPr>
      </w:pPr>
      <w:r w:rsidRPr="0081471F">
        <w:rPr>
          <w:rFonts w:ascii="Times New Roman" w:hAnsi="Times New Roman"/>
          <w:sz w:val="28"/>
          <w:szCs w:val="28"/>
        </w:rPr>
        <w:t>[12]</w:t>
      </w:r>
      <w:r w:rsidRPr="0081471F">
        <w:rPr>
          <w:rFonts w:ascii="Times New Roman" w:hAnsi="Times New Roman"/>
          <w:sz w:val="28"/>
          <w:szCs w:val="28"/>
        </w:rPr>
        <w:tab/>
      </w:r>
      <w:r w:rsidR="003952AA">
        <w:rPr>
          <w:rFonts w:ascii="Times New Roman" w:hAnsi="Times New Roman"/>
          <w:sz w:val="28"/>
          <w:szCs w:val="28"/>
        </w:rPr>
        <w:t>It is common cause that the only witness who implicates the accused is MD.</w:t>
      </w:r>
      <w:r w:rsidR="00BC7D67">
        <w:rPr>
          <w:rFonts w:ascii="Times New Roman" w:hAnsi="Times New Roman"/>
          <w:sz w:val="28"/>
          <w:szCs w:val="28"/>
        </w:rPr>
        <w:t xml:space="preserve"> There is no cautionary rule in sexual assault cases</w:t>
      </w:r>
      <w:r w:rsidR="00BC7D67">
        <w:rPr>
          <w:rStyle w:val="FootnoteReference"/>
          <w:rFonts w:ascii="Times New Roman" w:hAnsi="Times New Roman"/>
          <w:sz w:val="28"/>
          <w:szCs w:val="28"/>
        </w:rPr>
        <w:footnoteReference w:id="8"/>
      </w:r>
      <w:r w:rsidR="00AC662C">
        <w:rPr>
          <w:rFonts w:ascii="Times New Roman" w:hAnsi="Times New Roman"/>
          <w:sz w:val="28"/>
          <w:szCs w:val="28"/>
        </w:rPr>
        <w:t xml:space="preserve"> but </w:t>
      </w:r>
      <w:r w:rsidR="0077249A">
        <w:rPr>
          <w:rFonts w:ascii="Times New Roman" w:hAnsi="Times New Roman"/>
          <w:sz w:val="28"/>
          <w:szCs w:val="28"/>
        </w:rPr>
        <w:t xml:space="preserve">MD is a child and a </w:t>
      </w:r>
      <w:r w:rsidR="0077249A">
        <w:rPr>
          <w:rFonts w:ascii="Times New Roman" w:hAnsi="Times New Roman"/>
          <w:sz w:val="28"/>
          <w:szCs w:val="28"/>
        </w:rPr>
        <w:lastRenderedPageBreak/>
        <w:t>single witness</w:t>
      </w:r>
      <w:r w:rsidR="00125DE3">
        <w:rPr>
          <w:rFonts w:ascii="Times New Roman" w:hAnsi="Times New Roman"/>
          <w:sz w:val="28"/>
          <w:szCs w:val="28"/>
        </w:rPr>
        <w:t xml:space="preserve">. Her evidence must </w:t>
      </w:r>
      <w:r w:rsidR="00CE44BC">
        <w:rPr>
          <w:rFonts w:ascii="Times New Roman" w:hAnsi="Times New Roman"/>
          <w:sz w:val="28"/>
          <w:szCs w:val="28"/>
        </w:rPr>
        <w:t>be approached with caution, and if it is to be accepted it must be credible</w:t>
      </w:r>
      <w:r w:rsidR="0077249A">
        <w:rPr>
          <w:rStyle w:val="FootnoteReference"/>
          <w:rFonts w:ascii="Times New Roman" w:hAnsi="Times New Roman"/>
          <w:sz w:val="28"/>
          <w:szCs w:val="28"/>
        </w:rPr>
        <w:footnoteReference w:id="9"/>
      </w:r>
      <w:r w:rsidR="00CE44BC">
        <w:rPr>
          <w:rFonts w:ascii="Times New Roman" w:hAnsi="Times New Roman"/>
          <w:sz w:val="28"/>
          <w:szCs w:val="28"/>
        </w:rPr>
        <w:t xml:space="preserve"> and it must be clear and satisfactory in material respects</w:t>
      </w:r>
      <w:r w:rsidR="00CE44BC">
        <w:rPr>
          <w:rStyle w:val="FootnoteReference"/>
          <w:rFonts w:ascii="Times New Roman" w:hAnsi="Times New Roman"/>
          <w:sz w:val="28"/>
          <w:szCs w:val="28"/>
        </w:rPr>
        <w:footnoteReference w:id="10"/>
      </w:r>
      <w:r w:rsidR="00CE44BC">
        <w:rPr>
          <w:rFonts w:ascii="Times New Roman" w:hAnsi="Times New Roman"/>
          <w:sz w:val="28"/>
          <w:szCs w:val="28"/>
        </w:rPr>
        <w:t>.</w:t>
      </w:r>
      <w:r w:rsidR="0081471F">
        <w:rPr>
          <w:rFonts w:ascii="Times New Roman" w:hAnsi="Times New Roman"/>
          <w:sz w:val="28"/>
          <w:szCs w:val="28"/>
        </w:rPr>
        <w:t xml:space="preserve"> </w:t>
      </w:r>
      <w:r w:rsidR="00A80A36">
        <w:rPr>
          <w:rFonts w:ascii="Times New Roman" w:hAnsi="Times New Roman"/>
          <w:sz w:val="28"/>
          <w:szCs w:val="28"/>
        </w:rPr>
        <w:t xml:space="preserve">This does not mean that such evidence must be flawless and beyond criticism. </w:t>
      </w:r>
      <w:r w:rsidR="00B40086" w:rsidRPr="0081471F">
        <w:rPr>
          <w:rFonts w:ascii="Times New Roman" w:hAnsi="Times New Roman"/>
          <w:sz w:val="28"/>
          <w:szCs w:val="28"/>
        </w:rPr>
        <w:t xml:space="preserve">There is no rule of thumb test or formula to apply when it comes to a consideration of the evidence of a single witness. </w:t>
      </w:r>
      <w:r w:rsidR="00216DBF">
        <w:rPr>
          <w:rFonts w:ascii="Times New Roman" w:hAnsi="Times New Roman"/>
          <w:sz w:val="28"/>
          <w:szCs w:val="28"/>
        </w:rPr>
        <w:t>D</w:t>
      </w:r>
      <w:r w:rsidR="00216DBF" w:rsidRPr="0081471F">
        <w:rPr>
          <w:rFonts w:ascii="Times New Roman" w:hAnsi="Times New Roman"/>
          <w:sz w:val="28"/>
          <w:szCs w:val="28"/>
        </w:rPr>
        <w:t xml:space="preserve">espite shortcomings or defects or contradictions, the court must weigh the evidence, consider its merits and demerits and having done so, it must </w:t>
      </w:r>
      <w:r w:rsidR="00216DBF">
        <w:rPr>
          <w:rFonts w:ascii="Times New Roman" w:hAnsi="Times New Roman"/>
          <w:sz w:val="28"/>
          <w:szCs w:val="28"/>
        </w:rPr>
        <w:t xml:space="preserve">be </w:t>
      </w:r>
      <w:r w:rsidR="00216DBF" w:rsidRPr="0081471F">
        <w:rPr>
          <w:rFonts w:ascii="Times New Roman" w:hAnsi="Times New Roman"/>
          <w:sz w:val="28"/>
          <w:szCs w:val="28"/>
        </w:rPr>
        <w:t xml:space="preserve">satisfied that the evidence is trustworthy </w:t>
      </w:r>
      <w:r w:rsidR="00216DBF">
        <w:rPr>
          <w:rFonts w:ascii="Times New Roman" w:hAnsi="Times New Roman"/>
          <w:sz w:val="28"/>
          <w:szCs w:val="28"/>
        </w:rPr>
        <w:t xml:space="preserve">in the sense that the </w:t>
      </w:r>
      <w:r w:rsidR="00216DBF" w:rsidRPr="0081471F">
        <w:rPr>
          <w:rFonts w:ascii="Times New Roman" w:hAnsi="Times New Roman"/>
          <w:sz w:val="28"/>
          <w:szCs w:val="28"/>
        </w:rPr>
        <w:t>truth has been told</w:t>
      </w:r>
      <w:r w:rsidR="00216DBF">
        <w:rPr>
          <w:rFonts w:ascii="Times New Roman" w:hAnsi="Times New Roman"/>
          <w:sz w:val="28"/>
          <w:szCs w:val="28"/>
        </w:rPr>
        <w:t>.</w:t>
      </w:r>
      <w:r w:rsidR="00216DBF">
        <w:rPr>
          <w:rStyle w:val="FootnoteReference"/>
          <w:rFonts w:ascii="Times New Roman" w:hAnsi="Times New Roman"/>
          <w:sz w:val="28"/>
          <w:szCs w:val="28"/>
        </w:rPr>
        <w:footnoteReference w:id="11"/>
      </w:r>
    </w:p>
    <w:p w14:paraId="4BB24074" w14:textId="606A194E" w:rsidR="00DD6E7E"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E4163C">
        <w:rPr>
          <w:rFonts w:ascii="Times New Roman" w:hAnsi="Times New Roman"/>
          <w:sz w:val="28"/>
          <w:szCs w:val="28"/>
        </w:rPr>
        <w:t>Trustworthiness depends on factors such as the child’s power of observation, the power of recollection and the power of narration on the specific matter testified. The capacity of narration or communication raises the question whether the child has the capacity to understand the questions put, and to frame and express intelligent answers.</w:t>
      </w:r>
      <w:r w:rsidR="0079656F">
        <w:rPr>
          <w:rStyle w:val="FootnoteReference"/>
          <w:rFonts w:ascii="Times New Roman" w:hAnsi="Times New Roman"/>
          <w:sz w:val="28"/>
          <w:szCs w:val="28"/>
        </w:rPr>
        <w:footnoteReference w:id="12"/>
      </w:r>
    </w:p>
    <w:p w14:paraId="105F6DE5" w14:textId="5350DE39" w:rsidR="00DD6E7E"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sidR="00286C5C">
        <w:rPr>
          <w:rFonts w:ascii="Times New Roman" w:hAnsi="Times New Roman"/>
          <w:sz w:val="28"/>
          <w:szCs w:val="28"/>
        </w:rPr>
        <w:t xml:space="preserve"> It is for these reasons</w:t>
      </w:r>
      <w:r w:rsidR="00CA4D77">
        <w:rPr>
          <w:rFonts w:ascii="Times New Roman" w:hAnsi="Times New Roman"/>
          <w:sz w:val="28"/>
          <w:szCs w:val="28"/>
        </w:rPr>
        <w:t xml:space="preserve"> that courts have repeatedly emphasised the need </w:t>
      </w:r>
      <w:r w:rsidR="00B167C4">
        <w:rPr>
          <w:rFonts w:ascii="Times New Roman" w:hAnsi="Times New Roman"/>
          <w:sz w:val="28"/>
          <w:szCs w:val="28"/>
        </w:rPr>
        <w:t xml:space="preserve">that </w:t>
      </w:r>
      <w:r w:rsidR="00CA4D77">
        <w:rPr>
          <w:rFonts w:ascii="Times New Roman" w:hAnsi="Times New Roman"/>
          <w:sz w:val="28"/>
          <w:szCs w:val="28"/>
        </w:rPr>
        <w:t>cases involving alleged sexual molestation of minor children be handled thoroughly and sensitively by all involved.</w:t>
      </w:r>
      <w:r w:rsidR="00592E05">
        <w:rPr>
          <w:rFonts w:ascii="Times New Roman" w:hAnsi="Times New Roman"/>
          <w:sz w:val="28"/>
          <w:szCs w:val="28"/>
        </w:rPr>
        <w:t xml:space="preserve"> The prosecution of rape represents peculiar difficulties and calls for greater care where the victim is young. The </w:t>
      </w:r>
      <w:r w:rsidR="00B167C4">
        <w:rPr>
          <w:rFonts w:ascii="Times New Roman" w:hAnsi="Times New Roman"/>
          <w:sz w:val="28"/>
          <w:szCs w:val="28"/>
        </w:rPr>
        <w:t>State</w:t>
      </w:r>
      <w:r w:rsidR="00592E05">
        <w:rPr>
          <w:rFonts w:ascii="Times New Roman" w:hAnsi="Times New Roman"/>
          <w:sz w:val="28"/>
          <w:szCs w:val="28"/>
        </w:rPr>
        <w:t xml:space="preserve"> is required to give thoughtful preparation, patient and sensitive presentation of the available evidence and meticulous attention to detail. For it is in the nature of such cases that</w:t>
      </w:r>
      <w:r w:rsidR="004608EB">
        <w:rPr>
          <w:rFonts w:ascii="Times New Roman" w:hAnsi="Times New Roman"/>
          <w:sz w:val="28"/>
          <w:szCs w:val="28"/>
        </w:rPr>
        <w:t xml:space="preserve"> the a</w:t>
      </w:r>
      <w:r w:rsidR="00114144">
        <w:rPr>
          <w:rFonts w:ascii="Times New Roman" w:hAnsi="Times New Roman"/>
          <w:sz w:val="28"/>
          <w:szCs w:val="28"/>
        </w:rPr>
        <w:t>vailable evidence may be scant</w:t>
      </w:r>
      <w:r w:rsidR="004608EB">
        <w:rPr>
          <w:rFonts w:ascii="Times New Roman" w:hAnsi="Times New Roman"/>
          <w:sz w:val="28"/>
          <w:szCs w:val="28"/>
        </w:rPr>
        <w:t xml:space="preserve"> and many prosecutions fail </w:t>
      </w:r>
      <w:r w:rsidR="004608EB">
        <w:rPr>
          <w:rFonts w:ascii="Times New Roman" w:hAnsi="Times New Roman"/>
          <w:sz w:val="28"/>
          <w:szCs w:val="28"/>
        </w:rPr>
        <w:lastRenderedPageBreak/>
        <w:t>for that reason alone. In short</w:t>
      </w:r>
      <w:r w:rsidR="00777531">
        <w:rPr>
          <w:rFonts w:ascii="Times New Roman" w:hAnsi="Times New Roman"/>
          <w:sz w:val="28"/>
          <w:szCs w:val="28"/>
        </w:rPr>
        <w:t>,</w:t>
      </w:r>
      <w:r w:rsidR="004608EB">
        <w:rPr>
          <w:rFonts w:ascii="Times New Roman" w:hAnsi="Times New Roman"/>
          <w:sz w:val="28"/>
          <w:szCs w:val="28"/>
        </w:rPr>
        <w:t xml:space="preserve"> the </w:t>
      </w:r>
      <w:r w:rsidR="00B167C4">
        <w:rPr>
          <w:rFonts w:ascii="Times New Roman" w:hAnsi="Times New Roman"/>
          <w:sz w:val="28"/>
          <w:szCs w:val="28"/>
        </w:rPr>
        <w:t>State</w:t>
      </w:r>
      <w:r w:rsidR="004608EB">
        <w:rPr>
          <w:rFonts w:ascii="Times New Roman" w:hAnsi="Times New Roman"/>
          <w:sz w:val="28"/>
          <w:szCs w:val="28"/>
        </w:rPr>
        <w:t xml:space="preserve"> is required to be technically proficient in prosecuting its case.</w:t>
      </w:r>
      <w:r w:rsidR="004608EB">
        <w:rPr>
          <w:rStyle w:val="FootnoteReference"/>
          <w:rFonts w:ascii="Times New Roman" w:hAnsi="Times New Roman"/>
          <w:sz w:val="28"/>
          <w:szCs w:val="28"/>
        </w:rPr>
        <w:footnoteReference w:id="13"/>
      </w:r>
    </w:p>
    <w:p w14:paraId="3807B62B" w14:textId="3924C972" w:rsidR="00A5734A" w:rsidRPr="007F6C7D" w:rsidRDefault="00467BC2" w:rsidP="00467BC2">
      <w:pPr>
        <w:pStyle w:val="LegalList1"/>
        <w:spacing w:line="360" w:lineRule="auto"/>
        <w:rPr>
          <w:rFonts w:ascii="Times New Roman" w:hAnsi="Times New Roman"/>
          <w:sz w:val="28"/>
          <w:szCs w:val="28"/>
        </w:rPr>
      </w:pPr>
      <w:r w:rsidRPr="007F6C7D">
        <w:rPr>
          <w:rFonts w:ascii="Times New Roman" w:hAnsi="Times New Roman"/>
          <w:sz w:val="28"/>
          <w:szCs w:val="28"/>
        </w:rPr>
        <w:t>[15]</w:t>
      </w:r>
      <w:r w:rsidRPr="007F6C7D">
        <w:rPr>
          <w:rFonts w:ascii="Times New Roman" w:hAnsi="Times New Roman"/>
          <w:sz w:val="28"/>
          <w:szCs w:val="28"/>
        </w:rPr>
        <w:tab/>
      </w:r>
      <w:r w:rsidR="007F6C7D" w:rsidRPr="007F6C7D">
        <w:rPr>
          <w:rFonts w:ascii="Times New Roman" w:hAnsi="Times New Roman"/>
          <w:sz w:val="28"/>
          <w:szCs w:val="28"/>
        </w:rPr>
        <w:t xml:space="preserve"> </w:t>
      </w:r>
      <w:r w:rsidR="00A5734A" w:rsidRPr="007F6C7D">
        <w:rPr>
          <w:rFonts w:ascii="Times New Roman" w:hAnsi="Times New Roman"/>
          <w:sz w:val="28"/>
          <w:szCs w:val="28"/>
        </w:rPr>
        <w:t>Against this background, I will now proceed to analyse the evidence.</w:t>
      </w:r>
    </w:p>
    <w:p w14:paraId="1AE47082" w14:textId="65AD01A3" w:rsidR="00DD6E7E"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FF36E0">
        <w:rPr>
          <w:rFonts w:ascii="Times New Roman" w:hAnsi="Times New Roman"/>
          <w:sz w:val="28"/>
          <w:szCs w:val="28"/>
        </w:rPr>
        <w:t xml:space="preserve">To begin with, I intend dealing with the medical evidence by Ms Nomvuyo Makinana. </w:t>
      </w:r>
      <w:r w:rsidR="00E504D4">
        <w:rPr>
          <w:rFonts w:ascii="Times New Roman" w:hAnsi="Times New Roman"/>
          <w:sz w:val="28"/>
          <w:szCs w:val="28"/>
        </w:rPr>
        <w:t>On 28 September 2018 she compiled a J88 medical report</w:t>
      </w:r>
      <w:r w:rsidR="0074392F">
        <w:rPr>
          <w:rFonts w:ascii="Times New Roman" w:hAnsi="Times New Roman"/>
          <w:sz w:val="28"/>
          <w:szCs w:val="28"/>
        </w:rPr>
        <w:t xml:space="preserve"> </w:t>
      </w:r>
      <w:r w:rsidR="00A5434F">
        <w:rPr>
          <w:rFonts w:ascii="Times New Roman" w:hAnsi="Times New Roman"/>
          <w:sz w:val="28"/>
          <w:szCs w:val="28"/>
        </w:rPr>
        <w:t xml:space="preserve">in respect of </w:t>
      </w:r>
      <w:r w:rsidR="0074392F">
        <w:rPr>
          <w:rFonts w:ascii="Times New Roman" w:hAnsi="Times New Roman"/>
          <w:sz w:val="28"/>
          <w:szCs w:val="28"/>
        </w:rPr>
        <w:t xml:space="preserve">her gynaecological examination of MD. </w:t>
      </w:r>
      <w:r w:rsidR="00503E98">
        <w:rPr>
          <w:rFonts w:ascii="Times New Roman" w:hAnsi="Times New Roman"/>
          <w:sz w:val="28"/>
          <w:szCs w:val="28"/>
        </w:rPr>
        <w:t>T</w:t>
      </w:r>
      <w:r w:rsidR="000866E7">
        <w:rPr>
          <w:rFonts w:ascii="Times New Roman" w:hAnsi="Times New Roman"/>
          <w:sz w:val="28"/>
          <w:szCs w:val="28"/>
        </w:rPr>
        <w:t>he examination took place at the Thuthuzela rape crisis centre at Cecilia Makiwane hospital.</w:t>
      </w:r>
    </w:p>
    <w:p w14:paraId="48BCD962" w14:textId="4F8969CF" w:rsidR="00FA2E5A" w:rsidRPr="00777531" w:rsidRDefault="00467BC2" w:rsidP="00467BC2">
      <w:pPr>
        <w:pStyle w:val="LegalList1"/>
        <w:spacing w:line="360" w:lineRule="auto"/>
        <w:rPr>
          <w:rFonts w:ascii="Times New Roman" w:hAnsi="Times New Roman"/>
          <w:i/>
          <w:sz w:val="28"/>
          <w:szCs w:val="28"/>
        </w:rPr>
      </w:pPr>
      <w:r w:rsidRPr="00777531">
        <w:rPr>
          <w:rFonts w:ascii="Times New Roman" w:hAnsi="Times New Roman"/>
          <w:sz w:val="28"/>
          <w:szCs w:val="28"/>
        </w:rPr>
        <w:t>[17]</w:t>
      </w:r>
      <w:r w:rsidRPr="00777531">
        <w:rPr>
          <w:rFonts w:ascii="Times New Roman" w:hAnsi="Times New Roman"/>
          <w:sz w:val="28"/>
          <w:szCs w:val="28"/>
        </w:rPr>
        <w:tab/>
      </w:r>
      <w:r w:rsidR="00582EB8">
        <w:rPr>
          <w:rFonts w:ascii="Times New Roman" w:hAnsi="Times New Roman"/>
          <w:sz w:val="28"/>
          <w:szCs w:val="28"/>
        </w:rPr>
        <w:t xml:space="preserve"> </w:t>
      </w:r>
      <w:r w:rsidR="00582EB8" w:rsidRPr="00582EB8">
        <w:rPr>
          <w:rFonts w:ascii="Times New Roman" w:hAnsi="Times New Roman"/>
          <w:sz w:val="28"/>
          <w:szCs w:val="28"/>
        </w:rPr>
        <w:t xml:space="preserve">Following her gynaecological examination of </w:t>
      </w:r>
      <w:r w:rsidR="00A5434F">
        <w:rPr>
          <w:rFonts w:ascii="Times New Roman" w:hAnsi="Times New Roman"/>
          <w:sz w:val="28"/>
          <w:szCs w:val="28"/>
        </w:rPr>
        <w:t xml:space="preserve">MD, Ms Makinana concluded that her </w:t>
      </w:r>
      <w:r w:rsidR="00FA2E5A" w:rsidRPr="00777531">
        <w:rPr>
          <w:rFonts w:ascii="Times New Roman" w:hAnsi="Times New Roman"/>
          <w:i/>
          <w:sz w:val="28"/>
          <w:szCs w:val="28"/>
        </w:rPr>
        <w:t>‘</w:t>
      </w:r>
      <w:r w:rsidR="00A5434F" w:rsidRPr="00777531">
        <w:rPr>
          <w:rFonts w:ascii="Times New Roman" w:hAnsi="Times New Roman"/>
          <w:i/>
          <w:sz w:val="28"/>
          <w:szCs w:val="28"/>
        </w:rPr>
        <w:t>findings are consistent with old and fresh genital penetration, erosion of the perineum and fresh laceration in posterior</w:t>
      </w:r>
      <w:r w:rsidR="00FA2E5A" w:rsidRPr="00777531">
        <w:rPr>
          <w:rFonts w:ascii="Times New Roman" w:hAnsi="Times New Roman"/>
          <w:i/>
          <w:sz w:val="28"/>
          <w:szCs w:val="28"/>
        </w:rPr>
        <w:t xml:space="preserve"> fourchette with minimal bleeding’.</w:t>
      </w:r>
    </w:p>
    <w:p w14:paraId="0FEC5A3F" w14:textId="48145839" w:rsidR="00BD5CE5"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FA2E5A" w:rsidRPr="00673E65">
        <w:rPr>
          <w:rFonts w:ascii="Times New Roman" w:hAnsi="Times New Roman"/>
          <w:sz w:val="28"/>
          <w:szCs w:val="28"/>
        </w:rPr>
        <w:t xml:space="preserve">Ms Makinana’s report is </w:t>
      </w:r>
      <w:r w:rsidR="00503E98">
        <w:rPr>
          <w:rFonts w:ascii="Times New Roman" w:hAnsi="Times New Roman"/>
          <w:sz w:val="28"/>
          <w:szCs w:val="28"/>
        </w:rPr>
        <w:t>incorporated</w:t>
      </w:r>
      <w:r w:rsidR="00503E98" w:rsidRPr="00673E65">
        <w:rPr>
          <w:rFonts w:ascii="Times New Roman" w:hAnsi="Times New Roman"/>
          <w:sz w:val="28"/>
          <w:szCs w:val="28"/>
        </w:rPr>
        <w:t xml:space="preserve"> </w:t>
      </w:r>
      <w:r w:rsidR="00FA2E5A" w:rsidRPr="00673E65">
        <w:rPr>
          <w:rFonts w:ascii="Times New Roman" w:hAnsi="Times New Roman"/>
          <w:sz w:val="28"/>
          <w:szCs w:val="28"/>
        </w:rPr>
        <w:t xml:space="preserve">in a certificate in terms of section 212 (4) of the </w:t>
      </w:r>
      <w:r w:rsidR="00777531">
        <w:rPr>
          <w:rFonts w:ascii="Times New Roman" w:hAnsi="Times New Roman"/>
          <w:sz w:val="28"/>
          <w:szCs w:val="28"/>
        </w:rPr>
        <w:t xml:space="preserve">Criminal Procedure </w:t>
      </w:r>
      <w:r w:rsidR="00FA2E5A" w:rsidRPr="00673E65">
        <w:rPr>
          <w:rFonts w:ascii="Times New Roman" w:hAnsi="Times New Roman"/>
          <w:sz w:val="28"/>
          <w:szCs w:val="28"/>
        </w:rPr>
        <w:t>Act.</w:t>
      </w:r>
      <w:r w:rsidR="00673E65" w:rsidRPr="00673E65">
        <w:rPr>
          <w:rFonts w:ascii="Times New Roman" w:hAnsi="Times New Roman"/>
          <w:sz w:val="28"/>
          <w:szCs w:val="28"/>
        </w:rPr>
        <w:t xml:space="preserve"> She signed the certificate in her capacity as a forensic nurse.</w:t>
      </w:r>
      <w:r w:rsidR="00673E65">
        <w:rPr>
          <w:rFonts w:ascii="Times New Roman" w:hAnsi="Times New Roman"/>
          <w:sz w:val="28"/>
          <w:szCs w:val="28"/>
        </w:rPr>
        <w:t xml:space="preserve"> </w:t>
      </w:r>
      <w:r w:rsidR="00EF7D2B">
        <w:rPr>
          <w:rFonts w:ascii="Times New Roman" w:hAnsi="Times New Roman"/>
          <w:sz w:val="28"/>
          <w:szCs w:val="28"/>
        </w:rPr>
        <w:t>O</w:t>
      </w:r>
      <w:r w:rsidR="00582EB8" w:rsidRPr="00673E65">
        <w:rPr>
          <w:rFonts w:ascii="Times New Roman" w:hAnsi="Times New Roman"/>
          <w:sz w:val="28"/>
          <w:szCs w:val="28"/>
        </w:rPr>
        <w:t xml:space="preserve">f necessity, </w:t>
      </w:r>
      <w:r w:rsidR="00EF7D2B">
        <w:rPr>
          <w:rFonts w:ascii="Times New Roman" w:hAnsi="Times New Roman"/>
          <w:sz w:val="28"/>
          <w:szCs w:val="28"/>
        </w:rPr>
        <w:t xml:space="preserve">the introduction of her evidence </w:t>
      </w:r>
      <w:r w:rsidR="00582EB8" w:rsidRPr="00673E65">
        <w:rPr>
          <w:rFonts w:ascii="Times New Roman" w:hAnsi="Times New Roman"/>
          <w:sz w:val="28"/>
          <w:szCs w:val="28"/>
        </w:rPr>
        <w:t xml:space="preserve">meant that the State was required to </w:t>
      </w:r>
      <w:r w:rsidR="00EF7D2B">
        <w:rPr>
          <w:rFonts w:ascii="Times New Roman" w:hAnsi="Times New Roman"/>
          <w:sz w:val="28"/>
          <w:szCs w:val="28"/>
        </w:rPr>
        <w:t xml:space="preserve">qualify </w:t>
      </w:r>
      <w:r w:rsidR="00582EB8" w:rsidRPr="00673E65">
        <w:rPr>
          <w:rFonts w:ascii="Times New Roman" w:hAnsi="Times New Roman"/>
          <w:sz w:val="28"/>
          <w:szCs w:val="28"/>
        </w:rPr>
        <w:t xml:space="preserve">her </w:t>
      </w:r>
      <w:r w:rsidR="00EF7D2B">
        <w:rPr>
          <w:rFonts w:ascii="Times New Roman" w:hAnsi="Times New Roman"/>
          <w:sz w:val="28"/>
          <w:szCs w:val="28"/>
        </w:rPr>
        <w:t xml:space="preserve">to give </w:t>
      </w:r>
      <w:r w:rsidR="00185546">
        <w:rPr>
          <w:rFonts w:ascii="Times New Roman" w:hAnsi="Times New Roman"/>
          <w:sz w:val="28"/>
          <w:szCs w:val="28"/>
        </w:rPr>
        <w:t xml:space="preserve">testimony </w:t>
      </w:r>
      <w:r w:rsidR="00582EB8" w:rsidRPr="00673E65">
        <w:rPr>
          <w:rFonts w:ascii="Times New Roman" w:hAnsi="Times New Roman"/>
          <w:sz w:val="28"/>
          <w:szCs w:val="28"/>
        </w:rPr>
        <w:t xml:space="preserve">as a skilled individual, or differently stated – as an expert witness, by ensuring </w:t>
      </w:r>
      <w:r w:rsidR="00C90862">
        <w:rPr>
          <w:rFonts w:ascii="Times New Roman" w:hAnsi="Times New Roman"/>
          <w:sz w:val="28"/>
          <w:szCs w:val="28"/>
        </w:rPr>
        <w:t>that she was properly qualified and experienced.</w:t>
      </w:r>
    </w:p>
    <w:p w14:paraId="794EEDF6" w14:textId="3343B8C6" w:rsidR="00582EB8"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582EB8" w:rsidRPr="00673E65">
        <w:rPr>
          <w:rFonts w:ascii="Times New Roman" w:hAnsi="Times New Roman"/>
          <w:sz w:val="28"/>
          <w:szCs w:val="28"/>
        </w:rPr>
        <w:t>A person falling into a specialised category of skill is rendered competent to testify provided that a sound and proper evidential basis is laid in respect of the professional qualifications and experience of the witness.</w:t>
      </w:r>
    </w:p>
    <w:p w14:paraId="640BF6B8" w14:textId="46C29E67" w:rsidR="00546A74" w:rsidRDefault="00467BC2" w:rsidP="00467BC2">
      <w:pPr>
        <w:pStyle w:val="LegalList1"/>
        <w:spacing w:line="360" w:lineRule="auto"/>
        <w:rPr>
          <w:rFonts w:ascii="Times New Roman" w:hAnsi="Times New Roman"/>
          <w:sz w:val="28"/>
          <w:szCs w:val="28"/>
        </w:rPr>
      </w:pPr>
      <w:r>
        <w:rPr>
          <w:rFonts w:ascii="Times New Roman" w:hAnsi="Times New Roman"/>
          <w:sz w:val="28"/>
          <w:szCs w:val="28"/>
        </w:rPr>
        <w:lastRenderedPageBreak/>
        <w:t>[20]</w:t>
      </w:r>
      <w:r>
        <w:rPr>
          <w:rFonts w:ascii="Times New Roman" w:hAnsi="Times New Roman"/>
          <w:sz w:val="28"/>
          <w:szCs w:val="28"/>
        </w:rPr>
        <w:tab/>
      </w:r>
      <w:r w:rsidR="00546A74">
        <w:rPr>
          <w:rFonts w:ascii="Times New Roman" w:hAnsi="Times New Roman"/>
          <w:sz w:val="28"/>
          <w:szCs w:val="28"/>
        </w:rPr>
        <w:t xml:space="preserve">In </w:t>
      </w:r>
      <w:r w:rsidR="005615EC">
        <w:rPr>
          <w:rFonts w:ascii="Times New Roman" w:hAnsi="Times New Roman"/>
          <w:sz w:val="28"/>
          <w:szCs w:val="28"/>
        </w:rPr>
        <w:t xml:space="preserve">that regard, the Court in </w:t>
      </w:r>
      <w:r w:rsidR="00546A74" w:rsidRPr="008E5168">
        <w:rPr>
          <w:rFonts w:ascii="Times New Roman" w:hAnsi="Times New Roman"/>
          <w:i/>
          <w:sz w:val="28"/>
          <w:szCs w:val="28"/>
        </w:rPr>
        <w:t>Menday v Protea Assurance Company Limited</w:t>
      </w:r>
      <w:r w:rsidR="00546A74" w:rsidRPr="008E5168">
        <w:rPr>
          <w:rStyle w:val="FootnoteReference"/>
          <w:rFonts w:ascii="Times New Roman" w:hAnsi="Times New Roman"/>
          <w:i/>
          <w:sz w:val="28"/>
          <w:szCs w:val="28"/>
        </w:rPr>
        <w:footnoteReference w:id="14"/>
      </w:r>
      <w:r w:rsidR="005615EC">
        <w:rPr>
          <w:rFonts w:ascii="Times New Roman" w:hAnsi="Times New Roman"/>
          <w:sz w:val="28"/>
          <w:szCs w:val="28"/>
        </w:rPr>
        <w:t xml:space="preserve"> laid down the following principle governing the admissibility of expert evidence</w:t>
      </w:r>
      <w:r w:rsidR="008E5168">
        <w:rPr>
          <w:rFonts w:ascii="Times New Roman" w:hAnsi="Times New Roman"/>
          <w:sz w:val="28"/>
          <w:szCs w:val="28"/>
        </w:rPr>
        <w:t>:</w:t>
      </w:r>
    </w:p>
    <w:p w14:paraId="3A04D087" w14:textId="77777777" w:rsidR="008E5168" w:rsidRPr="00C77A10" w:rsidRDefault="00C77A10" w:rsidP="00C77A10">
      <w:pPr>
        <w:pStyle w:val="LegalList1"/>
        <w:spacing w:line="360" w:lineRule="auto"/>
        <w:rPr>
          <w:rFonts w:ascii="Times New Roman" w:hAnsi="Times New Roman"/>
        </w:rPr>
      </w:pPr>
      <w:r w:rsidRPr="00C77A10">
        <w:rPr>
          <w:rFonts w:ascii="Times New Roman" w:hAnsi="Times New Roman"/>
        </w:rPr>
        <w:t>‘</w:t>
      </w:r>
      <w:r w:rsidR="008E5168" w:rsidRPr="00C77A10">
        <w:rPr>
          <w:rFonts w:ascii="Times New Roman" w:hAnsi="Times New Roman"/>
        </w:rPr>
        <w:t>In essence the function of an expert is to assist the court to reach a conclusion on matters on which the court itself does not have the necessary knowledge to decide. It is</w:t>
      </w:r>
      <w:r w:rsidRPr="00C77A10">
        <w:rPr>
          <w:rFonts w:ascii="Times New Roman" w:hAnsi="Times New Roman"/>
        </w:rPr>
        <w:t xml:space="preserve"> not the mere opinion of the witness which is decisive but his ability to satisfy the court that, because of his special skill, training or experience, the reasons for the opinion which he expresses are acceptable… However eminent an expert may be in a general field, he does not constitute an expert in a particular sphere unless by special study or experience he is qualified to express an opinion on the topic.’</w:t>
      </w:r>
    </w:p>
    <w:p w14:paraId="65C0A328" w14:textId="1CDF8A20" w:rsidR="003700AE"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3700AE" w:rsidRPr="003700AE">
        <w:rPr>
          <w:rFonts w:ascii="Times New Roman" w:hAnsi="Times New Roman"/>
          <w:sz w:val="28"/>
          <w:szCs w:val="28"/>
        </w:rPr>
        <w:t xml:space="preserve">As for her professional qualifications, </w:t>
      </w:r>
      <w:r w:rsidR="002F3413">
        <w:rPr>
          <w:rFonts w:ascii="Times New Roman" w:hAnsi="Times New Roman"/>
          <w:sz w:val="28"/>
          <w:szCs w:val="28"/>
        </w:rPr>
        <w:t xml:space="preserve">Ms Makinana </w:t>
      </w:r>
      <w:r w:rsidR="003700AE" w:rsidRPr="003700AE">
        <w:rPr>
          <w:rFonts w:ascii="Times New Roman" w:hAnsi="Times New Roman"/>
          <w:sz w:val="28"/>
          <w:szCs w:val="28"/>
        </w:rPr>
        <w:t xml:space="preserve">stated that these include a </w:t>
      </w:r>
      <w:r w:rsidR="003700AE">
        <w:rPr>
          <w:rFonts w:ascii="Times New Roman" w:hAnsi="Times New Roman"/>
          <w:sz w:val="28"/>
          <w:szCs w:val="28"/>
        </w:rPr>
        <w:t xml:space="preserve">qualification </w:t>
      </w:r>
      <w:r w:rsidR="003700AE" w:rsidRPr="003700AE">
        <w:rPr>
          <w:rFonts w:ascii="Times New Roman" w:hAnsi="Times New Roman"/>
          <w:sz w:val="28"/>
          <w:szCs w:val="28"/>
        </w:rPr>
        <w:t xml:space="preserve">in General Nursing Science, an Advanced Diploma in Forensic Nursing, a qualification in Community Nursing Science, and further qualifications in </w:t>
      </w:r>
      <w:r w:rsidR="00B14377">
        <w:rPr>
          <w:rFonts w:ascii="Times New Roman" w:hAnsi="Times New Roman"/>
          <w:sz w:val="28"/>
          <w:szCs w:val="28"/>
        </w:rPr>
        <w:t>p</w:t>
      </w:r>
      <w:r w:rsidR="003700AE" w:rsidRPr="003700AE">
        <w:rPr>
          <w:rFonts w:ascii="Times New Roman" w:hAnsi="Times New Roman"/>
          <w:sz w:val="28"/>
          <w:szCs w:val="28"/>
        </w:rPr>
        <w:t xml:space="preserve">sychiatry and </w:t>
      </w:r>
      <w:r w:rsidR="00B14377">
        <w:rPr>
          <w:rFonts w:ascii="Times New Roman" w:hAnsi="Times New Roman"/>
          <w:sz w:val="28"/>
          <w:szCs w:val="28"/>
        </w:rPr>
        <w:t>m</w:t>
      </w:r>
      <w:r w:rsidR="003700AE" w:rsidRPr="003700AE">
        <w:rPr>
          <w:rFonts w:ascii="Times New Roman" w:hAnsi="Times New Roman"/>
          <w:sz w:val="28"/>
          <w:szCs w:val="28"/>
        </w:rPr>
        <w:t>idwifery. In relation to her experience, she testified that she has an accumulated 4 years</w:t>
      </w:r>
      <w:r w:rsidR="000866E7">
        <w:rPr>
          <w:rFonts w:ascii="Times New Roman" w:hAnsi="Times New Roman"/>
          <w:sz w:val="28"/>
          <w:szCs w:val="28"/>
        </w:rPr>
        <w:t>’</w:t>
      </w:r>
      <w:r w:rsidR="003700AE" w:rsidRPr="003700AE">
        <w:rPr>
          <w:rFonts w:ascii="Times New Roman" w:hAnsi="Times New Roman"/>
          <w:sz w:val="28"/>
          <w:szCs w:val="28"/>
        </w:rPr>
        <w:t xml:space="preserve"> </w:t>
      </w:r>
      <w:r w:rsidR="000866E7">
        <w:rPr>
          <w:rFonts w:ascii="Times New Roman" w:hAnsi="Times New Roman"/>
          <w:sz w:val="28"/>
          <w:szCs w:val="28"/>
        </w:rPr>
        <w:t>experience as a forensic nurse and approximately 17 years’ experience as a nurse. As for a description of</w:t>
      </w:r>
      <w:r w:rsidR="001D13C3">
        <w:rPr>
          <w:rFonts w:ascii="Times New Roman" w:hAnsi="Times New Roman"/>
          <w:sz w:val="28"/>
          <w:szCs w:val="28"/>
        </w:rPr>
        <w:t xml:space="preserve"> her duties she stated that she assesses rape victims and collect</w:t>
      </w:r>
      <w:r w:rsidR="00503E98">
        <w:rPr>
          <w:rFonts w:ascii="Times New Roman" w:hAnsi="Times New Roman"/>
          <w:sz w:val="28"/>
          <w:szCs w:val="28"/>
        </w:rPr>
        <w:t>s</w:t>
      </w:r>
      <w:r w:rsidR="001D13C3">
        <w:rPr>
          <w:rFonts w:ascii="Times New Roman" w:hAnsi="Times New Roman"/>
          <w:sz w:val="28"/>
          <w:szCs w:val="28"/>
        </w:rPr>
        <w:t xml:space="preserve"> forensic evidence from patients who have been sexually assaulted.</w:t>
      </w:r>
      <w:r w:rsidR="00FC3BA8">
        <w:rPr>
          <w:rFonts w:ascii="Times New Roman" w:hAnsi="Times New Roman"/>
          <w:sz w:val="28"/>
          <w:szCs w:val="28"/>
        </w:rPr>
        <w:t xml:space="preserve"> No </w:t>
      </w:r>
      <w:r w:rsidR="00230EB5">
        <w:rPr>
          <w:rFonts w:ascii="Times New Roman" w:hAnsi="Times New Roman"/>
          <w:sz w:val="28"/>
          <w:szCs w:val="28"/>
        </w:rPr>
        <w:t xml:space="preserve">clinical </w:t>
      </w:r>
      <w:r w:rsidR="00FC3BA8">
        <w:rPr>
          <w:rFonts w:ascii="Times New Roman" w:hAnsi="Times New Roman"/>
          <w:sz w:val="28"/>
          <w:szCs w:val="28"/>
        </w:rPr>
        <w:t xml:space="preserve">detail was elicited as to what she meant by assessing rape victims and </w:t>
      </w:r>
      <w:r w:rsidR="00914C8D">
        <w:rPr>
          <w:rFonts w:ascii="Times New Roman" w:hAnsi="Times New Roman"/>
          <w:sz w:val="28"/>
          <w:szCs w:val="28"/>
        </w:rPr>
        <w:t>by collecting forensic evidence</w:t>
      </w:r>
      <w:r w:rsidR="00B52CC0">
        <w:rPr>
          <w:rFonts w:ascii="Times New Roman" w:hAnsi="Times New Roman"/>
          <w:sz w:val="28"/>
          <w:szCs w:val="28"/>
        </w:rPr>
        <w:t xml:space="preserve">. This evidence would have laid the foundation for assessing her </w:t>
      </w:r>
      <w:r w:rsidR="00017E13">
        <w:rPr>
          <w:rFonts w:ascii="Times New Roman" w:hAnsi="Times New Roman"/>
          <w:sz w:val="28"/>
          <w:szCs w:val="28"/>
        </w:rPr>
        <w:t>experience and competency</w:t>
      </w:r>
      <w:r w:rsidR="00B52CC0">
        <w:rPr>
          <w:rFonts w:ascii="Times New Roman" w:hAnsi="Times New Roman"/>
          <w:sz w:val="28"/>
          <w:szCs w:val="28"/>
        </w:rPr>
        <w:t xml:space="preserve"> to conduct gynaecological examinations of rape victims and to express </w:t>
      </w:r>
      <w:r w:rsidR="00017E13">
        <w:rPr>
          <w:rFonts w:ascii="Times New Roman" w:hAnsi="Times New Roman"/>
          <w:sz w:val="28"/>
          <w:szCs w:val="28"/>
        </w:rPr>
        <w:t xml:space="preserve">an </w:t>
      </w:r>
      <w:r w:rsidR="00B52CC0">
        <w:rPr>
          <w:rFonts w:ascii="Times New Roman" w:hAnsi="Times New Roman"/>
          <w:sz w:val="28"/>
          <w:szCs w:val="28"/>
        </w:rPr>
        <w:t>opinion on her clinical findings.</w:t>
      </w:r>
    </w:p>
    <w:p w14:paraId="2A4026C0" w14:textId="6F0E910D" w:rsidR="00F47132" w:rsidRPr="00F47132" w:rsidRDefault="00467BC2" w:rsidP="00467BC2">
      <w:pPr>
        <w:pStyle w:val="LegalList1"/>
        <w:spacing w:line="360" w:lineRule="auto"/>
        <w:rPr>
          <w:rFonts w:ascii="Times New Roman" w:hAnsi="Times New Roman"/>
          <w:sz w:val="28"/>
          <w:szCs w:val="28"/>
        </w:rPr>
      </w:pPr>
      <w:r w:rsidRPr="00F47132">
        <w:rPr>
          <w:rFonts w:ascii="Times New Roman" w:hAnsi="Times New Roman"/>
          <w:sz w:val="28"/>
          <w:szCs w:val="28"/>
        </w:rPr>
        <w:t>[22]</w:t>
      </w:r>
      <w:r w:rsidRPr="00F47132">
        <w:rPr>
          <w:rFonts w:ascii="Times New Roman" w:hAnsi="Times New Roman"/>
          <w:sz w:val="28"/>
          <w:szCs w:val="28"/>
        </w:rPr>
        <w:tab/>
      </w:r>
      <w:r w:rsidR="00300C74" w:rsidRPr="00F47132">
        <w:rPr>
          <w:rFonts w:ascii="Times New Roman" w:hAnsi="Times New Roman"/>
          <w:sz w:val="28"/>
          <w:szCs w:val="28"/>
        </w:rPr>
        <w:t xml:space="preserve">During argument </w:t>
      </w:r>
      <w:r w:rsidR="00230EB5">
        <w:rPr>
          <w:rFonts w:ascii="Times New Roman" w:hAnsi="Times New Roman"/>
          <w:sz w:val="28"/>
          <w:szCs w:val="28"/>
        </w:rPr>
        <w:t xml:space="preserve">it was </w:t>
      </w:r>
      <w:r w:rsidR="00300C74" w:rsidRPr="00F47132">
        <w:rPr>
          <w:rFonts w:ascii="Times New Roman" w:hAnsi="Times New Roman"/>
          <w:sz w:val="28"/>
          <w:szCs w:val="28"/>
        </w:rPr>
        <w:t xml:space="preserve">specifically raised with </w:t>
      </w:r>
      <w:r w:rsidR="00FA6A0E">
        <w:rPr>
          <w:rFonts w:ascii="Times New Roman" w:hAnsi="Times New Roman"/>
          <w:sz w:val="28"/>
          <w:szCs w:val="28"/>
        </w:rPr>
        <w:t>the State</w:t>
      </w:r>
      <w:r w:rsidR="00CC1AE7" w:rsidRPr="00F47132">
        <w:rPr>
          <w:rFonts w:ascii="Times New Roman" w:hAnsi="Times New Roman"/>
          <w:sz w:val="28"/>
          <w:szCs w:val="28"/>
        </w:rPr>
        <w:t xml:space="preserve"> </w:t>
      </w:r>
      <w:r w:rsidR="00300C74" w:rsidRPr="00F47132">
        <w:rPr>
          <w:rFonts w:ascii="Times New Roman" w:hAnsi="Times New Roman"/>
          <w:sz w:val="28"/>
          <w:szCs w:val="28"/>
        </w:rPr>
        <w:t>whether the certificate under section 212 (4) was relied upon</w:t>
      </w:r>
      <w:r w:rsidR="00CC1AE7" w:rsidRPr="00F47132">
        <w:rPr>
          <w:rFonts w:ascii="Times New Roman" w:hAnsi="Times New Roman"/>
          <w:sz w:val="28"/>
          <w:szCs w:val="28"/>
        </w:rPr>
        <w:t xml:space="preserve"> in qualifying Ms Makinana as an expert witness</w:t>
      </w:r>
      <w:r w:rsidR="00300C74" w:rsidRPr="00F47132">
        <w:rPr>
          <w:rFonts w:ascii="Times New Roman" w:hAnsi="Times New Roman"/>
          <w:sz w:val="28"/>
          <w:szCs w:val="28"/>
        </w:rPr>
        <w:t xml:space="preserve">. </w:t>
      </w:r>
      <w:r w:rsidR="00230EB5">
        <w:rPr>
          <w:rFonts w:ascii="Times New Roman" w:hAnsi="Times New Roman"/>
          <w:sz w:val="28"/>
          <w:szCs w:val="28"/>
        </w:rPr>
        <w:t xml:space="preserve">This was done </w:t>
      </w:r>
      <w:r w:rsidR="00C10B29">
        <w:rPr>
          <w:rFonts w:ascii="Times New Roman" w:hAnsi="Times New Roman"/>
          <w:sz w:val="28"/>
          <w:szCs w:val="28"/>
        </w:rPr>
        <w:t xml:space="preserve">for the reason, </w:t>
      </w:r>
      <w:r w:rsidR="00C10B29" w:rsidRPr="00C10B29">
        <w:rPr>
          <w:rFonts w:ascii="Times New Roman" w:hAnsi="Times New Roman"/>
          <w:i/>
          <w:sz w:val="28"/>
          <w:szCs w:val="28"/>
        </w:rPr>
        <w:t>inter alia</w:t>
      </w:r>
      <w:r w:rsidR="00C10B29">
        <w:rPr>
          <w:rFonts w:ascii="Times New Roman" w:hAnsi="Times New Roman"/>
          <w:sz w:val="28"/>
          <w:szCs w:val="28"/>
        </w:rPr>
        <w:t>,</w:t>
      </w:r>
      <w:r w:rsidR="000F64C1" w:rsidRPr="00F47132">
        <w:rPr>
          <w:rFonts w:ascii="Times New Roman" w:hAnsi="Times New Roman"/>
          <w:sz w:val="28"/>
          <w:szCs w:val="28"/>
        </w:rPr>
        <w:t xml:space="preserve"> that there are clear indications that the certificate has not been fully completed. Sections which </w:t>
      </w:r>
      <w:r w:rsidR="00D7388A" w:rsidRPr="00F47132">
        <w:rPr>
          <w:rFonts w:ascii="Times New Roman" w:hAnsi="Times New Roman"/>
          <w:sz w:val="28"/>
          <w:szCs w:val="28"/>
        </w:rPr>
        <w:t xml:space="preserve">are </w:t>
      </w:r>
      <w:r w:rsidR="000F64C1" w:rsidRPr="00F47132">
        <w:rPr>
          <w:rFonts w:ascii="Times New Roman" w:hAnsi="Times New Roman"/>
          <w:sz w:val="28"/>
          <w:szCs w:val="28"/>
        </w:rPr>
        <w:t>require</w:t>
      </w:r>
      <w:r w:rsidR="00D7388A" w:rsidRPr="00F47132">
        <w:rPr>
          <w:rFonts w:ascii="Times New Roman" w:hAnsi="Times New Roman"/>
          <w:sz w:val="28"/>
          <w:szCs w:val="28"/>
        </w:rPr>
        <w:t>d</w:t>
      </w:r>
      <w:r w:rsidR="000F64C1" w:rsidRPr="00F47132">
        <w:rPr>
          <w:rFonts w:ascii="Times New Roman" w:hAnsi="Times New Roman"/>
          <w:sz w:val="28"/>
          <w:szCs w:val="28"/>
        </w:rPr>
        <w:t xml:space="preserve"> to be deleted where they are not applicable</w:t>
      </w:r>
      <w:r w:rsidR="00C90862">
        <w:rPr>
          <w:rFonts w:ascii="Times New Roman" w:hAnsi="Times New Roman"/>
          <w:sz w:val="28"/>
          <w:szCs w:val="28"/>
        </w:rPr>
        <w:t>,</w:t>
      </w:r>
      <w:r w:rsidR="000F64C1" w:rsidRPr="00F47132">
        <w:rPr>
          <w:rFonts w:ascii="Times New Roman" w:hAnsi="Times New Roman"/>
          <w:sz w:val="28"/>
          <w:szCs w:val="28"/>
        </w:rPr>
        <w:t xml:space="preserve"> have not </w:t>
      </w:r>
      <w:r w:rsidR="00D7388A" w:rsidRPr="00F47132">
        <w:rPr>
          <w:rFonts w:ascii="Times New Roman" w:hAnsi="Times New Roman"/>
          <w:sz w:val="28"/>
          <w:szCs w:val="28"/>
        </w:rPr>
        <w:t>been so deleted.</w:t>
      </w:r>
      <w:r w:rsidR="00230EB5" w:rsidRPr="00230EB5">
        <w:rPr>
          <w:rFonts w:ascii="Times New Roman" w:hAnsi="Times New Roman"/>
          <w:sz w:val="28"/>
          <w:szCs w:val="28"/>
        </w:rPr>
        <w:t xml:space="preserve"> </w:t>
      </w:r>
      <w:r w:rsidR="00230EB5">
        <w:rPr>
          <w:rFonts w:ascii="Times New Roman" w:hAnsi="Times New Roman"/>
          <w:sz w:val="28"/>
          <w:szCs w:val="28"/>
        </w:rPr>
        <w:lastRenderedPageBreak/>
        <w:t>T</w:t>
      </w:r>
      <w:r w:rsidR="00F47132">
        <w:rPr>
          <w:rFonts w:ascii="Times New Roman" w:hAnsi="Times New Roman"/>
          <w:sz w:val="28"/>
          <w:szCs w:val="28"/>
        </w:rPr>
        <w:t xml:space="preserve">he certificate </w:t>
      </w:r>
      <w:r w:rsidR="00230EB5">
        <w:rPr>
          <w:rFonts w:ascii="Times New Roman" w:hAnsi="Times New Roman"/>
          <w:sz w:val="28"/>
          <w:szCs w:val="28"/>
        </w:rPr>
        <w:t xml:space="preserve">also </w:t>
      </w:r>
      <w:r w:rsidR="00F47132">
        <w:rPr>
          <w:rFonts w:ascii="Times New Roman" w:hAnsi="Times New Roman"/>
          <w:sz w:val="28"/>
          <w:szCs w:val="28"/>
        </w:rPr>
        <w:t xml:space="preserve">contains </w:t>
      </w:r>
      <w:r w:rsidR="0039565D">
        <w:rPr>
          <w:rFonts w:ascii="Times New Roman" w:hAnsi="Times New Roman"/>
          <w:sz w:val="28"/>
          <w:szCs w:val="28"/>
        </w:rPr>
        <w:t>a declaration to the effect that t</w:t>
      </w:r>
      <w:r w:rsidR="00F47132" w:rsidRPr="00F47132">
        <w:rPr>
          <w:rFonts w:ascii="Times New Roman" w:hAnsi="Times New Roman"/>
          <w:sz w:val="28"/>
          <w:szCs w:val="28"/>
        </w:rPr>
        <w:t xml:space="preserve">he </w:t>
      </w:r>
      <w:r w:rsidR="0039565D">
        <w:rPr>
          <w:rFonts w:ascii="Times New Roman" w:hAnsi="Times New Roman"/>
          <w:sz w:val="28"/>
          <w:szCs w:val="28"/>
        </w:rPr>
        <w:t xml:space="preserve">findings and observations recorded on the form J88 </w:t>
      </w:r>
      <w:r w:rsidR="00F47132" w:rsidRPr="00F47132">
        <w:rPr>
          <w:rFonts w:ascii="Times New Roman" w:hAnsi="Times New Roman"/>
          <w:sz w:val="28"/>
          <w:szCs w:val="28"/>
        </w:rPr>
        <w:t>were established by an examination requiring sk</w:t>
      </w:r>
      <w:r w:rsidR="00DB7DE8">
        <w:rPr>
          <w:rFonts w:ascii="Times New Roman" w:hAnsi="Times New Roman"/>
          <w:sz w:val="28"/>
          <w:szCs w:val="28"/>
        </w:rPr>
        <w:t>ills in physiology and anatomy.</w:t>
      </w:r>
    </w:p>
    <w:p w14:paraId="7A1B58D5" w14:textId="3D5488BD" w:rsidR="00017E13"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FA6A0E" w:rsidRPr="009867EA">
        <w:rPr>
          <w:rFonts w:ascii="Times New Roman" w:hAnsi="Times New Roman"/>
          <w:sz w:val="28"/>
          <w:szCs w:val="28"/>
        </w:rPr>
        <w:t xml:space="preserve">The State contended </w:t>
      </w:r>
      <w:r w:rsidR="00CC1AE7" w:rsidRPr="009867EA">
        <w:rPr>
          <w:rFonts w:ascii="Times New Roman" w:hAnsi="Times New Roman"/>
          <w:sz w:val="28"/>
          <w:szCs w:val="28"/>
        </w:rPr>
        <w:t xml:space="preserve">that </w:t>
      </w:r>
      <w:r w:rsidR="00FA6A0E" w:rsidRPr="009867EA">
        <w:rPr>
          <w:rFonts w:ascii="Times New Roman" w:hAnsi="Times New Roman"/>
          <w:sz w:val="28"/>
          <w:szCs w:val="28"/>
        </w:rPr>
        <w:t xml:space="preserve">it </w:t>
      </w:r>
      <w:r w:rsidR="00CC1AE7" w:rsidRPr="009867EA">
        <w:rPr>
          <w:rFonts w:ascii="Times New Roman" w:hAnsi="Times New Roman"/>
          <w:sz w:val="28"/>
          <w:szCs w:val="28"/>
        </w:rPr>
        <w:t>did not rely on the certificate</w:t>
      </w:r>
      <w:r w:rsidR="002F3413" w:rsidRPr="009867EA">
        <w:rPr>
          <w:rFonts w:ascii="Times New Roman" w:hAnsi="Times New Roman"/>
          <w:sz w:val="28"/>
          <w:szCs w:val="28"/>
        </w:rPr>
        <w:t xml:space="preserve"> and submitted that the </w:t>
      </w:r>
      <w:r w:rsidR="002F3413" w:rsidRPr="009867EA">
        <w:rPr>
          <w:rFonts w:ascii="Times New Roman" w:hAnsi="Times New Roman"/>
          <w:i/>
          <w:sz w:val="28"/>
          <w:szCs w:val="28"/>
        </w:rPr>
        <w:t>viva voce</w:t>
      </w:r>
      <w:r w:rsidR="002F3413" w:rsidRPr="009867EA">
        <w:rPr>
          <w:rFonts w:ascii="Times New Roman" w:hAnsi="Times New Roman"/>
          <w:sz w:val="28"/>
          <w:szCs w:val="28"/>
        </w:rPr>
        <w:t xml:space="preserve"> evidence of Ms M</w:t>
      </w:r>
      <w:r w:rsidR="00B00CCB" w:rsidRPr="009867EA">
        <w:rPr>
          <w:rFonts w:ascii="Times New Roman" w:hAnsi="Times New Roman"/>
          <w:sz w:val="28"/>
          <w:szCs w:val="28"/>
        </w:rPr>
        <w:t>akinana</w:t>
      </w:r>
      <w:r w:rsidR="002F3413" w:rsidRPr="009867EA">
        <w:rPr>
          <w:rFonts w:ascii="Times New Roman" w:hAnsi="Times New Roman"/>
          <w:sz w:val="28"/>
          <w:szCs w:val="28"/>
        </w:rPr>
        <w:t xml:space="preserve"> was sufficient to qualify her as an expert witness. </w:t>
      </w:r>
      <w:r w:rsidR="008432A0" w:rsidRPr="009867EA">
        <w:rPr>
          <w:rFonts w:ascii="Times New Roman" w:hAnsi="Times New Roman"/>
          <w:sz w:val="28"/>
          <w:szCs w:val="28"/>
        </w:rPr>
        <w:t xml:space="preserve">I disagree. </w:t>
      </w:r>
      <w:r w:rsidR="00D7388A" w:rsidRPr="009867EA">
        <w:rPr>
          <w:rFonts w:ascii="Times New Roman" w:hAnsi="Times New Roman"/>
          <w:sz w:val="28"/>
          <w:szCs w:val="28"/>
        </w:rPr>
        <w:t xml:space="preserve">The anomaly </w:t>
      </w:r>
      <w:r w:rsidR="00C47176" w:rsidRPr="009867EA">
        <w:rPr>
          <w:rFonts w:ascii="Times New Roman" w:hAnsi="Times New Roman"/>
          <w:sz w:val="28"/>
          <w:szCs w:val="28"/>
        </w:rPr>
        <w:t>in</w:t>
      </w:r>
      <w:r w:rsidR="00D7388A" w:rsidRPr="009867EA">
        <w:rPr>
          <w:rFonts w:ascii="Times New Roman" w:hAnsi="Times New Roman"/>
          <w:sz w:val="28"/>
          <w:szCs w:val="28"/>
        </w:rPr>
        <w:t xml:space="preserve"> </w:t>
      </w:r>
      <w:r w:rsidR="00F04A37">
        <w:rPr>
          <w:rFonts w:ascii="Times New Roman" w:hAnsi="Times New Roman"/>
          <w:sz w:val="28"/>
          <w:szCs w:val="28"/>
        </w:rPr>
        <w:t xml:space="preserve">the </w:t>
      </w:r>
      <w:r w:rsidR="00FA6A0E" w:rsidRPr="009867EA">
        <w:rPr>
          <w:rFonts w:ascii="Times New Roman" w:hAnsi="Times New Roman"/>
          <w:sz w:val="28"/>
          <w:szCs w:val="28"/>
        </w:rPr>
        <w:t xml:space="preserve">State’s </w:t>
      </w:r>
      <w:r w:rsidR="00D7388A" w:rsidRPr="009867EA">
        <w:rPr>
          <w:rFonts w:ascii="Times New Roman" w:hAnsi="Times New Roman"/>
          <w:sz w:val="28"/>
          <w:szCs w:val="28"/>
        </w:rPr>
        <w:t xml:space="preserve">submission is that the certificate </w:t>
      </w:r>
      <w:r w:rsidR="00B00CCB" w:rsidRPr="009867EA">
        <w:rPr>
          <w:rFonts w:ascii="Times New Roman" w:hAnsi="Times New Roman"/>
          <w:sz w:val="28"/>
          <w:szCs w:val="28"/>
        </w:rPr>
        <w:t xml:space="preserve">which includes the medical report </w:t>
      </w:r>
      <w:r w:rsidR="00D7388A" w:rsidRPr="009867EA">
        <w:rPr>
          <w:rFonts w:ascii="Times New Roman" w:hAnsi="Times New Roman"/>
          <w:sz w:val="28"/>
          <w:szCs w:val="28"/>
        </w:rPr>
        <w:t xml:space="preserve">was handed into evidence as an exhibit. </w:t>
      </w:r>
      <w:r w:rsidR="000E5D8A" w:rsidRPr="009867EA">
        <w:rPr>
          <w:rFonts w:ascii="Times New Roman" w:hAnsi="Times New Roman"/>
          <w:sz w:val="28"/>
          <w:szCs w:val="28"/>
        </w:rPr>
        <w:t>It is perplexing that t</w:t>
      </w:r>
      <w:r w:rsidR="008432A0" w:rsidRPr="009867EA">
        <w:rPr>
          <w:rFonts w:ascii="Times New Roman" w:hAnsi="Times New Roman"/>
          <w:sz w:val="28"/>
          <w:szCs w:val="28"/>
        </w:rPr>
        <w:t xml:space="preserve">he </w:t>
      </w:r>
      <w:r w:rsidR="009F4DC3" w:rsidRPr="009867EA">
        <w:rPr>
          <w:rFonts w:ascii="Times New Roman" w:hAnsi="Times New Roman"/>
          <w:sz w:val="28"/>
          <w:szCs w:val="28"/>
        </w:rPr>
        <w:t>S</w:t>
      </w:r>
      <w:r w:rsidR="008432A0" w:rsidRPr="009867EA">
        <w:rPr>
          <w:rFonts w:ascii="Times New Roman" w:hAnsi="Times New Roman"/>
          <w:sz w:val="28"/>
          <w:szCs w:val="28"/>
        </w:rPr>
        <w:t>tate disavow</w:t>
      </w:r>
      <w:r w:rsidR="000E5D8A" w:rsidRPr="009867EA">
        <w:rPr>
          <w:rFonts w:ascii="Times New Roman" w:hAnsi="Times New Roman"/>
          <w:sz w:val="28"/>
          <w:szCs w:val="28"/>
        </w:rPr>
        <w:t>s</w:t>
      </w:r>
      <w:r w:rsidR="008432A0" w:rsidRPr="009867EA">
        <w:rPr>
          <w:rFonts w:ascii="Times New Roman" w:hAnsi="Times New Roman"/>
          <w:sz w:val="28"/>
          <w:szCs w:val="28"/>
        </w:rPr>
        <w:t xml:space="preserve"> reliance on one part of what is after all a composite document</w:t>
      </w:r>
      <w:r w:rsidR="00AB3D09">
        <w:rPr>
          <w:rFonts w:ascii="Times New Roman" w:hAnsi="Times New Roman"/>
          <w:sz w:val="28"/>
          <w:szCs w:val="28"/>
        </w:rPr>
        <w:t>,</w:t>
      </w:r>
      <w:r w:rsidR="008432A0" w:rsidRPr="009867EA">
        <w:rPr>
          <w:rFonts w:ascii="Times New Roman" w:hAnsi="Times New Roman"/>
          <w:sz w:val="28"/>
          <w:szCs w:val="28"/>
        </w:rPr>
        <w:t xml:space="preserve"> and then seek</w:t>
      </w:r>
      <w:r w:rsidR="000E5D8A" w:rsidRPr="009867EA">
        <w:rPr>
          <w:rFonts w:ascii="Times New Roman" w:hAnsi="Times New Roman"/>
          <w:sz w:val="28"/>
          <w:szCs w:val="28"/>
        </w:rPr>
        <w:t>s</w:t>
      </w:r>
      <w:r w:rsidR="008432A0" w:rsidRPr="009867EA">
        <w:rPr>
          <w:rFonts w:ascii="Times New Roman" w:hAnsi="Times New Roman"/>
          <w:sz w:val="28"/>
          <w:szCs w:val="28"/>
        </w:rPr>
        <w:t xml:space="preserve"> reliance on another part</w:t>
      </w:r>
      <w:r w:rsidR="00C64905" w:rsidRPr="009867EA">
        <w:rPr>
          <w:rFonts w:ascii="Times New Roman" w:hAnsi="Times New Roman"/>
          <w:sz w:val="28"/>
          <w:szCs w:val="28"/>
        </w:rPr>
        <w:t xml:space="preserve"> </w:t>
      </w:r>
      <w:r w:rsidR="00AB3D09">
        <w:rPr>
          <w:rFonts w:ascii="Times New Roman" w:hAnsi="Times New Roman"/>
          <w:sz w:val="28"/>
          <w:szCs w:val="28"/>
        </w:rPr>
        <w:t>which</w:t>
      </w:r>
      <w:r w:rsidR="00C64905" w:rsidRPr="009867EA">
        <w:rPr>
          <w:rFonts w:ascii="Times New Roman" w:hAnsi="Times New Roman"/>
          <w:sz w:val="28"/>
          <w:szCs w:val="28"/>
        </w:rPr>
        <w:t xml:space="preserve"> express</w:t>
      </w:r>
      <w:r w:rsidR="00AB3D09">
        <w:rPr>
          <w:rFonts w:ascii="Times New Roman" w:hAnsi="Times New Roman"/>
          <w:sz w:val="28"/>
          <w:szCs w:val="28"/>
        </w:rPr>
        <w:t>es</w:t>
      </w:r>
      <w:r w:rsidR="00C64905" w:rsidRPr="009867EA">
        <w:rPr>
          <w:rFonts w:ascii="Times New Roman" w:hAnsi="Times New Roman"/>
          <w:sz w:val="28"/>
          <w:szCs w:val="28"/>
        </w:rPr>
        <w:t xml:space="preserve"> a conclusion in support of the case it advances</w:t>
      </w:r>
      <w:r w:rsidR="008432A0" w:rsidRPr="009867EA">
        <w:rPr>
          <w:rFonts w:ascii="Times New Roman" w:hAnsi="Times New Roman"/>
          <w:sz w:val="28"/>
          <w:szCs w:val="28"/>
        </w:rPr>
        <w:t>.</w:t>
      </w:r>
    </w:p>
    <w:p w14:paraId="062BCF5B" w14:textId="220F3AEE" w:rsidR="00017E13"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009C13BA" w:rsidRPr="009867EA">
        <w:rPr>
          <w:rFonts w:ascii="Times New Roman" w:hAnsi="Times New Roman"/>
          <w:sz w:val="28"/>
          <w:szCs w:val="28"/>
        </w:rPr>
        <w:t>It is n</w:t>
      </w:r>
      <w:r w:rsidR="008432A0" w:rsidRPr="009867EA">
        <w:rPr>
          <w:rFonts w:ascii="Times New Roman" w:hAnsi="Times New Roman"/>
          <w:sz w:val="28"/>
          <w:szCs w:val="28"/>
        </w:rPr>
        <w:t xml:space="preserve">owhere </w:t>
      </w:r>
      <w:r w:rsidR="009C13BA" w:rsidRPr="009867EA">
        <w:rPr>
          <w:rFonts w:ascii="Times New Roman" w:hAnsi="Times New Roman"/>
          <w:sz w:val="28"/>
          <w:szCs w:val="28"/>
        </w:rPr>
        <w:t xml:space="preserve">apparent </w:t>
      </w:r>
      <w:r w:rsidR="008432A0" w:rsidRPr="009867EA">
        <w:rPr>
          <w:rFonts w:ascii="Times New Roman" w:hAnsi="Times New Roman"/>
          <w:sz w:val="28"/>
          <w:szCs w:val="28"/>
        </w:rPr>
        <w:t>in M</w:t>
      </w:r>
      <w:r w:rsidR="009F4DC3" w:rsidRPr="009867EA">
        <w:rPr>
          <w:rFonts w:ascii="Times New Roman" w:hAnsi="Times New Roman"/>
          <w:sz w:val="28"/>
          <w:szCs w:val="28"/>
        </w:rPr>
        <w:t>s</w:t>
      </w:r>
      <w:r w:rsidR="009C13BA" w:rsidRPr="009867EA">
        <w:rPr>
          <w:rFonts w:ascii="Times New Roman" w:hAnsi="Times New Roman"/>
          <w:sz w:val="28"/>
          <w:szCs w:val="28"/>
        </w:rPr>
        <w:t> </w:t>
      </w:r>
      <w:r w:rsidR="008432A0" w:rsidRPr="009867EA">
        <w:rPr>
          <w:rFonts w:ascii="Times New Roman" w:hAnsi="Times New Roman"/>
          <w:sz w:val="28"/>
          <w:szCs w:val="28"/>
        </w:rPr>
        <w:t>Makinana’s</w:t>
      </w:r>
      <w:r w:rsidR="009F4DC3" w:rsidRPr="009867EA">
        <w:rPr>
          <w:rFonts w:ascii="Times New Roman" w:hAnsi="Times New Roman"/>
          <w:sz w:val="28"/>
          <w:szCs w:val="28"/>
        </w:rPr>
        <w:t xml:space="preserve"> </w:t>
      </w:r>
      <w:r w:rsidR="009C13BA" w:rsidRPr="009867EA">
        <w:rPr>
          <w:rFonts w:ascii="Times New Roman" w:hAnsi="Times New Roman"/>
          <w:sz w:val="28"/>
          <w:szCs w:val="28"/>
        </w:rPr>
        <w:t>testimony</w:t>
      </w:r>
      <w:r w:rsidR="009F4DC3" w:rsidRPr="009867EA">
        <w:rPr>
          <w:rFonts w:ascii="Times New Roman" w:hAnsi="Times New Roman"/>
          <w:sz w:val="28"/>
          <w:szCs w:val="28"/>
        </w:rPr>
        <w:t xml:space="preserve"> that she is </w:t>
      </w:r>
      <w:r w:rsidR="00582EB8" w:rsidRPr="009867EA">
        <w:rPr>
          <w:rFonts w:ascii="Times New Roman" w:hAnsi="Times New Roman"/>
          <w:sz w:val="28"/>
          <w:szCs w:val="28"/>
        </w:rPr>
        <w:t>properly qualified and experienced</w:t>
      </w:r>
      <w:r w:rsidR="009F4DC3" w:rsidRPr="009867EA">
        <w:rPr>
          <w:rFonts w:ascii="Times New Roman" w:hAnsi="Times New Roman"/>
          <w:sz w:val="28"/>
          <w:szCs w:val="28"/>
        </w:rPr>
        <w:t>,</w:t>
      </w:r>
      <w:r w:rsidR="00582EB8" w:rsidRPr="009867EA">
        <w:rPr>
          <w:rFonts w:ascii="Times New Roman" w:hAnsi="Times New Roman"/>
          <w:sz w:val="28"/>
          <w:szCs w:val="28"/>
        </w:rPr>
        <w:t xml:space="preserve"> and therefore rendered competent to testify and express a conclusion contingent upon skill in anatomy and physiology.</w:t>
      </w:r>
    </w:p>
    <w:p w14:paraId="59BE7FCB" w14:textId="298302CD" w:rsidR="004A3F2C" w:rsidRPr="009867EA" w:rsidRDefault="00467BC2" w:rsidP="00467BC2">
      <w:pPr>
        <w:pStyle w:val="LegalList1"/>
        <w:spacing w:line="360" w:lineRule="auto"/>
        <w:rPr>
          <w:rFonts w:ascii="Times New Roman" w:hAnsi="Times New Roman"/>
          <w:sz w:val="28"/>
          <w:szCs w:val="28"/>
        </w:rPr>
      </w:pPr>
      <w:r w:rsidRPr="009867EA">
        <w:rPr>
          <w:rFonts w:ascii="Times New Roman" w:hAnsi="Times New Roman"/>
          <w:sz w:val="28"/>
          <w:szCs w:val="28"/>
        </w:rPr>
        <w:t>[25]</w:t>
      </w:r>
      <w:r w:rsidRPr="009867EA">
        <w:rPr>
          <w:rFonts w:ascii="Times New Roman" w:hAnsi="Times New Roman"/>
          <w:sz w:val="28"/>
          <w:szCs w:val="28"/>
        </w:rPr>
        <w:tab/>
      </w:r>
      <w:r w:rsidR="006F5148" w:rsidRPr="009867EA">
        <w:rPr>
          <w:rFonts w:ascii="Times New Roman" w:hAnsi="Times New Roman"/>
          <w:sz w:val="28"/>
          <w:szCs w:val="28"/>
        </w:rPr>
        <w:t>It will also be no</w:t>
      </w:r>
      <w:r w:rsidR="009C13BA" w:rsidRPr="009867EA">
        <w:rPr>
          <w:rFonts w:ascii="Times New Roman" w:hAnsi="Times New Roman"/>
          <w:sz w:val="28"/>
          <w:szCs w:val="28"/>
        </w:rPr>
        <w:t xml:space="preserve">ted from the certificate that she </w:t>
      </w:r>
      <w:r w:rsidR="009A7D4D" w:rsidRPr="009867EA">
        <w:rPr>
          <w:rFonts w:ascii="Times New Roman" w:hAnsi="Times New Roman"/>
          <w:sz w:val="28"/>
          <w:szCs w:val="28"/>
        </w:rPr>
        <w:t xml:space="preserve">discloses what appears to be </w:t>
      </w:r>
      <w:r w:rsidR="002363B7" w:rsidRPr="009867EA">
        <w:rPr>
          <w:rFonts w:ascii="Times New Roman" w:hAnsi="Times New Roman"/>
          <w:sz w:val="28"/>
          <w:szCs w:val="28"/>
        </w:rPr>
        <w:t>her professional registration number</w:t>
      </w:r>
      <w:r w:rsidR="00D95C81" w:rsidRPr="009867EA">
        <w:rPr>
          <w:rFonts w:ascii="Times New Roman" w:hAnsi="Times New Roman"/>
          <w:sz w:val="28"/>
          <w:szCs w:val="28"/>
        </w:rPr>
        <w:t>,</w:t>
      </w:r>
      <w:r w:rsidR="002363B7" w:rsidRPr="009867EA">
        <w:rPr>
          <w:rFonts w:ascii="Times New Roman" w:hAnsi="Times New Roman"/>
          <w:sz w:val="28"/>
          <w:szCs w:val="28"/>
        </w:rPr>
        <w:t xml:space="preserve"> or perhaps an employee number</w:t>
      </w:r>
      <w:r w:rsidR="00C706B8" w:rsidRPr="009867EA">
        <w:rPr>
          <w:rFonts w:ascii="Times New Roman" w:hAnsi="Times New Roman"/>
          <w:sz w:val="28"/>
          <w:szCs w:val="28"/>
        </w:rPr>
        <w:t>. She was not asked to clarify this</w:t>
      </w:r>
      <w:r w:rsidR="002363B7" w:rsidRPr="009867EA">
        <w:rPr>
          <w:rFonts w:ascii="Times New Roman" w:hAnsi="Times New Roman"/>
          <w:sz w:val="28"/>
          <w:szCs w:val="28"/>
        </w:rPr>
        <w:t xml:space="preserve">, much less </w:t>
      </w:r>
      <w:r w:rsidR="00C706B8" w:rsidRPr="009867EA">
        <w:rPr>
          <w:rFonts w:ascii="Times New Roman" w:hAnsi="Times New Roman"/>
          <w:sz w:val="28"/>
          <w:szCs w:val="28"/>
        </w:rPr>
        <w:t>w</w:t>
      </w:r>
      <w:r w:rsidR="00D95C81" w:rsidRPr="009867EA">
        <w:rPr>
          <w:rFonts w:ascii="Times New Roman" w:hAnsi="Times New Roman"/>
          <w:sz w:val="28"/>
          <w:szCs w:val="28"/>
        </w:rPr>
        <w:t>as</w:t>
      </w:r>
      <w:r w:rsidR="00C706B8" w:rsidRPr="009867EA">
        <w:rPr>
          <w:rFonts w:ascii="Times New Roman" w:hAnsi="Times New Roman"/>
          <w:sz w:val="28"/>
          <w:szCs w:val="28"/>
        </w:rPr>
        <w:t xml:space="preserve"> she asked whether she is affiliated to or enjoys recognition </w:t>
      </w:r>
      <w:r w:rsidR="001D3F31" w:rsidRPr="009867EA">
        <w:rPr>
          <w:rFonts w:ascii="Times New Roman" w:hAnsi="Times New Roman"/>
          <w:sz w:val="28"/>
          <w:szCs w:val="28"/>
        </w:rPr>
        <w:t xml:space="preserve">with a professional body </w:t>
      </w:r>
      <w:r w:rsidR="00C706B8" w:rsidRPr="009867EA">
        <w:rPr>
          <w:rFonts w:ascii="Times New Roman" w:hAnsi="Times New Roman"/>
          <w:sz w:val="28"/>
          <w:szCs w:val="28"/>
        </w:rPr>
        <w:t xml:space="preserve">as a </w:t>
      </w:r>
      <w:r w:rsidR="001D3F31" w:rsidRPr="009867EA">
        <w:rPr>
          <w:rFonts w:ascii="Times New Roman" w:hAnsi="Times New Roman"/>
          <w:sz w:val="28"/>
          <w:szCs w:val="28"/>
        </w:rPr>
        <w:t xml:space="preserve">registered </w:t>
      </w:r>
      <w:r w:rsidR="00C706B8" w:rsidRPr="009867EA">
        <w:rPr>
          <w:rFonts w:ascii="Times New Roman" w:hAnsi="Times New Roman"/>
          <w:sz w:val="28"/>
          <w:szCs w:val="28"/>
        </w:rPr>
        <w:t>forensic nurse</w:t>
      </w:r>
      <w:r w:rsidR="009867EA" w:rsidRPr="009867EA">
        <w:rPr>
          <w:rFonts w:ascii="Times New Roman" w:hAnsi="Times New Roman"/>
          <w:sz w:val="28"/>
          <w:szCs w:val="28"/>
        </w:rPr>
        <w:t>.</w:t>
      </w:r>
      <w:r w:rsidR="009867EA">
        <w:rPr>
          <w:rFonts w:ascii="Times New Roman" w:hAnsi="Times New Roman"/>
          <w:sz w:val="28"/>
          <w:szCs w:val="28"/>
        </w:rPr>
        <w:t xml:space="preserve"> </w:t>
      </w:r>
      <w:r w:rsidR="004A3F2C" w:rsidRPr="009867EA">
        <w:rPr>
          <w:rFonts w:ascii="Times New Roman" w:hAnsi="Times New Roman"/>
          <w:sz w:val="28"/>
          <w:szCs w:val="28"/>
        </w:rPr>
        <w:t>Although testifying that she is stationed at Cecilia Makiwane hospital,</w:t>
      </w:r>
      <w:r w:rsidR="004A3F2C">
        <w:rPr>
          <w:rFonts w:ascii="Times New Roman" w:hAnsi="Times New Roman"/>
          <w:sz w:val="28"/>
          <w:szCs w:val="28"/>
        </w:rPr>
        <w:t xml:space="preserve"> the mere fact of being an employee in a state institution</w:t>
      </w:r>
      <w:r w:rsidR="004A3F2C" w:rsidRPr="009867EA">
        <w:rPr>
          <w:rFonts w:ascii="Times New Roman" w:hAnsi="Times New Roman"/>
          <w:sz w:val="28"/>
          <w:szCs w:val="28"/>
        </w:rPr>
        <w:t xml:space="preserve"> </w:t>
      </w:r>
      <w:r w:rsidR="004A3F2C">
        <w:rPr>
          <w:rFonts w:ascii="Times New Roman" w:hAnsi="Times New Roman"/>
          <w:sz w:val="28"/>
          <w:szCs w:val="28"/>
        </w:rPr>
        <w:t xml:space="preserve">cannot </w:t>
      </w:r>
      <w:r w:rsidR="004A3F2C" w:rsidRPr="009867EA">
        <w:rPr>
          <w:rFonts w:ascii="Times New Roman" w:hAnsi="Times New Roman"/>
          <w:sz w:val="28"/>
          <w:szCs w:val="28"/>
        </w:rPr>
        <w:t xml:space="preserve">by judicial </w:t>
      </w:r>
      <w:r w:rsidR="004A3F2C">
        <w:rPr>
          <w:rFonts w:ascii="Times New Roman" w:hAnsi="Times New Roman"/>
          <w:sz w:val="28"/>
          <w:szCs w:val="28"/>
        </w:rPr>
        <w:t xml:space="preserve">notice </w:t>
      </w:r>
      <w:r w:rsidR="004A3F2C" w:rsidRPr="009867EA">
        <w:rPr>
          <w:rFonts w:ascii="Times New Roman" w:hAnsi="Times New Roman"/>
          <w:sz w:val="28"/>
          <w:szCs w:val="28"/>
        </w:rPr>
        <w:t>q</w:t>
      </w:r>
      <w:r w:rsidR="004A3F2C">
        <w:rPr>
          <w:rFonts w:ascii="Times New Roman" w:hAnsi="Times New Roman"/>
          <w:sz w:val="28"/>
          <w:szCs w:val="28"/>
        </w:rPr>
        <w:t xml:space="preserve">ualify her as an expert witness possessed of </w:t>
      </w:r>
      <w:r w:rsidR="004A3F2C" w:rsidRPr="009867EA">
        <w:rPr>
          <w:rFonts w:ascii="Times New Roman" w:hAnsi="Times New Roman"/>
          <w:sz w:val="28"/>
          <w:szCs w:val="28"/>
        </w:rPr>
        <w:t>th</w:t>
      </w:r>
      <w:r w:rsidR="004A3F2C">
        <w:rPr>
          <w:rFonts w:ascii="Times New Roman" w:hAnsi="Times New Roman"/>
          <w:sz w:val="28"/>
          <w:szCs w:val="28"/>
        </w:rPr>
        <w:t>e requisite</w:t>
      </w:r>
      <w:r w:rsidR="004A3F2C" w:rsidRPr="009867EA">
        <w:rPr>
          <w:rFonts w:ascii="Times New Roman" w:hAnsi="Times New Roman"/>
          <w:sz w:val="28"/>
          <w:szCs w:val="28"/>
        </w:rPr>
        <w:t xml:space="preserve"> credentials and experience</w:t>
      </w:r>
      <w:r w:rsidR="004A3F2C">
        <w:rPr>
          <w:rFonts w:ascii="Times New Roman" w:hAnsi="Times New Roman"/>
          <w:sz w:val="28"/>
          <w:szCs w:val="28"/>
        </w:rPr>
        <w:t>.</w:t>
      </w:r>
    </w:p>
    <w:p w14:paraId="7C396F40" w14:textId="3580CE9C" w:rsidR="00582EB8"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582EB8" w:rsidRPr="00582EB8">
        <w:rPr>
          <w:rFonts w:ascii="Times New Roman" w:hAnsi="Times New Roman"/>
          <w:sz w:val="28"/>
          <w:szCs w:val="28"/>
        </w:rPr>
        <w:t>The short shri</w:t>
      </w:r>
      <w:r w:rsidR="00FC0343">
        <w:rPr>
          <w:rFonts w:ascii="Times New Roman" w:hAnsi="Times New Roman"/>
          <w:sz w:val="28"/>
          <w:szCs w:val="28"/>
        </w:rPr>
        <w:t>ft approach</w:t>
      </w:r>
      <w:r w:rsidR="00582EB8" w:rsidRPr="00582EB8">
        <w:rPr>
          <w:rFonts w:ascii="Times New Roman" w:hAnsi="Times New Roman"/>
          <w:sz w:val="28"/>
          <w:szCs w:val="28"/>
        </w:rPr>
        <w:t xml:space="preserve">, is that the State failed to lead </w:t>
      </w:r>
      <w:r w:rsidR="000C2A49">
        <w:rPr>
          <w:rFonts w:ascii="Times New Roman" w:hAnsi="Times New Roman"/>
          <w:sz w:val="28"/>
          <w:szCs w:val="28"/>
        </w:rPr>
        <w:t xml:space="preserve">sufficiently cogent </w:t>
      </w:r>
      <w:r w:rsidR="00582EB8" w:rsidRPr="00582EB8">
        <w:rPr>
          <w:rFonts w:ascii="Times New Roman" w:hAnsi="Times New Roman"/>
          <w:sz w:val="28"/>
          <w:szCs w:val="28"/>
        </w:rPr>
        <w:t>evidence</w:t>
      </w:r>
      <w:r w:rsidR="000C2A49">
        <w:rPr>
          <w:rFonts w:ascii="Times New Roman" w:hAnsi="Times New Roman"/>
          <w:sz w:val="28"/>
          <w:szCs w:val="28"/>
        </w:rPr>
        <w:t xml:space="preserve"> of the witness’s experience. Nor did it lead any evidence</w:t>
      </w:r>
      <w:r w:rsidR="00582EB8" w:rsidRPr="00582EB8">
        <w:rPr>
          <w:rFonts w:ascii="Times New Roman" w:hAnsi="Times New Roman"/>
          <w:sz w:val="28"/>
          <w:szCs w:val="28"/>
        </w:rPr>
        <w:t xml:space="preserve"> to qualify </w:t>
      </w:r>
      <w:r w:rsidR="000C2A49">
        <w:rPr>
          <w:rFonts w:ascii="Times New Roman" w:hAnsi="Times New Roman"/>
          <w:sz w:val="28"/>
          <w:szCs w:val="28"/>
        </w:rPr>
        <w:t>her</w:t>
      </w:r>
      <w:r w:rsidR="00582EB8" w:rsidRPr="00582EB8">
        <w:rPr>
          <w:rFonts w:ascii="Times New Roman" w:hAnsi="Times New Roman"/>
          <w:sz w:val="28"/>
          <w:szCs w:val="28"/>
        </w:rPr>
        <w:t xml:space="preserve"> proficiency or competency in the disciplines of physiology and anatomy. Where the witness has not pertinently stated that she is the holder of such qualifications, or that she has experience</w:t>
      </w:r>
      <w:r w:rsidR="00D95C81">
        <w:rPr>
          <w:rFonts w:ascii="Times New Roman" w:hAnsi="Times New Roman"/>
          <w:sz w:val="28"/>
          <w:szCs w:val="28"/>
        </w:rPr>
        <w:t xml:space="preserve"> in tho</w:t>
      </w:r>
      <w:r w:rsidR="00D95C81" w:rsidRPr="00A01F47">
        <w:rPr>
          <w:rFonts w:ascii="Times New Roman" w:hAnsi="Times New Roman"/>
          <w:sz w:val="28"/>
          <w:szCs w:val="28"/>
        </w:rPr>
        <w:t xml:space="preserve">se </w:t>
      </w:r>
      <w:r w:rsidR="000B30DE" w:rsidRPr="00A01F47">
        <w:rPr>
          <w:rFonts w:ascii="Times New Roman" w:hAnsi="Times New Roman"/>
          <w:sz w:val="28"/>
          <w:szCs w:val="28"/>
        </w:rPr>
        <w:t>specialities</w:t>
      </w:r>
      <w:r w:rsidR="00CB32EF">
        <w:rPr>
          <w:rFonts w:ascii="Times New Roman" w:hAnsi="Times New Roman"/>
          <w:sz w:val="28"/>
          <w:szCs w:val="28"/>
        </w:rPr>
        <w:t xml:space="preserve"> where they are relevant to gynaecological examinations of rape victims, </w:t>
      </w:r>
      <w:r w:rsidR="00582EB8" w:rsidRPr="00A01F47">
        <w:rPr>
          <w:rFonts w:ascii="Times New Roman" w:hAnsi="Times New Roman"/>
          <w:sz w:val="28"/>
          <w:szCs w:val="28"/>
        </w:rPr>
        <w:t xml:space="preserve">this cannot be </w:t>
      </w:r>
      <w:r w:rsidR="004803CA">
        <w:rPr>
          <w:rFonts w:ascii="Times New Roman" w:hAnsi="Times New Roman"/>
          <w:sz w:val="28"/>
          <w:szCs w:val="28"/>
        </w:rPr>
        <w:t xml:space="preserve">inferred </w:t>
      </w:r>
      <w:r w:rsidR="00582EB8" w:rsidRPr="00A01F47">
        <w:rPr>
          <w:rFonts w:ascii="Times New Roman" w:hAnsi="Times New Roman"/>
          <w:sz w:val="28"/>
          <w:szCs w:val="28"/>
        </w:rPr>
        <w:t xml:space="preserve">for </w:t>
      </w:r>
      <w:r w:rsidR="000B30DE" w:rsidRPr="00A01F47">
        <w:rPr>
          <w:rFonts w:ascii="Times New Roman" w:hAnsi="Times New Roman"/>
          <w:sz w:val="28"/>
          <w:szCs w:val="28"/>
        </w:rPr>
        <w:t xml:space="preserve">the </w:t>
      </w:r>
      <w:r w:rsidR="00582EB8" w:rsidRPr="00A01F47">
        <w:rPr>
          <w:rFonts w:ascii="Times New Roman" w:hAnsi="Times New Roman"/>
          <w:sz w:val="28"/>
          <w:szCs w:val="28"/>
        </w:rPr>
        <w:lastRenderedPageBreak/>
        <w:t>purpose of qualifying her competency to testify as an individual possessed of the requisite skill</w:t>
      </w:r>
      <w:r w:rsidR="000B30DE" w:rsidRPr="00A01F47">
        <w:rPr>
          <w:rFonts w:ascii="Times New Roman" w:hAnsi="Times New Roman"/>
          <w:sz w:val="28"/>
          <w:szCs w:val="28"/>
        </w:rPr>
        <w:t xml:space="preserve"> in those</w:t>
      </w:r>
      <w:r w:rsidR="00A01F47" w:rsidRPr="00A01F47">
        <w:rPr>
          <w:rFonts w:ascii="Times New Roman" w:hAnsi="Times New Roman"/>
          <w:sz w:val="28"/>
          <w:szCs w:val="28"/>
        </w:rPr>
        <w:t xml:space="preserve"> disciplines. I</w:t>
      </w:r>
      <w:r w:rsidR="004803CA">
        <w:rPr>
          <w:rFonts w:ascii="Times New Roman" w:hAnsi="Times New Roman"/>
          <w:sz w:val="28"/>
          <w:szCs w:val="28"/>
        </w:rPr>
        <w:t>t is apposite to repeat what the Const</w:t>
      </w:r>
      <w:r w:rsidR="001D3F31">
        <w:rPr>
          <w:rFonts w:ascii="Times New Roman" w:hAnsi="Times New Roman"/>
          <w:sz w:val="28"/>
          <w:szCs w:val="28"/>
        </w:rPr>
        <w:t>i</w:t>
      </w:r>
      <w:r w:rsidR="004803CA">
        <w:rPr>
          <w:rFonts w:ascii="Times New Roman" w:hAnsi="Times New Roman"/>
          <w:sz w:val="28"/>
          <w:szCs w:val="28"/>
        </w:rPr>
        <w:t>t</w:t>
      </w:r>
      <w:r w:rsidR="001D3F31">
        <w:rPr>
          <w:rFonts w:ascii="Times New Roman" w:hAnsi="Times New Roman"/>
          <w:sz w:val="28"/>
          <w:szCs w:val="28"/>
        </w:rPr>
        <w:t>ut</w:t>
      </w:r>
      <w:r w:rsidR="004803CA">
        <w:rPr>
          <w:rFonts w:ascii="Times New Roman" w:hAnsi="Times New Roman"/>
          <w:sz w:val="28"/>
          <w:szCs w:val="28"/>
        </w:rPr>
        <w:t>ional Court stated i</w:t>
      </w:r>
      <w:r w:rsidR="00A01F47" w:rsidRPr="00A01F47">
        <w:rPr>
          <w:rFonts w:ascii="Times New Roman" w:hAnsi="Times New Roman"/>
          <w:sz w:val="28"/>
          <w:szCs w:val="28"/>
        </w:rPr>
        <w:t xml:space="preserve">n </w:t>
      </w:r>
      <w:r w:rsidR="00A01F47" w:rsidRPr="00A01F47">
        <w:rPr>
          <w:rFonts w:ascii="Times New Roman" w:hAnsi="Times New Roman"/>
          <w:i/>
          <w:sz w:val="28"/>
          <w:szCs w:val="28"/>
        </w:rPr>
        <w:t>MEC for Health Eastern Cape and Another v Kirland Investments</w:t>
      </w:r>
      <w:r w:rsidR="007034C5">
        <w:rPr>
          <w:rStyle w:val="FootnoteReference"/>
          <w:rFonts w:ascii="Times New Roman" w:hAnsi="Times New Roman"/>
          <w:i/>
          <w:sz w:val="28"/>
          <w:szCs w:val="28"/>
        </w:rPr>
        <w:footnoteReference w:id="15"/>
      </w:r>
      <w:r w:rsidR="004803CA">
        <w:rPr>
          <w:rFonts w:ascii="Times New Roman" w:hAnsi="Times New Roman"/>
          <w:i/>
          <w:sz w:val="28"/>
          <w:szCs w:val="28"/>
        </w:rPr>
        <w:t>:</w:t>
      </w:r>
    </w:p>
    <w:p w14:paraId="426DE8A7" w14:textId="77777777" w:rsidR="00C47176" w:rsidRPr="003B7AF2" w:rsidRDefault="00C47176" w:rsidP="007034C5">
      <w:pPr>
        <w:pStyle w:val="LegalList1"/>
        <w:spacing w:line="360" w:lineRule="auto"/>
        <w:rPr>
          <w:rFonts w:ascii="Times New Roman" w:hAnsi="Times New Roman"/>
        </w:rPr>
      </w:pPr>
      <w:r w:rsidRPr="003B7AF2">
        <w:rPr>
          <w:rFonts w:ascii="Times New Roman" w:hAnsi="Times New Roman"/>
        </w:rPr>
        <w:t>‘[T]here is a higher duty on the state to respect the law, to fulfil procedural requirements and to tread respectfully when dealing with rights. Government is not an indigent or bewildered litigant, adrift on a sea of litigious uncertainty, to whom the courts must extend a procedure circumventing lifeline. It is the Constitution’s primary agent. It must do right, and it must do it properly.’</w:t>
      </w:r>
    </w:p>
    <w:p w14:paraId="0D8338FF" w14:textId="414CAC75" w:rsidR="00C47176"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7034C5">
        <w:rPr>
          <w:rFonts w:ascii="Times New Roman" w:hAnsi="Times New Roman"/>
          <w:sz w:val="28"/>
          <w:szCs w:val="28"/>
        </w:rPr>
        <w:t xml:space="preserve">This </w:t>
      </w:r>
      <w:r w:rsidR="008618A3" w:rsidRPr="004803CA">
        <w:rPr>
          <w:rFonts w:ascii="Times New Roman" w:hAnsi="Times New Roman"/>
          <w:i/>
          <w:sz w:val="28"/>
          <w:szCs w:val="28"/>
        </w:rPr>
        <w:t>dictum</w:t>
      </w:r>
      <w:r w:rsidR="008618A3">
        <w:rPr>
          <w:rFonts w:ascii="Times New Roman" w:hAnsi="Times New Roman"/>
          <w:sz w:val="28"/>
          <w:szCs w:val="28"/>
        </w:rPr>
        <w:t xml:space="preserve"> comes home to presenting evidence in a technically proficient manner.</w:t>
      </w:r>
    </w:p>
    <w:p w14:paraId="7E2E3871" w14:textId="2B38E8EE" w:rsidR="00582EB8" w:rsidRPr="00582EB8" w:rsidRDefault="00467BC2" w:rsidP="00467BC2">
      <w:pPr>
        <w:pStyle w:val="LegalList1"/>
        <w:spacing w:line="360" w:lineRule="auto"/>
        <w:rPr>
          <w:rFonts w:ascii="Times New Roman" w:hAnsi="Times New Roman"/>
          <w:sz w:val="28"/>
          <w:szCs w:val="28"/>
        </w:rPr>
      </w:pPr>
      <w:r w:rsidRPr="00582EB8">
        <w:rPr>
          <w:rFonts w:ascii="Times New Roman" w:hAnsi="Times New Roman"/>
          <w:sz w:val="28"/>
          <w:szCs w:val="28"/>
        </w:rPr>
        <w:t>[28]</w:t>
      </w:r>
      <w:r w:rsidRPr="00582EB8">
        <w:rPr>
          <w:rFonts w:ascii="Times New Roman" w:hAnsi="Times New Roman"/>
          <w:sz w:val="28"/>
          <w:szCs w:val="28"/>
        </w:rPr>
        <w:tab/>
      </w:r>
      <w:r w:rsidR="00692D82">
        <w:rPr>
          <w:rFonts w:ascii="Times New Roman" w:hAnsi="Times New Roman"/>
          <w:sz w:val="28"/>
          <w:szCs w:val="28"/>
        </w:rPr>
        <w:t>In matters of this nature t</w:t>
      </w:r>
      <w:r w:rsidR="009867EA">
        <w:rPr>
          <w:rFonts w:ascii="Times New Roman" w:hAnsi="Times New Roman"/>
          <w:sz w:val="28"/>
          <w:szCs w:val="28"/>
        </w:rPr>
        <w:t>he selective appr</w:t>
      </w:r>
      <w:r w:rsidR="008B7722">
        <w:rPr>
          <w:rFonts w:ascii="Times New Roman" w:hAnsi="Times New Roman"/>
          <w:sz w:val="28"/>
          <w:szCs w:val="28"/>
        </w:rPr>
        <w:t>oach to the qualification and presentation of</w:t>
      </w:r>
      <w:r w:rsidR="00692D82">
        <w:rPr>
          <w:rFonts w:ascii="Times New Roman" w:hAnsi="Times New Roman"/>
          <w:sz w:val="28"/>
          <w:szCs w:val="28"/>
        </w:rPr>
        <w:t xml:space="preserve"> expert testimony</w:t>
      </w:r>
      <w:r w:rsidR="008B7722">
        <w:rPr>
          <w:rFonts w:ascii="Times New Roman" w:hAnsi="Times New Roman"/>
          <w:sz w:val="28"/>
          <w:szCs w:val="28"/>
        </w:rPr>
        <w:t xml:space="preserve">, requires </w:t>
      </w:r>
      <w:r w:rsidR="006D00D2">
        <w:rPr>
          <w:rFonts w:ascii="Times New Roman" w:hAnsi="Times New Roman"/>
          <w:sz w:val="28"/>
          <w:szCs w:val="28"/>
        </w:rPr>
        <w:t>j</w:t>
      </w:r>
      <w:r w:rsidR="008B0887">
        <w:rPr>
          <w:rFonts w:ascii="Times New Roman" w:hAnsi="Times New Roman"/>
          <w:sz w:val="28"/>
          <w:szCs w:val="28"/>
        </w:rPr>
        <w:t>udicial officers</w:t>
      </w:r>
      <w:r w:rsidR="006D00D2">
        <w:rPr>
          <w:rFonts w:ascii="Times New Roman" w:hAnsi="Times New Roman"/>
          <w:sz w:val="28"/>
          <w:szCs w:val="28"/>
        </w:rPr>
        <w:t xml:space="preserve"> </w:t>
      </w:r>
      <w:r w:rsidR="008B0887">
        <w:rPr>
          <w:rFonts w:ascii="Times New Roman" w:hAnsi="Times New Roman"/>
          <w:sz w:val="28"/>
          <w:szCs w:val="28"/>
        </w:rPr>
        <w:t xml:space="preserve">to be vigilant to ensure that specialised evidence of the kind is properly presented and fairly placed before the court. </w:t>
      </w:r>
      <w:r w:rsidR="00582EB8" w:rsidRPr="00582EB8">
        <w:rPr>
          <w:rFonts w:ascii="Times New Roman" w:hAnsi="Times New Roman"/>
          <w:sz w:val="28"/>
          <w:szCs w:val="28"/>
        </w:rPr>
        <w:t>In the circumstances, the failure to have led relevant evidence for ensuring that Ms</w:t>
      </w:r>
      <w:r w:rsidR="008B7722">
        <w:rPr>
          <w:rFonts w:ascii="Times New Roman" w:hAnsi="Times New Roman"/>
          <w:sz w:val="28"/>
          <w:szCs w:val="28"/>
        </w:rPr>
        <w:t> </w:t>
      </w:r>
      <w:r w:rsidR="00582EB8" w:rsidRPr="00582EB8">
        <w:rPr>
          <w:rFonts w:ascii="Times New Roman" w:hAnsi="Times New Roman"/>
          <w:sz w:val="28"/>
          <w:szCs w:val="28"/>
        </w:rPr>
        <w:t xml:space="preserve">Makinana </w:t>
      </w:r>
      <w:r w:rsidR="007F52F0">
        <w:rPr>
          <w:rFonts w:ascii="Times New Roman" w:hAnsi="Times New Roman"/>
          <w:sz w:val="28"/>
          <w:szCs w:val="28"/>
        </w:rPr>
        <w:t>was</w:t>
      </w:r>
      <w:r w:rsidR="008B7722">
        <w:rPr>
          <w:rFonts w:ascii="Times New Roman" w:hAnsi="Times New Roman"/>
          <w:sz w:val="28"/>
          <w:szCs w:val="28"/>
        </w:rPr>
        <w:t xml:space="preserve"> </w:t>
      </w:r>
      <w:r w:rsidR="00582EB8" w:rsidRPr="00582EB8">
        <w:rPr>
          <w:rFonts w:ascii="Times New Roman" w:hAnsi="Times New Roman"/>
          <w:sz w:val="28"/>
          <w:szCs w:val="28"/>
        </w:rPr>
        <w:t xml:space="preserve">properly qualified </w:t>
      </w:r>
      <w:r w:rsidR="00F55F26">
        <w:rPr>
          <w:rFonts w:ascii="Times New Roman" w:hAnsi="Times New Roman"/>
          <w:sz w:val="28"/>
          <w:szCs w:val="28"/>
        </w:rPr>
        <w:t xml:space="preserve">and experienced </w:t>
      </w:r>
      <w:r w:rsidR="00582EB8" w:rsidRPr="00582EB8">
        <w:rPr>
          <w:rFonts w:ascii="Times New Roman" w:hAnsi="Times New Roman"/>
          <w:sz w:val="28"/>
          <w:szCs w:val="28"/>
        </w:rPr>
        <w:t xml:space="preserve">and </w:t>
      </w:r>
      <w:r w:rsidR="00F55F26">
        <w:rPr>
          <w:rFonts w:ascii="Times New Roman" w:hAnsi="Times New Roman"/>
          <w:sz w:val="28"/>
          <w:szCs w:val="28"/>
        </w:rPr>
        <w:t xml:space="preserve">thus </w:t>
      </w:r>
      <w:r w:rsidR="00582EB8" w:rsidRPr="00582EB8">
        <w:rPr>
          <w:rFonts w:ascii="Times New Roman" w:hAnsi="Times New Roman"/>
          <w:sz w:val="28"/>
          <w:szCs w:val="28"/>
        </w:rPr>
        <w:t>rendered competent, results in the medical evidence being rendered inadmissible.</w:t>
      </w:r>
    </w:p>
    <w:p w14:paraId="4E3854E4" w14:textId="53A2E506" w:rsidR="00807D3B"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8B7722">
        <w:rPr>
          <w:rFonts w:ascii="Times New Roman" w:hAnsi="Times New Roman"/>
          <w:sz w:val="28"/>
          <w:szCs w:val="28"/>
        </w:rPr>
        <w:t xml:space="preserve">Focus shifts </w:t>
      </w:r>
      <w:r w:rsidR="00612AB7" w:rsidRPr="00807D3B">
        <w:rPr>
          <w:rFonts w:ascii="Times New Roman" w:hAnsi="Times New Roman"/>
          <w:sz w:val="28"/>
          <w:szCs w:val="28"/>
        </w:rPr>
        <w:t>to the evidence of MD</w:t>
      </w:r>
      <w:r w:rsidR="00933807" w:rsidRPr="00807D3B">
        <w:rPr>
          <w:rFonts w:ascii="Times New Roman" w:hAnsi="Times New Roman"/>
          <w:sz w:val="28"/>
          <w:szCs w:val="28"/>
        </w:rPr>
        <w:t>.</w:t>
      </w:r>
      <w:r w:rsidR="00807D3B">
        <w:rPr>
          <w:rFonts w:ascii="Times New Roman" w:hAnsi="Times New Roman"/>
          <w:sz w:val="28"/>
          <w:szCs w:val="28"/>
        </w:rPr>
        <w:t xml:space="preserve"> A clinical psychologist’s report was presented to the </w:t>
      </w:r>
      <w:r w:rsidR="007E3411">
        <w:rPr>
          <w:rFonts w:ascii="Times New Roman" w:hAnsi="Times New Roman"/>
          <w:sz w:val="28"/>
          <w:szCs w:val="28"/>
        </w:rPr>
        <w:t>C</w:t>
      </w:r>
      <w:r w:rsidR="00807D3B">
        <w:rPr>
          <w:rFonts w:ascii="Times New Roman" w:hAnsi="Times New Roman"/>
          <w:sz w:val="28"/>
          <w:szCs w:val="28"/>
        </w:rPr>
        <w:t>ourt</w:t>
      </w:r>
      <w:r w:rsidR="00807D3B" w:rsidRPr="00807D3B">
        <w:rPr>
          <w:rFonts w:ascii="Times New Roman" w:hAnsi="Times New Roman"/>
          <w:sz w:val="28"/>
          <w:szCs w:val="28"/>
        </w:rPr>
        <w:t xml:space="preserve"> </w:t>
      </w:r>
      <w:r w:rsidR="00807D3B">
        <w:rPr>
          <w:rFonts w:ascii="Times New Roman" w:hAnsi="Times New Roman"/>
          <w:sz w:val="28"/>
          <w:szCs w:val="28"/>
        </w:rPr>
        <w:t xml:space="preserve">at the commencement of the trial </w:t>
      </w:r>
      <w:r w:rsidR="007E3411">
        <w:rPr>
          <w:rFonts w:ascii="Times New Roman" w:hAnsi="Times New Roman"/>
          <w:sz w:val="28"/>
          <w:szCs w:val="28"/>
        </w:rPr>
        <w:t>to support a</w:t>
      </w:r>
      <w:r w:rsidR="00807D3B">
        <w:rPr>
          <w:rFonts w:ascii="Times New Roman" w:hAnsi="Times New Roman"/>
          <w:sz w:val="28"/>
          <w:szCs w:val="28"/>
        </w:rPr>
        <w:t>n application</w:t>
      </w:r>
      <w:r w:rsidR="00866671">
        <w:rPr>
          <w:rFonts w:ascii="Times New Roman" w:hAnsi="Times New Roman"/>
          <w:sz w:val="28"/>
          <w:szCs w:val="28"/>
        </w:rPr>
        <w:t xml:space="preserve"> </w:t>
      </w:r>
      <w:r w:rsidR="00807D3B">
        <w:rPr>
          <w:rFonts w:ascii="Times New Roman" w:hAnsi="Times New Roman"/>
          <w:sz w:val="28"/>
          <w:szCs w:val="28"/>
        </w:rPr>
        <w:t>that MD</w:t>
      </w:r>
      <w:r w:rsidR="00866671">
        <w:rPr>
          <w:rFonts w:ascii="Times New Roman" w:hAnsi="Times New Roman"/>
          <w:sz w:val="28"/>
          <w:szCs w:val="28"/>
        </w:rPr>
        <w:t xml:space="preserve"> </w:t>
      </w:r>
      <w:r w:rsidR="00807D3B">
        <w:rPr>
          <w:rFonts w:ascii="Times New Roman" w:hAnsi="Times New Roman"/>
          <w:sz w:val="28"/>
          <w:szCs w:val="28"/>
        </w:rPr>
        <w:t>testifies with the assistance of an intermediary</w:t>
      </w:r>
      <w:r w:rsidR="002040EE">
        <w:rPr>
          <w:rFonts w:ascii="Times New Roman" w:hAnsi="Times New Roman"/>
          <w:sz w:val="28"/>
          <w:szCs w:val="28"/>
        </w:rPr>
        <w:t>. A</w:t>
      </w:r>
      <w:r w:rsidR="00866671">
        <w:rPr>
          <w:rFonts w:ascii="Times New Roman" w:hAnsi="Times New Roman"/>
          <w:sz w:val="28"/>
          <w:szCs w:val="28"/>
        </w:rPr>
        <w:t>t the time of the</w:t>
      </w:r>
      <w:r w:rsidR="00A00BC7">
        <w:rPr>
          <w:rFonts w:ascii="Times New Roman" w:hAnsi="Times New Roman"/>
          <w:sz w:val="28"/>
          <w:szCs w:val="28"/>
        </w:rPr>
        <w:t> </w:t>
      </w:r>
      <w:r w:rsidR="00866671">
        <w:rPr>
          <w:rFonts w:ascii="Times New Roman" w:hAnsi="Times New Roman"/>
          <w:sz w:val="28"/>
          <w:szCs w:val="28"/>
        </w:rPr>
        <w:t>psychological as</w:t>
      </w:r>
      <w:r w:rsidR="00F77F2F">
        <w:rPr>
          <w:rFonts w:ascii="Times New Roman" w:hAnsi="Times New Roman"/>
          <w:sz w:val="28"/>
          <w:szCs w:val="28"/>
        </w:rPr>
        <w:t>sessment MD was 13 years of age</w:t>
      </w:r>
      <w:r w:rsidR="007E3411">
        <w:rPr>
          <w:rFonts w:ascii="Times New Roman" w:hAnsi="Times New Roman"/>
          <w:sz w:val="28"/>
          <w:szCs w:val="28"/>
        </w:rPr>
        <w:t>,</w:t>
      </w:r>
      <w:r w:rsidR="00F77F2F">
        <w:rPr>
          <w:rFonts w:ascii="Times New Roman" w:hAnsi="Times New Roman"/>
          <w:sz w:val="28"/>
          <w:szCs w:val="28"/>
        </w:rPr>
        <w:t xml:space="preserve"> and was 15 </w:t>
      </w:r>
      <w:r w:rsidR="00E063F2">
        <w:rPr>
          <w:rFonts w:ascii="Times New Roman" w:hAnsi="Times New Roman"/>
          <w:sz w:val="28"/>
          <w:szCs w:val="28"/>
        </w:rPr>
        <w:t xml:space="preserve">old </w:t>
      </w:r>
      <w:r w:rsidR="00A00BC7">
        <w:rPr>
          <w:rFonts w:ascii="Times New Roman" w:hAnsi="Times New Roman"/>
          <w:sz w:val="28"/>
          <w:szCs w:val="28"/>
        </w:rPr>
        <w:t xml:space="preserve">doing Grade 7 </w:t>
      </w:r>
      <w:r w:rsidR="00F77F2F">
        <w:rPr>
          <w:rFonts w:ascii="Times New Roman" w:hAnsi="Times New Roman"/>
          <w:sz w:val="28"/>
          <w:szCs w:val="28"/>
        </w:rPr>
        <w:t>when the trial commenced.</w:t>
      </w:r>
    </w:p>
    <w:p w14:paraId="621D82D2" w14:textId="63B937EA" w:rsidR="00C245F3" w:rsidRDefault="00467BC2" w:rsidP="00467BC2">
      <w:pPr>
        <w:pStyle w:val="LegalList1"/>
        <w:spacing w:line="360" w:lineRule="auto"/>
        <w:rPr>
          <w:rFonts w:ascii="Times New Roman" w:hAnsi="Times New Roman"/>
          <w:sz w:val="28"/>
          <w:szCs w:val="28"/>
        </w:rPr>
      </w:pPr>
      <w:r>
        <w:rPr>
          <w:rFonts w:ascii="Times New Roman" w:hAnsi="Times New Roman"/>
          <w:sz w:val="28"/>
          <w:szCs w:val="28"/>
        </w:rPr>
        <w:lastRenderedPageBreak/>
        <w:t>[30]</w:t>
      </w:r>
      <w:r>
        <w:rPr>
          <w:rFonts w:ascii="Times New Roman" w:hAnsi="Times New Roman"/>
          <w:sz w:val="28"/>
          <w:szCs w:val="28"/>
        </w:rPr>
        <w:tab/>
      </w:r>
      <w:r w:rsidR="00C245F3">
        <w:rPr>
          <w:rFonts w:ascii="Times New Roman" w:hAnsi="Times New Roman"/>
          <w:sz w:val="28"/>
          <w:szCs w:val="28"/>
        </w:rPr>
        <w:t>The report notes that her average range of intelligence is low and that she functions intellectually and cognitively at a developmental age between 7 to 11 years.</w:t>
      </w:r>
    </w:p>
    <w:p w14:paraId="2130A3E2" w14:textId="27EDAAAB" w:rsidR="003B1A9F"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3B1A9F">
        <w:rPr>
          <w:rFonts w:ascii="Times New Roman" w:hAnsi="Times New Roman"/>
          <w:sz w:val="28"/>
          <w:szCs w:val="28"/>
        </w:rPr>
        <w:t>Of note, is that the report indicates that her thinking and reasoning is logical about her own experience and that she is able to describe her experiences of the events in this case. The report also notes that she is able to concentrate, to comprehend</w:t>
      </w:r>
      <w:r w:rsidR="007E3411">
        <w:rPr>
          <w:rFonts w:ascii="Times New Roman" w:hAnsi="Times New Roman"/>
          <w:sz w:val="28"/>
          <w:szCs w:val="28"/>
        </w:rPr>
        <w:t>,</w:t>
      </w:r>
      <w:r w:rsidR="003B1A9F">
        <w:rPr>
          <w:rFonts w:ascii="Times New Roman" w:hAnsi="Times New Roman"/>
          <w:sz w:val="28"/>
          <w:szCs w:val="28"/>
        </w:rPr>
        <w:t xml:space="preserve"> and to answer questions satisfactorily. MD’s performance in court unfortunately came nowhere close to this depiction in the psychologist’s assessment.</w:t>
      </w:r>
      <w:r w:rsidR="003B1A9F" w:rsidRPr="00A3638F">
        <w:rPr>
          <w:rFonts w:ascii="Times New Roman" w:hAnsi="Times New Roman"/>
          <w:sz w:val="28"/>
          <w:szCs w:val="28"/>
        </w:rPr>
        <w:t xml:space="preserve"> </w:t>
      </w:r>
      <w:r w:rsidR="00A54DDD">
        <w:rPr>
          <w:rFonts w:ascii="Times New Roman" w:hAnsi="Times New Roman"/>
          <w:sz w:val="28"/>
          <w:szCs w:val="28"/>
        </w:rPr>
        <w:t>Notwithstanding recourse to a transcript in preparing this judgment, it bears mentioning that no judgment can ever be perfect in detailing all the evidential material, and it does not necessarily follow that what is not mentioned herein, has not been considered.</w:t>
      </w:r>
      <w:r w:rsidR="00A54DDD">
        <w:rPr>
          <w:rStyle w:val="FootnoteReference"/>
          <w:rFonts w:ascii="Times New Roman" w:hAnsi="Times New Roman"/>
          <w:sz w:val="28"/>
          <w:szCs w:val="28"/>
        </w:rPr>
        <w:footnoteReference w:id="16"/>
      </w:r>
      <w:r w:rsidR="003B1A9F">
        <w:rPr>
          <w:rFonts w:ascii="Times New Roman" w:hAnsi="Times New Roman"/>
          <w:sz w:val="28"/>
          <w:szCs w:val="28"/>
        </w:rPr>
        <w:t xml:space="preserve"> </w:t>
      </w:r>
      <w:r w:rsidR="00A54DDD">
        <w:rPr>
          <w:rFonts w:ascii="Times New Roman" w:hAnsi="Times New Roman"/>
          <w:sz w:val="28"/>
          <w:szCs w:val="28"/>
        </w:rPr>
        <w:t>I</w:t>
      </w:r>
      <w:r w:rsidR="003B1A9F">
        <w:rPr>
          <w:rFonts w:ascii="Times New Roman" w:hAnsi="Times New Roman"/>
          <w:sz w:val="28"/>
          <w:szCs w:val="28"/>
        </w:rPr>
        <w:t xml:space="preserve">t is </w:t>
      </w:r>
      <w:r w:rsidR="00A54DDD">
        <w:rPr>
          <w:rFonts w:ascii="Times New Roman" w:hAnsi="Times New Roman"/>
          <w:sz w:val="28"/>
          <w:szCs w:val="28"/>
        </w:rPr>
        <w:t xml:space="preserve">therefore </w:t>
      </w:r>
      <w:r w:rsidR="003B1A9F">
        <w:rPr>
          <w:rFonts w:ascii="Times New Roman" w:hAnsi="Times New Roman"/>
          <w:sz w:val="28"/>
          <w:szCs w:val="28"/>
        </w:rPr>
        <w:t xml:space="preserve">unnecessary to recapitulate and analyse the minute details of </w:t>
      </w:r>
      <w:r w:rsidR="00E622F3">
        <w:rPr>
          <w:rFonts w:ascii="Times New Roman" w:hAnsi="Times New Roman"/>
          <w:sz w:val="28"/>
          <w:szCs w:val="28"/>
        </w:rPr>
        <w:t>MD’s testimony.</w:t>
      </w:r>
      <w:r w:rsidR="007E3411">
        <w:rPr>
          <w:rFonts w:ascii="Times New Roman" w:hAnsi="Times New Roman"/>
          <w:sz w:val="28"/>
          <w:szCs w:val="28"/>
        </w:rPr>
        <w:t xml:space="preserve"> It speaks for itself in lending credence to</w:t>
      </w:r>
      <w:r w:rsidR="00E622F3">
        <w:rPr>
          <w:rFonts w:ascii="Times New Roman" w:hAnsi="Times New Roman"/>
          <w:sz w:val="28"/>
          <w:szCs w:val="28"/>
        </w:rPr>
        <w:t xml:space="preserve"> the findings in the ensuing paragraphs of this judgment.</w:t>
      </w:r>
    </w:p>
    <w:p w14:paraId="620BD6A9" w14:textId="3BC5A23C" w:rsidR="003B1A9F"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3B1A9F">
        <w:rPr>
          <w:rFonts w:ascii="Times New Roman" w:hAnsi="Times New Roman"/>
          <w:sz w:val="28"/>
          <w:szCs w:val="28"/>
        </w:rPr>
        <w:t xml:space="preserve">While demonstrating sensitivity to the fact that MD is a child, there is in principle no basis to attach a lower standard of proof or a less exacting assessment of the evidence than in any other criminal case. In </w:t>
      </w:r>
      <w:r w:rsidR="003B1A9F" w:rsidRPr="00360990">
        <w:rPr>
          <w:rFonts w:ascii="Times New Roman" w:hAnsi="Times New Roman"/>
          <w:i/>
          <w:sz w:val="28"/>
          <w:szCs w:val="28"/>
        </w:rPr>
        <w:t>S v DJ</w:t>
      </w:r>
      <w:r w:rsidR="003B1A9F">
        <w:rPr>
          <w:rStyle w:val="FootnoteReference"/>
          <w:rFonts w:ascii="Times New Roman" w:hAnsi="Times New Roman"/>
          <w:sz w:val="28"/>
          <w:szCs w:val="28"/>
        </w:rPr>
        <w:footnoteReference w:id="17"/>
      </w:r>
      <w:r w:rsidR="003B1A9F">
        <w:rPr>
          <w:rFonts w:ascii="Times New Roman" w:hAnsi="Times New Roman"/>
          <w:sz w:val="28"/>
          <w:szCs w:val="28"/>
        </w:rPr>
        <w:t xml:space="preserve"> the court appositely stated that to do so would be to expose accused persons to a greater chance of unjust conviction than persons in cases in which the complainants are adults. There can be no warrant for such a regime.</w:t>
      </w:r>
    </w:p>
    <w:p w14:paraId="7B370F1F" w14:textId="683B0898" w:rsidR="00E67F50"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3B1A9F">
        <w:rPr>
          <w:rFonts w:ascii="Times New Roman" w:hAnsi="Times New Roman"/>
          <w:sz w:val="28"/>
          <w:szCs w:val="28"/>
        </w:rPr>
        <w:t>The indictment</w:t>
      </w:r>
      <w:r w:rsidR="00E622F3">
        <w:rPr>
          <w:rFonts w:ascii="Times New Roman" w:hAnsi="Times New Roman"/>
          <w:sz w:val="28"/>
          <w:szCs w:val="28"/>
        </w:rPr>
        <w:t xml:space="preserve"> reduces to one count</w:t>
      </w:r>
      <w:r w:rsidR="003B1A9F">
        <w:rPr>
          <w:rFonts w:ascii="Times New Roman" w:hAnsi="Times New Roman"/>
          <w:sz w:val="28"/>
          <w:szCs w:val="28"/>
        </w:rPr>
        <w:t xml:space="preserve"> acts of sexual penetration</w:t>
      </w:r>
      <w:r w:rsidR="00853FCD">
        <w:rPr>
          <w:rFonts w:ascii="Times New Roman" w:hAnsi="Times New Roman"/>
          <w:sz w:val="28"/>
          <w:szCs w:val="28"/>
        </w:rPr>
        <w:t xml:space="preserve"> that were </w:t>
      </w:r>
      <w:r w:rsidR="003B1A9F">
        <w:rPr>
          <w:rFonts w:ascii="Times New Roman" w:hAnsi="Times New Roman"/>
          <w:sz w:val="28"/>
          <w:szCs w:val="28"/>
        </w:rPr>
        <w:t xml:space="preserve">committed on diverse occasions in the </w:t>
      </w:r>
      <w:r w:rsidR="00E67F50">
        <w:rPr>
          <w:rFonts w:ascii="Times New Roman" w:hAnsi="Times New Roman"/>
          <w:sz w:val="28"/>
          <w:szCs w:val="28"/>
        </w:rPr>
        <w:t>period 2017 and September 2018.</w:t>
      </w:r>
    </w:p>
    <w:p w14:paraId="0A4C1086" w14:textId="06182B1F" w:rsidR="00E67F50"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r>
      <w:r w:rsidR="003B1A9F" w:rsidRPr="00E67F50">
        <w:rPr>
          <w:rFonts w:ascii="Times New Roman" w:hAnsi="Times New Roman"/>
          <w:sz w:val="28"/>
          <w:szCs w:val="28"/>
        </w:rPr>
        <w:t xml:space="preserve">The central tenet of MD’s evidence is that the accused would perpetrate these acts in her mother’s absence when he was alone with her. On the State’s </w:t>
      </w:r>
      <w:r w:rsidR="003B1A9F" w:rsidRPr="00E67F50">
        <w:rPr>
          <w:rFonts w:ascii="Times New Roman" w:hAnsi="Times New Roman"/>
          <w:sz w:val="28"/>
          <w:szCs w:val="28"/>
        </w:rPr>
        <w:lastRenderedPageBreak/>
        <w:t>case, the year 2017 marks the starting point at which these incidents commenced but this time frame was not independently identified by MD.</w:t>
      </w:r>
      <w:r w:rsidR="00E67F50">
        <w:rPr>
          <w:rFonts w:ascii="Times New Roman" w:hAnsi="Times New Roman"/>
          <w:sz w:val="28"/>
          <w:szCs w:val="28"/>
        </w:rPr>
        <w:t xml:space="preserve"> </w:t>
      </w:r>
      <w:r w:rsidR="003B1A9F" w:rsidRPr="00E67F50">
        <w:rPr>
          <w:rFonts w:ascii="Times New Roman" w:hAnsi="Times New Roman"/>
          <w:sz w:val="28"/>
          <w:szCs w:val="28"/>
        </w:rPr>
        <w:t xml:space="preserve">The record reflects that it was </w:t>
      </w:r>
      <w:r w:rsidR="00D4696C">
        <w:rPr>
          <w:rFonts w:ascii="Times New Roman" w:hAnsi="Times New Roman"/>
          <w:sz w:val="28"/>
          <w:szCs w:val="28"/>
        </w:rPr>
        <w:t xml:space="preserve">impermissibly </w:t>
      </w:r>
      <w:r w:rsidR="002C1FA2">
        <w:rPr>
          <w:rFonts w:ascii="Times New Roman" w:hAnsi="Times New Roman"/>
          <w:sz w:val="28"/>
          <w:szCs w:val="28"/>
        </w:rPr>
        <w:t xml:space="preserve">proposed </w:t>
      </w:r>
      <w:r w:rsidR="003B1A9F" w:rsidRPr="00E67F50">
        <w:rPr>
          <w:rFonts w:ascii="Times New Roman" w:hAnsi="Times New Roman"/>
          <w:sz w:val="28"/>
          <w:szCs w:val="28"/>
        </w:rPr>
        <w:t xml:space="preserve">to her by counsel for the State when she testified in chief. </w:t>
      </w:r>
    </w:p>
    <w:p w14:paraId="2322ACB0" w14:textId="0C1E6BBF" w:rsidR="00BD5CE5"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r>
      <w:r w:rsidR="003B1A9F" w:rsidRPr="00E67F50">
        <w:rPr>
          <w:rFonts w:ascii="Times New Roman" w:hAnsi="Times New Roman"/>
          <w:sz w:val="28"/>
          <w:szCs w:val="28"/>
        </w:rPr>
        <w:t xml:space="preserve">On the other end of the time spectrum, a medical examination occurred on 28 September 2018. But with that evidence being declared inadmissible, there is no certainty of the period in which the incidents occurred. </w:t>
      </w:r>
      <w:r w:rsidR="00D17DE6">
        <w:rPr>
          <w:rFonts w:ascii="Times New Roman" w:hAnsi="Times New Roman"/>
          <w:sz w:val="28"/>
          <w:szCs w:val="28"/>
        </w:rPr>
        <w:t xml:space="preserve">This is due to the fact that it </w:t>
      </w:r>
      <w:r w:rsidR="003B1A9F" w:rsidRPr="00E67F50">
        <w:rPr>
          <w:rFonts w:ascii="Times New Roman" w:hAnsi="Times New Roman"/>
          <w:sz w:val="28"/>
          <w:szCs w:val="28"/>
        </w:rPr>
        <w:t>is not entirely clear from MD’s evidence whether there were two, or three or perhaps even a fourth incident involving sexual penetration by the accused. I am conscious of the fact that the cha</w:t>
      </w:r>
      <w:r w:rsidR="00E67F50">
        <w:rPr>
          <w:rFonts w:ascii="Times New Roman" w:hAnsi="Times New Roman"/>
          <w:sz w:val="28"/>
          <w:szCs w:val="28"/>
        </w:rPr>
        <w:t>rge speaks of diverse occasions for the purpose of securing a conviction on a single count.</w:t>
      </w:r>
      <w:r w:rsidR="003B1A9F" w:rsidRPr="00E67F50">
        <w:rPr>
          <w:rFonts w:ascii="Times New Roman" w:hAnsi="Times New Roman"/>
          <w:sz w:val="28"/>
          <w:szCs w:val="28"/>
        </w:rPr>
        <w:t xml:space="preserve"> One is, however, unable to determine with any degree of certainty the </w:t>
      </w:r>
      <w:r w:rsidR="0093169A">
        <w:rPr>
          <w:rFonts w:ascii="Times New Roman" w:hAnsi="Times New Roman"/>
          <w:sz w:val="28"/>
          <w:szCs w:val="28"/>
        </w:rPr>
        <w:t>frequency</w:t>
      </w:r>
      <w:r w:rsidR="003B1A9F" w:rsidRPr="00E67F50">
        <w:rPr>
          <w:rFonts w:ascii="Times New Roman" w:hAnsi="Times New Roman"/>
          <w:sz w:val="28"/>
          <w:szCs w:val="28"/>
        </w:rPr>
        <w:t xml:space="preserve"> </w:t>
      </w:r>
      <w:r w:rsidR="0093169A">
        <w:rPr>
          <w:rFonts w:ascii="Times New Roman" w:hAnsi="Times New Roman"/>
          <w:sz w:val="28"/>
          <w:szCs w:val="28"/>
        </w:rPr>
        <w:t xml:space="preserve">and </w:t>
      </w:r>
      <w:r w:rsidR="003B1A9F" w:rsidRPr="00E67F50">
        <w:rPr>
          <w:rFonts w:ascii="Times New Roman" w:hAnsi="Times New Roman"/>
          <w:sz w:val="28"/>
          <w:szCs w:val="28"/>
        </w:rPr>
        <w:t>circumstances in which these incidents occurred. The record reflects that MD testified about an incident on the occasion when she wore a black hat, another incident on the occasion when a report was made directly to Ms Mapholoba</w:t>
      </w:r>
      <w:r w:rsidR="004043BD" w:rsidRPr="00E67F50">
        <w:rPr>
          <w:rFonts w:ascii="Times New Roman" w:hAnsi="Times New Roman"/>
          <w:sz w:val="28"/>
          <w:szCs w:val="28"/>
        </w:rPr>
        <w:t xml:space="preserve"> when apparently, her mother was at ‘Hemingways’</w:t>
      </w:r>
      <w:r w:rsidR="003B1A9F" w:rsidRPr="00E67F50">
        <w:rPr>
          <w:rFonts w:ascii="Times New Roman" w:hAnsi="Times New Roman"/>
          <w:sz w:val="28"/>
          <w:szCs w:val="28"/>
        </w:rPr>
        <w:t xml:space="preserve">, and another incident when the accused showed her ‘dirty things’ on his cell phone, and a further incident in which a CD was inserted into a laptop. </w:t>
      </w:r>
      <w:r w:rsidR="00347FB9">
        <w:rPr>
          <w:rFonts w:ascii="Times New Roman" w:hAnsi="Times New Roman"/>
          <w:sz w:val="28"/>
          <w:szCs w:val="28"/>
        </w:rPr>
        <w:t xml:space="preserve">There is no clarity </w:t>
      </w:r>
      <w:r w:rsidR="00B962F8">
        <w:rPr>
          <w:rFonts w:ascii="Times New Roman" w:hAnsi="Times New Roman"/>
          <w:sz w:val="28"/>
          <w:szCs w:val="28"/>
        </w:rPr>
        <w:t xml:space="preserve">from MD </w:t>
      </w:r>
      <w:r w:rsidR="00347FB9">
        <w:rPr>
          <w:rFonts w:ascii="Times New Roman" w:hAnsi="Times New Roman"/>
          <w:sz w:val="28"/>
          <w:szCs w:val="28"/>
        </w:rPr>
        <w:t xml:space="preserve">about whether these incidents occurred during the day or at night. </w:t>
      </w:r>
      <w:r w:rsidR="00B962F8">
        <w:rPr>
          <w:rFonts w:ascii="Times New Roman" w:hAnsi="Times New Roman"/>
          <w:sz w:val="28"/>
          <w:szCs w:val="28"/>
        </w:rPr>
        <w:t xml:space="preserve">The record however evidences an indication that it was impermissibly </w:t>
      </w:r>
      <w:r w:rsidR="006F0C13">
        <w:rPr>
          <w:rFonts w:ascii="Times New Roman" w:hAnsi="Times New Roman"/>
          <w:sz w:val="28"/>
          <w:szCs w:val="28"/>
        </w:rPr>
        <w:t xml:space="preserve">suggested </w:t>
      </w:r>
      <w:r w:rsidR="00B962F8">
        <w:rPr>
          <w:rFonts w:ascii="Times New Roman" w:hAnsi="Times New Roman"/>
          <w:sz w:val="28"/>
          <w:szCs w:val="28"/>
        </w:rPr>
        <w:t xml:space="preserve">to her </w:t>
      </w:r>
      <w:r w:rsidR="006F0C13">
        <w:rPr>
          <w:rFonts w:ascii="Times New Roman" w:hAnsi="Times New Roman"/>
          <w:sz w:val="28"/>
          <w:szCs w:val="28"/>
        </w:rPr>
        <w:t>that one incident occurred during the evening.</w:t>
      </w:r>
    </w:p>
    <w:p w14:paraId="0447A4C6" w14:textId="7ABEFDE0" w:rsidR="007C3744"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003B1A9F" w:rsidRPr="00E67F50">
        <w:rPr>
          <w:rFonts w:ascii="Times New Roman" w:hAnsi="Times New Roman"/>
          <w:sz w:val="28"/>
          <w:szCs w:val="28"/>
        </w:rPr>
        <w:t xml:space="preserve">MD </w:t>
      </w:r>
      <w:r w:rsidR="00D17DE6">
        <w:rPr>
          <w:rFonts w:ascii="Times New Roman" w:hAnsi="Times New Roman"/>
          <w:sz w:val="28"/>
          <w:szCs w:val="28"/>
        </w:rPr>
        <w:t xml:space="preserve">also </w:t>
      </w:r>
      <w:r w:rsidR="003B1A9F" w:rsidRPr="00E67F50">
        <w:rPr>
          <w:rFonts w:ascii="Times New Roman" w:hAnsi="Times New Roman"/>
          <w:sz w:val="28"/>
          <w:szCs w:val="28"/>
        </w:rPr>
        <w:t xml:space="preserve">recounted an occasion when she </w:t>
      </w:r>
      <w:r w:rsidR="00081D43">
        <w:rPr>
          <w:rFonts w:ascii="Times New Roman" w:hAnsi="Times New Roman"/>
          <w:sz w:val="28"/>
          <w:szCs w:val="28"/>
        </w:rPr>
        <w:t>came home late from the library</w:t>
      </w:r>
      <w:r w:rsidR="000739A9">
        <w:rPr>
          <w:rFonts w:ascii="Times New Roman" w:hAnsi="Times New Roman"/>
          <w:sz w:val="28"/>
          <w:szCs w:val="28"/>
        </w:rPr>
        <w:t>. To avoid being chastised by her mother she retorted that her mother should chastise the accused</w:t>
      </w:r>
      <w:r w:rsidR="00B720CE">
        <w:rPr>
          <w:rFonts w:ascii="Times New Roman" w:hAnsi="Times New Roman"/>
          <w:sz w:val="28"/>
          <w:szCs w:val="28"/>
        </w:rPr>
        <w:t>. In that vein she disclosed previously being raped by the accused</w:t>
      </w:r>
      <w:r w:rsidR="003B1A9F" w:rsidRPr="00E67F50">
        <w:rPr>
          <w:rFonts w:ascii="Times New Roman" w:hAnsi="Times New Roman"/>
          <w:sz w:val="28"/>
          <w:szCs w:val="28"/>
        </w:rPr>
        <w:t xml:space="preserve">. It is not clear from the evidence if this incident </w:t>
      </w:r>
      <w:r w:rsidR="00B720CE">
        <w:rPr>
          <w:rFonts w:ascii="Times New Roman" w:hAnsi="Times New Roman"/>
          <w:sz w:val="28"/>
          <w:szCs w:val="28"/>
        </w:rPr>
        <w:t xml:space="preserve">MD disclosed to her mother </w:t>
      </w:r>
      <w:r w:rsidR="003B1A9F" w:rsidRPr="00E67F50">
        <w:rPr>
          <w:rFonts w:ascii="Times New Roman" w:hAnsi="Times New Roman"/>
          <w:sz w:val="28"/>
          <w:szCs w:val="28"/>
        </w:rPr>
        <w:t xml:space="preserve">was circumstanced by </w:t>
      </w:r>
      <w:r w:rsidR="00B720CE">
        <w:rPr>
          <w:rFonts w:ascii="Times New Roman" w:hAnsi="Times New Roman"/>
          <w:sz w:val="28"/>
          <w:szCs w:val="28"/>
        </w:rPr>
        <w:t xml:space="preserve">MD </w:t>
      </w:r>
      <w:r w:rsidR="003B1A9F" w:rsidRPr="00E67F50">
        <w:rPr>
          <w:rFonts w:ascii="Times New Roman" w:hAnsi="Times New Roman"/>
          <w:sz w:val="28"/>
          <w:szCs w:val="28"/>
        </w:rPr>
        <w:t>wearing the black hat or if it happened when she claimed to have viewed dirty things either on the accused’s cell-phone or the laptop.</w:t>
      </w:r>
    </w:p>
    <w:p w14:paraId="4B88E252" w14:textId="0FCE5C7E" w:rsidR="003B1A9F" w:rsidRPr="00E67F50" w:rsidRDefault="00467BC2" w:rsidP="00467BC2">
      <w:pPr>
        <w:pStyle w:val="LegalList1"/>
        <w:spacing w:line="360" w:lineRule="auto"/>
        <w:rPr>
          <w:rFonts w:ascii="Times New Roman" w:hAnsi="Times New Roman"/>
          <w:sz w:val="28"/>
          <w:szCs w:val="28"/>
        </w:rPr>
      </w:pPr>
      <w:r w:rsidRPr="00E67F50">
        <w:rPr>
          <w:rFonts w:ascii="Times New Roman" w:hAnsi="Times New Roman"/>
          <w:sz w:val="28"/>
          <w:szCs w:val="28"/>
        </w:rPr>
        <w:lastRenderedPageBreak/>
        <w:t>[37]</w:t>
      </w:r>
      <w:r w:rsidRPr="00E67F50">
        <w:rPr>
          <w:rFonts w:ascii="Times New Roman" w:hAnsi="Times New Roman"/>
          <w:sz w:val="28"/>
          <w:szCs w:val="28"/>
        </w:rPr>
        <w:tab/>
      </w:r>
      <w:r w:rsidR="003B1A9F" w:rsidRPr="00E67F50">
        <w:rPr>
          <w:rFonts w:ascii="Times New Roman" w:hAnsi="Times New Roman"/>
          <w:sz w:val="28"/>
          <w:szCs w:val="28"/>
        </w:rPr>
        <w:t xml:space="preserve">Attempting to sensibly isolate and individualise these incidents is an impossibility and an exercise in speculation. </w:t>
      </w:r>
      <w:r w:rsidR="00C045CB">
        <w:rPr>
          <w:rFonts w:ascii="Times New Roman" w:hAnsi="Times New Roman"/>
          <w:sz w:val="28"/>
          <w:szCs w:val="28"/>
        </w:rPr>
        <w:t xml:space="preserve">It is difficult to extrapolate a clear picture and sequence of events from MD’s evidence. </w:t>
      </w:r>
      <w:r w:rsidR="003B1A9F" w:rsidRPr="00E67F50">
        <w:rPr>
          <w:rFonts w:ascii="Times New Roman" w:hAnsi="Times New Roman"/>
          <w:sz w:val="28"/>
          <w:szCs w:val="28"/>
        </w:rPr>
        <w:t>This is because at some point MD gave a narrative which suggested that there were either one or two incidents which bore the hallmarks of each of the other incidents. If one speculates and reduces everything to two incidents, or arguably even perhaps one incident, a troubling aspect of MD’s testimony is that she stated that the accused penetrated her vagina while she was wearing shorts.</w:t>
      </w:r>
      <w:r w:rsidR="00203BA9" w:rsidRPr="00E67F50">
        <w:rPr>
          <w:rFonts w:ascii="Times New Roman" w:hAnsi="Times New Roman"/>
          <w:sz w:val="28"/>
          <w:szCs w:val="28"/>
        </w:rPr>
        <w:t xml:space="preserve"> </w:t>
      </w:r>
      <w:r w:rsidR="00271B9C" w:rsidRPr="00E67F50">
        <w:rPr>
          <w:rFonts w:ascii="Times New Roman" w:hAnsi="Times New Roman"/>
          <w:sz w:val="28"/>
          <w:szCs w:val="28"/>
        </w:rPr>
        <w:t xml:space="preserve">This was confirmed in cross-examination and </w:t>
      </w:r>
      <w:r w:rsidR="008C0EC2" w:rsidRPr="00E67F50">
        <w:rPr>
          <w:rFonts w:ascii="Times New Roman" w:hAnsi="Times New Roman"/>
          <w:sz w:val="28"/>
          <w:szCs w:val="28"/>
        </w:rPr>
        <w:t xml:space="preserve">similarly </w:t>
      </w:r>
      <w:r w:rsidR="00271B9C" w:rsidRPr="00E67F50">
        <w:rPr>
          <w:rFonts w:ascii="Times New Roman" w:hAnsi="Times New Roman"/>
          <w:sz w:val="28"/>
          <w:szCs w:val="28"/>
        </w:rPr>
        <w:t>during re-examination</w:t>
      </w:r>
      <w:r w:rsidR="008C0EC2" w:rsidRPr="00E67F50">
        <w:rPr>
          <w:rFonts w:ascii="Times New Roman" w:hAnsi="Times New Roman"/>
          <w:sz w:val="28"/>
          <w:szCs w:val="28"/>
        </w:rPr>
        <w:t xml:space="preserve"> when she stated that the accused </w:t>
      </w:r>
      <w:r w:rsidR="004043BD" w:rsidRPr="00E67F50">
        <w:rPr>
          <w:rFonts w:ascii="Times New Roman" w:hAnsi="Times New Roman"/>
          <w:sz w:val="28"/>
          <w:szCs w:val="28"/>
        </w:rPr>
        <w:t>‘</w:t>
      </w:r>
      <w:r w:rsidR="008C0EC2" w:rsidRPr="00E67F50">
        <w:rPr>
          <w:rFonts w:ascii="Times New Roman" w:hAnsi="Times New Roman"/>
          <w:sz w:val="28"/>
          <w:szCs w:val="28"/>
        </w:rPr>
        <w:t>inserted it on top of</w:t>
      </w:r>
      <w:r w:rsidR="004043BD" w:rsidRPr="00E67F50">
        <w:rPr>
          <w:rFonts w:ascii="Times New Roman" w:hAnsi="Times New Roman"/>
          <w:sz w:val="28"/>
          <w:szCs w:val="28"/>
        </w:rPr>
        <w:t xml:space="preserve"> the shorts’</w:t>
      </w:r>
      <w:r w:rsidR="00271B9C" w:rsidRPr="00E67F50">
        <w:rPr>
          <w:rFonts w:ascii="Times New Roman" w:hAnsi="Times New Roman"/>
          <w:sz w:val="28"/>
          <w:szCs w:val="28"/>
        </w:rPr>
        <w:t xml:space="preserve">. </w:t>
      </w:r>
      <w:r w:rsidR="00081D43">
        <w:rPr>
          <w:rFonts w:ascii="Times New Roman" w:hAnsi="Times New Roman"/>
          <w:sz w:val="28"/>
          <w:szCs w:val="28"/>
        </w:rPr>
        <w:t>Reducing it all</w:t>
      </w:r>
      <w:r w:rsidR="00203BA9" w:rsidRPr="00E67F50">
        <w:rPr>
          <w:rFonts w:ascii="Times New Roman" w:hAnsi="Times New Roman"/>
          <w:sz w:val="28"/>
          <w:szCs w:val="28"/>
        </w:rPr>
        <w:t xml:space="preserve"> to one count, this evidence</w:t>
      </w:r>
      <w:r w:rsidR="00F9259F">
        <w:rPr>
          <w:rFonts w:ascii="Times New Roman" w:hAnsi="Times New Roman"/>
          <w:sz w:val="28"/>
          <w:szCs w:val="28"/>
        </w:rPr>
        <w:t xml:space="preserve"> flies </w:t>
      </w:r>
      <w:r w:rsidR="003B1A9F" w:rsidRPr="00E67F50">
        <w:rPr>
          <w:rFonts w:ascii="Times New Roman" w:hAnsi="Times New Roman"/>
          <w:sz w:val="28"/>
          <w:szCs w:val="28"/>
        </w:rPr>
        <w:t xml:space="preserve">in the face of </w:t>
      </w:r>
      <w:r w:rsidR="00036548" w:rsidRPr="00E67F50">
        <w:rPr>
          <w:rFonts w:ascii="Times New Roman" w:hAnsi="Times New Roman"/>
          <w:sz w:val="28"/>
          <w:szCs w:val="28"/>
        </w:rPr>
        <w:t xml:space="preserve">two separate </w:t>
      </w:r>
      <w:r w:rsidR="003B1A9F" w:rsidRPr="00E67F50">
        <w:rPr>
          <w:rFonts w:ascii="Times New Roman" w:hAnsi="Times New Roman"/>
          <w:sz w:val="28"/>
          <w:szCs w:val="28"/>
        </w:rPr>
        <w:t>demonstrations using anatomical dolls.</w:t>
      </w:r>
    </w:p>
    <w:p w14:paraId="5D5F4BF0" w14:textId="3B5D929D" w:rsidR="003B1A9F"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r w:rsidR="003B1A9F">
        <w:rPr>
          <w:rFonts w:ascii="Times New Roman" w:hAnsi="Times New Roman"/>
          <w:sz w:val="28"/>
          <w:szCs w:val="28"/>
        </w:rPr>
        <w:t xml:space="preserve">The record also evidences resentment or hatred by MD for the accused due to her suspicions that he assaulted or ill-treated her mother. </w:t>
      </w:r>
      <w:r w:rsidR="00B30193">
        <w:rPr>
          <w:rFonts w:ascii="Times New Roman" w:hAnsi="Times New Roman"/>
          <w:sz w:val="28"/>
          <w:szCs w:val="28"/>
        </w:rPr>
        <w:t xml:space="preserve">He is her stepfather, and this </w:t>
      </w:r>
      <w:r w:rsidR="003B1A9F">
        <w:rPr>
          <w:rFonts w:ascii="Times New Roman" w:hAnsi="Times New Roman"/>
          <w:sz w:val="28"/>
          <w:szCs w:val="28"/>
        </w:rPr>
        <w:t xml:space="preserve">brings to light a motive behind her reason for pointing a finger </w:t>
      </w:r>
      <w:r w:rsidR="007B7278">
        <w:rPr>
          <w:rFonts w:ascii="Times New Roman" w:hAnsi="Times New Roman"/>
          <w:sz w:val="28"/>
          <w:szCs w:val="28"/>
        </w:rPr>
        <w:t xml:space="preserve">at </w:t>
      </w:r>
      <w:r w:rsidR="003B1A9F">
        <w:rPr>
          <w:rFonts w:ascii="Times New Roman" w:hAnsi="Times New Roman"/>
          <w:sz w:val="28"/>
          <w:szCs w:val="28"/>
        </w:rPr>
        <w:t xml:space="preserve">the accused as being the perpetrator of the offences against her. </w:t>
      </w:r>
      <w:r w:rsidR="00B30193">
        <w:rPr>
          <w:rFonts w:ascii="Times New Roman" w:hAnsi="Times New Roman"/>
          <w:sz w:val="28"/>
          <w:szCs w:val="28"/>
        </w:rPr>
        <w:t>Objectively considered</w:t>
      </w:r>
      <w:r w:rsidR="003B1A9F">
        <w:rPr>
          <w:rFonts w:ascii="Times New Roman" w:hAnsi="Times New Roman"/>
          <w:sz w:val="28"/>
          <w:szCs w:val="28"/>
        </w:rPr>
        <w:t>, it follows that MD may have a reason to narrate incongruent versions about the accused’s conduct.</w:t>
      </w:r>
    </w:p>
    <w:p w14:paraId="2BF12276" w14:textId="4E30A603" w:rsidR="003B1A9F"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003B1A9F">
        <w:rPr>
          <w:rFonts w:ascii="Times New Roman" w:hAnsi="Times New Roman"/>
          <w:sz w:val="28"/>
          <w:szCs w:val="28"/>
        </w:rPr>
        <w:t xml:space="preserve">Adverting to the evidence of the remaining witnesses, namely; Ms Mapholoba, Ms Nikelo and MD’s mother Ms Ugoka, their evidence is entirely circumstantial to the events in question. Where the medical evidence was the only evidence which would have objectively corroborated MD, and such evidence has been found to be inadmissible, it cannot be argued that the </w:t>
      </w:r>
      <w:r w:rsidR="004C66D3">
        <w:rPr>
          <w:rFonts w:ascii="Times New Roman" w:hAnsi="Times New Roman"/>
          <w:sz w:val="28"/>
          <w:szCs w:val="28"/>
        </w:rPr>
        <w:t xml:space="preserve">reports and </w:t>
      </w:r>
      <w:r w:rsidR="001E7262">
        <w:rPr>
          <w:rFonts w:ascii="Times New Roman" w:hAnsi="Times New Roman"/>
          <w:sz w:val="28"/>
          <w:szCs w:val="28"/>
        </w:rPr>
        <w:t xml:space="preserve">level of detail volunteered by MD </w:t>
      </w:r>
      <w:r w:rsidR="004D7AC7">
        <w:rPr>
          <w:rFonts w:ascii="Times New Roman" w:hAnsi="Times New Roman"/>
          <w:sz w:val="28"/>
          <w:szCs w:val="28"/>
        </w:rPr>
        <w:t xml:space="preserve">to these witnesses </w:t>
      </w:r>
      <w:r w:rsidR="001E7262">
        <w:rPr>
          <w:rFonts w:ascii="Times New Roman" w:hAnsi="Times New Roman"/>
          <w:sz w:val="28"/>
          <w:szCs w:val="28"/>
        </w:rPr>
        <w:t>about how the alleged rapes were perpetrated</w:t>
      </w:r>
      <w:r w:rsidR="003B1A9F">
        <w:rPr>
          <w:rFonts w:ascii="Times New Roman" w:hAnsi="Times New Roman"/>
          <w:sz w:val="28"/>
          <w:szCs w:val="28"/>
        </w:rPr>
        <w:t xml:space="preserve"> corroborates the version of MD</w:t>
      </w:r>
      <w:r w:rsidR="001E7262">
        <w:rPr>
          <w:rFonts w:ascii="Times New Roman" w:hAnsi="Times New Roman"/>
          <w:sz w:val="28"/>
          <w:szCs w:val="28"/>
        </w:rPr>
        <w:t xml:space="preserve"> where she could not even in the most simplest of terms volunteer such information in a </w:t>
      </w:r>
      <w:r w:rsidR="004C66D3">
        <w:rPr>
          <w:rFonts w:ascii="Times New Roman" w:hAnsi="Times New Roman"/>
          <w:sz w:val="28"/>
          <w:szCs w:val="28"/>
        </w:rPr>
        <w:t xml:space="preserve">lucid </w:t>
      </w:r>
      <w:r w:rsidR="001E7262">
        <w:rPr>
          <w:rFonts w:ascii="Times New Roman" w:hAnsi="Times New Roman"/>
          <w:sz w:val="28"/>
          <w:szCs w:val="28"/>
        </w:rPr>
        <w:t>manner</w:t>
      </w:r>
      <w:r w:rsidR="003B1A9F">
        <w:rPr>
          <w:rFonts w:ascii="Times New Roman" w:hAnsi="Times New Roman"/>
          <w:sz w:val="28"/>
          <w:szCs w:val="28"/>
        </w:rPr>
        <w:t xml:space="preserve">. It must immediately be emphasised that by corroboration is meant other evidence which supports the evidence of MD. Put otherwise, it must be evidence implicating the </w:t>
      </w:r>
      <w:r w:rsidR="003B1A9F">
        <w:rPr>
          <w:rFonts w:ascii="Times New Roman" w:hAnsi="Times New Roman"/>
          <w:sz w:val="28"/>
          <w:szCs w:val="28"/>
        </w:rPr>
        <w:lastRenderedPageBreak/>
        <w:t>accused. A repetition of what MD may have reported to the</w:t>
      </w:r>
      <w:r w:rsidR="00B30193">
        <w:rPr>
          <w:rFonts w:ascii="Times New Roman" w:hAnsi="Times New Roman"/>
          <w:sz w:val="28"/>
          <w:szCs w:val="28"/>
        </w:rPr>
        <w:t>se witnesses</w:t>
      </w:r>
      <w:r w:rsidR="004D7AC7">
        <w:rPr>
          <w:rFonts w:ascii="Times New Roman" w:hAnsi="Times New Roman"/>
          <w:sz w:val="28"/>
          <w:szCs w:val="28"/>
        </w:rPr>
        <w:t>, whether they testified thereto orally or whether contained in police statements</w:t>
      </w:r>
      <w:r w:rsidR="0078518C">
        <w:rPr>
          <w:rFonts w:ascii="Times New Roman" w:hAnsi="Times New Roman"/>
          <w:sz w:val="28"/>
          <w:szCs w:val="28"/>
        </w:rPr>
        <w:t>,</w:t>
      </w:r>
      <w:r w:rsidR="009E0764">
        <w:rPr>
          <w:rFonts w:ascii="Times New Roman" w:hAnsi="Times New Roman"/>
          <w:sz w:val="28"/>
          <w:szCs w:val="28"/>
        </w:rPr>
        <w:t xml:space="preserve"> must be weighed against </w:t>
      </w:r>
      <w:r w:rsidR="004C66D3">
        <w:rPr>
          <w:rFonts w:ascii="Times New Roman" w:hAnsi="Times New Roman"/>
          <w:sz w:val="28"/>
          <w:szCs w:val="28"/>
        </w:rPr>
        <w:t xml:space="preserve">MD’s </w:t>
      </w:r>
      <w:r w:rsidR="009E0764">
        <w:rPr>
          <w:rFonts w:ascii="Times New Roman" w:hAnsi="Times New Roman"/>
          <w:sz w:val="28"/>
          <w:szCs w:val="28"/>
        </w:rPr>
        <w:t>resentment of the accused and</w:t>
      </w:r>
      <w:r w:rsidR="003B1A9F">
        <w:rPr>
          <w:rFonts w:ascii="Times New Roman" w:hAnsi="Times New Roman"/>
          <w:sz w:val="28"/>
          <w:szCs w:val="28"/>
        </w:rPr>
        <w:t xml:space="preserve"> cannot furnish corroboration </w:t>
      </w:r>
      <w:r w:rsidR="009E0764">
        <w:rPr>
          <w:rFonts w:ascii="Times New Roman" w:hAnsi="Times New Roman"/>
          <w:sz w:val="28"/>
          <w:szCs w:val="28"/>
        </w:rPr>
        <w:t xml:space="preserve">– but </w:t>
      </w:r>
      <w:r w:rsidR="003B1A9F">
        <w:rPr>
          <w:rFonts w:ascii="Times New Roman" w:hAnsi="Times New Roman"/>
          <w:sz w:val="28"/>
          <w:szCs w:val="28"/>
        </w:rPr>
        <w:t>can at most</w:t>
      </w:r>
      <w:r w:rsidR="009E0764">
        <w:rPr>
          <w:rFonts w:ascii="Times New Roman" w:hAnsi="Times New Roman"/>
          <w:sz w:val="28"/>
          <w:szCs w:val="28"/>
        </w:rPr>
        <w:t>,</w:t>
      </w:r>
      <w:r w:rsidR="003B1A9F">
        <w:rPr>
          <w:rFonts w:ascii="Times New Roman" w:hAnsi="Times New Roman"/>
          <w:sz w:val="28"/>
          <w:szCs w:val="28"/>
        </w:rPr>
        <w:t xml:space="preserve"> prove consistency </w:t>
      </w:r>
      <w:r w:rsidR="00EB6547">
        <w:rPr>
          <w:rFonts w:ascii="Times New Roman" w:hAnsi="Times New Roman"/>
          <w:sz w:val="28"/>
          <w:szCs w:val="28"/>
        </w:rPr>
        <w:t xml:space="preserve">– and </w:t>
      </w:r>
      <w:r w:rsidR="003B1A9F">
        <w:rPr>
          <w:rFonts w:ascii="Times New Roman" w:hAnsi="Times New Roman"/>
          <w:sz w:val="28"/>
          <w:szCs w:val="28"/>
        </w:rPr>
        <w:t>proof of consistency is not the equivalent of corroboration.</w:t>
      </w:r>
      <w:r w:rsidR="003B1A9F">
        <w:rPr>
          <w:rStyle w:val="FootnoteReference"/>
          <w:rFonts w:ascii="Times New Roman" w:hAnsi="Times New Roman"/>
          <w:sz w:val="28"/>
          <w:szCs w:val="28"/>
        </w:rPr>
        <w:footnoteReference w:id="18"/>
      </w:r>
      <w:r w:rsidR="009E0764">
        <w:rPr>
          <w:rFonts w:ascii="Times New Roman" w:hAnsi="Times New Roman"/>
          <w:sz w:val="28"/>
          <w:szCs w:val="28"/>
        </w:rPr>
        <w:t xml:space="preserve"> </w:t>
      </w:r>
      <w:r w:rsidR="003B1A9F">
        <w:rPr>
          <w:rFonts w:ascii="Times New Roman" w:hAnsi="Times New Roman"/>
          <w:sz w:val="28"/>
          <w:szCs w:val="28"/>
        </w:rPr>
        <w:t xml:space="preserve">Where the cross-examination of these witnesses may not have placed certain aspects of their narrative </w:t>
      </w:r>
      <w:r w:rsidR="00950C0F">
        <w:rPr>
          <w:rFonts w:ascii="Times New Roman" w:hAnsi="Times New Roman"/>
          <w:sz w:val="28"/>
          <w:szCs w:val="28"/>
        </w:rPr>
        <w:t xml:space="preserve">testimony </w:t>
      </w:r>
      <w:r w:rsidR="003B1A9F">
        <w:rPr>
          <w:rFonts w:ascii="Times New Roman" w:hAnsi="Times New Roman"/>
          <w:sz w:val="28"/>
          <w:szCs w:val="28"/>
        </w:rPr>
        <w:t>seriously in dispute, it would be absurd to hold that their e</w:t>
      </w:r>
      <w:r w:rsidR="00A42EBE">
        <w:rPr>
          <w:rFonts w:ascii="Times New Roman" w:hAnsi="Times New Roman"/>
          <w:sz w:val="28"/>
          <w:szCs w:val="28"/>
        </w:rPr>
        <w:t>vidence corroborates that of MD on the simplistic basis that it is common cause.</w:t>
      </w:r>
    </w:p>
    <w:p w14:paraId="5CC3CE66" w14:textId="48DC803E" w:rsidR="002D3302"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[40]</w:t>
      </w:r>
      <w:r>
        <w:rPr>
          <w:rFonts w:ascii="Times New Roman" w:hAnsi="Times New Roman"/>
          <w:sz w:val="28"/>
          <w:szCs w:val="28"/>
        </w:rPr>
        <w:tab/>
      </w:r>
      <w:r w:rsidR="003B1A9F">
        <w:rPr>
          <w:rFonts w:ascii="Times New Roman" w:hAnsi="Times New Roman"/>
          <w:sz w:val="28"/>
          <w:szCs w:val="28"/>
        </w:rPr>
        <w:t xml:space="preserve">I am not oblivious of the pressures put on witnesses in a courtroom, nor of the trauma attendant on victims of sexual assault. </w:t>
      </w:r>
      <w:r w:rsidR="00556F34">
        <w:rPr>
          <w:rFonts w:ascii="Times New Roman" w:hAnsi="Times New Roman"/>
          <w:sz w:val="28"/>
          <w:szCs w:val="28"/>
        </w:rPr>
        <w:t>Neither Ms Mapholoba nor Ms Ugoka impressed me.</w:t>
      </w:r>
    </w:p>
    <w:p w14:paraId="5ED20E79" w14:textId="6FE89657" w:rsidR="002D3302"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00556F34">
        <w:rPr>
          <w:rFonts w:ascii="Times New Roman" w:hAnsi="Times New Roman"/>
          <w:sz w:val="28"/>
          <w:szCs w:val="28"/>
        </w:rPr>
        <w:t xml:space="preserve">Ms Mapholoba had an affair with the accused and the relationship </w:t>
      </w:r>
      <w:r w:rsidR="003E2FB6">
        <w:rPr>
          <w:rFonts w:ascii="Times New Roman" w:hAnsi="Times New Roman"/>
          <w:sz w:val="28"/>
          <w:szCs w:val="28"/>
        </w:rPr>
        <w:t>curdled</w:t>
      </w:r>
      <w:r w:rsidR="00EB7AE3">
        <w:rPr>
          <w:rFonts w:ascii="Times New Roman" w:hAnsi="Times New Roman"/>
          <w:sz w:val="28"/>
          <w:szCs w:val="28"/>
        </w:rPr>
        <w:t>. She was an inflexible witness who had a motive to give evidence against the interest of the accused. As for Ms Ugoka, her faint pleas that she feared for her safety</w:t>
      </w:r>
      <w:r w:rsidR="002147CA">
        <w:rPr>
          <w:rFonts w:ascii="Times New Roman" w:hAnsi="Times New Roman"/>
          <w:sz w:val="28"/>
          <w:szCs w:val="28"/>
        </w:rPr>
        <w:t xml:space="preserve"> and was concerned about MD were a veiled attempt to win sympathy with the Court</w:t>
      </w:r>
      <w:r w:rsidR="002D3302">
        <w:rPr>
          <w:rFonts w:ascii="Times New Roman" w:hAnsi="Times New Roman"/>
          <w:sz w:val="28"/>
          <w:szCs w:val="28"/>
        </w:rPr>
        <w:t>.</w:t>
      </w:r>
    </w:p>
    <w:p w14:paraId="3B82159E" w14:textId="01B74BEE" w:rsidR="003E2FB6"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003448AE">
        <w:rPr>
          <w:rFonts w:ascii="Times New Roman" w:hAnsi="Times New Roman"/>
          <w:sz w:val="28"/>
          <w:szCs w:val="28"/>
        </w:rPr>
        <w:t xml:space="preserve">And lastly, as for Ms Nikelo, the landlady on whose premises the Ugoka family rented a flat, </w:t>
      </w:r>
      <w:r w:rsidR="00145FD6">
        <w:rPr>
          <w:rFonts w:ascii="Times New Roman" w:hAnsi="Times New Roman"/>
          <w:sz w:val="28"/>
          <w:szCs w:val="28"/>
        </w:rPr>
        <w:t>the information which she acquired about the alleged rape was reported to her by Ms Ugoka and MD</w:t>
      </w:r>
      <w:r w:rsidR="00B17EC7">
        <w:rPr>
          <w:rFonts w:ascii="Times New Roman" w:hAnsi="Times New Roman"/>
          <w:sz w:val="28"/>
          <w:szCs w:val="28"/>
        </w:rPr>
        <w:t xml:space="preserve">. </w:t>
      </w:r>
      <w:r w:rsidR="009A2E4D">
        <w:rPr>
          <w:rFonts w:ascii="Times New Roman" w:hAnsi="Times New Roman"/>
          <w:sz w:val="28"/>
          <w:szCs w:val="28"/>
        </w:rPr>
        <w:t>H</w:t>
      </w:r>
      <w:r w:rsidR="00B17EC7">
        <w:rPr>
          <w:rFonts w:ascii="Times New Roman" w:hAnsi="Times New Roman"/>
          <w:sz w:val="28"/>
          <w:szCs w:val="28"/>
        </w:rPr>
        <w:t>er</w:t>
      </w:r>
      <w:r w:rsidR="009A2E4D">
        <w:rPr>
          <w:rFonts w:ascii="Times New Roman" w:hAnsi="Times New Roman"/>
          <w:sz w:val="28"/>
          <w:szCs w:val="28"/>
        </w:rPr>
        <w:t xml:space="preserve"> </w:t>
      </w:r>
      <w:r w:rsidR="00B17EC7">
        <w:rPr>
          <w:rFonts w:ascii="Times New Roman" w:hAnsi="Times New Roman"/>
          <w:sz w:val="28"/>
          <w:szCs w:val="28"/>
        </w:rPr>
        <w:t>evidence for reasons already mentioned does not corroborate MD with the degree of persuasion that implicates the accused.</w:t>
      </w:r>
      <w:r w:rsidR="009A2E4D">
        <w:rPr>
          <w:rFonts w:ascii="Times New Roman" w:hAnsi="Times New Roman"/>
          <w:sz w:val="28"/>
          <w:szCs w:val="28"/>
        </w:rPr>
        <w:t xml:space="preserve"> It emerged in cross-ex</w:t>
      </w:r>
      <w:r w:rsidR="000E732F">
        <w:rPr>
          <w:rFonts w:ascii="Times New Roman" w:hAnsi="Times New Roman"/>
          <w:sz w:val="28"/>
          <w:szCs w:val="28"/>
        </w:rPr>
        <w:t xml:space="preserve">amination of this witness, which she confirmed, that she </w:t>
      </w:r>
      <w:r w:rsidR="007F52F0">
        <w:rPr>
          <w:rFonts w:ascii="Times New Roman" w:hAnsi="Times New Roman"/>
          <w:sz w:val="28"/>
          <w:szCs w:val="28"/>
        </w:rPr>
        <w:t xml:space="preserve">suggested </w:t>
      </w:r>
      <w:r w:rsidR="000E732F">
        <w:rPr>
          <w:rFonts w:ascii="Times New Roman" w:hAnsi="Times New Roman"/>
          <w:sz w:val="28"/>
          <w:szCs w:val="28"/>
        </w:rPr>
        <w:t>to MD that the accused inserted his ‘thing’ into MD’s vagina.</w:t>
      </w:r>
    </w:p>
    <w:p w14:paraId="08842A30" w14:textId="2F62F0A9" w:rsidR="002D3302" w:rsidRDefault="00467BC2" w:rsidP="00467BC2">
      <w:pPr>
        <w:pStyle w:val="LegalList1"/>
        <w:spacing w:line="360" w:lineRule="auto"/>
        <w:rPr>
          <w:rFonts w:ascii="Times New Roman" w:hAnsi="Times New Roman"/>
          <w:sz w:val="28"/>
          <w:szCs w:val="28"/>
        </w:rPr>
      </w:pPr>
      <w:r>
        <w:rPr>
          <w:rFonts w:ascii="Times New Roman" w:hAnsi="Times New Roman"/>
          <w:sz w:val="28"/>
          <w:szCs w:val="28"/>
        </w:rPr>
        <w:lastRenderedPageBreak/>
        <w:t>[43]</w:t>
      </w:r>
      <w:r>
        <w:rPr>
          <w:rFonts w:ascii="Times New Roman" w:hAnsi="Times New Roman"/>
          <w:sz w:val="28"/>
          <w:szCs w:val="28"/>
        </w:rPr>
        <w:tab/>
      </w:r>
      <w:r w:rsidR="003B1A9F">
        <w:rPr>
          <w:rFonts w:ascii="Times New Roman" w:hAnsi="Times New Roman"/>
          <w:sz w:val="28"/>
          <w:szCs w:val="28"/>
        </w:rPr>
        <w:t>In my assessment of the</w:t>
      </w:r>
      <w:r w:rsidR="0002581A">
        <w:rPr>
          <w:rFonts w:ascii="Times New Roman" w:hAnsi="Times New Roman"/>
          <w:sz w:val="28"/>
          <w:szCs w:val="28"/>
        </w:rPr>
        <w:t xml:space="preserve"> matter</w:t>
      </w:r>
      <w:r w:rsidR="003B1A9F">
        <w:rPr>
          <w:rFonts w:ascii="Times New Roman" w:hAnsi="Times New Roman"/>
          <w:sz w:val="28"/>
          <w:szCs w:val="28"/>
        </w:rPr>
        <w:t xml:space="preserve">, the overall unsatisfactory nature of the evidence by MD cannot be excused. On her own failing, MD was unable to express intelligent answers to the most simple of questions. This led to the State </w:t>
      </w:r>
      <w:r w:rsidR="0002581A">
        <w:rPr>
          <w:rFonts w:ascii="Times New Roman" w:hAnsi="Times New Roman"/>
          <w:sz w:val="28"/>
          <w:szCs w:val="28"/>
        </w:rPr>
        <w:t xml:space="preserve">repeatedly </w:t>
      </w:r>
      <w:r w:rsidR="003B1A9F">
        <w:rPr>
          <w:rFonts w:ascii="Times New Roman" w:hAnsi="Times New Roman"/>
          <w:sz w:val="28"/>
          <w:szCs w:val="28"/>
        </w:rPr>
        <w:t xml:space="preserve">having to prod her for answers which in most instances were rarely intelligibly forthcoming and </w:t>
      </w:r>
      <w:r w:rsidR="0002581A">
        <w:rPr>
          <w:rFonts w:ascii="Times New Roman" w:hAnsi="Times New Roman"/>
          <w:sz w:val="28"/>
          <w:szCs w:val="28"/>
        </w:rPr>
        <w:t xml:space="preserve">at times </w:t>
      </w:r>
      <w:r w:rsidR="003B1A9F">
        <w:rPr>
          <w:rFonts w:ascii="Times New Roman" w:hAnsi="Times New Roman"/>
          <w:sz w:val="28"/>
          <w:szCs w:val="28"/>
        </w:rPr>
        <w:t>were put forward aft</w:t>
      </w:r>
      <w:r w:rsidR="002B3470">
        <w:rPr>
          <w:rFonts w:ascii="Times New Roman" w:hAnsi="Times New Roman"/>
          <w:sz w:val="28"/>
          <w:szCs w:val="28"/>
        </w:rPr>
        <w:t>e</w:t>
      </w:r>
      <w:r w:rsidR="002D3302">
        <w:rPr>
          <w:rFonts w:ascii="Times New Roman" w:hAnsi="Times New Roman"/>
          <w:sz w:val="28"/>
          <w:szCs w:val="28"/>
        </w:rPr>
        <w:t>r lengthy pauses in the record.</w:t>
      </w:r>
    </w:p>
    <w:p w14:paraId="51533A78" w14:textId="2AAC4F17" w:rsidR="003B1A9F"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002B3470">
        <w:rPr>
          <w:rFonts w:ascii="Times New Roman" w:hAnsi="Times New Roman"/>
          <w:sz w:val="28"/>
          <w:szCs w:val="28"/>
        </w:rPr>
        <w:t xml:space="preserve">Where </w:t>
      </w:r>
      <w:r w:rsidR="00000667">
        <w:rPr>
          <w:rFonts w:ascii="Times New Roman" w:hAnsi="Times New Roman"/>
          <w:sz w:val="28"/>
          <w:szCs w:val="28"/>
        </w:rPr>
        <w:t xml:space="preserve">satisfactory responses were forthcoming, this was in </w:t>
      </w:r>
      <w:r w:rsidR="00A42EBE">
        <w:rPr>
          <w:rFonts w:ascii="Times New Roman" w:hAnsi="Times New Roman"/>
          <w:sz w:val="28"/>
          <w:szCs w:val="28"/>
        </w:rPr>
        <w:t xml:space="preserve">response to </w:t>
      </w:r>
      <w:r w:rsidR="003E2FB6">
        <w:rPr>
          <w:rFonts w:ascii="Times New Roman" w:hAnsi="Times New Roman"/>
          <w:sz w:val="28"/>
          <w:szCs w:val="28"/>
        </w:rPr>
        <w:t>suggestive qu</w:t>
      </w:r>
      <w:r w:rsidR="00462B8B">
        <w:rPr>
          <w:rFonts w:ascii="Times New Roman" w:hAnsi="Times New Roman"/>
          <w:sz w:val="28"/>
          <w:szCs w:val="28"/>
        </w:rPr>
        <w:t>estioning</w:t>
      </w:r>
    </w:p>
    <w:p w14:paraId="00F6EEEE" w14:textId="3C2676E7" w:rsidR="00F870F2"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002A1398">
        <w:rPr>
          <w:rFonts w:ascii="Times New Roman" w:hAnsi="Times New Roman"/>
          <w:sz w:val="28"/>
          <w:szCs w:val="28"/>
        </w:rPr>
        <w:t xml:space="preserve">In dealing with MD, more attention ought to have been paid to the detail and timing of the alleged instances of sexual penetration. All of this has implications for the factual matrix upon which the accused is expected to answer to the charge against him. </w:t>
      </w:r>
      <w:r w:rsidR="009E04E1">
        <w:rPr>
          <w:rFonts w:ascii="Times New Roman" w:hAnsi="Times New Roman"/>
          <w:sz w:val="28"/>
          <w:szCs w:val="28"/>
        </w:rPr>
        <w:t>In the circumstances</w:t>
      </w:r>
      <w:r w:rsidR="00000667">
        <w:rPr>
          <w:rFonts w:ascii="Times New Roman" w:hAnsi="Times New Roman"/>
          <w:sz w:val="28"/>
          <w:szCs w:val="28"/>
        </w:rPr>
        <w:t>, this Court exercises its discretion</w:t>
      </w:r>
      <w:r w:rsidR="0002581A">
        <w:rPr>
          <w:rFonts w:ascii="Times New Roman" w:hAnsi="Times New Roman"/>
          <w:sz w:val="28"/>
          <w:szCs w:val="28"/>
        </w:rPr>
        <w:t xml:space="preserve"> to curtail</w:t>
      </w:r>
      <w:r w:rsidR="009E04E1">
        <w:rPr>
          <w:rFonts w:ascii="Times New Roman" w:hAnsi="Times New Roman"/>
          <w:sz w:val="28"/>
          <w:szCs w:val="28"/>
        </w:rPr>
        <w:t xml:space="preserve"> a superfluous process.</w:t>
      </w:r>
      <w:r w:rsidR="009E04E1">
        <w:rPr>
          <w:rStyle w:val="FootnoteReference"/>
          <w:rFonts w:ascii="Times New Roman" w:hAnsi="Times New Roman"/>
          <w:sz w:val="28"/>
          <w:szCs w:val="28"/>
        </w:rPr>
        <w:footnoteReference w:id="19"/>
      </w:r>
    </w:p>
    <w:p w14:paraId="1C38D211" w14:textId="5F6367C0" w:rsidR="00AE69AF"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r>
      <w:r w:rsidR="00F870F2">
        <w:rPr>
          <w:rFonts w:ascii="Times New Roman" w:hAnsi="Times New Roman"/>
          <w:sz w:val="28"/>
          <w:szCs w:val="28"/>
        </w:rPr>
        <w:t>On an overall assessment of the evidence presented by the State, there is no evidence on which a reasonable court, acting carefully, might convict.</w:t>
      </w:r>
    </w:p>
    <w:p w14:paraId="4ADF9318" w14:textId="16A8A8E0" w:rsidR="00AE69AF"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r>
      <w:r w:rsidR="006A5E71">
        <w:rPr>
          <w:rFonts w:ascii="Times New Roman" w:hAnsi="Times New Roman"/>
          <w:sz w:val="28"/>
          <w:szCs w:val="28"/>
        </w:rPr>
        <w:t xml:space="preserve">While the accused enjoys the benefit of a reprieve on legal grounds, </w:t>
      </w:r>
      <w:r w:rsidR="00AE69AF">
        <w:rPr>
          <w:rFonts w:ascii="Times New Roman" w:hAnsi="Times New Roman"/>
          <w:sz w:val="28"/>
          <w:szCs w:val="28"/>
        </w:rPr>
        <w:t xml:space="preserve">it is emphasised </w:t>
      </w:r>
      <w:r w:rsidR="006B7827">
        <w:rPr>
          <w:rFonts w:ascii="Times New Roman" w:hAnsi="Times New Roman"/>
          <w:sz w:val="28"/>
          <w:szCs w:val="28"/>
        </w:rPr>
        <w:t xml:space="preserve">that </w:t>
      </w:r>
      <w:r w:rsidR="00B24472">
        <w:rPr>
          <w:rFonts w:ascii="Times New Roman" w:hAnsi="Times New Roman"/>
          <w:sz w:val="28"/>
          <w:szCs w:val="28"/>
        </w:rPr>
        <w:t xml:space="preserve">there appears to have been </w:t>
      </w:r>
      <w:r w:rsidR="006B7827">
        <w:rPr>
          <w:rFonts w:ascii="Times New Roman" w:hAnsi="Times New Roman"/>
          <w:sz w:val="28"/>
          <w:szCs w:val="28"/>
        </w:rPr>
        <w:t xml:space="preserve">something seriously and morally </w:t>
      </w:r>
      <w:r w:rsidR="00AE69AF">
        <w:rPr>
          <w:rFonts w:ascii="Times New Roman" w:hAnsi="Times New Roman"/>
          <w:sz w:val="28"/>
          <w:szCs w:val="28"/>
        </w:rPr>
        <w:t xml:space="preserve">disturbing </w:t>
      </w:r>
      <w:r w:rsidR="006B7827">
        <w:rPr>
          <w:rFonts w:ascii="Times New Roman" w:hAnsi="Times New Roman"/>
          <w:sz w:val="28"/>
          <w:szCs w:val="28"/>
        </w:rPr>
        <w:t>in the Ugoka household</w:t>
      </w:r>
      <w:r w:rsidR="00040F93">
        <w:rPr>
          <w:rFonts w:ascii="Times New Roman" w:hAnsi="Times New Roman"/>
          <w:sz w:val="28"/>
          <w:szCs w:val="28"/>
        </w:rPr>
        <w:t>.</w:t>
      </w:r>
    </w:p>
    <w:p w14:paraId="7E1AD88B" w14:textId="248B7F8A" w:rsidR="00050A6E"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[48]</w:t>
      </w:r>
      <w:r>
        <w:rPr>
          <w:rFonts w:ascii="Times New Roman" w:hAnsi="Times New Roman"/>
          <w:sz w:val="28"/>
          <w:szCs w:val="28"/>
        </w:rPr>
        <w:tab/>
      </w:r>
      <w:r w:rsidR="00040F93">
        <w:rPr>
          <w:rFonts w:ascii="Times New Roman" w:hAnsi="Times New Roman"/>
          <w:sz w:val="28"/>
          <w:szCs w:val="28"/>
        </w:rPr>
        <w:t>But d</w:t>
      </w:r>
      <w:r w:rsidR="002A1398">
        <w:rPr>
          <w:rFonts w:ascii="Times New Roman" w:hAnsi="Times New Roman"/>
          <w:sz w:val="28"/>
          <w:szCs w:val="28"/>
        </w:rPr>
        <w:t xml:space="preserve">espite my </w:t>
      </w:r>
      <w:r w:rsidR="008C729B">
        <w:rPr>
          <w:rFonts w:ascii="Times New Roman" w:hAnsi="Times New Roman"/>
          <w:sz w:val="28"/>
          <w:szCs w:val="28"/>
        </w:rPr>
        <w:t xml:space="preserve">own </w:t>
      </w:r>
      <w:r w:rsidR="002A1398">
        <w:rPr>
          <w:rFonts w:ascii="Times New Roman" w:hAnsi="Times New Roman"/>
          <w:sz w:val="28"/>
          <w:szCs w:val="28"/>
        </w:rPr>
        <w:t xml:space="preserve">subjective views on the matter, to expect </w:t>
      </w:r>
      <w:r w:rsidR="00000667">
        <w:rPr>
          <w:rFonts w:ascii="Times New Roman" w:hAnsi="Times New Roman"/>
          <w:sz w:val="28"/>
          <w:szCs w:val="28"/>
        </w:rPr>
        <w:t xml:space="preserve">the accused </w:t>
      </w:r>
      <w:r w:rsidR="00DD176F">
        <w:rPr>
          <w:rFonts w:ascii="Times New Roman" w:hAnsi="Times New Roman"/>
          <w:sz w:val="28"/>
          <w:szCs w:val="28"/>
        </w:rPr>
        <w:t>to answer the allegations against him would detract from his right to silence or the protect</w:t>
      </w:r>
      <w:r w:rsidR="00050A6E">
        <w:rPr>
          <w:rFonts w:ascii="Times New Roman" w:hAnsi="Times New Roman"/>
          <w:sz w:val="28"/>
          <w:szCs w:val="28"/>
        </w:rPr>
        <w:t>ion against self-incrimination.</w:t>
      </w:r>
    </w:p>
    <w:p w14:paraId="66F24654" w14:textId="36D856EC" w:rsidR="003B1A9F" w:rsidRPr="003C6812" w:rsidRDefault="00467BC2" w:rsidP="00467BC2">
      <w:pPr>
        <w:pStyle w:val="LegalList1"/>
        <w:spacing w:line="360" w:lineRule="auto"/>
        <w:rPr>
          <w:rFonts w:ascii="Times New Roman" w:hAnsi="Times New Roman"/>
          <w:sz w:val="28"/>
          <w:szCs w:val="28"/>
        </w:rPr>
      </w:pPr>
      <w:r w:rsidRPr="003C6812">
        <w:rPr>
          <w:rFonts w:ascii="Times New Roman" w:hAnsi="Times New Roman"/>
          <w:sz w:val="28"/>
          <w:szCs w:val="28"/>
        </w:rPr>
        <w:lastRenderedPageBreak/>
        <w:t>[49]</w:t>
      </w:r>
      <w:r w:rsidRPr="003C6812">
        <w:rPr>
          <w:rFonts w:ascii="Times New Roman" w:hAnsi="Times New Roman"/>
          <w:sz w:val="28"/>
          <w:szCs w:val="28"/>
        </w:rPr>
        <w:tab/>
      </w:r>
      <w:r w:rsidR="009E04E1">
        <w:rPr>
          <w:rFonts w:ascii="Times New Roman" w:hAnsi="Times New Roman"/>
          <w:sz w:val="28"/>
          <w:szCs w:val="28"/>
        </w:rPr>
        <w:t xml:space="preserve">One has </w:t>
      </w:r>
      <w:r w:rsidR="003B1A9F" w:rsidRPr="003C6812">
        <w:rPr>
          <w:rFonts w:ascii="Times New Roman" w:hAnsi="Times New Roman"/>
          <w:sz w:val="28"/>
          <w:szCs w:val="28"/>
        </w:rPr>
        <w:t>sympathy for MD</w:t>
      </w:r>
      <w:r w:rsidR="008C729B">
        <w:rPr>
          <w:rFonts w:ascii="Times New Roman" w:hAnsi="Times New Roman"/>
          <w:sz w:val="28"/>
          <w:szCs w:val="28"/>
        </w:rPr>
        <w:t>,</w:t>
      </w:r>
      <w:r w:rsidR="003B1A9F" w:rsidRPr="003C6812">
        <w:rPr>
          <w:rFonts w:ascii="Times New Roman" w:hAnsi="Times New Roman"/>
          <w:sz w:val="28"/>
          <w:szCs w:val="28"/>
        </w:rPr>
        <w:t xml:space="preserve"> </w:t>
      </w:r>
      <w:r w:rsidR="009E04E1">
        <w:rPr>
          <w:rFonts w:ascii="Times New Roman" w:hAnsi="Times New Roman"/>
          <w:sz w:val="28"/>
          <w:szCs w:val="28"/>
        </w:rPr>
        <w:t xml:space="preserve">but that </w:t>
      </w:r>
      <w:r w:rsidR="003B1A9F" w:rsidRPr="003C6812">
        <w:rPr>
          <w:rFonts w:ascii="Times New Roman" w:hAnsi="Times New Roman"/>
          <w:sz w:val="28"/>
          <w:szCs w:val="28"/>
        </w:rPr>
        <w:t xml:space="preserve">cannot </w:t>
      </w:r>
      <w:r w:rsidR="009E04E1">
        <w:rPr>
          <w:rFonts w:ascii="Times New Roman" w:hAnsi="Times New Roman"/>
          <w:sz w:val="28"/>
          <w:szCs w:val="28"/>
        </w:rPr>
        <w:t xml:space="preserve">be </w:t>
      </w:r>
      <w:r w:rsidR="003B1A9F" w:rsidRPr="003C6812">
        <w:rPr>
          <w:rFonts w:ascii="Times New Roman" w:hAnsi="Times New Roman"/>
          <w:sz w:val="28"/>
          <w:szCs w:val="28"/>
        </w:rPr>
        <w:t>allow</w:t>
      </w:r>
      <w:r w:rsidR="009E04E1">
        <w:rPr>
          <w:rFonts w:ascii="Times New Roman" w:hAnsi="Times New Roman"/>
          <w:sz w:val="28"/>
          <w:szCs w:val="28"/>
        </w:rPr>
        <w:t>ed</w:t>
      </w:r>
      <w:r w:rsidR="003B1A9F" w:rsidRPr="003C6812">
        <w:rPr>
          <w:rFonts w:ascii="Times New Roman" w:hAnsi="Times New Roman"/>
          <w:sz w:val="28"/>
          <w:szCs w:val="28"/>
        </w:rPr>
        <w:t xml:space="preserve"> to circumvent or tread roughshod over what the authorities referenced in this judgment expect courts to do.</w:t>
      </w:r>
    </w:p>
    <w:p w14:paraId="7780EBD7" w14:textId="40D49802" w:rsidR="003B1A9F" w:rsidRDefault="00467BC2" w:rsidP="00467BC2">
      <w:pPr>
        <w:pStyle w:val="LegalList1"/>
        <w:spacing w:line="360" w:lineRule="auto"/>
        <w:rPr>
          <w:rFonts w:ascii="Times New Roman" w:hAnsi="Times New Roman"/>
          <w:sz w:val="28"/>
          <w:szCs w:val="28"/>
        </w:rPr>
      </w:pPr>
      <w:r>
        <w:rPr>
          <w:rFonts w:ascii="Times New Roman" w:hAnsi="Times New Roman"/>
          <w:sz w:val="28"/>
          <w:szCs w:val="28"/>
        </w:rPr>
        <w:t>[50]</w:t>
      </w:r>
      <w:r>
        <w:rPr>
          <w:rFonts w:ascii="Times New Roman" w:hAnsi="Times New Roman"/>
          <w:sz w:val="28"/>
          <w:szCs w:val="28"/>
        </w:rPr>
        <w:tab/>
      </w:r>
      <w:r w:rsidR="003B1A9F">
        <w:rPr>
          <w:rFonts w:ascii="Times New Roman" w:hAnsi="Times New Roman"/>
          <w:sz w:val="28"/>
          <w:szCs w:val="28"/>
        </w:rPr>
        <w:t>In the circumstances I make the following order:</w:t>
      </w:r>
    </w:p>
    <w:p w14:paraId="27E48374" w14:textId="7F1AC3C0" w:rsidR="003B1A9F" w:rsidRDefault="00467BC2" w:rsidP="00467BC2">
      <w:pPr>
        <w:pStyle w:val="LegalList1"/>
        <w:spacing w:line="360" w:lineRule="auto"/>
        <w:ind w:left="1080"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B1A9F">
        <w:rPr>
          <w:rFonts w:ascii="Times New Roman" w:hAnsi="Times New Roman"/>
          <w:sz w:val="28"/>
          <w:szCs w:val="28"/>
        </w:rPr>
        <w:t>The application in terms of section 174 of the Criminal Proc</w:t>
      </w:r>
      <w:r w:rsidR="00707223">
        <w:rPr>
          <w:rFonts w:ascii="Times New Roman" w:hAnsi="Times New Roman"/>
          <w:sz w:val="28"/>
          <w:szCs w:val="28"/>
        </w:rPr>
        <w:t>edure Act 51 of 1977 is granted.</w:t>
      </w:r>
    </w:p>
    <w:p w14:paraId="0493C5CC" w14:textId="7DCB6626" w:rsidR="003B1A9F" w:rsidRPr="00A00D00" w:rsidRDefault="00467BC2" w:rsidP="00467BC2">
      <w:pPr>
        <w:pStyle w:val="LegalList1"/>
        <w:spacing w:line="360" w:lineRule="auto"/>
        <w:ind w:left="1080" w:hanging="360"/>
        <w:rPr>
          <w:rFonts w:ascii="Times New Roman" w:hAnsi="Times New Roman"/>
          <w:sz w:val="28"/>
          <w:szCs w:val="28"/>
        </w:rPr>
      </w:pPr>
      <w:r w:rsidRPr="00A00D00">
        <w:rPr>
          <w:rFonts w:ascii="Times New Roman" w:hAnsi="Times New Roman"/>
          <w:sz w:val="28"/>
          <w:szCs w:val="28"/>
        </w:rPr>
        <w:t>2.</w:t>
      </w:r>
      <w:r w:rsidRPr="00A00D00">
        <w:rPr>
          <w:rFonts w:ascii="Times New Roman" w:hAnsi="Times New Roman"/>
          <w:sz w:val="28"/>
          <w:szCs w:val="28"/>
        </w:rPr>
        <w:tab/>
      </w:r>
      <w:r w:rsidR="003B1A9F" w:rsidRPr="00A00D00">
        <w:rPr>
          <w:rFonts w:ascii="Times New Roman" w:hAnsi="Times New Roman"/>
          <w:sz w:val="28"/>
          <w:szCs w:val="28"/>
        </w:rPr>
        <w:t>The accused is found not guilty and discharged.</w:t>
      </w:r>
    </w:p>
    <w:p w14:paraId="3417CF9E" w14:textId="77777777" w:rsidR="00835C60" w:rsidRDefault="00835C60" w:rsidP="003B1A9F">
      <w:pPr>
        <w:pStyle w:val="LegalList1"/>
        <w:spacing w:after="0" w:line="360" w:lineRule="auto"/>
        <w:rPr>
          <w:rFonts w:ascii="Times New Roman" w:hAnsi="Times New Roman"/>
          <w:sz w:val="28"/>
          <w:szCs w:val="28"/>
        </w:rPr>
      </w:pPr>
    </w:p>
    <w:p w14:paraId="1084B632" w14:textId="77777777" w:rsidR="00B24472" w:rsidRDefault="00B24472" w:rsidP="003B1A9F">
      <w:pPr>
        <w:pStyle w:val="LegalList1"/>
        <w:spacing w:after="0" w:line="360" w:lineRule="auto"/>
        <w:rPr>
          <w:rFonts w:ascii="Times New Roman" w:hAnsi="Times New Roman"/>
          <w:sz w:val="28"/>
          <w:szCs w:val="28"/>
        </w:rPr>
      </w:pPr>
    </w:p>
    <w:p w14:paraId="4E4E4ED1" w14:textId="77777777" w:rsidR="002D3302" w:rsidRDefault="002D3302" w:rsidP="003B1A9F">
      <w:pPr>
        <w:pStyle w:val="LegalList1"/>
        <w:spacing w:after="0" w:line="360" w:lineRule="auto"/>
        <w:rPr>
          <w:rFonts w:ascii="Times New Roman" w:hAnsi="Times New Roman"/>
          <w:sz w:val="28"/>
          <w:szCs w:val="28"/>
        </w:rPr>
      </w:pPr>
    </w:p>
    <w:p w14:paraId="2D3279AD" w14:textId="77777777" w:rsidR="00835C60" w:rsidRPr="00CD6C14" w:rsidRDefault="00835C60" w:rsidP="00835C6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04729BD9" w14:textId="77777777" w:rsidR="00835C60" w:rsidRPr="00CD6C14"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S RUGUNANAN</w:t>
      </w:r>
    </w:p>
    <w:p w14:paraId="3BD17793" w14:textId="77777777" w:rsidR="00835C60"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6DE50E87" w14:textId="77777777" w:rsidR="00050A6E" w:rsidRDefault="00050A6E" w:rsidP="00050A6E">
      <w:pPr>
        <w:pStyle w:val="LegalList1"/>
        <w:spacing w:after="0" w:line="360" w:lineRule="auto"/>
        <w:rPr>
          <w:rFonts w:ascii="Times New Roman" w:hAnsi="Times New Roman"/>
          <w:sz w:val="28"/>
          <w:szCs w:val="28"/>
        </w:rPr>
      </w:pPr>
    </w:p>
    <w:p w14:paraId="076B3FDE" w14:textId="77777777" w:rsidR="00AD7DA4" w:rsidRPr="00DE1DCB" w:rsidRDefault="00AD7DA4" w:rsidP="00050A6E">
      <w:pPr>
        <w:pStyle w:val="LegalList1"/>
        <w:spacing w:after="0" w:line="360" w:lineRule="auto"/>
        <w:rPr>
          <w:rFonts w:ascii="Times New Roman" w:hAnsi="Times New Roman"/>
          <w:sz w:val="28"/>
          <w:szCs w:val="28"/>
        </w:rPr>
      </w:pPr>
      <w:r w:rsidRPr="00DE1DCB">
        <w:rPr>
          <w:rFonts w:ascii="Times New Roman" w:hAnsi="Times New Roman"/>
          <w:sz w:val="28"/>
          <w:szCs w:val="28"/>
        </w:rPr>
        <w:t>Appearances:</w:t>
      </w:r>
    </w:p>
    <w:p w14:paraId="387DCDA3" w14:textId="77777777" w:rsidR="00AD7DA4" w:rsidRPr="00DE1DCB" w:rsidRDefault="00AD7DA4" w:rsidP="00AD7DA4">
      <w:pPr>
        <w:pStyle w:val="LegalList1"/>
        <w:spacing w:line="360" w:lineRule="auto"/>
        <w:rPr>
          <w:rFonts w:ascii="Times New Roman" w:hAnsi="Times New Roman"/>
          <w:sz w:val="28"/>
          <w:szCs w:val="28"/>
        </w:rPr>
      </w:pPr>
      <w:r w:rsidRPr="00DE1DCB">
        <w:rPr>
          <w:rFonts w:ascii="Times New Roman" w:hAnsi="Times New Roman"/>
          <w:sz w:val="28"/>
          <w:szCs w:val="28"/>
        </w:rPr>
        <w:t>For the State:</w:t>
      </w:r>
      <w:r w:rsidRPr="00DE1DCB">
        <w:rPr>
          <w:rFonts w:ascii="Times New Roman" w:hAnsi="Times New Roman"/>
          <w:sz w:val="28"/>
          <w:szCs w:val="28"/>
        </w:rPr>
        <w:tab/>
      </w:r>
      <w:r w:rsidRPr="00AD7DA4">
        <w:rPr>
          <w:rFonts w:ascii="Times New Roman" w:hAnsi="Times New Roman"/>
          <w:i/>
          <w:sz w:val="28"/>
          <w:szCs w:val="28"/>
        </w:rPr>
        <w:t>S Mgenge,</w:t>
      </w:r>
      <w:r w:rsidRPr="00DE1DCB">
        <w:rPr>
          <w:rFonts w:ascii="Times New Roman" w:hAnsi="Times New Roman"/>
          <w:sz w:val="28"/>
          <w:szCs w:val="28"/>
        </w:rPr>
        <w:t xml:space="preserve"> Office of the Director of Public Prosecutions, Makhanda.</w:t>
      </w:r>
    </w:p>
    <w:p w14:paraId="4D46C393" w14:textId="77777777" w:rsidR="00AD7DA4" w:rsidRDefault="00AD7DA4" w:rsidP="00AD7DA4">
      <w:pPr>
        <w:pStyle w:val="LegalList1"/>
        <w:spacing w:line="360" w:lineRule="auto"/>
        <w:rPr>
          <w:rFonts w:ascii="Times New Roman" w:hAnsi="Times New Roman"/>
          <w:sz w:val="28"/>
          <w:szCs w:val="28"/>
        </w:rPr>
      </w:pPr>
      <w:r w:rsidRPr="00DE1DCB">
        <w:rPr>
          <w:rFonts w:ascii="Times New Roman" w:hAnsi="Times New Roman"/>
          <w:sz w:val="28"/>
          <w:szCs w:val="28"/>
        </w:rPr>
        <w:t xml:space="preserve">For the </w:t>
      </w:r>
      <w:r>
        <w:rPr>
          <w:rFonts w:ascii="Times New Roman" w:hAnsi="Times New Roman"/>
          <w:sz w:val="28"/>
          <w:szCs w:val="28"/>
        </w:rPr>
        <w:t>A</w:t>
      </w:r>
      <w:r w:rsidRPr="00DE1DCB">
        <w:rPr>
          <w:rFonts w:ascii="Times New Roman" w:hAnsi="Times New Roman"/>
          <w:sz w:val="28"/>
          <w:szCs w:val="28"/>
        </w:rPr>
        <w:t>ccused:</w:t>
      </w:r>
      <w:r w:rsidRPr="00DE1DCB">
        <w:rPr>
          <w:rFonts w:ascii="Times New Roman" w:hAnsi="Times New Roman"/>
          <w:sz w:val="28"/>
          <w:szCs w:val="28"/>
        </w:rPr>
        <w:tab/>
      </w:r>
      <w:r w:rsidRPr="00AD7DA4">
        <w:rPr>
          <w:rFonts w:ascii="Times New Roman" w:hAnsi="Times New Roman"/>
          <w:i/>
          <w:sz w:val="28"/>
          <w:szCs w:val="28"/>
        </w:rPr>
        <w:t>D Skoti</w:t>
      </w:r>
      <w:r>
        <w:rPr>
          <w:rFonts w:ascii="Times New Roman" w:hAnsi="Times New Roman"/>
          <w:sz w:val="28"/>
          <w:szCs w:val="28"/>
        </w:rPr>
        <w:t xml:space="preserve">, Instructed by Mgudulwa Attorneys, </w:t>
      </w:r>
      <w:r w:rsidRPr="00DE1DCB">
        <w:rPr>
          <w:rFonts w:ascii="Times New Roman" w:hAnsi="Times New Roman"/>
          <w:sz w:val="28"/>
          <w:szCs w:val="28"/>
        </w:rPr>
        <w:t>East London.</w:t>
      </w:r>
    </w:p>
    <w:p w14:paraId="2EC9C4AE" w14:textId="77777777" w:rsidR="00835C60" w:rsidRDefault="009E04E1" w:rsidP="00196B52">
      <w:pPr>
        <w:pStyle w:val="LegalList1"/>
        <w:spacing w:after="0" w:line="360" w:lineRule="auto"/>
        <w:ind w:left="2160" w:hanging="2160"/>
        <w:rPr>
          <w:rFonts w:ascii="Times New Roman" w:hAnsi="Times New Roman"/>
          <w:sz w:val="28"/>
          <w:szCs w:val="28"/>
        </w:rPr>
      </w:pPr>
      <w:r>
        <w:rPr>
          <w:rFonts w:ascii="Times New Roman" w:hAnsi="Times New Roman"/>
          <w:sz w:val="28"/>
          <w:szCs w:val="28"/>
        </w:rPr>
        <w:t>Dates heard:</w:t>
      </w:r>
      <w:r w:rsidR="00DF1A11">
        <w:rPr>
          <w:rFonts w:ascii="Times New Roman" w:hAnsi="Times New Roman"/>
          <w:sz w:val="28"/>
          <w:szCs w:val="28"/>
        </w:rPr>
        <w:tab/>
      </w:r>
      <w:r w:rsidR="00916BFC">
        <w:rPr>
          <w:rFonts w:ascii="Times New Roman" w:hAnsi="Times New Roman"/>
          <w:sz w:val="28"/>
          <w:szCs w:val="28"/>
        </w:rPr>
        <w:t>31 August</w:t>
      </w:r>
      <w:r w:rsidR="009F1BDE">
        <w:rPr>
          <w:rFonts w:ascii="Times New Roman" w:hAnsi="Times New Roman"/>
          <w:sz w:val="28"/>
          <w:szCs w:val="28"/>
        </w:rPr>
        <w:t xml:space="preserve"> 2021</w:t>
      </w:r>
      <w:r w:rsidR="00916BFC">
        <w:rPr>
          <w:rFonts w:ascii="Times New Roman" w:hAnsi="Times New Roman"/>
          <w:sz w:val="28"/>
          <w:szCs w:val="28"/>
        </w:rPr>
        <w:t>;</w:t>
      </w:r>
      <w:r w:rsidR="00DF1A11">
        <w:rPr>
          <w:rFonts w:ascii="Times New Roman" w:hAnsi="Times New Roman"/>
          <w:sz w:val="28"/>
          <w:szCs w:val="28"/>
        </w:rPr>
        <w:t xml:space="preserve"> 1 September 2021</w:t>
      </w:r>
      <w:r w:rsidR="009F1BDE">
        <w:rPr>
          <w:rFonts w:ascii="Times New Roman" w:hAnsi="Times New Roman"/>
          <w:sz w:val="28"/>
          <w:szCs w:val="28"/>
        </w:rPr>
        <w:t>;</w:t>
      </w:r>
      <w:r w:rsidR="00DF1A11">
        <w:rPr>
          <w:rFonts w:ascii="Times New Roman" w:hAnsi="Times New Roman"/>
          <w:sz w:val="28"/>
          <w:szCs w:val="28"/>
        </w:rPr>
        <w:t xml:space="preserve"> 2, 3, 4, 7, 8, 9, </w:t>
      </w:r>
      <w:r w:rsidR="00916BFC">
        <w:rPr>
          <w:rFonts w:ascii="Times New Roman" w:hAnsi="Times New Roman"/>
          <w:sz w:val="28"/>
          <w:szCs w:val="28"/>
        </w:rPr>
        <w:t xml:space="preserve">10 February 2022; </w:t>
      </w:r>
      <w:r w:rsidR="009F1BDE">
        <w:rPr>
          <w:rFonts w:ascii="Times New Roman" w:hAnsi="Times New Roman"/>
          <w:sz w:val="28"/>
          <w:szCs w:val="28"/>
        </w:rPr>
        <w:t xml:space="preserve">29 March 2022; 19 September 2022; 4 October 2022; </w:t>
      </w:r>
      <w:r w:rsidR="00196B52">
        <w:rPr>
          <w:rFonts w:ascii="Times New Roman" w:hAnsi="Times New Roman"/>
          <w:sz w:val="28"/>
          <w:szCs w:val="28"/>
        </w:rPr>
        <w:t>11 April 2023;</w:t>
      </w:r>
      <w:r w:rsidR="00916BFC">
        <w:rPr>
          <w:rFonts w:ascii="Times New Roman" w:hAnsi="Times New Roman"/>
          <w:sz w:val="28"/>
          <w:szCs w:val="28"/>
        </w:rPr>
        <w:t xml:space="preserve"> 13 April 2023; </w:t>
      </w:r>
      <w:r w:rsidR="00196B52">
        <w:rPr>
          <w:rFonts w:ascii="Times New Roman" w:hAnsi="Times New Roman"/>
          <w:sz w:val="28"/>
          <w:szCs w:val="28"/>
        </w:rPr>
        <w:t>7 August 2023; 13 November 2023; and 17 November 2023.</w:t>
      </w:r>
    </w:p>
    <w:p w14:paraId="0D8B1EBB" w14:textId="77777777" w:rsidR="00196B52" w:rsidRDefault="00196B52" w:rsidP="00196B52">
      <w:pPr>
        <w:pStyle w:val="LegalList1"/>
        <w:spacing w:after="0" w:line="360" w:lineRule="auto"/>
        <w:ind w:left="2160" w:hanging="2160"/>
        <w:rPr>
          <w:rFonts w:ascii="Times New Roman" w:hAnsi="Times New Roman"/>
          <w:sz w:val="28"/>
          <w:szCs w:val="28"/>
        </w:rPr>
      </w:pPr>
    </w:p>
    <w:p w14:paraId="2D26A568" w14:textId="77777777" w:rsidR="00196B52" w:rsidRPr="00672E20" w:rsidRDefault="00196B52" w:rsidP="00196B52">
      <w:pPr>
        <w:pStyle w:val="LegalList1"/>
        <w:spacing w:after="0" w:line="360" w:lineRule="auto"/>
        <w:ind w:left="2160" w:hanging="2160"/>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t>17 November 2023.</w:t>
      </w:r>
    </w:p>
    <w:sectPr w:rsidR="00196B52" w:rsidRPr="00672E20" w:rsidSect="00A572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EAE9C" w14:textId="77777777" w:rsidR="000617FB" w:rsidRDefault="000617FB" w:rsidP="00354A12">
      <w:pPr>
        <w:spacing w:line="240" w:lineRule="auto"/>
      </w:pPr>
      <w:r>
        <w:separator/>
      </w:r>
    </w:p>
  </w:endnote>
  <w:endnote w:type="continuationSeparator" w:id="0">
    <w:p w14:paraId="43B0D9A3" w14:textId="77777777" w:rsidR="000617FB" w:rsidRDefault="000617FB"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7EF9" w14:textId="77777777" w:rsidR="00B564A2" w:rsidRDefault="00B564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4A61" w14:textId="77777777" w:rsidR="00B564A2" w:rsidRDefault="00B564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C01CC" w14:textId="77777777" w:rsidR="00B564A2" w:rsidRDefault="00B564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9E6BC" w14:textId="77777777" w:rsidR="000617FB" w:rsidRDefault="000617FB" w:rsidP="00354A12">
      <w:pPr>
        <w:spacing w:line="240" w:lineRule="auto"/>
      </w:pPr>
      <w:r>
        <w:separator/>
      </w:r>
    </w:p>
  </w:footnote>
  <w:footnote w:type="continuationSeparator" w:id="0">
    <w:p w14:paraId="6E176DAD" w14:textId="77777777" w:rsidR="000617FB" w:rsidRDefault="000617FB" w:rsidP="00354A12">
      <w:pPr>
        <w:spacing w:line="240" w:lineRule="auto"/>
      </w:pPr>
      <w:r>
        <w:continuationSeparator/>
      </w:r>
    </w:p>
  </w:footnote>
  <w:footnote w:id="1">
    <w:p w14:paraId="67D7FD13" w14:textId="77777777" w:rsidR="00C20B4D" w:rsidRPr="00B6297D" w:rsidRDefault="00C20B4D"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w:t>
      </w:r>
      <w:r w:rsidR="000E1CA6" w:rsidRPr="00A00D00">
        <w:rPr>
          <w:rFonts w:ascii="Times New Roman" w:hAnsi="Times New Roman" w:cs="Times New Roman"/>
          <w:i/>
        </w:rPr>
        <w:t>R v Shein</w:t>
      </w:r>
      <w:r w:rsidR="000E1CA6" w:rsidRPr="00B6297D">
        <w:rPr>
          <w:rFonts w:ascii="Times New Roman" w:hAnsi="Times New Roman" w:cs="Times New Roman"/>
        </w:rPr>
        <w:t xml:space="preserve"> 1925 AD 6; </w:t>
      </w:r>
      <w:r w:rsidR="000E1CA6" w:rsidRPr="00A00D00">
        <w:rPr>
          <w:rFonts w:ascii="Times New Roman" w:hAnsi="Times New Roman" w:cs="Times New Roman"/>
          <w:i/>
        </w:rPr>
        <w:t>Rex v Herholdt &amp; Others</w:t>
      </w:r>
      <w:r w:rsidR="000E1CA6" w:rsidRPr="00B6297D">
        <w:rPr>
          <w:rFonts w:ascii="Times New Roman" w:hAnsi="Times New Roman" w:cs="Times New Roman"/>
        </w:rPr>
        <w:t xml:space="preserve"> 1956</w:t>
      </w:r>
      <w:r w:rsidR="002C60DC" w:rsidRPr="00B6297D">
        <w:rPr>
          <w:rFonts w:ascii="Times New Roman" w:hAnsi="Times New Roman" w:cs="Times New Roman"/>
        </w:rPr>
        <w:t xml:space="preserve"> </w:t>
      </w:r>
      <w:r w:rsidR="000E1CA6" w:rsidRPr="00B6297D">
        <w:rPr>
          <w:rFonts w:ascii="Times New Roman" w:hAnsi="Times New Roman" w:cs="Times New Roman"/>
        </w:rPr>
        <w:t xml:space="preserve">(2) SA 722 (W); </w:t>
      </w:r>
      <w:r w:rsidR="000E1CA6" w:rsidRPr="00A00D00">
        <w:rPr>
          <w:rFonts w:ascii="Times New Roman" w:hAnsi="Times New Roman" w:cs="Times New Roman"/>
          <w:i/>
        </w:rPr>
        <w:t>S v Mpetha &amp; Others</w:t>
      </w:r>
      <w:r w:rsidR="000E1CA6" w:rsidRPr="00B6297D">
        <w:rPr>
          <w:rFonts w:ascii="Times New Roman" w:hAnsi="Times New Roman" w:cs="Times New Roman"/>
        </w:rPr>
        <w:t xml:space="preserve"> 1983</w:t>
      </w:r>
      <w:r w:rsidR="002C60DC" w:rsidRPr="00B6297D">
        <w:rPr>
          <w:rFonts w:ascii="Times New Roman" w:hAnsi="Times New Roman" w:cs="Times New Roman"/>
        </w:rPr>
        <w:t xml:space="preserve"> </w:t>
      </w:r>
      <w:r w:rsidR="000E1CA6" w:rsidRPr="00B6297D">
        <w:rPr>
          <w:rFonts w:ascii="Times New Roman" w:hAnsi="Times New Roman" w:cs="Times New Roman"/>
        </w:rPr>
        <w:t xml:space="preserve">(4) SA 262; </w:t>
      </w:r>
      <w:r w:rsidR="000E1CA6" w:rsidRPr="00A00D00">
        <w:rPr>
          <w:rFonts w:ascii="Times New Roman" w:hAnsi="Times New Roman" w:cs="Times New Roman"/>
          <w:i/>
        </w:rPr>
        <w:t>S v Shuping &amp; Others</w:t>
      </w:r>
      <w:r w:rsidR="000E1CA6" w:rsidRPr="00B6297D">
        <w:rPr>
          <w:rFonts w:ascii="Times New Roman" w:hAnsi="Times New Roman" w:cs="Times New Roman"/>
        </w:rPr>
        <w:t xml:space="preserve"> 1983</w:t>
      </w:r>
      <w:r w:rsidR="002C60DC" w:rsidRPr="00B6297D">
        <w:rPr>
          <w:rFonts w:ascii="Times New Roman" w:hAnsi="Times New Roman" w:cs="Times New Roman"/>
        </w:rPr>
        <w:t xml:space="preserve"> </w:t>
      </w:r>
      <w:r w:rsidR="000E1CA6" w:rsidRPr="00B6297D">
        <w:rPr>
          <w:rFonts w:ascii="Times New Roman" w:hAnsi="Times New Roman" w:cs="Times New Roman"/>
        </w:rPr>
        <w:t>(2) SA 119 (B); S v Lubaxa 2001</w:t>
      </w:r>
      <w:r w:rsidR="002C60DC" w:rsidRPr="00B6297D">
        <w:rPr>
          <w:rFonts w:ascii="Times New Roman" w:hAnsi="Times New Roman" w:cs="Times New Roman"/>
        </w:rPr>
        <w:t xml:space="preserve"> </w:t>
      </w:r>
      <w:r w:rsidR="000E1CA6" w:rsidRPr="00B6297D">
        <w:rPr>
          <w:rFonts w:ascii="Times New Roman" w:hAnsi="Times New Roman" w:cs="Times New Roman"/>
        </w:rPr>
        <w:t>(2) SACR 703 (SCA).</w:t>
      </w:r>
    </w:p>
  </w:footnote>
  <w:footnote w:id="2">
    <w:p w14:paraId="6414ACD3" w14:textId="77777777" w:rsidR="00C80212" w:rsidRPr="00B6297D" w:rsidRDefault="00C80212"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w:t>
      </w:r>
      <w:r w:rsidRPr="00A00D00">
        <w:rPr>
          <w:rFonts w:ascii="Times New Roman" w:hAnsi="Times New Roman" w:cs="Times New Roman"/>
          <w:i/>
        </w:rPr>
        <w:t xml:space="preserve">S v M </w:t>
      </w:r>
      <w:r w:rsidRPr="00B6297D">
        <w:rPr>
          <w:rFonts w:ascii="Times New Roman" w:hAnsi="Times New Roman" w:cs="Times New Roman"/>
        </w:rPr>
        <w:t>[2016] ZAFSHC 41 para 16.</w:t>
      </w:r>
    </w:p>
  </w:footnote>
  <w:footnote w:id="3">
    <w:p w14:paraId="0836FC36" w14:textId="77777777" w:rsidR="0028797D" w:rsidRPr="00B6297D" w:rsidRDefault="0028797D"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2001 (2) SACR</w:t>
      </w:r>
      <w:r w:rsidR="00D069CB" w:rsidRPr="00B6297D">
        <w:rPr>
          <w:rFonts w:ascii="Times New Roman" w:hAnsi="Times New Roman" w:cs="Times New Roman"/>
        </w:rPr>
        <w:t xml:space="preserve"> 703 (SCA) para 19.</w:t>
      </w:r>
    </w:p>
  </w:footnote>
  <w:footnote w:id="4">
    <w:p w14:paraId="40766A20" w14:textId="77777777" w:rsidR="002924EE" w:rsidRPr="00B6297D" w:rsidRDefault="002924EE"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w:t>
      </w:r>
      <w:r w:rsidR="00477F55" w:rsidRPr="00A00D00">
        <w:rPr>
          <w:rFonts w:ascii="Times New Roman" w:hAnsi="Times New Roman" w:cs="Times New Roman"/>
          <w:i/>
        </w:rPr>
        <w:t>S v Shuping supra</w:t>
      </w:r>
      <w:r w:rsidR="00477F55" w:rsidRPr="00B6297D">
        <w:rPr>
          <w:rFonts w:ascii="Times New Roman" w:hAnsi="Times New Roman" w:cs="Times New Roman"/>
        </w:rPr>
        <w:t xml:space="preserve"> at 120-121A.</w:t>
      </w:r>
    </w:p>
  </w:footnote>
  <w:footnote w:id="5">
    <w:p w14:paraId="19D2248B" w14:textId="77777777" w:rsidR="00D111E8" w:rsidRPr="00B6297D" w:rsidRDefault="00D111E8"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w:t>
      </w:r>
      <w:r w:rsidRPr="00A00D00">
        <w:rPr>
          <w:rFonts w:ascii="Times New Roman" w:hAnsi="Times New Roman" w:cs="Times New Roman"/>
          <w:i/>
        </w:rPr>
        <w:t>S v Mpetha</w:t>
      </w:r>
      <w:r w:rsidRPr="00B6297D">
        <w:rPr>
          <w:rFonts w:ascii="Times New Roman" w:hAnsi="Times New Roman" w:cs="Times New Roman"/>
        </w:rPr>
        <w:t xml:space="preserve"> </w:t>
      </w:r>
      <w:r w:rsidRPr="00B6297D">
        <w:rPr>
          <w:rFonts w:ascii="Times New Roman" w:hAnsi="Times New Roman" w:cs="Times New Roman"/>
          <w:i/>
        </w:rPr>
        <w:t>supra</w:t>
      </w:r>
      <w:r w:rsidRPr="00B6297D">
        <w:rPr>
          <w:rFonts w:ascii="Times New Roman" w:hAnsi="Times New Roman" w:cs="Times New Roman"/>
        </w:rPr>
        <w:t xml:space="preserve"> at 265 D-G</w:t>
      </w:r>
      <w:r w:rsidR="00B10CFE" w:rsidRPr="00B6297D">
        <w:rPr>
          <w:rFonts w:ascii="Times New Roman" w:hAnsi="Times New Roman" w:cs="Times New Roman"/>
        </w:rPr>
        <w:t>.</w:t>
      </w:r>
    </w:p>
  </w:footnote>
  <w:footnote w:id="6">
    <w:p w14:paraId="2DD0B6F3" w14:textId="77777777" w:rsidR="00D111E8" w:rsidRPr="00B6297D" w:rsidRDefault="00D111E8"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2011 (2) SACR 437 (GSJ) at 457</w:t>
      </w:r>
      <w:r w:rsidRPr="00B6297D">
        <w:rPr>
          <w:rFonts w:ascii="Times New Roman" w:hAnsi="Times New Roman" w:cs="Times New Roman"/>
          <w:i/>
        </w:rPr>
        <w:t>b</w:t>
      </w:r>
      <w:r w:rsidR="00B10CFE" w:rsidRPr="00B6297D">
        <w:rPr>
          <w:rFonts w:ascii="Times New Roman" w:hAnsi="Times New Roman" w:cs="Times New Roman"/>
        </w:rPr>
        <w:t>.</w:t>
      </w:r>
    </w:p>
  </w:footnote>
  <w:footnote w:id="7">
    <w:p w14:paraId="3B074292" w14:textId="77777777" w:rsidR="00B10CFE" w:rsidRPr="00B6297D" w:rsidRDefault="00B10CFE"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w:t>
      </w:r>
      <w:r w:rsidRPr="00A00D00">
        <w:rPr>
          <w:rFonts w:ascii="Times New Roman" w:hAnsi="Times New Roman" w:cs="Times New Roman"/>
          <w:i/>
        </w:rPr>
        <w:t>S v Dewani</w:t>
      </w:r>
      <w:r w:rsidRPr="00B6297D">
        <w:rPr>
          <w:rFonts w:ascii="Times New Roman" w:hAnsi="Times New Roman" w:cs="Times New Roman"/>
        </w:rPr>
        <w:t xml:space="preserve"> [2014] ZAWCHC 188 para 15.</w:t>
      </w:r>
    </w:p>
  </w:footnote>
  <w:footnote w:id="8">
    <w:p w14:paraId="2091C105" w14:textId="77777777" w:rsidR="00BC7D67" w:rsidRPr="00B6297D" w:rsidRDefault="00BC7D67"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w:t>
      </w:r>
      <w:r w:rsidRPr="00A00D00">
        <w:rPr>
          <w:rFonts w:ascii="Times New Roman" w:hAnsi="Times New Roman" w:cs="Times New Roman"/>
          <w:i/>
        </w:rPr>
        <w:t>Y v S</w:t>
      </w:r>
      <w:r w:rsidRPr="00B6297D">
        <w:rPr>
          <w:rFonts w:ascii="Times New Roman" w:hAnsi="Times New Roman" w:cs="Times New Roman"/>
        </w:rPr>
        <w:t xml:space="preserve"> </w:t>
      </w:r>
      <w:r w:rsidR="00E85BDB" w:rsidRPr="00B6297D">
        <w:rPr>
          <w:rFonts w:ascii="Times New Roman" w:hAnsi="Times New Roman" w:cs="Times New Roman"/>
        </w:rPr>
        <w:t xml:space="preserve">2019 (2) SACR 613 (WCC) para 49 in which the following dictum in </w:t>
      </w:r>
      <w:r w:rsidR="00E85BDB" w:rsidRPr="00A00D00">
        <w:rPr>
          <w:rFonts w:ascii="Times New Roman" w:hAnsi="Times New Roman" w:cs="Times New Roman"/>
          <w:i/>
        </w:rPr>
        <w:t>S v Jackson</w:t>
      </w:r>
      <w:r w:rsidR="00E85BDB" w:rsidRPr="00B6297D">
        <w:rPr>
          <w:rFonts w:ascii="Times New Roman" w:hAnsi="Times New Roman" w:cs="Times New Roman"/>
        </w:rPr>
        <w:t xml:space="preserve"> 1998 (1) SACR 470 (SCA) at 476 is quoted with approval: ‘</w:t>
      </w:r>
      <w:r w:rsidR="003B24D6" w:rsidRPr="00B6297D">
        <w:rPr>
          <w:rFonts w:ascii="Times New Roman" w:hAnsi="Times New Roman" w:cs="Times New Roman"/>
        </w:rPr>
        <w:t>In my view, the cautionary rule in sexual assault cases is based on an irrational and outdated perception. It unjustly stereotypes complainant's in sexual assault cases (overwhelmingly women) is particularly unreliable. In our system of law, the burden is on the state to prove the guilt of an accused beyond reasonable doubt – no more and no less.</w:t>
      </w:r>
      <w:r w:rsidR="00AC662C" w:rsidRPr="00B6297D">
        <w:rPr>
          <w:rFonts w:ascii="Times New Roman" w:hAnsi="Times New Roman" w:cs="Times New Roman"/>
        </w:rPr>
        <w:t xml:space="preserve"> The evidence in a particular case may call for a cautionary approach, but that is a far cry from the application of a general cautionary rule.'</w:t>
      </w:r>
    </w:p>
  </w:footnote>
  <w:footnote w:id="9">
    <w:p w14:paraId="12A69876" w14:textId="77777777" w:rsidR="0077249A" w:rsidRPr="00B6297D" w:rsidRDefault="0077249A"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w:t>
      </w:r>
      <w:r w:rsidRPr="00B6297D">
        <w:rPr>
          <w:rFonts w:ascii="Times New Roman" w:hAnsi="Times New Roman" w:cs="Times New Roman"/>
          <w:i/>
        </w:rPr>
        <w:t>CB v The State</w:t>
      </w:r>
      <w:r w:rsidR="00B40086" w:rsidRPr="00B6297D">
        <w:rPr>
          <w:rFonts w:ascii="Times New Roman" w:hAnsi="Times New Roman" w:cs="Times New Roman"/>
          <w:i/>
        </w:rPr>
        <w:t xml:space="preserve"> </w:t>
      </w:r>
      <w:r w:rsidR="00B40086" w:rsidRPr="00B6297D">
        <w:rPr>
          <w:rFonts w:ascii="Times New Roman" w:hAnsi="Times New Roman" w:cs="Times New Roman"/>
        </w:rPr>
        <w:t>[2020] ZAWCHC 67 para</w:t>
      </w:r>
      <w:r w:rsidR="00F44E15" w:rsidRPr="00B6297D">
        <w:rPr>
          <w:rFonts w:ascii="Times New Roman" w:hAnsi="Times New Roman" w:cs="Times New Roman"/>
        </w:rPr>
        <w:t>s</w:t>
      </w:r>
      <w:r w:rsidR="00B40086" w:rsidRPr="00B6297D">
        <w:rPr>
          <w:rFonts w:ascii="Times New Roman" w:hAnsi="Times New Roman" w:cs="Times New Roman"/>
        </w:rPr>
        <w:t xml:space="preserve"> 21</w:t>
      </w:r>
      <w:r w:rsidR="00F44E15" w:rsidRPr="00B6297D">
        <w:rPr>
          <w:rFonts w:ascii="Times New Roman" w:hAnsi="Times New Roman" w:cs="Times New Roman"/>
        </w:rPr>
        <w:t>-21</w:t>
      </w:r>
      <w:r w:rsidR="00B40086" w:rsidRPr="00B6297D">
        <w:rPr>
          <w:rFonts w:ascii="Times New Roman" w:hAnsi="Times New Roman" w:cs="Times New Roman"/>
        </w:rPr>
        <w:t xml:space="preserve">; </w:t>
      </w:r>
    </w:p>
  </w:footnote>
  <w:footnote w:id="10">
    <w:p w14:paraId="1C33B0D3" w14:textId="77777777" w:rsidR="00CE44BC" w:rsidRPr="00B6297D" w:rsidRDefault="00CE44BC"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w:t>
      </w:r>
      <w:r w:rsidRPr="00B6297D">
        <w:rPr>
          <w:rFonts w:ascii="Times New Roman" w:hAnsi="Times New Roman" w:cs="Times New Roman"/>
          <w:i/>
        </w:rPr>
        <w:t>Y v S supra</w:t>
      </w:r>
      <w:r w:rsidRPr="00B6297D">
        <w:rPr>
          <w:rFonts w:ascii="Times New Roman" w:hAnsi="Times New Roman" w:cs="Times New Roman"/>
        </w:rPr>
        <w:t xml:space="preserve"> para 50.</w:t>
      </w:r>
    </w:p>
  </w:footnote>
  <w:footnote w:id="11">
    <w:p w14:paraId="06134CD9" w14:textId="77777777" w:rsidR="00216DBF" w:rsidRPr="00B6297D" w:rsidRDefault="00216DBF"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w:t>
      </w:r>
      <w:r w:rsidRPr="00B6297D">
        <w:rPr>
          <w:rFonts w:ascii="Times New Roman" w:hAnsi="Times New Roman" w:cs="Times New Roman"/>
          <w:i/>
        </w:rPr>
        <w:t>ICM v The State</w:t>
      </w:r>
      <w:r w:rsidR="00B6297D">
        <w:rPr>
          <w:rFonts w:ascii="Times New Roman" w:hAnsi="Times New Roman" w:cs="Times New Roman"/>
        </w:rPr>
        <w:t xml:space="preserve"> </w:t>
      </w:r>
      <w:r w:rsidRPr="00B6297D">
        <w:rPr>
          <w:rFonts w:ascii="Times New Roman" w:hAnsi="Times New Roman" w:cs="Times New Roman"/>
        </w:rPr>
        <w:t>[2022] ZASCA 108 para 22.</w:t>
      </w:r>
    </w:p>
  </w:footnote>
  <w:footnote w:id="12">
    <w:p w14:paraId="2D77CB2B" w14:textId="77777777" w:rsidR="0079656F" w:rsidRPr="00B6297D" w:rsidRDefault="0079656F"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w:t>
      </w:r>
      <w:r w:rsidRPr="00B6297D">
        <w:rPr>
          <w:rFonts w:ascii="Times New Roman" w:hAnsi="Times New Roman" w:cs="Times New Roman"/>
          <w:i/>
        </w:rPr>
        <w:t>Y v S supra</w:t>
      </w:r>
      <w:r w:rsidRPr="00B6297D">
        <w:rPr>
          <w:rFonts w:ascii="Times New Roman" w:hAnsi="Times New Roman" w:cs="Times New Roman"/>
        </w:rPr>
        <w:t xml:space="preserve"> para 51 wherein reference is made to </w:t>
      </w:r>
      <w:r w:rsidRPr="00B6297D">
        <w:rPr>
          <w:rFonts w:ascii="Times New Roman" w:hAnsi="Times New Roman" w:cs="Times New Roman"/>
          <w:i/>
        </w:rPr>
        <w:t>Woji v Santam Insurance Company Ltd</w:t>
      </w:r>
      <w:r w:rsidRPr="00B6297D">
        <w:rPr>
          <w:rFonts w:ascii="Times New Roman" w:hAnsi="Times New Roman" w:cs="Times New Roman"/>
        </w:rPr>
        <w:t xml:space="preserve"> 1981 (1) SA 1020 (A) at 1021.</w:t>
      </w:r>
    </w:p>
  </w:footnote>
  <w:footnote w:id="13">
    <w:p w14:paraId="67B9FC26" w14:textId="77777777" w:rsidR="004608EB" w:rsidRPr="00B6297D" w:rsidRDefault="004608EB"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w:t>
      </w:r>
      <w:r w:rsidRPr="00B6297D">
        <w:rPr>
          <w:rFonts w:ascii="Times New Roman" w:hAnsi="Times New Roman" w:cs="Times New Roman"/>
          <w:i/>
        </w:rPr>
        <w:t>Y v S supra</w:t>
      </w:r>
      <w:r w:rsidR="00A529EB" w:rsidRPr="00B6297D">
        <w:rPr>
          <w:rFonts w:ascii="Times New Roman" w:hAnsi="Times New Roman" w:cs="Times New Roman"/>
        </w:rPr>
        <w:t xml:space="preserve"> paras 4 and 51 wherein reference is made to </w:t>
      </w:r>
      <w:r w:rsidR="007F6C7D" w:rsidRPr="00A00D00">
        <w:rPr>
          <w:rFonts w:ascii="Times New Roman" w:hAnsi="Times New Roman" w:cs="Times New Roman"/>
          <w:i/>
        </w:rPr>
        <w:t>Matshivha v S</w:t>
      </w:r>
      <w:r w:rsidR="007F6C7D" w:rsidRPr="00B6297D">
        <w:rPr>
          <w:rFonts w:ascii="Times New Roman" w:hAnsi="Times New Roman" w:cs="Times New Roman"/>
        </w:rPr>
        <w:t xml:space="preserve"> [2013] ZASCA 124 para 24</w:t>
      </w:r>
      <w:r w:rsidR="00A529EB" w:rsidRPr="00B6297D">
        <w:rPr>
          <w:rFonts w:ascii="Times New Roman" w:hAnsi="Times New Roman" w:cs="Times New Roman"/>
        </w:rPr>
        <w:t xml:space="preserve">; </w:t>
      </w:r>
      <w:r w:rsidR="007F6C7D" w:rsidRPr="00B6297D">
        <w:rPr>
          <w:rFonts w:ascii="Times New Roman" w:hAnsi="Times New Roman" w:cs="Times New Roman"/>
        </w:rPr>
        <w:t xml:space="preserve">see also </w:t>
      </w:r>
      <w:r w:rsidR="00A529EB" w:rsidRPr="00A00D00">
        <w:rPr>
          <w:rFonts w:ascii="Times New Roman" w:hAnsi="Times New Roman" w:cs="Times New Roman"/>
          <w:i/>
        </w:rPr>
        <w:t>CB v The State supra</w:t>
      </w:r>
      <w:r w:rsidR="00A529EB" w:rsidRPr="00B6297D">
        <w:rPr>
          <w:rFonts w:ascii="Times New Roman" w:hAnsi="Times New Roman" w:cs="Times New Roman"/>
        </w:rPr>
        <w:t xml:space="preserve"> para 18</w:t>
      </w:r>
      <w:r w:rsidR="00A00D00">
        <w:rPr>
          <w:rFonts w:ascii="Times New Roman" w:hAnsi="Times New Roman" w:cs="Times New Roman"/>
        </w:rPr>
        <w:t>.</w:t>
      </w:r>
    </w:p>
  </w:footnote>
  <w:footnote w:id="14">
    <w:p w14:paraId="650B1B3D" w14:textId="77777777" w:rsidR="00546A74" w:rsidRPr="00546A74" w:rsidRDefault="00546A74">
      <w:pPr>
        <w:pStyle w:val="FootnoteText"/>
        <w:rPr>
          <w:rFonts w:ascii="Times New Roman" w:hAnsi="Times New Roman" w:cs="Times New Roman"/>
        </w:rPr>
      </w:pPr>
      <w:r w:rsidRPr="00546A74">
        <w:rPr>
          <w:rStyle w:val="FootnoteReference"/>
          <w:rFonts w:ascii="Times New Roman" w:hAnsi="Times New Roman" w:cs="Times New Roman"/>
        </w:rPr>
        <w:footnoteRef/>
      </w:r>
      <w:r w:rsidRPr="00546A74">
        <w:rPr>
          <w:rFonts w:ascii="Times New Roman" w:hAnsi="Times New Roman" w:cs="Times New Roman"/>
        </w:rPr>
        <w:t xml:space="preserve"> 1976 (1) SA 565 (E) at 569.</w:t>
      </w:r>
    </w:p>
  </w:footnote>
  <w:footnote w:id="15">
    <w:p w14:paraId="7620E067" w14:textId="77777777" w:rsidR="007034C5" w:rsidRPr="00B6297D" w:rsidRDefault="007034C5"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w:t>
      </w:r>
      <w:r w:rsidRPr="00B6297D">
        <w:rPr>
          <w:rFonts w:ascii="Times New Roman" w:hAnsi="Times New Roman" w:cs="Times New Roman"/>
          <w:i/>
        </w:rPr>
        <w:t>MEC for Health Eastern Cape and Another v Kirland Investments (Pty) Ltd</w:t>
      </w:r>
      <w:r w:rsidRPr="00B6297D">
        <w:rPr>
          <w:rFonts w:ascii="Times New Roman" w:hAnsi="Times New Roman" w:cs="Times New Roman"/>
        </w:rPr>
        <w:t xml:space="preserve"> 2014 (3) SA 481 (CC) para 50.</w:t>
      </w:r>
    </w:p>
  </w:footnote>
  <w:footnote w:id="16">
    <w:p w14:paraId="664DC92D" w14:textId="77777777" w:rsidR="00A54DDD" w:rsidRDefault="00A54DDD" w:rsidP="00A54DDD">
      <w:pPr>
        <w:pStyle w:val="FootnoteText"/>
      </w:pPr>
      <w:r>
        <w:rPr>
          <w:rStyle w:val="FootnoteReference"/>
        </w:rPr>
        <w:footnoteRef/>
      </w:r>
      <w:r>
        <w:t xml:space="preserve"> </w:t>
      </w:r>
      <w:r w:rsidRPr="00832294">
        <w:rPr>
          <w:rFonts w:ascii="Times New Roman" w:hAnsi="Times New Roman" w:cs="Times New Roman"/>
          <w:i/>
        </w:rPr>
        <w:t>ICM v The State</w:t>
      </w:r>
      <w:r w:rsidRPr="00DE1DCB">
        <w:rPr>
          <w:rFonts w:ascii="Times New Roman" w:hAnsi="Times New Roman" w:cs="Times New Roman"/>
        </w:rPr>
        <w:t xml:space="preserve"> [2022] ZASCA 108 para 40</w:t>
      </w:r>
      <w:r>
        <w:rPr>
          <w:rFonts w:ascii="Times New Roman" w:hAnsi="Times New Roman" w:cs="Times New Roman"/>
        </w:rPr>
        <w:t>.</w:t>
      </w:r>
    </w:p>
  </w:footnote>
  <w:footnote w:id="17">
    <w:p w14:paraId="512BA3A1" w14:textId="77777777" w:rsidR="003B1A9F" w:rsidRPr="00B6297D" w:rsidRDefault="003B1A9F"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2019 (2) SACR 613 (WCC), quoted in </w:t>
      </w:r>
      <w:r w:rsidRPr="00B6297D">
        <w:rPr>
          <w:rFonts w:ascii="Times New Roman" w:hAnsi="Times New Roman" w:cs="Times New Roman"/>
          <w:i/>
        </w:rPr>
        <w:t>CB v The State supra</w:t>
      </w:r>
      <w:r w:rsidRPr="00B6297D">
        <w:rPr>
          <w:rFonts w:ascii="Times New Roman" w:hAnsi="Times New Roman" w:cs="Times New Roman"/>
        </w:rPr>
        <w:t xml:space="preserve"> para 20.</w:t>
      </w:r>
    </w:p>
  </w:footnote>
  <w:footnote w:id="18">
    <w:p w14:paraId="123140FE" w14:textId="77777777" w:rsidR="003B1A9F" w:rsidRPr="009E04E1" w:rsidRDefault="003B1A9F" w:rsidP="00B6297D">
      <w:pPr>
        <w:pStyle w:val="FootnoteText"/>
        <w:jc w:val="both"/>
        <w:rPr>
          <w:rFonts w:ascii="Times New Roman" w:hAnsi="Times New Roman" w:cs="Times New Roman"/>
        </w:rPr>
      </w:pPr>
      <w:r w:rsidRPr="00B6297D">
        <w:rPr>
          <w:rStyle w:val="FootnoteReference"/>
          <w:rFonts w:ascii="Times New Roman" w:hAnsi="Times New Roman" w:cs="Times New Roman"/>
        </w:rPr>
        <w:footnoteRef/>
      </w:r>
      <w:r w:rsidRPr="00B6297D">
        <w:rPr>
          <w:rFonts w:ascii="Times New Roman" w:hAnsi="Times New Roman" w:cs="Times New Roman"/>
        </w:rPr>
        <w:t xml:space="preserve"> </w:t>
      </w:r>
      <w:r w:rsidRPr="00B6297D">
        <w:rPr>
          <w:rFonts w:ascii="Times New Roman" w:hAnsi="Times New Roman" w:cs="Times New Roman"/>
          <w:i/>
        </w:rPr>
        <w:t>CB v The State supra</w:t>
      </w:r>
      <w:r w:rsidRPr="00B6297D">
        <w:rPr>
          <w:rFonts w:ascii="Times New Roman" w:hAnsi="Times New Roman" w:cs="Times New Roman"/>
        </w:rPr>
        <w:t xml:space="preserve"> para 25.</w:t>
      </w:r>
    </w:p>
  </w:footnote>
  <w:footnote w:id="19">
    <w:p w14:paraId="0696FA2A" w14:textId="77777777" w:rsidR="009E04E1" w:rsidRDefault="009E04E1">
      <w:pPr>
        <w:pStyle w:val="FootnoteText"/>
      </w:pPr>
      <w:r w:rsidRPr="009E04E1">
        <w:rPr>
          <w:rStyle w:val="FootnoteReference"/>
          <w:rFonts w:ascii="Times New Roman" w:hAnsi="Times New Roman" w:cs="Times New Roman"/>
        </w:rPr>
        <w:footnoteRef/>
      </w:r>
      <w:r w:rsidRPr="009E04E1">
        <w:rPr>
          <w:rFonts w:ascii="Times New Roman" w:hAnsi="Times New Roman" w:cs="Times New Roman"/>
        </w:rPr>
        <w:t xml:space="preserve"> </w:t>
      </w:r>
      <w:r w:rsidRPr="009E04E1">
        <w:rPr>
          <w:rFonts w:ascii="Times New Roman" w:hAnsi="Times New Roman" w:cs="Times New Roman"/>
          <w:i/>
        </w:rPr>
        <w:t>S v Dewani supra</w:t>
      </w:r>
      <w:r w:rsidRPr="009E04E1">
        <w:rPr>
          <w:rFonts w:ascii="Times New Roman" w:hAnsi="Times New Roman" w:cs="Times New Roman"/>
        </w:rPr>
        <w:t xml:space="preserve"> para 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DBCE" w14:textId="77777777" w:rsidR="00B564A2" w:rsidRDefault="00B564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35D18D4A" w14:textId="73A48C71" w:rsidR="00B564A2" w:rsidRPr="00B564A2" w:rsidRDefault="00B564A2">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467BC2">
          <w:rPr>
            <w:rFonts w:ascii="Times New Roman" w:hAnsi="Times New Roman" w:cs="Times New Roman"/>
            <w:noProof/>
            <w:sz w:val="28"/>
            <w:szCs w:val="28"/>
          </w:rPr>
          <w:t>2</w:t>
        </w:r>
        <w:r w:rsidRPr="00B564A2">
          <w:rPr>
            <w:rFonts w:ascii="Times New Roman" w:hAnsi="Times New Roman" w:cs="Times New Roman"/>
            <w:noProof/>
            <w:sz w:val="28"/>
            <w:szCs w:val="28"/>
          </w:rPr>
          <w:fldChar w:fldCharType="end"/>
        </w:r>
      </w:p>
    </w:sdtContent>
  </w:sdt>
  <w:p w14:paraId="43261079" w14:textId="77777777" w:rsidR="00A572D4" w:rsidRDefault="00A572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7756" w14:textId="77777777" w:rsidR="00B564A2" w:rsidRDefault="00B564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05B3"/>
    <w:multiLevelType w:val="hybridMultilevel"/>
    <w:tmpl w:val="AE14C3BA"/>
    <w:lvl w:ilvl="0" w:tplc="7C80C236">
      <w:start w:val="1"/>
      <w:numFmt w:val="decimal"/>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 w15:restartNumberingAfterBreak="0">
    <w:nsid w:val="5B725BC2"/>
    <w:multiLevelType w:val="hybridMultilevel"/>
    <w:tmpl w:val="77D0D31A"/>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12"/>
    <w:rsid w:val="00000667"/>
    <w:rsid w:val="00017E13"/>
    <w:rsid w:val="0002581A"/>
    <w:rsid w:val="00036548"/>
    <w:rsid w:val="00036E5C"/>
    <w:rsid w:val="00037A2D"/>
    <w:rsid w:val="00040F93"/>
    <w:rsid w:val="00050A6E"/>
    <w:rsid w:val="00053A7D"/>
    <w:rsid w:val="0005519F"/>
    <w:rsid w:val="000617FB"/>
    <w:rsid w:val="000739A9"/>
    <w:rsid w:val="00081D43"/>
    <w:rsid w:val="000866E7"/>
    <w:rsid w:val="000976AC"/>
    <w:rsid w:val="000A346A"/>
    <w:rsid w:val="000B30DE"/>
    <w:rsid w:val="000C2A49"/>
    <w:rsid w:val="000D1DCE"/>
    <w:rsid w:val="000E1CA6"/>
    <w:rsid w:val="000E4470"/>
    <w:rsid w:val="000E5D8A"/>
    <w:rsid w:val="000E732F"/>
    <w:rsid w:val="000F64C1"/>
    <w:rsid w:val="00101246"/>
    <w:rsid w:val="00114144"/>
    <w:rsid w:val="0012321D"/>
    <w:rsid w:val="00125DE3"/>
    <w:rsid w:val="00131C93"/>
    <w:rsid w:val="00145FD6"/>
    <w:rsid w:val="00157E3A"/>
    <w:rsid w:val="00160558"/>
    <w:rsid w:val="00175C33"/>
    <w:rsid w:val="00182092"/>
    <w:rsid w:val="00185546"/>
    <w:rsid w:val="00186680"/>
    <w:rsid w:val="00187E38"/>
    <w:rsid w:val="001911DF"/>
    <w:rsid w:val="00196B52"/>
    <w:rsid w:val="001A4C58"/>
    <w:rsid w:val="001B2FE7"/>
    <w:rsid w:val="001D13C3"/>
    <w:rsid w:val="001D3F31"/>
    <w:rsid w:val="001E7262"/>
    <w:rsid w:val="001F6D34"/>
    <w:rsid w:val="00201B51"/>
    <w:rsid w:val="00203BA9"/>
    <w:rsid w:val="002040EE"/>
    <w:rsid w:val="0020666C"/>
    <w:rsid w:val="002147CA"/>
    <w:rsid w:val="00216DBF"/>
    <w:rsid w:val="00230EB5"/>
    <w:rsid w:val="00233DD3"/>
    <w:rsid w:val="002363B7"/>
    <w:rsid w:val="0025085C"/>
    <w:rsid w:val="00271B9C"/>
    <w:rsid w:val="00286C5C"/>
    <w:rsid w:val="0028797D"/>
    <w:rsid w:val="002924EE"/>
    <w:rsid w:val="002A1398"/>
    <w:rsid w:val="002A558C"/>
    <w:rsid w:val="002A6B70"/>
    <w:rsid w:val="002B3470"/>
    <w:rsid w:val="002B7A11"/>
    <w:rsid w:val="002C1DCB"/>
    <w:rsid w:val="002C1FA2"/>
    <w:rsid w:val="002C60DC"/>
    <w:rsid w:val="002D3302"/>
    <w:rsid w:val="002F3413"/>
    <w:rsid w:val="00300C74"/>
    <w:rsid w:val="003019B4"/>
    <w:rsid w:val="00304B97"/>
    <w:rsid w:val="00314C36"/>
    <w:rsid w:val="00324991"/>
    <w:rsid w:val="0032565C"/>
    <w:rsid w:val="00325AE5"/>
    <w:rsid w:val="003448AE"/>
    <w:rsid w:val="00347218"/>
    <w:rsid w:val="00347FB9"/>
    <w:rsid w:val="003507AB"/>
    <w:rsid w:val="00354A12"/>
    <w:rsid w:val="003700AE"/>
    <w:rsid w:val="00374D21"/>
    <w:rsid w:val="00375BC7"/>
    <w:rsid w:val="003764BD"/>
    <w:rsid w:val="00386D57"/>
    <w:rsid w:val="003952AA"/>
    <w:rsid w:val="0039565D"/>
    <w:rsid w:val="003A576E"/>
    <w:rsid w:val="003B1A9F"/>
    <w:rsid w:val="003B24D6"/>
    <w:rsid w:val="003B4041"/>
    <w:rsid w:val="003B6965"/>
    <w:rsid w:val="003C36E9"/>
    <w:rsid w:val="003D6A6A"/>
    <w:rsid w:val="003E2FB6"/>
    <w:rsid w:val="003E5621"/>
    <w:rsid w:val="004043BD"/>
    <w:rsid w:val="00427674"/>
    <w:rsid w:val="0044441A"/>
    <w:rsid w:val="004608EB"/>
    <w:rsid w:val="00462B8B"/>
    <w:rsid w:val="00467BC2"/>
    <w:rsid w:val="00477F55"/>
    <w:rsid w:val="004803CA"/>
    <w:rsid w:val="00490C2C"/>
    <w:rsid w:val="00491519"/>
    <w:rsid w:val="00495E86"/>
    <w:rsid w:val="004A3F2C"/>
    <w:rsid w:val="004A750C"/>
    <w:rsid w:val="004B6A54"/>
    <w:rsid w:val="004C66D3"/>
    <w:rsid w:val="004D2524"/>
    <w:rsid w:val="004D7AC7"/>
    <w:rsid w:val="004E02F9"/>
    <w:rsid w:val="004E1F65"/>
    <w:rsid w:val="004E2C12"/>
    <w:rsid w:val="004F13CF"/>
    <w:rsid w:val="00503E98"/>
    <w:rsid w:val="00535254"/>
    <w:rsid w:val="00537C26"/>
    <w:rsid w:val="00546A74"/>
    <w:rsid w:val="00555858"/>
    <w:rsid w:val="00556F34"/>
    <w:rsid w:val="0056076C"/>
    <w:rsid w:val="005615EC"/>
    <w:rsid w:val="005635D2"/>
    <w:rsid w:val="00582EB8"/>
    <w:rsid w:val="00592786"/>
    <w:rsid w:val="00592E05"/>
    <w:rsid w:val="005C2004"/>
    <w:rsid w:val="005F3004"/>
    <w:rsid w:val="00600F32"/>
    <w:rsid w:val="00602D40"/>
    <w:rsid w:val="00605C42"/>
    <w:rsid w:val="00612106"/>
    <w:rsid w:val="00612AB7"/>
    <w:rsid w:val="00633710"/>
    <w:rsid w:val="00654226"/>
    <w:rsid w:val="006628A3"/>
    <w:rsid w:val="0066381A"/>
    <w:rsid w:val="00672E20"/>
    <w:rsid w:val="00673E65"/>
    <w:rsid w:val="00692D82"/>
    <w:rsid w:val="006A5E71"/>
    <w:rsid w:val="006B564C"/>
    <w:rsid w:val="006B7827"/>
    <w:rsid w:val="006D00D2"/>
    <w:rsid w:val="006F0C13"/>
    <w:rsid w:val="006F5148"/>
    <w:rsid w:val="006F615F"/>
    <w:rsid w:val="007034C5"/>
    <w:rsid w:val="00707223"/>
    <w:rsid w:val="00732603"/>
    <w:rsid w:val="00736FF0"/>
    <w:rsid w:val="0074392F"/>
    <w:rsid w:val="00763643"/>
    <w:rsid w:val="0077249A"/>
    <w:rsid w:val="00777531"/>
    <w:rsid w:val="0078308C"/>
    <w:rsid w:val="0078518C"/>
    <w:rsid w:val="0079656F"/>
    <w:rsid w:val="007A5886"/>
    <w:rsid w:val="007B7278"/>
    <w:rsid w:val="007C3744"/>
    <w:rsid w:val="007C61A1"/>
    <w:rsid w:val="007E3411"/>
    <w:rsid w:val="007E750C"/>
    <w:rsid w:val="007F52F0"/>
    <w:rsid w:val="007F6C7D"/>
    <w:rsid w:val="00802F98"/>
    <w:rsid w:val="00807D3B"/>
    <w:rsid w:val="0081471F"/>
    <w:rsid w:val="00835C60"/>
    <w:rsid w:val="00837C27"/>
    <w:rsid w:val="008432A0"/>
    <w:rsid w:val="00853FCD"/>
    <w:rsid w:val="008577AC"/>
    <w:rsid w:val="008618A3"/>
    <w:rsid w:val="00862F6E"/>
    <w:rsid w:val="00866671"/>
    <w:rsid w:val="008743B9"/>
    <w:rsid w:val="008771F5"/>
    <w:rsid w:val="008956B9"/>
    <w:rsid w:val="008B0887"/>
    <w:rsid w:val="008B7722"/>
    <w:rsid w:val="008C0EC2"/>
    <w:rsid w:val="008C2220"/>
    <w:rsid w:val="008C3879"/>
    <w:rsid w:val="008C556E"/>
    <w:rsid w:val="008C729B"/>
    <w:rsid w:val="008D030E"/>
    <w:rsid w:val="008D19BC"/>
    <w:rsid w:val="008E5168"/>
    <w:rsid w:val="00906DD1"/>
    <w:rsid w:val="00914C8D"/>
    <w:rsid w:val="00916BFC"/>
    <w:rsid w:val="0093169A"/>
    <w:rsid w:val="00933807"/>
    <w:rsid w:val="00950C0F"/>
    <w:rsid w:val="009867EA"/>
    <w:rsid w:val="009903D3"/>
    <w:rsid w:val="00996D52"/>
    <w:rsid w:val="009A1D1F"/>
    <w:rsid w:val="009A2E4D"/>
    <w:rsid w:val="009A6A35"/>
    <w:rsid w:val="009A7D4D"/>
    <w:rsid w:val="009B6F0F"/>
    <w:rsid w:val="009C13BA"/>
    <w:rsid w:val="009C773D"/>
    <w:rsid w:val="009C7CE4"/>
    <w:rsid w:val="009D5188"/>
    <w:rsid w:val="009E04E1"/>
    <w:rsid w:val="009E0764"/>
    <w:rsid w:val="009F1BDE"/>
    <w:rsid w:val="009F4DC3"/>
    <w:rsid w:val="009F6B9B"/>
    <w:rsid w:val="00A00BC7"/>
    <w:rsid w:val="00A00D00"/>
    <w:rsid w:val="00A01F47"/>
    <w:rsid w:val="00A22B6F"/>
    <w:rsid w:val="00A24365"/>
    <w:rsid w:val="00A42EBE"/>
    <w:rsid w:val="00A529EB"/>
    <w:rsid w:val="00A5434F"/>
    <w:rsid w:val="00A54DDD"/>
    <w:rsid w:val="00A55A76"/>
    <w:rsid w:val="00A572D4"/>
    <w:rsid w:val="00A5734A"/>
    <w:rsid w:val="00A60AC8"/>
    <w:rsid w:val="00A64DD0"/>
    <w:rsid w:val="00A70638"/>
    <w:rsid w:val="00A807DF"/>
    <w:rsid w:val="00A80A36"/>
    <w:rsid w:val="00A817E4"/>
    <w:rsid w:val="00A85C67"/>
    <w:rsid w:val="00A95DB0"/>
    <w:rsid w:val="00AA5F00"/>
    <w:rsid w:val="00AB3D09"/>
    <w:rsid w:val="00AB4215"/>
    <w:rsid w:val="00AC662C"/>
    <w:rsid w:val="00AD0D0F"/>
    <w:rsid w:val="00AD7DA4"/>
    <w:rsid w:val="00AE2C4A"/>
    <w:rsid w:val="00AE69AF"/>
    <w:rsid w:val="00B00CCB"/>
    <w:rsid w:val="00B10CFE"/>
    <w:rsid w:val="00B14377"/>
    <w:rsid w:val="00B14A0E"/>
    <w:rsid w:val="00B167C4"/>
    <w:rsid w:val="00B17EC7"/>
    <w:rsid w:val="00B24472"/>
    <w:rsid w:val="00B30193"/>
    <w:rsid w:val="00B40086"/>
    <w:rsid w:val="00B42E15"/>
    <w:rsid w:val="00B52617"/>
    <w:rsid w:val="00B52CC0"/>
    <w:rsid w:val="00B564A2"/>
    <w:rsid w:val="00B5753C"/>
    <w:rsid w:val="00B6297D"/>
    <w:rsid w:val="00B720CE"/>
    <w:rsid w:val="00B94D20"/>
    <w:rsid w:val="00B962F8"/>
    <w:rsid w:val="00BC690B"/>
    <w:rsid w:val="00BC7D67"/>
    <w:rsid w:val="00BD5CE5"/>
    <w:rsid w:val="00BE27CB"/>
    <w:rsid w:val="00BF3D71"/>
    <w:rsid w:val="00C045CB"/>
    <w:rsid w:val="00C10B29"/>
    <w:rsid w:val="00C20B4D"/>
    <w:rsid w:val="00C245F3"/>
    <w:rsid w:val="00C36F31"/>
    <w:rsid w:val="00C47176"/>
    <w:rsid w:val="00C474FB"/>
    <w:rsid w:val="00C64905"/>
    <w:rsid w:val="00C706B8"/>
    <w:rsid w:val="00C77A10"/>
    <w:rsid w:val="00C80212"/>
    <w:rsid w:val="00C90862"/>
    <w:rsid w:val="00CA4D77"/>
    <w:rsid w:val="00CB0ACB"/>
    <w:rsid w:val="00CB1E01"/>
    <w:rsid w:val="00CB32EF"/>
    <w:rsid w:val="00CC1AE7"/>
    <w:rsid w:val="00CD56F8"/>
    <w:rsid w:val="00CE44BC"/>
    <w:rsid w:val="00CF4335"/>
    <w:rsid w:val="00D01A8B"/>
    <w:rsid w:val="00D05ABE"/>
    <w:rsid w:val="00D069CB"/>
    <w:rsid w:val="00D111E8"/>
    <w:rsid w:val="00D14E38"/>
    <w:rsid w:val="00D17DE6"/>
    <w:rsid w:val="00D35909"/>
    <w:rsid w:val="00D35D5B"/>
    <w:rsid w:val="00D41A83"/>
    <w:rsid w:val="00D42C04"/>
    <w:rsid w:val="00D45647"/>
    <w:rsid w:val="00D4696C"/>
    <w:rsid w:val="00D7388A"/>
    <w:rsid w:val="00D73F6B"/>
    <w:rsid w:val="00D95C81"/>
    <w:rsid w:val="00DB5194"/>
    <w:rsid w:val="00DB7DE8"/>
    <w:rsid w:val="00DD176F"/>
    <w:rsid w:val="00DD6E7E"/>
    <w:rsid w:val="00DF1A11"/>
    <w:rsid w:val="00E063F2"/>
    <w:rsid w:val="00E22A1D"/>
    <w:rsid w:val="00E374F3"/>
    <w:rsid w:val="00E40C3B"/>
    <w:rsid w:val="00E4163C"/>
    <w:rsid w:val="00E504D4"/>
    <w:rsid w:val="00E622F3"/>
    <w:rsid w:val="00E67F50"/>
    <w:rsid w:val="00E836CE"/>
    <w:rsid w:val="00E8507D"/>
    <w:rsid w:val="00E85BA3"/>
    <w:rsid w:val="00E85BDB"/>
    <w:rsid w:val="00E95C8A"/>
    <w:rsid w:val="00EA1AAE"/>
    <w:rsid w:val="00EB6547"/>
    <w:rsid w:val="00EB7AE3"/>
    <w:rsid w:val="00EC69BF"/>
    <w:rsid w:val="00EF10F7"/>
    <w:rsid w:val="00EF682C"/>
    <w:rsid w:val="00EF7D2B"/>
    <w:rsid w:val="00F0234E"/>
    <w:rsid w:val="00F04A37"/>
    <w:rsid w:val="00F43433"/>
    <w:rsid w:val="00F44E15"/>
    <w:rsid w:val="00F47132"/>
    <w:rsid w:val="00F55F26"/>
    <w:rsid w:val="00F77F2F"/>
    <w:rsid w:val="00F870F2"/>
    <w:rsid w:val="00F87BBB"/>
    <w:rsid w:val="00F9259F"/>
    <w:rsid w:val="00FA2E5A"/>
    <w:rsid w:val="00FA6A0E"/>
    <w:rsid w:val="00FC0343"/>
    <w:rsid w:val="00FC3BA8"/>
    <w:rsid w:val="00FC6EA1"/>
    <w:rsid w:val="00FE7922"/>
    <w:rsid w:val="00FF36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3465"/>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rsid w:val="00354A12"/>
    <w:rPr>
      <w:rFonts w:cstheme="minorBidi"/>
      <w:sz w:val="20"/>
      <w:szCs w:val="20"/>
    </w:rPr>
  </w:style>
  <w:style w:type="paragraph" w:styleId="ListParagraph">
    <w:name w:val="List Paragraph"/>
    <w:basedOn w:val="Normal"/>
    <w:uiPriority w:val="34"/>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paragraph" w:styleId="BalloonText">
    <w:name w:val="Balloon Text"/>
    <w:basedOn w:val="Normal"/>
    <w:link w:val="BalloonTextChar"/>
    <w:uiPriority w:val="99"/>
    <w:semiHidden/>
    <w:unhideWhenUsed/>
    <w:rsid w:val="00DB7D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569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DB8E-045A-4511-834E-9FC3BFB4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Mary Bruce</cp:lastModifiedBy>
  <cp:revision>3</cp:revision>
  <cp:lastPrinted>2023-11-16T09:33:00Z</cp:lastPrinted>
  <dcterms:created xsi:type="dcterms:W3CDTF">2023-11-27T09:05:00Z</dcterms:created>
  <dcterms:modified xsi:type="dcterms:W3CDTF">2023-11-27T15:15:00Z</dcterms:modified>
  <cp:contentStatus/>
</cp:coreProperties>
</file>