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291E2" w14:textId="77777777" w:rsidR="000C6B8C" w:rsidRPr="00787209" w:rsidRDefault="000C6B8C" w:rsidP="00490666">
      <w:pPr>
        <w:spacing w:line="360" w:lineRule="auto"/>
        <w:jc w:val="center"/>
        <w:rPr>
          <w:b/>
          <w:u w:val="none"/>
          <w:lang w:val="en-ZA"/>
        </w:rPr>
      </w:pPr>
      <w:r w:rsidRPr="00787209">
        <w:rPr>
          <w:b/>
          <w:u w:val="none"/>
          <w:lang w:val="en-ZA"/>
        </w:rPr>
        <w:t>IN THE HIGH COURT OF SOUTH AFRICA</w:t>
      </w:r>
    </w:p>
    <w:p w14:paraId="3C936C6F" w14:textId="77777777" w:rsidR="002F4398" w:rsidRPr="004A0354" w:rsidRDefault="000C6B8C" w:rsidP="002F4398">
      <w:pPr>
        <w:jc w:val="center"/>
        <w:rPr>
          <w:u w:val="none"/>
          <w:lang w:val="en-ZA"/>
        </w:rPr>
      </w:pPr>
      <w:r w:rsidRPr="00787209">
        <w:rPr>
          <w:b/>
          <w:u w:val="none"/>
          <w:lang w:val="en-ZA"/>
        </w:rPr>
        <w:t>(</w:t>
      </w:r>
      <w:r w:rsidR="002100D2" w:rsidRPr="00787209">
        <w:rPr>
          <w:b/>
          <w:u w:val="none"/>
          <w:lang w:val="en-ZA"/>
        </w:rPr>
        <w:t>EAST</w:t>
      </w:r>
      <w:r w:rsidR="00DF6CAD">
        <w:rPr>
          <w:b/>
          <w:u w:val="none"/>
          <w:lang w:val="en-ZA"/>
        </w:rPr>
        <w:t xml:space="preserve"> LONDON</w:t>
      </w:r>
      <w:r w:rsidR="002100D2" w:rsidRPr="00787209">
        <w:rPr>
          <w:b/>
          <w:u w:val="none"/>
          <w:lang w:val="en-ZA"/>
        </w:rPr>
        <w:t xml:space="preserve"> LOCAL</w:t>
      </w:r>
      <w:r w:rsidR="00A74F99" w:rsidRPr="00787209">
        <w:rPr>
          <w:b/>
          <w:u w:val="none"/>
          <w:lang w:val="en-ZA"/>
        </w:rPr>
        <w:t xml:space="preserve"> </w:t>
      </w:r>
      <w:r w:rsidR="00DF6CAD">
        <w:rPr>
          <w:b/>
          <w:u w:val="none"/>
          <w:lang w:val="en-ZA"/>
        </w:rPr>
        <w:t xml:space="preserve">CIRCUIT </w:t>
      </w:r>
      <w:r w:rsidR="00A74F99" w:rsidRPr="00787209">
        <w:rPr>
          <w:b/>
          <w:u w:val="none"/>
          <w:lang w:val="en-ZA"/>
        </w:rPr>
        <w:t>DIVISION</w:t>
      </w:r>
      <w:r w:rsidRPr="00787209">
        <w:rPr>
          <w:b/>
          <w:u w:val="none"/>
          <w:lang w:val="en-ZA"/>
        </w:rPr>
        <w:t>)</w:t>
      </w:r>
    </w:p>
    <w:p w14:paraId="7EB3B65D" w14:textId="77777777" w:rsidR="00DA564D" w:rsidRPr="00787209" w:rsidRDefault="00DA564D" w:rsidP="002F4398">
      <w:pPr>
        <w:jc w:val="center"/>
        <w:rPr>
          <w:b/>
          <w:u w:val="none"/>
          <w:lang w:val="en-ZA"/>
        </w:rPr>
      </w:pPr>
    </w:p>
    <w:p w14:paraId="4F67F808" w14:textId="77777777" w:rsidR="002F4398" w:rsidRPr="00787209" w:rsidRDefault="002F4398" w:rsidP="002F4398">
      <w:pPr>
        <w:jc w:val="right"/>
        <w:rPr>
          <w:b/>
          <w:u w:val="none"/>
          <w:lang w:val="en-ZA"/>
        </w:rPr>
      </w:pPr>
      <w:r w:rsidRPr="00787209">
        <w:rPr>
          <w:b/>
          <w:u w:val="none"/>
          <w:lang w:val="en-ZA"/>
        </w:rPr>
        <w:t xml:space="preserve">CASE NO: </w:t>
      </w:r>
      <w:r w:rsidR="00DF6CAD">
        <w:rPr>
          <w:b/>
          <w:u w:val="none"/>
          <w:lang w:val="en-ZA"/>
        </w:rPr>
        <w:t>EL 1637/2021</w:t>
      </w:r>
    </w:p>
    <w:p w14:paraId="62A33A9F" w14:textId="77777777" w:rsidR="002F4398" w:rsidRPr="00787209" w:rsidRDefault="00591818" w:rsidP="002F4398">
      <w:pPr>
        <w:jc w:val="both"/>
      </w:pPr>
      <w:r w:rsidRPr="00787209">
        <w:rPr>
          <w:noProof/>
          <w:lang w:val="en-ZA" w:eastAsia="en-ZA"/>
        </w:rPr>
        <mc:AlternateContent>
          <mc:Choice Requires="wps">
            <w:drawing>
              <wp:anchor distT="0" distB="0" distL="114300" distR="114300" simplePos="0" relativeHeight="251657216" behindDoc="0" locked="0" layoutInCell="1" allowOverlap="1" wp14:anchorId="3C7B47E8" wp14:editId="608251AB">
                <wp:simplePos x="0" y="0"/>
                <wp:positionH relativeFrom="column">
                  <wp:posOffset>2143125</wp:posOffset>
                </wp:positionH>
                <wp:positionV relativeFrom="paragraph">
                  <wp:posOffset>154940</wp:posOffset>
                </wp:positionV>
                <wp:extent cx="3314700" cy="1371600"/>
                <wp:effectExtent l="9525" t="12065" r="9525" b="698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371600"/>
                        </a:xfrm>
                        <a:prstGeom prst="rect">
                          <a:avLst/>
                        </a:prstGeom>
                        <a:solidFill>
                          <a:srgbClr val="FFFFFF"/>
                        </a:solidFill>
                        <a:ln w="9525">
                          <a:solidFill>
                            <a:srgbClr val="000000"/>
                          </a:solidFill>
                          <a:miter lim="800000"/>
                          <a:headEnd/>
                          <a:tailEnd/>
                        </a:ln>
                      </wps:spPr>
                      <wps:txbx>
                        <w:txbxContent>
                          <w:p w14:paraId="3A23CF61" w14:textId="77777777" w:rsidR="002F4398" w:rsidRPr="00913F95" w:rsidRDefault="002F4398" w:rsidP="002F4398">
                            <w:pPr>
                              <w:jc w:val="center"/>
                              <w:rPr>
                                <w:rFonts w:ascii="Century Gothic" w:hAnsi="Century Gothic"/>
                                <w:b/>
                                <w:sz w:val="20"/>
                                <w:szCs w:val="20"/>
                              </w:rPr>
                            </w:pPr>
                          </w:p>
                          <w:p w14:paraId="0AD78E83" w14:textId="72E40305" w:rsidR="002F4398" w:rsidRDefault="00EB1A2D" w:rsidP="00EB1A2D">
                            <w:pPr>
                              <w:tabs>
                                <w:tab w:val="left" w:pos="900"/>
                              </w:tabs>
                              <w:ind w:left="900" w:hanging="720"/>
                              <w:rPr>
                                <w:rFonts w:ascii="Century Gothic" w:hAnsi="Century Gothic"/>
                                <w:sz w:val="20"/>
                                <w:szCs w:val="20"/>
                              </w:rPr>
                            </w:pPr>
                            <w:r>
                              <w:rPr>
                                <w:rFonts w:ascii="Century Gothic" w:hAnsi="Century Gothic"/>
                                <w:sz w:val="20"/>
                                <w:szCs w:val="20"/>
                                <w:u w:val="none"/>
                              </w:rPr>
                              <w:t>(1)</w:t>
                            </w:r>
                            <w:r>
                              <w:rPr>
                                <w:rFonts w:ascii="Century Gothic" w:hAnsi="Century Gothic"/>
                                <w:sz w:val="20"/>
                                <w:szCs w:val="20"/>
                                <w:u w:val="none"/>
                              </w:rPr>
                              <w:tab/>
                            </w:r>
                            <w:r w:rsidR="002F4398" w:rsidRPr="00913F95">
                              <w:rPr>
                                <w:rFonts w:ascii="Century Gothic" w:hAnsi="Century Gothic"/>
                                <w:sz w:val="20"/>
                                <w:szCs w:val="20"/>
                              </w:rPr>
                              <w:t>REPORTABLE: YES</w:t>
                            </w:r>
                            <w:r w:rsidR="002F4398">
                              <w:rPr>
                                <w:rFonts w:ascii="Century Gothic" w:hAnsi="Century Gothic"/>
                                <w:sz w:val="20"/>
                                <w:szCs w:val="20"/>
                              </w:rPr>
                              <w:t xml:space="preserve"> / NO</w:t>
                            </w:r>
                          </w:p>
                          <w:p w14:paraId="0A82FC01" w14:textId="5D8282E2" w:rsidR="002F4398" w:rsidRPr="00913F95" w:rsidRDefault="00EB1A2D" w:rsidP="00EB1A2D">
                            <w:pPr>
                              <w:tabs>
                                <w:tab w:val="left" w:pos="900"/>
                              </w:tabs>
                              <w:ind w:left="900" w:hanging="720"/>
                              <w:rPr>
                                <w:rFonts w:ascii="Century Gothic" w:hAnsi="Century Gothic"/>
                                <w:sz w:val="20"/>
                                <w:szCs w:val="20"/>
                              </w:rPr>
                            </w:pPr>
                            <w:r w:rsidRPr="00913F95">
                              <w:rPr>
                                <w:rFonts w:ascii="Century Gothic" w:hAnsi="Century Gothic"/>
                                <w:sz w:val="20"/>
                                <w:szCs w:val="20"/>
                                <w:u w:val="none"/>
                              </w:rPr>
                              <w:t>(2)</w:t>
                            </w:r>
                            <w:r w:rsidRPr="00913F95">
                              <w:rPr>
                                <w:rFonts w:ascii="Century Gothic" w:hAnsi="Century Gothic"/>
                                <w:sz w:val="20"/>
                                <w:szCs w:val="20"/>
                                <w:u w:val="none"/>
                              </w:rPr>
                              <w:tab/>
                            </w:r>
                            <w:r w:rsidR="002F4398" w:rsidRPr="00913F95">
                              <w:rPr>
                                <w:rFonts w:ascii="Century Gothic" w:hAnsi="Century Gothic"/>
                                <w:sz w:val="20"/>
                                <w:szCs w:val="20"/>
                              </w:rPr>
                              <w:t xml:space="preserve">OF INTEREST TO OTHER JUDGES: </w:t>
                            </w:r>
                            <w:r w:rsidR="002F4398">
                              <w:rPr>
                                <w:rFonts w:ascii="Century Gothic" w:hAnsi="Century Gothic"/>
                                <w:sz w:val="20"/>
                                <w:szCs w:val="20"/>
                              </w:rPr>
                              <w:t>YES/</w:t>
                            </w:r>
                            <w:r w:rsidR="002F4398" w:rsidRPr="00913F95">
                              <w:rPr>
                                <w:rFonts w:ascii="Century Gothic" w:hAnsi="Century Gothic"/>
                                <w:sz w:val="20"/>
                                <w:szCs w:val="20"/>
                              </w:rPr>
                              <w:t>NO</w:t>
                            </w:r>
                          </w:p>
                          <w:p w14:paraId="5E0A5F9E" w14:textId="1B6A711F" w:rsidR="002F4398" w:rsidRPr="00913F95" w:rsidRDefault="00EB1A2D" w:rsidP="00EB1A2D">
                            <w:pPr>
                              <w:tabs>
                                <w:tab w:val="left" w:pos="900"/>
                              </w:tabs>
                              <w:ind w:left="900" w:hanging="720"/>
                              <w:rPr>
                                <w:rFonts w:ascii="Century Gothic" w:hAnsi="Century Gothic"/>
                                <w:sz w:val="20"/>
                                <w:szCs w:val="20"/>
                              </w:rPr>
                            </w:pPr>
                            <w:r w:rsidRPr="00913F95">
                              <w:rPr>
                                <w:rFonts w:ascii="Century Gothic" w:hAnsi="Century Gothic"/>
                                <w:sz w:val="20"/>
                                <w:szCs w:val="20"/>
                                <w:u w:val="none"/>
                              </w:rPr>
                              <w:t>(3)</w:t>
                            </w:r>
                            <w:r w:rsidRPr="00913F95">
                              <w:rPr>
                                <w:rFonts w:ascii="Century Gothic" w:hAnsi="Century Gothic"/>
                                <w:sz w:val="20"/>
                                <w:szCs w:val="20"/>
                                <w:u w:val="none"/>
                              </w:rPr>
                              <w:tab/>
                            </w:r>
                            <w:r w:rsidR="002F4398" w:rsidRPr="00913F95">
                              <w:rPr>
                                <w:rFonts w:ascii="Century Gothic" w:hAnsi="Century Gothic"/>
                                <w:sz w:val="20"/>
                                <w:szCs w:val="20"/>
                              </w:rPr>
                              <w:t>REVISED</w:t>
                            </w:r>
                            <w:r w:rsidR="00F24DD0">
                              <w:rPr>
                                <w:rFonts w:ascii="Century Gothic" w:hAnsi="Century Gothic"/>
                                <w:sz w:val="20"/>
                                <w:szCs w:val="20"/>
                              </w:rPr>
                              <w:t xml:space="preserve">.  </w:t>
                            </w:r>
                          </w:p>
                          <w:p w14:paraId="4F032583" w14:textId="77777777" w:rsidR="002F4398" w:rsidRDefault="002F4398" w:rsidP="002F4398">
                            <w:pPr>
                              <w:rPr>
                                <w:rFonts w:ascii="Century Gothic" w:hAnsi="Century Gothic"/>
                                <w:b/>
                                <w:sz w:val="18"/>
                                <w:szCs w:val="18"/>
                              </w:rPr>
                            </w:pPr>
                          </w:p>
                          <w:p w14:paraId="46C2E8C2" w14:textId="6C94BFEA" w:rsidR="002F4398" w:rsidRPr="00084341" w:rsidRDefault="00F24DD0" w:rsidP="002F4398">
                            <w:pPr>
                              <w:rPr>
                                <w:rFonts w:ascii="Century Gothic" w:hAnsi="Century Gothic"/>
                                <w:b/>
                                <w:sz w:val="18"/>
                                <w:szCs w:val="18"/>
                                <w:u w:val="none"/>
                              </w:rPr>
                            </w:pPr>
                            <w:r>
                              <w:rPr>
                                <w:rFonts w:ascii="Century Gothic" w:hAnsi="Century Gothic"/>
                                <w:b/>
                                <w:sz w:val="18"/>
                                <w:szCs w:val="18"/>
                                <w:u w:val="none"/>
                              </w:rPr>
                              <w:t xml:space="preserve">  </w:t>
                            </w:r>
                            <w:r w:rsidR="002F4398" w:rsidRPr="00084341">
                              <w:rPr>
                                <w:rFonts w:ascii="Century Gothic" w:hAnsi="Century Gothic"/>
                                <w:b/>
                                <w:sz w:val="18"/>
                                <w:szCs w:val="18"/>
                                <w:u w:val="none"/>
                              </w:rPr>
                              <w:t xml:space="preserve"> ……………………..</w:t>
                            </w:r>
                            <w:r w:rsidR="002F4398" w:rsidRPr="00084341">
                              <w:rPr>
                                <w:rFonts w:ascii="Century Gothic" w:hAnsi="Century Gothic"/>
                                <w:b/>
                                <w:sz w:val="18"/>
                                <w:szCs w:val="18"/>
                                <w:u w:val="none"/>
                              </w:rPr>
                              <w:tab/>
                            </w:r>
                            <w:r w:rsidR="002F4398" w:rsidRPr="00084341">
                              <w:rPr>
                                <w:rFonts w:ascii="Century Gothic" w:hAnsi="Century Gothic"/>
                                <w:b/>
                                <w:sz w:val="18"/>
                                <w:szCs w:val="18"/>
                                <w:u w:val="none"/>
                              </w:rPr>
                              <w:tab/>
                              <w:t>………………………...</w:t>
                            </w:r>
                          </w:p>
                          <w:p w14:paraId="3E682FF8" w14:textId="1640DAB4" w:rsidR="002F4398" w:rsidRPr="00084341" w:rsidRDefault="00F24DD0" w:rsidP="002F4398">
                            <w:pPr>
                              <w:rPr>
                                <w:rFonts w:ascii="Century Gothic" w:hAnsi="Century Gothic"/>
                                <w:sz w:val="18"/>
                                <w:szCs w:val="18"/>
                                <w:u w:val="none"/>
                              </w:rPr>
                            </w:pPr>
                            <w:r>
                              <w:rPr>
                                <w:rFonts w:ascii="Century Gothic" w:hAnsi="Century Gothic"/>
                                <w:sz w:val="18"/>
                                <w:szCs w:val="18"/>
                                <w:u w:val="none"/>
                              </w:rPr>
                              <w:t xml:space="preserve">     </w:t>
                            </w:r>
                            <w:r w:rsidR="002F4398" w:rsidRPr="00084341">
                              <w:rPr>
                                <w:rFonts w:ascii="Century Gothic" w:hAnsi="Century Gothic"/>
                                <w:sz w:val="18"/>
                                <w:szCs w:val="18"/>
                                <w:u w:val="none"/>
                              </w:rPr>
                              <w:t>DATE</w:t>
                            </w:r>
                            <w:r w:rsidR="002F4398" w:rsidRPr="00084341">
                              <w:rPr>
                                <w:rFonts w:ascii="Century Gothic" w:hAnsi="Century Gothic"/>
                                <w:sz w:val="18"/>
                                <w:szCs w:val="18"/>
                                <w:u w:val="none"/>
                              </w:rPr>
                              <w:tab/>
                            </w:r>
                            <w:r w:rsidR="002F4398" w:rsidRPr="00084341">
                              <w:rPr>
                                <w:rFonts w:ascii="Century Gothic" w:hAnsi="Century Gothic"/>
                                <w:sz w:val="18"/>
                                <w:szCs w:val="18"/>
                                <w:u w:val="none"/>
                              </w:rPr>
                              <w:tab/>
                            </w:r>
                            <w:proofErr w:type="gramStart"/>
                            <w:r w:rsidR="002F4398" w:rsidRPr="00084341">
                              <w:rPr>
                                <w:rFonts w:ascii="Century Gothic" w:hAnsi="Century Gothic"/>
                                <w:sz w:val="18"/>
                                <w:szCs w:val="18"/>
                                <w:u w:val="none"/>
                              </w:rPr>
                              <w:tab/>
                            </w:r>
                            <w:r>
                              <w:rPr>
                                <w:rFonts w:ascii="Century Gothic" w:hAnsi="Century Gothic"/>
                                <w:sz w:val="18"/>
                                <w:szCs w:val="18"/>
                                <w:u w:val="none"/>
                              </w:rPr>
                              <w:t xml:space="preserve">  </w:t>
                            </w:r>
                            <w:r w:rsidR="002F4398" w:rsidRPr="00084341">
                              <w:rPr>
                                <w:rFonts w:ascii="Century Gothic" w:hAnsi="Century Gothic"/>
                                <w:sz w:val="18"/>
                                <w:szCs w:val="18"/>
                                <w:u w:val="none"/>
                              </w:rPr>
                              <w:t>SIGNATURE</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7B47E8" id="_x0000_t202" coordsize="21600,21600" o:spt="202" path="m,l,21600r21600,l21600,xe">
                <v:stroke joinstyle="miter"/>
                <v:path gradientshapeok="t" o:connecttype="rect"/>
              </v:shapetype>
              <v:shape id="Text Box 5" o:spid="_x0000_s1026" type="#_x0000_t202" style="position:absolute;left:0;text-align:left;margin-left:168.75pt;margin-top:12.2pt;width:261pt;height:1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">
                <v:textbox>
                  <w:txbxContent>
                    <w:p w14:paraId="3A23CF61" w14:textId="77777777" w:rsidR="002F4398" w:rsidRPr="00913F95" w:rsidRDefault="002F4398" w:rsidP="002F4398">
                      <w:pPr>
                        <w:jc w:val="center"/>
                        <w:rPr>
                          <w:rFonts w:ascii="Century Gothic" w:hAnsi="Century Gothic"/>
                          <w:b/>
                          <w:sz w:val="20"/>
                          <w:szCs w:val="20"/>
                        </w:rPr>
                      </w:pPr>
                    </w:p>
                    <w:p w14:paraId="0AD78E83" w14:textId="72E40305" w:rsidR="002F4398" w:rsidRDefault="00EB1A2D" w:rsidP="00EB1A2D">
                      <w:pPr>
                        <w:tabs>
                          <w:tab w:val="left" w:pos="900"/>
                        </w:tabs>
                        <w:ind w:left="900" w:hanging="720"/>
                        <w:rPr>
                          <w:rFonts w:ascii="Century Gothic" w:hAnsi="Century Gothic"/>
                          <w:sz w:val="20"/>
                          <w:szCs w:val="20"/>
                        </w:rPr>
                      </w:pPr>
                      <w:r>
                        <w:rPr>
                          <w:rFonts w:ascii="Century Gothic" w:hAnsi="Century Gothic"/>
                          <w:sz w:val="20"/>
                          <w:szCs w:val="20"/>
                          <w:u w:val="none"/>
                        </w:rPr>
                        <w:t>(1)</w:t>
                      </w:r>
                      <w:r>
                        <w:rPr>
                          <w:rFonts w:ascii="Century Gothic" w:hAnsi="Century Gothic"/>
                          <w:sz w:val="20"/>
                          <w:szCs w:val="20"/>
                          <w:u w:val="none"/>
                        </w:rPr>
                        <w:tab/>
                      </w:r>
                      <w:r w:rsidR="002F4398" w:rsidRPr="00913F95">
                        <w:rPr>
                          <w:rFonts w:ascii="Century Gothic" w:hAnsi="Century Gothic"/>
                          <w:sz w:val="20"/>
                          <w:szCs w:val="20"/>
                        </w:rPr>
                        <w:t>REPORTABLE: YES</w:t>
                      </w:r>
                      <w:r w:rsidR="002F4398">
                        <w:rPr>
                          <w:rFonts w:ascii="Century Gothic" w:hAnsi="Century Gothic"/>
                          <w:sz w:val="20"/>
                          <w:szCs w:val="20"/>
                        </w:rPr>
                        <w:t xml:space="preserve"> / NO</w:t>
                      </w:r>
                    </w:p>
                    <w:p w14:paraId="0A82FC01" w14:textId="5D8282E2" w:rsidR="002F4398" w:rsidRPr="00913F95" w:rsidRDefault="00EB1A2D" w:rsidP="00EB1A2D">
                      <w:pPr>
                        <w:tabs>
                          <w:tab w:val="left" w:pos="900"/>
                        </w:tabs>
                        <w:ind w:left="900" w:hanging="720"/>
                        <w:rPr>
                          <w:rFonts w:ascii="Century Gothic" w:hAnsi="Century Gothic"/>
                          <w:sz w:val="20"/>
                          <w:szCs w:val="20"/>
                        </w:rPr>
                      </w:pPr>
                      <w:r w:rsidRPr="00913F95">
                        <w:rPr>
                          <w:rFonts w:ascii="Century Gothic" w:hAnsi="Century Gothic"/>
                          <w:sz w:val="20"/>
                          <w:szCs w:val="20"/>
                          <w:u w:val="none"/>
                        </w:rPr>
                        <w:t>(2)</w:t>
                      </w:r>
                      <w:r w:rsidRPr="00913F95">
                        <w:rPr>
                          <w:rFonts w:ascii="Century Gothic" w:hAnsi="Century Gothic"/>
                          <w:sz w:val="20"/>
                          <w:szCs w:val="20"/>
                          <w:u w:val="none"/>
                        </w:rPr>
                        <w:tab/>
                      </w:r>
                      <w:r w:rsidR="002F4398" w:rsidRPr="00913F95">
                        <w:rPr>
                          <w:rFonts w:ascii="Century Gothic" w:hAnsi="Century Gothic"/>
                          <w:sz w:val="20"/>
                          <w:szCs w:val="20"/>
                        </w:rPr>
                        <w:t xml:space="preserve">OF INTEREST TO OTHER JUDGES: </w:t>
                      </w:r>
                      <w:r w:rsidR="002F4398">
                        <w:rPr>
                          <w:rFonts w:ascii="Century Gothic" w:hAnsi="Century Gothic"/>
                          <w:sz w:val="20"/>
                          <w:szCs w:val="20"/>
                        </w:rPr>
                        <w:t>YES/</w:t>
                      </w:r>
                      <w:r w:rsidR="002F4398" w:rsidRPr="00913F95">
                        <w:rPr>
                          <w:rFonts w:ascii="Century Gothic" w:hAnsi="Century Gothic"/>
                          <w:sz w:val="20"/>
                          <w:szCs w:val="20"/>
                        </w:rPr>
                        <w:t>NO</w:t>
                      </w:r>
                    </w:p>
                    <w:p w14:paraId="5E0A5F9E" w14:textId="1B6A711F" w:rsidR="002F4398" w:rsidRPr="00913F95" w:rsidRDefault="00EB1A2D" w:rsidP="00EB1A2D">
                      <w:pPr>
                        <w:tabs>
                          <w:tab w:val="left" w:pos="900"/>
                        </w:tabs>
                        <w:ind w:left="900" w:hanging="720"/>
                        <w:rPr>
                          <w:rFonts w:ascii="Century Gothic" w:hAnsi="Century Gothic"/>
                          <w:sz w:val="20"/>
                          <w:szCs w:val="20"/>
                        </w:rPr>
                      </w:pPr>
                      <w:r w:rsidRPr="00913F95">
                        <w:rPr>
                          <w:rFonts w:ascii="Century Gothic" w:hAnsi="Century Gothic"/>
                          <w:sz w:val="20"/>
                          <w:szCs w:val="20"/>
                          <w:u w:val="none"/>
                        </w:rPr>
                        <w:t>(3)</w:t>
                      </w:r>
                      <w:r w:rsidRPr="00913F95">
                        <w:rPr>
                          <w:rFonts w:ascii="Century Gothic" w:hAnsi="Century Gothic"/>
                          <w:sz w:val="20"/>
                          <w:szCs w:val="20"/>
                          <w:u w:val="none"/>
                        </w:rPr>
                        <w:tab/>
                      </w:r>
                      <w:r w:rsidR="002F4398" w:rsidRPr="00913F95">
                        <w:rPr>
                          <w:rFonts w:ascii="Century Gothic" w:hAnsi="Century Gothic"/>
                          <w:sz w:val="20"/>
                          <w:szCs w:val="20"/>
                        </w:rPr>
                        <w:t>REVISED</w:t>
                      </w:r>
                      <w:r w:rsidR="00F24DD0">
                        <w:rPr>
                          <w:rFonts w:ascii="Century Gothic" w:hAnsi="Century Gothic"/>
                          <w:sz w:val="20"/>
                          <w:szCs w:val="20"/>
                        </w:rPr>
                        <w:t xml:space="preserve">.  </w:t>
                      </w:r>
                    </w:p>
                    <w:p w14:paraId="4F032583" w14:textId="77777777" w:rsidR="002F4398" w:rsidRDefault="002F4398" w:rsidP="002F4398">
                      <w:pPr>
                        <w:rPr>
                          <w:rFonts w:ascii="Century Gothic" w:hAnsi="Century Gothic"/>
                          <w:b/>
                          <w:sz w:val="18"/>
                          <w:szCs w:val="18"/>
                        </w:rPr>
                      </w:pPr>
                    </w:p>
                    <w:p w14:paraId="46C2E8C2" w14:textId="6C94BFEA" w:rsidR="002F4398" w:rsidRPr="00084341" w:rsidRDefault="00F24DD0" w:rsidP="002F4398">
                      <w:pPr>
                        <w:rPr>
                          <w:rFonts w:ascii="Century Gothic" w:hAnsi="Century Gothic"/>
                          <w:b/>
                          <w:sz w:val="18"/>
                          <w:szCs w:val="18"/>
                          <w:u w:val="none"/>
                        </w:rPr>
                      </w:pPr>
                      <w:r>
                        <w:rPr>
                          <w:rFonts w:ascii="Century Gothic" w:hAnsi="Century Gothic"/>
                          <w:b/>
                          <w:sz w:val="18"/>
                          <w:szCs w:val="18"/>
                          <w:u w:val="none"/>
                        </w:rPr>
                        <w:t xml:space="preserve">  </w:t>
                      </w:r>
                      <w:r w:rsidR="002F4398" w:rsidRPr="00084341">
                        <w:rPr>
                          <w:rFonts w:ascii="Century Gothic" w:hAnsi="Century Gothic"/>
                          <w:b/>
                          <w:sz w:val="18"/>
                          <w:szCs w:val="18"/>
                          <w:u w:val="none"/>
                        </w:rPr>
                        <w:t xml:space="preserve"> ……………………..</w:t>
                      </w:r>
                      <w:r w:rsidR="002F4398" w:rsidRPr="00084341">
                        <w:rPr>
                          <w:rFonts w:ascii="Century Gothic" w:hAnsi="Century Gothic"/>
                          <w:b/>
                          <w:sz w:val="18"/>
                          <w:szCs w:val="18"/>
                          <w:u w:val="none"/>
                        </w:rPr>
                        <w:tab/>
                      </w:r>
                      <w:r w:rsidR="002F4398" w:rsidRPr="00084341">
                        <w:rPr>
                          <w:rFonts w:ascii="Century Gothic" w:hAnsi="Century Gothic"/>
                          <w:b/>
                          <w:sz w:val="18"/>
                          <w:szCs w:val="18"/>
                          <w:u w:val="none"/>
                        </w:rPr>
                        <w:tab/>
                        <w:t>………………………...</w:t>
                      </w:r>
                    </w:p>
                    <w:p w14:paraId="3E682FF8" w14:textId="1640DAB4" w:rsidR="002F4398" w:rsidRPr="00084341" w:rsidRDefault="00F24DD0" w:rsidP="002F4398">
                      <w:pPr>
                        <w:rPr>
                          <w:rFonts w:ascii="Century Gothic" w:hAnsi="Century Gothic"/>
                          <w:sz w:val="18"/>
                          <w:szCs w:val="18"/>
                          <w:u w:val="none"/>
                        </w:rPr>
                      </w:pPr>
                      <w:r>
                        <w:rPr>
                          <w:rFonts w:ascii="Century Gothic" w:hAnsi="Century Gothic"/>
                          <w:sz w:val="18"/>
                          <w:szCs w:val="18"/>
                          <w:u w:val="none"/>
                        </w:rPr>
                        <w:t xml:space="preserve">     </w:t>
                      </w:r>
                      <w:r w:rsidR="002F4398" w:rsidRPr="00084341">
                        <w:rPr>
                          <w:rFonts w:ascii="Century Gothic" w:hAnsi="Century Gothic"/>
                          <w:sz w:val="18"/>
                          <w:szCs w:val="18"/>
                          <w:u w:val="none"/>
                        </w:rPr>
                        <w:t>DATE</w:t>
                      </w:r>
                      <w:r w:rsidR="002F4398" w:rsidRPr="00084341">
                        <w:rPr>
                          <w:rFonts w:ascii="Century Gothic" w:hAnsi="Century Gothic"/>
                          <w:sz w:val="18"/>
                          <w:szCs w:val="18"/>
                          <w:u w:val="none"/>
                        </w:rPr>
                        <w:tab/>
                      </w:r>
                      <w:r w:rsidR="002F4398" w:rsidRPr="00084341">
                        <w:rPr>
                          <w:rFonts w:ascii="Century Gothic" w:hAnsi="Century Gothic"/>
                          <w:sz w:val="18"/>
                          <w:szCs w:val="18"/>
                          <w:u w:val="none"/>
                        </w:rPr>
                        <w:tab/>
                      </w:r>
                      <w:proofErr w:type="gramStart"/>
                      <w:r w:rsidR="002F4398" w:rsidRPr="00084341">
                        <w:rPr>
                          <w:rFonts w:ascii="Century Gothic" w:hAnsi="Century Gothic"/>
                          <w:sz w:val="18"/>
                          <w:szCs w:val="18"/>
                          <w:u w:val="none"/>
                        </w:rPr>
                        <w:tab/>
                      </w:r>
                      <w:r>
                        <w:rPr>
                          <w:rFonts w:ascii="Century Gothic" w:hAnsi="Century Gothic"/>
                          <w:sz w:val="18"/>
                          <w:szCs w:val="18"/>
                          <w:u w:val="none"/>
                        </w:rPr>
                        <w:t xml:space="preserve">  </w:t>
                      </w:r>
                      <w:r w:rsidR="002F4398" w:rsidRPr="00084341">
                        <w:rPr>
                          <w:rFonts w:ascii="Century Gothic" w:hAnsi="Century Gothic"/>
                          <w:sz w:val="18"/>
                          <w:szCs w:val="18"/>
                          <w:u w:val="none"/>
                        </w:rPr>
                        <w:t>SIGNATURE</w:t>
                      </w:r>
                      <w:proofErr w:type="gramEnd"/>
                    </w:p>
                  </w:txbxContent>
                </v:textbox>
              </v:shape>
            </w:pict>
          </mc:Fallback>
        </mc:AlternateContent>
      </w:r>
    </w:p>
    <w:p w14:paraId="3E052099" w14:textId="77777777" w:rsidR="002F4398" w:rsidRPr="00787209" w:rsidRDefault="002F4398" w:rsidP="002F4398">
      <w:pPr>
        <w:jc w:val="both"/>
      </w:pPr>
    </w:p>
    <w:p w14:paraId="65C06FD0" w14:textId="77777777" w:rsidR="002F4398" w:rsidRPr="00787209" w:rsidRDefault="002F4398" w:rsidP="002F4398">
      <w:pPr>
        <w:jc w:val="both"/>
      </w:pPr>
    </w:p>
    <w:p w14:paraId="228E5D6D" w14:textId="77777777" w:rsidR="002F4398" w:rsidRPr="00787209" w:rsidRDefault="002F4398" w:rsidP="002F4398">
      <w:pPr>
        <w:jc w:val="both"/>
      </w:pPr>
    </w:p>
    <w:p w14:paraId="4AA2D06D" w14:textId="77777777" w:rsidR="002F4398" w:rsidRPr="00787209" w:rsidRDefault="002F4398" w:rsidP="002F4398">
      <w:pPr>
        <w:jc w:val="both"/>
      </w:pPr>
    </w:p>
    <w:p w14:paraId="6322B76B" w14:textId="77777777" w:rsidR="002F4398" w:rsidRPr="00787209" w:rsidRDefault="002F4398" w:rsidP="002F4398">
      <w:pPr>
        <w:jc w:val="both"/>
      </w:pPr>
    </w:p>
    <w:p w14:paraId="45E36B32" w14:textId="77777777" w:rsidR="002F4398" w:rsidRPr="00787209" w:rsidRDefault="002F4398" w:rsidP="002F4398">
      <w:pPr>
        <w:jc w:val="both"/>
      </w:pPr>
    </w:p>
    <w:p w14:paraId="40944983" w14:textId="77777777" w:rsidR="002F4398" w:rsidRPr="00787209" w:rsidRDefault="002F4398" w:rsidP="002F4398">
      <w:pPr>
        <w:jc w:val="both"/>
      </w:pPr>
    </w:p>
    <w:p w14:paraId="13D4F318" w14:textId="77777777" w:rsidR="002F4398" w:rsidRPr="00787209" w:rsidRDefault="002F4398" w:rsidP="002F4398">
      <w:pPr>
        <w:jc w:val="both"/>
      </w:pPr>
    </w:p>
    <w:p w14:paraId="6B7EA4A7" w14:textId="77777777" w:rsidR="002F4398" w:rsidRPr="00787209" w:rsidRDefault="002F4398" w:rsidP="002F4398"/>
    <w:p w14:paraId="747F78B3" w14:textId="77777777" w:rsidR="002F4398" w:rsidRPr="00787209" w:rsidRDefault="002F4398" w:rsidP="00CE4C3F">
      <w:pPr>
        <w:spacing w:line="480" w:lineRule="auto"/>
        <w:rPr>
          <w:u w:val="none"/>
          <w:lang w:val="en-ZA"/>
        </w:rPr>
      </w:pPr>
      <w:r w:rsidRPr="00787209">
        <w:rPr>
          <w:u w:val="none"/>
          <w:lang w:val="en-ZA"/>
        </w:rPr>
        <w:t>In the matter between:</w:t>
      </w:r>
    </w:p>
    <w:p w14:paraId="594669BB" w14:textId="77777777" w:rsidR="002F4398" w:rsidRPr="00787209" w:rsidRDefault="002F4398" w:rsidP="00CE4C3F">
      <w:pPr>
        <w:spacing w:line="480" w:lineRule="auto"/>
        <w:rPr>
          <w:u w:val="none"/>
          <w:lang w:val="en-ZA"/>
        </w:rPr>
      </w:pPr>
    </w:p>
    <w:p w14:paraId="7D530AC3" w14:textId="01927CFF" w:rsidR="002F4398" w:rsidRPr="00787209" w:rsidRDefault="00C83025" w:rsidP="0012632C">
      <w:pPr>
        <w:tabs>
          <w:tab w:val="right" w:pos="8222"/>
        </w:tabs>
        <w:spacing w:line="360" w:lineRule="auto"/>
        <w:rPr>
          <w:u w:val="none"/>
          <w:lang w:val="en-ZA"/>
        </w:rPr>
      </w:pPr>
      <w:r>
        <w:rPr>
          <w:b/>
          <w:u w:val="none"/>
          <w:lang w:val="en-ZA"/>
        </w:rPr>
        <w:t>NDODOMZI DAVID</w:t>
      </w:r>
      <w:r w:rsidR="00E469F4">
        <w:rPr>
          <w:b/>
          <w:u w:val="none"/>
          <w:lang w:val="en-ZA"/>
        </w:rPr>
        <w:t xml:space="preserve"> NGANDELA </w:t>
      </w:r>
      <w:r w:rsidR="00A74F99" w:rsidRPr="00787209">
        <w:rPr>
          <w:b/>
          <w:u w:val="none"/>
          <w:lang w:val="en-ZA"/>
        </w:rPr>
        <w:tab/>
      </w:r>
      <w:r w:rsidR="009D202E" w:rsidRPr="00787209">
        <w:rPr>
          <w:u w:val="none"/>
          <w:lang w:val="en-ZA"/>
        </w:rPr>
        <w:t>Applicant</w:t>
      </w:r>
    </w:p>
    <w:p w14:paraId="75D0E741" w14:textId="77777777" w:rsidR="001F27D6" w:rsidRPr="00787209" w:rsidRDefault="001F27D6" w:rsidP="0012632C">
      <w:pPr>
        <w:tabs>
          <w:tab w:val="right" w:pos="8222"/>
        </w:tabs>
        <w:spacing w:line="360" w:lineRule="auto"/>
        <w:rPr>
          <w:u w:val="none"/>
          <w:lang w:val="en-ZA"/>
        </w:rPr>
      </w:pPr>
    </w:p>
    <w:p w14:paraId="6A4491BC" w14:textId="77777777" w:rsidR="00A74F99" w:rsidRPr="00787209" w:rsidRDefault="00A74F99" w:rsidP="0012632C">
      <w:pPr>
        <w:tabs>
          <w:tab w:val="right" w:pos="8222"/>
        </w:tabs>
        <w:spacing w:line="360" w:lineRule="auto"/>
        <w:rPr>
          <w:u w:val="none"/>
          <w:lang w:val="en-ZA"/>
        </w:rPr>
      </w:pPr>
      <w:r w:rsidRPr="00787209">
        <w:rPr>
          <w:u w:val="none"/>
          <w:lang w:val="en-ZA"/>
        </w:rPr>
        <w:t>and</w:t>
      </w:r>
    </w:p>
    <w:p w14:paraId="6397D381" w14:textId="77777777" w:rsidR="00A74F99" w:rsidRPr="00787209" w:rsidRDefault="00A74F99" w:rsidP="0012632C">
      <w:pPr>
        <w:tabs>
          <w:tab w:val="right" w:pos="8222"/>
        </w:tabs>
        <w:spacing w:line="360" w:lineRule="auto"/>
        <w:rPr>
          <w:u w:val="none"/>
          <w:lang w:val="en-ZA"/>
        </w:rPr>
      </w:pPr>
    </w:p>
    <w:p w14:paraId="5299DF84" w14:textId="2652C116" w:rsidR="00A74F99" w:rsidRDefault="00143085" w:rsidP="0012632C">
      <w:pPr>
        <w:tabs>
          <w:tab w:val="right" w:pos="8222"/>
        </w:tabs>
        <w:spacing w:line="360" w:lineRule="auto"/>
        <w:rPr>
          <w:u w:val="none"/>
          <w:lang w:val="en-ZA"/>
        </w:rPr>
      </w:pPr>
      <w:r>
        <w:rPr>
          <w:b/>
          <w:u w:val="none"/>
          <w:lang w:val="en-ZA"/>
        </w:rPr>
        <w:t>ABSA BANK LIMITED</w:t>
      </w:r>
      <w:r w:rsidR="00A74F99" w:rsidRPr="00787209">
        <w:rPr>
          <w:b/>
          <w:u w:val="none"/>
          <w:lang w:val="en-ZA"/>
        </w:rPr>
        <w:tab/>
      </w:r>
      <w:r w:rsidR="00C83025" w:rsidRPr="00F24DD0">
        <w:rPr>
          <w:u w:val="none"/>
          <w:lang w:val="en-ZA"/>
        </w:rPr>
        <w:t>1</w:t>
      </w:r>
      <w:r w:rsidR="00C83025" w:rsidRPr="00F24DD0">
        <w:rPr>
          <w:u w:val="none"/>
          <w:vertAlign w:val="superscript"/>
          <w:lang w:val="en-ZA"/>
        </w:rPr>
        <w:t>st</w:t>
      </w:r>
      <w:r w:rsidR="00C83025">
        <w:rPr>
          <w:b/>
          <w:u w:val="none"/>
          <w:lang w:val="en-ZA"/>
        </w:rPr>
        <w:t xml:space="preserve"> </w:t>
      </w:r>
      <w:r w:rsidR="004A0354">
        <w:rPr>
          <w:u w:val="none"/>
          <w:lang w:val="en-ZA"/>
        </w:rPr>
        <w:t>Respondent</w:t>
      </w:r>
    </w:p>
    <w:p w14:paraId="3A9C04D2" w14:textId="0E71BBA4" w:rsidR="00C83025" w:rsidRDefault="00C83025" w:rsidP="0012632C">
      <w:pPr>
        <w:tabs>
          <w:tab w:val="right" w:pos="8222"/>
        </w:tabs>
        <w:spacing w:line="360" w:lineRule="auto"/>
        <w:rPr>
          <w:u w:val="none"/>
          <w:lang w:val="en-ZA"/>
        </w:rPr>
      </w:pPr>
    </w:p>
    <w:p w14:paraId="3C3843C4" w14:textId="2A616ABD" w:rsidR="00C83025" w:rsidRPr="00787209" w:rsidRDefault="00C83025" w:rsidP="0012632C">
      <w:pPr>
        <w:tabs>
          <w:tab w:val="right" w:pos="8222"/>
        </w:tabs>
        <w:spacing w:line="360" w:lineRule="auto"/>
        <w:rPr>
          <w:u w:val="none"/>
          <w:lang w:val="en-ZA"/>
        </w:rPr>
      </w:pPr>
      <w:r w:rsidRPr="00A140D4">
        <w:rPr>
          <w:b/>
          <w:bCs/>
          <w:u w:val="none"/>
          <w:lang w:val="en-ZA"/>
        </w:rPr>
        <w:t>SHERIFF OF THE</w:t>
      </w:r>
      <w:r w:rsidR="00A140D4">
        <w:rPr>
          <w:b/>
          <w:bCs/>
          <w:u w:val="none"/>
          <w:lang w:val="en-ZA"/>
        </w:rPr>
        <w:t xml:space="preserve"> </w:t>
      </w:r>
      <w:r w:rsidRPr="00A140D4">
        <w:rPr>
          <w:b/>
          <w:bCs/>
          <w:u w:val="none"/>
          <w:lang w:val="en-ZA"/>
        </w:rPr>
        <w:t>HIGH COURT</w:t>
      </w:r>
      <w:r>
        <w:rPr>
          <w:u w:val="none"/>
          <w:lang w:val="en-ZA"/>
        </w:rPr>
        <w:t xml:space="preserve"> </w:t>
      </w:r>
      <w:r w:rsidR="00A140D4">
        <w:rPr>
          <w:u w:val="none"/>
          <w:lang w:val="en-ZA"/>
        </w:rPr>
        <w:tab/>
        <w:t>2</w:t>
      </w:r>
      <w:r w:rsidR="00A140D4" w:rsidRPr="00A140D4">
        <w:rPr>
          <w:u w:val="none"/>
          <w:vertAlign w:val="superscript"/>
          <w:lang w:val="en-ZA"/>
        </w:rPr>
        <w:t>nd</w:t>
      </w:r>
      <w:r w:rsidR="00A140D4">
        <w:rPr>
          <w:u w:val="none"/>
          <w:lang w:val="en-ZA"/>
        </w:rPr>
        <w:t xml:space="preserve"> Respondent</w:t>
      </w:r>
    </w:p>
    <w:p w14:paraId="7420BB1E" w14:textId="77777777" w:rsidR="0012632C" w:rsidRPr="00787209" w:rsidRDefault="0012632C" w:rsidP="0012632C">
      <w:pPr>
        <w:tabs>
          <w:tab w:val="right" w:pos="8222"/>
        </w:tabs>
        <w:spacing w:line="360" w:lineRule="auto"/>
        <w:rPr>
          <w:u w:val="none"/>
          <w:lang w:val="en-ZA"/>
        </w:rPr>
      </w:pPr>
    </w:p>
    <w:p w14:paraId="26B76AE1" w14:textId="77777777" w:rsidR="002F4398" w:rsidRPr="00787209" w:rsidRDefault="002F4398" w:rsidP="002F4398">
      <w:pPr>
        <w:tabs>
          <w:tab w:val="right" w:pos="8280"/>
        </w:tabs>
        <w:jc w:val="both"/>
        <w:rPr>
          <w:u w:val="none"/>
          <w:lang w:val="en-ZA"/>
        </w:rPr>
      </w:pPr>
      <w:r w:rsidRPr="00787209">
        <w:rPr>
          <w:u w:val="none"/>
          <w:lang w:val="en-ZA"/>
        </w:rPr>
        <w:t xml:space="preserve">______________________________________________________________ </w:t>
      </w:r>
    </w:p>
    <w:p w14:paraId="658C12AD" w14:textId="77777777" w:rsidR="002F4398" w:rsidRPr="00787209" w:rsidRDefault="002F4398" w:rsidP="002F4398">
      <w:pPr>
        <w:tabs>
          <w:tab w:val="right" w:pos="8280"/>
        </w:tabs>
        <w:jc w:val="both"/>
        <w:rPr>
          <w:u w:val="none"/>
          <w:lang w:val="en-ZA"/>
        </w:rPr>
      </w:pPr>
    </w:p>
    <w:p w14:paraId="49B567FD" w14:textId="77777777" w:rsidR="002F4398" w:rsidRPr="00787209" w:rsidRDefault="002F4398" w:rsidP="002F4398">
      <w:pPr>
        <w:tabs>
          <w:tab w:val="right" w:pos="8280"/>
        </w:tabs>
        <w:jc w:val="center"/>
        <w:rPr>
          <w:u w:val="none"/>
          <w:lang w:val="en-ZA"/>
        </w:rPr>
      </w:pPr>
      <w:r w:rsidRPr="00787209">
        <w:rPr>
          <w:b/>
          <w:u w:val="none"/>
          <w:lang w:val="en-ZA"/>
        </w:rPr>
        <w:t>J U D G M E N T</w:t>
      </w:r>
    </w:p>
    <w:p w14:paraId="4F633963" w14:textId="77777777" w:rsidR="002F4398" w:rsidRPr="00787209" w:rsidRDefault="002F4398" w:rsidP="002F4398">
      <w:pPr>
        <w:tabs>
          <w:tab w:val="right" w:pos="8280"/>
        </w:tabs>
        <w:rPr>
          <w:u w:val="none"/>
          <w:lang w:val="en-ZA"/>
        </w:rPr>
      </w:pPr>
      <w:r w:rsidRPr="00787209">
        <w:rPr>
          <w:u w:val="none"/>
          <w:lang w:val="en-ZA"/>
        </w:rPr>
        <w:t xml:space="preserve">______________________________________________________________ </w:t>
      </w:r>
    </w:p>
    <w:p w14:paraId="2C9D7B0F" w14:textId="36FAC2D8" w:rsidR="00DA564D" w:rsidRDefault="009D202E" w:rsidP="00D67B23">
      <w:pPr>
        <w:tabs>
          <w:tab w:val="right" w:pos="8280"/>
        </w:tabs>
        <w:spacing w:before="480" w:line="480" w:lineRule="auto"/>
        <w:rPr>
          <w:b/>
          <w:lang w:val="en-ZA"/>
        </w:rPr>
      </w:pPr>
      <w:r w:rsidRPr="00787209">
        <w:rPr>
          <w:b/>
          <w:lang w:val="en-ZA"/>
        </w:rPr>
        <w:t>DREYER</w:t>
      </w:r>
      <w:r w:rsidR="00D67B23" w:rsidRPr="00787209">
        <w:rPr>
          <w:b/>
          <w:lang w:val="en-ZA"/>
        </w:rPr>
        <w:t xml:space="preserve"> AJ</w:t>
      </w:r>
    </w:p>
    <w:p w14:paraId="4D11A738" w14:textId="58E62758" w:rsidR="00EE62A5" w:rsidRPr="00EE62A5" w:rsidRDefault="00EE62A5" w:rsidP="00D67B23">
      <w:pPr>
        <w:tabs>
          <w:tab w:val="right" w:pos="8280"/>
        </w:tabs>
        <w:spacing w:before="480" w:line="480" w:lineRule="auto"/>
        <w:rPr>
          <w:b/>
          <w:u w:val="none"/>
          <w:lang w:val="en-ZA"/>
        </w:rPr>
      </w:pPr>
      <w:r w:rsidRPr="00EE62A5">
        <w:rPr>
          <w:b/>
          <w:u w:val="none"/>
          <w:lang w:val="en-ZA"/>
        </w:rPr>
        <w:t>Introduction</w:t>
      </w:r>
    </w:p>
    <w:p w14:paraId="3D94591C" w14:textId="0E35DE1B" w:rsidR="00AC61E2" w:rsidRPr="00EB1A2D" w:rsidRDefault="00EB1A2D" w:rsidP="00EB1A2D">
      <w:pPr>
        <w:tabs>
          <w:tab w:val="left" w:pos="851"/>
          <w:tab w:val="right" w:pos="8280"/>
        </w:tabs>
        <w:spacing w:before="480" w:line="480" w:lineRule="auto"/>
        <w:ind w:left="851" w:hanging="851"/>
        <w:jc w:val="both"/>
        <w:rPr>
          <w:u w:val="none"/>
          <w:lang w:val="en-ZA"/>
        </w:rPr>
      </w:pPr>
      <w:r>
        <w:rPr>
          <w:u w:val="none"/>
          <w:lang w:val="en-ZA"/>
        </w:rPr>
        <w:t>[1]</w:t>
      </w:r>
      <w:r>
        <w:rPr>
          <w:u w:val="none"/>
          <w:lang w:val="en-ZA"/>
        </w:rPr>
        <w:tab/>
      </w:r>
      <w:r w:rsidR="00AC61E2" w:rsidRPr="00EB1A2D">
        <w:rPr>
          <w:u w:val="none"/>
          <w:lang w:val="en-ZA"/>
        </w:rPr>
        <w:t>In 2019, the applicant secured finance from the respondent</w:t>
      </w:r>
      <w:r w:rsidR="005760CB" w:rsidRPr="00EB1A2D">
        <w:rPr>
          <w:u w:val="none"/>
          <w:lang w:val="en-ZA"/>
        </w:rPr>
        <w:t xml:space="preserve">, ABSA Bank Limited </w:t>
      </w:r>
      <w:r w:rsidR="00AC61E2" w:rsidRPr="00EB1A2D">
        <w:rPr>
          <w:u w:val="none"/>
          <w:lang w:val="en-ZA"/>
        </w:rPr>
        <w:t>(“Absa</w:t>
      </w:r>
      <w:r w:rsidR="005760CB" w:rsidRPr="00EB1A2D">
        <w:rPr>
          <w:u w:val="none"/>
          <w:lang w:val="en-ZA"/>
        </w:rPr>
        <w:t xml:space="preserve"> Bank</w:t>
      </w:r>
      <w:r w:rsidR="00AC61E2" w:rsidRPr="00EB1A2D">
        <w:rPr>
          <w:u w:val="none"/>
          <w:lang w:val="en-ZA"/>
        </w:rPr>
        <w:t xml:space="preserve">”) for the finance of a 2018 Volkswagen Golf V11 GTI 2.1 SI, with engine number </w:t>
      </w:r>
      <w:r w:rsidR="00E33BD9">
        <w:rPr>
          <w:u w:val="none"/>
          <w:lang w:val="en-ZA"/>
        </w:rPr>
        <w:t>[…]</w:t>
      </w:r>
      <w:r w:rsidR="00AC61E2" w:rsidRPr="00EB1A2D">
        <w:rPr>
          <w:u w:val="none"/>
          <w:lang w:val="en-ZA"/>
        </w:rPr>
        <w:t xml:space="preserve"> and chassis number </w:t>
      </w:r>
      <w:r w:rsidR="00E33BD9">
        <w:rPr>
          <w:u w:val="none"/>
          <w:lang w:val="en-ZA"/>
        </w:rPr>
        <w:t>[…]</w:t>
      </w:r>
      <w:r w:rsidR="00AC61E2" w:rsidRPr="00EB1A2D">
        <w:rPr>
          <w:u w:val="none"/>
          <w:lang w:val="en-ZA"/>
        </w:rPr>
        <w:t xml:space="preserve"> (“the motor vehicle”). The finance for the purchase of the motor vehicle was regulated by an instalment sale agreement.</w:t>
      </w:r>
      <w:r w:rsidR="006C52FE" w:rsidRPr="00EB1A2D">
        <w:rPr>
          <w:u w:val="none"/>
          <w:lang w:val="en-ZA"/>
        </w:rPr>
        <w:t xml:space="preserve">  The applicant </w:t>
      </w:r>
      <w:r w:rsidR="006F6701" w:rsidRPr="00EB1A2D">
        <w:rPr>
          <w:u w:val="none"/>
          <w:lang w:val="en-ZA"/>
        </w:rPr>
        <w:t xml:space="preserve">failed to </w:t>
      </w:r>
      <w:r w:rsidR="006F6701" w:rsidRPr="00EB1A2D">
        <w:rPr>
          <w:u w:val="none"/>
          <w:lang w:val="en-ZA"/>
        </w:rPr>
        <w:lastRenderedPageBreak/>
        <w:t xml:space="preserve">make certain monthly instalment payments. </w:t>
      </w:r>
      <w:r w:rsidR="005760CB" w:rsidRPr="00EB1A2D">
        <w:rPr>
          <w:u w:val="none"/>
          <w:lang w:val="en-ZA"/>
        </w:rPr>
        <w:t xml:space="preserve"> After issuing summons against the applicant, o</w:t>
      </w:r>
      <w:r w:rsidR="006F6701" w:rsidRPr="00EB1A2D">
        <w:rPr>
          <w:u w:val="none"/>
          <w:lang w:val="en-ZA"/>
        </w:rPr>
        <w:t xml:space="preserve">n 25 March 2022, the registrar of this court </w:t>
      </w:r>
      <w:r w:rsidR="005760CB" w:rsidRPr="00EB1A2D">
        <w:rPr>
          <w:u w:val="none"/>
          <w:lang w:val="en-ZA"/>
        </w:rPr>
        <w:t>(</w:t>
      </w:r>
      <w:r w:rsidR="006F6701" w:rsidRPr="00EB1A2D">
        <w:rPr>
          <w:u w:val="none"/>
          <w:lang w:val="en-ZA"/>
        </w:rPr>
        <w:t xml:space="preserve">“the Registrar”), </w:t>
      </w:r>
      <w:r w:rsidR="005B5950" w:rsidRPr="00EB1A2D">
        <w:rPr>
          <w:u w:val="none"/>
          <w:lang w:val="en-ZA"/>
        </w:rPr>
        <w:t xml:space="preserve">granted Absa Bank </w:t>
      </w:r>
      <w:r w:rsidR="005B6C17" w:rsidRPr="00EB1A2D">
        <w:rPr>
          <w:u w:val="none"/>
          <w:lang w:val="en-ZA"/>
        </w:rPr>
        <w:t>default judgement</w:t>
      </w:r>
      <w:r w:rsidR="0025718E" w:rsidRPr="00EB1A2D">
        <w:rPr>
          <w:u w:val="none"/>
          <w:lang w:val="en-ZA"/>
        </w:rPr>
        <w:t xml:space="preserve"> which included </w:t>
      </w:r>
      <w:r w:rsidR="0025718E" w:rsidRPr="00EB1A2D">
        <w:rPr>
          <w:i/>
          <w:iCs/>
          <w:u w:val="none"/>
          <w:lang w:val="en-ZA"/>
        </w:rPr>
        <w:t>inter alia</w:t>
      </w:r>
      <w:r w:rsidR="0025718E" w:rsidRPr="00EB1A2D">
        <w:rPr>
          <w:u w:val="none"/>
          <w:lang w:val="en-ZA"/>
        </w:rPr>
        <w:t xml:space="preserve"> the confirmation of the cancellation of the</w:t>
      </w:r>
      <w:r w:rsidR="00DD64C5" w:rsidRPr="00EB1A2D">
        <w:rPr>
          <w:u w:val="none"/>
          <w:lang w:val="en-ZA"/>
        </w:rPr>
        <w:t xml:space="preserve"> </w:t>
      </w:r>
      <w:r w:rsidR="00552F0D" w:rsidRPr="00EB1A2D">
        <w:rPr>
          <w:u w:val="none"/>
          <w:lang w:val="en-ZA"/>
        </w:rPr>
        <w:t>instalment sale agreement and that</w:t>
      </w:r>
      <w:r w:rsidR="00DD64C5" w:rsidRPr="00EB1A2D">
        <w:rPr>
          <w:u w:val="none"/>
          <w:lang w:val="en-ZA"/>
        </w:rPr>
        <w:t xml:space="preserve"> the applicant</w:t>
      </w:r>
      <w:r w:rsidR="00552F0D" w:rsidRPr="00EB1A2D">
        <w:rPr>
          <w:u w:val="none"/>
          <w:lang w:val="en-ZA"/>
        </w:rPr>
        <w:t xml:space="preserve"> deliver the motor vehicle to Absa Bank</w:t>
      </w:r>
      <w:r w:rsidR="0039061E" w:rsidRPr="00EB1A2D">
        <w:rPr>
          <w:u w:val="none"/>
          <w:lang w:val="en-ZA"/>
        </w:rPr>
        <w:t>.</w:t>
      </w:r>
    </w:p>
    <w:p w14:paraId="37348A0F" w14:textId="7C8F7338" w:rsidR="007A25E1" w:rsidRPr="00EB1A2D" w:rsidRDefault="00EB1A2D" w:rsidP="00EB1A2D">
      <w:pPr>
        <w:tabs>
          <w:tab w:val="left" w:pos="851"/>
          <w:tab w:val="right" w:pos="8280"/>
        </w:tabs>
        <w:spacing w:before="480" w:line="480" w:lineRule="auto"/>
        <w:ind w:left="851" w:hanging="851"/>
        <w:jc w:val="both"/>
        <w:rPr>
          <w:u w:val="none"/>
          <w:lang w:val="en-ZA"/>
        </w:rPr>
      </w:pPr>
      <w:r>
        <w:rPr>
          <w:u w:val="none"/>
          <w:lang w:val="en-ZA"/>
        </w:rPr>
        <w:t>[2]</w:t>
      </w:r>
      <w:r>
        <w:rPr>
          <w:u w:val="none"/>
          <w:lang w:val="en-ZA"/>
        </w:rPr>
        <w:tab/>
      </w:r>
      <w:r w:rsidR="00372B40" w:rsidRPr="00EB1A2D">
        <w:rPr>
          <w:u w:val="none"/>
          <w:lang w:val="en-ZA"/>
        </w:rPr>
        <w:t xml:space="preserve">This </w:t>
      </w:r>
      <w:r w:rsidR="0039061E" w:rsidRPr="00EB1A2D">
        <w:rPr>
          <w:u w:val="none"/>
          <w:lang w:val="en-ZA"/>
        </w:rPr>
        <w:t xml:space="preserve">judgement concerns the validity the default </w:t>
      </w:r>
      <w:r w:rsidR="0074131C" w:rsidRPr="00EB1A2D">
        <w:rPr>
          <w:u w:val="none"/>
          <w:lang w:val="en-ZA"/>
        </w:rPr>
        <w:t>judgement granted by the Registrar.</w:t>
      </w:r>
    </w:p>
    <w:p w14:paraId="0CEA1196" w14:textId="20B2BDF1" w:rsidR="00ED62D5" w:rsidRPr="00EB1A2D" w:rsidRDefault="00EB1A2D" w:rsidP="00EB1A2D">
      <w:pPr>
        <w:tabs>
          <w:tab w:val="left" w:pos="851"/>
          <w:tab w:val="right" w:pos="8280"/>
        </w:tabs>
        <w:spacing w:before="480" w:line="480" w:lineRule="auto"/>
        <w:ind w:left="851" w:hanging="851"/>
        <w:jc w:val="both"/>
        <w:rPr>
          <w:u w:val="none"/>
          <w:lang w:val="en-ZA"/>
        </w:rPr>
      </w:pPr>
      <w:r w:rsidRPr="00ED62D5">
        <w:rPr>
          <w:u w:val="none"/>
          <w:lang w:val="en-ZA"/>
        </w:rPr>
        <w:t>[3]</w:t>
      </w:r>
      <w:r w:rsidRPr="00ED62D5">
        <w:rPr>
          <w:u w:val="none"/>
          <w:lang w:val="en-ZA"/>
        </w:rPr>
        <w:tab/>
      </w:r>
      <w:proofErr w:type="gramStart"/>
      <w:r w:rsidR="002B14F5" w:rsidRPr="00EB1A2D">
        <w:rPr>
          <w:u w:val="none"/>
          <w:lang w:val="en-ZA"/>
        </w:rPr>
        <w:t>A number of</w:t>
      </w:r>
      <w:proofErr w:type="gramEnd"/>
      <w:r w:rsidR="002B14F5" w:rsidRPr="00EB1A2D">
        <w:rPr>
          <w:u w:val="none"/>
          <w:lang w:val="en-ZA"/>
        </w:rPr>
        <w:t xml:space="preserve"> recent decisions have considered the power of the registrar to grant default judgement </w:t>
      </w:r>
      <w:r w:rsidR="005760CB" w:rsidRPr="00EB1A2D">
        <w:rPr>
          <w:u w:val="none"/>
          <w:lang w:val="en-ZA"/>
        </w:rPr>
        <w:t xml:space="preserve">relating to </w:t>
      </w:r>
      <w:r w:rsidR="002B14F5" w:rsidRPr="00EB1A2D">
        <w:rPr>
          <w:u w:val="none"/>
          <w:lang w:val="en-ZA"/>
        </w:rPr>
        <w:t>credit agreements.</w:t>
      </w:r>
      <w:r w:rsidR="007D235D" w:rsidRPr="00EB1A2D">
        <w:rPr>
          <w:u w:val="none"/>
          <w:lang w:val="en-ZA"/>
        </w:rPr>
        <w:t xml:space="preserve"> </w:t>
      </w:r>
      <w:r w:rsidR="00A314D2" w:rsidRPr="00EB1A2D">
        <w:rPr>
          <w:u w:val="none"/>
          <w:lang w:val="en-ZA"/>
        </w:rPr>
        <w:t xml:space="preserve"> In the decisions </w:t>
      </w:r>
      <w:proofErr w:type="gramStart"/>
      <w:r w:rsidR="00A314D2" w:rsidRPr="00EB1A2D">
        <w:rPr>
          <w:u w:val="none"/>
          <w:lang w:val="en-ZA"/>
        </w:rPr>
        <w:t xml:space="preserve">of </w:t>
      </w:r>
      <w:r w:rsidR="00DE13F4" w:rsidRPr="00EB1A2D">
        <w:rPr>
          <w:u w:val="none"/>
          <w:lang w:val="en-ZA"/>
        </w:rPr>
        <w:t xml:space="preserve"> </w:t>
      </w:r>
      <w:r w:rsidR="00DE13F4" w:rsidRPr="00EB1A2D">
        <w:rPr>
          <w:i/>
          <w:iCs/>
          <w:lang w:val="en-ZA"/>
        </w:rPr>
        <w:t>Theu</w:t>
      </w:r>
      <w:proofErr w:type="gramEnd"/>
      <w:r w:rsidR="00DE13F4" w:rsidRPr="00EB1A2D">
        <w:rPr>
          <w:i/>
          <w:iCs/>
          <w:lang w:val="en-ZA"/>
        </w:rPr>
        <w:t xml:space="preserve"> v FirstRand Auto Receivables (RF) Limited</w:t>
      </w:r>
      <w:r w:rsidR="00043DD8" w:rsidRPr="00EB1A2D">
        <w:rPr>
          <w:i/>
          <w:iCs/>
          <w:lang w:val="en-ZA"/>
        </w:rPr>
        <w:t xml:space="preserve"> and another</w:t>
      </w:r>
      <w:r w:rsidR="00DE13F4" w:rsidRPr="00EB1A2D">
        <w:rPr>
          <w:i/>
          <w:iCs/>
          <w:lang w:val="en-ZA"/>
        </w:rPr>
        <w:t xml:space="preserve"> </w:t>
      </w:r>
      <w:r w:rsidR="00043DD8">
        <w:rPr>
          <w:rStyle w:val="FootnoteReference"/>
          <w:i/>
          <w:iCs/>
          <w:lang w:val="en-ZA"/>
        </w:rPr>
        <w:footnoteReference w:id="1"/>
      </w:r>
      <w:r w:rsidR="00043DD8" w:rsidRPr="00EB1A2D">
        <w:rPr>
          <w:i/>
          <w:iCs/>
          <w:lang w:val="en-ZA"/>
        </w:rPr>
        <w:t>; Xulu v Standard Bank of South Africa Limited and Others</w:t>
      </w:r>
      <w:r w:rsidR="00043DD8">
        <w:rPr>
          <w:rStyle w:val="FootnoteReference"/>
          <w:i/>
          <w:iCs/>
          <w:lang w:val="en-ZA"/>
        </w:rPr>
        <w:footnoteReference w:id="2"/>
      </w:r>
      <w:r w:rsidR="000B3F14" w:rsidRPr="00EB1A2D">
        <w:rPr>
          <w:i/>
          <w:iCs/>
          <w:lang w:val="en-ZA"/>
        </w:rPr>
        <w:t>; and Seleka v Fast Issuer SPV ( RF) Limited and Another</w:t>
      </w:r>
      <w:r w:rsidR="000B3F14">
        <w:rPr>
          <w:rStyle w:val="FootnoteReference"/>
          <w:i/>
          <w:iCs/>
          <w:lang w:val="en-ZA"/>
        </w:rPr>
        <w:footnoteReference w:id="3"/>
      </w:r>
      <w:r w:rsidR="00D470A5" w:rsidRPr="00EB1A2D">
        <w:rPr>
          <w:i/>
          <w:iCs/>
          <w:lang w:val="en-ZA"/>
        </w:rPr>
        <w:t xml:space="preserve">, </w:t>
      </w:r>
      <w:r w:rsidR="00D470A5" w:rsidRPr="00EB1A2D">
        <w:rPr>
          <w:iCs/>
          <w:u w:val="none"/>
          <w:lang w:val="en-ZA"/>
        </w:rPr>
        <w:t>the courts have held that the registrar</w:t>
      </w:r>
      <w:r w:rsidR="00AB063B" w:rsidRPr="00EB1A2D">
        <w:rPr>
          <w:iCs/>
          <w:u w:val="none"/>
          <w:lang w:val="en-ZA"/>
        </w:rPr>
        <w:t xml:space="preserve"> of the court </w:t>
      </w:r>
      <w:r w:rsidR="00D470A5" w:rsidRPr="00EB1A2D">
        <w:rPr>
          <w:iCs/>
          <w:u w:val="none"/>
          <w:lang w:val="en-ZA"/>
        </w:rPr>
        <w:t xml:space="preserve"> is not empowered to grant such default judgement. </w:t>
      </w:r>
    </w:p>
    <w:p w14:paraId="25D0CEA6" w14:textId="56A34FF7" w:rsidR="001D674F" w:rsidRPr="00EB1A2D" w:rsidRDefault="00EB1A2D" w:rsidP="00EB1A2D">
      <w:pPr>
        <w:tabs>
          <w:tab w:val="left" w:pos="851"/>
          <w:tab w:val="right" w:pos="8280"/>
        </w:tabs>
        <w:spacing w:before="480" w:line="480" w:lineRule="auto"/>
        <w:ind w:left="851" w:hanging="851"/>
        <w:jc w:val="both"/>
        <w:rPr>
          <w:u w:val="none"/>
          <w:lang w:val="en-ZA"/>
        </w:rPr>
      </w:pPr>
      <w:r w:rsidRPr="006F75B7">
        <w:rPr>
          <w:u w:val="none"/>
          <w:lang w:val="en-ZA"/>
        </w:rPr>
        <w:t>[4]</w:t>
      </w:r>
      <w:r w:rsidRPr="006F75B7">
        <w:rPr>
          <w:u w:val="none"/>
          <w:lang w:val="en-ZA"/>
        </w:rPr>
        <w:tab/>
      </w:r>
      <w:r w:rsidR="00F90C6C" w:rsidRPr="00EB1A2D">
        <w:rPr>
          <w:iCs/>
          <w:u w:val="none"/>
          <w:lang w:val="en-ZA"/>
        </w:rPr>
        <w:t xml:space="preserve">All these decisions refer with approval to the concurring majority decision Jafta J in </w:t>
      </w:r>
      <w:proofErr w:type="spellStart"/>
      <w:r w:rsidR="00BE40CB" w:rsidRPr="00EB1A2D">
        <w:rPr>
          <w:i/>
          <w:u w:val="none"/>
          <w:lang w:val="en-ZA"/>
        </w:rPr>
        <w:t>Nkata</w:t>
      </w:r>
      <w:proofErr w:type="spellEnd"/>
      <w:r w:rsidR="00BE40CB" w:rsidRPr="00EB1A2D">
        <w:rPr>
          <w:i/>
          <w:u w:val="none"/>
          <w:lang w:val="en-ZA"/>
        </w:rPr>
        <w:t xml:space="preserve"> v FirstRand Bank Limited and Others (Socioeconomic Rights Institution of South Africa as amicus curiae)</w:t>
      </w:r>
      <w:r w:rsidR="00BE40CB">
        <w:rPr>
          <w:rStyle w:val="FootnoteReference"/>
          <w:u w:val="none"/>
          <w:lang w:val="en-ZA"/>
        </w:rPr>
        <w:footnoteReference w:id="4"/>
      </w:r>
      <w:r w:rsidR="00BE40CB" w:rsidRPr="00EB1A2D">
        <w:rPr>
          <w:i/>
          <w:u w:val="none"/>
          <w:lang w:val="en-ZA"/>
        </w:rPr>
        <w:t xml:space="preserve"> </w:t>
      </w:r>
      <w:r w:rsidR="00BE40CB" w:rsidRPr="00EB1A2D">
        <w:rPr>
          <w:iCs/>
          <w:u w:val="none"/>
          <w:lang w:val="en-ZA"/>
        </w:rPr>
        <w:t xml:space="preserve">(“the </w:t>
      </w:r>
      <w:proofErr w:type="spellStart"/>
      <w:r w:rsidR="00BE40CB" w:rsidRPr="00EB1A2D">
        <w:rPr>
          <w:iCs/>
          <w:u w:val="none"/>
          <w:lang w:val="en-ZA"/>
        </w:rPr>
        <w:t>Nkata</w:t>
      </w:r>
      <w:proofErr w:type="spellEnd"/>
      <w:r w:rsidR="00BE40CB" w:rsidRPr="00EB1A2D">
        <w:rPr>
          <w:iCs/>
          <w:u w:val="none"/>
          <w:lang w:val="en-ZA"/>
        </w:rPr>
        <w:t xml:space="preserve"> decision”)</w:t>
      </w:r>
      <w:r w:rsidR="001D674F" w:rsidRPr="00EB1A2D">
        <w:rPr>
          <w:u w:val="none"/>
          <w:lang w:val="en-ZA"/>
        </w:rPr>
        <w:t xml:space="preserve"> that the pre-emptory language of s130 of the </w:t>
      </w:r>
      <w:r w:rsidR="001D674F" w:rsidRPr="00EB1A2D">
        <w:rPr>
          <w:u w:val="none"/>
          <w:lang w:val="en-ZA"/>
        </w:rPr>
        <w:lastRenderedPageBreak/>
        <w:t>N</w:t>
      </w:r>
      <w:r w:rsidR="00AB063B" w:rsidRPr="00EB1A2D">
        <w:rPr>
          <w:u w:val="none"/>
          <w:lang w:val="en-ZA"/>
        </w:rPr>
        <w:t xml:space="preserve">ational </w:t>
      </w:r>
      <w:r w:rsidR="001D674F" w:rsidRPr="00EB1A2D">
        <w:rPr>
          <w:u w:val="none"/>
          <w:lang w:val="en-ZA"/>
        </w:rPr>
        <w:t>C</w:t>
      </w:r>
      <w:r w:rsidR="00AB063B" w:rsidRPr="00EB1A2D">
        <w:rPr>
          <w:u w:val="none"/>
          <w:lang w:val="en-ZA"/>
        </w:rPr>
        <w:t xml:space="preserve">redit </w:t>
      </w:r>
      <w:r w:rsidR="001D674F" w:rsidRPr="00EB1A2D">
        <w:rPr>
          <w:u w:val="none"/>
          <w:lang w:val="en-ZA"/>
        </w:rPr>
        <w:t>A</w:t>
      </w:r>
      <w:r w:rsidR="00AB063B" w:rsidRPr="00EB1A2D">
        <w:rPr>
          <w:u w:val="none"/>
          <w:lang w:val="en-ZA"/>
        </w:rPr>
        <w:t xml:space="preserve">ct </w:t>
      </w:r>
      <w:r w:rsidR="009318A2" w:rsidRPr="00425454">
        <w:rPr>
          <w:rStyle w:val="FootnoteReference"/>
          <w:u w:val="none"/>
          <w:lang w:val="en-ZA"/>
        </w:rPr>
        <w:footnoteReference w:id="5"/>
      </w:r>
      <w:r w:rsidR="009318A2" w:rsidRPr="00EB1A2D">
        <w:rPr>
          <w:u w:val="none"/>
          <w:lang w:val="en-ZA"/>
        </w:rPr>
        <w:t xml:space="preserve"> (“NCA”) </w:t>
      </w:r>
      <w:r w:rsidR="001D674F" w:rsidRPr="00EB1A2D">
        <w:rPr>
          <w:u w:val="none"/>
          <w:lang w:val="en-ZA"/>
        </w:rPr>
        <w:t>requires the court, not a registrar of the court, to consider the enforcement of a credit agreement.</w:t>
      </w:r>
      <w:r w:rsidR="007F1961" w:rsidRPr="00EB1A2D">
        <w:rPr>
          <w:u w:val="none"/>
          <w:lang w:val="en-ZA"/>
        </w:rPr>
        <w:t xml:space="preserve"> The credit provider</w:t>
      </w:r>
      <w:r w:rsidR="00D479D7" w:rsidRPr="00EB1A2D">
        <w:rPr>
          <w:u w:val="none"/>
          <w:lang w:val="en-ZA"/>
        </w:rPr>
        <w:t>,</w:t>
      </w:r>
      <w:r w:rsidR="007F1961" w:rsidRPr="00EB1A2D">
        <w:rPr>
          <w:u w:val="none"/>
          <w:lang w:val="en-ZA"/>
        </w:rPr>
        <w:t xml:space="preserve"> Jafta J </w:t>
      </w:r>
      <w:proofErr w:type="gramStart"/>
      <w:r w:rsidR="007F1961" w:rsidRPr="00EB1A2D">
        <w:rPr>
          <w:u w:val="none"/>
          <w:lang w:val="en-ZA"/>
        </w:rPr>
        <w:t>held</w:t>
      </w:r>
      <w:proofErr w:type="gramEnd"/>
    </w:p>
    <w:p w14:paraId="2D327303" w14:textId="358DFE40" w:rsidR="00A314D2" w:rsidRPr="007F1961" w:rsidRDefault="00ED62D5" w:rsidP="00ED62D5">
      <w:pPr>
        <w:pStyle w:val="ListParagraph"/>
        <w:tabs>
          <w:tab w:val="right" w:pos="8280"/>
        </w:tabs>
        <w:spacing w:before="480" w:line="480" w:lineRule="auto"/>
        <w:ind w:left="851"/>
        <w:contextualSpacing w:val="0"/>
        <w:jc w:val="both"/>
        <w:rPr>
          <w:u w:val="none"/>
          <w:lang w:val="en-ZA"/>
        </w:rPr>
      </w:pPr>
      <w:r>
        <w:rPr>
          <w:u w:val="none"/>
          <w:lang w:val="en-ZA"/>
        </w:rPr>
        <w:t>”</w:t>
      </w:r>
      <w:r w:rsidRPr="00ED62D5">
        <w:rPr>
          <w:i/>
          <w:iCs/>
        </w:rPr>
        <w:t xml:space="preserve"> </w:t>
      </w:r>
      <w:proofErr w:type="gramStart"/>
      <w:r w:rsidRPr="00ED62D5">
        <w:rPr>
          <w:i/>
          <w:iCs/>
          <w:u w:val="none"/>
        </w:rPr>
        <w:t>sought</w:t>
      </w:r>
      <w:proofErr w:type="gramEnd"/>
      <w:r w:rsidRPr="00ED62D5">
        <w:rPr>
          <w:i/>
          <w:iCs/>
          <w:u w:val="none"/>
        </w:rPr>
        <w:t xml:space="preserve"> and obtained a default judgment from the registrar of the High Court, something that is </w:t>
      </w:r>
      <w:r w:rsidRPr="007F1961">
        <w:rPr>
          <w:b/>
          <w:bCs/>
          <w:i/>
          <w:iCs/>
          <w:u w:val="none"/>
        </w:rPr>
        <w:t>incompatible with s 130(3) which requires such matters to be determined by the court.</w:t>
      </w:r>
      <w:r w:rsidRPr="00ED62D5">
        <w:rPr>
          <w:i/>
          <w:iCs/>
          <w:u w:val="none"/>
        </w:rPr>
        <w:t>”</w:t>
      </w:r>
      <w:r w:rsidR="007F1961">
        <w:rPr>
          <w:i/>
          <w:iCs/>
          <w:u w:val="none"/>
        </w:rPr>
        <w:t xml:space="preserve"> </w:t>
      </w:r>
      <w:r w:rsidR="007F1961">
        <w:rPr>
          <w:u w:val="none"/>
        </w:rPr>
        <w:t xml:space="preserve"> (my emphasis)</w:t>
      </w:r>
    </w:p>
    <w:p w14:paraId="14F8C9C6" w14:textId="36FE2CBC" w:rsidR="00AB75F4" w:rsidRPr="00EB1A2D" w:rsidRDefault="00EB1A2D" w:rsidP="00EB1A2D">
      <w:pPr>
        <w:tabs>
          <w:tab w:val="left" w:pos="851"/>
          <w:tab w:val="right" w:pos="8280"/>
        </w:tabs>
        <w:spacing w:before="480" w:line="480" w:lineRule="auto"/>
        <w:ind w:left="851" w:hanging="851"/>
        <w:jc w:val="both"/>
        <w:rPr>
          <w:u w:val="none"/>
          <w:lang w:val="en-ZA"/>
        </w:rPr>
      </w:pPr>
      <w:r>
        <w:rPr>
          <w:u w:val="none"/>
          <w:lang w:val="en-ZA"/>
        </w:rPr>
        <w:t>[5]</w:t>
      </w:r>
      <w:r>
        <w:rPr>
          <w:u w:val="none"/>
          <w:lang w:val="en-ZA"/>
        </w:rPr>
        <w:tab/>
      </w:r>
      <w:r w:rsidR="00A8646E" w:rsidRPr="00EB1A2D">
        <w:rPr>
          <w:u w:val="none"/>
          <w:lang w:val="en-ZA"/>
        </w:rPr>
        <w:t>The outlier in the line of recent authorities</w:t>
      </w:r>
      <w:r w:rsidR="00AB75F4" w:rsidRPr="00EB1A2D">
        <w:rPr>
          <w:u w:val="none"/>
          <w:lang w:val="en-ZA"/>
        </w:rPr>
        <w:t xml:space="preserve"> regarding the powers of the registrar to grant default judgement relating to credit agreement is  a full bench decision of the Mpumalanga Division, Middelburg, </w:t>
      </w:r>
      <w:r w:rsidR="00AB75F4" w:rsidRPr="00EB1A2D">
        <w:rPr>
          <w:i/>
          <w:u w:val="none"/>
          <w:lang w:val="en-ZA"/>
        </w:rPr>
        <w:t xml:space="preserve">Nedbank Limited v </w:t>
      </w:r>
      <w:proofErr w:type="spellStart"/>
      <w:r w:rsidR="00AB75F4" w:rsidRPr="00EB1A2D">
        <w:rPr>
          <w:i/>
          <w:u w:val="none"/>
          <w:lang w:val="en-ZA"/>
        </w:rPr>
        <w:t>Mollentze</w:t>
      </w:r>
      <w:proofErr w:type="spellEnd"/>
      <w:r w:rsidR="00AB75F4" w:rsidRPr="00EB1A2D">
        <w:rPr>
          <w:i/>
          <w:u w:val="none"/>
          <w:lang w:val="en-ZA"/>
        </w:rPr>
        <w:t>; FirstRand Auto Receivables (RF) Limited v Radebe and Another</w:t>
      </w:r>
      <w:r w:rsidR="00AB75F4">
        <w:rPr>
          <w:rStyle w:val="FootnoteReference"/>
          <w:u w:val="none"/>
          <w:lang w:val="en-ZA"/>
        </w:rPr>
        <w:footnoteReference w:id="6"/>
      </w:r>
      <w:r w:rsidR="00AB75F4" w:rsidRPr="00EB1A2D">
        <w:rPr>
          <w:i/>
          <w:u w:val="none"/>
          <w:lang w:val="en-ZA"/>
        </w:rPr>
        <w:t xml:space="preserve"> (“the </w:t>
      </w:r>
      <w:proofErr w:type="spellStart"/>
      <w:r w:rsidR="00AB75F4" w:rsidRPr="00EB1A2D">
        <w:rPr>
          <w:i/>
          <w:u w:val="none"/>
          <w:lang w:val="en-ZA"/>
        </w:rPr>
        <w:t>Mollentze</w:t>
      </w:r>
      <w:proofErr w:type="spellEnd"/>
      <w:r w:rsidR="00AB75F4" w:rsidRPr="00EB1A2D">
        <w:rPr>
          <w:i/>
          <w:u w:val="none"/>
          <w:lang w:val="en-ZA"/>
        </w:rPr>
        <w:t xml:space="preserve"> decision”)</w:t>
      </w:r>
      <w:r w:rsidR="00AB75F4" w:rsidRPr="00EB1A2D">
        <w:rPr>
          <w:u w:val="none"/>
          <w:lang w:val="en-ZA"/>
        </w:rPr>
        <w:t>, which held that s23 of the Superior Courts Act</w:t>
      </w:r>
      <w:r w:rsidR="00AB75F4">
        <w:rPr>
          <w:rStyle w:val="FootnoteReference"/>
          <w:u w:val="none"/>
          <w:lang w:val="en-ZA"/>
        </w:rPr>
        <w:footnoteReference w:id="7"/>
      </w:r>
      <w:r w:rsidR="00AB75F4" w:rsidRPr="00EB1A2D">
        <w:rPr>
          <w:u w:val="none"/>
          <w:lang w:val="en-ZA"/>
        </w:rPr>
        <w:t xml:space="preserve"> clothed the registrar with the authority of a court, enabling the registrar to deal with quasi-judicial functions, including a consideration and granting of default judgments under the NCA.</w:t>
      </w:r>
      <w:r w:rsidR="00AB75F4">
        <w:rPr>
          <w:rStyle w:val="FootnoteReference"/>
          <w:u w:val="none"/>
          <w:lang w:val="en-ZA"/>
        </w:rPr>
        <w:footnoteReference w:id="8"/>
      </w:r>
    </w:p>
    <w:p w14:paraId="1B2273FB" w14:textId="2A6E6E21" w:rsidR="001E288B" w:rsidRPr="00EB1A2D" w:rsidRDefault="00EB1A2D" w:rsidP="00EB1A2D">
      <w:pPr>
        <w:tabs>
          <w:tab w:val="left" w:pos="851"/>
          <w:tab w:val="right" w:pos="8280"/>
        </w:tabs>
        <w:spacing w:before="480" w:line="480" w:lineRule="auto"/>
        <w:ind w:left="851" w:hanging="851"/>
        <w:jc w:val="both"/>
        <w:rPr>
          <w:u w:val="none"/>
          <w:lang w:val="en-ZA"/>
        </w:rPr>
      </w:pPr>
      <w:r>
        <w:rPr>
          <w:u w:val="none"/>
          <w:lang w:val="en-ZA"/>
        </w:rPr>
        <w:t>[6]</w:t>
      </w:r>
      <w:r>
        <w:rPr>
          <w:u w:val="none"/>
          <w:lang w:val="en-ZA"/>
        </w:rPr>
        <w:tab/>
      </w:r>
      <w:r w:rsidR="001E288B" w:rsidRPr="00EB1A2D">
        <w:rPr>
          <w:u w:val="none"/>
          <w:lang w:val="en-ZA"/>
        </w:rPr>
        <w:t xml:space="preserve">The court in the </w:t>
      </w:r>
      <w:proofErr w:type="spellStart"/>
      <w:r w:rsidR="001E288B" w:rsidRPr="00EB1A2D">
        <w:rPr>
          <w:u w:val="none"/>
          <w:lang w:val="en-ZA"/>
        </w:rPr>
        <w:t>Mollentze</w:t>
      </w:r>
      <w:proofErr w:type="spellEnd"/>
      <w:r w:rsidR="001E288B" w:rsidRPr="00EB1A2D">
        <w:rPr>
          <w:u w:val="none"/>
          <w:lang w:val="en-ZA"/>
        </w:rPr>
        <w:t xml:space="preserve"> decision, considered the </w:t>
      </w:r>
      <w:proofErr w:type="gramStart"/>
      <w:r w:rsidR="001E288B" w:rsidRPr="00EB1A2D">
        <w:rPr>
          <w:u w:val="none"/>
          <w:lang w:val="en-ZA"/>
        </w:rPr>
        <w:t>concurring  judgement</w:t>
      </w:r>
      <w:proofErr w:type="gramEnd"/>
      <w:r w:rsidR="001E288B" w:rsidRPr="00EB1A2D">
        <w:rPr>
          <w:u w:val="none"/>
          <w:lang w:val="en-ZA"/>
        </w:rPr>
        <w:t xml:space="preserve"> of Jafta J in </w:t>
      </w:r>
      <w:proofErr w:type="spellStart"/>
      <w:r w:rsidR="001E288B" w:rsidRPr="00EB1A2D">
        <w:rPr>
          <w:u w:val="none"/>
          <w:lang w:val="en-ZA"/>
        </w:rPr>
        <w:t>Nkata</w:t>
      </w:r>
      <w:proofErr w:type="spellEnd"/>
      <w:r w:rsidR="001E288B" w:rsidRPr="00EB1A2D">
        <w:rPr>
          <w:u w:val="none"/>
          <w:lang w:val="en-ZA"/>
        </w:rPr>
        <w:t xml:space="preserve"> decision as a minority and </w:t>
      </w:r>
      <w:r w:rsidR="001E288B" w:rsidRPr="00EB1A2D">
        <w:rPr>
          <w:i/>
          <w:iCs/>
          <w:u w:val="none"/>
          <w:lang w:val="en-ZA"/>
        </w:rPr>
        <w:t>obiter</w:t>
      </w:r>
      <w:r w:rsidR="001E288B" w:rsidRPr="00EB1A2D">
        <w:rPr>
          <w:u w:val="none"/>
          <w:lang w:val="en-ZA"/>
        </w:rPr>
        <w:t xml:space="preserve">  decision</w:t>
      </w:r>
      <w:r w:rsidR="00CC00D0" w:rsidRPr="00EB1A2D">
        <w:rPr>
          <w:u w:val="none"/>
          <w:lang w:val="en-ZA"/>
        </w:rPr>
        <w:t xml:space="preserve"> </w:t>
      </w:r>
      <w:r w:rsidR="001E288B" w:rsidRPr="00EB1A2D">
        <w:rPr>
          <w:u w:val="none"/>
          <w:lang w:val="en-ZA"/>
        </w:rPr>
        <w:t>(as</w:t>
      </w:r>
      <w:r w:rsidR="00CC00D0" w:rsidRPr="00EB1A2D">
        <w:rPr>
          <w:u w:val="none"/>
          <w:lang w:val="en-ZA"/>
        </w:rPr>
        <w:t xml:space="preserve">, the </w:t>
      </w:r>
      <w:proofErr w:type="spellStart"/>
      <w:r w:rsidR="00CC00D0" w:rsidRPr="00EB1A2D">
        <w:rPr>
          <w:u w:val="none"/>
          <w:lang w:val="en-ZA"/>
        </w:rPr>
        <w:t>Mollentze</w:t>
      </w:r>
      <w:proofErr w:type="spellEnd"/>
      <w:r w:rsidR="00CC00D0" w:rsidRPr="00EB1A2D">
        <w:rPr>
          <w:u w:val="none"/>
          <w:lang w:val="en-ZA"/>
        </w:rPr>
        <w:t xml:space="preserve"> decision found, </w:t>
      </w:r>
      <w:r w:rsidR="001E288B" w:rsidRPr="00EB1A2D">
        <w:rPr>
          <w:u w:val="none"/>
          <w:lang w:val="en-ZA"/>
        </w:rPr>
        <w:t xml:space="preserve">the </w:t>
      </w:r>
      <w:r w:rsidR="00B42CF3" w:rsidRPr="00EB1A2D">
        <w:rPr>
          <w:u w:val="none"/>
          <w:lang w:val="en-ZA"/>
        </w:rPr>
        <w:t xml:space="preserve"> Constitutional C</w:t>
      </w:r>
      <w:r w:rsidR="001E288B" w:rsidRPr="00EB1A2D">
        <w:rPr>
          <w:u w:val="none"/>
          <w:lang w:val="en-ZA"/>
        </w:rPr>
        <w:t xml:space="preserve">ourt was not </w:t>
      </w:r>
      <w:r w:rsidR="001E288B" w:rsidRPr="00EB1A2D">
        <w:rPr>
          <w:u w:val="none"/>
          <w:lang w:val="en-ZA"/>
        </w:rPr>
        <w:lastRenderedPageBreak/>
        <w:t xml:space="preserve">called on to interpret  s130  of the NCA). This finding of the court is, </w:t>
      </w:r>
      <w:proofErr w:type="gramStart"/>
      <w:r w:rsidR="001E288B" w:rsidRPr="00EB1A2D">
        <w:rPr>
          <w:u w:val="none"/>
          <w:lang w:val="en-ZA"/>
        </w:rPr>
        <w:t>respectfully,  incorrect</w:t>
      </w:r>
      <w:proofErr w:type="gramEnd"/>
      <w:r w:rsidR="001E288B" w:rsidRPr="00EB1A2D">
        <w:rPr>
          <w:u w:val="none"/>
          <w:lang w:val="en-ZA"/>
        </w:rPr>
        <w:t xml:space="preserve">. </w:t>
      </w:r>
    </w:p>
    <w:p w14:paraId="13C83555" w14:textId="0DC0D425" w:rsidR="001E288B" w:rsidRPr="00EB1A2D" w:rsidRDefault="00EB1A2D" w:rsidP="00EB1A2D">
      <w:pPr>
        <w:tabs>
          <w:tab w:val="left" w:pos="851"/>
          <w:tab w:val="right" w:pos="8280"/>
        </w:tabs>
        <w:spacing w:before="480" w:line="480" w:lineRule="auto"/>
        <w:ind w:left="851" w:hanging="851"/>
        <w:jc w:val="both"/>
        <w:rPr>
          <w:u w:val="none"/>
          <w:lang w:val="en-ZA"/>
        </w:rPr>
      </w:pPr>
      <w:r>
        <w:rPr>
          <w:u w:val="none"/>
          <w:lang w:val="en-ZA"/>
        </w:rPr>
        <w:t>[7]</w:t>
      </w:r>
      <w:r>
        <w:rPr>
          <w:u w:val="none"/>
          <w:lang w:val="en-ZA"/>
        </w:rPr>
        <w:tab/>
      </w:r>
      <w:r w:rsidR="00B42CF3" w:rsidRPr="00EB1A2D">
        <w:rPr>
          <w:u w:val="none"/>
          <w:lang w:val="en-ZA"/>
        </w:rPr>
        <w:t>Firstl</w:t>
      </w:r>
      <w:r w:rsidR="00A142C3" w:rsidRPr="00EB1A2D">
        <w:rPr>
          <w:u w:val="none"/>
          <w:lang w:val="en-ZA"/>
        </w:rPr>
        <w:t xml:space="preserve">y, </w:t>
      </w:r>
      <w:r w:rsidR="001E288B" w:rsidRPr="00EB1A2D">
        <w:rPr>
          <w:u w:val="none"/>
          <w:lang w:val="en-ZA"/>
        </w:rPr>
        <w:t xml:space="preserve">Moseneke DCJ for the majority in </w:t>
      </w:r>
      <w:proofErr w:type="spellStart"/>
      <w:r w:rsidR="001E288B" w:rsidRPr="00EB1A2D">
        <w:rPr>
          <w:u w:val="none"/>
          <w:lang w:val="en-ZA"/>
        </w:rPr>
        <w:t>Nkata</w:t>
      </w:r>
      <w:proofErr w:type="spellEnd"/>
      <w:r w:rsidR="001E288B" w:rsidRPr="00EB1A2D">
        <w:rPr>
          <w:u w:val="none"/>
          <w:lang w:val="en-ZA"/>
        </w:rPr>
        <w:t xml:space="preserve"> specifically states in the introductory paragraph</w:t>
      </w:r>
      <w:r w:rsidR="00A142C3" w:rsidRPr="00EB1A2D">
        <w:rPr>
          <w:u w:val="none"/>
          <w:lang w:val="en-ZA"/>
        </w:rPr>
        <w:t xml:space="preserve"> of his judgement</w:t>
      </w:r>
      <w:r w:rsidR="001E288B" w:rsidRPr="00EB1A2D">
        <w:rPr>
          <w:u w:val="none"/>
          <w:lang w:val="en-ZA"/>
        </w:rPr>
        <w:t xml:space="preserve"> “</w:t>
      </w:r>
      <w:r w:rsidR="001E288B" w:rsidRPr="00EB1A2D">
        <w:rPr>
          <w:i/>
          <w:iCs/>
          <w:u w:val="none"/>
          <w:lang w:val="en-ZA"/>
        </w:rPr>
        <w:t>I am also grateful for the concurring judgement of Jafta J and have noted the additional reasons he relies on</w:t>
      </w:r>
      <w:r w:rsidR="001E288B" w:rsidRPr="00EB1A2D">
        <w:rPr>
          <w:u w:val="none"/>
          <w:lang w:val="en-ZA"/>
        </w:rPr>
        <w:t>”.</w:t>
      </w:r>
      <w:r w:rsidR="001E288B">
        <w:rPr>
          <w:rStyle w:val="FootnoteReference"/>
          <w:u w:val="none"/>
          <w:lang w:val="en-ZA"/>
        </w:rPr>
        <w:footnoteReference w:id="9"/>
      </w:r>
    </w:p>
    <w:p w14:paraId="02B2CCDB" w14:textId="45E012B5" w:rsidR="001E288B" w:rsidRPr="00EB1A2D" w:rsidRDefault="00EB1A2D" w:rsidP="00EB1A2D">
      <w:pPr>
        <w:tabs>
          <w:tab w:val="left" w:pos="851"/>
          <w:tab w:val="right" w:pos="8280"/>
        </w:tabs>
        <w:spacing w:before="480" w:line="480" w:lineRule="auto"/>
        <w:ind w:left="851" w:hanging="851"/>
        <w:jc w:val="both"/>
        <w:rPr>
          <w:u w:val="none"/>
          <w:lang w:val="en-ZA"/>
        </w:rPr>
      </w:pPr>
      <w:r>
        <w:rPr>
          <w:u w:val="none"/>
          <w:lang w:val="en-ZA"/>
        </w:rPr>
        <w:t>[8]</w:t>
      </w:r>
      <w:r>
        <w:rPr>
          <w:u w:val="none"/>
          <w:lang w:val="en-ZA"/>
        </w:rPr>
        <w:tab/>
      </w:r>
      <w:r w:rsidR="001E288B" w:rsidRPr="00EB1A2D">
        <w:rPr>
          <w:u w:val="none"/>
          <w:lang w:val="en-ZA"/>
        </w:rPr>
        <w:t xml:space="preserve">Jafta J in his concurring majority decision, </w:t>
      </w:r>
      <w:r w:rsidR="007E6665" w:rsidRPr="00EB1A2D">
        <w:rPr>
          <w:u w:val="none"/>
          <w:lang w:val="en-ZA"/>
        </w:rPr>
        <w:t>echoes this</w:t>
      </w:r>
      <w:r w:rsidR="001E288B" w:rsidRPr="00EB1A2D">
        <w:rPr>
          <w:u w:val="none"/>
          <w:lang w:val="en-ZA"/>
        </w:rPr>
        <w:t xml:space="preserve">:” </w:t>
      </w:r>
      <w:proofErr w:type="gramStart"/>
      <w:r w:rsidR="001E288B" w:rsidRPr="00EB1A2D">
        <w:rPr>
          <w:i/>
          <w:iCs/>
          <w:u w:val="none"/>
          <w:lang w:val="en-ZA"/>
        </w:rPr>
        <w:t>Like  Moseneke</w:t>
      </w:r>
      <w:proofErr w:type="gramEnd"/>
      <w:r w:rsidR="001E288B" w:rsidRPr="00EB1A2D">
        <w:rPr>
          <w:i/>
          <w:iCs/>
          <w:u w:val="none"/>
          <w:lang w:val="en-ZA"/>
        </w:rPr>
        <w:t xml:space="preserve"> DCJ, I would uphold the appeal and set aside the order of the Supreme Court of Appeal, for mainly the reasons advanced by him in his judgement and to which I add mine</w:t>
      </w:r>
      <w:r w:rsidR="001E288B" w:rsidRPr="00EB1A2D">
        <w:rPr>
          <w:u w:val="none"/>
          <w:lang w:val="en-ZA"/>
        </w:rPr>
        <w:t xml:space="preserve">”. </w:t>
      </w:r>
    </w:p>
    <w:p w14:paraId="629B35B1" w14:textId="33E7CDE1" w:rsidR="007078CD" w:rsidRPr="00EB1A2D" w:rsidRDefault="00EB1A2D" w:rsidP="00EB1A2D">
      <w:pPr>
        <w:tabs>
          <w:tab w:val="left" w:pos="851"/>
          <w:tab w:val="right" w:pos="8280"/>
        </w:tabs>
        <w:spacing w:before="480" w:line="480" w:lineRule="auto"/>
        <w:ind w:left="851" w:hanging="851"/>
        <w:jc w:val="both"/>
        <w:rPr>
          <w:u w:val="none"/>
          <w:lang w:val="en-ZA"/>
        </w:rPr>
      </w:pPr>
      <w:r>
        <w:rPr>
          <w:u w:val="none"/>
          <w:lang w:val="en-ZA"/>
        </w:rPr>
        <w:t>[9]</w:t>
      </w:r>
      <w:r>
        <w:rPr>
          <w:u w:val="none"/>
          <w:lang w:val="en-ZA"/>
        </w:rPr>
        <w:tab/>
      </w:r>
      <w:r w:rsidR="001E288B" w:rsidRPr="00EB1A2D">
        <w:rPr>
          <w:u w:val="none"/>
          <w:lang w:val="en-ZA"/>
        </w:rPr>
        <w:t xml:space="preserve">It is clear that </w:t>
      </w:r>
      <w:proofErr w:type="gramStart"/>
      <w:r w:rsidR="001E288B" w:rsidRPr="00EB1A2D">
        <w:rPr>
          <w:u w:val="none"/>
          <w:lang w:val="en-ZA"/>
        </w:rPr>
        <w:t>these  two</w:t>
      </w:r>
      <w:proofErr w:type="gramEnd"/>
      <w:r w:rsidR="001E288B" w:rsidRPr="00EB1A2D">
        <w:rPr>
          <w:u w:val="none"/>
          <w:lang w:val="en-ZA"/>
        </w:rPr>
        <w:t xml:space="preserve"> concurring judgements are the decision for the majority in the </w:t>
      </w:r>
      <w:proofErr w:type="spellStart"/>
      <w:r w:rsidR="001E288B" w:rsidRPr="00EB1A2D">
        <w:rPr>
          <w:u w:val="none"/>
          <w:lang w:val="en-ZA"/>
        </w:rPr>
        <w:t>Nkata</w:t>
      </w:r>
      <w:proofErr w:type="spellEnd"/>
      <w:r w:rsidR="001E288B" w:rsidRPr="00EB1A2D">
        <w:rPr>
          <w:u w:val="none"/>
          <w:lang w:val="en-ZA"/>
        </w:rPr>
        <w:t xml:space="preserve"> judgement.</w:t>
      </w:r>
      <w:r w:rsidR="005B5F42" w:rsidRPr="00EB1A2D">
        <w:rPr>
          <w:u w:val="none"/>
          <w:lang w:val="en-ZA"/>
        </w:rPr>
        <w:t xml:space="preserve"> </w:t>
      </w:r>
      <w:r w:rsidR="001E288B" w:rsidRPr="00EB1A2D">
        <w:rPr>
          <w:u w:val="none"/>
          <w:lang w:val="en-ZA"/>
        </w:rPr>
        <w:t xml:space="preserve"> </w:t>
      </w:r>
    </w:p>
    <w:p w14:paraId="6E407156" w14:textId="70C00825" w:rsidR="00564879" w:rsidRPr="00EB1A2D" w:rsidRDefault="00EB1A2D" w:rsidP="00EB1A2D">
      <w:pPr>
        <w:tabs>
          <w:tab w:val="left" w:pos="851"/>
          <w:tab w:val="right" w:pos="8280"/>
        </w:tabs>
        <w:spacing w:before="480" w:line="480" w:lineRule="auto"/>
        <w:ind w:left="851" w:hanging="851"/>
        <w:jc w:val="both"/>
        <w:rPr>
          <w:u w:val="none"/>
          <w:lang w:val="en-ZA"/>
        </w:rPr>
      </w:pPr>
      <w:r>
        <w:rPr>
          <w:u w:val="none"/>
          <w:lang w:val="en-ZA"/>
        </w:rPr>
        <w:t>[10]</w:t>
      </w:r>
      <w:r>
        <w:rPr>
          <w:u w:val="none"/>
          <w:lang w:val="en-ZA"/>
        </w:rPr>
        <w:tab/>
      </w:r>
      <w:r w:rsidR="007078CD" w:rsidRPr="00EB1A2D">
        <w:rPr>
          <w:u w:val="none"/>
          <w:lang w:val="en-ZA"/>
        </w:rPr>
        <w:t>Secondly</w:t>
      </w:r>
      <w:r w:rsidR="00486A2A" w:rsidRPr="00EB1A2D">
        <w:rPr>
          <w:u w:val="none"/>
          <w:lang w:val="en-ZA"/>
        </w:rPr>
        <w:t xml:space="preserve">, </w:t>
      </w:r>
      <w:r w:rsidR="00564879" w:rsidRPr="00EB1A2D">
        <w:rPr>
          <w:u w:val="none"/>
          <w:lang w:val="en-ZA"/>
        </w:rPr>
        <w:t xml:space="preserve">the question before </w:t>
      </w:r>
      <w:r w:rsidR="00486A2A" w:rsidRPr="00EB1A2D">
        <w:rPr>
          <w:u w:val="none"/>
          <w:lang w:val="en-ZA"/>
        </w:rPr>
        <w:t xml:space="preserve">the Constitutional Court </w:t>
      </w:r>
      <w:r w:rsidR="00564879" w:rsidRPr="00EB1A2D">
        <w:rPr>
          <w:u w:val="none"/>
          <w:lang w:val="en-ZA"/>
        </w:rPr>
        <w:t>was</w:t>
      </w:r>
      <w:r w:rsidR="00486A2A" w:rsidRPr="00EB1A2D">
        <w:rPr>
          <w:u w:val="none"/>
          <w:lang w:val="en-ZA"/>
        </w:rPr>
        <w:t xml:space="preserve">, </w:t>
      </w:r>
      <w:proofErr w:type="gramStart"/>
      <w:r w:rsidR="00564879" w:rsidRPr="00EB1A2D">
        <w:rPr>
          <w:u w:val="none"/>
          <w:lang w:val="en-ZA"/>
        </w:rPr>
        <w:t>whether  the</w:t>
      </w:r>
      <w:proofErr w:type="gramEnd"/>
      <w:r w:rsidR="00564879" w:rsidRPr="00EB1A2D">
        <w:rPr>
          <w:u w:val="none"/>
          <w:lang w:val="en-ZA"/>
        </w:rPr>
        <w:t xml:space="preserve"> credit provider had met  </w:t>
      </w:r>
      <w:r w:rsidR="00486A2A" w:rsidRPr="00EB1A2D">
        <w:rPr>
          <w:u w:val="none"/>
          <w:lang w:val="en-ZA"/>
        </w:rPr>
        <w:t xml:space="preserve">the provisions of </w:t>
      </w:r>
      <w:r w:rsidR="00564879" w:rsidRPr="00EB1A2D">
        <w:rPr>
          <w:u w:val="none"/>
          <w:lang w:val="en-ZA"/>
        </w:rPr>
        <w:t>s</w:t>
      </w:r>
      <w:r w:rsidR="00486A2A" w:rsidRPr="00EB1A2D">
        <w:rPr>
          <w:u w:val="none"/>
          <w:lang w:val="en-ZA"/>
        </w:rPr>
        <w:t>129</w:t>
      </w:r>
      <w:r w:rsidR="00B66CC0" w:rsidRPr="00EB1A2D">
        <w:rPr>
          <w:u w:val="none"/>
          <w:lang w:val="en-ZA"/>
        </w:rPr>
        <w:t xml:space="preserve"> of </w:t>
      </w:r>
      <w:r w:rsidR="003C6F75" w:rsidRPr="00EB1A2D">
        <w:rPr>
          <w:u w:val="none"/>
          <w:lang w:val="en-ZA"/>
        </w:rPr>
        <w:t>the</w:t>
      </w:r>
      <w:r w:rsidR="00B66CC0" w:rsidRPr="00EB1A2D">
        <w:rPr>
          <w:u w:val="none"/>
          <w:lang w:val="en-ZA"/>
        </w:rPr>
        <w:t xml:space="preserve"> NCA (</w:t>
      </w:r>
      <w:r w:rsidR="003C6F75" w:rsidRPr="00EB1A2D">
        <w:rPr>
          <w:u w:val="none"/>
          <w:lang w:val="en-ZA"/>
        </w:rPr>
        <w:t xml:space="preserve"> that is</w:t>
      </w:r>
      <w:r w:rsidR="00B66CC0" w:rsidRPr="00EB1A2D">
        <w:rPr>
          <w:u w:val="none"/>
          <w:lang w:val="en-ZA"/>
        </w:rPr>
        <w:t xml:space="preserve"> whether proper notice had been given to the credit receiver</w:t>
      </w:r>
      <w:r w:rsidR="00FC34E9" w:rsidRPr="00EB1A2D">
        <w:rPr>
          <w:u w:val="none"/>
          <w:lang w:val="en-ZA"/>
        </w:rPr>
        <w:t>,</w:t>
      </w:r>
      <w:r w:rsidR="005A132C" w:rsidRPr="00EB1A2D">
        <w:rPr>
          <w:u w:val="none"/>
          <w:lang w:val="en-ZA"/>
        </w:rPr>
        <w:t xml:space="preserve"> prior to the</w:t>
      </w:r>
      <w:r w:rsidR="00FC34E9" w:rsidRPr="00EB1A2D">
        <w:rPr>
          <w:u w:val="none"/>
          <w:lang w:val="en-ZA"/>
        </w:rPr>
        <w:t xml:space="preserve"> credit provider</w:t>
      </w:r>
      <w:r w:rsidR="005A132C" w:rsidRPr="00EB1A2D">
        <w:rPr>
          <w:u w:val="none"/>
          <w:lang w:val="en-ZA"/>
        </w:rPr>
        <w:t xml:space="preserve"> instituti</w:t>
      </w:r>
      <w:r w:rsidR="00FC34E9" w:rsidRPr="00EB1A2D">
        <w:rPr>
          <w:u w:val="none"/>
          <w:lang w:val="en-ZA"/>
        </w:rPr>
        <w:t>ng</w:t>
      </w:r>
      <w:r w:rsidR="005A132C" w:rsidRPr="00EB1A2D">
        <w:rPr>
          <w:u w:val="none"/>
          <w:lang w:val="en-ZA"/>
        </w:rPr>
        <w:t xml:space="preserve"> legal proceedings</w:t>
      </w:r>
      <w:r w:rsidR="00564879" w:rsidRPr="00EB1A2D">
        <w:rPr>
          <w:u w:val="none"/>
          <w:lang w:val="en-ZA"/>
        </w:rPr>
        <w:t xml:space="preserve">) </w:t>
      </w:r>
      <w:r w:rsidR="00B66CC0" w:rsidRPr="00EB1A2D">
        <w:rPr>
          <w:u w:val="none"/>
          <w:lang w:val="en-ZA"/>
        </w:rPr>
        <w:t>to</w:t>
      </w:r>
      <w:r w:rsidR="00564879" w:rsidRPr="00EB1A2D">
        <w:rPr>
          <w:u w:val="none"/>
          <w:lang w:val="en-ZA"/>
        </w:rPr>
        <w:t xml:space="preserve"> justify the grant of default judgement by the registrar of the court</w:t>
      </w:r>
      <w:r w:rsidR="00FC34E9" w:rsidRPr="00EB1A2D">
        <w:rPr>
          <w:u w:val="none"/>
          <w:lang w:val="en-ZA"/>
        </w:rPr>
        <w:t xml:space="preserve">. The default judgement </w:t>
      </w:r>
      <w:r w:rsidR="005A132C" w:rsidRPr="00EB1A2D">
        <w:rPr>
          <w:u w:val="none"/>
          <w:lang w:val="en-ZA"/>
        </w:rPr>
        <w:t>includ</w:t>
      </w:r>
      <w:r w:rsidR="00FC34E9" w:rsidRPr="00EB1A2D">
        <w:rPr>
          <w:u w:val="none"/>
          <w:lang w:val="en-ZA"/>
        </w:rPr>
        <w:t>ed</w:t>
      </w:r>
      <w:r w:rsidR="005A132C" w:rsidRPr="00EB1A2D">
        <w:rPr>
          <w:u w:val="none"/>
          <w:lang w:val="en-ZA"/>
        </w:rPr>
        <w:t xml:space="preserve"> the cancellation of the credit agreement. </w:t>
      </w:r>
      <w:r w:rsidR="00F62B73" w:rsidRPr="00EB1A2D">
        <w:rPr>
          <w:u w:val="none"/>
          <w:lang w:val="en-ZA"/>
        </w:rPr>
        <w:t xml:space="preserve"> The question whether </w:t>
      </w:r>
      <w:r w:rsidR="00D81ABD" w:rsidRPr="00EB1A2D">
        <w:rPr>
          <w:u w:val="none"/>
          <w:lang w:val="en-ZA"/>
        </w:rPr>
        <w:t xml:space="preserve">default judgement was properly granted, </w:t>
      </w:r>
      <w:r w:rsidR="003B45C1" w:rsidRPr="00EB1A2D">
        <w:rPr>
          <w:u w:val="none"/>
          <w:lang w:val="en-ZA"/>
        </w:rPr>
        <w:t xml:space="preserve">consequently the </w:t>
      </w:r>
      <w:r w:rsidR="003B45C1" w:rsidRPr="00EB1A2D">
        <w:rPr>
          <w:u w:val="none"/>
          <w:lang w:val="en-ZA"/>
        </w:rPr>
        <w:lastRenderedPageBreak/>
        <w:t>interpretation of s130 of the NCA</w:t>
      </w:r>
      <w:r w:rsidR="003D7B43" w:rsidRPr="00EB1A2D">
        <w:rPr>
          <w:u w:val="none"/>
          <w:lang w:val="en-ZA"/>
        </w:rPr>
        <w:t>,</w:t>
      </w:r>
      <w:r w:rsidR="003B45C1" w:rsidRPr="00EB1A2D">
        <w:rPr>
          <w:u w:val="none"/>
          <w:lang w:val="en-ZA"/>
        </w:rPr>
        <w:t xml:space="preserve"> </w:t>
      </w:r>
      <w:r w:rsidR="00D81ABD" w:rsidRPr="00EB1A2D">
        <w:rPr>
          <w:u w:val="none"/>
          <w:lang w:val="en-ZA"/>
        </w:rPr>
        <w:t xml:space="preserve">was an issue front and central </w:t>
      </w:r>
      <w:r w:rsidR="003B45C1" w:rsidRPr="00EB1A2D">
        <w:rPr>
          <w:u w:val="none"/>
          <w:lang w:val="en-ZA"/>
        </w:rPr>
        <w:t xml:space="preserve">for the Constitutional Court’s determination. </w:t>
      </w:r>
    </w:p>
    <w:p w14:paraId="2069B245" w14:textId="65C54878" w:rsidR="001E288B" w:rsidRPr="00EB1A2D" w:rsidRDefault="00EB1A2D" w:rsidP="00EB1A2D">
      <w:pPr>
        <w:tabs>
          <w:tab w:val="left" w:pos="851"/>
          <w:tab w:val="right" w:pos="8280"/>
        </w:tabs>
        <w:spacing w:before="480" w:line="480" w:lineRule="auto"/>
        <w:ind w:left="851" w:hanging="851"/>
        <w:jc w:val="both"/>
        <w:rPr>
          <w:u w:val="none"/>
          <w:lang w:val="en-ZA"/>
        </w:rPr>
      </w:pPr>
      <w:r>
        <w:rPr>
          <w:u w:val="none"/>
          <w:lang w:val="en-ZA"/>
        </w:rPr>
        <w:t>[11]</w:t>
      </w:r>
      <w:r>
        <w:rPr>
          <w:u w:val="none"/>
          <w:lang w:val="en-ZA"/>
        </w:rPr>
        <w:tab/>
      </w:r>
      <w:r w:rsidR="003D7B43" w:rsidRPr="00EB1A2D">
        <w:rPr>
          <w:u w:val="none"/>
          <w:lang w:val="en-ZA"/>
        </w:rPr>
        <w:t xml:space="preserve">I </w:t>
      </w:r>
      <w:proofErr w:type="gramStart"/>
      <w:r w:rsidR="003D7B43" w:rsidRPr="00EB1A2D">
        <w:rPr>
          <w:u w:val="none"/>
          <w:lang w:val="en-ZA"/>
        </w:rPr>
        <w:t xml:space="preserve">am </w:t>
      </w:r>
      <w:r w:rsidR="00FF3776" w:rsidRPr="00EB1A2D">
        <w:rPr>
          <w:u w:val="none"/>
          <w:lang w:val="en-ZA"/>
        </w:rPr>
        <w:t xml:space="preserve"> </w:t>
      </w:r>
      <w:r w:rsidR="001E288B" w:rsidRPr="00EB1A2D">
        <w:rPr>
          <w:u w:val="none"/>
          <w:lang w:val="en-ZA"/>
        </w:rPr>
        <w:t>bound</w:t>
      </w:r>
      <w:proofErr w:type="gramEnd"/>
      <w:r w:rsidR="001E288B" w:rsidRPr="00EB1A2D">
        <w:rPr>
          <w:u w:val="none"/>
          <w:lang w:val="en-ZA"/>
        </w:rPr>
        <w:t xml:space="preserve"> by</w:t>
      </w:r>
      <w:r w:rsidR="00564879" w:rsidRPr="00EB1A2D">
        <w:rPr>
          <w:u w:val="none"/>
          <w:lang w:val="en-ZA"/>
        </w:rPr>
        <w:t xml:space="preserve"> the </w:t>
      </w:r>
      <w:proofErr w:type="spellStart"/>
      <w:r w:rsidR="00564879" w:rsidRPr="00EB1A2D">
        <w:rPr>
          <w:u w:val="none"/>
          <w:lang w:val="en-ZA"/>
        </w:rPr>
        <w:t>Nkata</w:t>
      </w:r>
      <w:proofErr w:type="spellEnd"/>
      <w:r w:rsidR="00564879" w:rsidRPr="00EB1A2D">
        <w:rPr>
          <w:u w:val="none"/>
          <w:lang w:val="en-ZA"/>
        </w:rPr>
        <w:t xml:space="preserve"> </w:t>
      </w:r>
      <w:r w:rsidR="001E288B" w:rsidRPr="00EB1A2D">
        <w:rPr>
          <w:u w:val="none"/>
          <w:lang w:val="en-ZA"/>
        </w:rPr>
        <w:t>decision</w:t>
      </w:r>
      <w:r w:rsidR="00FF3776" w:rsidRPr="00EB1A2D">
        <w:rPr>
          <w:u w:val="none"/>
          <w:lang w:val="en-ZA"/>
        </w:rPr>
        <w:t xml:space="preserve">, not the </w:t>
      </w:r>
      <w:proofErr w:type="spellStart"/>
      <w:r w:rsidR="00FF3776" w:rsidRPr="00EB1A2D">
        <w:rPr>
          <w:u w:val="none"/>
          <w:lang w:val="en-ZA"/>
        </w:rPr>
        <w:t>Mollentze</w:t>
      </w:r>
      <w:proofErr w:type="spellEnd"/>
      <w:r w:rsidR="00FF3776" w:rsidRPr="00EB1A2D">
        <w:rPr>
          <w:u w:val="none"/>
          <w:lang w:val="en-ZA"/>
        </w:rPr>
        <w:t xml:space="preserve"> dec</w:t>
      </w:r>
      <w:r w:rsidR="00D479D7" w:rsidRPr="00EB1A2D">
        <w:rPr>
          <w:u w:val="none"/>
          <w:lang w:val="en-ZA"/>
        </w:rPr>
        <w:t>i</w:t>
      </w:r>
      <w:r w:rsidR="00FF3776" w:rsidRPr="00EB1A2D">
        <w:rPr>
          <w:u w:val="none"/>
          <w:lang w:val="en-ZA"/>
        </w:rPr>
        <w:t>sion</w:t>
      </w:r>
      <w:r w:rsidR="001E288B" w:rsidRPr="00EB1A2D">
        <w:rPr>
          <w:u w:val="none"/>
          <w:lang w:val="en-ZA"/>
        </w:rPr>
        <w:t>.</w:t>
      </w:r>
    </w:p>
    <w:p w14:paraId="46859898" w14:textId="2BD87889" w:rsidR="005B5F42" w:rsidRPr="00D479D7" w:rsidRDefault="005B5F42" w:rsidP="005B5F42">
      <w:pPr>
        <w:tabs>
          <w:tab w:val="right" w:pos="8280"/>
        </w:tabs>
        <w:spacing w:before="480" w:line="480" w:lineRule="auto"/>
        <w:jc w:val="both"/>
        <w:rPr>
          <w:b/>
          <w:bCs/>
          <w:u w:val="none"/>
          <w:lang w:val="en-ZA"/>
        </w:rPr>
      </w:pPr>
      <w:r w:rsidRPr="00D479D7">
        <w:rPr>
          <w:b/>
          <w:bCs/>
          <w:u w:val="none"/>
          <w:lang w:val="en-ZA"/>
        </w:rPr>
        <w:t>The provisions of the NCA</w:t>
      </w:r>
    </w:p>
    <w:p w14:paraId="4EBEC42A" w14:textId="484CBD63" w:rsidR="007A25E1" w:rsidRPr="00EB1A2D" w:rsidRDefault="00EB1A2D" w:rsidP="00EB1A2D">
      <w:pPr>
        <w:tabs>
          <w:tab w:val="left" w:pos="851"/>
          <w:tab w:val="right" w:pos="8280"/>
        </w:tabs>
        <w:spacing w:before="480" w:line="480" w:lineRule="auto"/>
        <w:ind w:left="851" w:hanging="851"/>
        <w:jc w:val="both"/>
        <w:rPr>
          <w:u w:val="none"/>
          <w:lang w:val="en-ZA"/>
        </w:rPr>
      </w:pPr>
      <w:r w:rsidRPr="00425454">
        <w:rPr>
          <w:u w:val="none"/>
          <w:lang w:val="en-ZA"/>
        </w:rPr>
        <w:t>[12]</w:t>
      </w:r>
      <w:r w:rsidRPr="00425454">
        <w:rPr>
          <w:u w:val="none"/>
          <w:lang w:val="en-ZA"/>
        </w:rPr>
        <w:tab/>
      </w:r>
      <w:r w:rsidR="00372B40" w:rsidRPr="00EB1A2D">
        <w:rPr>
          <w:u w:val="none"/>
          <w:lang w:val="en-ZA"/>
        </w:rPr>
        <w:t xml:space="preserve">The NCA regulates instalment sale agreements.  The long title of the NCA states that it was promulgated, </w:t>
      </w:r>
      <w:r w:rsidR="00372B40" w:rsidRPr="00EB1A2D">
        <w:rPr>
          <w:i/>
          <w:u w:val="none"/>
          <w:lang w:val="en-ZA"/>
        </w:rPr>
        <w:t>inter alia</w:t>
      </w:r>
      <w:r w:rsidR="00372B40" w:rsidRPr="00EB1A2D">
        <w:rPr>
          <w:u w:val="none"/>
          <w:lang w:val="en-ZA"/>
        </w:rPr>
        <w:t>, “</w:t>
      </w:r>
      <w:r w:rsidR="00372B40" w:rsidRPr="00EB1A2D">
        <w:rPr>
          <w:i/>
          <w:u w:val="none"/>
          <w:lang w:val="en-ZA"/>
        </w:rPr>
        <w:t>to promote a fair non-discriminatory marketplace … [and] to provide for the general regulation of consumer credit and improve standards of credit information</w:t>
      </w:r>
      <w:r w:rsidR="00372B40" w:rsidRPr="00EB1A2D">
        <w:rPr>
          <w:u w:val="none"/>
          <w:lang w:val="en-ZA"/>
        </w:rPr>
        <w:t>”</w:t>
      </w:r>
      <w:r w:rsidR="00425454" w:rsidRPr="00EB1A2D">
        <w:rPr>
          <w:u w:val="none"/>
          <w:lang w:val="en-ZA"/>
        </w:rPr>
        <w:t>.</w:t>
      </w:r>
    </w:p>
    <w:p w14:paraId="6F05F2B6" w14:textId="7907B9F1" w:rsidR="00372B40" w:rsidRPr="00EB1A2D" w:rsidRDefault="00EB1A2D" w:rsidP="00EB1A2D">
      <w:pPr>
        <w:tabs>
          <w:tab w:val="left" w:pos="851"/>
          <w:tab w:val="right" w:pos="8280"/>
        </w:tabs>
        <w:spacing w:before="480" w:line="480" w:lineRule="auto"/>
        <w:ind w:left="851" w:hanging="851"/>
        <w:jc w:val="both"/>
        <w:rPr>
          <w:u w:val="none"/>
          <w:lang w:val="en-ZA"/>
        </w:rPr>
      </w:pPr>
      <w:r w:rsidRPr="00425454">
        <w:rPr>
          <w:u w:val="none"/>
          <w:lang w:val="en-ZA"/>
        </w:rPr>
        <w:t>[13]</w:t>
      </w:r>
      <w:r w:rsidRPr="00425454">
        <w:rPr>
          <w:u w:val="none"/>
          <w:lang w:val="en-ZA"/>
        </w:rPr>
        <w:tab/>
      </w:r>
      <w:r w:rsidR="00372B40" w:rsidRPr="00EB1A2D">
        <w:rPr>
          <w:u w:val="none"/>
          <w:lang w:val="en-ZA"/>
        </w:rPr>
        <w:t>The purpose of the NCA is set out in section 3, recording that:</w:t>
      </w:r>
    </w:p>
    <w:p w14:paraId="243E664D" w14:textId="4E4501B4" w:rsidR="00372B40" w:rsidRPr="00425454" w:rsidRDefault="00372B40" w:rsidP="00425454">
      <w:pPr>
        <w:pStyle w:val="ListParagraph"/>
        <w:tabs>
          <w:tab w:val="right" w:pos="8280"/>
        </w:tabs>
        <w:spacing w:before="480" w:line="480" w:lineRule="auto"/>
        <w:ind w:left="1418"/>
        <w:contextualSpacing w:val="0"/>
        <w:jc w:val="both"/>
        <w:rPr>
          <w:i/>
          <w:u w:val="none"/>
          <w:lang w:val="en-ZA"/>
        </w:rPr>
      </w:pPr>
      <w:r w:rsidRPr="00425454">
        <w:rPr>
          <w:u w:val="none"/>
          <w:lang w:val="en-ZA"/>
        </w:rPr>
        <w:t>“</w:t>
      </w:r>
      <w:r w:rsidRPr="00425454">
        <w:rPr>
          <w:i/>
          <w:u w:val="none"/>
          <w:lang w:val="en-ZA"/>
        </w:rPr>
        <w:t>The purpose</w:t>
      </w:r>
      <w:r w:rsidR="003F6EEB" w:rsidRPr="00425454">
        <w:rPr>
          <w:i/>
          <w:u w:val="none"/>
          <w:lang w:val="en-ZA"/>
        </w:rPr>
        <w:t>s</w:t>
      </w:r>
      <w:r w:rsidRPr="00425454">
        <w:rPr>
          <w:i/>
          <w:u w:val="none"/>
          <w:lang w:val="en-ZA"/>
        </w:rPr>
        <w:t xml:space="preserve"> of this Act are to promote and advance the social and economic welfare of South Africans, to promote a fair, transparent and competitive, sustainable, responsible, efficient, </w:t>
      </w:r>
      <w:r w:rsidR="00D479D7" w:rsidRPr="00425454">
        <w:rPr>
          <w:i/>
          <w:u w:val="none"/>
          <w:lang w:val="en-ZA"/>
        </w:rPr>
        <w:t>effective,</w:t>
      </w:r>
      <w:r w:rsidRPr="00425454">
        <w:rPr>
          <w:i/>
          <w:u w:val="none"/>
          <w:lang w:val="en-ZA"/>
        </w:rPr>
        <w:t xml:space="preserve"> and accessible credit market and industry and to protect consumers, by –</w:t>
      </w:r>
    </w:p>
    <w:p w14:paraId="25B8D15C" w14:textId="77777777" w:rsidR="003F6EEB" w:rsidRPr="003F6EEB" w:rsidRDefault="00481BF5" w:rsidP="00425454">
      <w:pPr>
        <w:pStyle w:val="ListParagraph"/>
        <w:tabs>
          <w:tab w:val="right" w:pos="8280"/>
        </w:tabs>
        <w:spacing w:before="480" w:line="480" w:lineRule="auto"/>
        <w:ind w:left="1418"/>
        <w:contextualSpacing w:val="0"/>
        <w:jc w:val="both"/>
        <w:rPr>
          <w:i/>
          <w:u w:val="none"/>
          <w:lang w:val="en-ZA"/>
        </w:rPr>
      </w:pPr>
      <w:r w:rsidRPr="00425454">
        <w:rPr>
          <w:i/>
          <w:u w:val="none"/>
          <w:lang w:val="en-ZA"/>
        </w:rPr>
        <w:t xml:space="preserve">… </w:t>
      </w:r>
    </w:p>
    <w:p w14:paraId="19A58A63" w14:textId="12EEC3D3" w:rsidR="00481BF5" w:rsidRPr="003F6EEB" w:rsidRDefault="003F6EEB" w:rsidP="003F6EEB">
      <w:pPr>
        <w:pStyle w:val="ListParagraph"/>
        <w:tabs>
          <w:tab w:val="left" w:pos="1985"/>
          <w:tab w:val="right" w:pos="8280"/>
        </w:tabs>
        <w:spacing w:before="480" w:line="480" w:lineRule="auto"/>
        <w:ind w:left="1985" w:hanging="567"/>
        <w:contextualSpacing w:val="0"/>
        <w:jc w:val="both"/>
        <w:rPr>
          <w:u w:val="none"/>
          <w:lang w:val="en-ZA"/>
        </w:rPr>
      </w:pPr>
      <w:r w:rsidRPr="003F6EEB">
        <w:rPr>
          <w:i/>
          <w:u w:val="none"/>
          <w:lang w:val="en-ZA"/>
        </w:rPr>
        <w:t>(</w:t>
      </w:r>
      <w:proofErr w:type="spellStart"/>
      <w:r w:rsidRPr="003F6EEB">
        <w:rPr>
          <w:i/>
          <w:u w:val="none"/>
          <w:lang w:val="en-ZA"/>
        </w:rPr>
        <w:t>i</w:t>
      </w:r>
      <w:proofErr w:type="spellEnd"/>
      <w:r w:rsidRPr="003F6EEB">
        <w:rPr>
          <w:i/>
          <w:u w:val="none"/>
          <w:lang w:val="en-ZA"/>
        </w:rPr>
        <w:t>)</w:t>
      </w:r>
      <w:r w:rsidRPr="003F6EEB">
        <w:rPr>
          <w:i/>
          <w:u w:val="none"/>
          <w:lang w:val="en-ZA"/>
        </w:rPr>
        <w:tab/>
      </w:r>
      <w:r w:rsidR="00481BF5" w:rsidRPr="003F6EEB">
        <w:rPr>
          <w:i/>
          <w:u w:val="none"/>
          <w:lang w:val="en-ZA"/>
        </w:rPr>
        <w:t>by providing for a consistent and harmonise</w:t>
      </w:r>
      <w:r w:rsidRPr="003F6EEB">
        <w:rPr>
          <w:i/>
          <w:u w:val="none"/>
          <w:lang w:val="en-ZA"/>
        </w:rPr>
        <w:t>d</w:t>
      </w:r>
      <w:r w:rsidR="00481BF5" w:rsidRPr="003F6EEB">
        <w:rPr>
          <w:i/>
          <w:u w:val="none"/>
          <w:lang w:val="en-ZA"/>
        </w:rPr>
        <w:t xml:space="preserve"> system of debt restructuring, enforcement and judgment which place</w:t>
      </w:r>
      <w:r w:rsidRPr="003F6EEB">
        <w:rPr>
          <w:i/>
          <w:u w:val="none"/>
          <w:lang w:val="en-ZA"/>
        </w:rPr>
        <w:t>s</w:t>
      </w:r>
      <w:r w:rsidR="00481BF5" w:rsidRPr="003F6EEB">
        <w:rPr>
          <w:i/>
          <w:u w:val="none"/>
          <w:lang w:val="en-ZA"/>
        </w:rPr>
        <w:t xml:space="preserve"> </w:t>
      </w:r>
      <w:r w:rsidR="00481BF5" w:rsidRPr="003F6EEB">
        <w:rPr>
          <w:i/>
          <w:u w:val="none"/>
          <w:lang w:val="en-ZA"/>
        </w:rPr>
        <w:lastRenderedPageBreak/>
        <w:t>priority on the eventual satisfaction of all responsible consumer obligations under credit agreements.</w:t>
      </w:r>
      <w:r w:rsidR="00481BF5" w:rsidRPr="003F6EEB">
        <w:rPr>
          <w:u w:val="none"/>
          <w:lang w:val="en-ZA"/>
        </w:rPr>
        <w:t>”</w:t>
      </w:r>
    </w:p>
    <w:p w14:paraId="0DF077CC" w14:textId="156838BA" w:rsidR="00372B40" w:rsidRPr="00EB1A2D" w:rsidRDefault="00EB1A2D" w:rsidP="00EB1A2D">
      <w:pPr>
        <w:tabs>
          <w:tab w:val="left" w:pos="851"/>
          <w:tab w:val="right" w:pos="8280"/>
        </w:tabs>
        <w:spacing w:before="480" w:line="480" w:lineRule="auto"/>
        <w:ind w:left="851" w:hanging="851"/>
        <w:jc w:val="both"/>
        <w:rPr>
          <w:u w:val="none"/>
          <w:lang w:val="en-ZA"/>
        </w:rPr>
      </w:pPr>
      <w:r w:rsidRPr="00425454">
        <w:rPr>
          <w:u w:val="none"/>
          <w:lang w:val="en-ZA"/>
        </w:rPr>
        <w:t>[14]</w:t>
      </w:r>
      <w:r w:rsidRPr="00425454">
        <w:rPr>
          <w:u w:val="none"/>
          <w:lang w:val="en-ZA"/>
        </w:rPr>
        <w:tab/>
      </w:r>
      <w:r w:rsidR="00481BF5" w:rsidRPr="00EB1A2D">
        <w:rPr>
          <w:u w:val="none"/>
          <w:lang w:val="en-ZA"/>
        </w:rPr>
        <w:t xml:space="preserve">The purpose of the Act to provide a harmonised system of enforcement and judgment is realised in s 130, which details the procedures a </w:t>
      </w:r>
      <w:r w:rsidR="00481BF5" w:rsidRPr="00EB1A2D">
        <w:rPr>
          <w:b/>
          <w:bCs/>
          <w:u w:val="none"/>
          <w:lang w:val="en-ZA"/>
        </w:rPr>
        <w:t>credit provider must follow to enforce a credit agreement</w:t>
      </w:r>
      <w:r w:rsidR="00481BF5" w:rsidRPr="00EB1A2D">
        <w:rPr>
          <w:u w:val="none"/>
          <w:lang w:val="en-ZA"/>
        </w:rPr>
        <w:t>.  A credit provider may only approach the Court once it has complied with specific procedural steps and after giving notice as specified to the credit receiver in writing.  S130(3) further specifies that “</w:t>
      </w:r>
      <w:r w:rsidR="00481BF5" w:rsidRPr="00EB1A2D">
        <w:rPr>
          <w:b/>
          <w:bCs/>
          <w:i/>
          <w:u w:val="none"/>
          <w:lang w:val="en-ZA"/>
        </w:rPr>
        <w:t>despite any provision of the law or contract to the contrar</w:t>
      </w:r>
      <w:r w:rsidR="00481BF5" w:rsidRPr="00EB1A2D">
        <w:rPr>
          <w:i/>
          <w:u w:val="none"/>
          <w:lang w:val="en-ZA"/>
        </w:rPr>
        <w:t>y, any proceedings commenced in a court in respect of a credit agreement to which the Act applies</w:t>
      </w:r>
      <w:r w:rsidR="00481BF5" w:rsidRPr="00EB1A2D">
        <w:rPr>
          <w:b/>
          <w:bCs/>
          <w:i/>
          <w:u w:val="none"/>
          <w:lang w:val="en-ZA"/>
        </w:rPr>
        <w:t>, the court may only determine the matter</w:t>
      </w:r>
      <w:r w:rsidR="00481BF5" w:rsidRPr="00EB1A2D">
        <w:rPr>
          <w:i/>
          <w:u w:val="none"/>
          <w:lang w:val="en-ZA"/>
        </w:rPr>
        <w:t xml:space="preserve"> if the court is satisfied that…</w:t>
      </w:r>
      <w:r w:rsidR="00481BF5" w:rsidRPr="00EB1A2D">
        <w:rPr>
          <w:u w:val="none"/>
          <w:lang w:val="en-ZA"/>
        </w:rPr>
        <w:t>” certain specific procedural requirements of the Act have been met.</w:t>
      </w:r>
    </w:p>
    <w:p w14:paraId="26147C5B" w14:textId="0500ECF3" w:rsidR="00481BF5" w:rsidRPr="00EB1A2D" w:rsidRDefault="00EB1A2D" w:rsidP="00EB1A2D">
      <w:pPr>
        <w:tabs>
          <w:tab w:val="left" w:pos="851"/>
          <w:tab w:val="right" w:pos="8280"/>
        </w:tabs>
        <w:spacing w:before="480" w:line="480" w:lineRule="auto"/>
        <w:ind w:left="851" w:hanging="851"/>
        <w:jc w:val="both"/>
        <w:rPr>
          <w:u w:val="none"/>
          <w:lang w:val="en-ZA"/>
        </w:rPr>
      </w:pPr>
      <w:r w:rsidRPr="00425454">
        <w:rPr>
          <w:u w:val="none"/>
          <w:lang w:val="en-ZA"/>
        </w:rPr>
        <w:t>[15]</w:t>
      </w:r>
      <w:r w:rsidRPr="00425454">
        <w:rPr>
          <w:u w:val="none"/>
          <w:lang w:val="en-ZA"/>
        </w:rPr>
        <w:tab/>
      </w:r>
      <w:r w:rsidR="00481BF5" w:rsidRPr="00EB1A2D">
        <w:rPr>
          <w:u w:val="none"/>
          <w:lang w:val="en-ZA"/>
        </w:rPr>
        <w:t xml:space="preserve">As the Supreme Court noted, in </w:t>
      </w:r>
      <w:r w:rsidR="00481BF5" w:rsidRPr="00EB1A2D">
        <w:rPr>
          <w:i/>
          <w:u w:val="none"/>
          <w:lang w:val="en-ZA"/>
        </w:rPr>
        <w:t xml:space="preserve">FirstRand Bank Limited t/a </w:t>
      </w:r>
      <w:proofErr w:type="spellStart"/>
      <w:r w:rsidR="00481BF5" w:rsidRPr="00EB1A2D">
        <w:rPr>
          <w:i/>
          <w:u w:val="none"/>
          <w:lang w:val="en-ZA"/>
        </w:rPr>
        <w:t>Wesbank</w:t>
      </w:r>
      <w:proofErr w:type="spellEnd"/>
      <w:r w:rsidR="00481BF5" w:rsidRPr="00EB1A2D">
        <w:rPr>
          <w:i/>
          <w:u w:val="none"/>
          <w:lang w:val="en-ZA"/>
        </w:rPr>
        <w:t xml:space="preserve"> v Davel</w:t>
      </w:r>
      <w:r w:rsidR="00481BF5" w:rsidRPr="00EB1A2D">
        <w:rPr>
          <w:u w:val="none"/>
          <w:lang w:val="en-ZA"/>
        </w:rPr>
        <w:t xml:space="preserve"> </w:t>
      </w:r>
      <w:r w:rsidR="00481BF5" w:rsidRPr="00EB1A2D">
        <w:rPr>
          <w:i/>
          <w:u w:val="none"/>
          <w:lang w:val="en-ZA"/>
        </w:rPr>
        <w:t>(University of the Free State Law Clinic as amicus curiae)</w:t>
      </w:r>
      <w:r w:rsidR="00481BF5" w:rsidRPr="00EB1A2D">
        <w:rPr>
          <w:u w:val="none"/>
          <w:lang w:val="en-ZA"/>
        </w:rPr>
        <w:t>,</w:t>
      </w:r>
      <w:r w:rsidR="00481BF5" w:rsidRPr="00425454">
        <w:rPr>
          <w:rStyle w:val="FootnoteReference"/>
          <w:u w:val="none"/>
          <w:lang w:val="en-ZA"/>
        </w:rPr>
        <w:footnoteReference w:id="10"/>
      </w:r>
      <w:r w:rsidR="00481BF5" w:rsidRPr="00EB1A2D">
        <w:rPr>
          <w:u w:val="none"/>
          <w:lang w:val="en-ZA"/>
        </w:rPr>
        <w:t xml:space="preserve"> it is clear from these provisions that the legislature was intent on ensuring that sufficient protections are provided to ensure that, on termination of the credit agreement, a consumer is protected.</w:t>
      </w:r>
      <w:r w:rsidR="000B47B1" w:rsidRPr="00EB1A2D">
        <w:rPr>
          <w:u w:val="none"/>
          <w:lang w:val="en-ZA"/>
        </w:rPr>
        <w:t xml:space="preserve"> </w:t>
      </w:r>
      <w:r w:rsidR="007A3B10" w:rsidRPr="00EB1A2D">
        <w:rPr>
          <w:u w:val="none"/>
          <w:lang w:val="en-ZA"/>
        </w:rPr>
        <w:t xml:space="preserve">These </w:t>
      </w:r>
      <w:r w:rsidR="008A3B8B" w:rsidRPr="00EB1A2D">
        <w:rPr>
          <w:u w:val="none"/>
          <w:lang w:val="en-ZA"/>
        </w:rPr>
        <w:t xml:space="preserve">consumer </w:t>
      </w:r>
      <w:r w:rsidR="007A3B10" w:rsidRPr="00EB1A2D">
        <w:rPr>
          <w:u w:val="none"/>
          <w:lang w:val="en-ZA"/>
        </w:rPr>
        <w:t>protections include the court’s oversight</w:t>
      </w:r>
      <w:r w:rsidR="008A3B8B" w:rsidRPr="00EB1A2D">
        <w:rPr>
          <w:u w:val="none"/>
          <w:lang w:val="en-ZA"/>
        </w:rPr>
        <w:t xml:space="preserve"> </w:t>
      </w:r>
      <w:r w:rsidR="007A3B10" w:rsidRPr="00EB1A2D">
        <w:rPr>
          <w:u w:val="none"/>
          <w:lang w:val="en-ZA"/>
        </w:rPr>
        <w:t>of the enforcement of credit agreements.</w:t>
      </w:r>
    </w:p>
    <w:p w14:paraId="6800441A" w14:textId="00BC0219" w:rsidR="003F6EEB" w:rsidRPr="00EB1A2D" w:rsidRDefault="00EB1A2D" w:rsidP="00EB1A2D">
      <w:pPr>
        <w:tabs>
          <w:tab w:val="left" w:pos="851"/>
          <w:tab w:val="right" w:pos="8280"/>
        </w:tabs>
        <w:spacing w:before="480" w:line="480" w:lineRule="auto"/>
        <w:ind w:left="851" w:hanging="851"/>
        <w:jc w:val="both"/>
        <w:rPr>
          <w:u w:val="none"/>
          <w:lang w:val="en-ZA"/>
        </w:rPr>
      </w:pPr>
      <w:r>
        <w:rPr>
          <w:u w:val="none"/>
          <w:lang w:val="en-ZA"/>
        </w:rPr>
        <w:lastRenderedPageBreak/>
        <w:t>[16]</w:t>
      </w:r>
      <w:r>
        <w:rPr>
          <w:u w:val="none"/>
          <w:lang w:val="en-ZA"/>
        </w:rPr>
        <w:tab/>
      </w:r>
      <w:r w:rsidR="00481BF5" w:rsidRPr="00EB1A2D">
        <w:rPr>
          <w:u w:val="none"/>
          <w:lang w:val="en-ZA"/>
        </w:rPr>
        <w:t xml:space="preserve">The </w:t>
      </w:r>
      <w:r w:rsidR="007640EC" w:rsidRPr="00EB1A2D">
        <w:rPr>
          <w:u w:val="none"/>
          <w:lang w:val="en-ZA"/>
        </w:rPr>
        <w:t>Absa Bank</w:t>
      </w:r>
      <w:r w:rsidR="00481BF5" w:rsidRPr="00EB1A2D">
        <w:rPr>
          <w:u w:val="none"/>
          <w:lang w:val="en-ZA"/>
        </w:rPr>
        <w:t xml:space="preserve">, argues that, despite the specific wording of the Act requiring </w:t>
      </w:r>
      <w:r w:rsidR="00481BF5" w:rsidRPr="00EB1A2D">
        <w:rPr>
          <w:b/>
          <w:bCs/>
          <w:u w:val="none"/>
          <w:lang w:val="en-ZA"/>
        </w:rPr>
        <w:t xml:space="preserve">the </w:t>
      </w:r>
      <w:r w:rsidR="007640EC" w:rsidRPr="00EB1A2D">
        <w:rPr>
          <w:b/>
          <w:bCs/>
          <w:u w:val="none"/>
          <w:lang w:val="en-ZA"/>
        </w:rPr>
        <w:t>c</w:t>
      </w:r>
      <w:r w:rsidR="00481BF5" w:rsidRPr="00EB1A2D">
        <w:rPr>
          <w:b/>
          <w:bCs/>
          <w:u w:val="none"/>
          <w:lang w:val="en-ZA"/>
        </w:rPr>
        <w:t>ourt to determine the enforcement</w:t>
      </w:r>
      <w:r w:rsidR="00481BF5" w:rsidRPr="00EB1A2D">
        <w:rPr>
          <w:u w:val="none"/>
          <w:lang w:val="en-ZA"/>
        </w:rPr>
        <w:t xml:space="preserve"> of a credit agreement, the default judgment granted by the </w:t>
      </w:r>
      <w:r w:rsidR="0027198D" w:rsidRPr="00EB1A2D">
        <w:rPr>
          <w:u w:val="none"/>
          <w:lang w:val="en-ZA"/>
        </w:rPr>
        <w:t>r</w:t>
      </w:r>
      <w:r w:rsidR="00481BF5" w:rsidRPr="00EB1A2D">
        <w:rPr>
          <w:u w:val="none"/>
          <w:lang w:val="en-ZA"/>
        </w:rPr>
        <w:t xml:space="preserve">egistrar of this </w:t>
      </w:r>
      <w:r w:rsidR="007640EC" w:rsidRPr="00EB1A2D">
        <w:rPr>
          <w:u w:val="none"/>
          <w:lang w:val="en-ZA"/>
        </w:rPr>
        <w:t>c</w:t>
      </w:r>
      <w:r w:rsidR="00481BF5" w:rsidRPr="00EB1A2D">
        <w:rPr>
          <w:u w:val="none"/>
          <w:lang w:val="en-ZA"/>
        </w:rPr>
        <w:t>ourt on 25 March 2022 was competent.</w:t>
      </w:r>
      <w:r w:rsidR="003F6EEB" w:rsidRPr="00EB1A2D">
        <w:rPr>
          <w:u w:val="none"/>
          <w:lang w:val="en-ZA"/>
        </w:rPr>
        <w:t xml:space="preserve"> </w:t>
      </w:r>
      <w:r w:rsidR="0027198D" w:rsidRPr="00EB1A2D">
        <w:rPr>
          <w:u w:val="none"/>
          <w:lang w:val="en-ZA"/>
        </w:rPr>
        <w:t xml:space="preserve">Absa Bank </w:t>
      </w:r>
      <w:r w:rsidR="003F6EEB" w:rsidRPr="00EB1A2D">
        <w:rPr>
          <w:u w:val="none"/>
          <w:lang w:val="en-ZA"/>
        </w:rPr>
        <w:t>relies</w:t>
      </w:r>
      <w:r w:rsidR="00D479D7" w:rsidRPr="00EB1A2D">
        <w:rPr>
          <w:u w:val="none"/>
          <w:lang w:val="en-ZA"/>
        </w:rPr>
        <w:t xml:space="preserve"> on</w:t>
      </w:r>
      <w:r w:rsidR="003F6EEB" w:rsidRPr="00EB1A2D">
        <w:rPr>
          <w:u w:val="none"/>
          <w:lang w:val="en-ZA"/>
        </w:rPr>
        <w:t xml:space="preserve"> </w:t>
      </w:r>
      <w:bookmarkStart w:id="0" w:name="_Hlk125969707"/>
      <w:r w:rsidR="007640EC" w:rsidRPr="00EB1A2D">
        <w:rPr>
          <w:iCs/>
          <w:u w:val="none"/>
          <w:lang w:val="en-ZA"/>
        </w:rPr>
        <w:t xml:space="preserve">the </w:t>
      </w:r>
      <w:proofErr w:type="spellStart"/>
      <w:r w:rsidR="007640EC" w:rsidRPr="00EB1A2D">
        <w:rPr>
          <w:iCs/>
          <w:u w:val="none"/>
          <w:lang w:val="en-ZA"/>
        </w:rPr>
        <w:t>Mollentze</w:t>
      </w:r>
      <w:proofErr w:type="spellEnd"/>
      <w:r w:rsidR="007640EC" w:rsidRPr="00EB1A2D">
        <w:rPr>
          <w:iCs/>
          <w:u w:val="none"/>
          <w:lang w:val="en-ZA"/>
        </w:rPr>
        <w:t xml:space="preserve"> decision</w:t>
      </w:r>
      <w:r w:rsidR="001E288B" w:rsidRPr="00EB1A2D">
        <w:rPr>
          <w:iCs/>
          <w:u w:val="none"/>
          <w:lang w:val="en-ZA"/>
        </w:rPr>
        <w:t>.</w:t>
      </w:r>
    </w:p>
    <w:bookmarkEnd w:id="0"/>
    <w:p w14:paraId="758E31DF" w14:textId="2FB21F2A" w:rsidR="00481BF5" w:rsidRPr="00EB1A2D" w:rsidRDefault="00EB1A2D" w:rsidP="00EB1A2D">
      <w:pPr>
        <w:tabs>
          <w:tab w:val="left" w:pos="851"/>
          <w:tab w:val="right" w:pos="8280"/>
        </w:tabs>
        <w:spacing w:before="480" w:line="480" w:lineRule="auto"/>
        <w:ind w:left="851" w:hanging="851"/>
        <w:jc w:val="both"/>
        <w:rPr>
          <w:u w:val="none"/>
          <w:lang w:val="en-ZA"/>
        </w:rPr>
      </w:pPr>
      <w:r w:rsidRPr="006F75B7">
        <w:rPr>
          <w:u w:val="none"/>
          <w:lang w:val="en-ZA"/>
        </w:rPr>
        <w:t>[17]</w:t>
      </w:r>
      <w:r w:rsidRPr="006F75B7">
        <w:rPr>
          <w:u w:val="none"/>
          <w:lang w:val="en-ZA"/>
        </w:rPr>
        <w:tab/>
      </w:r>
      <w:r w:rsidR="00142098" w:rsidRPr="00EB1A2D">
        <w:rPr>
          <w:u w:val="none"/>
          <w:lang w:val="en-ZA"/>
        </w:rPr>
        <w:t xml:space="preserve">The </w:t>
      </w:r>
      <w:proofErr w:type="gramStart"/>
      <w:r w:rsidR="00142098" w:rsidRPr="00EB1A2D">
        <w:rPr>
          <w:u w:val="none"/>
          <w:lang w:val="en-ZA"/>
        </w:rPr>
        <w:t xml:space="preserve">applicant, </w:t>
      </w:r>
      <w:r w:rsidR="003F6EEB" w:rsidRPr="00EB1A2D">
        <w:rPr>
          <w:u w:val="none"/>
          <w:lang w:val="en-ZA"/>
        </w:rPr>
        <w:t xml:space="preserve"> in</w:t>
      </w:r>
      <w:proofErr w:type="gramEnd"/>
      <w:r w:rsidR="003F6EEB" w:rsidRPr="00EB1A2D">
        <w:rPr>
          <w:u w:val="none"/>
          <w:lang w:val="en-ZA"/>
        </w:rPr>
        <w:t xml:space="preserve"> contrast, relies on the </w:t>
      </w:r>
      <w:r w:rsidR="00704113" w:rsidRPr="00EB1A2D">
        <w:rPr>
          <w:iCs/>
          <w:u w:val="none"/>
          <w:lang w:val="en-ZA"/>
        </w:rPr>
        <w:t xml:space="preserve"> </w:t>
      </w:r>
      <w:proofErr w:type="spellStart"/>
      <w:r w:rsidR="00704113" w:rsidRPr="00EB1A2D">
        <w:rPr>
          <w:iCs/>
          <w:u w:val="none"/>
          <w:lang w:val="en-ZA"/>
        </w:rPr>
        <w:t>Nkata</w:t>
      </w:r>
      <w:proofErr w:type="spellEnd"/>
      <w:r w:rsidR="00704113" w:rsidRPr="00EB1A2D">
        <w:rPr>
          <w:iCs/>
          <w:u w:val="none"/>
          <w:lang w:val="en-ZA"/>
        </w:rPr>
        <w:t xml:space="preserve"> decision</w:t>
      </w:r>
      <w:r w:rsidR="001E288B" w:rsidRPr="00EB1A2D">
        <w:rPr>
          <w:iCs/>
          <w:u w:val="none"/>
          <w:lang w:val="en-ZA"/>
        </w:rPr>
        <w:t>.</w:t>
      </w:r>
    </w:p>
    <w:p w14:paraId="3C2EC400" w14:textId="06C266DB" w:rsidR="003F6EEB" w:rsidRPr="00EB1A2D" w:rsidRDefault="00EB1A2D" w:rsidP="00EB1A2D">
      <w:pPr>
        <w:tabs>
          <w:tab w:val="left" w:pos="851"/>
          <w:tab w:val="right" w:pos="8280"/>
        </w:tabs>
        <w:spacing w:before="480" w:line="480" w:lineRule="auto"/>
        <w:ind w:left="851" w:hanging="851"/>
        <w:jc w:val="both"/>
        <w:rPr>
          <w:u w:val="none"/>
          <w:lang w:val="en-ZA"/>
        </w:rPr>
      </w:pPr>
      <w:r>
        <w:rPr>
          <w:u w:val="none"/>
          <w:lang w:val="en-ZA"/>
        </w:rPr>
        <w:t>[18]</w:t>
      </w:r>
      <w:r>
        <w:rPr>
          <w:u w:val="none"/>
          <w:lang w:val="en-ZA"/>
        </w:rPr>
        <w:tab/>
      </w:r>
      <w:r w:rsidR="003F6EEB" w:rsidRPr="00EB1A2D">
        <w:rPr>
          <w:u w:val="none"/>
          <w:lang w:val="en-ZA"/>
        </w:rPr>
        <w:t xml:space="preserve">The applicant’s argument is supported by an unreported decision of the Free State Division, Bloemfontein, </w:t>
      </w:r>
      <w:proofErr w:type="spellStart"/>
      <w:r w:rsidR="003F6EEB" w:rsidRPr="00EB1A2D">
        <w:rPr>
          <w:i/>
          <w:u w:val="none"/>
          <w:lang w:val="en-ZA"/>
        </w:rPr>
        <w:t>Gcasamba</w:t>
      </w:r>
      <w:proofErr w:type="spellEnd"/>
      <w:r w:rsidR="003F6EEB" w:rsidRPr="00EB1A2D">
        <w:rPr>
          <w:i/>
          <w:u w:val="none"/>
          <w:lang w:val="en-ZA"/>
        </w:rPr>
        <w:t xml:space="preserve"> v Mercedes-Benz Financial Services SA (Pty) Limited and Another</w:t>
      </w:r>
      <w:r w:rsidR="003F6EEB">
        <w:rPr>
          <w:rStyle w:val="FootnoteReference"/>
          <w:u w:val="none"/>
          <w:lang w:val="en-ZA"/>
        </w:rPr>
        <w:footnoteReference w:id="11"/>
      </w:r>
      <w:r w:rsidR="00D8220C" w:rsidRPr="00EB1A2D">
        <w:rPr>
          <w:i/>
          <w:u w:val="none"/>
          <w:lang w:val="en-ZA"/>
        </w:rPr>
        <w:t xml:space="preserve"> (</w:t>
      </w:r>
      <w:r w:rsidR="001217DC" w:rsidRPr="00EB1A2D">
        <w:rPr>
          <w:i/>
          <w:u w:val="none"/>
          <w:lang w:val="en-ZA"/>
        </w:rPr>
        <w:t>“</w:t>
      </w:r>
      <w:r w:rsidR="00D8220C" w:rsidRPr="00EB1A2D">
        <w:rPr>
          <w:iCs/>
          <w:u w:val="none"/>
          <w:lang w:val="en-ZA"/>
        </w:rPr>
        <w:t xml:space="preserve">the </w:t>
      </w:r>
      <w:proofErr w:type="spellStart"/>
      <w:r w:rsidR="001217DC" w:rsidRPr="00EB1A2D">
        <w:rPr>
          <w:iCs/>
          <w:u w:val="none"/>
          <w:lang w:val="en-ZA"/>
        </w:rPr>
        <w:t>Gcasamba</w:t>
      </w:r>
      <w:proofErr w:type="spellEnd"/>
      <w:r w:rsidR="001217DC" w:rsidRPr="00EB1A2D">
        <w:rPr>
          <w:iCs/>
          <w:u w:val="none"/>
          <w:lang w:val="en-ZA"/>
        </w:rPr>
        <w:t xml:space="preserve"> decision</w:t>
      </w:r>
      <w:r w:rsidR="001217DC" w:rsidRPr="00EB1A2D">
        <w:rPr>
          <w:i/>
          <w:u w:val="none"/>
          <w:lang w:val="en-ZA"/>
        </w:rPr>
        <w:t>”)</w:t>
      </w:r>
      <w:r w:rsidR="00A33895" w:rsidRPr="00EB1A2D">
        <w:rPr>
          <w:u w:val="none"/>
          <w:lang w:val="en-ZA"/>
        </w:rPr>
        <w:t>,</w:t>
      </w:r>
      <w:r w:rsidR="008C31E0" w:rsidRPr="00EB1A2D">
        <w:rPr>
          <w:u w:val="none"/>
          <w:lang w:val="en-ZA"/>
        </w:rPr>
        <w:t xml:space="preserve"> </w:t>
      </w:r>
      <w:r w:rsidR="00B62DB4" w:rsidRPr="00EB1A2D">
        <w:rPr>
          <w:u w:val="none"/>
          <w:lang w:val="en-ZA"/>
        </w:rPr>
        <w:t xml:space="preserve">handed down after I had heard argument in this matter.  </w:t>
      </w:r>
      <w:r w:rsidR="00A33895" w:rsidRPr="00EB1A2D">
        <w:rPr>
          <w:u w:val="none"/>
          <w:lang w:val="en-ZA"/>
        </w:rPr>
        <w:t xml:space="preserve"> </w:t>
      </w:r>
      <w:proofErr w:type="spellStart"/>
      <w:r w:rsidR="00203E98" w:rsidRPr="00EB1A2D">
        <w:rPr>
          <w:u w:val="none"/>
          <w:lang w:val="en-ZA"/>
        </w:rPr>
        <w:t>Snellenberg</w:t>
      </w:r>
      <w:proofErr w:type="spellEnd"/>
      <w:r w:rsidR="00203E98" w:rsidRPr="00EB1A2D">
        <w:rPr>
          <w:u w:val="none"/>
          <w:lang w:val="en-ZA"/>
        </w:rPr>
        <w:t xml:space="preserve"> JA in t</w:t>
      </w:r>
      <w:r w:rsidR="00A33895" w:rsidRPr="00EB1A2D">
        <w:rPr>
          <w:u w:val="none"/>
          <w:lang w:val="en-ZA"/>
        </w:rPr>
        <w:t xml:space="preserve">he </w:t>
      </w:r>
      <w:proofErr w:type="spellStart"/>
      <w:r w:rsidR="00A33895" w:rsidRPr="00EB1A2D">
        <w:rPr>
          <w:u w:val="none"/>
          <w:lang w:val="en-ZA"/>
        </w:rPr>
        <w:t>Gc</w:t>
      </w:r>
      <w:r w:rsidR="00203E98" w:rsidRPr="00EB1A2D">
        <w:rPr>
          <w:u w:val="none"/>
          <w:lang w:val="en-ZA"/>
        </w:rPr>
        <w:t>a</w:t>
      </w:r>
      <w:r w:rsidR="00A33895" w:rsidRPr="00EB1A2D">
        <w:rPr>
          <w:u w:val="none"/>
          <w:lang w:val="en-ZA"/>
        </w:rPr>
        <w:t>samba</w:t>
      </w:r>
      <w:proofErr w:type="spellEnd"/>
      <w:r w:rsidR="00A33895" w:rsidRPr="00EB1A2D">
        <w:rPr>
          <w:u w:val="none"/>
          <w:lang w:val="en-ZA"/>
        </w:rPr>
        <w:t xml:space="preserve"> decision </w:t>
      </w:r>
      <w:r w:rsidR="00B62DB4" w:rsidRPr="00EB1A2D">
        <w:rPr>
          <w:u w:val="none"/>
          <w:lang w:val="en-ZA"/>
        </w:rPr>
        <w:t>held that the Registrar of the High Court is not competent or empowered to grant any order or judgment in a matter where the NCA applies.</w:t>
      </w:r>
      <w:r w:rsidR="00B62DB4">
        <w:rPr>
          <w:rStyle w:val="FootnoteReference"/>
          <w:u w:val="none"/>
          <w:lang w:val="en-ZA"/>
        </w:rPr>
        <w:footnoteReference w:id="12"/>
      </w:r>
      <w:r w:rsidR="00B62DB4" w:rsidRPr="00EB1A2D">
        <w:rPr>
          <w:u w:val="none"/>
          <w:lang w:val="en-ZA"/>
        </w:rPr>
        <w:t xml:space="preserve"> </w:t>
      </w:r>
      <w:proofErr w:type="spellStart"/>
      <w:r w:rsidR="00B62DB4" w:rsidRPr="00EB1A2D">
        <w:rPr>
          <w:u w:val="none"/>
          <w:lang w:val="en-ZA"/>
        </w:rPr>
        <w:t>Snellenburg</w:t>
      </w:r>
      <w:proofErr w:type="spellEnd"/>
      <w:r w:rsidR="008C31E0" w:rsidRPr="00EB1A2D">
        <w:rPr>
          <w:u w:val="none"/>
          <w:lang w:val="en-ZA"/>
        </w:rPr>
        <w:t xml:space="preserve"> JA </w:t>
      </w:r>
      <w:r w:rsidR="00B62DB4" w:rsidRPr="00EB1A2D">
        <w:rPr>
          <w:u w:val="none"/>
          <w:lang w:val="en-ZA"/>
        </w:rPr>
        <w:t xml:space="preserve"> </w:t>
      </w:r>
      <w:r w:rsidR="00203E98" w:rsidRPr="00EB1A2D">
        <w:rPr>
          <w:u w:val="none"/>
          <w:lang w:val="en-ZA"/>
        </w:rPr>
        <w:t>held</w:t>
      </w:r>
      <w:r w:rsidR="00B62DB4" w:rsidRPr="00EB1A2D">
        <w:rPr>
          <w:u w:val="none"/>
          <w:lang w:val="en-ZA"/>
        </w:rPr>
        <w:t xml:space="preserve"> that th</w:t>
      </w:r>
      <w:r w:rsidR="008C31E0" w:rsidRPr="00EB1A2D">
        <w:rPr>
          <w:u w:val="none"/>
          <w:lang w:val="en-ZA"/>
        </w:rPr>
        <w:t>is</w:t>
      </w:r>
      <w:r w:rsidR="00B62DB4" w:rsidRPr="00EB1A2D">
        <w:rPr>
          <w:u w:val="none"/>
          <w:lang w:val="en-ZA"/>
        </w:rPr>
        <w:t xml:space="preserve"> question has been settled by the Constitutional Court</w:t>
      </w:r>
      <w:r w:rsidR="009E3C14" w:rsidRPr="00EB1A2D">
        <w:rPr>
          <w:u w:val="none"/>
          <w:lang w:val="en-ZA"/>
        </w:rPr>
        <w:t xml:space="preserve"> in the </w:t>
      </w:r>
      <w:proofErr w:type="spellStart"/>
      <w:r w:rsidR="009E3C14" w:rsidRPr="00EB1A2D">
        <w:rPr>
          <w:u w:val="none"/>
          <w:lang w:val="en-ZA"/>
        </w:rPr>
        <w:t>Nkata</w:t>
      </w:r>
      <w:proofErr w:type="spellEnd"/>
      <w:r w:rsidR="009E3C14" w:rsidRPr="00EB1A2D">
        <w:rPr>
          <w:u w:val="none"/>
          <w:lang w:val="en-ZA"/>
        </w:rPr>
        <w:t xml:space="preserve"> decision </w:t>
      </w:r>
      <w:r w:rsidR="00B62DB4" w:rsidRPr="00EB1A2D">
        <w:rPr>
          <w:u w:val="none"/>
          <w:lang w:val="en-ZA"/>
        </w:rPr>
        <w:t xml:space="preserve"> and that a proper interpretation of the provisions of the NCA leaves no doubt that the legislature</w:t>
      </w:r>
      <w:r w:rsidR="009E3C14" w:rsidRPr="00EB1A2D">
        <w:rPr>
          <w:u w:val="none"/>
          <w:lang w:val="en-ZA"/>
        </w:rPr>
        <w:t xml:space="preserve"> (NCA) </w:t>
      </w:r>
      <w:r w:rsidR="00B62DB4" w:rsidRPr="00EB1A2D">
        <w:rPr>
          <w:u w:val="none"/>
          <w:lang w:val="en-ZA"/>
        </w:rPr>
        <w:t xml:space="preserve">entitled the </w:t>
      </w:r>
      <w:r w:rsidR="009E3C14" w:rsidRPr="00EB1A2D">
        <w:rPr>
          <w:u w:val="none"/>
          <w:lang w:val="en-ZA"/>
        </w:rPr>
        <w:t>c</w:t>
      </w:r>
      <w:r w:rsidR="00B62DB4" w:rsidRPr="00EB1A2D">
        <w:rPr>
          <w:u w:val="none"/>
          <w:lang w:val="en-ZA"/>
        </w:rPr>
        <w:t xml:space="preserve">ourt and only the </w:t>
      </w:r>
      <w:r w:rsidR="009E3C14" w:rsidRPr="00EB1A2D">
        <w:rPr>
          <w:u w:val="none"/>
          <w:lang w:val="en-ZA"/>
        </w:rPr>
        <w:t>c</w:t>
      </w:r>
      <w:r w:rsidR="00B62DB4" w:rsidRPr="00EB1A2D">
        <w:rPr>
          <w:u w:val="none"/>
          <w:lang w:val="en-ZA"/>
        </w:rPr>
        <w:t>ourt to grant judgments and orders in matters in which the NCA applies.</w:t>
      </w:r>
      <w:r w:rsidR="00B62DB4">
        <w:rPr>
          <w:rStyle w:val="FootnoteReference"/>
          <w:u w:val="none"/>
          <w:lang w:val="en-ZA"/>
        </w:rPr>
        <w:footnoteReference w:id="13"/>
      </w:r>
    </w:p>
    <w:p w14:paraId="572D9876" w14:textId="421695AC" w:rsidR="00B62DB4" w:rsidRPr="00EB1A2D" w:rsidRDefault="00EB1A2D" w:rsidP="00EB1A2D">
      <w:pPr>
        <w:tabs>
          <w:tab w:val="left" w:pos="851"/>
          <w:tab w:val="right" w:pos="8280"/>
        </w:tabs>
        <w:spacing w:before="480" w:line="480" w:lineRule="auto"/>
        <w:ind w:left="851" w:hanging="851"/>
        <w:jc w:val="both"/>
        <w:rPr>
          <w:u w:val="none"/>
          <w:lang w:val="en-ZA"/>
        </w:rPr>
      </w:pPr>
      <w:r>
        <w:rPr>
          <w:u w:val="none"/>
          <w:lang w:val="en-ZA"/>
        </w:rPr>
        <w:lastRenderedPageBreak/>
        <w:t>[19]</w:t>
      </w:r>
      <w:r>
        <w:rPr>
          <w:u w:val="none"/>
          <w:lang w:val="en-ZA"/>
        </w:rPr>
        <w:tab/>
      </w:r>
      <w:r w:rsidR="00B62DB4" w:rsidRPr="00EB1A2D">
        <w:rPr>
          <w:u w:val="none"/>
          <w:lang w:val="en-ZA"/>
        </w:rPr>
        <w:t>I agree</w:t>
      </w:r>
      <w:r w:rsidR="00F91848" w:rsidRPr="00EB1A2D">
        <w:rPr>
          <w:u w:val="none"/>
          <w:lang w:val="en-ZA"/>
        </w:rPr>
        <w:t xml:space="preserve">. </w:t>
      </w:r>
      <w:r w:rsidR="00B62DB4" w:rsidRPr="00EB1A2D">
        <w:rPr>
          <w:u w:val="none"/>
          <w:lang w:val="en-ZA"/>
        </w:rPr>
        <w:t xml:space="preserve">I </w:t>
      </w:r>
      <w:r w:rsidR="00C40D24" w:rsidRPr="00EB1A2D">
        <w:rPr>
          <w:u w:val="none"/>
          <w:lang w:val="en-ZA"/>
        </w:rPr>
        <w:t xml:space="preserve">referred the parties to </w:t>
      </w:r>
      <w:proofErr w:type="gramStart"/>
      <w:r w:rsidR="00C40D24" w:rsidRPr="00EB1A2D">
        <w:rPr>
          <w:u w:val="none"/>
          <w:lang w:val="en-ZA"/>
        </w:rPr>
        <w:t xml:space="preserve">the  </w:t>
      </w:r>
      <w:proofErr w:type="spellStart"/>
      <w:r w:rsidR="00C40D24" w:rsidRPr="00EB1A2D">
        <w:rPr>
          <w:u w:val="none"/>
          <w:lang w:val="en-ZA"/>
        </w:rPr>
        <w:t>Gcasamba</w:t>
      </w:r>
      <w:proofErr w:type="spellEnd"/>
      <w:proofErr w:type="gramEnd"/>
      <w:r w:rsidR="00C40D24" w:rsidRPr="00EB1A2D">
        <w:rPr>
          <w:u w:val="none"/>
          <w:lang w:val="en-ZA"/>
        </w:rPr>
        <w:t xml:space="preserve"> decision </w:t>
      </w:r>
      <w:r w:rsidR="002A1C1A" w:rsidRPr="00EB1A2D">
        <w:rPr>
          <w:u w:val="none"/>
          <w:lang w:val="en-ZA"/>
        </w:rPr>
        <w:t xml:space="preserve">and </w:t>
      </w:r>
      <w:r w:rsidR="00B62DB4" w:rsidRPr="00EB1A2D">
        <w:rPr>
          <w:u w:val="none"/>
          <w:lang w:val="en-ZA"/>
        </w:rPr>
        <w:t>requested the parties to provide me with their written submissions</w:t>
      </w:r>
      <w:r w:rsidR="002A1C1A" w:rsidRPr="00EB1A2D">
        <w:rPr>
          <w:u w:val="none"/>
          <w:lang w:val="en-ZA"/>
        </w:rPr>
        <w:t>. Unfortunately, the parties</w:t>
      </w:r>
      <w:r w:rsidR="00B62DB4" w:rsidRPr="00EB1A2D">
        <w:rPr>
          <w:u w:val="none"/>
          <w:lang w:val="en-ZA"/>
        </w:rPr>
        <w:t xml:space="preserve"> </w:t>
      </w:r>
      <w:r w:rsidR="00807FCE" w:rsidRPr="00EB1A2D">
        <w:rPr>
          <w:u w:val="none"/>
          <w:lang w:val="en-ZA"/>
        </w:rPr>
        <w:t xml:space="preserve">did not take up the opportunity. </w:t>
      </w:r>
    </w:p>
    <w:p w14:paraId="65C6667F" w14:textId="32F64EE4" w:rsidR="00B62DB4" w:rsidRPr="00EB1A2D" w:rsidRDefault="00EB1A2D" w:rsidP="00EB1A2D">
      <w:pPr>
        <w:tabs>
          <w:tab w:val="left" w:pos="851"/>
          <w:tab w:val="right" w:pos="8280"/>
        </w:tabs>
        <w:spacing w:before="480" w:line="480" w:lineRule="auto"/>
        <w:ind w:left="851" w:hanging="851"/>
        <w:jc w:val="both"/>
        <w:rPr>
          <w:u w:val="none"/>
          <w:lang w:val="en-ZA"/>
        </w:rPr>
      </w:pPr>
      <w:r>
        <w:rPr>
          <w:u w:val="none"/>
          <w:lang w:val="en-ZA"/>
        </w:rPr>
        <w:t>[20]</w:t>
      </w:r>
      <w:r>
        <w:rPr>
          <w:u w:val="none"/>
          <w:lang w:val="en-ZA"/>
        </w:rPr>
        <w:tab/>
      </w:r>
      <w:r w:rsidR="00B62DB4" w:rsidRPr="00EB1A2D">
        <w:rPr>
          <w:u w:val="none"/>
          <w:lang w:val="en-ZA"/>
        </w:rPr>
        <w:t>I will return to the consideration of the competing decisions on the interpretation of s130 of the NCA.</w:t>
      </w:r>
    </w:p>
    <w:p w14:paraId="243AC68F" w14:textId="21F02AA5" w:rsidR="00514079" w:rsidRPr="00514079" w:rsidRDefault="00514079" w:rsidP="00514079">
      <w:pPr>
        <w:tabs>
          <w:tab w:val="right" w:pos="8280"/>
        </w:tabs>
        <w:spacing w:before="480" w:line="480" w:lineRule="auto"/>
        <w:jc w:val="both"/>
        <w:rPr>
          <w:b/>
          <w:bCs/>
          <w:u w:val="none"/>
          <w:lang w:val="en-ZA"/>
        </w:rPr>
      </w:pPr>
      <w:r>
        <w:rPr>
          <w:b/>
          <w:bCs/>
          <w:u w:val="none"/>
          <w:lang w:val="en-ZA"/>
        </w:rPr>
        <w:t>The Facts</w:t>
      </w:r>
    </w:p>
    <w:p w14:paraId="61BC5978" w14:textId="542119F9" w:rsidR="00143085" w:rsidRPr="00EB1A2D" w:rsidRDefault="00EB1A2D" w:rsidP="00EB1A2D">
      <w:pPr>
        <w:tabs>
          <w:tab w:val="left" w:pos="851"/>
          <w:tab w:val="right" w:pos="8280"/>
        </w:tabs>
        <w:spacing w:before="480" w:line="480" w:lineRule="auto"/>
        <w:ind w:left="851" w:hanging="851"/>
        <w:jc w:val="both"/>
        <w:rPr>
          <w:u w:val="none"/>
          <w:lang w:val="en-ZA"/>
        </w:rPr>
      </w:pPr>
      <w:r>
        <w:rPr>
          <w:u w:val="none"/>
          <w:lang w:val="en-ZA"/>
        </w:rPr>
        <w:t>[21]</w:t>
      </w:r>
      <w:r>
        <w:rPr>
          <w:u w:val="none"/>
          <w:lang w:val="en-ZA"/>
        </w:rPr>
        <w:tab/>
      </w:r>
      <w:r w:rsidR="00143085" w:rsidRPr="00EB1A2D">
        <w:rPr>
          <w:u w:val="none"/>
          <w:lang w:val="en-ZA"/>
        </w:rPr>
        <w:t xml:space="preserve">On 25 March 2022, </w:t>
      </w:r>
      <w:r w:rsidR="00A028A8" w:rsidRPr="00EB1A2D">
        <w:rPr>
          <w:u w:val="none"/>
          <w:lang w:val="en-ZA"/>
        </w:rPr>
        <w:t xml:space="preserve">the Registrar granted </w:t>
      </w:r>
      <w:r w:rsidR="006E6A85" w:rsidRPr="00EB1A2D">
        <w:rPr>
          <w:u w:val="none"/>
          <w:lang w:val="en-ZA"/>
        </w:rPr>
        <w:t>Absa</w:t>
      </w:r>
      <w:r w:rsidR="00220B99" w:rsidRPr="00EB1A2D">
        <w:rPr>
          <w:u w:val="none"/>
          <w:lang w:val="en-ZA"/>
        </w:rPr>
        <w:t xml:space="preserve"> </w:t>
      </w:r>
      <w:proofErr w:type="gramStart"/>
      <w:r w:rsidR="00220B99" w:rsidRPr="00EB1A2D">
        <w:rPr>
          <w:u w:val="none"/>
          <w:lang w:val="en-ZA"/>
        </w:rPr>
        <w:t xml:space="preserve">Bank </w:t>
      </w:r>
      <w:r w:rsidR="006E6A85" w:rsidRPr="00EB1A2D">
        <w:rPr>
          <w:u w:val="none"/>
          <w:lang w:val="en-ZA"/>
        </w:rPr>
        <w:t xml:space="preserve"> </w:t>
      </w:r>
      <w:r w:rsidR="00143085" w:rsidRPr="00EB1A2D">
        <w:rPr>
          <w:u w:val="none"/>
          <w:lang w:val="en-ZA"/>
        </w:rPr>
        <w:t>default</w:t>
      </w:r>
      <w:proofErr w:type="gramEnd"/>
      <w:r w:rsidR="00143085" w:rsidRPr="00EB1A2D">
        <w:rPr>
          <w:u w:val="none"/>
          <w:lang w:val="en-ZA"/>
        </w:rPr>
        <w:t xml:space="preserve"> judgment</w:t>
      </w:r>
      <w:r w:rsidR="00F24DD0" w:rsidRPr="00EB1A2D">
        <w:rPr>
          <w:u w:val="none"/>
          <w:lang w:val="en-ZA"/>
        </w:rPr>
        <w:t xml:space="preserve"> </w:t>
      </w:r>
      <w:r w:rsidR="00A028A8" w:rsidRPr="00EB1A2D">
        <w:rPr>
          <w:u w:val="none"/>
          <w:lang w:val="en-ZA"/>
        </w:rPr>
        <w:t>against the applicant</w:t>
      </w:r>
      <w:r w:rsidR="002F7702" w:rsidRPr="00EB1A2D">
        <w:rPr>
          <w:u w:val="none"/>
          <w:lang w:val="en-ZA"/>
        </w:rPr>
        <w:t xml:space="preserve">. </w:t>
      </w:r>
      <w:r w:rsidR="00F24DD0" w:rsidRPr="00EB1A2D">
        <w:rPr>
          <w:u w:val="none"/>
          <w:lang w:val="en-ZA"/>
        </w:rPr>
        <w:t xml:space="preserve"> </w:t>
      </w:r>
    </w:p>
    <w:p w14:paraId="0F24A278" w14:textId="626703A5" w:rsidR="00143085" w:rsidRPr="00EB1A2D" w:rsidRDefault="00EB1A2D" w:rsidP="00EB1A2D">
      <w:pPr>
        <w:tabs>
          <w:tab w:val="left" w:pos="851"/>
          <w:tab w:val="right" w:pos="8280"/>
        </w:tabs>
        <w:spacing w:before="480" w:line="480" w:lineRule="auto"/>
        <w:ind w:left="851" w:hanging="851"/>
        <w:jc w:val="both"/>
        <w:rPr>
          <w:u w:val="none"/>
          <w:lang w:val="en-ZA"/>
        </w:rPr>
      </w:pPr>
      <w:r w:rsidRPr="006D4296">
        <w:rPr>
          <w:u w:val="none"/>
          <w:lang w:val="en-ZA"/>
        </w:rPr>
        <w:t>[22]</w:t>
      </w:r>
      <w:r w:rsidRPr="006D4296">
        <w:rPr>
          <w:u w:val="none"/>
          <w:lang w:val="en-ZA"/>
        </w:rPr>
        <w:tab/>
      </w:r>
      <w:r w:rsidR="00143085" w:rsidRPr="00EB1A2D">
        <w:rPr>
          <w:u w:val="none"/>
          <w:lang w:val="en-ZA"/>
        </w:rPr>
        <w:t>On 12 April 2022,</w:t>
      </w:r>
      <w:r w:rsidR="00F24DD0" w:rsidRPr="00EB1A2D">
        <w:rPr>
          <w:u w:val="none"/>
          <w:lang w:val="en-ZA"/>
        </w:rPr>
        <w:t xml:space="preserve"> </w:t>
      </w:r>
      <w:r w:rsidR="00551625" w:rsidRPr="00EB1A2D">
        <w:rPr>
          <w:u w:val="none"/>
          <w:lang w:val="en-ZA"/>
        </w:rPr>
        <w:t xml:space="preserve">Absa </w:t>
      </w:r>
      <w:r w:rsidR="00143085" w:rsidRPr="00EB1A2D">
        <w:rPr>
          <w:u w:val="none"/>
          <w:lang w:val="en-ZA"/>
        </w:rPr>
        <w:t>executed the</w:t>
      </w:r>
      <w:r w:rsidR="00F24DD0" w:rsidRPr="00EB1A2D">
        <w:rPr>
          <w:u w:val="none"/>
          <w:lang w:val="en-ZA"/>
        </w:rPr>
        <w:t xml:space="preserve"> </w:t>
      </w:r>
      <w:r w:rsidR="00143085" w:rsidRPr="00EB1A2D">
        <w:rPr>
          <w:u w:val="none"/>
          <w:lang w:val="en-ZA"/>
        </w:rPr>
        <w:t>warrant for the delivery of the motor vehicle</w:t>
      </w:r>
      <w:r w:rsidR="00F24DD0" w:rsidRPr="00EB1A2D">
        <w:rPr>
          <w:u w:val="none"/>
          <w:lang w:val="en-ZA"/>
        </w:rPr>
        <w:t xml:space="preserve">.  </w:t>
      </w:r>
      <w:r w:rsidR="00143085" w:rsidRPr="00EB1A2D">
        <w:rPr>
          <w:u w:val="none"/>
          <w:lang w:val="en-ZA"/>
        </w:rPr>
        <w:t>The applicant complied with the warrant and delivered the motor into the possession of the Sheriff on 12 April 202</w:t>
      </w:r>
      <w:r w:rsidR="006D4296" w:rsidRPr="00EB1A2D">
        <w:rPr>
          <w:u w:val="none"/>
          <w:lang w:val="en-ZA"/>
        </w:rPr>
        <w:t>2</w:t>
      </w:r>
      <w:r w:rsidR="00F24DD0" w:rsidRPr="00EB1A2D">
        <w:rPr>
          <w:u w:val="none"/>
          <w:lang w:val="en-ZA"/>
        </w:rPr>
        <w:t xml:space="preserve">.  </w:t>
      </w:r>
      <w:r w:rsidR="006D4296" w:rsidRPr="00EB1A2D">
        <w:rPr>
          <w:u w:val="none"/>
          <w:lang w:val="en-ZA"/>
        </w:rPr>
        <w:t>T</w:t>
      </w:r>
      <w:r w:rsidR="00143085" w:rsidRPr="00EB1A2D">
        <w:rPr>
          <w:u w:val="none"/>
          <w:lang w:val="en-ZA"/>
        </w:rPr>
        <w:t>he applicant settled the</w:t>
      </w:r>
      <w:r w:rsidR="006D4296" w:rsidRPr="00EB1A2D">
        <w:rPr>
          <w:u w:val="none"/>
          <w:lang w:val="en-ZA"/>
        </w:rPr>
        <w:t xml:space="preserve"> outstanding </w:t>
      </w:r>
      <w:r w:rsidR="00143085" w:rsidRPr="00EB1A2D">
        <w:rPr>
          <w:u w:val="none"/>
          <w:lang w:val="en-ZA"/>
        </w:rPr>
        <w:t>arrears, in the sum of R20 345.41</w:t>
      </w:r>
      <w:r w:rsidR="00F24DD0" w:rsidRPr="00EB1A2D">
        <w:rPr>
          <w:u w:val="none"/>
          <w:lang w:val="en-ZA"/>
        </w:rPr>
        <w:t xml:space="preserve">.  </w:t>
      </w:r>
    </w:p>
    <w:p w14:paraId="0B7993F0" w14:textId="1E045EE3" w:rsidR="00143085" w:rsidRPr="00EB1A2D" w:rsidRDefault="00EB1A2D" w:rsidP="00EB1A2D">
      <w:pPr>
        <w:tabs>
          <w:tab w:val="left" w:pos="851"/>
          <w:tab w:val="right" w:pos="8280"/>
        </w:tabs>
        <w:spacing w:before="480" w:line="480" w:lineRule="auto"/>
        <w:ind w:left="851" w:hanging="851"/>
        <w:jc w:val="both"/>
        <w:rPr>
          <w:u w:val="none"/>
          <w:lang w:val="en-ZA"/>
        </w:rPr>
      </w:pPr>
      <w:r>
        <w:rPr>
          <w:u w:val="none"/>
          <w:lang w:val="en-ZA"/>
        </w:rPr>
        <w:t>[23]</w:t>
      </w:r>
      <w:r>
        <w:rPr>
          <w:u w:val="none"/>
          <w:lang w:val="en-ZA"/>
        </w:rPr>
        <w:tab/>
      </w:r>
      <w:r w:rsidR="00143085" w:rsidRPr="00EB1A2D">
        <w:rPr>
          <w:u w:val="none"/>
          <w:lang w:val="en-ZA"/>
        </w:rPr>
        <w:t>This amount was in addition to amounts the applicant had made since the service of the summons in December 2021,</w:t>
      </w:r>
      <w:r w:rsidR="008D7199" w:rsidRPr="00EB1A2D">
        <w:rPr>
          <w:u w:val="none"/>
          <w:lang w:val="en-ZA"/>
        </w:rPr>
        <w:t xml:space="preserve"> in reduction of his indebtedness to Absa</w:t>
      </w:r>
      <w:r w:rsidR="00C03096" w:rsidRPr="00EB1A2D">
        <w:rPr>
          <w:u w:val="none"/>
          <w:lang w:val="en-ZA"/>
        </w:rPr>
        <w:t xml:space="preserve"> Bank</w:t>
      </w:r>
      <w:r w:rsidR="008D7199" w:rsidRPr="00EB1A2D">
        <w:rPr>
          <w:u w:val="none"/>
          <w:lang w:val="en-ZA"/>
        </w:rPr>
        <w:t>,</w:t>
      </w:r>
      <w:r w:rsidR="00143085" w:rsidRPr="00EB1A2D">
        <w:rPr>
          <w:u w:val="none"/>
          <w:lang w:val="en-ZA"/>
        </w:rPr>
        <w:t xml:space="preserve"> including payment</w:t>
      </w:r>
      <w:r w:rsidR="00BD4783" w:rsidRPr="00EB1A2D">
        <w:rPr>
          <w:u w:val="none"/>
          <w:lang w:val="en-ZA"/>
        </w:rPr>
        <w:t>s</w:t>
      </w:r>
      <w:r w:rsidR="00143085" w:rsidRPr="00EB1A2D">
        <w:rPr>
          <w:u w:val="none"/>
          <w:lang w:val="en-ZA"/>
        </w:rPr>
        <w:t xml:space="preserve"> of R20 000.00 in January 2022, R12 000.00 in February 2022, R12 000.00 in March 2022, and a payment of R15 000.00 on 5 April 2022</w:t>
      </w:r>
      <w:r w:rsidR="00F24DD0" w:rsidRPr="00EB1A2D">
        <w:rPr>
          <w:u w:val="none"/>
          <w:lang w:val="en-ZA"/>
        </w:rPr>
        <w:t xml:space="preserve">.  </w:t>
      </w:r>
      <w:r w:rsidR="00DC13F9" w:rsidRPr="00EB1A2D">
        <w:rPr>
          <w:u w:val="none"/>
          <w:lang w:val="en-ZA"/>
        </w:rPr>
        <w:t>On</w:t>
      </w:r>
      <w:r w:rsidR="00F24DD0" w:rsidRPr="00EB1A2D">
        <w:rPr>
          <w:u w:val="none"/>
          <w:lang w:val="en-ZA"/>
        </w:rPr>
        <w:t xml:space="preserve"> </w:t>
      </w:r>
      <w:r w:rsidR="00DC13F9" w:rsidRPr="00EB1A2D">
        <w:rPr>
          <w:u w:val="none"/>
          <w:lang w:val="en-ZA"/>
        </w:rPr>
        <w:t>4 April 20</w:t>
      </w:r>
      <w:r w:rsidR="00D77B49" w:rsidRPr="00EB1A2D">
        <w:rPr>
          <w:u w:val="none"/>
          <w:lang w:val="en-ZA"/>
        </w:rPr>
        <w:t>22, Absa</w:t>
      </w:r>
      <w:r w:rsidR="00C03096" w:rsidRPr="00EB1A2D">
        <w:rPr>
          <w:u w:val="none"/>
          <w:lang w:val="en-ZA"/>
        </w:rPr>
        <w:t xml:space="preserve"> Bank </w:t>
      </w:r>
      <w:r w:rsidR="00D77B49" w:rsidRPr="00EB1A2D">
        <w:rPr>
          <w:u w:val="none"/>
          <w:lang w:val="en-ZA"/>
        </w:rPr>
        <w:t>secured payment from a debit order</w:t>
      </w:r>
      <w:r w:rsidR="009023F2" w:rsidRPr="00EB1A2D">
        <w:rPr>
          <w:u w:val="none"/>
          <w:lang w:val="en-ZA"/>
        </w:rPr>
        <w:t xml:space="preserve"> due in terms of the instalment sale agreement</w:t>
      </w:r>
      <w:r w:rsidR="00F24DD0" w:rsidRPr="00EB1A2D">
        <w:rPr>
          <w:u w:val="none"/>
          <w:lang w:val="en-ZA"/>
        </w:rPr>
        <w:t xml:space="preserve"> </w:t>
      </w:r>
      <w:r w:rsidR="00D77B49" w:rsidRPr="00EB1A2D">
        <w:rPr>
          <w:u w:val="none"/>
          <w:lang w:val="en-ZA"/>
        </w:rPr>
        <w:t>in the sum of</w:t>
      </w:r>
      <w:r w:rsidR="008437B8" w:rsidRPr="00EB1A2D">
        <w:rPr>
          <w:u w:val="none"/>
          <w:lang w:val="en-ZA"/>
        </w:rPr>
        <w:t xml:space="preserve"> R11 497.58</w:t>
      </w:r>
      <w:r w:rsidR="00F24DD0" w:rsidRPr="00EB1A2D">
        <w:rPr>
          <w:u w:val="none"/>
          <w:lang w:val="en-ZA"/>
        </w:rPr>
        <w:t xml:space="preserve">. </w:t>
      </w:r>
    </w:p>
    <w:p w14:paraId="522D1675" w14:textId="41774445" w:rsidR="00143085" w:rsidRPr="00EB1A2D" w:rsidRDefault="00EB1A2D" w:rsidP="00EB1A2D">
      <w:pPr>
        <w:tabs>
          <w:tab w:val="left" w:pos="851"/>
          <w:tab w:val="right" w:pos="8280"/>
        </w:tabs>
        <w:spacing w:before="480" w:line="480" w:lineRule="auto"/>
        <w:ind w:left="851" w:hanging="851"/>
        <w:jc w:val="both"/>
        <w:rPr>
          <w:u w:val="none"/>
          <w:lang w:val="en-ZA"/>
        </w:rPr>
      </w:pPr>
      <w:r>
        <w:rPr>
          <w:u w:val="none"/>
          <w:lang w:val="en-ZA"/>
        </w:rPr>
        <w:lastRenderedPageBreak/>
        <w:t>[24]</w:t>
      </w:r>
      <w:r>
        <w:rPr>
          <w:u w:val="none"/>
          <w:lang w:val="en-ZA"/>
        </w:rPr>
        <w:tab/>
      </w:r>
      <w:r w:rsidR="00143085" w:rsidRPr="00EB1A2D">
        <w:rPr>
          <w:u w:val="none"/>
          <w:lang w:val="en-ZA"/>
        </w:rPr>
        <w:t>On 22 April 2022, the applicant instituted these proceedings</w:t>
      </w:r>
      <w:r w:rsidR="00F24DD0" w:rsidRPr="00EB1A2D">
        <w:rPr>
          <w:u w:val="none"/>
          <w:lang w:val="en-ZA"/>
        </w:rPr>
        <w:t xml:space="preserve">.  </w:t>
      </w:r>
      <w:r w:rsidR="00143085" w:rsidRPr="00EB1A2D">
        <w:rPr>
          <w:u w:val="none"/>
          <w:lang w:val="en-ZA"/>
        </w:rPr>
        <w:t>Th</w:t>
      </w:r>
      <w:r w:rsidR="00BE672E" w:rsidRPr="00EB1A2D">
        <w:rPr>
          <w:u w:val="none"/>
          <w:lang w:val="en-ZA"/>
        </w:rPr>
        <w:t>is c</w:t>
      </w:r>
      <w:r w:rsidR="00143085" w:rsidRPr="00EB1A2D">
        <w:rPr>
          <w:u w:val="none"/>
          <w:lang w:val="en-ZA"/>
        </w:rPr>
        <w:t xml:space="preserve">ourt, </w:t>
      </w:r>
      <w:r w:rsidR="00BE672E" w:rsidRPr="00EB1A2D">
        <w:rPr>
          <w:u w:val="none"/>
          <w:lang w:val="en-ZA"/>
        </w:rPr>
        <w:t>(</w:t>
      </w:r>
      <w:r w:rsidR="00D479D7" w:rsidRPr="00EB1A2D">
        <w:rPr>
          <w:u w:val="none"/>
          <w:lang w:val="en-ZA"/>
        </w:rPr>
        <w:t xml:space="preserve">per </w:t>
      </w:r>
      <w:r w:rsidR="00143085" w:rsidRPr="00EB1A2D">
        <w:rPr>
          <w:u w:val="none"/>
          <w:lang w:val="en-ZA"/>
        </w:rPr>
        <w:t>Hartle J</w:t>
      </w:r>
      <w:r w:rsidR="00BE672E" w:rsidRPr="00EB1A2D">
        <w:rPr>
          <w:u w:val="none"/>
          <w:lang w:val="en-ZA"/>
        </w:rPr>
        <w:t>)</w:t>
      </w:r>
      <w:r w:rsidR="00143085" w:rsidRPr="00EB1A2D">
        <w:rPr>
          <w:u w:val="none"/>
          <w:lang w:val="en-ZA"/>
        </w:rPr>
        <w:t xml:space="preserve">, granted the applicant interim relief staying the execution of the motor vehicle and </w:t>
      </w:r>
      <w:r w:rsidR="00C140A4" w:rsidRPr="00EB1A2D">
        <w:rPr>
          <w:u w:val="none"/>
          <w:lang w:val="en-ZA"/>
        </w:rPr>
        <w:t>direct</w:t>
      </w:r>
      <w:r w:rsidR="00D479D7" w:rsidRPr="00EB1A2D">
        <w:rPr>
          <w:u w:val="none"/>
          <w:lang w:val="en-ZA"/>
        </w:rPr>
        <w:t>ed</w:t>
      </w:r>
      <w:r w:rsidR="00C140A4" w:rsidRPr="00EB1A2D">
        <w:rPr>
          <w:u w:val="none"/>
          <w:lang w:val="en-ZA"/>
        </w:rPr>
        <w:t xml:space="preserve"> Absa Bank </w:t>
      </w:r>
      <w:r w:rsidR="00143085" w:rsidRPr="00EB1A2D">
        <w:rPr>
          <w:u w:val="none"/>
          <w:lang w:val="en-ZA"/>
        </w:rPr>
        <w:t>return</w:t>
      </w:r>
      <w:r w:rsidR="00C140A4" w:rsidRPr="00EB1A2D">
        <w:rPr>
          <w:u w:val="none"/>
          <w:lang w:val="en-ZA"/>
        </w:rPr>
        <w:t xml:space="preserve"> the motor vehicle </w:t>
      </w:r>
      <w:r w:rsidR="00143085" w:rsidRPr="00EB1A2D">
        <w:rPr>
          <w:u w:val="none"/>
          <w:lang w:val="en-ZA"/>
        </w:rPr>
        <w:t>to the applicant</w:t>
      </w:r>
      <w:r w:rsidR="00D479D7" w:rsidRPr="00EB1A2D">
        <w:rPr>
          <w:u w:val="none"/>
          <w:lang w:val="en-ZA"/>
        </w:rPr>
        <w:t>,</w:t>
      </w:r>
      <w:r w:rsidR="00143085" w:rsidRPr="00EB1A2D">
        <w:rPr>
          <w:u w:val="none"/>
          <w:lang w:val="en-ZA"/>
        </w:rPr>
        <w:t xml:space="preserve"> pending finalisation of the rescission application</w:t>
      </w:r>
      <w:r w:rsidR="00F24DD0" w:rsidRPr="00EB1A2D">
        <w:rPr>
          <w:u w:val="none"/>
          <w:lang w:val="en-ZA"/>
        </w:rPr>
        <w:t xml:space="preserve">.  </w:t>
      </w:r>
      <w:r w:rsidR="00352AD2" w:rsidRPr="00EB1A2D">
        <w:rPr>
          <w:u w:val="none"/>
          <w:lang w:val="en-ZA"/>
        </w:rPr>
        <w:t>Th</w:t>
      </w:r>
      <w:r w:rsidR="00E3096C" w:rsidRPr="00EB1A2D">
        <w:rPr>
          <w:u w:val="none"/>
          <w:lang w:val="en-ZA"/>
        </w:rPr>
        <w:t>is is the</w:t>
      </w:r>
      <w:r w:rsidR="00F24DD0" w:rsidRPr="00EB1A2D">
        <w:rPr>
          <w:u w:val="none"/>
          <w:lang w:val="en-ZA"/>
        </w:rPr>
        <w:t xml:space="preserve"> </w:t>
      </w:r>
      <w:r w:rsidR="00352AD2" w:rsidRPr="00EB1A2D">
        <w:rPr>
          <w:u w:val="none"/>
          <w:lang w:val="en-ZA"/>
        </w:rPr>
        <w:t>application</w:t>
      </w:r>
      <w:r w:rsidR="006410E9" w:rsidRPr="00EB1A2D">
        <w:rPr>
          <w:u w:val="none"/>
          <w:lang w:val="en-ZA"/>
        </w:rPr>
        <w:t xml:space="preserve"> before me</w:t>
      </w:r>
      <w:r w:rsidR="00352AD2" w:rsidRPr="00EB1A2D">
        <w:rPr>
          <w:u w:val="none"/>
          <w:lang w:val="en-ZA"/>
        </w:rPr>
        <w:t>.</w:t>
      </w:r>
    </w:p>
    <w:p w14:paraId="78227C61" w14:textId="2B4FB76F" w:rsidR="001F2CAD" w:rsidRPr="001F2CAD" w:rsidRDefault="001F2CAD" w:rsidP="001F2CAD">
      <w:pPr>
        <w:tabs>
          <w:tab w:val="right" w:pos="8280"/>
        </w:tabs>
        <w:spacing w:before="480" w:line="480" w:lineRule="auto"/>
        <w:jc w:val="both"/>
        <w:rPr>
          <w:b/>
          <w:bCs/>
          <w:u w:val="none"/>
          <w:lang w:val="en-ZA"/>
        </w:rPr>
      </w:pPr>
      <w:r>
        <w:rPr>
          <w:b/>
          <w:bCs/>
          <w:u w:val="none"/>
          <w:lang w:val="en-ZA"/>
        </w:rPr>
        <w:t xml:space="preserve"> The rescission application</w:t>
      </w:r>
    </w:p>
    <w:p w14:paraId="26C37028" w14:textId="5770C0A4" w:rsidR="00352AD2" w:rsidRPr="00EB1A2D" w:rsidRDefault="00EB1A2D" w:rsidP="00EB1A2D">
      <w:pPr>
        <w:tabs>
          <w:tab w:val="left" w:pos="851"/>
          <w:tab w:val="right" w:pos="8280"/>
        </w:tabs>
        <w:spacing w:before="480" w:line="480" w:lineRule="auto"/>
        <w:ind w:left="851" w:hanging="851"/>
        <w:jc w:val="both"/>
        <w:rPr>
          <w:u w:val="none"/>
          <w:lang w:val="en-ZA"/>
        </w:rPr>
      </w:pPr>
      <w:r>
        <w:rPr>
          <w:u w:val="none"/>
          <w:lang w:val="en-ZA"/>
        </w:rPr>
        <w:t>[25]</w:t>
      </w:r>
      <w:r>
        <w:rPr>
          <w:u w:val="none"/>
          <w:lang w:val="en-ZA"/>
        </w:rPr>
        <w:tab/>
      </w:r>
      <w:r w:rsidR="00352AD2" w:rsidRPr="00EB1A2D">
        <w:rPr>
          <w:u w:val="none"/>
          <w:lang w:val="en-ZA"/>
        </w:rPr>
        <w:t xml:space="preserve">The applicant </w:t>
      </w:r>
      <w:r w:rsidR="00D479D7" w:rsidRPr="00EB1A2D">
        <w:rPr>
          <w:u w:val="none"/>
          <w:lang w:val="en-ZA"/>
        </w:rPr>
        <w:t>relies on</w:t>
      </w:r>
      <w:r w:rsidR="00352AD2" w:rsidRPr="00EB1A2D">
        <w:rPr>
          <w:u w:val="none"/>
          <w:lang w:val="en-ZA"/>
        </w:rPr>
        <w:t xml:space="preserve"> three grounds for the rescission of the judgment:</w:t>
      </w:r>
    </w:p>
    <w:p w14:paraId="32B2665B" w14:textId="1AE3C66D" w:rsidR="00352AD2" w:rsidRPr="00EB1A2D" w:rsidRDefault="00EB1A2D" w:rsidP="00EB1A2D">
      <w:pPr>
        <w:tabs>
          <w:tab w:val="left" w:pos="851"/>
          <w:tab w:val="right" w:pos="8280"/>
        </w:tabs>
        <w:spacing w:before="480" w:line="480" w:lineRule="auto"/>
        <w:ind w:left="1701" w:hanging="850"/>
        <w:jc w:val="both"/>
        <w:rPr>
          <w:u w:val="none"/>
          <w:lang w:val="en-ZA"/>
        </w:rPr>
      </w:pPr>
      <w:r>
        <w:rPr>
          <w:u w:val="none"/>
          <w:lang w:val="en-ZA"/>
        </w:rPr>
        <w:t>25.1</w:t>
      </w:r>
      <w:r>
        <w:rPr>
          <w:u w:val="none"/>
          <w:lang w:val="en-ZA"/>
        </w:rPr>
        <w:tab/>
      </w:r>
      <w:r w:rsidR="00352AD2" w:rsidRPr="00EB1A2D">
        <w:rPr>
          <w:u w:val="none"/>
          <w:lang w:val="en-ZA"/>
        </w:rPr>
        <w:t xml:space="preserve">firstly, </w:t>
      </w:r>
      <w:r w:rsidR="00C140A4" w:rsidRPr="00EB1A2D">
        <w:rPr>
          <w:u w:val="none"/>
          <w:lang w:val="en-ZA"/>
        </w:rPr>
        <w:t>he</w:t>
      </w:r>
      <w:r w:rsidR="00365D65" w:rsidRPr="00EB1A2D">
        <w:rPr>
          <w:u w:val="none"/>
          <w:lang w:val="en-ZA"/>
        </w:rPr>
        <w:t xml:space="preserve"> </w:t>
      </w:r>
      <w:r w:rsidR="008D2D87" w:rsidRPr="00EB1A2D">
        <w:rPr>
          <w:u w:val="none"/>
          <w:lang w:val="en-ZA"/>
        </w:rPr>
        <w:t>did not receive the statutory notice</w:t>
      </w:r>
      <w:r w:rsidR="00447DE5" w:rsidRPr="00EB1A2D">
        <w:rPr>
          <w:u w:val="none"/>
          <w:lang w:val="en-ZA"/>
        </w:rPr>
        <w:t xml:space="preserve"> in terms of s129 of the National Credit Act, </w:t>
      </w:r>
      <w:r w:rsidR="00352AD2" w:rsidRPr="00EB1A2D">
        <w:rPr>
          <w:u w:val="none"/>
          <w:lang w:val="en-ZA"/>
        </w:rPr>
        <w:t xml:space="preserve">prior to the institution of the legal </w:t>
      </w:r>
      <w:proofErr w:type="gramStart"/>
      <w:r w:rsidR="00352AD2" w:rsidRPr="00EB1A2D">
        <w:rPr>
          <w:u w:val="none"/>
          <w:lang w:val="en-ZA"/>
        </w:rPr>
        <w:t>proceedings;</w:t>
      </w:r>
      <w:proofErr w:type="gramEnd"/>
    </w:p>
    <w:p w14:paraId="010D70E7" w14:textId="7EB2FC92" w:rsidR="00352AD2" w:rsidRPr="00EB1A2D" w:rsidRDefault="00EB1A2D" w:rsidP="00EB1A2D">
      <w:pPr>
        <w:tabs>
          <w:tab w:val="left" w:pos="851"/>
          <w:tab w:val="right" w:pos="8280"/>
        </w:tabs>
        <w:spacing w:before="480" w:line="480" w:lineRule="auto"/>
        <w:ind w:left="1701" w:hanging="850"/>
        <w:jc w:val="both"/>
        <w:rPr>
          <w:u w:val="none"/>
          <w:lang w:val="en-ZA"/>
        </w:rPr>
      </w:pPr>
      <w:r>
        <w:rPr>
          <w:u w:val="none"/>
          <w:lang w:val="en-ZA"/>
        </w:rPr>
        <w:t>25.2</w:t>
      </w:r>
      <w:r>
        <w:rPr>
          <w:u w:val="none"/>
          <w:lang w:val="en-ZA"/>
        </w:rPr>
        <w:tab/>
      </w:r>
      <w:r w:rsidR="00352AD2" w:rsidRPr="00EB1A2D">
        <w:rPr>
          <w:u w:val="none"/>
          <w:lang w:val="en-ZA"/>
        </w:rPr>
        <w:t>secondly,</w:t>
      </w:r>
      <w:r w:rsidR="00447DE5" w:rsidRPr="00EB1A2D">
        <w:rPr>
          <w:u w:val="none"/>
          <w:lang w:val="en-ZA"/>
        </w:rPr>
        <w:t xml:space="preserve"> Absa</w:t>
      </w:r>
      <w:r w:rsidR="00BE672E" w:rsidRPr="00EB1A2D">
        <w:rPr>
          <w:u w:val="none"/>
          <w:lang w:val="en-ZA"/>
        </w:rPr>
        <w:t xml:space="preserve"> Bank</w:t>
      </w:r>
      <w:r w:rsidR="00447DE5" w:rsidRPr="00EB1A2D">
        <w:rPr>
          <w:u w:val="none"/>
          <w:lang w:val="en-ZA"/>
        </w:rPr>
        <w:t xml:space="preserve"> is estopped from relying on the cancellation of the </w:t>
      </w:r>
      <w:r w:rsidR="00064544" w:rsidRPr="00EB1A2D">
        <w:rPr>
          <w:u w:val="none"/>
          <w:lang w:val="en-ZA"/>
        </w:rPr>
        <w:t xml:space="preserve">instalment sale agreement, as its </w:t>
      </w:r>
      <w:r w:rsidR="00352AD2" w:rsidRPr="00EB1A2D">
        <w:rPr>
          <w:u w:val="none"/>
          <w:lang w:val="en-ZA"/>
        </w:rPr>
        <w:t>conduct in debiting the applicant’s bank account, contra</w:t>
      </w:r>
      <w:r w:rsidR="00064544" w:rsidRPr="00EB1A2D">
        <w:rPr>
          <w:u w:val="none"/>
          <w:lang w:val="en-ZA"/>
        </w:rPr>
        <w:t>dicts</w:t>
      </w:r>
      <w:r w:rsidR="00F24DD0" w:rsidRPr="00EB1A2D">
        <w:rPr>
          <w:u w:val="none"/>
          <w:lang w:val="en-ZA"/>
        </w:rPr>
        <w:t xml:space="preserve"> </w:t>
      </w:r>
      <w:r w:rsidR="00352AD2" w:rsidRPr="00EB1A2D">
        <w:rPr>
          <w:u w:val="none"/>
          <w:lang w:val="en-ZA"/>
        </w:rPr>
        <w:t>cancellation; and</w:t>
      </w:r>
    </w:p>
    <w:p w14:paraId="7BB0F819" w14:textId="5A9A3BAC" w:rsidR="00352AD2" w:rsidRPr="00EB1A2D" w:rsidRDefault="00EB1A2D" w:rsidP="00EB1A2D">
      <w:pPr>
        <w:tabs>
          <w:tab w:val="left" w:pos="851"/>
          <w:tab w:val="right" w:pos="8280"/>
        </w:tabs>
        <w:spacing w:before="480" w:line="480" w:lineRule="auto"/>
        <w:ind w:left="1701" w:hanging="850"/>
        <w:jc w:val="both"/>
        <w:rPr>
          <w:u w:val="none"/>
          <w:lang w:val="en-ZA"/>
        </w:rPr>
      </w:pPr>
      <w:r>
        <w:rPr>
          <w:u w:val="none"/>
          <w:lang w:val="en-ZA"/>
        </w:rPr>
        <w:t>25.3</w:t>
      </w:r>
      <w:r>
        <w:rPr>
          <w:u w:val="none"/>
          <w:lang w:val="en-ZA"/>
        </w:rPr>
        <w:tab/>
      </w:r>
      <w:r w:rsidR="00352AD2" w:rsidRPr="00EB1A2D">
        <w:rPr>
          <w:u w:val="none"/>
          <w:lang w:val="en-ZA"/>
        </w:rPr>
        <w:t>thirdly, the default judgment</w:t>
      </w:r>
      <w:r w:rsidR="00CE0229" w:rsidRPr="00EB1A2D">
        <w:rPr>
          <w:u w:val="none"/>
          <w:lang w:val="en-ZA"/>
        </w:rPr>
        <w:t xml:space="preserve"> is a nullity as it</w:t>
      </w:r>
      <w:r w:rsidR="00F24DD0" w:rsidRPr="00EB1A2D">
        <w:rPr>
          <w:u w:val="none"/>
          <w:lang w:val="en-ZA"/>
        </w:rPr>
        <w:t xml:space="preserve"> </w:t>
      </w:r>
      <w:r w:rsidR="00352AD2" w:rsidRPr="00EB1A2D">
        <w:rPr>
          <w:u w:val="none"/>
          <w:lang w:val="en-ZA"/>
        </w:rPr>
        <w:t>was granted by the Registrar, who is precluded from doing so in terms of the provisions of s130 of the National Credit Act 2005.</w:t>
      </w:r>
    </w:p>
    <w:p w14:paraId="2328C363" w14:textId="288DD96B" w:rsidR="0046194E" w:rsidRPr="00EB1A2D" w:rsidRDefault="00EB1A2D" w:rsidP="00EB1A2D">
      <w:pPr>
        <w:tabs>
          <w:tab w:val="left" w:pos="851"/>
          <w:tab w:val="right" w:pos="8280"/>
        </w:tabs>
        <w:spacing w:before="480" w:line="480" w:lineRule="auto"/>
        <w:ind w:left="851" w:hanging="851"/>
        <w:jc w:val="both"/>
        <w:rPr>
          <w:u w:val="none"/>
          <w:lang w:val="en-ZA"/>
        </w:rPr>
      </w:pPr>
      <w:r>
        <w:rPr>
          <w:u w:val="none"/>
          <w:lang w:val="en-ZA"/>
        </w:rPr>
        <w:t>[26]</w:t>
      </w:r>
      <w:r>
        <w:rPr>
          <w:u w:val="none"/>
          <w:lang w:val="en-ZA"/>
        </w:rPr>
        <w:tab/>
      </w:r>
      <w:r w:rsidR="00352AD2" w:rsidRPr="00EB1A2D">
        <w:rPr>
          <w:u w:val="none"/>
          <w:lang w:val="en-ZA"/>
        </w:rPr>
        <w:t xml:space="preserve">During argument, the applicant’s representative did not persist with the argument that due notice of the breach was not given in terms of s129 </w:t>
      </w:r>
      <w:r w:rsidR="00352AD2" w:rsidRPr="00EB1A2D">
        <w:rPr>
          <w:u w:val="none"/>
          <w:lang w:val="en-ZA"/>
        </w:rPr>
        <w:lastRenderedPageBreak/>
        <w:t>of the N</w:t>
      </w:r>
      <w:r w:rsidR="00447C95" w:rsidRPr="00EB1A2D">
        <w:rPr>
          <w:u w:val="none"/>
          <w:lang w:val="en-ZA"/>
        </w:rPr>
        <w:t>CA</w:t>
      </w:r>
      <w:r w:rsidR="00F24DD0" w:rsidRPr="00EB1A2D">
        <w:rPr>
          <w:u w:val="none"/>
          <w:lang w:val="en-ZA"/>
        </w:rPr>
        <w:t xml:space="preserve">.  </w:t>
      </w:r>
      <w:r w:rsidR="00352AD2" w:rsidRPr="00EB1A2D">
        <w:rPr>
          <w:u w:val="none"/>
          <w:lang w:val="en-ZA"/>
        </w:rPr>
        <w:t>This concession was correctly made</w:t>
      </w:r>
      <w:r w:rsidR="00F24DD0" w:rsidRPr="00EB1A2D">
        <w:rPr>
          <w:u w:val="none"/>
          <w:lang w:val="en-ZA"/>
        </w:rPr>
        <w:t xml:space="preserve">. </w:t>
      </w:r>
      <w:r w:rsidR="0046194E" w:rsidRPr="00EB1A2D">
        <w:rPr>
          <w:u w:val="none"/>
          <w:lang w:val="en-ZA"/>
        </w:rPr>
        <w:t xml:space="preserve">While the applicant may not have physically received the </w:t>
      </w:r>
      <w:r w:rsidR="006611E9" w:rsidRPr="00EB1A2D">
        <w:rPr>
          <w:u w:val="none"/>
          <w:lang w:val="en-ZA"/>
        </w:rPr>
        <w:t>s</w:t>
      </w:r>
      <w:r w:rsidR="0046194E" w:rsidRPr="00EB1A2D">
        <w:rPr>
          <w:u w:val="none"/>
          <w:lang w:val="en-ZA"/>
        </w:rPr>
        <w:t xml:space="preserve">129 </w:t>
      </w:r>
      <w:r w:rsidR="006611E9" w:rsidRPr="00EB1A2D">
        <w:rPr>
          <w:u w:val="none"/>
          <w:lang w:val="en-ZA"/>
        </w:rPr>
        <w:t>notice, this is not the test.</w:t>
      </w:r>
    </w:p>
    <w:p w14:paraId="4F2AE166" w14:textId="00A574E5" w:rsidR="000A6AC2" w:rsidRPr="00EB1A2D" w:rsidRDefault="00EB1A2D" w:rsidP="00EB1A2D">
      <w:pPr>
        <w:tabs>
          <w:tab w:val="left" w:pos="851"/>
          <w:tab w:val="right" w:pos="8280"/>
        </w:tabs>
        <w:spacing w:before="480" w:line="480" w:lineRule="auto"/>
        <w:ind w:left="851" w:hanging="851"/>
        <w:jc w:val="both"/>
        <w:rPr>
          <w:u w:val="none"/>
          <w:lang w:val="en-ZA"/>
        </w:rPr>
      </w:pPr>
      <w:r>
        <w:rPr>
          <w:u w:val="none"/>
          <w:lang w:val="en-ZA"/>
        </w:rPr>
        <w:t>[27]</w:t>
      </w:r>
      <w:r>
        <w:rPr>
          <w:u w:val="none"/>
          <w:lang w:val="en-ZA"/>
        </w:rPr>
        <w:tab/>
      </w:r>
      <w:r w:rsidR="001B61B0" w:rsidRPr="00EB1A2D">
        <w:rPr>
          <w:u w:val="none"/>
          <w:lang w:val="en-ZA"/>
        </w:rPr>
        <w:t xml:space="preserve">The s129 </w:t>
      </w:r>
      <w:r w:rsidR="00662F53" w:rsidRPr="00EB1A2D">
        <w:rPr>
          <w:u w:val="none"/>
          <w:lang w:val="en-ZA"/>
        </w:rPr>
        <w:t xml:space="preserve">notice </w:t>
      </w:r>
      <w:r w:rsidR="001B61B0" w:rsidRPr="00EB1A2D">
        <w:rPr>
          <w:u w:val="none"/>
          <w:lang w:val="en-ZA"/>
        </w:rPr>
        <w:t xml:space="preserve">was </w:t>
      </w:r>
      <w:r w:rsidR="00352AD2" w:rsidRPr="00EB1A2D">
        <w:rPr>
          <w:u w:val="none"/>
          <w:lang w:val="en-ZA"/>
        </w:rPr>
        <w:t>sent to the applicant</w:t>
      </w:r>
      <w:r w:rsidR="001B61B0" w:rsidRPr="00EB1A2D">
        <w:rPr>
          <w:u w:val="none"/>
          <w:lang w:val="en-ZA"/>
        </w:rPr>
        <w:t xml:space="preserve"> </w:t>
      </w:r>
      <w:r w:rsidR="00F24DD0" w:rsidRPr="00EB1A2D">
        <w:rPr>
          <w:u w:val="none"/>
          <w:lang w:val="en-ZA"/>
        </w:rPr>
        <w:t>at 26 </w:t>
      </w:r>
      <w:r w:rsidR="00352AD2" w:rsidRPr="00EB1A2D">
        <w:rPr>
          <w:u w:val="none"/>
          <w:lang w:val="en-ZA"/>
        </w:rPr>
        <w:t>16</w:t>
      </w:r>
      <w:r w:rsidR="00352AD2" w:rsidRPr="00EB1A2D">
        <w:rPr>
          <w:u w:val="none"/>
          <w:vertAlign w:val="superscript"/>
          <w:lang w:val="en-ZA"/>
        </w:rPr>
        <w:t>th</w:t>
      </w:r>
      <w:r w:rsidR="00352AD2" w:rsidRPr="00EB1A2D">
        <w:rPr>
          <w:u w:val="none"/>
          <w:lang w:val="en-ZA"/>
        </w:rPr>
        <w:t xml:space="preserve"> Avenue, </w:t>
      </w:r>
      <w:proofErr w:type="spellStart"/>
      <w:r w:rsidR="00352AD2" w:rsidRPr="00EB1A2D">
        <w:rPr>
          <w:u w:val="none"/>
          <w:lang w:val="en-ZA"/>
        </w:rPr>
        <w:t>Gonubie</w:t>
      </w:r>
      <w:proofErr w:type="spellEnd"/>
      <w:r w:rsidR="001B61B0" w:rsidRPr="00EB1A2D">
        <w:rPr>
          <w:u w:val="none"/>
          <w:lang w:val="en-ZA"/>
        </w:rPr>
        <w:t xml:space="preserve"> by registered mail</w:t>
      </w:r>
      <w:r w:rsidR="00F24DD0" w:rsidRPr="00EB1A2D">
        <w:rPr>
          <w:u w:val="none"/>
          <w:lang w:val="en-ZA"/>
        </w:rPr>
        <w:t xml:space="preserve">.  </w:t>
      </w:r>
      <w:r w:rsidR="001B61B0" w:rsidRPr="00EB1A2D">
        <w:rPr>
          <w:u w:val="none"/>
          <w:lang w:val="en-ZA"/>
        </w:rPr>
        <w:t xml:space="preserve">The </w:t>
      </w:r>
      <w:r w:rsidR="00352AD2" w:rsidRPr="00EB1A2D">
        <w:rPr>
          <w:u w:val="none"/>
          <w:lang w:val="en-ZA"/>
        </w:rPr>
        <w:t>applicant concedes</w:t>
      </w:r>
      <w:r w:rsidR="001B61B0" w:rsidRPr="00EB1A2D">
        <w:rPr>
          <w:u w:val="none"/>
          <w:lang w:val="en-ZA"/>
        </w:rPr>
        <w:t xml:space="preserve"> this</w:t>
      </w:r>
      <w:r w:rsidR="00F24DD0" w:rsidRPr="00EB1A2D">
        <w:rPr>
          <w:u w:val="none"/>
          <w:lang w:val="en-ZA"/>
        </w:rPr>
        <w:t xml:space="preserve"> </w:t>
      </w:r>
      <w:r w:rsidR="00352AD2" w:rsidRPr="00EB1A2D">
        <w:rPr>
          <w:u w:val="none"/>
          <w:lang w:val="en-ZA"/>
        </w:rPr>
        <w:t>is his</w:t>
      </w:r>
      <w:r w:rsidR="00F24DD0" w:rsidRPr="00EB1A2D">
        <w:rPr>
          <w:u w:val="none"/>
          <w:lang w:val="en-ZA"/>
        </w:rPr>
        <w:t xml:space="preserve"> </w:t>
      </w:r>
      <w:r w:rsidR="001B61B0" w:rsidRPr="00EB1A2D">
        <w:rPr>
          <w:u w:val="none"/>
          <w:lang w:val="en-ZA"/>
        </w:rPr>
        <w:t xml:space="preserve">home </w:t>
      </w:r>
      <w:r w:rsidR="00352AD2" w:rsidRPr="00EB1A2D">
        <w:rPr>
          <w:u w:val="none"/>
          <w:lang w:val="en-ZA"/>
        </w:rPr>
        <w:t>address</w:t>
      </w:r>
      <w:r w:rsidR="00F24DD0" w:rsidRPr="00EB1A2D">
        <w:rPr>
          <w:u w:val="none"/>
          <w:lang w:val="en-ZA"/>
        </w:rPr>
        <w:t xml:space="preserve">.  </w:t>
      </w:r>
      <w:r w:rsidR="0011786F" w:rsidRPr="00EB1A2D">
        <w:rPr>
          <w:u w:val="none"/>
          <w:lang w:val="en-ZA"/>
        </w:rPr>
        <w:t xml:space="preserve">SA Post Office’s </w:t>
      </w:r>
      <w:r w:rsidR="00352AD2" w:rsidRPr="00EB1A2D">
        <w:rPr>
          <w:u w:val="none"/>
          <w:lang w:val="en-ZA"/>
        </w:rPr>
        <w:t xml:space="preserve">parcel tracking </w:t>
      </w:r>
      <w:r w:rsidR="00A427C6" w:rsidRPr="00EB1A2D">
        <w:rPr>
          <w:u w:val="none"/>
          <w:lang w:val="en-ZA"/>
        </w:rPr>
        <w:t xml:space="preserve">records </w:t>
      </w:r>
      <w:r w:rsidR="003F4640" w:rsidRPr="00EB1A2D">
        <w:rPr>
          <w:u w:val="none"/>
          <w:lang w:val="en-ZA"/>
        </w:rPr>
        <w:t>receipt of the</w:t>
      </w:r>
      <w:r w:rsidR="007925DE" w:rsidRPr="00EB1A2D">
        <w:rPr>
          <w:u w:val="none"/>
          <w:lang w:val="en-ZA"/>
        </w:rPr>
        <w:t xml:space="preserve"> </w:t>
      </w:r>
      <w:r w:rsidR="00662F53" w:rsidRPr="00EB1A2D">
        <w:rPr>
          <w:u w:val="none"/>
          <w:lang w:val="en-ZA"/>
        </w:rPr>
        <w:t>s</w:t>
      </w:r>
      <w:r w:rsidR="007925DE" w:rsidRPr="00EB1A2D">
        <w:rPr>
          <w:u w:val="none"/>
          <w:lang w:val="en-ZA"/>
        </w:rPr>
        <w:t xml:space="preserve">129 letter </w:t>
      </w:r>
      <w:r w:rsidR="003F4640" w:rsidRPr="00EB1A2D">
        <w:rPr>
          <w:u w:val="none"/>
          <w:lang w:val="en-ZA"/>
        </w:rPr>
        <w:t xml:space="preserve">at the </w:t>
      </w:r>
      <w:proofErr w:type="spellStart"/>
      <w:r w:rsidR="003F4640" w:rsidRPr="00EB1A2D">
        <w:rPr>
          <w:u w:val="none"/>
          <w:lang w:val="en-ZA"/>
        </w:rPr>
        <w:t>Gonubie</w:t>
      </w:r>
      <w:proofErr w:type="spellEnd"/>
      <w:r w:rsidR="003F4640" w:rsidRPr="00EB1A2D">
        <w:rPr>
          <w:u w:val="none"/>
          <w:lang w:val="en-ZA"/>
        </w:rPr>
        <w:t xml:space="preserve"> </w:t>
      </w:r>
      <w:r w:rsidR="006410E9" w:rsidRPr="00EB1A2D">
        <w:rPr>
          <w:u w:val="none"/>
          <w:lang w:val="en-ZA"/>
        </w:rPr>
        <w:t>P</w:t>
      </w:r>
      <w:r w:rsidR="003F4640" w:rsidRPr="00EB1A2D">
        <w:rPr>
          <w:u w:val="none"/>
          <w:lang w:val="en-ZA"/>
        </w:rPr>
        <w:t xml:space="preserve">ost </w:t>
      </w:r>
      <w:r w:rsidR="006410E9" w:rsidRPr="00EB1A2D">
        <w:rPr>
          <w:u w:val="none"/>
          <w:lang w:val="en-ZA"/>
        </w:rPr>
        <w:t>O</w:t>
      </w:r>
      <w:r w:rsidR="003F4640" w:rsidRPr="00EB1A2D">
        <w:rPr>
          <w:u w:val="none"/>
          <w:lang w:val="en-ZA"/>
        </w:rPr>
        <w:t xml:space="preserve">ffice and </w:t>
      </w:r>
      <w:r w:rsidR="00F55284" w:rsidRPr="00EB1A2D">
        <w:rPr>
          <w:u w:val="none"/>
          <w:lang w:val="en-ZA"/>
        </w:rPr>
        <w:t xml:space="preserve">that </w:t>
      </w:r>
      <w:r w:rsidR="00352AD2" w:rsidRPr="00EB1A2D">
        <w:rPr>
          <w:u w:val="none"/>
          <w:lang w:val="en-ZA"/>
        </w:rPr>
        <w:t>final notification</w:t>
      </w:r>
      <w:r w:rsidR="00F24DD0" w:rsidRPr="00EB1A2D">
        <w:rPr>
          <w:u w:val="none"/>
          <w:lang w:val="en-ZA"/>
        </w:rPr>
        <w:t xml:space="preserve"> </w:t>
      </w:r>
      <w:r w:rsidR="00D749D9" w:rsidRPr="00EB1A2D">
        <w:rPr>
          <w:u w:val="none"/>
          <w:lang w:val="en-ZA"/>
        </w:rPr>
        <w:t xml:space="preserve">given to the applicant to collect the </w:t>
      </w:r>
      <w:r w:rsidR="00352AD2" w:rsidRPr="00EB1A2D">
        <w:rPr>
          <w:u w:val="none"/>
          <w:lang w:val="en-ZA"/>
        </w:rPr>
        <w:t>notice on 13 October 2021</w:t>
      </w:r>
      <w:r w:rsidR="00F24DD0" w:rsidRPr="00EB1A2D">
        <w:rPr>
          <w:u w:val="none"/>
          <w:lang w:val="en-ZA"/>
        </w:rPr>
        <w:t xml:space="preserve">. </w:t>
      </w:r>
      <w:r w:rsidR="00997325" w:rsidRPr="00EB1A2D">
        <w:rPr>
          <w:u w:val="none"/>
          <w:lang w:val="en-ZA"/>
        </w:rPr>
        <w:t>This constitutes suffic</w:t>
      </w:r>
      <w:r w:rsidR="00911648" w:rsidRPr="00EB1A2D">
        <w:rPr>
          <w:u w:val="none"/>
          <w:lang w:val="en-ZA"/>
        </w:rPr>
        <w:t>ient notice.</w:t>
      </w:r>
      <w:r w:rsidR="00BF0E00">
        <w:rPr>
          <w:rStyle w:val="FootnoteReference"/>
          <w:u w:val="none"/>
          <w:lang w:val="en-ZA"/>
        </w:rPr>
        <w:footnoteReference w:id="14"/>
      </w:r>
      <w:r w:rsidR="00F24DD0" w:rsidRPr="00EB1A2D">
        <w:rPr>
          <w:u w:val="none"/>
          <w:lang w:val="en-ZA"/>
        </w:rPr>
        <w:t xml:space="preserve"> </w:t>
      </w:r>
    </w:p>
    <w:p w14:paraId="04FBFF6A" w14:textId="32FC4E66" w:rsidR="006410E9" w:rsidRPr="00EB1A2D" w:rsidRDefault="00EB1A2D" w:rsidP="00EB1A2D">
      <w:pPr>
        <w:tabs>
          <w:tab w:val="left" w:pos="851"/>
          <w:tab w:val="right" w:pos="8280"/>
        </w:tabs>
        <w:spacing w:before="480" w:line="480" w:lineRule="auto"/>
        <w:ind w:left="851" w:hanging="851"/>
        <w:jc w:val="both"/>
        <w:rPr>
          <w:u w:val="none"/>
          <w:lang w:val="en-ZA"/>
        </w:rPr>
      </w:pPr>
      <w:r w:rsidRPr="00425454">
        <w:rPr>
          <w:u w:val="none"/>
          <w:lang w:val="en-ZA"/>
        </w:rPr>
        <w:t>[28]</w:t>
      </w:r>
      <w:r w:rsidRPr="00425454">
        <w:rPr>
          <w:u w:val="none"/>
          <w:lang w:val="en-ZA"/>
        </w:rPr>
        <w:tab/>
      </w:r>
      <w:r w:rsidR="00923AA6" w:rsidRPr="00EB1A2D">
        <w:rPr>
          <w:u w:val="none"/>
          <w:lang w:val="en-ZA"/>
        </w:rPr>
        <w:t xml:space="preserve">Counsel for </w:t>
      </w:r>
      <w:proofErr w:type="gramStart"/>
      <w:r w:rsidR="001C0D79" w:rsidRPr="00EB1A2D">
        <w:rPr>
          <w:u w:val="none"/>
          <w:lang w:val="en-ZA"/>
        </w:rPr>
        <w:t xml:space="preserve">Absa </w:t>
      </w:r>
      <w:r w:rsidR="00F31165" w:rsidRPr="00EB1A2D">
        <w:rPr>
          <w:u w:val="none"/>
          <w:lang w:val="en-ZA"/>
        </w:rPr>
        <w:t xml:space="preserve"> Bank</w:t>
      </w:r>
      <w:proofErr w:type="gramEnd"/>
      <w:r w:rsidR="00F31165" w:rsidRPr="00EB1A2D">
        <w:rPr>
          <w:u w:val="none"/>
          <w:lang w:val="en-ZA"/>
        </w:rPr>
        <w:t xml:space="preserve"> </w:t>
      </w:r>
      <w:r w:rsidR="00923AA6" w:rsidRPr="00EB1A2D">
        <w:rPr>
          <w:u w:val="none"/>
          <w:lang w:val="en-ZA"/>
        </w:rPr>
        <w:t>contended in argument that the</w:t>
      </w:r>
      <w:r w:rsidR="00F24DD0" w:rsidRPr="00EB1A2D">
        <w:rPr>
          <w:u w:val="none"/>
          <w:lang w:val="en-ZA"/>
        </w:rPr>
        <w:t xml:space="preserve"> </w:t>
      </w:r>
      <w:r w:rsidR="001C0D79" w:rsidRPr="00EB1A2D">
        <w:rPr>
          <w:u w:val="none"/>
          <w:lang w:val="en-ZA"/>
        </w:rPr>
        <w:t>applicant</w:t>
      </w:r>
      <w:r w:rsidR="00F24DD0" w:rsidRPr="00EB1A2D">
        <w:rPr>
          <w:u w:val="none"/>
          <w:lang w:val="en-ZA"/>
        </w:rPr>
        <w:t xml:space="preserve"> </w:t>
      </w:r>
      <w:r w:rsidR="001C0D79" w:rsidRPr="00EB1A2D">
        <w:rPr>
          <w:u w:val="none"/>
          <w:lang w:val="en-ZA"/>
        </w:rPr>
        <w:t xml:space="preserve">could not rely on the </w:t>
      </w:r>
      <w:r w:rsidR="00923AA6" w:rsidRPr="00EB1A2D">
        <w:rPr>
          <w:u w:val="none"/>
          <w:lang w:val="en-ZA"/>
        </w:rPr>
        <w:t>estoppel</w:t>
      </w:r>
      <w:r w:rsidR="00F24DD0" w:rsidRPr="00EB1A2D">
        <w:rPr>
          <w:u w:val="none"/>
          <w:lang w:val="en-ZA"/>
        </w:rPr>
        <w:t xml:space="preserve"> </w:t>
      </w:r>
      <w:r w:rsidR="00CA4208" w:rsidRPr="00EB1A2D">
        <w:rPr>
          <w:u w:val="none"/>
          <w:lang w:val="en-ZA"/>
        </w:rPr>
        <w:t xml:space="preserve">defence as it was </w:t>
      </w:r>
      <w:r w:rsidR="00923AA6" w:rsidRPr="00EB1A2D">
        <w:rPr>
          <w:u w:val="none"/>
          <w:lang w:val="en-ZA"/>
        </w:rPr>
        <w:t>only raised in the</w:t>
      </w:r>
      <w:r w:rsidR="00CA4208" w:rsidRPr="00EB1A2D">
        <w:rPr>
          <w:u w:val="none"/>
          <w:lang w:val="en-ZA"/>
        </w:rPr>
        <w:t xml:space="preserve"> reply</w:t>
      </w:r>
      <w:r w:rsidR="00F24DD0" w:rsidRPr="00EB1A2D">
        <w:rPr>
          <w:u w:val="none"/>
          <w:lang w:val="en-ZA"/>
        </w:rPr>
        <w:t xml:space="preserve">. </w:t>
      </w:r>
      <w:r w:rsidR="006410E9" w:rsidRPr="00EB1A2D">
        <w:rPr>
          <w:u w:val="none"/>
          <w:lang w:val="en-ZA"/>
        </w:rPr>
        <w:t xml:space="preserve"> </w:t>
      </w:r>
      <w:r w:rsidR="00B62DB4" w:rsidRPr="00EB1A2D">
        <w:rPr>
          <w:u w:val="none"/>
          <w:lang w:val="en-ZA"/>
        </w:rPr>
        <w:t>I disagree.  It is trite that estoppel is not a cause of action.  A plaintiff must not rely on estoppel in the claim, nor may a defendant rely on it in the counterclaim.</w:t>
      </w:r>
      <w:r w:rsidR="00B62DB4" w:rsidRPr="00425454">
        <w:rPr>
          <w:rStyle w:val="FootnoteReference"/>
          <w:u w:val="none"/>
          <w:lang w:val="en-ZA"/>
        </w:rPr>
        <w:footnoteReference w:id="15"/>
      </w:r>
      <w:r w:rsidR="00B62DB4" w:rsidRPr="00EB1A2D">
        <w:rPr>
          <w:u w:val="none"/>
          <w:lang w:val="en-ZA"/>
        </w:rPr>
        <w:t xml:space="preserve">  A p</w:t>
      </w:r>
      <w:r w:rsidR="00C03096" w:rsidRPr="00EB1A2D">
        <w:rPr>
          <w:u w:val="none"/>
          <w:lang w:val="en-ZA"/>
        </w:rPr>
        <w:t>laintiff</w:t>
      </w:r>
      <w:r w:rsidR="00B62DB4" w:rsidRPr="00EB1A2D">
        <w:rPr>
          <w:u w:val="none"/>
          <w:lang w:val="en-ZA"/>
        </w:rPr>
        <w:t xml:space="preserve"> wishing to rely on estoppel must plead it in the replication in the reply to a defendant’s plea.</w:t>
      </w:r>
      <w:r w:rsidR="00B62DB4" w:rsidRPr="00425454">
        <w:rPr>
          <w:rStyle w:val="FootnoteReference"/>
          <w:u w:val="none"/>
          <w:lang w:val="en-ZA"/>
        </w:rPr>
        <w:footnoteReference w:id="16"/>
      </w:r>
      <w:r w:rsidR="00B62DB4" w:rsidRPr="00EB1A2D">
        <w:rPr>
          <w:u w:val="none"/>
          <w:lang w:val="en-ZA"/>
        </w:rPr>
        <w:t xml:space="preserve">  Where a plaintiff is aware, at the inception, of the true facts, these must be pleaded.  In these circumstances, a plaintiff may rely on estoppel in the replication.</w:t>
      </w:r>
      <w:r w:rsidR="00B62DB4" w:rsidRPr="00425454">
        <w:rPr>
          <w:rStyle w:val="FootnoteReference"/>
          <w:u w:val="none"/>
          <w:lang w:val="en-ZA"/>
        </w:rPr>
        <w:footnoteReference w:id="17"/>
      </w:r>
    </w:p>
    <w:p w14:paraId="188375B0" w14:textId="0A83BE08" w:rsidR="00B62DB4" w:rsidRPr="00EB1A2D" w:rsidRDefault="00EB1A2D" w:rsidP="00EB1A2D">
      <w:pPr>
        <w:tabs>
          <w:tab w:val="left" w:pos="851"/>
          <w:tab w:val="right" w:pos="8280"/>
        </w:tabs>
        <w:spacing w:before="480" w:line="480" w:lineRule="auto"/>
        <w:ind w:left="851" w:hanging="851"/>
        <w:jc w:val="both"/>
        <w:rPr>
          <w:u w:val="none"/>
          <w:lang w:val="en-ZA"/>
        </w:rPr>
      </w:pPr>
      <w:r w:rsidRPr="00425454">
        <w:rPr>
          <w:u w:val="none"/>
          <w:lang w:val="en-ZA"/>
        </w:rPr>
        <w:t>[29]</w:t>
      </w:r>
      <w:r w:rsidRPr="00425454">
        <w:rPr>
          <w:u w:val="none"/>
          <w:lang w:val="en-ZA"/>
        </w:rPr>
        <w:tab/>
      </w:r>
      <w:r w:rsidR="00B62DB4" w:rsidRPr="00EB1A2D">
        <w:rPr>
          <w:u w:val="none"/>
          <w:lang w:val="en-ZA"/>
        </w:rPr>
        <w:t>The applicant has properly raised the estoppel defence.  The facts on which the applicant relies for this defence are set out in the founding affidavit in accordance with the settled legal principles.</w:t>
      </w:r>
      <w:r w:rsidR="00C03096" w:rsidRPr="00EB1A2D">
        <w:rPr>
          <w:u w:val="none"/>
          <w:lang w:val="en-ZA"/>
        </w:rPr>
        <w:t xml:space="preserve"> The estoppel </w:t>
      </w:r>
      <w:r w:rsidR="00C03096" w:rsidRPr="00EB1A2D">
        <w:rPr>
          <w:u w:val="none"/>
          <w:lang w:val="en-ZA"/>
        </w:rPr>
        <w:lastRenderedPageBreak/>
        <w:t xml:space="preserve">defence, </w:t>
      </w:r>
      <w:proofErr w:type="gramStart"/>
      <w:r w:rsidR="00C03096" w:rsidRPr="00EB1A2D">
        <w:rPr>
          <w:u w:val="none"/>
          <w:lang w:val="en-ZA"/>
        </w:rPr>
        <w:t>itself  is</w:t>
      </w:r>
      <w:proofErr w:type="gramEnd"/>
      <w:r w:rsidR="00C03096" w:rsidRPr="00EB1A2D">
        <w:rPr>
          <w:u w:val="none"/>
          <w:lang w:val="en-ZA"/>
        </w:rPr>
        <w:t xml:space="preserve"> raised  in the replying affidavit</w:t>
      </w:r>
      <w:r w:rsidR="00B62DB4" w:rsidRPr="00EB1A2D">
        <w:rPr>
          <w:u w:val="none"/>
          <w:lang w:val="en-ZA"/>
        </w:rPr>
        <w:t xml:space="preserve"> </w:t>
      </w:r>
      <w:r w:rsidR="00C03096" w:rsidRPr="00EB1A2D">
        <w:rPr>
          <w:u w:val="none"/>
          <w:lang w:val="en-ZA"/>
        </w:rPr>
        <w:t xml:space="preserve">. </w:t>
      </w:r>
      <w:r w:rsidR="00B62DB4" w:rsidRPr="00EB1A2D">
        <w:rPr>
          <w:u w:val="none"/>
          <w:lang w:val="en-ZA"/>
        </w:rPr>
        <w:t>Absa</w:t>
      </w:r>
      <w:r w:rsidR="00C03096" w:rsidRPr="00EB1A2D">
        <w:rPr>
          <w:u w:val="none"/>
          <w:lang w:val="en-ZA"/>
        </w:rPr>
        <w:t xml:space="preserve"> Bank</w:t>
      </w:r>
      <w:r w:rsidR="00B62DB4" w:rsidRPr="00EB1A2D">
        <w:rPr>
          <w:u w:val="none"/>
          <w:lang w:val="en-ZA"/>
        </w:rPr>
        <w:t>’s opposition to the applicant’s estoppel defence is misguided.</w:t>
      </w:r>
    </w:p>
    <w:p w14:paraId="4AF97690" w14:textId="41A33B57" w:rsidR="00923AA6" w:rsidRPr="00EB1A2D" w:rsidRDefault="00EB1A2D" w:rsidP="00EB1A2D">
      <w:pPr>
        <w:tabs>
          <w:tab w:val="left" w:pos="851"/>
          <w:tab w:val="right" w:pos="8280"/>
        </w:tabs>
        <w:spacing w:before="480" w:line="480" w:lineRule="auto"/>
        <w:ind w:left="851" w:hanging="851"/>
        <w:jc w:val="both"/>
        <w:rPr>
          <w:u w:val="none"/>
          <w:lang w:val="en-ZA"/>
        </w:rPr>
      </w:pPr>
      <w:r>
        <w:rPr>
          <w:u w:val="none"/>
          <w:lang w:val="en-ZA"/>
        </w:rPr>
        <w:t>[30]</w:t>
      </w:r>
      <w:r>
        <w:rPr>
          <w:u w:val="none"/>
          <w:lang w:val="en-ZA"/>
        </w:rPr>
        <w:tab/>
      </w:r>
      <w:r w:rsidR="005E4167" w:rsidRPr="00EB1A2D">
        <w:rPr>
          <w:u w:val="none"/>
          <w:lang w:val="en-ZA"/>
        </w:rPr>
        <w:t>Absa</w:t>
      </w:r>
      <w:r w:rsidR="00C03096" w:rsidRPr="00EB1A2D">
        <w:rPr>
          <w:u w:val="none"/>
          <w:lang w:val="en-ZA"/>
        </w:rPr>
        <w:t xml:space="preserve"> Bank</w:t>
      </w:r>
      <w:r w:rsidR="008C1130" w:rsidRPr="00EB1A2D">
        <w:rPr>
          <w:u w:val="none"/>
          <w:lang w:val="en-ZA"/>
        </w:rPr>
        <w:t>, in any event, did not oppose the application for condonation</w:t>
      </w:r>
      <w:r w:rsidR="00D42137" w:rsidRPr="00EB1A2D">
        <w:rPr>
          <w:u w:val="none"/>
          <w:lang w:val="en-ZA"/>
        </w:rPr>
        <w:t xml:space="preserve"> f</w:t>
      </w:r>
      <w:r w:rsidR="00B62DB4" w:rsidRPr="00EB1A2D">
        <w:rPr>
          <w:u w:val="none"/>
          <w:lang w:val="en-ZA"/>
        </w:rPr>
        <w:t>o</w:t>
      </w:r>
      <w:r w:rsidR="00D42137" w:rsidRPr="00EB1A2D">
        <w:rPr>
          <w:u w:val="none"/>
          <w:lang w:val="en-ZA"/>
        </w:rPr>
        <w:t>r th</w:t>
      </w:r>
      <w:r w:rsidR="00B62DB4" w:rsidRPr="00EB1A2D">
        <w:rPr>
          <w:u w:val="none"/>
          <w:lang w:val="en-ZA"/>
        </w:rPr>
        <w:t>e</w:t>
      </w:r>
      <w:r w:rsidR="00D42137" w:rsidRPr="00EB1A2D">
        <w:rPr>
          <w:u w:val="none"/>
          <w:lang w:val="en-ZA"/>
        </w:rPr>
        <w:t xml:space="preserve"> late filing of the replying affidavit</w:t>
      </w:r>
      <w:r w:rsidR="00F24DD0" w:rsidRPr="00EB1A2D">
        <w:rPr>
          <w:u w:val="none"/>
          <w:lang w:val="en-ZA"/>
        </w:rPr>
        <w:t xml:space="preserve">.  </w:t>
      </w:r>
      <w:r w:rsidR="008C1130" w:rsidRPr="00EB1A2D">
        <w:rPr>
          <w:u w:val="none"/>
          <w:lang w:val="en-ZA"/>
        </w:rPr>
        <w:t xml:space="preserve">I was pertinently informed by the counsel for </w:t>
      </w:r>
      <w:r w:rsidR="005E4167" w:rsidRPr="00EB1A2D">
        <w:rPr>
          <w:u w:val="none"/>
          <w:lang w:val="en-ZA"/>
        </w:rPr>
        <w:t xml:space="preserve">Absa </w:t>
      </w:r>
      <w:r w:rsidR="00C03096" w:rsidRPr="00EB1A2D">
        <w:rPr>
          <w:u w:val="none"/>
          <w:lang w:val="en-ZA"/>
        </w:rPr>
        <w:t xml:space="preserve">Bank </w:t>
      </w:r>
      <w:r w:rsidR="008C1130" w:rsidRPr="00EB1A2D">
        <w:rPr>
          <w:u w:val="none"/>
          <w:lang w:val="en-ZA"/>
        </w:rPr>
        <w:t>that he had no instructions to oppose the application for condonation.</w:t>
      </w:r>
    </w:p>
    <w:p w14:paraId="7B478EFA" w14:textId="077CD1F1" w:rsidR="005531AC" w:rsidRPr="00EB1A2D" w:rsidRDefault="00EB1A2D" w:rsidP="00EB1A2D">
      <w:pPr>
        <w:tabs>
          <w:tab w:val="left" w:pos="851"/>
          <w:tab w:val="right" w:pos="8280"/>
        </w:tabs>
        <w:spacing w:before="480" w:line="480" w:lineRule="auto"/>
        <w:ind w:left="851" w:hanging="851"/>
        <w:jc w:val="both"/>
        <w:rPr>
          <w:u w:val="none"/>
          <w:lang w:val="en-ZA"/>
        </w:rPr>
      </w:pPr>
      <w:r>
        <w:rPr>
          <w:u w:val="none"/>
          <w:lang w:val="en-ZA"/>
        </w:rPr>
        <w:t>[31]</w:t>
      </w:r>
      <w:r>
        <w:rPr>
          <w:u w:val="none"/>
          <w:lang w:val="en-ZA"/>
        </w:rPr>
        <w:tab/>
      </w:r>
      <w:r w:rsidR="008C1130" w:rsidRPr="00EB1A2D">
        <w:rPr>
          <w:u w:val="none"/>
          <w:lang w:val="en-ZA"/>
        </w:rPr>
        <w:t xml:space="preserve">I am satisfied that the applicant has provided adequate </w:t>
      </w:r>
      <w:r w:rsidR="00B013D7" w:rsidRPr="00EB1A2D">
        <w:rPr>
          <w:u w:val="none"/>
          <w:lang w:val="en-ZA"/>
        </w:rPr>
        <w:t>explanation</w:t>
      </w:r>
      <w:r w:rsidR="00F24DD0" w:rsidRPr="00EB1A2D">
        <w:rPr>
          <w:u w:val="none"/>
          <w:lang w:val="en-ZA"/>
        </w:rPr>
        <w:t xml:space="preserve"> </w:t>
      </w:r>
      <w:r w:rsidR="008908C5" w:rsidRPr="00EB1A2D">
        <w:rPr>
          <w:u w:val="none"/>
          <w:lang w:val="en-ZA"/>
        </w:rPr>
        <w:t>why</w:t>
      </w:r>
      <w:r w:rsidR="00EB2D10" w:rsidRPr="00EB1A2D">
        <w:rPr>
          <w:u w:val="none"/>
          <w:lang w:val="en-ZA"/>
        </w:rPr>
        <w:t xml:space="preserve"> </w:t>
      </w:r>
      <w:r w:rsidR="008908C5" w:rsidRPr="00EB1A2D">
        <w:rPr>
          <w:u w:val="none"/>
          <w:lang w:val="en-ZA"/>
        </w:rPr>
        <w:t>the replying affidavit was filed late</w:t>
      </w:r>
      <w:r w:rsidR="00F24DD0" w:rsidRPr="00EB1A2D">
        <w:rPr>
          <w:u w:val="none"/>
          <w:lang w:val="en-ZA"/>
        </w:rPr>
        <w:t xml:space="preserve">.  </w:t>
      </w:r>
      <w:r w:rsidR="005E4167" w:rsidRPr="00EB1A2D">
        <w:rPr>
          <w:u w:val="none"/>
          <w:lang w:val="en-ZA"/>
        </w:rPr>
        <w:t xml:space="preserve">Condonation </w:t>
      </w:r>
      <w:r w:rsidR="00B013D7" w:rsidRPr="00EB1A2D">
        <w:rPr>
          <w:u w:val="none"/>
          <w:lang w:val="en-ZA"/>
        </w:rPr>
        <w:t xml:space="preserve">for the late filing of the replying affidavit </w:t>
      </w:r>
      <w:r w:rsidR="005E4167" w:rsidRPr="00EB1A2D">
        <w:rPr>
          <w:u w:val="none"/>
          <w:lang w:val="en-ZA"/>
        </w:rPr>
        <w:t>is granted</w:t>
      </w:r>
      <w:r w:rsidR="00F24DD0" w:rsidRPr="00EB1A2D">
        <w:rPr>
          <w:u w:val="none"/>
          <w:lang w:val="en-ZA"/>
        </w:rPr>
        <w:t xml:space="preserve">. </w:t>
      </w:r>
    </w:p>
    <w:p w14:paraId="5F464256" w14:textId="248E489C" w:rsidR="008C1130" w:rsidRPr="00EB1A2D" w:rsidRDefault="00EB1A2D" w:rsidP="00EB1A2D">
      <w:pPr>
        <w:tabs>
          <w:tab w:val="left" w:pos="851"/>
          <w:tab w:val="right" w:pos="8280"/>
        </w:tabs>
        <w:spacing w:before="480" w:line="480" w:lineRule="auto"/>
        <w:ind w:left="851" w:hanging="851"/>
        <w:jc w:val="both"/>
        <w:rPr>
          <w:u w:val="none"/>
          <w:lang w:val="en-ZA"/>
        </w:rPr>
      </w:pPr>
      <w:r>
        <w:rPr>
          <w:u w:val="none"/>
          <w:lang w:val="en-ZA"/>
        </w:rPr>
        <w:t>[32]</w:t>
      </w:r>
      <w:r>
        <w:rPr>
          <w:u w:val="none"/>
          <w:lang w:val="en-ZA"/>
        </w:rPr>
        <w:tab/>
      </w:r>
      <w:r w:rsidR="005531AC" w:rsidRPr="00EB1A2D">
        <w:rPr>
          <w:u w:val="none"/>
          <w:lang w:val="en-ZA"/>
        </w:rPr>
        <w:t>For the reasons set out below, I do not consider it necessary to de</w:t>
      </w:r>
      <w:r w:rsidR="005F6A1C" w:rsidRPr="00EB1A2D">
        <w:rPr>
          <w:u w:val="none"/>
          <w:lang w:val="en-ZA"/>
        </w:rPr>
        <w:t>cide</w:t>
      </w:r>
      <w:r w:rsidR="005531AC" w:rsidRPr="00EB1A2D">
        <w:rPr>
          <w:u w:val="none"/>
          <w:lang w:val="en-ZA"/>
        </w:rPr>
        <w:t xml:space="preserve"> whether Absa </w:t>
      </w:r>
      <w:r w:rsidR="005F6A1C" w:rsidRPr="00EB1A2D">
        <w:rPr>
          <w:u w:val="none"/>
          <w:lang w:val="en-ZA"/>
        </w:rPr>
        <w:t>B</w:t>
      </w:r>
      <w:r w:rsidR="005531AC" w:rsidRPr="00EB1A2D">
        <w:rPr>
          <w:u w:val="none"/>
          <w:lang w:val="en-ZA"/>
        </w:rPr>
        <w:t>ank was estopped</w:t>
      </w:r>
      <w:r w:rsidR="005F6A1C" w:rsidRPr="00EB1A2D">
        <w:rPr>
          <w:u w:val="none"/>
          <w:lang w:val="en-ZA"/>
        </w:rPr>
        <w:t xml:space="preserve"> by </w:t>
      </w:r>
      <w:r w:rsidR="005531AC" w:rsidRPr="00EB1A2D">
        <w:rPr>
          <w:u w:val="none"/>
          <w:lang w:val="en-ZA"/>
        </w:rPr>
        <w:t>its conduct</w:t>
      </w:r>
      <w:r w:rsidR="00360707" w:rsidRPr="00EB1A2D">
        <w:rPr>
          <w:u w:val="none"/>
          <w:lang w:val="en-ZA"/>
        </w:rPr>
        <w:t>,</w:t>
      </w:r>
      <w:r w:rsidR="005531AC" w:rsidRPr="00EB1A2D">
        <w:rPr>
          <w:u w:val="none"/>
          <w:lang w:val="en-ZA"/>
        </w:rPr>
        <w:t xml:space="preserve"> after default judgement</w:t>
      </w:r>
      <w:r w:rsidR="00AA2D4A" w:rsidRPr="00EB1A2D">
        <w:rPr>
          <w:u w:val="none"/>
          <w:lang w:val="en-ZA"/>
        </w:rPr>
        <w:t xml:space="preserve"> was granted in its favour</w:t>
      </w:r>
      <w:r w:rsidR="00360707" w:rsidRPr="00EB1A2D">
        <w:rPr>
          <w:u w:val="none"/>
          <w:lang w:val="en-ZA"/>
        </w:rPr>
        <w:t>,</w:t>
      </w:r>
      <w:r w:rsidR="00D800F9" w:rsidRPr="00EB1A2D">
        <w:rPr>
          <w:u w:val="none"/>
          <w:lang w:val="en-ZA"/>
        </w:rPr>
        <w:t xml:space="preserve"> to </w:t>
      </w:r>
      <w:r w:rsidR="00360707" w:rsidRPr="00EB1A2D">
        <w:rPr>
          <w:u w:val="none"/>
          <w:lang w:val="en-ZA"/>
        </w:rPr>
        <w:t>contend</w:t>
      </w:r>
      <w:r w:rsidR="00D800F9" w:rsidRPr="00EB1A2D">
        <w:rPr>
          <w:u w:val="none"/>
          <w:lang w:val="en-ZA"/>
        </w:rPr>
        <w:t xml:space="preserve"> that the credit agreement had been cancel</w:t>
      </w:r>
      <w:r w:rsidR="00AA2D4A" w:rsidRPr="00EB1A2D">
        <w:rPr>
          <w:u w:val="none"/>
          <w:lang w:val="en-ZA"/>
        </w:rPr>
        <w:t>l</w:t>
      </w:r>
      <w:r w:rsidR="00D800F9" w:rsidRPr="00EB1A2D">
        <w:rPr>
          <w:u w:val="none"/>
          <w:lang w:val="en-ZA"/>
        </w:rPr>
        <w:t>ed</w:t>
      </w:r>
      <w:r w:rsidR="00D479D7" w:rsidRPr="00EB1A2D">
        <w:rPr>
          <w:u w:val="none"/>
          <w:lang w:val="en-ZA"/>
        </w:rPr>
        <w:t>.</w:t>
      </w:r>
      <w:r w:rsidR="00D800F9" w:rsidRPr="00EB1A2D">
        <w:rPr>
          <w:u w:val="none"/>
          <w:lang w:val="en-ZA"/>
        </w:rPr>
        <w:t xml:space="preserve"> </w:t>
      </w:r>
    </w:p>
    <w:p w14:paraId="49D918D7" w14:textId="640633F6" w:rsidR="00C03096" w:rsidRPr="00EB1A2D" w:rsidRDefault="00EB1A2D" w:rsidP="00EB1A2D">
      <w:pPr>
        <w:tabs>
          <w:tab w:val="left" w:pos="851"/>
          <w:tab w:val="right" w:pos="8280"/>
        </w:tabs>
        <w:spacing w:before="480" w:line="480" w:lineRule="auto"/>
        <w:ind w:left="851" w:hanging="851"/>
        <w:jc w:val="both"/>
        <w:rPr>
          <w:u w:val="none"/>
          <w:lang w:val="en-ZA"/>
        </w:rPr>
      </w:pPr>
      <w:r w:rsidRPr="00C03096">
        <w:rPr>
          <w:u w:val="none"/>
          <w:lang w:val="en-ZA"/>
        </w:rPr>
        <w:t>[33]</w:t>
      </w:r>
      <w:r w:rsidRPr="00C03096">
        <w:rPr>
          <w:u w:val="none"/>
          <w:lang w:val="en-ZA"/>
        </w:rPr>
        <w:tab/>
      </w:r>
      <w:r w:rsidR="00EB2D10" w:rsidRPr="00EB1A2D">
        <w:rPr>
          <w:u w:val="none"/>
          <w:lang w:val="en-ZA"/>
        </w:rPr>
        <w:t>The question</w:t>
      </w:r>
      <w:r w:rsidR="00D479D7" w:rsidRPr="00EB1A2D">
        <w:rPr>
          <w:u w:val="none"/>
          <w:lang w:val="en-ZA"/>
        </w:rPr>
        <w:t>,</w:t>
      </w:r>
      <w:r w:rsidR="00EB2D10" w:rsidRPr="00EB1A2D">
        <w:rPr>
          <w:u w:val="none"/>
          <w:lang w:val="en-ZA"/>
        </w:rPr>
        <w:t xml:space="preserve"> which is dispositive o</w:t>
      </w:r>
      <w:r w:rsidR="00AD64CC" w:rsidRPr="00EB1A2D">
        <w:rPr>
          <w:u w:val="none"/>
          <w:lang w:val="en-ZA"/>
        </w:rPr>
        <w:t>f this rescission, is whether it is permissible for the registrar of the High Court</w:t>
      </w:r>
      <w:r w:rsidR="00AA2D4A" w:rsidRPr="00EB1A2D">
        <w:rPr>
          <w:u w:val="none"/>
          <w:lang w:val="en-ZA"/>
        </w:rPr>
        <w:t xml:space="preserve">, to grant default judgement when the subject matter of the action is a consideration of the credit </w:t>
      </w:r>
      <w:proofErr w:type="gramStart"/>
      <w:r w:rsidR="00AA2D4A" w:rsidRPr="00EB1A2D">
        <w:rPr>
          <w:u w:val="none"/>
          <w:lang w:val="en-ZA"/>
        </w:rPr>
        <w:t>agreement</w:t>
      </w:r>
      <w:r w:rsidR="00C03096" w:rsidRPr="00EB1A2D">
        <w:rPr>
          <w:b/>
          <w:bCs/>
          <w:u w:val="none"/>
          <w:lang w:val="en-ZA"/>
        </w:rPr>
        <w:t xml:space="preserve"> </w:t>
      </w:r>
      <w:r w:rsidR="00D479D7" w:rsidRPr="00EB1A2D">
        <w:rPr>
          <w:b/>
          <w:bCs/>
          <w:u w:val="none"/>
          <w:lang w:val="en-ZA"/>
        </w:rPr>
        <w:t>.</w:t>
      </w:r>
      <w:proofErr w:type="gramEnd"/>
    </w:p>
    <w:p w14:paraId="38E4ED5F" w14:textId="77777777" w:rsidR="00D479D7" w:rsidRDefault="00D479D7" w:rsidP="00C03096">
      <w:pPr>
        <w:tabs>
          <w:tab w:val="right" w:pos="8280"/>
        </w:tabs>
        <w:spacing w:before="480" w:line="480" w:lineRule="auto"/>
        <w:jc w:val="both"/>
        <w:rPr>
          <w:b/>
          <w:bCs/>
          <w:u w:val="none"/>
          <w:lang w:val="en-ZA"/>
        </w:rPr>
      </w:pPr>
    </w:p>
    <w:p w14:paraId="773D8BC8" w14:textId="77777777" w:rsidR="00D479D7" w:rsidRDefault="00D479D7" w:rsidP="00C03096">
      <w:pPr>
        <w:tabs>
          <w:tab w:val="right" w:pos="8280"/>
        </w:tabs>
        <w:spacing w:before="480" w:line="480" w:lineRule="auto"/>
        <w:jc w:val="both"/>
        <w:rPr>
          <w:b/>
          <w:bCs/>
          <w:u w:val="none"/>
          <w:lang w:val="en-ZA"/>
        </w:rPr>
      </w:pPr>
    </w:p>
    <w:p w14:paraId="6C3AD392" w14:textId="417316C6" w:rsidR="00C03096" w:rsidRPr="00C03096" w:rsidRDefault="00C03096" w:rsidP="00C03096">
      <w:pPr>
        <w:tabs>
          <w:tab w:val="right" w:pos="8280"/>
        </w:tabs>
        <w:spacing w:before="480" w:line="480" w:lineRule="auto"/>
        <w:jc w:val="both"/>
        <w:rPr>
          <w:b/>
          <w:bCs/>
          <w:u w:val="none"/>
          <w:lang w:val="en-ZA"/>
        </w:rPr>
      </w:pPr>
      <w:r w:rsidRPr="00C03096">
        <w:rPr>
          <w:b/>
          <w:bCs/>
          <w:u w:val="none"/>
          <w:lang w:val="en-ZA"/>
        </w:rPr>
        <w:lastRenderedPageBreak/>
        <w:t>The Powers of the registrar</w:t>
      </w:r>
    </w:p>
    <w:p w14:paraId="19FBA357" w14:textId="2084B4C3" w:rsidR="00E9410D" w:rsidRPr="00EB1A2D" w:rsidRDefault="00EB1A2D" w:rsidP="00EB1A2D">
      <w:pPr>
        <w:tabs>
          <w:tab w:val="left" w:pos="851"/>
          <w:tab w:val="right" w:pos="8280"/>
        </w:tabs>
        <w:spacing w:before="480" w:line="480" w:lineRule="auto"/>
        <w:ind w:left="851" w:hanging="851"/>
        <w:jc w:val="both"/>
        <w:rPr>
          <w:u w:val="none"/>
          <w:lang w:val="en-ZA"/>
        </w:rPr>
      </w:pPr>
      <w:r>
        <w:rPr>
          <w:u w:val="none"/>
          <w:lang w:val="en-ZA"/>
        </w:rPr>
        <w:t>[34]</w:t>
      </w:r>
      <w:r>
        <w:rPr>
          <w:u w:val="none"/>
          <w:lang w:val="en-ZA"/>
        </w:rPr>
        <w:tab/>
      </w:r>
      <w:r w:rsidR="003F0CD4" w:rsidRPr="00EB1A2D">
        <w:rPr>
          <w:u w:val="none"/>
          <w:lang w:val="en-ZA"/>
        </w:rPr>
        <w:t xml:space="preserve">A registrar’s authority to grant default judgement is regulated by </w:t>
      </w:r>
      <w:r w:rsidR="00B62DB4" w:rsidRPr="00EB1A2D">
        <w:rPr>
          <w:u w:val="none"/>
          <w:lang w:val="en-ZA"/>
        </w:rPr>
        <w:t>s</w:t>
      </w:r>
      <w:r w:rsidR="00E9410D" w:rsidRPr="00EB1A2D">
        <w:rPr>
          <w:u w:val="none"/>
          <w:lang w:val="en-ZA"/>
        </w:rPr>
        <w:t>23 of the Superior Courts Act</w:t>
      </w:r>
      <w:r w:rsidR="00425454" w:rsidRPr="00EB1A2D">
        <w:rPr>
          <w:u w:val="none"/>
          <w:lang w:val="en-ZA"/>
        </w:rPr>
        <w:t>:</w:t>
      </w:r>
      <w:r w:rsidR="00E9410D">
        <w:rPr>
          <w:rStyle w:val="FootnoteReference"/>
          <w:u w:val="none"/>
          <w:lang w:val="en-ZA"/>
        </w:rPr>
        <w:footnoteReference w:id="18"/>
      </w:r>
      <w:r w:rsidR="00E9410D" w:rsidRPr="00EB1A2D">
        <w:rPr>
          <w:u w:val="none"/>
          <w:lang w:val="en-ZA"/>
        </w:rPr>
        <w:t xml:space="preserve"> </w:t>
      </w:r>
    </w:p>
    <w:p w14:paraId="65B605EA" w14:textId="77777777" w:rsidR="00E9410D" w:rsidRDefault="00E9410D" w:rsidP="00F24DD0">
      <w:pPr>
        <w:pStyle w:val="ListParagraph"/>
        <w:tabs>
          <w:tab w:val="left" w:pos="2552"/>
        </w:tabs>
        <w:spacing w:before="480" w:line="360" w:lineRule="auto"/>
        <w:ind w:left="1276"/>
        <w:contextualSpacing w:val="0"/>
        <w:jc w:val="both"/>
        <w:rPr>
          <w:u w:val="none"/>
          <w:lang w:val="en-ZA"/>
        </w:rPr>
      </w:pPr>
      <w:r>
        <w:rPr>
          <w:u w:val="none"/>
          <w:lang w:val="en-ZA"/>
        </w:rPr>
        <w:t>“</w:t>
      </w:r>
      <w:r>
        <w:rPr>
          <w:i/>
          <w:u w:val="none"/>
          <w:lang w:val="en-ZA"/>
        </w:rPr>
        <w:t>a judgment by default may be granted and entered by the registrar of a division in the manner and in circumstances prescribed by the rules and a judgment so entered is deemed to be a judgment of the court</w:t>
      </w:r>
      <w:r>
        <w:rPr>
          <w:u w:val="none"/>
          <w:lang w:val="en-ZA"/>
        </w:rPr>
        <w:t>”.</w:t>
      </w:r>
    </w:p>
    <w:p w14:paraId="480F1143" w14:textId="52F156CA" w:rsidR="00D42137" w:rsidRPr="00EB1A2D" w:rsidRDefault="00EB1A2D" w:rsidP="00EB1A2D">
      <w:pPr>
        <w:tabs>
          <w:tab w:val="left" w:pos="851"/>
          <w:tab w:val="right" w:pos="8280"/>
        </w:tabs>
        <w:spacing w:before="480" w:line="480" w:lineRule="auto"/>
        <w:ind w:left="851" w:hanging="851"/>
        <w:jc w:val="both"/>
        <w:rPr>
          <w:u w:val="none"/>
          <w:lang w:val="en-ZA"/>
        </w:rPr>
      </w:pPr>
      <w:r>
        <w:rPr>
          <w:u w:val="none"/>
          <w:lang w:val="en-ZA"/>
        </w:rPr>
        <w:t>[35]</w:t>
      </w:r>
      <w:r>
        <w:rPr>
          <w:u w:val="none"/>
          <w:lang w:val="en-ZA"/>
        </w:rPr>
        <w:tab/>
      </w:r>
      <w:r w:rsidR="00D42137" w:rsidRPr="00EB1A2D">
        <w:rPr>
          <w:u w:val="none"/>
          <w:lang w:val="en-ZA"/>
        </w:rPr>
        <w:t xml:space="preserve">The deeming provision in s23 of the Superior Courts Act does not deem the Registrar as a court, </w:t>
      </w:r>
      <w:r w:rsidR="00AC08AF" w:rsidRPr="00EB1A2D">
        <w:rPr>
          <w:u w:val="none"/>
          <w:lang w:val="en-ZA"/>
        </w:rPr>
        <w:t xml:space="preserve">empowered </w:t>
      </w:r>
      <w:r w:rsidR="00CD4523" w:rsidRPr="00EB1A2D">
        <w:rPr>
          <w:u w:val="none"/>
          <w:lang w:val="en-ZA"/>
        </w:rPr>
        <w:t>with t</w:t>
      </w:r>
      <w:r w:rsidR="00D42137" w:rsidRPr="00EB1A2D">
        <w:rPr>
          <w:u w:val="none"/>
          <w:lang w:val="en-ZA"/>
        </w:rPr>
        <w:t>he functions of a court.  The deeming provision merely deems that the default judgments granted by the Registrar are,</w:t>
      </w:r>
      <w:r w:rsidR="00C00E1E" w:rsidRPr="00EB1A2D">
        <w:rPr>
          <w:u w:val="none"/>
          <w:lang w:val="en-ZA"/>
        </w:rPr>
        <w:t xml:space="preserve"> as prescribed, are </w:t>
      </w:r>
      <w:r w:rsidR="00D42137" w:rsidRPr="00EB1A2D">
        <w:rPr>
          <w:u w:val="none"/>
          <w:lang w:val="en-ZA"/>
        </w:rPr>
        <w:t>in all instances, decisions of the Court.</w:t>
      </w:r>
    </w:p>
    <w:p w14:paraId="30176D8D" w14:textId="1DFEE493" w:rsidR="00432458" w:rsidRPr="00EB1A2D" w:rsidRDefault="00EB1A2D" w:rsidP="00EB1A2D">
      <w:pPr>
        <w:tabs>
          <w:tab w:val="left" w:pos="851"/>
          <w:tab w:val="right" w:pos="8280"/>
        </w:tabs>
        <w:spacing w:before="480" w:line="480" w:lineRule="auto"/>
        <w:ind w:left="851" w:hanging="851"/>
        <w:jc w:val="both"/>
        <w:rPr>
          <w:u w:val="none"/>
          <w:lang w:val="en-ZA"/>
        </w:rPr>
      </w:pPr>
      <w:r>
        <w:rPr>
          <w:u w:val="none"/>
          <w:lang w:val="en-ZA"/>
        </w:rPr>
        <w:t>[36]</w:t>
      </w:r>
      <w:r>
        <w:rPr>
          <w:u w:val="none"/>
          <w:lang w:val="en-ZA"/>
        </w:rPr>
        <w:tab/>
      </w:r>
      <w:r w:rsidR="00432458" w:rsidRPr="00EB1A2D">
        <w:rPr>
          <w:u w:val="none"/>
          <w:lang w:val="en-ZA"/>
        </w:rPr>
        <w:t xml:space="preserve">Uniform Rule of Court 31(5) prescribes the manner and the circumstances </w:t>
      </w:r>
      <w:r w:rsidR="00592296" w:rsidRPr="00EB1A2D">
        <w:rPr>
          <w:u w:val="none"/>
          <w:lang w:val="en-ZA"/>
        </w:rPr>
        <w:t>when a registrar can grant default judgement</w:t>
      </w:r>
      <w:r w:rsidR="00F24DD0" w:rsidRPr="00EB1A2D">
        <w:rPr>
          <w:u w:val="none"/>
          <w:lang w:val="en-ZA"/>
        </w:rPr>
        <w:t>:</w:t>
      </w:r>
    </w:p>
    <w:p w14:paraId="0DD280F5" w14:textId="5A91A90C" w:rsidR="00432458" w:rsidRDefault="00432458" w:rsidP="00F24DD0">
      <w:pPr>
        <w:pStyle w:val="ListParagraph"/>
        <w:tabs>
          <w:tab w:val="left" w:pos="1701"/>
          <w:tab w:val="left" w:pos="2268"/>
        </w:tabs>
        <w:spacing w:before="480" w:line="360" w:lineRule="auto"/>
        <w:ind w:left="2268" w:hanging="992"/>
        <w:contextualSpacing w:val="0"/>
        <w:jc w:val="both"/>
        <w:rPr>
          <w:i/>
          <w:u w:val="none"/>
          <w:lang w:val="en-ZA"/>
        </w:rPr>
      </w:pPr>
      <w:r>
        <w:rPr>
          <w:u w:val="none"/>
          <w:lang w:val="en-ZA"/>
        </w:rPr>
        <w:t>“</w:t>
      </w:r>
      <w:r>
        <w:rPr>
          <w:i/>
          <w:u w:val="none"/>
          <w:lang w:val="en-ZA"/>
        </w:rPr>
        <w:t>(5)</w:t>
      </w:r>
      <w:r>
        <w:rPr>
          <w:i/>
          <w:u w:val="none"/>
          <w:lang w:val="en-ZA"/>
        </w:rPr>
        <w:tab/>
        <w:t>(a)</w:t>
      </w:r>
      <w:r>
        <w:rPr>
          <w:i/>
          <w:u w:val="none"/>
          <w:lang w:val="en-ZA"/>
        </w:rPr>
        <w:tab/>
        <w:t xml:space="preserve">Whenever the defendant is in default of delivery of a notice of intention to defend or of a plea, the plaintiff, if he wishes to obtain judgment by default, shall where each of the claims is for a </w:t>
      </w:r>
      <w:r w:rsidRPr="00E469F4">
        <w:rPr>
          <w:b/>
          <w:i/>
          <w:u w:val="none"/>
          <w:lang w:val="en-ZA"/>
        </w:rPr>
        <w:t>debt</w:t>
      </w:r>
      <w:r>
        <w:rPr>
          <w:i/>
          <w:u w:val="none"/>
          <w:lang w:val="en-ZA"/>
        </w:rPr>
        <w:t xml:space="preserve"> or a </w:t>
      </w:r>
      <w:r w:rsidRPr="00E469F4">
        <w:rPr>
          <w:b/>
          <w:i/>
          <w:u w:val="none"/>
          <w:lang w:val="en-ZA"/>
        </w:rPr>
        <w:t>liquidated demand</w:t>
      </w:r>
      <w:r>
        <w:rPr>
          <w:i/>
          <w:u w:val="none"/>
          <w:lang w:val="en-ZA"/>
        </w:rPr>
        <w:t xml:space="preserve"> file with the registrar a written application for judgment against the defendant:</w:t>
      </w:r>
      <w:r w:rsidR="00592296">
        <w:rPr>
          <w:i/>
          <w:u w:val="none"/>
          <w:lang w:val="en-ZA"/>
        </w:rPr>
        <w:t xml:space="preserve"> …….</w:t>
      </w:r>
    </w:p>
    <w:p w14:paraId="5FA9FC76" w14:textId="77777777" w:rsidR="00432458" w:rsidRDefault="00432458" w:rsidP="00F24DD0">
      <w:pPr>
        <w:pStyle w:val="ListParagraph"/>
        <w:tabs>
          <w:tab w:val="left" w:pos="1701"/>
          <w:tab w:val="left" w:pos="2268"/>
        </w:tabs>
        <w:spacing w:before="360" w:line="360" w:lineRule="auto"/>
        <w:ind w:left="2268" w:hanging="567"/>
        <w:contextualSpacing w:val="0"/>
        <w:jc w:val="both"/>
        <w:rPr>
          <w:i/>
          <w:u w:val="none"/>
          <w:lang w:val="en-ZA"/>
        </w:rPr>
      </w:pPr>
      <w:r>
        <w:rPr>
          <w:i/>
          <w:u w:val="none"/>
          <w:lang w:val="en-ZA"/>
        </w:rPr>
        <w:t>(b)</w:t>
      </w:r>
      <w:r>
        <w:rPr>
          <w:i/>
          <w:u w:val="none"/>
          <w:lang w:val="en-ZA"/>
        </w:rPr>
        <w:tab/>
        <w:t>The registrar may –</w:t>
      </w:r>
    </w:p>
    <w:p w14:paraId="17472352" w14:textId="77777777" w:rsidR="00432458" w:rsidRDefault="00432458" w:rsidP="00F24DD0">
      <w:pPr>
        <w:pStyle w:val="ListParagraph"/>
        <w:tabs>
          <w:tab w:val="left" w:pos="1701"/>
          <w:tab w:val="left" w:pos="2835"/>
        </w:tabs>
        <w:spacing w:before="360" w:line="360" w:lineRule="auto"/>
        <w:ind w:left="2835" w:hanging="567"/>
        <w:contextualSpacing w:val="0"/>
        <w:jc w:val="both"/>
        <w:rPr>
          <w:i/>
          <w:u w:val="none"/>
          <w:lang w:val="en-ZA"/>
        </w:rPr>
      </w:pPr>
      <w:r>
        <w:rPr>
          <w:i/>
          <w:u w:val="none"/>
          <w:lang w:val="en-ZA"/>
        </w:rPr>
        <w:lastRenderedPageBreak/>
        <w:t>(</w:t>
      </w:r>
      <w:proofErr w:type="spellStart"/>
      <w:r>
        <w:rPr>
          <w:i/>
          <w:u w:val="none"/>
          <w:lang w:val="en-ZA"/>
        </w:rPr>
        <w:t>i</w:t>
      </w:r>
      <w:proofErr w:type="spellEnd"/>
      <w:r>
        <w:rPr>
          <w:i/>
          <w:u w:val="none"/>
          <w:lang w:val="en-ZA"/>
        </w:rPr>
        <w:t>)</w:t>
      </w:r>
      <w:r>
        <w:rPr>
          <w:i/>
          <w:u w:val="none"/>
          <w:lang w:val="en-ZA"/>
        </w:rPr>
        <w:tab/>
        <w:t xml:space="preserve">grant the judgment as </w:t>
      </w:r>
      <w:proofErr w:type="gramStart"/>
      <w:r>
        <w:rPr>
          <w:i/>
          <w:u w:val="none"/>
          <w:lang w:val="en-ZA"/>
        </w:rPr>
        <w:t>requested;</w:t>
      </w:r>
      <w:proofErr w:type="gramEnd"/>
    </w:p>
    <w:p w14:paraId="1F22BC36" w14:textId="77777777" w:rsidR="00432458" w:rsidRDefault="00432458" w:rsidP="00F24DD0">
      <w:pPr>
        <w:pStyle w:val="ListParagraph"/>
        <w:tabs>
          <w:tab w:val="left" w:pos="1701"/>
          <w:tab w:val="left" w:pos="2835"/>
        </w:tabs>
        <w:spacing w:before="360" w:line="360" w:lineRule="auto"/>
        <w:ind w:left="2835" w:hanging="567"/>
        <w:contextualSpacing w:val="0"/>
        <w:jc w:val="both"/>
        <w:rPr>
          <w:i/>
          <w:u w:val="none"/>
          <w:lang w:val="en-ZA"/>
        </w:rPr>
      </w:pPr>
      <w:r>
        <w:rPr>
          <w:i/>
          <w:u w:val="none"/>
          <w:lang w:val="en-ZA"/>
        </w:rPr>
        <w:t>(ii)</w:t>
      </w:r>
      <w:r>
        <w:rPr>
          <w:i/>
          <w:u w:val="none"/>
          <w:lang w:val="en-ZA"/>
        </w:rPr>
        <w:tab/>
        <w:t xml:space="preserve">grant judgment for part of the claim only or on amended </w:t>
      </w:r>
      <w:proofErr w:type="gramStart"/>
      <w:r>
        <w:rPr>
          <w:i/>
          <w:u w:val="none"/>
          <w:lang w:val="en-ZA"/>
        </w:rPr>
        <w:t>terms;</w:t>
      </w:r>
      <w:proofErr w:type="gramEnd"/>
    </w:p>
    <w:p w14:paraId="129B18AB" w14:textId="77777777" w:rsidR="00432458" w:rsidRDefault="00432458" w:rsidP="00F24DD0">
      <w:pPr>
        <w:pStyle w:val="ListParagraph"/>
        <w:tabs>
          <w:tab w:val="left" w:pos="1701"/>
          <w:tab w:val="left" w:pos="2835"/>
        </w:tabs>
        <w:spacing w:before="360" w:line="360" w:lineRule="auto"/>
        <w:ind w:left="2835" w:hanging="567"/>
        <w:contextualSpacing w:val="0"/>
        <w:jc w:val="both"/>
        <w:rPr>
          <w:i/>
          <w:u w:val="none"/>
          <w:lang w:val="en-ZA"/>
        </w:rPr>
      </w:pPr>
      <w:r>
        <w:rPr>
          <w:i/>
          <w:u w:val="none"/>
          <w:lang w:val="en-ZA"/>
        </w:rPr>
        <w:t>(iii)</w:t>
      </w:r>
      <w:r>
        <w:rPr>
          <w:i/>
          <w:u w:val="none"/>
          <w:lang w:val="en-ZA"/>
        </w:rPr>
        <w:tab/>
        <w:t xml:space="preserve">refuse the judgment wholly or in </w:t>
      </w:r>
      <w:proofErr w:type="gramStart"/>
      <w:r>
        <w:rPr>
          <w:i/>
          <w:u w:val="none"/>
          <w:lang w:val="en-ZA"/>
        </w:rPr>
        <w:t>part;</w:t>
      </w:r>
      <w:proofErr w:type="gramEnd"/>
    </w:p>
    <w:p w14:paraId="630E22AC" w14:textId="77777777" w:rsidR="00432458" w:rsidRDefault="00432458" w:rsidP="00F24DD0">
      <w:pPr>
        <w:pStyle w:val="ListParagraph"/>
        <w:tabs>
          <w:tab w:val="left" w:pos="1701"/>
          <w:tab w:val="left" w:pos="2835"/>
        </w:tabs>
        <w:spacing w:before="360" w:line="360" w:lineRule="auto"/>
        <w:ind w:left="2835" w:hanging="567"/>
        <w:contextualSpacing w:val="0"/>
        <w:jc w:val="both"/>
        <w:rPr>
          <w:i/>
          <w:u w:val="none"/>
          <w:lang w:val="en-ZA"/>
        </w:rPr>
      </w:pPr>
      <w:r>
        <w:rPr>
          <w:i/>
          <w:u w:val="none"/>
          <w:lang w:val="en-ZA"/>
        </w:rPr>
        <w:t>(iv)</w:t>
      </w:r>
      <w:r>
        <w:rPr>
          <w:i/>
          <w:u w:val="none"/>
          <w:lang w:val="en-ZA"/>
        </w:rPr>
        <w:tab/>
        <w:t xml:space="preserve">postpone the application for judgment on such terms as he or she may consider </w:t>
      </w:r>
      <w:proofErr w:type="gramStart"/>
      <w:r>
        <w:rPr>
          <w:i/>
          <w:u w:val="none"/>
          <w:lang w:val="en-ZA"/>
        </w:rPr>
        <w:t>just;</w:t>
      </w:r>
      <w:proofErr w:type="gramEnd"/>
    </w:p>
    <w:p w14:paraId="3055166C" w14:textId="77777777" w:rsidR="00432458" w:rsidRDefault="00432458" w:rsidP="00F24DD0">
      <w:pPr>
        <w:pStyle w:val="ListParagraph"/>
        <w:tabs>
          <w:tab w:val="left" w:pos="1701"/>
          <w:tab w:val="left" w:pos="2835"/>
        </w:tabs>
        <w:spacing w:before="360" w:line="360" w:lineRule="auto"/>
        <w:ind w:left="2835" w:hanging="567"/>
        <w:contextualSpacing w:val="0"/>
        <w:jc w:val="both"/>
        <w:rPr>
          <w:i/>
          <w:u w:val="none"/>
          <w:lang w:val="en-ZA"/>
        </w:rPr>
      </w:pPr>
      <w:r>
        <w:rPr>
          <w:i/>
          <w:u w:val="none"/>
          <w:lang w:val="en-ZA"/>
        </w:rPr>
        <w:t>(v)</w:t>
      </w:r>
      <w:r>
        <w:rPr>
          <w:i/>
          <w:u w:val="none"/>
          <w:lang w:val="en-ZA"/>
        </w:rPr>
        <w:tab/>
        <w:t xml:space="preserve">request or receive oral </w:t>
      </w:r>
      <w:proofErr w:type="gramStart"/>
      <w:r>
        <w:rPr>
          <w:i/>
          <w:u w:val="none"/>
          <w:lang w:val="en-ZA"/>
        </w:rPr>
        <w:t>submissions;</w:t>
      </w:r>
      <w:proofErr w:type="gramEnd"/>
    </w:p>
    <w:p w14:paraId="4B4A0354" w14:textId="77777777" w:rsidR="00432458" w:rsidRDefault="00432458" w:rsidP="00F24DD0">
      <w:pPr>
        <w:pStyle w:val="ListParagraph"/>
        <w:tabs>
          <w:tab w:val="left" w:pos="1701"/>
          <w:tab w:val="left" w:pos="2835"/>
        </w:tabs>
        <w:spacing w:before="360" w:line="360" w:lineRule="auto"/>
        <w:ind w:left="2835" w:hanging="567"/>
        <w:contextualSpacing w:val="0"/>
        <w:jc w:val="both"/>
        <w:rPr>
          <w:i/>
          <w:u w:val="none"/>
          <w:lang w:val="en-ZA"/>
        </w:rPr>
      </w:pPr>
      <w:r>
        <w:rPr>
          <w:i/>
          <w:u w:val="none"/>
          <w:lang w:val="en-ZA"/>
        </w:rPr>
        <w:t>(vi)</w:t>
      </w:r>
      <w:r>
        <w:rPr>
          <w:i/>
          <w:u w:val="none"/>
          <w:lang w:val="en-ZA"/>
        </w:rPr>
        <w:tab/>
        <w:t>require that the matter be set down for hearing in open court:</w:t>
      </w:r>
    </w:p>
    <w:p w14:paraId="716E7C0A" w14:textId="77777777" w:rsidR="00432458" w:rsidRPr="00E469F4" w:rsidRDefault="00432458" w:rsidP="00F24DD0">
      <w:pPr>
        <w:pStyle w:val="ListParagraph"/>
        <w:tabs>
          <w:tab w:val="left" w:pos="1701"/>
          <w:tab w:val="left" w:pos="2268"/>
        </w:tabs>
        <w:spacing w:before="360" w:line="360" w:lineRule="auto"/>
        <w:ind w:left="2268"/>
        <w:contextualSpacing w:val="0"/>
        <w:jc w:val="both"/>
        <w:rPr>
          <w:u w:val="none"/>
          <w:lang w:val="en-ZA"/>
        </w:rPr>
      </w:pPr>
      <w:r w:rsidRPr="00E469F4">
        <w:rPr>
          <w:i/>
          <w:u w:val="none"/>
          <w:lang w:val="en-ZA"/>
        </w:rPr>
        <w:t xml:space="preserve">Provided that if the application is for an order declaring residential property </w:t>
      </w:r>
      <w:proofErr w:type="gramStart"/>
      <w:r w:rsidRPr="00E469F4">
        <w:rPr>
          <w:i/>
          <w:u w:val="none"/>
          <w:lang w:val="en-ZA"/>
        </w:rPr>
        <w:t>specially</w:t>
      </w:r>
      <w:proofErr w:type="gramEnd"/>
      <w:r w:rsidRPr="00E469F4">
        <w:rPr>
          <w:i/>
          <w:u w:val="none"/>
          <w:lang w:val="en-ZA"/>
        </w:rPr>
        <w:t xml:space="preserve"> executable, the registrar must refer such application to the court.</w:t>
      </w:r>
      <w:r>
        <w:rPr>
          <w:u w:val="none"/>
          <w:lang w:val="en-ZA"/>
        </w:rPr>
        <w:t>”</w:t>
      </w:r>
    </w:p>
    <w:p w14:paraId="176BA862" w14:textId="2183323C" w:rsidR="00A531E2" w:rsidRPr="00EB1A2D" w:rsidRDefault="00EB1A2D" w:rsidP="00EB1A2D">
      <w:pPr>
        <w:tabs>
          <w:tab w:val="left" w:pos="851"/>
          <w:tab w:val="right" w:pos="8280"/>
        </w:tabs>
        <w:spacing w:before="480" w:line="480" w:lineRule="auto"/>
        <w:ind w:left="851" w:hanging="851"/>
        <w:jc w:val="both"/>
        <w:rPr>
          <w:u w:val="none"/>
          <w:lang w:val="en-ZA"/>
        </w:rPr>
      </w:pPr>
      <w:r w:rsidRPr="00415096">
        <w:rPr>
          <w:u w:val="none"/>
          <w:lang w:val="en-ZA"/>
        </w:rPr>
        <w:t>[37]</w:t>
      </w:r>
      <w:r w:rsidRPr="00415096">
        <w:rPr>
          <w:u w:val="none"/>
          <w:lang w:val="en-ZA"/>
        </w:rPr>
        <w:tab/>
      </w:r>
      <w:r w:rsidR="00B431B8" w:rsidRPr="00EB1A2D">
        <w:rPr>
          <w:u w:val="none"/>
          <w:lang w:val="en-ZA"/>
        </w:rPr>
        <w:t>Rule 31(5)</w:t>
      </w:r>
      <w:r w:rsidR="00A531E2" w:rsidRPr="00EB1A2D">
        <w:rPr>
          <w:u w:val="none"/>
          <w:lang w:val="en-ZA"/>
        </w:rPr>
        <w:t xml:space="preserve"> limits the authority of the Registrar to grant default judgment to matters which relate to a debt or a liquidated demand</w:t>
      </w:r>
      <w:r w:rsidR="00F24DD0" w:rsidRPr="00EB1A2D">
        <w:rPr>
          <w:u w:val="none"/>
          <w:lang w:val="en-ZA"/>
        </w:rPr>
        <w:t xml:space="preserve">.  </w:t>
      </w:r>
      <w:r w:rsidR="00A531E2" w:rsidRPr="00EB1A2D">
        <w:rPr>
          <w:u w:val="none"/>
          <w:lang w:val="en-ZA"/>
        </w:rPr>
        <w:t xml:space="preserve">The courts have held that a liquidated demand </w:t>
      </w:r>
      <w:r w:rsidR="00F106FA" w:rsidRPr="00EB1A2D">
        <w:rPr>
          <w:u w:val="none"/>
          <w:lang w:val="en-ZA"/>
        </w:rPr>
        <w:t>includes the return</w:t>
      </w:r>
      <w:r w:rsidR="00A531E2" w:rsidRPr="00EB1A2D">
        <w:rPr>
          <w:u w:val="none"/>
          <w:lang w:val="en-ZA"/>
        </w:rPr>
        <w:t xml:space="preserve"> for a fixed or a definite thing.</w:t>
      </w:r>
      <w:r w:rsidR="00A531E2">
        <w:rPr>
          <w:rStyle w:val="FootnoteReference"/>
          <w:u w:val="none"/>
          <w:lang w:val="en-ZA"/>
        </w:rPr>
        <w:footnoteReference w:id="19"/>
      </w:r>
      <w:r w:rsidR="00D42137" w:rsidRPr="00EB1A2D">
        <w:rPr>
          <w:u w:val="none"/>
          <w:lang w:val="en-ZA"/>
        </w:rPr>
        <w:t xml:space="preserve"> This interpretation would include the return </w:t>
      </w:r>
      <w:proofErr w:type="gramStart"/>
      <w:r w:rsidR="00D42137" w:rsidRPr="00EB1A2D">
        <w:rPr>
          <w:u w:val="none"/>
          <w:lang w:val="en-ZA"/>
        </w:rPr>
        <w:t>of  a</w:t>
      </w:r>
      <w:proofErr w:type="gramEnd"/>
      <w:r w:rsidR="00D42137" w:rsidRPr="00EB1A2D">
        <w:rPr>
          <w:u w:val="none"/>
          <w:lang w:val="en-ZA"/>
        </w:rPr>
        <w:t xml:space="preserve"> motor vehicle. </w:t>
      </w:r>
      <w:r w:rsidR="00DE113C" w:rsidRPr="00EB1A2D">
        <w:rPr>
          <w:u w:val="none"/>
          <w:lang w:val="en-ZA"/>
        </w:rPr>
        <w:t>While the registrar may consider an application for default judgement</w:t>
      </w:r>
      <w:r w:rsidR="00303EA9" w:rsidRPr="00EB1A2D">
        <w:rPr>
          <w:u w:val="none"/>
          <w:lang w:val="en-ZA"/>
        </w:rPr>
        <w:t xml:space="preserve"> which includes the physical return of a motor vehicle, this power is limited</w:t>
      </w:r>
      <w:r w:rsidR="000426FC" w:rsidRPr="00EB1A2D">
        <w:rPr>
          <w:u w:val="none"/>
          <w:lang w:val="en-ZA"/>
        </w:rPr>
        <w:t xml:space="preserve"> by the specific provisions of s130 of the NCA.</w:t>
      </w:r>
      <w:r w:rsidR="00D42137" w:rsidRPr="00EB1A2D">
        <w:rPr>
          <w:u w:val="none"/>
          <w:lang w:val="en-ZA"/>
        </w:rPr>
        <w:t xml:space="preserve"> </w:t>
      </w:r>
    </w:p>
    <w:p w14:paraId="304FF2D2" w14:textId="6BE0F21D" w:rsidR="008908C5" w:rsidRPr="00EB1A2D" w:rsidRDefault="00EB1A2D" w:rsidP="00EB1A2D">
      <w:pPr>
        <w:tabs>
          <w:tab w:val="left" w:pos="851"/>
          <w:tab w:val="right" w:pos="8280"/>
        </w:tabs>
        <w:spacing w:before="480" w:line="480" w:lineRule="auto"/>
        <w:ind w:left="851" w:hanging="851"/>
        <w:jc w:val="both"/>
        <w:rPr>
          <w:u w:val="none"/>
          <w:lang w:val="en-ZA"/>
        </w:rPr>
      </w:pPr>
      <w:r>
        <w:rPr>
          <w:u w:val="none"/>
          <w:lang w:val="en-ZA"/>
        </w:rPr>
        <w:t>[38]</w:t>
      </w:r>
      <w:r>
        <w:rPr>
          <w:u w:val="none"/>
          <w:lang w:val="en-ZA"/>
        </w:rPr>
        <w:tab/>
      </w:r>
      <w:r w:rsidR="00F106FA" w:rsidRPr="00EB1A2D">
        <w:rPr>
          <w:u w:val="none"/>
          <w:lang w:val="en-ZA"/>
        </w:rPr>
        <w:t>S130 of the</w:t>
      </w:r>
      <w:r w:rsidR="005950C9" w:rsidRPr="00EB1A2D">
        <w:rPr>
          <w:u w:val="none"/>
          <w:lang w:val="en-ZA"/>
        </w:rPr>
        <w:t xml:space="preserve"> NCA</w:t>
      </w:r>
      <w:r w:rsidR="00F106FA" w:rsidRPr="00EB1A2D">
        <w:rPr>
          <w:u w:val="none"/>
          <w:lang w:val="en-ZA"/>
        </w:rPr>
        <w:t xml:space="preserve"> requires judicial oversight of credit agreements by the </w:t>
      </w:r>
      <w:r w:rsidR="005950C9" w:rsidRPr="00EB1A2D">
        <w:rPr>
          <w:u w:val="none"/>
          <w:lang w:val="en-ZA"/>
        </w:rPr>
        <w:t>c</w:t>
      </w:r>
      <w:r w:rsidR="00F106FA" w:rsidRPr="00EB1A2D">
        <w:rPr>
          <w:u w:val="none"/>
          <w:lang w:val="en-ZA"/>
        </w:rPr>
        <w:t xml:space="preserve">ourt where a credit provider seeks the </w:t>
      </w:r>
      <w:proofErr w:type="gramStart"/>
      <w:r w:rsidR="00F106FA" w:rsidRPr="00EB1A2D">
        <w:rPr>
          <w:u w:val="none"/>
          <w:lang w:val="en-ZA"/>
        </w:rPr>
        <w:t xml:space="preserve">enforcement </w:t>
      </w:r>
      <w:r w:rsidR="00844819" w:rsidRPr="00EB1A2D">
        <w:rPr>
          <w:u w:val="none"/>
          <w:lang w:val="en-ZA"/>
        </w:rPr>
        <w:t xml:space="preserve"> of</w:t>
      </w:r>
      <w:proofErr w:type="gramEnd"/>
      <w:r w:rsidR="00844819" w:rsidRPr="00EB1A2D">
        <w:rPr>
          <w:u w:val="none"/>
          <w:lang w:val="en-ZA"/>
        </w:rPr>
        <w:t xml:space="preserve"> the agreement </w:t>
      </w:r>
      <w:r w:rsidR="00F106FA" w:rsidRPr="00EB1A2D">
        <w:rPr>
          <w:u w:val="none"/>
          <w:lang w:val="en-ZA"/>
        </w:rPr>
        <w:lastRenderedPageBreak/>
        <w:t>against the credit receiver.</w:t>
      </w:r>
      <w:r w:rsidR="007932EE">
        <w:rPr>
          <w:rStyle w:val="FootnoteReference"/>
          <w:u w:val="none"/>
          <w:lang w:val="en-ZA"/>
        </w:rPr>
        <w:footnoteReference w:id="20"/>
      </w:r>
      <w:r w:rsidR="00AB117B" w:rsidRPr="00EB1A2D">
        <w:rPr>
          <w:u w:val="none"/>
          <w:lang w:val="en-ZA"/>
        </w:rPr>
        <w:t xml:space="preserve"> </w:t>
      </w:r>
      <w:r w:rsidR="000D4B7E" w:rsidRPr="00EB1A2D">
        <w:rPr>
          <w:u w:val="none"/>
          <w:lang w:val="en-ZA"/>
        </w:rPr>
        <w:t xml:space="preserve">This section emphasises the </w:t>
      </w:r>
      <w:r w:rsidR="00C10018" w:rsidRPr="00EB1A2D">
        <w:rPr>
          <w:u w:val="none"/>
          <w:lang w:val="en-ZA"/>
        </w:rPr>
        <w:t xml:space="preserve">oversight </w:t>
      </w:r>
      <w:r w:rsidR="000D4B7E" w:rsidRPr="00EB1A2D">
        <w:rPr>
          <w:u w:val="none"/>
          <w:lang w:val="en-ZA"/>
        </w:rPr>
        <w:t>role of the court</w:t>
      </w:r>
      <w:r w:rsidR="00C10018" w:rsidRPr="00EB1A2D">
        <w:rPr>
          <w:u w:val="none"/>
          <w:lang w:val="en-ZA"/>
        </w:rPr>
        <w:t xml:space="preserve"> to the exclusion of</w:t>
      </w:r>
      <w:r w:rsidR="00CA44EE" w:rsidRPr="00EB1A2D">
        <w:rPr>
          <w:u w:val="none"/>
          <w:lang w:val="en-ZA"/>
        </w:rPr>
        <w:t xml:space="preserve"> any law to the contrary. </w:t>
      </w:r>
      <w:proofErr w:type="gramStart"/>
      <w:r w:rsidR="00D028C8" w:rsidRPr="00EB1A2D">
        <w:rPr>
          <w:u w:val="none"/>
          <w:lang w:val="en-ZA"/>
        </w:rPr>
        <w:t>Such</w:t>
      </w:r>
      <w:r w:rsidR="00032C10" w:rsidRPr="00EB1A2D">
        <w:rPr>
          <w:u w:val="none"/>
          <w:lang w:val="en-ZA"/>
        </w:rPr>
        <w:t xml:space="preserve"> </w:t>
      </w:r>
      <w:r w:rsidR="00D028C8" w:rsidRPr="00EB1A2D">
        <w:rPr>
          <w:u w:val="none"/>
          <w:lang w:val="en-ZA"/>
        </w:rPr>
        <w:t>exclusion,</w:t>
      </w:r>
      <w:proofErr w:type="gramEnd"/>
      <w:r w:rsidR="00D028C8" w:rsidRPr="00EB1A2D">
        <w:rPr>
          <w:u w:val="none"/>
          <w:lang w:val="en-ZA"/>
        </w:rPr>
        <w:t xml:space="preserve"> covers the provisions of s23 of the Supreme Court Act. </w:t>
      </w:r>
    </w:p>
    <w:p w14:paraId="062325CE" w14:textId="77777777" w:rsidR="008908C5" w:rsidRDefault="008908C5" w:rsidP="00F24DD0">
      <w:pPr>
        <w:pStyle w:val="ListParagraph"/>
        <w:tabs>
          <w:tab w:val="left" w:pos="1418"/>
          <w:tab w:val="left" w:pos="1985"/>
          <w:tab w:val="left" w:pos="2552"/>
        </w:tabs>
        <w:spacing w:before="360" w:line="360" w:lineRule="auto"/>
        <w:ind w:left="2552" w:hanging="1134"/>
        <w:contextualSpacing w:val="0"/>
        <w:jc w:val="both"/>
        <w:rPr>
          <w:i/>
          <w:u w:val="none"/>
          <w:lang w:val="en-ZA"/>
        </w:rPr>
      </w:pPr>
      <w:r>
        <w:rPr>
          <w:u w:val="none"/>
          <w:lang w:val="en-ZA"/>
        </w:rPr>
        <w:t>“</w:t>
      </w:r>
      <w:r>
        <w:rPr>
          <w:i/>
          <w:u w:val="none"/>
          <w:lang w:val="en-ZA"/>
        </w:rPr>
        <w:t>130</w:t>
      </w:r>
      <w:r>
        <w:rPr>
          <w:i/>
          <w:u w:val="none"/>
          <w:lang w:val="en-ZA"/>
        </w:rPr>
        <w:tab/>
        <w:t>(1)</w:t>
      </w:r>
      <w:r>
        <w:rPr>
          <w:i/>
          <w:u w:val="none"/>
          <w:lang w:val="en-ZA"/>
        </w:rPr>
        <w:tab/>
        <w:t>Subject to section 2, a credit provider may approach the court for an order to enforce a credit agreement only if at the time the consumer is in default and has been default under the credit agreement for at least 20 days...</w:t>
      </w:r>
    </w:p>
    <w:p w14:paraId="0D6DF634" w14:textId="3AA7CE20" w:rsidR="008908C5" w:rsidRDefault="00F24DD0" w:rsidP="00F24DD0">
      <w:pPr>
        <w:pStyle w:val="ListParagraph"/>
        <w:tabs>
          <w:tab w:val="left" w:pos="1418"/>
          <w:tab w:val="left" w:pos="1985"/>
          <w:tab w:val="left" w:pos="2552"/>
        </w:tabs>
        <w:spacing w:before="360" w:line="360" w:lineRule="auto"/>
        <w:ind w:left="2552" w:hanging="1134"/>
        <w:contextualSpacing w:val="0"/>
        <w:jc w:val="both"/>
        <w:rPr>
          <w:i/>
          <w:u w:val="none"/>
          <w:lang w:val="en-ZA"/>
        </w:rPr>
      </w:pPr>
      <w:r>
        <w:rPr>
          <w:i/>
          <w:u w:val="none"/>
          <w:lang w:val="en-ZA"/>
        </w:rPr>
        <w:tab/>
      </w:r>
      <w:r w:rsidR="008908C5">
        <w:rPr>
          <w:i/>
          <w:u w:val="none"/>
          <w:lang w:val="en-ZA"/>
        </w:rPr>
        <w:t>(2)</w:t>
      </w:r>
      <w:r w:rsidR="008908C5">
        <w:rPr>
          <w:i/>
          <w:u w:val="none"/>
          <w:lang w:val="en-ZA"/>
        </w:rPr>
        <w:tab/>
        <w:t>...</w:t>
      </w:r>
    </w:p>
    <w:p w14:paraId="4E8ADC5E" w14:textId="6EAE156C" w:rsidR="008908C5" w:rsidRDefault="00F24DD0" w:rsidP="00F24DD0">
      <w:pPr>
        <w:pStyle w:val="ListParagraph"/>
        <w:tabs>
          <w:tab w:val="left" w:pos="1418"/>
          <w:tab w:val="left" w:pos="1985"/>
          <w:tab w:val="left" w:pos="2552"/>
        </w:tabs>
        <w:spacing w:before="360" w:line="360" w:lineRule="auto"/>
        <w:ind w:left="2552" w:hanging="1134"/>
        <w:contextualSpacing w:val="0"/>
        <w:jc w:val="both"/>
        <w:rPr>
          <w:i/>
          <w:u w:val="none"/>
          <w:lang w:val="en-ZA"/>
        </w:rPr>
      </w:pPr>
      <w:r>
        <w:rPr>
          <w:i/>
          <w:u w:val="none"/>
          <w:lang w:val="en-ZA"/>
        </w:rPr>
        <w:tab/>
      </w:r>
      <w:r w:rsidR="008908C5">
        <w:rPr>
          <w:i/>
          <w:u w:val="none"/>
          <w:lang w:val="en-ZA"/>
        </w:rPr>
        <w:t>(3)</w:t>
      </w:r>
      <w:r w:rsidR="008908C5">
        <w:rPr>
          <w:i/>
          <w:u w:val="none"/>
          <w:lang w:val="en-ZA"/>
        </w:rPr>
        <w:tab/>
        <w:t>Despite any provision of law or contract to the contrary, in any proceedings commenced in a court in respect of a credit agreement to which this Act applies, the court may determine the matter only if the court is satisfied that:</w:t>
      </w:r>
    </w:p>
    <w:p w14:paraId="4034D3D2" w14:textId="77777777" w:rsidR="008908C5" w:rsidRPr="008908C5" w:rsidRDefault="008908C5" w:rsidP="00F24DD0">
      <w:pPr>
        <w:pStyle w:val="ListParagraph"/>
        <w:tabs>
          <w:tab w:val="left" w:pos="3119"/>
        </w:tabs>
        <w:spacing w:before="360" w:line="360" w:lineRule="auto"/>
        <w:ind w:left="3119" w:hanging="567"/>
        <w:contextualSpacing w:val="0"/>
        <w:jc w:val="both"/>
        <w:rPr>
          <w:u w:val="none"/>
          <w:lang w:val="en-ZA"/>
        </w:rPr>
      </w:pPr>
      <w:r>
        <w:rPr>
          <w:i/>
          <w:u w:val="none"/>
          <w:lang w:val="en-ZA"/>
        </w:rPr>
        <w:t>(a)</w:t>
      </w:r>
      <w:r>
        <w:rPr>
          <w:i/>
          <w:u w:val="none"/>
          <w:lang w:val="en-ZA"/>
        </w:rPr>
        <w:tab/>
        <w:t>in the case of proceedings which sections 127, 129 or 131 apply, the proceedings required by those sections have been complied with...</w:t>
      </w:r>
      <w:r>
        <w:rPr>
          <w:u w:val="none"/>
          <w:lang w:val="en-ZA"/>
        </w:rPr>
        <w:t>”</w:t>
      </w:r>
    </w:p>
    <w:p w14:paraId="46DDB34F" w14:textId="11B61444" w:rsidR="00C17F5C" w:rsidRPr="00EB1A2D" w:rsidRDefault="00EB1A2D" w:rsidP="00EB1A2D">
      <w:pPr>
        <w:tabs>
          <w:tab w:val="left" w:pos="851"/>
          <w:tab w:val="right" w:pos="8280"/>
        </w:tabs>
        <w:spacing w:before="480" w:line="480" w:lineRule="auto"/>
        <w:ind w:left="851" w:hanging="851"/>
        <w:jc w:val="both"/>
        <w:rPr>
          <w:u w:val="none"/>
          <w:lang w:val="en-ZA"/>
        </w:rPr>
      </w:pPr>
      <w:r w:rsidRPr="00C17F5C">
        <w:rPr>
          <w:u w:val="none"/>
          <w:lang w:val="en-ZA"/>
        </w:rPr>
        <w:t>[39]</w:t>
      </w:r>
      <w:r w:rsidRPr="00C17F5C">
        <w:rPr>
          <w:u w:val="none"/>
          <w:lang w:val="en-ZA"/>
        </w:rPr>
        <w:tab/>
      </w:r>
      <w:r w:rsidR="00C17F5C" w:rsidRPr="00EB1A2D">
        <w:rPr>
          <w:u w:val="none"/>
          <w:lang w:val="en-ZA"/>
        </w:rPr>
        <w:t>A clear reading of s130 of the N</w:t>
      </w:r>
      <w:r w:rsidR="001B1F3A" w:rsidRPr="00EB1A2D">
        <w:rPr>
          <w:u w:val="none"/>
          <w:lang w:val="en-ZA"/>
        </w:rPr>
        <w:t>CA read</w:t>
      </w:r>
      <w:r w:rsidR="00C17F5C" w:rsidRPr="00EB1A2D">
        <w:rPr>
          <w:u w:val="none"/>
          <w:lang w:val="en-ZA"/>
        </w:rPr>
        <w:t xml:space="preserve"> together with s23 of the Superior Courts Act, is that the grant of default judgment in matters under the N</w:t>
      </w:r>
      <w:r w:rsidR="009E0504" w:rsidRPr="00EB1A2D">
        <w:rPr>
          <w:u w:val="none"/>
          <w:lang w:val="en-ZA"/>
        </w:rPr>
        <w:t>CA</w:t>
      </w:r>
      <w:r w:rsidR="00C17F5C" w:rsidRPr="00EB1A2D">
        <w:rPr>
          <w:u w:val="none"/>
          <w:lang w:val="en-ZA"/>
        </w:rPr>
        <w:t xml:space="preserve">, must be dealt with by the </w:t>
      </w:r>
      <w:r w:rsidR="009E0504" w:rsidRPr="00EB1A2D">
        <w:rPr>
          <w:u w:val="none"/>
          <w:lang w:val="en-ZA"/>
        </w:rPr>
        <w:t>c</w:t>
      </w:r>
      <w:r w:rsidR="00C17F5C" w:rsidRPr="00EB1A2D">
        <w:rPr>
          <w:u w:val="none"/>
          <w:lang w:val="en-ZA"/>
        </w:rPr>
        <w:t>ourt</w:t>
      </w:r>
      <w:r w:rsidR="00F24DD0" w:rsidRPr="00EB1A2D">
        <w:rPr>
          <w:u w:val="none"/>
          <w:lang w:val="en-ZA"/>
        </w:rPr>
        <w:t xml:space="preserve">.  </w:t>
      </w:r>
      <w:r w:rsidR="00C17F5C" w:rsidRPr="00EB1A2D">
        <w:rPr>
          <w:u w:val="none"/>
          <w:lang w:val="en-ZA"/>
        </w:rPr>
        <w:t xml:space="preserve">This does not include </w:t>
      </w:r>
      <w:r w:rsidR="009E0504" w:rsidRPr="00EB1A2D">
        <w:rPr>
          <w:u w:val="none"/>
          <w:lang w:val="en-ZA"/>
        </w:rPr>
        <w:t>the</w:t>
      </w:r>
      <w:r w:rsidR="00C17F5C" w:rsidRPr="00EB1A2D">
        <w:rPr>
          <w:u w:val="none"/>
          <w:lang w:val="en-ZA"/>
        </w:rPr>
        <w:t xml:space="preserve"> </w:t>
      </w:r>
      <w:r w:rsidR="009E0504" w:rsidRPr="00EB1A2D">
        <w:rPr>
          <w:u w:val="none"/>
          <w:lang w:val="en-ZA"/>
        </w:rPr>
        <w:t>r</w:t>
      </w:r>
      <w:r w:rsidR="00C17F5C" w:rsidRPr="00EB1A2D">
        <w:rPr>
          <w:u w:val="none"/>
          <w:lang w:val="en-ZA"/>
        </w:rPr>
        <w:t>egistrar</w:t>
      </w:r>
      <w:r w:rsidR="009E0504" w:rsidRPr="00EB1A2D">
        <w:rPr>
          <w:u w:val="none"/>
          <w:lang w:val="en-ZA"/>
        </w:rPr>
        <w:t xml:space="preserve"> of the court</w:t>
      </w:r>
      <w:r w:rsidR="00F24DD0" w:rsidRPr="00EB1A2D">
        <w:rPr>
          <w:u w:val="none"/>
          <w:lang w:val="en-ZA"/>
        </w:rPr>
        <w:t xml:space="preserve">.  </w:t>
      </w:r>
      <w:r w:rsidR="00C17F5C" w:rsidRPr="00EB1A2D">
        <w:rPr>
          <w:u w:val="none"/>
          <w:lang w:val="en-ZA"/>
        </w:rPr>
        <w:t xml:space="preserve">The </w:t>
      </w:r>
      <w:r w:rsidR="009E0504" w:rsidRPr="00EB1A2D">
        <w:rPr>
          <w:u w:val="none"/>
          <w:lang w:val="en-ZA"/>
        </w:rPr>
        <w:t>r</w:t>
      </w:r>
      <w:r w:rsidR="00C17F5C" w:rsidRPr="00EB1A2D">
        <w:rPr>
          <w:u w:val="none"/>
          <w:lang w:val="en-ZA"/>
        </w:rPr>
        <w:t>egistrar</w:t>
      </w:r>
      <w:r w:rsidR="009E0504" w:rsidRPr="00EB1A2D">
        <w:rPr>
          <w:u w:val="none"/>
          <w:lang w:val="en-ZA"/>
        </w:rPr>
        <w:t xml:space="preserve"> of the court</w:t>
      </w:r>
      <w:r w:rsidR="00C17F5C" w:rsidRPr="00EB1A2D">
        <w:rPr>
          <w:u w:val="none"/>
          <w:lang w:val="en-ZA"/>
        </w:rPr>
        <w:t xml:space="preserve"> is not a court</w:t>
      </w:r>
      <w:r w:rsidR="00F24DD0" w:rsidRPr="00EB1A2D">
        <w:rPr>
          <w:u w:val="none"/>
          <w:lang w:val="en-ZA"/>
        </w:rPr>
        <w:t>.</w:t>
      </w:r>
      <w:r w:rsidR="00032C10" w:rsidRPr="00EB1A2D">
        <w:rPr>
          <w:u w:val="none"/>
          <w:lang w:val="en-ZA"/>
        </w:rPr>
        <w:t xml:space="preserve"> </w:t>
      </w:r>
    </w:p>
    <w:p w14:paraId="544A2365" w14:textId="436BAECA" w:rsidR="00312719" w:rsidRPr="00EB1A2D" w:rsidRDefault="00EB1A2D" w:rsidP="00EB1A2D">
      <w:pPr>
        <w:tabs>
          <w:tab w:val="left" w:pos="851"/>
          <w:tab w:val="right" w:pos="8280"/>
        </w:tabs>
        <w:spacing w:before="480" w:line="480" w:lineRule="auto"/>
        <w:ind w:left="851" w:hanging="851"/>
        <w:jc w:val="both"/>
        <w:rPr>
          <w:u w:val="none"/>
          <w:lang w:val="en-ZA"/>
        </w:rPr>
      </w:pPr>
      <w:r w:rsidRPr="00C16CC9">
        <w:rPr>
          <w:u w:val="none"/>
          <w:lang w:val="en-ZA"/>
        </w:rPr>
        <w:lastRenderedPageBreak/>
        <w:t>[40]</w:t>
      </w:r>
      <w:r w:rsidRPr="00C16CC9">
        <w:rPr>
          <w:u w:val="none"/>
          <w:lang w:val="en-ZA"/>
        </w:rPr>
        <w:tab/>
      </w:r>
      <w:r w:rsidR="00C16CC9" w:rsidRPr="00EB1A2D">
        <w:rPr>
          <w:u w:val="none"/>
          <w:lang w:val="en-ZA"/>
        </w:rPr>
        <w:t xml:space="preserve">I align myself with the </w:t>
      </w:r>
      <w:r w:rsidR="009D311C" w:rsidRPr="00EB1A2D">
        <w:rPr>
          <w:u w:val="none"/>
          <w:lang w:val="en-ZA"/>
        </w:rPr>
        <w:t>prevailing</w:t>
      </w:r>
      <w:r w:rsidR="00844819" w:rsidRPr="00EB1A2D">
        <w:rPr>
          <w:u w:val="none"/>
          <w:lang w:val="en-ZA"/>
        </w:rPr>
        <w:t xml:space="preserve"> recent </w:t>
      </w:r>
      <w:proofErr w:type="gramStart"/>
      <w:r w:rsidR="00325234" w:rsidRPr="00EB1A2D">
        <w:rPr>
          <w:u w:val="none"/>
          <w:lang w:val="en-ZA"/>
        </w:rPr>
        <w:t>decisions</w:t>
      </w:r>
      <w:r w:rsidR="009D311C" w:rsidRPr="00EB1A2D">
        <w:rPr>
          <w:u w:val="none"/>
          <w:lang w:val="en-ZA"/>
        </w:rPr>
        <w:t xml:space="preserve"> </w:t>
      </w:r>
      <w:bookmarkStart w:id="1" w:name="_Hlk125968612"/>
      <w:r w:rsidR="00C00E1E" w:rsidRPr="00EB1A2D">
        <w:rPr>
          <w:u w:val="none"/>
          <w:lang w:val="en-ZA"/>
        </w:rPr>
        <w:t xml:space="preserve"> of</w:t>
      </w:r>
      <w:proofErr w:type="gramEnd"/>
      <w:r w:rsidR="00C00E1E" w:rsidRPr="00EB1A2D">
        <w:rPr>
          <w:u w:val="none"/>
          <w:lang w:val="en-ZA"/>
        </w:rPr>
        <w:t xml:space="preserve"> </w:t>
      </w:r>
      <w:proofErr w:type="spellStart"/>
      <w:r w:rsidR="00C00E1E" w:rsidRPr="00EB1A2D">
        <w:rPr>
          <w:u w:val="none"/>
          <w:lang w:val="en-ZA"/>
        </w:rPr>
        <w:t>T</w:t>
      </w:r>
      <w:r w:rsidR="00BA46BE" w:rsidRPr="00EB1A2D">
        <w:rPr>
          <w:u w:val="none"/>
          <w:lang w:val="en-ZA"/>
        </w:rPr>
        <w:t>seu</w:t>
      </w:r>
      <w:proofErr w:type="spellEnd"/>
      <w:r w:rsidR="00BA46BE" w:rsidRPr="00EB1A2D">
        <w:rPr>
          <w:u w:val="none"/>
          <w:lang w:val="en-ZA"/>
        </w:rPr>
        <w:t xml:space="preserve">, Xulu and Seleka.  </w:t>
      </w:r>
    </w:p>
    <w:bookmarkEnd w:id="1"/>
    <w:p w14:paraId="5A42725D" w14:textId="231E4E79" w:rsidR="009E1A4E" w:rsidRPr="00EB1A2D" w:rsidRDefault="00EB1A2D" w:rsidP="00EB1A2D">
      <w:pPr>
        <w:tabs>
          <w:tab w:val="left" w:pos="851"/>
          <w:tab w:val="right" w:pos="8280"/>
        </w:tabs>
        <w:spacing w:before="480" w:line="480" w:lineRule="auto"/>
        <w:ind w:left="851" w:hanging="851"/>
        <w:jc w:val="both"/>
        <w:rPr>
          <w:u w:val="none"/>
          <w:lang w:val="en-ZA"/>
        </w:rPr>
      </w:pPr>
      <w:r w:rsidRPr="00495944">
        <w:rPr>
          <w:u w:val="none"/>
          <w:lang w:val="en-ZA"/>
        </w:rPr>
        <w:t>[41]</w:t>
      </w:r>
      <w:r w:rsidRPr="00495944">
        <w:rPr>
          <w:u w:val="none"/>
          <w:lang w:val="en-ZA"/>
        </w:rPr>
        <w:tab/>
      </w:r>
      <w:r w:rsidR="008839A4" w:rsidRPr="00EB1A2D">
        <w:rPr>
          <w:u w:val="none"/>
          <w:lang w:val="en-ZA"/>
        </w:rPr>
        <w:t xml:space="preserve">The Constitutional Court </w:t>
      </w:r>
      <w:r w:rsidR="007D3506" w:rsidRPr="00EB1A2D">
        <w:rPr>
          <w:u w:val="none"/>
          <w:lang w:val="en-ZA"/>
        </w:rPr>
        <w:t>has dealt decis</w:t>
      </w:r>
      <w:r w:rsidR="00781D3A" w:rsidRPr="00EB1A2D">
        <w:rPr>
          <w:u w:val="none"/>
          <w:lang w:val="en-ZA"/>
        </w:rPr>
        <w:t>ively with the</w:t>
      </w:r>
      <w:r w:rsidR="00F24DD0" w:rsidRPr="00EB1A2D">
        <w:rPr>
          <w:u w:val="none"/>
          <w:lang w:val="en-ZA"/>
        </w:rPr>
        <w:t xml:space="preserve"> </w:t>
      </w:r>
      <w:r w:rsidR="00781D3A" w:rsidRPr="00EB1A2D">
        <w:rPr>
          <w:u w:val="none"/>
          <w:lang w:val="en-ZA"/>
        </w:rPr>
        <w:t xml:space="preserve">power of the registrar </w:t>
      </w:r>
      <w:r w:rsidR="00A76A1D" w:rsidRPr="00EB1A2D">
        <w:rPr>
          <w:u w:val="none"/>
          <w:lang w:val="en-ZA"/>
        </w:rPr>
        <w:t>to grant default judgement</w:t>
      </w:r>
      <w:r w:rsidR="00F24DD0" w:rsidRPr="00EB1A2D">
        <w:rPr>
          <w:u w:val="none"/>
          <w:lang w:val="en-ZA"/>
        </w:rPr>
        <w:t xml:space="preserve"> </w:t>
      </w:r>
      <w:r w:rsidR="007A73AA" w:rsidRPr="00EB1A2D">
        <w:rPr>
          <w:u w:val="none"/>
          <w:lang w:val="en-ZA"/>
        </w:rPr>
        <w:t xml:space="preserve">on credit agreement under the </w:t>
      </w:r>
      <w:proofErr w:type="gramStart"/>
      <w:r w:rsidR="007A73AA" w:rsidRPr="00EB1A2D">
        <w:rPr>
          <w:u w:val="none"/>
          <w:lang w:val="en-ZA"/>
        </w:rPr>
        <w:t>N</w:t>
      </w:r>
      <w:r w:rsidR="00306B57" w:rsidRPr="00EB1A2D">
        <w:rPr>
          <w:u w:val="none"/>
          <w:lang w:val="en-ZA"/>
        </w:rPr>
        <w:t xml:space="preserve">CA </w:t>
      </w:r>
      <w:r w:rsidR="007C7104" w:rsidRPr="00EB1A2D">
        <w:rPr>
          <w:u w:val="none"/>
          <w:lang w:val="en-ZA"/>
        </w:rPr>
        <w:t xml:space="preserve"> in</w:t>
      </w:r>
      <w:proofErr w:type="gramEnd"/>
      <w:r w:rsidR="007C7104" w:rsidRPr="00EB1A2D">
        <w:rPr>
          <w:u w:val="none"/>
          <w:lang w:val="en-ZA"/>
        </w:rPr>
        <w:t xml:space="preserve"> </w:t>
      </w:r>
      <w:proofErr w:type="spellStart"/>
      <w:r w:rsidR="007C7104" w:rsidRPr="00EB1A2D">
        <w:rPr>
          <w:i/>
          <w:iCs/>
          <w:u w:val="none"/>
          <w:lang w:val="en-ZA"/>
        </w:rPr>
        <w:t>Nkata</w:t>
      </w:r>
      <w:proofErr w:type="spellEnd"/>
      <w:r w:rsidR="007C7104" w:rsidRPr="00EB1A2D">
        <w:rPr>
          <w:i/>
          <w:iCs/>
          <w:u w:val="none"/>
          <w:lang w:val="en-ZA"/>
        </w:rPr>
        <w:t xml:space="preserve"> v First Rand Ban</w:t>
      </w:r>
      <w:r w:rsidR="007C7104" w:rsidRPr="00EB1A2D">
        <w:rPr>
          <w:u w:val="none"/>
          <w:lang w:val="en-ZA"/>
        </w:rPr>
        <w:t>k</w:t>
      </w:r>
      <w:r w:rsidR="007C7104">
        <w:rPr>
          <w:rStyle w:val="FootnoteReference"/>
          <w:u w:val="none"/>
          <w:lang w:val="en-ZA"/>
        </w:rPr>
        <w:footnoteReference w:id="21"/>
      </w:r>
      <w:r w:rsidR="00A96ADD" w:rsidRPr="00EB1A2D">
        <w:rPr>
          <w:u w:val="none"/>
          <w:lang w:val="en-ZA"/>
        </w:rPr>
        <w:t xml:space="preserve"> Registrars have no  such power. </w:t>
      </w:r>
    </w:p>
    <w:p w14:paraId="6D9F0410" w14:textId="7E36C328" w:rsidR="00EC5AC3" w:rsidRPr="00EB1A2D" w:rsidRDefault="00EB1A2D" w:rsidP="00EB1A2D">
      <w:pPr>
        <w:tabs>
          <w:tab w:val="left" w:pos="851"/>
          <w:tab w:val="right" w:pos="8280"/>
        </w:tabs>
        <w:spacing w:before="480" w:line="480" w:lineRule="auto"/>
        <w:ind w:left="851" w:hanging="851"/>
        <w:jc w:val="both"/>
        <w:rPr>
          <w:u w:val="none"/>
          <w:lang w:val="en-ZA"/>
        </w:rPr>
      </w:pPr>
      <w:r w:rsidRPr="008576F9">
        <w:rPr>
          <w:u w:val="none"/>
          <w:lang w:val="en-ZA"/>
        </w:rPr>
        <w:t>[42]</w:t>
      </w:r>
      <w:r w:rsidRPr="008576F9">
        <w:rPr>
          <w:u w:val="none"/>
          <w:lang w:val="en-ZA"/>
        </w:rPr>
        <w:tab/>
      </w:r>
      <w:r w:rsidR="00EC5AC3" w:rsidRPr="00EB1A2D">
        <w:rPr>
          <w:u w:val="none"/>
          <w:lang w:val="en-ZA"/>
        </w:rPr>
        <w:t xml:space="preserve">The </w:t>
      </w:r>
      <w:proofErr w:type="spellStart"/>
      <w:r w:rsidR="00EC5AC3" w:rsidRPr="00EB1A2D">
        <w:rPr>
          <w:u w:val="none"/>
          <w:lang w:val="en-ZA"/>
        </w:rPr>
        <w:t>Mollentz</w:t>
      </w:r>
      <w:proofErr w:type="spellEnd"/>
      <w:r w:rsidR="00EC5AC3" w:rsidRPr="00EB1A2D">
        <w:rPr>
          <w:u w:val="none"/>
          <w:lang w:val="en-ZA"/>
        </w:rPr>
        <w:t xml:space="preserve"> </w:t>
      </w:r>
      <w:proofErr w:type="gramStart"/>
      <w:r w:rsidR="00EC5AC3" w:rsidRPr="00EB1A2D">
        <w:rPr>
          <w:u w:val="none"/>
          <w:lang w:val="en-ZA"/>
        </w:rPr>
        <w:t xml:space="preserve">decision </w:t>
      </w:r>
      <w:r w:rsidR="00FF03C6" w:rsidRPr="00EB1A2D">
        <w:rPr>
          <w:u w:val="none"/>
          <w:lang w:val="en-ZA"/>
        </w:rPr>
        <w:t xml:space="preserve"> </w:t>
      </w:r>
      <w:r w:rsidR="00113715" w:rsidRPr="00EB1A2D">
        <w:rPr>
          <w:u w:val="none"/>
          <w:lang w:val="en-ZA"/>
        </w:rPr>
        <w:t>h</w:t>
      </w:r>
      <w:r w:rsidR="00B4001E" w:rsidRPr="00EB1A2D">
        <w:rPr>
          <w:u w:val="none"/>
          <w:lang w:val="en-ZA"/>
        </w:rPr>
        <w:t>e</w:t>
      </w:r>
      <w:r w:rsidR="00113715" w:rsidRPr="00EB1A2D">
        <w:rPr>
          <w:u w:val="none"/>
          <w:lang w:val="en-ZA"/>
        </w:rPr>
        <w:t>ld</w:t>
      </w:r>
      <w:proofErr w:type="gramEnd"/>
      <w:r w:rsidR="00113715" w:rsidRPr="00EB1A2D">
        <w:rPr>
          <w:u w:val="none"/>
          <w:lang w:val="en-ZA"/>
        </w:rPr>
        <w:t xml:space="preserve"> that” </w:t>
      </w:r>
      <w:r w:rsidR="00113715" w:rsidRPr="00EB1A2D">
        <w:rPr>
          <w:i/>
          <w:iCs/>
          <w:u w:val="none"/>
          <w:lang w:val="en-ZA"/>
        </w:rPr>
        <w:t>burdening the court</w:t>
      </w:r>
      <w:r w:rsidR="001C105F" w:rsidRPr="00EB1A2D">
        <w:rPr>
          <w:i/>
          <w:iCs/>
          <w:u w:val="none"/>
          <w:lang w:val="en-ZA"/>
        </w:rPr>
        <w:t xml:space="preserve"> with procedural issues that can easily quickly and in a less expensive manner be dealt with by the registrar is not in the interest of the administration of justice</w:t>
      </w:r>
      <w:r w:rsidR="001C105F" w:rsidRPr="00EB1A2D">
        <w:rPr>
          <w:u w:val="none"/>
          <w:lang w:val="en-ZA"/>
        </w:rPr>
        <w:t>..”</w:t>
      </w:r>
      <w:r w:rsidR="005B4FFA">
        <w:rPr>
          <w:rStyle w:val="FootnoteReference"/>
          <w:u w:val="none"/>
          <w:lang w:val="en-ZA"/>
        </w:rPr>
        <w:footnoteReference w:id="22"/>
      </w:r>
      <w:r w:rsidR="001C105F" w:rsidRPr="00EB1A2D">
        <w:rPr>
          <w:u w:val="none"/>
          <w:lang w:val="en-ZA"/>
        </w:rPr>
        <w:t xml:space="preserve"> and </w:t>
      </w:r>
      <w:r w:rsidR="00AC759B" w:rsidRPr="00EB1A2D">
        <w:rPr>
          <w:u w:val="none"/>
          <w:lang w:val="en-ZA"/>
        </w:rPr>
        <w:t xml:space="preserve">“ </w:t>
      </w:r>
      <w:r w:rsidR="00AC759B" w:rsidRPr="00EB1A2D">
        <w:rPr>
          <w:i/>
          <w:iCs/>
          <w:u w:val="none"/>
          <w:lang w:val="en-ZA"/>
        </w:rPr>
        <w:t>it could never have been the intention of the legislature</w:t>
      </w:r>
      <w:r w:rsidR="005B4FFA" w:rsidRPr="00EB1A2D">
        <w:rPr>
          <w:i/>
          <w:iCs/>
          <w:u w:val="none"/>
          <w:lang w:val="en-ZA"/>
        </w:rPr>
        <w:t xml:space="preserve"> that the enforcement of credit agreements due to default should be determined by the court and not the registrar</w:t>
      </w:r>
      <w:r w:rsidR="005B4FFA" w:rsidRPr="00EB1A2D">
        <w:rPr>
          <w:u w:val="none"/>
          <w:lang w:val="en-ZA"/>
        </w:rPr>
        <w:t>”</w:t>
      </w:r>
      <w:r w:rsidR="00E40ECA">
        <w:rPr>
          <w:rStyle w:val="FootnoteReference"/>
          <w:u w:val="none"/>
          <w:lang w:val="en-ZA"/>
        </w:rPr>
        <w:footnoteReference w:id="23"/>
      </w:r>
    </w:p>
    <w:p w14:paraId="35227905" w14:textId="08933DD1" w:rsidR="008C705C" w:rsidRPr="00EB1A2D" w:rsidRDefault="00EB1A2D" w:rsidP="00EB1A2D">
      <w:pPr>
        <w:tabs>
          <w:tab w:val="left" w:pos="851"/>
          <w:tab w:val="right" w:pos="8280"/>
        </w:tabs>
        <w:spacing w:before="480" w:line="480" w:lineRule="auto"/>
        <w:ind w:left="851" w:hanging="851"/>
        <w:jc w:val="both"/>
        <w:rPr>
          <w:u w:val="none"/>
          <w:lang w:val="en-ZA"/>
        </w:rPr>
      </w:pPr>
      <w:r w:rsidRPr="008C705C">
        <w:rPr>
          <w:u w:val="none"/>
          <w:lang w:val="en-ZA"/>
        </w:rPr>
        <w:t>[43]</w:t>
      </w:r>
      <w:r w:rsidRPr="008C705C">
        <w:rPr>
          <w:u w:val="none"/>
          <w:lang w:val="en-ZA"/>
        </w:rPr>
        <w:tab/>
      </w:r>
      <w:r w:rsidR="00E80D5C" w:rsidRPr="00EB1A2D">
        <w:rPr>
          <w:u w:val="none"/>
          <w:lang w:val="en-ZA"/>
        </w:rPr>
        <w:t xml:space="preserve">The practicalities of the operation of a court </w:t>
      </w:r>
      <w:r w:rsidR="00971023" w:rsidRPr="00EB1A2D">
        <w:rPr>
          <w:u w:val="none"/>
          <w:lang w:val="en-ZA"/>
        </w:rPr>
        <w:t xml:space="preserve">cannot be equated to </w:t>
      </w:r>
      <w:r w:rsidR="002A692A" w:rsidRPr="00EB1A2D">
        <w:rPr>
          <w:u w:val="none"/>
          <w:lang w:val="en-ZA"/>
        </w:rPr>
        <w:t>the interests of justice</w:t>
      </w:r>
      <w:r w:rsidR="00F82176" w:rsidRPr="00EB1A2D">
        <w:rPr>
          <w:u w:val="none"/>
          <w:lang w:val="en-ZA"/>
        </w:rPr>
        <w:t>. Particularly,</w:t>
      </w:r>
      <w:r w:rsidR="00971023" w:rsidRPr="00EB1A2D">
        <w:rPr>
          <w:u w:val="none"/>
          <w:lang w:val="en-ZA"/>
        </w:rPr>
        <w:t xml:space="preserve"> </w:t>
      </w:r>
      <w:r w:rsidR="000F0735" w:rsidRPr="00EB1A2D">
        <w:rPr>
          <w:u w:val="none"/>
          <w:lang w:val="en-ZA"/>
        </w:rPr>
        <w:t xml:space="preserve">when such practicalities </w:t>
      </w:r>
      <w:r w:rsidR="00F82176" w:rsidRPr="00EB1A2D">
        <w:rPr>
          <w:u w:val="none"/>
          <w:lang w:val="en-ZA"/>
        </w:rPr>
        <w:t xml:space="preserve">are </w:t>
      </w:r>
      <w:r w:rsidR="000F0735" w:rsidRPr="00EB1A2D">
        <w:rPr>
          <w:u w:val="none"/>
          <w:lang w:val="en-ZA"/>
        </w:rPr>
        <w:t>contrary to the law</w:t>
      </w:r>
      <w:r w:rsidR="00F82176" w:rsidRPr="00EB1A2D">
        <w:rPr>
          <w:u w:val="none"/>
          <w:lang w:val="en-ZA"/>
        </w:rPr>
        <w:t xml:space="preserve"> and the interpretation of that law </w:t>
      </w:r>
      <w:proofErr w:type="gramStart"/>
      <w:r w:rsidR="00590EA7" w:rsidRPr="00EB1A2D">
        <w:rPr>
          <w:u w:val="none"/>
          <w:lang w:val="en-ZA"/>
        </w:rPr>
        <w:t>in  the</w:t>
      </w:r>
      <w:proofErr w:type="gramEnd"/>
      <w:r w:rsidR="00590EA7" w:rsidRPr="00EB1A2D">
        <w:rPr>
          <w:u w:val="none"/>
          <w:lang w:val="en-ZA"/>
        </w:rPr>
        <w:t xml:space="preserve"> pronouncement by the Constitutional Court. </w:t>
      </w:r>
    </w:p>
    <w:p w14:paraId="3EB61A2B" w14:textId="042D727E" w:rsidR="00495944" w:rsidRPr="00EB1A2D" w:rsidRDefault="00EB1A2D" w:rsidP="00EB1A2D">
      <w:pPr>
        <w:tabs>
          <w:tab w:val="left" w:pos="851"/>
          <w:tab w:val="right" w:pos="8280"/>
        </w:tabs>
        <w:spacing w:before="480" w:line="480" w:lineRule="auto"/>
        <w:ind w:left="851" w:hanging="851"/>
        <w:jc w:val="both"/>
        <w:rPr>
          <w:u w:val="none"/>
          <w:lang w:val="en-ZA"/>
        </w:rPr>
      </w:pPr>
      <w:r w:rsidRPr="00492A4F">
        <w:rPr>
          <w:u w:val="none"/>
          <w:lang w:val="en-ZA"/>
        </w:rPr>
        <w:t>[44]</w:t>
      </w:r>
      <w:r w:rsidRPr="00492A4F">
        <w:rPr>
          <w:u w:val="none"/>
          <w:lang w:val="en-ZA"/>
        </w:rPr>
        <w:tab/>
      </w:r>
      <w:r w:rsidR="008C705C" w:rsidRPr="00EB1A2D">
        <w:rPr>
          <w:iCs/>
          <w:u w:val="none"/>
          <w:lang w:val="en-ZA"/>
        </w:rPr>
        <w:t xml:space="preserve">In the </w:t>
      </w:r>
      <w:proofErr w:type="spellStart"/>
      <w:r w:rsidR="008C705C" w:rsidRPr="00EB1A2D">
        <w:rPr>
          <w:iCs/>
          <w:u w:val="none"/>
          <w:lang w:val="en-ZA"/>
        </w:rPr>
        <w:t>Nkata</w:t>
      </w:r>
      <w:proofErr w:type="spellEnd"/>
      <w:r w:rsidR="008C705C" w:rsidRPr="00EB1A2D">
        <w:rPr>
          <w:iCs/>
          <w:u w:val="none"/>
          <w:lang w:val="en-ZA"/>
        </w:rPr>
        <w:t xml:space="preserve"> decision the</w:t>
      </w:r>
      <w:r w:rsidR="00B8563F" w:rsidRPr="00EB1A2D">
        <w:rPr>
          <w:iCs/>
          <w:u w:val="none"/>
          <w:lang w:val="en-ZA"/>
        </w:rPr>
        <w:t xml:space="preserve"> Constitutional Court </w:t>
      </w:r>
      <w:r w:rsidR="00F4077B" w:rsidRPr="00EB1A2D">
        <w:rPr>
          <w:iCs/>
          <w:u w:val="none"/>
          <w:lang w:val="en-ZA"/>
        </w:rPr>
        <w:t>h</w:t>
      </w:r>
      <w:r w:rsidR="001C47CA" w:rsidRPr="00EB1A2D">
        <w:rPr>
          <w:iCs/>
          <w:u w:val="none"/>
          <w:lang w:val="en-ZA"/>
        </w:rPr>
        <w:t>eld</w:t>
      </w:r>
      <w:r w:rsidR="00F4077B" w:rsidRPr="00EB1A2D">
        <w:rPr>
          <w:iCs/>
          <w:u w:val="none"/>
          <w:lang w:val="en-ZA"/>
        </w:rPr>
        <w:t xml:space="preserve"> that </w:t>
      </w:r>
      <w:r w:rsidR="004312FD" w:rsidRPr="00EB1A2D">
        <w:rPr>
          <w:iCs/>
          <w:u w:val="none"/>
          <w:lang w:val="en-ZA"/>
        </w:rPr>
        <w:t xml:space="preserve">the </w:t>
      </w:r>
      <w:r w:rsidR="00F4077B" w:rsidRPr="00EB1A2D">
        <w:rPr>
          <w:iCs/>
          <w:u w:val="none"/>
          <w:lang w:val="en-ZA"/>
        </w:rPr>
        <w:t xml:space="preserve">default judgement granted by </w:t>
      </w:r>
      <w:r w:rsidR="004312FD" w:rsidRPr="00EB1A2D">
        <w:rPr>
          <w:iCs/>
          <w:u w:val="none"/>
          <w:lang w:val="en-ZA"/>
        </w:rPr>
        <w:t>the</w:t>
      </w:r>
      <w:r w:rsidR="00F4077B" w:rsidRPr="00EB1A2D">
        <w:rPr>
          <w:iCs/>
          <w:u w:val="none"/>
          <w:lang w:val="en-ZA"/>
        </w:rPr>
        <w:t xml:space="preserve"> </w:t>
      </w:r>
      <w:r w:rsidR="00E97353" w:rsidRPr="00EB1A2D">
        <w:rPr>
          <w:iCs/>
          <w:u w:val="none"/>
          <w:lang w:val="en-ZA"/>
        </w:rPr>
        <w:t xml:space="preserve">registrar </w:t>
      </w:r>
      <w:r w:rsidR="004312FD" w:rsidRPr="00EB1A2D">
        <w:rPr>
          <w:iCs/>
          <w:u w:val="none"/>
          <w:lang w:val="en-ZA"/>
        </w:rPr>
        <w:t>was</w:t>
      </w:r>
      <w:r w:rsidR="00E97353" w:rsidRPr="00EB1A2D">
        <w:rPr>
          <w:iCs/>
          <w:u w:val="none"/>
          <w:lang w:val="en-ZA"/>
        </w:rPr>
        <w:t xml:space="preserve"> in violation of the pre-emptory provisions of the s 130 (3)</w:t>
      </w:r>
      <w:r w:rsidR="008576F9" w:rsidRPr="00EB1A2D">
        <w:rPr>
          <w:iCs/>
          <w:u w:val="none"/>
          <w:lang w:val="en-ZA"/>
        </w:rPr>
        <w:t xml:space="preserve"> </w:t>
      </w:r>
      <w:r w:rsidR="00E97353" w:rsidRPr="00EB1A2D">
        <w:rPr>
          <w:iCs/>
          <w:u w:val="none"/>
          <w:lang w:val="en-ZA"/>
        </w:rPr>
        <w:t>of the NCA</w:t>
      </w:r>
      <w:r w:rsidR="00180C99" w:rsidRPr="00EB1A2D">
        <w:rPr>
          <w:iCs/>
          <w:u w:val="none"/>
          <w:lang w:val="en-ZA"/>
        </w:rPr>
        <w:t xml:space="preserve">, </w:t>
      </w:r>
      <w:r w:rsidR="004312FD" w:rsidRPr="00EB1A2D">
        <w:rPr>
          <w:iCs/>
          <w:u w:val="none"/>
          <w:lang w:val="en-ZA"/>
        </w:rPr>
        <w:t>was</w:t>
      </w:r>
      <w:r w:rsidR="00180C99" w:rsidRPr="00EB1A2D">
        <w:rPr>
          <w:iCs/>
          <w:u w:val="none"/>
          <w:lang w:val="en-ZA"/>
        </w:rPr>
        <w:t xml:space="preserve"> a nullity and ha</w:t>
      </w:r>
      <w:r w:rsidR="004312FD" w:rsidRPr="00EB1A2D">
        <w:rPr>
          <w:iCs/>
          <w:u w:val="none"/>
          <w:lang w:val="en-ZA"/>
        </w:rPr>
        <w:t>d</w:t>
      </w:r>
      <w:r w:rsidR="00180C99" w:rsidRPr="00EB1A2D">
        <w:rPr>
          <w:iCs/>
          <w:u w:val="none"/>
          <w:lang w:val="en-ZA"/>
        </w:rPr>
        <w:t xml:space="preserve"> no force </w:t>
      </w:r>
      <w:r w:rsidR="00180C99" w:rsidRPr="00EB1A2D">
        <w:rPr>
          <w:iCs/>
          <w:u w:val="none"/>
          <w:lang w:val="en-ZA"/>
        </w:rPr>
        <w:lastRenderedPageBreak/>
        <w:t>in law.</w:t>
      </w:r>
      <w:r w:rsidR="00180C99">
        <w:rPr>
          <w:rStyle w:val="FootnoteReference"/>
          <w:iCs/>
          <w:u w:val="none"/>
          <w:lang w:val="en-ZA"/>
        </w:rPr>
        <w:footnoteReference w:id="24"/>
      </w:r>
      <w:r w:rsidR="001003DD" w:rsidRPr="00EB1A2D">
        <w:rPr>
          <w:iCs/>
          <w:u w:val="none"/>
          <w:lang w:val="en-ZA"/>
        </w:rPr>
        <w:t xml:space="preserve"> </w:t>
      </w:r>
      <w:r w:rsidR="00D40328" w:rsidRPr="00EB1A2D">
        <w:rPr>
          <w:iCs/>
          <w:u w:val="none"/>
          <w:lang w:val="en-ZA"/>
        </w:rPr>
        <w:t>As such</w:t>
      </w:r>
      <w:r w:rsidR="005B286E" w:rsidRPr="00EB1A2D">
        <w:rPr>
          <w:iCs/>
          <w:u w:val="none"/>
          <w:lang w:val="en-ZA"/>
        </w:rPr>
        <w:t>, the constitutional court held,</w:t>
      </w:r>
      <w:r w:rsidR="00D40328" w:rsidRPr="00EB1A2D">
        <w:rPr>
          <w:iCs/>
          <w:u w:val="none"/>
          <w:lang w:val="en-ZA"/>
        </w:rPr>
        <w:t xml:space="preserve"> the registrar ha</w:t>
      </w:r>
      <w:r w:rsidR="005B286E" w:rsidRPr="00EB1A2D">
        <w:rPr>
          <w:iCs/>
          <w:u w:val="none"/>
          <w:lang w:val="en-ZA"/>
        </w:rPr>
        <w:t>d</w:t>
      </w:r>
      <w:r w:rsidR="00D40328" w:rsidRPr="00EB1A2D">
        <w:rPr>
          <w:iCs/>
          <w:u w:val="none"/>
          <w:lang w:val="en-ZA"/>
        </w:rPr>
        <w:t xml:space="preserve"> </w:t>
      </w:r>
      <w:proofErr w:type="gramStart"/>
      <w:r w:rsidR="00D40328" w:rsidRPr="00EB1A2D">
        <w:rPr>
          <w:iCs/>
          <w:u w:val="none"/>
          <w:lang w:val="en-ZA"/>
        </w:rPr>
        <w:t>usurped  a</w:t>
      </w:r>
      <w:proofErr w:type="gramEnd"/>
      <w:r w:rsidR="00D40328" w:rsidRPr="00EB1A2D">
        <w:rPr>
          <w:iCs/>
          <w:u w:val="none"/>
          <w:lang w:val="en-ZA"/>
        </w:rPr>
        <w:t xml:space="preserve"> power expressly left to the court by s130 of the NCA.</w:t>
      </w:r>
      <w:r w:rsidR="00D40328">
        <w:rPr>
          <w:rStyle w:val="FootnoteReference"/>
          <w:iCs/>
          <w:u w:val="none"/>
          <w:lang w:val="en-ZA"/>
        </w:rPr>
        <w:footnoteReference w:id="25"/>
      </w:r>
      <w:r w:rsidR="001C47CA" w:rsidRPr="00EB1A2D">
        <w:rPr>
          <w:iCs/>
          <w:u w:val="none"/>
          <w:lang w:val="en-ZA"/>
        </w:rPr>
        <w:t xml:space="preserve"> </w:t>
      </w:r>
    </w:p>
    <w:p w14:paraId="68DC300F" w14:textId="524E441F" w:rsidR="00492A4F" w:rsidRPr="00EB1A2D" w:rsidRDefault="00EB1A2D" w:rsidP="00EB1A2D">
      <w:pPr>
        <w:tabs>
          <w:tab w:val="left" w:pos="851"/>
          <w:tab w:val="right" w:pos="8280"/>
        </w:tabs>
        <w:spacing w:before="480" w:line="480" w:lineRule="auto"/>
        <w:ind w:left="851" w:hanging="851"/>
        <w:jc w:val="both"/>
        <w:rPr>
          <w:u w:val="none"/>
          <w:lang w:val="en-ZA"/>
        </w:rPr>
      </w:pPr>
      <w:r w:rsidRPr="00D045D2">
        <w:rPr>
          <w:u w:val="none"/>
          <w:lang w:val="en-ZA"/>
        </w:rPr>
        <w:t>[45]</w:t>
      </w:r>
      <w:r w:rsidRPr="00D045D2">
        <w:rPr>
          <w:u w:val="none"/>
          <w:lang w:val="en-ZA"/>
        </w:rPr>
        <w:tab/>
      </w:r>
      <w:r w:rsidR="00492A4F" w:rsidRPr="00EB1A2D">
        <w:rPr>
          <w:iCs/>
          <w:u w:val="none"/>
          <w:lang w:val="en-ZA"/>
        </w:rPr>
        <w:t xml:space="preserve">The </w:t>
      </w:r>
      <w:proofErr w:type="spellStart"/>
      <w:r w:rsidR="00492A4F" w:rsidRPr="00EB1A2D">
        <w:rPr>
          <w:iCs/>
          <w:u w:val="none"/>
          <w:lang w:val="en-ZA"/>
        </w:rPr>
        <w:t>Mollentze</w:t>
      </w:r>
      <w:proofErr w:type="spellEnd"/>
      <w:r w:rsidR="00492A4F" w:rsidRPr="00EB1A2D">
        <w:rPr>
          <w:iCs/>
          <w:u w:val="none"/>
          <w:lang w:val="en-ZA"/>
        </w:rPr>
        <w:t xml:space="preserve"> decision did </w:t>
      </w:r>
      <w:proofErr w:type="gramStart"/>
      <w:r w:rsidR="00492A4F" w:rsidRPr="00EB1A2D">
        <w:rPr>
          <w:iCs/>
          <w:u w:val="none"/>
          <w:lang w:val="en-ZA"/>
        </w:rPr>
        <w:t xml:space="preserve">not </w:t>
      </w:r>
      <w:r w:rsidR="00DE4290" w:rsidRPr="00EB1A2D">
        <w:rPr>
          <w:iCs/>
          <w:u w:val="none"/>
          <w:lang w:val="en-ZA"/>
        </w:rPr>
        <w:t xml:space="preserve"> have</w:t>
      </w:r>
      <w:proofErr w:type="gramEnd"/>
      <w:r w:rsidR="00DE4290" w:rsidRPr="00EB1A2D">
        <w:rPr>
          <w:iCs/>
          <w:u w:val="none"/>
          <w:lang w:val="en-ZA"/>
        </w:rPr>
        <w:t xml:space="preserve"> regard for </w:t>
      </w:r>
      <w:r w:rsidR="00492A4F" w:rsidRPr="00EB1A2D">
        <w:rPr>
          <w:iCs/>
          <w:u w:val="none"/>
          <w:lang w:val="en-ZA"/>
        </w:rPr>
        <w:t>these pro</w:t>
      </w:r>
      <w:r w:rsidR="00DE4290" w:rsidRPr="00EB1A2D">
        <w:rPr>
          <w:iCs/>
          <w:u w:val="none"/>
          <w:lang w:val="en-ZA"/>
        </w:rPr>
        <w:t>nouncements  of the Constitutional Court, in arriving at its decision</w:t>
      </w:r>
      <w:r w:rsidR="00960F20" w:rsidRPr="00EB1A2D">
        <w:rPr>
          <w:iCs/>
          <w:u w:val="none"/>
          <w:lang w:val="en-ZA"/>
        </w:rPr>
        <w:t>.</w:t>
      </w:r>
    </w:p>
    <w:p w14:paraId="718CB723" w14:textId="6019626C" w:rsidR="00AD5F16" w:rsidRPr="00EB1A2D" w:rsidRDefault="00EB1A2D" w:rsidP="00EB1A2D">
      <w:pPr>
        <w:tabs>
          <w:tab w:val="left" w:pos="851"/>
          <w:tab w:val="right" w:pos="8280"/>
        </w:tabs>
        <w:spacing w:before="480" w:line="480" w:lineRule="auto"/>
        <w:ind w:left="851" w:hanging="851"/>
        <w:jc w:val="both"/>
        <w:rPr>
          <w:u w:val="none"/>
          <w:lang w:val="en-ZA"/>
        </w:rPr>
      </w:pPr>
      <w:r>
        <w:rPr>
          <w:u w:val="none"/>
          <w:lang w:val="en-ZA"/>
        </w:rPr>
        <w:t>[46]</w:t>
      </w:r>
      <w:r>
        <w:rPr>
          <w:u w:val="none"/>
          <w:lang w:val="en-ZA"/>
        </w:rPr>
        <w:tab/>
      </w:r>
      <w:r w:rsidR="001D41AF" w:rsidRPr="00EB1A2D">
        <w:rPr>
          <w:u w:val="none"/>
          <w:lang w:val="en-ZA"/>
        </w:rPr>
        <w:t xml:space="preserve">I find that the registrar, was not authorised to grant </w:t>
      </w:r>
      <w:r w:rsidR="00EC25D0" w:rsidRPr="00EB1A2D">
        <w:rPr>
          <w:u w:val="none"/>
          <w:lang w:val="en-ZA"/>
        </w:rPr>
        <w:t>Absa Bank default judgement against the applicant</w:t>
      </w:r>
      <w:r w:rsidR="00F24DD0" w:rsidRPr="00EB1A2D">
        <w:rPr>
          <w:u w:val="none"/>
          <w:lang w:val="en-ZA"/>
        </w:rPr>
        <w:t xml:space="preserve">. </w:t>
      </w:r>
    </w:p>
    <w:p w14:paraId="3E5AA5FD" w14:textId="0BA6B694" w:rsidR="000A6AC2" w:rsidRPr="00EB1A2D" w:rsidRDefault="00EB1A2D" w:rsidP="00EB1A2D">
      <w:pPr>
        <w:tabs>
          <w:tab w:val="left" w:pos="851"/>
          <w:tab w:val="right" w:pos="8280"/>
        </w:tabs>
        <w:spacing w:before="480" w:line="480" w:lineRule="auto"/>
        <w:ind w:left="851" w:hanging="851"/>
        <w:jc w:val="both"/>
        <w:rPr>
          <w:u w:val="none"/>
          <w:lang w:val="en-ZA"/>
        </w:rPr>
      </w:pPr>
      <w:r>
        <w:rPr>
          <w:u w:val="none"/>
          <w:lang w:val="en-ZA"/>
        </w:rPr>
        <w:t>[47]</w:t>
      </w:r>
      <w:r>
        <w:rPr>
          <w:u w:val="none"/>
          <w:lang w:val="en-ZA"/>
        </w:rPr>
        <w:tab/>
      </w:r>
      <w:r w:rsidR="00511378" w:rsidRPr="00EB1A2D">
        <w:rPr>
          <w:u w:val="none"/>
          <w:lang w:val="en-ZA"/>
        </w:rPr>
        <w:t>In these circumstances, it is not necessary for me to consider</w:t>
      </w:r>
      <w:r w:rsidR="00FE1DCD" w:rsidRPr="00EB1A2D">
        <w:rPr>
          <w:u w:val="none"/>
          <w:lang w:val="en-ZA"/>
        </w:rPr>
        <w:t xml:space="preserve"> the other grounds on which the applicant relies to rescind the judgement order</w:t>
      </w:r>
      <w:r w:rsidR="00F24DD0" w:rsidRPr="00EB1A2D">
        <w:rPr>
          <w:u w:val="none"/>
          <w:lang w:val="en-ZA"/>
        </w:rPr>
        <w:t xml:space="preserve"> </w:t>
      </w:r>
      <w:r w:rsidR="00C11A93" w:rsidRPr="00EB1A2D">
        <w:rPr>
          <w:u w:val="none"/>
          <w:lang w:val="en-ZA"/>
        </w:rPr>
        <w:t xml:space="preserve">or </w:t>
      </w:r>
      <w:r w:rsidR="00FE1DCD" w:rsidRPr="00EB1A2D">
        <w:rPr>
          <w:u w:val="none"/>
          <w:lang w:val="en-ZA"/>
        </w:rPr>
        <w:t xml:space="preserve">to consider whether the applicant has shown good cause </w:t>
      </w:r>
      <w:r w:rsidR="00C11A93" w:rsidRPr="00EB1A2D">
        <w:rPr>
          <w:u w:val="none"/>
          <w:lang w:val="en-ZA"/>
        </w:rPr>
        <w:t>to meet the requirements of recission.</w:t>
      </w:r>
    </w:p>
    <w:p w14:paraId="4BC2AFFD" w14:textId="62B7B87F" w:rsidR="00C11A93" w:rsidRPr="00EB1A2D" w:rsidRDefault="00EB1A2D" w:rsidP="00EB1A2D">
      <w:pPr>
        <w:tabs>
          <w:tab w:val="left" w:pos="851"/>
          <w:tab w:val="right" w:pos="8280"/>
        </w:tabs>
        <w:spacing w:before="480" w:line="480" w:lineRule="auto"/>
        <w:ind w:left="851" w:hanging="851"/>
        <w:jc w:val="both"/>
        <w:rPr>
          <w:u w:val="none"/>
          <w:lang w:val="en-ZA"/>
        </w:rPr>
      </w:pPr>
      <w:r>
        <w:rPr>
          <w:u w:val="none"/>
          <w:lang w:val="en-ZA"/>
        </w:rPr>
        <w:t>[48]</w:t>
      </w:r>
      <w:r>
        <w:rPr>
          <w:u w:val="none"/>
          <w:lang w:val="en-ZA"/>
        </w:rPr>
        <w:tab/>
      </w:r>
      <w:r w:rsidR="00AF5266" w:rsidRPr="00EB1A2D">
        <w:rPr>
          <w:u w:val="none"/>
          <w:lang w:val="en-ZA"/>
        </w:rPr>
        <w:t xml:space="preserve">In the result I make the following </w:t>
      </w:r>
      <w:proofErr w:type="gramStart"/>
      <w:r w:rsidR="00AF5266" w:rsidRPr="00EB1A2D">
        <w:rPr>
          <w:u w:val="none"/>
          <w:lang w:val="en-ZA"/>
        </w:rPr>
        <w:t>order</w:t>
      </w:r>
      <w:proofErr w:type="gramEnd"/>
    </w:p>
    <w:p w14:paraId="6875761E" w14:textId="2D077FB4" w:rsidR="009A28B5" w:rsidRPr="00EB1A2D" w:rsidRDefault="00EB1A2D" w:rsidP="00EB1A2D">
      <w:pPr>
        <w:tabs>
          <w:tab w:val="left" w:pos="851"/>
          <w:tab w:val="right" w:pos="8280"/>
        </w:tabs>
        <w:spacing w:before="480" w:line="480" w:lineRule="auto"/>
        <w:ind w:left="1701" w:hanging="850"/>
        <w:jc w:val="both"/>
        <w:rPr>
          <w:u w:val="none"/>
          <w:lang w:val="en-ZA"/>
        </w:rPr>
      </w:pPr>
      <w:r>
        <w:rPr>
          <w:u w:val="none"/>
          <w:lang w:val="en-ZA"/>
        </w:rPr>
        <w:t>48.1</w:t>
      </w:r>
      <w:r>
        <w:rPr>
          <w:u w:val="none"/>
          <w:lang w:val="en-ZA"/>
        </w:rPr>
        <w:tab/>
      </w:r>
      <w:r w:rsidR="00F24DD0" w:rsidRPr="00EB1A2D">
        <w:rPr>
          <w:u w:val="none"/>
          <w:lang w:val="en-ZA"/>
        </w:rPr>
        <w:t xml:space="preserve">the rule </w:t>
      </w:r>
      <w:r w:rsidR="00F24DD0" w:rsidRPr="00EB1A2D">
        <w:rPr>
          <w:i/>
          <w:u w:val="none"/>
          <w:lang w:val="en-ZA"/>
        </w:rPr>
        <w:t>nisi</w:t>
      </w:r>
      <w:r w:rsidR="00F24DD0" w:rsidRPr="00EB1A2D">
        <w:rPr>
          <w:u w:val="none"/>
          <w:lang w:val="en-ZA"/>
        </w:rPr>
        <w:t xml:space="preserve"> is </w:t>
      </w:r>
      <w:proofErr w:type="gramStart"/>
      <w:r w:rsidR="00F24DD0" w:rsidRPr="00EB1A2D">
        <w:rPr>
          <w:u w:val="none"/>
          <w:lang w:val="en-ZA"/>
        </w:rPr>
        <w:t>confirmed;</w:t>
      </w:r>
      <w:proofErr w:type="gramEnd"/>
    </w:p>
    <w:p w14:paraId="682799B5" w14:textId="13A8040E" w:rsidR="0093181A" w:rsidRPr="00EB1A2D" w:rsidRDefault="00EB1A2D" w:rsidP="00EB1A2D">
      <w:pPr>
        <w:tabs>
          <w:tab w:val="left" w:pos="851"/>
          <w:tab w:val="right" w:pos="8280"/>
        </w:tabs>
        <w:spacing w:before="480" w:line="480" w:lineRule="auto"/>
        <w:ind w:left="1701" w:hanging="850"/>
        <w:jc w:val="both"/>
        <w:rPr>
          <w:u w:val="none"/>
          <w:lang w:val="en-ZA"/>
        </w:rPr>
      </w:pPr>
      <w:r>
        <w:rPr>
          <w:u w:val="none"/>
          <w:lang w:val="en-ZA"/>
        </w:rPr>
        <w:t>48.2</w:t>
      </w:r>
      <w:r>
        <w:rPr>
          <w:u w:val="none"/>
          <w:lang w:val="en-ZA"/>
        </w:rPr>
        <w:tab/>
      </w:r>
      <w:r w:rsidR="00F24DD0" w:rsidRPr="00EB1A2D">
        <w:rPr>
          <w:u w:val="none"/>
          <w:lang w:val="en-ZA"/>
        </w:rPr>
        <w:t xml:space="preserve">the </w:t>
      </w:r>
      <w:r w:rsidR="009A28B5" w:rsidRPr="00EB1A2D">
        <w:rPr>
          <w:u w:val="none"/>
          <w:lang w:val="en-ZA"/>
        </w:rPr>
        <w:t>judgment granted by the registrar on</w:t>
      </w:r>
      <w:r w:rsidR="0093181A" w:rsidRPr="00EB1A2D">
        <w:rPr>
          <w:u w:val="none"/>
          <w:lang w:val="en-ZA"/>
        </w:rPr>
        <w:t xml:space="preserve"> 25 March 2022 is </w:t>
      </w:r>
      <w:proofErr w:type="gramStart"/>
      <w:r w:rsidR="0093181A" w:rsidRPr="00EB1A2D">
        <w:rPr>
          <w:u w:val="none"/>
          <w:lang w:val="en-ZA"/>
        </w:rPr>
        <w:t>rescinded</w:t>
      </w:r>
      <w:r w:rsidR="00F24DD0" w:rsidRPr="00EB1A2D">
        <w:rPr>
          <w:u w:val="none"/>
          <w:lang w:val="en-ZA"/>
        </w:rPr>
        <w:t>;</w:t>
      </w:r>
      <w:proofErr w:type="gramEnd"/>
    </w:p>
    <w:p w14:paraId="40B6517D" w14:textId="7365F698" w:rsidR="009A28B5" w:rsidRPr="00EB1A2D" w:rsidRDefault="00EB1A2D" w:rsidP="00EB1A2D">
      <w:pPr>
        <w:tabs>
          <w:tab w:val="left" w:pos="851"/>
          <w:tab w:val="right" w:pos="8280"/>
        </w:tabs>
        <w:spacing w:before="480" w:line="480" w:lineRule="auto"/>
        <w:ind w:left="1701" w:hanging="850"/>
        <w:jc w:val="both"/>
        <w:rPr>
          <w:u w:val="none"/>
          <w:lang w:val="en-ZA"/>
        </w:rPr>
      </w:pPr>
      <w:r>
        <w:rPr>
          <w:u w:val="none"/>
          <w:lang w:val="en-ZA"/>
        </w:rPr>
        <w:t>48.3</w:t>
      </w:r>
      <w:r>
        <w:rPr>
          <w:u w:val="none"/>
          <w:lang w:val="en-ZA"/>
        </w:rPr>
        <w:tab/>
      </w:r>
      <w:r w:rsidR="0093181A" w:rsidRPr="00EB1A2D">
        <w:rPr>
          <w:u w:val="none"/>
          <w:lang w:val="en-ZA"/>
        </w:rPr>
        <w:t>the first respondent is to pay the applicant’s costs</w:t>
      </w:r>
      <w:r w:rsidR="00F24DD0" w:rsidRPr="00EB1A2D">
        <w:rPr>
          <w:u w:val="none"/>
          <w:lang w:val="en-ZA"/>
        </w:rPr>
        <w:t xml:space="preserve">.  </w:t>
      </w:r>
    </w:p>
    <w:p w14:paraId="369EA085" w14:textId="77777777" w:rsidR="00226E10" w:rsidRPr="00787209" w:rsidRDefault="00226E10" w:rsidP="000A6AC2">
      <w:pPr>
        <w:keepNext/>
        <w:tabs>
          <w:tab w:val="left" w:pos="567"/>
          <w:tab w:val="right" w:pos="8280"/>
        </w:tabs>
        <w:spacing w:line="480" w:lineRule="auto"/>
        <w:ind w:left="567" w:hanging="567"/>
        <w:jc w:val="both"/>
        <w:rPr>
          <w:u w:val="none"/>
          <w:lang w:val="en-ZA"/>
        </w:rPr>
      </w:pPr>
    </w:p>
    <w:p w14:paraId="7E80DE56" w14:textId="77777777" w:rsidR="00226E10" w:rsidRPr="00787209" w:rsidRDefault="00226E10" w:rsidP="000A6AC2">
      <w:pPr>
        <w:keepNext/>
        <w:tabs>
          <w:tab w:val="left" w:pos="567"/>
          <w:tab w:val="right" w:pos="8280"/>
        </w:tabs>
        <w:spacing w:line="480" w:lineRule="auto"/>
        <w:ind w:left="567" w:hanging="567"/>
        <w:jc w:val="both"/>
        <w:rPr>
          <w:u w:val="none"/>
          <w:lang w:val="en-ZA"/>
        </w:rPr>
      </w:pPr>
    </w:p>
    <w:p w14:paraId="30DE8925" w14:textId="77777777" w:rsidR="00226E10" w:rsidRPr="00787209" w:rsidRDefault="00226E10" w:rsidP="000A6AC2">
      <w:pPr>
        <w:keepNext/>
        <w:jc w:val="both"/>
      </w:pPr>
      <w:r w:rsidRPr="00787209">
        <w:t>______</w:t>
      </w:r>
      <w:r w:rsidR="005B1D90" w:rsidRPr="00787209">
        <w:t>__</w:t>
      </w:r>
      <w:r w:rsidRPr="00787209">
        <w:t>___________________</w:t>
      </w:r>
    </w:p>
    <w:p w14:paraId="64402CAD" w14:textId="77777777" w:rsidR="00226E10" w:rsidRPr="00787209" w:rsidRDefault="00787209" w:rsidP="00120782">
      <w:pPr>
        <w:rPr>
          <w:b/>
          <w:u w:val="none"/>
        </w:rPr>
      </w:pPr>
      <w:r w:rsidRPr="00787209">
        <w:rPr>
          <w:b/>
          <w:u w:val="none"/>
        </w:rPr>
        <w:t>DREYER</w:t>
      </w:r>
      <w:r w:rsidR="00100A30" w:rsidRPr="00787209">
        <w:rPr>
          <w:b/>
          <w:u w:val="none"/>
        </w:rPr>
        <w:t xml:space="preserve"> AJ</w:t>
      </w:r>
    </w:p>
    <w:p w14:paraId="0CFED9B1" w14:textId="77777777" w:rsidR="00226E10" w:rsidRPr="00787209" w:rsidRDefault="006F79EB" w:rsidP="00120782">
      <w:pPr>
        <w:rPr>
          <w:b/>
          <w:u w:val="none"/>
        </w:rPr>
      </w:pPr>
      <w:r w:rsidRPr="00787209">
        <w:rPr>
          <w:b/>
          <w:u w:val="none"/>
        </w:rPr>
        <w:t xml:space="preserve">ACTING </w:t>
      </w:r>
      <w:r w:rsidR="00226E10" w:rsidRPr="00787209">
        <w:rPr>
          <w:b/>
          <w:u w:val="none"/>
        </w:rPr>
        <w:t xml:space="preserve">JUDGE OF THE </w:t>
      </w:r>
      <w:r w:rsidR="00787209" w:rsidRPr="00787209">
        <w:rPr>
          <w:b/>
          <w:u w:val="none"/>
        </w:rPr>
        <w:t>HIGH COURT</w:t>
      </w:r>
    </w:p>
    <w:p w14:paraId="27F223E8" w14:textId="77777777" w:rsidR="00226E10" w:rsidRPr="00787209" w:rsidRDefault="00226E10" w:rsidP="00226E10">
      <w:pPr>
        <w:jc w:val="both"/>
      </w:pPr>
    </w:p>
    <w:p w14:paraId="0F585580" w14:textId="77777777" w:rsidR="004F7D1E" w:rsidRPr="00787209" w:rsidRDefault="004F7D1E" w:rsidP="00226E10">
      <w:pPr>
        <w:jc w:val="both"/>
      </w:pPr>
    </w:p>
    <w:p w14:paraId="4AD4B749" w14:textId="77777777" w:rsidR="00226E10" w:rsidRPr="00787209" w:rsidRDefault="00226E10" w:rsidP="00C44F41">
      <w:pPr>
        <w:keepNext/>
        <w:tabs>
          <w:tab w:val="left" w:pos="4140"/>
        </w:tabs>
        <w:rPr>
          <w:u w:val="none"/>
        </w:rPr>
      </w:pPr>
      <w:r w:rsidRPr="00787209">
        <w:rPr>
          <w:b/>
          <w:u w:val="none"/>
        </w:rPr>
        <w:t>Representation for the applicant</w:t>
      </w:r>
    </w:p>
    <w:p w14:paraId="5D8856AA" w14:textId="77777777" w:rsidR="00226E10" w:rsidRPr="00787209" w:rsidRDefault="00226E10" w:rsidP="00C44F41">
      <w:pPr>
        <w:keepNext/>
        <w:tabs>
          <w:tab w:val="left" w:pos="4140"/>
        </w:tabs>
        <w:rPr>
          <w:u w:val="none"/>
        </w:rPr>
      </w:pPr>
    </w:p>
    <w:p w14:paraId="5271AE38" w14:textId="441A8318" w:rsidR="00226E10" w:rsidRPr="00787209" w:rsidRDefault="00226E10" w:rsidP="00C44F41">
      <w:pPr>
        <w:keepNext/>
        <w:tabs>
          <w:tab w:val="left" w:pos="4111"/>
        </w:tabs>
        <w:ind w:left="4111" w:hanging="4111"/>
        <w:rPr>
          <w:u w:val="none"/>
        </w:rPr>
      </w:pPr>
      <w:r w:rsidRPr="00787209">
        <w:rPr>
          <w:u w:val="none"/>
        </w:rPr>
        <w:t>Counsel</w:t>
      </w:r>
      <w:r w:rsidRPr="00787209">
        <w:rPr>
          <w:u w:val="none"/>
        </w:rPr>
        <w:tab/>
        <w:t xml:space="preserve">Adv </w:t>
      </w:r>
      <w:r w:rsidR="00F24DD0">
        <w:rPr>
          <w:u w:val="none"/>
        </w:rPr>
        <w:t>Mafu</w:t>
      </w:r>
    </w:p>
    <w:p w14:paraId="6E357AD9" w14:textId="77777777" w:rsidR="00226E10" w:rsidRPr="00787209" w:rsidRDefault="00226E10" w:rsidP="00C44F41">
      <w:pPr>
        <w:keepNext/>
        <w:tabs>
          <w:tab w:val="left" w:pos="4111"/>
        </w:tabs>
        <w:ind w:left="4111" w:hanging="4111"/>
        <w:rPr>
          <w:u w:val="none"/>
        </w:rPr>
      </w:pPr>
    </w:p>
    <w:p w14:paraId="14B6D53D" w14:textId="0DC00A93" w:rsidR="00226E10" w:rsidRDefault="00226E10" w:rsidP="000A6AC2">
      <w:pPr>
        <w:tabs>
          <w:tab w:val="left" w:pos="4111"/>
        </w:tabs>
        <w:ind w:left="4111" w:hanging="4111"/>
        <w:rPr>
          <w:u w:val="none"/>
        </w:rPr>
      </w:pPr>
      <w:r w:rsidRPr="00787209">
        <w:rPr>
          <w:u w:val="none"/>
        </w:rPr>
        <w:t>Instructed by:</w:t>
      </w:r>
      <w:r w:rsidRPr="00787209">
        <w:rPr>
          <w:u w:val="none"/>
        </w:rPr>
        <w:tab/>
      </w:r>
      <w:r w:rsidR="00F24DD0">
        <w:rPr>
          <w:u w:val="none"/>
        </w:rPr>
        <w:t xml:space="preserve">MT </w:t>
      </w:r>
      <w:proofErr w:type="spellStart"/>
      <w:r w:rsidR="00F24DD0">
        <w:rPr>
          <w:u w:val="none"/>
        </w:rPr>
        <w:t>Klaas</w:t>
      </w:r>
      <w:proofErr w:type="spellEnd"/>
      <w:r w:rsidR="00F24DD0">
        <w:rPr>
          <w:u w:val="none"/>
        </w:rPr>
        <w:t xml:space="preserve"> Incorporated</w:t>
      </w:r>
    </w:p>
    <w:p w14:paraId="1B625EAE" w14:textId="00B2116E" w:rsidR="00425454" w:rsidRDefault="00425454" w:rsidP="000A6AC2">
      <w:pPr>
        <w:tabs>
          <w:tab w:val="left" w:pos="4111"/>
        </w:tabs>
        <w:ind w:left="4111" w:hanging="4111"/>
        <w:rPr>
          <w:u w:val="none"/>
        </w:rPr>
      </w:pPr>
      <w:r>
        <w:rPr>
          <w:u w:val="none"/>
        </w:rPr>
        <w:tab/>
        <w:t xml:space="preserve">45 </w:t>
      </w:r>
      <w:r w:rsidR="006358ED">
        <w:rPr>
          <w:u w:val="none"/>
        </w:rPr>
        <w:t>Stewart</w:t>
      </w:r>
      <w:r>
        <w:rPr>
          <w:u w:val="none"/>
        </w:rPr>
        <w:t xml:space="preserve"> Drive</w:t>
      </w:r>
    </w:p>
    <w:p w14:paraId="3040F114" w14:textId="35639DFB" w:rsidR="00425454" w:rsidRDefault="00425454" w:rsidP="000A6AC2">
      <w:pPr>
        <w:tabs>
          <w:tab w:val="left" w:pos="4111"/>
        </w:tabs>
        <w:ind w:left="4111" w:hanging="4111"/>
        <w:rPr>
          <w:u w:val="none"/>
        </w:rPr>
      </w:pPr>
      <w:r>
        <w:rPr>
          <w:u w:val="none"/>
        </w:rPr>
        <w:tab/>
      </w:r>
      <w:r w:rsidR="006358ED">
        <w:rPr>
          <w:u w:val="none"/>
        </w:rPr>
        <w:t>Baysville</w:t>
      </w:r>
    </w:p>
    <w:p w14:paraId="205712D9" w14:textId="4E5DE40E" w:rsidR="00425454" w:rsidRPr="00787209" w:rsidRDefault="00425454" w:rsidP="000A6AC2">
      <w:pPr>
        <w:tabs>
          <w:tab w:val="left" w:pos="4111"/>
        </w:tabs>
        <w:ind w:left="4111" w:hanging="4111"/>
        <w:rPr>
          <w:u w:val="none"/>
        </w:rPr>
      </w:pPr>
      <w:r>
        <w:rPr>
          <w:u w:val="none"/>
        </w:rPr>
        <w:tab/>
        <w:t>East London</w:t>
      </w:r>
    </w:p>
    <w:p w14:paraId="451F491F" w14:textId="77777777" w:rsidR="00226E10" w:rsidRPr="00787209" w:rsidRDefault="00226E10" w:rsidP="000A6AC2">
      <w:pPr>
        <w:tabs>
          <w:tab w:val="left" w:pos="4111"/>
        </w:tabs>
        <w:ind w:left="4111" w:hanging="4111"/>
        <w:rPr>
          <w:u w:val="none"/>
        </w:rPr>
      </w:pPr>
    </w:p>
    <w:p w14:paraId="5C44FA6F" w14:textId="77777777" w:rsidR="00226E10" w:rsidRPr="00787209" w:rsidRDefault="00226E10" w:rsidP="000A6AC2">
      <w:pPr>
        <w:tabs>
          <w:tab w:val="left" w:pos="4111"/>
        </w:tabs>
        <w:ind w:left="4111" w:hanging="4111"/>
        <w:rPr>
          <w:u w:val="none"/>
        </w:rPr>
      </w:pPr>
    </w:p>
    <w:p w14:paraId="5D485BCC" w14:textId="07E1E0C3" w:rsidR="00226E10" w:rsidRPr="00787209" w:rsidRDefault="00226E10" w:rsidP="00C44F41">
      <w:pPr>
        <w:keepNext/>
        <w:tabs>
          <w:tab w:val="left" w:pos="4111"/>
        </w:tabs>
        <w:ind w:left="4111" w:hanging="4111"/>
        <w:rPr>
          <w:b/>
          <w:u w:val="none"/>
        </w:rPr>
      </w:pPr>
      <w:r w:rsidRPr="00787209">
        <w:rPr>
          <w:b/>
          <w:u w:val="none"/>
        </w:rPr>
        <w:t>Representation for respondent</w:t>
      </w:r>
      <w:r w:rsidR="00F24DD0">
        <w:rPr>
          <w:b/>
          <w:u w:val="none"/>
        </w:rPr>
        <w:t>s</w:t>
      </w:r>
      <w:r w:rsidRPr="00787209">
        <w:rPr>
          <w:b/>
          <w:u w:val="none"/>
        </w:rPr>
        <w:t xml:space="preserve"> </w:t>
      </w:r>
    </w:p>
    <w:p w14:paraId="3BF69B65" w14:textId="77777777" w:rsidR="00226E10" w:rsidRPr="00787209" w:rsidRDefault="00226E10" w:rsidP="00C44F41">
      <w:pPr>
        <w:keepNext/>
        <w:tabs>
          <w:tab w:val="left" w:pos="4111"/>
        </w:tabs>
        <w:ind w:left="4111" w:hanging="4111"/>
        <w:rPr>
          <w:u w:val="none"/>
        </w:rPr>
      </w:pPr>
    </w:p>
    <w:p w14:paraId="7EB435F3" w14:textId="0B9208B4" w:rsidR="00226E10" w:rsidRPr="00787209" w:rsidRDefault="00226E10" w:rsidP="00C44F41">
      <w:pPr>
        <w:keepNext/>
        <w:tabs>
          <w:tab w:val="left" w:pos="4111"/>
        </w:tabs>
        <w:ind w:left="4111" w:hanging="4111"/>
        <w:rPr>
          <w:u w:val="none"/>
        </w:rPr>
      </w:pPr>
      <w:r w:rsidRPr="00787209">
        <w:rPr>
          <w:u w:val="none"/>
        </w:rPr>
        <w:t>Counsel</w:t>
      </w:r>
      <w:r w:rsidRPr="00787209">
        <w:rPr>
          <w:u w:val="none"/>
        </w:rPr>
        <w:tab/>
      </w:r>
      <w:r w:rsidR="00FA3AD3" w:rsidRPr="00787209">
        <w:rPr>
          <w:u w:val="none"/>
        </w:rPr>
        <w:t>Adv</w:t>
      </w:r>
      <w:r w:rsidR="00F24DD0">
        <w:rPr>
          <w:u w:val="none"/>
        </w:rPr>
        <w:t xml:space="preserve"> Kotze</w:t>
      </w:r>
    </w:p>
    <w:p w14:paraId="62869752" w14:textId="77777777" w:rsidR="00226E10" w:rsidRPr="00787209" w:rsidRDefault="00226E10" w:rsidP="00C44F41">
      <w:pPr>
        <w:keepNext/>
        <w:tabs>
          <w:tab w:val="left" w:pos="4111"/>
        </w:tabs>
        <w:ind w:left="4111" w:hanging="4111"/>
        <w:rPr>
          <w:u w:val="none"/>
        </w:rPr>
      </w:pPr>
    </w:p>
    <w:p w14:paraId="6068224B" w14:textId="0FC354D6" w:rsidR="00226E10" w:rsidRDefault="00226E10" w:rsidP="000A6AC2">
      <w:pPr>
        <w:tabs>
          <w:tab w:val="left" w:pos="4111"/>
        </w:tabs>
        <w:ind w:left="4111" w:hanging="4111"/>
        <w:rPr>
          <w:u w:val="none"/>
        </w:rPr>
      </w:pPr>
      <w:r w:rsidRPr="00787209">
        <w:rPr>
          <w:u w:val="none"/>
        </w:rPr>
        <w:t>Instructed by</w:t>
      </w:r>
      <w:r w:rsidRPr="00787209">
        <w:rPr>
          <w:u w:val="none"/>
        </w:rPr>
        <w:tab/>
      </w:r>
      <w:r w:rsidR="00F24DD0">
        <w:rPr>
          <w:u w:val="none"/>
        </w:rPr>
        <w:t>Strauss Daly Incorporated</w:t>
      </w:r>
    </w:p>
    <w:p w14:paraId="5482C6EC" w14:textId="4A9FC020" w:rsidR="00F24DD0" w:rsidRDefault="00F24DD0" w:rsidP="000A6AC2">
      <w:pPr>
        <w:tabs>
          <w:tab w:val="left" w:pos="4111"/>
        </w:tabs>
        <w:ind w:left="4111" w:hanging="4111"/>
        <w:rPr>
          <w:u w:val="none"/>
        </w:rPr>
      </w:pPr>
      <w:r>
        <w:rPr>
          <w:u w:val="none"/>
        </w:rPr>
        <w:tab/>
        <w:t xml:space="preserve">c/o </w:t>
      </w:r>
      <w:proofErr w:type="spellStart"/>
      <w:r>
        <w:rPr>
          <w:u w:val="none"/>
        </w:rPr>
        <w:t>Bax</w:t>
      </w:r>
      <w:proofErr w:type="spellEnd"/>
      <w:r>
        <w:rPr>
          <w:u w:val="none"/>
        </w:rPr>
        <w:t xml:space="preserve"> Kaplan Russell Incorporated</w:t>
      </w:r>
    </w:p>
    <w:p w14:paraId="6D9A78B8" w14:textId="0F8FF3A6" w:rsidR="00425454" w:rsidRDefault="00425454" w:rsidP="000A6AC2">
      <w:pPr>
        <w:tabs>
          <w:tab w:val="left" w:pos="4111"/>
        </w:tabs>
        <w:ind w:left="4111" w:hanging="4111"/>
        <w:rPr>
          <w:u w:val="none"/>
        </w:rPr>
      </w:pPr>
      <w:r>
        <w:rPr>
          <w:u w:val="none"/>
        </w:rPr>
        <w:tab/>
        <w:t>2 Clevedon Road</w:t>
      </w:r>
    </w:p>
    <w:p w14:paraId="0FD139FF" w14:textId="4903E5A6" w:rsidR="00425454" w:rsidRDefault="00425454" w:rsidP="000A6AC2">
      <w:pPr>
        <w:tabs>
          <w:tab w:val="left" w:pos="4111"/>
        </w:tabs>
        <w:ind w:left="4111" w:hanging="4111"/>
        <w:rPr>
          <w:u w:val="none"/>
        </w:rPr>
      </w:pPr>
      <w:r>
        <w:rPr>
          <w:u w:val="none"/>
        </w:rPr>
        <w:tab/>
      </w:r>
      <w:r w:rsidR="00D479D7">
        <w:rPr>
          <w:u w:val="none"/>
        </w:rPr>
        <w:t>Selbourne</w:t>
      </w:r>
    </w:p>
    <w:p w14:paraId="6B0A038F" w14:textId="097983C3" w:rsidR="00425454" w:rsidRDefault="00425454" w:rsidP="000A6AC2">
      <w:pPr>
        <w:tabs>
          <w:tab w:val="left" w:pos="4111"/>
        </w:tabs>
        <w:ind w:left="4111" w:hanging="4111"/>
        <w:rPr>
          <w:u w:val="none"/>
        </w:rPr>
      </w:pPr>
      <w:r>
        <w:rPr>
          <w:u w:val="none"/>
        </w:rPr>
        <w:tab/>
        <w:t>East London</w:t>
      </w:r>
    </w:p>
    <w:p w14:paraId="5D59724E" w14:textId="28D84282" w:rsidR="00F24DD0" w:rsidRDefault="00F24DD0" w:rsidP="000A6AC2">
      <w:pPr>
        <w:tabs>
          <w:tab w:val="left" w:pos="4111"/>
        </w:tabs>
        <w:ind w:left="4111" w:hanging="4111"/>
        <w:rPr>
          <w:u w:val="none"/>
        </w:rPr>
      </w:pPr>
    </w:p>
    <w:p w14:paraId="0B7C306C" w14:textId="77777777" w:rsidR="00F24DD0" w:rsidRDefault="00F24DD0" w:rsidP="000A6AC2">
      <w:pPr>
        <w:tabs>
          <w:tab w:val="left" w:pos="4111"/>
        </w:tabs>
        <w:ind w:left="4111" w:hanging="4111"/>
        <w:rPr>
          <w:u w:val="none"/>
        </w:rPr>
      </w:pPr>
    </w:p>
    <w:p w14:paraId="425907F0" w14:textId="4BF7BD0B" w:rsidR="00F24DD0" w:rsidRDefault="00F24DD0" w:rsidP="000A6AC2">
      <w:pPr>
        <w:tabs>
          <w:tab w:val="left" w:pos="4111"/>
        </w:tabs>
        <w:ind w:left="4111" w:hanging="4111"/>
        <w:rPr>
          <w:u w:val="none"/>
        </w:rPr>
      </w:pPr>
      <w:r>
        <w:rPr>
          <w:u w:val="none"/>
        </w:rPr>
        <w:t>Date matter heard:</w:t>
      </w:r>
      <w:r>
        <w:rPr>
          <w:u w:val="none"/>
        </w:rPr>
        <w:tab/>
        <w:t>11 August 2022</w:t>
      </w:r>
    </w:p>
    <w:p w14:paraId="5C68BD1A" w14:textId="3D9301AB" w:rsidR="00F24DD0" w:rsidRPr="00787209" w:rsidRDefault="00B93DA0" w:rsidP="000A6AC2">
      <w:pPr>
        <w:tabs>
          <w:tab w:val="left" w:pos="4111"/>
        </w:tabs>
        <w:ind w:left="4111" w:hanging="4111"/>
        <w:rPr>
          <w:u w:val="none"/>
        </w:rPr>
      </w:pPr>
      <w:r>
        <w:rPr>
          <w:u w:val="none"/>
        </w:rPr>
        <w:t>Date judgment handed down:</w:t>
      </w:r>
      <w:r>
        <w:rPr>
          <w:u w:val="none"/>
        </w:rPr>
        <w:tab/>
      </w:r>
      <w:proofErr w:type="gramStart"/>
      <w:r w:rsidR="00253094">
        <w:rPr>
          <w:u w:val="none"/>
        </w:rPr>
        <w:t xml:space="preserve">31 </w:t>
      </w:r>
      <w:r w:rsidR="00F24DD0">
        <w:rPr>
          <w:u w:val="none"/>
        </w:rPr>
        <w:t xml:space="preserve"> </w:t>
      </w:r>
      <w:r w:rsidR="00425454">
        <w:rPr>
          <w:u w:val="none"/>
        </w:rPr>
        <w:t>January</w:t>
      </w:r>
      <w:proofErr w:type="gramEnd"/>
      <w:r w:rsidR="00425454">
        <w:rPr>
          <w:u w:val="none"/>
        </w:rPr>
        <w:t xml:space="preserve"> </w:t>
      </w:r>
      <w:r w:rsidR="00F24DD0">
        <w:rPr>
          <w:u w:val="none"/>
        </w:rPr>
        <w:t>202</w:t>
      </w:r>
      <w:r w:rsidR="00253094">
        <w:rPr>
          <w:u w:val="none"/>
        </w:rPr>
        <w:t>3</w:t>
      </w:r>
    </w:p>
    <w:p w14:paraId="15F87A9B" w14:textId="77777777" w:rsidR="00226E10" w:rsidRPr="00787209" w:rsidRDefault="00226E10" w:rsidP="00BA3D4B">
      <w:pPr>
        <w:tabs>
          <w:tab w:val="left" w:pos="4140"/>
        </w:tabs>
        <w:rPr>
          <w:u w:val="none"/>
        </w:rPr>
      </w:pPr>
    </w:p>
    <w:sectPr w:rsidR="00226E10" w:rsidRPr="00787209" w:rsidSect="0096642E">
      <w:headerReference w:type="default" r:id="rId8"/>
      <w:pgSz w:w="11906" w:h="16838"/>
      <w:pgMar w:top="1134" w:right="1797" w:bottom="1134" w:left="179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E7813" w14:textId="77777777" w:rsidR="00645AC4" w:rsidRDefault="00645AC4" w:rsidP="0096642E">
      <w:r>
        <w:separator/>
      </w:r>
    </w:p>
  </w:endnote>
  <w:endnote w:type="continuationSeparator" w:id="0">
    <w:p w14:paraId="0FDEDDE6" w14:textId="77777777" w:rsidR="00645AC4" w:rsidRDefault="00645AC4" w:rsidP="00966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3A19E" w14:textId="77777777" w:rsidR="00645AC4" w:rsidRDefault="00645AC4" w:rsidP="0096642E">
      <w:r>
        <w:separator/>
      </w:r>
    </w:p>
  </w:footnote>
  <w:footnote w:type="continuationSeparator" w:id="0">
    <w:p w14:paraId="3C0F5744" w14:textId="77777777" w:rsidR="00645AC4" w:rsidRDefault="00645AC4" w:rsidP="0096642E">
      <w:r>
        <w:continuationSeparator/>
      </w:r>
    </w:p>
  </w:footnote>
  <w:footnote w:id="1">
    <w:p w14:paraId="0F7908A6" w14:textId="46146D10" w:rsidR="00043DD8" w:rsidRPr="00043DD8" w:rsidRDefault="00043DD8">
      <w:pPr>
        <w:pStyle w:val="FootnoteText"/>
        <w:rPr>
          <w:lang w:val="en-ZA"/>
        </w:rPr>
      </w:pPr>
      <w:r>
        <w:rPr>
          <w:rStyle w:val="FootnoteReference"/>
        </w:rPr>
        <w:footnoteRef/>
      </w:r>
      <w:r>
        <w:t xml:space="preserve"> </w:t>
      </w:r>
      <w:r>
        <w:rPr>
          <w:lang w:val="en-ZA"/>
        </w:rPr>
        <w:tab/>
        <w:t>[2020] ZAGPPHC 319 (12 June 2020</w:t>
      </w:r>
      <w:proofErr w:type="gramStart"/>
      <w:r>
        <w:rPr>
          <w:lang w:val="en-ZA"/>
        </w:rPr>
        <w:t>);</w:t>
      </w:r>
      <w:proofErr w:type="gramEnd"/>
    </w:p>
  </w:footnote>
  <w:footnote w:id="2">
    <w:p w14:paraId="26EDECFA" w14:textId="538B0800" w:rsidR="00043DD8" w:rsidRPr="00043DD8" w:rsidRDefault="00043DD8" w:rsidP="00EA511E">
      <w:pPr>
        <w:pStyle w:val="FootnoteText"/>
        <w:tabs>
          <w:tab w:val="left" w:pos="426"/>
        </w:tabs>
        <w:ind w:left="426" w:hanging="426"/>
        <w:rPr>
          <w:lang w:val="en-ZA"/>
        </w:rPr>
      </w:pPr>
      <w:r>
        <w:rPr>
          <w:rStyle w:val="FootnoteReference"/>
        </w:rPr>
        <w:footnoteRef/>
      </w:r>
      <w:r>
        <w:t xml:space="preserve"> </w:t>
      </w:r>
      <w:r>
        <w:rPr>
          <w:lang w:val="en-ZA"/>
        </w:rPr>
        <w:tab/>
      </w:r>
      <w:r w:rsidR="00EA511E">
        <w:rPr>
          <w:lang w:val="en-ZA"/>
        </w:rPr>
        <w:t>[</w:t>
      </w:r>
      <w:r>
        <w:rPr>
          <w:lang w:val="en-ZA"/>
        </w:rPr>
        <w:t>2021] ZAKZPPHC 51 (23 August 2021</w:t>
      </w:r>
    </w:p>
  </w:footnote>
  <w:footnote w:id="3">
    <w:p w14:paraId="4FE91D25" w14:textId="4C6FCC6F" w:rsidR="000B3F14" w:rsidRPr="000B3F14" w:rsidRDefault="000B3F14">
      <w:pPr>
        <w:pStyle w:val="FootnoteText"/>
        <w:rPr>
          <w:lang w:val="en-ZA"/>
        </w:rPr>
      </w:pPr>
      <w:r>
        <w:rPr>
          <w:rStyle w:val="FootnoteReference"/>
        </w:rPr>
        <w:footnoteRef/>
      </w:r>
      <w:r>
        <w:t xml:space="preserve"> </w:t>
      </w:r>
      <w:r>
        <w:rPr>
          <w:lang w:val="en-ZA"/>
        </w:rPr>
        <w:tab/>
      </w:r>
      <w:r w:rsidR="00EA511E">
        <w:rPr>
          <w:lang w:val="en-ZA"/>
        </w:rPr>
        <w:t>[</w:t>
      </w:r>
      <w:proofErr w:type="gramStart"/>
      <w:r w:rsidR="00EA511E">
        <w:rPr>
          <w:lang w:val="en-ZA"/>
        </w:rPr>
        <w:t>2021]ZAGPPHC</w:t>
      </w:r>
      <w:proofErr w:type="gramEnd"/>
      <w:r w:rsidR="00EA511E">
        <w:rPr>
          <w:lang w:val="en-ZA"/>
        </w:rPr>
        <w:t xml:space="preserve"> 128 ( 10 March 2021)</w:t>
      </w:r>
    </w:p>
  </w:footnote>
  <w:footnote w:id="4">
    <w:p w14:paraId="5D7229E5" w14:textId="77777777" w:rsidR="00BE40CB" w:rsidRPr="00425454" w:rsidRDefault="00BE40CB" w:rsidP="00BE40CB">
      <w:pPr>
        <w:pStyle w:val="FootnoteText"/>
        <w:rPr>
          <w:lang w:val="en-US"/>
        </w:rPr>
      </w:pPr>
      <w:r>
        <w:rPr>
          <w:rStyle w:val="FootnoteReference"/>
        </w:rPr>
        <w:footnoteRef/>
      </w:r>
      <w:r>
        <w:t xml:space="preserve"> </w:t>
      </w:r>
      <w:r>
        <w:rPr>
          <w:lang w:val="en-US"/>
        </w:rPr>
        <w:tab/>
        <w:t>2016 (6) BCLR 794 (CC)</w:t>
      </w:r>
    </w:p>
  </w:footnote>
  <w:footnote w:id="5">
    <w:p w14:paraId="62C11FD7" w14:textId="77777777" w:rsidR="009318A2" w:rsidRPr="00372B40" w:rsidRDefault="009318A2" w:rsidP="009318A2">
      <w:pPr>
        <w:pStyle w:val="FootnoteText"/>
        <w:rPr>
          <w:lang w:val="en-US"/>
        </w:rPr>
      </w:pPr>
      <w:r>
        <w:rPr>
          <w:rStyle w:val="FootnoteReference"/>
        </w:rPr>
        <w:footnoteRef/>
      </w:r>
      <w:r>
        <w:t xml:space="preserve"> </w:t>
      </w:r>
      <w:r>
        <w:rPr>
          <w:lang w:val="en-US"/>
        </w:rPr>
        <w:tab/>
        <w:t>Act 34 of 2005</w:t>
      </w:r>
    </w:p>
  </w:footnote>
  <w:footnote w:id="6">
    <w:p w14:paraId="5F279203" w14:textId="77777777" w:rsidR="00AB75F4" w:rsidRPr="00425454" w:rsidRDefault="00AB75F4" w:rsidP="00AB75F4">
      <w:pPr>
        <w:pStyle w:val="FootnoteText"/>
        <w:rPr>
          <w:lang w:val="en-US"/>
        </w:rPr>
      </w:pPr>
      <w:r>
        <w:rPr>
          <w:rStyle w:val="FootnoteReference"/>
        </w:rPr>
        <w:footnoteRef/>
      </w:r>
      <w:r>
        <w:t xml:space="preserve"> </w:t>
      </w:r>
      <w:r>
        <w:rPr>
          <w:lang w:val="en-US"/>
        </w:rPr>
        <w:tab/>
        <w:t>2022 (4) SA 597 (ML)</w:t>
      </w:r>
    </w:p>
  </w:footnote>
  <w:footnote w:id="7">
    <w:p w14:paraId="0C195C8D" w14:textId="77777777" w:rsidR="00AB75F4" w:rsidRPr="0004138E" w:rsidRDefault="00AB75F4" w:rsidP="00AB75F4">
      <w:pPr>
        <w:pStyle w:val="FootnoteText"/>
        <w:ind w:left="0" w:firstLine="0"/>
        <w:rPr>
          <w:lang w:val="en-ZA"/>
        </w:rPr>
      </w:pPr>
      <w:r>
        <w:rPr>
          <w:rStyle w:val="FootnoteReference"/>
        </w:rPr>
        <w:footnoteRef/>
      </w:r>
      <w:r>
        <w:tab/>
        <w:t xml:space="preserve"> Act 10 of 2013</w:t>
      </w:r>
    </w:p>
  </w:footnote>
  <w:footnote w:id="8">
    <w:p w14:paraId="4400506F" w14:textId="27898211" w:rsidR="00AB75F4" w:rsidRPr="00425454" w:rsidRDefault="00AB75F4" w:rsidP="00AB75F4">
      <w:pPr>
        <w:pStyle w:val="FootnoteText"/>
        <w:rPr>
          <w:lang w:val="en-US"/>
        </w:rPr>
      </w:pPr>
      <w:r>
        <w:rPr>
          <w:rStyle w:val="FootnoteReference"/>
        </w:rPr>
        <w:footnoteRef/>
      </w:r>
      <w:r>
        <w:t xml:space="preserve"> </w:t>
      </w:r>
      <w:r>
        <w:rPr>
          <w:lang w:val="en-US"/>
        </w:rPr>
        <w:tab/>
        <w:t xml:space="preserve">At para [65]  </w:t>
      </w:r>
      <w:r w:rsidR="001E288B">
        <w:rPr>
          <w:lang w:val="en-US"/>
        </w:rPr>
        <w:t xml:space="preserve"> </w:t>
      </w:r>
      <w:proofErr w:type="spellStart"/>
      <w:r w:rsidR="001E288B">
        <w:rPr>
          <w:lang w:val="en-US"/>
        </w:rPr>
        <w:t>Mabusa</w:t>
      </w:r>
      <w:proofErr w:type="spellEnd"/>
      <w:r w:rsidR="001E288B">
        <w:rPr>
          <w:lang w:val="en-US"/>
        </w:rPr>
        <w:t xml:space="preserve"> J in </w:t>
      </w:r>
      <w:r w:rsidR="00A9079D">
        <w:rPr>
          <w:lang w:val="en-US"/>
        </w:rPr>
        <w:t xml:space="preserve">Seleka </w:t>
      </w:r>
      <w:r w:rsidR="0099055A">
        <w:rPr>
          <w:lang w:val="en-US"/>
        </w:rPr>
        <w:t xml:space="preserve"> </w:t>
      </w:r>
      <w:r w:rsidR="0099055A" w:rsidRPr="0099055A">
        <w:rPr>
          <w:i/>
          <w:iCs/>
          <w:lang w:val="en-US"/>
        </w:rPr>
        <w:t>supra</w:t>
      </w:r>
      <w:r w:rsidR="0099055A">
        <w:rPr>
          <w:lang w:val="en-US"/>
        </w:rPr>
        <w:t xml:space="preserve"> </w:t>
      </w:r>
      <w:r w:rsidR="00903762">
        <w:rPr>
          <w:lang w:val="en-US"/>
        </w:rPr>
        <w:t>@ para [1</w:t>
      </w:r>
      <w:r w:rsidR="004330B3">
        <w:rPr>
          <w:lang w:val="en-US"/>
        </w:rPr>
        <w:t>3</w:t>
      </w:r>
      <w:r w:rsidR="00903762">
        <w:rPr>
          <w:lang w:val="en-US"/>
        </w:rPr>
        <w:t>]</w:t>
      </w:r>
      <w:r w:rsidR="004330B3">
        <w:rPr>
          <w:lang w:val="en-US"/>
        </w:rPr>
        <w:t xml:space="preserve"> to [15</w:t>
      </w:r>
      <w:r w:rsidR="007E6665">
        <w:rPr>
          <w:lang w:val="en-US"/>
        </w:rPr>
        <w:t>]</w:t>
      </w:r>
      <w:r w:rsidR="00903762">
        <w:rPr>
          <w:lang w:val="en-US"/>
        </w:rPr>
        <w:t xml:space="preserve"> </w:t>
      </w:r>
      <w:r w:rsidR="007E6665">
        <w:rPr>
          <w:lang w:val="en-US"/>
        </w:rPr>
        <w:t xml:space="preserve"> after referring to the decision of</w:t>
      </w:r>
      <w:r w:rsidR="007E6665" w:rsidRPr="007E6665">
        <w:rPr>
          <w:b/>
          <w:bCs/>
        </w:rPr>
        <w:t xml:space="preserve"> </w:t>
      </w:r>
      <w:r w:rsidR="007E6665" w:rsidRPr="007E6665">
        <w:rPr>
          <w:i/>
          <w:iCs/>
        </w:rPr>
        <w:t xml:space="preserve">Master of the High Court NO North Gauteng v Motala </w:t>
      </w:r>
      <w:hyperlink r:id="rId1" w:tooltip="View LawCiteRecord" w:history="1">
        <w:r w:rsidR="007E6665" w:rsidRPr="007E6665">
          <w:rPr>
            <w:rStyle w:val="Hyperlink"/>
            <w:i/>
            <w:iCs/>
          </w:rPr>
          <w:t>2012 (3) SA 325</w:t>
        </w:r>
      </w:hyperlink>
      <w:r w:rsidR="007E6665" w:rsidRPr="007E6665">
        <w:rPr>
          <w:i/>
          <w:iCs/>
        </w:rPr>
        <w:t xml:space="preserve"> SCA</w:t>
      </w:r>
      <w:r w:rsidR="007E6665">
        <w:t>,</w:t>
      </w:r>
      <w:r w:rsidR="007E6665">
        <w:rPr>
          <w:lang w:val="en-US"/>
        </w:rPr>
        <w:t xml:space="preserve"> </w:t>
      </w:r>
      <w:r w:rsidR="00A9079D">
        <w:rPr>
          <w:lang w:val="en-US"/>
        </w:rPr>
        <w:t xml:space="preserve">held that </w:t>
      </w:r>
      <w:r w:rsidR="00CD23CE">
        <w:rPr>
          <w:lang w:val="en-US"/>
        </w:rPr>
        <w:t xml:space="preserve"> the registrar’s power to grant default judgement was</w:t>
      </w:r>
      <w:r w:rsidR="0099055A">
        <w:rPr>
          <w:lang w:val="en-US"/>
        </w:rPr>
        <w:t xml:space="preserve"> </w:t>
      </w:r>
      <w:r w:rsidR="00A04014">
        <w:rPr>
          <w:lang w:val="en-US"/>
        </w:rPr>
        <w:t>prohibited by statute and where the registrar arrogate</w:t>
      </w:r>
      <w:r w:rsidR="00857729">
        <w:rPr>
          <w:lang w:val="en-US"/>
        </w:rPr>
        <w:t>s</w:t>
      </w:r>
      <w:r w:rsidR="00A04014">
        <w:rPr>
          <w:lang w:val="en-US"/>
        </w:rPr>
        <w:t xml:space="preserve"> such powers, the judgement </w:t>
      </w:r>
      <w:r w:rsidR="00857729">
        <w:rPr>
          <w:lang w:val="en-US"/>
        </w:rPr>
        <w:t xml:space="preserve"> so granted </w:t>
      </w:r>
      <w:r w:rsidR="00A04014">
        <w:rPr>
          <w:lang w:val="en-US"/>
        </w:rPr>
        <w:t>was null and void</w:t>
      </w:r>
      <w:r w:rsidR="00903762">
        <w:rPr>
          <w:lang w:val="en-US"/>
        </w:rPr>
        <w:t xml:space="preserve">. </w:t>
      </w:r>
    </w:p>
  </w:footnote>
  <w:footnote w:id="9">
    <w:p w14:paraId="11E8CA34" w14:textId="77777777" w:rsidR="001E288B" w:rsidRPr="00043719" w:rsidRDefault="001E288B" w:rsidP="001E288B">
      <w:pPr>
        <w:pStyle w:val="FootnoteText"/>
        <w:rPr>
          <w:lang w:val="en-ZA"/>
        </w:rPr>
      </w:pPr>
      <w:r>
        <w:rPr>
          <w:rStyle w:val="FootnoteReference"/>
        </w:rPr>
        <w:footnoteRef/>
      </w:r>
      <w:r>
        <w:t xml:space="preserve"> </w:t>
      </w:r>
      <w:r>
        <w:rPr>
          <w:lang w:val="en-ZA"/>
        </w:rPr>
        <w:tab/>
        <w:t>Ibid @ para [ 75]</w:t>
      </w:r>
    </w:p>
  </w:footnote>
  <w:footnote w:id="10">
    <w:p w14:paraId="6A3683DD" w14:textId="3212F902" w:rsidR="00481BF5" w:rsidRPr="00425454" w:rsidRDefault="00481BF5">
      <w:pPr>
        <w:pStyle w:val="FootnoteText"/>
        <w:rPr>
          <w:lang w:val="en-US"/>
        </w:rPr>
      </w:pPr>
      <w:r>
        <w:rPr>
          <w:rStyle w:val="FootnoteReference"/>
        </w:rPr>
        <w:footnoteRef/>
      </w:r>
      <w:r>
        <w:t xml:space="preserve"> </w:t>
      </w:r>
      <w:r>
        <w:rPr>
          <w:lang w:val="en-US"/>
        </w:rPr>
        <w:tab/>
        <w:t>[2020] 1 All SA 303 (SCA), at paragraph [19]</w:t>
      </w:r>
    </w:p>
  </w:footnote>
  <w:footnote w:id="11">
    <w:p w14:paraId="26FDE7B3" w14:textId="1047EB7A" w:rsidR="003F6EEB" w:rsidRPr="00425454" w:rsidRDefault="003F6EEB">
      <w:pPr>
        <w:pStyle w:val="FootnoteText"/>
        <w:rPr>
          <w:lang w:val="en-US"/>
        </w:rPr>
      </w:pPr>
      <w:r>
        <w:rPr>
          <w:rStyle w:val="FootnoteReference"/>
        </w:rPr>
        <w:footnoteRef/>
      </w:r>
      <w:r>
        <w:t xml:space="preserve"> </w:t>
      </w:r>
      <w:r>
        <w:rPr>
          <w:lang w:val="en-US"/>
        </w:rPr>
        <w:tab/>
        <w:t xml:space="preserve">(4526/2021) [2022] </w:t>
      </w:r>
      <w:r w:rsidR="00B62DB4">
        <w:rPr>
          <w:lang w:val="en-US"/>
        </w:rPr>
        <w:t>ZAFSHC 197 (15 August 2022)</w:t>
      </w:r>
    </w:p>
  </w:footnote>
  <w:footnote w:id="12">
    <w:p w14:paraId="51E3EC9A" w14:textId="63A7EAEF" w:rsidR="00B62DB4" w:rsidRPr="00425454" w:rsidRDefault="00B62DB4">
      <w:pPr>
        <w:pStyle w:val="FootnoteText"/>
        <w:rPr>
          <w:lang w:val="en-US"/>
        </w:rPr>
      </w:pPr>
      <w:r>
        <w:rPr>
          <w:rStyle w:val="FootnoteReference"/>
        </w:rPr>
        <w:footnoteRef/>
      </w:r>
      <w:r>
        <w:t xml:space="preserve"> </w:t>
      </w:r>
      <w:r>
        <w:rPr>
          <w:lang w:val="en-US"/>
        </w:rPr>
        <w:tab/>
      </w:r>
      <w:proofErr w:type="spellStart"/>
      <w:r w:rsidR="00F91848">
        <w:rPr>
          <w:lang w:val="en-US"/>
        </w:rPr>
        <w:t>Gcasamba</w:t>
      </w:r>
      <w:proofErr w:type="spellEnd"/>
      <w:r w:rsidR="00F91848">
        <w:rPr>
          <w:lang w:val="en-US"/>
        </w:rPr>
        <w:t xml:space="preserve"> </w:t>
      </w:r>
      <w:r>
        <w:rPr>
          <w:lang w:val="en-US"/>
        </w:rPr>
        <w:t>decision at para [31]</w:t>
      </w:r>
    </w:p>
  </w:footnote>
  <w:footnote w:id="13">
    <w:p w14:paraId="1D673CAA" w14:textId="4A8A0CC5" w:rsidR="00B62DB4" w:rsidRPr="00425454" w:rsidRDefault="00B62DB4">
      <w:pPr>
        <w:pStyle w:val="FootnoteText"/>
        <w:rPr>
          <w:lang w:val="en-US"/>
        </w:rPr>
      </w:pPr>
      <w:r>
        <w:rPr>
          <w:rStyle w:val="FootnoteReference"/>
        </w:rPr>
        <w:footnoteRef/>
      </w:r>
      <w:r>
        <w:t xml:space="preserve"> </w:t>
      </w:r>
      <w:r>
        <w:rPr>
          <w:lang w:val="en-US"/>
        </w:rPr>
        <w:tab/>
      </w:r>
      <w:r w:rsidR="00514079">
        <w:rPr>
          <w:lang w:val="en-US"/>
        </w:rPr>
        <w:t xml:space="preserve">The </w:t>
      </w:r>
      <w:proofErr w:type="spellStart"/>
      <w:r w:rsidR="00514079">
        <w:rPr>
          <w:lang w:val="en-US"/>
        </w:rPr>
        <w:t>Gcasamba</w:t>
      </w:r>
      <w:proofErr w:type="spellEnd"/>
      <w:r w:rsidR="00514079">
        <w:rPr>
          <w:lang w:val="en-US"/>
        </w:rPr>
        <w:t xml:space="preserve"> </w:t>
      </w:r>
      <w:r>
        <w:rPr>
          <w:lang w:val="en-US"/>
        </w:rPr>
        <w:t>decision at para [36]</w:t>
      </w:r>
    </w:p>
  </w:footnote>
  <w:footnote w:id="14">
    <w:p w14:paraId="0F443949" w14:textId="24DB5A1B" w:rsidR="00BF0E00" w:rsidRPr="00BF0E00" w:rsidRDefault="00BF0E00">
      <w:pPr>
        <w:pStyle w:val="FootnoteText"/>
        <w:rPr>
          <w:lang w:val="en-ZA"/>
        </w:rPr>
      </w:pPr>
      <w:r>
        <w:rPr>
          <w:rStyle w:val="FootnoteReference"/>
        </w:rPr>
        <w:footnoteRef/>
      </w:r>
      <w:r>
        <w:t xml:space="preserve"> </w:t>
      </w:r>
      <w:r w:rsidR="00931534">
        <w:rPr>
          <w:lang w:val="en-ZA"/>
        </w:rPr>
        <w:tab/>
      </w:r>
      <w:proofErr w:type="spellStart"/>
      <w:r w:rsidR="00931534" w:rsidRPr="00F31165">
        <w:rPr>
          <w:i/>
          <w:iCs/>
          <w:lang w:val="en-ZA"/>
        </w:rPr>
        <w:t>Kubyana</w:t>
      </w:r>
      <w:proofErr w:type="spellEnd"/>
      <w:r w:rsidR="00931534" w:rsidRPr="00F31165">
        <w:rPr>
          <w:i/>
          <w:iCs/>
          <w:lang w:val="en-ZA"/>
        </w:rPr>
        <w:t xml:space="preserve"> v Standard Bank of South Africa</w:t>
      </w:r>
      <w:r w:rsidR="00931534">
        <w:rPr>
          <w:lang w:val="en-ZA"/>
        </w:rPr>
        <w:t xml:space="preserve"> 2014 (3) SA 56 (CC) </w:t>
      </w:r>
    </w:p>
  </w:footnote>
  <w:footnote w:id="15">
    <w:p w14:paraId="5936AC0F" w14:textId="6B6D6401" w:rsidR="00B62DB4" w:rsidRPr="00425454" w:rsidRDefault="00B62DB4">
      <w:pPr>
        <w:pStyle w:val="FootnoteText"/>
        <w:rPr>
          <w:lang w:val="en-US"/>
        </w:rPr>
      </w:pPr>
      <w:r>
        <w:rPr>
          <w:rStyle w:val="FootnoteReference"/>
        </w:rPr>
        <w:footnoteRef/>
      </w:r>
      <w:r>
        <w:t xml:space="preserve"> </w:t>
      </w:r>
      <w:r>
        <w:rPr>
          <w:lang w:val="en-US"/>
        </w:rPr>
        <w:tab/>
      </w:r>
      <w:r>
        <w:rPr>
          <w:i/>
          <w:lang w:val="en-US"/>
        </w:rPr>
        <w:t>Sodo v Chairman, African National Congress, Umtata Region</w:t>
      </w:r>
      <w:r>
        <w:rPr>
          <w:lang w:val="en-US"/>
        </w:rPr>
        <w:t xml:space="preserve"> [1998] 1 All SA 45 (Tk)</w:t>
      </w:r>
    </w:p>
  </w:footnote>
  <w:footnote w:id="16">
    <w:p w14:paraId="1A365AE9" w14:textId="2F7E9BD9" w:rsidR="00B62DB4" w:rsidRPr="00425454" w:rsidRDefault="00B62DB4">
      <w:pPr>
        <w:pStyle w:val="FootnoteText"/>
        <w:rPr>
          <w:lang w:val="en-US"/>
        </w:rPr>
      </w:pPr>
      <w:r>
        <w:rPr>
          <w:rStyle w:val="FootnoteReference"/>
        </w:rPr>
        <w:footnoteRef/>
      </w:r>
      <w:r>
        <w:t xml:space="preserve"> </w:t>
      </w:r>
      <w:r>
        <w:rPr>
          <w:lang w:val="en-US"/>
        </w:rPr>
        <w:tab/>
      </w:r>
      <w:r>
        <w:rPr>
          <w:i/>
          <w:lang w:val="en-US"/>
        </w:rPr>
        <w:t>Mann v Sidney Hunt Motors (Pty) Ltd</w:t>
      </w:r>
      <w:r>
        <w:rPr>
          <w:lang w:val="en-US"/>
        </w:rPr>
        <w:t xml:space="preserve"> 1958 (2) SA 102 (G)</w:t>
      </w:r>
    </w:p>
  </w:footnote>
  <w:footnote w:id="17">
    <w:p w14:paraId="58CA82CB" w14:textId="0361928B" w:rsidR="00B62DB4" w:rsidRPr="00425454" w:rsidRDefault="00B62DB4">
      <w:pPr>
        <w:pStyle w:val="FootnoteText"/>
        <w:rPr>
          <w:lang w:val="en-US"/>
        </w:rPr>
      </w:pPr>
      <w:r>
        <w:rPr>
          <w:rStyle w:val="FootnoteReference"/>
        </w:rPr>
        <w:footnoteRef/>
      </w:r>
      <w:r>
        <w:t xml:space="preserve"> </w:t>
      </w:r>
      <w:r>
        <w:rPr>
          <w:lang w:val="en-US"/>
        </w:rPr>
        <w:tab/>
      </w:r>
      <w:r>
        <w:rPr>
          <w:i/>
          <w:lang w:val="en-US"/>
        </w:rPr>
        <w:t xml:space="preserve">Oriental Products (Pty) Ltd v </w:t>
      </w:r>
      <w:proofErr w:type="spellStart"/>
      <w:r>
        <w:rPr>
          <w:i/>
          <w:lang w:val="en-US"/>
        </w:rPr>
        <w:t>Pegma</w:t>
      </w:r>
      <w:proofErr w:type="spellEnd"/>
      <w:r>
        <w:rPr>
          <w:i/>
          <w:lang w:val="en-US"/>
        </w:rPr>
        <w:t xml:space="preserve"> 178 Investments Trading CC</w:t>
      </w:r>
      <w:r>
        <w:rPr>
          <w:lang w:val="en-US"/>
        </w:rPr>
        <w:t xml:space="preserve"> 2011 (2) SA 508 (SCA), at para [31]</w:t>
      </w:r>
    </w:p>
  </w:footnote>
  <w:footnote w:id="18">
    <w:p w14:paraId="130DBC86" w14:textId="77777777" w:rsidR="00E9410D" w:rsidRPr="007C5309" w:rsidRDefault="00E9410D" w:rsidP="00F24DD0">
      <w:pPr>
        <w:pStyle w:val="FootnoteText"/>
        <w:tabs>
          <w:tab w:val="left" w:pos="426"/>
        </w:tabs>
        <w:ind w:left="426" w:hanging="426"/>
        <w:rPr>
          <w:lang w:val="en-ZA"/>
        </w:rPr>
      </w:pPr>
      <w:r w:rsidRPr="007C5309">
        <w:rPr>
          <w:rStyle w:val="FootnoteReference"/>
        </w:rPr>
        <w:footnoteRef/>
      </w:r>
      <w:r w:rsidRPr="007C5309">
        <w:t xml:space="preserve"> </w:t>
      </w:r>
      <w:r w:rsidRPr="007C5309">
        <w:rPr>
          <w:lang w:val="en-ZA"/>
        </w:rPr>
        <w:tab/>
        <w:t>Act 10 of 2013</w:t>
      </w:r>
    </w:p>
  </w:footnote>
  <w:footnote w:id="19">
    <w:p w14:paraId="18278621" w14:textId="4BB36B5D" w:rsidR="00A531E2" w:rsidRPr="007C5309" w:rsidRDefault="00A531E2" w:rsidP="00F24DD0">
      <w:pPr>
        <w:tabs>
          <w:tab w:val="left" w:pos="426"/>
          <w:tab w:val="right" w:pos="8280"/>
        </w:tabs>
        <w:ind w:left="426" w:hanging="426"/>
        <w:jc w:val="both"/>
        <w:rPr>
          <w:b/>
          <w:lang w:val="en-ZA"/>
        </w:rPr>
      </w:pPr>
      <w:r w:rsidRPr="00F24DD0">
        <w:rPr>
          <w:rStyle w:val="FootnoteReference"/>
          <w:sz w:val="20"/>
          <w:szCs w:val="20"/>
          <w:u w:val="none"/>
        </w:rPr>
        <w:footnoteRef/>
      </w:r>
      <w:r w:rsidR="0000502A">
        <w:rPr>
          <w:bCs/>
          <w:i/>
          <w:iCs/>
          <w:color w:val="202122"/>
          <w:sz w:val="20"/>
          <w:szCs w:val="20"/>
          <w:u w:val="none"/>
          <w:shd w:val="clear" w:color="auto" w:fill="FFFFFF"/>
        </w:rPr>
        <w:t>.</w:t>
      </w:r>
      <w:r w:rsidR="00F24DD0">
        <w:rPr>
          <w:bCs/>
          <w:i/>
          <w:iCs/>
          <w:color w:val="202122"/>
          <w:sz w:val="20"/>
          <w:szCs w:val="20"/>
          <w:u w:val="none"/>
          <w:shd w:val="clear" w:color="auto" w:fill="FFFFFF"/>
        </w:rPr>
        <w:tab/>
      </w:r>
      <w:r w:rsidR="0000502A" w:rsidRPr="0000502A">
        <w:rPr>
          <w:bCs/>
          <w:i/>
          <w:iCs/>
          <w:color w:val="202122"/>
          <w:sz w:val="20"/>
          <w:szCs w:val="20"/>
          <w:u w:val="none"/>
          <w:shd w:val="clear" w:color="auto" w:fill="FFFFFF"/>
        </w:rPr>
        <w:t>Supreme Diamonds (Pty) Ltd v Du Bois</w:t>
      </w:r>
      <w:r w:rsidR="00F24DD0">
        <w:rPr>
          <w:bCs/>
          <w:i/>
          <w:iCs/>
          <w:color w:val="202122"/>
          <w:sz w:val="20"/>
          <w:szCs w:val="20"/>
          <w:u w:val="none"/>
          <w:shd w:val="clear" w:color="auto" w:fill="FFFFFF"/>
        </w:rPr>
        <w:t xml:space="preserve"> </w:t>
      </w:r>
      <w:r w:rsidR="0000502A" w:rsidRPr="0000502A">
        <w:rPr>
          <w:sz w:val="20"/>
          <w:szCs w:val="20"/>
          <w:u w:val="none"/>
          <w:lang w:val="en-ZA"/>
        </w:rPr>
        <w:t>1979 (3) SA 444 (W).</w:t>
      </w:r>
    </w:p>
  </w:footnote>
  <w:footnote w:id="20">
    <w:p w14:paraId="46EF364B" w14:textId="569A0866" w:rsidR="007932EE" w:rsidRPr="007932EE" w:rsidRDefault="007932EE">
      <w:pPr>
        <w:pStyle w:val="FootnoteText"/>
        <w:rPr>
          <w:lang w:val="en-ZA"/>
        </w:rPr>
      </w:pPr>
      <w:r>
        <w:rPr>
          <w:rStyle w:val="FootnoteReference"/>
        </w:rPr>
        <w:footnoteRef/>
      </w:r>
      <w:r>
        <w:t xml:space="preserve"> </w:t>
      </w:r>
      <w:r w:rsidR="0048181E">
        <w:tab/>
      </w:r>
      <w:r w:rsidR="00843C43">
        <w:t xml:space="preserve"> The </w:t>
      </w:r>
      <w:r w:rsidR="00844819">
        <w:t>C</w:t>
      </w:r>
      <w:r w:rsidR="00843C43">
        <w:t xml:space="preserve">onstitutional </w:t>
      </w:r>
      <w:r w:rsidR="00844819">
        <w:t>C</w:t>
      </w:r>
      <w:r w:rsidR="00843C43">
        <w:t>ourt has</w:t>
      </w:r>
      <w:r w:rsidR="00F2120F">
        <w:t xml:space="preserve"> in the dec</w:t>
      </w:r>
      <w:r w:rsidR="00EC025B">
        <w:t>i</w:t>
      </w:r>
      <w:r w:rsidR="00F2120F">
        <w:t xml:space="preserve">sions of </w:t>
      </w:r>
      <w:r w:rsidR="00F2120F" w:rsidRPr="00EC025B">
        <w:rPr>
          <w:i/>
          <w:iCs/>
        </w:rPr>
        <w:t>Sebola &amp; another v Standard Bank of So</w:t>
      </w:r>
      <w:r w:rsidR="00EC025B">
        <w:rPr>
          <w:i/>
          <w:iCs/>
        </w:rPr>
        <w:t>u</w:t>
      </w:r>
      <w:r w:rsidR="00F2120F" w:rsidRPr="00EC025B">
        <w:rPr>
          <w:i/>
          <w:iCs/>
        </w:rPr>
        <w:t xml:space="preserve">th Africa </w:t>
      </w:r>
      <w:r w:rsidR="00EC025B" w:rsidRPr="00EC025B">
        <w:rPr>
          <w:i/>
          <w:iCs/>
        </w:rPr>
        <w:t>&amp; another</w:t>
      </w:r>
      <w:r w:rsidR="00EC025B">
        <w:t xml:space="preserve"> 2012(5) SA 142 </w:t>
      </w:r>
      <w:proofErr w:type="gramStart"/>
      <w:r w:rsidR="00EC025B">
        <w:t>( CC</w:t>
      </w:r>
      <w:proofErr w:type="gramEnd"/>
      <w:r w:rsidR="00EC025B">
        <w:t xml:space="preserve">) and </w:t>
      </w:r>
      <w:proofErr w:type="spellStart"/>
      <w:r w:rsidR="00EC025B" w:rsidRPr="00EC025B">
        <w:rPr>
          <w:i/>
          <w:iCs/>
        </w:rPr>
        <w:t>Kubyana</w:t>
      </w:r>
      <w:proofErr w:type="spellEnd"/>
      <w:r w:rsidR="00EC025B" w:rsidRPr="00EC025B">
        <w:rPr>
          <w:i/>
          <w:iCs/>
        </w:rPr>
        <w:t xml:space="preserve"> v Standard Bank of South Africa Ltd</w:t>
      </w:r>
      <w:r w:rsidR="00EC025B">
        <w:t xml:space="preserve">  2014 ( 4) </w:t>
      </w:r>
      <w:r w:rsidR="00353F70">
        <w:t>BCLR 400 (CC)</w:t>
      </w:r>
      <w:r w:rsidR="00843C43">
        <w:t xml:space="preserve"> </w:t>
      </w:r>
      <w:r w:rsidR="00D221FE">
        <w:t>considered the j</w:t>
      </w:r>
      <w:r w:rsidR="0048181E">
        <w:t xml:space="preserve">udicial oversight </w:t>
      </w:r>
      <w:r w:rsidR="00D221FE">
        <w:t xml:space="preserve">role </w:t>
      </w:r>
      <w:r w:rsidR="00844819">
        <w:t xml:space="preserve">given to the court under  the National Credit Act </w:t>
      </w:r>
    </w:p>
  </w:footnote>
  <w:footnote w:id="21">
    <w:p w14:paraId="23BD7A37" w14:textId="27B48BDD" w:rsidR="007C7104" w:rsidRPr="007C7104" w:rsidRDefault="007C7104" w:rsidP="00F24DD0">
      <w:pPr>
        <w:pStyle w:val="FootnoteText"/>
        <w:tabs>
          <w:tab w:val="left" w:pos="426"/>
        </w:tabs>
        <w:ind w:left="426" w:hanging="426"/>
        <w:rPr>
          <w:lang w:val="en-ZA"/>
        </w:rPr>
      </w:pPr>
      <w:r>
        <w:rPr>
          <w:rStyle w:val="FootnoteReference"/>
        </w:rPr>
        <w:footnoteRef/>
      </w:r>
      <w:r>
        <w:t xml:space="preserve"> </w:t>
      </w:r>
      <w:r>
        <w:rPr>
          <w:lang w:val="en-ZA"/>
        </w:rPr>
        <w:tab/>
        <w:t xml:space="preserve">2016 (4) </w:t>
      </w:r>
      <w:r w:rsidR="006207D4">
        <w:rPr>
          <w:lang w:val="en-ZA"/>
        </w:rPr>
        <w:t xml:space="preserve">SA 257 (CC) </w:t>
      </w:r>
    </w:p>
  </w:footnote>
  <w:footnote w:id="22">
    <w:p w14:paraId="3197F523" w14:textId="667A7051" w:rsidR="005B4FFA" w:rsidRPr="005B4FFA" w:rsidRDefault="005B4FFA">
      <w:pPr>
        <w:pStyle w:val="FootnoteText"/>
        <w:rPr>
          <w:lang w:val="en-ZA"/>
        </w:rPr>
      </w:pPr>
      <w:r>
        <w:rPr>
          <w:rStyle w:val="FootnoteReference"/>
        </w:rPr>
        <w:footnoteRef/>
      </w:r>
      <w:r>
        <w:t xml:space="preserve"> </w:t>
      </w:r>
      <w:r>
        <w:rPr>
          <w:lang w:val="en-ZA"/>
        </w:rPr>
        <w:tab/>
      </w:r>
      <w:proofErr w:type="spellStart"/>
      <w:r w:rsidR="00E40ECA">
        <w:rPr>
          <w:lang w:val="en-ZA"/>
        </w:rPr>
        <w:t>Mollentze</w:t>
      </w:r>
      <w:proofErr w:type="spellEnd"/>
      <w:r w:rsidR="00E40ECA">
        <w:rPr>
          <w:lang w:val="en-ZA"/>
        </w:rPr>
        <w:t xml:space="preserve"> decision @ para [38}</w:t>
      </w:r>
    </w:p>
  </w:footnote>
  <w:footnote w:id="23">
    <w:p w14:paraId="1761EF26" w14:textId="7AEA5F7E" w:rsidR="00E40ECA" w:rsidRPr="00E40ECA" w:rsidRDefault="00E40ECA">
      <w:pPr>
        <w:pStyle w:val="FootnoteText"/>
        <w:rPr>
          <w:lang w:val="en-ZA"/>
        </w:rPr>
      </w:pPr>
      <w:r>
        <w:rPr>
          <w:rStyle w:val="FootnoteReference"/>
        </w:rPr>
        <w:footnoteRef/>
      </w:r>
      <w:r>
        <w:t xml:space="preserve"> </w:t>
      </w:r>
      <w:r>
        <w:rPr>
          <w:lang w:val="en-ZA"/>
        </w:rPr>
        <w:tab/>
        <w:t xml:space="preserve">Ibid @ para [ </w:t>
      </w:r>
      <w:r w:rsidR="008C705C">
        <w:rPr>
          <w:lang w:val="en-ZA"/>
        </w:rPr>
        <w:t>60]</w:t>
      </w:r>
    </w:p>
  </w:footnote>
  <w:footnote w:id="24">
    <w:p w14:paraId="123CC193" w14:textId="2A01CC7E" w:rsidR="00180C99" w:rsidRPr="00180C99" w:rsidRDefault="00180C99">
      <w:pPr>
        <w:pStyle w:val="FootnoteText"/>
        <w:rPr>
          <w:lang w:val="en-ZA"/>
        </w:rPr>
      </w:pPr>
      <w:r>
        <w:rPr>
          <w:rStyle w:val="FootnoteReference"/>
        </w:rPr>
        <w:footnoteRef/>
      </w:r>
      <w:r>
        <w:t xml:space="preserve"> </w:t>
      </w:r>
      <w:r>
        <w:rPr>
          <w:lang w:val="en-ZA"/>
        </w:rPr>
        <w:tab/>
        <w:t>Ibid @</w:t>
      </w:r>
      <w:r w:rsidR="00B533FB">
        <w:rPr>
          <w:lang w:val="en-ZA"/>
        </w:rPr>
        <w:t>para [186]</w:t>
      </w:r>
    </w:p>
  </w:footnote>
  <w:footnote w:id="25">
    <w:p w14:paraId="5220E730" w14:textId="7C4B60F0" w:rsidR="00D40328" w:rsidRPr="00D40328" w:rsidRDefault="00D40328">
      <w:pPr>
        <w:pStyle w:val="FootnoteText"/>
        <w:rPr>
          <w:lang w:val="en-ZA"/>
        </w:rPr>
      </w:pPr>
      <w:r>
        <w:rPr>
          <w:rStyle w:val="FootnoteReference"/>
        </w:rPr>
        <w:footnoteRef/>
      </w:r>
      <w:r>
        <w:t xml:space="preserve"> </w:t>
      </w:r>
      <w:r>
        <w:rPr>
          <w:lang w:val="en-ZA"/>
        </w:rPr>
        <w:tab/>
        <w:t xml:space="preserve">Ibid@ para </w:t>
      </w:r>
      <w:r w:rsidR="00FF4ED9">
        <w:rPr>
          <w:lang w:val="en-ZA"/>
        </w:rPr>
        <w:t>[187]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5374268"/>
      <w:docPartObj>
        <w:docPartGallery w:val="Page Numbers (Top of Page)"/>
        <w:docPartUnique/>
      </w:docPartObj>
    </w:sdtPr>
    <w:sdtEndPr>
      <w:rPr>
        <w:noProof/>
        <w:u w:val="none"/>
      </w:rPr>
    </w:sdtEndPr>
    <w:sdtContent>
      <w:p w14:paraId="33DD1918" w14:textId="047AC50F" w:rsidR="0096642E" w:rsidRDefault="0096642E">
        <w:pPr>
          <w:pStyle w:val="Header"/>
          <w:jc w:val="right"/>
          <w:rPr>
            <w:noProof/>
            <w:u w:val="none"/>
          </w:rPr>
        </w:pPr>
        <w:r w:rsidRPr="0096642E">
          <w:rPr>
            <w:u w:val="none"/>
          </w:rPr>
          <w:fldChar w:fldCharType="begin"/>
        </w:r>
        <w:r w:rsidRPr="0096642E">
          <w:rPr>
            <w:u w:val="none"/>
          </w:rPr>
          <w:instrText xml:space="preserve"> PAGE   \* MERGEFORMAT </w:instrText>
        </w:r>
        <w:r w:rsidRPr="0096642E">
          <w:rPr>
            <w:u w:val="none"/>
          </w:rPr>
          <w:fldChar w:fldCharType="separate"/>
        </w:r>
        <w:r w:rsidR="00B93DA0">
          <w:rPr>
            <w:noProof/>
            <w:u w:val="none"/>
          </w:rPr>
          <w:t>4</w:t>
        </w:r>
        <w:r w:rsidRPr="0096642E">
          <w:rPr>
            <w:noProof/>
            <w:u w:val="none"/>
          </w:rPr>
          <w:fldChar w:fldCharType="end"/>
        </w:r>
      </w:p>
      <w:p w14:paraId="44187E57" w14:textId="77777777" w:rsidR="0096642E" w:rsidRDefault="0096642E">
        <w:pPr>
          <w:pStyle w:val="Header"/>
          <w:jc w:val="right"/>
          <w:rPr>
            <w:noProof/>
            <w:u w:val="none"/>
          </w:rPr>
        </w:pPr>
      </w:p>
      <w:p w14:paraId="7AB3BA86" w14:textId="77777777" w:rsidR="0096642E" w:rsidRPr="0096642E" w:rsidRDefault="00000000">
        <w:pPr>
          <w:pStyle w:val="Header"/>
          <w:jc w:val="right"/>
          <w:rPr>
            <w:u w:val="none"/>
          </w:rPr>
        </w:pPr>
      </w:p>
    </w:sdtContent>
  </w:sdt>
  <w:p w14:paraId="5C07AE99" w14:textId="77777777" w:rsidR="0096642E" w:rsidRDefault="009664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BDC2C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8ED0E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C740EA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AFE8D8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9032C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3DABE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FC5E7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501BD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58AC9E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F3CFF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1" w15:restartNumberingAfterBreak="0">
    <w:nsid w:val="45B91F08"/>
    <w:multiLevelType w:val="multilevel"/>
    <w:tmpl w:val="48E4E6B6"/>
    <w:lvl w:ilvl="0">
      <w:start w:val="1"/>
      <w:numFmt w:val="decimal"/>
      <w:lvlText w:val="[%1]"/>
      <w:lvlJc w:val="left"/>
      <w:pPr>
        <w:tabs>
          <w:tab w:val="num" w:pos="851"/>
        </w:tabs>
        <w:ind w:left="851" w:hanging="851"/>
      </w:pPr>
      <w:rPr>
        <w:rFonts w:hint="default"/>
        <w:color w:val="auto"/>
        <w:sz w:val="24"/>
        <w:szCs w:val="24"/>
      </w:rPr>
    </w:lvl>
    <w:lvl w:ilvl="1">
      <w:start w:val="1"/>
      <w:numFmt w:val="decimal"/>
      <w:lvlText w:val="%1.%2"/>
      <w:lvlJc w:val="left"/>
      <w:pPr>
        <w:tabs>
          <w:tab w:val="num" w:pos="851"/>
        </w:tabs>
        <w:ind w:left="1701" w:hanging="850"/>
      </w:pPr>
      <w:rPr>
        <w:rFonts w:hint="default"/>
      </w:rPr>
    </w:lvl>
    <w:lvl w:ilvl="2">
      <w:start w:val="1"/>
      <w:numFmt w:val="decimal"/>
      <w:lvlText w:val="%1.%2.%3."/>
      <w:lvlJc w:val="left"/>
      <w:pPr>
        <w:ind w:left="2552"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967814581">
    <w:abstractNumId w:val="10"/>
  </w:num>
  <w:num w:numId="2" w16cid:durableId="212691157">
    <w:abstractNumId w:val="11"/>
  </w:num>
  <w:num w:numId="3" w16cid:durableId="43070704">
    <w:abstractNumId w:val="9"/>
  </w:num>
  <w:num w:numId="4" w16cid:durableId="1726295218">
    <w:abstractNumId w:val="7"/>
  </w:num>
  <w:num w:numId="5" w16cid:durableId="2091779105">
    <w:abstractNumId w:val="6"/>
  </w:num>
  <w:num w:numId="6" w16cid:durableId="556818124">
    <w:abstractNumId w:val="5"/>
  </w:num>
  <w:num w:numId="7" w16cid:durableId="607542335">
    <w:abstractNumId w:val="4"/>
  </w:num>
  <w:num w:numId="8" w16cid:durableId="1402214207">
    <w:abstractNumId w:val="8"/>
  </w:num>
  <w:num w:numId="9" w16cid:durableId="1372997144">
    <w:abstractNumId w:val="3"/>
  </w:num>
  <w:num w:numId="10" w16cid:durableId="1063138478">
    <w:abstractNumId w:val="2"/>
  </w:num>
  <w:num w:numId="11" w16cid:durableId="99954826">
    <w:abstractNumId w:val="1"/>
  </w:num>
  <w:num w:numId="12" w16cid:durableId="20531134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sDAwNDc0MTU3MzYzNbNQ0lEKTi0uzszPAykwrgUAVgGJhCwAAAA="/>
    <w:docVar w:name="dgnword-docGUID" w:val="{9B1320FE-8BEE-4875-A45A-22B4758E946E}"/>
    <w:docVar w:name="dgnword-eventsink" w:val="1991179737936"/>
  </w:docVars>
  <w:rsids>
    <w:rsidRoot w:val="002F4398"/>
    <w:rsid w:val="00002B8E"/>
    <w:rsid w:val="0000502A"/>
    <w:rsid w:val="00015944"/>
    <w:rsid w:val="00026005"/>
    <w:rsid w:val="00032C10"/>
    <w:rsid w:val="0004138E"/>
    <w:rsid w:val="000426FC"/>
    <w:rsid w:val="00043719"/>
    <w:rsid w:val="00043DD8"/>
    <w:rsid w:val="00050270"/>
    <w:rsid w:val="00064544"/>
    <w:rsid w:val="00073337"/>
    <w:rsid w:val="00087992"/>
    <w:rsid w:val="000910D7"/>
    <w:rsid w:val="00097802"/>
    <w:rsid w:val="000A17E8"/>
    <w:rsid w:val="000A1E83"/>
    <w:rsid w:val="000A2B3E"/>
    <w:rsid w:val="000A6AC2"/>
    <w:rsid w:val="000B1A9C"/>
    <w:rsid w:val="000B3F14"/>
    <w:rsid w:val="000B47B1"/>
    <w:rsid w:val="000C3803"/>
    <w:rsid w:val="000C6B8C"/>
    <w:rsid w:val="000D4B7E"/>
    <w:rsid w:val="000E04E8"/>
    <w:rsid w:val="000E385D"/>
    <w:rsid w:val="000F0735"/>
    <w:rsid w:val="001003DD"/>
    <w:rsid w:val="00100A30"/>
    <w:rsid w:val="001127A7"/>
    <w:rsid w:val="00113715"/>
    <w:rsid w:val="00114F2A"/>
    <w:rsid w:val="0011786F"/>
    <w:rsid w:val="00120782"/>
    <w:rsid w:val="001217DC"/>
    <w:rsid w:val="0012632C"/>
    <w:rsid w:val="00142098"/>
    <w:rsid w:val="00143085"/>
    <w:rsid w:val="00150F7F"/>
    <w:rsid w:val="00153A7A"/>
    <w:rsid w:val="00166620"/>
    <w:rsid w:val="00180C99"/>
    <w:rsid w:val="00185218"/>
    <w:rsid w:val="00185E76"/>
    <w:rsid w:val="00190BDB"/>
    <w:rsid w:val="001A7DBC"/>
    <w:rsid w:val="001B0CDD"/>
    <w:rsid w:val="001B1F3A"/>
    <w:rsid w:val="001B61B0"/>
    <w:rsid w:val="001C0D37"/>
    <w:rsid w:val="001C0D79"/>
    <w:rsid w:val="001C105F"/>
    <w:rsid w:val="001C47CA"/>
    <w:rsid w:val="001C59B9"/>
    <w:rsid w:val="001D41AF"/>
    <w:rsid w:val="001D674F"/>
    <w:rsid w:val="001D7C12"/>
    <w:rsid w:val="001E0509"/>
    <w:rsid w:val="001E0722"/>
    <w:rsid w:val="001E288B"/>
    <w:rsid w:val="001F27D6"/>
    <w:rsid w:val="001F2CAD"/>
    <w:rsid w:val="001F7BCC"/>
    <w:rsid w:val="00203E98"/>
    <w:rsid w:val="0020542B"/>
    <w:rsid w:val="002100D2"/>
    <w:rsid w:val="00220B99"/>
    <w:rsid w:val="00226E10"/>
    <w:rsid w:val="00231117"/>
    <w:rsid w:val="00237BA1"/>
    <w:rsid w:val="00253094"/>
    <w:rsid w:val="0025718E"/>
    <w:rsid w:val="00261139"/>
    <w:rsid w:val="00263186"/>
    <w:rsid w:val="00264A15"/>
    <w:rsid w:val="0027198D"/>
    <w:rsid w:val="00274095"/>
    <w:rsid w:val="00281084"/>
    <w:rsid w:val="002944AD"/>
    <w:rsid w:val="002A1C1A"/>
    <w:rsid w:val="002A212D"/>
    <w:rsid w:val="002A692A"/>
    <w:rsid w:val="002B14F5"/>
    <w:rsid w:val="002B54AC"/>
    <w:rsid w:val="002B7BA9"/>
    <w:rsid w:val="002D3F06"/>
    <w:rsid w:val="002F4398"/>
    <w:rsid w:val="002F7702"/>
    <w:rsid w:val="00303EA9"/>
    <w:rsid w:val="00305B55"/>
    <w:rsid w:val="00306B57"/>
    <w:rsid w:val="00312719"/>
    <w:rsid w:val="00325234"/>
    <w:rsid w:val="0033242E"/>
    <w:rsid w:val="00333B52"/>
    <w:rsid w:val="003464F2"/>
    <w:rsid w:val="00352AD2"/>
    <w:rsid w:val="00353F70"/>
    <w:rsid w:val="00360707"/>
    <w:rsid w:val="00365D65"/>
    <w:rsid w:val="00372B40"/>
    <w:rsid w:val="00386906"/>
    <w:rsid w:val="0039061E"/>
    <w:rsid w:val="003B45C1"/>
    <w:rsid w:val="003C6F75"/>
    <w:rsid w:val="003D7B43"/>
    <w:rsid w:val="003F0CD4"/>
    <w:rsid w:val="003F4640"/>
    <w:rsid w:val="003F6B55"/>
    <w:rsid w:val="003F6EEB"/>
    <w:rsid w:val="0041379E"/>
    <w:rsid w:val="00415096"/>
    <w:rsid w:val="00415A9E"/>
    <w:rsid w:val="00423EB0"/>
    <w:rsid w:val="00424BD1"/>
    <w:rsid w:val="00425454"/>
    <w:rsid w:val="004312FD"/>
    <w:rsid w:val="00432458"/>
    <w:rsid w:val="004330B3"/>
    <w:rsid w:val="004331B4"/>
    <w:rsid w:val="00433352"/>
    <w:rsid w:val="00447C95"/>
    <w:rsid w:val="00447DE5"/>
    <w:rsid w:val="0046194E"/>
    <w:rsid w:val="00462F28"/>
    <w:rsid w:val="0046326C"/>
    <w:rsid w:val="00467002"/>
    <w:rsid w:val="00480251"/>
    <w:rsid w:val="0048181E"/>
    <w:rsid w:val="00481BF5"/>
    <w:rsid w:val="00486A2A"/>
    <w:rsid w:val="00490666"/>
    <w:rsid w:val="00492A4F"/>
    <w:rsid w:val="00495944"/>
    <w:rsid w:val="004A0354"/>
    <w:rsid w:val="004D2695"/>
    <w:rsid w:val="004F48E9"/>
    <w:rsid w:val="004F7D1E"/>
    <w:rsid w:val="00511378"/>
    <w:rsid w:val="00513ADC"/>
    <w:rsid w:val="00514079"/>
    <w:rsid w:val="00551625"/>
    <w:rsid w:val="00551D81"/>
    <w:rsid w:val="00552F0D"/>
    <w:rsid w:val="005531AC"/>
    <w:rsid w:val="00564879"/>
    <w:rsid w:val="00571A39"/>
    <w:rsid w:val="005760CB"/>
    <w:rsid w:val="005762D8"/>
    <w:rsid w:val="00580684"/>
    <w:rsid w:val="00582B8E"/>
    <w:rsid w:val="00590B42"/>
    <w:rsid w:val="00590EA7"/>
    <w:rsid w:val="00591818"/>
    <w:rsid w:val="00592296"/>
    <w:rsid w:val="00593AFA"/>
    <w:rsid w:val="005950C9"/>
    <w:rsid w:val="005A132C"/>
    <w:rsid w:val="005B0E61"/>
    <w:rsid w:val="005B1D90"/>
    <w:rsid w:val="005B286E"/>
    <w:rsid w:val="005B4FFA"/>
    <w:rsid w:val="005B5950"/>
    <w:rsid w:val="005B5F42"/>
    <w:rsid w:val="005B6C17"/>
    <w:rsid w:val="005C55FD"/>
    <w:rsid w:val="005D4718"/>
    <w:rsid w:val="005D508F"/>
    <w:rsid w:val="005D617D"/>
    <w:rsid w:val="005D6FEB"/>
    <w:rsid w:val="005E4167"/>
    <w:rsid w:val="005F1024"/>
    <w:rsid w:val="005F3FD9"/>
    <w:rsid w:val="005F6A1C"/>
    <w:rsid w:val="00610426"/>
    <w:rsid w:val="006118A5"/>
    <w:rsid w:val="006207D4"/>
    <w:rsid w:val="0063060D"/>
    <w:rsid w:val="006358ED"/>
    <w:rsid w:val="006410E9"/>
    <w:rsid w:val="0064347E"/>
    <w:rsid w:val="00645AC4"/>
    <w:rsid w:val="0065478B"/>
    <w:rsid w:val="006611E9"/>
    <w:rsid w:val="00662F53"/>
    <w:rsid w:val="00667037"/>
    <w:rsid w:val="006B0E4E"/>
    <w:rsid w:val="006B3579"/>
    <w:rsid w:val="006C52FE"/>
    <w:rsid w:val="006D4296"/>
    <w:rsid w:val="006D4F7D"/>
    <w:rsid w:val="006E6A85"/>
    <w:rsid w:val="006F6701"/>
    <w:rsid w:val="006F75B7"/>
    <w:rsid w:val="006F79EB"/>
    <w:rsid w:val="00704113"/>
    <w:rsid w:val="007078CD"/>
    <w:rsid w:val="00716C88"/>
    <w:rsid w:val="00725E25"/>
    <w:rsid w:val="00727709"/>
    <w:rsid w:val="00730814"/>
    <w:rsid w:val="00737D04"/>
    <w:rsid w:val="0074131C"/>
    <w:rsid w:val="0075741F"/>
    <w:rsid w:val="007610F3"/>
    <w:rsid w:val="007640EC"/>
    <w:rsid w:val="00781D3A"/>
    <w:rsid w:val="00787209"/>
    <w:rsid w:val="007925DE"/>
    <w:rsid w:val="007932EE"/>
    <w:rsid w:val="007A25E1"/>
    <w:rsid w:val="007A3B10"/>
    <w:rsid w:val="007A6367"/>
    <w:rsid w:val="007A6992"/>
    <w:rsid w:val="007A73AA"/>
    <w:rsid w:val="007B0B23"/>
    <w:rsid w:val="007B0EFE"/>
    <w:rsid w:val="007C5309"/>
    <w:rsid w:val="007C7104"/>
    <w:rsid w:val="007D235D"/>
    <w:rsid w:val="007D3506"/>
    <w:rsid w:val="007E5F84"/>
    <w:rsid w:val="007E6665"/>
    <w:rsid w:val="007F1961"/>
    <w:rsid w:val="007F2841"/>
    <w:rsid w:val="00802C34"/>
    <w:rsid w:val="00807FCE"/>
    <w:rsid w:val="0081735E"/>
    <w:rsid w:val="0083052B"/>
    <w:rsid w:val="008437B8"/>
    <w:rsid w:val="00843C43"/>
    <w:rsid w:val="00844819"/>
    <w:rsid w:val="00855B3E"/>
    <w:rsid w:val="008576F9"/>
    <w:rsid w:val="00857729"/>
    <w:rsid w:val="008828A1"/>
    <w:rsid w:val="008839A4"/>
    <w:rsid w:val="008908C5"/>
    <w:rsid w:val="00892A90"/>
    <w:rsid w:val="008A3B8B"/>
    <w:rsid w:val="008B7ACD"/>
    <w:rsid w:val="008C1130"/>
    <w:rsid w:val="008C1D08"/>
    <w:rsid w:val="008C31E0"/>
    <w:rsid w:val="008C705C"/>
    <w:rsid w:val="008D2D87"/>
    <w:rsid w:val="008D7199"/>
    <w:rsid w:val="008E48E0"/>
    <w:rsid w:val="008E60DD"/>
    <w:rsid w:val="009023F2"/>
    <w:rsid w:val="00903762"/>
    <w:rsid w:val="00906E27"/>
    <w:rsid w:val="00911648"/>
    <w:rsid w:val="00911E80"/>
    <w:rsid w:val="009121FC"/>
    <w:rsid w:val="00916439"/>
    <w:rsid w:val="00923AA6"/>
    <w:rsid w:val="00931534"/>
    <w:rsid w:val="0093181A"/>
    <w:rsid w:val="009318A2"/>
    <w:rsid w:val="009509DB"/>
    <w:rsid w:val="00957BE7"/>
    <w:rsid w:val="00957EC8"/>
    <w:rsid w:val="00960F20"/>
    <w:rsid w:val="00962671"/>
    <w:rsid w:val="0096642E"/>
    <w:rsid w:val="00971023"/>
    <w:rsid w:val="009828B8"/>
    <w:rsid w:val="00987281"/>
    <w:rsid w:val="0099055A"/>
    <w:rsid w:val="00997325"/>
    <w:rsid w:val="009A28B5"/>
    <w:rsid w:val="009B169A"/>
    <w:rsid w:val="009B53AD"/>
    <w:rsid w:val="009C0A30"/>
    <w:rsid w:val="009D202E"/>
    <w:rsid w:val="009D2AFC"/>
    <w:rsid w:val="009D311C"/>
    <w:rsid w:val="009E0504"/>
    <w:rsid w:val="009E1740"/>
    <w:rsid w:val="009E1A4E"/>
    <w:rsid w:val="009E3C14"/>
    <w:rsid w:val="009F00FB"/>
    <w:rsid w:val="00A028A8"/>
    <w:rsid w:val="00A04014"/>
    <w:rsid w:val="00A11793"/>
    <w:rsid w:val="00A140D4"/>
    <w:rsid w:val="00A142C3"/>
    <w:rsid w:val="00A314D2"/>
    <w:rsid w:val="00A33895"/>
    <w:rsid w:val="00A4098F"/>
    <w:rsid w:val="00A427C6"/>
    <w:rsid w:val="00A531E2"/>
    <w:rsid w:val="00A60D19"/>
    <w:rsid w:val="00A74F99"/>
    <w:rsid w:val="00A76A1D"/>
    <w:rsid w:val="00A8646E"/>
    <w:rsid w:val="00A9079D"/>
    <w:rsid w:val="00A917A7"/>
    <w:rsid w:val="00A94AE4"/>
    <w:rsid w:val="00A96ADD"/>
    <w:rsid w:val="00AA2D4A"/>
    <w:rsid w:val="00AA33B5"/>
    <w:rsid w:val="00AB063B"/>
    <w:rsid w:val="00AB117B"/>
    <w:rsid w:val="00AB2152"/>
    <w:rsid w:val="00AB73BF"/>
    <w:rsid w:val="00AB75F4"/>
    <w:rsid w:val="00AC08AF"/>
    <w:rsid w:val="00AC61E2"/>
    <w:rsid w:val="00AC759B"/>
    <w:rsid w:val="00AD11C2"/>
    <w:rsid w:val="00AD51B2"/>
    <w:rsid w:val="00AD5F16"/>
    <w:rsid w:val="00AD64CC"/>
    <w:rsid w:val="00AF5266"/>
    <w:rsid w:val="00B013D7"/>
    <w:rsid w:val="00B10704"/>
    <w:rsid w:val="00B1555C"/>
    <w:rsid w:val="00B3235B"/>
    <w:rsid w:val="00B4001E"/>
    <w:rsid w:val="00B42CF3"/>
    <w:rsid w:val="00B431B8"/>
    <w:rsid w:val="00B533FB"/>
    <w:rsid w:val="00B551EA"/>
    <w:rsid w:val="00B62DB4"/>
    <w:rsid w:val="00B66CC0"/>
    <w:rsid w:val="00B828F4"/>
    <w:rsid w:val="00B8563F"/>
    <w:rsid w:val="00B93DA0"/>
    <w:rsid w:val="00BA3D4B"/>
    <w:rsid w:val="00BA46BE"/>
    <w:rsid w:val="00BA68EA"/>
    <w:rsid w:val="00BC0C88"/>
    <w:rsid w:val="00BC23DB"/>
    <w:rsid w:val="00BC4F1C"/>
    <w:rsid w:val="00BD1EF7"/>
    <w:rsid w:val="00BD4783"/>
    <w:rsid w:val="00BD4A8B"/>
    <w:rsid w:val="00BD776A"/>
    <w:rsid w:val="00BE40CB"/>
    <w:rsid w:val="00BE6015"/>
    <w:rsid w:val="00BE672E"/>
    <w:rsid w:val="00BE734E"/>
    <w:rsid w:val="00BF0E00"/>
    <w:rsid w:val="00BF4EB7"/>
    <w:rsid w:val="00C00E1E"/>
    <w:rsid w:val="00C01737"/>
    <w:rsid w:val="00C03096"/>
    <w:rsid w:val="00C10018"/>
    <w:rsid w:val="00C11A93"/>
    <w:rsid w:val="00C140A4"/>
    <w:rsid w:val="00C16CC9"/>
    <w:rsid w:val="00C17F5C"/>
    <w:rsid w:val="00C22C7B"/>
    <w:rsid w:val="00C301ED"/>
    <w:rsid w:val="00C40D24"/>
    <w:rsid w:val="00C4498F"/>
    <w:rsid w:val="00C44F41"/>
    <w:rsid w:val="00C51258"/>
    <w:rsid w:val="00C7196E"/>
    <w:rsid w:val="00C83025"/>
    <w:rsid w:val="00CA4208"/>
    <w:rsid w:val="00CA44EE"/>
    <w:rsid w:val="00CC00D0"/>
    <w:rsid w:val="00CD1F7A"/>
    <w:rsid w:val="00CD23CE"/>
    <w:rsid w:val="00CD4523"/>
    <w:rsid w:val="00CD6CC5"/>
    <w:rsid w:val="00CE0229"/>
    <w:rsid w:val="00CE4C3F"/>
    <w:rsid w:val="00CE7FD6"/>
    <w:rsid w:val="00CF2081"/>
    <w:rsid w:val="00CF719C"/>
    <w:rsid w:val="00D028C8"/>
    <w:rsid w:val="00D045D2"/>
    <w:rsid w:val="00D0795F"/>
    <w:rsid w:val="00D204B8"/>
    <w:rsid w:val="00D221FE"/>
    <w:rsid w:val="00D2360B"/>
    <w:rsid w:val="00D27F96"/>
    <w:rsid w:val="00D33093"/>
    <w:rsid w:val="00D34807"/>
    <w:rsid w:val="00D40328"/>
    <w:rsid w:val="00D42137"/>
    <w:rsid w:val="00D470A5"/>
    <w:rsid w:val="00D479D7"/>
    <w:rsid w:val="00D50BD1"/>
    <w:rsid w:val="00D62ACE"/>
    <w:rsid w:val="00D67B23"/>
    <w:rsid w:val="00D73572"/>
    <w:rsid w:val="00D749D9"/>
    <w:rsid w:val="00D77B49"/>
    <w:rsid w:val="00D800F9"/>
    <w:rsid w:val="00D80948"/>
    <w:rsid w:val="00D81ABD"/>
    <w:rsid w:val="00D8220C"/>
    <w:rsid w:val="00DA564D"/>
    <w:rsid w:val="00DA6021"/>
    <w:rsid w:val="00DB4FFD"/>
    <w:rsid w:val="00DC13F9"/>
    <w:rsid w:val="00DD34D4"/>
    <w:rsid w:val="00DD64C5"/>
    <w:rsid w:val="00DE113C"/>
    <w:rsid w:val="00DE13F4"/>
    <w:rsid w:val="00DE4290"/>
    <w:rsid w:val="00DF6CAD"/>
    <w:rsid w:val="00E041F8"/>
    <w:rsid w:val="00E14FCA"/>
    <w:rsid w:val="00E27807"/>
    <w:rsid w:val="00E3096C"/>
    <w:rsid w:val="00E33BD9"/>
    <w:rsid w:val="00E33FDE"/>
    <w:rsid w:val="00E40ECA"/>
    <w:rsid w:val="00E454EF"/>
    <w:rsid w:val="00E456BD"/>
    <w:rsid w:val="00E469F4"/>
    <w:rsid w:val="00E802F5"/>
    <w:rsid w:val="00E80D5C"/>
    <w:rsid w:val="00E83301"/>
    <w:rsid w:val="00E9153D"/>
    <w:rsid w:val="00E9410D"/>
    <w:rsid w:val="00E97353"/>
    <w:rsid w:val="00EA104B"/>
    <w:rsid w:val="00EA4E0C"/>
    <w:rsid w:val="00EA511E"/>
    <w:rsid w:val="00EB1A2D"/>
    <w:rsid w:val="00EB1C9E"/>
    <w:rsid w:val="00EB280D"/>
    <w:rsid w:val="00EB2D10"/>
    <w:rsid w:val="00EC025B"/>
    <w:rsid w:val="00EC25D0"/>
    <w:rsid w:val="00EC5AC3"/>
    <w:rsid w:val="00ED56E6"/>
    <w:rsid w:val="00ED62D5"/>
    <w:rsid w:val="00EE62A5"/>
    <w:rsid w:val="00EE75B4"/>
    <w:rsid w:val="00EF0038"/>
    <w:rsid w:val="00EF6F77"/>
    <w:rsid w:val="00F106FA"/>
    <w:rsid w:val="00F2120F"/>
    <w:rsid w:val="00F24DD0"/>
    <w:rsid w:val="00F27FCD"/>
    <w:rsid w:val="00F31165"/>
    <w:rsid w:val="00F35C59"/>
    <w:rsid w:val="00F4077B"/>
    <w:rsid w:val="00F416AC"/>
    <w:rsid w:val="00F42298"/>
    <w:rsid w:val="00F45DA6"/>
    <w:rsid w:val="00F55284"/>
    <w:rsid w:val="00F62B73"/>
    <w:rsid w:val="00F73679"/>
    <w:rsid w:val="00F82176"/>
    <w:rsid w:val="00F90C6C"/>
    <w:rsid w:val="00F91848"/>
    <w:rsid w:val="00F91FC3"/>
    <w:rsid w:val="00FA3AD3"/>
    <w:rsid w:val="00FA714E"/>
    <w:rsid w:val="00FB48EB"/>
    <w:rsid w:val="00FC34E9"/>
    <w:rsid w:val="00FE1DCD"/>
    <w:rsid w:val="00FF03C6"/>
    <w:rsid w:val="00FF3776"/>
    <w:rsid w:val="00FF4ED9"/>
    <w:rsid w:val="00FF6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B2BD4B"/>
  <w15:docId w15:val="{8454F829-E526-48DC-BE53-F00182EBC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3AA6"/>
    <w:rPr>
      <w:rFonts w:ascii="Arial" w:hAnsi="Arial" w:cs="Arial"/>
      <w:sz w:val="24"/>
      <w:szCs w:val="24"/>
      <w:u w:val="single"/>
      <w:lang w:val="en-GB" w:eastAsia="en-GB"/>
    </w:rPr>
  </w:style>
  <w:style w:type="paragraph" w:styleId="Heading2">
    <w:name w:val="heading 2"/>
    <w:basedOn w:val="Normal"/>
    <w:link w:val="Heading2Char"/>
    <w:uiPriority w:val="9"/>
    <w:qFormat/>
    <w:rsid w:val="007C5309"/>
    <w:pPr>
      <w:spacing w:before="100" w:beforeAutospacing="1" w:after="100" w:afterAutospacing="1"/>
      <w:outlineLvl w:val="1"/>
    </w:pPr>
    <w:rPr>
      <w:rFonts w:ascii="Times New Roman" w:hAnsi="Times New Roman" w:cs="Times New Roman"/>
      <w:b/>
      <w:bCs/>
      <w:sz w:val="36"/>
      <w:szCs w:val="36"/>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67B23"/>
    <w:pPr>
      <w:ind w:left="720"/>
      <w:contextualSpacing/>
    </w:pPr>
  </w:style>
  <w:style w:type="paragraph" w:styleId="Header">
    <w:name w:val="header"/>
    <w:basedOn w:val="Normal"/>
    <w:link w:val="HeaderChar"/>
    <w:uiPriority w:val="99"/>
    <w:rsid w:val="0096642E"/>
    <w:pPr>
      <w:tabs>
        <w:tab w:val="center" w:pos="4513"/>
        <w:tab w:val="right" w:pos="9026"/>
      </w:tabs>
    </w:pPr>
  </w:style>
  <w:style w:type="character" w:customStyle="1" w:styleId="HeaderChar">
    <w:name w:val="Header Char"/>
    <w:basedOn w:val="DefaultParagraphFont"/>
    <w:link w:val="Header"/>
    <w:uiPriority w:val="99"/>
    <w:rsid w:val="0096642E"/>
    <w:rPr>
      <w:rFonts w:ascii="Arial" w:hAnsi="Arial" w:cs="Arial"/>
      <w:sz w:val="24"/>
      <w:szCs w:val="24"/>
      <w:u w:val="single"/>
      <w:lang w:val="en-GB" w:eastAsia="en-GB"/>
    </w:rPr>
  </w:style>
  <w:style w:type="paragraph" w:styleId="Footer">
    <w:name w:val="footer"/>
    <w:basedOn w:val="Normal"/>
    <w:link w:val="FooterChar"/>
    <w:rsid w:val="0096642E"/>
    <w:pPr>
      <w:tabs>
        <w:tab w:val="center" w:pos="4513"/>
        <w:tab w:val="right" w:pos="9026"/>
      </w:tabs>
    </w:pPr>
  </w:style>
  <w:style w:type="character" w:customStyle="1" w:styleId="FooterChar">
    <w:name w:val="Footer Char"/>
    <w:basedOn w:val="DefaultParagraphFont"/>
    <w:link w:val="Footer"/>
    <w:rsid w:val="0096642E"/>
    <w:rPr>
      <w:rFonts w:ascii="Arial" w:hAnsi="Arial" w:cs="Arial"/>
      <w:sz w:val="24"/>
      <w:szCs w:val="24"/>
      <w:u w:val="single"/>
      <w:lang w:val="en-GB" w:eastAsia="en-GB"/>
    </w:rPr>
  </w:style>
  <w:style w:type="paragraph" w:customStyle="1" w:styleId="Style1">
    <w:name w:val="Style1"/>
    <w:basedOn w:val="ListParagraph"/>
    <w:link w:val="Style1Char"/>
    <w:qFormat/>
    <w:rsid w:val="00D34807"/>
    <w:pPr>
      <w:tabs>
        <w:tab w:val="right" w:pos="8280"/>
      </w:tabs>
      <w:spacing w:before="360" w:line="360" w:lineRule="auto"/>
      <w:ind w:left="1276"/>
      <w:contextualSpacing w:val="0"/>
      <w:jc w:val="both"/>
    </w:pPr>
    <w:rPr>
      <w:sz w:val="20"/>
      <w:szCs w:val="20"/>
      <w:u w:val="none"/>
      <w:lang w:val="en-ZA"/>
    </w:rPr>
  </w:style>
  <w:style w:type="paragraph" w:customStyle="1" w:styleId="Style2">
    <w:name w:val="Style2"/>
    <w:basedOn w:val="Style1"/>
    <w:link w:val="Style2Char"/>
    <w:qFormat/>
    <w:rsid w:val="00D34807"/>
    <w:pPr>
      <w:tabs>
        <w:tab w:val="left" w:pos="1843"/>
      </w:tabs>
      <w:ind w:left="1843" w:hanging="567"/>
    </w:pPr>
  </w:style>
  <w:style w:type="character" w:customStyle="1" w:styleId="ListParagraphChar">
    <w:name w:val="List Paragraph Char"/>
    <w:basedOn w:val="DefaultParagraphFont"/>
    <w:link w:val="ListParagraph"/>
    <w:uiPriority w:val="34"/>
    <w:rsid w:val="00D34807"/>
    <w:rPr>
      <w:rFonts w:ascii="Arial" w:hAnsi="Arial" w:cs="Arial"/>
      <w:sz w:val="24"/>
      <w:szCs w:val="24"/>
      <w:u w:val="single"/>
      <w:lang w:val="en-GB" w:eastAsia="en-GB"/>
    </w:rPr>
  </w:style>
  <w:style w:type="character" w:customStyle="1" w:styleId="Style1Char">
    <w:name w:val="Style1 Char"/>
    <w:basedOn w:val="ListParagraphChar"/>
    <w:link w:val="Style1"/>
    <w:rsid w:val="00D34807"/>
    <w:rPr>
      <w:rFonts w:ascii="Arial" w:hAnsi="Arial" w:cs="Arial"/>
      <w:sz w:val="24"/>
      <w:szCs w:val="24"/>
      <w:u w:val="single"/>
      <w:lang w:val="en-ZA" w:eastAsia="en-GB"/>
    </w:rPr>
  </w:style>
  <w:style w:type="character" w:customStyle="1" w:styleId="Style2Char">
    <w:name w:val="Style2 Char"/>
    <w:basedOn w:val="Style1Char"/>
    <w:link w:val="Style2"/>
    <w:rsid w:val="00D34807"/>
    <w:rPr>
      <w:rFonts w:ascii="Arial" w:hAnsi="Arial" w:cs="Arial"/>
      <w:sz w:val="24"/>
      <w:szCs w:val="24"/>
      <w:u w:val="single"/>
      <w:lang w:val="en-ZA" w:eastAsia="en-GB"/>
    </w:rPr>
  </w:style>
  <w:style w:type="paragraph" w:customStyle="1" w:styleId="Style3">
    <w:name w:val="Style3"/>
    <w:basedOn w:val="ListParagraph"/>
    <w:link w:val="Style3Char"/>
    <w:qFormat/>
    <w:rsid w:val="00015944"/>
    <w:pPr>
      <w:tabs>
        <w:tab w:val="left" w:pos="1418"/>
        <w:tab w:val="right" w:pos="8280"/>
      </w:tabs>
      <w:spacing w:before="480" w:line="480" w:lineRule="auto"/>
      <w:ind w:left="1418" w:hanging="567"/>
      <w:contextualSpacing w:val="0"/>
      <w:jc w:val="both"/>
    </w:pPr>
    <w:rPr>
      <w:i/>
      <w:sz w:val="20"/>
      <w:szCs w:val="20"/>
      <w:u w:val="none"/>
      <w:shd w:val="clear" w:color="auto" w:fill="FFFFFF"/>
    </w:rPr>
  </w:style>
  <w:style w:type="character" w:customStyle="1" w:styleId="Style3Char">
    <w:name w:val="Style3 Char"/>
    <w:basedOn w:val="ListParagraphChar"/>
    <w:link w:val="Style3"/>
    <w:rsid w:val="00015944"/>
    <w:rPr>
      <w:rFonts w:ascii="Arial" w:hAnsi="Arial" w:cs="Arial"/>
      <w:i/>
      <w:sz w:val="24"/>
      <w:szCs w:val="24"/>
      <w:u w:val="single"/>
      <w:lang w:val="en-GB" w:eastAsia="en-GB"/>
    </w:rPr>
  </w:style>
  <w:style w:type="paragraph" w:styleId="FootnoteText">
    <w:name w:val="footnote text"/>
    <w:basedOn w:val="Normal"/>
    <w:link w:val="FootnoteTextChar"/>
    <w:semiHidden/>
    <w:unhideWhenUsed/>
    <w:rsid w:val="009828B8"/>
    <w:pPr>
      <w:tabs>
        <w:tab w:val="left" w:pos="454"/>
      </w:tabs>
      <w:ind w:left="454" w:hanging="454"/>
      <w:jc w:val="both"/>
    </w:pPr>
    <w:rPr>
      <w:sz w:val="20"/>
      <w:szCs w:val="20"/>
      <w:u w:val="none"/>
    </w:rPr>
  </w:style>
  <w:style w:type="character" w:customStyle="1" w:styleId="FootnoteTextChar">
    <w:name w:val="Footnote Text Char"/>
    <w:basedOn w:val="DefaultParagraphFont"/>
    <w:link w:val="FootnoteText"/>
    <w:semiHidden/>
    <w:rsid w:val="009828B8"/>
    <w:rPr>
      <w:rFonts w:ascii="Arial" w:hAnsi="Arial" w:cs="Arial"/>
      <w:lang w:val="en-GB" w:eastAsia="en-GB"/>
    </w:rPr>
  </w:style>
  <w:style w:type="character" w:styleId="FootnoteReference">
    <w:name w:val="footnote reference"/>
    <w:basedOn w:val="DefaultParagraphFont"/>
    <w:semiHidden/>
    <w:unhideWhenUsed/>
    <w:rsid w:val="00787209"/>
    <w:rPr>
      <w:vertAlign w:val="superscript"/>
    </w:rPr>
  </w:style>
  <w:style w:type="character" w:customStyle="1" w:styleId="Heading2Char">
    <w:name w:val="Heading 2 Char"/>
    <w:basedOn w:val="DefaultParagraphFont"/>
    <w:link w:val="Heading2"/>
    <w:uiPriority w:val="9"/>
    <w:rsid w:val="007C5309"/>
    <w:rPr>
      <w:b/>
      <w:bCs/>
      <w:sz w:val="36"/>
      <w:szCs w:val="36"/>
      <w:lang w:val="en-GB" w:eastAsia="en-GB"/>
    </w:rPr>
  </w:style>
  <w:style w:type="paragraph" w:styleId="BalloonText">
    <w:name w:val="Balloon Text"/>
    <w:basedOn w:val="Normal"/>
    <w:link w:val="BalloonTextChar"/>
    <w:semiHidden/>
    <w:unhideWhenUsed/>
    <w:rsid w:val="00372B40"/>
    <w:rPr>
      <w:rFonts w:ascii="Segoe UI" w:hAnsi="Segoe UI" w:cs="Segoe UI"/>
      <w:sz w:val="18"/>
      <w:szCs w:val="18"/>
    </w:rPr>
  </w:style>
  <w:style w:type="character" w:customStyle="1" w:styleId="BalloonTextChar">
    <w:name w:val="Balloon Text Char"/>
    <w:basedOn w:val="DefaultParagraphFont"/>
    <w:link w:val="BalloonText"/>
    <w:semiHidden/>
    <w:rsid w:val="00372B40"/>
    <w:rPr>
      <w:rFonts w:ascii="Segoe UI" w:hAnsi="Segoe UI" w:cs="Segoe UI"/>
      <w:sz w:val="18"/>
      <w:szCs w:val="18"/>
      <w:u w:val="single"/>
      <w:lang w:val="en-GB" w:eastAsia="en-GB"/>
    </w:rPr>
  </w:style>
  <w:style w:type="character" w:styleId="Hyperlink">
    <w:name w:val="Hyperlink"/>
    <w:basedOn w:val="DefaultParagraphFont"/>
    <w:uiPriority w:val="99"/>
    <w:semiHidden/>
    <w:unhideWhenUsed/>
    <w:rsid w:val="007E66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415230">
      <w:bodyDiv w:val="1"/>
      <w:marLeft w:val="0"/>
      <w:marRight w:val="0"/>
      <w:marTop w:val="0"/>
      <w:marBottom w:val="0"/>
      <w:divBdr>
        <w:top w:val="none" w:sz="0" w:space="0" w:color="auto"/>
        <w:left w:val="none" w:sz="0" w:space="0" w:color="auto"/>
        <w:bottom w:val="none" w:sz="0" w:space="0" w:color="auto"/>
        <w:right w:val="none" w:sz="0" w:space="0" w:color="auto"/>
      </w:divBdr>
    </w:div>
    <w:div w:id="1100947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saflii.org/cgi-bin/LawCite?cit=2012%20%283%29%20SA%203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575C18-5805-4CC3-8006-ECFD75AA8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2684</Words>
  <Characters>15303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REPUBLIC OF SOUTH AFRICA</vt:lpstr>
    </vt:vector>
  </TitlesOfParts>
  <Company>Dept. of Justice</Company>
  <LinksUpToDate>false</LinksUpToDate>
  <CharactersWithSpaces>17952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REPUBLIC OF SOUTH AFRICA</dc:title>
  <dc:creator>tmaponya</dc:creator>
  <cp:lastModifiedBy>Fundisiwe Ntsebesha</cp:lastModifiedBy>
  <cp:revision>5</cp:revision>
  <cp:lastPrinted>2023-01-16T09:41:00Z</cp:lastPrinted>
  <dcterms:created xsi:type="dcterms:W3CDTF">2023-03-14T10:03:00Z</dcterms:created>
  <dcterms:modified xsi:type="dcterms:W3CDTF">2024-01-04T15:44:00Z</dcterms:modified>
</cp:coreProperties>
</file>