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3C7D9" w14:textId="70D4AECA" w:rsidR="00070D12" w:rsidRPr="00070D12" w:rsidRDefault="00070D12" w:rsidP="00070D12">
      <w:pPr>
        <w:widowControl w:val="0"/>
        <w:tabs>
          <w:tab w:val="center" w:pos="4513"/>
          <w:tab w:val="right" w:pos="9026"/>
        </w:tabs>
        <w:spacing w:after="0" w:line="360" w:lineRule="auto"/>
        <w:jc w:val="center"/>
        <w:rPr>
          <w:rFonts w:ascii="Arial" w:hAnsi="Arial" w:cs="Arial"/>
          <w:b/>
          <w:kern w:val="0"/>
          <w:sz w:val="24"/>
          <w:szCs w:val="24"/>
          <w14:ligatures w14:val="none"/>
        </w:rPr>
      </w:pPr>
      <w:r w:rsidRPr="00070D12">
        <w:rPr>
          <w:rFonts w:ascii="Arial" w:eastAsia="Times New Roman" w:hAnsi="Arial" w:cs="Arial"/>
          <w:noProof/>
          <w:kern w:val="0"/>
          <w:sz w:val="24"/>
          <w:szCs w:val="24"/>
          <w:lang w:val="en-US"/>
          <w14:ligatures w14:val="none"/>
        </w:rPr>
        <w:drawing>
          <wp:inline distT="0" distB="0" distL="0" distR="0" wp14:anchorId="52084F6A" wp14:editId="23DB7784">
            <wp:extent cx="990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5066B895" w14:textId="77777777" w:rsidR="00070D12" w:rsidRPr="00070D12" w:rsidRDefault="00070D12" w:rsidP="00070D12">
      <w:pPr>
        <w:widowControl w:val="0"/>
        <w:tabs>
          <w:tab w:val="center" w:pos="4513"/>
          <w:tab w:val="right" w:pos="9026"/>
        </w:tabs>
        <w:spacing w:after="0" w:line="360" w:lineRule="auto"/>
        <w:jc w:val="center"/>
        <w:rPr>
          <w:rFonts w:ascii="Arial" w:hAnsi="Arial" w:cs="Arial"/>
          <w:b/>
          <w:kern w:val="0"/>
          <w:sz w:val="24"/>
          <w:szCs w:val="24"/>
          <w14:ligatures w14:val="none"/>
        </w:rPr>
      </w:pPr>
      <w:r w:rsidRPr="00070D12">
        <w:rPr>
          <w:rFonts w:ascii="Arial" w:hAnsi="Arial" w:cs="Arial"/>
          <w:b/>
          <w:kern w:val="0"/>
          <w:sz w:val="24"/>
          <w:szCs w:val="24"/>
          <w14:ligatures w14:val="none"/>
        </w:rPr>
        <w:t>IN THE HIGH COURT OF SOUTH AFRICA</w:t>
      </w:r>
    </w:p>
    <w:p w14:paraId="0FC4036C" w14:textId="77777777" w:rsidR="00070D12" w:rsidRPr="00070D12" w:rsidRDefault="00070D12" w:rsidP="00070D12">
      <w:pPr>
        <w:widowControl w:val="0"/>
        <w:tabs>
          <w:tab w:val="right" w:pos="9213"/>
        </w:tabs>
        <w:spacing w:line="360" w:lineRule="auto"/>
        <w:jc w:val="center"/>
        <w:rPr>
          <w:rFonts w:ascii="Arial" w:hAnsi="Arial" w:cs="Arial"/>
          <w:b/>
          <w:kern w:val="0"/>
          <w:sz w:val="24"/>
          <w:szCs w:val="24"/>
          <w14:ligatures w14:val="none"/>
        </w:rPr>
      </w:pPr>
      <w:r w:rsidRPr="00070D12">
        <w:rPr>
          <w:rFonts w:ascii="Arial" w:hAnsi="Arial" w:cs="Arial"/>
          <w:b/>
          <w:kern w:val="0"/>
          <w:sz w:val="24"/>
          <w:szCs w:val="24"/>
          <w14:ligatures w14:val="none"/>
        </w:rPr>
        <w:t>(</w:t>
      </w:r>
      <w:r>
        <w:rPr>
          <w:rFonts w:ascii="Arial" w:hAnsi="Arial" w:cs="Arial"/>
          <w:b/>
          <w:kern w:val="0"/>
          <w:sz w:val="24"/>
          <w:szCs w:val="24"/>
          <w14:ligatures w14:val="none"/>
        </w:rPr>
        <w:t xml:space="preserve">EASTERN CAPE DIVISION, </w:t>
      </w:r>
      <w:r w:rsidRPr="00070D12">
        <w:rPr>
          <w:rFonts w:ascii="Arial" w:hAnsi="Arial" w:cs="Arial"/>
          <w:b/>
          <w:kern w:val="0"/>
          <w:sz w:val="24"/>
          <w:szCs w:val="24"/>
          <w14:ligatures w14:val="none"/>
        </w:rPr>
        <w:t xml:space="preserve">EAST LONDON CIRCUIT </w:t>
      </w:r>
      <w:r>
        <w:rPr>
          <w:rFonts w:ascii="Arial" w:hAnsi="Arial" w:cs="Arial"/>
          <w:b/>
          <w:kern w:val="0"/>
          <w:sz w:val="24"/>
          <w:szCs w:val="24"/>
          <w14:ligatures w14:val="none"/>
        </w:rPr>
        <w:t>COURT</w:t>
      </w:r>
      <w:r w:rsidRPr="00070D12">
        <w:rPr>
          <w:rFonts w:ascii="Arial" w:hAnsi="Arial" w:cs="Arial"/>
          <w:b/>
          <w:kern w:val="0"/>
          <w:sz w:val="24"/>
          <w:szCs w:val="24"/>
          <w14:ligatures w14:val="none"/>
        </w:rPr>
        <w:t>)</w:t>
      </w:r>
    </w:p>
    <w:p w14:paraId="6DC41129" w14:textId="77777777" w:rsidR="00070D12" w:rsidRPr="00070D12" w:rsidRDefault="00070D12" w:rsidP="00070D12">
      <w:pPr>
        <w:widowControl w:val="0"/>
        <w:tabs>
          <w:tab w:val="right" w:pos="9356"/>
        </w:tabs>
        <w:spacing w:line="240" w:lineRule="auto"/>
        <w:rPr>
          <w:rFonts w:ascii="Arial" w:hAnsi="Arial" w:cs="Arial"/>
          <w:b/>
          <w:kern w:val="0"/>
          <w:sz w:val="24"/>
          <w:szCs w:val="24"/>
          <w14:ligatures w14:val="none"/>
        </w:rPr>
      </w:pPr>
      <w:r w:rsidRPr="00070D12">
        <w:rPr>
          <w:rFonts w:ascii="Arial" w:hAnsi="Arial" w:cs="Arial"/>
          <w:b/>
          <w:kern w:val="0"/>
          <w:sz w:val="24"/>
          <w:szCs w:val="24"/>
          <w14:ligatures w14:val="none"/>
        </w:rPr>
        <w:tab/>
        <w:t xml:space="preserve">CASE NO. </w:t>
      </w:r>
      <w:r>
        <w:rPr>
          <w:rFonts w:ascii="Arial" w:hAnsi="Arial" w:cs="Arial"/>
          <w:b/>
          <w:kern w:val="0"/>
          <w:sz w:val="24"/>
          <w:szCs w:val="24"/>
          <w14:ligatures w14:val="none"/>
        </w:rPr>
        <w:t>1574/2022</w:t>
      </w:r>
    </w:p>
    <w:p w14:paraId="15D34450" w14:textId="77777777" w:rsidR="00070D12" w:rsidRPr="00070D12" w:rsidRDefault="00070D12" w:rsidP="00070D12">
      <w:pPr>
        <w:widowControl w:val="0"/>
        <w:tabs>
          <w:tab w:val="right" w:pos="8931"/>
        </w:tabs>
        <w:spacing w:line="240" w:lineRule="auto"/>
        <w:rPr>
          <w:rFonts w:ascii="Arial" w:hAnsi="Arial" w:cs="Arial"/>
          <w:b/>
          <w:kern w:val="0"/>
          <w:sz w:val="24"/>
          <w:szCs w:val="24"/>
          <w14:ligatures w14:val="none"/>
        </w:rPr>
      </w:pPr>
    </w:p>
    <w:p w14:paraId="64F0729F" w14:textId="77777777" w:rsidR="00070D12" w:rsidRPr="00070D12" w:rsidRDefault="00070D12" w:rsidP="00070D12">
      <w:pPr>
        <w:widowControl w:val="0"/>
        <w:tabs>
          <w:tab w:val="right" w:pos="9213"/>
        </w:tabs>
        <w:spacing w:line="240" w:lineRule="auto"/>
        <w:rPr>
          <w:rFonts w:ascii="Arial" w:hAnsi="Arial" w:cs="Arial"/>
          <w:kern w:val="0"/>
          <w:sz w:val="24"/>
          <w:szCs w:val="24"/>
          <w14:ligatures w14:val="none"/>
        </w:rPr>
      </w:pPr>
      <w:r w:rsidRPr="00070D12">
        <w:rPr>
          <w:rFonts w:ascii="Arial" w:hAnsi="Arial" w:cs="Arial"/>
          <w:kern w:val="0"/>
          <w:sz w:val="24"/>
          <w:szCs w:val="24"/>
          <w14:ligatures w14:val="none"/>
        </w:rPr>
        <w:t>In the matter between:</w:t>
      </w:r>
    </w:p>
    <w:p w14:paraId="776A3B7D" w14:textId="77777777" w:rsidR="00070D12" w:rsidRPr="00070D12" w:rsidRDefault="00070D12" w:rsidP="00070D12">
      <w:pPr>
        <w:widowControl w:val="0"/>
        <w:tabs>
          <w:tab w:val="right" w:pos="9213"/>
        </w:tabs>
        <w:spacing w:line="240" w:lineRule="auto"/>
        <w:rPr>
          <w:rFonts w:ascii="Arial" w:hAnsi="Arial" w:cs="Arial"/>
          <w:kern w:val="0"/>
          <w:sz w:val="24"/>
          <w:szCs w:val="24"/>
          <w14:ligatures w14:val="none"/>
        </w:rPr>
      </w:pPr>
    </w:p>
    <w:p w14:paraId="417922AC" w14:textId="77777777" w:rsidR="00070D12" w:rsidRPr="00070D12" w:rsidRDefault="00070D12" w:rsidP="00070D12">
      <w:pPr>
        <w:widowControl w:val="0"/>
        <w:tabs>
          <w:tab w:val="right" w:pos="9356"/>
        </w:tabs>
        <w:spacing w:line="240" w:lineRule="auto"/>
        <w:rPr>
          <w:rFonts w:ascii="Arial" w:hAnsi="Arial" w:cs="Arial"/>
          <w:b/>
          <w:kern w:val="0"/>
          <w:sz w:val="24"/>
          <w:szCs w:val="24"/>
          <w14:ligatures w14:val="none"/>
        </w:rPr>
      </w:pPr>
      <w:r>
        <w:rPr>
          <w:rFonts w:ascii="Arial" w:hAnsi="Arial" w:cs="Arial"/>
          <w:b/>
          <w:kern w:val="0"/>
          <w:sz w:val="24"/>
          <w:szCs w:val="24"/>
          <w14:ligatures w14:val="none"/>
        </w:rPr>
        <w:t>GARTH PETERSEN</w:t>
      </w:r>
      <w:r w:rsidRPr="00070D12">
        <w:rPr>
          <w:rFonts w:ascii="Arial" w:hAnsi="Arial" w:cs="Arial"/>
          <w:b/>
          <w:kern w:val="0"/>
          <w:sz w:val="24"/>
          <w:szCs w:val="24"/>
          <w14:ligatures w14:val="none"/>
        </w:rPr>
        <w:tab/>
        <w:t xml:space="preserve">First </w:t>
      </w:r>
      <w:r>
        <w:rPr>
          <w:rFonts w:ascii="Arial" w:hAnsi="Arial" w:cs="Arial"/>
          <w:b/>
          <w:kern w:val="0"/>
          <w:sz w:val="24"/>
          <w:szCs w:val="24"/>
          <w14:ligatures w14:val="none"/>
        </w:rPr>
        <w:t>applicant</w:t>
      </w:r>
    </w:p>
    <w:p w14:paraId="5F33E87D" w14:textId="77777777" w:rsidR="00070D12" w:rsidRPr="00070D12" w:rsidRDefault="00070D12" w:rsidP="00070D12">
      <w:pPr>
        <w:widowControl w:val="0"/>
        <w:tabs>
          <w:tab w:val="right" w:pos="9356"/>
        </w:tabs>
        <w:spacing w:line="240" w:lineRule="auto"/>
        <w:rPr>
          <w:rFonts w:ascii="Arial" w:hAnsi="Arial" w:cs="Arial"/>
          <w:b/>
          <w:kern w:val="0"/>
          <w:sz w:val="24"/>
          <w:szCs w:val="24"/>
          <w14:ligatures w14:val="none"/>
        </w:rPr>
      </w:pPr>
      <w:r>
        <w:rPr>
          <w:rFonts w:ascii="Arial" w:hAnsi="Arial" w:cs="Arial"/>
          <w:b/>
          <w:kern w:val="0"/>
          <w:sz w:val="24"/>
          <w:szCs w:val="24"/>
          <w14:ligatures w14:val="none"/>
        </w:rPr>
        <w:t>SARAH-JANE PETERSEN</w:t>
      </w:r>
      <w:r w:rsidRPr="00070D12">
        <w:rPr>
          <w:rFonts w:ascii="Arial" w:hAnsi="Arial" w:cs="Arial"/>
          <w:b/>
          <w:kern w:val="0"/>
          <w:sz w:val="24"/>
          <w:szCs w:val="24"/>
          <w14:ligatures w14:val="none"/>
        </w:rPr>
        <w:t xml:space="preserve"> </w:t>
      </w:r>
      <w:r w:rsidRPr="00070D12">
        <w:rPr>
          <w:rFonts w:ascii="Arial" w:hAnsi="Arial" w:cs="Arial"/>
          <w:b/>
          <w:kern w:val="0"/>
          <w:sz w:val="24"/>
          <w:szCs w:val="24"/>
          <w14:ligatures w14:val="none"/>
        </w:rPr>
        <w:tab/>
        <w:t xml:space="preserve">Second </w:t>
      </w:r>
      <w:r>
        <w:rPr>
          <w:rFonts w:ascii="Arial" w:hAnsi="Arial" w:cs="Arial"/>
          <w:b/>
          <w:kern w:val="0"/>
          <w:sz w:val="24"/>
          <w:szCs w:val="24"/>
          <w14:ligatures w14:val="none"/>
        </w:rPr>
        <w:t>applicant</w:t>
      </w:r>
    </w:p>
    <w:p w14:paraId="656AF29A" w14:textId="77777777" w:rsidR="00070D12" w:rsidRPr="00070D12" w:rsidRDefault="00070D12" w:rsidP="00070D12">
      <w:pPr>
        <w:widowControl w:val="0"/>
        <w:tabs>
          <w:tab w:val="right" w:pos="8931"/>
        </w:tabs>
        <w:spacing w:line="240" w:lineRule="auto"/>
        <w:rPr>
          <w:rFonts w:ascii="Arial" w:hAnsi="Arial" w:cs="Arial"/>
          <w:b/>
          <w:kern w:val="0"/>
          <w:sz w:val="24"/>
          <w:szCs w:val="24"/>
          <w14:ligatures w14:val="none"/>
        </w:rPr>
      </w:pPr>
    </w:p>
    <w:p w14:paraId="52E9ED10" w14:textId="77777777" w:rsidR="00070D12" w:rsidRPr="00070D12" w:rsidRDefault="00070D12" w:rsidP="00070D12">
      <w:pPr>
        <w:widowControl w:val="0"/>
        <w:tabs>
          <w:tab w:val="right" w:pos="8640"/>
        </w:tabs>
        <w:spacing w:line="240" w:lineRule="auto"/>
        <w:rPr>
          <w:rFonts w:ascii="Arial" w:hAnsi="Arial" w:cs="Arial"/>
          <w:b/>
          <w:kern w:val="0"/>
          <w:sz w:val="24"/>
          <w:szCs w:val="24"/>
          <w14:ligatures w14:val="none"/>
        </w:rPr>
      </w:pPr>
      <w:r w:rsidRPr="00070D12">
        <w:rPr>
          <w:rFonts w:ascii="Arial" w:hAnsi="Arial" w:cs="Arial"/>
          <w:b/>
          <w:kern w:val="0"/>
          <w:sz w:val="24"/>
          <w:szCs w:val="24"/>
          <w14:ligatures w14:val="none"/>
        </w:rPr>
        <w:t>and</w:t>
      </w:r>
    </w:p>
    <w:p w14:paraId="733866F6" w14:textId="77777777" w:rsidR="00070D12" w:rsidRPr="00070D12" w:rsidRDefault="00070D12" w:rsidP="00070D12">
      <w:pPr>
        <w:widowControl w:val="0"/>
        <w:tabs>
          <w:tab w:val="right" w:pos="8640"/>
        </w:tabs>
        <w:spacing w:line="240" w:lineRule="auto"/>
        <w:rPr>
          <w:rFonts w:ascii="Arial" w:hAnsi="Arial" w:cs="Arial"/>
          <w:b/>
          <w:kern w:val="0"/>
          <w:sz w:val="24"/>
          <w:szCs w:val="24"/>
          <w14:ligatures w14:val="none"/>
        </w:rPr>
      </w:pPr>
    </w:p>
    <w:p w14:paraId="55D2D7A3" w14:textId="77777777" w:rsidR="00070D12" w:rsidRDefault="00070D12" w:rsidP="00070D12">
      <w:pPr>
        <w:widowControl w:val="0"/>
        <w:tabs>
          <w:tab w:val="right" w:pos="9356"/>
        </w:tabs>
        <w:spacing w:line="240" w:lineRule="auto"/>
        <w:rPr>
          <w:rFonts w:ascii="Arial" w:hAnsi="Arial" w:cs="Arial"/>
          <w:b/>
          <w:kern w:val="0"/>
          <w:sz w:val="24"/>
          <w:szCs w:val="24"/>
          <w14:ligatures w14:val="none"/>
        </w:rPr>
      </w:pPr>
      <w:r>
        <w:rPr>
          <w:rFonts w:ascii="Arial" w:hAnsi="Arial" w:cs="Arial"/>
          <w:b/>
          <w:kern w:val="0"/>
          <w:sz w:val="24"/>
          <w:szCs w:val="24"/>
          <w14:ligatures w14:val="none"/>
        </w:rPr>
        <w:t>KHAYALETHU WISEMAN GQOSHA</w:t>
      </w:r>
      <w:r w:rsidRPr="00070D12">
        <w:rPr>
          <w:rFonts w:ascii="Arial" w:hAnsi="Arial" w:cs="Arial"/>
          <w:b/>
          <w:kern w:val="0"/>
          <w:sz w:val="24"/>
          <w:szCs w:val="24"/>
          <w14:ligatures w14:val="none"/>
        </w:rPr>
        <w:t xml:space="preserve"> </w:t>
      </w:r>
      <w:r w:rsidRPr="00070D12">
        <w:rPr>
          <w:rFonts w:ascii="Arial" w:hAnsi="Arial" w:cs="Arial"/>
          <w:b/>
          <w:kern w:val="0"/>
          <w:sz w:val="24"/>
          <w:szCs w:val="24"/>
          <w14:ligatures w14:val="none"/>
        </w:rPr>
        <w:tab/>
      </w:r>
      <w:r>
        <w:rPr>
          <w:rFonts w:ascii="Arial" w:hAnsi="Arial" w:cs="Arial"/>
          <w:b/>
          <w:kern w:val="0"/>
          <w:sz w:val="24"/>
          <w:szCs w:val="24"/>
          <w14:ligatures w14:val="none"/>
        </w:rPr>
        <w:t>First respondent</w:t>
      </w:r>
    </w:p>
    <w:p w14:paraId="14A77431" w14:textId="77777777" w:rsidR="00070D12" w:rsidRPr="00070D12" w:rsidRDefault="00070D12" w:rsidP="00070D12">
      <w:pPr>
        <w:widowControl w:val="0"/>
        <w:tabs>
          <w:tab w:val="right" w:pos="9356"/>
        </w:tabs>
        <w:spacing w:line="240" w:lineRule="auto"/>
        <w:rPr>
          <w:rFonts w:ascii="Arial" w:hAnsi="Arial" w:cs="Arial"/>
          <w:b/>
          <w:kern w:val="0"/>
          <w:sz w:val="24"/>
          <w:szCs w:val="24"/>
          <w14:ligatures w14:val="none"/>
        </w:rPr>
      </w:pPr>
      <w:r>
        <w:rPr>
          <w:rFonts w:ascii="Arial" w:hAnsi="Arial" w:cs="Arial"/>
          <w:b/>
          <w:kern w:val="0"/>
          <w:sz w:val="24"/>
          <w:szCs w:val="24"/>
          <w14:ligatures w14:val="none"/>
        </w:rPr>
        <w:t>BUFFALO CITY METROPOLITAN MUNICIPALITY</w:t>
      </w:r>
      <w:r>
        <w:rPr>
          <w:rFonts w:ascii="Arial" w:hAnsi="Arial" w:cs="Arial"/>
          <w:b/>
          <w:kern w:val="0"/>
          <w:sz w:val="24"/>
          <w:szCs w:val="24"/>
          <w14:ligatures w14:val="none"/>
        </w:rPr>
        <w:tab/>
        <w:t>Second respondent</w:t>
      </w:r>
    </w:p>
    <w:p w14:paraId="77212575" w14:textId="77777777" w:rsidR="00070D12" w:rsidRPr="00070D12" w:rsidRDefault="00070D12" w:rsidP="00070D12">
      <w:pPr>
        <w:spacing w:line="360" w:lineRule="auto"/>
        <w:rPr>
          <w:rFonts w:ascii="Arial" w:hAnsi="Arial" w:cs="Arial"/>
          <w:kern w:val="0"/>
          <w:sz w:val="24"/>
          <w:szCs w:val="24"/>
          <w14:ligatures w14:val="none"/>
        </w:rPr>
      </w:pPr>
      <w:r w:rsidRPr="00070D12">
        <w:rPr>
          <w:rFonts w:ascii="Arial" w:hAnsi="Arial" w:cs="Arial"/>
          <w:kern w:val="0"/>
          <w:sz w:val="24"/>
          <w:szCs w:val="24"/>
          <w14:ligatures w14:val="none"/>
        </w:rPr>
        <w:t>______________________________________________________________________</w:t>
      </w:r>
    </w:p>
    <w:p w14:paraId="4DA6F968" w14:textId="77777777" w:rsidR="00070D12" w:rsidRPr="00070D12" w:rsidRDefault="00070D12" w:rsidP="00070D12">
      <w:pPr>
        <w:spacing w:line="360" w:lineRule="auto"/>
        <w:jc w:val="center"/>
        <w:rPr>
          <w:rFonts w:ascii="Arial" w:hAnsi="Arial" w:cs="Arial"/>
          <w:b/>
          <w:bCs/>
          <w:kern w:val="0"/>
          <w:sz w:val="24"/>
          <w:szCs w:val="24"/>
          <w14:ligatures w14:val="none"/>
        </w:rPr>
      </w:pPr>
      <w:r w:rsidRPr="00070D12">
        <w:rPr>
          <w:rFonts w:ascii="Arial" w:hAnsi="Arial" w:cs="Arial"/>
          <w:b/>
          <w:bCs/>
          <w:kern w:val="0"/>
          <w:sz w:val="24"/>
          <w:szCs w:val="24"/>
          <w14:ligatures w14:val="none"/>
        </w:rPr>
        <w:t>JUDGMENT</w:t>
      </w:r>
    </w:p>
    <w:p w14:paraId="19BAE705" w14:textId="77777777" w:rsidR="00070D12" w:rsidRPr="00070D12" w:rsidRDefault="00070D12" w:rsidP="00070D12">
      <w:pPr>
        <w:spacing w:line="360" w:lineRule="auto"/>
        <w:rPr>
          <w:rFonts w:ascii="Arial" w:hAnsi="Arial" w:cs="Arial"/>
          <w:kern w:val="0"/>
          <w:sz w:val="24"/>
          <w:szCs w:val="24"/>
          <w14:ligatures w14:val="none"/>
        </w:rPr>
      </w:pPr>
      <w:r w:rsidRPr="00070D12">
        <w:rPr>
          <w:rFonts w:ascii="Arial" w:hAnsi="Arial" w:cs="Arial"/>
          <w:kern w:val="0"/>
          <w:sz w:val="24"/>
          <w:szCs w:val="24"/>
          <w14:ligatures w14:val="none"/>
        </w:rPr>
        <w:t>______________________________________________________________________</w:t>
      </w:r>
    </w:p>
    <w:p w14:paraId="323D754C" w14:textId="77777777" w:rsidR="00070D12" w:rsidRPr="00070D12" w:rsidRDefault="00070D12" w:rsidP="00070D12">
      <w:pPr>
        <w:spacing w:line="360" w:lineRule="auto"/>
        <w:rPr>
          <w:rFonts w:ascii="Arial" w:hAnsi="Arial" w:cs="Arial"/>
          <w:b/>
          <w:bCs/>
          <w:kern w:val="0"/>
          <w:sz w:val="24"/>
          <w:szCs w:val="24"/>
          <w14:ligatures w14:val="none"/>
        </w:rPr>
      </w:pPr>
      <w:r w:rsidRPr="00070D12">
        <w:rPr>
          <w:rFonts w:ascii="Arial" w:hAnsi="Arial" w:cs="Arial"/>
          <w:b/>
          <w:bCs/>
          <w:kern w:val="0"/>
          <w:sz w:val="24"/>
          <w:szCs w:val="24"/>
          <w14:ligatures w14:val="none"/>
        </w:rPr>
        <w:t>LAING J</w:t>
      </w:r>
    </w:p>
    <w:p w14:paraId="7AC9AD36" w14:textId="77777777" w:rsidR="00070D12" w:rsidRDefault="00070D12" w:rsidP="00927E6D">
      <w:pPr>
        <w:spacing w:line="360" w:lineRule="auto"/>
        <w:rPr>
          <w:rFonts w:ascii="Arial" w:hAnsi="Arial" w:cs="Arial"/>
          <w:sz w:val="24"/>
          <w:szCs w:val="24"/>
        </w:rPr>
      </w:pPr>
    </w:p>
    <w:p w14:paraId="2606F132" w14:textId="6E6BFBCE" w:rsidR="00927E6D" w:rsidRPr="00C314E3" w:rsidRDefault="00C314E3" w:rsidP="00C314E3">
      <w:pPr>
        <w:spacing w:line="360" w:lineRule="auto"/>
        <w:jc w:val="both"/>
        <w:rPr>
          <w:rFonts w:ascii="Arial" w:hAnsi="Arial" w:cs="Arial"/>
          <w:sz w:val="24"/>
          <w:szCs w:val="24"/>
        </w:rPr>
      </w:pPr>
      <w:r w:rsidRPr="00070D12">
        <w:rPr>
          <w:rFonts w:ascii="Arial" w:hAnsi="Arial" w:cs="Arial"/>
          <w:sz w:val="24"/>
          <w:szCs w:val="24"/>
        </w:rPr>
        <w:t>[1]</w:t>
      </w:r>
      <w:r w:rsidRPr="00070D12">
        <w:rPr>
          <w:rFonts w:ascii="Arial" w:hAnsi="Arial" w:cs="Arial"/>
          <w:sz w:val="24"/>
          <w:szCs w:val="24"/>
        </w:rPr>
        <w:tab/>
      </w:r>
      <w:r w:rsidR="00927E6D" w:rsidRPr="00C314E3">
        <w:rPr>
          <w:rFonts w:ascii="Arial" w:hAnsi="Arial" w:cs="Arial"/>
          <w:sz w:val="24"/>
          <w:szCs w:val="24"/>
        </w:rPr>
        <w:t xml:space="preserve">This is an application for </w:t>
      </w:r>
      <w:r w:rsidR="000F26FA" w:rsidRPr="00C314E3">
        <w:rPr>
          <w:rFonts w:ascii="Arial" w:hAnsi="Arial" w:cs="Arial"/>
          <w:sz w:val="24"/>
          <w:szCs w:val="24"/>
        </w:rPr>
        <w:t xml:space="preserve">an </w:t>
      </w:r>
      <w:r w:rsidR="00927E6D" w:rsidRPr="00C314E3">
        <w:rPr>
          <w:rFonts w:ascii="Arial" w:hAnsi="Arial" w:cs="Arial"/>
          <w:sz w:val="24"/>
          <w:szCs w:val="24"/>
        </w:rPr>
        <w:t xml:space="preserve">order evicting the </w:t>
      </w:r>
      <w:r w:rsidR="00AD4427" w:rsidRPr="00C314E3">
        <w:rPr>
          <w:rFonts w:ascii="Arial" w:hAnsi="Arial" w:cs="Arial"/>
          <w:sz w:val="24"/>
          <w:szCs w:val="24"/>
        </w:rPr>
        <w:t>first respondent and other occupiers from a residential property situated at 28 Bonnie Doon Place, Bonnie Doon, East London (‘the property’).</w:t>
      </w:r>
    </w:p>
    <w:p w14:paraId="735FD950" w14:textId="77777777" w:rsidR="00AD4427" w:rsidRDefault="00AD4427" w:rsidP="00927E6D">
      <w:pPr>
        <w:spacing w:line="360" w:lineRule="auto"/>
        <w:rPr>
          <w:rFonts w:ascii="Arial" w:hAnsi="Arial" w:cs="Arial"/>
          <w:sz w:val="24"/>
          <w:szCs w:val="24"/>
        </w:rPr>
      </w:pPr>
    </w:p>
    <w:p w14:paraId="3F20BD36" w14:textId="77777777" w:rsidR="00AD4427" w:rsidRPr="00AD4427" w:rsidRDefault="00087587" w:rsidP="00E77158">
      <w:pPr>
        <w:spacing w:line="360" w:lineRule="auto"/>
        <w:jc w:val="both"/>
        <w:rPr>
          <w:rFonts w:ascii="Arial" w:hAnsi="Arial" w:cs="Arial"/>
          <w:b/>
          <w:bCs/>
          <w:sz w:val="24"/>
          <w:szCs w:val="24"/>
        </w:rPr>
      </w:pPr>
      <w:r>
        <w:rPr>
          <w:rFonts w:ascii="Arial" w:hAnsi="Arial" w:cs="Arial"/>
          <w:b/>
          <w:bCs/>
          <w:sz w:val="24"/>
          <w:szCs w:val="24"/>
        </w:rPr>
        <w:t>A</w:t>
      </w:r>
      <w:r w:rsidR="00AD4427" w:rsidRPr="00AD4427">
        <w:rPr>
          <w:rFonts w:ascii="Arial" w:hAnsi="Arial" w:cs="Arial"/>
          <w:b/>
          <w:bCs/>
          <w:sz w:val="24"/>
          <w:szCs w:val="24"/>
        </w:rPr>
        <w:t>pplicants’ case</w:t>
      </w:r>
      <w:bookmarkStart w:id="0" w:name="_GoBack"/>
      <w:bookmarkEnd w:id="0"/>
    </w:p>
    <w:p w14:paraId="660790DD" w14:textId="6B2C6F42" w:rsidR="00070D12" w:rsidRPr="00C314E3" w:rsidRDefault="00C314E3" w:rsidP="00C314E3">
      <w:pPr>
        <w:spacing w:line="36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AD4427" w:rsidRPr="00C314E3">
        <w:rPr>
          <w:rFonts w:ascii="Arial" w:hAnsi="Arial" w:cs="Arial"/>
          <w:sz w:val="24"/>
          <w:szCs w:val="24"/>
        </w:rPr>
        <w:t xml:space="preserve">The previous owner of the property was a Mr Colin Kriel. As security for various loans that he had obtained, Mr Kriel registered six mortgage bonds against the property. </w:t>
      </w:r>
      <w:r w:rsidR="00124013" w:rsidRPr="00C314E3">
        <w:rPr>
          <w:rFonts w:ascii="Arial" w:hAnsi="Arial" w:cs="Arial"/>
          <w:sz w:val="24"/>
          <w:szCs w:val="24"/>
        </w:rPr>
        <w:t>A creditor</w:t>
      </w:r>
      <w:r w:rsidR="003A174E" w:rsidRPr="00C314E3">
        <w:rPr>
          <w:rFonts w:ascii="Arial" w:hAnsi="Arial" w:cs="Arial"/>
          <w:sz w:val="24"/>
          <w:szCs w:val="24"/>
        </w:rPr>
        <w:t>, Shumayela Properties</w:t>
      </w:r>
      <w:r w:rsidR="00D950DC" w:rsidRPr="00C314E3">
        <w:rPr>
          <w:rFonts w:ascii="Arial" w:hAnsi="Arial" w:cs="Arial"/>
          <w:sz w:val="24"/>
          <w:szCs w:val="24"/>
        </w:rPr>
        <w:t xml:space="preserve"> (Pty) Ltd</w:t>
      </w:r>
      <w:r w:rsidR="00D87D28" w:rsidRPr="00C314E3">
        <w:rPr>
          <w:rFonts w:ascii="Arial" w:hAnsi="Arial" w:cs="Arial"/>
          <w:sz w:val="24"/>
          <w:szCs w:val="24"/>
        </w:rPr>
        <w:t xml:space="preserve"> (‘the company’)</w:t>
      </w:r>
      <w:r w:rsidR="00D950DC" w:rsidRPr="00C314E3">
        <w:rPr>
          <w:rFonts w:ascii="Arial" w:hAnsi="Arial" w:cs="Arial"/>
          <w:sz w:val="24"/>
          <w:szCs w:val="24"/>
        </w:rPr>
        <w:t>,</w:t>
      </w:r>
      <w:r w:rsidR="00DB3300" w:rsidRPr="00C314E3">
        <w:rPr>
          <w:rFonts w:ascii="Arial" w:hAnsi="Arial" w:cs="Arial"/>
          <w:sz w:val="24"/>
          <w:szCs w:val="24"/>
        </w:rPr>
        <w:t xml:space="preserve"> subsequently instituted action proceedings </w:t>
      </w:r>
      <w:r w:rsidR="00AB3C5B" w:rsidRPr="00C314E3">
        <w:rPr>
          <w:rFonts w:ascii="Arial" w:hAnsi="Arial" w:cs="Arial"/>
          <w:sz w:val="24"/>
          <w:szCs w:val="24"/>
        </w:rPr>
        <w:t xml:space="preserve">under case number </w:t>
      </w:r>
      <w:r w:rsidR="004C08C5" w:rsidRPr="00C314E3">
        <w:rPr>
          <w:rFonts w:ascii="Arial" w:hAnsi="Arial" w:cs="Arial"/>
          <w:sz w:val="24"/>
          <w:szCs w:val="24"/>
        </w:rPr>
        <w:t xml:space="preserve">EL 835/2016 </w:t>
      </w:r>
      <w:r w:rsidR="00DB3300" w:rsidRPr="00C314E3">
        <w:rPr>
          <w:rFonts w:ascii="Arial" w:hAnsi="Arial" w:cs="Arial"/>
          <w:sz w:val="24"/>
          <w:szCs w:val="24"/>
        </w:rPr>
        <w:t xml:space="preserve">and obtained </w:t>
      </w:r>
      <w:r w:rsidR="00591CE3" w:rsidRPr="00C314E3">
        <w:rPr>
          <w:rFonts w:ascii="Arial" w:hAnsi="Arial" w:cs="Arial"/>
          <w:sz w:val="24"/>
          <w:szCs w:val="24"/>
        </w:rPr>
        <w:t>judgment</w:t>
      </w:r>
      <w:r w:rsidR="000A3E63" w:rsidRPr="00C314E3">
        <w:rPr>
          <w:rFonts w:ascii="Arial" w:hAnsi="Arial" w:cs="Arial"/>
          <w:sz w:val="24"/>
          <w:szCs w:val="24"/>
        </w:rPr>
        <w:t xml:space="preserve"> </w:t>
      </w:r>
      <w:r w:rsidR="003A174E" w:rsidRPr="00C314E3">
        <w:rPr>
          <w:rFonts w:ascii="Arial" w:hAnsi="Arial" w:cs="Arial"/>
          <w:sz w:val="24"/>
          <w:szCs w:val="24"/>
        </w:rPr>
        <w:t xml:space="preserve">against him, whereupon </w:t>
      </w:r>
      <w:r w:rsidR="007F6C18" w:rsidRPr="00C314E3">
        <w:rPr>
          <w:rFonts w:ascii="Arial" w:hAnsi="Arial" w:cs="Arial"/>
          <w:sz w:val="24"/>
          <w:szCs w:val="24"/>
        </w:rPr>
        <w:t xml:space="preserve">the company </w:t>
      </w:r>
      <w:r w:rsidR="0045699B" w:rsidRPr="00C314E3">
        <w:rPr>
          <w:rFonts w:ascii="Arial" w:hAnsi="Arial" w:cs="Arial"/>
          <w:sz w:val="24"/>
          <w:szCs w:val="24"/>
        </w:rPr>
        <w:t xml:space="preserve">made application for </w:t>
      </w:r>
      <w:r w:rsidR="007A2478" w:rsidRPr="00C314E3">
        <w:rPr>
          <w:rFonts w:ascii="Arial" w:hAnsi="Arial" w:cs="Arial"/>
          <w:sz w:val="24"/>
          <w:szCs w:val="24"/>
        </w:rPr>
        <w:t>execution against the property in terms of rule 46(1), read with rule 46A, of the Uniform Rules of Court (‘URC’).</w:t>
      </w:r>
      <w:r w:rsidR="00F01420" w:rsidRPr="00C314E3">
        <w:rPr>
          <w:rFonts w:ascii="Arial" w:hAnsi="Arial" w:cs="Arial"/>
          <w:sz w:val="24"/>
          <w:szCs w:val="24"/>
        </w:rPr>
        <w:t xml:space="preserve"> The court </w:t>
      </w:r>
      <w:r w:rsidR="00E93CC5" w:rsidRPr="00C314E3">
        <w:rPr>
          <w:rFonts w:ascii="Arial" w:hAnsi="Arial" w:cs="Arial"/>
          <w:sz w:val="24"/>
          <w:szCs w:val="24"/>
        </w:rPr>
        <w:t xml:space="preserve">granted an order to that effect, subject to </w:t>
      </w:r>
      <w:r w:rsidR="00285B1E" w:rsidRPr="00C314E3">
        <w:rPr>
          <w:rFonts w:ascii="Arial" w:hAnsi="Arial" w:cs="Arial"/>
          <w:sz w:val="24"/>
          <w:szCs w:val="24"/>
        </w:rPr>
        <w:t xml:space="preserve">any rights </w:t>
      </w:r>
      <w:r w:rsidR="00CC7BC2" w:rsidRPr="00C314E3">
        <w:rPr>
          <w:rFonts w:ascii="Arial" w:hAnsi="Arial" w:cs="Arial"/>
          <w:sz w:val="24"/>
          <w:szCs w:val="24"/>
        </w:rPr>
        <w:t xml:space="preserve">that the first respondent had as occupier </w:t>
      </w:r>
      <w:r w:rsidR="004B5F06" w:rsidRPr="00C314E3">
        <w:rPr>
          <w:rFonts w:ascii="Arial" w:hAnsi="Arial" w:cs="Arial"/>
          <w:sz w:val="24"/>
          <w:szCs w:val="24"/>
        </w:rPr>
        <w:t>of the property.</w:t>
      </w:r>
    </w:p>
    <w:p w14:paraId="4B4D5CBB" w14:textId="77777777" w:rsidR="00070D12" w:rsidRDefault="00070D12" w:rsidP="00070D12">
      <w:pPr>
        <w:pStyle w:val="ListParagraph"/>
        <w:spacing w:line="360" w:lineRule="auto"/>
        <w:ind w:left="0"/>
        <w:jc w:val="both"/>
        <w:rPr>
          <w:rFonts w:ascii="Arial" w:hAnsi="Arial" w:cs="Arial"/>
          <w:sz w:val="24"/>
          <w:szCs w:val="24"/>
        </w:rPr>
      </w:pPr>
    </w:p>
    <w:p w14:paraId="71EB41BB" w14:textId="5E1F108F" w:rsidR="00070D12" w:rsidRPr="00C314E3" w:rsidRDefault="00C314E3" w:rsidP="00C314E3">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7B7F79" w:rsidRPr="00C314E3">
        <w:rPr>
          <w:rFonts w:ascii="Arial" w:hAnsi="Arial" w:cs="Arial"/>
          <w:sz w:val="24"/>
          <w:szCs w:val="24"/>
        </w:rPr>
        <w:t xml:space="preserve">The </w:t>
      </w:r>
      <w:r w:rsidR="00916A2C" w:rsidRPr="00C314E3">
        <w:rPr>
          <w:rFonts w:ascii="Arial" w:hAnsi="Arial" w:cs="Arial"/>
          <w:sz w:val="24"/>
          <w:szCs w:val="24"/>
        </w:rPr>
        <w:t>applicants purchase</w:t>
      </w:r>
      <w:r w:rsidR="007759F8" w:rsidRPr="00C314E3">
        <w:rPr>
          <w:rFonts w:ascii="Arial" w:hAnsi="Arial" w:cs="Arial"/>
          <w:sz w:val="24"/>
          <w:szCs w:val="24"/>
        </w:rPr>
        <w:t>d</w:t>
      </w:r>
      <w:r w:rsidR="00916A2C" w:rsidRPr="00C314E3">
        <w:rPr>
          <w:rFonts w:ascii="Arial" w:hAnsi="Arial" w:cs="Arial"/>
          <w:sz w:val="24"/>
          <w:szCs w:val="24"/>
        </w:rPr>
        <w:t xml:space="preserve"> the property</w:t>
      </w:r>
      <w:r w:rsidR="003A174E" w:rsidRPr="00C314E3">
        <w:rPr>
          <w:rFonts w:ascii="Arial" w:hAnsi="Arial" w:cs="Arial"/>
          <w:sz w:val="24"/>
          <w:szCs w:val="24"/>
        </w:rPr>
        <w:t xml:space="preserve"> </w:t>
      </w:r>
      <w:r w:rsidR="00E831B4" w:rsidRPr="00C314E3">
        <w:rPr>
          <w:rFonts w:ascii="Arial" w:hAnsi="Arial" w:cs="Arial"/>
          <w:sz w:val="24"/>
          <w:szCs w:val="24"/>
        </w:rPr>
        <w:t xml:space="preserve">from </w:t>
      </w:r>
      <w:r w:rsidR="009400AB" w:rsidRPr="00C314E3">
        <w:rPr>
          <w:rFonts w:ascii="Arial" w:hAnsi="Arial" w:cs="Arial"/>
          <w:sz w:val="24"/>
          <w:szCs w:val="24"/>
        </w:rPr>
        <w:t xml:space="preserve">Mr Kriel </w:t>
      </w:r>
      <w:r w:rsidR="003553FC" w:rsidRPr="00C314E3">
        <w:rPr>
          <w:rFonts w:ascii="Arial" w:hAnsi="Arial" w:cs="Arial"/>
          <w:sz w:val="24"/>
          <w:szCs w:val="24"/>
        </w:rPr>
        <w:t>on 12 February 2021</w:t>
      </w:r>
      <w:r w:rsidR="00D87D28" w:rsidRPr="00C314E3">
        <w:rPr>
          <w:rFonts w:ascii="Arial" w:hAnsi="Arial" w:cs="Arial"/>
          <w:sz w:val="24"/>
          <w:szCs w:val="24"/>
        </w:rPr>
        <w:t xml:space="preserve"> </w:t>
      </w:r>
      <w:r w:rsidR="009400AB" w:rsidRPr="00C314E3">
        <w:rPr>
          <w:rFonts w:ascii="Arial" w:hAnsi="Arial" w:cs="Arial"/>
          <w:sz w:val="24"/>
          <w:szCs w:val="24"/>
        </w:rPr>
        <w:t xml:space="preserve">after </w:t>
      </w:r>
      <w:r w:rsidR="00D87D28" w:rsidRPr="00C314E3">
        <w:rPr>
          <w:rFonts w:ascii="Arial" w:hAnsi="Arial" w:cs="Arial"/>
          <w:sz w:val="24"/>
          <w:szCs w:val="24"/>
        </w:rPr>
        <w:t xml:space="preserve">concluding </w:t>
      </w:r>
      <w:r w:rsidR="009400AB" w:rsidRPr="00C314E3">
        <w:rPr>
          <w:rFonts w:ascii="Arial" w:hAnsi="Arial" w:cs="Arial"/>
          <w:sz w:val="24"/>
          <w:szCs w:val="24"/>
        </w:rPr>
        <w:t xml:space="preserve">negotiations with the attorneys for the </w:t>
      </w:r>
      <w:r w:rsidR="00D87D28" w:rsidRPr="00C314E3">
        <w:rPr>
          <w:rFonts w:ascii="Arial" w:hAnsi="Arial" w:cs="Arial"/>
          <w:sz w:val="24"/>
          <w:szCs w:val="24"/>
        </w:rPr>
        <w:t>judgment creditor (</w:t>
      </w:r>
      <w:r w:rsidR="006828B7" w:rsidRPr="00C314E3">
        <w:rPr>
          <w:rFonts w:ascii="Arial" w:hAnsi="Arial" w:cs="Arial"/>
          <w:sz w:val="24"/>
          <w:szCs w:val="24"/>
        </w:rPr>
        <w:t>i.e.,</w:t>
      </w:r>
      <w:r w:rsidR="00D87D28" w:rsidRPr="00C314E3">
        <w:rPr>
          <w:rFonts w:ascii="Arial" w:hAnsi="Arial" w:cs="Arial"/>
          <w:sz w:val="24"/>
          <w:szCs w:val="24"/>
        </w:rPr>
        <w:t xml:space="preserve"> the </w:t>
      </w:r>
      <w:r w:rsidR="0004701E" w:rsidRPr="00C314E3">
        <w:rPr>
          <w:rFonts w:ascii="Arial" w:hAnsi="Arial" w:cs="Arial"/>
          <w:sz w:val="24"/>
          <w:szCs w:val="24"/>
        </w:rPr>
        <w:t>company</w:t>
      </w:r>
      <w:r w:rsidR="00D87D28" w:rsidRPr="00C314E3">
        <w:rPr>
          <w:rFonts w:ascii="Arial" w:hAnsi="Arial" w:cs="Arial"/>
          <w:sz w:val="24"/>
          <w:szCs w:val="24"/>
        </w:rPr>
        <w:t>)</w:t>
      </w:r>
      <w:r w:rsidR="0004701E" w:rsidRPr="00C314E3">
        <w:rPr>
          <w:rFonts w:ascii="Arial" w:hAnsi="Arial" w:cs="Arial"/>
          <w:sz w:val="24"/>
          <w:szCs w:val="24"/>
        </w:rPr>
        <w:t xml:space="preserve">. </w:t>
      </w:r>
      <w:r w:rsidR="000F26FA" w:rsidRPr="00C314E3">
        <w:rPr>
          <w:rFonts w:ascii="Arial" w:hAnsi="Arial" w:cs="Arial"/>
          <w:sz w:val="24"/>
          <w:szCs w:val="24"/>
        </w:rPr>
        <w:t>The t</w:t>
      </w:r>
      <w:r w:rsidR="0044190B" w:rsidRPr="00C314E3">
        <w:rPr>
          <w:rFonts w:ascii="Arial" w:hAnsi="Arial" w:cs="Arial"/>
          <w:sz w:val="24"/>
          <w:szCs w:val="24"/>
        </w:rPr>
        <w:t>ransfer</w:t>
      </w:r>
      <w:r w:rsidR="000F26FA" w:rsidRPr="00C314E3">
        <w:rPr>
          <w:rFonts w:ascii="Arial" w:hAnsi="Arial" w:cs="Arial"/>
          <w:sz w:val="24"/>
          <w:szCs w:val="24"/>
        </w:rPr>
        <w:t xml:space="preserve"> of the property</w:t>
      </w:r>
      <w:r w:rsidR="0044190B" w:rsidRPr="00C314E3">
        <w:rPr>
          <w:rFonts w:ascii="Arial" w:hAnsi="Arial" w:cs="Arial"/>
          <w:sz w:val="24"/>
          <w:szCs w:val="24"/>
        </w:rPr>
        <w:t xml:space="preserve"> was registered </w:t>
      </w:r>
      <w:r w:rsidR="00D73B76" w:rsidRPr="00C314E3">
        <w:rPr>
          <w:rFonts w:ascii="Arial" w:hAnsi="Arial" w:cs="Arial"/>
          <w:sz w:val="24"/>
          <w:szCs w:val="24"/>
        </w:rPr>
        <w:t xml:space="preserve">on </w:t>
      </w:r>
      <w:r w:rsidR="0016790F" w:rsidRPr="00C314E3">
        <w:rPr>
          <w:rFonts w:ascii="Arial" w:hAnsi="Arial" w:cs="Arial"/>
          <w:sz w:val="24"/>
          <w:szCs w:val="24"/>
        </w:rPr>
        <w:t>28 July 2021.</w:t>
      </w:r>
    </w:p>
    <w:p w14:paraId="69458DEE" w14:textId="77777777" w:rsidR="00070D12" w:rsidRPr="00070D12" w:rsidRDefault="00070D12" w:rsidP="00070D12">
      <w:pPr>
        <w:pStyle w:val="ListParagraph"/>
        <w:rPr>
          <w:rFonts w:ascii="Arial" w:hAnsi="Arial" w:cs="Arial"/>
          <w:sz w:val="24"/>
          <w:szCs w:val="24"/>
        </w:rPr>
      </w:pPr>
    </w:p>
    <w:p w14:paraId="2C62CBFD" w14:textId="5332F94D" w:rsidR="00070D12" w:rsidRPr="00C314E3" w:rsidRDefault="00C314E3" w:rsidP="00C314E3">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E65681" w:rsidRPr="00C314E3">
        <w:rPr>
          <w:rFonts w:ascii="Arial" w:hAnsi="Arial" w:cs="Arial"/>
          <w:sz w:val="24"/>
          <w:szCs w:val="24"/>
        </w:rPr>
        <w:t xml:space="preserve">As a backdrop to the above, </w:t>
      </w:r>
      <w:r w:rsidR="00F21647" w:rsidRPr="00C314E3">
        <w:rPr>
          <w:rFonts w:ascii="Arial" w:hAnsi="Arial" w:cs="Arial"/>
          <w:sz w:val="24"/>
          <w:szCs w:val="24"/>
        </w:rPr>
        <w:t xml:space="preserve">there had been a dispute </w:t>
      </w:r>
      <w:r w:rsidR="00AE4403" w:rsidRPr="00C314E3">
        <w:rPr>
          <w:rFonts w:ascii="Arial" w:hAnsi="Arial" w:cs="Arial"/>
          <w:sz w:val="24"/>
          <w:szCs w:val="24"/>
        </w:rPr>
        <w:t xml:space="preserve">about </w:t>
      </w:r>
      <w:r w:rsidR="00F21647" w:rsidRPr="00C314E3">
        <w:rPr>
          <w:rFonts w:ascii="Arial" w:hAnsi="Arial" w:cs="Arial"/>
          <w:sz w:val="24"/>
          <w:szCs w:val="24"/>
        </w:rPr>
        <w:t>Mr Kriel</w:t>
      </w:r>
      <w:r w:rsidR="00AE4403" w:rsidRPr="00C314E3">
        <w:rPr>
          <w:rFonts w:ascii="Arial" w:hAnsi="Arial" w:cs="Arial"/>
          <w:sz w:val="24"/>
          <w:szCs w:val="24"/>
        </w:rPr>
        <w:t xml:space="preserve">’s prior sale </w:t>
      </w:r>
      <w:r w:rsidR="00B4549D" w:rsidRPr="00C314E3">
        <w:rPr>
          <w:rFonts w:ascii="Arial" w:hAnsi="Arial" w:cs="Arial"/>
          <w:sz w:val="24"/>
          <w:szCs w:val="24"/>
        </w:rPr>
        <w:t>of the property to</w:t>
      </w:r>
      <w:r w:rsidR="00F21647" w:rsidRPr="00C314E3">
        <w:rPr>
          <w:rFonts w:ascii="Arial" w:hAnsi="Arial" w:cs="Arial"/>
          <w:sz w:val="24"/>
          <w:szCs w:val="24"/>
        </w:rPr>
        <w:t xml:space="preserve"> the first respondent</w:t>
      </w:r>
      <w:r w:rsidR="00F80386" w:rsidRPr="00C314E3">
        <w:rPr>
          <w:rFonts w:ascii="Arial" w:hAnsi="Arial" w:cs="Arial"/>
          <w:sz w:val="24"/>
          <w:szCs w:val="24"/>
        </w:rPr>
        <w:t xml:space="preserve">. This </w:t>
      </w:r>
      <w:r w:rsidR="00CA2A14" w:rsidRPr="00C314E3">
        <w:rPr>
          <w:rFonts w:ascii="Arial" w:hAnsi="Arial" w:cs="Arial"/>
          <w:sz w:val="24"/>
          <w:szCs w:val="24"/>
        </w:rPr>
        <w:t xml:space="preserve">had </w:t>
      </w:r>
      <w:r w:rsidR="00F80386" w:rsidRPr="00C314E3">
        <w:rPr>
          <w:rFonts w:ascii="Arial" w:hAnsi="Arial" w:cs="Arial"/>
          <w:sz w:val="24"/>
          <w:szCs w:val="24"/>
        </w:rPr>
        <w:t xml:space="preserve">formed the subject of action proceedings brought by Mr Kriel under case number </w:t>
      </w:r>
      <w:r w:rsidR="00747D9C" w:rsidRPr="00C314E3">
        <w:rPr>
          <w:rFonts w:ascii="Arial" w:hAnsi="Arial" w:cs="Arial"/>
          <w:sz w:val="24"/>
          <w:szCs w:val="24"/>
        </w:rPr>
        <w:t>EL 381/2019</w:t>
      </w:r>
      <w:r w:rsidR="00CA2A14" w:rsidRPr="00C314E3">
        <w:rPr>
          <w:rFonts w:ascii="Arial" w:hAnsi="Arial" w:cs="Arial"/>
          <w:sz w:val="24"/>
          <w:szCs w:val="24"/>
        </w:rPr>
        <w:t>, in terms of which he had sought t</w:t>
      </w:r>
      <w:r w:rsidR="00157B2B" w:rsidRPr="00C314E3">
        <w:rPr>
          <w:rFonts w:ascii="Arial" w:hAnsi="Arial" w:cs="Arial"/>
          <w:sz w:val="24"/>
          <w:szCs w:val="24"/>
        </w:rPr>
        <w:t xml:space="preserve">he </w:t>
      </w:r>
      <w:r w:rsidR="00CA2A14" w:rsidRPr="00C314E3">
        <w:rPr>
          <w:rFonts w:ascii="Arial" w:hAnsi="Arial" w:cs="Arial"/>
          <w:sz w:val="24"/>
          <w:szCs w:val="24"/>
        </w:rPr>
        <w:t>cancel</w:t>
      </w:r>
      <w:r w:rsidR="00157B2B" w:rsidRPr="00C314E3">
        <w:rPr>
          <w:rFonts w:ascii="Arial" w:hAnsi="Arial" w:cs="Arial"/>
          <w:sz w:val="24"/>
          <w:szCs w:val="24"/>
        </w:rPr>
        <w:t>lation of</w:t>
      </w:r>
      <w:r w:rsidR="00CA2A14" w:rsidRPr="00C314E3">
        <w:rPr>
          <w:rFonts w:ascii="Arial" w:hAnsi="Arial" w:cs="Arial"/>
          <w:sz w:val="24"/>
          <w:szCs w:val="24"/>
        </w:rPr>
        <w:t xml:space="preserve"> the sale</w:t>
      </w:r>
      <w:r w:rsidR="00157B2B" w:rsidRPr="00C314E3">
        <w:rPr>
          <w:rFonts w:ascii="Arial" w:hAnsi="Arial" w:cs="Arial"/>
          <w:sz w:val="24"/>
          <w:szCs w:val="24"/>
        </w:rPr>
        <w:t xml:space="preserve"> and the </w:t>
      </w:r>
      <w:r w:rsidR="007559C4" w:rsidRPr="00C314E3">
        <w:rPr>
          <w:rFonts w:ascii="Arial" w:hAnsi="Arial" w:cs="Arial"/>
          <w:sz w:val="24"/>
          <w:szCs w:val="24"/>
        </w:rPr>
        <w:t>first respondent’s eviction from the property</w:t>
      </w:r>
      <w:r w:rsidR="00F32031" w:rsidRPr="00C314E3">
        <w:rPr>
          <w:rFonts w:ascii="Arial" w:hAnsi="Arial" w:cs="Arial"/>
          <w:sz w:val="24"/>
          <w:szCs w:val="24"/>
        </w:rPr>
        <w:t xml:space="preserve">. The </w:t>
      </w:r>
      <w:r w:rsidR="00157B2B" w:rsidRPr="00C314E3">
        <w:rPr>
          <w:rFonts w:ascii="Arial" w:hAnsi="Arial" w:cs="Arial"/>
          <w:sz w:val="24"/>
          <w:szCs w:val="24"/>
        </w:rPr>
        <w:t xml:space="preserve">first respondent </w:t>
      </w:r>
      <w:r w:rsidR="001B4DA4" w:rsidRPr="00C314E3">
        <w:rPr>
          <w:rFonts w:ascii="Arial" w:hAnsi="Arial" w:cs="Arial"/>
          <w:sz w:val="24"/>
          <w:szCs w:val="24"/>
        </w:rPr>
        <w:t xml:space="preserve">had </w:t>
      </w:r>
      <w:r w:rsidR="00157B2B" w:rsidRPr="00C314E3">
        <w:rPr>
          <w:rFonts w:ascii="Arial" w:hAnsi="Arial" w:cs="Arial"/>
          <w:sz w:val="24"/>
          <w:szCs w:val="24"/>
        </w:rPr>
        <w:t xml:space="preserve">denied the existence of the </w:t>
      </w:r>
      <w:r w:rsidR="007559C4" w:rsidRPr="00C314E3">
        <w:rPr>
          <w:rFonts w:ascii="Arial" w:hAnsi="Arial" w:cs="Arial"/>
          <w:sz w:val="24"/>
          <w:szCs w:val="24"/>
        </w:rPr>
        <w:t xml:space="preserve">sale but had </w:t>
      </w:r>
      <w:r w:rsidR="001B4DA4" w:rsidRPr="00C314E3">
        <w:rPr>
          <w:rFonts w:ascii="Arial" w:hAnsi="Arial" w:cs="Arial"/>
          <w:sz w:val="24"/>
          <w:szCs w:val="24"/>
        </w:rPr>
        <w:t xml:space="preserve">argued that he was entitled to </w:t>
      </w:r>
      <w:r w:rsidR="00DB1F25" w:rsidRPr="00C314E3">
        <w:rPr>
          <w:rFonts w:ascii="Arial" w:hAnsi="Arial" w:cs="Arial"/>
          <w:sz w:val="24"/>
          <w:szCs w:val="24"/>
        </w:rPr>
        <w:t>occupation</w:t>
      </w:r>
      <w:r w:rsidR="00A77FFD" w:rsidRPr="00C314E3">
        <w:rPr>
          <w:rFonts w:ascii="Arial" w:hAnsi="Arial" w:cs="Arial"/>
          <w:sz w:val="24"/>
          <w:szCs w:val="24"/>
        </w:rPr>
        <w:t xml:space="preserve">. This was because the parties had entered into </w:t>
      </w:r>
      <w:r w:rsidR="00DB1F25" w:rsidRPr="00C314E3">
        <w:rPr>
          <w:rFonts w:ascii="Arial" w:hAnsi="Arial" w:cs="Arial"/>
          <w:sz w:val="24"/>
          <w:szCs w:val="24"/>
        </w:rPr>
        <w:t xml:space="preserve">a separate agreement </w:t>
      </w:r>
      <w:r w:rsidR="002F53DC" w:rsidRPr="00C314E3">
        <w:rPr>
          <w:rFonts w:ascii="Arial" w:hAnsi="Arial" w:cs="Arial"/>
          <w:sz w:val="24"/>
          <w:szCs w:val="24"/>
        </w:rPr>
        <w:t xml:space="preserve">in terms of which Mr Kriel had allegedly granted the first respondent </w:t>
      </w:r>
      <w:r w:rsidR="00EF1659" w:rsidRPr="00C314E3">
        <w:rPr>
          <w:rFonts w:ascii="Arial" w:hAnsi="Arial" w:cs="Arial"/>
          <w:sz w:val="24"/>
          <w:szCs w:val="24"/>
        </w:rPr>
        <w:t>the right to occupy the property, pending the repayment of a loan.</w:t>
      </w:r>
      <w:r w:rsidR="00DB1F25" w:rsidRPr="00C314E3">
        <w:rPr>
          <w:rFonts w:ascii="Arial" w:hAnsi="Arial" w:cs="Arial"/>
          <w:sz w:val="24"/>
          <w:szCs w:val="24"/>
        </w:rPr>
        <w:t xml:space="preserve"> </w:t>
      </w:r>
    </w:p>
    <w:p w14:paraId="65386B4B" w14:textId="77777777" w:rsidR="00070D12" w:rsidRPr="00070D12" w:rsidRDefault="00070D12" w:rsidP="00070D12">
      <w:pPr>
        <w:pStyle w:val="ListParagraph"/>
        <w:rPr>
          <w:rFonts w:ascii="Arial" w:hAnsi="Arial" w:cs="Arial"/>
          <w:sz w:val="24"/>
          <w:szCs w:val="24"/>
        </w:rPr>
      </w:pPr>
    </w:p>
    <w:p w14:paraId="407919E7" w14:textId="4B3DB9A5" w:rsidR="00070D12" w:rsidRPr="00C314E3" w:rsidRDefault="00C314E3" w:rsidP="00C314E3">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B47AF0" w:rsidRPr="00C314E3">
        <w:rPr>
          <w:rFonts w:ascii="Arial" w:hAnsi="Arial" w:cs="Arial"/>
          <w:sz w:val="24"/>
          <w:szCs w:val="24"/>
        </w:rPr>
        <w:t>The applicants pointed out that the first respondent had failed to register any right against the property. There was no impediment to the purchase thereof.</w:t>
      </w:r>
    </w:p>
    <w:p w14:paraId="00E37DDA" w14:textId="77777777" w:rsidR="00070D12" w:rsidRPr="00070D12" w:rsidRDefault="00070D12" w:rsidP="00070D12">
      <w:pPr>
        <w:pStyle w:val="ListParagraph"/>
        <w:rPr>
          <w:rFonts w:ascii="Arial" w:hAnsi="Arial" w:cs="Arial"/>
          <w:sz w:val="24"/>
          <w:szCs w:val="24"/>
        </w:rPr>
      </w:pPr>
    </w:p>
    <w:p w14:paraId="325FB9E3" w14:textId="4F6CE274" w:rsidR="00070D12" w:rsidRPr="00C314E3" w:rsidRDefault="00C314E3" w:rsidP="00C314E3">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B47AF0" w:rsidRPr="00C314E3">
        <w:rPr>
          <w:rFonts w:ascii="Arial" w:hAnsi="Arial" w:cs="Arial"/>
          <w:sz w:val="24"/>
          <w:szCs w:val="24"/>
        </w:rPr>
        <w:t xml:space="preserve">In accordance with the </w:t>
      </w:r>
      <w:r w:rsidR="00135218" w:rsidRPr="00C314E3">
        <w:rPr>
          <w:rFonts w:ascii="Arial" w:hAnsi="Arial" w:cs="Arial"/>
          <w:sz w:val="24"/>
          <w:szCs w:val="24"/>
        </w:rPr>
        <w:t xml:space="preserve">agreement </w:t>
      </w:r>
      <w:r w:rsidR="00B47AF0" w:rsidRPr="00C314E3">
        <w:rPr>
          <w:rFonts w:ascii="Arial" w:hAnsi="Arial" w:cs="Arial"/>
          <w:sz w:val="24"/>
          <w:szCs w:val="24"/>
        </w:rPr>
        <w:t>of sale</w:t>
      </w:r>
      <w:r w:rsidR="00135218" w:rsidRPr="00C314E3">
        <w:rPr>
          <w:rFonts w:ascii="Arial" w:hAnsi="Arial" w:cs="Arial"/>
          <w:sz w:val="24"/>
          <w:szCs w:val="24"/>
        </w:rPr>
        <w:t xml:space="preserve"> concluded with Mr Kriel, the applicants were entitled to vacant occupation of the property on the date of registration of transfer. Despite the applicants’ d</w:t>
      </w:r>
      <w:r w:rsidR="00840474" w:rsidRPr="00C314E3">
        <w:rPr>
          <w:rFonts w:ascii="Arial" w:hAnsi="Arial" w:cs="Arial"/>
          <w:sz w:val="24"/>
          <w:szCs w:val="24"/>
        </w:rPr>
        <w:t>elivery of a notice to vacate on 4 August 2021</w:t>
      </w:r>
      <w:r w:rsidR="00135218" w:rsidRPr="00C314E3">
        <w:rPr>
          <w:rFonts w:ascii="Arial" w:hAnsi="Arial" w:cs="Arial"/>
          <w:sz w:val="24"/>
          <w:szCs w:val="24"/>
        </w:rPr>
        <w:t xml:space="preserve">, the first respondent refused to cooperate and relied on the right of occupation allegedly granted </w:t>
      </w:r>
      <w:r w:rsidR="00135218" w:rsidRPr="00C314E3">
        <w:rPr>
          <w:rFonts w:ascii="Arial" w:hAnsi="Arial" w:cs="Arial"/>
          <w:sz w:val="24"/>
          <w:szCs w:val="24"/>
        </w:rPr>
        <w:lastRenderedPageBreak/>
        <w:t xml:space="preserve">to him by Mr Kriel. </w:t>
      </w:r>
      <w:r w:rsidR="00840474" w:rsidRPr="00C314E3">
        <w:rPr>
          <w:rFonts w:ascii="Arial" w:hAnsi="Arial" w:cs="Arial"/>
          <w:sz w:val="24"/>
          <w:szCs w:val="24"/>
        </w:rPr>
        <w:t>He, furthermore, refused access to the property for purposes of the first applicant’s investigation of a possible water leak. He also refused access when the first applicant attempted to do so in the company of a police officer on 19 August 2021.</w:t>
      </w:r>
    </w:p>
    <w:p w14:paraId="1D6AFAF5" w14:textId="523E4423" w:rsidR="00070D12" w:rsidRPr="00C314E3" w:rsidRDefault="00C314E3" w:rsidP="00C314E3">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D82A32" w:rsidRPr="00C314E3">
        <w:rPr>
          <w:rFonts w:ascii="Arial" w:hAnsi="Arial" w:cs="Arial"/>
          <w:sz w:val="24"/>
          <w:szCs w:val="24"/>
        </w:rPr>
        <w:t xml:space="preserve">The applicants, in desperation, </w:t>
      </w:r>
      <w:r w:rsidR="00060C87" w:rsidRPr="00C314E3">
        <w:rPr>
          <w:rFonts w:ascii="Arial" w:hAnsi="Arial" w:cs="Arial"/>
          <w:sz w:val="24"/>
          <w:szCs w:val="24"/>
        </w:rPr>
        <w:t xml:space="preserve">found </w:t>
      </w:r>
      <w:r w:rsidR="00D82A32" w:rsidRPr="00C314E3">
        <w:rPr>
          <w:rFonts w:ascii="Arial" w:hAnsi="Arial" w:cs="Arial"/>
          <w:sz w:val="24"/>
          <w:szCs w:val="24"/>
        </w:rPr>
        <w:t>alter</w:t>
      </w:r>
      <w:r w:rsidR="002E6E1A" w:rsidRPr="00C314E3">
        <w:rPr>
          <w:rFonts w:ascii="Arial" w:hAnsi="Arial" w:cs="Arial"/>
          <w:sz w:val="24"/>
          <w:szCs w:val="24"/>
        </w:rPr>
        <w:t xml:space="preserve">native accommodation for the first respondent </w:t>
      </w:r>
      <w:r w:rsidR="00060C87" w:rsidRPr="00C314E3">
        <w:rPr>
          <w:rFonts w:ascii="Arial" w:hAnsi="Arial" w:cs="Arial"/>
          <w:sz w:val="24"/>
          <w:szCs w:val="24"/>
        </w:rPr>
        <w:t xml:space="preserve">and offered to </w:t>
      </w:r>
      <w:r w:rsidR="00D92829" w:rsidRPr="00C314E3">
        <w:rPr>
          <w:rFonts w:ascii="Arial" w:hAnsi="Arial" w:cs="Arial"/>
          <w:sz w:val="24"/>
          <w:szCs w:val="24"/>
        </w:rPr>
        <w:t xml:space="preserve">pay </w:t>
      </w:r>
      <w:r w:rsidR="00833558" w:rsidRPr="00C314E3">
        <w:rPr>
          <w:rFonts w:ascii="Arial" w:hAnsi="Arial" w:cs="Arial"/>
          <w:sz w:val="24"/>
          <w:szCs w:val="24"/>
        </w:rPr>
        <w:t>four months’ worth of rental and</w:t>
      </w:r>
      <w:r w:rsidR="00821037" w:rsidRPr="00C314E3">
        <w:rPr>
          <w:rFonts w:ascii="Arial" w:hAnsi="Arial" w:cs="Arial"/>
          <w:sz w:val="24"/>
          <w:szCs w:val="24"/>
        </w:rPr>
        <w:t xml:space="preserve"> the</w:t>
      </w:r>
      <w:r w:rsidR="00833558" w:rsidRPr="00C314E3">
        <w:rPr>
          <w:rFonts w:ascii="Arial" w:hAnsi="Arial" w:cs="Arial"/>
          <w:sz w:val="24"/>
          <w:szCs w:val="24"/>
        </w:rPr>
        <w:t xml:space="preserve"> </w:t>
      </w:r>
      <w:r w:rsidR="00821037" w:rsidRPr="00C314E3">
        <w:rPr>
          <w:rFonts w:ascii="Arial" w:hAnsi="Arial" w:cs="Arial"/>
          <w:sz w:val="24"/>
          <w:szCs w:val="24"/>
        </w:rPr>
        <w:t>removal costs, but to no avail.</w:t>
      </w:r>
    </w:p>
    <w:p w14:paraId="2C2A3E8B" w14:textId="77777777" w:rsidR="00070D12" w:rsidRPr="00070D12" w:rsidRDefault="00070D12" w:rsidP="00070D12">
      <w:pPr>
        <w:pStyle w:val="ListParagraph"/>
        <w:rPr>
          <w:rFonts w:ascii="Arial" w:hAnsi="Arial" w:cs="Arial"/>
          <w:sz w:val="24"/>
          <w:szCs w:val="24"/>
        </w:rPr>
      </w:pPr>
    </w:p>
    <w:p w14:paraId="6BAE18CC" w14:textId="4A8B276E" w:rsidR="00070D12" w:rsidRPr="00C314E3" w:rsidRDefault="00C314E3" w:rsidP="00C314E3">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6003DF" w:rsidRPr="00C314E3">
        <w:rPr>
          <w:rFonts w:ascii="Arial" w:hAnsi="Arial" w:cs="Arial"/>
          <w:sz w:val="24"/>
          <w:szCs w:val="24"/>
        </w:rPr>
        <w:t xml:space="preserve">A subsequent account from the second respondent indicated </w:t>
      </w:r>
      <w:r w:rsidR="006F49A0" w:rsidRPr="00C314E3">
        <w:rPr>
          <w:rFonts w:ascii="Arial" w:hAnsi="Arial" w:cs="Arial"/>
          <w:sz w:val="24"/>
          <w:szCs w:val="24"/>
        </w:rPr>
        <w:t>that water consumption at the property had increased substantially</w:t>
      </w:r>
      <w:r w:rsidR="004C24A9" w:rsidRPr="00C314E3">
        <w:rPr>
          <w:rFonts w:ascii="Arial" w:hAnsi="Arial" w:cs="Arial"/>
          <w:sz w:val="24"/>
          <w:szCs w:val="24"/>
        </w:rPr>
        <w:t>, confirming their suspicion of a possible leak</w:t>
      </w:r>
      <w:r w:rsidR="00913472" w:rsidRPr="00C314E3">
        <w:rPr>
          <w:rFonts w:ascii="Arial" w:hAnsi="Arial" w:cs="Arial"/>
          <w:sz w:val="24"/>
          <w:szCs w:val="24"/>
        </w:rPr>
        <w:t>. The applicants</w:t>
      </w:r>
      <w:r w:rsidR="00F600EF" w:rsidRPr="00C314E3">
        <w:rPr>
          <w:rFonts w:ascii="Arial" w:hAnsi="Arial" w:cs="Arial"/>
          <w:sz w:val="24"/>
          <w:szCs w:val="24"/>
        </w:rPr>
        <w:t xml:space="preserve"> </w:t>
      </w:r>
      <w:r w:rsidR="00913472" w:rsidRPr="00C314E3">
        <w:rPr>
          <w:rFonts w:ascii="Arial" w:hAnsi="Arial" w:cs="Arial"/>
          <w:sz w:val="24"/>
          <w:szCs w:val="24"/>
        </w:rPr>
        <w:t>were</w:t>
      </w:r>
      <w:r w:rsidR="00920BE5" w:rsidRPr="00C314E3">
        <w:rPr>
          <w:rFonts w:ascii="Arial" w:hAnsi="Arial" w:cs="Arial"/>
          <w:sz w:val="24"/>
          <w:szCs w:val="24"/>
        </w:rPr>
        <w:t xml:space="preserve"> liable for the </w:t>
      </w:r>
      <w:r w:rsidR="00DD579A" w:rsidRPr="00C314E3">
        <w:rPr>
          <w:rFonts w:ascii="Arial" w:hAnsi="Arial" w:cs="Arial"/>
          <w:sz w:val="24"/>
          <w:szCs w:val="24"/>
        </w:rPr>
        <w:t>charges but were</w:t>
      </w:r>
      <w:r w:rsidR="00913472" w:rsidRPr="00C314E3">
        <w:rPr>
          <w:rFonts w:ascii="Arial" w:hAnsi="Arial" w:cs="Arial"/>
          <w:sz w:val="24"/>
          <w:szCs w:val="24"/>
        </w:rPr>
        <w:t xml:space="preserve"> unable to </w:t>
      </w:r>
      <w:r w:rsidR="00DD579A" w:rsidRPr="00C314E3">
        <w:rPr>
          <w:rFonts w:ascii="Arial" w:hAnsi="Arial" w:cs="Arial"/>
          <w:sz w:val="24"/>
          <w:szCs w:val="24"/>
        </w:rPr>
        <w:t>address</w:t>
      </w:r>
      <w:r w:rsidR="00913472" w:rsidRPr="00C314E3">
        <w:rPr>
          <w:rFonts w:ascii="Arial" w:hAnsi="Arial" w:cs="Arial"/>
          <w:sz w:val="24"/>
          <w:szCs w:val="24"/>
        </w:rPr>
        <w:t xml:space="preserve"> the </w:t>
      </w:r>
      <w:r w:rsidR="007F596B" w:rsidRPr="00C314E3">
        <w:rPr>
          <w:rFonts w:ascii="Arial" w:hAnsi="Arial" w:cs="Arial"/>
          <w:sz w:val="24"/>
          <w:szCs w:val="24"/>
        </w:rPr>
        <w:t>problem without the first respondent’s cooperation.</w:t>
      </w:r>
    </w:p>
    <w:p w14:paraId="10FA3872" w14:textId="77777777" w:rsidR="00070D12" w:rsidRPr="00070D12" w:rsidRDefault="00070D12" w:rsidP="00070D12">
      <w:pPr>
        <w:pStyle w:val="ListParagraph"/>
        <w:rPr>
          <w:rFonts w:ascii="Arial" w:hAnsi="Arial" w:cs="Arial"/>
          <w:sz w:val="24"/>
          <w:szCs w:val="24"/>
        </w:rPr>
      </w:pPr>
    </w:p>
    <w:p w14:paraId="6A541FB0" w14:textId="78F1757B" w:rsidR="00070D12" w:rsidRPr="00C314E3" w:rsidRDefault="00C314E3" w:rsidP="00C314E3">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E41D87" w:rsidRPr="00C314E3">
        <w:rPr>
          <w:rFonts w:ascii="Arial" w:hAnsi="Arial" w:cs="Arial"/>
          <w:sz w:val="24"/>
          <w:szCs w:val="24"/>
        </w:rPr>
        <w:t xml:space="preserve">On 2 November 2021, the applicants </w:t>
      </w:r>
      <w:r w:rsidR="00604835" w:rsidRPr="00C314E3">
        <w:rPr>
          <w:rFonts w:ascii="Arial" w:hAnsi="Arial" w:cs="Arial"/>
          <w:sz w:val="24"/>
          <w:szCs w:val="24"/>
        </w:rPr>
        <w:t xml:space="preserve">instituted urgent </w:t>
      </w:r>
      <w:r w:rsidR="005D6EC9" w:rsidRPr="00C314E3">
        <w:rPr>
          <w:rFonts w:ascii="Arial" w:hAnsi="Arial" w:cs="Arial"/>
          <w:sz w:val="24"/>
          <w:szCs w:val="24"/>
        </w:rPr>
        <w:t>application</w:t>
      </w:r>
      <w:r w:rsidR="002826F3" w:rsidRPr="00C314E3">
        <w:rPr>
          <w:rFonts w:ascii="Arial" w:hAnsi="Arial" w:cs="Arial"/>
          <w:sz w:val="24"/>
          <w:szCs w:val="24"/>
        </w:rPr>
        <w:t xml:space="preserve"> proceedings </w:t>
      </w:r>
      <w:r w:rsidR="00BF0E5E" w:rsidRPr="00C314E3">
        <w:rPr>
          <w:rFonts w:ascii="Arial" w:hAnsi="Arial" w:cs="Arial"/>
          <w:sz w:val="24"/>
          <w:szCs w:val="24"/>
        </w:rPr>
        <w:t xml:space="preserve">against the first respondent </w:t>
      </w:r>
      <w:r w:rsidR="005D6EC9" w:rsidRPr="00C314E3">
        <w:rPr>
          <w:rFonts w:ascii="Arial" w:hAnsi="Arial" w:cs="Arial"/>
          <w:sz w:val="24"/>
          <w:szCs w:val="24"/>
        </w:rPr>
        <w:t xml:space="preserve">under </w:t>
      </w:r>
      <w:r w:rsidR="00BF0E5E" w:rsidRPr="00C314E3">
        <w:rPr>
          <w:rFonts w:ascii="Arial" w:hAnsi="Arial" w:cs="Arial"/>
          <w:sz w:val="24"/>
          <w:szCs w:val="24"/>
        </w:rPr>
        <w:t xml:space="preserve">case number EL 1281/2021. </w:t>
      </w:r>
      <w:r w:rsidR="00AB0880" w:rsidRPr="00C314E3">
        <w:rPr>
          <w:rFonts w:ascii="Arial" w:hAnsi="Arial" w:cs="Arial"/>
          <w:sz w:val="24"/>
          <w:szCs w:val="24"/>
        </w:rPr>
        <w:t>The matter was struck off the roll and subsequently re-enrolled</w:t>
      </w:r>
      <w:r w:rsidR="00F41162" w:rsidRPr="00C314E3">
        <w:rPr>
          <w:rFonts w:ascii="Arial" w:hAnsi="Arial" w:cs="Arial"/>
          <w:sz w:val="24"/>
          <w:szCs w:val="24"/>
        </w:rPr>
        <w:t xml:space="preserve">, whereafter it was </w:t>
      </w:r>
      <w:r w:rsidR="00187A6C" w:rsidRPr="00C314E3">
        <w:rPr>
          <w:rFonts w:ascii="Arial" w:hAnsi="Arial" w:cs="Arial"/>
          <w:sz w:val="24"/>
          <w:szCs w:val="24"/>
        </w:rPr>
        <w:t>dismissed on 9 June 2022.</w:t>
      </w:r>
    </w:p>
    <w:p w14:paraId="38509E92" w14:textId="77777777" w:rsidR="00070D12" w:rsidRPr="00070D12" w:rsidRDefault="00070D12" w:rsidP="00070D12">
      <w:pPr>
        <w:pStyle w:val="ListParagraph"/>
        <w:rPr>
          <w:rFonts w:ascii="Arial" w:hAnsi="Arial" w:cs="Arial"/>
          <w:sz w:val="24"/>
          <w:szCs w:val="24"/>
        </w:rPr>
      </w:pPr>
    </w:p>
    <w:p w14:paraId="07E015A5" w14:textId="76B78E7E" w:rsidR="00070D12" w:rsidRPr="00C314E3" w:rsidRDefault="00C314E3" w:rsidP="00C314E3">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DD579A" w:rsidRPr="00C314E3">
        <w:rPr>
          <w:rFonts w:ascii="Arial" w:hAnsi="Arial" w:cs="Arial"/>
          <w:sz w:val="24"/>
          <w:szCs w:val="24"/>
        </w:rPr>
        <w:t xml:space="preserve">Pending </w:t>
      </w:r>
      <w:r w:rsidR="00525356" w:rsidRPr="00C314E3">
        <w:rPr>
          <w:rFonts w:ascii="Arial" w:hAnsi="Arial" w:cs="Arial"/>
          <w:sz w:val="24"/>
          <w:szCs w:val="24"/>
        </w:rPr>
        <w:t xml:space="preserve">finalisation of the </w:t>
      </w:r>
      <w:r w:rsidR="00DD579A" w:rsidRPr="00C314E3">
        <w:rPr>
          <w:rFonts w:ascii="Arial" w:hAnsi="Arial" w:cs="Arial"/>
          <w:sz w:val="24"/>
          <w:szCs w:val="24"/>
        </w:rPr>
        <w:t xml:space="preserve">dispute with the first respondent, the applicants have </w:t>
      </w:r>
      <w:r w:rsidR="00786DB4" w:rsidRPr="00C314E3">
        <w:rPr>
          <w:rFonts w:ascii="Arial" w:hAnsi="Arial" w:cs="Arial"/>
          <w:sz w:val="24"/>
          <w:szCs w:val="24"/>
        </w:rPr>
        <w:t>been constrained to secure rented accommodation at considerable expense</w:t>
      </w:r>
      <w:r w:rsidR="00525356" w:rsidRPr="00C314E3">
        <w:rPr>
          <w:rFonts w:ascii="Arial" w:hAnsi="Arial" w:cs="Arial"/>
          <w:sz w:val="24"/>
          <w:szCs w:val="24"/>
        </w:rPr>
        <w:t xml:space="preserve">. They have also </w:t>
      </w:r>
      <w:r w:rsidR="00145800" w:rsidRPr="00C314E3">
        <w:rPr>
          <w:rFonts w:ascii="Arial" w:hAnsi="Arial" w:cs="Arial"/>
          <w:sz w:val="24"/>
          <w:szCs w:val="24"/>
        </w:rPr>
        <w:t xml:space="preserve">placed their </w:t>
      </w:r>
      <w:r w:rsidR="004A7B01" w:rsidRPr="00C314E3">
        <w:rPr>
          <w:rFonts w:ascii="Arial" w:hAnsi="Arial" w:cs="Arial"/>
          <w:sz w:val="24"/>
          <w:szCs w:val="24"/>
        </w:rPr>
        <w:t xml:space="preserve">belongings in storage. </w:t>
      </w:r>
      <w:r w:rsidR="00225F75" w:rsidRPr="00C314E3">
        <w:rPr>
          <w:rFonts w:ascii="Arial" w:hAnsi="Arial" w:cs="Arial"/>
          <w:sz w:val="24"/>
          <w:szCs w:val="24"/>
        </w:rPr>
        <w:t xml:space="preserve">The </w:t>
      </w:r>
      <w:r w:rsidR="00841C58" w:rsidRPr="00C314E3">
        <w:rPr>
          <w:rFonts w:ascii="Arial" w:hAnsi="Arial" w:cs="Arial"/>
          <w:sz w:val="24"/>
          <w:szCs w:val="24"/>
        </w:rPr>
        <w:t xml:space="preserve">second applicant </w:t>
      </w:r>
      <w:r w:rsidR="0012666D" w:rsidRPr="00C314E3">
        <w:rPr>
          <w:rFonts w:ascii="Arial" w:hAnsi="Arial" w:cs="Arial"/>
          <w:sz w:val="24"/>
          <w:szCs w:val="24"/>
        </w:rPr>
        <w:t>previously operate</w:t>
      </w:r>
      <w:r w:rsidR="0056248C" w:rsidRPr="00C314E3">
        <w:rPr>
          <w:rFonts w:ascii="Arial" w:hAnsi="Arial" w:cs="Arial"/>
          <w:sz w:val="24"/>
          <w:szCs w:val="24"/>
        </w:rPr>
        <w:t>d</w:t>
      </w:r>
      <w:r w:rsidR="0012666D" w:rsidRPr="00C314E3">
        <w:rPr>
          <w:rFonts w:ascii="Arial" w:hAnsi="Arial" w:cs="Arial"/>
          <w:sz w:val="24"/>
          <w:szCs w:val="24"/>
        </w:rPr>
        <w:t xml:space="preserve"> her legal practice </w:t>
      </w:r>
      <w:r w:rsidR="0056248C" w:rsidRPr="00C314E3">
        <w:rPr>
          <w:rFonts w:ascii="Arial" w:hAnsi="Arial" w:cs="Arial"/>
          <w:sz w:val="24"/>
          <w:szCs w:val="24"/>
        </w:rPr>
        <w:t xml:space="preserve">from home but has been unable to do so properly from temporary premises. </w:t>
      </w:r>
      <w:r w:rsidR="006B42AB" w:rsidRPr="00C314E3">
        <w:rPr>
          <w:rFonts w:ascii="Arial" w:hAnsi="Arial" w:cs="Arial"/>
          <w:sz w:val="24"/>
          <w:szCs w:val="24"/>
        </w:rPr>
        <w:t xml:space="preserve">The </w:t>
      </w:r>
      <w:r w:rsidR="0085455D" w:rsidRPr="00C314E3">
        <w:rPr>
          <w:rFonts w:ascii="Arial" w:hAnsi="Arial" w:cs="Arial"/>
          <w:sz w:val="24"/>
          <w:szCs w:val="24"/>
        </w:rPr>
        <w:t xml:space="preserve">applicants and their </w:t>
      </w:r>
      <w:r w:rsidR="00497014" w:rsidRPr="00C314E3">
        <w:rPr>
          <w:rFonts w:ascii="Arial" w:hAnsi="Arial" w:cs="Arial"/>
          <w:sz w:val="24"/>
          <w:szCs w:val="24"/>
        </w:rPr>
        <w:t xml:space="preserve">children </w:t>
      </w:r>
      <w:r w:rsidR="006B42AB" w:rsidRPr="00C314E3">
        <w:rPr>
          <w:rFonts w:ascii="Arial" w:hAnsi="Arial" w:cs="Arial"/>
          <w:sz w:val="24"/>
          <w:szCs w:val="24"/>
        </w:rPr>
        <w:t>ha</w:t>
      </w:r>
      <w:r w:rsidR="0085455D" w:rsidRPr="00C314E3">
        <w:rPr>
          <w:rFonts w:ascii="Arial" w:hAnsi="Arial" w:cs="Arial"/>
          <w:sz w:val="24"/>
          <w:szCs w:val="24"/>
        </w:rPr>
        <w:t xml:space="preserve">ve </w:t>
      </w:r>
      <w:r w:rsidR="006B42AB" w:rsidRPr="00C314E3">
        <w:rPr>
          <w:rFonts w:ascii="Arial" w:hAnsi="Arial" w:cs="Arial"/>
          <w:sz w:val="24"/>
          <w:szCs w:val="24"/>
        </w:rPr>
        <w:t xml:space="preserve">lived in </w:t>
      </w:r>
      <w:r w:rsidR="00374A71" w:rsidRPr="00C314E3">
        <w:rPr>
          <w:rFonts w:ascii="Arial" w:hAnsi="Arial" w:cs="Arial"/>
          <w:sz w:val="24"/>
          <w:szCs w:val="24"/>
        </w:rPr>
        <w:t xml:space="preserve">a state of limbo for </w:t>
      </w:r>
      <w:r w:rsidR="00434591" w:rsidRPr="00C314E3">
        <w:rPr>
          <w:rFonts w:ascii="Arial" w:hAnsi="Arial" w:cs="Arial"/>
          <w:sz w:val="24"/>
          <w:szCs w:val="24"/>
        </w:rPr>
        <w:t>well over a year</w:t>
      </w:r>
      <w:r w:rsidR="0085455D" w:rsidRPr="00C314E3">
        <w:rPr>
          <w:rFonts w:ascii="Arial" w:hAnsi="Arial" w:cs="Arial"/>
          <w:sz w:val="24"/>
          <w:szCs w:val="24"/>
        </w:rPr>
        <w:t xml:space="preserve"> and the </w:t>
      </w:r>
      <w:r w:rsidR="00225F75" w:rsidRPr="00C314E3">
        <w:rPr>
          <w:rFonts w:ascii="Arial" w:hAnsi="Arial" w:cs="Arial"/>
          <w:sz w:val="24"/>
          <w:szCs w:val="24"/>
        </w:rPr>
        <w:t>uncertainty</w:t>
      </w:r>
      <w:r w:rsidR="006B42AB" w:rsidRPr="00C314E3">
        <w:rPr>
          <w:rFonts w:ascii="Arial" w:hAnsi="Arial" w:cs="Arial"/>
          <w:sz w:val="24"/>
          <w:szCs w:val="24"/>
        </w:rPr>
        <w:t>, overall,</w:t>
      </w:r>
      <w:r w:rsidR="00225F75" w:rsidRPr="00C314E3">
        <w:rPr>
          <w:rFonts w:ascii="Arial" w:hAnsi="Arial" w:cs="Arial"/>
          <w:sz w:val="24"/>
          <w:szCs w:val="24"/>
        </w:rPr>
        <w:t xml:space="preserve"> has taken a</w:t>
      </w:r>
      <w:r w:rsidR="00497014" w:rsidRPr="00C314E3">
        <w:rPr>
          <w:rFonts w:ascii="Arial" w:hAnsi="Arial" w:cs="Arial"/>
          <w:sz w:val="24"/>
          <w:szCs w:val="24"/>
        </w:rPr>
        <w:t>n emotional</w:t>
      </w:r>
      <w:r w:rsidR="0085455D" w:rsidRPr="00C314E3">
        <w:rPr>
          <w:rFonts w:ascii="Arial" w:hAnsi="Arial" w:cs="Arial"/>
          <w:sz w:val="24"/>
          <w:szCs w:val="24"/>
        </w:rPr>
        <w:t xml:space="preserve"> toll</w:t>
      </w:r>
      <w:r w:rsidR="00497014" w:rsidRPr="00C314E3">
        <w:rPr>
          <w:rFonts w:ascii="Arial" w:hAnsi="Arial" w:cs="Arial"/>
          <w:sz w:val="24"/>
          <w:szCs w:val="24"/>
        </w:rPr>
        <w:t xml:space="preserve"> </w:t>
      </w:r>
      <w:r w:rsidR="006B6F01" w:rsidRPr="00C314E3">
        <w:rPr>
          <w:rFonts w:ascii="Arial" w:hAnsi="Arial" w:cs="Arial"/>
          <w:sz w:val="24"/>
          <w:szCs w:val="24"/>
        </w:rPr>
        <w:t xml:space="preserve">on </w:t>
      </w:r>
      <w:r w:rsidR="00497014" w:rsidRPr="00C314E3">
        <w:rPr>
          <w:rFonts w:ascii="Arial" w:hAnsi="Arial" w:cs="Arial"/>
          <w:sz w:val="24"/>
          <w:szCs w:val="24"/>
        </w:rPr>
        <w:t xml:space="preserve">the </w:t>
      </w:r>
      <w:r w:rsidR="006B6F01" w:rsidRPr="00C314E3">
        <w:rPr>
          <w:rFonts w:ascii="Arial" w:hAnsi="Arial" w:cs="Arial"/>
          <w:sz w:val="24"/>
          <w:szCs w:val="24"/>
        </w:rPr>
        <w:t>family.</w:t>
      </w:r>
      <w:r w:rsidR="005840BE" w:rsidRPr="00C314E3">
        <w:rPr>
          <w:rFonts w:ascii="Arial" w:hAnsi="Arial" w:cs="Arial"/>
          <w:sz w:val="24"/>
          <w:szCs w:val="24"/>
        </w:rPr>
        <w:t xml:space="preserve"> </w:t>
      </w:r>
    </w:p>
    <w:p w14:paraId="3AAAFCCF" w14:textId="77777777" w:rsidR="00070D12" w:rsidRPr="00070D12" w:rsidRDefault="00070D12" w:rsidP="00070D12">
      <w:pPr>
        <w:pStyle w:val="ListParagraph"/>
        <w:rPr>
          <w:rFonts w:ascii="Arial" w:hAnsi="Arial" w:cs="Arial"/>
          <w:sz w:val="24"/>
          <w:szCs w:val="24"/>
        </w:rPr>
      </w:pPr>
    </w:p>
    <w:p w14:paraId="4CB16EEF" w14:textId="25E59F30" w:rsidR="00070D12" w:rsidRPr="00C314E3" w:rsidRDefault="00C314E3" w:rsidP="00C314E3">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5840BE" w:rsidRPr="00C314E3">
        <w:rPr>
          <w:rFonts w:ascii="Arial" w:hAnsi="Arial" w:cs="Arial"/>
          <w:sz w:val="24"/>
          <w:szCs w:val="24"/>
        </w:rPr>
        <w:t>In the meanwhile, municipal rates and service charges continue to accumulate</w:t>
      </w:r>
      <w:r w:rsidR="00E96B82" w:rsidRPr="00C314E3">
        <w:rPr>
          <w:rFonts w:ascii="Arial" w:hAnsi="Arial" w:cs="Arial"/>
          <w:sz w:val="24"/>
          <w:szCs w:val="24"/>
        </w:rPr>
        <w:t xml:space="preserve"> to the first applicant’s account, without benefit of access to </w:t>
      </w:r>
      <w:r w:rsidR="00610118" w:rsidRPr="00C314E3">
        <w:rPr>
          <w:rFonts w:ascii="Arial" w:hAnsi="Arial" w:cs="Arial"/>
          <w:sz w:val="24"/>
          <w:szCs w:val="24"/>
        </w:rPr>
        <w:t>or</w:t>
      </w:r>
      <w:r w:rsidR="00E96B82" w:rsidRPr="00C314E3">
        <w:rPr>
          <w:rFonts w:ascii="Arial" w:hAnsi="Arial" w:cs="Arial"/>
          <w:sz w:val="24"/>
          <w:szCs w:val="24"/>
        </w:rPr>
        <w:t xml:space="preserve"> use of the p</w:t>
      </w:r>
      <w:r w:rsidR="00C0389D" w:rsidRPr="00C314E3">
        <w:rPr>
          <w:rFonts w:ascii="Arial" w:hAnsi="Arial" w:cs="Arial"/>
          <w:sz w:val="24"/>
          <w:szCs w:val="24"/>
        </w:rPr>
        <w:t>roperty.</w:t>
      </w:r>
      <w:r w:rsidR="006462F5" w:rsidRPr="00C314E3">
        <w:rPr>
          <w:rFonts w:ascii="Arial" w:hAnsi="Arial" w:cs="Arial"/>
          <w:sz w:val="24"/>
          <w:szCs w:val="24"/>
        </w:rPr>
        <w:t xml:space="preserve"> The applicants’ request that the first respondent </w:t>
      </w:r>
      <w:r w:rsidR="009F19DF" w:rsidRPr="00C314E3">
        <w:rPr>
          <w:rFonts w:ascii="Arial" w:hAnsi="Arial" w:cs="Arial"/>
          <w:sz w:val="24"/>
          <w:szCs w:val="24"/>
        </w:rPr>
        <w:t>settle such expenses was refused.</w:t>
      </w:r>
      <w:r w:rsidR="001B1786" w:rsidRPr="00C314E3">
        <w:rPr>
          <w:rFonts w:ascii="Arial" w:hAnsi="Arial" w:cs="Arial"/>
          <w:sz w:val="24"/>
          <w:szCs w:val="24"/>
        </w:rPr>
        <w:t xml:space="preserve"> </w:t>
      </w:r>
      <w:r w:rsidR="005D26E2" w:rsidRPr="00C314E3">
        <w:rPr>
          <w:rFonts w:ascii="Arial" w:hAnsi="Arial" w:cs="Arial"/>
          <w:sz w:val="24"/>
          <w:szCs w:val="24"/>
        </w:rPr>
        <w:t>When the</w:t>
      </w:r>
      <w:r w:rsidR="00B04CA5" w:rsidRPr="00C314E3">
        <w:rPr>
          <w:rFonts w:ascii="Arial" w:hAnsi="Arial" w:cs="Arial"/>
          <w:sz w:val="24"/>
          <w:szCs w:val="24"/>
        </w:rPr>
        <w:t xml:space="preserve"> first</w:t>
      </w:r>
      <w:r w:rsidR="005D26E2" w:rsidRPr="00C314E3">
        <w:rPr>
          <w:rFonts w:ascii="Arial" w:hAnsi="Arial" w:cs="Arial"/>
          <w:sz w:val="24"/>
          <w:szCs w:val="24"/>
        </w:rPr>
        <w:t xml:space="preserve"> applicant w</w:t>
      </w:r>
      <w:r w:rsidR="00B04CA5" w:rsidRPr="00C314E3">
        <w:rPr>
          <w:rFonts w:ascii="Arial" w:hAnsi="Arial" w:cs="Arial"/>
          <w:sz w:val="24"/>
          <w:szCs w:val="24"/>
        </w:rPr>
        <w:t>as</w:t>
      </w:r>
      <w:r w:rsidR="005D26E2" w:rsidRPr="00C314E3">
        <w:rPr>
          <w:rFonts w:ascii="Arial" w:hAnsi="Arial" w:cs="Arial"/>
          <w:sz w:val="24"/>
          <w:szCs w:val="24"/>
        </w:rPr>
        <w:t xml:space="preserve"> afforded an opportunity to </w:t>
      </w:r>
      <w:r w:rsidR="00C647A1" w:rsidRPr="00C314E3">
        <w:rPr>
          <w:rFonts w:ascii="Arial" w:hAnsi="Arial" w:cs="Arial"/>
          <w:sz w:val="24"/>
          <w:szCs w:val="24"/>
        </w:rPr>
        <w:t>gain limited access to the property on 4 April 2022,</w:t>
      </w:r>
      <w:r w:rsidR="003C2EC1" w:rsidRPr="00C314E3">
        <w:rPr>
          <w:rFonts w:ascii="Arial" w:hAnsi="Arial" w:cs="Arial"/>
          <w:sz w:val="24"/>
          <w:szCs w:val="24"/>
        </w:rPr>
        <w:t xml:space="preserve"> </w:t>
      </w:r>
      <w:r w:rsidR="00802F33" w:rsidRPr="00C314E3">
        <w:rPr>
          <w:rFonts w:ascii="Arial" w:hAnsi="Arial" w:cs="Arial"/>
          <w:sz w:val="24"/>
          <w:szCs w:val="24"/>
        </w:rPr>
        <w:t>he was</w:t>
      </w:r>
      <w:r w:rsidR="003C2EC1" w:rsidRPr="00C314E3">
        <w:rPr>
          <w:rFonts w:ascii="Arial" w:hAnsi="Arial" w:cs="Arial"/>
          <w:sz w:val="24"/>
          <w:szCs w:val="24"/>
        </w:rPr>
        <w:t xml:space="preserve"> charged an amount of R 2,500 by the </w:t>
      </w:r>
      <w:r w:rsidR="00294563" w:rsidRPr="00C314E3">
        <w:rPr>
          <w:rFonts w:ascii="Arial" w:hAnsi="Arial" w:cs="Arial"/>
          <w:sz w:val="24"/>
          <w:szCs w:val="24"/>
        </w:rPr>
        <w:t>attorneys for the first respondent</w:t>
      </w:r>
      <w:r w:rsidR="00802F33" w:rsidRPr="00C314E3">
        <w:rPr>
          <w:rFonts w:ascii="Arial" w:hAnsi="Arial" w:cs="Arial"/>
          <w:sz w:val="24"/>
          <w:szCs w:val="24"/>
        </w:rPr>
        <w:t xml:space="preserve"> </w:t>
      </w:r>
      <w:r w:rsidR="0057573C" w:rsidRPr="00C314E3">
        <w:rPr>
          <w:rFonts w:ascii="Arial" w:hAnsi="Arial" w:cs="Arial"/>
          <w:sz w:val="24"/>
          <w:szCs w:val="24"/>
        </w:rPr>
        <w:t xml:space="preserve">as an inspection </w:t>
      </w:r>
      <w:r w:rsidR="0057573C" w:rsidRPr="00C314E3">
        <w:rPr>
          <w:rFonts w:ascii="Arial" w:hAnsi="Arial" w:cs="Arial"/>
          <w:i/>
          <w:iCs/>
          <w:sz w:val="24"/>
          <w:szCs w:val="24"/>
        </w:rPr>
        <w:t>in loco</w:t>
      </w:r>
      <w:r w:rsidR="0057573C" w:rsidRPr="00C314E3">
        <w:rPr>
          <w:rFonts w:ascii="Arial" w:hAnsi="Arial" w:cs="Arial"/>
          <w:sz w:val="24"/>
          <w:szCs w:val="24"/>
        </w:rPr>
        <w:t xml:space="preserve"> fee.</w:t>
      </w:r>
      <w:r w:rsidR="00B04CA5" w:rsidRPr="00C314E3">
        <w:rPr>
          <w:rFonts w:ascii="Arial" w:hAnsi="Arial" w:cs="Arial"/>
          <w:sz w:val="24"/>
          <w:szCs w:val="24"/>
        </w:rPr>
        <w:t xml:space="preserve"> </w:t>
      </w:r>
      <w:r w:rsidR="00802F33" w:rsidRPr="00C314E3">
        <w:rPr>
          <w:rFonts w:ascii="Arial" w:hAnsi="Arial" w:cs="Arial"/>
          <w:sz w:val="24"/>
          <w:szCs w:val="24"/>
        </w:rPr>
        <w:t xml:space="preserve">The property was in </w:t>
      </w:r>
      <w:r w:rsidR="00240369" w:rsidRPr="00C314E3">
        <w:rPr>
          <w:rFonts w:ascii="Arial" w:hAnsi="Arial" w:cs="Arial"/>
          <w:sz w:val="24"/>
          <w:szCs w:val="24"/>
        </w:rPr>
        <w:t xml:space="preserve">considerable disrepair, with </w:t>
      </w:r>
      <w:r w:rsidR="00213AFD" w:rsidRPr="00C314E3">
        <w:rPr>
          <w:rFonts w:ascii="Arial" w:hAnsi="Arial" w:cs="Arial"/>
          <w:sz w:val="24"/>
          <w:szCs w:val="24"/>
        </w:rPr>
        <w:t xml:space="preserve">a collapsed </w:t>
      </w:r>
      <w:r w:rsidR="00213AFD" w:rsidRPr="00C314E3">
        <w:rPr>
          <w:rFonts w:ascii="Arial" w:hAnsi="Arial" w:cs="Arial"/>
          <w:sz w:val="24"/>
          <w:szCs w:val="24"/>
        </w:rPr>
        <w:lastRenderedPageBreak/>
        <w:t>wooden deck, exposed electrical wiring, cracked and broken windows</w:t>
      </w:r>
      <w:r w:rsidR="003E062F" w:rsidRPr="00C314E3">
        <w:rPr>
          <w:rFonts w:ascii="Arial" w:hAnsi="Arial" w:cs="Arial"/>
          <w:sz w:val="24"/>
          <w:szCs w:val="24"/>
        </w:rPr>
        <w:t>, and damaged guttering.</w:t>
      </w:r>
    </w:p>
    <w:p w14:paraId="4DF9A994" w14:textId="77777777" w:rsidR="00070D12" w:rsidRPr="00070D12" w:rsidRDefault="00070D12" w:rsidP="00070D12">
      <w:pPr>
        <w:pStyle w:val="ListParagraph"/>
        <w:rPr>
          <w:rFonts w:ascii="Arial" w:hAnsi="Arial" w:cs="Arial"/>
          <w:sz w:val="24"/>
          <w:szCs w:val="24"/>
        </w:rPr>
      </w:pPr>
    </w:p>
    <w:p w14:paraId="7DEB7C09" w14:textId="517EBF61" w:rsidR="00662ADF" w:rsidRPr="00C314E3" w:rsidRDefault="00C314E3" w:rsidP="00C314E3">
      <w:pPr>
        <w:spacing w:line="360" w:lineRule="auto"/>
        <w:jc w:val="both"/>
        <w:rPr>
          <w:rFonts w:ascii="Arial" w:hAnsi="Arial" w:cs="Arial"/>
          <w:sz w:val="24"/>
          <w:szCs w:val="24"/>
        </w:rPr>
      </w:pPr>
      <w:r w:rsidRPr="00070D12">
        <w:rPr>
          <w:rFonts w:ascii="Arial" w:hAnsi="Arial" w:cs="Arial"/>
          <w:sz w:val="24"/>
          <w:szCs w:val="24"/>
        </w:rPr>
        <w:t>[12]</w:t>
      </w:r>
      <w:r w:rsidRPr="00070D12">
        <w:rPr>
          <w:rFonts w:ascii="Arial" w:hAnsi="Arial" w:cs="Arial"/>
          <w:sz w:val="24"/>
          <w:szCs w:val="24"/>
        </w:rPr>
        <w:tab/>
      </w:r>
      <w:r w:rsidR="00662ADF" w:rsidRPr="00C314E3">
        <w:rPr>
          <w:rFonts w:ascii="Arial" w:hAnsi="Arial" w:cs="Arial"/>
          <w:sz w:val="24"/>
          <w:szCs w:val="24"/>
        </w:rPr>
        <w:t>Mr Kriel</w:t>
      </w:r>
      <w:r w:rsidR="005836DE" w:rsidRPr="00C314E3">
        <w:rPr>
          <w:rFonts w:ascii="Arial" w:hAnsi="Arial" w:cs="Arial"/>
          <w:sz w:val="24"/>
          <w:szCs w:val="24"/>
        </w:rPr>
        <w:t xml:space="preserve">’s supporting </w:t>
      </w:r>
      <w:r w:rsidR="00E22417" w:rsidRPr="00C314E3">
        <w:rPr>
          <w:rFonts w:ascii="Arial" w:hAnsi="Arial" w:cs="Arial"/>
          <w:sz w:val="24"/>
          <w:szCs w:val="24"/>
        </w:rPr>
        <w:t>affidavit accompanie</w:t>
      </w:r>
      <w:r w:rsidR="00D3695E" w:rsidRPr="00C314E3">
        <w:rPr>
          <w:rFonts w:ascii="Arial" w:hAnsi="Arial" w:cs="Arial"/>
          <w:sz w:val="24"/>
          <w:szCs w:val="24"/>
        </w:rPr>
        <w:t>d</w:t>
      </w:r>
      <w:r w:rsidR="00E22417" w:rsidRPr="00C314E3">
        <w:rPr>
          <w:rFonts w:ascii="Arial" w:hAnsi="Arial" w:cs="Arial"/>
          <w:sz w:val="24"/>
          <w:szCs w:val="24"/>
        </w:rPr>
        <w:t xml:space="preserve"> the application</w:t>
      </w:r>
      <w:r w:rsidR="005C575C" w:rsidRPr="00C314E3">
        <w:rPr>
          <w:rFonts w:ascii="Arial" w:hAnsi="Arial" w:cs="Arial"/>
          <w:sz w:val="24"/>
          <w:szCs w:val="24"/>
        </w:rPr>
        <w:t xml:space="preserve">, </w:t>
      </w:r>
      <w:r w:rsidR="0072709B" w:rsidRPr="00C314E3">
        <w:rPr>
          <w:rFonts w:ascii="Arial" w:hAnsi="Arial" w:cs="Arial"/>
          <w:sz w:val="24"/>
          <w:szCs w:val="24"/>
        </w:rPr>
        <w:t>explain</w:t>
      </w:r>
      <w:r w:rsidR="005C575C" w:rsidRPr="00C314E3">
        <w:rPr>
          <w:rFonts w:ascii="Arial" w:hAnsi="Arial" w:cs="Arial"/>
          <w:sz w:val="24"/>
          <w:szCs w:val="24"/>
        </w:rPr>
        <w:t>ing</w:t>
      </w:r>
      <w:r w:rsidR="0072709B" w:rsidRPr="00C314E3">
        <w:rPr>
          <w:rFonts w:ascii="Arial" w:hAnsi="Arial" w:cs="Arial"/>
          <w:sz w:val="24"/>
          <w:szCs w:val="24"/>
        </w:rPr>
        <w:t xml:space="preserve"> how the first respondent came to be </w:t>
      </w:r>
      <w:r w:rsidR="005315C6" w:rsidRPr="00C314E3">
        <w:rPr>
          <w:rFonts w:ascii="Arial" w:hAnsi="Arial" w:cs="Arial"/>
          <w:sz w:val="24"/>
          <w:szCs w:val="24"/>
        </w:rPr>
        <w:t>in occupation of the property.</w:t>
      </w:r>
      <w:r w:rsidR="00FC74FE" w:rsidRPr="00C314E3">
        <w:rPr>
          <w:rFonts w:ascii="Arial" w:hAnsi="Arial" w:cs="Arial"/>
          <w:sz w:val="24"/>
          <w:szCs w:val="24"/>
        </w:rPr>
        <w:t xml:space="preserve"> </w:t>
      </w:r>
      <w:r w:rsidR="00CE4517" w:rsidRPr="00C314E3">
        <w:rPr>
          <w:rFonts w:ascii="Arial" w:hAnsi="Arial" w:cs="Arial"/>
          <w:sz w:val="24"/>
          <w:szCs w:val="24"/>
        </w:rPr>
        <w:t xml:space="preserve">The </w:t>
      </w:r>
      <w:r w:rsidR="00694F1F" w:rsidRPr="00C314E3">
        <w:rPr>
          <w:rFonts w:ascii="Arial" w:hAnsi="Arial" w:cs="Arial"/>
          <w:sz w:val="24"/>
          <w:szCs w:val="24"/>
        </w:rPr>
        <w:t>first respondent</w:t>
      </w:r>
      <w:r w:rsidR="00100F8F" w:rsidRPr="00C314E3">
        <w:rPr>
          <w:rFonts w:ascii="Arial" w:hAnsi="Arial" w:cs="Arial"/>
          <w:sz w:val="24"/>
          <w:szCs w:val="24"/>
        </w:rPr>
        <w:t xml:space="preserve"> </w:t>
      </w:r>
      <w:r w:rsidR="00CA0380" w:rsidRPr="00C314E3">
        <w:rPr>
          <w:rFonts w:ascii="Arial" w:hAnsi="Arial" w:cs="Arial"/>
          <w:sz w:val="24"/>
          <w:szCs w:val="24"/>
        </w:rPr>
        <w:t xml:space="preserve">had </w:t>
      </w:r>
      <w:r w:rsidR="003720F2" w:rsidRPr="00C314E3">
        <w:rPr>
          <w:rFonts w:ascii="Arial" w:hAnsi="Arial" w:cs="Arial"/>
          <w:sz w:val="24"/>
          <w:szCs w:val="24"/>
        </w:rPr>
        <w:t xml:space="preserve">previously </w:t>
      </w:r>
      <w:r w:rsidR="00CA0380" w:rsidRPr="00C314E3">
        <w:rPr>
          <w:rFonts w:ascii="Arial" w:hAnsi="Arial" w:cs="Arial"/>
          <w:sz w:val="24"/>
          <w:szCs w:val="24"/>
        </w:rPr>
        <w:t xml:space="preserve">lent </w:t>
      </w:r>
      <w:r w:rsidR="00004D48" w:rsidRPr="00C314E3">
        <w:rPr>
          <w:rFonts w:ascii="Arial" w:hAnsi="Arial" w:cs="Arial"/>
          <w:sz w:val="24"/>
          <w:szCs w:val="24"/>
        </w:rPr>
        <w:t>Mr Kriel a</w:t>
      </w:r>
      <w:r w:rsidR="003720F2" w:rsidRPr="00C314E3">
        <w:rPr>
          <w:rFonts w:ascii="Arial" w:hAnsi="Arial" w:cs="Arial"/>
          <w:sz w:val="24"/>
          <w:szCs w:val="24"/>
        </w:rPr>
        <w:t xml:space="preserve"> considerable amount of money </w:t>
      </w:r>
      <w:r w:rsidR="006A3280" w:rsidRPr="00C314E3">
        <w:rPr>
          <w:rFonts w:ascii="Arial" w:hAnsi="Arial" w:cs="Arial"/>
          <w:sz w:val="24"/>
          <w:szCs w:val="24"/>
        </w:rPr>
        <w:t xml:space="preserve">to lease </w:t>
      </w:r>
      <w:r w:rsidR="002213E5" w:rsidRPr="00C314E3">
        <w:rPr>
          <w:rFonts w:ascii="Arial" w:hAnsi="Arial" w:cs="Arial"/>
          <w:sz w:val="24"/>
          <w:szCs w:val="24"/>
        </w:rPr>
        <w:t xml:space="preserve">fuel storage tanks </w:t>
      </w:r>
      <w:r w:rsidR="00082A8F" w:rsidRPr="00C314E3">
        <w:rPr>
          <w:rFonts w:ascii="Arial" w:hAnsi="Arial" w:cs="Arial"/>
          <w:sz w:val="24"/>
          <w:szCs w:val="24"/>
        </w:rPr>
        <w:t>situated at the Black Sea port of Novor</w:t>
      </w:r>
      <w:r w:rsidR="002377A2" w:rsidRPr="00C314E3">
        <w:rPr>
          <w:rFonts w:ascii="Arial" w:hAnsi="Arial" w:cs="Arial"/>
          <w:sz w:val="24"/>
          <w:szCs w:val="24"/>
        </w:rPr>
        <w:t>ossiysk in Russia.</w:t>
      </w:r>
      <w:r w:rsidR="009D67DC" w:rsidRPr="00C314E3">
        <w:rPr>
          <w:rFonts w:ascii="Arial" w:hAnsi="Arial" w:cs="Arial"/>
          <w:sz w:val="24"/>
          <w:szCs w:val="24"/>
        </w:rPr>
        <w:t xml:space="preserve"> </w:t>
      </w:r>
      <w:r w:rsidR="00DC591C" w:rsidRPr="00C314E3">
        <w:rPr>
          <w:rFonts w:ascii="Arial" w:hAnsi="Arial" w:cs="Arial"/>
          <w:sz w:val="24"/>
          <w:szCs w:val="24"/>
        </w:rPr>
        <w:t xml:space="preserve">Subsequently, Mr Kriel permitted </w:t>
      </w:r>
      <w:r w:rsidR="00D10FE2" w:rsidRPr="00C314E3">
        <w:rPr>
          <w:rFonts w:ascii="Arial" w:hAnsi="Arial" w:cs="Arial"/>
          <w:sz w:val="24"/>
          <w:szCs w:val="24"/>
        </w:rPr>
        <w:t>him</w:t>
      </w:r>
      <w:r w:rsidR="00DC591C" w:rsidRPr="00C314E3">
        <w:rPr>
          <w:rFonts w:ascii="Arial" w:hAnsi="Arial" w:cs="Arial"/>
          <w:sz w:val="24"/>
          <w:szCs w:val="24"/>
        </w:rPr>
        <w:t xml:space="preserve"> to take occupation </w:t>
      </w:r>
      <w:r w:rsidR="007169D5" w:rsidRPr="00C314E3">
        <w:rPr>
          <w:rFonts w:ascii="Arial" w:hAnsi="Arial" w:cs="Arial"/>
          <w:sz w:val="24"/>
          <w:szCs w:val="24"/>
        </w:rPr>
        <w:t xml:space="preserve">of the property </w:t>
      </w:r>
      <w:r w:rsidR="00DC591C" w:rsidRPr="00C314E3">
        <w:rPr>
          <w:rFonts w:ascii="Arial" w:hAnsi="Arial" w:cs="Arial"/>
          <w:sz w:val="24"/>
          <w:szCs w:val="24"/>
        </w:rPr>
        <w:t xml:space="preserve">on or about 29 February 2016, </w:t>
      </w:r>
      <w:r w:rsidR="00B97C01" w:rsidRPr="00C314E3">
        <w:rPr>
          <w:rFonts w:ascii="Arial" w:hAnsi="Arial" w:cs="Arial"/>
          <w:sz w:val="24"/>
          <w:szCs w:val="24"/>
        </w:rPr>
        <w:t xml:space="preserve">allegedly </w:t>
      </w:r>
      <w:r w:rsidR="009D67DC" w:rsidRPr="00C314E3">
        <w:rPr>
          <w:rFonts w:ascii="Arial" w:hAnsi="Arial" w:cs="Arial"/>
          <w:sz w:val="24"/>
          <w:szCs w:val="24"/>
        </w:rPr>
        <w:t xml:space="preserve">in anticipation of the first respondent’s purchase </w:t>
      </w:r>
      <w:r w:rsidR="007169D5" w:rsidRPr="00C314E3">
        <w:rPr>
          <w:rFonts w:ascii="Arial" w:hAnsi="Arial" w:cs="Arial"/>
          <w:sz w:val="24"/>
          <w:szCs w:val="24"/>
        </w:rPr>
        <w:t>there</w:t>
      </w:r>
      <w:r w:rsidR="00367613" w:rsidRPr="00C314E3">
        <w:rPr>
          <w:rFonts w:ascii="Arial" w:hAnsi="Arial" w:cs="Arial"/>
          <w:sz w:val="24"/>
          <w:szCs w:val="24"/>
        </w:rPr>
        <w:t>of</w:t>
      </w:r>
      <w:r w:rsidR="00FA7122" w:rsidRPr="00C314E3">
        <w:rPr>
          <w:rFonts w:ascii="Arial" w:hAnsi="Arial" w:cs="Arial"/>
          <w:sz w:val="24"/>
          <w:szCs w:val="24"/>
        </w:rPr>
        <w:t>.</w:t>
      </w:r>
      <w:r w:rsidR="00B353EE" w:rsidRPr="00C314E3">
        <w:rPr>
          <w:rFonts w:ascii="Arial" w:hAnsi="Arial" w:cs="Arial"/>
          <w:sz w:val="24"/>
          <w:szCs w:val="24"/>
        </w:rPr>
        <w:t xml:space="preserve"> </w:t>
      </w:r>
      <w:r w:rsidR="00100F8F" w:rsidRPr="00C314E3">
        <w:rPr>
          <w:rFonts w:ascii="Arial" w:hAnsi="Arial" w:cs="Arial"/>
          <w:sz w:val="24"/>
          <w:szCs w:val="24"/>
        </w:rPr>
        <w:t xml:space="preserve">A dispute arose regarding compliance with the </w:t>
      </w:r>
      <w:r w:rsidR="00E247C1" w:rsidRPr="00C314E3">
        <w:rPr>
          <w:rFonts w:ascii="Arial" w:hAnsi="Arial" w:cs="Arial"/>
          <w:sz w:val="24"/>
          <w:szCs w:val="24"/>
        </w:rPr>
        <w:t>terms</w:t>
      </w:r>
      <w:r w:rsidR="00100F8F" w:rsidRPr="00C314E3">
        <w:rPr>
          <w:rFonts w:ascii="Arial" w:hAnsi="Arial" w:cs="Arial"/>
          <w:sz w:val="24"/>
          <w:szCs w:val="24"/>
        </w:rPr>
        <w:t xml:space="preserve"> of the </w:t>
      </w:r>
      <w:r w:rsidR="0080592C" w:rsidRPr="00C314E3">
        <w:rPr>
          <w:rFonts w:ascii="Arial" w:hAnsi="Arial" w:cs="Arial"/>
          <w:sz w:val="24"/>
          <w:szCs w:val="24"/>
        </w:rPr>
        <w:t>deed of sale</w:t>
      </w:r>
      <w:r w:rsidR="005C575C" w:rsidRPr="00C314E3">
        <w:rPr>
          <w:rFonts w:ascii="Arial" w:hAnsi="Arial" w:cs="Arial"/>
          <w:sz w:val="24"/>
          <w:szCs w:val="24"/>
        </w:rPr>
        <w:t xml:space="preserve"> and continued occupation of the property</w:t>
      </w:r>
      <w:r w:rsidR="00615328" w:rsidRPr="00C314E3">
        <w:rPr>
          <w:rFonts w:ascii="Arial" w:hAnsi="Arial" w:cs="Arial"/>
          <w:sz w:val="24"/>
          <w:szCs w:val="24"/>
        </w:rPr>
        <w:t>. The first r</w:t>
      </w:r>
      <w:r w:rsidR="00B353EE" w:rsidRPr="00C314E3">
        <w:rPr>
          <w:rFonts w:ascii="Arial" w:hAnsi="Arial" w:cs="Arial"/>
          <w:sz w:val="24"/>
          <w:szCs w:val="24"/>
        </w:rPr>
        <w:t xml:space="preserve">espondent </w:t>
      </w:r>
      <w:r w:rsidR="006B6145" w:rsidRPr="00C314E3">
        <w:rPr>
          <w:rFonts w:ascii="Arial" w:hAnsi="Arial" w:cs="Arial"/>
          <w:sz w:val="24"/>
          <w:szCs w:val="24"/>
        </w:rPr>
        <w:t xml:space="preserve">asserted that Mr Kriel had </w:t>
      </w:r>
      <w:r w:rsidR="00D34004" w:rsidRPr="00C314E3">
        <w:rPr>
          <w:rFonts w:ascii="Arial" w:hAnsi="Arial" w:cs="Arial"/>
          <w:sz w:val="24"/>
          <w:szCs w:val="24"/>
        </w:rPr>
        <w:t xml:space="preserve">permitted him to take occupation as security for repayment of </w:t>
      </w:r>
      <w:r w:rsidR="00353A12" w:rsidRPr="00C314E3">
        <w:rPr>
          <w:rFonts w:ascii="Arial" w:hAnsi="Arial" w:cs="Arial"/>
          <w:sz w:val="24"/>
          <w:szCs w:val="24"/>
        </w:rPr>
        <w:t>the</w:t>
      </w:r>
      <w:r w:rsidR="00D34004" w:rsidRPr="00C314E3">
        <w:rPr>
          <w:rFonts w:ascii="Arial" w:hAnsi="Arial" w:cs="Arial"/>
          <w:sz w:val="24"/>
          <w:szCs w:val="24"/>
        </w:rPr>
        <w:t xml:space="preserve"> loan</w:t>
      </w:r>
      <w:r w:rsidR="00CD3792" w:rsidRPr="00C314E3">
        <w:rPr>
          <w:rFonts w:ascii="Arial" w:hAnsi="Arial" w:cs="Arial"/>
          <w:sz w:val="24"/>
          <w:szCs w:val="24"/>
        </w:rPr>
        <w:t xml:space="preserve">. Mr Kriel denied this and instituted action proceedings </w:t>
      </w:r>
      <w:r w:rsidR="003818FF" w:rsidRPr="00C314E3">
        <w:rPr>
          <w:rFonts w:ascii="Arial" w:hAnsi="Arial" w:cs="Arial"/>
          <w:sz w:val="24"/>
          <w:szCs w:val="24"/>
        </w:rPr>
        <w:t>for</w:t>
      </w:r>
      <w:r w:rsidR="00CD3792" w:rsidRPr="00C314E3">
        <w:rPr>
          <w:rFonts w:ascii="Arial" w:hAnsi="Arial" w:cs="Arial"/>
          <w:sz w:val="24"/>
          <w:szCs w:val="24"/>
        </w:rPr>
        <w:t xml:space="preserve"> cancel</w:t>
      </w:r>
      <w:r w:rsidR="003818FF" w:rsidRPr="00C314E3">
        <w:rPr>
          <w:rFonts w:ascii="Arial" w:hAnsi="Arial" w:cs="Arial"/>
          <w:sz w:val="24"/>
          <w:szCs w:val="24"/>
        </w:rPr>
        <w:t>lation of</w:t>
      </w:r>
      <w:r w:rsidR="00CD3792" w:rsidRPr="00C314E3">
        <w:rPr>
          <w:rFonts w:ascii="Arial" w:hAnsi="Arial" w:cs="Arial"/>
          <w:sz w:val="24"/>
          <w:szCs w:val="24"/>
        </w:rPr>
        <w:t xml:space="preserve"> the deed of sale</w:t>
      </w:r>
      <w:r w:rsidR="00CB0A3E" w:rsidRPr="00C314E3">
        <w:rPr>
          <w:rFonts w:ascii="Arial" w:hAnsi="Arial" w:cs="Arial"/>
          <w:sz w:val="24"/>
          <w:szCs w:val="24"/>
        </w:rPr>
        <w:t xml:space="preserve"> and evict</w:t>
      </w:r>
      <w:r w:rsidR="003818FF" w:rsidRPr="00C314E3">
        <w:rPr>
          <w:rFonts w:ascii="Arial" w:hAnsi="Arial" w:cs="Arial"/>
          <w:sz w:val="24"/>
          <w:szCs w:val="24"/>
        </w:rPr>
        <w:t>ion of</w:t>
      </w:r>
      <w:r w:rsidR="00CB0A3E" w:rsidRPr="00C314E3">
        <w:rPr>
          <w:rFonts w:ascii="Arial" w:hAnsi="Arial" w:cs="Arial"/>
          <w:sz w:val="24"/>
          <w:szCs w:val="24"/>
        </w:rPr>
        <w:t xml:space="preserve"> the </w:t>
      </w:r>
      <w:r w:rsidR="003818FF" w:rsidRPr="00C314E3">
        <w:rPr>
          <w:rFonts w:ascii="Arial" w:hAnsi="Arial" w:cs="Arial"/>
          <w:sz w:val="24"/>
          <w:szCs w:val="24"/>
        </w:rPr>
        <w:t>first respondent.</w:t>
      </w:r>
      <w:r w:rsidR="00CC4DFE" w:rsidRPr="00C314E3">
        <w:rPr>
          <w:rFonts w:ascii="Arial" w:hAnsi="Arial" w:cs="Arial"/>
          <w:sz w:val="24"/>
          <w:szCs w:val="24"/>
        </w:rPr>
        <w:t xml:space="preserve"> These were withdrawn after </w:t>
      </w:r>
      <w:r w:rsidR="00D07684" w:rsidRPr="00C314E3">
        <w:rPr>
          <w:rFonts w:ascii="Arial" w:hAnsi="Arial" w:cs="Arial"/>
          <w:sz w:val="24"/>
          <w:szCs w:val="24"/>
        </w:rPr>
        <w:t xml:space="preserve">the attachment of the property by </w:t>
      </w:r>
      <w:r w:rsidR="00B74EB2" w:rsidRPr="00C314E3">
        <w:rPr>
          <w:rFonts w:ascii="Arial" w:hAnsi="Arial" w:cs="Arial"/>
          <w:sz w:val="24"/>
          <w:szCs w:val="24"/>
        </w:rPr>
        <w:t>Shumayela Properties (Pty) Ltd.</w:t>
      </w:r>
    </w:p>
    <w:p w14:paraId="4E026D57" w14:textId="77777777" w:rsidR="006B39BD" w:rsidRDefault="006B39BD" w:rsidP="00927E6D">
      <w:pPr>
        <w:spacing w:line="360" w:lineRule="auto"/>
        <w:rPr>
          <w:rFonts w:ascii="Arial" w:hAnsi="Arial" w:cs="Arial"/>
          <w:sz w:val="24"/>
          <w:szCs w:val="24"/>
        </w:rPr>
      </w:pPr>
    </w:p>
    <w:p w14:paraId="4E29770D" w14:textId="77777777" w:rsidR="006B39BD" w:rsidRPr="007B05D8" w:rsidRDefault="00087587" w:rsidP="00E77158">
      <w:pPr>
        <w:spacing w:line="360" w:lineRule="auto"/>
        <w:jc w:val="both"/>
        <w:rPr>
          <w:rFonts w:ascii="Arial" w:hAnsi="Arial" w:cs="Arial"/>
          <w:b/>
          <w:bCs/>
          <w:sz w:val="24"/>
          <w:szCs w:val="24"/>
        </w:rPr>
      </w:pPr>
      <w:r w:rsidRPr="007B05D8">
        <w:rPr>
          <w:rFonts w:ascii="Arial" w:hAnsi="Arial" w:cs="Arial"/>
          <w:b/>
          <w:bCs/>
          <w:sz w:val="24"/>
          <w:szCs w:val="24"/>
        </w:rPr>
        <w:t>First respondent’s case</w:t>
      </w:r>
    </w:p>
    <w:p w14:paraId="27C8FC66" w14:textId="77777777" w:rsidR="00087587" w:rsidRDefault="00087587" w:rsidP="00927E6D">
      <w:pPr>
        <w:spacing w:line="360" w:lineRule="auto"/>
        <w:rPr>
          <w:rFonts w:ascii="Arial" w:hAnsi="Arial" w:cs="Arial"/>
          <w:sz w:val="24"/>
          <w:szCs w:val="24"/>
        </w:rPr>
      </w:pPr>
    </w:p>
    <w:p w14:paraId="6487A441" w14:textId="297F07B6" w:rsidR="00070D12" w:rsidRPr="00C314E3" w:rsidRDefault="00C314E3" w:rsidP="00C314E3">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087587" w:rsidRPr="00C314E3">
        <w:rPr>
          <w:rFonts w:ascii="Arial" w:hAnsi="Arial" w:cs="Arial"/>
          <w:sz w:val="24"/>
          <w:szCs w:val="24"/>
        </w:rPr>
        <w:t xml:space="preserve">The </w:t>
      </w:r>
      <w:r w:rsidR="00C804F5" w:rsidRPr="00C314E3">
        <w:rPr>
          <w:rFonts w:ascii="Arial" w:hAnsi="Arial" w:cs="Arial"/>
          <w:sz w:val="24"/>
          <w:szCs w:val="24"/>
        </w:rPr>
        <w:t xml:space="preserve">first respondent raised two points </w:t>
      </w:r>
      <w:r w:rsidR="00C804F5" w:rsidRPr="00C314E3">
        <w:rPr>
          <w:rFonts w:ascii="Arial" w:hAnsi="Arial" w:cs="Arial"/>
          <w:i/>
          <w:iCs/>
          <w:sz w:val="24"/>
          <w:szCs w:val="24"/>
        </w:rPr>
        <w:t>in limine</w:t>
      </w:r>
      <w:r w:rsidR="00C804F5" w:rsidRPr="00C314E3">
        <w:rPr>
          <w:rFonts w:ascii="Arial" w:hAnsi="Arial" w:cs="Arial"/>
          <w:sz w:val="24"/>
          <w:szCs w:val="24"/>
        </w:rPr>
        <w:t xml:space="preserve">: </w:t>
      </w:r>
      <w:r w:rsidR="003118F9" w:rsidRPr="00C314E3">
        <w:rPr>
          <w:rFonts w:ascii="Arial" w:hAnsi="Arial" w:cs="Arial"/>
          <w:sz w:val="24"/>
          <w:szCs w:val="24"/>
        </w:rPr>
        <w:t>the first pert</w:t>
      </w:r>
      <w:r w:rsidR="007B05D8" w:rsidRPr="00C314E3">
        <w:rPr>
          <w:rFonts w:ascii="Arial" w:hAnsi="Arial" w:cs="Arial"/>
          <w:sz w:val="24"/>
          <w:szCs w:val="24"/>
        </w:rPr>
        <w:t xml:space="preserve">ained to compliance with the regulations </w:t>
      </w:r>
      <w:r w:rsidR="00921E1A" w:rsidRPr="00C314E3">
        <w:rPr>
          <w:rFonts w:ascii="Arial" w:hAnsi="Arial" w:cs="Arial"/>
          <w:sz w:val="24"/>
          <w:szCs w:val="24"/>
        </w:rPr>
        <w:t>for</w:t>
      </w:r>
      <w:r w:rsidR="007B05D8" w:rsidRPr="00C314E3">
        <w:rPr>
          <w:rFonts w:ascii="Arial" w:hAnsi="Arial" w:cs="Arial"/>
          <w:sz w:val="24"/>
          <w:szCs w:val="24"/>
        </w:rPr>
        <w:t xml:space="preserve"> the </w:t>
      </w:r>
      <w:r w:rsidR="00176952" w:rsidRPr="00C314E3">
        <w:rPr>
          <w:rFonts w:ascii="Arial" w:hAnsi="Arial" w:cs="Arial"/>
          <w:sz w:val="24"/>
          <w:szCs w:val="24"/>
        </w:rPr>
        <w:t>Ju</w:t>
      </w:r>
      <w:r w:rsidR="00691DC3" w:rsidRPr="00C314E3">
        <w:rPr>
          <w:rFonts w:ascii="Arial" w:hAnsi="Arial" w:cs="Arial"/>
          <w:sz w:val="24"/>
          <w:szCs w:val="24"/>
        </w:rPr>
        <w:t>s</w:t>
      </w:r>
      <w:r w:rsidR="00176952" w:rsidRPr="00C314E3">
        <w:rPr>
          <w:rFonts w:ascii="Arial" w:hAnsi="Arial" w:cs="Arial"/>
          <w:sz w:val="24"/>
          <w:szCs w:val="24"/>
        </w:rPr>
        <w:t>tices of the Peace and Commissioners of Oaths Act 16 of 1963</w:t>
      </w:r>
      <w:r w:rsidR="00691DC3" w:rsidRPr="00C314E3">
        <w:rPr>
          <w:rFonts w:ascii="Arial" w:hAnsi="Arial" w:cs="Arial"/>
          <w:sz w:val="24"/>
          <w:szCs w:val="24"/>
        </w:rPr>
        <w:t xml:space="preserve">; the second pertained to </w:t>
      </w:r>
      <w:r w:rsidR="00184476" w:rsidRPr="00C314E3">
        <w:rPr>
          <w:rFonts w:ascii="Arial" w:hAnsi="Arial" w:cs="Arial"/>
          <w:sz w:val="24"/>
          <w:szCs w:val="24"/>
        </w:rPr>
        <w:t xml:space="preserve">the </w:t>
      </w:r>
      <w:r w:rsidR="003C505F" w:rsidRPr="00C314E3">
        <w:rPr>
          <w:rFonts w:ascii="Arial" w:hAnsi="Arial" w:cs="Arial"/>
          <w:sz w:val="24"/>
          <w:szCs w:val="24"/>
        </w:rPr>
        <w:t xml:space="preserve">impact of the </w:t>
      </w:r>
      <w:r w:rsidR="003F3566" w:rsidRPr="00C314E3">
        <w:rPr>
          <w:rFonts w:ascii="Arial" w:hAnsi="Arial" w:cs="Arial"/>
          <w:sz w:val="24"/>
          <w:szCs w:val="24"/>
        </w:rPr>
        <w:t>applicants’ earlier application</w:t>
      </w:r>
      <w:r w:rsidR="00812031" w:rsidRPr="00C314E3">
        <w:rPr>
          <w:rFonts w:ascii="Arial" w:hAnsi="Arial" w:cs="Arial"/>
          <w:sz w:val="24"/>
          <w:szCs w:val="24"/>
        </w:rPr>
        <w:t xml:space="preserve"> proceedings (case number EL 1281/2021)</w:t>
      </w:r>
      <w:r w:rsidR="003C505F" w:rsidRPr="00C314E3">
        <w:rPr>
          <w:rFonts w:ascii="Arial" w:hAnsi="Arial" w:cs="Arial"/>
          <w:sz w:val="24"/>
          <w:szCs w:val="24"/>
        </w:rPr>
        <w:t xml:space="preserve">, </w:t>
      </w:r>
      <w:r w:rsidR="006E4BCF" w:rsidRPr="00C314E3">
        <w:rPr>
          <w:rFonts w:ascii="Arial" w:hAnsi="Arial" w:cs="Arial"/>
          <w:sz w:val="24"/>
          <w:szCs w:val="24"/>
        </w:rPr>
        <w:t xml:space="preserve">to the effect that </w:t>
      </w:r>
      <w:r w:rsidR="00695424" w:rsidRPr="00C314E3">
        <w:rPr>
          <w:rFonts w:ascii="Arial" w:hAnsi="Arial" w:cs="Arial"/>
          <w:sz w:val="24"/>
          <w:szCs w:val="24"/>
        </w:rPr>
        <w:t xml:space="preserve">the dispute was </w:t>
      </w:r>
      <w:r w:rsidR="00AF688E" w:rsidRPr="00C314E3">
        <w:rPr>
          <w:rFonts w:ascii="Arial" w:hAnsi="Arial" w:cs="Arial"/>
          <w:sz w:val="24"/>
          <w:szCs w:val="24"/>
        </w:rPr>
        <w:t xml:space="preserve">now </w:t>
      </w:r>
      <w:r w:rsidR="00695424" w:rsidRPr="00C314E3">
        <w:rPr>
          <w:rFonts w:ascii="Arial" w:hAnsi="Arial" w:cs="Arial"/>
          <w:i/>
          <w:iCs/>
          <w:sz w:val="24"/>
          <w:szCs w:val="24"/>
        </w:rPr>
        <w:t>res judicata</w:t>
      </w:r>
      <w:r w:rsidR="00AF688E" w:rsidRPr="00C314E3">
        <w:rPr>
          <w:rFonts w:ascii="Arial" w:hAnsi="Arial" w:cs="Arial"/>
          <w:sz w:val="24"/>
          <w:szCs w:val="24"/>
        </w:rPr>
        <w:t xml:space="preserve">. These will be dealt with </w:t>
      </w:r>
      <w:r w:rsidR="00C33AA9" w:rsidRPr="00C314E3">
        <w:rPr>
          <w:rFonts w:ascii="Arial" w:hAnsi="Arial" w:cs="Arial"/>
          <w:sz w:val="24"/>
          <w:szCs w:val="24"/>
        </w:rPr>
        <w:t>later in the paragraphs that follow.</w:t>
      </w:r>
    </w:p>
    <w:p w14:paraId="42B52B3A" w14:textId="77777777" w:rsidR="00070D12" w:rsidRDefault="00070D12" w:rsidP="00070D12">
      <w:pPr>
        <w:pStyle w:val="ListParagraph"/>
        <w:spacing w:line="360" w:lineRule="auto"/>
        <w:ind w:left="0"/>
        <w:jc w:val="both"/>
        <w:rPr>
          <w:rFonts w:ascii="Arial" w:hAnsi="Arial" w:cs="Arial"/>
          <w:sz w:val="24"/>
          <w:szCs w:val="24"/>
        </w:rPr>
      </w:pPr>
    </w:p>
    <w:p w14:paraId="3B483333" w14:textId="4458C6E0" w:rsidR="00070D12" w:rsidRPr="00C314E3" w:rsidRDefault="00C314E3" w:rsidP="00C314E3">
      <w:pPr>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C33AA9" w:rsidRPr="00C314E3">
        <w:rPr>
          <w:rFonts w:ascii="Arial" w:hAnsi="Arial" w:cs="Arial"/>
          <w:sz w:val="24"/>
          <w:szCs w:val="24"/>
        </w:rPr>
        <w:t xml:space="preserve">In his answering affidavit, the first respondent </w:t>
      </w:r>
      <w:r w:rsidR="00C12F92" w:rsidRPr="00C314E3">
        <w:rPr>
          <w:rFonts w:ascii="Arial" w:hAnsi="Arial" w:cs="Arial"/>
          <w:sz w:val="24"/>
          <w:szCs w:val="24"/>
        </w:rPr>
        <w:t>a</w:t>
      </w:r>
      <w:r w:rsidR="003C0744" w:rsidRPr="00C314E3">
        <w:rPr>
          <w:rFonts w:ascii="Arial" w:hAnsi="Arial" w:cs="Arial"/>
          <w:sz w:val="24"/>
          <w:szCs w:val="24"/>
        </w:rPr>
        <w:t xml:space="preserve">verred that </w:t>
      </w:r>
      <w:r w:rsidR="00E73F85" w:rsidRPr="00C314E3">
        <w:rPr>
          <w:rFonts w:ascii="Arial" w:hAnsi="Arial" w:cs="Arial"/>
          <w:sz w:val="24"/>
          <w:szCs w:val="24"/>
        </w:rPr>
        <w:t xml:space="preserve">he had entered into a verbal agreement with Mr Kriel to take occupation of the property as security for the loan that </w:t>
      </w:r>
      <w:r w:rsidR="005A2B08" w:rsidRPr="00C314E3">
        <w:rPr>
          <w:rFonts w:ascii="Arial" w:hAnsi="Arial" w:cs="Arial"/>
          <w:sz w:val="24"/>
          <w:szCs w:val="24"/>
        </w:rPr>
        <w:t xml:space="preserve">he had </w:t>
      </w:r>
      <w:r w:rsidR="007B369F" w:rsidRPr="00C314E3">
        <w:rPr>
          <w:rFonts w:ascii="Arial" w:hAnsi="Arial" w:cs="Arial"/>
          <w:sz w:val="24"/>
          <w:szCs w:val="24"/>
        </w:rPr>
        <w:t xml:space="preserve">provided. </w:t>
      </w:r>
      <w:r w:rsidR="000B2798" w:rsidRPr="00C314E3">
        <w:rPr>
          <w:rFonts w:ascii="Arial" w:hAnsi="Arial" w:cs="Arial"/>
          <w:sz w:val="24"/>
          <w:szCs w:val="24"/>
        </w:rPr>
        <w:t>He and his family consequently m</w:t>
      </w:r>
      <w:r w:rsidR="00EE2177" w:rsidRPr="00C314E3">
        <w:rPr>
          <w:rFonts w:ascii="Arial" w:hAnsi="Arial" w:cs="Arial"/>
          <w:sz w:val="24"/>
          <w:szCs w:val="24"/>
        </w:rPr>
        <w:t>oved to the property on or about 29 February 2016</w:t>
      </w:r>
      <w:r w:rsidR="003501EB" w:rsidRPr="00C314E3">
        <w:rPr>
          <w:rFonts w:ascii="Arial" w:hAnsi="Arial" w:cs="Arial"/>
          <w:sz w:val="24"/>
          <w:szCs w:val="24"/>
        </w:rPr>
        <w:t>.</w:t>
      </w:r>
    </w:p>
    <w:p w14:paraId="5BE11147" w14:textId="77777777" w:rsidR="00070D12" w:rsidRPr="00070D12" w:rsidRDefault="00070D12" w:rsidP="00070D12">
      <w:pPr>
        <w:pStyle w:val="ListParagraph"/>
        <w:rPr>
          <w:rFonts w:ascii="Arial" w:hAnsi="Arial" w:cs="Arial"/>
          <w:sz w:val="24"/>
          <w:szCs w:val="24"/>
        </w:rPr>
      </w:pPr>
    </w:p>
    <w:p w14:paraId="6460C441" w14:textId="624E2050" w:rsidR="00070D12" w:rsidRPr="00C314E3" w:rsidRDefault="00C314E3" w:rsidP="00C314E3">
      <w:pPr>
        <w:spacing w:line="360" w:lineRule="auto"/>
        <w:jc w:val="both"/>
        <w:rPr>
          <w:rFonts w:ascii="Arial" w:hAnsi="Arial" w:cs="Arial"/>
          <w:sz w:val="24"/>
          <w:szCs w:val="24"/>
        </w:rPr>
      </w:pPr>
      <w:r>
        <w:rPr>
          <w:rFonts w:ascii="Arial" w:hAnsi="Arial" w:cs="Arial"/>
          <w:sz w:val="24"/>
          <w:szCs w:val="24"/>
        </w:rPr>
        <w:lastRenderedPageBreak/>
        <w:t>[15]</w:t>
      </w:r>
      <w:r>
        <w:rPr>
          <w:rFonts w:ascii="Arial" w:hAnsi="Arial" w:cs="Arial"/>
          <w:sz w:val="24"/>
          <w:szCs w:val="24"/>
        </w:rPr>
        <w:tab/>
      </w:r>
      <w:r w:rsidR="00EE2177" w:rsidRPr="00C314E3">
        <w:rPr>
          <w:rFonts w:ascii="Arial" w:hAnsi="Arial" w:cs="Arial"/>
          <w:sz w:val="24"/>
          <w:szCs w:val="24"/>
        </w:rPr>
        <w:t>Subsequently, o</w:t>
      </w:r>
      <w:r w:rsidR="00A40671" w:rsidRPr="00C314E3">
        <w:rPr>
          <w:rFonts w:ascii="Arial" w:hAnsi="Arial" w:cs="Arial"/>
          <w:sz w:val="24"/>
          <w:szCs w:val="24"/>
        </w:rPr>
        <w:t xml:space="preserve">n or about 25 April 2016, Mr Kriel </w:t>
      </w:r>
      <w:r w:rsidR="00747FB9" w:rsidRPr="00C314E3">
        <w:rPr>
          <w:rFonts w:ascii="Arial" w:hAnsi="Arial" w:cs="Arial"/>
          <w:sz w:val="24"/>
          <w:szCs w:val="24"/>
        </w:rPr>
        <w:t xml:space="preserve">had informed him that he was in arrears with </w:t>
      </w:r>
      <w:r w:rsidR="008E2454" w:rsidRPr="00C314E3">
        <w:rPr>
          <w:rFonts w:ascii="Arial" w:hAnsi="Arial" w:cs="Arial"/>
          <w:sz w:val="24"/>
          <w:szCs w:val="24"/>
        </w:rPr>
        <w:t xml:space="preserve">mortgage bond repayments and </w:t>
      </w:r>
      <w:r w:rsidR="00850431" w:rsidRPr="00C314E3">
        <w:rPr>
          <w:rFonts w:ascii="Arial" w:hAnsi="Arial" w:cs="Arial"/>
          <w:sz w:val="24"/>
          <w:szCs w:val="24"/>
        </w:rPr>
        <w:t xml:space="preserve">had </w:t>
      </w:r>
      <w:r w:rsidR="008E2454" w:rsidRPr="00C314E3">
        <w:rPr>
          <w:rFonts w:ascii="Arial" w:hAnsi="Arial" w:cs="Arial"/>
          <w:sz w:val="24"/>
          <w:szCs w:val="24"/>
        </w:rPr>
        <w:t>reque</w:t>
      </w:r>
      <w:r w:rsidR="00850431" w:rsidRPr="00C314E3">
        <w:rPr>
          <w:rFonts w:ascii="Arial" w:hAnsi="Arial" w:cs="Arial"/>
          <w:sz w:val="24"/>
          <w:szCs w:val="24"/>
        </w:rPr>
        <w:t xml:space="preserve">sted that he </w:t>
      </w:r>
      <w:r w:rsidR="00692344" w:rsidRPr="00C314E3">
        <w:rPr>
          <w:rFonts w:ascii="Arial" w:hAnsi="Arial" w:cs="Arial"/>
          <w:sz w:val="24"/>
          <w:szCs w:val="24"/>
        </w:rPr>
        <w:t xml:space="preserve">conclude a deed of sale regarding the property so that Mr Kriel could </w:t>
      </w:r>
      <w:r w:rsidR="000B594D" w:rsidRPr="00C314E3">
        <w:rPr>
          <w:rFonts w:ascii="Arial" w:hAnsi="Arial" w:cs="Arial"/>
          <w:sz w:val="24"/>
          <w:szCs w:val="24"/>
        </w:rPr>
        <w:t xml:space="preserve">‘buy time’ from the </w:t>
      </w:r>
      <w:r w:rsidR="006B6E8E" w:rsidRPr="00C314E3">
        <w:rPr>
          <w:rFonts w:ascii="Arial" w:hAnsi="Arial" w:cs="Arial"/>
          <w:sz w:val="24"/>
          <w:szCs w:val="24"/>
        </w:rPr>
        <w:t>relevant bondholder. The first respondent did so</w:t>
      </w:r>
      <w:r w:rsidR="0072431A" w:rsidRPr="00C314E3">
        <w:rPr>
          <w:rFonts w:ascii="Arial" w:hAnsi="Arial" w:cs="Arial"/>
          <w:sz w:val="24"/>
          <w:szCs w:val="24"/>
        </w:rPr>
        <w:t xml:space="preserve"> and continued to remain in occupation.</w:t>
      </w:r>
    </w:p>
    <w:p w14:paraId="6F55EE4B" w14:textId="77777777" w:rsidR="00070D12" w:rsidRPr="00070D12" w:rsidRDefault="00070D12" w:rsidP="00070D12">
      <w:pPr>
        <w:pStyle w:val="ListParagraph"/>
        <w:rPr>
          <w:rFonts w:ascii="Arial" w:hAnsi="Arial" w:cs="Arial"/>
          <w:sz w:val="24"/>
          <w:szCs w:val="24"/>
        </w:rPr>
      </w:pPr>
    </w:p>
    <w:p w14:paraId="4EA396AD" w14:textId="6D4085CC" w:rsidR="00070D12" w:rsidRPr="00C314E3" w:rsidRDefault="00C314E3" w:rsidP="00C314E3">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BF5320" w:rsidRPr="00C314E3">
        <w:rPr>
          <w:rFonts w:ascii="Arial" w:hAnsi="Arial" w:cs="Arial"/>
          <w:sz w:val="24"/>
          <w:szCs w:val="24"/>
        </w:rPr>
        <w:t>Whereas the first respondent admit</w:t>
      </w:r>
      <w:r w:rsidR="00000A8C" w:rsidRPr="00C314E3">
        <w:rPr>
          <w:rFonts w:ascii="Arial" w:hAnsi="Arial" w:cs="Arial"/>
          <w:sz w:val="24"/>
          <w:szCs w:val="24"/>
        </w:rPr>
        <w:t>ted</w:t>
      </w:r>
      <w:r w:rsidR="00BF5320" w:rsidRPr="00C314E3">
        <w:rPr>
          <w:rFonts w:ascii="Arial" w:hAnsi="Arial" w:cs="Arial"/>
          <w:sz w:val="24"/>
          <w:szCs w:val="24"/>
        </w:rPr>
        <w:t xml:space="preserve"> that the applicants are the owners of the proper</w:t>
      </w:r>
      <w:r w:rsidR="00000A8C" w:rsidRPr="00C314E3">
        <w:rPr>
          <w:rFonts w:ascii="Arial" w:hAnsi="Arial" w:cs="Arial"/>
          <w:sz w:val="24"/>
          <w:szCs w:val="24"/>
        </w:rPr>
        <w:t xml:space="preserve">ty, he asserted that </w:t>
      </w:r>
      <w:r w:rsidR="00FE48D3" w:rsidRPr="00C314E3">
        <w:rPr>
          <w:rFonts w:ascii="Arial" w:hAnsi="Arial" w:cs="Arial"/>
          <w:sz w:val="24"/>
          <w:szCs w:val="24"/>
        </w:rPr>
        <w:t xml:space="preserve">he </w:t>
      </w:r>
      <w:r w:rsidR="003C5EF5" w:rsidRPr="00C314E3">
        <w:rPr>
          <w:rFonts w:ascii="Arial" w:hAnsi="Arial" w:cs="Arial"/>
          <w:sz w:val="24"/>
          <w:szCs w:val="24"/>
        </w:rPr>
        <w:t xml:space="preserve">was entitled to the benefits of </w:t>
      </w:r>
      <w:r w:rsidR="00FE48D3" w:rsidRPr="00C314E3">
        <w:rPr>
          <w:rFonts w:ascii="Arial" w:hAnsi="Arial" w:cs="Arial"/>
          <w:sz w:val="24"/>
          <w:szCs w:val="24"/>
        </w:rPr>
        <w:t>a lien or</w:t>
      </w:r>
      <w:r w:rsidR="00A738CA" w:rsidRPr="00C314E3">
        <w:rPr>
          <w:rFonts w:ascii="Arial" w:hAnsi="Arial" w:cs="Arial"/>
          <w:sz w:val="24"/>
          <w:szCs w:val="24"/>
        </w:rPr>
        <w:t xml:space="preserve"> pledge in relation thereto.</w:t>
      </w:r>
      <w:r w:rsidR="007E7BB9" w:rsidRPr="00C314E3">
        <w:rPr>
          <w:rFonts w:ascii="Arial" w:hAnsi="Arial" w:cs="Arial"/>
          <w:sz w:val="24"/>
          <w:szCs w:val="24"/>
        </w:rPr>
        <w:t xml:space="preserve"> </w:t>
      </w:r>
      <w:r w:rsidR="00FE2937" w:rsidRPr="00C314E3">
        <w:rPr>
          <w:rFonts w:ascii="Arial" w:hAnsi="Arial" w:cs="Arial"/>
          <w:sz w:val="24"/>
          <w:szCs w:val="24"/>
        </w:rPr>
        <w:t>H</w:t>
      </w:r>
      <w:r w:rsidR="007E7BB9" w:rsidRPr="00C314E3">
        <w:rPr>
          <w:rFonts w:ascii="Arial" w:hAnsi="Arial" w:cs="Arial"/>
          <w:sz w:val="24"/>
          <w:szCs w:val="24"/>
        </w:rPr>
        <w:t>e contended</w:t>
      </w:r>
      <w:r w:rsidR="00FE2937" w:rsidRPr="00C314E3">
        <w:rPr>
          <w:rFonts w:ascii="Arial" w:hAnsi="Arial" w:cs="Arial"/>
          <w:sz w:val="24"/>
          <w:szCs w:val="24"/>
        </w:rPr>
        <w:t xml:space="preserve"> that </w:t>
      </w:r>
      <w:r w:rsidR="00AA2DFC" w:rsidRPr="00C314E3">
        <w:rPr>
          <w:rFonts w:ascii="Arial" w:hAnsi="Arial" w:cs="Arial"/>
          <w:sz w:val="24"/>
          <w:szCs w:val="24"/>
        </w:rPr>
        <w:t xml:space="preserve">the court </w:t>
      </w:r>
      <w:r w:rsidR="00FE2937" w:rsidRPr="00C314E3">
        <w:rPr>
          <w:rFonts w:ascii="Arial" w:hAnsi="Arial" w:cs="Arial"/>
          <w:sz w:val="24"/>
          <w:szCs w:val="24"/>
        </w:rPr>
        <w:t>had already</w:t>
      </w:r>
      <w:r w:rsidR="00EE7437" w:rsidRPr="00C314E3">
        <w:rPr>
          <w:rFonts w:ascii="Arial" w:hAnsi="Arial" w:cs="Arial"/>
          <w:sz w:val="24"/>
          <w:szCs w:val="24"/>
        </w:rPr>
        <w:t xml:space="preserve"> made such a determination in the earlier application proceedings. </w:t>
      </w:r>
      <w:r w:rsidR="00116E5B" w:rsidRPr="00C314E3">
        <w:rPr>
          <w:rFonts w:ascii="Arial" w:hAnsi="Arial" w:cs="Arial"/>
          <w:sz w:val="24"/>
          <w:szCs w:val="24"/>
        </w:rPr>
        <w:t xml:space="preserve">Mr Kriel had neither </w:t>
      </w:r>
      <w:r w:rsidR="007B4395" w:rsidRPr="00C314E3">
        <w:rPr>
          <w:rFonts w:ascii="Arial" w:hAnsi="Arial" w:cs="Arial"/>
          <w:sz w:val="24"/>
          <w:szCs w:val="24"/>
        </w:rPr>
        <w:t xml:space="preserve">cancelled the underlying verbal agreement nor </w:t>
      </w:r>
      <w:r w:rsidR="0087366E" w:rsidRPr="00C314E3">
        <w:rPr>
          <w:rFonts w:ascii="Arial" w:hAnsi="Arial" w:cs="Arial"/>
          <w:sz w:val="24"/>
          <w:szCs w:val="24"/>
        </w:rPr>
        <w:t>repaid the loan</w:t>
      </w:r>
      <w:r w:rsidR="00EA2B93" w:rsidRPr="00C314E3">
        <w:rPr>
          <w:rFonts w:ascii="Arial" w:hAnsi="Arial" w:cs="Arial"/>
          <w:sz w:val="24"/>
          <w:szCs w:val="24"/>
        </w:rPr>
        <w:t>. T</w:t>
      </w:r>
      <w:r w:rsidR="00D71D09" w:rsidRPr="00C314E3">
        <w:rPr>
          <w:rFonts w:ascii="Arial" w:hAnsi="Arial" w:cs="Arial"/>
          <w:sz w:val="24"/>
          <w:szCs w:val="24"/>
        </w:rPr>
        <w:t>he first respondent</w:t>
      </w:r>
      <w:r w:rsidR="00EA2B93" w:rsidRPr="00C314E3">
        <w:rPr>
          <w:rFonts w:ascii="Arial" w:hAnsi="Arial" w:cs="Arial"/>
          <w:sz w:val="24"/>
          <w:szCs w:val="24"/>
        </w:rPr>
        <w:t xml:space="preserve">, so he </w:t>
      </w:r>
      <w:r w:rsidR="00E80980" w:rsidRPr="00C314E3">
        <w:rPr>
          <w:rFonts w:ascii="Arial" w:hAnsi="Arial" w:cs="Arial"/>
          <w:sz w:val="24"/>
          <w:szCs w:val="24"/>
        </w:rPr>
        <w:t>argued, was entitled to remain in occupation.</w:t>
      </w:r>
      <w:r w:rsidR="0070100A" w:rsidRPr="00C314E3">
        <w:rPr>
          <w:rFonts w:ascii="Arial" w:hAnsi="Arial" w:cs="Arial"/>
          <w:sz w:val="24"/>
          <w:szCs w:val="24"/>
        </w:rPr>
        <w:t xml:space="preserve"> </w:t>
      </w:r>
      <w:r w:rsidR="005F1448" w:rsidRPr="00C314E3">
        <w:rPr>
          <w:rFonts w:ascii="Arial" w:hAnsi="Arial" w:cs="Arial"/>
          <w:sz w:val="24"/>
          <w:szCs w:val="24"/>
        </w:rPr>
        <w:t xml:space="preserve">This would come to an end </w:t>
      </w:r>
      <w:r w:rsidR="00753985" w:rsidRPr="00C314E3">
        <w:rPr>
          <w:rFonts w:ascii="Arial" w:hAnsi="Arial" w:cs="Arial"/>
          <w:sz w:val="24"/>
          <w:szCs w:val="24"/>
        </w:rPr>
        <w:t>if</w:t>
      </w:r>
      <w:r w:rsidR="005F1448" w:rsidRPr="00C314E3">
        <w:rPr>
          <w:rFonts w:ascii="Arial" w:hAnsi="Arial" w:cs="Arial"/>
          <w:sz w:val="24"/>
          <w:szCs w:val="24"/>
        </w:rPr>
        <w:t xml:space="preserve"> either </w:t>
      </w:r>
      <w:r w:rsidR="0047444E" w:rsidRPr="00C314E3">
        <w:rPr>
          <w:rFonts w:ascii="Arial" w:hAnsi="Arial" w:cs="Arial"/>
          <w:sz w:val="24"/>
          <w:szCs w:val="24"/>
        </w:rPr>
        <w:t xml:space="preserve">Mr Kriel or the </w:t>
      </w:r>
      <w:r w:rsidR="005F1448" w:rsidRPr="00C314E3">
        <w:rPr>
          <w:rFonts w:ascii="Arial" w:hAnsi="Arial" w:cs="Arial"/>
          <w:sz w:val="24"/>
          <w:szCs w:val="24"/>
        </w:rPr>
        <w:t>applicants</w:t>
      </w:r>
      <w:r w:rsidR="0047444E" w:rsidRPr="00C314E3">
        <w:rPr>
          <w:rFonts w:ascii="Arial" w:hAnsi="Arial" w:cs="Arial"/>
          <w:sz w:val="24"/>
          <w:szCs w:val="24"/>
        </w:rPr>
        <w:t xml:space="preserve"> settled the outstanding amount owed.</w:t>
      </w:r>
    </w:p>
    <w:p w14:paraId="74D8462F" w14:textId="77777777" w:rsidR="00070D12" w:rsidRPr="00070D12" w:rsidRDefault="00070D12" w:rsidP="00070D12">
      <w:pPr>
        <w:pStyle w:val="ListParagraph"/>
        <w:rPr>
          <w:rFonts w:ascii="Arial" w:hAnsi="Arial" w:cs="Arial"/>
          <w:sz w:val="24"/>
          <w:szCs w:val="24"/>
        </w:rPr>
      </w:pPr>
    </w:p>
    <w:p w14:paraId="28096306" w14:textId="69619076" w:rsidR="00070D12" w:rsidRPr="00C314E3" w:rsidRDefault="00C314E3" w:rsidP="00C314E3">
      <w:pPr>
        <w:spacing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E3335E" w:rsidRPr="00C314E3">
        <w:rPr>
          <w:rFonts w:ascii="Arial" w:hAnsi="Arial" w:cs="Arial"/>
          <w:sz w:val="24"/>
          <w:szCs w:val="24"/>
        </w:rPr>
        <w:t>Turning to Mr Kriel’s supporting affidavit,</w:t>
      </w:r>
      <w:r w:rsidR="00753985" w:rsidRPr="00C314E3">
        <w:rPr>
          <w:rFonts w:ascii="Arial" w:hAnsi="Arial" w:cs="Arial"/>
          <w:sz w:val="24"/>
          <w:szCs w:val="24"/>
        </w:rPr>
        <w:t xml:space="preserve"> </w:t>
      </w:r>
      <w:r w:rsidR="00E3335E" w:rsidRPr="00C314E3">
        <w:rPr>
          <w:rFonts w:ascii="Arial" w:hAnsi="Arial" w:cs="Arial"/>
          <w:sz w:val="24"/>
          <w:szCs w:val="24"/>
        </w:rPr>
        <w:t>the first respondent</w:t>
      </w:r>
      <w:r w:rsidR="00C43D06" w:rsidRPr="00C314E3">
        <w:rPr>
          <w:rFonts w:ascii="Arial" w:hAnsi="Arial" w:cs="Arial"/>
          <w:sz w:val="24"/>
          <w:szCs w:val="24"/>
        </w:rPr>
        <w:t xml:space="preserve"> </w:t>
      </w:r>
      <w:r w:rsidR="00463636" w:rsidRPr="00C314E3">
        <w:rPr>
          <w:rFonts w:ascii="Arial" w:hAnsi="Arial" w:cs="Arial"/>
          <w:sz w:val="24"/>
          <w:szCs w:val="24"/>
        </w:rPr>
        <w:t>indicated that the second applicant had introduced him to Mr Kriel</w:t>
      </w:r>
      <w:r w:rsidR="005937FE" w:rsidRPr="00C314E3">
        <w:rPr>
          <w:rFonts w:ascii="Arial" w:hAnsi="Arial" w:cs="Arial"/>
          <w:sz w:val="24"/>
          <w:szCs w:val="24"/>
        </w:rPr>
        <w:t>, who had presented to him a business opportunity</w:t>
      </w:r>
      <w:r w:rsidR="00122C4F" w:rsidRPr="00C314E3">
        <w:rPr>
          <w:rFonts w:ascii="Arial" w:hAnsi="Arial" w:cs="Arial"/>
          <w:sz w:val="24"/>
          <w:szCs w:val="24"/>
        </w:rPr>
        <w:t xml:space="preserve">. This had </w:t>
      </w:r>
      <w:r w:rsidR="000C2E08" w:rsidRPr="00C314E3">
        <w:rPr>
          <w:rFonts w:ascii="Arial" w:hAnsi="Arial" w:cs="Arial"/>
          <w:sz w:val="24"/>
          <w:szCs w:val="24"/>
        </w:rPr>
        <w:t xml:space="preserve">resulted in </w:t>
      </w:r>
      <w:r w:rsidR="00122C4F" w:rsidRPr="00C314E3">
        <w:rPr>
          <w:rFonts w:ascii="Arial" w:hAnsi="Arial" w:cs="Arial"/>
          <w:sz w:val="24"/>
          <w:szCs w:val="24"/>
        </w:rPr>
        <w:t xml:space="preserve">the first respondent’s </w:t>
      </w:r>
      <w:r w:rsidR="00FC096C" w:rsidRPr="00C314E3">
        <w:rPr>
          <w:rFonts w:ascii="Arial" w:hAnsi="Arial" w:cs="Arial"/>
          <w:sz w:val="24"/>
          <w:szCs w:val="24"/>
        </w:rPr>
        <w:t xml:space="preserve">provision of a </w:t>
      </w:r>
      <w:r w:rsidR="00122C4F" w:rsidRPr="00C314E3">
        <w:rPr>
          <w:rFonts w:ascii="Arial" w:hAnsi="Arial" w:cs="Arial"/>
          <w:sz w:val="24"/>
          <w:szCs w:val="24"/>
        </w:rPr>
        <w:t>loan</w:t>
      </w:r>
      <w:r w:rsidR="00FC096C" w:rsidRPr="00C314E3">
        <w:rPr>
          <w:rFonts w:ascii="Arial" w:hAnsi="Arial" w:cs="Arial"/>
          <w:sz w:val="24"/>
          <w:szCs w:val="24"/>
        </w:rPr>
        <w:t xml:space="preserve"> in the amount of US</w:t>
      </w:r>
      <w:r w:rsidR="00B850CD" w:rsidRPr="00C314E3">
        <w:rPr>
          <w:rFonts w:ascii="Arial" w:hAnsi="Arial" w:cs="Arial"/>
          <w:sz w:val="24"/>
          <w:szCs w:val="24"/>
        </w:rPr>
        <w:t>$ 86,500</w:t>
      </w:r>
      <w:r w:rsidR="009B58FE" w:rsidRPr="00C314E3">
        <w:rPr>
          <w:rFonts w:ascii="Arial" w:hAnsi="Arial" w:cs="Arial"/>
          <w:sz w:val="24"/>
          <w:szCs w:val="24"/>
        </w:rPr>
        <w:t xml:space="preserve">. </w:t>
      </w:r>
      <w:r w:rsidR="00192809" w:rsidRPr="00C314E3">
        <w:rPr>
          <w:rFonts w:ascii="Arial" w:hAnsi="Arial" w:cs="Arial"/>
          <w:sz w:val="24"/>
          <w:szCs w:val="24"/>
        </w:rPr>
        <w:t xml:space="preserve">The </w:t>
      </w:r>
      <w:r w:rsidR="00E166D2" w:rsidRPr="00C314E3">
        <w:rPr>
          <w:rFonts w:ascii="Arial" w:hAnsi="Arial" w:cs="Arial"/>
          <w:sz w:val="24"/>
          <w:szCs w:val="24"/>
        </w:rPr>
        <w:t xml:space="preserve">terms of </w:t>
      </w:r>
      <w:r w:rsidR="00192809" w:rsidRPr="00C314E3">
        <w:rPr>
          <w:rFonts w:ascii="Arial" w:hAnsi="Arial" w:cs="Arial"/>
          <w:sz w:val="24"/>
          <w:szCs w:val="24"/>
        </w:rPr>
        <w:t xml:space="preserve">the loan were </w:t>
      </w:r>
      <w:r w:rsidR="00E166D2" w:rsidRPr="00C314E3">
        <w:rPr>
          <w:rFonts w:ascii="Arial" w:hAnsi="Arial" w:cs="Arial"/>
          <w:sz w:val="24"/>
          <w:szCs w:val="24"/>
        </w:rPr>
        <w:t xml:space="preserve">recorded in </w:t>
      </w:r>
      <w:r w:rsidR="00C65940" w:rsidRPr="00C314E3">
        <w:rPr>
          <w:rFonts w:ascii="Arial" w:hAnsi="Arial" w:cs="Arial"/>
          <w:sz w:val="24"/>
          <w:szCs w:val="24"/>
        </w:rPr>
        <w:t>a written agreement</w:t>
      </w:r>
      <w:r w:rsidR="00192809" w:rsidRPr="00C314E3">
        <w:rPr>
          <w:rFonts w:ascii="Arial" w:hAnsi="Arial" w:cs="Arial"/>
          <w:sz w:val="24"/>
          <w:szCs w:val="24"/>
        </w:rPr>
        <w:t xml:space="preserve"> and are not entirely relevant for immediate purposes, save to state that Mr Kriel was required to </w:t>
      </w:r>
      <w:r w:rsidR="00BC1F43" w:rsidRPr="00C314E3">
        <w:rPr>
          <w:rFonts w:ascii="Arial" w:hAnsi="Arial" w:cs="Arial"/>
          <w:sz w:val="24"/>
          <w:szCs w:val="24"/>
        </w:rPr>
        <w:t xml:space="preserve">repay double </w:t>
      </w:r>
      <w:r w:rsidR="0072422F" w:rsidRPr="00C314E3">
        <w:rPr>
          <w:rFonts w:ascii="Arial" w:hAnsi="Arial" w:cs="Arial"/>
          <w:sz w:val="24"/>
          <w:szCs w:val="24"/>
        </w:rPr>
        <w:t xml:space="preserve">the value of the loan within 30 days, together </w:t>
      </w:r>
      <w:r w:rsidR="00CB0D46" w:rsidRPr="00C314E3">
        <w:rPr>
          <w:rFonts w:ascii="Arial" w:hAnsi="Arial" w:cs="Arial"/>
          <w:sz w:val="24"/>
          <w:szCs w:val="24"/>
        </w:rPr>
        <w:t xml:space="preserve">with payments </w:t>
      </w:r>
      <w:r w:rsidR="00500F25" w:rsidRPr="00C314E3">
        <w:rPr>
          <w:rFonts w:ascii="Arial" w:hAnsi="Arial" w:cs="Arial"/>
          <w:sz w:val="24"/>
          <w:szCs w:val="24"/>
        </w:rPr>
        <w:t xml:space="preserve">linked to the </w:t>
      </w:r>
      <w:r w:rsidR="00F40C90" w:rsidRPr="00C314E3">
        <w:rPr>
          <w:rFonts w:ascii="Arial" w:hAnsi="Arial" w:cs="Arial"/>
          <w:sz w:val="24"/>
          <w:szCs w:val="24"/>
        </w:rPr>
        <w:t xml:space="preserve">supply of fuel stored at </w:t>
      </w:r>
      <w:r w:rsidR="003624E4" w:rsidRPr="00C314E3">
        <w:rPr>
          <w:rFonts w:ascii="Arial" w:hAnsi="Arial" w:cs="Arial"/>
          <w:sz w:val="24"/>
          <w:szCs w:val="24"/>
        </w:rPr>
        <w:t>Novorossiysk</w:t>
      </w:r>
      <w:r w:rsidR="00E54AC6" w:rsidRPr="00C314E3">
        <w:rPr>
          <w:rFonts w:ascii="Arial" w:hAnsi="Arial" w:cs="Arial"/>
          <w:sz w:val="24"/>
          <w:szCs w:val="24"/>
        </w:rPr>
        <w:t>.</w:t>
      </w:r>
      <w:r w:rsidR="007A53D8" w:rsidRPr="00C314E3">
        <w:rPr>
          <w:rFonts w:ascii="Arial" w:hAnsi="Arial" w:cs="Arial"/>
          <w:sz w:val="24"/>
          <w:szCs w:val="24"/>
        </w:rPr>
        <w:t xml:space="preserve"> </w:t>
      </w:r>
      <w:r w:rsidR="00D62833" w:rsidRPr="00C314E3">
        <w:rPr>
          <w:rFonts w:ascii="Arial" w:hAnsi="Arial" w:cs="Arial"/>
          <w:sz w:val="24"/>
          <w:szCs w:val="24"/>
        </w:rPr>
        <w:t xml:space="preserve">The first respondent provided a further loan, such that </w:t>
      </w:r>
      <w:r w:rsidR="00CC17B1" w:rsidRPr="00C314E3">
        <w:rPr>
          <w:rFonts w:ascii="Arial" w:hAnsi="Arial" w:cs="Arial"/>
          <w:sz w:val="24"/>
          <w:szCs w:val="24"/>
        </w:rPr>
        <w:t>Mr Kriel’s liability amounted to</w:t>
      </w:r>
      <w:r w:rsidR="00F532AE" w:rsidRPr="00C314E3">
        <w:rPr>
          <w:rFonts w:ascii="Arial" w:hAnsi="Arial" w:cs="Arial"/>
          <w:sz w:val="24"/>
          <w:szCs w:val="24"/>
        </w:rPr>
        <w:t xml:space="preserve"> US$</w:t>
      </w:r>
      <w:r w:rsidR="00CC17B1" w:rsidRPr="00C314E3">
        <w:rPr>
          <w:rFonts w:ascii="Arial" w:hAnsi="Arial" w:cs="Arial"/>
          <w:sz w:val="24"/>
          <w:szCs w:val="24"/>
        </w:rPr>
        <w:t xml:space="preserve"> 249,550</w:t>
      </w:r>
      <w:r w:rsidR="00F97EC8" w:rsidRPr="00C314E3">
        <w:rPr>
          <w:rFonts w:ascii="Arial" w:hAnsi="Arial" w:cs="Arial"/>
          <w:sz w:val="24"/>
          <w:szCs w:val="24"/>
        </w:rPr>
        <w:t xml:space="preserve"> plus interest of 15% per annum</w:t>
      </w:r>
      <w:r w:rsidR="00093152" w:rsidRPr="00C314E3">
        <w:rPr>
          <w:rFonts w:ascii="Arial" w:hAnsi="Arial" w:cs="Arial"/>
          <w:sz w:val="24"/>
          <w:szCs w:val="24"/>
        </w:rPr>
        <w:t>, calculated from 23 September 2015.</w:t>
      </w:r>
      <w:r w:rsidR="00252C3F" w:rsidRPr="00C314E3">
        <w:rPr>
          <w:rFonts w:ascii="Arial" w:hAnsi="Arial" w:cs="Arial"/>
          <w:sz w:val="24"/>
          <w:szCs w:val="24"/>
        </w:rPr>
        <w:t xml:space="preserve"> </w:t>
      </w:r>
    </w:p>
    <w:p w14:paraId="0B28B107" w14:textId="77777777" w:rsidR="00070D12" w:rsidRPr="00070D12" w:rsidRDefault="00070D12" w:rsidP="00070D12">
      <w:pPr>
        <w:pStyle w:val="ListParagraph"/>
        <w:rPr>
          <w:rFonts w:ascii="Arial" w:hAnsi="Arial" w:cs="Arial"/>
          <w:sz w:val="24"/>
          <w:szCs w:val="24"/>
        </w:rPr>
      </w:pPr>
    </w:p>
    <w:p w14:paraId="331C16D6" w14:textId="62353CBE" w:rsidR="00070D12" w:rsidRPr="00C314E3" w:rsidRDefault="00C314E3" w:rsidP="00C314E3">
      <w:pPr>
        <w:spacing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252C3F" w:rsidRPr="00C314E3">
        <w:rPr>
          <w:rFonts w:ascii="Arial" w:hAnsi="Arial" w:cs="Arial"/>
          <w:sz w:val="24"/>
          <w:szCs w:val="24"/>
        </w:rPr>
        <w:t xml:space="preserve">Mr Kriel’s failure to repay the loan </w:t>
      </w:r>
      <w:r w:rsidR="007F5D18" w:rsidRPr="00C314E3">
        <w:rPr>
          <w:rFonts w:ascii="Arial" w:hAnsi="Arial" w:cs="Arial"/>
          <w:sz w:val="24"/>
          <w:szCs w:val="24"/>
        </w:rPr>
        <w:t>precipitated the onset of financial difficulties for the first respondent</w:t>
      </w:r>
      <w:r w:rsidR="003A5B5B" w:rsidRPr="00C314E3">
        <w:rPr>
          <w:rFonts w:ascii="Arial" w:hAnsi="Arial" w:cs="Arial"/>
          <w:sz w:val="24"/>
          <w:szCs w:val="24"/>
        </w:rPr>
        <w:t xml:space="preserve">. His house was attached by </w:t>
      </w:r>
      <w:r w:rsidR="001871CE" w:rsidRPr="00C314E3">
        <w:rPr>
          <w:rFonts w:ascii="Arial" w:hAnsi="Arial" w:cs="Arial"/>
          <w:sz w:val="24"/>
          <w:szCs w:val="24"/>
        </w:rPr>
        <w:t xml:space="preserve">a judgment creditor, prompting </w:t>
      </w:r>
      <w:r w:rsidR="009D1352" w:rsidRPr="00C314E3">
        <w:rPr>
          <w:rFonts w:ascii="Arial" w:hAnsi="Arial" w:cs="Arial"/>
          <w:sz w:val="24"/>
          <w:szCs w:val="24"/>
        </w:rPr>
        <w:t>his</w:t>
      </w:r>
      <w:r w:rsidR="003B09A6" w:rsidRPr="00C314E3">
        <w:rPr>
          <w:rFonts w:ascii="Arial" w:hAnsi="Arial" w:cs="Arial"/>
          <w:sz w:val="24"/>
          <w:szCs w:val="24"/>
        </w:rPr>
        <w:t xml:space="preserve"> negotiati</w:t>
      </w:r>
      <w:r w:rsidR="009D1352" w:rsidRPr="00C314E3">
        <w:rPr>
          <w:rFonts w:ascii="Arial" w:hAnsi="Arial" w:cs="Arial"/>
          <w:sz w:val="24"/>
          <w:szCs w:val="24"/>
        </w:rPr>
        <w:t xml:space="preserve">on with Mr Kriel </w:t>
      </w:r>
      <w:r w:rsidR="00792218" w:rsidRPr="00C314E3">
        <w:rPr>
          <w:rFonts w:ascii="Arial" w:hAnsi="Arial" w:cs="Arial"/>
          <w:sz w:val="24"/>
          <w:szCs w:val="24"/>
        </w:rPr>
        <w:t xml:space="preserve">for </w:t>
      </w:r>
      <w:r w:rsidR="003B09A6" w:rsidRPr="00C314E3">
        <w:rPr>
          <w:rFonts w:ascii="Arial" w:hAnsi="Arial" w:cs="Arial"/>
          <w:sz w:val="24"/>
          <w:szCs w:val="24"/>
        </w:rPr>
        <w:t xml:space="preserve">the </w:t>
      </w:r>
      <w:r w:rsidR="00C97C33" w:rsidRPr="00C314E3">
        <w:rPr>
          <w:rFonts w:ascii="Arial" w:hAnsi="Arial" w:cs="Arial"/>
          <w:sz w:val="24"/>
          <w:szCs w:val="24"/>
        </w:rPr>
        <w:t xml:space="preserve">possible </w:t>
      </w:r>
      <w:r w:rsidR="007A17F8" w:rsidRPr="00C314E3">
        <w:rPr>
          <w:rFonts w:ascii="Arial" w:hAnsi="Arial" w:cs="Arial"/>
          <w:sz w:val="24"/>
          <w:szCs w:val="24"/>
        </w:rPr>
        <w:t>purchase</w:t>
      </w:r>
      <w:r w:rsidR="00C97C33" w:rsidRPr="00C314E3">
        <w:rPr>
          <w:rFonts w:ascii="Arial" w:hAnsi="Arial" w:cs="Arial"/>
          <w:sz w:val="24"/>
          <w:szCs w:val="24"/>
        </w:rPr>
        <w:t xml:space="preserve"> of the property </w:t>
      </w:r>
      <w:r w:rsidR="007D4ADC" w:rsidRPr="00C314E3">
        <w:rPr>
          <w:rFonts w:ascii="Arial" w:hAnsi="Arial" w:cs="Arial"/>
          <w:sz w:val="24"/>
          <w:szCs w:val="24"/>
        </w:rPr>
        <w:t xml:space="preserve">for what was owed in terms of the loan. They failed to agree on the </w:t>
      </w:r>
      <w:r w:rsidR="00F81A7B" w:rsidRPr="00C314E3">
        <w:rPr>
          <w:rFonts w:ascii="Arial" w:hAnsi="Arial" w:cs="Arial"/>
          <w:sz w:val="24"/>
          <w:szCs w:val="24"/>
        </w:rPr>
        <w:t xml:space="preserve">purchase price, however, and the deal fell through. </w:t>
      </w:r>
      <w:r w:rsidR="00080C7E" w:rsidRPr="00C314E3">
        <w:rPr>
          <w:rFonts w:ascii="Arial" w:hAnsi="Arial" w:cs="Arial"/>
          <w:sz w:val="24"/>
          <w:szCs w:val="24"/>
        </w:rPr>
        <w:t xml:space="preserve">Nevertheless, </w:t>
      </w:r>
      <w:r w:rsidR="00B13BCB" w:rsidRPr="00C314E3">
        <w:rPr>
          <w:rFonts w:ascii="Arial" w:hAnsi="Arial" w:cs="Arial"/>
          <w:sz w:val="24"/>
          <w:szCs w:val="24"/>
        </w:rPr>
        <w:t xml:space="preserve">the first respondent alleged that he and Mr Kriel concluded a verbal agreement in terms of which </w:t>
      </w:r>
      <w:r w:rsidR="0063516B" w:rsidRPr="00C314E3">
        <w:rPr>
          <w:rFonts w:ascii="Arial" w:hAnsi="Arial" w:cs="Arial"/>
          <w:sz w:val="24"/>
          <w:szCs w:val="24"/>
        </w:rPr>
        <w:t xml:space="preserve">he would take occupation of the property, pending Mr </w:t>
      </w:r>
      <w:r w:rsidR="0063516B" w:rsidRPr="00C314E3">
        <w:rPr>
          <w:rFonts w:ascii="Arial" w:hAnsi="Arial" w:cs="Arial"/>
          <w:sz w:val="24"/>
          <w:szCs w:val="24"/>
        </w:rPr>
        <w:lastRenderedPageBreak/>
        <w:t>Kriel’s repayment</w:t>
      </w:r>
      <w:r w:rsidR="00C2257E" w:rsidRPr="00C314E3">
        <w:rPr>
          <w:rFonts w:ascii="Arial" w:hAnsi="Arial" w:cs="Arial"/>
          <w:sz w:val="24"/>
          <w:szCs w:val="24"/>
        </w:rPr>
        <w:t>.</w:t>
      </w:r>
      <w:r w:rsidR="00D01F1C" w:rsidRPr="00C314E3">
        <w:rPr>
          <w:rFonts w:ascii="Arial" w:hAnsi="Arial" w:cs="Arial"/>
          <w:sz w:val="24"/>
          <w:szCs w:val="24"/>
        </w:rPr>
        <w:t xml:space="preserve"> </w:t>
      </w:r>
      <w:r w:rsidR="00B4727D" w:rsidRPr="00C314E3">
        <w:rPr>
          <w:rFonts w:ascii="Arial" w:hAnsi="Arial" w:cs="Arial"/>
          <w:sz w:val="24"/>
          <w:szCs w:val="24"/>
        </w:rPr>
        <w:t>The</w:t>
      </w:r>
      <w:r w:rsidR="00AC5C5B" w:rsidRPr="00C314E3">
        <w:rPr>
          <w:rFonts w:ascii="Arial" w:hAnsi="Arial" w:cs="Arial"/>
          <w:sz w:val="24"/>
          <w:szCs w:val="24"/>
        </w:rPr>
        <w:t xml:space="preserve"> first respondent would not be liable for occupational </w:t>
      </w:r>
      <w:r w:rsidR="00A2011B" w:rsidRPr="00C314E3">
        <w:rPr>
          <w:rFonts w:ascii="Arial" w:hAnsi="Arial" w:cs="Arial"/>
          <w:sz w:val="24"/>
          <w:szCs w:val="24"/>
        </w:rPr>
        <w:t>rental or rates and service charges.</w:t>
      </w:r>
      <w:r w:rsidR="00B4727D" w:rsidRPr="00C314E3">
        <w:rPr>
          <w:rFonts w:ascii="Arial" w:hAnsi="Arial" w:cs="Arial"/>
          <w:sz w:val="24"/>
          <w:szCs w:val="24"/>
        </w:rPr>
        <w:t xml:space="preserve"> </w:t>
      </w:r>
    </w:p>
    <w:p w14:paraId="57A4D98C" w14:textId="77777777" w:rsidR="00070D12" w:rsidRPr="00070D12" w:rsidRDefault="00070D12" w:rsidP="00070D12">
      <w:pPr>
        <w:pStyle w:val="ListParagraph"/>
        <w:rPr>
          <w:rFonts w:ascii="Arial" w:hAnsi="Arial" w:cs="Arial"/>
          <w:sz w:val="24"/>
          <w:szCs w:val="24"/>
        </w:rPr>
      </w:pPr>
    </w:p>
    <w:p w14:paraId="6A3AA679" w14:textId="1EFBE398" w:rsidR="00074E09" w:rsidRPr="00C314E3" w:rsidRDefault="00C314E3" w:rsidP="00C314E3">
      <w:pPr>
        <w:spacing w:line="360" w:lineRule="auto"/>
        <w:jc w:val="both"/>
        <w:rPr>
          <w:rFonts w:ascii="Arial" w:hAnsi="Arial" w:cs="Arial"/>
          <w:sz w:val="24"/>
          <w:szCs w:val="24"/>
        </w:rPr>
      </w:pPr>
      <w:r w:rsidRPr="00070D12">
        <w:rPr>
          <w:rFonts w:ascii="Arial" w:hAnsi="Arial" w:cs="Arial"/>
          <w:sz w:val="24"/>
          <w:szCs w:val="24"/>
        </w:rPr>
        <w:t>[19]</w:t>
      </w:r>
      <w:r w:rsidRPr="00070D12">
        <w:rPr>
          <w:rFonts w:ascii="Arial" w:hAnsi="Arial" w:cs="Arial"/>
          <w:sz w:val="24"/>
          <w:szCs w:val="24"/>
        </w:rPr>
        <w:tab/>
      </w:r>
      <w:r w:rsidR="0021573B" w:rsidRPr="00C314E3">
        <w:rPr>
          <w:rFonts w:ascii="Arial" w:hAnsi="Arial" w:cs="Arial"/>
          <w:sz w:val="24"/>
          <w:szCs w:val="24"/>
        </w:rPr>
        <w:t xml:space="preserve">The first respondent confirmed that the subsequent conclusion of a deed of sale for the purchase of the property was </w:t>
      </w:r>
      <w:r w:rsidR="00D41BA8" w:rsidRPr="00C314E3">
        <w:rPr>
          <w:rFonts w:ascii="Arial" w:hAnsi="Arial" w:cs="Arial"/>
          <w:sz w:val="24"/>
          <w:szCs w:val="24"/>
        </w:rPr>
        <w:t xml:space="preserve">a sham. It was done merely to ease </w:t>
      </w:r>
      <w:r w:rsidR="007D18DA" w:rsidRPr="00C314E3">
        <w:rPr>
          <w:rFonts w:ascii="Arial" w:hAnsi="Arial" w:cs="Arial"/>
          <w:sz w:val="24"/>
          <w:szCs w:val="24"/>
        </w:rPr>
        <w:t xml:space="preserve">some of the pressure on Mr Kriel </w:t>
      </w:r>
      <w:r w:rsidR="00833C2A" w:rsidRPr="00C314E3">
        <w:rPr>
          <w:rFonts w:ascii="Arial" w:hAnsi="Arial" w:cs="Arial"/>
          <w:sz w:val="24"/>
          <w:szCs w:val="24"/>
        </w:rPr>
        <w:t xml:space="preserve">in relation to </w:t>
      </w:r>
      <w:r w:rsidR="006E4204" w:rsidRPr="00C314E3">
        <w:rPr>
          <w:rFonts w:ascii="Arial" w:hAnsi="Arial" w:cs="Arial"/>
          <w:sz w:val="24"/>
          <w:szCs w:val="24"/>
        </w:rPr>
        <w:t xml:space="preserve">his </w:t>
      </w:r>
      <w:r w:rsidR="002334CF" w:rsidRPr="00C314E3">
        <w:rPr>
          <w:rFonts w:ascii="Arial" w:hAnsi="Arial" w:cs="Arial"/>
          <w:sz w:val="24"/>
          <w:szCs w:val="24"/>
        </w:rPr>
        <w:t>mortgage</w:t>
      </w:r>
      <w:r w:rsidR="003C2DC4" w:rsidRPr="00C314E3">
        <w:rPr>
          <w:rFonts w:ascii="Arial" w:hAnsi="Arial" w:cs="Arial"/>
          <w:sz w:val="24"/>
          <w:szCs w:val="24"/>
        </w:rPr>
        <w:t xml:space="preserve"> bond repayments. </w:t>
      </w:r>
      <w:r w:rsidR="00333CDB" w:rsidRPr="00C314E3">
        <w:rPr>
          <w:rFonts w:ascii="Arial" w:hAnsi="Arial" w:cs="Arial"/>
          <w:sz w:val="24"/>
          <w:szCs w:val="24"/>
        </w:rPr>
        <w:t xml:space="preserve">The first respondent’s occupation of the property arose by reason of </w:t>
      </w:r>
      <w:r w:rsidR="00D24F36" w:rsidRPr="00C314E3">
        <w:rPr>
          <w:rFonts w:ascii="Arial" w:hAnsi="Arial" w:cs="Arial"/>
          <w:sz w:val="24"/>
          <w:szCs w:val="24"/>
        </w:rPr>
        <w:t xml:space="preserve">the </w:t>
      </w:r>
      <w:r w:rsidR="00333CDB" w:rsidRPr="00C314E3">
        <w:rPr>
          <w:rFonts w:ascii="Arial" w:hAnsi="Arial" w:cs="Arial"/>
          <w:sz w:val="24"/>
          <w:szCs w:val="24"/>
        </w:rPr>
        <w:t xml:space="preserve">verbal agreement </w:t>
      </w:r>
      <w:r w:rsidR="00D24F36" w:rsidRPr="00C314E3">
        <w:rPr>
          <w:rFonts w:ascii="Arial" w:hAnsi="Arial" w:cs="Arial"/>
          <w:sz w:val="24"/>
          <w:szCs w:val="24"/>
        </w:rPr>
        <w:t xml:space="preserve">with Mr Kriel. He </w:t>
      </w:r>
      <w:r w:rsidR="006756BD" w:rsidRPr="00C314E3">
        <w:rPr>
          <w:rFonts w:ascii="Arial" w:hAnsi="Arial" w:cs="Arial"/>
          <w:sz w:val="24"/>
          <w:szCs w:val="24"/>
        </w:rPr>
        <w:t xml:space="preserve">denied that he </w:t>
      </w:r>
      <w:r w:rsidR="00D24F36" w:rsidRPr="00C314E3">
        <w:rPr>
          <w:rFonts w:ascii="Arial" w:hAnsi="Arial" w:cs="Arial"/>
          <w:sz w:val="24"/>
          <w:szCs w:val="24"/>
        </w:rPr>
        <w:t>was an unlawful occupier.</w:t>
      </w:r>
    </w:p>
    <w:p w14:paraId="67116F42" w14:textId="77777777" w:rsidR="003F4343" w:rsidRDefault="003F4343" w:rsidP="00927E6D">
      <w:pPr>
        <w:spacing w:line="360" w:lineRule="auto"/>
        <w:rPr>
          <w:rFonts w:ascii="Arial" w:hAnsi="Arial" w:cs="Arial"/>
          <w:sz w:val="24"/>
          <w:szCs w:val="24"/>
        </w:rPr>
      </w:pPr>
    </w:p>
    <w:p w14:paraId="22E6281F" w14:textId="77777777" w:rsidR="003F4343" w:rsidRPr="003F4343" w:rsidRDefault="003F4343" w:rsidP="00E77158">
      <w:pPr>
        <w:spacing w:line="360" w:lineRule="auto"/>
        <w:jc w:val="both"/>
        <w:rPr>
          <w:rFonts w:ascii="Arial" w:hAnsi="Arial" w:cs="Arial"/>
          <w:b/>
          <w:bCs/>
          <w:sz w:val="24"/>
          <w:szCs w:val="24"/>
        </w:rPr>
      </w:pPr>
      <w:r w:rsidRPr="003F4343">
        <w:rPr>
          <w:rFonts w:ascii="Arial" w:hAnsi="Arial" w:cs="Arial"/>
          <w:b/>
          <w:bCs/>
          <w:sz w:val="24"/>
          <w:szCs w:val="24"/>
        </w:rPr>
        <w:t>In reply</w:t>
      </w:r>
    </w:p>
    <w:p w14:paraId="729DEB60" w14:textId="56F0DCA0" w:rsidR="00070D12" w:rsidRPr="00C314E3" w:rsidRDefault="00C314E3" w:rsidP="00C314E3">
      <w:pPr>
        <w:spacing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3F4343" w:rsidRPr="00C314E3">
        <w:rPr>
          <w:rFonts w:ascii="Arial" w:hAnsi="Arial" w:cs="Arial"/>
          <w:sz w:val="24"/>
          <w:szCs w:val="24"/>
        </w:rPr>
        <w:t xml:space="preserve">The applicants </w:t>
      </w:r>
      <w:r w:rsidR="00886673" w:rsidRPr="00C314E3">
        <w:rPr>
          <w:rFonts w:ascii="Arial" w:hAnsi="Arial" w:cs="Arial"/>
          <w:sz w:val="24"/>
          <w:szCs w:val="24"/>
        </w:rPr>
        <w:t xml:space="preserve">pointed out, in reply, that the court had never made a finding </w:t>
      </w:r>
      <w:r w:rsidR="00E6713A" w:rsidRPr="00C314E3">
        <w:rPr>
          <w:rFonts w:ascii="Arial" w:hAnsi="Arial" w:cs="Arial"/>
          <w:sz w:val="24"/>
          <w:szCs w:val="24"/>
        </w:rPr>
        <w:t xml:space="preserve">in the earlier application proceedings </w:t>
      </w:r>
      <w:r w:rsidR="00CF6107" w:rsidRPr="00C314E3">
        <w:rPr>
          <w:rFonts w:ascii="Arial" w:hAnsi="Arial" w:cs="Arial"/>
          <w:sz w:val="24"/>
          <w:szCs w:val="24"/>
        </w:rPr>
        <w:t>on the existence or otherwise of a lien or pledge in favour of the first respondent.</w:t>
      </w:r>
      <w:r w:rsidR="003C17F4" w:rsidRPr="00C314E3">
        <w:rPr>
          <w:rFonts w:ascii="Arial" w:hAnsi="Arial" w:cs="Arial"/>
          <w:sz w:val="24"/>
          <w:szCs w:val="24"/>
        </w:rPr>
        <w:t xml:space="preserve"> The court had </w:t>
      </w:r>
      <w:r w:rsidR="006643BD" w:rsidRPr="00C314E3">
        <w:rPr>
          <w:rFonts w:ascii="Arial" w:hAnsi="Arial" w:cs="Arial"/>
          <w:sz w:val="24"/>
          <w:szCs w:val="24"/>
        </w:rPr>
        <w:t xml:space="preserve">merely </w:t>
      </w:r>
      <w:r w:rsidR="003C17F4" w:rsidRPr="00C314E3">
        <w:rPr>
          <w:rFonts w:ascii="Arial" w:hAnsi="Arial" w:cs="Arial"/>
          <w:sz w:val="24"/>
          <w:szCs w:val="24"/>
        </w:rPr>
        <w:t xml:space="preserve">dismissed the application </w:t>
      </w:r>
      <w:r w:rsidR="00A955B6" w:rsidRPr="00C314E3">
        <w:rPr>
          <w:rFonts w:ascii="Arial" w:hAnsi="Arial" w:cs="Arial"/>
          <w:sz w:val="24"/>
          <w:szCs w:val="24"/>
        </w:rPr>
        <w:t>because of</w:t>
      </w:r>
      <w:r w:rsidR="006643BD" w:rsidRPr="00C314E3">
        <w:rPr>
          <w:rFonts w:ascii="Arial" w:hAnsi="Arial" w:cs="Arial"/>
          <w:sz w:val="24"/>
          <w:szCs w:val="24"/>
        </w:rPr>
        <w:t xml:space="preserve"> a successful special plea of </w:t>
      </w:r>
      <w:r w:rsidR="006643BD" w:rsidRPr="00C314E3">
        <w:rPr>
          <w:rFonts w:ascii="Arial" w:hAnsi="Arial" w:cs="Arial"/>
          <w:i/>
          <w:iCs/>
          <w:sz w:val="24"/>
          <w:szCs w:val="24"/>
        </w:rPr>
        <w:t>lis pendens</w:t>
      </w:r>
      <w:r w:rsidR="006643BD" w:rsidRPr="00C314E3">
        <w:rPr>
          <w:rFonts w:ascii="Arial" w:hAnsi="Arial" w:cs="Arial"/>
          <w:sz w:val="24"/>
          <w:szCs w:val="24"/>
        </w:rPr>
        <w:t xml:space="preserve">, with reference to </w:t>
      </w:r>
      <w:r w:rsidR="00A955B6" w:rsidRPr="00C314E3">
        <w:rPr>
          <w:rFonts w:ascii="Arial" w:hAnsi="Arial" w:cs="Arial"/>
          <w:sz w:val="24"/>
          <w:szCs w:val="24"/>
        </w:rPr>
        <w:t>Mr Kriel’s action proceedings.</w:t>
      </w:r>
    </w:p>
    <w:p w14:paraId="2F5BB1F8" w14:textId="77777777" w:rsidR="00070D12" w:rsidRDefault="00070D12" w:rsidP="00070D12">
      <w:pPr>
        <w:pStyle w:val="ListParagraph"/>
        <w:spacing w:line="360" w:lineRule="auto"/>
        <w:ind w:left="0"/>
        <w:jc w:val="both"/>
        <w:rPr>
          <w:rFonts w:ascii="Arial" w:hAnsi="Arial" w:cs="Arial"/>
          <w:sz w:val="24"/>
          <w:szCs w:val="24"/>
        </w:rPr>
      </w:pPr>
    </w:p>
    <w:p w14:paraId="6BC746BD" w14:textId="1E234F09" w:rsidR="00070D12" w:rsidRPr="00C314E3" w:rsidRDefault="00C314E3" w:rsidP="00C314E3">
      <w:pPr>
        <w:spacing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C9091E" w:rsidRPr="00C314E3">
        <w:rPr>
          <w:rFonts w:ascii="Arial" w:hAnsi="Arial" w:cs="Arial"/>
          <w:sz w:val="24"/>
          <w:szCs w:val="24"/>
        </w:rPr>
        <w:t xml:space="preserve">Furthermore, the applicants </w:t>
      </w:r>
      <w:r w:rsidR="0053077F" w:rsidRPr="00C314E3">
        <w:rPr>
          <w:rFonts w:ascii="Arial" w:hAnsi="Arial" w:cs="Arial"/>
          <w:sz w:val="24"/>
          <w:szCs w:val="24"/>
        </w:rPr>
        <w:t xml:space="preserve">argued that the debt owed by </w:t>
      </w:r>
      <w:r w:rsidR="009F57FE" w:rsidRPr="00C314E3">
        <w:rPr>
          <w:rFonts w:ascii="Arial" w:hAnsi="Arial" w:cs="Arial"/>
          <w:sz w:val="24"/>
          <w:szCs w:val="24"/>
        </w:rPr>
        <w:t xml:space="preserve">Mr Kriel to the first respondent became due on </w:t>
      </w:r>
      <w:r w:rsidR="00D33CC0" w:rsidRPr="00C314E3">
        <w:rPr>
          <w:rFonts w:ascii="Arial" w:hAnsi="Arial" w:cs="Arial"/>
          <w:sz w:val="24"/>
          <w:szCs w:val="24"/>
        </w:rPr>
        <w:t xml:space="preserve">23 September 2015. In the absence of any interruption, the debt had </w:t>
      </w:r>
      <w:r w:rsidR="00D1645A" w:rsidRPr="00C314E3">
        <w:rPr>
          <w:rFonts w:ascii="Arial" w:hAnsi="Arial" w:cs="Arial"/>
          <w:sz w:val="24"/>
          <w:szCs w:val="24"/>
        </w:rPr>
        <w:t xml:space="preserve">run </w:t>
      </w:r>
      <w:r w:rsidR="00997FFD" w:rsidRPr="00C314E3">
        <w:rPr>
          <w:rFonts w:ascii="Arial" w:hAnsi="Arial" w:cs="Arial"/>
          <w:sz w:val="24"/>
          <w:szCs w:val="24"/>
        </w:rPr>
        <w:t xml:space="preserve">to </w:t>
      </w:r>
      <w:r w:rsidR="00D33CC0" w:rsidRPr="00C314E3">
        <w:rPr>
          <w:rFonts w:ascii="Arial" w:hAnsi="Arial" w:cs="Arial"/>
          <w:sz w:val="24"/>
          <w:szCs w:val="24"/>
        </w:rPr>
        <w:t>prescri</w:t>
      </w:r>
      <w:r w:rsidR="00997FFD" w:rsidRPr="00C314E3">
        <w:rPr>
          <w:rFonts w:ascii="Arial" w:hAnsi="Arial" w:cs="Arial"/>
          <w:sz w:val="24"/>
          <w:szCs w:val="24"/>
        </w:rPr>
        <w:t>ption</w:t>
      </w:r>
      <w:r w:rsidR="00D33CC0" w:rsidRPr="00C314E3">
        <w:rPr>
          <w:rFonts w:ascii="Arial" w:hAnsi="Arial" w:cs="Arial"/>
          <w:sz w:val="24"/>
          <w:szCs w:val="24"/>
        </w:rPr>
        <w:t>.</w:t>
      </w:r>
      <w:r w:rsidR="00C61C93" w:rsidRPr="00C314E3">
        <w:rPr>
          <w:rFonts w:ascii="Arial" w:hAnsi="Arial" w:cs="Arial"/>
          <w:sz w:val="24"/>
          <w:szCs w:val="24"/>
        </w:rPr>
        <w:t xml:space="preserve"> </w:t>
      </w:r>
    </w:p>
    <w:p w14:paraId="56F1C415" w14:textId="77777777" w:rsidR="00070D12" w:rsidRPr="00070D12" w:rsidRDefault="00070D12" w:rsidP="00070D12">
      <w:pPr>
        <w:pStyle w:val="ListParagraph"/>
        <w:rPr>
          <w:rFonts w:ascii="Arial" w:hAnsi="Arial" w:cs="Arial"/>
          <w:sz w:val="24"/>
          <w:szCs w:val="24"/>
        </w:rPr>
      </w:pPr>
    </w:p>
    <w:p w14:paraId="13FC4A8D" w14:textId="4D16E334" w:rsidR="007A77A6" w:rsidRPr="00C314E3" w:rsidRDefault="00C314E3" w:rsidP="00C314E3">
      <w:pPr>
        <w:spacing w:line="360" w:lineRule="auto"/>
        <w:jc w:val="both"/>
        <w:rPr>
          <w:rFonts w:ascii="Arial" w:hAnsi="Arial" w:cs="Arial"/>
          <w:sz w:val="24"/>
          <w:szCs w:val="24"/>
        </w:rPr>
      </w:pPr>
      <w:r w:rsidRPr="00070D12">
        <w:rPr>
          <w:rFonts w:ascii="Arial" w:hAnsi="Arial" w:cs="Arial"/>
          <w:sz w:val="24"/>
          <w:szCs w:val="24"/>
        </w:rPr>
        <w:t>[22]</w:t>
      </w:r>
      <w:r w:rsidRPr="00070D12">
        <w:rPr>
          <w:rFonts w:ascii="Arial" w:hAnsi="Arial" w:cs="Arial"/>
          <w:sz w:val="24"/>
          <w:szCs w:val="24"/>
        </w:rPr>
        <w:tab/>
      </w:r>
      <w:r w:rsidR="007A77A6" w:rsidRPr="00C314E3">
        <w:rPr>
          <w:rFonts w:ascii="Arial" w:hAnsi="Arial" w:cs="Arial"/>
          <w:sz w:val="24"/>
          <w:szCs w:val="24"/>
        </w:rPr>
        <w:t xml:space="preserve">Regarding the verbal agreement </w:t>
      </w:r>
      <w:r w:rsidR="00246122" w:rsidRPr="00C314E3">
        <w:rPr>
          <w:rFonts w:ascii="Arial" w:hAnsi="Arial" w:cs="Arial"/>
          <w:sz w:val="24"/>
          <w:szCs w:val="24"/>
        </w:rPr>
        <w:t xml:space="preserve">to the effect that the first respondent took occupation of the property to secure his loan to Mr Kriel, </w:t>
      </w:r>
      <w:r w:rsidR="007A77A6" w:rsidRPr="00C314E3">
        <w:rPr>
          <w:rFonts w:ascii="Arial" w:hAnsi="Arial" w:cs="Arial"/>
          <w:sz w:val="24"/>
          <w:szCs w:val="24"/>
        </w:rPr>
        <w:t xml:space="preserve">the applicants contended that </w:t>
      </w:r>
      <w:r w:rsidR="002D7A22" w:rsidRPr="00C314E3">
        <w:rPr>
          <w:rFonts w:ascii="Arial" w:hAnsi="Arial" w:cs="Arial"/>
          <w:sz w:val="24"/>
          <w:szCs w:val="24"/>
        </w:rPr>
        <w:t xml:space="preserve">this was not competent without the bondholder’s </w:t>
      </w:r>
      <w:r w:rsidR="00246122" w:rsidRPr="00C314E3">
        <w:rPr>
          <w:rFonts w:ascii="Arial" w:hAnsi="Arial" w:cs="Arial"/>
          <w:sz w:val="24"/>
          <w:szCs w:val="24"/>
        </w:rPr>
        <w:t>consent</w:t>
      </w:r>
      <w:r w:rsidR="00D81985" w:rsidRPr="00C314E3">
        <w:rPr>
          <w:rFonts w:ascii="Arial" w:hAnsi="Arial" w:cs="Arial"/>
          <w:sz w:val="24"/>
          <w:szCs w:val="24"/>
        </w:rPr>
        <w:t>.</w:t>
      </w:r>
    </w:p>
    <w:p w14:paraId="50C4AC6F" w14:textId="77777777" w:rsidR="00C06CCF" w:rsidRDefault="00C06CCF" w:rsidP="00E77158">
      <w:pPr>
        <w:spacing w:line="360" w:lineRule="auto"/>
        <w:jc w:val="both"/>
        <w:rPr>
          <w:rFonts w:ascii="Arial" w:hAnsi="Arial" w:cs="Arial"/>
          <w:sz w:val="24"/>
          <w:szCs w:val="24"/>
        </w:rPr>
      </w:pPr>
    </w:p>
    <w:p w14:paraId="2417F46B" w14:textId="77777777" w:rsidR="00C06CCF" w:rsidRPr="00BE16CD" w:rsidRDefault="003F27EC" w:rsidP="00E77158">
      <w:pPr>
        <w:spacing w:line="360" w:lineRule="auto"/>
        <w:jc w:val="both"/>
        <w:rPr>
          <w:rFonts w:ascii="Arial" w:hAnsi="Arial" w:cs="Arial"/>
          <w:b/>
          <w:bCs/>
          <w:sz w:val="24"/>
          <w:szCs w:val="24"/>
        </w:rPr>
      </w:pPr>
      <w:r>
        <w:rPr>
          <w:rFonts w:ascii="Arial" w:hAnsi="Arial" w:cs="Arial"/>
          <w:b/>
          <w:bCs/>
          <w:sz w:val="24"/>
          <w:szCs w:val="24"/>
        </w:rPr>
        <w:t>Main i</w:t>
      </w:r>
      <w:r w:rsidR="00C06CCF" w:rsidRPr="00BE16CD">
        <w:rPr>
          <w:rFonts w:ascii="Arial" w:hAnsi="Arial" w:cs="Arial"/>
          <w:b/>
          <w:bCs/>
          <w:sz w:val="24"/>
          <w:szCs w:val="24"/>
        </w:rPr>
        <w:t>ssues to be decided</w:t>
      </w:r>
    </w:p>
    <w:p w14:paraId="46087B65" w14:textId="77777777" w:rsidR="00C06CCF" w:rsidRDefault="00C06CCF" w:rsidP="00927E6D">
      <w:pPr>
        <w:spacing w:line="360" w:lineRule="auto"/>
        <w:rPr>
          <w:rFonts w:ascii="Arial" w:hAnsi="Arial" w:cs="Arial"/>
          <w:sz w:val="24"/>
          <w:szCs w:val="24"/>
        </w:rPr>
      </w:pPr>
    </w:p>
    <w:p w14:paraId="4E72B951" w14:textId="44F63741" w:rsidR="00070D12" w:rsidRPr="00C314E3" w:rsidRDefault="00C314E3" w:rsidP="00C314E3">
      <w:pPr>
        <w:spacing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C06CCF" w:rsidRPr="00C314E3">
        <w:rPr>
          <w:rFonts w:ascii="Arial" w:hAnsi="Arial" w:cs="Arial"/>
          <w:sz w:val="24"/>
          <w:szCs w:val="24"/>
        </w:rPr>
        <w:t xml:space="preserve">The first respondent’s points </w:t>
      </w:r>
      <w:r w:rsidR="00C06CCF" w:rsidRPr="00C314E3">
        <w:rPr>
          <w:rFonts w:ascii="Arial" w:hAnsi="Arial" w:cs="Arial"/>
          <w:i/>
          <w:iCs/>
          <w:sz w:val="24"/>
          <w:szCs w:val="24"/>
        </w:rPr>
        <w:t>in limine</w:t>
      </w:r>
      <w:r w:rsidR="00C06CCF" w:rsidRPr="00C314E3">
        <w:rPr>
          <w:rFonts w:ascii="Arial" w:hAnsi="Arial" w:cs="Arial"/>
          <w:sz w:val="24"/>
          <w:szCs w:val="24"/>
        </w:rPr>
        <w:t xml:space="preserve"> must be considered</w:t>
      </w:r>
      <w:r w:rsidR="00A45241" w:rsidRPr="00C314E3">
        <w:rPr>
          <w:rFonts w:ascii="Arial" w:hAnsi="Arial" w:cs="Arial"/>
          <w:sz w:val="24"/>
          <w:szCs w:val="24"/>
        </w:rPr>
        <w:t>. The argument</w:t>
      </w:r>
      <w:r w:rsidR="00B15F85" w:rsidRPr="00C314E3">
        <w:rPr>
          <w:rFonts w:ascii="Arial" w:hAnsi="Arial" w:cs="Arial"/>
          <w:sz w:val="24"/>
          <w:szCs w:val="24"/>
        </w:rPr>
        <w:t xml:space="preserve"> made regarding </w:t>
      </w:r>
      <w:r w:rsidR="00B15F85" w:rsidRPr="00C314E3">
        <w:rPr>
          <w:rFonts w:ascii="Arial" w:hAnsi="Arial" w:cs="Arial"/>
          <w:i/>
          <w:iCs/>
          <w:sz w:val="24"/>
          <w:szCs w:val="24"/>
        </w:rPr>
        <w:t>res iudicata</w:t>
      </w:r>
      <w:r w:rsidR="00615A8D" w:rsidRPr="00C314E3">
        <w:rPr>
          <w:rFonts w:ascii="Arial" w:hAnsi="Arial" w:cs="Arial"/>
          <w:sz w:val="24"/>
          <w:szCs w:val="24"/>
        </w:rPr>
        <w:t xml:space="preserve"> requires</w:t>
      </w:r>
      <w:r w:rsidR="00B15F85" w:rsidRPr="00C314E3">
        <w:rPr>
          <w:rFonts w:ascii="Arial" w:hAnsi="Arial" w:cs="Arial"/>
          <w:sz w:val="24"/>
          <w:szCs w:val="24"/>
        </w:rPr>
        <w:t xml:space="preserve"> close</w:t>
      </w:r>
      <w:r w:rsidR="00D654A5" w:rsidRPr="00C314E3">
        <w:rPr>
          <w:rFonts w:ascii="Arial" w:hAnsi="Arial" w:cs="Arial"/>
          <w:sz w:val="24"/>
          <w:szCs w:val="24"/>
        </w:rPr>
        <w:t>r</w:t>
      </w:r>
      <w:r w:rsidR="00B15F85" w:rsidRPr="00C314E3">
        <w:rPr>
          <w:rFonts w:ascii="Arial" w:hAnsi="Arial" w:cs="Arial"/>
          <w:sz w:val="24"/>
          <w:szCs w:val="24"/>
        </w:rPr>
        <w:t xml:space="preserve"> </w:t>
      </w:r>
      <w:r w:rsidR="00363B6D" w:rsidRPr="00C314E3">
        <w:rPr>
          <w:rFonts w:ascii="Arial" w:hAnsi="Arial" w:cs="Arial"/>
          <w:sz w:val="24"/>
          <w:szCs w:val="24"/>
        </w:rPr>
        <w:t>examination</w:t>
      </w:r>
      <w:r w:rsidR="00615A8D" w:rsidRPr="00C314E3">
        <w:rPr>
          <w:rFonts w:ascii="Arial" w:hAnsi="Arial" w:cs="Arial"/>
          <w:sz w:val="24"/>
          <w:szCs w:val="24"/>
        </w:rPr>
        <w:t xml:space="preserve">. </w:t>
      </w:r>
    </w:p>
    <w:p w14:paraId="223C3A49" w14:textId="77777777" w:rsidR="00070D12" w:rsidRDefault="00070D12" w:rsidP="00070D12">
      <w:pPr>
        <w:pStyle w:val="ListParagraph"/>
        <w:spacing w:line="360" w:lineRule="auto"/>
        <w:ind w:left="0"/>
        <w:jc w:val="both"/>
        <w:rPr>
          <w:rFonts w:ascii="Arial" w:hAnsi="Arial" w:cs="Arial"/>
          <w:sz w:val="24"/>
          <w:szCs w:val="24"/>
        </w:rPr>
      </w:pPr>
    </w:p>
    <w:p w14:paraId="7B94BE89" w14:textId="3E832C8B" w:rsidR="00070D12" w:rsidRPr="00C314E3" w:rsidRDefault="00C314E3" w:rsidP="00C314E3">
      <w:pPr>
        <w:spacing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19390B" w:rsidRPr="00C314E3">
        <w:rPr>
          <w:rFonts w:ascii="Arial" w:hAnsi="Arial" w:cs="Arial"/>
          <w:sz w:val="24"/>
          <w:szCs w:val="24"/>
        </w:rPr>
        <w:t xml:space="preserve">If the court is satisfied that there is no basis for the above, then </w:t>
      </w:r>
      <w:r w:rsidR="00F81014" w:rsidRPr="00C314E3">
        <w:rPr>
          <w:rFonts w:ascii="Arial" w:hAnsi="Arial" w:cs="Arial"/>
          <w:sz w:val="24"/>
          <w:szCs w:val="24"/>
        </w:rPr>
        <w:t xml:space="preserve">it will be necessary to decide whether </w:t>
      </w:r>
      <w:r w:rsidR="00646B03" w:rsidRPr="00C314E3">
        <w:rPr>
          <w:rFonts w:ascii="Arial" w:hAnsi="Arial" w:cs="Arial"/>
          <w:sz w:val="24"/>
          <w:szCs w:val="24"/>
        </w:rPr>
        <w:t>it would be just and equitable to order the first respondent’s eviction from the property.</w:t>
      </w:r>
      <w:r w:rsidR="00F96966" w:rsidRPr="00C314E3">
        <w:rPr>
          <w:rFonts w:ascii="Arial" w:hAnsi="Arial" w:cs="Arial"/>
          <w:sz w:val="24"/>
          <w:szCs w:val="24"/>
        </w:rPr>
        <w:t xml:space="preserve"> This will entail, </w:t>
      </w:r>
      <w:r w:rsidR="00F96966" w:rsidRPr="00C314E3">
        <w:rPr>
          <w:rFonts w:ascii="Arial" w:hAnsi="Arial" w:cs="Arial"/>
          <w:i/>
          <w:iCs/>
          <w:sz w:val="24"/>
          <w:szCs w:val="24"/>
        </w:rPr>
        <w:t>inter alia</w:t>
      </w:r>
      <w:r w:rsidR="00F96966" w:rsidRPr="00C314E3">
        <w:rPr>
          <w:rFonts w:ascii="Arial" w:hAnsi="Arial" w:cs="Arial"/>
          <w:sz w:val="24"/>
          <w:szCs w:val="24"/>
        </w:rPr>
        <w:t xml:space="preserve">, the determination of </w:t>
      </w:r>
      <w:r w:rsidR="00B73370" w:rsidRPr="00C314E3">
        <w:rPr>
          <w:rFonts w:ascii="Arial" w:hAnsi="Arial" w:cs="Arial"/>
          <w:sz w:val="24"/>
          <w:szCs w:val="24"/>
        </w:rPr>
        <w:t>whether he is indeed an unlawful occupier</w:t>
      </w:r>
      <w:r w:rsidR="000B02C6" w:rsidRPr="00C314E3">
        <w:rPr>
          <w:rFonts w:ascii="Arial" w:hAnsi="Arial" w:cs="Arial"/>
          <w:sz w:val="24"/>
          <w:szCs w:val="24"/>
        </w:rPr>
        <w:t>, which will, in turn, depend on the merits of his claim to the benefits of a lien or pledge</w:t>
      </w:r>
      <w:r w:rsidR="00703C45" w:rsidRPr="00C314E3">
        <w:rPr>
          <w:rFonts w:ascii="Arial" w:hAnsi="Arial" w:cs="Arial"/>
          <w:sz w:val="24"/>
          <w:szCs w:val="24"/>
        </w:rPr>
        <w:t>, as alleged.</w:t>
      </w:r>
    </w:p>
    <w:p w14:paraId="145E7A92" w14:textId="77777777" w:rsidR="00070D12" w:rsidRPr="00070D12" w:rsidRDefault="00070D12" w:rsidP="00070D12">
      <w:pPr>
        <w:pStyle w:val="ListParagraph"/>
        <w:rPr>
          <w:rFonts w:ascii="Arial" w:hAnsi="Arial" w:cs="Arial"/>
          <w:sz w:val="24"/>
          <w:szCs w:val="24"/>
        </w:rPr>
      </w:pPr>
    </w:p>
    <w:p w14:paraId="0790DCA1" w14:textId="77616510" w:rsidR="00703C45" w:rsidRPr="00C314E3" w:rsidRDefault="00C314E3" w:rsidP="00C314E3">
      <w:pPr>
        <w:spacing w:line="360" w:lineRule="auto"/>
        <w:jc w:val="both"/>
        <w:rPr>
          <w:rFonts w:ascii="Arial" w:hAnsi="Arial" w:cs="Arial"/>
          <w:sz w:val="24"/>
          <w:szCs w:val="24"/>
        </w:rPr>
      </w:pPr>
      <w:r w:rsidRPr="00070D12">
        <w:rPr>
          <w:rFonts w:ascii="Arial" w:hAnsi="Arial" w:cs="Arial"/>
          <w:sz w:val="24"/>
          <w:szCs w:val="24"/>
        </w:rPr>
        <w:t>[25]</w:t>
      </w:r>
      <w:r w:rsidRPr="00070D12">
        <w:rPr>
          <w:rFonts w:ascii="Arial" w:hAnsi="Arial" w:cs="Arial"/>
          <w:sz w:val="24"/>
          <w:szCs w:val="24"/>
        </w:rPr>
        <w:tab/>
      </w:r>
      <w:r w:rsidR="00703C45" w:rsidRPr="00C314E3">
        <w:rPr>
          <w:rFonts w:ascii="Arial" w:hAnsi="Arial" w:cs="Arial"/>
          <w:sz w:val="24"/>
          <w:szCs w:val="24"/>
        </w:rPr>
        <w:t xml:space="preserve">The </w:t>
      </w:r>
      <w:r w:rsidR="00904937" w:rsidRPr="00C314E3">
        <w:rPr>
          <w:rFonts w:ascii="Arial" w:hAnsi="Arial" w:cs="Arial"/>
          <w:sz w:val="24"/>
          <w:szCs w:val="24"/>
        </w:rPr>
        <w:t xml:space="preserve">following paragraphs deal with the points </w:t>
      </w:r>
      <w:r w:rsidR="00904937" w:rsidRPr="00C314E3">
        <w:rPr>
          <w:rFonts w:ascii="Arial" w:hAnsi="Arial" w:cs="Arial"/>
          <w:i/>
          <w:iCs/>
          <w:sz w:val="24"/>
          <w:szCs w:val="24"/>
        </w:rPr>
        <w:t>in limine</w:t>
      </w:r>
      <w:r w:rsidR="00CB543C" w:rsidRPr="00C314E3">
        <w:rPr>
          <w:rFonts w:ascii="Arial" w:hAnsi="Arial" w:cs="Arial"/>
          <w:sz w:val="24"/>
          <w:szCs w:val="24"/>
        </w:rPr>
        <w:t>.</w:t>
      </w:r>
    </w:p>
    <w:p w14:paraId="5B6CB8B2" w14:textId="77777777" w:rsidR="00CB543C" w:rsidRDefault="00CB543C" w:rsidP="00E77158">
      <w:pPr>
        <w:spacing w:line="360" w:lineRule="auto"/>
        <w:jc w:val="both"/>
        <w:rPr>
          <w:rFonts w:ascii="Arial" w:hAnsi="Arial" w:cs="Arial"/>
          <w:sz w:val="24"/>
          <w:szCs w:val="24"/>
        </w:rPr>
      </w:pPr>
    </w:p>
    <w:p w14:paraId="74F664F2" w14:textId="77777777" w:rsidR="00CB543C" w:rsidRPr="006C4CD0" w:rsidRDefault="00CB543C" w:rsidP="00E77158">
      <w:pPr>
        <w:spacing w:line="360" w:lineRule="auto"/>
        <w:jc w:val="both"/>
        <w:rPr>
          <w:rFonts w:ascii="Arial" w:hAnsi="Arial" w:cs="Arial"/>
          <w:b/>
          <w:bCs/>
          <w:sz w:val="24"/>
          <w:szCs w:val="24"/>
        </w:rPr>
      </w:pPr>
      <w:r w:rsidRPr="006C4CD0">
        <w:rPr>
          <w:rFonts w:ascii="Arial" w:hAnsi="Arial" w:cs="Arial"/>
          <w:b/>
          <w:bCs/>
          <w:sz w:val="24"/>
          <w:szCs w:val="24"/>
        </w:rPr>
        <w:t>Compliance with Act 16 of 1963</w:t>
      </w:r>
    </w:p>
    <w:p w14:paraId="2B8B816A" w14:textId="77777777" w:rsidR="006C4CD0" w:rsidRDefault="006C4CD0" w:rsidP="00927E6D">
      <w:pPr>
        <w:spacing w:line="360" w:lineRule="auto"/>
        <w:rPr>
          <w:rFonts w:ascii="Arial" w:hAnsi="Arial" w:cs="Arial"/>
          <w:sz w:val="24"/>
          <w:szCs w:val="24"/>
        </w:rPr>
      </w:pPr>
    </w:p>
    <w:p w14:paraId="21F08FC2" w14:textId="297C4AC8" w:rsidR="006C4CD0" w:rsidRPr="00C314E3" w:rsidRDefault="00C314E3" w:rsidP="00C314E3">
      <w:pPr>
        <w:spacing w:line="360" w:lineRule="auto"/>
        <w:jc w:val="both"/>
        <w:rPr>
          <w:rFonts w:ascii="Arial" w:hAnsi="Arial" w:cs="Arial"/>
          <w:sz w:val="24"/>
          <w:szCs w:val="24"/>
        </w:rPr>
      </w:pPr>
      <w:r w:rsidRPr="00070D12">
        <w:rPr>
          <w:rFonts w:ascii="Arial" w:hAnsi="Arial" w:cs="Arial"/>
          <w:sz w:val="24"/>
          <w:szCs w:val="24"/>
        </w:rPr>
        <w:t>[26]</w:t>
      </w:r>
      <w:r w:rsidRPr="00070D12">
        <w:rPr>
          <w:rFonts w:ascii="Arial" w:hAnsi="Arial" w:cs="Arial"/>
          <w:sz w:val="24"/>
          <w:szCs w:val="24"/>
        </w:rPr>
        <w:tab/>
      </w:r>
      <w:r w:rsidR="002E17AD" w:rsidRPr="00C314E3">
        <w:rPr>
          <w:rFonts w:ascii="Arial" w:hAnsi="Arial" w:cs="Arial"/>
          <w:sz w:val="24"/>
          <w:szCs w:val="24"/>
        </w:rPr>
        <w:t xml:space="preserve">The </w:t>
      </w:r>
      <w:r w:rsidR="0078248B" w:rsidRPr="00C314E3">
        <w:rPr>
          <w:rFonts w:ascii="Arial" w:hAnsi="Arial" w:cs="Arial"/>
          <w:sz w:val="24"/>
          <w:szCs w:val="24"/>
        </w:rPr>
        <w:t>first respondent</w:t>
      </w:r>
      <w:r w:rsidR="002E17AD" w:rsidRPr="00C314E3">
        <w:rPr>
          <w:rFonts w:ascii="Arial" w:hAnsi="Arial" w:cs="Arial"/>
          <w:sz w:val="24"/>
          <w:szCs w:val="24"/>
        </w:rPr>
        <w:t xml:space="preserve"> argues that the </w:t>
      </w:r>
      <w:r w:rsidR="000A6E63" w:rsidRPr="00C314E3">
        <w:rPr>
          <w:rFonts w:ascii="Arial" w:hAnsi="Arial" w:cs="Arial"/>
          <w:sz w:val="24"/>
          <w:szCs w:val="24"/>
        </w:rPr>
        <w:t xml:space="preserve">first applicant’s founding affidavit does not comply with </w:t>
      </w:r>
      <w:r w:rsidR="00D066B2" w:rsidRPr="00C314E3">
        <w:rPr>
          <w:rFonts w:ascii="Arial" w:hAnsi="Arial" w:cs="Arial"/>
          <w:sz w:val="24"/>
          <w:szCs w:val="24"/>
        </w:rPr>
        <w:t>the regulations to Act 16 of 1963</w:t>
      </w:r>
      <w:r w:rsidR="00824763" w:rsidRPr="00C314E3">
        <w:rPr>
          <w:rFonts w:ascii="Arial" w:hAnsi="Arial" w:cs="Arial"/>
          <w:sz w:val="24"/>
          <w:szCs w:val="24"/>
        </w:rPr>
        <w:t xml:space="preserve"> </w:t>
      </w:r>
      <w:r w:rsidR="00196128" w:rsidRPr="00C314E3">
        <w:rPr>
          <w:rFonts w:ascii="Arial" w:hAnsi="Arial" w:cs="Arial"/>
          <w:sz w:val="24"/>
          <w:szCs w:val="24"/>
        </w:rPr>
        <w:t>since</w:t>
      </w:r>
      <w:r w:rsidR="00824763" w:rsidRPr="00C314E3">
        <w:rPr>
          <w:rFonts w:ascii="Arial" w:hAnsi="Arial" w:cs="Arial"/>
          <w:sz w:val="24"/>
          <w:szCs w:val="24"/>
        </w:rPr>
        <w:t xml:space="preserve"> the </w:t>
      </w:r>
      <w:r w:rsidR="004B07E5" w:rsidRPr="00C314E3">
        <w:rPr>
          <w:rFonts w:ascii="Arial" w:hAnsi="Arial" w:cs="Arial"/>
          <w:sz w:val="24"/>
          <w:szCs w:val="24"/>
        </w:rPr>
        <w:t xml:space="preserve">commissioner of oaths failed to insert the place and date of the </w:t>
      </w:r>
      <w:r w:rsidR="00735F67" w:rsidRPr="00C314E3">
        <w:rPr>
          <w:rFonts w:ascii="Arial" w:hAnsi="Arial" w:cs="Arial"/>
          <w:sz w:val="24"/>
          <w:szCs w:val="24"/>
        </w:rPr>
        <w:t>declaration. To that effect, regulation 4</w:t>
      </w:r>
      <w:r w:rsidR="00EB6C4F" w:rsidRPr="00C314E3">
        <w:rPr>
          <w:rFonts w:ascii="Arial" w:hAnsi="Arial" w:cs="Arial"/>
          <w:sz w:val="24"/>
          <w:szCs w:val="24"/>
        </w:rPr>
        <w:t xml:space="preserve">(1) </w:t>
      </w:r>
      <w:r w:rsidR="00597449" w:rsidRPr="00C314E3">
        <w:rPr>
          <w:rFonts w:ascii="Arial" w:hAnsi="Arial" w:cs="Arial"/>
          <w:sz w:val="24"/>
          <w:szCs w:val="24"/>
        </w:rPr>
        <w:t>provide</w:t>
      </w:r>
      <w:r w:rsidR="000568E5" w:rsidRPr="00C314E3">
        <w:rPr>
          <w:rFonts w:ascii="Arial" w:hAnsi="Arial" w:cs="Arial"/>
          <w:sz w:val="24"/>
          <w:szCs w:val="24"/>
        </w:rPr>
        <w:t>s</w:t>
      </w:r>
      <w:r w:rsidR="00597449" w:rsidRPr="00C314E3">
        <w:rPr>
          <w:rFonts w:ascii="Arial" w:hAnsi="Arial" w:cs="Arial"/>
          <w:sz w:val="24"/>
          <w:szCs w:val="24"/>
        </w:rPr>
        <w:t xml:space="preserve"> that:</w:t>
      </w:r>
    </w:p>
    <w:p w14:paraId="24C7CD8F" w14:textId="77777777" w:rsidR="00597449" w:rsidRPr="002E3254" w:rsidRDefault="00597449" w:rsidP="00070D12">
      <w:pPr>
        <w:spacing w:line="360" w:lineRule="auto"/>
        <w:ind w:left="720"/>
        <w:jc w:val="both"/>
        <w:rPr>
          <w:rFonts w:ascii="Arial" w:hAnsi="Arial" w:cs="Arial"/>
          <w:sz w:val="20"/>
          <w:szCs w:val="20"/>
        </w:rPr>
      </w:pPr>
      <w:r w:rsidRPr="002E3254">
        <w:rPr>
          <w:rFonts w:ascii="Arial" w:hAnsi="Arial" w:cs="Arial"/>
          <w:sz w:val="20"/>
          <w:szCs w:val="20"/>
        </w:rPr>
        <w:t>‘</w:t>
      </w:r>
      <w:r w:rsidR="00D57EA7" w:rsidRPr="002E3254">
        <w:rPr>
          <w:rFonts w:ascii="Arial" w:hAnsi="Arial" w:cs="Arial"/>
          <w:sz w:val="20"/>
          <w:szCs w:val="20"/>
        </w:rPr>
        <w:t>…Below the deponent’s signature or mark</w:t>
      </w:r>
      <w:r w:rsidR="00617A88" w:rsidRPr="002E3254">
        <w:rPr>
          <w:rFonts w:ascii="Arial" w:hAnsi="Arial" w:cs="Arial"/>
          <w:sz w:val="20"/>
          <w:szCs w:val="20"/>
        </w:rPr>
        <w:t xml:space="preserve"> the commissioner of oaths shall certify that the deponent </w:t>
      </w:r>
      <w:r w:rsidR="00984136" w:rsidRPr="002E3254">
        <w:rPr>
          <w:rFonts w:ascii="Arial" w:hAnsi="Arial" w:cs="Arial"/>
          <w:sz w:val="20"/>
          <w:szCs w:val="20"/>
        </w:rPr>
        <w:t>has acknowledged that he knows and understands the contents of the declaration and he shall state</w:t>
      </w:r>
      <w:r w:rsidR="000C4297" w:rsidRPr="002E3254">
        <w:rPr>
          <w:rFonts w:ascii="Arial" w:hAnsi="Arial" w:cs="Arial"/>
          <w:sz w:val="20"/>
          <w:szCs w:val="20"/>
        </w:rPr>
        <w:t xml:space="preserve"> the manner, place and date of taking the declaration.’</w:t>
      </w:r>
      <w:r w:rsidR="00367F70" w:rsidRPr="002E3254">
        <w:rPr>
          <w:rStyle w:val="FootnoteReference"/>
          <w:rFonts w:ascii="Arial" w:hAnsi="Arial" w:cs="Arial"/>
          <w:sz w:val="20"/>
          <w:szCs w:val="20"/>
        </w:rPr>
        <w:footnoteReference w:id="1"/>
      </w:r>
    </w:p>
    <w:p w14:paraId="2025B6C0" w14:textId="77777777" w:rsidR="002E3254" w:rsidRDefault="002E3254" w:rsidP="000568E5">
      <w:pPr>
        <w:spacing w:line="360" w:lineRule="auto"/>
        <w:rPr>
          <w:rFonts w:ascii="Arial" w:hAnsi="Arial" w:cs="Arial"/>
          <w:sz w:val="24"/>
          <w:szCs w:val="24"/>
        </w:rPr>
      </w:pPr>
    </w:p>
    <w:p w14:paraId="61E0A862" w14:textId="774E94B5" w:rsidR="00070D12" w:rsidRPr="00C314E3" w:rsidRDefault="00C314E3" w:rsidP="00C314E3">
      <w:pPr>
        <w:spacing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0568E5" w:rsidRPr="00C314E3">
        <w:rPr>
          <w:rFonts w:ascii="Arial" w:hAnsi="Arial" w:cs="Arial"/>
          <w:sz w:val="24"/>
          <w:szCs w:val="24"/>
        </w:rPr>
        <w:t xml:space="preserve">It is not disputed that </w:t>
      </w:r>
      <w:r w:rsidR="001A6581" w:rsidRPr="00C314E3">
        <w:rPr>
          <w:rFonts w:ascii="Arial" w:hAnsi="Arial" w:cs="Arial"/>
          <w:sz w:val="24"/>
          <w:szCs w:val="24"/>
        </w:rPr>
        <w:t xml:space="preserve">there was non-compliance. </w:t>
      </w:r>
      <w:r w:rsidR="006E7D9B" w:rsidRPr="00C314E3">
        <w:rPr>
          <w:rFonts w:ascii="Arial" w:hAnsi="Arial" w:cs="Arial"/>
          <w:sz w:val="24"/>
          <w:szCs w:val="24"/>
        </w:rPr>
        <w:t xml:space="preserve">The </w:t>
      </w:r>
      <w:r w:rsidR="0026667E" w:rsidRPr="00C314E3">
        <w:rPr>
          <w:rFonts w:ascii="Arial" w:hAnsi="Arial" w:cs="Arial"/>
          <w:sz w:val="24"/>
          <w:szCs w:val="24"/>
        </w:rPr>
        <w:t>applicants subsequently filed</w:t>
      </w:r>
      <w:r w:rsidR="00A80DC3" w:rsidRPr="00C314E3">
        <w:rPr>
          <w:rFonts w:ascii="Arial" w:hAnsi="Arial" w:cs="Arial"/>
          <w:sz w:val="24"/>
          <w:szCs w:val="24"/>
        </w:rPr>
        <w:t>, in reply,</w:t>
      </w:r>
      <w:r w:rsidR="0026667E" w:rsidRPr="00C314E3">
        <w:rPr>
          <w:rFonts w:ascii="Arial" w:hAnsi="Arial" w:cs="Arial"/>
          <w:sz w:val="24"/>
          <w:szCs w:val="24"/>
        </w:rPr>
        <w:t xml:space="preserve"> </w:t>
      </w:r>
      <w:r w:rsidR="00A80DC3" w:rsidRPr="00C314E3">
        <w:rPr>
          <w:rFonts w:ascii="Arial" w:hAnsi="Arial" w:cs="Arial"/>
          <w:sz w:val="24"/>
          <w:szCs w:val="24"/>
        </w:rPr>
        <w:t>a</w:t>
      </w:r>
      <w:r w:rsidR="004E1651" w:rsidRPr="00C314E3">
        <w:rPr>
          <w:rFonts w:ascii="Arial" w:hAnsi="Arial" w:cs="Arial"/>
          <w:sz w:val="24"/>
          <w:szCs w:val="24"/>
        </w:rPr>
        <w:t xml:space="preserve">n </w:t>
      </w:r>
      <w:r w:rsidR="00A80DC3" w:rsidRPr="00C314E3">
        <w:rPr>
          <w:rFonts w:ascii="Arial" w:hAnsi="Arial" w:cs="Arial"/>
          <w:sz w:val="24"/>
          <w:szCs w:val="24"/>
        </w:rPr>
        <w:t xml:space="preserve">affidavit </w:t>
      </w:r>
      <w:r w:rsidR="00E657EA" w:rsidRPr="00C314E3">
        <w:rPr>
          <w:rFonts w:ascii="Arial" w:hAnsi="Arial" w:cs="Arial"/>
          <w:sz w:val="24"/>
          <w:szCs w:val="24"/>
        </w:rPr>
        <w:t xml:space="preserve">by the </w:t>
      </w:r>
      <w:r w:rsidR="00D32C10" w:rsidRPr="00C314E3">
        <w:rPr>
          <w:rFonts w:ascii="Arial" w:hAnsi="Arial" w:cs="Arial"/>
          <w:sz w:val="24"/>
          <w:szCs w:val="24"/>
        </w:rPr>
        <w:t xml:space="preserve">commissioner of oaths in question, Ms Kerri </w:t>
      </w:r>
      <w:r w:rsidR="002E3254" w:rsidRPr="00C314E3">
        <w:rPr>
          <w:rFonts w:ascii="Arial" w:hAnsi="Arial" w:cs="Arial"/>
          <w:sz w:val="24"/>
          <w:szCs w:val="24"/>
        </w:rPr>
        <w:t>de la Querra,</w:t>
      </w:r>
      <w:r w:rsidR="00E657EA" w:rsidRPr="00C314E3">
        <w:rPr>
          <w:rFonts w:ascii="Arial" w:hAnsi="Arial" w:cs="Arial"/>
          <w:sz w:val="24"/>
          <w:szCs w:val="24"/>
        </w:rPr>
        <w:t xml:space="preserve"> who</w:t>
      </w:r>
      <w:r w:rsidR="004E1651" w:rsidRPr="00C314E3">
        <w:rPr>
          <w:rFonts w:ascii="Arial" w:hAnsi="Arial" w:cs="Arial"/>
          <w:sz w:val="24"/>
          <w:szCs w:val="24"/>
        </w:rPr>
        <w:t xml:space="preserve"> confirmed that she had commissioned </w:t>
      </w:r>
      <w:r w:rsidR="00EE12E1" w:rsidRPr="00C314E3">
        <w:rPr>
          <w:rFonts w:ascii="Arial" w:hAnsi="Arial" w:cs="Arial"/>
          <w:sz w:val="24"/>
          <w:szCs w:val="24"/>
        </w:rPr>
        <w:t>the first applicant’s founding affidavit on 9 September 2022 at her offices, situated at 32 P</w:t>
      </w:r>
      <w:r w:rsidR="0072145E" w:rsidRPr="00C314E3">
        <w:rPr>
          <w:rFonts w:ascii="Arial" w:hAnsi="Arial" w:cs="Arial"/>
          <w:sz w:val="24"/>
          <w:szCs w:val="24"/>
        </w:rPr>
        <w:t xml:space="preserve">earce Street, Berea, East London. </w:t>
      </w:r>
    </w:p>
    <w:p w14:paraId="02A8A021" w14:textId="77777777" w:rsidR="00070D12" w:rsidRDefault="00070D12" w:rsidP="00070D12">
      <w:pPr>
        <w:pStyle w:val="ListParagraph"/>
        <w:spacing w:line="360" w:lineRule="auto"/>
        <w:ind w:left="0"/>
        <w:jc w:val="both"/>
        <w:rPr>
          <w:rFonts w:ascii="Arial" w:hAnsi="Arial" w:cs="Arial"/>
          <w:sz w:val="24"/>
          <w:szCs w:val="24"/>
        </w:rPr>
      </w:pPr>
    </w:p>
    <w:p w14:paraId="1A13D461" w14:textId="793FCB2B" w:rsidR="00923E5F" w:rsidRPr="00C314E3" w:rsidRDefault="00C314E3" w:rsidP="00C314E3">
      <w:pPr>
        <w:spacing w:line="360" w:lineRule="auto"/>
        <w:jc w:val="both"/>
        <w:rPr>
          <w:rFonts w:ascii="Arial" w:hAnsi="Arial" w:cs="Arial"/>
          <w:sz w:val="24"/>
          <w:szCs w:val="24"/>
        </w:rPr>
      </w:pPr>
      <w:r w:rsidRPr="00070D12">
        <w:rPr>
          <w:rFonts w:ascii="Arial" w:hAnsi="Arial" w:cs="Arial"/>
          <w:sz w:val="24"/>
          <w:szCs w:val="24"/>
        </w:rPr>
        <w:lastRenderedPageBreak/>
        <w:t>[28]</w:t>
      </w:r>
      <w:r w:rsidRPr="00070D12">
        <w:rPr>
          <w:rFonts w:ascii="Arial" w:hAnsi="Arial" w:cs="Arial"/>
          <w:sz w:val="24"/>
          <w:szCs w:val="24"/>
        </w:rPr>
        <w:tab/>
      </w:r>
      <w:r w:rsidR="00B052A2" w:rsidRPr="00C314E3">
        <w:rPr>
          <w:rFonts w:ascii="Arial" w:hAnsi="Arial" w:cs="Arial"/>
          <w:sz w:val="24"/>
          <w:szCs w:val="24"/>
        </w:rPr>
        <w:t xml:space="preserve">As the </w:t>
      </w:r>
      <w:r w:rsidR="00A30B90" w:rsidRPr="00C314E3">
        <w:rPr>
          <w:rFonts w:ascii="Arial" w:hAnsi="Arial" w:cs="Arial"/>
          <w:sz w:val="24"/>
          <w:szCs w:val="24"/>
        </w:rPr>
        <w:t xml:space="preserve">legal representative for the </w:t>
      </w:r>
      <w:r w:rsidR="00B052A2" w:rsidRPr="00C314E3">
        <w:rPr>
          <w:rFonts w:ascii="Arial" w:hAnsi="Arial" w:cs="Arial"/>
          <w:sz w:val="24"/>
          <w:szCs w:val="24"/>
        </w:rPr>
        <w:t>first respondent acknowledged in arg</w:t>
      </w:r>
      <w:r w:rsidR="00873294" w:rsidRPr="00C314E3">
        <w:rPr>
          <w:rFonts w:ascii="Arial" w:hAnsi="Arial" w:cs="Arial"/>
          <w:sz w:val="24"/>
          <w:szCs w:val="24"/>
        </w:rPr>
        <w:t xml:space="preserve">ument, non-compliance with the regulations is not fatal. In </w:t>
      </w:r>
      <w:r w:rsidR="00990BD8" w:rsidRPr="00C314E3">
        <w:rPr>
          <w:rFonts w:ascii="Arial" w:hAnsi="Arial" w:cs="Arial"/>
          <w:i/>
          <w:iCs/>
          <w:sz w:val="24"/>
          <w:szCs w:val="24"/>
        </w:rPr>
        <w:t>S v Munn</w:t>
      </w:r>
      <w:r w:rsidR="00990BD8" w:rsidRPr="00C314E3">
        <w:rPr>
          <w:rFonts w:ascii="Arial" w:hAnsi="Arial" w:cs="Arial"/>
          <w:sz w:val="24"/>
          <w:szCs w:val="24"/>
        </w:rPr>
        <w:t>,</w:t>
      </w:r>
      <w:r w:rsidR="00990BD8">
        <w:rPr>
          <w:rStyle w:val="FootnoteReference"/>
          <w:rFonts w:ascii="Arial" w:hAnsi="Arial" w:cs="Arial"/>
          <w:sz w:val="24"/>
          <w:szCs w:val="24"/>
        </w:rPr>
        <w:footnoteReference w:id="2"/>
      </w:r>
      <w:r w:rsidR="00990BD8" w:rsidRPr="00C314E3">
        <w:rPr>
          <w:rFonts w:ascii="Arial" w:hAnsi="Arial" w:cs="Arial"/>
          <w:sz w:val="24"/>
          <w:szCs w:val="24"/>
        </w:rPr>
        <w:t xml:space="preserve"> Van den Heever observed that:</w:t>
      </w:r>
    </w:p>
    <w:p w14:paraId="05C73E2C" w14:textId="77777777" w:rsidR="000C40C9" w:rsidRPr="000A70AD" w:rsidRDefault="000C40C9" w:rsidP="00070D12">
      <w:pPr>
        <w:spacing w:line="360" w:lineRule="auto"/>
        <w:ind w:left="720"/>
        <w:jc w:val="both"/>
        <w:rPr>
          <w:rFonts w:ascii="Arial" w:hAnsi="Arial" w:cs="Arial"/>
          <w:sz w:val="20"/>
          <w:szCs w:val="20"/>
        </w:rPr>
      </w:pPr>
      <w:r w:rsidRPr="000A70AD">
        <w:rPr>
          <w:rFonts w:ascii="Arial" w:hAnsi="Arial" w:cs="Arial"/>
          <w:sz w:val="20"/>
          <w:szCs w:val="20"/>
        </w:rPr>
        <w:t>‘</w:t>
      </w:r>
      <w:r w:rsidR="00A51037" w:rsidRPr="000A70AD">
        <w:rPr>
          <w:rFonts w:ascii="Arial" w:hAnsi="Arial" w:cs="Arial"/>
          <w:sz w:val="20"/>
          <w:szCs w:val="20"/>
        </w:rPr>
        <w:t xml:space="preserve">Compliance with the regulations provides a guarantee of acceptance in evidence of affidavits attested </w:t>
      </w:r>
      <w:r w:rsidR="00CF2656" w:rsidRPr="000A70AD">
        <w:rPr>
          <w:rFonts w:ascii="Arial" w:hAnsi="Arial" w:cs="Arial"/>
          <w:sz w:val="20"/>
          <w:szCs w:val="20"/>
        </w:rPr>
        <w:t>in accordance therewith, subject only to defences such as duress and possibly undue influence.</w:t>
      </w:r>
      <w:r w:rsidR="009F680F" w:rsidRPr="000A70AD">
        <w:rPr>
          <w:rFonts w:ascii="Arial" w:hAnsi="Arial" w:cs="Arial"/>
          <w:sz w:val="20"/>
          <w:szCs w:val="20"/>
        </w:rPr>
        <w:t xml:space="preserve"> Where an affidavit has not been so attested, it may still be valid provided there </w:t>
      </w:r>
      <w:r w:rsidR="00E26A29" w:rsidRPr="000A70AD">
        <w:rPr>
          <w:rFonts w:ascii="Arial" w:hAnsi="Arial" w:cs="Arial"/>
          <w:sz w:val="20"/>
          <w:szCs w:val="20"/>
        </w:rPr>
        <w:t>has been substantial compliance with the formalities in such a way</w:t>
      </w:r>
      <w:r w:rsidR="00E10589" w:rsidRPr="000A70AD">
        <w:rPr>
          <w:rFonts w:ascii="Arial" w:hAnsi="Arial" w:cs="Arial"/>
          <w:sz w:val="20"/>
          <w:szCs w:val="20"/>
        </w:rPr>
        <w:t xml:space="preserve"> as to give effect to the purpose of the legislator…’</w:t>
      </w:r>
      <w:r w:rsidR="00E10589" w:rsidRPr="000A70AD">
        <w:rPr>
          <w:rStyle w:val="FootnoteReference"/>
          <w:rFonts w:ascii="Arial" w:hAnsi="Arial" w:cs="Arial"/>
          <w:sz w:val="20"/>
          <w:szCs w:val="20"/>
        </w:rPr>
        <w:footnoteReference w:id="3"/>
      </w:r>
    </w:p>
    <w:p w14:paraId="47A8D98D" w14:textId="77777777" w:rsidR="000A70AD" w:rsidRDefault="000A70AD" w:rsidP="000568E5">
      <w:pPr>
        <w:spacing w:line="360" w:lineRule="auto"/>
        <w:rPr>
          <w:rFonts w:ascii="Arial" w:hAnsi="Arial" w:cs="Arial"/>
          <w:sz w:val="24"/>
          <w:szCs w:val="24"/>
        </w:rPr>
      </w:pPr>
    </w:p>
    <w:p w14:paraId="33AEDF93" w14:textId="6314A467" w:rsidR="00070D12" w:rsidRPr="00C314E3" w:rsidRDefault="00C314E3" w:rsidP="00C314E3">
      <w:pPr>
        <w:spacing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0A70AD" w:rsidRPr="00C314E3">
        <w:rPr>
          <w:rFonts w:ascii="Arial" w:hAnsi="Arial" w:cs="Arial"/>
          <w:sz w:val="24"/>
          <w:szCs w:val="24"/>
        </w:rPr>
        <w:t xml:space="preserve">In the present </w:t>
      </w:r>
      <w:r w:rsidR="00EE2CC3" w:rsidRPr="00C314E3">
        <w:rPr>
          <w:rFonts w:ascii="Arial" w:hAnsi="Arial" w:cs="Arial"/>
          <w:sz w:val="24"/>
          <w:szCs w:val="24"/>
        </w:rPr>
        <w:t xml:space="preserve">matter, </w:t>
      </w:r>
      <w:r w:rsidR="003C4DB2" w:rsidRPr="00C314E3">
        <w:rPr>
          <w:rFonts w:ascii="Arial" w:hAnsi="Arial" w:cs="Arial"/>
          <w:sz w:val="24"/>
          <w:szCs w:val="24"/>
        </w:rPr>
        <w:t xml:space="preserve">the first respondent </w:t>
      </w:r>
      <w:r w:rsidR="00D66D1B" w:rsidRPr="00C314E3">
        <w:rPr>
          <w:rFonts w:ascii="Arial" w:hAnsi="Arial" w:cs="Arial"/>
          <w:sz w:val="24"/>
          <w:szCs w:val="24"/>
        </w:rPr>
        <w:t>assert</w:t>
      </w:r>
      <w:r w:rsidR="0006580E" w:rsidRPr="00C314E3">
        <w:rPr>
          <w:rFonts w:ascii="Arial" w:hAnsi="Arial" w:cs="Arial"/>
          <w:sz w:val="24"/>
          <w:szCs w:val="24"/>
        </w:rPr>
        <w:t>ed</w:t>
      </w:r>
      <w:r w:rsidR="00D66D1B" w:rsidRPr="00C314E3">
        <w:rPr>
          <w:rFonts w:ascii="Arial" w:hAnsi="Arial" w:cs="Arial"/>
          <w:sz w:val="24"/>
          <w:szCs w:val="24"/>
        </w:rPr>
        <w:t xml:space="preserve"> that it </w:t>
      </w:r>
      <w:r w:rsidR="0006580E" w:rsidRPr="00C314E3">
        <w:rPr>
          <w:rFonts w:ascii="Arial" w:hAnsi="Arial" w:cs="Arial"/>
          <w:sz w:val="24"/>
          <w:szCs w:val="24"/>
        </w:rPr>
        <w:t>wa</w:t>
      </w:r>
      <w:r w:rsidR="00D66D1B" w:rsidRPr="00C314E3">
        <w:rPr>
          <w:rFonts w:ascii="Arial" w:hAnsi="Arial" w:cs="Arial"/>
          <w:sz w:val="24"/>
          <w:szCs w:val="24"/>
        </w:rPr>
        <w:t xml:space="preserve">s unlikely that the founding affidavit </w:t>
      </w:r>
      <w:r w:rsidR="0006580E" w:rsidRPr="00C314E3">
        <w:rPr>
          <w:rFonts w:ascii="Arial" w:hAnsi="Arial" w:cs="Arial"/>
          <w:sz w:val="24"/>
          <w:szCs w:val="24"/>
        </w:rPr>
        <w:t>had been</w:t>
      </w:r>
      <w:r w:rsidR="00D66D1B" w:rsidRPr="00C314E3">
        <w:rPr>
          <w:rFonts w:ascii="Arial" w:hAnsi="Arial" w:cs="Arial"/>
          <w:sz w:val="24"/>
          <w:szCs w:val="24"/>
        </w:rPr>
        <w:t xml:space="preserve"> </w:t>
      </w:r>
      <w:r w:rsidR="00353DA8" w:rsidRPr="00C314E3">
        <w:rPr>
          <w:rFonts w:ascii="Arial" w:hAnsi="Arial" w:cs="Arial"/>
          <w:sz w:val="24"/>
          <w:szCs w:val="24"/>
        </w:rPr>
        <w:t xml:space="preserve">signed and commissioned on 9 September 2022. This </w:t>
      </w:r>
      <w:r w:rsidR="0006580E" w:rsidRPr="00C314E3">
        <w:rPr>
          <w:rFonts w:ascii="Arial" w:hAnsi="Arial" w:cs="Arial"/>
          <w:sz w:val="24"/>
          <w:szCs w:val="24"/>
        </w:rPr>
        <w:t xml:space="preserve">was because the </w:t>
      </w:r>
      <w:r w:rsidR="00806CD0" w:rsidRPr="00C314E3">
        <w:rPr>
          <w:rFonts w:ascii="Arial" w:hAnsi="Arial" w:cs="Arial"/>
          <w:sz w:val="24"/>
          <w:szCs w:val="24"/>
        </w:rPr>
        <w:t xml:space="preserve">applicants had already brought an application for leave to appeal against the </w:t>
      </w:r>
      <w:r w:rsidR="00293BDB" w:rsidRPr="00C314E3">
        <w:rPr>
          <w:rFonts w:ascii="Arial" w:hAnsi="Arial" w:cs="Arial"/>
          <w:sz w:val="24"/>
          <w:szCs w:val="24"/>
        </w:rPr>
        <w:t xml:space="preserve">judgment in the earlier </w:t>
      </w:r>
      <w:r w:rsidR="00647000" w:rsidRPr="00C314E3">
        <w:rPr>
          <w:rFonts w:ascii="Arial" w:hAnsi="Arial" w:cs="Arial"/>
          <w:sz w:val="24"/>
          <w:szCs w:val="24"/>
        </w:rPr>
        <w:t>application proceedings (case number 1281/2021) and only withdrew</w:t>
      </w:r>
      <w:r w:rsidR="009C43BE" w:rsidRPr="00C314E3">
        <w:rPr>
          <w:rFonts w:ascii="Arial" w:hAnsi="Arial" w:cs="Arial"/>
          <w:sz w:val="24"/>
          <w:szCs w:val="24"/>
        </w:rPr>
        <w:t xml:space="preserve"> it a week </w:t>
      </w:r>
      <w:r w:rsidR="0049186B" w:rsidRPr="00C314E3">
        <w:rPr>
          <w:rFonts w:ascii="Arial" w:hAnsi="Arial" w:cs="Arial"/>
          <w:sz w:val="24"/>
          <w:szCs w:val="24"/>
        </w:rPr>
        <w:t>later</w:t>
      </w:r>
      <w:r w:rsidR="00EC7986" w:rsidRPr="00C314E3">
        <w:rPr>
          <w:rFonts w:ascii="Arial" w:hAnsi="Arial" w:cs="Arial"/>
          <w:sz w:val="24"/>
          <w:szCs w:val="24"/>
        </w:rPr>
        <w:t xml:space="preserve">, on </w:t>
      </w:r>
      <w:r w:rsidR="009C43BE" w:rsidRPr="00C314E3">
        <w:rPr>
          <w:rFonts w:ascii="Arial" w:hAnsi="Arial" w:cs="Arial"/>
          <w:sz w:val="24"/>
          <w:szCs w:val="24"/>
        </w:rPr>
        <w:t>16 September 2022</w:t>
      </w:r>
      <w:r w:rsidR="000D7A6E" w:rsidRPr="00C314E3">
        <w:rPr>
          <w:rFonts w:ascii="Arial" w:hAnsi="Arial" w:cs="Arial"/>
          <w:sz w:val="24"/>
          <w:szCs w:val="24"/>
        </w:rPr>
        <w:t xml:space="preserve">. The later date was also when the </w:t>
      </w:r>
      <w:r w:rsidR="0049186B" w:rsidRPr="00C314E3">
        <w:rPr>
          <w:rFonts w:ascii="Arial" w:hAnsi="Arial" w:cs="Arial"/>
          <w:sz w:val="24"/>
          <w:szCs w:val="24"/>
        </w:rPr>
        <w:t>notice of motion was dated.</w:t>
      </w:r>
      <w:r w:rsidR="00D43748" w:rsidRPr="00C314E3">
        <w:rPr>
          <w:rFonts w:ascii="Arial" w:hAnsi="Arial" w:cs="Arial"/>
          <w:sz w:val="24"/>
          <w:szCs w:val="24"/>
        </w:rPr>
        <w:t xml:space="preserve"> </w:t>
      </w:r>
    </w:p>
    <w:p w14:paraId="56C3CCB6" w14:textId="3183B0BF" w:rsidR="00B3782A" w:rsidRPr="00C314E3" w:rsidRDefault="00C314E3" w:rsidP="00C314E3">
      <w:pPr>
        <w:spacing w:line="360" w:lineRule="auto"/>
        <w:jc w:val="both"/>
        <w:rPr>
          <w:rFonts w:ascii="Arial" w:hAnsi="Arial" w:cs="Arial"/>
          <w:sz w:val="24"/>
          <w:szCs w:val="24"/>
        </w:rPr>
      </w:pPr>
      <w:r w:rsidRPr="00070D12">
        <w:rPr>
          <w:rFonts w:ascii="Arial" w:hAnsi="Arial" w:cs="Arial"/>
          <w:sz w:val="24"/>
          <w:szCs w:val="24"/>
        </w:rPr>
        <w:t>[30]</w:t>
      </w:r>
      <w:r w:rsidRPr="00070D12">
        <w:rPr>
          <w:rFonts w:ascii="Arial" w:hAnsi="Arial" w:cs="Arial"/>
          <w:sz w:val="24"/>
          <w:szCs w:val="24"/>
        </w:rPr>
        <w:tab/>
      </w:r>
      <w:r w:rsidR="00B3782A" w:rsidRPr="00C314E3">
        <w:rPr>
          <w:rFonts w:ascii="Arial" w:hAnsi="Arial" w:cs="Arial"/>
          <w:sz w:val="24"/>
          <w:szCs w:val="24"/>
        </w:rPr>
        <w:t xml:space="preserve">The first respondent has, however, not alleged </w:t>
      </w:r>
      <w:r w:rsidR="00846B7F" w:rsidRPr="00C314E3">
        <w:rPr>
          <w:rFonts w:ascii="Arial" w:hAnsi="Arial" w:cs="Arial"/>
          <w:sz w:val="24"/>
          <w:szCs w:val="24"/>
        </w:rPr>
        <w:t xml:space="preserve">duress or undue influence or any other irregularity regarding the </w:t>
      </w:r>
      <w:r w:rsidR="00957849" w:rsidRPr="00C314E3">
        <w:rPr>
          <w:rFonts w:ascii="Arial" w:hAnsi="Arial" w:cs="Arial"/>
          <w:sz w:val="24"/>
          <w:szCs w:val="24"/>
        </w:rPr>
        <w:t xml:space="preserve">first applicant’s affidavit. He has </w:t>
      </w:r>
      <w:r w:rsidR="008C35C7" w:rsidRPr="00C314E3">
        <w:rPr>
          <w:rFonts w:ascii="Arial" w:hAnsi="Arial" w:cs="Arial"/>
          <w:sz w:val="24"/>
          <w:szCs w:val="24"/>
        </w:rPr>
        <w:t xml:space="preserve">also </w:t>
      </w:r>
      <w:r w:rsidR="00957849" w:rsidRPr="00C314E3">
        <w:rPr>
          <w:rFonts w:ascii="Arial" w:hAnsi="Arial" w:cs="Arial"/>
          <w:sz w:val="24"/>
          <w:szCs w:val="24"/>
        </w:rPr>
        <w:t xml:space="preserve">not disputed </w:t>
      </w:r>
      <w:r w:rsidR="008C35C7" w:rsidRPr="00C314E3">
        <w:rPr>
          <w:rFonts w:ascii="Arial" w:hAnsi="Arial" w:cs="Arial"/>
          <w:sz w:val="24"/>
          <w:szCs w:val="24"/>
        </w:rPr>
        <w:t xml:space="preserve">where it was commissioned. </w:t>
      </w:r>
      <w:r w:rsidR="00957849" w:rsidRPr="00C314E3">
        <w:rPr>
          <w:rFonts w:ascii="Arial" w:hAnsi="Arial" w:cs="Arial"/>
          <w:sz w:val="24"/>
          <w:szCs w:val="24"/>
        </w:rPr>
        <w:t>Whether it was signed and commissioned on 9 or 16 September 2022 is entirely i</w:t>
      </w:r>
      <w:r w:rsidR="00D60773" w:rsidRPr="00C314E3">
        <w:rPr>
          <w:rFonts w:ascii="Arial" w:hAnsi="Arial" w:cs="Arial"/>
          <w:sz w:val="24"/>
          <w:szCs w:val="24"/>
        </w:rPr>
        <w:t>rrelevant</w:t>
      </w:r>
      <w:r w:rsidR="00957849" w:rsidRPr="00C314E3">
        <w:rPr>
          <w:rFonts w:ascii="Arial" w:hAnsi="Arial" w:cs="Arial"/>
          <w:sz w:val="24"/>
          <w:szCs w:val="24"/>
        </w:rPr>
        <w:t xml:space="preserve">. </w:t>
      </w:r>
      <w:r w:rsidR="000824DA" w:rsidRPr="00C314E3">
        <w:rPr>
          <w:rFonts w:ascii="Arial" w:hAnsi="Arial" w:cs="Arial"/>
          <w:sz w:val="24"/>
          <w:szCs w:val="24"/>
        </w:rPr>
        <w:t xml:space="preserve">Nothing turns on the point and the court is satisfied that </w:t>
      </w:r>
      <w:r w:rsidR="00D43748" w:rsidRPr="00C314E3">
        <w:rPr>
          <w:rFonts w:ascii="Arial" w:hAnsi="Arial" w:cs="Arial"/>
          <w:sz w:val="24"/>
          <w:szCs w:val="24"/>
        </w:rPr>
        <w:t>there has been substantial compliance with the regulations.</w:t>
      </w:r>
    </w:p>
    <w:p w14:paraId="309158CE" w14:textId="77777777" w:rsidR="00736D24" w:rsidRDefault="00736D24" w:rsidP="000568E5">
      <w:pPr>
        <w:spacing w:line="360" w:lineRule="auto"/>
        <w:rPr>
          <w:rFonts w:ascii="Arial" w:hAnsi="Arial" w:cs="Arial"/>
          <w:sz w:val="24"/>
          <w:szCs w:val="24"/>
        </w:rPr>
      </w:pPr>
    </w:p>
    <w:p w14:paraId="5308A5E2" w14:textId="77777777" w:rsidR="00736D24" w:rsidRPr="00736D24" w:rsidRDefault="00736D24" w:rsidP="00E77158">
      <w:pPr>
        <w:spacing w:line="360" w:lineRule="auto"/>
        <w:jc w:val="both"/>
        <w:rPr>
          <w:rFonts w:ascii="Arial" w:hAnsi="Arial" w:cs="Arial"/>
          <w:b/>
          <w:bCs/>
          <w:sz w:val="24"/>
          <w:szCs w:val="24"/>
        </w:rPr>
      </w:pPr>
      <w:r w:rsidRPr="00736D24">
        <w:rPr>
          <w:rFonts w:ascii="Arial" w:hAnsi="Arial" w:cs="Arial"/>
          <w:b/>
          <w:bCs/>
          <w:sz w:val="24"/>
          <w:szCs w:val="24"/>
        </w:rPr>
        <w:t>Res iudicata</w:t>
      </w:r>
    </w:p>
    <w:p w14:paraId="0DD0C125" w14:textId="77777777" w:rsidR="00736D24" w:rsidRDefault="00736D24" w:rsidP="000568E5">
      <w:pPr>
        <w:spacing w:line="360" w:lineRule="auto"/>
        <w:rPr>
          <w:rFonts w:ascii="Arial" w:hAnsi="Arial" w:cs="Arial"/>
          <w:sz w:val="24"/>
          <w:szCs w:val="24"/>
        </w:rPr>
      </w:pPr>
    </w:p>
    <w:p w14:paraId="1C8E6D74" w14:textId="65E08DCE" w:rsidR="001B3A19" w:rsidRPr="00C314E3" w:rsidRDefault="00C314E3" w:rsidP="00C314E3">
      <w:pPr>
        <w:spacing w:line="360" w:lineRule="auto"/>
        <w:jc w:val="both"/>
        <w:rPr>
          <w:rFonts w:ascii="Arial" w:hAnsi="Arial" w:cs="Arial"/>
          <w:sz w:val="24"/>
          <w:szCs w:val="24"/>
        </w:rPr>
      </w:pPr>
      <w:r w:rsidRPr="00070D12">
        <w:rPr>
          <w:rFonts w:ascii="Arial" w:hAnsi="Arial" w:cs="Arial"/>
          <w:sz w:val="24"/>
          <w:szCs w:val="24"/>
        </w:rPr>
        <w:t>[31]</w:t>
      </w:r>
      <w:r w:rsidRPr="00070D12">
        <w:rPr>
          <w:rFonts w:ascii="Arial" w:hAnsi="Arial" w:cs="Arial"/>
          <w:sz w:val="24"/>
          <w:szCs w:val="24"/>
        </w:rPr>
        <w:tab/>
      </w:r>
      <w:r w:rsidR="00736D24" w:rsidRPr="00C314E3">
        <w:rPr>
          <w:rFonts w:ascii="Arial" w:hAnsi="Arial" w:cs="Arial"/>
          <w:sz w:val="24"/>
          <w:szCs w:val="24"/>
        </w:rPr>
        <w:t xml:space="preserve">The </w:t>
      </w:r>
      <w:r w:rsidR="00540309" w:rsidRPr="00C314E3">
        <w:rPr>
          <w:rFonts w:ascii="Arial" w:hAnsi="Arial" w:cs="Arial"/>
          <w:sz w:val="24"/>
          <w:szCs w:val="24"/>
        </w:rPr>
        <w:t xml:space="preserve">first respondent’s next point is that </w:t>
      </w:r>
      <w:r w:rsidR="007C7FE4" w:rsidRPr="00C314E3">
        <w:rPr>
          <w:rFonts w:ascii="Arial" w:hAnsi="Arial" w:cs="Arial"/>
          <w:sz w:val="24"/>
          <w:szCs w:val="24"/>
        </w:rPr>
        <w:t xml:space="preserve">the present application </w:t>
      </w:r>
      <w:r w:rsidR="005E4122" w:rsidRPr="00C314E3">
        <w:rPr>
          <w:rFonts w:ascii="Arial" w:hAnsi="Arial" w:cs="Arial"/>
          <w:sz w:val="24"/>
          <w:szCs w:val="24"/>
        </w:rPr>
        <w:t xml:space="preserve">flounders on the </w:t>
      </w:r>
      <w:r w:rsidR="002C475A" w:rsidRPr="00C314E3">
        <w:rPr>
          <w:rFonts w:ascii="Arial" w:hAnsi="Arial" w:cs="Arial"/>
          <w:sz w:val="24"/>
          <w:szCs w:val="24"/>
        </w:rPr>
        <w:t xml:space="preserve">principle of </w:t>
      </w:r>
      <w:r w:rsidR="002C475A" w:rsidRPr="00C314E3">
        <w:rPr>
          <w:rFonts w:ascii="Arial" w:hAnsi="Arial" w:cs="Arial"/>
          <w:i/>
          <w:iCs/>
          <w:sz w:val="24"/>
          <w:szCs w:val="24"/>
        </w:rPr>
        <w:t>res iudicata</w:t>
      </w:r>
      <w:r w:rsidR="002C475A" w:rsidRPr="00C314E3">
        <w:rPr>
          <w:rFonts w:ascii="Arial" w:hAnsi="Arial" w:cs="Arial"/>
          <w:sz w:val="24"/>
          <w:szCs w:val="24"/>
        </w:rPr>
        <w:t>.</w:t>
      </w:r>
      <w:r w:rsidR="001B3A19" w:rsidRPr="00C314E3">
        <w:rPr>
          <w:rFonts w:ascii="Arial" w:hAnsi="Arial" w:cs="Arial"/>
          <w:sz w:val="24"/>
          <w:szCs w:val="24"/>
        </w:rPr>
        <w:t xml:space="preserve"> </w:t>
      </w:r>
      <w:r w:rsidR="00694049" w:rsidRPr="00C314E3">
        <w:rPr>
          <w:rFonts w:ascii="Arial" w:hAnsi="Arial" w:cs="Arial"/>
          <w:sz w:val="24"/>
          <w:szCs w:val="24"/>
        </w:rPr>
        <w:t xml:space="preserve">The requirements for a successful defence </w:t>
      </w:r>
      <w:r w:rsidR="00594F52" w:rsidRPr="00C314E3">
        <w:rPr>
          <w:rFonts w:ascii="Arial" w:hAnsi="Arial" w:cs="Arial"/>
          <w:sz w:val="24"/>
          <w:szCs w:val="24"/>
        </w:rPr>
        <w:t xml:space="preserve">to that effect </w:t>
      </w:r>
      <w:r w:rsidR="00FB56BB" w:rsidRPr="00C314E3">
        <w:rPr>
          <w:rFonts w:ascii="Arial" w:hAnsi="Arial" w:cs="Arial"/>
          <w:sz w:val="24"/>
          <w:szCs w:val="24"/>
        </w:rPr>
        <w:t xml:space="preserve">were set out in </w:t>
      </w:r>
      <w:r w:rsidR="001F7B6C" w:rsidRPr="00C314E3">
        <w:rPr>
          <w:rFonts w:ascii="Arial" w:hAnsi="Arial" w:cs="Arial"/>
          <w:i/>
          <w:iCs/>
          <w:sz w:val="24"/>
          <w:szCs w:val="24"/>
        </w:rPr>
        <w:t>National Sorg</w:t>
      </w:r>
      <w:r w:rsidR="00852C3E" w:rsidRPr="00C314E3">
        <w:rPr>
          <w:rFonts w:ascii="Arial" w:hAnsi="Arial" w:cs="Arial"/>
          <w:i/>
          <w:iCs/>
          <w:sz w:val="24"/>
          <w:szCs w:val="24"/>
        </w:rPr>
        <w:t>h</w:t>
      </w:r>
      <w:r w:rsidR="001F7B6C" w:rsidRPr="00C314E3">
        <w:rPr>
          <w:rFonts w:ascii="Arial" w:hAnsi="Arial" w:cs="Arial"/>
          <w:i/>
          <w:iCs/>
          <w:sz w:val="24"/>
          <w:szCs w:val="24"/>
        </w:rPr>
        <w:t>um Brew</w:t>
      </w:r>
      <w:r w:rsidR="00B16DD8" w:rsidRPr="00C314E3">
        <w:rPr>
          <w:rFonts w:ascii="Arial" w:hAnsi="Arial" w:cs="Arial"/>
          <w:i/>
          <w:iCs/>
          <w:sz w:val="24"/>
          <w:szCs w:val="24"/>
        </w:rPr>
        <w:t xml:space="preserve">eries Ltd </w:t>
      </w:r>
      <w:r w:rsidR="00594F52" w:rsidRPr="00C314E3">
        <w:rPr>
          <w:rFonts w:ascii="Arial" w:hAnsi="Arial" w:cs="Arial"/>
          <w:i/>
          <w:iCs/>
          <w:sz w:val="24"/>
          <w:szCs w:val="24"/>
        </w:rPr>
        <w:t xml:space="preserve">(t/a Vivo African Breweries) v </w:t>
      </w:r>
      <w:r w:rsidR="009E1762" w:rsidRPr="00C314E3">
        <w:rPr>
          <w:rFonts w:ascii="Arial" w:hAnsi="Arial" w:cs="Arial"/>
          <w:i/>
          <w:iCs/>
          <w:sz w:val="24"/>
          <w:szCs w:val="24"/>
        </w:rPr>
        <w:t xml:space="preserve">International Liquor </w:t>
      </w:r>
      <w:r w:rsidR="009E1762" w:rsidRPr="00C314E3">
        <w:rPr>
          <w:rFonts w:ascii="Arial" w:hAnsi="Arial" w:cs="Arial"/>
          <w:i/>
          <w:iCs/>
          <w:sz w:val="24"/>
          <w:szCs w:val="24"/>
        </w:rPr>
        <w:lastRenderedPageBreak/>
        <w:t>Distributors (Pty) Ltd</w:t>
      </w:r>
      <w:r w:rsidR="00410D2C" w:rsidRPr="00C314E3">
        <w:rPr>
          <w:rFonts w:ascii="Arial" w:hAnsi="Arial" w:cs="Arial"/>
          <w:sz w:val="24"/>
          <w:szCs w:val="24"/>
        </w:rPr>
        <w:t>,</w:t>
      </w:r>
      <w:r w:rsidR="00410D2C">
        <w:rPr>
          <w:rStyle w:val="FootnoteReference"/>
          <w:rFonts w:ascii="Arial" w:hAnsi="Arial" w:cs="Arial"/>
          <w:sz w:val="24"/>
          <w:szCs w:val="24"/>
        </w:rPr>
        <w:footnoteReference w:id="4"/>
      </w:r>
      <w:r w:rsidR="002C475A" w:rsidRPr="00C314E3">
        <w:rPr>
          <w:rFonts w:ascii="Arial" w:hAnsi="Arial" w:cs="Arial"/>
          <w:sz w:val="24"/>
          <w:szCs w:val="24"/>
        </w:rPr>
        <w:t xml:space="preserve"> </w:t>
      </w:r>
      <w:r w:rsidR="005D3960" w:rsidRPr="00C314E3">
        <w:rPr>
          <w:rFonts w:ascii="Arial" w:hAnsi="Arial" w:cs="Arial"/>
          <w:sz w:val="24"/>
          <w:szCs w:val="24"/>
        </w:rPr>
        <w:t>wh</w:t>
      </w:r>
      <w:r w:rsidR="00852C3E" w:rsidRPr="00C314E3">
        <w:rPr>
          <w:rFonts w:ascii="Arial" w:hAnsi="Arial" w:cs="Arial"/>
          <w:sz w:val="24"/>
          <w:szCs w:val="24"/>
        </w:rPr>
        <w:t xml:space="preserve">ere the Supreme Court of Appeal </w:t>
      </w:r>
      <w:r w:rsidR="00BB52CC" w:rsidRPr="00C314E3">
        <w:rPr>
          <w:rFonts w:ascii="Arial" w:hAnsi="Arial" w:cs="Arial"/>
          <w:sz w:val="24"/>
          <w:szCs w:val="24"/>
        </w:rPr>
        <w:t xml:space="preserve">listed them as </w:t>
      </w:r>
      <w:r w:rsidR="00392222" w:rsidRPr="00C314E3">
        <w:rPr>
          <w:rFonts w:ascii="Arial" w:hAnsi="Arial" w:cs="Arial"/>
          <w:sz w:val="24"/>
          <w:szCs w:val="24"/>
        </w:rPr>
        <w:t>‘</w:t>
      </w:r>
      <w:r w:rsidR="00392222" w:rsidRPr="00C314E3">
        <w:rPr>
          <w:rFonts w:ascii="Arial" w:hAnsi="Arial" w:cs="Arial"/>
          <w:i/>
          <w:iCs/>
          <w:sz w:val="24"/>
          <w:szCs w:val="24"/>
        </w:rPr>
        <w:t>idem actor</w:t>
      </w:r>
      <w:r w:rsidR="00392222" w:rsidRPr="00C314E3">
        <w:rPr>
          <w:rFonts w:ascii="Arial" w:hAnsi="Arial" w:cs="Arial"/>
          <w:sz w:val="24"/>
          <w:szCs w:val="24"/>
        </w:rPr>
        <w:t xml:space="preserve">, </w:t>
      </w:r>
      <w:r w:rsidR="00392222" w:rsidRPr="00C314E3">
        <w:rPr>
          <w:rFonts w:ascii="Arial" w:hAnsi="Arial" w:cs="Arial"/>
          <w:i/>
          <w:iCs/>
          <w:sz w:val="24"/>
          <w:szCs w:val="24"/>
        </w:rPr>
        <w:t>idem reus</w:t>
      </w:r>
      <w:r w:rsidR="00392222" w:rsidRPr="00C314E3">
        <w:rPr>
          <w:rFonts w:ascii="Arial" w:hAnsi="Arial" w:cs="Arial"/>
          <w:sz w:val="24"/>
          <w:szCs w:val="24"/>
        </w:rPr>
        <w:t xml:space="preserve">, </w:t>
      </w:r>
      <w:r w:rsidR="00392222" w:rsidRPr="00C314E3">
        <w:rPr>
          <w:rFonts w:ascii="Arial" w:hAnsi="Arial" w:cs="Arial"/>
          <w:i/>
          <w:iCs/>
          <w:sz w:val="24"/>
          <w:szCs w:val="24"/>
        </w:rPr>
        <w:t>eadem res</w:t>
      </w:r>
      <w:r w:rsidR="00392222" w:rsidRPr="00C314E3">
        <w:rPr>
          <w:rFonts w:ascii="Arial" w:hAnsi="Arial" w:cs="Arial"/>
          <w:sz w:val="24"/>
          <w:szCs w:val="24"/>
        </w:rPr>
        <w:t xml:space="preserve"> and </w:t>
      </w:r>
      <w:r w:rsidR="00226B50" w:rsidRPr="00C314E3">
        <w:rPr>
          <w:rFonts w:ascii="Arial" w:hAnsi="Arial" w:cs="Arial"/>
          <w:i/>
          <w:iCs/>
          <w:sz w:val="24"/>
          <w:szCs w:val="24"/>
        </w:rPr>
        <w:t>eadem causa petendi</w:t>
      </w:r>
      <w:r w:rsidR="00226B50" w:rsidRPr="00C314E3">
        <w:rPr>
          <w:rFonts w:ascii="Arial" w:hAnsi="Arial" w:cs="Arial"/>
          <w:sz w:val="24"/>
          <w:szCs w:val="24"/>
        </w:rPr>
        <w:t>’.</w:t>
      </w:r>
      <w:r w:rsidR="00226B50">
        <w:rPr>
          <w:rStyle w:val="FootnoteReference"/>
          <w:rFonts w:ascii="Arial" w:hAnsi="Arial" w:cs="Arial"/>
          <w:sz w:val="24"/>
          <w:szCs w:val="24"/>
        </w:rPr>
        <w:footnoteReference w:id="5"/>
      </w:r>
      <w:r w:rsidR="005241B8" w:rsidRPr="00C314E3">
        <w:rPr>
          <w:rFonts w:ascii="Arial" w:hAnsi="Arial" w:cs="Arial"/>
          <w:sz w:val="24"/>
          <w:szCs w:val="24"/>
        </w:rPr>
        <w:t xml:space="preserve"> The court went on to hold that:</w:t>
      </w:r>
    </w:p>
    <w:p w14:paraId="1F09B9C8" w14:textId="77777777" w:rsidR="005241B8" w:rsidRPr="006B1C5D" w:rsidRDefault="005241B8" w:rsidP="00070D12">
      <w:pPr>
        <w:spacing w:line="360" w:lineRule="auto"/>
        <w:ind w:left="720"/>
        <w:jc w:val="both"/>
        <w:rPr>
          <w:rFonts w:ascii="Arial" w:hAnsi="Arial" w:cs="Arial"/>
          <w:sz w:val="20"/>
          <w:szCs w:val="20"/>
        </w:rPr>
      </w:pPr>
      <w:r w:rsidRPr="006B1C5D">
        <w:rPr>
          <w:rFonts w:ascii="Arial" w:hAnsi="Arial" w:cs="Arial"/>
          <w:sz w:val="20"/>
          <w:szCs w:val="20"/>
        </w:rPr>
        <w:t>‘This means that the exception</w:t>
      </w:r>
      <w:r w:rsidR="00EB67C3" w:rsidRPr="006B1C5D">
        <w:rPr>
          <w:rFonts w:ascii="Arial" w:hAnsi="Arial" w:cs="Arial"/>
          <w:sz w:val="20"/>
          <w:szCs w:val="20"/>
        </w:rPr>
        <w:t xml:space="preserve"> can be raised by a defendant in a later suit against a plaintiff who is </w:t>
      </w:r>
      <w:r w:rsidR="00F344E7" w:rsidRPr="006B1C5D">
        <w:rPr>
          <w:rFonts w:ascii="Arial" w:hAnsi="Arial" w:cs="Arial"/>
          <w:sz w:val="20"/>
          <w:szCs w:val="20"/>
        </w:rPr>
        <w:t>“</w:t>
      </w:r>
      <w:r w:rsidR="00EB67C3" w:rsidRPr="006B1C5D">
        <w:rPr>
          <w:rFonts w:ascii="Arial" w:hAnsi="Arial" w:cs="Arial"/>
          <w:sz w:val="20"/>
          <w:szCs w:val="20"/>
        </w:rPr>
        <w:t xml:space="preserve">demanding </w:t>
      </w:r>
      <w:r w:rsidR="00F344E7" w:rsidRPr="006B1C5D">
        <w:rPr>
          <w:rFonts w:ascii="Arial" w:hAnsi="Arial" w:cs="Arial"/>
          <w:sz w:val="20"/>
          <w:szCs w:val="20"/>
        </w:rPr>
        <w:t xml:space="preserve">the same thing on the same ground” </w:t>
      </w:r>
      <w:r w:rsidR="003071D0" w:rsidRPr="006B1C5D">
        <w:rPr>
          <w:rFonts w:ascii="Arial" w:hAnsi="Arial" w:cs="Arial"/>
          <w:sz w:val="20"/>
          <w:szCs w:val="20"/>
        </w:rPr>
        <w:t>(</w:t>
      </w:r>
      <w:r w:rsidR="00F344E7" w:rsidRPr="006B1C5D">
        <w:rPr>
          <w:rFonts w:ascii="Arial" w:hAnsi="Arial" w:cs="Arial"/>
          <w:sz w:val="20"/>
          <w:szCs w:val="20"/>
        </w:rPr>
        <w:t xml:space="preserve">per Steyn CJ in </w:t>
      </w:r>
      <w:r w:rsidR="00AD3620" w:rsidRPr="006B1C5D">
        <w:rPr>
          <w:rFonts w:ascii="Arial" w:hAnsi="Arial" w:cs="Arial"/>
          <w:i/>
          <w:iCs/>
          <w:sz w:val="20"/>
          <w:szCs w:val="20"/>
        </w:rPr>
        <w:t xml:space="preserve">African Farms and Townships Ltd v </w:t>
      </w:r>
      <w:r w:rsidR="00545C63" w:rsidRPr="006B1C5D">
        <w:rPr>
          <w:rFonts w:ascii="Arial" w:hAnsi="Arial" w:cs="Arial"/>
          <w:i/>
          <w:iCs/>
          <w:sz w:val="20"/>
          <w:szCs w:val="20"/>
        </w:rPr>
        <w:t>Cape Town Municipality</w:t>
      </w:r>
      <w:r w:rsidR="00545C63" w:rsidRPr="006B1C5D">
        <w:rPr>
          <w:rFonts w:ascii="Arial" w:hAnsi="Arial" w:cs="Arial"/>
          <w:sz w:val="20"/>
          <w:szCs w:val="20"/>
        </w:rPr>
        <w:t xml:space="preserve"> 1963 (2) SA 555 (A)</w:t>
      </w:r>
      <w:r w:rsidR="003071D0" w:rsidRPr="006B1C5D">
        <w:rPr>
          <w:rFonts w:ascii="Arial" w:hAnsi="Arial" w:cs="Arial"/>
          <w:sz w:val="20"/>
          <w:szCs w:val="20"/>
        </w:rPr>
        <w:t>, at 562A)</w:t>
      </w:r>
      <w:r w:rsidR="006E2FAC" w:rsidRPr="006B1C5D">
        <w:rPr>
          <w:rFonts w:ascii="Arial" w:hAnsi="Arial" w:cs="Arial"/>
          <w:sz w:val="20"/>
          <w:szCs w:val="20"/>
        </w:rPr>
        <w:t>; or which comes to the same thing, “on the same cause for the same relief”</w:t>
      </w:r>
      <w:r w:rsidR="00C0364C" w:rsidRPr="006B1C5D">
        <w:rPr>
          <w:rFonts w:ascii="Arial" w:hAnsi="Arial" w:cs="Arial"/>
          <w:sz w:val="20"/>
          <w:szCs w:val="20"/>
        </w:rPr>
        <w:t xml:space="preserve"> (per Van Winsen AJA in </w:t>
      </w:r>
      <w:r w:rsidR="00C0364C" w:rsidRPr="006B1C5D">
        <w:rPr>
          <w:rFonts w:ascii="Arial" w:hAnsi="Arial" w:cs="Arial"/>
          <w:i/>
          <w:iCs/>
          <w:sz w:val="20"/>
          <w:szCs w:val="20"/>
        </w:rPr>
        <w:t xml:space="preserve">Custom Credit Corporation (Pty) </w:t>
      </w:r>
      <w:r w:rsidR="004941BB" w:rsidRPr="006B1C5D">
        <w:rPr>
          <w:rFonts w:ascii="Arial" w:hAnsi="Arial" w:cs="Arial"/>
          <w:i/>
          <w:iCs/>
          <w:sz w:val="20"/>
          <w:szCs w:val="20"/>
        </w:rPr>
        <w:t>Ltd v Shembe</w:t>
      </w:r>
      <w:r w:rsidR="004941BB" w:rsidRPr="006B1C5D">
        <w:rPr>
          <w:rFonts w:ascii="Arial" w:hAnsi="Arial" w:cs="Arial"/>
          <w:sz w:val="20"/>
          <w:szCs w:val="20"/>
        </w:rPr>
        <w:t xml:space="preserve"> 1972 (3) SA 462 (A), at </w:t>
      </w:r>
      <w:r w:rsidR="00E45607" w:rsidRPr="006B1C5D">
        <w:rPr>
          <w:rFonts w:ascii="Arial" w:hAnsi="Arial" w:cs="Arial"/>
          <w:sz w:val="20"/>
          <w:szCs w:val="20"/>
        </w:rPr>
        <w:t>472A-B</w:t>
      </w:r>
      <w:r w:rsidR="00090187" w:rsidRPr="006B1C5D">
        <w:rPr>
          <w:rFonts w:ascii="Arial" w:hAnsi="Arial" w:cs="Arial"/>
          <w:sz w:val="20"/>
          <w:szCs w:val="20"/>
        </w:rPr>
        <w:t>…);</w:t>
      </w:r>
      <w:r w:rsidR="002A2CFD" w:rsidRPr="006B1C5D">
        <w:rPr>
          <w:rFonts w:ascii="Arial" w:hAnsi="Arial" w:cs="Arial"/>
          <w:sz w:val="20"/>
          <w:szCs w:val="20"/>
        </w:rPr>
        <w:t xml:space="preserve"> or which also comes to the same thing, </w:t>
      </w:r>
      <w:r w:rsidR="00C036EC" w:rsidRPr="006B1C5D">
        <w:rPr>
          <w:rFonts w:ascii="Arial" w:hAnsi="Arial" w:cs="Arial"/>
          <w:sz w:val="20"/>
          <w:szCs w:val="20"/>
        </w:rPr>
        <w:t xml:space="preserve">whether the “same issue” had been adjudicated </w:t>
      </w:r>
      <w:r w:rsidR="00E337AC" w:rsidRPr="006B1C5D">
        <w:rPr>
          <w:rFonts w:ascii="Arial" w:hAnsi="Arial" w:cs="Arial"/>
          <w:sz w:val="20"/>
          <w:szCs w:val="20"/>
        </w:rPr>
        <w:t>up</w:t>
      </w:r>
      <w:r w:rsidR="00C036EC" w:rsidRPr="006B1C5D">
        <w:rPr>
          <w:rFonts w:ascii="Arial" w:hAnsi="Arial" w:cs="Arial"/>
          <w:sz w:val="20"/>
          <w:szCs w:val="20"/>
        </w:rPr>
        <w:t>on</w:t>
      </w:r>
      <w:r w:rsidR="00E337AC" w:rsidRPr="006B1C5D">
        <w:rPr>
          <w:rFonts w:ascii="Arial" w:hAnsi="Arial" w:cs="Arial"/>
          <w:sz w:val="20"/>
          <w:szCs w:val="20"/>
        </w:rPr>
        <w:t xml:space="preserve"> (see </w:t>
      </w:r>
      <w:r w:rsidR="00E337AC" w:rsidRPr="006B1C5D">
        <w:rPr>
          <w:rFonts w:ascii="Arial" w:hAnsi="Arial" w:cs="Arial"/>
          <w:i/>
          <w:iCs/>
          <w:sz w:val="20"/>
          <w:szCs w:val="20"/>
        </w:rPr>
        <w:t>Horowitz v Brock</w:t>
      </w:r>
      <w:r w:rsidR="00E337AC" w:rsidRPr="006B1C5D">
        <w:rPr>
          <w:rFonts w:ascii="Arial" w:hAnsi="Arial" w:cs="Arial"/>
          <w:sz w:val="20"/>
          <w:szCs w:val="20"/>
        </w:rPr>
        <w:t xml:space="preserve"> 1988 (2) SA </w:t>
      </w:r>
      <w:r w:rsidR="0029134F" w:rsidRPr="006B1C5D">
        <w:rPr>
          <w:rFonts w:ascii="Arial" w:hAnsi="Arial" w:cs="Arial"/>
          <w:sz w:val="20"/>
          <w:szCs w:val="20"/>
        </w:rPr>
        <w:t>160 (A), at 179A-H</w:t>
      </w:r>
      <w:r w:rsidR="00AC735F" w:rsidRPr="006B1C5D">
        <w:rPr>
          <w:rFonts w:ascii="Arial" w:hAnsi="Arial" w:cs="Arial"/>
          <w:sz w:val="20"/>
          <w:szCs w:val="20"/>
        </w:rPr>
        <w:t>). The fundamental question in the appeal is whether the same issue is involved in the two actions</w:t>
      </w:r>
      <w:r w:rsidR="00495B74" w:rsidRPr="006B1C5D">
        <w:rPr>
          <w:rFonts w:ascii="Arial" w:hAnsi="Arial" w:cs="Arial"/>
          <w:sz w:val="20"/>
          <w:szCs w:val="20"/>
        </w:rPr>
        <w:t xml:space="preserve">: in other words, is the same thing demanded on the same ground, or, which comes to the same, </w:t>
      </w:r>
      <w:r w:rsidR="00BB5C60" w:rsidRPr="006B1C5D">
        <w:rPr>
          <w:rFonts w:ascii="Arial" w:hAnsi="Arial" w:cs="Arial"/>
          <w:sz w:val="20"/>
          <w:szCs w:val="20"/>
        </w:rPr>
        <w:t>is the same relief claimed on the same cause, or, to put it more succinctly</w:t>
      </w:r>
      <w:r w:rsidR="005C3472" w:rsidRPr="006B1C5D">
        <w:rPr>
          <w:rFonts w:ascii="Arial" w:hAnsi="Arial" w:cs="Arial"/>
          <w:sz w:val="20"/>
          <w:szCs w:val="20"/>
        </w:rPr>
        <w:t>, has the same issue now before the court been finally disposed of in the first action</w:t>
      </w:r>
      <w:r w:rsidR="00A41665" w:rsidRPr="006B1C5D">
        <w:rPr>
          <w:rFonts w:ascii="Arial" w:hAnsi="Arial" w:cs="Arial"/>
          <w:sz w:val="20"/>
          <w:szCs w:val="20"/>
        </w:rPr>
        <w:t>?’</w:t>
      </w:r>
      <w:r w:rsidR="00A41665" w:rsidRPr="006B1C5D">
        <w:rPr>
          <w:rStyle w:val="FootnoteReference"/>
          <w:rFonts w:ascii="Arial" w:hAnsi="Arial" w:cs="Arial"/>
          <w:sz w:val="20"/>
          <w:szCs w:val="20"/>
        </w:rPr>
        <w:footnoteReference w:id="6"/>
      </w:r>
    </w:p>
    <w:p w14:paraId="532901CD" w14:textId="77777777" w:rsidR="00E77158" w:rsidRDefault="00E77158" w:rsidP="00E77158">
      <w:pPr>
        <w:pStyle w:val="ListParagraph"/>
        <w:spacing w:line="360" w:lineRule="auto"/>
        <w:ind w:left="0"/>
        <w:jc w:val="both"/>
        <w:rPr>
          <w:rFonts w:ascii="Arial" w:hAnsi="Arial" w:cs="Arial"/>
          <w:sz w:val="24"/>
          <w:szCs w:val="24"/>
        </w:rPr>
      </w:pPr>
    </w:p>
    <w:p w14:paraId="6736EEA3" w14:textId="61060725" w:rsidR="00E500AA" w:rsidRPr="00C314E3" w:rsidRDefault="00C314E3" w:rsidP="00C314E3">
      <w:pPr>
        <w:spacing w:line="360" w:lineRule="auto"/>
        <w:jc w:val="both"/>
        <w:rPr>
          <w:rFonts w:ascii="Arial" w:hAnsi="Arial" w:cs="Arial"/>
          <w:sz w:val="24"/>
          <w:szCs w:val="24"/>
        </w:rPr>
      </w:pPr>
      <w:r w:rsidRPr="00070D12">
        <w:rPr>
          <w:rFonts w:ascii="Arial" w:hAnsi="Arial" w:cs="Arial"/>
          <w:sz w:val="24"/>
          <w:szCs w:val="24"/>
        </w:rPr>
        <w:t>[32]</w:t>
      </w:r>
      <w:r w:rsidRPr="00070D12">
        <w:rPr>
          <w:rFonts w:ascii="Arial" w:hAnsi="Arial" w:cs="Arial"/>
          <w:sz w:val="24"/>
          <w:szCs w:val="24"/>
        </w:rPr>
        <w:tab/>
      </w:r>
      <w:r w:rsidR="003C6AC1" w:rsidRPr="00C314E3">
        <w:rPr>
          <w:rFonts w:ascii="Arial" w:hAnsi="Arial" w:cs="Arial"/>
          <w:sz w:val="24"/>
          <w:szCs w:val="24"/>
        </w:rPr>
        <w:t xml:space="preserve">The </w:t>
      </w:r>
      <w:r w:rsidR="00766B24" w:rsidRPr="00C314E3">
        <w:rPr>
          <w:rFonts w:ascii="Arial" w:hAnsi="Arial" w:cs="Arial"/>
          <w:sz w:val="24"/>
          <w:szCs w:val="24"/>
        </w:rPr>
        <w:t xml:space="preserve">principle operates to </w:t>
      </w:r>
      <w:r w:rsidR="00524FE7" w:rsidRPr="00C314E3">
        <w:rPr>
          <w:rFonts w:ascii="Arial" w:hAnsi="Arial" w:cs="Arial"/>
          <w:sz w:val="24"/>
          <w:szCs w:val="24"/>
        </w:rPr>
        <w:t xml:space="preserve">bring litigation to </w:t>
      </w:r>
      <w:r w:rsidR="00747EE8" w:rsidRPr="00C314E3">
        <w:rPr>
          <w:rFonts w:ascii="Arial" w:hAnsi="Arial" w:cs="Arial"/>
          <w:sz w:val="24"/>
          <w:szCs w:val="24"/>
        </w:rPr>
        <w:t>an end after a matter has already been decided</w:t>
      </w:r>
      <w:r w:rsidR="006F0D9F" w:rsidRPr="00C314E3">
        <w:rPr>
          <w:rFonts w:ascii="Arial" w:hAnsi="Arial" w:cs="Arial"/>
          <w:sz w:val="24"/>
          <w:szCs w:val="24"/>
        </w:rPr>
        <w:t>. A final judgment must be given effect, even where it is wrong.</w:t>
      </w:r>
      <w:r w:rsidR="00F137F6">
        <w:rPr>
          <w:rStyle w:val="FootnoteReference"/>
          <w:rFonts w:ascii="Arial" w:hAnsi="Arial" w:cs="Arial"/>
          <w:sz w:val="24"/>
          <w:szCs w:val="24"/>
        </w:rPr>
        <w:footnoteReference w:id="7"/>
      </w:r>
      <w:r w:rsidR="00623ABC" w:rsidRPr="00C314E3">
        <w:rPr>
          <w:rFonts w:ascii="Arial" w:hAnsi="Arial" w:cs="Arial"/>
          <w:sz w:val="24"/>
          <w:szCs w:val="24"/>
        </w:rPr>
        <w:t xml:space="preserve"> In </w:t>
      </w:r>
      <w:r w:rsidR="00EF75BF" w:rsidRPr="00C314E3">
        <w:rPr>
          <w:rFonts w:ascii="Arial" w:hAnsi="Arial" w:cs="Arial"/>
          <w:i/>
          <w:iCs/>
          <w:sz w:val="24"/>
          <w:szCs w:val="24"/>
        </w:rPr>
        <w:t>Molaudzi v S</w:t>
      </w:r>
      <w:r w:rsidR="00EF75BF" w:rsidRPr="00C314E3">
        <w:rPr>
          <w:rFonts w:ascii="Arial" w:hAnsi="Arial" w:cs="Arial"/>
          <w:sz w:val="24"/>
          <w:szCs w:val="24"/>
        </w:rPr>
        <w:t>,</w:t>
      </w:r>
      <w:r w:rsidR="00EF75BF">
        <w:rPr>
          <w:rStyle w:val="FootnoteReference"/>
          <w:rFonts w:ascii="Arial" w:hAnsi="Arial" w:cs="Arial"/>
          <w:sz w:val="24"/>
          <w:szCs w:val="24"/>
        </w:rPr>
        <w:footnoteReference w:id="8"/>
      </w:r>
      <w:r w:rsidR="00EC72CF" w:rsidRPr="00C314E3">
        <w:rPr>
          <w:rFonts w:ascii="Arial" w:hAnsi="Arial" w:cs="Arial"/>
          <w:sz w:val="24"/>
          <w:szCs w:val="24"/>
        </w:rPr>
        <w:t xml:space="preserve"> </w:t>
      </w:r>
      <w:r w:rsidR="00E500AA" w:rsidRPr="00C314E3">
        <w:rPr>
          <w:rFonts w:ascii="Arial" w:hAnsi="Arial" w:cs="Arial"/>
          <w:sz w:val="24"/>
          <w:szCs w:val="24"/>
        </w:rPr>
        <w:t xml:space="preserve">the Constitutional Court explained </w:t>
      </w:r>
      <w:r w:rsidR="00EC72CF" w:rsidRPr="00C314E3">
        <w:rPr>
          <w:rFonts w:ascii="Arial" w:hAnsi="Arial" w:cs="Arial"/>
          <w:sz w:val="24"/>
          <w:szCs w:val="24"/>
        </w:rPr>
        <w:t>that</w:t>
      </w:r>
      <w:r w:rsidR="00E500AA" w:rsidRPr="00C314E3">
        <w:rPr>
          <w:rFonts w:ascii="Arial" w:hAnsi="Arial" w:cs="Arial"/>
          <w:sz w:val="24"/>
          <w:szCs w:val="24"/>
        </w:rPr>
        <w:t>:</w:t>
      </w:r>
    </w:p>
    <w:p w14:paraId="416DC2E6" w14:textId="77777777" w:rsidR="004B3EC4" w:rsidRPr="003A41D1" w:rsidRDefault="003D60EF" w:rsidP="00070D12">
      <w:pPr>
        <w:spacing w:line="360" w:lineRule="auto"/>
        <w:ind w:left="720"/>
        <w:jc w:val="both"/>
        <w:rPr>
          <w:rFonts w:ascii="Arial" w:hAnsi="Arial" w:cs="Arial"/>
          <w:sz w:val="20"/>
          <w:szCs w:val="20"/>
        </w:rPr>
      </w:pPr>
      <w:r w:rsidRPr="003A41D1">
        <w:rPr>
          <w:rFonts w:ascii="Arial" w:hAnsi="Arial" w:cs="Arial"/>
          <w:sz w:val="20"/>
          <w:szCs w:val="20"/>
        </w:rPr>
        <w:t>‘…T</w:t>
      </w:r>
      <w:r w:rsidR="006B1C5D" w:rsidRPr="003A41D1">
        <w:rPr>
          <w:rFonts w:ascii="Arial" w:hAnsi="Arial" w:cs="Arial"/>
          <w:sz w:val="20"/>
          <w:szCs w:val="20"/>
        </w:rPr>
        <w:t xml:space="preserve">he underlying rationale </w:t>
      </w:r>
      <w:r w:rsidR="00C74D0F" w:rsidRPr="003A41D1">
        <w:rPr>
          <w:rFonts w:ascii="Arial" w:hAnsi="Arial" w:cs="Arial"/>
          <w:sz w:val="20"/>
          <w:szCs w:val="20"/>
        </w:rPr>
        <w:t xml:space="preserve">of the </w:t>
      </w:r>
      <w:r w:rsidRPr="003A41D1">
        <w:rPr>
          <w:rFonts w:ascii="Arial" w:hAnsi="Arial" w:cs="Arial"/>
          <w:sz w:val="20"/>
          <w:szCs w:val="20"/>
        </w:rPr>
        <w:t xml:space="preserve">doctrine </w:t>
      </w:r>
      <w:r w:rsidR="00C74D0F" w:rsidRPr="003A41D1">
        <w:rPr>
          <w:rFonts w:ascii="Arial" w:hAnsi="Arial" w:cs="Arial"/>
          <w:sz w:val="20"/>
          <w:szCs w:val="20"/>
        </w:rPr>
        <w:t xml:space="preserve">of </w:t>
      </w:r>
      <w:r w:rsidR="00C74D0F" w:rsidRPr="003A41D1">
        <w:rPr>
          <w:rFonts w:ascii="Arial" w:hAnsi="Arial" w:cs="Arial"/>
          <w:i/>
          <w:iCs/>
          <w:sz w:val="20"/>
          <w:szCs w:val="20"/>
        </w:rPr>
        <w:t>res iudicata</w:t>
      </w:r>
      <w:r w:rsidR="00C74D0F" w:rsidRPr="003A41D1">
        <w:rPr>
          <w:rFonts w:ascii="Arial" w:hAnsi="Arial" w:cs="Arial"/>
          <w:sz w:val="20"/>
          <w:szCs w:val="20"/>
        </w:rPr>
        <w:t xml:space="preserve"> </w:t>
      </w:r>
      <w:r w:rsidR="00EB7376" w:rsidRPr="003A41D1">
        <w:rPr>
          <w:rFonts w:ascii="Arial" w:hAnsi="Arial" w:cs="Arial"/>
          <w:sz w:val="20"/>
          <w:szCs w:val="20"/>
        </w:rPr>
        <w:t>i</w:t>
      </w:r>
      <w:r w:rsidR="00C74D0F" w:rsidRPr="003A41D1">
        <w:rPr>
          <w:rFonts w:ascii="Arial" w:hAnsi="Arial" w:cs="Arial"/>
          <w:sz w:val="20"/>
          <w:szCs w:val="20"/>
        </w:rPr>
        <w:t>s to give effect to the finality of judgments.</w:t>
      </w:r>
      <w:r w:rsidR="00EB7376" w:rsidRPr="003A41D1">
        <w:rPr>
          <w:rFonts w:ascii="Arial" w:hAnsi="Arial" w:cs="Arial"/>
          <w:sz w:val="20"/>
          <w:szCs w:val="20"/>
        </w:rPr>
        <w:t xml:space="preserve"> Where a cause of action has been litigated to final</w:t>
      </w:r>
      <w:r w:rsidR="00E51E64" w:rsidRPr="003A41D1">
        <w:rPr>
          <w:rFonts w:ascii="Arial" w:hAnsi="Arial" w:cs="Arial"/>
          <w:sz w:val="20"/>
          <w:szCs w:val="20"/>
        </w:rPr>
        <w:t xml:space="preserve">ity between the same parties on a previous occasion, a subsequent attempt by one party </w:t>
      </w:r>
      <w:r w:rsidR="00BD270B" w:rsidRPr="003A41D1">
        <w:rPr>
          <w:rFonts w:ascii="Arial" w:hAnsi="Arial" w:cs="Arial"/>
          <w:sz w:val="20"/>
          <w:szCs w:val="20"/>
        </w:rPr>
        <w:t xml:space="preserve">to proceed against the other party on the same cause of action should not be permitted. </w:t>
      </w:r>
      <w:r w:rsidR="00350086" w:rsidRPr="003A41D1">
        <w:rPr>
          <w:rFonts w:ascii="Arial" w:hAnsi="Arial" w:cs="Arial"/>
          <w:sz w:val="20"/>
          <w:szCs w:val="20"/>
        </w:rPr>
        <w:t>It is an attempt to limit needless litigation and ensure certainty on matters that have been decided by the courts.’</w:t>
      </w:r>
      <w:r w:rsidR="00350086" w:rsidRPr="003A41D1">
        <w:rPr>
          <w:rStyle w:val="FootnoteReference"/>
          <w:rFonts w:ascii="Arial" w:hAnsi="Arial" w:cs="Arial"/>
          <w:sz w:val="20"/>
          <w:szCs w:val="20"/>
        </w:rPr>
        <w:footnoteReference w:id="9"/>
      </w:r>
    </w:p>
    <w:p w14:paraId="2ADAC9AC" w14:textId="77777777" w:rsidR="0096515D" w:rsidRDefault="0096515D" w:rsidP="000568E5">
      <w:pPr>
        <w:spacing w:line="360" w:lineRule="auto"/>
        <w:rPr>
          <w:rFonts w:ascii="Arial" w:hAnsi="Arial" w:cs="Arial"/>
          <w:sz w:val="24"/>
          <w:szCs w:val="24"/>
        </w:rPr>
      </w:pPr>
    </w:p>
    <w:p w14:paraId="26779657" w14:textId="0A33CFE0" w:rsidR="00B11B24" w:rsidRPr="00C314E3" w:rsidRDefault="00C314E3" w:rsidP="00C314E3">
      <w:pPr>
        <w:spacing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E65110" w:rsidRPr="00C314E3">
        <w:rPr>
          <w:rFonts w:ascii="Arial" w:hAnsi="Arial" w:cs="Arial"/>
          <w:sz w:val="24"/>
          <w:szCs w:val="24"/>
        </w:rPr>
        <w:t xml:space="preserve">It is common cause that the </w:t>
      </w:r>
      <w:r w:rsidR="006A2A3C" w:rsidRPr="00C314E3">
        <w:rPr>
          <w:rFonts w:ascii="Arial" w:hAnsi="Arial" w:cs="Arial"/>
          <w:sz w:val="24"/>
          <w:szCs w:val="24"/>
        </w:rPr>
        <w:t xml:space="preserve">parties </w:t>
      </w:r>
      <w:r w:rsidR="001B3A19" w:rsidRPr="00C314E3">
        <w:rPr>
          <w:rFonts w:ascii="Arial" w:hAnsi="Arial" w:cs="Arial"/>
          <w:sz w:val="24"/>
          <w:szCs w:val="24"/>
        </w:rPr>
        <w:t xml:space="preserve">and the relief sought </w:t>
      </w:r>
      <w:r w:rsidR="006A2A3C" w:rsidRPr="00C314E3">
        <w:rPr>
          <w:rFonts w:ascii="Arial" w:hAnsi="Arial" w:cs="Arial"/>
          <w:sz w:val="24"/>
          <w:szCs w:val="24"/>
        </w:rPr>
        <w:t xml:space="preserve">in </w:t>
      </w:r>
      <w:r w:rsidR="001B3A19" w:rsidRPr="00C314E3">
        <w:rPr>
          <w:rFonts w:ascii="Arial" w:hAnsi="Arial" w:cs="Arial"/>
          <w:sz w:val="24"/>
          <w:szCs w:val="24"/>
        </w:rPr>
        <w:t xml:space="preserve">both </w:t>
      </w:r>
      <w:r w:rsidR="006A2A3C" w:rsidRPr="00C314E3">
        <w:rPr>
          <w:rFonts w:ascii="Arial" w:hAnsi="Arial" w:cs="Arial"/>
          <w:sz w:val="24"/>
          <w:szCs w:val="24"/>
        </w:rPr>
        <w:t>the earlier and the present application are the sam</w:t>
      </w:r>
      <w:r w:rsidR="001B3A19" w:rsidRPr="00C314E3">
        <w:rPr>
          <w:rFonts w:ascii="Arial" w:hAnsi="Arial" w:cs="Arial"/>
          <w:sz w:val="24"/>
          <w:szCs w:val="24"/>
        </w:rPr>
        <w:t>e.</w:t>
      </w:r>
      <w:r w:rsidR="006A2A3C" w:rsidRPr="00C314E3">
        <w:rPr>
          <w:rFonts w:ascii="Arial" w:hAnsi="Arial" w:cs="Arial"/>
          <w:sz w:val="24"/>
          <w:szCs w:val="24"/>
        </w:rPr>
        <w:t xml:space="preserve"> </w:t>
      </w:r>
      <w:r w:rsidR="00C423B9" w:rsidRPr="00C314E3">
        <w:rPr>
          <w:rFonts w:ascii="Arial" w:hAnsi="Arial" w:cs="Arial"/>
          <w:sz w:val="24"/>
          <w:szCs w:val="24"/>
        </w:rPr>
        <w:t xml:space="preserve">The first respondent argued that </w:t>
      </w:r>
      <w:r w:rsidR="0024757C" w:rsidRPr="00C314E3">
        <w:rPr>
          <w:rFonts w:ascii="Arial" w:hAnsi="Arial" w:cs="Arial"/>
          <w:sz w:val="24"/>
          <w:szCs w:val="24"/>
        </w:rPr>
        <w:t>Hartle J dismissed</w:t>
      </w:r>
      <w:r w:rsidR="00B319D0" w:rsidRPr="00C314E3">
        <w:rPr>
          <w:rFonts w:ascii="Arial" w:hAnsi="Arial" w:cs="Arial"/>
          <w:sz w:val="24"/>
          <w:szCs w:val="24"/>
        </w:rPr>
        <w:t xml:space="preserve"> </w:t>
      </w:r>
      <w:r w:rsidR="00C423B9" w:rsidRPr="00C314E3">
        <w:rPr>
          <w:rFonts w:ascii="Arial" w:hAnsi="Arial" w:cs="Arial"/>
          <w:sz w:val="24"/>
          <w:szCs w:val="24"/>
        </w:rPr>
        <w:t xml:space="preserve">the earlier application because </w:t>
      </w:r>
      <w:r w:rsidR="00B319D0" w:rsidRPr="00C314E3">
        <w:rPr>
          <w:rFonts w:ascii="Arial" w:hAnsi="Arial" w:cs="Arial"/>
          <w:sz w:val="24"/>
          <w:szCs w:val="24"/>
        </w:rPr>
        <w:t>she</w:t>
      </w:r>
      <w:r w:rsidR="00C423B9" w:rsidRPr="00C314E3">
        <w:rPr>
          <w:rFonts w:ascii="Arial" w:hAnsi="Arial" w:cs="Arial"/>
          <w:sz w:val="24"/>
          <w:szCs w:val="24"/>
        </w:rPr>
        <w:t xml:space="preserve"> found that </w:t>
      </w:r>
      <w:r w:rsidR="00243C8B" w:rsidRPr="00C314E3">
        <w:rPr>
          <w:rFonts w:ascii="Arial" w:hAnsi="Arial" w:cs="Arial"/>
          <w:sz w:val="24"/>
          <w:szCs w:val="24"/>
        </w:rPr>
        <w:t xml:space="preserve">the premise upon which the applicants had relied was not true and that they had withheld critical information. No mention had been made of the first respondent’s </w:t>
      </w:r>
      <w:r w:rsidR="000C1B80" w:rsidRPr="00C314E3">
        <w:rPr>
          <w:rFonts w:ascii="Arial" w:hAnsi="Arial" w:cs="Arial"/>
          <w:sz w:val="24"/>
          <w:szCs w:val="24"/>
        </w:rPr>
        <w:t xml:space="preserve">occupation of the property by reason of his claim to a lien </w:t>
      </w:r>
      <w:r w:rsidR="000C1B80" w:rsidRPr="00C314E3">
        <w:rPr>
          <w:rFonts w:ascii="Arial" w:hAnsi="Arial" w:cs="Arial"/>
          <w:sz w:val="24"/>
          <w:szCs w:val="24"/>
        </w:rPr>
        <w:lastRenderedPageBreak/>
        <w:t>or pledge that had allegedly arisen from Mr Kriel’s indebtedness. Consequently, he argued, the applicants had failed to prove that he was an unlawful occupier.</w:t>
      </w:r>
    </w:p>
    <w:p w14:paraId="54CF4CB0" w14:textId="77777777" w:rsidR="00B11B24" w:rsidRDefault="00B11B24" w:rsidP="00B11B24">
      <w:pPr>
        <w:pStyle w:val="ListParagraph"/>
        <w:spacing w:line="360" w:lineRule="auto"/>
        <w:ind w:left="0"/>
        <w:jc w:val="both"/>
        <w:rPr>
          <w:rFonts w:ascii="Arial" w:hAnsi="Arial" w:cs="Arial"/>
          <w:sz w:val="24"/>
          <w:szCs w:val="24"/>
        </w:rPr>
      </w:pPr>
    </w:p>
    <w:p w14:paraId="2FBDE7E9" w14:textId="64F38A4D" w:rsidR="00B11B24" w:rsidRPr="00C314E3" w:rsidRDefault="00C314E3" w:rsidP="00C314E3">
      <w:pPr>
        <w:spacing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0C1B80" w:rsidRPr="00C314E3">
        <w:rPr>
          <w:rFonts w:ascii="Arial" w:hAnsi="Arial" w:cs="Arial"/>
          <w:sz w:val="24"/>
          <w:szCs w:val="24"/>
        </w:rPr>
        <w:t>The first respondent r</w:t>
      </w:r>
      <w:r w:rsidR="006A4D16" w:rsidRPr="00C314E3">
        <w:rPr>
          <w:rFonts w:ascii="Arial" w:hAnsi="Arial" w:cs="Arial"/>
          <w:sz w:val="24"/>
          <w:szCs w:val="24"/>
        </w:rPr>
        <w:t>aised</w:t>
      </w:r>
      <w:r w:rsidR="000C1B80" w:rsidRPr="00C314E3">
        <w:rPr>
          <w:rFonts w:ascii="Arial" w:hAnsi="Arial" w:cs="Arial"/>
          <w:sz w:val="24"/>
          <w:szCs w:val="24"/>
        </w:rPr>
        <w:t xml:space="preserve">, furthermore, the </w:t>
      </w:r>
      <w:r w:rsidR="00C8482C" w:rsidRPr="00C314E3">
        <w:rPr>
          <w:rFonts w:ascii="Arial" w:hAnsi="Arial" w:cs="Arial"/>
          <w:sz w:val="24"/>
          <w:szCs w:val="24"/>
        </w:rPr>
        <w:t xml:space="preserve">application of the </w:t>
      </w:r>
      <w:r w:rsidR="00C8482C" w:rsidRPr="00C314E3">
        <w:rPr>
          <w:rFonts w:ascii="Arial" w:hAnsi="Arial" w:cs="Arial"/>
          <w:i/>
          <w:iCs/>
          <w:sz w:val="24"/>
          <w:szCs w:val="24"/>
        </w:rPr>
        <w:t>Henderson</w:t>
      </w:r>
      <w:r w:rsidR="00C8482C" w:rsidRPr="00C314E3">
        <w:rPr>
          <w:rFonts w:ascii="Arial" w:hAnsi="Arial" w:cs="Arial"/>
          <w:sz w:val="24"/>
          <w:szCs w:val="24"/>
        </w:rPr>
        <w:t xml:space="preserve"> principle</w:t>
      </w:r>
      <w:r w:rsidR="000F34B8" w:rsidRPr="00C314E3">
        <w:rPr>
          <w:rFonts w:ascii="Arial" w:hAnsi="Arial" w:cs="Arial"/>
          <w:sz w:val="24"/>
          <w:szCs w:val="24"/>
        </w:rPr>
        <w:t xml:space="preserve"> as </w:t>
      </w:r>
      <w:r w:rsidR="002B6E6D" w:rsidRPr="00C314E3">
        <w:rPr>
          <w:rFonts w:ascii="Arial" w:hAnsi="Arial" w:cs="Arial"/>
          <w:sz w:val="24"/>
          <w:szCs w:val="24"/>
        </w:rPr>
        <w:t xml:space="preserve">considered in </w:t>
      </w:r>
      <w:r w:rsidR="00D504AF" w:rsidRPr="00C314E3">
        <w:rPr>
          <w:rFonts w:ascii="Arial" w:hAnsi="Arial" w:cs="Arial"/>
          <w:i/>
          <w:iCs/>
          <w:sz w:val="24"/>
          <w:szCs w:val="24"/>
        </w:rPr>
        <w:t>Democratic Alliance v Brummer</w:t>
      </w:r>
      <w:r w:rsidR="00D504AF" w:rsidRPr="00C314E3">
        <w:rPr>
          <w:rFonts w:ascii="Arial" w:hAnsi="Arial" w:cs="Arial"/>
          <w:sz w:val="24"/>
          <w:szCs w:val="24"/>
        </w:rPr>
        <w:t>,</w:t>
      </w:r>
      <w:r w:rsidR="006A4A62">
        <w:rPr>
          <w:rStyle w:val="FootnoteReference"/>
          <w:rFonts w:ascii="Arial" w:hAnsi="Arial" w:cs="Arial"/>
          <w:sz w:val="24"/>
          <w:szCs w:val="24"/>
        </w:rPr>
        <w:footnoteReference w:id="10"/>
      </w:r>
      <w:r w:rsidR="00D504AF" w:rsidRPr="00C314E3">
        <w:rPr>
          <w:rFonts w:ascii="Arial" w:hAnsi="Arial" w:cs="Arial"/>
          <w:sz w:val="24"/>
          <w:szCs w:val="24"/>
        </w:rPr>
        <w:t xml:space="preserve"> </w:t>
      </w:r>
      <w:r w:rsidR="00464E73" w:rsidRPr="00C314E3">
        <w:rPr>
          <w:rFonts w:ascii="Arial" w:hAnsi="Arial" w:cs="Arial"/>
          <w:sz w:val="24"/>
          <w:szCs w:val="24"/>
        </w:rPr>
        <w:t xml:space="preserve">within the context of the </w:t>
      </w:r>
      <w:r w:rsidR="0099161C" w:rsidRPr="00C314E3">
        <w:rPr>
          <w:rFonts w:ascii="Arial" w:hAnsi="Arial" w:cs="Arial"/>
          <w:sz w:val="24"/>
          <w:szCs w:val="24"/>
        </w:rPr>
        <w:t>d</w:t>
      </w:r>
      <w:r w:rsidR="005A3DA5" w:rsidRPr="00C314E3">
        <w:rPr>
          <w:rFonts w:ascii="Arial" w:hAnsi="Arial" w:cs="Arial"/>
          <w:sz w:val="24"/>
          <w:szCs w:val="24"/>
        </w:rPr>
        <w:t>efence</w:t>
      </w:r>
      <w:r w:rsidR="0099161C" w:rsidRPr="00C314E3">
        <w:rPr>
          <w:rFonts w:ascii="Arial" w:hAnsi="Arial" w:cs="Arial"/>
          <w:sz w:val="24"/>
          <w:szCs w:val="24"/>
        </w:rPr>
        <w:t xml:space="preserve"> of issue estoppel</w:t>
      </w:r>
      <w:r w:rsidR="00120F76" w:rsidRPr="00C314E3">
        <w:rPr>
          <w:rFonts w:ascii="Arial" w:hAnsi="Arial" w:cs="Arial"/>
          <w:sz w:val="24"/>
          <w:szCs w:val="24"/>
        </w:rPr>
        <w:t xml:space="preserve">. </w:t>
      </w:r>
      <w:r w:rsidR="00EE6B41" w:rsidRPr="00C314E3">
        <w:rPr>
          <w:rFonts w:ascii="Arial" w:hAnsi="Arial" w:cs="Arial"/>
          <w:sz w:val="24"/>
          <w:szCs w:val="24"/>
        </w:rPr>
        <w:t>This requires elaboration.</w:t>
      </w:r>
    </w:p>
    <w:p w14:paraId="2376A5AC" w14:textId="77777777" w:rsidR="00B11B24" w:rsidRPr="00B11B24" w:rsidRDefault="00B11B24" w:rsidP="00B11B24">
      <w:pPr>
        <w:pStyle w:val="ListParagraph"/>
        <w:rPr>
          <w:rFonts w:ascii="Arial" w:hAnsi="Arial" w:cs="Arial"/>
          <w:sz w:val="24"/>
          <w:szCs w:val="24"/>
        </w:rPr>
      </w:pPr>
    </w:p>
    <w:p w14:paraId="19BE6AAA" w14:textId="4626E663" w:rsidR="00B11B24" w:rsidRPr="00C314E3" w:rsidRDefault="00C314E3" w:rsidP="00C314E3">
      <w:pPr>
        <w:spacing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F10494" w:rsidRPr="00C314E3">
        <w:rPr>
          <w:rFonts w:ascii="Arial" w:hAnsi="Arial" w:cs="Arial"/>
          <w:sz w:val="24"/>
          <w:szCs w:val="24"/>
        </w:rPr>
        <w:t xml:space="preserve">In </w:t>
      </w:r>
      <w:r w:rsidR="006A22E7" w:rsidRPr="00C314E3">
        <w:rPr>
          <w:rFonts w:ascii="Arial" w:hAnsi="Arial" w:cs="Arial"/>
          <w:i/>
          <w:iCs/>
          <w:sz w:val="24"/>
          <w:szCs w:val="24"/>
        </w:rPr>
        <w:t>Royal Sechaba Holdings (Pty) Ltd</w:t>
      </w:r>
      <w:r w:rsidR="007756DC" w:rsidRPr="00C314E3">
        <w:rPr>
          <w:rFonts w:ascii="Arial" w:hAnsi="Arial" w:cs="Arial"/>
          <w:i/>
          <w:iCs/>
          <w:sz w:val="24"/>
          <w:szCs w:val="24"/>
        </w:rPr>
        <w:t xml:space="preserve"> v Coote and another,</w:t>
      </w:r>
      <w:r w:rsidR="007756DC">
        <w:rPr>
          <w:rStyle w:val="FootnoteReference"/>
          <w:rFonts w:ascii="Arial" w:hAnsi="Arial" w:cs="Arial"/>
          <w:sz w:val="24"/>
          <w:szCs w:val="24"/>
        </w:rPr>
        <w:footnoteReference w:id="11"/>
      </w:r>
      <w:r w:rsidR="007756DC" w:rsidRPr="00C314E3">
        <w:rPr>
          <w:rFonts w:ascii="Arial" w:hAnsi="Arial" w:cs="Arial"/>
          <w:sz w:val="24"/>
          <w:szCs w:val="24"/>
        </w:rPr>
        <w:t xml:space="preserve"> the Supreme Court of Appeal</w:t>
      </w:r>
      <w:r w:rsidR="00E17494" w:rsidRPr="00C314E3">
        <w:rPr>
          <w:rFonts w:ascii="Arial" w:hAnsi="Arial" w:cs="Arial"/>
          <w:sz w:val="24"/>
          <w:szCs w:val="24"/>
        </w:rPr>
        <w:t xml:space="preserve"> discussed the principle of issue estoppel</w:t>
      </w:r>
      <w:r w:rsidR="00A743B1" w:rsidRPr="00C314E3">
        <w:rPr>
          <w:rFonts w:ascii="Arial" w:hAnsi="Arial" w:cs="Arial"/>
          <w:sz w:val="24"/>
          <w:szCs w:val="24"/>
        </w:rPr>
        <w:t xml:space="preserve">, remarking that </w:t>
      </w:r>
      <w:r w:rsidR="002F58FB" w:rsidRPr="00C314E3">
        <w:rPr>
          <w:rFonts w:ascii="Arial" w:hAnsi="Arial" w:cs="Arial"/>
          <w:sz w:val="24"/>
          <w:szCs w:val="24"/>
        </w:rPr>
        <w:t>it could be invoked successfully in</w:t>
      </w:r>
      <w:r w:rsidR="006D0056" w:rsidRPr="00C314E3">
        <w:rPr>
          <w:rFonts w:ascii="Arial" w:hAnsi="Arial" w:cs="Arial"/>
          <w:sz w:val="24"/>
          <w:szCs w:val="24"/>
        </w:rPr>
        <w:t xml:space="preserve"> situation</w:t>
      </w:r>
      <w:r w:rsidR="002F58FB" w:rsidRPr="00C314E3">
        <w:rPr>
          <w:rFonts w:ascii="Arial" w:hAnsi="Arial" w:cs="Arial"/>
          <w:sz w:val="24"/>
          <w:szCs w:val="24"/>
        </w:rPr>
        <w:t xml:space="preserve">s where the </w:t>
      </w:r>
      <w:r w:rsidR="00BC7847" w:rsidRPr="00C314E3">
        <w:rPr>
          <w:rFonts w:ascii="Arial" w:hAnsi="Arial" w:cs="Arial"/>
          <w:sz w:val="24"/>
          <w:szCs w:val="24"/>
        </w:rPr>
        <w:t xml:space="preserve">relief </w:t>
      </w:r>
      <w:r w:rsidR="00CD2187" w:rsidRPr="00C314E3">
        <w:rPr>
          <w:rFonts w:ascii="Arial" w:hAnsi="Arial" w:cs="Arial"/>
          <w:sz w:val="24"/>
          <w:szCs w:val="24"/>
        </w:rPr>
        <w:t xml:space="preserve">sought </w:t>
      </w:r>
      <w:r w:rsidR="00BC7847" w:rsidRPr="00C314E3">
        <w:rPr>
          <w:rFonts w:ascii="Arial" w:hAnsi="Arial" w:cs="Arial"/>
          <w:sz w:val="24"/>
          <w:szCs w:val="24"/>
        </w:rPr>
        <w:t xml:space="preserve">or cause of action </w:t>
      </w:r>
      <w:r w:rsidR="006D0056" w:rsidRPr="00C314E3">
        <w:rPr>
          <w:rFonts w:ascii="Arial" w:hAnsi="Arial" w:cs="Arial"/>
          <w:sz w:val="24"/>
          <w:szCs w:val="24"/>
        </w:rPr>
        <w:t>wa</w:t>
      </w:r>
      <w:r w:rsidR="00BC7847" w:rsidRPr="00C314E3">
        <w:rPr>
          <w:rFonts w:ascii="Arial" w:hAnsi="Arial" w:cs="Arial"/>
          <w:sz w:val="24"/>
          <w:szCs w:val="24"/>
        </w:rPr>
        <w:t>s not the same</w:t>
      </w:r>
      <w:r w:rsidR="00ED63B8" w:rsidRPr="00C314E3">
        <w:rPr>
          <w:rFonts w:ascii="Arial" w:hAnsi="Arial" w:cs="Arial"/>
          <w:sz w:val="24"/>
          <w:szCs w:val="24"/>
        </w:rPr>
        <w:t xml:space="preserve"> as </w:t>
      </w:r>
      <w:r w:rsidR="006D0056" w:rsidRPr="00C314E3">
        <w:rPr>
          <w:rFonts w:ascii="Arial" w:hAnsi="Arial" w:cs="Arial"/>
          <w:sz w:val="24"/>
          <w:szCs w:val="24"/>
        </w:rPr>
        <w:t>that in the case already decided</w:t>
      </w:r>
      <w:r w:rsidR="00ED63B8" w:rsidRPr="00C314E3">
        <w:rPr>
          <w:rFonts w:ascii="Arial" w:hAnsi="Arial" w:cs="Arial"/>
          <w:sz w:val="24"/>
          <w:szCs w:val="24"/>
        </w:rPr>
        <w:t>.</w:t>
      </w:r>
      <w:r w:rsidR="00884B3E" w:rsidRPr="00C314E3">
        <w:rPr>
          <w:rFonts w:ascii="Arial" w:hAnsi="Arial" w:cs="Arial"/>
          <w:sz w:val="24"/>
          <w:szCs w:val="24"/>
        </w:rPr>
        <w:t xml:space="preserve"> This was because the common law requirements </w:t>
      </w:r>
      <w:r w:rsidR="006027CD" w:rsidRPr="00C314E3">
        <w:rPr>
          <w:rFonts w:ascii="Arial" w:hAnsi="Arial" w:cs="Arial"/>
          <w:sz w:val="24"/>
          <w:szCs w:val="24"/>
        </w:rPr>
        <w:t xml:space="preserve">for </w:t>
      </w:r>
      <w:r w:rsidR="006027CD" w:rsidRPr="00C314E3">
        <w:rPr>
          <w:rFonts w:ascii="Arial" w:hAnsi="Arial" w:cs="Arial"/>
          <w:i/>
          <w:iCs/>
          <w:sz w:val="24"/>
          <w:szCs w:val="24"/>
        </w:rPr>
        <w:t>res iudicata</w:t>
      </w:r>
      <w:r w:rsidR="006027CD" w:rsidRPr="00C314E3">
        <w:rPr>
          <w:rFonts w:ascii="Arial" w:hAnsi="Arial" w:cs="Arial"/>
          <w:sz w:val="24"/>
          <w:szCs w:val="24"/>
        </w:rPr>
        <w:t xml:space="preserve"> had been relaxed by the courts in appropriate circumstances.</w:t>
      </w:r>
      <w:r w:rsidR="006A7601">
        <w:rPr>
          <w:rStyle w:val="FootnoteReference"/>
          <w:rFonts w:ascii="Arial" w:hAnsi="Arial" w:cs="Arial"/>
          <w:sz w:val="24"/>
          <w:szCs w:val="24"/>
        </w:rPr>
        <w:footnoteReference w:id="12"/>
      </w:r>
      <w:r w:rsidR="002E2C4D" w:rsidRPr="00C314E3">
        <w:rPr>
          <w:rFonts w:ascii="Arial" w:hAnsi="Arial" w:cs="Arial"/>
          <w:sz w:val="24"/>
          <w:szCs w:val="24"/>
        </w:rPr>
        <w:t xml:space="preserve"> </w:t>
      </w:r>
      <w:r w:rsidR="00C16A2A" w:rsidRPr="00C314E3">
        <w:rPr>
          <w:rFonts w:ascii="Arial" w:hAnsi="Arial" w:cs="Arial"/>
          <w:sz w:val="24"/>
          <w:szCs w:val="24"/>
        </w:rPr>
        <w:t>Provided that the parties were the same and the issue to be decided was the same</w:t>
      </w:r>
      <w:r w:rsidR="00136AF7" w:rsidRPr="00C314E3">
        <w:rPr>
          <w:rFonts w:ascii="Arial" w:hAnsi="Arial" w:cs="Arial"/>
          <w:sz w:val="24"/>
          <w:szCs w:val="24"/>
        </w:rPr>
        <w:t xml:space="preserve">, </w:t>
      </w:r>
      <w:r w:rsidR="00E5372C" w:rsidRPr="00C314E3">
        <w:rPr>
          <w:rFonts w:ascii="Arial" w:hAnsi="Arial" w:cs="Arial"/>
          <w:sz w:val="24"/>
          <w:szCs w:val="24"/>
        </w:rPr>
        <w:t xml:space="preserve">the defence of </w:t>
      </w:r>
      <w:r w:rsidR="00E5372C" w:rsidRPr="00C314E3">
        <w:rPr>
          <w:rFonts w:ascii="Arial" w:hAnsi="Arial" w:cs="Arial"/>
          <w:i/>
          <w:iCs/>
          <w:sz w:val="24"/>
          <w:szCs w:val="24"/>
        </w:rPr>
        <w:t>res iudicata</w:t>
      </w:r>
      <w:r w:rsidR="00E5372C" w:rsidRPr="00C314E3">
        <w:rPr>
          <w:rFonts w:ascii="Arial" w:hAnsi="Arial" w:cs="Arial"/>
          <w:sz w:val="24"/>
          <w:szCs w:val="24"/>
        </w:rPr>
        <w:t xml:space="preserve"> was still available</w:t>
      </w:r>
      <w:r w:rsidR="000A7456" w:rsidRPr="00C314E3">
        <w:rPr>
          <w:rFonts w:ascii="Arial" w:hAnsi="Arial" w:cs="Arial"/>
          <w:sz w:val="24"/>
          <w:szCs w:val="24"/>
        </w:rPr>
        <w:t>. It has</w:t>
      </w:r>
      <w:r w:rsidR="006A2A5E" w:rsidRPr="00C314E3">
        <w:rPr>
          <w:rFonts w:ascii="Arial" w:hAnsi="Arial" w:cs="Arial"/>
          <w:sz w:val="24"/>
          <w:szCs w:val="24"/>
        </w:rPr>
        <w:t xml:space="preserve"> </w:t>
      </w:r>
      <w:r w:rsidR="000A7456" w:rsidRPr="00C314E3">
        <w:rPr>
          <w:rFonts w:ascii="Arial" w:hAnsi="Arial" w:cs="Arial"/>
          <w:sz w:val="24"/>
          <w:szCs w:val="24"/>
        </w:rPr>
        <w:t>become c</w:t>
      </w:r>
      <w:r w:rsidR="00FC0DD5" w:rsidRPr="00C314E3">
        <w:rPr>
          <w:rFonts w:ascii="Arial" w:hAnsi="Arial" w:cs="Arial"/>
          <w:sz w:val="24"/>
          <w:szCs w:val="24"/>
        </w:rPr>
        <w:t>ustomary</w:t>
      </w:r>
      <w:r w:rsidR="006A2A5E" w:rsidRPr="00C314E3">
        <w:rPr>
          <w:rFonts w:ascii="Arial" w:hAnsi="Arial" w:cs="Arial"/>
          <w:sz w:val="24"/>
          <w:szCs w:val="24"/>
        </w:rPr>
        <w:t xml:space="preserve">, however, to </w:t>
      </w:r>
      <w:r w:rsidR="00BA226E" w:rsidRPr="00C314E3">
        <w:rPr>
          <w:rFonts w:ascii="Arial" w:hAnsi="Arial" w:cs="Arial"/>
          <w:sz w:val="24"/>
          <w:szCs w:val="24"/>
        </w:rPr>
        <w:t xml:space="preserve">refer to the </w:t>
      </w:r>
      <w:r w:rsidR="00EB5810" w:rsidRPr="00C314E3">
        <w:rPr>
          <w:rFonts w:ascii="Arial" w:hAnsi="Arial" w:cs="Arial"/>
          <w:sz w:val="24"/>
          <w:szCs w:val="24"/>
        </w:rPr>
        <w:t>defence</w:t>
      </w:r>
      <w:r w:rsidR="004E115C" w:rsidRPr="00C314E3">
        <w:rPr>
          <w:rFonts w:ascii="Arial" w:hAnsi="Arial" w:cs="Arial"/>
          <w:sz w:val="24"/>
          <w:szCs w:val="24"/>
        </w:rPr>
        <w:t>, when used in such situations,</w:t>
      </w:r>
      <w:r w:rsidR="00EB5810" w:rsidRPr="00C314E3">
        <w:rPr>
          <w:rFonts w:ascii="Arial" w:hAnsi="Arial" w:cs="Arial"/>
          <w:sz w:val="24"/>
          <w:szCs w:val="24"/>
        </w:rPr>
        <w:t xml:space="preserve"> as </w:t>
      </w:r>
      <w:r w:rsidR="006A2A5E" w:rsidRPr="00C314E3">
        <w:rPr>
          <w:rFonts w:ascii="Arial" w:hAnsi="Arial" w:cs="Arial"/>
          <w:sz w:val="24"/>
          <w:szCs w:val="24"/>
        </w:rPr>
        <w:t>‘issue estoppel’</w:t>
      </w:r>
      <w:r w:rsidR="00EB5810" w:rsidRPr="00C314E3">
        <w:rPr>
          <w:rFonts w:ascii="Arial" w:hAnsi="Arial" w:cs="Arial"/>
          <w:sz w:val="24"/>
          <w:szCs w:val="24"/>
        </w:rPr>
        <w:t xml:space="preserve">, </w:t>
      </w:r>
      <w:r w:rsidR="00D61113" w:rsidRPr="00C314E3">
        <w:rPr>
          <w:rFonts w:ascii="Arial" w:hAnsi="Arial" w:cs="Arial"/>
          <w:sz w:val="24"/>
          <w:szCs w:val="24"/>
        </w:rPr>
        <w:t>apply</w:t>
      </w:r>
      <w:r w:rsidR="00EB5810" w:rsidRPr="00C314E3">
        <w:rPr>
          <w:rFonts w:ascii="Arial" w:hAnsi="Arial" w:cs="Arial"/>
          <w:sz w:val="24"/>
          <w:szCs w:val="24"/>
        </w:rPr>
        <w:t xml:space="preserve">ing the corresponding </w:t>
      </w:r>
      <w:r w:rsidR="009D6A87" w:rsidRPr="00C314E3">
        <w:rPr>
          <w:rFonts w:ascii="Arial" w:hAnsi="Arial" w:cs="Arial"/>
          <w:sz w:val="24"/>
          <w:szCs w:val="24"/>
        </w:rPr>
        <w:t>terminology</w:t>
      </w:r>
      <w:r w:rsidR="00D61113" w:rsidRPr="00C314E3">
        <w:rPr>
          <w:rFonts w:ascii="Arial" w:hAnsi="Arial" w:cs="Arial"/>
          <w:sz w:val="24"/>
          <w:szCs w:val="24"/>
        </w:rPr>
        <w:t xml:space="preserve"> that is used in English law</w:t>
      </w:r>
      <w:r w:rsidR="009D6A87" w:rsidRPr="00C314E3">
        <w:rPr>
          <w:rFonts w:ascii="Arial" w:hAnsi="Arial" w:cs="Arial"/>
          <w:sz w:val="24"/>
          <w:szCs w:val="24"/>
        </w:rPr>
        <w:t>.</w:t>
      </w:r>
      <w:r w:rsidR="00D61113">
        <w:rPr>
          <w:rStyle w:val="FootnoteReference"/>
          <w:rFonts w:ascii="Arial" w:hAnsi="Arial" w:cs="Arial"/>
          <w:sz w:val="24"/>
          <w:szCs w:val="24"/>
        </w:rPr>
        <w:footnoteReference w:id="13"/>
      </w:r>
    </w:p>
    <w:p w14:paraId="390EB18F" w14:textId="77777777" w:rsidR="00B11B24" w:rsidRPr="00B11B24" w:rsidRDefault="00B11B24" w:rsidP="00B11B24">
      <w:pPr>
        <w:pStyle w:val="ListParagraph"/>
        <w:rPr>
          <w:rFonts w:ascii="Arial" w:hAnsi="Arial" w:cs="Arial"/>
          <w:sz w:val="24"/>
          <w:szCs w:val="24"/>
        </w:rPr>
      </w:pPr>
    </w:p>
    <w:p w14:paraId="03BE7E77" w14:textId="7FE4B9BD" w:rsidR="000C1B80" w:rsidRPr="00C314E3" w:rsidRDefault="00C314E3" w:rsidP="00C314E3">
      <w:pPr>
        <w:spacing w:line="360" w:lineRule="auto"/>
        <w:jc w:val="both"/>
        <w:rPr>
          <w:rFonts w:ascii="Arial" w:hAnsi="Arial" w:cs="Arial"/>
          <w:sz w:val="24"/>
          <w:szCs w:val="24"/>
        </w:rPr>
      </w:pPr>
      <w:r w:rsidRPr="00B11B24">
        <w:rPr>
          <w:rFonts w:ascii="Arial" w:hAnsi="Arial" w:cs="Arial"/>
          <w:sz w:val="24"/>
          <w:szCs w:val="24"/>
        </w:rPr>
        <w:t>[36]</w:t>
      </w:r>
      <w:r w:rsidRPr="00B11B24">
        <w:rPr>
          <w:rFonts w:ascii="Arial" w:hAnsi="Arial" w:cs="Arial"/>
          <w:sz w:val="24"/>
          <w:szCs w:val="24"/>
        </w:rPr>
        <w:tab/>
      </w:r>
      <w:r w:rsidR="000E6E9C" w:rsidRPr="00C314E3">
        <w:rPr>
          <w:rFonts w:ascii="Arial" w:hAnsi="Arial" w:cs="Arial"/>
          <w:sz w:val="24"/>
          <w:szCs w:val="24"/>
        </w:rPr>
        <w:t xml:space="preserve">Returning to </w:t>
      </w:r>
      <w:r w:rsidR="000E6E9C" w:rsidRPr="00C314E3">
        <w:rPr>
          <w:rFonts w:ascii="Arial" w:hAnsi="Arial" w:cs="Arial"/>
          <w:i/>
          <w:iCs/>
          <w:sz w:val="24"/>
          <w:szCs w:val="24"/>
        </w:rPr>
        <w:t>Brummer</w:t>
      </w:r>
      <w:r w:rsidR="000E6E9C" w:rsidRPr="00C314E3">
        <w:rPr>
          <w:rFonts w:ascii="Arial" w:hAnsi="Arial" w:cs="Arial"/>
          <w:sz w:val="24"/>
          <w:szCs w:val="24"/>
        </w:rPr>
        <w:t xml:space="preserve">, </w:t>
      </w:r>
      <w:r w:rsidR="00F82E47" w:rsidRPr="00C314E3">
        <w:rPr>
          <w:rFonts w:ascii="Arial" w:hAnsi="Arial" w:cs="Arial"/>
          <w:sz w:val="24"/>
          <w:szCs w:val="24"/>
        </w:rPr>
        <w:t xml:space="preserve">mentioned by the first respondent, a </w:t>
      </w:r>
      <w:r w:rsidR="005A3DA5" w:rsidRPr="00C314E3">
        <w:rPr>
          <w:rFonts w:ascii="Arial" w:hAnsi="Arial" w:cs="Arial"/>
          <w:sz w:val="24"/>
          <w:szCs w:val="24"/>
        </w:rPr>
        <w:t xml:space="preserve">full bench explained that issue estoppel had ‘taken root </w:t>
      </w:r>
      <w:r w:rsidR="00DD1C93" w:rsidRPr="00C314E3">
        <w:rPr>
          <w:rFonts w:ascii="Arial" w:hAnsi="Arial" w:cs="Arial"/>
          <w:sz w:val="24"/>
          <w:szCs w:val="24"/>
        </w:rPr>
        <w:t xml:space="preserve">in our law as a subsidiary of the principle of </w:t>
      </w:r>
      <w:r w:rsidR="00DD1C93" w:rsidRPr="00C314E3">
        <w:rPr>
          <w:rFonts w:ascii="Arial" w:hAnsi="Arial" w:cs="Arial"/>
          <w:i/>
          <w:iCs/>
          <w:sz w:val="24"/>
          <w:szCs w:val="24"/>
        </w:rPr>
        <w:t>res iudicata</w:t>
      </w:r>
      <w:r w:rsidR="00DD1C93" w:rsidRPr="00C314E3">
        <w:rPr>
          <w:rFonts w:ascii="Arial" w:hAnsi="Arial" w:cs="Arial"/>
          <w:sz w:val="24"/>
          <w:szCs w:val="24"/>
        </w:rPr>
        <w:t>’.</w:t>
      </w:r>
      <w:r w:rsidR="00DD1C93">
        <w:rPr>
          <w:rStyle w:val="FootnoteReference"/>
          <w:rFonts w:ascii="Arial" w:hAnsi="Arial" w:cs="Arial"/>
          <w:sz w:val="24"/>
          <w:szCs w:val="24"/>
        </w:rPr>
        <w:footnoteReference w:id="14"/>
      </w:r>
      <w:r w:rsidR="00F64D14" w:rsidRPr="00C314E3">
        <w:rPr>
          <w:rFonts w:ascii="Arial" w:hAnsi="Arial" w:cs="Arial"/>
          <w:sz w:val="24"/>
          <w:szCs w:val="24"/>
        </w:rPr>
        <w:t xml:space="preserve"> Wille J </w:t>
      </w:r>
      <w:r w:rsidR="00125511" w:rsidRPr="00C314E3">
        <w:rPr>
          <w:rFonts w:ascii="Arial" w:hAnsi="Arial" w:cs="Arial"/>
          <w:sz w:val="24"/>
          <w:szCs w:val="24"/>
        </w:rPr>
        <w:t>observed</w:t>
      </w:r>
      <w:r w:rsidR="00FB690A" w:rsidRPr="00C314E3">
        <w:rPr>
          <w:rFonts w:ascii="Arial" w:hAnsi="Arial" w:cs="Arial"/>
          <w:sz w:val="24"/>
          <w:szCs w:val="24"/>
        </w:rPr>
        <w:t xml:space="preserve"> </w:t>
      </w:r>
      <w:r w:rsidR="00F64D14" w:rsidRPr="00C314E3">
        <w:rPr>
          <w:rFonts w:ascii="Arial" w:hAnsi="Arial" w:cs="Arial"/>
          <w:sz w:val="24"/>
          <w:szCs w:val="24"/>
        </w:rPr>
        <w:t>as follows:</w:t>
      </w:r>
    </w:p>
    <w:p w14:paraId="3E064198" w14:textId="77777777" w:rsidR="00DE30F1" w:rsidRPr="00994B44" w:rsidRDefault="00F64D14" w:rsidP="00B11B24">
      <w:pPr>
        <w:spacing w:line="360" w:lineRule="auto"/>
        <w:ind w:left="720"/>
        <w:jc w:val="both"/>
        <w:rPr>
          <w:rFonts w:ascii="Arial" w:hAnsi="Arial" w:cs="Arial"/>
          <w:sz w:val="20"/>
          <w:szCs w:val="20"/>
        </w:rPr>
      </w:pPr>
      <w:r w:rsidRPr="00994B44">
        <w:rPr>
          <w:rFonts w:ascii="Arial" w:hAnsi="Arial" w:cs="Arial"/>
          <w:sz w:val="20"/>
          <w:szCs w:val="20"/>
        </w:rPr>
        <w:t>‘</w:t>
      </w:r>
      <w:r w:rsidR="00FB690A" w:rsidRPr="00994B44">
        <w:rPr>
          <w:rFonts w:ascii="Arial" w:hAnsi="Arial" w:cs="Arial"/>
          <w:sz w:val="20"/>
          <w:szCs w:val="20"/>
        </w:rPr>
        <w:t>…</w:t>
      </w:r>
      <w:r w:rsidR="00822CFF" w:rsidRPr="00994B44">
        <w:rPr>
          <w:rFonts w:ascii="Arial" w:hAnsi="Arial" w:cs="Arial"/>
          <w:sz w:val="20"/>
          <w:szCs w:val="20"/>
        </w:rPr>
        <w:t>Issue estoppel applies where an</w:t>
      </w:r>
      <w:r w:rsidR="0036789C" w:rsidRPr="00994B44">
        <w:rPr>
          <w:rFonts w:ascii="Arial" w:hAnsi="Arial" w:cs="Arial"/>
          <w:sz w:val="20"/>
          <w:szCs w:val="20"/>
        </w:rPr>
        <w:t xml:space="preserve"> </w:t>
      </w:r>
      <w:r w:rsidR="00822CFF" w:rsidRPr="00994B44">
        <w:rPr>
          <w:rFonts w:ascii="Arial" w:hAnsi="Arial" w:cs="Arial"/>
          <w:sz w:val="20"/>
          <w:szCs w:val="20"/>
        </w:rPr>
        <w:t>issue of fact or law</w:t>
      </w:r>
      <w:r w:rsidR="003504FC" w:rsidRPr="00994B44">
        <w:rPr>
          <w:rFonts w:ascii="Arial" w:hAnsi="Arial" w:cs="Arial"/>
          <w:sz w:val="20"/>
          <w:szCs w:val="20"/>
        </w:rPr>
        <w:t xml:space="preserve"> was an essential element of a prior final judgment. The</w:t>
      </w:r>
      <w:r w:rsidR="0036789C" w:rsidRPr="00994B44">
        <w:rPr>
          <w:rFonts w:ascii="Arial" w:hAnsi="Arial" w:cs="Arial"/>
          <w:sz w:val="20"/>
          <w:szCs w:val="20"/>
        </w:rPr>
        <w:t xml:space="preserve"> </w:t>
      </w:r>
      <w:r w:rsidR="00C33E53" w:rsidRPr="00994B44">
        <w:rPr>
          <w:rFonts w:ascii="Arial" w:hAnsi="Arial" w:cs="Arial"/>
          <w:sz w:val="20"/>
          <w:szCs w:val="20"/>
        </w:rPr>
        <w:t>issue</w:t>
      </w:r>
      <w:r w:rsidR="00E5775B" w:rsidRPr="00994B44">
        <w:rPr>
          <w:rFonts w:ascii="Arial" w:hAnsi="Arial" w:cs="Arial"/>
          <w:sz w:val="20"/>
          <w:szCs w:val="20"/>
        </w:rPr>
        <w:t xml:space="preserve"> cannot be revisited in subsequent proceedings</w:t>
      </w:r>
      <w:r w:rsidR="008C38A5" w:rsidRPr="00994B44">
        <w:rPr>
          <w:rFonts w:ascii="Arial" w:hAnsi="Arial" w:cs="Arial"/>
          <w:sz w:val="20"/>
          <w:szCs w:val="20"/>
        </w:rPr>
        <w:t xml:space="preserve"> before another court even if a different cause of action is relied upon</w:t>
      </w:r>
      <w:r w:rsidR="00DE2C71" w:rsidRPr="00994B44">
        <w:rPr>
          <w:rFonts w:ascii="Arial" w:hAnsi="Arial" w:cs="Arial"/>
          <w:sz w:val="20"/>
          <w:szCs w:val="20"/>
        </w:rPr>
        <w:t xml:space="preserve"> or different relief is claimed.</w:t>
      </w:r>
      <w:r w:rsidR="00D12E7B" w:rsidRPr="00994B44">
        <w:rPr>
          <w:rStyle w:val="FootnoteReference"/>
          <w:rFonts w:ascii="Arial" w:hAnsi="Arial" w:cs="Arial"/>
          <w:sz w:val="20"/>
          <w:szCs w:val="20"/>
        </w:rPr>
        <w:footnoteReference w:id="15"/>
      </w:r>
      <w:r w:rsidR="00DE2C71" w:rsidRPr="00994B44">
        <w:rPr>
          <w:rFonts w:ascii="Arial" w:hAnsi="Arial" w:cs="Arial"/>
          <w:sz w:val="20"/>
          <w:szCs w:val="20"/>
        </w:rPr>
        <w:t xml:space="preserve"> Our courts have recognised that</w:t>
      </w:r>
      <w:r w:rsidR="004E4C47" w:rsidRPr="00994B44">
        <w:rPr>
          <w:rFonts w:ascii="Arial" w:hAnsi="Arial" w:cs="Arial"/>
          <w:sz w:val="20"/>
          <w:szCs w:val="20"/>
        </w:rPr>
        <w:t xml:space="preserve"> a strict application of issue estoppel could result </w:t>
      </w:r>
      <w:r w:rsidR="009E1CF6" w:rsidRPr="00994B44">
        <w:rPr>
          <w:rFonts w:ascii="Arial" w:hAnsi="Arial" w:cs="Arial"/>
          <w:sz w:val="20"/>
          <w:szCs w:val="20"/>
        </w:rPr>
        <w:t xml:space="preserve">in unfairness in some unusual circumstances, </w:t>
      </w:r>
      <w:r w:rsidR="009E1CF6" w:rsidRPr="00994B44">
        <w:rPr>
          <w:rFonts w:ascii="Arial" w:hAnsi="Arial" w:cs="Arial"/>
          <w:sz w:val="20"/>
          <w:szCs w:val="20"/>
        </w:rPr>
        <w:lastRenderedPageBreak/>
        <w:t>but this is typically applied</w:t>
      </w:r>
      <w:r w:rsidR="00951F70" w:rsidRPr="00994B44">
        <w:rPr>
          <w:rFonts w:ascii="Arial" w:hAnsi="Arial" w:cs="Arial"/>
          <w:sz w:val="20"/>
          <w:szCs w:val="20"/>
        </w:rPr>
        <w:t xml:space="preserve"> in cases where the nature of the issue is in dispute or at least open to some doubt</w:t>
      </w:r>
      <w:r w:rsidR="00DE30F1" w:rsidRPr="00994B44">
        <w:rPr>
          <w:rFonts w:ascii="Arial" w:hAnsi="Arial" w:cs="Arial"/>
          <w:sz w:val="20"/>
          <w:szCs w:val="20"/>
        </w:rPr>
        <w:t>…</w:t>
      </w:r>
    </w:p>
    <w:p w14:paraId="110F3E10" w14:textId="77777777" w:rsidR="00DE30F1" w:rsidRPr="00994B44" w:rsidRDefault="00DE30F1" w:rsidP="00B11B24">
      <w:pPr>
        <w:spacing w:line="360" w:lineRule="auto"/>
        <w:ind w:left="720"/>
        <w:jc w:val="both"/>
        <w:rPr>
          <w:rFonts w:ascii="Arial" w:hAnsi="Arial" w:cs="Arial"/>
          <w:sz w:val="20"/>
          <w:szCs w:val="20"/>
        </w:rPr>
      </w:pPr>
      <w:r w:rsidRPr="00994B44">
        <w:rPr>
          <w:rFonts w:ascii="Arial" w:hAnsi="Arial" w:cs="Arial"/>
          <w:sz w:val="20"/>
          <w:szCs w:val="20"/>
        </w:rPr>
        <w:t>…Issue estoppel applies when</w:t>
      </w:r>
      <w:r w:rsidR="00EB2863" w:rsidRPr="00994B44">
        <w:rPr>
          <w:rFonts w:ascii="Arial" w:hAnsi="Arial" w:cs="Arial"/>
          <w:sz w:val="20"/>
          <w:szCs w:val="20"/>
        </w:rPr>
        <w:t xml:space="preserve"> different relief based on different causes of action</w:t>
      </w:r>
      <w:r w:rsidR="00026A84" w:rsidRPr="00994B44">
        <w:rPr>
          <w:rFonts w:ascii="Arial" w:hAnsi="Arial" w:cs="Arial"/>
          <w:sz w:val="20"/>
          <w:szCs w:val="20"/>
        </w:rPr>
        <w:t xml:space="preserve"> is sought in the subsequent case, if it involves the determination of the </w:t>
      </w:r>
      <w:r w:rsidR="008C17BB" w:rsidRPr="00994B44">
        <w:rPr>
          <w:rFonts w:ascii="Arial" w:hAnsi="Arial" w:cs="Arial"/>
          <w:sz w:val="20"/>
          <w:szCs w:val="20"/>
        </w:rPr>
        <w:t>same issue of fact or law.</w:t>
      </w:r>
      <w:r w:rsidR="00144AC2" w:rsidRPr="00994B44">
        <w:rPr>
          <w:rStyle w:val="FootnoteReference"/>
          <w:rFonts w:ascii="Arial" w:hAnsi="Arial" w:cs="Arial"/>
          <w:sz w:val="20"/>
          <w:szCs w:val="20"/>
        </w:rPr>
        <w:footnoteReference w:id="16"/>
      </w:r>
      <w:r w:rsidR="00D52BC6" w:rsidRPr="00994B44">
        <w:rPr>
          <w:rFonts w:ascii="Arial" w:hAnsi="Arial" w:cs="Arial"/>
          <w:sz w:val="20"/>
          <w:szCs w:val="20"/>
        </w:rPr>
        <w:t xml:space="preserve"> I take the following from </w:t>
      </w:r>
      <w:r w:rsidR="00D52BC6" w:rsidRPr="00994B44">
        <w:rPr>
          <w:rFonts w:ascii="Arial" w:hAnsi="Arial" w:cs="Arial"/>
          <w:i/>
          <w:iCs/>
          <w:sz w:val="20"/>
          <w:szCs w:val="20"/>
        </w:rPr>
        <w:t>Ekurhuleni</w:t>
      </w:r>
      <w:r w:rsidR="00296BB9" w:rsidRPr="00994B44">
        <w:rPr>
          <w:rFonts w:ascii="Arial" w:hAnsi="Arial" w:cs="Arial"/>
          <w:sz w:val="20"/>
          <w:szCs w:val="20"/>
        </w:rPr>
        <w:t>, where it was held that-</w:t>
      </w:r>
    </w:p>
    <w:p w14:paraId="10CC9720" w14:textId="77777777" w:rsidR="00296BB9" w:rsidRPr="00994B44" w:rsidRDefault="00296BB9" w:rsidP="00B11B24">
      <w:pPr>
        <w:spacing w:line="360" w:lineRule="auto"/>
        <w:ind w:left="1440"/>
        <w:jc w:val="both"/>
        <w:rPr>
          <w:rFonts w:ascii="Arial" w:hAnsi="Arial" w:cs="Arial"/>
          <w:sz w:val="20"/>
          <w:szCs w:val="20"/>
        </w:rPr>
      </w:pPr>
      <w:r w:rsidRPr="00994B44">
        <w:rPr>
          <w:rFonts w:ascii="Arial" w:hAnsi="Arial" w:cs="Arial"/>
          <w:sz w:val="20"/>
          <w:szCs w:val="20"/>
        </w:rPr>
        <w:t xml:space="preserve">“the submission that </w:t>
      </w:r>
      <w:r w:rsidRPr="00D36E3F">
        <w:rPr>
          <w:rFonts w:ascii="Arial" w:hAnsi="Arial" w:cs="Arial"/>
          <w:i/>
          <w:iCs/>
          <w:sz w:val="20"/>
          <w:szCs w:val="20"/>
        </w:rPr>
        <w:t>res iudicata</w:t>
      </w:r>
      <w:r w:rsidRPr="00994B44">
        <w:rPr>
          <w:rFonts w:ascii="Arial" w:hAnsi="Arial" w:cs="Arial"/>
          <w:sz w:val="20"/>
          <w:szCs w:val="20"/>
        </w:rPr>
        <w:t xml:space="preserve"> does not apply</w:t>
      </w:r>
      <w:r w:rsidR="0094731C" w:rsidRPr="00994B44">
        <w:rPr>
          <w:rFonts w:ascii="Arial" w:hAnsi="Arial" w:cs="Arial"/>
          <w:sz w:val="20"/>
          <w:szCs w:val="20"/>
        </w:rPr>
        <w:t xml:space="preserve"> because of the lack of sameness in the cause of action is misconceived. </w:t>
      </w:r>
      <w:r w:rsidR="00891D3C" w:rsidRPr="00994B44">
        <w:rPr>
          <w:rFonts w:ascii="Arial" w:hAnsi="Arial" w:cs="Arial"/>
          <w:sz w:val="20"/>
          <w:szCs w:val="20"/>
        </w:rPr>
        <w:t xml:space="preserve">Sameness is determined by the identity of the </w:t>
      </w:r>
      <w:r w:rsidR="00092D3B" w:rsidRPr="00994B44">
        <w:rPr>
          <w:rFonts w:ascii="Arial" w:hAnsi="Arial" w:cs="Arial"/>
          <w:sz w:val="20"/>
          <w:szCs w:val="20"/>
        </w:rPr>
        <w:t>question previously set in motion.”</w:t>
      </w:r>
      <w:r w:rsidR="00092D3B" w:rsidRPr="00994B44">
        <w:rPr>
          <w:rStyle w:val="FootnoteReference"/>
          <w:rFonts w:ascii="Arial" w:hAnsi="Arial" w:cs="Arial"/>
          <w:sz w:val="20"/>
          <w:szCs w:val="20"/>
        </w:rPr>
        <w:footnoteReference w:id="17"/>
      </w:r>
    </w:p>
    <w:p w14:paraId="13CE59A7" w14:textId="77777777" w:rsidR="0099312F" w:rsidRPr="00994B44" w:rsidRDefault="0099312F" w:rsidP="00B11B24">
      <w:pPr>
        <w:spacing w:line="360" w:lineRule="auto"/>
        <w:ind w:left="720"/>
        <w:jc w:val="both"/>
        <w:rPr>
          <w:rFonts w:ascii="Arial" w:hAnsi="Arial" w:cs="Arial"/>
          <w:sz w:val="20"/>
          <w:szCs w:val="20"/>
        </w:rPr>
      </w:pPr>
      <w:r w:rsidRPr="00994B44">
        <w:rPr>
          <w:rFonts w:ascii="Arial" w:hAnsi="Arial" w:cs="Arial"/>
          <w:sz w:val="20"/>
          <w:szCs w:val="20"/>
        </w:rPr>
        <w:t xml:space="preserve">…Issue estoppel </w:t>
      </w:r>
      <w:r w:rsidR="00C03DA9" w:rsidRPr="00994B44">
        <w:rPr>
          <w:rFonts w:ascii="Arial" w:hAnsi="Arial" w:cs="Arial"/>
          <w:sz w:val="20"/>
          <w:szCs w:val="20"/>
        </w:rPr>
        <w:t>developed precisely because requiring sameness between the two causes of action</w:t>
      </w:r>
      <w:r w:rsidR="004047B3" w:rsidRPr="00994B44">
        <w:rPr>
          <w:rFonts w:ascii="Arial" w:hAnsi="Arial" w:cs="Arial"/>
          <w:sz w:val="20"/>
          <w:szCs w:val="20"/>
        </w:rPr>
        <w:t xml:space="preserve"> allows parties to relitigate the </w:t>
      </w:r>
      <w:r w:rsidR="00531067" w:rsidRPr="00994B44">
        <w:rPr>
          <w:rFonts w:ascii="Arial" w:hAnsi="Arial" w:cs="Arial"/>
          <w:sz w:val="20"/>
          <w:szCs w:val="20"/>
        </w:rPr>
        <w:t>same issue by garbing these up in different causes of action.</w:t>
      </w:r>
      <w:r w:rsidR="0003075F" w:rsidRPr="00994B44">
        <w:rPr>
          <w:rFonts w:ascii="Arial" w:hAnsi="Arial" w:cs="Arial"/>
          <w:sz w:val="20"/>
          <w:szCs w:val="20"/>
        </w:rPr>
        <w:t xml:space="preserve"> The authority not to apply issue estoppel for reasons of justice and equity</w:t>
      </w:r>
      <w:r w:rsidR="005375F8" w:rsidRPr="00994B44">
        <w:rPr>
          <w:rFonts w:ascii="Arial" w:hAnsi="Arial" w:cs="Arial"/>
          <w:sz w:val="20"/>
          <w:szCs w:val="20"/>
        </w:rPr>
        <w:t xml:space="preserve"> needs to be evaluated with reference to the </w:t>
      </w:r>
      <w:r w:rsidR="005375F8" w:rsidRPr="00994B44">
        <w:rPr>
          <w:rFonts w:ascii="Arial" w:hAnsi="Arial" w:cs="Arial"/>
          <w:i/>
          <w:iCs/>
          <w:sz w:val="20"/>
          <w:szCs w:val="20"/>
        </w:rPr>
        <w:t>Henderson</w:t>
      </w:r>
      <w:r w:rsidR="003702DF" w:rsidRPr="00994B44">
        <w:rPr>
          <w:rStyle w:val="FootnoteReference"/>
          <w:rFonts w:ascii="Arial" w:hAnsi="Arial" w:cs="Arial"/>
          <w:i/>
          <w:iCs/>
          <w:sz w:val="20"/>
          <w:szCs w:val="20"/>
        </w:rPr>
        <w:footnoteReference w:id="18"/>
      </w:r>
      <w:r w:rsidR="005375F8" w:rsidRPr="00994B44">
        <w:rPr>
          <w:rFonts w:ascii="Arial" w:hAnsi="Arial" w:cs="Arial"/>
          <w:sz w:val="20"/>
          <w:szCs w:val="20"/>
        </w:rPr>
        <w:t xml:space="preserve"> principle</w:t>
      </w:r>
      <w:r w:rsidR="00680A10" w:rsidRPr="00994B44">
        <w:rPr>
          <w:rFonts w:ascii="Arial" w:hAnsi="Arial" w:cs="Arial"/>
          <w:sz w:val="20"/>
          <w:szCs w:val="20"/>
        </w:rPr>
        <w:t xml:space="preserve">. This principle provides, </w:t>
      </w:r>
      <w:r w:rsidR="00680A10" w:rsidRPr="00994B44">
        <w:rPr>
          <w:rFonts w:ascii="Arial" w:hAnsi="Arial" w:cs="Arial"/>
          <w:i/>
          <w:iCs/>
          <w:sz w:val="20"/>
          <w:szCs w:val="20"/>
        </w:rPr>
        <w:t>inter alia</w:t>
      </w:r>
      <w:r w:rsidR="00680A10" w:rsidRPr="00994B44">
        <w:rPr>
          <w:rFonts w:ascii="Arial" w:hAnsi="Arial" w:cs="Arial"/>
          <w:sz w:val="20"/>
          <w:szCs w:val="20"/>
        </w:rPr>
        <w:t>, that when a given matter becomes</w:t>
      </w:r>
      <w:r w:rsidR="00CC7F17" w:rsidRPr="00994B44">
        <w:rPr>
          <w:rFonts w:ascii="Arial" w:hAnsi="Arial" w:cs="Arial"/>
          <w:sz w:val="20"/>
          <w:szCs w:val="20"/>
        </w:rPr>
        <w:t xml:space="preserve"> a subject of litigation-</w:t>
      </w:r>
    </w:p>
    <w:p w14:paraId="6E5229E4" w14:textId="77777777" w:rsidR="00CC7F17" w:rsidRPr="00994B44" w:rsidRDefault="00CC7F17" w:rsidP="00B11B24">
      <w:pPr>
        <w:spacing w:line="360" w:lineRule="auto"/>
        <w:ind w:left="1440"/>
        <w:jc w:val="both"/>
        <w:rPr>
          <w:rFonts w:ascii="Arial" w:hAnsi="Arial" w:cs="Arial"/>
          <w:sz w:val="20"/>
          <w:szCs w:val="20"/>
        </w:rPr>
      </w:pPr>
      <w:r w:rsidRPr="00994B44">
        <w:rPr>
          <w:rFonts w:ascii="Arial" w:hAnsi="Arial" w:cs="Arial"/>
          <w:sz w:val="20"/>
          <w:szCs w:val="20"/>
        </w:rPr>
        <w:t>“the court requires the parties to that litigation</w:t>
      </w:r>
      <w:r w:rsidR="006D39B4" w:rsidRPr="00994B44">
        <w:rPr>
          <w:rFonts w:ascii="Arial" w:hAnsi="Arial" w:cs="Arial"/>
          <w:sz w:val="20"/>
          <w:szCs w:val="20"/>
        </w:rPr>
        <w:t xml:space="preserve"> to bring forward their whole case, and will not (except under special circumstances)</w:t>
      </w:r>
      <w:r w:rsidR="001B60A5" w:rsidRPr="00994B44">
        <w:rPr>
          <w:rFonts w:ascii="Arial" w:hAnsi="Arial" w:cs="Arial"/>
          <w:sz w:val="20"/>
          <w:szCs w:val="20"/>
        </w:rPr>
        <w:t xml:space="preserve"> permit the same parties to open the same subject of litigation in respect of matter which</w:t>
      </w:r>
      <w:r w:rsidR="00AE4A5A" w:rsidRPr="00994B44">
        <w:rPr>
          <w:rFonts w:ascii="Arial" w:hAnsi="Arial" w:cs="Arial"/>
          <w:sz w:val="20"/>
          <w:szCs w:val="20"/>
        </w:rPr>
        <w:t xml:space="preserve"> might have been brought forward as part of the subject in contest</w:t>
      </w:r>
      <w:r w:rsidR="000F6886" w:rsidRPr="00994B44">
        <w:rPr>
          <w:rFonts w:ascii="Arial" w:hAnsi="Arial" w:cs="Arial"/>
          <w:sz w:val="20"/>
          <w:szCs w:val="20"/>
        </w:rPr>
        <w:t>, but which was not brought forward, only because they have, from negligence</w:t>
      </w:r>
      <w:r w:rsidR="00DC5151" w:rsidRPr="00994B44">
        <w:rPr>
          <w:rFonts w:ascii="Arial" w:hAnsi="Arial" w:cs="Arial"/>
          <w:sz w:val="20"/>
          <w:szCs w:val="20"/>
        </w:rPr>
        <w:t>, inadvertence, or even accident, omitted part of their case.”</w:t>
      </w:r>
    </w:p>
    <w:p w14:paraId="611E01F1" w14:textId="77777777" w:rsidR="00DC5151" w:rsidRDefault="00661DA5" w:rsidP="00B11B24">
      <w:pPr>
        <w:spacing w:line="360" w:lineRule="auto"/>
        <w:ind w:left="720"/>
        <w:jc w:val="both"/>
        <w:rPr>
          <w:rFonts w:ascii="Arial" w:hAnsi="Arial" w:cs="Arial"/>
          <w:sz w:val="20"/>
          <w:szCs w:val="20"/>
        </w:rPr>
      </w:pPr>
      <w:r w:rsidRPr="00994B44">
        <w:rPr>
          <w:rFonts w:ascii="Arial" w:hAnsi="Arial" w:cs="Arial"/>
          <w:sz w:val="20"/>
          <w:szCs w:val="20"/>
        </w:rPr>
        <w:t>…This doctrine has been fully assimilated into our law</w:t>
      </w:r>
      <w:r w:rsidR="005D0779" w:rsidRPr="00994B44">
        <w:rPr>
          <w:rFonts w:ascii="Arial" w:hAnsi="Arial" w:cs="Arial"/>
          <w:sz w:val="20"/>
          <w:szCs w:val="20"/>
        </w:rPr>
        <w:t xml:space="preserve">. The doctrine applies equally to pure claims of </w:t>
      </w:r>
      <w:r w:rsidR="005D0779" w:rsidRPr="00994B44">
        <w:rPr>
          <w:rFonts w:ascii="Arial" w:hAnsi="Arial" w:cs="Arial"/>
          <w:i/>
          <w:iCs/>
          <w:sz w:val="20"/>
          <w:szCs w:val="20"/>
        </w:rPr>
        <w:t>res iudicata</w:t>
      </w:r>
      <w:r w:rsidR="00E72A95" w:rsidRPr="00994B44">
        <w:rPr>
          <w:rFonts w:ascii="Arial" w:hAnsi="Arial" w:cs="Arial"/>
          <w:sz w:val="20"/>
          <w:szCs w:val="20"/>
        </w:rPr>
        <w:t xml:space="preserve"> and to claims based on issue estoppel…’</w:t>
      </w:r>
      <w:r w:rsidR="00E31139" w:rsidRPr="00994B44">
        <w:rPr>
          <w:rStyle w:val="FootnoteReference"/>
          <w:rFonts w:ascii="Arial" w:hAnsi="Arial" w:cs="Arial"/>
          <w:sz w:val="20"/>
          <w:szCs w:val="20"/>
        </w:rPr>
        <w:footnoteReference w:id="19"/>
      </w:r>
    </w:p>
    <w:p w14:paraId="573D6CF7" w14:textId="77777777" w:rsidR="00877CCF" w:rsidRDefault="00877CCF" w:rsidP="00877CCF">
      <w:pPr>
        <w:spacing w:line="360" w:lineRule="auto"/>
        <w:rPr>
          <w:rFonts w:ascii="Arial" w:hAnsi="Arial" w:cs="Arial"/>
          <w:sz w:val="20"/>
          <w:szCs w:val="20"/>
        </w:rPr>
      </w:pPr>
    </w:p>
    <w:p w14:paraId="6A8A2794" w14:textId="72A22B43" w:rsidR="00B11B24" w:rsidRPr="00C314E3" w:rsidRDefault="00C314E3" w:rsidP="00C314E3">
      <w:pPr>
        <w:spacing w:line="36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C04CA7" w:rsidRPr="00C314E3">
        <w:rPr>
          <w:rFonts w:ascii="Arial" w:hAnsi="Arial" w:cs="Arial"/>
          <w:sz w:val="24"/>
          <w:szCs w:val="24"/>
        </w:rPr>
        <w:t xml:space="preserve">The </w:t>
      </w:r>
      <w:r w:rsidR="00C04CA7" w:rsidRPr="00C314E3">
        <w:rPr>
          <w:rFonts w:ascii="Arial" w:hAnsi="Arial" w:cs="Arial"/>
          <w:i/>
          <w:iCs/>
          <w:sz w:val="24"/>
          <w:szCs w:val="24"/>
        </w:rPr>
        <w:t>Henderson</w:t>
      </w:r>
      <w:r w:rsidR="00C04CA7" w:rsidRPr="00C314E3">
        <w:rPr>
          <w:rFonts w:ascii="Arial" w:hAnsi="Arial" w:cs="Arial"/>
          <w:sz w:val="24"/>
          <w:szCs w:val="24"/>
        </w:rPr>
        <w:t xml:space="preserve"> principle must not be confused with </w:t>
      </w:r>
      <w:r w:rsidR="00CA11B4" w:rsidRPr="00C314E3">
        <w:rPr>
          <w:rFonts w:ascii="Arial" w:hAnsi="Arial" w:cs="Arial"/>
          <w:sz w:val="24"/>
          <w:szCs w:val="24"/>
        </w:rPr>
        <w:t xml:space="preserve">issue estoppel. </w:t>
      </w:r>
      <w:r w:rsidR="006059F5" w:rsidRPr="00C314E3">
        <w:rPr>
          <w:rFonts w:ascii="Arial" w:hAnsi="Arial" w:cs="Arial"/>
          <w:sz w:val="24"/>
          <w:szCs w:val="24"/>
        </w:rPr>
        <w:t xml:space="preserve">Whereas Wille J’s </w:t>
      </w:r>
      <w:r w:rsidR="00EE40D5" w:rsidRPr="00C314E3">
        <w:rPr>
          <w:rFonts w:ascii="Arial" w:hAnsi="Arial" w:cs="Arial"/>
          <w:sz w:val="24"/>
          <w:szCs w:val="24"/>
        </w:rPr>
        <w:t>point was that the former must inform the</w:t>
      </w:r>
      <w:r w:rsidR="00050197" w:rsidRPr="00C314E3">
        <w:rPr>
          <w:rFonts w:ascii="Arial" w:hAnsi="Arial" w:cs="Arial"/>
          <w:sz w:val="24"/>
          <w:szCs w:val="24"/>
        </w:rPr>
        <w:t xml:space="preserve"> application of the latter, </w:t>
      </w:r>
      <w:r w:rsidR="0081224D" w:rsidRPr="00C314E3">
        <w:rPr>
          <w:rFonts w:ascii="Arial" w:hAnsi="Arial" w:cs="Arial"/>
          <w:sz w:val="24"/>
          <w:szCs w:val="24"/>
        </w:rPr>
        <w:t>the concepts are distinguishable</w:t>
      </w:r>
      <w:r w:rsidR="00023479" w:rsidRPr="00C314E3">
        <w:rPr>
          <w:rFonts w:ascii="Arial" w:hAnsi="Arial" w:cs="Arial"/>
          <w:sz w:val="24"/>
          <w:szCs w:val="24"/>
        </w:rPr>
        <w:t xml:space="preserve">. As this court understands it, the </w:t>
      </w:r>
      <w:r w:rsidR="00023479" w:rsidRPr="00C314E3">
        <w:rPr>
          <w:rFonts w:ascii="Arial" w:hAnsi="Arial" w:cs="Arial"/>
          <w:i/>
          <w:iCs/>
          <w:sz w:val="24"/>
          <w:szCs w:val="24"/>
        </w:rPr>
        <w:t>Henderson</w:t>
      </w:r>
      <w:r w:rsidR="00023479" w:rsidRPr="00C314E3">
        <w:rPr>
          <w:rFonts w:ascii="Arial" w:hAnsi="Arial" w:cs="Arial"/>
          <w:sz w:val="24"/>
          <w:szCs w:val="24"/>
        </w:rPr>
        <w:t xml:space="preserve"> principle requires a party to present</w:t>
      </w:r>
      <w:r w:rsidR="0009219C" w:rsidRPr="00C314E3">
        <w:rPr>
          <w:rFonts w:ascii="Arial" w:hAnsi="Arial" w:cs="Arial"/>
          <w:sz w:val="24"/>
          <w:szCs w:val="24"/>
        </w:rPr>
        <w:t xml:space="preserve"> h</w:t>
      </w:r>
      <w:r w:rsidR="00636E45" w:rsidRPr="00C314E3">
        <w:rPr>
          <w:rFonts w:ascii="Arial" w:hAnsi="Arial" w:cs="Arial"/>
          <w:sz w:val="24"/>
          <w:szCs w:val="24"/>
        </w:rPr>
        <w:t xml:space="preserve">is or her </w:t>
      </w:r>
      <w:r w:rsidR="003D4B99" w:rsidRPr="00C314E3">
        <w:rPr>
          <w:rFonts w:ascii="Arial" w:hAnsi="Arial" w:cs="Arial"/>
          <w:sz w:val="24"/>
          <w:szCs w:val="24"/>
        </w:rPr>
        <w:t xml:space="preserve">case in its entirety, rather than </w:t>
      </w:r>
      <w:r w:rsidR="001B2A38" w:rsidRPr="00C314E3">
        <w:rPr>
          <w:rFonts w:ascii="Arial" w:hAnsi="Arial" w:cs="Arial"/>
          <w:sz w:val="24"/>
          <w:szCs w:val="24"/>
        </w:rPr>
        <w:t xml:space="preserve">subsequently </w:t>
      </w:r>
      <w:r w:rsidR="00502FF2" w:rsidRPr="00C314E3">
        <w:rPr>
          <w:rFonts w:ascii="Arial" w:hAnsi="Arial" w:cs="Arial"/>
          <w:sz w:val="24"/>
          <w:szCs w:val="24"/>
        </w:rPr>
        <w:t xml:space="preserve">attempt to litigate aspects of it that were </w:t>
      </w:r>
      <w:r w:rsidR="001B2A38" w:rsidRPr="00C314E3">
        <w:rPr>
          <w:rFonts w:ascii="Arial" w:hAnsi="Arial" w:cs="Arial"/>
          <w:sz w:val="24"/>
          <w:szCs w:val="24"/>
        </w:rPr>
        <w:t>previously omitted</w:t>
      </w:r>
      <w:r w:rsidR="0033313E" w:rsidRPr="00C314E3">
        <w:rPr>
          <w:rFonts w:ascii="Arial" w:hAnsi="Arial" w:cs="Arial"/>
          <w:sz w:val="24"/>
          <w:szCs w:val="24"/>
        </w:rPr>
        <w:t>.</w:t>
      </w:r>
      <w:r w:rsidR="00186716" w:rsidRPr="00C314E3">
        <w:rPr>
          <w:rFonts w:ascii="Arial" w:hAnsi="Arial" w:cs="Arial"/>
          <w:sz w:val="24"/>
          <w:szCs w:val="24"/>
        </w:rPr>
        <w:t xml:space="preserve"> In contrast,</w:t>
      </w:r>
      <w:r w:rsidR="0033313E" w:rsidRPr="00C314E3">
        <w:rPr>
          <w:rFonts w:ascii="Arial" w:hAnsi="Arial" w:cs="Arial"/>
          <w:sz w:val="24"/>
          <w:szCs w:val="24"/>
        </w:rPr>
        <w:t xml:space="preserve"> </w:t>
      </w:r>
      <w:r w:rsidR="00186716" w:rsidRPr="00C314E3">
        <w:rPr>
          <w:rFonts w:ascii="Arial" w:hAnsi="Arial" w:cs="Arial"/>
          <w:sz w:val="24"/>
          <w:szCs w:val="24"/>
        </w:rPr>
        <w:t>i</w:t>
      </w:r>
      <w:r w:rsidR="0033313E" w:rsidRPr="00C314E3">
        <w:rPr>
          <w:rFonts w:ascii="Arial" w:hAnsi="Arial" w:cs="Arial"/>
          <w:sz w:val="24"/>
          <w:szCs w:val="24"/>
        </w:rPr>
        <w:t xml:space="preserve">ssue estoppel </w:t>
      </w:r>
      <w:r w:rsidR="00890F6A" w:rsidRPr="00C314E3">
        <w:rPr>
          <w:rFonts w:ascii="Arial" w:hAnsi="Arial" w:cs="Arial"/>
          <w:sz w:val="24"/>
          <w:szCs w:val="24"/>
        </w:rPr>
        <w:t xml:space="preserve">is </w:t>
      </w:r>
      <w:r w:rsidR="0033313E" w:rsidRPr="00C314E3">
        <w:rPr>
          <w:rFonts w:ascii="Arial" w:hAnsi="Arial" w:cs="Arial"/>
          <w:sz w:val="24"/>
          <w:szCs w:val="24"/>
        </w:rPr>
        <w:t xml:space="preserve">a defence </w:t>
      </w:r>
      <w:r w:rsidR="006904A1" w:rsidRPr="00C314E3">
        <w:rPr>
          <w:rFonts w:ascii="Arial" w:hAnsi="Arial" w:cs="Arial"/>
          <w:sz w:val="24"/>
          <w:szCs w:val="24"/>
        </w:rPr>
        <w:t xml:space="preserve">(derived from the principle of </w:t>
      </w:r>
      <w:r w:rsidR="006904A1" w:rsidRPr="00C314E3">
        <w:rPr>
          <w:rFonts w:ascii="Arial" w:hAnsi="Arial" w:cs="Arial"/>
          <w:i/>
          <w:iCs/>
          <w:sz w:val="24"/>
          <w:szCs w:val="24"/>
        </w:rPr>
        <w:t>res iudicata</w:t>
      </w:r>
      <w:r w:rsidR="006904A1" w:rsidRPr="00C314E3">
        <w:rPr>
          <w:rFonts w:ascii="Arial" w:hAnsi="Arial" w:cs="Arial"/>
          <w:sz w:val="24"/>
          <w:szCs w:val="24"/>
        </w:rPr>
        <w:t xml:space="preserve">) </w:t>
      </w:r>
      <w:r w:rsidR="00890F6A" w:rsidRPr="00C314E3">
        <w:rPr>
          <w:rFonts w:ascii="Arial" w:hAnsi="Arial" w:cs="Arial"/>
          <w:sz w:val="24"/>
          <w:szCs w:val="24"/>
        </w:rPr>
        <w:t xml:space="preserve">that can be raised </w:t>
      </w:r>
      <w:r w:rsidR="0033313E" w:rsidRPr="00C314E3">
        <w:rPr>
          <w:rFonts w:ascii="Arial" w:hAnsi="Arial" w:cs="Arial"/>
          <w:sz w:val="24"/>
          <w:szCs w:val="24"/>
        </w:rPr>
        <w:t xml:space="preserve">when </w:t>
      </w:r>
      <w:r w:rsidR="00186716" w:rsidRPr="00C314E3">
        <w:rPr>
          <w:rFonts w:ascii="Arial" w:hAnsi="Arial" w:cs="Arial"/>
          <w:sz w:val="24"/>
          <w:szCs w:val="24"/>
        </w:rPr>
        <w:t>the same issue has already been adjudicated</w:t>
      </w:r>
      <w:r w:rsidR="00890F6A" w:rsidRPr="00C314E3">
        <w:rPr>
          <w:rFonts w:ascii="Arial" w:hAnsi="Arial" w:cs="Arial"/>
          <w:sz w:val="24"/>
          <w:szCs w:val="24"/>
        </w:rPr>
        <w:t xml:space="preserve"> to finality between the same parties.</w:t>
      </w:r>
      <w:r w:rsidR="00023479" w:rsidRPr="00C314E3">
        <w:rPr>
          <w:rFonts w:ascii="Arial" w:hAnsi="Arial" w:cs="Arial"/>
          <w:sz w:val="24"/>
          <w:szCs w:val="24"/>
        </w:rPr>
        <w:t xml:space="preserve"> </w:t>
      </w:r>
    </w:p>
    <w:p w14:paraId="511D4F87" w14:textId="77777777" w:rsidR="00B11B24" w:rsidRDefault="00B11B24" w:rsidP="00B11B24">
      <w:pPr>
        <w:pStyle w:val="ListParagraph"/>
        <w:spacing w:line="360" w:lineRule="auto"/>
        <w:ind w:left="0"/>
        <w:jc w:val="both"/>
        <w:rPr>
          <w:rFonts w:ascii="Arial" w:hAnsi="Arial" w:cs="Arial"/>
          <w:sz w:val="24"/>
          <w:szCs w:val="24"/>
        </w:rPr>
      </w:pPr>
    </w:p>
    <w:p w14:paraId="6C80C40F" w14:textId="60537D48" w:rsidR="00B11B24" w:rsidRPr="00C314E3" w:rsidRDefault="00C314E3" w:rsidP="00C314E3">
      <w:pPr>
        <w:spacing w:line="36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sidR="00877CCF" w:rsidRPr="00C314E3">
        <w:rPr>
          <w:rFonts w:ascii="Arial" w:hAnsi="Arial" w:cs="Arial"/>
          <w:sz w:val="24"/>
          <w:szCs w:val="24"/>
        </w:rPr>
        <w:t>The first respondent contended</w:t>
      </w:r>
      <w:r w:rsidR="00E44C57" w:rsidRPr="00C314E3">
        <w:rPr>
          <w:rFonts w:ascii="Arial" w:hAnsi="Arial" w:cs="Arial"/>
          <w:sz w:val="24"/>
          <w:szCs w:val="24"/>
        </w:rPr>
        <w:t xml:space="preserve">, with reference to </w:t>
      </w:r>
      <w:r w:rsidR="00864675" w:rsidRPr="00C314E3">
        <w:rPr>
          <w:rFonts w:ascii="Arial" w:hAnsi="Arial" w:cs="Arial"/>
          <w:sz w:val="24"/>
          <w:szCs w:val="24"/>
        </w:rPr>
        <w:t xml:space="preserve">the above principles, </w:t>
      </w:r>
      <w:r w:rsidR="00877CCF" w:rsidRPr="00C314E3">
        <w:rPr>
          <w:rFonts w:ascii="Arial" w:hAnsi="Arial" w:cs="Arial"/>
          <w:sz w:val="24"/>
          <w:szCs w:val="24"/>
        </w:rPr>
        <w:t>that the applicants were precluded</w:t>
      </w:r>
      <w:r w:rsidR="00FB5038" w:rsidRPr="00C314E3">
        <w:rPr>
          <w:rFonts w:ascii="Arial" w:hAnsi="Arial" w:cs="Arial"/>
          <w:sz w:val="24"/>
          <w:szCs w:val="24"/>
        </w:rPr>
        <w:t xml:space="preserve"> in the circumstances</w:t>
      </w:r>
      <w:r w:rsidR="00877CCF" w:rsidRPr="00C314E3">
        <w:rPr>
          <w:rFonts w:ascii="Arial" w:hAnsi="Arial" w:cs="Arial"/>
          <w:sz w:val="24"/>
          <w:szCs w:val="24"/>
        </w:rPr>
        <w:t xml:space="preserve"> from </w:t>
      </w:r>
      <w:r w:rsidR="0065338A" w:rsidRPr="00C314E3">
        <w:rPr>
          <w:rFonts w:ascii="Arial" w:hAnsi="Arial" w:cs="Arial"/>
          <w:sz w:val="24"/>
          <w:szCs w:val="24"/>
        </w:rPr>
        <w:t xml:space="preserve">instituting another application against </w:t>
      </w:r>
      <w:r w:rsidR="00F4754E" w:rsidRPr="00C314E3">
        <w:rPr>
          <w:rFonts w:ascii="Arial" w:hAnsi="Arial" w:cs="Arial"/>
          <w:sz w:val="24"/>
          <w:szCs w:val="24"/>
        </w:rPr>
        <w:t>him, based on the same relief and the</w:t>
      </w:r>
      <w:r w:rsidR="00474B05" w:rsidRPr="00C314E3">
        <w:rPr>
          <w:rFonts w:ascii="Arial" w:hAnsi="Arial" w:cs="Arial"/>
          <w:sz w:val="24"/>
          <w:szCs w:val="24"/>
        </w:rPr>
        <w:t xml:space="preserve"> same cause of action. They ought to have placed all </w:t>
      </w:r>
      <w:r w:rsidR="00925709" w:rsidRPr="00C314E3">
        <w:rPr>
          <w:rFonts w:ascii="Arial" w:hAnsi="Arial" w:cs="Arial"/>
          <w:sz w:val="24"/>
          <w:szCs w:val="24"/>
        </w:rPr>
        <w:t>relevant information before the court in the earlier application to demonstrate that the first respondent was an unlawful occupier.</w:t>
      </w:r>
      <w:r w:rsidR="00D15F40" w:rsidRPr="00C314E3">
        <w:rPr>
          <w:rFonts w:ascii="Arial" w:hAnsi="Arial" w:cs="Arial"/>
          <w:sz w:val="24"/>
          <w:szCs w:val="24"/>
        </w:rPr>
        <w:t xml:space="preserve"> </w:t>
      </w:r>
      <w:r w:rsidR="00DC22EB" w:rsidRPr="00C314E3">
        <w:rPr>
          <w:rFonts w:ascii="Arial" w:hAnsi="Arial" w:cs="Arial"/>
          <w:sz w:val="24"/>
          <w:szCs w:val="24"/>
        </w:rPr>
        <w:t>T</w:t>
      </w:r>
      <w:r w:rsidR="00AC33BC" w:rsidRPr="00C314E3">
        <w:rPr>
          <w:rFonts w:ascii="Arial" w:hAnsi="Arial" w:cs="Arial"/>
          <w:sz w:val="24"/>
          <w:szCs w:val="24"/>
        </w:rPr>
        <w:t>h</w:t>
      </w:r>
      <w:r w:rsidR="00230593" w:rsidRPr="00C314E3">
        <w:rPr>
          <w:rFonts w:ascii="Arial" w:hAnsi="Arial" w:cs="Arial"/>
          <w:sz w:val="24"/>
          <w:szCs w:val="24"/>
        </w:rPr>
        <w:t>at</w:t>
      </w:r>
      <w:r w:rsidR="00AC33BC" w:rsidRPr="00C314E3">
        <w:rPr>
          <w:rFonts w:ascii="Arial" w:hAnsi="Arial" w:cs="Arial"/>
          <w:sz w:val="24"/>
          <w:szCs w:val="24"/>
        </w:rPr>
        <w:t xml:space="preserve"> issue</w:t>
      </w:r>
      <w:r w:rsidR="00230593" w:rsidRPr="00C314E3">
        <w:rPr>
          <w:rFonts w:ascii="Arial" w:hAnsi="Arial" w:cs="Arial"/>
          <w:sz w:val="24"/>
          <w:szCs w:val="24"/>
        </w:rPr>
        <w:t xml:space="preserve">, </w:t>
      </w:r>
      <w:r w:rsidR="003D5E76" w:rsidRPr="00C314E3">
        <w:rPr>
          <w:rFonts w:ascii="Arial" w:hAnsi="Arial" w:cs="Arial"/>
          <w:sz w:val="24"/>
          <w:szCs w:val="24"/>
        </w:rPr>
        <w:t>i.e.,</w:t>
      </w:r>
      <w:r w:rsidR="00230593" w:rsidRPr="00C314E3">
        <w:rPr>
          <w:rFonts w:ascii="Arial" w:hAnsi="Arial" w:cs="Arial"/>
          <w:sz w:val="24"/>
          <w:szCs w:val="24"/>
        </w:rPr>
        <w:t xml:space="preserve"> whether he was an unlawful occupier, </w:t>
      </w:r>
      <w:r w:rsidR="00A1433F" w:rsidRPr="00C314E3">
        <w:rPr>
          <w:rFonts w:ascii="Arial" w:hAnsi="Arial" w:cs="Arial"/>
          <w:sz w:val="24"/>
          <w:szCs w:val="24"/>
        </w:rPr>
        <w:t>was the same</w:t>
      </w:r>
      <w:r w:rsidR="00AC33BC" w:rsidRPr="00C314E3">
        <w:rPr>
          <w:rFonts w:ascii="Arial" w:hAnsi="Arial" w:cs="Arial"/>
          <w:sz w:val="24"/>
          <w:szCs w:val="24"/>
        </w:rPr>
        <w:t xml:space="preserve"> in </w:t>
      </w:r>
      <w:r w:rsidR="00A1433F" w:rsidRPr="00C314E3">
        <w:rPr>
          <w:rFonts w:ascii="Arial" w:hAnsi="Arial" w:cs="Arial"/>
          <w:sz w:val="24"/>
          <w:szCs w:val="24"/>
        </w:rPr>
        <w:t xml:space="preserve">both </w:t>
      </w:r>
      <w:r w:rsidR="00AC33BC" w:rsidRPr="00C314E3">
        <w:rPr>
          <w:rFonts w:ascii="Arial" w:hAnsi="Arial" w:cs="Arial"/>
          <w:sz w:val="24"/>
          <w:szCs w:val="24"/>
        </w:rPr>
        <w:t xml:space="preserve">the </w:t>
      </w:r>
      <w:r w:rsidR="00682EB1" w:rsidRPr="00C314E3">
        <w:rPr>
          <w:rFonts w:ascii="Arial" w:hAnsi="Arial" w:cs="Arial"/>
          <w:sz w:val="24"/>
          <w:szCs w:val="24"/>
        </w:rPr>
        <w:t xml:space="preserve">earlier and the </w:t>
      </w:r>
      <w:r w:rsidR="00AC33BC" w:rsidRPr="00C314E3">
        <w:rPr>
          <w:rFonts w:ascii="Arial" w:hAnsi="Arial" w:cs="Arial"/>
          <w:sz w:val="24"/>
          <w:szCs w:val="24"/>
        </w:rPr>
        <w:t xml:space="preserve">present </w:t>
      </w:r>
      <w:r w:rsidR="00682EB1" w:rsidRPr="00C314E3">
        <w:rPr>
          <w:rFonts w:ascii="Arial" w:hAnsi="Arial" w:cs="Arial"/>
          <w:sz w:val="24"/>
          <w:szCs w:val="24"/>
        </w:rPr>
        <w:t>application.</w:t>
      </w:r>
    </w:p>
    <w:p w14:paraId="22EE615F" w14:textId="77777777" w:rsidR="00B11B24" w:rsidRPr="00B11B24" w:rsidRDefault="00B11B24" w:rsidP="00B11B24">
      <w:pPr>
        <w:pStyle w:val="ListParagraph"/>
        <w:rPr>
          <w:rFonts w:ascii="Arial" w:hAnsi="Arial" w:cs="Arial"/>
          <w:sz w:val="24"/>
          <w:szCs w:val="24"/>
        </w:rPr>
      </w:pPr>
    </w:p>
    <w:p w14:paraId="2E1A3EF9" w14:textId="167C369B" w:rsidR="00B11B24" w:rsidRPr="00C314E3" w:rsidRDefault="00C314E3" w:rsidP="00C314E3">
      <w:pPr>
        <w:spacing w:line="36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D13250" w:rsidRPr="00C314E3">
        <w:rPr>
          <w:rFonts w:ascii="Arial" w:hAnsi="Arial" w:cs="Arial"/>
          <w:sz w:val="24"/>
          <w:szCs w:val="24"/>
        </w:rPr>
        <w:t xml:space="preserve">The applicants, in turn, </w:t>
      </w:r>
      <w:r w:rsidR="00104273" w:rsidRPr="00C314E3">
        <w:rPr>
          <w:rFonts w:ascii="Arial" w:hAnsi="Arial" w:cs="Arial"/>
          <w:sz w:val="24"/>
          <w:szCs w:val="24"/>
        </w:rPr>
        <w:t xml:space="preserve">focused on the basis upon which </w:t>
      </w:r>
      <w:r w:rsidR="00C76E0B" w:rsidRPr="00C314E3">
        <w:rPr>
          <w:rFonts w:ascii="Arial" w:hAnsi="Arial" w:cs="Arial"/>
          <w:sz w:val="24"/>
          <w:szCs w:val="24"/>
        </w:rPr>
        <w:t xml:space="preserve">Hartle J </w:t>
      </w:r>
      <w:r w:rsidR="00104273" w:rsidRPr="00C314E3">
        <w:rPr>
          <w:rFonts w:ascii="Arial" w:hAnsi="Arial" w:cs="Arial"/>
          <w:sz w:val="24"/>
          <w:szCs w:val="24"/>
        </w:rPr>
        <w:t>dismissed the earlier</w:t>
      </w:r>
      <w:r w:rsidR="00C76E0B" w:rsidRPr="00C314E3">
        <w:rPr>
          <w:rFonts w:ascii="Arial" w:hAnsi="Arial" w:cs="Arial"/>
          <w:sz w:val="24"/>
          <w:szCs w:val="24"/>
        </w:rPr>
        <w:t xml:space="preserve"> application. </w:t>
      </w:r>
      <w:r w:rsidR="00C35192" w:rsidRPr="00C314E3">
        <w:rPr>
          <w:rFonts w:ascii="Arial" w:hAnsi="Arial" w:cs="Arial"/>
          <w:sz w:val="24"/>
          <w:szCs w:val="24"/>
        </w:rPr>
        <w:t xml:space="preserve">They asserted </w:t>
      </w:r>
      <w:r w:rsidR="00ED15A1" w:rsidRPr="00C314E3">
        <w:rPr>
          <w:rFonts w:ascii="Arial" w:hAnsi="Arial" w:cs="Arial"/>
          <w:sz w:val="24"/>
          <w:szCs w:val="24"/>
        </w:rPr>
        <w:t xml:space="preserve">that the </w:t>
      </w:r>
      <w:r w:rsidR="00DC4689" w:rsidRPr="00C314E3">
        <w:rPr>
          <w:rFonts w:ascii="Arial" w:hAnsi="Arial" w:cs="Arial"/>
          <w:sz w:val="24"/>
          <w:szCs w:val="24"/>
        </w:rPr>
        <w:t xml:space="preserve">court found that the </w:t>
      </w:r>
      <w:r w:rsidR="00ED15A1" w:rsidRPr="00C314E3">
        <w:rPr>
          <w:rFonts w:ascii="Arial" w:hAnsi="Arial" w:cs="Arial"/>
          <w:sz w:val="24"/>
          <w:szCs w:val="24"/>
        </w:rPr>
        <w:t xml:space="preserve">first respondent had successfully raised a plea of </w:t>
      </w:r>
      <w:r w:rsidR="00ED15A1" w:rsidRPr="00C314E3">
        <w:rPr>
          <w:rFonts w:ascii="Arial" w:hAnsi="Arial" w:cs="Arial"/>
          <w:i/>
          <w:iCs/>
          <w:sz w:val="24"/>
          <w:szCs w:val="24"/>
        </w:rPr>
        <w:t>lis pendens</w:t>
      </w:r>
      <w:r w:rsidR="009C4754" w:rsidRPr="00C314E3">
        <w:rPr>
          <w:rFonts w:ascii="Arial" w:hAnsi="Arial" w:cs="Arial"/>
          <w:sz w:val="24"/>
          <w:szCs w:val="24"/>
        </w:rPr>
        <w:t xml:space="preserve"> regarding the action proceedings brought by Mr Kriel against the first respondent </w:t>
      </w:r>
      <w:r w:rsidR="00234545" w:rsidRPr="00C314E3">
        <w:rPr>
          <w:rFonts w:ascii="Arial" w:hAnsi="Arial" w:cs="Arial"/>
          <w:sz w:val="24"/>
          <w:szCs w:val="24"/>
        </w:rPr>
        <w:t>(</w:t>
      </w:r>
      <w:r w:rsidR="009C4754" w:rsidRPr="00C314E3">
        <w:rPr>
          <w:rFonts w:ascii="Arial" w:hAnsi="Arial" w:cs="Arial"/>
          <w:sz w:val="24"/>
          <w:szCs w:val="24"/>
        </w:rPr>
        <w:t xml:space="preserve">case </w:t>
      </w:r>
      <w:r w:rsidR="00234545" w:rsidRPr="00C314E3">
        <w:rPr>
          <w:rFonts w:ascii="Arial" w:hAnsi="Arial" w:cs="Arial"/>
          <w:sz w:val="24"/>
          <w:szCs w:val="24"/>
        </w:rPr>
        <w:t>number EL 381/2019)</w:t>
      </w:r>
      <w:r w:rsidR="00A4545D" w:rsidRPr="00C314E3">
        <w:rPr>
          <w:rFonts w:ascii="Arial" w:hAnsi="Arial" w:cs="Arial"/>
          <w:sz w:val="24"/>
          <w:szCs w:val="24"/>
        </w:rPr>
        <w:t>. Consequently, the</w:t>
      </w:r>
      <w:r w:rsidR="00F13487" w:rsidRPr="00C314E3">
        <w:rPr>
          <w:rFonts w:ascii="Arial" w:hAnsi="Arial" w:cs="Arial"/>
          <w:sz w:val="24"/>
          <w:szCs w:val="24"/>
        </w:rPr>
        <w:t xml:space="preserve">y argued, the court held </w:t>
      </w:r>
      <w:r w:rsidR="00C921B9" w:rsidRPr="00C314E3">
        <w:rPr>
          <w:rFonts w:ascii="Arial" w:hAnsi="Arial" w:cs="Arial"/>
          <w:sz w:val="24"/>
          <w:szCs w:val="24"/>
        </w:rPr>
        <w:t xml:space="preserve">that the parties should involve themselves in </w:t>
      </w:r>
      <w:r w:rsidR="00F13487" w:rsidRPr="00C314E3">
        <w:rPr>
          <w:rFonts w:ascii="Arial" w:hAnsi="Arial" w:cs="Arial"/>
          <w:sz w:val="24"/>
          <w:szCs w:val="24"/>
        </w:rPr>
        <w:t>such proceedings</w:t>
      </w:r>
      <w:r w:rsidR="00655C7B" w:rsidRPr="00C314E3">
        <w:rPr>
          <w:rFonts w:ascii="Arial" w:hAnsi="Arial" w:cs="Arial"/>
          <w:sz w:val="24"/>
          <w:szCs w:val="24"/>
        </w:rPr>
        <w:t xml:space="preserve">, which entailed a determination of the first respondent’s reliance upon a lien or pledge </w:t>
      </w:r>
      <w:r w:rsidR="00F3198D" w:rsidRPr="00C314E3">
        <w:rPr>
          <w:rFonts w:ascii="Arial" w:hAnsi="Arial" w:cs="Arial"/>
          <w:sz w:val="24"/>
          <w:szCs w:val="24"/>
        </w:rPr>
        <w:t>in relation to Mr Kriel’s indebtedness</w:t>
      </w:r>
      <w:r w:rsidR="00E96277" w:rsidRPr="00C314E3">
        <w:rPr>
          <w:rFonts w:ascii="Arial" w:hAnsi="Arial" w:cs="Arial"/>
          <w:sz w:val="24"/>
          <w:szCs w:val="24"/>
        </w:rPr>
        <w:t xml:space="preserve">. Hartle J was unable to make a finding </w:t>
      </w:r>
      <w:r w:rsidR="004471C2" w:rsidRPr="00C314E3">
        <w:rPr>
          <w:rFonts w:ascii="Arial" w:hAnsi="Arial" w:cs="Arial"/>
          <w:sz w:val="24"/>
          <w:szCs w:val="24"/>
        </w:rPr>
        <w:t>on whether the first respondent was an unlawful occupier, pending finalisation of the action proceedings.</w:t>
      </w:r>
      <w:r w:rsidR="00BE156C" w:rsidRPr="00C314E3">
        <w:rPr>
          <w:rFonts w:ascii="Arial" w:hAnsi="Arial" w:cs="Arial"/>
          <w:sz w:val="24"/>
          <w:szCs w:val="24"/>
        </w:rPr>
        <w:t xml:space="preserve"> Once a determination </w:t>
      </w:r>
      <w:r w:rsidR="00B71274" w:rsidRPr="00C314E3">
        <w:rPr>
          <w:rFonts w:ascii="Arial" w:hAnsi="Arial" w:cs="Arial"/>
          <w:sz w:val="24"/>
          <w:szCs w:val="24"/>
        </w:rPr>
        <w:t xml:space="preserve">had been made, the </w:t>
      </w:r>
      <w:r w:rsidR="008874C6" w:rsidRPr="00C314E3">
        <w:rPr>
          <w:rFonts w:ascii="Arial" w:hAnsi="Arial" w:cs="Arial"/>
          <w:sz w:val="24"/>
          <w:szCs w:val="24"/>
        </w:rPr>
        <w:t>applicants could approach the court afresh.</w:t>
      </w:r>
    </w:p>
    <w:p w14:paraId="3FEE988B" w14:textId="77777777" w:rsidR="00B11B24" w:rsidRPr="00B11B24" w:rsidRDefault="00B11B24" w:rsidP="00B11B24">
      <w:pPr>
        <w:pStyle w:val="ListParagraph"/>
        <w:rPr>
          <w:rFonts w:ascii="Arial" w:hAnsi="Arial" w:cs="Arial"/>
          <w:sz w:val="24"/>
          <w:szCs w:val="24"/>
        </w:rPr>
      </w:pPr>
    </w:p>
    <w:p w14:paraId="3F5EEE47" w14:textId="537B9949" w:rsidR="00B11B24" w:rsidRPr="00C314E3" w:rsidRDefault="00C314E3" w:rsidP="00C314E3">
      <w:pPr>
        <w:spacing w:line="36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A6388C" w:rsidRPr="00C314E3">
        <w:rPr>
          <w:rFonts w:ascii="Arial" w:hAnsi="Arial" w:cs="Arial"/>
          <w:sz w:val="24"/>
          <w:szCs w:val="24"/>
        </w:rPr>
        <w:t xml:space="preserve">Furthermore, the </w:t>
      </w:r>
      <w:r w:rsidR="003D5E76" w:rsidRPr="00C314E3">
        <w:rPr>
          <w:rFonts w:ascii="Arial" w:hAnsi="Arial" w:cs="Arial"/>
          <w:sz w:val="24"/>
          <w:szCs w:val="24"/>
        </w:rPr>
        <w:t xml:space="preserve">applicants </w:t>
      </w:r>
      <w:r w:rsidR="000E6A30" w:rsidRPr="00C314E3">
        <w:rPr>
          <w:rFonts w:ascii="Arial" w:hAnsi="Arial" w:cs="Arial"/>
          <w:sz w:val="24"/>
          <w:szCs w:val="24"/>
        </w:rPr>
        <w:t xml:space="preserve">pointed out that Mr Kriel had subsequently withdrawn the above action proceedings. </w:t>
      </w:r>
      <w:r w:rsidR="0083393F" w:rsidRPr="00C314E3">
        <w:rPr>
          <w:rFonts w:ascii="Arial" w:hAnsi="Arial" w:cs="Arial"/>
          <w:sz w:val="24"/>
          <w:szCs w:val="24"/>
        </w:rPr>
        <w:t>There had, moreover, been no counterclaim. The litigation had come to an end.</w:t>
      </w:r>
      <w:r w:rsidR="001C5649" w:rsidRPr="00C314E3">
        <w:rPr>
          <w:rFonts w:ascii="Arial" w:hAnsi="Arial" w:cs="Arial"/>
          <w:sz w:val="24"/>
          <w:szCs w:val="24"/>
        </w:rPr>
        <w:t xml:space="preserve"> </w:t>
      </w:r>
      <w:r w:rsidR="00170647" w:rsidRPr="00C314E3">
        <w:rPr>
          <w:rFonts w:ascii="Arial" w:hAnsi="Arial" w:cs="Arial"/>
          <w:sz w:val="24"/>
          <w:szCs w:val="24"/>
        </w:rPr>
        <w:t>The only avenue open to the applicants</w:t>
      </w:r>
      <w:r w:rsidR="00AD4131" w:rsidRPr="00C314E3">
        <w:rPr>
          <w:rFonts w:ascii="Arial" w:hAnsi="Arial" w:cs="Arial"/>
          <w:sz w:val="24"/>
          <w:szCs w:val="24"/>
        </w:rPr>
        <w:t>, consequently,</w:t>
      </w:r>
      <w:r w:rsidR="00170647" w:rsidRPr="00C314E3">
        <w:rPr>
          <w:rFonts w:ascii="Arial" w:hAnsi="Arial" w:cs="Arial"/>
          <w:sz w:val="24"/>
          <w:szCs w:val="24"/>
        </w:rPr>
        <w:t xml:space="preserve"> was </w:t>
      </w:r>
      <w:r w:rsidR="00AD4131" w:rsidRPr="00C314E3">
        <w:rPr>
          <w:rFonts w:ascii="Arial" w:hAnsi="Arial" w:cs="Arial"/>
          <w:sz w:val="24"/>
          <w:szCs w:val="24"/>
        </w:rPr>
        <w:t xml:space="preserve">the </w:t>
      </w:r>
      <w:r w:rsidR="00104BCF" w:rsidRPr="00C314E3">
        <w:rPr>
          <w:rFonts w:ascii="Arial" w:hAnsi="Arial" w:cs="Arial"/>
          <w:sz w:val="24"/>
          <w:szCs w:val="24"/>
        </w:rPr>
        <w:t>institution</w:t>
      </w:r>
      <w:r w:rsidR="00AD4131" w:rsidRPr="00C314E3">
        <w:rPr>
          <w:rFonts w:ascii="Arial" w:hAnsi="Arial" w:cs="Arial"/>
          <w:sz w:val="24"/>
          <w:szCs w:val="24"/>
        </w:rPr>
        <w:t xml:space="preserve"> of the present </w:t>
      </w:r>
      <w:r w:rsidR="00170647" w:rsidRPr="00C314E3">
        <w:rPr>
          <w:rFonts w:ascii="Arial" w:hAnsi="Arial" w:cs="Arial"/>
          <w:sz w:val="24"/>
          <w:szCs w:val="24"/>
        </w:rPr>
        <w:t>application</w:t>
      </w:r>
      <w:r w:rsidR="00104BCF" w:rsidRPr="00C314E3">
        <w:rPr>
          <w:rFonts w:ascii="Arial" w:hAnsi="Arial" w:cs="Arial"/>
          <w:sz w:val="24"/>
          <w:szCs w:val="24"/>
        </w:rPr>
        <w:t xml:space="preserve"> proceedings.</w:t>
      </w:r>
    </w:p>
    <w:p w14:paraId="37E7F535" w14:textId="77777777" w:rsidR="00B11B24" w:rsidRPr="00B11B24" w:rsidRDefault="00B11B24" w:rsidP="00B11B24">
      <w:pPr>
        <w:pStyle w:val="ListParagraph"/>
        <w:rPr>
          <w:rFonts w:ascii="Arial" w:hAnsi="Arial" w:cs="Arial"/>
          <w:sz w:val="24"/>
          <w:szCs w:val="24"/>
        </w:rPr>
      </w:pPr>
    </w:p>
    <w:p w14:paraId="58B6BCCE" w14:textId="357DB438" w:rsidR="004172FD" w:rsidRPr="00C314E3" w:rsidRDefault="00C314E3" w:rsidP="00C314E3">
      <w:pPr>
        <w:spacing w:line="360" w:lineRule="auto"/>
        <w:jc w:val="both"/>
        <w:rPr>
          <w:rFonts w:ascii="Arial" w:hAnsi="Arial" w:cs="Arial"/>
          <w:sz w:val="24"/>
          <w:szCs w:val="24"/>
        </w:rPr>
      </w:pPr>
      <w:r w:rsidRPr="00B11B24">
        <w:rPr>
          <w:rFonts w:ascii="Arial" w:hAnsi="Arial" w:cs="Arial"/>
          <w:sz w:val="24"/>
          <w:szCs w:val="24"/>
        </w:rPr>
        <w:t>[41]</w:t>
      </w:r>
      <w:r w:rsidRPr="00B11B24">
        <w:rPr>
          <w:rFonts w:ascii="Arial" w:hAnsi="Arial" w:cs="Arial"/>
          <w:sz w:val="24"/>
          <w:szCs w:val="24"/>
        </w:rPr>
        <w:tab/>
      </w:r>
      <w:r w:rsidR="00FE2881" w:rsidRPr="00C314E3">
        <w:rPr>
          <w:rFonts w:ascii="Arial" w:hAnsi="Arial" w:cs="Arial"/>
          <w:sz w:val="24"/>
          <w:szCs w:val="24"/>
        </w:rPr>
        <w:t>I</w:t>
      </w:r>
      <w:r w:rsidR="00E515D7" w:rsidRPr="00C314E3">
        <w:rPr>
          <w:rFonts w:ascii="Arial" w:hAnsi="Arial" w:cs="Arial"/>
          <w:sz w:val="24"/>
          <w:szCs w:val="24"/>
        </w:rPr>
        <w:t>t is necessary</w:t>
      </w:r>
      <w:r w:rsidR="00FE2881" w:rsidRPr="00C314E3">
        <w:rPr>
          <w:rFonts w:ascii="Arial" w:hAnsi="Arial" w:cs="Arial"/>
          <w:sz w:val="24"/>
          <w:szCs w:val="24"/>
        </w:rPr>
        <w:t xml:space="preserve">, at this stage, </w:t>
      </w:r>
      <w:r w:rsidR="00E515D7" w:rsidRPr="00C314E3">
        <w:rPr>
          <w:rFonts w:ascii="Arial" w:hAnsi="Arial" w:cs="Arial"/>
          <w:sz w:val="24"/>
          <w:szCs w:val="24"/>
        </w:rPr>
        <w:t>to consider more closely the decision handed down in the earlier application.</w:t>
      </w:r>
      <w:r w:rsidR="00EF31E3">
        <w:rPr>
          <w:rStyle w:val="FootnoteReference"/>
          <w:rFonts w:ascii="Arial" w:hAnsi="Arial" w:cs="Arial"/>
          <w:sz w:val="24"/>
          <w:szCs w:val="24"/>
        </w:rPr>
        <w:footnoteReference w:id="20"/>
      </w:r>
      <w:r w:rsidR="00E515D7" w:rsidRPr="00C314E3">
        <w:rPr>
          <w:rFonts w:ascii="Arial" w:hAnsi="Arial" w:cs="Arial"/>
          <w:sz w:val="24"/>
          <w:szCs w:val="24"/>
        </w:rPr>
        <w:t xml:space="preserve"> </w:t>
      </w:r>
      <w:r w:rsidR="003348AC" w:rsidRPr="00C314E3">
        <w:rPr>
          <w:rFonts w:ascii="Arial" w:hAnsi="Arial" w:cs="Arial"/>
          <w:sz w:val="24"/>
          <w:szCs w:val="24"/>
        </w:rPr>
        <w:t xml:space="preserve">After </w:t>
      </w:r>
      <w:r w:rsidR="001E51A9" w:rsidRPr="00C314E3">
        <w:rPr>
          <w:rFonts w:ascii="Arial" w:hAnsi="Arial" w:cs="Arial"/>
          <w:sz w:val="24"/>
          <w:szCs w:val="24"/>
        </w:rPr>
        <w:t>considering the facts placed before her</w:t>
      </w:r>
      <w:r w:rsidR="00E0131B" w:rsidRPr="00C314E3">
        <w:rPr>
          <w:rFonts w:ascii="Arial" w:hAnsi="Arial" w:cs="Arial"/>
          <w:sz w:val="24"/>
          <w:szCs w:val="24"/>
        </w:rPr>
        <w:t xml:space="preserve">, including the </w:t>
      </w:r>
      <w:r w:rsidR="00280A34" w:rsidRPr="00C314E3">
        <w:rPr>
          <w:rFonts w:ascii="Arial" w:hAnsi="Arial" w:cs="Arial"/>
          <w:sz w:val="24"/>
          <w:szCs w:val="24"/>
        </w:rPr>
        <w:t xml:space="preserve">applicants’ </w:t>
      </w:r>
      <w:r w:rsidR="0013146A" w:rsidRPr="00C314E3">
        <w:rPr>
          <w:rFonts w:ascii="Arial" w:hAnsi="Arial" w:cs="Arial"/>
          <w:sz w:val="24"/>
          <w:szCs w:val="24"/>
        </w:rPr>
        <w:t xml:space="preserve">failure to have </w:t>
      </w:r>
      <w:r w:rsidR="001718C2" w:rsidRPr="00C314E3">
        <w:rPr>
          <w:rFonts w:ascii="Arial" w:hAnsi="Arial" w:cs="Arial"/>
          <w:sz w:val="24"/>
          <w:szCs w:val="24"/>
        </w:rPr>
        <w:t xml:space="preserve">laid bare every legally relevant </w:t>
      </w:r>
      <w:r w:rsidR="00FE2881" w:rsidRPr="00C314E3">
        <w:rPr>
          <w:rFonts w:ascii="Arial" w:hAnsi="Arial" w:cs="Arial"/>
          <w:sz w:val="24"/>
          <w:szCs w:val="24"/>
        </w:rPr>
        <w:t xml:space="preserve">detail, as well as the </w:t>
      </w:r>
      <w:r w:rsidR="00A87957" w:rsidRPr="00C314E3">
        <w:rPr>
          <w:rFonts w:ascii="Arial" w:hAnsi="Arial" w:cs="Arial"/>
          <w:sz w:val="24"/>
          <w:szCs w:val="24"/>
        </w:rPr>
        <w:t xml:space="preserve">first </w:t>
      </w:r>
      <w:r w:rsidR="00A87957" w:rsidRPr="00C314E3">
        <w:rPr>
          <w:rFonts w:ascii="Arial" w:hAnsi="Arial" w:cs="Arial"/>
          <w:sz w:val="24"/>
          <w:szCs w:val="24"/>
        </w:rPr>
        <w:lastRenderedPageBreak/>
        <w:t xml:space="preserve">respondent’s vagueness regarding the </w:t>
      </w:r>
      <w:r w:rsidR="004A234E" w:rsidRPr="00C314E3">
        <w:rPr>
          <w:rFonts w:ascii="Arial" w:hAnsi="Arial" w:cs="Arial"/>
          <w:sz w:val="24"/>
          <w:szCs w:val="24"/>
        </w:rPr>
        <w:t>basis for his claim to the lien or pledge</w:t>
      </w:r>
      <w:r w:rsidR="00946A34" w:rsidRPr="00C314E3">
        <w:rPr>
          <w:rFonts w:ascii="Arial" w:hAnsi="Arial" w:cs="Arial"/>
          <w:sz w:val="24"/>
          <w:szCs w:val="24"/>
        </w:rPr>
        <w:t>, Hartle J</w:t>
      </w:r>
      <w:r w:rsidR="004172FD" w:rsidRPr="00C314E3">
        <w:rPr>
          <w:rFonts w:ascii="Arial" w:hAnsi="Arial" w:cs="Arial"/>
          <w:sz w:val="24"/>
          <w:szCs w:val="24"/>
        </w:rPr>
        <w:t xml:space="preserve"> held as follows:</w:t>
      </w:r>
    </w:p>
    <w:p w14:paraId="757620C5" w14:textId="77777777" w:rsidR="00DE30F1" w:rsidRPr="00E668C9" w:rsidRDefault="004172FD" w:rsidP="00B11B24">
      <w:pPr>
        <w:spacing w:line="360" w:lineRule="auto"/>
        <w:ind w:left="720"/>
        <w:jc w:val="both"/>
        <w:rPr>
          <w:rFonts w:ascii="Arial" w:hAnsi="Arial" w:cs="Arial"/>
          <w:sz w:val="20"/>
          <w:szCs w:val="20"/>
        </w:rPr>
      </w:pPr>
      <w:r w:rsidRPr="00E668C9">
        <w:rPr>
          <w:rFonts w:ascii="Arial" w:hAnsi="Arial" w:cs="Arial"/>
          <w:sz w:val="20"/>
          <w:szCs w:val="20"/>
        </w:rPr>
        <w:t>‘…</w:t>
      </w:r>
      <w:r w:rsidR="00380AD7" w:rsidRPr="00E668C9">
        <w:rPr>
          <w:rFonts w:ascii="Arial" w:hAnsi="Arial" w:cs="Arial"/>
          <w:sz w:val="20"/>
          <w:szCs w:val="20"/>
        </w:rPr>
        <w:t xml:space="preserve">In my view all the elements of a successful plea of </w:t>
      </w:r>
      <w:r w:rsidR="00380AD7" w:rsidRPr="00E668C9">
        <w:rPr>
          <w:rFonts w:ascii="Arial" w:hAnsi="Arial" w:cs="Arial"/>
          <w:i/>
          <w:iCs/>
          <w:sz w:val="20"/>
          <w:szCs w:val="20"/>
        </w:rPr>
        <w:t>lis pendens</w:t>
      </w:r>
      <w:r w:rsidR="00380AD7" w:rsidRPr="00E668C9">
        <w:rPr>
          <w:rFonts w:ascii="Arial" w:hAnsi="Arial" w:cs="Arial"/>
          <w:sz w:val="20"/>
          <w:szCs w:val="20"/>
        </w:rPr>
        <w:t xml:space="preserve"> avail the first respondent</w:t>
      </w:r>
      <w:r w:rsidR="00ED0AE9" w:rsidRPr="00E668C9">
        <w:rPr>
          <w:rFonts w:ascii="Arial" w:hAnsi="Arial" w:cs="Arial"/>
          <w:sz w:val="20"/>
          <w:szCs w:val="20"/>
        </w:rPr>
        <w:t xml:space="preserve"> in the circumstances and given his reservations that the applicants purported to defeat</w:t>
      </w:r>
      <w:r w:rsidR="00634C3F" w:rsidRPr="00E668C9">
        <w:rPr>
          <w:rFonts w:ascii="Arial" w:hAnsi="Arial" w:cs="Arial"/>
          <w:sz w:val="20"/>
          <w:szCs w:val="20"/>
        </w:rPr>
        <w:t xml:space="preserve"> his right of retention by purchasing the property from Colin Kriel</w:t>
      </w:r>
      <w:r w:rsidR="009A3D24" w:rsidRPr="00E668C9">
        <w:rPr>
          <w:rFonts w:ascii="Arial" w:hAnsi="Arial" w:cs="Arial"/>
          <w:sz w:val="20"/>
          <w:szCs w:val="20"/>
        </w:rPr>
        <w:t xml:space="preserve"> whilst </w:t>
      </w:r>
      <w:r w:rsidR="007E7163" w:rsidRPr="00E668C9">
        <w:rPr>
          <w:rFonts w:ascii="Arial" w:hAnsi="Arial" w:cs="Arial"/>
          <w:sz w:val="20"/>
          <w:szCs w:val="20"/>
        </w:rPr>
        <w:t>knowing full well that he was claiming a lien or pledge over it (a concern not unreasonably held by him)</w:t>
      </w:r>
      <w:r w:rsidR="00B92210" w:rsidRPr="00E668C9">
        <w:rPr>
          <w:rFonts w:ascii="Arial" w:hAnsi="Arial" w:cs="Arial"/>
          <w:sz w:val="20"/>
          <w:szCs w:val="20"/>
        </w:rPr>
        <w:t>, it appears to me to be appropriate that the applicants involve themselves in the finali</w:t>
      </w:r>
      <w:r w:rsidR="009C3196" w:rsidRPr="00E668C9">
        <w:rPr>
          <w:rFonts w:ascii="Arial" w:hAnsi="Arial" w:cs="Arial"/>
          <w:sz w:val="20"/>
          <w:szCs w:val="20"/>
        </w:rPr>
        <w:t xml:space="preserve">zation of the pending action. No doubt the matter can also be resolved earlier by the debt which is the subject </w:t>
      </w:r>
      <w:r w:rsidR="0063045F" w:rsidRPr="00E668C9">
        <w:rPr>
          <w:rFonts w:ascii="Arial" w:hAnsi="Arial" w:cs="Arial"/>
          <w:sz w:val="20"/>
          <w:szCs w:val="20"/>
        </w:rPr>
        <w:t>matter of the pledge or lien bei</w:t>
      </w:r>
      <w:r w:rsidR="0025154A" w:rsidRPr="00E668C9">
        <w:rPr>
          <w:rFonts w:ascii="Arial" w:hAnsi="Arial" w:cs="Arial"/>
          <w:sz w:val="20"/>
          <w:szCs w:val="20"/>
        </w:rPr>
        <w:t>n</w:t>
      </w:r>
      <w:r w:rsidR="0063045F" w:rsidRPr="00E668C9">
        <w:rPr>
          <w:rFonts w:ascii="Arial" w:hAnsi="Arial" w:cs="Arial"/>
          <w:sz w:val="20"/>
          <w:szCs w:val="20"/>
        </w:rPr>
        <w:t>g settled or secured to the first respondent’s satisfaction.</w:t>
      </w:r>
    </w:p>
    <w:p w14:paraId="4FD42206" w14:textId="77777777" w:rsidR="0063045F" w:rsidRPr="00E668C9" w:rsidRDefault="0063045F" w:rsidP="00B11B24">
      <w:pPr>
        <w:spacing w:line="360" w:lineRule="auto"/>
        <w:ind w:left="720"/>
        <w:jc w:val="both"/>
        <w:rPr>
          <w:rFonts w:ascii="Arial" w:hAnsi="Arial" w:cs="Arial"/>
          <w:sz w:val="20"/>
          <w:szCs w:val="20"/>
        </w:rPr>
      </w:pPr>
      <w:r w:rsidRPr="00E668C9">
        <w:rPr>
          <w:rFonts w:ascii="Arial" w:hAnsi="Arial" w:cs="Arial"/>
          <w:sz w:val="20"/>
          <w:szCs w:val="20"/>
        </w:rPr>
        <w:t>…</w:t>
      </w:r>
      <w:r w:rsidR="00C53F50" w:rsidRPr="00E668C9">
        <w:rPr>
          <w:rFonts w:ascii="Arial" w:hAnsi="Arial" w:cs="Arial"/>
          <w:sz w:val="20"/>
          <w:szCs w:val="20"/>
        </w:rPr>
        <w:t>In given circumstances, a court can and should stay eviction proceedings if the outcome of other proceedings impacts the merits of the eviction or, if factual disputes raised on the papers can only be resolved by oral evidence</w:t>
      </w:r>
      <w:r w:rsidR="00EC615A" w:rsidRPr="00E668C9">
        <w:rPr>
          <w:rFonts w:ascii="Arial" w:hAnsi="Arial" w:cs="Arial"/>
          <w:sz w:val="20"/>
          <w:szCs w:val="20"/>
        </w:rPr>
        <w:t xml:space="preserve">. Either or both situations apply </w:t>
      </w:r>
      <w:r w:rsidR="00EC615A" w:rsidRPr="00E668C9">
        <w:rPr>
          <w:rFonts w:ascii="Arial" w:hAnsi="Arial" w:cs="Arial"/>
          <w:i/>
          <w:iCs/>
          <w:sz w:val="20"/>
          <w:szCs w:val="20"/>
        </w:rPr>
        <w:t>in casu</w:t>
      </w:r>
      <w:r w:rsidR="00EC615A" w:rsidRPr="00E668C9">
        <w:rPr>
          <w:rFonts w:ascii="Arial" w:hAnsi="Arial" w:cs="Arial"/>
          <w:sz w:val="20"/>
          <w:szCs w:val="20"/>
        </w:rPr>
        <w:t xml:space="preserve">. </w:t>
      </w:r>
      <w:r w:rsidR="00EC615A" w:rsidRPr="00AB1DBD">
        <w:rPr>
          <w:rFonts w:ascii="Arial" w:hAnsi="Arial" w:cs="Arial"/>
          <w:i/>
          <w:iCs/>
          <w:sz w:val="20"/>
          <w:szCs w:val="20"/>
        </w:rPr>
        <w:t>I cannot determine the issue</w:t>
      </w:r>
      <w:r w:rsidR="002975F9" w:rsidRPr="00AB1DBD">
        <w:rPr>
          <w:rFonts w:ascii="Arial" w:hAnsi="Arial" w:cs="Arial"/>
          <w:i/>
          <w:iCs/>
          <w:sz w:val="20"/>
          <w:szCs w:val="20"/>
        </w:rPr>
        <w:t xml:space="preserve"> whether the first respondent is an unlawful occupier on motion (especially since </w:t>
      </w:r>
      <w:r w:rsidR="002B175F" w:rsidRPr="00AB1DBD">
        <w:rPr>
          <w:rFonts w:ascii="Arial" w:hAnsi="Arial" w:cs="Arial"/>
          <w:i/>
          <w:iCs/>
          <w:sz w:val="20"/>
          <w:szCs w:val="20"/>
        </w:rPr>
        <w:t>the applicants have not entirely taken this court into their confidence) neither can I find</w:t>
      </w:r>
      <w:r w:rsidR="00B91039" w:rsidRPr="00AB1DBD">
        <w:rPr>
          <w:rFonts w:ascii="Arial" w:hAnsi="Arial" w:cs="Arial"/>
          <w:i/>
          <w:iCs/>
          <w:sz w:val="20"/>
          <w:szCs w:val="20"/>
        </w:rPr>
        <w:t xml:space="preserve"> that the pending litigation between Colin Kriel and the first respondent is legally irrelevant</w:t>
      </w:r>
      <w:r w:rsidR="00606A22" w:rsidRPr="00AB1DBD">
        <w:rPr>
          <w:rFonts w:ascii="Arial" w:hAnsi="Arial" w:cs="Arial"/>
          <w:i/>
          <w:iCs/>
          <w:sz w:val="20"/>
          <w:szCs w:val="20"/>
        </w:rPr>
        <w:t>.</w:t>
      </w:r>
      <w:r w:rsidR="00606A22" w:rsidRPr="00E668C9">
        <w:rPr>
          <w:rFonts w:ascii="Arial" w:hAnsi="Arial" w:cs="Arial"/>
          <w:sz w:val="20"/>
          <w:szCs w:val="20"/>
        </w:rPr>
        <w:t xml:space="preserve"> To the contrary, and according to the doctrine of notice, the applicants at the time they bought the property</w:t>
      </w:r>
      <w:r w:rsidR="00184AA1" w:rsidRPr="00E668C9">
        <w:rPr>
          <w:rFonts w:ascii="Arial" w:hAnsi="Arial" w:cs="Arial"/>
          <w:sz w:val="20"/>
          <w:szCs w:val="20"/>
        </w:rPr>
        <w:t xml:space="preserve">, on their own showing, knew that the first respondent claimed a “lien” (or pledge) and in the result that right of </w:t>
      </w:r>
      <w:r w:rsidR="00B2385F" w:rsidRPr="00E668C9">
        <w:rPr>
          <w:rFonts w:ascii="Arial" w:hAnsi="Arial" w:cs="Arial"/>
          <w:sz w:val="20"/>
          <w:szCs w:val="20"/>
        </w:rPr>
        <w:t xml:space="preserve">retention ought to prevail against them as successors in title if the court in the pending </w:t>
      </w:r>
      <w:r w:rsidR="00436F7D" w:rsidRPr="00E668C9">
        <w:rPr>
          <w:rFonts w:ascii="Arial" w:hAnsi="Arial" w:cs="Arial"/>
          <w:sz w:val="20"/>
          <w:szCs w:val="20"/>
        </w:rPr>
        <w:t>action finds in the first respondent’s favour in this regard.</w:t>
      </w:r>
    </w:p>
    <w:p w14:paraId="182A0EC8" w14:textId="77777777" w:rsidR="00436F7D" w:rsidRPr="00E668C9" w:rsidRDefault="00436F7D" w:rsidP="00B11B24">
      <w:pPr>
        <w:spacing w:line="360" w:lineRule="auto"/>
        <w:ind w:left="720"/>
        <w:jc w:val="both"/>
        <w:rPr>
          <w:rFonts w:ascii="Arial" w:hAnsi="Arial" w:cs="Arial"/>
          <w:sz w:val="20"/>
          <w:szCs w:val="20"/>
        </w:rPr>
      </w:pPr>
      <w:r w:rsidRPr="00E668C9">
        <w:rPr>
          <w:rFonts w:ascii="Arial" w:hAnsi="Arial" w:cs="Arial"/>
          <w:sz w:val="20"/>
          <w:szCs w:val="20"/>
        </w:rPr>
        <w:t>…I have considered ordering a stay of these proceedings</w:t>
      </w:r>
      <w:r w:rsidR="00F55B4F" w:rsidRPr="00E668C9">
        <w:rPr>
          <w:rFonts w:ascii="Arial" w:hAnsi="Arial" w:cs="Arial"/>
          <w:sz w:val="20"/>
          <w:szCs w:val="20"/>
        </w:rPr>
        <w:t>, but my concern is that the premise for the application set forth by the applicants in the papers is not a true</w:t>
      </w:r>
      <w:r w:rsidR="00815954" w:rsidRPr="00E668C9">
        <w:rPr>
          <w:rFonts w:ascii="Arial" w:hAnsi="Arial" w:cs="Arial"/>
          <w:sz w:val="20"/>
          <w:szCs w:val="20"/>
        </w:rPr>
        <w:t xml:space="preserve"> one and that critical information has been withheld from the court. The launch of the present application</w:t>
      </w:r>
      <w:r w:rsidR="00B54101" w:rsidRPr="00E668C9">
        <w:rPr>
          <w:rFonts w:ascii="Arial" w:hAnsi="Arial" w:cs="Arial"/>
          <w:sz w:val="20"/>
          <w:szCs w:val="20"/>
        </w:rPr>
        <w:t xml:space="preserve"> was also unnecessary in the light of the pending litigation in East London Case No. </w:t>
      </w:r>
      <w:r w:rsidR="00884BF0" w:rsidRPr="00E668C9">
        <w:rPr>
          <w:rFonts w:ascii="Arial" w:hAnsi="Arial" w:cs="Arial"/>
          <w:sz w:val="20"/>
          <w:szCs w:val="20"/>
        </w:rPr>
        <w:t>381/2019 which ought to dispose of the question whether the first respondent’s right of retention</w:t>
      </w:r>
      <w:r w:rsidR="00811A11" w:rsidRPr="00E668C9">
        <w:rPr>
          <w:rFonts w:ascii="Arial" w:hAnsi="Arial" w:cs="Arial"/>
          <w:sz w:val="20"/>
          <w:szCs w:val="20"/>
        </w:rPr>
        <w:t xml:space="preserve"> on the basis contended for can prevail against the owner’s </w:t>
      </w:r>
      <w:r w:rsidR="00811A11" w:rsidRPr="008C0E82">
        <w:rPr>
          <w:rFonts w:ascii="Arial" w:hAnsi="Arial" w:cs="Arial"/>
          <w:i/>
          <w:iCs/>
          <w:sz w:val="20"/>
          <w:szCs w:val="20"/>
        </w:rPr>
        <w:t xml:space="preserve">rei </w:t>
      </w:r>
      <w:r w:rsidR="00133604" w:rsidRPr="008C0E82">
        <w:rPr>
          <w:rFonts w:ascii="Arial" w:hAnsi="Arial" w:cs="Arial"/>
          <w:i/>
          <w:iCs/>
          <w:sz w:val="20"/>
          <w:szCs w:val="20"/>
        </w:rPr>
        <w:t>vindicatio</w:t>
      </w:r>
      <w:r w:rsidR="00133604" w:rsidRPr="00E668C9">
        <w:rPr>
          <w:rFonts w:ascii="Arial" w:hAnsi="Arial" w:cs="Arial"/>
          <w:sz w:val="20"/>
          <w:szCs w:val="20"/>
        </w:rPr>
        <w:t>.’</w:t>
      </w:r>
      <w:r w:rsidR="00133604" w:rsidRPr="00E668C9">
        <w:rPr>
          <w:rStyle w:val="FootnoteReference"/>
          <w:rFonts w:ascii="Arial" w:hAnsi="Arial" w:cs="Arial"/>
          <w:sz w:val="20"/>
          <w:szCs w:val="20"/>
        </w:rPr>
        <w:footnoteReference w:id="21"/>
      </w:r>
    </w:p>
    <w:p w14:paraId="2085D6E4" w14:textId="77777777" w:rsidR="00C377A9" w:rsidRDefault="00C377A9" w:rsidP="00C377A9">
      <w:pPr>
        <w:spacing w:line="360" w:lineRule="auto"/>
        <w:rPr>
          <w:rFonts w:ascii="Arial" w:hAnsi="Arial" w:cs="Arial"/>
          <w:sz w:val="24"/>
          <w:szCs w:val="24"/>
        </w:rPr>
      </w:pPr>
    </w:p>
    <w:p w14:paraId="4991A033" w14:textId="37ACBED2" w:rsidR="00C377A9" w:rsidRPr="00C314E3" w:rsidRDefault="00C314E3" w:rsidP="00C314E3">
      <w:pPr>
        <w:spacing w:line="360" w:lineRule="auto"/>
        <w:jc w:val="both"/>
        <w:rPr>
          <w:rFonts w:ascii="Arial" w:hAnsi="Arial" w:cs="Arial"/>
          <w:sz w:val="24"/>
          <w:szCs w:val="24"/>
        </w:rPr>
      </w:pPr>
      <w:r w:rsidRPr="00B11B24">
        <w:rPr>
          <w:rFonts w:ascii="Arial" w:hAnsi="Arial" w:cs="Arial"/>
          <w:sz w:val="24"/>
          <w:szCs w:val="24"/>
        </w:rPr>
        <w:t>[42]</w:t>
      </w:r>
      <w:r w:rsidRPr="00B11B24">
        <w:rPr>
          <w:rFonts w:ascii="Arial" w:hAnsi="Arial" w:cs="Arial"/>
          <w:sz w:val="24"/>
          <w:szCs w:val="24"/>
        </w:rPr>
        <w:tab/>
      </w:r>
      <w:r w:rsidR="00C377A9" w:rsidRPr="00C314E3">
        <w:rPr>
          <w:rFonts w:ascii="Arial" w:hAnsi="Arial" w:cs="Arial"/>
          <w:sz w:val="24"/>
          <w:szCs w:val="24"/>
        </w:rPr>
        <w:t xml:space="preserve">The court subsequently dealt with </w:t>
      </w:r>
      <w:r w:rsidR="00CB6711" w:rsidRPr="00C314E3">
        <w:rPr>
          <w:rFonts w:ascii="Arial" w:hAnsi="Arial" w:cs="Arial"/>
          <w:sz w:val="24"/>
          <w:szCs w:val="24"/>
        </w:rPr>
        <w:t>the applicant’s non</w:t>
      </w:r>
      <w:r w:rsidR="00B46220" w:rsidRPr="00C314E3">
        <w:rPr>
          <w:rFonts w:ascii="Arial" w:hAnsi="Arial" w:cs="Arial"/>
          <w:sz w:val="24"/>
          <w:szCs w:val="24"/>
        </w:rPr>
        <w:t xml:space="preserve">-compliance with the procedural requirements set out in section 4(2) of the </w:t>
      </w:r>
      <w:r w:rsidR="0064604E" w:rsidRPr="00C314E3">
        <w:rPr>
          <w:rFonts w:ascii="Arial" w:hAnsi="Arial" w:cs="Arial"/>
          <w:sz w:val="24"/>
          <w:szCs w:val="24"/>
        </w:rPr>
        <w:t xml:space="preserve">Prevention of Illegal Eviction </w:t>
      </w:r>
      <w:r w:rsidR="001767C4" w:rsidRPr="00C314E3">
        <w:rPr>
          <w:rFonts w:ascii="Arial" w:hAnsi="Arial" w:cs="Arial"/>
          <w:sz w:val="24"/>
          <w:szCs w:val="24"/>
        </w:rPr>
        <w:t>From and Unlawful Occupation of Land Act 19 of 1998 (‘PIE’)</w:t>
      </w:r>
      <w:r w:rsidR="0025154A" w:rsidRPr="00C314E3">
        <w:rPr>
          <w:rFonts w:ascii="Arial" w:hAnsi="Arial" w:cs="Arial"/>
          <w:sz w:val="24"/>
          <w:szCs w:val="24"/>
        </w:rPr>
        <w:t>. Thereafter</w:t>
      </w:r>
      <w:r w:rsidR="00DE55E0" w:rsidRPr="00C314E3">
        <w:rPr>
          <w:rFonts w:ascii="Arial" w:hAnsi="Arial" w:cs="Arial"/>
          <w:sz w:val="24"/>
          <w:szCs w:val="24"/>
        </w:rPr>
        <w:t>,</w:t>
      </w:r>
      <w:r w:rsidR="0025154A" w:rsidRPr="00C314E3">
        <w:rPr>
          <w:rFonts w:ascii="Arial" w:hAnsi="Arial" w:cs="Arial"/>
          <w:sz w:val="24"/>
          <w:szCs w:val="24"/>
        </w:rPr>
        <w:t xml:space="preserve"> Hartle J </w:t>
      </w:r>
      <w:r w:rsidR="0088426C" w:rsidRPr="00C314E3">
        <w:rPr>
          <w:rFonts w:ascii="Arial" w:hAnsi="Arial" w:cs="Arial"/>
          <w:sz w:val="24"/>
          <w:szCs w:val="24"/>
        </w:rPr>
        <w:t>remarke</w:t>
      </w:r>
      <w:r w:rsidR="0025154A" w:rsidRPr="00C314E3">
        <w:rPr>
          <w:rFonts w:ascii="Arial" w:hAnsi="Arial" w:cs="Arial"/>
          <w:sz w:val="24"/>
          <w:szCs w:val="24"/>
        </w:rPr>
        <w:t xml:space="preserve">d </w:t>
      </w:r>
      <w:r w:rsidR="0088426C" w:rsidRPr="00C314E3">
        <w:rPr>
          <w:rFonts w:ascii="Arial" w:hAnsi="Arial" w:cs="Arial"/>
          <w:sz w:val="24"/>
          <w:szCs w:val="24"/>
        </w:rPr>
        <w:t>that:</w:t>
      </w:r>
    </w:p>
    <w:p w14:paraId="72BBA748" w14:textId="77777777" w:rsidR="0088426C" w:rsidRPr="009619D9" w:rsidRDefault="00973DDD" w:rsidP="00B11B24">
      <w:pPr>
        <w:spacing w:line="360" w:lineRule="auto"/>
        <w:ind w:left="720"/>
        <w:jc w:val="both"/>
        <w:rPr>
          <w:rFonts w:ascii="Arial" w:hAnsi="Arial" w:cs="Arial"/>
          <w:sz w:val="20"/>
          <w:szCs w:val="20"/>
        </w:rPr>
      </w:pPr>
      <w:r w:rsidRPr="009619D9">
        <w:rPr>
          <w:rFonts w:ascii="Arial" w:hAnsi="Arial" w:cs="Arial"/>
          <w:sz w:val="20"/>
          <w:szCs w:val="20"/>
        </w:rPr>
        <w:lastRenderedPageBreak/>
        <w:t xml:space="preserve">‘…By the first respondent’s own admission, his primary concern is his contention </w:t>
      </w:r>
      <w:r w:rsidR="00DC3169" w:rsidRPr="009619D9">
        <w:rPr>
          <w:rFonts w:ascii="Arial" w:hAnsi="Arial" w:cs="Arial"/>
          <w:sz w:val="20"/>
          <w:szCs w:val="20"/>
        </w:rPr>
        <w:t>that he is not an unlawful occupier within the meaning of the definition in the PIE Act</w:t>
      </w:r>
      <w:r w:rsidR="00C54E75" w:rsidRPr="009619D9">
        <w:rPr>
          <w:rFonts w:ascii="Arial" w:hAnsi="Arial" w:cs="Arial"/>
          <w:sz w:val="20"/>
          <w:szCs w:val="20"/>
        </w:rPr>
        <w:t xml:space="preserve">. Once that issue has been resolved the applicants can approach the court afresh, alternatively can seek a directions order in the pending </w:t>
      </w:r>
      <w:r w:rsidR="00BB6E00" w:rsidRPr="009619D9">
        <w:rPr>
          <w:rFonts w:ascii="Arial" w:hAnsi="Arial" w:cs="Arial"/>
          <w:sz w:val="20"/>
          <w:szCs w:val="20"/>
        </w:rPr>
        <w:t>action to be served timeously before the hearing.’</w:t>
      </w:r>
      <w:r w:rsidR="00BB6E00" w:rsidRPr="009619D9">
        <w:rPr>
          <w:rStyle w:val="FootnoteReference"/>
          <w:rFonts w:ascii="Arial" w:hAnsi="Arial" w:cs="Arial"/>
          <w:sz w:val="20"/>
          <w:szCs w:val="20"/>
        </w:rPr>
        <w:footnoteReference w:id="22"/>
      </w:r>
    </w:p>
    <w:p w14:paraId="240D5E6F" w14:textId="77777777" w:rsidR="009619D9" w:rsidRDefault="009619D9" w:rsidP="009619D9">
      <w:pPr>
        <w:spacing w:line="360" w:lineRule="auto"/>
        <w:rPr>
          <w:rFonts w:ascii="Arial" w:hAnsi="Arial" w:cs="Arial"/>
          <w:sz w:val="24"/>
          <w:szCs w:val="24"/>
        </w:rPr>
      </w:pPr>
    </w:p>
    <w:p w14:paraId="2FEC83BE" w14:textId="1F245C69" w:rsidR="00B11B24" w:rsidRPr="00C314E3" w:rsidRDefault="00C314E3" w:rsidP="00C314E3">
      <w:pPr>
        <w:spacing w:line="36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00C432EE" w:rsidRPr="00C314E3">
        <w:rPr>
          <w:rFonts w:ascii="Arial" w:hAnsi="Arial" w:cs="Arial"/>
          <w:sz w:val="24"/>
          <w:szCs w:val="24"/>
        </w:rPr>
        <w:t>Th</w:t>
      </w:r>
      <w:r w:rsidR="0065334E" w:rsidRPr="00C314E3">
        <w:rPr>
          <w:rFonts w:ascii="Arial" w:hAnsi="Arial" w:cs="Arial"/>
          <w:sz w:val="24"/>
          <w:szCs w:val="24"/>
        </w:rPr>
        <w:t>is court agrees with th</w:t>
      </w:r>
      <w:r w:rsidR="00C432EE" w:rsidRPr="00C314E3">
        <w:rPr>
          <w:rFonts w:ascii="Arial" w:hAnsi="Arial" w:cs="Arial"/>
          <w:sz w:val="24"/>
          <w:szCs w:val="24"/>
        </w:rPr>
        <w:t xml:space="preserve">e first respondent that </w:t>
      </w:r>
      <w:r w:rsidR="00F52ACF" w:rsidRPr="00C314E3">
        <w:rPr>
          <w:rFonts w:ascii="Arial" w:hAnsi="Arial" w:cs="Arial"/>
          <w:sz w:val="24"/>
          <w:szCs w:val="24"/>
        </w:rPr>
        <w:t xml:space="preserve">Hartle J </w:t>
      </w:r>
      <w:r w:rsidR="00B47A17" w:rsidRPr="00C314E3">
        <w:rPr>
          <w:rFonts w:ascii="Arial" w:hAnsi="Arial" w:cs="Arial"/>
          <w:sz w:val="24"/>
          <w:szCs w:val="24"/>
        </w:rPr>
        <w:t xml:space="preserve">dismissed the earlier application because </w:t>
      </w:r>
      <w:r w:rsidR="00817752" w:rsidRPr="00C314E3">
        <w:rPr>
          <w:rFonts w:ascii="Arial" w:hAnsi="Arial" w:cs="Arial"/>
          <w:sz w:val="24"/>
          <w:szCs w:val="24"/>
        </w:rPr>
        <w:t>the premise upon which the applicants had relied was not true and that they had withheld critical information</w:t>
      </w:r>
      <w:r w:rsidR="00055BE4" w:rsidRPr="00C314E3">
        <w:rPr>
          <w:rFonts w:ascii="Arial" w:hAnsi="Arial" w:cs="Arial"/>
          <w:sz w:val="24"/>
          <w:szCs w:val="24"/>
        </w:rPr>
        <w:t xml:space="preserve">. </w:t>
      </w:r>
      <w:r w:rsidR="008E4CB9" w:rsidRPr="00C314E3">
        <w:rPr>
          <w:rFonts w:ascii="Arial" w:hAnsi="Arial" w:cs="Arial"/>
          <w:sz w:val="24"/>
          <w:szCs w:val="24"/>
        </w:rPr>
        <w:t>T</w:t>
      </w:r>
      <w:r w:rsidR="00055BE4" w:rsidRPr="00C314E3">
        <w:rPr>
          <w:rFonts w:ascii="Arial" w:hAnsi="Arial" w:cs="Arial"/>
          <w:sz w:val="24"/>
          <w:szCs w:val="24"/>
        </w:rPr>
        <w:t>he</w:t>
      </w:r>
      <w:r w:rsidR="00D245A3" w:rsidRPr="00C314E3">
        <w:rPr>
          <w:rFonts w:ascii="Arial" w:hAnsi="Arial" w:cs="Arial"/>
          <w:sz w:val="24"/>
          <w:szCs w:val="24"/>
        </w:rPr>
        <w:t xml:space="preserve"> decision</w:t>
      </w:r>
      <w:r w:rsidR="00F9239E" w:rsidRPr="00C314E3">
        <w:rPr>
          <w:rFonts w:ascii="Arial" w:hAnsi="Arial" w:cs="Arial"/>
          <w:sz w:val="24"/>
          <w:szCs w:val="24"/>
        </w:rPr>
        <w:t xml:space="preserve">, however, </w:t>
      </w:r>
      <w:r w:rsidR="00BF6A6A" w:rsidRPr="00C314E3">
        <w:rPr>
          <w:rFonts w:ascii="Arial" w:hAnsi="Arial" w:cs="Arial"/>
          <w:sz w:val="24"/>
          <w:szCs w:val="24"/>
        </w:rPr>
        <w:t>clearly reveals</w:t>
      </w:r>
      <w:r w:rsidR="00F9239E" w:rsidRPr="00C314E3">
        <w:rPr>
          <w:rFonts w:ascii="Arial" w:hAnsi="Arial" w:cs="Arial"/>
          <w:sz w:val="24"/>
          <w:szCs w:val="24"/>
        </w:rPr>
        <w:t xml:space="preserve"> that </w:t>
      </w:r>
      <w:r w:rsidR="00AE0401" w:rsidRPr="00C314E3">
        <w:rPr>
          <w:rFonts w:ascii="Arial" w:hAnsi="Arial" w:cs="Arial"/>
          <w:sz w:val="24"/>
          <w:szCs w:val="24"/>
        </w:rPr>
        <w:t>the court</w:t>
      </w:r>
      <w:r w:rsidR="0034403D" w:rsidRPr="00C314E3">
        <w:rPr>
          <w:rFonts w:ascii="Arial" w:hAnsi="Arial" w:cs="Arial"/>
          <w:sz w:val="24"/>
          <w:szCs w:val="24"/>
        </w:rPr>
        <w:t xml:space="preserve"> </w:t>
      </w:r>
      <w:r w:rsidR="008E64DA" w:rsidRPr="00C314E3">
        <w:rPr>
          <w:rFonts w:ascii="Arial" w:hAnsi="Arial" w:cs="Arial"/>
          <w:sz w:val="24"/>
          <w:szCs w:val="24"/>
        </w:rPr>
        <w:t xml:space="preserve">made no determination </w:t>
      </w:r>
      <w:r w:rsidR="00817339" w:rsidRPr="00C314E3">
        <w:rPr>
          <w:rFonts w:ascii="Arial" w:hAnsi="Arial" w:cs="Arial"/>
          <w:sz w:val="24"/>
          <w:szCs w:val="24"/>
        </w:rPr>
        <w:t xml:space="preserve">whatsoever </w:t>
      </w:r>
      <w:r w:rsidR="0034403D" w:rsidRPr="00C314E3">
        <w:rPr>
          <w:rFonts w:ascii="Arial" w:hAnsi="Arial" w:cs="Arial"/>
          <w:sz w:val="24"/>
          <w:szCs w:val="24"/>
        </w:rPr>
        <w:t xml:space="preserve">regarding </w:t>
      </w:r>
      <w:r w:rsidR="008E64DA" w:rsidRPr="00C314E3">
        <w:rPr>
          <w:rFonts w:ascii="Arial" w:hAnsi="Arial" w:cs="Arial"/>
          <w:sz w:val="24"/>
          <w:szCs w:val="24"/>
        </w:rPr>
        <w:t>the issue of whether the first respondent was an unlawful occupier.</w:t>
      </w:r>
      <w:r w:rsidR="00C010E4" w:rsidRPr="00C314E3">
        <w:rPr>
          <w:rFonts w:ascii="Arial" w:hAnsi="Arial" w:cs="Arial"/>
          <w:sz w:val="24"/>
          <w:szCs w:val="24"/>
        </w:rPr>
        <w:t xml:space="preserve"> Hartle J </w:t>
      </w:r>
      <w:r w:rsidR="00F33EA0" w:rsidRPr="00C314E3">
        <w:rPr>
          <w:rFonts w:ascii="Arial" w:hAnsi="Arial" w:cs="Arial"/>
          <w:sz w:val="24"/>
          <w:szCs w:val="24"/>
        </w:rPr>
        <w:t xml:space="preserve">merely </w:t>
      </w:r>
      <w:r w:rsidR="00C010E4" w:rsidRPr="00C314E3">
        <w:rPr>
          <w:rFonts w:ascii="Arial" w:hAnsi="Arial" w:cs="Arial"/>
          <w:sz w:val="24"/>
          <w:szCs w:val="24"/>
        </w:rPr>
        <w:t xml:space="preserve">held that the </w:t>
      </w:r>
      <w:r w:rsidR="00080BFC" w:rsidRPr="00C314E3">
        <w:rPr>
          <w:rFonts w:ascii="Arial" w:hAnsi="Arial" w:cs="Arial"/>
          <w:sz w:val="24"/>
          <w:szCs w:val="24"/>
        </w:rPr>
        <w:t xml:space="preserve">first respondent’s plea of </w:t>
      </w:r>
      <w:r w:rsidR="00080BFC" w:rsidRPr="00C314E3">
        <w:rPr>
          <w:rFonts w:ascii="Arial" w:hAnsi="Arial" w:cs="Arial"/>
          <w:i/>
          <w:iCs/>
          <w:sz w:val="24"/>
          <w:szCs w:val="24"/>
        </w:rPr>
        <w:t>lis pendens</w:t>
      </w:r>
      <w:r w:rsidR="00080BFC" w:rsidRPr="00C314E3">
        <w:rPr>
          <w:rFonts w:ascii="Arial" w:hAnsi="Arial" w:cs="Arial"/>
          <w:sz w:val="24"/>
          <w:szCs w:val="24"/>
        </w:rPr>
        <w:t xml:space="preserve"> had merit</w:t>
      </w:r>
      <w:r w:rsidR="00C848B5" w:rsidRPr="00C314E3">
        <w:rPr>
          <w:rFonts w:ascii="Arial" w:hAnsi="Arial" w:cs="Arial"/>
          <w:sz w:val="24"/>
          <w:szCs w:val="24"/>
        </w:rPr>
        <w:t xml:space="preserve">. The action proceedings, pending at the time, </w:t>
      </w:r>
      <w:r w:rsidR="006624BA" w:rsidRPr="00C314E3">
        <w:rPr>
          <w:rFonts w:ascii="Arial" w:hAnsi="Arial" w:cs="Arial"/>
          <w:sz w:val="24"/>
          <w:szCs w:val="24"/>
        </w:rPr>
        <w:t>c</w:t>
      </w:r>
      <w:r w:rsidR="00224A3A" w:rsidRPr="00C314E3">
        <w:rPr>
          <w:rFonts w:ascii="Arial" w:hAnsi="Arial" w:cs="Arial"/>
          <w:sz w:val="24"/>
          <w:szCs w:val="24"/>
        </w:rPr>
        <w:t xml:space="preserve">ould </w:t>
      </w:r>
      <w:r w:rsidR="006624BA" w:rsidRPr="00C314E3">
        <w:rPr>
          <w:rFonts w:ascii="Arial" w:hAnsi="Arial" w:cs="Arial"/>
          <w:sz w:val="24"/>
          <w:szCs w:val="24"/>
        </w:rPr>
        <w:t xml:space="preserve">have </w:t>
      </w:r>
      <w:r w:rsidR="00224A3A" w:rsidRPr="00C314E3">
        <w:rPr>
          <w:rFonts w:ascii="Arial" w:hAnsi="Arial" w:cs="Arial"/>
          <w:sz w:val="24"/>
          <w:szCs w:val="24"/>
        </w:rPr>
        <w:t>be</w:t>
      </w:r>
      <w:r w:rsidR="006624BA" w:rsidRPr="00C314E3">
        <w:rPr>
          <w:rFonts w:ascii="Arial" w:hAnsi="Arial" w:cs="Arial"/>
          <w:sz w:val="24"/>
          <w:szCs w:val="24"/>
        </w:rPr>
        <w:t>en</w:t>
      </w:r>
      <w:r w:rsidR="00224A3A" w:rsidRPr="00C314E3">
        <w:rPr>
          <w:rFonts w:ascii="Arial" w:hAnsi="Arial" w:cs="Arial"/>
          <w:sz w:val="24"/>
          <w:szCs w:val="24"/>
        </w:rPr>
        <w:t xml:space="preserve"> decisive</w:t>
      </w:r>
      <w:r w:rsidR="004A7C2C" w:rsidRPr="00C314E3">
        <w:rPr>
          <w:rFonts w:ascii="Arial" w:hAnsi="Arial" w:cs="Arial"/>
          <w:sz w:val="24"/>
          <w:szCs w:val="24"/>
        </w:rPr>
        <w:t>.</w:t>
      </w:r>
      <w:r w:rsidR="00C17FBE" w:rsidRPr="00C314E3">
        <w:rPr>
          <w:rFonts w:ascii="Arial" w:hAnsi="Arial" w:cs="Arial"/>
          <w:sz w:val="24"/>
          <w:szCs w:val="24"/>
        </w:rPr>
        <w:t xml:space="preserve"> </w:t>
      </w:r>
    </w:p>
    <w:p w14:paraId="1F86EB70" w14:textId="77777777" w:rsidR="00B11B24" w:rsidRDefault="00B11B24" w:rsidP="00B11B24">
      <w:pPr>
        <w:pStyle w:val="ListParagraph"/>
        <w:spacing w:line="360" w:lineRule="auto"/>
        <w:ind w:left="0"/>
        <w:jc w:val="both"/>
        <w:rPr>
          <w:rFonts w:ascii="Arial" w:hAnsi="Arial" w:cs="Arial"/>
          <w:sz w:val="24"/>
          <w:szCs w:val="24"/>
        </w:rPr>
      </w:pPr>
    </w:p>
    <w:p w14:paraId="1602F23E" w14:textId="4495B933" w:rsidR="00B11B24" w:rsidRPr="00C314E3" w:rsidRDefault="00C314E3" w:rsidP="00C314E3">
      <w:pPr>
        <w:spacing w:line="36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r>
      <w:r w:rsidR="00C17FBE" w:rsidRPr="00C314E3">
        <w:rPr>
          <w:rFonts w:ascii="Arial" w:hAnsi="Arial" w:cs="Arial"/>
          <w:sz w:val="24"/>
          <w:szCs w:val="24"/>
        </w:rPr>
        <w:t xml:space="preserve">Ultimately, </w:t>
      </w:r>
      <w:r w:rsidR="00B6354E" w:rsidRPr="00C314E3">
        <w:rPr>
          <w:rFonts w:ascii="Arial" w:hAnsi="Arial" w:cs="Arial"/>
          <w:sz w:val="24"/>
          <w:szCs w:val="24"/>
        </w:rPr>
        <w:t>the first respondent’s legal representative conceded d</w:t>
      </w:r>
      <w:r w:rsidR="0048392A" w:rsidRPr="00C314E3">
        <w:rPr>
          <w:rFonts w:ascii="Arial" w:hAnsi="Arial" w:cs="Arial"/>
          <w:sz w:val="24"/>
          <w:szCs w:val="24"/>
        </w:rPr>
        <w:t>uring argument</w:t>
      </w:r>
      <w:r w:rsidR="00F33EA0" w:rsidRPr="00C314E3">
        <w:rPr>
          <w:rFonts w:ascii="Arial" w:hAnsi="Arial" w:cs="Arial"/>
          <w:sz w:val="24"/>
          <w:szCs w:val="24"/>
        </w:rPr>
        <w:t xml:space="preserve"> </w:t>
      </w:r>
      <w:r w:rsidR="00F37169" w:rsidRPr="00C314E3">
        <w:rPr>
          <w:rFonts w:ascii="Arial" w:hAnsi="Arial" w:cs="Arial"/>
          <w:sz w:val="24"/>
          <w:szCs w:val="24"/>
        </w:rPr>
        <w:t>in the present matter</w:t>
      </w:r>
      <w:r w:rsidR="00005E5B" w:rsidRPr="00C314E3">
        <w:rPr>
          <w:rFonts w:ascii="Arial" w:hAnsi="Arial" w:cs="Arial"/>
          <w:sz w:val="24"/>
          <w:szCs w:val="24"/>
        </w:rPr>
        <w:t>,</w:t>
      </w:r>
      <w:r w:rsidR="00F37169" w:rsidRPr="00C314E3">
        <w:rPr>
          <w:rFonts w:ascii="Arial" w:hAnsi="Arial" w:cs="Arial"/>
          <w:sz w:val="24"/>
          <w:szCs w:val="24"/>
        </w:rPr>
        <w:t xml:space="preserve"> </w:t>
      </w:r>
      <w:r w:rsidR="004E73D8" w:rsidRPr="00C314E3">
        <w:rPr>
          <w:rFonts w:ascii="Arial" w:hAnsi="Arial" w:cs="Arial"/>
          <w:sz w:val="24"/>
          <w:szCs w:val="24"/>
        </w:rPr>
        <w:t>when pressed by this court</w:t>
      </w:r>
      <w:r w:rsidR="00005E5B" w:rsidRPr="00C314E3">
        <w:rPr>
          <w:rFonts w:ascii="Arial" w:hAnsi="Arial" w:cs="Arial"/>
          <w:sz w:val="24"/>
          <w:szCs w:val="24"/>
        </w:rPr>
        <w:t>,</w:t>
      </w:r>
      <w:r w:rsidR="004E73D8" w:rsidRPr="00C314E3">
        <w:rPr>
          <w:rFonts w:ascii="Arial" w:hAnsi="Arial" w:cs="Arial"/>
          <w:sz w:val="24"/>
          <w:szCs w:val="24"/>
        </w:rPr>
        <w:t xml:space="preserve"> </w:t>
      </w:r>
      <w:r w:rsidR="00F37169" w:rsidRPr="00C314E3">
        <w:rPr>
          <w:rFonts w:ascii="Arial" w:hAnsi="Arial" w:cs="Arial"/>
          <w:sz w:val="24"/>
          <w:szCs w:val="24"/>
        </w:rPr>
        <w:t xml:space="preserve">that </w:t>
      </w:r>
      <w:r w:rsidR="00656AD3" w:rsidRPr="00C314E3">
        <w:rPr>
          <w:rFonts w:ascii="Arial" w:hAnsi="Arial" w:cs="Arial"/>
          <w:sz w:val="24"/>
          <w:szCs w:val="24"/>
        </w:rPr>
        <w:t>no determination had been made of the issue in question. This was an important concession</w:t>
      </w:r>
      <w:r w:rsidR="001E7886" w:rsidRPr="00C314E3">
        <w:rPr>
          <w:rFonts w:ascii="Arial" w:hAnsi="Arial" w:cs="Arial"/>
          <w:sz w:val="24"/>
          <w:szCs w:val="24"/>
        </w:rPr>
        <w:t>, correctly made.</w:t>
      </w:r>
    </w:p>
    <w:p w14:paraId="0A14041A" w14:textId="0AF5B82F" w:rsidR="00B11B24" w:rsidRPr="00C314E3" w:rsidRDefault="00C314E3" w:rsidP="00C314E3">
      <w:pPr>
        <w:spacing w:line="36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r>
      <w:r w:rsidR="004303ED" w:rsidRPr="00C314E3">
        <w:rPr>
          <w:rFonts w:ascii="Arial" w:hAnsi="Arial" w:cs="Arial"/>
          <w:sz w:val="24"/>
          <w:szCs w:val="24"/>
        </w:rPr>
        <w:t xml:space="preserve">The </w:t>
      </w:r>
      <w:r w:rsidR="00726AEC" w:rsidRPr="00C314E3">
        <w:rPr>
          <w:rFonts w:ascii="Arial" w:hAnsi="Arial" w:cs="Arial"/>
          <w:sz w:val="24"/>
          <w:szCs w:val="24"/>
        </w:rPr>
        <w:t xml:space="preserve">special plea of </w:t>
      </w:r>
      <w:r w:rsidR="00726AEC" w:rsidRPr="00C314E3">
        <w:rPr>
          <w:rFonts w:ascii="Arial" w:hAnsi="Arial" w:cs="Arial"/>
          <w:i/>
          <w:iCs/>
          <w:sz w:val="24"/>
          <w:szCs w:val="24"/>
        </w:rPr>
        <w:t>res iudicata</w:t>
      </w:r>
      <w:r w:rsidR="00DE080C" w:rsidRPr="00C314E3">
        <w:rPr>
          <w:rFonts w:ascii="Arial" w:hAnsi="Arial" w:cs="Arial"/>
          <w:sz w:val="24"/>
          <w:szCs w:val="24"/>
        </w:rPr>
        <w:t xml:space="preserve"> </w:t>
      </w:r>
      <w:r w:rsidR="00726AEC" w:rsidRPr="00C314E3">
        <w:rPr>
          <w:rFonts w:ascii="Arial" w:hAnsi="Arial" w:cs="Arial"/>
          <w:sz w:val="24"/>
          <w:szCs w:val="24"/>
        </w:rPr>
        <w:t xml:space="preserve">is only available when a court in an earlier case </w:t>
      </w:r>
      <w:r w:rsidR="00F30A5F" w:rsidRPr="00C314E3">
        <w:rPr>
          <w:rFonts w:ascii="Arial" w:hAnsi="Arial" w:cs="Arial"/>
          <w:sz w:val="24"/>
          <w:szCs w:val="24"/>
        </w:rPr>
        <w:t xml:space="preserve">between the same parties </w:t>
      </w:r>
      <w:r w:rsidR="00B72152" w:rsidRPr="00C314E3">
        <w:rPr>
          <w:rFonts w:ascii="Arial" w:hAnsi="Arial" w:cs="Arial"/>
          <w:sz w:val="24"/>
          <w:szCs w:val="24"/>
        </w:rPr>
        <w:t xml:space="preserve">has </w:t>
      </w:r>
      <w:r w:rsidR="00DE080C" w:rsidRPr="00C314E3">
        <w:rPr>
          <w:rFonts w:ascii="Arial" w:hAnsi="Arial" w:cs="Arial"/>
          <w:sz w:val="24"/>
          <w:szCs w:val="24"/>
        </w:rPr>
        <w:t xml:space="preserve">already </w:t>
      </w:r>
      <w:r w:rsidR="00B854DE" w:rsidRPr="00C314E3">
        <w:rPr>
          <w:rFonts w:ascii="Arial" w:hAnsi="Arial" w:cs="Arial"/>
          <w:sz w:val="24"/>
          <w:szCs w:val="24"/>
        </w:rPr>
        <w:t xml:space="preserve">granted or refused the same relief </w:t>
      </w:r>
      <w:r w:rsidR="00DE080C" w:rsidRPr="00C314E3">
        <w:rPr>
          <w:rFonts w:ascii="Arial" w:hAnsi="Arial" w:cs="Arial"/>
          <w:sz w:val="24"/>
          <w:szCs w:val="24"/>
        </w:rPr>
        <w:t>premised on the same cause of action</w:t>
      </w:r>
      <w:r w:rsidR="00CE4606" w:rsidRPr="00C314E3">
        <w:rPr>
          <w:rFonts w:ascii="Arial" w:hAnsi="Arial" w:cs="Arial"/>
          <w:sz w:val="24"/>
          <w:szCs w:val="24"/>
        </w:rPr>
        <w:t xml:space="preserve">. To put it more </w:t>
      </w:r>
      <w:r w:rsidR="00E93AB8" w:rsidRPr="00C314E3">
        <w:rPr>
          <w:rFonts w:ascii="Arial" w:hAnsi="Arial" w:cs="Arial"/>
          <w:sz w:val="24"/>
          <w:szCs w:val="24"/>
        </w:rPr>
        <w:t>elementarily</w:t>
      </w:r>
      <w:r w:rsidR="003B7789" w:rsidRPr="00C314E3">
        <w:rPr>
          <w:rFonts w:ascii="Arial" w:hAnsi="Arial" w:cs="Arial"/>
          <w:sz w:val="24"/>
          <w:szCs w:val="24"/>
        </w:rPr>
        <w:t xml:space="preserve">, the same thing </w:t>
      </w:r>
      <w:r w:rsidR="007367EA" w:rsidRPr="00C314E3">
        <w:rPr>
          <w:rFonts w:ascii="Arial" w:hAnsi="Arial" w:cs="Arial"/>
          <w:sz w:val="24"/>
          <w:szCs w:val="24"/>
        </w:rPr>
        <w:t xml:space="preserve">must </w:t>
      </w:r>
      <w:r w:rsidR="007412EE" w:rsidRPr="00C314E3">
        <w:rPr>
          <w:rFonts w:ascii="Arial" w:hAnsi="Arial" w:cs="Arial"/>
          <w:sz w:val="24"/>
          <w:szCs w:val="24"/>
        </w:rPr>
        <w:t xml:space="preserve">have </w:t>
      </w:r>
      <w:r w:rsidR="007367EA" w:rsidRPr="00C314E3">
        <w:rPr>
          <w:rFonts w:ascii="Arial" w:hAnsi="Arial" w:cs="Arial"/>
          <w:sz w:val="24"/>
          <w:szCs w:val="24"/>
        </w:rPr>
        <w:t>already been decided on the same grounds</w:t>
      </w:r>
      <w:r w:rsidR="00561C47" w:rsidRPr="00C314E3">
        <w:rPr>
          <w:rFonts w:ascii="Arial" w:hAnsi="Arial" w:cs="Arial"/>
          <w:sz w:val="24"/>
          <w:szCs w:val="24"/>
        </w:rPr>
        <w:t>.</w:t>
      </w:r>
      <w:r w:rsidR="007124EB" w:rsidRPr="00C314E3">
        <w:rPr>
          <w:rFonts w:ascii="Arial" w:hAnsi="Arial" w:cs="Arial"/>
          <w:sz w:val="24"/>
          <w:szCs w:val="24"/>
        </w:rPr>
        <w:t xml:space="preserve"> </w:t>
      </w:r>
      <w:r w:rsidR="00561C47" w:rsidRPr="00C314E3">
        <w:rPr>
          <w:rFonts w:ascii="Arial" w:hAnsi="Arial" w:cs="Arial"/>
          <w:sz w:val="24"/>
          <w:szCs w:val="24"/>
        </w:rPr>
        <w:t>A</w:t>
      </w:r>
      <w:r w:rsidR="00F05FD9" w:rsidRPr="00C314E3">
        <w:rPr>
          <w:rFonts w:ascii="Arial" w:hAnsi="Arial" w:cs="Arial"/>
          <w:sz w:val="24"/>
          <w:szCs w:val="24"/>
        </w:rPr>
        <w:t>lternatively, a</w:t>
      </w:r>
      <w:r w:rsidR="00561C47" w:rsidRPr="00C314E3">
        <w:rPr>
          <w:rFonts w:ascii="Arial" w:hAnsi="Arial" w:cs="Arial"/>
          <w:sz w:val="24"/>
          <w:szCs w:val="24"/>
        </w:rPr>
        <w:t xml:space="preserve"> party may invoke</w:t>
      </w:r>
      <w:r w:rsidR="00DE080C" w:rsidRPr="00C314E3">
        <w:rPr>
          <w:rFonts w:ascii="Arial" w:hAnsi="Arial" w:cs="Arial"/>
          <w:sz w:val="24"/>
          <w:szCs w:val="24"/>
        </w:rPr>
        <w:t xml:space="preserve"> </w:t>
      </w:r>
      <w:r w:rsidR="00F05FD9" w:rsidRPr="00C314E3">
        <w:rPr>
          <w:rFonts w:ascii="Arial" w:hAnsi="Arial" w:cs="Arial"/>
          <w:sz w:val="24"/>
          <w:szCs w:val="24"/>
        </w:rPr>
        <w:t xml:space="preserve">issue estoppel </w:t>
      </w:r>
      <w:r w:rsidR="007E61C2" w:rsidRPr="00C314E3">
        <w:rPr>
          <w:rFonts w:ascii="Arial" w:hAnsi="Arial" w:cs="Arial"/>
          <w:sz w:val="24"/>
          <w:szCs w:val="24"/>
        </w:rPr>
        <w:t>purely on the basis that the same issue has already been determined</w:t>
      </w:r>
      <w:r w:rsidR="0012504E" w:rsidRPr="00C314E3">
        <w:rPr>
          <w:rFonts w:ascii="Arial" w:hAnsi="Arial" w:cs="Arial"/>
          <w:sz w:val="24"/>
          <w:szCs w:val="24"/>
        </w:rPr>
        <w:t xml:space="preserve">, notwithstanding the fact that the </w:t>
      </w:r>
      <w:r w:rsidR="001F3E58" w:rsidRPr="00C314E3">
        <w:rPr>
          <w:rFonts w:ascii="Arial" w:hAnsi="Arial" w:cs="Arial"/>
          <w:sz w:val="24"/>
          <w:szCs w:val="24"/>
        </w:rPr>
        <w:t xml:space="preserve">usual requirements for </w:t>
      </w:r>
      <w:r w:rsidR="001F3E58" w:rsidRPr="00C314E3">
        <w:rPr>
          <w:rFonts w:ascii="Arial" w:hAnsi="Arial" w:cs="Arial"/>
          <w:i/>
          <w:iCs/>
          <w:sz w:val="24"/>
          <w:szCs w:val="24"/>
        </w:rPr>
        <w:t>res iudicata</w:t>
      </w:r>
      <w:r w:rsidR="001F3E58" w:rsidRPr="00C314E3">
        <w:rPr>
          <w:rFonts w:ascii="Arial" w:hAnsi="Arial" w:cs="Arial"/>
          <w:sz w:val="24"/>
          <w:szCs w:val="24"/>
        </w:rPr>
        <w:t xml:space="preserve"> have not been met</w:t>
      </w:r>
      <w:r w:rsidR="007E61C2" w:rsidRPr="00C314E3">
        <w:rPr>
          <w:rFonts w:ascii="Arial" w:hAnsi="Arial" w:cs="Arial"/>
          <w:sz w:val="24"/>
          <w:szCs w:val="24"/>
        </w:rPr>
        <w:t xml:space="preserve">. Crucially, the special plea, however it is </w:t>
      </w:r>
      <w:r w:rsidR="00E85F2C" w:rsidRPr="00C314E3">
        <w:rPr>
          <w:rFonts w:ascii="Arial" w:hAnsi="Arial" w:cs="Arial"/>
          <w:sz w:val="24"/>
          <w:szCs w:val="24"/>
        </w:rPr>
        <w:t xml:space="preserve">framed, depends on </w:t>
      </w:r>
      <w:r w:rsidR="00C90354" w:rsidRPr="00C314E3">
        <w:rPr>
          <w:rFonts w:ascii="Arial" w:hAnsi="Arial" w:cs="Arial"/>
          <w:sz w:val="24"/>
          <w:szCs w:val="24"/>
        </w:rPr>
        <w:t>a prior adjudication that is</w:t>
      </w:r>
      <w:r w:rsidR="00C35E4E" w:rsidRPr="00C314E3">
        <w:rPr>
          <w:rFonts w:ascii="Arial" w:hAnsi="Arial" w:cs="Arial"/>
          <w:sz w:val="24"/>
          <w:szCs w:val="24"/>
        </w:rPr>
        <w:t>, at the very least,</w:t>
      </w:r>
      <w:r w:rsidR="00C90354" w:rsidRPr="00C314E3">
        <w:rPr>
          <w:rFonts w:ascii="Arial" w:hAnsi="Arial" w:cs="Arial"/>
          <w:sz w:val="24"/>
          <w:szCs w:val="24"/>
        </w:rPr>
        <w:t xml:space="preserve"> dispositive</w:t>
      </w:r>
      <w:r w:rsidR="00C35E4E" w:rsidRPr="00C314E3">
        <w:rPr>
          <w:rFonts w:ascii="Arial" w:hAnsi="Arial" w:cs="Arial"/>
          <w:sz w:val="24"/>
          <w:szCs w:val="24"/>
        </w:rPr>
        <w:t xml:space="preserve"> of the issue in question.</w:t>
      </w:r>
    </w:p>
    <w:p w14:paraId="3CEE092D" w14:textId="77777777" w:rsidR="00B11B24" w:rsidRPr="00B11B24" w:rsidRDefault="00B11B24" w:rsidP="00B11B24">
      <w:pPr>
        <w:pStyle w:val="ListParagraph"/>
        <w:rPr>
          <w:rFonts w:ascii="Arial" w:hAnsi="Arial" w:cs="Arial"/>
          <w:sz w:val="24"/>
          <w:szCs w:val="24"/>
        </w:rPr>
      </w:pPr>
    </w:p>
    <w:p w14:paraId="12E2D1E0" w14:textId="45841949" w:rsidR="00C35E4E" w:rsidRPr="00C314E3" w:rsidRDefault="00C314E3" w:rsidP="00C314E3">
      <w:pPr>
        <w:spacing w:line="360" w:lineRule="auto"/>
        <w:jc w:val="both"/>
        <w:rPr>
          <w:rFonts w:ascii="Arial" w:hAnsi="Arial" w:cs="Arial"/>
          <w:sz w:val="24"/>
          <w:szCs w:val="24"/>
        </w:rPr>
      </w:pPr>
      <w:r w:rsidRPr="00B11B24">
        <w:rPr>
          <w:rFonts w:ascii="Arial" w:hAnsi="Arial" w:cs="Arial"/>
          <w:sz w:val="24"/>
          <w:szCs w:val="24"/>
        </w:rPr>
        <w:t>[46]</w:t>
      </w:r>
      <w:r w:rsidRPr="00B11B24">
        <w:rPr>
          <w:rFonts w:ascii="Arial" w:hAnsi="Arial" w:cs="Arial"/>
          <w:sz w:val="24"/>
          <w:szCs w:val="24"/>
        </w:rPr>
        <w:tab/>
      </w:r>
      <w:r w:rsidR="00C35E4E" w:rsidRPr="00C314E3">
        <w:rPr>
          <w:rFonts w:ascii="Arial" w:hAnsi="Arial" w:cs="Arial"/>
          <w:sz w:val="24"/>
          <w:szCs w:val="24"/>
        </w:rPr>
        <w:t xml:space="preserve">In the present matter, </w:t>
      </w:r>
      <w:r w:rsidR="00E93AB8" w:rsidRPr="00C314E3">
        <w:rPr>
          <w:rFonts w:ascii="Arial" w:hAnsi="Arial" w:cs="Arial"/>
          <w:sz w:val="24"/>
          <w:szCs w:val="24"/>
        </w:rPr>
        <w:t xml:space="preserve">it </w:t>
      </w:r>
      <w:r w:rsidR="002A6349" w:rsidRPr="00C314E3">
        <w:rPr>
          <w:rFonts w:ascii="Arial" w:hAnsi="Arial" w:cs="Arial"/>
          <w:sz w:val="24"/>
          <w:szCs w:val="24"/>
        </w:rPr>
        <w:t xml:space="preserve">cannot be </w:t>
      </w:r>
      <w:r w:rsidR="00B87FE9" w:rsidRPr="00C314E3">
        <w:rPr>
          <w:rFonts w:ascii="Arial" w:hAnsi="Arial" w:cs="Arial"/>
          <w:sz w:val="24"/>
          <w:szCs w:val="24"/>
        </w:rPr>
        <w:t>argued that the decision of Hartle J disposed of the issue of whether the first respondent is an unlawful occupier</w:t>
      </w:r>
      <w:r w:rsidR="00A44975" w:rsidRPr="00C314E3">
        <w:rPr>
          <w:rFonts w:ascii="Arial" w:hAnsi="Arial" w:cs="Arial"/>
          <w:sz w:val="24"/>
          <w:szCs w:val="24"/>
        </w:rPr>
        <w:t>. That issue remains very much alive.</w:t>
      </w:r>
      <w:r w:rsidR="000C1067" w:rsidRPr="00C314E3">
        <w:rPr>
          <w:rFonts w:ascii="Arial" w:hAnsi="Arial" w:cs="Arial"/>
          <w:sz w:val="24"/>
          <w:szCs w:val="24"/>
        </w:rPr>
        <w:t xml:space="preserve"> Consequently, the first respondent’s point </w:t>
      </w:r>
      <w:r w:rsidR="000C1067" w:rsidRPr="00C314E3">
        <w:rPr>
          <w:rFonts w:ascii="Arial" w:hAnsi="Arial" w:cs="Arial"/>
          <w:i/>
          <w:iCs/>
          <w:sz w:val="24"/>
          <w:szCs w:val="24"/>
        </w:rPr>
        <w:t>in limine</w:t>
      </w:r>
      <w:r w:rsidR="000C1067" w:rsidRPr="00C314E3">
        <w:rPr>
          <w:rFonts w:ascii="Arial" w:hAnsi="Arial" w:cs="Arial"/>
          <w:sz w:val="24"/>
          <w:szCs w:val="24"/>
        </w:rPr>
        <w:t xml:space="preserve"> </w:t>
      </w:r>
      <w:r w:rsidR="00C33104" w:rsidRPr="00C314E3">
        <w:rPr>
          <w:rFonts w:ascii="Arial" w:hAnsi="Arial" w:cs="Arial"/>
          <w:sz w:val="24"/>
          <w:szCs w:val="24"/>
        </w:rPr>
        <w:t>fails</w:t>
      </w:r>
      <w:r w:rsidR="002C3DDF" w:rsidRPr="00C314E3">
        <w:rPr>
          <w:rFonts w:ascii="Arial" w:hAnsi="Arial" w:cs="Arial"/>
          <w:sz w:val="24"/>
          <w:szCs w:val="24"/>
        </w:rPr>
        <w:t xml:space="preserve">. The court is satisfied </w:t>
      </w:r>
      <w:r w:rsidR="002C3DDF" w:rsidRPr="00C314E3">
        <w:rPr>
          <w:rFonts w:ascii="Arial" w:hAnsi="Arial" w:cs="Arial"/>
          <w:sz w:val="24"/>
          <w:szCs w:val="24"/>
        </w:rPr>
        <w:lastRenderedPageBreak/>
        <w:t xml:space="preserve">that the application has successfully navigated </w:t>
      </w:r>
      <w:r w:rsidR="001E41B3" w:rsidRPr="00C314E3">
        <w:rPr>
          <w:rFonts w:ascii="Arial" w:hAnsi="Arial" w:cs="Arial"/>
          <w:sz w:val="24"/>
          <w:szCs w:val="24"/>
        </w:rPr>
        <w:t xml:space="preserve">the perils of </w:t>
      </w:r>
      <w:r w:rsidR="001E41B3" w:rsidRPr="00C314E3">
        <w:rPr>
          <w:rFonts w:ascii="Arial" w:hAnsi="Arial" w:cs="Arial"/>
          <w:i/>
          <w:iCs/>
          <w:sz w:val="24"/>
          <w:szCs w:val="24"/>
        </w:rPr>
        <w:t>res iudicata</w:t>
      </w:r>
      <w:r w:rsidR="001E41B3" w:rsidRPr="00C314E3">
        <w:rPr>
          <w:rFonts w:ascii="Arial" w:hAnsi="Arial" w:cs="Arial"/>
          <w:sz w:val="24"/>
          <w:szCs w:val="24"/>
        </w:rPr>
        <w:t xml:space="preserve"> and </w:t>
      </w:r>
      <w:r w:rsidR="00904CEF" w:rsidRPr="00C314E3">
        <w:rPr>
          <w:rFonts w:ascii="Arial" w:hAnsi="Arial" w:cs="Arial"/>
          <w:sz w:val="24"/>
          <w:szCs w:val="24"/>
        </w:rPr>
        <w:t xml:space="preserve">that it is necessary to investigate </w:t>
      </w:r>
      <w:r w:rsidR="00E21EF1" w:rsidRPr="00C314E3">
        <w:rPr>
          <w:rFonts w:ascii="Arial" w:hAnsi="Arial" w:cs="Arial"/>
          <w:sz w:val="24"/>
          <w:szCs w:val="24"/>
        </w:rPr>
        <w:t>the merits of the matter in the paragraphs that follow.</w:t>
      </w:r>
    </w:p>
    <w:p w14:paraId="229A3FA4" w14:textId="77777777" w:rsidR="00B03062" w:rsidRDefault="00B03062" w:rsidP="009619D9">
      <w:pPr>
        <w:spacing w:line="360" w:lineRule="auto"/>
        <w:rPr>
          <w:rFonts w:ascii="Arial" w:hAnsi="Arial" w:cs="Arial"/>
          <w:sz w:val="24"/>
          <w:szCs w:val="24"/>
        </w:rPr>
      </w:pPr>
    </w:p>
    <w:p w14:paraId="12883213" w14:textId="77777777" w:rsidR="00B03062" w:rsidRDefault="00B03062" w:rsidP="00E77158">
      <w:pPr>
        <w:spacing w:line="360" w:lineRule="auto"/>
        <w:jc w:val="both"/>
        <w:rPr>
          <w:rFonts w:ascii="Arial" w:hAnsi="Arial" w:cs="Arial"/>
          <w:b/>
          <w:bCs/>
          <w:sz w:val="24"/>
          <w:szCs w:val="24"/>
        </w:rPr>
      </w:pPr>
      <w:r w:rsidRPr="005E6F2B">
        <w:rPr>
          <w:rFonts w:ascii="Arial" w:hAnsi="Arial" w:cs="Arial"/>
          <w:b/>
          <w:bCs/>
          <w:sz w:val="24"/>
          <w:szCs w:val="24"/>
        </w:rPr>
        <w:t>Discussion</w:t>
      </w:r>
    </w:p>
    <w:p w14:paraId="0DF5BEEC" w14:textId="77777777" w:rsidR="001D5465" w:rsidRDefault="001D5465" w:rsidP="009619D9">
      <w:pPr>
        <w:spacing w:line="360" w:lineRule="auto"/>
        <w:rPr>
          <w:rFonts w:ascii="Arial" w:hAnsi="Arial" w:cs="Arial"/>
          <w:b/>
          <w:bCs/>
          <w:sz w:val="24"/>
          <w:szCs w:val="24"/>
        </w:rPr>
      </w:pPr>
    </w:p>
    <w:p w14:paraId="27AA2A2B" w14:textId="5E5C37C0" w:rsidR="008658BA" w:rsidRPr="00C314E3" w:rsidRDefault="00C314E3" w:rsidP="00C314E3">
      <w:pPr>
        <w:spacing w:line="360" w:lineRule="auto"/>
        <w:jc w:val="both"/>
        <w:rPr>
          <w:rFonts w:ascii="Arial" w:hAnsi="Arial" w:cs="Arial"/>
          <w:sz w:val="24"/>
          <w:szCs w:val="24"/>
        </w:rPr>
      </w:pPr>
      <w:r w:rsidRPr="00B11B24">
        <w:rPr>
          <w:rFonts w:ascii="Arial" w:hAnsi="Arial" w:cs="Arial"/>
          <w:sz w:val="24"/>
          <w:szCs w:val="24"/>
        </w:rPr>
        <w:t>[47]</w:t>
      </w:r>
      <w:r w:rsidRPr="00B11B24">
        <w:rPr>
          <w:rFonts w:ascii="Arial" w:hAnsi="Arial" w:cs="Arial"/>
          <w:sz w:val="24"/>
          <w:szCs w:val="24"/>
        </w:rPr>
        <w:tab/>
      </w:r>
      <w:r w:rsidR="001D5465" w:rsidRPr="00C314E3">
        <w:rPr>
          <w:rFonts w:ascii="Arial" w:hAnsi="Arial" w:cs="Arial"/>
          <w:sz w:val="24"/>
          <w:szCs w:val="24"/>
        </w:rPr>
        <w:t xml:space="preserve">The merits of the application will be discussed in the paragraphs that follow, in accordance with the various </w:t>
      </w:r>
      <w:r w:rsidR="008658BA" w:rsidRPr="00C314E3">
        <w:rPr>
          <w:rFonts w:ascii="Arial" w:hAnsi="Arial" w:cs="Arial"/>
          <w:sz w:val="24"/>
          <w:szCs w:val="24"/>
        </w:rPr>
        <w:t xml:space="preserve">issues that have emerged. </w:t>
      </w:r>
    </w:p>
    <w:p w14:paraId="46208392" w14:textId="77777777" w:rsidR="008658BA" w:rsidRDefault="008658BA" w:rsidP="009619D9">
      <w:pPr>
        <w:spacing w:line="360" w:lineRule="auto"/>
        <w:rPr>
          <w:rFonts w:ascii="Arial" w:hAnsi="Arial" w:cs="Arial"/>
          <w:sz w:val="24"/>
          <w:szCs w:val="24"/>
        </w:rPr>
      </w:pPr>
    </w:p>
    <w:p w14:paraId="68644A9C" w14:textId="77777777" w:rsidR="008658BA" w:rsidRPr="003F27EC" w:rsidRDefault="008658BA" w:rsidP="00E77158">
      <w:pPr>
        <w:spacing w:line="360" w:lineRule="auto"/>
        <w:jc w:val="both"/>
        <w:rPr>
          <w:rFonts w:ascii="Arial" w:hAnsi="Arial" w:cs="Arial"/>
          <w:i/>
          <w:iCs/>
          <w:sz w:val="24"/>
          <w:szCs w:val="24"/>
        </w:rPr>
      </w:pPr>
      <w:r w:rsidRPr="003F27EC">
        <w:rPr>
          <w:rFonts w:ascii="Arial" w:hAnsi="Arial" w:cs="Arial"/>
          <w:i/>
          <w:iCs/>
          <w:sz w:val="24"/>
          <w:szCs w:val="24"/>
        </w:rPr>
        <w:t>Dispute of fact</w:t>
      </w:r>
    </w:p>
    <w:p w14:paraId="6A8F22F4" w14:textId="77777777" w:rsidR="008658BA" w:rsidRDefault="008658BA" w:rsidP="009619D9">
      <w:pPr>
        <w:spacing w:line="360" w:lineRule="auto"/>
        <w:rPr>
          <w:rFonts w:ascii="Arial" w:hAnsi="Arial" w:cs="Arial"/>
          <w:sz w:val="24"/>
          <w:szCs w:val="24"/>
        </w:rPr>
      </w:pPr>
    </w:p>
    <w:p w14:paraId="103CD425" w14:textId="420C921A" w:rsidR="00B11B24" w:rsidRPr="00C314E3" w:rsidRDefault="00C314E3" w:rsidP="00C314E3">
      <w:pPr>
        <w:spacing w:line="36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r>
      <w:r w:rsidR="00B03062" w:rsidRPr="00C314E3">
        <w:rPr>
          <w:rFonts w:ascii="Arial" w:hAnsi="Arial" w:cs="Arial"/>
          <w:sz w:val="24"/>
          <w:szCs w:val="24"/>
        </w:rPr>
        <w:t xml:space="preserve">At the heart of the </w:t>
      </w:r>
      <w:r w:rsidR="00780934" w:rsidRPr="00C314E3">
        <w:rPr>
          <w:rFonts w:ascii="Arial" w:hAnsi="Arial" w:cs="Arial"/>
          <w:sz w:val="24"/>
          <w:szCs w:val="24"/>
        </w:rPr>
        <w:t xml:space="preserve">first respondent’s </w:t>
      </w:r>
      <w:r w:rsidR="00320426" w:rsidRPr="00C314E3">
        <w:rPr>
          <w:rFonts w:ascii="Arial" w:hAnsi="Arial" w:cs="Arial"/>
          <w:sz w:val="24"/>
          <w:szCs w:val="24"/>
        </w:rPr>
        <w:t>defence</w:t>
      </w:r>
      <w:r w:rsidR="00A57A58" w:rsidRPr="00C314E3">
        <w:rPr>
          <w:rFonts w:ascii="Arial" w:hAnsi="Arial" w:cs="Arial"/>
          <w:sz w:val="24"/>
          <w:szCs w:val="24"/>
        </w:rPr>
        <w:t xml:space="preserve"> is </w:t>
      </w:r>
      <w:r w:rsidR="00780934" w:rsidRPr="00C314E3">
        <w:rPr>
          <w:rFonts w:ascii="Arial" w:hAnsi="Arial" w:cs="Arial"/>
          <w:sz w:val="24"/>
          <w:szCs w:val="24"/>
        </w:rPr>
        <w:t xml:space="preserve">his </w:t>
      </w:r>
      <w:r w:rsidR="00320426" w:rsidRPr="00C314E3">
        <w:rPr>
          <w:rFonts w:ascii="Arial" w:hAnsi="Arial" w:cs="Arial"/>
          <w:sz w:val="24"/>
          <w:szCs w:val="24"/>
        </w:rPr>
        <w:t xml:space="preserve">reliance on </w:t>
      </w:r>
      <w:r w:rsidR="00CC43D8" w:rsidRPr="00C314E3">
        <w:rPr>
          <w:rFonts w:ascii="Arial" w:hAnsi="Arial" w:cs="Arial"/>
          <w:sz w:val="24"/>
          <w:szCs w:val="24"/>
        </w:rPr>
        <w:t>a lien or pledge</w:t>
      </w:r>
      <w:r w:rsidR="003A0727" w:rsidRPr="00C314E3">
        <w:rPr>
          <w:rFonts w:ascii="Arial" w:hAnsi="Arial" w:cs="Arial"/>
          <w:sz w:val="24"/>
          <w:szCs w:val="24"/>
        </w:rPr>
        <w:t xml:space="preserve"> over the property</w:t>
      </w:r>
      <w:r w:rsidR="00D07944" w:rsidRPr="00C314E3">
        <w:rPr>
          <w:rFonts w:ascii="Arial" w:hAnsi="Arial" w:cs="Arial"/>
          <w:sz w:val="24"/>
          <w:szCs w:val="24"/>
        </w:rPr>
        <w:t xml:space="preserve">, derived from a verbal agreement with Mr Kriel to the </w:t>
      </w:r>
      <w:r w:rsidR="00F7665B" w:rsidRPr="00C314E3">
        <w:rPr>
          <w:rFonts w:ascii="Arial" w:hAnsi="Arial" w:cs="Arial"/>
          <w:sz w:val="24"/>
          <w:szCs w:val="24"/>
        </w:rPr>
        <w:t>effect that he could take occupation as security for the loan.</w:t>
      </w:r>
      <w:r w:rsidR="003F5310" w:rsidRPr="00C314E3">
        <w:rPr>
          <w:rFonts w:ascii="Arial" w:hAnsi="Arial" w:cs="Arial"/>
          <w:sz w:val="24"/>
          <w:szCs w:val="24"/>
        </w:rPr>
        <w:t xml:space="preserve"> In</w:t>
      </w:r>
      <w:r w:rsidR="000D770B" w:rsidRPr="00C314E3">
        <w:rPr>
          <w:rFonts w:ascii="Arial" w:hAnsi="Arial" w:cs="Arial"/>
          <w:sz w:val="24"/>
          <w:szCs w:val="24"/>
        </w:rPr>
        <w:t xml:space="preserve"> contrast, </w:t>
      </w:r>
      <w:r w:rsidR="000B1C2D" w:rsidRPr="00C314E3">
        <w:rPr>
          <w:rFonts w:ascii="Arial" w:hAnsi="Arial" w:cs="Arial"/>
          <w:sz w:val="24"/>
          <w:szCs w:val="24"/>
        </w:rPr>
        <w:t>Mr Kriel has denied the existence of such agreement</w:t>
      </w:r>
      <w:r w:rsidR="00374719" w:rsidRPr="00C314E3">
        <w:rPr>
          <w:rFonts w:ascii="Arial" w:hAnsi="Arial" w:cs="Arial"/>
          <w:sz w:val="24"/>
          <w:szCs w:val="24"/>
        </w:rPr>
        <w:t xml:space="preserve"> and asserted that the first respondent’s occupation </w:t>
      </w:r>
      <w:r w:rsidR="008959CB" w:rsidRPr="00C314E3">
        <w:rPr>
          <w:rFonts w:ascii="Arial" w:hAnsi="Arial" w:cs="Arial"/>
          <w:sz w:val="24"/>
          <w:szCs w:val="24"/>
        </w:rPr>
        <w:t xml:space="preserve">merely </w:t>
      </w:r>
      <w:r w:rsidR="00374719" w:rsidRPr="00C314E3">
        <w:rPr>
          <w:rFonts w:ascii="Arial" w:hAnsi="Arial" w:cs="Arial"/>
          <w:sz w:val="24"/>
          <w:szCs w:val="24"/>
        </w:rPr>
        <w:t xml:space="preserve">came about in anticipation of the </w:t>
      </w:r>
      <w:r w:rsidR="0081627F" w:rsidRPr="00C314E3">
        <w:rPr>
          <w:rFonts w:ascii="Arial" w:hAnsi="Arial" w:cs="Arial"/>
          <w:sz w:val="24"/>
          <w:szCs w:val="24"/>
        </w:rPr>
        <w:t>purchase of the property</w:t>
      </w:r>
      <w:r w:rsidR="008A617E" w:rsidRPr="00C314E3">
        <w:rPr>
          <w:rFonts w:ascii="Arial" w:hAnsi="Arial" w:cs="Arial"/>
          <w:sz w:val="24"/>
          <w:szCs w:val="24"/>
        </w:rPr>
        <w:t>.</w:t>
      </w:r>
    </w:p>
    <w:p w14:paraId="08A33954" w14:textId="2B016236" w:rsidR="001E5754" w:rsidRPr="00C314E3" w:rsidRDefault="00C314E3" w:rsidP="00C314E3">
      <w:pPr>
        <w:spacing w:line="360" w:lineRule="auto"/>
        <w:jc w:val="both"/>
        <w:rPr>
          <w:rFonts w:ascii="Arial" w:hAnsi="Arial" w:cs="Arial"/>
          <w:sz w:val="24"/>
          <w:szCs w:val="24"/>
        </w:rPr>
      </w:pPr>
      <w:r w:rsidRPr="00B11B24">
        <w:rPr>
          <w:rFonts w:ascii="Arial" w:hAnsi="Arial" w:cs="Arial"/>
          <w:sz w:val="24"/>
          <w:szCs w:val="24"/>
        </w:rPr>
        <w:t>[49]</w:t>
      </w:r>
      <w:r w:rsidRPr="00B11B24">
        <w:rPr>
          <w:rFonts w:ascii="Arial" w:hAnsi="Arial" w:cs="Arial"/>
          <w:sz w:val="24"/>
          <w:szCs w:val="24"/>
        </w:rPr>
        <w:tab/>
      </w:r>
      <w:r w:rsidR="00B33A79" w:rsidRPr="00C314E3">
        <w:rPr>
          <w:rFonts w:ascii="Arial" w:hAnsi="Arial" w:cs="Arial"/>
          <w:sz w:val="24"/>
          <w:szCs w:val="24"/>
        </w:rPr>
        <w:t>W</w:t>
      </w:r>
      <w:r w:rsidR="001E5754" w:rsidRPr="00C314E3">
        <w:rPr>
          <w:rFonts w:ascii="Arial" w:hAnsi="Arial" w:cs="Arial"/>
          <w:sz w:val="24"/>
          <w:szCs w:val="24"/>
        </w:rPr>
        <w:t>here the material facts are in dispute and where no request has been made for the matter to be referred for oral evidence</w:t>
      </w:r>
      <w:r w:rsidR="00B33A79" w:rsidRPr="00C314E3">
        <w:rPr>
          <w:rFonts w:ascii="Arial" w:hAnsi="Arial" w:cs="Arial"/>
          <w:sz w:val="24"/>
          <w:szCs w:val="24"/>
        </w:rPr>
        <w:t xml:space="preserve">, the principles </w:t>
      </w:r>
      <w:r w:rsidR="001E5754" w:rsidRPr="00C314E3">
        <w:rPr>
          <w:rFonts w:ascii="Arial" w:hAnsi="Arial" w:cs="Arial"/>
          <w:sz w:val="24"/>
          <w:szCs w:val="24"/>
        </w:rPr>
        <w:t xml:space="preserve">in </w:t>
      </w:r>
      <w:r w:rsidR="001E5754" w:rsidRPr="00C314E3">
        <w:rPr>
          <w:rFonts w:ascii="Arial" w:hAnsi="Arial" w:cs="Arial"/>
          <w:i/>
          <w:iCs/>
          <w:sz w:val="24"/>
          <w:szCs w:val="24"/>
        </w:rPr>
        <w:t>Stellenbosch Farmers’ Winery Ltd v Stellenvale Winery (Pty) Ltd</w:t>
      </w:r>
      <w:r w:rsidR="00723893" w:rsidRPr="00C314E3">
        <w:rPr>
          <w:rFonts w:ascii="Arial" w:hAnsi="Arial" w:cs="Arial"/>
          <w:sz w:val="24"/>
          <w:szCs w:val="24"/>
        </w:rPr>
        <w:t xml:space="preserve"> apply</w:t>
      </w:r>
      <w:r w:rsidR="001E5754" w:rsidRPr="001E5754">
        <w:rPr>
          <w:vertAlign w:val="superscript"/>
        </w:rPr>
        <w:footnoteReference w:id="23"/>
      </w:r>
      <w:r w:rsidR="001E5754" w:rsidRPr="00C314E3">
        <w:rPr>
          <w:rFonts w:ascii="Arial" w:hAnsi="Arial" w:cs="Arial"/>
          <w:sz w:val="24"/>
          <w:szCs w:val="24"/>
        </w:rPr>
        <w:t xml:space="preserve"> where </w:t>
      </w:r>
      <w:r w:rsidR="009826C3" w:rsidRPr="00C314E3">
        <w:rPr>
          <w:rFonts w:ascii="Arial" w:hAnsi="Arial" w:cs="Arial"/>
          <w:sz w:val="24"/>
          <w:szCs w:val="24"/>
        </w:rPr>
        <w:t>Van Wyk J, writing for the full bench</w:t>
      </w:r>
      <w:r w:rsidR="004E63D8" w:rsidRPr="00C314E3">
        <w:rPr>
          <w:rFonts w:ascii="Arial" w:hAnsi="Arial" w:cs="Arial"/>
          <w:sz w:val="24"/>
          <w:szCs w:val="24"/>
        </w:rPr>
        <w:t xml:space="preserve">, </w:t>
      </w:r>
      <w:r w:rsidR="001E5754" w:rsidRPr="00C314E3">
        <w:rPr>
          <w:rFonts w:ascii="Arial" w:hAnsi="Arial" w:cs="Arial"/>
          <w:sz w:val="24"/>
          <w:szCs w:val="24"/>
        </w:rPr>
        <w:t>held that:</w:t>
      </w:r>
    </w:p>
    <w:p w14:paraId="78DB1398" w14:textId="77777777" w:rsidR="001E5754" w:rsidRPr="001E5754" w:rsidRDefault="001E5754" w:rsidP="00B11B24">
      <w:pPr>
        <w:spacing w:line="360" w:lineRule="auto"/>
        <w:ind w:left="720"/>
        <w:jc w:val="both"/>
        <w:rPr>
          <w:rFonts w:ascii="Arial" w:hAnsi="Arial" w:cs="Arial"/>
          <w:sz w:val="20"/>
          <w:szCs w:val="20"/>
        </w:rPr>
      </w:pPr>
      <w:r w:rsidRPr="001E5754">
        <w:rPr>
          <w:rFonts w:ascii="Arial" w:hAnsi="Arial" w:cs="Arial"/>
          <w:sz w:val="20"/>
          <w:szCs w:val="20"/>
        </w:rPr>
        <w:t>‘where there is a dispute as to the facts a final interdict should only be granted in notice of motion proceedings if the facts as stated by the respondents together with the admitted facts in the applicant’s affidavits justify such an order.’</w:t>
      </w:r>
      <w:r w:rsidRPr="001E5754">
        <w:rPr>
          <w:rFonts w:ascii="Arial" w:hAnsi="Arial" w:cs="Arial"/>
          <w:sz w:val="20"/>
          <w:szCs w:val="20"/>
          <w:vertAlign w:val="superscript"/>
        </w:rPr>
        <w:footnoteReference w:id="24"/>
      </w:r>
    </w:p>
    <w:p w14:paraId="078BA462" w14:textId="77777777" w:rsidR="001E5754" w:rsidRPr="001E5754" w:rsidRDefault="001E5754" w:rsidP="001E5754">
      <w:pPr>
        <w:spacing w:line="360" w:lineRule="auto"/>
        <w:rPr>
          <w:rFonts w:ascii="Arial" w:hAnsi="Arial" w:cs="Arial"/>
          <w:sz w:val="24"/>
          <w:szCs w:val="24"/>
        </w:rPr>
      </w:pPr>
    </w:p>
    <w:p w14:paraId="132E0850" w14:textId="0B1ACB3E" w:rsidR="001E5754" w:rsidRPr="00C314E3" w:rsidRDefault="00C314E3" w:rsidP="00C314E3">
      <w:pPr>
        <w:spacing w:line="360" w:lineRule="auto"/>
        <w:jc w:val="both"/>
        <w:rPr>
          <w:rFonts w:ascii="Arial" w:hAnsi="Arial" w:cs="Arial"/>
          <w:sz w:val="24"/>
          <w:szCs w:val="24"/>
        </w:rPr>
      </w:pPr>
      <w:r w:rsidRPr="00B11B24">
        <w:rPr>
          <w:rFonts w:ascii="Arial" w:hAnsi="Arial" w:cs="Arial"/>
          <w:sz w:val="24"/>
          <w:szCs w:val="24"/>
        </w:rPr>
        <w:t>[50]</w:t>
      </w:r>
      <w:r w:rsidRPr="00B11B24">
        <w:rPr>
          <w:rFonts w:ascii="Arial" w:hAnsi="Arial" w:cs="Arial"/>
          <w:sz w:val="24"/>
          <w:szCs w:val="24"/>
        </w:rPr>
        <w:tab/>
      </w:r>
      <w:r w:rsidR="00566369" w:rsidRPr="00C314E3">
        <w:rPr>
          <w:rFonts w:ascii="Arial" w:hAnsi="Arial" w:cs="Arial"/>
          <w:sz w:val="24"/>
          <w:szCs w:val="24"/>
        </w:rPr>
        <w:t xml:space="preserve">A </w:t>
      </w:r>
      <w:r w:rsidR="001E5754" w:rsidRPr="00C314E3">
        <w:rPr>
          <w:rFonts w:ascii="Arial" w:hAnsi="Arial" w:cs="Arial"/>
          <w:sz w:val="24"/>
          <w:szCs w:val="24"/>
        </w:rPr>
        <w:t>court may</w:t>
      </w:r>
      <w:r w:rsidR="00566369" w:rsidRPr="00C314E3">
        <w:rPr>
          <w:rFonts w:ascii="Arial" w:hAnsi="Arial" w:cs="Arial"/>
          <w:sz w:val="24"/>
          <w:szCs w:val="24"/>
        </w:rPr>
        <w:t>, however,</w:t>
      </w:r>
      <w:r w:rsidR="001E5754" w:rsidRPr="00C314E3">
        <w:rPr>
          <w:rFonts w:ascii="Arial" w:hAnsi="Arial" w:cs="Arial"/>
          <w:sz w:val="24"/>
          <w:szCs w:val="24"/>
        </w:rPr>
        <w:t xml:space="preserve"> reject the respondent’s version when his or her allegations are patently implausible. The authority for this is the </w:t>
      </w:r>
      <w:r w:rsidR="007421C6" w:rsidRPr="00C314E3">
        <w:rPr>
          <w:rFonts w:ascii="Arial" w:hAnsi="Arial" w:cs="Arial"/>
          <w:sz w:val="24"/>
          <w:szCs w:val="24"/>
        </w:rPr>
        <w:t>oft-quoted</w:t>
      </w:r>
      <w:r w:rsidR="001E5754" w:rsidRPr="00C314E3">
        <w:rPr>
          <w:rFonts w:ascii="Arial" w:hAnsi="Arial" w:cs="Arial"/>
          <w:sz w:val="24"/>
          <w:szCs w:val="24"/>
        </w:rPr>
        <w:t xml:space="preserve"> decision in </w:t>
      </w:r>
      <w:r w:rsidR="001E5754" w:rsidRPr="00C314E3">
        <w:rPr>
          <w:rFonts w:ascii="Arial" w:hAnsi="Arial" w:cs="Arial"/>
          <w:i/>
          <w:iCs/>
          <w:sz w:val="24"/>
          <w:szCs w:val="24"/>
        </w:rPr>
        <w:t xml:space="preserve">Plascon-Evans </w:t>
      </w:r>
      <w:r w:rsidR="001E5754" w:rsidRPr="00C314E3">
        <w:rPr>
          <w:rFonts w:ascii="Arial" w:hAnsi="Arial" w:cs="Arial"/>
          <w:i/>
          <w:iCs/>
          <w:sz w:val="24"/>
          <w:szCs w:val="24"/>
        </w:rPr>
        <w:lastRenderedPageBreak/>
        <w:t>Paints v Van Riebeeck Paints</w:t>
      </w:r>
      <w:r w:rsidR="001E5754" w:rsidRPr="00C314E3">
        <w:rPr>
          <w:rFonts w:ascii="Arial" w:hAnsi="Arial" w:cs="Arial"/>
          <w:sz w:val="24"/>
          <w:szCs w:val="24"/>
        </w:rPr>
        <w:t>,</w:t>
      </w:r>
      <w:r w:rsidR="001E5754" w:rsidRPr="001E5754">
        <w:rPr>
          <w:vertAlign w:val="superscript"/>
        </w:rPr>
        <w:footnoteReference w:id="25"/>
      </w:r>
      <w:r w:rsidR="001E5754" w:rsidRPr="00C314E3">
        <w:rPr>
          <w:rFonts w:ascii="Arial" w:hAnsi="Arial" w:cs="Arial"/>
          <w:sz w:val="24"/>
          <w:szCs w:val="24"/>
        </w:rPr>
        <w:t xml:space="preserve"> where the </w:t>
      </w:r>
      <w:r w:rsidR="00D70B86" w:rsidRPr="00C314E3">
        <w:rPr>
          <w:rFonts w:ascii="Arial" w:hAnsi="Arial" w:cs="Arial"/>
          <w:sz w:val="24"/>
          <w:szCs w:val="24"/>
        </w:rPr>
        <w:t xml:space="preserve">erstwhile Appellate Division, </w:t>
      </w:r>
      <w:r w:rsidR="00D70B86" w:rsidRPr="00C314E3">
        <w:rPr>
          <w:rFonts w:ascii="Arial" w:hAnsi="Arial" w:cs="Arial"/>
          <w:i/>
          <w:iCs/>
          <w:sz w:val="24"/>
          <w:szCs w:val="24"/>
        </w:rPr>
        <w:t>per</w:t>
      </w:r>
      <w:r w:rsidR="00D70B86" w:rsidRPr="00C314E3">
        <w:rPr>
          <w:rFonts w:ascii="Arial" w:hAnsi="Arial" w:cs="Arial"/>
          <w:sz w:val="24"/>
          <w:szCs w:val="24"/>
        </w:rPr>
        <w:t xml:space="preserve"> Corbett JA,</w:t>
      </w:r>
      <w:r w:rsidR="001E5754" w:rsidRPr="00C314E3">
        <w:rPr>
          <w:rFonts w:ascii="Arial" w:hAnsi="Arial" w:cs="Arial"/>
          <w:sz w:val="24"/>
          <w:szCs w:val="24"/>
        </w:rPr>
        <w:t xml:space="preserve"> held as follows:</w:t>
      </w:r>
    </w:p>
    <w:p w14:paraId="6801AE31" w14:textId="77777777" w:rsidR="001E5754" w:rsidRPr="00456569" w:rsidRDefault="001E5754" w:rsidP="00B11B24">
      <w:pPr>
        <w:spacing w:line="360" w:lineRule="auto"/>
        <w:ind w:left="720"/>
        <w:jc w:val="both"/>
        <w:rPr>
          <w:rFonts w:ascii="Arial" w:hAnsi="Arial" w:cs="Arial"/>
          <w:sz w:val="20"/>
          <w:szCs w:val="20"/>
        </w:rPr>
      </w:pPr>
      <w:r w:rsidRPr="001E5754">
        <w:rPr>
          <w:rFonts w:ascii="Arial" w:hAnsi="Arial" w:cs="Arial"/>
          <w:sz w:val="20"/>
          <w:szCs w:val="20"/>
        </w:rPr>
        <w:t>‘…In certain instances the denial by respondent of a fact alleged by the applicant may not be such as to raise a real, genuine or bona fide dispute of fact… If in such a case the respondent has not availed himself of his right to apply for the deponents concerned to be called for cross-examination… and the Court is satisfied as to the inherent credibility of the applicant’s factual averment, it may proceed on the basis of the correctness thereof and include this fact among those upon which it determines whether the applicant is entitled to the final relief which he seeks… Moreover, there may be exceptions to this general rule, as, for example, where the allegations or denials of the respondent are so far-fetched or clearly untenable that the Court is justified in rejecting them merely on the papers…’</w:t>
      </w:r>
      <w:r w:rsidRPr="001E5754">
        <w:rPr>
          <w:rFonts w:ascii="Arial" w:hAnsi="Arial" w:cs="Arial"/>
          <w:sz w:val="20"/>
          <w:szCs w:val="20"/>
          <w:vertAlign w:val="superscript"/>
        </w:rPr>
        <w:footnoteReference w:id="26"/>
      </w:r>
    </w:p>
    <w:p w14:paraId="2384726E" w14:textId="77777777" w:rsidR="00456569" w:rsidRDefault="00456569" w:rsidP="009619D9">
      <w:pPr>
        <w:spacing w:line="360" w:lineRule="auto"/>
        <w:rPr>
          <w:rFonts w:ascii="Arial" w:hAnsi="Arial" w:cs="Arial"/>
          <w:sz w:val="24"/>
          <w:szCs w:val="24"/>
        </w:rPr>
      </w:pPr>
    </w:p>
    <w:p w14:paraId="2B26BDA1" w14:textId="505B9D52" w:rsidR="00B11B24" w:rsidRPr="00C314E3" w:rsidRDefault="00C314E3" w:rsidP="00C314E3">
      <w:pPr>
        <w:spacing w:line="36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r>
      <w:r w:rsidR="00456569" w:rsidRPr="00C314E3">
        <w:rPr>
          <w:rFonts w:ascii="Arial" w:hAnsi="Arial" w:cs="Arial"/>
          <w:sz w:val="24"/>
          <w:szCs w:val="24"/>
        </w:rPr>
        <w:t xml:space="preserve">In the present matter, </w:t>
      </w:r>
      <w:r w:rsidR="00AE76AE" w:rsidRPr="00C314E3">
        <w:rPr>
          <w:rFonts w:ascii="Arial" w:hAnsi="Arial" w:cs="Arial"/>
          <w:sz w:val="24"/>
          <w:szCs w:val="24"/>
        </w:rPr>
        <w:t xml:space="preserve">there is no </w:t>
      </w:r>
      <w:r w:rsidR="0003056E" w:rsidRPr="00C314E3">
        <w:rPr>
          <w:rFonts w:ascii="Arial" w:hAnsi="Arial" w:cs="Arial"/>
          <w:sz w:val="24"/>
          <w:szCs w:val="24"/>
        </w:rPr>
        <w:t>clear indication that the first respondent’s allegations are so far-fetched</w:t>
      </w:r>
      <w:r w:rsidR="00233E43" w:rsidRPr="00C314E3">
        <w:rPr>
          <w:rFonts w:ascii="Arial" w:hAnsi="Arial" w:cs="Arial"/>
          <w:sz w:val="24"/>
          <w:szCs w:val="24"/>
        </w:rPr>
        <w:t xml:space="preserve"> or untenable as to persuade the court to reject </w:t>
      </w:r>
      <w:r w:rsidR="004E73A0" w:rsidRPr="00C314E3">
        <w:rPr>
          <w:rFonts w:ascii="Arial" w:hAnsi="Arial" w:cs="Arial"/>
          <w:sz w:val="24"/>
          <w:szCs w:val="24"/>
        </w:rPr>
        <w:t>them</w:t>
      </w:r>
      <w:r w:rsidR="00233E43" w:rsidRPr="00C314E3">
        <w:rPr>
          <w:rFonts w:ascii="Arial" w:hAnsi="Arial" w:cs="Arial"/>
          <w:sz w:val="24"/>
          <w:szCs w:val="24"/>
        </w:rPr>
        <w:t>.</w:t>
      </w:r>
      <w:r w:rsidR="00913396" w:rsidRPr="00C314E3">
        <w:rPr>
          <w:rFonts w:ascii="Arial" w:hAnsi="Arial" w:cs="Arial"/>
          <w:sz w:val="24"/>
          <w:szCs w:val="24"/>
        </w:rPr>
        <w:t xml:space="preserve"> </w:t>
      </w:r>
      <w:r w:rsidR="008A09D1" w:rsidRPr="00C314E3">
        <w:rPr>
          <w:rFonts w:ascii="Arial" w:hAnsi="Arial" w:cs="Arial"/>
          <w:sz w:val="24"/>
          <w:szCs w:val="24"/>
        </w:rPr>
        <w:t xml:space="preserve">From the papers, </w:t>
      </w:r>
      <w:r w:rsidR="00C871B2" w:rsidRPr="00C314E3">
        <w:rPr>
          <w:rFonts w:ascii="Arial" w:hAnsi="Arial" w:cs="Arial"/>
          <w:sz w:val="24"/>
          <w:szCs w:val="24"/>
        </w:rPr>
        <w:t>both</w:t>
      </w:r>
      <w:r w:rsidR="008A09D1" w:rsidRPr="00C314E3">
        <w:rPr>
          <w:rFonts w:ascii="Arial" w:hAnsi="Arial" w:cs="Arial"/>
          <w:sz w:val="24"/>
          <w:szCs w:val="24"/>
        </w:rPr>
        <w:t xml:space="preserve"> Mr Kriel and the first respondent are </w:t>
      </w:r>
      <w:r w:rsidR="00665474" w:rsidRPr="00C314E3">
        <w:rPr>
          <w:rFonts w:ascii="Arial" w:hAnsi="Arial" w:cs="Arial"/>
          <w:sz w:val="24"/>
          <w:szCs w:val="24"/>
        </w:rPr>
        <w:t xml:space="preserve">experienced businesspeople with </w:t>
      </w:r>
      <w:r w:rsidR="004A0104" w:rsidRPr="00C314E3">
        <w:rPr>
          <w:rFonts w:ascii="Arial" w:hAnsi="Arial" w:cs="Arial"/>
          <w:sz w:val="24"/>
          <w:szCs w:val="24"/>
        </w:rPr>
        <w:t>healthy</w:t>
      </w:r>
      <w:r w:rsidR="00665474" w:rsidRPr="00C314E3">
        <w:rPr>
          <w:rFonts w:ascii="Arial" w:hAnsi="Arial" w:cs="Arial"/>
          <w:sz w:val="24"/>
          <w:szCs w:val="24"/>
        </w:rPr>
        <w:t xml:space="preserve"> appetite</w:t>
      </w:r>
      <w:r w:rsidR="004A0104" w:rsidRPr="00C314E3">
        <w:rPr>
          <w:rFonts w:ascii="Arial" w:hAnsi="Arial" w:cs="Arial"/>
          <w:sz w:val="24"/>
          <w:szCs w:val="24"/>
        </w:rPr>
        <w:t>s</w:t>
      </w:r>
      <w:r w:rsidR="00665474" w:rsidRPr="00C314E3">
        <w:rPr>
          <w:rFonts w:ascii="Arial" w:hAnsi="Arial" w:cs="Arial"/>
          <w:sz w:val="24"/>
          <w:szCs w:val="24"/>
        </w:rPr>
        <w:t xml:space="preserve"> for risk.</w:t>
      </w:r>
      <w:r w:rsidR="004A0104" w:rsidRPr="00C314E3">
        <w:rPr>
          <w:rFonts w:ascii="Arial" w:hAnsi="Arial" w:cs="Arial"/>
          <w:sz w:val="24"/>
          <w:szCs w:val="24"/>
        </w:rPr>
        <w:t xml:space="preserve"> The </w:t>
      </w:r>
      <w:r w:rsidR="00C871B2" w:rsidRPr="00C314E3">
        <w:rPr>
          <w:rFonts w:ascii="Arial" w:hAnsi="Arial" w:cs="Arial"/>
          <w:sz w:val="24"/>
          <w:szCs w:val="24"/>
        </w:rPr>
        <w:t xml:space="preserve">prospect of </w:t>
      </w:r>
      <w:r w:rsidR="003131A8" w:rsidRPr="00C314E3">
        <w:rPr>
          <w:rFonts w:ascii="Arial" w:hAnsi="Arial" w:cs="Arial"/>
          <w:sz w:val="24"/>
          <w:szCs w:val="24"/>
        </w:rPr>
        <w:t xml:space="preserve">failure </w:t>
      </w:r>
      <w:r w:rsidR="00A4674E" w:rsidRPr="00C314E3">
        <w:rPr>
          <w:rFonts w:ascii="Arial" w:hAnsi="Arial" w:cs="Arial"/>
          <w:sz w:val="24"/>
          <w:szCs w:val="24"/>
        </w:rPr>
        <w:t>in</w:t>
      </w:r>
      <w:r w:rsidR="003131A8" w:rsidRPr="00C314E3">
        <w:rPr>
          <w:rFonts w:ascii="Arial" w:hAnsi="Arial" w:cs="Arial"/>
          <w:sz w:val="24"/>
          <w:szCs w:val="24"/>
        </w:rPr>
        <w:t xml:space="preserve"> </w:t>
      </w:r>
      <w:r w:rsidR="00A4674E" w:rsidRPr="00C314E3">
        <w:rPr>
          <w:rFonts w:ascii="Arial" w:hAnsi="Arial" w:cs="Arial"/>
          <w:sz w:val="24"/>
          <w:szCs w:val="24"/>
        </w:rPr>
        <w:t>a</w:t>
      </w:r>
      <w:r w:rsidR="003131A8" w:rsidRPr="00C314E3">
        <w:rPr>
          <w:rFonts w:ascii="Arial" w:hAnsi="Arial" w:cs="Arial"/>
          <w:sz w:val="24"/>
          <w:szCs w:val="24"/>
        </w:rPr>
        <w:t xml:space="preserve"> deal involving the</w:t>
      </w:r>
      <w:r w:rsidR="00A0119D" w:rsidRPr="00C314E3">
        <w:rPr>
          <w:rFonts w:ascii="Arial" w:hAnsi="Arial" w:cs="Arial"/>
          <w:sz w:val="24"/>
          <w:szCs w:val="24"/>
        </w:rPr>
        <w:t xml:space="preserve"> lease </w:t>
      </w:r>
      <w:r w:rsidR="00A4674E" w:rsidRPr="00C314E3">
        <w:rPr>
          <w:rFonts w:ascii="Arial" w:hAnsi="Arial" w:cs="Arial"/>
          <w:sz w:val="24"/>
          <w:szCs w:val="24"/>
        </w:rPr>
        <w:t xml:space="preserve">of </w:t>
      </w:r>
      <w:r w:rsidR="00A0119D" w:rsidRPr="00C314E3">
        <w:rPr>
          <w:rFonts w:ascii="Arial" w:hAnsi="Arial" w:cs="Arial"/>
          <w:sz w:val="24"/>
          <w:szCs w:val="24"/>
        </w:rPr>
        <w:t>fuel storage tanks at Novorossiysk</w:t>
      </w:r>
      <w:r w:rsidR="00A4674E" w:rsidRPr="00C314E3">
        <w:rPr>
          <w:rFonts w:ascii="Arial" w:hAnsi="Arial" w:cs="Arial"/>
          <w:sz w:val="24"/>
          <w:szCs w:val="24"/>
        </w:rPr>
        <w:t xml:space="preserve"> </w:t>
      </w:r>
      <w:r w:rsidR="004164A2" w:rsidRPr="00C314E3">
        <w:rPr>
          <w:rFonts w:ascii="Arial" w:hAnsi="Arial" w:cs="Arial"/>
          <w:sz w:val="24"/>
          <w:szCs w:val="24"/>
        </w:rPr>
        <w:t xml:space="preserve">appears not to have </w:t>
      </w:r>
      <w:r w:rsidR="00A4674E" w:rsidRPr="00C314E3">
        <w:rPr>
          <w:rFonts w:ascii="Arial" w:hAnsi="Arial" w:cs="Arial"/>
          <w:sz w:val="24"/>
          <w:szCs w:val="24"/>
        </w:rPr>
        <w:t>deter</w:t>
      </w:r>
      <w:r w:rsidR="004164A2" w:rsidRPr="00C314E3">
        <w:rPr>
          <w:rFonts w:ascii="Arial" w:hAnsi="Arial" w:cs="Arial"/>
          <w:sz w:val="24"/>
          <w:szCs w:val="24"/>
        </w:rPr>
        <w:t>red</w:t>
      </w:r>
      <w:r w:rsidR="00A4674E" w:rsidRPr="00C314E3">
        <w:rPr>
          <w:rFonts w:ascii="Arial" w:hAnsi="Arial" w:cs="Arial"/>
          <w:sz w:val="24"/>
          <w:szCs w:val="24"/>
        </w:rPr>
        <w:t xml:space="preserve"> either of them</w:t>
      </w:r>
      <w:r w:rsidR="00370465" w:rsidRPr="00C314E3">
        <w:rPr>
          <w:rFonts w:ascii="Arial" w:hAnsi="Arial" w:cs="Arial"/>
          <w:sz w:val="24"/>
          <w:szCs w:val="24"/>
        </w:rPr>
        <w:t xml:space="preserve">. </w:t>
      </w:r>
      <w:r w:rsidR="001A3898" w:rsidRPr="00C314E3">
        <w:rPr>
          <w:rFonts w:ascii="Arial" w:hAnsi="Arial" w:cs="Arial"/>
          <w:sz w:val="24"/>
          <w:szCs w:val="24"/>
        </w:rPr>
        <w:t>It is common cause</w:t>
      </w:r>
      <w:r w:rsidR="00370465" w:rsidRPr="00C314E3">
        <w:rPr>
          <w:rFonts w:ascii="Arial" w:hAnsi="Arial" w:cs="Arial"/>
          <w:sz w:val="24"/>
          <w:szCs w:val="24"/>
        </w:rPr>
        <w:t>, moreover,</w:t>
      </w:r>
      <w:r w:rsidR="001A3898" w:rsidRPr="00C314E3">
        <w:rPr>
          <w:rFonts w:ascii="Arial" w:hAnsi="Arial" w:cs="Arial"/>
          <w:sz w:val="24"/>
          <w:szCs w:val="24"/>
        </w:rPr>
        <w:t xml:space="preserve"> that Mr Kriel was experiencing financial difficulties at the time</w:t>
      </w:r>
      <w:r w:rsidR="007E1ADB" w:rsidRPr="00C314E3">
        <w:rPr>
          <w:rFonts w:ascii="Arial" w:hAnsi="Arial" w:cs="Arial"/>
          <w:sz w:val="24"/>
          <w:szCs w:val="24"/>
        </w:rPr>
        <w:t>.</w:t>
      </w:r>
      <w:r w:rsidR="00B20467" w:rsidRPr="00C314E3">
        <w:rPr>
          <w:rFonts w:ascii="Arial" w:hAnsi="Arial" w:cs="Arial"/>
          <w:sz w:val="24"/>
          <w:szCs w:val="24"/>
        </w:rPr>
        <w:t xml:space="preserve"> A temporary arrangement </w:t>
      </w:r>
      <w:r w:rsidR="00CA6FA9" w:rsidRPr="00C314E3">
        <w:rPr>
          <w:rFonts w:ascii="Arial" w:hAnsi="Arial" w:cs="Arial"/>
          <w:sz w:val="24"/>
          <w:szCs w:val="24"/>
        </w:rPr>
        <w:t>for</w:t>
      </w:r>
      <w:r w:rsidR="00BB66E6" w:rsidRPr="00C314E3">
        <w:rPr>
          <w:rFonts w:ascii="Arial" w:hAnsi="Arial" w:cs="Arial"/>
          <w:sz w:val="24"/>
          <w:szCs w:val="24"/>
        </w:rPr>
        <w:t xml:space="preserve"> </w:t>
      </w:r>
      <w:r w:rsidR="002239F0" w:rsidRPr="00C314E3">
        <w:rPr>
          <w:rFonts w:ascii="Arial" w:hAnsi="Arial" w:cs="Arial"/>
          <w:sz w:val="24"/>
          <w:szCs w:val="24"/>
        </w:rPr>
        <w:t xml:space="preserve">the first respondent </w:t>
      </w:r>
      <w:r w:rsidR="00BB66E6" w:rsidRPr="00C314E3">
        <w:rPr>
          <w:rFonts w:ascii="Arial" w:hAnsi="Arial" w:cs="Arial"/>
          <w:sz w:val="24"/>
          <w:szCs w:val="24"/>
        </w:rPr>
        <w:t xml:space="preserve">to </w:t>
      </w:r>
      <w:r w:rsidR="007B67E1" w:rsidRPr="00C314E3">
        <w:rPr>
          <w:rFonts w:ascii="Arial" w:hAnsi="Arial" w:cs="Arial"/>
          <w:sz w:val="24"/>
          <w:szCs w:val="24"/>
        </w:rPr>
        <w:t>take occupation</w:t>
      </w:r>
      <w:r w:rsidR="004450CE" w:rsidRPr="00C314E3">
        <w:rPr>
          <w:rFonts w:ascii="Arial" w:hAnsi="Arial" w:cs="Arial"/>
          <w:sz w:val="24"/>
          <w:szCs w:val="24"/>
        </w:rPr>
        <w:t xml:space="preserve"> of the property as a guarantee for repayment of the </w:t>
      </w:r>
      <w:r w:rsidR="000373B4" w:rsidRPr="00C314E3">
        <w:rPr>
          <w:rFonts w:ascii="Arial" w:hAnsi="Arial" w:cs="Arial"/>
          <w:sz w:val="24"/>
          <w:szCs w:val="24"/>
        </w:rPr>
        <w:t xml:space="preserve">Novorossiysk </w:t>
      </w:r>
      <w:r w:rsidR="004450CE" w:rsidRPr="00C314E3">
        <w:rPr>
          <w:rFonts w:ascii="Arial" w:hAnsi="Arial" w:cs="Arial"/>
          <w:sz w:val="24"/>
          <w:szCs w:val="24"/>
        </w:rPr>
        <w:t>loan</w:t>
      </w:r>
      <w:r w:rsidR="007B67E1" w:rsidRPr="00C314E3">
        <w:rPr>
          <w:rFonts w:ascii="Arial" w:hAnsi="Arial" w:cs="Arial"/>
          <w:sz w:val="24"/>
          <w:szCs w:val="24"/>
        </w:rPr>
        <w:t xml:space="preserve">, followed by the conclusion of a contrived deed of sale </w:t>
      </w:r>
      <w:r w:rsidR="006010D6" w:rsidRPr="00C314E3">
        <w:rPr>
          <w:rFonts w:ascii="Arial" w:hAnsi="Arial" w:cs="Arial"/>
          <w:sz w:val="24"/>
          <w:szCs w:val="24"/>
        </w:rPr>
        <w:t xml:space="preserve">to </w:t>
      </w:r>
      <w:r w:rsidR="00BB66E6" w:rsidRPr="00C314E3">
        <w:rPr>
          <w:rFonts w:ascii="Arial" w:hAnsi="Arial" w:cs="Arial"/>
          <w:sz w:val="24"/>
          <w:szCs w:val="24"/>
        </w:rPr>
        <w:t>stave off the bondholder</w:t>
      </w:r>
      <w:r w:rsidR="006010D6" w:rsidRPr="00C314E3">
        <w:rPr>
          <w:rFonts w:ascii="Arial" w:hAnsi="Arial" w:cs="Arial"/>
          <w:sz w:val="24"/>
          <w:szCs w:val="24"/>
        </w:rPr>
        <w:t xml:space="preserve">, </w:t>
      </w:r>
      <w:r w:rsidR="00D00D3B" w:rsidRPr="00C314E3">
        <w:rPr>
          <w:rFonts w:ascii="Arial" w:hAnsi="Arial" w:cs="Arial"/>
          <w:sz w:val="24"/>
          <w:szCs w:val="24"/>
        </w:rPr>
        <w:t xml:space="preserve">is not </w:t>
      </w:r>
      <w:r w:rsidR="00292DC5" w:rsidRPr="00C314E3">
        <w:rPr>
          <w:rFonts w:ascii="Arial" w:hAnsi="Arial" w:cs="Arial"/>
          <w:sz w:val="24"/>
          <w:szCs w:val="24"/>
        </w:rPr>
        <w:t>comple</w:t>
      </w:r>
      <w:r w:rsidR="006010D6" w:rsidRPr="00C314E3">
        <w:rPr>
          <w:rFonts w:ascii="Arial" w:hAnsi="Arial" w:cs="Arial"/>
          <w:sz w:val="24"/>
          <w:szCs w:val="24"/>
        </w:rPr>
        <w:t>t</w:t>
      </w:r>
      <w:r w:rsidR="00D00D3B" w:rsidRPr="00C314E3">
        <w:rPr>
          <w:rFonts w:ascii="Arial" w:hAnsi="Arial" w:cs="Arial"/>
          <w:sz w:val="24"/>
          <w:szCs w:val="24"/>
        </w:rPr>
        <w:t>ely implausible.</w:t>
      </w:r>
      <w:r w:rsidR="00292DC5" w:rsidRPr="00C314E3">
        <w:rPr>
          <w:rFonts w:ascii="Arial" w:hAnsi="Arial" w:cs="Arial"/>
          <w:sz w:val="24"/>
          <w:szCs w:val="24"/>
        </w:rPr>
        <w:t xml:space="preserve"> </w:t>
      </w:r>
      <w:r w:rsidR="009A2AF2" w:rsidRPr="00C314E3">
        <w:rPr>
          <w:rFonts w:ascii="Arial" w:hAnsi="Arial" w:cs="Arial"/>
          <w:sz w:val="24"/>
          <w:szCs w:val="24"/>
        </w:rPr>
        <w:t xml:space="preserve">To this must be added, for further consideration, the unlikelihood of Mr Kriel’s </w:t>
      </w:r>
      <w:r w:rsidR="008A062D" w:rsidRPr="00C314E3">
        <w:rPr>
          <w:rFonts w:ascii="Arial" w:hAnsi="Arial" w:cs="Arial"/>
          <w:sz w:val="24"/>
          <w:szCs w:val="24"/>
        </w:rPr>
        <w:t>version</w:t>
      </w:r>
      <w:r w:rsidR="005E4854" w:rsidRPr="00C314E3">
        <w:rPr>
          <w:rFonts w:ascii="Arial" w:hAnsi="Arial" w:cs="Arial"/>
          <w:sz w:val="24"/>
          <w:szCs w:val="24"/>
        </w:rPr>
        <w:t xml:space="preserve"> that he blithely </w:t>
      </w:r>
      <w:r w:rsidR="008A062D" w:rsidRPr="00C314E3">
        <w:rPr>
          <w:rFonts w:ascii="Arial" w:hAnsi="Arial" w:cs="Arial"/>
          <w:sz w:val="24"/>
          <w:szCs w:val="24"/>
        </w:rPr>
        <w:t xml:space="preserve">permitted the first respondent to </w:t>
      </w:r>
      <w:r w:rsidR="005E4854" w:rsidRPr="00C314E3">
        <w:rPr>
          <w:rFonts w:ascii="Arial" w:hAnsi="Arial" w:cs="Arial"/>
          <w:sz w:val="24"/>
          <w:szCs w:val="24"/>
        </w:rPr>
        <w:t xml:space="preserve">take </w:t>
      </w:r>
      <w:r w:rsidR="008A062D" w:rsidRPr="00C314E3">
        <w:rPr>
          <w:rFonts w:ascii="Arial" w:hAnsi="Arial" w:cs="Arial"/>
          <w:sz w:val="24"/>
          <w:szCs w:val="24"/>
        </w:rPr>
        <w:t>occupation</w:t>
      </w:r>
      <w:r w:rsidR="005E4854" w:rsidRPr="00C314E3">
        <w:rPr>
          <w:rFonts w:ascii="Arial" w:hAnsi="Arial" w:cs="Arial"/>
          <w:sz w:val="24"/>
          <w:szCs w:val="24"/>
        </w:rPr>
        <w:t xml:space="preserve"> </w:t>
      </w:r>
      <w:r w:rsidR="007A1FCC" w:rsidRPr="00C314E3">
        <w:rPr>
          <w:rFonts w:ascii="Arial" w:hAnsi="Arial" w:cs="Arial"/>
          <w:sz w:val="24"/>
          <w:szCs w:val="24"/>
        </w:rPr>
        <w:t>before</w:t>
      </w:r>
      <w:r w:rsidR="005E4854" w:rsidRPr="00C314E3">
        <w:rPr>
          <w:rFonts w:ascii="Arial" w:hAnsi="Arial" w:cs="Arial"/>
          <w:sz w:val="24"/>
          <w:szCs w:val="24"/>
        </w:rPr>
        <w:t xml:space="preserve"> the proper formulation and conclusion of </w:t>
      </w:r>
      <w:r w:rsidR="00D5152D" w:rsidRPr="00C314E3">
        <w:rPr>
          <w:rFonts w:ascii="Arial" w:hAnsi="Arial" w:cs="Arial"/>
          <w:sz w:val="24"/>
          <w:szCs w:val="24"/>
        </w:rPr>
        <w:t xml:space="preserve">a deed of sale that </w:t>
      </w:r>
      <w:r w:rsidR="007A1FCC" w:rsidRPr="00C314E3">
        <w:rPr>
          <w:rFonts w:ascii="Arial" w:hAnsi="Arial" w:cs="Arial"/>
          <w:sz w:val="24"/>
          <w:szCs w:val="24"/>
        </w:rPr>
        <w:t>a</w:t>
      </w:r>
      <w:r w:rsidR="00057578" w:rsidRPr="00C314E3">
        <w:rPr>
          <w:rFonts w:ascii="Arial" w:hAnsi="Arial" w:cs="Arial"/>
          <w:sz w:val="24"/>
          <w:szCs w:val="24"/>
        </w:rPr>
        <w:t>stu</w:t>
      </w:r>
      <w:r w:rsidR="007A1FCC" w:rsidRPr="00C314E3">
        <w:rPr>
          <w:rFonts w:ascii="Arial" w:hAnsi="Arial" w:cs="Arial"/>
          <w:sz w:val="24"/>
          <w:szCs w:val="24"/>
        </w:rPr>
        <w:t xml:space="preserve">tely </w:t>
      </w:r>
      <w:r w:rsidR="00D5152D" w:rsidRPr="00C314E3">
        <w:rPr>
          <w:rFonts w:ascii="Arial" w:hAnsi="Arial" w:cs="Arial"/>
          <w:sz w:val="24"/>
          <w:szCs w:val="24"/>
        </w:rPr>
        <w:t xml:space="preserve">addressed the terms of </w:t>
      </w:r>
      <w:r w:rsidR="007A1FCC" w:rsidRPr="00C314E3">
        <w:rPr>
          <w:rFonts w:ascii="Arial" w:hAnsi="Arial" w:cs="Arial"/>
          <w:sz w:val="24"/>
          <w:szCs w:val="24"/>
        </w:rPr>
        <w:t xml:space="preserve">prior occupation and </w:t>
      </w:r>
      <w:r w:rsidR="00D5152D" w:rsidRPr="00C314E3">
        <w:rPr>
          <w:rFonts w:ascii="Arial" w:hAnsi="Arial" w:cs="Arial"/>
          <w:sz w:val="24"/>
          <w:szCs w:val="24"/>
        </w:rPr>
        <w:t xml:space="preserve">protected the former’s </w:t>
      </w:r>
      <w:r w:rsidR="00A44308" w:rsidRPr="00C314E3">
        <w:rPr>
          <w:rFonts w:ascii="Arial" w:hAnsi="Arial" w:cs="Arial"/>
          <w:sz w:val="24"/>
          <w:szCs w:val="24"/>
        </w:rPr>
        <w:t>rights overall</w:t>
      </w:r>
      <w:r w:rsidR="00CB6654" w:rsidRPr="00C314E3">
        <w:rPr>
          <w:rFonts w:ascii="Arial" w:hAnsi="Arial" w:cs="Arial"/>
          <w:sz w:val="24"/>
          <w:szCs w:val="24"/>
        </w:rPr>
        <w:t xml:space="preserve">. If done correctly, then the resulting deed of sale </w:t>
      </w:r>
      <w:r w:rsidR="004B66BF" w:rsidRPr="00C314E3">
        <w:rPr>
          <w:rFonts w:ascii="Arial" w:hAnsi="Arial" w:cs="Arial"/>
          <w:sz w:val="24"/>
          <w:szCs w:val="24"/>
        </w:rPr>
        <w:t xml:space="preserve">would </w:t>
      </w:r>
      <w:r w:rsidR="00386925" w:rsidRPr="00C314E3">
        <w:rPr>
          <w:rFonts w:ascii="Arial" w:hAnsi="Arial" w:cs="Arial"/>
          <w:sz w:val="24"/>
          <w:szCs w:val="24"/>
        </w:rPr>
        <w:t xml:space="preserve">also </w:t>
      </w:r>
      <w:r w:rsidR="004B66BF" w:rsidRPr="00C314E3">
        <w:rPr>
          <w:rFonts w:ascii="Arial" w:hAnsi="Arial" w:cs="Arial"/>
          <w:sz w:val="24"/>
          <w:szCs w:val="24"/>
        </w:rPr>
        <w:t xml:space="preserve">have served </w:t>
      </w:r>
      <w:r w:rsidR="00A44308" w:rsidRPr="00C314E3">
        <w:rPr>
          <w:rFonts w:ascii="Arial" w:hAnsi="Arial" w:cs="Arial"/>
          <w:sz w:val="24"/>
          <w:szCs w:val="24"/>
        </w:rPr>
        <w:t xml:space="preserve">to prevent the need for </w:t>
      </w:r>
      <w:r w:rsidR="00386925" w:rsidRPr="00C314E3">
        <w:rPr>
          <w:rFonts w:ascii="Arial" w:hAnsi="Arial" w:cs="Arial"/>
          <w:sz w:val="24"/>
          <w:szCs w:val="24"/>
        </w:rPr>
        <w:t xml:space="preserve">Mr Kriel’s </w:t>
      </w:r>
      <w:r w:rsidR="004B66BF" w:rsidRPr="00C314E3">
        <w:rPr>
          <w:rFonts w:ascii="Arial" w:hAnsi="Arial" w:cs="Arial"/>
          <w:sz w:val="24"/>
          <w:szCs w:val="24"/>
        </w:rPr>
        <w:t xml:space="preserve">subsequent action proceedings </w:t>
      </w:r>
      <w:r w:rsidR="00374257" w:rsidRPr="00C314E3">
        <w:rPr>
          <w:rFonts w:ascii="Arial" w:hAnsi="Arial" w:cs="Arial"/>
          <w:sz w:val="24"/>
          <w:szCs w:val="24"/>
        </w:rPr>
        <w:t>(case number EL 381/2019).</w:t>
      </w:r>
      <w:r w:rsidR="00BB287A" w:rsidRPr="00C314E3">
        <w:rPr>
          <w:rFonts w:ascii="Arial" w:hAnsi="Arial" w:cs="Arial"/>
          <w:sz w:val="24"/>
          <w:szCs w:val="24"/>
        </w:rPr>
        <w:t xml:space="preserve"> </w:t>
      </w:r>
    </w:p>
    <w:p w14:paraId="084590E6" w14:textId="77777777" w:rsidR="00B11B24" w:rsidRDefault="00B11B24" w:rsidP="00B11B24">
      <w:pPr>
        <w:pStyle w:val="ListParagraph"/>
        <w:spacing w:line="360" w:lineRule="auto"/>
        <w:ind w:left="0"/>
        <w:jc w:val="both"/>
        <w:rPr>
          <w:rFonts w:ascii="Arial" w:hAnsi="Arial" w:cs="Arial"/>
          <w:sz w:val="24"/>
          <w:szCs w:val="24"/>
        </w:rPr>
      </w:pPr>
    </w:p>
    <w:p w14:paraId="6FD47F00" w14:textId="5B993503" w:rsidR="00456569" w:rsidRPr="00C314E3" w:rsidRDefault="00C314E3" w:rsidP="00C314E3">
      <w:pPr>
        <w:spacing w:line="360" w:lineRule="auto"/>
        <w:jc w:val="both"/>
        <w:rPr>
          <w:rFonts w:ascii="Arial" w:hAnsi="Arial" w:cs="Arial"/>
          <w:sz w:val="24"/>
          <w:szCs w:val="24"/>
        </w:rPr>
      </w:pPr>
      <w:r w:rsidRPr="00B11B24">
        <w:rPr>
          <w:rFonts w:ascii="Arial" w:hAnsi="Arial" w:cs="Arial"/>
          <w:sz w:val="24"/>
          <w:szCs w:val="24"/>
        </w:rPr>
        <w:lastRenderedPageBreak/>
        <w:t>[52]</w:t>
      </w:r>
      <w:r w:rsidRPr="00B11B24">
        <w:rPr>
          <w:rFonts w:ascii="Arial" w:hAnsi="Arial" w:cs="Arial"/>
          <w:sz w:val="24"/>
          <w:szCs w:val="24"/>
        </w:rPr>
        <w:tab/>
      </w:r>
      <w:r w:rsidR="00BB287A" w:rsidRPr="00C314E3">
        <w:rPr>
          <w:rFonts w:ascii="Arial" w:hAnsi="Arial" w:cs="Arial"/>
          <w:sz w:val="24"/>
          <w:szCs w:val="24"/>
        </w:rPr>
        <w:t>The court is persuaded, consequently, t</w:t>
      </w:r>
      <w:r w:rsidR="004E73A0" w:rsidRPr="00C314E3">
        <w:rPr>
          <w:rFonts w:ascii="Arial" w:hAnsi="Arial" w:cs="Arial"/>
          <w:sz w:val="24"/>
          <w:szCs w:val="24"/>
        </w:rPr>
        <w:t xml:space="preserve">o accept the first respondent’s </w:t>
      </w:r>
      <w:r w:rsidR="00A522B7" w:rsidRPr="00C314E3">
        <w:rPr>
          <w:rFonts w:ascii="Arial" w:hAnsi="Arial" w:cs="Arial"/>
          <w:sz w:val="24"/>
          <w:szCs w:val="24"/>
        </w:rPr>
        <w:t xml:space="preserve">version that the lien or pledge, as claimed, arose from the </w:t>
      </w:r>
      <w:r w:rsidR="00DC488B" w:rsidRPr="00C314E3">
        <w:rPr>
          <w:rFonts w:ascii="Arial" w:hAnsi="Arial" w:cs="Arial"/>
          <w:sz w:val="24"/>
          <w:szCs w:val="24"/>
        </w:rPr>
        <w:t xml:space="preserve">averred </w:t>
      </w:r>
      <w:r w:rsidR="00A522B7" w:rsidRPr="00C314E3">
        <w:rPr>
          <w:rFonts w:ascii="Arial" w:hAnsi="Arial" w:cs="Arial"/>
          <w:sz w:val="24"/>
          <w:szCs w:val="24"/>
        </w:rPr>
        <w:t>agreement</w:t>
      </w:r>
      <w:r w:rsidR="00DC488B" w:rsidRPr="00C314E3">
        <w:rPr>
          <w:rFonts w:ascii="Arial" w:hAnsi="Arial" w:cs="Arial"/>
          <w:sz w:val="24"/>
          <w:szCs w:val="24"/>
        </w:rPr>
        <w:t>.</w:t>
      </w:r>
      <w:r w:rsidR="009450A2" w:rsidRPr="00C314E3">
        <w:rPr>
          <w:rFonts w:ascii="Arial" w:hAnsi="Arial" w:cs="Arial"/>
          <w:sz w:val="24"/>
          <w:szCs w:val="24"/>
        </w:rPr>
        <w:t xml:space="preserve"> This, however, is </w:t>
      </w:r>
      <w:r w:rsidR="006805E8" w:rsidRPr="00C314E3">
        <w:rPr>
          <w:rFonts w:ascii="Arial" w:hAnsi="Arial" w:cs="Arial"/>
          <w:sz w:val="24"/>
          <w:szCs w:val="24"/>
        </w:rPr>
        <w:t>where difficulties for the first respondent begin to arise.</w:t>
      </w:r>
    </w:p>
    <w:p w14:paraId="46190CB9" w14:textId="77777777" w:rsidR="00CB43CD" w:rsidRDefault="00CB43CD" w:rsidP="009619D9">
      <w:pPr>
        <w:spacing w:line="360" w:lineRule="auto"/>
        <w:rPr>
          <w:rFonts w:ascii="Arial" w:hAnsi="Arial" w:cs="Arial"/>
          <w:sz w:val="24"/>
          <w:szCs w:val="24"/>
        </w:rPr>
      </w:pPr>
    </w:p>
    <w:p w14:paraId="4A09FA6F" w14:textId="77777777" w:rsidR="00CB43CD" w:rsidRPr="001E0C2B" w:rsidRDefault="00CB43CD" w:rsidP="00E77158">
      <w:pPr>
        <w:spacing w:line="360" w:lineRule="auto"/>
        <w:jc w:val="both"/>
        <w:rPr>
          <w:rFonts w:ascii="Arial" w:hAnsi="Arial" w:cs="Arial"/>
          <w:i/>
          <w:iCs/>
          <w:sz w:val="24"/>
          <w:szCs w:val="24"/>
        </w:rPr>
      </w:pPr>
      <w:r w:rsidRPr="001E0C2B">
        <w:rPr>
          <w:rFonts w:ascii="Arial" w:hAnsi="Arial" w:cs="Arial"/>
          <w:i/>
          <w:iCs/>
          <w:sz w:val="24"/>
          <w:szCs w:val="24"/>
        </w:rPr>
        <w:t>Lien or pledge</w:t>
      </w:r>
    </w:p>
    <w:p w14:paraId="7BD95D5F" w14:textId="77777777" w:rsidR="00CB43CD" w:rsidRDefault="00CB43CD" w:rsidP="009619D9">
      <w:pPr>
        <w:spacing w:line="360" w:lineRule="auto"/>
        <w:rPr>
          <w:rFonts w:ascii="Arial" w:hAnsi="Arial" w:cs="Arial"/>
          <w:sz w:val="24"/>
          <w:szCs w:val="24"/>
        </w:rPr>
      </w:pPr>
    </w:p>
    <w:p w14:paraId="5CDFF8AD" w14:textId="6478E69A" w:rsidR="00B11B24" w:rsidRPr="00C314E3" w:rsidRDefault="00C314E3" w:rsidP="00C314E3">
      <w:pPr>
        <w:spacing w:line="360" w:lineRule="auto"/>
        <w:jc w:val="both"/>
        <w:rPr>
          <w:rFonts w:ascii="Arial" w:hAnsi="Arial" w:cs="Arial"/>
          <w:sz w:val="24"/>
          <w:szCs w:val="24"/>
        </w:rPr>
      </w:pPr>
      <w:r>
        <w:rPr>
          <w:rFonts w:ascii="Arial" w:hAnsi="Arial" w:cs="Arial"/>
          <w:sz w:val="24"/>
          <w:szCs w:val="24"/>
        </w:rPr>
        <w:t>[53]</w:t>
      </w:r>
      <w:r>
        <w:rPr>
          <w:rFonts w:ascii="Arial" w:hAnsi="Arial" w:cs="Arial"/>
          <w:sz w:val="24"/>
          <w:szCs w:val="24"/>
        </w:rPr>
        <w:tab/>
      </w:r>
      <w:r w:rsidR="006D5A27" w:rsidRPr="00C314E3">
        <w:rPr>
          <w:rFonts w:ascii="Arial" w:hAnsi="Arial" w:cs="Arial"/>
          <w:sz w:val="24"/>
          <w:szCs w:val="24"/>
        </w:rPr>
        <w:t>A lien</w:t>
      </w:r>
      <w:r w:rsidR="006A5522" w:rsidRPr="00C314E3">
        <w:rPr>
          <w:rFonts w:ascii="Arial" w:hAnsi="Arial" w:cs="Arial"/>
          <w:sz w:val="24"/>
          <w:szCs w:val="24"/>
        </w:rPr>
        <w:t xml:space="preserve"> </w:t>
      </w:r>
      <w:r w:rsidR="001E0C2B" w:rsidRPr="00C314E3">
        <w:rPr>
          <w:rFonts w:ascii="Arial" w:hAnsi="Arial" w:cs="Arial"/>
          <w:sz w:val="24"/>
          <w:szCs w:val="24"/>
        </w:rPr>
        <w:t xml:space="preserve">can be </w:t>
      </w:r>
      <w:r w:rsidR="00E26662" w:rsidRPr="00C314E3">
        <w:rPr>
          <w:rFonts w:ascii="Arial" w:hAnsi="Arial" w:cs="Arial"/>
          <w:sz w:val="24"/>
          <w:szCs w:val="24"/>
        </w:rPr>
        <w:t>described as</w:t>
      </w:r>
      <w:r w:rsidR="006D5A27" w:rsidRPr="00C314E3">
        <w:rPr>
          <w:rFonts w:ascii="Arial" w:hAnsi="Arial" w:cs="Arial"/>
          <w:sz w:val="24"/>
          <w:szCs w:val="24"/>
        </w:rPr>
        <w:t xml:space="preserve"> a right of retention or </w:t>
      </w:r>
      <w:r w:rsidR="006D5A27" w:rsidRPr="00C314E3">
        <w:rPr>
          <w:rFonts w:ascii="Arial" w:hAnsi="Arial" w:cs="Arial"/>
          <w:i/>
          <w:iCs/>
          <w:sz w:val="24"/>
          <w:szCs w:val="24"/>
        </w:rPr>
        <w:t>ius retentionis</w:t>
      </w:r>
      <w:r w:rsidR="006A5522" w:rsidRPr="00C314E3">
        <w:rPr>
          <w:rFonts w:ascii="Arial" w:hAnsi="Arial" w:cs="Arial"/>
          <w:sz w:val="24"/>
          <w:szCs w:val="24"/>
        </w:rPr>
        <w:t xml:space="preserve">. It </w:t>
      </w:r>
      <w:r w:rsidR="00C55782" w:rsidRPr="00C314E3">
        <w:rPr>
          <w:rFonts w:ascii="Arial" w:hAnsi="Arial" w:cs="Arial"/>
          <w:sz w:val="24"/>
          <w:szCs w:val="24"/>
        </w:rPr>
        <w:t>is defined as the right to retain physical control over another’s property</w:t>
      </w:r>
      <w:r w:rsidR="00945E3C" w:rsidRPr="00C314E3">
        <w:rPr>
          <w:rFonts w:ascii="Arial" w:hAnsi="Arial" w:cs="Arial"/>
          <w:sz w:val="24"/>
          <w:szCs w:val="24"/>
        </w:rPr>
        <w:t xml:space="preserve">, whether movable or immovable, </w:t>
      </w:r>
      <w:r w:rsidR="00EC13CE" w:rsidRPr="00C314E3">
        <w:rPr>
          <w:rFonts w:ascii="Arial" w:hAnsi="Arial" w:cs="Arial"/>
          <w:sz w:val="24"/>
          <w:szCs w:val="24"/>
        </w:rPr>
        <w:t>to</w:t>
      </w:r>
      <w:r w:rsidR="00945E3C" w:rsidRPr="00C314E3">
        <w:rPr>
          <w:rFonts w:ascii="Arial" w:hAnsi="Arial" w:cs="Arial"/>
          <w:sz w:val="24"/>
          <w:szCs w:val="24"/>
        </w:rPr>
        <w:t xml:space="preserve"> secure payment</w:t>
      </w:r>
      <w:r w:rsidR="001B313C" w:rsidRPr="00C314E3">
        <w:rPr>
          <w:rFonts w:ascii="Arial" w:hAnsi="Arial" w:cs="Arial"/>
          <w:sz w:val="24"/>
          <w:szCs w:val="24"/>
        </w:rPr>
        <w:t xml:space="preserve"> of a claim relating to </w:t>
      </w:r>
      <w:r w:rsidR="00584C2D" w:rsidRPr="00C314E3">
        <w:rPr>
          <w:rFonts w:ascii="Arial" w:hAnsi="Arial" w:cs="Arial"/>
          <w:sz w:val="24"/>
          <w:szCs w:val="24"/>
        </w:rPr>
        <w:t>the expenditure of money or something of monetary value by the possessor on that property</w:t>
      </w:r>
      <w:r w:rsidR="006A5522" w:rsidRPr="00C314E3">
        <w:rPr>
          <w:rFonts w:ascii="Arial" w:hAnsi="Arial" w:cs="Arial"/>
          <w:sz w:val="24"/>
          <w:szCs w:val="24"/>
        </w:rPr>
        <w:t xml:space="preserve"> until the claim has been satisfied.</w:t>
      </w:r>
      <w:r w:rsidR="00896C82">
        <w:rPr>
          <w:rStyle w:val="FootnoteReference"/>
          <w:rFonts w:ascii="Arial" w:hAnsi="Arial" w:cs="Arial"/>
          <w:sz w:val="24"/>
          <w:szCs w:val="24"/>
        </w:rPr>
        <w:footnoteReference w:id="27"/>
      </w:r>
      <w:r w:rsidR="0064770E" w:rsidRPr="00C314E3">
        <w:rPr>
          <w:rFonts w:ascii="Arial" w:hAnsi="Arial" w:cs="Arial"/>
          <w:sz w:val="24"/>
          <w:szCs w:val="24"/>
        </w:rPr>
        <w:t xml:space="preserve"> It is not the first respondent’s case that he has</w:t>
      </w:r>
      <w:r w:rsidR="00FB487C" w:rsidRPr="00C314E3">
        <w:rPr>
          <w:rFonts w:ascii="Arial" w:hAnsi="Arial" w:cs="Arial"/>
          <w:sz w:val="24"/>
          <w:szCs w:val="24"/>
        </w:rPr>
        <w:t xml:space="preserve"> spent money or done work on the property, in accordance with a contractual obligation </w:t>
      </w:r>
      <w:r w:rsidR="003727CB" w:rsidRPr="00C314E3">
        <w:rPr>
          <w:rFonts w:ascii="Arial" w:hAnsi="Arial" w:cs="Arial"/>
          <w:sz w:val="24"/>
          <w:szCs w:val="24"/>
        </w:rPr>
        <w:t xml:space="preserve">towards Mr Kriel </w:t>
      </w:r>
      <w:r w:rsidR="00FB487C" w:rsidRPr="00C314E3">
        <w:rPr>
          <w:rFonts w:ascii="Arial" w:hAnsi="Arial" w:cs="Arial"/>
          <w:sz w:val="24"/>
          <w:szCs w:val="24"/>
        </w:rPr>
        <w:t>or otherwise</w:t>
      </w:r>
      <w:r w:rsidR="003727CB" w:rsidRPr="00C314E3">
        <w:rPr>
          <w:rFonts w:ascii="Arial" w:hAnsi="Arial" w:cs="Arial"/>
          <w:sz w:val="24"/>
          <w:szCs w:val="24"/>
        </w:rPr>
        <w:t xml:space="preserve">. On the strength of the definition alone, </w:t>
      </w:r>
      <w:r w:rsidR="00FF0D86" w:rsidRPr="00C314E3">
        <w:rPr>
          <w:rFonts w:ascii="Arial" w:hAnsi="Arial" w:cs="Arial"/>
          <w:sz w:val="24"/>
          <w:szCs w:val="24"/>
        </w:rPr>
        <w:t>the first respondent does not have a lien</w:t>
      </w:r>
      <w:r w:rsidR="00753FEC" w:rsidRPr="00C314E3">
        <w:rPr>
          <w:rFonts w:ascii="Arial" w:hAnsi="Arial" w:cs="Arial"/>
          <w:sz w:val="24"/>
          <w:szCs w:val="24"/>
        </w:rPr>
        <w:t>.</w:t>
      </w:r>
      <w:r w:rsidR="00753FEC">
        <w:rPr>
          <w:rStyle w:val="FootnoteReference"/>
          <w:rFonts w:ascii="Arial" w:hAnsi="Arial" w:cs="Arial"/>
          <w:sz w:val="24"/>
          <w:szCs w:val="24"/>
        </w:rPr>
        <w:footnoteReference w:id="28"/>
      </w:r>
    </w:p>
    <w:p w14:paraId="1753E5BC" w14:textId="77777777" w:rsidR="00B11B24" w:rsidRDefault="00B11B24" w:rsidP="00B11B24">
      <w:pPr>
        <w:pStyle w:val="ListParagraph"/>
        <w:spacing w:line="360" w:lineRule="auto"/>
        <w:ind w:left="0"/>
        <w:jc w:val="both"/>
        <w:rPr>
          <w:rFonts w:ascii="Arial" w:hAnsi="Arial" w:cs="Arial"/>
          <w:sz w:val="24"/>
          <w:szCs w:val="24"/>
        </w:rPr>
      </w:pPr>
    </w:p>
    <w:p w14:paraId="08A10B75" w14:textId="6F05D147" w:rsidR="00B11B24" w:rsidRPr="00C314E3" w:rsidRDefault="00C314E3" w:rsidP="00C314E3">
      <w:pPr>
        <w:spacing w:line="360" w:lineRule="auto"/>
        <w:jc w:val="both"/>
        <w:rPr>
          <w:rFonts w:ascii="Arial" w:hAnsi="Arial" w:cs="Arial"/>
          <w:sz w:val="24"/>
          <w:szCs w:val="24"/>
        </w:rPr>
      </w:pPr>
      <w:r>
        <w:rPr>
          <w:rFonts w:ascii="Arial" w:hAnsi="Arial" w:cs="Arial"/>
          <w:sz w:val="24"/>
          <w:szCs w:val="24"/>
        </w:rPr>
        <w:t>[54]</w:t>
      </w:r>
      <w:r>
        <w:rPr>
          <w:rFonts w:ascii="Arial" w:hAnsi="Arial" w:cs="Arial"/>
          <w:sz w:val="24"/>
          <w:szCs w:val="24"/>
        </w:rPr>
        <w:tab/>
      </w:r>
      <w:r w:rsidR="00065083" w:rsidRPr="00C314E3">
        <w:rPr>
          <w:rFonts w:ascii="Arial" w:hAnsi="Arial" w:cs="Arial"/>
          <w:sz w:val="24"/>
          <w:szCs w:val="24"/>
        </w:rPr>
        <w:t xml:space="preserve">A pledge, on the other hand, is a </w:t>
      </w:r>
      <w:r w:rsidR="003B6A28" w:rsidRPr="00C314E3">
        <w:rPr>
          <w:rFonts w:ascii="Arial" w:hAnsi="Arial" w:cs="Arial"/>
          <w:sz w:val="24"/>
          <w:szCs w:val="24"/>
        </w:rPr>
        <w:t xml:space="preserve">limited real right of security in a movable asset. </w:t>
      </w:r>
      <w:r w:rsidR="00827156" w:rsidRPr="00C314E3">
        <w:rPr>
          <w:rFonts w:ascii="Arial" w:hAnsi="Arial" w:cs="Arial"/>
          <w:sz w:val="24"/>
          <w:szCs w:val="24"/>
        </w:rPr>
        <w:t>It is created by delivery of the asset to the pledgee, pursuant to an agreement between him</w:t>
      </w:r>
      <w:r w:rsidR="00961A19" w:rsidRPr="00C314E3">
        <w:rPr>
          <w:rFonts w:ascii="Arial" w:hAnsi="Arial" w:cs="Arial"/>
          <w:sz w:val="24"/>
          <w:szCs w:val="24"/>
        </w:rPr>
        <w:t>- or herself and the owner of the asset</w:t>
      </w:r>
      <w:r w:rsidR="00AA5F77" w:rsidRPr="00C314E3">
        <w:rPr>
          <w:rFonts w:ascii="Arial" w:hAnsi="Arial" w:cs="Arial"/>
          <w:sz w:val="24"/>
          <w:szCs w:val="24"/>
        </w:rPr>
        <w:t xml:space="preserve">, to secure the fulfilment </w:t>
      </w:r>
      <w:r w:rsidR="004F7FBD" w:rsidRPr="00C314E3">
        <w:rPr>
          <w:rFonts w:ascii="Arial" w:hAnsi="Arial" w:cs="Arial"/>
          <w:sz w:val="24"/>
          <w:szCs w:val="24"/>
        </w:rPr>
        <w:t>of an obligation to the pledgee by the pledgor or a third party.</w:t>
      </w:r>
      <w:r w:rsidR="00312B99">
        <w:rPr>
          <w:rStyle w:val="FootnoteReference"/>
          <w:rFonts w:ascii="Arial" w:hAnsi="Arial" w:cs="Arial"/>
          <w:sz w:val="24"/>
          <w:szCs w:val="24"/>
        </w:rPr>
        <w:footnoteReference w:id="29"/>
      </w:r>
      <w:r w:rsidR="00212927" w:rsidRPr="00C314E3">
        <w:rPr>
          <w:rFonts w:ascii="Arial" w:hAnsi="Arial" w:cs="Arial"/>
          <w:sz w:val="24"/>
          <w:szCs w:val="24"/>
        </w:rPr>
        <w:t xml:space="preserve"> The pledgee enjoys a preference in relation to the proceeds </w:t>
      </w:r>
      <w:r w:rsidR="004D3544" w:rsidRPr="00C314E3">
        <w:rPr>
          <w:rFonts w:ascii="Arial" w:hAnsi="Arial" w:cs="Arial"/>
          <w:sz w:val="24"/>
          <w:szCs w:val="24"/>
        </w:rPr>
        <w:t>of the pledged asset</w:t>
      </w:r>
      <w:r w:rsidR="00097FF9" w:rsidRPr="00C314E3">
        <w:rPr>
          <w:rFonts w:ascii="Arial" w:hAnsi="Arial" w:cs="Arial"/>
          <w:sz w:val="24"/>
          <w:szCs w:val="24"/>
        </w:rPr>
        <w:t xml:space="preserve"> in a sale of execution</w:t>
      </w:r>
      <w:r w:rsidR="00EE70C1" w:rsidRPr="00C314E3">
        <w:rPr>
          <w:rFonts w:ascii="Arial" w:hAnsi="Arial" w:cs="Arial"/>
          <w:sz w:val="24"/>
          <w:szCs w:val="24"/>
        </w:rPr>
        <w:t xml:space="preserve">. </w:t>
      </w:r>
      <w:r w:rsidR="00B05E4D" w:rsidRPr="00C314E3">
        <w:rPr>
          <w:rFonts w:ascii="Arial" w:hAnsi="Arial" w:cs="Arial"/>
          <w:sz w:val="24"/>
          <w:szCs w:val="24"/>
        </w:rPr>
        <w:t xml:space="preserve">Importantly, </w:t>
      </w:r>
      <w:r w:rsidR="001C60BE" w:rsidRPr="00C314E3">
        <w:rPr>
          <w:rFonts w:ascii="Arial" w:hAnsi="Arial" w:cs="Arial"/>
          <w:sz w:val="24"/>
          <w:szCs w:val="24"/>
        </w:rPr>
        <w:t>the subject matter of a pledge must be a movable asset.</w:t>
      </w:r>
      <w:r w:rsidR="00EF7AFA">
        <w:rPr>
          <w:rStyle w:val="FootnoteReference"/>
          <w:rFonts w:ascii="Arial" w:hAnsi="Arial" w:cs="Arial"/>
          <w:sz w:val="24"/>
          <w:szCs w:val="24"/>
        </w:rPr>
        <w:footnoteReference w:id="30"/>
      </w:r>
      <w:r w:rsidR="0021438D" w:rsidRPr="00C314E3">
        <w:rPr>
          <w:rFonts w:ascii="Arial" w:hAnsi="Arial" w:cs="Arial"/>
          <w:sz w:val="24"/>
          <w:szCs w:val="24"/>
        </w:rPr>
        <w:t xml:space="preserve"> </w:t>
      </w:r>
      <w:r w:rsidR="00961557" w:rsidRPr="00C314E3">
        <w:rPr>
          <w:rFonts w:ascii="Arial" w:hAnsi="Arial" w:cs="Arial"/>
          <w:sz w:val="24"/>
          <w:szCs w:val="24"/>
        </w:rPr>
        <w:t xml:space="preserve">A pledge must, </w:t>
      </w:r>
      <w:r w:rsidR="00C0356C" w:rsidRPr="00C314E3">
        <w:rPr>
          <w:rFonts w:ascii="Arial" w:hAnsi="Arial" w:cs="Arial"/>
          <w:sz w:val="24"/>
          <w:szCs w:val="24"/>
        </w:rPr>
        <w:t>according</w:t>
      </w:r>
      <w:r w:rsidR="00961557" w:rsidRPr="00C314E3">
        <w:rPr>
          <w:rFonts w:ascii="Arial" w:hAnsi="Arial" w:cs="Arial"/>
          <w:sz w:val="24"/>
          <w:szCs w:val="24"/>
        </w:rPr>
        <w:t xml:space="preserve">ly, be distinguished from </w:t>
      </w:r>
      <w:r w:rsidR="008A6E4A" w:rsidRPr="00C314E3">
        <w:rPr>
          <w:rFonts w:ascii="Arial" w:hAnsi="Arial" w:cs="Arial"/>
          <w:sz w:val="24"/>
          <w:szCs w:val="24"/>
        </w:rPr>
        <w:t xml:space="preserve">the concept of </w:t>
      </w:r>
      <w:r w:rsidR="00961557" w:rsidRPr="00C314E3">
        <w:rPr>
          <w:rFonts w:ascii="Arial" w:hAnsi="Arial" w:cs="Arial"/>
          <w:sz w:val="24"/>
          <w:szCs w:val="24"/>
        </w:rPr>
        <w:t xml:space="preserve">mortgage, which </w:t>
      </w:r>
      <w:r w:rsidR="00791975" w:rsidRPr="00C314E3">
        <w:rPr>
          <w:rFonts w:ascii="Arial" w:hAnsi="Arial" w:cs="Arial"/>
          <w:sz w:val="24"/>
          <w:szCs w:val="24"/>
        </w:rPr>
        <w:t>refers to a real right of security</w:t>
      </w:r>
      <w:r w:rsidR="00DF5734" w:rsidRPr="00C314E3">
        <w:rPr>
          <w:rFonts w:ascii="Arial" w:hAnsi="Arial" w:cs="Arial"/>
          <w:sz w:val="24"/>
          <w:szCs w:val="24"/>
        </w:rPr>
        <w:t xml:space="preserve"> in the immovable asset of another</w:t>
      </w:r>
      <w:r w:rsidR="000121F7" w:rsidRPr="00C314E3">
        <w:rPr>
          <w:rFonts w:ascii="Arial" w:hAnsi="Arial" w:cs="Arial"/>
          <w:sz w:val="24"/>
          <w:szCs w:val="24"/>
        </w:rPr>
        <w:t xml:space="preserve">, </w:t>
      </w:r>
      <w:r w:rsidR="00F86A96" w:rsidRPr="00C314E3">
        <w:rPr>
          <w:rFonts w:ascii="Arial" w:hAnsi="Arial" w:cs="Arial"/>
          <w:sz w:val="24"/>
          <w:szCs w:val="24"/>
        </w:rPr>
        <w:t>created by registration in the deeds registry pursuant to an agreement between the parties.</w:t>
      </w:r>
      <w:r w:rsidR="00576428" w:rsidRPr="00C314E3">
        <w:rPr>
          <w:rFonts w:ascii="Arial" w:hAnsi="Arial" w:cs="Arial"/>
          <w:sz w:val="24"/>
          <w:szCs w:val="24"/>
        </w:rPr>
        <w:t xml:space="preserve"> The right serves to secure an indebtedness due to the creditor</w:t>
      </w:r>
      <w:r w:rsidR="00F77F0B" w:rsidRPr="00C314E3">
        <w:rPr>
          <w:rFonts w:ascii="Arial" w:hAnsi="Arial" w:cs="Arial"/>
          <w:sz w:val="24"/>
          <w:szCs w:val="24"/>
        </w:rPr>
        <w:t xml:space="preserve">, </w:t>
      </w:r>
      <w:r w:rsidR="000121F7" w:rsidRPr="00C314E3">
        <w:rPr>
          <w:rFonts w:ascii="Arial" w:hAnsi="Arial" w:cs="Arial"/>
          <w:sz w:val="24"/>
          <w:szCs w:val="24"/>
        </w:rPr>
        <w:t xml:space="preserve">usually </w:t>
      </w:r>
      <w:r w:rsidR="00F77F0B" w:rsidRPr="00C314E3">
        <w:rPr>
          <w:rFonts w:ascii="Arial" w:hAnsi="Arial" w:cs="Arial"/>
          <w:sz w:val="24"/>
          <w:szCs w:val="24"/>
        </w:rPr>
        <w:lastRenderedPageBreak/>
        <w:t>described as the principal obligation.</w:t>
      </w:r>
      <w:r w:rsidR="00EC4903">
        <w:rPr>
          <w:rStyle w:val="FootnoteReference"/>
          <w:rFonts w:ascii="Arial" w:hAnsi="Arial" w:cs="Arial"/>
          <w:sz w:val="24"/>
          <w:szCs w:val="24"/>
        </w:rPr>
        <w:footnoteReference w:id="31"/>
      </w:r>
      <w:r w:rsidR="001E6E31" w:rsidRPr="00C314E3">
        <w:rPr>
          <w:rFonts w:ascii="Arial" w:hAnsi="Arial" w:cs="Arial"/>
          <w:sz w:val="24"/>
          <w:szCs w:val="24"/>
        </w:rPr>
        <w:t xml:space="preserve"> It cannot be said that the first respondent in the present matter enjoys </w:t>
      </w:r>
      <w:r w:rsidR="003473BB" w:rsidRPr="00C314E3">
        <w:rPr>
          <w:rFonts w:ascii="Arial" w:hAnsi="Arial" w:cs="Arial"/>
          <w:sz w:val="24"/>
          <w:szCs w:val="24"/>
        </w:rPr>
        <w:t xml:space="preserve">the benefits of </w:t>
      </w:r>
      <w:r w:rsidR="001E6E31" w:rsidRPr="00C314E3">
        <w:rPr>
          <w:rFonts w:ascii="Arial" w:hAnsi="Arial" w:cs="Arial"/>
          <w:sz w:val="24"/>
          <w:szCs w:val="24"/>
        </w:rPr>
        <w:t>either a pled</w:t>
      </w:r>
      <w:r w:rsidR="003473BB" w:rsidRPr="00C314E3">
        <w:rPr>
          <w:rFonts w:ascii="Arial" w:hAnsi="Arial" w:cs="Arial"/>
          <w:sz w:val="24"/>
          <w:szCs w:val="24"/>
        </w:rPr>
        <w:t>ge or a mortgage.</w:t>
      </w:r>
    </w:p>
    <w:p w14:paraId="254136C9" w14:textId="77777777" w:rsidR="00B11B24" w:rsidRPr="00B11B24" w:rsidRDefault="00B11B24" w:rsidP="00B11B24">
      <w:pPr>
        <w:pStyle w:val="ListParagraph"/>
        <w:rPr>
          <w:rFonts w:ascii="Arial" w:hAnsi="Arial" w:cs="Arial"/>
          <w:sz w:val="24"/>
          <w:szCs w:val="24"/>
        </w:rPr>
      </w:pPr>
    </w:p>
    <w:p w14:paraId="51DF8819" w14:textId="470F3685" w:rsidR="002D0F6B" w:rsidRPr="00C314E3" w:rsidRDefault="00C314E3" w:rsidP="00C314E3">
      <w:pPr>
        <w:spacing w:line="360" w:lineRule="auto"/>
        <w:jc w:val="both"/>
        <w:rPr>
          <w:rFonts w:ascii="Arial" w:hAnsi="Arial" w:cs="Arial"/>
          <w:sz w:val="24"/>
          <w:szCs w:val="24"/>
        </w:rPr>
      </w:pPr>
      <w:r w:rsidRPr="00B11B24">
        <w:rPr>
          <w:rFonts w:ascii="Arial" w:hAnsi="Arial" w:cs="Arial"/>
          <w:sz w:val="24"/>
          <w:szCs w:val="24"/>
        </w:rPr>
        <w:t>[55]</w:t>
      </w:r>
      <w:r w:rsidRPr="00B11B24">
        <w:rPr>
          <w:rFonts w:ascii="Arial" w:hAnsi="Arial" w:cs="Arial"/>
          <w:sz w:val="24"/>
          <w:szCs w:val="24"/>
        </w:rPr>
        <w:tab/>
      </w:r>
      <w:r w:rsidR="00182E44" w:rsidRPr="00C314E3">
        <w:rPr>
          <w:rFonts w:ascii="Arial" w:hAnsi="Arial" w:cs="Arial"/>
          <w:sz w:val="24"/>
          <w:szCs w:val="24"/>
        </w:rPr>
        <w:t>If the first respondent has neither a lien nor a pledge</w:t>
      </w:r>
      <w:r w:rsidR="007F3E3F" w:rsidRPr="00C314E3">
        <w:rPr>
          <w:rFonts w:ascii="Arial" w:hAnsi="Arial" w:cs="Arial"/>
          <w:sz w:val="24"/>
          <w:szCs w:val="24"/>
        </w:rPr>
        <w:t>,</w:t>
      </w:r>
      <w:r w:rsidR="00A825DB" w:rsidRPr="00C314E3">
        <w:rPr>
          <w:rFonts w:ascii="Arial" w:hAnsi="Arial" w:cs="Arial"/>
          <w:sz w:val="24"/>
          <w:szCs w:val="24"/>
        </w:rPr>
        <w:t xml:space="preserve"> then what right does he enjoy? At best</w:t>
      </w:r>
      <w:r w:rsidR="00636C42" w:rsidRPr="00C314E3">
        <w:rPr>
          <w:rFonts w:ascii="Arial" w:hAnsi="Arial" w:cs="Arial"/>
          <w:sz w:val="24"/>
          <w:szCs w:val="24"/>
        </w:rPr>
        <w:t xml:space="preserve">, he has (or had, as shall be explained) a </w:t>
      </w:r>
      <w:r w:rsidR="00C3484D" w:rsidRPr="00C314E3">
        <w:rPr>
          <w:rFonts w:ascii="Arial" w:hAnsi="Arial" w:cs="Arial"/>
          <w:sz w:val="24"/>
          <w:szCs w:val="24"/>
        </w:rPr>
        <w:t xml:space="preserve">contractual </w:t>
      </w:r>
      <w:r w:rsidR="00636C42" w:rsidRPr="00C314E3">
        <w:rPr>
          <w:rFonts w:ascii="Arial" w:hAnsi="Arial" w:cs="Arial"/>
          <w:sz w:val="24"/>
          <w:szCs w:val="24"/>
        </w:rPr>
        <w:t xml:space="preserve">right against </w:t>
      </w:r>
      <w:r w:rsidR="00C3484D" w:rsidRPr="00C314E3">
        <w:rPr>
          <w:rFonts w:ascii="Arial" w:hAnsi="Arial" w:cs="Arial"/>
          <w:sz w:val="24"/>
          <w:szCs w:val="24"/>
        </w:rPr>
        <w:t xml:space="preserve">Mr Kriel to continue to occupy the property </w:t>
      </w:r>
      <w:r w:rsidR="00305897" w:rsidRPr="00C314E3">
        <w:rPr>
          <w:rFonts w:ascii="Arial" w:hAnsi="Arial" w:cs="Arial"/>
          <w:sz w:val="24"/>
          <w:szCs w:val="24"/>
        </w:rPr>
        <w:t xml:space="preserve">until Mr Kriel </w:t>
      </w:r>
      <w:r w:rsidR="00F332D3" w:rsidRPr="00C314E3">
        <w:rPr>
          <w:rFonts w:ascii="Arial" w:hAnsi="Arial" w:cs="Arial"/>
          <w:sz w:val="24"/>
          <w:szCs w:val="24"/>
        </w:rPr>
        <w:t>has (</w:t>
      </w:r>
      <w:r w:rsidR="00A401B2" w:rsidRPr="00C314E3">
        <w:rPr>
          <w:rFonts w:ascii="Arial" w:hAnsi="Arial" w:cs="Arial"/>
          <w:sz w:val="24"/>
          <w:szCs w:val="24"/>
        </w:rPr>
        <w:t xml:space="preserve">or </w:t>
      </w:r>
      <w:r w:rsidR="00305897" w:rsidRPr="00C314E3">
        <w:rPr>
          <w:rFonts w:ascii="Arial" w:hAnsi="Arial" w:cs="Arial"/>
          <w:sz w:val="24"/>
          <w:szCs w:val="24"/>
        </w:rPr>
        <w:t>had</w:t>
      </w:r>
      <w:r w:rsidR="00F332D3" w:rsidRPr="00C314E3">
        <w:rPr>
          <w:rFonts w:ascii="Arial" w:hAnsi="Arial" w:cs="Arial"/>
          <w:sz w:val="24"/>
          <w:szCs w:val="24"/>
        </w:rPr>
        <w:t>)</w:t>
      </w:r>
      <w:r w:rsidR="00305897" w:rsidRPr="00C314E3">
        <w:rPr>
          <w:rFonts w:ascii="Arial" w:hAnsi="Arial" w:cs="Arial"/>
          <w:sz w:val="24"/>
          <w:szCs w:val="24"/>
        </w:rPr>
        <w:t xml:space="preserve"> ful</w:t>
      </w:r>
      <w:r w:rsidR="00CA6DB4" w:rsidRPr="00C314E3">
        <w:rPr>
          <w:rFonts w:ascii="Arial" w:hAnsi="Arial" w:cs="Arial"/>
          <w:sz w:val="24"/>
          <w:szCs w:val="24"/>
        </w:rPr>
        <w:t xml:space="preserve">filled his obligation to </w:t>
      </w:r>
      <w:r w:rsidR="00B12F74" w:rsidRPr="00C314E3">
        <w:rPr>
          <w:rFonts w:ascii="Arial" w:hAnsi="Arial" w:cs="Arial"/>
          <w:sz w:val="24"/>
          <w:szCs w:val="24"/>
        </w:rPr>
        <w:t>repay the loan.</w:t>
      </w:r>
      <w:r w:rsidR="007B365E" w:rsidRPr="00C314E3">
        <w:rPr>
          <w:rFonts w:ascii="Arial" w:hAnsi="Arial" w:cs="Arial"/>
          <w:sz w:val="24"/>
          <w:szCs w:val="24"/>
        </w:rPr>
        <w:t xml:space="preserve"> The </w:t>
      </w:r>
      <w:r w:rsidR="007867B3" w:rsidRPr="00C314E3">
        <w:rPr>
          <w:rFonts w:ascii="Arial" w:hAnsi="Arial" w:cs="Arial"/>
          <w:sz w:val="24"/>
          <w:szCs w:val="24"/>
        </w:rPr>
        <w:t xml:space="preserve">right was, of course, </w:t>
      </w:r>
      <w:r w:rsidR="00A401B2" w:rsidRPr="00C314E3">
        <w:rPr>
          <w:rFonts w:ascii="Arial" w:hAnsi="Arial" w:cs="Arial"/>
          <w:sz w:val="24"/>
          <w:szCs w:val="24"/>
        </w:rPr>
        <w:t xml:space="preserve">subject </w:t>
      </w:r>
      <w:r w:rsidR="007867B3" w:rsidRPr="00C314E3">
        <w:rPr>
          <w:rFonts w:ascii="Arial" w:hAnsi="Arial" w:cs="Arial"/>
          <w:sz w:val="24"/>
          <w:szCs w:val="24"/>
        </w:rPr>
        <w:t xml:space="preserve">to the </w:t>
      </w:r>
      <w:r w:rsidR="00CA6DB4" w:rsidRPr="00C314E3">
        <w:rPr>
          <w:rFonts w:ascii="Arial" w:hAnsi="Arial" w:cs="Arial"/>
          <w:sz w:val="24"/>
          <w:szCs w:val="24"/>
        </w:rPr>
        <w:t xml:space="preserve">continued </w:t>
      </w:r>
      <w:r w:rsidR="007867B3" w:rsidRPr="00C314E3">
        <w:rPr>
          <w:rFonts w:ascii="Arial" w:hAnsi="Arial" w:cs="Arial"/>
          <w:sz w:val="24"/>
          <w:szCs w:val="24"/>
        </w:rPr>
        <w:t xml:space="preserve">existence of </w:t>
      </w:r>
      <w:r w:rsidR="00CA6DB4" w:rsidRPr="00C314E3">
        <w:rPr>
          <w:rFonts w:ascii="Arial" w:hAnsi="Arial" w:cs="Arial"/>
          <w:sz w:val="24"/>
          <w:szCs w:val="24"/>
        </w:rPr>
        <w:t xml:space="preserve">such obligation. </w:t>
      </w:r>
      <w:r w:rsidR="002D0F6B" w:rsidRPr="00C314E3">
        <w:rPr>
          <w:rFonts w:ascii="Arial" w:hAnsi="Arial" w:cs="Arial"/>
          <w:sz w:val="24"/>
          <w:szCs w:val="24"/>
        </w:rPr>
        <w:t>T</w:t>
      </w:r>
      <w:r w:rsidR="0007471B" w:rsidRPr="00C314E3">
        <w:rPr>
          <w:rFonts w:ascii="Arial" w:hAnsi="Arial" w:cs="Arial"/>
          <w:sz w:val="24"/>
          <w:szCs w:val="24"/>
        </w:rPr>
        <w:t>he applicants have, however, pleaded prescription.</w:t>
      </w:r>
    </w:p>
    <w:p w14:paraId="07750113" w14:textId="77777777" w:rsidR="00B739FD" w:rsidRDefault="00B739FD" w:rsidP="009619D9">
      <w:pPr>
        <w:spacing w:line="360" w:lineRule="auto"/>
        <w:rPr>
          <w:rFonts w:ascii="Arial" w:hAnsi="Arial" w:cs="Arial"/>
          <w:sz w:val="24"/>
          <w:szCs w:val="24"/>
        </w:rPr>
      </w:pPr>
    </w:p>
    <w:p w14:paraId="2EB6EF26" w14:textId="77777777" w:rsidR="00B739FD" w:rsidRPr="00B739FD" w:rsidRDefault="00B739FD" w:rsidP="00E77158">
      <w:pPr>
        <w:spacing w:line="360" w:lineRule="auto"/>
        <w:jc w:val="both"/>
        <w:rPr>
          <w:rFonts w:ascii="Arial" w:hAnsi="Arial" w:cs="Arial"/>
          <w:i/>
          <w:iCs/>
          <w:sz w:val="24"/>
          <w:szCs w:val="24"/>
        </w:rPr>
      </w:pPr>
      <w:r w:rsidRPr="00B739FD">
        <w:rPr>
          <w:rFonts w:ascii="Arial" w:hAnsi="Arial" w:cs="Arial"/>
          <w:i/>
          <w:iCs/>
          <w:sz w:val="24"/>
          <w:szCs w:val="24"/>
        </w:rPr>
        <w:t>Prescription</w:t>
      </w:r>
    </w:p>
    <w:p w14:paraId="3B0155F4" w14:textId="77777777" w:rsidR="00B739FD" w:rsidRDefault="00B739FD" w:rsidP="009619D9">
      <w:pPr>
        <w:spacing w:line="360" w:lineRule="auto"/>
        <w:rPr>
          <w:rFonts w:ascii="Arial" w:hAnsi="Arial" w:cs="Arial"/>
          <w:sz w:val="24"/>
          <w:szCs w:val="24"/>
        </w:rPr>
      </w:pPr>
    </w:p>
    <w:p w14:paraId="3D4B409E" w14:textId="3CE64F7D" w:rsidR="00B11B24" w:rsidRPr="00C314E3" w:rsidRDefault="00C314E3" w:rsidP="00C314E3">
      <w:pPr>
        <w:spacing w:line="360" w:lineRule="auto"/>
        <w:jc w:val="both"/>
        <w:rPr>
          <w:rFonts w:ascii="Arial" w:hAnsi="Arial" w:cs="Arial"/>
          <w:sz w:val="24"/>
          <w:szCs w:val="24"/>
        </w:rPr>
      </w:pPr>
      <w:r>
        <w:rPr>
          <w:rFonts w:ascii="Arial" w:hAnsi="Arial" w:cs="Arial"/>
          <w:sz w:val="24"/>
          <w:szCs w:val="24"/>
        </w:rPr>
        <w:t>[56]</w:t>
      </w:r>
      <w:r>
        <w:rPr>
          <w:rFonts w:ascii="Arial" w:hAnsi="Arial" w:cs="Arial"/>
          <w:sz w:val="24"/>
          <w:szCs w:val="24"/>
        </w:rPr>
        <w:tab/>
      </w:r>
      <w:r w:rsidR="00A41EB1" w:rsidRPr="00C314E3">
        <w:rPr>
          <w:rFonts w:ascii="Arial" w:hAnsi="Arial" w:cs="Arial"/>
          <w:sz w:val="24"/>
          <w:szCs w:val="24"/>
        </w:rPr>
        <w:t>In terms of section</w:t>
      </w:r>
      <w:r w:rsidR="00F2242C" w:rsidRPr="00C314E3">
        <w:rPr>
          <w:rFonts w:ascii="Arial" w:hAnsi="Arial" w:cs="Arial"/>
          <w:sz w:val="24"/>
          <w:szCs w:val="24"/>
        </w:rPr>
        <w:t xml:space="preserve"> 10(1)</w:t>
      </w:r>
      <w:r w:rsidR="005F1515" w:rsidRPr="00C314E3">
        <w:rPr>
          <w:rFonts w:ascii="Arial" w:hAnsi="Arial" w:cs="Arial"/>
          <w:sz w:val="24"/>
          <w:szCs w:val="24"/>
        </w:rPr>
        <w:t>, read with section 11(d),</w:t>
      </w:r>
      <w:r w:rsidR="00F2242C" w:rsidRPr="00C314E3">
        <w:rPr>
          <w:rFonts w:ascii="Arial" w:hAnsi="Arial" w:cs="Arial"/>
          <w:sz w:val="24"/>
          <w:szCs w:val="24"/>
        </w:rPr>
        <w:t xml:space="preserve"> </w:t>
      </w:r>
      <w:r w:rsidR="00C7074E" w:rsidRPr="00C314E3">
        <w:rPr>
          <w:rFonts w:ascii="Arial" w:hAnsi="Arial" w:cs="Arial"/>
          <w:sz w:val="24"/>
          <w:szCs w:val="24"/>
        </w:rPr>
        <w:t xml:space="preserve">of the Prescription Act 68 of 1969, </w:t>
      </w:r>
      <w:r w:rsidR="00DE0596" w:rsidRPr="00C314E3">
        <w:rPr>
          <w:rFonts w:ascii="Arial" w:hAnsi="Arial" w:cs="Arial"/>
          <w:sz w:val="24"/>
          <w:szCs w:val="24"/>
        </w:rPr>
        <w:t xml:space="preserve">a debt </w:t>
      </w:r>
      <w:r w:rsidR="00523BA9" w:rsidRPr="00C314E3">
        <w:rPr>
          <w:rFonts w:ascii="Arial" w:hAnsi="Arial" w:cs="Arial"/>
          <w:sz w:val="24"/>
          <w:szCs w:val="24"/>
        </w:rPr>
        <w:t xml:space="preserve">shall be extinguished by prescription </w:t>
      </w:r>
      <w:r w:rsidR="00C171C8" w:rsidRPr="00C314E3">
        <w:rPr>
          <w:rFonts w:ascii="Arial" w:hAnsi="Arial" w:cs="Arial"/>
          <w:sz w:val="24"/>
          <w:szCs w:val="24"/>
        </w:rPr>
        <w:t>after the lapse of three years.</w:t>
      </w:r>
      <w:r w:rsidR="00435646" w:rsidRPr="00C314E3">
        <w:rPr>
          <w:rFonts w:ascii="Arial" w:hAnsi="Arial" w:cs="Arial"/>
          <w:sz w:val="24"/>
          <w:szCs w:val="24"/>
        </w:rPr>
        <w:t xml:space="preserve"> </w:t>
      </w:r>
      <w:r w:rsidR="005B4F91" w:rsidRPr="00C314E3">
        <w:rPr>
          <w:rFonts w:ascii="Arial" w:hAnsi="Arial" w:cs="Arial"/>
          <w:sz w:val="24"/>
          <w:szCs w:val="24"/>
        </w:rPr>
        <w:t xml:space="preserve">Under section 12(1), prescription </w:t>
      </w:r>
      <w:r w:rsidR="004E00C1" w:rsidRPr="00C314E3">
        <w:rPr>
          <w:rFonts w:ascii="Arial" w:hAnsi="Arial" w:cs="Arial"/>
          <w:sz w:val="24"/>
          <w:szCs w:val="24"/>
        </w:rPr>
        <w:t xml:space="preserve">shall commence to </w:t>
      </w:r>
      <w:r w:rsidR="005B4F91" w:rsidRPr="00C314E3">
        <w:rPr>
          <w:rFonts w:ascii="Arial" w:hAnsi="Arial" w:cs="Arial"/>
          <w:sz w:val="24"/>
          <w:szCs w:val="24"/>
        </w:rPr>
        <w:t xml:space="preserve">run </w:t>
      </w:r>
      <w:r w:rsidR="004E00C1" w:rsidRPr="00C314E3">
        <w:rPr>
          <w:rFonts w:ascii="Arial" w:hAnsi="Arial" w:cs="Arial"/>
          <w:sz w:val="24"/>
          <w:szCs w:val="24"/>
        </w:rPr>
        <w:t xml:space="preserve">as soon as the </w:t>
      </w:r>
      <w:r w:rsidR="005B4F91" w:rsidRPr="00C314E3">
        <w:rPr>
          <w:rFonts w:ascii="Arial" w:hAnsi="Arial" w:cs="Arial"/>
          <w:sz w:val="24"/>
          <w:szCs w:val="24"/>
        </w:rPr>
        <w:t xml:space="preserve">debt </w:t>
      </w:r>
      <w:r w:rsidR="004E00C1" w:rsidRPr="00C314E3">
        <w:rPr>
          <w:rFonts w:ascii="Arial" w:hAnsi="Arial" w:cs="Arial"/>
          <w:sz w:val="24"/>
          <w:szCs w:val="24"/>
        </w:rPr>
        <w:t>is due.</w:t>
      </w:r>
      <w:r w:rsidR="007B108C" w:rsidRPr="00C314E3">
        <w:rPr>
          <w:rFonts w:ascii="Arial" w:hAnsi="Arial" w:cs="Arial"/>
          <w:sz w:val="24"/>
          <w:szCs w:val="24"/>
        </w:rPr>
        <w:t xml:space="preserve"> Furthermore, under section 14(1), </w:t>
      </w:r>
      <w:r w:rsidR="00560F8A" w:rsidRPr="00C314E3">
        <w:rPr>
          <w:rFonts w:ascii="Arial" w:hAnsi="Arial" w:cs="Arial"/>
          <w:sz w:val="24"/>
          <w:szCs w:val="24"/>
        </w:rPr>
        <w:t>the running of prescription shall be interrupted by an express or tacit acknowledgment of liability</w:t>
      </w:r>
      <w:r w:rsidR="007908CA" w:rsidRPr="00C314E3">
        <w:rPr>
          <w:rFonts w:ascii="Arial" w:hAnsi="Arial" w:cs="Arial"/>
          <w:sz w:val="24"/>
          <w:szCs w:val="24"/>
        </w:rPr>
        <w:t xml:space="preserve"> by the debtor. </w:t>
      </w:r>
    </w:p>
    <w:p w14:paraId="0AFAB21C" w14:textId="77777777" w:rsidR="00B11B24" w:rsidRDefault="00B11B24" w:rsidP="00B11B24">
      <w:pPr>
        <w:pStyle w:val="ListParagraph"/>
        <w:spacing w:line="360" w:lineRule="auto"/>
        <w:ind w:left="0"/>
        <w:jc w:val="both"/>
        <w:rPr>
          <w:rFonts w:ascii="Arial" w:hAnsi="Arial" w:cs="Arial"/>
          <w:sz w:val="24"/>
          <w:szCs w:val="24"/>
        </w:rPr>
      </w:pPr>
    </w:p>
    <w:p w14:paraId="4E8FA54D" w14:textId="6F931653" w:rsidR="00182E44" w:rsidRPr="00C314E3" w:rsidRDefault="00C314E3" w:rsidP="00C314E3">
      <w:pPr>
        <w:spacing w:line="360" w:lineRule="auto"/>
        <w:jc w:val="both"/>
        <w:rPr>
          <w:rFonts w:ascii="Arial" w:hAnsi="Arial" w:cs="Arial"/>
          <w:sz w:val="24"/>
          <w:szCs w:val="24"/>
        </w:rPr>
      </w:pPr>
      <w:r w:rsidRPr="00B11B24">
        <w:rPr>
          <w:rFonts w:ascii="Arial" w:hAnsi="Arial" w:cs="Arial"/>
          <w:sz w:val="24"/>
          <w:szCs w:val="24"/>
        </w:rPr>
        <w:t>[57]</w:t>
      </w:r>
      <w:r w:rsidRPr="00B11B24">
        <w:rPr>
          <w:rFonts w:ascii="Arial" w:hAnsi="Arial" w:cs="Arial"/>
          <w:sz w:val="24"/>
          <w:szCs w:val="24"/>
        </w:rPr>
        <w:tab/>
      </w:r>
      <w:r w:rsidR="007908CA" w:rsidRPr="00C314E3">
        <w:rPr>
          <w:rFonts w:ascii="Arial" w:hAnsi="Arial" w:cs="Arial"/>
          <w:sz w:val="24"/>
          <w:szCs w:val="24"/>
        </w:rPr>
        <w:t>Here,</w:t>
      </w:r>
      <w:r w:rsidR="00EE2556" w:rsidRPr="00C314E3">
        <w:rPr>
          <w:rFonts w:ascii="Arial" w:hAnsi="Arial" w:cs="Arial"/>
          <w:sz w:val="24"/>
          <w:szCs w:val="24"/>
        </w:rPr>
        <w:t xml:space="preserve"> the first respondent’s loan </w:t>
      </w:r>
      <w:r w:rsidR="00B66B66" w:rsidRPr="00C314E3">
        <w:rPr>
          <w:rFonts w:ascii="Arial" w:hAnsi="Arial" w:cs="Arial"/>
          <w:sz w:val="24"/>
          <w:szCs w:val="24"/>
        </w:rPr>
        <w:t xml:space="preserve">to Mr Kriel </w:t>
      </w:r>
      <w:r w:rsidR="00EE2556" w:rsidRPr="00C314E3">
        <w:rPr>
          <w:rFonts w:ascii="Arial" w:hAnsi="Arial" w:cs="Arial"/>
          <w:sz w:val="24"/>
          <w:szCs w:val="24"/>
        </w:rPr>
        <w:t>consisted of various tranches, the last of which having been released on or about 23 September 2015.</w:t>
      </w:r>
      <w:r w:rsidR="00332716" w:rsidRPr="00C314E3">
        <w:rPr>
          <w:rFonts w:ascii="Arial" w:hAnsi="Arial" w:cs="Arial"/>
          <w:sz w:val="24"/>
          <w:szCs w:val="24"/>
        </w:rPr>
        <w:t xml:space="preserve"> </w:t>
      </w:r>
      <w:r w:rsidR="00107CE0" w:rsidRPr="00C314E3">
        <w:rPr>
          <w:rFonts w:ascii="Arial" w:hAnsi="Arial" w:cs="Arial"/>
          <w:sz w:val="24"/>
          <w:szCs w:val="24"/>
        </w:rPr>
        <w:t xml:space="preserve">In </w:t>
      </w:r>
      <w:r w:rsidR="00060EDC" w:rsidRPr="00C314E3">
        <w:rPr>
          <w:rFonts w:ascii="Arial" w:hAnsi="Arial" w:cs="Arial"/>
          <w:sz w:val="24"/>
          <w:szCs w:val="24"/>
        </w:rPr>
        <w:t xml:space="preserve">the most favourable scenario for </w:t>
      </w:r>
      <w:r w:rsidR="002A2DA3" w:rsidRPr="00C314E3">
        <w:rPr>
          <w:rFonts w:ascii="Arial" w:hAnsi="Arial" w:cs="Arial"/>
          <w:sz w:val="24"/>
          <w:szCs w:val="24"/>
        </w:rPr>
        <w:t xml:space="preserve">the first respondent, the running of prescription was interrupted on 29 February 2016, when Mr Kriel </w:t>
      </w:r>
      <w:r w:rsidR="00AD3BEB" w:rsidRPr="00C314E3">
        <w:rPr>
          <w:rFonts w:ascii="Arial" w:hAnsi="Arial" w:cs="Arial"/>
          <w:sz w:val="24"/>
          <w:szCs w:val="24"/>
        </w:rPr>
        <w:t xml:space="preserve">tacitly </w:t>
      </w:r>
      <w:r w:rsidR="002A2DA3" w:rsidRPr="00C314E3">
        <w:rPr>
          <w:rFonts w:ascii="Arial" w:hAnsi="Arial" w:cs="Arial"/>
          <w:sz w:val="24"/>
          <w:szCs w:val="24"/>
        </w:rPr>
        <w:t xml:space="preserve">acknowledged his liability by </w:t>
      </w:r>
      <w:r w:rsidR="00AD3BEB" w:rsidRPr="00C314E3">
        <w:rPr>
          <w:rFonts w:ascii="Arial" w:hAnsi="Arial" w:cs="Arial"/>
          <w:sz w:val="24"/>
          <w:szCs w:val="24"/>
        </w:rPr>
        <w:t>permitting the first respondent to take occupation.</w:t>
      </w:r>
      <w:r w:rsidR="003E552A" w:rsidRPr="00C314E3">
        <w:rPr>
          <w:rFonts w:ascii="Arial" w:hAnsi="Arial" w:cs="Arial"/>
          <w:sz w:val="24"/>
          <w:szCs w:val="24"/>
        </w:rPr>
        <w:t xml:space="preserve"> </w:t>
      </w:r>
      <w:r w:rsidR="00DB5758" w:rsidRPr="00C314E3">
        <w:rPr>
          <w:rFonts w:ascii="Arial" w:hAnsi="Arial" w:cs="Arial"/>
          <w:sz w:val="24"/>
          <w:szCs w:val="24"/>
        </w:rPr>
        <w:t xml:space="preserve">The latter </w:t>
      </w:r>
      <w:r w:rsidR="0042432F" w:rsidRPr="00C314E3">
        <w:rPr>
          <w:rFonts w:ascii="Arial" w:hAnsi="Arial" w:cs="Arial"/>
          <w:sz w:val="24"/>
          <w:szCs w:val="24"/>
        </w:rPr>
        <w:t>had</w:t>
      </w:r>
      <w:r w:rsidR="00A16C8D" w:rsidRPr="00C314E3">
        <w:rPr>
          <w:rFonts w:ascii="Arial" w:hAnsi="Arial" w:cs="Arial"/>
          <w:sz w:val="24"/>
          <w:szCs w:val="24"/>
        </w:rPr>
        <w:t>, accordingly,</w:t>
      </w:r>
      <w:r w:rsidR="0042432F" w:rsidRPr="00C314E3">
        <w:rPr>
          <w:rFonts w:ascii="Arial" w:hAnsi="Arial" w:cs="Arial"/>
          <w:sz w:val="24"/>
          <w:szCs w:val="24"/>
        </w:rPr>
        <w:t xml:space="preserve"> until 28 February 2019 to recover his loan, failing which the </w:t>
      </w:r>
      <w:r w:rsidR="00C1179C" w:rsidRPr="00C314E3">
        <w:rPr>
          <w:rFonts w:ascii="Arial" w:hAnsi="Arial" w:cs="Arial"/>
          <w:sz w:val="24"/>
          <w:szCs w:val="24"/>
        </w:rPr>
        <w:t>provisions of section 10(1)</w:t>
      </w:r>
      <w:r w:rsidR="004C799A" w:rsidRPr="00C314E3">
        <w:rPr>
          <w:rFonts w:ascii="Arial" w:hAnsi="Arial" w:cs="Arial"/>
          <w:sz w:val="24"/>
          <w:szCs w:val="24"/>
        </w:rPr>
        <w:t xml:space="preserve"> of the above Act would take effect.</w:t>
      </w:r>
      <w:r w:rsidR="003A1E31" w:rsidRPr="00C314E3">
        <w:rPr>
          <w:rFonts w:ascii="Arial" w:hAnsi="Arial" w:cs="Arial"/>
          <w:sz w:val="24"/>
          <w:szCs w:val="24"/>
        </w:rPr>
        <w:t xml:space="preserve"> The first respondent has not </w:t>
      </w:r>
      <w:r w:rsidR="001340C1" w:rsidRPr="00C314E3">
        <w:rPr>
          <w:rFonts w:ascii="Arial" w:hAnsi="Arial" w:cs="Arial"/>
          <w:sz w:val="24"/>
          <w:szCs w:val="24"/>
        </w:rPr>
        <w:t>refut</w:t>
      </w:r>
      <w:r w:rsidR="003A1E31" w:rsidRPr="00C314E3">
        <w:rPr>
          <w:rFonts w:ascii="Arial" w:hAnsi="Arial" w:cs="Arial"/>
          <w:sz w:val="24"/>
          <w:szCs w:val="24"/>
        </w:rPr>
        <w:t xml:space="preserve">ed </w:t>
      </w:r>
      <w:r w:rsidR="003361D8" w:rsidRPr="00C314E3">
        <w:rPr>
          <w:rFonts w:ascii="Arial" w:hAnsi="Arial" w:cs="Arial"/>
          <w:sz w:val="24"/>
          <w:szCs w:val="24"/>
        </w:rPr>
        <w:t xml:space="preserve">the </w:t>
      </w:r>
      <w:r w:rsidR="001340C1" w:rsidRPr="00C314E3">
        <w:rPr>
          <w:rFonts w:ascii="Arial" w:hAnsi="Arial" w:cs="Arial"/>
          <w:sz w:val="24"/>
          <w:szCs w:val="24"/>
        </w:rPr>
        <w:t xml:space="preserve">allegation </w:t>
      </w:r>
      <w:r w:rsidR="003A1E31" w:rsidRPr="00C314E3">
        <w:rPr>
          <w:rFonts w:ascii="Arial" w:hAnsi="Arial" w:cs="Arial"/>
          <w:sz w:val="24"/>
          <w:szCs w:val="24"/>
        </w:rPr>
        <w:t xml:space="preserve">that he has taken no steps to </w:t>
      </w:r>
      <w:r w:rsidR="001657C6" w:rsidRPr="00C314E3">
        <w:rPr>
          <w:rFonts w:ascii="Arial" w:hAnsi="Arial" w:cs="Arial"/>
          <w:sz w:val="24"/>
          <w:szCs w:val="24"/>
        </w:rPr>
        <w:t xml:space="preserve">enforce </w:t>
      </w:r>
      <w:r w:rsidR="00867251" w:rsidRPr="00C314E3">
        <w:rPr>
          <w:rFonts w:ascii="Arial" w:hAnsi="Arial" w:cs="Arial"/>
          <w:sz w:val="24"/>
          <w:szCs w:val="24"/>
        </w:rPr>
        <w:t>his</w:t>
      </w:r>
      <w:r w:rsidR="00623356" w:rsidRPr="00C314E3">
        <w:rPr>
          <w:rFonts w:ascii="Arial" w:hAnsi="Arial" w:cs="Arial"/>
          <w:sz w:val="24"/>
          <w:szCs w:val="24"/>
        </w:rPr>
        <w:t xml:space="preserve"> claim against </w:t>
      </w:r>
      <w:r w:rsidR="001657C6" w:rsidRPr="00C314E3">
        <w:rPr>
          <w:rFonts w:ascii="Arial" w:hAnsi="Arial" w:cs="Arial"/>
          <w:sz w:val="24"/>
          <w:szCs w:val="24"/>
        </w:rPr>
        <w:t>Mr Kriel</w:t>
      </w:r>
      <w:r w:rsidR="00904B2B" w:rsidRPr="00C314E3">
        <w:rPr>
          <w:rFonts w:ascii="Arial" w:hAnsi="Arial" w:cs="Arial"/>
          <w:sz w:val="24"/>
          <w:szCs w:val="24"/>
        </w:rPr>
        <w:t>. T</w:t>
      </w:r>
      <w:r w:rsidR="00C817EC" w:rsidRPr="00C314E3">
        <w:rPr>
          <w:rFonts w:ascii="Arial" w:hAnsi="Arial" w:cs="Arial"/>
          <w:sz w:val="24"/>
          <w:szCs w:val="24"/>
        </w:rPr>
        <w:t xml:space="preserve">his much was </w:t>
      </w:r>
      <w:r w:rsidR="00BD1162" w:rsidRPr="00C314E3">
        <w:rPr>
          <w:rFonts w:ascii="Arial" w:hAnsi="Arial" w:cs="Arial"/>
          <w:sz w:val="24"/>
          <w:szCs w:val="24"/>
        </w:rPr>
        <w:t>acknowledg</w:t>
      </w:r>
      <w:r w:rsidR="00C817EC" w:rsidRPr="00C314E3">
        <w:rPr>
          <w:rFonts w:ascii="Arial" w:hAnsi="Arial" w:cs="Arial"/>
          <w:sz w:val="24"/>
          <w:szCs w:val="24"/>
        </w:rPr>
        <w:t>ed by his legal representative in argument.</w:t>
      </w:r>
      <w:r w:rsidR="003361D8" w:rsidRPr="00C314E3">
        <w:rPr>
          <w:rFonts w:ascii="Arial" w:hAnsi="Arial" w:cs="Arial"/>
          <w:sz w:val="24"/>
          <w:szCs w:val="24"/>
        </w:rPr>
        <w:t xml:space="preserve"> In the</w:t>
      </w:r>
      <w:r w:rsidR="006F1C42" w:rsidRPr="00C314E3">
        <w:rPr>
          <w:rFonts w:ascii="Arial" w:hAnsi="Arial" w:cs="Arial"/>
          <w:sz w:val="24"/>
          <w:szCs w:val="24"/>
        </w:rPr>
        <w:t xml:space="preserve"> circumstances, Mr Kriel’s debt to the first respondent must be deemed to have </w:t>
      </w:r>
      <w:r w:rsidR="00496008" w:rsidRPr="00C314E3">
        <w:rPr>
          <w:rFonts w:ascii="Arial" w:hAnsi="Arial" w:cs="Arial"/>
          <w:sz w:val="24"/>
          <w:szCs w:val="24"/>
        </w:rPr>
        <w:t>become extinguished by prescription</w:t>
      </w:r>
      <w:r w:rsidR="00D920B8" w:rsidRPr="00C314E3">
        <w:rPr>
          <w:rFonts w:ascii="Arial" w:hAnsi="Arial" w:cs="Arial"/>
          <w:sz w:val="24"/>
          <w:szCs w:val="24"/>
        </w:rPr>
        <w:t>.</w:t>
      </w:r>
      <w:r w:rsidR="00496008" w:rsidRPr="00C314E3">
        <w:rPr>
          <w:rFonts w:ascii="Arial" w:hAnsi="Arial" w:cs="Arial"/>
          <w:sz w:val="24"/>
          <w:szCs w:val="24"/>
        </w:rPr>
        <w:t xml:space="preserve"> </w:t>
      </w:r>
      <w:r w:rsidR="00A50812" w:rsidRPr="00C314E3">
        <w:rPr>
          <w:rFonts w:ascii="Arial" w:hAnsi="Arial" w:cs="Arial"/>
          <w:sz w:val="24"/>
          <w:szCs w:val="24"/>
        </w:rPr>
        <w:t xml:space="preserve">To put it another way, Mr </w:t>
      </w:r>
      <w:r w:rsidR="00A50812" w:rsidRPr="00C314E3">
        <w:rPr>
          <w:rFonts w:ascii="Arial" w:hAnsi="Arial" w:cs="Arial"/>
          <w:sz w:val="24"/>
          <w:szCs w:val="24"/>
        </w:rPr>
        <w:lastRenderedPageBreak/>
        <w:t>Kriel’s obligation has fallen away</w:t>
      </w:r>
      <w:r w:rsidR="00867251" w:rsidRPr="00C314E3">
        <w:rPr>
          <w:rFonts w:ascii="Arial" w:hAnsi="Arial" w:cs="Arial"/>
          <w:sz w:val="24"/>
          <w:szCs w:val="24"/>
        </w:rPr>
        <w:t>.</w:t>
      </w:r>
      <w:r w:rsidR="00760B91" w:rsidRPr="00C314E3">
        <w:rPr>
          <w:rFonts w:ascii="Arial" w:hAnsi="Arial" w:cs="Arial"/>
          <w:sz w:val="24"/>
          <w:szCs w:val="24"/>
        </w:rPr>
        <w:t xml:space="preserve"> </w:t>
      </w:r>
      <w:r w:rsidR="00431DC8" w:rsidRPr="00C314E3">
        <w:rPr>
          <w:rFonts w:ascii="Arial" w:hAnsi="Arial" w:cs="Arial"/>
          <w:sz w:val="24"/>
          <w:szCs w:val="24"/>
        </w:rPr>
        <w:t>Commensurately</w:t>
      </w:r>
      <w:r w:rsidR="00D920B8" w:rsidRPr="00C314E3">
        <w:rPr>
          <w:rFonts w:ascii="Arial" w:hAnsi="Arial" w:cs="Arial"/>
          <w:sz w:val="24"/>
          <w:szCs w:val="24"/>
        </w:rPr>
        <w:t xml:space="preserve">, the first respondent </w:t>
      </w:r>
      <w:r w:rsidR="00913D42" w:rsidRPr="00C314E3">
        <w:rPr>
          <w:rFonts w:ascii="Arial" w:hAnsi="Arial" w:cs="Arial"/>
          <w:sz w:val="24"/>
          <w:szCs w:val="24"/>
        </w:rPr>
        <w:t xml:space="preserve">no longer has any </w:t>
      </w:r>
      <w:r w:rsidR="00867251" w:rsidRPr="00C314E3">
        <w:rPr>
          <w:rFonts w:ascii="Arial" w:hAnsi="Arial" w:cs="Arial"/>
          <w:sz w:val="24"/>
          <w:szCs w:val="24"/>
        </w:rPr>
        <w:t xml:space="preserve">right to occupy </w:t>
      </w:r>
      <w:r w:rsidR="00913D42" w:rsidRPr="00C314E3">
        <w:rPr>
          <w:rFonts w:ascii="Arial" w:hAnsi="Arial" w:cs="Arial"/>
          <w:sz w:val="24"/>
          <w:szCs w:val="24"/>
        </w:rPr>
        <w:t>the property.</w:t>
      </w:r>
    </w:p>
    <w:p w14:paraId="77C55F99" w14:textId="77777777" w:rsidR="00CE3461" w:rsidRDefault="00CE3461" w:rsidP="009619D9">
      <w:pPr>
        <w:spacing w:line="360" w:lineRule="auto"/>
        <w:rPr>
          <w:rFonts w:ascii="Arial" w:hAnsi="Arial" w:cs="Arial"/>
          <w:sz w:val="24"/>
          <w:szCs w:val="24"/>
        </w:rPr>
      </w:pPr>
    </w:p>
    <w:p w14:paraId="69F16E9C" w14:textId="77777777" w:rsidR="004164A2" w:rsidRPr="004164A2" w:rsidRDefault="004164A2" w:rsidP="00E77158">
      <w:pPr>
        <w:spacing w:line="360" w:lineRule="auto"/>
        <w:jc w:val="both"/>
        <w:rPr>
          <w:rFonts w:ascii="Arial" w:hAnsi="Arial" w:cs="Arial"/>
          <w:i/>
          <w:iCs/>
          <w:sz w:val="24"/>
          <w:szCs w:val="24"/>
        </w:rPr>
      </w:pPr>
      <w:r w:rsidRPr="004164A2">
        <w:rPr>
          <w:rFonts w:ascii="Arial" w:hAnsi="Arial" w:cs="Arial"/>
          <w:i/>
          <w:iCs/>
          <w:sz w:val="24"/>
          <w:szCs w:val="24"/>
        </w:rPr>
        <w:t>Rule 46A</w:t>
      </w:r>
    </w:p>
    <w:p w14:paraId="6E2D4497" w14:textId="77777777" w:rsidR="004164A2" w:rsidRDefault="004164A2" w:rsidP="009619D9">
      <w:pPr>
        <w:spacing w:line="360" w:lineRule="auto"/>
        <w:rPr>
          <w:rFonts w:ascii="Arial" w:hAnsi="Arial" w:cs="Arial"/>
          <w:sz w:val="24"/>
          <w:szCs w:val="24"/>
        </w:rPr>
      </w:pPr>
    </w:p>
    <w:p w14:paraId="59AD409A" w14:textId="2966CB98" w:rsidR="00B11B24" w:rsidRPr="00C314E3" w:rsidRDefault="00C314E3" w:rsidP="00C314E3">
      <w:pPr>
        <w:spacing w:line="360" w:lineRule="auto"/>
        <w:jc w:val="both"/>
        <w:rPr>
          <w:rFonts w:ascii="Arial" w:hAnsi="Arial" w:cs="Arial"/>
          <w:sz w:val="24"/>
          <w:szCs w:val="24"/>
        </w:rPr>
      </w:pPr>
      <w:r>
        <w:rPr>
          <w:rFonts w:ascii="Arial" w:hAnsi="Arial" w:cs="Arial"/>
          <w:sz w:val="24"/>
          <w:szCs w:val="24"/>
        </w:rPr>
        <w:t>[58]</w:t>
      </w:r>
      <w:r>
        <w:rPr>
          <w:rFonts w:ascii="Arial" w:hAnsi="Arial" w:cs="Arial"/>
          <w:sz w:val="24"/>
          <w:szCs w:val="24"/>
        </w:rPr>
        <w:tab/>
      </w:r>
      <w:r w:rsidR="004164A2" w:rsidRPr="00C314E3">
        <w:rPr>
          <w:rFonts w:ascii="Arial" w:hAnsi="Arial" w:cs="Arial"/>
          <w:sz w:val="24"/>
          <w:szCs w:val="24"/>
        </w:rPr>
        <w:t>The first respondent has</w:t>
      </w:r>
      <w:r w:rsidR="00D17F10" w:rsidRPr="00C314E3">
        <w:rPr>
          <w:rFonts w:ascii="Arial" w:hAnsi="Arial" w:cs="Arial"/>
          <w:sz w:val="24"/>
          <w:szCs w:val="24"/>
        </w:rPr>
        <w:t xml:space="preserve"> raised certain contentions within the context of rule 46A of the Uniform Rules of Court (‘URC’). The rule in question </w:t>
      </w:r>
      <w:r w:rsidR="00312909" w:rsidRPr="00C314E3">
        <w:rPr>
          <w:rFonts w:ascii="Arial" w:hAnsi="Arial" w:cs="Arial"/>
          <w:sz w:val="24"/>
          <w:szCs w:val="24"/>
        </w:rPr>
        <w:t>provides for</w:t>
      </w:r>
      <w:r w:rsidR="00D17F10" w:rsidRPr="00C314E3">
        <w:rPr>
          <w:rFonts w:ascii="Arial" w:hAnsi="Arial" w:cs="Arial"/>
          <w:sz w:val="24"/>
          <w:szCs w:val="24"/>
        </w:rPr>
        <w:t xml:space="preserve"> </w:t>
      </w:r>
      <w:r w:rsidR="00312909" w:rsidRPr="00C314E3">
        <w:rPr>
          <w:rFonts w:ascii="Arial" w:hAnsi="Arial" w:cs="Arial"/>
          <w:sz w:val="24"/>
          <w:szCs w:val="24"/>
        </w:rPr>
        <w:t xml:space="preserve">judicial oversight in relation to </w:t>
      </w:r>
      <w:r w:rsidR="00D17F10" w:rsidRPr="00C314E3">
        <w:rPr>
          <w:rFonts w:ascii="Arial" w:hAnsi="Arial" w:cs="Arial"/>
          <w:sz w:val="24"/>
          <w:szCs w:val="24"/>
        </w:rPr>
        <w:t>execution against residential immovable property</w:t>
      </w:r>
      <w:r w:rsidR="00312909" w:rsidRPr="00C314E3">
        <w:rPr>
          <w:rFonts w:ascii="Arial" w:hAnsi="Arial" w:cs="Arial"/>
          <w:sz w:val="24"/>
          <w:szCs w:val="24"/>
        </w:rPr>
        <w:t>, so that the constitutional right to adequate housing is protected.</w:t>
      </w:r>
      <w:r w:rsidR="00312909">
        <w:rPr>
          <w:rStyle w:val="FootnoteReference"/>
          <w:rFonts w:ascii="Arial" w:hAnsi="Arial" w:cs="Arial"/>
          <w:sz w:val="24"/>
          <w:szCs w:val="24"/>
        </w:rPr>
        <w:footnoteReference w:id="32"/>
      </w:r>
      <w:r w:rsidR="009E104B" w:rsidRPr="00C314E3">
        <w:rPr>
          <w:rFonts w:ascii="Arial" w:hAnsi="Arial" w:cs="Arial"/>
          <w:sz w:val="24"/>
          <w:szCs w:val="24"/>
        </w:rPr>
        <w:t xml:space="preserve"> </w:t>
      </w:r>
    </w:p>
    <w:p w14:paraId="66943593" w14:textId="77777777" w:rsidR="00B11B24" w:rsidRDefault="00B11B24" w:rsidP="00E77158">
      <w:pPr>
        <w:pStyle w:val="ListParagraph"/>
        <w:spacing w:line="360" w:lineRule="auto"/>
        <w:ind w:left="0"/>
        <w:jc w:val="both"/>
        <w:rPr>
          <w:rFonts w:ascii="Arial" w:hAnsi="Arial" w:cs="Arial"/>
          <w:sz w:val="24"/>
          <w:szCs w:val="24"/>
        </w:rPr>
      </w:pPr>
    </w:p>
    <w:p w14:paraId="5ED83C3D" w14:textId="6D309D39" w:rsidR="00B11B24" w:rsidRPr="00C314E3" w:rsidRDefault="00C314E3" w:rsidP="00C314E3">
      <w:pPr>
        <w:spacing w:line="360" w:lineRule="auto"/>
        <w:jc w:val="both"/>
        <w:rPr>
          <w:rFonts w:ascii="Arial" w:hAnsi="Arial" w:cs="Arial"/>
          <w:sz w:val="24"/>
          <w:szCs w:val="24"/>
        </w:rPr>
      </w:pPr>
      <w:r>
        <w:rPr>
          <w:rFonts w:ascii="Arial" w:hAnsi="Arial" w:cs="Arial"/>
          <w:sz w:val="24"/>
          <w:szCs w:val="24"/>
        </w:rPr>
        <w:t>[59]</w:t>
      </w:r>
      <w:r>
        <w:rPr>
          <w:rFonts w:ascii="Arial" w:hAnsi="Arial" w:cs="Arial"/>
          <w:sz w:val="24"/>
          <w:szCs w:val="24"/>
        </w:rPr>
        <w:tab/>
      </w:r>
      <w:r w:rsidR="009E104B" w:rsidRPr="00C314E3">
        <w:rPr>
          <w:rFonts w:ascii="Arial" w:hAnsi="Arial" w:cs="Arial"/>
          <w:sz w:val="24"/>
          <w:szCs w:val="24"/>
        </w:rPr>
        <w:t xml:space="preserve">It appears to be the first respondent’s argument that once the property was declared executable, as was done by Zilwa J on </w:t>
      </w:r>
      <w:r w:rsidR="00E10E8D" w:rsidRPr="00C314E3">
        <w:rPr>
          <w:rFonts w:ascii="Arial" w:hAnsi="Arial" w:cs="Arial"/>
          <w:sz w:val="24"/>
          <w:szCs w:val="24"/>
        </w:rPr>
        <w:t>12 January 2021</w:t>
      </w:r>
      <w:r w:rsidR="00885BA3" w:rsidRPr="00C314E3">
        <w:rPr>
          <w:rFonts w:ascii="Arial" w:hAnsi="Arial" w:cs="Arial"/>
          <w:sz w:val="24"/>
          <w:szCs w:val="24"/>
        </w:rPr>
        <w:t xml:space="preserve"> upon application made by Mr Kriel’s judgment creditor, Shumayela Properties (Pty) Ltd, the property could not be alienated in any manner other than a sale in execution. </w:t>
      </w:r>
      <w:r w:rsidR="00DA1D97" w:rsidRPr="00C314E3">
        <w:rPr>
          <w:rFonts w:ascii="Arial" w:hAnsi="Arial" w:cs="Arial"/>
          <w:sz w:val="24"/>
          <w:szCs w:val="24"/>
        </w:rPr>
        <w:t xml:space="preserve">This was because only the court had authority to control the way execution, as a process of court, should be carried out. </w:t>
      </w:r>
      <w:r w:rsidR="00885BA3" w:rsidRPr="00C314E3">
        <w:rPr>
          <w:rFonts w:ascii="Arial" w:hAnsi="Arial" w:cs="Arial"/>
          <w:sz w:val="24"/>
          <w:szCs w:val="24"/>
        </w:rPr>
        <w:t xml:space="preserve">The </w:t>
      </w:r>
      <w:r w:rsidR="00456621" w:rsidRPr="00C314E3">
        <w:rPr>
          <w:rFonts w:ascii="Arial" w:hAnsi="Arial" w:cs="Arial"/>
          <w:sz w:val="24"/>
          <w:szCs w:val="24"/>
        </w:rPr>
        <w:t>first</w:t>
      </w:r>
      <w:r w:rsidR="00885BA3" w:rsidRPr="00C314E3">
        <w:rPr>
          <w:rFonts w:ascii="Arial" w:hAnsi="Arial" w:cs="Arial"/>
          <w:sz w:val="24"/>
          <w:szCs w:val="24"/>
        </w:rPr>
        <w:t xml:space="preserve"> respondent also argued that </w:t>
      </w:r>
      <w:r w:rsidR="00DA1D97" w:rsidRPr="00C314E3">
        <w:rPr>
          <w:rFonts w:ascii="Arial" w:hAnsi="Arial" w:cs="Arial"/>
          <w:sz w:val="24"/>
          <w:szCs w:val="24"/>
        </w:rPr>
        <w:t>the applicants failed to heed the condition imposed by Zilwa J to the effect that the sale of the property was subject to any rights which the first respondent may have as an occupier.</w:t>
      </w:r>
    </w:p>
    <w:p w14:paraId="288BE952" w14:textId="76CC6462" w:rsidR="00B11B24" w:rsidRPr="00C314E3" w:rsidRDefault="00C314E3" w:rsidP="00C314E3">
      <w:pPr>
        <w:spacing w:line="360" w:lineRule="auto"/>
        <w:jc w:val="both"/>
        <w:rPr>
          <w:rFonts w:ascii="Arial" w:hAnsi="Arial" w:cs="Arial"/>
          <w:sz w:val="24"/>
          <w:szCs w:val="24"/>
        </w:rPr>
      </w:pPr>
      <w:r>
        <w:rPr>
          <w:rFonts w:ascii="Arial" w:hAnsi="Arial" w:cs="Arial"/>
          <w:sz w:val="24"/>
          <w:szCs w:val="24"/>
        </w:rPr>
        <w:t>[60]</w:t>
      </w:r>
      <w:r>
        <w:rPr>
          <w:rFonts w:ascii="Arial" w:hAnsi="Arial" w:cs="Arial"/>
          <w:sz w:val="24"/>
          <w:szCs w:val="24"/>
        </w:rPr>
        <w:tab/>
      </w:r>
      <w:r w:rsidR="006D4ADD" w:rsidRPr="00C314E3">
        <w:rPr>
          <w:rFonts w:ascii="Arial" w:hAnsi="Arial" w:cs="Arial"/>
          <w:sz w:val="24"/>
          <w:szCs w:val="24"/>
        </w:rPr>
        <w:t xml:space="preserve">The </w:t>
      </w:r>
      <w:r w:rsidR="007D7010" w:rsidRPr="00C314E3">
        <w:rPr>
          <w:rFonts w:ascii="Arial" w:hAnsi="Arial" w:cs="Arial"/>
          <w:sz w:val="24"/>
          <w:szCs w:val="24"/>
        </w:rPr>
        <w:t xml:space="preserve">decision in </w:t>
      </w:r>
      <w:r w:rsidR="007D7010" w:rsidRPr="00C314E3">
        <w:rPr>
          <w:rFonts w:ascii="Arial" w:hAnsi="Arial" w:cs="Arial"/>
          <w:i/>
          <w:iCs/>
          <w:sz w:val="24"/>
          <w:szCs w:val="24"/>
        </w:rPr>
        <w:t>Graham v Graham</w:t>
      </w:r>
      <w:r w:rsidR="00E16BC4" w:rsidRPr="00C314E3">
        <w:rPr>
          <w:rFonts w:ascii="Arial" w:hAnsi="Arial" w:cs="Arial"/>
          <w:sz w:val="24"/>
          <w:szCs w:val="24"/>
        </w:rPr>
        <w:t>,</w:t>
      </w:r>
      <w:r w:rsidR="00E16BC4">
        <w:rPr>
          <w:rStyle w:val="FootnoteReference"/>
          <w:rFonts w:ascii="Arial" w:hAnsi="Arial" w:cs="Arial"/>
          <w:sz w:val="24"/>
          <w:szCs w:val="24"/>
        </w:rPr>
        <w:footnoteReference w:id="33"/>
      </w:r>
      <w:r w:rsidR="00E16BC4" w:rsidRPr="00C314E3">
        <w:rPr>
          <w:rFonts w:ascii="Arial" w:hAnsi="Arial" w:cs="Arial"/>
          <w:sz w:val="24"/>
          <w:szCs w:val="24"/>
        </w:rPr>
        <w:t xml:space="preserve"> as cited </w:t>
      </w:r>
      <w:r w:rsidR="005B17B4" w:rsidRPr="00C314E3">
        <w:rPr>
          <w:rFonts w:ascii="Arial" w:hAnsi="Arial" w:cs="Arial"/>
          <w:sz w:val="24"/>
          <w:szCs w:val="24"/>
        </w:rPr>
        <w:t xml:space="preserve">by the </w:t>
      </w:r>
      <w:r w:rsidR="008E55B6" w:rsidRPr="00C314E3">
        <w:rPr>
          <w:rFonts w:ascii="Arial" w:hAnsi="Arial" w:cs="Arial"/>
          <w:sz w:val="24"/>
          <w:szCs w:val="24"/>
        </w:rPr>
        <w:t>first respondent</w:t>
      </w:r>
      <w:r w:rsidR="00E16BC4" w:rsidRPr="00C314E3">
        <w:rPr>
          <w:rFonts w:ascii="Arial" w:hAnsi="Arial" w:cs="Arial"/>
          <w:sz w:val="24"/>
          <w:szCs w:val="24"/>
        </w:rPr>
        <w:t xml:space="preserve">, is authority for the </w:t>
      </w:r>
      <w:r w:rsidR="00072E13" w:rsidRPr="00C314E3">
        <w:rPr>
          <w:rFonts w:ascii="Arial" w:hAnsi="Arial" w:cs="Arial"/>
          <w:sz w:val="24"/>
          <w:szCs w:val="24"/>
        </w:rPr>
        <w:t xml:space="preserve">proposition that execution is a process of the court, and that a court has inherent authority to </w:t>
      </w:r>
      <w:r w:rsidR="00E94F03" w:rsidRPr="00C314E3">
        <w:rPr>
          <w:rFonts w:ascii="Arial" w:hAnsi="Arial" w:cs="Arial"/>
          <w:sz w:val="24"/>
          <w:szCs w:val="24"/>
        </w:rPr>
        <w:t>control its own process, subject to such rules as there are.</w:t>
      </w:r>
      <w:r w:rsidR="00E94F03">
        <w:rPr>
          <w:rStyle w:val="FootnoteReference"/>
          <w:rFonts w:ascii="Arial" w:hAnsi="Arial" w:cs="Arial"/>
          <w:sz w:val="24"/>
          <w:szCs w:val="24"/>
        </w:rPr>
        <w:footnoteReference w:id="34"/>
      </w:r>
      <w:r w:rsidR="008E55B6" w:rsidRPr="00C314E3">
        <w:rPr>
          <w:rFonts w:ascii="Arial" w:hAnsi="Arial" w:cs="Arial"/>
          <w:sz w:val="24"/>
          <w:szCs w:val="24"/>
        </w:rPr>
        <w:t xml:space="preserve"> </w:t>
      </w:r>
      <w:r w:rsidR="00A227B4" w:rsidRPr="00C314E3">
        <w:rPr>
          <w:rFonts w:ascii="Arial" w:hAnsi="Arial" w:cs="Arial"/>
          <w:sz w:val="24"/>
          <w:szCs w:val="24"/>
        </w:rPr>
        <w:t xml:space="preserve">This was confirmed in </w:t>
      </w:r>
      <w:r w:rsidR="00FB0F3D" w:rsidRPr="00C314E3">
        <w:rPr>
          <w:rFonts w:ascii="Arial" w:hAnsi="Arial" w:cs="Arial"/>
          <w:i/>
          <w:iCs/>
          <w:sz w:val="24"/>
          <w:szCs w:val="24"/>
        </w:rPr>
        <w:t>Strime v Strime</w:t>
      </w:r>
      <w:r w:rsidR="00CB2C0C" w:rsidRPr="00C314E3">
        <w:rPr>
          <w:rFonts w:ascii="Arial" w:hAnsi="Arial" w:cs="Arial"/>
          <w:sz w:val="24"/>
          <w:szCs w:val="24"/>
        </w:rPr>
        <w:t>,</w:t>
      </w:r>
      <w:r w:rsidR="00FB0F3D">
        <w:rPr>
          <w:rStyle w:val="FootnoteReference"/>
          <w:rFonts w:ascii="Arial" w:hAnsi="Arial" w:cs="Arial"/>
          <w:sz w:val="24"/>
          <w:szCs w:val="24"/>
        </w:rPr>
        <w:footnoteReference w:id="35"/>
      </w:r>
      <w:r w:rsidR="00CB2C0C" w:rsidRPr="00C314E3">
        <w:rPr>
          <w:rFonts w:ascii="Arial" w:hAnsi="Arial" w:cs="Arial"/>
          <w:sz w:val="24"/>
          <w:szCs w:val="24"/>
        </w:rPr>
        <w:t xml:space="preserve"> similarly cited.</w:t>
      </w:r>
      <w:r w:rsidR="00443AD7" w:rsidRPr="00C314E3">
        <w:rPr>
          <w:rFonts w:ascii="Arial" w:hAnsi="Arial" w:cs="Arial"/>
          <w:sz w:val="24"/>
          <w:szCs w:val="24"/>
        </w:rPr>
        <w:t xml:space="preserve"> This court respectfully agrees with the above, which is</w:t>
      </w:r>
      <w:r w:rsidR="00D4353A" w:rsidRPr="00C314E3">
        <w:rPr>
          <w:rFonts w:ascii="Arial" w:hAnsi="Arial" w:cs="Arial"/>
          <w:sz w:val="24"/>
          <w:szCs w:val="24"/>
        </w:rPr>
        <w:t xml:space="preserve">, in any event, </w:t>
      </w:r>
      <w:r w:rsidR="000A1FD1" w:rsidRPr="00C314E3">
        <w:rPr>
          <w:rFonts w:ascii="Arial" w:hAnsi="Arial" w:cs="Arial"/>
          <w:sz w:val="24"/>
          <w:szCs w:val="24"/>
        </w:rPr>
        <w:t>entrenched under section 173 of the Constitution.</w:t>
      </w:r>
      <w:r w:rsidR="00715675" w:rsidRPr="00C314E3">
        <w:rPr>
          <w:rFonts w:ascii="Arial" w:hAnsi="Arial" w:cs="Arial"/>
          <w:sz w:val="24"/>
          <w:szCs w:val="24"/>
        </w:rPr>
        <w:t xml:space="preserve"> </w:t>
      </w:r>
    </w:p>
    <w:p w14:paraId="1A82BD9E" w14:textId="77777777" w:rsidR="00B11B24" w:rsidRDefault="00B11B24" w:rsidP="00E77158">
      <w:pPr>
        <w:pStyle w:val="ListParagraph"/>
        <w:spacing w:line="360" w:lineRule="auto"/>
        <w:ind w:left="0"/>
        <w:jc w:val="both"/>
        <w:rPr>
          <w:rFonts w:ascii="Arial" w:hAnsi="Arial" w:cs="Arial"/>
          <w:sz w:val="24"/>
          <w:szCs w:val="24"/>
        </w:rPr>
      </w:pPr>
    </w:p>
    <w:p w14:paraId="24B10D2C" w14:textId="5CD1F756" w:rsidR="00B11B24" w:rsidRPr="00C314E3" w:rsidRDefault="00C314E3" w:rsidP="00C314E3">
      <w:pPr>
        <w:spacing w:line="360" w:lineRule="auto"/>
        <w:jc w:val="both"/>
        <w:rPr>
          <w:rFonts w:ascii="Arial" w:hAnsi="Arial" w:cs="Arial"/>
          <w:sz w:val="24"/>
          <w:szCs w:val="24"/>
        </w:rPr>
      </w:pPr>
      <w:r>
        <w:rPr>
          <w:rFonts w:ascii="Arial" w:hAnsi="Arial" w:cs="Arial"/>
          <w:sz w:val="24"/>
          <w:szCs w:val="24"/>
        </w:rPr>
        <w:lastRenderedPageBreak/>
        <w:t>[61]</w:t>
      </w:r>
      <w:r>
        <w:rPr>
          <w:rFonts w:ascii="Arial" w:hAnsi="Arial" w:cs="Arial"/>
          <w:sz w:val="24"/>
          <w:szCs w:val="24"/>
        </w:rPr>
        <w:tab/>
      </w:r>
      <w:r w:rsidR="00715675" w:rsidRPr="00C314E3">
        <w:rPr>
          <w:rFonts w:ascii="Arial" w:hAnsi="Arial" w:cs="Arial"/>
          <w:sz w:val="24"/>
          <w:szCs w:val="24"/>
        </w:rPr>
        <w:t>The o</w:t>
      </w:r>
      <w:r w:rsidR="00AE473E" w:rsidRPr="00C314E3">
        <w:rPr>
          <w:rFonts w:ascii="Arial" w:hAnsi="Arial" w:cs="Arial"/>
          <w:sz w:val="24"/>
          <w:szCs w:val="24"/>
        </w:rPr>
        <w:t>r</w:t>
      </w:r>
      <w:r w:rsidR="00715675" w:rsidRPr="00C314E3">
        <w:rPr>
          <w:rFonts w:ascii="Arial" w:hAnsi="Arial" w:cs="Arial"/>
          <w:sz w:val="24"/>
          <w:szCs w:val="24"/>
        </w:rPr>
        <w:t xml:space="preserve">der made by Zilwa J, however, was </w:t>
      </w:r>
      <w:r w:rsidR="009C3029" w:rsidRPr="00C314E3">
        <w:rPr>
          <w:rFonts w:ascii="Arial" w:hAnsi="Arial" w:cs="Arial"/>
          <w:sz w:val="24"/>
          <w:szCs w:val="24"/>
        </w:rPr>
        <w:t xml:space="preserve">clearly </w:t>
      </w:r>
      <w:r w:rsidR="00715675" w:rsidRPr="00C314E3">
        <w:rPr>
          <w:rFonts w:ascii="Arial" w:hAnsi="Arial" w:cs="Arial"/>
          <w:sz w:val="24"/>
          <w:szCs w:val="24"/>
        </w:rPr>
        <w:t xml:space="preserve">pursuant </w:t>
      </w:r>
      <w:r w:rsidR="00AE473E" w:rsidRPr="00C314E3">
        <w:rPr>
          <w:rFonts w:ascii="Arial" w:hAnsi="Arial" w:cs="Arial"/>
          <w:sz w:val="24"/>
          <w:szCs w:val="24"/>
        </w:rPr>
        <w:t xml:space="preserve">to an application brought by the judgment creditor </w:t>
      </w:r>
      <w:r w:rsidR="00171B85" w:rsidRPr="00C314E3">
        <w:rPr>
          <w:rFonts w:ascii="Arial" w:hAnsi="Arial" w:cs="Arial"/>
          <w:sz w:val="24"/>
          <w:szCs w:val="24"/>
        </w:rPr>
        <w:t>in terms of rule 46A</w:t>
      </w:r>
      <w:r w:rsidR="00E230D0" w:rsidRPr="00C314E3">
        <w:rPr>
          <w:rFonts w:ascii="Arial" w:hAnsi="Arial" w:cs="Arial"/>
          <w:sz w:val="24"/>
          <w:szCs w:val="24"/>
        </w:rPr>
        <w:t xml:space="preserve">, which </w:t>
      </w:r>
      <w:r w:rsidR="00D03DEC" w:rsidRPr="00C314E3">
        <w:rPr>
          <w:rFonts w:ascii="Arial" w:hAnsi="Arial" w:cs="Arial"/>
          <w:sz w:val="24"/>
          <w:szCs w:val="24"/>
        </w:rPr>
        <w:t xml:space="preserve">serves as a safeguard against the abuse of </w:t>
      </w:r>
      <w:r w:rsidR="003125A6" w:rsidRPr="00C314E3">
        <w:rPr>
          <w:rFonts w:ascii="Arial" w:hAnsi="Arial" w:cs="Arial"/>
          <w:sz w:val="24"/>
          <w:szCs w:val="24"/>
        </w:rPr>
        <w:t>a judgment debtor’s constitutional right</w:t>
      </w:r>
      <w:r w:rsidR="005F28FF" w:rsidRPr="00C314E3">
        <w:rPr>
          <w:rFonts w:ascii="Arial" w:hAnsi="Arial" w:cs="Arial"/>
          <w:sz w:val="24"/>
          <w:szCs w:val="24"/>
        </w:rPr>
        <w:t xml:space="preserve"> to adequate housing. It declared the </w:t>
      </w:r>
      <w:r w:rsidR="00AA58F3" w:rsidRPr="00C314E3">
        <w:rPr>
          <w:rFonts w:ascii="Arial" w:hAnsi="Arial" w:cs="Arial"/>
          <w:sz w:val="24"/>
          <w:szCs w:val="24"/>
        </w:rPr>
        <w:t>property to be specially executable, authorised the issuing of a wri</w:t>
      </w:r>
      <w:r w:rsidR="002820CB" w:rsidRPr="00C314E3">
        <w:rPr>
          <w:rFonts w:ascii="Arial" w:hAnsi="Arial" w:cs="Arial"/>
          <w:sz w:val="24"/>
          <w:szCs w:val="24"/>
        </w:rPr>
        <w:t>t of execution, set a reserve price</w:t>
      </w:r>
      <w:r w:rsidR="00FA737F" w:rsidRPr="00C314E3">
        <w:rPr>
          <w:rFonts w:ascii="Arial" w:hAnsi="Arial" w:cs="Arial"/>
          <w:sz w:val="24"/>
          <w:szCs w:val="24"/>
        </w:rPr>
        <w:t xml:space="preserve">, and stipulated that the conditions of sale were to </w:t>
      </w:r>
      <w:r w:rsidR="000B7530" w:rsidRPr="00C314E3">
        <w:rPr>
          <w:rFonts w:ascii="Arial" w:hAnsi="Arial" w:cs="Arial"/>
          <w:sz w:val="24"/>
          <w:szCs w:val="24"/>
        </w:rPr>
        <w:t>indicate that the sale was subject to the first respondent’s rights as an occupier.</w:t>
      </w:r>
      <w:r w:rsidR="00031622" w:rsidRPr="00C314E3">
        <w:rPr>
          <w:rFonts w:ascii="Arial" w:hAnsi="Arial" w:cs="Arial"/>
          <w:sz w:val="24"/>
          <w:szCs w:val="24"/>
        </w:rPr>
        <w:t xml:space="preserve"> Importantly, the order did not prescribe the </w:t>
      </w:r>
      <w:r w:rsidR="00334768" w:rsidRPr="00C314E3">
        <w:rPr>
          <w:rFonts w:ascii="Arial" w:hAnsi="Arial" w:cs="Arial"/>
          <w:sz w:val="24"/>
          <w:szCs w:val="24"/>
        </w:rPr>
        <w:t>way the property was to be sold. It simply granted authority for execution</w:t>
      </w:r>
      <w:r w:rsidR="00EF5CFC" w:rsidRPr="00C314E3">
        <w:rPr>
          <w:rFonts w:ascii="Arial" w:hAnsi="Arial" w:cs="Arial"/>
          <w:sz w:val="24"/>
          <w:szCs w:val="24"/>
        </w:rPr>
        <w:t xml:space="preserve"> </w:t>
      </w:r>
      <w:r w:rsidR="005A15AE" w:rsidRPr="00C314E3">
        <w:rPr>
          <w:rFonts w:ascii="Arial" w:hAnsi="Arial" w:cs="Arial"/>
          <w:sz w:val="24"/>
          <w:szCs w:val="24"/>
        </w:rPr>
        <w:t xml:space="preserve">against the property </w:t>
      </w:r>
      <w:r w:rsidR="00EF5CFC" w:rsidRPr="00C314E3">
        <w:rPr>
          <w:rFonts w:ascii="Arial" w:hAnsi="Arial" w:cs="Arial"/>
          <w:sz w:val="24"/>
          <w:szCs w:val="24"/>
        </w:rPr>
        <w:t xml:space="preserve">in circumstances where it was </w:t>
      </w:r>
      <w:r w:rsidR="00605CB4" w:rsidRPr="00C314E3">
        <w:rPr>
          <w:rFonts w:ascii="Arial" w:hAnsi="Arial" w:cs="Arial"/>
          <w:sz w:val="24"/>
          <w:szCs w:val="24"/>
        </w:rPr>
        <w:t>used for residential purposes</w:t>
      </w:r>
      <w:r w:rsidR="005A15AE" w:rsidRPr="00C314E3">
        <w:rPr>
          <w:rFonts w:ascii="Arial" w:hAnsi="Arial" w:cs="Arial"/>
          <w:sz w:val="24"/>
          <w:szCs w:val="24"/>
        </w:rPr>
        <w:t xml:space="preserve">, as envisaged in terms of rule 46A. Whether the property was sold by public auction or </w:t>
      </w:r>
      <w:r w:rsidR="004F31BC" w:rsidRPr="00C314E3">
        <w:rPr>
          <w:rFonts w:ascii="Arial" w:hAnsi="Arial" w:cs="Arial"/>
          <w:sz w:val="24"/>
          <w:szCs w:val="24"/>
        </w:rPr>
        <w:t xml:space="preserve">consequent to negotiations between the judgment creditor’s attorneys and private </w:t>
      </w:r>
      <w:r w:rsidR="000B636B" w:rsidRPr="00C314E3">
        <w:rPr>
          <w:rFonts w:ascii="Arial" w:hAnsi="Arial" w:cs="Arial"/>
          <w:sz w:val="24"/>
          <w:szCs w:val="24"/>
        </w:rPr>
        <w:t>purchas</w:t>
      </w:r>
      <w:r w:rsidR="004F31BC" w:rsidRPr="00C314E3">
        <w:rPr>
          <w:rFonts w:ascii="Arial" w:hAnsi="Arial" w:cs="Arial"/>
          <w:sz w:val="24"/>
          <w:szCs w:val="24"/>
        </w:rPr>
        <w:t xml:space="preserve">ers, as was </w:t>
      </w:r>
      <w:r w:rsidR="000B636B" w:rsidRPr="00C314E3">
        <w:rPr>
          <w:rFonts w:ascii="Arial" w:hAnsi="Arial" w:cs="Arial"/>
          <w:sz w:val="24"/>
          <w:szCs w:val="24"/>
        </w:rPr>
        <w:t xml:space="preserve">the situation here, </w:t>
      </w:r>
      <w:r w:rsidR="00C74CE8" w:rsidRPr="00C314E3">
        <w:rPr>
          <w:rFonts w:ascii="Arial" w:hAnsi="Arial" w:cs="Arial"/>
          <w:sz w:val="24"/>
          <w:szCs w:val="24"/>
        </w:rPr>
        <w:t>i</w:t>
      </w:r>
      <w:r w:rsidR="000B636B" w:rsidRPr="00C314E3">
        <w:rPr>
          <w:rFonts w:ascii="Arial" w:hAnsi="Arial" w:cs="Arial"/>
          <w:sz w:val="24"/>
          <w:szCs w:val="24"/>
        </w:rPr>
        <w:t xml:space="preserve">s immaterial. </w:t>
      </w:r>
    </w:p>
    <w:p w14:paraId="3753225B" w14:textId="77777777" w:rsidR="00B11B24" w:rsidRPr="00B11B24" w:rsidRDefault="00B11B24" w:rsidP="00E77158">
      <w:pPr>
        <w:pStyle w:val="ListParagraph"/>
        <w:jc w:val="both"/>
        <w:rPr>
          <w:rFonts w:ascii="Arial" w:hAnsi="Arial" w:cs="Arial"/>
          <w:sz w:val="24"/>
          <w:szCs w:val="24"/>
        </w:rPr>
      </w:pPr>
    </w:p>
    <w:p w14:paraId="0B59E0F1" w14:textId="529E8C23" w:rsidR="00AF7601" w:rsidRPr="00C314E3" w:rsidRDefault="00C314E3" w:rsidP="00C314E3">
      <w:pPr>
        <w:spacing w:line="360" w:lineRule="auto"/>
        <w:jc w:val="both"/>
        <w:rPr>
          <w:rFonts w:ascii="Arial" w:hAnsi="Arial" w:cs="Arial"/>
          <w:sz w:val="24"/>
          <w:szCs w:val="24"/>
        </w:rPr>
      </w:pPr>
      <w:r w:rsidRPr="00B11B24">
        <w:rPr>
          <w:rFonts w:ascii="Arial" w:hAnsi="Arial" w:cs="Arial"/>
          <w:sz w:val="24"/>
          <w:szCs w:val="24"/>
        </w:rPr>
        <w:t>[62]</w:t>
      </w:r>
      <w:r w:rsidRPr="00B11B24">
        <w:rPr>
          <w:rFonts w:ascii="Arial" w:hAnsi="Arial" w:cs="Arial"/>
          <w:sz w:val="24"/>
          <w:szCs w:val="24"/>
        </w:rPr>
        <w:tab/>
      </w:r>
      <w:r w:rsidR="00AF7601" w:rsidRPr="00C314E3">
        <w:rPr>
          <w:rFonts w:ascii="Arial" w:hAnsi="Arial" w:cs="Arial"/>
          <w:sz w:val="24"/>
          <w:szCs w:val="24"/>
        </w:rPr>
        <w:t>In relation to the argument that the applicants failed to heed the con</w:t>
      </w:r>
      <w:r w:rsidR="00A91E4F" w:rsidRPr="00C314E3">
        <w:rPr>
          <w:rFonts w:ascii="Arial" w:hAnsi="Arial" w:cs="Arial"/>
          <w:sz w:val="24"/>
          <w:szCs w:val="24"/>
        </w:rPr>
        <w:t xml:space="preserve">dition imposed by Zilwa J, </w:t>
      </w:r>
      <w:r w:rsidR="001162F5" w:rsidRPr="00C314E3">
        <w:rPr>
          <w:rFonts w:ascii="Arial" w:hAnsi="Arial" w:cs="Arial"/>
          <w:sz w:val="24"/>
          <w:szCs w:val="24"/>
        </w:rPr>
        <w:t xml:space="preserve">it may well be so that </w:t>
      </w:r>
      <w:r w:rsidR="00785E06" w:rsidRPr="00C314E3">
        <w:rPr>
          <w:rFonts w:ascii="Arial" w:hAnsi="Arial" w:cs="Arial"/>
          <w:sz w:val="24"/>
          <w:szCs w:val="24"/>
        </w:rPr>
        <w:t xml:space="preserve">Mr Kriel and the applicants did not specifically record the above condition in the </w:t>
      </w:r>
      <w:r w:rsidR="00E8156D" w:rsidRPr="00C314E3">
        <w:rPr>
          <w:rFonts w:ascii="Arial" w:hAnsi="Arial" w:cs="Arial"/>
          <w:sz w:val="24"/>
          <w:szCs w:val="24"/>
        </w:rPr>
        <w:t xml:space="preserve">subsequent deed of sale. </w:t>
      </w:r>
      <w:r w:rsidR="00DB5F04" w:rsidRPr="00C314E3">
        <w:rPr>
          <w:rFonts w:ascii="Arial" w:hAnsi="Arial" w:cs="Arial"/>
          <w:sz w:val="24"/>
          <w:szCs w:val="24"/>
        </w:rPr>
        <w:t>That does not</w:t>
      </w:r>
      <w:r w:rsidR="00545A85" w:rsidRPr="00C314E3">
        <w:rPr>
          <w:rFonts w:ascii="Arial" w:hAnsi="Arial" w:cs="Arial"/>
          <w:sz w:val="24"/>
          <w:szCs w:val="24"/>
        </w:rPr>
        <w:t xml:space="preserve"> mean</w:t>
      </w:r>
      <w:r w:rsidR="00DB5F04" w:rsidRPr="00C314E3">
        <w:rPr>
          <w:rFonts w:ascii="Arial" w:hAnsi="Arial" w:cs="Arial"/>
          <w:sz w:val="24"/>
          <w:szCs w:val="24"/>
        </w:rPr>
        <w:t xml:space="preserve">, however, </w:t>
      </w:r>
      <w:r w:rsidR="0006727B" w:rsidRPr="00C314E3">
        <w:rPr>
          <w:rFonts w:ascii="Arial" w:hAnsi="Arial" w:cs="Arial"/>
          <w:sz w:val="24"/>
          <w:szCs w:val="24"/>
        </w:rPr>
        <w:t xml:space="preserve">that the </w:t>
      </w:r>
      <w:r w:rsidR="00DB5F04" w:rsidRPr="00C314E3">
        <w:rPr>
          <w:rFonts w:ascii="Arial" w:hAnsi="Arial" w:cs="Arial"/>
          <w:sz w:val="24"/>
          <w:szCs w:val="24"/>
        </w:rPr>
        <w:t>transaction</w:t>
      </w:r>
      <w:r w:rsidR="0006727B" w:rsidRPr="00C314E3">
        <w:rPr>
          <w:rFonts w:ascii="Arial" w:hAnsi="Arial" w:cs="Arial"/>
          <w:sz w:val="24"/>
          <w:szCs w:val="24"/>
        </w:rPr>
        <w:t xml:space="preserve"> should be treated as invalid. The first respondent has brought no </w:t>
      </w:r>
      <w:r w:rsidR="00F02E17" w:rsidRPr="00C314E3">
        <w:rPr>
          <w:rFonts w:ascii="Arial" w:hAnsi="Arial" w:cs="Arial"/>
          <w:sz w:val="24"/>
          <w:szCs w:val="24"/>
        </w:rPr>
        <w:t>counterapplication</w:t>
      </w:r>
      <w:r w:rsidR="0006727B" w:rsidRPr="00C314E3">
        <w:rPr>
          <w:rFonts w:ascii="Arial" w:hAnsi="Arial" w:cs="Arial"/>
          <w:sz w:val="24"/>
          <w:szCs w:val="24"/>
        </w:rPr>
        <w:t xml:space="preserve"> to </w:t>
      </w:r>
      <w:r w:rsidR="00497B38" w:rsidRPr="00C314E3">
        <w:rPr>
          <w:rFonts w:ascii="Arial" w:hAnsi="Arial" w:cs="Arial"/>
          <w:sz w:val="24"/>
          <w:szCs w:val="24"/>
        </w:rPr>
        <w:t>set aside the sale of the property</w:t>
      </w:r>
      <w:r w:rsidR="007756F9" w:rsidRPr="00C314E3">
        <w:rPr>
          <w:rFonts w:ascii="Arial" w:hAnsi="Arial" w:cs="Arial"/>
          <w:sz w:val="24"/>
          <w:szCs w:val="24"/>
        </w:rPr>
        <w:t xml:space="preserve">. Moreover, the condition </w:t>
      </w:r>
      <w:r w:rsidR="00E138D5" w:rsidRPr="00C314E3">
        <w:rPr>
          <w:rFonts w:ascii="Arial" w:hAnsi="Arial" w:cs="Arial"/>
          <w:sz w:val="24"/>
          <w:szCs w:val="24"/>
        </w:rPr>
        <w:t xml:space="preserve">in question </w:t>
      </w:r>
      <w:r w:rsidR="007756F9" w:rsidRPr="00C314E3">
        <w:rPr>
          <w:rFonts w:ascii="Arial" w:hAnsi="Arial" w:cs="Arial"/>
          <w:sz w:val="24"/>
          <w:szCs w:val="24"/>
        </w:rPr>
        <w:t xml:space="preserve">merely </w:t>
      </w:r>
      <w:r w:rsidR="00253CE2" w:rsidRPr="00C314E3">
        <w:rPr>
          <w:rFonts w:ascii="Arial" w:hAnsi="Arial" w:cs="Arial"/>
          <w:sz w:val="24"/>
          <w:szCs w:val="24"/>
        </w:rPr>
        <w:t xml:space="preserve">stated the obvious: </w:t>
      </w:r>
      <w:r w:rsidR="00E8379B" w:rsidRPr="00C314E3">
        <w:rPr>
          <w:rFonts w:ascii="Arial" w:hAnsi="Arial" w:cs="Arial"/>
          <w:sz w:val="24"/>
          <w:szCs w:val="24"/>
        </w:rPr>
        <w:t xml:space="preserve">that the sale was subject to </w:t>
      </w:r>
      <w:r w:rsidR="0030548A" w:rsidRPr="00C314E3">
        <w:rPr>
          <w:rFonts w:ascii="Arial" w:hAnsi="Arial" w:cs="Arial"/>
          <w:sz w:val="24"/>
          <w:szCs w:val="24"/>
        </w:rPr>
        <w:t>any rights that the first respondent may have as</w:t>
      </w:r>
      <w:r w:rsidR="00597ECC" w:rsidRPr="00C314E3">
        <w:rPr>
          <w:rFonts w:ascii="Arial" w:hAnsi="Arial" w:cs="Arial"/>
          <w:sz w:val="24"/>
          <w:szCs w:val="24"/>
        </w:rPr>
        <w:t xml:space="preserve"> an occupier.</w:t>
      </w:r>
      <w:r w:rsidR="00E138D5" w:rsidRPr="00C314E3">
        <w:rPr>
          <w:rFonts w:ascii="Arial" w:hAnsi="Arial" w:cs="Arial"/>
          <w:sz w:val="24"/>
          <w:szCs w:val="24"/>
        </w:rPr>
        <w:t xml:space="preserve"> </w:t>
      </w:r>
      <w:r w:rsidR="00CA0087" w:rsidRPr="00C314E3">
        <w:rPr>
          <w:rFonts w:ascii="Arial" w:hAnsi="Arial" w:cs="Arial"/>
          <w:sz w:val="24"/>
          <w:szCs w:val="24"/>
        </w:rPr>
        <w:t xml:space="preserve">The decision in </w:t>
      </w:r>
      <w:r w:rsidR="00CA0087" w:rsidRPr="00C314E3">
        <w:rPr>
          <w:rFonts w:ascii="Arial" w:hAnsi="Arial" w:cs="Arial"/>
          <w:i/>
          <w:iCs/>
          <w:sz w:val="24"/>
          <w:szCs w:val="24"/>
        </w:rPr>
        <w:t>First</w:t>
      </w:r>
      <w:r w:rsidR="0035568C" w:rsidRPr="00C314E3">
        <w:rPr>
          <w:rFonts w:ascii="Arial" w:hAnsi="Arial" w:cs="Arial"/>
          <w:i/>
          <w:iCs/>
          <w:sz w:val="24"/>
          <w:szCs w:val="24"/>
        </w:rPr>
        <w:t>r</w:t>
      </w:r>
      <w:r w:rsidR="00CA0087" w:rsidRPr="00C314E3">
        <w:rPr>
          <w:rFonts w:ascii="Arial" w:hAnsi="Arial" w:cs="Arial"/>
          <w:i/>
          <w:iCs/>
          <w:sz w:val="24"/>
          <w:szCs w:val="24"/>
        </w:rPr>
        <w:t xml:space="preserve">and Bank </w:t>
      </w:r>
      <w:r w:rsidR="0035568C" w:rsidRPr="00C314E3">
        <w:rPr>
          <w:rFonts w:ascii="Arial" w:hAnsi="Arial" w:cs="Arial"/>
          <w:i/>
          <w:iCs/>
          <w:sz w:val="24"/>
          <w:szCs w:val="24"/>
        </w:rPr>
        <w:t xml:space="preserve">Ltd v </w:t>
      </w:r>
      <w:r w:rsidR="00381195" w:rsidRPr="00C314E3">
        <w:rPr>
          <w:rFonts w:ascii="Arial" w:hAnsi="Arial" w:cs="Arial"/>
          <w:i/>
          <w:iCs/>
          <w:sz w:val="24"/>
          <w:szCs w:val="24"/>
        </w:rPr>
        <w:t>Mgedesi,</w:t>
      </w:r>
      <w:r w:rsidR="005E6C56">
        <w:rPr>
          <w:rStyle w:val="FootnoteReference"/>
          <w:rFonts w:ascii="Arial" w:hAnsi="Arial" w:cs="Arial"/>
          <w:sz w:val="24"/>
          <w:szCs w:val="24"/>
        </w:rPr>
        <w:footnoteReference w:id="36"/>
      </w:r>
      <w:r w:rsidR="00381195" w:rsidRPr="00C314E3">
        <w:rPr>
          <w:rFonts w:ascii="Arial" w:hAnsi="Arial" w:cs="Arial"/>
          <w:sz w:val="24"/>
          <w:szCs w:val="24"/>
        </w:rPr>
        <w:t xml:space="preserve"> mentioned by counsel for the applicants, </w:t>
      </w:r>
      <w:r w:rsidR="0007204D" w:rsidRPr="00C314E3">
        <w:rPr>
          <w:rFonts w:ascii="Arial" w:hAnsi="Arial" w:cs="Arial"/>
          <w:sz w:val="24"/>
          <w:szCs w:val="24"/>
        </w:rPr>
        <w:t xml:space="preserve">indicates that </w:t>
      </w:r>
      <w:r w:rsidR="00DA1169" w:rsidRPr="00C314E3">
        <w:rPr>
          <w:rFonts w:ascii="Arial" w:hAnsi="Arial" w:cs="Arial"/>
          <w:sz w:val="24"/>
          <w:szCs w:val="24"/>
        </w:rPr>
        <w:t xml:space="preserve">the subject matter of a rule 46A application does not </w:t>
      </w:r>
      <w:r w:rsidR="00682349" w:rsidRPr="00C314E3">
        <w:rPr>
          <w:rFonts w:ascii="Arial" w:hAnsi="Arial" w:cs="Arial"/>
          <w:sz w:val="24"/>
          <w:szCs w:val="24"/>
        </w:rPr>
        <w:t xml:space="preserve">relate to the rights of an occupier who is not </w:t>
      </w:r>
      <w:r w:rsidR="007D3466" w:rsidRPr="00C314E3">
        <w:rPr>
          <w:rFonts w:ascii="Arial" w:hAnsi="Arial" w:cs="Arial"/>
          <w:sz w:val="24"/>
          <w:szCs w:val="24"/>
        </w:rPr>
        <w:t>the</w:t>
      </w:r>
      <w:r w:rsidR="00682349" w:rsidRPr="00C314E3">
        <w:rPr>
          <w:rFonts w:ascii="Arial" w:hAnsi="Arial" w:cs="Arial"/>
          <w:sz w:val="24"/>
          <w:szCs w:val="24"/>
        </w:rPr>
        <w:t xml:space="preserve"> judgment debtor.</w:t>
      </w:r>
      <w:r w:rsidR="00F50704" w:rsidRPr="00C314E3">
        <w:rPr>
          <w:rFonts w:ascii="Arial" w:hAnsi="Arial" w:cs="Arial"/>
          <w:sz w:val="24"/>
          <w:szCs w:val="24"/>
        </w:rPr>
        <w:t xml:space="preserve"> He or she enjoys separate but comprehensive legislative protection </w:t>
      </w:r>
      <w:r w:rsidR="00DF171E" w:rsidRPr="00C314E3">
        <w:rPr>
          <w:rFonts w:ascii="Arial" w:hAnsi="Arial" w:cs="Arial"/>
          <w:sz w:val="24"/>
          <w:szCs w:val="24"/>
        </w:rPr>
        <w:t>under PIE.</w:t>
      </w:r>
      <w:r w:rsidR="00DF171E">
        <w:rPr>
          <w:rStyle w:val="FootnoteReference"/>
          <w:rFonts w:ascii="Arial" w:hAnsi="Arial" w:cs="Arial"/>
          <w:sz w:val="24"/>
          <w:szCs w:val="24"/>
        </w:rPr>
        <w:footnoteReference w:id="37"/>
      </w:r>
    </w:p>
    <w:p w14:paraId="121735E6" w14:textId="77777777" w:rsidR="00CE3461" w:rsidRDefault="00CE3461" w:rsidP="00E77158">
      <w:pPr>
        <w:spacing w:line="360" w:lineRule="auto"/>
        <w:jc w:val="both"/>
        <w:rPr>
          <w:rFonts w:ascii="Arial" w:hAnsi="Arial" w:cs="Arial"/>
          <w:sz w:val="24"/>
          <w:szCs w:val="24"/>
        </w:rPr>
      </w:pPr>
    </w:p>
    <w:p w14:paraId="1F7B82D0" w14:textId="77777777" w:rsidR="00AB0FE6" w:rsidRPr="00C74CE8" w:rsidRDefault="00AB0FE6" w:rsidP="00E77158">
      <w:pPr>
        <w:spacing w:line="360" w:lineRule="auto"/>
        <w:jc w:val="both"/>
        <w:rPr>
          <w:rFonts w:ascii="Arial" w:hAnsi="Arial" w:cs="Arial"/>
          <w:i/>
          <w:iCs/>
          <w:sz w:val="24"/>
          <w:szCs w:val="24"/>
        </w:rPr>
      </w:pPr>
      <w:r w:rsidRPr="00C74CE8">
        <w:rPr>
          <w:rFonts w:ascii="Arial" w:hAnsi="Arial" w:cs="Arial"/>
          <w:i/>
          <w:iCs/>
          <w:sz w:val="24"/>
          <w:szCs w:val="24"/>
        </w:rPr>
        <w:t>Eviction proceedings</w:t>
      </w:r>
    </w:p>
    <w:p w14:paraId="60561943" w14:textId="77777777" w:rsidR="00C74CE8" w:rsidRDefault="00C74CE8" w:rsidP="00E77158">
      <w:pPr>
        <w:spacing w:line="360" w:lineRule="auto"/>
        <w:jc w:val="both"/>
        <w:rPr>
          <w:rFonts w:ascii="Arial" w:hAnsi="Arial" w:cs="Arial"/>
          <w:sz w:val="24"/>
          <w:szCs w:val="24"/>
        </w:rPr>
      </w:pPr>
    </w:p>
    <w:p w14:paraId="621405EA" w14:textId="7B5E42D9" w:rsidR="00B11B24" w:rsidRPr="00C314E3" w:rsidRDefault="00C314E3" w:rsidP="00C314E3">
      <w:pPr>
        <w:spacing w:line="360" w:lineRule="auto"/>
        <w:jc w:val="both"/>
        <w:rPr>
          <w:rFonts w:ascii="Arial" w:hAnsi="Arial" w:cs="Arial"/>
          <w:sz w:val="24"/>
          <w:szCs w:val="24"/>
        </w:rPr>
      </w:pPr>
      <w:r>
        <w:rPr>
          <w:rFonts w:ascii="Arial" w:hAnsi="Arial" w:cs="Arial"/>
          <w:sz w:val="24"/>
          <w:szCs w:val="24"/>
        </w:rPr>
        <w:t>[63]</w:t>
      </w:r>
      <w:r>
        <w:rPr>
          <w:rFonts w:ascii="Arial" w:hAnsi="Arial" w:cs="Arial"/>
          <w:sz w:val="24"/>
          <w:szCs w:val="24"/>
        </w:rPr>
        <w:tab/>
      </w:r>
      <w:r w:rsidR="00C74CE8" w:rsidRPr="00C314E3">
        <w:rPr>
          <w:rFonts w:ascii="Arial" w:hAnsi="Arial" w:cs="Arial"/>
          <w:sz w:val="24"/>
          <w:szCs w:val="24"/>
        </w:rPr>
        <w:t xml:space="preserve">The applicants </w:t>
      </w:r>
      <w:r w:rsidR="008B322F" w:rsidRPr="00C314E3">
        <w:rPr>
          <w:rFonts w:ascii="Arial" w:hAnsi="Arial" w:cs="Arial"/>
          <w:sz w:val="24"/>
          <w:szCs w:val="24"/>
        </w:rPr>
        <w:t>have expressly brought the application for eviction in terms of section 4(2) of PIE.</w:t>
      </w:r>
      <w:r w:rsidR="00216EDF" w:rsidRPr="00C314E3">
        <w:rPr>
          <w:rFonts w:ascii="Arial" w:hAnsi="Arial" w:cs="Arial"/>
          <w:sz w:val="24"/>
          <w:szCs w:val="24"/>
        </w:rPr>
        <w:t xml:space="preserve"> </w:t>
      </w:r>
      <w:r w:rsidR="0046618B" w:rsidRPr="00C314E3">
        <w:rPr>
          <w:rFonts w:ascii="Arial" w:hAnsi="Arial" w:cs="Arial"/>
          <w:sz w:val="24"/>
          <w:szCs w:val="24"/>
        </w:rPr>
        <w:t>The</w:t>
      </w:r>
      <w:r w:rsidR="00FD74B3" w:rsidRPr="00C314E3">
        <w:rPr>
          <w:rFonts w:ascii="Arial" w:hAnsi="Arial" w:cs="Arial"/>
          <w:sz w:val="24"/>
          <w:szCs w:val="24"/>
        </w:rPr>
        <w:t xml:space="preserve"> sheriff </w:t>
      </w:r>
      <w:r w:rsidR="00EE31E6" w:rsidRPr="00C314E3">
        <w:rPr>
          <w:rFonts w:ascii="Arial" w:hAnsi="Arial" w:cs="Arial"/>
          <w:sz w:val="24"/>
          <w:szCs w:val="24"/>
        </w:rPr>
        <w:t>served</w:t>
      </w:r>
      <w:r w:rsidR="0046618B" w:rsidRPr="00C314E3">
        <w:rPr>
          <w:rFonts w:ascii="Arial" w:hAnsi="Arial" w:cs="Arial"/>
          <w:sz w:val="24"/>
          <w:szCs w:val="24"/>
        </w:rPr>
        <w:t xml:space="preserve"> notice of the proceedings</w:t>
      </w:r>
      <w:r w:rsidR="00EE31E6" w:rsidRPr="00C314E3">
        <w:rPr>
          <w:rFonts w:ascii="Arial" w:hAnsi="Arial" w:cs="Arial"/>
          <w:sz w:val="24"/>
          <w:szCs w:val="24"/>
        </w:rPr>
        <w:t xml:space="preserve"> on </w:t>
      </w:r>
      <w:r w:rsidR="00EA05DF" w:rsidRPr="00C314E3">
        <w:rPr>
          <w:rFonts w:ascii="Arial" w:hAnsi="Arial" w:cs="Arial"/>
          <w:sz w:val="24"/>
          <w:szCs w:val="24"/>
        </w:rPr>
        <w:t xml:space="preserve">both </w:t>
      </w:r>
      <w:r w:rsidR="00EE31E6" w:rsidRPr="00C314E3">
        <w:rPr>
          <w:rFonts w:ascii="Arial" w:hAnsi="Arial" w:cs="Arial"/>
          <w:sz w:val="24"/>
          <w:szCs w:val="24"/>
        </w:rPr>
        <w:t>respondent</w:t>
      </w:r>
      <w:r w:rsidR="00EA05DF" w:rsidRPr="00C314E3">
        <w:rPr>
          <w:rFonts w:ascii="Arial" w:hAnsi="Arial" w:cs="Arial"/>
          <w:sz w:val="24"/>
          <w:szCs w:val="24"/>
        </w:rPr>
        <w:t>s</w:t>
      </w:r>
      <w:r w:rsidR="00394CE7" w:rsidRPr="00C314E3">
        <w:rPr>
          <w:rFonts w:ascii="Arial" w:hAnsi="Arial" w:cs="Arial"/>
          <w:sz w:val="24"/>
          <w:szCs w:val="24"/>
        </w:rPr>
        <w:t xml:space="preserve"> on </w:t>
      </w:r>
      <w:r w:rsidR="00394CE7" w:rsidRPr="00C314E3">
        <w:rPr>
          <w:rFonts w:ascii="Arial" w:hAnsi="Arial" w:cs="Arial"/>
          <w:sz w:val="24"/>
          <w:szCs w:val="24"/>
        </w:rPr>
        <w:lastRenderedPageBreak/>
        <w:t>23 January 2023, in anticipation of the hearing on 16 February 2023</w:t>
      </w:r>
      <w:r w:rsidR="00491ADA" w:rsidRPr="00C314E3">
        <w:rPr>
          <w:rFonts w:ascii="Arial" w:hAnsi="Arial" w:cs="Arial"/>
          <w:sz w:val="24"/>
          <w:szCs w:val="24"/>
        </w:rPr>
        <w:t xml:space="preserve"> and</w:t>
      </w:r>
      <w:r w:rsidR="00C82D93" w:rsidRPr="00C314E3">
        <w:rPr>
          <w:rFonts w:ascii="Arial" w:hAnsi="Arial" w:cs="Arial"/>
          <w:sz w:val="24"/>
          <w:szCs w:val="24"/>
        </w:rPr>
        <w:t xml:space="preserve"> as required under section 4(2), read with section 4(5).</w:t>
      </w:r>
      <w:r w:rsidR="007C5846" w:rsidRPr="00C314E3">
        <w:rPr>
          <w:rFonts w:ascii="Arial" w:hAnsi="Arial" w:cs="Arial"/>
          <w:sz w:val="24"/>
          <w:szCs w:val="24"/>
        </w:rPr>
        <w:t xml:space="preserve"> </w:t>
      </w:r>
    </w:p>
    <w:p w14:paraId="3533D566" w14:textId="77777777" w:rsidR="00B11B24" w:rsidRDefault="00B11B24" w:rsidP="00E77158">
      <w:pPr>
        <w:pStyle w:val="ListParagraph"/>
        <w:spacing w:line="360" w:lineRule="auto"/>
        <w:ind w:left="0"/>
        <w:jc w:val="both"/>
        <w:rPr>
          <w:rFonts w:ascii="Arial" w:hAnsi="Arial" w:cs="Arial"/>
          <w:sz w:val="24"/>
          <w:szCs w:val="24"/>
        </w:rPr>
      </w:pPr>
    </w:p>
    <w:p w14:paraId="208E7968" w14:textId="7372B959" w:rsidR="00B11B24" w:rsidRPr="00C314E3" w:rsidRDefault="00C314E3" w:rsidP="00C314E3">
      <w:pPr>
        <w:spacing w:line="360" w:lineRule="auto"/>
        <w:jc w:val="both"/>
        <w:rPr>
          <w:rFonts w:ascii="Arial" w:hAnsi="Arial" w:cs="Arial"/>
          <w:sz w:val="24"/>
          <w:szCs w:val="24"/>
        </w:rPr>
      </w:pPr>
      <w:r>
        <w:rPr>
          <w:rFonts w:ascii="Arial" w:hAnsi="Arial" w:cs="Arial"/>
          <w:sz w:val="24"/>
          <w:szCs w:val="24"/>
        </w:rPr>
        <w:t>[64]</w:t>
      </w:r>
      <w:r>
        <w:rPr>
          <w:rFonts w:ascii="Arial" w:hAnsi="Arial" w:cs="Arial"/>
          <w:sz w:val="24"/>
          <w:szCs w:val="24"/>
        </w:rPr>
        <w:tab/>
      </w:r>
      <w:r w:rsidR="00687D97" w:rsidRPr="00C314E3">
        <w:rPr>
          <w:rFonts w:ascii="Arial" w:hAnsi="Arial" w:cs="Arial"/>
          <w:sz w:val="24"/>
          <w:szCs w:val="24"/>
        </w:rPr>
        <w:t xml:space="preserve">The </w:t>
      </w:r>
      <w:r w:rsidR="008868D3" w:rsidRPr="00C314E3">
        <w:rPr>
          <w:rFonts w:ascii="Arial" w:hAnsi="Arial" w:cs="Arial"/>
          <w:sz w:val="24"/>
          <w:szCs w:val="24"/>
        </w:rPr>
        <w:t xml:space="preserve">seminal </w:t>
      </w:r>
      <w:r w:rsidR="00491ADA" w:rsidRPr="00C314E3">
        <w:rPr>
          <w:rFonts w:ascii="Arial" w:hAnsi="Arial" w:cs="Arial"/>
          <w:sz w:val="24"/>
          <w:szCs w:val="24"/>
        </w:rPr>
        <w:t>decision</w:t>
      </w:r>
      <w:r w:rsidR="00162619" w:rsidRPr="00C314E3">
        <w:rPr>
          <w:rFonts w:ascii="Arial" w:hAnsi="Arial" w:cs="Arial"/>
          <w:sz w:val="24"/>
          <w:szCs w:val="24"/>
        </w:rPr>
        <w:t xml:space="preserve"> of the Supreme Court of Appeal</w:t>
      </w:r>
      <w:r w:rsidR="00491ADA" w:rsidRPr="00C314E3">
        <w:rPr>
          <w:rFonts w:ascii="Arial" w:hAnsi="Arial" w:cs="Arial"/>
          <w:sz w:val="24"/>
          <w:szCs w:val="24"/>
        </w:rPr>
        <w:t xml:space="preserve"> </w:t>
      </w:r>
      <w:r w:rsidR="00687D97" w:rsidRPr="00C314E3">
        <w:rPr>
          <w:rFonts w:ascii="Arial" w:hAnsi="Arial" w:cs="Arial"/>
          <w:sz w:val="24"/>
          <w:szCs w:val="24"/>
        </w:rPr>
        <w:t xml:space="preserve">in </w:t>
      </w:r>
      <w:r w:rsidR="00066557" w:rsidRPr="00C314E3">
        <w:rPr>
          <w:rFonts w:ascii="Arial" w:hAnsi="Arial" w:cs="Arial"/>
          <w:i/>
          <w:iCs/>
          <w:sz w:val="24"/>
          <w:szCs w:val="24"/>
        </w:rPr>
        <w:t>Ndlovu v Ngcobo; Bekker and Bosch v Jika</w:t>
      </w:r>
      <w:r w:rsidR="001B235E">
        <w:rPr>
          <w:rStyle w:val="FootnoteReference"/>
          <w:rFonts w:ascii="Arial" w:hAnsi="Arial" w:cs="Arial"/>
          <w:sz w:val="24"/>
          <w:szCs w:val="24"/>
        </w:rPr>
        <w:footnoteReference w:id="38"/>
      </w:r>
      <w:r w:rsidR="001B235E" w:rsidRPr="00C314E3">
        <w:rPr>
          <w:rFonts w:ascii="Arial" w:hAnsi="Arial" w:cs="Arial"/>
          <w:sz w:val="24"/>
          <w:szCs w:val="24"/>
        </w:rPr>
        <w:t xml:space="preserve"> </w:t>
      </w:r>
      <w:r w:rsidR="008868D3" w:rsidRPr="00C314E3">
        <w:rPr>
          <w:rFonts w:ascii="Arial" w:hAnsi="Arial" w:cs="Arial"/>
          <w:sz w:val="24"/>
          <w:szCs w:val="24"/>
        </w:rPr>
        <w:t xml:space="preserve">highlighted the main </w:t>
      </w:r>
      <w:r w:rsidR="00495E68" w:rsidRPr="00C314E3">
        <w:rPr>
          <w:rFonts w:ascii="Arial" w:hAnsi="Arial" w:cs="Arial"/>
          <w:sz w:val="24"/>
          <w:szCs w:val="24"/>
        </w:rPr>
        <w:t xml:space="preserve">objectives and </w:t>
      </w:r>
      <w:r w:rsidR="008868D3" w:rsidRPr="00C314E3">
        <w:rPr>
          <w:rFonts w:ascii="Arial" w:hAnsi="Arial" w:cs="Arial"/>
          <w:sz w:val="24"/>
          <w:szCs w:val="24"/>
        </w:rPr>
        <w:t>principles</w:t>
      </w:r>
      <w:r w:rsidR="00495E68" w:rsidRPr="00C314E3">
        <w:rPr>
          <w:rFonts w:ascii="Arial" w:hAnsi="Arial" w:cs="Arial"/>
          <w:sz w:val="24"/>
          <w:szCs w:val="24"/>
        </w:rPr>
        <w:t xml:space="preserve"> of PIE. These have been summarised as follows, </w:t>
      </w:r>
      <w:r w:rsidR="00495E68" w:rsidRPr="00C314E3">
        <w:rPr>
          <w:rFonts w:ascii="Arial" w:hAnsi="Arial" w:cs="Arial"/>
          <w:i/>
          <w:iCs/>
          <w:sz w:val="24"/>
          <w:szCs w:val="24"/>
        </w:rPr>
        <w:t>inter alia</w:t>
      </w:r>
      <w:r w:rsidR="00495E68" w:rsidRPr="00C314E3">
        <w:rPr>
          <w:rFonts w:ascii="Arial" w:hAnsi="Arial" w:cs="Arial"/>
          <w:sz w:val="24"/>
          <w:szCs w:val="24"/>
        </w:rPr>
        <w:t>:</w:t>
      </w:r>
      <w:r w:rsidR="004E24FA">
        <w:rPr>
          <w:rStyle w:val="FootnoteReference"/>
          <w:rFonts w:ascii="Arial" w:hAnsi="Arial" w:cs="Arial"/>
          <w:sz w:val="24"/>
          <w:szCs w:val="24"/>
        </w:rPr>
        <w:footnoteReference w:id="39"/>
      </w:r>
      <w:r w:rsidR="00495E68" w:rsidRPr="00C314E3">
        <w:rPr>
          <w:rFonts w:ascii="Arial" w:hAnsi="Arial" w:cs="Arial"/>
          <w:sz w:val="24"/>
          <w:szCs w:val="24"/>
        </w:rPr>
        <w:t xml:space="preserve"> </w:t>
      </w:r>
      <w:r w:rsidR="001D7FBA" w:rsidRPr="00C314E3">
        <w:rPr>
          <w:rFonts w:ascii="Arial" w:hAnsi="Arial" w:cs="Arial"/>
          <w:sz w:val="24"/>
          <w:szCs w:val="24"/>
        </w:rPr>
        <w:t xml:space="preserve">PIE applies to all unlawful occupiers, </w:t>
      </w:r>
      <w:r w:rsidR="000F3ADC" w:rsidRPr="00C314E3">
        <w:rPr>
          <w:rFonts w:ascii="Arial" w:hAnsi="Arial" w:cs="Arial"/>
          <w:sz w:val="24"/>
          <w:szCs w:val="24"/>
        </w:rPr>
        <w:t>irrespective of whether their occupation of the land was previously lawful</w:t>
      </w:r>
      <w:r w:rsidR="007813AF" w:rsidRPr="00C314E3">
        <w:rPr>
          <w:rFonts w:ascii="Arial" w:hAnsi="Arial" w:cs="Arial"/>
          <w:sz w:val="24"/>
          <w:szCs w:val="24"/>
        </w:rPr>
        <w:t>; t</w:t>
      </w:r>
      <w:r w:rsidR="00ED7EBF" w:rsidRPr="00C314E3">
        <w:rPr>
          <w:rFonts w:ascii="Arial" w:hAnsi="Arial" w:cs="Arial"/>
          <w:sz w:val="24"/>
          <w:szCs w:val="24"/>
        </w:rPr>
        <w:t xml:space="preserve">he effect of PIE is to delay or suspend </w:t>
      </w:r>
      <w:r w:rsidR="006764D9" w:rsidRPr="00C314E3">
        <w:rPr>
          <w:rFonts w:ascii="Arial" w:hAnsi="Arial" w:cs="Arial"/>
          <w:sz w:val="24"/>
          <w:szCs w:val="24"/>
        </w:rPr>
        <w:t xml:space="preserve">the exercise of a landowner’s full proprietary rights </w:t>
      </w:r>
      <w:r w:rsidR="00ED79EB" w:rsidRPr="00C314E3">
        <w:rPr>
          <w:rFonts w:ascii="Arial" w:hAnsi="Arial" w:cs="Arial"/>
          <w:sz w:val="24"/>
          <w:szCs w:val="24"/>
        </w:rPr>
        <w:t>until a determination has been made on whether it is just and equitable to evict the unlawful occupier</w:t>
      </w:r>
      <w:r w:rsidR="00B30BD5" w:rsidRPr="00C314E3">
        <w:rPr>
          <w:rFonts w:ascii="Arial" w:hAnsi="Arial" w:cs="Arial"/>
          <w:sz w:val="24"/>
          <w:szCs w:val="24"/>
        </w:rPr>
        <w:t xml:space="preserve"> and under what conditions</w:t>
      </w:r>
      <w:r w:rsidR="007813AF" w:rsidRPr="00C314E3">
        <w:rPr>
          <w:rFonts w:ascii="Arial" w:hAnsi="Arial" w:cs="Arial"/>
          <w:sz w:val="24"/>
          <w:szCs w:val="24"/>
        </w:rPr>
        <w:t>; p</w:t>
      </w:r>
      <w:r w:rsidR="000F72D7" w:rsidRPr="00C314E3">
        <w:rPr>
          <w:rFonts w:ascii="Arial" w:hAnsi="Arial" w:cs="Arial"/>
          <w:sz w:val="24"/>
          <w:szCs w:val="24"/>
        </w:rPr>
        <w:t>rovided that all the procedural requirements have been met</w:t>
      </w:r>
      <w:r w:rsidR="00906C47" w:rsidRPr="00C314E3">
        <w:rPr>
          <w:rFonts w:ascii="Arial" w:hAnsi="Arial" w:cs="Arial"/>
          <w:sz w:val="24"/>
          <w:szCs w:val="24"/>
        </w:rPr>
        <w:t xml:space="preserve">, a landowner is entitled to approach a court </w:t>
      </w:r>
      <w:r w:rsidR="00162619" w:rsidRPr="00C314E3">
        <w:rPr>
          <w:rFonts w:ascii="Arial" w:hAnsi="Arial" w:cs="Arial"/>
          <w:sz w:val="24"/>
          <w:szCs w:val="24"/>
        </w:rPr>
        <w:t>based on</w:t>
      </w:r>
      <w:r w:rsidR="00906C47" w:rsidRPr="00C314E3">
        <w:rPr>
          <w:rFonts w:ascii="Arial" w:hAnsi="Arial" w:cs="Arial"/>
          <w:sz w:val="24"/>
          <w:szCs w:val="24"/>
        </w:rPr>
        <w:t xml:space="preserve"> ownership</w:t>
      </w:r>
      <w:r w:rsidR="00AC4485" w:rsidRPr="00C314E3">
        <w:rPr>
          <w:rFonts w:ascii="Arial" w:hAnsi="Arial" w:cs="Arial"/>
          <w:sz w:val="24"/>
          <w:szCs w:val="24"/>
        </w:rPr>
        <w:t xml:space="preserve"> and the occupier’s unlawful occupation</w:t>
      </w:r>
      <w:r w:rsidR="0096399F" w:rsidRPr="00C314E3">
        <w:rPr>
          <w:rFonts w:ascii="Arial" w:hAnsi="Arial" w:cs="Arial"/>
          <w:sz w:val="24"/>
          <w:szCs w:val="24"/>
        </w:rPr>
        <w:t xml:space="preserve">, </w:t>
      </w:r>
      <w:r w:rsidR="007813AF" w:rsidRPr="00C314E3">
        <w:rPr>
          <w:rFonts w:ascii="Arial" w:hAnsi="Arial" w:cs="Arial"/>
          <w:sz w:val="24"/>
          <w:szCs w:val="24"/>
        </w:rPr>
        <w:t>t</w:t>
      </w:r>
      <w:r w:rsidR="00AC4485" w:rsidRPr="00C314E3">
        <w:rPr>
          <w:rFonts w:ascii="Arial" w:hAnsi="Arial" w:cs="Arial"/>
          <w:sz w:val="24"/>
          <w:szCs w:val="24"/>
        </w:rPr>
        <w:t>he occupier</w:t>
      </w:r>
      <w:r w:rsidR="0096399F" w:rsidRPr="00C314E3">
        <w:rPr>
          <w:rFonts w:ascii="Arial" w:hAnsi="Arial" w:cs="Arial"/>
          <w:sz w:val="24"/>
          <w:szCs w:val="24"/>
        </w:rPr>
        <w:t>’s</w:t>
      </w:r>
      <w:r w:rsidR="00AC4485" w:rsidRPr="00C314E3">
        <w:rPr>
          <w:rFonts w:ascii="Arial" w:hAnsi="Arial" w:cs="Arial"/>
          <w:sz w:val="24"/>
          <w:szCs w:val="24"/>
        </w:rPr>
        <w:t xml:space="preserve"> bear</w:t>
      </w:r>
      <w:r w:rsidR="0096399F" w:rsidRPr="00C314E3">
        <w:rPr>
          <w:rFonts w:ascii="Arial" w:hAnsi="Arial" w:cs="Arial"/>
          <w:sz w:val="24"/>
          <w:szCs w:val="24"/>
        </w:rPr>
        <w:t>ing</w:t>
      </w:r>
      <w:r w:rsidR="00AC4485" w:rsidRPr="00C314E3">
        <w:rPr>
          <w:rFonts w:ascii="Arial" w:hAnsi="Arial" w:cs="Arial"/>
          <w:sz w:val="24"/>
          <w:szCs w:val="24"/>
        </w:rPr>
        <w:t xml:space="preserve"> </w:t>
      </w:r>
      <w:r w:rsidR="00687D97" w:rsidRPr="00C314E3">
        <w:rPr>
          <w:rFonts w:ascii="Arial" w:hAnsi="Arial" w:cs="Arial"/>
          <w:sz w:val="24"/>
          <w:szCs w:val="24"/>
        </w:rPr>
        <w:t>an evidential onus</w:t>
      </w:r>
      <w:r w:rsidR="0096399F" w:rsidRPr="00C314E3">
        <w:rPr>
          <w:rFonts w:ascii="Arial" w:hAnsi="Arial" w:cs="Arial"/>
          <w:sz w:val="24"/>
          <w:szCs w:val="24"/>
        </w:rPr>
        <w:t xml:space="preserve"> in this regard.</w:t>
      </w:r>
      <w:r w:rsidR="0096399F">
        <w:rPr>
          <w:rStyle w:val="FootnoteReference"/>
          <w:rFonts w:ascii="Arial" w:hAnsi="Arial" w:cs="Arial"/>
          <w:sz w:val="24"/>
          <w:szCs w:val="24"/>
        </w:rPr>
        <w:footnoteReference w:id="40"/>
      </w:r>
    </w:p>
    <w:p w14:paraId="14D44BF9" w14:textId="77777777" w:rsidR="00B11B24" w:rsidRPr="00B11B24" w:rsidRDefault="00B11B24" w:rsidP="00E77158">
      <w:pPr>
        <w:pStyle w:val="ListParagraph"/>
        <w:jc w:val="both"/>
        <w:rPr>
          <w:rFonts w:ascii="Arial" w:hAnsi="Arial" w:cs="Arial"/>
          <w:sz w:val="24"/>
          <w:szCs w:val="24"/>
        </w:rPr>
      </w:pPr>
    </w:p>
    <w:p w14:paraId="2F7343FC" w14:textId="28BD1A8E" w:rsidR="00B11B24" w:rsidRPr="00C314E3" w:rsidRDefault="00C314E3" w:rsidP="00C314E3">
      <w:pPr>
        <w:spacing w:line="360" w:lineRule="auto"/>
        <w:jc w:val="both"/>
        <w:rPr>
          <w:rFonts w:ascii="Arial" w:hAnsi="Arial" w:cs="Arial"/>
          <w:sz w:val="24"/>
          <w:szCs w:val="24"/>
        </w:rPr>
      </w:pPr>
      <w:r>
        <w:rPr>
          <w:rFonts w:ascii="Arial" w:hAnsi="Arial" w:cs="Arial"/>
          <w:sz w:val="24"/>
          <w:szCs w:val="24"/>
        </w:rPr>
        <w:t>[65]</w:t>
      </w:r>
      <w:r>
        <w:rPr>
          <w:rFonts w:ascii="Arial" w:hAnsi="Arial" w:cs="Arial"/>
          <w:sz w:val="24"/>
          <w:szCs w:val="24"/>
        </w:rPr>
        <w:tab/>
      </w:r>
      <w:r w:rsidR="00985585" w:rsidRPr="00C314E3">
        <w:rPr>
          <w:rFonts w:ascii="Arial" w:hAnsi="Arial" w:cs="Arial"/>
          <w:sz w:val="24"/>
          <w:szCs w:val="24"/>
        </w:rPr>
        <w:t xml:space="preserve">Both </w:t>
      </w:r>
      <w:r w:rsidR="0006439D" w:rsidRPr="00C314E3">
        <w:rPr>
          <w:rFonts w:ascii="Arial" w:hAnsi="Arial" w:cs="Arial"/>
          <w:sz w:val="24"/>
          <w:szCs w:val="24"/>
        </w:rPr>
        <w:t xml:space="preserve">the applicants and </w:t>
      </w:r>
      <w:r w:rsidR="003D224B" w:rsidRPr="00C314E3">
        <w:rPr>
          <w:rFonts w:ascii="Arial" w:hAnsi="Arial" w:cs="Arial"/>
          <w:sz w:val="24"/>
          <w:szCs w:val="24"/>
        </w:rPr>
        <w:t xml:space="preserve">the first respondent have referred to </w:t>
      </w:r>
      <w:r w:rsidR="00D61C94" w:rsidRPr="00C314E3">
        <w:rPr>
          <w:rFonts w:ascii="Arial" w:hAnsi="Arial" w:cs="Arial"/>
          <w:i/>
          <w:iCs/>
          <w:sz w:val="24"/>
          <w:szCs w:val="24"/>
        </w:rPr>
        <w:t>City of Johannesburg v Changing Tides 74 (Pty) Ltd</w:t>
      </w:r>
      <w:r w:rsidR="003D6E36" w:rsidRPr="00C314E3">
        <w:rPr>
          <w:rFonts w:ascii="Arial" w:hAnsi="Arial" w:cs="Arial"/>
          <w:i/>
          <w:iCs/>
          <w:sz w:val="24"/>
          <w:szCs w:val="24"/>
        </w:rPr>
        <w:t xml:space="preserve"> and others</w:t>
      </w:r>
      <w:r w:rsidR="000030D8" w:rsidRPr="00C314E3">
        <w:rPr>
          <w:rFonts w:ascii="Arial" w:hAnsi="Arial" w:cs="Arial"/>
          <w:sz w:val="24"/>
          <w:szCs w:val="24"/>
        </w:rPr>
        <w:t>.</w:t>
      </w:r>
      <w:r w:rsidR="003D6E36">
        <w:rPr>
          <w:rStyle w:val="FootnoteReference"/>
          <w:rFonts w:ascii="Arial" w:hAnsi="Arial" w:cs="Arial"/>
          <w:sz w:val="24"/>
          <w:szCs w:val="24"/>
        </w:rPr>
        <w:footnoteReference w:id="41"/>
      </w:r>
      <w:r w:rsidR="0026180B" w:rsidRPr="00C314E3">
        <w:rPr>
          <w:rFonts w:ascii="Arial" w:hAnsi="Arial" w:cs="Arial"/>
          <w:sz w:val="24"/>
          <w:szCs w:val="24"/>
        </w:rPr>
        <w:t xml:space="preserve"> </w:t>
      </w:r>
      <w:r w:rsidR="000030D8" w:rsidRPr="00C314E3">
        <w:rPr>
          <w:rFonts w:ascii="Arial" w:hAnsi="Arial" w:cs="Arial"/>
          <w:sz w:val="24"/>
          <w:szCs w:val="24"/>
        </w:rPr>
        <w:t>In that matter,</w:t>
      </w:r>
      <w:r w:rsidR="0026180B" w:rsidRPr="00C314E3">
        <w:rPr>
          <w:rFonts w:ascii="Arial" w:hAnsi="Arial" w:cs="Arial"/>
          <w:sz w:val="24"/>
          <w:szCs w:val="24"/>
        </w:rPr>
        <w:t xml:space="preserve"> Wallis JA</w:t>
      </w:r>
      <w:r w:rsidR="000525F0" w:rsidRPr="00C314E3">
        <w:rPr>
          <w:rFonts w:ascii="Arial" w:hAnsi="Arial" w:cs="Arial"/>
          <w:sz w:val="24"/>
          <w:szCs w:val="24"/>
        </w:rPr>
        <w:t xml:space="preserve"> dealt with an application brought by a private party for the eviction of </w:t>
      </w:r>
      <w:r w:rsidR="006B5701" w:rsidRPr="00C314E3">
        <w:rPr>
          <w:rFonts w:ascii="Arial" w:hAnsi="Arial" w:cs="Arial"/>
          <w:sz w:val="24"/>
          <w:szCs w:val="24"/>
        </w:rPr>
        <w:t xml:space="preserve">the </w:t>
      </w:r>
      <w:r w:rsidR="000525F0" w:rsidRPr="00C314E3">
        <w:rPr>
          <w:rFonts w:ascii="Arial" w:hAnsi="Arial" w:cs="Arial"/>
          <w:sz w:val="24"/>
          <w:szCs w:val="24"/>
        </w:rPr>
        <w:t xml:space="preserve">unlawful occupiers of a dilapidated building </w:t>
      </w:r>
      <w:r w:rsidR="001036F4" w:rsidRPr="00C314E3">
        <w:rPr>
          <w:rFonts w:ascii="Arial" w:hAnsi="Arial" w:cs="Arial"/>
          <w:sz w:val="24"/>
          <w:szCs w:val="24"/>
        </w:rPr>
        <w:t xml:space="preserve">situated </w:t>
      </w:r>
      <w:r w:rsidR="000525F0" w:rsidRPr="00C314E3">
        <w:rPr>
          <w:rFonts w:ascii="Arial" w:hAnsi="Arial" w:cs="Arial"/>
          <w:sz w:val="24"/>
          <w:szCs w:val="24"/>
        </w:rPr>
        <w:t xml:space="preserve">in </w:t>
      </w:r>
      <w:r w:rsidR="0068367D" w:rsidRPr="00C314E3">
        <w:rPr>
          <w:rFonts w:ascii="Arial" w:hAnsi="Arial" w:cs="Arial"/>
          <w:sz w:val="24"/>
          <w:szCs w:val="24"/>
        </w:rPr>
        <w:t>Doornfontein</w:t>
      </w:r>
      <w:r w:rsidR="001036F4" w:rsidRPr="00C314E3">
        <w:rPr>
          <w:rFonts w:ascii="Arial" w:hAnsi="Arial" w:cs="Arial"/>
          <w:sz w:val="24"/>
          <w:szCs w:val="24"/>
        </w:rPr>
        <w:t>, Johannesburg.</w:t>
      </w:r>
      <w:r w:rsidR="00AC07D5" w:rsidRPr="00C314E3">
        <w:rPr>
          <w:rFonts w:ascii="Arial" w:hAnsi="Arial" w:cs="Arial"/>
          <w:sz w:val="24"/>
          <w:szCs w:val="24"/>
        </w:rPr>
        <w:t xml:space="preserve"> </w:t>
      </w:r>
      <w:r w:rsidR="0090004A" w:rsidRPr="00C314E3">
        <w:rPr>
          <w:rFonts w:ascii="Arial" w:hAnsi="Arial" w:cs="Arial"/>
          <w:sz w:val="24"/>
          <w:szCs w:val="24"/>
        </w:rPr>
        <w:t xml:space="preserve">The </w:t>
      </w:r>
      <w:r w:rsidR="001C47F5" w:rsidRPr="00C314E3">
        <w:rPr>
          <w:rFonts w:ascii="Arial" w:hAnsi="Arial" w:cs="Arial"/>
          <w:sz w:val="24"/>
          <w:szCs w:val="24"/>
        </w:rPr>
        <w:t xml:space="preserve">court held that, regarding the </w:t>
      </w:r>
      <w:r w:rsidR="00331934" w:rsidRPr="00C314E3">
        <w:rPr>
          <w:rFonts w:ascii="Arial" w:hAnsi="Arial" w:cs="Arial"/>
          <w:sz w:val="24"/>
          <w:szCs w:val="24"/>
        </w:rPr>
        <w:t>relationship between section</w:t>
      </w:r>
      <w:r w:rsidR="004E1132" w:rsidRPr="00C314E3">
        <w:rPr>
          <w:rFonts w:ascii="Arial" w:hAnsi="Arial" w:cs="Arial"/>
          <w:sz w:val="24"/>
          <w:szCs w:val="24"/>
        </w:rPr>
        <w:t>s</w:t>
      </w:r>
      <w:r w:rsidR="00331934" w:rsidRPr="00C314E3">
        <w:rPr>
          <w:rFonts w:ascii="Arial" w:hAnsi="Arial" w:cs="Arial"/>
          <w:sz w:val="24"/>
          <w:szCs w:val="24"/>
        </w:rPr>
        <w:t xml:space="preserve"> 4(7) and </w:t>
      </w:r>
      <w:r w:rsidR="004E1132" w:rsidRPr="00C314E3">
        <w:rPr>
          <w:rFonts w:ascii="Arial" w:hAnsi="Arial" w:cs="Arial"/>
          <w:sz w:val="24"/>
          <w:szCs w:val="24"/>
        </w:rPr>
        <w:t>4(8) of PIE</w:t>
      </w:r>
      <w:r w:rsidR="001C47F5" w:rsidRPr="00C314E3">
        <w:rPr>
          <w:rFonts w:ascii="Arial" w:hAnsi="Arial" w:cs="Arial"/>
          <w:sz w:val="24"/>
          <w:szCs w:val="24"/>
        </w:rPr>
        <w:t>, there were two enquiries</w:t>
      </w:r>
      <w:r w:rsidR="001653BD" w:rsidRPr="00C314E3">
        <w:rPr>
          <w:rFonts w:ascii="Arial" w:hAnsi="Arial" w:cs="Arial"/>
          <w:sz w:val="24"/>
          <w:szCs w:val="24"/>
        </w:rPr>
        <w:t xml:space="preserve">. The first was </w:t>
      </w:r>
      <w:r w:rsidR="00271C5A" w:rsidRPr="00C314E3">
        <w:rPr>
          <w:rFonts w:ascii="Arial" w:hAnsi="Arial" w:cs="Arial"/>
          <w:sz w:val="24"/>
          <w:szCs w:val="24"/>
        </w:rPr>
        <w:t xml:space="preserve">whether it was just and equitable to grant an eviction order, </w:t>
      </w:r>
      <w:r w:rsidR="001653BD" w:rsidRPr="00C314E3">
        <w:rPr>
          <w:rFonts w:ascii="Arial" w:hAnsi="Arial" w:cs="Arial"/>
          <w:sz w:val="24"/>
          <w:szCs w:val="24"/>
        </w:rPr>
        <w:t>having had regard to all relevant factors</w:t>
      </w:r>
      <w:r w:rsidR="0039399A" w:rsidRPr="00C314E3">
        <w:rPr>
          <w:rFonts w:ascii="Arial" w:hAnsi="Arial" w:cs="Arial"/>
          <w:sz w:val="24"/>
          <w:szCs w:val="24"/>
        </w:rPr>
        <w:t>, which included</w:t>
      </w:r>
      <w:r w:rsidR="00A93100" w:rsidRPr="00C314E3">
        <w:rPr>
          <w:rFonts w:ascii="Arial" w:hAnsi="Arial" w:cs="Arial"/>
          <w:sz w:val="24"/>
          <w:szCs w:val="24"/>
        </w:rPr>
        <w:t xml:space="preserve"> whether there was alternative land or accommodation</w:t>
      </w:r>
      <w:r w:rsidR="004B3AF0" w:rsidRPr="00C314E3">
        <w:rPr>
          <w:rFonts w:ascii="Arial" w:hAnsi="Arial" w:cs="Arial"/>
          <w:sz w:val="24"/>
          <w:szCs w:val="24"/>
        </w:rPr>
        <w:t xml:space="preserve">, to be assessed against the </w:t>
      </w:r>
      <w:r w:rsidR="00CF4C97" w:rsidRPr="00C314E3">
        <w:rPr>
          <w:rFonts w:ascii="Arial" w:hAnsi="Arial" w:cs="Arial"/>
          <w:sz w:val="24"/>
          <w:szCs w:val="24"/>
        </w:rPr>
        <w:t xml:space="preserve">protection given to the </w:t>
      </w:r>
      <w:r w:rsidR="004B3AF0" w:rsidRPr="00C314E3">
        <w:rPr>
          <w:rFonts w:ascii="Arial" w:hAnsi="Arial" w:cs="Arial"/>
          <w:sz w:val="24"/>
          <w:szCs w:val="24"/>
        </w:rPr>
        <w:t>landowner</w:t>
      </w:r>
      <w:r w:rsidR="00CF4C97" w:rsidRPr="00C314E3">
        <w:rPr>
          <w:rFonts w:ascii="Arial" w:hAnsi="Arial" w:cs="Arial"/>
          <w:sz w:val="24"/>
          <w:szCs w:val="24"/>
        </w:rPr>
        <w:t xml:space="preserve"> under section 25 of the Constitution.</w:t>
      </w:r>
      <w:r w:rsidR="00407244" w:rsidRPr="00C314E3">
        <w:rPr>
          <w:rFonts w:ascii="Arial" w:hAnsi="Arial" w:cs="Arial"/>
          <w:sz w:val="24"/>
          <w:szCs w:val="24"/>
        </w:rPr>
        <w:t xml:space="preserve"> The second was</w:t>
      </w:r>
      <w:r w:rsidR="00A7032C" w:rsidRPr="00C314E3">
        <w:rPr>
          <w:rFonts w:ascii="Arial" w:hAnsi="Arial" w:cs="Arial"/>
          <w:sz w:val="24"/>
          <w:szCs w:val="24"/>
        </w:rPr>
        <w:t xml:space="preserve"> what justice and equity demanded </w:t>
      </w:r>
      <w:r w:rsidR="00580013" w:rsidRPr="00C314E3">
        <w:rPr>
          <w:rFonts w:ascii="Arial" w:hAnsi="Arial" w:cs="Arial"/>
          <w:sz w:val="24"/>
          <w:szCs w:val="24"/>
        </w:rPr>
        <w:t>in relation to the date of the implementation of any order granted</w:t>
      </w:r>
      <w:r w:rsidR="002B6443" w:rsidRPr="00C314E3">
        <w:rPr>
          <w:rFonts w:ascii="Arial" w:hAnsi="Arial" w:cs="Arial"/>
          <w:sz w:val="24"/>
          <w:szCs w:val="24"/>
        </w:rPr>
        <w:t xml:space="preserve"> and what conditions should be attached thereto.</w:t>
      </w:r>
      <w:r w:rsidR="002B6443">
        <w:rPr>
          <w:rStyle w:val="FootnoteReference"/>
          <w:rFonts w:ascii="Arial" w:hAnsi="Arial" w:cs="Arial"/>
          <w:sz w:val="24"/>
          <w:szCs w:val="24"/>
        </w:rPr>
        <w:footnoteReference w:id="42"/>
      </w:r>
      <w:r w:rsidR="00B773CE" w:rsidRPr="00C314E3">
        <w:rPr>
          <w:rFonts w:ascii="Arial" w:hAnsi="Arial" w:cs="Arial"/>
          <w:sz w:val="24"/>
          <w:szCs w:val="24"/>
        </w:rPr>
        <w:t xml:space="preserve"> </w:t>
      </w:r>
      <w:r w:rsidR="00003FBA" w:rsidRPr="00C314E3">
        <w:rPr>
          <w:rFonts w:ascii="Arial" w:hAnsi="Arial" w:cs="Arial"/>
          <w:sz w:val="24"/>
          <w:szCs w:val="24"/>
        </w:rPr>
        <w:t>Furthermore, in relation to onus, the court held that</w:t>
      </w:r>
      <w:r w:rsidR="007E4B3E" w:rsidRPr="00C314E3">
        <w:rPr>
          <w:rFonts w:ascii="Arial" w:hAnsi="Arial" w:cs="Arial"/>
          <w:sz w:val="24"/>
          <w:szCs w:val="24"/>
        </w:rPr>
        <w:t xml:space="preserve">, where section </w:t>
      </w:r>
      <w:r w:rsidR="000B055C" w:rsidRPr="00C314E3">
        <w:rPr>
          <w:rFonts w:ascii="Arial" w:hAnsi="Arial" w:cs="Arial"/>
          <w:sz w:val="24"/>
          <w:szCs w:val="24"/>
        </w:rPr>
        <w:lastRenderedPageBreak/>
        <w:t>4(7) applied,</w:t>
      </w:r>
      <w:r w:rsidR="00003FBA" w:rsidRPr="00C314E3">
        <w:rPr>
          <w:rFonts w:ascii="Arial" w:hAnsi="Arial" w:cs="Arial"/>
          <w:sz w:val="24"/>
          <w:szCs w:val="24"/>
        </w:rPr>
        <w:t xml:space="preserve"> </w:t>
      </w:r>
      <w:r w:rsidR="00AE3B9F" w:rsidRPr="00C314E3">
        <w:rPr>
          <w:rFonts w:ascii="Arial" w:hAnsi="Arial" w:cs="Arial"/>
          <w:sz w:val="24"/>
          <w:szCs w:val="24"/>
        </w:rPr>
        <w:t xml:space="preserve">it </w:t>
      </w:r>
      <w:r w:rsidR="000B055C" w:rsidRPr="00C314E3">
        <w:rPr>
          <w:rFonts w:ascii="Arial" w:hAnsi="Arial" w:cs="Arial"/>
          <w:sz w:val="24"/>
          <w:szCs w:val="24"/>
        </w:rPr>
        <w:t>wa</w:t>
      </w:r>
      <w:r w:rsidR="00AE3B9F" w:rsidRPr="00C314E3">
        <w:rPr>
          <w:rFonts w:ascii="Arial" w:hAnsi="Arial" w:cs="Arial"/>
          <w:sz w:val="24"/>
          <w:szCs w:val="24"/>
        </w:rPr>
        <w:t xml:space="preserve">s the duty of the applicant to </w:t>
      </w:r>
      <w:r w:rsidR="000B055C" w:rsidRPr="00C314E3">
        <w:rPr>
          <w:rFonts w:ascii="Arial" w:hAnsi="Arial" w:cs="Arial"/>
          <w:sz w:val="24"/>
          <w:szCs w:val="24"/>
        </w:rPr>
        <w:t xml:space="preserve">demonstrate that he or she had complied with the relevant notice </w:t>
      </w:r>
      <w:r w:rsidR="005C5716" w:rsidRPr="00C314E3">
        <w:rPr>
          <w:rFonts w:ascii="Arial" w:hAnsi="Arial" w:cs="Arial"/>
          <w:sz w:val="24"/>
          <w:szCs w:val="24"/>
        </w:rPr>
        <w:t>requirements</w:t>
      </w:r>
      <w:r w:rsidR="000B055C" w:rsidRPr="00C314E3">
        <w:rPr>
          <w:rFonts w:ascii="Arial" w:hAnsi="Arial" w:cs="Arial"/>
          <w:sz w:val="24"/>
          <w:szCs w:val="24"/>
        </w:rPr>
        <w:t>,</w:t>
      </w:r>
      <w:r w:rsidR="005C5716" w:rsidRPr="00C314E3">
        <w:rPr>
          <w:rFonts w:ascii="Arial" w:hAnsi="Arial" w:cs="Arial"/>
          <w:sz w:val="24"/>
          <w:szCs w:val="24"/>
        </w:rPr>
        <w:t xml:space="preserve"> that the </w:t>
      </w:r>
      <w:r w:rsidR="00347612" w:rsidRPr="00C314E3">
        <w:rPr>
          <w:rFonts w:ascii="Arial" w:hAnsi="Arial" w:cs="Arial"/>
          <w:sz w:val="24"/>
          <w:szCs w:val="24"/>
        </w:rPr>
        <w:t xml:space="preserve">respondents were </w:t>
      </w:r>
      <w:r w:rsidR="00F86CA1" w:rsidRPr="00C314E3">
        <w:rPr>
          <w:rFonts w:ascii="Arial" w:hAnsi="Arial" w:cs="Arial"/>
          <w:sz w:val="24"/>
          <w:szCs w:val="24"/>
        </w:rPr>
        <w:t>in</w:t>
      </w:r>
      <w:r w:rsidR="00347612" w:rsidRPr="00C314E3">
        <w:rPr>
          <w:rFonts w:ascii="Arial" w:hAnsi="Arial" w:cs="Arial"/>
          <w:sz w:val="24"/>
          <w:szCs w:val="24"/>
        </w:rPr>
        <w:t xml:space="preserve"> unlawful occupation, and that </w:t>
      </w:r>
      <w:r w:rsidR="00FD3D92" w:rsidRPr="00C314E3">
        <w:rPr>
          <w:rFonts w:ascii="Arial" w:hAnsi="Arial" w:cs="Arial"/>
          <w:sz w:val="24"/>
          <w:szCs w:val="24"/>
        </w:rPr>
        <w:t xml:space="preserve">sufficient </w:t>
      </w:r>
      <w:r w:rsidR="0051461A" w:rsidRPr="00C314E3">
        <w:rPr>
          <w:rFonts w:ascii="Arial" w:hAnsi="Arial" w:cs="Arial"/>
          <w:sz w:val="24"/>
          <w:szCs w:val="24"/>
        </w:rPr>
        <w:t xml:space="preserve">information </w:t>
      </w:r>
      <w:r w:rsidR="00347612" w:rsidRPr="00C314E3">
        <w:rPr>
          <w:rFonts w:ascii="Arial" w:hAnsi="Arial" w:cs="Arial"/>
          <w:sz w:val="24"/>
          <w:szCs w:val="24"/>
        </w:rPr>
        <w:t xml:space="preserve">had been presented </w:t>
      </w:r>
      <w:r w:rsidR="009A0A52" w:rsidRPr="00C314E3">
        <w:rPr>
          <w:rFonts w:ascii="Arial" w:hAnsi="Arial" w:cs="Arial"/>
          <w:sz w:val="24"/>
          <w:szCs w:val="24"/>
        </w:rPr>
        <w:t xml:space="preserve">to satisfy the court that it would be just and equitable to grant </w:t>
      </w:r>
      <w:r w:rsidR="003A467A" w:rsidRPr="00C314E3">
        <w:rPr>
          <w:rFonts w:ascii="Arial" w:hAnsi="Arial" w:cs="Arial"/>
          <w:sz w:val="24"/>
          <w:szCs w:val="24"/>
        </w:rPr>
        <w:t>the order sought.</w:t>
      </w:r>
      <w:r w:rsidR="00F86CA1">
        <w:rPr>
          <w:rStyle w:val="FootnoteReference"/>
          <w:rFonts w:ascii="Arial" w:hAnsi="Arial" w:cs="Arial"/>
          <w:sz w:val="24"/>
          <w:szCs w:val="24"/>
        </w:rPr>
        <w:footnoteReference w:id="43"/>
      </w:r>
    </w:p>
    <w:p w14:paraId="7403DAAF" w14:textId="77777777" w:rsidR="00B11B24" w:rsidRDefault="00B11B24" w:rsidP="00E77158">
      <w:pPr>
        <w:pStyle w:val="ListParagraph"/>
        <w:spacing w:line="360" w:lineRule="auto"/>
        <w:ind w:left="0"/>
        <w:jc w:val="both"/>
        <w:rPr>
          <w:rFonts w:ascii="Arial" w:hAnsi="Arial" w:cs="Arial"/>
          <w:sz w:val="24"/>
          <w:szCs w:val="24"/>
        </w:rPr>
      </w:pPr>
    </w:p>
    <w:p w14:paraId="52E957FF" w14:textId="42137C93" w:rsidR="00B11B24" w:rsidRPr="00C314E3" w:rsidRDefault="00C314E3" w:rsidP="00C314E3">
      <w:pPr>
        <w:spacing w:line="360" w:lineRule="auto"/>
        <w:jc w:val="both"/>
        <w:rPr>
          <w:rFonts w:ascii="Arial" w:hAnsi="Arial" w:cs="Arial"/>
          <w:sz w:val="24"/>
          <w:szCs w:val="24"/>
        </w:rPr>
      </w:pPr>
      <w:r>
        <w:rPr>
          <w:rFonts w:ascii="Arial" w:hAnsi="Arial" w:cs="Arial"/>
          <w:sz w:val="24"/>
          <w:szCs w:val="24"/>
        </w:rPr>
        <w:t>[66]</w:t>
      </w:r>
      <w:r>
        <w:rPr>
          <w:rFonts w:ascii="Arial" w:hAnsi="Arial" w:cs="Arial"/>
          <w:sz w:val="24"/>
          <w:szCs w:val="24"/>
        </w:rPr>
        <w:tab/>
      </w:r>
      <w:r w:rsidR="00A502EF" w:rsidRPr="00C314E3">
        <w:rPr>
          <w:rFonts w:ascii="Arial" w:hAnsi="Arial" w:cs="Arial"/>
          <w:sz w:val="24"/>
          <w:szCs w:val="24"/>
        </w:rPr>
        <w:t>In the present matter, the applicants contend</w:t>
      </w:r>
      <w:r w:rsidR="00874BCA" w:rsidRPr="00C314E3">
        <w:rPr>
          <w:rFonts w:ascii="Arial" w:hAnsi="Arial" w:cs="Arial"/>
          <w:sz w:val="24"/>
          <w:szCs w:val="24"/>
        </w:rPr>
        <w:t>ed</w:t>
      </w:r>
      <w:r w:rsidR="00A502EF" w:rsidRPr="00C314E3">
        <w:rPr>
          <w:rFonts w:ascii="Arial" w:hAnsi="Arial" w:cs="Arial"/>
          <w:sz w:val="24"/>
          <w:szCs w:val="24"/>
        </w:rPr>
        <w:t xml:space="preserve"> </w:t>
      </w:r>
      <w:r w:rsidR="00EA5B76" w:rsidRPr="00C314E3">
        <w:rPr>
          <w:rFonts w:ascii="Arial" w:hAnsi="Arial" w:cs="Arial"/>
          <w:sz w:val="24"/>
          <w:szCs w:val="24"/>
        </w:rPr>
        <w:t xml:space="preserve">that </w:t>
      </w:r>
      <w:r w:rsidR="00EE5677" w:rsidRPr="00C314E3">
        <w:rPr>
          <w:rFonts w:ascii="Arial" w:hAnsi="Arial" w:cs="Arial"/>
          <w:sz w:val="24"/>
          <w:szCs w:val="24"/>
        </w:rPr>
        <w:t>a court must grant the order</w:t>
      </w:r>
      <w:r w:rsidR="00EA5B76" w:rsidRPr="00C314E3">
        <w:rPr>
          <w:rFonts w:ascii="Arial" w:hAnsi="Arial" w:cs="Arial"/>
          <w:sz w:val="24"/>
          <w:szCs w:val="24"/>
        </w:rPr>
        <w:t xml:space="preserve"> if the </w:t>
      </w:r>
      <w:r w:rsidR="00874BCA" w:rsidRPr="00C314E3">
        <w:rPr>
          <w:rFonts w:ascii="Arial" w:hAnsi="Arial" w:cs="Arial"/>
          <w:sz w:val="24"/>
          <w:szCs w:val="24"/>
        </w:rPr>
        <w:t>provisions of section 4</w:t>
      </w:r>
      <w:r w:rsidR="007E54EC" w:rsidRPr="00C314E3">
        <w:rPr>
          <w:rFonts w:ascii="Arial" w:hAnsi="Arial" w:cs="Arial"/>
          <w:sz w:val="24"/>
          <w:szCs w:val="24"/>
        </w:rPr>
        <w:t xml:space="preserve"> of PIE</w:t>
      </w:r>
      <w:r w:rsidR="00874BCA" w:rsidRPr="00C314E3">
        <w:rPr>
          <w:rFonts w:ascii="Arial" w:hAnsi="Arial" w:cs="Arial"/>
          <w:sz w:val="24"/>
          <w:szCs w:val="24"/>
        </w:rPr>
        <w:t xml:space="preserve"> ha</w:t>
      </w:r>
      <w:r w:rsidR="002267EA" w:rsidRPr="00C314E3">
        <w:rPr>
          <w:rFonts w:ascii="Arial" w:hAnsi="Arial" w:cs="Arial"/>
          <w:sz w:val="24"/>
          <w:szCs w:val="24"/>
        </w:rPr>
        <w:t>d</w:t>
      </w:r>
      <w:r w:rsidR="00874BCA" w:rsidRPr="00C314E3">
        <w:rPr>
          <w:rFonts w:ascii="Arial" w:hAnsi="Arial" w:cs="Arial"/>
          <w:sz w:val="24"/>
          <w:szCs w:val="24"/>
        </w:rPr>
        <w:t xml:space="preserve"> been met. The first respondent</w:t>
      </w:r>
      <w:r w:rsidR="000032E9" w:rsidRPr="00C314E3">
        <w:rPr>
          <w:rFonts w:ascii="Arial" w:hAnsi="Arial" w:cs="Arial"/>
          <w:sz w:val="24"/>
          <w:szCs w:val="24"/>
        </w:rPr>
        <w:t xml:space="preserve"> </w:t>
      </w:r>
      <w:r w:rsidR="00874BCA" w:rsidRPr="00C314E3">
        <w:rPr>
          <w:rFonts w:ascii="Arial" w:hAnsi="Arial" w:cs="Arial"/>
          <w:sz w:val="24"/>
          <w:szCs w:val="24"/>
        </w:rPr>
        <w:t xml:space="preserve">argued that the </w:t>
      </w:r>
      <w:r w:rsidR="000032E9" w:rsidRPr="00C314E3">
        <w:rPr>
          <w:rFonts w:ascii="Arial" w:hAnsi="Arial" w:cs="Arial"/>
          <w:sz w:val="24"/>
          <w:szCs w:val="24"/>
        </w:rPr>
        <w:t>provisions had</w:t>
      </w:r>
      <w:r w:rsidR="002267EA" w:rsidRPr="00C314E3">
        <w:rPr>
          <w:rFonts w:ascii="Arial" w:hAnsi="Arial" w:cs="Arial"/>
          <w:sz w:val="24"/>
          <w:szCs w:val="24"/>
        </w:rPr>
        <w:t xml:space="preserve"> not been met and </w:t>
      </w:r>
      <w:r w:rsidR="00D71683" w:rsidRPr="00C314E3">
        <w:rPr>
          <w:rFonts w:ascii="Arial" w:hAnsi="Arial" w:cs="Arial"/>
          <w:sz w:val="24"/>
          <w:szCs w:val="24"/>
        </w:rPr>
        <w:t>that he has a valid defence.</w:t>
      </w:r>
    </w:p>
    <w:p w14:paraId="5CE1A52E" w14:textId="77777777" w:rsidR="00B11B24" w:rsidRPr="00B11B24" w:rsidRDefault="00B11B24" w:rsidP="00E77158">
      <w:pPr>
        <w:pStyle w:val="ListParagraph"/>
        <w:jc w:val="both"/>
        <w:rPr>
          <w:rFonts w:ascii="Arial" w:hAnsi="Arial" w:cs="Arial"/>
          <w:sz w:val="24"/>
          <w:szCs w:val="24"/>
        </w:rPr>
      </w:pPr>
    </w:p>
    <w:p w14:paraId="578AC3DB" w14:textId="43FC97C2" w:rsidR="002B0B59" w:rsidRPr="00C314E3" w:rsidRDefault="00C314E3" w:rsidP="00C314E3">
      <w:pPr>
        <w:spacing w:line="360" w:lineRule="auto"/>
        <w:jc w:val="both"/>
        <w:rPr>
          <w:rFonts w:ascii="Arial" w:hAnsi="Arial" w:cs="Arial"/>
          <w:sz w:val="24"/>
          <w:szCs w:val="24"/>
        </w:rPr>
      </w:pPr>
      <w:r w:rsidRPr="00B11B24">
        <w:rPr>
          <w:rFonts w:ascii="Arial" w:hAnsi="Arial" w:cs="Arial"/>
          <w:sz w:val="24"/>
          <w:szCs w:val="24"/>
        </w:rPr>
        <w:t>[67]</w:t>
      </w:r>
      <w:r w:rsidRPr="00B11B24">
        <w:rPr>
          <w:rFonts w:ascii="Arial" w:hAnsi="Arial" w:cs="Arial"/>
          <w:sz w:val="24"/>
          <w:szCs w:val="24"/>
        </w:rPr>
        <w:tab/>
      </w:r>
      <w:r w:rsidR="002267EA" w:rsidRPr="00C314E3">
        <w:rPr>
          <w:rFonts w:ascii="Arial" w:hAnsi="Arial" w:cs="Arial"/>
          <w:sz w:val="24"/>
          <w:szCs w:val="24"/>
        </w:rPr>
        <w:t xml:space="preserve">There is no dispute that the sheriff </w:t>
      </w:r>
      <w:r w:rsidR="00687705" w:rsidRPr="00C314E3">
        <w:rPr>
          <w:rFonts w:ascii="Arial" w:hAnsi="Arial" w:cs="Arial"/>
          <w:sz w:val="24"/>
          <w:szCs w:val="24"/>
        </w:rPr>
        <w:t xml:space="preserve">served notice </w:t>
      </w:r>
      <w:r w:rsidR="00B275A5" w:rsidRPr="00C314E3">
        <w:rPr>
          <w:rFonts w:ascii="Arial" w:hAnsi="Arial" w:cs="Arial"/>
          <w:sz w:val="24"/>
          <w:szCs w:val="24"/>
        </w:rPr>
        <w:t xml:space="preserve">of the proceedings on the respondents. </w:t>
      </w:r>
      <w:r w:rsidR="003C11C1" w:rsidRPr="00C314E3">
        <w:rPr>
          <w:rFonts w:ascii="Arial" w:hAnsi="Arial" w:cs="Arial"/>
          <w:sz w:val="24"/>
          <w:szCs w:val="24"/>
        </w:rPr>
        <w:t xml:space="preserve">It is common cause, too, that </w:t>
      </w:r>
      <w:r w:rsidR="00051A56" w:rsidRPr="00C314E3">
        <w:rPr>
          <w:rFonts w:ascii="Arial" w:hAnsi="Arial" w:cs="Arial"/>
          <w:sz w:val="24"/>
          <w:szCs w:val="24"/>
        </w:rPr>
        <w:t xml:space="preserve">the applicants did not obtain the directions of the court for the </w:t>
      </w:r>
      <w:r w:rsidR="00232E18" w:rsidRPr="00C314E3">
        <w:rPr>
          <w:rFonts w:ascii="Arial" w:hAnsi="Arial" w:cs="Arial"/>
          <w:sz w:val="24"/>
          <w:szCs w:val="24"/>
        </w:rPr>
        <w:t>contents and m</w:t>
      </w:r>
      <w:r w:rsidR="00051A56" w:rsidRPr="00C314E3">
        <w:rPr>
          <w:rFonts w:ascii="Arial" w:hAnsi="Arial" w:cs="Arial"/>
          <w:sz w:val="24"/>
          <w:szCs w:val="24"/>
        </w:rPr>
        <w:t xml:space="preserve">anner </w:t>
      </w:r>
      <w:r w:rsidR="00232E18" w:rsidRPr="00C314E3">
        <w:rPr>
          <w:rFonts w:ascii="Arial" w:hAnsi="Arial" w:cs="Arial"/>
          <w:sz w:val="24"/>
          <w:szCs w:val="24"/>
        </w:rPr>
        <w:t>of service of the section 4(2) notice.</w:t>
      </w:r>
      <w:r w:rsidR="008D5D4E" w:rsidRPr="00C314E3">
        <w:rPr>
          <w:rFonts w:ascii="Arial" w:hAnsi="Arial" w:cs="Arial"/>
          <w:sz w:val="24"/>
          <w:szCs w:val="24"/>
        </w:rPr>
        <w:t xml:space="preserve"> In </w:t>
      </w:r>
      <w:r w:rsidR="008D5D4E" w:rsidRPr="00C314E3">
        <w:rPr>
          <w:rFonts w:ascii="Arial" w:hAnsi="Arial" w:cs="Arial"/>
          <w:i/>
          <w:iCs/>
          <w:sz w:val="24"/>
          <w:szCs w:val="24"/>
        </w:rPr>
        <w:t xml:space="preserve">Cape Killarney Property Investments (Pty) Ltd v </w:t>
      </w:r>
      <w:r w:rsidR="003B4442" w:rsidRPr="00C314E3">
        <w:rPr>
          <w:rFonts w:ascii="Arial" w:hAnsi="Arial" w:cs="Arial"/>
          <w:i/>
          <w:iCs/>
          <w:sz w:val="24"/>
          <w:szCs w:val="24"/>
        </w:rPr>
        <w:t>Mahamba and others</w:t>
      </w:r>
      <w:r w:rsidR="003B4442" w:rsidRPr="00C314E3">
        <w:rPr>
          <w:rFonts w:ascii="Arial" w:hAnsi="Arial" w:cs="Arial"/>
          <w:sz w:val="24"/>
          <w:szCs w:val="24"/>
        </w:rPr>
        <w:t>,</w:t>
      </w:r>
      <w:r w:rsidR="003B4442">
        <w:rPr>
          <w:rStyle w:val="FootnoteReference"/>
          <w:rFonts w:ascii="Arial" w:hAnsi="Arial" w:cs="Arial"/>
          <w:sz w:val="24"/>
          <w:szCs w:val="24"/>
        </w:rPr>
        <w:footnoteReference w:id="44"/>
      </w:r>
      <w:r w:rsidR="00051A56" w:rsidRPr="00C314E3">
        <w:rPr>
          <w:rFonts w:ascii="Arial" w:hAnsi="Arial" w:cs="Arial"/>
          <w:sz w:val="24"/>
          <w:szCs w:val="24"/>
        </w:rPr>
        <w:t xml:space="preserve"> </w:t>
      </w:r>
      <w:r w:rsidR="003B4442" w:rsidRPr="00C314E3">
        <w:rPr>
          <w:rFonts w:ascii="Arial" w:hAnsi="Arial" w:cs="Arial"/>
          <w:sz w:val="24"/>
          <w:szCs w:val="24"/>
        </w:rPr>
        <w:t xml:space="preserve">Brand AJA </w:t>
      </w:r>
      <w:r w:rsidR="00851838" w:rsidRPr="00C314E3">
        <w:rPr>
          <w:rFonts w:ascii="Arial" w:hAnsi="Arial" w:cs="Arial"/>
          <w:sz w:val="24"/>
          <w:szCs w:val="24"/>
        </w:rPr>
        <w:t xml:space="preserve">held </w:t>
      </w:r>
      <w:r w:rsidR="004C6281" w:rsidRPr="00C314E3">
        <w:rPr>
          <w:rFonts w:ascii="Arial" w:hAnsi="Arial" w:cs="Arial"/>
          <w:sz w:val="24"/>
          <w:szCs w:val="24"/>
        </w:rPr>
        <w:t>as follows:</w:t>
      </w:r>
    </w:p>
    <w:p w14:paraId="018882DA" w14:textId="77777777" w:rsidR="004C6281" w:rsidRPr="00FF1AD7" w:rsidRDefault="004C6281" w:rsidP="00E77158">
      <w:pPr>
        <w:spacing w:line="360" w:lineRule="auto"/>
        <w:ind w:left="720"/>
        <w:jc w:val="both"/>
        <w:rPr>
          <w:rFonts w:ascii="Arial" w:hAnsi="Arial" w:cs="Arial"/>
          <w:sz w:val="20"/>
          <w:szCs w:val="20"/>
        </w:rPr>
      </w:pPr>
      <w:r w:rsidRPr="00FF1AD7">
        <w:rPr>
          <w:rFonts w:ascii="Arial" w:hAnsi="Arial" w:cs="Arial"/>
          <w:sz w:val="20"/>
          <w:szCs w:val="20"/>
        </w:rPr>
        <w:t>‘…</w:t>
      </w:r>
      <w:r w:rsidR="00EF0ECA" w:rsidRPr="00FF1AD7">
        <w:rPr>
          <w:rFonts w:ascii="Arial" w:hAnsi="Arial" w:cs="Arial"/>
          <w:sz w:val="20"/>
          <w:szCs w:val="20"/>
        </w:rPr>
        <w:t xml:space="preserve">The Act [PIE] has its roots, </w:t>
      </w:r>
      <w:r w:rsidR="00EF0ECA" w:rsidRPr="00FF1AD7">
        <w:rPr>
          <w:rFonts w:ascii="Arial" w:hAnsi="Arial" w:cs="Arial"/>
          <w:i/>
          <w:iCs/>
          <w:sz w:val="20"/>
          <w:szCs w:val="20"/>
        </w:rPr>
        <w:t>inter alia</w:t>
      </w:r>
      <w:r w:rsidR="00EF0ECA" w:rsidRPr="00FF1AD7">
        <w:rPr>
          <w:rFonts w:ascii="Arial" w:hAnsi="Arial" w:cs="Arial"/>
          <w:sz w:val="20"/>
          <w:szCs w:val="20"/>
        </w:rPr>
        <w:t>,</w:t>
      </w:r>
      <w:r w:rsidR="00EC5B2A" w:rsidRPr="00FF1AD7">
        <w:rPr>
          <w:rFonts w:ascii="Arial" w:hAnsi="Arial" w:cs="Arial"/>
          <w:sz w:val="20"/>
          <w:szCs w:val="20"/>
        </w:rPr>
        <w:t xml:space="preserve"> in 26(3) of the Constitution</w:t>
      </w:r>
      <w:r w:rsidR="00634200" w:rsidRPr="00FF1AD7">
        <w:rPr>
          <w:rFonts w:ascii="Arial" w:hAnsi="Arial" w:cs="Arial"/>
          <w:sz w:val="20"/>
          <w:szCs w:val="20"/>
        </w:rPr>
        <w:t xml:space="preserve">, whereby </w:t>
      </w:r>
      <w:r w:rsidR="00A22557" w:rsidRPr="00FF1AD7">
        <w:rPr>
          <w:rFonts w:ascii="Arial" w:hAnsi="Arial" w:cs="Arial"/>
          <w:sz w:val="20"/>
          <w:szCs w:val="20"/>
        </w:rPr>
        <w:t>“no one may be evicted from their home</w:t>
      </w:r>
      <w:r w:rsidR="005652A3" w:rsidRPr="00FF1AD7">
        <w:rPr>
          <w:rFonts w:ascii="Arial" w:hAnsi="Arial" w:cs="Arial"/>
          <w:sz w:val="20"/>
          <w:szCs w:val="20"/>
        </w:rPr>
        <w:t xml:space="preserve"> without an order of court</w:t>
      </w:r>
      <w:r w:rsidR="0072612E" w:rsidRPr="00FF1AD7">
        <w:rPr>
          <w:rFonts w:ascii="Arial" w:hAnsi="Arial" w:cs="Arial"/>
          <w:sz w:val="20"/>
          <w:szCs w:val="20"/>
        </w:rPr>
        <w:t xml:space="preserve"> made after consideration of all the relevant circumstances</w:t>
      </w:r>
      <w:r w:rsidR="00865E9F" w:rsidRPr="00FF1AD7">
        <w:rPr>
          <w:rFonts w:ascii="Arial" w:hAnsi="Arial" w:cs="Arial"/>
          <w:sz w:val="20"/>
          <w:szCs w:val="20"/>
        </w:rPr>
        <w:t>”. Accordingly</w:t>
      </w:r>
      <w:r w:rsidR="00EF0ECA" w:rsidRPr="00FF1AD7">
        <w:rPr>
          <w:rFonts w:ascii="Arial" w:hAnsi="Arial" w:cs="Arial"/>
          <w:sz w:val="20"/>
          <w:szCs w:val="20"/>
        </w:rPr>
        <w:t xml:space="preserve"> </w:t>
      </w:r>
      <w:r w:rsidR="00B859CE" w:rsidRPr="00FF1AD7">
        <w:rPr>
          <w:rFonts w:ascii="Arial" w:hAnsi="Arial" w:cs="Arial"/>
          <w:sz w:val="20"/>
          <w:szCs w:val="20"/>
        </w:rPr>
        <w:t>the purpose of section 4(2) is clearly to afford the respondents</w:t>
      </w:r>
      <w:r w:rsidR="00A312CD" w:rsidRPr="00FF1AD7">
        <w:rPr>
          <w:rFonts w:ascii="Arial" w:hAnsi="Arial" w:cs="Arial"/>
          <w:sz w:val="20"/>
          <w:szCs w:val="20"/>
        </w:rPr>
        <w:t xml:space="preserve"> in eviction proceedings a better opportunity</w:t>
      </w:r>
      <w:r w:rsidR="00E46DD3" w:rsidRPr="00FF1AD7">
        <w:rPr>
          <w:rFonts w:ascii="Arial" w:hAnsi="Arial" w:cs="Arial"/>
          <w:sz w:val="20"/>
          <w:szCs w:val="20"/>
        </w:rPr>
        <w:t xml:space="preserve"> than they would have under the Rules to put all the circumstances</w:t>
      </w:r>
      <w:r w:rsidR="00BD324C" w:rsidRPr="00FF1AD7">
        <w:rPr>
          <w:rFonts w:ascii="Arial" w:hAnsi="Arial" w:cs="Arial"/>
          <w:sz w:val="20"/>
          <w:szCs w:val="20"/>
        </w:rPr>
        <w:t xml:space="preserve"> that they allege to be relevant before the court.’</w:t>
      </w:r>
      <w:r w:rsidR="001168CB" w:rsidRPr="00FF1AD7">
        <w:rPr>
          <w:rStyle w:val="FootnoteReference"/>
          <w:rFonts w:ascii="Arial" w:hAnsi="Arial" w:cs="Arial"/>
          <w:sz w:val="20"/>
          <w:szCs w:val="20"/>
        </w:rPr>
        <w:footnoteReference w:id="45"/>
      </w:r>
    </w:p>
    <w:p w14:paraId="6D1093F3" w14:textId="77777777" w:rsidR="001168CB" w:rsidRDefault="001168CB" w:rsidP="00E77158">
      <w:pPr>
        <w:spacing w:line="360" w:lineRule="auto"/>
        <w:jc w:val="both"/>
        <w:rPr>
          <w:rFonts w:ascii="Arial" w:hAnsi="Arial" w:cs="Arial"/>
          <w:sz w:val="24"/>
          <w:szCs w:val="24"/>
        </w:rPr>
      </w:pPr>
    </w:p>
    <w:p w14:paraId="3008B84E" w14:textId="601D22CB" w:rsidR="00B11B24" w:rsidRPr="00C314E3" w:rsidRDefault="00C314E3" w:rsidP="00C314E3">
      <w:pPr>
        <w:spacing w:line="360" w:lineRule="auto"/>
        <w:jc w:val="both"/>
        <w:rPr>
          <w:rFonts w:ascii="Arial" w:hAnsi="Arial" w:cs="Arial"/>
          <w:sz w:val="24"/>
          <w:szCs w:val="24"/>
        </w:rPr>
      </w:pPr>
      <w:r>
        <w:rPr>
          <w:rFonts w:ascii="Arial" w:hAnsi="Arial" w:cs="Arial"/>
          <w:sz w:val="24"/>
          <w:szCs w:val="24"/>
        </w:rPr>
        <w:t>[68]</w:t>
      </w:r>
      <w:r>
        <w:rPr>
          <w:rFonts w:ascii="Arial" w:hAnsi="Arial" w:cs="Arial"/>
          <w:sz w:val="24"/>
          <w:szCs w:val="24"/>
        </w:rPr>
        <w:tab/>
      </w:r>
      <w:r w:rsidR="001168CB" w:rsidRPr="00C314E3">
        <w:rPr>
          <w:rFonts w:ascii="Arial" w:hAnsi="Arial" w:cs="Arial"/>
          <w:sz w:val="24"/>
          <w:szCs w:val="24"/>
        </w:rPr>
        <w:t xml:space="preserve">In the present matter, the section 4(2) notice was preceded by the </w:t>
      </w:r>
      <w:r w:rsidR="005908C6" w:rsidRPr="00C314E3">
        <w:rPr>
          <w:rFonts w:ascii="Arial" w:hAnsi="Arial" w:cs="Arial"/>
          <w:sz w:val="24"/>
          <w:szCs w:val="24"/>
        </w:rPr>
        <w:t>applicants’ notice of motion and accompanying affidavits</w:t>
      </w:r>
      <w:r w:rsidR="005F4852" w:rsidRPr="00C314E3">
        <w:rPr>
          <w:rFonts w:ascii="Arial" w:hAnsi="Arial" w:cs="Arial"/>
          <w:sz w:val="24"/>
          <w:szCs w:val="24"/>
        </w:rPr>
        <w:t xml:space="preserve">, </w:t>
      </w:r>
      <w:r w:rsidR="00834CC2" w:rsidRPr="00C314E3">
        <w:rPr>
          <w:rFonts w:ascii="Arial" w:hAnsi="Arial" w:cs="Arial"/>
          <w:sz w:val="24"/>
          <w:szCs w:val="24"/>
        </w:rPr>
        <w:t>serv</w:t>
      </w:r>
      <w:r w:rsidR="00FF1AD7" w:rsidRPr="00C314E3">
        <w:rPr>
          <w:rFonts w:ascii="Arial" w:hAnsi="Arial" w:cs="Arial"/>
          <w:sz w:val="24"/>
          <w:szCs w:val="24"/>
        </w:rPr>
        <w:t xml:space="preserve">ed on 19 September 2022. </w:t>
      </w:r>
      <w:r w:rsidR="004B52F3" w:rsidRPr="00C314E3">
        <w:rPr>
          <w:rFonts w:ascii="Arial" w:hAnsi="Arial" w:cs="Arial"/>
          <w:sz w:val="24"/>
          <w:szCs w:val="24"/>
        </w:rPr>
        <w:t>The first respondent</w:t>
      </w:r>
      <w:r w:rsidR="00F236B7" w:rsidRPr="00C314E3">
        <w:rPr>
          <w:rFonts w:ascii="Arial" w:hAnsi="Arial" w:cs="Arial"/>
          <w:sz w:val="24"/>
          <w:szCs w:val="24"/>
        </w:rPr>
        <w:t xml:space="preserve"> </w:t>
      </w:r>
      <w:r w:rsidR="004B52F3" w:rsidRPr="00C314E3">
        <w:rPr>
          <w:rFonts w:ascii="Arial" w:hAnsi="Arial" w:cs="Arial"/>
          <w:sz w:val="24"/>
          <w:szCs w:val="24"/>
        </w:rPr>
        <w:t xml:space="preserve">filed his notice of opposition on </w:t>
      </w:r>
      <w:r w:rsidR="00C149A6" w:rsidRPr="00C314E3">
        <w:rPr>
          <w:rFonts w:ascii="Arial" w:hAnsi="Arial" w:cs="Arial"/>
          <w:sz w:val="24"/>
          <w:szCs w:val="24"/>
        </w:rPr>
        <w:t xml:space="preserve">28 September 2022. </w:t>
      </w:r>
      <w:r w:rsidR="001461C1" w:rsidRPr="00C314E3">
        <w:rPr>
          <w:rFonts w:ascii="Arial" w:hAnsi="Arial" w:cs="Arial"/>
          <w:sz w:val="24"/>
          <w:szCs w:val="24"/>
        </w:rPr>
        <w:t xml:space="preserve">The </w:t>
      </w:r>
      <w:r w:rsidR="004B52F3" w:rsidRPr="00C314E3">
        <w:rPr>
          <w:rFonts w:ascii="Arial" w:hAnsi="Arial" w:cs="Arial"/>
          <w:sz w:val="24"/>
          <w:szCs w:val="24"/>
        </w:rPr>
        <w:t>section 4(2) notice itself</w:t>
      </w:r>
      <w:r w:rsidR="001461C1" w:rsidRPr="00C314E3">
        <w:rPr>
          <w:rFonts w:ascii="Arial" w:hAnsi="Arial" w:cs="Arial"/>
          <w:sz w:val="24"/>
          <w:szCs w:val="24"/>
        </w:rPr>
        <w:t xml:space="preserve"> </w:t>
      </w:r>
      <w:r w:rsidR="003569D9" w:rsidRPr="00C314E3">
        <w:rPr>
          <w:rFonts w:ascii="Arial" w:hAnsi="Arial" w:cs="Arial"/>
          <w:sz w:val="24"/>
          <w:szCs w:val="24"/>
        </w:rPr>
        <w:t>wa</w:t>
      </w:r>
      <w:r w:rsidR="001461C1" w:rsidRPr="00C314E3">
        <w:rPr>
          <w:rFonts w:ascii="Arial" w:hAnsi="Arial" w:cs="Arial"/>
          <w:sz w:val="24"/>
          <w:szCs w:val="24"/>
        </w:rPr>
        <w:t>s comprehensive</w:t>
      </w:r>
      <w:r w:rsidR="002B0AE3" w:rsidRPr="00C314E3">
        <w:rPr>
          <w:rFonts w:ascii="Arial" w:hAnsi="Arial" w:cs="Arial"/>
          <w:sz w:val="24"/>
          <w:szCs w:val="24"/>
        </w:rPr>
        <w:t xml:space="preserve">. It </w:t>
      </w:r>
      <w:r w:rsidR="008B1154" w:rsidRPr="00C314E3">
        <w:rPr>
          <w:rFonts w:ascii="Arial" w:hAnsi="Arial" w:cs="Arial"/>
          <w:sz w:val="24"/>
          <w:szCs w:val="24"/>
        </w:rPr>
        <w:t xml:space="preserve">set out the date upon which the application would be heard, the </w:t>
      </w:r>
      <w:r w:rsidR="00A439DB" w:rsidRPr="00C314E3">
        <w:rPr>
          <w:rFonts w:ascii="Arial" w:hAnsi="Arial" w:cs="Arial"/>
          <w:sz w:val="24"/>
          <w:szCs w:val="24"/>
        </w:rPr>
        <w:t xml:space="preserve">nature of the </w:t>
      </w:r>
      <w:r w:rsidR="002B0AE3" w:rsidRPr="00C314E3">
        <w:rPr>
          <w:rFonts w:ascii="Arial" w:hAnsi="Arial" w:cs="Arial"/>
          <w:sz w:val="24"/>
          <w:szCs w:val="24"/>
        </w:rPr>
        <w:t xml:space="preserve">relief </w:t>
      </w:r>
      <w:r w:rsidR="00A439DB" w:rsidRPr="00C314E3">
        <w:rPr>
          <w:rFonts w:ascii="Arial" w:hAnsi="Arial" w:cs="Arial"/>
          <w:sz w:val="24"/>
          <w:szCs w:val="24"/>
        </w:rPr>
        <w:t xml:space="preserve">sought, </w:t>
      </w:r>
      <w:r w:rsidR="008F3B69" w:rsidRPr="00C314E3">
        <w:rPr>
          <w:rFonts w:ascii="Arial" w:hAnsi="Arial" w:cs="Arial"/>
          <w:sz w:val="24"/>
          <w:szCs w:val="24"/>
        </w:rPr>
        <w:t xml:space="preserve">and </w:t>
      </w:r>
      <w:r w:rsidR="00A439DB" w:rsidRPr="00C314E3">
        <w:rPr>
          <w:rFonts w:ascii="Arial" w:hAnsi="Arial" w:cs="Arial"/>
          <w:sz w:val="24"/>
          <w:szCs w:val="24"/>
        </w:rPr>
        <w:t>the grounds relied upon by the applicants</w:t>
      </w:r>
      <w:r w:rsidR="008F3B69" w:rsidRPr="00C314E3">
        <w:rPr>
          <w:rFonts w:ascii="Arial" w:hAnsi="Arial" w:cs="Arial"/>
          <w:sz w:val="24"/>
          <w:szCs w:val="24"/>
        </w:rPr>
        <w:t>. It</w:t>
      </w:r>
      <w:r w:rsidR="00AC1F2E" w:rsidRPr="00C314E3">
        <w:rPr>
          <w:rFonts w:ascii="Arial" w:hAnsi="Arial" w:cs="Arial"/>
          <w:sz w:val="24"/>
          <w:szCs w:val="24"/>
        </w:rPr>
        <w:t xml:space="preserve"> explain</w:t>
      </w:r>
      <w:r w:rsidR="003569D9" w:rsidRPr="00C314E3">
        <w:rPr>
          <w:rFonts w:ascii="Arial" w:hAnsi="Arial" w:cs="Arial"/>
          <w:sz w:val="24"/>
          <w:szCs w:val="24"/>
        </w:rPr>
        <w:t>ed</w:t>
      </w:r>
      <w:r w:rsidR="00AC1F2E" w:rsidRPr="00C314E3">
        <w:rPr>
          <w:rFonts w:ascii="Arial" w:hAnsi="Arial" w:cs="Arial"/>
          <w:sz w:val="24"/>
          <w:szCs w:val="24"/>
        </w:rPr>
        <w:t xml:space="preserve"> that the first respondent would be entitled to appear before the court on the above date </w:t>
      </w:r>
      <w:r w:rsidR="00A34F28" w:rsidRPr="00C314E3">
        <w:rPr>
          <w:rFonts w:ascii="Arial" w:hAnsi="Arial" w:cs="Arial"/>
          <w:sz w:val="24"/>
          <w:szCs w:val="24"/>
        </w:rPr>
        <w:t>to defend the case and to state the reasons why he should not be evicted</w:t>
      </w:r>
      <w:r w:rsidR="00B26FF0" w:rsidRPr="00C314E3">
        <w:rPr>
          <w:rFonts w:ascii="Arial" w:hAnsi="Arial" w:cs="Arial"/>
          <w:sz w:val="24"/>
          <w:szCs w:val="24"/>
        </w:rPr>
        <w:t xml:space="preserve">, </w:t>
      </w:r>
      <w:r w:rsidR="003569D9" w:rsidRPr="00C314E3">
        <w:rPr>
          <w:rFonts w:ascii="Arial" w:hAnsi="Arial" w:cs="Arial"/>
          <w:sz w:val="24"/>
          <w:szCs w:val="24"/>
        </w:rPr>
        <w:t>as well as</w:t>
      </w:r>
      <w:r w:rsidR="00B26FF0" w:rsidRPr="00C314E3">
        <w:rPr>
          <w:rFonts w:ascii="Arial" w:hAnsi="Arial" w:cs="Arial"/>
          <w:sz w:val="24"/>
          <w:szCs w:val="24"/>
        </w:rPr>
        <w:t xml:space="preserve"> his </w:t>
      </w:r>
      <w:r w:rsidR="00B26FF0" w:rsidRPr="00C314E3">
        <w:rPr>
          <w:rFonts w:ascii="Arial" w:hAnsi="Arial" w:cs="Arial"/>
          <w:sz w:val="24"/>
          <w:szCs w:val="24"/>
        </w:rPr>
        <w:lastRenderedPageBreak/>
        <w:t>right to legal representation</w:t>
      </w:r>
      <w:r w:rsidR="007D1BE9" w:rsidRPr="00C314E3">
        <w:rPr>
          <w:rFonts w:ascii="Arial" w:hAnsi="Arial" w:cs="Arial"/>
          <w:sz w:val="24"/>
          <w:szCs w:val="24"/>
        </w:rPr>
        <w:t>. It invite</w:t>
      </w:r>
      <w:r w:rsidR="00D53DAD" w:rsidRPr="00C314E3">
        <w:rPr>
          <w:rFonts w:ascii="Arial" w:hAnsi="Arial" w:cs="Arial"/>
          <w:sz w:val="24"/>
          <w:szCs w:val="24"/>
        </w:rPr>
        <w:t>d</w:t>
      </w:r>
      <w:r w:rsidR="007D1BE9" w:rsidRPr="00C314E3">
        <w:rPr>
          <w:rFonts w:ascii="Arial" w:hAnsi="Arial" w:cs="Arial"/>
          <w:sz w:val="24"/>
          <w:szCs w:val="24"/>
        </w:rPr>
        <w:t xml:space="preserve"> the first respondent</w:t>
      </w:r>
      <w:r w:rsidR="00C57A2F" w:rsidRPr="00C314E3">
        <w:rPr>
          <w:rFonts w:ascii="Arial" w:hAnsi="Arial" w:cs="Arial"/>
          <w:sz w:val="24"/>
          <w:szCs w:val="24"/>
        </w:rPr>
        <w:t xml:space="preserve"> </w:t>
      </w:r>
      <w:r w:rsidR="007D1BE9" w:rsidRPr="00C314E3">
        <w:rPr>
          <w:rFonts w:ascii="Arial" w:hAnsi="Arial" w:cs="Arial"/>
          <w:sz w:val="24"/>
          <w:szCs w:val="24"/>
        </w:rPr>
        <w:t xml:space="preserve">to </w:t>
      </w:r>
      <w:r w:rsidR="00AC6E9F" w:rsidRPr="00C314E3">
        <w:rPr>
          <w:rFonts w:ascii="Arial" w:hAnsi="Arial" w:cs="Arial"/>
          <w:sz w:val="24"/>
          <w:szCs w:val="24"/>
        </w:rPr>
        <w:t xml:space="preserve">file an affidavit that dealt with his personal circumstances, including </w:t>
      </w:r>
      <w:r w:rsidR="003A371D" w:rsidRPr="00C314E3">
        <w:rPr>
          <w:rFonts w:ascii="Arial" w:hAnsi="Arial" w:cs="Arial"/>
          <w:sz w:val="24"/>
          <w:szCs w:val="24"/>
        </w:rPr>
        <w:t xml:space="preserve">whether the property was occupied by </w:t>
      </w:r>
      <w:r w:rsidR="00A2111F" w:rsidRPr="00C314E3">
        <w:rPr>
          <w:rFonts w:ascii="Arial" w:hAnsi="Arial" w:cs="Arial"/>
          <w:sz w:val="24"/>
          <w:szCs w:val="24"/>
        </w:rPr>
        <w:t xml:space="preserve">elderly or disabled persons, children, or whether it </w:t>
      </w:r>
      <w:r w:rsidR="00E53611" w:rsidRPr="00C314E3">
        <w:rPr>
          <w:rFonts w:ascii="Arial" w:hAnsi="Arial" w:cs="Arial"/>
          <w:sz w:val="24"/>
          <w:szCs w:val="24"/>
        </w:rPr>
        <w:t xml:space="preserve">pertained to a household headed by women. It also </w:t>
      </w:r>
      <w:r w:rsidR="00950254" w:rsidRPr="00C314E3">
        <w:rPr>
          <w:rFonts w:ascii="Arial" w:hAnsi="Arial" w:cs="Arial"/>
          <w:sz w:val="24"/>
          <w:szCs w:val="24"/>
        </w:rPr>
        <w:t>invited the first respondent to deal with his right to housing</w:t>
      </w:r>
      <w:r w:rsidR="00FC77C2" w:rsidRPr="00C314E3">
        <w:rPr>
          <w:rFonts w:ascii="Arial" w:hAnsi="Arial" w:cs="Arial"/>
          <w:sz w:val="24"/>
          <w:szCs w:val="24"/>
        </w:rPr>
        <w:t>,</w:t>
      </w:r>
      <w:r w:rsidR="00950254" w:rsidRPr="00C314E3">
        <w:rPr>
          <w:rFonts w:ascii="Arial" w:hAnsi="Arial" w:cs="Arial"/>
          <w:sz w:val="24"/>
          <w:szCs w:val="24"/>
        </w:rPr>
        <w:t xml:space="preserve"> and whether he would be rendered </w:t>
      </w:r>
      <w:r w:rsidR="009D6791" w:rsidRPr="00C314E3">
        <w:rPr>
          <w:rFonts w:ascii="Arial" w:hAnsi="Arial" w:cs="Arial"/>
          <w:sz w:val="24"/>
          <w:szCs w:val="24"/>
        </w:rPr>
        <w:t xml:space="preserve">homeless and whether alternative accommodation was or could be made </w:t>
      </w:r>
      <w:r w:rsidR="005E7D88" w:rsidRPr="00C314E3">
        <w:rPr>
          <w:rFonts w:ascii="Arial" w:hAnsi="Arial" w:cs="Arial"/>
          <w:sz w:val="24"/>
          <w:szCs w:val="24"/>
        </w:rPr>
        <w:t xml:space="preserve">available. The notice indicated that the above information was necessary to </w:t>
      </w:r>
      <w:r w:rsidR="009A2851" w:rsidRPr="00C314E3">
        <w:rPr>
          <w:rFonts w:ascii="Arial" w:hAnsi="Arial" w:cs="Arial"/>
          <w:sz w:val="24"/>
          <w:szCs w:val="24"/>
        </w:rPr>
        <w:t>assist the court in deciding whether</w:t>
      </w:r>
      <w:r w:rsidR="00017CA5" w:rsidRPr="00C314E3">
        <w:rPr>
          <w:rFonts w:ascii="Arial" w:hAnsi="Arial" w:cs="Arial"/>
          <w:sz w:val="24"/>
          <w:szCs w:val="24"/>
        </w:rPr>
        <w:t xml:space="preserve"> the order should be granted.</w:t>
      </w:r>
      <w:r w:rsidR="00410A0C" w:rsidRPr="00C314E3">
        <w:rPr>
          <w:rFonts w:ascii="Arial" w:hAnsi="Arial" w:cs="Arial"/>
          <w:sz w:val="24"/>
          <w:szCs w:val="24"/>
        </w:rPr>
        <w:t xml:space="preserve"> </w:t>
      </w:r>
    </w:p>
    <w:p w14:paraId="5993646C" w14:textId="77777777" w:rsidR="00B11B24" w:rsidRDefault="00B11B24" w:rsidP="00E77158">
      <w:pPr>
        <w:pStyle w:val="ListParagraph"/>
        <w:spacing w:line="360" w:lineRule="auto"/>
        <w:ind w:left="0"/>
        <w:jc w:val="both"/>
        <w:rPr>
          <w:rFonts w:ascii="Arial" w:hAnsi="Arial" w:cs="Arial"/>
          <w:sz w:val="24"/>
          <w:szCs w:val="24"/>
        </w:rPr>
      </w:pPr>
    </w:p>
    <w:p w14:paraId="06806625" w14:textId="000349B8" w:rsidR="00B11B24" w:rsidRPr="00C314E3" w:rsidRDefault="00C314E3" w:rsidP="00C314E3">
      <w:pPr>
        <w:spacing w:line="360" w:lineRule="auto"/>
        <w:jc w:val="both"/>
        <w:rPr>
          <w:rFonts w:ascii="Arial" w:hAnsi="Arial" w:cs="Arial"/>
          <w:sz w:val="24"/>
          <w:szCs w:val="24"/>
        </w:rPr>
      </w:pPr>
      <w:r>
        <w:rPr>
          <w:rFonts w:ascii="Arial" w:hAnsi="Arial" w:cs="Arial"/>
          <w:sz w:val="24"/>
          <w:szCs w:val="24"/>
        </w:rPr>
        <w:t>[69]</w:t>
      </w:r>
      <w:r>
        <w:rPr>
          <w:rFonts w:ascii="Arial" w:hAnsi="Arial" w:cs="Arial"/>
          <w:sz w:val="24"/>
          <w:szCs w:val="24"/>
        </w:rPr>
        <w:tab/>
      </w:r>
      <w:r w:rsidR="00F43F32" w:rsidRPr="00C314E3">
        <w:rPr>
          <w:rFonts w:ascii="Arial" w:hAnsi="Arial" w:cs="Arial"/>
          <w:sz w:val="24"/>
          <w:szCs w:val="24"/>
        </w:rPr>
        <w:t>It can</w:t>
      </w:r>
      <w:r w:rsidR="00FC77C2" w:rsidRPr="00C314E3">
        <w:rPr>
          <w:rFonts w:ascii="Arial" w:hAnsi="Arial" w:cs="Arial"/>
          <w:sz w:val="24"/>
          <w:szCs w:val="24"/>
        </w:rPr>
        <w:t xml:space="preserve"> hardly </w:t>
      </w:r>
      <w:r w:rsidR="00F43F32" w:rsidRPr="00C314E3">
        <w:rPr>
          <w:rFonts w:ascii="Arial" w:hAnsi="Arial" w:cs="Arial"/>
          <w:sz w:val="24"/>
          <w:szCs w:val="24"/>
        </w:rPr>
        <w:t xml:space="preserve">be said that the </w:t>
      </w:r>
      <w:r w:rsidR="00795C19" w:rsidRPr="00C314E3">
        <w:rPr>
          <w:rFonts w:ascii="Arial" w:hAnsi="Arial" w:cs="Arial"/>
          <w:sz w:val="24"/>
          <w:szCs w:val="24"/>
        </w:rPr>
        <w:t xml:space="preserve">above </w:t>
      </w:r>
      <w:r w:rsidR="00F43F32" w:rsidRPr="00C314E3">
        <w:rPr>
          <w:rFonts w:ascii="Arial" w:hAnsi="Arial" w:cs="Arial"/>
          <w:sz w:val="24"/>
          <w:szCs w:val="24"/>
        </w:rPr>
        <w:t xml:space="preserve">notice does not comply substantially with the requirements of </w:t>
      </w:r>
      <w:r w:rsidR="00325F6C" w:rsidRPr="00C314E3">
        <w:rPr>
          <w:rFonts w:ascii="Arial" w:hAnsi="Arial" w:cs="Arial"/>
          <w:sz w:val="24"/>
          <w:szCs w:val="24"/>
        </w:rPr>
        <w:t xml:space="preserve">section 4 of PIE. </w:t>
      </w:r>
      <w:r w:rsidR="00017CA5" w:rsidRPr="00C314E3">
        <w:rPr>
          <w:rFonts w:ascii="Arial" w:hAnsi="Arial" w:cs="Arial"/>
          <w:sz w:val="24"/>
          <w:szCs w:val="24"/>
        </w:rPr>
        <w:t xml:space="preserve">This is not a matter </w:t>
      </w:r>
      <w:r w:rsidR="00900271" w:rsidRPr="00C314E3">
        <w:rPr>
          <w:rFonts w:ascii="Arial" w:hAnsi="Arial" w:cs="Arial"/>
          <w:sz w:val="24"/>
          <w:szCs w:val="24"/>
        </w:rPr>
        <w:t xml:space="preserve">involving </w:t>
      </w:r>
      <w:r w:rsidR="00DC7079" w:rsidRPr="00C314E3">
        <w:rPr>
          <w:rFonts w:ascii="Arial" w:hAnsi="Arial" w:cs="Arial"/>
          <w:sz w:val="24"/>
          <w:szCs w:val="24"/>
        </w:rPr>
        <w:t xml:space="preserve">a </w:t>
      </w:r>
      <w:r w:rsidR="00952CBD" w:rsidRPr="00C314E3">
        <w:rPr>
          <w:rFonts w:ascii="Arial" w:hAnsi="Arial" w:cs="Arial"/>
          <w:sz w:val="24"/>
          <w:szCs w:val="24"/>
        </w:rPr>
        <w:t>group</w:t>
      </w:r>
      <w:r w:rsidR="00DC7079" w:rsidRPr="00C314E3">
        <w:rPr>
          <w:rFonts w:ascii="Arial" w:hAnsi="Arial" w:cs="Arial"/>
          <w:sz w:val="24"/>
          <w:szCs w:val="24"/>
        </w:rPr>
        <w:t xml:space="preserve"> of destitute and </w:t>
      </w:r>
      <w:r w:rsidR="002C2B18" w:rsidRPr="00C314E3">
        <w:rPr>
          <w:rFonts w:ascii="Arial" w:hAnsi="Arial" w:cs="Arial"/>
          <w:sz w:val="24"/>
          <w:szCs w:val="24"/>
        </w:rPr>
        <w:t>disempowered respondents, where socio-economic circumstances render them particularly vulnerable</w:t>
      </w:r>
      <w:r w:rsidR="00325F6C" w:rsidRPr="00C314E3">
        <w:rPr>
          <w:rFonts w:ascii="Arial" w:hAnsi="Arial" w:cs="Arial"/>
          <w:sz w:val="24"/>
          <w:szCs w:val="24"/>
        </w:rPr>
        <w:t xml:space="preserve"> to the litigation conducted by the applicants</w:t>
      </w:r>
      <w:r w:rsidR="00311C18" w:rsidRPr="00C314E3">
        <w:rPr>
          <w:rFonts w:ascii="Arial" w:hAnsi="Arial" w:cs="Arial"/>
          <w:sz w:val="24"/>
          <w:szCs w:val="24"/>
        </w:rPr>
        <w:t>. The first respondent is</w:t>
      </w:r>
      <w:r w:rsidR="0091354F" w:rsidRPr="00C314E3">
        <w:rPr>
          <w:rFonts w:ascii="Arial" w:hAnsi="Arial" w:cs="Arial"/>
          <w:sz w:val="24"/>
          <w:szCs w:val="24"/>
        </w:rPr>
        <w:t xml:space="preserve">, by his own account, a businessperson of </w:t>
      </w:r>
      <w:r w:rsidR="00E948C4" w:rsidRPr="00C314E3">
        <w:rPr>
          <w:rFonts w:ascii="Arial" w:hAnsi="Arial" w:cs="Arial"/>
          <w:sz w:val="24"/>
          <w:szCs w:val="24"/>
        </w:rPr>
        <w:t>considerable experience and ability</w:t>
      </w:r>
      <w:r w:rsidR="00F236B7" w:rsidRPr="00C314E3">
        <w:rPr>
          <w:rFonts w:ascii="Arial" w:hAnsi="Arial" w:cs="Arial"/>
          <w:sz w:val="24"/>
          <w:szCs w:val="24"/>
        </w:rPr>
        <w:t>. He is legally represented.</w:t>
      </w:r>
      <w:r w:rsidR="00260D1A" w:rsidRPr="00C314E3">
        <w:rPr>
          <w:rFonts w:ascii="Arial" w:hAnsi="Arial" w:cs="Arial"/>
          <w:sz w:val="24"/>
          <w:szCs w:val="24"/>
        </w:rPr>
        <w:t xml:space="preserve"> </w:t>
      </w:r>
      <w:r w:rsidR="000B6B4D" w:rsidRPr="00C314E3">
        <w:rPr>
          <w:rFonts w:ascii="Arial" w:hAnsi="Arial" w:cs="Arial"/>
          <w:sz w:val="24"/>
          <w:szCs w:val="24"/>
        </w:rPr>
        <w:t xml:space="preserve">Eviction proceedings have been pending since at least </w:t>
      </w:r>
      <w:r w:rsidR="009948FE" w:rsidRPr="00C314E3">
        <w:rPr>
          <w:rFonts w:ascii="Arial" w:hAnsi="Arial" w:cs="Arial"/>
          <w:sz w:val="24"/>
          <w:szCs w:val="24"/>
        </w:rPr>
        <w:t xml:space="preserve">25 March 2019, when Mr Kriel’s attorneys </w:t>
      </w:r>
      <w:r w:rsidR="0032534F" w:rsidRPr="00C314E3">
        <w:rPr>
          <w:rFonts w:ascii="Arial" w:hAnsi="Arial" w:cs="Arial"/>
          <w:sz w:val="24"/>
          <w:szCs w:val="24"/>
        </w:rPr>
        <w:t xml:space="preserve">indicated that their client had cancelled the deed of sale </w:t>
      </w:r>
      <w:r w:rsidR="00B37D64" w:rsidRPr="00C314E3">
        <w:rPr>
          <w:rFonts w:ascii="Arial" w:hAnsi="Arial" w:cs="Arial"/>
          <w:sz w:val="24"/>
          <w:szCs w:val="24"/>
        </w:rPr>
        <w:t xml:space="preserve">and demanded that </w:t>
      </w:r>
      <w:r w:rsidR="0012774A" w:rsidRPr="00C314E3">
        <w:rPr>
          <w:rFonts w:ascii="Arial" w:hAnsi="Arial" w:cs="Arial"/>
          <w:sz w:val="24"/>
          <w:szCs w:val="24"/>
        </w:rPr>
        <w:t xml:space="preserve">the first respondent vacate the property. This was followed shortly afterwards by </w:t>
      </w:r>
      <w:r w:rsidR="00481723" w:rsidRPr="00C314E3">
        <w:rPr>
          <w:rFonts w:ascii="Arial" w:hAnsi="Arial" w:cs="Arial"/>
          <w:sz w:val="24"/>
          <w:szCs w:val="24"/>
        </w:rPr>
        <w:t xml:space="preserve">Mr Kriel’s </w:t>
      </w:r>
      <w:r w:rsidR="0012774A" w:rsidRPr="00C314E3">
        <w:rPr>
          <w:rFonts w:ascii="Arial" w:hAnsi="Arial" w:cs="Arial"/>
          <w:sz w:val="24"/>
          <w:szCs w:val="24"/>
        </w:rPr>
        <w:t xml:space="preserve">action proceedings </w:t>
      </w:r>
      <w:r w:rsidR="00A371E6" w:rsidRPr="00C314E3">
        <w:rPr>
          <w:rFonts w:ascii="Arial" w:hAnsi="Arial" w:cs="Arial"/>
          <w:sz w:val="24"/>
          <w:szCs w:val="24"/>
        </w:rPr>
        <w:t xml:space="preserve">(subsequently abandoned) </w:t>
      </w:r>
      <w:r w:rsidR="0012774A" w:rsidRPr="00C314E3">
        <w:rPr>
          <w:rFonts w:ascii="Arial" w:hAnsi="Arial" w:cs="Arial"/>
          <w:sz w:val="24"/>
          <w:szCs w:val="24"/>
        </w:rPr>
        <w:t xml:space="preserve">for, </w:t>
      </w:r>
      <w:r w:rsidR="0012774A" w:rsidRPr="00C314E3">
        <w:rPr>
          <w:rFonts w:ascii="Arial" w:hAnsi="Arial" w:cs="Arial"/>
          <w:i/>
          <w:iCs/>
          <w:sz w:val="24"/>
          <w:szCs w:val="24"/>
        </w:rPr>
        <w:t>inter alia</w:t>
      </w:r>
      <w:r w:rsidR="0012774A" w:rsidRPr="00C314E3">
        <w:rPr>
          <w:rFonts w:ascii="Arial" w:hAnsi="Arial" w:cs="Arial"/>
          <w:sz w:val="24"/>
          <w:szCs w:val="24"/>
        </w:rPr>
        <w:t xml:space="preserve">, the eviction of the first </w:t>
      </w:r>
      <w:r w:rsidR="00F51FEE" w:rsidRPr="00C314E3">
        <w:rPr>
          <w:rFonts w:ascii="Arial" w:hAnsi="Arial" w:cs="Arial"/>
          <w:sz w:val="24"/>
          <w:szCs w:val="24"/>
        </w:rPr>
        <w:t xml:space="preserve">respondent, which, in turn, was followed by the </w:t>
      </w:r>
      <w:r w:rsidR="00481723" w:rsidRPr="00C314E3">
        <w:rPr>
          <w:rFonts w:ascii="Arial" w:hAnsi="Arial" w:cs="Arial"/>
          <w:sz w:val="24"/>
          <w:szCs w:val="24"/>
        </w:rPr>
        <w:t xml:space="preserve">applicants’ </w:t>
      </w:r>
      <w:r w:rsidR="00F51FEE" w:rsidRPr="00C314E3">
        <w:rPr>
          <w:rFonts w:ascii="Arial" w:hAnsi="Arial" w:cs="Arial"/>
          <w:sz w:val="24"/>
          <w:szCs w:val="24"/>
        </w:rPr>
        <w:t xml:space="preserve">ill-fated </w:t>
      </w:r>
      <w:r w:rsidR="00170B65" w:rsidRPr="00C314E3">
        <w:rPr>
          <w:rFonts w:ascii="Arial" w:hAnsi="Arial" w:cs="Arial"/>
          <w:sz w:val="24"/>
          <w:szCs w:val="24"/>
        </w:rPr>
        <w:t xml:space="preserve">earlier </w:t>
      </w:r>
      <w:r w:rsidR="00F51FEE" w:rsidRPr="00C314E3">
        <w:rPr>
          <w:rFonts w:ascii="Arial" w:hAnsi="Arial" w:cs="Arial"/>
          <w:sz w:val="24"/>
          <w:szCs w:val="24"/>
        </w:rPr>
        <w:t>application proceedings before Hartle J</w:t>
      </w:r>
      <w:r w:rsidR="006A12A7" w:rsidRPr="00C314E3">
        <w:rPr>
          <w:rFonts w:ascii="Arial" w:hAnsi="Arial" w:cs="Arial"/>
          <w:sz w:val="24"/>
          <w:szCs w:val="24"/>
        </w:rPr>
        <w:t xml:space="preserve">. </w:t>
      </w:r>
      <w:r w:rsidR="00ED4DC5" w:rsidRPr="00C314E3">
        <w:rPr>
          <w:rFonts w:ascii="Arial" w:hAnsi="Arial" w:cs="Arial"/>
          <w:sz w:val="24"/>
          <w:szCs w:val="24"/>
        </w:rPr>
        <w:t>For the first respondent t</w:t>
      </w:r>
      <w:r w:rsidR="006A12A7" w:rsidRPr="00C314E3">
        <w:rPr>
          <w:rFonts w:ascii="Arial" w:hAnsi="Arial" w:cs="Arial"/>
          <w:sz w:val="24"/>
          <w:szCs w:val="24"/>
        </w:rPr>
        <w:t xml:space="preserve">o suggest that </w:t>
      </w:r>
      <w:r w:rsidR="00BD4CC6" w:rsidRPr="00C314E3">
        <w:rPr>
          <w:rFonts w:ascii="Arial" w:hAnsi="Arial" w:cs="Arial"/>
          <w:sz w:val="24"/>
          <w:szCs w:val="24"/>
        </w:rPr>
        <w:t xml:space="preserve">he has not been afforded an opportunity to put all relevant circumstances before the court is </w:t>
      </w:r>
      <w:r w:rsidR="00340E36" w:rsidRPr="00C314E3">
        <w:rPr>
          <w:rFonts w:ascii="Arial" w:hAnsi="Arial" w:cs="Arial"/>
          <w:sz w:val="24"/>
          <w:szCs w:val="24"/>
        </w:rPr>
        <w:t xml:space="preserve">simply not correct. No prejudice has been caused by the applicants’ failure to have </w:t>
      </w:r>
      <w:r w:rsidR="001A2D11" w:rsidRPr="00C314E3">
        <w:rPr>
          <w:rFonts w:ascii="Arial" w:hAnsi="Arial" w:cs="Arial"/>
          <w:sz w:val="24"/>
          <w:szCs w:val="24"/>
        </w:rPr>
        <w:t>obtained the court’s directions for the contents and manner of service of the section notice</w:t>
      </w:r>
      <w:r w:rsidR="00185C99" w:rsidRPr="00C314E3">
        <w:rPr>
          <w:rFonts w:ascii="Arial" w:hAnsi="Arial" w:cs="Arial"/>
          <w:sz w:val="24"/>
          <w:szCs w:val="24"/>
        </w:rPr>
        <w:t>.</w:t>
      </w:r>
      <w:r w:rsidR="00851C1E" w:rsidRPr="00C314E3">
        <w:rPr>
          <w:rFonts w:ascii="Arial" w:hAnsi="Arial" w:cs="Arial"/>
          <w:sz w:val="24"/>
          <w:szCs w:val="24"/>
        </w:rPr>
        <w:t xml:space="preserve"> It would serve absolutely no purpose to </w:t>
      </w:r>
      <w:r w:rsidR="003C7DE0" w:rsidRPr="00C314E3">
        <w:rPr>
          <w:rFonts w:ascii="Arial" w:hAnsi="Arial" w:cs="Arial"/>
          <w:sz w:val="24"/>
          <w:szCs w:val="24"/>
        </w:rPr>
        <w:t>issue such directions at this stage</w:t>
      </w:r>
      <w:r w:rsidR="00D35F9F" w:rsidRPr="00C314E3">
        <w:rPr>
          <w:rFonts w:ascii="Arial" w:hAnsi="Arial" w:cs="Arial"/>
          <w:sz w:val="24"/>
          <w:szCs w:val="24"/>
        </w:rPr>
        <w:t>.</w:t>
      </w:r>
    </w:p>
    <w:p w14:paraId="06DB43EE" w14:textId="6ACFD5E9" w:rsidR="00B11B24" w:rsidRPr="00C314E3" w:rsidRDefault="00C314E3" w:rsidP="00C314E3">
      <w:pPr>
        <w:spacing w:line="360" w:lineRule="auto"/>
        <w:jc w:val="both"/>
        <w:rPr>
          <w:rFonts w:ascii="Arial" w:hAnsi="Arial" w:cs="Arial"/>
          <w:sz w:val="24"/>
          <w:szCs w:val="24"/>
        </w:rPr>
      </w:pPr>
      <w:r>
        <w:rPr>
          <w:rFonts w:ascii="Arial" w:hAnsi="Arial" w:cs="Arial"/>
          <w:sz w:val="24"/>
          <w:szCs w:val="24"/>
        </w:rPr>
        <w:t>[70]</w:t>
      </w:r>
      <w:r>
        <w:rPr>
          <w:rFonts w:ascii="Arial" w:hAnsi="Arial" w:cs="Arial"/>
          <w:sz w:val="24"/>
          <w:szCs w:val="24"/>
        </w:rPr>
        <w:tab/>
      </w:r>
      <w:r w:rsidR="003E6373" w:rsidRPr="00C314E3">
        <w:rPr>
          <w:rFonts w:ascii="Arial" w:hAnsi="Arial" w:cs="Arial"/>
          <w:sz w:val="24"/>
          <w:szCs w:val="24"/>
        </w:rPr>
        <w:t>Th</w:t>
      </w:r>
      <w:r w:rsidR="00D35F9F" w:rsidRPr="00C314E3">
        <w:rPr>
          <w:rFonts w:ascii="Arial" w:hAnsi="Arial" w:cs="Arial"/>
          <w:sz w:val="24"/>
          <w:szCs w:val="24"/>
        </w:rPr>
        <w:t>e</w:t>
      </w:r>
      <w:r w:rsidR="003E6373" w:rsidRPr="00C314E3">
        <w:rPr>
          <w:rFonts w:ascii="Arial" w:hAnsi="Arial" w:cs="Arial"/>
          <w:sz w:val="24"/>
          <w:szCs w:val="24"/>
        </w:rPr>
        <w:t xml:space="preserve"> </w:t>
      </w:r>
      <w:r w:rsidR="00C64B3F" w:rsidRPr="00C314E3">
        <w:rPr>
          <w:rFonts w:ascii="Arial" w:hAnsi="Arial" w:cs="Arial"/>
          <w:sz w:val="24"/>
          <w:szCs w:val="24"/>
        </w:rPr>
        <w:t xml:space="preserve">court has already found that the first respondent </w:t>
      </w:r>
      <w:r w:rsidR="00D04E70" w:rsidRPr="00C314E3">
        <w:rPr>
          <w:rFonts w:ascii="Arial" w:hAnsi="Arial" w:cs="Arial"/>
          <w:sz w:val="24"/>
          <w:szCs w:val="24"/>
        </w:rPr>
        <w:t xml:space="preserve">no longer </w:t>
      </w:r>
      <w:r w:rsidR="00F94AE0" w:rsidRPr="00C314E3">
        <w:rPr>
          <w:rFonts w:ascii="Arial" w:hAnsi="Arial" w:cs="Arial"/>
          <w:sz w:val="24"/>
          <w:szCs w:val="24"/>
        </w:rPr>
        <w:t xml:space="preserve">has </w:t>
      </w:r>
      <w:r w:rsidR="00D04E70" w:rsidRPr="00C314E3">
        <w:rPr>
          <w:rFonts w:ascii="Arial" w:hAnsi="Arial" w:cs="Arial"/>
          <w:sz w:val="24"/>
          <w:szCs w:val="24"/>
        </w:rPr>
        <w:t>any right</w:t>
      </w:r>
      <w:r w:rsidR="00F94AE0" w:rsidRPr="00C314E3">
        <w:rPr>
          <w:rFonts w:ascii="Arial" w:hAnsi="Arial" w:cs="Arial"/>
          <w:sz w:val="24"/>
          <w:szCs w:val="24"/>
        </w:rPr>
        <w:t xml:space="preserve"> to occupy the property.</w:t>
      </w:r>
      <w:r w:rsidR="003E7342" w:rsidRPr="00C314E3">
        <w:rPr>
          <w:rFonts w:ascii="Arial" w:hAnsi="Arial" w:cs="Arial"/>
          <w:sz w:val="24"/>
          <w:szCs w:val="24"/>
        </w:rPr>
        <w:t xml:space="preserve"> He </w:t>
      </w:r>
      <w:r w:rsidR="005E062C" w:rsidRPr="00C314E3">
        <w:rPr>
          <w:rFonts w:ascii="Arial" w:hAnsi="Arial" w:cs="Arial"/>
          <w:sz w:val="24"/>
          <w:szCs w:val="24"/>
        </w:rPr>
        <w:t>has enjoy</w:t>
      </w:r>
      <w:r w:rsidR="0068213A" w:rsidRPr="00C314E3">
        <w:rPr>
          <w:rFonts w:ascii="Arial" w:hAnsi="Arial" w:cs="Arial"/>
          <w:sz w:val="24"/>
          <w:szCs w:val="24"/>
        </w:rPr>
        <w:t>ed</w:t>
      </w:r>
      <w:r w:rsidR="005E062C" w:rsidRPr="00C314E3">
        <w:rPr>
          <w:rFonts w:ascii="Arial" w:hAnsi="Arial" w:cs="Arial"/>
          <w:sz w:val="24"/>
          <w:szCs w:val="24"/>
        </w:rPr>
        <w:t xml:space="preserve"> the </w:t>
      </w:r>
      <w:r w:rsidR="007E4221" w:rsidRPr="00C314E3">
        <w:rPr>
          <w:rFonts w:ascii="Arial" w:hAnsi="Arial" w:cs="Arial"/>
          <w:sz w:val="24"/>
          <w:szCs w:val="24"/>
        </w:rPr>
        <w:t xml:space="preserve">continuous </w:t>
      </w:r>
      <w:r w:rsidR="002F7696" w:rsidRPr="00C314E3">
        <w:rPr>
          <w:rFonts w:ascii="Arial" w:hAnsi="Arial" w:cs="Arial"/>
          <w:sz w:val="24"/>
          <w:szCs w:val="24"/>
        </w:rPr>
        <w:t xml:space="preserve">use </w:t>
      </w:r>
      <w:r w:rsidR="004128F6" w:rsidRPr="00C314E3">
        <w:rPr>
          <w:rFonts w:ascii="Arial" w:hAnsi="Arial" w:cs="Arial"/>
          <w:sz w:val="24"/>
          <w:szCs w:val="24"/>
        </w:rPr>
        <w:t>there</w:t>
      </w:r>
      <w:r w:rsidR="002F7696" w:rsidRPr="00C314E3">
        <w:rPr>
          <w:rFonts w:ascii="Arial" w:hAnsi="Arial" w:cs="Arial"/>
          <w:sz w:val="24"/>
          <w:szCs w:val="24"/>
        </w:rPr>
        <w:t>of without payment of rental, rates</w:t>
      </w:r>
      <w:r w:rsidR="00AA5740" w:rsidRPr="00C314E3">
        <w:rPr>
          <w:rFonts w:ascii="Arial" w:hAnsi="Arial" w:cs="Arial"/>
          <w:sz w:val="24"/>
          <w:szCs w:val="24"/>
        </w:rPr>
        <w:t>,</w:t>
      </w:r>
      <w:r w:rsidR="002F7696" w:rsidRPr="00C314E3">
        <w:rPr>
          <w:rFonts w:ascii="Arial" w:hAnsi="Arial" w:cs="Arial"/>
          <w:sz w:val="24"/>
          <w:szCs w:val="24"/>
        </w:rPr>
        <w:t xml:space="preserve"> </w:t>
      </w:r>
      <w:r w:rsidR="00AA5740" w:rsidRPr="00C314E3">
        <w:rPr>
          <w:rFonts w:ascii="Arial" w:hAnsi="Arial" w:cs="Arial"/>
          <w:sz w:val="24"/>
          <w:szCs w:val="24"/>
        </w:rPr>
        <w:t>or service charge</w:t>
      </w:r>
      <w:r w:rsidR="003E7342" w:rsidRPr="00C314E3">
        <w:rPr>
          <w:rFonts w:ascii="Arial" w:hAnsi="Arial" w:cs="Arial"/>
          <w:sz w:val="24"/>
          <w:szCs w:val="24"/>
        </w:rPr>
        <w:t>s, n</w:t>
      </w:r>
      <w:r w:rsidR="00774912" w:rsidRPr="00C314E3">
        <w:rPr>
          <w:rFonts w:ascii="Arial" w:hAnsi="Arial" w:cs="Arial"/>
          <w:sz w:val="24"/>
          <w:szCs w:val="24"/>
        </w:rPr>
        <w:t>otwithstanding the prescription of Mr Kriel’s obligation to repay the loan</w:t>
      </w:r>
      <w:r w:rsidR="00AA5740" w:rsidRPr="00C314E3">
        <w:rPr>
          <w:rFonts w:ascii="Arial" w:hAnsi="Arial" w:cs="Arial"/>
          <w:sz w:val="24"/>
          <w:szCs w:val="24"/>
        </w:rPr>
        <w:t xml:space="preserve">. </w:t>
      </w:r>
      <w:r w:rsidR="00B7470B" w:rsidRPr="00C314E3">
        <w:rPr>
          <w:rFonts w:ascii="Arial" w:hAnsi="Arial" w:cs="Arial"/>
          <w:sz w:val="24"/>
          <w:szCs w:val="24"/>
        </w:rPr>
        <w:t xml:space="preserve">This remained the position </w:t>
      </w:r>
      <w:r w:rsidR="00F9639C" w:rsidRPr="00C314E3">
        <w:rPr>
          <w:rFonts w:ascii="Arial" w:hAnsi="Arial" w:cs="Arial"/>
          <w:sz w:val="24"/>
          <w:szCs w:val="24"/>
        </w:rPr>
        <w:t>after</w:t>
      </w:r>
      <w:r w:rsidR="00B7470B" w:rsidRPr="00C314E3">
        <w:rPr>
          <w:rFonts w:ascii="Arial" w:hAnsi="Arial" w:cs="Arial"/>
          <w:sz w:val="24"/>
          <w:szCs w:val="24"/>
        </w:rPr>
        <w:t xml:space="preserve"> the registration of transfer on 28 July 2021</w:t>
      </w:r>
      <w:r w:rsidR="00DE24DF" w:rsidRPr="00C314E3">
        <w:rPr>
          <w:rFonts w:ascii="Arial" w:hAnsi="Arial" w:cs="Arial"/>
          <w:sz w:val="24"/>
          <w:szCs w:val="24"/>
        </w:rPr>
        <w:t xml:space="preserve">, almost two years ago. The applicants, in contrast, have been compelled to secure rented accommodation </w:t>
      </w:r>
      <w:r w:rsidR="00F9639C" w:rsidRPr="00C314E3">
        <w:rPr>
          <w:rFonts w:ascii="Arial" w:hAnsi="Arial" w:cs="Arial"/>
          <w:sz w:val="24"/>
          <w:szCs w:val="24"/>
        </w:rPr>
        <w:t xml:space="preserve">and </w:t>
      </w:r>
      <w:r w:rsidR="00E75F7A" w:rsidRPr="00C314E3">
        <w:rPr>
          <w:rFonts w:ascii="Arial" w:hAnsi="Arial" w:cs="Arial"/>
          <w:sz w:val="24"/>
          <w:szCs w:val="24"/>
        </w:rPr>
        <w:t>the storage of household effects</w:t>
      </w:r>
      <w:r w:rsidR="002D6165" w:rsidRPr="00C314E3">
        <w:rPr>
          <w:rFonts w:ascii="Arial" w:hAnsi="Arial" w:cs="Arial"/>
          <w:sz w:val="24"/>
          <w:szCs w:val="24"/>
        </w:rPr>
        <w:t xml:space="preserve"> </w:t>
      </w:r>
      <w:r w:rsidR="00E75F7A" w:rsidRPr="00C314E3">
        <w:rPr>
          <w:rFonts w:ascii="Arial" w:hAnsi="Arial" w:cs="Arial"/>
          <w:sz w:val="24"/>
          <w:szCs w:val="24"/>
        </w:rPr>
        <w:t xml:space="preserve">at considerable cost. </w:t>
      </w:r>
      <w:r w:rsidR="00DA487C" w:rsidRPr="00C314E3">
        <w:rPr>
          <w:rFonts w:ascii="Arial" w:hAnsi="Arial" w:cs="Arial"/>
          <w:sz w:val="24"/>
          <w:szCs w:val="24"/>
        </w:rPr>
        <w:t>The</w:t>
      </w:r>
      <w:r w:rsidR="001C15CD" w:rsidRPr="00C314E3">
        <w:rPr>
          <w:rFonts w:ascii="Arial" w:hAnsi="Arial" w:cs="Arial"/>
          <w:sz w:val="24"/>
          <w:szCs w:val="24"/>
        </w:rPr>
        <w:t>y have lived in a state of limbo</w:t>
      </w:r>
      <w:r w:rsidR="00DA487C" w:rsidRPr="00C314E3">
        <w:rPr>
          <w:rFonts w:ascii="Arial" w:hAnsi="Arial" w:cs="Arial"/>
          <w:sz w:val="24"/>
          <w:szCs w:val="24"/>
        </w:rPr>
        <w:t xml:space="preserve"> </w:t>
      </w:r>
      <w:r w:rsidR="001B2E82" w:rsidRPr="00C314E3">
        <w:rPr>
          <w:rFonts w:ascii="Arial" w:hAnsi="Arial" w:cs="Arial"/>
          <w:sz w:val="24"/>
          <w:szCs w:val="24"/>
        </w:rPr>
        <w:t>and uncer</w:t>
      </w:r>
      <w:r w:rsidR="00237D16" w:rsidRPr="00C314E3">
        <w:rPr>
          <w:rFonts w:ascii="Arial" w:hAnsi="Arial" w:cs="Arial"/>
          <w:sz w:val="24"/>
          <w:szCs w:val="24"/>
        </w:rPr>
        <w:t xml:space="preserve">tainty. The </w:t>
      </w:r>
      <w:r w:rsidR="00E75F7A" w:rsidRPr="00C314E3">
        <w:rPr>
          <w:rFonts w:ascii="Arial" w:hAnsi="Arial" w:cs="Arial"/>
          <w:sz w:val="24"/>
          <w:szCs w:val="24"/>
        </w:rPr>
        <w:t xml:space="preserve">emotional toll that this has </w:t>
      </w:r>
      <w:r w:rsidR="00E64731" w:rsidRPr="00C314E3">
        <w:rPr>
          <w:rFonts w:ascii="Arial" w:hAnsi="Arial" w:cs="Arial"/>
          <w:sz w:val="24"/>
          <w:szCs w:val="24"/>
        </w:rPr>
        <w:t>had</w:t>
      </w:r>
      <w:r w:rsidR="00E75F7A" w:rsidRPr="00C314E3">
        <w:rPr>
          <w:rFonts w:ascii="Arial" w:hAnsi="Arial" w:cs="Arial"/>
          <w:sz w:val="24"/>
          <w:szCs w:val="24"/>
        </w:rPr>
        <w:t xml:space="preserve"> on them, </w:t>
      </w:r>
      <w:r w:rsidR="00E75F7A" w:rsidRPr="00C314E3">
        <w:rPr>
          <w:rFonts w:ascii="Arial" w:hAnsi="Arial" w:cs="Arial"/>
          <w:sz w:val="24"/>
          <w:szCs w:val="24"/>
        </w:rPr>
        <w:lastRenderedPageBreak/>
        <w:t xml:space="preserve">as well as their children, </w:t>
      </w:r>
      <w:r w:rsidR="00237D16" w:rsidRPr="00C314E3">
        <w:rPr>
          <w:rFonts w:ascii="Arial" w:hAnsi="Arial" w:cs="Arial"/>
          <w:sz w:val="24"/>
          <w:szCs w:val="24"/>
        </w:rPr>
        <w:t xml:space="preserve">has never been </w:t>
      </w:r>
      <w:r w:rsidR="008C4C5F" w:rsidRPr="00C314E3">
        <w:rPr>
          <w:rFonts w:ascii="Arial" w:hAnsi="Arial" w:cs="Arial"/>
          <w:sz w:val="24"/>
          <w:szCs w:val="24"/>
        </w:rPr>
        <w:t>ref</w:t>
      </w:r>
      <w:r w:rsidR="00036DFC" w:rsidRPr="00C314E3">
        <w:rPr>
          <w:rFonts w:ascii="Arial" w:hAnsi="Arial" w:cs="Arial"/>
          <w:sz w:val="24"/>
          <w:szCs w:val="24"/>
        </w:rPr>
        <w:t xml:space="preserve">uted. </w:t>
      </w:r>
      <w:r w:rsidR="00DA487C" w:rsidRPr="00C314E3">
        <w:rPr>
          <w:rFonts w:ascii="Arial" w:hAnsi="Arial" w:cs="Arial"/>
          <w:sz w:val="24"/>
          <w:szCs w:val="24"/>
        </w:rPr>
        <w:t>The second applicant has</w:t>
      </w:r>
      <w:r w:rsidR="00036DFC" w:rsidRPr="00C314E3">
        <w:rPr>
          <w:rFonts w:ascii="Arial" w:hAnsi="Arial" w:cs="Arial"/>
          <w:sz w:val="24"/>
          <w:szCs w:val="24"/>
        </w:rPr>
        <w:t>, moreover,</w:t>
      </w:r>
      <w:r w:rsidR="00DA487C" w:rsidRPr="00C314E3">
        <w:rPr>
          <w:rFonts w:ascii="Arial" w:hAnsi="Arial" w:cs="Arial"/>
          <w:sz w:val="24"/>
          <w:szCs w:val="24"/>
        </w:rPr>
        <w:t xml:space="preserve"> been unable to operate her legal practice properly.</w:t>
      </w:r>
      <w:r w:rsidR="003A03BC" w:rsidRPr="00C314E3">
        <w:rPr>
          <w:rFonts w:ascii="Arial" w:hAnsi="Arial" w:cs="Arial"/>
          <w:sz w:val="24"/>
          <w:szCs w:val="24"/>
        </w:rPr>
        <w:t xml:space="preserve"> </w:t>
      </w:r>
    </w:p>
    <w:p w14:paraId="24C9B490" w14:textId="77777777" w:rsidR="00B11B24" w:rsidRDefault="00B11B24" w:rsidP="00E77158">
      <w:pPr>
        <w:pStyle w:val="ListParagraph"/>
        <w:spacing w:line="360" w:lineRule="auto"/>
        <w:ind w:left="0"/>
        <w:jc w:val="both"/>
        <w:rPr>
          <w:rFonts w:ascii="Arial" w:hAnsi="Arial" w:cs="Arial"/>
          <w:sz w:val="24"/>
          <w:szCs w:val="24"/>
        </w:rPr>
      </w:pPr>
    </w:p>
    <w:p w14:paraId="6920CD81" w14:textId="7DE508C4" w:rsidR="005840D8" w:rsidRPr="00C314E3" w:rsidRDefault="00C314E3" w:rsidP="00C314E3">
      <w:pPr>
        <w:spacing w:line="360" w:lineRule="auto"/>
        <w:jc w:val="both"/>
        <w:rPr>
          <w:rFonts w:ascii="Arial" w:hAnsi="Arial" w:cs="Arial"/>
          <w:sz w:val="24"/>
          <w:szCs w:val="24"/>
        </w:rPr>
      </w:pPr>
      <w:r w:rsidRPr="00B11B24">
        <w:rPr>
          <w:rFonts w:ascii="Arial" w:hAnsi="Arial" w:cs="Arial"/>
          <w:sz w:val="24"/>
          <w:szCs w:val="24"/>
        </w:rPr>
        <w:t>[71]</w:t>
      </w:r>
      <w:r w:rsidRPr="00B11B24">
        <w:rPr>
          <w:rFonts w:ascii="Arial" w:hAnsi="Arial" w:cs="Arial"/>
          <w:sz w:val="24"/>
          <w:szCs w:val="24"/>
        </w:rPr>
        <w:tab/>
      </w:r>
      <w:r w:rsidR="000205A9" w:rsidRPr="00C314E3">
        <w:rPr>
          <w:rFonts w:ascii="Arial" w:hAnsi="Arial" w:cs="Arial"/>
          <w:sz w:val="24"/>
          <w:szCs w:val="24"/>
        </w:rPr>
        <w:t>T</w:t>
      </w:r>
      <w:r w:rsidR="003A03BC" w:rsidRPr="00C314E3">
        <w:rPr>
          <w:rFonts w:ascii="Arial" w:hAnsi="Arial" w:cs="Arial"/>
          <w:sz w:val="24"/>
          <w:szCs w:val="24"/>
        </w:rPr>
        <w:t xml:space="preserve">he papers intimate that the second </w:t>
      </w:r>
      <w:r w:rsidR="00795569" w:rsidRPr="00C314E3">
        <w:rPr>
          <w:rFonts w:ascii="Arial" w:hAnsi="Arial" w:cs="Arial"/>
          <w:sz w:val="24"/>
          <w:szCs w:val="24"/>
        </w:rPr>
        <w:t xml:space="preserve">applicant </w:t>
      </w:r>
      <w:r w:rsidR="00555F14" w:rsidRPr="00C314E3">
        <w:rPr>
          <w:rFonts w:ascii="Arial" w:hAnsi="Arial" w:cs="Arial"/>
          <w:sz w:val="24"/>
          <w:szCs w:val="24"/>
        </w:rPr>
        <w:t xml:space="preserve">appears to have been </w:t>
      </w:r>
      <w:r w:rsidR="00795569" w:rsidRPr="00C314E3">
        <w:rPr>
          <w:rFonts w:ascii="Arial" w:hAnsi="Arial" w:cs="Arial"/>
          <w:sz w:val="24"/>
          <w:szCs w:val="24"/>
        </w:rPr>
        <w:t xml:space="preserve">involved in the </w:t>
      </w:r>
      <w:r w:rsidR="008A298B" w:rsidRPr="00C314E3">
        <w:rPr>
          <w:rFonts w:ascii="Arial" w:hAnsi="Arial" w:cs="Arial"/>
          <w:sz w:val="24"/>
          <w:szCs w:val="24"/>
        </w:rPr>
        <w:t>conclusion of the original business arrangement between the first respondent and Mr Kriel</w:t>
      </w:r>
      <w:r w:rsidR="000205A9" w:rsidRPr="00C314E3">
        <w:rPr>
          <w:rFonts w:ascii="Arial" w:hAnsi="Arial" w:cs="Arial"/>
          <w:sz w:val="24"/>
          <w:szCs w:val="24"/>
        </w:rPr>
        <w:t>. The</w:t>
      </w:r>
      <w:r w:rsidR="00631C4F" w:rsidRPr="00C314E3">
        <w:rPr>
          <w:rFonts w:ascii="Arial" w:hAnsi="Arial" w:cs="Arial"/>
          <w:sz w:val="24"/>
          <w:szCs w:val="24"/>
        </w:rPr>
        <w:t xml:space="preserve"> papers</w:t>
      </w:r>
      <w:r w:rsidR="000205A9" w:rsidRPr="00C314E3">
        <w:rPr>
          <w:rFonts w:ascii="Arial" w:hAnsi="Arial" w:cs="Arial"/>
          <w:sz w:val="24"/>
          <w:szCs w:val="24"/>
        </w:rPr>
        <w:t xml:space="preserve"> also suggest</w:t>
      </w:r>
      <w:r w:rsidR="00816768" w:rsidRPr="00C314E3">
        <w:rPr>
          <w:rFonts w:ascii="Arial" w:hAnsi="Arial" w:cs="Arial"/>
          <w:sz w:val="24"/>
          <w:szCs w:val="24"/>
        </w:rPr>
        <w:t xml:space="preserve"> that </w:t>
      </w:r>
      <w:r w:rsidR="007A0C0D" w:rsidRPr="00C314E3">
        <w:rPr>
          <w:rFonts w:ascii="Arial" w:hAnsi="Arial" w:cs="Arial"/>
          <w:sz w:val="24"/>
          <w:szCs w:val="24"/>
        </w:rPr>
        <w:t>both applicants</w:t>
      </w:r>
      <w:r w:rsidR="00816768" w:rsidRPr="00C314E3">
        <w:rPr>
          <w:rFonts w:ascii="Arial" w:hAnsi="Arial" w:cs="Arial"/>
          <w:sz w:val="24"/>
          <w:szCs w:val="24"/>
        </w:rPr>
        <w:t xml:space="preserve"> were aware of the </w:t>
      </w:r>
      <w:r w:rsidR="008C4C5F" w:rsidRPr="00C314E3">
        <w:rPr>
          <w:rFonts w:ascii="Arial" w:hAnsi="Arial" w:cs="Arial"/>
          <w:sz w:val="24"/>
          <w:szCs w:val="24"/>
        </w:rPr>
        <w:t>dispute</w:t>
      </w:r>
      <w:r w:rsidR="00EF2269" w:rsidRPr="00C314E3">
        <w:rPr>
          <w:rFonts w:ascii="Arial" w:hAnsi="Arial" w:cs="Arial"/>
          <w:sz w:val="24"/>
          <w:szCs w:val="24"/>
        </w:rPr>
        <w:t xml:space="preserve"> between the two businesspeople </w:t>
      </w:r>
      <w:r w:rsidR="003E3C42" w:rsidRPr="00C314E3">
        <w:rPr>
          <w:rFonts w:ascii="Arial" w:hAnsi="Arial" w:cs="Arial"/>
          <w:sz w:val="24"/>
          <w:szCs w:val="24"/>
        </w:rPr>
        <w:t xml:space="preserve">and the potential risks involved at the time of the purchase of the property. </w:t>
      </w:r>
      <w:r w:rsidR="000249D1" w:rsidRPr="00C314E3">
        <w:rPr>
          <w:rFonts w:ascii="Arial" w:hAnsi="Arial" w:cs="Arial"/>
          <w:sz w:val="24"/>
          <w:szCs w:val="24"/>
        </w:rPr>
        <w:t>The overall impression</w:t>
      </w:r>
      <w:r w:rsidR="005177C3" w:rsidRPr="00C314E3">
        <w:rPr>
          <w:rFonts w:ascii="Arial" w:hAnsi="Arial" w:cs="Arial"/>
          <w:sz w:val="24"/>
          <w:szCs w:val="24"/>
        </w:rPr>
        <w:t xml:space="preserve">, </w:t>
      </w:r>
      <w:r w:rsidR="001162DA" w:rsidRPr="00C314E3">
        <w:rPr>
          <w:rFonts w:ascii="Arial" w:hAnsi="Arial" w:cs="Arial"/>
          <w:sz w:val="24"/>
          <w:szCs w:val="24"/>
        </w:rPr>
        <w:t>however</w:t>
      </w:r>
      <w:r w:rsidR="000249D1" w:rsidRPr="00C314E3">
        <w:rPr>
          <w:rFonts w:ascii="Arial" w:hAnsi="Arial" w:cs="Arial"/>
          <w:sz w:val="24"/>
          <w:szCs w:val="24"/>
        </w:rPr>
        <w:t>,</w:t>
      </w:r>
      <w:r w:rsidR="005177C3" w:rsidRPr="00C314E3">
        <w:rPr>
          <w:rFonts w:ascii="Arial" w:hAnsi="Arial" w:cs="Arial"/>
          <w:sz w:val="24"/>
          <w:szCs w:val="24"/>
        </w:rPr>
        <w:t xml:space="preserve"> is that the </w:t>
      </w:r>
      <w:r w:rsidR="007A0C0D" w:rsidRPr="00C314E3">
        <w:rPr>
          <w:rFonts w:ascii="Arial" w:hAnsi="Arial" w:cs="Arial"/>
          <w:sz w:val="24"/>
          <w:szCs w:val="24"/>
        </w:rPr>
        <w:t xml:space="preserve">conduct of the </w:t>
      </w:r>
      <w:r w:rsidR="005177C3" w:rsidRPr="00C314E3">
        <w:rPr>
          <w:rFonts w:ascii="Arial" w:hAnsi="Arial" w:cs="Arial"/>
          <w:sz w:val="24"/>
          <w:szCs w:val="24"/>
        </w:rPr>
        <w:t xml:space="preserve">first respondent </w:t>
      </w:r>
      <w:r w:rsidR="00AA275B" w:rsidRPr="00C314E3">
        <w:rPr>
          <w:rFonts w:ascii="Arial" w:hAnsi="Arial" w:cs="Arial"/>
          <w:sz w:val="24"/>
          <w:szCs w:val="24"/>
        </w:rPr>
        <w:t xml:space="preserve">has been far from reasonable and </w:t>
      </w:r>
      <w:r w:rsidR="00B90FDF" w:rsidRPr="00C314E3">
        <w:rPr>
          <w:rFonts w:ascii="Arial" w:hAnsi="Arial" w:cs="Arial"/>
          <w:sz w:val="24"/>
          <w:szCs w:val="24"/>
        </w:rPr>
        <w:t xml:space="preserve">cannot escape </w:t>
      </w:r>
      <w:r w:rsidR="0085063B" w:rsidRPr="00C314E3">
        <w:rPr>
          <w:rFonts w:ascii="Arial" w:hAnsi="Arial" w:cs="Arial"/>
          <w:sz w:val="24"/>
          <w:szCs w:val="24"/>
        </w:rPr>
        <w:t>criticis</w:t>
      </w:r>
      <w:r w:rsidR="00B90FDF" w:rsidRPr="00C314E3">
        <w:rPr>
          <w:rFonts w:ascii="Arial" w:hAnsi="Arial" w:cs="Arial"/>
          <w:sz w:val="24"/>
          <w:szCs w:val="24"/>
        </w:rPr>
        <w:t>m</w:t>
      </w:r>
      <w:r w:rsidR="0085063B" w:rsidRPr="00C314E3">
        <w:rPr>
          <w:rFonts w:ascii="Arial" w:hAnsi="Arial" w:cs="Arial"/>
          <w:sz w:val="24"/>
          <w:szCs w:val="24"/>
        </w:rPr>
        <w:t xml:space="preserve">. </w:t>
      </w:r>
      <w:r w:rsidR="00B82CBF" w:rsidRPr="00C314E3">
        <w:rPr>
          <w:rFonts w:ascii="Arial" w:hAnsi="Arial" w:cs="Arial"/>
          <w:sz w:val="24"/>
          <w:szCs w:val="24"/>
        </w:rPr>
        <w:t xml:space="preserve">He has </w:t>
      </w:r>
      <w:r w:rsidR="00792555" w:rsidRPr="00C314E3">
        <w:rPr>
          <w:rFonts w:ascii="Arial" w:hAnsi="Arial" w:cs="Arial"/>
          <w:sz w:val="24"/>
          <w:szCs w:val="24"/>
        </w:rPr>
        <w:t>allowed the property to fall into a state of neglect and disrepair</w:t>
      </w:r>
      <w:r w:rsidR="00B91D0F" w:rsidRPr="00C314E3">
        <w:rPr>
          <w:rFonts w:ascii="Arial" w:hAnsi="Arial" w:cs="Arial"/>
          <w:sz w:val="24"/>
          <w:szCs w:val="24"/>
        </w:rPr>
        <w:t>,</w:t>
      </w:r>
      <w:r w:rsidR="00792555" w:rsidRPr="00C314E3">
        <w:rPr>
          <w:rFonts w:ascii="Arial" w:hAnsi="Arial" w:cs="Arial"/>
          <w:sz w:val="24"/>
          <w:szCs w:val="24"/>
        </w:rPr>
        <w:t xml:space="preserve"> </w:t>
      </w:r>
      <w:r w:rsidR="00AE0401" w:rsidRPr="00C314E3">
        <w:rPr>
          <w:rFonts w:ascii="Arial" w:hAnsi="Arial" w:cs="Arial"/>
          <w:sz w:val="24"/>
          <w:szCs w:val="24"/>
        </w:rPr>
        <w:t>obstinate</w:t>
      </w:r>
      <w:r w:rsidR="00792555" w:rsidRPr="00C314E3">
        <w:rPr>
          <w:rFonts w:ascii="Arial" w:hAnsi="Arial" w:cs="Arial"/>
          <w:sz w:val="24"/>
          <w:szCs w:val="24"/>
        </w:rPr>
        <w:t xml:space="preserve">ly refused </w:t>
      </w:r>
      <w:r w:rsidR="00B91D0F" w:rsidRPr="00C314E3">
        <w:rPr>
          <w:rFonts w:ascii="Arial" w:hAnsi="Arial" w:cs="Arial"/>
          <w:sz w:val="24"/>
          <w:szCs w:val="24"/>
        </w:rPr>
        <w:t>access</w:t>
      </w:r>
      <w:r w:rsidR="008827C7" w:rsidRPr="00C314E3">
        <w:rPr>
          <w:rFonts w:ascii="Arial" w:hAnsi="Arial" w:cs="Arial"/>
          <w:sz w:val="24"/>
          <w:szCs w:val="24"/>
        </w:rPr>
        <w:t>, and re</w:t>
      </w:r>
      <w:r w:rsidR="009A51C1" w:rsidRPr="00C314E3">
        <w:rPr>
          <w:rFonts w:ascii="Arial" w:hAnsi="Arial" w:cs="Arial"/>
          <w:sz w:val="24"/>
          <w:szCs w:val="24"/>
        </w:rPr>
        <w:t xml:space="preserve">ndered very little cooperation </w:t>
      </w:r>
      <w:r w:rsidR="00C0163C" w:rsidRPr="00C314E3">
        <w:rPr>
          <w:rFonts w:ascii="Arial" w:hAnsi="Arial" w:cs="Arial"/>
          <w:sz w:val="24"/>
          <w:szCs w:val="24"/>
        </w:rPr>
        <w:t>in attending to as</w:t>
      </w:r>
      <w:r w:rsidR="001E4647" w:rsidRPr="00C314E3">
        <w:rPr>
          <w:rFonts w:ascii="Arial" w:hAnsi="Arial" w:cs="Arial"/>
          <w:sz w:val="24"/>
          <w:szCs w:val="24"/>
        </w:rPr>
        <w:t xml:space="preserve"> </w:t>
      </w:r>
      <w:r w:rsidR="00AE0401" w:rsidRPr="00C314E3">
        <w:rPr>
          <w:rFonts w:ascii="Arial" w:hAnsi="Arial" w:cs="Arial"/>
          <w:sz w:val="24"/>
          <w:szCs w:val="24"/>
        </w:rPr>
        <w:t>minor</w:t>
      </w:r>
      <w:r w:rsidR="00C0163C" w:rsidRPr="00C314E3">
        <w:rPr>
          <w:rFonts w:ascii="Arial" w:hAnsi="Arial" w:cs="Arial"/>
          <w:sz w:val="24"/>
          <w:szCs w:val="24"/>
        </w:rPr>
        <w:t xml:space="preserve"> a problem as a water </w:t>
      </w:r>
      <w:r w:rsidR="003B01E2" w:rsidRPr="00C314E3">
        <w:rPr>
          <w:rFonts w:ascii="Arial" w:hAnsi="Arial" w:cs="Arial"/>
          <w:sz w:val="24"/>
          <w:szCs w:val="24"/>
        </w:rPr>
        <w:t xml:space="preserve">leak. Moreover, </w:t>
      </w:r>
      <w:r w:rsidR="002F7D3B" w:rsidRPr="00C314E3">
        <w:rPr>
          <w:rFonts w:ascii="Arial" w:hAnsi="Arial" w:cs="Arial"/>
          <w:sz w:val="24"/>
          <w:szCs w:val="24"/>
        </w:rPr>
        <w:t xml:space="preserve">the </w:t>
      </w:r>
      <w:r w:rsidR="00553F4B" w:rsidRPr="00C314E3">
        <w:rPr>
          <w:rFonts w:ascii="Arial" w:hAnsi="Arial" w:cs="Arial"/>
          <w:sz w:val="24"/>
          <w:szCs w:val="24"/>
        </w:rPr>
        <w:t>charging of a</w:t>
      </w:r>
      <w:r w:rsidR="00485D7A" w:rsidRPr="00C314E3">
        <w:rPr>
          <w:rFonts w:ascii="Arial" w:hAnsi="Arial" w:cs="Arial"/>
          <w:sz w:val="24"/>
          <w:szCs w:val="24"/>
        </w:rPr>
        <w:t xml:space="preserve">n ‘inspection </w:t>
      </w:r>
      <w:r w:rsidR="00485D7A" w:rsidRPr="00C314E3">
        <w:rPr>
          <w:rFonts w:ascii="Arial" w:hAnsi="Arial" w:cs="Arial"/>
          <w:i/>
          <w:iCs/>
          <w:sz w:val="24"/>
          <w:szCs w:val="24"/>
        </w:rPr>
        <w:t>in loco</w:t>
      </w:r>
      <w:r w:rsidR="00485D7A" w:rsidRPr="00C314E3">
        <w:rPr>
          <w:rFonts w:ascii="Arial" w:hAnsi="Arial" w:cs="Arial"/>
          <w:sz w:val="24"/>
          <w:szCs w:val="24"/>
        </w:rPr>
        <w:t>’</w:t>
      </w:r>
      <w:r w:rsidR="00553F4B" w:rsidRPr="00C314E3">
        <w:rPr>
          <w:rFonts w:ascii="Arial" w:hAnsi="Arial" w:cs="Arial"/>
          <w:sz w:val="24"/>
          <w:szCs w:val="24"/>
        </w:rPr>
        <w:t xml:space="preserve"> fee </w:t>
      </w:r>
      <w:r w:rsidR="00E37D63" w:rsidRPr="00C314E3">
        <w:rPr>
          <w:rFonts w:ascii="Arial" w:hAnsi="Arial" w:cs="Arial"/>
          <w:sz w:val="24"/>
          <w:szCs w:val="24"/>
        </w:rPr>
        <w:t xml:space="preserve">to the first applicant for limited access </w:t>
      </w:r>
      <w:r w:rsidR="001F0025" w:rsidRPr="00C314E3">
        <w:rPr>
          <w:rFonts w:ascii="Arial" w:hAnsi="Arial" w:cs="Arial"/>
          <w:sz w:val="24"/>
          <w:szCs w:val="24"/>
        </w:rPr>
        <w:t xml:space="preserve">to his own property </w:t>
      </w:r>
      <w:r w:rsidR="00E37D63" w:rsidRPr="00C314E3">
        <w:rPr>
          <w:rFonts w:ascii="Arial" w:hAnsi="Arial" w:cs="Arial"/>
          <w:sz w:val="24"/>
          <w:szCs w:val="24"/>
        </w:rPr>
        <w:t>on 4 April 2022</w:t>
      </w:r>
      <w:r w:rsidR="001033BD" w:rsidRPr="00C314E3">
        <w:rPr>
          <w:rFonts w:ascii="Arial" w:hAnsi="Arial" w:cs="Arial"/>
          <w:sz w:val="24"/>
          <w:szCs w:val="24"/>
        </w:rPr>
        <w:t xml:space="preserve">, </w:t>
      </w:r>
      <w:r w:rsidR="00A6466B" w:rsidRPr="00C314E3">
        <w:rPr>
          <w:rFonts w:ascii="Arial" w:hAnsi="Arial" w:cs="Arial"/>
          <w:sz w:val="24"/>
          <w:szCs w:val="24"/>
        </w:rPr>
        <w:t xml:space="preserve">smacks of </w:t>
      </w:r>
      <w:r w:rsidR="00F32CAF" w:rsidRPr="00C314E3">
        <w:rPr>
          <w:rFonts w:ascii="Arial" w:hAnsi="Arial" w:cs="Arial"/>
          <w:sz w:val="24"/>
          <w:szCs w:val="24"/>
        </w:rPr>
        <w:t>nothing less than cynic</w:t>
      </w:r>
      <w:r w:rsidR="00D35315" w:rsidRPr="00C314E3">
        <w:rPr>
          <w:rFonts w:ascii="Arial" w:hAnsi="Arial" w:cs="Arial"/>
          <w:sz w:val="24"/>
          <w:szCs w:val="24"/>
        </w:rPr>
        <w:t>ism.</w:t>
      </w:r>
    </w:p>
    <w:p w14:paraId="2A78BBDC" w14:textId="77777777" w:rsidR="005840D8" w:rsidRDefault="005840D8" w:rsidP="00E77158">
      <w:pPr>
        <w:spacing w:line="360" w:lineRule="auto"/>
        <w:jc w:val="both"/>
        <w:rPr>
          <w:rFonts w:ascii="Arial" w:hAnsi="Arial" w:cs="Arial"/>
          <w:sz w:val="24"/>
          <w:szCs w:val="24"/>
        </w:rPr>
      </w:pPr>
    </w:p>
    <w:p w14:paraId="74CBB345" w14:textId="77777777" w:rsidR="005840D8" w:rsidRPr="001A1AC4" w:rsidRDefault="005840D8" w:rsidP="00E77158">
      <w:pPr>
        <w:spacing w:line="360" w:lineRule="auto"/>
        <w:jc w:val="both"/>
        <w:rPr>
          <w:rFonts w:ascii="Arial" w:hAnsi="Arial" w:cs="Arial"/>
          <w:b/>
          <w:bCs/>
          <w:sz w:val="24"/>
          <w:szCs w:val="24"/>
        </w:rPr>
      </w:pPr>
      <w:r w:rsidRPr="001A1AC4">
        <w:rPr>
          <w:rFonts w:ascii="Arial" w:hAnsi="Arial" w:cs="Arial"/>
          <w:b/>
          <w:bCs/>
          <w:sz w:val="24"/>
          <w:szCs w:val="24"/>
        </w:rPr>
        <w:t>Relief and order to be made</w:t>
      </w:r>
    </w:p>
    <w:p w14:paraId="45A961CA" w14:textId="77777777" w:rsidR="005840D8" w:rsidRDefault="005840D8" w:rsidP="00E77158">
      <w:pPr>
        <w:spacing w:line="360" w:lineRule="auto"/>
        <w:jc w:val="both"/>
        <w:rPr>
          <w:rFonts w:ascii="Arial" w:hAnsi="Arial" w:cs="Arial"/>
          <w:sz w:val="24"/>
          <w:szCs w:val="24"/>
        </w:rPr>
      </w:pPr>
    </w:p>
    <w:p w14:paraId="0E1968D0" w14:textId="38CA58E0" w:rsidR="00B11B24" w:rsidRPr="00C314E3" w:rsidRDefault="00C314E3" w:rsidP="00C314E3">
      <w:pPr>
        <w:spacing w:line="360" w:lineRule="auto"/>
        <w:jc w:val="both"/>
        <w:rPr>
          <w:rFonts w:ascii="Arial" w:hAnsi="Arial" w:cs="Arial"/>
          <w:sz w:val="24"/>
          <w:szCs w:val="24"/>
        </w:rPr>
      </w:pPr>
      <w:r>
        <w:rPr>
          <w:rFonts w:ascii="Arial" w:hAnsi="Arial" w:cs="Arial"/>
          <w:sz w:val="24"/>
          <w:szCs w:val="24"/>
        </w:rPr>
        <w:t>[72]</w:t>
      </w:r>
      <w:r>
        <w:rPr>
          <w:rFonts w:ascii="Arial" w:hAnsi="Arial" w:cs="Arial"/>
          <w:sz w:val="24"/>
          <w:szCs w:val="24"/>
        </w:rPr>
        <w:tab/>
      </w:r>
      <w:r w:rsidR="008C5E01" w:rsidRPr="00C314E3">
        <w:rPr>
          <w:rFonts w:ascii="Arial" w:hAnsi="Arial" w:cs="Arial"/>
          <w:sz w:val="24"/>
          <w:szCs w:val="24"/>
        </w:rPr>
        <w:t>Despite the applicants’ invitation to do so in the section 4(2) notice, t</w:t>
      </w:r>
      <w:r w:rsidR="005840D8" w:rsidRPr="00C314E3">
        <w:rPr>
          <w:rFonts w:ascii="Arial" w:hAnsi="Arial" w:cs="Arial"/>
          <w:sz w:val="24"/>
          <w:szCs w:val="24"/>
        </w:rPr>
        <w:t xml:space="preserve">he first respondent has not placed any evidence before the court </w:t>
      </w:r>
      <w:r w:rsidR="001A1AC4" w:rsidRPr="00C314E3">
        <w:rPr>
          <w:rFonts w:ascii="Arial" w:hAnsi="Arial" w:cs="Arial"/>
          <w:sz w:val="24"/>
          <w:szCs w:val="24"/>
        </w:rPr>
        <w:t xml:space="preserve">that an eviction order would </w:t>
      </w:r>
      <w:r w:rsidR="00E441D2" w:rsidRPr="00C314E3">
        <w:rPr>
          <w:rFonts w:ascii="Arial" w:hAnsi="Arial" w:cs="Arial"/>
          <w:sz w:val="24"/>
          <w:szCs w:val="24"/>
        </w:rPr>
        <w:t xml:space="preserve">affect </w:t>
      </w:r>
      <w:r w:rsidR="003B4142" w:rsidRPr="00C314E3">
        <w:rPr>
          <w:rFonts w:ascii="Arial" w:hAnsi="Arial" w:cs="Arial"/>
          <w:sz w:val="24"/>
          <w:szCs w:val="24"/>
        </w:rPr>
        <w:t xml:space="preserve">any </w:t>
      </w:r>
      <w:r w:rsidR="00634FE4" w:rsidRPr="00C314E3">
        <w:rPr>
          <w:rFonts w:ascii="Arial" w:hAnsi="Arial" w:cs="Arial"/>
          <w:sz w:val="24"/>
          <w:szCs w:val="24"/>
        </w:rPr>
        <w:t xml:space="preserve">elderly or disabled persons </w:t>
      </w:r>
      <w:r w:rsidR="003B4142" w:rsidRPr="00C314E3">
        <w:rPr>
          <w:rFonts w:ascii="Arial" w:hAnsi="Arial" w:cs="Arial"/>
          <w:sz w:val="24"/>
          <w:szCs w:val="24"/>
        </w:rPr>
        <w:t xml:space="preserve">who may currently reside at the property. He has not made mention of any children. </w:t>
      </w:r>
      <w:r w:rsidR="00D809A7" w:rsidRPr="00C314E3">
        <w:rPr>
          <w:rFonts w:ascii="Arial" w:hAnsi="Arial" w:cs="Arial"/>
          <w:sz w:val="24"/>
          <w:szCs w:val="24"/>
        </w:rPr>
        <w:t xml:space="preserve">Such information is within the </w:t>
      </w:r>
      <w:r w:rsidR="002725AB" w:rsidRPr="00C314E3">
        <w:rPr>
          <w:rFonts w:ascii="Arial" w:hAnsi="Arial" w:cs="Arial"/>
          <w:sz w:val="24"/>
          <w:szCs w:val="24"/>
        </w:rPr>
        <w:t xml:space="preserve">exclusive knowledge of the first respondent. It cannot be expected of the applicants to have attempted to establish </w:t>
      </w:r>
      <w:r w:rsidR="00255C0E" w:rsidRPr="00C314E3">
        <w:rPr>
          <w:rFonts w:ascii="Arial" w:hAnsi="Arial" w:cs="Arial"/>
          <w:sz w:val="24"/>
          <w:szCs w:val="24"/>
        </w:rPr>
        <w:t xml:space="preserve">such details when the first respondent has consistently refused access </w:t>
      </w:r>
      <w:r w:rsidR="008D6F27" w:rsidRPr="00C314E3">
        <w:rPr>
          <w:rFonts w:ascii="Arial" w:hAnsi="Arial" w:cs="Arial"/>
          <w:sz w:val="24"/>
          <w:szCs w:val="24"/>
        </w:rPr>
        <w:t xml:space="preserve">to the property </w:t>
      </w:r>
      <w:r w:rsidR="00255C0E" w:rsidRPr="00C314E3">
        <w:rPr>
          <w:rFonts w:ascii="Arial" w:hAnsi="Arial" w:cs="Arial"/>
          <w:sz w:val="24"/>
          <w:szCs w:val="24"/>
        </w:rPr>
        <w:t>and acted in a hostile manner towards them.</w:t>
      </w:r>
      <w:r w:rsidR="003B4142" w:rsidRPr="00C314E3">
        <w:rPr>
          <w:rFonts w:ascii="Arial" w:hAnsi="Arial" w:cs="Arial"/>
          <w:sz w:val="24"/>
          <w:szCs w:val="24"/>
        </w:rPr>
        <w:t xml:space="preserve"> </w:t>
      </w:r>
    </w:p>
    <w:p w14:paraId="7FD6B2A6" w14:textId="31409238" w:rsidR="00B11B24" w:rsidRPr="00C314E3" w:rsidRDefault="00C314E3" w:rsidP="00C314E3">
      <w:pPr>
        <w:spacing w:line="360" w:lineRule="auto"/>
        <w:jc w:val="both"/>
        <w:rPr>
          <w:rFonts w:ascii="Arial" w:hAnsi="Arial" w:cs="Arial"/>
          <w:sz w:val="24"/>
          <w:szCs w:val="24"/>
        </w:rPr>
      </w:pPr>
      <w:r>
        <w:rPr>
          <w:rFonts w:ascii="Arial" w:hAnsi="Arial" w:cs="Arial"/>
          <w:sz w:val="24"/>
          <w:szCs w:val="24"/>
        </w:rPr>
        <w:t>[73]</w:t>
      </w:r>
      <w:r>
        <w:rPr>
          <w:rFonts w:ascii="Arial" w:hAnsi="Arial" w:cs="Arial"/>
          <w:sz w:val="24"/>
          <w:szCs w:val="24"/>
        </w:rPr>
        <w:tab/>
      </w:r>
      <w:r w:rsidR="008D6F27" w:rsidRPr="00C314E3">
        <w:rPr>
          <w:rFonts w:ascii="Arial" w:hAnsi="Arial" w:cs="Arial"/>
          <w:sz w:val="24"/>
          <w:szCs w:val="24"/>
        </w:rPr>
        <w:t xml:space="preserve">The first respondent has, moreover, rejected the applicants’ offer of </w:t>
      </w:r>
      <w:r w:rsidR="00460878" w:rsidRPr="00C314E3">
        <w:rPr>
          <w:rFonts w:ascii="Arial" w:hAnsi="Arial" w:cs="Arial"/>
          <w:sz w:val="24"/>
          <w:szCs w:val="24"/>
        </w:rPr>
        <w:t xml:space="preserve">four months’ rental </w:t>
      </w:r>
      <w:r w:rsidR="00501456" w:rsidRPr="00C314E3">
        <w:rPr>
          <w:rFonts w:ascii="Arial" w:hAnsi="Arial" w:cs="Arial"/>
          <w:sz w:val="24"/>
          <w:szCs w:val="24"/>
        </w:rPr>
        <w:t>in relation to alternative accommodation</w:t>
      </w:r>
      <w:r w:rsidR="006847A6" w:rsidRPr="00C314E3">
        <w:rPr>
          <w:rFonts w:ascii="Arial" w:hAnsi="Arial" w:cs="Arial"/>
          <w:sz w:val="24"/>
          <w:szCs w:val="24"/>
        </w:rPr>
        <w:t xml:space="preserve">, </w:t>
      </w:r>
      <w:r w:rsidR="00460878" w:rsidRPr="00C314E3">
        <w:rPr>
          <w:rFonts w:ascii="Arial" w:hAnsi="Arial" w:cs="Arial"/>
          <w:sz w:val="24"/>
          <w:szCs w:val="24"/>
        </w:rPr>
        <w:t>and the costs of storage</w:t>
      </w:r>
      <w:r w:rsidR="006847A6" w:rsidRPr="00C314E3">
        <w:rPr>
          <w:rFonts w:ascii="Arial" w:hAnsi="Arial" w:cs="Arial"/>
          <w:sz w:val="24"/>
          <w:szCs w:val="24"/>
        </w:rPr>
        <w:t xml:space="preserve">. </w:t>
      </w:r>
      <w:r w:rsidR="002E2A08" w:rsidRPr="00C314E3">
        <w:rPr>
          <w:rFonts w:ascii="Arial" w:hAnsi="Arial" w:cs="Arial"/>
          <w:sz w:val="24"/>
          <w:szCs w:val="24"/>
        </w:rPr>
        <w:t>Quite what more could have been expected of the applicants is hard to say</w:t>
      </w:r>
      <w:r w:rsidR="007F4EA8" w:rsidRPr="00C314E3">
        <w:rPr>
          <w:rFonts w:ascii="Arial" w:hAnsi="Arial" w:cs="Arial"/>
          <w:sz w:val="24"/>
          <w:szCs w:val="24"/>
        </w:rPr>
        <w:t>.</w:t>
      </w:r>
    </w:p>
    <w:p w14:paraId="6A908842" w14:textId="77777777" w:rsidR="00B11B24" w:rsidRDefault="00B11B24" w:rsidP="00E77158">
      <w:pPr>
        <w:pStyle w:val="ListParagraph"/>
        <w:spacing w:line="360" w:lineRule="auto"/>
        <w:ind w:left="0"/>
        <w:jc w:val="both"/>
        <w:rPr>
          <w:rFonts w:ascii="Arial" w:hAnsi="Arial" w:cs="Arial"/>
          <w:sz w:val="24"/>
          <w:szCs w:val="24"/>
        </w:rPr>
      </w:pPr>
    </w:p>
    <w:p w14:paraId="45C832DA" w14:textId="1F4E0D07" w:rsidR="00B11B24" w:rsidRPr="00C314E3" w:rsidRDefault="00C314E3" w:rsidP="00C314E3">
      <w:pPr>
        <w:spacing w:line="360" w:lineRule="auto"/>
        <w:jc w:val="both"/>
        <w:rPr>
          <w:rFonts w:ascii="Arial" w:hAnsi="Arial" w:cs="Arial"/>
          <w:sz w:val="24"/>
          <w:szCs w:val="24"/>
        </w:rPr>
      </w:pPr>
      <w:r>
        <w:rPr>
          <w:rFonts w:ascii="Arial" w:hAnsi="Arial" w:cs="Arial"/>
          <w:sz w:val="24"/>
          <w:szCs w:val="24"/>
        </w:rPr>
        <w:lastRenderedPageBreak/>
        <w:t>[74]</w:t>
      </w:r>
      <w:r>
        <w:rPr>
          <w:rFonts w:ascii="Arial" w:hAnsi="Arial" w:cs="Arial"/>
          <w:sz w:val="24"/>
          <w:szCs w:val="24"/>
        </w:rPr>
        <w:tab/>
      </w:r>
      <w:r w:rsidR="007F4EA8" w:rsidRPr="00C314E3">
        <w:rPr>
          <w:rFonts w:ascii="Arial" w:hAnsi="Arial" w:cs="Arial"/>
          <w:sz w:val="24"/>
          <w:szCs w:val="24"/>
        </w:rPr>
        <w:t xml:space="preserve">In the circumstances, the court is satisfied that it would be just and equitable to order the eviction of the </w:t>
      </w:r>
      <w:r w:rsidR="001E1928" w:rsidRPr="00C314E3">
        <w:rPr>
          <w:rFonts w:ascii="Arial" w:hAnsi="Arial" w:cs="Arial"/>
          <w:sz w:val="24"/>
          <w:szCs w:val="24"/>
        </w:rPr>
        <w:t xml:space="preserve">first respondents and any other occupiers from the property. </w:t>
      </w:r>
      <w:r w:rsidR="005066D6" w:rsidRPr="00C314E3">
        <w:rPr>
          <w:rFonts w:ascii="Arial" w:hAnsi="Arial" w:cs="Arial"/>
          <w:sz w:val="24"/>
          <w:szCs w:val="24"/>
        </w:rPr>
        <w:t>Mindful of the history of this matter</w:t>
      </w:r>
      <w:r w:rsidR="00432AE4" w:rsidRPr="00C314E3">
        <w:rPr>
          <w:rFonts w:ascii="Arial" w:hAnsi="Arial" w:cs="Arial"/>
          <w:sz w:val="24"/>
          <w:szCs w:val="24"/>
        </w:rPr>
        <w:t xml:space="preserve">, the </w:t>
      </w:r>
      <w:r w:rsidR="00F070D9" w:rsidRPr="00C314E3">
        <w:rPr>
          <w:rFonts w:ascii="Arial" w:hAnsi="Arial" w:cs="Arial"/>
          <w:sz w:val="24"/>
          <w:szCs w:val="24"/>
        </w:rPr>
        <w:t>respective circumstances of the parties involved,</w:t>
      </w:r>
      <w:r w:rsidR="005066D6" w:rsidRPr="00C314E3">
        <w:rPr>
          <w:rFonts w:ascii="Arial" w:hAnsi="Arial" w:cs="Arial"/>
          <w:sz w:val="24"/>
          <w:szCs w:val="24"/>
        </w:rPr>
        <w:t xml:space="preserve"> and the </w:t>
      </w:r>
      <w:r w:rsidR="00493033" w:rsidRPr="00C314E3">
        <w:rPr>
          <w:rFonts w:ascii="Arial" w:hAnsi="Arial" w:cs="Arial"/>
          <w:sz w:val="24"/>
          <w:szCs w:val="24"/>
        </w:rPr>
        <w:t>possibility that, at some point, the vacation of the property w</w:t>
      </w:r>
      <w:r w:rsidR="00432AE4" w:rsidRPr="00C314E3">
        <w:rPr>
          <w:rFonts w:ascii="Arial" w:hAnsi="Arial" w:cs="Arial"/>
          <w:sz w:val="24"/>
          <w:szCs w:val="24"/>
        </w:rPr>
        <w:t>ould be</w:t>
      </w:r>
      <w:r w:rsidR="00493033" w:rsidRPr="00C314E3">
        <w:rPr>
          <w:rFonts w:ascii="Arial" w:hAnsi="Arial" w:cs="Arial"/>
          <w:sz w:val="24"/>
          <w:szCs w:val="24"/>
        </w:rPr>
        <w:t xml:space="preserve"> </w:t>
      </w:r>
      <w:r w:rsidR="00733AF1" w:rsidRPr="00C314E3">
        <w:rPr>
          <w:rFonts w:ascii="Arial" w:hAnsi="Arial" w:cs="Arial"/>
          <w:sz w:val="24"/>
          <w:szCs w:val="24"/>
        </w:rPr>
        <w:t>necessary</w:t>
      </w:r>
      <w:r w:rsidR="00432AE4" w:rsidRPr="00C314E3">
        <w:rPr>
          <w:rFonts w:ascii="Arial" w:hAnsi="Arial" w:cs="Arial"/>
          <w:sz w:val="24"/>
          <w:szCs w:val="24"/>
        </w:rPr>
        <w:t xml:space="preserve">, it would seem just and </w:t>
      </w:r>
      <w:r w:rsidR="00F070D9" w:rsidRPr="00C314E3">
        <w:rPr>
          <w:rFonts w:ascii="Arial" w:hAnsi="Arial" w:cs="Arial"/>
          <w:sz w:val="24"/>
          <w:szCs w:val="24"/>
        </w:rPr>
        <w:t xml:space="preserve">equitable </w:t>
      </w:r>
      <w:r w:rsidR="00FF4357" w:rsidRPr="00C314E3">
        <w:rPr>
          <w:rFonts w:ascii="Arial" w:hAnsi="Arial" w:cs="Arial"/>
          <w:sz w:val="24"/>
          <w:szCs w:val="24"/>
        </w:rPr>
        <w:t xml:space="preserve">that </w:t>
      </w:r>
      <w:r w:rsidR="005048CF" w:rsidRPr="00C314E3">
        <w:rPr>
          <w:rFonts w:ascii="Arial" w:hAnsi="Arial" w:cs="Arial"/>
          <w:sz w:val="24"/>
          <w:szCs w:val="24"/>
        </w:rPr>
        <w:t xml:space="preserve">the date for the implementation of the order </w:t>
      </w:r>
      <w:r w:rsidR="009014E8" w:rsidRPr="00C314E3">
        <w:rPr>
          <w:rFonts w:ascii="Arial" w:hAnsi="Arial" w:cs="Arial"/>
          <w:sz w:val="24"/>
          <w:szCs w:val="24"/>
        </w:rPr>
        <w:t>is not</w:t>
      </w:r>
      <w:r w:rsidR="005048CF" w:rsidRPr="00C314E3">
        <w:rPr>
          <w:rFonts w:ascii="Arial" w:hAnsi="Arial" w:cs="Arial"/>
          <w:sz w:val="24"/>
          <w:szCs w:val="24"/>
        </w:rPr>
        <w:t xml:space="preserve"> delayed for longer than </w:t>
      </w:r>
      <w:r w:rsidR="00733AF1" w:rsidRPr="00C314E3">
        <w:rPr>
          <w:rFonts w:ascii="Arial" w:hAnsi="Arial" w:cs="Arial"/>
          <w:sz w:val="24"/>
          <w:szCs w:val="24"/>
        </w:rPr>
        <w:t>required</w:t>
      </w:r>
      <w:r w:rsidR="005048CF" w:rsidRPr="00C314E3">
        <w:rPr>
          <w:rFonts w:ascii="Arial" w:hAnsi="Arial" w:cs="Arial"/>
          <w:sz w:val="24"/>
          <w:szCs w:val="24"/>
        </w:rPr>
        <w:t>. The</w:t>
      </w:r>
      <w:r w:rsidR="009014E8" w:rsidRPr="00C314E3">
        <w:rPr>
          <w:rFonts w:ascii="Arial" w:hAnsi="Arial" w:cs="Arial"/>
          <w:sz w:val="24"/>
          <w:szCs w:val="24"/>
        </w:rPr>
        <w:t xml:space="preserve"> court is not of the view that any conditions need to be attached to the order.</w:t>
      </w:r>
    </w:p>
    <w:p w14:paraId="2C53BE19" w14:textId="77777777" w:rsidR="00B11B24" w:rsidRPr="00B11B24" w:rsidRDefault="00B11B24" w:rsidP="00E77158">
      <w:pPr>
        <w:pStyle w:val="ListParagraph"/>
        <w:jc w:val="both"/>
        <w:rPr>
          <w:rFonts w:ascii="Arial" w:hAnsi="Arial" w:cs="Arial"/>
          <w:sz w:val="24"/>
          <w:szCs w:val="24"/>
        </w:rPr>
      </w:pPr>
    </w:p>
    <w:p w14:paraId="23B083F3" w14:textId="093CC4A6" w:rsidR="00B11B24" w:rsidRPr="00C314E3" w:rsidRDefault="00C314E3" w:rsidP="00C314E3">
      <w:pPr>
        <w:spacing w:line="360" w:lineRule="auto"/>
        <w:jc w:val="both"/>
        <w:rPr>
          <w:rFonts w:ascii="Arial" w:hAnsi="Arial" w:cs="Arial"/>
          <w:sz w:val="24"/>
          <w:szCs w:val="24"/>
        </w:rPr>
      </w:pPr>
      <w:r>
        <w:rPr>
          <w:rFonts w:ascii="Arial" w:hAnsi="Arial" w:cs="Arial"/>
          <w:sz w:val="24"/>
          <w:szCs w:val="24"/>
        </w:rPr>
        <w:t>[75]</w:t>
      </w:r>
      <w:r>
        <w:rPr>
          <w:rFonts w:ascii="Arial" w:hAnsi="Arial" w:cs="Arial"/>
          <w:sz w:val="24"/>
          <w:szCs w:val="24"/>
        </w:rPr>
        <w:tab/>
      </w:r>
      <w:r w:rsidR="001F2B34" w:rsidRPr="00C314E3">
        <w:rPr>
          <w:rFonts w:ascii="Arial" w:hAnsi="Arial" w:cs="Arial"/>
          <w:sz w:val="24"/>
          <w:szCs w:val="24"/>
        </w:rPr>
        <w:t xml:space="preserve">The only remaining issue is that of costs. There appears to be no reason why the usual order should not follow </w:t>
      </w:r>
      <w:r w:rsidR="00700ECB" w:rsidRPr="00C314E3">
        <w:rPr>
          <w:rFonts w:ascii="Arial" w:hAnsi="Arial" w:cs="Arial"/>
          <w:sz w:val="24"/>
          <w:szCs w:val="24"/>
        </w:rPr>
        <w:t>to the effect that the applicants are entitled to recover the</w:t>
      </w:r>
      <w:r w:rsidR="00F63850" w:rsidRPr="00C314E3">
        <w:rPr>
          <w:rFonts w:ascii="Arial" w:hAnsi="Arial" w:cs="Arial"/>
          <w:sz w:val="24"/>
          <w:szCs w:val="24"/>
        </w:rPr>
        <w:t xml:space="preserve"> expenditure incurred in</w:t>
      </w:r>
      <w:r w:rsidR="00FE0B53" w:rsidRPr="00C314E3">
        <w:rPr>
          <w:rFonts w:ascii="Arial" w:hAnsi="Arial" w:cs="Arial"/>
          <w:sz w:val="24"/>
          <w:szCs w:val="24"/>
        </w:rPr>
        <w:t xml:space="preserve"> </w:t>
      </w:r>
      <w:r w:rsidR="00F63850" w:rsidRPr="00C314E3">
        <w:rPr>
          <w:rFonts w:ascii="Arial" w:hAnsi="Arial" w:cs="Arial"/>
          <w:sz w:val="24"/>
          <w:szCs w:val="24"/>
        </w:rPr>
        <w:t>pursuit of their application</w:t>
      </w:r>
      <w:r w:rsidR="00FE0B53" w:rsidRPr="00C314E3">
        <w:rPr>
          <w:rFonts w:ascii="Arial" w:hAnsi="Arial" w:cs="Arial"/>
          <w:sz w:val="24"/>
          <w:szCs w:val="24"/>
        </w:rPr>
        <w:t>.</w:t>
      </w:r>
    </w:p>
    <w:p w14:paraId="45C2C3F7" w14:textId="77777777" w:rsidR="00B11B24" w:rsidRPr="00B11B24" w:rsidRDefault="00B11B24" w:rsidP="00E77158">
      <w:pPr>
        <w:pStyle w:val="ListParagraph"/>
        <w:jc w:val="both"/>
        <w:rPr>
          <w:rFonts w:ascii="Arial" w:hAnsi="Arial" w:cs="Arial"/>
          <w:sz w:val="24"/>
          <w:szCs w:val="24"/>
        </w:rPr>
      </w:pPr>
    </w:p>
    <w:p w14:paraId="5BE4A788" w14:textId="0924FF60" w:rsidR="00FE0B53" w:rsidRPr="00C314E3" w:rsidRDefault="00C314E3" w:rsidP="00C314E3">
      <w:pPr>
        <w:spacing w:line="360" w:lineRule="auto"/>
        <w:jc w:val="both"/>
        <w:rPr>
          <w:rFonts w:ascii="Arial" w:hAnsi="Arial" w:cs="Arial"/>
          <w:sz w:val="24"/>
          <w:szCs w:val="24"/>
        </w:rPr>
      </w:pPr>
      <w:r w:rsidRPr="00B11B24">
        <w:rPr>
          <w:rFonts w:ascii="Arial" w:hAnsi="Arial" w:cs="Arial"/>
          <w:sz w:val="24"/>
          <w:szCs w:val="24"/>
        </w:rPr>
        <w:t>[76]</w:t>
      </w:r>
      <w:r w:rsidRPr="00B11B24">
        <w:rPr>
          <w:rFonts w:ascii="Arial" w:hAnsi="Arial" w:cs="Arial"/>
          <w:sz w:val="24"/>
          <w:szCs w:val="24"/>
        </w:rPr>
        <w:tab/>
      </w:r>
      <w:r w:rsidR="00FE0B53" w:rsidRPr="00C314E3">
        <w:rPr>
          <w:rFonts w:ascii="Arial" w:hAnsi="Arial" w:cs="Arial"/>
          <w:sz w:val="24"/>
          <w:szCs w:val="24"/>
        </w:rPr>
        <w:t>The following order is made:</w:t>
      </w:r>
    </w:p>
    <w:p w14:paraId="6DFBED36" w14:textId="77777777" w:rsidR="00097C4C" w:rsidRDefault="00097C4C" w:rsidP="00E77158">
      <w:pPr>
        <w:pStyle w:val="ListParagraph"/>
        <w:spacing w:line="360" w:lineRule="auto"/>
        <w:jc w:val="both"/>
        <w:rPr>
          <w:rFonts w:ascii="Arial" w:hAnsi="Arial" w:cs="Arial"/>
          <w:sz w:val="24"/>
          <w:szCs w:val="24"/>
        </w:rPr>
      </w:pPr>
    </w:p>
    <w:p w14:paraId="74C82487" w14:textId="73C7DBC5" w:rsidR="00B11B24" w:rsidRPr="00C314E3" w:rsidRDefault="00C314E3" w:rsidP="00C314E3">
      <w:pPr>
        <w:spacing w:line="360" w:lineRule="auto"/>
        <w:ind w:left="1276" w:hanging="567"/>
        <w:jc w:val="both"/>
        <w:rPr>
          <w:rFonts w:ascii="Arial" w:hAnsi="Arial" w:cs="Arial"/>
          <w:sz w:val="24"/>
          <w:szCs w:val="24"/>
        </w:rPr>
      </w:pPr>
      <w:r>
        <w:rPr>
          <w:rFonts w:ascii="Arial" w:hAnsi="Arial" w:cs="Arial"/>
          <w:sz w:val="24"/>
          <w:szCs w:val="24"/>
        </w:rPr>
        <w:t>(a)</w:t>
      </w:r>
      <w:r>
        <w:rPr>
          <w:rFonts w:ascii="Arial" w:hAnsi="Arial" w:cs="Arial"/>
          <w:sz w:val="24"/>
          <w:szCs w:val="24"/>
        </w:rPr>
        <w:tab/>
      </w:r>
      <w:r w:rsidR="00097C4C" w:rsidRPr="00C314E3">
        <w:rPr>
          <w:rFonts w:ascii="Arial" w:hAnsi="Arial" w:cs="Arial"/>
          <w:sz w:val="24"/>
          <w:szCs w:val="24"/>
        </w:rPr>
        <w:t>t</w:t>
      </w:r>
      <w:r w:rsidR="00FE0B53" w:rsidRPr="00C314E3">
        <w:rPr>
          <w:rFonts w:ascii="Arial" w:hAnsi="Arial" w:cs="Arial"/>
          <w:sz w:val="24"/>
          <w:szCs w:val="24"/>
        </w:rPr>
        <w:t xml:space="preserve">he </w:t>
      </w:r>
      <w:r w:rsidR="00FE37F8" w:rsidRPr="00C314E3">
        <w:rPr>
          <w:rFonts w:ascii="Arial" w:hAnsi="Arial" w:cs="Arial"/>
          <w:sz w:val="24"/>
          <w:szCs w:val="24"/>
        </w:rPr>
        <w:t xml:space="preserve">application is granted and the first respondent and all other persons </w:t>
      </w:r>
      <w:r w:rsidR="00256268" w:rsidRPr="00C314E3">
        <w:rPr>
          <w:rFonts w:ascii="Arial" w:hAnsi="Arial" w:cs="Arial"/>
          <w:sz w:val="24"/>
          <w:szCs w:val="24"/>
        </w:rPr>
        <w:t xml:space="preserve">occupying the property through or under him are </w:t>
      </w:r>
      <w:r w:rsidR="00836A31" w:rsidRPr="00C314E3">
        <w:rPr>
          <w:rFonts w:ascii="Arial" w:hAnsi="Arial" w:cs="Arial"/>
          <w:sz w:val="24"/>
          <w:szCs w:val="24"/>
        </w:rPr>
        <w:t xml:space="preserve">hereby </w:t>
      </w:r>
      <w:r w:rsidR="00223DBA" w:rsidRPr="00C314E3">
        <w:rPr>
          <w:rFonts w:ascii="Arial" w:hAnsi="Arial" w:cs="Arial"/>
          <w:sz w:val="24"/>
          <w:szCs w:val="24"/>
        </w:rPr>
        <w:t>evicted from 28 Bonnie Doon Place</w:t>
      </w:r>
      <w:r w:rsidR="00836A31" w:rsidRPr="00C314E3">
        <w:rPr>
          <w:rFonts w:ascii="Arial" w:hAnsi="Arial" w:cs="Arial"/>
          <w:sz w:val="24"/>
          <w:szCs w:val="24"/>
        </w:rPr>
        <w:t>, Bonnie Doon, East London;</w:t>
      </w:r>
    </w:p>
    <w:p w14:paraId="3D2E4F3F" w14:textId="77777777" w:rsidR="00B11B24" w:rsidRDefault="00B11B24" w:rsidP="00E77158">
      <w:pPr>
        <w:pStyle w:val="ListParagraph"/>
        <w:spacing w:line="360" w:lineRule="auto"/>
        <w:ind w:left="1276"/>
        <w:jc w:val="both"/>
        <w:rPr>
          <w:rFonts w:ascii="Arial" w:hAnsi="Arial" w:cs="Arial"/>
          <w:sz w:val="24"/>
          <w:szCs w:val="24"/>
        </w:rPr>
      </w:pPr>
    </w:p>
    <w:p w14:paraId="34A2F5A2" w14:textId="751CFE5F" w:rsidR="00B11B24" w:rsidRPr="00C314E3" w:rsidRDefault="00C314E3" w:rsidP="00C314E3">
      <w:pPr>
        <w:spacing w:line="360" w:lineRule="auto"/>
        <w:ind w:left="1276" w:hanging="567"/>
        <w:jc w:val="both"/>
        <w:rPr>
          <w:rFonts w:ascii="Arial" w:hAnsi="Arial" w:cs="Arial"/>
          <w:sz w:val="24"/>
          <w:szCs w:val="24"/>
        </w:rPr>
      </w:pPr>
      <w:r>
        <w:rPr>
          <w:rFonts w:ascii="Arial" w:hAnsi="Arial" w:cs="Arial"/>
          <w:sz w:val="24"/>
          <w:szCs w:val="24"/>
        </w:rPr>
        <w:t>(b)</w:t>
      </w:r>
      <w:r>
        <w:rPr>
          <w:rFonts w:ascii="Arial" w:hAnsi="Arial" w:cs="Arial"/>
          <w:sz w:val="24"/>
          <w:szCs w:val="24"/>
        </w:rPr>
        <w:tab/>
      </w:r>
      <w:r w:rsidR="00097C4C" w:rsidRPr="00C314E3">
        <w:rPr>
          <w:rFonts w:ascii="Arial" w:hAnsi="Arial" w:cs="Arial"/>
          <w:sz w:val="24"/>
          <w:szCs w:val="24"/>
        </w:rPr>
        <w:t>t</w:t>
      </w:r>
      <w:r w:rsidR="00681739" w:rsidRPr="00C314E3">
        <w:rPr>
          <w:rFonts w:ascii="Arial" w:hAnsi="Arial" w:cs="Arial"/>
          <w:sz w:val="24"/>
          <w:szCs w:val="24"/>
        </w:rPr>
        <w:t xml:space="preserve">he first respondent and the above persons are </w:t>
      </w:r>
      <w:r w:rsidR="00B15154" w:rsidRPr="00C314E3">
        <w:rPr>
          <w:rFonts w:ascii="Arial" w:hAnsi="Arial" w:cs="Arial"/>
          <w:sz w:val="24"/>
          <w:szCs w:val="24"/>
        </w:rPr>
        <w:t xml:space="preserve">ordered to vacate the property </w:t>
      </w:r>
      <w:r w:rsidR="00A43BD5" w:rsidRPr="00C314E3">
        <w:rPr>
          <w:rFonts w:ascii="Arial" w:hAnsi="Arial" w:cs="Arial"/>
          <w:sz w:val="24"/>
          <w:szCs w:val="24"/>
        </w:rPr>
        <w:t>within 60 days of the date of this order</w:t>
      </w:r>
      <w:r w:rsidR="00DD15C1" w:rsidRPr="00C314E3">
        <w:rPr>
          <w:rFonts w:ascii="Arial" w:hAnsi="Arial" w:cs="Arial"/>
          <w:sz w:val="24"/>
          <w:szCs w:val="24"/>
        </w:rPr>
        <w:t>;</w:t>
      </w:r>
    </w:p>
    <w:p w14:paraId="6AB62835" w14:textId="77777777" w:rsidR="00B11B24" w:rsidRPr="00B11B24" w:rsidRDefault="00B11B24" w:rsidP="00E77158">
      <w:pPr>
        <w:pStyle w:val="ListParagraph"/>
        <w:jc w:val="both"/>
        <w:rPr>
          <w:rFonts w:ascii="Arial" w:hAnsi="Arial" w:cs="Arial"/>
          <w:sz w:val="24"/>
          <w:szCs w:val="24"/>
        </w:rPr>
      </w:pPr>
    </w:p>
    <w:p w14:paraId="693169B8" w14:textId="24870B40" w:rsidR="00B11B24" w:rsidRPr="00C314E3" w:rsidRDefault="00C314E3" w:rsidP="00C314E3">
      <w:pPr>
        <w:spacing w:line="360" w:lineRule="auto"/>
        <w:ind w:left="1276" w:hanging="567"/>
        <w:jc w:val="both"/>
        <w:rPr>
          <w:rFonts w:ascii="Arial" w:hAnsi="Arial" w:cs="Arial"/>
          <w:sz w:val="24"/>
          <w:szCs w:val="24"/>
        </w:rPr>
      </w:pPr>
      <w:r>
        <w:rPr>
          <w:rFonts w:ascii="Arial" w:hAnsi="Arial" w:cs="Arial"/>
          <w:sz w:val="24"/>
          <w:szCs w:val="24"/>
        </w:rPr>
        <w:t>(c)</w:t>
      </w:r>
      <w:r>
        <w:rPr>
          <w:rFonts w:ascii="Arial" w:hAnsi="Arial" w:cs="Arial"/>
          <w:sz w:val="24"/>
          <w:szCs w:val="24"/>
        </w:rPr>
        <w:tab/>
      </w:r>
      <w:r w:rsidR="00097C4C" w:rsidRPr="00C314E3">
        <w:rPr>
          <w:rFonts w:ascii="Arial" w:hAnsi="Arial" w:cs="Arial"/>
          <w:sz w:val="24"/>
          <w:szCs w:val="24"/>
        </w:rPr>
        <w:t>i</w:t>
      </w:r>
      <w:r w:rsidR="00970884" w:rsidRPr="00C314E3">
        <w:rPr>
          <w:rFonts w:ascii="Arial" w:hAnsi="Arial" w:cs="Arial"/>
          <w:sz w:val="24"/>
          <w:szCs w:val="24"/>
        </w:rPr>
        <w:t>f</w:t>
      </w:r>
      <w:r w:rsidR="00DD15C1" w:rsidRPr="00C314E3">
        <w:rPr>
          <w:rFonts w:ascii="Arial" w:hAnsi="Arial" w:cs="Arial"/>
          <w:sz w:val="24"/>
          <w:szCs w:val="24"/>
        </w:rPr>
        <w:t xml:space="preserve"> the first respondent and the above persons fail to vacate the property as ordered, </w:t>
      </w:r>
      <w:r w:rsidR="00BC0BE1" w:rsidRPr="00C314E3">
        <w:rPr>
          <w:rFonts w:ascii="Arial" w:hAnsi="Arial" w:cs="Arial"/>
          <w:sz w:val="24"/>
          <w:szCs w:val="24"/>
        </w:rPr>
        <w:t>the</w:t>
      </w:r>
      <w:r w:rsidR="00970884" w:rsidRPr="00C314E3">
        <w:rPr>
          <w:rFonts w:ascii="Arial" w:hAnsi="Arial" w:cs="Arial"/>
          <w:sz w:val="24"/>
          <w:szCs w:val="24"/>
        </w:rPr>
        <w:t>n the</w:t>
      </w:r>
      <w:r w:rsidR="00BC0BE1" w:rsidRPr="00C314E3">
        <w:rPr>
          <w:rFonts w:ascii="Arial" w:hAnsi="Arial" w:cs="Arial"/>
          <w:sz w:val="24"/>
          <w:szCs w:val="24"/>
        </w:rPr>
        <w:t xml:space="preserve"> sheriff is authorised and directed to implement </w:t>
      </w:r>
      <w:r w:rsidR="00D954AC" w:rsidRPr="00C314E3">
        <w:rPr>
          <w:rFonts w:ascii="Arial" w:hAnsi="Arial" w:cs="Arial"/>
          <w:sz w:val="24"/>
          <w:szCs w:val="24"/>
        </w:rPr>
        <w:t>and give effect to th</w:t>
      </w:r>
      <w:r w:rsidR="00836C63" w:rsidRPr="00C314E3">
        <w:rPr>
          <w:rFonts w:ascii="Arial" w:hAnsi="Arial" w:cs="Arial"/>
          <w:sz w:val="24"/>
          <w:szCs w:val="24"/>
        </w:rPr>
        <w:t>e</w:t>
      </w:r>
      <w:r w:rsidR="00D954AC" w:rsidRPr="00C314E3">
        <w:rPr>
          <w:rFonts w:ascii="Arial" w:hAnsi="Arial" w:cs="Arial"/>
          <w:sz w:val="24"/>
          <w:szCs w:val="24"/>
        </w:rPr>
        <w:t xml:space="preserve"> order</w:t>
      </w:r>
      <w:r w:rsidR="00097C4C" w:rsidRPr="00C314E3">
        <w:rPr>
          <w:rFonts w:ascii="Arial" w:hAnsi="Arial" w:cs="Arial"/>
          <w:sz w:val="24"/>
          <w:szCs w:val="24"/>
        </w:rPr>
        <w:t xml:space="preserve"> forthwith</w:t>
      </w:r>
      <w:r w:rsidR="00970884" w:rsidRPr="00C314E3">
        <w:rPr>
          <w:rFonts w:ascii="Arial" w:hAnsi="Arial" w:cs="Arial"/>
          <w:sz w:val="24"/>
          <w:szCs w:val="24"/>
        </w:rPr>
        <w:t>; and</w:t>
      </w:r>
    </w:p>
    <w:p w14:paraId="27B1AA56" w14:textId="77777777" w:rsidR="00B11B24" w:rsidRPr="00B11B24" w:rsidRDefault="00B11B24" w:rsidP="00E77158">
      <w:pPr>
        <w:pStyle w:val="ListParagraph"/>
        <w:jc w:val="both"/>
        <w:rPr>
          <w:rFonts w:ascii="Arial" w:hAnsi="Arial" w:cs="Arial"/>
          <w:sz w:val="24"/>
          <w:szCs w:val="24"/>
        </w:rPr>
      </w:pPr>
    </w:p>
    <w:p w14:paraId="65E06DB2" w14:textId="044EFEAE" w:rsidR="00970884" w:rsidRPr="00C314E3" w:rsidRDefault="00C314E3" w:rsidP="00C314E3">
      <w:pPr>
        <w:spacing w:line="360" w:lineRule="auto"/>
        <w:ind w:left="1276" w:hanging="567"/>
        <w:jc w:val="both"/>
        <w:rPr>
          <w:rFonts w:ascii="Arial" w:hAnsi="Arial" w:cs="Arial"/>
          <w:sz w:val="24"/>
          <w:szCs w:val="24"/>
        </w:rPr>
      </w:pPr>
      <w:r w:rsidRPr="00B11B24">
        <w:rPr>
          <w:rFonts w:ascii="Arial" w:hAnsi="Arial" w:cs="Arial"/>
          <w:sz w:val="24"/>
          <w:szCs w:val="24"/>
        </w:rPr>
        <w:t>(d)</w:t>
      </w:r>
      <w:r w:rsidRPr="00B11B24">
        <w:rPr>
          <w:rFonts w:ascii="Arial" w:hAnsi="Arial" w:cs="Arial"/>
          <w:sz w:val="24"/>
          <w:szCs w:val="24"/>
        </w:rPr>
        <w:tab/>
      </w:r>
      <w:r w:rsidR="00097C4C" w:rsidRPr="00C314E3">
        <w:rPr>
          <w:rFonts w:ascii="Arial" w:hAnsi="Arial" w:cs="Arial"/>
          <w:sz w:val="24"/>
          <w:szCs w:val="24"/>
        </w:rPr>
        <w:t>t</w:t>
      </w:r>
      <w:r w:rsidR="00970884" w:rsidRPr="00C314E3">
        <w:rPr>
          <w:rFonts w:ascii="Arial" w:hAnsi="Arial" w:cs="Arial"/>
          <w:sz w:val="24"/>
          <w:szCs w:val="24"/>
        </w:rPr>
        <w:t>he first respondent is ordered to pay the costs of the application.</w:t>
      </w:r>
    </w:p>
    <w:p w14:paraId="6DDD384D" w14:textId="77777777" w:rsidR="00970884" w:rsidRDefault="00970884" w:rsidP="00E77158">
      <w:pPr>
        <w:spacing w:line="360" w:lineRule="auto"/>
        <w:jc w:val="both"/>
        <w:rPr>
          <w:rFonts w:ascii="Arial" w:hAnsi="Arial" w:cs="Arial"/>
          <w:sz w:val="24"/>
          <w:szCs w:val="24"/>
        </w:rPr>
      </w:pPr>
    </w:p>
    <w:p w14:paraId="5AC5DEBA" w14:textId="77777777" w:rsidR="00970884" w:rsidRDefault="00970884" w:rsidP="00E77158">
      <w:pPr>
        <w:spacing w:line="360" w:lineRule="auto"/>
        <w:jc w:val="both"/>
        <w:rPr>
          <w:rFonts w:ascii="Arial" w:hAnsi="Arial" w:cs="Arial"/>
          <w:sz w:val="24"/>
          <w:szCs w:val="24"/>
        </w:rPr>
      </w:pPr>
    </w:p>
    <w:p w14:paraId="73FE700A" w14:textId="77777777" w:rsidR="00970884" w:rsidRDefault="00970884" w:rsidP="00E77158">
      <w:pPr>
        <w:spacing w:line="240" w:lineRule="auto"/>
        <w:jc w:val="both"/>
        <w:rPr>
          <w:rFonts w:ascii="Arial" w:hAnsi="Arial" w:cs="Arial"/>
          <w:sz w:val="24"/>
          <w:szCs w:val="24"/>
        </w:rPr>
      </w:pPr>
      <w:r>
        <w:rPr>
          <w:rFonts w:ascii="Arial" w:hAnsi="Arial" w:cs="Arial"/>
          <w:sz w:val="24"/>
          <w:szCs w:val="24"/>
        </w:rPr>
        <w:t>_________________________</w:t>
      </w:r>
    </w:p>
    <w:p w14:paraId="031D341C" w14:textId="77777777" w:rsidR="00970884" w:rsidRPr="00970884" w:rsidRDefault="00970884" w:rsidP="00E77158">
      <w:pPr>
        <w:spacing w:line="240" w:lineRule="auto"/>
        <w:jc w:val="both"/>
        <w:rPr>
          <w:rFonts w:ascii="Arial" w:hAnsi="Arial" w:cs="Arial"/>
          <w:b/>
          <w:bCs/>
          <w:sz w:val="24"/>
          <w:szCs w:val="24"/>
        </w:rPr>
      </w:pPr>
      <w:r w:rsidRPr="00970884">
        <w:rPr>
          <w:rFonts w:ascii="Arial" w:hAnsi="Arial" w:cs="Arial"/>
          <w:b/>
          <w:bCs/>
          <w:sz w:val="24"/>
          <w:szCs w:val="24"/>
        </w:rPr>
        <w:t>JGA LAING</w:t>
      </w:r>
    </w:p>
    <w:p w14:paraId="1264CF0C" w14:textId="77777777" w:rsidR="00970884" w:rsidRDefault="00970884" w:rsidP="00E77158">
      <w:pPr>
        <w:spacing w:line="240" w:lineRule="auto"/>
        <w:jc w:val="both"/>
        <w:rPr>
          <w:rFonts w:ascii="Arial" w:hAnsi="Arial" w:cs="Arial"/>
          <w:b/>
          <w:bCs/>
          <w:sz w:val="24"/>
          <w:szCs w:val="24"/>
        </w:rPr>
      </w:pPr>
      <w:r w:rsidRPr="00970884">
        <w:rPr>
          <w:rFonts w:ascii="Arial" w:hAnsi="Arial" w:cs="Arial"/>
          <w:b/>
          <w:bCs/>
          <w:sz w:val="24"/>
          <w:szCs w:val="24"/>
        </w:rPr>
        <w:t>JUDGE OF THE HIGH COURT</w:t>
      </w:r>
    </w:p>
    <w:p w14:paraId="4067ADAB" w14:textId="77777777" w:rsidR="00B11B24" w:rsidRDefault="00B11B24" w:rsidP="00E77158">
      <w:pPr>
        <w:spacing w:line="240" w:lineRule="auto"/>
        <w:jc w:val="both"/>
        <w:rPr>
          <w:rFonts w:ascii="Arial" w:hAnsi="Arial" w:cs="Arial"/>
          <w:b/>
          <w:bCs/>
          <w:sz w:val="24"/>
          <w:szCs w:val="24"/>
        </w:rPr>
      </w:pPr>
    </w:p>
    <w:p w14:paraId="647E4D57" w14:textId="77777777" w:rsidR="00B11B24" w:rsidRDefault="00B11B24" w:rsidP="00E77158">
      <w:pPr>
        <w:spacing w:line="240" w:lineRule="auto"/>
        <w:jc w:val="both"/>
        <w:rPr>
          <w:rFonts w:ascii="Arial" w:hAnsi="Arial" w:cs="Arial"/>
          <w:b/>
          <w:bCs/>
          <w:sz w:val="24"/>
          <w:szCs w:val="24"/>
        </w:rPr>
      </w:pPr>
    </w:p>
    <w:p w14:paraId="5C69E2BD" w14:textId="77777777" w:rsidR="00B11B24" w:rsidRDefault="00B11B24" w:rsidP="00E77158">
      <w:pPr>
        <w:spacing w:line="240" w:lineRule="auto"/>
        <w:jc w:val="both"/>
        <w:rPr>
          <w:rFonts w:ascii="Arial" w:hAnsi="Arial" w:cs="Arial"/>
          <w:b/>
          <w:bCs/>
          <w:sz w:val="24"/>
          <w:szCs w:val="24"/>
        </w:rPr>
      </w:pPr>
    </w:p>
    <w:p w14:paraId="652C4838" w14:textId="77777777" w:rsidR="00B11B24" w:rsidRPr="00B11B24" w:rsidRDefault="00B11B24" w:rsidP="00E77158">
      <w:pPr>
        <w:spacing w:line="240" w:lineRule="auto"/>
        <w:jc w:val="both"/>
        <w:rPr>
          <w:rFonts w:ascii="Arial" w:hAnsi="Arial" w:cs="Arial"/>
          <w:bCs/>
          <w:sz w:val="24"/>
          <w:szCs w:val="24"/>
        </w:rPr>
      </w:pPr>
      <w:r w:rsidRPr="00B11B24">
        <w:rPr>
          <w:rFonts w:ascii="Arial" w:hAnsi="Arial" w:cs="Arial"/>
          <w:bCs/>
          <w:sz w:val="24"/>
          <w:szCs w:val="24"/>
        </w:rPr>
        <w:t xml:space="preserve">APPEARANCE </w:t>
      </w:r>
    </w:p>
    <w:p w14:paraId="0DCED020" w14:textId="77777777" w:rsidR="00405EC6" w:rsidRDefault="00405EC6" w:rsidP="00E77158">
      <w:pPr>
        <w:spacing w:line="240" w:lineRule="auto"/>
        <w:jc w:val="both"/>
        <w:rPr>
          <w:rFonts w:ascii="Arial" w:hAnsi="Arial" w:cs="Arial"/>
          <w:bCs/>
          <w:sz w:val="24"/>
          <w:szCs w:val="24"/>
        </w:rPr>
      </w:pPr>
    </w:p>
    <w:p w14:paraId="6EDB8B32" w14:textId="6077CD60" w:rsidR="00B11B24" w:rsidRDefault="00B11B24" w:rsidP="00E77158">
      <w:pPr>
        <w:spacing w:line="240" w:lineRule="auto"/>
        <w:jc w:val="both"/>
        <w:rPr>
          <w:rFonts w:ascii="Arial" w:hAnsi="Arial" w:cs="Arial"/>
          <w:bCs/>
          <w:sz w:val="24"/>
          <w:szCs w:val="24"/>
        </w:rPr>
      </w:pPr>
      <w:r w:rsidRPr="00B11B24">
        <w:rPr>
          <w:rFonts w:ascii="Arial" w:hAnsi="Arial" w:cs="Arial"/>
          <w:bCs/>
          <w:sz w:val="24"/>
          <w:szCs w:val="24"/>
        </w:rPr>
        <w:t>For the applicants:</w:t>
      </w:r>
      <w:r w:rsidR="00E63982">
        <w:rPr>
          <w:rFonts w:ascii="Arial" w:hAnsi="Arial" w:cs="Arial"/>
          <w:bCs/>
          <w:sz w:val="24"/>
          <w:szCs w:val="24"/>
        </w:rPr>
        <w:tab/>
      </w:r>
      <w:r w:rsidR="00E63982">
        <w:rPr>
          <w:rFonts w:ascii="Arial" w:hAnsi="Arial" w:cs="Arial"/>
          <w:bCs/>
          <w:sz w:val="24"/>
          <w:szCs w:val="24"/>
        </w:rPr>
        <w:tab/>
        <w:t>Adv S Collett</w:t>
      </w:r>
    </w:p>
    <w:p w14:paraId="148187B3" w14:textId="7223BF89" w:rsidR="00E63982" w:rsidRPr="00B11B24" w:rsidRDefault="00E63982" w:rsidP="00E77158">
      <w:pPr>
        <w:spacing w:line="240" w:lineRule="auto"/>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Instructed by Van Rensburg &amp; Associates</w:t>
      </w:r>
    </w:p>
    <w:p w14:paraId="7777EADB" w14:textId="77777777" w:rsidR="00B11B24" w:rsidRPr="00B11B24" w:rsidRDefault="00B11B24" w:rsidP="00E77158">
      <w:pPr>
        <w:spacing w:line="240" w:lineRule="auto"/>
        <w:jc w:val="both"/>
        <w:rPr>
          <w:rFonts w:ascii="Arial" w:hAnsi="Arial" w:cs="Arial"/>
          <w:bCs/>
          <w:sz w:val="24"/>
          <w:szCs w:val="24"/>
        </w:rPr>
      </w:pPr>
    </w:p>
    <w:p w14:paraId="4E79D0C3" w14:textId="3FAD3053" w:rsidR="00B11B24" w:rsidRDefault="00B11B24" w:rsidP="00E77158">
      <w:pPr>
        <w:spacing w:line="240" w:lineRule="auto"/>
        <w:jc w:val="both"/>
        <w:rPr>
          <w:rFonts w:ascii="Arial" w:hAnsi="Arial" w:cs="Arial"/>
          <w:bCs/>
          <w:sz w:val="24"/>
          <w:szCs w:val="24"/>
        </w:rPr>
      </w:pPr>
      <w:r w:rsidRPr="00B11B24">
        <w:rPr>
          <w:rFonts w:ascii="Arial" w:hAnsi="Arial" w:cs="Arial"/>
          <w:bCs/>
          <w:sz w:val="24"/>
          <w:szCs w:val="24"/>
        </w:rPr>
        <w:t xml:space="preserve">For the respondents: </w:t>
      </w:r>
      <w:r w:rsidR="00E63982">
        <w:rPr>
          <w:rFonts w:ascii="Arial" w:hAnsi="Arial" w:cs="Arial"/>
          <w:bCs/>
          <w:sz w:val="24"/>
          <w:szCs w:val="24"/>
        </w:rPr>
        <w:tab/>
        <w:t>Mr L Godongwana</w:t>
      </w:r>
    </w:p>
    <w:p w14:paraId="44C6DB0A" w14:textId="52130B81" w:rsidR="00E63982" w:rsidRPr="00B11B24" w:rsidRDefault="00E63982" w:rsidP="00E77158">
      <w:pPr>
        <w:spacing w:line="240" w:lineRule="auto"/>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Instructed by Godongwana</w:t>
      </w:r>
      <w:r w:rsidR="00405EC6">
        <w:rPr>
          <w:rFonts w:ascii="Arial" w:hAnsi="Arial" w:cs="Arial"/>
          <w:bCs/>
          <w:sz w:val="24"/>
          <w:szCs w:val="24"/>
        </w:rPr>
        <w:t xml:space="preserve"> Ngonyama Pakade Attorneys</w:t>
      </w:r>
    </w:p>
    <w:p w14:paraId="324AB6C3" w14:textId="77777777" w:rsidR="00B11B24" w:rsidRPr="00B11B24" w:rsidRDefault="00B11B24" w:rsidP="00E77158">
      <w:pPr>
        <w:spacing w:line="240" w:lineRule="auto"/>
        <w:jc w:val="both"/>
        <w:rPr>
          <w:rFonts w:ascii="Arial" w:hAnsi="Arial" w:cs="Arial"/>
          <w:bCs/>
          <w:sz w:val="24"/>
          <w:szCs w:val="24"/>
        </w:rPr>
      </w:pPr>
      <w:r>
        <w:rPr>
          <w:rFonts w:ascii="Arial" w:hAnsi="Arial" w:cs="Arial"/>
          <w:bCs/>
          <w:sz w:val="24"/>
          <w:szCs w:val="24"/>
        </w:rPr>
        <w:tab/>
      </w:r>
    </w:p>
    <w:p w14:paraId="77521C38" w14:textId="28929A86" w:rsidR="00B11B24" w:rsidRPr="00B11B24" w:rsidRDefault="00B11B24" w:rsidP="00E77158">
      <w:pPr>
        <w:spacing w:line="240" w:lineRule="auto"/>
        <w:jc w:val="both"/>
        <w:rPr>
          <w:rFonts w:ascii="Arial" w:hAnsi="Arial" w:cs="Arial"/>
          <w:bCs/>
          <w:sz w:val="24"/>
          <w:szCs w:val="24"/>
        </w:rPr>
      </w:pPr>
      <w:r w:rsidRPr="00B11B24">
        <w:rPr>
          <w:rFonts w:ascii="Arial" w:hAnsi="Arial" w:cs="Arial"/>
          <w:bCs/>
          <w:sz w:val="24"/>
          <w:szCs w:val="24"/>
        </w:rPr>
        <w:t xml:space="preserve">Date of hearing: </w:t>
      </w:r>
      <w:r>
        <w:rPr>
          <w:rFonts w:ascii="Arial" w:hAnsi="Arial" w:cs="Arial"/>
          <w:bCs/>
          <w:sz w:val="24"/>
          <w:szCs w:val="24"/>
        </w:rPr>
        <w:tab/>
      </w:r>
      <w:r>
        <w:rPr>
          <w:rFonts w:ascii="Arial" w:hAnsi="Arial" w:cs="Arial"/>
          <w:bCs/>
          <w:sz w:val="24"/>
          <w:szCs w:val="24"/>
        </w:rPr>
        <w:tab/>
      </w:r>
      <w:r w:rsidR="00E77158">
        <w:rPr>
          <w:rFonts w:ascii="Arial" w:hAnsi="Arial" w:cs="Arial"/>
          <w:bCs/>
          <w:sz w:val="24"/>
          <w:szCs w:val="24"/>
        </w:rPr>
        <w:t>16 February 2023.</w:t>
      </w:r>
    </w:p>
    <w:p w14:paraId="5EDB28F1" w14:textId="77777777" w:rsidR="00405EC6" w:rsidRDefault="00405EC6" w:rsidP="00E77158">
      <w:pPr>
        <w:spacing w:line="240" w:lineRule="auto"/>
        <w:jc w:val="both"/>
        <w:rPr>
          <w:rFonts w:ascii="Arial" w:hAnsi="Arial" w:cs="Arial"/>
          <w:bCs/>
          <w:sz w:val="24"/>
          <w:szCs w:val="24"/>
        </w:rPr>
      </w:pPr>
    </w:p>
    <w:p w14:paraId="22977C91" w14:textId="23646DF6" w:rsidR="00405EC6" w:rsidRDefault="00B11B24" w:rsidP="00E77158">
      <w:pPr>
        <w:spacing w:line="240" w:lineRule="auto"/>
        <w:jc w:val="both"/>
        <w:rPr>
          <w:rFonts w:ascii="Arial" w:hAnsi="Arial" w:cs="Arial"/>
          <w:bCs/>
          <w:sz w:val="24"/>
          <w:szCs w:val="24"/>
        </w:rPr>
      </w:pPr>
      <w:r w:rsidRPr="00B11B24">
        <w:rPr>
          <w:rFonts w:ascii="Arial" w:hAnsi="Arial" w:cs="Arial"/>
          <w:bCs/>
          <w:sz w:val="24"/>
          <w:szCs w:val="24"/>
        </w:rPr>
        <w:t xml:space="preserve">Date of delivery </w:t>
      </w:r>
    </w:p>
    <w:p w14:paraId="24119831" w14:textId="51F0F143" w:rsidR="00B11B24" w:rsidRPr="00B11B24" w:rsidRDefault="00B11B24" w:rsidP="00E77158">
      <w:pPr>
        <w:spacing w:line="240" w:lineRule="auto"/>
        <w:jc w:val="both"/>
        <w:rPr>
          <w:rFonts w:ascii="Arial" w:hAnsi="Arial" w:cs="Arial"/>
          <w:bCs/>
          <w:sz w:val="24"/>
          <w:szCs w:val="24"/>
        </w:rPr>
      </w:pPr>
      <w:r w:rsidRPr="00B11B24">
        <w:rPr>
          <w:rFonts w:ascii="Arial" w:hAnsi="Arial" w:cs="Arial"/>
          <w:bCs/>
          <w:sz w:val="24"/>
          <w:szCs w:val="24"/>
        </w:rPr>
        <w:t>of judgment:</w:t>
      </w:r>
      <w:r>
        <w:rPr>
          <w:rFonts w:ascii="Arial" w:hAnsi="Arial" w:cs="Arial"/>
          <w:bCs/>
          <w:sz w:val="24"/>
          <w:szCs w:val="24"/>
        </w:rPr>
        <w:tab/>
      </w:r>
      <w:r w:rsidR="00405EC6">
        <w:rPr>
          <w:rFonts w:ascii="Arial" w:hAnsi="Arial" w:cs="Arial"/>
          <w:bCs/>
          <w:sz w:val="24"/>
          <w:szCs w:val="24"/>
        </w:rPr>
        <w:tab/>
      </w:r>
      <w:r w:rsidR="00405EC6">
        <w:rPr>
          <w:rFonts w:ascii="Arial" w:hAnsi="Arial" w:cs="Arial"/>
          <w:bCs/>
          <w:sz w:val="24"/>
          <w:szCs w:val="24"/>
        </w:rPr>
        <w:tab/>
      </w:r>
      <w:r>
        <w:rPr>
          <w:rFonts w:ascii="Arial" w:hAnsi="Arial" w:cs="Arial"/>
          <w:bCs/>
          <w:sz w:val="24"/>
          <w:szCs w:val="24"/>
        </w:rPr>
        <w:t>25 April 2023.</w:t>
      </w:r>
    </w:p>
    <w:sectPr w:rsidR="00B11B24" w:rsidRPr="00B11B24" w:rsidSect="00070D12">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32AD4" w14:textId="77777777" w:rsidR="006C59A9" w:rsidRDefault="006C59A9" w:rsidP="00367F70">
      <w:pPr>
        <w:spacing w:after="0" w:line="240" w:lineRule="auto"/>
      </w:pPr>
      <w:r>
        <w:separator/>
      </w:r>
    </w:p>
  </w:endnote>
  <w:endnote w:type="continuationSeparator" w:id="0">
    <w:p w14:paraId="54B52456" w14:textId="77777777" w:rsidR="006C59A9" w:rsidRDefault="006C59A9" w:rsidP="00367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01F28" w14:textId="77777777" w:rsidR="006C59A9" w:rsidRDefault="006C59A9" w:rsidP="00367F70">
      <w:pPr>
        <w:spacing w:after="0" w:line="240" w:lineRule="auto"/>
      </w:pPr>
      <w:r>
        <w:separator/>
      </w:r>
    </w:p>
  </w:footnote>
  <w:footnote w:type="continuationSeparator" w:id="0">
    <w:p w14:paraId="2C66C8AE" w14:textId="77777777" w:rsidR="006C59A9" w:rsidRDefault="006C59A9" w:rsidP="00367F70">
      <w:pPr>
        <w:spacing w:after="0" w:line="240" w:lineRule="auto"/>
      </w:pPr>
      <w:r>
        <w:continuationSeparator/>
      </w:r>
    </w:p>
  </w:footnote>
  <w:footnote w:id="1">
    <w:p w14:paraId="334EF033" w14:textId="77777777" w:rsidR="00367F70" w:rsidRPr="00367F70" w:rsidRDefault="00367F70" w:rsidP="00070D12">
      <w:pPr>
        <w:pStyle w:val="FootnoteText"/>
        <w:jc w:val="both"/>
        <w:rPr>
          <w:lang w:val="en-US"/>
        </w:rPr>
      </w:pPr>
      <w:r>
        <w:rPr>
          <w:rStyle w:val="FootnoteReference"/>
        </w:rPr>
        <w:footnoteRef/>
      </w:r>
      <w:r>
        <w:t xml:space="preserve"> </w:t>
      </w:r>
      <w:r>
        <w:rPr>
          <w:lang w:val="en-US"/>
        </w:rPr>
        <w:t>Regulation 4(1)</w:t>
      </w:r>
      <w:r w:rsidR="00E65617">
        <w:rPr>
          <w:lang w:val="en-US"/>
        </w:rPr>
        <w:t xml:space="preserve"> of the </w:t>
      </w:r>
      <w:r w:rsidR="00E65617" w:rsidRPr="00E65617">
        <w:t>Regulations Governing the Administering of an Oath or Affirmation</w:t>
      </w:r>
      <w:r w:rsidR="00E65617">
        <w:t>, published in terms of GNR 1258</w:t>
      </w:r>
      <w:r w:rsidR="000568E5">
        <w:t xml:space="preserve"> of 21 July 1972.</w:t>
      </w:r>
    </w:p>
  </w:footnote>
  <w:footnote w:id="2">
    <w:p w14:paraId="7661A7D8" w14:textId="77777777" w:rsidR="00990BD8" w:rsidRPr="00990BD8" w:rsidRDefault="00990BD8" w:rsidP="00070D12">
      <w:pPr>
        <w:pStyle w:val="FootnoteText"/>
        <w:jc w:val="both"/>
        <w:rPr>
          <w:lang w:val="en-US"/>
        </w:rPr>
      </w:pPr>
      <w:r>
        <w:rPr>
          <w:rStyle w:val="FootnoteReference"/>
        </w:rPr>
        <w:footnoteRef/>
      </w:r>
      <w:r>
        <w:t xml:space="preserve"> </w:t>
      </w:r>
      <w:r w:rsidR="000C40C9">
        <w:rPr>
          <w:lang w:val="en-US"/>
        </w:rPr>
        <w:t>1973 (3) SA 734 (NC).</w:t>
      </w:r>
    </w:p>
  </w:footnote>
  <w:footnote w:id="3">
    <w:p w14:paraId="1B710913" w14:textId="77777777" w:rsidR="00E10589" w:rsidRPr="00E10589" w:rsidRDefault="00E10589" w:rsidP="00070D12">
      <w:pPr>
        <w:pStyle w:val="FootnoteText"/>
        <w:jc w:val="both"/>
        <w:rPr>
          <w:lang w:val="en-US"/>
        </w:rPr>
      </w:pPr>
      <w:r>
        <w:rPr>
          <w:rStyle w:val="FootnoteReference"/>
        </w:rPr>
        <w:footnoteRef/>
      </w:r>
      <w:r>
        <w:t xml:space="preserve"> </w:t>
      </w:r>
      <w:r>
        <w:rPr>
          <w:lang w:val="en-US"/>
        </w:rPr>
        <w:t>At 737.</w:t>
      </w:r>
      <w:r w:rsidR="00F1002D">
        <w:rPr>
          <w:lang w:val="en-US"/>
        </w:rPr>
        <w:t xml:space="preserve"> See, too, </w:t>
      </w:r>
      <w:r w:rsidR="00E7531B" w:rsidRPr="000A70AD">
        <w:rPr>
          <w:i/>
          <w:iCs/>
          <w:lang w:val="en-US"/>
        </w:rPr>
        <w:t>S v Msibi</w:t>
      </w:r>
      <w:r w:rsidR="00E7531B">
        <w:rPr>
          <w:lang w:val="en-US"/>
        </w:rPr>
        <w:t xml:space="preserve"> 1974 (4) SA 821 (T).</w:t>
      </w:r>
    </w:p>
  </w:footnote>
  <w:footnote w:id="4">
    <w:p w14:paraId="5A75DE44" w14:textId="77777777" w:rsidR="00410D2C" w:rsidRPr="00410D2C" w:rsidRDefault="00410D2C" w:rsidP="00070D12">
      <w:pPr>
        <w:pStyle w:val="FootnoteText"/>
        <w:jc w:val="both"/>
        <w:rPr>
          <w:lang w:val="en-US"/>
        </w:rPr>
      </w:pPr>
      <w:r>
        <w:rPr>
          <w:rStyle w:val="FootnoteReference"/>
        </w:rPr>
        <w:footnoteRef/>
      </w:r>
      <w:r>
        <w:t xml:space="preserve"> </w:t>
      </w:r>
      <w:r>
        <w:rPr>
          <w:lang w:val="en-US"/>
        </w:rPr>
        <w:t>2001 (2) SA 232 (SCA).</w:t>
      </w:r>
    </w:p>
  </w:footnote>
  <w:footnote w:id="5">
    <w:p w14:paraId="76DCB1AA" w14:textId="77777777" w:rsidR="00226B50" w:rsidRPr="00226B50" w:rsidRDefault="00226B50" w:rsidP="00070D12">
      <w:pPr>
        <w:pStyle w:val="FootnoteText"/>
        <w:jc w:val="both"/>
        <w:rPr>
          <w:lang w:val="en-US"/>
        </w:rPr>
      </w:pPr>
      <w:r>
        <w:rPr>
          <w:rStyle w:val="FootnoteReference"/>
        </w:rPr>
        <w:footnoteRef/>
      </w:r>
      <w:r>
        <w:t xml:space="preserve"> </w:t>
      </w:r>
      <w:r>
        <w:rPr>
          <w:lang w:val="en-US"/>
        </w:rPr>
        <w:t xml:space="preserve">At </w:t>
      </w:r>
      <w:r w:rsidR="005241B8">
        <w:rPr>
          <w:lang w:val="en-US"/>
        </w:rPr>
        <w:t>239.</w:t>
      </w:r>
    </w:p>
  </w:footnote>
  <w:footnote w:id="6">
    <w:p w14:paraId="0B98B43B" w14:textId="77777777" w:rsidR="00A41665" w:rsidRPr="00A41665" w:rsidRDefault="00A41665" w:rsidP="00070D12">
      <w:pPr>
        <w:pStyle w:val="FootnoteText"/>
        <w:jc w:val="both"/>
        <w:rPr>
          <w:lang w:val="en-US"/>
        </w:rPr>
      </w:pPr>
      <w:r>
        <w:rPr>
          <w:rStyle w:val="FootnoteReference"/>
        </w:rPr>
        <w:footnoteRef/>
      </w:r>
      <w:r>
        <w:t xml:space="preserve"> </w:t>
      </w:r>
      <w:r>
        <w:rPr>
          <w:lang w:val="en-US"/>
        </w:rPr>
        <w:t>Ibid.</w:t>
      </w:r>
    </w:p>
  </w:footnote>
  <w:footnote w:id="7">
    <w:p w14:paraId="7C46FD71" w14:textId="77777777" w:rsidR="00F137F6" w:rsidRPr="00F137F6" w:rsidRDefault="00F137F6" w:rsidP="00B11B24">
      <w:pPr>
        <w:pStyle w:val="FootnoteText"/>
        <w:jc w:val="both"/>
        <w:rPr>
          <w:lang w:val="en-US"/>
        </w:rPr>
      </w:pPr>
      <w:r>
        <w:rPr>
          <w:rStyle w:val="FootnoteReference"/>
        </w:rPr>
        <w:footnoteRef/>
      </w:r>
      <w:r>
        <w:t xml:space="preserve"> </w:t>
      </w:r>
      <w:r w:rsidR="00760689">
        <w:t xml:space="preserve">RC </w:t>
      </w:r>
      <w:r>
        <w:rPr>
          <w:lang w:val="en-US"/>
        </w:rPr>
        <w:t xml:space="preserve">Claassen, </w:t>
      </w:r>
      <w:r w:rsidRPr="008B755E">
        <w:rPr>
          <w:i/>
          <w:iCs/>
          <w:lang w:val="en-US"/>
        </w:rPr>
        <w:t>Claassen’s Dictionary</w:t>
      </w:r>
      <w:r w:rsidR="00760689" w:rsidRPr="008B755E">
        <w:rPr>
          <w:i/>
          <w:iCs/>
          <w:lang w:val="en-US"/>
        </w:rPr>
        <w:t xml:space="preserve"> of Legal Words and Phrases</w:t>
      </w:r>
      <w:r w:rsidR="005B3EEE">
        <w:rPr>
          <w:lang w:val="en-US"/>
        </w:rPr>
        <w:t xml:space="preserve"> (LexisNexis, July 2022</w:t>
      </w:r>
      <w:r w:rsidR="008B755E">
        <w:rPr>
          <w:lang w:val="en-US"/>
        </w:rPr>
        <w:t xml:space="preserve"> – SI 25).</w:t>
      </w:r>
    </w:p>
  </w:footnote>
  <w:footnote w:id="8">
    <w:p w14:paraId="4A75D93A" w14:textId="77777777" w:rsidR="00EF75BF" w:rsidRPr="00EF75BF" w:rsidRDefault="00EF75BF" w:rsidP="00B11B24">
      <w:pPr>
        <w:pStyle w:val="FootnoteText"/>
        <w:jc w:val="both"/>
        <w:rPr>
          <w:lang w:val="en-US"/>
        </w:rPr>
      </w:pPr>
      <w:r>
        <w:rPr>
          <w:rStyle w:val="FootnoteReference"/>
        </w:rPr>
        <w:footnoteRef/>
      </w:r>
      <w:r>
        <w:t xml:space="preserve"> </w:t>
      </w:r>
      <w:r w:rsidR="00EC72CF">
        <w:rPr>
          <w:lang w:val="en-US"/>
        </w:rPr>
        <w:t>2015 (8) BCLR 904 (CC).</w:t>
      </w:r>
    </w:p>
  </w:footnote>
  <w:footnote w:id="9">
    <w:p w14:paraId="261B659B" w14:textId="77777777" w:rsidR="00350086" w:rsidRPr="00350086" w:rsidRDefault="00350086" w:rsidP="00B11B24">
      <w:pPr>
        <w:pStyle w:val="FootnoteText"/>
        <w:jc w:val="both"/>
        <w:rPr>
          <w:lang w:val="en-US"/>
        </w:rPr>
      </w:pPr>
      <w:r>
        <w:rPr>
          <w:rStyle w:val="FootnoteReference"/>
        </w:rPr>
        <w:footnoteRef/>
      </w:r>
      <w:r>
        <w:t xml:space="preserve"> </w:t>
      </w:r>
      <w:r w:rsidR="003A41D1">
        <w:rPr>
          <w:lang w:val="en-US"/>
        </w:rPr>
        <w:t>At paragraph [16].</w:t>
      </w:r>
    </w:p>
  </w:footnote>
  <w:footnote w:id="10">
    <w:p w14:paraId="0415B57E" w14:textId="77777777" w:rsidR="006A4A62" w:rsidRPr="006A4A62" w:rsidRDefault="006A4A62" w:rsidP="00B11B24">
      <w:pPr>
        <w:pStyle w:val="FootnoteText"/>
        <w:jc w:val="both"/>
        <w:rPr>
          <w:lang w:val="en-US"/>
        </w:rPr>
      </w:pPr>
      <w:r>
        <w:rPr>
          <w:rStyle w:val="FootnoteReference"/>
        </w:rPr>
        <w:footnoteRef/>
      </w:r>
      <w:r>
        <w:t xml:space="preserve"> </w:t>
      </w:r>
      <w:r>
        <w:rPr>
          <w:lang w:val="en-US"/>
        </w:rPr>
        <w:t>2021</w:t>
      </w:r>
      <w:r w:rsidR="00F3624D">
        <w:rPr>
          <w:lang w:val="en-US"/>
        </w:rPr>
        <w:t xml:space="preserve"> (6) </w:t>
      </w:r>
      <w:r>
        <w:rPr>
          <w:lang w:val="en-US"/>
        </w:rPr>
        <w:t xml:space="preserve">SA </w:t>
      </w:r>
      <w:r w:rsidR="00F3624D">
        <w:rPr>
          <w:lang w:val="en-US"/>
        </w:rPr>
        <w:t>144</w:t>
      </w:r>
      <w:r>
        <w:rPr>
          <w:lang w:val="en-US"/>
        </w:rPr>
        <w:t xml:space="preserve"> (WCC).</w:t>
      </w:r>
    </w:p>
  </w:footnote>
  <w:footnote w:id="11">
    <w:p w14:paraId="4FE04F81" w14:textId="77777777" w:rsidR="007756DC" w:rsidRPr="007756DC" w:rsidRDefault="007756DC" w:rsidP="00B11B24">
      <w:pPr>
        <w:pStyle w:val="FootnoteText"/>
        <w:jc w:val="both"/>
        <w:rPr>
          <w:lang w:val="en-US"/>
        </w:rPr>
      </w:pPr>
      <w:r>
        <w:rPr>
          <w:rStyle w:val="FootnoteReference"/>
        </w:rPr>
        <w:footnoteRef/>
      </w:r>
      <w:r>
        <w:t xml:space="preserve"> </w:t>
      </w:r>
      <w:r>
        <w:rPr>
          <w:lang w:val="en-US"/>
        </w:rPr>
        <w:t>2014 (5) SA 562 (SCA).</w:t>
      </w:r>
    </w:p>
  </w:footnote>
  <w:footnote w:id="12">
    <w:p w14:paraId="6B56F28F" w14:textId="77777777" w:rsidR="006A7601" w:rsidRPr="006A7601" w:rsidRDefault="006A7601" w:rsidP="00B11B24">
      <w:pPr>
        <w:pStyle w:val="FootnoteText"/>
        <w:jc w:val="both"/>
        <w:rPr>
          <w:lang w:val="en-US"/>
        </w:rPr>
      </w:pPr>
      <w:r>
        <w:rPr>
          <w:rStyle w:val="FootnoteReference"/>
        </w:rPr>
        <w:footnoteRef/>
      </w:r>
      <w:r>
        <w:t xml:space="preserve"> </w:t>
      </w:r>
      <w:r>
        <w:rPr>
          <w:lang w:val="en-US"/>
        </w:rPr>
        <w:t xml:space="preserve">At paragraph </w:t>
      </w:r>
      <w:r w:rsidR="002444C8">
        <w:rPr>
          <w:lang w:val="en-US"/>
        </w:rPr>
        <w:t xml:space="preserve">[12]. See, too, </w:t>
      </w:r>
      <w:r w:rsidR="002444C8" w:rsidRPr="007B4BCD">
        <w:rPr>
          <w:i/>
          <w:iCs/>
          <w:lang w:val="en-US"/>
        </w:rPr>
        <w:t xml:space="preserve">Boshoff v Union </w:t>
      </w:r>
      <w:r w:rsidR="009A6A61" w:rsidRPr="007B4BCD">
        <w:rPr>
          <w:i/>
          <w:iCs/>
          <w:lang w:val="en-US"/>
        </w:rPr>
        <w:t>Government</w:t>
      </w:r>
      <w:r w:rsidR="009A6A61">
        <w:rPr>
          <w:lang w:val="en-US"/>
        </w:rPr>
        <w:t xml:space="preserve"> 1932 TPD 345; </w:t>
      </w:r>
      <w:r w:rsidR="00D325B3" w:rsidRPr="007B4BCD">
        <w:rPr>
          <w:i/>
          <w:iCs/>
          <w:lang w:val="en-US"/>
        </w:rPr>
        <w:t xml:space="preserve">Kommissaris van Binnelandse Inkomste v Absa </w:t>
      </w:r>
      <w:r w:rsidR="002218D1" w:rsidRPr="007B4BCD">
        <w:rPr>
          <w:i/>
          <w:iCs/>
          <w:lang w:val="en-US"/>
        </w:rPr>
        <w:t>B</w:t>
      </w:r>
      <w:r w:rsidR="00D325B3" w:rsidRPr="007B4BCD">
        <w:rPr>
          <w:i/>
          <w:iCs/>
          <w:lang w:val="en-US"/>
        </w:rPr>
        <w:t>ank Bpk</w:t>
      </w:r>
      <w:r w:rsidR="002218D1">
        <w:rPr>
          <w:lang w:val="en-US"/>
        </w:rPr>
        <w:t xml:space="preserve"> 1995 (1) SA 653 (A)</w:t>
      </w:r>
      <w:r w:rsidR="00431C8F">
        <w:rPr>
          <w:lang w:val="en-US"/>
        </w:rPr>
        <w:t xml:space="preserve">; </w:t>
      </w:r>
      <w:r w:rsidR="00431C8F" w:rsidRPr="007B4BCD">
        <w:rPr>
          <w:i/>
          <w:iCs/>
          <w:lang w:val="en-US"/>
        </w:rPr>
        <w:t>Smith v Porritt and others</w:t>
      </w:r>
      <w:r w:rsidR="00431C8F">
        <w:rPr>
          <w:lang w:val="en-US"/>
        </w:rPr>
        <w:t xml:space="preserve"> </w:t>
      </w:r>
      <w:r w:rsidR="00655E07">
        <w:rPr>
          <w:lang w:val="en-US"/>
        </w:rPr>
        <w:t xml:space="preserve">2008 (6) SA 303 (SCA); and </w:t>
      </w:r>
      <w:r w:rsidR="00655E07" w:rsidRPr="007B4BCD">
        <w:rPr>
          <w:i/>
          <w:iCs/>
          <w:lang w:val="en-US"/>
        </w:rPr>
        <w:t>Hyprop Investments Ltd and others</w:t>
      </w:r>
      <w:r w:rsidR="009C52AD" w:rsidRPr="007B4BCD">
        <w:rPr>
          <w:i/>
          <w:iCs/>
          <w:lang w:val="en-US"/>
        </w:rPr>
        <w:t xml:space="preserve"> v NSC Carriers and Forwarding </w:t>
      </w:r>
      <w:r w:rsidR="00E4303C" w:rsidRPr="007B4BCD">
        <w:rPr>
          <w:i/>
          <w:iCs/>
          <w:lang w:val="en-US"/>
        </w:rPr>
        <w:t>C</w:t>
      </w:r>
      <w:r w:rsidR="009C52AD" w:rsidRPr="007B4BCD">
        <w:rPr>
          <w:i/>
          <w:iCs/>
          <w:lang w:val="en-US"/>
        </w:rPr>
        <w:t>C and others</w:t>
      </w:r>
      <w:r w:rsidR="00E4303C">
        <w:rPr>
          <w:lang w:val="en-US"/>
        </w:rPr>
        <w:t xml:space="preserve"> 2014 (5) SA 406 (SCA)</w:t>
      </w:r>
      <w:r w:rsidR="007B4BCD">
        <w:rPr>
          <w:lang w:val="en-US"/>
        </w:rPr>
        <w:t>.</w:t>
      </w:r>
    </w:p>
  </w:footnote>
  <w:footnote w:id="13">
    <w:p w14:paraId="01A44AF8" w14:textId="77777777" w:rsidR="00D61113" w:rsidRPr="00D61113" w:rsidRDefault="00D61113" w:rsidP="00B11B24">
      <w:pPr>
        <w:pStyle w:val="FootnoteText"/>
        <w:jc w:val="both"/>
        <w:rPr>
          <w:lang w:val="en-US"/>
        </w:rPr>
      </w:pPr>
      <w:r>
        <w:rPr>
          <w:rStyle w:val="FootnoteReference"/>
        </w:rPr>
        <w:footnoteRef/>
      </w:r>
      <w:r>
        <w:t xml:space="preserve"> </w:t>
      </w:r>
      <w:r w:rsidR="004F0518" w:rsidRPr="00BF1DA6">
        <w:rPr>
          <w:i/>
          <w:iCs/>
          <w:lang w:val="en-US"/>
        </w:rPr>
        <w:t>Smith</w:t>
      </w:r>
      <w:r w:rsidR="00BF1DA6" w:rsidRPr="00BF1DA6">
        <w:rPr>
          <w:i/>
          <w:iCs/>
          <w:lang w:val="en-US"/>
        </w:rPr>
        <w:t xml:space="preserve"> v Porritt</w:t>
      </w:r>
      <w:r w:rsidR="00BF1DA6">
        <w:rPr>
          <w:lang w:val="en-US"/>
        </w:rPr>
        <w:t xml:space="preserve">, </w:t>
      </w:r>
      <w:r w:rsidR="00BF1DA6" w:rsidRPr="00BF1DA6">
        <w:rPr>
          <w:i/>
          <w:iCs/>
          <w:lang w:val="en-US"/>
        </w:rPr>
        <w:t>supra</w:t>
      </w:r>
      <w:r w:rsidR="00BF1DA6">
        <w:rPr>
          <w:lang w:val="en-US"/>
        </w:rPr>
        <w:t xml:space="preserve"> n 12, at paragraph [10].</w:t>
      </w:r>
      <w:r w:rsidR="004F0518">
        <w:rPr>
          <w:lang w:val="en-US"/>
        </w:rPr>
        <w:t xml:space="preserve"> </w:t>
      </w:r>
    </w:p>
  </w:footnote>
  <w:footnote w:id="14">
    <w:p w14:paraId="16DCB8AE" w14:textId="77777777" w:rsidR="00DD1C93" w:rsidRPr="00DD1C93" w:rsidRDefault="00DD1C93" w:rsidP="00B11B24">
      <w:pPr>
        <w:pStyle w:val="FootnoteText"/>
        <w:jc w:val="both"/>
        <w:rPr>
          <w:lang w:val="en-US"/>
        </w:rPr>
      </w:pPr>
      <w:r>
        <w:rPr>
          <w:rStyle w:val="FootnoteReference"/>
        </w:rPr>
        <w:footnoteRef/>
      </w:r>
      <w:r>
        <w:t xml:space="preserve"> </w:t>
      </w:r>
      <w:r w:rsidR="00225C49" w:rsidRPr="00BB499E">
        <w:rPr>
          <w:i/>
          <w:iCs/>
        </w:rPr>
        <w:t>Brummer</w:t>
      </w:r>
      <w:r w:rsidR="00225C49">
        <w:t xml:space="preserve">, </w:t>
      </w:r>
      <w:r w:rsidR="00225C49" w:rsidRPr="00BB499E">
        <w:rPr>
          <w:i/>
          <w:iCs/>
        </w:rPr>
        <w:t>supra</w:t>
      </w:r>
      <w:r w:rsidR="00225C49">
        <w:t xml:space="preserve"> n</w:t>
      </w:r>
      <w:r w:rsidR="00BB499E">
        <w:t xml:space="preserve"> 10, a</w:t>
      </w:r>
      <w:r>
        <w:rPr>
          <w:lang w:val="en-US"/>
        </w:rPr>
        <w:t xml:space="preserve">t paragraph </w:t>
      </w:r>
      <w:r w:rsidR="00AA0644">
        <w:rPr>
          <w:lang w:val="en-US"/>
        </w:rPr>
        <w:t>[72]</w:t>
      </w:r>
      <w:r w:rsidR="00125511">
        <w:rPr>
          <w:lang w:val="en-US"/>
        </w:rPr>
        <w:t xml:space="preserve">, </w:t>
      </w:r>
      <w:r w:rsidR="00125511" w:rsidRPr="00DC62F1">
        <w:rPr>
          <w:i/>
          <w:iCs/>
          <w:lang w:val="en-US"/>
        </w:rPr>
        <w:t>per</w:t>
      </w:r>
      <w:r w:rsidR="00125511">
        <w:rPr>
          <w:lang w:val="en-US"/>
        </w:rPr>
        <w:t xml:space="preserve"> Gamble J, writing for the majority</w:t>
      </w:r>
      <w:r w:rsidR="00AA0644">
        <w:rPr>
          <w:lang w:val="en-US"/>
        </w:rPr>
        <w:t>.</w:t>
      </w:r>
    </w:p>
  </w:footnote>
  <w:footnote w:id="15">
    <w:p w14:paraId="2CA5A19D" w14:textId="77777777" w:rsidR="00D12E7B" w:rsidRPr="00D12E7B" w:rsidRDefault="00D12E7B" w:rsidP="00B11B24">
      <w:pPr>
        <w:pStyle w:val="FootnoteText"/>
        <w:jc w:val="both"/>
        <w:rPr>
          <w:lang w:val="en-US"/>
        </w:rPr>
      </w:pPr>
      <w:r>
        <w:rPr>
          <w:rStyle w:val="FootnoteReference"/>
        </w:rPr>
        <w:footnoteRef/>
      </w:r>
      <w:r>
        <w:t xml:space="preserve"> </w:t>
      </w:r>
      <w:r w:rsidRPr="00205D02">
        <w:rPr>
          <w:i/>
          <w:iCs/>
          <w:lang w:val="en-US"/>
        </w:rPr>
        <w:t>Smith v Porritt</w:t>
      </w:r>
      <w:r w:rsidR="0090796E">
        <w:rPr>
          <w:lang w:val="en-US"/>
        </w:rPr>
        <w:t xml:space="preserve">, </w:t>
      </w:r>
      <w:r w:rsidR="00F34CFA">
        <w:rPr>
          <w:i/>
          <w:iCs/>
          <w:lang w:val="en-US"/>
        </w:rPr>
        <w:t>op cit</w:t>
      </w:r>
      <w:r w:rsidR="00370AEA">
        <w:rPr>
          <w:lang w:val="en-US"/>
        </w:rPr>
        <w:t>.</w:t>
      </w:r>
    </w:p>
  </w:footnote>
  <w:footnote w:id="16">
    <w:p w14:paraId="6935BE11" w14:textId="77777777" w:rsidR="00144AC2" w:rsidRPr="00144AC2" w:rsidRDefault="00144AC2" w:rsidP="00B11B24">
      <w:pPr>
        <w:pStyle w:val="FootnoteText"/>
        <w:jc w:val="both"/>
        <w:rPr>
          <w:lang w:val="en-US"/>
        </w:rPr>
      </w:pPr>
      <w:r>
        <w:rPr>
          <w:rStyle w:val="FootnoteReference"/>
        </w:rPr>
        <w:footnoteRef/>
      </w:r>
      <w:r>
        <w:t xml:space="preserve"> </w:t>
      </w:r>
      <w:r w:rsidRPr="000C4CB8">
        <w:rPr>
          <w:i/>
          <w:iCs/>
          <w:lang w:val="en-US"/>
        </w:rPr>
        <w:t>Aon South Africa (Pty) Ltd v Van den Heever NO and others</w:t>
      </w:r>
      <w:r>
        <w:rPr>
          <w:lang w:val="en-US"/>
        </w:rPr>
        <w:t xml:space="preserve"> </w:t>
      </w:r>
      <w:r w:rsidR="00C950DE">
        <w:rPr>
          <w:lang w:val="en-US"/>
        </w:rPr>
        <w:t>2018 (6) SA 38 (SCA), at paragraph [40].</w:t>
      </w:r>
    </w:p>
  </w:footnote>
  <w:footnote w:id="17">
    <w:p w14:paraId="4DC972F2" w14:textId="77777777" w:rsidR="00092D3B" w:rsidRPr="00092D3B" w:rsidRDefault="00092D3B" w:rsidP="00B11B24">
      <w:pPr>
        <w:pStyle w:val="FootnoteText"/>
        <w:jc w:val="both"/>
        <w:rPr>
          <w:lang w:val="en-US"/>
        </w:rPr>
      </w:pPr>
      <w:r>
        <w:rPr>
          <w:rStyle w:val="FootnoteReference"/>
        </w:rPr>
        <w:footnoteRef/>
      </w:r>
      <w:r>
        <w:t xml:space="preserve"> </w:t>
      </w:r>
      <w:r w:rsidRPr="00286B0A">
        <w:rPr>
          <w:i/>
          <w:iCs/>
          <w:lang w:val="en-US"/>
        </w:rPr>
        <w:t xml:space="preserve">Ekurhuleni Metropolitan Municipality v </w:t>
      </w:r>
      <w:r w:rsidR="00B715EB" w:rsidRPr="00286B0A">
        <w:rPr>
          <w:i/>
          <w:iCs/>
          <w:lang w:val="en-US"/>
        </w:rPr>
        <w:t>Germiston Municipal Retirement Fund</w:t>
      </w:r>
      <w:r w:rsidR="00B715EB">
        <w:rPr>
          <w:lang w:val="en-US"/>
        </w:rPr>
        <w:t xml:space="preserve"> 2010 (2) </w:t>
      </w:r>
      <w:r w:rsidR="00286B0A">
        <w:rPr>
          <w:lang w:val="en-US"/>
        </w:rPr>
        <w:t>SA 498 (SCA), at paragraph [31].</w:t>
      </w:r>
    </w:p>
  </w:footnote>
  <w:footnote w:id="18">
    <w:p w14:paraId="444B8B20" w14:textId="77777777" w:rsidR="003702DF" w:rsidRPr="003702DF" w:rsidRDefault="003702DF" w:rsidP="00B11B24">
      <w:pPr>
        <w:pStyle w:val="FootnoteText"/>
        <w:jc w:val="both"/>
        <w:rPr>
          <w:lang w:val="en-US"/>
        </w:rPr>
      </w:pPr>
      <w:r>
        <w:rPr>
          <w:rStyle w:val="FootnoteReference"/>
        </w:rPr>
        <w:footnoteRef/>
      </w:r>
      <w:r>
        <w:t xml:space="preserve"> </w:t>
      </w:r>
      <w:r w:rsidRPr="007B3727">
        <w:rPr>
          <w:i/>
          <w:iCs/>
          <w:lang w:val="en-US"/>
        </w:rPr>
        <w:t>Henderson v Henderson</w:t>
      </w:r>
      <w:r>
        <w:rPr>
          <w:lang w:val="en-US"/>
        </w:rPr>
        <w:t xml:space="preserve"> (1843) </w:t>
      </w:r>
      <w:r w:rsidR="00A82790">
        <w:rPr>
          <w:lang w:val="en-US"/>
        </w:rPr>
        <w:t>3 Hare 100</w:t>
      </w:r>
      <w:r w:rsidR="001251CF">
        <w:rPr>
          <w:lang w:val="en-US"/>
        </w:rPr>
        <w:t xml:space="preserve"> ([1843-1860]</w:t>
      </w:r>
      <w:r w:rsidR="00882E5F">
        <w:rPr>
          <w:lang w:val="en-US"/>
        </w:rPr>
        <w:t xml:space="preserve"> All ER Rep 378)</w:t>
      </w:r>
      <w:r w:rsidR="007B3727">
        <w:rPr>
          <w:lang w:val="en-US"/>
        </w:rPr>
        <w:t>, at 114-115 (Hare).</w:t>
      </w:r>
    </w:p>
  </w:footnote>
  <w:footnote w:id="19">
    <w:p w14:paraId="212522F8" w14:textId="77777777" w:rsidR="00E31139" w:rsidRPr="00E31139" w:rsidRDefault="00E31139" w:rsidP="00B11B24">
      <w:pPr>
        <w:pStyle w:val="FootnoteText"/>
        <w:jc w:val="both"/>
        <w:rPr>
          <w:lang w:val="en-US"/>
        </w:rPr>
      </w:pPr>
      <w:r>
        <w:rPr>
          <w:rStyle w:val="FootnoteReference"/>
        </w:rPr>
        <w:footnoteRef/>
      </w:r>
      <w:r>
        <w:t xml:space="preserve"> </w:t>
      </w:r>
      <w:r w:rsidR="00563DAF" w:rsidRPr="0049526A">
        <w:rPr>
          <w:i/>
          <w:iCs/>
        </w:rPr>
        <w:t>Brummer</w:t>
      </w:r>
      <w:r w:rsidR="00563DAF">
        <w:t xml:space="preserve">, </w:t>
      </w:r>
      <w:r w:rsidR="00563DAF" w:rsidRPr="0049526A">
        <w:rPr>
          <w:i/>
          <w:iCs/>
        </w:rPr>
        <w:t>supra</w:t>
      </w:r>
      <w:r w:rsidR="00F44EF7">
        <w:rPr>
          <w:i/>
          <w:iCs/>
        </w:rPr>
        <w:t xml:space="preserve"> </w:t>
      </w:r>
      <w:r w:rsidR="00F44EF7">
        <w:t>n 1</w:t>
      </w:r>
      <w:r w:rsidR="009F7A8E">
        <w:t>0</w:t>
      </w:r>
      <w:r w:rsidR="00563DAF">
        <w:t xml:space="preserve">, at paragraphs [26] to [29], </w:t>
      </w:r>
      <w:r w:rsidR="00563DAF" w:rsidRPr="0049526A">
        <w:rPr>
          <w:i/>
          <w:iCs/>
        </w:rPr>
        <w:t>per</w:t>
      </w:r>
      <w:r w:rsidR="00563DAF">
        <w:t xml:space="preserve"> Wille J</w:t>
      </w:r>
      <w:r w:rsidR="0049526A">
        <w:t>, dissenting.</w:t>
      </w:r>
    </w:p>
  </w:footnote>
  <w:footnote w:id="20">
    <w:p w14:paraId="28BB3D7E" w14:textId="77777777" w:rsidR="00EF31E3" w:rsidRPr="00EF31E3" w:rsidRDefault="00EF31E3" w:rsidP="00B11B24">
      <w:pPr>
        <w:pStyle w:val="FootnoteText"/>
        <w:jc w:val="both"/>
        <w:rPr>
          <w:lang w:val="en-US"/>
        </w:rPr>
      </w:pPr>
      <w:r>
        <w:rPr>
          <w:rStyle w:val="FootnoteReference"/>
        </w:rPr>
        <w:footnoteRef/>
      </w:r>
      <w:r>
        <w:t xml:space="preserve"> </w:t>
      </w:r>
      <w:r w:rsidR="00F37444" w:rsidRPr="00520EE2">
        <w:rPr>
          <w:i/>
          <w:iCs/>
          <w:lang w:val="en-US"/>
        </w:rPr>
        <w:t xml:space="preserve">Petersen </w:t>
      </w:r>
      <w:r w:rsidR="000C6815" w:rsidRPr="00520EE2">
        <w:rPr>
          <w:i/>
          <w:iCs/>
          <w:lang w:val="en-US"/>
        </w:rPr>
        <w:t>and another v Gqosha and another</w:t>
      </w:r>
      <w:r w:rsidR="008559BD">
        <w:rPr>
          <w:lang w:val="en-US"/>
        </w:rPr>
        <w:t xml:space="preserve"> (EL 1281/2021) [2022] </w:t>
      </w:r>
      <w:r w:rsidR="00BF02CF">
        <w:rPr>
          <w:lang w:val="en-US"/>
        </w:rPr>
        <w:t xml:space="preserve">ZAECELLC 12 (9 June 2022), </w:t>
      </w:r>
      <w:r w:rsidR="00520EE2">
        <w:rPr>
          <w:lang w:val="en-US"/>
        </w:rPr>
        <w:t xml:space="preserve">accessed on 17 April 2023 at </w:t>
      </w:r>
      <w:hyperlink r:id="rId1" w:history="1">
        <w:r w:rsidR="00520EE2" w:rsidRPr="00A305D5">
          <w:rPr>
            <w:rStyle w:val="Hyperlink"/>
            <w:lang w:val="en-US"/>
          </w:rPr>
          <w:t>http://www.saflii.org.za/za/cases/ZAECELLC/2022/12.html</w:t>
        </w:r>
      </w:hyperlink>
      <w:r w:rsidR="00520EE2">
        <w:rPr>
          <w:lang w:val="en-US"/>
        </w:rPr>
        <w:t xml:space="preserve"> </w:t>
      </w:r>
    </w:p>
  </w:footnote>
  <w:footnote w:id="21">
    <w:p w14:paraId="3232C37F" w14:textId="77777777" w:rsidR="00133604" w:rsidRPr="00133604" w:rsidRDefault="00133604" w:rsidP="00B11B24">
      <w:pPr>
        <w:pStyle w:val="FootnoteText"/>
        <w:jc w:val="both"/>
        <w:rPr>
          <w:lang w:val="en-US"/>
        </w:rPr>
      </w:pPr>
      <w:r>
        <w:rPr>
          <w:rStyle w:val="FootnoteReference"/>
        </w:rPr>
        <w:footnoteRef/>
      </w:r>
      <w:r>
        <w:t xml:space="preserve"> </w:t>
      </w:r>
      <w:r>
        <w:rPr>
          <w:lang w:val="en-US"/>
        </w:rPr>
        <w:t>At paragraphs</w:t>
      </w:r>
      <w:r w:rsidR="00CA7035">
        <w:rPr>
          <w:lang w:val="en-US"/>
        </w:rPr>
        <w:t xml:space="preserve"> [30] to [32], emphasis added, footnotes omitted.</w:t>
      </w:r>
    </w:p>
  </w:footnote>
  <w:footnote w:id="22">
    <w:p w14:paraId="6082A5DE" w14:textId="77777777" w:rsidR="00BB6E00" w:rsidRPr="00BB6E00" w:rsidRDefault="00BB6E00" w:rsidP="00B11B24">
      <w:pPr>
        <w:pStyle w:val="FootnoteText"/>
        <w:jc w:val="both"/>
        <w:rPr>
          <w:lang w:val="en-US"/>
        </w:rPr>
      </w:pPr>
      <w:r>
        <w:rPr>
          <w:rStyle w:val="FootnoteReference"/>
        </w:rPr>
        <w:footnoteRef/>
      </w:r>
      <w:r>
        <w:t xml:space="preserve"> </w:t>
      </w:r>
      <w:r>
        <w:rPr>
          <w:lang w:val="en-US"/>
        </w:rPr>
        <w:t>At paragraph [35].</w:t>
      </w:r>
    </w:p>
  </w:footnote>
  <w:footnote w:id="23">
    <w:p w14:paraId="0F222179" w14:textId="77777777" w:rsidR="001E5754" w:rsidRPr="00E541E0" w:rsidRDefault="001E5754" w:rsidP="00B11B24">
      <w:pPr>
        <w:pStyle w:val="FootnoteText"/>
        <w:jc w:val="both"/>
        <w:rPr>
          <w:lang w:val="en-US"/>
        </w:rPr>
      </w:pPr>
      <w:r>
        <w:rPr>
          <w:rStyle w:val="FootnoteReference"/>
        </w:rPr>
        <w:footnoteRef/>
      </w:r>
      <w:r>
        <w:t xml:space="preserve"> </w:t>
      </w:r>
      <w:r>
        <w:rPr>
          <w:lang w:val="en-US"/>
        </w:rPr>
        <w:t>1957 (4) SA 234 (C).</w:t>
      </w:r>
    </w:p>
  </w:footnote>
  <w:footnote w:id="24">
    <w:p w14:paraId="2B6AE10C" w14:textId="77777777" w:rsidR="001E5754" w:rsidRPr="00D74E6A" w:rsidRDefault="001E5754" w:rsidP="00B11B24">
      <w:pPr>
        <w:pStyle w:val="FootnoteText"/>
        <w:jc w:val="both"/>
        <w:rPr>
          <w:lang w:val="en-US"/>
        </w:rPr>
      </w:pPr>
      <w:r>
        <w:rPr>
          <w:rStyle w:val="FootnoteReference"/>
        </w:rPr>
        <w:footnoteRef/>
      </w:r>
      <w:r>
        <w:t xml:space="preserve"> </w:t>
      </w:r>
      <w:r>
        <w:rPr>
          <w:lang w:val="en-US"/>
        </w:rPr>
        <w:t>At 235.</w:t>
      </w:r>
    </w:p>
  </w:footnote>
  <w:footnote w:id="25">
    <w:p w14:paraId="3E4844C7" w14:textId="77777777" w:rsidR="001E5754" w:rsidRPr="00E541E0" w:rsidRDefault="001E5754" w:rsidP="00B11B24">
      <w:pPr>
        <w:pStyle w:val="FootnoteText"/>
        <w:jc w:val="both"/>
        <w:rPr>
          <w:lang w:val="en-US"/>
        </w:rPr>
      </w:pPr>
      <w:r>
        <w:rPr>
          <w:rStyle w:val="FootnoteReference"/>
        </w:rPr>
        <w:footnoteRef/>
      </w:r>
      <w:r>
        <w:t xml:space="preserve"> </w:t>
      </w:r>
      <w:r w:rsidRPr="00E541E0">
        <w:t>1984 (3) SA 623 (A)</w:t>
      </w:r>
      <w:r>
        <w:t>.</w:t>
      </w:r>
    </w:p>
  </w:footnote>
  <w:footnote w:id="26">
    <w:p w14:paraId="758361B4" w14:textId="77777777" w:rsidR="001E5754" w:rsidRPr="00E541E0" w:rsidRDefault="001E5754" w:rsidP="00B11B24">
      <w:pPr>
        <w:pStyle w:val="FootnoteText"/>
        <w:jc w:val="both"/>
        <w:rPr>
          <w:lang w:val="en-US"/>
        </w:rPr>
      </w:pPr>
      <w:r>
        <w:rPr>
          <w:rStyle w:val="FootnoteReference"/>
        </w:rPr>
        <w:footnoteRef/>
      </w:r>
      <w:r>
        <w:t xml:space="preserve"> </w:t>
      </w:r>
      <w:r>
        <w:rPr>
          <w:lang w:val="en-US"/>
        </w:rPr>
        <w:t>At 634F-635C.</w:t>
      </w:r>
    </w:p>
  </w:footnote>
  <w:footnote w:id="27">
    <w:p w14:paraId="4C48274F" w14:textId="77777777" w:rsidR="00896C82" w:rsidRPr="00896C82" w:rsidRDefault="00896C82" w:rsidP="00B11B24">
      <w:pPr>
        <w:pStyle w:val="FootnoteText"/>
        <w:jc w:val="both"/>
        <w:rPr>
          <w:lang w:val="en-US"/>
        </w:rPr>
      </w:pPr>
      <w:r>
        <w:rPr>
          <w:rStyle w:val="FootnoteReference"/>
        </w:rPr>
        <w:footnoteRef/>
      </w:r>
      <w:r>
        <w:t xml:space="preserve"> </w:t>
      </w:r>
      <w:r w:rsidR="008E4A7B">
        <w:rPr>
          <w:lang w:val="en-US"/>
        </w:rPr>
        <w:t xml:space="preserve">TJ Scott, ‘Lien’, </w:t>
      </w:r>
      <w:r w:rsidR="008E4A7B" w:rsidRPr="00A37912">
        <w:rPr>
          <w:i/>
          <w:iCs/>
          <w:lang w:val="en-US"/>
        </w:rPr>
        <w:t>LAWSA</w:t>
      </w:r>
      <w:r w:rsidR="008E4A7B">
        <w:rPr>
          <w:lang w:val="en-US"/>
        </w:rPr>
        <w:t xml:space="preserve"> (</w:t>
      </w:r>
      <w:r w:rsidR="005A52E3">
        <w:rPr>
          <w:lang w:val="en-US"/>
        </w:rPr>
        <w:t xml:space="preserve">LexisNexis, </w:t>
      </w:r>
      <w:r w:rsidR="009C06FD">
        <w:rPr>
          <w:lang w:val="en-US"/>
        </w:rPr>
        <w:t xml:space="preserve">vol 26(1), 3ed, </w:t>
      </w:r>
      <w:r w:rsidR="005A52E3">
        <w:rPr>
          <w:lang w:val="en-US"/>
        </w:rPr>
        <w:t>2020), at paragraph 292.</w:t>
      </w:r>
      <w:r w:rsidR="00D02A7F">
        <w:rPr>
          <w:lang w:val="en-US"/>
        </w:rPr>
        <w:t xml:space="preserve"> </w:t>
      </w:r>
    </w:p>
  </w:footnote>
  <w:footnote w:id="28">
    <w:p w14:paraId="0718D15A" w14:textId="77777777" w:rsidR="00753FEC" w:rsidRPr="00753FEC" w:rsidRDefault="00753FEC" w:rsidP="00B11B24">
      <w:pPr>
        <w:pStyle w:val="FootnoteText"/>
        <w:jc w:val="both"/>
        <w:rPr>
          <w:lang w:val="en-US"/>
        </w:rPr>
      </w:pPr>
      <w:r>
        <w:rPr>
          <w:rStyle w:val="FootnoteReference"/>
        </w:rPr>
        <w:footnoteRef/>
      </w:r>
      <w:r>
        <w:t xml:space="preserve"> </w:t>
      </w:r>
      <w:r>
        <w:rPr>
          <w:lang w:val="en-US"/>
        </w:rPr>
        <w:t xml:space="preserve">See </w:t>
      </w:r>
      <w:r w:rsidR="00D921A4" w:rsidRPr="007D4636">
        <w:rPr>
          <w:i/>
          <w:iCs/>
          <w:lang w:val="en-US"/>
        </w:rPr>
        <w:t>United Building Society v Smookler’s Trustees &amp; Golombick’s Trustee</w:t>
      </w:r>
      <w:r w:rsidR="00271989">
        <w:rPr>
          <w:lang w:val="en-US"/>
        </w:rPr>
        <w:t xml:space="preserve"> 1906 TS 623, at 631; </w:t>
      </w:r>
      <w:r w:rsidR="00271989" w:rsidRPr="007D4636">
        <w:rPr>
          <w:i/>
          <w:iCs/>
          <w:lang w:val="en-US"/>
        </w:rPr>
        <w:t>Van Niekerk v Van den Berg</w:t>
      </w:r>
      <w:r w:rsidR="00271989">
        <w:rPr>
          <w:lang w:val="en-US"/>
        </w:rPr>
        <w:t xml:space="preserve"> </w:t>
      </w:r>
      <w:r w:rsidR="009D4E7D">
        <w:rPr>
          <w:lang w:val="en-US"/>
        </w:rPr>
        <w:t xml:space="preserve">1965 (2) SA 525 (A), at </w:t>
      </w:r>
      <w:r w:rsidR="009867D9">
        <w:rPr>
          <w:lang w:val="en-US"/>
        </w:rPr>
        <w:t xml:space="preserve">538-541; </w:t>
      </w:r>
      <w:r w:rsidR="009867D9" w:rsidRPr="007D4636">
        <w:rPr>
          <w:i/>
          <w:iCs/>
          <w:lang w:val="en-US"/>
        </w:rPr>
        <w:t>Brooklyn House Furnishers (Pty) Ltd</w:t>
      </w:r>
      <w:r w:rsidR="000825BB" w:rsidRPr="007D4636">
        <w:rPr>
          <w:i/>
          <w:iCs/>
          <w:lang w:val="en-US"/>
        </w:rPr>
        <w:t xml:space="preserve"> v Knoetze </w:t>
      </w:r>
      <w:r w:rsidR="00E911EA" w:rsidRPr="007D4636">
        <w:rPr>
          <w:i/>
          <w:iCs/>
          <w:lang w:val="en-US"/>
        </w:rPr>
        <w:t>&amp;</w:t>
      </w:r>
      <w:r w:rsidR="000825BB" w:rsidRPr="007D4636">
        <w:rPr>
          <w:i/>
          <w:iCs/>
          <w:lang w:val="en-US"/>
        </w:rPr>
        <w:t xml:space="preserve"> Sons</w:t>
      </w:r>
      <w:r w:rsidR="000825BB">
        <w:rPr>
          <w:lang w:val="en-US"/>
        </w:rPr>
        <w:t xml:space="preserve"> 1970 (3) </w:t>
      </w:r>
      <w:r w:rsidR="00E911EA">
        <w:rPr>
          <w:lang w:val="en-US"/>
        </w:rPr>
        <w:t xml:space="preserve">SA 264 (A), at 270F; </w:t>
      </w:r>
      <w:r w:rsidR="001966B6">
        <w:rPr>
          <w:lang w:val="en-US"/>
        </w:rPr>
        <w:t xml:space="preserve">and </w:t>
      </w:r>
      <w:r w:rsidR="001966B6" w:rsidRPr="007D4636">
        <w:rPr>
          <w:i/>
          <w:iCs/>
          <w:lang w:val="en-US"/>
        </w:rPr>
        <w:t xml:space="preserve">Goudini Chrome (Pty) Ltd </w:t>
      </w:r>
      <w:r w:rsidR="006D76B1" w:rsidRPr="007D4636">
        <w:rPr>
          <w:i/>
          <w:iCs/>
          <w:lang w:val="en-US"/>
        </w:rPr>
        <w:t>v MCC Contracts (Pty) Ltd</w:t>
      </w:r>
      <w:r w:rsidR="006D76B1">
        <w:rPr>
          <w:lang w:val="en-US"/>
        </w:rPr>
        <w:t xml:space="preserve"> 1993 (1) SA 77 (A), at </w:t>
      </w:r>
      <w:r w:rsidR="007D4636">
        <w:rPr>
          <w:lang w:val="en-US"/>
        </w:rPr>
        <w:t>85E-F.</w:t>
      </w:r>
    </w:p>
  </w:footnote>
  <w:footnote w:id="29">
    <w:p w14:paraId="5E242064" w14:textId="77777777" w:rsidR="00312B99" w:rsidRPr="00312B99" w:rsidRDefault="00312B99" w:rsidP="00B11B24">
      <w:pPr>
        <w:pStyle w:val="FootnoteText"/>
        <w:jc w:val="both"/>
        <w:rPr>
          <w:lang w:val="en-US"/>
        </w:rPr>
      </w:pPr>
      <w:r>
        <w:rPr>
          <w:rStyle w:val="FootnoteReference"/>
        </w:rPr>
        <w:footnoteRef/>
      </w:r>
      <w:r>
        <w:t xml:space="preserve"> </w:t>
      </w:r>
      <w:r>
        <w:rPr>
          <w:lang w:val="en-US"/>
        </w:rPr>
        <w:t xml:space="preserve">M Dendy, ‘Mortgage and pledge’, </w:t>
      </w:r>
      <w:r w:rsidRPr="00BD2BF6">
        <w:rPr>
          <w:i/>
          <w:iCs/>
          <w:lang w:val="en-US"/>
        </w:rPr>
        <w:t>LAWSA</w:t>
      </w:r>
      <w:r>
        <w:rPr>
          <w:lang w:val="en-US"/>
        </w:rPr>
        <w:t xml:space="preserve"> (LexisNexis, vol 29, </w:t>
      </w:r>
      <w:r w:rsidR="00BD2BF6">
        <w:rPr>
          <w:lang w:val="en-US"/>
        </w:rPr>
        <w:t>3ed, 2020), at paragraph 405.</w:t>
      </w:r>
    </w:p>
  </w:footnote>
  <w:footnote w:id="30">
    <w:p w14:paraId="2AFB8D19" w14:textId="77777777" w:rsidR="00EF7AFA" w:rsidRPr="00EF7AFA" w:rsidRDefault="00EF7AFA" w:rsidP="00B11B24">
      <w:pPr>
        <w:pStyle w:val="FootnoteText"/>
        <w:jc w:val="both"/>
        <w:rPr>
          <w:lang w:val="en-US"/>
        </w:rPr>
      </w:pPr>
      <w:r>
        <w:rPr>
          <w:rStyle w:val="FootnoteReference"/>
        </w:rPr>
        <w:footnoteRef/>
      </w:r>
      <w:r>
        <w:t xml:space="preserve"> </w:t>
      </w:r>
      <w:r w:rsidRPr="00C749D9">
        <w:rPr>
          <w:i/>
          <w:iCs/>
          <w:lang w:val="en-US"/>
        </w:rPr>
        <w:t>Oertel v Brink</w:t>
      </w:r>
      <w:r>
        <w:rPr>
          <w:lang w:val="en-US"/>
        </w:rPr>
        <w:t xml:space="preserve"> 1972 (3) </w:t>
      </w:r>
      <w:r w:rsidR="00C749D9">
        <w:rPr>
          <w:lang w:val="en-US"/>
        </w:rPr>
        <w:t>SA 669 (W), at 674A-B.</w:t>
      </w:r>
    </w:p>
  </w:footnote>
  <w:footnote w:id="31">
    <w:p w14:paraId="0F60B9B9" w14:textId="77777777" w:rsidR="00EC4903" w:rsidRPr="00EC4903" w:rsidRDefault="00EC4903" w:rsidP="00B11B24">
      <w:pPr>
        <w:pStyle w:val="FootnoteText"/>
        <w:jc w:val="both"/>
        <w:rPr>
          <w:lang w:val="en-US"/>
        </w:rPr>
      </w:pPr>
      <w:r>
        <w:rPr>
          <w:rStyle w:val="FootnoteReference"/>
        </w:rPr>
        <w:footnoteRef/>
      </w:r>
      <w:r>
        <w:t xml:space="preserve"> </w:t>
      </w:r>
      <w:r>
        <w:rPr>
          <w:lang w:val="en-US"/>
        </w:rPr>
        <w:t xml:space="preserve">M Dendy, </w:t>
      </w:r>
      <w:r w:rsidRPr="00EC4903">
        <w:rPr>
          <w:i/>
          <w:iCs/>
          <w:lang w:val="en-US"/>
        </w:rPr>
        <w:t>op cit</w:t>
      </w:r>
      <w:r>
        <w:rPr>
          <w:lang w:val="en-US"/>
        </w:rPr>
        <w:t>, at paragraph 326.</w:t>
      </w:r>
    </w:p>
  </w:footnote>
  <w:footnote w:id="32">
    <w:p w14:paraId="0CC1A62F" w14:textId="77777777" w:rsidR="00312909" w:rsidRPr="00312909" w:rsidRDefault="00312909" w:rsidP="00B11B24">
      <w:pPr>
        <w:pStyle w:val="FootnoteText"/>
        <w:jc w:val="both"/>
        <w:rPr>
          <w:lang w:val="en-US"/>
        </w:rPr>
      </w:pPr>
      <w:r>
        <w:rPr>
          <w:rStyle w:val="FootnoteReference"/>
        </w:rPr>
        <w:footnoteRef/>
      </w:r>
      <w:r>
        <w:t xml:space="preserve"> </w:t>
      </w:r>
      <w:r w:rsidR="00FA589A">
        <w:rPr>
          <w:lang w:val="en-US"/>
        </w:rPr>
        <w:t>DE van</w:t>
      </w:r>
      <w:r>
        <w:rPr>
          <w:lang w:val="en-US"/>
        </w:rPr>
        <w:t xml:space="preserve"> Loggerenberg</w:t>
      </w:r>
      <w:r w:rsidR="002D2946">
        <w:rPr>
          <w:lang w:val="en-US"/>
        </w:rPr>
        <w:t>,</w:t>
      </w:r>
      <w:r w:rsidR="00530FAE">
        <w:rPr>
          <w:lang w:val="en-US"/>
        </w:rPr>
        <w:t xml:space="preserve"> </w:t>
      </w:r>
      <w:r w:rsidR="00530FAE" w:rsidRPr="002D2946">
        <w:rPr>
          <w:i/>
          <w:iCs/>
          <w:lang w:val="en-US"/>
        </w:rPr>
        <w:t>Erasmus: Superior Court Practice</w:t>
      </w:r>
      <w:r w:rsidR="00530FAE">
        <w:rPr>
          <w:lang w:val="en-US"/>
        </w:rPr>
        <w:t xml:space="preserve"> (Jutastat e-publications, </w:t>
      </w:r>
      <w:r w:rsidR="001A12E6">
        <w:rPr>
          <w:lang w:val="en-US"/>
        </w:rPr>
        <w:t xml:space="preserve">RS 20, 2022), at </w:t>
      </w:r>
      <w:r w:rsidR="00580D8A">
        <w:rPr>
          <w:lang w:val="en-US"/>
        </w:rPr>
        <w:t>D1-632H.</w:t>
      </w:r>
    </w:p>
  </w:footnote>
  <w:footnote w:id="33">
    <w:p w14:paraId="7C11007C" w14:textId="77777777" w:rsidR="00E16BC4" w:rsidRPr="00E16BC4" w:rsidRDefault="00E16BC4" w:rsidP="00B11B24">
      <w:pPr>
        <w:pStyle w:val="FootnoteText"/>
        <w:jc w:val="both"/>
        <w:rPr>
          <w:lang w:val="en-US"/>
        </w:rPr>
      </w:pPr>
      <w:r>
        <w:rPr>
          <w:rStyle w:val="FootnoteReference"/>
        </w:rPr>
        <w:footnoteRef/>
      </w:r>
      <w:r>
        <w:t xml:space="preserve"> </w:t>
      </w:r>
      <w:r>
        <w:rPr>
          <w:lang w:val="en-US"/>
        </w:rPr>
        <w:t>1950 (1) SA 655 (T).</w:t>
      </w:r>
    </w:p>
  </w:footnote>
  <w:footnote w:id="34">
    <w:p w14:paraId="334C83B8" w14:textId="77777777" w:rsidR="00E94F03" w:rsidRPr="00E94F03" w:rsidRDefault="00E94F03" w:rsidP="00B11B24">
      <w:pPr>
        <w:pStyle w:val="FootnoteText"/>
        <w:jc w:val="both"/>
        <w:rPr>
          <w:lang w:val="en-US"/>
        </w:rPr>
      </w:pPr>
      <w:r>
        <w:rPr>
          <w:rStyle w:val="FootnoteReference"/>
        </w:rPr>
        <w:footnoteRef/>
      </w:r>
      <w:r>
        <w:t xml:space="preserve"> </w:t>
      </w:r>
      <w:r>
        <w:rPr>
          <w:lang w:val="en-US"/>
        </w:rPr>
        <w:t xml:space="preserve">At </w:t>
      </w:r>
      <w:r w:rsidR="00B040AB">
        <w:rPr>
          <w:lang w:val="en-US"/>
        </w:rPr>
        <w:t>658.</w:t>
      </w:r>
    </w:p>
  </w:footnote>
  <w:footnote w:id="35">
    <w:p w14:paraId="1965E843" w14:textId="77777777" w:rsidR="00FB0F3D" w:rsidRPr="00FB0F3D" w:rsidRDefault="00FB0F3D" w:rsidP="00B11B24">
      <w:pPr>
        <w:pStyle w:val="FootnoteText"/>
        <w:jc w:val="both"/>
        <w:rPr>
          <w:lang w:val="en-US"/>
        </w:rPr>
      </w:pPr>
      <w:r>
        <w:rPr>
          <w:rStyle w:val="FootnoteReference"/>
        </w:rPr>
        <w:footnoteRef/>
      </w:r>
      <w:r>
        <w:t xml:space="preserve"> </w:t>
      </w:r>
      <w:r>
        <w:rPr>
          <w:lang w:val="en-US"/>
        </w:rPr>
        <w:t>1983</w:t>
      </w:r>
      <w:r w:rsidR="00F36BC9">
        <w:rPr>
          <w:lang w:val="en-US"/>
        </w:rPr>
        <w:t xml:space="preserve"> (4) </w:t>
      </w:r>
      <w:r w:rsidR="00C00A3F">
        <w:rPr>
          <w:lang w:val="en-US"/>
        </w:rPr>
        <w:t xml:space="preserve">SA 850, at 852A. See, too, </w:t>
      </w:r>
      <w:r w:rsidR="00276631" w:rsidRPr="003B6490">
        <w:rPr>
          <w:i/>
          <w:iCs/>
          <w:lang w:val="en-US"/>
        </w:rPr>
        <w:t>Windybrow Theatre v Maphela and others</w:t>
      </w:r>
      <w:r w:rsidR="00276631">
        <w:rPr>
          <w:lang w:val="en-US"/>
        </w:rPr>
        <w:t xml:space="preserve"> </w:t>
      </w:r>
      <w:r w:rsidR="008F35C3">
        <w:rPr>
          <w:lang w:val="en-US"/>
        </w:rPr>
        <w:t xml:space="preserve">(2016) 37 ILJ 2641 (LAC), at </w:t>
      </w:r>
      <w:r w:rsidR="003B6490">
        <w:rPr>
          <w:lang w:val="en-US"/>
        </w:rPr>
        <w:t>paragraph [14].</w:t>
      </w:r>
    </w:p>
  </w:footnote>
  <w:footnote w:id="36">
    <w:p w14:paraId="758C1194" w14:textId="77777777" w:rsidR="005E6C56" w:rsidRPr="005E6C56" w:rsidRDefault="005E6C56" w:rsidP="00B11B24">
      <w:pPr>
        <w:pStyle w:val="FootnoteText"/>
        <w:jc w:val="both"/>
        <w:rPr>
          <w:lang w:val="en-US"/>
        </w:rPr>
      </w:pPr>
      <w:r>
        <w:rPr>
          <w:rStyle w:val="FootnoteReference"/>
        </w:rPr>
        <w:footnoteRef/>
      </w:r>
      <w:r>
        <w:t xml:space="preserve"> </w:t>
      </w:r>
      <w:r>
        <w:rPr>
          <w:lang w:val="en-US"/>
        </w:rPr>
        <w:t>2019 JDR 2252 (MN).</w:t>
      </w:r>
    </w:p>
  </w:footnote>
  <w:footnote w:id="37">
    <w:p w14:paraId="198B404C" w14:textId="77777777" w:rsidR="00DF171E" w:rsidRPr="00DF171E" w:rsidRDefault="00DF171E" w:rsidP="00B11B24">
      <w:pPr>
        <w:pStyle w:val="FootnoteText"/>
        <w:jc w:val="both"/>
        <w:rPr>
          <w:lang w:val="en-US"/>
        </w:rPr>
      </w:pPr>
      <w:r>
        <w:rPr>
          <w:rStyle w:val="FootnoteReference"/>
        </w:rPr>
        <w:footnoteRef/>
      </w:r>
      <w:r>
        <w:t xml:space="preserve"> </w:t>
      </w:r>
      <w:r>
        <w:rPr>
          <w:lang w:val="en-US"/>
        </w:rPr>
        <w:t>At paragraph [15].</w:t>
      </w:r>
    </w:p>
  </w:footnote>
  <w:footnote w:id="38">
    <w:p w14:paraId="0E2E5BE2" w14:textId="77777777" w:rsidR="001B235E" w:rsidRPr="001B235E" w:rsidRDefault="001B235E" w:rsidP="00B11B24">
      <w:pPr>
        <w:pStyle w:val="FootnoteText"/>
        <w:jc w:val="both"/>
        <w:rPr>
          <w:lang w:val="en-US"/>
        </w:rPr>
      </w:pPr>
      <w:r>
        <w:rPr>
          <w:rStyle w:val="FootnoteReference"/>
        </w:rPr>
        <w:footnoteRef/>
      </w:r>
      <w:r>
        <w:t xml:space="preserve"> </w:t>
      </w:r>
      <w:r>
        <w:rPr>
          <w:lang w:val="en-US"/>
        </w:rPr>
        <w:t>2003 (1) SA 113 (SCA).</w:t>
      </w:r>
    </w:p>
  </w:footnote>
  <w:footnote w:id="39">
    <w:p w14:paraId="2387B064" w14:textId="77777777" w:rsidR="004E24FA" w:rsidRPr="004E24FA" w:rsidRDefault="004E24FA" w:rsidP="00B11B24">
      <w:pPr>
        <w:pStyle w:val="FootnoteText"/>
        <w:jc w:val="both"/>
        <w:rPr>
          <w:lang w:val="en-US"/>
        </w:rPr>
      </w:pPr>
      <w:r>
        <w:rPr>
          <w:rStyle w:val="FootnoteReference"/>
        </w:rPr>
        <w:footnoteRef/>
      </w:r>
      <w:r>
        <w:t xml:space="preserve"> </w:t>
      </w:r>
      <w:r w:rsidR="00DE50E6">
        <w:rPr>
          <w:lang w:val="en-US"/>
        </w:rPr>
        <w:t xml:space="preserve">DE van Loggerenberg, </w:t>
      </w:r>
      <w:r w:rsidR="00DE50E6" w:rsidRPr="005645E8">
        <w:rPr>
          <w:i/>
          <w:iCs/>
          <w:lang w:val="en-US"/>
        </w:rPr>
        <w:t>op cit</w:t>
      </w:r>
      <w:r w:rsidR="00DE50E6">
        <w:rPr>
          <w:lang w:val="en-US"/>
        </w:rPr>
        <w:t xml:space="preserve">, at </w:t>
      </w:r>
      <w:r w:rsidR="005645E8">
        <w:rPr>
          <w:lang w:val="en-US"/>
        </w:rPr>
        <w:t>D9-1 to D9-3.</w:t>
      </w:r>
    </w:p>
  </w:footnote>
  <w:footnote w:id="40">
    <w:p w14:paraId="2786A427" w14:textId="77777777" w:rsidR="0096399F" w:rsidRPr="0096399F" w:rsidRDefault="0096399F" w:rsidP="00B11B24">
      <w:pPr>
        <w:pStyle w:val="FootnoteText"/>
        <w:jc w:val="both"/>
        <w:rPr>
          <w:lang w:val="en-US"/>
        </w:rPr>
      </w:pPr>
      <w:r>
        <w:rPr>
          <w:rStyle w:val="FootnoteReference"/>
        </w:rPr>
        <w:footnoteRef/>
      </w:r>
      <w:r>
        <w:t xml:space="preserve"> </w:t>
      </w:r>
      <w:r w:rsidR="00256CAA">
        <w:rPr>
          <w:lang w:val="en-US"/>
        </w:rPr>
        <w:t xml:space="preserve">Ibid. The learned writer observed that the Supreme Court of Appeal did not decide whether the ultimate onus </w:t>
      </w:r>
      <w:r w:rsidR="003710F8">
        <w:rPr>
          <w:lang w:val="en-US"/>
        </w:rPr>
        <w:t>lay with the landowner or the occupier.</w:t>
      </w:r>
      <w:r w:rsidR="00BB0139">
        <w:rPr>
          <w:lang w:val="en-US"/>
        </w:rPr>
        <w:t xml:space="preserve"> However, the Constitutional Court </w:t>
      </w:r>
      <w:r w:rsidR="008279C1">
        <w:rPr>
          <w:lang w:val="en-US"/>
        </w:rPr>
        <w:t xml:space="preserve">held, in </w:t>
      </w:r>
      <w:r w:rsidR="008279C1" w:rsidRPr="00921095">
        <w:rPr>
          <w:i/>
          <w:iCs/>
          <w:lang w:val="en-US"/>
        </w:rPr>
        <w:t xml:space="preserve">Port Elizabeth Municipality </w:t>
      </w:r>
      <w:r w:rsidR="00E43E6B" w:rsidRPr="00921095">
        <w:rPr>
          <w:i/>
          <w:iCs/>
          <w:lang w:val="en-US"/>
        </w:rPr>
        <w:t xml:space="preserve">v </w:t>
      </w:r>
      <w:r w:rsidR="00263C49" w:rsidRPr="00921095">
        <w:rPr>
          <w:i/>
          <w:iCs/>
          <w:lang w:val="en-US"/>
        </w:rPr>
        <w:t>Various Occupiers</w:t>
      </w:r>
      <w:r w:rsidR="00263C49">
        <w:rPr>
          <w:lang w:val="en-US"/>
        </w:rPr>
        <w:t xml:space="preserve"> 2005 (1) SA 217 (CC)</w:t>
      </w:r>
      <w:r w:rsidR="00113D01">
        <w:rPr>
          <w:lang w:val="en-US"/>
        </w:rPr>
        <w:t xml:space="preserve">, </w:t>
      </w:r>
      <w:r w:rsidR="002730E6">
        <w:rPr>
          <w:lang w:val="en-US"/>
        </w:rPr>
        <w:t xml:space="preserve">at 235F-G, </w:t>
      </w:r>
      <w:r w:rsidR="00113D01">
        <w:rPr>
          <w:lang w:val="en-US"/>
        </w:rPr>
        <w:t>that</w:t>
      </w:r>
      <w:r w:rsidR="00EC07C2">
        <w:rPr>
          <w:lang w:val="en-US"/>
        </w:rPr>
        <w:t>,</w:t>
      </w:r>
      <w:r w:rsidR="00113D01">
        <w:rPr>
          <w:lang w:val="en-US"/>
        </w:rPr>
        <w:t xml:space="preserve"> although it was incumbent on the parties </w:t>
      </w:r>
      <w:r w:rsidR="00BB2D2D">
        <w:rPr>
          <w:lang w:val="en-US"/>
        </w:rPr>
        <w:t>to make all relevant information available to the court</w:t>
      </w:r>
      <w:r w:rsidR="00E20A43">
        <w:rPr>
          <w:lang w:val="en-US"/>
        </w:rPr>
        <w:t>, technical questions regarding onus should not play an unduly significant role</w:t>
      </w:r>
      <w:r w:rsidR="002730E6">
        <w:rPr>
          <w:lang w:val="en-US"/>
        </w:rPr>
        <w:t xml:space="preserve"> in the enquiry.</w:t>
      </w:r>
    </w:p>
  </w:footnote>
  <w:footnote w:id="41">
    <w:p w14:paraId="73542C01" w14:textId="77777777" w:rsidR="003D6E36" w:rsidRPr="003D6E36" w:rsidRDefault="003D6E36" w:rsidP="00B11B24">
      <w:pPr>
        <w:pStyle w:val="FootnoteText"/>
        <w:jc w:val="both"/>
        <w:rPr>
          <w:lang w:val="en-US"/>
        </w:rPr>
      </w:pPr>
      <w:r>
        <w:rPr>
          <w:rStyle w:val="FootnoteReference"/>
        </w:rPr>
        <w:footnoteRef/>
      </w:r>
      <w:r>
        <w:t xml:space="preserve"> </w:t>
      </w:r>
      <w:r w:rsidR="00184735">
        <w:rPr>
          <w:lang w:val="en-US"/>
        </w:rPr>
        <w:t>2012</w:t>
      </w:r>
      <w:r w:rsidR="0026180B">
        <w:rPr>
          <w:lang w:val="en-US"/>
        </w:rPr>
        <w:t xml:space="preserve"> (6) SA 294 (SCA).</w:t>
      </w:r>
    </w:p>
  </w:footnote>
  <w:footnote w:id="42">
    <w:p w14:paraId="7F291945" w14:textId="77777777" w:rsidR="002B6443" w:rsidRPr="002B6443" w:rsidRDefault="002B6443" w:rsidP="00B11B24">
      <w:pPr>
        <w:pStyle w:val="FootnoteText"/>
        <w:jc w:val="both"/>
        <w:rPr>
          <w:lang w:val="en-US"/>
        </w:rPr>
      </w:pPr>
      <w:r>
        <w:rPr>
          <w:rStyle w:val="FootnoteReference"/>
        </w:rPr>
        <w:footnoteRef/>
      </w:r>
      <w:r>
        <w:t xml:space="preserve"> </w:t>
      </w:r>
      <w:r>
        <w:rPr>
          <w:lang w:val="en-US"/>
        </w:rPr>
        <w:t>At paragraph [25].</w:t>
      </w:r>
    </w:p>
  </w:footnote>
  <w:footnote w:id="43">
    <w:p w14:paraId="66BB7675" w14:textId="77777777" w:rsidR="00F86CA1" w:rsidRPr="00F86CA1" w:rsidRDefault="00F86CA1" w:rsidP="00B11B24">
      <w:pPr>
        <w:pStyle w:val="FootnoteText"/>
        <w:jc w:val="both"/>
        <w:rPr>
          <w:lang w:val="en-US"/>
        </w:rPr>
      </w:pPr>
      <w:r>
        <w:rPr>
          <w:rStyle w:val="FootnoteReference"/>
        </w:rPr>
        <w:footnoteRef/>
      </w:r>
      <w:r>
        <w:t xml:space="preserve"> </w:t>
      </w:r>
      <w:r>
        <w:rPr>
          <w:lang w:val="en-US"/>
        </w:rPr>
        <w:t>At paragraph [30].</w:t>
      </w:r>
    </w:p>
  </w:footnote>
  <w:footnote w:id="44">
    <w:p w14:paraId="40BC533A" w14:textId="77777777" w:rsidR="003B4442" w:rsidRPr="003B4442" w:rsidRDefault="003B4442" w:rsidP="00B11B24">
      <w:pPr>
        <w:pStyle w:val="FootnoteText"/>
        <w:jc w:val="both"/>
        <w:rPr>
          <w:lang w:val="en-US"/>
        </w:rPr>
      </w:pPr>
      <w:r>
        <w:rPr>
          <w:rStyle w:val="FootnoteReference"/>
        </w:rPr>
        <w:footnoteRef/>
      </w:r>
      <w:r>
        <w:t xml:space="preserve"> </w:t>
      </w:r>
      <w:r>
        <w:rPr>
          <w:lang w:val="en-US"/>
        </w:rPr>
        <w:t>2001 (4) SA 1222 (SCA).</w:t>
      </w:r>
    </w:p>
  </w:footnote>
  <w:footnote w:id="45">
    <w:p w14:paraId="13D1A10E" w14:textId="77777777" w:rsidR="001168CB" w:rsidRPr="001168CB" w:rsidRDefault="001168CB" w:rsidP="00B11B24">
      <w:pPr>
        <w:pStyle w:val="FootnoteText"/>
        <w:jc w:val="both"/>
        <w:rPr>
          <w:lang w:val="en-US"/>
        </w:rPr>
      </w:pPr>
      <w:r>
        <w:rPr>
          <w:rStyle w:val="FootnoteReference"/>
        </w:rPr>
        <w:footnoteRef/>
      </w:r>
      <w:r>
        <w:t xml:space="preserve"> </w:t>
      </w:r>
      <w:r>
        <w:rPr>
          <w:lang w:val="en-US"/>
        </w:rPr>
        <w:t>At paragraph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848747"/>
      <w:docPartObj>
        <w:docPartGallery w:val="Page Numbers (Top of Page)"/>
        <w:docPartUnique/>
      </w:docPartObj>
    </w:sdtPr>
    <w:sdtEndPr>
      <w:rPr>
        <w:noProof/>
      </w:rPr>
    </w:sdtEndPr>
    <w:sdtContent>
      <w:p w14:paraId="5ED5EB27" w14:textId="4BD5B079" w:rsidR="00070D12" w:rsidRDefault="00070D12">
        <w:pPr>
          <w:pStyle w:val="Header"/>
          <w:jc w:val="center"/>
        </w:pPr>
        <w:r>
          <w:fldChar w:fldCharType="begin"/>
        </w:r>
        <w:r>
          <w:instrText xml:space="preserve"> PAGE   \* MERGEFORMAT </w:instrText>
        </w:r>
        <w:r>
          <w:fldChar w:fldCharType="separate"/>
        </w:r>
        <w:r w:rsidR="00C314E3">
          <w:rPr>
            <w:noProof/>
          </w:rPr>
          <w:t>2</w:t>
        </w:r>
        <w:r>
          <w:rPr>
            <w:noProof/>
          </w:rPr>
          <w:fldChar w:fldCharType="end"/>
        </w:r>
      </w:p>
    </w:sdtContent>
  </w:sdt>
  <w:p w14:paraId="4FAB2E61" w14:textId="77777777" w:rsidR="00070D12" w:rsidRDefault="00070D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27A9E"/>
    <w:multiLevelType w:val="hybridMultilevel"/>
    <w:tmpl w:val="B55E7EE2"/>
    <w:lvl w:ilvl="0" w:tplc="6C9897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5039E4"/>
    <w:multiLevelType w:val="hybridMultilevel"/>
    <w:tmpl w:val="624A23CE"/>
    <w:lvl w:ilvl="0" w:tplc="5730378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DE31920"/>
    <w:multiLevelType w:val="hybridMultilevel"/>
    <w:tmpl w:val="463033EE"/>
    <w:lvl w:ilvl="0" w:tplc="5730378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8E97CA0"/>
    <w:multiLevelType w:val="hybridMultilevel"/>
    <w:tmpl w:val="CA7A5316"/>
    <w:lvl w:ilvl="0" w:tplc="5730378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8EC6A64"/>
    <w:multiLevelType w:val="hybridMultilevel"/>
    <w:tmpl w:val="B906D32A"/>
    <w:lvl w:ilvl="0" w:tplc="5730378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9677CC3"/>
    <w:multiLevelType w:val="hybridMultilevel"/>
    <w:tmpl w:val="497A4368"/>
    <w:lvl w:ilvl="0" w:tplc="5730378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34F7B88"/>
    <w:multiLevelType w:val="hybridMultilevel"/>
    <w:tmpl w:val="BA6A0B30"/>
    <w:lvl w:ilvl="0" w:tplc="5730378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64" w:dllVersion="6" w:nlCheck="1" w:checkStyle="0"/>
  <w:activeWritingStyle w:appName="MSWord" w:lang="en-US" w:vendorID="64" w:dllVersion="6" w:nlCheck="1" w:checkStyle="0"/>
  <w:activeWritingStyle w:appName="MSWord" w:lang="en-ZA" w:vendorID="64" w:dllVersion="0" w:nlCheck="1" w:checkStyle="0"/>
  <w:activeWritingStyle w:appName="MSWord" w:lang="en-US" w:vendorID="64" w:dllVersion="0" w:nlCheck="1" w:checkStyle="0"/>
  <w:activeWritingStyle w:appName="MSWord" w:lang="en-ZA" w:vendorID="64" w:dllVersion="4096" w:nlCheck="1" w:checkStyle="0"/>
  <w:activeWritingStyle w:appName="MSWord" w:lang="en-ZA"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E6D"/>
    <w:rsid w:val="00000A8C"/>
    <w:rsid w:val="000030D8"/>
    <w:rsid w:val="000032E9"/>
    <w:rsid w:val="00003FBA"/>
    <w:rsid w:val="000048C9"/>
    <w:rsid w:val="00004D48"/>
    <w:rsid w:val="00005E5B"/>
    <w:rsid w:val="000121F7"/>
    <w:rsid w:val="000179C2"/>
    <w:rsid w:val="00017CA5"/>
    <w:rsid w:val="000205A9"/>
    <w:rsid w:val="0002070C"/>
    <w:rsid w:val="00023479"/>
    <w:rsid w:val="000249D1"/>
    <w:rsid w:val="00026A84"/>
    <w:rsid w:val="0003056E"/>
    <w:rsid w:val="0003075F"/>
    <w:rsid w:val="00031622"/>
    <w:rsid w:val="00036DFC"/>
    <w:rsid w:val="000373B4"/>
    <w:rsid w:val="00037A00"/>
    <w:rsid w:val="00042094"/>
    <w:rsid w:val="0004701E"/>
    <w:rsid w:val="00050197"/>
    <w:rsid w:val="00051A56"/>
    <w:rsid w:val="000525F0"/>
    <w:rsid w:val="00055BE4"/>
    <w:rsid w:val="000568E5"/>
    <w:rsid w:val="00057578"/>
    <w:rsid w:val="00060C87"/>
    <w:rsid w:val="00060EDC"/>
    <w:rsid w:val="00062A33"/>
    <w:rsid w:val="00063D47"/>
    <w:rsid w:val="0006439D"/>
    <w:rsid w:val="00065083"/>
    <w:rsid w:val="0006580E"/>
    <w:rsid w:val="00066557"/>
    <w:rsid w:val="0006727B"/>
    <w:rsid w:val="00070D12"/>
    <w:rsid w:val="0007204D"/>
    <w:rsid w:val="00072E13"/>
    <w:rsid w:val="000738F8"/>
    <w:rsid w:val="0007471B"/>
    <w:rsid w:val="00074E09"/>
    <w:rsid w:val="00080BFC"/>
    <w:rsid w:val="00080C7E"/>
    <w:rsid w:val="000824DA"/>
    <w:rsid w:val="000825BB"/>
    <w:rsid w:val="00082A8F"/>
    <w:rsid w:val="00087587"/>
    <w:rsid w:val="00090187"/>
    <w:rsid w:val="0009219C"/>
    <w:rsid w:val="00092D3B"/>
    <w:rsid w:val="00093152"/>
    <w:rsid w:val="00097C4C"/>
    <w:rsid w:val="00097FF9"/>
    <w:rsid w:val="000A1FD1"/>
    <w:rsid w:val="000A3E63"/>
    <w:rsid w:val="000A6E63"/>
    <w:rsid w:val="000A70AD"/>
    <w:rsid w:val="000A7456"/>
    <w:rsid w:val="000B02C6"/>
    <w:rsid w:val="000B055C"/>
    <w:rsid w:val="000B0CB1"/>
    <w:rsid w:val="000B1C2D"/>
    <w:rsid w:val="000B2798"/>
    <w:rsid w:val="000B47C6"/>
    <w:rsid w:val="000B594D"/>
    <w:rsid w:val="000B636B"/>
    <w:rsid w:val="000B6B4D"/>
    <w:rsid w:val="000B7530"/>
    <w:rsid w:val="000C1067"/>
    <w:rsid w:val="000C1B80"/>
    <w:rsid w:val="000C2E08"/>
    <w:rsid w:val="000C40C9"/>
    <w:rsid w:val="000C4297"/>
    <w:rsid w:val="000C4CB8"/>
    <w:rsid w:val="000C6815"/>
    <w:rsid w:val="000D770B"/>
    <w:rsid w:val="000D7A6E"/>
    <w:rsid w:val="000E6A30"/>
    <w:rsid w:val="000E6E9C"/>
    <w:rsid w:val="000F0FEA"/>
    <w:rsid w:val="000F16D6"/>
    <w:rsid w:val="000F202F"/>
    <w:rsid w:val="000F26FA"/>
    <w:rsid w:val="000F34B8"/>
    <w:rsid w:val="000F3ADC"/>
    <w:rsid w:val="000F6886"/>
    <w:rsid w:val="000F72D7"/>
    <w:rsid w:val="00100F8F"/>
    <w:rsid w:val="00102530"/>
    <w:rsid w:val="001033BD"/>
    <w:rsid w:val="001036F4"/>
    <w:rsid w:val="00104273"/>
    <w:rsid w:val="00104BCF"/>
    <w:rsid w:val="00107CE0"/>
    <w:rsid w:val="00113D01"/>
    <w:rsid w:val="001162DA"/>
    <w:rsid w:val="001162F5"/>
    <w:rsid w:val="001168CB"/>
    <w:rsid w:val="00116E34"/>
    <w:rsid w:val="00116E5B"/>
    <w:rsid w:val="00120F76"/>
    <w:rsid w:val="00122C4F"/>
    <w:rsid w:val="00124013"/>
    <w:rsid w:val="001241F8"/>
    <w:rsid w:val="0012504E"/>
    <w:rsid w:val="001251CF"/>
    <w:rsid w:val="00125511"/>
    <w:rsid w:val="0012666D"/>
    <w:rsid w:val="0012774A"/>
    <w:rsid w:val="0013146A"/>
    <w:rsid w:val="00133604"/>
    <w:rsid w:val="001340C1"/>
    <w:rsid w:val="00135218"/>
    <w:rsid w:val="00136AF7"/>
    <w:rsid w:val="00143B57"/>
    <w:rsid w:val="00144AC2"/>
    <w:rsid w:val="00145800"/>
    <w:rsid w:val="001461C1"/>
    <w:rsid w:val="0014666E"/>
    <w:rsid w:val="00157B2B"/>
    <w:rsid w:val="00162619"/>
    <w:rsid w:val="001653BD"/>
    <w:rsid w:val="001657C6"/>
    <w:rsid w:val="0016790F"/>
    <w:rsid w:val="00170647"/>
    <w:rsid w:val="00170B65"/>
    <w:rsid w:val="001718C2"/>
    <w:rsid w:val="00171B85"/>
    <w:rsid w:val="001767C4"/>
    <w:rsid w:val="00176952"/>
    <w:rsid w:val="00182E44"/>
    <w:rsid w:val="00184476"/>
    <w:rsid w:val="00184735"/>
    <w:rsid w:val="00184AA1"/>
    <w:rsid w:val="00185C99"/>
    <w:rsid w:val="00186716"/>
    <w:rsid w:val="001871CE"/>
    <w:rsid w:val="00187A6C"/>
    <w:rsid w:val="00192809"/>
    <w:rsid w:val="0019390B"/>
    <w:rsid w:val="00196128"/>
    <w:rsid w:val="001966B6"/>
    <w:rsid w:val="001A12E6"/>
    <w:rsid w:val="001A1AC4"/>
    <w:rsid w:val="001A2D11"/>
    <w:rsid w:val="001A3898"/>
    <w:rsid w:val="001A6581"/>
    <w:rsid w:val="001B1786"/>
    <w:rsid w:val="001B235E"/>
    <w:rsid w:val="001B2A38"/>
    <w:rsid w:val="001B2E82"/>
    <w:rsid w:val="001B313C"/>
    <w:rsid w:val="001B3A19"/>
    <w:rsid w:val="001B4DA4"/>
    <w:rsid w:val="001B60A5"/>
    <w:rsid w:val="001B7C61"/>
    <w:rsid w:val="001C15CD"/>
    <w:rsid w:val="001C47F5"/>
    <w:rsid w:val="001C55A6"/>
    <w:rsid w:val="001C5649"/>
    <w:rsid w:val="001C60BE"/>
    <w:rsid w:val="001D38A7"/>
    <w:rsid w:val="001D5465"/>
    <w:rsid w:val="001D7FBA"/>
    <w:rsid w:val="001E0C2B"/>
    <w:rsid w:val="001E1928"/>
    <w:rsid w:val="001E41B3"/>
    <w:rsid w:val="001E4647"/>
    <w:rsid w:val="001E51A9"/>
    <w:rsid w:val="001E5754"/>
    <w:rsid w:val="001E5DD6"/>
    <w:rsid w:val="001E6E31"/>
    <w:rsid w:val="001E7886"/>
    <w:rsid w:val="001F0025"/>
    <w:rsid w:val="001F2B34"/>
    <w:rsid w:val="001F3E58"/>
    <w:rsid w:val="001F432B"/>
    <w:rsid w:val="001F52AE"/>
    <w:rsid w:val="001F7B6C"/>
    <w:rsid w:val="00205D02"/>
    <w:rsid w:val="0020646A"/>
    <w:rsid w:val="00212927"/>
    <w:rsid w:val="00213AFD"/>
    <w:rsid w:val="0021438D"/>
    <w:rsid w:val="0021573B"/>
    <w:rsid w:val="00216EDF"/>
    <w:rsid w:val="0022009F"/>
    <w:rsid w:val="002213E5"/>
    <w:rsid w:val="002218D1"/>
    <w:rsid w:val="002239F0"/>
    <w:rsid w:val="00223DBA"/>
    <w:rsid w:val="00224A3A"/>
    <w:rsid w:val="00225C49"/>
    <w:rsid w:val="00225F75"/>
    <w:rsid w:val="002267EA"/>
    <w:rsid w:val="00226B50"/>
    <w:rsid w:val="00230593"/>
    <w:rsid w:val="00230BEF"/>
    <w:rsid w:val="00232E18"/>
    <w:rsid w:val="002334CF"/>
    <w:rsid w:val="00233E43"/>
    <w:rsid w:val="00234545"/>
    <w:rsid w:val="002377A2"/>
    <w:rsid w:val="00237D16"/>
    <w:rsid w:val="00240369"/>
    <w:rsid w:val="00243C8B"/>
    <w:rsid w:val="002444C8"/>
    <w:rsid w:val="00246043"/>
    <w:rsid w:val="00246122"/>
    <w:rsid w:val="0024757C"/>
    <w:rsid w:val="0025154A"/>
    <w:rsid w:val="00252C3F"/>
    <w:rsid w:val="00253CE2"/>
    <w:rsid w:val="00255C0E"/>
    <w:rsid w:val="00256268"/>
    <w:rsid w:val="00256CAA"/>
    <w:rsid w:val="00260D1A"/>
    <w:rsid w:val="0026180B"/>
    <w:rsid w:val="002619BD"/>
    <w:rsid w:val="00263C49"/>
    <w:rsid w:val="002644C7"/>
    <w:rsid w:val="0026667E"/>
    <w:rsid w:val="00271655"/>
    <w:rsid w:val="00271989"/>
    <w:rsid w:val="00271C5A"/>
    <w:rsid w:val="002725AB"/>
    <w:rsid w:val="002730E6"/>
    <w:rsid w:val="00275CE9"/>
    <w:rsid w:val="00276631"/>
    <w:rsid w:val="00277AF3"/>
    <w:rsid w:val="002803E1"/>
    <w:rsid w:val="00280A34"/>
    <w:rsid w:val="002820CB"/>
    <w:rsid w:val="002826F3"/>
    <w:rsid w:val="00284CBE"/>
    <w:rsid w:val="00285B1E"/>
    <w:rsid w:val="00286B0A"/>
    <w:rsid w:val="0029134F"/>
    <w:rsid w:val="00292DC5"/>
    <w:rsid w:val="00293BDB"/>
    <w:rsid w:val="00294563"/>
    <w:rsid w:val="00296BB9"/>
    <w:rsid w:val="002975F9"/>
    <w:rsid w:val="002A2CFD"/>
    <w:rsid w:val="002A2DA3"/>
    <w:rsid w:val="002A6349"/>
    <w:rsid w:val="002B0AE3"/>
    <w:rsid w:val="002B0B59"/>
    <w:rsid w:val="002B175F"/>
    <w:rsid w:val="002B6443"/>
    <w:rsid w:val="002B6E6D"/>
    <w:rsid w:val="002C2B18"/>
    <w:rsid w:val="002C3DDF"/>
    <w:rsid w:val="002C475A"/>
    <w:rsid w:val="002D0F6B"/>
    <w:rsid w:val="002D2946"/>
    <w:rsid w:val="002D6165"/>
    <w:rsid w:val="002D7A22"/>
    <w:rsid w:val="002E17AD"/>
    <w:rsid w:val="002E2A08"/>
    <w:rsid w:val="002E2C4D"/>
    <w:rsid w:val="002E3254"/>
    <w:rsid w:val="002E4500"/>
    <w:rsid w:val="002E6E1A"/>
    <w:rsid w:val="002E7889"/>
    <w:rsid w:val="002F53DC"/>
    <w:rsid w:val="002F58FB"/>
    <w:rsid w:val="002F6039"/>
    <w:rsid w:val="002F7696"/>
    <w:rsid w:val="002F7D3B"/>
    <w:rsid w:val="0030548A"/>
    <w:rsid w:val="00305897"/>
    <w:rsid w:val="003071D0"/>
    <w:rsid w:val="003118F9"/>
    <w:rsid w:val="00311C18"/>
    <w:rsid w:val="003125A6"/>
    <w:rsid w:val="003127A9"/>
    <w:rsid w:val="00312909"/>
    <w:rsid w:val="00312B99"/>
    <w:rsid w:val="003131A8"/>
    <w:rsid w:val="00320426"/>
    <w:rsid w:val="0032534F"/>
    <w:rsid w:val="00325F6C"/>
    <w:rsid w:val="00331934"/>
    <w:rsid w:val="00332716"/>
    <w:rsid w:val="0033313E"/>
    <w:rsid w:val="00333CDB"/>
    <w:rsid w:val="00334768"/>
    <w:rsid w:val="003348AC"/>
    <w:rsid w:val="00335540"/>
    <w:rsid w:val="003361D8"/>
    <w:rsid w:val="003402B2"/>
    <w:rsid w:val="00340E36"/>
    <w:rsid w:val="0034403D"/>
    <w:rsid w:val="003473BB"/>
    <w:rsid w:val="00347612"/>
    <w:rsid w:val="00350086"/>
    <w:rsid w:val="003501EB"/>
    <w:rsid w:val="003504FC"/>
    <w:rsid w:val="00353A12"/>
    <w:rsid w:val="00353DA8"/>
    <w:rsid w:val="003553FC"/>
    <w:rsid w:val="0035568C"/>
    <w:rsid w:val="003569D9"/>
    <w:rsid w:val="003624E4"/>
    <w:rsid w:val="00363B6D"/>
    <w:rsid w:val="00367613"/>
    <w:rsid w:val="0036789C"/>
    <w:rsid w:val="00367F70"/>
    <w:rsid w:val="003702DF"/>
    <w:rsid w:val="00370465"/>
    <w:rsid w:val="00370AEA"/>
    <w:rsid w:val="003710F8"/>
    <w:rsid w:val="003720F2"/>
    <w:rsid w:val="003727CB"/>
    <w:rsid w:val="00374257"/>
    <w:rsid w:val="00374719"/>
    <w:rsid w:val="00374A71"/>
    <w:rsid w:val="00380AD7"/>
    <w:rsid w:val="00381195"/>
    <w:rsid w:val="003818FF"/>
    <w:rsid w:val="00386925"/>
    <w:rsid w:val="00390EE8"/>
    <w:rsid w:val="00392222"/>
    <w:rsid w:val="0039399A"/>
    <w:rsid w:val="00394CE7"/>
    <w:rsid w:val="003A03BC"/>
    <w:rsid w:val="003A0727"/>
    <w:rsid w:val="003A174E"/>
    <w:rsid w:val="003A1E31"/>
    <w:rsid w:val="003A371D"/>
    <w:rsid w:val="003A41D1"/>
    <w:rsid w:val="003A467A"/>
    <w:rsid w:val="003A5B5B"/>
    <w:rsid w:val="003B01E2"/>
    <w:rsid w:val="003B09A6"/>
    <w:rsid w:val="003B4142"/>
    <w:rsid w:val="003B4442"/>
    <w:rsid w:val="003B48E7"/>
    <w:rsid w:val="003B6490"/>
    <w:rsid w:val="003B6A28"/>
    <w:rsid w:val="003B7789"/>
    <w:rsid w:val="003C0744"/>
    <w:rsid w:val="003C11C1"/>
    <w:rsid w:val="003C17F4"/>
    <w:rsid w:val="003C2DC4"/>
    <w:rsid w:val="003C2EC1"/>
    <w:rsid w:val="003C4DB2"/>
    <w:rsid w:val="003C505F"/>
    <w:rsid w:val="003C5EF5"/>
    <w:rsid w:val="003C6AC1"/>
    <w:rsid w:val="003C7DE0"/>
    <w:rsid w:val="003D224B"/>
    <w:rsid w:val="003D4B99"/>
    <w:rsid w:val="003D5E76"/>
    <w:rsid w:val="003D60EF"/>
    <w:rsid w:val="003D6E36"/>
    <w:rsid w:val="003E062F"/>
    <w:rsid w:val="003E3C42"/>
    <w:rsid w:val="003E552A"/>
    <w:rsid w:val="003E6373"/>
    <w:rsid w:val="003E7342"/>
    <w:rsid w:val="003F27EC"/>
    <w:rsid w:val="003F3566"/>
    <w:rsid w:val="003F36F5"/>
    <w:rsid w:val="003F4343"/>
    <w:rsid w:val="003F5310"/>
    <w:rsid w:val="004047B3"/>
    <w:rsid w:val="00405EC6"/>
    <w:rsid w:val="00407244"/>
    <w:rsid w:val="00410A0C"/>
    <w:rsid w:val="00410D2C"/>
    <w:rsid w:val="004128F6"/>
    <w:rsid w:val="00413F47"/>
    <w:rsid w:val="004162AA"/>
    <w:rsid w:val="004164A2"/>
    <w:rsid w:val="004172FD"/>
    <w:rsid w:val="0042432F"/>
    <w:rsid w:val="00426C5B"/>
    <w:rsid w:val="00426E81"/>
    <w:rsid w:val="004303ED"/>
    <w:rsid w:val="00431C8F"/>
    <w:rsid w:val="00431DC8"/>
    <w:rsid w:val="00432AE4"/>
    <w:rsid w:val="00434591"/>
    <w:rsid w:val="00435646"/>
    <w:rsid w:val="00436F7D"/>
    <w:rsid w:val="004377F4"/>
    <w:rsid w:val="00440D52"/>
    <w:rsid w:val="0044190B"/>
    <w:rsid w:val="00443AD7"/>
    <w:rsid w:val="004450CE"/>
    <w:rsid w:val="004471C2"/>
    <w:rsid w:val="00456569"/>
    <w:rsid w:val="00456621"/>
    <w:rsid w:val="0045699B"/>
    <w:rsid w:val="00457CCE"/>
    <w:rsid w:val="00460878"/>
    <w:rsid w:val="00463636"/>
    <w:rsid w:val="00464E73"/>
    <w:rsid w:val="00464FFC"/>
    <w:rsid w:val="004658FE"/>
    <w:rsid w:val="0046618B"/>
    <w:rsid w:val="004679EC"/>
    <w:rsid w:val="00467A7A"/>
    <w:rsid w:val="00472428"/>
    <w:rsid w:val="00473E0E"/>
    <w:rsid w:val="0047444E"/>
    <w:rsid w:val="00474B05"/>
    <w:rsid w:val="00481723"/>
    <w:rsid w:val="0048392A"/>
    <w:rsid w:val="00485D7A"/>
    <w:rsid w:val="0049186B"/>
    <w:rsid w:val="00491ADA"/>
    <w:rsid w:val="00493033"/>
    <w:rsid w:val="004941BB"/>
    <w:rsid w:val="0049526A"/>
    <w:rsid w:val="00495B74"/>
    <w:rsid w:val="00495E68"/>
    <w:rsid w:val="00496008"/>
    <w:rsid w:val="00497014"/>
    <w:rsid w:val="00497B38"/>
    <w:rsid w:val="004A0104"/>
    <w:rsid w:val="004A234E"/>
    <w:rsid w:val="004A7B01"/>
    <w:rsid w:val="004A7C2C"/>
    <w:rsid w:val="004B07E5"/>
    <w:rsid w:val="004B3903"/>
    <w:rsid w:val="004B3AF0"/>
    <w:rsid w:val="004B3EC4"/>
    <w:rsid w:val="004B52F3"/>
    <w:rsid w:val="004B5F06"/>
    <w:rsid w:val="004B66BF"/>
    <w:rsid w:val="004C08C5"/>
    <w:rsid w:val="004C24A9"/>
    <w:rsid w:val="004C3F4D"/>
    <w:rsid w:val="004C58DB"/>
    <w:rsid w:val="004C6281"/>
    <w:rsid w:val="004C799A"/>
    <w:rsid w:val="004D3544"/>
    <w:rsid w:val="004D56C3"/>
    <w:rsid w:val="004E00C1"/>
    <w:rsid w:val="004E1132"/>
    <w:rsid w:val="004E115C"/>
    <w:rsid w:val="004E1651"/>
    <w:rsid w:val="004E24FA"/>
    <w:rsid w:val="004E4C47"/>
    <w:rsid w:val="004E63D8"/>
    <w:rsid w:val="004E73A0"/>
    <w:rsid w:val="004E73D8"/>
    <w:rsid w:val="004F0518"/>
    <w:rsid w:val="004F31BC"/>
    <w:rsid w:val="004F7FBD"/>
    <w:rsid w:val="00500F25"/>
    <w:rsid w:val="00501456"/>
    <w:rsid w:val="00502FF2"/>
    <w:rsid w:val="005048CF"/>
    <w:rsid w:val="005066D6"/>
    <w:rsid w:val="005135B7"/>
    <w:rsid w:val="0051461A"/>
    <w:rsid w:val="005177C3"/>
    <w:rsid w:val="00520EE2"/>
    <w:rsid w:val="00521BA5"/>
    <w:rsid w:val="00521C3E"/>
    <w:rsid w:val="00522CC0"/>
    <w:rsid w:val="00523BA9"/>
    <w:rsid w:val="005241B8"/>
    <w:rsid w:val="00524FE7"/>
    <w:rsid w:val="00525356"/>
    <w:rsid w:val="0053077F"/>
    <w:rsid w:val="00530FAE"/>
    <w:rsid w:val="00531067"/>
    <w:rsid w:val="005315C6"/>
    <w:rsid w:val="005375F8"/>
    <w:rsid w:val="00540309"/>
    <w:rsid w:val="0054121C"/>
    <w:rsid w:val="00545A85"/>
    <w:rsid w:val="00545C63"/>
    <w:rsid w:val="00553F4B"/>
    <w:rsid w:val="005543E8"/>
    <w:rsid w:val="00555068"/>
    <w:rsid w:val="00555F14"/>
    <w:rsid w:val="00560F8A"/>
    <w:rsid w:val="00561C47"/>
    <w:rsid w:val="0056248C"/>
    <w:rsid w:val="00563DAF"/>
    <w:rsid w:val="005645E8"/>
    <w:rsid w:val="005652A3"/>
    <w:rsid w:val="00566369"/>
    <w:rsid w:val="00571195"/>
    <w:rsid w:val="0057573C"/>
    <w:rsid w:val="00576428"/>
    <w:rsid w:val="00580013"/>
    <w:rsid w:val="00580D8A"/>
    <w:rsid w:val="005836DE"/>
    <w:rsid w:val="005840BE"/>
    <w:rsid w:val="005840D8"/>
    <w:rsid w:val="00584C2D"/>
    <w:rsid w:val="005908C6"/>
    <w:rsid w:val="00591CE3"/>
    <w:rsid w:val="005937FE"/>
    <w:rsid w:val="00594F52"/>
    <w:rsid w:val="00597449"/>
    <w:rsid w:val="0059786A"/>
    <w:rsid w:val="00597ECC"/>
    <w:rsid w:val="005A0484"/>
    <w:rsid w:val="005A15AE"/>
    <w:rsid w:val="005A2B08"/>
    <w:rsid w:val="005A3DA5"/>
    <w:rsid w:val="005A52E3"/>
    <w:rsid w:val="005B17B4"/>
    <w:rsid w:val="005B3EEE"/>
    <w:rsid w:val="005B4F91"/>
    <w:rsid w:val="005C3472"/>
    <w:rsid w:val="005C5716"/>
    <w:rsid w:val="005C575C"/>
    <w:rsid w:val="005C6FC0"/>
    <w:rsid w:val="005D0779"/>
    <w:rsid w:val="005D26E2"/>
    <w:rsid w:val="005D3960"/>
    <w:rsid w:val="005D5899"/>
    <w:rsid w:val="005D6EC9"/>
    <w:rsid w:val="005E062C"/>
    <w:rsid w:val="005E4122"/>
    <w:rsid w:val="005E4854"/>
    <w:rsid w:val="005E6C56"/>
    <w:rsid w:val="005E6F2B"/>
    <w:rsid w:val="005E7D88"/>
    <w:rsid w:val="005F1448"/>
    <w:rsid w:val="005F1515"/>
    <w:rsid w:val="005F28FF"/>
    <w:rsid w:val="005F4852"/>
    <w:rsid w:val="006003DF"/>
    <w:rsid w:val="006010D6"/>
    <w:rsid w:val="006027CD"/>
    <w:rsid w:val="00604835"/>
    <w:rsid w:val="006059F5"/>
    <w:rsid w:val="00605CB4"/>
    <w:rsid w:val="00606A22"/>
    <w:rsid w:val="00610118"/>
    <w:rsid w:val="00615328"/>
    <w:rsid w:val="00615A8D"/>
    <w:rsid w:val="00617A88"/>
    <w:rsid w:val="00623356"/>
    <w:rsid w:val="00623ABC"/>
    <w:rsid w:val="00625C5F"/>
    <w:rsid w:val="006275D6"/>
    <w:rsid w:val="0063045F"/>
    <w:rsid w:val="00631C4F"/>
    <w:rsid w:val="00632623"/>
    <w:rsid w:val="00634200"/>
    <w:rsid w:val="00634C3F"/>
    <w:rsid w:val="00634FE4"/>
    <w:rsid w:val="0063516B"/>
    <w:rsid w:val="00636C42"/>
    <w:rsid w:val="00636E45"/>
    <w:rsid w:val="0064604E"/>
    <w:rsid w:val="006462F5"/>
    <w:rsid w:val="00646B03"/>
    <w:rsid w:val="00647000"/>
    <w:rsid w:val="0064770E"/>
    <w:rsid w:val="0065334E"/>
    <w:rsid w:val="0065338A"/>
    <w:rsid w:val="00655C7B"/>
    <w:rsid w:val="00655E07"/>
    <w:rsid w:val="00656AD3"/>
    <w:rsid w:val="006600A8"/>
    <w:rsid w:val="00661DA5"/>
    <w:rsid w:val="006624BA"/>
    <w:rsid w:val="00662ADF"/>
    <w:rsid w:val="00662E0F"/>
    <w:rsid w:val="006643BD"/>
    <w:rsid w:val="00665474"/>
    <w:rsid w:val="006756BD"/>
    <w:rsid w:val="006764D9"/>
    <w:rsid w:val="00680112"/>
    <w:rsid w:val="006805E8"/>
    <w:rsid w:val="00680A10"/>
    <w:rsid w:val="00681162"/>
    <w:rsid w:val="00681739"/>
    <w:rsid w:val="0068213A"/>
    <w:rsid w:val="00682349"/>
    <w:rsid w:val="006824BC"/>
    <w:rsid w:val="006828B7"/>
    <w:rsid w:val="00682EB1"/>
    <w:rsid w:val="0068367D"/>
    <w:rsid w:val="006847A6"/>
    <w:rsid w:val="00687705"/>
    <w:rsid w:val="00687D97"/>
    <w:rsid w:val="00687DFF"/>
    <w:rsid w:val="006904A1"/>
    <w:rsid w:val="006904FD"/>
    <w:rsid w:val="00691803"/>
    <w:rsid w:val="00691DC3"/>
    <w:rsid w:val="00692344"/>
    <w:rsid w:val="00694049"/>
    <w:rsid w:val="00694F1F"/>
    <w:rsid w:val="00695424"/>
    <w:rsid w:val="006A12A7"/>
    <w:rsid w:val="006A22E7"/>
    <w:rsid w:val="006A2A3C"/>
    <w:rsid w:val="006A2A5E"/>
    <w:rsid w:val="006A3280"/>
    <w:rsid w:val="006A4A62"/>
    <w:rsid w:val="006A4D16"/>
    <w:rsid w:val="006A5522"/>
    <w:rsid w:val="006A7601"/>
    <w:rsid w:val="006B1C5D"/>
    <w:rsid w:val="006B39BD"/>
    <w:rsid w:val="006B42AB"/>
    <w:rsid w:val="006B5701"/>
    <w:rsid w:val="006B6145"/>
    <w:rsid w:val="006B6E8E"/>
    <w:rsid w:val="006B6F01"/>
    <w:rsid w:val="006C082B"/>
    <w:rsid w:val="006C1FC9"/>
    <w:rsid w:val="006C4CD0"/>
    <w:rsid w:val="006C59A9"/>
    <w:rsid w:val="006C6C5A"/>
    <w:rsid w:val="006D0056"/>
    <w:rsid w:val="006D32B3"/>
    <w:rsid w:val="006D39B4"/>
    <w:rsid w:val="006D4ADD"/>
    <w:rsid w:val="006D5A27"/>
    <w:rsid w:val="006D76B1"/>
    <w:rsid w:val="006D7DB8"/>
    <w:rsid w:val="006E2C44"/>
    <w:rsid w:val="006E2FAC"/>
    <w:rsid w:val="006E4204"/>
    <w:rsid w:val="006E4BCF"/>
    <w:rsid w:val="006E7A38"/>
    <w:rsid w:val="006E7D9B"/>
    <w:rsid w:val="006F0D9F"/>
    <w:rsid w:val="006F1C42"/>
    <w:rsid w:val="006F49A0"/>
    <w:rsid w:val="00700ECB"/>
    <w:rsid w:val="0070100A"/>
    <w:rsid w:val="00703911"/>
    <w:rsid w:val="00703C45"/>
    <w:rsid w:val="0070626B"/>
    <w:rsid w:val="007124EB"/>
    <w:rsid w:val="00715675"/>
    <w:rsid w:val="007169D5"/>
    <w:rsid w:val="0072145E"/>
    <w:rsid w:val="00723893"/>
    <w:rsid w:val="0072422F"/>
    <w:rsid w:val="0072431A"/>
    <w:rsid w:val="0072612E"/>
    <w:rsid w:val="00726AEC"/>
    <w:rsid w:val="0072709B"/>
    <w:rsid w:val="00733AF1"/>
    <w:rsid w:val="00734153"/>
    <w:rsid w:val="00735F67"/>
    <w:rsid w:val="007367EA"/>
    <w:rsid w:val="00736D24"/>
    <w:rsid w:val="007412EE"/>
    <w:rsid w:val="007421C6"/>
    <w:rsid w:val="00747D9C"/>
    <w:rsid w:val="00747EE8"/>
    <w:rsid w:val="00747FB9"/>
    <w:rsid w:val="00753985"/>
    <w:rsid w:val="00753FEC"/>
    <w:rsid w:val="007544E6"/>
    <w:rsid w:val="007546AF"/>
    <w:rsid w:val="007559C4"/>
    <w:rsid w:val="00760689"/>
    <w:rsid w:val="00760A35"/>
    <w:rsid w:val="00760B91"/>
    <w:rsid w:val="007664BE"/>
    <w:rsid w:val="00766B24"/>
    <w:rsid w:val="00774912"/>
    <w:rsid w:val="007756DC"/>
    <w:rsid w:val="007756F9"/>
    <w:rsid w:val="007759F8"/>
    <w:rsid w:val="00780934"/>
    <w:rsid w:val="007813AF"/>
    <w:rsid w:val="0078248B"/>
    <w:rsid w:val="00783702"/>
    <w:rsid w:val="00785E06"/>
    <w:rsid w:val="007867B3"/>
    <w:rsid w:val="00786C8E"/>
    <w:rsid w:val="00786DB4"/>
    <w:rsid w:val="007908CA"/>
    <w:rsid w:val="00791975"/>
    <w:rsid w:val="00792218"/>
    <w:rsid w:val="00792555"/>
    <w:rsid w:val="00795569"/>
    <w:rsid w:val="00795C19"/>
    <w:rsid w:val="00796B1F"/>
    <w:rsid w:val="007A0C0D"/>
    <w:rsid w:val="007A17F8"/>
    <w:rsid w:val="007A1FCC"/>
    <w:rsid w:val="007A2109"/>
    <w:rsid w:val="007A2478"/>
    <w:rsid w:val="007A3256"/>
    <w:rsid w:val="007A53D8"/>
    <w:rsid w:val="007A77A6"/>
    <w:rsid w:val="007B05D8"/>
    <w:rsid w:val="007B108C"/>
    <w:rsid w:val="007B365E"/>
    <w:rsid w:val="007B369F"/>
    <w:rsid w:val="007B3727"/>
    <w:rsid w:val="007B4395"/>
    <w:rsid w:val="007B4BCD"/>
    <w:rsid w:val="007B67E1"/>
    <w:rsid w:val="007B7F79"/>
    <w:rsid w:val="007C5846"/>
    <w:rsid w:val="007C7FE4"/>
    <w:rsid w:val="007D18DA"/>
    <w:rsid w:val="007D1BE9"/>
    <w:rsid w:val="007D3466"/>
    <w:rsid w:val="007D4636"/>
    <w:rsid w:val="007D4ADC"/>
    <w:rsid w:val="007D628B"/>
    <w:rsid w:val="007D7010"/>
    <w:rsid w:val="007E1ADB"/>
    <w:rsid w:val="007E4221"/>
    <w:rsid w:val="007E4B3E"/>
    <w:rsid w:val="007E54EC"/>
    <w:rsid w:val="007E61C2"/>
    <w:rsid w:val="007E7163"/>
    <w:rsid w:val="007E7BB9"/>
    <w:rsid w:val="007F2089"/>
    <w:rsid w:val="007F3E3F"/>
    <w:rsid w:val="007F4EA8"/>
    <w:rsid w:val="007F596B"/>
    <w:rsid w:val="007F5D18"/>
    <w:rsid w:val="007F6C18"/>
    <w:rsid w:val="00802F33"/>
    <w:rsid w:val="0080592C"/>
    <w:rsid w:val="00806CD0"/>
    <w:rsid w:val="008077AF"/>
    <w:rsid w:val="00811A11"/>
    <w:rsid w:val="00812031"/>
    <w:rsid w:val="0081224D"/>
    <w:rsid w:val="00815954"/>
    <w:rsid w:val="0081627F"/>
    <w:rsid w:val="00816768"/>
    <w:rsid w:val="00817339"/>
    <w:rsid w:val="00817752"/>
    <w:rsid w:val="00821037"/>
    <w:rsid w:val="008214C7"/>
    <w:rsid w:val="00822CFF"/>
    <w:rsid w:val="00824763"/>
    <w:rsid w:val="00827156"/>
    <w:rsid w:val="008279C1"/>
    <w:rsid w:val="00833558"/>
    <w:rsid w:val="0083393F"/>
    <w:rsid w:val="00833C2A"/>
    <w:rsid w:val="00834CC2"/>
    <w:rsid w:val="00835A55"/>
    <w:rsid w:val="00836A31"/>
    <w:rsid w:val="00836C63"/>
    <w:rsid w:val="00840474"/>
    <w:rsid w:val="00841C58"/>
    <w:rsid w:val="008429F8"/>
    <w:rsid w:val="00846B7F"/>
    <w:rsid w:val="00850431"/>
    <w:rsid w:val="0085063B"/>
    <w:rsid w:val="00851838"/>
    <w:rsid w:val="00851C1E"/>
    <w:rsid w:val="00852C3E"/>
    <w:rsid w:val="0085455D"/>
    <w:rsid w:val="008559BD"/>
    <w:rsid w:val="00864675"/>
    <w:rsid w:val="008658BA"/>
    <w:rsid w:val="00865E9F"/>
    <w:rsid w:val="008663F7"/>
    <w:rsid w:val="00867251"/>
    <w:rsid w:val="00873294"/>
    <w:rsid w:val="0087366E"/>
    <w:rsid w:val="00874BCA"/>
    <w:rsid w:val="00877CCF"/>
    <w:rsid w:val="008827C7"/>
    <w:rsid w:val="00882E5F"/>
    <w:rsid w:val="0088426C"/>
    <w:rsid w:val="00884B3E"/>
    <w:rsid w:val="00884BF0"/>
    <w:rsid w:val="00885BA3"/>
    <w:rsid w:val="00886673"/>
    <w:rsid w:val="008868D3"/>
    <w:rsid w:val="0088716C"/>
    <w:rsid w:val="008874C6"/>
    <w:rsid w:val="00890F6A"/>
    <w:rsid w:val="00891D3C"/>
    <w:rsid w:val="008959CB"/>
    <w:rsid w:val="00896C82"/>
    <w:rsid w:val="008A062D"/>
    <w:rsid w:val="008A09D1"/>
    <w:rsid w:val="008A298B"/>
    <w:rsid w:val="008A617E"/>
    <w:rsid w:val="008A6E4A"/>
    <w:rsid w:val="008B1154"/>
    <w:rsid w:val="008B322F"/>
    <w:rsid w:val="008B3D48"/>
    <w:rsid w:val="008B755E"/>
    <w:rsid w:val="008C0E82"/>
    <w:rsid w:val="008C17BB"/>
    <w:rsid w:val="008C35C7"/>
    <w:rsid w:val="008C38A5"/>
    <w:rsid w:val="008C4C5F"/>
    <w:rsid w:val="008C5E01"/>
    <w:rsid w:val="008D5D4E"/>
    <w:rsid w:val="008D6F27"/>
    <w:rsid w:val="008E2454"/>
    <w:rsid w:val="008E4A7B"/>
    <w:rsid w:val="008E4CB9"/>
    <w:rsid w:val="008E55B6"/>
    <w:rsid w:val="008E64DA"/>
    <w:rsid w:val="008F35C3"/>
    <w:rsid w:val="008F3B69"/>
    <w:rsid w:val="0090004A"/>
    <w:rsid w:val="00900271"/>
    <w:rsid w:val="00900762"/>
    <w:rsid w:val="009014E8"/>
    <w:rsid w:val="00904937"/>
    <w:rsid w:val="00904B2B"/>
    <w:rsid w:val="00904CEF"/>
    <w:rsid w:val="00906C47"/>
    <w:rsid w:val="0090796E"/>
    <w:rsid w:val="00913396"/>
    <w:rsid w:val="00913472"/>
    <w:rsid w:val="0091354F"/>
    <w:rsid w:val="00913D42"/>
    <w:rsid w:val="00913DC7"/>
    <w:rsid w:val="00916A2C"/>
    <w:rsid w:val="00920BE5"/>
    <w:rsid w:val="00921095"/>
    <w:rsid w:val="00921E1A"/>
    <w:rsid w:val="00923E5F"/>
    <w:rsid w:val="00925709"/>
    <w:rsid w:val="00927E6D"/>
    <w:rsid w:val="0093373C"/>
    <w:rsid w:val="009400AB"/>
    <w:rsid w:val="00943B99"/>
    <w:rsid w:val="0094504D"/>
    <w:rsid w:val="009450A2"/>
    <w:rsid w:val="00945E3C"/>
    <w:rsid w:val="00946A34"/>
    <w:rsid w:val="0094731C"/>
    <w:rsid w:val="00950254"/>
    <w:rsid w:val="00951F70"/>
    <w:rsid w:val="00952CBD"/>
    <w:rsid w:val="00957849"/>
    <w:rsid w:val="00961557"/>
    <w:rsid w:val="009619D9"/>
    <w:rsid w:val="00961A19"/>
    <w:rsid w:val="00962E19"/>
    <w:rsid w:val="0096399F"/>
    <w:rsid w:val="0096515D"/>
    <w:rsid w:val="00970884"/>
    <w:rsid w:val="00970E19"/>
    <w:rsid w:val="00973DDD"/>
    <w:rsid w:val="009826C3"/>
    <w:rsid w:val="00982949"/>
    <w:rsid w:val="00984136"/>
    <w:rsid w:val="00985585"/>
    <w:rsid w:val="009867D9"/>
    <w:rsid w:val="00990BD8"/>
    <w:rsid w:val="0099161C"/>
    <w:rsid w:val="0099312F"/>
    <w:rsid w:val="009948FE"/>
    <w:rsid w:val="00994B44"/>
    <w:rsid w:val="00997FFD"/>
    <w:rsid w:val="009A0A52"/>
    <w:rsid w:val="009A2851"/>
    <w:rsid w:val="009A2AF2"/>
    <w:rsid w:val="009A3D24"/>
    <w:rsid w:val="009A51C1"/>
    <w:rsid w:val="009A6A61"/>
    <w:rsid w:val="009B06FE"/>
    <w:rsid w:val="009B58FE"/>
    <w:rsid w:val="009C06FD"/>
    <w:rsid w:val="009C3029"/>
    <w:rsid w:val="009C3196"/>
    <w:rsid w:val="009C43BE"/>
    <w:rsid w:val="009C4754"/>
    <w:rsid w:val="009C4D8C"/>
    <w:rsid w:val="009C5086"/>
    <w:rsid w:val="009C52AD"/>
    <w:rsid w:val="009D1352"/>
    <w:rsid w:val="009D4E7D"/>
    <w:rsid w:val="009D6791"/>
    <w:rsid w:val="009D67DC"/>
    <w:rsid w:val="009D6A87"/>
    <w:rsid w:val="009E104B"/>
    <w:rsid w:val="009E1762"/>
    <w:rsid w:val="009E1CF6"/>
    <w:rsid w:val="009E70E0"/>
    <w:rsid w:val="009F19DF"/>
    <w:rsid w:val="009F57FE"/>
    <w:rsid w:val="009F680F"/>
    <w:rsid w:val="009F7A8E"/>
    <w:rsid w:val="00A0119D"/>
    <w:rsid w:val="00A07EC8"/>
    <w:rsid w:val="00A133E3"/>
    <w:rsid w:val="00A1390A"/>
    <w:rsid w:val="00A1433F"/>
    <w:rsid w:val="00A16C8D"/>
    <w:rsid w:val="00A2011B"/>
    <w:rsid w:val="00A20F30"/>
    <w:rsid w:val="00A2111F"/>
    <w:rsid w:val="00A22557"/>
    <w:rsid w:val="00A227B4"/>
    <w:rsid w:val="00A30B90"/>
    <w:rsid w:val="00A312CD"/>
    <w:rsid w:val="00A33C35"/>
    <w:rsid w:val="00A34F28"/>
    <w:rsid w:val="00A371E6"/>
    <w:rsid w:val="00A37912"/>
    <w:rsid w:val="00A401B2"/>
    <w:rsid w:val="00A40671"/>
    <w:rsid w:val="00A41665"/>
    <w:rsid w:val="00A41EB1"/>
    <w:rsid w:val="00A439DB"/>
    <w:rsid w:val="00A43BD5"/>
    <w:rsid w:val="00A44308"/>
    <w:rsid w:val="00A44975"/>
    <w:rsid w:val="00A45241"/>
    <w:rsid w:val="00A4545D"/>
    <w:rsid w:val="00A4674E"/>
    <w:rsid w:val="00A502EF"/>
    <w:rsid w:val="00A50812"/>
    <w:rsid w:val="00A51037"/>
    <w:rsid w:val="00A51A9E"/>
    <w:rsid w:val="00A51F17"/>
    <w:rsid w:val="00A522B7"/>
    <w:rsid w:val="00A5704C"/>
    <w:rsid w:val="00A57A58"/>
    <w:rsid w:val="00A6388C"/>
    <w:rsid w:val="00A6466B"/>
    <w:rsid w:val="00A7032C"/>
    <w:rsid w:val="00A738CA"/>
    <w:rsid w:val="00A743B1"/>
    <w:rsid w:val="00A77FFD"/>
    <w:rsid w:val="00A80DC3"/>
    <w:rsid w:val="00A825DB"/>
    <w:rsid w:val="00A82790"/>
    <w:rsid w:val="00A87957"/>
    <w:rsid w:val="00A907CB"/>
    <w:rsid w:val="00A91E4F"/>
    <w:rsid w:val="00A92CC1"/>
    <w:rsid w:val="00A93100"/>
    <w:rsid w:val="00A955B6"/>
    <w:rsid w:val="00AA0644"/>
    <w:rsid w:val="00AA2198"/>
    <w:rsid w:val="00AA275B"/>
    <w:rsid w:val="00AA2DFC"/>
    <w:rsid w:val="00AA5740"/>
    <w:rsid w:val="00AA58F3"/>
    <w:rsid w:val="00AA5F77"/>
    <w:rsid w:val="00AB0880"/>
    <w:rsid w:val="00AB0FE6"/>
    <w:rsid w:val="00AB1DBD"/>
    <w:rsid w:val="00AB3C5B"/>
    <w:rsid w:val="00AC07D5"/>
    <w:rsid w:val="00AC1F2E"/>
    <w:rsid w:val="00AC33BC"/>
    <w:rsid w:val="00AC4485"/>
    <w:rsid w:val="00AC5C5B"/>
    <w:rsid w:val="00AC6E9F"/>
    <w:rsid w:val="00AC735F"/>
    <w:rsid w:val="00AD2CA6"/>
    <w:rsid w:val="00AD3620"/>
    <w:rsid w:val="00AD3BEB"/>
    <w:rsid w:val="00AD4131"/>
    <w:rsid w:val="00AD4427"/>
    <w:rsid w:val="00AD49C1"/>
    <w:rsid w:val="00AE0401"/>
    <w:rsid w:val="00AE3B9F"/>
    <w:rsid w:val="00AE4403"/>
    <w:rsid w:val="00AE473E"/>
    <w:rsid w:val="00AE4A5A"/>
    <w:rsid w:val="00AE4D76"/>
    <w:rsid w:val="00AE5D1C"/>
    <w:rsid w:val="00AE6287"/>
    <w:rsid w:val="00AE76AE"/>
    <w:rsid w:val="00AF46F9"/>
    <w:rsid w:val="00AF688E"/>
    <w:rsid w:val="00AF7601"/>
    <w:rsid w:val="00B03062"/>
    <w:rsid w:val="00B040AB"/>
    <w:rsid w:val="00B04CA5"/>
    <w:rsid w:val="00B052A2"/>
    <w:rsid w:val="00B05E4D"/>
    <w:rsid w:val="00B06E87"/>
    <w:rsid w:val="00B11B24"/>
    <w:rsid w:val="00B12F74"/>
    <w:rsid w:val="00B13BCB"/>
    <w:rsid w:val="00B15154"/>
    <w:rsid w:val="00B15F85"/>
    <w:rsid w:val="00B16DD8"/>
    <w:rsid w:val="00B20467"/>
    <w:rsid w:val="00B2385F"/>
    <w:rsid w:val="00B23D47"/>
    <w:rsid w:val="00B26FF0"/>
    <w:rsid w:val="00B275A5"/>
    <w:rsid w:val="00B30BD5"/>
    <w:rsid w:val="00B319D0"/>
    <w:rsid w:val="00B33A79"/>
    <w:rsid w:val="00B353EE"/>
    <w:rsid w:val="00B3782A"/>
    <w:rsid w:val="00B37D64"/>
    <w:rsid w:val="00B4549D"/>
    <w:rsid w:val="00B46220"/>
    <w:rsid w:val="00B4727D"/>
    <w:rsid w:val="00B47A17"/>
    <w:rsid w:val="00B47AF0"/>
    <w:rsid w:val="00B50C1F"/>
    <w:rsid w:val="00B54101"/>
    <w:rsid w:val="00B55D1E"/>
    <w:rsid w:val="00B62CD7"/>
    <w:rsid w:val="00B6354E"/>
    <w:rsid w:val="00B66B66"/>
    <w:rsid w:val="00B71274"/>
    <w:rsid w:val="00B715EB"/>
    <w:rsid w:val="00B72152"/>
    <w:rsid w:val="00B73370"/>
    <w:rsid w:val="00B739FD"/>
    <w:rsid w:val="00B7470B"/>
    <w:rsid w:val="00B74EB2"/>
    <w:rsid w:val="00B773CE"/>
    <w:rsid w:val="00B81248"/>
    <w:rsid w:val="00B815CE"/>
    <w:rsid w:val="00B81BBC"/>
    <w:rsid w:val="00B82CBF"/>
    <w:rsid w:val="00B83E46"/>
    <w:rsid w:val="00B84444"/>
    <w:rsid w:val="00B850CD"/>
    <w:rsid w:val="00B854DE"/>
    <w:rsid w:val="00B859CE"/>
    <w:rsid w:val="00B87FE9"/>
    <w:rsid w:val="00B90FDF"/>
    <w:rsid w:val="00B91039"/>
    <w:rsid w:val="00B91D0F"/>
    <w:rsid w:val="00B92210"/>
    <w:rsid w:val="00B946CA"/>
    <w:rsid w:val="00B97C01"/>
    <w:rsid w:val="00BA226E"/>
    <w:rsid w:val="00BB0139"/>
    <w:rsid w:val="00BB287A"/>
    <w:rsid w:val="00BB2C88"/>
    <w:rsid w:val="00BB2D2D"/>
    <w:rsid w:val="00BB499E"/>
    <w:rsid w:val="00BB52CC"/>
    <w:rsid w:val="00BB5C60"/>
    <w:rsid w:val="00BB66E6"/>
    <w:rsid w:val="00BB6E00"/>
    <w:rsid w:val="00BC0BE1"/>
    <w:rsid w:val="00BC1F43"/>
    <w:rsid w:val="00BC7847"/>
    <w:rsid w:val="00BD086E"/>
    <w:rsid w:val="00BD1162"/>
    <w:rsid w:val="00BD270B"/>
    <w:rsid w:val="00BD2BF6"/>
    <w:rsid w:val="00BD324C"/>
    <w:rsid w:val="00BD4CC6"/>
    <w:rsid w:val="00BE156C"/>
    <w:rsid w:val="00BE16CD"/>
    <w:rsid w:val="00BE7143"/>
    <w:rsid w:val="00BF02CF"/>
    <w:rsid w:val="00BF0E5E"/>
    <w:rsid w:val="00BF1DA6"/>
    <w:rsid w:val="00BF5320"/>
    <w:rsid w:val="00BF6A6A"/>
    <w:rsid w:val="00C00A3F"/>
    <w:rsid w:val="00C010E4"/>
    <w:rsid w:val="00C0163C"/>
    <w:rsid w:val="00C0356C"/>
    <w:rsid w:val="00C0364C"/>
    <w:rsid w:val="00C036EC"/>
    <w:rsid w:val="00C0389D"/>
    <w:rsid w:val="00C03DA9"/>
    <w:rsid w:val="00C04CA7"/>
    <w:rsid w:val="00C06CCF"/>
    <w:rsid w:val="00C1179C"/>
    <w:rsid w:val="00C12F92"/>
    <w:rsid w:val="00C149A6"/>
    <w:rsid w:val="00C16A2A"/>
    <w:rsid w:val="00C171C8"/>
    <w:rsid w:val="00C17FBE"/>
    <w:rsid w:val="00C2257E"/>
    <w:rsid w:val="00C314E3"/>
    <w:rsid w:val="00C33104"/>
    <w:rsid w:val="00C33AA9"/>
    <w:rsid w:val="00C33E53"/>
    <w:rsid w:val="00C3484D"/>
    <w:rsid w:val="00C35192"/>
    <w:rsid w:val="00C35E4E"/>
    <w:rsid w:val="00C377A9"/>
    <w:rsid w:val="00C423B9"/>
    <w:rsid w:val="00C432EE"/>
    <w:rsid w:val="00C43D06"/>
    <w:rsid w:val="00C4431F"/>
    <w:rsid w:val="00C53F50"/>
    <w:rsid w:val="00C54E75"/>
    <w:rsid w:val="00C55782"/>
    <w:rsid w:val="00C56605"/>
    <w:rsid w:val="00C57A2F"/>
    <w:rsid w:val="00C61C93"/>
    <w:rsid w:val="00C647A1"/>
    <w:rsid w:val="00C64B3F"/>
    <w:rsid w:val="00C65940"/>
    <w:rsid w:val="00C660FA"/>
    <w:rsid w:val="00C7074E"/>
    <w:rsid w:val="00C749D9"/>
    <w:rsid w:val="00C74CE8"/>
    <w:rsid w:val="00C74D0F"/>
    <w:rsid w:val="00C76E0B"/>
    <w:rsid w:val="00C804F5"/>
    <w:rsid w:val="00C817EC"/>
    <w:rsid w:val="00C82D93"/>
    <w:rsid w:val="00C8482C"/>
    <w:rsid w:val="00C848B5"/>
    <w:rsid w:val="00C871B2"/>
    <w:rsid w:val="00C90354"/>
    <w:rsid w:val="00C9091E"/>
    <w:rsid w:val="00C921B9"/>
    <w:rsid w:val="00C950DE"/>
    <w:rsid w:val="00C97C33"/>
    <w:rsid w:val="00CA0087"/>
    <w:rsid w:val="00CA0380"/>
    <w:rsid w:val="00CA07BE"/>
    <w:rsid w:val="00CA11B4"/>
    <w:rsid w:val="00CA2A14"/>
    <w:rsid w:val="00CA6DB4"/>
    <w:rsid w:val="00CA6FA9"/>
    <w:rsid w:val="00CA7035"/>
    <w:rsid w:val="00CA73B5"/>
    <w:rsid w:val="00CB0A3E"/>
    <w:rsid w:val="00CB0D46"/>
    <w:rsid w:val="00CB2C0C"/>
    <w:rsid w:val="00CB43CD"/>
    <w:rsid w:val="00CB543C"/>
    <w:rsid w:val="00CB6654"/>
    <w:rsid w:val="00CB6711"/>
    <w:rsid w:val="00CC17B1"/>
    <w:rsid w:val="00CC43D8"/>
    <w:rsid w:val="00CC4DFE"/>
    <w:rsid w:val="00CC7BC2"/>
    <w:rsid w:val="00CC7F17"/>
    <w:rsid w:val="00CD2187"/>
    <w:rsid w:val="00CD3792"/>
    <w:rsid w:val="00CD4949"/>
    <w:rsid w:val="00CE3461"/>
    <w:rsid w:val="00CE4517"/>
    <w:rsid w:val="00CE4606"/>
    <w:rsid w:val="00CF2656"/>
    <w:rsid w:val="00CF4C97"/>
    <w:rsid w:val="00CF6107"/>
    <w:rsid w:val="00D00D3B"/>
    <w:rsid w:val="00D01F1C"/>
    <w:rsid w:val="00D02A7F"/>
    <w:rsid w:val="00D031AA"/>
    <w:rsid w:val="00D03DEC"/>
    <w:rsid w:val="00D04E70"/>
    <w:rsid w:val="00D066B2"/>
    <w:rsid w:val="00D07684"/>
    <w:rsid w:val="00D07944"/>
    <w:rsid w:val="00D10FE2"/>
    <w:rsid w:val="00D12E7B"/>
    <w:rsid w:val="00D13250"/>
    <w:rsid w:val="00D15F40"/>
    <w:rsid w:val="00D1645A"/>
    <w:rsid w:val="00D17F10"/>
    <w:rsid w:val="00D245A3"/>
    <w:rsid w:val="00D24F36"/>
    <w:rsid w:val="00D325B3"/>
    <w:rsid w:val="00D32C10"/>
    <w:rsid w:val="00D33CC0"/>
    <w:rsid w:val="00D34004"/>
    <w:rsid w:val="00D35315"/>
    <w:rsid w:val="00D35F9F"/>
    <w:rsid w:val="00D3695E"/>
    <w:rsid w:val="00D36E3F"/>
    <w:rsid w:val="00D4008E"/>
    <w:rsid w:val="00D41135"/>
    <w:rsid w:val="00D41BA8"/>
    <w:rsid w:val="00D4353A"/>
    <w:rsid w:val="00D43748"/>
    <w:rsid w:val="00D455C9"/>
    <w:rsid w:val="00D504AF"/>
    <w:rsid w:val="00D5152D"/>
    <w:rsid w:val="00D52BC6"/>
    <w:rsid w:val="00D53DAD"/>
    <w:rsid w:val="00D55274"/>
    <w:rsid w:val="00D57EA7"/>
    <w:rsid w:val="00D60773"/>
    <w:rsid w:val="00D61113"/>
    <w:rsid w:val="00D61C94"/>
    <w:rsid w:val="00D62833"/>
    <w:rsid w:val="00D654A5"/>
    <w:rsid w:val="00D66D1B"/>
    <w:rsid w:val="00D70B86"/>
    <w:rsid w:val="00D71683"/>
    <w:rsid w:val="00D71D09"/>
    <w:rsid w:val="00D73B76"/>
    <w:rsid w:val="00D806E7"/>
    <w:rsid w:val="00D809A7"/>
    <w:rsid w:val="00D81985"/>
    <w:rsid w:val="00D82A32"/>
    <w:rsid w:val="00D846CE"/>
    <w:rsid w:val="00D87D28"/>
    <w:rsid w:val="00D920B8"/>
    <w:rsid w:val="00D921A4"/>
    <w:rsid w:val="00D92829"/>
    <w:rsid w:val="00D950DC"/>
    <w:rsid w:val="00D954AC"/>
    <w:rsid w:val="00DA1169"/>
    <w:rsid w:val="00DA14A6"/>
    <w:rsid w:val="00DA1D97"/>
    <w:rsid w:val="00DA487C"/>
    <w:rsid w:val="00DA55EB"/>
    <w:rsid w:val="00DB1F25"/>
    <w:rsid w:val="00DB3300"/>
    <w:rsid w:val="00DB5758"/>
    <w:rsid w:val="00DB5F04"/>
    <w:rsid w:val="00DB7835"/>
    <w:rsid w:val="00DC22EB"/>
    <w:rsid w:val="00DC3169"/>
    <w:rsid w:val="00DC4689"/>
    <w:rsid w:val="00DC488B"/>
    <w:rsid w:val="00DC5151"/>
    <w:rsid w:val="00DC591C"/>
    <w:rsid w:val="00DC62F1"/>
    <w:rsid w:val="00DC7079"/>
    <w:rsid w:val="00DD15C1"/>
    <w:rsid w:val="00DD1C93"/>
    <w:rsid w:val="00DD4B1B"/>
    <w:rsid w:val="00DD579A"/>
    <w:rsid w:val="00DE0596"/>
    <w:rsid w:val="00DE080C"/>
    <w:rsid w:val="00DE1931"/>
    <w:rsid w:val="00DE24DF"/>
    <w:rsid w:val="00DE2C71"/>
    <w:rsid w:val="00DE30F1"/>
    <w:rsid w:val="00DE50E6"/>
    <w:rsid w:val="00DE55E0"/>
    <w:rsid w:val="00DF171E"/>
    <w:rsid w:val="00DF5734"/>
    <w:rsid w:val="00E0131B"/>
    <w:rsid w:val="00E10589"/>
    <w:rsid w:val="00E10E8D"/>
    <w:rsid w:val="00E138D5"/>
    <w:rsid w:val="00E14D29"/>
    <w:rsid w:val="00E166D2"/>
    <w:rsid w:val="00E16BC4"/>
    <w:rsid w:val="00E17494"/>
    <w:rsid w:val="00E20A43"/>
    <w:rsid w:val="00E21EF1"/>
    <w:rsid w:val="00E22417"/>
    <w:rsid w:val="00E230D0"/>
    <w:rsid w:val="00E247C1"/>
    <w:rsid w:val="00E25321"/>
    <w:rsid w:val="00E26662"/>
    <w:rsid w:val="00E26A29"/>
    <w:rsid w:val="00E31139"/>
    <w:rsid w:val="00E32401"/>
    <w:rsid w:val="00E3335E"/>
    <w:rsid w:val="00E337AC"/>
    <w:rsid w:val="00E3784B"/>
    <w:rsid w:val="00E37D63"/>
    <w:rsid w:val="00E41D87"/>
    <w:rsid w:val="00E4303C"/>
    <w:rsid w:val="00E43E6B"/>
    <w:rsid w:val="00E441D2"/>
    <w:rsid w:val="00E44C57"/>
    <w:rsid w:val="00E45607"/>
    <w:rsid w:val="00E46DD3"/>
    <w:rsid w:val="00E500AA"/>
    <w:rsid w:val="00E515D7"/>
    <w:rsid w:val="00E51E64"/>
    <w:rsid w:val="00E53611"/>
    <w:rsid w:val="00E5372C"/>
    <w:rsid w:val="00E541FF"/>
    <w:rsid w:val="00E54AC6"/>
    <w:rsid w:val="00E5775B"/>
    <w:rsid w:val="00E63982"/>
    <w:rsid w:val="00E64731"/>
    <w:rsid w:val="00E65110"/>
    <w:rsid w:val="00E65617"/>
    <w:rsid w:val="00E65681"/>
    <w:rsid w:val="00E657EA"/>
    <w:rsid w:val="00E666BA"/>
    <w:rsid w:val="00E668C9"/>
    <w:rsid w:val="00E6713A"/>
    <w:rsid w:val="00E72A95"/>
    <w:rsid w:val="00E73F85"/>
    <w:rsid w:val="00E7531B"/>
    <w:rsid w:val="00E75F7A"/>
    <w:rsid w:val="00E77158"/>
    <w:rsid w:val="00E80980"/>
    <w:rsid w:val="00E8156D"/>
    <w:rsid w:val="00E831B4"/>
    <w:rsid w:val="00E8379B"/>
    <w:rsid w:val="00E85F2C"/>
    <w:rsid w:val="00E911EA"/>
    <w:rsid w:val="00E93544"/>
    <w:rsid w:val="00E93AB8"/>
    <w:rsid w:val="00E93CC5"/>
    <w:rsid w:val="00E948C4"/>
    <w:rsid w:val="00E94F03"/>
    <w:rsid w:val="00E96277"/>
    <w:rsid w:val="00E96B82"/>
    <w:rsid w:val="00EA05DF"/>
    <w:rsid w:val="00EA2B93"/>
    <w:rsid w:val="00EA5B76"/>
    <w:rsid w:val="00EB2863"/>
    <w:rsid w:val="00EB5810"/>
    <w:rsid w:val="00EB611F"/>
    <w:rsid w:val="00EB67C3"/>
    <w:rsid w:val="00EB6C4F"/>
    <w:rsid w:val="00EB7376"/>
    <w:rsid w:val="00EC07C2"/>
    <w:rsid w:val="00EC13CE"/>
    <w:rsid w:val="00EC14B1"/>
    <w:rsid w:val="00EC4903"/>
    <w:rsid w:val="00EC5B2A"/>
    <w:rsid w:val="00EC615A"/>
    <w:rsid w:val="00EC72CF"/>
    <w:rsid w:val="00EC7986"/>
    <w:rsid w:val="00ED0AE9"/>
    <w:rsid w:val="00ED15A1"/>
    <w:rsid w:val="00ED4DC5"/>
    <w:rsid w:val="00ED63B8"/>
    <w:rsid w:val="00ED79EB"/>
    <w:rsid w:val="00ED7EBF"/>
    <w:rsid w:val="00EE12E1"/>
    <w:rsid w:val="00EE2177"/>
    <w:rsid w:val="00EE2556"/>
    <w:rsid w:val="00EE2CC3"/>
    <w:rsid w:val="00EE31E6"/>
    <w:rsid w:val="00EE40D5"/>
    <w:rsid w:val="00EE41F2"/>
    <w:rsid w:val="00EE551C"/>
    <w:rsid w:val="00EE5677"/>
    <w:rsid w:val="00EE5713"/>
    <w:rsid w:val="00EE5AEE"/>
    <w:rsid w:val="00EE6B41"/>
    <w:rsid w:val="00EE70C1"/>
    <w:rsid w:val="00EE7437"/>
    <w:rsid w:val="00EF0ECA"/>
    <w:rsid w:val="00EF1659"/>
    <w:rsid w:val="00EF2269"/>
    <w:rsid w:val="00EF31E3"/>
    <w:rsid w:val="00EF5CFC"/>
    <w:rsid w:val="00EF75BF"/>
    <w:rsid w:val="00EF7AFA"/>
    <w:rsid w:val="00F01420"/>
    <w:rsid w:val="00F02E17"/>
    <w:rsid w:val="00F05FD9"/>
    <w:rsid w:val="00F070D9"/>
    <w:rsid w:val="00F1002D"/>
    <w:rsid w:val="00F10494"/>
    <w:rsid w:val="00F13487"/>
    <w:rsid w:val="00F137F6"/>
    <w:rsid w:val="00F212A4"/>
    <w:rsid w:val="00F21647"/>
    <w:rsid w:val="00F2242C"/>
    <w:rsid w:val="00F236B7"/>
    <w:rsid w:val="00F30A5F"/>
    <w:rsid w:val="00F3198D"/>
    <w:rsid w:val="00F32031"/>
    <w:rsid w:val="00F32CAF"/>
    <w:rsid w:val="00F332D3"/>
    <w:rsid w:val="00F33EA0"/>
    <w:rsid w:val="00F344E7"/>
    <w:rsid w:val="00F34CFA"/>
    <w:rsid w:val="00F3624D"/>
    <w:rsid w:val="00F36BC9"/>
    <w:rsid w:val="00F37169"/>
    <w:rsid w:val="00F37444"/>
    <w:rsid w:val="00F40C90"/>
    <w:rsid w:val="00F41162"/>
    <w:rsid w:val="00F43BE4"/>
    <w:rsid w:val="00F43F32"/>
    <w:rsid w:val="00F44EF7"/>
    <w:rsid w:val="00F458D6"/>
    <w:rsid w:val="00F4754E"/>
    <w:rsid w:val="00F50704"/>
    <w:rsid w:val="00F51FEE"/>
    <w:rsid w:val="00F52ACF"/>
    <w:rsid w:val="00F532AE"/>
    <w:rsid w:val="00F53434"/>
    <w:rsid w:val="00F55B4F"/>
    <w:rsid w:val="00F600EF"/>
    <w:rsid w:val="00F63850"/>
    <w:rsid w:val="00F64D14"/>
    <w:rsid w:val="00F650D9"/>
    <w:rsid w:val="00F7005B"/>
    <w:rsid w:val="00F75DCE"/>
    <w:rsid w:val="00F7665B"/>
    <w:rsid w:val="00F76F79"/>
    <w:rsid w:val="00F77F0B"/>
    <w:rsid w:val="00F80386"/>
    <w:rsid w:val="00F81014"/>
    <w:rsid w:val="00F81A7B"/>
    <w:rsid w:val="00F82E47"/>
    <w:rsid w:val="00F86A96"/>
    <w:rsid w:val="00F86CA1"/>
    <w:rsid w:val="00F9239E"/>
    <w:rsid w:val="00F94AE0"/>
    <w:rsid w:val="00F9639C"/>
    <w:rsid w:val="00F96966"/>
    <w:rsid w:val="00F97EC8"/>
    <w:rsid w:val="00FA589A"/>
    <w:rsid w:val="00FA7122"/>
    <w:rsid w:val="00FA737F"/>
    <w:rsid w:val="00FB0F3D"/>
    <w:rsid w:val="00FB487C"/>
    <w:rsid w:val="00FB5038"/>
    <w:rsid w:val="00FB56BB"/>
    <w:rsid w:val="00FB6219"/>
    <w:rsid w:val="00FB66FC"/>
    <w:rsid w:val="00FB690A"/>
    <w:rsid w:val="00FC096C"/>
    <w:rsid w:val="00FC0DD5"/>
    <w:rsid w:val="00FC4DDE"/>
    <w:rsid w:val="00FC74FE"/>
    <w:rsid w:val="00FC77C2"/>
    <w:rsid w:val="00FD3D92"/>
    <w:rsid w:val="00FD74B3"/>
    <w:rsid w:val="00FE0B53"/>
    <w:rsid w:val="00FE2881"/>
    <w:rsid w:val="00FE2937"/>
    <w:rsid w:val="00FE2CD0"/>
    <w:rsid w:val="00FE37F8"/>
    <w:rsid w:val="00FE3ACA"/>
    <w:rsid w:val="00FE48D3"/>
    <w:rsid w:val="00FF0D86"/>
    <w:rsid w:val="00FF1AD7"/>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C3F88"/>
  <w15:chartTrackingRefBased/>
  <w15:docId w15:val="{BF1947B2-AFFB-414C-AF5B-174E7E22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67F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F70"/>
    <w:rPr>
      <w:sz w:val="20"/>
      <w:szCs w:val="20"/>
      <w:lang w:val="en-ZA"/>
    </w:rPr>
  </w:style>
  <w:style w:type="character" w:styleId="FootnoteReference">
    <w:name w:val="footnote reference"/>
    <w:basedOn w:val="DefaultParagraphFont"/>
    <w:uiPriority w:val="99"/>
    <w:semiHidden/>
    <w:unhideWhenUsed/>
    <w:rsid w:val="00367F70"/>
    <w:rPr>
      <w:vertAlign w:val="superscript"/>
    </w:rPr>
  </w:style>
  <w:style w:type="character" w:styleId="Hyperlink">
    <w:name w:val="Hyperlink"/>
    <w:basedOn w:val="DefaultParagraphFont"/>
    <w:uiPriority w:val="99"/>
    <w:unhideWhenUsed/>
    <w:rsid w:val="00520EE2"/>
    <w:rPr>
      <w:color w:val="0563C1" w:themeColor="hyperlink"/>
      <w:u w:val="single"/>
    </w:rPr>
  </w:style>
  <w:style w:type="character" w:customStyle="1" w:styleId="UnresolvedMention1">
    <w:name w:val="Unresolved Mention1"/>
    <w:basedOn w:val="DefaultParagraphFont"/>
    <w:uiPriority w:val="99"/>
    <w:semiHidden/>
    <w:unhideWhenUsed/>
    <w:rsid w:val="00520EE2"/>
    <w:rPr>
      <w:color w:val="605E5C"/>
      <w:shd w:val="clear" w:color="auto" w:fill="E1DFDD"/>
    </w:rPr>
  </w:style>
  <w:style w:type="paragraph" w:styleId="Header">
    <w:name w:val="header"/>
    <w:basedOn w:val="Normal"/>
    <w:link w:val="HeaderChar"/>
    <w:uiPriority w:val="99"/>
    <w:unhideWhenUsed/>
    <w:rsid w:val="00D4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135"/>
    <w:rPr>
      <w:lang w:val="en-ZA"/>
    </w:rPr>
  </w:style>
  <w:style w:type="paragraph" w:styleId="Footer">
    <w:name w:val="footer"/>
    <w:basedOn w:val="Normal"/>
    <w:link w:val="FooterChar"/>
    <w:uiPriority w:val="99"/>
    <w:unhideWhenUsed/>
    <w:rsid w:val="00D4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135"/>
    <w:rPr>
      <w:lang w:val="en-ZA"/>
    </w:rPr>
  </w:style>
  <w:style w:type="paragraph" w:styleId="ListParagraph">
    <w:name w:val="List Paragraph"/>
    <w:basedOn w:val="Normal"/>
    <w:uiPriority w:val="34"/>
    <w:qFormat/>
    <w:rsid w:val="00FE0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za/za/cases/ZAECELLC/2022/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26</Pages>
  <Words>6922</Words>
  <Characters>39456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Vuyokazi Tyhali</dc:creator>
  <cp:keywords/>
  <dc:description/>
  <cp:lastModifiedBy>Mokone</cp:lastModifiedBy>
  <cp:revision>3</cp:revision>
  <dcterms:created xsi:type="dcterms:W3CDTF">2023-05-04T07:23:00Z</dcterms:created>
  <dcterms:modified xsi:type="dcterms:W3CDTF">2023-05-04T07:27:00Z</dcterms:modified>
</cp:coreProperties>
</file>