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BC6CF" w14:textId="77777777" w:rsidR="009360B1" w:rsidRPr="00095CCD" w:rsidRDefault="009360B1" w:rsidP="00402C29">
      <w:pPr>
        <w:spacing w:line="360" w:lineRule="auto"/>
        <w:contextualSpacing/>
        <w:jc w:val="center"/>
        <w:rPr>
          <w:rFonts w:ascii="Times New Roman" w:hAnsi="Times New Roman"/>
          <w:b/>
          <w:sz w:val="28"/>
          <w:szCs w:val="28"/>
        </w:rPr>
      </w:pPr>
      <w:bookmarkStart w:id="0" w:name="_GoBack"/>
      <w:bookmarkEnd w:id="0"/>
      <w:r w:rsidRPr="00095CCD">
        <w:rPr>
          <w:rFonts w:ascii="Times New Roman" w:hAnsi="Times New Roman"/>
          <w:noProof/>
          <w:sz w:val="28"/>
          <w:szCs w:val="28"/>
          <w:lang w:eastAsia="en-ZA"/>
        </w:rPr>
        <w:drawing>
          <wp:inline distT="0" distB="0" distL="0" distR="0" wp14:anchorId="2575B184" wp14:editId="2F27D8D7">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2826C5FF" w14:textId="77777777" w:rsidR="009360B1" w:rsidRPr="00095CCD" w:rsidRDefault="009360B1" w:rsidP="00402C29">
      <w:pPr>
        <w:spacing w:line="360" w:lineRule="auto"/>
        <w:contextualSpacing/>
        <w:jc w:val="right"/>
        <w:rPr>
          <w:rFonts w:ascii="Times New Roman" w:hAnsi="Times New Roman"/>
          <w:b/>
          <w:sz w:val="28"/>
          <w:szCs w:val="28"/>
        </w:rPr>
      </w:pPr>
      <w:r w:rsidRPr="00095CCD">
        <w:rPr>
          <w:rFonts w:ascii="Times New Roman" w:hAnsi="Times New Roman"/>
          <w:b/>
          <w:sz w:val="28"/>
          <w:szCs w:val="28"/>
        </w:rPr>
        <w:t>NOT REPORTABLE</w:t>
      </w:r>
    </w:p>
    <w:p w14:paraId="72869675" w14:textId="77777777" w:rsidR="009360B1" w:rsidRPr="00095CCD" w:rsidRDefault="009360B1" w:rsidP="00402C29">
      <w:pPr>
        <w:spacing w:line="360" w:lineRule="auto"/>
        <w:contextualSpacing/>
        <w:jc w:val="both"/>
        <w:rPr>
          <w:rFonts w:ascii="Times New Roman" w:hAnsi="Times New Roman"/>
          <w:b/>
          <w:sz w:val="28"/>
          <w:szCs w:val="28"/>
        </w:rPr>
      </w:pPr>
      <w:r w:rsidRPr="00095CCD">
        <w:rPr>
          <w:rFonts w:ascii="Times New Roman" w:hAnsi="Times New Roman"/>
          <w:b/>
          <w:sz w:val="28"/>
          <w:szCs w:val="28"/>
        </w:rPr>
        <w:t>IN THE HIGH COURT OF SOUTH AFRICA</w:t>
      </w:r>
    </w:p>
    <w:p w14:paraId="30470A01" w14:textId="4DB36301" w:rsidR="009360B1" w:rsidRPr="00095CCD" w:rsidRDefault="009360B1" w:rsidP="00402C29">
      <w:pPr>
        <w:spacing w:line="360" w:lineRule="auto"/>
        <w:contextualSpacing/>
        <w:jc w:val="both"/>
        <w:rPr>
          <w:rFonts w:ascii="Times New Roman" w:hAnsi="Times New Roman"/>
          <w:b/>
          <w:sz w:val="28"/>
          <w:szCs w:val="28"/>
        </w:rPr>
      </w:pPr>
      <w:r w:rsidRPr="00095CCD">
        <w:rPr>
          <w:rFonts w:ascii="Times New Roman" w:hAnsi="Times New Roman"/>
          <w:b/>
          <w:sz w:val="28"/>
          <w:szCs w:val="28"/>
        </w:rPr>
        <w:t xml:space="preserve">(EASTERN CAPE DIVISION, </w:t>
      </w:r>
      <w:r>
        <w:rPr>
          <w:rFonts w:ascii="Times New Roman" w:hAnsi="Times New Roman"/>
          <w:b/>
          <w:sz w:val="28"/>
          <w:szCs w:val="28"/>
        </w:rPr>
        <w:t>EAST LONDON CIRCUIT COURT)</w:t>
      </w:r>
    </w:p>
    <w:p w14:paraId="305799D0" w14:textId="77777777" w:rsidR="009360B1" w:rsidRPr="00095CCD" w:rsidRDefault="009360B1" w:rsidP="00402C29">
      <w:pPr>
        <w:spacing w:line="360" w:lineRule="auto"/>
        <w:contextualSpacing/>
        <w:jc w:val="both"/>
        <w:rPr>
          <w:rFonts w:ascii="Times New Roman" w:hAnsi="Times New Roman"/>
          <w:b/>
          <w:sz w:val="28"/>
          <w:szCs w:val="28"/>
        </w:rPr>
      </w:pPr>
    </w:p>
    <w:p w14:paraId="2BB4850C" w14:textId="72813A37" w:rsidR="009360B1" w:rsidRPr="00095CCD" w:rsidRDefault="009360B1" w:rsidP="00402C29">
      <w:pPr>
        <w:widowControl w:val="0"/>
        <w:autoSpaceDE w:val="0"/>
        <w:autoSpaceDN w:val="0"/>
        <w:adjustRightInd w:val="0"/>
        <w:spacing w:line="360" w:lineRule="auto"/>
        <w:contextualSpacing/>
        <w:jc w:val="right"/>
        <w:rPr>
          <w:rFonts w:ascii="Times New Roman" w:hAnsi="Times New Roman"/>
          <w:color w:val="000000"/>
          <w:sz w:val="28"/>
          <w:szCs w:val="28"/>
        </w:rPr>
      </w:pPr>
      <w:r w:rsidRPr="00095CCD">
        <w:rPr>
          <w:rFonts w:ascii="Times New Roman" w:hAnsi="Times New Roman"/>
          <w:color w:val="000000"/>
          <w:sz w:val="28"/>
          <w:szCs w:val="28"/>
        </w:rPr>
        <w:t>CASE N</w:t>
      </w:r>
      <w:r>
        <w:rPr>
          <w:rFonts w:ascii="Times New Roman" w:hAnsi="Times New Roman"/>
          <w:color w:val="000000"/>
          <w:sz w:val="28"/>
          <w:szCs w:val="28"/>
        </w:rPr>
        <w:t xml:space="preserve">O. EL </w:t>
      </w:r>
      <w:r w:rsidRPr="009D44D9">
        <w:rPr>
          <w:rFonts w:ascii="Times New Roman" w:hAnsi="Times New Roman"/>
          <w:color w:val="000000"/>
          <w:sz w:val="28"/>
          <w:szCs w:val="28"/>
        </w:rPr>
        <w:t>6</w:t>
      </w:r>
      <w:r w:rsidR="00D04A1E" w:rsidRPr="009D44D9">
        <w:rPr>
          <w:rFonts w:ascii="Times New Roman" w:hAnsi="Times New Roman"/>
          <w:color w:val="000000"/>
          <w:sz w:val="28"/>
          <w:szCs w:val="28"/>
        </w:rPr>
        <w:t>39</w:t>
      </w:r>
      <w:r w:rsidRPr="009D44D9">
        <w:rPr>
          <w:rFonts w:ascii="Times New Roman" w:hAnsi="Times New Roman"/>
          <w:color w:val="000000"/>
          <w:sz w:val="28"/>
          <w:szCs w:val="28"/>
        </w:rPr>
        <w:t>/2024</w:t>
      </w:r>
    </w:p>
    <w:p w14:paraId="4760F7F3" w14:textId="77777777" w:rsidR="009360B1" w:rsidRPr="00095CCD" w:rsidRDefault="009360B1" w:rsidP="00402C29">
      <w:pPr>
        <w:widowControl w:val="0"/>
        <w:autoSpaceDE w:val="0"/>
        <w:autoSpaceDN w:val="0"/>
        <w:adjustRightInd w:val="0"/>
        <w:spacing w:line="360" w:lineRule="auto"/>
        <w:contextualSpacing/>
        <w:jc w:val="both"/>
        <w:rPr>
          <w:rFonts w:ascii="Times New Roman" w:hAnsi="Times New Roman"/>
          <w:color w:val="000000"/>
          <w:sz w:val="28"/>
          <w:szCs w:val="28"/>
        </w:rPr>
      </w:pPr>
      <w:r w:rsidRPr="00095CCD">
        <w:rPr>
          <w:rFonts w:ascii="Times New Roman" w:hAnsi="Times New Roman"/>
          <w:color w:val="000000"/>
          <w:sz w:val="28"/>
          <w:szCs w:val="28"/>
        </w:rPr>
        <w:t>In the matter between:</w:t>
      </w:r>
    </w:p>
    <w:p w14:paraId="6E14EFE7" w14:textId="77777777" w:rsidR="009360B1" w:rsidRDefault="009360B1" w:rsidP="00402C29">
      <w:pPr>
        <w:widowControl w:val="0"/>
        <w:autoSpaceDE w:val="0"/>
        <w:autoSpaceDN w:val="0"/>
        <w:adjustRightInd w:val="0"/>
        <w:spacing w:line="360" w:lineRule="auto"/>
        <w:contextualSpacing/>
        <w:jc w:val="both"/>
        <w:rPr>
          <w:rFonts w:ascii="Times New Roman" w:hAnsi="Times New Roman"/>
          <w:bCs/>
          <w:sz w:val="28"/>
          <w:szCs w:val="28"/>
        </w:rPr>
      </w:pPr>
      <w:r w:rsidRPr="00095CCD">
        <w:rPr>
          <w:rFonts w:ascii="Arial" w:hAnsi="Arial" w:cs="Arial"/>
          <w:sz w:val="28"/>
          <w:szCs w:val="28"/>
        </w:rPr>
        <w:t xml:space="preserve">     </w:t>
      </w:r>
    </w:p>
    <w:p w14:paraId="403609B3" w14:textId="602899B5" w:rsidR="009360B1" w:rsidRDefault="00B54C08" w:rsidP="00402C29">
      <w:pPr>
        <w:pBdr>
          <w:bottom w:val="single" w:sz="12" w:space="1" w:color="auto"/>
        </w:pBdr>
        <w:spacing w:line="360" w:lineRule="auto"/>
        <w:contextualSpacing/>
        <w:jc w:val="both"/>
        <w:rPr>
          <w:rFonts w:ascii="Times New Roman" w:hAnsi="Times New Roman"/>
          <w:bCs/>
          <w:sz w:val="28"/>
          <w:szCs w:val="28"/>
        </w:rPr>
      </w:pPr>
      <w:r>
        <w:rPr>
          <w:rFonts w:ascii="Times New Roman" w:hAnsi="Times New Roman"/>
          <w:bCs/>
          <w:sz w:val="28"/>
          <w:szCs w:val="28"/>
        </w:rPr>
        <w:t xml:space="preserve">GIDEON JOUBERT GOOSEN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Applicant</w:t>
      </w:r>
    </w:p>
    <w:p w14:paraId="07577030" w14:textId="0B4106A6" w:rsidR="00B54C08" w:rsidRDefault="00B54C08" w:rsidP="00402C29">
      <w:pPr>
        <w:pBdr>
          <w:bottom w:val="single" w:sz="12" w:space="1" w:color="auto"/>
        </w:pBdr>
        <w:spacing w:line="360" w:lineRule="auto"/>
        <w:contextualSpacing/>
        <w:jc w:val="both"/>
        <w:rPr>
          <w:rFonts w:ascii="Times New Roman" w:hAnsi="Times New Roman"/>
          <w:bCs/>
          <w:sz w:val="28"/>
          <w:szCs w:val="28"/>
        </w:rPr>
      </w:pPr>
    </w:p>
    <w:p w14:paraId="5BA93824" w14:textId="2BD26912" w:rsidR="00B54C08" w:rsidRDefault="00D04A1E" w:rsidP="00402C29">
      <w:pPr>
        <w:pBdr>
          <w:bottom w:val="single" w:sz="12" w:space="1" w:color="auto"/>
        </w:pBdr>
        <w:spacing w:line="360" w:lineRule="auto"/>
        <w:contextualSpacing/>
        <w:jc w:val="both"/>
        <w:rPr>
          <w:rFonts w:ascii="Times New Roman" w:hAnsi="Times New Roman"/>
          <w:bCs/>
          <w:sz w:val="28"/>
          <w:szCs w:val="28"/>
        </w:rPr>
      </w:pPr>
      <w:r>
        <w:rPr>
          <w:rFonts w:ascii="Times New Roman" w:hAnsi="Times New Roman"/>
          <w:bCs/>
          <w:sz w:val="28"/>
          <w:szCs w:val="28"/>
        </w:rPr>
        <w:t>a</w:t>
      </w:r>
      <w:r w:rsidR="00B54C08">
        <w:rPr>
          <w:rFonts w:ascii="Times New Roman" w:hAnsi="Times New Roman"/>
          <w:bCs/>
          <w:sz w:val="28"/>
          <w:szCs w:val="28"/>
        </w:rPr>
        <w:t>nd</w:t>
      </w:r>
    </w:p>
    <w:p w14:paraId="7E1EE0B2" w14:textId="77777777" w:rsidR="00B54C08" w:rsidRDefault="00B54C08" w:rsidP="00402C29">
      <w:pPr>
        <w:pBdr>
          <w:bottom w:val="single" w:sz="12" w:space="1" w:color="auto"/>
        </w:pBdr>
        <w:spacing w:line="360" w:lineRule="auto"/>
        <w:contextualSpacing/>
        <w:jc w:val="both"/>
        <w:rPr>
          <w:rFonts w:ascii="Times New Roman" w:hAnsi="Times New Roman"/>
          <w:bCs/>
          <w:sz w:val="28"/>
          <w:szCs w:val="28"/>
        </w:rPr>
      </w:pPr>
    </w:p>
    <w:p w14:paraId="65054A50" w14:textId="092B3593" w:rsidR="00B54C08" w:rsidRDefault="00B54C08" w:rsidP="00402C29">
      <w:pPr>
        <w:pBdr>
          <w:bottom w:val="single" w:sz="12" w:space="1" w:color="auto"/>
        </w:pBdr>
        <w:spacing w:line="360" w:lineRule="auto"/>
        <w:contextualSpacing/>
        <w:jc w:val="both"/>
        <w:rPr>
          <w:rFonts w:ascii="Times New Roman" w:hAnsi="Times New Roman"/>
          <w:bCs/>
          <w:sz w:val="28"/>
          <w:szCs w:val="28"/>
        </w:rPr>
      </w:pPr>
      <w:r>
        <w:rPr>
          <w:rFonts w:ascii="Times New Roman" w:hAnsi="Times New Roman"/>
          <w:bCs/>
          <w:sz w:val="28"/>
          <w:szCs w:val="28"/>
        </w:rPr>
        <w:t xml:space="preserve">MINISTER OF TRADE AND INDUSTRY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First Respondent</w:t>
      </w:r>
    </w:p>
    <w:p w14:paraId="429DF69A" w14:textId="249940FC" w:rsidR="00B54C08" w:rsidRDefault="00402C29" w:rsidP="00402C29">
      <w:pPr>
        <w:pBdr>
          <w:bottom w:val="single" w:sz="12" w:space="1" w:color="auto"/>
        </w:pBdr>
        <w:spacing w:line="360" w:lineRule="auto"/>
        <w:contextualSpacing/>
        <w:jc w:val="both"/>
        <w:rPr>
          <w:rFonts w:ascii="Times New Roman" w:hAnsi="Times New Roman"/>
          <w:bCs/>
          <w:sz w:val="28"/>
          <w:szCs w:val="28"/>
        </w:rPr>
      </w:pPr>
      <w:r>
        <w:rPr>
          <w:rFonts w:ascii="Times New Roman" w:hAnsi="Times New Roman"/>
          <w:bCs/>
          <w:sz w:val="28"/>
          <w:szCs w:val="28"/>
        </w:rPr>
        <w:t>MINISTER OF FINANCE</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Second Respondent</w:t>
      </w:r>
    </w:p>
    <w:p w14:paraId="1EB3B24B" w14:textId="4E926115" w:rsidR="00402C29" w:rsidRDefault="00402C29" w:rsidP="00402C29">
      <w:pPr>
        <w:pBdr>
          <w:bottom w:val="single" w:sz="12" w:space="1" w:color="auto"/>
        </w:pBdr>
        <w:spacing w:line="360" w:lineRule="auto"/>
        <w:contextualSpacing/>
        <w:jc w:val="both"/>
        <w:rPr>
          <w:rFonts w:ascii="Times New Roman" w:hAnsi="Times New Roman"/>
          <w:bCs/>
          <w:sz w:val="28"/>
          <w:szCs w:val="28"/>
        </w:rPr>
      </w:pPr>
      <w:r>
        <w:rPr>
          <w:rFonts w:ascii="Times New Roman" w:hAnsi="Times New Roman"/>
          <w:bCs/>
          <w:sz w:val="28"/>
          <w:szCs w:val="28"/>
        </w:rPr>
        <w:t xml:space="preserve">BLUE LABEL DISTRIBUTION (PTY) LTD </w:t>
      </w:r>
      <w:r>
        <w:rPr>
          <w:rFonts w:ascii="Times New Roman" w:hAnsi="Times New Roman"/>
          <w:bCs/>
          <w:sz w:val="28"/>
          <w:szCs w:val="28"/>
        </w:rPr>
        <w:tab/>
      </w:r>
      <w:r>
        <w:rPr>
          <w:rFonts w:ascii="Times New Roman" w:hAnsi="Times New Roman"/>
          <w:bCs/>
          <w:sz w:val="28"/>
          <w:szCs w:val="28"/>
        </w:rPr>
        <w:tab/>
        <w:t>Third Respondent</w:t>
      </w:r>
    </w:p>
    <w:p w14:paraId="71A415A4" w14:textId="40C4F7AF" w:rsidR="00402C29" w:rsidRDefault="00402C29" w:rsidP="00402C29">
      <w:pPr>
        <w:pBdr>
          <w:bottom w:val="single" w:sz="12" w:space="1" w:color="auto"/>
        </w:pBdr>
        <w:spacing w:line="360" w:lineRule="auto"/>
        <w:contextualSpacing/>
        <w:jc w:val="both"/>
        <w:rPr>
          <w:rFonts w:ascii="Times New Roman" w:hAnsi="Times New Roman"/>
          <w:bCs/>
          <w:sz w:val="28"/>
          <w:szCs w:val="28"/>
        </w:rPr>
      </w:pPr>
      <w:r>
        <w:rPr>
          <w:rFonts w:ascii="Times New Roman" w:hAnsi="Times New Roman"/>
          <w:bCs/>
          <w:sz w:val="28"/>
          <w:szCs w:val="28"/>
        </w:rPr>
        <w:t>RECEIVER OF REVENUE</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Fourth Respondent</w:t>
      </w:r>
    </w:p>
    <w:p w14:paraId="5372068F" w14:textId="2E5E3D10" w:rsidR="00402C29" w:rsidRDefault="00402C29" w:rsidP="00402C29">
      <w:pPr>
        <w:pBdr>
          <w:bottom w:val="single" w:sz="12" w:space="1" w:color="auto"/>
        </w:pBdr>
        <w:spacing w:line="360" w:lineRule="auto"/>
        <w:contextualSpacing/>
        <w:jc w:val="both"/>
        <w:rPr>
          <w:rFonts w:ascii="Times New Roman" w:hAnsi="Times New Roman"/>
          <w:bCs/>
          <w:sz w:val="28"/>
          <w:szCs w:val="28"/>
        </w:rPr>
      </w:pPr>
      <w:r>
        <w:rPr>
          <w:rFonts w:ascii="Times New Roman" w:hAnsi="Times New Roman"/>
          <w:bCs/>
          <w:sz w:val="28"/>
          <w:szCs w:val="28"/>
        </w:rPr>
        <w:t xml:space="preserve">COMPANIES AND INTELLECTUAL </w:t>
      </w:r>
    </w:p>
    <w:p w14:paraId="741EEDE4" w14:textId="6611531B" w:rsidR="009360B1" w:rsidRDefault="00402C29" w:rsidP="00402C29">
      <w:pPr>
        <w:pBdr>
          <w:bottom w:val="single" w:sz="12" w:space="1" w:color="auto"/>
        </w:pBdr>
        <w:spacing w:line="360" w:lineRule="auto"/>
        <w:contextualSpacing/>
        <w:jc w:val="both"/>
        <w:rPr>
          <w:rFonts w:ascii="Times New Roman" w:hAnsi="Times New Roman"/>
          <w:bCs/>
          <w:sz w:val="28"/>
          <w:szCs w:val="28"/>
        </w:rPr>
      </w:pPr>
      <w:r>
        <w:rPr>
          <w:rFonts w:ascii="Times New Roman" w:hAnsi="Times New Roman"/>
          <w:bCs/>
          <w:sz w:val="28"/>
          <w:szCs w:val="28"/>
        </w:rPr>
        <w:t xml:space="preserve">PROPERTY COMMISSION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Fifth Respondent </w:t>
      </w:r>
    </w:p>
    <w:p w14:paraId="61994A2C" w14:textId="77777777" w:rsidR="009360B1" w:rsidRPr="00095CCD" w:rsidRDefault="009360B1" w:rsidP="00402C29">
      <w:pPr>
        <w:pBdr>
          <w:bottom w:val="single" w:sz="12" w:space="1" w:color="auto"/>
        </w:pBdr>
        <w:spacing w:line="360" w:lineRule="auto"/>
        <w:contextualSpacing/>
        <w:jc w:val="both"/>
        <w:rPr>
          <w:rFonts w:ascii="Times New Roman" w:hAnsi="Times New Roman"/>
          <w:bCs/>
          <w:sz w:val="28"/>
          <w:szCs w:val="28"/>
        </w:rPr>
      </w:pP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p>
    <w:p w14:paraId="50BF6E0C" w14:textId="77777777" w:rsidR="009360B1" w:rsidRPr="00095CCD" w:rsidRDefault="009360B1" w:rsidP="00402C29">
      <w:pPr>
        <w:spacing w:line="360" w:lineRule="auto"/>
        <w:contextualSpacing/>
        <w:jc w:val="both"/>
        <w:rPr>
          <w:rFonts w:ascii="Times New Roman" w:hAnsi="Times New Roman"/>
          <w:sz w:val="28"/>
          <w:szCs w:val="28"/>
        </w:rPr>
      </w:pPr>
      <w:r w:rsidRPr="00095CCD">
        <w:rPr>
          <w:rFonts w:ascii="Times New Roman" w:hAnsi="Times New Roman"/>
          <w:sz w:val="28"/>
          <w:szCs w:val="28"/>
        </w:rPr>
        <w:t xml:space="preserve"> </w:t>
      </w:r>
    </w:p>
    <w:p w14:paraId="6AA1EA46" w14:textId="72F0ACC1" w:rsidR="009360B1" w:rsidRDefault="009360B1" w:rsidP="00402C29">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JUDGEMENT</w:t>
      </w:r>
      <w:r w:rsidR="00D04A1E">
        <w:rPr>
          <w:rFonts w:ascii="Times New Roman" w:hAnsi="Times New Roman"/>
          <w:b/>
          <w:sz w:val="28"/>
          <w:szCs w:val="28"/>
        </w:rPr>
        <w:t xml:space="preserve"> (URGENT APPLICATION)</w:t>
      </w:r>
    </w:p>
    <w:p w14:paraId="60A55DB0" w14:textId="77777777" w:rsidR="009360B1" w:rsidRPr="00095CCD" w:rsidRDefault="009360B1" w:rsidP="00402C29">
      <w:pPr>
        <w:pStyle w:val="ListParagraph"/>
        <w:tabs>
          <w:tab w:val="left" w:pos="0"/>
        </w:tabs>
        <w:spacing w:line="360" w:lineRule="auto"/>
        <w:ind w:left="0"/>
        <w:rPr>
          <w:rFonts w:ascii="Times New Roman" w:hAnsi="Times New Roman"/>
          <w:b/>
          <w:sz w:val="28"/>
          <w:szCs w:val="28"/>
        </w:rPr>
      </w:pPr>
    </w:p>
    <w:p w14:paraId="4308161C" w14:textId="77777777" w:rsidR="009360B1" w:rsidRPr="00095CCD" w:rsidRDefault="009360B1" w:rsidP="00402C29">
      <w:pPr>
        <w:spacing w:line="360" w:lineRule="auto"/>
        <w:ind w:left="720" w:hanging="360"/>
        <w:contextualSpacing/>
        <w:jc w:val="both"/>
        <w:rPr>
          <w:sz w:val="28"/>
          <w:szCs w:val="28"/>
        </w:rPr>
      </w:pPr>
    </w:p>
    <w:p w14:paraId="2844FC9A" w14:textId="77777777" w:rsidR="009360B1" w:rsidRPr="00095CCD" w:rsidRDefault="009360B1" w:rsidP="00402C29">
      <w:pPr>
        <w:pStyle w:val="ListParagraph"/>
        <w:tabs>
          <w:tab w:val="left" w:pos="0"/>
        </w:tabs>
        <w:spacing w:line="360" w:lineRule="auto"/>
        <w:ind w:left="0"/>
        <w:rPr>
          <w:rFonts w:ascii="Times New Roman" w:hAnsi="Times New Roman"/>
          <w:b/>
          <w:sz w:val="28"/>
          <w:szCs w:val="28"/>
        </w:rPr>
      </w:pPr>
      <w:r w:rsidRPr="00095CCD">
        <w:rPr>
          <w:rFonts w:ascii="Times New Roman" w:hAnsi="Times New Roman"/>
          <w:b/>
          <w:sz w:val="28"/>
          <w:szCs w:val="28"/>
        </w:rPr>
        <w:lastRenderedPageBreak/>
        <w:t>HARTLE J</w:t>
      </w:r>
    </w:p>
    <w:p w14:paraId="799B5DE8" w14:textId="77777777" w:rsidR="009360B1" w:rsidRPr="00095CCD" w:rsidRDefault="009360B1" w:rsidP="00402C29">
      <w:pPr>
        <w:spacing w:line="360" w:lineRule="auto"/>
        <w:ind w:left="720" w:hanging="360"/>
        <w:contextualSpacing/>
        <w:jc w:val="both"/>
        <w:rPr>
          <w:sz w:val="28"/>
          <w:szCs w:val="28"/>
        </w:rPr>
      </w:pPr>
    </w:p>
    <w:p w14:paraId="2B80AC4F" w14:textId="78FFB345"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360B1" w:rsidRPr="00B13985">
        <w:rPr>
          <w:rFonts w:ascii="Times New Roman" w:hAnsi="Times New Roman" w:cs="Times New Roman"/>
          <w:sz w:val="28"/>
          <w:szCs w:val="28"/>
        </w:rPr>
        <w:t>The applicant, acting as an interested party, sought an order before me on an urgent basis that Goosen Marketing CC</w:t>
      </w:r>
      <w:r w:rsidR="00402C29" w:rsidRPr="00B13985">
        <w:rPr>
          <w:rFonts w:ascii="Times New Roman" w:hAnsi="Times New Roman" w:cs="Times New Roman"/>
          <w:sz w:val="28"/>
          <w:szCs w:val="28"/>
        </w:rPr>
        <w:t xml:space="preserve"> </w:t>
      </w:r>
      <w:r w:rsidR="009360B1" w:rsidRPr="00B13985">
        <w:rPr>
          <w:rFonts w:ascii="Times New Roman" w:hAnsi="Times New Roman" w:cs="Times New Roman"/>
          <w:sz w:val="28"/>
          <w:szCs w:val="28"/>
        </w:rPr>
        <w:t>(with registration number 1999/0513069/23), recently deregistered</w:t>
      </w:r>
      <w:r w:rsidR="00D04A1E" w:rsidRPr="00B13985">
        <w:rPr>
          <w:rFonts w:ascii="Times New Roman" w:hAnsi="Times New Roman" w:cs="Times New Roman"/>
          <w:sz w:val="28"/>
          <w:szCs w:val="28"/>
        </w:rPr>
        <w:t xml:space="preserve"> evidently due to a systematic </w:t>
      </w:r>
      <w:r w:rsidR="00A92655" w:rsidRPr="00B13985">
        <w:rPr>
          <w:rFonts w:ascii="Times New Roman" w:hAnsi="Times New Roman" w:cs="Times New Roman"/>
          <w:sz w:val="28"/>
          <w:szCs w:val="28"/>
        </w:rPr>
        <w:t xml:space="preserve">annual return </w:t>
      </w:r>
      <w:r w:rsidR="00A74C12" w:rsidRPr="00B13985">
        <w:rPr>
          <w:rFonts w:ascii="Times New Roman" w:hAnsi="Times New Roman" w:cs="Times New Roman"/>
          <w:sz w:val="28"/>
          <w:szCs w:val="28"/>
        </w:rPr>
        <w:t xml:space="preserve">final </w:t>
      </w:r>
      <w:r w:rsidR="00D04A1E" w:rsidRPr="00B13985">
        <w:rPr>
          <w:rFonts w:ascii="Times New Roman" w:hAnsi="Times New Roman" w:cs="Times New Roman"/>
          <w:sz w:val="28"/>
          <w:szCs w:val="28"/>
        </w:rPr>
        <w:t>deregistration process</w:t>
      </w:r>
      <w:r w:rsidR="009360B1" w:rsidRPr="00B13985">
        <w:rPr>
          <w:rFonts w:ascii="Times New Roman" w:hAnsi="Times New Roman" w:cs="Times New Roman"/>
          <w:sz w:val="28"/>
          <w:szCs w:val="28"/>
        </w:rPr>
        <w:t>,</w:t>
      </w:r>
      <w:r w:rsidR="00D04A1E">
        <w:rPr>
          <w:rStyle w:val="FootnoteReference"/>
          <w:rFonts w:ascii="Times New Roman" w:hAnsi="Times New Roman" w:cs="Times New Roman"/>
          <w:sz w:val="28"/>
          <w:szCs w:val="28"/>
        </w:rPr>
        <w:footnoteReference w:id="1"/>
      </w:r>
      <w:r w:rsidR="009360B1" w:rsidRPr="00B13985">
        <w:rPr>
          <w:rFonts w:ascii="Times New Roman" w:hAnsi="Times New Roman" w:cs="Times New Roman"/>
          <w:sz w:val="28"/>
          <w:szCs w:val="28"/>
        </w:rPr>
        <w:t xml:space="preserve"> be re-registered and</w:t>
      </w:r>
      <w:r w:rsidR="001662A9" w:rsidRPr="00B13985">
        <w:rPr>
          <w:rFonts w:ascii="Times New Roman" w:hAnsi="Times New Roman" w:cs="Times New Roman"/>
          <w:sz w:val="28"/>
          <w:szCs w:val="28"/>
        </w:rPr>
        <w:t>/or</w:t>
      </w:r>
      <w:r w:rsidR="009360B1" w:rsidRPr="00B13985">
        <w:rPr>
          <w:rFonts w:ascii="Times New Roman" w:hAnsi="Times New Roman" w:cs="Times New Roman"/>
          <w:sz w:val="28"/>
          <w:szCs w:val="28"/>
        </w:rPr>
        <w:t xml:space="preserve"> re</w:t>
      </w:r>
      <w:r w:rsidR="00890088" w:rsidRPr="00B13985">
        <w:rPr>
          <w:rFonts w:ascii="Times New Roman" w:hAnsi="Times New Roman" w:cs="Times New Roman"/>
          <w:sz w:val="28"/>
          <w:szCs w:val="28"/>
        </w:rPr>
        <w:t>instated</w:t>
      </w:r>
      <w:r w:rsidR="009360B1" w:rsidRPr="00B13985">
        <w:rPr>
          <w:rFonts w:ascii="Times New Roman" w:hAnsi="Times New Roman" w:cs="Times New Roman"/>
          <w:sz w:val="28"/>
          <w:szCs w:val="28"/>
        </w:rPr>
        <w:t xml:space="preserve"> to the database of registered companies maintained by the registrar of the Companies and Intellectual Property Commission (“</w:t>
      </w:r>
      <w:r w:rsidR="009360B1" w:rsidRPr="00B13985">
        <w:rPr>
          <w:rFonts w:ascii="Times New Roman" w:hAnsi="Times New Roman" w:cs="Times New Roman"/>
          <w:i/>
          <w:iCs/>
          <w:sz w:val="28"/>
          <w:szCs w:val="28"/>
        </w:rPr>
        <w:t>CIPC</w:t>
      </w:r>
      <w:r w:rsidR="009360B1" w:rsidRPr="00B13985">
        <w:rPr>
          <w:rFonts w:ascii="Times New Roman" w:hAnsi="Times New Roman" w:cs="Times New Roman"/>
          <w:sz w:val="28"/>
          <w:szCs w:val="28"/>
        </w:rPr>
        <w:t>”).</w:t>
      </w:r>
      <w:bookmarkStart w:id="1" w:name="_Hlk163988065"/>
    </w:p>
    <w:p w14:paraId="1792E370" w14:textId="77777777" w:rsidR="00AE6BF1" w:rsidRDefault="00AE6BF1" w:rsidP="00402C29">
      <w:pPr>
        <w:pStyle w:val="ListParagraph"/>
        <w:spacing w:line="360" w:lineRule="auto"/>
        <w:ind w:left="0"/>
        <w:jc w:val="both"/>
        <w:rPr>
          <w:rFonts w:ascii="Times New Roman" w:hAnsi="Times New Roman" w:cs="Times New Roman"/>
          <w:sz w:val="28"/>
          <w:szCs w:val="28"/>
        </w:rPr>
      </w:pPr>
    </w:p>
    <w:p w14:paraId="27536167" w14:textId="755AE30F"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E6BF1" w:rsidRPr="00B13985">
        <w:rPr>
          <w:rFonts w:ascii="Times New Roman" w:hAnsi="Times New Roman" w:cs="Times New Roman"/>
          <w:sz w:val="28"/>
          <w:szCs w:val="28"/>
        </w:rPr>
        <w:t xml:space="preserve">The clear purpose for the order is that he </w:t>
      </w:r>
      <w:r w:rsidR="00602183" w:rsidRPr="00B13985">
        <w:rPr>
          <w:rFonts w:ascii="Times New Roman" w:hAnsi="Times New Roman" w:cs="Times New Roman"/>
          <w:sz w:val="28"/>
          <w:szCs w:val="28"/>
        </w:rPr>
        <w:t>be</w:t>
      </w:r>
      <w:r w:rsidR="00FA1188" w:rsidRPr="00B13985">
        <w:rPr>
          <w:rFonts w:ascii="Times New Roman" w:hAnsi="Times New Roman" w:cs="Times New Roman"/>
          <w:sz w:val="28"/>
          <w:szCs w:val="28"/>
        </w:rPr>
        <w:t xml:space="preserve"> </w:t>
      </w:r>
      <w:r w:rsidR="00A74C12" w:rsidRPr="00B13985">
        <w:rPr>
          <w:rFonts w:ascii="Times New Roman" w:hAnsi="Times New Roman" w:cs="Times New Roman"/>
          <w:sz w:val="28"/>
          <w:szCs w:val="28"/>
        </w:rPr>
        <w:t xml:space="preserve">placed in a position </w:t>
      </w:r>
      <w:r w:rsidR="00AE6BF1" w:rsidRPr="00B13985">
        <w:rPr>
          <w:rFonts w:ascii="Times New Roman" w:hAnsi="Times New Roman" w:cs="Times New Roman"/>
          <w:sz w:val="28"/>
          <w:szCs w:val="28"/>
        </w:rPr>
        <w:t>to continue with litigation that is underway in the trial court (“</w:t>
      </w:r>
      <w:r w:rsidR="00AE6BF1" w:rsidRPr="00B13985">
        <w:rPr>
          <w:rFonts w:ascii="Times New Roman" w:hAnsi="Times New Roman" w:cs="Times New Roman"/>
          <w:i/>
          <w:iCs/>
          <w:sz w:val="28"/>
          <w:szCs w:val="28"/>
        </w:rPr>
        <w:t>the trial</w:t>
      </w:r>
      <w:r w:rsidR="00AE6BF1" w:rsidRPr="00B13985">
        <w:rPr>
          <w:rFonts w:ascii="Times New Roman" w:hAnsi="Times New Roman" w:cs="Times New Roman"/>
          <w:sz w:val="28"/>
          <w:szCs w:val="28"/>
        </w:rPr>
        <w:t>”). By arrangement the trial which is part-heard before Gwala AJ was set down to be completed during the Easter recess.</w:t>
      </w:r>
    </w:p>
    <w:p w14:paraId="44CC7B3E" w14:textId="77777777" w:rsidR="00AE6BF1" w:rsidRPr="00AE6BF1" w:rsidRDefault="00AE6BF1" w:rsidP="00402C29">
      <w:pPr>
        <w:pStyle w:val="ListParagraph"/>
        <w:spacing w:line="360" w:lineRule="auto"/>
        <w:rPr>
          <w:rFonts w:ascii="Times New Roman" w:hAnsi="Times New Roman" w:cs="Times New Roman"/>
          <w:sz w:val="28"/>
          <w:szCs w:val="28"/>
        </w:rPr>
      </w:pPr>
    </w:p>
    <w:p w14:paraId="30955C65" w14:textId="1E41C6EB"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E6BF1" w:rsidRPr="00B13985">
        <w:rPr>
          <w:rFonts w:ascii="Times New Roman" w:hAnsi="Times New Roman" w:cs="Times New Roman"/>
          <w:sz w:val="28"/>
          <w:szCs w:val="28"/>
        </w:rPr>
        <w:t>In that matter (Case No EL 763/14), the applicant is sued by the third respondent (“</w:t>
      </w:r>
      <w:r w:rsidR="00AE6BF1" w:rsidRPr="00B13985">
        <w:rPr>
          <w:rFonts w:ascii="Times New Roman" w:hAnsi="Times New Roman" w:cs="Times New Roman"/>
          <w:i/>
          <w:iCs/>
          <w:sz w:val="28"/>
          <w:szCs w:val="28"/>
        </w:rPr>
        <w:t>Blue Label</w:t>
      </w:r>
      <w:r w:rsidR="00AE6BF1" w:rsidRPr="00B13985">
        <w:rPr>
          <w:rFonts w:ascii="Times New Roman" w:hAnsi="Times New Roman" w:cs="Times New Roman"/>
          <w:sz w:val="28"/>
          <w:szCs w:val="28"/>
        </w:rPr>
        <w:t xml:space="preserve">”) as a co-surety together with the close corporation in a contractual dispute. The latter entity has a counterclaim against the third respondent which it self-evidently cannot presently prosecute through the applicant who, together with his wife as co-member of the close corporation, </w:t>
      </w:r>
      <w:r w:rsidR="001662A9" w:rsidRPr="00B13985">
        <w:rPr>
          <w:rFonts w:ascii="Times New Roman" w:hAnsi="Times New Roman" w:cs="Times New Roman"/>
          <w:sz w:val="28"/>
          <w:szCs w:val="28"/>
        </w:rPr>
        <w:t>had initiated the counterclaim on its behalf and was</w:t>
      </w:r>
      <w:r w:rsidR="00AE6BF1" w:rsidRPr="00B13985">
        <w:rPr>
          <w:rFonts w:ascii="Times New Roman" w:hAnsi="Times New Roman" w:cs="Times New Roman"/>
          <w:sz w:val="28"/>
          <w:szCs w:val="28"/>
        </w:rPr>
        <w:t xml:space="preserve"> conducting its defence </w:t>
      </w:r>
      <w:r w:rsidR="00CB45EA" w:rsidRPr="00B13985">
        <w:rPr>
          <w:rFonts w:ascii="Times New Roman" w:hAnsi="Times New Roman" w:cs="Times New Roman"/>
          <w:sz w:val="28"/>
          <w:szCs w:val="28"/>
        </w:rPr>
        <w:t xml:space="preserve">(as well as </w:t>
      </w:r>
      <w:r w:rsidR="00FA1188" w:rsidRPr="00B13985">
        <w:rPr>
          <w:rFonts w:ascii="Times New Roman" w:hAnsi="Times New Roman" w:cs="Times New Roman"/>
          <w:sz w:val="28"/>
          <w:szCs w:val="28"/>
        </w:rPr>
        <w:t>his own</w:t>
      </w:r>
      <w:r w:rsidR="00CB45EA" w:rsidRPr="00B13985">
        <w:rPr>
          <w:rFonts w:ascii="Times New Roman" w:hAnsi="Times New Roman" w:cs="Times New Roman"/>
          <w:sz w:val="28"/>
          <w:szCs w:val="28"/>
        </w:rPr>
        <w:t xml:space="preserve">) </w:t>
      </w:r>
      <w:r w:rsidR="00AE6BF1" w:rsidRPr="00B13985">
        <w:rPr>
          <w:rFonts w:ascii="Times New Roman" w:hAnsi="Times New Roman" w:cs="Times New Roman"/>
          <w:sz w:val="28"/>
          <w:szCs w:val="28"/>
        </w:rPr>
        <w:t>in the action.</w:t>
      </w:r>
    </w:p>
    <w:p w14:paraId="6D066741" w14:textId="77777777" w:rsidR="00AE6BF1" w:rsidRPr="00AE6BF1" w:rsidRDefault="00AE6BF1" w:rsidP="00402C29">
      <w:pPr>
        <w:pStyle w:val="ListParagraph"/>
        <w:spacing w:line="360" w:lineRule="auto"/>
        <w:rPr>
          <w:rFonts w:ascii="Times New Roman" w:hAnsi="Times New Roman" w:cs="Times New Roman"/>
          <w:sz w:val="28"/>
          <w:szCs w:val="28"/>
        </w:rPr>
      </w:pPr>
    </w:p>
    <w:p w14:paraId="22DE2931" w14:textId="64B0BDB6"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AE6BF1" w:rsidRPr="00B13985">
        <w:rPr>
          <w:rFonts w:ascii="Times New Roman" w:hAnsi="Times New Roman" w:cs="Times New Roman"/>
          <w:sz w:val="28"/>
          <w:szCs w:val="28"/>
        </w:rPr>
        <w:t xml:space="preserve">The action was commenced in 2014 but the actual trial, which as I have indicated is part-heard, only commenced in April 2023 when there was no impediment of the close corporation having been de-registered. </w:t>
      </w:r>
    </w:p>
    <w:p w14:paraId="3FDF02DC" w14:textId="77777777" w:rsidR="00AE6BF1" w:rsidRPr="00AE6BF1" w:rsidRDefault="00AE6BF1" w:rsidP="00402C29">
      <w:pPr>
        <w:pStyle w:val="ListParagraph"/>
        <w:spacing w:line="360" w:lineRule="auto"/>
        <w:rPr>
          <w:rFonts w:ascii="Times New Roman" w:hAnsi="Times New Roman" w:cs="Times New Roman"/>
          <w:sz w:val="28"/>
          <w:szCs w:val="28"/>
        </w:rPr>
      </w:pPr>
    </w:p>
    <w:p w14:paraId="31CA32E8" w14:textId="15706C9D"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AE6BF1" w:rsidRPr="00B13985">
        <w:rPr>
          <w:rFonts w:ascii="Times New Roman" w:hAnsi="Times New Roman" w:cs="Times New Roman"/>
          <w:sz w:val="28"/>
          <w:szCs w:val="28"/>
        </w:rPr>
        <w:t xml:space="preserve">The applicant claims to have been unaware of the de-registration which took effect on 20 January 2024.  It was however brought to the attention of the trial judge on 9 April 2024 by Mr. Schultz </w:t>
      </w:r>
      <w:r w:rsidR="001662A9" w:rsidRPr="00B13985">
        <w:rPr>
          <w:rFonts w:ascii="Times New Roman" w:hAnsi="Times New Roman" w:cs="Times New Roman"/>
          <w:sz w:val="28"/>
          <w:szCs w:val="28"/>
        </w:rPr>
        <w:t>(</w:t>
      </w:r>
      <w:r w:rsidR="00AE6BF1" w:rsidRPr="00B13985">
        <w:rPr>
          <w:rFonts w:ascii="Times New Roman" w:hAnsi="Times New Roman" w:cs="Times New Roman"/>
          <w:sz w:val="28"/>
          <w:szCs w:val="28"/>
        </w:rPr>
        <w:t>who appears on behalf of Blue Label in the trial and the present application</w:t>
      </w:r>
      <w:r w:rsidR="001662A9" w:rsidRPr="00B13985">
        <w:rPr>
          <w:rFonts w:ascii="Times New Roman" w:hAnsi="Times New Roman" w:cs="Times New Roman"/>
          <w:sz w:val="28"/>
          <w:szCs w:val="28"/>
        </w:rPr>
        <w:t>)</w:t>
      </w:r>
      <w:r w:rsidR="00AE6BF1" w:rsidRPr="00B13985">
        <w:rPr>
          <w:rFonts w:ascii="Times New Roman" w:hAnsi="Times New Roman" w:cs="Times New Roman"/>
          <w:sz w:val="28"/>
          <w:szCs w:val="28"/>
        </w:rPr>
        <w:t xml:space="preserve"> that such impediment is now at play and affects the continuation of the trial.</w:t>
      </w:r>
      <w:r w:rsidR="00FA1188">
        <w:rPr>
          <w:rStyle w:val="FootnoteReference"/>
          <w:rFonts w:ascii="Times New Roman" w:hAnsi="Times New Roman" w:cs="Times New Roman"/>
          <w:sz w:val="28"/>
          <w:szCs w:val="28"/>
        </w:rPr>
        <w:footnoteReference w:id="2"/>
      </w:r>
      <w:r w:rsidR="00AE6BF1" w:rsidRPr="00B13985">
        <w:rPr>
          <w:rFonts w:ascii="Times New Roman" w:hAnsi="Times New Roman" w:cs="Times New Roman"/>
          <w:sz w:val="28"/>
          <w:szCs w:val="28"/>
        </w:rPr>
        <w:t xml:space="preserve"> </w:t>
      </w:r>
    </w:p>
    <w:p w14:paraId="350FCAE5" w14:textId="77777777" w:rsidR="00AE6BF1" w:rsidRPr="00AE6BF1" w:rsidRDefault="00AE6BF1" w:rsidP="00402C29">
      <w:pPr>
        <w:pStyle w:val="ListParagraph"/>
        <w:spacing w:line="360" w:lineRule="auto"/>
        <w:rPr>
          <w:rFonts w:ascii="Times New Roman" w:hAnsi="Times New Roman" w:cs="Times New Roman"/>
          <w:sz w:val="28"/>
          <w:szCs w:val="28"/>
        </w:rPr>
      </w:pPr>
    </w:p>
    <w:p w14:paraId="1BAE9393" w14:textId="7A3B1C67"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AE6BF1" w:rsidRPr="00B13985">
        <w:rPr>
          <w:rFonts w:ascii="Times New Roman" w:hAnsi="Times New Roman" w:cs="Times New Roman"/>
          <w:sz w:val="28"/>
          <w:szCs w:val="28"/>
        </w:rPr>
        <w:t>It is common cause that the de-registration occurred due to a failure of those responsible on behalf of the close corporation to have submitted annual returns in respect of it to the CIPC.</w:t>
      </w:r>
      <w:r w:rsidR="00A92655">
        <w:rPr>
          <w:rStyle w:val="FootnoteReference"/>
          <w:rFonts w:ascii="Times New Roman" w:hAnsi="Times New Roman" w:cs="Times New Roman"/>
          <w:sz w:val="28"/>
          <w:szCs w:val="28"/>
        </w:rPr>
        <w:footnoteReference w:id="3"/>
      </w:r>
    </w:p>
    <w:p w14:paraId="1360222E" w14:textId="77777777" w:rsidR="00AE6BF1" w:rsidRPr="00AE6BF1" w:rsidRDefault="00AE6BF1" w:rsidP="00402C29">
      <w:pPr>
        <w:pStyle w:val="ListParagraph"/>
        <w:spacing w:line="360" w:lineRule="auto"/>
        <w:rPr>
          <w:rFonts w:ascii="Times New Roman" w:hAnsi="Times New Roman" w:cs="Times New Roman"/>
          <w:sz w:val="28"/>
          <w:szCs w:val="28"/>
        </w:rPr>
      </w:pPr>
    </w:p>
    <w:p w14:paraId="3C5087DD" w14:textId="0BAD0F22"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AE6BF1" w:rsidRPr="00B13985">
        <w:rPr>
          <w:rFonts w:ascii="Times New Roman" w:hAnsi="Times New Roman" w:cs="Times New Roman"/>
          <w:sz w:val="28"/>
          <w:szCs w:val="28"/>
        </w:rPr>
        <w:t xml:space="preserve">The applicant launched these proceedings </w:t>
      </w:r>
      <w:r w:rsidR="00954645" w:rsidRPr="00B13985">
        <w:rPr>
          <w:rFonts w:ascii="Times New Roman" w:hAnsi="Times New Roman" w:cs="Times New Roman"/>
          <w:sz w:val="28"/>
          <w:szCs w:val="28"/>
        </w:rPr>
        <w:t xml:space="preserve">without reference to any provision of the Companies Act, No. 71 of 2008 </w:t>
      </w:r>
      <w:r w:rsidR="004437E1" w:rsidRPr="00B13985">
        <w:rPr>
          <w:rFonts w:ascii="Times New Roman" w:hAnsi="Times New Roman" w:cs="Times New Roman"/>
          <w:sz w:val="28"/>
          <w:szCs w:val="28"/>
        </w:rPr>
        <w:t>merely</w:t>
      </w:r>
      <w:r w:rsidR="00954645" w:rsidRPr="00B13985">
        <w:rPr>
          <w:rFonts w:ascii="Times New Roman" w:hAnsi="Times New Roman" w:cs="Times New Roman"/>
          <w:sz w:val="28"/>
          <w:szCs w:val="28"/>
        </w:rPr>
        <w:t xml:space="preserve"> contending</w:t>
      </w:r>
      <w:r w:rsidR="00AE6BF1" w:rsidRPr="00B13985">
        <w:rPr>
          <w:rFonts w:ascii="Times New Roman" w:hAnsi="Times New Roman" w:cs="Times New Roman"/>
          <w:sz w:val="28"/>
          <w:szCs w:val="28"/>
        </w:rPr>
        <w:t xml:space="preserve"> that it </w:t>
      </w:r>
      <w:r w:rsidR="004437E1" w:rsidRPr="00B13985">
        <w:rPr>
          <w:rFonts w:ascii="Times New Roman" w:hAnsi="Times New Roman" w:cs="Times New Roman"/>
          <w:sz w:val="28"/>
          <w:szCs w:val="28"/>
        </w:rPr>
        <w:t>was</w:t>
      </w:r>
      <w:r w:rsidR="00AE6BF1" w:rsidRPr="00B13985">
        <w:rPr>
          <w:rFonts w:ascii="Times New Roman" w:hAnsi="Times New Roman" w:cs="Times New Roman"/>
          <w:sz w:val="28"/>
          <w:szCs w:val="28"/>
        </w:rPr>
        <w:t xml:space="preserve"> a simple matter to have the close corporation re-registered pronto and that all it requires is that the proposed order which I have been called upon to make is emailed to the CIPC using a specified designated email address.</w:t>
      </w:r>
      <w:r w:rsidR="00954645" w:rsidRPr="00B13985">
        <w:rPr>
          <w:rFonts w:ascii="Times New Roman" w:hAnsi="Times New Roman" w:cs="Times New Roman"/>
          <w:sz w:val="28"/>
          <w:szCs w:val="28"/>
        </w:rPr>
        <w:t xml:space="preserve"> In the notice of motion he asks the court to condone his failure to comply with the time limits and forms prescribed by the rules of court</w:t>
      </w:r>
      <w:r w:rsidR="003D3A4F" w:rsidRPr="00B13985">
        <w:rPr>
          <w:rFonts w:ascii="Times New Roman" w:hAnsi="Times New Roman" w:cs="Times New Roman"/>
          <w:sz w:val="28"/>
          <w:szCs w:val="28"/>
        </w:rPr>
        <w:t xml:space="preserve">, permitting </w:t>
      </w:r>
      <w:r w:rsidR="00954645" w:rsidRPr="00B13985">
        <w:rPr>
          <w:rFonts w:ascii="Times New Roman" w:hAnsi="Times New Roman" w:cs="Times New Roman"/>
          <w:sz w:val="28"/>
          <w:szCs w:val="28"/>
        </w:rPr>
        <w:t>the matter to be entertained on an urgent basis</w:t>
      </w:r>
      <w:r w:rsidR="003D3A4F" w:rsidRPr="00B13985">
        <w:rPr>
          <w:rFonts w:ascii="Times New Roman" w:hAnsi="Times New Roman" w:cs="Times New Roman"/>
          <w:sz w:val="28"/>
          <w:szCs w:val="28"/>
        </w:rPr>
        <w:t>,</w:t>
      </w:r>
      <w:r w:rsidR="004437E1" w:rsidRPr="00B13985">
        <w:rPr>
          <w:rFonts w:ascii="Times New Roman" w:hAnsi="Times New Roman" w:cs="Times New Roman"/>
          <w:sz w:val="28"/>
          <w:szCs w:val="28"/>
        </w:rPr>
        <w:t xml:space="preserve"> and for further orders</w:t>
      </w:r>
      <w:r w:rsidR="00954645" w:rsidRPr="00B13985">
        <w:rPr>
          <w:rFonts w:ascii="Times New Roman" w:hAnsi="Times New Roman" w:cs="Times New Roman"/>
          <w:sz w:val="28"/>
          <w:szCs w:val="28"/>
        </w:rPr>
        <w:t xml:space="preserve"> that the property of the close corporation be declared not to be </w:t>
      </w:r>
      <w:r w:rsidR="00954645" w:rsidRPr="00B13985">
        <w:rPr>
          <w:rFonts w:ascii="Times New Roman" w:hAnsi="Times New Roman" w:cs="Times New Roman"/>
          <w:i/>
          <w:iCs/>
          <w:sz w:val="28"/>
          <w:szCs w:val="28"/>
        </w:rPr>
        <w:t>bona vacantia</w:t>
      </w:r>
      <w:r w:rsidR="00954645" w:rsidRPr="00B13985">
        <w:rPr>
          <w:rFonts w:ascii="Times New Roman" w:hAnsi="Times New Roman" w:cs="Times New Roman"/>
          <w:sz w:val="28"/>
          <w:szCs w:val="28"/>
        </w:rPr>
        <w:t xml:space="preserve"> </w:t>
      </w:r>
      <w:r w:rsidR="004437E1" w:rsidRPr="00B13985">
        <w:rPr>
          <w:rFonts w:ascii="Times New Roman" w:hAnsi="Times New Roman" w:cs="Times New Roman"/>
          <w:sz w:val="28"/>
          <w:szCs w:val="28"/>
        </w:rPr>
        <w:t>and that it</w:t>
      </w:r>
      <w:r w:rsidR="00954645" w:rsidRPr="00B13985">
        <w:rPr>
          <w:rFonts w:ascii="Times New Roman" w:hAnsi="Times New Roman" w:cs="Times New Roman"/>
          <w:sz w:val="28"/>
          <w:szCs w:val="28"/>
        </w:rPr>
        <w:t xml:space="preserve"> be re-registered and restored to the registrar of the CIPC</w:t>
      </w:r>
      <w:r w:rsidR="00E26F56" w:rsidRPr="00B13985">
        <w:rPr>
          <w:rFonts w:ascii="Times New Roman" w:hAnsi="Times New Roman" w:cs="Times New Roman"/>
          <w:sz w:val="28"/>
          <w:szCs w:val="28"/>
        </w:rPr>
        <w:t>.</w:t>
      </w:r>
    </w:p>
    <w:p w14:paraId="7878F123" w14:textId="77777777" w:rsidR="00AE6BF1" w:rsidRPr="00AE6BF1" w:rsidRDefault="00AE6BF1" w:rsidP="00402C29">
      <w:pPr>
        <w:pStyle w:val="ListParagraph"/>
        <w:spacing w:line="360" w:lineRule="auto"/>
        <w:rPr>
          <w:rFonts w:ascii="Times New Roman" w:hAnsi="Times New Roman" w:cs="Times New Roman"/>
          <w:sz w:val="28"/>
          <w:szCs w:val="28"/>
        </w:rPr>
      </w:pPr>
    </w:p>
    <w:p w14:paraId="604E1969" w14:textId="46F05B64"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r>
      <w:r w:rsidR="00AE6BF1" w:rsidRPr="00B13985">
        <w:rPr>
          <w:rFonts w:ascii="Times New Roman" w:hAnsi="Times New Roman" w:cs="Times New Roman"/>
          <w:sz w:val="28"/>
          <w:szCs w:val="28"/>
        </w:rPr>
        <w:t xml:space="preserve">The applicant has made it clear that the only reason he asks for the order is so that he can continue to take the proceedings in the trial on behalf of the close corporation. </w:t>
      </w:r>
    </w:p>
    <w:p w14:paraId="2F31A9C9" w14:textId="77777777" w:rsidR="00AE6BF1" w:rsidRPr="00AE6BF1" w:rsidRDefault="00AE6BF1" w:rsidP="00402C29">
      <w:pPr>
        <w:pStyle w:val="ListParagraph"/>
        <w:spacing w:line="360" w:lineRule="auto"/>
        <w:rPr>
          <w:rFonts w:ascii="Times New Roman" w:hAnsi="Times New Roman" w:cs="Times New Roman"/>
          <w:sz w:val="28"/>
          <w:szCs w:val="28"/>
        </w:rPr>
      </w:pPr>
    </w:p>
    <w:p w14:paraId="51991883" w14:textId="23A9FF09"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AE6BF1" w:rsidRPr="00B13985">
        <w:rPr>
          <w:rFonts w:ascii="Times New Roman" w:hAnsi="Times New Roman" w:cs="Times New Roman"/>
          <w:sz w:val="28"/>
          <w:szCs w:val="28"/>
        </w:rPr>
        <w:t xml:space="preserve">The first, second, fourth and fifth respondents were served </w:t>
      </w:r>
      <w:r w:rsidR="00BE79A2" w:rsidRPr="00B13985">
        <w:rPr>
          <w:rFonts w:ascii="Times New Roman" w:hAnsi="Times New Roman" w:cs="Times New Roman"/>
          <w:sz w:val="28"/>
          <w:szCs w:val="28"/>
        </w:rPr>
        <w:t xml:space="preserve">(albeit </w:t>
      </w:r>
      <w:r w:rsidR="00890088" w:rsidRPr="00B13985">
        <w:rPr>
          <w:rFonts w:ascii="Times New Roman" w:hAnsi="Times New Roman" w:cs="Times New Roman"/>
          <w:sz w:val="28"/>
          <w:szCs w:val="28"/>
        </w:rPr>
        <w:t>on</w:t>
      </w:r>
      <w:r w:rsidR="00BE79A2" w:rsidRPr="00B13985">
        <w:rPr>
          <w:rFonts w:ascii="Times New Roman" w:hAnsi="Times New Roman" w:cs="Times New Roman"/>
          <w:sz w:val="28"/>
          <w:szCs w:val="28"/>
        </w:rPr>
        <w:t xml:space="preserve"> very short notice) </w:t>
      </w:r>
      <w:r w:rsidR="00AE6BF1" w:rsidRPr="00B13985">
        <w:rPr>
          <w:rFonts w:ascii="Times New Roman" w:hAnsi="Times New Roman" w:cs="Times New Roman"/>
          <w:sz w:val="28"/>
          <w:szCs w:val="28"/>
        </w:rPr>
        <w:t xml:space="preserve">by electronic mail according to my first directive issued and </w:t>
      </w:r>
      <w:r w:rsidR="00AE6BF1" w:rsidRPr="00B13985">
        <w:rPr>
          <w:rFonts w:ascii="Times New Roman" w:hAnsi="Times New Roman" w:cs="Times New Roman"/>
          <w:i/>
          <w:iCs/>
          <w:sz w:val="28"/>
          <w:szCs w:val="28"/>
        </w:rPr>
        <w:t>via</w:t>
      </w:r>
      <w:r w:rsidR="00AE6BF1" w:rsidRPr="00B13985">
        <w:rPr>
          <w:rFonts w:ascii="Times New Roman" w:hAnsi="Times New Roman" w:cs="Times New Roman"/>
          <w:sz w:val="28"/>
          <w:szCs w:val="28"/>
        </w:rPr>
        <w:t xml:space="preserve"> the office of the State Attorney </w:t>
      </w:r>
      <w:r w:rsidR="00890088" w:rsidRPr="00B13985">
        <w:rPr>
          <w:rFonts w:ascii="Times New Roman" w:hAnsi="Times New Roman" w:cs="Times New Roman"/>
          <w:sz w:val="28"/>
          <w:szCs w:val="28"/>
        </w:rPr>
        <w:t xml:space="preserve">(also by electronic mail) </w:t>
      </w:r>
      <w:r w:rsidR="00AE6BF1" w:rsidRPr="00B13985">
        <w:rPr>
          <w:rFonts w:ascii="Times New Roman" w:hAnsi="Times New Roman" w:cs="Times New Roman"/>
          <w:sz w:val="28"/>
          <w:szCs w:val="28"/>
        </w:rPr>
        <w:t xml:space="preserve">in a supplementary directive which I issued.  There was no appearance on their behalf and indeed the </w:t>
      </w:r>
      <w:r w:rsidR="001662A9" w:rsidRPr="00B13985">
        <w:rPr>
          <w:rFonts w:ascii="Times New Roman" w:hAnsi="Times New Roman" w:cs="Times New Roman"/>
          <w:sz w:val="28"/>
          <w:szCs w:val="28"/>
        </w:rPr>
        <w:t>fifth</w:t>
      </w:r>
      <w:r w:rsidR="00AE6BF1" w:rsidRPr="00B13985">
        <w:rPr>
          <w:rFonts w:ascii="Times New Roman" w:hAnsi="Times New Roman" w:cs="Times New Roman"/>
          <w:sz w:val="28"/>
          <w:szCs w:val="28"/>
        </w:rPr>
        <w:t xml:space="preserve"> respondent </w:t>
      </w:r>
      <w:r w:rsidR="00E26F56" w:rsidRPr="00B13985">
        <w:rPr>
          <w:rFonts w:ascii="Times New Roman" w:hAnsi="Times New Roman" w:cs="Times New Roman"/>
          <w:sz w:val="28"/>
          <w:szCs w:val="28"/>
        </w:rPr>
        <w:t xml:space="preserve">(the CIPC) </w:t>
      </w:r>
      <w:r w:rsidR="00AE6BF1" w:rsidRPr="00B13985">
        <w:rPr>
          <w:rFonts w:ascii="Times New Roman" w:hAnsi="Times New Roman" w:cs="Times New Roman"/>
          <w:sz w:val="28"/>
          <w:szCs w:val="28"/>
        </w:rPr>
        <w:t xml:space="preserve">has acknowledged receipt of the application and indicated in effect that it will act on the order of the court provided that the unique identifier for its purposes (i.e. the registration number of the relevant entity concerned) is </w:t>
      </w:r>
      <w:r w:rsidR="00890088" w:rsidRPr="00B13985">
        <w:rPr>
          <w:rFonts w:ascii="Times New Roman" w:hAnsi="Times New Roman" w:cs="Times New Roman"/>
          <w:sz w:val="28"/>
          <w:szCs w:val="28"/>
        </w:rPr>
        <w:t>indicated</w:t>
      </w:r>
      <w:r w:rsidR="00AE6BF1" w:rsidRPr="00B13985">
        <w:rPr>
          <w:rFonts w:ascii="Times New Roman" w:hAnsi="Times New Roman" w:cs="Times New Roman"/>
          <w:sz w:val="28"/>
          <w:szCs w:val="28"/>
        </w:rPr>
        <w:t xml:space="preserve"> so that </w:t>
      </w:r>
      <w:r w:rsidR="00E26F56" w:rsidRPr="00B13985">
        <w:rPr>
          <w:rFonts w:ascii="Times New Roman" w:hAnsi="Times New Roman" w:cs="Times New Roman"/>
          <w:sz w:val="28"/>
          <w:szCs w:val="28"/>
        </w:rPr>
        <w:t>it</w:t>
      </w:r>
      <w:r w:rsidR="00AE6BF1" w:rsidRPr="00B13985">
        <w:rPr>
          <w:rFonts w:ascii="Times New Roman" w:hAnsi="Times New Roman" w:cs="Times New Roman"/>
          <w:sz w:val="28"/>
          <w:szCs w:val="28"/>
        </w:rPr>
        <w:t xml:space="preserve"> can effectively implement the terms of whatever order is issued by this court.</w:t>
      </w:r>
    </w:p>
    <w:p w14:paraId="794E2976" w14:textId="77777777" w:rsidR="00AE6BF1" w:rsidRPr="00AE6BF1" w:rsidRDefault="00AE6BF1" w:rsidP="00402C29">
      <w:pPr>
        <w:pStyle w:val="ListParagraph"/>
        <w:spacing w:line="360" w:lineRule="auto"/>
        <w:rPr>
          <w:rFonts w:ascii="Times New Roman" w:hAnsi="Times New Roman" w:cs="Times New Roman"/>
          <w:sz w:val="28"/>
          <w:szCs w:val="28"/>
        </w:rPr>
      </w:pPr>
    </w:p>
    <w:p w14:paraId="33DA8E7A" w14:textId="3BE5E2D4"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AE6BF1" w:rsidRPr="00B13985">
        <w:rPr>
          <w:rFonts w:ascii="Times New Roman" w:hAnsi="Times New Roman" w:cs="Times New Roman"/>
          <w:sz w:val="28"/>
          <w:szCs w:val="28"/>
        </w:rPr>
        <w:t>The third respondent, Blue Label, vociferously opposed the application</w:t>
      </w:r>
      <w:r w:rsidR="00602183" w:rsidRPr="00B13985">
        <w:rPr>
          <w:rFonts w:ascii="Times New Roman" w:hAnsi="Times New Roman" w:cs="Times New Roman"/>
          <w:sz w:val="28"/>
          <w:szCs w:val="28"/>
        </w:rPr>
        <w:t>.</w:t>
      </w:r>
      <w:r w:rsidR="00AE6BF1" w:rsidRPr="00B13985">
        <w:rPr>
          <w:rFonts w:ascii="Times New Roman" w:hAnsi="Times New Roman" w:cs="Times New Roman"/>
          <w:sz w:val="28"/>
          <w:szCs w:val="28"/>
        </w:rPr>
        <w:t xml:space="preserve"> </w:t>
      </w:r>
      <w:r w:rsidR="00602183" w:rsidRPr="00B13985">
        <w:rPr>
          <w:rFonts w:ascii="Times New Roman" w:hAnsi="Times New Roman" w:cs="Times New Roman"/>
          <w:sz w:val="28"/>
          <w:szCs w:val="28"/>
        </w:rPr>
        <w:t>I</w:t>
      </w:r>
      <w:r w:rsidR="00AE6BF1" w:rsidRPr="00B13985">
        <w:rPr>
          <w:rFonts w:ascii="Times New Roman" w:hAnsi="Times New Roman" w:cs="Times New Roman"/>
          <w:sz w:val="28"/>
          <w:szCs w:val="28"/>
        </w:rPr>
        <w:t>ts concerns relate predominantly to matters that would concern the other respondents</w:t>
      </w:r>
      <w:r w:rsidR="00BB0CB9" w:rsidRPr="00B13985">
        <w:rPr>
          <w:rFonts w:ascii="Times New Roman" w:hAnsi="Times New Roman" w:cs="Times New Roman"/>
          <w:sz w:val="28"/>
          <w:szCs w:val="28"/>
        </w:rPr>
        <w:t>, the notional interests of third parties and creditors</w:t>
      </w:r>
      <w:r w:rsidR="00E26F56" w:rsidRPr="00B13985">
        <w:rPr>
          <w:rFonts w:ascii="Times New Roman" w:hAnsi="Times New Roman" w:cs="Times New Roman"/>
          <w:sz w:val="28"/>
          <w:szCs w:val="28"/>
        </w:rPr>
        <w:t xml:space="preserve"> that would be impacted by the relief sought without having been served</w:t>
      </w:r>
      <w:r w:rsidR="00BB0CB9" w:rsidRPr="00B13985">
        <w:rPr>
          <w:rFonts w:ascii="Times New Roman" w:hAnsi="Times New Roman" w:cs="Times New Roman"/>
          <w:sz w:val="28"/>
          <w:szCs w:val="28"/>
        </w:rPr>
        <w:t>,</w:t>
      </w:r>
      <w:r w:rsidR="00AE6BF1" w:rsidRPr="00B13985">
        <w:rPr>
          <w:rFonts w:ascii="Times New Roman" w:hAnsi="Times New Roman" w:cs="Times New Roman"/>
          <w:sz w:val="28"/>
          <w:szCs w:val="28"/>
        </w:rPr>
        <w:t xml:space="preserve"> and the form of the relief sought.  Mr. Schultz contended on its behalf that it was inappropriate to apply for final relief pointing out that an “</w:t>
      </w:r>
      <w:r w:rsidR="00AE6BF1" w:rsidRPr="00B13985">
        <w:rPr>
          <w:rFonts w:ascii="Times New Roman" w:hAnsi="Times New Roman" w:cs="Times New Roman"/>
          <w:i/>
          <w:iCs/>
          <w:sz w:val="28"/>
          <w:szCs w:val="28"/>
        </w:rPr>
        <w:t>order of restoration</w:t>
      </w:r>
      <w:r w:rsidR="00AE6BF1" w:rsidRPr="00B13985">
        <w:rPr>
          <w:rFonts w:ascii="Times New Roman" w:hAnsi="Times New Roman" w:cs="Times New Roman"/>
          <w:sz w:val="28"/>
          <w:szCs w:val="28"/>
        </w:rPr>
        <w:t xml:space="preserve">” should, as a matter of practice, be preceded by a rule </w:t>
      </w:r>
      <w:r w:rsidR="00AE6BF1" w:rsidRPr="00B13985">
        <w:rPr>
          <w:rFonts w:ascii="Times New Roman" w:hAnsi="Times New Roman" w:cs="Times New Roman"/>
          <w:i/>
          <w:iCs/>
          <w:sz w:val="28"/>
          <w:szCs w:val="28"/>
        </w:rPr>
        <w:t>nisi</w:t>
      </w:r>
      <w:r w:rsidR="00AE6BF1" w:rsidRPr="00B13985">
        <w:rPr>
          <w:rFonts w:ascii="Times New Roman" w:hAnsi="Times New Roman" w:cs="Times New Roman"/>
          <w:sz w:val="28"/>
          <w:szCs w:val="28"/>
        </w:rPr>
        <w:t xml:space="preserve"> calling upon all interested parties to show cause why the close corporation’s registration should be restored.</w:t>
      </w:r>
      <w:r w:rsidR="009B5EE6">
        <w:rPr>
          <w:rStyle w:val="FootnoteReference"/>
          <w:rFonts w:ascii="Times New Roman" w:hAnsi="Times New Roman" w:cs="Times New Roman"/>
          <w:sz w:val="28"/>
          <w:szCs w:val="28"/>
        </w:rPr>
        <w:footnoteReference w:id="4"/>
      </w:r>
      <w:r w:rsidR="00AE6BF1" w:rsidRPr="00B13985">
        <w:rPr>
          <w:rFonts w:ascii="Times New Roman" w:hAnsi="Times New Roman" w:cs="Times New Roman"/>
          <w:sz w:val="28"/>
          <w:szCs w:val="28"/>
        </w:rPr>
        <w:t xml:space="preserve">  </w:t>
      </w:r>
      <w:r w:rsidR="00AB32D1" w:rsidRPr="00B13985">
        <w:rPr>
          <w:rFonts w:ascii="Times New Roman" w:hAnsi="Times New Roman" w:cs="Times New Roman"/>
          <w:sz w:val="28"/>
          <w:szCs w:val="28"/>
        </w:rPr>
        <w:t xml:space="preserve">In making the latter submission the parties were </w:t>
      </w:r>
      <w:r w:rsidR="00AB32D1" w:rsidRPr="00B13985">
        <w:rPr>
          <w:rFonts w:ascii="Times New Roman" w:hAnsi="Times New Roman" w:cs="Times New Roman"/>
          <w:i/>
          <w:sz w:val="28"/>
          <w:szCs w:val="28"/>
        </w:rPr>
        <w:t>ad idem</w:t>
      </w:r>
      <w:r w:rsidR="00AB32D1" w:rsidRPr="00B13985">
        <w:rPr>
          <w:rFonts w:ascii="Times New Roman" w:hAnsi="Times New Roman" w:cs="Times New Roman"/>
          <w:sz w:val="28"/>
          <w:szCs w:val="28"/>
        </w:rPr>
        <w:t xml:space="preserve"> that the applicant was intent on relying on the provisions of section 83 (4) of the Companies Act in respect of the order sought by him.</w:t>
      </w:r>
    </w:p>
    <w:p w14:paraId="6298B144" w14:textId="77777777" w:rsidR="00AE6BF1" w:rsidRPr="00AE6BF1" w:rsidRDefault="00AE6BF1" w:rsidP="00402C29">
      <w:pPr>
        <w:pStyle w:val="ListParagraph"/>
        <w:spacing w:line="360" w:lineRule="auto"/>
        <w:rPr>
          <w:rFonts w:ascii="Times New Roman" w:hAnsi="Times New Roman" w:cs="Times New Roman"/>
          <w:sz w:val="28"/>
          <w:szCs w:val="28"/>
        </w:rPr>
      </w:pPr>
    </w:p>
    <w:p w14:paraId="43FCB7A3" w14:textId="6E8153F5"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r>
      <w:r w:rsidR="00AE6BF1" w:rsidRPr="00B13985">
        <w:rPr>
          <w:rFonts w:ascii="Times New Roman" w:hAnsi="Times New Roman" w:cs="Times New Roman"/>
          <w:sz w:val="28"/>
          <w:szCs w:val="28"/>
        </w:rPr>
        <w:t xml:space="preserve">It also objected to the applicant’s approach on the basis of urgency </w:t>
      </w:r>
      <w:r w:rsidR="00890088" w:rsidRPr="00B13985">
        <w:rPr>
          <w:rFonts w:ascii="Times New Roman" w:hAnsi="Times New Roman" w:cs="Times New Roman"/>
          <w:sz w:val="28"/>
          <w:szCs w:val="28"/>
        </w:rPr>
        <w:t>despite</w:t>
      </w:r>
      <w:r w:rsidR="00AE6BF1" w:rsidRPr="00B13985">
        <w:rPr>
          <w:rFonts w:ascii="Times New Roman" w:hAnsi="Times New Roman" w:cs="Times New Roman"/>
          <w:sz w:val="28"/>
          <w:szCs w:val="28"/>
        </w:rPr>
        <w:t xml:space="preserve"> recognizing the stalemate in the trial court and Mr. Cole’s attempts to effectively utilise the opportunity that the trial judge has given them during recess to finalise the matter.  </w:t>
      </w:r>
      <w:r w:rsidR="00890088" w:rsidRPr="00B13985">
        <w:rPr>
          <w:rFonts w:ascii="Times New Roman" w:hAnsi="Times New Roman" w:cs="Times New Roman"/>
          <w:sz w:val="28"/>
          <w:szCs w:val="28"/>
        </w:rPr>
        <w:t>T</w:t>
      </w:r>
      <w:r w:rsidR="00AE6BF1" w:rsidRPr="00B13985">
        <w:rPr>
          <w:rFonts w:ascii="Times New Roman" w:hAnsi="Times New Roman" w:cs="Times New Roman"/>
          <w:sz w:val="28"/>
          <w:szCs w:val="28"/>
        </w:rPr>
        <w:t>he application was advanced on the basis that no costs order would be asked for</w:t>
      </w:r>
      <w:r w:rsidR="00890088" w:rsidRPr="00B13985">
        <w:rPr>
          <w:rFonts w:ascii="Times New Roman" w:hAnsi="Times New Roman" w:cs="Times New Roman"/>
          <w:sz w:val="28"/>
          <w:szCs w:val="28"/>
        </w:rPr>
        <w:t xml:space="preserve"> and evidently </w:t>
      </w:r>
      <w:r w:rsidR="00AE6BF1" w:rsidRPr="00B13985">
        <w:rPr>
          <w:rFonts w:ascii="Times New Roman" w:hAnsi="Times New Roman" w:cs="Times New Roman"/>
          <w:sz w:val="28"/>
          <w:szCs w:val="28"/>
        </w:rPr>
        <w:t xml:space="preserve">it was not envisaged that </w:t>
      </w:r>
      <w:r w:rsidR="00890088" w:rsidRPr="00B13985">
        <w:rPr>
          <w:rFonts w:ascii="Times New Roman" w:hAnsi="Times New Roman" w:cs="Times New Roman"/>
          <w:sz w:val="28"/>
          <w:szCs w:val="28"/>
        </w:rPr>
        <w:t>it</w:t>
      </w:r>
      <w:r w:rsidR="00AE6BF1" w:rsidRPr="00B13985">
        <w:rPr>
          <w:rFonts w:ascii="Times New Roman" w:hAnsi="Times New Roman" w:cs="Times New Roman"/>
          <w:sz w:val="28"/>
          <w:szCs w:val="28"/>
        </w:rPr>
        <w:t xml:space="preserve"> would be opposed</w:t>
      </w:r>
      <w:r w:rsidR="00602183" w:rsidRPr="00B13985">
        <w:rPr>
          <w:rFonts w:ascii="Times New Roman" w:hAnsi="Times New Roman" w:cs="Times New Roman"/>
          <w:sz w:val="28"/>
          <w:szCs w:val="28"/>
        </w:rPr>
        <w:t xml:space="preserve"> by any of the respondents</w:t>
      </w:r>
      <w:r w:rsidR="00AE6BF1" w:rsidRPr="00B13985">
        <w:rPr>
          <w:rFonts w:ascii="Times New Roman" w:hAnsi="Times New Roman" w:cs="Times New Roman"/>
          <w:sz w:val="28"/>
          <w:szCs w:val="28"/>
        </w:rPr>
        <w:t xml:space="preserve"> since the granting of the proposed relief</w:t>
      </w:r>
      <w:r w:rsidR="00602183" w:rsidRPr="00B13985">
        <w:rPr>
          <w:rFonts w:ascii="Times New Roman" w:hAnsi="Times New Roman" w:cs="Times New Roman"/>
          <w:sz w:val="28"/>
          <w:szCs w:val="28"/>
        </w:rPr>
        <w:t>, so the applicant’s argument went, would</w:t>
      </w:r>
      <w:r w:rsidR="00890088" w:rsidRPr="00B13985">
        <w:rPr>
          <w:rFonts w:ascii="Times New Roman" w:hAnsi="Times New Roman" w:cs="Times New Roman"/>
          <w:sz w:val="28"/>
          <w:szCs w:val="28"/>
        </w:rPr>
        <w:t xml:space="preserve"> </w:t>
      </w:r>
      <w:r w:rsidR="00AE6BF1" w:rsidRPr="00B13985">
        <w:rPr>
          <w:rFonts w:ascii="Times New Roman" w:hAnsi="Times New Roman" w:cs="Times New Roman"/>
          <w:sz w:val="28"/>
          <w:szCs w:val="28"/>
        </w:rPr>
        <w:t>be in everyone’s best interest</w:t>
      </w:r>
      <w:r w:rsidR="00890088" w:rsidRPr="00B13985">
        <w:rPr>
          <w:rFonts w:ascii="Times New Roman" w:hAnsi="Times New Roman" w:cs="Times New Roman"/>
          <w:sz w:val="28"/>
          <w:szCs w:val="28"/>
        </w:rPr>
        <w:t>.</w:t>
      </w:r>
    </w:p>
    <w:p w14:paraId="17ED43EF" w14:textId="77777777" w:rsidR="00AE6BF1" w:rsidRPr="00AE6BF1" w:rsidRDefault="00AE6BF1" w:rsidP="00402C29">
      <w:pPr>
        <w:pStyle w:val="ListParagraph"/>
        <w:spacing w:line="360" w:lineRule="auto"/>
        <w:rPr>
          <w:rFonts w:ascii="Times New Roman" w:hAnsi="Times New Roman" w:cs="Times New Roman"/>
          <w:sz w:val="28"/>
          <w:szCs w:val="28"/>
        </w:rPr>
      </w:pPr>
    </w:p>
    <w:p w14:paraId="03F3F16C" w14:textId="7AFD629E"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AE6BF1" w:rsidRPr="00B13985">
        <w:rPr>
          <w:rFonts w:ascii="Times New Roman" w:hAnsi="Times New Roman" w:cs="Times New Roman"/>
          <w:sz w:val="28"/>
          <w:szCs w:val="28"/>
        </w:rPr>
        <w:t>As far as I can tell there is no real objection to the close corporation’s particulars being reinstated on the CIPC database</w:t>
      </w:r>
      <w:r w:rsidR="00A74C12" w:rsidRPr="00B13985">
        <w:rPr>
          <w:rFonts w:ascii="Times New Roman" w:hAnsi="Times New Roman" w:cs="Times New Roman"/>
          <w:sz w:val="28"/>
          <w:szCs w:val="28"/>
        </w:rPr>
        <w:t xml:space="preserve"> vis-à-vis the </w:t>
      </w:r>
      <w:r w:rsidR="009B47C8" w:rsidRPr="00B13985">
        <w:rPr>
          <w:rFonts w:ascii="Times New Roman" w:hAnsi="Times New Roman" w:cs="Times New Roman"/>
          <w:sz w:val="28"/>
          <w:szCs w:val="28"/>
        </w:rPr>
        <w:t>third</w:t>
      </w:r>
      <w:r w:rsidR="00A74C12" w:rsidRPr="00B13985">
        <w:rPr>
          <w:rFonts w:ascii="Times New Roman" w:hAnsi="Times New Roman" w:cs="Times New Roman"/>
          <w:sz w:val="28"/>
          <w:szCs w:val="28"/>
        </w:rPr>
        <w:t xml:space="preserve"> respondent </w:t>
      </w:r>
      <w:r w:rsidR="00AE6BF1" w:rsidRPr="00B13985">
        <w:rPr>
          <w:rFonts w:ascii="Times New Roman" w:hAnsi="Times New Roman" w:cs="Times New Roman"/>
          <w:sz w:val="28"/>
          <w:szCs w:val="28"/>
        </w:rPr>
        <w:t xml:space="preserve">and the applicant being placed in a position where the proceedings on behalf of the close corporation can continue to be taken. </w:t>
      </w:r>
    </w:p>
    <w:p w14:paraId="40815C61" w14:textId="77777777" w:rsidR="00AE6BF1" w:rsidRPr="00AE6BF1" w:rsidRDefault="00AE6BF1" w:rsidP="00402C29">
      <w:pPr>
        <w:pStyle w:val="ListParagraph"/>
        <w:spacing w:line="360" w:lineRule="auto"/>
        <w:rPr>
          <w:rFonts w:ascii="Times New Roman" w:hAnsi="Times New Roman" w:cs="Times New Roman"/>
          <w:sz w:val="28"/>
          <w:szCs w:val="28"/>
        </w:rPr>
      </w:pPr>
    </w:p>
    <w:p w14:paraId="6EAB146E" w14:textId="3EFF928A"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AE6BF1" w:rsidRPr="00B13985">
        <w:rPr>
          <w:rFonts w:ascii="Times New Roman" w:hAnsi="Times New Roman" w:cs="Times New Roman"/>
          <w:sz w:val="28"/>
          <w:szCs w:val="28"/>
        </w:rPr>
        <w:t xml:space="preserve">The question </w:t>
      </w:r>
      <w:r w:rsidR="00E26F56" w:rsidRPr="00B13985">
        <w:rPr>
          <w:rFonts w:ascii="Times New Roman" w:hAnsi="Times New Roman" w:cs="Times New Roman"/>
          <w:sz w:val="28"/>
          <w:szCs w:val="28"/>
        </w:rPr>
        <w:t xml:space="preserve">left begging </w:t>
      </w:r>
      <w:r w:rsidR="004437E1" w:rsidRPr="00B13985">
        <w:rPr>
          <w:rFonts w:ascii="Times New Roman" w:hAnsi="Times New Roman" w:cs="Times New Roman"/>
          <w:sz w:val="28"/>
          <w:szCs w:val="28"/>
        </w:rPr>
        <w:t xml:space="preserve">though </w:t>
      </w:r>
      <w:r w:rsidR="00E26F56" w:rsidRPr="00B13985">
        <w:rPr>
          <w:rFonts w:ascii="Times New Roman" w:hAnsi="Times New Roman" w:cs="Times New Roman"/>
          <w:sz w:val="28"/>
          <w:szCs w:val="28"/>
        </w:rPr>
        <w:t>was</w:t>
      </w:r>
      <w:r w:rsidR="00AE6BF1" w:rsidRPr="00B13985">
        <w:rPr>
          <w:rFonts w:ascii="Times New Roman" w:hAnsi="Times New Roman" w:cs="Times New Roman"/>
          <w:sz w:val="28"/>
          <w:szCs w:val="28"/>
        </w:rPr>
        <w:t xml:space="preserve"> what the route </w:t>
      </w:r>
      <w:r w:rsidR="00E26F56" w:rsidRPr="00B13985">
        <w:rPr>
          <w:rFonts w:ascii="Times New Roman" w:hAnsi="Times New Roman" w:cs="Times New Roman"/>
          <w:sz w:val="28"/>
          <w:szCs w:val="28"/>
        </w:rPr>
        <w:t>was</w:t>
      </w:r>
      <w:r w:rsidR="00AE6BF1" w:rsidRPr="00B13985">
        <w:rPr>
          <w:rFonts w:ascii="Times New Roman" w:hAnsi="Times New Roman" w:cs="Times New Roman"/>
          <w:sz w:val="28"/>
          <w:szCs w:val="28"/>
        </w:rPr>
        <w:t xml:space="preserve"> that </w:t>
      </w:r>
      <w:r w:rsidR="00E26F56" w:rsidRPr="00B13985">
        <w:rPr>
          <w:rFonts w:ascii="Times New Roman" w:hAnsi="Times New Roman" w:cs="Times New Roman"/>
          <w:sz w:val="28"/>
          <w:szCs w:val="28"/>
        </w:rPr>
        <w:t xml:space="preserve">was required to </w:t>
      </w:r>
      <w:r w:rsidR="00AE6BF1" w:rsidRPr="00B13985">
        <w:rPr>
          <w:rFonts w:ascii="Times New Roman" w:hAnsi="Times New Roman" w:cs="Times New Roman"/>
          <w:sz w:val="28"/>
          <w:szCs w:val="28"/>
        </w:rPr>
        <w:t>be taken</w:t>
      </w:r>
      <w:r w:rsidR="00867F01" w:rsidRPr="00B13985">
        <w:rPr>
          <w:rFonts w:ascii="Times New Roman" w:hAnsi="Times New Roman" w:cs="Times New Roman"/>
          <w:sz w:val="28"/>
          <w:szCs w:val="28"/>
        </w:rPr>
        <w:t xml:space="preserve"> in the ordinary course</w:t>
      </w:r>
      <w:r w:rsidR="00AE6BF1" w:rsidRPr="00B13985">
        <w:rPr>
          <w:rFonts w:ascii="Times New Roman" w:hAnsi="Times New Roman" w:cs="Times New Roman"/>
          <w:sz w:val="28"/>
          <w:szCs w:val="28"/>
        </w:rPr>
        <w:t xml:space="preserve"> and what the necessary requirements are in this </w:t>
      </w:r>
      <w:r w:rsidR="009B47C8" w:rsidRPr="00B13985">
        <w:rPr>
          <w:rFonts w:ascii="Times New Roman" w:hAnsi="Times New Roman" w:cs="Times New Roman"/>
          <w:sz w:val="28"/>
          <w:szCs w:val="28"/>
        </w:rPr>
        <w:t>respect</w:t>
      </w:r>
      <w:r w:rsidR="00AE6BF1" w:rsidRPr="00B13985">
        <w:rPr>
          <w:rFonts w:ascii="Times New Roman" w:hAnsi="Times New Roman" w:cs="Times New Roman"/>
          <w:sz w:val="28"/>
          <w:szCs w:val="28"/>
        </w:rPr>
        <w:t>.</w:t>
      </w:r>
      <w:r w:rsidR="00890088" w:rsidRPr="00B13985">
        <w:rPr>
          <w:rFonts w:ascii="Times New Roman" w:hAnsi="Times New Roman" w:cs="Times New Roman"/>
          <w:sz w:val="28"/>
          <w:szCs w:val="28"/>
        </w:rPr>
        <w:t xml:space="preserve"> I was concerned that this was not spelt out in the application papers and </w:t>
      </w:r>
      <w:r w:rsidR="00867F01" w:rsidRPr="00B13985">
        <w:rPr>
          <w:rFonts w:ascii="Times New Roman" w:hAnsi="Times New Roman" w:cs="Times New Roman"/>
          <w:sz w:val="28"/>
          <w:szCs w:val="28"/>
        </w:rPr>
        <w:t xml:space="preserve">I especially </w:t>
      </w:r>
      <w:r w:rsidR="00890088" w:rsidRPr="00B13985">
        <w:rPr>
          <w:rFonts w:ascii="Times New Roman" w:hAnsi="Times New Roman" w:cs="Times New Roman"/>
          <w:sz w:val="28"/>
          <w:szCs w:val="28"/>
        </w:rPr>
        <w:t xml:space="preserve">required the assistance of the parties in this </w:t>
      </w:r>
      <w:r w:rsidR="00867F01" w:rsidRPr="00B13985">
        <w:rPr>
          <w:rFonts w:ascii="Times New Roman" w:hAnsi="Times New Roman" w:cs="Times New Roman"/>
          <w:sz w:val="28"/>
          <w:szCs w:val="28"/>
        </w:rPr>
        <w:t>connection</w:t>
      </w:r>
      <w:r w:rsidR="00890088" w:rsidRPr="00B13985">
        <w:rPr>
          <w:rFonts w:ascii="Times New Roman" w:hAnsi="Times New Roman" w:cs="Times New Roman"/>
          <w:sz w:val="28"/>
          <w:szCs w:val="28"/>
        </w:rPr>
        <w:t>.</w:t>
      </w:r>
    </w:p>
    <w:p w14:paraId="343BA1BE" w14:textId="77777777" w:rsidR="00AE6BF1" w:rsidRPr="00AE6BF1" w:rsidRDefault="00AE6BF1" w:rsidP="00402C29">
      <w:pPr>
        <w:pStyle w:val="ListParagraph"/>
        <w:spacing w:line="360" w:lineRule="auto"/>
        <w:rPr>
          <w:rFonts w:ascii="Times New Roman" w:hAnsi="Times New Roman" w:cs="Times New Roman"/>
          <w:sz w:val="28"/>
          <w:szCs w:val="28"/>
        </w:rPr>
      </w:pPr>
    </w:p>
    <w:p w14:paraId="4C13F99B" w14:textId="6F287F96"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AE6BF1" w:rsidRPr="00B13985">
        <w:rPr>
          <w:rFonts w:ascii="Times New Roman" w:hAnsi="Times New Roman" w:cs="Times New Roman"/>
          <w:sz w:val="28"/>
          <w:szCs w:val="28"/>
        </w:rPr>
        <w:t xml:space="preserve">The </w:t>
      </w:r>
      <w:r w:rsidR="00E26F56" w:rsidRPr="00B13985">
        <w:rPr>
          <w:rFonts w:ascii="Times New Roman" w:hAnsi="Times New Roman" w:cs="Times New Roman"/>
          <w:sz w:val="28"/>
          <w:szCs w:val="28"/>
        </w:rPr>
        <w:t>wherewithal and the peculiar procedures</w:t>
      </w:r>
      <w:r w:rsidR="00867F01" w:rsidRPr="00B13985">
        <w:rPr>
          <w:rFonts w:ascii="Times New Roman" w:hAnsi="Times New Roman" w:cs="Times New Roman"/>
          <w:sz w:val="28"/>
          <w:szCs w:val="28"/>
        </w:rPr>
        <w:t xml:space="preserve"> </w:t>
      </w:r>
      <w:r w:rsidR="00AE6BF1" w:rsidRPr="00B13985">
        <w:rPr>
          <w:rFonts w:ascii="Times New Roman" w:hAnsi="Times New Roman" w:cs="Times New Roman"/>
          <w:sz w:val="28"/>
          <w:szCs w:val="28"/>
        </w:rPr>
        <w:t>lie in the provisions of sections 82 and 83 of the Companies Act</w:t>
      </w:r>
      <w:r w:rsidR="00867F01" w:rsidRPr="00B13985">
        <w:rPr>
          <w:rFonts w:ascii="Times New Roman" w:hAnsi="Times New Roman" w:cs="Times New Roman"/>
          <w:sz w:val="28"/>
          <w:szCs w:val="28"/>
        </w:rPr>
        <w:t>,</w:t>
      </w:r>
      <w:r w:rsidR="003D3A4F">
        <w:rPr>
          <w:rStyle w:val="FootnoteReference"/>
          <w:rFonts w:ascii="Times New Roman" w:hAnsi="Times New Roman" w:cs="Times New Roman"/>
          <w:sz w:val="28"/>
          <w:szCs w:val="28"/>
        </w:rPr>
        <w:footnoteReference w:id="5"/>
      </w:r>
      <w:r w:rsidR="00AE6BF1" w:rsidRPr="00B13985">
        <w:rPr>
          <w:rFonts w:ascii="Times New Roman" w:hAnsi="Times New Roman" w:cs="Times New Roman"/>
          <w:sz w:val="28"/>
          <w:szCs w:val="28"/>
        </w:rPr>
        <w:t xml:space="preserve"> read together with </w:t>
      </w:r>
      <w:r w:rsidR="00867F01" w:rsidRPr="00B13985">
        <w:rPr>
          <w:rFonts w:ascii="Times New Roman" w:hAnsi="Times New Roman" w:cs="Times New Roman"/>
          <w:sz w:val="28"/>
          <w:szCs w:val="28"/>
        </w:rPr>
        <w:t>regulation 40 of the Companies Regulations</w:t>
      </w:r>
      <w:r w:rsidR="00867F01">
        <w:rPr>
          <w:rStyle w:val="FootnoteReference"/>
          <w:rFonts w:ascii="Times New Roman" w:hAnsi="Times New Roman" w:cs="Times New Roman"/>
          <w:sz w:val="28"/>
          <w:szCs w:val="28"/>
        </w:rPr>
        <w:footnoteReference w:id="6"/>
      </w:r>
      <w:r w:rsidR="00867F01" w:rsidRPr="00B13985">
        <w:rPr>
          <w:rFonts w:ascii="Times New Roman" w:hAnsi="Times New Roman" w:cs="Times New Roman"/>
          <w:sz w:val="28"/>
          <w:szCs w:val="28"/>
        </w:rPr>
        <w:t xml:space="preserve"> </w:t>
      </w:r>
      <w:r w:rsidR="00AE6BF1" w:rsidRPr="00B13985">
        <w:rPr>
          <w:rFonts w:ascii="Times New Roman" w:hAnsi="Times New Roman" w:cs="Times New Roman"/>
          <w:sz w:val="28"/>
          <w:szCs w:val="28"/>
        </w:rPr>
        <w:t xml:space="preserve">and the current </w:t>
      </w:r>
      <w:r w:rsidR="00890088" w:rsidRPr="00B13985">
        <w:rPr>
          <w:rFonts w:ascii="Times New Roman" w:hAnsi="Times New Roman" w:cs="Times New Roman"/>
          <w:sz w:val="28"/>
          <w:szCs w:val="28"/>
        </w:rPr>
        <w:t>P</w:t>
      </w:r>
      <w:r w:rsidR="00AE6BF1" w:rsidRPr="00B13985">
        <w:rPr>
          <w:rFonts w:ascii="Times New Roman" w:hAnsi="Times New Roman" w:cs="Times New Roman"/>
          <w:sz w:val="28"/>
          <w:szCs w:val="28"/>
        </w:rPr>
        <w:t xml:space="preserve">ractice </w:t>
      </w:r>
      <w:r w:rsidR="00890088" w:rsidRPr="00B13985">
        <w:rPr>
          <w:rFonts w:ascii="Times New Roman" w:hAnsi="Times New Roman" w:cs="Times New Roman"/>
          <w:sz w:val="28"/>
          <w:szCs w:val="28"/>
        </w:rPr>
        <w:t>N</w:t>
      </w:r>
      <w:r w:rsidR="00AE6BF1" w:rsidRPr="00B13985">
        <w:rPr>
          <w:rFonts w:ascii="Times New Roman" w:hAnsi="Times New Roman" w:cs="Times New Roman"/>
          <w:sz w:val="28"/>
          <w:szCs w:val="28"/>
        </w:rPr>
        <w:t>ote of the CIPC.</w:t>
      </w:r>
      <w:r w:rsidR="00AB32D1" w:rsidRPr="00B13985">
        <w:rPr>
          <w:rFonts w:ascii="Times New Roman" w:hAnsi="Times New Roman" w:cs="Times New Roman"/>
          <w:sz w:val="28"/>
          <w:szCs w:val="28"/>
        </w:rPr>
        <w:t xml:space="preserve">  Mr. </w:t>
      </w:r>
      <w:r w:rsidR="009B47C8" w:rsidRPr="00B13985">
        <w:rPr>
          <w:rFonts w:ascii="Times New Roman" w:hAnsi="Times New Roman" w:cs="Times New Roman"/>
          <w:sz w:val="28"/>
          <w:szCs w:val="28"/>
        </w:rPr>
        <w:t>Schultz also referred me to authorities applicable to applications for “</w:t>
      </w:r>
      <w:r w:rsidR="009B47C8" w:rsidRPr="00B13985">
        <w:rPr>
          <w:rFonts w:ascii="Times New Roman" w:hAnsi="Times New Roman" w:cs="Times New Roman"/>
          <w:i/>
          <w:sz w:val="28"/>
          <w:szCs w:val="28"/>
        </w:rPr>
        <w:t>restoration</w:t>
      </w:r>
      <w:r w:rsidR="009B47C8" w:rsidRPr="00B13985">
        <w:rPr>
          <w:rFonts w:ascii="Times New Roman" w:hAnsi="Times New Roman" w:cs="Times New Roman"/>
          <w:sz w:val="28"/>
          <w:szCs w:val="28"/>
        </w:rPr>
        <w:t>” generally</w:t>
      </w:r>
      <w:r w:rsidR="00602183" w:rsidRPr="00B13985">
        <w:rPr>
          <w:rFonts w:ascii="Times New Roman" w:hAnsi="Times New Roman" w:cs="Times New Roman"/>
          <w:sz w:val="28"/>
          <w:szCs w:val="28"/>
        </w:rPr>
        <w:t xml:space="preserve"> and the requirement that the public at large should be given an opportunity to oppose relief</w:t>
      </w:r>
      <w:r w:rsidR="00AB32D1" w:rsidRPr="00B13985">
        <w:rPr>
          <w:rFonts w:ascii="Times New Roman" w:hAnsi="Times New Roman" w:cs="Times New Roman"/>
          <w:sz w:val="28"/>
          <w:szCs w:val="28"/>
        </w:rPr>
        <w:t xml:space="preserve"> </w:t>
      </w:r>
      <w:r w:rsidR="00AB32D1" w:rsidRPr="00B13985">
        <w:rPr>
          <w:rFonts w:ascii="Times New Roman" w:hAnsi="Times New Roman" w:cs="Times New Roman"/>
          <w:sz w:val="28"/>
          <w:szCs w:val="28"/>
        </w:rPr>
        <w:lastRenderedPageBreak/>
        <w:t>sought under the caption of an application premised on the provisions of section 83 (4) of the Companies Act.</w:t>
      </w:r>
    </w:p>
    <w:p w14:paraId="355B83D4" w14:textId="77777777" w:rsidR="00AE6BF1" w:rsidRPr="00AE6BF1" w:rsidRDefault="00AE6BF1" w:rsidP="00402C29">
      <w:pPr>
        <w:pStyle w:val="ListParagraph"/>
        <w:spacing w:line="360" w:lineRule="auto"/>
        <w:rPr>
          <w:rFonts w:ascii="Times New Roman" w:hAnsi="Times New Roman" w:cs="Times New Roman"/>
          <w:sz w:val="28"/>
          <w:szCs w:val="28"/>
        </w:rPr>
      </w:pPr>
    </w:p>
    <w:p w14:paraId="08BF9F27" w14:textId="453A0388" w:rsidR="00AE6BF1" w:rsidRPr="00B13985" w:rsidRDefault="00B13985" w:rsidP="00B13985">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AE6BF1" w:rsidRPr="00B13985">
        <w:rPr>
          <w:rFonts w:ascii="Times New Roman" w:hAnsi="Times New Roman" w:cs="Times New Roman"/>
          <w:sz w:val="28"/>
          <w:szCs w:val="28"/>
        </w:rPr>
        <w:t>I set out below the full provisions of section 82</w:t>
      </w:r>
      <w:r w:rsidR="00867F01" w:rsidRPr="00B13985">
        <w:rPr>
          <w:rFonts w:ascii="Times New Roman" w:hAnsi="Times New Roman" w:cs="Times New Roman"/>
          <w:sz w:val="28"/>
          <w:szCs w:val="28"/>
        </w:rPr>
        <w:t>,</w:t>
      </w:r>
      <w:r w:rsidR="00AE6BF1" w:rsidRPr="00B13985">
        <w:rPr>
          <w:rFonts w:ascii="Times New Roman" w:hAnsi="Times New Roman" w:cs="Times New Roman"/>
          <w:sz w:val="28"/>
          <w:szCs w:val="28"/>
        </w:rPr>
        <w:t xml:space="preserve"> so that the various scenarios under which deregistration (</w:t>
      </w:r>
      <w:r w:rsidR="003D3A4F" w:rsidRPr="00B13985">
        <w:rPr>
          <w:rFonts w:ascii="Times New Roman" w:hAnsi="Times New Roman" w:cs="Times New Roman"/>
          <w:sz w:val="28"/>
          <w:szCs w:val="28"/>
        </w:rPr>
        <w:t xml:space="preserve">brought </w:t>
      </w:r>
      <w:r w:rsidR="009B5EE6" w:rsidRPr="00B13985">
        <w:rPr>
          <w:rFonts w:ascii="Times New Roman" w:hAnsi="Times New Roman" w:cs="Times New Roman"/>
          <w:sz w:val="28"/>
          <w:szCs w:val="28"/>
        </w:rPr>
        <w:t>on a par</w:t>
      </w:r>
      <w:r w:rsidR="00AE6BF1" w:rsidRPr="00B13985">
        <w:rPr>
          <w:rFonts w:ascii="Times New Roman" w:hAnsi="Times New Roman" w:cs="Times New Roman"/>
          <w:sz w:val="28"/>
          <w:szCs w:val="28"/>
        </w:rPr>
        <w:t xml:space="preserve"> with dissolution) </w:t>
      </w:r>
      <w:r w:rsidR="00867F01" w:rsidRPr="00B13985">
        <w:rPr>
          <w:rFonts w:ascii="Times New Roman" w:hAnsi="Times New Roman" w:cs="Times New Roman"/>
          <w:sz w:val="28"/>
          <w:szCs w:val="28"/>
        </w:rPr>
        <w:t>can</w:t>
      </w:r>
      <w:r w:rsidR="00AE6BF1" w:rsidRPr="00B13985">
        <w:rPr>
          <w:rFonts w:ascii="Times New Roman" w:hAnsi="Times New Roman" w:cs="Times New Roman"/>
          <w:sz w:val="28"/>
          <w:szCs w:val="28"/>
        </w:rPr>
        <w:t xml:space="preserve"> occur</w:t>
      </w:r>
      <w:r w:rsidR="00867F01" w:rsidRPr="00B13985">
        <w:rPr>
          <w:rFonts w:ascii="Times New Roman" w:hAnsi="Times New Roman" w:cs="Times New Roman"/>
          <w:sz w:val="28"/>
          <w:szCs w:val="28"/>
        </w:rPr>
        <w:t>,</w:t>
      </w:r>
      <w:r w:rsidR="00AE6BF1" w:rsidRPr="00B13985">
        <w:rPr>
          <w:rFonts w:ascii="Times New Roman" w:hAnsi="Times New Roman" w:cs="Times New Roman"/>
          <w:sz w:val="28"/>
          <w:szCs w:val="28"/>
        </w:rPr>
        <w:t xml:space="preserve"> </w:t>
      </w:r>
      <w:r w:rsidR="004437E1" w:rsidRPr="00B13985">
        <w:rPr>
          <w:rFonts w:ascii="Times New Roman" w:hAnsi="Times New Roman" w:cs="Times New Roman"/>
          <w:sz w:val="28"/>
          <w:szCs w:val="28"/>
        </w:rPr>
        <w:t xml:space="preserve">are </w:t>
      </w:r>
      <w:r w:rsidR="00AE6BF1" w:rsidRPr="00B13985">
        <w:rPr>
          <w:rFonts w:ascii="Times New Roman" w:hAnsi="Times New Roman" w:cs="Times New Roman"/>
          <w:sz w:val="28"/>
          <w:szCs w:val="28"/>
        </w:rPr>
        <w:t xml:space="preserve">kept in mind. I have however italicized the portions that </w:t>
      </w:r>
      <w:r w:rsidR="004437E1" w:rsidRPr="00B13985">
        <w:rPr>
          <w:rFonts w:ascii="Times New Roman" w:hAnsi="Times New Roman" w:cs="Times New Roman"/>
          <w:sz w:val="28"/>
          <w:szCs w:val="28"/>
        </w:rPr>
        <w:t xml:space="preserve">appear to </w:t>
      </w:r>
      <w:r w:rsidR="00AE6BF1" w:rsidRPr="00B13985">
        <w:rPr>
          <w:rFonts w:ascii="Times New Roman" w:hAnsi="Times New Roman" w:cs="Times New Roman"/>
          <w:sz w:val="28"/>
          <w:szCs w:val="28"/>
        </w:rPr>
        <w:t>apply in this instance.</w:t>
      </w:r>
    </w:p>
    <w:p w14:paraId="4B3704A8" w14:textId="77777777" w:rsidR="00402C29" w:rsidRPr="00402C29" w:rsidRDefault="00402C29" w:rsidP="00402C29">
      <w:pPr>
        <w:pStyle w:val="ListParagraph"/>
        <w:rPr>
          <w:rFonts w:ascii="Times New Roman" w:hAnsi="Times New Roman" w:cs="Times New Roman"/>
          <w:sz w:val="28"/>
          <w:szCs w:val="28"/>
        </w:rPr>
      </w:pPr>
    </w:p>
    <w:p w14:paraId="386A2A4A" w14:textId="744AD358" w:rsidR="00647BA1" w:rsidRPr="00A74C12" w:rsidRDefault="00647BA1" w:rsidP="00A74C12">
      <w:pPr>
        <w:pStyle w:val="lg-section"/>
        <w:shd w:val="clear" w:color="auto" w:fill="FFFFFF"/>
        <w:tabs>
          <w:tab w:val="left" w:pos="1276"/>
        </w:tabs>
        <w:spacing w:before="0" w:beforeAutospacing="0" w:after="0" w:afterAutospacing="0"/>
        <w:ind w:left="720"/>
        <w:contextualSpacing/>
        <w:jc w:val="both"/>
        <w:rPr>
          <w:sz w:val="22"/>
          <w:szCs w:val="22"/>
        </w:rPr>
      </w:pPr>
      <w:r w:rsidRPr="00A74C12">
        <w:rPr>
          <w:b/>
          <w:bCs/>
          <w:sz w:val="22"/>
          <w:szCs w:val="22"/>
        </w:rPr>
        <w:t xml:space="preserve">“82.   Dissolution of companies </w:t>
      </w:r>
      <w:r w:rsidRPr="00A74C12">
        <w:rPr>
          <w:b/>
          <w:bCs/>
          <w:i/>
          <w:iCs/>
          <w:sz w:val="22"/>
          <w:szCs w:val="22"/>
        </w:rPr>
        <w:t xml:space="preserve">and removal from </w:t>
      </w:r>
      <w:r w:rsidR="00867F01" w:rsidRPr="00A74C12">
        <w:rPr>
          <w:b/>
          <w:bCs/>
          <w:i/>
          <w:iCs/>
          <w:sz w:val="22"/>
          <w:szCs w:val="22"/>
        </w:rPr>
        <w:t>register</w:t>
      </w:r>
      <w:r w:rsidR="00867F01" w:rsidRPr="00A74C12">
        <w:rPr>
          <w:b/>
          <w:bCs/>
          <w:sz w:val="22"/>
          <w:szCs w:val="22"/>
        </w:rPr>
        <w:t>.</w:t>
      </w:r>
      <w:r w:rsidR="00867F01" w:rsidRPr="00A74C12">
        <w:rPr>
          <w:sz w:val="22"/>
          <w:szCs w:val="22"/>
        </w:rPr>
        <w:t xml:space="preserve"> </w:t>
      </w:r>
      <w:r w:rsidR="004437E1" w:rsidRPr="00A74C12">
        <w:rPr>
          <w:sz w:val="22"/>
          <w:szCs w:val="22"/>
        </w:rPr>
        <w:t>— (</w:t>
      </w:r>
      <w:r w:rsidRPr="00A74C12">
        <w:rPr>
          <w:sz w:val="22"/>
          <w:szCs w:val="22"/>
        </w:rPr>
        <w:t>1)  The Master must file a certificate of winding up of a company in the prescribed form when the affairs of the company have been completely wound up.</w:t>
      </w:r>
    </w:p>
    <w:p w14:paraId="5BE5181F" w14:textId="77777777" w:rsidR="00647BA1" w:rsidRPr="00A74C12" w:rsidRDefault="00647BA1" w:rsidP="00A74C12">
      <w:pPr>
        <w:pStyle w:val="lg-section"/>
        <w:shd w:val="clear" w:color="auto" w:fill="FFFFFF"/>
        <w:spacing w:before="0" w:beforeAutospacing="0" w:after="0" w:afterAutospacing="0"/>
        <w:ind w:left="2081" w:hanging="641"/>
        <w:contextualSpacing/>
        <w:jc w:val="both"/>
        <w:rPr>
          <w:sz w:val="22"/>
          <w:szCs w:val="22"/>
        </w:rPr>
      </w:pPr>
      <w:r w:rsidRPr="00A74C12">
        <w:rPr>
          <w:sz w:val="22"/>
          <w:szCs w:val="22"/>
        </w:rPr>
        <w:t>2)</w:t>
      </w:r>
      <w:r w:rsidRPr="00A74C12">
        <w:rPr>
          <w:sz w:val="22"/>
          <w:szCs w:val="22"/>
        </w:rPr>
        <w:tab/>
        <w:t>Upon receiving a certificate in terms of </w:t>
      </w:r>
      <w:hyperlink r:id="rId9" w:anchor="g8dt" w:history="1">
        <w:r w:rsidRPr="00A74C12">
          <w:rPr>
            <w:rStyle w:val="Hyperlink"/>
            <w:rFonts w:eastAsiaTheme="majorEastAsia"/>
            <w:color w:val="auto"/>
            <w:sz w:val="22"/>
            <w:szCs w:val="22"/>
          </w:rPr>
          <w:t>subsection (1)</w:t>
        </w:r>
      </w:hyperlink>
      <w:r w:rsidRPr="00A74C12">
        <w:rPr>
          <w:sz w:val="22"/>
          <w:szCs w:val="22"/>
        </w:rPr>
        <w:t>, the Commission must—</w:t>
      </w:r>
    </w:p>
    <w:p w14:paraId="7EDB42C9" w14:textId="3C2DB5FE" w:rsidR="00647BA1" w:rsidRPr="00A74C12" w:rsidRDefault="00647BA1" w:rsidP="00A74C12">
      <w:pPr>
        <w:pStyle w:val="lg-a-1"/>
        <w:shd w:val="clear" w:color="auto" w:fill="FFFFFF"/>
        <w:tabs>
          <w:tab w:val="left" w:pos="993"/>
        </w:tabs>
        <w:spacing w:before="0" w:beforeAutospacing="0" w:after="0" w:afterAutospacing="0"/>
        <w:ind w:left="2081" w:hanging="641"/>
        <w:contextualSpacing/>
        <w:jc w:val="both"/>
        <w:rPr>
          <w:sz w:val="22"/>
          <w:szCs w:val="22"/>
        </w:rPr>
      </w:pPr>
      <w:r w:rsidRPr="00A74C12">
        <w:rPr>
          <w:sz w:val="22"/>
          <w:szCs w:val="22"/>
        </w:rPr>
        <w:tab/>
      </w:r>
      <w:r w:rsidRPr="00A74C12">
        <w:rPr>
          <w:sz w:val="22"/>
          <w:szCs w:val="22"/>
        </w:rPr>
        <w:tab/>
        <w:t>(</w:t>
      </w:r>
      <w:r w:rsidRPr="00A74C12">
        <w:rPr>
          <w:i/>
          <w:iCs/>
          <w:sz w:val="22"/>
          <w:szCs w:val="22"/>
        </w:rPr>
        <w:t>a</w:t>
      </w:r>
      <w:r w:rsidRPr="00A74C12">
        <w:rPr>
          <w:sz w:val="22"/>
          <w:szCs w:val="22"/>
        </w:rPr>
        <w:t>) record the dissolution of the company in the prescribed manner; and</w:t>
      </w:r>
    </w:p>
    <w:p w14:paraId="3C9E1DF1" w14:textId="73B9C7CD" w:rsidR="00647BA1" w:rsidRPr="00A74C12" w:rsidRDefault="00647BA1" w:rsidP="00A74C12">
      <w:pPr>
        <w:pStyle w:val="lg-a-1"/>
        <w:shd w:val="clear" w:color="auto" w:fill="FFFFFF"/>
        <w:tabs>
          <w:tab w:val="left" w:pos="993"/>
        </w:tabs>
        <w:spacing w:before="0" w:beforeAutospacing="0" w:after="0" w:afterAutospacing="0"/>
        <w:ind w:left="2081" w:hanging="641"/>
        <w:contextualSpacing/>
        <w:jc w:val="both"/>
        <w:rPr>
          <w:sz w:val="22"/>
          <w:szCs w:val="22"/>
        </w:rPr>
      </w:pPr>
      <w:r w:rsidRPr="00A74C12">
        <w:rPr>
          <w:sz w:val="22"/>
          <w:szCs w:val="22"/>
        </w:rPr>
        <w:tab/>
      </w:r>
      <w:r w:rsidRPr="00A74C12">
        <w:rPr>
          <w:sz w:val="22"/>
          <w:szCs w:val="22"/>
        </w:rPr>
        <w:tab/>
        <w:t>(</w:t>
      </w:r>
      <w:r w:rsidRPr="00A74C12">
        <w:rPr>
          <w:i/>
          <w:iCs/>
          <w:sz w:val="22"/>
          <w:szCs w:val="22"/>
        </w:rPr>
        <w:t>b</w:t>
      </w:r>
      <w:r w:rsidRPr="00A74C12">
        <w:rPr>
          <w:sz w:val="22"/>
          <w:szCs w:val="22"/>
        </w:rPr>
        <w:t>) remove the company’s name from the companies register.</w:t>
      </w:r>
    </w:p>
    <w:p w14:paraId="18EF8962" w14:textId="77777777" w:rsidR="00647BA1" w:rsidRPr="00A74C12" w:rsidRDefault="00647BA1" w:rsidP="00A74C12">
      <w:pPr>
        <w:pStyle w:val="lg-para3"/>
        <w:shd w:val="clear" w:color="auto" w:fill="FFFFFF"/>
        <w:spacing w:before="0" w:beforeAutospacing="0" w:after="0" w:afterAutospacing="0"/>
        <w:ind w:left="1440"/>
        <w:contextualSpacing/>
        <w:jc w:val="both"/>
        <w:rPr>
          <w:sz w:val="22"/>
          <w:szCs w:val="22"/>
        </w:rPr>
      </w:pPr>
    </w:p>
    <w:p w14:paraId="2256EC47" w14:textId="77777777" w:rsidR="00647BA1" w:rsidRPr="00A74C12" w:rsidRDefault="00647BA1" w:rsidP="00A74C12">
      <w:pPr>
        <w:pStyle w:val="lg-para3"/>
        <w:shd w:val="clear" w:color="auto" w:fill="FFFFFF"/>
        <w:spacing w:before="0" w:beforeAutospacing="0" w:after="0" w:afterAutospacing="0"/>
        <w:ind w:left="1440"/>
        <w:contextualSpacing/>
        <w:jc w:val="both"/>
        <w:rPr>
          <w:sz w:val="22"/>
          <w:szCs w:val="22"/>
        </w:rPr>
      </w:pPr>
      <w:r w:rsidRPr="00A74C12">
        <w:rPr>
          <w:sz w:val="22"/>
          <w:szCs w:val="22"/>
        </w:rPr>
        <w:t>3)  In addition to the duty to deregister a company contemplated in </w:t>
      </w:r>
      <w:hyperlink r:id="rId10" w:anchor="g8dw" w:history="1">
        <w:r w:rsidRPr="00A74C12">
          <w:rPr>
            <w:rStyle w:val="Hyperlink"/>
            <w:rFonts w:eastAsiaTheme="majorEastAsia"/>
            <w:i/>
            <w:iCs/>
            <w:color w:val="auto"/>
            <w:sz w:val="22"/>
            <w:szCs w:val="22"/>
          </w:rPr>
          <w:t>subsection (2) (b)</w:t>
        </w:r>
      </w:hyperlink>
      <w:r w:rsidRPr="00A74C12">
        <w:rPr>
          <w:i/>
          <w:iCs/>
          <w:sz w:val="22"/>
          <w:szCs w:val="22"/>
        </w:rPr>
        <w:t>, the Commission may otherwise remove a company from the companies register only if</w:t>
      </w:r>
      <w:r w:rsidRPr="00A74C12">
        <w:rPr>
          <w:sz w:val="22"/>
          <w:szCs w:val="22"/>
        </w:rPr>
        <w:t>—</w:t>
      </w:r>
    </w:p>
    <w:p w14:paraId="301BD8D0" w14:textId="77777777" w:rsidR="00647BA1" w:rsidRPr="00A74C12" w:rsidRDefault="00647BA1" w:rsidP="00A74C12">
      <w:pPr>
        <w:pStyle w:val="lg-para3"/>
        <w:shd w:val="clear" w:color="auto" w:fill="FFFFFF"/>
        <w:spacing w:before="0" w:beforeAutospacing="0" w:after="0" w:afterAutospacing="0"/>
        <w:ind w:left="1440" w:firstLine="720"/>
        <w:contextualSpacing/>
        <w:jc w:val="both"/>
        <w:rPr>
          <w:sz w:val="22"/>
          <w:szCs w:val="22"/>
        </w:rPr>
      </w:pPr>
      <w:r w:rsidRPr="00A74C12">
        <w:rPr>
          <w:sz w:val="22"/>
          <w:szCs w:val="22"/>
        </w:rPr>
        <w:t>(</w:t>
      </w:r>
      <w:r w:rsidRPr="00A74C12">
        <w:rPr>
          <w:i/>
          <w:iCs/>
          <w:sz w:val="22"/>
          <w:szCs w:val="22"/>
        </w:rPr>
        <w:t>a</w:t>
      </w:r>
      <w:r w:rsidRPr="00A74C12">
        <w:rPr>
          <w:sz w:val="22"/>
          <w:szCs w:val="22"/>
        </w:rPr>
        <w:t xml:space="preserve">) </w:t>
      </w:r>
      <w:r w:rsidRPr="00867F01">
        <w:rPr>
          <w:i/>
          <w:iCs/>
          <w:sz w:val="22"/>
          <w:szCs w:val="22"/>
        </w:rPr>
        <w:t>the company</w:t>
      </w:r>
      <w:r w:rsidRPr="00A74C12">
        <w:rPr>
          <w:sz w:val="22"/>
          <w:szCs w:val="22"/>
        </w:rPr>
        <w:t xml:space="preserve"> has transferred its registration to a foreign jurisdiction in </w:t>
      </w:r>
      <w:r w:rsidRPr="00A74C12">
        <w:rPr>
          <w:sz w:val="22"/>
          <w:szCs w:val="22"/>
        </w:rPr>
        <w:tab/>
        <w:t>terms of </w:t>
      </w:r>
      <w:hyperlink r:id="rId11" w:anchor="g8e9" w:history="1">
        <w:r w:rsidRPr="00A74C12">
          <w:rPr>
            <w:rStyle w:val="Hyperlink"/>
            <w:rFonts w:eastAsiaTheme="majorEastAsia"/>
            <w:color w:val="auto"/>
            <w:sz w:val="22"/>
            <w:szCs w:val="22"/>
          </w:rPr>
          <w:t>subsection (5)</w:t>
        </w:r>
      </w:hyperlink>
      <w:r w:rsidRPr="00A74C12">
        <w:rPr>
          <w:sz w:val="22"/>
          <w:szCs w:val="22"/>
        </w:rPr>
        <w:t>, or—</w:t>
      </w:r>
    </w:p>
    <w:p w14:paraId="1269509F" w14:textId="3C090797" w:rsidR="00647BA1" w:rsidRPr="00A74C12" w:rsidRDefault="00647BA1" w:rsidP="00A74C12">
      <w:pPr>
        <w:pStyle w:val="lg-para3"/>
        <w:shd w:val="clear" w:color="auto" w:fill="FFFFFF"/>
        <w:spacing w:before="0" w:beforeAutospacing="0" w:after="0" w:afterAutospacing="0"/>
        <w:ind w:left="2880"/>
        <w:contextualSpacing/>
        <w:jc w:val="both"/>
        <w:rPr>
          <w:sz w:val="22"/>
          <w:szCs w:val="22"/>
        </w:rPr>
      </w:pPr>
      <w:r w:rsidRPr="00A74C12">
        <w:rPr>
          <w:sz w:val="22"/>
          <w:szCs w:val="22"/>
        </w:rPr>
        <w:t xml:space="preserve">(i) </w:t>
      </w:r>
      <w:r w:rsidRPr="00A74C12">
        <w:rPr>
          <w:i/>
          <w:iCs/>
          <w:sz w:val="22"/>
          <w:szCs w:val="22"/>
        </w:rPr>
        <w:t xml:space="preserve">has failed to file an annual return in terms of section 33 for two or more years </w:t>
      </w:r>
      <w:r w:rsidR="00BE79A2" w:rsidRPr="00A74C12">
        <w:rPr>
          <w:i/>
          <w:iCs/>
          <w:sz w:val="22"/>
          <w:szCs w:val="22"/>
        </w:rPr>
        <w:t>in succession</w:t>
      </w:r>
      <w:r w:rsidRPr="00A74C12">
        <w:rPr>
          <w:i/>
          <w:iCs/>
          <w:sz w:val="22"/>
          <w:szCs w:val="22"/>
        </w:rPr>
        <w:t>; and</w:t>
      </w:r>
    </w:p>
    <w:p w14:paraId="6D469E6E" w14:textId="37597443" w:rsidR="00647BA1" w:rsidRPr="00A74C12" w:rsidRDefault="00647BA1" w:rsidP="00A74C12">
      <w:pPr>
        <w:pStyle w:val="lg-i-a-1"/>
        <w:shd w:val="clear" w:color="auto" w:fill="FFFFFF"/>
        <w:tabs>
          <w:tab w:val="left" w:pos="1418"/>
          <w:tab w:val="left" w:pos="1843"/>
        </w:tabs>
        <w:spacing w:before="0" w:beforeAutospacing="0" w:after="0" w:afterAutospacing="0"/>
        <w:ind w:left="720" w:firstLine="680"/>
        <w:contextualSpacing/>
        <w:jc w:val="both"/>
        <w:rPr>
          <w:i/>
          <w:iCs/>
          <w:sz w:val="22"/>
          <w:szCs w:val="22"/>
        </w:rPr>
      </w:pPr>
      <w:r w:rsidRPr="00A74C12">
        <w:rPr>
          <w:i/>
          <w:iCs/>
          <w:sz w:val="22"/>
          <w:szCs w:val="22"/>
        </w:rPr>
        <w:tab/>
      </w:r>
      <w:r w:rsidRPr="00A74C12">
        <w:rPr>
          <w:i/>
          <w:iCs/>
          <w:sz w:val="22"/>
          <w:szCs w:val="22"/>
        </w:rPr>
        <w:tab/>
      </w:r>
      <w:r w:rsidRPr="00A74C12">
        <w:rPr>
          <w:i/>
          <w:iCs/>
          <w:sz w:val="22"/>
          <w:szCs w:val="22"/>
        </w:rPr>
        <w:tab/>
        <w:t xml:space="preserve">      </w:t>
      </w:r>
      <w:r w:rsidRPr="00A74C12">
        <w:rPr>
          <w:i/>
          <w:iCs/>
          <w:sz w:val="22"/>
          <w:szCs w:val="22"/>
        </w:rPr>
        <w:tab/>
        <w:t>(ii) on demand by the Commission, has failed to—</w:t>
      </w:r>
    </w:p>
    <w:p w14:paraId="21D40A6D" w14:textId="726BEDF2" w:rsidR="00647BA1" w:rsidRPr="00A74C12" w:rsidRDefault="00647BA1" w:rsidP="00A74C12">
      <w:pPr>
        <w:pStyle w:val="lg-aa-a-i"/>
        <w:shd w:val="clear" w:color="auto" w:fill="FFFFFF"/>
        <w:tabs>
          <w:tab w:val="left" w:pos="2127"/>
          <w:tab w:val="left" w:pos="2552"/>
          <w:tab w:val="left" w:pos="2977"/>
        </w:tabs>
        <w:spacing w:before="0" w:beforeAutospacing="0" w:after="0" w:afterAutospacing="0"/>
        <w:ind w:left="2880"/>
        <w:contextualSpacing/>
        <w:jc w:val="both"/>
        <w:rPr>
          <w:i/>
          <w:iCs/>
          <w:sz w:val="22"/>
          <w:szCs w:val="22"/>
        </w:rPr>
      </w:pPr>
      <w:r w:rsidRPr="00A74C12">
        <w:rPr>
          <w:i/>
          <w:iCs/>
          <w:sz w:val="22"/>
          <w:szCs w:val="22"/>
        </w:rPr>
        <w:tab/>
        <w:t>(aa) give satisfactory reasons for the failure to file the required        annual returns; or</w:t>
      </w:r>
    </w:p>
    <w:p w14:paraId="5EA0AAFF" w14:textId="522F8263" w:rsidR="00647BA1" w:rsidRPr="00A74C12" w:rsidRDefault="00647BA1" w:rsidP="00A74C12">
      <w:pPr>
        <w:pStyle w:val="lg-aa-a-i"/>
        <w:shd w:val="clear" w:color="auto" w:fill="FFFFFF"/>
        <w:tabs>
          <w:tab w:val="left" w:pos="2127"/>
          <w:tab w:val="left" w:pos="2552"/>
        </w:tabs>
        <w:spacing w:before="0" w:beforeAutospacing="0" w:after="0" w:afterAutospacing="0"/>
        <w:ind w:left="2880"/>
        <w:contextualSpacing/>
        <w:jc w:val="both"/>
        <w:rPr>
          <w:i/>
          <w:iCs/>
          <w:sz w:val="22"/>
          <w:szCs w:val="22"/>
        </w:rPr>
      </w:pPr>
      <w:r w:rsidRPr="00A74C12">
        <w:rPr>
          <w:i/>
          <w:iCs/>
          <w:sz w:val="22"/>
          <w:szCs w:val="22"/>
        </w:rPr>
        <w:t>(bb) show satisfactory cause for the company to remain registered</w:t>
      </w:r>
      <w:r w:rsidRPr="00A74C12">
        <w:rPr>
          <w:sz w:val="22"/>
          <w:szCs w:val="22"/>
        </w:rPr>
        <w:t>; or</w:t>
      </w:r>
    </w:p>
    <w:p w14:paraId="54CCE9B4" w14:textId="77777777" w:rsidR="00647BA1" w:rsidRPr="00A74C12" w:rsidRDefault="00647BA1" w:rsidP="00A74C12">
      <w:pPr>
        <w:pStyle w:val="lg-a-1"/>
        <w:shd w:val="clear" w:color="auto" w:fill="FFFFFF"/>
        <w:spacing w:before="0" w:beforeAutospacing="0" w:after="0" w:afterAutospacing="0"/>
        <w:ind w:left="1440" w:firstLine="720"/>
        <w:contextualSpacing/>
        <w:jc w:val="both"/>
        <w:rPr>
          <w:sz w:val="22"/>
          <w:szCs w:val="22"/>
        </w:rPr>
      </w:pPr>
      <w:r w:rsidRPr="00A74C12">
        <w:rPr>
          <w:sz w:val="22"/>
          <w:szCs w:val="22"/>
        </w:rPr>
        <w:t>(</w:t>
      </w:r>
      <w:r w:rsidRPr="00A74C12">
        <w:rPr>
          <w:i/>
          <w:iCs/>
          <w:sz w:val="22"/>
          <w:szCs w:val="22"/>
        </w:rPr>
        <w:t>b</w:t>
      </w:r>
      <w:r w:rsidRPr="00A74C12">
        <w:rPr>
          <w:sz w:val="22"/>
          <w:szCs w:val="22"/>
        </w:rPr>
        <w:t>) the Commission—</w:t>
      </w:r>
    </w:p>
    <w:p w14:paraId="542E7BE6" w14:textId="2B5FFF40" w:rsidR="00647BA1" w:rsidRPr="00A74C12" w:rsidRDefault="00647BA1" w:rsidP="00A74C12">
      <w:pPr>
        <w:pStyle w:val="lg-i-a-1"/>
        <w:shd w:val="clear" w:color="auto" w:fill="FFFFFF"/>
        <w:tabs>
          <w:tab w:val="left" w:pos="1843"/>
        </w:tabs>
        <w:spacing w:before="0" w:beforeAutospacing="0" w:after="0" w:afterAutospacing="0"/>
        <w:ind w:left="2880" w:hanging="720"/>
        <w:contextualSpacing/>
        <w:jc w:val="both"/>
        <w:rPr>
          <w:sz w:val="22"/>
          <w:szCs w:val="22"/>
        </w:rPr>
      </w:pPr>
      <w:r w:rsidRPr="00A74C12">
        <w:rPr>
          <w:sz w:val="22"/>
          <w:szCs w:val="22"/>
        </w:rPr>
        <w:tab/>
        <w:t>(i) has determined in the prescribed manner that the company appears to have been inactive for at least seven years, and no person has demonstrated a reasonable interest in, or reason for, its continued existence; or</w:t>
      </w:r>
    </w:p>
    <w:p w14:paraId="16541AC5" w14:textId="72554DEB" w:rsidR="00647BA1" w:rsidRPr="00A74C12" w:rsidRDefault="00647BA1" w:rsidP="00A74C12">
      <w:pPr>
        <w:pStyle w:val="lg-i-a-1"/>
        <w:shd w:val="clear" w:color="auto" w:fill="FFFFFF"/>
        <w:tabs>
          <w:tab w:val="left" w:pos="1843"/>
        </w:tabs>
        <w:spacing w:before="0" w:beforeAutospacing="0" w:after="0" w:afterAutospacing="0"/>
        <w:ind w:left="2880" w:hanging="403"/>
        <w:contextualSpacing/>
        <w:jc w:val="both"/>
        <w:rPr>
          <w:sz w:val="22"/>
          <w:szCs w:val="22"/>
        </w:rPr>
      </w:pPr>
      <w:r w:rsidRPr="00A74C12">
        <w:rPr>
          <w:sz w:val="22"/>
          <w:szCs w:val="22"/>
        </w:rPr>
        <w:tab/>
        <w:t>(ii) has received a request in the prescribed manner and form and has determined that the company—</w:t>
      </w:r>
    </w:p>
    <w:p w14:paraId="1860BCCA" w14:textId="77777777" w:rsidR="00647BA1" w:rsidRPr="00A74C12" w:rsidRDefault="00647BA1" w:rsidP="00A74C12">
      <w:pPr>
        <w:pStyle w:val="lg-aa-a-i"/>
        <w:shd w:val="clear" w:color="auto" w:fill="FFFFFF"/>
        <w:spacing w:before="0" w:beforeAutospacing="0" w:after="0" w:afterAutospacing="0"/>
        <w:ind w:left="2160" w:firstLine="720"/>
        <w:contextualSpacing/>
        <w:jc w:val="both"/>
        <w:rPr>
          <w:sz w:val="22"/>
          <w:szCs w:val="22"/>
        </w:rPr>
      </w:pPr>
      <w:r w:rsidRPr="00A74C12">
        <w:rPr>
          <w:sz w:val="22"/>
          <w:szCs w:val="22"/>
        </w:rPr>
        <w:t>(</w:t>
      </w:r>
      <w:r w:rsidRPr="00A74C12">
        <w:rPr>
          <w:i/>
          <w:iCs/>
          <w:sz w:val="22"/>
          <w:szCs w:val="22"/>
        </w:rPr>
        <w:t>aa</w:t>
      </w:r>
      <w:r w:rsidRPr="00A74C12">
        <w:rPr>
          <w:sz w:val="22"/>
          <w:szCs w:val="22"/>
        </w:rPr>
        <w:t>) has ceased to carry on business; and</w:t>
      </w:r>
    </w:p>
    <w:p w14:paraId="474006B0" w14:textId="22906433" w:rsidR="00647BA1" w:rsidRPr="00A74C12" w:rsidRDefault="00647BA1" w:rsidP="00A74C12">
      <w:pPr>
        <w:pStyle w:val="lg-aa-a-i"/>
        <w:shd w:val="clear" w:color="auto" w:fill="FFFFFF"/>
        <w:spacing w:before="0" w:beforeAutospacing="0" w:after="0" w:afterAutospacing="0"/>
        <w:ind w:left="2880"/>
        <w:contextualSpacing/>
        <w:jc w:val="both"/>
        <w:rPr>
          <w:sz w:val="22"/>
          <w:szCs w:val="22"/>
        </w:rPr>
      </w:pPr>
      <w:r w:rsidRPr="00A74C12">
        <w:rPr>
          <w:sz w:val="22"/>
          <w:szCs w:val="22"/>
        </w:rPr>
        <w:t>(</w:t>
      </w:r>
      <w:r w:rsidRPr="00A74C12">
        <w:rPr>
          <w:i/>
          <w:iCs/>
          <w:sz w:val="22"/>
          <w:szCs w:val="22"/>
        </w:rPr>
        <w:t>bb</w:t>
      </w:r>
      <w:r w:rsidRPr="00A74C12">
        <w:rPr>
          <w:sz w:val="22"/>
          <w:szCs w:val="22"/>
        </w:rPr>
        <w:t>) has no assets or, because of the inadequacy of its assets, there is no reasonable probability of the company being liquidated.</w:t>
      </w:r>
    </w:p>
    <w:p w14:paraId="7E4D6CF1" w14:textId="77777777" w:rsidR="00647BA1" w:rsidRPr="00A74C12" w:rsidRDefault="00647BA1" w:rsidP="00A74C12">
      <w:pPr>
        <w:pStyle w:val="lg-para3"/>
        <w:shd w:val="clear" w:color="auto" w:fill="FFFFFF"/>
        <w:spacing w:before="0" w:beforeAutospacing="0" w:after="0" w:afterAutospacing="0"/>
        <w:ind w:left="1321"/>
        <w:contextualSpacing/>
        <w:jc w:val="both"/>
        <w:rPr>
          <w:i/>
          <w:iCs/>
          <w:sz w:val="22"/>
          <w:szCs w:val="22"/>
        </w:rPr>
      </w:pPr>
      <w:r w:rsidRPr="00A74C12">
        <w:rPr>
          <w:sz w:val="22"/>
          <w:szCs w:val="22"/>
        </w:rPr>
        <w:t>(4)  </w:t>
      </w:r>
      <w:r w:rsidRPr="00A74C12">
        <w:rPr>
          <w:i/>
          <w:iCs/>
          <w:sz w:val="22"/>
          <w:szCs w:val="22"/>
        </w:rPr>
        <w:t>If the Commission deregisters a company as contemplated in </w:t>
      </w:r>
      <w:hyperlink r:id="rId12" w:anchor="g8dx" w:history="1">
        <w:r w:rsidRPr="00A74C12">
          <w:rPr>
            <w:rStyle w:val="Hyperlink"/>
            <w:rFonts w:eastAsiaTheme="majorEastAsia"/>
            <w:i/>
            <w:iCs/>
            <w:color w:val="auto"/>
            <w:sz w:val="22"/>
            <w:szCs w:val="22"/>
          </w:rPr>
          <w:t>subsection (3)</w:t>
        </w:r>
      </w:hyperlink>
      <w:r w:rsidRPr="00A74C12">
        <w:rPr>
          <w:i/>
          <w:iCs/>
          <w:sz w:val="22"/>
          <w:szCs w:val="22"/>
        </w:rPr>
        <w:t>, any interested person may apply in the prescribed manner and form to the Commission, to reinstate the registration of the company.</w:t>
      </w:r>
    </w:p>
    <w:p w14:paraId="7B59660A" w14:textId="77777777" w:rsidR="00647BA1" w:rsidRPr="00A74C12" w:rsidRDefault="00647BA1" w:rsidP="00A74C12">
      <w:pPr>
        <w:pStyle w:val="lg-para3"/>
        <w:shd w:val="clear" w:color="auto" w:fill="FFFFFF"/>
        <w:spacing w:before="0" w:beforeAutospacing="0" w:after="0" w:afterAutospacing="0"/>
        <w:ind w:left="1321"/>
        <w:contextualSpacing/>
        <w:jc w:val="both"/>
        <w:rPr>
          <w:sz w:val="22"/>
          <w:szCs w:val="22"/>
        </w:rPr>
      </w:pPr>
      <w:r w:rsidRPr="00A74C12">
        <w:rPr>
          <w:sz w:val="22"/>
          <w:szCs w:val="22"/>
        </w:rPr>
        <w:t>(5)  A company may apply to be deregistered upon the transfer of its registration to a foreign jurisdiction, if—</w:t>
      </w:r>
    </w:p>
    <w:p w14:paraId="2FAC7DA7" w14:textId="77777777" w:rsidR="00647BA1" w:rsidRPr="00A74C12" w:rsidRDefault="00647BA1" w:rsidP="00A74C12">
      <w:pPr>
        <w:pStyle w:val="lg-a-1"/>
        <w:shd w:val="clear" w:color="auto" w:fill="FFFFFF"/>
        <w:spacing w:before="0" w:beforeAutospacing="0" w:after="0" w:afterAutospacing="0"/>
        <w:ind w:left="2041"/>
        <w:contextualSpacing/>
        <w:jc w:val="both"/>
        <w:rPr>
          <w:sz w:val="22"/>
          <w:szCs w:val="22"/>
        </w:rPr>
      </w:pPr>
      <w:r w:rsidRPr="00A74C12">
        <w:rPr>
          <w:sz w:val="22"/>
          <w:szCs w:val="22"/>
        </w:rPr>
        <w:t>(</w:t>
      </w:r>
      <w:r w:rsidRPr="00A74C12">
        <w:rPr>
          <w:i/>
          <w:iCs/>
          <w:sz w:val="22"/>
          <w:szCs w:val="22"/>
        </w:rPr>
        <w:t>a</w:t>
      </w:r>
      <w:r w:rsidRPr="00A74C12">
        <w:rPr>
          <w:sz w:val="22"/>
          <w:szCs w:val="22"/>
        </w:rPr>
        <w:t>) the shareholders have adopted a special resolution approving such an application and transfer of registration; and</w:t>
      </w:r>
    </w:p>
    <w:p w14:paraId="075D386D" w14:textId="77777777" w:rsidR="00647BA1" w:rsidRPr="00A74C12" w:rsidRDefault="00647BA1" w:rsidP="00A74C12">
      <w:pPr>
        <w:pStyle w:val="lg-a-1"/>
        <w:shd w:val="clear" w:color="auto" w:fill="FFFFFF"/>
        <w:spacing w:before="0" w:beforeAutospacing="0" w:after="0" w:afterAutospacing="0"/>
        <w:ind w:left="2081" w:hanging="40"/>
        <w:contextualSpacing/>
        <w:jc w:val="both"/>
        <w:rPr>
          <w:sz w:val="22"/>
          <w:szCs w:val="22"/>
        </w:rPr>
      </w:pPr>
      <w:r w:rsidRPr="00A74C12">
        <w:rPr>
          <w:sz w:val="22"/>
          <w:szCs w:val="22"/>
        </w:rPr>
        <w:t>(</w:t>
      </w:r>
      <w:r w:rsidRPr="00A74C12">
        <w:rPr>
          <w:i/>
          <w:iCs/>
          <w:sz w:val="22"/>
          <w:szCs w:val="22"/>
        </w:rPr>
        <w:t>b</w:t>
      </w:r>
      <w:r w:rsidRPr="00A74C12">
        <w:rPr>
          <w:sz w:val="22"/>
          <w:szCs w:val="22"/>
        </w:rPr>
        <w:t>) the company has satisfied the prescribed requirements for doing so.</w:t>
      </w:r>
    </w:p>
    <w:p w14:paraId="289FEEE0" w14:textId="77777777" w:rsidR="00647BA1" w:rsidRPr="00A74C12" w:rsidRDefault="00647BA1" w:rsidP="00A74C12">
      <w:pPr>
        <w:ind w:left="1440"/>
        <w:contextualSpacing/>
        <w:jc w:val="both"/>
        <w:rPr>
          <w:rFonts w:ascii="Times New Roman" w:hAnsi="Times New Roman" w:cs="Times New Roman"/>
        </w:rPr>
      </w:pPr>
      <w:r w:rsidRPr="00A74C12">
        <w:rPr>
          <w:rFonts w:ascii="Times New Roman" w:hAnsi="Times New Roman" w:cs="Times New Roman"/>
        </w:rPr>
        <w:t>(6)  The Minister may prescribe criteria and procedural requirements that must be satisfied by a company before it may be de-registered in terms of </w:t>
      </w:r>
      <w:hyperlink r:id="rId13" w:anchor="g8e9" w:history="1">
        <w:r w:rsidRPr="00A74C12">
          <w:rPr>
            <w:rStyle w:val="Hyperlink"/>
            <w:rFonts w:ascii="Times New Roman" w:eastAsiaTheme="majorEastAsia" w:hAnsi="Times New Roman" w:cs="Times New Roman"/>
            <w:color w:val="auto"/>
          </w:rPr>
          <w:t>subsection (5)</w:t>
        </w:r>
      </w:hyperlink>
      <w:r w:rsidRPr="00A74C12">
        <w:rPr>
          <w:rFonts w:ascii="Times New Roman" w:hAnsi="Times New Roman" w:cs="Times New Roman"/>
        </w:rPr>
        <w:t>.”</w:t>
      </w:r>
    </w:p>
    <w:p w14:paraId="3A4960C7" w14:textId="77777777" w:rsidR="00AE6BF1" w:rsidRPr="00AE6BF1" w:rsidRDefault="00AE6BF1" w:rsidP="00402C29">
      <w:pPr>
        <w:pStyle w:val="ListParagraph"/>
        <w:spacing w:line="360" w:lineRule="auto"/>
        <w:rPr>
          <w:rFonts w:ascii="Times New Roman" w:hAnsi="Times New Roman" w:cs="Times New Roman"/>
          <w:color w:val="000000"/>
          <w:sz w:val="28"/>
          <w:szCs w:val="28"/>
        </w:rPr>
      </w:pPr>
    </w:p>
    <w:p w14:paraId="554E75FE" w14:textId="51A3733E" w:rsidR="009B47C8" w:rsidRPr="00B13985" w:rsidRDefault="00B13985" w:rsidP="00B13985">
      <w:pPr>
        <w:spacing w:line="360" w:lineRule="auto"/>
        <w:jc w:val="both"/>
        <w:rPr>
          <w:color w:val="000000"/>
          <w:sz w:val="28"/>
          <w:szCs w:val="28"/>
        </w:rPr>
      </w:pPr>
      <w:r w:rsidRPr="009B47C8">
        <w:rPr>
          <w:color w:val="000000"/>
          <w:sz w:val="28"/>
          <w:szCs w:val="28"/>
        </w:rPr>
        <w:lastRenderedPageBreak/>
        <w:t>[16]</w:t>
      </w:r>
      <w:r w:rsidRPr="009B47C8">
        <w:rPr>
          <w:color w:val="000000"/>
          <w:sz w:val="28"/>
          <w:szCs w:val="28"/>
        </w:rPr>
        <w:tab/>
      </w:r>
      <w:r w:rsidR="00AE6BF1" w:rsidRPr="00B13985">
        <w:rPr>
          <w:rFonts w:ascii="Times New Roman" w:hAnsi="Times New Roman" w:cs="Times New Roman"/>
          <w:color w:val="000000"/>
          <w:sz w:val="28"/>
          <w:szCs w:val="28"/>
        </w:rPr>
        <w:t xml:space="preserve">Firstly to appreciate </w:t>
      </w:r>
      <w:r w:rsidR="00867F01" w:rsidRPr="00B13985">
        <w:rPr>
          <w:rFonts w:ascii="Times New Roman" w:hAnsi="Times New Roman" w:cs="Times New Roman"/>
          <w:color w:val="000000"/>
          <w:sz w:val="28"/>
          <w:szCs w:val="28"/>
        </w:rPr>
        <w:t>the source of</w:t>
      </w:r>
      <w:r w:rsidR="00AE6BF1" w:rsidRPr="00B13985">
        <w:rPr>
          <w:rFonts w:ascii="Times New Roman" w:hAnsi="Times New Roman" w:cs="Times New Roman"/>
          <w:color w:val="000000"/>
          <w:sz w:val="28"/>
          <w:szCs w:val="28"/>
        </w:rPr>
        <w:t xml:space="preserve"> the obligation </w:t>
      </w:r>
      <w:r w:rsidR="00927902" w:rsidRPr="00B13985">
        <w:rPr>
          <w:rFonts w:ascii="Times New Roman" w:hAnsi="Times New Roman" w:cs="Times New Roman"/>
          <w:color w:val="000000"/>
          <w:sz w:val="28"/>
          <w:szCs w:val="28"/>
        </w:rPr>
        <w:t xml:space="preserve">on an entity </w:t>
      </w:r>
      <w:r w:rsidR="00AE6BF1" w:rsidRPr="00B13985">
        <w:rPr>
          <w:rFonts w:ascii="Times New Roman" w:hAnsi="Times New Roman" w:cs="Times New Roman"/>
          <w:color w:val="000000"/>
          <w:sz w:val="28"/>
          <w:szCs w:val="28"/>
        </w:rPr>
        <w:t>to provide annual returns</w:t>
      </w:r>
      <w:r w:rsidR="009B47C8" w:rsidRPr="00B13985">
        <w:rPr>
          <w:rFonts w:ascii="Times New Roman" w:hAnsi="Times New Roman" w:cs="Times New Roman"/>
          <w:color w:val="000000"/>
          <w:sz w:val="28"/>
          <w:szCs w:val="28"/>
        </w:rPr>
        <w:t xml:space="preserve"> as well as the costs implication</w:t>
      </w:r>
      <w:r w:rsidR="00602183" w:rsidRPr="00B13985">
        <w:rPr>
          <w:rFonts w:ascii="Times New Roman" w:hAnsi="Times New Roman" w:cs="Times New Roman"/>
          <w:color w:val="000000"/>
          <w:sz w:val="28"/>
          <w:szCs w:val="28"/>
        </w:rPr>
        <w:t xml:space="preserve"> thereby</w:t>
      </w:r>
      <w:r w:rsidR="00AE6BF1" w:rsidRPr="00B13985">
        <w:rPr>
          <w:rFonts w:ascii="Times New Roman" w:hAnsi="Times New Roman" w:cs="Times New Roman"/>
          <w:color w:val="000000"/>
          <w:sz w:val="28"/>
          <w:szCs w:val="28"/>
        </w:rPr>
        <w:t>, it is necessary to set out the provisions of section 33</w:t>
      </w:r>
      <w:r w:rsidR="00927902" w:rsidRPr="00B13985">
        <w:rPr>
          <w:rFonts w:ascii="Times New Roman" w:hAnsi="Times New Roman" w:cs="Times New Roman"/>
          <w:color w:val="000000"/>
          <w:sz w:val="28"/>
          <w:szCs w:val="28"/>
        </w:rPr>
        <w:t xml:space="preserve"> of the Companies Act:</w:t>
      </w:r>
    </w:p>
    <w:p w14:paraId="5B00227B" w14:textId="790BD099" w:rsidR="00C11527" w:rsidRPr="00C11527" w:rsidRDefault="00C11527" w:rsidP="009B47C8">
      <w:pPr>
        <w:pStyle w:val="ListParagraph"/>
        <w:spacing w:line="360" w:lineRule="auto"/>
        <w:ind w:left="0"/>
        <w:jc w:val="both"/>
        <w:rPr>
          <w:color w:val="000000"/>
          <w:sz w:val="28"/>
          <w:szCs w:val="28"/>
        </w:rPr>
      </w:pPr>
      <w:r>
        <w:rPr>
          <w:rFonts w:ascii="Times New Roman" w:hAnsi="Times New Roman" w:cs="Times New Roman"/>
          <w:color w:val="000000"/>
          <w:sz w:val="28"/>
          <w:szCs w:val="28"/>
        </w:rPr>
        <w:t xml:space="preserve"> </w:t>
      </w:r>
    </w:p>
    <w:p w14:paraId="2F37AF43" w14:textId="3E99F61E" w:rsidR="00C11527" w:rsidRPr="0016423A" w:rsidRDefault="00C11527" w:rsidP="00A74C12">
      <w:pPr>
        <w:pStyle w:val="lg-section"/>
        <w:shd w:val="clear" w:color="auto" w:fill="FFFFFF"/>
        <w:spacing w:before="0" w:beforeAutospacing="0" w:after="0" w:afterAutospacing="0"/>
        <w:ind w:left="806"/>
        <w:contextualSpacing/>
        <w:jc w:val="both"/>
        <w:rPr>
          <w:i/>
          <w:sz w:val="22"/>
          <w:szCs w:val="22"/>
        </w:rPr>
      </w:pPr>
      <w:r w:rsidRPr="0016423A">
        <w:rPr>
          <w:b/>
          <w:bCs/>
          <w:i/>
          <w:sz w:val="22"/>
          <w:szCs w:val="22"/>
        </w:rPr>
        <w:t xml:space="preserve">“33.   Annual </w:t>
      </w:r>
      <w:r w:rsidR="004437E1" w:rsidRPr="0016423A">
        <w:rPr>
          <w:b/>
          <w:bCs/>
          <w:i/>
          <w:sz w:val="22"/>
          <w:szCs w:val="22"/>
        </w:rPr>
        <w:t>return.</w:t>
      </w:r>
      <w:r w:rsidR="004437E1" w:rsidRPr="0016423A">
        <w:rPr>
          <w:i/>
          <w:sz w:val="22"/>
          <w:szCs w:val="22"/>
        </w:rPr>
        <w:t xml:space="preserve"> —</w:t>
      </w:r>
      <w:r w:rsidRPr="0016423A">
        <w:rPr>
          <w:i/>
          <w:sz w:val="22"/>
          <w:szCs w:val="22"/>
        </w:rPr>
        <w:t>(1)  Every company must file an annual return in the prescribed form with the prescribed fee, and within the prescribed period after the end of the anniversary of the date of its incorporation, including in that return—</w:t>
      </w:r>
    </w:p>
    <w:p w14:paraId="064B6A5F" w14:textId="497A005A" w:rsidR="00C11527" w:rsidRPr="0016423A" w:rsidRDefault="00B13985" w:rsidP="00B13985">
      <w:pPr>
        <w:pStyle w:val="lg-a-1"/>
        <w:shd w:val="clear" w:color="auto" w:fill="FFFFFF"/>
        <w:spacing w:before="0" w:beforeAutospacing="0" w:after="0" w:afterAutospacing="0"/>
        <w:ind w:left="1800" w:hanging="360"/>
        <w:contextualSpacing/>
        <w:jc w:val="both"/>
        <w:rPr>
          <w:i/>
          <w:sz w:val="22"/>
          <w:szCs w:val="22"/>
        </w:rPr>
      </w:pPr>
      <w:r w:rsidRPr="0016423A">
        <w:rPr>
          <w:i/>
          <w:sz w:val="22"/>
          <w:szCs w:val="22"/>
        </w:rPr>
        <w:t>(a)</w:t>
      </w:r>
      <w:r w:rsidRPr="0016423A">
        <w:rPr>
          <w:i/>
          <w:sz w:val="22"/>
          <w:szCs w:val="22"/>
        </w:rPr>
        <w:tab/>
      </w:r>
      <w:r w:rsidR="00C11527" w:rsidRPr="0016423A">
        <w:rPr>
          <w:i/>
          <w:sz w:val="22"/>
          <w:szCs w:val="22"/>
        </w:rPr>
        <w:t>a copy of its annual financial statements, if it is required to have such statements audited in terms of section 30 (2) or the regulations contemplated in section 30 (7);</w:t>
      </w:r>
    </w:p>
    <w:p w14:paraId="163C6780" w14:textId="77777777" w:rsidR="00C11527" w:rsidRPr="0016423A" w:rsidRDefault="00C11527" w:rsidP="00A74C12">
      <w:pPr>
        <w:pStyle w:val="lg-a-1"/>
        <w:shd w:val="clear" w:color="auto" w:fill="FFFFFF"/>
        <w:spacing w:before="0" w:beforeAutospacing="0" w:after="0" w:afterAutospacing="0"/>
        <w:ind w:left="2121" w:hanging="681"/>
        <w:contextualSpacing/>
        <w:jc w:val="both"/>
        <w:rPr>
          <w:i/>
          <w:sz w:val="22"/>
          <w:szCs w:val="22"/>
        </w:rPr>
      </w:pPr>
      <w:r w:rsidRPr="0016423A">
        <w:rPr>
          <w:i/>
          <w:sz w:val="22"/>
          <w:szCs w:val="22"/>
        </w:rPr>
        <w:t>(</w:t>
      </w:r>
      <w:r w:rsidRPr="0016423A">
        <w:rPr>
          <w:i/>
          <w:iCs/>
          <w:sz w:val="22"/>
          <w:szCs w:val="22"/>
        </w:rPr>
        <w:t>a</w:t>
      </w:r>
      <w:r w:rsidRPr="0016423A">
        <w:rPr>
          <w:i/>
          <w:sz w:val="22"/>
          <w:szCs w:val="22"/>
        </w:rPr>
        <w:t>A) a copy of the company’s securities register as required in terms of section 50;</w:t>
      </w:r>
    </w:p>
    <w:p w14:paraId="265B5AB1" w14:textId="77777777" w:rsidR="00C11527" w:rsidRPr="0016423A" w:rsidRDefault="00C11527" w:rsidP="00A74C12">
      <w:pPr>
        <w:pStyle w:val="lg-a-1"/>
        <w:shd w:val="clear" w:color="auto" w:fill="FFFFFF"/>
        <w:spacing w:before="0" w:beforeAutospacing="0" w:after="0" w:afterAutospacing="0"/>
        <w:ind w:left="2121" w:hanging="681"/>
        <w:contextualSpacing/>
        <w:jc w:val="both"/>
        <w:rPr>
          <w:i/>
          <w:sz w:val="22"/>
          <w:szCs w:val="22"/>
        </w:rPr>
      </w:pPr>
      <w:r w:rsidRPr="0016423A">
        <w:rPr>
          <w:i/>
          <w:sz w:val="22"/>
          <w:szCs w:val="22"/>
        </w:rPr>
        <w:t>(</w:t>
      </w:r>
      <w:r w:rsidRPr="0016423A">
        <w:rPr>
          <w:i/>
          <w:iCs/>
          <w:sz w:val="22"/>
          <w:szCs w:val="22"/>
        </w:rPr>
        <w:t>a</w:t>
      </w:r>
      <w:r w:rsidRPr="0016423A">
        <w:rPr>
          <w:i/>
          <w:sz w:val="22"/>
          <w:szCs w:val="22"/>
        </w:rPr>
        <w:t>B) a copy of the register of the disclosure of beneficial interest as required in terms of section 56 (7) (</w:t>
      </w:r>
      <w:r w:rsidRPr="0016423A">
        <w:rPr>
          <w:i/>
          <w:iCs/>
          <w:sz w:val="22"/>
          <w:szCs w:val="22"/>
        </w:rPr>
        <w:t>a</w:t>
      </w:r>
      <w:r w:rsidRPr="0016423A">
        <w:rPr>
          <w:i/>
          <w:sz w:val="22"/>
          <w:szCs w:val="22"/>
        </w:rPr>
        <w:t>A); and</w:t>
      </w:r>
    </w:p>
    <w:p w14:paraId="19B2ECD4" w14:textId="614259C0" w:rsidR="00C11527" w:rsidRPr="0016423A" w:rsidRDefault="00B13985" w:rsidP="00B13985">
      <w:pPr>
        <w:pStyle w:val="lg-a-1"/>
        <w:shd w:val="clear" w:color="auto" w:fill="FFFFFF"/>
        <w:spacing w:before="0" w:beforeAutospacing="0" w:after="0" w:afterAutospacing="0"/>
        <w:ind w:left="1800" w:hanging="360"/>
        <w:contextualSpacing/>
        <w:jc w:val="both"/>
        <w:rPr>
          <w:i/>
          <w:sz w:val="22"/>
          <w:szCs w:val="22"/>
        </w:rPr>
      </w:pPr>
      <w:r w:rsidRPr="0016423A">
        <w:rPr>
          <w:i/>
          <w:sz w:val="22"/>
          <w:szCs w:val="22"/>
        </w:rPr>
        <w:t>(b)</w:t>
      </w:r>
      <w:r w:rsidRPr="0016423A">
        <w:rPr>
          <w:i/>
          <w:sz w:val="22"/>
          <w:szCs w:val="22"/>
        </w:rPr>
        <w:tab/>
      </w:r>
      <w:r w:rsidR="00C11527" w:rsidRPr="0016423A">
        <w:rPr>
          <w:i/>
          <w:sz w:val="22"/>
          <w:szCs w:val="22"/>
        </w:rPr>
        <w:t>any other prescribed information.</w:t>
      </w:r>
    </w:p>
    <w:p w14:paraId="00344129" w14:textId="787903C8" w:rsidR="00C11527" w:rsidRPr="0016423A" w:rsidRDefault="00C11527" w:rsidP="00A74C12">
      <w:pPr>
        <w:pStyle w:val="lg-para3"/>
        <w:shd w:val="clear" w:color="auto" w:fill="FFFFFF"/>
        <w:spacing w:before="0" w:beforeAutospacing="0" w:after="0" w:afterAutospacing="0"/>
        <w:ind w:left="1361"/>
        <w:contextualSpacing/>
        <w:jc w:val="both"/>
        <w:rPr>
          <w:i/>
          <w:sz w:val="22"/>
          <w:szCs w:val="22"/>
        </w:rPr>
      </w:pPr>
      <w:r w:rsidRPr="0016423A">
        <w:rPr>
          <w:i/>
          <w:sz w:val="22"/>
          <w:szCs w:val="22"/>
        </w:rPr>
        <w:t>(1A)  (</w:t>
      </w:r>
      <w:r w:rsidRPr="0016423A">
        <w:rPr>
          <w:i/>
          <w:iCs/>
          <w:sz w:val="22"/>
          <w:szCs w:val="22"/>
        </w:rPr>
        <w:t>a</w:t>
      </w:r>
      <w:r w:rsidRPr="0016423A">
        <w:rPr>
          <w:i/>
          <w:sz w:val="22"/>
          <w:szCs w:val="22"/>
        </w:rPr>
        <w:t>)  The Commission must make the annual return contemplated in </w:t>
      </w:r>
      <w:hyperlink r:id="rId14" w:anchor="g7iz" w:history="1">
        <w:r w:rsidRPr="0016423A">
          <w:rPr>
            <w:rStyle w:val="Hyperlink"/>
            <w:rFonts w:eastAsiaTheme="majorEastAsia"/>
            <w:i/>
            <w:color w:val="auto"/>
            <w:sz w:val="22"/>
            <w:szCs w:val="22"/>
          </w:rPr>
          <w:t>subsection (1)</w:t>
        </w:r>
      </w:hyperlink>
      <w:r w:rsidRPr="0016423A">
        <w:rPr>
          <w:i/>
          <w:sz w:val="22"/>
          <w:szCs w:val="22"/>
        </w:rPr>
        <w:t> available electronically to any person as prescribed.</w:t>
      </w:r>
    </w:p>
    <w:p w14:paraId="6FB46196" w14:textId="77777777" w:rsidR="00C11527" w:rsidRPr="0016423A" w:rsidRDefault="00C11527" w:rsidP="00A74C12">
      <w:pPr>
        <w:pStyle w:val="lg-para4"/>
        <w:shd w:val="clear" w:color="auto" w:fill="FFFFFF"/>
        <w:spacing w:before="0" w:beforeAutospacing="0" w:after="0" w:afterAutospacing="0"/>
        <w:ind w:left="1361"/>
        <w:contextualSpacing/>
        <w:jc w:val="both"/>
        <w:rPr>
          <w:i/>
          <w:sz w:val="22"/>
          <w:szCs w:val="22"/>
        </w:rPr>
      </w:pPr>
      <w:r w:rsidRPr="0016423A">
        <w:rPr>
          <w:i/>
          <w:sz w:val="22"/>
          <w:szCs w:val="22"/>
        </w:rPr>
        <w:t>(</w:t>
      </w:r>
      <w:r w:rsidRPr="0016423A">
        <w:rPr>
          <w:i/>
          <w:iCs/>
          <w:sz w:val="22"/>
          <w:szCs w:val="22"/>
        </w:rPr>
        <w:t>b</w:t>
      </w:r>
      <w:r w:rsidRPr="0016423A">
        <w:rPr>
          <w:i/>
          <w:sz w:val="22"/>
          <w:szCs w:val="22"/>
        </w:rPr>
        <w:t>)  The prescribed requirements referred to in paragraph (</w:t>
      </w:r>
      <w:r w:rsidRPr="0016423A">
        <w:rPr>
          <w:i/>
          <w:iCs/>
          <w:sz w:val="22"/>
          <w:szCs w:val="22"/>
        </w:rPr>
        <w:t>a</w:t>
      </w:r>
      <w:r w:rsidRPr="0016423A">
        <w:rPr>
          <w:i/>
          <w:sz w:val="22"/>
          <w:szCs w:val="22"/>
        </w:rPr>
        <w:t>) must be prescribed after consultation with the Minister of Finance and the Financial Intelligence Centre, established by section 2 of the Financial Intelligence Centre Act, 2001 (Act No. 38 of 2001).</w:t>
      </w:r>
    </w:p>
    <w:p w14:paraId="7610B153" w14:textId="77777777" w:rsidR="00C11527" w:rsidRPr="0016423A" w:rsidRDefault="00C11527" w:rsidP="00A74C12">
      <w:pPr>
        <w:pStyle w:val="lg-para3"/>
        <w:shd w:val="clear" w:color="auto" w:fill="FFFFFF"/>
        <w:spacing w:before="0" w:beforeAutospacing="0" w:after="0" w:afterAutospacing="0"/>
        <w:ind w:left="1327" w:firstLine="34"/>
        <w:contextualSpacing/>
        <w:jc w:val="both"/>
        <w:rPr>
          <w:i/>
          <w:sz w:val="22"/>
          <w:szCs w:val="22"/>
        </w:rPr>
      </w:pPr>
      <w:r w:rsidRPr="0016423A">
        <w:rPr>
          <w:i/>
          <w:sz w:val="22"/>
          <w:szCs w:val="22"/>
        </w:rPr>
        <w:t>(2)  Every external company must file an annual return in the prescribed form with the prescribed fee, and within the prescribed period after the anniversary of the date on which it was registered in terms of section 23 (1).</w:t>
      </w:r>
    </w:p>
    <w:p w14:paraId="796FB2B6" w14:textId="77777777" w:rsidR="00C11527" w:rsidRPr="0016423A" w:rsidRDefault="00C11527" w:rsidP="00A74C12">
      <w:pPr>
        <w:pStyle w:val="lg-para3"/>
        <w:shd w:val="clear" w:color="auto" w:fill="FFFFFF"/>
        <w:spacing w:before="0" w:beforeAutospacing="0" w:after="0" w:afterAutospacing="0"/>
        <w:ind w:left="1327" w:firstLine="34"/>
        <w:contextualSpacing/>
        <w:jc w:val="both"/>
        <w:rPr>
          <w:i/>
          <w:sz w:val="22"/>
          <w:szCs w:val="22"/>
        </w:rPr>
      </w:pPr>
      <w:r w:rsidRPr="0016423A">
        <w:rPr>
          <w:i/>
          <w:sz w:val="22"/>
          <w:szCs w:val="22"/>
        </w:rPr>
        <w:t>(3)  Each year, in its annual return filed in terms of </w:t>
      </w:r>
      <w:hyperlink r:id="rId15" w:anchor="g7iz" w:history="1">
        <w:r w:rsidRPr="0016423A">
          <w:rPr>
            <w:rStyle w:val="Hyperlink"/>
            <w:rFonts w:eastAsiaTheme="majorEastAsia"/>
            <w:i/>
            <w:color w:val="auto"/>
            <w:sz w:val="22"/>
            <w:szCs w:val="22"/>
          </w:rPr>
          <w:t>subsection (1)</w:t>
        </w:r>
      </w:hyperlink>
      <w:r w:rsidRPr="0016423A">
        <w:rPr>
          <w:i/>
          <w:sz w:val="22"/>
          <w:szCs w:val="22"/>
        </w:rPr>
        <w:t>, every company must designate a director, employee or other person who is responsible for the company’s compliance with the requirements of this Part, and Chapter 3, if it applies to the company.”</w:t>
      </w:r>
    </w:p>
    <w:p w14:paraId="485852A2" w14:textId="77777777" w:rsidR="00402C29" w:rsidRPr="00C11527" w:rsidRDefault="00402C29" w:rsidP="00402C29">
      <w:pPr>
        <w:pStyle w:val="lg-para3"/>
        <w:shd w:val="clear" w:color="auto" w:fill="FFFFFF"/>
        <w:spacing w:before="0" w:beforeAutospacing="0" w:after="0" w:afterAutospacing="0" w:line="360" w:lineRule="auto"/>
        <w:ind w:left="1327" w:firstLine="34"/>
        <w:contextualSpacing/>
        <w:jc w:val="both"/>
      </w:pPr>
    </w:p>
    <w:p w14:paraId="488705A8" w14:textId="60FCE74D" w:rsidR="00C11527"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Pr>
          <w:rFonts w:ascii="Times New Roman" w:hAnsi="Times New Roman" w:cs="Times New Roman"/>
          <w:color w:val="000000"/>
          <w:sz w:val="28"/>
          <w:szCs w:val="28"/>
        </w:rPr>
        <w:tab/>
      </w:r>
      <w:r w:rsidR="00AE6BF1" w:rsidRPr="00B13985">
        <w:rPr>
          <w:rFonts w:ascii="Times New Roman" w:hAnsi="Times New Roman" w:cs="Times New Roman"/>
          <w:color w:val="000000"/>
          <w:sz w:val="28"/>
          <w:szCs w:val="28"/>
        </w:rPr>
        <w:t xml:space="preserve">The entitlement to apply for reinstatement </w:t>
      </w:r>
      <w:r w:rsidR="009B47C8" w:rsidRPr="00B13985">
        <w:rPr>
          <w:rFonts w:ascii="Times New Roman" w:hAnsi="Times New Roman" w:cs="Times New Roman"/>
          <w:color w:val="000000"/>
          <w:sz w:val="28"/>
          <w:szCs w:val="28"/>
        </w:rPr>
        <w:t xml:space="preserve">of the close corporation’s </w:t>
      </w:r>
      <w:r w:rsidR="006B2BC9" w:rsidRPr="00B13985">
        <w:rPr>
          <w:rFonts w:ascii="Times New Roman" w:hAnsi="Times New Roman" w:cs="Times New Roman"/>
          <w:color w:val="000000"/>
          <w:sz w:val="28"/>
          <w:szCs w:val="28"/>
        </w:rPr>
        <w:t xml:space="preserve">registration </w:t>
      </w:r>
      <w:r w:rsidR="00AE6BF1" w:rsidRPr="00B13985">
        <w:rPr>
          <w:rFonts w:ascii="Times New Roman" w:hAnsi="Times New Roman" w:cs="Times New Roman"/>
          <w:color w:val="000000"/>
          <w:sz w:val="28"/>
          <w:szCs w:val="28"/>
        </w:rPr>
        <w:t xml:space="preserve">despite </w:t>
      </w:r>
      <w:r w:rsidR="006B2BC9" w:rsidRPr="00B13985">
        <w:rPr>
          <w:rFonts w:ascii="Times New Roman" w:hAnsi="Times New Roman" w:cs="Times New Roman"/>
          <w:color w:val="000000"/>
          <w:sz w:val="28"/>
          <w:szCs w:val="28"/>
        </w:rPr>
        <w:t>its</w:t>
      </w:r>
      <w:r w:rsidR="00AE6BF1" w:rsidRPr="00B13985">
        <w:rPr>
          <w:rFonts w:ascii="Times New Roman" w:hAnsi="Times New Roman" w:cs="Times New Roman"/>
          <w:color w:val="000000"/>
          <w:sz w:val="28"/>
          <w:szCs w:val="28"/>
        </w:rPr>
        <w:t xml:space="preserve"> failure to have provided annual returns is clearly envisaged by section 8</w:t>
      </w:r>
      <w:r w:rsidR="00BE79A2" w:rsidRPr="00B13985">
        <w:rPr>
          <w:rFonts w:ascii="Times New Roman" w:hAnsi="Times New Roman" w:cs="Times New Roman"/>
          <w:color w:val="000000"/>
          <w:sz w:val="28"/>
          <w:szCs w:val="28"/>
        </w:rPr>
        <w:t>2</w:t>
      </w:r>
      <w:r w:rsidR="00AE6BF1" w:rsidRPr="00B13985">
        <w:rPr>
          <w:rFonts w:ascii="Times New Roman" w:hAnsi="Times New Roman" w:cs="Times New Roman"/>
          <w:color w:val="000000"/>
          <w:sz w:val="28"/>
          <w:szCs w:val="28"/>
        </w:rPr>
        <w:t xml:space="preserve"> </w:t>
      </w:r>
      <w:r w:rsidR="00BE79A2" w:rsidRPr="00B13985">
        <w:rPr>
          <w:rFonts w:ascii="Times New Roman" w:hAnsi="Times New Roman" w:cs="Times New Roman"/>
          <w:color w:val="000000"/>
          <w:sz w:val="28"/>
          <w:szCs w:val="28"/>
        </w:rPr>
        <w:t>(4</w:t>
      </w:r>
      <w:r w:rsidR="00AE6BF1" w:rsidRPr="00B13985">
        <w:rPr>
          <w:rFonts w:ascii="Times New Roman" w:hAnsi="Times New Roman" w:cs="Times New Roman"/>
          <w:color w:val="000000"/>
          <w:sz w:val="28"/>
          <w:szCs w:val="28"/>
        </w:rPr>
        <w:t>)</w:t>
      </w:r>
      <w:r w:rsidR="00BE79A2" w:rsidRPr="00B13985">
        <w:rPr>
          <w:rFonts w:ascii="Times New Roman" w:hAnsi="Times New Roman" w:cs="Times New Roman"/>
          <w:color w:val="000000"/>
          <w:sz w:val="28"/>
          <w:szCs w:val="28"/>
        </w:rPr>
        <w:t xml:space="preserve"> and is promoted on the CIPC website for all affected entities who </w:t>
      </w:r>
      <w:r w:rsidR="00A74C12" w:rsidRPr="00B13985">
        <w:rPr>
          <w:rFonts w:ascii="Times New Roman" w:hAnsi="Times New Roman" w:cs="Times New Roman"/>
          <w:color w:val="000000"/>
          <w:sz w:val="28"/>
          <w:szCs w:val="28"/>
        </w:rPr>
        <w:t>have in similar circumstances recently found themselves removed from the database by the systematic annual return final deregistration process</w:t>
      </w:r>
      <w:r w:rsidR="00AE6BF1" w:rsidRPr="00B13985">
        <w:rPr>
          <w:rFonts w:ascii="Times New Roman" w:hAnsi="Times New Roman" w:cs="Times New Roman"/>
          <w:color w:val="000000"/>
          <w:sz w:val="28"/>
          <w:szCs w:val="28"/>
        </w:rPr>
        <w:t>. Th</w:t>
      </w:r>
      <w:r w:rsidR="00A74C12" w:rsidRPr="00B13985">
        <w:rPr>
          <w:rFonts w:ascii="Times New Roman" w:hAnsi="Times New Roman" w:cs="Times New Roman"/>
          <w:color w:val="000000"/>
          <w:sz w:val="28"/>
          <w:szCs w:val="28"/>
        </w:rPr>
        <w:t>e subsection</w:t>
      </w:r>
      <w:r w:rsidR="00AE6BF1" w:rsidRPr="00B13985">
        <w:rPr>
          <w:rFonts w:ascii="Times New Roman" w:hAnsi="Times New Roman" w:cs="Times New Roman"/>
          <w:color w:val="000000"/>
          <w:sz w:val="28"/>
          <w:szCs w:val="28"/>
        </w:rPr>
        <w:t xml:space="preserve"> however </w:t>
      </w:r>
      <w:r w:rsidR="00A74C12" w:rsidRPr="00B13985">
        <w:rPr>
          <w:rFonts w:ascii="Times New Roman" w:hAnsi="Times New Roman" w:cs="Times New Roman"/>
          <w:color w:val="000000"/>
          <w:sz w:val="28"/>
          <w:szCs w:val="28"/>
        </w:rPr>
        <w:t xml:space="preserve">obviously </w:t>
      </w:r>
      <w:r w:rsidR="00AE6BF1" w:rsidRPr="00B13985">
        <w:rPr>
          <w:rFonts w:ascii="Times New Roman" w:hAnsi="Times New Roman" w:cs="Times New Roman"/>
          <w:color w:val="000000"/>
          <w:sz w:val="28"/>
          <w:szCs w:val="28"/>
        </w:rPr>
        <w:t>contempl</w:t>
      </w:r>
      <w:r w:rsidR="00AB32D1" w:rsidRPr="00B13985">
        <w:rPr>
          <w:rFonts w:ascii="Times New Roman" w:hAnsi="Times New Roman" w:cs="Times New Roman"/>
          <w:color w:val="000000"/>
          <w:sz w:val="28"/>
          <w:szCs w:val="28"/>
        </w:rPr>
        <w:t>ates an administrative process</w:t>
      </w:r>
      <w:r w:rsidR="009B47C8" w:rsidRPr="00B13985">
        <w:rPr>
          <w:rFonts w:ascii="Times New Roman" w:hAnsi="Times New Roman" w:cs="Times New Roman"/>
          <w:color w:val="000000"/>
          <w:sz w:val="28"/>
          <w:szCs w:val="28"/>
        </w:rPr>
        <w:t>, that is an application</w:t>
      </w:r>
      <w:r w:rsidR="00927902" w:rsidRPr="00B13985">
        <w:rPr>
          <w:rFonts w:ascii="Times New Roman" w:hAnsi="Times New Roman" w:cs="Times New Roman"/>
          <w:color w:val="000000"/>
          <w:sz w:val="28"/>
          <w:szCs w:val="28"/>
        </w:rPr>
        <w:t xml:space="preserve"> </w:t>
      </w:r>
      <w:r w:rsidR="009B47C8" w:rsidRPr="00B13985">
        <w:rPr>
          <w:rFonts w:ascii="Times New Roman" w:hAnsi="Times New Roman" w:cs="Times New Roman"/>
          <w:color w:val="000000"/>
          <w:sz w:val="28"/>
          <w:szCs w:val="28"/>
        </w:rPr>
        <w:t xml:space="preserve">on the prescribed form that envisages the provision of stipulated information and/or documentation required </w:t>
      </w:r>
      <w:r w:rsidR="006B2BC9" w:rsidRPr="00B13985">
        <w:rPr>
          <w:rFonts w:ascii="Times New Roman" w:hAnsi="Times New Roman" w:cs="Times New Roman"/>
          <w:color w:val="000000"/>
          <w:sz w:val="28"/>
          <w:szCs w:val="28"/>
        </w:rPr>
        <w:t>which</w:t>
      </w:r>
      <w:r w:rsidR="009B47C8" w:rsidRPr="00B13985">
        <w:rPr>
          <w:rFonts w:ascii="Times New Roman" w:hAnsi="Times New Roman" w:cs="Times New Roman"/>
          <w:color w:val="000000"/>
          <w:sz w:val="28"/>
          <w:szCs w:val="28"/>
        </w:rPr>
        <w:t xml:space="preserve"> the CIPC considers necessary for its</w:t>
      </w:r>
      <w:r w:rsidR="00AB32D1" w:rsidRPr="00B13985">
        <w:rPr>
          <w:rFonts w:ascii="Times New Roman" w:hAnsi="Times New Roman" w:cs="Times New Roman"/>
          <w:color w:val="000000"/>
          <w:sz w:val="28"/>
          <w:szCs w:val="28"/>
        </w:rPr>
        <w:t xml:space="preserve"> essential</w:t>
      </w:r>
      <w:r w:rsidR="009B47C8" w:rsidRPr="00B13985">
        <w:rPr>
          <w:rFonts w:ascii="Times New Roman" w:hAnsi="Times New Roman" w:cs="Times New Roman"/>
          <w:color w:val="000000"/>
          <w:sz w:val="28"/>
          <w:szCs w:val="28"/>
        </w:rPr>
        <w:t xml:space="preserve"> purposes.  It is evident that this process</w:t>
      </w:r>
      <w:r w:rsidR="00927902" w:rsidRPr="00B13985">
        <w:rPr>
          <w:rFonts w:ascii="Times New Roman" w:hAnsi="Times New Roman" w:cs="Times New Roman"/>
          <w:color w:val="000000"/>
          <w:sz w:val="28"/>
          <w:szCs w:val="28"/>
        </w:rPr>
        <w:t xml:space="preserve"> will take its own time</w:t>
      </w:r>
      <w:r w:rsidR="00AE6BF1" w:rsidRPr="00B13985">
        <w:rPr>
          <w:rFonts w:ascii="Times New Roman" w:hAnsi="Times New Roman" w:cs="Times New Roman"/>
          <w:color w:val="000000"/>
          <w:sz w:val="28"/>
          <w:szCs w:val="28"/>
        </w:rPr>
        <w:t>.</w:t>
      </w:r>
    </w:p>
    <w:p w14:paraId="7B39D94A" w14:textId="77777777" w:rsidR="00C11527" w:rsidRDefault="00C11527" w:rsidP="00402C29">
      <w:pPr>
        <w:pStyle w:val="ListParagraph"/>
        <w:spacing w:line="360" w:lineRule="auto"/>
        <w:ind w:left="0"/>
        <w:jc w:val="both"/>
        <w:rPr>
          <w:rFonts w:ascii="Times New Roman" w:hAnsi="Times New Roman" w:cs="Times New Roman"/>
          <w:color w:val="000000"/>
          <w:sz w:val="28"/>
          <w:szCs w:val="28"/>
        </w:rPr>
      </w:pPr>
    </w:p>
    <w:p w14:paraId="0F921059" w14:textId="58F2F12F" w:rsidR="00C11527"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[18]</w:t>
      </w:r>
      <w:r>
        <w:rPr>
          <w:rFonts w:ascii="Times New Roman" w:hAnsi="Times New Roman" w:cs="Times New Roman"/>
          <w:color w:val="000000"/>
          <w:sz w:val="28"/>
          <w:szCs w:val="28"/>
        </w:rPr>
        <w:tab/>
      </w:r>
      <w:r w:rsidR="00AE6BF1" w:rsidRPr="00B13985">
        <w:rPr>
          <w:rFonts w:ascii="Times New Roman" w:hAnsi="Times New Roman" w:cs="Times New Roman"/>
          <w:color w:val="000000"/>
          <w:sz w:val="28"/>
          <w:szCs w:val="28"/>
        </w:rPr>
        <w:t>Section 83</w:t>
      </w:r>
      <w:r w:rsidR="00927902" w:rsidRPr="00B13985">
        <w:rPr>
          <w:rFonts w:ascii="Times New Roman" w:hAnsi="Times New Roman" w:cs="Times New Roman"/>
          <w:color w:val="000000"/>
          <w:sz w:val="28"/>
          <w:szCs w:val="28"/>
        </w:rPr>
        <w:t>(4) of the Companies Act</w:t>
      </w:r>
      <w:r w:rsidR="00AE6BF1" w:rsidRPr="00B13985">
        <w:rPr>
          <w:rFonts w:ascii="Times New Roman" w:hAnsi="Times New Roman" w:cs="Times New Roman"/>
          <w:color w:val="000000"/>
          <w:sz w:val="28"/>
          <w:szCs w:val="28"/>
        </w:rPr>
        <w:t xml:space="preserve"> however </w:t>
      </w:r>
      <w:r w:rsidR="003D3A4F" w:rsidRPr="00B13985">
        <w:rPr>
          <w:rFonts w:ascii="Times New Roman" w:hAnsi="Times New Roman" w:cs="Times New Roman"/>
          <w:color w:val="000000"/>
          <w:sz w:val="28"/>
          <w:szCs w:val="28"/>
        </w:rPr>
        <w:t xml:space="preserve">provides that the liquidator of a company or a person with an interest in it may apply to a court for an order declaring the </w:t>
      </w:r>
      <w:r w:rsidR="006B2BC9" w:rsidRPr="00B13985">
        <w:rPr>
          <w:rFonts w:ascii="Times New Roman" w:hAnsi="Times New Roman" w:cs="Times New Roman"/>
          <w:color w:val="000000"/>
          <w:sz w:val="28"/>
          <w:szCs w:val="28"/>
        </w:rPr>
        <w:t xml:space="preserve">dissolution </w:t>
      </w:r>
      <w:r w:rsidR="003D3A4F" w:rsidRPr="00B13985">
        <w:rPr>
          <w:rFonts w:ascii="Times New Roman" w:hAnsi="Times New Roman" w:cs="Times New Roman"/>
          <w:color w:val="000000"/>
          <w:sz w:val="28"/>
          <w:szCs w:val="28"/>
        </w:rPr>
        <w:t>to have been</w:t>
      </w:r>
      <w:r w:rsidR="006B2BC9" w:rsidRPr="00B13985">
        <w:rPr>
          <w:rFonts w:ascii="Times New Roman" w:hAnsi="Times New Roman" w:cs="Times New Roman"/>
          <w:color w:val="000000"/>
          <w:sz w:val="28"/>
          <w:szCs w:val="28"/>
        </w:rPr>
        <w:t xml:space="preserve"> void </w:t>
      </w:r>
      <w:r w:rsidR="009B5EE6" w:rsidRPr="00B13985">
        <w:rPr>
          <w:rFonts w:ascii="Times New Roman" w:hAnsi="Times New Roman" w:cs="Times New Roman"/>
          <w:color w:val="000000"/>
          <w:sz w:val="28"/>
          <w:szCs w:val="28"/>
        </w:rPr>
        <w:t>(in my view such a situation can hardly pertain here</w:t>
      </w:r>
      <w:r w:rsidR="003D3A4F" w:rsidRPr="00B13985">
        <w:rPr>
          <w:rFonts w:ascii="Times New Roman" w:hAnsi="Times New Roman" w:cs="Times New Roman"/>
          <w:color w:val="000000"/>
          <w:sz w:val="28"/>
          <w:szCs w:val="28"/>
        </w:rPr>
        <w:t xml:space="preserve"> where the close corporation was deregistered due to non-submission of annual returns</w:t>
      </w:r>
      <w:r w:rsidR="009B5EE6" w:rsidRPr="00B13985">
        <w:rPr>
          <w:rFonts w:ascii="Times New Roman" w:hAnsi="Times New Roman" w:cs="Times New Roman"/>
          <w:color w:val="000000"/>
          <w:sz w:val="28"/>
          <w:szCs w:val="28"/>
        </w:rPr>
        <w:t>)</w:t>
      </w:r>
      <w:r w:rsidR="00602183" w:rsidRPr="00B13985">
        <w:rPr>
          <w:rFonts w:ascii="Times New Roman" w:hAnsi="Times New Roman" w:cs="Times New Roman"/>
          <w:color w:val="000000"/>
          <w:sz w:val="28"/>
          <w:szCs w:val="28"/>
        </w:rPr>
        <w:t>,</w:t>
      </w:r>
      <w:r w:rsidR="009B5EE6" w:rsidRPr="00B13985">
        <w:rPr>
          <w:rFonts w:ascii="Times New Roman" w:hAnsi="Times New Roman" w:cs="Times New Roman"/>
          <w:color w:val="000000"/>
          <w:sz w:val="28"/>
          <w:szCs w:val="28"/>
        </w:rPr>
        <w:t xml:space="preserve"> </w:t>
      </w:r>
      <w:r w:rsidR="006B2BC9" w:rsidRPr="00B13985">
        <w:rPr>
          <w:rFonts w:ascii="Times New Roman" w:hAnsi="Times New Roman" w:cs="Times New Roman"/>
          <w:color w:val="000000"/>
          <w:sz w:val="28"/>
          <w:szCs w:val="28"/>
        </w:rPr>
        <w:t>or</w:t>
      </w:r>
      <w:r w:rsidR="003D3A4F" w:rsidRPr="00B13985">
        <w:rPr>
          <w:rFonts w:ascii="Times New Roman" w:hAnsi="Times New Roman" w:cs="Times New Roman"/>
          <w:color w:val="000000"/>
          <w:sz w:val="28"/>
          <w:szCs w:val="28"/>
        </w:rPr>
        <w:t xml:space="preserve"> any other order</w:t>
      </w:r>
      <w:r w:rsidR="006B2BC9" w:rsidRPr="00B13985">
        <w:rPr>
          <w:rFonts w:ascii="Times New Roman" w:hAnsi="Times New Roman" w:cs="Times New Roman"/>
          <w:color w:val="000000"/>
          <w:sz w:val="28"/>
          <w:szCs w:val="28"/>
        </w:rPr>
        <w:t xml:space="preserve"> that it is just and equitable </w:t>
      </w:r>
      <w:r w:rsidR="009B5EE6" w:rsidRPr="00B13985">
        <w:rPr>
          <w:rFonts w:ascii="Times New Roman" w:hAnsi="Times New Roman" w:cs="Times New Roman"/>
          <w:color w:val="000000"/>
          <w:sz w:val="28"/>
          <w:szCs w:val="28"/>
        </w:rPr>
        <w:t>in all the</w:t>
      </w:r>
      <w:r w:rsidR="00AB32D1" w:rsidRPr="00B13985">
        <w:rPr>
          <w:rFonts w:ascii="Times New Roman" w:hAnsi="Times New Roman" w:cs="Times New Roman"/>
          <w:color w:val="000000"/>
          <w:sz w:val="28"/>
          <w:szCs w:val="28"/>
        </w:rPr>
        <w:t xml:space="preserve"> circumstances</w:t>
      </w:r>
      <w:r w:rsidR="00927902" w:rsidRPr="00B13985">
        <w:rPr>
          <w:rFonts w:ascii="Times New Roman" w:hAnsi="Times New Roman" w:cs="Times New Roman"/>
          <w:color w:val="000000"/>
          <w:sz w:val="28"/>
          <w:szCs w:val="28"/>
        </w:rPr>
        <w:t xml:space="preserve">. </w:t>
      </w:r>
      <w:r w:rsidR="00AB32D1" w:rsidRPr="00B13985">
        <w:rPr>
          <w:rFonts w:ascii="Times New Roman" w:hAnsi="Times New Roman" w:cs="Times New Roman"/>
          <w:color w:val="000000"/>
          <w:sz w:val="28"/>
          <w:szCs w:val="28"/>
        </w:rPr>
        <w:t xml:space="preserve"> </w:t>
      </w:r>
      <w:r w:rsidR="00927902" w:rsidRPr="00B13985">
        <w:rPr>
          <w:rFonts w:ascii="Times New Roman" w:hAnsi="Times New Roman" w:cs="Times New Roman"/>
          <w:color w:val="000000"/>
          <w:sz w:val="28"/>
          <w:szCs w:val="28"/>
        </w:rPr>
        <w:t>I set out the entire section so that it is understood contextually</w:t>
      </w:r>
      <w:r w:rsidR="00AE6BF1" w:rsidRPr="00B13985">
        <w:rPr>
          <w:rFonts w:ascii="Times New Roman" w:hAnsi="Times New Roman" w:cs="Times New Roman"/>
          <w:color w:val="000000"/>
          <w:sz w:val="28"/>
          <w:szCs w:val="28"/>
        </w:rPr>
        <w:t>:</w:t>
      </w:r>
    </w:p>
    <w:p w14:paraId="3CB18FEF" w14:textId="77777777" w:rsidR="009B47C8" w:rsidRPr="00076360" w:rsidRDefault="009B47C8" w:rsidP="009B47C8">
      <w:pPr>
        <w:pStyle w:val="ListParagraph"/>
        <w:spacing w:line="360" w:lineRule="auto"/>
        <w:ind w:left="0"/>
        <w:jc w:val="both"/>
        <w:rPr>
          <w:rFonts w:ascii="Times New Roman" w:hAnsi="Times New Roman" w:cs="Times New Roman"/>
          <w:color w:val="000000"/>
          <w:sz w:val="28"/>
          <w:szCs w:val="28"/>
        </w:rPr>
      </w:pPr>
    </w:p>
    <w:p w14:paraId="7189ECE9" w14:textId="0EEEE9FF" w:rsidR="00C11527" w:rsidRPr="0016423A" w:rsidRDefault="00C11527" w:rsidP="00076360">
      <w:pPr>
        <w:shd w:val="clear" w:color="auto" w:fill="FFFFFF"/>
        <w:ind w:left="720"/>
        <w:contextualSpacing/>
        <w:jc w:val="both"/>
        <w:rPr>
          <w:rFonts w:ascii="Times New Roman" w:eastAsia="Times New Roman" w:hAnsi="Times New Roman" w:cs="Times New Roman"/>
          <w:i/>
          <w:color w:val="000000"/>
          <w:lang w:eastAsia="en-ZA"/>
        </w:rPr>
      </w:pPr>
      <w:r w:rsidRPr="00076360">
        <w:rPr>
          <w:rFonts w:ascii="Times New Roman" w:eastAsia="Times New Roman" w:hAnsi="Times New Roman" w:cs="Times New Roman"/>
          <w:b/>
          <w:bCs/>
          <w:color w:val="000000"/>
          <w:lang w:eastAsia="en-ZA"/>
        </w:rPr>
        <w:t>“</w:t>
      </w:r>
      <w:r w:rsidRPr="0016423A">
        <w:rPr>
          <w:rFonts w:ascii="Times New Roman" w:eastAsia="Times New Roman" w:hAnsi="Times New Roman" w:cs="Times New Roman"/>
          <w:b/>
          <w:bCs/>
          <w:i/>
          <w:color w:val="000000"/>
          <w:lang w:eastAsia="en-ZA"/>
        </w:rPr>
        <w:t xml:space="preserve">83.   Effect of removal of company from </w:t>
      </w:r>
      <w:r w:rsidR="00927902" w:rsidRPr="0016423A">
        <w:rPr>
          <w:rFonts w:ascii="Times New Roman" w:eastAsia="Times New Roman" w:hAnsi="Times New Roman" w:cs="Times New Roman"/>
          <w:b/>
          <w:bCs/>
          <w:i/>
          <w:color w:val="000000"/>
          <w:lang w:eastAsia="en-ZA"/>
        </w:rPr>
        <w:t>register.</w:t>
      </w:r>
      <w:r w:rsidR="00927902" w:rsidRPr="0016423A">
        <w:rPr>
          <w:rFonts w:ascii="Times New Roman" w:eastAsia="Times New Roman" w:hAnsi="Times New Roman" w:cs="Times New Roman"/>
          <w:i/>
          <w:color w:val="000000"/>
          <w:lang w:eastAsia="en-ZA"/>
        </w:rPr>
        <w:t xml:space="preserve"> </w:t>
      </w:r>
      <w:r w:rsidR="006B2BC9" w:rsidRPr="0016423A">
        <w:rPr>
          <w:rFonts w:ascii="Times New Roman" w:eastAsia="Times New Roman" w:hAnsi="Times New Roman" w:cs="Times New Roman"/>
          <w:i/>
          <w:color w:val="000000"/>
          <w:lang w:eastAsia="en-ZA"/>
        </w:rPr>
        <w:t>— (</w:t>
      </w:r>
      <w:r w:rsidRPr="0016423A">
        <w:rPr>
          <w:rFonts w:ascii="Times New Roman" w:eastAsia="Times New Roman" w:hAnsi="Times New Roman" w:cs="Times New Roman"/>
          <w:i/>
          <w:color w:val="000000"/>
          <w:lang w:eastAsia="en-ZA"/>
        </w:rPr>
        <w:t>1</w:t>
      </w:r>
      <w:r w:rsidR="00602183" w:rsidRPr="0016423A">
        <w:rPr>
          <w:rFonts w:ascii="Times New Roman" w:eastAsia="Times New Roman" w:hAnsi="Times New Roman" w:cs="Times New Roman"/>
          <w:i/>
          <w:color w:val="000000"/>
          <w:lang w:eastAsia="en-ZA"/>
        </w:rPr>
        <w:t>) A</w:t>
      </w:r>
      <w:r w:rsidRPr="0016423A">
        <w:rPr>
          <w:rFonts w:ascii="Times New Roman" w:eastAsia="Times New Roman" w:hAnsi="Times New Roman" w:cs="Times New Roman"/>
          <w:i/>
          <w:color w:val="000000"/>
          <w:lang w:eastAsia="en-ZA"/>
        </w:rPr>
        <w:t xml:space="preserve"> company is dissolved as of the date its name is removed from the companies register unless the reason for the removal is that the company’s registration has been transferred to a foreign jurisdiction, as contemplated in section 82 (5).</w:t>
      </w:r>
    </w:p>
    <w:p w14:paraId="5352AAE4" w14:textId="77777777" w:rsidR="00C11527" w:rsidRPr="0016423A" w:rsidRDefault="00C11527" w:rsidP="00076360">
      <w:pPr>
        <w:shd w:val="clear" w:color="auto" w:fill="FFFFFF"/>
        <w:ind w:left="720"/>
        <w:contextualSpacing/>
        <w:jc w:val="both"/>
        <w:rPr>
          <w:rFonts w:ascii="Times New Roman" w:eastAsia="Times New Roman" w:hAnsi="Times New Roman" w:cs="Times New Roman"/>
          <w:i/>
          <w:color w:val="000000"/>
          <w:lang w:eastAsia="en-ZA"/>
        </w:rPr>
      </w:pPr>
      <w:r w:rsidRPr="0016423A">
        <w:rPr>
          <w:rFonts w:ascii="Times New Roman" w:eastAsia="Times New Roman" w:hAnsi="Times New Roman" w:cs="Times New Roman"/>
          <w:i/>
          <w:color w:val="000000"/>
          <w:lang w:eastAsia="en-ZA"/>
        </w:rPr>
        <w:t>(2)  The removal of a company’s name from the companies register does not affect the liability of any former director or shareholder of the company or any other person in respect of any act or omission that took place before the company was removed from the register.</w:t>
      </w:r>
    </w:p>
    <w:p w14:paraId="2572DD99" w14:textId="77777777" w:rsidR="00C11527" w:rsidRPr="0016423A" w:rsidRDefault="00C11527" w:rsidP="00076360">
      <w:pPr>
        <w:shd w:val="clear" w:color="auto" w:fill="FFFFFF"/>
        <w:ind w:left="720"/>
        <w:contextualSpacing/>
        <w:jc w:val="both"/>
        <w:rPr>
          <w:rFonts w:ascii="Times New Roman" w:eastAsia="Times New Roman" w:hAnsi="Times New Roman" w:cs="Times New Roman"/>
          <w:i/>
          <w:color w:val="000000"/>
          <w:lang w:eastAsia="en-ZA"/>
        </w:rPr>
      </w:pPr>
      <w:r w:rsidRPr="0016423A">
        <w:rPr>
          <w:rFonts w:ascii="Times New Roman" w:eastAsia="Times New Roman" w:hAnsi="Times New Roman" w:cs="Times New Roman"/>
          <w:i/>
          <w:color w:val="000000"/>
          <w:lang w:eastAsia="en-ZA"/>
        </w:rPr>
        <w:t>(3)  Any liability contemplated in </w:t>
      </w:r>
      <w:hyperlink r:id="rId16" w:anchor="g8ef" w:history="1">
        <w:r w:rsidRPr="0016423A">
          <w:rPr>
            <w:rFonts w:ascii="Times New Roman" w:eastAsia="Times New Roman" w:hAnsi="Times New Roman" w:cs="Times New Roman"/>
            <w:i/>
            <w:color w:val="0077CC"/>
            <w:u w:val="single"/>
            <w:lang w:eastAsia="en-ZA"/>
          </w:rPr>
          <w:t>subsection (2)</w:t>
        </w:r>
      </w:hyperlink>
      <w:r w:rsidRPr="0016423A">
        <w:rPr>
          <w:rFonts w:ascii="Times New Roman" w:eastAsia="Times New Roman" w:hAnsi="Times New Roman" w:cs="Times New Roman"/>
          <w:i/>
          <w:color w:val="000000"/>
          <w:lang w:eastAsia="en-ZA"/>
        </w:rPr>
        <w:t> continues and may be enforced as if the company had not been removed from the register.</w:t>
      </w:r>
    </w:p>
    <w:p w14:paraId="42ABF838" w14:textId="77777777" w:rsidR="00C11527" w:rsidRPr="0016423A" w:rsidRDefault="00C11527" w:rsidP="00076360">
      <w:pPr>
        <w:shd w:val="clear" w:color="auto" w:fill="FFFFFF"/>
        <w:ind w:firstLine="720"/>
        <w:contextualSpacing/>
        <w:jc w:val="both"/>
        <w:rPr>
          <w:rFonts w:ascii="Times New Roman" w:eastAsia="Times New Roman" w:hAnsi="Times New Roman" w:cs="Times New Roman"/>
          <w:i/>
          <w:color w:val="000000"/>
          <w:lang w:eastAsia="en-ZA"/>
        </w:rPr>
      </w:pPr>
      <w:r w:rsidRPr="0016423A">
        <w:rPr>
          <w:rFonts w:ascii="Times New Roman" w:eastAsia="Times New Roman" w:hAnsi="Times New Roman" w:cs="Times New Roman"/>
          <w:i/>
          <w:color w:val="000000"/>
          <w:lang w:eastAsia="en-ZA"/>
        </w:rPr>
        <w:t>(4)  At any time after a company has been dissolved—</w:t>
      </w:r>
    </w:p>
    <w:p w14:paraId="5A5E5AAD" w14:textId="77777777" w:rsidR="00C11527" w:rsidRPr="0016423A" w:rsidRDefault="00C11527" w:rsidP="00076360">
      <w:pPr>
        <w:shd w:val="clear" w:color="auto" w:fill="FFFFFF"/>
        <w:ind w:left="940"/>
        <w:contextualSpacing/>
        <w:jc w:val="both"/>
        <w:rPr>
          <w:rFonts w:ascii="Times New Roman" w:eastAsia="Times New Roman" w:hAnsi="Times New Roman" w:cs="Times New Roman"/>
          <w:i/>
          <w:color w:val="000000"/>
          <w:lang w:eastAsia="en-ZA"/>
        </w:rPr>
      </w:pPr>
      <w:r w:rsidRPr="0016423A">
        <w:rPr>
          <w:rFonts w:ascii="Times New Roman" w:eastAsia="Times New Roman" w:hAnsi="Times New Roman" w:cs="Times New Roman"/>
          <w:i/>
          <w:color w:val="000000"/>
          <w:lang w:eastAsia="en-ZA"/>
        </w:rPr>
        <w:t>(</w:t>
      </w:r>
      <w:r w:rsidRPr="0016423A">
        <w:rPr>
          <w:rFonts w:ascii="Times New Roman" w:eastAsia="Times New Roman" w:hAnsi="Times New Roman" w:cs="Times New Roman"/>
          <w:i/>
          <w:iCs/>
          <w:color w:val="000000"/>
          <w:lang w:eastAsia="en-ZA"/>
        </w:rPr>
        <w:t>a</w:t>
      </w:r>
      <w:r w:rsidRPr="0016423A">
        <w:rPr>
          <w:rFonts w:ascii="Times New Roman" w:eastAsia="Times New Roman" w:hAnsi="Times New Roman" w:cs="Times New Roman"/>
          <w:i/>
          <w:color w:val="000000"/>
          <w:lang w:eastAsia="en-ZA"/>
        </w:rPr>
        <w:t>)  the liquidator of the company, or other person with an interest in the company, may apply to a court for an order declaring the dissolution to have been void, or any other order that is just and equitable in the circumstances; and</w:t>
      </w:r>
    </w:p>
    <w:p w14:paraId="70C992FC" w14:textId="77777777" w:rsidR="00C11527" w:rsidRPr="0016423A" w:rsidRDefault="00C11527" w:rsidP="00076360">
      <w:pPr>
        <w:shd w:val="clear" w:color="auto" w:fill="FFFFFF"/>
        <w:ind w:left="993" w:hanging="53"/>
        <w:contextualSpacing/>
        <w:jc w:val="both"/>
        <w:rPr>
          <w:rFonts w:ascii="Times New Roman" w:eastAsia="Times New Roman" w:hAnsi="Times New Roman" w:cs="Times New Roman"/>
          <w:i/>
          <w:color w:val="000000"/>
          <w:lang w:eastAsia="en-ZA"/>
        </w:rPr>
      </w:pPr>
      <w:r w:rsidRPr="0016423A">
        <w:rPr>
          <w:rFonts w:ascii="Times New Roman" w:eastAsia="Times New Roman" w:hAnsi="Times New Roman" w:cs="Times New Roman"/>
          <w:i/>
          <w:color w:val="000000"/>
          <w:lang w:eastAsia="en-ZA"/>
        </w:rPr>
        <w:t>(</w:t>
      </w:r>
      <w:r w:rsidRPr="0016423A">
        <w:rPr>
          <w:rFonts w:ascii="Times New Roman" w:eastAsia="Times New Roman" w:hAnsi="Times New Roman" w:cs="Times New Roman"/>
          <w:i/>
          <w:iCs/>
          <w:color w:val="000000"/>
          <w:lang w:eastAsia="en-ZA"/>
        </w:rPr>
        <w:t>b</w:t>
      </w:r>
      <w:r w:rsidRPr="0016423A">
        <w:rPr>
          <w:rFonts w:ascii="Times New Roman" w:eastAsia="Times New Roman" w:hAnsi="Times New Roman" w:cs="Times New Roman"/>
          <w:i/>
          <w:color w:val="000000"/>
          <w:lang w:eastAsia="en-ZA"/>
        </w:rPr>
        <w:t>) if the court declares the dissolution to have been void, any proceedings may be taken against the company as might have been taken if the company had not been dissolved.”</w:t>
      </w:r>
    </w:p>
    <w:p w14:paraId="6FE4B08E" w14:textId="77777777" w:rsidR="00C11527" w:rsidRPr="00C11527" w:rsidRDefault="00C11527" w:rsidP="00402C29">
      <w:pPr>
        <w:pStyle w:val="ListParagraph"/>
        <w:spacing w:line="360" w:lineRule="auto"/>
        <w:jc w:val="both"/>
        <w:rPr>
          <w:rFonts w:ascii="Times New Roman" w:hAnsi="Times New Roman" w:cs="Times New Roman"/>
          <w:color w:val="000000"/>
          <w:sz w:val="28"/>
          <w:szCs w:val="28"/>
        </w:rPr>
      </w:pPr>
    </w:p>
    <w:p w14:paraId="3EA9E07B" w14:textId="79EB4ACF" w:rsidR="00C11527"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Pr>
          <w:rFonts w:ascii="Times New Roman" w:hAnsi="Times New Roman" w:cs="Times New Roman"/>
          <w:color w:val="000000"/>
          <w:sz w:val="28"/>
          <w:szCs w:val="28"/>
        </w:rPr>
        <w:tab/>
      </w:r>
      <w:r w:rsidR="00AE6BF1" w:rsidRPr="00B13985">
        <w:rPr>
          <w:rFonts w:ascii="Times New Roman" w:hAnsi="Times New Roman" w:cs="Times New Roman"/>
          <w:sz w:val="28"/>
          <w:szCs w:val="28"/>
        </w:rPr>
        <w:t xml:space="preserve">Next it is necessary to have regard to </w:t>
      </w:r>
      <w:r w:rsidR="00123AD4" w:rsidRPr="00B13985">
        <w:rPr>
          <w:rFonts w:ascii="Times New Roman" w:hAnsi="Times New Roman" w:cs="Times New Roman"/>
          <w:sz w:val="28"/>
          <w:szCs w:val="28"/>
        </w:rPr>
        <w:t>provisions of</w:t>
      </w:r>
      <w:r w:rsidR="00AE6BF1" w:rsidRPr="00B13985">
        <w:rPr>
          <w:rFonts w:ascii="Times New Roman" w:hAnsi="Times New Roman" w:cs="Times New Roman"/>
          <w:sz w:val="28"/>
          <w:szCs w:val="28"/>
        </w:rPr>
        <w:t xml:space="preserve"> regulation 40</w:t>
      </w:r>
      <w:r w:rsidR="00123AD4" w:rsidRPr="00B13985">
        <w:rPr>
          <w:rFonts w:ascii="Times New Roman" w:hAnsi="Times New Roman" w:cs="Times New Roman"/>
          <w:sz w:val="28"/>
          <w:szCs w:val="28"/>
        </w:rPr>
        <w:t xml:space="preserve"> (6)</w:t>
      </w:r>
      <w:r w:rsidR="00076360" w:rsidRPr="00B13985">
        <w:rPr>
          <w:rFonts w:ascii="Times New Roman" w:hAnsi="Times New Roman" w:cs="Times New Roman"/>
          <w:sz w:val="28"/>
          <w:szCs w:val="28"/>
        </w:rPr>
        <w:t xml:space="preserve"> of the Companies Regulations</w:t>
      </w:r>
      <w:r w:rsidR="00AE6BF1" w:rsidRPr="00B13985">
        <w:rPr>
          <w:rFonts w:ascii="Times New Roman" w:hAnsi="Times New Roman" w:cs="Times New Roman"/>
          <w:sz w:val="28"/>
          <w:szCs w:val="28"/>
        </w:rPr>
        <w:t xml:space="preserve"> which pertain</w:t>
      </w:r>
      <w:r w:rsidR="00E26F56" w:rsidRPr="00B13985">
        <w:rPr>
          <w:rFonts w:ascii="Times New Roman" w:hAnsi="Times New Roman" w:cs="Times New Roman"/>
          <w:sz w:val="28"/>
          <w:szCs w:val="28"/>
        </w:rPr>
        <w:t>s</w:t>
      </w:r>
      <w:r w:rsidR="00AE6BF1" w:rsidRPr="00B13985">
        <w:rPr>
          <w:rFonts w:ascii="Times New Roman" w:hAnsi="Times New Roman" w:cs="Times New Roman"/>
          <w:sz w:val="28"/>
          <w:szCs w:val="28"/>
        </w:rPr>
        <w:t xml:space="preserve"> to applications </w:t>
      </w:r>
      <w:r w:rsidR="00123AD4" w:rsidRPr="00B13985">
        <w:rPr>
          <w:rFonts w:ascii="Times New Roman" w:hAnsi="Times New Roman" w:cs="Times New Roman"/>
          <w:sz w:val="28"/>
          <w:szCs w:val="28"/>
        </w:rPr>
        <w:t xml:space="preserve">to reinstate registration of deregistered entities </w:t>
      </w:r>
      <w:r w:rsidR="00AE6BF1" w:rsidRPr="00B13985">
        <w:rPr>
          <w:rFonts w:ascii="Times New Roman" w:hAnsi="Times New Roman" w:cs="Times New Roman"/>
          <w:sz w:val="28"/>
          <w:szCs w:val="28"/>
        </w:rPr>
        <w:t xml:space="preserve">made </w:t>
      </w:r>
      <w:r w:rsidR="00123AD4" w:rsidRPr="00B13985">
        <w:rPr>
          <w:rFonts w:ascii="Times New Roman" w:hAnsi="Times New Roman" w:cs="Times New Roman"/>
          <w:sz w:val="28"/>
          <w:szCs w:val="28"/>
        </w:rPr>
        <w:t xml:space="preserve">administratively </w:t>
      </w:r>
      <w:r w:rsidR="00AE6BF1" w:rsidRPr="00B13985">
        <w:rPr>
          <w:rFonts w:ascii="Times New Roman" w:hAnsi="Times New Roman" w:cs="Times New Roman"/>
          <w:sz w:val="28"/>
          <w:szCs w:val="28"/>
        </w:rPr>
        <w:t>i</w:t>
      </w:r>
      <w:r w:rsidR="00C11527" w:rsidRPr="00B13985">
        <w:rPr>
          <w:rFonts w:ascii="Times New Roman" w:hAnsi="Times New Roman" w:cs="Times New Roman"/>
          <w:sz w:val="28"/>
          <w:szCs w:val="28"/>
        </w:rPr>
        <w:t>n terms of</w:t>
      </w:r>
      <w:r w:rsidR="00AE6BF1" w:rsidRPr="00B13985">
        <w:rPr>
          <w:rFonts w:ascii="Times New Roman" w:hAnsi="Times New Roman" w:cs="Times New Roman"/>
          <w:sz w:val="28"/>
          <w:szCs w:val="28"/>
        </w:rPr>
        <w:t xml:space="preserve"> section 82(</w:t>
      </w:r>
      <w:r w:rsidR="00076360" w:rsidRPr="00B13985">
        <w:rPr>
          <w:rFonts w:ascii="Times New Roman" w:hAnsi="Times New Roman" w:cs="Times New Roman"/>
          <w:sz w:val="28"/>
          <w:szCs w:val="28"/>
        </w:rPr>
        <w:t>4</w:t>
      </w:r>
      <w:r w:rsidR="00AE6BF1" w:rsidRPr="00B13985">
        <w:rPr>
          <w:rFonts w:ascii="Times New Roman" w:hAnsi="Times New Roman" w:cs="Times New Roman"/>
          <w:sz w:val="28"/>
          <w:szCs w:val="28"/>
        </w:rPr>
        <w:t>). The relevant regulation</w:t>
      </w:r>
      <w:r w:rsidR="00927902" w:rsidRPr="00B13985">
        <w:rPr>
          <w:rFonts w:ascii="Times New Roman" w:hAnsi="Times New Roman" w:cs="Times New Roman"/>
          <w:sz w:val="28"/>
          <w:szCs w:val="28"/>
        </w:rPr>
        <w:t xml:space="preserve"> (which </w:t>
      </w:r>
      <w:r w:rsidR="00123AD4" w:rsidRPr="00B13985">
        <w:rPr>
          <w:rFonts w:ascii="Times New Roman" w:hAnsi="Times New Roman" w:cs="Times New Roman"/>
          <w:sz w:val="28"/>
          <w:szCs w:val="28"/>
        </w:rPr>
        <w:t xml:space="preserve">also </w:t>
      </w:r>
      <w:r w:rsidR="00927902" w:rsidRPr="00B13985">
        <w:rPr>
          <w:rFonts w:ascii="Times New Roman" w:hAnsi="Times New Roman" w:cs="Times New Roman"/>
          <w:sz w:val="28"/>
          <w:szCs w:val="28"/>
        </w:rPr>
        <w:t>highlights the peculiar process that was adopted against the applicant in this instance</w:t>
      </w:r>
      <w:r w:rsidR="00123AD4" w:rsidRPr="00B13985">
        <w:rPr>
          <w:rFonts w:ascii="Times New Roman" w:hAnsi="Times New Roman" w:cs="Times New Roman"/>
          <w:sz w:val="28"/>
          <w:szCs w:val="28"/>
        </w:rPr>
        <w:t xml:space="preserve"> leading up to the de-registration</w:t>
      </w:r>
      <w:r w:rsidR="00927902" w:rsidRPr="00B13985">
        <w:rPr>
          <w:rFonts w:ascii="Times New Roman" w:hAnsi="Times New Roman" w:cs="Times New Roman"/>
          <w:sz w:val="28"/>
          <w:szCs w:val="28"/>
        </w:rPr>
        <w:t>)</w:t>
      </w:r>
      <w:r w:rsidR="00123AD4">
        <w:rPr>
          <w:rStyle w:val="FootnoteReference"/>
          <w:rFonts w:ascii="Times New Roman" w:hAnsi="Times New Roman" w:cs="Times New Roman"/>
          <w:sz w:val="28"/>
          <w:szCs w:val="28"/>
        </w:rPr>
        <w:footnoteReference w:id="7"/>
      </w:r>
      <w:r w:rsidR="00AE6BF1" w:rsidRPr="00B13985">
        <w:rPr>
          <w:rFonts w:ascii="Times New Roman" w:hAnsi="Times New Roman" w:cs="Times New Roman"/>
          <w:sz w:val="28"/>
          <w:szCs w:val="28"/>
        </w:rPr>
        <w:t xml:space="preserve"> </w:t>
      </w:r>
      <w:r w:rsidR="00123AD4" w:rsidRPr="00B13985">
        <w:rPr>
          <w:rFonts w:ascii="Times New Roman" w:hAnsi="Times New Roman" w:cs="Times New Roman"/>
          <w:sz w:val="28"/>
          <w:szCs w:val="28"/>
        </w:rPr>
        <w:t>provides as follows</w:t>
      </w:r>
      <w:r w:rsidR="00AE6BF1" w:rsidRPr="00B13985">
        <w:rPr>
          <w:rFonts w:ascii="Times New Roman" w:hAnsi="Times New Roman" w:cs="Times New Roman"/>
          <w:sz w:val="28"/>
          <w:szCs w:val="28"/>
        </w:rPr>
        <w:t>:</w:t>
      </w:r>
    </w:p>
    <w:p w14:paraId="4B02CE71" w14:textId="77777777" w:rsidR="0016423A" w:rsidRPr="0016423A" w:rsidRDefault="0016423A" w:rsidP="0016423A">
      <w:pPr>
        <w:pStyle w:val="ListParagraph"/>
        <w:spacing w:line="360" w:lineRule="auto"/>
        <w:ind w:left="0"/>
        <w:jc w:val="both"/>
        <w:rPr>
          <w:rFonts w:ascii="Times New Roman" w:hAnsi="Times New Roman" w:cs="Times New Roman"/>
          <w:color w:val="000000"/>
          <w:sz w:val="28"/>
          <w:szCs w:val="28"/>
        </w:rPr>
      </w:pPr>
    </w:p>
    <w:p w14:paraId="266E381C" w14:textId="66F046AC" w:rsidR="00C11527" w:rsidRPr="0016423A" w:rsidRDefault="00C11527" w:rsidP="00076360">
      <w:pPr>
        <w:pStyle w:val="lg-section"/>
        <w:shd w:val="clear" w:color="auto" w:fill="FFFFFF"/>
        <w:spacing w:before="0" w:beforeAutospacing="0" w:after="0" w:afterAutospacing="0"/>
        <w:ind w:left="715"/>
        <w:contextualSpacing/>
        <w:jc w:val="both"/>
        <w:rPr>
          <w:i/>
          <w:sz w:val="22"/>
          <w:szCs w:val="22"/>
        </w:rPr>
      </w:pPr>
      <w:r w:rsidRPr="00076360">
        <w:rPr>
          <w:sz w:val="22"/>
          <w:szCs w:val="22"/>
        </w:rPr>
        <w:t>“</w:t>
      </w:r>
      <w:r w:rsidRPr="0016423A">
        <w:rPr>
          <w:b/>
          <w:bCs/>
          <w:i/>
          <w:color w:val="000000"/>
          <w:sz w:val="22"/>
          <w:szCs w:val="22"/>
        </w:rPr>
        <w:t xml:space="preserve">40.   Winding-up, </w:t>
      </w:r>
      <w:r w:rsidRPr="0016423A">
        <w:rPr>
          <w:b/>
          <w:bCs/>
          <w:i/>
          <w:sz w:val="22"/>
          <w:szCs w:val="22"/>
        </w:rPr>
        <w:t xml:space="preserve">dissolution and de-registration of companies and external </w:t>
      </w:r>
      <w:r w:rsidR="006B2BC9" w:rsidRPr="0016423A">
        <w:rPr>
          <w:b/>
          <w:bCs/>
          <w:i/>
          <w:sz w:val="22"/>
          <w:szCs w:val="22"/>
        </w:rPr>
        <w:t>companies.</w:t>
      </w:r>
      <w:r w:rsidR="006B2BC9" w:rsidRPr="0016423A">
        <w:rPr>
          <w:i/>
          <w:sz w:val="22"/>
          <w:szCs w:val="22"/>
        </w:rPr>
        <w:t xml:space="preserve"> —</w:t>
      </w:r>
      <w:r w:rsidRPr="0016423A">
        <w:rPr>
          <w:i/>
          <w:iCs/>
          <w:sz w:val="22"/>
          <w:szCs w:val="22"/>
        </w:rPr>
        <w:t>See s. 79 to 83</w:t>
      </w:r>
      <w:r w:rsidR="007D0B9B" w:rsidRPr="0016423A">
        <w:rPr>
          <w:i/>
          <w:sz w:val="22"/>
          <w:szCs w:val="22"/>
        </w:rPr>
        <w:t>— (</w:t>
      </w:r>
      <w:r w:rsidRPr="0016423A">
        <w:rPr>
          <w:i/>
          <w:sz w:val="22"/>
          <w:szCs w:val="22"/>
        </w:rPr>
        <w:t>1)  A resolution by a solvent company to wind up must be filed with Form CoR 40.1.</w:t>
      </w:r>
    </w:p>
    <w:p w14:paraId="6D6B5519" w14:textId="77777777" w:rsidR="00C11527" w:rsidRPr="0016423A" w:rsidRDefault="00C11527" w:rsidP="00076360">
      <w:pPr>
        <w:pStyle w:val="lg-para3"/>
        <w:shd w:val="clear" w:color="auto" w:fill="FFFFFF"/>
        <w:spacing w:before="0" w:beforeAutospacing="0" w:after="0" w:afterAutospacing="0"/>
        <w:ind w:left="1276"/>
        <w:contextualSpacing/>
        <w:jc w:val="both"/>
        <w:rPr>
          <w:i/>
          <w:sz w:val="22"/>
          <w:szCs w:val="22"/>
        </w:rPr>
      </w:pPr>
      <w:r w:rsidRPr="0016423A">
        <w:rPr>
          <w:i/>
          <w:sz w:val="22"/>
          <w:szCs w:val="22"/>
        </w:rPr>
        <w:t>(2)  If a company or external company has failed to file an annual return for two years in succession, as contemplated in section 82 (3) (</w:t>
      </w:r>
      <w:r w:rsidRPr="0016423A">
        <w:rPr>
          <w:i/>
          <w:iCs/>
          <w:sz w:val="22"/>
          <w:szCs w:val="22"/>
        </w:rPr>
        <w:t>a</w:t>
      </w:r>
      <w:r w:rsidRPr="0016423A">
        <w:rPr>
          <w:i/>
          <w:sz w:val="22"/>
          <w:szCs w:val="22"/>
        </w:rPr>
        <w:t xml:space="preserve">), the Commission may deliver a demand in Form CoR 40.3 to the company or external company by registered post, or other means of </w:t>
      </w:r>
      <w:r w:rsidRPr="0016423A">
        <w:rPr>
          <w:i/>
          <w:sz w:val="22"/>
          <w:szCs w:val="22"/>
        </w:rPr>
        <w:lastRenderedPageBreak/>
        <w:t>verified communication, requiring the company or external company to provide the satisfactory information contemplated in section 82 (3) (</w:t>
      </w:r>
      <w:r w:rsidRPr="0016423A">
        <w:rPr>
          <w:i/>
          <w:iCs/>
          <w:sz w:val="22"/>
          <w:szCs w:val="22"/>
        </w:rPr>
        <w:t>a</w:t>
      </w:r>
      <w:r w:rsidRPr="0016423A">
        <w:rPr>
          <w:i/>
          <w:sz w:val="22"/>
          <w:szCs w:val="22"/>
        </w:rPr>
        <w:t>) (ii).</w:t>
      </w:r>
    </w:p>
    <w:p w14:paraId="49AC927F" w14:textId="77777777" w:rsidR="00C11527" w:rsidRPr="0016423A" w:rsidRDefault="00C11527" w:rsidP="00076360">
      <w:pPr>
        <w:pStyle w:val="lg-para3"/>
        <w:shd w:val="clear" w:color="auto" w:fill="FFFFFF"/>
        <w:spacing w:before="0" w:beforeAutospacing="0" w:after="0" w:afterAutospacing="0"/>
        <w:ind w:left="1276"/>
        <w:contextualSpacing/>
        <w:jc w:val="both"/>
        <w:rPr>
          <w:i/>
          <w:sz w:val="22"/>
          <w:szCs w:val="22"/>
        </w:rPr>
      </w:pPr>
      <w:r w:rsidRPr="0016423A">
        <w:rPr>
          <w:i/>
          <w:sz w:val="22"/>
          <w:szCs w:val="22"/>
        </w:rPr>
        <w:t>(3)  If a company or external company responds to a demand sent to it in terms of </w:t>
      </w:r>
      <w:hyperlink r:id="rId17" w:anchor="gfs" w:history="1">
        <w:r w:rsidRPr="0016423A">
          <w:rPr>
            <w:rStyle w:val="Hyperlink"/>
            <w:rFonts w:eastAsiaTheme="majorEastAsia"/>
            <w:i/>
            <w:color w:val="auto"/>
            <w:sz w:val="22"/>
            <w:szCs w:val="22"/>
          </w:rPr>
          <w:t>sub-regulation (2)</w:t>
        </w:r>
      </w:hyperlink>
      <w:r w:rsidRPr="0016423A">
        <w:rPr>
          <w:i/>
          <w:sz w:val="22"/>
          <w:szCs w:val="22"/>
        </w:rPr>
        <w:t>, the Commission—</w:t>
      </w:r>
    </w:p>
    <w:p w14:paraId="7C7CFA0F" w14:textId="77777777" w:rsidR="00C11527" w:rsidRPr="0016423A" w:rsidRDefault="00C11527" w:rsidP="00076360">
      <w:pPr>
        <w:pStyle w:val="lg-a-1"/>
        <w:shd w:val="clear" w:color="auto" w:fill="FFFFFF"/>
        <w:spacing w:before="0" w:beforeAutospacing="0" w:after="0" w:afterAutospacing="0"/>
        <w:ind w:left="1519"/>
        <w:contextualSpacing/>
        <w:jc w:val="both"/>
        <w:rPr>
          <w:i/>
          <w:sz w:val="22"/>
          <w:szCs w:val="22"/>
        </w:rPr>
      </w:pPr>
      <w:r w:rsidRPr="0016423A">
        <w:rPr>
          <w:i/>
          <w:sz w:val="22"/>
          <w:szCs w:val="22"/>
        </w:rPr>
        <w:t>(</w:t>
      </w:r>
      <w:r w:rsidRPr="0016423A">
        <w:rPr>
          <w:i/>
          <w:iCs/>
          <w:sz w:val="22"/>
          <w:szCs w:val="22"/>
        </w:rPr>
        <w:t>a</w:t>
      </w:r>
      <w:r w:rsidRPr="0016423A">
        <w:rPr>
          <w:i/>
          <w:sz w:val="22"/>
          <w:szCs w:val="22"/>
        </w:rPr>
        <w:t>)</w:t>
      </w:r>
      <w:r w:rsidRPr="0016423A">
        <w:rPr>
          <w:i/>
          <w:sz w:val="22"/>
          <w:szCs w:val="22"/>
        </w:rPr>
        <w:tab/>
        <w:t>may deregister the company or external company if the information received in response to the demand confirms that the company or external company is no longer active; or</w:t>
      </w:r>
    </w:p>
    <w:p w14:paraId="61920F2D" w14:textId="77777777" w:rsidR="00C11527" w:rsidRPr="0016423A" w:rsidRDefault="00C11527" w:rsidP="00076360">
      <w:pPr>
        <w:pStyle w:val="lg-a-1"/>
        <w:shd w:val="clear" w:color="auto" w:fill="FFFFFF"/>
        <w:spacing w:before="0" w:beforeAutospacing="0" w:after="0" w:afterAutospacing="0"/>
        <w:ind w:left="1560" w:hanging="120"/>
        <w:contextualSpacing/>
        <w:jc w:val="both"/>
        <w:rPr>
          <w:i/>
          <w:sz w:val="22"/>
          <w:szCs w:val="22"/>
        </w:rPr>
      </w:pPr>
      <w:r w:rsidRPr="0016423A">
        <w:rPr>
          <w:i/>
          <w:sz w:val="22"/>
          <w:szCs w:val="22"/>
        </w:rPr>
        <w:t>(</w:t>
      </w:r>
      <w:r w:rsidRPr="0016423A">
        <w:rPr>
          <w:i/>
          <w:iCs/>
          <w:sz w:val="22"/>
          <w:szCs w:val="22"/>
        </w:rPr>
        <w:t>b</w:t>
      </w:r>
      <w:r w:rsidRPr="0016423A">
        <w:rPr>
          <w:i/>
          <w:sz w:val="22"/>
          <w:szCs w:val="22"/>
        </w:rPr>
        <w:t>)</w:t>
      </w:r>
      <w:r w:rsidRPr="0016423A">
        <w:rPr>
          <w:i/>
          <w:sz w:val="22"/>
          <w:szCs w:val="22"/>
        </w:rPr>
        <w:tab/>
        <w:t>if the information received in response to the demand confirms that the company or external company is active—</w:t>
      </w:r>
    </w:p>
    <w:p w14:paraId="3B5D29C2" w14:textId="77777777" w:rsidR="00C11527" w:rsidRPr="0016423A" w:rsidRDefault="00C11527" w:rsidP="00076360">
      <w:pPr>
        <w:pStyle w:val="lg-a-1"/>
        <w:shd w:val="clear" w:color="auto" w:fill="FFFFFF"/>
        <w:spacing w:before="0" w:beforeAutospacing="0" w:after="0" w:afterAutospacing="0"/>
        <w:ind w:left="2159"/>
        <w:contextualSpacing/>
        <w:jc w:val="both"/>
        <w:rPr>
          <w:i/>
          <w:sz w:val="22"/>
          <w:szCs w:val="22"/>
        </w:rPr>
      </w:pPr>
      <w:r w:rsidRPr="0016423A">
        <w:rPr>
          <w:i/>
          <w:sz w:val="22"/>
          <w:szCs w:val="22"/>
        </w:rPr>
        <w:t>(i) may require additional information if the information provided is unsatisfactory in terms of section 82 (3) (</w:t>
      </w:r>
      <w:r w:rsidRPr="0016423A">
        <w:rPr>
          <w:i/>
          <w:iCs/>
          <w:sz w:val="22"/>
          <w:szCs w:val="22"/>
        </w:rPr>
        <w:t>a</w:t>
      </w:r>
      <w:r w:rsidRPr="0016423A">
        <w:rPr>
          <w:i/>
          <w:sz w:val="22"/>
          <w:szCs w:val="22"/>
        </w:rPr>
        <w:t>) (ii); or</w:t>
      </w:r>
    </w:p>
    <w:p w14:paraId="0017CD59" w14:textId="77777777" w:rsidR="00C11527" w:rsidRPr="0016423A" w:rsidRDefault="00C11527" w:rsidP="00076360">
      <w:pPr>
        <w:pStyle w:val="lg-a-1"/>
        <w:shd w:val="clear" w:color="auto" w:fill="FFFFFF"/>
        <w:spacing w:before="0" w:beforeAutospacing="0" w:after="0" w:afterAutospacing="0"/>
        <w:ind w:left="2159"/>
        <w:contextualSpacing/>
        <w:jc w:val="both"/>
        <w:rPr>
          <w:i/>
          <w:sz w:val="22"/>
          <w:szCs w:val="22"/>
        </w:rPr>
      </w:pPr>
      <w:r w:rsidRPr="0016423A">
        <w:rPr>
          <w:i/>
          <w:sz w:val="22"/>
          <w:szCs w:val="22"/>
        </w:rPr>
        <w:t>(ii) may issue a compliance notice requiring the company or external company to file an annual return for every year that it has failed to do so; or</w:t>
      </w:r>
    </w:p>
    <w:p w14:paraId="2C2D88F4" w14:textId="77777777" w:rsidR="00C11527" w:rsidRPr="0016423A" w:rsidRDefault="00C11527" w:rsidP="00076360">
      <w:pPr>
        <w:pStyle w:val="lg-a-1"/>
        <w:shd w:val="clear" w:color="auto" w:fill="FFFFFF"/>
        <w:spacing w:before="0" w:beforeAutospacing="0" w:after="0" w:afterAutospacing="0"/>
        <w:ind w:left="2159"/>
        <w:contextualSpacing/>
        <w:jc w:val="both"/>
        <w:rPr>
          <w:i/>
          <w:sz w:val="22"/>
          <w:szCs w:val="22"/>
        </w:rPr>
      </w:pPr>
      <w:r w:rsidRPr="0016423A">
        <w:rPr>
          <w:i/>
          <w:sz w:val="22"/>
          <w:szCs w:val="22"/>
        </w:rPr>
        <w:t>(iii) must issue a compliance certificate, if the information is satisfactory and the company or external company has filed an annual return for every year that it had failed to do so.</w:t>
      </w:r>
    </w:p>
    <w:p w14:paraId="69EBC644" w14:textId="77777777" w:rsidR="00C11527" w:rsidRPr="0016423A" w:rsidRDefault="00C11527" w:rsidP="00076360">
      <w:pPr>
        <w:pStyle w:val="lg-para3"/>
        <w:shd w:val="clear" w:color="auto" w:fill="FFFFFF"/>
        <w:spacing w:before="0" w:beforeAutospacing="0" w:after="0" w:afterAutospacing="0"/>
        <w:ind w:left="1361"/>
        <w:contextualSpacing/>
        <w:jc w:val="both"/>
        <w:rPr>
          <w:i/>
          <w:sz w:val="22"/>
          <w:szCs w:val="22"/>
        </w:rPr>
      </w:pPr>
      <w:r w:rsidRPr="0016423A">
        <w:rPr>
          <w:i/>
          <w:sz w:val="22"/>
          <w:szCs w:val="22"/>
        </w:rPr>
        <w:t>(4)  If a company or external company fails to respond within 20 business days after receiving a demand under sub-regulation 2 (</w:t>
      </w:r>
      <w:r w:rsidRPr="0016423A">
        <w:rPr>
          <w:i/>
          <w:iCs/>
          <w:sz w:val="22"/>
          <w:szCs w:val="22"/>
        </w:rPr>
        <w:t>a</w:t>
      </w:r>
      <w:r w:rsidRPr="0016423A">
        <w:rPr>
          <w:i/>
          <w:sz w:val="22"/>
          <w:szCs w:val="22"/>
        </w:rPr>
        <w:t>) or a request or, in responding, fails to provide satisfactory additional information required in terms of </w:t>
      </w:r>
      <w:hyperlink r:id="rId18" w:anchor="gfw" w:history="1">
        <w:r w:rsidRPr="0016423A">
          <w:rPr>
            <w:rStyle w:val="Hyperlink"/>
            <w:rFonts w:eastAsiaTheme="majorEastAsia"/>
            <w:i/>
            <w:color w:val="auto"/>
            <w:sz w:val="22"/>
            <w:szCs w:val="22"/>
          </w:rPr>
          <w:t>sub-regulation (3) (</w:t>
        </w:r>
        <w:r w:rsidRPr="0016423A">
          <w:rPr>
            <w:rStyle w:val="Hyperlink"/>
            <w:rFonts w:eastAsiaTheme="majorEastAsia"/>
            <w:i/>
            <w:iCs/>
            <w:color w:val="auto"/>
            <w:sz w:val="22"/>
            <w:szCs w:val="22"/>
          </w:rPr>
          <w:t>b</w:t>
        </w:r>
        <w:r w:rsidRPr="0016423A">
          <w:rPr>
            <w:rStyle w:val="Hyperlink"/>
            <w:rFonts w:eastAsiaTheme="majorEastAsia"/>
            <w:i/>
            <w:color w:val="auto"/>
            <w:sz w:val="22"/>
            <w:szCs w:val="22"/>
          </w:rPr>
          <w:t>) (i)</w:t>
        </w:r>
      </w:hyperlink>
      <w:r w:rsidRPr="0016423A">
        <w:rPr>
          <w:i/>
          <w:sz w:val="22"/>
          <w:szCs w:val="22"/>
        </w:rPr>
        <w:t>, the Commission may—</w:t>
      </w:r>
    </w:p>
    <w:p w14:paraId="15220D13" w14:textId="5ED55800" w:rsidR="00C11527" w:rsidRPr="0016423A" w:rsidRDefault="00C11527" w:rsidP="00076360">
      <w:pPr>
        <w:pStyle w:val="lg-a-1"/>
        <w:shd w:val="clear" w:color="auto" w:fill="FFFFFF"/>
        <w:spacing w:before="0" w:beforeAutospacing="0" w:after="0" w:afterAutospacing="0"/>
        <w:ind w:left="1440"/>
        <w:contextualSpacing/>
        <w:jc w:val="both"/>
        <w:rPr>
          <w:i/>
          <w:sz w:val="22"/>
          <w:szCs w:val="22"/>
        </w:rPr>
      </w:pPr>
      <w:r w:rsidRPr="0016423A">
        <w:rPr>
          <w:i/>
          <w:sz w:val="22"/>
          <w:szCs w:val="22"/>
        </w:rPr>
        <w:t>(</w:t>
      </w:r>
      <w:r w:rsidRPr="0016423A">
        <w:rPr>
          <w:i/>
          <w:iCs/>
          <w:sz w:val="22"/>
          <w:szCs w:val="22"/>
        </w:rPr>
        <w:t>a</w:t>
      </w:r>
      <w:r w:rsidRPr="0016423A">
        <w:rPr>
          <w:i/>
          <w:sz w:val="22"/>
          <w:szCs w:val="22"/>
        </w:rPr>
        <w:t>) issue a Notice of Pending Deregistration in Form CoR 40.4 to the company or    external company; and</w:t>
      </w:r>
    </w:p>
    <w:p w14:paraId="565C5ABB" w14:textId="399DCFE4" w:rsidR="00C11527" w:rsidRPr="0016423A" w:rsidRDefault="00C11527" w:rsidP="00076360">
      <w:pPr>
        <w:pStyle w:val="lg-a-1"/>
        <w:shd w:val="clear" w:color="auto" w:fill="FFFFFF"/>
        <w:spacing w:before="0" w:beforeAutospacing="0" w:after="0" w:afterAutospacing="0"/>
        <w:ind w:left="1361" w:firstLine="79"/>
        <w:contextualSpacing/>
        <w:jc w:val="both"/>
        <w:rPr>
          <w:i/>
          <w:sz w:val="22"/>
          <w:szCs w:val="22"/>
        </w:rPr>
      </w:pPr>
      <w:r w:rsidRPr="0016423A">
        <w:rPr>
          <w:i/>
          <w:sz w:val="22"/>
          <w:szCs w:val="22"/>
        </w:rPr>
        <w:t>(</w:t>
      </w:r>
      <w:r w:rsidRPr="0016423A">
        <w:rPr>
          <w:i/>
          <w:iCs/>
          <w:sz w:val="22"/>
          <w:szCs w:val="22"/>
        </w:rPr>
        <w:t>b</w:t>
      </w:r>
      <w:r w:rsidRPr="0016423A">
        <w:rPr>
          <w:i/>
          <w:sz w:val="22"/>
          <w:szCs w:val="22"/>
        </w:rPr>
        <w:t>) deregister the company or external company at any time more than 20 business days after delivering the Notice of Pending Deregistration, unless during that time the company or external company has filed its annual return for every year that it had failed to file.</w:t>
      </w:r>
    </w:p>
    <w:p w14:paraId="3011A70E" w14:textId="77777777" w:rsidR="00C11527" w:rsidRPr="0016423A" w:rsidRDefault="00C11527" w:rsidP="00076360">
      <w:pPr>
        <w:pStyle w:val="lg-para3"/>
        <w:shd w:val="clear" w:color="auto" w:fill="FFFFFF"/>
        <w:spacing w:before="0" w:beforeAutospacing="0" w:after="0" w:afterAutospacing="0"/>
        <w:ind w:left="720"/>
        <w:contextualSpacing/>
        <w:jc w:val="both"/>
        <w:rPr>
          <w:i/>
          <w:sz w:val="22"/>
          <w:szCs w:val="22"/>
        </w:rPr>
      </w:pPr>
      <w:r w:rsidRPr="0016423A">
        <w:rPr>
          <w:i/>
          <w:sz w:val="22"/>
          <w:szCs w:val="22"/>
        </w:rPr>
        <w:t>(5)  When any company or external company has been deregistered the books and papers of the company or external company may be disposed of in such way as the Commission may direct.</w:t>
      </w:r>
    </w:p>
    <w:p w14:paraId="304285E0" w14:textId="77777777" w:rsidR="00C11527" w:rsidRPr="0016423A" w:rsidRDefault="00C11527" w:rsidP="00076360">
      <w:pPr>
        <w:pStyle w:val="lg-para3"/>
        <w:shd w:val="clear" w:color="auto" w:fill="FFFFFF"/>
        <w:spacing w:before="0" w:beforeAutospacing="0" w:after="0" w:afterAutospacing="0"/>
        <w:ind w:left="720"/>
        <w:contextualSpacing/>
        <w:jc w:val="both"/>
        <w:rPr>
          <w:i/>
          <w:iCs/>
          <w:sz w:val="22"/>
          <w:szCs w:val="22"/>
        </w:rPr>
      </w:pPr>
      <w:r w:rsidRPr="0016423A">
        <w:rPr>
          <w:i/>
          <w:sz w:val="22"/>
          <w:szCs w:val="22"/>
        </w:rPr>
        <w:t>(6)  </w:t>
      </w:r>
      <w:r w:rsidRPr="0016423A">
        <w:rPr>
          <w:i/>
          <w:iCs/>
          <w:sz w:val="22"/>
          <w:szCs w:val="22"/>
        </w:rPr>
        <w:t>The Commission may re-instate a deregistered company or external company only after it has filed the outstanding annual returns and paid the outstanding prescribed fee in respect thereof.</w:t>
      </w:r>
    </w:p>
    <w:p w14:paraId="0316A84A" w14:textId="77777777" w:rsidR="00C11527" w:rsidRPr="0016423A" w:rsidRDefault="00C11527" w:rsidP="00076360">
      <w:pPr>
        <w:pStyle w:val="lg-para3"/>
        <w:shd w:val="clear" w:color="auto" w:fill="FFFFFF"/>
        <w:spacing w:before="0" w:beforeAutospacing="0" w:after="0" w:afterAutospacing="0"/>
        <w:ind w:left="720"/>
        <w:contextualSpacing/>
        <w:jc w:val="both"/>
        <w:rPr>
          <w:i/>
          <w:iCs/>
          <w:sz w:val="22"/>
          <w:szCs w:val="22"/>
        </w:rPr>
      </w:pPr>
      <w:r w:rsidRPr="0016423A">
        <w:rPr>
          <w:i/>
          <w:iCs/>
          <w:sz w:val="22"/>
          <w:szCs w:val="22"/>
        </w:rPr>
        <w:t>(7)  An application to re-instate a de-registered company or external company must be made in Form CoR 40.5 and must comply with such conditions as the Commission may determine.</w:t>
      </w:r>
    </w:p>
    <w:p w14:paraId="1742BE0E" w14:textId="77777777" w:rsidR="00C11527" w:rsidRPr="0016423A" w:rsidRDefault="00C11527" w:rsidP="00076360">
      <w:pPr>
        <w:pStyle w:val="lg-para3"/>
        <w:shd w:val="clear" w:color="auto" w:fill="FFFFFF"/>
        <w:spacing w:before="0" w:beforeAutospacing="0" w:after="0" w:afterAutospacing="0"/>
        <w:ind w:left="680"/>
        <w:contextualSpacing/>
        <w:jc w:val="both"/>
        <w:rPr>
          <w:i/>
          <w:sz w:val="22"/>
          <w:szCs w:val="22"/>
        </w:rPr>
      </w:pPr>
      <w:r w:rsidRPr="0016423A">
        <w:rPr>
          <w:i/>
          <w:sz w:val="22"/>
          <w:szCs w:val="22"/>
        </w:rPr>
        <w:t>(8)  A notice by a company to transfer its registration to a jurisdiction outside the Republic, as contemplated in section 82 (5), must be filed in Form CoR 40.2, and must be accompanied by—</w:t>
      </w:r>
    </w:p>
    <w:p w14:paraId="7681E824" w14:textId="77777777" w:rsidR="00C11527" w:rsidRPr="0016423A" w:rsidRDefault="00C11527" w:rsidP="00076360">
      <w:pPr>
        <w:pStyle w:val="lg-a-1"/>
        <w:shd w:val="clear" w:color="auto" w:fill="FFFFFF"/>
        <w:spacing w:before="0" w:beforeAutospacing="0" w:after="0" w:afterAutospacing="0"/>
        <w:ind w:left="1361"/>
        <w:contextualSpacing/>
        <w:jc w:val="both"/>
        <w:rPr>
          <w:i/>
          <w:sz w:val="22"/>
          <w:szCs w:val="22"/>
        </w:rPr>
      </w:pPr>
      <w:r w:rsidRPr="0016423A">
        <w:rPr>
          <w:i/>
          <w:sz w:val="22"/>
          <w:szCs w:val="22"/>
        </w:rPr>
        <w:t>(</w:t>
      </w:r>
      <w:r w:rsidRPr="0016423A">
        <w:rPr>
          <w:i/>
          <w:iCs/>
          <w:sz w:val="22"/>
          <w:szCs w:val="22"/>
        </w:rPr>
        <w:t>a</w:t>
      </w:r>
      <w:r w:rsidRPr="0016423A">
        <w:rPr>
          <w:i/>
          <w:sz w:val="22"/>
          <w:szCs w:val="22"/>
        </w:rPr>
        <w:t>) a copy of a special resolution approving the transfer of the company’s registration to that jurisdiction;</w:t>
      </w:r>
    </w:p>
    <w:p w14:paraId="70B3A1BD" w14:textId="77777777" w:rsidR="00C11527" w:rsidRPr="0016423A" w:rsidRDefault="00C11527" w:rsidP="00076360">
      <w:pPr>
        <w:pStyle w:val="lg-a-1"/>
        <w:shd w:val="clear" w:color="auto" w:fill="FFFFFF"/>
        <w:spacing w:before="0" w:beforeAutospacing="0" w:after="0" w:afterAutospacing="0"/>
        <w:ind w:left="1361"/>
        <w:contextualSpacing/>
        <w:jc w:val="both"/>
        <w:rPr>
          <w:i/>
          <w:sz w:val="22"/>
          <w:szCs w:val="22"/>
        </w:rPr>
      </w:pPr>
      <w:r w:rsidRPr="0016423A">
        <w:rPr>
          <w:i/>
          <w:sz w:val="22"/>
          <w:szCs w:val="22"/>
        </w:rPr>
        <w:t>(</w:t>
      </w:r>
      <w:r w:rsidRPr="0016423A">
        <w:rPr>
          <w:i/>
          <w:iCs/>
          <w:sz w:val="22"/>
          <w:szCs w:val="22"/>
        </w:rPr>
        <w:t>b</w:t>
      </w:r>
      <w:r w:rsidRPr="0016423A">
        <w:rPr>
          <w:i/>
          <w:sz w:val="22"/>
          <w:szCs w:val="22"/>
        </w:rPr>
        <w:t>) satisfactory evidence that the company satisfies the requirements to register in that jurisdiction; and</w:t>
      </w:r>
    </w:p>
    <w:p w14:paraId="3812144E" w14:textId="28A1CB7B" w:rsidR="00076360" w:rsidRPr="00076360" w:rsidRDefault="00C11527" w:rsidP="00076360">
      <w:pPr>
        <w:pStyle w:val="lg-a-1"/>
        <w:shd w:val="clear" w:color="auto" w:fill="FFFFFF"/>
        <w:spacing w:before="0" w:beforeAutospacing="0" w:after="0" w:afterAutospacing="0"/>
        <w:ind w:left="1361"/>
        <w:contextualSpacing/>
        <w:jc w:val="both"/>
        <w:rPr>
          <w:sz w:val="22"/>
          <w:szCs w:val="22"/>
        </w:rPr>
      </w:pPr>
      <w:r w:rsidRPr="0016423A">
        <w:rPr>
          <w:i/>
          <w:sz w:val="22"/>
          <w:szCs w:val="22"/>
        </w:rPr>
        <w:t>(</w:t>
      </w:r>
      <w:r w:rsidRPr="0016423A">
        <w:rPr>
          <w:i/>
          <w:iCs/>
          <w:sz w:val="22"/>
          <w:szCs w:val="22"/>
        </w:rPr>
        <w:t>c</w:t>
      </w:r>
      <w:r w:rsidRPr="0016423A">
        <w:rPr>
          <w:i/>
          <w:sz w:val="22"/>
          <w:szCs w:val="22"/>
        </w:rPr>
        <w:t>) The fee set out in Table CR 1</w:t>
      </w:r>
      <w:r w:rsidRPr="00076360">
        <w:rPr>
          <w:sz w:val="22"/>
          <w:szCs w:val="22"/>
        </w:rPr>
        <w:t>.”</w:t>
      </w:r>
    </w:p>
    <w:p w14:paraId="65AC7DDE" w14:textId="77777777" w:rsidR="006B2BC9" w:rsidRDefault="00076360" w:rsidP="00076360">
      <w:pPr>
        <w:pStyle w:val="lg-a-1"/>
        <w:shd w:val="clear" w:color="auto" w:fill="FFFFFF"/>
        <w:spacing w:before="0" w:beforeAutospacing="0" w:after="0" w:afterAutospacing="0" w:line="360" w:lineRule="auto"/>
        <w:ind w:firstLine="720"/>
        <w:contextualSpacing/>
        <w:jc w:val="both"/>
        <w:rPr>
          <w:color w:val="000000"/>
          <w:sz w:val="28"/>
          <w:szCs w:val="28"/>
        </w:rPr>
      </w:pPr>
      <w:r w:rsidRPr="00076360">
        <w:rPr>
          <w:color w:val="000000"/>
          <w:sz w:val="28"/>
          <w:szCs w:val="28"/>
        </w:rPr>
        <w:t>(Emphasis added)</w:t>
      </w:r>
    </w:p>
    <w:p w14:paraId="1D0724D5" w14:textId="654A124A" w:rsidR="00402C29" w:rsidRPr="00076360" w:rsidRDefault="00076360" w:rsidP="00076360">
      <w:pPr>
        <w:pStyle w:val="lg-a-1"/>
        <w:shd w:val="clear" w:color="auto" w:fill="FFFFFF"/>
        <w:spacing w:before="0" w:beforeAutospacing="0" w:after="0" w:afterAutospacing="0" w:line="360" w:lineRule="auto"/>
        <w:ind w:firstLine="720"/>
        <w:contextualSpacing/>
        <w:jc w:val="both"/>
        <w:rPr>
          <w:color w:val="000000"/>
          <w:sz w:val="28"/>
          <w:szCs w:val="28"/>
        </w:rPr>
      </w:pPr>
      <w:r w:rsidRPr="00076360">
        <w:rPr>
          <w:color w:val="000000"/>
          <w:sz w:val="28"/>
          <w:szCs w:val="28"/>
        </w:rPr>
        <w:t xml:space="preserve"> </w:t>
      </w:r>
    </w:p>
    <w:p w14:paraId="5ED2E6ED" w14:textId="6BBC2CD7" w:rsidR="00B54C08"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Pr>
          <w:rFonts w:ascii="Times New Roman" w:hAnsi="Times New Roman" w:cs="Times New Roman"/>
          <w:color w:val="000000"/>
          <w:sz w:val="28"/>
          <w:szCs w:val="28"/>
        </w:rPr>
        <w:tab/>
      </w:r>
      <w:r w:rsidR="00AE6BF1" w:rsidRPr="00B13985">
        <w:rPr>
          <w:rFonts w:ascii="Times New Roman" w:hAnsi="Times New Roman" w:cs="Times New Roman"/>
          <w:color w:val="000000"/>
          <w:sz w:val="28"/>
          <w:szCs w:val="28"/>
        </w:rPr>
        <w:t xml:space="preserve">Finally the </w:t>
      </w:r>
      <w:r w:rsidR="006B2BC9" w:rsidRPr="00B13985">
        <w:rPr>
          <w:rFonts w:ascii="Times New Roman" w:hAnsi="Times New Roman" w:cs="Times New Roman"/>
          <w:color w:val="000000"/>
          <w:sz w:val="28"/>
          <w:szCs w:val="28"/>
        </w:rPr>
        <w:t xml:space="preserve">provisions of the </w:t>
      </w:r>
      <w:r w:rsidR="00AE6BF1" w:rsidRPr="00B13985">
        <w:rPr>
          <w:rFonts w:ascii="Times New Roman" w:hAnsi="Times New Roman" w:cs="Times New Roman"/>
          <w:color w:val="000000"/>
          <w:sz w:val="28"/>
          <w:szCs w:val="28"/>
        </w:rPr>
        <w:t xml:space="preserve">relevant </w:t>
      </w:r>
      <w:r w:rsidR="00076360" w:rsidRPr="00B13985">
        <w:rPr>
          <w:rFonts w:ascii="Times New Roman" w:hAnsi="Times New Roman" w:cs="Times New Roman"/>
          <w:color w:val="000000"/>
          <w:sz w:val="28"/>
          <w:szCs w:val="28"/>
        </w:rPr>
        <w:t>Practice Note</w:t>
      </w:r>
      <w:r w:rsidR="006B2BC9" w:rsidRPr="00B13985">
        <w:rPr>
          <w:rFonts w:ascii="Times New Roman" w:hAnsi="Times New Roman" w:cs="Times New Roman"/>
          <w:color w:val="000000"/>
          <w:sz w:val="28"/>
          <w:szCs w:val="28"/>
        </w:rPr>
        <w:t>, which emphasises the conditions which the Commission has indicated would be of application, are</w:t>
      </w:r>
      <w:r w:rsidR="00AE6BF1" w:rsidRPr="00B13985">
        <w:rPr>
          <w:rFonts w:ascii="Times New Roman" w:hAnsi="Times New Roman" w:cs="Times New Roman"/>
          <w:color w:val="000000"/>
          <w:sz w:val="28"/>
          <w:szCs w:val="28"/>
        </w:rPr>
        <w:t xml:space="preserve"> set out below:</w:t>
      </w:r>
    </w:p>
    <w:p w14:paraId="6B1D660C" w14:textId="77777777" w:rsidR="00B54C08" w:rsidRDefault="00B54C08" w:rsidP="00402C29">
      <w:pPr>
        <w:pStyle w:val="ListParagraph"/>
        <w:spacing w:line="360" w:lineRule="auto"/>
        <w:ind w:left="0"/>
        <w:jc w:val="both"/>
        <w:rPr>
          <w:rFonts w:ascii="Times New Roman" w:hAnsi="Times New Roman" w:cs="Times New Roman"/>
          <w:color w:val="000000"/>
          <w:sz w:val="28"/>
          <w:szCs w:val="28"/>
        </w:rPr>
      </w:pPr>
    </w:p>
    <w:p w14:paraId="599224AC" w14:textId="00340B25" w:rsidR="00B54C08" w:rsidRPr="0016423A" w:rsidRDefault="00076360" w:rsidP="00076360">
      <w:pPr>
        <w:pStyle w:val="frg-leveltwo"/>
        <w:shd w:val="clear" w:color="auto" w:fill="FFFFFF"/>
        <w:spacing w:before="0" w:beforeAutospacing="0" w:after="0" w:afterAutospacing="0"/>
        <w:contextualSpacing/>
        <w:jc w:val="center"/>
        <w:rPr>
          <w:b/>
          <w:bCs/>
          <w:i/>
          <w:color w:val="000000"/>
          <w:sz w:val="22"/>
          <w:szCs w:val="22"/>
        </w:rPr>
      </w:pPr>
      <w:r w:rsidRPr="00076360">
        <w:rPr>
          <w:b/>
          <w:bCs/>
          <w:color w:val="000000"/>
          <w:sz w:val="22"/>
          <w:szCs w:val="22"/>
        </w:rPr>
        <w:lastRenderedPageBreak/>
        <w:t>“</w:t>
      </w:r>
      <w:r w:rsidR="00B54C08" w:rsidRPr="0016423A">
        <w:rPr>
          <w:b/>
          <w:bCs/>
          <w:i/>
          <w:color w:val="000000"/>
          <w:sz w:val="22"/>
          <w:szCs w:val="22"/>
        </w:rPr>
        <w:t>GN 1213 of 3 November 2017:  Practice Note (8/2017): Requirements for</w:t>
      </w:r>
      <w:r w:rsidR="00B54C08" w:rsidRPr="0016423A">
        <w:rPr>
          <w:b/>
          <w:bCs/>
          <w:i/>
          <w:color w:val="000000"/>
          <w:sz w:val="22"/>
          <w:szCs w:val="22"/>
        </w:rPr>
        <w:br/>
        <w:t>Re-instatement in terms of Regulation 4 (2) (</w:t>
      </w:r>
      <w:r w:rsidR="00B54C08" w:rsidRPr="0016423A">
        <w:rPr>
          <w:b/>
          <w:bCs/>
          <w:i/>
          <w:iCs/>
          <w:color w:val="000000"/>
          <w:sz w:val="22"/>
          <w:szCs w:val="22"/>
        </w:rPr>
        <w:t>b</w:t>
      </w:r>
      <w:r w:rsidR="00B54C08" w:rsidRPr="0016423A">
        <w:rPr>
          <w:b/>
          <w:bCs/>
          <w:i/>
          <w:color w:val="000000"/>
          <w:sz w:val="22"/>
          <w:szCs w:val="22"/>
        </w:rPr>
        <w:t>)</w:t>
      </w:r>
      <w:r w:rsidR="00B54C08" w:rsidRPr="0016423A">
        <w:rPr>
          <w:b/>
          <w:bCs/>
          <w:i/>
          <w:color w:val="000000"/>
          <w:sz w:val="22"/>
          <w:szCs w:val="22"/>
        </w:rPr>
        <w:br/>
        <w:t>(</w:t>
      </w:r>
      <w:r w:rsidR="00B54C08" w:rsidRPr="0016423A">
        <w:rPr>
          <w:b/>
          <w:bCs/>
          <w:i/>
          <w:iCs/>
          <w:color w:val="000000"/>
          <w:sz w:val="22"/>
          <w:szCs w:val="22"/>
          <w:u w:val="single"/>
        </w:rPr>
        <w:t>Government Gazette </w:t>
      </w:r>
      <w:r w:rsidR="00B54C08" w:rsidRPr="0016423A">
        <w:rPr>
          <w:b/>
          <w:bCs/>
          <w:i/>
          <w:color w:val="000000"/>
          <w:sz w:val="22"/>
          <w:szCs w:val="22"/>
          <w:u w:val="single"/>
        </w:rPr>
        <w:t>No. 41224</w:t>
      </w:r>
      <w:r w:rsidR="00B54C08" w:rsidRPr="0016423A">
        <w:rPr>
          <w:b/>
          <w:bCs/>
          <w:i/>
          <w:color w:val="000000"/>
          <w:sz w:val="22"/>
          <w:szCs w:val="22"/>
        </w:rPr>
        <w:t>)</w:t>
      </w:r>
    </w:p>
    <w:p w14:paraId="5695B4C6" w14:textId="77777777" w:rsidR="00B54C08" w:rsidRPr="0016423A" w:rsidRDefault="00B54C08" w:rsidP="00076360">
      <w:pPr>
        <w:pStyle w:val="lg-chaphead"/>
        <w:shd w:val="clear" w:color="auto" w:fill="FFFFFF"/>
        <w:spacing w:before="0" w:beforeAutospacing="0" w:after="0" w:afterAutospacing="0"/>
        <w:contextualSpacing/>
        <w:jc w:val="center"/>
        <w:rPr>
          <w:i/>
          <w:color w:val="000000"/>
          <w:sz w:val="22"/>
          <w:szCs w:val="22"/>
        </w:rPr>
      </w:pPr>
      <w:r w:rsidRPr="0016423A">
        <w:rPr>
          <w:i/>
          <w:color w:val="000000"/>
          <w:sz w:val="22"/>
          <w:szCs w:val="22"/>
        </w:rPr>
        <w:t>DEPARTMENT OF TRADE AND INDUSTRY</w:t>
      </w:r>
    </w:p>
    <w:p w14:paraId="4844E50C" w14:textId="0F7D1287" w:rsidR="00B54C08" w:rsidRPr="0016423A" w:rsidRDefault="00B54C08" w:rsidP="00076360">
      <w:pPr>
        <w:pStyle w:val="normal-text"/>
        <w:shd w:val="clear" w:color="auto" w:fill="FFFFFF"/>
        <w:spacing w:before="0" w:beforeAutospacing="0" w:after="0" w:afterAutospacing="0"/>
        <w:ind w:left="720"/>
        <w:contextualSpacing/>
        <w:jc w:val="both"/>
        <w:rPr>
          <w:i/>
          <w:color w:val="000000"/>
          <w:sz w:val="22"/>
          <w:szCs w:val="22"/>
        </w:rPr>
      </w:pPr>
      <w:r w:rsidRPr="0016423A">
        <w:rPr>
          <w:b/>
          <w:bCs/>
          <w:i/>
          <w:color w:val="000000"/>
          <w:sz w:val="22"/>
          <w:szCs w:val="22"/>
        </w:rPr>
        <w:t>Note that PRACTICE Notice 6 of 2008 is hereby withdrawn on 1 May 2017 and replace</w:t>
      </w:r>
      <w:r w:rsidR="00076360" w:rsidRPr="0016423A">
        <w:rPr>
          <w:b/>
          <w:bCs/>
          <w:i/>
          <w:color w:val="000000"/>
          <w:sz w:val="22"/>
          <w:szCs w:val="22"/>
        </w:rPr>
        <w:t>(d)</w:t>
      </w:r>
      <w:r w:rsidRPr="0016423A">
        <w:rPr>
          <w:b/>
          <w:bCs/>
          <w:i/>
          <w:color w:val="000000"/>
          <w:sz w:val="22"/>
          <w:szCs w:val="22"/>
        </w:rPr>
        <w:t xml:space="preserve"> with Practice Note 08 of 2017.</w:t>
      </w:r>
      <w:r w:rsidR="00076360" w:rsidRPr="0016423A">
        <w:rPr>
          <w:rStyle w:val="FootnoteReference"/>
          <w:b/>
          <w:bCs/>
          <w:color w:val="000000"/>
          <w:sz w:val="22"/>
          <w:szCs w:val="22"/>
        </w:rPr>
        <w:footnoteReference w:id="8"/>
      </w:r>
    </w:p>
    <w:p w14:paraId="1613E463" w14:textId="77777777" w:rsidR="00B54C08" w:rsidRPr="0016423A" w:rsidRDefault="00B54C08" w:rsidP="00076360">
      <w:pPr>
        <w:pStyle w:val="normal-text"/>
        <w:shd w:val="clear" w:color="auto" w:fill="FFFFFF"/>
        <w:spacing w:before="0" w:beforeAutospacing="0" w:after="0" w:afterAutospacing="0"/>
        <w:ind w:left="720"/>
        <w:contextualSpacing/>
        <w:jc w:val="both"/>
        <w:rPr>
          <w:i/>
          <w:color w:val="000000"/>
          <w:sz w:val="22"/>
          <w:szCs w:val="22"/>
        </w:rPr>
      </w:pPr>
      <w:r w:rsidRPr="0016423A">
        <w:rPr>
          <w:i/>
          <w:color w:val="000000"/>
          <w:sz w:val="22"/>
          <w:szCs w:val="22"/>
        </w:rPr>
        <w:t>This practice note is issued in terms of Regulation 4 (2) (</w:t>
      </w:r>
      <w:r w:rsidRPr="0016423A">
        <w:rPr>
          <w:i/>
          <w:iCs/>
          <w:color w:val="000000"/>
          <w:sz w:val="22"/>
          <w:szCs w:val="22"/>
        </w:rPr>
        <w:t>b</w:t>
      </w:r>
      <w:r w:rsidRPr="0016423A">
        <w:rPr>
          <w:i/>
          <w:color w:val="000000"/>
          <w:sz w:val="22"/>
          <w:szCs w:val="22"/>
        </w:rPr>
        <w:t>) of the Companies Regulations, 2011, and is applicable to the re-instatement of companies and close corporations in terms of Companies Regulation 40 (6) and (7).</w:t>
      </w:r>
    </w:p>
    <w:p w14:paraId="142D7A71" w14:textId="77777777" w:rsidR="00B54C08" w:rsidRPr="0016423A" w:rsidRDefault="00B54C08" w:rsidP="00076360">
      <w:pPr>
        <w:pStyle w:val="normal-text"/>
        <w:shd w:val="clear" w:color="auto" w:fill="FFFFFF"/>
        <w:spacing w:before="0" w:beforeAutospacing="0" w:after="0" w:afterAutospacing="0"/>
        <w:ind w:left="720"/>
        <w:contextualSpacing/>
        <w:jc w:val="both"/>
        <w:rPr>
          <w:i/>
          <w:color w:val="000000"/>
          <w:sz w:val="22"/>
          <w:szCs w:val="22"/>
        </w:rPr>
      </w:pPr>
      <w:r w:rsidRPr="0016423A">
        <w:rPr>
          <w:i/>
          <w:color w:val="000000"/>
          <w:sz w:val="22"/>
          <w:szCs w:val="22"/>
        </w:rPr>
        <w:t>In order to re-instate a company or close corporation from 1 May 2017, the re-instatement application on a form CoR40.5 must comply with the following requirements regardless of the cause or date of deregistration—</w:t>
      </w:r>
    </w:p>
    <w:p w14:paraId="2FBEF7AD" w14:textId="77777777" w:rsidR="00B54C08" w:rsidRPr="0016423A" w:rsidRDefault="00B54C08" w:rsidP="00076360">
      <w:pPr>
        <w:pStyle w:val="normal-text"/>
        <w:shd w:val="clear" w:color="auto" w:fill="FFFFFF"/>
        <w:spacing w:before="0" w:beforeAutospacing="0" w:after="0" w:afterAutospacing="0"/>
        <w:ind w:left="2081" w:hanging="681"/>
        <w:contextualSpacing/>
        <w:jc w:val="both"/>
        <w:rPr>
          <w:i/>
          <w:color w:val="000000"/>
          <w:sz w:val="22"/>
          <w:szCs w:val="22"/>
        </w:rPr>
      </w:pPr>
      <w:r w:rsidRPr="0016423A">
        <w:rPr>
          <w:i/>
          <w:color w:val="000000"/>
          <w:sz w:val="22"/>
          <w:szCs w:val="22"/>
        </w:rPr>
        <w:t>(1) Certified identity copy of the applicant;</w:t>
      </w:r>
    </w:p>
    <w:p w14:paraId="4C306B48" w14:textId="77777777" w:rsidR="00B54C08" w:rsidRPr="0016423A" w:rsidRDefault="00B54C08" w:rsidP="00076360">
      <w:pPr>
        <w:pStyle w:val="normal-text"/>
        <w:shd w:val="clear" w:color="auto" w:fill="FFFFFF"/>
        <w:spacing w:before="0" w:beforeAutospacing="0" w:after="0" w:afterAutospacing="0"/>
        <w:ind w:left="2081" w:hanging="681"/>
        <w:contextualSpacing/>
        <w:jc w:val="both"/>
        <w:rPr>
          <w:i/>
          <w:color w:val="000000"/>
          <w:sz w:val="22"/>
          <w:szCs w:val="22"/>
        </w:rPr>
      </w:pPr>
      <w:r w:rsidRPr="0016423A">
        <w:rPr>
          <w:i/>
          <w:color w:val="000000"/>
          <w:sz w:val="22"/>
          <w:szCs w:val="22"/>
        </w:rPr>
        <w:t>(2) Certified identity copy of the owner of the customer code;</w:t>
      </w:r>
    </w:p>
    <w:p w14:paraId="78909546" w14:textId="77777777" w:rsidR="00B54C08" w:rsidRPr="0016423A" w:rsidRDefault="00B54C08" w:rsidP="00076360">
      <w:pPr>
        <w:pStyle w:val="normal-text"/>
        <w:shd w:val="clear" w:color="auto" w:fill="FFFFFF"/>
        <w:spacing w:before="0" w:beforeAutospacing="0" w:after="0" w:afterAutospacing="0"/>
        <w:ind w:left="2081" w:hanging="681"/>
        <w:contextualSpacing/>
        <w:jc w:val="both"/>
        <w:rPr>
          <w:i/>
          <w:color w:val="000000"/>
          <w:sz w:val="22"/>
          <w:szCs w:val="22"/>
        </w:rPr>
      </w:pPr>
      <w:r w:rsidRPr="0016423A">
        <w:rPr>
          <w:i/>
          <w:color w:val="000000"/>
          <w:sz w:val="22"/>
          <w:szCs w:val="22"/>
        </w:rPr>
        <w:t>(3) Multiple Deed search (deed search of each of the 10 regional deeds offices);</w:t>
      </w:r>
    </w:p>
    <w:p w14:paraId="5DBBA2C0" w14:textId="77777777" w:rsidR="00B54C08" w:rsidRPr="0016423A" w:rsidRDefault="00B54C08" w:rsidP="00076360">
      <w:pPr>
        <w:pStyle w:val="normal-text"/>
        <w:shd w:val="clear" w:color="auto" w:fill="FFFFFF"/>
        <w:spacing w:before="0" w:beforeAutospacing="0" w:after="0" w:afterAutospacing="0"/>
        <w:ind w:left="1418" w:hanging="18"/>
        <w:contextualSpacing/>
        <w:jc w:val="both"/>
        <w:rPr>
          <w:i/>
          <w:color w:val="000000"/>
          <w:sz w:val="22"/>
          <w:szCs w:val="22"/>
        </w:rPr>
      </w:pPr>
      <w:r w:rsidRPr="0016423A">
        <w:rPr>
          <w:i/>
          <w:color w:val="000000"/>
          <w:sz w:val="22"/>
          <w:szCs w:val="22"/>
        </w:rPr>
        <w:t>(4) Letter from the Department of Public Works, ONLY if the multiple deed search reflects immovable property;</w:t>
      </w:r>
    </w:p>
    <w:p w14:paraId="025F9790" w14:textId="77777777" w:rsidR="00B54C08" w:rsidRPr="0016423A" w:rsidRDefault="00B54C08" w:rsidP="00076360">
      <w:pPr>
        <w:pStyle w:val="normal-text"/>
        <w:shd w:val="clear" w:color="auto" w:fill="FFFFFF"/>
        <w:spacing w:before="0" w:beforeAutospacing="0" w:after="0" w:afterAutospacing="0"/>
        <w:ind w:left="1418" w:hanging="18"/>
        <w:contextualSpacing/>
        <w:jc w:val="both"/>
        <w:rPr>
          <w:i/>
          <w:color w:val="000000"/>
          <w:sz w:val="22"/>
          <w:szCs w:val="22"/>
        </w:rPr>
      </w:pPr>
      <w:r w:rsidRPr="0016423A">
        <w:rPr>
          <w:i/>
          <w:color w:val="000000"/>
          <w:sz w:val="22"/>
          <w:szCs w:val="22"/>
        </w:rPr>
        <w:t>(5) Sufficient </w:t>
      </w:r>
      <w:r w:rsidRPr="0016423A">
        <w:rPr>
          <w:b/>
          <w:bCs/>
          <w:i/>
          <w:color w:val="000000"/>
          <w:sz w:val="22"/>
          <w:szCs w:val="22"/>
        </w:rPr>
        <w:t>documentary </w:t>
      </w:r>
      <w:r w:rsidRPr="0016423A">
        <w:rPr>
          <w:i/>
          <w:color w:val="000000"/>
          <w:sz w:val="22"/>
          <w:szCs w:val="22"/>
        </w:rPr>
        <w:t>proof indicating that the company or close corporation was in business or that it had any outstanding assets or liabilities (e.g property, intellectual property rights), </w:t>
      </w:r>
      <w:r w:rsidRPr="0016423A">
        <w:rPr>
          <w:b/>
          <w:bCs/>
          <w:i/>
          <w:color w:val="000000"/>
          <w:sz w:val="22"/>
          <w:szCs w:val="22"/>
        </w:rPr>
        <w:t>at the time of deregistration</w:t>
      </w:r>
      <w:r w:rsidRPr="0016423A">
        <w:rPr>
          <w:i/>
          <w:color w:val="000000"/>
          <w:sz w:val="22"/>
          <w:szCs w:val="22"/>
        </w:rPr>
        <w:t>;</w:t>
      </w:r>
    </w:p>
    <w:p w14:paraId="284633CC" w14:textId="77777777" w:rsidR="00B54C08" w:rsidRPr="0016423A" w:rsidRDefault="00B54C08" w:rsidP="00076360">
      <w:pPr>
        <w:pStyle w:val="normal-text"/>
        <w:shd w:val="clear" w:color="auto" w:fill="FFFFFF"/>
        <w:spacing w:before="0" w:beforeAutospacing="0" w:after="0" w:afterAutospacing="0"/>
        <w:ind w:left="1418" w:hanging="18"/>
        <w:contextualSpacing/>
        <w:jc w:val="both"/>
        <w:rPr>
          <w:i/>
          <w:color w:val="000000"/>
          <w:sz w:val="22"/>
          <w:szCs w:val="22"/>
        </w:rPr>
      </w:pPr>
      <w:r w:rsidRPr="0016423A">
        <w:rPr>
          <w:i/>
          <w:color w:val="000000"/>
          <w:sz w:val="22"/>
          <w:szCs w:val="22"/>
        </w:rPr>
        <w:t>(6) Mandate from the applicant confirming that the customer may submit on his/her behalf.</w:t>
      </w:r>
    </w:p>
    <w:p w14:paraId="283DF3B4" w14:textId="77777777" w:rsidR="00B54C08" w:rsidRPr="0016423A" w:rsidRDefault="00B54C08" w:rsidP="006B2BC9">
      <w:pPr>
        <w:pStyle w:val="normal-text"/>
        <w:shd w:val="clear" w:color="auto" w:fill="FFFFFF"/>
        <w:spacing w:before="0" w:beforeAutospacing="0" w:after="0" w:afterAutospacing="0"/>
        <w:ind w:left="720"/>
        <w:contextualSpacing/>
        <w:jc w:val="both"/>
        <w:rPr>
          <w:i/>
          <w:color w:val="000000"/>
          <w:sz w:val="22"/>
          <w:szCs w:val="22"/>
        </w:rPr>
      </w:pPr>
      <w:r w:rsidRPr="0016423A">
        <w:rPr>
          <w:i/>
          <w:color w:val="000000"/>
          <w:sz w:val="22"/>
          <w:szCs w:val="22"/>
        </w:rPr>
        <w:lastRenderedPageBreak/>
        <w:t>CIPC will only consider re-instating a company or close corporation if it can provide proof that it was conducting business at the time of deregistration, or has any other economic value.</w:t>
      </w:r>
    </w:p>
    <w:p w14:paraId="6BBAFBA8" w14:textId="14B17D0F" w:rsidR="00B54C08" w:rsidRPr="00076360" w:rsidRDefault="00B54C08" w:rsidP="006B2BC9">
      <w:pPr>
        <w:pStyle w:val="normal-text"/>
        <w:shd w:val="clear" w:color="auto" w:fill="FFFFFF"/>
        <w:spacing w:before="0" w:beforeAutospacing="0" w:after="0" w:afterAutospacing="0"/>
        <w:ind w:left="720"/>
        <w:contextualSpacing/>
        <w:jc w:val="both"/>
        <w:rPr>
          <w:color w:val="000000"/>
          <w:sz w:val="22"/>
          <w:szCs w:val="22"/>
        </w:rPr>
      </w:pPr>
      <w:r w:rsidRPr="0016423A">
        <w:rPr>
          <w:i/>
          <w:color w:val="000000"/>
          <w:sz w:val="22"/>
          <w:szCs w:val="22"/>
        </w:rPr>
        <w:t>Upon the successful processing of the re-instatement application, all outstanding annual returns must be filed in order to complete the process. If the close corporation or company fails to file all outstanding annual returns within 30 business days from date of the re-instatement, the company or close corporation will be finally deregistered again without any further notification</w:t>
      </w:r>
      <w:r w:rsidRPr="00076360">
        <w:rPr>
          <w:color w:val="000000"/>
          <w:sz w:val="22"/>
          <w:szCs w:val="22"/>
        </w:rPr>
        <w:t>.</w:t>
      </w:r>
      <w:r w:rsidR="00E446D0">
        <w:rPr>
          <w:color w:val="000000"/>
          <w:sz w:val="22"/>
          <w:szCs w:val="22"/>
        </w:rPr>
        <w:t>”</w:t>
      </w:r>
    </w:p>
    <w:p w14:paraId="0736BA35" w14:textId="77777777" w:rsidR="00B54C08" w:rsidRDefault="00B54C08" w:rsidP="00402C29">
      <w:pPr>
        <w:pStyle w:val="ListParagraph"/>
        <w:spacing w:line="360" w:lineRule="auto"/>
        <w:ind w:left="0"/>
        <w:jc w:val="both"/>
        <w:rPr>
          <w:rFonts w:ascii="Times New Roman" w:hAnsi="Times New Roman" w:cs="Times New Roman"/>
          <w:color w:val="000000"/>
          <w:sz w:val="28"/>
          <w:szCs w:val="28"/>
        </w:rPr>
      </w:pPr>
    </w:p>
    <w:p w14:paraId="7ED261E2" w14:textId="6ED82E5A" w:rsidR="00827D3D"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color w:val="000000"/>
          <w:sz w:val="28"/>
          <w:szCs w:val="28"/>
        </w:rPr>
        <w:tab/>
      </w:r>
      <w:r w:rsidR="00AE6BF1" w:rsidRPr="00B13985">
        <w:rPr>
          <w:rFonts w:ascii="Times New Roman" w:hAnsi="Times New Roman" w:cs="Times New Roman"/>
          <w:color w:val="000000"/>
          <w:sz w:val="28"/>
          <w:szCs w:val="28"/>
        </w:rPr>
        <w:t>The applicant has confirmed that the close corp</w:t>
      </w:r>
      <w:r w:rsidR="00B54C08" w:rsidRPr="00B13985">
        <w:rPr>
          <w:rFonts w:ascii="Times New Roman" w:hAnsi="Times New Roman" w:cs="Times New Roman"/>
          <w:color w:val="000000"/>
          <w:sz w:val="28"/>
          <w:szCs w:val="28"/>
        </w:rPr>
        <w:t>oration</w:t>
      </w:r>
      <w:r w:rsidR="00AE6BF1" w:rsidRPr="00B13985">
        <w:rPr>
          <w:rFonts w:ascii="Times New Roman" w:hAnsi="Times New Roman" w:cs="Times New Roman"/>
          <w:color w:val="000000"/>
          <w:sz w:val="28"/>
          <w:szCs w:val="28"/>
        </w:rPr>
        <w:t xml:space="preserve"> owns no immovable property</w:t>
      </w:r>
      <w:r w:rsidR="007D0B9B" w:rsidRPr="00B13985">
        <w:rPr>
          <w:rFonts w:ascii="Times New Roman" w:hAnsi="Times New Roman" w:cs="Times New Roman"/>
          <w:color w:val="000000"/>
          <w:sz w:val="28"/>
          <w:szCs w:val="28"/>
        </w:rPr>
        <w:t xml:space="preserve"> and that it has not traded since 2017</w:t>
      </w:r>
      <w:r w:rsidR="00AE6BF1" w:rsidRPr="00B13985">
        <w:rPr>
          <w:rFonts w:ascii="Times New Roman" w:hAnsi="Times New Roman" w:cs="Times New Roman"/>
          <w:color w:val="000000"/>
          <w:sz w:val="28"/>
          <w:szCs w:val="28"/>
        </w:rPr>
        <w:t xml:space="preserve">.  He cannot ignore that it has liabilities, including a judgment debt owing to Nedbank that was revealed by </w:t>
      </w:r>
      <w:r w:rsidR="00B957AD" w:rsidRPr="00B13985">
        <w:rPr>
          <w:rFonts w:ascii="Times New Roman" w:hAnsi="Times New Roman" w:cs="Times New Roman"/>
          <w:color w:val="000000"/>
          <w:sz w:val="28"/>
          <w:szCs w:val="28"/>
        </w:rPr>
        <w:t xml:space="preserve">a director of </w:t>
      </w:r>
      <w:r w:rsidR="00AE6BF1" w:rsidRPr="00B13985">
        <w:rPr>
          <w:rFonts w:ascii="Times New Roman" w:hAnsi="Times New Roman" w:cs="Times New Roman"/>
          <w:color w:val="000000"/>
          <w:sz w:val="28"/>
          <w:szCs w:val="28"/>
        </w:rPr>
        <w:t xml:space="preserve">the </w:t>
      </w:r>
      <w:r w:rsidR="00B54C08" w:rsidRPr="00B13985">
        <w:rPr>
          <w:rFonts w:ascii="Times New Roman" w:hAnsi="Times New Roman" w:cs="Times New Roman"/>
          <w:color w:val="000000"/>
          <w:sz w:val="28"/>
          <w:szCs w:val="28"/>
        </w:rPr>
        <w:t>third</w:t>
      </w:r>
      <w:r w:rsidR="00AE6BF1" w:rsidRPr="00B13985">
        <w:rPr>
          <w:rFonts w:ascii="Times New Roman" w:hAnsi="Times New Roman" w:cs="Times New Roman"/>
          <w:color w:val="000000"/>
          <w:sz w:val="28"/>
          <w:szCs w:val="28"/>
        </w:rPr>
        <w:t xml:space="preserve"> respondent’s attorneys </w:t>
      </w:r>
      <w:r w:rsidR="007D0B9B" w:rsidRPr="00B13985">
        <w:rPr>
          <w:rFonts w:ascii="Times New Roman" w:hAnsi="Times New Roman" w:cs="Times New Roman"/>
          <w:color w:val="000000"/>
          <w:sz w:val="28"/>
          <w:szCs w:val="28"/>
        </w:rPr>
        <w:t xml:space="preserve">acing on its behalf in the present application </w:t>
      </w:r>
      <w:r w:rsidR="00B957AD" w:rsidRPr="00B13985">
        <w:rPr>
          <w:rFonts w:ascii="Times New Roman" w:hAnsi="Times New Roman" w:cs="Times New Roman"/>
          <w:color w:val="000000"/>
          <w:sz w:val="28"/>
          <w:szCs w:val="28"/>
        </w:rPr>
        <w:t>who</w:t>
      </w:r>
      <w:r w:rsidR="00AE6BF1" w:rsidRPr="00B13985">
        <w:rPr>
          <w:rFonts w:ascii="Times New Roman" w:hAnsi="Times New Roman" w:cs="Times New Roman"/>
          <w:color w:val="000000"/>
          <w:sz w:val="28"/>
          <w:szCs w:val="28"/>
        </w:rPr>
        <w:t xml:space="preserve"> coincidentally happened to know of</w:t>
      </w:r>
      <w:r w:rsidR="00B957AD" w:rsidRPr="00B13985">
        <w:rPr>
          <w:rFonts w:ascii="Times New Roman" w:hAnsi="Times New Roman" w:cs="Times New Roman"/>
          <w:color w:val="000000"/>
          <w:sz w:val="28"/>
          <w:szCs w:val="28"/>
        </w:rPr>
        <w:t xml:space="preserve"> it</w:t>
      </w:r>
      <w:r w:rsidR="00AE6BF1" w:rsidRPr="00B13985">
        <w:rPr>
          <w:rFonts w:ascii="Times New Roman" w:hAnsi="Times New Roman" w:cs="Times New Roman"/>
          <w:color w:val="000000"/>
          <w:sz w:val="28"/>
          <w:szCs w:val="28"/>
        </w:rPr>
        <w:t>.</w:t>
      </w:r>
      <w:r w:rsidR="00B957AD">
        <w:rPr>
          <w:rStyle w:val="FootnoteReference"/>
          <w:rFonts w:ascii="Times New Roman" w:hAnsi="Times New Roman" w:cs="Times New Roman"/>
          <w:color w:val="000000"/>
          <w:sz w:val="28"/>
          <w:szCs w:val="28"/>
        </w:rPr>
        <w:footnoteReference w:id="9"/>
      </w:r>
    </w:p>
    <w:p w14:paraId="3204067F" w14:textId="77777777" w:rsidR="00827D3D" w:rsidRDefault="00827D3D" w:rsidP="00827D3D">
      <w:pPr>
        <w:pStyle w:val="ListParagraph"/>
        <w:spacing w:line="360" w:lineRule="auto"/>
        <w:ind w:left="0"/>
        <w:jc w:val="both"/>
        <w:rPr>
          <w:rFonts w:ascii="Times New Roman" w:hAnsi="Times New Roman" w:cs="Times New Roman"/>
          <w:color w:val="000000"/>
          <w:sz w:val="28"/>
          <w:szCs w:val="28"/>
        </w:rPr>
      </w:pPr>
    </w:p>
    <w:p w14:paraId="3B2D097E" w14:textId="2A75252D" w:rsidR="00827D3D"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Pr>
          <w:rFonts w:ascii="Times New Roman" w:hAnsi="Times New Roman" w:cs="Times New Roman"/>
          <w:color w:val="000000"/>
          <w:sz w:val="28"/>
          <w:szCs w:val="28"/>
        </w:rPr>
        <w:tab/>
      </w:r>
      <w:r w:rsidR="00AE6BF1" w:rsidRPr="00B13985">
        <w:rPr>
          <w:rFonts w:ascii="Times New Roman" w:hAnsi="Times New Roman" w:cs="Times New Roman"/>
          <w:color w:val="000000"/>
          <w:sz w:val="28"/>
          <w:szCs w:val="28"/>
        </w:rPr>
        <w:t xml:space="preserve">  The ap</w:t>
      </w:r>
      <w:r w:rsidR="00AB32D1" w:rsidRPr="00B13985">
        <w:rPr>
          <w:rFonts w:ascii="Times New Roman" w:hAnsi="Times New Roman" w:cs="Times New Roman"/>
          <w:color w:val="000000"/>
          <w:sz w:val="28"/>
          <w:szCs w:val="28"/>
        </w:rPr>
        <w:t>plicant asserts</w:t>
      </w:r>
      <w:r w:rsidR="00AE6BF1" w:rsidRPr="00B13985">
        <w:rPr>
          <w:rFonts w:ascii="Times New Roman" w:hAnsi="Times New Roman" w:cs="Times New Roman"/>
          <w:color w:val="000000"/>
          <w:sz w:val="28"/>
          <w:szCs w:val="28"/>
        </w:rPr>
        <w:t xml:space="preserve"> that the </w:t>
      </w:r>
      <w:r w:rsidR="00B54C08" w:rsidRPr="00B13985">
        <w:rPr>
          <w:rFonts w:ascii="Times New Roman" w:hAnsi="Times New Roman" w:cs="Times New Roman"/>
          <w:color w:val="000000"/>
          <w:sz w:val="28"/>
          <w:szCs w:val="28"/>
        </w:rPr>
        <w:t>close corporation</w:t>
      </w:r>
      <w:r w:rsidR="00AE6BF1" w:rsidRPr="00B13985">
        <w:rPr>
          <w:rFonts w:ascii="Times New Roman" w:hAnsi="Times New Roman" w:cs="Times New Roman"/>
          <w:color w:val="000000"/>
          <w:sz w:val="28"/>
          <w:szCs w:val="28"/>
        </w:rPr>
        <w:t xml:space="preserve"> has no assets other than the contingent claim being prosecuted by way of the counterclaim in the action</w:t>
      </w:r>
      <w:r w:rsidR="00B957AD" w:rsidRPr="00B13985">
        <w:rPr>
          <w:rFonts w:ascii="Times New Roman" w:hAnsi="Times New Roman" w:cs="Times New Roman"/>
          <w:color w:val="000000"/>
          <w:sz w:val="28"/>
          <w:szCs w:val="28"/>
        </w:rPr>
        <w:t xml:space="preserve"> which </w:t>
      </w:r>
      <w:r w:rsidR="0016423A" w:rsidRPr="00B13985">
        <w:rPr>
          <w:rFonts w:ascii="Times New Roman" w:hAnsi="Times New Roman" w:cs="Times New Roman"/>
          <w:color w:val="000000"/>
          <w:sz w:val="28"/>
          <w:szCs w:val="28"/>
        </w:rPr>
        <w:t xml:space="preserve">might </w:t>
      </w:r>
      <w:r w:rsidR="00B957AD" w:rsidRPr="00B13985">
        <w:rPr>
          <w:rFonts w:ascii="Times New Roman" w:hAnsi="Times New Roman" w:cs="Times New Roman"/>
          <w:color w:val="000000"/>
          <w:sz w:val="28"/>
          <w:szCs w:val="28"/>
        </w:rPr>
        <w:t>provide “</w:t>
      </w:r>
      <w:r w:rsidR="00B957AD" w:rsidRPr="00B13985">
        <w:rPr>
          <w:rFonts w:ascii="Times New Roman" w:hAnsi="Times New Roman" w:cs="Times New Roman"/>
          <w:i/>
          <w:color w:val="000000"/>
          <w:sz w:val="28"/>
          <w:szCs w:val="28"/>
        </w:rPr>
        <w:t>economic value</w:t>
      </w:r>
      <w:r w:rsidR="00B957AD" w:rsidRPr="00B13985">
        <w:rPr>
          <w:rFonts w:ascii="Times New Roman" w:hAnsi="Times New Roman" w:cs="Times New Roman"/>
          <w:color w:val="000000"/>
          <w:sz w:val="28"/>
          <w:szCs w:val="28"/>
        </w:rPr>
        <w:t xml:space="preserve">” for </w:t>
      </w:r>
      <w:r w:rsidR="00827D3D" w:rsidRPr="00B13985">
        <w:rPr>
          <w:rFonts w:ascii="Times New Roman" w:hAnsi="Times New Roman" w:cs="Times New Roman"/>
          <w:color w:val="000000"/>
          <w:sz w:val="28"/>
          <w:szCs w:val="28"/>
        </w:rPr>
        <w:t>its re-</w:t>
      </w:r>
      <w:r w:rsidR="00B957AD" w:rsidRPr="00B13985">
        <w:rPr>
          <w:rFonts w:ascii="Times New Roman" w:hAnsi="Times New Roman" w:cs="Times New Roman"/>
          <w:color w:val="000000"/>
          <w:sz w:val="28"/>
          <w:szCs w:val="28"/>
        </w:rPr>
        <w:t xml:space="preserve">registration so that </w:t>
      </w:r>
      <w:r w:rsidR="001662A9" w:rsidRPr="00B13985">
        <w:rPr>
          <w:rFonts w:ascii="Times New Roman" w:hAnsi="Times New Roman" w:cs="Times New Roman"/>
          <w:color w:val="000000"/>
          <w:sz w:val="28"/>
          <w:szCs w:val="28"/>
        </w:rPr>
        <w:t>the applicant</w:t>
      </w:r>
      <w:r w:rsidR="00B957AD" w:rsidRPr="00B13985">
        <w:rPr>
          <w:rFonts w:ascii="Times New Roman" w:hAnsi="Times New Roman" w:cs="Times New Roman"/>
          <w:color w:val="000000"/>
          <w:sz w:val="28"/>
          <w:szCs w:val="28"/>
        </w:rPr>
        <w:t xml:space="preserve"> can </w:t>
      </w:r>
      <w:r w:rsidR="001662A9" w:rsidRPr="00B13985">
        <w:rPr>
          <w:rFonts w:ascii="Times New Roman" w:hAnsi="Times New Roman" w:cs="Times New Roman"/>
          <w:color w:val="000000"/>
          <w:sz w:val="28"/>
          <w:szCs w:val="28"/>
        </w:rPr>
        <w:t>pursue the claim to finality</w:t>
      </w:r>
      <w:r w:rsidR="00F07425" w:rsidRPr="00B13985">
        <w:rPr>
          <w:rFonts w:ascii="Times New Roman" w:hAnsi="Times New Roman" w:cs="Times New Roman"/>
          <w:color w:val="000000"/>
          <w:sz w:val="28"/>
          <w:szCs w:val="28"/>
        </w:rPr>
        <w:t xml:space="preserve"> on its behalf</w:t>
      </w:r>
      <w:r w:rsidR="001662A9" w:rsidRPr="00B13985">
        <w:rPr>
          <w:rFonts w:ascii="Times New Roman" w:hAnsi="Times New Roman" w:cs="Times New Roman"/>
          <w:color w:val="000000"/>
          <w:sz w:val="28"/>
          <w:szCs w:val="28"/>
        </w:rPr>
        <w:t>.</w:t>
      </w:r>
      <w:r w:rsidR="00AB32D1" w:rsidRPr="00B13985">
        <w:rPr>
          <w:rFonts w:ascii="Times New Roman" w:hAnsi="Times New Roman" w:cs="Times New Roman"/>
          <w:color w:val="000000"/>
          <w:sz w:val="28"/>
          <w:szCs w:val="28"/>
        </w:rPr>
        <w:t xml:space="preserve">  That is however for the </w:t>
      </w:r>
      <w:r w:rsidR="00E13540" w:rsidRPr="00B13985">
        <w:rPr>
          <w:rFonts w:ascii="Times New Roman" w:hAnsi="Times New Roman" w:cs="Times New Roman"/>
          <w:color w:val="000000"/>
          <w:sz w:val="28"/>
          <w:szCs w:val="28"/>
        </w:rPr>
        <w:t>C</w:t>
      </w:r>
      <w:r w:rsidR="00AB32D1" w:rsidRPr="00B13985">
        <w:rPr>
          <w:rFonts w:ascii="Times New Roman" w:hAnsi="Times New Roman" w:cs="Times New Roman"/>
          <w:color w:val="000000"/>
          <w:sz w:val="28"/>
          <w:szCs w:val="28"/>
        </w:rPr>
        <w:t>ommissioner to decide.</w:t>
      </w:r>
    </w:p>
    <w:p w14:paraId="28C3166E" w14:textId="77777777" w:rsidR="00827D3D" w:rsidRDefault="00827D3D" w:rsidP="00827D3D">
      <w:pPr>
        <w:pStyle w:val="ListParagraph"/>
        <w:spacing w:line="360" w:lineRule="auto"/>
        <w:ind w:left="0"/>
        <w:jc w:val="both"/>
        <w:rPr>
          <w:rFonts w:ascii="Times New Roman" w:hAnsi="Times New Roman" w:cs="Times New Roman"/>
          <w:color w:val="000000"/>
          <w:sz w:val="28"/>
          <w:szCs w:val="28"/>
        </w:rPr>
      </w:pPr>
    </w:p>
    <w:p w14:paraId="2BC7EFF0" w14:textId="3A9842FD" w:rsidR="0016423A"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Pr>
          <w:rFonts w:ascii="Times New Roman" w:hAnsi="Times New Roman" w:cs="Times New Roman"/>
          <w:color w:val="000000"/>
          <w:sz w:val="28"/>
          <w:szCs w:val="28"/>
        </w:rPr>
        <w:tab/>
      </w:r>
      <w:r w:rsidR="00F07425" w:rsidRPr="00B13985">
        <w:rPr>
          <w:rFonts w:ascii="Times New Roman" w:hAnsi="Times New Roman" w:cs="Times New Roman"/>
          <w:color w:val="000000"/>
          <w:sz w:val="28"/>
          <w:szCs w:val="28"/>
        </w:rPr>
        <w:t>The</w:t>
      </w:r>
      <w:r w:rsidR="00DD602E" w:rsidRPr="00B13985">
        <w:rPr>
          <w:rFonts w:ascii="Times New Roman" w:hAnsi="Times New Roman" w:cs="Times New Roman"/>
          <w:color w:val="000000"/>
          <w:sz w:val="28"/>
          <w:szCs w:val="28"/>
        </w:rPr>
        <w:t xml:space="preserve"> applicant was </w:t>
      </w:r>
      <w:r w:rsidR="00F07425" w:rsidRPr="00B13985">
        <w:rPr>
          <w:rFonts w:ascii="Times New Roman" w:hAnsi="Times New Roman" w:cs="Times New Roman"/>
          <w:color w:val="000000"/>
          <w:sz w:val="28"/>
          <w:szCs w:val="28"/>
        </w:rPr>
        <w:t xml:space="preserve">evidently </w:t>
      </w:r>
      <w:r w:rsidR="00DD602E" w:rsidRPr="00B13985">
        <w:rPr>
          <w:rFonts w:ascii="Times New Roman" w:hAnsi="Times New Roman" w:cs="Times New Roman"/>
          <w:color w:val="000000"/>
          <w:sz w:val="28"/>
          <w:szCs w:val="28"/>
        </w:rPr>
        <w:t>in pursuit of the close corporation</w:t>
      </w:r>
      <w:r w:rsidR="00FF3985" w:rsidRPr="00B13985">
        <w:rPr>
          <w:rFonts w:ascii="Times New Roman" w:hAnsi="Times New Roman" w:cs="Times New Roman"/>
          <w:color w:val="000000"/>
          <w:sz w:val="28"/>
          <w:szCs w:val="28"/>
        </w:rPr>
        <w:t>’s interests in the action at the time of its deregistration</w:t>
      </w:r>
      <w:r w:rsidR="00F07425" w:rsidRPr="00B13985">
        <w:rPr>
          <w:rFonts w:ascii="Times New Roman" w:hAnsi="Times New Roman" w:cs="Times New Roman"/>
          <w:color w:val="000000"/>
          <w:sz w:val="28"/>
          <w:szCs w:val="28"/>
        </w:rPr>
        <w:t xml:space="preserve"> even if only to dispose of the remaining litigation</w:t>
      </w:r>
      <w:r w:rsidR="0016423A" w:rsidRPr="00B13985">
        <w:rPr>
          <w:rFonts w:ascii="Times New Roman" w:hAnsi="Times New Roman" w:cs="Times New Roman"/>
          <w:color w:val="000000"/>
          <w:sz w:val="28"/>
          <w:szCs w:val="28"/>
        </w:rPr>
        <w:t xml:space="preserve"> and for this reason </w:t>
      </w:r>
      <w:r w:rsidR="00FF3985" w:rsidRPr="00B13985">
        <w:rPr>
          <w:rFonts w:ascii="Times New Roman" w:hAnsi="Times New Roman" w:cs="Times New Roman"/>
          <w:color w:val="000000"/>
          <w:sz w:val="28"/>
          <w:szCs w:val="28"/>
        </w:rPr>
        <w:t xml:space="preserve">it certainly </w:t>
      </w:r>
      <w:r w:rsidR="00B97B1E" w:rsidRPr="00B13985">
        <w:rPr>
          <w:rFonts w:ascii="Times New Roman" w:hAnsi="Times New Roman" w:cs="Times New Roman"/>
          <w:color w:val="000000"/>
          <w:sz w:val="28"/>
          <w:szCs w:val="28"/>
        </w:rPr>
        <w:t xml:space="preserve">appears </w:t>
      </w:r>
      <w:r w:rsidR="00315915" w:rsidRPr="00B13985">
        <w:rPr>
          <w:rFonts w:ascii="Times New Roman" w:hAnsi="Times New Roman" w:cs="Times New Roman"/>
          <w:color w:val="000000"/>
          <w:sz w:val="28"/>
          <w:szCs w:val="28"/>
        </w:rPr>
        <w:t>vital</w:t>
      </w:r>
      <w:r w:rsidR="00FF3985" w:rsidRPr="00B13985">
        <w:rPr>
          <w:rFonts w:ascii="Times New Roman" w:hAnsi="Times New Roman" w:cs="Times New Roman"/>
          <w:color w:val="000000"/>
          <w:sz w:val="28"/>
          <w:szCs w:val="28"/>
        </w:rPr>
        <w:t xml:space="preserve"> that </w:t>
      </w:r>
      <w:r w:rsidR="0016423A" w:rsidRPr="00B13985">
        <w:rPr>
          <w:rFonts w:ascii="Times New Roman" w:hAnsi="Times New Roman" w:cs="Times New Roman"/>
          <w:color w:val="000000"/>
          <w:sz w:val="28"/>
          <w:szCs w:val="28"/>
        </w:rPr>
        <w:t>its</w:t>
      </w:r>
      <w:r w:rsidR="00FF3985" w:rsidRPr="00B13985">
        <w:rPr>
          <w:rFonts w:ascii="Times New Roman" w:hAnsi="Times New Roman" w:cs="Times New Roman"/>
          <w:color w:val="000000"/>
          <w:sz w:val="28"/>
          <w:szCs w:val="28"/>
        </w:rPr>
        <w:t xml:space="preserve"> registration be reinstated</w:t>
      </w:r>
      <w:r w:rsidR="0016423A" w:rsidRPr="00B13985">
        <w:rPr>
          <w:rFonts w:ascii="Times New Roman" w:hAnsi="Times New Roman" w:cs="Times New Roman"/>
          <w:color w:val="000000"/>
          <w:sz w:val="28"/>
          <w:szCs w:val="28"/>
        </w:rPr>
        <w:t xml:space="preserve">. </w:t>
      </w:r>
    </w:p>
    <w:p w14:paraId="4BF7D5F8" w14:textId="77777777" w:rsidR="0016423A" w:rsidRPr="0016423A" w:rsidRDefault="0016423A" w:rsidP="0016423A">
      <w:pPr>
        <w:pStyle w:val="ListParagraph"/>
        <w:rPr>
          <w:rFonts w:ascii="Times New Roman" w:hAnsi="Times New Roman" w:cs="Times New Roman"/>
          <w:color w:val="000000"/>
          <w:sz w:val="28"/>
          <w:szCs w:val="28"/>
        </w:rPr>
      </w:pPr>
    </w:p>
    <w:p w14:paraId="7BF20D0D" w14:textId="020B7EF6" w:rsidR="00315915" w:rsidRPr="00B13985" w:rsidRDefault="00B13985" w:rsidP="00B13985">
      <w:pPr>
        <w:spacing w:line="360" w:lineRule="auto"/>
        <w:jc w:val="both"/>
        <w:rPr>
          <w:rFonts w:ascii="Times New Roman" w:hAnsi="Times New Roman" w:cs="Times New Roman"/>
          <w:color w:val="000000"/>
          <w:sz w:val="28"/>
          <w:szCs w:val="28"/>
        </w:rPr>
      </w:pPr>
      <w:r w:rsidRPr="00A627F1">
        <w:rPr>
          <w:rFonts w:ascii="Times New Roman" w:hAnsi="Times New Roman" w:cs="Times New Roman"/>
          <w:color w:val="000000"/>
          <w:sz w:val="28"/>
          <w:szCs w:val="28"/>
        </w:rPr>
        <w:t>[24]</w:t>
      </w:r>
      <w:r w:rsidRPr="00A627F1">
        <w:rPr>
          <w:rFonts w:ascii="Times New Roman" w:hAnsi="Times New Roman" w:cs="Times New Roman"/>
          <w:color w:val="000000"/>
          <w:sz w:val="28"/>
          <w:szCs w:val="28"/>
        </w:rPr>
        <w:tab/>
      </w:r>
      <w:r w:rsidR="00FF3985" w:rsidRPr="00B13985">
        <w:rPr>
          <w:rFonts w:ascii="Times New Roman" w:hAnsi="Times New Roman" w:cs="Times New Roman"/>
          <w:color w:val="000000"/>
          <w:sz w:val="28"/>
          <w:szCs w:val="28"/>
        </w:rPr>
        <w:t>The only question though is whether an order in final terms should issue on the papers before me</w:t>
      </w:r>
      <w:r w:rsidR="00E13540" w:rsidRPr="00B13985">
        <w:rPr>
          <w:rFonts w:ascii="Times New Roman" w:hAnsi="Times New Roman" w:cs="Times New Roman"/>
          <w:color w:val="000000"/>
          <w:sz w:val="28"/>
          <w:szCs w:val="28"/>
        </w:rPr>
        <w:t xml:space="preserve"> as currently framed</w:t>
      </w:r>
      <w:r w:rsidR="00315915" w:rsidRPr="00B13985">
        <w:rPr>
          <w:rFonts w:ascii="Times New Roman" w:hAnsi="Times New Roman" w:cs="Times New Roman"/>
          <w:color w:val="000000"/>
          <w:sz w:val="28"/>
          <w:szCs w:val="28"/>
        </w:rPr>
        <w:t xml:space="preserve"> </w:t>
      </w:r>
      <w:r w:rsidR="00794ED5" w:rsidRPr="00B13985">
        <w:rPr>
          <w:rFonts w:ascii="Times New Roman" w:hAnsi="Times New Roman" w:cs="Times New Roman"/>
          <w:color w:val="000000"/>
          <w:sz w:val="28"/>
          <w:szCs w:val="28"/>
        </w:rPr>
        <w:t>and whether the CIPC’s requirements for reinstatement can be averted given the unique reason for the close corporation’s de-registration in the first place.</w:t>
      </w:r>
      <w:r w:rsidR="0016423A" w:rsidRPr="00B13985">
        <w:rPr>
          <w:rFonts w:ascii="Times New Roman" w:hAnsi="Times New Roman" w:cs="Times New Roman"/>
          <w:color w:val="000000"/>
          <w:sz w:val="28"/>
          <w:szCs w:val="28"/>
        </w:rPr>
        <w:t xml:space="preserve">   In both </w:t>
      </w:r>
      <w:r w:rsidR="0016423A" w:rsidRPr="00B13985">
        <w:rPr>
          <w:rFonts w:ascii="Times New Roman" w:eastAsia="Times New Roman" w:hAnsi="Times New Roman" w:cs="Times New Roman"/>
          <w:bCs/>
          <w:i/>
          <w:color w:val="000000"/>
          <w:sz w:val="28"/>
          <w:szCs w:val="28"/>
          <w:lang w:eastAsia="en-ZA"/>
        </w:rPr>
        <w:t xml:space="preserve">ABSA Bank Limited v Companies and </w:t>
      </w:r>
      <w:r w:rsidR="0016423A" w:rsidRPr="00B13985">
        <w:rPr>
          <w:rFonts w:ascii="Times New Roman" w:eastAsia="Times New Roman" w:hAnsi="Times New Roman" w:cs="Times New Roman"/>
          <w:bCs/>
          <w:i/>
          <w:color w:val="000000"/>
          <w:sz w:val="28"/>
          <w:szCs w:val="28"/>
          <w:lang w:eastAsia="en-ZA"/>
        </w:rPr>
        <w:lastRenderedPageBreak/>
        <w:t>Intellectual Property Commission of South Africa and others; ABSA Bank Limited v Voigro Investments 19 CC</w:t>
      </w:r>
      <w:r w:rsidR="0016423A">
        <w:rPr>
          <w:rStyle w:val="FootnoteReference"/>
          <w:rFonts w:ascii="Times New Roman" w:eastAsia="Times New Roman" w:hAnsi="Times New Roman" w:cs="Times New Roman"/>
          <w:bCs/>
          <w:color w:val="000000"/>
          <w:sz w:val="28"/>
          <w:szCs w:val="28"/>
          <w:lang w:eastAsia="en-ZA"/>
        </w:rPr>
        <w:footnoteReference w:id="10"/>
      </w:r>
      <w:r w:rsidR="00A627F1" w:rsidRPr="00B13985">
        <w:rPr>
          <w:rFonts w:ascii="Times New Roman" w:hAnsi="Times New Roman" w:cs="Times New Roman"/>
          <w:color w:val="000000"/>
          <w:sz w:val="28"/>
          <w:szCs w:val="28"/>
        </w:rPr>
        <w:t xml:space="preserve"> and </w:t>
      </w:r>
      <w:r w:rsidR="00A627F1" w:rsidRPr="00B13985">
        <w:rPr>
          <w:rFonts w:ascii="Times New Roman" w:eastAsia="Times New Roman" w:hAnsi="Times New Roman" w:cs="Times New Roman"/>
          <w:bCs/>
          <w:i/>
          <w:color w:val="000000"/>
          <w:sz w:val="28"/>
          <w:szCs w:val="28"/>
          <w:lang w:eastAsia="en-ZA"/>
        </w:rPr>
        <w:t>Nulandis (Pty) Limited v National Minister of Finance and another</w:t>
      </w:r>
      <w:r w:rsidR="00A627F1">
        <w:rPr>
          <w:rStyle w:val="FootnoteReference"/>
          <w:rFonts w:ascii="Times New Roman" w:eastAsia="Times New Roman" w:hAnsi="Times New Roman" w:cs="Times New Roman"/>
          <w:bCs/>
          <w:color w:val="000000"/>
          <w:sz w:val="28"/>
          <w:szCs w:val="28"/>
          <w:lang w:eastAsia="en-ZA"/>
        </w:rPr>
        <w:footnoteReference w:id="11"/>
      </w:r>
      <w:r w:rsidR="00A627F1" w:rsidRPr="00B13985">
        <w:rPr>
          <w:rFonts w:ascii="Times New Roman" w:eastAsia="Times New Roman" w:hAnsi="Times New Roman" w:cs="Times New Roman"/>
          <w:bCs/>
          <w:i/>
          <w:color w:val="000000"/>
          <w:sz w:val="28"/>
          <w:szCs w:val="28"/>
          <w:lang w:eastAsia="en-ZA"/>
        </w:rPr>
        <w:t xml:space="preserve"> </w:t>
      </w:r>
      <w:r w:rsidR="00A627F1" w:rsidRPr="00B13985">
        <w:rPr>
          <w:rFonts w:ascii="Times New Roman" w:eastAsia="Times New Roman" w:hAnsi="Times New Roman" w:cs="Times New Roman"/>
          <w:bCs/>
          <w:color w:val="000000"/>
          <w:sz w:val="28"/>
          <w:szCs w:val="28"/>
          <w:lang w:eastAsia="en-ZA"/>
        </w:rPr>
        <w:t>the respective courts held that where an entity has been deregistered for failing to file its annual returns, the registration thereof</w:t>
      </w:r>
      <w:r w:rsidR="00AB32D1" w:rsidRPr="00B13985">
        <w:rPr>
          <w:rFonts w:ascii="Times New Roman" w:eastAsia="Times New Roman" w:hAnsi="Times New Roman" w:cs="Times New Roman"/>
          <w:bCs/>
          <w:color w:val="000000"/>
          <w:sz w:val="28"/>
          <w:szCs w:val="28"/>
          <w:lang w:eastAsia="en-ZA"/>
        </w:rPr>
        <w:t xml:space="preserve"> can be reinstated only by the C</w:t>
      </w:r>
      <w:r w:rsidR="00A627F1" w:rsidRPr="00B13985">
        <w:rPr>
          <w:rFonts w:ascii="Times New Roman" w:eastAsia="Times New Roman" w:hAnsi="Times New Roman" w:cs="Times New Roman"/>
          <w:bCs/>
          <w:color w:val="000000"/>
          <w:sz w:val="28"/>
          <w:szCs w:val="28"/>
          <w:lang w:eastAsia="en-ZA"/>
        </w:rPr>
        <w:t xml:space="preserve">ommissioner and only administratively in terms of section 82 (4) of the Companies Act.  In </w:t>
      </w:r>
      <w:r w:rsidR="00A627F1" w:rsidRPr="00B13985">
        <w:rPr>
          <w:rFonts w:ascii="Times New Roman" w:eastAsia="Times New Roman" w:hAnsi="Times New Roman" w:cs="Times New Roman"/>
          <w:bCs/>
          <w:i/>
          <w:color w:val="000000"/>
          <w:sz w:val="28"/>
          <w:szCs w:val="28"/>
          <w:lang w:eastAsia="en-ZA"/>
        </w:rPr>
        <w:t>Nulandis</w:t>
      </w:r>
      <w:r w:rsidR="00A627F1" w:rsidRPr="00B13985">
        <w:rPr>
          <w:rFonts w:ascii="Times New Roman" w:eastAsia="Times New Roman" w:hAnsi="Times New Roman" w:cs="Times New Roman"/>
          <w:bCs/>
          <w:color w:val="000000"/>
          <w:sz w:val="28"/>
          <w:szCs w:val="28"/>
          <w:lang w:eastAsia="en-ZA"/>
        </w:rPr>
        <w:t xml:space="preserve"> the court found that section 84 (3) does not provide for restorati</w:t>
      </w:r>
      <w:r w:rsidR="00E13540" w:rsidRPr="00B13985">
        <w:rPr>
          <w:rFonts w:ascii="Times New Roman" w:eastAsia="Times New Roman" w:hAnsi="Times New Roman" w:cs="Times New Roman"/>
          <w:bCs/>
          <w:color w:val="000000"/>
          <w:sz w:val="28"/>
          <w:szCs w:val="28"/>
          <w:lang w:eastAsia="en-ZA"/>
        </w:rPr>
        <w:t>on of a company on the companies’</w:t>
      </w:r>
      <w:r w:rsidR="00A627F1" w:rsidRPr="00B13985">
        <w:rPr>
          <w:rFonts w:ascii="Times New Roman" w:eastAsia="Times New Roman" w:hAnsi="Times New Roman" w:cs="Times New Roman"/>
          <w:bCs/>
          <w:color w:val="000000"/>
          <w:sz w:val="28"/>
          <w:szCs w:val="28"/>
          <w:lang w:eastAsia="en-ZA"/>
        </w:rPr>
        <w:t xml:space="preserve"> register.  It held further that it cannot order the reinstatement of registration wher</w:t>
      </w:r>
      <w:r w:rsidR="00AB32D1" w:rsidRPr="00B13985">
        <w:rPr>
          <w:rFonts w:ascii="Times New Roman" w:eastAsia="Times New Roman" w:hAnsi="Times New Roman" w:cs="Times New Roman"/>
          <w:bCs/>
          <w:color w:val="000000"/>
          <w:sz w:val="28"/>
          <w:szCs w:val="28"/>
          <w:lang w:eastAsia="en-ZA"/>
        </w:rPr>
        <w:t>e the C</w:t>
      </w:r>
      <w:r w:rsidR="00A627F1" w:rsidRPr="00B13985">
        <w:rPr>
          <w:rFonts w:ascii="Times New Roman" w:eastAsia="Times New Roman" w:hAnsi="Times New Roman" w:cs="Times New Roman"/>
          <w:bCs/>
          <w:color w:val="000000"/>
          <w:sz w:val="28"/>
          <w:szCs w:val="28"/>
          <w:lang w:eastAsia="en-ZA"/>
        </w:rPr>
        <w:t>ommission’s requirements have not been met.  Section 83 (4) provides a remedy to avoid dissolution at the instance of creditors who hope to avoid dissolution and recover their debts.</w:t>
      </w:r>
    </w:p>
    <w:p w14:paraId="6A412816" w14:textId="77777777" w:rsidR="00A627F1" w:rsidRPr="00A627F1" w:rsidRDefault="00A627F1" w:rsidP="00A627F1">
      <w:pPr>
        <w:pStyle w:val="ListParagraph"/>
        <w:spacing w:line="360" w:lineRule="auto"/>
        <w:ind w:left="0"/>
        <w:jc w:val="both"/>
        <w:rPr>
          <w:rFonts w:ascii="Times New Roman" w:hAnsi="Times New Roman" w:cs="Times New Roman"/>
          <w:color w:val="000000"/>
          <w:sz w:val="28"/>
          <w:szCs w:val="28"/>
        </w:rPr>
      </w:pPr>
    </w:p>
    <w:p w14:paraId="326C6D0B" w14:textId="7E7A82B8" w:rsidR="00A627F1" w:rsidRPr="00B13985" w:rsidRDefault="00B13985" w:rsidP="00B13985">
      <w:pPr>
        <w:spacing w:line="360" w:lineRule="auto"/>
        <w:jc w:val="both"/>
        <w:rPr>
          <w:rFonts w:ascii="Times New Roman" w:hAnsi="Times New Roman" w:cs="Times New Roman"/>
          <w:color w:val="000000"/>
          <w:sz w:val="28"/>
          <w:szCs w:val="28"/>
        </w:rPr>
      </w:pPr>
      <w:r w:rsidRPr="0016423A">
        <w:rPr>
          <w:rFonts w:ascii="Times New Roman" w:hAnsi="Times New Roman" w:cs="Times New Roman"/>
          <w:color w:val="000000"/>
          <w:sz w:val="28"/>
          <w:szCs w:val="28"/>
        </w:rPr>
        <w:t>[25]</w:t>
      </w:r>
      <w:r w:rsidRPr="0016423A">
        <w:rPr>
          <w:rFonts w:ascii="Times New Roman" w:hAnsi="Times New Roman" w:cs="Times New Roman"/>
          <w:color w:val="000000"/>
          <w:sz w:val="28"/>
          <w:szCs w:val="28"/>
        </w:rPr>
        <w:tab/>
      </w:r>
      <w:r w:rsidR="00A627F1" w:rsidRPr="00B13985">
        <w:rPr>
          <w:rFonts w:ascii="Times New Roman" w:hAnsi="Times New Roman" w:cs="Times New Roman"/>
          <w:color w:val="000000"/>
          <w:sz w:val="28"/>
          <w:szCs w:val="28"/>
        </w:rPr>
        <w:t>In this</w:t>
      </w:r>
      <w:r w:rsidR="00AB32D1" w:rsidRPr="00B13985">
        <w:rPr>
          <w:rFonts w:ascii="Times New Roman" w:hAnsi="Times New Roman" w:cs="Times New Roman"/>
          <w:color w:val="000000"/>
          <w:sz w:val="28"/>
          <w:szCs w:val="28"/>
        </w:rPr>
        <w:t xml:space="preserve"> instance the applicant</w:t>
      </w:r>
      <w:r w:rsidR="00A627F1" w:rsidRPr="00B13985">
        <w:rPr>
          <w:rFonts w:ascii="Times New Roman" w:hAnsi="Times New Roman" w:cs="Times New Roman"/>
          <w:color w:val="000000"/>
          <w:sz w:val="28"/>
          <w:szCs w:val="28"/>
        </w:rPr>
        <w:t xml:space="preserve"> appears to have conflated the two remedies.</w:t>
      </w:r>
    </w:p>
    <w:p w14:paraId="0FEBAF73" w14:textId="77777777" w:rsidR="00315915" w:rsidRPr="00315915" w:rsidRDefault="00315915" w:rsidP="00315915">
      <w:pPr>
        <w:pStyle w:val="ListParagraph"/>
        <w:rPr>
          <w:rFonts w:ascii="Times New Roman" w:hAnsi="Times New Roman" w:cs="Times New Roman"/>
          <w:color w:val="000000"/>
          <w:sz w:val="28"/>
          <w:szCs w:val="28"/>
        </w:rPr>
      </w:pPr>
    </w:p>
    <w:p w14:paraId="22CE4DFD" w14:textId="2CF97E37" w:rsidR="00794ED5"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Pr>
          <w:rFonts w:ascii="Times New Roman" w:hAnsi="Times New Roman" w:cs="Times New Roman"/>
          <w:color w:val="000000"/>
          <w:sz w:val="28"/>
          <w:szCs w:val="28"/>
        </w:rPr>
        <w:tab/>
      </w:r>
      <w:r w:rsidR="00D1592B" w:rsidRPr="00B13985">
        <w:rPr>
          <w:rFonts w:ascii="Times New Roman" w:hAnsi="Times New Roman" w:cs="Times New Roman"/>
          <w:color w:val="000000"/>
          <w:sz w:val="28"/>
          <w:szCs w:val="28"/>
        </w:rPr>
        <w:t xml:space="preserve">  </w:t>
      </w:r>
      <w:r w:rsidR="00A627F1" w:rsidRPr="00B13985">
        <w:rPr>
          <w:rFonts w:ascii="Times New Roman" w:hAnsi="Times New Roman" w:cs="Times New Roman"/>
          <w:color w:val="000000"/>
          <w:sz w:val="28"/>
          <w:szCs w:val="28"/>
        </w:rPr>
        <w:t xml:space="preserve">He </w:t>
      </w:r>
      <w:r w:rsidR="00794ED5" w:rsidRPr="00B13985">
        <w:rPr>
          <w:rFonts w:ascii="Times New Roman" w:hAnsi="Times New Roman" w:cs="Times New Roman"/>
          <w:color w:val="000000"/>
          <w:sz w:val="28"/>
          <w:szCs w:val="28"/>
        </w:rPr>
        <w:t>acknowledge</w:t>
      </w:r>
      <w:r w:rsidR="00A627F1" w:rsidRPr="00B13985">
        <w:rPr>
          <w:rFonts w:ascii="Times New Roman" w:hAnsi="Times New Roman" w:cs="Times New Roman"/>
          <w:color w:val="000000"/>
          <w:sz w:val="28"/>
          <w:szCs w:val="28"/>
        </w:rPr>
        <w:t>d however</w:t>
      </w:r>
      <w:r w:rsidR="00794ED5" w:rsidRPr="00B13985">
        <w:rPr>
          <w:rFonts w:ascii="Times New Roman" w:hAnsi="Times New Roman" w:cs="Times New Roman"/>
          <w:color w:val="000000"/>
          <w:sz w:val="28"/>
          <w:szCs w:val="28"/>
        </w:rPr>
        <w:t xml:space="preserve"> that he will be obliged to</w:t>
      </w:r>
      <w:r w:rsidR="00315915" w:rsidRPr="00B13985">
        <w:rPr>
          <w:rFonts w:ascii="Times New Roman" w:hAnsi="Times New Roman" w:cs="Times New Roman"/>
          <w:color w:val="000000"/>
          <w:sz w:val="28"/>
          <w:szCs w:val="28"/>
        </w:rPr>
        <w:t xml:space="preserve"> </w:t>
      </w:r>
      <w:r w:rsidR="00794ED5" w:rsidRPr="00B13985">
        <w:rPr>
          <w:rFonts w:ascii="Times New Roman" w:hAnsi="Times New Roman" w:cs="Times New Roman"/>
          <w:color w:val="000000"/>
          <w:sz w:val="28"/>
          <w:szCs w:val="28"/>
        </w:rPr>
        <w:t>attend to the</w:t>
      </w:r>
      <w:r w:rsidR="00315915" w:rsidRPr="00B13985">
        <w:rPr>
          <w:rFonts w:ascii="Times New Roman" w:hAnsi="Times New Roman" w:cs="Times New Roman"/>
          <w:color w:val="000000"/>
          <w:sz w:val="28"/>
          <w:szCs w:val="28"/>
        </w:rPr>
        <w:t xml:space="preserve"> outstanding annual returns and pay whatever i</w:t>
      </w:r>
      <w:r w:rsidR="00AB32D1" w:rsidRPr="00B13985">
        <w:rPr>
          <w:rFonts w:ascii="Times New Roman" w:hAnsi="Times New Roman" w:cs="Times New Roman"/>
          <w:color w:val="000000"/>
          <w:sz w:val="28"/>
          <w:szCs w:val="28"/>
        </w:rPr>
        <w:t>s due by way of prescribed fees, suggesting that he is inclined to go along with what the Commissioner will expect t</w:t>
      </w:r>
      <w:r w:rsidR="00E13540" w:rsidRPr="00B13985">
        <w:rPr>
          <w:rFonts w:ascii="Times New Roman" w:hAnsi="Times New Roman" w:cs="Times New Roman"/>
          <w:color w:val="000000"/>
          <w:sz w:val="28"/>
          <w:szCs w:val="28"/>
        </w:rPr>
        <w:t>he close corporation to do if he</w:t>
      </w:r>
      <w:r w:rsidR="00AB32D1" w:rsidRPr="00B13985">
        <w:rPr>
          <w:rFonts w:ascii="Times New Roman" w:hAnsi="Times New Roman" w:cs="Times New Roman"/>
          <w:color w:val="000000"/>
          <w:sz w:val="28"/>
          <w:szCs w:val="28"/>
        </w:rPr>
        <w:t xml:space="preserve"> wishes</w:t>
      </w:r>
      <w:r w:rsidR="00E13540" w:rsidRPr="00B13985">
        <w:rPr>
          <w:rFonts w:ascii="Times New Roman" w:hAnsi="Times New Roman" w:cs="Times New Roman"/>
          <w:color w:val="000000"/>
          <w:sz w:val="28"/>
          <w:szCs w:val="28"/>
        </w:rPr>
        <w:t xml:space="preserve"> it</w:t>
      </w:r>
      <w:r w:rsidR="00AB32D1" w:rsidRPr="00B13985">
        <w:rPr>
          <w:rFonts w:ascii="Times New Roman" w:hAnsi="Times New Roman" w:cs="Times New Roman"/>
          <w:color w:val="000000"/>
          <w:sz w:val="28"/>
          <w:szCs w:val="28"/>
        </w:rPr>
        <w:t xml:space="preserve"> to be reinstated on the CIPC’s register.</w:t>
      </w:r>
    </w:p>
    <w:p w14:paraId="5F92AC90" w14:textId="77777777" w:rsidR="00794ED5" w:rsidRPr="00794ED5" w:rsidRDefault="00794ED5" w:rsidP="00794ED5">
      <w:pPr>
        <w:pStyle w:val="ListParagraph"/>
        <w:rPr>
          <w:rFonts w:ascii="Times New Roman" w:hAnsi="Times New Roman" w:cs="Times New Roman"/>
          <w:color w:val="000000"/>
          <w:sz w:val="28"/>
          <w:szCs w:val="28"/>
        </w:rPr>
      </w:pPr>
    </w:p>
    <w:p w14:paraId="6D1DE4DE" w14:textId="14F4ED91" w:rsidR="00FF3985"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Pr>
          <w:rFonts w:ascii="Times New Roman" w:hAnsi="Times New Roman" w:cs="Times New Roman"/>
          <w:color w:val="000000"/>
          <w:sz w:val="28"/>
          <w:szCs w:val="28"/>
        </w:rPr>
        <w:tab/>
      </w:r>
      <w:r w:rsidR="00A627F1" w:rsidRPr="00B13985">
        <w:rPr>
          <w:rFonts w:ascii="Times New Roman" w:hAnsi="Times New Roman" w:cs="Times New Roman"/>
          <w:color w:val="000000"/>
          <w:sz w:val="28"/>
          <w:szCs w:val="28"/>
        </w:rPr>
        <w:t>It is no</w:t>
      </w:r>
      <w:r w:rsidR="00AB32D1" w:rsidRPr="00B13985">
        <w:rPr>
          <w:rFonts w:ascii="Times New Roman" w:hAnsi="Times New Roman" w:cs="Times New Roman"/>
          <w:color w:val="000000"/>
          <w:sz w:val="28"/>
          <w:szCs w:val="28"/>
        </w:rPr>
        <w:t>t open to this court to give the applicant</w:t>
      </w:r>
      <w:r w:rsidR="00E13540" w:rsidRPr="00B13985">
        <w:rPr>
          <w:rFonts w:ascii="Times New Roman" w:hAnsi="Times New Roman" w:cs="Times New Roman"/>
          <w:color w:val="000000"/>
          <w:sz w:val="28"/>
          <w:szCs w:val="28"/>
        </w:rPr>
        <w:t xml:space="preserve"> a pass from following</w:t>
      </w:r>
      <w:r w:rsidR="00A627F1" w:rsidRPr="00B13985">
        <w:rPr>
          <w:rFonts w:ascii="Times New Roman" w:hAnsi="Times New Roman" w:cs="Times New Roman"/>
          <w:color w:val="000000"/>
          <w:sz w:val="28"/>
          <w:szCs w:val="28"/>
        </w:rPr>
        <w:t xml:space="preserve"> the administrative </w:t>
      </w:r>
      <w:r w:rsidR="00AB32D1" w:rsidRPr="00B13985">
        <w:rPr>
          <w:rFonts w:ascii="Times New Roman" w:hAnsi="Times New Roman" w:cs="Times New Roman"/>
          <w:color w:val="000000"/>
          <w:sz w:val="28"/>
          <w:szCs w:val="28"/>
        </w:rPr>
        <w:t>processes that are applicable</w:t>
      </w:r>
      <w:r w:rsidR="00A627F1" w:rsidRPr="00B13985">
        <w:rPr>
          <w:rFonts w:ascii="Times New Roman" w:hAnsi="Times New Roman" w:cs="Times New Roman"/>
          <w:color w:val="000000"/>
          <w:sz w:val="28"/>
          <w:szCs w:val="28"/>
        </w:rPr>
        <w:t xml:space="preserve">.  </w:t>
      </w:r>
      <w:r w:rsidR="00E13540" w:rsidRPr="00B13985">
        <w:rPr>
          <w:rFonts w:ascii="Times New Roman" w:hAnsi="Times New Roman" w:cs="Times New Roman"/>
          <w:color w:val="000000"/>
          <w:sz w:val="28"/>
          <w:szCs w:val="28"/>
        </w:rPr>
        <w:t xml:space="preserve">Even if I were inclined to issue a declarator that he is on the right track </w:t>
      </w:r>
      <w:r w:rsidR="00A627F1" w:rsidRPr="00B13985">
        <w:rPr>
          <w:rFonts w:ascii="Times New Roman" w:hAnsi="Times New Roman" w:cs="Times New Roman"/>
          <w:color w:val="000000"/>
          <w:sz w:val="28"/>
          <w:szCs w:val="28"/>
        </w:rPr>
        <w:t>however</w:t>
      </w:r>
      <w:r w:rsidR="00E13540" w:rsidRPr="00B13985">
        <w:rPr>
          <w:rFonts w:ascii="Times New Roman" w:hAnsi="Times New Roman" w:cs="Times New Roman"/>
          <w:color w:val="000000"/>
          <w:sz w:val="28"/>
          <w:szCs w:val="28"/>
        </w:rPr>
        <w:t>,</w:t>
      </w:r>
      <w:r w:rsidR="00A627F1" w:rsidRPr="00B13985">
        <w:rPr>
          <w:rFonts w:ascii="Times New Roman" w:hAnsi="Times New Roman" w:cs="Times New Roman"/>
          <w:color w:val="000000"/>
          <w:sz w:val="28"/>
          <w:szCs w:val="28"/>
        </w:rPr>
        <w:t xml:space="preserve"> </w:t>
      </w:r>
      <w:r w:rsidR="009D5CB5" w:rsidRPr="00B13985">
        <w:rPr>
          <w:rFonts w:ascii="Times New Roman" w:hAnsi="Times New Roman" w:cs="Times New Roman"/>
          <w:color w:val="000000"/>
          <w:sz w:val="28"/>
          <w:szCs w:val="28"/>
        </w:rPr>
        <w:t xml:space="preserve">reinstatement will not come in time to promote a continuation of the trial in the short term. </w:t>
      </w:r>
      <w:r w:rsidR="00F07425" w:rsidRPr="00B13985">
        <w:rPr>
          <w:rFonts w:ascii="Times New Roman" w:hAnsi="Times New Roman" w:cs="Times New Roman"/>
          <w:color w:val="000000"/>
          <w:sz w:val="28"/>
          <w:szCs w:val="28"/>
        </w:rPr>
        <w:t xml:space="preserve">As commendable as it is for the parties to make the best use of Gwala AJ’s availability to conclude the trial in the forthcoming week, I do not believe that it is possible for the procedure to be fast </w:t>
      </w:r>
      <w:r w:rsidR="00F07425" w:rsidRPr="00B13985">
        <w:rPr>
          <w:rFonts w:ascii="Times New Roman" w:hAnsi="Times New Roman" w:cs="Times New Roman"/>
          <w:color w:val="000000"/>
          <w:sz w:val="28"/>
          <w:szCs w:val="28"/>
        </w:rPr>
        <w:lastRenderedPageBreak/>
        <w:t xml:space="preserve">tracked to meet that exigency at the expense </w:t>
      </w:r>
      <w:r w:rsidR="00A627F1" w:rsidRPr="00B13985">
        <w:rPr>
          <w:rFonts w:ascii="Times New Roman" w:hAnsi="Times New Roman" w:cs="Times New Roman"/>
          <w:color w:val="000000"/>
          <w:sz w:val="28"/>
          <w:szCs w:val="28"/>
        </w:rPr>
        <w:t xml:space="preserve">of </w:t>
      </w:r>
      <w:r w:rsidR="00805E34" w:rsidRPr="00B13985">
        <w:rPr>
          <w:rFonts w:ascii="Times New Roman" w:hAnsi="Times New Roman" w:cs="Times New Roman"/>
          <w:color w:val="000000"/>
          <w:sz w:val="28"/>
          <w:szCs w:val="28"/>
        </w:rPr>
        <w:t xml:space="preserve">the applicant </w:t>
      </w:r>
      <w:r w:rsidR="00A627F1" w:rsidRPr="00B13985">
        <w:rPr>
          <w:rFonts w:ascii="Times New Roman" w:hAnsi="Times New Roman" w:cs="Times New Roman"/>
          <w:color w:val="000000"/>
          <w:sz w:val="28"/>
          <w:szCs w:val="28"/>
        </w:rPr>
        <w:t>first a</w:t>
      </w:r>
      <w:r w:rsidR="00432821" w:rsidRPr="00B13985">
        <w:rPr>
          <w:rFonts w:ascii="Times New Roman" w:hAnsi="Times New Roman" w:cs="Times New Roman"/>
          <w:color w:val="000000"/>
          <w:sz w:val="28"/>
          <w:szCs w:val="28"/>
        </w:rPr>
        <w:t>ddress</w:t>
      </w:r>
      <w:r w:rsidR="00AB32D1" w:rsidRPr="00B13985">
        <w:rPr>
          <w:rFonts w:ascii="Times New Roman" w:hAnsi="Times New Roman" w:cs="Times New Roman"/>
          <w:color w:val="000000"/>
          <w:sz w:val="28"/>
          <w:szCs w:val="28"/>
        </w:rPr>
        <w:t>ing</w:t>
      </w:r>
      <w:r w:rsidR="00432821" w:rsidRPr="00B13985">
        <w:rPr>
          <w:rFonts w:ascii="Times New Roman" w:hAnsi="Times New Roman" w:cs="Times New Roman"/>
          <w:color w:val="000000"/>
          <w:sz w:val="28"/>
          <w:szCs w:val="28"/>
        </w:rPr>
        <w:t xml:space="preserve"> the CIPC’s</w:t>
      </w:r>
      <w:r w:rsidR="00AB32D1" w:rsidRPr="00B13985">
        <w:rPr>
          <w:rFonts w:ascii="Times New Roman" w:hAnsi="Times New Roman" w:cs="Times New Roman"/>
          <w:color w:val="000000"/>
          <w:sz w:val="28"/>
          <w:szCs w:val="28"/>
        </w:rPr>
        <w:t xml:space="preserve"> administrative </w:t>
      </w:r>
      <w:r w:rsidR="00432821" w:rsidRPr="00B13985">
        <w:rPr>
          <w:rFonts w:ascii="Times New Roman" w:hAnsi="Times New Roman" w:cs="Times New Roman"/>
          <w:color w:val="000000"/>
          <w:sz w:val="28"/>
          <w:szCs w:val="28"/>
        </w:rPr>
        <w:t>requirements for its standards of record keeping.</w:t>
      </w:r>
    </w:p>
    <w:p w14:paraId="29AD4C0C" w14:textId="77777777" w:rsidR="00AB32D1" w:rsidRPr="00AB32D1" w:rsidRDefault="00AB32D1" w:rsidP="00AB32D1">
      <w:pPr>
        <w:pStyle w:val="ListParagraph"/>
        <w:rPr>
          <w:rFonts w:ascii="Times New Roman" w:hAnsi="Times New Roman" w:cs="Times New Roman"/>
          <w:color w:val="000000"/>
          <w:sz w:val="28"/>
          <w:szCs w:val="28"/>
        </w:rPr>
      </w:pPr>
    </w:p>
    <w:p w14:paraId="77E054C5" w14:textId="7E54C02E" w:rsidR="00AB32D1"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Pr>
          <w:rFonts w:ascii="Times New Roman" w:hAnsi="Times New Roman" w:cs="Times New Roman"/>
          <w:color w:val="000000"/>
          <w:sz w:val="28"/>
          <w:szCs w:val="28"/>
        </w:rPr>
        <w:tab/>
      </w:r>
      <w:r w:rsidR="00AB32D1" w:rsidRPr="00B13985">
        <w:rPr>
          <w:rFonts w:ascii="Times New Roman" w:hAnsi="Times New Roman" w:cs="Times New Roman"/>
          <w:color w:val="000000"/>
          <w:sz w:val="28"/>
          <w:szCs w:val="28"/>
        </w:rPr>
        <w:t>In conclusion I am unable to come to the applicant’s a</w:t>
      </w:r>
      <w:r w:rsidR="00E13540" w:rsidRPr="00B13985">
        <w:rPr>
          <w:rFonts w:ascii="Times New Roman" w:hAnsi="Times New Roman" w:cs="Times New Roman"/>
          <w:color w:val="000000"/>
          <w:sz w:val="28"/>
          <w:szCs w:val="28"/>
        </w:rPr>
        <w:t>ssistance on the basis requested.</w:t>
      </w:r>
    </w:p>
    <w:p w14:paraId="2ED633CA" w14:textId="77777777" w:rsidR="009D5CB5" w:rsidRPr="009D5CB5" w:rsidRDefault="009D5CB5" w:rsidP="009D5CB5">
      <w:pPr>
        <w:pStyle w:val="ListParagraph"/>
        <w:rPr>
          <w:rFonts w:ascii="Times New Roman" w:hAnsi="Times New Roman" w:cs="Times New Roman"/>
          <w:color w:val="000000"/>
          <w:sz w:val="28"/>
          <w:szCs w:val="28"/>
        </w:rPr>
      </w:pPr>
    </w:p>
    <w:p w14:paraId="4B085FDD" w14:textId="38933166" w:rsidR="00AB32D1"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Pr>
          <w:rFonts w:ascii="Times New Roman" w:hAnsi="Times New Roman" w:cs="Times New Roman"/>
          <w:color w:val="000000"/>
          <w:sz w:val="28"/>
          <w:szCs w:val="28"/>
        </w:rPr>
        <w:tab/>
      </w:r>
      <w:r w:rsidR="00A627F1" w:rsidRPr="00B13985">
        <w:rPr>
          <w:rFonts w:ascii="Times New Roman" w:hAnsi="Times New Roman" w:cs="Times New Roman"/>
          <w:color w:val="000000"/>
          <w:sz w:val="28"/>
          <w:szCs w:val="28"/>
        </w:rPr>
        <w:t xml:space="preserve">Further, </w:t>
      </w:r>
      <w:r w:rsidR="009D5CB5" w:rsidRPr="00B13985">
        <w:rPr>
          <w:rFonts w:ascii="Times New Roman" w:hAnsi="Times New Roman" w:cs="Times New Roman"/>
          <w:color w:val="000000"/>
          <w:sz w:val="28"/>
          <w:szCs w:val="28"/>
        </w:rPr>
        <w:t xml:space="preserve">I am inclined to uphold the argument advanced on behalf of the third respondent that the launching of the present application on an urgent basis with extremely truncated time </w:t>
      </w:r>
      <w:r w:rsidR="002B3149" w:rsidRPr="00B13985">
        <w:rPr>
          <w:rFonts w:ascii="Times New Roman" w:hAnsi="Times New Roman" w:cs="Times New Roman"/>
          <w:color w:val="000000"/>
          <w:sz w:val="28"/>
          <w:szCs w:val="28"/>
        </w:rPr>
        <w:t>limits was</w:t>
      </w:r>
      <w:r w:rsidR="009D5CB5" w:rsidRPr="00B13985">
        <w:rPr>
          <w:rFonts w:ascii="Times New Roman" w:hAnsi="Times New Roman" w:cs="Times New Roman"/>
          <w:color w:val="000000"/>
          <w:sz w:val="28"/>
          <w:szCs w:val="28"/>
        </w:rPr>
        <w:t xml:space="preserve"> self-serving to the applicant and ill conceived. </w:t>
      </w:r>
      <w:r w:rsidR="00C05E40" w:rsidRPr="00B13985">
        <w:rPr>
          <w:rFonts w:ascii="Times New Roman" w:hAnsi="Times New Roman" w:cs="Times New Roman"/>
          <w:color w:val="000000"/>
          <w:sz w:val="28"/>
          <w:szCs w:val="28"/>
        </w:rPr>
        <w:t>I agree that no case was made out that he would not have been afforded substant</w:t>
      </w:r>
      <w:r w:rsidR="00B5684C" w:rsidRPr="00B13985">
        <w:rPr>
          <w:rFonts w:ascii="Times New Roman" w:hAnsi="Times New Roman" w:cs="Times New Roman"/>
          <w:color w:val="000000"/>
          <w:sz w:val="28"/>
          <w:szCs w:val="28"/>
        </w:rPr>
        <w:t>ial</w:t>
      </w:r>
      <w:r w:rsidR="00C05E40" w:rsidRPr="00B13985">
        <w:rPr>
          <w:rFonts w:ascii="Times New Roman" w:hAnsi="Times New Roman" w:cs="Times New Roman"/>
          <w:color w:val="000000"/>
          <w:sz w:val="28"/>
          <w:szCs w:val="28"/>
        </w:rPr>
        <w:t xml:space="preserve"> re</w:t>
      </w:r>
      <w:r w:rsidR="00B5684C" w:rsidRPr="00B13985">
        <w:rPr>
          <w:rFonts w:ascii="Times New Roman" w:hAnsi="Times New Roman" w:cs="Times New Roman"/>
          <w:color w:val="000000"/>
          <w:sz w:val="28"/>
          <w:szCs w:val="28"/>
        </w:rPr>
        <w:t xml:space="preserve">dress </w:t>
      </w:r>
      <w:r w:rsidR="00C05E40" w:rsidRPr="00B13985">
        <w:rPr>
          <w:rFonts w:ascii="Times New Roman" w:hAnsi="Times New Roman" w:cs="Times New Roman"/>
          <w:color w:val="000000"/>
          <w:sz w:val="28"/>
          <w:szCs w:val="28"/>
        </w:rPr>
        <w:t xml:space="preserve">in due course, a fundamental requirement for urgency. The issues between the parties arising from the late realisation as to the defunct status of the close corporation should have been worked out consensually in the trial court or ruled upon by the presiding judge. As advised to the parties when the matter was argued before me, I felt extremely uncomfortable by hearing argument in an urgent application literally next door to my colleague </w:t>
      </w:r>
      <w:r w:rsidR="00432821" w:rsidRPr="00B13985">
        <w:rPr>
          <w:rFonts w:ascii="Times New Roman" w:hAnsi="Times New Roman" w:cs="Times New Roman"/>
          <w:color w:val="000000"/>
          <w:sz w:val="28"/>
          <w:szCs w:val="28"/>
        </w:rPr>
        <w:t>in respect of</w:t>
      </w:r>
      <w:r w:rsidR="00C05E40" w:rsidRPr="00B13985">
        <w:rPr>
          <w:rFonts w:ascii="Times New Roman" w:hAnsi="Times New Roman" w:cs="Times New Roman"/>
          <w:color w:val="000000"/>
          <w:sz w:val="28"/>
          <w:szCs w:val="28"/>
        </w:rPr>
        <w:t xml:space="preserve"> </w:t>
      </w:r>
      <w:r w:rsidR="00432821" w:rsidRPr="00B13985">
        <w:rPr>
          <w:rFonts w:ascii="Times New Roman" w:hAnsi="Times New Roman" w:cs="Times New Roman"/>
          <w:color w:val="000000"/>
          <w:sz w:val="28"/>
          <w:szCs w:val="28"/>
        </w:rPr>
        <w:t>issues</w:t>
      </w:r>
      <w:r w:rsidR="00C05E40" w:rsidRPr="00B13985">
        <w:rPr>
          <w:rFonts w:ascii="Times New Roman" w:hAnsi="Times New Roman" w:cs="Times New Roman"/>
          <w:color w:val="000000"/>
          <w:sz w:val="28"/>
          <w:szCs w:val="28"/>
        </w:rPr>
        <w:t xml:space="preserve"> that should have been ruled upon by him.   </w:t>
      </w:r>
    </w:p>
    <w:p w14:paraId="008684E5" w14:textId="77777777" w:rsidR="00AB32D1" w:rsidRPr="00AB32D1" w:rsidRDefault="00AB32D1" w:rsidP="00AB32D1">
      <w:pPr>
        <w:pStyle w:val="ListParagraph"/>
        <w:rPr>
          <w:rFonts w:ascii="Times New Roman" w:hAnsi="Times New Roman" w:cs="Times New Roman"/>
          <w:color w:val="000000"/>
          <w:sz w:val="28"/>
          <w:szCs w:val="28"/>
        </w:rPr>
      </w:pPr>
    </w:p>
    <w:p w14:paraId="1498392D" w14:textId="598A81BB" w:rsidR="009D5CB5"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w:t>
      </w:r>
      <w:r>
        <w:rPr>
          <w:rFonts w:ascii="Times New Roman" w:hAnsi="Times New Roman" w:cs="Times New Roman"/>
          <w:color w:val="000000"/>
          <w:sz w:val="28"/>
          <w:szCs w:val="28"/>
        </w:rPr>
        <w:tab/>
      </w:r>
      <w:r w:rsidR="002B3149" w:rsidRPr="00B13985">
        <w:rPr>
          <w:rFonts w:ascii="Times New Roman" w:hAnsi="Times New Roman" w:cs="Times New Roman"/>
          <w:color w:val="000000"/>
          <w:sz w:val="28"/>
          <w:szCs w:val="28"/>
        </w:rPr>
        <w:t xml:space="preserve">I need go no further than that </w:t>
      </w:r>
      <w:r w:rsidR="00A627F1" w:rsidRPr="00B13985">
        <w:rPr>
          <w:rFonts w:ascii="Times New Roman" w:hAnsi="Times New Roman" w:cs="Times New Roman"/>
          <w:color w:val="000000"/>
          <w:sz w:val="28"/>
          <w:szCs w:val="28"/>
        </w:rPr>
        <w:t>in justifying my order to dismiss</w:t>
      </w:r>
      <w:r w:rsidR="00AB32D1" w:rsidRPr="00B13985">
        <w:rPr>
          <w:rFonts w:ascii="Times New Roman" w:hAnsi="Times New Roman" w:cs="Times New Roman"/>
          <w:color w:val="000000"/>
          <w:sz w:val="28"/>
          <w:szCs w:val="28"/>
        </w:rPr>
        <w:t xml:space="preserve"> the application </w:t>
      </w:r>
      <w:r w:rsidR="002B3149" w:rsidRPr="00B13985">
        <w:rPr>
          <w:rFonts w:ascii="Times New Roman" w:hAnsi="Times New Roman" w:cs="Times New Roman"/>
          <w:color w:val="000000"/>
          <w:sz w:val="28"/>
          <w:szCs w:val="28"/>
        </w:rPr>
        <w:t>with a costs order to follow that result.</w:t>
      </w:r>
    </w:p>
    <w:p w14:paraId="367575E9" w14:textId="77777777" w:rsidR="00B54C08" w:rsidRPr="00B54C08" w:rsidRDefault="00B54C08" w:rsidP="00402C29">
      <w:pPr>
        <w:pStyle w:val="ListParagraph"/>
        <w:spacing w:line="360" w:lineRule="auto"/>
        <w:ind w:left="0"/>
        <w:jc w:val="both"/>
        <w:rPr>
          <w:rFonts w:ascii="Times New Roman" w:hAnsi="Times New Roman" w:cs="Times New Roman"/>
          <w:color w:val="000000"/>
          <w:sz w:val="28"/>
          <w:szCs w:val="28"/>
        </w:rPr>
      </w:pPr>
    </w:p>
    <w:p w14:paraId="3F499DF1" w14:textId="2D8F429D" w:rsidR="00B54C08" w:rsidRPr="00B13985" w:rsidRDefault="00B13985" w:rsidP="00B1398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Pr>
          <w:rFonts w:ascii="Times New Roman" w:hAnsi="Times New Roman" w:cs="Times New Roman"/>
          <w:color w:val="000000"/>
          <w:sz w:val="28"/>
          <w:szCs w:val="28"/>
        </w:rPr>
        <w:tab/>
      </w:r>
      <w:r w:rsidR="00AE6BF1" w:rsidRPr="00B13985">
        <w:rPr>
          <w:rFonts w:ascii="Times New Roman" w:hAnsi="Times New Roman" w:cs="Times New Roman"/>
          <w:color w:val="000000"/>
          <w:sz w:val="28"/>
          <w:szCs w:val="28"/>
        </w:rPr>
        <w:t>I</w:t>
      </w:r>
      <w:r w:rsidR="00B5684C" w:rsidRPr="00B13985">
        <w:rPr>
          <w:rFonts w:ascii="Times New Roman" w:hAnsi="Times New Roman" w:cs="Times New Roman"/>
          <w:color w:val="000000"/>
          <w:sz w:val="28"/>
          <w:szCs w:val="28"/>
        </w:rPr>
        <w:t>n conclusion I</w:t>
      </w:r>
      <w:r w:rsidR="00AE6BF1" w:rsidRPr="00B13985">
        <w:rPr>
          <w:rFonts w:ascii="Times New Roman" w:hAnsi="Times New Roman" w:cs="Times New Roman"/>
          <w:color w:val="000000"/>
          <w:sz w:val="28"/>
          <w:szCs w:val="28"/>
        </w:rPr>
        <w:t xml:space="preserve"> issue the following order:</w:t>
      </w:r>
    </w:p>
    <w:p w14:paraId="063CFF32" w14:textId="77777777" w:rsidR="00B54C08" w:rsidRPr="00B54C08" w:rsidRDefault="00B54C08" w:rsidP="00402C29">
      <w:pPr>
        <w:pStyle w:val="ListParagraph"/>
        <w:spacing w:line="360" w:lineRule="auto"/>
        <w:rPr>
          <w:rFonts w:ascii="Times New Roman" w:hAnsi="Times New Roman" w:cs="Times New Roman"/>
          <w:color w:val="000000"/>
          <w:sz w:val="28"/>
          <w:szCs w:val="28"/>
        </w:rPr>
      </w:pPr>
    </w:p>
    <w:p w14:paraId="1FC374F8" w14:textId="4C820492" w:rsidR="00B54C08" w:rsidRPr="00B13985" w:rsidRDefault="00B13985" w:rsidP="00B13985">
      <w:pPr>
        <w:spacing w:line="360" w:lineRule="auto"/>
        <w:ind w:left="1080" w:hanging="360"/>
        <w:jc w:val="both"/>
        <w:rPr>
          <w:rFonts w:ascii="Times New Roman" w:hAnsi="Times New Roman" w:cs="Times New Roman"/>
          <w:color w:val="000000"/>
          <w:sz w:val="28"/>
          <w:szCs w:val="28"/>
        </w:rPr>
      </w:pPr>
      <w:r w:rsidRPr="00B54C08">
        <w:rPr>
          <w:rFonts w:ascii="Times New Roman" w:hAnsi="Times New Roman" w:cs="Times New Roman"/>
          <w:color w:val="000000"/>
          <w:sz w:val="28"/>
          <w:szCs w:val="28"/>
        </w:rPr>
        <w:t>1.</w:t>
      </w:r>
      <w:r w:rsidRPr="00B54C08">
        <w:rPr>
          <w:rFonts w:ascii="Times New Roman" w:hAnsi="Times New Roman" w:cs="Times New Roman"/>
          <w:color w:val="000000"/>
          <w:sz w:val="28"/>
          <w:szCs w:val="28"/>
        </w:rPr>
        <w:tab/>
      </w:r>
      <w:r w:rsidR="00E13540" w:rsidRPr="00B13985">
        <w:rPr>
          <w:rFonts w:ascii="Times New Roman" w:hAnsi="Times New Roman" w:cs="Times New Roman"/>
          <w:color w:val="000000"/>
          <w:sz w:val="28"/>
          <w:szCs w:val="28"/>
        </w:rPr>
        <w:t>The application is dismissed</w:t>
      </w:r>
      <w:r w:rsidR="00AE6BF1" w:rsidRPr="00B13985">
        <w:rPr>
          <w:rFonts w:ascii="Times New Roman" w:hAnsi="Times New Roman" w:cs="Times New Roman"/>
          <w:color w:val="000000"/>
          <w:sz w:val="28"/>
          <w:szCs w:val="28"/>
        </w:rPr>
        <w:t>.</w:t>
      </w:r>
    </w:p>
    <w:p w14:paraId="2325114F" w14:textId="7C2A79AD" w:rsidR="00AE6BF1" w:rsidRDefault="00B13985" w:rsidP="00B13985">
      <w:pPr>
        <w:pStyle w:val="normal-text"/>
        <w:shd w:val="clear" w:color="auto" w:fill="FFFFFF"/>
        <w:spacing w:before="0" w:beforeAutospacing="0" w:after="0" w:afterAutospacing="0" w:line="360" w:lineRule="auto"/>
        <w:ind w:left="1080" w:hanging="360"/>
        <w:contextualSpacing/>
        <w:jc w:val="both"/>
        <w:rPr>
          <w:color w:val="000000"/>
          <w:sz w:val="28"/>
          <w:szCs w:val="28"/>
        </w:rPr>
      </w:pPr>
      <w:r>
        <w:rPr>
          <w:color w:val="000000"/>
          <w:sz w:val="28"/>
          <w:szCs w:val="28"/>
        </w:rPr>
        <w:t>2.</w:t>
      </w:r>
      <w:r>
        <w:rPr>
          <w:color w:val="000000"/>
          <w:sz w:val="28"/>
          <w:szCs w:val="28"/>
        </w:rPr>
        <w:tab/>
      </w:r>
      <w:r w:rsidR="00AD39F4">
        <w:rPr>
          <w:color w:val="000000"/>
          <w:sz w:val="28"/>
          <w:szCs w:val="28"/>
        </w:rPr>
        <w:t>The applicant is liable for the</w:t>
      </w:r>
      <w:r w:rsidR="00AE6BF1" w:rsidRPr="00B54C08">
        <w:rPr>
          <w:color w:val="000000"/>
          <w:sz w:val="28"/>
          <w:szCs w:val="28"/>
        </w:rPr>
        <w:t xml:space="preserve"> costs of the application. </w:t>
      </w:r>
    </w:p>
    <w:p w14:paraId="52970620" w14:textId="77777777" w:rsidR="00B54C08" w:rsidRDefault="00B54C08" w:rsidP="00402C29">
      <w:pPr>
        <w:pStyle w:val="normal-text"/>
        <w:shd w:val="clear" w:color="auto" w:fill="FFFFFF"/>
        <w:spacing w:before="0" w:beforeAutospacing="0" w:after="0" w:afterAutospacing="0" w:line="360" w:lineRule="auto"/>
        <w:contextualSpacing/>
        <w:jc w:val="both"/>
        <w:rPr>
          <w:color w:val="000000"/>
          <w:sz w:val="28"/>
          <w:szCs w:val="28"/>
        </w:rPr>
      </w:pPr>
    </w:p>
    <w:p w14:paraId="475B2916" w14:textId="77777777" w:rsidR="00B54C08" w:rsidRDefault="00B54C08" w:rsidP="00402C29">
      <w:pPr>
        <w:pStyle w:val="normal-text"/>
        <w:shd w:val="clear" w:color="auto" w:fill="FFFFFF"/>
        <w:spacing w:before="0" w:beforeAutospacing="0" w:after="0" w:afterAutospacing="0" w:line="360" w:lineRule="auto"/>
        <w:contextualSpacing/>
        <w:jc w:val="both"/>
        <w:rPr>
          <w:color w:val="000000"/>
          <w:sz w:val="28"/>
          <w:szCs w:val="28"/>
        </w:rPr>
      </w:pPr>
    </w:p>
    <w:p w14:paraId="2C7383F8" w14:textId="2B55BC9C" w:rsidR="00B54C08" w:rsidRDefault="00B54C08" w:rsidP="00402C29">
      <w:pPr>
        <w:spacing w:line="360" w:lineRule="auto"/>
        <w:ind w:left="720"/>
        <w:contextualSpacing/>
        <w:jc w:val="both"/>
        <w:rPr>
          <w:rFonts w:ascii="Times New Roman" w:hAnsi="Times New Roman" w:cs="Times New Roman"/>
          <w:b/>
          <w:sz w:val="28"/>
          <w:szCs w:val="28"/>
        </w:rPr>
      </w:pPr>
    </w:p>
    <w:p w14:paraId="1331743B" w14:textId="17A1A6CC" w:rsidR="00E13540" w:rsidRDefault="00E13540" w:rsidP="00402C29">
      <w:pPr>
        <w:spacing w:line="360" w:lineRule="auto"/>
        <w:ind w:left="720"/>
        <w:contextualSpacing/>
        <w:jc w:val="both"/>
        <w:rPr>
          <w:rFonts w:ascii="Times New Roman" w:hAnsi="Times New Roman" w:cs="Times New Roman"/>
          <w:b/>
          <w:sz w:val="28"/>
          <w:szCs w:val="28"/>
        </w:rPr>
      </w:pPr>
    </w:p>
    <w:p w14:paraId="2F88A711" w14:textId="77777777" w:rsidR="00E13540" w:rsidRPr="00B54C08" w:rsidRDefault="00E13540" w:rsidP="00402C29">
      <w:pPr>
        <w:spacing w:line="360" w:lineRule="auto"/>
        <w:ind w:left="720"/>
        <w:contextualSpacing/>
        <w:jc w:val="both"/>
        <w:rPr>
          <w:rFonts w:ascii="Times New Roman" w:hAnsi="Times New Roman" w:cs="Times New Roman"/>
          <w:b/>
          <w:sz w:val="28"/>
          <w:szCs w:val="28"/>
        </w:rPr>
      </w:pPr>
    </w:p>
    <w:p w14:paraId="669A868D" w14:textId="77777777" w:rsidR="00B54C08" w:rsidRPr="00B54C08" w:rsidRDefault="00B54C08" w:rsidP="00402C29">
      <w:pPr>
        <w:spacing w:line="360" w:lineRule="auto"/>
        <w:contextualSpacing/>
        <w:jc w:val="both"/>
        <w:rPr>
          <w:rFonts w:ascii="Times New Roman" w:hAnsi="Times New Roman" w:cs="Times New Roman"/>
          <w:b/>
          <w:sz w:val="28"/>
          <w:szCs w:val="28"/>
        </w:rPr>
      </w:pPr>
      <w:r w:rsidRPr="00B54C08">
        <w:rPr>
          <w:rFonts w:ascii="Times New Roman" w:hAnsi="Times New Roman" w:cs="Times New Roman"/>
          <w:b/>
          <w:sz w:val="28"/>
          <w:szCs w:val="28"/>
        </w:rPr>
        <w:t>_________________</w:t>
      </w:r>
    </w:p>
    <w:p w14:paraId="5128B7AC" w14:textId="77777777" w:rsidR="00B54C08" w:rsidRPr="00B54C08" w:rsidRDefault="00B54C08" w:rsidP="00402C29">
      <w:pPr>
        <w:spacing w:line="360" w:lineRule="auto"/>
        <w:contextualSpacing/>
        <w:jc w:val="both"/>
        <w:rPr>
          <w:rFonts w:ascii="Times New Roman" w:hAnsi="Times New Roman" w:cs="Times New Roman"/>
          <w:sz w:val="28"/>
          <w:szCs w:val="28"/>
        </w:rPr>
      </w:pPr>
      <w:r w:rsidRPr="00B54C08">
        <w:rPr>
          <w:rFonts w:ascii="Times New Roman" w:hAnsi="Times New Roman" w:cs="Times New Roman"/>
          <w:sz w:val="28"/>
          <w:szCs w:val="28"/>
        </w:rPr>
        <w:t xml:space="preserve">B   HARTLE </w:t>
      </w:r>
    </w:p>
    <w:p w14:paraId="221B2345" w14:textId="77777777" w:rsidR="00B54C08" w:rsidRPr="00B54C08" w:rsidRDefault="00B54C08" w:rsidP="00402C29">
      <w:pPr>
        <w:spacing w:line="360" w:lineRule="auto"/>
        <w:contextualSpacing/>
        <w:jc w:val="both"/>
        <w:rPr>
          <w:rFonts w:ascii="Times New Roman" w:hAnsi="Times New Roman" w:cs="Times New Roman"/>
          <w:sz w:val="28"/>
          <w:szCs w:val="28"/>
        </w:rPr>
      </w:pPr>
      <w:r w:rsidRPr="00B54C08">
        <w:rPr>
          <w:rFonts w:ascii="Times New Roman" w:hAnsi="Times New Roman" w:cs="Times New Roman"/>
          <w:sz w:val="28"/>
          <w:szCs w:val="28"/>
        </w:rPr>
        <w:t>JUDGE OF THE HIGH COURT</w:t>
      </w:r>
    </w:p>
    <w:p w14:paraId="0624C31F" w14:textId="77777777" w:rsidR="00B54C08" w:rsidRPr="00B54C08" w:rsidRDefault="00B54C08" w:rsidP="00402C29">
      <w:pPr>
        <w:spacing w:line="360" w:lineRule="auto"/>
        <w:contextualSpacing/>
        <w:rPr>
          <w:rFonts w:ascii="Times New Roman" w:hAnsi="Times New Roman" w:cs="Times New Roman"/>
          <w:sz w:val="28"/>
          <w:szCs w:val="28"/>
        </w:rPr>
      </w:pPr>
    </w:p>
    <w:p w14:paraId="4B5E2074" w14:textId="77777777" w:rsidR="00B54C08" w:rsidRPr="00B54C08" w:rsidRDefault="00B54C08" w:rsidP="00402C29">
      <w:pPr>
        <w:spacing w:line="360" w:lineRule="auto"/>
        <w:contextualSpacing/>
        <w:rPr>
          <w:rFonts w:ascii="Times New Roman" w:hAnsi="Times New Roman" w:cs="Times New Roman"/>
          <w:sz w:val="28"/>
          <w:szCs w:val="28"/>
        </w:rPr>
      </w:pPr>
    </w:p>
    <w:p w14:paraId="750FD1B6" w14:textId="77777777" w:rsidR="00B54C08" w:rsidRPr="00B54C08" w:rsidRDefault="00B54C08" w:rsidP="00402C29">
      <w:pPr>
        <w:spacing w:line="360" w:lineRule="auto"/>
        <w:contextualSpacing/>
        <w:rPr>
          <w:rFonts w:ascii="Times New Roman" w:hAnsi="Times New Roman" w:cs="Times New Roman"/>
          <w:sz w:val="28"/>
          <w:szCs w:val="28"/>
        </w:rPr>
      </w:pPr>
    </w:p>
    <w:p w14:paraId="7AED2F92" w14:textId="6D036166" w:rsidR="00B54C08" w:rsidRPr="00B54C08" w:rsidRDefault="00B54C08" w:rsidP="00402C29">
      <w:pPr>
        <w:spacing w:line="360" w:lineRule="auto"/>
        <w:contextualSpacing/>
        <w:rPr>
          <w:rFonts w:ascii="Times New Roman" w:hAnsi="Times New Roman" w:cs="Times New Roman"/>
          <w:sz w:val="28"/>
          <w:szCs w:val="28"/>
        </w:rPr>
      </w:pPr>
      <w:r w:rsidRPr="00B54C08">
        <w:rPr>
          <w:rFonts w:ascii="Times New Roman" w:hAnsi="Times New Roman" w:cs="Times New Roman"/>
          <w:sz w:val="28"/>
          <w:szCs w:val="28"/>
        </w:rPr>
        <w:t>DATE OF HEARING</w:t>
      </w:r>
      <w:r w:rsidRPr="00B54C08">
        <w:rPr>
          <w:rFonts w:ascii="Times New Roman" w:hAnsi="Times New Roman" w:cs="Times New Roman"/>
          <w:sz w:val="28"/>
          <w:szCs w:val="28"/>
        </w:rPr>
        <w:tab/>
      </w:r>
      <w:r w:rsidRPr="00B54C08">
        <w:rPr>
          <w:rFonts w:ascii="Times New Roman" w:hAnsi="Times New Roman" w:cs="Times New Roman"/>
          <w:sz w:val="28"/>
          <w:szCs w:val="28"/>
        </w:rPr>
        <w:tab/>
        <w:t>:</w:t>
      </w:r>
      <w:r w:rsidRPr="00B54C08">
        <w:rPr>
          <w:rFonts w:ascii="Times New Roman" w:hAnsi="Times New Roman" w:cs="Times New Roman"/>
          <w:sz w:val="28"/>
          <w:szCs w:val="28"/>
        </w:rPr>
        <w:tab/>
      </w:r>
      <w:r>
        <w:rPr>
          <w:rFonts w:ascii="Times New Roman" w:hAnsi="Times New Roman" w:cs="Times New Roman"/>
          <w:sz w:val="28"/>
          <w:szCs w:val="28"/>
        </w:rPr>
        <w:t>12</w:t>
      </w:r>
      <w:r w:rsidRPr="00B54C08">
        <w:rPr>
          <w:rFonts w:ascii="Times New Roman" w:hAnsi="Times New Roman" w:cs="Times New Roman"/>
          <w:sz w:val="28"/>
          <w:szCs w:val="28"/>
        </w:rPr>
        <w:t xml:space="preserve"> April 2024</w:t>
      </w:r>
    </w:p>
    <w:p w14:paraId="7846E900" w14:textId="2BB604FE" w:rsidR="00B54C08" w:rsidRPr="00B54C08" w:rsidRDefault="00B54C08" w:rsidP="00402C29">
      <w:pPr>
        <w:spacing w:line="360" w:lineRule="auto"/>
        <w:contextualSpacing/>
        <w:rPr>
          <w:rFonts w:ascii="Times New Roman" w:hAnsi="Times New Roman" w:cs="Times New Roman"/>
          <w:sz w:val="28"/>
          <w:szCs w:val="28"/>
        </w:rPr>
      </w:pPr>
      <w:r w:rsidRPr="00B54C08">
        <w:rPr>
          <w:rFonts w:ascii="Times New Roman" w:hAnsi="Times New Roman" w:cs="Times New Roman"/>
          <w:sz w:val="28"/>
          <w:szCs w:val="28"/>
        </w:rPr>
        <w:t xml:space="preserve">DATE OF JUDGMENT </w:t>
      </w:r>
      <w:r w:rsidRPr="00B54C08">
        <w:rPr>
          <w:rFonts w:ascii="Times New Roman" w:hAnsi="Times New Roman" w:cs="Times New Roman"/>
          <w:sz w:val="28"/>
          <w:szCs w:val="28"/>
        </w:rPr>
        <w:tab/>
      </w:r>
      <w:r w:rsidRPr="00B54C08">
        <w:rPr>
          <w:rFonts w:ascii="Times New Roman" w:hAnsi="Times New Roman" w:cs="Times New Roman"/>
          <w:sz w:val="28"/>
          <w:szCs w:val="28"/>
        </w:rPr>
        <w:tab/>
        <w:t xml:space="preserve">: </w:t>
      </w:r>
      <w:r w:rsidRPr="00B54C08">
        <w:rPr>
          <w:rFonts w:ascii="Times New Roman" w:hAnsi="Times New Roman" w:cs="Times New Roman"/>
          <w:sz w:val="28"/>
          <w:szCs w:val="28"/>
        </w:rPr>
        <w:tab/>
      </w:r>
      <w:r>
        <w:rPr>
          <w:rFonts w:ascii="Times New Roman" w:hAnsi="Times New Roman" w:cs="Times New Roman"/>
          <w:sz w:val="28"/>
          <w:szCs w:val="28"/>
        </w:rPr>
        <w:t>15</w:t>
      </w:r>
      <w:r w:rsidRPr="00B54C08">
        <w:rPr>
          <w:rFonts w:ascii="Times New Roman" w:hAnsi="Times New Roman" w:cs="Times New Roman"/>
          <w:sz w:val="28"/>
          <w:szCs w:val="28"/>
        </w:rPr>
        <w:t xml:space="preserve"> April 2024</w:t>
      </w:r>
    </w:p>
    <w:p w14:paraId="536593AB" w14:textId="77777777" w:rsidR="00B54C08" w:rsidRPr="00B54C08" w:rsidRDefault="00B54C08" w:rsidP="00402C29">
      <w:pPr>
        <w:spacing w:line="360" w:lineRule="auto"/>
        <w:contextualSpacing/>
        <w:rPr>
          <w:rFonts w:ascii="Times New Roman" w:hAnsi="Times New Roman" w:cs="Times New Roman"/>
          <w:b/>
          <w:sz w:val="24"/>
          <w:szCs w:val="24"/>
        </w:rPr>
      </w:pPr>
    </w:p>
    <w:p w14:paraId="7ADEEBE5" w14:textId="77777777" w:rsidR="00B54C08" w:rsidRPr="00B54C08" w:rsidRDefault="00B54C08" w:rsidP="00402C29">
      <w:pPr>
        <w:spacing w:line="360" w:lineRule="auto"/>
        <w:contextualSpacing/>
        <w:rPr>
          <w:rFonts w:ascii="Times New Roman" w:hAnsi="Times New Roman" w:cs="Times New Roman"/>
          <w:b/>
          <w:sz w:val="24"/>
          <w:szCs w:val="24"/>
        </w:rPr>
      </w:pPr>
    </w:p>
    <w:p w14:paraId="550CBC28" w14:textId="77777777" w:rsidR="00B54C08" w:rsidRPr="00B54C08" w:rsidRDefault="00B54C08" w:rsidP="00402C29">
      <w:pPr>
        <w:spacing w:line="360" w:lineRule="auto"/>
        <w:contextualSpacing/>
        <w:jc w:val="both"/>
        <w:rPr>
          <w:rFonts w:ascii="Times New Roman" w:hAnsi="Times New Roman" w:cs="Times New Roman"/>
          <w:i/>
          <w:sz w:val="24"/>
          <w:szCs w:val="24"/>
          <w:u w:val="single"/>
        </w:rPr>
      </w:pPr>
      <w:r w:rsidRPr="00B54C08">
        <w:rPr>
          <w:rFonts w:ascii="Times New Roman" w:hAnsi="Times New Roman" w:cs="Times New Roman"/>
          <w:i/>
          <w:sz w:val="24"/>
          <w:szCs w:val="24"/>
          <w:u w:val="single"/>
        </w:rPr>
        <w:t xml:space="preserve">Appearances: </w:t>
      </w:r>
    </w:p>
    <w:p w14:paraId="649B300F" w14:textId="77777777" w:rsidR="00B54C08" w:rsidRPr="00B54C08" w:rsidRDefault="00B54C08" w:rsidP="00402C29">
      <w:pPr>
        <w:tabs>
          <w:tab w:val="left" w:pos="720"/>
          <w:tab w:val="left" w:pos="1440"/>
          <w:tab w:val="left" w:pos="2160"/>
          <w:tab w:val="left" w:pos="3460"/>
        </w:tabs>
        <w:spacing w:line="360" w:lineRule="auto"/>
        <w:contextualSpacing/>
        <w:jc w:val="both"/>
        <w:rPr>
          <w:rFonts w:ascii="Times New Roman" w:hAnsi="Times New Roman" w:cs="Times New Roman"/>
          <w:i/>
          <w:sz w:val="24"/>
          <w:szCs w:val="24"/>
        </w:rPr>
      </w:pPr>
      <w:r w:rsidRPr="00B54C08">
        <w:rPr>
          <w:rFonts w:ascii="Times New Roman" w:hAnsi="Times New Roman" w:cs="Times New Roman"/>
          <w:i/>
          <w:sz w:val="24"/>
          <w:szCs w:val="24"/>
        </w:rPr>
        <w:tab/>
      </w:r>
      <w:r w:rsidRPr="00B54C08">
        <w:rPr>
          <w:rFonts w:ascii="Times New Roman" w:hAnsi="Times New Roman" w:cs="Times New Roman"/>
          <w:i/>
          <w:sz w:val="24"/>
          <w:szCs w:val="24"/>
        </w:rPr>
        <w:tab/>
      </w:r>
      <w:r w:rsidRPr="00B54C08">
        <w:rPr>
          <w:rFonts w:ascii="Times New Roman" w:hAnsi="Times New Roman" w:cs="Times New Roman"/>
          <w:i/>
          <w:sz w:val="24"/>
          <w:szCs w:val="24"/>
        </w:rPr>
        <w:tab/>
      </w:r>
    </w:p>
    <w:p w14:paraId="308F8E03" w14:textId="77777777" w:rsidR="00B54C08" w:rsidRPr="00B54C08" w:rsidRDefault="00B54C08" w:rsidP="00402C29">
      <w:pPr>
        <w:spacing w:line="360" w:lineRule="auto"/>
        <w:contextualSpacing/>
        <w:jc w:val="both"/>
        <w:rPr>
          <w:rFonts w:ascii="Times New Roman" w:hAnsi="Times New Roman" w:cs="Times New Roman"/>
          <w:i/>
          <w:sz w:val="24"/>
          <w:szCs w:val="24"/>
        </w:rPr>
      </w:pPr>
    </w:p>
    <w:p w14:paraId="0E47C569" w14:textId="5D0B7A9C" w:rsidR="00B54C08" w:rsidRPr="00B54C08" w:rsidRDefault="00B54C08" w:rsidP="00402C29">
      <w:pPr>
        <w:spacing w:line="360" w:lineRule="auto"/>
        <w:contextualSpacing/>
        <w:jc w:val="both"/>
        <w:rPr>
          <w:rFonts w:ascii="Times New Roman" w:hAnsi="Times New Roman" w:cs="Times New Roman"/>
          <w:sz w:val="24"/>
          <w:szCs w:val="24"/>
        </w:rPr>
      </w:pPr>
      <w:r w:rsidRPr="00B54C08">
        <w:rPr>
          <w:rFonts w:ascii="Times New Roman" w:hAnsi="Times New Roman" w:cs="Times New Roman"/>
          <w:i/>
          <w:sz w:val="24"/>
          <w:szCs w:val="24"/>
        </w:rPr>
        <w:t xml:space="preserve">For the applicants: Mr. </w:t>
      </w:r>
      <w:r>
        <w:rPr>
          <w:rFonts w:ascii="Times New Roman" w:hAnsi="Times New Roman" w:cs="Times New Roman"/>
          <w:i/>
          <w:sz w:val="24"/>
          <w:szCs w:val="24"/>
        </w:rPr>
        <w:t>S Cole instructed by Vaughn Holmes &amp; Associates, East London (ref. Mr. Armstrong).</w:t>
      </w:r>
    </w:p>
    <w:p w14:paraId="726D0916" w14:textId="7F3987D7" w:rsidR="00B54C08" w:rsidRPr="00B54C08" w:rsidRDefault="00B54C08" w:rsidP="00402C29">
      <w:pPr>
        <w:spacing w:line="360" w:lineRule="auto"/>
        <w:contextualSpacing/>
        <w:jc w:val="both"/>
        <w:rPr>
          <w:rFonts w:ascii="Times New Roman" w:hAnsi="Times New Roman" w:cs="Times New Roman"/>
          <w:sz w:val="24"/>
          <w:szCs w:val="24"/>
        </w:rPr>
      </w:pPr>
      <w:r w:rsidRPr="00B54C08">
        <w:rPr>
          <w:rFonts w:ascii="Times New Roman" w:hAnsi="Times New Roman" w:cs="Times New Roman"/>
          <w:i/>
          <w:sz w:val="24"/>
          <w:szCs w:val="24"/>
        </w:rPr>
        <w:t>For the</w:t>
      </w:r>
      <w:r>
        <w:rPr>
          <w:rFonts w:ascii="Times New Roman" w:hAnsi="Times New Roman" w:cs="Times New Roman"/>
          <w:i/>
          <w:sz w:val="24"/>
          <w:szCs w:val="24"/>
        </w:rPr>
        <w:t xml:space="preserve"> first, second, fourth and f</w:t>
      </w:r>
      <w:r w:rsidRPr="00B54C08">
        <w:rPr>
          <w:rFonts w:ascii="Times New Roman" w:hAnsi="Times New Roman" w:cs="Times New Roman"/>
          <w:i/>
          <w:sz w:val="24"/>
          <w:szCs w:val="24"/>
        </w:rPr>
        <w:t xml:space="preserve">ifth respondents: Mr. </w:t>
      </w:r>
      <w:r>
        <w:rPr>
          <w:rFonts w:ascii="Times New Roman" w:hAnsi="Times New Roman" w:cs="Times New Roman"/>
          <w:i/>
          <w:sz w:val="24"/>
          <w:szCs w:val="24"/>
        </w:rPr>
        <w:t xml:space="preserve">N Schultz </w:t>
      </w:r>
      <w:r w:rsidRPr="00805E34">
        <w:rPr>
          <w:rFonts w:ascii="Times New Roman" w:hAnsi="Times New Roman" w:cs="Times New Roman"/>
          <w:i/>
          <w:sz w:val="24"/>
          <w:szCs w:val="24"/>
        </w:rPr>
        <w:t>instructed by Bate Chubb &amp; Dickson, East London (ref. Ms Kopke)</w:t>
      </w:r>
    </w:p>
    <w:bookmarkEnd w:id="1"/>
    <w:p w14:paraId="0DA7AEF5" w14:textId="77777777" w:rsidR="00B54C08" w:rsidRDefault="00B54C08" w:rsidP="00402C29">
      <w:pPr>
        <w:pStyle w:val="normal-text"/>
        <w:shd w:val="clear" w:color="auto" w:fill="FFFFFF"/>
        <w:spacing w:before="0" w:beforeAutospacing="0" w:after="0" w:afterAutospacing="0" w:line="360" w:lineRule="auto"/>
        <w:contextualSpacing/>
        <w:jc w:val="both"/>
        <w:rPr>
          <w:color w:val="000000"/>
          <w:sz w:val="28"/>
          <w:szCs w:val="28"/>
        </w:rPr>
      </w:pPr>
    </w:p>
    <w:sectPr w:rsidR="00B54C0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CCA9D" w14:textId="77777777" w:rsidR="009875C9" w:rsidRDefault="009875C9" w:rsidP="00AE6BF1">
      <w:r>
        <w:separator/>
      </w:r>
    </w:p>
  </w:endnote>
  <w:endnote w:type="continuationSeparator" w:id="0">
    <w:p w14:paraId="44AB756B" w14:textId="77777777" w:rsidR="009875C9" w:rsidRDefault="009875C9" w:rsidP="00AE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6FED" w14:textId="77777777" w:rsidR="009875C9" w:rsidRDefault="009875C9" w:rsidP="00AE6BF1">
      <w:r>
        <w:separator/>
      </w:r>
    </w:p>
  </w:footnote>
  <w:footnote w:type="continuationSeparator" w:id="0">
    <w:p w14:paraId="78C5C94D" w14:textId="77777777" w:rsidR="009875C9" w:rsidRDefault="009875C9" w:rsidP="00AE6BF1">
      <w:r>
        <w:continuationSeparator/>
      </w:r>
    </w:p>
  </w:footnote>
  <w:footnote w:id="1">
    <w:p w14:paraId="6313A17C" w14:textId="5EB23FCC" w:rsidR="00D04A1E" w:rsidRPr="003D3A4F" w:rsidRDefault="00D04A1E" w:rsidP="003D3A4F">
      <w:pPr>
        <w:pStyle w:val="FootnoteText"/>
        <w:contextualSpacing/>
        <w:jc w:val="both"/>
        <w:rPr>
          <w:rFonts w:ascii="Calibri" w:hAnsi="Calibri" w:cs="Calibri"/>
        </w:rPr>
      </w:pPr>
      <w:r w:rsidRPr="003D3A4F">
        <w:rPr>
          <w:rStyle w:val="FootnoteReference"/>
          <w:rFonts w:ascii="Calibri" w:hAnsi="Calibri" w:cs="Calibri"/>
        </w:rPr>
        <w:footnoteRef/>
      </w:r>
      <w:r w:rsidRPr="003D3A4F">
        <w:rPr>
          <w:rFonts w:ascii="Calibri" w:hAnsi="Calibri" w:cs="Calibri"/>
        </w:rPr>
        <w:t xml:space="preserve"> See CIPC Notice 3 of 2024</w:t>
      </w:r>
      <w:r w:rsidR="00264831" w:rsidRPr="003D3A4F">
        <w:rPr>
          <w:rFonts w:ascii="Calibri" w:hAnsi="Calibri" w:cs="Calibri"/>
        </w:rPr>
        <w:t>, which was foreshadowed by Notice 74 of 2023.</w:t>
      </w:r>
    </w:p>
  </w:footnote>
  <w:footnote w:id="2">
    <w:p w14:paraId="63935C7D" w14:textId="40680A31" w:rsidR="00FA1188" w:rsidRPr="003D3A4F" w:rsidRDefault="00FA1188" w:rsidP="003D3A4F">
      <w:pPr>
        <w:pStyle w:val="FootnoteText"/>
        <w:contextualSpacing/>
        <w:jc w:val="both"/>
        <w:rPr>
          <w:rFonts w:ascii="Calibri" w:hAnsi="Calibri" w:cs="Calibri"/>
        </w:rPr>
      </w:pPr>
      <w:r w:rsidRPr="003D3A4F">
        <w:rPr>
          <w:rStyle w:val="FootnoteReference"/>
          <w:rFonts w:ascii="Calibri" w:hAnsi="Calibri" w:cs="Calibri"/>
        </w:rPr>
        <w:footnoteRef/>
      </w:r>
      <w:r w:rsidRPr="003D3A4F">
        <w:rPr>
          <w:rFonts w:ascii="Calibri" w:hAnsi="Calibri" w:cs="Calibri"/>
        </w:rPr>
        <w:t xml:space="preserve"> It is a trite principle that the effect of the deregistration of a company is that all its property, including any claims it might have against third parties, thereupon vest in the State as </w:t>
      </w:r>
      <w:r w:rsidRPr="003D3A4F">
        <w:rPr>
          <w:rFonts w:ascii="Calibri" w:hAnsi="Calibri" w:cs="Calibri"/>
          <w:i/>
          <w:iCs/>
        </w:rPr>
        <w:t>bona vacantia</w:t>
      </w:r>
      <w:r w:rsidRPr="003D3A4F">
        <w:rPr>
          <w:rFonts w:ascii="Calibri" w:hAnsi="Calibri" w:cs="Calibri"/>
        </w:rPr>
        <w:t xml:space="preserve">. Thus without any need for an act of cession or anything of the like, the State has the right, should it so decide, to prosecute the action against the defendant. See </w:t>
      </w:r>
      <w:r w:rsidRPr="003D3A4F">
        <w:rPr>
          <w:rFonts w:ascii="Calibri" w:hAnsi="Calibri" w:cs="Calibri"/>
          <w:i/>
          <w:iCs/>
        </w:rPr>
        <w:t xml:space="preserve">Rainbow Diamonds EDMS Bpk en Andere v Suid-Afrikaanse Nasionale Lewensassuransiemaatskappy </w:t>
      </w:r>
      <w:r w:rsidRPr="003D3A4F">
        <w:rPr>
          <w:rFonts w:ascii="Calibri" w:hAnsi="Calibri" w:cs="Calibri"/>
        </w:rPr>
        <w:t>1984 (3) SA 1 (A) at 10C-12G.</w:t>
      </w:r>
    </w:p>
  </w:footnote>
  <w:footnote w:id="3">
    <w:p w14:paraId="59AC8DF5" w14:textId="4BFB9C12" w:rsidR="00A92655" w:rsidRPr="003D3A4F" w:rsidRDefault="00A92655" w:rsidP="003D3A4F">
      <w:pPr>
        <w:pStyle w:val="FootnoteText"/>
        <w:contextualSpacing/>
        <w:jc w:val="both"/>
        <w:rPr>
          <w:rFonts w:ascii="Calibri" w:hAnsi="Calibri" w:cs="Calibri"/>
        </w:rPr>
      </w:pPr>
      <w:r w:rsidRPr="003D3A4F">
        <w:rPr>
          <w:rStyle w:val="FootnoteReference"/>
          <w:rFonts w:ascii="Calibri" w:hAnsi="Calibri" w:cs="Calibri"/>
        </w:rPr>
        <w:footnoteRef/>
      </w:r>
      <w:r w:rsidRPr="003D3A4F">
        <w:rPr>
          <w:rFonts w:ascii="Calibri" w:hAnsi="Calibri" w:cs="Calibri"/>
        </w:rPr>
        <w:t xml:space="preserve"> See footnote 1.  The CIPC website reports a systematic failure on the part of entities to have lodged annual returns for </w:t>
      </w:r>
      <w:r w:rsidR="00BB0CB9" w:rsidRPr="003D3A4F">
        <w:rPr>
          <w:rFonts w:ascii="Calibri" w:hAnsi="Calibri" w:cs="Calibri"/>
        </w:rPr>
        <w:t>a</w:t>
      </w:r>
      <w:r w:rsidRPr="003D3A4F">
        <w:rPr>
          <w:rFonts w:ascii="Calibri" w:hAnsi="Calibri" w:cs="Calibri"/>
        </w:rPr>
        <w:t xml:space="preserve"> period in excess of 3 years which, as of 19 January 2024, culminated in a final annual return deregistration process. Evidently the CIPC has as a result </w:t>
      </w:r>
      <w:r w:rsidR="009D44D9" w:rsidRPr="003D3A4F">
        <w:rPr>
          <w:rFonts w:ascii="Calibri" w:hAnsi="Calibri" w:cs="Calibri"/>
        </w:rPr>
        <w:t>since then</w:t>
      </w:r>
      <w:r w:rsidRPr="003D3A4F">
        <w:rPr>
          <w:rFonts w:ascii="Calibri" w:hAnsi="Calibri" w:cs="Calibri"/>
        </w:rPr>
        <w:t xml:space="preserve"> been inundated with requests by affected entities for reinstatement</w:t>
      </w:r>
      <w:r w:rsidR="00264831" w:rsidRPr="003D3A4F">
        <w:rPr>
          <w:rFonts w:ascii="Calibri" w:hAnsi="Calibri" w:cs="Calibri"/>
        </w:rPr>
        <w:t>.</w:t>
      </w:r>
      <w:r w:rsidR="00BE79A2" w:rsidRPr="003D3A4F">
        <w:rPr>
          <w:rFonts w:ascii="Calibri" w:hAnsi="Calibri" w:cs="Calibri"/>
        </w:rPr>
        <w:t xml:space="preserve"> This is reported in Notice 9 of 2024</w:t>
      </w:r>
      <w:r w:rsidR="00BB0CB9" w:rsidRPr="003D3A4F">
        <w:rPr>
          <w:rFonts w:ascii="Calibri" w:hAnsi="Calibri" w:cs="Calibri"/>
        </w:rPr>
        <w:t xml:space="preserve"> on its website</w:t>
      </w:r>
      <w:r w:rsidR="00BE79A2" w:rsidRPr="003D3A4F">
        <w:rPr>
          <w:rFonts w:ascii="Calibri" w:hAnsi="Calibri" w:cs="Calibri"/>
        </w:rPr>
        <w:t>.</w:t>
      </w:r>
    </w:p>
  </w:footnote>
  <w:footnote w:id="4">
    <w:p w14:paraId="28E646CC" w14:textId="7B9A1B15" w:rsidR="009B5EE6" w:rsidRPr="003D3A4F" w:rsidRDefault="009B5EE6" w:rsidP="003D3A4F">
      <w:pPr>
        <w:pStyle w:val="FootnoteText"/>
        <w:contextualSpacing/>
        <w:jc w:val="both"/>
        <w:rPr>
          <w:rFonts w:ascii="Calibri" w:hAnsi="Calibri" w:cs="Calibri"/>
        </w:rPr>
      </w:pPr>
      <w:r w:rsidRPr="003D3A4F">
        <w:rPr>
          <w:rStyle w:val="FootnoteReference"/>
          <w:rFonts w:ascii="Calibri" w:hAnsi="Calibri" w:cs="Calibri"/>
        </w:rPr>
        <w:footnoteRef/>
      </w:r>
      <w:r w:rsidRPr="003D3A4F">
        <w:rPr>
          <w:rFonts w:ascii="Calibri" w:hAnsi="Calibri" w:cs="Calibri"/>
        </w:rPr>
        <w:t xml:space="preserve"> </w:t>
      </w:r>
      <w:r w:rsidRPr="003D3A4F">
        <w:rPr>
          <w:rFonts w:ascii="Calibri" w:hAnsi="Calibri" w:cs="Calibri"/>
          <w:i/>
          <w:iCs/>
        </w:rPr>
        <w:t xml:space="preserve">Ex Parte Sengol Investments (Pty) Ltd </w:t>
      </w:r>
      <w:r w:rsidRPr="003D3A4F">
        <w:rPr>
          <w:rFonts w:ascii="Calibri" w:hAnsi="Calibri" w:cs="Calibri"/>
        </w:rPr>
        <w:t xml:space="preserve">1982 (3) SA 474 (T), which was followed in </w:t>
      </w:r>
      <w:r w:rsidRPr="003D3A4F">
        <w:rPr>
          <w:rFonts w:ascii="Calibri" w:hAnsi="Calibri" w:cs="Calibri"/>
          <w:i/>
          <w:iCs/>
        </w:rPr>
        <w:t xml:space="preserve">Ex Parte Jacobson: In re Alec Jaconson Holdings </w:t>
      </w:r>
      <w:r w:rsidRPr="003D3A4F">
        <w:rPr>
          <w:rFonts w:ascii="Calibri" w:hAnsi="Calibri" w:cs="Calibri"/>
        </w:rPr>
        <w:t>1984 (2) SA 372 (W).</w:t>
      </w:r>
    </w:p>
  </w:footnote>
  <w:footnote w:id="5">
    <w:p w14:paraId="292C2057" w14:textId="5CE71808" w:rsidR="003D3A4F" w:rsidRDefault="003D3A4F" w:rsidP="003D3A4F">
      <w:pPr>
        <w:pStyle w:val="FootnoteText"/>
        <w:contextualSpacing/>
        <w:jc w:val="both"/>
      </w:pPr>
      <w:r>
        <w:rPr>
          <w:rStyle w:val="FootnoteReference"/>
        </w:rPr>
        <w:footnoteRef/>
      </w:r>
      <w:r>
        <w:t xml:space="preserve"> </w:t>
      </w:r>
      <w:r w:rsidRPr="003D3A4F">
        <w:rPr>
          <w:rFonts w:ascii="Calibri" w:hAnsi="Calibri" w:cs="Calibri"/>
        </w:rPr>
        <w:t>In terms of section 26 of the Close Corporations Act, N</w:t>
      </w:r>
      <w:r>
        <w:rPr>
          <w:rFonts w:ascii="Calibri" w:hAnsi="Calibri" w:cs="Calibri"/>
        </w:rPr>
        <w:t>o. 69 of 1984</w:t>
      </w:r>
      <w:r w:rsidRPr="003D3A4F">
        <w:rPr>
          <w:rFonts w:ascii="Calibri" w:hAnsi="Calibri" w:cs="Calibri"/>
        </w:rPr>
        <w:t>, sections 81 (1)(f), 81 (3), 82 (3) and (4)</w:t>
      </w:r>
      <w:r w:rsidR="0016423A">
        <w:rPr>
          <w:rFonts w:ascii="Calibri" w:hAnsi="Calibri" w:cs="Calibri"/>
        </w:rPr>
        <w:t>, and 83</w:t>
      </w:r>
      <w:r w:rsidRPr="003D3A4F">
        <w:rPr>
          <w:rFonts w:ascii="Calibri" w:hAnsi="Calibri" w:cs="Calibri"/>
        </w:rPr>
        <w:t xml:space="preserve"> of the Companies Act, each read with the changes required by the context, apply with respect to the deregistration of a corporation.</w:t>
      </w:r>
    </w:p>
  </w:footnote>
  <w:footnote w:id="6">
    <w:p w14:paraId="402A3B50" w14:textId="77777777" w:rsidR="00867F01" w:rsidRPr="003D3A4F" w:rsidRDefault="00867F01" w:rsidP="003D3A4F">
      <w:pPr>
        <w:pStyle w:val="FootnoteText"/>
        <w:contextualSpacing/>
        <w:jc w:val="both"/>
        <w:rPr>
          <w:rFonts w:ascii="Calibri" w:hAnsi="Calibri" w:cs="Calibri"/>
        </w:rPr>
      </w:pPr>
      <w:r w:rsidRPr="003D3A4F">
        <w:rPr>
          <w:rStyle w:val="FootnoteReference"/>
          <w:rFonts w:ascii="Calibri" w:hAnsi="Calibri" w:cs="Calibri"/>
        </w:rPr>
        <w:footnoteRef/>
      </w:r>
      <w:r w:rsidRPr="003D3A4F">
        <w:rPr>
          <w:rFonts w:ascii="Calibri" w:hAnsi="Calibri" w:cs="Calibri"/>
        </w:rPr>
        <w:t xml:space="preserve"> </w:t>
      </w:r>
      <w:r w:rsidRPr="003D3A4F">
        <w:rPr>
          <w:rFonts w:ascii="Calibri" w:eastAsia="Times New Roman" w:hAnsi="Calibri" w:cs="Calibri"/>
          <w:color w:val="000000"/>
          <w:kern w:val="0"/>
          <w:lang w:val="en-ZA" w:eastAsia="en-ZA"/>
          <w14:ligatures w14:val="none"/>
        </w:rPr>
        <w:t>GNR.351 of 26 April 2011:  Companies Regulations, 2011 (</w:t>
      </w:r>
      <w:r w:rsidRPr="003D3A4F">
        <w:rPr>
          <w:rFonts w:ascii="Calibri" w:eastAsia="Times New Roman" w:hAnsi="Calibri" w:cs="Calibri"/>
          <w:i/>
          <w:iCs/>
          <w:color w:val="000000"/>
          <w:kern w:val="0"/>
          <w:lang w:val="en-ZA" w:eastAsia="en-ZA"/>
          <w14:ligatures w14:val="none"/>
        </w:rPr>
        <w:t>Government Gazette </w:t>
      </w:r>
      <w:r w:rsidRPr="003D3A4F">
        <w:rPr>
          <w:rFonts w:ascii="Calibri" w:eastAsia="Times New Roman" w:hAnsi="Calibri" w:cs="Calibri"/>
          <w:color w:val="000000"/>
          <w:kern w:val="0"/>
          <w:lang w:val="en-ZA" w:eastAsia="en-ZA"/>
          <w14:ligatures w14:val="none"/>
        </w:rPr>
        <w:t>No. 34239), as amended</w:t>
      </w:r>
    </w:p>
  </w:footnote>
  <w:footnote w:id="7">
    <w:p w14:paraId="4D31FFD4" w14:textId="184A94D8" w:rsidR="00123AD4" w:rsidRPr="003D3A4F" w:rsidRDefault="00123AD4" w:rsidP="003D3A4F">
      <w:pPr>
        <w:pStyle w:val="FootnoteText"/>
        <w:contextualSpacing/>
        <w:jc w:val="both"/>
        <w:rPr>
          <w:rFonts w:ascii="Calibri" w:hAnsi="Calibri" w:cs="Calibri"/>
        </w:rPr>
      </w:pPr>
      <w:r w:rsidRPr="003D3A4F">
        <w:rPr>
          <w:rStyle w:val="FootnoteReference"/>
          <w:rFonts w:ascii="Calibri" w:hAnsi="Calibri" w:cs="Calibri"/>
        </w:rPr>
        <w:footnoteRef/>
      </w:r>
      <w:r w:rsidRPr="003D3A4F">
        <w:rPr>
          <w:rFonts w:ascii="Calibri" w:hAnsi="Calibri" w:cs="Calibri"/>
        </w:rPr>
        <w:t xml:space="preserve"> Sub-regulation (4) by obvious import refers.</w:t>
      </w:r>
    </w:p>
  </w:footnote>
  <w:footnote w:id="8">
    <w:p w14:paraId="103A3EE7" w14:textId="4242D9FD" w:rsidR="009D44D9" w:rsidRPr="003D3A4F" w:rsidRDefault="00076360" w:rsidP="003D3A4F">
      <w:pPr>
        <w:shd w:val="clear" w:color="auto" w:fill="FFFFFF"/>
        <w:contextualSpacing/>
        <w:jc w:val="both"/>
        <w:rPr>
          <w:rFonts w:ascii="Calibri" w:eastAsia="Times New Roman" w:hAnsi="Calibri" w:cs="Calibri"/>
          <w:color w:val="000000"/>
          <w:sz w:val="20"/>
          <w:szCs w:val="20"/>
          <w:lang w:eastAsia="en-ZA"/>
        </w:rPr>
      </w:pPr>
      <w:r w:rsidRPr="003D3A4F">
        <w:rPr>
          <w:rStyle w:val="FootnoteReference"/>
          <w:rFonts w:ascii="Calibri" w:hAnsi="Calibri" w:cs="Calibri"/>
          <w:sz w:val="20"/>
          <w:szCs w:val="20"/>
        </w:rPr>
        <w:footnoteRef/>
      </w:r>
      <w:r w:rsidRPr="003D3A4F">
        <w:rPr>
          <w:rFonts w:ascii="Calibri" w:hAnsi="Calibri" w:cs="Calibri"/>
          <w:sz w:val="20"/>
          <w:szCs w:val="20"/>
        </w:rPr>
        <w:t xml:space="preserve"> </w:t>
      </w:r>
      <w:r w:rsidR="009D44D9" w:rsidRPr="003D3A4F">
        <w:rPr>
          <w:rFonts w:ascii="Calibri" w:eastAsia="Times New Roman" w:hAnsi="Calibri" w:cs="Calibri"/>
          <w:color w:val="000000"/>
          <w:sz w:val="20"/>
          <w:szCs w:val="20"/>
          <w:lang w:eastAsia="en-ZA"/>
        </w:rPr>
        <w:t>The earlier Practice Note</w:t>
      </w:r>
      <w:r w:rsidR="007D0B9B" w:rsidRPr="003D3A4F">
        <w:rPr>
          <w:rFonts w:ascii="Calibri" w:eastAsia="Times New Roman" w:hAnsi="Calibri" w:cs="Calibri"/>
          <w:color w:val="000000"/>
          <w:sz w:val="20"/>
          <w:szCs w:val="20"/>
          <w:lang w:eastAsia="en-ZA"/>
        </w:rPr>
        <w:t>,</w:t>
      </w:r>
      <w:r w:rsidR="009D44D9" w:rsidRPr="003D3A4F">
        <w:rPr>
          <w:rFonts w:ascii="Calibri" w:eastAsia="Times New Roman" w:hAnsi="Calibri" w:cs="Calibri"/>
          <w:color w:val="000000"/>
          <w:sz w:val="20"/>
          <w:szCs w:val="20"/>
          <w:lang w:eastAsia="en-ZA"/>
        </w:rPr>
        <w:t xml:space="preserve"> </w:t>
      </w:r>
      <w:r w:rsidR="007D0B9B" w:rsidRPr="003D3A4F">
        <w:rPr>
          <w:rFonts w:ascii="Calibri" w:hAnsi="Calibri" w:cs="Calibri"/>
          <w:sz w:val="20"/>
          <w:szCs w:val="20"/>
        </w:rPr>
        <w:t>which evidently attracted more onerous requirements,</w:t>
      </w:r>
      <w:r w:rsidR="007D0B9B" w:rsidRPr="003D3A4F">
        <w:rPr>
          <w:rFonts w:ascii="Calibri" w:eastAsia="Times New Roman" w:hAnsi="Calibri" w:cs="Calibri"/>
          <w:color w:val="000000"/>
          <w:sz w:val="20"/>
          <w:szCs w:val="20"/>
          <w:lang w:eastAsia="en-ZA"/>
        </w:rPr>
        <w:t xml:space="preserve"> </w:t>
      </w:r>
      <w:r w:rsidR="009D44D9" w:rsidRPr="003D3A4F">
        <w:rPr>
          <w:rFonts w:ascii="Calibri" w:eastAsia="Times New Roman" w:hAnsi="Calibri" w:cs="Calibri"/>
          <w:color w:val="000000"/>
          <w:sz w:val="20"/>
          <w:szCs w:val="20"/>
          <w:lang w:eastAsia="en-ZA"/>
        </w:rPr>
        <w:t>provided as follows:</w:t>
      </w:r>
    </w:p>
    <w:p w14:paraId="258BE9AE" w14:textId="77777777" w:rsidR="009D44D9" w:rsidRPr="0016423A" w:rsidRDefault="009D44D9" w:rsidP="003D3A4F">
      <w:pPr>
        <w:shd w:val="clear" w:color="auto" w:fill="FFFFFF"/>
        <w:contextualSpacing/>
        <w:jc w:val="both"/>
        <w:rPr>
          <w:rFonts w:ascii="Calibri" w:eastAsia="Times New Roman" w:hAnsi="Calibri" w:cs="Calibri"/>
          <w:i/>
          <w:color w:val="000000"/>
          <w:sz w:val="20"/>
          <w:szCs w:val="20"/>
          <w:lang w:eastAsia="en-ZA"/>
        </w:rPr>
      </w:pPr>
      <w:r w:rsidRPr="003D3A4F">
        <w:rPr>
          <w:rFonts w:ascii="Calibri" w:eastAsia="Times New Roman" w:hAnsi="Calibri" w:cs="Calibri"/>
          <w:color w:val="000000"/>
          <w:sz w:val="20"/>
          <w:szCs w:val="20"/>
          <w:lang w:eastAsia="en-ZA"/>
        </w:rPr>
        <w:t>“</w:t>
      </w:r>
      <w:r w:rsidRPr="0016423A">
        <w:rPr>
          <w:rFonts w:ascii="Calibri" w:eastAsia="Times New Roman" w:hAnsi="Calibri" w:cs="Calibri"/>
          <w:i/>
          <w:color w:val="000000"/>
          <w:sz w:val="20"/>
          <w:szCs w:val="20"/>
          <w:lang w:eastAsia="en-ZA"/>
        </w:rPr>
        <w:t>In order to re-instate a company or close corporation from </w:t>
      </w:r>
      <w:r w:rsidRPr="0016423A">
        <w:rPr>
          <w:rFonts w:ascii="Calibri" w:eastAsia="Times New Roman" w:hAnsi="Calibri" w:cs="Calibri"/>
          <w:b/>
          <w:bCs/>
          <w:i/>
          <w:color w:val="000000"/>
          <w:sz w:val="20"/>
          <w:szCs w:val="20"/>
          <w:u w:val="single"/>
          <w:lang w:eastAsia="en-ZA"/>
        </w:rPr>
        <w:t>1 November 2012</w:t>
      </w:r>
      <w:r w:rsidRPr="0016423A">
        <w:rPr>
          <w:rFonts w:ascii="Calibri" w:eastAsia="Times New Roman" w:hAnsi="Calibri" w:cs="Calibri"/>
          <w:i/>
          <w:color w:val="000000"/>
          <w:sz w:val="20"/>
          <w:szCs w:val="20"/>
          <w:lang w:eastAsia="en-ZA"/>
        </w:rPr>
        <w:t>, the re-instatement application on an original signed form CoR40.5 must comply with the following requirements </w:t>
      </w:r>
      <w:r w:rsidRPr="0016423A">
        <w:rPr>
          <w:rFonts w:ascii="Calibri" w:eastAsia="Times New Roman" w:hAnsi="Calibri" w:cs="Calibri"/>
          <w:b/>
          <w:bCs/>
          <w:i/>
          <w:color w:val="000000"/>
          <w:sz w:val="20"/>
          <w:szCs w:val="20"/>
          <w:u w:val="single"/>
          <w:lang w:eastAsia="en-ZA"/>
        </w:rPr>
        <w:t>regardless </w:t>
      </w:r>
      <w:r w:rsidRPr="0016423A">
        <w:rPr>
          <w:rFonts w:ascii="Calibri" w:eastAsia="Times New Roman" w:hAnsi="Calibri" w:cs="Calibri"/>
          <w:i/>
          <w:color w:val="000000"/>
          <w:sz w:val="20"/>
          <w:szCs w:val="20"/>
          <w:lang w:eastAsia="en-ZA"/>
        </w:rPr>
        <w:t>of the cause or date of deregistration—</w:t>
      </w:r>
    </w:p>
    <w:p w14:paraId="03907B50" w14:textId="77777777" w:rsidR="009D44D9" w:rsidRPr="0016423A" w:rsidRDefault="009D44D9" w:rsidP="003D3A4F">
      <w:pPr>
        <w:shd w:val="clear" w:color="auto" w:fill="FFFFFF"/>
        <w:ind w:left="1361" w:hanging="681"/>
        <w:contextualSpacing/>
        <w:jc w:val="both"/>
        <w:rPr>
          <w:rFonts w:ascii="Calibri" w:eastAsia="Times New Roman" w:hAnsi="Calibri" w:cs="Calibri"/>
          <w:i/>
          <w:color w:val="000000"/>
          <w:sz w:val="20"/>
          <w:szCs w:val="20"/>
          <w:lang w:eastAsia="en-ZA"/>
        </w:rPr>
      </w:pPr>
      <w:r w:rsidRPr="0016423A">
        <w:rPr>
          <w:rFonts w:ascii="Calibri" w:eastAsia="Times New Roman" w:hAnsi="Calibri" w:cs="Calibri"/>
          <w:i/>
          <w:color w:val="000000"/>
          <w:sz w:val="20"/>
          <w:szCs w:val="20"/>
          <w:lang w:eastAsia="en-ZA"/>
        </w:rPr>
        <w:t>(1) Certified ID copy of the applicant (director/member);</w:t>
      </w:r>
    </w:p>
    <w:p w14:paraId="58D765A5" w14:textId="77777777" w:rsidR="009D44D9" w:rsidRPr="0016423A" w:rsidRDefault="009D44D9" w:rsidP="003D3A4F">
      <w:pPr>
        <w:shd w:val="clear" w:color="auto" w:fill="FFFFFF"/>
        <w:ind w:left="1361" w:hanging="681"/>
        <w:contextualSpacing/>
        <w:jc w:val="both"/>
        <w:rPr>
          <w:rFonts w:ascii="Calibri" w:eastAsia="Times New Roman" w:hAnsi="Calibri" w:cs="Calibri"/>
          <w:i/>
          <w:color w:val="000000"/>
          <w:sz w:val="20"/>
          <w:szCs w:val="20"/>
          <w:lang w:eastAsia="en-ZA"/>
        </w:rPr>
      </w:pPr>
      <w:r w:rsidRPr="0016423A">
        <w:rPr>
          <w:rFonts w:ascii="Calibri" w:eastAsia="Times New Roman" w:hAnsi="Calibri" w:cs="Calibri"/>
          <w:i/>
          <w:color w:val="000000"/>
          <w:sz w:val="20"/>
          <w:szCs w:val="20"/>
          <w:lang w:eastAsia="en-ZA"/>
        </w:rPr>
        <w:t>(2) Certified ID copy of the customer filing the application;</w:t>
      </w:r>
    </w:p>
    <w:p w14:paraId="5A634843" w14:textId="77777777" w:rsidR="009D44D9" w:rsidRPr="0016423A" w:rsidRDefault="009D44D9" w:rsidP="003D3A4F">
      <w:pPr>
        <w:shd w:val="clear" w:color="auto" w:fill="FFFFFF"/>
        <w:ind w:left="1361" w:hanging="681"/>
        <w:contextualSpacing/>
        <w:jc w:val="both"/>
        <w:rPr>
          <w:rFonts w:ascii="Calibri" w:eastAsia="Times New Roman" w:hAnsi="Calibri" w:cs="Calibri"/>
          <w:i/>
          <w:color w:val="000000"/>
          <w:sz w:val="20"/>
          <w:szCs w:val="20"/>
          <w:lang w:eastAsia="en-ZA"/>
        </w:rPr>
      </w:pPr>
      <w:r w:rsidRPr="0016423A">
        <w:rPr>
          <w:rFonts w:ascii="Calibri" w:eastAsia="Times New Roman" w:hAnsi="Calibri" w:cs="Calibri"/>
          <w:i/>
          <w:color w:val="000000"/>
          <w:sz w:val="20"/>
          <w:szCs w:val="20"/>
          <w:lang w:eastAsia="en-ZA"/>
        </w:rPr>
        <w:t>(3) Deed search (reflecting ownership of immovable property or not);</w:t>
      </w:r>
    </w:p>
    <w:p w14:paraId="2DD82847" w14:textId="274E1E3F" w:rsidR="009D44D9" w:rsidRPr="0016423A" w:rsidRDefault="009D44D9" w:rsidP="003D3A4F">
      <w:pPr>
        <w:shd w:val="clear" w:color="auto" w:fill="FFFFFF"/>
        <w:ind w:left="1361" w:hanging="681"/>
        <w:contextualSpacing/>
        <w:jc w:val="both"/>
        <w:rPr>
          <w:rFonts w:ascii="Calibri" w:eastAsia="Times New Roman" w:hAnsi="Calibri" w:cs="Calibri"/>
          <w:i/>
          <w:color w:val="000000"/>
          <w:sz w:val="20"/>
          <w:szCs w:val="20"/>
          <w:lang w:eastAsia="en-ZA"/>
        </w:rPr>
      </w:pPr>
      <w:r w:rsidRPr="0016423A">
        <w:rPr>
          <w:rFonts w:ascii="Calibri" w:eastAsia="Times New Roman" w:hAnsi="Calibri" w:cs="Calibri"/>
          <w:i/>
          <w:color w:val="000000"/>
          <w:sz w:val="20"/>
          <w:szCs w:val="20"/>
          <w:lang w:eastAsia="en-ZA"/>
        </w:rPr>
        <w:t>(4) Letters from National Treasury and the Department of Public Works, indicating that such departments have no</w:t>
      </w:r>
      <w:r w:rsidR="006B2BC9" w:rsidRPr="0016423A">
        <w:rPr>
          <w:rFonts w:ascii="Calibri" w:eastAsia="Times New Roman" w:hAnsi="Calibri" w:cs="Calibri"/>
          <w:i/>
          <w:color w:val="000000"/>
          <w:sz w:val="20"/>
          <w:szCs w:val="20"/>
          <w:lang w:eastAsia="en-ZA"/>
        </w:rPr>
        <w:t xml:space="preserve"> </w:t>
      </w:r>
      <w:r w:rsidRPr="0016423A">
        <w:rPr>
          <w:rFonts w:ascii="Calibri" w:eastAsia="Times New Roman" w:hAnsi="Calibri" w:cs="Calibri"/>
          <w:i/>
          <w:color w:val="000000"/>
          <w:sz w:val="20"/>
          <w:szCs w:val="20"/>
          <w:lang w:eastAsia="en-ZA"/>
        </w:rPr>
        <w:t>objection to the re-instatement, if it has immovable property;</w:t>
      </w:r>
    </w:p>
    <w:p w14:paraId="588E01E2" w14:textId="77777777" w:rsidR="009D44D9" w:rsidRPr="0016423A" w:rsidRDefault="009D44D9" w:rsidP="003D3A4F">
      <w:pPr>
        <w:shd w:val="clear" w:color="auto" w:fill="FFFFFF"/>
        <w:ind w:left="1361" w:hanging="681"/>
        <w:contextualSpacing/>
        <w:jc w:val="both"/>
        <w:rPr>
          <w:rFonts w:ascii="Calibri" w:eastAsia="Times New Roman" w:hAnsi="Calibri" w:cs="Calibri"/>
          <w:i/>
          <w:color w:val="000000"/>
          <w:sz w:val="20"/>
          <w:szCs w:val="20"/>
          <w:lang w:eastAsia="en-ZA"/>
        </w:rPr>
      </w:pPr>
      <w:r w:rsidRPr="0016423A">
        <w:rPr>
          <w:rFonts w:ascii="Calibri" w:eastAsia="Times New Roman" w:hAnsi="Calibri" w:cs="Calibri"/>
          <w:i/>
          <w:color w:val="000000"/>
          <w:sz w:val="20"/>
          <w:szCs w:val="20"/>
          <w:lang w:eastAsia="en-ZA"/>
        </w:rPr>
        <w:t>(5) Advertisement in a local newspaper giving 21 days’ notice of proposed application for re-instatement;</w:t>
      </w:r>
    </w:p>
    <w:p w14:paraId="5AEB2FFD" w14:textId="77777777" w:rsidR="009D44D9" w:rsidRPr="0016423A" w:rsidRDefault="009D44D9" w:rsidP="003D3A4F">
      <w:pPr>
        <w:shd w:val="clear" w:color="auto" w:fill="FFFFFF"/>
        <w:ind w:left="1361" w:hanging="681"/>
        <w:contextualSpacing/>
        <w:jc w:val="both"/>
        <w:rPr>
          <w:rFonts w:ascii="Calibri" w:eastAsia="Times New Roman" w:hAnsi="Calibri" w:cs="Calibri"/>
          <w:i/>
          <w:color w:val="000000"/>
          <w:sz w:val="20"/>
          <w:szCs w:val="20"/>
          <w:lang w:eastAsia="en-ZA"/>
        </w:rPr>
      </w:pPr>
      <w:r w:rsidRPr="0016423A">
        <w:rPr>
          <w:rFonts w:ascii="Calibri" w:eastAsia="Times New Roman" w:hAnsi="Calibri" w:cs="Calibri"/>
          <w:i/>
          <w:color w:val="000000"/>
          <w:sz w:val="20"/>
          <w:szCs w:val="20"/>
          <w:lang w:eastAsia="en-ZA"/>
        </w:rPr>
        <w:t>(6) Affidavit indicating the reasons for the non-filing of annual returns, if deregistration was due to non-compliance in relation to annual returns;</w:t>
      </w:r>
    </w:p>
    <w:p w14:paraId="0B9CE48A" w14:textId="77777777" w:rsidR="009D44D9" w:rsidRPr="0016423A" w:rsidRDefault="009D44D9" w:rsidP="003D3A4F">
      <w:pPr>
        <w:shd w:val="clear" w:color="auto" w:fill="FFFFFF"/>
        <w:ind w:left="1361" w:hanging="681"/>
        <w:contextualSpacing/>
        <w:jc w:val="both"/>
        <w:rPr>
          <w:rFonts w:ascii="Calibri" w:eastAsia="Times New Roman" w:hAnsi="Calibri" w:cs="Calibri"/>
          <w:i/>
          <w:color w:val="000000"/>
          <w:sz w:val="20"/>
          <w:szCs w:val="20"/>
          <w:lang w:eastAsia="en-ZA"/>
        </w:rPr>
      </w:pPr>
      <w:r w:rsidRPr="0016423A">
        <w:rPr>
          <w:rFonts w:ascii="Calibri" w:eastAsia="Times New Roman" w:hAnsi="Calibri" w:cs="Calibri"/>
          <w:i/>
          <w:color w:val="000000"/>
          <w:sz w:val="20"/>
          <w:szCs w:val="20"/>
          <w:lang w:eastAsia="en-ZA"/>
        </w:rPr>
        <w:t>(7) Affidavit indicating the reason for the original request for deregistration, if the company or close corporation itself applied for deregistration; and</w:t>
      </w:r>
    </w:p>
    <w:p w14:paraId="1CF83DA1" w14:textId="77777777" w:rsidR="009D44D9" w:rsidRPr="0016423A" w:rsidRDefault="009D44D9" w:rsidP="003D3A4F">
      <w:pPr>
        <w:shd w:val="clear" w:color="auto" w:fill="FFFFFF"/>
        <w:ind w:left="1361" w:hanging="681"/>
        <w:contextualSpacing/>
        <w:jc w:val="both"/>
        <w:rPr>
          <w:rFonts w:ascii="Calibri" w:eastAsia="Times New Roman" w:hAnsi="Calibri" w:cs="Calibri"/>
          <w:i/>
          <w:color w:val="000000"/>
          <w:sz w:val="20"/>
          <w:szCs w:val="20"/>
          <w:lang w:eastAsia="en-ZA"/>
        </w:rPr>
      </w:pPr>
      <w:r w:rsidRPr="0016423A">
        <w:rPr>
          <w:rFonts w:ascii="Calibri" w:eastAsia="Times New Roman" w:hAnsi="Calibri" w:cs="Calibri"/>
          <w:i/>
          <w:color w:val="000000"/>
          <w:sz w:val="20"/>
          <w:szCs w:val="20"/>
          <w:lang w:eastAsia="en-ZA"/>
        </w:rPr>
        <w:t>(8) Sufficient </w:t>
      </w:r>
      <w:r w:rsidRPr="0016423A">
        <w:rPr>
          <w:rFonts w:ascii="Calibri" w:eastAsia="Times New Roman" w:hAnsi="Calibri" w:cs="Calibri"/>
          <w:b/>
          <w:bCs/>
          <w:i/>
          <w:color w:val="000000"/>
          <w:sz w:val="20"/>
          <w:szCs w:val="20"/>
          <w:lang w:eastAsia="en-ZA"/>
        </w:rPr>
        <w:t>documentary </w:t>
      </w:r>
      <w:r w:rsidRPr="0016423A">
        <w:rPr>
          <w:rFonts w:ascii="Calibri" w:eastAsia="Times New Roman" w:hAnsi="Calibri" w:cs="Calibri"/>
          <w:i/>
          <w:color w:val="000000"/>
          <w:sz w:val="20"/>
          <w:szCs w:val="20"/>
          <w:lang w:eastAsia="en-ZA"/>
        </w:rPr>
        <w:t>proof indicating that the company or close corporation was in business or that it had any outstanding assets or liabilities (e.g. property, intellectual property rights) </w:t>
      </w:r>
      <w:r w:rsidRPr="0016423A">
        <w:rPr>
          <w:rFonts w:ascii="Calibri" w:eastAsia="Times New Roman" w:hAnsi="Calibri" w:cs="Calibri"/>
          <w:b/>
          <w:bCs/>
          <w:i/>
          <w:color w:val="000000"/>
          <w:sz w:val="20"/>
          <w:szCs w:val="20"/>
          <w:lang w:eastAsia="en-ZA"/>
        </w:rPr>
        <w:t>at the time of deregistration</w:t>
      </w:r>
      <w:r w:rsidRPr="0016423A">
        <w:rPr>
          <w:rFonts w:ascii="Calibri" w:eastAsia="Times New Roman" w:hAnsi="Calibri" w:cs="Calibri"/>
          <w:i/>
          <w:color w:val="000000"/>
          <w:sz w:val="20"/>
          <w:szCs w:val="20"/>
          <w:lang w:eastAsia="en-ZA"/>
        </w:rPr>
        <w:t>.</w:t>
      </w:r>
    </w:p>
    <w:p w14:paraId="7A610581" w14:textId="77777777" w:rsidR="009D44D9" w:rsidRPr="0016423A" w:rsidRDefault="009D44D9" w:rsidP="003D3A4F">
      <w:pPr>
        <w:shd w:val="clear" w:color="auto" w:fill="FFFFFF"/>
        <w:contextualSpacing/>
        <w:jc w:val="both"/>
        <w:rPr>
          <w:rFonts w:ascii="Calibri" w:eastAsia="Times New Roman" w:hAnsi="Calibri" w:cs="Calibri"/>
          <w:i/>
          <w:color w:val="000000"/>
          <w:sz w:val="20"/>
          <w:szCs w:val="20"/>
          <w:lang w:eastAsia="en-ZA"/>
        </w:rPr>
      </w:pPr>
      <w:r w:rsidRPr="0016423A">
        <w:rPr>
          <w:rFonts w:ascii="Calibri" w:eastAsia="Times New Roman" w:hAnsi="Calibri" w:cs="Calibri"/>
          <w:i/>
          <w:color w:val="000000"/>
          <w:sz w:val="20"/>
          <w:szCs w:val="20"/>
          <w:lang w:eastAsia="en-ZA"/>
        </w:rPr>
        <w:t>Upon the successful processing of the re-instatement application, all outstanding annual returns must be filed in order to complete the process. If the close corporation or company fails to file all outstanding annual returns within 30 business days from date of the re-instatement, the company or close corporation will be finally deregistered, without any further notification.</w:t>
      </w:r>
    </w:p>
    <w:p w14:paraId="771D12A8" w14:textId="443C7D86" w:rsidR="009D44D9" w:rsidRPr="0016423A" w:rsidRDefault="009D44D9" w:rsidP="003D3A4F">
      <w:pPr>
        <w:shd w:val="clear" w:color="auto" w:fill="FFFFFF"/>
        <w:contextualSpacing/>
        <w:jc w:val="both"/>
        <w:rPr>
          <w:rFonts w:ascii="Calibri" w:eastAsia="Times New Roman" w:hAnsi="Calibri" w:cs="Calibri"/>
          <w:i/>
          <w:color w:val="000000"/>
          <w:sz w:val="20"/>
          <w:szCs w:val="20"/>
          <w:lang w:eastAsia="en-ZA"/>
        </w:rPr>
      </w:pPr>
      <w:r w:rsidRPr="0016423A">
        <w:rPr>
          <w:rFonts w:ascii="Calibri" w:eastAsia="Times New Roman" w:hAnsi="Calibri" w:cs="Calibri"/>
          <w:i/>
          <w:color w:val="000000"/>
          <w:sz w:val="20"/>
          <w:szCs w:val="20"/>
          <w:lang w:eastAsia="en-ZA"/>
        </w:rPr>
        <w:t xml:space="preserve">It should be noted that the CIPC will no longer re-instate a company or close corporation solely based on a statement that the company or close corporation is in </w:t>
      </w:r>
      <w:r w:rsidR="00E26F56" w:rsidRPr="0016423A">
        <w:rPr>
          <w:rFonts w:ascii="Calibri" w:eastAsia="Times New Roman" w:hAnsi="Calibri" w:cs="Calibri"/>
          <w:i/>
          <w:color w:val="000000"/>
          <w:sz w:val="20"/>
          <w:szCs w:val="20"/>
          <w:lang w:eastAsia="en-ZA"/>
        </w:rPr>
        <w:t>business or</w:t>
      </w:r>
      <w:r w:rsidRPr="0016423A">
        <w:rPr>
          <w:rFonts w:ascii="Calibri" w:eastAsia="Times New Roman" w:hAnsi="Calibri" w:cs="Calibri"/>
          <w:i/>
          <w:color w:val="000000"/>
          <w:sz w:val="20"/>
          <w:szCs w:val="20"/>
          <w:lang w:eastAsia="en-ZA"/>
        </w:rPr>
        <w:t xml:space="preserve"> will be in business in the near future. The re-instatement process is reserved for companies and close corporations that can prove that it was in business at the time of deregistration, have outstanding assets and/or liabilities which must be transferred or liquidated.</w:t>
      </w:r>
    </w:p>
    <w:p w14:paraId="3161AD58" w14:textId="77777777" w:rsidR="009D44D9" w:rsidRPr="003D3A4F" w:rsidRDefault="009D44D9" w:rsidP="003D3A4F">
      <w:pPr>
        <w:shd w:val="clear" w:color="auto" w:fill="FFFFFF"/>
        <w:contextualSpacing/>
        <w:jc w:val="both"/>
        <w:rPr>
          <w:rFonts w:ascii="Calibri" w:eastAsia="Times New Roman" w:hAnsi="Calibri" w:cs="Calibri"/>
          <w:color w:val="000000"/>
          <w:sz w:val="20"/>
          <w:szCs w:val="20"/>
          <w:lang w:eastAsia="en-ZA"/>
        </w:rPr>
      </w:pPr>
      <w:r w:rsidRPr="0016423A">
        <w:rPr>
          <w:rFonts w:ascii="Calibri" w:eastAsia="Times New Roman" w:hAnsi="Calibri" w:cs="Calibri"/>
          <w:i/>
          <w:color w:val="000000"/>
          <w:sz w:val="20"/>
          <w:szCs w:val="20"/>
          <w:lang w:eastAsia="en-ZA"/>
        </w:rPr>
        <w:t>For purposes of determining whether a company or close corporation is in business, it is sufficient to prove that the company or close corporation has been conducting business related activities at the time of deregistration, e.g. selling and buying of goods and services, leasing or renting property or equipment, marketing of goods and services, and/or an active bank account.</w:t>
      </w:r>
      <w:r w:rsidRPr="003D3A4F">
        <w:rPr>
          <w:rFonts w:ascii="Calibri" w:eastAsia="Times New Roman" w:hAnsi="Calibri" w:cs="Calibri"/>
          <w:color w:val="000000"/>
          <w:sz w:val="20"/>
          <w:szCs w:val="20"/>
          <w:lang w:eastAsia="en-ZA"/>
        </w:rPr>
        <w:t>”</w:t>
      </w:r>
    </w:p>
    <w:p w14:paraId="4C3C6BEE" w14:textId="0B43DB9E" w:rsidR="00076360" w:rsidRPr="003D3A4F" w:rsidRDefault="00076360" w:rsidP="003D3A4F">
      <w:pPr>
        <w:pStyle w:val="FootnoteText"/>
        <w:contextualSpacing/>
        <w:jc w:val="both"/>
        <w:rPr>
          <w:rFonts w:ascii="Calibri" w:hAnsi="Calibri" w:cs="Calibri"/>
        </w:rPr>
      </w:pPr>
    </w:p>
  </w:footnote>
  <w:footnote w:id="9">
    <w:p w14:paraId="442A9AB1" w14:textId="3A42F670" w:rsidR="00B957AD" w:rsidRPr="003D3A4F" w:rsidRDefault="00B957AD" w:rsidP="003D3A4F">
      <w:pPr>
        <w:pStyle w:val="FootnoteText"/>
        <w:contextualSpacing/>
        <w:jc w:val="both"/>
        <w:rPr>
          <w:rFonts w:ascii="Calibri" w:hAnsi="Calibri" w:cs="Calibri"/>
        </w:rPr>
      </w:pPr>
      <w:r w:rsidRPr="003D3A4F">
        <w:rPr>
          <w:rStyle w:val="FootnoteReference"/>
          <w:rFonts w:ascii="Calibri" w:hAnsi="Calibri" w:cs="Calibri"/>
        </w:rPr>
        <w:footnoteRef/>
      </w:r>
      <w:r w:rsidRPr="003D3A4F">
        <w:rPr>
          <w:rFonts w:ascii="Calibri" w:hAnsi="Calibri" w:cs="Calibri"/>
        </w:rPr>
        <w:t xml:space="preserve"> It further has the contingent liability which is the subject matter of the trial action</w:t>
      </w:r>
      <w:r w:rsidR="007D0B9B" w:rsidRPr="003D3A4F">
        <w:rPr>
          <w:rFonts w:ascii="Calibri" w:hAnsi="Calibri" w:cs="Calibri"/>
        </w:rPr>
        <w:t xml:space="preserve"> and might have incurred costs </w:t>
      </w:r>
      <w:r w:rsidR="00B97B1E" w:rsidRPr="003D3A4F">
        <w:rPr>
          <w:rFonts w:ascii="Calibri" w:hAnsi="Calibri" w:cs="Calibri"/>
        </w:rPr>
        <w:t>in</w:t>
      </w:r>
      <w:r w:rsidR="007D0B9B" w:rsidRPr="003D3A4F">
        <w:rPr>
          <w:rFonts w:ascii="Calibri" w:hAnsi="Calibri" w:cs="Calibri"/>
        </w:rPr>
        <w:t xml:space="preserve"> prosecuting it</w:t>
      </w:r>
      <w:r w:rsidR="00827D3D" w:rsidRPr="003D3A4F">
        <w:rPr>
          <w:rFonts w:ascii="Calibri" w:hAnsi="Calibri" w:cs="Calibri"/>
        </w:rPr>
        <w:t>s claim</w:t>
      </w:r>
      <w:r w:rsidR="007D0B9B" w:rsidRPr="003D3A4F">
        <w:rPr>
          <w:rFonts w:ascii="Calibri" w:hAnsi="Calibri" w:cs="Calibri"/>
        </w:rPr>
        <w:t xml:space="preserve"> since 2014.</w:t>
      </w:r>
      <w:r w:rsidR="00B97B1E" w:rsidRPr="003D3A4F">
        <w:rPr>
          <w:rFonts w:ascii="Calibri" w:hAnsi="Calibri" w:cs="Calibri"/>
        </w:rPr>
        <w:t xml:space="preserve"> </w:t>
      </w:r>
    </w:p>
  </w:footnote>
  <w:footnote w:id="10">
    <w:p w14:paraId="56320A68" w14:textId="35CF1087" w:rsidR="0016423A" w:rsidRDefault="0016423A">
      <w:pPr>
        <w:pStyle w:val="FootnoteText"/>
      </w:pPr>
      <w:r>
        <w:rPr>
          <w:rStyle w:val="FootnoteReference"/>
        </w:rPr>
        <w:footnoteRef/>
      </w:r>
      <w:r>
        <w:t xml:space="preserve"> </w:t>
      </w:r>
      <w:r w:rsidR="00A627F1">
        <w:t xml:space="preserve"> </w:t>
      </w:r>
      <w:r w:rsidR="00A627F1" w:rsidRPr="00205C3E">
        <w:rPr>
          <w:rFonts w:eastAsia="Times New Roman" w:cstheme="minorHAnsi"/>
          <w:bCs/>
          <w:color w:val="000000"/>
          <w:kern w:val="0"/>
          <w:lang w:val="en-ZA" w:eastAsia="en-ZA"/>
          <w14:ligatures w14:val="none"/>
        </w:rPr>
        <w:t>[2013] 2 All SA 137 (WCC)</w:t>
      </w:r>
      <w:r w:rsidR="00A627F1">
        <w:rPr>
          <w:rFonts w:eastAsia="Times New Roman" w:cstheme="minorHAnsi"/>
          <w:bCs/>
          <w:color w:val="000000"/>
          <w:kern w:val="0"/>
          <w:lang w:val="en-ZA" w:eastAsia="en-ZA"/>
          <w14:ligatures w14:val="none"/>
        </w:rPr>
        <w:t>.</w:t>
      </w:r>
    </w:p>
  </w:footnote>
  <w:footnote w:id="11">
    <w:p w14:paraId="52F1E749" w14:textId="56D3340D" w:rsidR="00A627F1" w:rsidRDefault="00A627F1">
      <w:pPr>
        <w:pStyle w:val="FootnoteText"/>
      </w:pPr>
      <w:r>
        <w:rPr>
          <w:rStyle w:val="FootnoteReference"/>
        </w:rPr>
        <w:footnoteRef/>
      </w:r>
      <w:r>
        <w:t xml:space="preserve">  </w:t>
      </w:r>
      <w:r w:rsidRPr="00205C3E">
        <w:rPr>
          <w:rFonts w:eastAsia="Times New Roman" w:cstheme="minorHAnsi"/>
          <w:bCs/>
          <w:color w:val="000000"/>
          <w:kern w:val="0"/>
          <w:lang w:val="en-ZA" w:eastAsia="en-ZA"/>
          <w14:ligatures w14:val="none"/>
        </w:rPr>
        <w:t>[2013] JOL 30396 (KZP)</w:t>
      </w:r>
      <w:r>
        <w:rPr>
          <w:rFonts w:eastAsia="Times New Roman" w:cstheme="minorHAnsi"/>
          <w:bCs/>
          <w:color w:val="000000"/>
          <w:kern w:val="0"/>
          <w:lang w:val="en-ZA" w:eastAsia="en-ZA"/>
          <w14:ligatures w14:val="non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979228"/>
      <w:docPartObj>
        <w:docPartGallery w:val="Page Numbers (Top of Page)"/>
        <w:docPartUnique/>
      </w:docPartObj>
    </w:sdtPr>
    <w:sdtEndPr>
      <w:rPr>
        <w:noProof/>
      </w:rPr>
    </w:sdtEndPr>
    <w:sdtContent>
      <w:p w14:paraId="72A4FDA6" w14:textId="54DE5080" w:rsidR="00B957AD" w:rsidRDefault="00B957AD">
        <w:pPr>
          <w:pStyle w:val="Header"/>
          <w:jc w:val="center"/>
        </w:pPr>
        <w:r>
          <w:fldChar w:fldCharType="begin"/>
        </w:r>
        <w:r>
          <w:instrText xml:space="preserve"> PAGE   \* MERGEFORMAT </w:instrText>
        </w:r>
        <w:r>
          <w:fldChar w:fldCharType="separate"/>
        </w:r>
        <w:r w:rsidR="00B13985">
          <w:rPr>
            <w:noProof/>
          </w:rPr>
          <w:t>1</w:t>
        </w:r>
        <w:r>
          <w:rPr>
            <w:noProof/>
          </w:rPr>
          <w:fldChar w:fldCharType="end"/>
        </w:r>
      </w:p>
    </w:sdtContent>
  </w:sdt>
  <w:p w14:paraId="1ADA0EFB" w14:textId="77777777" w:rsidR="00B957AD" w:rsidRDefault="00B957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238"/>
    <w:multiLevelType w:val="hybridMultilevel"/>
    <w:tmpl w:val="79B6C93A"/>
    <w:lvl w:ilvl="0" w:tplc="9EFCC8A8">
      <w:start w:val="1"/>
      <w:numFmt w:val="lowerLetter"/>
      <w:lvlText w:val="(%1)"/>
      <w:lvlJc w:val="left"/>
      <w:pPr>
        <w:ind w:left="1040" w:hanging="360"/>
      </w:pPr>
      <w:rPr>
        <w:rFonts w:hint="default"/>
        <w:i/>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15:restartNumberingAfterBreak="0">
    <w:nsid w:val="0CD0294E"/>
    <w:multiLevelType w:val="hybridMultilevel"/>
    <w:tmpl w:val="C0923D02"/>
    <w:lvl w:ilvl="0" w:tplc="219A7384">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0307A"/>
    <w:multiLevelType w:val="hybridMultilevel"/>
    <w:tmpl w:val="65947A4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B1"/>
    <w:rsid w:val="00022E35"/>
    <w:rsid w:val="00076360"/>
    <w:rsid w:val="000F422A"/>
    <w:rsid w:val="00123AD4"/>
    <w:rsid w:val="0016423A"/>
    <w:rsid w:val="001662A9"/>
    <w:rsid w:val="00221D1D"/>
    <w:rsid w:val="00264831"/>
    <w:rsid w:val="002B3149"/>
    <w:rsid w:val="00315915"/>
    <w:rsid w:val="003D3A4F"/>
    <w:rsid w:val="00402C29"/>
    <w:rsid w:val="00432821"/>
    <w:rsid w:val="004437E1"/>
    <w:rsid w:val="00487B85"/>
    <w:rsid w:val="00497581"/>
    <w:rsid w:val="00505B93"/>
    <w:rsid w:val="005542CC"/>
    <w:rsid w:val="00602183"/>
    <w:rsid w:val="00647BA1"/>
    <w:rsid w:val="006B2BC9"/>
    <w:rsid w:val="006C52AA"/>
    <w:rsid w:val="006D559E"/>
    <w:rsid w:val="00794ED5"/>
    <w:rsid w:val="007D0B9B"/>
    <w:rsid w:val="00805E34"/>
    <w:rsid w:val="00827D3D"/>
    <w:rsid w:val="00867F01"/>
    <w:rsid w:val="00890088"/>
    <w:rsid w:val="00927902"/>
    <w:rsid w:val="009360B1"/>
    <w:rsid w:val="00954645"/>
    <w:rsid w:val="009875C9"/>
    <w:rsid w:val="009B47C8"/>
    <w:rsid w:val="009B5EE6"/>
    <w:rsid w:val="009D44D9"/>
    <w:rsid w:val="009D5CB5"/>
    <w:rsid w:val="00A627F1"/>
    <w:rsid w:val="00A74C12"/>
    <w:rsid w:val="00A92655"/>
    <w:rsid w:val="00AB32D1"/>
    <w:rsid w:val="00AD39F4"/>
    <w:rsid w:val="00AE6BF1"/>
    <w:rsid w:val="00B13985"/>
    <w:rsid w:val="00B54C08"/>
    <w:rsid w:val="00B5684C"/>
    <w:rsid w:val="00B957AD"/>
    <w:rsid w:val="00B97B1E"/>
    <w:rsid w:val="00BB0CB9"/>
    <w:rsid w:val="00BE79A2"/>
    <w:rsid w:val="00C05E40"/>
    <w:rsid w:val="00C11527"/>
    <w:rsid w:val="00C6075C"/>
    <w:rsid w:val="00CB45EA"/>
    <w:rsid w:val="00D04A1E"/>
    <w:rsid w:val="00D1592B"/>
    <w:rsid w:val="00D80E85"/>
    <w:rsid w:val="00DD602E"/>
    <w:rsid w:val="00E13540"/>
    <w:rsid w:val="00E26F56"/>
    <w:rsid w:val="00E446D0"/>
    <w:rsid w:val="00E456FF"/>
    <w:rsid w:val="00E97695"/>
    <w:rsid w:val="00F07425"/>
    <w:rsid w:val="00FA1188"/>
    <w:rsid w:val="00FF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F04B"/>
  <w15:chartTrackingRefBased/>
  <w15:docId w15:val="{AEF6B3A2-134B-4CC2-9F7B-10D1ADB7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0B1"/>
    <w:pPr>
      <w:spacing w:after="0" w:line="240" w:lineRule="auto"/>
    </w:pPr>
    <w:rPr>
      <w:rFonts w:eastAsiaTheme="minorEastAsia"/>
      <w:lang w:val="en-ZA" w:eastAsia="en-GB"/>
    </w:rPr>
  </w:style>
  <w:style w:type="paragraph" w:styleId="Heading1">
    <w:name w:val="heading 1"/>
    <w:basedOn w:val="Normal"/>
    <w:next w:val="Normal"/>
    <w:link w:val="Heading1Char"/>
    <w:uiPriority w:val="9"/>
    <w:qFormat/>
    <w:rsid w:val="009360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60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60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60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60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60B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60B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60B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60B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9360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60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60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60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60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60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60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60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60B1"/>
    <w:rPr>
      <w:rFonts w:eastAsiaTheme="majorEastAsia" w:cstheme="majorBidi"/>
      <w:color w:val="272727" w:themeColor="text1" w:themeTint="D8"/>
    </w:rPr>
  </w:style>
  <w:style w:type="paragraph" w:styleId="Title">
    <w:name w:val="Title"/>
    <w:basedOn w:val="Normal"/>
    <w:next w:val="Normal"/>
    <w:link w:val="TitleChar"/>
    <w:uiPriority w:val="10"/>
    <w:qFormat/>
    <w:rsid w:val="009360B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0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60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60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60B1"/>
    <w:pPr>
      <w:spacing w:before="160"/>
      <w:jc w:val="center"/>
    </w:pPr>
    <w:rPr>
      <w:i/>
      <w:iCs/>
      <w:color w:val="404040" w:themeColor="text1" w:themeTint="BF"/>
    </w:rPr>
  </w:style>
  <w:style w:type="character" w:customStyle="1" w:styleId="QuoteChar">
    <w:name w:val="Quote Char"/>
    <w:basedOn w:val="DefaultParagraphFont"/>
    <w:link w:val="Quote"/>
    <w:uiPriority w:val="29"/>
    <w:rsid w:val="009360B1"/>
    <w:rPr>
      <w:i/>
      <w:iCs/>
      <w:color w:val="404040" w:themeColor="text1" w:themeTint="BF"/>
    </w:rPr>
  </w:style>
  <w:style w:type="paragraph" w:styleId="ListParagraph">
    <w:name w:val="List Paragraph"/>
    <w:basedOn w:val="Normal"/>
    <w:uiPriority w:val="34"/>
    <w:qFormat/>
    <w:rsid w:val="009360B1"/>
    <w:pPr>
      <w:ind w:left="720"/>
      <w:contextualSpacing/>
    </w:pPr>
  </w:style>
  <w:style w:type="character" w:styleId="IntenseEmphasis">
    <w:name w:val="Intense Emphasis"/>
    <w:basedOn w:val="DefaultParagraphFont"/>
    <w:uiPriority w:val="21"/>
    <w:qFormat/>
    <w:rsid w:val="009360B1"/>
    <w:rPr>
      <w:i/>
      <w:iCs/>
      <w:color w:val="0F4761" w:themeColor="accent1" w:themeShade="BF"/>
    </w:rPr>
  </w:style>
  <w:style w:type="paragraph" w:styleId="IntenseQuote">
    <w:name w:val="Intense Quote"/>
    <w:basedOn w:val="Normal"/>
    <w:next w:val="Normal"/>
    <w:link w:val="IntenseQuoteChar"/>
    <w:uiPriority w:val="30"/>
    <w:qFormat/>
    <w:rsid w:val="009360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60B1"/>
    <w:rPr>
      <w:i/>
      <w:iCs/>
      <w:color w:val="0F4761" w:themeColor="accent1" w:themeShade="BF"/>
    </w:rPr>
  </w:style>
  <w:style w:type="character" w:styleId="IntenseReference">
    <w:name w:val="Intense Reference"/>
    <w:basedOn w:val="DefaultParagraphFont"/>
    <w:uiPriority w:val="32"/>
    <w:qFormat/>
    <w:rsid w:val="009360B1"/>
    <w:rPr>
      <w:b/>
      <w:bCs/>
      <w:smallCaps/>
      <w:color w:val="0F4761" w:themeColor="accent1" w:themeShade="BF"/>
      <w:spacing w:val="5"/>
    </w:rPr>
  </w:style>
  <w:style w:type="paragraph" w:styleId="FootnoteText">
    <w:name w:val="footnote text"/>
    <w:basedOn w:val="Normal"/>
    <w:link w:val="FootnoteTextChar"/>
    <w:uiPriority w:val="99"/>
    <w:semiHidden/>
    <w:unhideWhenUsed/>
    <w:rsid w:val="00AE6BF1"/>
    <w:rPr>
      <w:rFonts w:eastAsiaTheme="minorHAnsi"/>
      <w:kern w:val="2"/>
      <w:sz w:val="20"/>
      <w:szCs w:val="20"/>
      <w:lang w:val="en-GB" w:eastAsia="en-US"/>
      <w14:ligatures w14:val="standardContextual"/>
    </w:rPr>
  </w:style>
  <w:style w:type="character" w:customStyle="1" w:styleId="FootnoteTextChar">
    <w:name w:val="Footnote Text Char"/>
    <w:basedOn w:val="DefaultParagraphFont"/>
    <w:link w:val="FootnoteText"/>
    <w:uiPriority w:val="99"/>
    <w:semiHidden/>
    <w:rsid w:val="00AE6BF1"/>
    <w:rPr>
      <w:kern w:val="2"/>
      <w:sz w:val="20"/>
      <w:szCs w:val="20"/>
      <w:lang w:val="en-GB"/>
      <w14:ligatures w14:val="standardContextual"/>
    </w:rPr>
  </w:style>
  <w:style w:type="character" w:styleId="FootnoteReference">
    <w:name w:val="footnote reference"/>
    <w:basedOn w:val="DefaultParagraphFont"/>
    <w:uiPriority w:val="99"/>
    <w:semiHidden/>
    <w:unhideWhenUsed/>
    <w:rsid w:val="00AE6BF1"/>
    <w:rPr>
      <w:vertAlign w:val="superscript"/>
    </w:rPr>
  </w:style>
  <w:style w:type="paragraph" w:customStyle="1" w:styleId="lg-section">
    <w:name w:val="lg-section"/>
    <w:basedOn w:val="Normal"/>
    <w:rsid w:val="00AE6BF1"/>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character" w:styleId="Hyperlink">
    <w:name w:val="Hyperlink"/>
    <w:basedOn w:val="DefaultParagraphFont"/>
    <w:uiPriority w:val="99"/>
    <w:semiHidden/>
    <w:unhideWhenUsed/>
    <w:rsid w:val="00AE6BF1"/>
    <w:rPr>
      <w:color w:val="0000FF"/>
      <w:u w:val="single"/>
    </w:rPr>
  </w:style>
  <w:style w:type="paragraph" w:customStyle="1" w:styleId="lg-para3">
    <w:name w:val="lg-para3"/>
    <w:basedOn w:val="Normal"/>
    <w:rsid w:val="00AE6BF1"/>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customStyle="1" w:styleId="lg-a-1">
    <w:name w:val="lg-a-1"/>
    <w:basedOn w:val="Normal"/>
    <w:rsid w:val="00AE6BF1"/>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customStyle="1" w:styleId="lg-i-a-1">
    <w:name w:val="lg-i-a-1"/>
    <w:basedOn w:val="Normal"/>
    <w:rsid w:val="00AE6BF1"/>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customStyle="1" w:styleId="lg-aa-a-i">
    <w:name w:val="lg-aa-a-i"/>
    <w:basedOn w:val="Normal"/>
    <w:rsid w:val="00AE6BF1"/>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customStyle="1" w:styleId="lg-para4">
    <w:name w:val="lg-para4"/>
    <w:basedOn w:val="Normal"/>
    <w:rsid w:val="00AE6BF1"/>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styleId="NormalWeb">
    <w:name w:val="Normal (Web)"/>
    <w:basedOn w:val="Normal"/>
    <w:uiPriority w:val="99"/>
    <w:semiHidden/>
    <w:unhideWhenUsed/>
    <w:rsid w:val="00AE6BF1"/>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customStyle="1" w:styleId="frg-leveltwo">
    <w:name w:val="frg-leveltwo"/>
    <w:basedOn w:val="Normal"/>
    <w:rsid w:val="00AE6BF1"/>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customStyle="1" w:styleId="lg-chaphead">
    <w:name w:val="lg-chaphead"/>
    <w:basedOn w:val="Normal"/>
    <w:rsid w:val="00AE6BF1"/>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customStyle="1" w:styleId="normal-text">
    <w:name w:val="normal-text"/>
    <w:basedOn w:val="Normal"/>
    <w:rsid w:val="00AE6BF1"/>
    <w:pPr>
      <w:spacing w:before="100" w:beforeAutospacing="1" w:after="100" w:afterAutospacing="1"/>
    </w:pPr>
    <w:rPr>
      <w:rFonts w:ascii="Times New Roman" w:eastAsia="Times New Roman" w:hAnsi="Times New Roman" w:cs="Times New Roman"/>
      <w:sz w:val="24"/>
      <w:szCs w:val="24"/>
      <w:lang w:eastAsia="en-ZA"/>
      <w14:ligatures w14:val="standardContextual"/>
    </w:rPr>
  </w:style>
  <w:style w:type="paragraph" w:styleId="Header">
    <w:name w:val="header"/>
    <w:basedOn w:val="Normal"/>
    <w:link w:val="HeaderChar"/>
    <w:uiPriority w:val="99"/>
    <w:unhideWhenUsed/>
    <w:rsid w:val="00B957AD"/>
    <w:pPr>
      <w:tabs>
        <w:tab w:val="center" w:pos="4513"/>
        <w:tab w:val="right" w:pos="9026"/>
      </w:tabs>
    </w:pPr>
  </w:style>
  <w:style w:type="character" w:customStyle="1" w:styleId="HeaderChar">
    <w:name w:val="Header Char"/>
    <w:basedOn w:val="DefaultParagraphFont"/>
    <w:link w:val="Header"/>
    <w:uiPriority w:val="99"/>
    <w:rsid w:val="00B957AD"/>
    <w:rPr>
      <w:rFonts w:eastAsiaTheme="minorEastAsia"/>
      <w:lang w:val="en-ZA" w:eastAsia="en-GB"/>
    </w:rPr>
  </w:style>
  <w:style w:type="paragraph" w:styleId="Footer">
    <w:name w:val="footer"/>
    <w:basedOn w:val="Normal"/>
    <w:link w:val="FooterChar"/>
    <w:uiPriority w:val="99"/>
    <w:unhideWhenUsed/>
    <w:rsid w:val="00B957AD"/>
    <w:pPr>
      <w:tabs>
        <w:tab w:val="center" w:pos="4513"/>
        <w:tab w:val="right" w:pos="9026"/>
      </w:tabs>
    </w:pPr>
  </w:style>
  <w:style w:type="character" w:customStyle="1" w:styleId="FooterChar">
    <w:name w:val="Footer Char"/>
    <w:basedOn w:val="DefaultParagraphFont"/>
    <w:link w:val="Footer"/>
    <w:uiPriority w:val="99"/>
    <w:rsid w:val="00B957AD"/>
    <w:rPr>
      <w:rFonts w:eastAsiaTheme="minorEastAsia"/>
      <w:lang w:val="en-ZA" w:eastAsia="en-GB"/>
    </w:rPr>
  </w:style>
  <w:style w:type="paragraph" w:styleId="BalloonText">
    <w:name w:val="Balloon Text"/>
    <w:basedOn w:val="Normal"/>
    <w:link w:val="BalloonTextChar"/>
    <w:uiPriority w:val="99"/>
    <w:semiHidden/>
    <w:unhideWhenUsed/>
    <w:rsid w:val="003D3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4F"/>
    <w:rPr>
      <w:rFonts w:ascii="Segoe UI" w:eastAsiaTheme="minorEastAsia" w:hAnsi="Segoe UI" w:cs="Segoe UI"/>
      <w:sz w:val="18"/>
      <w:szCs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ylexisnexis.co.za/Library/IframeContent.aspx?dpath=zb/jilc/kilc/egqg/30oib/c9uxc/mbvxc&amp;ismultiview=False&amp;caAu=" TargetMode="External"/><Relationship Id="rId18" Type="http://schemas.openxmlformats.org/officeDocument/2006/relationships/hyperlink" Target="https://www.mylexisnexis.co.za/Library/IframeContent.aspx?dpath=zb/jilc/kilc/egqg/30oib/haiof/iaiof/2aqof/2cqof&amp;ismultiview=False&amp;ca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ylexisnexis.co.za/Library/IframeContent.aspx?dpath=zb/jilc/kilc/egqg/30oib/c9uxc/mbvxc&amp;ismultiview=False&amp;caAu=" TargetMode="External"/><Relationship Id="rId17" Type="http://schemas.openxmlformats.org/officeDocument/2006/relationships/hyperlink" Target="https://www.mylexisnexis.co.za/Library/IframeContent.aspx?dpath=zb/jilc/kilc/egqg/30oib/haiof/iaiof/2aqof/2cqof&amp;ismultiview=False&amp;caAu=" TargetMode="External"/><Relationship Id="rId2" Type="http://schemas.openxmlformats.org/officeDocument/2006/relationships/numbering" Target="numbering.xml"/><Relationship Id="rId16" Type="http://schemas.openxmlformats.org/officeDocument/2006/relationships/hyperlink" Target="https://www.mylexisnexis.co.za/Library/IframeContent.aspx?dpath=zb/jilc/kilc/egqg/30oib/c9uxc/nbvxc&amp;ismultiview=False&amp;ca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ilc/kilc/egqg/30oib/c9uxc/mbvxc&amp;ismultiview=False&amp;caAu=" TargetMode="External"/><Relationship Id="rId5" Type="http://schemas.openxmlformats.org/officeDocument/2006/relationships/webSettings" Target="webSettings.xml"/><Relationship Id="rId15" Type="http://schemas.openxmlformats.org/officeDocument/2006/relationships/hyperlink" Target="https://www.mylexisnexis.co.za/Library/IframeContent.aspx?dpath=zb/jilc/kilc/egqg/30oib/c9uxc/99uxc&amp;ismultiview=False&amp;caAu=" TargetMode="External"/><Relationship Id="rId10" Type="http://schemas.openxmlformats.org/officeDocument/2006/relationships/hyperlink" Target="https://www.mylexisnexis.co.za/Library/IframeContent.aspx?dpath=zb/jilc/kilc/egqg/30oib/c9uxc/mbvxc&amp;ismultiview=False&amp;ca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lexisnexis.co.za/Library/IframeContent.aspx?dpath=zb/jilc/kilc/egqg/30oib/c9uxc/mbvxc&amp;ismultiview=False&amp;caAu=" TargetMode="External"/><Relationship Id="rId14" Type="http://schemas.openxmlformats.org/officeDocument/2006/relationships/hyperlink" Target="https://www.mylexisnexis.co.za/Library/IframeContent.aspx?dpath=zb/jilc/kilc/egqg/30oib/c9uxc/99uxc&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D48D-9F6C-42CB-80EC-BDF9CD5C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Mary Bruce</cp:lastModifiedBy>
  <cp:revision>3</cp:revision>
  <cp:lastPrinted>2024-04-15T07:40:00Z</cp:lastPrinted>
  <dcterms:created xsi:type="dcterms:W3CDTF">2024-05-21T08:04:00Z</dcterms:created>
  <dcterms:modified xsi:type="dcterms:W3CDTF">2024-05-24T14:35:00Z</dcterms:modified>
</cp:coreProperties>
</file>