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70EB" w14:textId="77777777" w:rsidR="00AB7FDB" w:rsidRDefault="00AB7FDB" w:rsidP="00AB7FD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95CCD">
        <w:rPr>
          <w:noProof/>
          <w:sz w:val="28"/>
          <w:szCs w:val="28"/>
          <w:lang w:val="en-ZA" w:eastAsia="en-ZA"/>
        </w:rPr>
        <w:drawing>
          <wp:inline distT="0" distB="0" distL="0" distR="0" wp14:anchorId="6E65686D" wp14:editId="43640BD2">
            <wp:extent cx="1333500" cy="1266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A962" w14:textId="77777777" w:rsidR="00275F7C" w:rsidRPr="00E1238E" w:rsidRDefault="00275F7C" w:rsidP="00275F7C">
      <w:pPr>
        <w:contextualSpacing/>
        <w:jc w:val="right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>NOT REPORTABLE</w:t>
      </w:r>
    </w:p>
    <w:p w14:paraId="62E4EF6A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>IN THE HIGH COURT OF SOUTH AFRICA</w:t>
      </w:r>
    </w:p>
    <w:p w14:paraId="03C1950C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>(EA</w:t>
      </w:r>
      <w:r>
        <w:rPr>
          <w:b/>
          <w:sz w:val="28"/>
          <w:szCs w:val="28"/>
        </w:rPr>
        <w:t>STERN CAPE DIVISION, EAST LONDON CIRCUIT COURT)</w:t>
      </w:r>
    </w:p>
    <w:p w14:paraId="347F912D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ab/>
      </w:r>
      <w:r w:rsidRPr="00E1238E">
        <w:rPr>
          <w:b/>
          <w:sz w:val="28"/>
          <w:szCs w:val="28"/>
        </w:rPr>
        <w:tab/>
      </w:r>
      <w:r w:rsidRPr="00E1238E">
        <w:rPr>
          <w:b/>
          <w:sz w:val="28"/>
          <w:szCs w:val="28"/>
        </w:rPr>
        <w:tab/>
      </w:r>
    </w:p>
    <w:p w14:paraId="1CF13E72" w14:textId="77777777" w:rsidR="00275F7C" w:rsidRPr="00E1238E" w:rsidRDefault="00275F7C" w:rsidP="00275F7C">
      <w:pPr>
        <w:contextualSpacing/>
        <w:jc w:val="right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>CASE NO:</w:t>
      </w:r>
      <w:r w:rsidRPr="00E12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A35103">
        <w:rPr>
          <w:b/>
          <w:sz w:val="28"/>
          <w:szCs w:val="28"/>
        </w:rPr>
        <w:t>EL1863/2023</w:t>
      </w:r>
    </w:p>
    <w:p w14:paraId="6DF55FBF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</w:p>
    <w:p w14:paraId="79671566" w14:textId="77777777" w:rsidR="00275F7C" w:rsidRPr="00E1238E" w:rsidRDefault="00275F7C" w:rsidP="00275F7C">
      <w:pPr>
        <w:contextualSpacing/>
        <w:jc w:val="both"/>
        <w:rPr>
          <w:sz w:val="28"/>
          <w:szCs w:val="28"/>
        </w:rPr>
      </w:pPr>
      <w:r w:rsidRPr="00E1238E">
        <w:rPr>
          <w:sz w:val="28"/>
          <w:szCs w:val="28"/>
        </w:rPr>
        <w:t>In the matter between</w:t>
      </w:r>
    </w:p>
    <w:p w14:paraId="02ACE35E" w14:textId="77777777" w:rsidR="00275F7C" w:rsidRPr="00E1238E" w:rsidRDefault="00275F7C" w:rsidP="00275F7C">
      <w:pPr>
        <w:contextualSpacing/>
        <w:jc w:val="both"/>
        <w:rPr>
          <w:sz w:val="28"/>
          <w:szCs w:val="28"/>
        </w:rPr>
      </w:pPr>
    </w:p>
    <w:p w14:paraId="3D9B439F" w14:textId="77777777" w:rsidR="00A35103" w:rsidRDefault="00A35103" w:rsidP="00275F7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 BANK OF SOUTH </w:t>
      </w:r>
    </w:p>
    <w:p w14:paraId="087E06A1" w14:textId="77777777" w:rsidR="00275F7C" w:rsidRDefault="00A35103" w:rsidP="00275F7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AFRICA LIMITED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7652">
        <w:rPr>
          <w:b/>
          <w:sz w:val="28"/>
          <w:szCs w:val="28"/>
        </w:rPr>
        <w:t>Plaintiff</w:t>
      </w:r>
    </w:p>
    <w:p w14:paraId="65D10D20" w14:textId="77777777" w:rsidR="00275F7C" w:rsidRDefault="00275F7C" w:rsidP="00275F7C">
      <w:pPr>
        <w:contextualSpacing/>
        <w:jc w:val="both"/>
        <w:rPr>
          <w:b/>
          <w:sz w:val="28"/>
          <w:szCs w:val="28"/>
        </w:rPr>
      </w:pPr>
    </w:p>
    <w:p w14:paraId="1FF17F23" w14:textId="77777777" w:rsidR="00275F7C" w:rsidRPr="00E1238E" w:rsidRDefault="00275F7C" w:rsidP="00275F7C">
      <w:pPr>
        <w:contextualSpacing/>
        <w:jc w:val="both"/>
        <w:rPr>
          <w:sz w:val="28"/>
          <w:szCs w:val="28"/>
        </w:rPr>
      </w:pPr>
      <w:r w:rsidRPr="00E1238E">
        <w:rPr>
          <w:sz w:val="28"/>
          <w:szCs w:val="28"/>
        </w:rPr>
        <w:t>and</w:t>
      </w:r>
    </w:p>
    <w:p w14:paraId="0EA71485" w14:textId="77777777" w:rsidR="00275F7C" w:rsidRPr="00E1238E" w:rsidRDefault="00275F7C" w:rsidP="00275F7C">
      <w:pPr>
        <w:contextualSpacing/>
        <w:jc w:val="both"/>
        <w:rPr>
          <w:sz w:val="28"/>
          <w:szCs w:val="28"/>
        </w:rPr>
      </w:pPr>
    </w:p>
    <w:p w14:paraId="3ACAEBA3" w14:textId="77777777" w:rsidR="00275F7C" w:rsidRDefault="00A35103" w:rsidP="00A3510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BATANDWA TUNGATA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7652">
        <w:rPr>
          <w:b/>
          <w:sz w:val="28"/>
          <w:szCs w:val="28"/>
        </w:rPr>
        <w:t>Defendant</w:t>
      </w:r>
      <w:r>
        <w:rPr>
          <w:b/>
          <w:sz w:val="28"/>
          <w:szCs w:val="28"/>
        </w:rPr>
        <w:t xml:space="preserve"> </w:t>
      </w:r>
    </w:p>
    <w:p w14:paraId="15BEA455" w14:textId="77777777" w:rsidR="00275F7C" w:rsidRPr="00E1238E" w:rsidRDefault="00275F7C" w:rsidP="00275F7C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</w:p>
    <w:p w14:paraId="4DB31BBB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</w:p>
    <w:p w14:paraId="6B3BC061" w14:textId="77777777" w:rsidR="0045702D" w:rsidRDefault="00A423F7" w:rsidP="00275F7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JUDGM</w:t>
      </w:r>
      <w:r w:rsidR="00456BB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 IN RESPECT OF </w:t>
      </w:r>
    </w:p>
    <w:p w14:paraId="6E503535" w14:textId="77777777" w:rsidR="00A423F7" w:rsidRDefault="00A35103" w:rsidP="00A351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JUDGMENT APPLICATION </w:t>
      </w:r>
    </w:p>
    <w:p w14:paraId="161628B8" w14:textId="77777777" w:rsidR="00275F7C" w:rsidRPr="00E1238E" w:rsidRDefault="00275F7C" w:rsidP="00275F7C">
      <w:pPr>
        <w:pBdr>
          <w:bottom w:val="single" w:sz="12" w:space="1" w:color="auto"/>
        </w:pBdr>
        <w:contextualSpacing/>
        <w:jc w:val="both"/>
        <w:rPr>
          <w:b/>
          <w:sz w:val="28"/>
          <w:szCs w:val="28"/>
        </w:rPr>
      </w:pPr>
    </w:p>
    <w:p w14:paraId="6B24D510" w14:textId="77777777" w:rsidR="00275F7C" w:rsidRPr="00E1238E" w:rsidRDefault="00275F7C" w:rsidP="00275F7C">
      <w:pPr>
        <w:contextualSpacing/>
        <w:jc w:val="both"/>
        <w:rPr>
          <w:sz w:val="28"/>
          <w:szCs w:val="28"/>
        </w:rPr>
      </w:pPr>
      <w:r w:rsidRPr="00E1238E">
        <w:t xml:space="preserve"> </w:t>
      </w:r>
    </w:p>
    <w:p w14:paraId="7F0EA5D1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</w:p>
    <w:p w14:paraId="6FFC4F6A" w14:textId="77777777" w:rsidR="00275F7C" w:rsidRPr="00E1238E" w:rsidRDefault="00275F7C" w:rsidP="00275F7C">
      <w:pPr>
        <w:contextualSpacing/>
        <w:jc w:val="both"/>
        <w:rPr>
          <w:b/>
          <w:sz w:val="28"/>
          <w:szCs w:val="28"/>
        </w:rPr>
      </w:pPr>
      <w:r w:rsidRPr="00E1238E">
        <w:rPr>
          <w:b/>
          <w:sz w:val="28"/>
          <w:szCs w:val="28"/>
        </w:rPr>
        <w:t>HARTLE J</w:t>
      </w:r>
    </w:p>
    <w:p w14:paraId="3D7F8587" w14:textId="77777777" w:rsidR="00275F7C" w:rsidRDefault="00275F7C" w:rsidP="00275F7C">
      <w:pPr>
        <w:rPr>
          <w:sz w:val="28"/>
          <w:szCs w:val="28"/>
        </w:rPr>
      </w:pPr>
    </w:p>
    <w:p w14:paraId="603254CC" w14:textId="770EBFF3" w:rsidR="00A351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[1]</w:t>
      </w:r>
      <w:r>
        <w:rPr>
          <w:sz w:val="28"/>
          <w:szCs w:val="28"/>
        </w:rPr>
        <w:tab/>
      </w:r>
      <w:r w:rsidR="00A35103" w:rsidRPr="000B7859">
        <w:rPr>
          <w:sz w:val="28"/>
          <w:szCs w:val="28"/>
        </w:rPr>
        <w:t>At the crux of a summary judgment application is a dispute between the parties concerning</w:t>
      </w:r>
      <w:r w:rsidR="0053160C" w:rsidRPr="000B7859">
        <w:rPr>
          <w:sz w:val="28"/>
          <w:szCs w:val="28"/>
        </w:rPr>
        <w:t xml:space="preserve"> whether the plaintiff properly complied with the provisions of </w:t>
      </w:r>
      <w:r w:rsidR="00A35103" w:rsidRPr="000B7859">
        <w:rPr>
          <w:sz w:val="28"/>
          <w:szCs w:val="28"/>
        </w:rPr>
        <w:t>section 129</w:t>
      </w:r>
      <w:r w:rsidR="0053160C" w:rsidRPr="000B7859">
        <w:rPr>
          <w:sz w:val="28"/>
          <w:szCs w:val="28"/>
        </w:rPr>
        <w:t xml:space="preserve"> read with section 130 of the National Credit Act</w:t>
      </w:r>
      <w:r w:rsidR="00974602" w:rsidRPr="000B7859">
        <w:rPr>
          <w:sz w:val="28"/>
          <w:szCs w:val="28"/>
        </w:rPr>
        <w:t xml:space="preserve"> No. 34 of 200</w:t>
      </w:r>
      <w:r w:rsidR="00557A87" w:rsidRPr="000B7859">
        <w:rPr>
          <w:sz w:val="28"/>
          <w:szCs w:val="28"/>
        </w:rPr>
        <w:t>5</w:t>
      </w:r>
      <w:r w:rsidR="00974602" w:rsidRPr="000B7859">
        <w:rPr>
          <w:sz w:val="28"/>
          <w:szCs w:val="28"/>
        </w:rPr>
        <w:t xml:space="preserve"> (“</w:t>
      </w:r>
      <w:r w:rsidR="00974602" w:rsidRPr="000B7859">
        <w:rPr>
          <w:i/>
          <w:sz w:val="28"/>
          <w:szCs w:val="28"/>
        </w:rPr>
        <w:t>NCA</w:t>
      </w:r>
      <w:r w:rsidR="00974602" w:rsidRPr="000B7859">
        <w:rPr>
          <w:sz w:val="28"/>
          <w:szCs w:val="28"/>
        </w:rPr>
        <w:t>”)</w:t>
      </w:r>
      <w:r w:rsidR="0053160C">
        <w:rPr>
          <w:rStyle w:val="FootnoteReference"/>
          <w:sz w:val="28"/>
          <w:szCs w:val="28"/>
        </w:rPr>
        <w:footnoteReference w:id="1"/>
      </w:r>
      <w:r w:rsidR="00974602" w:rsidRPr="000B7859">
        <w:rPr>
          <w:sz w:val="28"/>
          <w:szCs w:val="28"/>
        </w:rPr>
        <w:t xml:space="preserve"> in respect of the default</w:t>
      </w:r>
      <w:r w:rsidR="0053160C" w:rsidRPr="000B7859">
        <w:rPr>
          <w:sz w:val="28"/>
          <w:szCs w:val="28"/>
        </w:rPr>
        <w:t xml:space="preserve"> </w:t>
      </w:r>
      <w:r w:rsidR="00A35103" w:rsidRPr="000B7859">
        <w:rPr>
          <w:sz w:val="28"/>
          <w:szCs w:val="28"/>
        </w:rPr>
        <w:t xml:space="preserve">notice relied upon by </w:t>
      </w:r>
      <w:r w:rsidR="0053160C" w:rsidRPr="000B7859">
        <w:rPr>
          <w:sz w:val="28"/>
          <w:szCs w:val="28"/>
        </w:rPr>
        <w:t>it</w:t>
      </w:r>
      <w:r w:rsidR="00A35103" w:rsidRPr="000B7859">
        <w:rPr>
          <w:sz w:val="28"/>
          <w:szCs w:val="28"/>
        </w:rPr>
        <w:t xml:space="preserve"> as the jurisdictional basis to have approached</w:t>
      </w:r>
      <w:r w:rsidR="0053160C" w:rsidRPr="000B7859">
        <w:rPr>
          <w:sz w:val="28"/>
          <w:szCs w:val="28"/>
        </w:rPr>
        <w:t xml:space="preserve"> this court to enforce the defendant’s</w:t>
      </w:r>
      <w:r w:rsidR="00A35103" w:rsidRPr="000B7859">
        <w:rPr>
          <w:sz w:val="28"/>
          <w:szCs w:val="28"/>
        </w:rPr>
        <w:t xml:space="preserve"> credit agreement</w:t>
      </w:r>
      <w:r w:rsidR="009E3BEA" w:rsidRPr="000B7859">
        <w:rPr>
          <w:sz w:val="28"/>
          <w:szCs w:val="28"/>
        </w:rPr>
        <w:t xml:space="preserve"> with it</w:t>
      </w:r>
      <w:r w:rsidR="00A35103" w:rsidRPr="000B7859">
        <w:rPr>
          <w:sz w:val="28"/>
          <w:szCs w:val="28"/>
        </w:rPr>
        <w:t>.</w:t>
      </w:r>
    </w:p>
    <w:p w14:paraId="05EBFE43" w14:textId="77777777" w:rsidR="00A35103" w:rsidRDefault="00A35103" w:rsidP="00A35103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14:paraId="4986163F" w14:textId="1A6ABB6F" w:rsidR="00A351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[2]</w:t>
      </w:r>
      <w:r>
        <w:rPr>
          <w:sz w:val="28"/>
          <w:szCs w:val="28"/>
        </w:rPr>
        <w:tab/>
      </w:r>
      <w:r w:rsidR="00A35103" w:rsidRPr="000B7859">
        <w:rPr>
          <w:sz w:val="28"/>
          <w:szCs w:val="28"/>
        </w:rPr>
        <w:t xml:space="preserve">The defendant </w:t>
      </w:r>
      <w:r w:rsidR="00974602" w:rsidRPr="000B7859">
        <w:rPr>
          <w:sz w:val="28"/>
          <w:szCs w:val="28"/>
        </w:rPr>
        <w:t xml:space="preserve">asserts in opposition to the plaintiff’s </w:t>
      </w:r>
      <w:r w:rsidR="00A35103" w:rsidRPr="000B7859">
        <w:rPr>
          <w:sz w:val="28"/>
          <w:szCs w:val="28"/>
        </w:rPr>
        <w:t>application</w:t>
      </w:r>
      <w:r w:rsidR="00F605A9" w:rsidRPr="000B7859">
        <w:rPr>
          <w:sz w:val="28"/>
          <w:szCs w:val="28"/>
        </w:rPr>
        <w:t xml:space="preserve"> </w:t>
      </w:r>
      <w:r w:rsidR="00974602" w:rsidRPr="000B7859">
        <w:rPr>
          <w:sz w:val="28"/>
          <w:szCs w:val="28"/>
        </w:rPr>
        <w:t xml:space="preserve">for summary judgment </w:t>
      </w:r>
      <w:r w:rsidR="0053160C" w:rsidRPr="000B7859">
        <w:rPr>
          <w:sz w:val="28"/>
          <w:szCs w:val="28"/>
        </w:rPr>
        <w:t>that after receipt of the def</w:t>
      </w:r>
      <w:r w:rsidR="00974602" w:rsidRPr="000B7859">
        <w:rPr>
          <w:sz w:val="28"/>
          <w:szCs w:val="28"/>
        </w:rPr>
        <w:t>ault</w:t>
      </w:r>
      <w:r w:rsidR="0053160C" w:rsidRPr="000B7859">
        <w:rPr>
          <w:sz w:val="28"/>
          <w:szCs w:val="28"/>
        </w:rPr>
        <w:t xml:space="preserve"> notice relied upon by the plaintiff</w:t>
      </w:r>
      <w:r w:rsidR="00974602" w:rsidRPr="000B7859">
        <w:rPr>
          <w:sz w:val="28"/>
          <w:szCs w:val="28"/>
        </w:rPr>
        <w:t>,</w:t>
      </w:r>
      <w:r w:rsidR="0053160C" w:rsidRPr="000B7859">
        <w:rPr>
          <w:sz w:val="28"/>
          <w:szCs w:val="28"/>
        </w:rPr>
        <w:t xml:space="preserve"> he entered into</w:t>
      </w:r>
      <w:r w:rsidR="00F605A9" w:rsidRPr="000B7859">
        <w:rPr>
          <w:sz w:val="28"/>
          <w:szCs w:val="28"/>
        </w:rPr>
        <w:t xml:space="preserve"> a payment plan or</w:t>
      </w:r>
      <w:r w:rsidR="00A35103" w:rsidRPr="000B7859">
        <w:rPr>
          <w:sz w:val="28"/>
          <w:szCs w:val="28"/>
        </w:rPr>
        <w:t xml:space="preserve"> </w:t>
      </w:r>
      <w:r w:rsidR="0053160C" w:rsidRPr="000B7859">
        <w:rPr>
          <w:sz w:val="28"/>
          <w:szCs w:val="28"/>
        </w:rPr>
        <w:t xml:space="preserve">agreement </w:t>
      </w:r>
      <w:r w:rsidR="00F605A9" w:rsidRPr="000B7859">
        <w:rPr>
          <w:sz w:val="28"/>
          <w:szCs w:val="28"/>
        </w:rPr>
        <w:t xml:space="preserve">in terms of </w:t>
      </w:r>
      <w:r w:rsidR="00A35103" w:rsidRPr="000B7859">
        <w:rPr>
          <w:sz w:val="28"/>
          <w:szCs w:val="28"/>
        </w:rPr>
        <w:t xml:space="preserve">which </w:t>
      </w:r>
      <w:r w:rsidR="00F605A9" w:rsidRPr="000B7859">
        <w:rPr>
          <w:sz w:val="28"/>
          <w:szCs w:val="28"/>
        </w:rPr>
        <w:t xml:space="preserve">he </w:t>
      </w:r>
      <w:r w:rsidR="00A35103" w:rsidRPr="000B7859">
        <w:rPr>
          <w:sz w:val="28"/>
          <w:szCs w:val="28"/>
        </w:rPr>
        <w:t>agreed to settle the outstanding arrears</w:t>
      </w:r>
      <w:r w:rsidR="00F605A9" w:rsidRPr="000B7859">
        <w:rPr>
          <w:sz w:val="28"/>
          <w:szCs w:val="28"/>
        </w:rPr>
        <w:t xml:space="preserve"> referenced in the section 129 notice</w:t>
      </w:r>
      <w:r w:rsidR="00A35103" w:rsidRPr="000B7859">
        <w:rPr>
          <w:sz w:val="28"/>
          <w:szCs w:val="28"/>
        </w:rPr>
        <w:t xml:space="preserve"> within a period of six months, effective from 6 November 2023</w:t>
      </w:r>
      <w:r w:rsidR="00F605A9" w:rsidRPr="000B7859">
        <w:rPr>
          <w:sz w:val="28"/>
          <w:szCs w:val="28"/>
        </w:rPr>
        <w:t>,</w:t>
      </w:r>
      <w:r w:rsidR="00A35103" w:rsidRPr="000B7859">
        <w:rPr>
          <w:sz w:val="28"/>
          <w:szCs w:val="28"/>
        </w:rPr>
        <w:t xml:space="preserve"> “</w:t>
      </w:r>
      <w:r w:rsidR="00A35103" w:rsidRPr="000B7859">
        <w:rPr>
          <w:i/>
          <w:sz w:val="28"/>
          <w:szCs w:val="28"/>
        </w:rPr>
        <w:t>until the arrears would be settled</w:t>
      </w:r>
      <w:r w:rsidR="00F605A9" w:rsidRPr="000B7859">
        <w:rPr>
          <w:sz w:val="28"/>
          <w:szCs w:val="28"/>
        </w:rPr>
        <w:t>” (“</w:t>
      </w:r>
      <w:r w:rsidR="00F605A9" w:rsidRPr="000B7859">
        <w:rPr>
          <w:i/>
          <w:sz w:val="28"/>
          <w:szCs w:val="28"/>
        </w:rPr>
        <w:t xml:space="preserve">the settlement </w:t>
      </w:r>
      <w:r w:rsidR="00974602" w:rsidRPr="000B7859">
        <w:rPr>
          <w:i/>
          <w:sz w:val="28"/>
          <w:szCs w:val="28"/>
        </w:rPr>
        <w:t>plan</w:t>
      </w:r>
      <w:r w:rsidR="00F605A9" w:rsidRPr="000B7859">
        <w:rPr>
          <w:sz w:val="28"/>
          <w:szCs w:val="28"/>
        </w:rPr>
        <w:t>”).</w:t>
      </w:r>
    </w:p>
    <w:p w14:paraId="38105AC9" w14:textId="77777777" w:rsidR="00A35103" w:rsidRPr="00A35103" w:rsidRDefault="00A35103" w:rsidP="00A35103">
      <w:pPr>
        <w:pStyle w:val="ListParagraph"/>
        <w:rPr>
          <w:sz w:val="28"/>
          <w:szCs w:val="28"/>
        </w:rPr>
      </w:pPr>
    </w:p>
    <w:p w14:paraId="66779A13" w14:textId="634FEFEA" w:rsidR="0053160C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[3]</w:t>
      </w:r>
      <w:r>
        <w:rPr>
          <w:sz w:val="28"/>
          <w:szCs w:val="28"/>
        </w:rPr>
        <w:tab/>
      </w:r>
      <w:r w:rsidR="00974602" w:rsidRPr="000B7859">
        <w:rPr>
          <w:sz w:val="28"/>
          <w:szCs w:val="28"/>
        </w:rPr>
        <w:t xml:space="preserve">The settlement plan </w:t>
      </w:r>
      <w:r w:rsidR="00A35103" w:rsidRPr="000B7859">
        <w:rPr>
          <w:sz w:val="28"/>
          <w:szCs w:val="28"/>
        </w:rPr>
        <w:t xml:space="preserve">was self-evidently concluded after the dispatch of </w:t>
      </w:r>
      <w:r w:rsidR="009D360E" w:rsidRPr="000B7859">
        <w:rPr>
          <w:sz w:val="28"/>
          <w:szCs w:val="28"/>
        </w:rPr>
        <w:t>the</w:t>
      </w:r>
      <w:r w:rsidR="00A35103" w:rsidRPr="000B7859">
        <w:rPr>
          <w:sz w:val="28"/>
          <w:szCs w:val="28"/>
        </w:rPr>
        <w:t xml:space="preserve"> </w:t>
      </w:r>
      <w:r w:rsidR="0053160C" w:rsidRPr="000B7859">
        <w:rPr>
          <w:sz w:val="28"/>
          <w:szCs w:val="28"/>
        </w:rPr>
        <w:t xml:space="preserve">default notice </w:t>
      </w:r>
      <w:r w:rsidR="00A35103" w:rsidRPr="000B7859">
        <w:rPr>
          <w:sz w:val="28"/>
          <w:szCs w:val="28"/>
        </w:rPr>
        <w:t>to him by email on 6 October 2023.  There is no question that he received the notice</w:t>
      </w:r>
      <w:r w:rsidR="00F605A9" w:rsidRPr="000B7859">
        <w:rPr>
          <w:sz w:val="28"/>
          <w:szCs w:val="28"/>
        </w:rPr>
        <w:t xml:space="preserve"> or indeed that he responded to it in a manner which section 129 </w:t>
      </w:r>
      <w:r w:rsidR="0053160C" w:rsidRPr="000B7859">
        <w:rPr>
          <w:sz w:val="28"/>
          <w:szCs w:val="28"/>
        </w:rPr>
        <w:t>envisages by its ambit, read together with section 130 of the NCA</w:t>
      </w:r>
      <w:r w:rsidR="00F605A9" w:rsidRPr="000B7859">
        <w:rPr>
          <w:sz w:val="28"/>
          <w:szCs w:val="28"/>
        </w:rPr>
        <w:t xml:space="preserve">.  </w:t>
      </w:r>
    </w:p>
    <w:p w14:paraId="155EA891" w14:textId="77777777" w:rsidR="0053160C" w:rsidRPr="0053160C" w:rsidRDefault="0053160C" w:rsidP="0053160C">
      <w:pPr>
        <w:pStyle w:val="ListParagraph"/>
        <w:rPr>
          <w:sz w:val="28"/>
          <w:szCs w:val="28"/>
        </w:rPr>
      </w:pPr>
    </w:p>
    <w:p w14:paraId="6B757819" w14:textId="36AE23B4" w:rsidR="00A351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[4]</w:t>
      </w:r>
      <w:r>
        <w:rPr>
          <w:sz w:val="28"/>
          <w:szCs w:val="28"/>
        </w:rPr>
        <w:tab/>
      </w:r>
      <w:r w:rsidR="00974602" w:rsidRPr="000B7859">
        <w:rPr>
          <w:sz w:val="28"/>
          <w:szCs w:val="28"/>
        </w:rPr>
        <w:t>In the defendant’s submission</w:t>
      </w:r>
      <w:r w:rsidR="00A35103" w:rsidRPr="000B7859">
        <w:rPr>
          <w:sz w:val="28"/>
          <w:szCs w:val="28"/>
        </w:rPr>
        <w:t xml:space="preserve"> it was an implied term of the </w:t>
      </w:r>
      <w:r w:rsidR="00F605A9" w:rsidRPr="000B7859">
        <w:rPr>
          <w:sz w:val="28"/>
          <w:szCs w:val="28"/>
        </w:rPr>
        <w:t>settlement</w:t>
      </w:r>
      <w:r w:rsidR="00974602" w:rsidRPr="000B7859">
        <w:rPr>
          <w:sz w:val="28"/>
          <w:szCs w:val="28"/>
        </w:rPr>
        <w:t xml:space="preserve"> plan</w:t>
      </w:r>
      <w:r w:rsidR="00A35103" w:rsidRPr="000B7859">
        <w:rPr>
          <w:sz w:val="28"/>
          <w:szCs w:val="28"/>
        </w:rPr>
        <w:t xml:space="preserve"> that the</w:t>
      </w:r>
      <w:r w:rsidR="00F605A9" w:rsidRPr="000B7859">
        <w:rPr>
          <w:sz w:val="28"/>
          <w:szCs w:val="28"/>
        </w:rPr>
        <w:t xml:space="preserve"> further</w:t>
      </w:r>
      <w:r w:rsidR="00A35103" w:rsidRPr="000B7859">
        <w:rPr>
          <w:sz w:val="28"/>
          <w:szCs w:val="28"/>
        </w:rPr>
        <w:t xml:space="preserve"> exercise</w:t>
      </w:r>
      <w:r w:rsidR="00861903" w:rsidRPr="000B7859">
        <w:rPr>
          <w:sz w:val="28"/>
          <w:szCs w:val="28"/>
        </w:rPr>
        <w:t xml:space="preserve"> of his statutory rights emanating from section 129 would be “</w:t>
      </w:r>
      <w:r w:rsidR="00861903" w:rsidRPr="000B7859">
        <w:rPr>
          <w:i/>
          <w:sz w:val="28"/>
          <w:szCs w:val="28"/>
        </w:rPr>
        <w:t>suspended</w:t>
      </w:r>
      <w:r w:rsidR="00F605A9" w:rsidRPr="000B7859">
        <w:rPr>
          <w:sz w:val="28"/>
          <w:szCs w:val="28"/>
        </w:rPr>
        <w:t>” until either breach of</w:t>
      </w:r>
      <w:r w:rsidR="00974602" w:rsidRPr="000B7859">
        <w:rPr>
          <w:sz w:val="28"/>
          <w:szCs w:val="28"/>
        </w:rPr>
        <w:t xml:space="preserve"> such settlement plan</w:t>
      </w:r>
      <w:r w:rsidR="00861903" w:rsidRPr="000B7859">
        <w:rPr>
          <w:sz w:val="28"/>
          <w:szCs w:val="28"/>
        </w:rPr>
        <w:t xml:space="preserve"> or performance in te</w:t>
      </w:r>
      <w:r w:rsidR="00F605A9" w:rsidRPr="000B7859">
        <w:rPr>
          <w:sz w:val="28"/>
          <w:szCs w:val="28"/>
        </w:rPr>
        <w:t>rms thereof</w:t>
      </w:r>
      <w:r w:rsidR="00861903" w:rsidRPr="000B7859">
        <w:rPr>
          <w:sz w:val="28"/>
          <w:szCs w:val="28"/>
        </w:rPr>
        <w:t>.</w:t>
      </w:r>
    </w:p>
    <w:p w14:paraId="148D447B" w14:textId="77777777" w:rsidR="00861903" w:rsidRPr="00861903" w:rsidRDefault="00861903" w:rsidP="00861903">
      <w:pPr>
        <w:pStyle w:val="ListParagraph"/>
        <w:rPr>
          <w:sz w:val="28"/>
          <w:szCs w:val="28"/>
        </w:rPr>
      </w:pPr>
    </w:p>
    <w:p w14:paraId="0A88DDA8" w14:textId="6CF53A91" w:rsidR="008619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[5]</w:t>
      </w:r>
      <w:r>
        <w:rPr>
          <w:sz w:val="28"/>
          <w:szCs w:val="28"/>
        </w:rPr>
        <w:tab/>
      </w:r>
      <w:r w:rsidR="00974602" w:rsidRPr="000B7859">
        <w:rPr>
          <w:sz w:val="28"/>
          <w:szCs w:val="28"/>
        </w:rPr>
        <w:t>The settlement plan notwithstanding</w:t>
      </w:r>
      <w:r w:rsidR="009E3BEA" w:rsidRPr="000B7859">
        <w:rPr>
          <w:sz w:val="28"/>
          <w:szCs w:val="28"/>
        </w:rPr>
        <w:t>,</w:t>
      </w:r>
      <w:r w:rsidR="00974602" w:rsidRPr="000B7859">
        <w:rPr>
          <w:sz w:val="28"/>
          <w:szCs w:val="28"/>
        </w:rPr>
        <w:t xml:space="preserve"> </w:t>
      </w:r>
      <w:r w:rsidR="00861903" w:rsidRPr="000B7859">
        <w:rPr>
          <w:sz w:val="28"/>
          <w:szCs w:val="28"/>
        </w:rPr>
        <w:t>the plaintiff purported to cancel the instalment sale agreement on 6 November 2023 and instituted</w:t>
      </w:r>
      <w:r w:rsidR="00F605A9" w:rsidRPr="000B7859">
        <w:rPr>
          <w:sz w:val="28"/>
          <w:szCs w:val="28"/>
        </w:rPr>
        <w:t xml:space="preserve"> summons against </w:t>
      </w:r>
      <w:r w:rsidR="00974602" w:rsidRPr="000B7859">
        <w:rPr>
          <w:sz w:val="28"/>
          <w:szCs w:val="28"/>
        </w:rPr>
        <w:lastRenderedPageBreak/>
        <w:t>the defendant</w:t>
      </w:r>
      <w:r w:rsidR="00F605A9" w:rsidRPr="000B7859">
        <w:rPr>
          <w:sz w:val="28"/>
          <w:szCs w:val="28"/>
        </w:rPr>
        <w:t>, basing its entitlement to enforce the original credit agreement on the allegation that the 6 October 2023</w:t>
      </w:r>
      <w:r w:rsidR="00974602" w:rsidRPr="000B7859">
        <w:rPr>
          <w:sz w:val="28"/>
          <w:szCs w:val="28"/>
        </w:rPr>
        <w:t xml:space="preserve"> default</w:t>
      </w:r>
      <w:r w:rsidR="00F605A9" w:rsidRPr="000B7859">
        <w:rPr>
          <w:sz w:val="28"/>
          <w:szCs w:val="28"/>
        </w:rPr>
        <w:t xml:space="preserve"> n</w:t>
      </w:r>
      <w:r w:rsidR="0053160C" w:rsidRPr="000B7859">
        <w:rPr>
          <w:sz w:val="28"/>
          <w:szCs w:val="28"/>
        </w:rPr>
        <w:t>otice</w:t>
      </w:r>
      <w:r w:rsidR="00974602" w:rsidRPr="000B7859">
        <w:rPr>
          <w:sz w:val="28"/>
          <w:szCs w:val="28"/>
        </w:rPr>
        <w:t xml:space="preserve"> </w:t>
      </w:r>
      <w:r w:rsidR="0053160C" w:rsidRPr="000B7859">
        <w:rPr>
          <w:sz w:val="28"/>
          <w:szCs w:val="28"/>
        </w:rPr>
        <w:t>sent to him</w:t>
      </w:r>
      <w:r w:rsidR="00F605A9" w:rsidRPr="000B7859">
        <w:rPr>
          <w:sz w:val="28"/>
          <w:szCs w:val="28"/>
        </w:rPr>
        <w:t xml:space="preserve"> </w:t>
      </w:r>
      <w:r w:rsidR="00974602" w:rsidRPr="000B7859">
        <w:rPr>
          <w:sz w:val="28"/>
          <w:szCs w:val="28"/>
        </w:rPr>
        <w:t>constituted</w:t>
      </w:r>
      <w:r w:rsidR="00F605A9" w:rsidRPr="000B7859">
        <w:rPr>
          <w:sz w:val="28"/>
          <w:szCs w:val="28"/>
        </w:rPr>
        <w:t xml:space="preserve"> complian</w:t>
      </w:r>
      <w:r w:rsidR="00974602" w:rsidRPr="000B7859">
        <w:rPr>
          <w:sz w:val="28"/>
          <w:szCs w:val="28"/>
        </w:rPr>
        <w:t>ce</w:t>
      </w:r>
      <w:r w:rsidR="00F605A9" w:rsidRPr="000B7859">
        <w:rPr>
          <w:sz w:val="28"/>
          <w:szCs w:val="28"/>
        </w:rPr>
        <w:t xml:space="preserve"> with</w:t>
      </w:r>
      <w:r w:rsidR="00974602" w:rsidRPr="000B7859">
        <w:rPr>
          <w:sz w:val="28"/>
          <w:szCs w:val="28"/>
        </w:rPr>
        <w:t xml:space="preserve"> the provisions of </w:t>
      </w:r>
      <w:r w:rsidR="00F605A9" w:rsidRPr="000B7859">
        <w:rPr>
          <w:sz w:val="28"/>
          <w:szCs w:val="28"/>
        </w:rPr>
        <w:t>section 129 and that it had further complied with the provisions of section 130 of the NCA thereanent.</w:t>
      </w:r>
    </w:p>
    <w:p w14:paraId="3FAC27A2" w14:textId="77777777" w:rsidR="00861903" w:rsidRPr="00861903" w:rsidRDefault="00861903" w:rsidP="00861903">
      <w:pPr>
        <w:pStyle w:val="ListParagraph"/>
        <w:rPr>
          <w:sz w:val="28"/>
          <w:szCs w:val="28"/>
        </w:rPr>
      </w:pPr>
    </w:p>
    <w:p w14:paraId="4A795522" w14:textId="0FD838D4" w:rsidR="008619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[6]</w:t>
      </w:r>
      <w:r>
        <w:rPr>
          <w:sz w:val="28"/>
          <w:szCs w:val="28"/>
        </w:rPr>
        <w:tab/>
      </w:r>
      <w:r w:rsidR="00861903" w:rsidRPr="000B7859">
        <w:rPr>
          <w:sz w:val="28"/>
          <w:szCs w:val="28"/>
        </w:rPr>
        <w:t>In its particulars of claim the plaintiff</w:t>
      </w:r>
      <w:r w:rsidR="00974602" w:rsidRPr="000B7859">
        <w:rPr>
          <w:sz w:val="28"/>
          <w:szCs w:val="28"/>
        </w:rPr>
        <w:t xml:space="preserve"> states</w:t>
      </w:r>
      <w:r w:rsidR="00861903" w:rsidRPr="000B7859">
        <w:rPr>
          <w:sz w:val="28"/>
          <w:szCs w:val="28"/>
        </w:rPr>
        <w:t xml:space="preserve"> in </w:t>
      </w:r>
      <w:r w:rsidR="0053160C" w:rsidRPr="000B7859">
        <w:rPr>
          <w:sz w:val="28"/>
          <w:szCs w:val="28"/>
        </w:rPr>
        <w:t>clear</w:t>
      </w:r>
      <w:r w:rsidR="00974602" w:rsidRPr="000B7859">
        <w:rPr>
          <w:sz w:val="28"/>
          <w:szCs w:val="28"/>
        </w:rPr>
        <w:t xml:space="preserve"> terms</w:t>
      </w:r>
      <w:r w:rsidR="009D360E" w:rsidRPr="000B7859">
        <w:rPr>
          <w:sz w:val="28"/>
          <w:szCs w:val="28"/>
        </w:rPr>
        <w:t xml:space="preserve"> </w:t>
      </w:r>
      <w:r w:rsidR="00861903" w:rsidRPr="000B7859">
        <w:rPr>
          <w:sz w:val="28"/>
          <w:szCs w:val="28"/>
        </w:rPr>
        <w:t xml:space="preserve">that the </w:t>
      </w:r>
      <w:r w:rsidR="0053160C" w:rsidRPr="000B7859">
        <w:rPr>
          <w:sz w:val="28"/>
          <w:szCs w:val="28"/>
        </w:rPr>
        <w:t xml:space="preserve">default </w:t>
      </w:r>
      <w:r w:rsidR="00861903" w:rsidRPr="000B7859">
        <w:rPr>
          <w:sz w:val="28"/>
          <w:szCs w:val="28"/>
        </w:rPr>
        <w:t xml:space="preserve">notice dated 6 October 2023 </w:t>
      </w:r>
      <w:r w:rsidR="0053160C" w:rsidRPr="000B7859">
        <w:rPr>
          <w:sz w:val="28"/>
          <w:szCs w:val="28"/>
        </w:rPr>
        <w:t>is</w:t>
      </w:r>
      <w:r w:rsidR="00974602" w:rsidRPr="000B7859">
        <w:rPr>
          <w:sz w:val="28"/>
          <w:szCs w:val="28"/>
        </w:rPr>
        <w:t xml:space="preserve"> the</w:t>
      </w:r>
      <w:r w:rsidR="00861903" w:rsidRPr="000B7859">
        <w:rPr>
          <w:sz w:val="28"/>
          <w:szCs w:val="28"/>
        </w:rPr>
        <w:t xml:space="preserve"> notice that it relies upon to contend t</w:t>
      </w:r>
      <w:r w:rsidR="00F605A9" w:rsidRPr="000B7859">
        <w:rPr>
          <w:sz w:val="28"/>
          <w:szCs w:val="28"/>
        </w:rPr>
        <w:t>hat it has complied with the requisite</w:t>
      </w:r>
      <w:r w:rsidR="00861903" w:rsidRPr="000B7859">
        <w:rPr>
          <w:sz w:val="28"/>
          <w:szCs w:val="28"/>
        </w:rPr>
        <w:t xml:space="preserve"> provisions of section 129 (1), as read with section 130, of the NCA.</w:t>
      </w:r>
    </w:p>
    <w:p w14:paraId="2BC3C6AE" w14:textId="77777777" w:rsidR="00861903" w:rsidRPr="00861903" w:rsidRDefault="00861903" w:rsidP="00861903">
      <w:pPr>
        <w:pStyle w:val="ListParagraph"/>
        <w:rPr>
          <w:sz w:val="28"/>
          <w:szCs w:val="28"/>
        </w:rPr>
      </w:pPr>
    </w:p>
    <w:p w14:paraId="10A9C613" w14:textId="76BB51C5" w:rsidR="008619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[7]</w:t>
      </w:r>
      <w:r>
        <w:rPr>
          <w:sz w:val="28"/>
          <w:szCs w:val="28"/>
        </w:rPr>
        <w:tab/>
      </w:r>
      <w:r w:rsidR="00EA753A" w:rsidRPr="000B7859">
        <w:rPr>
          <w:sz w:val="28"/>
          <w:szCs w:val="28"/>
        </w:rPr>
        <w:t>It also alleges in paragraph</w:t>
      </w:r>
      <w:r w:rsidR="00861903" w:rsidRPr="000B7859">
        <w:rPr>
          <w:sz w:val="28"/>
          <w:szCs w:val="28"/>
        </w:rPr>
        <w:t xml:space="preserve"> 25 of its par</w:t>
      </w:r>
      <w:r w:rsidR="00F605A9" w:rsidRPr="000B7859">
        <w:rPr>
          <w:sz w:val="28"/>
          <w:szCs w:val="28"/>
        </w:rPr>
        <w:t xml:space="preserve">ticulars of claim, </w:t>
      </w:r>
      <w:r w:rsidR="00861903" w:rsidRPr="000B7859">
        <w:rPr>
          <w:sz w:val="28"/>
          <w:szCs w:val="28"/>
        </w:rPr>
        <w:t>co-incidentally in line with the</w:t>
      </w:r>
      <w:r w:rsidR="00F605A9" w:rsidRPr="000B7859">
        <w:rPr>
          <w:sz w:val="28"/>
          <w:szCs w:val="28"/>
        </w:rPr>
        <w:t xml:space="preserve"> defendant’s opposition </w:t>
      </w:r>
      <w:r w:rsidR="0053160C" w:rsidRPr="000B7859">
        <w:rPr>
          <w:sz w:val="28"/>
          <w:szCs w:val="28"/>
        </w:rPr>
        <w:t xml:space="preserve">- </w:t>
      </w:r>
      <w:r w:rsidR="00F605A9" w:rsidRPr="000B7859">
        <w:rPr>
          <w:sz w:val="28"/>
          <w:szCs w:val="28"/>
        </w:rPr>
        <w:t>except that it claims</w:t>
      </w:r>
      <w:r w:rsidR="00861903" w:rsidRPr="000B7859">
        <w:rPr>
          <w:sz w:val="28"/>
          <w:szCs w:val="28"/>
        </w:rPr>
        <w:t xml:space="preserve"> </w:t>
      </w:r>
      <w:r w:rsidR="00F605A9" w:rsidRPr="000B7859">
        <w:rPr>
          <w:sz w:val="28"/>
          <w:szCs w:val="28"/>
        </w:rPr>
        <w:t>he did</w:t>
      </w:r>
      <w:r w:rsidR="00974602" w:rsidRPr="000B7859">
        <w:rPr>
          <w:sz w:val="28"/>
          <w:szCs w:val="28"/>
        </w:rPr>
        <w:t xml:space="preserve"> not</w:t>
      </w:r>
      <w:r w:rsidR="00F605A9" w:rsidRPr="000B7859">
        <w:rPr>
          <w:sz w:val="28"/>
          <w:szCs w:val="28"/>
        </w:rPr>
        <w:t xml:space="preserve"> furnish </w:t>
      </w:r>
      <w:r w:rsidR="0053160C" w:rsidRPr="000B7859">
        <w:rPr>
          <w:sz w:val="28"/>
          <w:szCs w:val="28"/>
        </w:rPr>
        <w:t>its</w:t>
      </w:r>
      <w:r w:rsidR="00F605A9" w:rsidRPr="000B7859">
        <w:rPr>
          <w:sz w:val="28"/>
          <w:szCs w:val="28"/>
        </w:rPr>
        <w:t xml:space="preserve"> attorneys </w:t>
      </w:r>
      <w:r w:rsidR="0053160C" w:rsidRPr="000B7859">
        <w:rPr>
          <w:sz w:val="28"/>
          <w:szCs w:val="28"/>
        </w:rPr>
        <w:t>with</w:t>
      </w:r>
      <w:r w:rsidR="00F605A9" w:rsidRPr="000B7859">
        <w:rPr>
          <w:sz w:val="28"/>
          <w:szCs w:val="28"/>
        </w:rPr>
        <w:t xml:space="preserve"> his</w:t>
      </w:r>
      <w:r w:rsidR="00F605A9" w:rsidRPr="000B7859">
        <w:rPr>
          <w:i/>
          <w:sz w:val="28"/>
          <w:szCs w:val="28"/>
        </w:rPr>
        <w:t xml:space="preserve"> written payment arrangement</w:t>
      </w:r>
      <w:r w:rsidR="00F605A9" w:rsidRPr="000B7859">
        <w:rPr>
          <w:sz w:val="28"/>
          <w:szCs w:val="28"/>
        </w:rPr>
        <w:t xml:space="preserve">, </w:t>
      </w:r>
      <w:r w:rsidR="00861903" w:rsidRPr="000B7859">
        <w:rPr>
          <w:sz w:val="28"/>
          <w:szCs w:val="28"/>
        </w:rPr>
        <w:t>that:</w:t>
      </w:r>
    </w:p>
    <w:p w14:paraId="5C20779B" w14:textId="77777777" w:rsidR="00861903" w:rsidRDefault="00861903" w:rsidP="00861903">
      <w:pPr>
        <w:pStyle w:val="ListParagraph"/>
        <w:rPr>
          <w:sz w:val="28"/>
          <w:szCs w:val="28"/>
        </w:rPr>
      </w:pPr>
    </w:p>
    <w:p w14:paraId="649951B1" w14:textId="77777777" w:rsidR="00861903" w:rsidRPr="00EA753A" w:rsidRDefault="00F47525" w:rsidP="0010098B">
      <w:pPr>
        <w:pStyle w:val="ListParagraph"/>
        <w:spacing w:line="240" w:lineRule="auto"/>
        <w:jc w:val="both"/>
      </w:pPr>
      <w:r>
        <w:t>“</w:t>
      </w:r>
      <w:r w:rsidR="0010098B">
        <w:t>Prior to proceeding with legal action, the Plaintiff’s attorneys informed the Defendant of the arrears on 06 OCTOBER 2023 and afforded Defendant 6 months to settle the arrears and also requested Defendant to furnish the Plaintiff’s attorneys with his written payment arrangements which Defendant has failed to do.</w:t>
      </w:r>
      <w:r w:rsidR="00EA753A" w:rsidRPr="00EA753A">
        <w:t>”</w:t>
      </w:r>
    </w:p>
    <w:p w14:paraId="68DFF214" w14:textId="77777777" w:rsidR="00861903" w:rsidRPr="00861903" w:rsidRDefault="00861903" w:rsidP="00861903">
      <w:pPr>
        <w:pStyle w:val="ListParagraph"/>
        <w:rPr>
          <w:sz w:val="28"/>
          <w:szCs w:val="28"/>
        </w:rPr>
      </w:pPr>
    </w:p>
    <w:p w14:paraId="7256CFFD" w14:textId="48186D69" w:rsidR="00F605A9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[8]</w:t>
      </w:r>
      <w:r>
        <w:rPr>
          <w:sz w:val="28"/>
          <w:szCs w:val="28"/>
        </w:rPr>
        <w:tab/>
      </w:r>
      <w:r w:rsidR="00A502D4" w:rsidRPr="000B7859">
        <w:rPr>
          <w:sz w:val="28"/>
          <w:szCs w:val="28"/>
        </w:rPr>
        <w:t>W</w:t>
      </w:r>
      <w:r w:rsidR="00974602" w:rsidRPr="000B7859">
        <w:rPr>
          <w:sz w:val="28"/>
          <w:szCs w:val="28"/>
        </w:rPr>
        <w:t>hat the plaintiff</w:t>
      </w:r>
      <w:r w:rsidR="00A502D4" w:rsidRPr="000B7859">
        <w:rPr>
          <w:sz w:val="28"/>
          <w:szCs w:val="28"/>
        </w:rPr>
        <w:t xml:space="preserve"> also asserts in the particulars of claim (at paragraph 24.4)</w:t>
      </w:r>
      <w:r w:rsidR="009E3BEA" w:rsidRPr="000B7859">
        <w:rPr>
          <w:sz w:val="28"/>
          <w:szCs w:val="28"/>
        </w:rPr>
        <w:t xml:space="preserve">, </w:t>
      </w:r>
      <w:r w:rsidR="00974602" w:rsidRPr="000B7859">
        <w:rPr>
          <w:sz w:val="28"/>
          <w:szCs w:val="28"/>
        </w:rPr>
        <w:t xml:space="preserve">in contradiction to </w:t>
      </w:r>
      <w:r w:rsidR="0053160C" w:rsidRPr="000B7859">
        <w:rPr>
          <w:sz w:val="28"/>
          <w:szCs w:val="28"/>
        </w:rPr>
        <w:t>the averment</w:t>
      </w:r>
      <w:r w:rsidR="00A502D4" w:rsidRPr="000B7859">
        <w:rPr>
          <w:sz w:val="28"/>
          <w:szCs w:val="28"/>
        </w:rPr>
        <w:t xml:space="preserve"> in paragraph 25</w:t>
      </w:r>
      <w:r w:rsidR="0053160C" w:rsidRPr="000B7859">
        <w:rPr>
          <w:sz w:val="28"/>
          <w:szCs w:val="28"/>
        </w:rPr>
        <w:t>,</w:t>
      </w:r>
      <w:r w:rsidR="00A502D4" w:rsidRPr="000B7859">
        <w:rPr>
          <w:sz w:val="28"/>
          <w:szCs w:val="28"/>
        </w:rPr>
        <w:t xml:space="preserve"> is that the defendant has “</w:t>
      </w:r>
      <w:r w:rsidR="00A502D4" w:rsidRPr="000B7859">
        <w:rPr>
          <w:i/>
          <w:sz w:val="28"/>
          <w:szCs w:val="28"/>
        </w:rPr>
        <w:t>not responded to the Default Notice by contacting the</w:t>
      </w:r>
      <w:r w:rsidR="009E3BEA" w:rsidRPr="000B7859">
        <w:rPr>
          <w:i/>
          <w:sz w:val="28"/>
          <w:szCs w:val="28"/>
        </w:rPr>
        <w:t xml:space="preserve"> Plaintiff’s</w:t>
      </w:r>
      <w:r w:rsidR="00A502D4" w:rsidRPr="000B7859">
        <w:rPr>
          <w:i/>
          <w:sz w:val="28"/>
          <w:szCs w:val="28"/>
        </w:rPr>
        <w:t xml:space="preserve"> attorney</w:t>
      </w:r>
      <w:r w:rsidR="00974602" w:rsidRPr="000B7859">
        <w:rPr>
          <w:i/>
          <w:sz w:val="28"/>
          <w:szCs w:val="28"/>
        </w:rPr>
        <w:t>s</w:t>
      </w:r>
      <w:r w:rsidR="00A502D4" w:rsidRPr="000B7859">
        <w:rPr>
          <w:sz w:val="28"/>
          <w:szCs w:val="28"/>
        </w:rPr>
        <w:t xml:space="preserve">”. </w:t>
      </w:r>
    </w:p>
    <w:p w14:paraId="07761E3D" w14:textId="77777777" w:rsidR="00A502D4" w:rsidRDefault="00A502D4" w:rsidP="00A502D4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14:paraId="5972D16A" w14:textId="5C96F4D2" w:rsidR="00A502D4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[9]</w:t>
      </w:r>
      <w:r>
        <w:rPr>
          <w:sz w:val="28"/>
          <w:szCs w:val="28"/>
        </w:rPr>
        <w:tab/>
      </w:r>
      <w:r w:rsidR="0053160C" w:rsidRPr="000B7859">
        <w:rPr>
          <w:sz w:val="28"/>
          <w:szCs w:val="28"/>
        </w:rPr>
        <w:t xml:space="preserve">In </w:t>
      </w:r>
      <w:r w:rsidR="00A502D4" w:rsidRPr="000B7859">
        <w:rPr>
          <w:sz w:val="28"/>
          <w:szCs w:val="28"/>
        </w:rPr>
        <w:t xml:space="preserve">the founding affidavit filed in support of the summary judgment application </w:t>
      </w:r>
      <w:r w:rsidR="0053160C" w:rsidRPr="000B7859">
        <w:rPr>
          <w:sz w:val="28"/>
          <w:szCs w:val="28"/>
        </w:rPr>
        <w:t xml:space="preserve">it appears </w:t>
      </w:r>
      <w:r w:rsidR="00A502D4" w:rsidRPr="000B7859">
        <w:rPr>
          <w:sz w:val="28"/>
          <w:szCs w:val="28"/>
        </w:rPr>
        <w:t xml:space="preserve">that the plaintiff’s attorneys belatedly, in an email dated 1 February 2024, confirmed the settlement plan in essence, but requested from </w:t>
      </w:r>
      <w:r w:rsidR="0053160C" w:rsidRPr="000B7859">
        <w:rPr>
          <w:sz w:val="28"/>
          <w:szCs w:val="28"/>
        </w:rPr>
        <w:t>the defendant’s</w:t>
      </w:r>
      <w:r w:rsidR="00A502D4" w:rsidRPr="000B7859">
        <w:rPr>
          <w:sz w:val="28"/>
          <w:szCs w:val="28"/>
        </w:rPr>
        <w:t xml:space="preserve"> attorneys his “</w:t>
      </w:r>
      <w:r w:rsidR="00A502D4" w:rsidRPr="000B7859">
        <w:rPr>
          <w:i/>
          <w:sz w:val="28"/>
          <w:szCs w:val="28"/>
        </w:rPr>
        <w:t>written payment proposal in settlement of the arrears within five business days</w:t>
      </w:r>
      <w:r w:rsidR="00A502D4" w:rsidRPr="000B7859">
        <w:rPr>
          <w:sz w:val="28"/>
          <w:szCs w:val="28"/>
        </w:rPr>
        <w:t>”, alternatively directed him to file his plea.  Evidently the “</w:t>
      </w:r>
      <w:r w:rsidR="00A502D4" w:rsidRPr="000B7859">
        <w:rPr>
          <w:i/>
          <w:sz w:val="28"/>
          <w:szCs w:val="28"/>
        </w:rPr>
        <w:t>shameless and bogus Plea</w:t>
      </w:r>
      <w:r w:rsidR="00A502D4" w:rsidRPr="000B7859">
        <w:rPr>
          <w:sz w:val="28"/>
          <w:szCs w:val="28"/>
        </w:rPr>
        <w:t>”</w:t>
      </w:r>
      <w:r w:rsidR="009E3BEA" w:rsidRPr="000B7859">
        <w:rPr>
          <w:sz w:val="28"/>
          <w:szCs w:val="28"/>
        </w:rPr>
        <w:t xml:space="preserve"> (sic)</w:t>
      </w:r>
      <w:r w:rsidR="00974602" w:rsidRPr="000B7859">
        <w:rPr>
          <w:sz w:val="28"/>
          <w:szCs w:val="28"/>
        </w:rPr>
        <w:t>,</w:t>
      </w:r>
      <w:r w:rsidR="00A502D4" w:rsidRPr="000B7859">
        <w:rPr>
          <w:sz w:val="28"/>
          <w:szCs w:val="28"/>
        </w:rPr>
        <w:t xml:space="preserve"> in which the defendant asserts that the </w:t>
      </w:r>
      <w:r w:rsidR="00A502D4" w:rsidRPr="000B7859">
        <w:rPr>
          <w:sz w:val="28"/>
          <w:szCs w:val="28"/>
        </w:rPr>
        <w:lastRenderedPageBreak/>
        <w:t xml:space="preserve">plaintiff failed to properly comply with </w:t>
      </w:r>
      <w:r w:rsidR="0053160C" w:rsidRPr="000B7859">
        <w:rPr>
          <w:sz w:val="28"/>
          <w:szCs w:val="28"/>
        </w:rPr>
        <w:t xml:space="preserve">the provisions of </w:t>
      </w:r>
      <w:r w:rsidR="00A502D4" w:rsidRPr="000B7859">
        <w:rPr>
          <w:sz w:val="28"/>
          <w:szCs w:val="28"/>
        </w:rPr>
        <w:t>section 129 of the NCA</w:t>
      </w:r>
      <w:r w:rsidR="0053160C" w:rsidRPr="000B7859">
        <w:rPr>
          <w:sz w:val="28"/>
          <w:szCs w:val="28"/>
        </w:rPr>
        <w:t>,</w:t>
      </w:r>
      <w:r w:rsidR="00A502D4" w:rsidRPr="000B7859">
        <w:rPr>
          <w:sz w:val="28"/>
          <w:szCs w:val="28"/>
        </w:rPr>
        <w:t xml:space="preserve"> was the impetus for the present application.</w:t>
      </w:r>
    </w:p>
    <w:p w14:paraId="24D8C5BF" w14:textId="77777777" w:rsidR="00A502D4" w:rsidRPr="00A502D4" w:rsidRDefault="00A502D4" w:rsidP="00A502D4">
      <w:pPr>
        <w:pStyle w:val="ListParagraph"/>
        <w:rPr>
          <w:sz w:val="28"/>
          <w:szCs w:val="28"/>
        </w:rPr>
      </w:pPr>
    </w:p>
    <w:p w14:paraId="2B26FBFE" w14:textId="78D3242A" w:rsidR="00861903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[10]</w:t>
      </w:r>
      <w:r>
        <w:rPr>
          <w:sz w:val="28"/>
          <w:szCs w:val="28"/>
        </w:rPr>
        <w:tab/>
      </w:r>
      <w:r w:rsidR="00A502D4" w:rsidRPr="000B7859">
        <w:rPr>
          <w:sz w:val="28"/>
          <w:szCs w:val="28"/>
        </w:rPr>
        <w:t>Despite the fact th</w:t>
      </w:r>
      <w:r w:rsidR="0053160C" w:rsidRPr="000B7859">
        <w:rPr>
          <w:sz w:val="28"/>
          <w:szCs w:val="28"/>
        </w:rPr>
        <w:t>at the defendant has self-evidently</w:t>
      </w:r>
      <w:r w:rsidR="00A502D4" w:rsidRPr="000B7859">
        <w:rPr>
          <w:sz w:val="28"/>
          <w:szCs w:val="28"/>
        </w:rPr>
        <w:t xml:space="preserve"> not complied with his settlement plan, the </w:t>
      </w:r>
      <w:r w:rsidR="00861903" w:rsidRPr="000B7859">
        <w:rPr>
          <w:sz w:val="28"/>
          <w:szCs w:val="28"/>
        </w:rPr>
        <w:t xml:space="preserve">question </w:t>
      </w:r>
      <w:r w:rsidR="00A502D4" w:rsidRPr="000B7859">
        <w:rPr>
          <w:sz w:val="28"/>
          <w:szCs w:val="28"/>
        </w:rPr>
        <w:t xml:space="preserve">still </w:t>
      </w:r>
      <w:r w:rsidR="00861903" w:rsidRPr="000B7859">
        <w:rPr>
          <w:sz w:val="28"/>
          <w:szCs w:val="28"/>
        </w:rPr>
        <w:t>arises whether the prior notice given under the provisions of section</w:t>
      </w:r>
      <w:r w:rsidR="00A502D4" w:rsidRPr="000B7859">
        <w:rPr>
          <w:sz w:val="28"/>
          <w:szCs w:val="28"/>
        </w:rPr>
        <w:t xml:space="preserve"> </w:t>
      </w:r>
      <w:r w:rsidR="00861903" w:rsidRPr="000B7859">
        <w:rPr>
          <w:sz w:val="28"/>
          <w:szCs w:val="28"/>
        </w:rPr>
        <w:t>129 (1) is adequate for purposes of the present summary judgment application.</w:t>
      </w:r>
    </w:p>
    <w:p w14:paraId="119DFD51" w14:textId="77777777" w:rsidR="00861903" w:rsidRDefault="00861903" w:rsidP="00861903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14:paraId="750BCF2F" w14:textId="332A69A9" w:rsidR="008D6FBA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 w:rsidRPr="00A502D4">
        <w:rPr>
          <w:sz w:val="28"/>
          <w:szCs w:val="28"/>
        </w:rPr>
        <w:t>[11]</w:t>
      </w:r>
      <w:r w:rsidRPr="00A502D4">
        <w:rPr>
          <w:sz w:val="28"/>
          <w:szCs w:val="28"/>
        </w:rPr>
        <w:tab/>
      </w:r>
      <w:r w:rsidR="00861903" w:rsidRPr="000B7859">
        <w:rPr>
          <w:sz w:val="28"/>
          <w:szCs w:val="28"/>
        </w:rPr>
        <w:t xml:space="preserve">In </w:t>
      </w:r>
      <w:proofErr w:type="spellStart"/>
      <w:r w:rsidR="00861903" w:rsidRPr="000B7859">
        <w:rPr>
          <w:i/>
          <w:sz w:val="28"/>
          <w:szCs w:val="28"/>
        </w:rPr>
        <w:t>Dwenga</w:t>
      </w:r>
      <w:proofErr w:type="spellEnd"/>
      <w:r w:rsidR="00EA753A" w:rsidRPr="000B7859">
        <w:rPr>
          <w:i/>
          <w:sz w:val="28"/>
          <w:szCs w:val="28"/>
        </w:rPr>
        <w:t xml:space="preserve"> v First National Bank &amp; Others</w:t>
      </w:r>
      <w:r w:rsidR="009E3BEA" w:rsidRPr="000B7859">
        <w:rPr>
          <w:i/>
          <w:sz w:val="28"/>
          <w:szCs w:val="28"/>
        </w:rPr>
        <w:t>,</w:t>
      </w:r>
      <w:r w:rsidR="00861903">
        <w:rPr>
          <w:rStyle w:val="FootnoteReference"/>
          <w:sz w:val="28"/>
          <w:szCs w:val="28"/>
        </w:rPr>
        <w:footnoteReference w:id="2"/>
      </w:r>
      <w:r w:rsidR="00861903" w:rsidRPr="000B7859">
        <w:rPr>
          <w:sz w:val="28"/>
          <w:szCs w:val="28"/>
        </w:rPr>
        <w:t xml:space="preserve">  although in a different context where the arrears </w:t>
      </w:r>
      <w:r w:rsidR="00A502D4" w:rsidRPr="000B7859">
        <w:rPr>
          <w:sz w:val="28"/>
          <w:szCs w:val="28"/>
        </w:rPr>
        <w:t xml:space="preserve">foreshadowed by the default notice </w:t>
      </w:r>
      <w:r w:rsidR="00861903" w:rsidRPr="000B7859">
        <w:rPr>
          <w:sz w:val="28"/>
          <w:szCs w:val="28"/>
        </w:rPr>
        <w:t>had in fact been brought up to date by the time of the issue of the summons (here the defendant suggests that a lump sum wa</w:t>
      </w:r>
      <w:r w:rsidR="00A502D4" w:rsidRPr="000B7859">
        <w:rPr>
          <w:sz w:val="28"/>
          <w:szCs w:val="28"/>
        </w:rPr>
        <w:t>s to have been paid and that that</w:t>
      </w:r>
      <w:r w:rsidR="0053160C" w:rsidRPr="000B7859">
        <w:rPr>
          <w:sz w:val="28"/>
          <w:szCs w:val="28"/>
        </w:rPr>
        <w:t xml:space="preserve"> payment is yet</w:t>
      </w:r>
      <w:r w:rsidR="00861903" w:rsidRPr="000B7859">
        <w:rPr>
          <w:sz w:val="28"/>
          <w:szCs w:val="28"/>
        </w:rPr>
        <w:t xml:space="preserve"> to materialize</w:t>
      </w:r>
      <w:r w:rsidR="00A502D4" w:rsidRPr="000B7859">
        <w:rPr>
          <w:sz w:val="28"/>
          <w:szCs w:val="28"/>
        </w:rPr>
        <w:t xml:space="preserve">), </w:t>
      </w:r>
      <w:r w:rsidR="00D5495A" w:rsidRPr="000B7859">
        <w:rPr>
          <w:sz w:val="28"/>
          <w:szCs w:val="28"/>
        </w:rPr>
        <w:t xml:space="preserve">I ruled that the notice in </w:t>
      </w:r>
      <w:proofErr w:type="spellStart"/>
      <w:r w:rsidR="00A502D4" w:rsidRPr="000B7859">
        <w:rPr>
          <w:i/>
          <w:sz w:val="28"/>
          <w:szCs w:val="28"/>
        </w:rPr>
        <w:t>Dwenga</w:t>
      </w:r>
      <w:proofErr w:type="spellEnd"/>
      <w:r w:rsidR="00A502D4" w:rsidRPr="000B7859">
        <w:rPr>
          <w:sz w:val="28"/>
          <w:szCs w:val="28"/>
        </w:rPr>
        <w:t xml:space="preserve"> </w:t>
      </w:r>
      <w:r w:rsidR="00D5495A" w:rsidRPr="000B7859">
        <w:rPr>
          <w:sz w:val="28"/>
          <w:szCs w:val="28"/>
        </w:rPr>
        <w:t>no longer had any efficacy</w:t>
      </w:r>
      <w:r w:rsidR="0053160C" w:rsidRPr="000B7859">
        <w:rPr>
          <w:sz w:val="28"/>
          <w:szCs w:val="28"/>
        </w:rPr>
        <w:t xml:space="preserve"> and that a fresh notice had to h</w:t>
      </w:r>
      <w:r w:rsidR="009E3BEA" w:rsidRPr="000B7859">
        <w:rPr>
          <w:sz w:val="28"/>
          <w:szCs w:val="28"/>
        </w:rPr>
        <w:t>ave been issued</w:t>
      </w:r>
      <w:r w:rsidR="00974602" w:rsidRPr="000B7859">
        <w:rPr>
          <w:sz w:val="28"/>
          <w:szCs w:val="28"/>
        </w:rPr>
        <w:t xml:space="preserve"> in order for the plaintiff to have</w:t>
      </w:r>
      <w:r w:rsidR="0053160C" w:rsidRPr="000B7859">
        <w:rPr>
          <w:sz w:val="28"/>
          <w:szCs w:val="28"/>
        </w:rPr>
        <w:t xml:space="preserve"> compli</w:t>
      </w:r>
      <w:r w:rsidR="00974602" w:rsidRPr="000B7859">
        <w:rPr>
          <w:sz w:val="28"/>
          <w:szCs w:val="28"/>
        </w:rPr>
        <w:t>ed</w:t>
      </w:r>
      <w:r w:rsidR="0053160C" w:rsidRPr="000B7859">
        <w:rPr>
          <w:sz w:val="28"/>
          <w:szCs w:val="28"/>
        </w:rPr>
        <w:t xml:space="preserve"> with the provisions of section 129 of the NCA</w:t>
      </w:r>
      <w:r w:rsidR="00974602" w:rsidRPr="000B7859">
        <w:rPr>
          <w:sz w:val="28"/>
          <w:szCs w:val="28"/>
        </w:rPr>
        <w:t>.</w:t>
      </w:r>
      <w:r w:rsidR="00D5495A">
        <w:rPr>
          <w:rStyle w:val="FootnoteReference"/>
          <w:sz w:val="28"/>
          <w:szCs w:val="28"/>
        </w:rPr>
        <w:footnoteReference w:id="3"/>
      </w:r>
      <w:r w:rsidR="00974602" w:rsidRPr="000B7859">
        <w:rPr>
          <w:sz w:val="28"/>
          <w:szCs w:val="28"/>
        </w:rPr>
        <w:t xml:space="preserve">  I illustrated</w:t>
      </w:r>
      <w:r w:rsidR="0053160C" w:rsidRPr="000B7859">
        <w:rPr>
          <w:sz w:val="28"/>
          <w:szCs w:val="28"/>
        </w:rPr>
        <w:t xml:space="preserve"> fu</w:t>
      </w:r>
      <w:r w:rsidR="00A502D4" w:rsidRPr="000B7859">
        <w:rPr>
          <w:sz w:val="28"/>
          <w:szCs w:val="28"/>
        </w:rPr>
        <w:t xml:space="preserve">rther, with reference to </w:t>
      </w:r>
      <w:r w:rsidR="008D6FBA" w:rsidRPr="000B7859">
        <w:rPr>
          <w:i/>
          <w:sz w:val="28"/>
          <w:szCs w:val="28"/>
        </w:rPr>
        <w:t>Starita (aka Van Jaarsveld) v ABSA Bank Ltd &amp; another</w:t>
      </w:r>
      <w:r w:rsidR="00A502D4" w:rsidRPr="000B7859">
        <w:rPr>
          <w:sz w:val="28"/>
          <w:szCs w:val="28"/>
        </w:rPr>
        <w:t>,</w:t>
      </w:r>
      <w:r w:rsidR="008D6FBA">
        <w:rPr>
          <w:rStyle w:val="FootnoteReference"/>
          <w:sz w:val="28"/>
          <w:szCs w:val="28"/>
        </w:rPr>
        <w:footnoteReference w:id="4"/>
      </w:r>
      <w:r w:rsidR="008D6FBA" w:rsidRPr="000B7859">
        <w:rPr>
          <w:sz w:val="28"/>
          <w:szCs w:val="28"/>
        </w:rPr>
        <w:t xml:space="preserve"> </w:t>
      </w:r>
      <w:r w:rsidR="00A502D4" w:rsidRPr="000B7859">
        <w:rPr>
          <w:sz w:val="28"/>
          <w:szCs w:val="28"/>
        </w:rPr>
        <w:t xml:space="preserve">that </w:t>
      </w:r>
      <w:r w:rsidR="008D6FBA" w:rsidRPr="000B7859">
        <w:rPr>
          <w:sz w:val="28"/>
          <w:szCs w:val="28"/>
        </w:rPr>
        <w:t>there is no time period specified in the NCA for the continued validity of a section 129 notice, nor can one be implied.  Its ongoing vali</w:t>
      </w:r>
      <w:r w:rsidR="0053160C" w:rsidRPr="000B7859">
        <w:rPr>
          <w:sz w:val="28"/>
          <w:szCs w:val="28"/>
        </w:rPr>
        <w:t>dity depends on the facts of each</w:t>
      </w:r>
      <w:r w:rsidR="008D6FBA" w:rsidRPr="000B7859">
        <w:rPr>
          <w:sz w:val="28"/>
          <w:szCs w:val="28"/>
        </w:rPr>
        <w:t xml:space="preserve"> case.</w:t>
      </w:r>
    </w:p>
    <w:p w14:paraId="61183835" w14:textId="77777777" w:rsidR="00D5495A" w:rsidRPr="00D5495A" w:rsidRDefault="00D5495A" w:rsidP="00D5495A">
      <w:pPr>
        <w:pStyle w:val="ListParagraph"/>
        <w:rPr>
          <w:sz w:val="28"/>
          <w:szCs w:val="28"/>
        </w:rPr>
      </w:pPr>
    </w:p>
    <w:p w14:paraId="79312616" w14:textId="5F8401B4" w:rsidR="00974602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[12]</w:t>
      </w:r>
      <w:r>
        <w:rPr>
          <w:sz w:val="28"/>
          <w:szCs w:val="28"/>
        </w:rPr>
        <w:tab/>
      </w:r>
      <w:r w:rsidR="00974602" w:rsidRPr="000B7859">
        <w:rPr>
          <w:sz w:val="28"/>
          <w:szCs w:val="28"/>
        </w:rPr>
        <w:t xml:space="preserve">In this instance </w:t>
      </w:r>
      <w:r w:rsidR="00D5495A" w:rsidRPr="000B7859">
        <w:rPr>
          <w:sz w:val="28"/>
          <w:szCs w:val="28"/>
        </w:rPr>
        <w:t xml:space="preserve">the defendant </w:t>
      </w:r>
      <w:r w:rsidR="00974602" w:rsidRPr="000B7859">
        <w:rPr>
          <w:sz w:val="28"/>
          <w:szCs w:val="28"/>
        </w:rPr>
        <w:t>contends that</w:t>
      </w:r>
      <w:r w:rsidR="00D5495A" w:rsidRPr="000B7859">
        <w:rPr>
          <w:sz w:val="28"/>
          <w:szCs w:val="28"/>
        </w:rPr>
        <w:t xml:space="preserve"> the</w:t>
      </w:r>
      <w:r w:rsidR="00A502D4" w:rsidRPr="000B7859">
        <w:rPr>
          <w:sz w:val="28"/>
          <w:szCs w:val="28"/>
        </w:rPr>
        <w:t xml:space="preserve"> default notice </w:t>
      </w:r>
      <w:r w:rsidR="00D5495A" w:rsidRPr="000B7859">
        <w:rPr>
          <w:sz w:val="28"/>
          <w:szCs w:val="28"/>
        </w:rPr>
        <w:t>“</w:t>
      </w:r>
      <w:r w:rsidR="00D5495A" w:rsidRPr="000B7859">
        <w:rPr>
          <w:i/>
          <w:sz w:val="28"/>
          <w:szCs w:val="28"/>
        </w:rPr>
        <w:t>lapsed</w:t>
      </w:r>
      <w:r w:rsidR="00D5495A" w:rsidRPr="000B7859">
        <w:rPr>
          <w:sz w:val="28"/>
          <w:szCs w:val="28"/>
        </w:rPr>
        <w:t>” and that there ought to have been a further notice in terms of section 129</w:t>
      </w:r>
      <w:r w:rsidR="00A502D4" w:rsidRPr="000B7859">
        <w:rPr>
          <w:sz w:val="28"/>
          <w:szCs w:val="28"/>
        </w:rPr>
        <w:t xml:space="preserve"> issued to him once there was a breach of the </w:t>
      </w:r>
      <w:r w:rsidR="00D5495A" w:rsidRPr="000B7859">
        <w:rPr>
          <w:sz w:val="28"/>
          <w:szCs w:val="28"/>
        </w:rPr>
        <w:t>agree</w:t>
      </w:r>
      <w:r w:rsidR="00A502D4" w:rsidRPr="000B7859">
        <w:rPr>
          <w:sz w:val="28"/>
          <w:szCs w:val="28"/>
        </w:rPr>
        <w:t>d upon plan</w:t>
      </w:r>
      <w:r w:rsidR="00D5495A" w:rsidRPr="000B7859">
        <w:rPr>
          <w:sz w:val="28"/>
          <w:szCs w:val="28"/>
        </w:rPr>
        <w:t xml:space="preserve">.  </w:t>
      </w:r>
    </w:p>
    <w:p w14:paraId="6D8F1C37" w14:textId="77777777" w:rsidR="00974602" w:rsidRPr="00974602" w:rsidRDefault="00974602" w:rsidP="00974602">
      <w:pPr>
        <w:pStyle w:val="ListParagraph"/>
        <w:rPr>
          <w:sz w:val="28"/>
          <w:szCs w:val="28"/>
        </w:rPr>
      </w:pPr>
    </w:p>
    <w:p w14:paraId="263A5E7F" w14:textId="6A06799C" w:rsidR="00D5495A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 w:rsidRPr="00A502D4">
        <w:rPr>
          <w:sz w:val="28"/>
          <w:szCs w:val="28"/>
        </w:rPr>
        <w:t>[13]</w:t>
      </w:r>
      <w:r w:rsidRPr="00A502D4"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>Whilst I am less inclined to accept the defendant’s argument that the</w:t>
      </w:r>
      <w:r w:rsidR="009E3BEA" w:rsidRPr="000B7859">
        <w:rPr>
          <w:sz w:val="28"/>
          <w:szCs w:val="28"/>
        </w:rPr>
        <w:t xml:space="preserve"> settlement</w:t>
      </w:r>
      <w:r w:rsidR="0053160C" w:rsidRPr="000B7859">
        <w:rPr>
          <w:sz w:val="28"/>
          <w:szCs w:val="28"/>
        </w:rPr>
        <w:t xml:space="preserve"> plan</w:t>
      </w:r>
      <w:r w:rsidR="00974602" w:rsidRPr="000B7859">
        <w:rPr>
          <w:sz w:val="28"/>
          <w:szCs w:val="28"/>
        </w:rPr>
        <w:t xml:space="preserve"> following upon receipt of</w:t>
      </w:r>
      <w:r w:rsidR="00D5495A" w:rsidRPr="000B7859">
        <w:rPr>
          <w:sz w:val="28"/>
          <w:szCs w:val="28"/>
        </w:rPr>
        <w:t xml:space="preserve"> the notice novate</w:t>
      </w:r>
      <w:r w:rsidR="00A502D4" w:rsidRPr="000B7859">
        <w:rPr>
          <w:sz w:val="28"/>
          <w:szCs w:val="28"/>
        </w:rPr>
        <w:t xml:space="preserve">d the original credit </w:t>
      </w:r>
      <w:r w:rsidR="00A502D4" w:rsidRPr="000B7859">
        <w:rPr>
          <w:sz w:val="28"/>
          <w:szCs w:val="28"/>
        </w:rPr>
        <w:lastRenderedPageBreak/>
        <w:t>agreement, t</w:t>
      </w:r>
      <w:r w:rsidR="009E3BEA" w:rsidRPr="000B7859">
        <w:rPr>
          <w:sz w:val="28"/>
          <w:szCs w:val="28"/>
        </w:rPr>
        <w:t xml:space="preserve">here is indeed </w:t>
      </w:r>
      <w:r w:rsidR="00D5495A" w:rsidRPr="000B7859">
        <w:rPr>
          <w:sz w:val="28"/>
          <w:szCs w:val="28"/>
        </w:rPr>
        <w:t>merit</w:t>
      </w:r>
      <w:r w:rsidR="009E3BEA" w:rsidRPr="000B7859">
        <w:rPr>
          <w:sz w:val="28"/>
          <w:szCs w:val="28"/>
        </w:rPr>
        <w:t xml:space="preserve"> </w:t>
      </w:r>
      <w:r w:rsidR="00D5495A" w:rsidRPr="000B7859">
        <w:rPr>
          <w:sz w:val="28"/>
          <w:szCs w:val="28"/>
        </w:rPr>
        <w:t>in the submission</w:t>
      </w:r>
      <w:r w:rsidR="00A502D4" w:rsidRPr="000B7859">
        <w:rPr>
          <w:sz w:val="28"/>
          <w:szCs w:val="28"/>
        </w:rPr>
        <w:t xml:space="preserve"> made</w:t>
      </w:r>
      <w:r w:rsidR="00D5495A" w:rsidRPr="000B7859">
        <w:rPr>
          <w:sz w:val="28"/>
          <w:szCs w:val="28"/>
        </w:rPr>
        <w:t xml:space="preserve"> on his behalf</w:t>
      </w:r>
      <w:r w:rsidR="00557A87" w:rsidRPr="000B7859">
        <w:rPr>
          <w:sz w:val="28"/>
          <w:szCs w:val="28"/>
        </w:rPr>
        <w:t xml:space="preserve"> that the peculiar situation</w:t>
      </w:r>
      <w:r w:rsidR="00D5495A" w:rsidRPr="000B7859">
        <w:rPr>
          <w:sz w:val="28"/>
          <w:szCs w:val="28"/>
        </w:rPr>
        <w:t xml:space="preserve"> that pertained here (reinforced by the</w:t>
      </w:r>
      <w:r w:rsidR="00A502D4" w:rsidRPr="000B7859">
        <w:rPr>
          <w:sz w:val="28"/>
          <w:szCs w:val="28"/>
        </w:rPr>
        <w:t xml:space="preserve"> vague and confusing</w:t>
      </w:r>
      <w:r w:rsidR="00D5495A" w:rsidRPr="000B7859">
        <w:rPr>
          <w:sz w:val="28"/>
          <w:szCs w:val="28"/>
        </w:rPr>
        <w:t xml:space="preserve"> manner in which the</w:t>
      </w:r>
      <w:r w:rsidR="00A502D4" w:rsidRPr="000B7859">
        <w:rPr>
          <w:sz w:val="28"/>
          <w:szCs w:val="28"/>
        </w:rPr>
        <w:t xml:space="preserve"> plaintiff has alleged compliance with the requisite provision of section 129, read with section 130, of the NCA</w:t>
      </w:r>
      <w:r w:rsidR="0053160C" w:rsidRPr="000B7859">
        <w:rPr>
          <w:sz w:val="28"/>
          <w:szCs w:val="28"/>
        </w:rPr>
        <w:t>)</w:t>
      </w:r>
      <w:r w:rsidR="00A502D4" w:rsidRPr="000B7859">
        <w:rPr>
          <w:sz w:val="28"/>
          <w:szCs w:val="28"/>
        </w:rPr>
        <w:t xml:space="preserve">, </w:t>
      </w:r>
      <w:r w:rsidR="0053160C" w:rsidRPr="000B7859">
        <w:rPr>
          <w:sz w:val="28"/>
          <w:szCs w:val="28"/>
        </w:rPr>
        <w:t>required a</w:t>
      </w:r>
      <w:r w:rsidR="00A502D4" w:rsidRPr="000B7859">
        <w:rPr>
          <w:sz w:val="28"/>
          <w:szCs w:val="28"/>
        </w:rPr>
        <w:t xml:space="preserve"> re-issue of </w:t>
      </w:r>
      <w:r w:rsidR="0053160C" w:rsidRPr="000B7859">
        <w:rPr>
          <w:sz w:val="28"/>
          <w:szCs w:val="28"/>
        </w:rPr>
        <w:t>a de</w:t>
      </w:r>
      <w:r w:rsidR="00557A87" w:rsidRPr="000B7859">
        <w:rPr>
          <w:sz w:val="28"/>
          <w:szCs w:val="28"/>
        </w:rPr>
        <w:t>fault</w:t>
      </w:r>
      <w:r w:rsidR="00A502D4" w:rsidRPr="000B7859">
        <w:rPr>
          <w:sz w:val="28"/>
          <w:szCs w:val="28"/>
        </w:rPr>
        <w:t xml:space="preserve"> notice</w:t>
      </w:r>
      <w:r w:rsidR="0053160C" w:rsidRPr="000B7859">
        <w:rPr>
          <w:sz w:val="28"/>
          <w:szCs w:val="28"/>
        </w:rPr>
        <w:t xml:space="preserve">, not in respect of </w:t>
      </w:r>
      <w:r w:rsidR="00557A87" w:rsidRPr="000B7859">
        <w:rPr>
          <w:sz w:val="28"/>
          <w:szCs w:val="28"/>
        </w:rPr>
        <w:t>his evident</w:t>
      </w:r>
      <w:r w:rsidR="0053160C" w:rsidRPr="000B7859">
        <w:rPr>
          <w:sz w:val="28"/>
          <w:szCs w:val="28"/>
        </w:rPr>
        <w:t xml:space="preserve"> breach of the settlement </w:t>
      </w:r>
      <w:r w:rsidR="00557A87" w:rsidRPr="000B7859">
        <w:rPr>
          <w:sz w:val="28"/>
          <w:szCs w:val="28"/>
        </w:rPr>
        <w:t>plan</w:t>
      </w:r>
      <w:r w:rsidR="0053160C" w:rsidRPr="000B7859">
        <w:rPr>
          <w:sz w:val="28"/>
          <w:szCs w:val="28"/>
        </w:rPr>
        <w:t>, but adverting to the defendant’s being in default under the credit agreement</w:t>
      </w:r>
      <w:r w:rsidR="00557A87" w:rsidRPr="000B7859">
        <w:rPr>
          <w:sz w:val="28"/>
          <w:szCs w:val="28"/>
        </w:rPr>
        <w:t xml:space="preserve"> and inviting him once again to exercise the rights that avail him under section 129</w:t>
      </w:r>
      <w:r w:rsidR="0053160C" w:rsidRPr="000B7859">
        <w:rPr>
          <w:sz w:val="28"/>
          <w:szCs w:val="28"/>
        </w:rPr>
        <w:t>.</w:t>
      </w:r>
    </w:p>
    <w:p w14:paraId="2847F2FF" w14:textId="77777777" w:rsidR="00D5495A" w:rsidRPr="00D5495A" w:rsidRDefault="00D5495A" w:rsidP="00D5495A">
      <w:pPr>
        <w:pStyle w:val="ListParagraph"/>
        <w:rPr>
          <w:sz w:val="28"/>
          <w:szCs w:val="28"/>
        </w:rPr>
      </w:pPr>
    </w:p>
    <w:p w14:paraId="6B41F7B3" w14:textId="187D70A9" w:rsidR="00D5495A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[14]</w:t>
      </w:r>
      <w:r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 xml:space="preserve">I take the defendant’s submission that the </w:t>
      </w:r>
      <w:r w:rsidR="0053160C" w:rsidRPr="000B7859">
        <w:rPr>
          <w:sz w:val="28"/>
          <w:szCs w:val="28"/>
        </w:rPr>
        <w:t xml:space="preserve">plaintiff’s </w:t>
      </w:r>
      <w:r w:rsidR="00D5495A" w:rsidRPr="000B7859">
        <w:rPr>
          <w:sz w:val="28"/>
          <w:szCs w:val="28"/>
        </w:rPr>
        <w:t>allegation</w:t>
      </w:r>
      <w:r w:rsidR="0053160C" w:rsidRPr="000B7859">
        <w:rPr>
          <w:sz w:val="28"/>
          <w:szCs w:val="28"/>
        </w:rPr>
        <w:t xml:space="preserve"> in the particulars of claim</w:t>
      </w:r>
      <w:r w:rsidR="00D5495A" w:rsidRPr="000B7859">
        <w:rPr>
          <w:sz w:val="28"/>
          <w:szCs w:val="28"/>
        </w:rPr>
        <w:t xml:space="preserve"> </w:t>
      </w:r>
      <w:r w:rsidR="00B93D1B" w:rsidRPr="000B7859">
        <w:rPr>
          <w:sz w:val="28"/>
          <w:szCs w:val="28"/>
        </w:rPr>
        <w:t xml:space="preserve">that </w:t>
      </w:r>
      <w:r w:rsidR="00D5495A" w:rsidRPr="000B7859">
        <w:rPr>
          <w:sz w:val="28"/>
          <w:szCs w:val="28"/>
        </w:rPr>
        <w:t>at the time of the issue of the</w:t>
      </w:r>
      <w:r w:rsidR="00B93D1B" w:rsidRPr="000B7859">
        <w:rPr>
          <w:sz w:val="28"/>
          <w:szCs w:val="28"/>
        </w:rPr>
        <w:t xml:space="preserve"> summons </w:t>
      </w:r>
      <w:r w:rsidR="00D5495A" w:rsidRPr="000B7859">
        <w:rPr>
          <w:sz w:val="28"/>
          <w:szCs w:val="28"/>
        </w:rPr>
        <w:t>he had not responded to the default notice by contacting the plaintiff’s attorneys</w:t>
      </w:r>
      <w:r w:rsidR="009D360E" w:rsidRPr="000B7859">
        <w:rPr>
          <w:sz w:val="28"/>
          <w:szCs w:val="28"/>
        </w:rPr>
        <w:t xml:space="preserve"> was simply </w:t>
      </w:r>
      <w:r w:rsidR="00B93D1B" w:rsidRPr="000B7859">
        <w:rPr>
          <w:sz w:val="28"/>
          <w:szCs w:val="28"/>
        </w:rPr>
        <w:t>not correct.</w:t>
      </w:r>
      <w:r w:rsidR="00557A87" w:rsidRPr="000B7859">
        <w:rPr>
          <w:sz w:val="28"/>
          <w:szCs w:val="28"/>
        </w:rPr>
        <w:t xml:space="preserve">  Instead he had explored a non-litigious way to purge his default, even if he failed to </w:t>
      </w:r>
      <w:proofErr w:type="spellStart"/>
      <w:r w:rsidR="00557A87" w:rsidRPr="000B7859">
        <w:rPr>
          <w:sz w:val="28"/>
          <w:szCs w:val="28"/>
        </w:rPr>
        <w:t>honour</w:t>
      </w:r>
      <w:proofErr w:type="spellEnd"/>
      <w:r w:rsidR="00557A87" w:rsidRPr="000B7859">
        <w:rPr>
          <w:sz w:val="28"/>
          <w:szCs w:val="28"/>
        </w:rPr>
        <w:t xml:space="preserve"> that plan.</w:t>
      </w:r>
    </w:p>
    <w:p w14:paraId="5CC890C7" w14:textId="77777777" w:rsidR="00D5495A" w:rsidRPr="00D5495A" w:rsidRDefault="00D5495A" w:rsidP="00D5495A">
      <w:pPr>
        <w:pStyle w:val="ListParagraph"/>
        <w:rPr>
          <w:sz w:val="28"/>
          <w:szCs w:val="28"/>
        </w:rPr>
      </w:pPr>
    </w:p>
    <w:p w14:paraId="1566FAC9" w14:textId="5A09C830" w:rsidR="00D5495A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[15]</w:t>
      </w:r>
      <w:r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 xml:space="preserve">In the result I am inclined to </w:t>
      </w:r>
      <w:r w:rsidR="009D360E" w:rsidRPr="000B7859">
        <w:rPr>
          <w:sz w:val="28"/>
          <w:szCs w:val="28"/>
        </w:rPr>
        <w:t xml:space="preserve">agree with </w:t>
      </w:r>
      <w:r w:rsidR="00D5495A" w:rsidRPr="000B7859">
        <w:rPr>
          <w:sz w:val="28"/>
          <w:szCs w:val="28"/>
        </w:rPr>
        <w:t xml:space="preserve">Mr. Meyers’ submission on his behalf that the issue of the summons was premature in </w:t>
      </w:r>
      <w:r w:rsidR="00B93D1B" w:rsidRPr="000B7859">
        <w:rPr>
          <w:sz w:val="28"/>
          <w:szCs w:val="28"/>
        </w:rPr>
        <w:t>t</w:t>
      </w:r>
      <w:r w:rsidR="00D5495A" w:rsidRPr="000B7859">
        <w:rPr>
          <w:sz w:val="28"/>
          <w:szCs w:val="28"/>
        </w:rPr>
        <w:t>his instance, in relation</w:t>
      </w:r>
      <w:r w:rsidR="00B93D1B" w:rsidRPr="000B7859">
        <w:rPr>
          <w:sz w:val="28"/>
          <w:szCs w:val="28"/>
        </w:rPr>
        <w:t xml:space="preserve"> to</w:t>
      </w:r>
      <w:r w:rsidR="00D5495A" w:rsidRPr="000B7859">
        <w:rPr>
          <w:sz w:val="28"/>
          <w:szCs w:val="28"/>
        </w:rPr>
        <w:t xml:space="preserve"> the </w:t>
      </w:r>
      <w:r w:rsidR="00B93D1B" w:rsidRPr="000B7859">
        <w:rPr>
          <w:sz w:val="28"/>
          <w:szCs w:val="28"/>
        </w:rPr>
        <w:t>section 129 notice relied upon</w:t>
      </w:r>
      <w:r w:rsidR="009D360E" w:rsidRPr="000B7859">
        <w:rPr>
          <w:sz w:val="28"/>
          <w:szCs w:val="28"/>
        </w:rPr>
        <w:t>,</w:t>
      </w:r>
      <w:r w:rsidR="00B93D1B" w:rsidRPr="000B7859">
        <w:rPr>
          <w:sz w:val="28"/>
          <w:szCs w:val="28"/>
        </w:rPr>
        <w:t xml:space="preserve"> and that there was not proper compliance with the provisions of section 130 of the NCA </w:t>
      </w:r>
      <w:r w:rsidR="009D360E" w:rsidRPr="000B7859">
        <w:rPr>
          <w:sz w:val="28"/>
          <w:szCs w:val="28"/>
        </w:rPr>
        <w:t xml:space="preserve">thereanent, </w:t>
      </w:r>
      <w:r w:rsidR="00B93D1B" w:rsidRPr="000B7859">
        <w:rPr>
          <w:sz w:val="28"/>
          <w:szCs w:val="28"/>
        </w:rPr>
        <w:t>which precludes legal enforcement of a debt before the provisions of section 130 can be said to have been met.</w:t>
      </w:r>
    </w:p>
    <w:p w14:paraId="2AAFB85A" w14:textId="77777777" w:rsidR="00557A87" w:rsidRPr="00557A87" w:rsidRDefault="00557A87" w:rsidP="00557A87">
      <w:pPr>
        <w:pStyle w:val="ListParagraph"/>
        <w:rPr>
          <w:sz w:val="28"/>
          <w:szCs w:val="28"/>
        </w:rPr>
      </w:pPr>
    </w:p>
    <w:p w14:paraId="32402B8A" w14:textId="781B8694" w:rsidR="00557A87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[16]</w:t>
      </w:r>
      <w:r>
        <w:rPr>
          <w:sz w:val="28"/>
          <w:szCs w:val="28"/>
        </w:rPr>
        <w:tab/>
      </w:r>
      <w:r w:rsidR="00557A87" w:rsidRPr="000B7859">
        <w:rPr>
          <w:sz w:val="28"/>
          <w:szCs w:val="28"/>
        </w:rPr>
        <w:t>In this instance section 130 (4) of the NCA provides the appropriate remedy.</w:t>
      </w:r>
    </w:p>
    <w:p w14:paraId="62D3149D" w14:textId="77777777" w:rsidR="00D5495A" w:rsidRPr="00D5495A" w:rsidRDefault="00D5495A" w:rsidP="00D5495A">
      <w:pPr>
        <w:pStyle w:val="ListParagraph"/>
        <w:rPr>
          <w:sz w:val="28"/>
          <w:szCs w:val="28"/>
        </w:rPr>
      </w:pPr>
    </w:p>
    <w:p w14:paraId="56CAAFD0" w14:textId="4330AD43" w:rsidR="00D5495A" w:rsidRPr="000B7859" w:rsidRDefault="000B7859" w:rsidP="000B78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[17]</w:t>
      </w:r>
      <w:r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>I</w:t>
      </w:r>
      <w:r w:rsidR="009D360E" w:rsidRPr="000B7859">
        <w:rPr>
          <w:sz w:val="28"/>
          <w:szCs w:val="28"/>
        </w:rPr>
        <w:t xml:space="preserve">n the result, I </w:t>
      </w:r>
      <w:r w:rsidR="00D5495A" w:rsidRPr="000B7859">
        <w:rPr>
          <w:sz w:val="28"/>
          <w:szCs w:val="28"/>
        </w:rPr>
        <w:t>issue the following order:</w:t>
      </w:r>
    </w:p>
    <w:p w14:paraId="38C7A42B" w14:textId="77777777" w:rsidR="00D5495A" w:rsidRDefault="00D5495A" w:rsidP="00D5495A">
      <w:pPr>
        <w:pStyle w:val="ListParagraph"/>
        <w:rPr>
          <w:sz w:val="28"/>
          <w:szCs w:val="28"/>
        </w:rPr>
      </w:pPr>
    </w:p>
    <w:p w14:paraId="5DF1C4C9" w14:textId="0CC6759D" w:rsidR="00B93D1B" w:rsidRPr="000B7859" w:rsidRDefault="000B7859" w:rsidP="000B7859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93D1B" w:rsidRPr="000B7859">
        <w:rPr>
          <w:sz w:val="28"/>
          <w:szCs w:val="28"/>
        </w:rPr>
        <w:t>The application for summary judgment is dismissed.</w:t>
      </w:r>
    </w:p>
    <w:p w14:paraId="1F173195" w14:textId="25B5D0D9" w:rsidR="00B93D1B" w:rsidRPr="000B7859" w:rsidRDefault="000B7859" w:rsidP="000B7859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93D1B" w:rsidRPr="000B7859">
        <w:rPr>
          <w:sz w:val="28"/>
          <w:szCs w:val="28"/>
        </w:rPr>
        <w:t>The defendant is granted leave to defend the action.</w:t>
      </w:r>
    </w:p>
    <w:p w14:paraId="57D5DD72" w14:textId="07789CDB" w:rsidR="00D5495A" w:rsidRPr="000B7859" w:rsidRDefault="000B7859" w:rsidP="000B7859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>The</w:t>
      </w:r>
      <w:r w:rsidR="00B93D1B" w:rsidRPr="000B7859">
        <w:rPr>
          <w:sz w:val="28"/>
          <w:szCs w:val="28"/>
        </w:rPr>
        <w:t xml:space="preserve"> action</w:t>
      </w:r>
      <w:r w:rsidR="00D5495A" w:rsidRPr="000B7859">
        <w:rPr>
          <w:sz w:val="28"/>
          <w:szCs w:val="28"/>
        </w:rPr>
        <w:t xml:space="preserve"> proceedings in this </w:t>
      </w:r>
      <w:r w:rsidR="00B93D1B" w:rsidRPr="000B7859">
        <w:rPr>
          <w:sz w:val="28"/>
          <w:szCs w:val="28"/>
        </w:rPr>
        <w:t>matter</w:t>
      </w:r>
      <w:r w:rsidR="00D5495A" w:rsidRPr="000B7859">
        <w:rPr>
          <w:sz w:val="28"/>
          <w:szCs w:val="28"/>
        </w:rPr>
        <w:t xml:space="preserve"> are stayed </w:t>
      </w:r>
      <w:r w:rsidR="00B93D1B" w:rsidRPr="000B7859">
        <w:rPr>
          <w:sz w:val="28"/>
          <w:szCs w:val="28"/>
        </w:rPr>
        <w:t>until ten (10</w:t>
      </w:r>
      <w:r w:rsidR="0010098B" w:rsidRPr="000B7859">
        <w:rPr>
          <w:sz w:val="28"/>
          <w:szCs w:val="28"/>
        </w:rPr>
        <w:t>)</w:t>
      </w:r>
      <w:r w:rsidR="00B93D1B" w:rsidRPr="000B7859">
        <w:rPr>
          <w:sz w:val="28"/>
          <w:szCs w:val="28"/>
        </w:rPr>
        <w:t xml:space="preserve"> business days after the </w:t>
      </w:r>
      <w:r w:rsidR="00D5495A" w:rsidRPr="000B7859">
        <w:rPr>
          <w:sz w:val="28"/>
          <w:szCs w:val="28"/>
        </w:rPr>
        <w:t>plaintiff</w:t>
      </w:r>
      <w:r w:rsidR="00554A48" w:rsidRPr="000B7859">
        <w:rPr>
          <w:sz w:val="28"/>
          <w:szCs w:val="28"/>
        </w:rPr>
        <w:t>, in due complia</w:t>
      </w:r>
      <w:r w:rsidR="00D5495A" w:rsidRPr="000B7859">
        <w:rPr>
          <w:sz w:val="28"/>
          <w:szCs w:val="28"/>
        </w:rPr>
        <w:t>nce with the provisions of section 129</w:t>
      </w:r>
      <w:r w:rsidR="00554A48" w:rsidRPr="000B7859">
        <w:rPr>
          <w:sz w:val="28"/>
          <w:szCs w:val="28"/>
        </w:rPr>
        <w:t xml:space="preserve"> </w:t>
      </w:r>
      <w:r w:rsidR="00B93D1B" w:rsidRPr="000B7859">
        <w:rPr>
          <w:sz w:val="28"/>
          <w:szCs w:val="28"/>
        </w:rPr>
        <w:t xml:space="preserve">and 130 </w:t>
      </w:r>
      <w:r w:rsidR="00D5495A" w:rsidRPr="000B7859">
        <w:rPr>
          <w:sz w:val="28"/>
          <w:szCs w:val="28"/>
        </w:rPr>
        <w:t>of the N</w:t>
      </w:r>
      <w:r w:rsidR="00B93D1B" w:rsidRPr="000B7859">
        <w:rPr>
          <w:sz w:val="28"/>
          <w:szCs w:val="28"/>
        </w:rPr>
        <w:t xml:space="preserve">ational Credit Act, No. </w:t>
      </w:r>
      <w:r w:rsidR="00554A48" w:rsidRPr="000B7859">
        <w:rPr>
          <w:sz w:val="28"/>
          <w:szCs w:val="28"/>
        </w:rPr>
        <w:t xml:space="preserve">34 of 2005, has served a notice as contemplated in section 129 (1)(a) of the NCA. </w:t>
      </w:r>
    </w:p>
    <w:p w14:paraId="429D40B8" w14:textId="29B739B5" w:rsidR="008D6FBA" w:rsidRPr="000B7859" w:rsidRDefault="000B7859" w:rsidP="000B7859">
      <w:pPr>
        <w:ind w:left="1080" w:hanging="360"/>
        <w:rPr>
          <w:sz w:val="28"/>
          <w:szCs w:val="28"/>
        </w:rPr>
      </w:pPr>
      <w:r w:rsidRPr="00B93D1B">
        <w:rPr>
          <w:sz w:val="28"/>
          <w:szCs w:val="28"/>
        </w:rPr>
        <w:t>4.</w:t>
      </w:r>
      <w:r w:rsidRPr="00B93D1B">
        <w:rPr>
          <w:sz w:val="28"/>
          <w:szCs w:val="28"/>
        </w:rPr>
        <w:tab/>
      </w:r>
      <w:r w:rsidR="00D5495A" w:rsidRPr="000B7859">
        <w:rPr>
          <w:sz w:val="28"/>
          <w:szCs w:val="28"/>
        </w:rPr>
        <w:t>The costs of the</w:t>
      </w:r>
      <w:r w:rsidR="00B93D1B" w:rsidRPr="000B7859">
        <w:rPr>
          <w:sz w:val="28"/>
          <w:szCs w:val="28"/>
        </w:rPr>
        <w:t xml:space="preserve"> application are in the cause.  </w:t>
      </w:r>
      <w:r w:rsidR="00D5495A" w:rsidRPr="000B7859">
        <w:rPr>
          <w:sz w:val="28"/>
          <w:szCs w:val="28"/>
        </w:rPr>
        <w:t xml:space="preserve"> </w:t>
      </w:r>
    </w:p>
    <w:p w14:paraId="25C8B8AC" w14:textId="77777777" w:rsidR="008D6FBA" w:rsidRDefault="008D6FBA" w:rsidP="008D6FBA">
      <w:pPr>
        <w:rPr>
          <w:sz w:val="28"/>
          <w:szCs w:val="28"/>
        </w:rPr>
      </w:pPr>
    </w:p>
    <w:p w14:paraId="2061728E" w14:textId="77777777" w:rsidR="00997652" w:rsidRDefault="00997652" w:rsidP="008D6FBA">
      <w:pPr>
        <w:rPr>
          <w:sz w:val="28"/>
          <w:szCs w:val="28"/>
        </w:rPr>
      </w:pPr>
    </w:p>
    <w:p w14:paraId="557483C8" w14:textId="77777777" w:rsidR="008D6FBA" w:rsidRDefault="008D6FBA" w:rsidP="008D6FBA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14:paraId="71F07375" w14:textId="77777777" w:rsidR="008D6FBA" w:rsidRDefault="008D6FBA" w:rsidP="008D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14:paraId="308A4D9C" w14:textId="77777777" w:rsidR="008D6FBA" w:rsidRDefault="008D6FBA" w:rsidP="008D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  HARTLE </w:t>
      </w:r>
    </w:p>
    <w:p w14:paraId="44D0281F" w14:textId="77777777" w:rsidR="008D6FBA" w:rsidRDefault="008D6FBA" w:rsidP="008D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JUDGE OF THE HIGH COURT</w:t>
      </w:r>
    </w:p>
    <w:p w14:paraId="00A00DEC" w14:textId="77777777" w:rsidR="008D6FBA" w:rsidRDefault="008D6FBA" w:rsidP="008D6FBA">
      <w:pPr>
        <w:rPr>
          <w:b/>
          <w:sz w:val="28"/>
          <w:szCs w:val="28"/>
        </w:rPr>
      </w:pPr>
    </w:p>
    <w:p w14:paraId="1742D65A" w14:textId="77777777" w:rsidR="008D6FBA" w:rsidRDefault="008D6FBA" w:rsidP="008D6FBA">
      <w:pPr>
        <w:rPr>
          <w:b/>
          <w:sz w:val="28"/>
          <w:szCs w:val="28"/>
        </w:rPr>
      </w:pPr>
    </w:p>
    <w:p w14:paraId="7A25F656" w14:textId="77777777" w:rsidR="008D6FBA" w:rsidRDefault="008D6FBA" w:rsidP="008D6FBA">
      <w:pPr>
        <w:tabs>
          <w:tab w:val="left" w:pos="3544"/>
          <w:tab w:val="left" w:pos="3686"/>
          <w:tab w:val="left" w:pos="4395"/>
        </w:tabs>
        <w:ind w:left="4320" w:hanging="43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DATE OF HEARING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16 May 2024</w:t>
      </w:r>
    </w:p>
    <w:p w14:paraId="1D683D10" w14:textId="77777777" w:rsidR="008D6FBA" w:rsidRDefault="008D6FBA" w:rsidP="008D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JUDGMENT </w:t>
      </w:r>
      <w:r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ab/>
        <w:t>17 May 2024</w:t>
      </w:r>
    </w:p>
    <w:p w14:paraId="42FB5BC4" w14:textId="77777777" w:rsidR="008D6FBA" w:rsidRDefault="008D6FBA" w:rsidP="008D6FBA">
      <w:pPr>
        <w:spacing w:line="240" w:lineRule="auto"/>
        <w:rPr>
          <w:b/>
        </w:rPr>
      </w:pPr>
    </w:p>
    <w:p w14:paraId="3FFC3696" w14:textId="77777777" w:rsidR="008D6FBA" w:rsidRDefault="008D6FBA" w:rsidP="008D6FBA">
      <w:pPr>
        <w:spacing w:line="240" w:lineRule="auto"/>
        <w:rPr>
          <w:b/>
        </w:rPr>
      </w:pPr>
    </w:p>
    <w:p w14:paraId="49C6DDCD" w14:textId="77777777" w:rsidR="008D6FBA" w:rsidRDefault="008D6FBA" w:rsidP="008D6FBA">
      <w:pPr>
        <w:spacing w:line="240" w:lineRule="auto"/>
        <w:rPr>
          <w:b/>
        </w:rPr>
      </w:pPr>
    </w:p>
    <w:p w14:paraId="6D37DBFC" w14:textId="77777777" w:rsidR="008D6FBA" w:rsidRDefault="008D6FBA" w:rsidP="008D6FBA">
      <w:pPr>
        <w:contextualSpacing/>
        <w:rPr>
          <w:b/>
        </w:rPr>
      </w:pPr>
    </w:p>
    <w:p w14:paraId="12FF3C93" w14:textId="77777777" w:rsidR="008D6FBA" w:rsidRDefault="008D6FBA" w:rsidP="008D6FBA">
      <w:pPr>
        <w:contextualSpacing/>
        <w:jc w:val="both"/>
        <w:rPr>
          <w:i/>
          <w:u w:val="single"/>
        </w:rPr>
      </w:pPr>
      <w:r>
        <w:rPr>
          <w:i/>
          <w:u w:val="single"/>
        </w:rPr>
        <w:t xml:space="preserve">Appearances: </w:t>
      </w:r>
    </w:p>
    <w:p w14:paraId="64C387C6" w14:textId="77777777" w:rsidR="008D6FBA" w:rsidRDefault="008D6FBA" w:rsidP="008D6FBA">
      <w:pPr>
        <w:contextualSpacing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C3CB5DC" w14:textId="77777777" w:rsidR="008D6FBA" w:rsidRDefault="008D6FBA" w:rsidP="008D6FBA">
      <w:pPr>
        <w:contextualSpacing/>
        <w:jc w:val="both"/>
        <w:rPr>
          <w:i/>
        </w:rPr>
      </w:pPr>
      <w:r>
        <w:rPr>
          <w:i/>
        </w:rPr>
        <w:t>For the plaintiff:  Ms. S Mashiya instructed by Squires Inc., East London (ref. Mr. Kerr).</w:t>
      </w:r>
    </w:p>
    <w:p w14:paraId="0019873A" w14:textId="77777777" w:rsidR="008D6FBA" w:rsidRPr="008D6FBA" w:rsidRDefault="008D6FBA" w:rsidP="00997652">
      <w:pPr>
        <w:contextualSpacing/>
        <w:jc w:val="both"/>
        <w:rPr>
          <w:sz w:val="28"/>
          <w:szCs w:val="28"/>
        </w:rPr>
      </w:pPr>
      <w:r>
        <w:rPr>
          <w:i/>
        </w:rPr>
        <w:t>For the defendant</w:t>
      </w:r>
      <w:r w:rsidRPr="008C62A8">
        <w:rPr>
          <w:i/>
        </w:rPr>
        <w:t xml:space="preserve">: </w:t>
      </w:r>
      <w:r>
        <w:rPr>
          <w:i/>
        </w:rPr>
        <w:t>Mr</w:t>
      </w:r>
      <w:r w:rsidR="00B93D1B">
        <w:rPr>
          <w:i/>
        </w:rPr>
        <w:t>. E</w:t>
      </w:r>
      <w:r>
        <w:rPr>
          <w:i/>
        </w:rPr>
        <w:t xml:space="preserve"> Meyers instructed by Makhanya Attorneys, East London (ref. Mr. Makhanya)</w:t>
      </w:r>
      <w:r w:rsidR="00997652">
        <w:rPr>
          <w:i/>
        </w:rPr>
        <w:t>.</w:t>
      </w:r>
    </w:p>
    <w:sectPr w:rsidR="008D6FBA" w:rsidRPr="008D6FBA" w:rsidSect="00F903ED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AE7A" w14:textId="77777777" w:rsidR="0031771A" w:rsidRDefault="0031771A" w:rsidP="00F903ED">
      <w:pPr>
        <w:spacing w:line="240" w:lineRule="auto"/>
      </w:pPr>
      <w:r>
        <w:separator/>
      </w:r>
    </w:p>
  </w:endnote>
  <w:endnote w:type="continuationSeparator" w:id="0">
    <w:p w14:paraId="1DD85115" w14:textId="77777777" w:rsidR="0031771A" w:rsidRDefault="0031771A" w:rsidP="00F9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7914" w14:textId="77777777" w:rsidR="0031771A" w:rsidRDefault="0031771A" w:rsidP="00F903ED">
      <w:pPr>
        <w:spacing w:line="240" w:lineRule="auto"/>
      </w:pPr>
      <w:r>
        <w:separator/>
      </w:r>
    </w:p>
  </w:footnote>
  <w:footnote w:type="continuationSeparator" w:id="0">
    <w:p w14:paraId="43867DAE" w14:textId="77777777" w:rsidR="0031771A" w:rsidRDefault="0031771A" w:rsidP="00F903ED">
      <w:pPr>
        <w:spacing w:line="240" w:lineRule="auto"/>
      </w:pPr>
      <w:r>
        <w:continuationSeparator/>
      </w:r>
    </w:p>
  </w:footnote>
  <w:footnote w:id="1">
    <w:p w14:paraId="76DF72D6" w14:textId="77777777" w:rsidR="0053160C" w:rsidRPr="00A35103" w:rsidRDefault="0053160C" w:rsidP="00974602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974602">
        <w:rPr>
          <w:lang w:val="en-GB"/>
        </w:rPr>
        <w:t xml:space="preserve">The objective of a notice is to advise the consumer of his default under a credit agreement and to give him/her an opportunity to consider what steps to take thereanent.  It provides protection to credit consumers by requiring that a notice of default be given </w:t>
      </w:r>
      <w:r w:rsidR="00974602" w:rsidRPr="00974602">
        <w:rPr>
          <w:u w:val="single"/>
          <w:lang w:val="en-GB"/>
        </w:rPr>
        <w:t>BEFORE</w:t>
      </w:r>
      <w:r w:rsidR="00974602">
        <w:rPr>
          <w:lang w:val="en-GB"/>
        </w:rPr>
        <w:t xml:space="preserve"> enforcing the credit agreement in a court. </w:t>
      </w:r>
    </w:p>
  </w:footnote>
  <w:footnote w:id="2">
    <w:p w14:paraId="754562C4" w14:textId="77777777" w:rsidR="00D5495A" w:rsidRPr="00861903" w:rsidRDefault="00D5495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A753A">
        <w:rPr>
          <w:lang w:val="en-GB"/>
        </w:rPr>
        <w:t>EL 298/11, ECD 29811) [2011] ZAECELLC 13 (20 November 2011).</w:t>
      </w:r>
    </w:p>
  </w:footnote>
  <w:footnote w:id="3">
    <w:p w14:paraId="01EAF01E" w14:textId="77777777" w:rsidR="00D5495A" w:rsidRPr="00D5495A" w:rsidRDefault="00D5495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D6FBA">
        <w:t>At page 33.</w:t>
      </w:r>
    </w:p>
  </w:footnote>
  <w:footnote w:id="4">
    <w:p w14:paraId="2D0A6C91" w14:textId="77777777" w:rsidR="008D6FBA" w:rsidRDefault="008D6FBA" w:rsidP="008D6FBA">
      <w:pPr>
        <w:pStyle w:val="FootnoteText"/>
      </w:pPr>
      <w:r>
        <w:rPr>
          <w:rStyle w:val="FootnoteReference"/>
        </w:rPr>
        <w:footnoteRef/>
      </w:r>
      <w:r>
        <w:t xml:space="preserve"> 2010 (3) SA 443 (GSJ) at paragraph [10].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9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0D472" w14:textId="109B1C51" w:rsidR="00D5495A" w:rsidRDefault="00D549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D2ECF6" w14:textId="77777777" w:rsidR="00D5495A" w:rsidRDefault="00D5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74C"/>
    <w:multiLevelType w:val="hybridMultilevel"/>
    <w:tmpl w:val="3D3C9648"/>
    <w:lvl w:ilvl="0" w:tplc="CB0E60A0">
      <w:start w:val="1"/>
      <w:numFmt w:val="decimal"/>
      <w:lvlText w:val="[%1]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C50"/>
    <w:multiLevelType w:val="hybridMultilevel"/>
    <w:tmpl w:val="B0124168"/>
    <w:lvl w:ilvl="0" w:tplc="0B34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11809"/>
    <w:multiLevelType w:val="hybridMultilevel"/>
    <w:tmpl w:val="4E0CB9CC"/>
    <w:lvl w:ilvl="0" w:tplc="DF6C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00FCE"/>
    <w:multiLevelType w:val="hybridMultilevel"/>
    <w:tmpl w:val="114E20FA"/>
    <w:lvl w:ilvl="0" w:tplc="0CAA5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C"/>
    <w:rsid w:val="000144E1"/>
    <w:rsid w:val="00015F57"/>
    <w:rsid w:val="00081803"/>
    <w:rsid w:val="000B7859"/>
    <w:rsid w:val="000E7330"/>
    <w:rsid w:val="0010098B"/>
    <w:rsid w:val="0017233F"/>
    <w:rsid w:val="001A1F71"/>
    <w:rsid w:val="001A7396"/>
    <w:rsid w:val="001E39F2"/>
    <w:rsid w:val="001E6CEF"/>
    <w:rsid w:val="002378E4"/>
    <w:rsid w:val="002450B7"/>
    <w:rsid w:val="00247254"/>
    <w:rsid w:val="00275F7C"/>
    <w:rsid w:val="00294275"/>
    <w:rsid w:val="002C117D"/>
    <w:rsid w:val="002F3F75"/>
    <w:rsid w:val="0031771A"/>
    <w:rsid w:val="0033795B"/>
    <w:rsid w:val="004238AD"/>
    <w:rsid w:val="00427776"/>
    <w:rsid w:val="00456BB0"/>
    <w:rsid w:val="0045702D"/>
    <w:rsid w:val="004D5E0C"/>
    <w:rsid w:val="004F5964"/>
    <w:rsid w:val="0050005E"/>
    <w:rsid w:val="0053160C"/>
    <w:rsid w:val="00554A48"/>
    <w:rsid w:val="00557A87"/>
    <w:rsid w:val="00567236"/>
    <w:rsid w:val="005A1F50"/>
    <w:rsid w:val="005C2FEE"/>
    <w:rsid w:val="005C6B9E"/>
    <w:rsid w:val="005D0F19"/>
    <w:rsid w:val="00615A71"/>
    <w:rsid w:val="00616F3C"/>
    <w:rsid w:val="006D7D70"/>
    <w:rsid w:val="00736AB4"/>
    <w:rsid w:val="007559F1"/>
    <w:rsid w:val="007A5BEA"/>
    <w:rsid w:val="007B204F"/>
    <w:rsid w:val="007B308A"/>
    <w:rsid w:val="007D1A44"/>
    <w:rsid w:val="008348E1"/>
    <w:rsid w:val="00861903"/>
    <w:rsid w:val="00865642"/>
    <w:rsid w:val="008A787C"/>
    <w:rsid w:val="008D3A3D"/>
    <w:rsid w:val="008D6FBA"/>
    <w:rsid w:val="0094337E"/>
    <w:rsid w:val="00956D4F"/>
    <w:rsid w:val="00974602"/>
    <w:rsid w:val="00980358"/>
    <w:rsid w:val="00997652"/>
    <w:rsid w:val="009D360E"/>
    <w:rsid w:val="009E3BEA"/>
    <w:rsid w:val="00A34A64"/>
    <w:rsid w:val="00A35103"/>
    <w:rsid w:val="00A423F7"/>
    <w:rsid w:val="00A502D4"/>
    <w:rsid w:val="00A6044A"/>
    <w:rsid w:val="00A63D48"/>
    <w:rsid w:val="00AB7F9F"/>
    <w:rsid w:val="00AB7FDB"/>
    <w:rsid w:val="00B03CA8"/>
    <w:rsid w:val="00B34121"/>
    <w:rsid w:val="00B5765F"/>
    <w:rsid w:val="00B93D1B"/>
    <w:rsid w:val="00C5611B"/>
    <w:rsid w:val="00D5495A"/>
    <w:rsid w:val="00D74C72"/>
    <w:rsid w:val="00EA0660"/>
    <w:rsid w:val="00EA3B0E"/>
    <w:rsid w:val="00EA4B7F"/>
    <w:rsid w:val="00EA753A"/>
    <w:rsid w:val="00F47525"/>
    <w:rsid w:val="00F605A9"/>
    <w:rsid w:val="00F767EE"/>
    <w:rsid w:val="00F778D3"/>
    <w:rsid w:val="00F903ED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93B5A"/>
  <w15:chartTrackingRefBased/>
  <w15:docId w15:val="{461CF9EF-36EA-4558-9BF5-4B6627B9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7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3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3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ED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0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0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702D"/>
    <w:rPr>
      <w:vertAlign w:val="superscript"/>
    </w:rPr>
  </w:style>
  <w:style w:type="paragraph" w:customStyle="1" w:styleId="Default">
    <w:name w:val="Default"/>
    <w:rsid w:val="000E7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10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1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5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0020-9B66-4495-9B79-59959E89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Frost</dc:creator>
  <cp:keywords/>
  <dc:description/>
  <cp:lastModifiedBy>Mary Bruce</cp:lastModifiedBy>
  <cp:revision>3</cp:revision>
  <cp:lastPrinted>2024-05-17T10:23:00Z</cp:lastPrinted>
  <dcterms:created xsi:type="dcterms:W3CDTF">2024-05-21T12:44:00Z</dcterms:created>
  <dcterms:modified xsi:type="dcterms:W3CDTF">2024-05-24T16:11:00Z</dcterms:modified>
</cp:coreProperties>
</file>