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5431C" w14:textId="77777777" w:rsidR="00232B08" w:rsidRDefault="00232B08" w:rsidP="00232B08">
      <w:pPr>
        <w:spacing w:line="360" w:lineRule="auto"/>
        <w:jc w:val="center"/>
        <w:rPr>
          <w:rFonts w:ascii="Arial" w:hAnsi="Arial" w:cs="Arial"/>
          <w:b/>
          <w:bCs/>
          <w:sz w:val="24"/>
          <w:szCs w:val="24"/>
          <w:lang w:val="en-US"/>
        </w:rPr>
      </w:pPr>
      <w:bookmarkStart w:id="0" w:name="_GoBack"/>
      <w:bookmarkEnd w:id="0"/>
    </w:p>
    <w:p w14:paraId="16FC6184" w14:textId="77777777" w:rsidR="00232B08" w:rsidRPr="009B5403" w:rsidRDefault="00232B08" w:rsidP="00232B08">
      <w:pPr>
        <w:widowControl w:val="0"/>
        <w:tabs>
          <w:tab w:val="center" w:pos="4513"/>
          <w:tab w:val="right" w:pos="9026"/>
        </w:tabs>
        <w:spacing w:after="0" w:line="360" w:lineRule="auto"/>
        <w:jc w:val="center"/>
        <w:rPr>
          <w:rFonts w:ascii="Arial" w:hAnsi="Arial" w:cs="Arial"/>
          <w:b/>
          <w:kern w:val="0"/>
          <w:sz w:val="24"/>
          <w:szCs w:val="24"/>
          <w14:ligatures w14:val="none"/>
        </w:rPr>
      </w:pPr>
      <w:r w:rsidRPr="009B5403">
        <w:rPr>
          <w:rFonts w:ascii="Arial" w:eastAsia="Times New Roman" w:hAnsi="Arial" w:cs="Arial"/>
          <w:noProof/>
          <w:kern w:val="0"/>
          <w:sz w:val="24"/>
          <w:szCs w:val="24"/>
          <w:lang w:eastAsia="en-ZA"/>
          <w14:ligatures w14:val="none"/>
        </w:rPr>
        <w:drawing>
          <wp:inline distT="0" distB="0" distL="0" distR="0" wp14:anchorId="132CC310" wp14:editId="3743F5C2">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6B35BE59" w14:textId="77777777" w:rsidR="00232B08" w:rsidRPr="009B5403" w:rsidRDefault="00232B08" w:rsidP="00232B08">
      <w:pPr>
        <w:widowControl w:val="0"/>
        <w:tabs>
          <w:tab w:val="center" w:pos="4513"/>
          <w:tab w:val="right" w:pos="9026"/>
        </w:tabs>
        <w:spacing w:after="0" w:line="360" w:lineRule="auto"/>
        <w:jc w:val="center"/>
        <w:rPr>
          <w:rFonts w:ascii="Arial" w:hAnsi="Arial" w:cs="Arial"/>
          <w:b/>
          <w:kern w:val="0"/>
          <w:sz w:val="24"/>
          <w:szCs w:val="24"/>
          <w14:ligatures w14:val="none"/>
        </w:rPr>
      </w:pPr>
      <w:r w:rsidRPr="009B5403">
        <w:rPr>
          <w:rFonts w:ascii="Arial" w:hAnsi="Arial" w:cs="Arial"/>
          <w:b/>
          <w:kern w:val="0"/>
          <w:sz w:val="24"/>
          <w:szCs w:val="24"/>
          <w14:ligatures w14:val="none"/>
        </w:rPr>
        <w:t>IN THE HIGH COURT OF SOUTH AFRICA</w:t>
      </w:r>
    </w:p>
    <w:p w14:paraId="07D43B6B" w14:textId="3B190397" w:rsidR="00232B08" w:rsidRDefault="00232B08" w:rsidP="00232B08">
      <w:pPr>
        <w:widowControl w:val="0"/>
        <w:tabs>
          <w:tab w:val="right" w:pos="9356"/>
        </w:tabs>
        <w:spacing w:line="360" w:lineRule="auto"/>
        <w:jc w:val="center"/>
        <w:rPr>
          <w:rFonts w:ascii="Arial" w:hAnsi="Arial" w:cs="Arial"/>
          <w:b/>
          <w:kern w:val="0"/>
          <w:sz w:val="24"/>
          <w:szCs w:val="24"/>
          <w14:ligatures w14:val="none"/>
        </w:rPr>
      </w:pPr>
      <w:r w:rsidRPr="009B5403">
        <w:rPr>
          <w:rFonts w:ascii="Arial" w:hAnsi="Arial" w:cs="Arial"/>
          <w:b/>
          <w:kern w:val="0"/>
          <w:sz w:val="24"/>
          <w:szCs w:val="24"/>
          <w14:ligatures w14:val="none"/>
        </w:rPr>
        <w:t>(EAST</w:t>
      </w:r>
      <w:r>
        <w:rPr>
          <w:rFonts w:ascii="Arial" w:hAnsi="Arial" w:cs="Arial"/>
          <w:b/>
          <w:kern w:val="0"/>
          <w:sz w:val="24"/>
          <w:szCs w:val="24"/>
          <w14:ligatures w14:val="none"/>
        </w:rPr>
        <w:t>ERN CAPE</w:t>
      </w:r>
      <w:r w:rsidRPr="009B5403">
        <w:rPr>
          <w:rFonts w:ascii="Arial" w:hAnsi="Arial" w:cs="Arial"/>
          <w:b/>
          <w:kern w:val="0"/>
          <w:sz w:val="24"/>
          <w:szCs w:val="24"/>
          <w14:ligatures w14:val="none"/>
        </w:rPr>
        <w:t xml:space="preserve"> DIVISION</w:t>
      </w:r>
      <w:r>
        <w:rPr>
          <w:rFonts w:ascii="Arial" w:hAnsi="Arial" w:cs="Arial"/>
          <w:b/>
          <w:kern w:val="0"/>
          <w:sz w:val="24"/>
          <w:szCs w:val="24"/>
          <w14:ligatures w14:val="none"/>
        </w:rPr>
        <w:t xml:space="preserve">, </w:t>
      </w:r>
      <w:r w:rsidR="001A491F">
        <w:rPr>
          <w:rFonts w:ascii="Arial" w:hAnsi="Arial" w:cs="Arial"/>
          <w:b/>
          <w:kern w:val="0"/>
          <w:sz w:val="24"/>
          <w:szCs w:val="24"/>
          <w14:ligatures w14:val="none"/>
        </w:rPr>
        <w:t>EAST LONDON CIRCUIT COURT</w:t>
      </w:r>
      <w:r w:rsidRPr="009B5403">
        <w:rPr>
          <w:rFonts w:ascii="Arial" w:hAnsi="Arial" w:cs="Arial"/>
          <w:b/>
          <w:kern w:val="0"/>
          <w:sz w:val="24"/>
          <w:szCs w:val="24"/>
          <w14:ligatures w14:val="none"/>
        </w:rPr>
        <w:t>)</w:t>
      </w:r>
    </w:p>
    <w:p w14:paraId="158965A4" w14:textId="02B26CC9" w:rsidR="00232B08" w:rsidRPr="002B5DDA" w:rsidRDefault="00232B08" w:rsidP="002B5DDA">
      <w:pPr>
        <w:widowControl w:val="0"/>
        <w:tabs>
          <w:tab w:val="right" w:pos="9356"/>
        </w:tabs>
        <w:spacing w:line="240" w:lineRule="auto"/>
        <w:jc w:val="center"/>
        <w:rPr>
          <w:rFonts w:ascii="Arial" w:hAnsi="Arial" w:cs="Arial"/>
          <w:b/>
          <w:kern w:val="0"/>
          <w:sz w:val="24"/>
          <w:szCs w:val="24"/>
          <w14:ligatures w14:val="none"/>
        </w:rPr>
      </w:pPr>
      <w:r>
        <w:rPr>
          <w:rFonts w:ascii="Arial" w:hAnsi="Arial" w:cs="Arial"/>
          <w:b/>
          <w:kern w:val="0"/>
          <w:sz w:val="24"/>
          <w:szCs w:val="24"/>
          <w14:ligatures w14:val="none"/>
        </w:rPr>
        <w:tab/>
        <w:t>Not Reportable</w:t>
      </w:r>
    </w:p>
    <w:p w14:paraId="530D028B" w14:textId="05C932EF" w:rsidR="00232B08" w:rsidRPr="009B5403" w:rsidRDefault="00232B08" w:rsidP="00232B08">
      <w:pPr>
        <w:widowControl w:val="0"/>
        <w:tabs>
          <w:tab w:val="right" w:pos="9356"/>
        </w:tabs>
        <w:spacing w:line="240" w:lineRule="auto"/>
        <w:rPr>
          <w:rFonts w:ascii="Arial" w:hAnsi="Arial" w:cs="Arial"/>
          <w:bCs/>
          <w:kern w:val="0"/>
          <w:sz w:val="24"/>
          <w:szCs w:val="24"/>
          <w14:ligatures w14:val="none"/>
        </w:rPr>
      </w:pPr>
      <w:r w:rsidRPr="009B5403">
        <w:rPr>
          <w:rFonts w:ascii="Arial" w:hAnsi="Arial" w:cs="Arial"/>
          <w:bCs/>
          <w:kern w:val="0"/>
          <w:sz w:val="24"/>
          <w:szCs w:val="24"/>
          <w14:ligatures w14:val="none"/>
        </w:rPr>
        <w:tab/>
      </w:r>
      <w:r w:rsidR="002B5DDA">
        <w:rPr>
          <w:rFonts w:ascii="Arial" w:hAnsi="Arial" w:cs="Arial"/>
          <w:bCs/>
          <w:kern w:val="0"/>
          <w:sz w:val="24"/>
          <w:szCs w:val="24"/>
          <w14:ligatures w14:val="none"/>
        </w:rPr>
        <w:t>CASE NO. EL 37/2019</w:t>
      </w:r>
      <w:r w:rsidRPr="009B5403">
        <w:rPr>
          <w:rFonts w:ascii="Arial" w:hAnsi="Arial" w:cs="Arial"/>
          <w:bCs/>
          <w:kern w:val="0"/>
          <w:sz w:val="24"/>
          <w:szCs w:val="24"/>
          <w14:ligatures w14:val="none"/>
        </w:rPr>
        <w:t xml:space="preserve"> </w:t>
      </w:r>
    </w:p>
    <w:p w14:paraId="352770A7" w14:textId="77777777" w:rsidR="00232B08" w:rsidRPr="009B5403" w:rsidRDefault="00232B08" w:rsidP="00232B08">
      <w:pPr>
        <w:widowControl w:val="0"/>
        <w:tabs>
          <w:tab w:val="right" w:pos="8931"/>
        </w:tabs>
        <w:spacing w:line="240" w:lineRule="auto"/>
        <w:rPr>
          <w:rFonts w:ascii="Arial" w:hAnsi="Arial" w:cs="Arial"/>
          <w:b/>
          <w:kern w:val="0"/>
          <w:sz w:val="24"/>
          <w:szCs w:val="24"/>
          <w14:ligatures w14:val="none"/>
        </w:rPr>
      </w:pPr>
    </w:p>
    <w:p w14:paraId="45198E8F" w14:textId="77777777" w:rsidR="00232B08" w:rsidRPr="009B5403" w:rsidRDefault="00232B08" w:rsidP="00232B08">
      <w:pPr>
        <w:widowControl w:val="0"/>
        <w:tabs>
          <w:tab w:val="right" w:pos="9213"/>
        </w:tabs>
        <w:spacing w:line="240" w:lineRule="auto"/>
        <w:rPr>
          <w:rFonts w:ascii="Arial" w:hAnsi="Arial" w:cs="Arial"/>
          <w:kern w:val="0"/>
          <w:sz w:val="24"/>
          <w:szCs w:val="24"/>
          <w14:ligatures w14:val="none"/>
        </w:rPr>
      </w:pPr>
      <w:r w:rsidRPr="009B5403">
        <w:rPr>
          <w:rFonts w:ascii="Arial" w:hAnsi="Arial" w:cs="Arial"/>
          <w:kern w:val="0"/>
          <w:sz w:val="24"/>
          <w:szCs w:val="24"/>
          <w14:ligatures w14:val="none"/>
        </w:rPr>
        <w:t>In the matter between:</w:t>
      </w:r>
    </w:p>
    <w:p w14:paraId="007EE044" w14:textId="77777777" w:rsidR="00232B08" w:rsidRPr="009B5403" w:rsidRDefault="00232B08" w:rsidP="00232B08">
      <w:pPr>
        <w:widowControl w:val="0"/>
        <w:tabs>
          <w:tab w:val="right" w:pos="9213"/>
        </w:tabs>
        <w:spacing w:line="240" w:lineRule="auto"/>
        <w:rPr>
          <w:rFonts w:ascii="Arial" w:hAnsi="Arial" w:cs="Arial"/>
          <w:kern w:val="0"/>
          <w:sz w:val="24"/>
          <w:szCs w:val="24"/>
          <w14:ligatures w14:val="none"/>
        </w:rPr>
      </w:pPr>
    </w:p>
    <w:p w14:paraId="05F878DF" w14:textId="3E5D550B" w:rsidR="00232B08" w:rsidRPr="009B5403" w:rsidRDefault="002B5DDA" w:rsidP="00232B08">
      <w:pPr>
        <w:widowControl w:val="0"/>
        <w:tabs>
          <w:tab w:val="right" w:pos="9356"/>
        </w:tabs>
        <w:spacing w:line="240" w:lineRule="auto"/>
        <w:rPr>
          <w:rFonts w:ascii="Arial" w:hAnsi="Arial" w:cs="Arial"/>
          <w:b/>
          <w:kern w:val="0"/>
          <w:sz w:val="24"/>
          <w:szCs w:val="24"/>
          <w14:ligatures w14:val="none"/>
        </w:rPr>
      </w:pPr>
      <w:r>
        <w:rPr>
          <w:rFonts w:ascii="Arial" w:hAnsi="Arial" w:cs="Arial"/>
          <w:b/>
          <w:kern w:val="0"/>
          <w:sz w:val="24"/>
          <w:szCs w:val="24"/>
          <w14:ligatures w14:val="none"/>
        </w:rPr>
        <w:t>MIHLALI MABELE</w:t>
      </w:r>
      <w:r w:rsidR="00232B08" w:rsidRPr="009B5403">
        <w:rPr>
          <w:rFonts w:ascii="Arial" w:hAnsi="Arial" w:cs="Arial"/>
          <w:b/>
          <w:kern w:val="0"/>
          <w:sz w:val="24"/>
          <w:szCs w:val="24"/>
          <w14:ligatures w14:val="none"/>
        </w:rPr>
        <w:tab/>
      </w:r>
      <w:r w:rsidR="0090118A">
        <w:rPr>
          <w:rFonts w:ascii="Arial" w:hAnsi="Arial" w:cs="Arial"/>
          <w:b/>
          <w:kern w:val="0"/>
          <w:sz w:val="24"/>
          <w:szCs w:val="24"/>
          <w14:ligatures w14:val="none"/>
        </w:rPr>
        <w:t>Plaintiff</w:t>
      </w:r>
    </w:p>
    <w:p w14:paraId="2841C2BD" w14:textId="77777777" w:rsidR="00232B08" w:rsidRPr="009B5403" w:rsidRDefault="00232B08" w:rsidP="00232B08">
      <w:pPr>
        <w:widowControl w:val="0"/>
        <w:tabs>
          <w:tab w:val="right" w:pos="8931"/>
        </w:tabs>
        <w:spacing w:line="240" w:lineRule="auto"/>
        <w:rPr>
          <w:rFonts w:ascii="Arial" w:hAnsi="Arial" w:cs="Arial"/>
          <w:b/>
          <w:kern w:val="0"/>
          <w:sz w:val="24"/>
          <w:szCs w:val="24"/>
          <w14:ligatures w14:val="none"/>
        </w:rPr>
      </w:pPr>
    </w:p>
    <w:p w14:paraId="7DD8A5EF" w14:textId="77777777" w:rsidR="00232B08" w:rsidRPr="009B5403" w:rsidRDefault="00232B08" w:rsidP="00232B08">
      <w:pPr>
        <w:widowControl w:val="0"/>
        <w:tabs>
          <w:tab w:val="right" w:pos="8640"/>
        </w:tabs>
        <w:spacing w:line="240" w:lineRule="auto"/>
        <w:rPr>
          <w:rFonts w:ascii="Arial" w:hAnsi="Arial" w:cs="Arial"/>
          <w:b/>
          <w:kern w:val="0"/>
          <w:sz w:val="24"/>
          <w:szCs w:val="24"/>
          <w14:ligatures w14:val="none"/>
        </w:rPr>
      </w:pPr>
      <w:r w:rsidRPr="009B5403">
        <w:rPr>
          <w:rFonts w:ascii="Arial" w:hAnsi="Arial" w:cs="Arial"/>
          <w:b/>
          <w:kern w:val="0"/>
          <w:sz w:val="24"/>
          <w:szCs w:val="24"/>
          <w14:ligatures w14:val="none"/>
        </w:rPr>
        <w:t>and</w:t>
      </w:r>
    </w:p>
    <w:p w14:paraId="7B62BF23" w14:textId="77777777" w:rsidR="00232B08" w:rsidRPr="009B5403" w:rsidRDefault="00232B08" w:rsidP="00232B08">
      <w:pPr>
        <w:widowControl w:val="0"/>
        <w:tabs>
          <w:tab w:val="right" w:pos="8640"/>
        </w:tabs>
        <w:spacing w:line="240" w:lineRule="auto"/>
        <w:rPr>
          <w:rFonts w:ascii="Arial" w:hAnsi="Arial" w:cs="Arial"/>
          <w:b/>
          <w:kern w:val="0"/>
          <w:sz w:val="24"/>
          <w:szCs w:val="24"/>
          <w14:ligatures w14:val="none"/>
        </w:rPr>
      </w:pPr>
    </w:p>
    <w:p w14:paraId="70447275" w14:textId="5D89C9D2" w:rsidR="00232B08" w:rsidRPr="009B5403" w:rsidRDefault="0090118A" w:rsidP="00232B08">
      <w:pPr>
        <w:widowControl w:val="0"/>
        <w:tabs>
          <w:tab w:val="right" w:pos="9356"/>
        </w:tabs>
        <w:spacing w:line="240" w:lineRule="auto"/>
        <w:rPr>
          <w:rFonts w:ascii="Arial" w:hAnsi="Arial" w:cs="Arial"/>
          <w:b/>
          <w:kern w:val="0"/>
          <w:sz w:val="24"/>
          <w:szCs w:val="24"/>
          <w14:ligatures w14:val="none"/>
        </w:rPr>
      </w:pPr>
      <w:r>
        <w:rPr>
          <w:rFonts w:ascii="Arial" w:hAnsi="Arial" w:cs="Arial"/>
          <w:b/>
          <w:kern w:val="0"/>
          <w:sz w:val="24"/>
          <w:szCs w:val="24"/>
          <w14:ligatures w14:val="none"/>
        </w:rPr>
        <w:t>MINISTER OF POLICE</w:t>
      </w:r>
      <w:r w:rsidR="00232B08" w:rsidRPr="009B5403">
        <w:rPr>
          <w:rFonts w:ascii="Arial" w:hAnsi="Arial" w:cs="Arial"/>
          <w:b/>
          <w:kern w:val="0"/>
          <w:sz w:val="24"/>
          <w:szCs w:val="24"/>
          <w14:ligatures w14:val="none"/>
        </w:rPr>
        <w:t xml:space="preserve"> </w:t>
      </w:r>
      <w:r w:rsidR="00232B08" w:rsidRPr="009B5403">
        <w:rPr>
          <w:rFonts w:ascii="Arial" w:hAnsi="Arial" w:cs="Arial"/>
          <w:b/>
          <w:kern w:val="0"/>
          <w:sz w:val="24"/>
          <w:szCs w:val="24"/>
          <w14:ligatures w14:val="none"/>
        </w:rPr>
        <w:tab/>
      </w:r>
      <w:r>
        <w:rPr>
          <w:rFonts w:ascii="Arial" w:hAnsi="Arial" w:cs="Arial"/>
          <w:b/>
          <w:kern w:val="0"/>
          <w:sz w:val="24"/>
          <w:szCs w:val="24"/>
          <w14:ligatures w14:val="none"/>
        </w:rPr>
        <w:t>Defendant</w:t>
      </w:r>
    </w:p>
    <w:p w14:paraId="0CE7ECA4" w14:textId="77777777" w:rsidR="00232B08" w:rsidRPr="009B5403" w:rsidRDefault="00232B08" w:rsidP="00232B08">
      <w:pPr>
        <w:spacing w:line="360" w:lineRule="auto"/>
        <w:rPr>
          <w:rFonts w:ascii="Arial" w:hAnsi="Arial" w:cs="Arial"/>
          <w:kern w:val="0"/>
          <w:sz w:val="24"/>
          <w:szCs w:val="24"/>
          <w14:ligatures w14:val="none"/>
        </w:rPr>
      </w:pPr>
      <w:r w:rsidRPr="009B5403">
        <w:rPr>
          <w:rFonts w:ascii="Arial" w:hAnsi="Arial" w:cs="Arial"/>
          <w:kern w:val="0"/>
          <w:sz w:val="24"/>
          <w:szCs w:val="24"/>
          <w14:ligatures w14:val="none"/>
        </w:rPr>
        <w:t>______________________________________________________________________</w:t>
      </w:r>
    </w:p>
    <w:p w14:paraId="386E060D" w14:textId="77777777" w:rsidR="00232B08" w:rsidRPr="009B5403" w:rsidRDefault="00232B08" w:rsidP="00232B08">
      <w:pPr>
        <w:spacing w:line="360" w:lineRule="auto"/>
        <w:jc w:val="center"/>
        <w:rPr>
          <w:rFonts w:ascii="Arial" w:hAnsi="Arial" w:cs="Arial"/>
          <w:b/>
          <w:bCs/>
          <w:kern w:val="0"/>
          <w:sz w:val="24"/>
          <w:szCs w:val="24"/>
          <w14:ligatures w14:val="none"/>
        </w:rPr>
      </w:pPr>
      <w:r w:rsidRPr="009B5403">
        <w:rPr>
          <w:rFonts w:ascii="Arial" w:hAnsi="Arial" w:cs="Arial"/>
          <w:b/>
          <w:bCs/>
          <w:kern w:val="0"/>
          <w:sz w:val="24"/>
          <w:szCs w:val="24"/>
          <w14:ligatures w14:val="none"/>
        </w:rPr>
        <w:t>JUDGMENT</w:t>
      </w:r>
    </w:p>
    <w:p w14:paraId="6FEAFC95" w14:textId="77777777" w:rsidR="00232B08" w:rsidRPr="009B5403" w:rsidRDefault="00232B08" w:rsidP="00232B08">
      <w:pPr>
        <w:spacing w:line="360" w:lineRule="auto"/>
        <w:rPr>
          <w:rFonts w:ascii="Arial" w:hAnsi="Arial" w:cs="Arial"/>
          <w:kern w:val="0"/>
          <w:sz w:val="24"/>
          <w:szCs w:val="24"/>
          <w14:ligatures w14:val="none"/>
        </w:rPr>
      </w:pPr>
      <w:r w:rsidRPr="009B5403">
        <w:rPr>
          <w:rFonts w:ascii="Arial" w:hAnsi="Arial" w:cs="Arial"/>
          <w:kern w:val="0"/>
          <w:sz w:val="24"/>
          <w:szCs w:val="24"/>
          <w14:ligatures w14:val="none"/>
        </w:rPr>
        <w:t>______________________________________________________________________</w:t>
      </w:r>
    </w:p>
    <w:p w14:paraId="24E8D47F" w14:textId="77777777" w:rsidR="00232B08" w:rsidRPr="009B5403" w:rsidRDefault="00232B08" w:rsidP="001A491F">
      <w:pPr>
        <w:spacing w:line="360" w:lineRule="auto"/>
        <w:jc w:val="both"/>
        <w:rPr>
          <w:rFonts w:ascii="Arial" w:hAnsi="Arial" w:cs="Arial"/>
          <w:b/>
          <w:bCs/>
          <w:kern w:val="0"/>
          <w:sz w:val="24"/>
          <w:szCs w:val="24"/>
          <w14:ligatures w14:val="none"/>
        </w:rPr>
      </w:pPr>
      <w:r w:rsidRPr="009B5403">
        <w:rPr>
          <w:rFonts w:ascii="Arial" w:hAnsi="Arial" w:cs="Arial"/>
          <w:b/>
          <w:bCs/>
          <w:kern w:val="0"/>
          <w:sz w:val="24"/>
          <w:szCs w:val="24"/>
          <w14:ligatures w14:val="none"/>
        </w:rPr>
        <w:t>LAING J</w:t>
      </w:r>
    </w:p>
    <w:p w14:paraId="605451EB" w14:textId="77777777" w:rsidR="00F417C5" w:rsidRPr="0009305D" w:rsidRDefault="00F417C5" w:rsidP="001A491F">
      <w:pPr>
        <w:spacing w:line="360" w:lineRule="auto"/>
        <w:jc w:val="both"/>
        <w:rPr>
          <w:rFonts w:ascii="Arial" w:hAnsi="Arial" w:cs="Arial"/>
          <w:sz w:val="24"/>
          <w:szCs w:val="24"/>
        </w:rPr>
      </w:pPr>
    </w:p>
    <w:p w14:paraId="73365F91" w14:textId="3A192A7A" w:rsidR="00F417C5" w:rsidRPr="00440710" w:rsidRDefault="00440710" w:rsidP="00440710">
      <w:pPr>
        <w:spacing w:line="360" w:lineRule="auto"/>
        <w:jc w:val="both"/>
        <w:rPr>
          <w:rFonts w:ascii="Arial" w:hAnsi="Arial" w:cs="Arial"/>
          <w:sz w:val="24"/>
          <w:szCs w:val="24"/>
        </w:rPr>
      </w:pPr>
      <w:r w:rsidRPr="00AF3678">
        <w:rPr>
          <w:rFonts w:ascii="Arial" w:hAnsi="Arial" w:cs="Arial"/>
          <w:sz w:val="24"/>
          <w:szCs w:val="24"/>
        </w:rPr>
        <w:t>[1]</w:t>
      </w:r>
      <w:r w:rsidRPr="00AF3678">
        <w:rPr>
          <w:rFonts w:ascii="Arial" w:hAnsi="Arial" w:cs="Arial"/>
          <w:sz w:val="24"/>
          <w:szCs w:val="24"/>
        </w:rPr>
        <w:tab/>
      </w:r>
      <w:r w:rsidR="00F417C5" w:rsidRPr="00440710">
        <w:rPr>
          <w:rFonts w:ascii="Arial" w:hAnsi="Arial" w:cs="Arial"/>
          <w:sz w:val="24"/>
          <w:szCs w:val="24"/>
        </w:rPr>
        <w:t>This is a</w:t>
      </w:r>
      <w:r w:rsidR="00E93A27" w:rsidRPr="00440710">
        <w:rPr>
          <w:rFonts w:ascii="Arial" w:hAnsi="Arial" w:cs="Arial"/>
          <w:sz w:val="24"/>
          <w:szCs w:val="24"/>
        </w:rPr>
        <w:t>n action</w:t>
      </w:r>
      <w:r w:rsidR="00F417C5" w:rsidRPr="00440710">
        <w:rPr>
          <w:rFonts w:ascii="Arial" w:hAnsi="Arial" w:cs="Arial"/>
          <w:sz w:val="24"/>
          <w:szCs w:val="24"/>
        </w:rPr>
        <w:t xml:space="preserve"> for damages arising from the alleged wrongful and unlawful arrest and detention of the plaintiff. He claimed </w:t>
      </w:r>
      <w:r w:rsidR="00E93A27" w:rsidRPr="00440710">
        <w:rPr>
          <w:rFonts w:ascii="Arial" w:hAnsi="Arial" w:cs="Arial"/>
          <w:sz w:val="24"/>
          <w:szCs w:val="24"/>
        </w:rPr>
        <w:t xml:space="preserve">payment </w:t>
      </w:r>
      <w:r w:rsidR="00F417C5" w:rsidRPr="00440710">
        <w:rPr>
          <w:rFonts w:ascii="Arial" w:hAnsi="Arial" w:cs="Arial"/>
          <w:sz w:val="24"/>
          <w:szCs w:val="24"/>
        </w:rPr>
        <w:t>in the amount of R 500,000.</w:t>
      </w:r>
    </w:p>
    <w:p w14:paraId="5E3B1474" w14:textId="77777777" w:rsidR="00F417C5" w:rsidRPr="0009305D" w:rsidRDefault="00F417C5" w:rsidP="001A491F">
      <w:pPr>
        <w:spacing w:line="360" w:lineRule="auto"/>
        <w:jc w:val="both"/>
        <w:rPr>
          <w:rFonts w:ascii="Arial" w:hAnsi="Arial" w:cs="Arial"/>
          <w:sz w:val="24"/>
          <w:szCs w:val="24"/>
        </w:rPr>
      </w:pPr>
    </w:p>
    <w:p w14:paraId="79E005D1" w14:textId="3DB94A6B" w:rsidR="00F417C5" w:rsidRPr="0009305D" w:rsidRDefault="00944EBE" w:rsidP="001A491F">
      <w:pPr>
        <w:spacing w:line="360" w:lineRule="auto"/>
        <w:jc w:val="both"/>
        <w:rPr>
          <w:rFonts w:ascii="Arial" w:hAnsi="Arial" w:cs="Arial"/>
          <w:b/>
          <w:bCs/>
          <w:sz w:val="24"/>
          <w:szCs w:val="24"/>
        </w:rPr>
      </w:pPr>
      <w:r w:rsidRPr="0009305D">
        <w:rPr>
          <w:rFonts w:ascii="Arial" w:hAnsi="Arial" w:cs="Arial"/>
          <w:b/>
          <w:bCs/>
          <w:sz w:val="24"/>
          <w:szCs w:val="24"/>
        </w:rPr>
        <w:t>Background</w:t>
      </w:r>
    </w:p>
    <w:p w14:paraId="48BF1B3D" w14:textId="77777777" w:rsidR="00EA3D56" w:rsidRPr="0009305D" w:rsidRDefault="00EA3D56" w:rsidP="001A491F">
      <w:pPr>
        <w:spacing w:line="360" w:lineRule="auto"/>
        <w:jc w:val="both"/>
        <w:rPr>
          <w:rFonts w:ascii="Arial" w:hAnsi="Arial" w:cs="Arial"/>
          <w:sz w:val="24"/>
          <w:szCs w:val="24"/>
        </w:rPr>
      </w:pPr>
    </w:p>
    <w:p w14:paraId="13C963E8" w14:textId="03A66FBC" w:rsidR="00AF3678" w:rsidRPr="00440710" w:rsidRDefault="00440710" w:rsidP="00440710">
      <w:pPr>
        <w:spacing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F417C5" w:rsidRPr="00440710">
        <w:rPr>
          <w:rFonts w:ascii="Arial" w:hAnsi="Arial" w:cs="Arial"/>
          <w:sz w:val="24"/>
          <w:szCs w:val="24"/>
        </w:rPr>
        <w:t>The plaintiff alleges that members of the South African Police Services (‘SAPS’) arrested him without a warrant on 24 April 2018, at Nahoon, East London</w:t>
      </w:r>
      <w:r w:rsidR="00AF3678" w:rsidRPr="00440710">
        <w:rPr>
          <w:rFonts w:ascii="Arial" w:hAnsi="Arial" w:cs="Arial"/>
          <w:sz w:val="24"/>
          <w:szCs w:val="24"/>
        </w:rPr>
        <w:t>.</w:t>
      </w:r>
    </w:p>
    <w:p w14:paraId="1AF19E08" w14:textId="77777777" w:rsidR="00AF3678" w:rsidRDefault="00AF3678" w:rsidP="00AF3678">
      <w:pPr>
        <w:pStyle w:val="ListParagraph"/>
        <w:spacing w:line="360" w:lineRule="auto"/>
        <w:ind w:left="0"/>
        <w:jc w:val="both"/>
        <w:rPr>
          <w:rFonts w:ascii="Arial" w:hAnsi="Arial" w:cs="Arial"/>
          <w:sz w:val="24"/>
          <w:szCs w:val="24"/>
        </w:rPr>
      </w:pPr>
    </w:p>
    <w:p w14:paraId="69B4DE9E" w14:textId="25396E22" w:rsidR="00AF3678" w:rsidRPr="00440710" w:rsidRDefault="00440710" w:rsidP="00440710">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F417C5" w:rsidRPr="00440710">
        <w:rPr>
          <w:rFonts w:ascii="Arial" w:hAnsi="Arial" w:cs="Arial"/>
          <w:sz w:val="24"/>
          <w:szCs w:val="24"/>
        </w:rPr>
        <w:t xml:space="preserve">He pleads that the arrest was wrongful and unlawful because, </w:t>
      </w:r>
      <w:r w:rsidR="00F417C5" w:rsidRPr="00440710">
        <w:rPr>
          <w:rFonts w:ascii="Arial" w:hAnsi="Arial" w:cs="Arial"/>
          <w:i/>
          <w:iCs/>
          <w:sz w:val="24"/>
          <w:szCs w:val="24"/>
        </w:rPr>
        <w:t>inter alia</w:t>
      </w:r>
      <w:r w:rsidR="00F417C5" w:rsidRPr="00440710">
        <w:rPr>
          <w:rFonts w:ascii="Arial" w:hAnsi="Arial" w:cs="Arial"/>
          <w:sz w:val="24"/>
          <w:szCs w:val="24"/>
        </w:rPr>
        <w:t xml:space="preserve">, he </w:t>
      </w:r>
      <w:r w:rsidR="00126C10" w:rsidRPr="00440710">
        <w:rPr>
          <w:rFonts w:ascii="Arial" w:hAnsi="Arial" w:cs="Arial"/>
          <w:sz w:val="24"/>
          <w:szCs w:val="24"/>
        </w:rPr>
        <w:t>never committed a Schedule 1 offence, as envisaged under the Criminal Procedure Act 51 of 1977 (‘CPA’), the arresting officer had no reasonable or justifiable suspicion that he had committed such an offence, never informed him of the reason for his arrest or his constitutional rights and failed to exercise his discretion in relation to the making of the arrest.</w:t>
      </w:r>
      <w:r w:rsidR="00356C49" w:rsidRPr="00440710">
        <w:rPr>
          <w:rFonts w:ascii="Arial" w:hAnsi="Arial" w:cs="Arial"/>
          <w:sz w:val="24"/>
          <w:szCs w:val="24"/>
        </w:rPr>
        <w:t xml:space="preserve"> </w:t>
      </w:r>
      <w:r w:rsidR="00126C10" w:rsidRPr="00440710">
        <w:rPr>
          <w:rFonts w:ascii="Arial" w:hAnsi="Arial" w:cs="Arial"/>
          <w:sz w:val="24"/>
          <w:szCs w:val="24"/>
        </w:rPr>
        <w:t xml:space="preserve">The ensuing detention, alleges the plaintiff, was wrongful and unlawful in that there were no grounds for doing so. Consequently, he pleads that his constitutional rights were infringed. </w:t>
      </w:r>
    </w:p>
    <w:p w14:paraId="5ACD37BA" w14:textId="77777777" w:rsidR="00AF3678" w:rsidRPr="00AF3678" w:rsidRDefault="00AF3678" w:rsidP="00AF3678">
      <w:pPr>
        <w:pStyle w:val="ListParagraph"/>
        <w:rPr>
          <w:rFonts w:ascii="Arial" w:hAnsi="Arial" w:cs="Arial"/>
          <w:sz w:val="24"/>
          <w:szCs w:val="24"/>
        </w:rPr>
      </w:pPr>
    </w:p>
    <w:p w14:paraId="12E2C9DF" w14:textId="357D775E" w:rsidR="00AF3678" w:rsidRPr="00440710" w:rsidRDefault="00440710" w:rsidP="00440710">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126C10" w:rsidRPr="00440710">
        <w:rPr>
          <w:rFonts w:ascii="Arial" w:hAnsi="Arial" w:cs="Arial"/>
          <w:sz w:val="24"/>
          <w:szCs w:val="24"/>
        </w:rPr>
        <w:t xml:space="preserve">The plaintiff was detained from 24 until 26 April 2018, whereupon he was released without having to appear before a magistrate. He alleges that he suffered </w:t>
      </w:r>
      <w:r w:rsidR="00126C10" w:rsidRPr="00440710">
        <w:rPr>
          <w:rFonts w:ascii="Arial" w:hAnsi="Arial" w:cs="Arial"/>
          <w:i/>
          <w:iCs/>
          <w:sz w:val="24"/>
          <w:szCs w:val="24"/>
        </w:rPr>
        <w:t>contumelia</w:t>
      </w:r>
      <w:r w:rsidR="00E93A27" w:rsidRPr="00440710">
        <w:rPr>
          <w:rFonts w:ascii="Arial" w:hAnsi="Arial" w:cs="Arial"/>
          <w:sz w:val="24"/>
          <w:szCs w:val="24"/>
        </w:rPr>
        <w:t xml:space="preserve"> and the impairment of his personal integrity and </w:t>
      </w:r>
      <w:r w:rsidR="00E93A27" w:rsidRPr="00440710">
        <w:rPr>
          <w:rFonts w:ascii="Arial" w:hAnsi="Arial" w:cs="Arial"/>
          <w:i/>
          <w:iCs/>
          <w:sz w:val="24"/>
          <w:szCs w:val="24"/>
        </w:rPr>
        <w:t>dignitas</w:t>
      </w:r>
      <w:r w:rsidR="00E93A27" w:rsidRPr="00440710">
        <w:rPr>
          <w:rFonts w:ascii="Arial" w:hAnsi="Arial" w:cs="Arial"/>
          <w:sz w:val="24"/>
          <w:szCs w:val="24"/>
        </w:rPr>
        <w:t>.</w:t>
      </w:r>
    </w:p>
    <w:p w14:paraId="21672FC7" w14:textId="77777777" w:rsidR="00AF3678" w:rsidRPr="00AF3678" w:rsidRDefault="00AF3678" w:rsidP="00AF3678">
      <w:pPr>
        <w:pStyle w:val="ListParagraph"/>
        <w:rPr>
          <w:rFonts w:ascii="Arial" w:hAnsi="Arial" w:cs="Arial"/>
          <w:sz w:val="24"/>
          <w:szCs w:val="24"/>
        </w:rPr>
      </w:pPr>
    </w:p>
    <w:p w14:paraId="5DFC4880" w14:textId="290D0BB5" w:rsidR="00E93A27" w:rsidRPr="00440710" w:rsidRDefault="00440710" w:rsidP="00440710">
      <w:pPr>
        <w:spacing w:line="360" w:lineRule="auto"/>
        <w:jc w:val="both"/>
        <w:rPr>
          <w:rFonts w:ascii="Arial" w:hAnsi="Arial" w:cs="Arial"/>
          <w:sz w:val="24"/>
          <w:szCs w:val="24"/>
        </w:rPr>
      </w:pPr>
      <w:r w:rsidRPr="00AF3678">
        <w:rPr>
          <w:rFonts w:ascii="Arial" w:hAnsi="Arial" w:cs="Arial"/>
          <w:sz w:val="24"/>
          <w:szCs w:val="24"/>
        </w:rPr>
        <w:t>[5]</w:t>
      </w:r>
      <w:r w:rsidRPr="00AF3678">
        <w:rPr>
          <w:rFonts w:ascii="Arial" w:hAnsi="Arial" w:cs="Arial"/>
          <w:sz w:val="24"/>
          <w:szCs w:val="24"/>
        </w:rPr>
        <w:tab/>
      </w:r>
      <w:r w:rsidR="00E93A27" w:rsidRPr="00440710">
        <w:rPr>
          <w:rFonts w:ascii="Arial" w:hAnsi="Arial" w:cs="Arial"/>
          <w:sz w:val="24"/>
          <w:szCs w:val="24"/>
        </w:rPr>
        <w:t>In his plea, the defendant admits the arrest and detention, as alleged. He pleads, however, that these were justified in terms of section 40(1)(b) of the CPA because the plaintiff was suspected of having committed fraud, alternatively theft.</w:t>
      </w:r>
      <w:r w:rsidR="00356C49" w:rsidRPr="00440710">
        <w:rPr>
          <w:rFonts w:ascii="Arial" w:hAnsi="Arial" w:cs="Arial"/>
          <w:sz w:val="24"/>
          <w:szCs w:val="24"/>
        </w:rPr>
        <w:t xml:space="preserve"> </w:t>
      </w:r>
      <w:r w:rsidR="00E93A27" w:rsidRPr="00440710">
        <w:rPr>
          <w:rFonts w:ascii="Arial" w:hAnsi="Arial" w:cs="Arial"/>
          <w:sz w:val="24"/>
          <w:szCs w:val="24"/>
        </w:rPr>
        <w:t>The defendant goes on to deny that the arresting officer failed to exercise his discretion, stating that the plaintiff was arrested for questioning and later brought before a court. The charges against the plaintiff were still pending.</w:t>
      </w:r>
    </w:p>
    <w:p w14:paraId="54D202BF" w14:textId="5D33F49E" w:rsidR="00E93A27" w:rsidRPr="0009305D" w:rsidRDefault="00E93A27" w:rsidP="001A491F">
      <w:pPr>
        <w:spacing w:line="360" w:lineRule="auto"/>
        <w:jc w:val="both"/>
        <w:rPr>
          <w:rFonts w:ascii="Arial" w:hAnsi="Arial" w:cs="Arial"/>
          <w:sz w:val="24"/>
          <w:szCs w:val="24"/>
        </w:rPr>
      </w:pPr>
    </w:p>
    <w:p w14:paraId="10E54991" w14:textId="349A5F73" w:rsidR="00EA3D56" w:rsidRPr="0009305D" w:rsidRDefault="00944EBE" w:rsidP="001A491F">
      <w:pPr>
        <w:spacing w:line="360" w:lineRule="auto"/>
        <w:jc w:val="both"/>
        <w:rPr>
          <w:rFonts w:ascii="Arial" w:hAnsi="Arial" w:cs="Arial"/>
          <w:b/>
          <w:bCs/>
          <w:sz w:val="24"/>
          <w:szCs w:val="24"/>
        </w:rPr>
      </w:pPr>
      <w:r w:rsidRPr="0009305D">
        <w:rPr>
          <w:rFonts w:ascii="Arial" w:hAnsi="Arial" w:cs="Arial"/>
          <w:b/>
          <w:bCs/>
          <w:sz w:val="24"/>
          <w:szCs w:val="24"/>
        </w:rPr>
        <w:t>Trial proceedings</w:t>
      </w:r>
    </w:p>
    <w:p w14:paraId="21E78B7C" w14:textId="77777777" w:rsidR="00EA3D56" w:rsidRPr="0009305D" w:rsidRDefault="00EA3D56" w:rsidP="001A491F">
      <w:pPr>
        <w:spacing w:line="360" w:lineRule="auto"/>
        <w:jc w:val="both"/>
        <w:rPr>
          <w:rFonts w:ascii="Arial" w:hAnsi="Arial" w:cs="Arial"/>
          <w:sz w:val="24"/>
          <w:szCs w:val="24"/>
        </w:rPr>
      </w:pPr>
    </w:p>
    <w:p w14:paraId="635C2607" w14:textId="052C927B" w:rsidR="00EA3D56" w:rsidRPr="00440710" w:rsidRDefault="00440710" w:rsidP="00440710">
      <w:pPr>
        <w:spacing w:line="360" w:lineRule="auto"/>
        <w:jc w:val="both"/>
        <w:rPr>
          <w:rFonts w:ascii="Arial" w:hAnsi="Arial" w:cs="Arial"/>
          <w:sz w:val="24"/>
          <w:szCs w:val="24"/>
        </w:rPr>
      </w:pPr>
      <w:r w:rsidRPr="00AF3678">
        <w:rPr>
          <w:rFonts w:ascii="Arial" w:hAnsi="Arial" w:cs="Arial"/>
          <w:sz w:val="24"/>
          <w:szCs w:val="24"/>
        </w:rPr>
        <w:t>[6]</w:t>
      </w:r>
      <w:r w:rsidRPr="00AF3678">
        <w:rPr>
          <w:rFonts w:ascii="Arial" w:hAnsi="Arial" w:cs="Arial"/>
          <w:sz w:val="24"/>
          <w:szCs w:val="24"/>
        </w:rPr>
        <w:tab/>
      </w:r>
      <w:r w:rsidR="00EA3D56" w:rsidRPr="00440710">
        <w:rPr>
          <w:rFonts w:ascii="Arial" w:hAnsi="Arial" w:cs="Arial"/>
          <w:sz w:val="24"/>
          <w:szCs w:val="24"/>
        </w:rPr>
        <w:t xml:space="preserve">The evidence for the parties is summarized below. It was agreed that the duty to </w:t>
      </w:r>
      <w:r w:rsidR="00D866EA" w:rsidRPr="00440710">
        <w:rPr>
          <w:rFonts w:ascii="Arial" w:hAnsi="Arial" w:cs="Arial"/>
          <w:sz w:val="24"/>
          <w:szCs w:val="24"/>
        </w:rPr>
        <w:t xml:space="preserve">begin </w:t>
      </w:r>
      <w:r w:rsidR="00EA3D56" w:rsidRPr="00440710">
        <w:rPr>
          <w:rFonts w:ascii="Arial" w:hAnsi="Arial" w:cs="Arial"/>
          <w:sz w:val="24"/>
          <w:szCs w:val="24"/>
        </w:rPr>
        <w:t>lay with the defendant.</w:t>
      </w:r>
    </w:p>
    <w:p w14:paraId="1301F3B0" w14:textId="77777777" w:rsidR="00EA3D56" w:rsidRPr="0009305D" w:rsidRDefault="00EA3D56" w:rsidP="001A491F">
      <w:pPr>
        <w:spacing w:line="360" w:lineRule="auto"/>
        <w:jc w:val="both"/>
        <w:rPr>
          <w:rFonts w:ascii="Arial" w:hAnsi="Arial" w:cs="Arial"/>
          <w:sz w:val="24"/>
          <w:szCs w:val="24"/>
        </w:rPr>
      </w:pPr>
    </w:p>
    <w:p w14:paraId="715F8B89" w14:textId="2A69DA3E" w:rsidR="00EA3D56" w:rsidRPr="0009305D" w:rsidRDefault="00486056" w:rsidP="001A491F">
      <w:pPr>
        <w:spacing w:line="360" w:lineRule="auto"/>
        <w:jc w:val="both"/>
        <w:rPr>
          <w:rFonts w:ascii="Arial" w:hAnsi="Arial" w:cs="Arial"/>
          <w:i/>
          <w:iCs/>
          <w:sz w:val="24"/>
          <w:szCs w:val="24"/>
        </w:rPr>
      </w:pPr>
      <w:r w:rsidRPr="0009305D">
        <w:rPr>
          <w:rFonts w:ascii="Arial" w:hAnsi="Arial" w:cs="Arial"/>
          <w:i/>
          <w:iCs/>
          <w:sz w:val="24"/>
          <w:szCs w:val="24"/>
        </w:rPr>
        <w:t>Case f</w:t>
      </w:r>
      <w:r w:rsidR="00EA3D56" w:rsidRPr="0009305D">
        <w:rPr>
          <w:rFonts w:ascii="Arial" w:hAnsi="Arial" w:cs="Arial"/>
          <w:i/>
          <w:iCs/>
          <w:sz w:val="24"/>
          <w:szCs w:val="24"/>
        </w:rPr>
        <w:t>or the defendant</w:t>
      </w:r>
    </w:p>
    <w:p w14:paraId="320EB9C6" w14:textId="03D91122" w:rsidR="00AF3678" w:rsidRPr="00440710" w:rsidRDefault="00440710" w:rsidP="00440710">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EA3D56" w:rsidRPr="00440710">
        <w:rPr>
          <w:rFonts w:ascii="Arial" w:hAnsi="Arial" w:cs="Arial"/>
          <w:sz w:val="24"/>
          <w:szCs w:val="24"/>
        </w:rPr>
        <w:t xml:space="preserve">The </w:t>
      </w:r>
      <w:r w:rsidR="00A67F77" w:rsidRPr="00440710">
        <w:rPr>
          <w:rFonts w:ascii="Arial" w:hAnsi="Arial" w:cs="Arial"/>
          <w:sz w:val="24"/>
          <w:szCs w:val="24"/>
        </w:rPr>
        <w:t xml:space="preserve">defendant called a single witness, viz. </w:t>
      </w:r>
      <w:r w:rsidR="00D866EA" w:rsidRPr="00440710">
        <w:rPr>
          <w:rFonts w:ascii="Arial" w:hAnsi="Arial" w:cs="Arial"/>
          <w:sz w:val="24"/>
          <w:szCs w:val="24"/>
        </w:rPr>
        <w:t>the arresting officer</w:t>
      </w:r>
      <w:r w:rsidR="00944EBE" w:rsidRPr="00440710">
        <w:rPr>
          <w:rFonts w:ascii="Arial" w:hAnsi="Arial" w:cs="Arial"/>
          <w:sz w:val="24"/>
          <w:szCs w:val="24"/>
        </w:rPr>
        <w:t xml:space="preserve">, </w:t>
      </w:r>
      <w:r w:rsidR="00A67F77" w:rsidRPr="00440710">
        <w:rPr>
          <w:rFonts w:ascii="Arial" w:hAnsi="Arial" w:cs="Arial"/>
          <w:sz w:val="24"/>
          <w:szCs w:val="24"/>
        </w:rPr>
        <w:t>Sgt Siyabonga Tuswa</w:t>
      </w:r>
      <w:r w:rsidR="009311B9" w:rsidRPr="00440710">
        <w:rPr>
          <w:rFonts w:ascii="Arial" w:hAnsi="Arial" w:cs="Arial"/>
          <w:sz w:val="24"/>
          <w:szCs w:val="24"/>
        </w:rPr>
        <w:t>. He</w:t>
      </w:r>
      <w:r w:rsidR="00944EBE" w:rsidRPr="00440710">
        <w:rPr>
          <w:rFonts w:ascii="Arial" w:hAnsi="Arial" w:cs="Arial"/>
          <w:sz w:val="24"/>
          <w:szCs w:val="24"/>
        </w:rPr>
        <w:t xml:space="preserve"> </w:t>
      </w:r>
      <w:r w:rsidR="00D866EA" w:rsidRPr="00440710">
        <w:rPr>
          <w:rFonts w:ascii="Arial" w:hAnsi="Arial" w:cs="Arial"/>
          <w:sz w:val="24"/>
          <w:szCs w:val="24"/>
        </w:rPr>
        <w:t xml:space="preserve">testified that he attended to a complaint </w:t>
      </w:r>
      <w:r w:rsidR="00E53956" w:rsidRPr="00440710">
        <w:rPr>
          <w:rFonts w:ascii="Arial" w:hAnsi="Arial" w:cs="Arial"/>
          <w:sz w:val="24"/>
          <w:szCs w:val="24"/>
        </w:rPr>
        <w:t xml:space="preserve">with a colleague </w:t>
      </w:r>
      <w:r w:rsidR="00D866EA" w:rsidRPr="00440710">
        <w:rPr>
          <w:rFonts w:ascii="Arial" w:hAnsi="Arial" w:cs="Arial"/>
          <w:sz w:val="24"/>
          <w:szCs w:val="24"/>
        </w:rPr>
        <w:t xml:space="preserve">on 24 April 2018, emanating from a Steers restaurant situated in Old Transkei Road, Nahoon, East London. He met </w:t>
      </w:r>
      <w:r w:rsidR="00580E89" w:rsidRPr="00440710">
        <w:rPr>
          <w:rFonts w:ascii="Arial" w:hAnsi="Arial" w:cs="Arial"/>
          <w:sz w:val="24"/>
          <w:szCs w:val="24"/>
        </w:rPr>
        <w:t xml:space="preserve">the </w:t>
      </w:r>
      <w:r w:rsidR="00223A29" w:rsidRPr="00440710">
        <w:rPr>
          <w:rFonts w:ascii="Arial" w:hAnsi="Arial" w:cs="Arial"/>
          <w:sz w:val="24"/>
          <w:szCs w:val="24"/>
        </w:rPr>
        <w:t xml:space="preserve">financial </w:t>
      </w:r>
      <w:r w:rsidR="00580E89" w:rsidRPr="00440710">
        <w:rPr>
          <w:rFonts w:ascii="Arial" w:hAnsi="Arial" w:cs="Arial"/>
          <w:sz w:val="24"/>
          <w:szCs w:val="24"/>
        </w:rPr>
        <w:t xml:space="preserve">manager, Mr Morné Marshall, who alleged that employees were misappropriating cash that belonged to the business. This amounted to approximately R 190,000. In that regard, Mr Marshall </w:t>
      </w:r>
      <w:r w:rsidR="007C6617" w:rsidRPr="00440710">
        <w:rPr>
          <w:rFonts w:ascii="Arial" w:hAnsi="Arial" w:cs="Arial"/>
          <w:sz w:val="24"/>
          <w:szCs w:val="24"/>
        </w:rPr>
        <w:t>referr</w:t>
      </w:r>
      <w:r w:rsidR="00580E89" w:rsidRPr="00440710">
        <w:rPr>
          <w:rFonts w:ascii="Arial" w:hAnsi="Arial" w:cs="Arial"/>
          <w:sz w:val="24"/>
          <w:szCs w:val="24"/>
        </w:rPr>
        <w:t>ed</w:t>
      </w:r>
      <w:r w:rsidR="007C6617" w:rsidRPr="00440710">
        <w:rPr>
          <w:rFonts w:ascii="Arial" w:hAnsi="Arial" w:cs="Arial"/>
          <w:sz w:val="24"/>
          <w:szCs w:val="24"/>
        </w:rPr>
        <w:t xml:space="preserve"> to</w:t>
      </w:r>
      <w:r w:rsidR="00580E89" w:rsidRPr="00440710">
        <w:rPr>
          <w:rFonts w:ascii="Arial" w:hAnsi="Arial" w:cs="Arial"/>
          <w:sz w:val="24"/>
          <w:szCs w:val="24"/>
        </w:rPr>
        <w:t xml:space="preserve"> video footage of employees conducting sales with customers and later dividing the takings amongst themselves. The plaintiff was amongst the employees involved. </w:t>
      </w:r>
    </w:p>
    <w:p w14:paraId="784619DD" w14:textId="77777777" w:rsidR="00AF3678" w:rsidRDefault="00AF3678" w:rsidP="00AF3678">
      <w:pPr>
        <w:pStyle w:val="ListParagraph"/>
        <w:spacing w:line="360" w:lineRule="auto"/>
        <w:ind w:left="0"/>
        <w:jc w:val="both"/>
        <w:rPr>
          <w:rFonts w:ascii="Arial" w:hAnsi="Arial" w:cs="Arial"/>
          <w:sz w:val="24"/>
          <w:szCs w:val="24"/>
        </w:rPr>
      </w:pPr>
    </w:p>
    <w:p w14:paraId="683F3AEA" w14:textId="5F1869B4" w:rsidR="00AF3678" w:rsidRPr="00440710" w:rsidRDefault="00440710" w:rsidP="00440710">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580E89" w:rsidRPr="00440710">
        <w:rPr>
          <w:rFonts w:ascii="Arial" w:hAnsi="Arial" w:cs="Arial"/>
          <w:sz w:val="24"/>
          <w:szCs w:val="24"/>
        </w:rPr>
        <w:t xml:space="preserve">Mr Marshall used the </w:t>
      </w:r>
      <w:r w:rsidR="00223A29" w:rsidRPr="00440710">
        <w:rPr>
          <w:rFonts w:ascii="Arial" w:hAnsi="Arial" w:cs="Arial"/>
          <w:sz w:val="24"/>
          <w:szCs w:val="24"/>
        </w:rPr>
        <w:t xml:space="preserve">video </w:t>
      </w:r>
      <w:r w:rsidR="00580E89" w:rsidRPr="00440710">
        <w:rPr>
          <w:rFonts w:ascii="Arial" w:hAnsi="Arial" w:cs="Arial"/>
          <w:sz w:val="24"/>
          <w:szCs w:val="24"/>
        </w:rPr>
        <w:t xml:space="preserve">footage to identify and </w:t>
      </w:r>
      <w:r w:rsidR="000C3000" w:rsidRPr="00440710">
        <w:rPr>
          <w:rFonts w:ascii="Arial" w:hAnsi="Arial" w:cs="Arial"/>
          <w:sz w:val="24"/>
          <w:szCs w:val="24"/>
        </w:rPr>
        <w:t>place</w:t>
      </w:r>
      <w:r w:rsidR="00580E89" w:rsidRPr="00440710">
        <w:rPr>
          <w:rFonts w:ascii="Arial" w:hAnsi="Arial" w:cs="Arial"/>
          <w:sz w:val="24"/>
          <w:szCs w:val="24"/>
        </w:rPr>
        <w:t xml:space="preserve"> aside six suspects, whom Sgt Tuswa </w:t>
      </w:r>
      <w:r w:rsidR="000C3000" w:rsidRPr="00440710">
        <w:rPr>
          <w:rFonts w:ascii="Arial" w:hAnsi="Arial" w:cs="Arial"/>
          <w:sz w:val="24"/>
          <w:szCs w:val="24"/>
        </w:rPr>
        <w:t xml:space="preserve">and his colleague </w:t>
      </w:r>
      <w:r w:rsidR="00580E89" w:rsidRPr="00440710">
        <w:rPr>
          <w:rFonts w:ascii="Arial" w:hAnsi="Arial" w:cs="Arial"/>
          <w:sz w:val="24"/>
          <w:szCs w:val="24"/>
        </w:rPr>
        <w:t xml:space="preserve">encountered upon </w:t>
      </w:r>
      <w:r w:rsidR="000C3000" w:rsidRPr="00440710">
        <w:rPr>
          <w:rFonts w:ascii="Arial" w:hAnsi="Arial" w:cs="Arial"/>
          <w:sz w:val="24"/>
          <w:szCs w:val="24"/>
        </w:rPr>
        <w:t xml:space="preserve">their </w:t>
      </w:r>
      <w:r w:rsidR="00580E89" w:rsidRPr="00440710">
        <w:rPr>
          <w:rFonts w:ascii="Arial" w:hAnsi="Arial" w:cs="Arial"/>
          <w:sz w:val="24"/>
          <w:szCs w:val="24"/>
        </w:rPr>
        <w:t>arrival. Some of the suspects were crying</w:t>
      </w:r>
      <w:r w:rsidR="00A67F77" w:rsidRPr="00440710">
        <w:rPr>
          <w:rFonts w:ascii="Arial" w:hAnsi="Arial" w:cs="Arial"/>
          <w:sz w:val="24"/>
          <w:szCs w:val="24"/>
        </w:rPr>
        <w:t xml:space="preserve"> and </w:t>
      </w:r>
      <w:r w:rsidR="007C6617" w:rsidRPr="00440710">
        <w:rPr>
          <w:rFonts w:ascii="Arial" w:hAnsi="Arial" w:cs="Arial"/>
          <w:sz w:val="24"/>
          <w:szCs w:val="24"/>
        </w:rPr>
        <w:t>conced</w:t>
      </w:r>
      <w:r w:rsidR="00A67F77" w:rsidRPr="00440710">
        <w:rPr>
          <w:rFonts w:ascii="Arial" w:hAnsi="Arial" w:cs="Arial"/>
          <w:sz w:val="24"/>
          <w:szCs w:val="24"/>
        </w:rPr>
        <w:t xml:space="preserve">ed that they were in the wrong. They explained, however, that they had agreed with Mr Marshall that the misappropriated cash could be deducted from their salaries; they </w:t>
      </w:r>
      <w:r w:rsidR="007C6617" w:rsidRPr="00440710">
        <w:rPr>
          <w:rFonts w:ascii="Arial" w:hAnsi="Arial" w:cs="Arial"/>
          <w:sz w:val="24"/>
          <w:szCs w:val="24"/>
        </w:rPr>
        <w:t>were</w:t>
      </w:r>
      <w:r w:rsidR="00A67F77" w:rsidRPr="00440710">
        <w:rPr>
          <w:rFonts w:ascii="Arial" w:hAnsi="Arial" w:cs="Arial"/>
          <w:sz w:val="24"/>
          <w:szCs w:val="24"/>
        </w:rPr>
        <w:t xml:space="preserve"> shocked when Mr Marshall subsequently involved the SAPS. The plaintiff was one of the suspects. Sgt Tuswa informed them that a case would be opened</w:t>
      </w:r>
      <w:r w:rsidR="00A91EB4" w:rsidRPr="00440710">
        <w:rPr>
          <w:rFonts w:ascii="Arial" w:hAnsi="Arial" w:cs="Arial"/>
          <w:sz w:val="24"/>
          <w:szCs w:val="24"/>
        </w:rPr>
        <w:t xml:space="preserve">; he </w:t>
      </w:r>
      <w:r w:rsidR="00A67F77" w:rsidRPr="00440710">
        <w:rPr>
          <w:rFonts w:ascii="Arial" w:hAnsi="Arial" w:cs="Arial"/>
          <w:sz w:val="24"/>
          <w:szCs w:val="24"/>
        </w:rPr>
        <w:t>explain</w:t>
      </w:r>
      <w:r w:rsidR="00A91EB4" w:rsidRPr="00440710">
        <w:rPr>
          <w:rFonts w:ascii="Arial" w:hAnsi="Arial" w:cs="Arial"/>
          <w:sz w:val="24"/>
          <w:szCs w:val="24"/>
        </w:rPr>
        <w:t>ed</w:t>
      </w:r>
      <w:r w:rsidR="00A67F77" w:rsidRPr="00440710">
        <w:rPr>
          <w:rFonts w:ascii="Arial" w:hAnsi="Arial" w:cs="Arial"/>
          <w:sz w:val="24"/>
          <w:szCs w:val="24"/>
        </w:rPr>
        <w:t xml:space="preserve"> their rights</w:t>
      </w:r>
      <w:r w:rsidR="00A91EB4" w:rsidRPr="00440710">
        <w:rPr>
          <w:rFonts w:ascii="Arial" w:hAnsi="Arial" w:cs="Arial"/>
          <w:sz w:val="24"/>
          <w:szCs w:val="24"/>
        </w:rPr>
        <w:t xml:space="preserve"> and proceeded to arrest </w:t>
      </w:r>
      <w:r w:rsidR="00A67F77" w:rsidRPr="00440710">
        <w:rPr>
          <w:rFonts w:ascii="Arial" w:hAnsi="Arial" w:cs="Arial"/>
          <w:sz w:val="24"/>
          <w:szCs w:val="24"/>
        </w:rPr>
        <w:t>them</w:t>
      </w:r>
      <w:r w:rsidR="00A91EB4" w:rsidRPr="00440710">
        <w:rPr>
          <w:rFonts w:ascii="Arial" w:hAnsi="Arial" w:cs="Arial"/>
          <w:sz w:val="24"/>
          <w:szCs w:val="24"/>
        </w:rPr>
        <w:t xml:space="preserve"> before </w:t>
      </w:r>
      <w:r w:rsidR="000C3000" w:rsidRPr="00440710">
        <w:rPr>
          <w:rFonts w:ascii="Arial" w:hAnsi="Arial" w:cs="Arial"/>
          <w:sz w:val="24"/>
          <w:szCs w:val="24"/>
        </w:rPr>
        <w:t xml:space="preserve">taking </w:t>
      </w:r>
      <w:r w:rsidR="00A91EB4" w:rsidRPr="00440710">
        <w:rPr>
          <w:rFonts w:ascii="Arial" w:hAnsi="Arial" w:cs="Arial"/>
          <w:sz w:val="24"/>
          <w:szCs w:val="24"/>
        </w:rPr>
        <w:t xml:space="preserve">the suspects to the Cambridge police station, where he opened a </w:t>
      </w:r>
      <w:r w:rsidR="007C6617" w:rsidRPr="00440710">
        <w:rPr>
          <w:rFonts w:ascii="Arial" w:hAnsi="Arial" w:cs="Arial"/>
          <w:sz w:val="24"/>
          <w:szCs w:val="24"/>
        </w:rPr>
        <w:t xml:space="preserve">case </w:t>
      </w:r>
      <w:r w:rsidR="00A91EB4" w:rsidRPr="00440710">
        <w:rPr>
          <w:rFonts w:ascii="Arial" w:hAnsi="Arial" w:cs="Arial"/>
          <w:sz w:val="24"/>
          <w:szCs w:val="24"/>
        </w:rPr>
        <w:t>docket and handed the matter over to the investigating officer. He confirmed that the reason for his having arrested the suspects was to bring them before court.</w:t>
      </w:r>
    </w:p>
    <w:p w14:paraId="5CC42395" w14:textId="77777777" w:rsidR="00AF3678" w:rsidRPr="00AF3678" w:rsidRDefault="00AF3678" w:rsidP="00AF3678">
      <w:pPr>
        <w:pStyle w:val="ListParagraph"/>
        <w:rPr>
          <w:rFonts w:ascii="Arial" w:hAnsi="Arial" w:cs="Arial"/>
          <w:sz w:val="24"/>
          <w:szCs w:val="24"/>
        </w:rPr>
      </w:pPr>
    </w:p>
    <w:p w14:paraId="7D567775" w14:textId="7B3E3EE7" w:rsidR="00486056" w:rsidRPr="00440710" w:rsidRDefault="00440710" w:rsidP="00440710">
      <w:pPr>
        <w:spacing w:line="360" w:lineRule="auto"/>
        <w:jc w:val="both"/>
        <w:rPr>
          <w:rFonts w:ascii="Arial" w:hAnsi="Arial" w:cs="Arial"/>
          <w:sz w:val="24"/>
          <w:szCs w:val="24"/>
        </w:rPr>
      </w:pPr>
      <w:r w:rsidRPr="00AF3678">
        <w:rPr>
          <w:rFonts w:ascii="Arial" w:hAnsi="Arial" w:cs="Arial"/>
          <w:sz w:val="24"/>
          <w:szCs w:val="24"/>
        </w:rPr>
        <w:t>[9]</w:t>
      </w:r>
      <w:r w:rsidRPr="00AF3678">
        <w:rPr>
          <w:rFonts w:ascii="Arial" w:hAnsi="Arial" w:cs="Arial"/>
          <w:sz w:val="24"/>
          <w:szCs w:val="24"/>
        </w:rPr>
        <w:tab/>
      </w:r>
      <w:r w:rsidR="00486056" w:rsidRPr="00440710">
        <w:rPr>
          <w:rFonts w:ascii="Arial" w:hAnsi="Arial" w:cs="Arial"/>
          <w:sz w:val="24"/>
          <w:szCs w:val="24"/>
        </w:rPr>
        <w:t>The defendant closed his case</w:t>
      </w:r>
      <w:r w:rsidR="003A747A" w:rsidRPr="00440710">
        <w:rPr>
          <w:rFonts w:ascii="Arial" w:hAnsi="Arial" w:cs="Arial"/>
          <w:sz w:val="24"/>
          <w:szCs w:val="24"/>
        </w:rPr>
        <w:t xml:space="preserve"> at the conclusion of Sgt Tuswa’s testimony</w:t>
      </w:r>
      <w:r w:rsidR="00486056" w:rsidRPr="00440710">
        <w:rPr>
          <w:rFonts w:ascii="Arial" w:hAnsi="Arial" w:cs="Arial"/>
          <w:sz w:val="24"/>
          <w:szCs w:val="24"/>
        </w:rPr>
        <w:t>.</w:t>
      </w:r>
    </w:p>
    <w:p w14:paraId="6F8205AF" w14:textId="77777777" w:rsidR="00486056" w:rsidRPr="0009305D" w:rsidRDefault="00486056" w:rsidP="001A491F">
      <w:pPr>
        <w:spacing w:line="360" w:lineRule="auto"/>
        <w:jc w:val="both"/>
        <w:rPr>
          <w:rFonts w:ascii="Arial" w:hAnsi="Arial" w:cs="Arial"/>
          <w:sz w:val="24"/>
          <w:szCs w:val="24"/>
        </w:rPr>
      </w:pPr>
    </w:p>
    <w:p w14:paraId="0C77165B" w14:textId="29891B0C" w:rsidR="00486056" w:rsidRPr="0009305D" w:rsidRDefault="00486056" w:rsidP="001A491F">
      <w:pPr>
        <w:spacing w:line="360" w:lineRule="auto"/>
        <w:jc w:val="both"/>
        <w:rPr>
          <w:rFonts w:ascii="Arial" w:hAnsi="Arial" w:cs="Arial"/>
          <w:i/>
          <w:iCs/>
          <w:sz w:val="24"/>
          <w:szCs w:val="24"/>
        </w:rPr>
      </w:pPr>
      <w:r w:rsidRPr="0009305D">
        <w:rPr>
          <w:rFonts w:ascii="Arial" w:hAnsi="Arial" w:cs="Arial"/>
          <w:i/>
          <w:iCs/>
          <w:sz w:val="24"/>
          <w:szCs w:val="24"/>
        </w:rPr>
        <w:t>Case for the plaintiff</w:t>
      </w:r>
    </w:p>
    <w:p w14:paraId="1569852B" w14:textId="77777777" w:rsidR="00486056" w:rsidRPr="0009305D" w:rsidRDefault="00486056" w:rsidP="001A491F">
      <w:pPr>
        <w:spacing w:line="360" w:lineRule="auto"/>
        <w:jc w:val="both"/>
        <w:rPr>
          <w:rFonts w:ascii="Arial" w:hAnsi="Arial" w:cs="Arial"/>
          <w:sz w:val="24"/>
          <w:szCs w:val="24"/>
        </w:rPr>
      </w:pPr>
    </w:p>
    <w:p w14:paraId="61742624" w14:textId="5A9283A7" w:rsidR="00AF3678" w:rsidRPr="00440710" w:rsidRDefault="00440710" w:rsidP="00440710">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486056" w:rsidRPr="00440710">
        <w:rPr>
          <w:rFonts w:ascii="Arial" w:hAnsi="Arial" w:cs="Arial"/>
          <w:sz w:val="24"/>
          <w:szCs w:val="24"/>
        </w:rPr>
        <w:t>The plaintiff testified on his own behalf.</w:t>
      </w:r>
      <w:r w:rsidR="00944EBE" w:rsidRPr="00440710">
        <w:rPr>
          <w:rFonts w:ascii="Arial" w:hAnsi="Arial" w:cs="Arial"/>
          <w:sz w:val="24"/>
          <w:szCs w:val="24"/>
        </w:rPr>
        <w:t xml:space="preserve"> He</w:t>
      </w:r>
      <w:r w:rsidR="00486056" w:rsidRPr="00440710">
        <w:rPr>
          <w:rFonts w:ascii="Arial" w:hAnsi="Arial" w:cs="Arial"/>
          <w:sz w:val="24"/>
          <w:szCs w:val="24"/>
        </w:rPr>
        <w:t xml:space="preserve"> said that he had been working at the Steers restaurant in Nahoon, East London, since 2015. </w:t>
      </w:r>
    </w:p>
    <w:p w14:paraId="471304B6" w14:textId="77777777" w:rsidR="00AF3678" w:rsidRDefault="00AF3678" w:rsidP="00AF3678">
      <w:pPr>
        <w:pStyle w:val="ListParagraph"/>
        <w:spacing w:line="360" w:lineRule="auto"/>
        <w:ind w:left="0"/>
        <w:jc w:val="both"/>
        <w:rPr>
          <w:rFonts w:ascii="Arial" w:hAnsi="Arial" w:cs="Arial"/>
          <w:sz w:val="24"/>
          <w:szCs w:val="24"/>
        </w:rPr>
      </w:pPr>
    </w:p>
    <w:p w14:paraId="63552DBE" w14:textId="67F3DE66" w:rsidR="00AF3678" w:rsidRPr="00440710" w:rsidRDefault="00440710" w:rsidP="00440710">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486056" w:rsidRPr="00440710">
        <w:rPr>
          <w:rFonts w:ascii="Arial" w:hAnsi="Arial" w:cs="Arial"/>
          <w:sz w:val="24"/>
          <w:szCs w:val="24"/>
        </w:rPr>
        <w:t xml:space="preserve">On the day in question, the owner informed the employees that cash had been stolen. He said that he had evidence but invited them to say what happened. No-one spoke, whereupon the owner called out the names of several employees, including the plaintiff. At this, the plaintiff challenged the owner and asked him how he could have been involved because he worked in the kitchen at the back of the restaurant, he was not a cashier; nothing linked him to the alleged theft. </w:t>
      </w:r>
    </w:p>
    <w:p w14:paraId="55C8AE56" w14:textId="77777777" w:rsidR="00AF3678" w:rsidRPr="00AF3678" w:rsidRDefault="00AF3678" w:rsidP="00AF3678">
      <w:pPr>
        <w:pStyle w:val="ListParagraph"/>
        <w:rPr>
          <w:rFonts w:ascii="Arial" w:hAnsi="Arial" w:cs="Arial"/>
          <w:sz w:val="24"/>
          <w:szCs w:val="24"/>
        </w:rPr>
      </w:pPr>
    </w:p>
    <w:p w14:paraId="04B13862" w14:textId="642FEF60" w:rsidR="00AF3678" w:rsidRPr="00440710" w:rsidRDefault="00440710" w:rsidP="00440710">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486056" w:rsidRPr="00440710">
        <w:rPr>
          <w:rFonts w:ascii="Arial" w:hAnsi="Arial" w:cs="Arial"/>
          <w:sz w:val="24"/>
          <w:szCs w:val="24"/>
        </w:rPr>
        <w:t>Mr Marshall issued suspension notices to eight suspects in total. The plaintiff refused to acknowledge receipt, saying that he d</w:t>
      </w:r>
      <w:r w:rsidR="006D4381" w:rsidRPr="00440710">
        <w:rPr>
          <w:rFonts w:ascii="Arial" w:hAnsi="Arial" w:cs="Arial"/>
          <w:sz w:val="24"/>
          <w:szCs w:val="24"/>
        </w:rPr>
        <w:t>id not</w:t>
      </w:r>
      <w:r w:rsidR="00486056" w:rsidRPr="00440710">
        <w:rPr>
          <w:rFonts w:ascii="Arial" w:hAnsi="Arial" w:cs="Arial"/>
          <w:sz w:val="24"/>
          <w:szCs w:val="24"/>
        </w:rPr>
        <w:t xml:space="preserve"> understand why he </w:t>
      </w:r>
      <w:r w:rsidR="000C3000" w:rsidRPr="00440710">
        <w:rPr>
          <w:rFonts w:ascii="Arial" w:hAnsi="Arial" w:cs="Arial"/>
          <w:sz w:val="24"/>
          <w:szCs w:val="24"/>
        </w:rPr>
        <w:t xml:space="preserve">was </w:t>
      </w:r>
      <w:r w:rsidR="00486056" w:rsidRPr="00440710">
        <w:rPr>
          <w:rFonts w:ascii="Arial" w:hAnsi="Arial" w:cs="Arial"/>
          <w:sz w:val="24"/>
          <w:szCs w:val="24"/>
        </w:rPr>
        <w:t>implicated.</w:t>
      </w:r>
      <w:r w:rsidR="00CC2A56" w:rsidRPr="00440710">
        <w:rPr>
          <w:rFonts w:ascii="Arial" w:hAnsi="Arial" w:cs="Arial"/>
          <w:sz w:val="24"/>
          <w:szCs w:val="24"/>
        </w:rPr>
        <w:t xml:space="preserve"> He again requested proof of the </w:t>
      </w:r>
      <w:r w:rsidR="00E53956" w:rsidRPr="00440710">
        <w:rPr>
          <w:rFonts w:ascii="Arial" w:hAnsi="Arial" w:cs="Arial"/>
          <w:sz w:val="24"/>
          <w:szCs w:val="24"/>
        </w:rPr>
        <w:t>allegations,</w:t>
      </w:r>
      <w:r w:rsidR="00CC2A56" w:rsidRPr="00440710">
        <w:rPr>
          <w:rFonts w:ascii="Arial" w:hAnsi="Arial" w:cs="Arial"/>
          <w:sz w:val="24"/>
          <w:szCs w:val="24"/>
        </w:rPr>
        <w:t xml:space="preserve"> but the owner and Mr Marshall declined to do so.</w:t>
      </w:r>
      <w:r w:rsidR="006D4381" w:rsidRPr="00440710">
        <w:rPr>
          <w:rFonts w:ascii="Arial" w:hAnsi="Arial" w:cs="Arial"/>
          <w:sz w:val="24"/>
          <w:szCs w:val="24"/>
        </w:rPr>
        <w:t xml:space="preserve"> They said that the suspects were to be arrested.</w:t>
      </w:r>
    </w:p>
    <w:p w14:paraId="1DCCC2B9" w14:textId="77777777" w:rsidR="00AF3678" w:rsidRPr="00AF3678" w:rsidRDefault="00AF3678" w:rsidP="00AF3678">
      <w:pPr>
        <w:pStyle w:val="ListParagraph"/>
        <w:rPr>
          <w:rFonts w:ascii="Arial" w:hAnsi="Arial" w:cs="Arial"/>
          <w:sz w:val="24"/>
          <w:szCs w:val="24"/>
        </w:rPr>
      </w:pPr>
    </w:p>
    <w:p w14:paraId="0799C381" w14:textId="1BF329AC" w:rsidR="00AF3678" w:rsidRPr="00440710" w:rsidRDefault="00440710" w:rsidP="00440710">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CC2A56" w:rsidRPr="00440710">
        <w:rPr>
          <w:rFonts w:ascii="Arial" w:hAnsi="Arial" w:cs="Arial"/>
          <w:sz w:val="24"/>
          <w:szCs w:val="24"/>
        </w:rPr>
        <w:t xml:space="preserve">Shortly afterwards, police vans arrived; police officers handcuffed the suspects and placed them inside the vehicles. </w:t>
      </w:r>
      <w:r w:rsidR="00535B9D" w:rsidRPr="00440710">
        <w:rPr>
          <w:rFonts w:ascii="Arial" w:hAnsi="Arial" w:cs="Arial"/>
          <w:sz w:val="24"/>
          <w:szCs w:val="24"/>
        </w:rPr>
        <w:t xml:space="preserve">They never explained their constitutional rights. </w:t>
      </w:r>
      <w:r w:rsidR="00CC2A56" w:rsidRPr="00440710">
        <w:rPr>
          <w:rFonts w:ascii="Arial" w:hAnsi="Arial" w:cs="Arial"/>
          <w:sz w:val="24"/>
          <w:szCs w:val="24"/>
        </w:rPr>
        <w:t xml:space="preserve">The suspects waited for some time before </w:t>
      </w:r>
      <w:r w:rsidR="006D4381" w:rsidRPr="00440710">
        <w:rPr>
          <w:rFonts w:ascii="Arial" w:hAnsi="Arial" w:cs="Arial"/>
          <w:sz w:val="24"/>
          <w:szCs w:val="24"/>
        </w:rPr>
        <w:t xml:space="preserve">the officers took them </w:t>
      </w:r>
      <w:r w:rsidR="00CC2A56" w:rsidRPr="00440710">
        <w:rPr>
          <w:rFonts w:ascii="Arial" w:hAnsi="Arial" w:cs="Arial"/>
          <w:sz w:val="24"/>
          <w:szCs w:val="24"/>
        </w:rPr>
        <w:t>to the Cambridge police station, where the</w:t>
      </w:r>
      <w:r w:rsidR="006D4381" w:rsidRPr="00440710">
        <w:rPr>
          <w:rFonts w:ascii="Arial" w:hAnsi="Arial" w:cs="Arial"/>
          <w:sz w:val="24"/>
          <w:szCs w:val="24"/>
        </w:rPr>
        <w:t xml:space="preserve">y received </w:t>
      </w:r>
      <w:r w:rsidR="00CC2A56" w:rsidRPr="00440710">
        <w:rPr>
          <w:rFonts w:ascii="Arial" w:hAnsi="Arial" w:cs="Arial"/>
          <w:sz w:val="24"/>
          <w:szCs w:val="24"/>
        </w:rPr>
        <w:t xml:space="preserve">notices </w:t>
      </w:r>
      <w:r w:rsidR="006D4381" w:rsidRPr="00440710">
        <w:rPr>
          <w:rFonts w:ascii="Arial" w:hAnsi="Arial" w:cs="Arial"/>
          <w:sz w:val="24"/>
          <w:szCs w:val="24"/>
        </w:rPr>
        <w:t xml:space="preserve">informing them </w:t>
      </w:r>
      <w:r w:rsidR="00CC2A56" w:rsidRPr="00440710">
        <w:rPr>
          <w:rFonts w:ascii="Arial" w:hAnsi="Arial" w:cs="Arial"/>
          <w:sz w:val="24"/>
          <w:szCs w:val="24"/>
        </w:rPr>
        <w:t xml:space="preserve">of their rights. The officers indicated that a </w:t>
      </w:r>
      <w:r w:rsidR="00447E03" w:rsidRPr="00440710">
        <w:rPr>
          <w:rFonts w:ascii="Arial" w:hAnsi="Arial" w:cs="Arial"/>
          <w:sz w:val="24"/>
          <w:szCs w:val="24"/>
        </w:rPr>
        <w:t>case docket would be opened.</w:t>
      </w:r>
    </w:p>
    <w:p w14:paraId="30EDF24C" w14:textId="77777777" w:rsidR="00AF3678" w:rsidRPr="00AF3678" w:rsidRDefault="00AF3678" w:rsidP="00AF3678">
      <w:pPr>
        <w:pStyle w:val="ListParagraph"/>
        <w:rPr>
          <w:rFonts w:ascii="Arial" w:hAnsi="Arial" w:cs="Arial"/>
          <w:sz w:val="24"/>
          <w:szCs w:val="24"/>
        </w:rPr>
      </w:pPr>
    </w:p>
    <w:p w14:paraId="32149C8D" w14:textId="28CBED97" w:rsidR="00AF3678" w:rsidRPr="00440710" w:rsidRDefault="00440710" w:rsidP="00440710">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447E03" w:rsidRPr="00440710">
        <w:rPr>
          <w:rFonts w:ascii="Arial" w:hAnsi="Arial" w:cs="Arial"/>
          <w:sz w:val="24"/>
          <w:szCs w:val="24"/>
        </w:rPr>
        <w:t xml:space="preserve">The plaintiff described the condition of the holding cell. It was cold, dirty, and smelt strongly of urine; there was an open toilet in the cell, without any privacy. </w:t>
      </w:r>
      <w:r w:rsidR="006D4381" w:rsidRPr="00440710">
        <w:rPr>
          <w:rFonts w:ascii="Arial" w:hAnsi="Arial" w:cs="Arial"/>
          <w:sz w:val="24"/>
          <w:szCs w:val="24"/>
        </w:rPr>
        <w:t>The officers provided a</w:t>
      </w:r>
      <w:r w:rsidR="00447E03" w:rsidRPr="00440710">
        <w:rPr>
          <w:rFonts w:ascii="Arial" w:hAnsi="Arial" w:cs="Arial"/>
          <w:sz w:val="24"/>
          <w:szCs w:val="24"/>
        </w:rPr>
        <w:t xml:space="preserve"> single blanket to the plaintiff, which he placed on the cement floor. </w:t>
      </w:r>
      <w:r w:rsidR="009A0EA6" w:rsidRPr="00440710">
        <w:rPr>
          <w:rFonts w:ascii="Arial" w:hAnsi="Arial" w:cs="Arial"/>
          <w:sz w:val="24"/>
          <w:szCs w:val="24"/>
        </w:rPr>
        <w:t xml:space="preserve">He testified that he suffered from asthma and </w:t>
      </w:r>
      <w:r w:rsidR="000C3000" w:rsidRPr="00440710">
        <w:rPr>
          <w:rFonts w:ascii="Arial" w:hAnsi="Arial" w:cs="Arial"/>
          <w:sz w:val="24"/>
          <w:szCs w:val="24"/>
        </w:rPr>
        <w:t xml:space="preserve">had </w:t>
      </w:r>
      <w:r w:rsidR="009A0EA6" w:rsidRPr="00440710">
        <w:rPr>
          <w:rFonts w:ascii="Arial" w:hAnsi="Arial" w:cs="Arial"/>
          <w:sz w:val="24"/>
          <w:szCs w:val="24"/>
        </w:rPr>
        <w:t>called for assistance</w:t>
      </w:r>
      <w:r w:rsidR="007C6617" w:rsidRPr="00440710">
        <w:rPr>
          <w:rFonts w:ascii="Arial" w:hAnsi="Arial" w:cs="Arial"/>
          <w:sz w:val="24"/>
          <w:szCs w:val="24"/>
        </w:rPr>
        <w:t>. T</w:t>
      </w:r>
      <w:r w:rsidR="009A0EA6" w:rsidRPr="00440710">
        <w:rPr>
          <w:rFonts w:ascii="Arial" w:hAnsi="Arial" w:cs="Arial"/>
          <w:sz w:val="24"/>
          <w:szCs w:val="24"/>
        </w:rPr>
        <w:t>he officers ignored him. They removed his wallet, belt, and shoelaces. They gave him soup and four slices of bread for lunch</w:t>
      </w:r>
      <w:r w:rsidR="007C6617" w:rsidRPr="00440710">
        <w:rPr>
          <w:rFonts w:ascii="Arial" w:hAnsi="Arial" w:cs="Arial"/>
          <w:sz w:val="24"/>
          <w:szCs w:val="24"/>
        </w:rPr>
        <w:t xml:space="preserve">, </w:t>
      </w:r>
      <w:r w:rsidR="006D4381" w:rsidRPr="00440710">
        <w:rPr>
          <w:rFonts w:ascii="Arial" w:hAnsi="Arial" w:cs="Arial"/>
          <w:sz w:val="24"/>
          <w:szCs w:val="24"/>
        </w:rPr>
        <w:t xml:space="preserve">on 24 April 2018, and they gave him </w:t>
      </w:r>
      <w:r w:rsidR="009A0EA6" w:rsidRPr="00440710">
        <w:rPr>
          <w:rFonts w:ascii="Arial" w:hAnsi="Arial" w:cs="Arial"/>
          <w:sz w:val="24"/>
          <w:szCs w:val="24"/>
        </w:rPr>
        <w:t>porridge on the following day,</w:t>
      </w:r>
      <w:r w:rsidR="007C6617" w:rsidRPr="00440710">
        <w:rPr>
          <w:rFonts w:ascii="Arial" w:hAnsi="Arial" w:cs="Arial"/>
          <w:sz w:val="24"/>
          <w:szCs w:val="24"/>
        </w:rPr>
        <w:t xml:space="preserve"> </w:t>
      </w:r>
      <w:r w:rsidR="009A0EA6" w:rsidRPr="00440710">
        <w:rPr>
          <w:rFonts w:ascii="Arial" w:hAnsi="Arial" w:cs="Arial"/>
          <w:sz w:val="24"/>
          <w:szCs w:val="24"/>
        </w:rPr>
        <w:t xml:space="preserve">25 April 2018. </w:t>
      </w:r>
    </w:p>
    <w:p w14:paraId="5BC6929B" w14:textId="77777777" w:rsidR="00AF3678" w:rsidRPr="00AF3678" w:rsidRDefault="00AF3678" w:rsidP="00AF3678">
      <w:pPr>
        <w:pStyle w:val="ListParagraph"/>
        <w:rPr>
          <w:rFonts w:ascii="Arial" w:hAnsi="Arial" w:cs="Arial"/>
          <w:sz w:val="24"/>
          <w:szCs w:val="24"/>
        </w:rPr>
      </w:pPr>
    </w:p>
    <w:p w14:paraId="6CEDD73D" w14:textId="7A8900F7" w:rsidR="00AF3678" w:rsidRPr="00440710" w:rsidRDefault="00440710" w:rsidP="00440710">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9A0EA6" w:rsidRPr="00440710">
        <w:rPr>
          <w:rFonts w:ascii="Arial" w:hAnsi="Arial" w:cs="Arial"/>
          <w:sz w:val="24"/>
          <w:szCs w:val="24"/>
        </w:rPr>
        <w:t xml:space="preserve">At some stage during the plaintiff’s detention, the investigating officer asked him about his work responsibilities. </w:t>
      </w:r>
      <w:r w:rsidR="006D4381" w:rsidRPr="00440710">
        <w:rPr>
          <w:rFonts w:ascii="Arial" w:hAnsi="Arial" w:cs="Arial"/>
          <w:sz w:val="24"/>
          <w:szCs w:val="24"/>
        </w:rPr>
        <w:t>The officers took h</w:t>
      </w:r>
      <w:r w:rsidR="009A0EA6" w:rsidRPr="00440710">
        <w:rPr>
          <w:rFonts w:ascii="Arial" w:hAnsi="Arial" w:cs="Arial"/>
          <w:sz w:val="24"/>
          <w:szCs w:val="24"/>
        </w:rPr>
        <w:t>is fingerprints and told</w:t>
      </w:r>
      <w:r w:rsidR="006D4381" w:rsidRPr="00440710">
        <w:rPr>
          <w:rFonts w:ascii="Arial" w:hAnsi="Arial" w:cs="Arial"/>
          <w:sz w:val="24"/>
          <w:szCs w:val="24"/>
        </w:rPr>
        <w:t xml:space="preserve"> him</w:t>
      </w:r>
      <w:r w:rsidR="009A0EA6" w:rsidRPr="00440710">
        <w:rPr>
          <w:rFonts w:ascii="Arial" w:hAnsi="Arial" w:cs="Arial"/>
          <w:sz w:val="24"/>
          <w:szCs w:val="24"/>
        </w:rPr>
        <w:t xml:space="preserve"> that he would be brought before court. </w:t>
      </w:r>
    </w:p>
    <w:p w14:paraId="7B672176" w14:textId="77777777" w:rsidR="00AF3678" w:rsidRPr="00AF3678" w:rsidRDefault="00AF3678" w:rsidP="00AF3678">
      <w:pPr>
        <w:pStyle w:val="ListParagraph"/>
        <w:rPr>
          <w:rFonts w:ascii="Arial" w:hAnsi="Arial" w:cs="Arial"/>
          <w:sz w:val="24"/>
          <w:szCs w:val="24"/>
        </w:rPr>
      </w:pPr>
    </w:p>
    <w:p w14:paraId="656D8CEB" w14:textId="3017CCE1" w:rsidR="00AF3678" w:rsidRPr="00440710" w:rsidRDefault="00440710" w:rsidP="00440710">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7C6617" w:rsidRPr="00440710">
        <w:rPr>
          <w:rFonts w:ascii="Arial" w:hAnsi="Arial" w:cs="Arial"/>
          <w:sz w:val="24"/>
          <w:szCs w:val="24"/>
        </w:rPr>
        <w:t xml:space="preserve">On 26 April 2018, </w:t>
      </w:r>
      <w:r w:rsidR="006D4381" w:rsidRPr="00440710">
        <w:rPr>
          <w:rFonts w:ascii="Arial" w:hAnsi="Arial" w:cs="Arial"/>
          <w:sz w:val="24"/>
          <w:szCs w:val="24"/>
        </w:rPr>
        <w:t xml:space="preserve">the </w:t>
      </w:r>
      <w:r w:rsidR="007C6617" w:rsidRPr="00440710">
        <w:rPr>
          <w:rFonts w:ascii="Arial" w:hAnsi="Arial" w:cs="Arial"/>
          <w:sz w:val="24"/>
          <w:szCs w:val="24"/>
        </w:rPr>
        <w:t xml:space="preserve">officers took the suspects to the Magistrates’ Court, where they placed </w:t>
      </w:r>
      <w:r w:rsidR="006D4381" w:rsidRPr="00440710">
        <w:rPr>
          <w:rFonts w:ascii="Arial" w:hAnsi="Arial" w:cs="Arial"/>
          <w:sz w:val="24"/>
          <w:szCs w:val="24"/>
        </w:rPr>
        <w:t xml:space="preserve">them </w:t>
      </w:r>
      <w:r w:rsidR="007C6617" w:rsidRPr="00440710">
        <w:rPr>
          <w:rFonts w:ascii="Arial" w:hAnsi="Arial" w:cs="Arial"/>
          <w:sz w:val="24"/>
          <w:szCs w:val="24"/>
        </w:rPr>
        <w:t>inside a room. A</w:t>
      </w:r>
      <w:r w:rsidR="006D4381" w:rsidRPr="00440710">
        <w:rPr>
          <w:rFonts w:ascii="Arial" w:hAnsi="Arial" w:cs="Arial"/>
          <w:sz w:val="24"/>
          <w:szCs w:val="24"/>
        </w:rPr>
        <w:t>nother</w:t>
      </w:r>
      <w:r w:rsidR="007C6617" w:rsidRPr="00440710">
        <w:rPr>
          <w:rFonts w:ascii="Arial" w:hAnsi="Arial" w:cs="Arial"/>
          <w:sz w:val="24"/>
          <w:szCs w:val="24"/>
        </w:rPr>
        <w:t xml:space="preserve"> officer later entered </w:t>
      </w:r>
      <w:r w:rsidR="006D4381" w:rsidRPr="00440710">
        <w:rPr>
          <w:rFonts w:ascii="Arial" w:hAnsi="Arial" w:cs="Arial"/>
          <w:sz w:val="24"/>
          <w:szCs w:val="24"/>
        </w:rPr>
        <w:t xml:space="preserve">the room, </w:t>
      </w:r>
      <w:r w:rsidR="007C6617" w:rsidRPr="00440710">
        <w:rPr>
          <w:rFonts w:ascii="Arial" w:hAnsi="Arial" w:cs="Arial"/>
          <w:sz w:val="24"/>
          <w:szCs w:val="24"/>
        </w:rPr>
        <w:t>called out the names of the suspects,</w:t>
      </w:r>
      <w:r w:rsidR="006D4381" w:rsidRPr="00440710">
        <w:rPr>
          <w:rFonts w:ascii="Arial" w:hAnsi="Arial" w:cs="Arial"/>
          <w:sz w:val="24"/>
          <w:szCs w:val="24"/>
        </w:rPr>
        <w:t xml:space="preserve"> and instructed them to wait outside. A legal practitioner approached them and explained that the charges against them had been withdrawn; they were free to leave.</w:t>
      </w:r>
    </w:p>
    <w:p w14:paraId="36C4057D" w14:textId="77777777" w:rsidR="00AF3678" w:rsidRPr="00AF3678" w:rsidRDefault="00AF3678" w:rsidP="00AF3678">
      <w:pPr>
        <w:pStyle w:val="ListParagraph"/>
        <w:rPr>
          <w:rFonts w:ascii="Arial" w:hAnsi="Arial" w:cs="Arial"/>
          <w:sz w:val="24"/>
          <w:szCs w:val="24"/>
        </w:rPr>
      </w:pPr>
    </w:p>
    <w:p w14:paraId="730B174E" w14:textId="0E51A7E6" w:rsidR="00AF3678" w:rsidRPr="00440710" w:rsidRDefault="00440710" w:rsidP="00440710">
      <w:pPr>
        <w:spacing w:line="360" w:lineRule="auto"/>
        <w:jc w:val="both"/>
        <w:rPr>
          <w:rFonts w:ascii="Arial" w:hAnsi="Arial" w:cs="Arial"/>
          <w:sz w:val="24"/>
          <w:szCs w:val="24"/>
        </w:rPr>
      </w:pPr>
      <w:r>
        <w:rPr>
          <w:rFonts w:ascii="Arial" w:hAnsi="Arial" w:cs="Arial"/>
          <w:sz w:val="24"/>
          <w:szCs w:val="24"/>
        </w:rPr>
        <w:lastRenderedPageBreak/>
        <w:t>[17]</w:t>
      </w:r>
      <w:r>
        <w:rPr>
          <w:rFonts w:ascii="Arial" w:hAnsi="Arial" w:cs="Arial"/>
          <w:sz w:val="24"/>
          <w:szCs w:val="24"/>
        </w:rPr>
        <w:tab/>
      </w:r>
      <w:r w:rsidR="006D4381" w:rsidRPr="00440710">
        <w:rPr>
          <w:rFonts w:ascii="Arial" w:hAnsi="Arial" w:cs="Arial"/>
          <w:sz w:val="24"/>
          <w:szCs w:val="24"/>
        </w:rPr>
        <w:t xml:space="preserve">The plaintiff testified that the incident had troubled him emotionally; his dignity had been affected. </w:t>
      </w:r>
      <w:r w:rsidR="00535B9D" w:rsidRPr="00440710">
        <w:rPr>
          <w:rFonts w:ascii="Arial" w:hAnsi="Arial" w:cs="Arial"/>
          <w:sz w:val="24"/>
          <w:szCs w:val="24"/>
        </w:rPr>
        <w:t>The officers had led the suspects away from the Steers restaurant in handcuffs, in sight of the public, who now viewed him as a thug. He had not been able to sleep properly.</w:t>
      </w:r>
    </w:p>
    <w:p w14:paraId="0B89ED6C" w14:textId="77777777" w:rsidR="00AF3678" w:rsidRPr="00AF3678" w:rsidRDefault="00AF3678" w:rsidP="00AF3678">
      <w:pPr>
        <w:pStyle w:val="ListParagraph"/>
        <w:rPr>
          <w:rFonts w:ascii="Arial" w:hAnsi="Arial" w:cs="Arial"/>
          <w:sz w:val="24"/>
          <w:szCs w:val="24"/>
        </w:rPr>
      </w:pPr>
    </w:p>
    <w:p w14:paraId="587BF2B8" w14:textId="09DAE62B" w:rsidR="00AF3678" w:rsidRPr="00440710" w:rsidRDefault="00440710" w:rsidP="00440710">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535B9D" w:rsidRPr="00440710">
        <w:rPr>
          <w:rFonts w:ascii="Arial" w:hAnsi="Arial" w:cs="Arial"/>
          <w:sz w:val="24"/>
          <w:szCs w:val="24"/>
        </w:rPr>
        <w:t>On 2 May 2018, said the plaintiff, the owner had called him to the restaurant and asked him about the incident. The plaintiff informed him that he knew nothing about it. Subsequently, the owner invited the plaintiff to return, which he did. Of the eight suspects, only he and another employee went back to work; both had previously worked in the kitchen.</w:t>
      </w:r>
    </w:p>
    <w:p w14:paraId="261B582F" w14:textId="77777777" w:rsidR="00AF3678" w:rsidRPr="00AF3678" w:rsidRDefault="00AF3678" w:rsidP="00AF3678">
      <w:pPr>
        <w:pStyle w:val="ListParagraph"/>
        <w:rPr>
          <w:rFonts w:ascii="Arial" w:hAnsi="Arial" w:cs="Arial"/>
          <w:sz w:val="24"/>
          <w:szCs w:val="24"/>
        </w:rPr>
      </w:pPr>
    </w:p>
    <w:p w14:paraId="69D97D39" w14:textId="738A0C64" w:rsidR="00944EBE" w:rsidRPr="00440710" w:rsidRDefault="00440710" w:rsidP="00440710">
      <w:pPr>
        <w:spacing w:line="360" w:lineRule="auto"/>
        <w:jc w:val="both"/>
        <w:rPr>
          <w:rFonts w:ascii="Arial" w:hAnsi="Arial" w:cs="Arial"/>
          <w:sz w:val="24"/>
          <w:szCs w:val="24"/>
        </w:rPr>
      </w:pPr>
      <w:r w:rsidRPr="00AF3678">
        <w:rPr>
          <w:rFonts w:ascii="Arial" w:hAnsi="Arial" w:cs="Arial"/>
          <w:sz w:val="24"/>
          <w:szCs w:val="24"/>
        </w:rPr>
        <w:t>[19]</w:t>
      </w:r>
      <w:r w:rsidRPr="00AF3678">
        <w:rPr>
          <w:rFonts w:ascii="Arial" w:hAnsi="Arial" w:cs="Arial"/>
          <w:sz w:val="24"/>
          <w:szCs w:val="24"/>
        </w:rPr>
        <w:tab/>
      </w:r>
      <w:r w:rsidR="003A747A" w:rsidRPr="00440710">
        <w:rPr>
          <w:rFonts w:ascii="Arial" w:hAnsi="Arial" w:cs="Arial"/>
          <w:sz w:val="24"/>
          <w:szCs w:val="24"/>
        </w:rPr>
        <w:t>The plaintiff closed his case.</w:t>
      </w:r>
    </w:p>
    <w:p w14:paraId="7BB3D8E0" w14:textId="77777777" w:rsidR="003A747A" w:rsidRPr="0009305D" w:rsidRDefault="003A747A" w:rsidP="001A491F">
      <w:pPr>
        <w:spacing w:line="360" w:lineRule="auto"/>
        <w:jc w:val="both"/>
        <w:rPr>
          <w:rFonts w:ascii="Arial" w:hAnsi="Arial" w:cs="Arial"/>
          <w:sz w:val="24"/>
          <w:szCs w:val="24"/>
        </w:rPr>
      </w:pPr>
    </w:p>
    <w:p w14:paraId="133212D7" w14:textId="3BB21CF4" w:rsidR="00944EBE" w:rsidRPr="0009305D" w:rsidRDefault="00944EBE" w:rsidP="001A491F">
      <w:pPr>
        <w:spacing w:line="360" w:lineRule="auto"/>
        <w:jc w:val="both"/>
        <w:rPr>
          <w:rFonts w:ascii="Arial" w:hAnsi="Arial" w:cs="Arial"/>
          <w:b/>
          <w:bCs/>
          <w:sz w:val="24"/>
          <w:szCs w:val="24"/>
        </w:rPr>
      </w:pPr>
      <w:r w:rsidRPr="0009305D">
        <w:rPr>
          <w:rFonts w:ascii="Arial" w:hAnsi="Arial" w:cs="Arial"/>
          <w:b/>
          <w:bCs/>
          <w:sz w:val="24"/>
          <w:szCs w:val="24"/>
        </w:rPr>
        <w:t>Issues to be decided</w:t>
      </w:r>
    </w:p>
    <w:p w14:paraId="10226316" w14:textId="77777777" w:rsidR="00944EBE" w:rsidRPr="0009305D" w:rsidRDefault="00944EBE" w:rsidP="001A491F">
      <w:pPr>
        <w:spacing w:line="360" w:lineRule="auto"/>
        <w:jc w:val="both"/>
        <w:rPr>
          <w:rFonts w:ascii="Arial" w:hAnsi="Arial" w:cs="Arial"/>
          <w:sz w:val="24"/>
          <w:szCs w:val="24"/>
        </w:rPr>
      </w:pPr>
    </w:p>
    <w:p w14:paraId="794211AA" w14:textId="496CA86A" w:rsidR="00AF3678" w:rsidRPr="00440710" w:rsidRDefault="00440710" w:rsidP="00440710">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944EBE" w:rsidRPr="00440710">
        <w:rPr>
          <w:rFonts w:ascii="Arial" w:hAnsi="Arial" w:cs="Arial"/>
          <w:sz w:val="24"/>
          <w:szCs w:val="24"/>
        </w:rPr>
        <w:t>It is common cause that the defendant’s personnel arrested and detained the plaintiff. Consequently, the two primary issues for determination are: (a) whether the arrest and detention were lawful; and (b) if not, then what damages should be awarded to the plaintiff.</w:t>
      </w:r>
    </w:p>
    <w:p w14:paraId="564F16FA" w14:textId="77777777" w:rsidR="00AF3678" w:rsidRDefault="00AF3678" w:rsidP="00AF3678">
      <w:pPr>
        <w:pStyle w:val="ListParagraph"/>
        <w:spacing w:line="360" w:lineRule="auto"/>
        <w:ind w:left="0"/>
        <w:jc w:val="both"/>
        <w:rPr>
          <w:rFonts w:ascii="Arial" w:hAnsi="Arial" w:cs="Arial"/>
          <w:sz w:val="24"/>
          <w:szCs w:val="24"/>
        </w:rPr>
      </w:pPr>
    </w:p>
    <w:p w14:paraId="28649D6A" w14:textId="76E272A3" w:rsidR="00944EBE" w:rsidRPr="00440710" w:rsidRDefault="00440710" w:rsidP="00440710">
      <w:pPr>
        <w:spacing w:line="360" w:lineRule="auto"/>
        <w:jc w:val="both"/>
        <w:rPr>
          <w:rFonts w:ascii="Arial" w:hAnsi="Arial" w:cs="Arial"/>
          <w:sz w:val="24"/>
          <w:szCs w:val="24"/>
        </w:rPr>
      </w:pPr>
      <w:r w:rsidRPr="00AF3678">
        <w:rPr>
          <w:rFonts w:ascii="Arial" w:hAnsi="Arial" w:cs="Arial"/>
          <w:sz w:val="24"/>
          <w:szCs w:val="24"/>
        </w:rPr>
        <w:t>[21]</w:t>
      </w:r>
      <w:r w:rsidRPr="00AF3678">
        <w:rPr>
          <w:rFonts w:ascii="Arial" w:hAnsi="Arial" w:cs="Arial"/>
          <w:sz w:val="24"/>
          <w:szCs w:val="24"/>
        </w:rPr>
        <w:tab/>
      </w:r>
      <w:r w:rsidR="00944EBE" w:rsidRPr="00440710">
        <w:rPr>
          <w:rFonts w:ascii="Arial" w:hAnsi="Arial" w:cs="Arial"/>
          <w:sz w:val="24"/>
          <w:szCs w:val="24"/>
        </w:rPr>
        <w:t xml:space="preserve">The principles </w:t>
      </w:r>
      <w:r w:rsidR="00A409AD" w:rsidRPr="00440710">
        <w:rPr>
          <w:rFonts w:ascii="Arial" w:hAnsi="Arial" w:cs="Arial"/>
          <w:sz w:val="24"/>
          <w:szCs w:val="24"/>
        </w:rPr>
        <w:t xml:space="preserve">in matters such as the present are well-established. A brief overview thereof </w:t>
      </w:r>
      <w:r w:rsidR="0077209D" w:rsidRPr="00440710">
        <w:rPr>
          <w:rFonts w:ascii="Arial" w:hAnsi="Arial" w:cs="Arial"/>
          <w:sz w:val="24"/>
          <w:szCs w:val="24"/>
        </w:rPr>
        <w:t>appear</w:t>
      </w:r>
      <w:r w:rsidR="00A409AD" w:rsidRPr="00440710">
        <w:rPr>
          <w:rFonts w:ascii="Arial" w:hAnsi="Arial" w:cs="Arial"/>
          <w:sz w:val="24"/>
          <w:szCs w:val="24"/>
        </w:rPr>
        <w:t>s in the paragraphs below.</w:t>
      </w:r>
    </w:p>
    <w:p w14:paraId="16DB8801" w14:textId="77777777" w:rsidR="00A409AD" w:rsidRPr="0009305D" w:rsidRDefault="00A409AD" w:rsidP="001A491F">
      <w:pPr>
        <w:spacing w:line="360" w:lineRule="auto"/>
        <w:jc w:val="both"/>
        <w:rPr>
          <w:rFonts w:ascii="Arial" w:hAnsi="Arial" w:cs="Arial"/>
          <w:sz w:val="24"/>
          <w:szCs w:val="24"/>
        </w:rPr>
      </w:pPr>
    </w:p>
    <w:p w14:paraId="57A24672" w14:textId="29B55594" w:rsidR="00A409AD" w:rsidRPr="0009305D" w:rsidRDefault="00A409AD" w:rsidP="001A491F">
      <w:pPr>
        <w:spacing w:line="360" w:lineRule="auto"/>
        <w:jc w:val="both"/>
        <w:rPr>
          <w:rFonts w:ascii="Arial" w:hAnsi="Arial" w:cs="Arial"/>
          <w:b/>
          <w:bCs/>
          <w:sz w:val="24"/>
          <w:szCs w:val="24"/>
        </w:rPr>
      </w:pPr>
      <w:r w:rsidRPr="0009305D">
        <w:rPr>
          <w:rFonts w:ascii="Arial" w:hAnsi="Arial" w:cs="Arial"/>
          <w:b/>
          <w:bCs/>
          <w:sz w:val="24"/>
          <w:szCs w:val="24"/>
        </w:rPr>
        <w:t>Legal framework</w:t>
      </w:r>
    </w:p>
    <w:p w14:paraId="3230E931" w14:textId="77777777" w:rsidR="00A409AD" w:rsidRPr="0009305D" w:rsidRDefault="00A409AD" w:rsidP="001A491F">
      <w:pPr>
        <w:spacing w:line="360" w:lineRule="auto"/>
        <w:jc w:val="both"/>
        <w:rPr>
          <w:rFonts w:ascii="Arial" w:hAnsi="Arial" w:cs="Arial"/>
          <w:sz w:val="24"/>
          <w:szCs w:val="24"/>
        </w:rPr>
      </w:pPr>
    </w:p>
    <w:p w14:paraId="7B9A1831" w14:textId="3E8403FF" w:rsidR="00AF3678" w:rsidRPr="00440710" w:rsidRDefault="00440710" w:rsidP="00440710">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A409AD" w:rsidRPr="00440710">
        <w:rPr>
          <w:rFonts w:ascii="Arial" w:hAnsi="Arial" w:cs="Arial"/>
          <w:sz w:val="24"/>
          <w:szCs w:val="24"/>
        </w:rPr>
        <w:t>T</w:t>
      </w:r>
      <w:r w:rsidR="00944EBE" w:rsidRPr="00440710">
        <w:rPr>
          <w:rFonts w:ascii="Arial" w:hAnsi="Arial" w:cs="Arial"/>
          <w:sz w:val="24"/>
          <w:szCs w:val="24"/>
        </w:rPr>
        <w:t xml:space="preserve">he provisions of section 40(1) of the Criminal Procedure Act 51 of 1977 (‘CPA’) </w:t>
      </w:r>
      <w:r w:rsidR="00A409AD" w:rsidRPr="00440710">
        <w:rPr>
          <w:rFonts w:ascii="Arial" w:hAnsi="Arial" w:cs="Arial"/>
          <w:sz w:val="24"/>
          <w:szCs w:val="24"/>
        </w:rPr>
        <w:t xml:space="preserve">are relevant. They indicate </w:t>
      </w:r>
      <w:r w:rsidR="00944EBE" w:rsidRPr="00440710">
        <w:rPr>
          <w:rFonts w:ascii="Arial" w:hAnsi="Arial" w:cs="Arial"/>
          <w:sz w:val="24"/>
          <w:szCs w:val="24"/>
        </w:rPr>
        <w:t>that a peace officer may arrest a person without a warrant in several circumstances</w:t>
      </w:r>
      <w:r w:rsidR="00A409AD" w:rsidRPr="00440710">
        <w:rPr>
          <w:rFonts w:ascii="Arial" w:hAnsi="Arial" w:cs="Arial"/>
          <w:sz w:val="24"/>
          <w:szCs w:val="24"/>
        </w:rPr>
        <w:t>,</w:t>
      </w:r>
      <w:r w:rsidR="00944EBE" w:rsidRPr="00440710">
        <w:rPr>
          <w:rFonts w:ascii="Arial" w:hAnsi="Arial" w:cs="Arial"/>
          <w:sz w:val="24"/>
          <w:szCs w:val="24"/>
        </w:rPr>
        <w:t xml:space="preserve"> includ</w:t>
      </w:r>
      <w:r w:rsidR="007D0F32" w:rsidRPr="00440710">
        <w:rPr>
          <w:rFonts w:ascii="Arial" w:hAnsi="Arial" w:cs="Arial"/>
          <w:sz w:val="24"/>
          <w:szCs w:val="24"/>
        </w:rPr>
        <w:t>ing</w:t>
      </w:r>
      <w:r w:rsidR="00944EBE" w:rsidRPr="00440710">
        <w:rPr>
          <w:rFonts w:ascii="Arial" w:hAnsi="Arial" w:cs="Arial"/>
          <w:sz w:val="24"/>
          <w:szCs w:val="24"/>
        </w:rPr>
        <w:t xml:space="preserve"> a situation where the officer reasonably suspects that </w:t>
      </w:r>
      <w:r w:rsidR="00944EBE" w:rsidRPr="00440710">
        <w:rPr>
          <w:rFonts w:ascii="Arial" w:hAnsi="Arial" w:cs="Arial"/>
          <w:sz w:val="24"/>
          <w:szCs w:val="24"/>
        </w:rPr>
        <w:lastRenderedPageBreak/>
        <w:t xml:space="preserve">the person in question has committed </w:t>
      </w:r>
      <w:r w:rsidR="00A409AD" w:rsidRPr="00440710">
        <w:rPr>
          <w:rFonts w:ascii="Arial" w:hAnsi="Arial" w:cs="Arial"/>
          <w:sz w:val="24"/>
          <w:szCs w:val="24"/>
        </w:rPr>
        <w:t>an offence in Schedule 1 of the CPA</w:t>
      </w:r>
      <w:r w:rsidR="00944EBE" w:rsidRPr="00440710">
        <w:rPr>
          <w:rFonts w:ascii="Arial" w:hAnsi="Arial" w:cs="Arial"/>
          <w:sz w:val="24"/>
          <w:szCs w:val="24"/>
        </w:rPr>
        <w:t>.</w:t>
      </w:r>
      <w:r w:rsidR="00944EBE" w:rsidRPr="0009305D">
        <w:rPr>
          <w:vertAlign w:val="superscript"/>
        </w:rPr>
        <w:footnoteReference w:id="1"/>
      </w:r>
      <w:r w:rsidR="00944EBE" w:rsidRPr="00440710">
        <w:rPr>
          <w:rFonts w:ascii="Arial" w:hAnsi="Arial" w:cs="Arial"/>
          <w:sz w:val="24"/>
          <w:szCs w:val="24"/>
        </w:rPr>
        <w:t xml:space="preserve"> </w:t>
      </w:r>
      <w:r w:rsidR="007D0F32" w:rsidRPr="00440710">
        <w:rPr>
          <w:rFonts w:ascii="Arial" w:hAnsi="Arial" w:cs="Arial"/>
          <w:sz w:val="24"/>
          <w:szCs w:val="24"/>
        </w:rPr>
        <w:t>Both theft and fraud fall under the schedule in question.</w:t>
      </w:r>
    </w:p>
    <w:p w14:paraId="2BEE424A" w14:textId="77777777" w:rsidR="00AF3678" w:rsidRDefault="00AF3678" w:rsidP="00AF3678">
      <w:pPr>
        <w:pStyle w:val="ListParagraph"/>
        <w:spacing w:line="360" w:lineRule="auto"/>
        <w:ind w:left="0"/>
        <w:jc w:val="both"/>
        <w:rPr>
          <w:rFonts w:ascii="Arial" w:hAnsi="Arial" w:cs="Arial"/>
          <w:sz w:val="24"/>
          <w:szCs w:val="24"/>
        </w:rPr>
      </w:pPr>
    </w:p>
    <w:p w14:paraId="0E87710C" w14:textId="1EB5BCCA" w:rsidR="00944EBE" w:rsidRPr="00440710" w:rsidRDefault="00440710" w:rsidP="00440710">
      <w:pPr>
        <w:spacing w:line="360" w:lineRule="auto"/>
        <w:jc w:val="both"/>
        <w:rPr>
          <w:rFonts w:ascii="Arial" w:hAnsi="Arial" w:cs="Arial"/>
          <w:sz w:val="24"/>
          <w:szCs w:val="24"/>
        </w:rPr>
      </w:pPr>
      <w:r w:rsidRPr="00AF3678">
        <w:rPr>
          <w:rFonts w:ascii="Arial" w:hAnsi="Arial" w:cs="Arial"/>
          <w:sz w:val="24"/>
          <w:szCs w:val="24"/>
        </w:rPr>
        <w:t>[23]</w:t>
      </w:r>
      <w:r w:rsidRPr="00AF3678">
        <w:rPr>
          <w:rFonts w:ascii="Arial" w:hAnsi="Arial" w:cs="Arial"/>
          <w:sz w:val="24"/>
          <w:szCs w:val="24"/>
        </w:rPr>
        <w:tab/>
      </w:r>
      <w:r w:rsidR="007D0F32" w:rsidRPr="00440710">
        <w:rPr>
          <w:rFonts w:ascii="Arial" w:hAnsi="Arial" w:cs="Arial"/>
          <w:sz w:val="24"/>
          <w:szCs w:val="24"/>
        </w:rPr>
        <w:t>Before a</w:t>
      </w:r>
      <w:r w:rsidR="0077209D" w:rsidRPr="00440710">
        <w:rPr>
          <w:rFonts w:ascii="Arial" w:hAnsi="Arial" w:cs="Arial"/>
          <w:sz w:val="24"/>
          <w:szCs w:val="24"/>
        </w:rPr>
        <w:t xml:space="preserve">n </w:t>
      </w:r>
      <w:r w:rsidR="007D0F32" w:rsidRPr="00440710">
        <w:rPr>
          <w:rFonts w:ascii="Arial" w:hAnsi="Arial" w:cs="Arial"/>
          <w:sz w:val="24"/>
          <w:szCs w:val="24"/>
        </w:rPr>
        <w:t xml:space="preserve">officer can exercise such a power, however, the necessary </w:t>
      </w:r>
      <w:r w:rsidR="00944EBE" w:rsidRPr="00440710">
        <w:rPr>
          <w:rFonts w:ascii="Arial" w:hAnsi="Arial" w:cs="Arial"/>
          <w:sz w:val="24"/>
          <w:szCs w:val="24"/>
        </w:rPr>
        <w:t xml:space="preserve">jurisdictional facts </w:t>
      </w:r>
      <w:r w:rsidR="007D0F32" w:rsidRPr="00440710">
        <w:rPr>
          <w:rFonts w:ascii="Arial" w:hAnsi="Arial" w:cs="Arial"/>
          <w:sz w:val="24"/>
          <w:szCs w:val="24"/>
        </w:rPr>
        <w:t xml:space="preserve">must exist. In </w:t>
      </w:r>
      <w:r w:rsidR="007D0F32" w:rsidRPr="00440710">
        <w:rPr>
          <w:rFonts w:ascii="Arial" w:hAnsi="Arial" w:cs="Arial"/>
          <w:i/>
          <w:iCs/>
          <w:sz w:val="24"/>
          <w:szCs w:val="24"/>
        </w:rPr>
        <w:t>Duncan v Minister of Law and Order</w:t>
      </w:r>
      <w:r w:rsidR="007D0F32" w:rsidRPr="00440710">
        <w:rPr>
          <w:rFonts w:ascii="Arial" w:hAnsi="Arial" w:cs="Arial"/>
          <w:sz w:val="24"/>
          <w:szCs w:val="24"/>
        </w:rPr>
        <w:t>,</w:t>
      </w:r>
      <w:r w:rsidR="007D0F32" w:rsidRPr="0009305D">
        <w:rPr>
          <w:vertAlign w:val="superscript"/>
        </w:rPr>
        <w:footnoteReference w:id="2"/>
      </w:r>
      <w:r w:rsidR="007D0F32" w:rsidRPr="00440710">
        <w:rPr>
          <w:rFonts w:ascii="Arial" w:hAnsi="Arial" w:cs="Arial"/>
          <w:sz w:val="24"/>
          <w:szCs w:val="24"/>
        </w:rPr>
        <w:t xml:space="preserve"> the erstwhile Appellate Division held</w:t>
      </w:r>
      <w:r w:rsidR="00EF5076" w:rsidRPr="00440710">
        <w:rPr>
          <w:rFonts w:ascii="Arial" w:hAnsi="Arial" w:cs="Arial"/>
          <w:sz w:val="24"/>
          <w:szCs w:val="24"/>
        </w:rPr>
        <w:t>, per Van Heerden JA, that there are four such jurisdictional facts: the arrestor must be a peace officer; he or she must entertain a suspicion; it must be a suspicion that the arrestee committed a Schedule 1 offence; and the suspicion must rest on reasonable grounds.</w:t>
      </w:r>
      <w:r w:rsidR="007D482F" w:rsidRPr="0009305D">
        <w:rPr>
          <w:rStyle w:val="FootnoteReference"/>
          <w:rFonts w:ascii="Arial" w:hAnsi="Arial" w:cs="Arial"/>
          <w:sz w:val="24"/>
          <w:szCs w:val="24"/>
        </w:rPr>
        <w:footnoteReference w:id="3"/>
      </w:r>
      <w:r w:rsidR="00944EBE" w:rsidRPr="00440710">
        <w:rPr>
          <w:rFonts w:ascii="Arial" w:hAnsi="Arial" w:cs="Arial"/>
          <w:sz w:val="24"/>
          <w:szCs w:val="24"/>
        </w:rPr>
        <w:t xml:space="preserve"> </w:t>
      </w:r>
      <w:r w:rsidR="007D482F" w:rsidRPr="00440710">
        <w:rPr>
          <w:rFonts w:ascii="Arial" w:hAnsi="Arial" w:cs="Arial"/>
          <w:sz w:val="24"/>
          <w:szCs w:val="24"/>
        </w:rPr>
        <w:t>The meaning of ‘reasonable grounds’ was considered i</w:t>
      </w:r>
      <w:r w:rsidR="00944EBE" w:rsidRPr="00440710">
        <w:rPr>
          <w:rFonts w:ascii="Arial" w:hAnsi="Arial" w:cs="Arial"/>
          <w:sz w:val="24"/>
          <w:szCs w:val="24"/>
        </w:rPr>
        <w:t xml:space="preserve">n </w:t>
      </w:r>
      <w:r w:rsidR="00944EBE" w:rsidRPr="00440710">
        <w:rPr>
          <w:rFonts w:ascii="Arial" w:hAnsi="Arial" w:cs="Arial"/>
          <w:i/>
          <w:iCs/>
          <w:sz w:val="24"/>
          <w:szCs w:val="24"/>
        </w:rPr>
        <w:t>R v Van Heerden</w:t>
      </w:r>
      <w:r w:rsidR="00944EBE" w:rsidRPr="00440710">
        <w:rPr>
          <w:rFonts w:ascii="Arial" w:hAnsi="Arial" w:cs="Arial"/>
          <w:sz w:val="24"/>
          <w:szCs w:val="24"/>
        </w:rPr>
        <w:t>,</w:t>
      </w:r>
      <w:r w:rsidR="00944EBE" w:rsidRPr="0009305D">
        <w:rPr>
          <w:vertAlign w:val="superscript"/>
        </w:rPr>
        <w:footnoteReference w:id="4"/>
      </w:r>
      <w:r w:rsidR="00944EBE" w:rsidRPr="00440710">
        <w:rPr>
          <w:rFonts w:ascii="Arial" w:hAnsi="Arial" w:cs="Arial"/>
          <w:sz w:val="24"/>
          <w:szCs w:val="24"/>
        </w:rPr>
        <w:t xml:space="preserve"> </w:t>
      </w:r>
      <w:r w:rsidR="007D482F" w:rsidRPr="00440710">
        <w:rPr>
          <w:rFonts w:ascii="Arial" w:hAnsi="Arial" w:cs="Arial"/>
          <w:sz w:val="24"/>
          <w:szCs w:val="24"/>
        </w:rPr>
        <w:t xml:space="preserve">where </w:t>
      </w:r>
      <w:r w:rsidR="00944EBE" w:rsidRPr="00440710">
        <w:rPr>
          <w:rFonts w:ascii="Arial" w:hAnsi="Arial" w:cs="Arial"/>
          <w:sz w:val="24"/>
          <w:szCs w:val="24"/>
        </w:rPr>
        <w:t>Galgut AJ held</w:t>
      </w:r>
      <w:r w:rsidR="007D0F32" w:rsidRPr="00440710">
        <w:rPr>
          <w:rFonts w:ascii="Arial" w:hAnsi="Arial" w:cs="Arial"/>
          <w:sz w:val="24"/>
          <w:szCs w:val="24"/>
        </w:rPr>
        <w:t xml:space="preserve"> </w:t>
      </w:r>
      <w:r w:rsidR="00944EBE" w:rsidRPr="00440710">
        <w:rPr>
          <w:rFonts w:ascii="Arial" w:hAnsi="Arial" w:cs="Arial"/>
          <w:sz w:val="24"/>
          <w:szCs w:val="24"/>
        </w:rPr>
        <w:t xml:space="preserve">that </w:t>
      </w:r>
      <w:r w:rsidR="007D482F" w:rsidRPr="00440710">
        <w:rPr>
          <w:rFonts w:ascii="Arial" w:hAnsi="Arial" w:cs="Arial"/>
          <w:sz w:val="24"/>
          <w:szCs w:val="24"/>
        </w:rPr>
        <w:t>the term</w:t>
      </w:r>
      <w:r w:rsidR="00944EBE" w:rsidRPr="00440710">
        <w:rPr>
          <w:rFonts w:ascii="Arial" w:hAnsi="Arial" w:cs="Arial"/>
          <w:sz w:val="24"/>
          <w:szCs w:val="24"/>
        </w:rPr>
        <w:t xml:space="preserve"> must be interpreted </w:t>
      </w:r>
      <w:r w:rsidR="0077209D" w:rsidRPr="00440710">
        <w:rPr>
          <w:rFonts w:ascii="Arial" w:hAnsi="Arial" w:cs="Arial"/>
          <w:sz w:val="24"/>
          <w:szCs w:val="24"/>
        </w:rPr>
        <w:t>objectively,</w:t>
      </w:r>
      <w:r w:rsidR="00944EBE" w:rsidRPr="00440710">
        <w:rPr>
          <w:rFonts w:ascii="Arial" w:hAnsi="Arial" w:cs="Arial"/>
          <w:sz w:val="24"/>
          <w:szCs w:val="24"/>
        </w:rPr>
        <w:t xml:space="preserve"> and the grounds must be those that would induce a reasonable person to have a suspicion.</w:t>
      </w:r>
      <w:r w:rsidR="007D0F32" w:rsidRPr="0009305D">
        <w:rPr>
          <w:rStyle w:val="FootnoteReference"/>
          <w:rFonts w:ascii="Arial" w:hAnsi="Arial" w:cs="Arial"/>
          <w:sz w:val="24"/>
          <w:szCs w:val="24"/>
        </w:rPr>
        <w:footnoteReference w:id="5"/>
      </w:r>
      <w:r w:rsidR="00944EBE" w:rsidRPr="00440710">
        <w:rPr>
          <w:rFonts w:ascii="Arial" w:hAnsi="Arial" w:cs="Arial"/>
          <w:sz w:val="24"/>
          <w:szCs w:val="24"/>
        </w:rPr>
        <w:t xml:space="preserve"> This was </w:t>
      </w:r>
      <w:r w:rsidR="004B2FD7" w:rsidRPr="00440710">
        <w:rPr>
          <w:rFonts w:ascii="Arial" w:hAnsi="Arial" w:cs="Arial"/>
          <w:sz w:val="24"/>
          <w:szCs w:val="24"/>
        </w:rPr>
        <w:t xml:space="preserve">explored further </w:t>
      </w:r>
      <w:r w:rsidR="00944EBE" w:rsidRPr="00440710">
        <w:rPr>
          <w:rFonts w:ascii="Arial" w:hAnsi="Arial" w:cs="Arial"/>
          <w:sz w:val="24"/>
          <w:szCs w:val="24"/>
        </w:rPr>
        <w:t xml:space="preserve">in </w:t>
      </w:r>
      <w:r w:rsidR="00944EBE" w:rsidRPr="00440710">
        <w:rPr>
          <w:rFonts w:ascii="Arial" w:hAnsi="Arial" w:cs="Arial"/>
          <w:i/>
          <w:iCs/>
          <w:sz w:val="24"/>
          <w:szCs w:val="24"/>
        </w:rPr>
        <w:t>Mabona and another v Minister of Law and Order and others</w:t>
      </w:r>
      <w:r w:rsidR="00944EBE" w:rsidRPr="00440710">
        <w:rPr>
          <w:rFonts w:ascii="Arial" w:hAnsi="Arial" w:cs="Arial"/>
          <w:sz w:val="24"/>
          <w:szCs w:val="24"/>
        </w:rPr>
        <w:t>,</w:t>
      </w:r>
      <w:r w:rsidR="00944EBE" w:rsidRPr="0009305D">
        <w:rPr>
          <w:vertAlign w:val="superscript"/>
        </w:rPr>
        <w:footnoteReference w:id="6"/>
      </w:r>
      <w:r w:rsidR="00944EBE" w:rsidRPr="00440710">
        <w:rPr>
          <w:rFonts w:ascii="Arial" w:hAnsi="Arial" w:cs="Arial"/>
          <w:sz w:val="24"/>
          <w:szCs w:val="24"/>
        </w:rPr>
        <w:t xml:space="preserve"> where Jones J confirmed that the test for whether a suspicion is reasonably entertained is objective. </w:t>
      </w:r>
      <w:r w:rsidR="004B2FD7" w:rsidRPr="00440710">
        <w:rPr>
          <w:rFonts w:ascii="Arial" w:hAnsi="Arial" w:cs="Arial"/>
          <w:sz w:val="24"/>
          <w:szCs w:val="24"/>
        </w:rPr>
        <w:t>He stated as follows:</w:t>
      </w:r>
    </w:p>
    <w:p w14:paraId="7D0897C5" w14:textId="77777777" w:rsidR="00944EBE" w:rsidRPr="0009305D" w:rsidRDefault="00944EBE" w:rsidP="001A491F">
      <w:pPr>
        <w:spacing w:line="360" w:lineRule="auto"/>
        <w:ind w:left="720"/>
        <w:jc w:val="both"/>
        <w:rPr>
          <w:rFonts w:ascii="Arial" w:hAnsi="Arial" w:cs="Arial"/>
        </w:rPr>
      </w:pPr>
      <w:r w:rsidRPr="0009305D">
        <w:rPr>
          <w:rFonts w:ascii="Arial" w:hAnsi="Arial" w:cs="Arial"/>
        </w:rPr>
        <w:t>‘Would a reasonable man in the second defendant’s position and possessed of the same information have considered that there were good and sufficient grounds for suspecting that the plaintiffs were guilty of conspiracy to commit robbery or possession of stolen property knowing it to have been stolen? It seems to me that in evaluating his information a reasonable man would bear in mind that the section authorizes drastic police action. It authorizes an arrest on the strength of a suspicion and without the need to swear out a warrant, i.e. something which otherwise would be an invasion of private rights and personal liberty.</w:t>
      </w:r>
    </w:p>
    <w:p w14:paraId="4DB36C88" w14:textId="1C901882" w:rsidR="00944EBE" w:rsidRPr="0009305D" w:rsidRDefault="00944EBE" w:rsidP="001A491F">
      <w:pPr>
        <w:spacing w:line="360" w:lineRule="auto"/>
        <w:ind w:left="720"/>
        <w:jc w:val="both"/>
        <w:rPr>
          <w:rFonts w:ascii="Arial" w:hAnsi="Arial" w:cs="Arial"/>
        </w:rPr>
      </w:pPr>
      <w:bookmarkStart w:id="1" w:name="_Hlk166158229"/>
      <w:r w:rsidRPr="0009305D">
        <w:rPr>
          <w:rFonts w:ascii="Arial" w:hAnsi="Arial" w:cs="Arial"/>
        </w:rPr>
        <w:t>The reasonable man will therefore analyse and assess the quality of the information at his disposal critically, and he will not accept it lightly or without checking it where it can be checked.</w:t>
      </w:r>
      <w:bookmarkEnd w:id="1"/>
      <w:r w:rsidRPr="0009305D">
        <w:rPr>
          <w:rFonts w:ascii="Arial" w:hAnsi="Arial" w:cs="Arial"/>
        </w:rPr>
        <w:t xml:space="preserve"> It is only after an examination of this kind that he will allow himself to entertain a suspicion which will justify an arrest. This is not to say that the information at his disposal must be of sufficiently high quality and cogency to engender in him a conviction that the </w:t>
      </w:r>
      <w:r w:rsidRPr="0009305D">
        <w:rPr>
          <w:rFonts w:ascii="Arial" w:hAnsi="Arial" w:cs="Arial"/>
        </w:rPr>
        <w:lastRenderedPageBreak/>
        <w:t>suspect is in fact guilty. The section requires suspicion but not certainty. However, the suspicion must be based upon solid grounds. Otherwise, it will be flighty or arbitrary, and not a reasonable suspicion.’</w:t>
      </w:r>
      <w:r w:rsidR="004B2FD7" w:rsidRPr="0009305D">
        <w:rPr>
          <w:rFonts w:ascii="Arial" w:hAnsi="Arial" w:cs="Arial"/>
          <w:vertAlign w:val="superscript"/>
        </w:rPr>
        <w:t xml:space="preserve"> </w:t>
      </w:r>
      <w:r w:rsidR="004B2FD7" w:rsidRPr="0009305D">
        <w:rPr>
          <w:rFonts w:ascii="Arial" w:hAnsi="Arial" w:cs="Arial"/>
          <w:vertAlign w:val="superscript"/>
        </w:rPr>
        <w:footnoteReference w:id="7"/>
      </w:r>
    </w:p>
    <w:p w14:paraId="775782EE" w14:textId="77777777" w:rsidR="00944EBE" w:rsidRPr="0009305D" w:rsidRDefault="00944EBE" w:rsidP="001A491F">
      <w:pPr>
        <w:spacing w:line="360" w:lineRule="auto"/>
        <w:jc w:val="both"/>
        <w:rPr>
          <w:rFonts w:ascii="Arial" w:hAnsi="Arial" w:cs="Arial"/>
          <w:sz w:val="24"/>
          <w:szCs w:val="24"/>
        </w:rPr>
      </w:pPr>
    </w:p>
    <w:p w14:paraId="02743770" w14:textId="6D937D0D" w:rsidR="00944EBE" w:rsidRPr="00440710" w:rsidRDefault="00440710" w:rsidP="00440710">
      <w:pPr>
        <w:spacing w:line="360" w:lineRule="auto"/>
        <w:jc w:val="both"/>
        <w:rPr>
          <w:rFonts w:ascii="Arial" w:hAnsi="Arial" w:cs="Arial"/>
          <w:sz w:val="24"/>
          <w:szCs w:val="24"/>
        </w:rPr>
      </w:pPr>
      <w:r w:rsidRPr="00AF3678">
        <w:rPr>
          <w:rFonts w:ascii="Arial" w:hAnsi="Arial" w:cs="Arial"/>
          <w:sz w:val="24"/>
          <w:szCs w:val="24"/>
        </w:rPr>
        <w:t>[24]</w:t>
      </w:r>
      <w:r w:rsidRPr="00AF3678">
        <w:rPr>
          <w:rFonts w:ascii="Arial" w:hAnsi="Arial" w:cs="Arial"/>
          <w:sz w:val="24"/>
          <w:szCs w:val="24"/>
        </w:rPr>
        <w:tab/>
      </w:r>
      <w:r w:rsidR="004B2FD7" w:rsidRPr="00440710">
        <w:rPr>
          <w:rFonts w:ascii="Arial" w:hAnsi="Arial" w:cs="Arial"/>
          <w:sz w:val="24"/>
          <w:szCs w:val="24"/>
        </w:rPr>
        <w:t>The principles enunciated in</w:t>
      </w:r>
      <w:r w:rsidR="00944EBE" w:rsidRPr="00440710">
        <w:rPr>
          <w:rFonts w:ascii="Arial" w:hAnsi="Arial" w:cs="Arial"/>
          <w:sz w:val="24"/>
          <w:szCs w:val="24"/>
        </w:rPr>
        <w:t xml:space="preserve"> </w:t>
      </w:r>
      <w:r w:rsidR="00944EBE" w:rsidRPr="00440710">
        <w:rPr>
          <w:rFonts w:ascii="Arial" w:hAnsi="Arial" w:cs="Arial"/>
          <w:i/>
          <w:iCs/>
          <w:sz w:val="24"/>
          <w:szCs w:val="24"/>
        </w:rPr>
        <w:t>Mabona</w:t>
      </w:r>
      <w:r w:rsidR="00944EBE" w:rsidRPr="00440710">
        <w:rPr>
          <w:rFonts w:ascii="Arial" w:hAnsi="Arial" w:cs="Arial"/>
          <w:sz w:val="24"/>
          <w:szCs w:val="24"/>
        </w:rPr>
        <w:t xml:space="preserve"> </w:t>
      </w:r>
      <w:r w:rsidR="004B2FD7" w:rsidRPr="00440710">
        <w:rPr>
          <w:rFonts w:ascii="Arial" w:hAnsi="Arial" w:cs="Arial"/>
          <w:sz w:val="24"/>
          <w:szCs w:val="24"/>
        </w:rPr>
        <w:t>have survived.</w:t>
      </w:r>
      <w:r w:rsidR="00944EBE" w:rsidRPr="00440710">
        <w:rPr>
          <w:rFonts w:ascii="Arial" w:hAnsi="Arial" w:cs="Arial"/>
          <w:sz w:val="24"/>
          <w:szCs w:val="24"/>
        </w:rPr>
        <w:t xml:space="preserve"> A</w:t>
      </w:r>
      <w:r w:rsidR="004B2FD7" w:rsidRPr="00440710">
        <w:rPr>
          <w:rFonts w:ascii="Arial" w:hAnsi="Arial" w:cs="Arial"/>
          <w:sz w:val="24"/>
          <w:szCs w:val="24"/>
        </w:rPr>
        <w:t xml:space="preserve"> court must apply a</w:t>
      </w:r>
      <w:r w:rsidR="00944EBE" w:rsidRPr="00440710">
        <w:rPr>
          <w:rFonts w:ascii="Arial" w:hAnsi="Arial" w:cs="Arial"/>
          <w:sz w:val="24"/>
          <w:szCs w:val="24"/>
        </w:rPr>
        <w:t>n objective test to ascertain whether the suspicion held by the officer was reasonable.</w:t>
      </w:r>
      <w:r w:rsidR="0077209D" w:rsidRPr="00440710">
        <w:rPr>
          <w:rFonts w:ascii="Arial" w:hAnsi="Arial" w:cs="Arial"/>
          <w:sz w:val="24"/>
          <w:szCs w:val="24"/>
        </w:rPr>
        <w:t xml:space="preserve"> </w:t>
      </w:r>
      <w:r w:rsidR="004B2FD7" w:rsidRPr="00440710">
        <w:rPr>
          <w:rFonts w:ascii="Arial" w:hAnsi="Arial" w:cs="Arial"/>
          <w:sz w:val="24"/>
          <w:szCs w:val="24"/>
        </w:rPr>
        <w:t xml:space="preserve">More recently, </w:t>
      </w:r>
      <w:r w:rsidR="00944EBE" w:rsidRPr="00440710">
        <w:rPr>
          <w:rFonts w:ascii="Arial" w:hAnsi="Arial" w:cs="Arial"/>
          <w:sz w:val="24"/>
          <w:szCs w:val="24"/>
        </w:rPr>
        <w:t xml:space="preserve">in </w:t>
      </w:r>
      <w:r w:rsidR="00944EBE" w:rsidRPr="00440710">
        <w:rPr>
          <w:rFonts w:ascii="Arial" w:hAnsi="Arial" w:cs="Arial"/>
          <w:i/>
          <w:iCs/>
          <w:sz w:val="24"/>
          <w:szCs w:val="24"/>
        </w:rPr>
        <w:t>Biyela v Minister of Police</w:t>
      </w:r>
      <w:r w:rsidR="00944EBE" w:rsidRPr="00440710">
        <w:rPr>
          <w:rFonts w:ascii="Arial" w:hAnsi="Arial" w:cs="Arial"/>
          <w:sz w:val="24"/>
          <w:szCs w:val="24"/>
        </w:rPr>
        <w:t>,</w:t>
      </w:r>
      <w:r w:rsidR="00944EBE" w:rsidRPr="0009305D">
        <w:rPr>
          <w:vertAlign w:val="superscript"/>
        </w:rPr>
        <w:footnoteReference w:id="8"/>
      </w:r>
      <w:r w:rsidR="00944EBE" w:rsidRPr="00440710">
        <w:rPr>
          <w:rFonts w:ascii="Arial" w:hAnsi="Arial" w:cs="Arial"/>
          <w:sz w:val="24"/>
          <w:szCs w:val="24"/>
        </w:rPr>
        <w:t xml:space="preserve"> </w:t>
      </w:r>
      <w:r w:rsidR="004B2FD7" w:rsidRPr="00440710">
        <w:rPr>
          <w:rFonts w:ascii="Arial" w:hAnsi="Arial" w:cs="Arial"/>
          <w:sz w:val="24"/>
          <w:szCs w:val="24"/>
        </w:rPr>
        <w:t xml:space="preserve">the Supreme Court of Appeal, per </w:t>
      </w:r>
      <w:r w:rsidR="00944EBE" w:rsidRPr="00440710">
        <w:rPr>
          <w:rFonts w:ascii="Arial" w:hAnsi="Arial" w:cs="Arial"/>
          <w:sz w:val="24"/>
          <w:szCs w:val="24"/>
        </w:rPr>
        <w:t>Musi AJA</w:t>
      </w:r>
      <w:r w:rsidR="004B2FD7" w:rsidRPr="00440710">
        <w:rPr>
          <w:rFonts w:ascii="Arial" w:hAnsi="Arial" w:cs="Arial"/>
          <w:sz w:val="24"/>
          <w:szCs w:val="24"/>
        </w:rPr>
        <w:t>,</w:t>
      </w:r>
      <w:r w:rsidR="00944EBE" w:rsidRPr="00440710">
        <w:rPr>
          <w:rFonts w:ascii="Arial" w:hAnsi="Arial" w:cs="Arial"/>
          <w:sz w:val="24"/>
          <w:szCs w:val="24"/>
        </w:rPr>
        <w:t xml:space="preserve"> </w:t>
      </w:r>
      <w:r w:rsidR="0077209D" w:rsidRPr="00440710">
        <w:rPr>
          <w:rFonts w:ascii="Arial" w:hAnsi="Arial" w:cs="Arial"/>
          <w:sz w:val="24"/>
          <w:szCs w:val="24"/>
        </w:rPr>
        <w:t>held</w:t>
      </w:r>
      <w:r w:rsidR="00944EBE" w:rsidRPr="00440710">
        <w:rPr>
          <w:rFonts w:ascii="Arial" w:hAnsi="Arial" w:cs="Arial"/>
          <w:sz w:val="24"/>
          <w:szCs w:val="24"/>
        </w:rPr>
        <w:t xml:space="preserve"> as follows:</w:t>
      </w:r>
    </w:p>
    <w:p w14:paraId="3F7F6747" w14:textId="46B7EE84" w:rsidR="00944EBE" w:rsidRPr="0009305D" w:rsidRDefault="00944EBE" w:rsidP="001A491F">
      <w:pPr>
        <w:spacing w:line="360" w:lineRule="auto"/>
        <w:ind w:left="720"/>
        <w:jc w:val="both"/>
        <w:rPr>
          <w:rFonts w:ascii="Arial" w:hAnsi="Arial" w:cs="Arial"/>
        </w:rPr>
      </w:pPr>
      <w:r w:rsidRPr="0009305D">
        <w:rPr>
          <w:rFonts w:ascii="Arial" w:hAnsi="Arial" w:cs="Arial"/>
        </w:rPr>
        <w:t>‘</w:t>
      </w:r>
      <w:r w:rsidR="0077209D" w:rsidRPr="0009305D">
        <w:rPr>
          <w:rFonts w:ascii="Arial" w:hAnsi="Arial" w:cs="Arial"/>
        </w:rPr>
        <w:t>[33]</w:t>
      </w:r>
      <w:r w:rsidR="0077209D" w:rsidRPr="0009305D">
        <w:rPr>
          <w:rFonts w:ascii="Arial" w:hAnsi="Arial" w:cs="Arial"/>
        </w:rPr>
        <w:tab/>
      </w:r>
      <w:r w:rsidRPr="0009305D">
        <w:rPr>
          <w:rFonts w:ascii="Arial" w:hAnsi="Arial" w:cs="Arial"/>
        </w:rPr>
        <w:t>The question whether a peace officer reasonably suspects a person of having committed an offence within the ambit of s 40(1)(b) is objectively justiciable. It must, at the outset, be emphasized that the suspicion need not be based on information that would subsequently be admissible in a court of law.</w:t>
      </w:r>
    </w:p>
    <w:p w14:paraId="15A9F35A" w14:textId="4105BC2D" w:rsidR="00944EBE" w:rsidRPr="0009305D" w:rsidRDefault="0077209D" w:rsidP="001A491F">
      <w:pPr>
        <w:spacing w:line="360" w:lineRule="auto"/>
        <w:ind w:left="720"/>
        <w:jc w:val="both"/>
        <w:rPr>
          <w:rFonts w:ascii="Arial" w:hAnsi="Arial" w:cs="Arial"/>
        </w:rPr>
      </w:pPr>
      <w:r w:rsidRPr="0009305D">
        <w:rPr>
          <w:rFonts w:ascii="Arial" w:hAnsi="Arial" w:cs="Arial"/>
        </w:rPr>
        <w:t>[34]</w:t>
      </w:r>
      <w:r w:rsidRPr="0009305D">
        <w:rPr>
          <w:rFonts w:ascii="Arial" w:hAnsi="Arial" w:cs="Arial"/>
        </w:rPr>
        <w:tab/>
      </w:r>
      <w:bookmarkStart w:id="2" w:name="_Hlk166158466"/>
      <w:r w:rsidR="00944EBE" w:rsidRPr="0009305D">
        <w:rPr>
          <w:rFonts w:ascii="Arial" w:hAnsi="Arial" w:cs="Arial"/>
        </w:rPr>
        <w:t>The standard of a reasonable suspicion is very low. The reasonable suspicion must be more than a hunch; it should not be an unparticularized suspicion. It must be based on specific and articulable facts or information. Whether the suspicion was reasonable, under the prevailing circumstances, is determined objectively.</w:t>
      </w:r>
      <w:bookmarkEnd w:id="2"/>
    </w:p>
    <w:p w14:paraId="33E98509" w14:textId="2B333F3D" w:rsidR="00944EBE" w:rsidRPr="0009305D" w:rsidRDefault="0077209D" w:rsidP="001A491F">
      <w:pPr>
        <w:spacing w:line="360" w:lineRule="auto"/>
        <w:ind w:left="720"/>
        <w:jc w:val="both"/>
        <w:rPr>
          <w:rFonts w:ascii="Arial" w:hAnsi="Arial" w:cs="Arial"/>
        </w:rPr>
      </w:pPr>
      <w:r w:rsidRPr="0009305D">
        <w:rPr>
          <w:rFonts w:ascii="Arial" w:hAnsi="Arial" w:cs="Arial"/>
        </w:rPr>
        <w:t>[35]</w:t>
      </w:r>
      <w:r w:rsidRPr="0009305D">
        <w:rPr>
          <w:rFonts w:ascii="Arial" w:hAnsi="Arial" w:cs="Arial"/>
        </w:rPr>
        <w:tab/>
      </w:r>
      <w:r w:rsidR="00944EBE" w:rsidRPr="0009305D">
        <w:rPr>
          <w:rFonts w:ascii="Arial" w:hAnsi="Arial" w:cs="Arial"/>
        </w:rPr>
        <w:t>What is required is that the arresting officer must form a reasonable suspicion that a Schedule 1 offence has been committed based on credible and trustworthy information. Whether that information would later, in a court of law, be found to be inadmissible is neither here nor there for the determination of whether the arresting officer at the time of arrest harboured a reasonable suspicion that the arrested person committed a Schedule 1 offence.</w:t>
      </w:r>
    </w:p>
    <w:p w14:paraId="20A16CBC" w14:textId="77777777" w:rsidR="00944EBE" w:rsidRPr="0009305D" w:rsidRDefault="00944EBE" w:rsidP="001A491F">
      <w:pPr>
        <w:spacing w:line="360" w:lineRule="auto"/>
        <w:ind w:left="720"/>
        <w:jc w:val="both"/>
        <w:rPr>
          <w:rFonts w:ascii="Arial" w:hAnsi="Arial" w:cs="Arial"/>
        </w:rPr>
      </w:pPr>
      <w:r w:rsidRPr="0009305D">
        <w:rPr>
          <w:rFonts w:ascii="Arial" w:hAnsi="Arial" w:cs="Arial"/>
        </w:rPr>
        <w:t>[36]</w:t>
      </w:r>
      <w:r w:rsidRPr="0009305D">
        <w:rPr>
          <w:rFonts w:ascii="Arial" w:hAnsi="Arial" w:cs="Arial"/>
        </w:rPr>
        <w:tab/>
        <w:t>The arresting officer is not obliged to arrest based on a reasonable suspicion because he or she has a discretion. The discretion to arrest must be exercised properly. Our legal system sets great store by the liberty of an individual and, therefore, the discretion must be exercised after taking all the prevailing circumstances into consideration.’</w:t>
      </w:r>
    </w:p>
    <w:p w14:paraId="6C509B98" w14:textId="77777777" w:rsidR="0077209D" w:rsidRPr="0009305D" w:rsidRDefault="0077209D" w:rsidP="001A491F">
      <w:pPr>
        <w:spacing w:line="360" w:lineRule="auto"/>
        <w:jc w:val="both"/>
        <w:rPr>
          <w:rFonts w:ascii="Arial" w:hAnsi="Arial" w:cs="Arial"/>
          <w:sz w:val="24"/>
          <w:szCs w:val="24"/>
        </w:rPr>
      </w:pPr>
    </w:p>
    <w:p w14:paraId="6BD52031" w14:textId="1EE5DBE9" w:rsidR="00944EBE" w:rsidRPr="00440710" w:rsidRDefault="00440710" w:rsidP="00440710">
      <w:pPr>
        <w:spacing w:line="360" w:lineRule="auto"/>
        <w:jc w:val="both"/>
        <w:rPr>
          <w:rFonts w:ascii="Arial" w:hAnsi="Arial" w:cs="Arial"/>
          <w:sz w:val="24"/>
          <w:szCs w:val="24"/>
        </w:rPr>
      </w:pPr>
      <w:r w:rsidRPr="00AF3678">
        <w:rPr>
          <w:rFonts w:ascii="Arial" w:hAnsi="Arial" w:cs="Arial"/>
          <w:sz w:val="24"/>
          <w:szCs w:val="24"/>
        </w:rPr>
        <w:lastRenderedPageBreak/>
        <w:t>[25]</w:t>
      </w:r>
      <w:r w:rsidRPr="00AF3678">
        <w:rPr>
          <w:rFonts w:ascii="Arial" w:hAnsi="Arial" w:cs="Arial"/>
          <w:sz w:val="24"/>
          <w:szCs w:val="24"/>
        </w:rPr>
        <w:tab/>
      </w:r>
      <w:r w:rsidR="00944EBE" w:rsidRPr="00440710">
        <w:rPr>
          <w:rFonts w:ascii="Arial" w:hAnsi="Arial" w:cs="Arial"/>
          <w:sz w:val="24"/>
          <w:szCs w:val="24"/>
        </w:rPr>
        <w:t xml:space="preserve">If the jurisdictional facts necessary for an arrest without a warrant exist, then the officer </w:t>
      </w:r>
      <w:r w:rsidR="0077209D" w:rsidRPr="00440710">
        <w:rPr>
          <w:rFonts w:ascii="Arial" w:hAnsi="Arial" w:cs="Arial"/>
          <w:sz w:val="24"/>
          <w:szCs w:val="24"/>
        </w:rPr>
        <w:t xml:space="preserve">must still exercise his or her </w:t>
      </w:r>
      <w:r w:rsidR="00944EBE" w:rsidRPr="00440710">
        <w:rPr>
          <w:rFonts w:ascii="Arial" w:hAnsi="Arial" w:cs="Arial"/>
          <w:sz w:val="24"/>
          <w:szCs w:val="24"/>
        </w:rPr>
        <w:t xml:space="preserve">discretion </w:t>
      </w:r>
      <w:r w:rsidR="0077209D" w:rsidRPr="00440710">
        <w:rPr>
          <w:rFonts w:ascii="Arial" w:hAnsi="Arial" w:cs="Arial"/>
          <w:sz w:val="24"/>
          <w:szCs w:val="24"/>
        </w:rPr>
        <w:t xml:space="preserve">in </w:t>
      </w:r>
      <w:r w:rsidR="00944EBE" w:rsidRPr="00440710">
        <w:rPr>
          <w:rFonts w:ascii="Arial" w:hAnsi="Arial" w:cs="Arial"/>
          <w:sz w:val="24"/>
          <w:szCs w:val="24"/>
        </w:rPr>
        <w:t xml:space="preserve">whether to proceed with </w:t>
      </w:r>
      <w:r w:rsidR="0077209D" w:rsidRPr="00440710">
        <w:rPr>
          <w:rFonts w:ascii="Arial" w:hAnsi="Arial" w:cs="Arial"/>
          <w:sz w:val="24"/>
          <w:szCs w:val="24"/>
        </w:rPr>
        <w:t>the</w:t>
      </w:r>
      <w:r w:rsidR="00944EBE" w:rsidRPr="00440710">
        <w:rPr>
          <w:rFonts w:ascii="Arial" w:hAnsi="Arial" w:cs="Arial"/>
          <w:sz w:val="24"/>
          <w:szCs w:val="24"/>
        </w:rPr>
        <w:t xml:space="preserve"> arrest. </w:t>
      </w:r>
      <w:r w:rsidR="0077209D" w:rsidRPr="00440710">
        <w:rPr>
          <w:rFonts w:ascii="Arial" w:hAnsi="Arial" w:cs="Arial"/>
          <w:sz w:val="24"/>
          <w:szCs w:val="24"/>
        </w:rPr>
        <w:t>I</w:t>
      </w:r>
      <w:r w:rsidR="00944EBE" w:rsidRPr="00440710">
        <w:rPr>
          <w:rFonts w:ascii="Arial" w:hAnsi="Arial" w:cs="Arial"/>
          <w:sz w:val="24"/>
          <w:szCs w:val="24"/>
        </w:rPr>
        <w:t xml:space="preserve">n </w:t>
      </w:r>
      <w:r w:rsidR="00944EBE" w:rsidRPr="00440710">
        <w:rPr>
          <w:rFonts w:ascii="Arial" w:hAnsi="Arial" w:cs="Arial"/>
          <w:i/>
          <w:iCs/>
          <w:sz w:val="24"/>
          <w:szCs w:val="24"/>
        </w:rPr>
        <w:t>Minister of Safety and Security v Sekhoto and another</w:t>
      </w:r>
      <w:r w:rsidR="00944EBE" w:rsidRPr="00440710">
        <w:rPr>
          <w:rFonts w:ascii="Arial" w:hAnsi="Arial" w:cs="Arial"/>
          <w:sz w:val="24"/>
          <w:szCs w:val="24"/>
        </w:rPr>
        <w:t>,</w:t>
      </w:r>
      <w:r w:rsidR="00944EBE" w:rsidRPr="0009305D">
        <w:rPr>
          <w:vertAlign w:val="superscript"/>
        </w:rPr>
        <w:footnoteReference w:id="9"/>
      </w:r>
      <w:r w:rsidR="00944EBE" w:rsidRPr="00440710">
        <w:rPr>
          <w:rFonts w:ascii="Arial" w:hAnsi="Arial" w:cs="Arial"/>
          <w:sz w:val="24"/>
          <w:szCs w:val="24"/>
        </w:rPr>
        <w:t xml:space="preserve"> </w:t>
      </w:r>
      <w:r w:rsidR="0077209D" w:rsidRPr="00440710">
        <w:rPr>
          <w:rFonts w:ascii="Arial" w:hAnsi="Arial" w:cs="Arial"/>
          <w:sz w:val="24"/>
          <w:szCs w:val="24"/>
        </w:rPr>
        <w:t xml:space="preserve">the Supreme Court of Appeal, per </w:t>
      </w:r>
      <w:r w:rsidR="00944EBE" w:rsidRPr="00440710">
        <w:rPr>
          <w:rFonts w:ascii="Arial" w:hAnsi="Arial" w:cs="Arial"/>
          <w:sz w:val="24"/>
          <w:szCs w:val="24"/>
        </w:rPr>
        <w:t>Harms DP</w:t>
      </w:r>
      <w:r w:rsidR="0077209D" w:rsidRPr="00440710">
        <w:rPr>
          <w:rFonts w:ascii="Arial" w:hAnsi="Arial" w:cs="Arial"/>
          <w:sz w:val="24"/>
          <w:szCs w:val="24"/>
        </w:rPr>
        <w:t>,</w:t>
      </w:r>
      <w:r w:rsidR="00944EBE" w:rsidRPr="00440710">
        <w:rPr>
          <w:rFonts w:ascii="Arial" w:hAnsi="Arial" w:cs="Arial"/>
          <w:sz w:val="24"/>
          <w:szCs w:val="24"/>
        </w:rPr>
        <w:t xml:space="preserve"> observed</w:t>
      </w:r>
      <w:r w:rsidR="0077209D" w:rsidRPr="00440710">
        <w:rPr>
          <w:rFonts w:ascii="Arial" w:hAnsi="Arial" w:cs="Arial"/>
          <w:sz w:val="24"/>
          <w:szCs w:val="24"/>
        </w:rPr>
        <w:t xml:space="preserve"> </w:t>
      </w:r>
      <w:r w:rsidR="00944EBE" w:rsidRPr="00440710">
        <w:rPr>
          <w:rFonts w:ascii="Arial" w:hAnsi="Arial" w:cs="Arial"/>
          <w:sz w:val="24"/>
          <w:szCs w:val="24"/>
        </w:rPr>
        <w:t>that the officer is entitled to exercise such a discretion as he or she deems fit, provided that he or she stays within the bounds of rationality.</w:t>
      </w:r>
      <w:r w:rsidR="0077209D" w:rsidRPr="0009305D">
        <w:rPr>
          <w:rStyle w:val="FootnoteReference"/>
          <w:rFonts w:ascii="Arial" w:hAnsi="Arial" w:cs="Arial"/>
          <w:sz w:val="24"/>
          <w:szCs w:val="24"/>
        </w:rPr>
        <w:footnoteReference w:id="10"/>
      </w:r>
      <w:r w:rsidR="00944EBE" w:rsidRPr="00440710">
        <w:rPr>
          <w:rFonts w:ascii="Arial" w:hAnsi="Arial" w:cs="Arial"/>
          <w:sz w:val="24"/>
          <w:szCs w:val="24"/>
        </w:rPr>
        <w:t xml:space="preserve"> The court went on to remark as follows:</w:t>
      </w:r>
    </w:p>
    <w:p w14:paraId="6A40E4F8" w14:textId="115BAF9D" w:rsidR="00944EBE" w:rsidRPr="0009305D" w:rsidRDefault="00944EBE" w:rsidP="001A491F">
      <w:pPr>
        <w:spacing w:line="360" w:lineRule="auto"/>
        <w:ind w:left="720"/>
        <w:jc w:val="both"/>
        <w:rPr>
          <w:rFonts w:ascii="Arial" w:hAnsi="Arial" w:cs="Arial"/>
        </w:rPr>
      </w:pPr>
      <w:r w:rsidRPr="0009305D">
        <w:rPr>
          <w:rFonts w:ascii="Arial" w:hAnsi="Arial" w:cs="Arial"/>
        </w:rPr>
        <w:t>‘While the purpose of arrest is to bring the suspect to trial the arrestor has a limited role in that process. He or she is not called upon to determine whether the suspect ought to be detained pending a trial. That is the role of the court… The purpose of the arrest is no more than to bring the suspect before the court… so as to enable that role to be performed. It seems to me to follow that the enquiry to be made by the peace officer is not how best to bring the suspect to trial: the enquiry is only whether the case is one in which that decision ought properly to be made by a court… Whether his decision on that question is rational naturally depends upon the particular facts but it is clear that in cases of serious crime- and those listed in Schedule 1 are serious, not only because the Legislature thought so- a peace officer could seldom be criticized for arresting a suspect for that purpose. On the other hand there will be cases, particularly where the suspected offence is relatively trivial, where the circumstances are such that it would clearly be irrational to arrest…’</w:t>
      </w:r>
      <w:r w:rsidR="0077209D" w:rsidRPr="0009305D">
        <w:rPr>
          <w:rStyle w:val="FootnoteReference"/>
          <w:rFonts w:ascii="Arial" w:hAnsi="Arial" w:cs="Arial"/>
        </w:rPr>
        <w:footnoteReference w:id="11"/>
      </w:r>
    </w:p>
    <w:p w14:paraId="22FA8364" w14:textId="77777777" w:rsidR="0077209D" w:rsidRPr="0009305D" w:rsidRDefault="0077209D" w:rsidP="001A491F">
      <w:pPr>
        <w:spacing w:line="360" w:lineRule="auto"/>
        <w:jc w:val="both"/>
        <w:rPr>
          <w:rFonts w:ascii="Arial" w:hAnsi="Arial" w:cs="Arial"/>
          <w:sz w:val="24"/>
          <w:szCs w:val="24"/>
        </w:rPr>
      </w:pPr>
    </w:p>
    <w:p w14:paraId="569CF0F5" w14:textId="31AA2FAA" w:rsidR="00944EBE" w:rsidRPr="00440710" w:rsidRDefault="00440710" w:rsidP="00440710">
      <w:pPr>
        <w:spacing w:line="360" w:lineRule="auto"/>
        <w:jc w:val="both"/>
        <w:rPr>
          <w:rFonts w:ascii="Arial" w:hAnsi="Arial" w:cs="Arial"/>
          <w:sz w:val="24"/>
          <w:szCs w:val="24"/>
        </w:rPr>
      </w:pPr>
      <w:r w:rsidRPr="00AF3678">
        <w:rPr>
          <w:rFonts w:ascii="Arial" w:hAnsi="Arial" w:cs="Arial"/>
          <w:sz w:val="24"/>
          <w:szCs w:val="24"/>
        </w:rPr>
        <w:t>[26]</w:t>
      </w:r>
      <w:r w:rsidRPr="00AF3678">
        <w:rPr>
          <w:rFonts w:ascii="Arial" w:hAnsi="Arial" w:cs="Arial"/>
          <w:sz w:val="24"/>
          <w:szCs w:val="24"/>
        </w:rPr>
        <w:tab/>
      </w:r>
      <w:r w:rsidR="00944EBE" w:rsidRPr="00440710">
        <w:rPr>
          <w:rFonts w:ascii="Arial" w:hAnsi="Arial" w:cs="Arial"/>
          <w:sz w:val="24"/>
          <w:szCs w:val="24"/>
        </w:rPr>
        <w:t xml:space="preserve">The above principles </w:t>
      </w:r>
      <w:r w:rsidR="0077209D" w:rsidRPr="00440710">
        <w:rPr>
          <w:rFonts w:ascii="Arial" w:hAnsi="Arial" w:cs="Arial"/>
          <w:sz w:val="24"/>
          <w:szCs w:val="24"/>
        </w:rPr>
        <w:t>are</w:t>
      </w:r>
      <w:r w:rsidR="00944EBE" w:rsidRPr="00440710">
        <w:rPr>
          <w:rFonts w:ascii="Arial" w:hAnsi="Arial" w:cs="Arial"/>
          <w:sz w:val="24"/>
          <w:szCs w:val="24"/>
        </w:rPr>
        <w:t xml:space="preserve"> the basic legal framework </w:t>
      </w:r>
      <w:r w:rsidR="0077209D" w:rsidRPr="00440710">
        <w:rPr>
          <w:rFonts w:ascii="Arial" w:hAnsi="Arial" w:cs="Arial"/>
          <w:sz w:val="24"/>
          <w:szCs w:val="24"/>
        </w:rPr>
        <w:t>relevant to the present matter. A concise evaluation of the witnesses follows.</w:t>
      </w:r>
    </w:p>
    <w:p w14:paraId="5DE91853" w14:textId="77777777" w:rsidR="0077209D" w:rsidRPr="0009305D" w:rsidRDefault="0077209D" w:rsidP="001A491F">
      <w:pPr>
        <w:spacing w:line="360" w:lineRule="auto"/>
        <w:jc w:val="both"/>
        <w:rPr>
          <w:rFonts w:ascii="Arial" w:hAnsi="Arial" w:cs="Arial"/>
          <w:sz w:val="24"/>
          <w:szCs w:val="24"/>
        </w:rPr>
      </w:pPr>
    </w:p>
    <w:p w14:paraId="6ED7803C" w14:textId="4702836E" w:rsidR="0077209D" w:rsidRPr="0009305D" w:rsidRDefault="0077209D" w:rsidP="001A491F">
      <w:pPr>
        <w:spacing w:line="360" w:lineRule="auto"/>
        <w:jc w:val="both"/>
        <w:rPr>
          <w:rFonts w:ascii="Arial" w:hAnsi="Arial" w:cs="Arial"/>
          <w:b/>
          <w:bCs/>
          <w:sz w:val="24"/>
          <w:szCs w:val="24"/>
        </w:rPr>
      </w:pPr>
      <w:r w:rsidRPr="0009305D">
        <w:rPr>
          <w:rFonts w:ascii="Arial" w:hAnsi="Arial" w:cs="Arial"/>
          <w:b/>
          <w:bCs/>
          <w:sz w:val="24"/>
          <w:szCs w:val="24"/>
        </w:rPr>
        <w:t>Evaluation of witnesses</w:t>
      </w:r>
    </w:p>
    <w:p w14:paraId="2AF5A58E" w14:textId="77777777" w:rsidR="0077209D" w:rsidRPr="0009305D" w:rsidRDefault="0077209D" w:rsidP="001A491F">
      <w:pPr>
        <w:spacing w:line="360" w:lineRule="auto"/>
        <w:jc w:val="both"/>
        <w:rPr>
          <w:rFonts w:ascii="Arial" w:hAnsi="Arial" w:cs="Arial"/>
          <w:sz w:val="24"/>
          <w:szCs w:val="24"/>
        </w:rPr>
      </w:pPr>
    </w:p>
    <w:p w14:paraId="0291EAAA" w14:textId="49D2F4E4" w:rsidR="00AF3678" w:rsidRPr="00440710" w:rsidRDefault="00440710" w:rsidP="00440710">
      <w:pPr>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77209D" w:rsidRPr="00440710">
        <w:rPr>
          <w:rFonts w:ascii="Arial" w:hAnsi="Arial" w:cs="Arial"/>
          <w:sz w:val="24"/>
          <w:szCs w:val="24"/>
        </w:rPr>
        <w:t>The state’s witness, Sgt Tuswa, was</w:t>
      </w:r>
      <w:r w:rsidR="0099603E" w:rsidRPr="00440710">
        <w:rPr>
          <w:rFonts w:ascii="Arial" w:hAnsi="Arial" w:cs="Arial"/>
          <w:sz w:val="24"/>
          <w:szCs w:val="24"/>
        </w:rPr>
        <w:t xml:space="preserve"> reliable because he had participated directly in the incident that forms the subject of these proceedings. </w:t>
      </w:r>
      <w:r w:rsidR="00D25357" w:rsidRPr="00440710">
        <w:rPr>
          <w:rFonts w:ascii="Arial" w:hAnsi="Arial" w:cs="Arial"/>
          <w:sz w:val="24"/>
          <w:szCs w:val="24"/>
        </w:rPr>
        <w:t>The quality, integrity, and independence of his recollection of the incident do not attract serious criticism.</w:t>
      </w:r>
    </w:p>
    <w:p w14:paraId="0EDCBE27" w14:textId="11C3494C" w:rsidR="00AF3678" w:rsidRPr="00440710" w:rsidRDefault="00440710" w:rsidP="00440710">
      <w:pPr>
        <w:spacing w:line="360" w:lineRule="auto"/>
        <w:jc w:val="both"/>
        <w:rPr>
          <w:rFonts w:ascii="Arial" w:hAnsi="Arial" w:cs="Arial"/>
          <w:sz w:val="24"/>
          <w:szCs w:val="24"/>
        </w:rPr>
      </w:pPr>
      <w:r>
        <w:rPr>
          <w:rFonts w:ascii="Arial" w:hAnsi="Arial" w:cs="Arial"/>
          <w:sz w:val="24"/>
          <w:szCs w:val="24"/>
        </w:rPr>
        <w:lastRenderedPageBreak/>
        <w:t>[28]</w:t>
      </w:r>
      <w:r>
        <w:rPr>
          <w:rFonts w:ascii="Arial" w:hAnsi="Arial" w:cs="Arial"/>
          <w:sz w:val="24"/>
          <w:szCs w:val="24"/>
        </w:rPr>
        <w:tab/>
      </w:r>
      <w:r w:rsidR="00D25357" w:rsidRPr="00440710">
        <w:rPr>
          <w:rFonts w:ascii="Arial" w:hAnsi="Arial" w:cs="Arial"/>
          <w:sz w:val="24"/>
          <w:szCs w:val="24"/>
        </w:rPr>
        <w:t>He was, however, evasive</w:t>
      </w:r>
      <w:r w:rsidR="00F621E6" w:rsidRPr="00440710">
        <w:rPr>
          <w:rFonts w:ascii="Arial" w:hAnsi="Arial" w:cs="Arial"/>
          <w:sz w:val="24"/>
          <w:szCs w:val="24"/>
        </w:rPr>
        <w:t xml:space="preserve"> at times. </w:t>
      </w:r>
      <w:r w:rsidR="00D25357" w:rsidRPr="00440710">
        <w:rPr>
          <w:rFonts w:ascii="Arial" w:hAnsi="Arial" w:cs="Arial"/>
          <w:sz w:val="24"/>
          <w:szCs w:val="24"/>
        </w:rPr>
        <w:t>Sgt Tuswa</w:t>
      </w:r>
      <w:r w:rsidR="00F621E6" w:rsidRPr="00440710">
        <w:rPr>
          <w:rFonts w:ascii="Arial" w:hAnsi="Arial" w:cs="Arial"/>
          <w:sz w:val="24"/>
          <w:szCs w:val="24"/>
        </w:rPr>
        <w:t xml:space="preserve"> refused to make obvious concessions, for example the improbability that he had been able to accomplish all that he said he had done within the limited time from when he </w:t>
      </w:r>
      <w:r w:rsidR="00023368" w:rsidRPr="00440710">
        <w:rPr>
          <w:rFonts w:ascii="Arial" w:hAnsi="Arial" w:cs="Arial"/>
          <w:sz w:val="24"/>
          <w:szCs w:val="24"/>
        </w:rPr>
        <w:t xml:space="preserve">and his colleague </w:t>
      </w:r>
      <w:r w:rsidR="00F621E6" w:rsidRPr="00440710">
        <w:rPr>
          <w:rFonts w:ascii="Arial" w:hAnsi="Arial" w:cs="Arial"/>
          <w:sz w:val="24"/>
          <w:szCs w:val="24"/>
        </w:rPr>
        <w:t xml:space="preserve">first responded to the complaint until when he arrived with the suspects at the Cambridge police station. </w:t>
      </w:r>
      <w:r w:rsidR="00D25357" w:rsidRPr="00440710">
        <w:rPr>
          <w:rFonts w:ascii="Arial" w:hAnsi="Arial" w:cs="Arial"/>
          <w:sz w:val="24"/>
          <w:szCs w:val="24"/>
        </w:rPr>
        <w:t>His</w:t>
      </w:r>
      <w:r w:rsidR="00F621E6" w:rsidRPr="00440710">
        <w:rPr>
          <w:rFonts w:ascii="Arial" w:hAnsi="Arial" w:cs="Arial"/>
          <w:sz w:val="24"/>
          <w:szCs w:val="24"/>
        </w:rPr>
        <w:t xml:space="preserve"> testimony </w:t>
      </w:r>
      <w:r w:rsidR="0099603E" w:rsidRPr="00440710">
        <w:rPr>
          <w:rFonts w:ascii="Arial" w:hAnsi="Arial" w:cs="Arial"/>
          <w:sz w:val="24"/>
          <w:szCs w:val="24"/>
        </w:rPr>
        <w:t xml:space="preserve">was </w:t>
      </w:r>
      <w:r w:rsidR="00D25357" w:rsidRPr="00440710">
        <w:rPr>
          <w:rFonts w:ascii="Arial" w:hAnsi="Arial" w:cs="Arial"/>
          <w:sz w:val="24"/>
          <w:szCs w:val="24"/>
        </w:rPr>
        <w:t xml:space="preserve">also </w:t>
      </w:r>
      <w:r w:rsidR="0099603E" w:rsidRPr="00440710">
        <w:rPr>
          <w:rFonts w:ascii="Arial" w:hAnsi="Arial" w:cs="Arial"/>
          <w:sz w:val="24"/>
          <w:szCs w:val="24"/>
        </w:rPr>
        <w:t xml:space="preserve">not free of </w:t>
      </w:r>
      <w:r w:rsidR="00F621E6" w:rsidRPr="00440710">
        <w:rPr>
          <w:rFonts w:ascii="Arial" w:hAnsi="Arial" w:cs="Arial"/>
          <w:sz w:val="24"/>
          <w:szCs w:val="24"/>
        </w:rPr>
        <w:t>contradictions</w:t>
      </w:r>
      <w:r w:rsidR="0099603E" w:rsidRPr="00440710">
        <w:rPr>
          <w:rFonts w:ascii="Arial" w:hAnsi="Arial" w:cs="Arial"/>
          <w:sz w:val="24"/>
          <w:szCs w:val="24"/>
        </w:rPr>
        <w:t xml:space="preserve">. He initially testified that he used the video footage as the basis upon which to arrest the plaintiff but later admitted that he </w:t>
      </w:r>
      <w:r w:rsidR="00023368" w:rsidRPr="00440710">
        <w:rPr>
          <w:rFonts w:ascii="Arial" w:hAnsi="Arial" w:cs="Arial"/>
          <w:sz w:val="24"/>
          <w:szCs w:val="24"/>
        </w:rPr>
        <w:t xml:space="preserve">did </w:t>
      </w:r>
      <w:r w:rsidR="0099603E" w:rsidRPr="00440710">
        <w:rPr>
          <w:rFonts w:ascii="Arial" w:hAnsi="Arial" w:cs="Arial"/>
          <w:sz w:val="24"/>
          <w:szCs w:val="24"/>
        </w:rPr>
        <w:t>not specifically identif</w:t>
      </w:r>
      <w:r w:rsidR="00023368" w:rsidRPr="00440710">
        <w:rPr>
          <w:rFonts w:ascii="Arial" w:hAnsi="Arial" w:cs="Arial"/>
          <w:sz w:val="24"/>
          <w:szCs w:val="24"/>
        </w:rPr>
        <w:t>y</w:t>
      </w:r>
      <w:r w:rsidR="0099603E" w:rsidRPr="00440710">
        <w:rPr>
          <w:rFonts w:ascii="Arial" w:hAnsi="Arial" w:cs="Arial"/>
          <w:sz w:val="24"/>
          <w:szCs w:val="24"/>
        </w:rPr>
        <w:t xml:space="preserve"> him therein. It subsequently emerged that he relied on Mr Marshall’s say-so. He could also not explain why he </w:t>
      </w:r>
      <w:r w:rsidR="00023368" w:rsidRPr="00440710">
        <w:rPr>
          <w:rFonts w:ascii="Arial" w:hAnsi="Arial" w:cs="Arial"/>
          <w:sz w:val="24"/>
          <w:szCs w:val="24"/>
        </w:rPr>
        <w:t xml:space="preserve">did </w:t>
      </w:r>
      <w:r w:rsidR="0099603E" w:rsidRPr="00440710">
        <w:rPr>
          <w:rFonts w:ascii="Arial" w:hAnsi="Arial" w:cs="Arial"/>
          <w:sz w:val="24"/>
          <w:szCs w:val="24"/>
        </w:rPr>
        <w:t>not mention in his statement that he had relied</w:t>
      </w:r>
      <w:r w:rsidR="00F621E6" w:rsidRPr="00440710">
        <w:rPr>
          <w:rFonts w:ascii="Arial" w:hAnsi="Arial" w:cs="Arial"/>
          <w:sz w:val="24"/>
          <w:szCs w:val="24"/>
        </w:rPr>
        <w:t xml:space="preserve"> </w:t>
      </w:r>
      <w:r w:rsidR="0099603E" w:rsidRPr="00440710">
        <w:rPr>
          <w:rFonts w:ascii="Arial" w:hAnsi="Arial" w:cs="Arial"/>
          <w:sz w:val="24"/>
          <w:szCs w:val="24"/>
        </w:rPr>
        <w:t>upon the video footage.</w:t>
      </w:r>
      <w:r w:rsidR="003D3966" w:rsidRPr="00440710">
        <w:rPr>
          <w:rFonts w:ascii="Arial" w:hAnsi="Arial" w:cs="Arial"/>
          <w:sz w:val="24"/>
          <w:szCs w:val="24"/>
        </w:rPr>
        <w:t xml:space="preserve"> </w:t>
      </w:r>
      <w:r w:rsidR="0099603E" w:rsidRPr="00440710">
        <w:rPr>
          <w:rFonts w:ascii="Arial" w:hAnsi="Arial" w:cs="Arial"/>
          <w:sz w:val="24"/>
          <w:szCs w:val="24"/>
        </w:rPr>
        <w:t xml:space="preserve">As an officer in the defendant’s employment, it would have been difficult for Sgt Tuswa to have remained free from any inherent bias in his testimony. He was, overall, not a credible witness. </w:t>
      </w:r>
    </w:p>
    <w:p w14:paraId="17FE4E66" w14:textId="77777777" w:rsidR="00AF3678" w:rsidRDefault="00AF3678" w:rsidP="00AF3678">
      <w:pPr>
        <w:pStyle w:val="ListParagraph"/>
        <w:spacing w:line="360" w:lineRule="auto"/>
        <w:ind w:left="0"/>
        <w:jc w:val="both"/>
        <w:rPr>
          <w:rFonts w:ascii="Arial" w:hAnsi="Arial" w:cs="Arial"/>
          <w:sz w:val="24"/>
          <w:szCs w:val="24"/>
        </w:rPr>
      </w:pPr>
    </w:p>
    <w:p w14:paraId="38DF575A" w14:textId="7F3FCA7D" w:rsidR="00AF3678" w:rsidRPr="00440710" w:rsidRDefault="00440710" w:rsidP="00440710">
      <w:pPr>
        <w:spacing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D25357" w:rsidRPr="00440710">
        <w:rPr>
          <w:rFonts w:ascii="Arial" w:hAnsi="Arial" w:cs="Arial"/>
          <w:sz w:val="24"/>
          <w:szCs w:val="24"/>
        </w:rPr>
        <w:t xml:space="preserve">Turning to the plaintiff, he would clearly have been biased to his own advantage. </w:t>
      </w:r>
      <w:r w:rsidR="003D3966" w:rsidRPr="00440710">
        <w:rPr>
          <w:rFonts w:ascii="Arial" w:hAnsi="Arial" w:cs="Arial"/>
          <w:sz w:val="24"/>
          <w:szCs w:val="24"/>
        </w:rPr>
        <w:t xml:space="preserve">He could not offer a compelling explanation for why he </w:t>
      </w:r>
      <w:r w:rsidR="00023368" w:rsidRPr="00440710">
        <w:rPr>
          <w:rFonts w:ascii="Arial" w:hAnsi="Arial" w:cs="Arial"/>
          <w:sz w:val="24"/>
          <w:szCs w:val="24"/>
        </w:rPr>
        <w:t>did</w:t>
      </w:r>
      <w:r w:rsidR="003D3966" w:rsidRPr="00440710">
        <w:rPr>
          <w:rFonts w:ascii="Arial" w:hAnsi="Arial" w:cs="Arial"/>
          <w:sz w:val="24"/>
          <w:szCs w:val="24"/>
        </w:rPr>
        <w:t xml:space="preserve"> not protest more vigorously at the time of his arrest. </w:t>
      </w:r>
      <w:r w:rsidR="00D25357" w:rsidRPr="00440710">
        <w:rPr>
          <w:rFonts w:ascii="Arial" w:hAnsi="Arial" w:cs="Arial"/>
          <w:sz w:val="24"/>
          <w:szCs w:val="24"/>
        </w:rPr>
        <w:t xml:space="preserve">There were, however, few </w:t>
      </w:r>
      <w:r w:rsidR="003D3966" w:rsidRPr="00440710">
        <w:rPr>
          <w:rFonts w:ascii="Arial" w:hAnsi="Arial" w:cs="Arial"/>
          <w:sz w:val="24"/>
          <w:szCs w:val="24"/>
        </w:rPr>
        <w:t xml:space="preserve">if any material contradictions in his testimony. He persisted in his assertion that he requested access to the video footage on several occasions but neither the owner nor Mr Marshall acceded. The calibre and cogency of the plaintiff’s testimony was good. He was, overall, a credible witness. </w:t>
      </w:r>
    </w:p>
    <w:p w14:paraId="6B26E877" w14:textId="77777777" w:rsidR="00AF3678" w:rsidRPr="00AF3678" w:rsidRDefault="00AF3678" w:rsidP="00AF3678">
      <w:pPr>
        <w:pStyle w:val="ListParagraph"/>
        <w:rPr>
          <w:rFonts w:ascii="Arial" w:hAnsi="Arial" w:cs="Arial"/>
          <w:sz w:val="24"/>
          <w:szCs w:val="24"/>
        </w:rPr>
      </w:pPr>
    </w:p>
    <w:p w14:paraId="031B4BE6" w14:textId="78FDD840" w:rsidR="00AF3678" w:rsidRPr="00440710" w:rsidRDefault="00440710" w:rsidP="00440710">
      <w:pPr>
        <w:spacing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3D3966" w:rsidRPr="00440710">
        <w:rPr>
          <w:rFonts w:ascii="Arial" w:hAnsi="Arial" w:cs="Arial"/>
          <w:sz w:val="24"/>
          <w:szCs w:val="24"/>
        </w:rPr>
        <w:t>Similarly, the plaintiff was a reliable witness. He experienced the incident first-hand and there was little to detract from the quality, integrity, and independence of his recollection of events.</w:t>
      </w:r>
    </w:p>
    <w:p w14:paraId="493B65FC" w14:textId="77777777" w:rsidR="00AF3678" w:rsidRPr="00AF3678" w:rsidRDefault="00AF3678" w:rsidP="00AF3678">
      <w:pPr>
        <w:pStyle w:val="ListParagraph"/>
        <w:rPr>
          <w:rFonts w:ascii="Arial" w:hAnsi="Arial" w:cs="Arial"/>
          <w:sz w:val="24"/>
          <w:szCs w:val="24"/>
        </w:rPr>
      </w:pPr>
    </w:p>
    <w:p w14:paraId="36EF0CB8" w14:textId="7AE947BB" w:rsidR="006F6587" w:rsidRPr="00440710" w:rsidRDefault="00440710" w:rsidP="00440710">
      <w:pPr>
        <w:spacing w:line="360" w:lineRule="auto"/>
        <w:jc w:val="both"/>
        <w:rPr>
          <w:rFonts w:ascii="Arial" w:hAnsi="Arial" w:cs="Arial"/>
          <w:sz w:val="24"/>
          <w:szCs w:val="24"/>
        </w:rPr>
      </w:pPr>
      <w:r w:rsidRPr="00AF3678">
        <w:rPr>
          <w:rFonts w:ascii="Arial" w:hAnsi="Arial" w:cs="Arial"/>
          <w:sz w:val="24"/>
          <w:szCs w:val="24"/>
        </w:rPr>
        <w:t>[31]</w:t>
      </w:r>
      <w:r w:rsidRPr="00AF3678">
        <w:rPr>
          <w:rFonts w:ascii="Arial" w:hAnsi="Arial" w:cs="Arial"/>
          <w:sz w:val="24"/>
          <w:szCs w:val="24"/>
        </w:rPr>
        <w:tab/>
      </w:r>
      <w:r w:rsidR="003D3966" w:rsidRPr="00440710">
        <w:rPr>
          <w:rFonts w:ascii="Arial" w:hAnsi="Arial" w:cs="Arial"/>
          <w:sz w:val="24"/>
          <w:szCs w:val="24"/>
        </w:rPr>
        <w:t>What remains is for the court to make findings on the probabilities of each of the witnesses</w:t>
      </w:r>
      <w:r w:rsidR="006F6587" w:rsidRPr="00440710">
        <w:rPr>
          <w:rFonts w:ascii="Arial" w:hAnsi="Arial" w:cs="Arial"/>
          <w:sz w:val="24"/>
          <w:szCs w:val="24"/>
        </w:rPr>
        <w:t>’ respective versions. This aspect will be addressed in the discussion below.</w:t>
      </w:r>
    </w:p>
    <w:p w14:paraId="08E3C4D7" w14:textId="77777777" w:rsidR="006F6587" w:rsidRPr="0009305D" w:rsidRDefault="006F6587" w:rsidP="001A491F">
      <w:pPr>
        <w:spacing w:line="360" w:lineRule="auto"/>
        <w:jc w:val="both"/>
        <w:rPr>
          <w:rFonts w:ascii="Arial" w:hAnsi="Arial" w:cs="Arial"/>
          <w:sz w:val="24"/>
          <w:szCs w:val="24"/>
        </w:rPr>
      </w:pPr>
    </w:p>
    <w:p w14:paraId="3A7796DE" w14:textId="62BC7EB2" w:rsidR="006F6587" w:rsidRPr="0009305D" w:rsidRDefault="00560BEE" w:rsidP="001A491F">
      <w:pPr>
        <w:spacing w:line="360" w:lineRule="auto"/>
        <w:jc w:val="both"/>
        <w:rPr>
          <w:rFonts w:ascii="Arial" w:hAnsi="Arial" w:cs="Arial"/>
          <w:b/>
          <w:bCs/>
          <w:sz w:val="24"/>
          <w:szCs w:val="24"/>
        </w:rPr>
      </w:pPr>
      <w:r>
        <w:rPr>
          <w:rFonts w:ascii="Arial" w:hAnsi="Arial" w:cs="Arial"/>
          <w:b/>
          <w:bCs/>
          <w:sz w:val="24"/>
          <w:szCs w:val="24"/>
        </w:rPr>
        <w:t>Lawfulness of the arrest and detention</w:t>
      </w:r>
    </w:p>
    <w:p w14:paraId="70A9458D" w14:textId="77777777" w:rsidR="006F6587" w:rsidRPr="0009305D" w:rsidRDefault="006F6587" w:rsidP="001A491F">
      <w:pPr>
        <w:spacing w:line="360" w:lineRule="auto"/>
        <w:jc w:val="both"/>
        <w:rPr>
          <w:rFonts w:ascii="Arial" w:hAnsi="Arial" w:cs="Arial"/>
          <w:sz w:val="24"/>
          <w:szCs w:val="24"/>
        </w:rPr>
      </w:pPr>
    </w:p>
    <w:p w14:paraId="3619177E" w14:textId="39387823" w:rsidR="00AF3678" w:rsidRPr="00440710" w:rsidRDefault="00440710" w:rsidP="00440710">
      <w:pPr>
        <w:spacing w:line="360" w:lineRule="auto"/>
        <w:jc w:val="both"/>
        <w:rPr>
          <w:rFonts w:ascii="Arial" w:hAnsi="Arial" w:cs="Arial"/>
          <w:sz w:val="24"/>
          <w:szCs w:val="24"/>
        </w:rPr>
      </w:pPr>
      <w:r>
        <w:rPr>
          <w:rFonts w:ascii="Arial" w:hAnsi="Arial" w:cs="Arial"/>
          <w:sz w:val="24"/>
          <w:szCs w:val="24"/>
        </w:rPr>
        <w:lastRenderedPageBreak/>
        <w:t>[32]</w:t>
      </w:r>
      <w:r>
        <w:rPr>
          <w:rFonts w:ascii="Arial" w:hAnsi="Arial" w:cs="Arial"/>
          <w:sz w:val="24"/>
          <w:szCs w:val="24"/>
        </w:rPr>
        <w:tab/>
      </w:r>
      <w:r w:rsidR="000B327A" w:rsidRPr="00440710">
        <w:rPr>
          <w:rFonts w:ascii="Arial" w:hAnsi="Arial" w:cs="Arial"/>
          <w:sz w:val="24"/>
          <w:szCs w:val="24"/>
        </w:rPr>
        <w:t xml:space="preserve">It is trite, as De Vos J pointed out in </w:t>
      </w:r>
      <w:r w:rsidR="000B327A" w:rsidRPr="00440710">
        <w:rPr>
          <w:rFonts w:ascii="Arial" w:hAnsi="Arial" w:cs="Arial"/>
          <w:i/>
          <w:iCs/>
          <w:sz w:val="24"/>
          <w:szCs w:val="24"/>
        </w:rPr>
        <w:t>Ralekwa v Minister of Safety and Security</w:t>
      </w:r>
      <w:r w:rsidR="000B327A" w:rsidRPr="00440710">
        <w:rPr>
          <w:rFonts w:ascii="Arial" w:hAnsi="Arial" w:cs="Arial"/>
          <w:sz w:val="24"/>
          <w:szCs w:val="24"/>
        </w:rPr>
        <w:t>,</w:t>
      </w:r>
      <w:r w:rsidR="000B327A" w:rsidRPr="0009305D">
        <w:rPr>
          <w:rStyle w:val="FootnoteReference"/>
          <w:rFonts w:ascii="Arial" w:hAnsi="Arial" w:cs="Arial"/>
          <w:sz w:val="24"/>
          <w:szCs w:val="24"/>
        </w:rPr>
        <w:footnoteReference w:id="12"/>
      </w:r>
      <w:r w:rsidR="000B327A" w:rsidRPr="00440710">
        <w:rPr>
          <w:rFonts w:ascii="Arial" w:hAnsi="Arial" w:cs="Arial"/>
          <w:sz w:val="24"/>
          <w:szCs w:val="24"/>
        </w:rPr>
        <w:t xml:space="preserve"> that an arrest is </w:t>
      </w:r>
      <w:r w:rsidR="000B327A" w:rsidRPr="00440710">
        <w:rPr>
          <w:rFonts w:ascii="Arial" w:hAnsi="Arial" w:cs="Arial"/>
          <w:i/>
          <w:iCs/>
          <w:sz w:val="24"/>
          <w:szCs w:val="24"/>
        </w:rPr>
        <w:t>prima facie</w:t>
      </w:r>
      <w:r w:rsidR="000B327A" w:rsidRPr="00440710">
        <w:rPr>
          <w:rFonts w:ascii="Arial" w:hAnsi="Arial" w:cs="Arial"/>
          <w:sz w:val="24"/>
          <w:szCs w:val="24"/>
        </w:rPr>
        <w:t xml:space="preserve"> wrongful and unlawful. The defendant bears the onus of proving that the arrest was lawful.</w:t>
      </w:r>
      <w:r w:rsidR="000B327A" w:rsidRPr="0009305D">
        <w:rPr>
          <w:vertAlign w:val="superscript"/>
        </w:rPr>
        <w:footnoteReference w:id="13"/>
      </w:r>
      <w:r w:rsidR="000B327A" w:rsidRPr="00440710">
        <w:rPr>
          <w:rFonts w:ascii="Arial" w:hAnsi="Arial" w:cs="Arial"/>
          <w:sz w:val="24"/>
          <w:szCs w:val="24"/>
        </w:rPr>
        <w:t xml:space="preserve"> </w:t>
      </w:r>
    </w:p>
    <w:p w14:paraId="4FEB26F2" w14:textId="77777777" w:rsidR="00AF3678" w:rsidRDefault="00AF3678" w:rsidP="00AF3678">
      <w:pPr>
        <w:pStyle w:val="ListParagraph"/>
        <w:spacing w:line="360" w:lineRule="auto"/>
        <w:ind w:left="0"/>
        <w:jc w:val="both"/>
        <w:rPr>
          <w:rFonts w:ascii="Arial" w:hAnsi="Arial" w:cs="Arial"/>
          <w:sz w:val="24"/>
          <w:szCs w:val="24"/>
        </w:rPr>
      </w:pPr>
    </w:p>
    <w:p w14:paraId="5D360B42" w14:textId="2ED9F427" w:rsidR="00AF3678" w:rsidRPr="00440710" w:rsidRDefault="00440710" w:rsidP="00440710">
      <w:pPr>
        <w:spacing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0B327A" w:rsidRPr="00440710">
        <w:rPr>
          <w:rFonts w:ascii="Arial" w:hAnsi="Arial" w:cs="Arial"/>
          <w:sz w:val="24"/>
          <w:szCs w:val="24"/>
        </w:rPr>
        <w:t xml:space="preserve">In his plea, the defendant </w:t>
      </w:r>
      <w:r w:rsidR="000C6C33" w:rsidRPr="00440710">
        <w:rPr>
          <w:rFonts w:ascii="Arial" w:hAnsi="Arial" w:cs="Arial"/>
          <w:sz w:val="24"/>
          <w:szCs w:val="24"/>
        </w:rPr>
        <w:t xml:space="preserve">avers that the arrest and detention of the plaintiff were justified in terms of section 40(1)(b) of the CPA. </w:t>
      </w:r>
      <w:r w:rsidR="00B57366" w:rsidRPr="00440710">
        <w:rPr>
          <w:rFonts w:ascii="Arial" w:hAnsi="Arial" w:cs="Arial"/>
          <w:sz w:val="24"/>
          <w:szCs w:val="24"/>
        </w:rPr>
        <w:t xml:space="preserve">The court in </w:t>
      </w:r>
      <w:r w:rsidR="00B57366" w:rsidRPr="00440710">
        <w:rPr>
          <w:rFonts w:ascii="Arial" w:hAnsi="Arial" w:cs="Arial"/>
          <w:i/>
          <w:iCs/>
          <w:sz w:val="24"/>
          <w:szCs w:val="24"/>
        </w:rPr>
        <w:t>Duncan</w:t>
      </w:r>
      <w:r w:rsidR="00B57366" w:rsidRPr="00440710">
        <w:rPr>
          <w:rFonts w:ascii="Arial" w:hAnsi="Arial" w:cs="Arial"/>
          <w:sz w:val="24"/>
          <w:szCs w:val="24"/>
        </w:rPr>
        <w:t xml:space="preserve"> identified four jurisdictional facts that must exist before an officer may exercise the power conferred under section 40(1)(b). </w:t>
      </w:r>
      <w:r w:rsidR="007D482F" w:rsidRPr="00440710">
        <w:rPr>
          <w:rFonts w:ascii="Arial" w:hAnsi="Arial" w:cs="Arial"/>
          <w:sz w:val="24"/>
          <w:szCs w:val="24"/>
        </w:rPr>
        <w:t>The nub of the case</w:t>
      </w:r>
      <w:r w:rsidR="00B57366" w:rsidRPr="00440710">
        <w:rPr>
          <w:rFonts w:ascii="Arial" w:hAnsi="Arial" w:cs="Arial"/>
          <w:sz w:val="24"/>
          <w:szCs w:val="24"/>
        </w:rPr>
        <w:t xml:space="preserve">, here, </w:t>
      </w:r>
      <w:r w:rsidR="007D482F" w:rsidRPr="00440710">
        <w:rPr>
          <w:rFonts w:ascii="Arial" w:hAnsi="Arial" w:cs="Arial"/>
          <w:sz w:val="24"/>
          <w:szCs w:val="24"/>
        </w:rPr>
        <w:t xml:space="preserve">seems to be whether the fourth jurisdictional fact, described in </w:t>
      </w:r>
      <w:r w:rsidR="007D482F" w:rsidRPr="00440710">
        <w:rPr>
          <w:rFonts w:ascii="Arial" w:hAnsi="Arial" w:cs="Arial"/>
          <w:i/>
          <w:iCs/>
          <w:sz w:val="24"/>
          <w:szCs w:val="24"/>
        </w:rPr>
        <w:t>Duncan</w:t>
      </w:r>
      <w:r w:rsidR="007D482F" w:rsidRPr="00440710">
        <w:rPr>
          <w:rFonts w:ascii="Arial" w:hAnsi="Arial" w:cs="Arial"/>
          <w:sz w:val="24"/>
          <w:szCs w:val="24"/>
        </w:rPr>
        <w:t xml:space="preserve">, existed at the time of the plaintiff’s arrest. In other words, the </w:t>
      </w:r>
      <w:r w:rsidR="000B327A" w:rsidRPr="00440710">
        <w:rPr>
          <w:rFonts w:ascii="Arial" w:hAnsi="Arial" w:cs="Arial"/>
          <w:sz w:val="24"/>
          <w:szCs w:val="24"/>
        </w:rPr>
        <w:t xml:space="preserve">primary </w:t>
      </w:r>
      <w:r w:rsidR="007D482F" w:rsidRPr="00440710">
        <w:rPr>
          <w:rFonts w:ascii="Arial" w:hAnsi="Arial" w:cs="Arial"/>
          <w:sz w:val="24"/>
          <w:szCs w:val="24"/>
        </w:rPr>
        <w:t xml:space="preserve">question that arises is whether the </w:t>
      </w:r>
      <w:r w:rsidR="0006078F" w:rsidRPr="00440710">
        <w:rPr>
          <w:rFonts w:ascii="Arial" w:hAnsi="Arial" w:cs="Arial"/>
          <w:sz w:val="24"/>
          <w:szCs w:val="24"/>
        </w:rPr>
        <w:t xml:space="preserve">officer’s suspicion rested on reasonable grounds. If so, then </w:t>
      </w:r>
      <w:r w:rsidR="000B327A" w:rsidRPr="00440710">
        <w:rPr>
          <w:rFonts w:ascii="Arial" w:hAnsi="Arial" w:cs="Arial"/>
          <w:sz w:val="24"/>
          <w:szCs w:val="24"/>
        </w:rPr>
        <w:t xml:space="preserve">the secondary question, canvassed in </w:t>
      </w:r>
      <w:r w:rsidR="000B327A" w:rsidRPr="00440710">
        <w:rPr>
          <w:rFonts w:ascii="Arial" w:hAnsi="Arial" w:cs="Arial"/>
          <w:i/>
          <w:iCs/>
          <w:sz w:val="24"/>
          <w:szCs w:val="24"/>
        </w:rPr>
        <w:t>Sekhoto</w:t>
      </w:r>
      <w:r w:rsidR="000B327A" w:rsidRPr="00440710">
        <w:rPr>
          <w:rFonts w:ascii="Arial" w:hAnsi="Arial" w:cs="Arial"/>
          <w:sz w:val="24"/>
          <w:szCs w:val="24"/>
        </w:rPr>
        <w:t xml:space="preserve">, is whether the officer properly exercised his discretion in making the arrest.  </w:t>
      </w:r>
    </w:p>
    <w:p w14:paraId="7D5AC37B" w14:textId="77777777" w:rsidR="00AF3678" w:rsidRPr="00AF3678" w:rsidRDefault="00AF3678" w:rsidP="00AF3678">
      <w:pPr>
        <w:pStyle w:val="ListParagraph"/>
        <w:rPr>
          <w:rFonts w:ascii="Arial" w:hAnsi="Arial" w:cs="Arial"/>
          <w:sz w:val="24"/>
          <w:szCs w:val="24"/>
        </w:rPr>
      </w:pPr>
    </w:p>
    <w:p w14:paraId="2DC906C5" w14:textId="52D37C86" w:rsidR="00AF3678" w:rsidRPr="00440710" w:rsidRDefault="00440710" w:rsidP="00440710">
      <w:pPr>
        <w:spacing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146749" w:rsidRPr="00440710">
        <w:rPr>
          <w:rFonts w:ascii="Arial" w:hAnsi="Arial" w:cs="Arial"/>
          <w:sz w:val="24"/>
          <w:szCs w:val="24"/>
        </w:rPr>
        <w:t>It is apparent f</w:t>
      </w:r>
      <w:r w:rsidR="00B57366" w:rsidRPr="00440710">
        <w:rPr>
          <w:rFonts w:ascii="Arial" w:hAnsi="Arial" w:cs="Arial"/>
          <w:sz w:val="24"/>
          <w:szCs w:val="24"/>
        </w:rPr>
        <w:t>rom Sgt Tuswa’s testimony</w:t>
      </w:r>
      <w:r w:rsidR="00146749" w:rsidRPr="00440710">
        <w:rPr>
          <w:rFonts w:ascii="Arial" w:hAnsi="Arial" w:cs="Arial"/>
          <w:sz w:val="24"/>
          <w:szCs w:val="24"/>
        </w:rPr>
        <w:t xml:space="preserve"> </w:t>
      </w:r>
      <w:r w:rsidR="00B57366" w:rsidRPr="00440710">
        <w:rPr>
          <w:rFonts w:ascii="Arial" w:hAnsi="Arial" w:cs="Arial"/>
          <w:sz w:val="24"/>
          <w:szCs w:val="24"/>
        </w:rPr>
        <w:t>that h</w:t>
      </w:r>
      <w:r w:rsidR="00B44561" w:rsidRPr="00440710">
        <w:rPr>
          <w:rFonts w:ascii="Arial" w:hAnsi="Arial" w:cs="Arial"/>
          <w:sz w:val="24"/>
          <w:szCs w:val="24"/>
        </w:rPr>
        <w:t xml:space="preserve">is suspicion that the plaintiff had committed a Schedule 1 offence </w:t>
      </w:r>
      <w:r w:rsidR="00126B23" w:rsidRPr="00440710">
        <w:rPr>
          <w:rFonts w:ascii="Arial" w:hAnsi="Arial" w:cs="Arial"/>
          <w:sz w:val="24"/>
          <w:szCs w:val="24"/>
        </w:rPr>
        <w:t xml:space="preserve">rested </w:t>
      </w:r>
      <w:r w:rsidR="00B44561" w:rsidRPr="00440710">
        <w:rPr>
          <w:rFonts w:ascii="Arial" w:hAnsi="Arial" w:cs="Arial"/>
          <w:sz w:val="24"/>
          <w:szCs w:val="24"/>
        </w:rPr>
        <w:t>predominantly on the information that the financial manag</w:t>
      </w:r>
      <w:r w:rsidR="00146749" w:rsidRPr="00440710">
        <w:rPr>
          <w:rFonts w:ascii="Arial" w:hAnsi="Arial" w:cs="Arial"/>
          <w:sz w:val="24"/>
          <w:szCs w:val="24"/>
        </w:rPr>
        <w:t xml:space="preserve">er </w:t>
      </w:r>
      <w:r w:rsidR="00B44561" w:rsidRPr="00440710">
        <w:rPr>
          <w:rFonts w:ascii="Arial" w:hAnsi="Arial" w:cs="Arial"/>
          <w:sz w:val="24"/>
          <w:szCs w:val="24"/>
        </w:rPr>
        <w:t>conveyed to him</w:t>
      </w:r>
      <w:r w:rsidR="00126B23" w:rsidRPr="00440710">
        <w:rPr>
          <w:rFonts w:ascii="Arial" w:hAnsi="Arial" w:cs="Arial"/>
          <w:sz w:val="24"/>
          <w:szCs w:val="24"/>
        </w:rPr>
        <w:t xml:space="preserve">, </w:t>
      </w:r>
      <w:r w:rsidR="00B44561" w:rsidRPr="00440710">
        <w:rPr>
          <w:rFonts w:ascii="Arial" w:hAnsi="Arial" w:cs="Arial"/>
          <w:sz w:val="24"/>
          <w:szCs w:val="24"/>
        </w:rPr>
        <w:t xml:space="preserve">as well as the video footage to which he was granted access. Mr Marshall informed Sgt Tuswa that he spent two weeks monitoring the employees and had identified six suspects, </w:t>
      </w:r>
      <w:r w:rsidR="00126B23" w:rsidRPr="00440710">
        <w:rPr>
          <w:rFonts w:ascii="Arial" w:hAnsi="Arial" w:cs="Arial"/>
          <w:sz w:val="24"/>
          <w:szCs w:val="24"/>
        </w:rPr>
        <w:t xml:space="preserve">including the plaintiff, </w:t>
      </w:r>
      <w:r w:rsidR="00B44561" w:rsidRPr="00440710">
        <w:rPr>
          <w:rFonts w:ascii="Arial" w:hAnsi="Arial" w:cs="Arial"/>
          <w:sz w:val="24"/>
          <w:szCs w:val="24"/>
        </w:rPr>
        <w:t xml:space="preserve">whom he placed to one side upon the arrival of the police. </w:t>
      </w:r>
      <w:r w:rsidR="00146749" w:rsidRPr="00440710">
        <w:rPr>
          <w:rFonts w:ascii="Arial" w:hAnsi="Arial" w:cs="Arial"/>
          <w:sz w:val="24"/>
          <w:szCs w:val="24"/>
        </w:rPr>
        <w:t xml:space="preserve">Sgt Tuswa’s suspicion, at this stage, was based on Mr Marshall’s word alone. He correctly requested evidence, upon which Mr Marshall referred him to the video footage. </w:t>
      </w:r>
    </w:p>
    <w:p w14:paraId="14157EDF" w14:textId="77777777" w:rsidR="00AF3678" w:rsidRPr="00AF3678" w:rsidRDefault="00AF3678" w:rsidP="00AF3678">
      <w:pPr>
        <w:pStyle w:val="ListParagraph"/>
        <w:rPr>
          <w:rFonts w:ascii="Arial" w:hAnsi="Arial" w:cs="Arial"/>
          <w:sz w:val="24"/>
          <w:szCs w:val="24"/>
        </w:rPr>
      </w:pPr>
    </w:p>
    <w:p w14:paraId="2B0F08B0" w14:textId="631C7FC6" w:rsidR="00AF3678" w:rsidRPr="00440710" w:rsidRDefault="00440710" w:rsidP="00440710">
      <w:pPr>
        <w:spacing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146749" w:rsidRPr="00440710">
        <w:rPr>
          <w:rFonts w:ascii="Arial" w:hAnsi="Arial" w:cs="Arial"/>
          <w:sz w:val="24"/>
          <w:szCs w:val="24"/>
        </w:rPr>
        <w:t xml:space="preserve">At this point, improbabilities emerge from Sgt Tuswa’s </w:t>
      </w:r>
      <w:r w:rsidR="005E092A" w:rsidRPr="00440710">
        <w:rPr>
          <w:rFonts w:ascii="Arial" w:hAnsi="Arial" w:cs="Arial"/>
          <w:sz w:val="24"/>
          <w:szCs w:val="24"/>
        </w:rPr>
        <w:t>testimony</w:t>
      </w:r>
      <w:r w:rsidR="00146749" w:rsidRPr="00440710">
        <w:rPr>
          <w:rFonts w:ascii="Arial" w:hAnsi="Arial" w:cs="Arial"/>
          <w:sz w:val="24"/>
          <w:szCs w:val="24"/>
        </w:rPr>
        <w:t>.</w:t>
      </w:r>
      <w:r w:rsidR="000D369D" w:rsidRPr="00440710">
        <w:rPr>
          <w:rFonts w:ascii="Arial" w:hAnsi="Arial" w:cs="Arial"/>
          <w:sz w:val="24"/>
          <w:szCs w:val="24"/>
        </w:rPr>
        <w:t xml:space="preserve"> He </w:t>
      </w:r>
      <w:r w:rsidR="005E092A" w:rsidRPr="00440710">
        <w:rPr>
          <w:rFonts w:ascii="Arial" w:hAnsi="Arial" w:cs="Arial"/>
          <w:sz w:val="24"/>
          <w:szCs w:val="24"/>
        </w:rPr>
        <w:t>sai</w:t>
      </w:r>
      <w:r w:rsidR="000D369D" w:rsidRPr="00440710">
        <w:rPr>
          <w:rFonts w:ascii="Arial" w:hAnsi="Arial" w:cs="Arial"/>
          <w:sz w:val="24"/>
          <w:szCs w:val="24"/>
        </w:rPr>
        <w:t xml:space="preserve">d that </w:t>
      </w:r>
      <w:r w:rsidR="00BA2AB2" w:rsidRPr="00440710">
        <w:rPr>
          <w:rFonts w:ascii="Arial" w:hAnsi="Arial" w:cs="Arial"/>
          <w:sz w:val="24"/>
          <w:szCs w:val="24"/>
        </w:rPr>
        <w:t xml:space="preserve">the control room at Cambridge police station requested him, at about 09h45 on the day in question, to investigate a complaint emanating from the Steers restaurant in Nahoon. He had been patrolling in Vincent at the time </w:t>
      </w:r>
      <w:r w:rsidR="00023368" w:rsidRPr="00440710">
        <w:rPr>
          <w:rFonts w:ascii="Arial" w:hAnsi="Arial" w:cs="Arial"/>
          <w:sz w:val="24"/>
          <w:szCs w:val="24"/>
        </w:rPr>
        <w:t xml:space="preserve">with a colleague </w:t>
      </w:r>
      <w:r w:rsidR="00BA2AB2" w:rsidRPr="00440710">
        <w:rPr>
          <w:rFonts w:ascii="Arial" w:hAnsi="Arial" w:cs="Arial"/>
          <w:sz w:val="24"/>
          <w:szCs w:val="24"/>
        </w:rPr>
        <w:t xml:space="preserve">and arrived at the scene just before 10h00. He stated that he had commissioned Mr Marshall’s statement at 10h30 and did not dispute that </w:t>
      </w:r>
      <w:r w:rsidR="00845130" w:rsidRPr="00440710">
        <w:rPr>
          <w:rFonts w:ascii="Arial" w:hAnsi="Arial" w:cs="Arial"/>
          <w:sz w:val="24"/>
          <w:szCs w:val="24"/>
        </w:rPr>
        <w:t xml:space="preserve">the personnel at Cambridge police station recorded the detention of the suspects at 10h55. It is highly improbable that Sgt Tuswa had </w:t>
      </w:r>
      <w:r w:rsidR="005E092A" w:rsidRPr="00440710">
        <w:rPr>
          <w:rFonts w:ascii="Arial" w:hAnsi="Arial" w:cs="Arial"/>
          <w:sz w:val="24"/>
          <w:szCs w:val="24"/>
        </w:rPr>
        <w:t xml:space="preserve">sufficient </w:t>
      </w:r>
      <w:r w:rsidR="00845130" w:rsidRPr="00440710">
        <w:rPr>
          <w:rFonts w:ascii="Arial" w:hAnsi="Arial" w:cs="Arial"/>
          <w:sz w:val="24"/>
          <w:szCs w:val="24"/>
        </w:rPr>
        <w:t xml:space="preserve">time to assess </w:t>
      </w:r>
      <w:r w:rsidR="00845130" w:rsidRPr="00440710">
        <w:rPr>
          <w:rFonts w:ascii="Arial" w:hAnsi="Arial" w:cs="Arial"/>
          <w:sz w:val="24"/>
          <w:szCs w:val="24"/>
        </w:rPr>
        <w:lastRenderedPageBreak/>
        <w:t xml:space="preserve">the situation on his arrival, consult with Mr Marshall, view the 40 minutes of relevant video footage described in testimony, obtain a statement from Mr Marshall, listen to the suspects’ account of what happened, inform them of their constitutional rights, arrest at least </w:t>
      </w:r>
      <w:r w:rsidR="00D0052E" w:rsidRPr="00440710">
        <w:rPr>
          <w:rFonts w:ascii="Arial" w:hAnsi="Arial" w:cs="Arial"/>
          <w:sz w:val="24"/>
          <w:szCs w:val="24"/>
        </w:rPr>
        <w:t>six</w:t>
      </w:r>
      <w:r w:rsidR="00845130" w:rsidRPr="00440710">
        <w:rPr>
          <w:rFonts w:ascii="Arial" w:hAnsi="Arial" w:cs="Arial"/>
          <w:sz w:val="24"/>
          <w:szCs w:val="24"/>
        </w:rPr>
        <w:t xml:space="preserve"> suspects</w:t>
      </w:r>
      <w:r w:rsidR="00D0052E" w:rsidRPr="00440710">
        <w:rPr>
          <w:rFonts w:ascii="Arial" w:hAnsi="Arial" w:cs="Arial"/>
          <w:sz w:val="24"/>
          <w:szCs w:val="24"/>
        </w:rPr>
        <w:t>,</w:t>
      </w:r>
      <w:r w:rsidR="00D0052E" w:rsidRPr="0009305D">
        <w:rPr>
          <w:rStyle w:val="FootnoteReference"/>
          <w:rFonts w:ascii="Arial" w:hAnsi="Arial" w:cs="Arial"/>
          <w:sz w:val="24"/>
          <w:szCs w:val="24"/>
        </w:rPr>
        <w:footnoteReference w:id="14"/>
      </w:r>
      <w:r w:rsidR="00D0052E" w:rsidRPr="00440710">
        <w:rPr>
          <w:rFonts w:ascii="Arial" w:hAnsi="Arial" w:cs="Arial"/>
          <w:sz w:val="24"/>
          <w:szCs w:val="24"/>
        </w:rPr>
        <w:t xml:space="preserve"> </w:t>
      </w:r>
      <w:r w:rsidR="00845130" w:rsidRPr="00440710">
        <w:rPr>
          <w:rFonts w:ascii="Arial" w:hAnsi="Arial" w:cs="Arial"/>
          <w:sz w:val="24"/>
          <w:szCs w:val="24"/>
        </w:rPr>
        <w:t>request a second police van</w:t>
      </w:r>
      <w:r w:rsidR="00D0052E" w:rsidRPr="00440710">
        <w:rPr>
          <w:rFonts w:ascii="Arial" w:hAnsi="Arial" w:cs="Arial"/>
          <w:sz w:val="24"/>
          <w:szCs w:val="24"/>
        </w:rPr>
        <w:t xml:space="preserve"> to assist with transportation, travel to the Cambridge police station, and hand the suspects over for detention</w:t>
      </w:r>
      <w:r w:rsidR="00A7717F" w:rsidRPr="00440710">
        <w:rPr>
          <w:rFonts w:ascii="Arial" w:hAnsi="Arial" w:cs="Arial"/>
          <w:sz w:val="24"/>
          <w:szCs w:val="24"/>
        </w:rPr>
        <w:t>- all within approximately 55 minutes.</w:t>
      </w:r>
    </w:p>
    <w:p w14:paraId="7ACD108A" w14:textId="77777777" w:rsidR="00AF3678" w:rsidRPr="00AF3678" w:rsidRDefault="00AF3678" w:rsidP="00AF3678">
      <w:pPr>
        <w:pStyle w:val="ListParagraph"/>
        <w:rPr>
          <w:rFonts w:ascii="Arial" w:hAnsi="Arial" w:cs="Arial"/>
          <w:sz w:val="24"/>
          <w:szCs w:val="24"/>
        </w:rPr>
      </w:pPr>
    </w:p>
    <w:p w14:paraId="09F9FB60" w14:textId="07C23928" w:rsidR="00A7717F" w:rsidRPr="00440710" w:rsidRDefault="00440710" w:rsidP="00440710">
      <w:pPr>
        <w:spacing w:line="360" w:lineRule="auto"/>
        <w:jc w:val="both"/>
        <w:rPr>
          <w:rFonts w:ascii="Arial" w:hAnsi="Arial" w:cs="Arial"/>
          <w:sz w:val="24"/>
          <w:szCs w:val="24"/>
        </w:rPr>
      </w:pPr>
      <w:r w:rsidRPr="00AF3678">
        <w:rPr>
          <w:rFonts w:ascii="Arial" w:hAnsi="Arial" w:cs="Arial"/>
          <w:sz w:val="24"/>
          <w:szCs w:val="24"/>
        </w:rPr>
        <w:t>[36]</w:t>
      </w:r>
      <w:r w:rsidRPr="00AF3678">
        <w:rPr>
          <w:rFonts w:ascii="Arial" w:hAnsi="Arial" w:cs="Arial"/>
          <w:sz w:val="24"/>
          <w:szCs w:val="24"/>
        </w:rPr>
        <w:tab/>
      </w:r>
      <w:r w:rsidR="00A7717F" w:rsidRPr="00440710">
        <w:rPr>
          <w:rFonts w:ascii="Arial" w:hAnsi="Arial" w:cs="Arial"/>
          <w:sz w:val="24"/>
          <w:szCs w:val="24"/>
        </w:rPr>
        <w:t xml:space="preserve">To the extent that Sgt Tuswa indeed viewed the video footage, </w:t>
      </w:r>
      <w:r w:rsidR="00DE2ABF" w:rsidRPr="00440710">
        <w:rPr>
          <w:rFonts w:ascii="Arial" w:hAnsi="Arial" w:cs="Arial"/>
          <w:sz w:val="24"/>
          <w:szCs w:val="24"/>
        </w:rPr>
        <w:t xml:space="preserve">it is improbable that he was able to watch, intelligibly, a full two weeks’ worth of monitoring within the short amount of time available. </w:t>
      </w:r>
      <w:r w:rsidR="00A7717F" w:rsidRPr="00440710">
        <w:rPr>
          <w:rFonts w:ascii="Arial" w:hAnsi="Arial" w:cs="Arial"/>
          <w:sz w:val="24"/>
          <w:szCs w:val="24"/>
        </w:rPr>
        <w:t xml:space="preserve">There is no evidence that he knew any of the employees, including the plaintiff. There is no evidence that he knew anything about their respective duties, shifts, or workstations. Under cross-examination, Sgt Tuswa could not refute the assertion that the plaintiff worked in the kitchen, nowhere near the cash registers. It was, overall, </w:t>
      </w:r>
      <w:r w:rsidR="00DE2ABF" w:rsidRPr="00440710">
        <w:rPr>
          <w:rFonts w:ascii="Arial" w:hAnsi="Arial" w:cs="Arial"/>
          <w:sz w:val="24"/>
          <w:szCs w:val="24"/>
        </w:rPr>
        <w:t>impossible for hi</w:t>
      </w:r>
      <w:r w:rsidR="00023368" w:rsidRPr="00440710">
        <w:rPr>
          <w:rFonts w:ascii="Arial" w:hAnsi="Arial" w:cs="Arial"/>
          <w:sz w:val="24"/>
          <w:szCs w:val="24"/>
        </w:rPr>
        <w:t xml:space="preserve">m </w:t>
      </w:r>
      <w:r w:rsidR="00DE2ABF" w:rsidRPr="00440710">
        <w:rPr>
          <w:rFonts w:ascii="Arial" w:hAnsi="Arial" w:cs="Arial"/>
          <w:sz w:val="24"/>
          <w:szCs w:val="24"/>
        </w:rPr>
        <w:t xml:space="preserve">to have formed a reasonable suspicion regarding the plaintiff based on the video footage. </w:t>
      </w:r>
      <w:r w:rsidR="007D57A4" w:rsidRPr="00440710">
        <w:rPr>
          <w:rFonts w:ascii="Arial" w:hAnsi="Arial" w:cs="Arial"/>
          <w:sz w:val="24"/>
          <w:szCs w:val="24"/>
        </w:rPr>
        <w:t xml:space="preserve">That he spent 40 minutes doing </w:t>
      </w:r>
      <w:r w:rsidR="005E092A" w:rsidRPr="00440710">
        <w:rPr>
          <w:rFonts w:ascii="Arial" w:hAnsi="Arial" w:cs="Arial"/>
          <w:sz w:val="24"/>
          <w:szCs w:val="24"/>
        </w:rPr>
        <w:t xml:space="preserve">so </w:t>
      </w:r>
      <w:r w:rsidR="007D57A4" w:rsidRPr="00440710">
        <w:rPr>
          <w:rFonts w:ascii="Arial" w:hAnsi="Arial" w:cs="Arial"/>
          <w:sz w:val="24"/>
          <w:szCs w:val="24"/>
        </w:rPr>
        <w:t>is utterly implausible. Sgt Tuswa seemed to concede as much at the end of cross-examination, as apparent from the following exchange:</w:t>
      </w:r>
    </w:p>
    <w:p w14:paraId="42AC6600" w14:textId="54063934" w:rsidR="007D57A4" w:rsidRPr="0009305D" w:rsidRDefault="005E092A" w:rsidP="001A491F">
      <w:pPr>
        <w:spacing w:line="360" w:lineRule="auto"/>
        <w:ind w:left="2880" w:hanging="2160"/>
        <w:jc w:val="both"/>
        <w:rPr>
          <w:rFonts w:ascii="Arial" w:hAnsi="Arial" w:cs="Arial"/>
        </w:rPr>
      </w:pPr>
      <w:r w:rsidRPr="0009305D">
        <w:rPr>
          <w:rFonts w:ascii="Arial" w:hAnsi="Arial" w:cs="Arial"/>
        </w:rPr>
        <w:t>‘ADV METU:</w:t>
      </w:r>
      <w:r w:rsidRPr="0009305D">
        <w:rPr>
          <w:rFonts w:ascii="Arial" w:hAnsi="Arial" w:cs="Arial"/>
        </w:rPr>
        <w:tab/>
        <w:t>You had never met the employees before you watched the footage. Why not verify whether the plaintiff was in such material?</w:t>
      </w:r>
    </w:p>
    <w:p w14:paraId="189C5C42" w14:textId="6FD4DC73" w:rsidR="005E092A" w:rsidRPr="0009305D" w:rsidRDefault="005E092A" w:rsidP="001A491F">
      <w:pPr>
        <w:spacing w:line="360" w:lineRule="auto"/>
        <w:ind w:left="2880" w:hanging="2160"/>
        <w:jc w:val="both"/>
        <w:rPr>
          <w:rFonts w:ascii="Arial" w:hAnsi="Arial" w:cs="Arial"/>
        </w:rPr>
      </w:pPr>
      <w:r w:rsidRPr="0009305D">
        <w:rPr>
          <w:rFonts w:ascii="Arial" w:hAnsi="Arial" w:cs="Arial"/>
        </w:rPr>
        <w:t>SGT TUSWA:</w:t>
      </w:r>
      <w:r w:rsidRPr="0009305D">
        <w:rPr>
          <w:rFonts w:ascii="Arial" w:hAnsi="Arial" w:cs="Arial"/>
        </w:rPr>
        <w:tab/>
      </w:r>
      <w:r w:rsidRPr="0009305D">
        <w:rPr>
          <w:rFonts w:ascii="Arial" w:hAnsi="Arial" w:cs="Arial"/>
          <w:i/>
          <w:iCs/>
        </w:rPr>
        <w:t>I did not verify, Mr Marshall said that he had already watched the footage.</w:t>
      </w:r>
      <w:r w:rsidRPr="0009305D">
        <w:rPr>
          <w:rFonts w:ascii="Arial" w:hAnsi="Arial" w:cs="Arial"/>
        </w:rPr>
        <w:t xml:space="preserve"> There was an agreement, too.</w:t>
      </w:r>
    </w:p>
    <w:p w14:paraId="7BE7788B" w14:textId="2190BD76" w:rsidR="005E092A" w:rsidRPr="0009305D" w:rsidRDefault="005E092A" w:rsidP="001A491F">
      <w:pPr>
        <w:spacing w:line="360" w:lineRule="auto"/>
        <w:ind w:left="2880" w:hanging="2160"/>
        <w:jc w:val="both"/>
        <w:rPr>
          <w:rFonts w:ascii="Arial" w:hAnsi="Arial" w:cs="Arial"/>
        </w:rPr>
      </w:pPr>
      <w:r w:rsidRPr="0009305D">
        <w:rPr>
          <w:rFonts w:ascii="Arial" w:hAnsi="Arial" w:cs="Arial"/>
        </w:rPr>
        <w:t>ADV METU:</w:t>
      </w:r>
      <w:r w:rsidRPr="0009305D">
        <w:rPr>
          <w:rFonts w:ascii="Arial" w:hAnsi="Arial" w:cs="Arial"/>
        </w:rPr>
        <w:tab/>
        <w:t>So the arrest was made on the basis of what Mr Marshall told you?</w:t>
      </w:r>
    </w:p>
    <w:p w14:paraId="3432BA3B" w14:textId="2E7A174C" w:rsidR="005E092A" w:rsidRPr="0009305D" w:rsidRDefault="005E092A" w:rsidP="001A491F">
      <w:pPr>
        <w:spacing w:line="360" w:lineRule="auto"/>
        <w:ind w:left="2880" w:hanging="2160"/>
        <w:jc w:val="both"/>
        <w:rPr>
          <w:rFonts w:ascii="Arial" w:hAnsi="Arial" w:cs="Arial"/>
        </w:rPr>
      </w:pPr>
      <w:r w:rsidRPr="0009305D">
        <w:rPr>
          <w:rFonts w:ascii="Arial" w:hAnsi="Arial" w:cs="Arial"/>
        </w:rPr>
        <w:t>SGT TUSWA:</w:t>
      </w:r>
      <w:r w:rsidRPr="0009305D">
        <w:rPr>
          <w:rFonts w:ascii="Arial" w:hAnsi="Arial" w:cs="Arial"/>
        </w:rPr>
        <w:tab/>
      </w:r>
      <w:r w:rsidRPr="0009305D">
        <w:rPr>
          <w:rFonts w:ascii="Arial" w:hAnsi="Arial" w:cs="Arial"/>
          <w:i/>
          <w:iCs/>
        </w:rPr>
        <w:t>Yes. Mr Marshall was the complainant.</w:t>
      </w:r>
      <w:r w:rsidRPr="0009305D">
        <w:rPr>
          <w:rFonts w:ascii="Arial" w:hAnsi="Arial" w:cs="Arial"/>
        </w:rPr>
        <w:t xml:space="preserve"> I took into consideration what he said to me, as well as the footage.’</w:t>
      </w:r>
      <w:r w:rsidR="008C4BC2" w:rsidRPr="0009305D">
        <w:rPr>
          <w:rStyle w:val="FootnoteReference"/>
          <w:rFonts w:ascii="Arial" w:hAnsi="Arial" w:cs="Arial"/>
        </w:rPr>
        <w:footnoteReference w:id="15"/>
      </w:r>
    </w:p>
    <w:p w14:paraId="60C02FD4" w14:textId="77777777" w:rsidR="008C4BC2" w:rsidRPr="0009305D" w:rsidRDefault="008C4BC2" w:rsidP="001A491F">
      <w:pPr>
        <w:spacing w:line="360" w:lineRule="auto"/>
        <w:jc w:val="both"/>
        <w:rPr>
          <w:rFonts w:ascii="Arial" w:hAnsi="Arial" w:cs="Arial"/>
          <w:sz w:val="24"/>
          <w:szCs w:val="24"/>
        </w:rPr>
      </w:pPr>
    </w:p>
    <w:p w14:paraId="53015F68" w14:textId="72B8D9DE" w:rsidR="00AF3678" w:rsidRPr="00440710" w:rsidRDefault="00440710" w:rsidP="00440710">
      <w:pPr>
        <w:spacing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8C4BC2" w:rsidRPr="00440710">
        <w:rPr>
          <w:rFonts w:ascii="Arial" w:hAnsi="Arial" w:cs="Arial"/>
          <w:sz w:val="24"/>
          <w:szCs w:val="24"/>
        </w:rPr>
        <w:t xml:space="preserve">Interestingly, Sgt Tuswa never mentioned the video footage in his statement, notwithstanding its importance as a ground for his suspicion. It was never provided to the </w:t>
      </w:r>
      <w:r w:rsidR="008C4BC2" w:rsidRPr="00440710">
        <w:rPr>
          <w:rFonts w:ascii="Arial" w:hAnsi="Arial" w:cs="Arial"/>
          <w:sz w:val="24"/>
          <w:szCs w:val="24"/>
        </w:rPr>
        <w:lastRenderedPageBreak/>
        <w:t xml:space="preserve">plaintiff, it was never </w:t>
      </w:r>
      <w:r w:rsidR="0025712B" w:rsidRPr="00440710">
        <w:rPr>
          <w:rFonts w:ascii="Arial" w:hAnsi="Arial" w:cs="Arial"/>
          <w:sz w:val="24"/>
          <w:szCs w:val="24"/>
        </w:rPr>
        <w:t xml:space="preserve">discovered for trial purposes to corroborate Sgt Tuswa’s testimony; similarly, the defendant never called Mr Marshall as a witness. </w:t>
      </w:r>
      <w:r w:rsidR="00763A2A" w:rsidRPr="00440710">
        <w:rPr>
          <w:rFonts w:ascii="Arial" w:hAnsi="Arial" w:cs="Arial"/>
          <w:sz w:val="24"/>
          <w:szCs w:val="24"/>
        </w:rPr>
        <w:t>There was</w:t>
      </w:r>
      <w:r w:rsidR="0025712B" w:rsidRPr="00440710">
        <w:rPr>
          <w:rFonts w:ascii="Arial" w:hAnsi="Arial" w:cs="Arial"/>
          <w:sz w:val="24"/>
          <w:szCs w:val="24"/>
        </w:rPr>
        <w:t xml:space="preserve"> undisputed evidence that the </w:t>
      </w:r>
      <w:r w:rsidR="00763A2A" w:rsidRPr="00440710">
        <w:rPr>
          <w:rFonts w:ascii="Arial" w:hAnsi="Arial" w:cs="Arial"/>
          <w:sz w:val="24"/>
          <w:szCs w:val="24"/>
        </w:rPr>
        <w:t xml:space="preserve">prosecutor involved in the case requested the investigating officer to clarify how the video footage implicated the suspects and that the </w:t>
      </w:r>
      <w:r w:rsidR="0025712B" w:rsidRPr="00440710">
        <w:rPr>
          <w:rFonts w:ascii="Arial" w:hAnsi="Arial" w:cs="Arial"/>
          <w:sz w:val="24"/>
          <w:szCs w:val="24"/>
        </w:rPr>
        <w:t xml:space="preserve">owner invited </w:t>
      </w:r>
      <w:r w:rsidR="00763A2A" w:rsidRPr="00440710">
        <w:rPr>
          <w:rFonts w:ascii="Arial" w:hAnsi="Arial" w:cs="Arial"/>
          <w:sz w:val="24"/>
          <w:szCs w:val="24"/>
        </w:rPr>
        <w:t>the plaintiff</w:t>
      </w:r>
      <w:r w:rsidR="0025712B" w:rsidRPr="00440710">
        <w:rPr>
          <w:rFonts w:ascii="Arial" w:hAnsi="Arial" w:cs="Arial"/>
          <w:sz w:val="24"/>
          <w:szCs w:val="24"/>
        </w:rPr>
        <w:t>, subsequently, to return to work</w:t>
      </w:r>
      <w:r w:rsidR="00763A2A" w:rsidRPr="00440710">
        <w:rPr>
          <w:rFonts w:ascii="Arial" w:hAnsi="Arial" w:cs="Arial"/>
          <w:sz w:val="24"/>
          <w:szCs w:val="24"/>
        </w:rPr>
        <w:t>. Considering all the above,</w:t>
      </w:r>
      <w:r w:rsidR="0025712B" w:rsidRPr="00440710">
        <w:rPr>
          <w:rFonts w:ascii="Arial" w:hAnsi="Arial" w:cs="Arial"/>
          <w:sz w:val="24"/>
          <w:szCs w:val="24"/>
        </w:rPr>
        <w:t xml:space="preserve"> it is simply improbable that there was any</w:t>
      </w:r>
      <w:r w:rsidR="00763A2A" w:rsidRPr="00440710">
        <w:rPr>
          <w:rFonts w:ascii="Arial" w:hAnsi="Arial" w:cs="Arial"/>
          <w:sz w:val="24"/>
          <w:szCs w:val="24"/>
        </w:rPr>
        <w:t>thing</w:t>
      </w:r>
      <w:r w:rsidR="0025712B" w:rsidRPr="00440710">
        <w:rPr>
          <w:rFonts w:ascii="Arial" w:hAnsi="Arial" w:cs="Arial"/>
          <w:sz w:val="24"/>
          <w:szCs w:val="24"/>
        </w:rPr>
        <w:t xml:space="preserve"> in the video footage that </w:t>
      </w:r>
      <w:r w:rsidR="00763A2A" w:rsidRPr="00440710">
        <w:rPr>
          <w:rFonts w:ascii="Arial" w:hAnsi="Arial" w:cs="Arial"/>
          <w:sz w:val="24"/>
          <w:szCs w:val="24"/>
        </w:rPr>
        <w:t xml:space="preserve">could have given rise to a reasonable suspicion on the part of the officer that </w:t>
      </w:r>
      <w:r w:rsidR="0025712B" w:rsidRPr="00440710">
        <w:rPr>
          <w:rFonts w:ascii="Arial" w:hAnsi="Arial" w:cs="Arial"/>
          <w:sz w:val="24"/>
          <w:szCs w:val="24"/>
        </w:rPr>
        <w:t>the plaintiff</w:t>
      </w:r>
      <w:r w:rsidR="00763A2A" w:rsidRPr="00440710">
        <w:rPr>
          <w:rFonts w:ascii="Arial" w:hAnsi="Arial" w:cs="Arial"/>
          <w:sz w:val="24"/>
          <w:szCs w:val="24"/>
        </w:rPr>
        <w:t xml:space="preserve"> committed the offence with which he was charged</w:t>
      </w:r>
      <w:r w:rsidR="0025712B" w:rsidRPr="00440710">
        <w:rPr>
          <w:rFonts w:ascii="Arial" w:hAnsi="Arial" w:cs="Arial"/>
          <w:sz w:val="24"/>
          <w:szCs w:val="24"/>
        </w:rPr>
        <w:t>.</w:t>
      </w:r>
      <w:r w:rsidR="00D306DA" w:rsidRPr="00440710">
        <w:rPr>
          <w:rFonts w:ascii="Arial" w:hAnsi="Arial" w:cs="Arial"/>
          <w:sz w:val="24"/>
          <w:szCs w:val="24"/>
        </w:rPr>
        <w:t xml:space="preserve"> </w:t>
      </w:r>
    </w:p>
    <w:p w14:paraId="3F99535F" w14:textId="77777777" w:rsidR="00AF3678" w:rsidRDefault="00AF3678" w:rsidP="00AF3678">
      <w:pPr>
        <w:pStyle w:val="ListParagraph"/>
        <w:spacing w:line="360" w:lineRule="auto"/>
        <w:ind w:left="0"/>
        <w:jc w:val="both"/>
        <w:rPr>
          <w:rFonts w:ascii="Arial" w:hAnsi="Arial" w:cs="Arial"/>
          <w:sz w:val="24"/>
          <w:szCs w:val="24"/>
        </w:rPr>
      </w:pPr>
    </w:p>
    <w:p w14:paraId="16A9F98B" w14:textId="16938C86" w:rsidR="00AF3678" w:rsidRPr="00440710" w:rsidRDefault="00440710" w:rsidP="00440710">
      <w:pPr>
        <w:spacing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6F6105" w:rsidRPr="00440710">
        <w:rPr>
          <w:rFonts w:ascii="Arial" w:hAnsi="Arial" w:cs="Arial"/>
          <w:sz w:val="24"/>
          <w:szCs w:val="24"/>
        </w:rPr>
        <w:t xml:space="preserve">Counsel for the defendant referred to </w:t>
      </w:r>
      <w:r w:rsidR="006F6105" w:rsidRPr="00440710">
        <w:rPr>
          <w:rFonts w:ascii="Arial" w:hAnsi="Arial" w:cs="Arial"/>
          <w:i/>
          <w:iCs/>
          <w:sz w:val="24"/>
          <w:szCs w:val="24"/>
        </w:rPr>
        <w:t>Buso v Minister of Police</w:t>
      </w:r>
      <w:r w:rsidR="006F6105" w:rsidRPr="006F6105">
        <w:rPr>
          <w:vertAlign w:val="superscript"/>
        </w:rPr>
        <w:footnoteReference w:id="16"/>
      </w:r>
      <w:r w:rsidR="006F6105" w:rsidRPr="00440710">
        <w:rPr>
          <w:rFonts w:ascii="Arial" w:hAnsi="Arial" w:cs="Arial"/>
          <w:sz w:val="24"/>
          <w:szCs w:val="24"/>
        </w:rPr>
        <w:t xml:space="preserve"> to contend that corroboration is not a requirement for a suspicion to be reasonable. The argument is understood to mean that it was unnecessary for Sgt Tuswa to have viewed the video footage for purposes of corroborating Mr Marshall’s allegations. The </w:t>
      </w:r>
      <w:r w:rsidR="00534903" w:rsidRPr="00440710">
        <w:rPr>
          <w:rFonts w:ascii="Arial" w:hAnsi="Arial" w:cs="Arial"/>
          <w:sz w:val="24"/>
          <w:szCs w:val="24"/>
        </w:rPr>
        <w:t xml:space="preserve">decision in </w:t>
      </w:r>
      <w:r w:rsidR="00534903" w:rsidRPr="00440710">
        <w:rPr>
          <w:rFonts w:ascii="Arial" w:hAnsi="Arial" w:cs="Arial"/>
          <w:i/>
          <w:iCs/>
          <w:sz w:val="24"/>
          <w:szCs w:val="24"/>
        </w:rPr>
        <w:t>Buso</w:t>
      </w:r>
      <w:r w:rsidR="00534903" w:rsidRPr="00440710">
        <w:rPr>
          <w:rFonts w:ascii="Arial" w:hAnsi="Arial" w:cs="Arial"/>
          <w:sz w:val="24"/>
          <w:szCs w:val="24"/>
        </w:rPr>
        <w:t xml:space="preserve">, however, never detracted from the </w:t>
      </w:r>
      <w:r w:rsidR="006F6105" w:rsidRPr="00440710">
        <w:rPr>
          <w:rFonts w:ascii="Arial" w:hAnsi="Arial" w:cs="Arial"/>
          <w:sz w:val="24"/>
          <w:szCs w:val="24"/>
        </w:rPr>
        <w:t xml:space="preserve">requirement that the officer’s suspicion, when considered objectively, must be reasonable. The financial manager’s allegations on their own were just that: allegations unsupported by </w:t>
      </w:r>
      <w:r w:rsidR="00534903" w:rsidRPr="00440710">
        <w:rPr>
          <w:rFonts w:ascii="Arial" w:hAnsi="Arial" w:cs="Arial"/>
          <w:sz w:val="24"/>
          <w:szCs w:val="24"/>
        </w:rPr>
        <w:t xml:space="preserve">independent facts. They may well have given rise to a suspicion on Sgt Tuswa’s part, but short of anything to support </w:t>
      </w:r>
      <w:r w:rsidR="007878EF" w:rsidRPr="00440710">
        <w:rPr>
          <w:rFonts w:ascii="Arial" w:hAnsi="Arial" w:cs="Arial"/>
          <w:sz w:val="24"/>
          <w:szCs w:val="24"/>
        </w:rPr>
        <w:t>such</w:t>
      </w:r>
      <w:r w:rsidR="00534903" w:rsidRPr="00440710">
        <w:rPr>
          <w:rFonts w:ascii="Arial" w:hAnsi="Arial" w:cs="Arial"/>
          <w:sz w:val="24"/>
          <w:szCs w:val="24"/>
        </w:rPr>
        <w:t xml:space="preserve"> allegations, it could not be said that the officer</w:t>
      </w:r>
      <w:r w:rsidR="007878EF" w:rsidRPr="00440710">
        <w:rPr>
          <w:rFonts w:ascii="Arial" w:hAnsi="Arial" w:cs="Arial"/>
          <w:sz w:val="24"/>
          <w:szCs w:val="24"/>
        </w:rPr>
        <w:t xml:space="preserve">’s suspicion rested on reasonable grounds. </w:t>
      </w:r>
      <w:r w:rsidR="00534903" w:rsidRPr="00440710">
        <w:rPr>
          <w:rFonts w:ascii="Arial" w:hAnsi="Arial" w:cs="Arial"/>
          <w:sz w:val="24"/>
          <w:szCs w:val="24"/>
        </w:rPr>
        <w:t>T</w:t>
      </w:r>
      <w:r w:rsidR="006F6105" w:rsidRPr="00440710">
        <w:rPr>
          <w:rFonts w:ascii="Arial" w:hAnsi="Arial" w:cs="Arial"/>
          <w:sz w:val="24"/>
          <w:szCs w:val="24"/>
        </w:rPr>
        <w:t>he</w:t>
      </w:r>
      <w:r w:rsidR="007878EF" w:rsidRPr="00440710">
        <w:rPr>
          <w:rFonts w:ascii="Arial" w:hAnsi="Arial" w:cs="Arial"/>
          <w:sz w:val="24"/>
          <w:szCs w:val="24"/>
        </w:rPr>
        <w:t xml:space="preserve"> officer had </w:t>
      </w:r>
      <w:r w:rsidR="006F6105" w:rsidRPr="00440710">
        <w:rPr>
          <w:rFonts w:ascii="Arial" w:hAnsi="Arial" w:cs="Arial"/>
          <w:sz w:val="24"/>
          <w:szCs w:val="24"/>
        </w:rPr>
        <w:t>a duty, before invoking the drastic powers conferred by section 40(1)(b) of the CPA, to have at least verified</w:t>
      </w:r>
      <w:r w:rsidR="00534903" w:rsidRPr="00440710">
        <w:rPr>
          <w:rFonts w:ascii="Arial" w:hAnsi="Arial" w:cs="Arial"/>
          <w:sz w:val="24"/>
          <w:szCs w:val="24"/>
        </w:rPr>
        <w:t xml:space="preserve"> or simply tested</w:t>
      </w:r>
      <w:r w:rsidR="006F6105" w:rsidRPr="00440710">
        <w:rPr>
          <w:rFonts w:ascii="Arial" w:hAnsi="Arial" w:cs="Arial"/>
          <w:sz w:val="24"/>
          <w:szCs w:val="24"/>
        </w:rPr>
        <w:t xml:space="preserve"> Mr Marshall’s allegations</w:t>
      </w:r>
      <w:r w:rsidR="007878EF" w:rsidRPr="00440710">
        <w:rPr>
          <w:rFonts w:ascii="Arial" w:hAnsi="Arial" w:cs="Arial"/>
          <w:sz w:val="24"/>
          <w:szCs w:val="24"/>
        </w:rPr>
        <w:t xml:space="preserve"> with reference to independent facts</w:t>
      </w:r>
      <w:r w:rsidR="006F6105" w:rsidRPr="00440710">
        <w:rPr>
          <w:rFonts w:ascii="Arial" w:hAnsi="Arial" w:cs="Arial"/>
          <w:sz w:val="24"/>
          <w:szCs w:val="24"/>
        </w:rPr>
        <w:t xml:space="preserve">, especially where ‘hard’ evidence </w:t>
      </w:r>
      <w:r w:rsidR="007878EF" w:rsidRPr="00440710">
        <w:rPr>
          <w:rFonts w:ascii="Arial" w:hAnsi="Arial" w:cs="Arial"/>
          <w:sz w:val="24"/>
          <w:szCs w:val="24"/>
        </w:rPr>
        <w:t xml:space="preserve">in the form of the video footage </w:t>
      </w:r>
      <w:r w:rsidR="006F6105" w:rsidRPr="00440710">
        <w:rPr>
          <w:rFonts w:ascii="Arial" w:hAnsi="Arial" w:cs="Arial"/>
          <w:sz w:val="24"/>
          <w:szCs w:val="24"/>
        </w:rPr>
        <w:t xml:space="preserve">was immediately available. He was obligated to have considered </w:t>
      </w:r>
      <w:r w:rsidR="007878EF" w:rsidRPr="00440710">
        <w:rPr>
          <w:rFonts w:ascii="Arial" w:hAnsi="Arial" w:cs="Arial"/>
          <w:sz w:val="24"/>
          <w:szCs w:val="24"/>
        </w:rPr>
        <w:t xml:space="preserve">this </w:t>
      </w:r>
      <w:r w:rsidR="006F6105" w:rsidRPr="00440710">
        <w:rPr>
          <w:rFonts w:ascii="Arial" w:hAnsi="Arial" w:cs="Arial"/>
          <w:sz w:val="24"/>
          <w:szCs w:val="24"/>
        </w:rPr>
        <w:t xml:space="preserve">properly and not merely relied on the financial manager’s word before depriving the plaintiff of his liberty. </w:t>
      </w:r>
    </w:p>
    <w:p w14:paraId="03B30018" w14:textId="77777777" w:rsidR="00AF3678" w:rsidRDefault="00AF3678" w:rsidP="00AF3678">
      <w:pPr>
        <w:pStyle w:val="ListParagraph"/>
        <w:spacing w:line="360" w:lineRule="auto"/>
        <w:ind w:left="0"/>
        <w:jc w:val="both"/>
        <w:rPr>
          <w:rFonts w:ascii="Arial" w:hAnsi="Arial" w:cs="Arial"/>
          <w:sz w:val="24"/>
          <w:szCs w:val="24"/>
        </w:rPr>
      </w:pPr>
    </w:p>
    <w:p w14:paraId="229D371B" w14:textId="633FD846" w:rsidR="00160441" w:rsidRPr="00440710" w:rsidRDefault="00440710" w:rsidP="00440710">
      <w:pPr>
        <w:spacing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5A77BA" w:rsidRPr="00440710">
        <w:rPr>
          <w:rFonts w:ascii="Arial" w:hAnsi="Arial" w:cs="Arial"/>
          <w:sz w:val="24"/>
          <w:szCs w:val="24"/>
        </w:rPr>
        <w:t>T</w:t>
      </w:r>
      <w:r w:rsidR="00DD2BEB" w:rsidRPr="00440710">
        <w:rPr>
          <w:rFonts w:ascii="Arial" w:hAnsi="Arial" w:cs="Arial"/>
          <w:sz w:val="24"/>
          <w:szCs w:val="24"/>
        </w:rPr>
        <w:t>he defendant relied</w:t>
      </w:r>
      <w:r w:rsidR="007878EF" w:rsidRPr="00440710">
        <w:rPr>
          <w:rFonts w:ascii="Arial" w:hAnsi="Arial" w:cs="Arial"/>
          <w:sz w:val="24"/>
          <w:szCs w:val="24"/>
        </w:rPr>
        <w:t>, too,</w:t>
      </w:r>
      <w:r w:rsidR="00DD2BEB" w:rsidRPr="00440710">
        <w:rPr>
          <w:rFonts w:ascii="Arial" w:hAnsi="Arial" w:cs="Arial"/>
          <w:sz w:val="24"/>
          <w:szCs w:val="24"/>
        </w:rPr>
        <w:t xml:space="preserve"> on the common cause fact that some of the suspects </w:t>
      </w:r>
      <w:r w:rsidR="00023368" w:rsidRPr="00440710">
        <w:rPr>
          <w:rFonts w:ascii="Arial" w:hAnsi="Arial" w:cs="Arial"/>
          <w:sz w:val="24"/>
          <w:szCs w:val="24"/>
        </w:rPr>
        <w:t xml:space="preserve">were </w:t>
      </w:r>
      <w:r w:rsidR="00DD2BEB" w:rsidRPr="00440710">
        <w:rPr>
          <w:rFonts w:ascii="Arial" w:hAnsi="Arial" w:cs="Arial"/>
          <w:sz w:val="24"/>
          <w:szCs w:val="24"/>
        </w:rPr>
        <w:t>crying and admitted that they were in the wrong</w:t>
      </w:r>
      <w:r w:rsidR="00763A2A" w:rsidRPr="00440710">
        <w:rPr>
          <w:rFonts w:ascii="Arial" w:hAnsi="Arial" w:cs="Arial"/>
          <w:sz w:val="24"/>
          <w:szCs w:val="24"/>
        </w:rPr>
        <w:t>.</w:t>
      </w:r>
      <w:r w:rsidR="00DD2BEB" w:rsidRPr="00440710">
        <w:rPr>
          <w:rFonts w:ascii="Arial" w:hAnsi="Arial" w:cs="Arial"/>
          <w:sz w:val="24"/>
          <w:szCs w:val="24"/>
        </w:rPr>
        <w:t xml:space="preserve"> </w:t>
      </w:r>
      <w:r w:rsidR="005A77BA" w:rsidRPr="00440710">
        <w:rPr>
          <w:rFonts w:ascii="Arial" w:hAnsi="Arial" w:cs="Arial"/>
          <w:sz w:val="24"/>
          <w:szCs w:val="24"/>
        </w:rPr>
        <w:t>In argument, counsel emphasised the importance of the interaction between Sgt Tuswa and the suspects, pointing out that the plaintiff never stepped forward to protest his innocence</w:t>
      </w:r>
      <w:r w:rsidR="00763A2A" w:rsidRPr="00440710">
        <w:rPr>
          <w:rFonts w:ascii="Arial" w:hAnsi="Arial" w:cs="Arial"/>
          <w:sz w:val="24"/>
          <w:szCs w:val="24"/>
        </w:rPr>
        <w:t>; he kept quiet. T</w:t>
      </w:r>
      <w:r w:rsidR="00DD2BEB" w:rsidRPr="00440710">
        <w:rPr>
          <w:rFonts w:ascii="Arial" w:hAnsi="Arial" w:cs="Arial"/>
          <w:sz w:val="24"/>
          <w:szCs w:val="24"/>
        </w:rPr>
        <w:t>here was no evidence at all</w:t>
      </w:r>
      <w:r w:rsidR="00763A2A" w:rsidRPr="00440710">
        <w:rPr>
          <w:rFonts w:ascii="Arial" w:hAnsi="Arial" w:cs="Arial"/>
          <w:sz w:val="24"/>
          <w:szCs w:val="24"/>
        </w:rPr>
        <w:t>, however,</w:t>
      </w:r>
      <w:r w:rsidR="00DD2BEB" w:rsidRPr="00440710">
        <w:rPr>
          <w:rFonts w:ascii="Arial" w:hAnsi="Arial" w:cs="Arial"/>
          <w:sz w:val="24"/>
          <w:szCs w:val="24"/>
        </w:rPr>
        <w:t xml:space="preserve"> that the plaintiff associated himself with</w:t>
      </w:r>
      <w:r w:rsidR="00763A2A" w:rsidRPr="00440710">
        <w:rPr>
          <w:rFonts w:ascii="Arial" w:hAnsi="Arial" w:cs="Arial"/>
          <w:sz w:val="24"/>
          <w:szCs w:val="24"/>
        </w:rPr>
        <w:t xml:space="preserve"> any admissions made </w:t>
      </w:r>
      <w:r w:rsidR="00763A2A" w:rsidRPr="00440710">
        <w:rPr>
          <w:rFonts w:ascii="Arial" w:hAnsi="Arial" w:cs="Arial"/>
          <w:sz w:val="24"/>
          <w:szCs w:val="24"/>
        </w:rPr>
        <w:lastRenderedPageBreak/>
        <w:t>by the remaining suspects</w:t>
      </w:r>
      <w:r w:rsidR="00DD2BEB" w:rsidRPr="00440710">
        <w:rPr>
          <w:rFonts w:ascii="Arial" w:hAnsi="Arial" w:cs="Arial"/>
          <w:sz w:val="24"/>
          <w:szCs w:val="24"/>
        </w:rPr>
        <w:t xml:space="preserve">. To the contrary, </w:t>
      </w:r>
      <w:r w:rsidR="00F7361E" w:rsidRPr="00440710">
        <w:rPr>
          <w:rFonts w:ascii="Arial" w:hAnsi="Arial" w:cs="Arial"/>
          <w:sz w:val="24"/>
          <w:szCs w:val="24"/>
        </w:rPr>
        <w:t>the plaintiff’s</w:t>
      </w:r>
      <w:r w:rsidR="00DD2BEB" w:rsidRPr="00440710">
        <w:rPr>
          <w:rFonts w:ascii="Arial" w:hAnsi="Arial" w:cs="Arial"/>
          <w:sz w:val="24"/>
          <w:szCs w:val="24"/>
        </w:rPr>
        <w:t xml:space="preserve"> </w:t>
      </w:r>
      <w:r w:rsidR="00F7361E" w:rsidRPr="00440710">
        <w:rPr>
          <w:rFonts w:ascii="Arial" w:hAnsi="Arial" w:cs="Arial"/>
          <w:sz w:val="24"/>
          <w:szCs w:val="24"/>
        </w:rPr>
        <w:t>testimony</w:t>
      </w:r>
      <w:r w:rsidR="00DD2BEB" w:rsidRPr="00440710">
        <w:rPr>
          <w:rFonts w:ascii="Arial" w:hAnsi="Arial" w:cs="Arial"/>
          <w:sz w:val="24"/>
          <w:szCs w:val="24"/>
        </w:rPr>
        <w:t xml:space="preserve"> was that he challenged the owner, asserting that </w:t>
      </w:r>
      <w:r w:rsidR="00F7361E" w:rsidRPr="00440710">
        <w:rPr>
          <w:rFonts w:ascii="Arial" w:hAnsi="Arial" w:cs="Arial"/>
          <w:sz w:val="24"/>
          <w:szCs w:val="24"/>
        </w:rPr>
        <w:t xml:space="preserve">there was nothing to link him to the theft, he worked in the kitchen at the back of the restaurant. This was never disputed. </w:t>
      </w:r>
      <w:r w:rsidR="00D306DA" w:rsidRPr="00440710">
        <w:rPr>
          <w:rFonts w:ascii="Arial" w:hAnsi="Arial" w:cs="Arial"/>
          <w:sz w:val="24"/>
          <w:szCs w:val="24"/>
        </w:rPr>
        <w:t>Looking at the circumstances of the matter objectively, it cannot be said that there were any reasonable grounds for the arrest.</w:t>
      </w:r>
    </w:p>
    <w:p w14:paraId="0457DD21" w14:textId="77777777" w:rsidR="00160441" w:rsidRPr="00160441" w:rsidRDefault="00160441" w:rsidP="00160441">
      <w:pPr>
        <w:pStyle w:val="ListParagraph"/>
        <w:rPr>
          <w:rFonts w:ascii="Arial" w:hAnsi="Arial" w:cs="Arial"/>
          <w:sz w:val="24"/>
          <w:szCs w:val="24"/>
        </w:rPr>
      </w:pPr>
    </w:p>
    <w:p w14:paraId="23B5578F" w14:textId="5B46FB1A" w:rsidR="00160441" w:rsidRPr="00440710" w:rsidRDefault="00440710" w:rsidP="00440710">
      <w:pPr>
        <w:spacing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0C456A" w:rsidRPr="00440710">
        <w:rPr>
          <w:rFonts w:ascii="Arial" w:hAnsi="Arial" w:cs="Arial"/>
          <w:sz w:val="24"/>
          <w:szCs w:val="24"/>
        </w:rPr>
        <w:t>In argument, c</w:t>
      </w:r>
      <w:r w:rsidR="0009305D" w:rsidRPr="00440710">
        <w:rPr>
          <w:rFonts w:ascii="Arial" w:hAnsi="Arial" w:cs="Arial"/>
          <w:sz w:val="24"/>
          <w:szCs w:val="24"/>
        </w:rPr>
        <w:t xml:space="preserve">ounsel </w:t>
      </w:r>
      <w:r w:rsidR="000C456A" w:rsidRPr="00440710">
        <w:rPr>
          <w:rFonts w:ascii="Arial" w:hAnsi="Arial" w:cs="Arial"/>
          <w:sz w:val="24"/>
          <w:szCs w:val="24"/>
        </w:rPr>
        <w:t xml:space="preserve">mentioned </w:t>
      </w:r>
      <w:r w:rsidR="0009305D" w:rsidRPr="00440710">
        <w:rPr>
          <w:rFonts w:ascii="Arial" w:hAnsi="Arial" w:cs="Arial"/>
          <w:i/>
          <w:iCs/>
          <w:sz w:val="24"/>
          <w:szCs w:val="24"/>
        </w:rPr>
        <w:t>Mabona</w:t>
      </w:r>
      <w:r w:rsidR="000C456A" w:rsidRPr="00440710">
        <w:rPr>
          <w:rFonts w:ascii="Arial" w:hAnsi="Arial" w:cs="Arial"/>
          <w:sz w:val="24"/>
          <w:szCs w:val="24"/>
        </w:rPr>
        <w:t xml:space="preserve">, </w:t>
      </w:r>
      <w:r w:rsidR="0009305D" w:rsidRPr="00440710">
        <w:rPr>
          <w:rFonts w:ascii="Arial" w:hAnsi="Arial" w:cs="Arial"/>
          <w:sz w:val="24"/>
          <w:szCs w:val="24"/>
        </w:rPr>
        <w:t>but the decision serves to emphasise the imperative to analyse and assess, critically, the quality of the information at the officer’s disposal. It should not be accepted lightly or without checking it, as happened in the present matter.</w:t>
      </w:r>
      <w:r w:rsidR="00787361">
        <w:rPr>
          <w:rStyle w:val="FootnoteReference"/>
          <w:rFonts w:ascii="Arial" w:hAnsi="Arial" w:cs="Arial"/>
          <w:sz w:val="24"/>
          <w:szCs w:val="24"/>
        </w:rPr>
        <w:footnoteReference w:id="17"/>
      </w:r>
      <w:r w:rsidR="0009305D" w:rsidRPr="00440710">
        <w:rPr>
          <w:rFonts w:ascii="Arial" w:hAnsi="Arial" w:cs="Arial"/>
          <w:sz w:val="24"/>
          <w:szCs w:val="24"/>
        </w:rPr>
        <w:t xml:space="preserve"> Furthermore, counsel referred to </w:t>
      </w:r>
      <w:r w:rsidR="0009305D" w:rsidRPr="00440710">
        <w:rPr>
          <w:rFonts w:ascii="Arial" w:hAnsi="Arial" w:cs="Arial"/>
          <w:i/>
          <w:iCs/>
          <w:sz w:val="24"/>
          <w:szCs w:val="24"/>
        </w:rPr>
        <w:t>Biyela</w:t>
      </w:r>
      <w:r w:rsidR="0009305D" w:rsidRPr="00440710">
        <w:rPr>
          <w:rFonts w:ascii="Arial" w:hAnsi="Arial" w:cs="Arial"/>
          <w:sz w:val="24"/>
          <w:szCs w:val="24"/>
        </w:rPr>
        <w:t xml:space="preserve"> to point out that the standard of a reasonable suspicion is very low. </w:t>
      </w:r>
      <w:r w:rsidR="00787361" w:rsidRPr="00440710">
        <w:rPr>
          <w:rFonts w:ascii="Arial" w:hAnsi="Arial" w:cs="Arial"/>
          <w:sz w:val="24"/>
          <w:szCs w:val="24"/>
        </w:rPr>
        <w:t xml:space="preserve">That may be so but the court in that matter went on to hold that a </w:t>
      </w:r>
      <w:r w:rsidR="0009305D" w:rsidRPr="00440710">
        <w:rPr>
          <w:rFonts w:ascii="Arial" w:hAnsi="Arial" w:cs="Arial"/>
          <w:sz w:val="24"/>
          <w:szCs w:val="24"/>
        </w:rPr>
        <w:t>reasonable suspicion must be based on specific and articulable facts or information.</w:t>
      </w:r>
      <w:r w:rsidR="00787361">
        <w:rPr>
          <w:rStyle w:val="FootnoteReference"/>
          <w:rFonts w:ascii="Arial" w:hAnsi="Arial" w:cs="Arial"/>
          <w:sz w:val="24"/>
          <w:szCs w:val="24"/>
        </w:rPr>
        <w:footnoteReference w:id="18"/>
      </w:r>
      <w:r w:rsidR="007878EF" w:rsidRPr="00440710">
        <w:rPr>
          <w:rFonts w:ascii="Arial" w:hAnsi="Arial" w:cs="Arial"/>
          <w:sz w:val="24"/>
          <w:szCs w:val="24"/>
        </w:rPr>
        <w:t xml:space="preserve"> The same cannot be said of Sgt Tuswa’s suspicion in th</w:t>
      </w:r>
      <w:r w:rsidR="00023368" w:rsidRPr="00440710">
        <w:rPr>
          <w:rFonts w:ascii="Arial" w:hAnsi="Arial" w:cs="Arial"/>
          <w:sz w:val="24"/>
          <w:szCs w:val="24"/>
        </w:rPr>
        <w:t xml:space="preserve">is </w:t>
      </w:r>
      <w:r w:rsidR="007878EF" w:rsidRPr="00440710">
        <w:rPr>
          <w:rFonts w:ascii="Arial" w:hAnsi="Arial" w:cs="Arial"/>
          <w:sz w:val="24"/>
          <w:szCs w:val="24"/>
        </w:rPr>
        <w:t>case.</w:t>
      </w:r>
    </w:p>
    <w:p w14:paraId="7EECBBD2" w14:textId="77777777" w:rsidR="00160441" w:rsidRPr="00160441" w:rsidRDefault="00160441" w:rsidP="00160441">
      <w:pPr>
        <w:pStyle w:val="ListParagraph"/>
        <w:rPr>
          <w:rFonts w:ascii="Arial" w:hAnsi="Arial" w:cs="Arial"/>
          <w:sz w:val="24"/>
          <w:szCs w:val="24"/>
        </w:rPr>
      </w:pPr>
    </w:p>
    <w:p w14:paraId="27AF6688" w14:textId="731364B9" w:rsidR="00787361" w:rsidRPr="00440710" w:rsidRDefault="00440710" w:rsidP="00440710">
      <w:pPr>
        <w:spacing w:line="360" w:lineRule="auto"/>
        <w:jc w:val="both"/>
        <w:rPr>
          <w:rFonts w:ascii="Arial" w:hAnsi="Arial" w:cs="Arial"/>
          <w:sz w:val="24"/>
          <w:szCs w:val="24"/>
        </w:rPr>
      </w:pPr>
      <w:r w:rsidRPr="00160441">
        <w:rPr>
          <w:rFonts w:ascii="Arial" w:hAnsi="Arial" w:cs="Arial"/>
          <w:sz w:val="24"/>
          <w:szCs w:val="24"/>
        </w:rPr>
        <w:t>[41]</w:t>
      </w:r>
      <w:r w:rsidRPr="00160441">
        <w:rPr>
          <w:rFonts w:ascii="Arial" w:hAnsi="Arial" w:cs="Arial"/>
          <w:sz w:val="24"/>
          <w:szCs w:val="24"/>
        </w:rPr>
        <w:tab/>
      </w:r>
      <w:r w:rsidR="00787361" w:rsidRPr="00440710">
        <w:rPr>
          <w:rFonts w:ascii="Arial" w:hAnsi="Arial" w:cs="Arial"/>
          <w:sz w:val="24"/>
          <w:szCs w:val="24"/>
        </w:rPr>
        <w:t xml:space="preserve">In </w:t>
      </w:r>
      <w:r w:rsidR="00787361" w:rsidRPr="00440710">
        <w:rPr>
          <w:rFonts w:ascii="Arial" w:hAnsi="Arial" w:cs="Arial"/>
          <w:i/>
          <w:iCs/>
          <w:sz w:val="24"/>
          <w:szCs w:val="24"/>
        </w:rPr>
        <w:t>De Klerk v Minister of Police</w:t>
      </w:r>
      <w:r w:rsidR="00787361" w:rsidRPr="00440710">
        <w:rPr>
          <w:rFonts w:ascii="Arial" w:hAnsi="Arial" w:cs="Arial"/>
          <w:sz w:val="24"/>
          <w:szCs w:val="24"/>
        </w:rPr>
        <w:t>,</w:t>
      </w:r>
      <w:r w:rsidR="00787361">
        <w:rPr>
          <w:rStyle w:val="FootnoteReference"/>
          <w:rFonts w:ascii="Arial" w:hAnsi="Arial" w:cs="Arial"/>
          <w:sz w:val="24"/>
          <w:szCs w:val="24"/>
        </w:rPr>
        <w:footnoteReference w:id="19"/>
      </w:r>
      <w:r w:rsidR="00787361" w:rsidRPr="00440710">
        <w:rPr>
          <w:rFonts w:ascii="Arial" w:hAnsi="Arial" w:cs="Arial"/>
          <w:sz w:val="24"/>
          <w:szCs w:val="24"/>
        </w:rPr>
        <w:t xml:space="preserve"> to which counsel for the plaintiff referred, the Constitutional Court, per Theron J, observed that:</w:t>
      </w:r>
    </w:p>
    <w:p w14:paraId="40537F47" w14:textId="736E3065" w:rsidR="00787361" w:rsidRPr="00B0716B" w:rsidRDefault="00787361" w:rsidP="001A491F">
      <w:pPr>
        <w:spacing w:line="360" w:lineRule="auto"/>
        <w:ind w:left="720"/>
        <w:jc w:val="both"/>
        <w:rPr>
          <w:rFonts w:ascii="Arial" w:hAnsi="Arial" w:cs="Arial"/>
        </w:rPr>
      </w:pPr>
      <w:r w:rsidRPr="00B0716B">
        <w:rPr>
          <w:rFonts w:ascii="Arial" w:hAnsi="Arial" w:cs="Arial"/>
        </w:rPr>
        <w:t xml:space="preserve">‘The principles emerging from our jurisprudence can then be summarised as follows. The deprivation of liberty, through arrest and detention, is </w:t>
      </w:r>
      <w:r w:rsidRPr="007D2855">
        <w:rPr>
          <w:rFonts w:ascii="Arial" w:hAnsi="Arial" w:cs="Arial"/>
          <w:i/>
          <w:iCs/>
        </w:rPr>
        <w:t xml:space="preserve">per </w:t>
      </w:r>
      <w:r w:rsidR="005D2FF5" w:rsidRPr="007D2855">
        <w:rPr>
          <w:rFonts w:ascii="Arial" w:hAnsi="Arial" w:cs="Arial"/>
          <w:i/>
          <w:iCs/>
        </w:rPr>
        <w:t>s</w:t>
      </w:r>
      <w:r w:rsidRPr="007D2855">
        <w:rPr>
          <w:rFonts w:ascii="Arial" w:hAnsi="Arial" w:cs="Arial"/>
          <w:i/>
          <w:iCs/>
        </w:rPr>
        <w:t>e</w:t>
      </w:r>
      <w:r w:rsidRPr="00B0716B">
        <w:rPr>
          <w:rFonts w:ascii="Arial" w:hAnsi="Arial" w:cs="Arial"/>
        </w:rPr>
        <w:t xml:space="preserve"> prima facie unlawful.</w:t>
      </w:r>
      <w:r w:rsidR="00B0716B" w:rsidRPr="00B0716B">
        <w:rPr>
          <w:rFonts w:ascii="Arial" w:hAnsi="Arial" w:cs="Arial"/>
        </w:rPr>
        <w:t xml:space="preserve"> Every deprivation of liberty must not only be effected in a procedurally fair manner but must also be substantively by acceptable reasons.’</w:t>
      </w:r>
      <w:r w:rsidR="00B0716B" w:rsidRPr="00B0716B">
        <w:rPr>
          <w:rStyle w:val="FootnoteReference"/>
          <w:rFonts w:ascii="Arial" w:hAnsi="Arial" w:cs="Arial"/>
        </w:rPr>
        <w:footnoteReference w:id="20"/>
      </w:r>
    </w:p>
    <w:p w14:paraId="316546F9" w14:textId="77777777" w:rsidR="00B0716B" w:rsidRDefault="00B0716B" w:rsidP="001A491F">
      <w:pPr>
        <w:spacing w:line="360" w:lineRule="auto"/>
        <w:jc w:val="both"/>
        <w:rPr>
          <w:rFonts w:ascii="Arial" w:hAnsi="Arial" w:cs="Arial"/>
          <w:sz w:val="24"/>
          <w:szCs w:val="24"/>
        </w:rPr>
      </w:pPr>
    </w:p>
    <w:p w14:paraId="226BC63D" w14:textId="64297A72" w:rsidR="00160441" w:rsidRPr="00440710" w:rsidRDefault="00440710" w:rsidP="00440710">
      <w:pPr>
        <w:spacing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B0716B" w:rsidRPr="00440710">
        <w:rPr>
          <w:rFonts w:ascii="Arial" w:hAnsi="Arial" w:cs="Arial"/>
          <w:sz w:val="24"/>
          <w:szCs w:val="24"/>
        </w:rPr>
        <w:t xml:space="preserve">The officer in the present matter based his suspicion, on a balance of probabilities, merely on Mr Marshall’s say-so. It is entirely improbable that there was anything in the video footage to have constituted a reasonable ground, even if Sgt Tuswa had </w:t>
      </w:r>
      <w:r w:rsidR="00D306DA" w:rsidRPr="00440710">
        <w:rPr>
          <w:rFonts w:ascii="Arial" w:hAnsi="Arial" w:cs="Arial"/>
          <w:sz w:val="24"/>
          <w:szCs w:val="24"/>
        </w:rPr>
        <w:t>the time within which to have watched it properly, which seems most unlikely</w:t>
      </w:r>
      <w:r w:rsidR="00B0716B" w:rsidRPr="00440710">
        <w:rPr>
          <w:rFonts w:ascii="Arial" w:hAnsi="Arial" w:cs="Arial"/>
          <w:sz w:val="24"/>
          <w:szCs w:val="24"/>
        </w:rPr>
        <w:t>; there was</w:t>
      </w:r>
      <w:r w:rsidR="00D306DA" w:rsidRPr="00440710">
        <w:rPr>
          <w:rFonts w:ascii="Arial" w:hAnsi="Arial" w:cs="Arial"/>
          <w:sz w:val="24"/>
          <w:szCs w:val="24"/>
        </w:rPr>
        <w:t>, objectively,</w:t>
      </w:r>
      <w:r w:rsidR="00B0716B" w:rsidRPr="00440710">
        <w:rPr>
          <w:rFonts w:ascii="Arial" w:hAnsi="Arial" w:cs="Arial"/>
          <w:sz w:val="24"/>
          <w:szCs w:val="24"/>
        </w:rPr>
        <w:t xml:space="preserve"> no acceptable reason for the arrest of the plaintiff</w:t>
      </w:r>
      <w:r w:rsidR="000C456A" w:rsidRPr="00440710">
        <w:rPr>
          <w:rFonts w:ascii="Arial" w:hAnsi="Arial" w:cs="Arial"/>
          <w:sz w:val="24"/>
          <w:szCs w:val="24"/>
        </w:rPr>
        <w:t xml:space="preserve">. </w:t>
      </w:r>
      <w:r w:rsidR="00B0716B" w:rsidRPr="00440710">
        <w:rPr>
          <w:rFonts w:ascii="Arial" w:hAnsi="Arial" w:cs="Arial"/>
          <w:sz w:val="24"/>
          <w:szCs w:val="24"/>
        </w:rPr>
        <w:t xml:space="preserve">Consequently, </w:t>
      </w:r>
      <w:r w:rsidR="00D306DA" w:rsidRPr="00440710">
        <w:rPr>
          <w:rFonts w:ascii="Arial" w:hAnsi="Arial" w:cs="Arial"/>
          <w:sz w:val="24"/>
          <w:szCs w:val="24"/>
        </w:rPr>
        <w:t xml:space="preserve">the defendant’s reliance on section 40(1)(b) of the CPA fails. The fourth jurisdictional fact, </w:t>
      </w:r>
      <w:r w:rsidR="00D306DA" w:rsidRPr="00440710">
        <w:rPr>
          <w:rFonts w:ascii="Arial" w:hAnsi="Arial" w:cs="Arial"/>
          <w:sz w:val="24"/>
          <w:szCs w:val="24"/>
        </w:rPr>
        <w:lastRenderedPageBreak/>
        <w:t xml:space="preserve">enunciated in </w:t>
      </w:r>
      <w:r w:rsidR="00D306DA" w:rsidRPr="00440710">
        <w:rPr>
          <w:rFonts w:ascii="Arial" w:hAnsi="Arial" w:cs="Arial"/>
          <w:i/>
          <w:iCs/>
          <w:sz w:val="24"/>
          <w:szCs w:val="24"/>
        </w:rPr>
        <w:t>Duncan</w:t>
      </w:r>
      <w:r w:rsidR="00D306DA" w:rsidRPr="00440710">
        <w:rPr>
          <w:rFonts w:ascii="Arial" w:hAnsi="Arial" w:cs="Arial"/>
          <w:sz w:val="24"/>
          <w:szCs w:val="24"/>
        </w:rPr>
        <w:t>, was absent; there were no reasonable grounds upon which the officer’s suspicion could be said to have rested.</w:t>
      </w:r>
    </w:p>
    <w:p w14:paraId="01BC708A" w14:textId="77777777" w:rsidR="00160441" w:rsidRDefault="00160441" w:rsidP="00160441">
      <w:pPr>
        <w:pStyle w:val="ListParagraph"/>
        <w:spacing w:line="360" w:lineRule="auto"/>
        <w:ind w:left="0"/>
        <w:jc w:val="both"/>
        <w:rPr>
          <w:rFonts w:ascii="Arial" w:hAnsi="Arial" w:cs="Arial"/>
          <w:sz w:val="24"/>
          <w:szCs w:val="24"/>
        </w:rPr>
      </w:pPr>
    </w:p>
    <w:p w14:paraId="47E15C2F" w14:textId="3FF506BB" w:rsidR="00160441" w:rsidRPr="00440710" w:rsidRDefault="00440710" w:rsidP="00440710">
      <w:pPr>
        <w:spacing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0C456A" w:rsidRPr="00440710">
        <w:rPr>
          <w:rFonts w:ascii="Arial" w:hAnsi="Arial" w:cs="Arial"/>
          <w:sz w:val="24"/>
          <w:szCs w:val="24"/>
        </w:rPr>
        <w:t xml:space="preserve">Even if there had been reasonable grounds for Sgt Tuswa’s suspicion, </w:t>
      </w:r>
      <w:r w:rsidR="00994CB2" w:rsidRPr="00440710">
        <w:rPr>
          <w:rFonts w:ascii="Arial" w:hAnsi="Arial" w:cs="Arial"/>
          <w:sz w:val="24"/>
          <w:szCs w:val="24"/>
        </w:rPr>
        <w:t xml:space="preserve">the question arises whether he correctly exercised his discretion in arresting the plaintiff. </w:t>
      </w:r>
      <w:r w:rsidR="00994CB2" w:rsidRPr="00440710">
        <w:rPr>
          <w:rFonts w:ascii="Arial" w:hAnsi="Arial" w:cs="Arial"/>
          <w:i/>
          <w:iCs/>
          <w:sz w:val="24"/>
          <w:szCs w:val="24"/>
        </w:rPr>
        <w:t>Sekhoto</w:t>
      </w:r>
      <w:r w:rsidR="00994CB2" w:rsidRPr="00440710">
        <w:rPr>
          <w:rFonts w:ascii="Arial" w:hAnsi="Arial" w:cs="Arial"/>
          <w:sz w:val="24"/>
          <w:szCs w:val="24"/>
        </w:rPr>
        <w:t xml:space="preserve"> is authority for the principle that a decision in that regard must be rational. The officer’s </w:t>
      </w:r>
      <w:r w:rsidR="005A2E99" w:rsidRPr="00440710">
        <w:rPr>
          <w:rFonts w:ascii="Arial" w:hAnsi="Arial" w:cs="Arial"/>
          <w:sz w:val="24"/>
          <w:szCs w:val="24"/>
        </w:rPr>
        <w:t>explanation</w:t>
      </w:r>
      <w:r w:rsidR="007C4D36" w:rsidRPr="00440710">
        <w:rPr>
          <w:rFonts w:ascii="Arial" w:hAnsi="Arial" w:cs="Arial"/>
          <w:sz w:val="24"/>
          <w:szCs w:val="24"/>
        </w:rPr>
        <w:t xml:space="preserve"> </w:t>
      </w:r>
      <w:r w:rsidR="00994CB2" w:rsidRPr="00440710">
        <w:rPr>
          <w:rFonts w:ascii="Arial" w:hAnsi="Arial" w:cs="Arial"/>
          <w:sz w:val="24"/>
          <w:szCs w:val="24"/>
        </w:rPr>
        <w:t xml:space="preserve">for the arrest of the plaintiff and others </w:t>
      </w:r>
      <w:r w:rsidR="007C4D36" w:rsidRPr="00440710">
        <w:rPr>
          <w:rFonts w:ascii="Arial" w:hAnsi="Arial" w:cs="Arial"/>
          <w:sz w:val="24"/>
          <w:szCs w:val="24"/>
        </w:rPr>
        <w:t xml:space="preserve">in the present matter </w:t>
      </w:r>
      <w:r w:rsidR="00994CB2" w:rsidRPr="00440710">
        <w:rPr>
          <w:rFonts w:ascii="Arial" w:hAnsi="Arial" w:cs="Arial"/>
          <w:sz w:val="24"/>
          <w:szCs w:val="24"/>
        </w:rPr>
        <w:t xml:space="preserve">was that he distrusted them after two foreign nationals, identified with the </w:t>
      </w:r>
      <w:r w:rsidR="007C4D36" w:rsidRPr="00440710">
        <w:rPr>
          <w:rFonts w:ascii="Arial" w:hAnsi="Arial" w:cs="Arial"/>
          <w:sz w:val="24"/>
          <w:szCs w:val="24"/>
        </w:rPr>
        <w:t xml:space="preserve">remaining </w:t>
      </w:r>
      <w:r w:rsidR="00994CB2" w:rsidRPr="00440710">
        <w:rPr>
          <w:rFonts w:ascii="Arial" w:hAnsi="Arial" w:cs="Arial"/>
          <w:sz w:val="24"/>
          <w:szCs w:val="24"/>
        </w:rPr>
        <w:t>suspects</w:t>
      </w:r>
      <w:r w:rsidR="007C4D36" w:rsidRPr="00440710">
        <w:rPr>
          <w:rFonts w:ascii="Arial" w:hAnsi="Arial" w:cs="Arial"/>
          <w:sz w:val="24"/>
          <w:szCs w:val="24"/>
        </w:rPr>
        <w:t xml:space="preserve">, succeeded in escaping through a toilet window. There was simply no suggestion, however, that the plaintiff would have attempted to do the same. Sgt Tuswa failed to investigate the plaintiff’s circumstances, including his address and the nature of his employment, which was permanent. It is probable that, faced with Mr Marshall’s allegations and </w:t>
      </w:r>
      <w:r w:rsidR="00560BEE" w:rsidRPr="00440710">
        <w:rPr>
          <w:rFonts w:ascii="Arial" w:hAnsi="Arial" w:cs="Arial"/>
          <w:sz w:val="24"/>
          <w:szCs w:val="24"/>
        </w:rPr>
        <w:t xml:space="preserve">his </w:t>
      </w:r>
      <w:r w:rsidR="007C4D36" w:rsidRPr="00440710">
        <w:rPr>
          <w:rFonts w:ascii="Arial" w:hAnsi="Arial" w:cs="Arial"/>
          <w:sz w:val="24"/>
          <w:szCs w:val="24"/>
        </w:rPr>
        <w:t xml:space="preserve">identification and isolation of the suspects as a </w:t>
      </w:r>
      <w:r w:rsidR="007C4D36" w:rsidRPr="00440710">
        <w:rPr>
          <w:rFonts w:ascii="Arial" w:hAnsi="Arial" w:cs="Arial"/>
          <w:i/>
          <w:iCs/>
          <w:sz w:val="24"/>
          <w:szCs w:val="24"/>
        </w:rPr>
        <w:t>fait accompli</w:t>
      </w:r>
      <w:r w:rsidR="007C4D36" w:rsidRPr="00440710">
        <w:rPr>
          <w:rFonts w:ascii="Arial" w:hAnsi="Arial" w:cs="Arial"/>
          <w:sz w:val="24"/>
          <w:szCs w:val="24"/>
        </w:rPr>
        <w:t>, the concessions made by some of them that they had been in the wrong, and the escape as already described, the officer succumbed to pressure and indiscrim</w:t>
      </w:r>
      <w:r w:rsidR="00560BEE" w:rsidRPr="00440710">
        <w:rPr>
          <w:rFonts w:ascii="Arial" w:hAnsi="Arial" w:cs="Arial"/>
          <w:sz w:val="24"/>
          <w:szCs w:val="24"/>
        </w:rPr>
        <w:t xml:space="preserve">inately placed them all under arrest. </w:t>
      </w:r>
      <w:r w:rsidR="0045510B" w:rsidRPr="00440710">
        <w:rPr>
          <w:rFonts w:ascii="Arial" w:hAnsi="Arial" w:cs="Arial"/>
          <w:sz w:val="24"/>
          <w:szCs w:val="24"/>
        </w:rPr>
        <w:t xml:space="preserve">As counsel for the plaintiff </w:t>
      </w:r>
      <w:r w:rsidR="005A77BA" w:rsidRPr="00440710">
        <w:rPr>
          <w:rFonts w:ascii="Arial" w:hAnsi="Arial" w:cs="Arial"/>
          <w:sz w:val="24"/>
          <w:szCs w:val="24"/>
        </w:rPr>
        <w:t xml:space="preserve">vividly </w:t>
      </w:r>
      <w:r w:rsidR="0045510B" w:rsidRPr="00440710">
        <w:rPr>
          <w:rFonts w:ascii="Arial" w:hAnsi="Arial" w:cs="Arial"/>
          <w:sz w:val="24"/>
          <w:szCs w:val="24"/>
        </w:rPr>
        <w:t>argued, Sgt Tuswa scooped everyone into the same net.</w:t>
      </w:r>
    </w:p>
    <w:p w14:paraId="5C2FDAE2" w14:textId="77777777" w:rsidR="00160441" w:rsidRDefault="00160441" w:rsidP="00160441">
      <w:pPr>
        <w:pStyle w:val="ListParagraph"/>
        <w:spacing w:line="360" w:lineRule="auto"/>
        <w:ind w:left="0"/>
        <w:jc w:val="both"/>
        <w:rPr>
          <w:rFonts w:ascii="Arial" w:hAnsi="Arial" w:cs="Arial"/>
          <w:sz w:val="24"/>
          <w:szCs w:val="24"/>
        </w:rPr>
      </w:pPr>
    </w:p>
    <w:p w14:paraId="341DD0E5" w14:textId="6E7AAC9B" w:rsidR="00EF68DD" w:rsidRPr="00440710" w:rsidRDefault="00440710" w:rsidP="00440710">
      <w:pPr>
        <w:spacing w:line="360" w:lineRule="auto"/>
        <w:jc w:val="both"/>
        <w:rPr>
          <w:rFonts w:ascii="Arial" w:hAnsi="Arial" w:cs="Arial"/>
          <w:sz w:val="24"/>
          <w:szCs w:val="24"/>
        </w:rPr>
      </w:pPr>
      <w:r w:rsidRPr="00160441">
        <w:rPr>
          <w:rFonts w:ascii="Arial" w:hAnsi="Arial" w:cs="Arial"/>
          <w:sz w:val="24"/>
          <w:szCs w:val="24"/>
        </w:rPr>
        <w:t>[44]</w:t>
      </w:r>
      <w:r w:rsidRPr="00160441">
        <w:rPr>
          <w:rFonts w:ascii="Arial" w:hAnsi="Arial" w:cs="Arial"/>
          <w:sz w:val="24"/>
          <w:szCs w:val="24"/>
        </w:rPr>
        <w:tab/>
      </w:r>
      <w:r w:rsidR="00EF68DD" w:rsidRPr="00440710">
        <w:rPr>
          <w:rFonts w:ascii="Arial" w:hAnsi="Arial" w:cs="Arial"/>
          <w:sz w:val="24"/>
          <w:szCs w:val="24"/>
        </w:rPr>
        <w:t xml:space="preserve">There was no </w:t>
      </w:r>
      <w:r w:rsidR="00560BEE" w:rsidRPr="00440710">
        <w:rPr>
          <w:rFonts w:ascii="Arial" w:hAnsi="Arial" w:cs="Arial"/>
          <w:sz w:val="24"/>
          <w:szCs w:val="24"/>
        </w:rPr>
        <w:t>indication that the plaintiff would not cooperate with the authorities and stand trial</w:t>
      </w:r>
      <w:r w:rsidR="00EF68DD" w:rsidRPr="00440710">
        <w:rPr>
          <w:rFonts w:ascii="Arial" w:hAnsi="Arial" w:cs="Arial"/>
          <w:sz w:val="24"/>
          <w:szCs w:val="24"/>
        </w:rPr>
        <w:t>. I</w:t>
      </w:r>
      <w:r w:rsidR="00560BEE" w:rsidRPr="00440710">
        <w:rPr>
          <w:rFonts w:ascii="Arial" w:hAnsi="Arial" w:cs="Arial"/>
          <w:sz w:val="24"/>
          <w:szCs w:val="24"/>
        </w:rPr>
        <w:t>t cannot be said</w:t>
      </w:r>
      <w:r w:rsidR="00EF68DD" w:rsidRPr="00440710">
        <w:rPr>
          <w:rFonts w:ascii="Arial" w:hAnsi="Arial" w:cs="Arial"/>
          <w:sz w:val="24"/>
          <w:szCs w:val="24"/>
        </w:rPr>
        <w:t>, in the circumstances,</w:t>
      </w:r>
      <w:r w:rsidR="00560BEE" w:rsidRPr="00440710">
        <w:rPr>
          <w:rFonts w:ascii="Arial" w:hAnsi="Arial" w:cs="Arial"/>
          <w:sz w:val="24"/>
          <w:szCs w:val="24"/>
        </w:rPr>
        <w:t xml:space="preserve"> that Sgt Tuswa’s decision </w:t>
      </w:r>
      <w:r w:rsidR="00EF68DD" w:rsidRPr="00440710">
        <w:rPr>
          <w:rFonts w:ascii="Arial" w:hAnsi="Arial" w:cs="Arial"/>
          <w:sz w:val="24"/>
          <w:szCs w:val="24"/>
        </w:rPr>
        <w:t xml:space="preserve">to arrest </w:t>
      </w:r>
      <w:r w:rsidR="00560BEE" w:rsidRPr="00440710">
        <w:rPr>
          <w:rFonts w:ascii="Arial" w:hAnsi="Arial" w:cs="Arial"/>
          <w:sz w:val="24"/>
          <w:szCs w:val="24"/>
        </w:rPr>
        <w:t xml:space="preserve">was rational </w:t>
      </w:r>
      <w:r w:rsidR="00EF68DD" w:rsidRPr="00440710">
        <w:rPr>
          <w:rFonts w:ascii="Arial" w:hAnsi="Arial" w:cs="Arial"/>
          <w:sz w:val="24"/>
          <w:szCs w:val="24"/>
        </w:rPr>
        <w:t>and</w:t>
      </w:r>
      <w:r w:rsidR="00560BEE" w:rsidRPr="00440710">
        <w:rPr>
          <w:rFonts w:ascii="Arial" w:hAnsi="Arial" w:cs="Arial"/>
          <w:sz w:val="24"/>
          <w:szCs w:val="24"/>
        </w:rPr>
        <w:t xml:space="preserve"> that the </w:t>
      </w:r>
      <w:r w:rsidR="00EF68DD" w:rsidRPr="00440710">
        <w:rPr>
          <w:rFonts w:ascii="Arial" w:hAnsi="Arial" w:cs="Arial"/>
          <w:sz w:val="24"/>
          <w:szCs w:val="24"/>
        </w:rPr>
        <w:t>con</w:t>
      </w:r>
      <w:r w:rsidR="00560BEE" w:rsidRPr="00440710">
        <w:rPr>
          <w:rFonts w:ascii="Arial" w:hAnsi="Arial" w:cs="Arial"/>
          <w:sz w:val="24"/>
          <w:szCs w:val="24"/>
        </w:rPr>
        <w:t xml:space="preserve">sequent detention </w:t>
      </w:r>
      <w:r w:rsidR="00EF68DD" w:rsidRPr="00440710">
        <w:rPr>
          <w:rFonts w:ascii="Arial" w:hAnsi="Arial" w:cs="Arial"/>
          <w:sz w:val="24"/>
          <w:szCs w:val="24"/>
        </w:rPr>
        <w:t xml:space="preserve">of the plaintiff </w:t>
      </w:r>
      <w:r w:rsidR="00560BEE" w:rsidRPr="00440710">
        <w:rPr>
          <w:rFonts w:ascii="Arial" w:hAnsi="Arial" w:cs="Arial"/>
          <w:sz w:val="24"/>
          <w:szCs w:val="24"/>
        </w:rPr>
        <w:t>was lawful.</w:t>
      </w:r>
      <w:r w:rsidR="00EF68DD" w:rsidRPr="00440710">
        <w:rPr>
          <w:rFonts w:ascii="Arial" w:hAnsi="Arial" w:cs="Arial"/>
          <w:sz w:val="24"/>
          <w:szCs w:val="24"/>
        </w:rPr>
        <w:t xml:space="preserve"> </w:t>
      </w:r>
      <w:r w:rsidR="00560BEE" w:rsidRPr="00440710">
        <w:rPr>
          <w:rFonts w:ascii="Arial" w:hAnsi="Arial" w:cs="Arial"/>
          <w:sz w:val="24"/>
          <w:szCs w:val="24"/>
        </w:rPr>
        <w:t>Consequently, the court finds that the defendant’s reliance on section 40(1)(b) of the CPA is unsuccessful</w:t>
      </w:r>
      <w:r w:rsidR="00EF68DD" w:rsidRPr="00440710">
        <w:rPr>
          <w:rFonts w:ascii="Arial" w:hAnsi="Arial" w:cs="Arial"/>
          <w:sz w:val="24"/>
          <w:szCs w:val="24"/>
        </w:rPr>
        <w:t>. It is necessary, at this stage to consider the quantum to be awarded.</w:t>
      </w:r>
    </w:p>
    <w:p w14:paraId="45391543" w14:textId="77777777" w:rsidR="00EF68DD" w:rsidRDefault="00EF68DD" w:rsidP="001A491F">
      <w:pPr>
        <w:spacing w:line="360" w:lineRule="auto"/>
        <w:jc w:val="both"/>
        <w:rPr>
          <w:rFonts w:ascii="Arial" w:hAnsi="Arial" w:cs="Arial"/>
          <w:sz w:val="24"/>
          <w:szCs w:val="24"/>
        </w:rPr>
      </w:pPr>
    </w:p>
    <w:p w14:paraId="6E5DEAD2" w14:textId="77777777" w:rsidR="00EF68DD" w:rsidRPr="00EF68DD" w:rsidRDefault="00EF68DD" w:rsidP="001A491F">
      <w:pPr>
        <w:spacing w:line="360" w:lineRule="auto"/>
        <w:jc w:val="both"/>
        <w:rPr>
          <w:rFonts w:ascii="Arial" w:hAnsi="Arial" w:cs="Arial"/>
          <w:b/>
          <w:bCs/>
          <w:sz w:val="24"/>
          <w:szCs w:val="24"/>
        </w:rPr>
      </w:pPr>
      <w:r w:rsidRPr="00EF68DD">
        <w:rPr>
          <w:rFonts w:ascii="Arial" w:hAnsi="Arial" w:cs="Arial"/>
          <w:b/>
          <w:bCs/>
          <w:sz w:val="24"/>
          <w:szCs w:val="24"/>
        </w:rPr>
        <w:t>Quantum of damages</w:t>
      </w:r>
    </w:p>
    <w:p w14:paraId="74C795B9" w14:textId="77777777" w:rsidR="002E00DD" w:rsidRDefault="002E00DD" w:rsidP="001A491F">
      <w:pPr>
        <w:jc w:val="both"/>
        <w:rPr>
          <w:rFonts w:ascii="Arial" w:hAnsi="Arial" w:cs="Arial"/>
          <w:sz w:val="24"/>
          <w:szCs w:val="24"/>
        </w:rPr>
      </w:pPr>
    </w:p>
    <w:p w14:paraId="2170739A" w14:textId="0ECCE826" w:rsidR="00EF68DD" w:rsidRPr="00440710" w:rsidRDefault="00440710" w:rsidP="00440710">
      <w:pPr>
        <w:spacing w:line="360" w:lineRule="auto"/>
        <w:jc w:val="both"/>
        <w:rPr>
          <w:rFonts w:ascii="Arial" w:hAnsi="Arial" w:cs="Arial"/>
          <w:sz w:val="24"/>
          <w:szCs w:val="24"/>
        </w:rPr>
      </w:pPr>
      <w:r w:rsidRPr="00160441">
        <w:rPr>
          <w:rFonts w:ascii="Arial" w:hAnsi="Arial" w:cs="Arial"/>
          <w:sz w:val="24"/>
          <w:szCs w:val="24"/>
        </w:rPr>
        <w:t>[45]</w:t>
      </w:r>
      <w:r w:rsidRPr="00160441">
        <w:rPr>
          <w:rFonts w:ascii="Arial" w:hAnsi="Arial" w:cs="Arial"/>
          <w:sz w:val="24"/>
          <w:szCs w:val="24"/>
        </w:rPr>
        <w:tab/>
      </w:r>
      <w:r w:rsidR="002E00DD" w:rsidRPr="00440710">
        <w:rPr>
          <w:rFonts w:ascii="Arial" w:hAnsi="Arial" w:cs="Arial"/>
          <w:sz w:val="24"/>
          <w:szCs w:val="24"/>
        </w:rPr>
        <w:t xml:space="preserve">From the case law, no clear methodology emerges regarding </w:t>
      </w:r>
      <w:r w:rsidR="00EF68DD" w:rsidRPr="00440710">
        <w:rPr>
          <w:rFonts w:ascii="Arial" w:hAnsi="Arial" w:cs="Arial"/>
          <w:sz w:val="24"/>
          <w:szCs w:val="24"/>
        </w:rPr>
        <w:t xml:space="preserve">the </w:t>
      </w:r>
      <w:r w:rsidR="002E00DD" w:rsidRPr="00440710">
        <w:rPr>
          <w:rFonts w:ascii="Arial" w:hAnsi="Arial" w:cs="Arial"/>
          <w:sz w:val="24"/>
          <w:szCs w:val="24"/>
        </w:rPr>
        <w:t xml:space="preserve">determination of </w:t>
      </w:r>
      <w:r w:rsidR="00EF68DD" w:rsidRPr="00440710">
        <w:rPr>
          <w:rFonts w:ascii="Arial" w:hAnsi="Arial" w:cs="Arial"/>
          <w:sz w:val="24"/>
          <w:szCs w:val="24"/>
        </w:rPr>
        <w:t xml:space="preserve">quantum. In </w:t>
      </w:r>
      <w:r w:rsidR="00EF68DD" w:rsidRPr="00440710">
        <w:rPr>
          <w:rFonts w:ascii="Arial" w:hAnsi="Arial" w:cs="Arial"/>
          <w:i/>
          <w:iCs/>
          <w:sz w:val="24"/>
          <w:szCs w:val="24"/>
        </w:rPr>
        <w:t>Madze v Minister of Police</w:t>
      </w:r>
      <w:r w:rsidR="00EF68DD" w:rsidRPr="00440710">
        <w:rPr>
          <w:rFonts w:ascii="Arial" w:hAnsi="Arial" w:cs="Arial"/>
          <w:sz w:val="24"/>
          <w:szCs w:val="24"/>
        </w:rPr>
        <w:t>,</w:t>
      </w:r>
      <w:r w:rsidR="00EF68DD" w:rsidRPr="00EF68DD">
        <w:rPr>
          <w:vertAlign w:val="superscript"/>
        </w:rPr>
        <w:footnoteReference w:id="21"/>
      </w:r>
      <w:r w:rsidR="00EF68DD" w:rsidRPr="00440710">
        <w:rPr>
          <w:rFonts w:ascii="Arial" w:hAnsi="Arial" w:cs="Arial"/>
          <w:sz w:val="24"/>
          <w:szCs w:val="24"/>
        </w:rPr>
        <w:t xml:space="preserve"> Plasket J remarked:</w:t>
      </w:r>
    </w:p>
    <w:p w14:paraId="720F9B4E" w14:textId="77777777" w:rsidR="00EF68DD" w:rsidRPr="00EF68DD" w:rsidRDefault="00EF68DD" w:rsidP="001A491F">
      <w:pPr>
        <w:spacing w:line="360" w:lineRule="auto"/>
        <w:ind w:left="720"/>
        <w:jc w:val="both"/>
        <w:rPr>
          <w:rFonts w:ascii="Arial" w:hAnsi="Arial" w:cs="Arial"/>
        </w:rPr>
      </w:pPr>
      <w:r w:rsidRPr="00EF68DD">
        <w:rPr>
          <w:rFonts w:ascii="Arial" w:hAnsi="Arial" w:cs="Arial"/>
        </w:rPr>
        <w:lastRenderedPageBreak/>
        <w:t>‘…I have given consideration to comparable cases but they are very much dependant on their own facts and usually are influenced by the conditions that the detainee experienced and their effects on him or her. Even so, the cases vary from awards that appear on the generous side to those that appear to be parsimonious.’</w:t>
      </w:r>
      <w:r w:rsidRPr="00EF68DD">
        <w:rPr>
          <w:rFonts w:ascii="Arial" w:hAnsi="Arial" w:cs="Arial"/>
          <w:vertAlign w:val="superscript"/>
        </w:rPr>
        <w:footnoteReference w:id="22"/>
      </w:r>
    </w:p>
    <w:p w14:paraId="46AF8D3E" w14:textId="77777777" w:rsidR="001678D5" w:rsidRDefault="001678D5" w:rsidP="001A491F">
      <w:pPr>
        <w:spacing w:line="360" w:lineRule="auto"/>
        <w:jc w:val="both"/>
        <w:rPr>
          <w:rFonts w:ascii="Arial" w:hAnsi="Arial" w:cs="Arial"/>
          <w:sz w:val="24"/>
          <w:szCs w:val="24"/>
        </w:rPr>
      </w:pPr>
    </w:p>
    <w:p w14:paraId="1ABEC653" w14:textId="29BBD48E" w:rsidR="00767DAB" w:rsidRPr="00440710" w:rsidRDefault="00440710" w:rsidP="00440710">
      <w:pPr>
        <w:spacing w:line="360" w:lineRule="auto"/>
        <w:jc w:val="both"/>
        <w:rPr>
          <w:rFonts w:ascii="Arial" w:hAnsi="Arial" w:cs="Arial"/>
          <w:sz w:val="24"/>
          <w:szCs w:val="24"/>
        </w:rPr>
      </w:pPr>
      <w:r w:rsidRPr="00160441">
        <w:rPr>
          <w:rFonts w:ascii="Arial" w:hAnsi="Arial" w:cs="Arial"/>
          <w:sz w:val="24"/>
          <w:szCs w:val="24"/>
        </w:rPr>
        <w:t>[46]</w:t>
      </w:r>
      <w:r w:rsidRPr="00160441">
        <w:rPr>
          <w:rFonts w:ascii="Arial" w:hAnsi="Arial" w:cs="Arial"/>
          <w:sz w:val="24"/>
          <w:szCs w:val="24"/>
        </w:rPr>
        <w:tab/>
      </w:r>
      <w:r w:rsidR="006468FF" w:rsidRPr="00440710">
        <w:rPr>
          <w:rFonts w:ascii="Arial" w:hAnsi="Arial" w:cs="Arial"/>
          <w:sz w:val="24"/>
          <w:szCs w:val="24"/>
        </w:rPr>
        <w:t xml:space="preserve">Generally, a court’s determination of the award is made </w:t>
      </w:r>
      <w:r w:rsidR="006468FF" w:rsidRPr="00440710">
        <w:rPr>
          <w:rFonts w:ascii="Arial" w:hAnsi="Arial" w:cs="Arial"/>
          <w:i/>
          <w:iCs/>
          <w:sz w:val="24"/>
          <w:szCs w:val="24"/>
        </w:rPr>
        <w:t>ex aequo et bono</w:t>
      </w:r>
      <w:r w:rsidR="006468FF" w:rsidRPr="00440710">
        <w:rPr>
          <w:rFonts w:ascii="Arial" w:hAnsi="Arial" w:cs="Arial"/>
          <w:sz w:val="24"/>
          <w:szCs w:val="24"/>
        </w:rPr>
        <w:t xml:space="preserve">. In that regard, </w:t>
      </w:r>
      <w:r w:rsidR="00767DAB" w:rsidRPr="00440710">
        <w:rPr>
          <w:rFonts w:ascii="Arial" w:hAnsi="Arial" w:cs="Arial"/>
          <w:sz w:val="24"/>
          <w:szCs w:val="24"/>
        </w:rPr>
        <w:t>Dendy</w:t>
      </w:r>
      <w:r w:rsidR="006468FF" w:rsidRPr="00440710">
        <w:rPr>
          <w:rFonts w:ascii="Arial" w:hAnsi="Arial" w:cs="Arial"/>
          <w:sz w:val="24"/>
          <w:szCs w:val="24"/>
        </w:rPr>
        <w:t xml:space="preserve"> observes:</w:t>
      </w:r>
    </w:p>
    <w:p w14:paraId="101F8774" w14:textId="3506AC06" w:rsidR="006468FF" w:rsidRPr="00D75AF9" w:rsidRDefault="006468FF" w:rsidP="001A491F">
      <w:pPr>
        <w:spacing w:line="360" w:lineRule="auto"/>
        <w:ind w:left="720"/>
        <w:jc w:val="both"/>
        <w:rPr>
          <w:rFonts w:ascii="Arial" w:hAnsi="Arial" w:cs="Arial"/>
        </w:rPr>
      </w:pPr>
      <w:r w:rsidRPr="00D75AF9">
        <w:rPr>
          <w:rFonts w:ascii="Arial" w:hAnsi="Arial" w:cs="Arial"/>
        </w:rPr>
        <w:t xml:space="preserve">‘The court must avoid, on the one hand, sending out a message that there are large sums of money to be made out of the mistakes which may be made by state officials, but on the other hand, the amount should not be derisory, showing contempt or indifference to the </w:t>
      </w:r>
      <w:r w:rsidR="00465268" w:rsidRPr="00D75AF9">
        <w:rPr>
          <w:rFonts w:ascii="Arial" w:hAnsi="Arial" w:cs="Arial"/>
        </w:rPr>
        <w:t xml:space="preserve">loss of freedom. Factors that can play a role are the circumstances under which the deprivation of liberty took place; the presence or absence of improper motive or “malice” on the part of the defendant; the harsh conduct of the defendants; the duration and nature (for example, solitary confinement) of the deprivation of liberty; the status or standing of the plaintiff; the extent of the publicity given to the deprivation of liberty; the presence or absence of an apology or satisfactory explanation of the events by the defendant; awards in previous comparable cases; the fact that, in addition to physical freedom, other personality interests such as honour and good name have been infringed; the high value of the right to physical liberty; and (it has been held, though subject to academic criticism) the fact that the </w:t>
      </w:r>
      <w:r w:rsidR="00465268" w:rsidRPr="00D75AF9">
        <w:rPr>
          <w:rFonts w:ascii="Arial" w:hAnsi="Arial" w:cs="Arial"/>
          <w:i/>
          <w:iCs/>
        </w:rPr>
        <w:t>actio iniuriarum</w:t>
      </w:r>
      <w:r w:rsidR="00465268" w:rsidRPr="00D75AF9">
        <w:rPr>
          <w:rFonts w:ascii="Arial" w:hAnsi="Arial" w:cs="Arial"/>
        </w:rPr>
        <w:t xml:space="preserve"> also has a punitive function.’</w:t>
      </w:r>
      <w:r w:rsidR="00465268" w:rsidRPr="00D75AF9">
        <w:rPr>
          <w:rStyle w:val="FootnoteReference"/>
          <w:rFonts w:ascii="Arial" w:hAnsi="Arial" w:cs="Arial"/>
        </w:rPr>
        <w:footnoteReference w:id="23"/>
      </w:r>
    </w:p>
    <w:p w14:paraId="7D09BD76" w14:textId="77777777" w:rsidR="00D75AF9" w:rsidRDefault="00D75AF9" w:rsidP="001A491F">
      <w:pPr>
        <w:spacing w:line="360" w:lineRule="auto"/>
        <w:jc w:val="both"/>
        <w:rPr>
          <w:rFonts w:ascii="Arial" w:hAnsi="Arial" w:cs="Arial"/>
          <w:sz w:val="24"/>
          <w:szCs w:val="24"/>
        </w:rPr>
      </w:pPr>
    </w:p>
    <w:p w14:paraId="1D27FD33" w14:textId="2402204B" w:rsidR="00160441" w:rsidRPr="00440710" w:rsidRDefault="00440710" w:rsidP="00440710">
      <w:pPr>
        <w:spacing w:line="36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D75AF9" w:rsidRPr="00440710">
        <w:rPr>
          <w:rFonts w:ascii="Arial" w:hAnsi="Arial" w:cs="Arial"/>
          <w:sz w:val="24"/>
          <w:szCs w:val="24"/>
        </w:rPr>
        <w:t xml:space="preserve">In the present matter, </w:t>
      </w:r>
      <w:r w:rsidR="001765BA" w:rsidRPr="00440710">
        <w:rPr>
          <w:rFonts w:ascii="Arial" w:hAnsi="Arial" w:cs="Arial"/>
          <w:sz w:val="24"/>
          <w:szCs w:val="24"/>
        </w:rPr>
        <w:t xml:space="preserve">there was no evidence that the plaintiff was a particularly well-known or influential member of his community. He was an ordinary worker at a Steers restaurant, responsible for food preparation in the kitchen. </w:t>
      </w:r>
      <w:r w:rsidR="00E53956" w:rsidRPr="00440710">
        <w:rPr>
          <w:rFonts w:ascii="Arial" w:hAnsi="Arial" w:cs="Arial"/>
          <w:sz w:val="24"/>
          <w:szCs w:val="24"/>
        </w:rPr>
        <w:t xml:space="preserve">There was no evidence that the conduct of either Sgt Tuswa or his colleague </w:t>
      </w:r>
      <w:r w:rsidR="005A2E99" w:rsidRPr="00440710">
        <w:rPr>
          <w:rFonts w:ascii="Arial" w:hAnsi="Arial" w:cs="Arial"/>
          <w:sz w:val="24"/>
          <w:szCs w:val="24"/>
        </w:rPr>
        <w:t xml:space="preserve">was </w:t>
      </w:r>
      <w:r w:rsidR="00E53956" w:rsidRPr="00440710">
        <w:rPr>
          <w:rFonts w:ascii="Arial" w:hAnsi="Arial" w:cs="Arial"/>
          <w:sz w:val="24"/>
          <w:szCs w:val="24"/>
        </w:rPr>
        <w:t xml:space="preserve">particularly harsh or aggressive at the time of the plaintiff’s arrest. The same could also be said of the personnel at the Cambridge police station, who appeared to have acted indifferently more than anything else. </w:t>
      </w:r>
    </w:p>
    <w:p w14:paraId="3F4952B6" w14:textId="6C18432F" w:rsidR="00160441" w:rsidRPr="00440710" w:rsidRDefault="00440710" w:rsidP="00440710">
      <w:pPr>
        <w:spacing w:line="360" w:lineRule="auto"/>
        <w:jc w:val="both"/>
        <w:rPr>
          <w:rFonts w:ascii="Arial" w:hAnsi="Arial" w:cs="Arial"/>
          <w:sz w:val="24"/>
          <w:szCs w:val="24"/>
        </w:rPr>
      </w:pPr>
      <w:r>
        <w:rPr>
          <w:rFonts w:ascii="Arial" w:hAnsi="Arial" w:cs="Arial"/>
          <w:sz w:val="24"/>
          <w:szCs w:val="24"/>
        </w:rPr>
        <w:lastRenderedPageBreak/>
        <w:t>[48]</w:t>
      </w:r>
      <w:r>
        <w:rPr>
          <w:rFonts w:ascii="Arial" w:hAnsi="Arial" w:cs="Arial"/>
          <w:sz w:val="24"/>
          <w:szCs w:val="24"/>
        </w:rPr>
        <w:tab/>
      </w:r>
      <w:r w:rsidR="001765BA" w:rsidRPr="00440710">
        <w:rPr>
          <w:rFonts w:ascii="Arial" w:hAnsi="Arial" w:cs="Arial"/>
          <w:sz w:val="24"/>
          <w:szCs w:val="24"/>
        </w:rPr>
        <w:t>I</w:t>
      </w:r>
      <w:r w:rsidR="00D75AF9" w:rsidRPr="00440710">
        <w:rPr>
          <w:rFonts w:ascii="Arial" w:hAnsi="Arial" w:cs="Arial"/>
          <w:sz w:val="24"/>
          <w:szCs w:val="24"/>
        </w:rPr>
        <w:t>t was</w:t>
      </w:r>
      <w:r w:rsidR="001765BA" w:rsidRPr="00440710">
        <w:rPr>
          <w:rFonts w:ascii="Arial" w:hAnsi="Arial" w:cs="Arial"/>
          <w:sz w:val="24"/>
          <w:szCs w:val="24"/>
        </w:rPr>
        <w:t>, however,</w:t>
      </w:r>
      <w:r w:rsidR="00D75AF9" w:rsidRPr="00440710">
        <w:rPr>
          <w:rFonts w:ascii="Arial" w:hAnsi="Arial" w:cs="Arial"/>
          <w:sz w:val="24"/>
          <w:szCs w:val="24"/>
        </w:rPr>
        <w:t xml:space="preserve"> undisputed that</w:t>
      </w:r>
      <w:r w:rsidR="001765BA" w:rsidRPr="00440710">
        <w:rPr>
          <w:rFonts w:ascii="Arial" w:hAnsi="Arial" w:cs="Arial"/>
          <w:sz w:val="24"/>
          <w:szCs w:val="24"/>
        </w:rPr>
        <w:t>,</w:t>
      </w:r>
      <w:r w:rsidR="00D75AF9" w:rsidRPr="00440710">
        <w:rPr>
          <w:rFonts w:ascii="Arial" w:hAnsi="Arial" w:cs="Arial"/>
          <w:sz w:val="24"/>
          <w:szCs w:val="24"/>
        </w:rPr>
        <w:t xml:space="preserve"> </w:t>
      </w:r>
      <w:r w:rsidR="001765BA" w:rsidRPr="00440710">
        <w:rPr>
          <w:rFonts w:ascii="Arial" w:hAnsi="Arial" w:cs="Arial"/>
          <w:sz w:val="24"/>
          <w:szCs w:val="24"/>
        </w:rPr>
        <w:t xml:space="preserve">on the day in question, </w:t>
      </w:r>
      <w:r w:rsidR="00D75AF9" w:rsidRPr="00440710">
        <w:rPr>
          <w:rFonts w:ascii="Arial" w:hAnsi="Arial" w:cs="Arial"/>
          <w:sz w:val="24"/>
          <w:szCs w:val="24"/>
        </w:rPr>
        <w:t xml:space="preserve">the plaintiff </w:t>
      </w:r>
      <w:r w:rsidR="005A2E99" w:rsidRPr="00440710">
        <w:rPr>
          <w:rFonts w:ascii="Arial" w:hAnsi="Arial" w:cs="Arial"/>
          <w:sz w:val="24"/>
          <w:szCs w:val="24"/>
        </w:rPr>
        <w:t>was</w:t>
      </w:r>
      <w:r w:rsidR="00D75AF9" w:rsidRPr="00440710">
        <w:rPr>
          <w:rFonts w:ascii="Arial" w:hAnsi="Arial" w:cs="Arial"/>
          <w:sz w:val="24"/>
          <w:szCs w:val="24"/>
        </w:rPr>
        <w:t xml:space="preserve"> placed to one side of the restaurant with the remaining suspects, after which he was </w:t>
      </w:r>
      <w:r w:rsidR="00763A2A" w:rsidRPr="00440710">
        <w:rPr>
          <w:rFonts w:ascii="Arial" w:hAnsi="Arial" w:cs="Arial"/>
          <w:sz w:val="24"/>
          <w:szCs w:val="24"/>
        </w:rPr>
        <w:t>arrest</w:t>
      </w:r>
      <w:r w:rsidR="00D75AF9" w:rsidRPr="00440710">
        <w:rPr>
          <w:rFonts w:ascii="Arial" w:hAnsi="Arial" w:cs="Arial"/>
          <w:sz w:val="24"/>
          <w:szCs w:val="24"/>
        </w:rPr>
        <w:t xml:space="preserve">ed and led to an awaiting police van. This was done in sight of members of the public. The plaintiff said that he was, consequently, perceived as a ‘thug’. The conditions of his detention were, as could have been expected from so many similar cases, </w:t>
      </w:r>
      <w:r w:rsidR="00BD0CA8" w:rsidRPr="00440710">
        <w:rPr>
          <w:rFonts w:ascii="Arial" w:hAnsi="Arial" w:cs="Arial"/>
          <w:sz w:val="24"/>
          <w:szCs w:val="24"/>
        </w:rPr>
        <w:t>entirely</w:t>
      </w:r>
      <w:r w:rsidR="00D75AF9" w:rsidRPr="00440710">
        <w:rPr>
          <w:rFonts w:ascii="Arial" w:hAnsi="Arial" w:cs="Arial"/>
          <w:sz w:val="24"/>
          <w:szCs w:val="24"/>
        </w:rPr>
        <w:t xml:space="preserve"> unpleasant. </w:t>
      </w:r>
      <w:r w:rsidR="00A26C3A" w:rsidRPr="00440710">
        <w:rPr>
          <w:rFonts w:ascii="Arial" w:hAnsi="Arial" w:cs="Arial"/>
          <w:sz w:val="24"/>
          <w:szCs w:val="24"/>
        </w:rPr>
        <w:t>The holding cell was cold and unsanitary; open ablution facilities merely served to undermine the privacy and dignity of a detainee. The personnel at the Cambridge police station ignored the plaintiff’s difficulties with asthma, provi</w:t>
      </w:r>
      <w:r w:rsidR="005A2E99" w:rsidRPr="00440710">
        <w:rPr>
          <w:rFonts w:ascii="Arial" w:hAnsi="Arial" w:cs="Arial"/>
          <w:sz w:val="24"/>
          <w:szCs w:val="24"/>
        </w:rPr>
        <w:t>ded</w:t>
      </w:r>
      <w:r w:rsidR="00A26C3A" w:rsidRPr="00440710">
        <w:rPr>
          <w:rFonts w:ascii="Arial" w:hAnsi="Arial" w:cs="Arial"/>
          <w:sz w:val="24"/>
          <w:szCs w:val="24"/>
        </w:rPr>
        <w:t xml:space="preserve"> him with inadequate bedding</w:t>
      </w:r>
      <w:r w:rsidR="005A2E99" w:rsidRPr="00440710">
        <w:rPr>
          <w:rFonts w:ascii="Arial" w:hAnsi="Arial" w:cs="Arial"/>
          <w:sz w:val="24"/>
          <w:szCs w:val="24"/>
        </w:rPr>
        <w:t>,</w:t>
      </w:r>
      <w:r w:rsidR="00A26C3A" w:rsidRPr="00440710">
        <w:rPr>
          <w:rFonts w:ascii="Arial" w:hAnsi="Arial" w:cs="Arial"/>
          <w:sz w:val="24"/>
          <w:szCs w:val="24"/>
        </w:rPr>
        <w:t xml:space="preserve"> and </w:t>
      </w:r>
      <w:r w:rsidR="00E53956" w:rsidRPr="00440710">
        <w:rPr>
          <w:rFonts w:ascii="Arial" w:hAnsi="Arial" w:cs="Arial"/>
          <w:sz w:val="24"/>
          <w:szCs w:val="24"/>
        </w:rPr>
        <w:t>pa</w:t>
      </w:r>
      <w:r w:rsidR="005A2E99" w:rsidRPr="00440710">
        <w:rPr>
          <w:rFonts w:ascii="Arial" w:hAnsi="Arial" w:cs="Arial"/>
          <w:sz w:val="24"/>
          <w:szCs w:val="24"/>
        </w:rPr>
        <w:t>id</w:t>
      </w:r>
      <w:r w:rsidR="00E53956" w:rsidRPr="00440710">
        <w:rPr>
          <w:rFonts w:ascii="Arial" w:hAnsi="Arial" w:cs="Arial"/>
          <w:sz w:val="24"/>
          <w:szCs w:val="24"/>
        </w:rPr>
        <w:t xml:space="preserve"> no attention to</w:t>
      </w:r>
      <w:r w:rsidR="00A26C3A" w:rsidRPr="00440710">
        <w:rPr>
          <w:rFonts w:ascii="Arial" w:hAnsi="Arial" w:cs="Arial"/>
          <w:sz w:val="24"/>
          <w:szCs w:val="24"/>
        </w:rPr>
        <w:t xml:space="preserve"> his requests for assistance. Meals were infrequent and far from nutritious.</w:t>
      </w:r>
    </w:p>
    <w:p w14:paraId="6B58063F" w14:textId="77777777" w:rsidR="00160441" w:rsidRDefault="00160441" w:rsidP="00160441">
      <w:pPr>
        <w:pStyle w:val="ListParagraph"/>
        <w:spacing w:line="360" w:lineRule="auto"/>
        <w:ind w:left="0"/>
        <w:jc w:val="both"/>
        <w:rPr>
          <w:rFonts w:ascii="Arial" w:hAnsi="Arial" w:cs="Arial"/>
          <w:sz w:val="24"/>
          <w:szCs w:val="24"/>
        </w:rPr>
      </w:pPr>
    </w:p>
    <w:p w14:paraId="5D737F64" w14:textId="647B2B94" w:rsidR="00160441" w:rsidRPr="00440710" w:rsidRDefault="00440710" w:rsidP="00440710">
      <w:pPr>
        <w:spacing w:line="36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A26C3A" w:rsidRPr="00440710">
        <w:rPr>
          <w:rFonts w:ascii="Arial" w:hAnsi="Arial" w:cs="Arial"/>
          <w:sz w:val="24"/>
          <w:szCs w:val="24"/>
        </w:rPr>
        <w:t>The plaintiff was in detention f</w:t>
      </w:r>
      <w:r w:rsidR="001765BA" w:rsidRPr="00440710">
        <w:rPr>
          <w:rFonts w:ascii="Arial" w:hAnsi="Arial" w:cs="Arial"/>
          <w:sz w:val="24"/>
          <w:szCs w:val="24"/>
        </w:rPr>
        <w:t xml:space="preserve">or slightly more than 48 hours, from approximately 11h00 on 24 April 2018 until midday on 26 April 2018. The experience affected him emotionally, </w:t>
      </w:r>
      <w:r w:rsidR="00BD0CA8" w:rsidRPr="00440710">
        <w:rPr>
          <w:rFonts w:ascii="Arial" w:hAnsi="Arial" w:cs="Arial"/>
          <w:sz w:val="24"/>
          <w:szCs w:val="24"/>
        </w:rPr>
        <w:t>it</w:t>
      </w:r>
      <w:r w:rsidR="001765BA" w:rsidRPr="00440710">
        <w:rPr>
          <w:rFonts w:ascii="Arial" w:hAnsi="Arial" w:cs="Arial"/>
          <w:sz w:val="24"/>
          <w:szCs w:val="24"/>
        </w:rPr>
        <w:t xml:space="preserve"> left </w:t>
      </w:r>
      <w:r w:rsidR="00BD0CA8" w:rsidRPr="00440710">
        <w:rPr>
          <w:rFonts w:ascii="Arial" w:hAnsi="Arial" w:cs="Arial"/>
          <w:sz w:val="24"/>
          <w:szCs w:val="24"/>
        </w:rPr>
        <w:t xml:space="preserve">him </w:t>
      </w:r>
      <w:r w:rsidR="001765BA" w:rsidRPr="00440710">
        <w:rPr>
          <w:rFonts w:ascii="Arial" w:hAnsi="Arial" w:cs="Arial"/>
          <w:sz w:val="24"/>
          <w:szCs w:val="24"/>
        </w:rPr>
        <w:t>deeply troubled.</w:t>
      </w:r>
    </w:p>
    <w:p w14:paraId="32EAFF8A" w14:textId="77777777" w:rsidR="00160441" w:rsidRPr="00160441" w:rsidRDefault="00160441" w:rsidP="00160441">
      <w:pPr>
        <w:pStyle w:val="ListParagraph"/>
        <w:rPr>
          <w:rFonts w:ascii="Arial" w:hAnsi="Arial" w:cs="Arial"/>
          <w:sz w:val="24"/>
          <w:szCs w:val="24"/>
        </w:rPr>
      </w:pPr>
    </w:p>
    <w:p w14:paraId="56144103" w14:textId="62ABF8C7" w:rsidR="00EF68DD" w:rsidRPr="00440710" w:rsidRDefault="00440710" w:rsidP="00440710">
      <w:pPr>
        <w:spacing w:line="360" w:lineRule="auto"/>
        <w:jc w:val="both"/>
        <w:rPr>
          <w:rFonts w:ascii="Arial" w:hAnsi="Arial" w:cs="Arial"/>
          <w:sz w:val="24"/>
          <w:szCs w:val="24"/>
        </w:rPr>
      </w:pPr>
      <w:r w:rsidRPr="00160441">
        <w:rPr>
          <w:rFonts w:ascii="Arial" w:hAnsi="Arial" w:cs="Arial"/>
          <w:sz w:val="24"/>
          <w:szCs w:val="24"/>
        </w:rPr>
        <w:t>[50]</w:t>
      </w:r>
      <w:r w:rsidRPr="00160441">
        <w:rPr>
          <w:rFonts w:ascii="Arial" w:hAnsi="Arial" w:cs="Arial"/>
          <w:sz w:val="24"/>
          <w:szCs w:val="24"/>
        </w:rPr>
        <w:tab/>
      </w:r>
      <w:r w:rsidR="000F2642" w:rsidRPr="00440710">
        <w:rPr>
          <w:rFonts w:ascii="Arial" w:hAnsi="Arial" w:cs="Arial"/>
          <w:sz w:val="24"/>
          <w:szCs w:val="24"/>
        </w:rPr>
        <w:t>T</w:t>
      </w:r>
      <w:r w:rsidR="00EF68DD" w:rsidRPr="00440710">
        <w:rPr>
          <w:rFonts w:ascii="Arial" w:hAnsi="Arial" w:cs="Arial"/>
          <w:sz w:val="24"/>
          <w:szCs w:val="24"/>
        </w:rPr>
        <w:t xml:space="preserve">he Supreme Court of Appeal </w:t>
      </w:r>
      <w:r w:rsidR="00BD0CA8" w:rsidRPr="00440710">
        <w:rPr>
          <w:rFonts w:ascii="Arial" w:hAnsi="Arial" w:cs="Arial"/>
          <w:sz w:val="24"/>
          <w:szCs w:val="24"/>
        </w:rPr>
        <w:t xml:space="preserve">recently dealt with the subject in </w:t>
      </w:r>
      <w:r w:rsidR="00EF68DD" w:rsidRPr="00440710">
        <w:rPr>
          <w:rFonts w:ascii="Arial" w:hAnsi="Arial" w:cs="Arial"/>
          <w:i/>
          <w:iCs/>
          <w:sz w:val="24"/>
          <w:szCs w:val="24"/>
        </w:rPr>
        <w:t>Brits v Minister of Police and another</w:t>
      </w:r>
      <w:r w:rsidR="00BD0CA8" w:rsidRPr="00440710">
        <w:rPr>
          <w:rFonts w:ascii="Arial" w:hAnsi="Arial" w:cs="Arial"/>
          <w:sz w:val="24"/>
          <w:szCs w:val="24"/>
        </w:rPr>
        <w:t>.</w:t>
      </w:r>
      <w:r w:rsidR="00EF68DD" w:rsidRPr="00EF68DD">
        <w:rPr>
          <w:vertAlign w:val="superscript"/>
        </w:rPr>
        <w:footnoteReference w:id="24"/>
      </w:r>
      <w:r w:rsidR="00EF68DD" w:rsidRPr="00440710">
        <w:rPr>
          <w:rFonts w:ascii="Arial" w:hAnsi="Arial" w:cs="Arial"/>
          <w:sz w:val="24"/>
          <w:szCs w:val="24"/>
        </w:rPr>
        <w:t xml:space="preserve"> </w:t>
      </w:r>
      <w:r w:rsidR="00BD0CA8" w:rsidRPr="00440710">
        <w:rPr>
          <w:rFonts w:ascii="Arial" w:hAnsi="Arial" w:cs="Arial"/>
          <w:sz w:val="24"/>
          <w:szCs w:val="24"/>
        </w:rPr>
        <w:t>T</w:t>
      </w:r>
      <w:r w:rsidR="00EF68DD" w:rsidRPr="00440710">
        <w:rPr>
          <w:rFonts w:ascii="Arial" w:hAnsi="Arial" w:cs="Arial"/>
          <w:sz w:val="24"/>
          <w:szCs w:val="24"/>
        </w:rPr>
        <w:t>he appellant was the owner of a dealership in second-hand goods and scrap metal</w:t>
      </w:r>
      <w:r w:rsidR="00BD0CA8" w:rsidRPr="00440710">
        <w:rPr>
          <w:rFonts w:ascii="Arial" w:hAnsi="Arial" w:cs="Arial"/>
          <w:sz w:val="24"/>
          <w:szCs w:val="24"/>
        </w:rPr>
        <w:t>; he was</w:t>
      </w:r>
      <w:r w:rsidR="00EF68DD" w:rsidRPr="00440710">
        <w:rPr>
          <w:rFonts w:ascii="Arial" w:hAnsi="Arial" w:cs="Arial"/>
          <w:sz w:val="24"/>
          <w:szCs w:val="24"/>
        </w:rPr>
        <w:t xml:space="preserve"> arrested and detained for approximately one day on a charge of </w:t>
      </w:r>
      <w:r w:rsidR="00BD0CA8" w:rsidRPr="00440710">
        <w:rPr>
          <w:rFonts w:ascii="Arial" w:hAnsi="Arial" w:cs="Arial"/>
          <w:sz w:val="24"/>
          <w:szCs w:val="24"/>
        </w:rPr>
        <w:t>being</w:t>
      </w:r>
      <w:r w:rsidR="00EF68DD" w:rsidRPr="00440710">
        <w:rPr>
          <w:rFonts w:ascii="Arial" w:hAnsi="Arial" w:cs="Arial"/>
          <w:sz w:val="24"/>
          <w:szCs w:val="24"/>
        </w:rPr>
        <w:t xml:space="preserve"> complicit in the offence of possession of stolen property. The court awarded damages of R 70,000 for unlawful arrest and detention. </w:t>
      </w:r>
      <w:r w:rsidR="00BD0CA8" w:rsidRPr="00440710">
        <w:rPr>
          <w:rFonts w:ascii="Arial" w:hAnsi="Arial" w:cs="Arial"/>
          <w:sz w:val="24"/>
          <w:szCs w:val="24"/>
        </w:rPr>
        <w:t>I</w:t>
      </w:r>
      <w:r w:rsidR="00EF68DD" w:rsidRPr="00440710">
        <w:rPr>
          <w:rFonts w:ascii="Arial" w:hAnsi="Arial" w:cs="Arial"/>
          <w:sz w:val="24"/>
          <w:szCs w:val="24"/>
        </w:rPr>
        <w:t xml:space="preserve">n </w:t>
      </w:r>
      <w:r w:rsidR="00EF68DD" w:rsidRPr="00440710">
        <w:rPr>
          <w:rFonts w:ascii="Arial" w:hAnsi="Arial" w:cs="Arial"/>
          <w:i/>
          <w:iCs/>
          <w:sz w:val="24"/>
          <w:szCs w:val="24"/>
        </w:rPr>
        <w:t>Diljan v Minister of Police</w:t>
      </w:r>
      <w:r w:rsidR="00EF68DD" w:rsidRPr="00440710">
        <w:rPr>
          <w:rFonts w:ascii="Arial" w:hAnsi="Arial" w:cs="Arial"/>
          <w:sz w:val="24"/>
          <w:szCs w:val="24"/>
        </w:rPr>
        <w:t>,</w:t>
      </w:r>
      <w:r w:rsidR="00EF68DD" w:rsidRPr="00EF68DD">
        <w:rPr>
          <w:vertAlign w:val="superscript"/>
        </w:rPr>
        <w:footnoteReference w:id="25"/>
      </w:r>
      <w:r w:rsidR="00EF68DD" w:rsidRPr="00440710">
        <w:rPr>
          <w:rFonts w:ascii="Arial" w:hAnsi="Arial" w:cs="Arial"/>
          <w:sz w:val="24"/>
          <w:szCs w:val="24"/>
        </w:rPr>
        <w:t xml:space="preserve"> </w:t>
      </w:r>
      <w:r w:rsidR="00BD0CA8" w:rsidRPr="00440710">
        <w:rPr>
          <w:rFonts w:ascii="Arial" w:hAnsi="Arial" w:cs="Arial"/>
          <w:sz w:val="24"/>
          <w:szCs w:val="24"/>
        </w:rPr>
        <w:t xml:space="preserve">heard several months later, </w:t>
      </w:r>
      <w:r w:rsidR="00EF68DD" w:rsidRPr="00440710">
        <w:rPr>
          <w:rFonts w:ascii="Arial" w:hAnsi="Arial" w:cs="Arial"/>
          <w:sz w:val="24"/>
          <w:szCs w:val="24"/>
        </w:rPr>
        <w:t xml:space="preserve">the </w:t>
      </w:r>
      <w:r w:rsidR="00BD0CA8" w:rsidRPr="00440710">
        <w:rPr>
          <w:rFonts w:ascii="Arial" w:hAnsi="Arial" w:cs="Arial"/>
          <w:sz w:val="24"/>
          <w:szCs w:val="24"/>
        </w:rPr>
        <w:t>Supreme C</w:t>
      </w:r>
      <w:r w:rsidR="00EF68DD" w:rsidRPr="00440710">
        <w:rPr>
          <w:rFonts w:ascii="Arial" w:hAnsi="Arial" w:cs="Arial"/>
          <w:sz w:val="24"/>
          <w:szCs w:val="24"/>
        </w:rPr>
        <w:t>ourt</w:t>
      </w:r>
      <w:r w:rsidR="00BD0CA8" w:rsidRPr="00440710">
        <w:rPr>
          <w:rFonts w:ascii="Arial" w:hAnsi="Arial" w:cs="Arial"/>
          <w:sz w:val="24"/>
          <w:szCs w:val="24"/>
        </w:rPr>
        <w:t xml:space="preserve"> of Appeal</w:t>
      </w:r>
      <w:r w:rsidR="00EF68DD" w:rsidRPr="00440710">
        <w:rPr>
          <w:rFonts w:ascii="Arial" w:hAnsi="Arial" w:cs="Arial"/>
          <w:sz w:val="24"/>
          <w:szCs w:val="24"/>
        </w:rPr>
        <w:t xml:space="preserve"> </w:t>
      </w:r>
      <w:r w:rsidR="00BD0CA8" w:rsidRPr="00440710">
        <w:rPr>
          <w:rFonts w:ascii="Arial" w:hAnsi="Arial" w:cs="Arial"/>
          <w:sz w:val="24"/>
          <w:szCs w:val="24"/>
        </w:rPr>
        <w:t xml:space="preserve">considered </w:t>
      </w:r>
      <w:r w:rsidR="00EF68DD" w:rsidRPr="00440710">
        <w:rPr>
          <w:rFonts w:ascii="Arial" w:hAnsi="Arial" w:cs="Arial"/>
          <w:sz w:val="24"/>
          <w:szCs w:val="24"/>
        </w:rPr>
        <w:t>a claim for damages for unlawful arrest and detention brought by a grandmother and community caregiver. She had been</w:t>
      </w:r>
      <w:r w:rsidR="00BD0CA8" w:rsidRPr="00440710">
        <w:rPr>
          <w:rFonts w:ascii="Arial" w:hAnsi="Arial" w:cs="Arial"/>
          <w:sz w:val="24"/>
          <w:szCs w:val="24"/>
        </w:rPr>
        <w:t xml:space="preserve"> </w:t>
      </w:r>
      <w:r w:rsidR="00EF68DD" w:rsidRPr="00440710">
        <w:rPr>
          <w:rFonts w:ascii="Arial" w:hAnsi="Arial" w:cs="Arial"/>
          <w:sz w:val="24"/>
          <w:szCs w:val="24"/>
        </w:rPr>
        <w:t xml:space="preserve">in custody for </w:t>
      </w:r>
      <w:r w:rsidR="00BD0CA8" w:rsidRPr="00440710">
        <w:rPr>
          <w:rFonts w:ascii="Arial" w:hAnsi="Arial" w:cs="Arial"/>
          <w:sz w:val="24"/>
          <w:szCs w:val="24"/>
        </w:rPr>
        <w:t xml:space="preserve">almost </w:t>
      </w:r>
      <w:r w:rsidR="00EF68DD" w:rsidRPr="00440710">
        <w:rPr>
          <w:rFonts w:ascii="Arial" w:hAnsi="Arial" w:cs="Arial"/>
          <w:sz w:val="24"/>
          <w:szCs w:val="24"/>
        </w:rPr>
        <w:t xml:space="preserve">three days </w:t>
      </w:r>
      <w:r w:rsidR="00BD0CA8" w:rsidRPr="00440710">
        <w:rPr>
          <w:rFonts w:ascii="Arial" w:hAnsi="Arial" w:cs="Arial"/>
          <w:sz w:val="24"/>
          <w:szCs w:val="24"/>
        </w:rPr>
        <w:t xml:space="preserve">and kept </w:t>
      </w:r>
      <w:r w:rsidR="00EF68DD" w:rsidRPr="00440710">
        <w:rPr>
          <w:rFonts w:ascii="Arial" w:hAnsi="Arial" w:cs="Arial"/>
          <w:sz w:val="24"/>
          <w:szCs w:val="24"/>
        </w:rPr>
        <w:t xml:space="preserve">in appalling conditions. The court awarded damages of R 120,000 and </w:t>
      </w:r>
      <w:r w:rsidR="00BD0CA8" w:rsidRPr="00440710">
        <w:rPr>
          <w:rFonts w:ascii="Arial" w:hAnsi="Arial" w:cs="Arial"/>
          <w:sz w:val="24"/>
          <w:szCs w:val="24"/>
        </w:rPr>
        <w:t>remarked as follows</w:t>
      </w:r>
      <w:r w:rsidR="00EF68DD" w:rsidRPr="00440710">
        <w:rPr>
          <w:rFonts w:ascii="Arial" w:hAnsi="Arial" w:cs="Arial"/>
          <w:sz w:val="24"/>
          <w:szCs w:val="24"/>
        </w:rPr>
        <w:t>:</w:t>
      </w:r>
    </w:p>
    <w:p w14:paraId="620F0653" w14:textId="77777777" w:rsidR="00EF68DD" w:rsidRPr="00EF68DD" w:rsidRDefault="00EF68DD" w:rsidP="001A491F">
      <w:pPr>
        <w:spacing w:line="360" w:lineRule="auto"/>
        <w:ind w:left="360"/>
        <w:jc w:val="both"/>
        <w:rPr>
          <w:rFonts w:ascii="Arial" w:hAnsi="Arial" w:cs="Arial"/>
        </w:rPr>
      </w:pPr>
      <w:r w:rsidRPr="00EF68DD">
        <w:rPr>
          <w:rFonts w:ascii="Arial" w:hAnsi="Arial" w:cs="Arial"/>
        </w:rPr>
        <w:t xml:space="preserve">‘…A word has to be said about the progressively exorbitant amounts that are claimed by litigants lately in comparable cases and sometimes awarded lavishly by our courts. Legal practitioners should exercise caution not to lend credence to the incredible practice of claiming unsubstantiated and excessive amounts in the particulars of claim. Amounts in monetary claims in the particulars of claim should not be “thumb-sucked” without due regard to the facts </w:t>
      </w:r>
      <w:r w:rsidRPr="00EF68DD">
        <w:rPr>
          <w:rFonts w:ascii="Arial" w:hAnsi="Arial" w:cs="Arial"/>
        </w:rPr>
        <w:lastRenderedPageBreak/>
        <w:t>and circumstances of each case. Practitioners ought to know the reasonable measure of previous awards, which serve as a barometer in quantifying their clients’ claims even at the stage of the issue of summons. They are aware, or ought to be, of what can reasonably be claimed based on the principles enunciated above.’</w:t>
      </w:r>
      <w:r w:rsidRPr="00EF68DD">
        <w:rPr>
          <w:rFonts w:ascii="Arial" w:hAnsi="Arial" w:cs="Arial"/>
          <w:vertAlign w:val="superscript"/>
        </w:rPr>
        <w:footnoteReference w:id="26"/>
      </w:r>
    </w:p>
    <w:p w14:paraId="7572901E" w14:textId="77777777" w:rsidR="00EF68DD" w:rsidRPr="00EF68DD" w:rsidRDefault="00EF68DD" w:rsidP="001A491F">
      <w:pPr>
        <w:spacing w:line="360" w:lineRule="auto"/>
        <w:jc w:val="both"/>
        <w:rPr>
          <w:rFonts w:ascii="Arial" w:hAnsi="Arial" w:cs="Arial"/>
          <w:sz w:val="24"/>
          <w:szCs w:val="24"/>
        </w:rPr>
      </w:pPr>
    </w:p>
    <w:p w14:paraId="37B39AAA" w14:textId="6ABCB2CF" w:rsidR="00160441" w:rsidRPr="00440710" w:rsidRDefault="00440710" w:rsidP="00440710">
      <w:pPr>
        <w:spacing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EF68DD" w:rsidRPr="00440710">
        <w:rPr>
          <w:rFonts w:ascii="Arial" w:hAnsi="Arial" w:cs="Arial"/>
          <w:sz w:val="24"/>
          <w:szCs w:val="24"/>
        </w:rPr>
        <w:t xml:space="preserve">The plaintiff in the present matter has claimed general damages in the amount of R </w:t>
      </w:r>
      <w:r w:rsidR="00BD0CA8" w:rsidRPr="00440710">
        <w:rPr>
          <w:rFonts w:ascii="Arial" w:hAnsi="Arial" w:cs="Arial"/>
          <w:sz w:val="24"/>
          <w:szCs w:val="24"/>
        </w:rPr>
        <w:t>5</w:t>
      </w:r>
      <w:r w:rsidR="00EF68DD" w:rsidRPr="00440710">
        <w:rPr>
          <w:rFonts w:ascii="Arial" w:hAnsi="Arial" w:cs="Arial"/>
          <w:sz w:val="24"/>
          <w:szCs w:val="24"/>
        </w:rPr>
        <w:t xml:space="preserve">00,000 for having been in </w:t>
      </w:r>
      <w:r w:rsidR="00BD0CA8" w:rsidRPr="00440710">
        <w:rPr>
          <w:rFonts w:ascii="Arial" w:hAnsi="Arial" w:cs="Arial"/>
          <w:sz w:val="24"/>
          <w:szCs w:val="24"/>
        </w:rPr>
        <w:t>detention for slightly more than 48 hours.</w:t>
      </w:r>
      <w:r w:rsidR="00EF68DD" w:rsidRPr="00440710">
        <w:rPr>
          <w:rFonts w:ascii="Arial" w:hAnsi="Arial" w:cs="Arial"/>
          <w:sz w:val="24"/>
          <w:szCs w:val="24"/>
        </w:rPr>
        <w:t xml:space="preserve"> </w:t>
      </w:r>
      <w:r w:rsidR="00BD0CA8" w:rsidRPr="00440710">
        <w:rPr>
          <w:rFonts w:ascii="Arial" w:hAnsi="Arial" w:cs="Arial"/>
          <w:sz w:val="24"/>
          <w:szCs w:val="24"/>
        </w:rPr>
        <w:t>T</w:t>
      </w:r>
      <w:r w:rsidR="00EF68DD" w:rsidRPr="00440710">
        <w:rPr>
          <w:rFonts w:ascii="Arial" w:hAnsi="Arial" w:cs="Arial"/>
          <w:sz w:val="24"/>
          <w:szCs w:val="24"/>
        </w:rPr>
        <w:t>h</w:t>
      </w:r>
      <w:r w:rsidR="00BD0CA8" w:rsidRPr="00440710">
        <w:rPr>
          <w:rFonts w:ascii="Arial" w:hAnsi="Arial" w:cs="Arial"/>
          <w:sz w:val="24"/>
          <w:szCs w:val="24"/>
        </w:rPr>
        <w:t>e claim, considering the decisions mentioned above,</w:t>
      </w:r>
      <w:r w:rsidR="00EF68DD" w:rsidRPr="00440710">
        <w:rPr>
          <w:rFonts w:ascii="Arial" w:hAnsi="Arial" w:cs="Arial"/>
          <w:sz w:val="24"/>
          <w:szCs w:val="24"/>
        </w:rPr>
        <w:t xml:space="preserve"> is exorbitant.</w:t>
      </w:r>
    </w:p>
    <w:p w14:paraId="63822B78" w14:textId="77777777" w:rsidR="00160441" w:rsidRDefault="00160441" w:rsidP="00160441">
      <w:pPr>
        <w:pStyle w:val="ListParagraph"/>
        <w:spacing w:line="360" w:lineRule="auto"/>
        <w:ind w:left="0"/>
        <w:jc w:val="both"/>
        <w:rPr>
          <w:rFonts w:ascii="Arial" w:hAnsi="Arial" w:cs="Arial"/>
          <w:sz w:val="24"/>
          <w:szCs w:val="24"/>
        </w:rPr>
      </w:pPr>
    </w:p>
    <w:p w14:paraId="246C2496" w14:textId="57938D7B" w:rsidR="00160441" w:rsidRPr="00440710" w:rsidRDefault="00440710" w:rsidP="00440710">
      <w:pPr>
        <w:spacing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BD0CA8" w:rsidRPr="00440710">
        <w:rPr>
          <w:rFonts w:ascii="Arial" w:hAnsi="Arial" w:cs="Arial"/>
          <w:sz w:val="24"/>
          <w:szCs w:val="24"/>
        </w:rPr>
        <w:t xml:space="preserve">Counsel for both parties referred to several decisions emanating </w:t>
      </w:r>
      <w:r w:rsidR="00EF68DD" w:rsidRPr="00440710">
        <w:rPr>
          <w:rFonts w:ascii="Arial" w:hAnsi="Arial" w:cs="Arial"/>
          <w:sz w:val="24"/>
          <w:szCs w:val="24"/>
        </w:rPr>
        <w:t>from this division</w:t>
      </w:r>
      <w:r w:rsidR="00BD0CA8" w:rsidRPr="00440710">
        <w:rPr>
          <w:rFonts w:ascii="Arial" w:hAnsi="Arial" w:cs="Arial"/>
          <w:sz w:val="24"/>
          <w:szCs w:val="24"/>
        </w:rPr>
        <w:t>.</w:t>
      </w:r>
      <w:r w:rsidR="00EF68DD" w:rsidRPr="00440710">
        <w:rPr>
          <w:rFonts w:ascii="Arial" w:hAnsi="Arial" w:cs="Arial"/>
          <w:sz w:val="24"/>
          <w:szCs w:val="24"/>
        </w:rPr>
        <w:t xml:space="preserve"> </w:t>
      </w:r>
      <w:r w:rsidR="00722854" w:rsidRPr="00440710">
        <w:rPr>
          <w:rFonts w:ascii="Arial" w:hAnsi="Arial" w:cs="Arial"/>
          <w:sz w:val="24"/>
          <w:szCs w:val="24"/>
        </w:rPr>
        <w:t xml:space="preserve">In </w:t>
      </w:r>
      <w:r w:rsidR="00722854" w:rsidRPr="00440710">
        <w:rPr>
          <w:rFonts w:ascii="Arial" w:hAnsi="Arial" w:cs="Arial"/>
          <w:i/>
          <w:iCs/>
          <w:sz w:val="24"/>
          <w:szCs w:val="24"/>
        </w:rPr>
        <w:t>Nel v Minister of Police</w:t>
      </w:r>
      <w:r w:rsidR="00722854" w:rsidRPr="00440710">
        <w:rPr>
          <w:rFonts w:ascii="Arial" w:hAnsi="Arial" w:cs="Arial"/>
          <w:sz w:val="24"/>
          <w:szCs w:val="24"/>
        </w:rPr>
        <w:t>,</w:t>
      </w:r>
      <w:r w:rsidR="00722854">
        <w:rPr>
          <w:rStyle w:val="FootnoteReference"/>
          <w:rFonts w:ascii="Arial" w:hAnsi="Arial" w:cs="Arial"/>
          <w:sz w:val="24"/>
          <w:szCs w:val="24"/>
        </w:rPr>
        <w:footnoteReference w:id="27"/>
      </w:r>
      <w:r w:rsidR="00722854" w:rsidRPr="00440710">
        <w:rPr>
          <w:rFonts w:ascii="Arial" w:hAnsi="Arial" w:cs="Arial"/>
          <w:sz w:val="24"/>
          <w:szCs w:val="24"/>
        </w:rPr>
        <w:t xml:space="preserve"> the court awarded R35,000 to a mother of three children who was detained, with her two-year-old infant, for a period of less than 20 hours on a charge of possession of </w:t>
      </w:r>
      <w:r w:rsidR="00722854" w:rsidRPr="00440710">
        <w:rPr>
          <w:rFonts w:ascii="Arial" w:hAnsi="Arial" w:cs="Arial"/>
          <w:i/>
          <w:iCs/>
          <w:sz w:val="24"/>
          <w:szCs w:val="24"/>
        </w:rPr>
        <w:t>dagga</w:t>
      </w:r>
      <w:r w:rsidR="00722854" w:rsidRPr="00440710">
        <w:rPr>
          <w:rFonts w:ascii="Arial" w:hAnsi="Arial" w:cs="Arial"/>
          <w:sz w:val="24"/>
          <w:szCs w:val="24"/>
        </w:rPr>
        <w:t xml:space="preserve">. The court in </w:t>
      </w:r>
      <w:r w:rsidR="00722854" w:rsidRPr="00440710">
        <w:rPr>
          <w:rFonts w:ascii="Arial" w:hAnsi="Arial" w:cs="Arial"/>
          <w:i/>
          <w:iCs/>
          <w:sz w:val="24"/>
          <w:szCs w:val="24"/>
        </w:rPr>
        <w:t>Madyibi v Minister of Police</w:t>
      </w:r>
      <w:r w:rsidR="00722854">
        <w:rPr>
          <w:rStyle w:val="FootnoteReference"/>
          <w:rFonts w:ascii="Arial" w:hAnsi="Arial" w:cs="Arial"/>
          <w:sz w:val="24"/>
          <w:szCs w:val="24"/>
        </w:rPr>
        <w:footnoteReference w:id="28"/>
      </w:r>
      <w:r w:rsidR="00722854" w:rsidRPr="00440710">
        <w:rPr>
          <w:rFonts w:ascii="Arial" w:hAnsi="Arial" w:cs="Arial"/>
          <w:sz w:val="24"/>
          <w:szCs w:val="24"/>
        </w:rPr>
        <w:t xml:space="preserve"> </w:t>
      </w:r>
      <w:r w:rsidR="00AA68B0" w:rsidRPr="00440710">
        <w:rPr>
          <w:rFonts w:ascii="Arial" w:hAnsi="Arial" w:cs="Arial"/>
          <w:sz w:val="24"/>
          <w:szCs w:val="24"/>
        </w:rPr>
        <w:t xml:space="preserve">awarded R40,000 to a businessperson who spent approximately 24 hours in custody after his arrest for the alleged unlawful demarcation of land with his tractor. </w:t>
      </w:r>
      <w:r w:rsidR="00EF68DD" w:rsidRPr="00440710">
        <w:rPr>
          <w:rFonts w:ascii="Arial" w:hAnsi="Arial" w:cs="Arial"/>
          <w:sz w:val="24"/>
          <w:szCs w:val="24"/>
        </w:rPr>
        <w:t xml:space="preserve">In </w:t>
      </w:r>
      <w:r w:rsidR="00EF68DD" w:rsidRPr="00440710">
        <w:rPr>
          <w:rFonts w:ascii="Arial" w:hAnsi="Arial" w:cs="Arial"/>
          <w:i/>
          <w:iCs/>
          <w:sz w:val="24"/>
          <w:szCs w:val="24"/>
        </w:rPr>
        <w:t>Minister of Police v Page</w:t>
      </w:r>
      <w:r w:rsidR="00EF68DD" w:rsidRPr="00440710">
        <w:rPr>
          <w:rFonts w:ascii="Arial" w:hAnsi="Arial" w:cs="Arial"/>
          <w:sz w:val="24"/>
          <w:szCs w:val="24"/>
        </w:rPr>
        <w:t>,</w:t>
      </w:r>
      <w:r w:rsidR="00EF68DD" w:rsidRPr="00EF68DD">
        <w:rPr>
          <w:vertAlign w:val="superscript"/>
        </w:rPr>
        <w:footnoteReference w:id="29"/>
      </w:r>
      <w:r w:rsidR="00EF68DD" w:rsidRPr="00440710">
        <w:rPr>
          <w:rFonts w:ascii="Arial" w:hAnsi="Arial" w:cs="Arial"/>
          <w:sz w:val="24"/>
          <w:szCs w:val="24"/>
        </w:rPr>
        <w:t xml:space="preserve"> a full bench awarded damages of R 30,000 to </w:t>
      </w:r>
      <w:r w:rsidR="00CC4D82" w:rsidRPr="00440710">
        <w:rPr>
          <w:rFonts w:ascii="Arial" w:hAnsi="Arial" w:cs="Arial"/>
          <w:sz w:val="24"/>
          <w:szCs w:val="24"/>
        </w:rPr>
        <w:t xml:space="preserve">a </w:t>
      </w:r>
      <w:r w:rsidR="00EF68DD" w:rsidRPr="00440710">
        <w:rPr>
          <w:rFonts w:ascii="Arial" w:hAnsi="Arial" w:cs="Arial"/>
          <w:sz w:val="24"/>
          <w:szCs w:val="24"/>
        </w:rPr>
        <w:t xml:space="preserve">claimant who had been arrested on a charge of arson and detained for one day. </w:t>
      </w:r>
    </w:p>
    <w:p w14:paraId="63C462A3" w14:textId="77777777" w:rsidR="00160441" w:rsidRPr="00160441" w:rsidRDefault="00160441" w:rsidP="00160441">
      <w:pPr>
        <w:pStyle w:val="ListParagraph"/>
        <w:rPr>
          <w:rFonts w:ascii="Arial" w:hAnsi="Arial" w:cs="Arial"/>
          <w:sz w:val="24"/>
          <w:szCs w:val="24"/>
        </w:rPr>
      </w:pPr>
    </w:p>
    <w:p w14:paraId="66E8B1FD" w14:textId="12F84AE3" w:rsidR="00160441" w:rsidRPr="00440710" w:rsidRDefault="00440710" w:rsidP="00440710">
      <w:pPr>
        <w:spacing w:line="36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CC4D82" w:rsidRPr="00440710">
        <w:rPr>
          <w:rFonts w:ascii="Arial" w:hAnsi="Arial" w:cs="Arial"/>
          <w:sz w:val="24"/>
          <w:szCs w:val="24"/>
        </w:rPr>
        <w:t>More recent decisions are of assistance, too. I</w:t>
      </w:r>
      <w:r w:rsidR="00EF68DD" w:rsidRPr="00440710">
        <w:rPr>
          <w:rFonts w:ascii="Arial" w:hAnsi="Arial" w:cs="Arial"/>
          <w:sz w:val="24"/>
          <w:szCs w:val="24"/>
        </w:rPr>
        <w:t xml:space="preserve">n </w:t>
      </w:r>
      <w:r w:rsidR="00EF68DD" w:rsidRPr="00440710">
        <w:rPr>
          <w:rFonts w:ascii="Arial" w:hAnsi="Arial" w:cs="Arial"/>
          <w:i/>
          <w:iCs/>
          <w:sz w:val="24"/>
          <w:szCs w:val="24"/>
        </w:rPr>
        <w:t>Shode v Minister of Police</w:t>
      </w:r>
      <w:r w:rsidR="00EF68DD" w:rsidRPr="00440710">
        <w:rPr>
          <w:rFonts w:ascii="Arial" w:hAnsi="Arial" w:cs="Arial"/>
          <w:sz w:val="24"/>
          <w:szCs w:val="24"/>
        </w:rPr>
        <w:t>,</w:t>
      </w:r>
      <w:r w:rsidR="00EF68DD" w:rsidRPr="00EF68DD">
        <w:rPr>
          <w:vertAlign w:val="superscript"/>
        </w:rPr>
        <w:footnoteReference w:id="30"/>
      </w:r>
      <w:r w:rsidR="00EF68DD" w:rsidRPr="00440710">
        <w:rPr>
          <w:rFonts w:ascii="Arial" w:hAnsi="Arial" w:cs="Arial"/>
          <w:sz w:val="24"/>
          <w:szCs w:val="24"/>
        </w:rPr>
        <w:t xml:space="preserve"> a full bench awarded damages of R 40,000 to </w:t>
      </w:r>
      <w:r w:rsidR="00CC4D82" w:rsidRPr="00440710">
        <w:rPr>
          <w:rFonts w:ascii="Arial" w:hAnsi="Arial" w:cs="Arial"/>
          <w:sz w:val="24"/>
          <w:szCs w:val="24"/>
        </w:rPr>
        <w:t xml:space="preserve">a </w:t>
      </w:r>
      <w:r w:rsidR="00EF68DD" w:rsidRPr="00440710">
        <w:rPr>
          <w:rFonts w:ascii="Arial" w:hAnsi="Arial" w:cs="Arial"/>
          <w:sz w:val="24"/>
          <w:szCs w:val="24"/>
        </w:rPr>
        <w:t xml:space="preserve">claimant who had been </w:t>
      </w:r>
      <w:r w:rsidR="00CC4D82" w:rsidRPr="00440710">
        <w:rPr>
          <w:rFonts w:ascii="Arial" w:hAnsi="Arial" w:cs="Arial"/>
          <w:sz w:val="24"/>
          <w:szCs w:val="24"/>
        </w:rPr>
        <w:t xml:space="preserve">detained for 22 hours </w:t>
      </w:r>
      <w:r w:rsidR="00EF68DD" w:rsidRPr="00440710">
        <w:rPr>
          <w:rFonts w:ascii="Arial" w:hAnsi="Arial" w:cs="Arial"/>
          <w:sz w:val="24"/>
          <w:szCs w:val="24"/>
        </w:rPr>
        <w:t xml:space="preserve">on a charge of domestic violence. </w:t>
      </w:r>
      <w:r w:rsidR="00CC4D82" w:rsidRPr="00440710">
        <w:rPr>
          <w:rFonts w:ascii="Arial" w:hAnsi="Arial" w:cs="Arial"/>
          <w:sz w:val="24"/>
          <w:szCs w:val="24"/>
        </w:rPr>
        <w:t>Shortly</w:t>
      </w:r>
      <w:r w:rsidR="00EF68DD" w:rsidRPr="00440710">
        <w:rPr>
          <w:rFonts w:ascii="Arial" w:hAnsi="Arial" w:cs="Arial"/>
          <w:sz w:val="24"/>
          <w:szCs w:val="24"/>
        </w:rPr>
        <w:t xml:space="preserve"> after that, in the unreported decision of </w:t>
      </w:r>
      <w:r w:rsidR="00EF68DD" w:rsidRPr="00440710">
        <w:rPr>
          <w:rFonts w:ascii="Arial" w:hAnsi="Arial" w:cs="Arial"/>
          <w:i/>
          <w:iCs/>
          <w:sz w:val="24"/>
          <w:szCs w:val="24"/>
        </w:rPr>
        <w:t>Antonie v Minister of Police</w:t>
      </w:r>
      <w:r w:rsidR="00EF68DD" w:rsidRPr="00440710">
        <w:rPr>
          <w:rFonts w:ascii="Arial" w:hAnsi="Arial" w:cs="Arial"/>
          <w:sz w:val="24"/>
          <w:szCs w:val="24"/>
        </w:rPr>
        <w:t>,</w:t>
      </w:r>
      <w:r w:rsidR="00EF68DD" w:rsidRPr="00EF68DD">
        <w:rPr>
          <w:vertAlign w:val="superscript"/>
        </w:rPr>
        <w:footnoteReference w:id="31"/>
      </w:r>
      <w:r w:rsidR="00EF68DD" w:rsidRPr="00440710">
        <w:rPr>
          <w:rFonts w:ascii="Arial" w:hAnsi="Arial" w:cs="Arial"/>
          <w:sz w:val="24"/>
          <w:szCs w:val="24"/>
        </w:rPr>
        <w:t xml:space="preserve"> a full bench awarded damages of R 50,000 to </w:t>
      </w:r>
      <w:r w:rsidR="00CC4D82" w:rsidRPr="00440710">
        <w:rPr>
          <w:rFonts w:ascii="Arial" w:hAnsi="Arial" w:cs="Arial"/>
          <w:sz w:val="24"/>
          <w:szCs w:val="24"/>
        </w:rPr>
        <w:t>a</w:t>
      </w:r>
      <w:r w:rsidR="00EF68DD" w:rsidRPr="00440710">
        <w:rPr>
          <w:rFonts w:ascii="Arial" w:hAnsi="Arial" w:cs="Arial"/>
          <w:sz w:val="24"/>
          <w:szCs w:val="24"/>
        </w:rPr>
        <w:t xml:space="preserve"> claimant</w:t>
      </w:r>
      <w:r w:rsidR="00CC4D82" w:rsidRPr="00440710">
        <w:rPr>
          <w:rFonts w:ascii="Arial" w:hAnsi="Arial" w:cs="Arial"/>
          <w:sz w:val="24"/>
          <w:szCs w:val="24"/>
        </w:rPr>
        <w:t xml:space="preserve"> </w:t>
      </w:r>
      <w:r w:rsidR="00EF68DD" w:rsidRPr="00440710">
        <w:rPr>
          <w:rFonts w:ascii="Arial" w:hAnsi="Arial" w:cs="Arial"/>
          <w:sz w:val="24"/>
          <w:szCs w:val="24"/>
        </w:rPr>
        <w:t>who had been arrested on a charge of domestic violence and detained for a period of 38 hours.</w:t>
      </w:r>
      <w:r w:rsidR="00CC4D82" w:rsidRPr="00440710">
        <w:rPr>
          <w:rFonts w:ascii="Arial" w:hAnsi="Arial" w:cs="Arial"/>
          <w:sz w:val="24"/>
          <w:szCs w:val="24"/>
        </w:rPr>
        <w:t xml:space="preserve"> The court in </w:t>
      </w:r>
      <w:r w:rsidR="00CC4D82" w:rsidRPr="00440710">
        <w:rPr>
          <w:rFonts w:ascii="Arial" w:hAnsi="Arial" w:cs="Arial"/>
          <w:i/>
          <w:iCs/>
          <w:sz w:val="24"/>
          <w:szCs w:val="24"/>
        </w:rPr>
        <w:t>Madingana v Minister of Police</w:t>
      </w:r>
      <w:r w:rsidR="00CC4D82">
        <w:rPr>
          <w:rStyle w:val="FootnoteReference"/>
          <w:rFonts w:ascii="Arial" w:hAnsi="Arial" w:cs="Arial"/>
          <w:sz w:val="24"/>
          <w:szCs w:val="24"/>
        </w:rPr>
        <w:footnoteReference w:id="32"/>
      </w:r>
      <w:r w:rsidR="00CC4D82" w:rsidRPr="00440710">
        <w:rPr>
          <w:rFonts w:ascii="Arial" w:hAnsi="Arial" w:cs="Arial"/>
          <w:sz w:val="24"/>
          <w:szCs w:val="24"/>
        </w:rPr>
        <w:t xml:space="preserve"> awarded R80,000 to a former political office bearer and leader in the African National Congress, his church, and his community</w:t>
      </w:r>
      <w:r w:rsidR="00E53956" w:rsidRPr="00440710">
        <w:rPr>
          <w:rFonts w:ascii="Arial" w:hAnsi="Arial" w:cs="Arial"/>
          <w:sz w:val="24"/>
          <w:szCs w:val="24"/>
        </w:rPr>
        <w:t xml:space="preserve">, for </w:t>
      </w:r>
      <w:r w:rsidR="00E53956" w:rsidRPr="00440710">
        <w:rPr>
          <w:rFonts w:ascii="Arial" w:hAnsi="Arial" w:cs="Arial"/>
          <w:sz w:val="24"/>
          <w:szCs w:val="24"/>
        </w:rPr>
        <w:lastRenderedPageBreak/>
        <w:t>having been incarcerated for 24 hours on a charge of contravening a domestic violence interdict.</w:t>
      </w:r>
      <w:r w:rsidR="00CC4D82" w:rsidRPr="00440710">
        <w:rPr>
          <w:rFonts w:ascii="Arial" w:hAnsi="Arial" w:cs="Arial"/>
          <w:sz w:val="24"/>
          <w:szCs w:val="24"/>
        </w:rPr>
        <w:t xml:space="preserve"> </w:t>
      </w:r>
    </w:p>
    <w:p w14:paraId="0801206A" w14:textId="77777777" w:rsidR="00160441" w:rsidRPr="00160441" w:rsidRDefault="00160441" w:rsidP="00160441">
      <w:pPr>
        <w:pStyle w:val="ListParagraph"/>
        <w:rPr>
          <w:rFonts w:ascii="Arial" w:hAnsi="Arial" w:cs="Arial"/>
          <w:sz w:val="24"/>
          <w:szCs w:val="24"/>
        </w:rPr>
      </w:pPr>
    </w:p>
    <w:p w14:paraId="41CBD473" w14:textId="517AE163" w:rsidR="0045510B" w:rsidRPr="00440710" w:rsidRDefault="00440710" w:rsidP="00440710">
      <w:pPr>
        <w:spacing w:line="360" w:lineRule="auto"/>
        <w:jc w:val="both"/>
        <w:rPr>
          <w:rFonts w:ascii="Arial" w:hAnsi="Arial" w:cs="Arial"/>
          <w:sz w:val="24"/>
          <w:szCs w:val="24"/>
        </w:rPr>
      </w:pPr>
      <w:r w:rsidRPr="00160441">
        <w:rPr>
          <w:rFonts w:ascii="Arial" w:hAnsi="Arial" w:cs="Arial"/>
          <w:sz w:val="24"/>
          <w:szCs w:val="24"/>
        </w:rPr>
        <w:t>[54]</w:t>
      </w:r>
      <w:r w:rsidRPr="00160441">
        <w:rPr>
          <w:rFonts w:ascii="Arial" w:hAnsi="Arial" w:cs="Arial"/>
          <w:sz w:val="24"/>
          <w:szCs w:val="24"/>
        </w:rPr>
        <w:tab/>
      </w:r>
      <w:r w:rsidR="0045510B" w:rsidRPr="00440710">
        <w:rPr>
          <w:rFonts w:ascii="Arial" w:hAnsi="Arial" w:cs="Arial"/>
          <w:sz w:val="24"/>
          <w:szCs w:val="24"/>
        </w:rPr>
        <w:t>The above decisions are helpful when considering the quantum to be awarded in the present matter.</w:t>
      </w:r>
    </w:p>
    <w:p w14:paraId="3A566FBF" w14:textId="77777777" w:rsidR="0045510B" w:rsidRDefault="0045510B" w:rsidP="001A491F">
      <w:pPr>
        <w:spacing w:line="360" w:lineRule="auto"/>
        <w:jc w:val="both"/>
        <w:rPr>
          <w:rFonts w:ascii="Arial" w:hAnsi="Arial" w:cs="Arial"/>
          <w:sz w:val="24"/>
          <w:szCs w:val="24"/>
        </w:rPr>
      </w:pPr>
    </w:p>
    <w:p w14:paraId="57A487F9" w14:textId="77777777" w:rsidR="0045510B" w:rsidRPr="0045510B" w:rsidRDefault="0045510B" w:rsidP="001A491F">
      <w:pPr>
        <w:spacing w:line="360" w:lineRule="auto"/>
        <w:jc w:val="both"/>
        <w:rPr>
          <w:rFonts w:ascii="Arial" w:hAnsi="Arial" w:cs="Arial"/>
          <w:b/>
          <w:bCs/>
          <w:sz w:val="24"/>
          <w:szCs w:val="24"/>
        </w:rPr>
      </w:pPr>
      <w:r w:rsidRPr="0045510B">
        <w:rPr>
          <w:rFonts w:ascii="Arial" w:hAnsi="Arial" w:cs="Arial"/>
          <w:b/>
          <w:bCs/>
          <w:sz w:val="24"/>
          <w:szCs w:val="24"/>
        </w:rPr>
        <w:t>Relief and order</w:t>
      </w:r>
    </w:p>
    <w:p w14:paraId="7320CB58" w14:textId="77777777" w:rsidR="0045510B" w:rsidRDefault="0045510B" w:rsidP="001A491F">
      <w:pPr>
        <w:spacing w:line="360" w:lineRule="auto"/>
        <w:jc w:val="both"/>
        <w:rPr>
          <w:rFonts w:ascii="Arial" w:hAnsi="Arial" w:cs="Arial"/>
          <w:sz w:val="24"/>
          <w:szCs w:val="24"/>
        </w:rPr>
      </w:pPr>
    </w:p>
    <w:p w14:paraId="5A8A1709" w14:textId="4E25FBAC" w:rsidR="00160441" w:rsidRPr="00440710" w:rsidRDefault="00440710" w:rsidP="00440710">
      <w:pPr>
        <w:spacing w:line="36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45510B" w:rsidRPr="00440710">
        <w:rPr>
          <w:rFonts w:ascii="Arial" w:hAnsi="Arial" w:cs="Arial"/>
          <w:sz w:val="24"/>
          <w:szCs w:val="24"/>
        </w:rPr>
        <w:t xml:space="preserve">Mindful of the circumstances, the court is satisfied that the plaintiff’s claim must be reduced to a considerably more realistic </w:t>
      </w:r>
      <w:r w:rsidR="00A20722" w:rsidRPr="00440710">
        <w:rPr>
          <w:rFonts w:ascii="Arial" w:hAnsi="Arial" w:cs="Arial"/>
          <w:sz w:val="24"/>
          <w:szCs w:val="24"/>
        </w:rPr>
        <w:t>figure</w:t>
      </w:r>
      <w:r w:rsidR="0045510B" w:rsidRPr="00440710">
        <w:rPr>
          <w:rFonts w:ascii="Arial" w:hAnsi="Arial" w:cs="Arial"/>
          <w:sz w:val="24"/>
          <w:szCs w:val="24"/>
        </w:rPr>
        <w:t xml:space="preserve">. </w:t>
      </w:r>
      <w:r w:rsidR="007878EF" w:rsidRPr="00440710">
        <w:rPr>
          <w:rFonts w:ascii="Arial" w:hAnsi="Arial" w:cs="Arial"/>
          <w:sz w:val="24"/>
          <w:szCs w:val="24"/>
        </w:rPr>
        <w:t>There is no basis, however</w:t>
      </w:r>
      <w:r w:rsidR="00A20722" w:rsidRPr="00440710">
        <w:rPr>
          <w:rFonts w:ascii="Arial" w:hAnsi="Arial" w:cs="Arial"/>
          <w:sz w:val="24"/>
          <w:szCs w:val="24"/>
        </w:rPr>
        <w:t xml:space="preserve">, for the adjusted amount sought during argument. </w:t>
      </w:r>
      <w:r w:rsidR="0045510B" w:rsidRPr="00440710">
        <w:rPr>
          <w:rFonts w:ascii="Arial" w:hAnsi="Arial" w:cs="Arial"/>
          <w:sz w:val="24"/>
          <w:szCs w:val="24"/>
        </w:rPr>
        <w:t>An award of R 90,000 would seem to be appropriate</w:t>
      </w:r>
      <w:r w:rsidR="00A20722" w:rsidRPr="00440710">
        <w:rPr>
          <w:rFonts w:ascii="Arial" w:hAnsi="Arial" w:cs="Arial"/>
          <w:sz w:val="24"/>
          <w:szCs w:val="24"/>
        </w:rPr>
        <w:t xml:space="preserve"> and in alignment with the case law</w:t>
      </w:r>
      <w:r w:rsidR="0045510B" w:rsidRPr="00440710">
        <w:rPr>
          <w:rFonts w:ascii="Arial" w:hAnsi="Arial" w:cs="Arial"/>
          <w:sz w:val="24"/>
          <w:szCs w:val="24"/>
        </w:rPr>
        <w:t>.</w:t>
      </w:r>
    </w:p>
    <w:p w14:paraId="3D4998CF" w14:textId="77777777" w:rsidR="00160441" w:rsidRDefault="00160441" w:rsidP="00160441">
      <w:pPr>
        <w:pStyle w:val="ListParagraph"/>
        <w:spacing w:line="360" w:lineRule="auto"/>
        <w:ind w:left="0"/>
        <w:jc w:val="both"/>
        <w:rPr>
          <w:rFonts w:ascii="Arial" w:hAnsi="Arial" w:cs="Arial"/>
          <w:sz w:val="24"/>
          <w:szCs w:val="24"/>
        </w:rPr>
      </w:pPr>
    </w:p>
    <w:p w14:paraId="54BD2356" w14:textId="3935D503" w:rsidR="00160441" w:rsidRPr="00440710" w:rsidRDefault="00440710" w:rsidP="00440710">
      <w:pPr>
        <w:spacing w:line="36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45510B" w:rsidRPr="00440710">
        <w:rPr>
          <w:rFonts w:ascii="Arial" w:hAnsi="Arial" w:cs="Arial"/>
          <w:sz w:val="24"/>
          <w:szCs w:val="24"/>
        </w:rPr>
        <w:t xml:space="preserve">The only remaining issue is that of costs. The </w:t>
      </w:r>
      <w:r w:rsidR="00F372AF" w:rsidRPr="00440710">
        <w:rPr>
          <w:rFonts w:ascii="Arial" w:hAnsi="Arial" w:cs="Arial"/>
          <w:sz w:val="24"/>
          <w:szCs w:val="24"/>
        </w:rPr>
        <w:t>general</w:t>
      </w:r>
      <w:r w:rsidR="00A20722" w:rsidRPr="00440710">
        <w:rPr>
          <w:rFonts w:ascii="Arial" w:hAnsi="Arial" w:cs="Arial"/>
          <w:sz w:val="24"/>
          <w:szCs w:val="24"/>
        </w:rPr>
        <w:t xml:space="preserve"> rule </w:t>
      </w:r>
      <w:r w:rsidR="00F372AF" w:rsidRPr="00440710">
        <w:rPr>
          <w:rFonts w:ascii="Arial" w:hAnsi="Arial" w:cs="Arial"/>
          <w:sz w:val="24"/>
          <w:szCs w:val="24"/>
        </w:rPr>
        <w:t xml:space="preserve">applies, and the plaintiff is entitled to his costs, subject to the principles that were applied in </w:t>
      </w:r>
      <w:r w:rsidR="00F372AF" w:rsidRPr="00440710">
        <w:rPr>
          <w:rFonts w:ascii="Arial" w:hAnsi="Arial" w:cs="Arial"/>
          <w:i/>
          <w:iCs/>
          <w:sz w:val="24"/>
          <w:szCs w:val="24"/>
        </w:rPr>
        <w:t>Madingana</w:t>
      </w:r>
      <w:r w:rsidR="004E3555" w:rsidRPr="00440710">
        <w:rPr>
          <w:rFonts w:ascii="Arial" w:hAnsi="Arial" w:cs="Arial"/>
          <w:i/>
          <w:iCs/>
          <w:sz w:val="24"/>
          <w:szCs w:val="24"/>
        </w:rPr>
        <w:t>.</w:t>
      </w:r>
      <w:r w:rsidR="00F372AF">
        <w:rPr>
          <w:rStyle w:val="FootnoteReference"/>
          <w:rFonts w:ascii="Arial" w:hAnsi="Arial" w:cs="Arial"/>
          <w:sz w:val="24"/>
          <w:szCs w:val="24"/>
        </w:rPr>
        <w:footnoteReference w:id="33"/>
      </w:r>
      <w:r w:rsidR="00F372AF" w:rsidRPr="00440710">
        <w:rPr>
          <w:rFonts w:ascii="Arial" w:hAnsi="Arial" w:cs="Arial"/>
          <w:sz w:val="24"/>
          <w:szCs w:val="24"/>
        </w:rPr>
        <w:t xml:space="preserve"> </w:t>
      </w:r>
      <w:r w:rsidR="004E3555" w:rsidRPr="00440710">
        <w:rPr>
          <w:rFonts w:ascii="Arial" w:hAnsi="Arial" w:cs="Arial"/>
          <w:sz w:val="24"/>
          <w:szCs w:val="24"/>
        </w:rPr>
        <w:t>C</w:t>
      </w:r>
      <w:r w:rsidR="00F372AF" w:rsidRPr="00440710">
        <w:rPr>
          <w:rFonts w:ascii="Arial" w:hAnsi="Arial" w:cs="Arial"/>
          <w:sz w:val="24"/>
          <w:szCs w:val="24"/>
        </w:rPr>
        <w:t xml:space="preserve">onsidering the award made, </w:t>
      </w:r>
      <w:r w:rsidR="00070659" w:rsidRPr="00440710">
        <w:rPr>
          <w:rFonts w:ascii="Arial" w:hAnsi="Arial" w:cs="Arial"/>
          <w:sz w:val="24"/>
          <w:szCs w:val="24"/>
        </w:rPr>
        <w:t xml:space="preserve">the costs </w:t>
      </w:r>
      <w:r w:rsidR="007D6966" w:rsidRPr="00440710">
        <w:rPr>
          <w:rFonts w:ascii="Arial" w:hAnsi="Arial" w:cs="Arial"/>
          <w:sz w:val="24"/>
          <w:szCs w:val="24"/>
        </w:rPr>
        <w:t xml:space="preserve">must </w:t>
      </w:r>
      <w:r w:rsidR="00F372AF" w:rsidRPr="00440710">
        <w:rPr>
          <w:rFonts w:ascii="Arial" w:hAnsi="Arial" w:cs="Arial"/>
          <w:sz w:val="24"/>
          <w:szCs w:val="24"/>
        </w:rPr>
        <w:t xml:space="preserve">be reduced </w:t>
      </w:r>
      <w:r w:rsidR="000C3000" w:rsidRPr="00440710">
        <w:rPr>
          <w:rFonts w:ascii="Arial" w:hAnsi="Arial" w:cs="Arial"/>
          <w:sz w:val="24"/>
          <w:szCs w:val="24"/>
        </w:rPr>
        <w:t>according</w:t>
      </w:r>
      <w:r w:rsidR="00F372AF" w:rsidRPr="00440710">
        <w:rPr>
          <w:rFonts w:ascii="Arial" w:hAnsi="Arial" w:cs="Arial"/>
          <w:sz w:val="24"/>
          <w:szCs w:val="24"/>
        </w:rPr>
        <w:t>ly.</w:t>
      </w:r>
    </w:p>
    <w:p w14:paraId="77017F64" w14:textId="77777777" w:rsidR="00160441" w:rsidRPr="00160441" w:rsidRDefault="00160441" w:rsidP="00160441">
      <w:pPr>
        <w:pStyle w:val="ListParagraph"/>
        <w:rPr>
          <w:rFonts w:ascii="Arial" w:hAnsi="Arial" w:cs="Arial"/>
          <w:sz w:val="24"/>
          <w:szCs w:val="24"/>
        </w:rPr>
      </w:pPr>
    </w:p>
    <w:p w14:paraId="4BC1938A" w14:textId="0517697C" w:rsidR="00F372AF" w:rsidRPr="00440710" w:rsidRDefault="00440710" w:rsidP="00440710">
      <w:pPr>
        <w:spacing w:line="360" w:lineRule="auto"/>
        <w:jc w:val="both"/>
        <w:rPr>
          <w:rFonts w:ascii="Arial" w:hAnsi="Arial" w:cs="Arial"/>
          <w:sz w:val="24"/>
          <w:szCs w:val="24"/>
        </w:rPr>
      </w:pPr>
      <w:r w:rsidRPr="00160441">
        <w:rPr>
          <w:rFonts w:ascii="Arial" w:hAnsi="Arial" w:cs="Arial"/>
          <w:sz w:val="24"/>
          <w:szCs w:val="24"/>
        </w:rPr>
        <w:t>[57]</w:t>
      </w:r>
      <w:r w:rsidRPr="00160441">
        <w:rPr>
          <w:rFonts w:ascii="Arial" w:hAnsi="Arial" w:cs="Arial"/>
          <w:sz w:val="24"/>
          <w:szCs w:val="24"/>
        </w:rPr>
        <w:tab/>
      </w:r>
      <w:r w:rsidR="00F372AF" w:rsidRPr="00440710">
        <w:rPr>
          <w:rFonts w:ascii="Arial" w:hAnsi="Arial" w:cs="Arial"/>
          <w:sz w:val="24"/>
          <w:szCs w:val="24"/>
        </w:rPr>
        <w:t>In the circumstances, the following order is made:</w:t>
      </w:r>
    </w:p>
    <w:p w14:paraId="37BE749F" w14:textId="77777777" w:rsidR="000C3000" w:rsidRDefault="000C3000" w:rsidP="001A491F">
      <w:pPr>
        <w:pStyle w:val="ListParagraph"/>
        <w:spacing w:line="360" w:lineRule="auto"/>
        <w:jc w:val="both"/>
        <w:rPr>
          <w:rFonts w:ascii="Arial" w:hAnsi="Arial" w:cs="Arial"/>
          <w:sz w:val="24"/>
          <w:szCs w:val="24"/>
        </w:rPr>
      </w:pPr>
    </w:p>
    <w:p w14:paraId="71E1470B" w14:textId="1A24D904" w:rsidR="00160441" w:rsidRPr="00440710" w:rsidRDefault="00440710" w:rsidP="00440710">
      <w:pPr>
        <w:spacing w:line="360" w:lineRule="auto"/>
        <w:ind w:left="720" w:hanging="11"/>
        <w:jc w:val="both"/>
        <w:rPr>
          <w:rFonts w:ascii="Arial" w:hAnsi="Arial" w:cs="Arial"/>
          <w:sz w:val="24"/>
          <w:szCs w:val="24"/>
        </w:rPr>
      </w:pPr>
      <w:r>
        <w:rPr>
          <w:rFonts w:ascii="Arial" w:hAnsi="Arial" w:cs="Arial"/>
          <w:sz w:val="24"/>
          <w:szCs w:val="24"/>
        </w:rPr>
        <w:t>(a)</w:t>
      </w:r>
      <w:r>
        <w:rPr>
          <w:rFonts w:ascii="Arial" w:hAnsi="Arial" w:cs="Arial"/>
          <w:sz w:val="24"/>
          <w:szCs w:val="24"/>
        </w:rPr>
        <w:tab/>
      </w:r>
      <w:r w:rsidR="000C3000" w:rsidRPr="00440710">
        <w:rPr>
          <w:rFonts w:ascii="Arial" w:hAnsi="Arial" w:cs="Arial"/>
          <w:sz w:val="24"/>
          <w:szCs w:val="24"/>
        </w:rPr>
        <w:t>t</w:t>
      </w:r>
      <w:r w:rsidR="00F372AF" w:rsidRPr="00440710">
        <w:rPr>
          <w:rFonts w:ascii="Arial" w:hAnsi="Arial" w:cs="Arial"/>
          <w:sz w:val="24"/>
          <w:szCs w:val="24"/>
        </w:rPr>
        <w:t>he defendant shall pay the plaintiff the amount of R90,000 for damages;</w:t>
      </w:r>
    </w:p>
    <w:p w14:paraId="4C8AEEFC" w14:textId="77777777" w:rsidR="00160441" w:rsidRDefault="00160441" w:rsidP="00160441">
      <w:pPr>
        <w:pStyle w:val="ListParagraph"/>
        <w:spacing w:line="360" w:lineRule="auto"/>
        <w:jc w:val="both"/>
        <w:rPr>
          <w:rFonts w:ascii="Arial" w:hAnsi="Arial" w:cs="Arial"/>
          <w:sz w:val="24"/>
          <w:szCs w:val="24"/>
        </w:rPr>
      </w:pPr>
    </w:p>
    <w:p w14:paraId="58A98F33" w14:textId="73D4484E" w:rsidR="00160441" w:rsidRPr="00440710" w:rsidRDefault="00440710" w:rsidP="00440710">
      <w:pPr>
        <w:spacing w:line="360" w:lineRule="auto"/>
        <w:ind w:left="1418" w:hanging="709"/>
        <w:jc w:val="both"/>
        <w:rPr>
          <w:rFonts w:ascii="Arial" w:hAnsi="Arial" w:cs="Arial"/>
          <w:sz w:val="24"/>
          <w:szCs w:val="24"/>
        </w:rPr>
      </w:pPr>
      <w:r>
        <w:rPr>
          <w:rFonts w:ascii="Arial" w:hAnsi="Arial" w:cs="Arial"/>
          <w:sz w:val="24"/>
          <w:szCs w:val="24"/>
        </w:rPr>
        <w:t>(b)</w:t>
      </w:r>
      <w:r>
        <w:rPr>
          <w:rFonts w:ascii="Arial" w:hAnsi="Arial" w:cs="Arial"/>
          <w:sz w:val="24"/>
          <w:szCs w:val="24"/>
        </w:rPr>
        <w:tab/>
      </w:r>
      <w:r w:rsidR="000C3000" w:rsidRPr="00440710">
        <w:rPr>
          <w:rFonts w:ascii="Arial" w:hAnsi="Arial" w:cs="Arial"/>
          <w:sz w:val="24"/>
          <w:szCs w:val="24"/>
        </w:rPr>
        <w:t>i</w:t>
      </w:r>
      <w:r w:rsidR="00F372AF" w:rsidRPr="00440710">
        <w:rPr>
          <w:rFonts w:ascii="Arial" w:hAnsi="Arial" w:cs="Arial"/>
          <w:sz w:val="24"/>
          <w:szCs w:val="24"/>
        </w:rPr>
        <w:t xml:space="preserve">nterest thereon shall be incurred at the legal rate, calculated from the date of service of summons until the date of final payment; and </w:t>
      </w:r>
    </w:p>
    <w:p w14:paraId="7BE780A6" w14:textId="77777777" w:rsidR="00160441" w:rsidRPr="00160441" w:rsidRDefault="00160441" w:rsidP="00160441">
      <w:pPr>
        <w:pStyle w:val="ListParagraph"/>
        <w:rPr>
          <w:rFonts w:ascii="Arial" w:hAnsi="Arial" w:cs="Arial"/>
          <w:sz w:val="24"/>
          <w:szCs w:val="24"/>
        </w:rPr>
      </w:pPr>
    </w:p>
    <w:p w14:paraId="000E9F4C" w14:textId="57E0F5AC" w:rsidR="00F372AF" w:rsidRPr="00440710" w:rsidRDefault="00440710" w:rsidP="00440710">
      <w:pPr>
        <w:spacing w:line="360" w:lineRule="auto"/>
        <w:ind w:left="1418" w:hanging="709"/>
        <w:jc w:val="both"/>
        <w:rPr>
          <w:rFonts w:ascii="Arial" w:hAnsi="Arial" w:cs="Arial"/>
          <w:sz w:val="24"/>
          <w:szCs w:val="24"/>
        </w:rPr>
      </w:pPr>
      <w:r w:rsidRPr="00160441">
        <w:rPr>
          <w:rFonts w:ascii="Arial" w:hAnsi="Arial" w:cs="Arial"/>
          <w:sz w:val="24"/>
          <w:szCs w:val="24"/>
        </w:rPr>
        <w:t>(c)</w:t>
      </w:r>
      <w:r w:rsidRPr="00160441">
        <w:rPr>
          <w:rFonts w:ascii="Arial" w:hAnsi="Arial" w:cs="Arial"/>
          <w:sz w:val="24"/>
          <w:szCs w:val="24"/>
        </w:rPr>
        <w:tab/>
      </w:r>
      <w:r w:rsidR="000C3000" w:rsidRPr="00440710">
        <w:rPr>
          <w:rFonts w:ascii="Arial" w:hAnsi="Arial" w:cs="Arial"/>
          <w:sz w:val="24"/>
          <w:szCs w:val="24"/>
        </w:rPr>
        <w:t>t</w:t>
      </w:r>
      <w:r w:rsidR="00F372AF" w:rsidRPr="00440710">
        <w:rPr>
          <w:rFonts w:ascii="Arial" w:hAnsi="Arial" w:cs="Arial"/>
          <w:sz w:val="24"/>
          <w:szCs w:val="24"/>
        </w:rPr>
        <w:t xml:space="preserve">he defendant shall pay </w:t>
      </w:r>
      <w:r w:rsidR="000C3000" w:rsidRPr="00440710">
        <w:rPr>
          <w:rFonts w:ascii="Arial" w:hAnsi="Arial" w:cs="Arial"/>
          <w:sz w:val="24"/>
          <w:szCs w:val="24"/>
        </w:rPr>
        <w:t>80% of the plaintiff's costs, on a High Court scale.</w:t>
      </w:r>
    </w:p>
    <w:p w14:paraId="700B7803" w14:textId="77777777" w:rsidR="000C3000" w:rsidRDefault="000C3000" w:rsidP="001A491F">
      <w:pPr>
        <w:spacing w:line="360" w:lineRule="auto"/>
        <w:jc w:val="both"/>
        <w:rPr>
          <w:rFonts w:ascii="Arial" w:hAnsi="Arial" w:cs="Arial"/>
          <w:sz w:val="24"/>
          <w:szCs w:val="24"/>
        </w:rPr>
      </w:pPr>
    </w:p>
    <w:p w14:paraId="4555F887" w14:textId="77777777" w:rsidR="000C3000" w:rsidRDefault="000C3000" w:rsidP="001A491F">
      <w:pPr>
        <w:spacing w:line="360" w:lineRule="auto"/>
        <w:jc w:val="both"/>
        <w:rPr>
          <w:rFonts w:ascii="Arial" w:hAnsi="Arial" w:cs="Arial"/>
          <w:sz w:val="24"/>
          <w:szCs w:val="24"/>
        </w:rPr>
      </w:pPr>
    </w:p>
    <w:p w14:paraId="7D728C0A" w14:textId="77777777" w:rsidR="00155F0C" w:rsidRDefault="00155F0C" w:rsidP="00155F0C">
      <w:pPr>
        <w:spacing w:line="240" w:lineRule="auto"/>
        <w:jc w:val="both"/>
        <w:rPr>
          <w:rFonts w:ascii="Arial" w:hAnsi="Arial" w:cs="Arial"/>
          <w:sz w:val="24"/>
          <w:szCs w:val="24"/>
        </w:rPr>
      </w:pPr>
    </w:p>
    <w:p w14:paraId="4A925B26" w14:textId="77777777" w:rsidR="009659B5" w:rsidRDefault="009659B5" w:rsidP="00155F0C">
      <w:pPr>
        <w:spacing w:line="240" w:lineRule="auto"/>
        <w:jc w:val="both"/>
        <w:rPr>
          <w:rFonts w:ascii="Arial" w:hAnsi="Arial" w:cs="Arial"/>
          <w:sz w:val="24"/>
          <w:szCs w:val="24"/>
        </w:rPr>
      </w:pPr>
    </w:p>
    <w:p w14:paraId="42E26C96" w14:textId="40EB2AB3" w:rsidR="00155F0C" w:rsidRDefault="0068318D" w:rsidP="00155F0C">
      <w:pPr>
        <w:spacing w:line="240" w:lineRule="auto"/>
        <w:jc w:val="both"/>
        <w:rPr>
          <w:rFonts w:ascii="Arial" w:hAnsi="Arial" w:cs="Arial"/>
          <w:sz w:val="24"/>
          <w:szCs w:val="24"/>
        </w:rPr>
      </w:pPr>
      <w:r>
        <w:rPr>
          <w:rFonts w:ascii="Arial" w:hAnsi="Arial" w:cs="Arial"/>
          <w:sz w:val="24"/>
          <w:szCs w:val="24"/>
        </w:rPr>
        <w:t>______</w:t>
      </w:r>
      <w:r w:rsidR="00155F0C">
        <w:rPr>
          <w:rFonts w:ascii="Arial" w:hAnsi="Arial" w:cs="Arial"/>
          <w:sz w:val="24"/>
          <w:szCs w:val="24"/>
        </w:rPr>
        <w:t>____________________</w:t>
      </w:r>
    </w:p>
    <w:p w14:paraId="09AE644A" w14:textId="5FB12B64" w:rsidR="000C3000" w:rsidRPr="000C3000" w:rsidRDefault="000C3000" w:rsidP="00155F0C">
      <w:pPr>
        <w:spacing w:line="240" w:lineRule="auto"/>
        <w:jc w:val="both"/>
        <w:rPr>
          <w:rFonts w:ascii="Arial" w:hAnsi="Arial" w:cs="Arial"/>
          <w:b/>
          <w:bCs/>
          <w:sz w:val="24"/>
          <w:szCs w:val="24"/>
        </w:rPr>
      </w:pPr>
      <w:r w:rsidRPr="000C3000">
        <w:rPr>
          <w:rFonts w:ascii="Arial" w:hAnsi="Arial" w:cs="Arial"/>
          <w:b/>
          <w:bCs/>
          <w:sz w:val="24"/>
          <w:szCs w:val="24"/>
        </w:rPr>
        <w:t>JGA LAING</w:t>
      </w:r>
    </w:p>
    <w:p w14:paraId="1DD5B5DE" w14:textId="7F28305A" w:rsidR="000C3000" w:rsidRDefault="000C3000" w:rsidP="00155F0C">
      <w:pPr>
        <w:spacing w:line="240" w:lineRule="auto"/>
        <w:jc w:val="both"/>
        <w:rPr>
          <w:rFonts w:ascii="Arial" w:hAnsi="Arial" w:cs="Arial"/>
          <w:b/>
          <w:bCs/>
          <w:sz w:val="24"/>
          <w:szCs w:val="24"/>
        </w:rPr>
      </w:pPr>
      <w:r w:rsidRPr="000C3000">
        <w:rPr>
          <w:rFonts w:ascii="Arial" w:hAnsi="Arial" w:cs="Arial"/>
          <w:b/>
          <w:bCs/>
          <w:sz w:val="24"/>
          <w:szCs w:val="24"/>
        </w:rPr>
        <w:t>JUDGE OF THE HIGH COURT</w:t>
      </w:r>
    </w:p>
    <w:p w14:paraId="4080EAFA" w14:textId="77777777" w:rsidR="002C0407" w:rsidRDefault="002C0407" w:rsidP="00160441">
      <w:pPr>
        <w:spacing w:line="240" w:lineRule="auto"/>
        <w:jc w:val="both"/>
        <w:rPr>
          <w:rFonts w:ascii="Arial" w:hAnsi="Arial" w:cs="Arial"/>
          <w:b/>
          <w:bCs/>
          <w:sz w:val="24"/>
          <w:szCs w:val="24"/>
        </w:rPr>
      </w:pPr>
    </w:p>
    <w:p w14:paraId="5663D414" w14:textId="77777777" w:rsidR="00155F0C" w:rsidRDefault="00155F0C" w:rsidP="00160441">
      <w:pPr>
        <w:spacing w:line="240" w:lineRule="auto"/>
        <w:jc w:val="both"/>
        <w:rPr>
          <w:rFonts w:ascii="Arial" w:hAnsi="Arial" w:cs="Arial"/>
          <w:b/>
          <w:bCs/>
          <w:sz w:val="24"/>
          <w:szCs w:val="24"/>
        </w:rPr>
      </w:pPr>
    </w:p>
    <w:p w14:paraId="59C30C09" w14:textId="45B56BC4" w:rsidR="002C0407" w:rsidRDefault="002C0407" w:rsidP="00160441">
      <w:pPr>
        <w:spacing w:line="240" w:lineRule="auto"/>
        <w:jc w:val="both"/>
        <w:rPr>
          <w:rFonts w:ascii="Arial" w:hAnsi="Arial" w:cs="Arial"/>
          <w:b/>
          <w:bCs/>
          <w:sz w:val="24"/>
          <w:szCs w:val="24"/>
        </w:rPr>
      </w:pPr>
      <w:r>
        <w:rPr>
          <w:rFonts w:ascii="Arial" w:hAnsi="Arial" w:cs="Arial"/>
          <w:b/>
          <w:bCs/>
          <w:sz w:val="24"/>
          <w:szCs w:val="24"/>
        </w:rPr>
        <w:t>APPEARANCES</w:t>
      </w:r>
    </w:p>
    <w:p w14:paraId="3693CC45" w14:textId="2C327B4F" w:rsidR="00FB5817" w:rsidRDefault="00FB5817" w:rsidP="00160441">
      <w:pPr>
        <w:spacing w:line="240" w:lineRule="auto"/>
        <w:jc w:val="both"/>
        <w:rPr>
          <w:rFonts w:ascii="Arial" w:hAnsi="Arial" w:cs="Arial"/>
          <w:sz w:val="24"/>
          <w:szCs w:val="24"/>
        </w:rPr>
      </w:pPr>
      <w:r w:rsidRPr="00FB5817">
        <w:rPr>
          <w:rFonts w:ascii="Arial" w:hAnsi="Arial" w:cs="Arial"/>
          <w:sz w:val="24"/>
          <w:szCs w:val="24"/>
        </w:rPr>
        <w:t>For the plaintiff:</w:t>
      </w:r>
      <w:r w:rsidRPr="00FB5817">
        <w:rPr>
          <w:rFonts w:ascii="Arial" w:hAnsi="Arial" w:cs="Arial"/>
          <w:sz w:val="24"/>
          <w:szCs w:val="24"/>
        </w:rPr>
        <w:tab/>
      </w:r>
      <w:r w:rsidRPr="00FB5817">
        <w:rPr>
          <w:rFonts w:ascii="Arial" w:hAnsi="Arial" w:cs="Arial"/>
          <w:sz w:val="24"/>
          <w:szCs w:val="24"/>
        </w:rPr>
        <w:tab/>
      </w:r>
      <w:r w:rsidRPr="00FB5817">
        <w:rPr>
          <w:rFonts w:ascii="Arial" w:hAnsi="Arial" w:cs="Arial"/>
          <w:sz w:val="24"/>
          <w:szCs w:val="24"/>
        </w:rPr>
        <w:tab/>
        <w:t xml:space="preserve">Adv </w:t>
      </w:r>
      <w:r>
        <w:rPr>
          <w:rFonts w:ascii="Arial" w:hAnsi="Arial" w:cs="Arial"/>
          <w:sz w:val="24"/>
          <w:szCs w:val="24"/>
        </w:rPr>
        <w:t xml:space="preserve">Metu </w:t>
      </w:r>
    </w:p>
    <w:p w14:paraId="2E9A3649" w14:textId="49BB2976" w:rsidR="00FB5817" w:rsidRDefault="00FB5817" w:rsidP="00160441">
      <w:pPr>
        <w:spacing w:line="24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Sotenjwa Attorneys </w:t>
      </w:r>
    </w:p>
    <w:p w14:paraId="2BEFB8E2" w14:textId="16655D5B" w:rsidR="00FB5817" w:rsidRDefault="00FB5817" w:rsidP="00160441">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Global House, First Floor</w:t>
      </w:r>
    </w:p>
    <w:p w14:paraId="0E3255F9" w14:textId="3071BCD1" w:rsidR="00FB5817" w:rsidRDefault="00FB5817" w:rsidP="00160441">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 Pearce Street</w:t>
      </w:r>
      <w:r w:rsidR="00DA7934">
        <w:rPr>
          <w:rFonts w:ascii="Arial" w:hAnsi="Arial" w:cs="Arial"/>
          <w:sz w:val="24"/>
          <w:szCs w:val="24"/>
        </w:rPr>
        <w:t xml:space="preserve">, Berea </w:t>
      </w:r>
    </w:p>
    <w:p w14:paraId="7B88225B" w14:textId="152E68A8" w:rsidR="00DA7934" w:rsidRDefault="00DA7934" w:rsidP="00160441">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East London</w:t>
      </w:r>
      <w:r>
        <w:rPr>
          <w:rFonts w:ascii="Arial" w:hAnsi="Arial" w:cs="Arial"/>
          <w:sz w:val="24"/>
          <w:szCs w:val="24"/>
        </w:rPr>
        <w:tab/>
      </w:r>
    </w:p>
    <w:p w14:paraId="21A99144" w14:textId="0178DFCD" w:rsidR="00DA7934" w:rsidRDefault="00DA7934" w:rsidP="00160441">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074 575 9674</w:t>
      </w:r>
    </w:p>
    <w:p w14:paraId="48FF3460" w14:textId="77777777" w:rsidR="00DA7934" w:rsidRDefault="00DA7934" w:rsidP="00160441">
      <w:pPr>
        <w:spacing w:line="240" w:lineRule="auto"/>
        <w:jc w:val="both"/>
        <w:rPr>
          <w:rFonts w:ascii="Arial" w:hAnsi="Arial" w:cs="Arial"/>
          <w:sz w:val="24"/>
          <w:szCs w:val="24"/>
        </w:rPr>
      </w:pPr>
    </w:p>
    <w:p w14:paraId="06A4680B" w14:textId="60F3BBCF" w:rsidR="00DA7934" w:rsidRDefault="00DA7934" w:rsidP="00160441">
      <w:pPr>
        <w:spacing w:line="240" w:lineRule="auto"/>
        <w:jc w:val="both"/>
        <w:rPr>
          <w:rFonts w:ascii="Arial" w:hAnsi="Arial" w:cs="Arial"/>
          <w:sz w:val="24"/>
          <w:szCs w:val="24"/>
        </w:rPr>
      </w:pPr>
      <w:r>
        <w:rPr>
          <w:rFonts w:ascii="Arial" w:hAnsi="Arial" w:cs="Arial"/>
          <w:sz w:val="24"/>
          <w:szCs w:val="24"/>
        </w:rPr>
        <w:t>For the defendant: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Adv Nabela </w:t>
      </w:r>
    </w:p>
    <w:p w14:paraId="58A3F92F" w14:textId="40B0FD57" w:rsidR="00DA7934" w:rsidRDefault="00DA7934" w:rsidP="00160441">
      <w:pPr>
        <w:spacing w:line="24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t>Office of The State Attorney</w:t>
      </w:r>
    </w:p>
    <w:p w14:paraId="590F3047" w14:textId="66B82003" w:rsidR="00DA7934" w:rsidRDefault="00DA7934" w:rsidP="00160441">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East London</w:t>
      </w:r>
    </w:p>
    <w:p w14:paraId="0B87250E" w14:textId="44E6D64D" w:rsidR="00DA7934" w:rsidRDefault="00DA7934" w:rsidP="00160441">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043 706 5100</w:t>
      </w:r>
    </w:p>
    <w:p w14:paraId="37608766" w14:textId="77777777" w:rsidR="00BE5F7F" w:rsidRDefault="00BE5F7F" w:rsidP="00160441">
      <w:pPr>
        <w:spacing w:line="240" w:lineRule="auto"/>
        <w:jc w:val="both"/>
        <w:rPr>
          <w:rFonts w:ascii="Arial" w:hAnsi="Arial" w:cs="Arial"/>
          <w:sz w:val="24"/>
          <w:szCs w:val="24"/>
        </w:rPr>
      </w:pPr>
    </w:p>
    <w:p w14:paraId="162DFB4B" w14:textId="6C098958" w:rsidR="00BE5F7F" w:rsidRDefault="00BE5F7F" w:rsidP="00160441">
      <w:pPr>
        <w:spacing w:line="240" w:lineRule="auto"/>
        <w:jc w:val="both"/>
        <w:rPr>
          <w:rFonts w:ascii="Arial" w:hAnsi="Arial" w:cs="Arial"/>
          <w:sz w:val="24"/>
          <w:szCs w:val="24"/>
        </w:rPr>
      </w:pPr>
      <w:r>
        <w:rPr>
          <w:rFonts w:ascii="Arial" w:hAnsi="Arial" w:cs="Arial"/>
          <w:sz w:val="24"/>
          <w:szCs w:val="24"/>
        </w:rPr>
        <w:t>Dates of hearing:</w:t>
      </w:r>
      <w:r>
        <w:rPr>
          <w:rFonts w:ascii="Arial" w:hAnsi="Arial" w:cs="Arial"/>
          <w:sz w:val="24"/>
          <w:szCs w:val="24"/>
        </w:rPr>
        <w:tab/>
      </w:r>
      <w:r>
        <w:rPr>
          <w:rFonts w:ascii="Arial" w:hAnsi="Arial" w:cs="Arial"/>
          <w:sz w:val="24"/>
          <w:szCs w:val="24"/>
        </w:rPr>
        <w:tab/>
      </w:r>
      <w:r>
        <w:rPr>
          <w:rFonts w:ascii="Arial" w:hAnsi="Arial" w:cs="Arial"/>
          <w:sz w:val="24"/>
          <w:szCs w:val="24"/>
        </w:rPr>
        <w:tab/>
        <w:t>15 – 16 November 2023 and 21 February 2024.</w:t>
      </w:r>
    </w:p>
    <w:p w14:paraId="76BBAA26" w14:textId="6DF5068F" w:rsidR="00BE5F7F" w:rsidRPr="00FB5817" w:rsidRDefault="00BE5F7F" w:rsidP="00160441">
      <w:pPr>
        <w:spacing w:line="240" w:lineRule="auto"/>
        <w:jc w:val="both"/>
        <w:rPr>
          <w:rFonts w:ascii="Arial" w:hAnsi="Arial" w:cs="Arial"/>
          <w:sz w:val="24"/>
          <w:szCs w:val="24"/>
        </w:rPr>
      </w:pPr>
      <w:r>
        <w:rPr>
          <w:rFonts w:ascii="Arial" w:hAnsi="Arial" w:cs="Arial"/>
          <w:sz w:val="24"/>
          <w:szCs w:val="24"/>
        </w:rPr>
        <w:t>Date of delivery of judgment:</w:t>
      </w:r>
      <w:r>
        <w:rPr>
          <w:rFonts w:ascii="Arial" w:hAnsi="Arial" w:cs="Arial"/>
          <w:sz w:val="24"/>
          <w:szCs w:val="24"/>
        </w:rPr>
        <w:tab/>
      </w:r>
      <w:r w:rsidR="00155F0C">
        <w:rPr>
          <w:rFonts w:ascii="Arial" w:hAnsi="Arial" w:cs="Arial"/>
          <w:sz w:val="24"/>
          <w:szCs w:val="24"/>
        </w:rPr>
        <w:t>21 May 2024.</w:t>
      </w:r>
    </w:p>
    <w:p w14:paraId="53C79006" w14:textId="77777777" w:rsidR="003D3966" w:rsidRPr="0009305D" w:rsidRDefault="003D3966" w:rsidP="001A491F">
      <w:pPr>
        <w:spacing w:line="360" w:lineRule="auto"/>
        <w:jc w:val="both"/>
        <w:rPr>
          <w:rFonts w:ascii="Arial" w:hAnsi="Arial" w:cs="Arial"/>
          <w:sz w:val="24"/>
          <w:szCs w:val="24"/>
        </w:rPr>
      </w:pPr>
    </w:p>
    <w:p w14:paraId="3A09A022" w14:textId="77777777" w:rsidR="00EA3D56" w:rsidRPr="0009305D" w:rsidRDefault="00EA3D56" w:rsidP="001A491F">
      <w:pPr>
        <w:spacing w:line="360" w:lineRule="auto"/>
        <w:jc w:val="both"/>
        <w:rPr>
          <w:rFonts w:ascii="Arial" w:hAnsi="Arial" w:cs="Arial"/>
          <w:sz w:val="24"/>
          <w:szCs w:val="24"/>
        </w:rPr>
      </w:pPr>
    </w:p>
    <w:p w14:paraId="5F652449" w14:textId="77777777" w:rsidR="00126C10" w:rsidRPr="00EA3D56" w:rsidRDefault="00126C10" w:rsidP="001A491F">
      <w:pPr>
        <w:spacing w:line="360" w:lineRule="auto"/>
        <w:jc w:val="both"/>
        <w:rPr>
          <w:rFonts w:ascii="Arial" w:hAnsi="Arial" w:cs="Arial"/>
          <w:sz w:val="24"/>
          <w:szCs w:val="24"/>
          <w:lang w:val="en-US"/>
        </w:rPr>
      </w:pPr>
    </w:p>
    <w:sectPr w:rsidR="00126C10" w:rsidRPr="00EA3D56" w:rsidSect="00AF367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43A65" w14:textId="77777777" w:rsidR="00E14838" w:rsidRPr="0009305D" w:rsidRDefault="00E14838" w:rsidP="00944EBE">
      <w:pPr>
        <w:spacing w:after="0" w:line="240" w:lineRule="auto"/>
      </w:pPr>
      <w:r w:rsidRPr="0009305D">
        <w:separator/>
      </w:r>
    </w:p>
  </w:endnote>
  <w:endnote w:type="continuationSeparator" w:id="0">
    <w:p w14:paraId="30366707" w14:textId="77777777" w:rsidR="00E14838" w:rsidRPr="0009305D" w:rsidRDefault="00E14838" w:rsidP="00944EBE">
      <w:pPr>
        <w:spacing w:after="0" w:line="240" w:lineRule="auto"/>
      </w:pPr>
      <w:r w:rsidRPr="0009305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08773" w14:textId="77777777" w:rsidR="00E14838" w:rsidRPr="0009305D" w:rsidRDefault="00E14838" w:rsidP="00944EBE">
      <w:pPr>
        <w:spacing w:after="0" w:line="240" w:lineRule="auto"/>
      </w:pPr>
      <w:r w:rsidRPr="0009305D">
        <w:separator/>
      </w:r>
    </w:p>
  </w:footnote>
  <w:footnote w:type="continuationSeparator" w:id="0">
    <w:p w14:paraId="4EC29638" w14:textId="77777777" w:rsidR="00E14838" w:rsidRPr="0009305D" w:rsidRDefault="00E14838" w:rsidP="00944EBE">
      <w:pPr>
        <w:spacing w:after="0" w:line="240" w:lineRule="auto"/>
      </w:pPr>
      <w:r w:rsidRPr="0009305D">
        <w:continuationSeparator/>
      </w:r>
    </w:p>
  </w:footnote>
  <w:footnote w:id="1">
    <w:p w14:paraId="5DD4D24D" w14:textId="4C56BD36" w:rsidR="00944EBE" w:rsidRPr="0009305D" w:rsidRDefault="00944EBE" w:rsidP="00AF3678">
      <w:pPr>
        <w:pStyle w:val="FootnoteText"/>
        <w:jc w:val="both"/>
      </w:pPr>
      <w:r w:rsidRPr="0009305D">
        <w:rPr>
          <w:rStyle w:val="FootnoteReference"/>
        </w:rPr>
        <w:footnoteRef/>
      </w:r>
      <w:r w:rsidRPr="0009305D">
        <w:t xml:space="preserve"> Section 40(1)</w:t>
      </w:r>
      <w:r w:rsidR="00A409AD" w:rsidRPr="0009305D">
        <w:t>(b).</w:t>
      </w:r>
    </w:p>
  </w:footnote>
  <w:footnote w:id="2">
    <w:p w14:paraId="7573CD72" w14:textId="6CB23E4E" w:rsidR="007D0F32" w:rsidRPr="0009305D" w:rsidRDefault="007D0F32" w:rsidP="00AF3678">
      <w:pPr>
        <w:pStyle w:val="FootnoteText"/>
        <w:jc w:val="both"/>
      </w:pPr>
      <w:r w:rsidRPr="0009305D">
        <w:rPr>
          <w:rStyle w:val="FootnoteReference"/>
        </w:rPr>
        <w:footnoteRef/>
      </w:r>
      <w:r w:rsidRPr="0009305D">
        <w:t xml:space="preserve"> [1986] 2 All SA 241 (A).</w:t>
      </w:r>
    </w:p>
  </w:footnote>
  <w:footnote w:id="3">
    <w:p w14:paraId="4ABF0E3F" w14:textId="1501CC2A" w:rsidR="007D482F" w:rsidRPr="0009305D" w:rsidRDefault="007D482F" w:rsidP="00AF3678">
      <w:pPr>
        <w:pStyle w:val="FootnoteText"/>
        <w:jc w:val="both"/>
      </w:pPr>
      <w:r w:rsidRPr="0009305D">
        <w:rPr>
          <w:rStyle w:val="FootnoteReference"/>
        </w:rPr>
        <w:footnoteRef/>
      </w:r>
      <w:r w:rsidRPr="0009305D">
        <w:t xml:space="preserve"> At 248.</w:t>
      </w:r>
    </w:p>
  </w:footnote>
  <w:footnote w:id="4">
    <w:p w14:paraId="0B7DCEFF" w14:textId="77777777" w:rsidR="00944EBE" w:rsidRPr="0009305D" w:rsidRDefault="00944EBE" w:rsidP="00AF3678">
      <w:pPr>
        <w:pStyle w:val="FootnoteText"/>
        <w:jc w:val="both"/>
      </w:pPr>
      <w:r w:rsidRPr="0009305D">
        <w:rPr>
          <w:rStyle w:val="FootnoteReference"/>
        </w:rPr>
        <w:footnoteRef/>
      </w:r>
      <w:r w:rsidRPr="0009305D">
        <w:t xml:space="preserve"> [1958] 3 All SA 125 (T).</w:t>
      </w:r>
    </w:p>
  </w:footnote>
  <w:footnote w:id="5">
    <w:p w14:paraId="0E03E08E" w14:textId="3F3C1921" w:rsidR="007D0F32" w:rsidRPr="0009305D" w:rsidRDefault="007D0F32" w:rsidP="00AF3678">
      <w:pPr>
        <w:pStyle w:val="FootnoteText"/>
        <w:jc w:val="both"/>
      </w:pPr>
      <w:r w:rsidRPr="0009305D">
        <w:rPr>
          <w:rStyle w:val="FootnoteReference"/>
        </w:rPr>
        <w:footnoteRef/>
      </w:r>
      <w:r w:rsidRPr="0009305D">
        <w:t xml:space="preserve"> At 128.</w:t>
      </w:r>
    </w:p>
  </w:footnote>
  <w:footnote w:id="6">
    <w:p w14:paraId="747ABF10" w14:textId="77777777" w:rsidR="00944EBE" w:rsidRPr="0009305D" w:rsidRDefault="00944EBE" w:rsidP="00AF3678">
      <w:pPr>
        <w:pStyle w:val="FootnoteText"/>
        <w:jc w:val="both"/>
      </w:pPr>
      <w:r w:rsidRPr="0009305D">
        <w:rPr>
          <w:rStyle w:val="FootnoteReference"/>
        </w:rPr>
        <w:footnoteRef/>
      </w:r>
      <w:r w:rsidRPr="0009305D">
        <w:t xml:space="preserve"> [1988] 3 All SA 408 (SE).</w:t>
      </w:r>
    </w:p>
  </w:footnote>
  <w:footnote w:id="7">
    <w:p w14:paraId="0D234163" w14:textId="77777777" w:rsidR="004B2FD7" w:rsidRPr="0009305D" w:rsidRDefault="004B2FD7" w:rsidP="00AF3678">
      <w:pPr>
        <w:pStyle w:val="FootnoteText"/>
        <w:jc w:val="both"/>
      </w:pPr>
      <w:r w:rsidRPr="0009305D">
        <w:rPr>
          <w:rStyle w:val="FootnoteReference"/>
        </w:rPr>
        <w:footnoteRef/>
      </w:r>
      <w:r w:rsidRPr="0009305D">
        <w:t xml:space="preserve"> At 410-1. The court also referred to </w:t>
      </w:r>
      <w:r w:rsidRPr="0009305D">
        <w:rPr>
          <w:i/>
          <w:iCs/>
        </w:rPr>
        <w:t>S v Nel and another</w:t>
      </w:r>
      <w:r w:rsidRPr="0009305D">
        <w:t xml:space="preserve"> 1980 (4) SA 28 (E).</w:t>
      </w:r>
    </w:p>
  </w:footnote>
  <w:footnote w:id="8">
    <w:p w14:paraId="48D4022D" w14:textId="562AC65F" w:rsidR="00944EBE" w:rsidRPr="0009305D" w:rsidRDefault="00944EBE" w:rsidP="00AF3678">
      <w:pPr>
        <w:pStyle w:val="FootnoteText"/>
        <w:jc w:val="both"/>
      </w:pPr>
      <w:r w:rsidRPr="0009305D">
        <w:rPr>
          <w:rStyle w:val="FootnoteReference"/>
        </w:rPr>
        <w:footnoteRef/>
      </w:r>
      <w:r w:rsidRPr="0009305D">
        <w:t xml:space="preserve"> </w:t>
      </w:r>
      <w:r w:rsidR="004B2FD7" w:rsidRPr="0009305D">
        <w:t>2023 (1) SACR 235 (SCA)</w:t>
      </w:r>
      <w:r w:rsidRPr="0009305D">
        <w:t>.</w:t>
      </w:r>
    </w:p>
  </w:footnote>
  <w:footnote w:id="9">
    <w:p w14:paraId="08644155" w14:textId="77777777" w:rsidR="00944EBE" w:rsidRPr="0009305D" w:rsidRDefault="00944EBE" w:rsidP="00AF3678">
      <w:pPr>
        <w:pStyle w:val="FootnoteText"/>
        <w:jc w:val="both"/>
      </w:pPr>
      <w:r w:rsidRPr="0009305D">
        <w:rPr>
          <w:rStyle w:val="FootnoteReference"/>
        </w:rPr>
        <w:footnoteRef/>
      </w:r>
      <w:r w:rsidRPr="0009305D">
        <w:t xml:space="preserve"> [2011] 2 All SA 157 (SCA).</w:t>
      </w:r>
    </w:p>
  </w:footnote>
  <w:footnote w:id="10">
    <w:p w14:paraId="28521A6A" w14:textId="5D9F29D8" w:rsidR="0077209D" w:rsidRPr="0009305D" w:rsidRDefault="0077209D" w:rsidP="00AF3678">
      <w:pPr>
        <w:pStyle w:val="FootnoteText"/>
        <w:jc w:val="both"/>
      </w:pPr>
      <w:r w:rsidRPr="0009305D">
        <w:rPr>
          <w:rStyle w:val="FootnoteReference"/>
        </w:rPr>
        <w:footnoteRef/>
      </w:r>
      <w:r w:rsidRPr="0009305D">
        <w:t xml:space="preserve"> At paragraph [39].</w:t>
      </w:r>
    </w:p>
  </w:footnote>
  <w:footnote w:id="11">
    <w:p w14:paraId="056CD53B" w14:textId="58118CD0" w:rsidR="0077209D" w:rsidRPr="0009305D" w:rsidRDefault="0077209D" w:rsidP="00AF3678">
      <w:pPr>
        <w:pStyle w:val="FootnoteText"/>
        <w:jc w:val="both"/>
      </w:pPr>
      <w:r w:rsidRPr="0009305D">
        <w:rPr>
          <w:rStyle w:val="FootnoteReference"/>
        </w:rPr>
        <w:footnoteRef/>
      </w:r>
      <w:r w:rsidRPr="0009305D">
        <w:t xml:space="preserve"> At paragraph [44].</w:t>
      </w:r>
    </w:p>
  </w:footnote>
  <w:footnote w:id="12">
    <w:p w14:paraId="0F7C510C" w14:textId="40045329" w:rsidR="000B327A" w:rsidRPr="0009305D" w:rsidRDefault="000B327A" w:rsidP="00AF3678">
      <w:pPr>
        <w:pStyle w:val="FootnoteText"/>
        <w:jc w:val="both"/>
      </w:pPr>
      <w:r w:rsidRPr="0009305D">
        <w:rPr>
          <w:rStyle w:val="FootnoteReference"/>
        </w:rPr>
        <w:footnoteRef/>
      </w:r>
      <w:r w:rsidRPr="0009305D">
        <w:t xml:space="preserve"> 2004 (1) SACR 131 (TPD).</w:t>
      </w:r>
    </w:p>
  </w:footnote>
  <w:footnote w:id="13">
    <w:p w14:paraId="7908F657" w14:textId="0F5E3B9E" w:rsidR="000B327A" w:rsidRPr="0009305D" w:rsidRDefault="000B327A" w:rsidP="00AF3678">
      <w:pPr>
        <w:pStyle w:val="FootnoteText"/>
        <w:jc w:val="both"/>
      </w:pPr>
      <w:r w:rsidRPr="0009305D">
        <w:rPr>
          <w:rStyle w:val="FootnoteReference"/>
        </w:rPr>
        <w:footnoteRef/>
      </w:r>
      <w:r w:rsidRPr="0009305D">
        <w:t xml:space="preserve"> At paragraph [9].</w:t>
      </w:r>
      <w:r w:rsidR="0025712B" w:rsidRPr="0009305D">
        <w:t xml:space="preserve"> See the decision of the erstwhile Appellate Division in </w:t>
      </w:r>
      <w:r w:rsidR="0025712B" w:rsidRPr="0009305D">
        <w:rPr>
          <w:i/>
          <w:iCs/>
        </w:rPr>
        <w:t>Minister of Law and Order and others v Hurley and another</w:t>
      </w:r>
      <w:r w:rsidR="0025712B" w:rsidRPr="0009305D">
        <w:t xml:space="preserve"> 1986 (3) SA 568 (A), at 589E- F.</w:t>
      </w:r>
    </w:p>
  </w:footnote>
  <w:footnote w:id="14">
    <w:p w14:paraId="4ECBF4B0" w14:textId="017CC55B" w:rsidR="00D0052E" w:rsidRPr="0009305D" w:rsidRDefault="00D0052E" w:rsidP="00AF3678">
      <w:pPr>
        <w:pStyle w:val="FootnoteText"/>
        <w:jc w:val="both"/>
      </w:pPr>
      <w:r w:rsidRPr="0009305D">
        <w:rPr>
          <w:rStyle w:val="FootnoteReference"/>
        </w:rPr>
        <w:footnoteRef/>
      </w:r>
      <w:r w:rsidRPr="0009305D">
        <w:t xml:space="preserve"> The exact number appears to have been more; it was common cause that the trial bundle indicated that at least eight suspects were detained on the day in question.</w:t>
      </w:r>
    </w:p>
  </w:footnote>
  <w:footnote w:id="15">
    <w:p w14:paraId="1CDC8CE9" w14:textId="0ED23CE6" w:rsidR="008C4BC2" w:rsidRPr="008C4BC2" w:rsidRDefault="008C4BC2" w:rsidP="00AF3678">
      <w:pPr>
        <w:pStyle w:val="FootnoteText"/>
        <w:jc w:val="both"/>
        <w:rPr>
          <w:lang w:val="en-US"/>
        </w:rPr>
      </w:pPr>
      <w:r w:rsidRPr="0009305D">
        <w:rPr>
          <w:rStyle w:val="FootnoteReference"/>
        </w:rPr>
        <w:footnoteRef/>
      </w:r>
      <w:r w:rsidRPr="0009305D">
        <w:t xml:space="preserve"> Emphasis added. Own transcription.</w:t>
      </w:r>
    </w:p>
  </w:footnote>
  <w:footnote w:id="16">
    <w:p w14:paraId="2201CC02" w14:textId="05A48700" w:rsidR="006F6105" w:rsidRPr="00DD2BEB" w:rsidRDefault="006F6105" w:rsidP="00AF3678">
      <w:pPr>
        <w:pStyle w:val="FootnoteText"/>
        <w:jc w:val="both"/>
        <w:rPr>
          <w:lang w:val="en-US"/>
        </w:rPr>
      </w:pPr>
      <w:r>
        <w:rPr>
          <w:rStyle w:val="FootnoteReference"/>
        </w:rPr>
        <w:footnoteRef/>
      </w:r>
      <w:r>
        <w:t xml:space="preserve"> </w:t>
      </w:r>
      <w:r>
        <w:rPr>
          <w:lang w:val="en-US"/>
        </w:rPr>
        <w:t>2020 JDR 1610 (ECG), at paragraph [51].</w:t>
      </w:r>
    </w:p>
  </w:footnote>
  <w:footnote w:id="17">
    <w:p w14:paraId="3F557AE0" w14:textId="6E401629" w:rsidR="00787361" w:rsidRPr="00787361" w:rsidRDefault="00787361" w:rsidP="00AF3678">
      <w:pPr>
        <w:pStyle w:val="FootnoteText"/>
        <w:jc w:val="both"/>
        <w:rPr>
          <w:lang w:val="en-US"/>
        </w:rPr>
      </w:pPr>
      <w:r>
        <w:rPr>
          <w:rStyle w:val="FootnoteReference"/>
        </w:rPr>
        <w:footnoteRef/>
      </w:r>
      <w:r>
        <w:t xml:space="preserve"> </w:t>
      </w:r>
      <w:r>
        <w:rPr>
          <w:lang w:val="en-US"/>
        </w:rPr>
        <w:t xml:space="preserve">See n 7, </w:t>
      </w:r>
      <w:r w:rsidRPr="00787361">
        <w:rPr>
          <w:i/>
          <w:iCs/>
          <w:lang w:val="en-US"/>
        </w:rPr>
        <w:t>supra</w:t>
      </w:r>
      <w:r>
        <w:rPr>
          <w:lang w:val="en-US"/>
        </w:rPr>
        <w:t>.</w:t>
      </w:r>
    </w:p>
  </w:footnote>
  <w:footnote w:id="18">
    <w:p w14:paraId="2C2B8D29" w14:textId="05B5F642" w:rsidR="00787361" w:rsidRPr="00787361" w:rsidRDefault="00787361" w:rsidP="00AF3678">
      <w:pPr>
        <w:pStyle w:val="FootnoteText"/>
        <w:jc w:val="both"/>
        <w:rPr>
          <w:lang w:val="en-US"/>
        </w:rPr>
      </w:pPr>
      <w:r>
        <w:rPr>
          <w:rStyle w:val="FootnoteReference"/>
        </w:rPr>
        <w:footnoteRef/>
      </w:r>
      <w:r>
        <w:t xml:space="preserve"> </w:t>
      </w:r>
      <w:r>
        <w:rPr>
          <w:lang w:val="en-US"/>
        </w:rPr>
        <w:t xml:space="preserve">See n 8, </w:t>
      </w:r>
      <w:r w:rsidRPr="00787361">
        <w:rPr>
          <w:i/>
          <w:iCs/>
          <w:lang w:val="en-US"/>
        </w:rPr>
        <w:t>supra</w:t>
      </w:r>
      <w:r>
        <w:rPr>
          <w:lang w:val="en-US"/>
        </w:rPr>
        <w:t>.</w:t>
      </w:r>
    </w:p>
  </w:footnote>
  <w:footnote w:id="19">
    <w:p w14:paraId="138574D1" w14:textId="269B5656" w:rsidR="00787361" w:rsidRPr="00787361" w:rsidRDefault="00787361" w:rsidP="00AF3678">
      <w:pPr>
        <w:pStyle w:val="FootnoteText"/>
        <w:jc w:val="both"/>
        <w:rPr>
          <w:lang w:val="en-US"/>
        </w:rPr>
      </w:pPr>
      <w:r>
        <w:rPr>
          <w:rStyle w:val="FootnoteReference"/>
        </w:rPr>
        <w:footnoteRef/>
      </w:r>
      <w:r>
        <w:t xml:space="preserve"> </w:t>
      </w:r>
      <w:r>
        <w:rPr>
          <w:lang w:val="en-US"/>
        </w:rPr>
        <w:t>2020 (1) SACR (CC).</w:t>
      </w:r>
    </w:p>
  </w:footnote>
  <w:footnote w:id="20">
    <w:p w14:paraId="2A57E4F3" w14:textId="0F3B7EF8" w:rsidR="00B0716B" w:rsidRPr="00B0716B" w:rsidRDefault="00B0716B" w:rsidP="00AF3678">
      <w:pPr>
        <w:pStyle w:val="FootnoteText"/>
        <w:jc w:val="both"/>
        <w:rPr>
          <w:lang w:val="en-US"/>
        </w:rPr>
      </w:pPr>
      <w:r>
        <w:rPr>
          <w:rStyle w:val="FootnoteReference"/>
        </w:rPr>
        <w:footnoteRef/>
      </w:r>
      <w:r>
        <w:t xml:space="preserve"> </w:t>
      </w:r>
      <w:r>
        <w:rPr>
          <w:lang w:val="en-US"/>
        </w:rPr>
        <w:t xml:space="preserve">At paragraph [62]. See, too, </w:t>
      </w:r>
      <w:r w:rsidRPr="00B0716B">
        <w:rPr>
          <w:i/>
          <w:iCs/>
          <w:lang w:val="en-US"/>
        </w:rPr>
        <w:t>S v Coetzee and others</w:t>
      </w:r>
      <w:r>
        <w:rPr>
          <w:lang w:val="en-US"/>
        </w:rPr>
        <w:t xml:space="preserve"> 1997 (1) SACR 379 (CC), at paragraph 159.</w:t>
      </w:r>
    </w:p>
  </w:footnote>
  <w:footnote w:id="21">
    <w:p w14:paraId="45B7BB07" w14:textId="77777777" w:rsidR="00EF68DD" w:rsidRPr="00BC33EC" w:rsidRDefault="00EF68DD" w:rsidP="00AF3678">
      <w:pPr>
        <w:pStyle w:val="FootnoteText"/>
        <w:jc w:val="both"/>
        <w:rPr>
          <w:lang w:val="en-US"/>
        </w:rPr>
      </w:pPr>
      <w:r>
        <w:rPr>
          <w:rStyle w:val="FootnoteReference"/>
        </w:rPr>
        <w:footnoteRef/>
      </w:r>
      <w:r>
        <w:t xml:space="preserve"> </w:t>
      </w:r>
      <w:r>
        <w:rPr>
          <w:lang w:val="en-US"/>
        </w:rPr>
        <w:t>2015 JDR 2680 (ECG).</w:t>
      </w:r>
    </w:p>
  </w:footnote>
  <w:footnote w:id="22">
    <w:p w14:paraId="348ED1C9" w14:textId="77777777" w:rsidR="00EF68DD" w:rsidRPr="001B5BA4" w:rsidRDefault="00EF68DD" w:rsidP="00AF3678">
      <w:pPr>
        <w:pStyle w:val="FootnoteText"/>
        <w:jc w:val="both"/>
        <w:rPr>
          <w:lang w:val="en-US"/>
        </w:rPr>
      </w:pPr>
      <w:r>
        <w:rPr>
          <w:rStyle w:val="FootnoteReference"/>
        </w:rPr>
        <w:footnoteRef/>
      </w:r>
      <w:r>
        <w:t xml:space="preserve"> </w:t>
      </w:r>
      <w:r>
        <w:rPr>
          <w:lang w:val="en-US"/>
        </w:rPr>
        <w:t>At paragraph [16].</w:t>
      </w:r>
    </w:p>
  </w:footnote>
  <w:footnote w:id="23">
    <w:p w14:paraId="0A34FFE8" w14:textId="66EE8B8F" w:rsidR="00465268" w:rsidRPr="00465268" w:rsidRDefault="00465268" w:rsidP="00AF3678">
      <w:pPr>
        <w:pStyle w:val="FootnoteText"/>
        <w:jc w:val="both"/>
        <w:rPr>
          <w:lang w:val="en-US"/>
        </w:rPr>
      </w:pPr>
      <w:r>
        <w:rPr>
          <w:rStyle w:val="FootnoteReference"/>
        </w:rPr>
        <w:footnoteRef/>
      </w:r>
      <w:r>
        <w:t xml:space="preserve"> </w:t>
      </w:r>
      <w:r>
        <w:rPr>
          <w:lang w:val="en-US"/>
        </w:rPr>
        <w:t xml:space="preserve">M Dendy, ‘Damages’, in </w:t>
      </w:r>
      <w:r w:rsidRPr="00465268">
        <w:rPr>
          <w:i/>
          <w:iCs/>
          <w:lang w:val="en-US"/>
        </w:rPr>
        <w:t>LAWSA</w:t>
      </w:r>
      <w:r>
        <w:rPr>
          <w:lang w:val="en-US"/>
        </w:rPr>
        <w:t xml:space="preserve"> (LexisNexis vol 14(1) 3ed 2018), at 115.</w:t>
      </w:r>
      <w:r w:rsidR="00D75AF9">
        <w:rPr>
          <w:lang w:val="en-US"/>
        </w:rPr>
        <w:t xml:space="preserve"> Footnotes omitted.</w:t>
      </w:r>
    </w:p>
  </w:footnote>
  <w:footnote w:id="24">
    <w:p w14:paraId="6612E87B" w14:textId="77777777" w:rsidR="00EF68DD" w:rsidRPr="00690703" w:rsidRDefault="00EF68DD" w:rsidP="00AF3678">
      <w:pPr>
        <w:pStyle w:val="FootnoteText"/>
        <w:jc w:val="both"/>
        <w:rPr>
          <w:lang w:val="en-US"/>
        </w:rPr>
      </w:pPr>
      <w:r>
        <w:rPr>
          <w:rStyle w:val="FootnoteReference"/>
        </w:rPr>
        <w:footnoteRef/>
      </w:r>
      <w:r>
        <w:t xml:space="preserve"> </w:t>
      </w:r>
      <w:r>
        <w:rPr>
          <w:lang w:val="en-US"/>
        </w:rPr>
        <w:t>(759/2020) [2021] ZASCA 161 (23 November 2021).</w:t>
      </w:r>
    </w:p>
  </w:footnote>
  <w:footnote w:id="25">
    <w:p w14:paraId="7E6D9610" w14:textId="77777777" w:rsidR="00EF68DD" w:rsidRPr="00E24902" w:rsidRDefault="00EF68DD" w:rsidP="00AF3678">
      <w:pPr>
        <w:pStyle w:val="FootnoteText"/>
        <w:jc w:val="both"/>
        <w:rPr>
          <w:lang w:val="en-US"/>
        </w:rPr>
      </w:pPr>
      <w:r>
        <w:rPr>
          <w:rStyle w:val="FootnoteReference"/>
        </w:rPr>
        <w:footnoteRef/>
      </w:r>
      <w:r>
        <w:t xml:space="preserve"> </w:t>
      </w:r>
      <w:r>
        <w:rPr>
          <w:lang w:val="en-US"/>
        </w:rPr>
        <w:t>(746/2021) [2022] ZASCA 103 (24 June 2022)</w:t>
      </w:r>
    </w:p>
  </w:footnote>
  <w:footnote w:id="26">
    <w:p w14:paraId="4D22ECC8" w14:textId="77777777" w:rsidR="00EF68DD" w:rsidRPr="00F21BD3" w:rsidRDefault="00EF68DD" w:rsidP="00AF3678">
      <w:pPr>
        <w:pStyle w:val="FootnoteText"/>
        <w:jc w:val="both"/>
        <w:rPr>
          <w:lang w:val="en-US"/>
        </w:rPr>
      </w:pPr>
      <w:r>
        <w:rPr>
          <w:rStyle w:val="FootnoteReference"/>
        </w:rPr>
        <w:footnoteRef/>
      </w:r>
      <w:r>
        <w:t xml:space="preserve"> </w:t>
      </w:r>
      <w:r>
        <w:rPr>
          <w:lang w:val="en-US"/>
        </w:rPr>
        <w:t>At paragraph [20].</w:t>
      </w:r>
    </w:p>
  </w:footnote>
  <w:footnote w:id="27">
    <w:p w14:paraId="66F0317B" w14:textId="5C64D62C" w:rsidR="00722854" w:rsidRPr="00722854" w:rsidRDefault="00722854" w:rsidP="00AF3678">
      <w:pPr>
        <w:pStyle w:val="FootnoteText"/>
        <w:jc w:val="both"/>
        <w:rPr>
          <w:lang w:val="en-US"/>
        </w:rPr>
      </w:pPr>
      <w:r>
        <w:rPr>
          <w:rStyle w:val="FootnoteReference"/>
        </w:rPr>
        <w:footnoteRef/>
      </w:r>
      <w:r>
        <w:t xml:space="preserve"> </w:t>
      </w:r>
      <w:r>
        <w:rPr>
          <w:lang w:val="en-US"/>
        </w:rPr>
        <w:t>2018 JDR 0016 (ECG).</w:t>
      </w:r>
    </w:p>
  </w:footnote>
  <w:footnote w:id="28">
    <w:p w14:paraId="0F444ED1" w14:textId="7637FD2E" w:rsidR="00722854" w:rsidRPr="00722854" w:rsidRDefault="00722854" w:rsidP="00AF3678">
      <w:pPr>
        <w:pStyle w:val="FootnoteText"/>
        <w:jc w:val="both"/>
        <w:rPr>
          <w:lang w:val="en-US"/>
        </w:rPr>
      </w:pPr>
      <w:r>
        <w:rPr>
          <w:rStyle w:val="FootnoteReference"/>
        </w:rPr>
        <w:footnoteRef/>
      </w:r>
      <w:r>
        <w:t xml:space="preserve"> </w:t>
      </w:r>
      <w:r>
        <w:rPr>
          <w:lang w:val="en-US"/>
        </w:rPr>
        <w:t>2020 (2) SACR 243 (ECM).</w:t>
      </w:r>
    </w:p>
  </w:footnote>
  <w:footnote w:id="29">
    <w:p w14:paraId="4FE28FFE" w14:textId="77777777" w:rsidR="00EF68DD" w:rsidRPr="00036108" w:rsidRDefault="00EF68DD" w:rsidP="00AF3678">
      <w:pPr>
        <w:pStyle w:val="FootnoteText"/>
        <w:jc w:val="both"/>
        <w:rPr>
          <w:lang w:val="en-US"/>
        </w:rPr>
      </w:pPr>
      <w:r>
        <w:rPr>
          <w:rStyle w:val="FootnoteReference"/>
        </w:rPr>
        <w:footnoteRef/>
      </w:r>
      <w:r>
        <w:t xml:space="preserve"> </w:t>
      </w:r>
      <w:r>
        <w:rPr>
          <w:lang w:val="en-US"/>
        </w:rPr>
        <w:t>2021 JDR 0757 (ECGEL).</w:t>
      </w:r>
    </w:p>
  </w:footnote>
  <w:footnote w:id="30">
    <w:p w14:paraId="41BAED39" w14:textId="77777777" w:rsidR="00EF68DD" w:rsidRPr="00BA45E7" w:rsidRDefault="00EF68DD" w:rsidP="00AF3678">
      <w:pPr>
        <w:pStyle w:val="FootnoteText"/>
        <w:jc w:val="both"/>
        <w:rPr>
          <w:lang w:val="en-US"/>
        </w:rPr>
      </w:pPr>
      <w:r>
        <w:rPr>
          <w:rStyle w:val="FootnoteReference"/>
        </w:rPr>
        <w:footnoteRef/>
      </w:r>
      <w:r>
        <w:t xml:space="preserve"> </w:t>
      </w:r>
      <w:r>
        <w:rPr>
          <w:lang w:val="en-US"/>
        </w:rPr>
        <w:t>2022 JDR 1226 (ECM).</w:t>
      </w:r>
    </w:p>
  </w:footnote>
  <w:footnote w:id="31">
    <w:p w14:paraId="3B2B7767" w14:textId="77777777" w:rsidR="00EF68DD" w:rsidRPr="003B6E9F" w:rsidRDefault="00EF68DD" w:rsidP="00AF3678">
      <w:pPr>
        <w:pStyle w:val="FootnoteText"/>
        <w:jc w:val="both"/>
        <w:rPr>
          <w:lang w:val="en-US"/>
        </w:rPr>
      </w:pPr>
      <w:r>
        <w:rPr>
          <w:rStyle w:val="FootnoteReference"/>
        </w:rPr>
        <w:footnoteRef/>
      </w:r>
      <w:r>
        <w:t xml:space="preserve"> </w:t>
      </w:r>
      <w:r>
        <w:rPr>
          <w:lang w:val="en-US"/>
        </w:rPr>
        <w:t>Unreported, Case no. CA 105/2021, Eastern Cape Division, Makhanda.</w:t>
      </w:r>
    </w:p>
  </w:footnote>
  <w:footnote w:id="32">
    <w:p w14:paraId="5821FA5F" w14:textId="47796DEB" w:rsidR="00CC4D82" w:rsidRPr="00CC4D82" w:rsidRDefault="00CC4D82" w:rsidP="00AF3678">
      <w:pPr>
        <w:pStyle w:val="FootnoteText"/>
        <w:jc w:val="both"/>
        <w:rPr>
          <w:lang w:val="en-US"/>
        </w:rPr>
      </w:pPr>
      <w:r>
        <w:rPr>
          <w:rStyle w:val="FootnoteReference"/>
        </w:rPr>
        <w:footnoteRef/>
      </w:r>
      <w:r>
        <w:t xml:space="preserve"> </w:t>
      </w:r>
      <w:r>
        <w:rPr>
          <w:lang w:val="en-US"/>
        </w:rPr>
        <w:t>2023 JDR 1063 (ECMA).</w:t>
      </w:r>
    </w:p>
  </w:footnote>
  <w:footnote w:id="33">
    <w:p w14:paraId="10C8BE89" w14:textId="56B97B39" w:rsidR="00F372AF" w:rsidRPr="00F372AF" w:rsidRDefault="00F372AF" w:rsidP="00AF3678">
      <w:pPr>
        <w:pStyle w:val="FootnoteText"/>
        <w:jc w:val="both"/>
        <w:rPr>
          <w:lang w:val="en-US"/>
        </w:rPr>
      </w:pPr>
      <w:r>
        <w:rPr>
          <w:rStyle w:val="FootnoteReference"/>
        </w:rPr>
        <w:footnoteRef/>
      </w:r>
      <w:r>
        <w:t xml:space="preserve"> </w:t>
      </w:r>
      <w:r w:rsidRPr="00F372AF">
        <w:rPr>
          <w:i/>
          <w:iCs/>
          <w:lang w:val="en-US"/>
        </w:rPr>
        <w:t>Madingana</w:t>
      </w:r>
      <w:r>
        <w:rPr>
          <w:lang w:val="en-US"/>
        </w:rPr>
        <w:t xml:space="preserve">, n 32, </w:t>
      </w:r>
      <w:r w:rsidRPr="00F372AF">
        <w:rPr>
          <w:i/>
          <w:iCs/>
          <w:lang w:val="en-US"/>
        </w:rPr>
        <w:t>supra</w:t>
      </w:r>
      <w:r>
        <w:rPr>
          <w:lang w:val="en-US"/>
        </w:rPr>
        <w:t>, at paragraph [49].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29863"/>
      <w:docPartObj>
        <w:docPartGallery w:val="Page Numbers (Top of Page)"/>
        <w:docPartUnique/>
      </w:docPartObj>
    </w:sdtPr>
    <w:sdtEndPr>
      <w:rPr>
        <w:noProof/>
      </w:rPr>
    </w:sdtEndPr>
    <w:sdtContent>
      <w:p w14:paraId="3D77A958" w14:textId="06F0D0E5" w:rsidR="00AF3678" w:rsidRDefault="00AF3678">
        <w:pPr>
          <w:pStyle w:val="Header"/>
          <w:jc w:val="center"/>
        </w:pPr>
        <w:r>
          <w:fldChar w:fldCharType="begin"/>
        </w:r>
        <w:r>
          <w:instrText xml:space="preserve"> PAGE   \* MERGEFORMAT </w:instrText>
        </w:r>
        <w:r>
          <w:fldChar w:fldCharType="separate"/>
        </w:r>
        <w:r w:rsidR="00440710">
          <w:rPr>
            <w:noProof/>
          </w:rPr>
          <w:t>2</w:t>
        </w:r>
        <w:r>
          <w:rPr>
            <w:noProof/>
          </w:rPr>
          <w:fldChar w:fldCharType="end"/>
        </w:r>
      </w:p>
    </w:sdtContent>
  </w:sdt>
  <w:p w14:paraId="462DA077" w14:textId="77777777" w:rsidR="00AF3678" w:rsidRDefault="00AF36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6B7"/>
    <w:multiLevelType w:val="hybridMultilevel"/>
    <w:tmpl w:val="D89C869C"/>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416F1C"/>
    <w:multiLevelType w:val="hybridMultilevel"/>
    <w:tmpl w:val="8B9E9C74"/>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D86F68"/>
    <w:multiLevelType w:val="hybridMultilevel"/>
    <w:tmpl w:val="B3EABBC8"/>
    <w:lvl w:ilvl="0" w:tplc="0CBE50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14E7274"/>
    <w:multiLevelType w:val="hybridMultilevel"/>
    <w:tmpl w:val="66D8C690"/>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259154E"/>
    <w:multiLevelType w:val="hybridMultilevel"/>
    <w:tmpl w:val="10D2B28A"/>
    <w:lvl w:ilvl="0" w:tplc="8D8E15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A1591D"/>
    <w:multiLevelType w:val="hybridMultilevel"/>
    <w:tmpl w:val="E1169D5A"/>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FCB5801"/>
    <w:multiLevelType w:val="hybridMultilevel"/>
    <w:tmpl w:val="BD2E083C"/>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C5"/>
    <w:rsid w:val="00023368"/>
    <w:rsid w:val="0006078F"/>
    <w:rsid w:val="00070659"/>
    <w:rsid w:val="0009305D"/>
    <w:rsid w:val="000B327A"/>
    <w:rsid w:val="000C3000"/>
    <w:rsid w:val="000C456A"/>
    <w:rsid w:val="000C6C33"/>
    <w:rsid w:val="000D369D"/>
    <w:rsid w:val="000D5EF9"/>
    <w:rsid w:val="000E2353"/>
    <w:rsid w:val="000F2642"/>
    <w:rsid w:val="00126B23"/>
    <w:rsid w:val="00126C10"/>
    <w:rsid w:val="00146749"/>
    <w:rsid w:val="00155F0C"/>
    <w:rsid w:val="00160441"/>
    <w:rsid w:val="001678D5"/>
    <w:rsid w:val="001765BA"/>
    <w:rsid w:val="00181C24"/>
    <w:rsid w:val="001A491F"/>
    <w:rsid w:val="001C711A"/>
    <w:rsid w:val="00215708"/>
    <w:rsid w:val="00223A29"/>
    <w:rsid w:val="00232B08"/>
    <w:rsid w:val="0025712B"/>
    <w:rsid w:val="002B5DDA"/>
    <w:rsid w:val="002C0407"/>
    <w:rsid w:val="002E00DD"/>
    <w:rsid w:val="002E3B31"/>
    <w:rsid w:val="00356C49"/>
    <w:rsid w:val="003A747A"/>
    <w:rsid w:val="003D3966"/>
    <w:rsid w:val="00440710"/>
    <w:rsid w:val="00447E03"/>
    <w:rsid w:val="0045510B"/>
    <w:rsid w:val="0046046A"/>
    <w:rsid w:val="00465268"/>
    <w:rsid w:val="00486056"/>
    <w:rsid w:val="004B2FD7"/>
    <w:rsid w:val="004E3555"/>
    <w:rsid w:val="00534903"/>
    <w:rsid w:val="00535B9D"/>
    <w:rsid w:val="00560BEE"/>
    <w:rsid w:val="00580E89"/>
    <w:rsid w:val="005A2E99"/>
    <w:rsid w:val="005A77BA"/>
    <w:rsid w:val="005C404E"/>
    <w:rsid w:val="005C4148"/>
    <w:rsid w:val="005D2FF5"/>
    <w:rsid w:val="005E092A"/>
    <w:rsid w:val="006468FF"/>
    <w:rsid w:val="00662C8B"/>
    <w:rsid w:val="0068318D"/>
    <w:rsid w:val="0068454A"/>
    <w:rsid w:val="006D4381"/>
    <w:rsid w:val="006F5044"/>
    <w:rsid w:val="006F6105"/>
    <w:rsid w:val="006F6587"/>
    <w:rsid w:val="00722854"/>
    <w:rsid w:val="00763A2A"/>
    <w:rsid w:val="00767DAB"/>
    <w:rsid w:val="0077209D"/>
    <w:rsid w:val="0077655F"/>
    <w:rsid w:val="00787361"/>
    <w:rsid w:val="007878EF"/>
    <w:rsid w:val="007C4D36"/>
    <w:rsid w:val="007C6617"/>
    <w:rsid w:val="007D0F32"/>
    <w:rsid w:val="007D2855"/>
    <w:rsid w:val="007D482F"/>
    <w:rsid w:val="007D57A4"/>
    <w:rsid w:val="007D6966"/>
    <w:rsid w:val="007E6285"/>
    <w:rsid w:val="00845130"/>
    <w:rsid w:val="008C4BC2"/>
    <w:rsid w:val="008D6584"/>
    <w:rsid w:val="008F26AB"/>
    <w:rsid w:val="0090118A"/>
    <w:rsid w:val="00913DF5"/>
    <w:rsid w:val="009311B9"/>
    <w:rsid w:val="00944EBE"/>
    <w:rsid w:val="009659B5"/>
    <w:rsid w:val="00994CB2"/>
    <w:rsid w:val="0099603E"/>
    <w:rsid w:val="009A0EA6"/>
    <w:rsid w:val="009E795D"/>
    <w:rsid w:val="00A02851"/>
    <w:rsid w:val="00A20722"/>
    <w:rsid w:val="00A26C3A"/>
    <w:rsid w:val="00A409AD"/>
    <w:rsid w:val="00A67F77"/>
    <w:rsid w:val="00A7717F"/>
    <w:rsid w:val="00A91EB4"/>
    <w:rsid w:val="00AA68B0"/>
    <w:rsid w:val="00AD50C7"/>
    <w:rsid w:val="00AF3678"/>
    <w:rsid w:val="00B0716B"/>
    <w:rsid w:val="00B44561"/>
    <w:rsid w:val="00B57366"/>
    <w:rsid w:val="00B923A9"/>
    <w:rsid w:val="00BA2AB2"/>
    <w:rsid w:val="00BD0CA8"/>
    <w:rsid w:val="00BE5F7F"/>
    <w:rsid w:val="00C03550"/>
    <w:rsid w:val="00C4431F"/>
    <w:rsid w:val="00C503D9"/>
    <w:rsid w:val="00CA00CF"/>
    <w:rsid w:val="00CC2A56"/>
    <w:rsid w:val="00CC4D82"/>
    <w:rsid w:val="00D0052E"/>
    <w:rsid w:val="00D05701"/>
    <w:rsid w:val="00D106CB"/>
    <w:rsid w:val="00D25357"/>
    <w:rsid w:val="00D306DA"/>
    <w:rsid w:val="00D75AF9"/>
    <w:rsid w:val="00D866EA"/>
    <w:rsid w:val="00DA7934"/>
    <w:rsid w:val="00DD2BEB"/>
    <w:rsid w:val="00DE2ABF"/>
    <w:rsid w:val="00E14838"/>
    <w:rsid w:val="00E30445"/>
    <w:rsid w:val="00E53956"/>
    <w:rsid w:val="00E6348E"/>
    <w:rsid w:val="00E93A27"/>
    <w:rsid w:val="00EA3D56"/>
    <w:rsid w:val="00EC18A2"/>
    <w:rsid w:val="00EF5076"/>
    <w:rsid w:val="00EF68DD"/>
    <w:rsid w:val="00F372AF"/>
    <w:rsid w:val="00F417C5"/>
    <w:rsid w:val="00F621E6"/>
    <w:rsid w:val="00F7022A"/>
    <w:rsid w:val="00F7361E"/>
    <w:rsid w:val="00FB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51B5"/>
  <w15:chartTrackingRefBased/>
  <w15:docId w15:val="{D29BCD25-F807-47B7-A76B-1CC27FF3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paragraph" w:styleId="Heading1">
    <w:name w:val="heading 1"/>
    <w:basedOn w:val="Normal"/>
    <w:next w:val="Normal"/>
    <w:link w:val="Heading1Char"/>
    <w:uiPriority w:val="9"/>
    <w:qFormat/>
    <w:rsid w:val="00F417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17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17C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17C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17C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17C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17C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17C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17C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7C5"/>
    <w:rPr>
      <w:rFonts w:asciiTheme="majorHAnsi" w:eastAsiaTheme="majorEastAsia" w:hAnsiTheme="majorHAnsi" w:cstheme="majorBidi"/>
      <w:color w:val="0F4761" w:themeColor="accent1" w:themeShade="BF"/>
      <w:sz w:val="40"/>
      <w:szCs w:val="40"/>
      <w:lang w:val="en-ZA"/>
    </w:rPr>
  </w:style>
  <w:style w:type="character" w:customStyle="1" w:styleId="Heading2Char">
    <w:name w:val="Heading 2 Char"/>
    <w:basedOn w:val="DefaultParagraphFont"/>
    <w:link w:val="Heading2"/>
    <w:uiPriority w:val="9"/>
    <w:semiHidden/>
    <w:rsid w:val="00F417C5"/>
    <w:rPr>
      <w:rFonts w:asciiTheme="majorHAnsi" w:eastAsiaTheme="majorEastAsia" w:hAnsiTheme="majorHAnsi" w:cstheme="majorBidi"/>
      <w:color w:val="0F4761" w:themeColor="accent1" w:themeShade="BF"/>
      <w:sz w:val="32"/>
      <w:szCs w:val="32"/>
      <w:lang w:val="en-ZA"/>
    </w:rPr>
  </w:style>
  <w:style w:type="character" w:customStyle="1" w:styleId="Heading3Char">
    <w:name w:val="Heading 3 Char"/>
    <w:basedOn w:val="DefaultParagraphFont"/>
    <w:link w:val="Heading3"/>
    <w:uiPriority w:val="9"/>
    <w:semiHidden/>
    <w:rsid w:val="00F417C5"/>
    <w:rPr>
      <w:rFonts w:eastAsiaTheme="majorEastAsia" w:cstheme="majorBidi"/>
      <w:color w:val="0F4761" w:themeColor="accent1" w:themeShade="BF"/>
      <w:sz w:val="28"/>
      <w:szCs w:val="28"/>
      <w:lang w:val="en-ZA"/>
    </w:rPr>
  </w:style>
  <w:style w:type="character" w:customStyle="1" w:styleId="Heading4Char">
    <w:name w:val="Heading 4 Char"/>
    <w:basedOn w:val="DefaultParagraphFont"/>
    <w:link w:val="Heading4"/>
    <w:uiPriority w:val="9"/>
    <w:semiHidden/>
    <w:rsid w:val="00F417C5"/>
    <w:rPr>
      <w:rFonts w:eastAsiaTheme="majorEastAsia" w:cstheme="majorBidi"/>
      <w:i/>
      <w:iCs/>
      <w:color w:val="0F4761" w:themeColor="accent1" w:themeShade="BF"/>
      <w:lang w:val="en-ZA"/>
    </w:rPr>
  </w:style>
  <w:style w:type="character" w:customStyle="1" w:styleId="Heading5Char">
    <w:name w:val="Heading 5 Char"/>
    <w:basedOn w:val="DefaultParagraphFont"/>
    <w:link w:val="Heading5"/>
    <w:uiPriority w:val="9"/>
    <w:semiHidden/>
    <w:rsid w:val="00F417C5"/>
    <w:rPr>
      <w:rFonts w:eastAsiaTheme="majorEastAsia" w:cstheme="majorBidi"/>
      <w:color w:val="0F4761" w:themeColor="accent1" w:themeShade="BF"/>
      <w:lang w:val="en-ZA"/>
    </w:rPr>
  </w:style>
  <w:style w:type="character" w:customStyle="1" w:styleId="Heading6Char">
    <w:name w:val="Heading 6 Char"/>
    <w:basedOn w:val="DefaultParagraphFont"/>
    <w:link w:val="Heading6"/>
    <w:uiPriority w:val="9"/>
    <w:semiHidden/>
    <w:rsid w:val="00F417C5"/>
    <w:rPr>
      <w:rFonts w:eastAsiaTheme="majorEastAsia" w:cstheme="majorBidi"/>
      <w:i/>
      <w:iCs/>
      <w:color w:val="595959" w:themeColor="text1" w:themeTint="A6"/>
      <w:lang w:val="en-ZA"/>
    </w:rPr>
  </w:style>
  <w:style w:type="character" w:customStyle="1" w:styleId="Heading7Char">
    <w:name w:val="Heading 7 Char"/>
    <w:basedOn w:val="DefaultParagraphFont"/>
    <w:link w:val="Heading7"/>
    <w:uiPriority w:val="9"/>
    <w:semiHidden/>
    <w:rsid w:val="00F417C5"/>
    <w:rPr>
      <w:rFonts w:eastAsiaTheme="majorEastAsia" w:cstheme="majorBidi"/>
      <w:color w:val="595959" w:themeColor="text1" w:themeTint="A6"/>
      <w:lang w:val="en-ZA"/>
    </w:rPr>
  </w:style>
  <w:style w:type="character" w:customStyle="1" w:styleId="Heading8Char">
    <w:name w:val="Heading 8 Char"/>
    <w:basedOn w:val="DefaultParagraphFont"/>
    <w:link w:val="Heading8"/>
    <w:uiPriority w:val="9"/>
    <w:semiHidden/>
    <w:rsid w:val="00F417C5"/>
    <w:rPr>
      <w:rFonts w:eastAsiaTheme="majorEastAsia" w:cstheme="majorBidi"/>
      <w:i/>
      <w:iCs/>
      <w:color w:val="272727" w:themeColor="text1" w:themeTint="D8"/>
      <w:lang w:val="en-ZA"/>
    </w:rPr>
  </w:style>
  <w:style w:type="character" w:customStyle="1" w:styleId="Heading9Char">
    <w:name w:val="Heading 9 Char"/>
    <w:basedOn w:val="DefaultParagraphFont"/>
    <w:link w:val="Heading9"/>
    <w:uiPriority w:val="9"/>
    <w:semiHidden/>
    <w:rsid w:val="00F417C5"/>
    <w:rPr>
      <w:rFonts w:eastAsiaTheme="majorEastAsia" w:cstheme="majorBidi"/>
      <w:color w:val="272727" w:themeColor="text1" w:themeTint="D8"/>
      <w:lang w:val="en-ZA"/>
    </w:rPr>
  </w:style>
  <w:style w:type="paragraph" w:styleId="Title">
    <w:name w:val="Title"/>
    <w:basedOn w:val="Normal"/>
    <w:next w:val="Normal"/>
    <w:link w:val="TitleChar"/>
    <w:uiPriority w:val="10"/>
    <w:qFormat/>
    <w:rsid w:val="00F417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17C5"/>
    <w:rPr>
      <w:rFonts w:asciiTheme="majorHAnsi" w:eastAsiaTheme="majorEastAsia" w:hAnsiTheme="majorHAnsi" w:cstheme="majorBidi"/>
      <w:spacing w:val="-10"/>
      <w:kern w:val="28"/>
      <w:sz w:val="56"/>
      <w:szCs w:val="56"/>
      <w:lang w:val="en-ZA"/>
    </w:rPr>
  </w:style>
  <w:style w:type="paragraph" w:styleId="Subtitle">
    <w:name w:val="Subtitle"/>
    <w:basedOn w:val="Normal"/>
    <w:next w:val="Normal"/>
    <w:link w:val="SubtitleChar"/>
    <w:uiPriority w:val="11"/>
    <w:qFormat/>
    <w:rsid w:val="00F417C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17C5"/>
    <w:rPr>
      <w:rFonts w:eastAsiaTheme="majorEastAsia" w:cstheme="majorBidi"/>
      <w:color w:val="595959" w:themeColor="text1" w:themeTint="A6"/>
      <w:spacing w:val="15"/>
      <w:sz w:val="28"/>
      <w:szCs w:val="28"/>
      <w:lang w:val="en-ZA"/>
    </w:rPr>
  </w:style>
  <w:style w:type="paragraph" w:styleId="Quote">
    <w:name w:val="Quote"/>
    <w:basedOn w:val="Normal"/>
    <w:next w:val="Normal"/>
    <w:link w:val="QuoteChar"/>
    <w:uiPriority w:val="29"/>
    <w:qFormat/>
    <w:rsid w:val="00F417C5"/>
    <w:pPr>
      <w:spacing w:before="160"/>
      <w:jc w:val="center"/>
    </w:pPr>
    <w:rPr>
      <w:i/>
      <w:iCs/>
      <w:color w:val="404040" w:themeColor="text1" w:themeTint="BF"/>
    </w:rPr>
  </w:style>
  <w:style w:type="character" w:customStyle="1" w:styleId="QuoteChar">
    <w:name w:val="Quote Char"/>
    <w:basedOn w:val="DefaultParagraphFont"/>
    <w:link w:val="Quote"/>
    <w:uiPriority w:val="29"/>
    <w:rsid w:val="00F417C5"/>
    <w:rPr>
      <w:i/>
      <w:iCs/>
      <w:color w:val="404040" w:themeColor="text1" w:themeTint="BF"/>
      <w:lang w:val="en-ZA"/>
    </w:rPr>
  </w:style>
  <w:style w:type="paragraph" w:styleId="ListParagraph">
    <w:name w:val="List Paragraph"/>
    <w:basedOn w:val="Normal"/>
    <w:uiPriority w:val="34"/>
    <w:qFormat/>
    <w:rsid w:val="00F417C5"/>
    <w:pPr>
      <w:ind w:left="720"/>
      <w:contextualSpacing/>
    </w:pPr>
  </w:style>
  <w:style w:type="character" w:styleId="IntenseEmphasis">
    <w:name w:val="Intense Emphasis"/>
    <w:basedOn w:val="DefaultParagraphFont"/>
    <w:uiPriority w:val="21"/>
    <w:qFormat/>
    <w:rsid w:val="00F417C5"/>
    <w:rPr>
      <w:i/>
      <w:iCs/>
      <w:color w:val="0F4761" w:themeColor="accent1" w:themeShade="BF"/>
    </w:rPr>
  </w:style>
  <w:style w:type="paragraph" w:styleId="IntenseQuote">
    <w:name w:val="Intense Quote"/>
    <w:basedOn w:val="Normal"/>
    <w:next w:val="Normal"/>
    <w:link w:val="IntenseQuoteChar"/>
    <w:uiPriority w:val="30"/>
    <w:qFormat/>
    <w:rsid w:val="00F417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17C5"/>
    <w:rPr>
      <w:i/>
      <w:iCs/>
      <w:color w:val="0F4761" w:themeColor="accent1" w:themeShade="BF"/>
      <w:lang w:val="en-ZA"/>
    </w:rPr>
  </w:style>
  <w:style w:type="character" w:styleId="IntenseReference">
    <w:name w:val="Intense Reference"/>
    <w:basedOn w:val="DefaultParagraphFont"/>
    <w:uiPriority w:val="32"/>
    <w:qFormat/>
    <w:rsid w:val="00F417C5"/>
    <w:rPr>
      <w:b/>
      <w:bCs/>
      <w:smallCaps/>
      <w:color w:val="0F4761" w:themeColor="accent1" w:themeShade="BF"/>
      <w:spacing w:val="5"/>
    </w:rPr>
  </w:style>
  <w:style w:type="paragraph" w:styleId="FootnoteText">
    <w:name w:val="footnote text"/>
    <w:basedOn w:val="Normal"/>
    <w:link w:val="FootnoteTextChar"/>
    <w:uiPriority w:val="99"/>
    <w:semiHidden/>
    <w:unhideWhenUsed/>
    <w:rsid w:val="00944EBE"/>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944EBE"/>
    <w:rPr>
      <w:kern w:val="0"/>
      <w:sz w:val="20"/>
      <w:szCs w:val="20"/>
      <w:lang w:val="en-ZA"/>
      <w14:ligatures w14:val="none"/>
    </w:rPr>
  </w:style>
  <w:style w:type="character" w:styleId="FootnoteReference">
    <w:name w:val="footnote reference"/>
    <w:basedOn w:val="DefaultParagraphFont"/>
    <w:uiPriority w:val="99"/>
    <w:semiHidden/>
    <w:unhideWhenUsed/>
    <w:rsid w:val="00944EBE"/>
    <w:rPr>
      <w:vertAlign w:val="superscript"/>
    </w:rPr>
  </w:style>
  <w:style w:type="paragraph" w:styleId="Header">
    <w:name w:val="header"/>
    <w:basedOn w:val="Normal"/>
    <w:link w:val="HeaderChar"/>
    <w:uiPriority w:val="99"/>
    <w:unhideWhenUsed/>
    <w:rsid w:val="00AF3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678"/>
    <w:rPr>
      <w:lang w:val="en-ZA"/>
    </w:rPr>
  </w:style>
  <w:style w:type="paragraph" w:styleId="Footer">
    <w:name w:val="footer"/>
    <w:basedOn w:val="Normal"/>
    <w:link w:val="FooterChar"/>
    <w:uiPriority w:val="99"/>
    <w:unhideWhenUsed/>
    <w:rsid w:val="00AF3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678"/>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5000</Words>
  <Characters>28505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Justin Laing</dc:creator>
  <cp:keywords/>
  <dc:description/>
  <cp:lastModifiedBy>Mary Bruce</cp:lastModifiedBy>
  <cp:revision>3</cp:revision>
  <dcterms:created xsi:type="dcterms:W3CDTF">2024-05-22T11:30:00Z</dcterms:created>
  <dcterms:modified xsi:type="dcterms:W3CDTF">2024-05-25T10:46:00Z</dcterms:modified>
</cp:coreProperties>
</file>