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8BE4" w14:textId="77777777" w:rsidR="00575D53" w:rsidRDefault="00575D53" w:rsidP="004275E4">
      <w:pPr>
        <w:rPr>
          <w:lang w:val="en-GB"/>
        </w:rPr>
      </w:pPr>
      <w:bookmarkStart w:id="0" w:name="_GoBack"/>
      <w:bookmarkEnd w:id="0"/>
    </w:p>
    <w:p w14:paraId="4E446C70" w14:textId="77777777" w:rsidR="00C91BD0" w:rsidRPr="00F34416" w:rsidRDefault="00C91BD0" w:rsidP="00C91BD0">
      <w:pPr>
        <w:jc w:val="center"/>
        <w:rPr>
          <w:lang w:val="en-GB"/>
        </w:rPr>
      </w:pPr>
      <w:r w:rsidRPr="00F34416">
        <w:rPr>
          <w:noProof/>
          <w:lang w:eastAsia="en-ZA"/>
        </w:rPr>
        <w:drawing>
          <wp:inline distT="0" distB="0" distL="0" distR="0" wp14:anchorId="01189E8E" wp14:editId="50156153">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3200F0E3" w14:textId="77777777" w:rsidR="00C91BD0" w:rsidRPr="00F34416" w:rsidRDefault="00C91BD0" w:rsidP="00297D20">
      <w:pPr>
        <w:jc w:val="center"/>
        <w:rPr>
          <w:b/>
          <w:bCs/>
          <w:lang w:val="en-GB"/>
        </w:rPr>
      </w:pPr>
      <w:r w:rsidRPr="00F34416">
        <w:rPr>
          <w:b/>
          <w:bCs/>
          <w:lang w:val="en-GB"/>
        </w:rPr>
        <w:t>IN THE HIGH COURT OF SOUTH AFRICA</w:t>
      </w:r>
    </w:p>
    <w:p w14:paraId="6FE94714" w14:textId="4117BD84" w:rsidR="00C91BD0" w:rsidRPr="00F34416" w:rsidRDefault="00656E28" w:rsidP="00297D20">
      <w:pPr>
        <w:jc w:val="center"/>
        <w:rPr>
          <w:spacing w:val="14"/>
          <w:kern w:val="2"/>
          <w:u w:val="single"/>
          <w:lang w:val="en-GB"/>
        </w:rPr>
      </w:pPr>
      <w:r>
        <w:rPr>
          <w:b/>
          <w:bCs/>
          <w:lang w:val="en-GB"/>
        </w:rPr>
        <w:t>(</w:t>
      </w:r>
      <w:r w:rsidR="00C91BD0" w:rsidRPr="00F34416">
        <w:rPr>
          <w:b/>
          <w:bCs/>
          <w:lang w:val="en-GB"/>
        </w:rPr>
        <w:t>EAST</w:t>
      </w:r>
      <w:r w:rsidR="001605CE">
        <w:rPr>
          <w:b/>
          <w:bCs/>
          <w:lang w:val="en-GB"/>
        </w:rPr>
        <w:t>ERN CAPE DIVISION,</w:t>
      </w:r>
      <w:r w:rsidR="001E3874">
        <w:rPr>
          <w:b/>
          <w:bCs/>
          <w:lang w:val="en-GB"/>
        </w:rPr>
        <w:t xml:space="preserve"> </w:t>
      </w:r>
      <w:r w:rsidR="008B7812">
        <w:rPr>
          <w:b/>
          <w:bCs/>
          <w:lang w:val="en-GB"/>
        </w:rPr>
        <w:t xml:space="preserve">EAST </w:t>
      </w:r>
      <w:r w:rsidR="001E3874">
        <w:rPr>
          <w:b/>
          <w:bCs/>
          <w:lang w:val="en-GB"/>
        </w:rPr>
        <w:t>LONDON</w:t>
      </w:r>
      <w:r w:rsidR="001605CE">
        <w:rPr>
          <w:b/>
          <w:bCs/>
          <w:lang w:val="en-GB"/>
        </w:rPr>
        <w:t xml:space="preserve"> CIRCUIT </w:t>
      </w:r>
      <w:r w:rsidR="00247784">
        <w:rPr>
          <w:b/>
          <w:bCs/>
          <w:lang w:val="en-GB"/>
        </w:rPr>
        <w:t>COURT)</w:t>
      </w:r>
    </w:p>
    <w:p w14:paraId="425CAEF1" w14:textId="77777777" w:rsidR="00C12FD8" w:rsidRDefault="00C12FD8" w:rsidP="004275E4">
      <w:pPr>
        <w:ind w:right="-52"/>
        <w:jc w:val="center"/>
        <w:rPr>
          <w:lang w:val="en-GB"/>
        </w:rPr>
      </w:pPr>
    </w:p>
    <w:p w14:paraId="1C3803F0" w14:textId="06CF2DC8" w:rsidR="00C91BD0" w:rsidRDefault="001E3874" w:rsidP="00297D20">
      <w:pPr>
        <w:ind w:right="-52"/>
        <w:jc w:val="right"/>
        <w:rPr>
          <w:b/>
          <w:bCs/>
          <w:lang w:val="en-GB"/>
        </w:rPr>
      </w:pPr>
      <w:r>
        <w:rPr>
          <w:b/>
          <w:bCs/>
          <w:lang w:val="en-GB"/>
        </w:rPr>
        <w:t>CASE NO</w:t>
      </w:r>
      <w:r w:rsidR="00297D20">
        <w:rPr>
          <w:b/>
          <w:bCs/>
          <w:lang w:val="en-GB"/>
        </w:rPr>
        <w:t>.</w:t>
      </w:r>
      <w:r>
        <w:rPr>
          <w:b/>
          <w:bCs/>
          <w:lang w:val="en-GB"/>
        </w:rPr>
        <w:t xml:space="preserve">: </w:t>
      </w:r>
      <w:r w:rsidR="00093A45">
        <w:rPr>
          <w:b/>
          <w:bCs/>
          <w:lang w:val="en-GB"/>
        </w:rPr>
        <w:t>EL</w:t>
      </w:r>
      <w:r>
        <w:rPr>
          <w:b/>
          <w:bCs/>
          <w:lang w:val="en-GB"/>
        </w:rPr>
        <w:t>2209/2022</w:t>
      </w:r>
    </w:p>
    <w:tbl>
      <w:tblPr>
        <w:tblW w:w="2410" w:type="dxa"/>
        <w:tblInd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992"/>
      </w:tblGrid>
      <w:tr w:rsidR="00297D20" w:rsidRPr="00BE0063" w14:paraId="37B19528" w14:textId="77777777" w:rsidTr="004A2C39">
        <w:trPr>
          <w:trHeight w:val="542"/>
        </w:trPr>
        <w:tc>
          <w:tcPr>
            <w:tcW w:w="1418" w:type="dxa"/>
          </w:tcPr>
          <w:p w14:paraId="3DD9746A" w14:textId="77777777" w:rsidR="00297D20" w:rsidRPr="00BE0063" w:rsidRDefault="00297D20" w:rsidP="00C32C8A">
            <w:pPr>
              <w:spacing w:line="240" w:lineRule="auto"/>
              <w:rPr>
                <w:rFonts w:eastAsia="Times New Roman"/>
                <w:b/>
                <w:color w:val="auto"/>
                <w:sz w:val="20"/>
                <w:szCs w:val="20"/>
                <w:lang w:eastAsia="en-ZA"/>
              </w:rPr>
            </w:pPr>
          </w:p>
          <w:p w14:paraId="5A53E631" w14:textId="77777777" w:rsidR="00297D20" w:rsidRPr="00BE0063" w:rsidRDefault="00297D20" w:rsidP="00C32C8A">
            <w:pPr>
              <w:spacing w:line="240" w:lineRule="auto"/>
              <w:jc w:val="center"/>
              <w:rPr>
                <w:rFonts w:eastAsia="Times New Roman"/>
                <w:b/>
                <w:color w:val="auto"/>
                <w:sz w:val="20"/>
                <w:szCs w:val="20"/>
                <w:lang w:eastAsia="en-ZA"/>
              </w:rPr>
            </w:pPr>
            <w:r w:rsidRPr="00BE0063">
              <w:rPr>
                <w:rFonts w:eastAsia="Times New Roman"/>
                <w:b/>
                <w:color w:val="auto"/>
                <w:sz w:val="20"/>
                <w:szCs w:val="20"/>
                <w:lang w:eastAsia="en-ZA"/>
              </w:rPr>
              <w:t>Reportable</w:t>
            </w:r>
          </w:p>
        </w:tc>
        <w:tc>
          <w:tcPr>
            <w:tcW w:w="992" w:type="dxa"/>
          </w:tcPr>
          <w:p w14:paraId="5FB2BDEA" w14:textId="77777777" w:rsidR="00297D20" w:rsidRPr="00BE0063" w:rsidRDefault="00297D20" w:rsidP="00C32C8A">
            <w:pPr>
              <w:spacing w:line="240" w:lineRule="auto"/>
              <w:rPr>
                <w:rFonts w:eastAsia="Times New Roman"/>
                <w:b/>
                <w:color w:val="auto"/>
                <w:sz w:val="20"/>
                <w:szCs w:val="20"/>
                <w:lang w:eastAsia="en-ZA"/>
              </w:rPr>
            </w:pPr>
          </w:p>
          <w:p w14:paraId="672CAB39" w14:textId="37EEF8B8" w:rsidR="00297D20" w:rsidRPr="00BE0063" w:rsidRDefault="00297D20" w:rsidP="00C32C8A">
            <w:pPr>
              <w:spacing w:line="240" w:lineRule="auto"/>
              <w:jc w:val="center"/>
              <w:rPr>
                <w:rFonts w:eastAsia="Times New Roman"/>
                <w:b/>
                <w:color w:val="auto"/>
                <w:sz w:val="20"/>
                <w:szCs w:val="20"/>
                <w:lang w:eastAsia="en-ZA"/>
              </w:rPr>
            </w:pPr>
            <w:r w:rsidRPr="00BE0063">
              <w:rPr>
                <w:rFonts w:eastAsia="Times New Roman"/>
                <w:b/>
                <w:color w:val="auto"/>
                <w:sz w:val="20"/>
                <w:szCs w:val="20"/>
                <w:lang w:eastAsia="en-ZA"/>
              </w:rPr>
              <w:t>No</w:t>
            </w:r>
          </w:p>
        </w:tc>
      </w:tr>
    </w:tbl>
    <w:p w14:paraId="0DB35DF9" w14:textId="77777777" w:rsidR="00297D20" w:rsidRPr="002F496E" w:rsidRDefault="00297D20" w:rsidP="00297D20">
      <w:pPr>
        <w:ind w:right="-52"/>
        <w:jc w:val="right"/>
        <w:rPr>
          <w:lang w:val="en-GB"/>
        </w:rPr>
      </w:pPr>
    </w:p>
    <w:p w14:paraId="747AE5D7" w14:textId="55E7FE27" w:rsidR="00C91BD0" w:rsidRPr="002F496E" w:rsidRDefault="00C91BD0" w:rsidP="004275E4">
      <w:pPr>
        <w:spacing w:line="480" w:lineRule="auto"/>
        <w:jc w:val="both"/>
        <w:rPr>
          <w:lang w:val="en-GB"/>
        </w:rPr>
      </w:pPr>
      <w:r w:rsidRPr="002F496E">
        <w:rPr>
          <w:lang w:val="en-GB"/>
        </w:rPr>
        <w:t>In the matter between</w:t>
      </w:r>
      <w:r w:rsidR="00C12FD8" w:rsidRPr="002F496E">
        <w:rPr>
          <w:lang w:val="en-GB"/>
        </w:rPr>
        <w:t>:</w:t>
      </w:r>
      <w:bookmarkStart w:id="1" w:name="_Hlk161313297"/>
    </w:p>
    <w:p w14:paraId="78AA6414" w14:textId="0F728F07" w:rsidR="001E3874" w:rsidRDefault="001E3874" w:rsidP="004275E4">
      <w:pPr>
        <w:spacing w:line="480" w:lineRule="auto"/>
        <w:jc w:val="both"/>
        <w:rPr>
          <w:b/>
          <w:color w:val="auto"/>
        </w:rPr>
      </w:pPr>
      <w:r>
        <w:rPr>
          <w:b/>
          <w:color w:val="auto"/>
        </w:rPr>
        <w:t xml:space="preserve">ISUZU FINANCE: A PRODUCT OF WESBANK: </w:t>
      </w:r>
      <w:r w:rsidR="00297D20">
        <w:rPr>
          <w:b/>
          <w:color w:val="auto"/>
        </w:rPr>
        <w:tab/>
      </w:r>
      <w:r w:rsidR="00297D20">
        <w:rPr>
          <w:b/>
          <w:color w:val="auto"/>
        </w:rPr>
        <w:tab/>
      </w:r>
      <w:r w:rsidR="004A2C39">
        <w:rPr>
          <w:b/>
          <w:color w:val="auto"/>
        </w:rPr>
        <w:tab/>
        <w:t xml:space="preserve">        </w:t>
      </w:r>
      <w:r>
        <w:rPr>
          <w:b/>
          <w:color w:val="auto"/>
        </w:rPr>
        <w:t>PLAINTIFF</w:t>
      </w:r>
    </w:p>
    <w:p w14:paraId="2334C6E9" w14:textId="5F32A023" w:rsidR="00297D20" w:rsidRPr="002F496E" w:rsidRDefault="001E3874" w:rsidP="004275E4">
      <w:pPr>
        <w:spacing w:line="480" w:lineRule="auto"/>
        <w:jc w:val="both"/>
        <w:rPr>
          <w:b/>
          <w:color w:val="auto"/>
        </w:rPr>
      </w:pPr>
      <w:r>
        <w:rPr>
          <w:b/>
          <w:color w:val="auto"/>
        </w:rPr>
        <w:t>A DIVISION OF FIRST RAND BANK LIMITE</w:t>
      </w:r>
      <w:r w:rsidR="00297D20">
        <w:rPr>
          <w:b/>
          <w:color w:val="auto"/>
        </w:rPr>
        <w:t>D</w:t>
      </w:r>
      <w:bookmarkEnd w:id="1"/>
    </w:p>
    <w:p w14:paraId="3A79180D" w14:textId="77777777" w:rsidR="00C91BD0" w:rsidRPr="002F496E" w:rsidRDefault="00C91BD0" w:rsidP="004275E4">
      <w:pPr>
        <w:spacing w:line="480" w:lineRule="auto"/>
        <w:jc w:val="both"/>
        <w:rPr>
          <w:b/>
          <w:color w:val="auto"/>
        </w:rPr>
      </w:pPr>
    </w:p>
    <w:p w14:paraId="529C83BD" w14:textId="343654CE" w:rsidR="00C91BD0" w:rsidRDefault="00297D20" w:rsidP="004275E4">
      <w:pPr>
        <w:spacing w:line="480" w:lineRule="auto"/>
        <w:jc w:val="both"/>
        <w:rPr>
          <w:bCs/>
          <w:color w:val="auto"/>
        </w:rPr>
      </w:pPr>
      <w:r>
        <w:rPr>
          <w:bCs/>
          <w:color w:val="auto"/>
        </w:rPr>
        <w:t>a</w:t>
      </w:r>
      <w:r w:rsidR="00C91BD0" w:rsidRPr="001B3810">
        <w:rPr>
          <w:bCs/>
          <w:color w:val="auto"/>
        </w:rPr>
        <w:t>nd</w:t>
      </w:r>
    </w:p>
    <w:p w14:paraId="4A8BA365" w14:textId="77777777" w:rsidR="00297D20" w:rsidRPr="002F496E" w:rsidRDefault="00297D20" w:rsidP="004275E4">
      <w:pPr>
        <w:spacing w:line="480" w:lineRule="auto"/>
        <w:jc w:val="both"/>
        <w:rPr>
          <w:bCs/>
          <w:color w:val="auto"/>
        </w:rPr>
      </w:pPr>
      <w:bookmarkStart w:id="2" w:name="_Hlk161313358"/>
    </w:p>
    <w:p w14:paraId="4ED9ADBF" w14:textId="4E6002A1" w:rsidR="001E3874" w:rsidRDefault="001E3874" w:rsidP="004275E4">
      <w:pPr>
        <w:spacing w:line="480" w:lineRule="auto"/>
        <w:jc w:val="both"/>
        <w:rPr>
          <w:b/>
          <w:color w:val="auto"/>
        </w:rPr>
      </w:pPr>
      <w:bookmarkStart w:id="3" w:name="_Hlk161313468"/>
      <w:r w:rsidRPr="001E3874">
        <w:rPr>
          <w:b/>
          <w:bCs/>
          <w:color w:val="auto"/>
        </w:rPr>
        <w:t>SILVE</w:t>
      </w:r>
      <w:r>
        <w:rPr>
          <w:b/>
          <w:bCs/>
          <w:color w:val="auto"/>
        </w:rPr>
        <w:t>X 399 CC</w:t>
      </w:r>
      <w:bookmarkEnd w:id="2"/>
      <w:r w:rsidR="00297D20">
        <w:rPr>
          <w:b/>
          <w:bCs/>
          <w:color w:val="auto"/>
        </w:rPr>
        <w:tab/>
      </w:r>
      <w:r w:rsidR="00297D20">
        <w:rPr>
          <w:b/>
          <w:bCs/>
          <w:color w:val="auto"/>
        </w:rPr>
        <w:tab/>
      </w:r>
      <w:r w:rsidR="00297D20">
        <w:rPr>
          <w:b/>
          <w:bCs/>
          <w:color w:val="auto"/>
        </w:rPr>
        <w:tab/>
      </w:r>
      <w:r w:rsidR="00297D20">
        <w:rPr>
          <w:b/>
          <w:bCs/>
          <w:color w:val="auto"/>
        </w:rPr>
        <w:tab/>
      </w:r>
      <w:r w:rsidR="00297D20">
        <w:rPr>
          <w:b/>
          <w:bCs/>
          <w:color w:val="auto"/>
        </w:rPr>
        <w:tab/>
      </w:r>
      <w:r w:rsidR="00297D20">
        <w:rPr>
          <w:b/>
          <w:bCs/>
          <w:color w:val="auto"/>
        </w:rPr>
        <w:tab/>
      </w:r>
      <w:r w:rsidR="00297D20">
        <w:rPr>
          <w:b/>
          <w:bCs/>
          <w:color w:val="auto"/>
        </w:rPr>
        <w:tab/>
      </w:r>
      <w:r w:rsidR="004A2C39">
        <w:rPr>
          <w:b/>
          <w:bCs/>
          <w:color w:val="auto"/>
        </w:rPr>
        <w:t xml:space="preserve">         </w:t>
      </w:r>
      <w:r>
        <w:rPr>
          <w:b/>
          <w:bCs/>
          <w:color w:val="auto"/>
        </w:rPr>
        <w:t>1</w:t>
      </w:r>
      <w:r w:rsidRPr="001E3874">
        <w:rPr>
          <w:b/>
          <w:bCs/>
          <w:color w:val="auto"/>
          <w:vertAlign w:val="superscript"/>
        </w:rPr>
        <w:t>ST</w:t>
      </w:r>
      <w:r>
        <w:rPr>
          <w:b/>
          <w:bCs/>
          <w:color w:val="auto"/>
        </w:rPr>
        <w:t xml:space="preserve"> DEFENDANT</w:t>
      </w:r>
    </w:p>
    <w:p w14:paraId="5976BB68" w14:textId="5451B706" w:rsidR="00C91BD0" w:rsidRPr="002F496E" w:rsidRDefault="001E3874" w:rsidP="004275E4">
      <w:pPr>
        <w:spacing w:line="480" w:lineRule="auto"/>
        <w:jc w:val="both"/>
        <w:rPr>
          <w:b/>
          <w:color w:val="auto"/>
        </w:rPr>
      </w:pPr>
      <w:r>
        <w:rPr>
          <w:b/>
          <w:color w:val="auto"/>
        </w:rPr>
        <w:t>MPHUTHUMI MAQUBELA</w:t>
      </w:r>
      <w:r w:rsidR="00297D20">
        <w:rPr>
          <w:b/>
          <w:color w:val="auto"/>
        </w:rPr>
        <w:tab/>
      </w:r>
      <w:r w:rsidR="00297D20">
        <w:rPr>
          <w:b/>
          <w:color w:val="auto"/>
        </w:rPr>
        <w:tab/>
      </w:r>
      <w:r w:rsidR="00297D20">
        <w:rPr>
          <w:b/>
          <w:color w:val="auto"/>
        </w:rPr>
        <w:tab/>
      </w:r>
      <w:r w:rsidR="00297D20">
        <w:rPr>
          <w:b/>
          <w:color w:val="auto"/>
        </w:rPr>
        <w:tab/>
      </w:r>
      <w:r w:rsidR="00297D20">
        <w:rPr>
          <w:b/>
          <w:color w:val="auto"/>
        </w:rPr>
        <w:tab/>
      </w:r>
      <w:r w:rsidR="004A2C39">
        <w:rPr>
          <w:b/>
          <w:color w:val="auto"/>
        </w:rPr>
        <w:t xml:space="preserve">         </w:t>
      </w:r>
      <w:r>
        <w:rPr>
          <w:b/>
          <w:color w:val="auto"/>
        </w:rPr>
        <w:t>2</w:t>
      </w:r>
      <w:r w:rsidRPr="001E3874">
        <w:rPr>
          <w:b/>
          <w:color w:val="auto"/>
          <w:vertAlign w:val="superscript"/>
        </w:rPr>
        <w:t>ND</w:t>
      </w:r>
      <w:r>
        <w:rPr>
          <w:b/>
          <w:color w:val="auto"/>
        </w:rPr>
        <w:t xml:space="preserve"> DEFENDANT</w:t>
      </w:r>
    </w:p>
    <w:bookmarkEnd w:id="3"/>
    <w:p w14:paraId="3B006524" w14:textId="70FA8D96" w:rsidR="00C91BD0" w:rsidRPr="001B3810" w:rsidRDefault="00C91BD0" w:rsidP="004275E4">
      <w:pPr>
        <w:rPr>
          <w:b/>
          <w:bCs/>
          <w:u w:val="single"/>
          <w:lang w:val="en-GB"/>
        </w:rPr>
      </w:pPr>
      <w:r w:rsidRPr="001B3810">
        <w:rPr>
          <w:b/>
          <w:bCs/>
          <w:u w:val="single"/>
          <w:lang w:val="en-GB"/>
        </w:rPr>
        <w:t>__________________________________________________________________</w:t>
      </w:r>
      <w:r w:rsidR="00297D20">
        <w:rPr>
          <w:b/>
          <w:bCs/>
          <w:u w:val="single"/>
          <w:lang w:val="en-GB"/>
        </w:rPr>
        <w:t>_</w:t>
      </w:r>
    </w:p>
    <w:p w14:paraId="1934E02F" w14:textId="77777777" w:rsidR="00C91BD0" w:rsidRPr="002F496E" w:rsidRDefault="00C91BD0" w:rsidP="004275E4">
      <w:pPr>
        <w:rPr>
          <w:lang w:val="en-GB"/>
        </w:rPr>
      </w:pPr>
    </w:p>
    <w:p w14:paraId="1C893734" w14:textId="21CE897A" w:rsidR="00C91BD0" w:rsidRPr="002F496E" w:rsidRDefault="00C91BD0" w:rsidP="00297D20">
      <w:pPr>
        <w:jc w:val="center"/>
        <w:rPr>
          <w:b/>
          <w:bCs/>
          <w:lang w:val="en-GB"/>
        </w:rPr>
      </w:pPr>
      <w:r w:rsidRPr="002F496E">
        <w:rPr>
          <w:b/>
          <w:bCs/>
          <w:lang w:val="en-GB"/>
        </w:rPr>
        <w:t>JUDGMENT</w:t>
      </w:r>
    </w:p>
    <w:p w14:paraId="57178E58" w14:textId="5F9A8C2B" w:rsidR="00656E28" w:rsidRPr="001B3810" w:rsidRDefault="00C91BD0" w:rsidP="004275E4">
      <w:pPr>
        <w:rPr>
          <w:b/>
          <w:bCs/>
          <w:u w:val="single"/>
          <w:lang w:val="en-GB"/>
        </w:rPr>
      </w:pPr>
      <w:r w:rsidRPr="001B3810">
        <w:rPr>
          <w:b/>
          <w:bCs/>
          <w:u w:val="single"/>
          <w:lang w:val="en-GB"/>
        </w:rPr>
        <w:t>___________________________________________________________________</w:t>
      </w:r>
    </w:p>
    <w:p w14:paraId="0C030F11" w14:textId="7EA12421" w:rsidR="00782560" w:rsidRPr="002F496E" w:rsidRDefault="00C2796C" w:rsidP="004275E4">
      <w:pPr>
        <w:rPr>
          <w:b/>
          <w:lang w:val="en-GB"/>
        </w:rPr>
      </w:pPr>
      <w:r w:rsidRPr="002F496E">
        <w:rPr>
          <w:b/>
          <w:lang w:val="en-GB"/>
        </w:rPr>
        <w:t>CENGANI -MBAKAZA AJ</w:t>
      </w:r>
      <w:r w:rsidR="007560E9">
        <w:rPr>
          <w:b/>
          <w:lang w:val="en-GB"/>
        </w:rPr>
        <w:t>:</w:t>
      </w:r>
    </w:p>
    <w:p w14:paraId="01BCB07B" w14:textId="77777777" w:rsidR="001E0906" w:rsidRPr="002F496E" w:rsidRDefault="001E0906" w:rsidP="004275E4">
      <w:pPr>
        <w:rPr>
          <w:b/>
          <w:lang w:val="en-GB"/>
        </w:rPr>
      </w:pPr>
    </w:p>
    <w:p w14:paraId="60E7B784" w14:textId="47003998" w:rsidR="002C1720" w:rsidRPr="002F496E" w:rsidRDefault="001E0906" w:rsidP="004275E4">
      <w:pPr>
        <w:tabs>
          <w:tab w:val="left" w:pos="851"/>
        </w:tabs>
        <w:spacing w:line="480" w:lineRule="auto"/>
        <w:jc w:val="both"/>
        <w:rPr>
          <w:u w:val="single"/>
          <w:lang w:val="en-GB"/>
        </w:rPr>
      </w:pPr>
      <w:r w:rsidRPr="00CE4650">
        <w:rPr>
          <w:b/>
          <w:bCs/>
          <w:u w:val="single"/>
          <w:lang w:val="en-GB"/>
        </w:rPr>
        <w:t>Introduction</w:t>
      </w:r>
    </w:p>
    <w:p w14:paraId="4C2B6F63" w14:textId="6EAE4C3D" w:rsidR="00591217" w:rsidRDefault="002C1720" w:rsidP="004275E4">
      <w:pPr>
        <w:tabs>
          <w:tab w:val="left" w:pos="851"/>
        </w:tabs>
        <w:spacing w:line="480" w:lineRule="auto"/>
        <w:jc w:val="both"/>
        <w:rPr>
          <w:bCs/>
          <w:lang w:val="en-GB"/>
        </w:rPr>
      </w:pPr>
      <w:r w:rsidRPr="001B3810">
        <w:rPr>
          <w:bCs/>
          <w:lang w:val="en-GB"/>
        </w:rPr>
        <w:t>[1]</w:t>
      </w:r>
      <w:r w:rsidR="00297D20">
        <w:rPr>
          <w:bCs/>
          <w:lang w:val="en-GB"/>
        </w:rPr>
        <w:tab/>
      </w:r>
      <w:r w:rsidR="00591217">
        <w:rPr>
          <w:bCs/>
          <w:lang w:val="en-GB"/>
        </w:rPr>
        <w:t>This matter concerns an exception under Uniform Rule 23</w:t>
      </w:r>
      <w:r w:rsidR="00BA0E67">
        <w:rPr>
          <w:bCs/>
          <w:lang w:val="en-GB"/>
        </w:rPr>
        <w:t xml:space="preserve"> of the Uniform Rules of Court</w:t>
      </w:r>
      <w:r w:rsidR="00591217">
        <w:rPr>
          <w:bCs/>
          <w:lang w:val="en-GB"/>
        </w:rPr>
        <w:t xml:space="preserve"> which provides,</w:t>
      </w:r>
    </w:p>
    <w:p w14:paraId="472CCF2E" w14:textId="77777777" w:rsidR="00297D20" w:rsidRDefault="00297D20" w:rsidP="004275E4">
      <w:pPr>
        <w:tabs>
          <w:tab w:val="left" w:pos="851"/>
        </w:tabs>
        <w:spacing w:line="480" w:lineRule="auto"/>
        <w:jc w:val="both"/>
        <w:rPr>
          <w:bCs/>
          <w:lang w:val="en-GB"/>
        </w:rPr>
      </w:pPr>
    </w:p>
    <w:p w14:paraId="431E6988" w14:textId="2FAFC010" w:rsidR="00591217" w:rsidRPr="00BA67EE" w:rsidRDefault="00591217" w:rsidP="004275E4">
      <w:pPr>
        <w:tabs>
          <w:tab w:val="left" w:pos="851"/>
        </w:tabs>
        <w:spacing w:line="480" w:lineRule="auto"/>
        <w:ind w:left="720"/>
        <w:jc w:val="both"/>
        <w:rPr>
          <w:bCs/>
          <w:sz w:val="20"/>
          <w:szCs w:val="20"/>
          <w:lang w:val="en-GB"/>
        </w:rPr>
      </w:pPr>
      <w:r>
        <w:rPr>
          <w:bCs/>
          <w:sz w:val="20"/>
          <w:szCs w:val="20"/>
          <w:lang w:val="en-GB"/>
        </w:rPr>
        <w:lastRenderedPageBreak/>
        <w:t xml:space="preserve">(1) </w:t>
      </w:r>
      <w:r w:rsidRPr="00BA67EE">
        <w:rPr>
          <w:bCs/>
          <w:sz w:val="20"/>
          <w:szCs w:val="20"/>
          <w:lang w:val="en-GB"/>
        </w:rPr>
        <w:t>Where any pleading is vague and embarrassing, or lacks averments which are necessary to sustain an action or defence, as the case maybe, the opposing party may within the period allowed for filing any subsequent pleading, deliver an exception thereto and may apply to the registrar to set it down for hearing within 15 days after the delivery of such exception: Provided that:</w:t>
      </w:r>
    </w:p>
    <w:p w14:paraId="00C350BD" w14:textId="78A604E8" w:rsidR="00591217" w:rsidRPr="00E926F0" w:rsidRDefault="00E926F0" w:rsidP="00E926F0">
      <w:pPr>
        <w:tabs>
          <w:tab w:val="left" w:pos="851"/>
        </w:tabs>
        <w:spacing w:line="480" w:lineRule="auto"/>
        <w:ind w:left="1636" w:hanging="360"/>
        <w:jc w:val="both"/>
        <w:rPr>
          <w:bCs/>
          <w:sz w:val="20"/>
          <w:szCs w:val="20"/>
          <w:lang w:val="en-GB"/>
        </w:rPr>
      </w:pPr>
      <w:r w:rsidRPr="00BA67EE">
        <w:rPr>
          <w:bCs/>
          <w:i/>
          <w:sz w:val="20"/>
          <w:szCs w:val="20"/>
          <w:lang w:val="en-GB"/>
        </w:rPr>
        <w:t>(a)</w:t>
      </w:r>
      <w:r w:rsidRPr="00BA67EE">
        <w:rPr>
          <w:bCs/>
          <w:i/>
          <w:sz w:val="20"/>
          <w:szCs w:val="20"/>
          <w:lang w:val="en-GB"/>
        </w:rPr>
        <w:tab/>
      </w:r>
      <w:r w:rsidR="00591217" w:rsidRPr="00E926F0">
        <w:rPr>
          <w:bCs/>
          <w:sz w:val="20"/>
          <w:szCs w:val="20"/>
          <w:lang w:val="en-GB"/>
        </w:rPr>
        <w:t xml:space="preserve">where a party intends to take an exception that the pleading is vague and embarrassing such party shall, by notice, within 10 days of the receipt of the pleading afford the party delivering the pleading, an opportunity to remove the cause of complainant within 15 days of such notice; and </w:t>
      </w:r>
    </w:p>
    <w:p w14:paraId="5FFD1D54" w14:textId="098E7BBC" w:rsidR="00591217" w:rsidRPr="00E926F0" w:rsidRDefault="00E926F0" w:rsidP="00E926F0">
      <w:pPr>
        <w:tabs>
          <w:tab w:val="left" w:pos="851"/>
        </w:tabs>
        <w:spacing w:line="480" w:lineRule="auto"/>
        <w:ind w:left="1636" w:hanging="360"/>
        <w:jc w:val="both"/>
        <w:rPr>
          <w:bCs/>
          <w:sz w:val="20"/>
          <w:szCs w:val="20"/>
          <w:lang w:val="en-GB"/>
        </w:rPr>
      </w:pPr>
      <w:r w:rsidRPr="00BA67EE">
        <w:rPr>
          <w:bCs/>
          <w:i/>
          <w:sz w:val="20"/>
          <w:szCs w:val="20"/>
          <w:lang w:val="en-GB"/>
        </w:rPr>
        <w:t>(b)</w:t>
      </w:r>
      <w:r w:rsidRPr="00BA67EE">
        <w:rPr>
          <w:bCs/>
          <w:i/>
          <w:sz w:val="20"/>
          <w:szCs w:val="20"/>
          <w:lang w:val="en-GB"/>
        </w:rPr>
        <w:tab/>
      </w:r>
      <w:r w:rsidR="00591217" w:rsidRPr="00E926F0">
        <w:rPr>
          <w:bCs/>
          <w:sz w:val="20"/>
          <w:szCs w:val="20"/>
          <w:lang w:val="en-GB"/>
        </w:rPr>
        <w:t>the party excepting shall, within 10 days from the day on which the reply to the notice referred to in paragraph</w:t>
      </w:r>
      <w:r w:rsidR="00591217" w:rsidRPr="00E926F0">
        <w:rPr>
          <w:bCs/>
          <w:i/>
          <w:sz w:val="20"/>
          <w:szCs w:val="20"/>
          <w:lang w:val="en-GB"/>
        </w:rPr>
        <w:t>(a)</w:t>
      </w:r>
      <w:r w:rsidR="00591217" w:rsidRPr="00E926F0">
        <w:rPr>
          <w:bCs/>
          <w:sz w:val="20"/>
          <w:szCs w:val="20"/>
          <w:lang w:val="en-GB"/>
        </w:rPr>
        <w:t xml:space="preserve"> is received, or within 15 days of such reply is due, deliver the exception’.</w:t>
      </w:r>
    </w:p>
    <w:p w14:paraId="0C5B01FA" w14:textId="77777777" w:rsidR="00591217" w:rsidRPr="00BA67EE" w:rsidRDefault="00591217" w:rsidP="004275E4">
      <w:pPr>
        <w:pStyle w:val="ListParagraph"/>
        <w:tabs>
          <w:tab w:val="left" w:pos="851"/>
        </w:tabs>
        <w:spacing w:line="480" w:lineRule="auto"/>
        <w:ind w:left="2196"/>
        <w:jc w:val="both"/>
        <w:rPr>
          <w:bCs/>
          <w:sz w:val="20"/>
          <w:szCs w:val="20"/>
          <w:lang w:val="en-GB"/>
        </w:rPr>
      </w:pPr>
    </w:p>
    <w:p w14:paraId="5A024D92" w14:textId="0468020E" w:rsidR="00591217" w:rsidRDefault="00BA67EE" w:rsidP="004275E4">
      <w:pPr>
        <w:tabs>
          <w:tab w:val="left" w:pos="851"/>
        </w:tabs>
        <w:spacing w:line="480" w:lineRule="auto"/>
        <w:jc w:val="both"/>
        <w:rPr>
          <w:bCs/>
          <w:lang w:val="en-GB"/>
        </w:rPr>
      </w:pPr>
      <w:r>
        <w:rPr>
          <w:bCs/>
          <w:lang w:val="en-GB"/>
        </w:rPr>
        <w:t>[2</w:t>
      </w:r>
      <w:r w:rsidR="00591217">
        <w:rPr>
          <w:bCs/>
          <w:lang w:val="en-GB"/>
        </w:rPr>
        <w:t>]</w:t>
      </w:r>
      <w:r w:rsidR="00297D20">
        <w:rPr>
          <w:bCs/>
          <w:lang w:val="en-GB"/>
        </w:rPr>
        <w:tab/>
      </w:r>
      <w:r w:rsidR="00591217">
        <w:rPr>
          <w:bCs/>
          <w:lang w:val="en-GB"/>
        </w:rPr>
        <w:t xml:space="preserve">The defendants allege that the plaintiff’s amended particulars of claim lack the necessary averments to disclose a cause of action and/ or are vague and embarrassing. </w:t>
      </w:r>
    </w:p>
    <w:p w14:paraId="22C03AF9" w14:textId="77777777" w:rsidR="00E80D7C" w:rsidRDefault="00E80D7C" w:rsidP="004275E4">
      <w:pPr>
        <w:tabs>
          <w:tab w:val="left" w:pos="851"/>
        </w:tabs>
        <w:spacing w:line="480" w:lineRule="auto"/>
        <w:jc w:val="both"/>
        <w:rPr>
          <w:bCs/>
          <w:lang w:val="en-GB"/>
        </w:rPr>
      </w:pPr>
    </w:p>
    <w:p w14:paraId="1EB94D48" w14:textId="25237734" w:rsidR="00BA6160" w:rsidRPr="002F496E" w:rsidRDefault="00BA6160" w:rsidP="004275E4">
      <w:pPr>
        <w:tabs>
          <w:tab w:val="left" w:pos="851"/>
        </w:tabs>
        <w:spacing w:line="480" w:lineRule="auto"/>
        <w:jc w:val="both"/>
        <w:rPr>
          <w:bCs/>
          <w:lang w:val="en-GB"/>
        </w:rPr>
      </w:pPr>
      <w:r>
        <w:rPr>
          <w:bCs/>
          <w:lang w:val="en-GB"/>
        </w:rPr>
        <w:t>[3]</w:t>
      </w:r>
      <w:r w:rsidR="00297D20">
        <w:rPr>
          <w:bCs/>
          <w:lang w:val="en-GB"/>
        </w:rPr>
        <w:tab/>
      </w:r>
      <w:r>
        <w:rPr>
          <w:bCs/>
          <w:lang w:val="en-GB"/>
        </w:rPr>
        <w:t>The exception is opposed by the plaintiff</w:t>
      </w:r>
      <w:r w:rsidR="001605CE">
        <w:rPr>
          <w:bCs/>
          <w:lang w:val="en-GB"/>
        </w:rPr>
        <w:t>.</w:t>
      </w:r>
    </w:p>
    <w:p w14:paraId="4485A139" w14:textId="5CA0CE7F" w:rsidR="001E0906" w:rsidRPr="004275E4" w:rsidRDefault="001E0906" w:rsidP="004275E4">
      <w:pPr>
        <w:tabs>
          <w:tab w:val="left" w:pos="851"/>
          <w:tab w:val="left" w:pos="5772"/>
        </w:tabs>
        <w:spacing w:line="480" w:lineRule="auto"/>
        <w:jc w:val="both"/>
        <w:rPr>
          <w:b/>
          <w:bCs/>
          <w:lang w:val="en-GB"/>
        </w:rPr>
      </w:pPr>
    </w:p>
    <w:p w14:paraId="5586E6A4" w14:textId="17C05A3B" w:rsidR="001E0906" w:rsidRPr="00CE4650" w:rsidRDefault="00BA67EE" w:rsidP="004275E4">
      <w:pPr>
        <w:tabs>
          <w:tab w:val="left" w:pos="851"/>
        </w:tabs>
        <w:spacing w:line="480" w:lineRule="auto"/>
        <w:jc w:val="both"/>
        <w:rPr>
          <w:b/>
          <w:bCs/>
          <w:u w:val="single"/>
          <w:lang w:val="en-GB"/>
        </w:rPr>
      </w:pPr>
      <w:r w:rsidRPr="00CE4650">
        <w:rPr>
          <w:b/>
          <w:bCs/>
          <w:u w:val="single"/>
          <w:lang w:val="en-GB"/>
        </w:rPr>
        <w:t>The</w:t>
      </w:r>
      <w:r w:rsidR="00CE4650">
        <w:rPr>
          <w:b/>
          <w:bCs/>
          <w:u w:val="single"/>
          <w:lang w:val="en-GB"/>
        </w:rPr>
        <w:t xml:space="preserve"> </w:t>
      </w:r>
      <w:r w:rsidR="00CE4650" w:rsidRPr="00CE4650">
        <w:rPr>
          <w:b/>
          <w:bCs/>
          <w:u w:val="single"/>
          <w:lang w:val="en-GB"/>
        </w:rPr>
        <w:t>summary of the</w:t>
      </w:r>
      <w:r w:rsidR="001A43DC">
        <w:rPr>
          <w:b/>
          <w:bCs/>
          <w:u w:val="single"/>
          <w:lang w:val="en-GB"/>
        </w:rPr>
        <w:t xml:space="preserve"> amended</w:t>
      </w:r>
      <w:r w:rsidRPr="00CE4650">
        <w:rPr>
          <w:b/>
          <w:bCs/>
          <w:u w:val="single"/>
          <w:lang w:val="en-GB"/>
        </w:rPr>
        <w:t xml:space="preserve"> </w:t>
      </w:r>
      <w:r w:rsidR="00CE4650" w:rsidRPr="00CE4650">
        <w:rPr>
          <w:b/>
          <w:bCs/>
          <w:u w:val="single"/>
          <w:lang w:val="en-GB"/>
        </w:rPr>
        <w:t>particulars of claim</w:t>
      </w:r>
    </w:p>
    <w:p w14:paraId="334B00BD" w14:textId="77777777" w:rsidR="001E0906" w:rsidRPr="002F496E" w:rsidRDefault="001E0906" w:rsidP="004275E4">
      <w:pPr>
        <w:tabs>
          <w:tab w:val="left" w:pos="851"/>
        </w:tabs>
        <w:spacing w:line="480" w:lineRule="auto"/>
        <w:jc w:val="both"/>
        <w:rPr>
          <w:u w:val="single"/>
          <w:lang w:val="en-GB"/>
        </w:rPr>
      </w:pPr>
    </w:p>
    <w:p w14:paraId="134BE65E" w14:textId="559322D8" w:rsidR="001E0906" w:rsidRDefault="00297D20" w:rsidP="004275E4">
      <w:pPr>
        <w:tabs>
          <w:tab w:val="left" w:pos="851"/>
        </w:tabs>
        <w:spacing w:line="480" w:lineRule="auto"/>
        <w:jc w:val="both"/>
        <w:rPr>
          <w:lang w:val="en-GB"/>
        </w:rPr>
      </w:pPr>
      <w:r>
        <w:rPr>
          <w:lang w:val="en-GB"/>
        </w:rPr>
        <w:t>[</w:t>
      </w:r>
      <w:r w:rsidR="001605CE">
        <w:rPr>
          <w:lang w:val="en-GB"/>
        </w:rPr>
        <w:t>4</w:t>
      </w:r>
      <w:r w:rsidR="002C1720" w:rsidRPr="002F496E">
        <w:rPr>
          <w:lang w:val="en-GB"/>
        </w:rPr>
        <w:t>]</w:t>
      </w:r>
      <w:r w:rsidR="002C1720" w:rsidRPr="002F496E">
        <w:rPr>
          <w:lang w:val="en-GB"/>
        </w:rPr>
        <w:tab/>
      </w:r>
      <w:r w:rsidR="009305B2">
        <w:rPr>
          <w:lang w:val="en-GB"/>
        </w:rPr>
        <w:t>On 28 February 2019, the first defendant represented by the second defendant entered into a written sale</w:t>
      </w:r>
      <w:r w:rsidR="00452D10">
        <w:rPr>
          <w:lang w:val="en-GB"/>
        </w:rPr>
        <w:t>s</w:t>
      </w:r>
      <w:r w:rsidR="009305B2">
        <w:rPr>
          <w:lang w:val="en-GB"/>
        </w:rPr>
        <w:t xml:space="preserve"> agreement (</w:t>
      </w:r>
      <w:r w:rsidR="00452D10">
        <w:rPr>
          <w:lang w:val="en-GB"/>
        </w:rPr>
        <w:t xml:space="preserve">referred to as </w:t>
      </w:r>
      <w:r w:rsidR="009305B2">
        <w:rPr>
          <w:lang w:val="en-GB"/>
        </w:rPr>
        <w:t>the</w:t>
      </w:r>
      <w:r w:rsidR="00B70D0E">
        <w:rPr>
          <w:lang w:val="en-GB"/>
        </w:rPr>
        <w:t xml:space="preserve"> credit</w:t>
      </w:r>
      <w:r w:rsidR="009305B2">
        <w:rPr>
          <w:lang w:val="en-GB"/>
        </w:rPr>
        <w:t xml:space="preserve"> agreement) with the plaintiff. In terms of the</w:t>
      </w:r>
      <w:r w:rsidR="00EC126F">
        <w:rPr>
          <w:lang w:val="en-GB"/>
        </w:rPr>
        <w:t xml:space="preserve"> credit</w:t>
      </w:r>
      <w:r w:rsidR="009305B2">
        <w:rPr>
          <w:lang w:val="en-GB"/>
        </w:rPr>
        <w:t xml:space="preserve"> agreement, the first defendant</w:t>
      </w:r>
      <w:r w:rsidR="004009C3">
        <w:rPr>
          <w:lang w:val="en-GB"/>
        </w:rPr>
        <w:t xml:space="preserve"> would purchase</w:t>
      </w:r>
      <w:r w:rsidR="009305B2">
        <w:rPr>
          <w:lang w:val="en-GB"/>
        </w:rPr>
        <w:t xml:space="preserve"> a motor vehicle with the </w:t>
      </w:r>
      <w:r w:rsidR="00452D10">
        <w:rPr>
          <w:lang w:val="en-GB"/>
        </w:rPr>
        <w:t>license plate number</w:t>
      </w:r>
      <w:r w:rsidR="009305B2">
        <w:rPr>
          <w:lang w:val="en-GB"/>
        </w:rPr>
        <w:t xml:space="preserve"> JHY311 EC</w:t>
      </w:r>
      <w:r w:rsidR="0010073D">
        <w:rPr>
          <w:lang w:val="en-GB"/>
        </w:rPr>
        <w:t>.</w:t>
      </w:r>
    </w:p>
    <w:p w14:paraId="17D5B366" w14:textId="77777777" w:rsidR="009305B2" w:rsidRPr="002F496E" w:rsidRDefault="009305B2" w:rsidP="004275E4">
      <w:pPr>
        <w:tabs>
          <w:tab w:val="left" w:pos="851"/>
        </w:tabs>
        <w:spacing w:line="480" w:lineRule="auto"/>
        <w:jc w:val="both"/>
        <w:rPr>
          <w:lang w:val="en-GB"/>
        </w:rPr>
      </w:pPr>
    </w:p>
    <w:p w14:paraId="00C4D542" w14:textId="63F693B5" w:rsidR="00297D20" w:rsidRPr="002F496E" w:rsidRDefault="001605CE" w:rsidP="004275E4">
      <w:pPr>
        <w:tabs>
          <w:tab w:val="left" w:pos="851"/>
        </w:tabs>
        <w:spacing w:line="480" w:lineRule="auto"/>
        <w:jc w:val="both"/>
        <w:rPr>
          <w:u w:val="single"/>
          <w:lang w:val="en-GB"/>
        </w:rPr>
      </w:pPr>
      <w:r>
        <w:rPr>
          <w:lang w:val="en-GB"/>
        </w:rPr>
        <w:t>[5</w:t>
      </w:r>
      <w:r w:rsidR="00317D3C" w:rsidRPr="002F496E">
        <w:rPr>
          <w:lang w:val="en-GB"/>
        </w:rPr>
        <w:t>]</w:t>
      </w:r>
      <w:r w:rsidR="00317D3C" w:rsidRPr="002F496E">
        <w:rPr>
          <w:lang w:val="en-GB"/>
        </w:rPr>
        <w:tab/>
      </w:r>
      <w:r w:rsidR="009305B2">
        <w:rPr>
          <w:lang w:val="en-GB"/>
        </w:rPr>
        <w:t xml:space="preserve">The </w:t>
      </w:r>
      <w:r w:rsidR="00452D10">
        <w:rPr>
          <w:lang w:val="en-GB"/>
        </w:rPr>
        <w:t xml:space="preserve">essential </w:t>
      </w:r>
      <w:r w:rsidR="00EC70C1">
        <w:rPr>
          <w:lang w:val="en-GB"/>
        </w:rPr>
        <w:t>terms of the</w:t>
      </w:r>
      <w:r w:rsidR="00EC126F">
        <w:rPr>
          <w:lang w:val="en-GB"/>
        </w:rPr>
        <w:t xml:space="preserve"> credit</w:t>
      </w:r>
      <w:r w:rsidR="00EC70C1">
        <w:rPr>
          <w:lang w:val="en-GB"/>
        </w:rPr>
        <w:t xml:space="preserve"> agreement </w:t>
      </w:r>
      <w:r w:rsidR="00452D10">
        <w:rPr>
          <w:lang w:val="en-GB"/>
        </w:rPr>
        <w:t>stipulated</w:t>
      </w:r>
      <w:r w:rsidR="009305B2">
        <w:rPr>
          <w:lang w:val="en-GB"/>
        </w:rPr>
        <w:t xml:space="preserve"> that the </w:t>
      </w:r>
      <w:r w:rsidR="00452D10">
        <w:rPr>
          <w:lang w:val="en-GB"/>
        </w:rPr>
        <w:t xml:space="preserve">total cost of the </w:t>
      </w:r>
      <w:r w:rsidR="009305B2">
        <w:rPr>
          <w:lang w:val="en-GB"/>
        </w:rPr>
        <w:t xml:space="preserve">vehicle would amount to R606, 400. </w:t>
      </w:r>
      <w:r w:rsidR="006A52D7">
        <w:rPr>
          <w:lang w:val="en-GB"/>
        </w:rPr>
        <w:t>When including</w:t>
      </w:r>
      <w:r w:rsidR="009305B2">
        <w:rPr>
          <w:lang w:val="en-GB"/>
        </w:rPr>
        <w:t xml:space="preserve"> total accessories, the extras, the </w:t>
      </w:r>
      <w:r w:rsidR="009305B2">
        <w:rPr>
          <w:lang w:val="en-GB"/>
        </w:rPr>
        <w:lastRenderedPageBreak/>
        <w:t xml:space="preserve">initiation fee and the </w:t>
      </w:r>
      <w:r w:rsidR="002712F1">
        <w:rPr>
          <w:lang w:val="en-GB"/>
        </w:rPr>
        <w:t>financial charges</w:t>
      </w:r>
      <w:r w:rsidR="006A52D7">
        <w:rPr>
          <w:lang w:val="en-GB"/>
        </w:rPr>
        <w:t xml:space="preserve"> (i.e., processing fees, interest</w:t>
      </w:r>
      <w:r w:rsidR="002712F1">
        <w:rPr>
          <w:lang w:val="en-GB"/>
        </w:rPr>
        <w:t>)</w:t>
      </w:r>
      <w:r w:rsidR="004275E4">
        <w:rPr>
          <w:lang w:val="en-GB"/>
        </w:rPr>
        <w:t>,</w:t>
      </w:r>
      <w:r w:rsidR="002712F1">
        <w:rPr>
          <w:lang w:val="en-GB"/>
        </w:rPr>
        <w:t xml:space="preserve"> </w:t>
      </w:r>
      <w:r w:rsidR="004275E4">
        <w:rPr>
          <w:lang w:val="en-GB"/>
        </w:rPr>
        <w:t>t</w:t>
      </w:r>
      <w:r w:rsidR="009305B2">
        <w:rPr>
          <w:lang w:val="en-GB"/>
        </w:rPr>
        <w:t>h</w:t>
      </w:r>
      <w:r w:rsidR="004009C3">
        <w:rPr>
          <w:lang w:val="en-GB"/>
        </w:rPr>
        <w:t>is would amount to a total</w:t>
      </w:r>
      <w:r w:rsidR="009305B2">
        <w:rPr>
          <w:lang w:val="en-GB"/>
        </w:rPr>
        <w:t xml:space="preserve"> of R944</w:t>
      </w:r>
      <w:r w:rsidR="004009C3">
        <w:rPr>
          <w:lang w:val="en-GB"/>
        </w:rPr>
        <w:t>, 755.20</w:t>
      </w:r>
      <w:r w:rsidR="009305B2">
        <w:rPr>
          <w:lang w:val="en-GB"/>
        </w:rPr>
        <w:t>.</w:t>
      </w:r>
    </w:p>
    <w:p w14:paraId="4DA2597E" w14:textId="77777777" w:rsidR="00317D3C" w:rsidRPr="002F496E" w:rsidRDefault="00317D3C" w:rsidP="004275E4">
      <w:pPr>
        <w:tabs>
          <w:tab w:val="left" w:pos="851"/>
        </w:tabs>
        <w:spacing w:line="600" w:lineRule="auto"/>
        <w:jc w:val="both"/>
        <w:rPr>
          <w:lang w:val="en-GB"/>
        </w:rPr>
      </w:pPr>
    </w:p>
    <w:p w14:paraId="267645D8" w14:textId="7CE688D1" w:rsidR="00CE4650" w:rsidRDefault="001605CE" w:rsidP="004275E4">
      <w:pPr>
        <w:tabs>
          <w:tab w:val="left" w:pos="851"/>
        </w:tabs>
        <w:spacing w:line="480" w:lineRule="auto"/>
        <w:jc w:val="both"/>
        <w:rPr>
          <w:lang w:val="en-GB"/>
        </w:rPr>
      </w:pPr>
      <w:r>
        <w:rPr>
          <w:lang w:val="en-GB"/>
        </w:rPr>
        <w:t>[6</w:t>
      </w:r>
      <w:r w:rsidR="00317D3C" w:rsidRPr="002F496E">
        <w:rPr>
          <w:lang w:val="en-GB"/>
        </w:rPr>
        <w:t>]</w:t>
      </w:r>
      <w:r w:rsidR="00317D3C" w:rsidRPr="002F496E">
        <w:rPr>
          <w:lang w:val="en-GB"/>
        </w:rPr>
        <w:tab/>
      </w:r>
      <w:r w:rsidR="009305B2">
        <w:rPr>
          <w:lang w:val="en-GB"/>
        </w:rPr>
        <w:t>The parties agreed that the amount of R944</w:t>
      </w:r>
      <w:r w:rsidR="002712F1">
        <w:rPr>
          <w:lang w:val="en-GB"/>
        </w:rPr>
        <w:t>,755</w:t>
      </w:r>
      <w:r w:rsidR="009305B2">
        <w:rPr>
          <w:lang w:val="en-GB"/>
        </w:rPr>
        <w:t>.</w:t>
      </w:r>
      <w:r w:rsidR="002712F1">
        <w:rPr>
          <w:lang w:val="en-GB"/>
        </w:rPr>
        <w:t xml:space="preserve"> </w:t>
      </w:r>
      <w:r w:rsidR="009305B2">
        <w:rPr>
          <w:lang w:val="en-GB"/>
        </w:rPr>
        <w:t xml:space="preserve">20 would be paid </w:t>
      </w:r>
      <w:r w:rsidR="0010073D">
        <w:rPr>
          <w:lang w:val="en-GB"/>
        </w:rPr>
        <w:t>through</w:t>
      </w:r>
      <w:r w:rsidR="00CE4650">
        <w:rPr>
          <w:lang w:val="en-GB"/>
        </w:rPr>
        <w:t xml:space="preserve"> seventy</w:t>
      </w:r>
      <w:r w:rsidR="0010073D">
        <w:rPr>
          <w:lang w:val="en-GB"/>
        </w:rPr>
        <w:t>-</w:t>
      </w:r>
      <w:r w:rsidR="00CE4650">
        <w:rPr>
          <w:lang w:val="en-GB"/>
        </w:rPr>
        <w:t xml:space="preserve">two instalments, </w:t>
      </w:r>
      <w:r w:rsidR="0010073D">
        <w:rPr>
          <w:lang w:val="en-GB"/>
        </w:rPr>
        <w:t>with each</w:t>
      </w:r>
      <w:r w:rsidR="00CE4650">
        <w:rPr>
          <w:lang w:val="en-GB"/>
        </w:rPr>
        <w:t xml:space="preserve"> instalment </w:t>
      </w:r>
      <w:r w:rsidR="0010073D">
        <w:rPr>
          <w:lang w:val="en-GB"/>
        </w:rPr>
        <w:t xml:space="preserve">being </w:t>
      </w:r>
      <w:r w:rsidR="00CE4650">
        <w:rPr>
          <w:lang w:val="en-GB"/>
        </w:rPr>
        <w:t>R13</w:t>
      </w:r>
      <w:r w:rsidR="002712F1">
        <w:rPr>
          <w:lang w:val="en-GB"/>
        </w:rPr>
        <w:t>,121.60</w:t>
      </w:r>
      <w:r w:rsidR="00CE4650">
        <w:rPr>
          <w:lang w:val="en-GB"/>
        </w:rPr>
        <w:t xml:space="preserve"> per month</w:t>
      </w:r>
      <w:r w:rsidR="0010073D">
        <w:rPr>
          <w:lang w:val="en-GB"/>
        </w:rPr>
        <w:t xml:space="preserve">. </w:t>
      </w:r>
      <w:r w:rsidR="002712F1">
        <w:rPr>
          <w:lang w:val="en-GB"/>
        </w:rPr>
        <w:t>The p</w:t>
      </w:r>
      <w:r w:rsidR="0010073D">
        <w:rPr>
          <w:lang w:val="en-GB"/>
        </w:rPr>
        <w:t xml:space="preserve">ayments would </w:t>
      </w:r>
      <w:r w:rsidR="00297D20">
        <w:rPr>
          <w:lang w:val="en-GB"/>
        </w:rPr>
        <w:t>commence</w:t>
      </w:r>
      <w:r w:rsidR="00CE4650">
        <w:rPr>
          <w:lang w:val="en-GB"/>
        </w:rPr>
        <w:t xml:space="preserve"> on 28 February 2019 and </w:t>
      </w:r>
      <w:r w:rsidR="0010073D">
        <w:rPr>
          <w:lang w:val="en-GB"/>
        </w:rPr>
        <w:t xml:space="preserve">continue </w:t>
      </w:r>
      <w:r w:rsidR="00CE4650">
        <w:rPr>
          <w:lang w:val="en-GB"/>
        </w:rPr>
        <w:t>on or before the same day of the succeeding months until the arrear amount is liquidated. In addition</w:t>
      </w:r>
      <w:r w:rsidR="00591217">
        <w:rPr>
          <w:lang w:val="en-GB"/>
        </w:rPr>
        <w:t>, the</w:t>
      </w:r>
      <w:r w:rsidR="00EC126F">
        <w:rPr>
          <w:lang w:val="en-GB"/>
        </w:rPr>
        <w:t xml:space="preserve"> </w:t>
      </w:r>
      <w:r w:rsidR="00CE4650">
        <w:rPr>
          <w:lang w:val="en-GB"/>
        </w:rPr>
        <w:t>ownership of the vehicle w</w:t>
      </w:r>
      <w:r w:rsidR="004009C3">
        <w:rPr>
          <w:lang w:val="en-GB"/>
        </w:rPr>
        <w:t>ould vest</w:t>
      </w:r>
      <w:r w:rsidR="00EC70C1">
        <w:rPr>
          <w:lang w:val="en-GB"/>
        </w:rPr>
        <w:t xml:space="preserve"> with</w:t>
      </w:r>
      <w:r w:rsidR="00CE4650">
        <w:rPr>
          <w:lang w:val="en-GB"/>
        </w:rPr>
        <w:t xml:space="preserve"> the plaintiff until the receipt of </w:t>
      </w:r>
      <w:r w:rsidR="00591217">
        <w:rPr>
          <w:lang w:val="en-GB"/>
        </w:rPr>
        <w:t>all the</w:t>
      </w:r>
      <w:r w:rsidR="00EC126F">
        <w:rPr>
          <w:lang w:val="en-GB"/>
        </w:rPr>
        <w:t xml:space="preserve"> </w:t>
      </w:r>
      <w:r w:rsidR="00CE4650">
        <w:rPr>
          <w:lang w:val="en-GB"/>
        </w:rPr>
        <w:t xml:space="preserve">amounts payable to the plaintiff. </w:t>
      </w:r>
    </w:p>
    <w:p w14:paraId="3552CD40" w14:textId="77777777" w:rsidR="00CE4650" w:rsidRDefault="00CE4650" w:rsidP="004275E4">
      <w:pPr>
        <w:tabs>
          <w:tab w:val="left" w:pos="851"/>
        </w:tabs>
        <w:spacing w:line="480" w:lineRule="auto"/>
        <w:jc w:val="both"/>
        <w:rPr>
          <w:lang w:val="en-GB"/>
        </w:rPr>
      </w:pPr>
    </w:p>
    <w:p w14:paraId="0B7E2365" w14:textId="7589CB87" w:rsidR="00CE4650" w:rsidRDefault="001605CE" w:rsidP="004275E4">
      <w:pPr>
        <w:tabs>
          <w:tab w:val="left" w:pos="851"/>
        </w:tabs>
        <w:spacing w:line="480" w:lineRule="auto"/>
        <w:jc w:val="both"/>
        <w:rPr>
          <w:lang w:val="en-GB"/>
        </w:rPr>
      </w:pPr>
      <w:r>
        <w:rPr>
          <w:lang w:val="en-GB"/>
        </w:rPr>
        <w:t>[7</w:t>
      </w:r>
      <w:r w:rsidR="00CE4650">
        <w:rPr>
          <w:lang w:val="en-GB"/>
        </w:rPr>
        <w:t xml:space="preserve">] </w:t>
      </w:r>
      <w:r w:rsidR="00297D20">
        <w:rPr>
          <w:lang w:val="en-GB"/>
        </w:rPr>
        <w:tab/>
        <w:t xml:space="preserve">In </w:t>
      </w:r>
      <w:r w:rsidR="00CE4650">
        <w:rPr>
          <w:lang w:val="en-GB"/>
        </w:rPr>
        <w:t>paragraph 9 of the</w:t>
      </w:r>
      <w:r w:rsidR="004009C3">
        <w:rPr>
          <w:lang w:val="en-GB"/>
        </w:rPr>
        <w:t xml:space="preserve"> amended</w:t>
      </w:r>
      <w:r w:rsidR="00CE4650">
        <w:rPr>
          <w:lang w:val="en-GB"/>
        </w:rPr>
        <w:t xml:space="preserve"> particulars of claim</w:t>
      </w:r>
      <w:r w:rsidR="0010073D">
        <w:rPr>
          <w:lang w:val="en-GB"/>
        </w:rPr>
        <w:t>,</w:t>
      </w:r>
      <w:r w:rsidR="00CE4650">
        <w:rPr>
          <w:lang w:val="en-GB"/>
        </w:rPr>
        <w:t xml:space="preserve"> the plaintiff </w:t>
      </w:r>
      <w:r w:rsidR="0010073D">
        <w:rPr>
          <w:lang w:val="en-GB"/>
        </w:rPr>
        <w:t xml:space="preserve">states </w:t>
      </w:r>
      <w:r w:rsidR="00CE4650">
        <w:rPr>
          <w:lang w:val="en-GB"/>
        </w:rPr>
        <w:t xml:space="preserve">that the defendants </w:t>
      </w:r>
      <w:r w:rsidR="0010073D">
        <w:rPr>
          <w:lang w:val="en-GB"/>
        </w:rPr>
        <w:t>failed</w:t>
      </w:r>
      <w:r w:rsidR="00CE4650">
        <w:rPr>
          <w:lang w:val="en-GB"/>
        </w:rPr>
        <w:t xml:space="preserve"> </w:t>
      </w:r>
      <w:r w:rsidR="0010073D">
        <w:rPr>
          <w:lang w:val="en-GB"/>
        </w:rPr>
        <w:t xml:space="preserve">to meet </w:t>
      </w:r>
      <w:r w:rsidR="00CE4650">
        <w:rPr>
          <w:lang w:val="en-GB"/>
        </w:rPr>
        <w:t>their obligations in terms of the</w:t>
      </w:r>
      <w:r w:rsidR="00FA57EB">
        <w:rPr>
          <w:lang w:val="en-GB"/>
        </w:rPr>
        <w:t xml:space="preserve"> credit</w:t>
      </w:r>
      <w:r w:rsidR="00CE4650">
        <w:rPr>
          <w:lang w:val="en-GB"/>
        </w:rPr>
        <w:t xml:space="preserve"> agreement in that</w:t>
      </w:r>
      <w:r w:rsidR="00EE1E9D">
        <w:rPr>
          <w:lang w:val="en-GB"/>
        </w:rPr>
        <w:t xml:space="preserve"> as </w:t>
      </w:r>
      <w:r w:rsidR="0010073D">
        <w:rPr>
          <w:lang w:val="en-GB"/>
        </w:rPr>
        <w:t xml:space="preserve">of </w:t>
      </w:r>
      <w:r w:rsidR="00EE1E9D">
        <w:rPr>
          <w:lang w:val="en-GB"/>
        </w:rPr>
        <w:t>26 July 2023</w:t>
      </w:r>
      <w:r w:rsidR="00CE4650">
        <w:rPr>
          <w:lang w:val="en-GB"/>
        </w:rPr>
        <w:t xml:space="preserve"> th</w:t>
      </w:r>
      <w:r w:rsidR="004009C3">
        <w:rPr>
          <w:lang w:val="en-GB"/>
        </w:rPr>
        <w:t>ey were</w:t>
      </w:r>
      <w:r w:rsidR="00CE4650">
        <w:rPr>
          <w:lang w:val="en-GB"/>
        </w:rPr>
        <w:t xml:space="preserve"> in arrears in respect of the monthly instalment in the sum of R</w:t>
      </w:r>
      <w:r w:rsidR="00EE1E9D">
        <w:rPr>
          <w:lang w:val="en-GB"/>
        </w:rPr>
        <w:t>192 029.58</w:t>
      </w:r>
      <w:r w:rsidR="00CE4650">
        <w:rPr>
          <w:lang w:val="en-GB"/>
        </w:rPr>
        <w:t xml:space="preserve"> with an outstanding balance of </w:t>
      </w:r>
      <w:r w:rsidR="00EE1E9D">
        <w:rPr>
          <w:lang w:val="en-GB"/>
        </w:rPr>
        <w:t>R450 048</w:t>
      </w:r>
      <w:r w:rsidR="00CE4650">
        <w:rPr>
          <w:lang w:val="en-GB"/>
        </w:rPr>
        <w:t>.</w:t>
      </w:r>
      <w:r w:rsidR="00EC126F">
        <w:rPr>
          <w:lang w:val="en-GB"/>
        </w:rPr>
        <w:t xml:space="preserve"> 58. The plaintiff </w:t>
      </w:r>
      <w:r w:rsidR="0010073D">
        <w:rPr>
          <w:lang w:val="en-GB"/>
        </w:rPr>
        <w:t xml:space="preserve">also asserts </w:t>
      </w:r>
      <w:r w:rsidR="004009C3">
        <w:rPr>
          <w:lang w:val="en-GB"/>
        </w:rPr>
        <w:t xml:space="preserve">that </w:t>
      </w:r>
      <w:r w:rsidR="00EE1E9D">
        <w:rPr>
          <w:lang w:val="en-GB"/>
        </w:rPr>
        <w:t>the provisions of the National Credit Act</w:t>
      </w:r>
      <w:r w:rsidR="00FA57EB">
        <w:rPr>
          <w:lang w:val="en-GB"/>
        </w:rPr>
        <w:t xml:space="preserve"> 34 of 2005</w:t>
      </w:r>
      <w:r w:rsidR="004009C3">
        <w:rPr>
          <w:lang w:val="en-GB"/>
        </w:rPr>
        <w:t xml:space="preserve"> </w:t>
      </w:r>
      <w:r w:rsidR="00EE1E9D">
        <w:rPr>
          <w:lang w:val="en-GB"/>
        </w:rPr>
        <w:t xml:space="preserve">(the </w:t>
      </w:r>
      <w:r w:rsidR="00282821">
        <w:rPr>
          <w:lang w:val="en-GB"/>
        </w:rPr>
        <w:t>NCA</w:t>
      </w:r>
      <w:r w:rsidR="00EE1E9D">
        <w:rPr>
          <w:lang w:val="en-GB"/>
        </w:rPr>
        <w:t>) are not applicable in terms of the</w:t>
      </w:r>
      <w:r w:rsidR="00FA57EB">
        <w:rPr>
          <w:lang w:val="en-GB"/>
        </w:rPr>
        <w:t xml:space="preserve"> credit</w:t>
      </w:r>
      <w:r w:rsidR="00EE1E9D">
        <w:rPr>
          <w:lang w:val="en-GB"/>
        </w:rPr>
        <w:t xml:space="preserve"> agreement, however, they complied with the provisions of the Act by sending a notice to the first defendant </w:t>
      </w:r>
      <w:r w:rsidR="0010073D">
        <w:rPr>
          <w:lang w:val="en-GB"/>
        </w:rPr>
        <w:t>under</w:t>
      </w:r>
      <w:r w:rsidR="00EE1E9D">
        <w:rPr>
          <w:lang w:val="en-GB"/>
        </w:rPr>
        <w:t xml:space="preserve"> section</w:t>
      </w:r>
      <w:r w:rsidR="0010073D">
        <w:rPr>
          <w:lang w:val="en-GB"/>
        </w:rPr>
        <w:t>s</w:t>
      </w:r>
      <w:r w:rsidR="00EE1E9D">
        <w:rPr>
          <w:lang w:val="en-GB"/>
        </w:rPr>
        <w:t xml:space="preserve"> 129 of the Act</w:t>
      </w:r>
      <w:r w:rsidR="004009C3">
        <w:rPr>
          <w:lang w:val="en-GB"/>
        </w:rPr>
        <w:t xml:space="preserve"> </w:t>
      </w:r>
      <w:r w:rsidR="00282821">
        <w:rPr>
          <w:lang w:val="en-GB"/>
        </w:rPr>
        <w:t>(the section 129</w:t>
      </w:r>
      <w:r w:rsidR="004009C3">
        <w:rPr>
          <w:lang w:val="en-GB"/>
        </w:rPr>
        <w:t xml:space="preserve"> notice)</w:t>
      </w:r>
      <w:r w:rsidR="0010073D">
        <w:rPr>
          <w:lang w:val="en-GB"/>
        </w:rPr>
        <w:t>, requesting the second defendant</w:t>
      </w:r>
      <w:r w:rsidR="00EE1E9D">
        <w:rPr>
          <w:lang w:val="en-GB"/>
        </w:rPr>
        <w:t xml:space="preserve"> to make payment of the said arrears within a period of 10 (ten) days from the date of receipt of the said letter.</w:t>
      </w:r>
      <w:r w:rsidR="004009C3">
        <w:rPr>
          <w:lang w:val="en-GB"/>
        </w:rPr>
        <w:t xml:space="preserve"> The plaintiff acknowledges that the first notice was sent to </w:t>
      </w:r>
      <w:r w:rsidR="00297D20">
        <w:rPr>
          <w:lang w:val="en-GB"/>
        </w:rPr>
        <w:t xml:space="preserve">the </w:t>
      </w:r>
      <w:r w:rsidR="004009C3">
        <w:rPr>
          <w:lang w:val="en-GB"/>
        </w:rPr>
        <w:t>wrong e-mail address.</w:t>
      </w:r>
    </w:p>
    <w:p w14:paraId="60A37AC5" w14:textId="77777777" w:rsidR="00EE1E9D" w:rsidRDefault="00EE1E9D" w:rsidP="004275E4">
      <w:pPr>
        <w:tabs>
          <w:tab w:val="left" w:pos="851"/>
        </w:tabs>
        <w:spacing w:line="480" w:lineRule="auto"/>
        <w:jc w:val="both"/>
        <w:rPr>
          <w:lang w:val="en-GB"/>
        </w:rPr>
      </w:pPr>
    </w:p>
    <w:p w14:paraId="56987607" w14:textId="59B49C8F" w:rsidR="00CE4650" w:rsidRDefault="001605CE" w:rsidP="004275E4">
      <w:pPr>
        <w:tabs>
          <w:tab w:val="left" w:pos="851"/>
        </w:tabs>
        <w:spacing w:line="480" w:lineRule="auto"/>
        <w:jc w:val="both"/>
        <w:rPr>
          <w:lang w:val="en-GB"/>
        </w:rPr>
      </w:pPr>
      <w:r>
        <w:rPr>
          <w:lang w:val="en-GB"/>
        </w:rPr>
        <w:t>[8</w:t>
      </w:r>
      <w:r w:rsidR="00EE1E9D">
        <w:rPr>
          <w:lang w:val="en-GB"/>
        </w:rPr>
        <w:t>]</w:t>
      </w:r>
      <w:r w:rsidR="00297D20">
        <w:rPr>
          <w:lang w:val="en-GB"/>
        </w:rPr>
        <w:tab/>
      </w:r>
      <w:r w:rsidR="002712F1">
        <w:rPr>
          <w:lang w:val="en-GB"/>
        </w:rPr>
        <w:t>The c</w:t>
      </w:r>
      <w:r w:rsidR="000A61B6">
        <w:rPr>
          <w:lang w:val="en-GB"/>
        </w:rPr>
        <w:t xml:space="preserve">opies </w:t>
      </w:r>
      <w:r w:rsidR="004009C3">
        <w:rPr>
          <w:lang w:val="en-GB"/>
        </w:rPr>
        <w:t xml:space="preserve">of the notices </w:t>
      </w:r>
      <w:r w:rsidR="000A61B6">
        <w:rPr>
          <w:lang w:val="en-GB"/>
        </w:rPr>
        <w:t xml:space="preserve">along with the </w:t>
      </w:r>
      <w:r w:rsidR="004009C3">
        <w:rPr>
          <w:lang w:val="en-GB"/>
        </w:rPr>
        <w:t xml:space="preserve">proof of transmission </w:t>
      </w:r>
      <w:r w:rsidR="000A61B6">
        <w:rPr>
          <w:lang w:val="en-GB"/>
        </w:rPr>
        <w:t>and the</w:t>
      </w:r>
      <w:r w:rsidR="004009C3">
        <w:rPr>
          <w:lang w:val="en-GB"/>
        </w:rPr>
        <w:t xml:space="preserve"> registered communication certificates</w:t>
      </w:r>
      <w:r w:rsidR="000A61B6">
        <w:rPr>
          <w:lang w:val="en-GB"/>
        </w:rPr>
        <w:t>,</w:t>
      </w:r>
      <w:r w:rsidR="004009C3">
        <w:rPr>
          <w:lang w:val="en-GB"/>
        </w:rPr>
        <w:t xml:space="preserve"> which were sent to the defendant’s correct email address</w:t>
      </w:r>
      <w:r w:rsidR="000A61B6">
        <w:rPr>
          <w:lang w:val="en-GB"/>
        </w:rPr>
        <w:t>,</w:t>
      </w:r>
      <w:r w:rsidR="004009C3">
        <w:rPr>
          <w:lang w:val="en-GB"/>
        </w:rPr>
        <w:t xml:space="preserve"> are </w:t>
      </w:r>
      <w:r w:rsidR="000A61B6">
        <w:rPr>
          <w:lang w:val="en-GB"/>
        </w:rPr>
        <w:t>attached as Annexes G1 to G6 in the court’s file</w:t>
      </w:r>
      <w:r w:rsidR="00EC126F">
        <w:rPr>
          <w:lang w:val="en-GB"/>
        </w:rPr>
        <w:t>.</w:t>
      </w:r>
    </w:p>
    <w:p w14:paraId="31F4D265" w14:textId="5DFF0CEA" w:rsidR="00CE4650" w:rsidRDefault="004009C3" w:rsidP="004275E4">
      <w:pPr>
        <w:tabs>
          <w:tab w:val="left" w:pos="851"/>
        </w:tabs>
        <w:spacing w:line="480" w:lineRule="auto"/>
        <w:jc w:val="both"/>
        <w:rPr>
          <w:b/>
          <w:u w:val="single"/>
          <w:lang w:val="en-GB"/>
        </w:rPr>
      </w:pPr>
      <w:r w:rsidRPr="004009C3">
        <w:rPr>
          <w:b/>
          <w:u w:val="single"/>
          <w:lang w:val="en-GB"/>
        </w:rPr>
        <w:t xml:space="preserve">The </w:t>
      </w:r>
      <w:r>
        <w:rPr>
          <w:b/>
          <w:u w:val="single"/>
          <w:lang w:val="en-GB"/>
        </w:rPr>
        <w:t>applicable law</w:t>
      </w:r>
    </w:p>
    <w:p w14:paraId="6F850ADF" w14:textId="77777777" w:rsidR="004009C3" w:rsidRDefault="004009C3" w:rsidP="004275E4">
      <w:pPr>
        <w:tabs>
          <w:tab w:val="left" w:pos="851"/>
        </w:tabs>
        <w:spacing w:line="480" w:lineRule="auto"/>
        <w:jc w:val="both"/>
        <w:rPr>
          <w:b/>
          <w:u w:val="single"/>
          <w:lang w:val="en-GB"/>
        </w:rPr>
      </w:pPr>
    </w:p>
    <w:p w14:paraId="0C5D300C" w14:textId="5B9290BC" w:rsidR="00297D20" w:rsidRPr="00BA6160" w:rsidRDefault="001605CE" w:rsidP="004275E4">
      <w:pPr>
        <w:autoSpaceDE w:val="0"/>
        <w:autoSpaceDN w:val="0"/>
        <w:adjustRightInd w:val="0"/>
        <w:spacing w:line="480" w:lineRule="auto"/>
        <w:jc w:val="both"/>
        <w:rPr>
          <w:color w:val="auto"/>
        </w:rPr>
      </w:pPr>
      <w:r>
        <w:rPr>
          <w:lang w:val="en-GB"/>
        </w:rPr>
        <w:t>[9</w:t>
      </w:r>
      <w:r w:rsidR="001B0F75" w:rsidRPr="004009C3">
        <w:rPr>
          <w:lang w:val="en-GB"/>
        </w:rPr>
        <w:t>]</w:t>
      </w:r>
      <w:r w:rsidR="00297D20">
        <w:rPr>
          <w:lang w:val="en-GB"/>
        </w:rPr>
        <w:tab/>
      </w:r>
      <w:r w:rsidR="001B0F75">
        <w:rPr>
          <w:lang w:val="en-GB"/>
        </w:rPr>
        <w:t>The</w:t>
      </w:r>
      <w:r w:rsidR="00BA6160" w:rsidRPr="00BA6160">
        <w:rPr>
          <w:color w:val="auto"/>
        </w:rPr>
        <w:t xml:space="preserve"> basic principles govern</w:t>
      </w:r>
      <w:r w:rsidR="001B0F75">
        <w:rPr>
          <w:color w:val="auto"/>
        </w:rPr>
        <w:t>ing an exception were enunciated</w:t>
      </w:r>
      <w:r w:rsidR="00BA6160" w:rsidRPr="00BA6160">
        <w:rPr>
          <w:color w:val="auto"/>
        </w:rPr>
        <w:t xml:space="preserve"> by Makgoka J in</w:t>
      </w:r>
      <w:r w:rsidR="001B0F75" w:rsidRPr="001B0F75">
        <w:rPr>
          <w:bCs/>
          <w:i/>
          <w:iCs/>
          <w:color w:val="auto"/>
        </w:rPr>
        <w:t xml:space="preserve"> </w:t>
      </w:r>
      <w:r w:rsidR="001B0F75" w:rsidRPr="00BA6160">
        <w:rPr>
          <w:bCs/>
          <w:i/>
          <w:iCs/>
          <w:color w:val="auto"/>
        </w:rPr>
        <w:t>Living Hands (Pty) Ltd and Another v Ditz and Others</w:t>
      </w:r>
      <w:r w:rsidR="005C69CA">
        <w:rPr>
          <w:rStyle w:val="FootnoteReference"/>
          <w:bCs/>
          <w:i/>
          <w:iCs/>
          <w:color w:val="auto"/>
        </w:rPr>
        <w:footnoteReference w:id="1"/>
      </w:r>
      <w:r w:rsidR="001B0F75" w:rsidRPr="00BA6160">
        <w:rPr>
          <w:color w:val="auto"/>
        </w:rPr>
        <w:t>, as follows</w:t>
      </w:r>
      <w:r w:rsidR="001B0F75">
        <w:rPr>
          <w:color w:val="auto"/>
        </w:rPr>
        <w:t>:</w:t>
      </w:r>
    </w:p>
    <w:p w14:paraId="5D07F7FA" w14:textId="564DA968" w:rsidR="00BA6160" w:rsidRPr="0078497F"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"(a) In considering an exception that a pleading does not sustain a cause of action, the court will accept, as true, the allegations pleaded by the plaintiff to assess whether they disclose a cause of action.</w:t>
      </w:r>
    </w:p>
    <w:p w14:paraId="05054646" w14:textId="787B3343" w:rsidR="00BA6160" w:rsidRPr="0078497F"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(b) The object of an exception is not to embarrass one's opponent or to take advantage of a technical flaw, but to dispose of the case or a portion thereof in an expeditious manner, or to protect oneself against an embarrassment which is so serious as to merit the costs</w:t>
      </w:r>
      <w:r w:rsidR="00AB787D">
        <w:rPr>
          <w:color w:val="auto"/>
          <w:sz w:val="20"/>
          <w:szCs w:val="20"/>
        </w:rPr>
        <w:t xml:space="preserve"> even on an exception</w:t>
      </w:r>
      <w:r w:rsidRPr="0078497F">
        <w:rPr>
          <w:color w:val="auto"/>
          <w:sz w:val="20"/>
          <w:szCs w:val="20"/>
        </w:rPr>
        <w:t>.</w:t>
      </w:r>
    </w:p>
    <w:p w14:paraId="710CF8CA" w14:textId="5CDF4729" w:rsidR="00BA6160" w:rsidRPr="0078497F"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(c) The purpose of an exception is to raise a substantive question of law which may have the effect of settling the dispute between the parties.</w:t>
      </w:r>
    </w:p>
    <w:p w14:paraId="440CB910" w14:textId="001AF05A" w:rsidR="00BA6160" w:rsidRPr="0078497F"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(d) An excipient who alleges that a summons does not disclose a cause of action must establish that, upon any construction of the particulars of claim, no cause of action is disclosed.</w:t>
      </w:r>
    </w:p>
    <w:p w14:paraId="0F4AFD6F" w14:textId="5C4FE936" w:rsidR="00BA6160" w:rsidRPr="0078497F"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(e) An over-technical approach should be avoided because it destroys the usefulness of the exception procedure, which is to weed out cases without legal merit.</w:t>
      </w:r>
    </w:p>
    <w:p w14:paraId="108FCD3B" w14:textId="1827D842" w:rsidR="00BA6160" w:rsidRPr="0078497F"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 xml:space="preserve">(i) Pleadings must be read </w:t>
      </w:r>
      <w:r w:rsidR="00B72EE3" w:rsidRPr="0078497F">
        <w:rPr>
          <w:color w:val="auto"/>
          <w:sz w:val="20"/>
          <w:szCs w:val="20"/>
        </w:rPr>
        <w:t>as a whole,</w:t>
      </w:r>
      <w:r w:rsidRPr="0078497F">
        <w:rPr>
          <w:color w:val="auto"/>
          <w:sz w:val="20"/>
          <w:szCs w:val="20"/>
        </w:rPr>
        <w:t xml:space="preserve"> and an exception cannot be taken to a paragraph or a part of a</w:t>
      </w:r>
      <w:r w:rsidR="0078497F" w:rsidRPr="0078497F">
        <w:rPr>
          <w:color w:val="auto"/>
          <w:sz w:val="20"/>
          <w:szCs w:val="20"/>
        </w:rPr>
        <w:t xml:space="preserve"> </w:t>
      </w:r>
      <w:r w:rsidRPr="0078497F">
        <w:rPr>
          <w:color w:val="auto"/>
          <w:sz w:val="20"/>
          <w:szCs w:val="20"/>
        </w:rPr>
        <w:t>pleading that is not self-contained.</w:t>
      </w:r>
    </w:p>
    <w:p w14:paraId="6F4BCE62" w14:textId="242DA44C" w:rsidR="00BA6160" w:rsidRDefault="00BA6160" w:rsidP="004275E4">
      <w:pPr>
        <w:autoSpaceDE w:val="0"/>
        <w:autoSpaceDN w:val="0"/>
        <w:adjustRightInd w:val="0"/>
        <w:spacing w:line="480" w:lineRule="auto"/>
        <w:ind w:left="720"/>
        <w:jc w:val="both"/>
        <w:rPr>
          <w:color w:val="auto"/>
          <w:sz w:val="20"/>
          <w:szCs w:val="20"/>
        </w:rPr>
      </w:pPr>
      <w:r w:rsidRPr="0078497F">
        <w:rPr>
          <w:color w:val="auto"/>
          <w:sz w:val="20"/>
          <w:szCs w:val="20"/>
        </w:rPr>
        <w:t>(g) Minor blemishes and unradical embarrassments caused by a pleading can and should be cured by further</w:t>
      </w:r>
      <w:r w:rsidR="0078497F" w:rsidRPr="0078497F">
        <w:rPr>
          <w:color w:val="auto"/>
          <w:sz w:val="20"/>
          <w:szCs w:val="20"/>
        </w:rPr>
        <w:t xml:space="preserve"> </w:t>
      </w:r>
      <w:r w:rsidRPr="0078497F">
        <w:rPr>
          <w:color w:val="auto"/>
          <w:sz w:val="20"/>
          <w:szCs w:val="20"/>
        </w:rPr>
        <w:t>particulars."</w:t>
      </w:r>
    </w:p>
    <w:p w14:paraId="4D5ED96D" w14:textId="77777777" w:rsidR="001B0F75" w:rsidRDefault="001B0F75" w:rsidP="004275E4">
      <w:pPr>
        <w:autoSpaceDE w:val="0"/>
        <w:autoSpaceDN w:val="0"/>
        <w:adjustRightInd w:val="0"/>
        <w:spacing w:line="480" w:lineRule="auto"/>
        <w:ind w:left="1134"/>
        <w:jc w:val="both"/>
        <w:rPr>
          <w:color w:val="auto"/>
          <w:sz w:val="20"/>
          <w:szCs w:val="20"/>
        </w:rPr>
      </w:pPr>
    </w:p>
    <w:p w14:paraId="56587069" w14:textId="72E65B73" w:rsidR="0061603F" w:rsidRPr="0061603F" w:rsidRDefault="001605CE" w:rsidP="004275E4">
      <w:pPr>
        <w:pStyle w:val="Default"/>
        <w:spacing w:line="480" w:lineRule="auto"/>
        <w:jc w:val="both"/>
        <w:rPr>
          <w:rFonts w:ascii="Arial" w:hAnsi="Arial" w:cs="Arial"/>
          <w:color w:val="auto"/>
        </w:rPr>
      </w:pPr>
      <w:r>
        <w:rPr>
          <w:rFonts w:ascii="Arial" w:hAnsi="Arial" w:cs="Arial"/>
          <w:color w:val="auto"/>
        </w:rPr>
        <w:t>[10</w:t>
      </w:r>
      <w:r w:rsidR="0061603F" w:rsidRPr="0061603F">
        <w:rPr>
          <w:rFonts w:ascii="Arial" w:hAnsi="Arial" w:cs="Arial"/>
          <w:color w:val="auto"/>
        </w:rPr>
        <w:t>]</w:t>
      </w:r>
      <w:r w:rsidR="00297D20">
        <w:rPr>
          <w:rFonts w:ascii="Arial" w:hAnsi="Arial" w:cs="Arial"/>
          <w:color w:val="auto"/>
        </w:rPr>
        <w:tab/>
      </w:r>
      <w:r w:rsidR="0061603F">
        <w:rPr>
          <w:rFonts w:ascii="Arial" w:hAnsi="Arial" w:cs="Arial"/>
          <w:color w:val="auto"/>
        </w:rPr>
        <w:t>The Appellate Division i</w:t>
      </w:r>
      <w:r w:rsidR="0061603F" w:rsidRPr="0061603F">
        <w:rPr>
          <w:rFonts w:ascii="Arial" w:hAnsi="Arial" w:cs="Arial"/>
          <w:color w:val="auto"/>
        </w:rPr>
        <w:t xml:space="preserve">n </w:t>
      </w:r>
      <w:r w:rsidR="0061603F" w:rsidRPr="0061603F">
        <w:rPr>
          <w:rFonts w:ascii="Arial" w:hAnsi="Arial" w:cs="Arial"/>
          <w:i/>
          <w:color w:val="auto"/>
        </w:rPr>
        <w:t>McKenzie</w:t>
      </w:r>
      <w:r w:rsidR="0061603F" w:rsidRPr="0061603F">
        <w:rPr>
          <w:rFonts w:ascii="Arial" w:hAnsi="Arial" w:cs="Arial"/>
          <w:i/>
          <w:iCs/>
          <w:color w:val="auto"/>
        </w:rPr>
        <w:t xml:space="preserve"> v Farmers’ Co-operative Meat Industries </w:t>
      </w:r>
      <w:r w:rsidR="00EC126F" w:rsidRPr="0061603F">
        <w:rPr>
          <w:rFonts w:ascii="Arial" w:hAnsi="Arial" w:cs="Arial"/>
          <w:i/>
          <w:iCs/>
          <w:color w:val="auto"/>
        </w:rPr>
        <w:t xml:space="preserve">Ltd </w:t>
      </w:r>
      <w:r w:rsidR="00EC126F">
        <w:rPr>
          <w:rFonts w:ascii="Arial" w:hAnsi="Arial" w:cs="Arial"/>
          <w:i/>
          <w:iCs/>
          <w:color w:val="auto"/>
        </w:rPr>
        <w:t>adopted</w:t>
      </w:r>
      <w:r w:rsidR="0061603F">
        <w:rPr>
          <w:rFonts w:ascii="Arial" w:hAnsi="Arial" w:cs="Arial"/>
          <w:i/>
          <w:iCs/>
          <w:color w:val="auto"/>
        </w:rPr>
        <w:t xml:space="preserve"> </w:t>
      </w:r>
      <w:r w:rsidR="0061603F" w:rsidRPr="0061603F">
        <w:rPr>
          <w:rFonts w:ascii="Arial" w:hAnsi="Arial" w:cs="Arial"/>
          <w:color w:val="auto"/>
        </w:rPr>
        <w:t xml:space="preserve">the following definition of </w:t>
      </w:r>
      <w:r w:rsidR="00297D20">
        <w:rPr>
          <w:rFonts w:ascii="Arial" w:hAnsi="Arial" w:cs="Arial"/>
          <w:color w:val="auto"/>
        </w:rPr>
        <w:t>“</w:t>
      </w:r>
      <w:r w:rsidR="0061603F" w:rsidRPr="0061603F">
        <w:rPr>
          <w:rFonts w:ascii="Arial" w:hAnsi="Arial" w:cs="Arial"/>
          <w:color w:val="auto"/>
        </w:rPr>
        <w:t>cause of action’</w:t>
      </w:r>
      <w:r w:rsidR="0061603F">
        <w:rPr>
          <w:rFonts w:ascii="Arial" w:hAnsi="Arial" w:cs="Arial"/>
          <w:color w:val="auto"/>
        </w:rPr>
        <w:t>:</w:t>
      </w:r>
      <w:r w:rsidR="0061603F" w:rsidRPr="0061603F">
        <w:rPr>
          <w:rFonts w:ascii="Arial" w:hAnsi="Arial" w:cs="Arial"/>
          <w:color w:val="auto"/>
        </w:rPr>
        <w:t xml:space="preserve"> </w:t>
      </w:r>
    </w:p>
    <w:p w14:paraId="1C059F34" w14:textId="693F3BCF" w:rsidR="00BA6160" w:rsidRDefault="0061603F" w:rsidP="004A2C39">
      <w:pPr>
        <w:pStyle w:val="Default"/>
        <w:spacing w:line="480" w:lineRule="auto"/>
        <w:ind w:left="1134"/>
        <w:jc w:val="both"/>
        <w:rPr>
          <w:lang w:val="en-GB"/>
        </w:rPr>
      </w:pPr>
      <w:r w:rsidRPr="0061603F">
        <w:rPr>
          <w:rFonts w:ascii="Arial" w:hAnsi="Arial" w:cs="Arial"/>
          <w:color w:val="auto"/>
          <w:sz w:val="20"/>
          <w:szCs w:val="20"/>
        </w:rPr>
        <w:t>‘. . . every fact which it would be necessary for the plaintiff to prove, if traversed, in order to support his right to judgment of the court. It does not comprise every piece of evidence which is necessary to prove each fact, but every fact which is necessary to be proved.’</w:t>
      </w:r>
    </w:p>
    <w:p w14:paraId="34529426" w14:textId="1A87245A" w:rsidR="00D179DF" w:rsidRPr="00D179DF" w:rsidRDefault="001605CE" w:rsidP="004275E4">
      <w:pPr>
        <w:tabs>
          <w:tab w:val="left" w:pos="851"/>
        </w:tabs>
        <w:spacing w:line="480" w:lineRule="auto"/>
        <w:jc w:val="both"/>
        <w:rPr>
          <w:color w:val="auto"/>
        </w:rPr>
      </w:pPr>
      <w:r>
        <w:lastRenderedPageBreak/>
        <w:t>[11</w:t>
      </w:r>
      <w:r w:rsidR="001B0F75">
        <w:t>]</w:t>
      </w:r>
      <w:r w:rsidR="00297D20">
        <w:tab/>
      </w:r>
      <w:r w:rsidR="00D179DF">
        <w:t>Generally</w:t>
      </w:r>
      <w:r w:rsidR="00297D20">
        <w:t>,</w:t>
      </w:r>
      <w:r w:rsidR="00D179DF">
        <w:t xml:space="preserve"> a pleading must comply with the provisions of </w:t>
      </w:r>
      <w:r w:rsidR="00EC126F">
        <w:t xml:space="preserve">Uniform </w:t>
      </w:r>
      <w:r w:rsidR="00D179DF">
        <w:t>Rule 18</w:t>
      </w:r>
      <w:r w:rsidR="00B17F47">
        <w:rPr>
          <w:rStyle w:val="FootnoteReference"/>
        </w:rPr>
        <w:footnoteReference w:id="2"/>
      </w:r>
      <w:r w:rsidR="00FE06D7">
        <w:t>, failing which such pleading may be considered</w:t>
      </w:r>
      <w:r w:rsidR="00D179DF">
        <w:t xml:space="preserve"> vague and embarrassing. The exception can be taken only if the vagueness relates to the cause of action. If the averments are contradictory and not pleaded in the alternative an embarrassment may </w:t>
      </w:r>
      <w:r w:rsidR="001B0F75">
        <w:t>occur.</w:t>
      </w:r>
      <w:r w:rsidR="001B0F75" w:rsidRPr="00D179DF">
        <w:rPr>
          <w:color w:val="auto"/>
        </w:rPr>
        <w:t xml:space="preserve"> </w:t>
      </w:r>
      <w:r w:rsidR="001B0F75">
        <w:rPr>
          <w:color w:val="auto"/>
        </w:rPr>
        <w:t>Based on the proper reading of the case law, t</w:t>
      </w:r>
      <w:r w:rsidR="001B0F75" w:rsidRPr="00D179DF">
        <w:rPr>
          <w:color w:val="auto"/>
        </w:rPr>
        <w:t>he</w:t>
      </w:r>
      <w:r w:rsidR="00D179DF" w:rsidRPr="00D179DF">
        <w:rPr>
          <w:color w:val="auto"/>
        </w:rPr>
        <w:t xml:space="preserve"> test applicable in deciding exceptions based on vagueness and </w:t>
      </w:r>
      <w:r w:rsidR="00D179DF">
        <w:rPr>
          <w:color w:val="auto"/>
        </w:rPr>
        <w:t>em</w:t>
      </w:r>
      <w:r w:rsidR="00D179DF" w:rsidRPr="00D179DF">
        <w:rPr>
          <w:color w:val="auto"/>
        </w:rPr>
        <w:t>barrassment arising out of lack of particularity can be summed up as follows</w:t>
      </w:r>
      <w:r w:rsidR="00FE06D7">
        <w:rPr>
          <w:rStyle w:val="FootnoteReference"/>
          <w:color w:val="auto"/>
        </w:rPr>
        <w:footnoteReference w:id="3"/>
      </w:r>
      <w:r w:rsidR="00D179DF" w:rsidRPr="00D179DF">
        <w:rPr>
          <w:color w:val="auto"/>
        </w:rPr>
        <w:t>:</w:t>
      </w:r>
    </w:p>
    <w:p w14:paraId="15150A06" w14:textId="45B037C7" w:rsidR="00D179DF" w:rsidRPr="001B0F75"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t>(a)</w:t>
      </w:r>
      <w:r w:rsidRPr="001B0F75">
        <w:rPr>
          <w:i/>
          <w:iCs/>
          <w:color w:val="auto"/>
          <w:sz w:val="20"/>
          <w:szCs w:val="20"/>
        </w:rPr>
        <w:t xml:space="preserve"> </w:t>
      </w:r>
      <w:r w:rsidRPr="001B0F75">
        <w:rPr>
          <w:color w:val="auto"/>
          <w:sz w:val="20"/>
          <w:szCs w:val="20"/>
        </w:rPr>
        <w:t xml:space="preserve">In each case the court is obliged to consider whether the pleading does lack particularity to an extent amounting to vagueness. If a statement is vague it </w:t>
      </w:r>
      <w:r w:rsidR="001A7535">
        <w:rPr>
          <w:color w:val="auto"/>
          <w:sz w:val="20"/>
          <w:szCs w:val="20"/>
        </w:rPr>
        <w:t>can</w:t>
      </w:r>
      <w:r w:rsidR="001A7535" w:rsidRPr="001B0F75">
        <w:rPr>
          <w:color w:val="auto"/>
          <w:sz w:val="20"/>
          <w:szCs w:val="20"/>
        </w:rPr>
        <w:t xml:space="preserve"> </w:t>
      </w:r>
      <w:r w:rsidRPr="001B0F75">
        <w:rPr>
          <w:color w:val="auto"/>
          <w:sz w:val="20"/>
          <w:szCs w:val="20"/>
        </w:rPr>
        <w:t>either</w:t>
      </w:r>
      <w:r w:rsidR="004345FD">
        <w:rPr>
          <w:color w:val="auto"/>
          <w:sz w:val="20"/>
          <w:szCs w:val="20"/>
        </w:rPr>
        <w:t xml:space="preserve"> be</w:t>
      </w:r>
      <w:r w:rsidRPr="001B0F75">
        <w:rPr>
          <w:color w:val="auto"/>
          <w:sz w:val="20"/>
          <w:szCs w:val="20"/>
        </w:rPr>
        <w:t xml:space="preserve"> meaningless or capable of </w:t>
      </w:r>
      <w:r w:rsidR="001A7535">
        <w:rPr>
          <w:color w:val="auto"/>
          <w:sz w:val="20"/>
          <w:szCs w:val="20"/>
        </w:rPr>
        <w:t xml:space="preserve">having </w:t>
      </w:r>
      <w:r w:rsidRPr="001B0F75">
        <w:rPr>
          <w:color w:val="auto"/>
          <w:sz w:val="20"/>
          <w:szCs w:val="20"/>
        </w:rPr>
        <w:t xml:space="preserve">more than one meaning. </w:t>
      </w:r>
      <w:r w:rsidR="001A7535">
        <w:rPr>
          <w:color w:val="auto"/>
          <w:sz w:val="20"/>
          <w:szCs w:val="20"/>
        </w:rPr>
        <w:t>To simplify</w:t>
      </w:r>
      <w:r w:rsidRPr="001B0F75">
        <w:rPr>
          <w:color w:val="auto"/>
          <w:sz w:val="20"/>
          <w:szCs w:val="20"/>
        </w:rPr>
        <w:t xml:space="preserve">: the reader must be unable to </w:t>
      </w:r>
      <w:r w:rsidR="00534A42" w:rsidRPr="001B0F75">
        <w:rPr>
          <w:color w:val="auto"/>
          <w:sz w:val="20"/>
          <w:szCs w:val="20"/>
        </w:rPr>
        <w:t>distil</w:t>
      </w:r>
      <w:r w:rsidRPr="001B0F75">
        <w:rPr>
          <w:color w:val="auto"/>
          <w:sz w:val="20"/>
          <w:szCs w:val="20"/>
        </w:rPr>
        <w:t xml:space="preserve"> from the statement a clear, single meaning</w:t>
      </w:r>
      <w:r w:rsidR="001C6605">
        <w:rPr>
          <w:rStyle w:val="FootnoteReference"/>
          <w:color w:val="auto"/>
          <w:sz w:val="20"/>
          <w:szCs w:val="20"/>
        </w:rPr>
        <w:footnoteReference w:id="4"/>
      </w:r>
      <w:r w:rsidRPr="001B0F75">
        <w:rPr>
          <w:color w:val="auto"/>
          <w:sz w:val="20"/>
          <w:szCs w:val="20"/>
        </w:rPr>
        <w:t>.</w:t>
      </w:r>
    </w:p>
    <w:p w14:paraId="2DDAF080" w14:textId="6FC81686" w:rsidR="00D179DF" w:rsidRPr="001B0F75"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t>(b)</w:t>
      </w:r>
      <w:r w:rsidRPr="001B0F75">
        <w:rPr>
          <w:i/>
          <w:iCs/>
          <w:color w:val="auto"/>
          <w:sz w:val="20"/>
          <w:szCs w:val="20"/>
        </w:rPr>
        <w:t xml:space="preserve"> </w:t>
      </w:r>
      <w:r w:rsidRPr="001B0F75">
        <w:rPr>
          <w:color w:val="auto"/>
          <w:sz w:val="20"/>
          <w:szCs w:val="20"/>
        </w:rPr>
        <w:t xml:space="preserve">If there is vagueness in this sense the court is then </w:t>
      </w:r>
      <w:r w:rsidR="001A7535">
        <w:rPr>
          <w:color w:val="auto"/>
          <w:sz w:val="20"/>
          <w:szCs w:val="20"/>
        </w:rPr>
        <w:t>obligated</w:t>
      </w:r>
      <w:r w:rsidR="001A7535" w:rsidRPr="001B0F75">
        <w:rPr>
          <w:color w:val="auto"/>
          <w:sz w:val="20"/>
          <w:szCs w:val="20"/>
        </w:rPr>
        <w:t xml:space="preserve"> </w:t>
      </w:r>
      <w:r w:rsidRPr="001B0F75">
        <w:rPr>
          <w:color w:val="auto"/>
          <w:sz w:val="20"/>
          <w:szCs w:val="20"/>
        </w:rPr>
        <w:t xml:space="preserve">to </w:t>
      </w:r>
      <w:r w:rsidR="001A7535">
        <w:rPr>
          <w:color w:val="auto"/>
          <w:sz w:val="20"/>
          <w:szCs w:val="20"/>
        </w:rPr>
        <w:t>conduct</w:t>
      </w:r>
      <w:r w:rsidR="001A7535" w:rsidRPr="001B0F75">
        <w:rPr>
          <w:color w:val="auto"/>
          <w:sz w:val="20"/>
          <w:szCs w:val="20"/>
        </w:rPr>
        <w:t xml:space="preserve"> </w:t>
      </w:r>
      <w:r w:rsidRPr="001B0F75">
        <w:rPr>
          <w:color w:val="auto"/>
          <w:sz w:val="20"/>
          <w:szCs w:val="20"/>
        </w:rPr>
        <w:t xml:space="preserve">a quantitative analysis of such embarrassment </w:t>
      </w:r>
      <w:r w:rsidR="001A7535">
        <w:rPr>
          <w:color w:val="auto"/>
          <w:sz w:val="20"/>
          <w:szCs w:val="20"/>
        </w:rPr>
        <w:t>caused to the excipient</w:t>
      </w:r>
      <w:r w:rsidRPr="001B0F75">
        <w:rPr>
          <w:color w:val="auto"/>
          <w:sz w:val="20"/>
          <w:szCs w:val="20"/>
        </w:rPr>
        <w:t xml:space="preserve"> by the vagueness complained of.</w:t>
      </w:r>
    </w:p>
    <w:p w14:paraId="6B665EAE" w14:textId="5B1875DE" w:rsidR="00D179DF" w:rsidRPr="001B0F75"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t>(c)</w:t>
      </w:r>
      <w:r w:rsidRPr="001B0F75">
        <w:rPr>
          <w:i/>
          <w:iCs/>
          <w:color w:val="auto"/>
          <w:sz w:val="20"/>
          <w:szCs w:val="20"/>
        </w:rPr>
        <w:t xml:space="preserve"> </w:t>
      </w:r>
      <w:r w:rsidRPr="001B0F75">
        <w:rPr>
          <w:color w:val="auto"/>
          <w:sz w:val="20"/>
          <w:szCs w:val="20"/>
        </w:rPr>
        <w:t xml:space="preserve">In each case an ad hoc ruling must be made to </w:t>
      </w:r>
      <w:r w:rsidR="001A7535">
        <w:rPr>
          <w:color w:val="auto"/>
          <w:sz w:val="20"/>
          <w:szCs w:val="20"/>
        </w:rPr>
        <w:t xml:space="preserve">determine </w:t>
      </w:r>
      <w:r w:rsidRPr="001B0F75">
        <w:rPr>
          <w:color w:val="auto"/>
          <w:sz w:val="20"/>
          <w:szCs w:val="20"/>
        </w:rPr>
        <w:t>whether the embarrassment is so serious as</w:t>
      </w:r>
      <w:r w:rsidR="004345FD">
        <w:rPr>
          <w:color w:val="auto"/>
          <w:sz w:val="20"/>
          <w:szCs w:val="20"/>
        </w:rPr>
        <w:t xml:space="preserve"> </w:t>
      </w:r>
      <w:r w:rsidRPr="001B0F75">
        <w:rPr>
          <w:color w:val="auto"/>
          <w:sz w:val="20"/>
          <w:szCs w:val="20"/>
        </w:rPr>
        <w:t>to cause prejudice to the excipient</w:t>
      </w:r>
      <w:r w:rsidR="00EC126F">
        <w:rPr>
          <w:color w:val="auto"/>
          <w:sz w:val="20"/>
          <w:szCs w:val="20"/>
        </w:rPr>
        <w:t>s</w:t>
      </w:r>
      <w:r w:rsidRPr="001B0F75">
        <w:rPr>
          <w:color w:val="auto"/>
          <w:sz w:val="20"/>
          <w:szCs w:val="20"/>
        </w:rPr>
        <w:t xml:space="preserve"> if </w:t>
      </w:r>
      <w:r w:rsidR="001A7535">
        <w:rPr>
          <w:color w:val="auto"/>
          <w:sz w:val="20"/>
          <w:szCs w:val="20"/>
        </w:rPr>
        <w:t>they</w:t>
      </w:r>
      <w:r w:rsidR="001A7535" w:rsidRPr="001B0F75">
        <w:rPr>
          <w:color w:val="auto"/>
          <w:sz w:val="20"/>
          <w:szCs w:val="20"/>
        </w:rPr>
        <w:t xml:space="preserve"> </w:t>
      </w:r>
      <w:r w:rsidR="001A7535">
        <w:rPr>
          <w:color w:val="auto"/>
          <w:sz w:val="20"/>
          <w:szCs w:val="20"/>
        </w:rPr>
        <w:t>are</w:t>
      </w:r>
      <w:r w:rsidR="001A7535" w:rsidRPr="001B0F75">
        <w:rPr>
          <w:color w:val="auto"/>
          <w:sz w:val="20"/>
          <w:szCs w:val="20"/>
        </w:rPr>
        <w:t xml:space="preserve"> </w:t>
      </w:r>
      <w:r w:rsidRPr="001B0F75">
        <w:rPr>
          <w:color w:val="auto"/>
          <w:sz w:val="20"/>
          <w:szCs w:val="20"/>
        </w:rPr>
        <w:t xml:space="preserve">compelled to plead to the pleading in the form to which </w:t>
      </w:r>
      <w:r w:rsidR="001A7535">
        <w:rPr>
          <w:color w:val="auto"/>
          <w:sz w:val="20"/>
          <w:szCs w:val="20"/>
        </w:rPr>
        <w:t>they</w:t>
      </w:r>
      <w:r w:rsidR="001A7535" w:rsidRPr="001B0F75">
        <w:rPr>
          <w:color w:val="auto"/>
          <w:sz w:val="20"/>
          <w:szCs w:val="20"/>
        </w:rPr>
        <w:t xml:space="preserve"> </w:t>
      </w:r>
      <w:r w:rsidRPr="001B0F75">
        <w:rPr>
          <w:color w:val="auto"/>
          <w:sz w:val="20"/>
          <w:szCs w:val="20"/>
        </w:rPr>
        <w:t>object. A point of the utmost importance in one case, and the omission thereof may give rise to vagueness and embarrassment, but the same point may in another case be only a minor detail.</w:t>
      </w:r>
    </w:p>
    <w:p w14:paraId="4ACA2D27" w14:textId="52861D6F" w:rsidR="00D179DF" w:rsidRPr="001B0F75"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t>(d)</w:t>
      </w:r>
      <w:r w:rsidRPr="001B0F75">
        <w:rPr>
          <w:i/>
          <w:iCs/>
          <w:color w:val="auto"/>
          <w:sz w:val="20"/>
          <w:szCs w:val="20"/>
        </w:rPr>
        <w:t xml:space="preserve"> </w:t>
      </w:r>
      <w:r w:rsidRPr="001B0F75">
        <w:rPr>
          <w:color w:val="auto"/>
          <w:sz w:val="20"/>
          <w:szCs w:val="20"/>
        </w:rPr>
        <w:t>The ultimate test as to whether the exception should be upheld is whether the excipient is prejudiced.</w:t>
      </w:r>
    </w:p>
    <w:p w14:paraId="46D83649" w14:textId="64D8B7A2" w:rsidR="00D179DF" w:rsidRPr="004345FD"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t>(e)</w:t>
      </w:r>
      <w:r w:rsidRPr="001B0F75">
        <w:rPr>
          <w:i/>
          <w:iCs/>
          <w:color w:val="auto"/>
          <w:sz w:val="20"/>
          <w:szCs w:val="20"/>
        </w:rPr>
        <w:t xml:space="preserve"> </w:t>
      </w:r>
      <w:r w:rsidRPr="001B0F75">
        <w:rPr>
          <w:color w:val="auto"/>
          <w:sz w:val="20"/>
          <w:szCs w:val="20"/>
        </w:rPr>
        <w:t xml:space="preserve">The onus is on the excipient to </w:t>
      </w:r>
      <w:r w:rsidR="001A7535">
        <w:rPr>
          <w:color w:val="auto"/>
          <w:sz w:val="20"/>
          <w:szCs w:val="20"/>
        </w:rPr>
        <w:t>demonstrate</w:t>
      </w:r>
      <w:r w:rsidR="001A7535" w:rsidRPr="001B0F75">
        <w:rPr>
          <w:color w:val="auto"/>
          <w:sz w:val="20"/>
          <w:szCs w:val="20"/>
        </w:rPr>
        <w:t xml:space="preserve"> </w:t>
      </w:r>
      <w:r w:rsidRPr="001B0F75">
        <w:rPr>
          <w:color w:val="auto"/>
          <w:sz w:val="20"/>
          <w:szCs w:val="20"/>
        </w:rPr>
        <w:t xml:space="preserve">both vagueness amounting to </w:t>
      </w:r>
      <w:r w:rsidRPr="004345FD">
        <w:rPr>
          <w:color w:val="auto"/>
          <w:sz w:val="20"/>
          <w:szCs w:val="20"/>
        </w:rPr>
        <w:t>embarrassment and embarrassment amounting to prejudice</w:t>
      </w:r>
      <w:r w:rsidR="00534A42" w:rsidRPr="004345FD">
        <w:rPr>
          <w:rStyle w:val="FootnoteReference"/>
          <w:color w:val="auto"/>
          <w:sz w:val="20"/>
          <w:szCs w:val="20"/>
        </w:rPr>
        <w:footnoteReference w:id="5"/>
      </w:r>
      <w:r w:rsidRPr="004345FD">
        <w:rPr>
          <w:color w:val="auto"/>
          <w:sz w:val="20"/>
          <w:szCs w:val="20"/>
        </w:rPr>
        <w:t>.</w:t>
      </w:r>
    </w:p>
    <w:p w14:paraId="04D13DCC" w14:textId="71A30BBD" w:rsidR="00D179DF" w:rsidRPr="001B0F75"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lastRenderedPageBreak/>
        <w:t>(f)</w:t>
      </w:r>
      <w:r w:rsidRPr="001B0F75">
        <w:rPr>
          <w:i/>
          <w:iCs/>
          <w:color w:val="auto"/>
          <w:sz w:val="20"/>
          <w:szCs w:val="20"/>
        </w:rPr>
        <w:t xml:space="preserve"> </w:t>
      </w:r>
      <w:r w:rsidRPr="001B0F75">
        <w:rPr>
          <w:color w:val="auto"/>
          <w:sz w:val="20"/>
          <w:szCs w:val="20"/>
        </w:rPr>
        <w:t>The excipient must make out his case for embarrassment by reference to the pleadings alone</w:t>
      </w:r>
      <w:r w:rsidR="00C22123">
        <w:rPr>
          <w:rStyle w:val="FootnoteReference"/>
          <w:color w:val="auto"/>
          <w:sz w:val="20"/>
          <w:szCs w:val="20"/>
        </w:rPr>
        <w:footnoteReference w:id="6"/>
      </w:r>
      <w:r w:rsidRPr="001B0F75">
        <w:rPr>
          <w:color w:val="auto"/>
          <w:sz w:val="20"/>
          <w:szCs w:val="20"/>
        </w:rPr>
        <w:t>.</w:t>
      </w:r>
    </w:p>
    <w:p w14:paraId="2909DD95" w14:textId="5089EBBA" w:rsidR="00D179DF" w:rsidRPr="001B0F75" w:rsidRDefault="00D179DF" w:rsidP="004275E4">
      <w:pPr>
        <w:autoSpaceDE w:val="0"/>
        <w:autoSpaceDN w:val="0"/>
        <w:adjustRightInd w:val="0"/>
        <w:spacing w:line="480" w:lineRule="auto"/>
        <w:ind w:left="1134"/>
        <w:jc w:val="both"/>
        <w:rPr>
          <w:color w:val="auto"/>
          <w:sz w:val="20"/>
          <w:szCs w:val="20"/>
        </w:rPr>
      </w:pPr>
      <w:r w:rsidRPr="001B0F75">
        <w:rPr>
          <w:iCs/>
          <w:color w:val="auto"/>
          <w:sz w:val="20"/>
          <w:szCs w:val="20"/>
        </w:rPr>
        <w:t>(g)</w:t>
      </w:r>
      <w:r w:rsidRPr="001B0F75">
        <w:rPr>
          <w:i/>
          <w:iCs/>
          <w:color w:val="auto"/>
          <w:sz w:val="20"/>
          <w:szCs w:val="20"/>
        </w:rPr>
        <w:t xml:space="preserve"> </w:t>
      </w:r>
      <w:r w:rsidRPr="001B0F75">
        <w:rPr>
          <w:color w:val="auto"/>
          <w:sz w:val="20"/>
          <w:szCs w:val="20"/>
        </w:rPr>
        <w:t>The court would not decide by way of exception the validity of an agreement relied upon or whether a purported contract may be void for vagueness.</w:t>
      </w:r>
    </w:p>
    <w:p w14:paraId="42443D96" w14:textId="77777777" w:rsidR="00CE4650" w:rsidRPr="00D179DF" w:rsidRDefault="00CE4650" w:rsidP="004275E4">
      <w:pPr>
        <w:tabs>
          <w:tab w:val="left" w:pos="851"/>
        </w:tabs>
        <w:spacing w:line="480" w:lineRule="auto"/>
        <w:jc w:val="both"/>
        <w:rPr>
          <w:lang w:val="en-GB"/>
        </w:rPr>
      </w:pPr>
    </w:p>
    <w:p w14:paraId="7F1717E9" w14:textId="4D8A4418" w:rsidR="007C52D0" w:rsidRDefault="00282821" w:rsidP="004275E4">
      <w:pPr>
        <w:tabs>
          <w:tab w:val="left" w:pos="851"/>
        </w:tabs>
        <w:spacing w:line="480" w:lineRule="auto"/>
        <w:jc w:val="both"/>
        <w:rPr>
          <w:b/>
          <w:bCs/>
          <w:u w:val="single"/>
          <w:lang w:val="en-GB"/>
        </w:rPr>
      </w:pPr>
      <w:r w:rsidRPr="00282821">
        <w:rPr>
          <w:b/>
          <w:bCs/>
          <w:u w:val="single"/>
          <w:lang w:val="en-GB"/>
        </w:rPr>
        <w:t>The parties ‘legal submissions</w:t>
      </w:r>
    </w:p>
    <w:p w14:paraId="6FC1278E" w14:textId="77777777" w:rsidR="004A2C39" w:rsidRPr="004275E4" w:rsidRDefault="004A2C39" w:rsidP="004275E4">
      <w:pPr>
        <w:tabs>
          <w:tab w:val="left" w:pos="851"/>
        </w:tabs>
        <w:spacing w:line="480" w:lineRule="auto"/>
        <w:jc w:val="both"/>
        <w:rPr>
          <w:u w:val="single"/>
          <w:lang w:val="en-GB"/>
        </w:rPr>
      </w:pPr>
    </w:p>
    <w:p w14:paraId="16EBE1E4" w14:textId="2AFF157B" w:rsidR="00493287" w:rsidRDefault="001605CE" w:rsidP="004275E4">
      <w:pPr>
        <w:tabs>
          <w:tab w:val="left" w:pos="851"/>
        </w:tabs>
        <w:spacing w:line="480" w:lineRule="auto"/>
        <w:jc w:val="both"/>
        <w:rPr>
          <w:lang w:val="en-GB"/>
        </w:rPr>
      </w:pPr>
      <w:r>
        <w:rPr>
          <w:lang w:val="en-GB"/>
        </w:rPr>
        <w:t>[12</w:t>
      </w:r>
      <w:r w:rsidR="00317D3C" w:rsidRPr="002F496E">
        <w:rPr>
          <w:lang w:val="en-GB"/>
        </w:rPr>
        <w:t>]</w:t>
      </w:r>
      <w:r w:rsidR="00317D3C" w:rsidRPr="002F496E">
        <w:rPr>
          <w:lang w:val="en-GB"/>
        </w:rPr>
        <w:tab/>
      </w:r>
      <w:r w:rsidR="00D33071">
        <w:rPr>
          <w:lang w:val="en-GB"/>
        </w:rPr>
        <w:t>Based on</w:t>
      </w:r>
      <w:r w:rsidR="00282821">
        <w:rPr>
          <w:lang w:val="en-GB"/>
        </w:rPr>
        <w:t xml:space="preserve"> th</w:t>
      </w:r>
      <w:r w:rsidR="00FA57EB">
        <w:rPr>
          <w:lang w:val="en-GB"/>
        </w:rPr>
        <w:t>e defendants’ heads of argument and the oral submissions</w:t>
      </w:r>
      <w:r w:rsidR="00EC126F">
        <w:rPr>
          <w:lang w:val="en-GB"/>
        </w:rPr>
        <w:t xml:space="preserve"> made</w:t>
      </w:r>
      <w:r w:rsidR="00FA57EB">
        <w:rPr>
          <w:lang w:val="en-GB"/>
        </w:rPr>
        <w:t>,</w:t>
      </w:r>
      <w:r w:rsidR="00282821">
        <w:rPr>
          <w:lang w:val="en-GB"/>
        </w:rPr>
        <w:t xml:space="preserve"> the grounds for</w:t>
      </w:r>
      <w:r w:rsidR="00615364">
        <w:rPr>
          <w:lang w:val="en-GB"/>
        </w:rPr>
        <w:t xml:space="preserve"> the</w:t>
      </w:r>
      <w:r w:rsidR="00282821">
        <w:rPr>
          <w:lang w:val="en-GB"/>
        </w:rPr>
        <w:t xml:space="preserve"> exception lie with the plaintiff</w:t>
      </w:r>
      <w:r w:rsidR="00D33071">
        <w:rPr>
          <w:lang w:val="en-GB"/>
        </w:rPr>
        <w:t>’s</w:t>
      </w:r>
      <w:r w:rsidR="00282821">
        <w:rPr>
          <w:lang w:val="en-GB"/>
        </w:rPr>
        <w:t xml:space="preserve"> fail</w:t>
      </w:r>
      <w:r w:rsidR="00D33071">
        <w:rPr>
          <w:lang w:val="en-GB"/>
        </w:rPr>
        <w:t>ure</w:t>
      </w:r>
      <w:r w:rsidR="00282821">
        <w:rPr>
          <w:lang w:val="en-GB"/>
        </w:rPr>
        <w:t xml:space="preserve"> to comply with the provisions of the </w:t>
      </w:r>
      <w:r w:rsidR="00EC126F">
        <w:rPr>
          <w:lang w:val="en-GB"/>
        </w:rPr>
        <w:t>NCA</w:t>
      </w:r>
      <w:r w:rsidR="00A85EE6">
        <w:rPr>
          <w:lang w:val="en-GB"/>
        </w:rPr>
        <w:t>,</w:t>
      </w:r>
      <w:r w:rsidR="00EC126F">
        <w:rPr>
          <w:lang w:val="en-GB"/>
        </w:rPr>
        <w:t xml:space="preserve"> in that</w:t>
      </w:r>
      <w:r w:rsidR="00A85EE6">
        <w:rPr>
          <w:lang w:val="en-GB"/>
        </w:rPr>
        <w:t>,</w:t>
      </w:r>
      <w:r w:rsidR="00EC126F">
        <w:rPr>
          <w:lang w:val="en-GB"/>
        </w:rPr>
        <w:t xml:space="preserve"> there is no proof</w:t>
      </w:r>
      <w:r w:rsidR="00282821">
        <w:rPr>
          <w:lang w:val="en-GB"/>
        </w:rPr>
        <w:t xml:space="preserve"> </w:t>
      </w:r>
      <w:r w:rsidR="00297D20">
        <w:rPr>
          <w:lang w:val="en-GB"/>
        </w:rPr>
        <w:t xml:space="preserve">of </w:t>
      </w:r>
      <w:r w:rsidR="00282821">
        <w:rPr>
          <w:lang w:val="en-GB"/>
        </w:rPr>
        <w:t xml:space="preserve">whether the section 129 notice was sent to the defendants and how it was sent. </w:t>
      </w:r>
    </w:p>
    <w:p w14:paraId="7CFB0295" w14:textId="77777777" w:rsidR="00282821" w:rsidRPr="002F496E" w:rsidRDefault="00282821" w:rsidP="004275E4">
      <w:pPr>
        <w:tabs>
          <w:tab w:val="left" w:pos="851"/>
        </w:tabs>
        <w:spacing w:line="480" w:lineRule="auto"/>
        <w:jc w:val="both"/>
        <w:rPr>
          <w:i/>
          <w:u w:val="single"/>
          <w:lang w:val="en-GB"/>
        </w:rPr>
      </w:pPr>
    </w:p>
    <w:p w14:paraId="1E0628C9" w14:textId="1C1AA042" w:rsidR="00282821" w:rsidRDefault="001605CE" w:rsidP="004275E4">
      <w:pPr>
        <w:tabs>
          <w:tab w:val="left" w:pos="851"/>
        </w:tabs>
        <w:spacing w:line="480" w:lineRule="auto"/>
        <w:jc w:val="both"/>
        <w:rPr>
          <w:lang w:val="en-GB"/>
        </w:rPr>
      </w:pPr>
      <w:r>
        <w:rPr>
          <w:lang w:val="en-GB"/>
        </w:rPr>
        <w:t>[13</w:t>
      </w:r>
      <w:r w:rsidR="00317D3C" w:rsidRPr="002F496E">
        <w:rPr>
          <w:lang w:val="en-GB"/>
        </w:rPr>
        <w:t>]</w:t>
      </w:r>
      <w:r w:rsidR="00317D3C" w:rsidRPr="002F496E">
        <w:rPr>
          <w:lang w:val="en-GB"/>
        </w:rPr>
        <w:tab/>
      </w:r>
      <w:r w:rsidR="00282821">
        <w:rPr>
          <w:lang w:val="en-GB"/>
        </w:rPr>
        <w:t>Section 129 (1) of the NCA provides:</w:t>
      </w:r>
    </w:p>
    <w:p w14:paraId="4D739212" w14:textId="4482D340" w:rsidR="00282821" w:rsidRPr="00FC03AA" w:rsidRDefault="00297D20" w:rsidP="004275E4">
      <w:pPr>
        <w:tabs>
          <w:tab w:val="left" w:pos="851"/>
        </w:tabs>
        <w:spacing w:line="480" w:lineRule="auto"/>
        <w:jc w:val="both"/>
        <w:rPr>
          <w:sz w:val="20"/>
          <w:szCs w:val="20"/>
          <w:lang w:val="en-GB"/>
        </w:rPr>
      </w:pPr>
      <w:r>
        <w:rPr>
          <w:sz w:val="20"/>
          <w:szCs w:val="20"/>
          <w:lang w:val="en-GB"/>
        </w:rPr>
        <w:tab/>
        <w:t>“</w:t>
      </w:r>
      <w:r w:rsidR="00282821" w:rsidRPr="00FC03AA">
        <w:rPr>
          <w:sz w:val="20"/>
          <w:szCs w:val="20"/>
          <w:lang w:val="en-GB"/>
        </w:rPr>
        <w:t>(1) If the consumer is in default under a credit agreement, the credit provider-</w:t>
      </w:r>
    </w:p>
    <w:p w14:paraId="24218C4B" w14:textId="69EF1ED5" w:rsidR="00282821" w:rsidRPr="00FC03AA" w:rsidRDefault="00FC03AA" w:rsidP="004275E4">
      <w:pPr>
        <w:tabs>
          <w:tab w:val="left" w:pos="851"/>
        </w:tabs>
        <w:spacing w:line="480" w:lineRule="auto"/>
        <w:ind w:left="1440"/>
        <w:jc w:val="both"/>
        <w:rPr>
          <w:i/>
          <w:sz w:val="20"/>
          <w:szCs w:val="20"/>
          <w:u w:val="single"/>
          <w:lang w:val="en-GB"/>
        </w:rPr>
      </w:pPr>
      <w:r w:rsidRPr="00FC03AA">
        <w:rPr>
          <w:sz w:val="20"/>
          <w:szCs w:val="20"/>
          <w:lang w:val="en-GB"/>
        </w:rPr>
        <w:t>may</w:t>
      </w:r>
      <w:r w:rsidR="00282821" w:rsidRPr="00FC03AA">
        <w:rPr>
          <w:sz w:val="20"/>
          <w:szCs w:val="20"/>
          <w:lang w:val="en-GB"/>
        </w:rPr>
        <w:t xml:space="preserve"> draw the default to the notice of the consumer in writing and propose that the consumer refer the credit agreement to a debt counsellor, alternative dispute resolution agent, consumer court or ombud with jurisdiction, with the intent that the </w:t>
      </w:r>
      <w:r w:rsidR="00EC126F" w:rsidRPr="00FC03AA">
        <w:rPr>
          <w:sz w:val="20"/>
          <w:szCs w:val="20"/>
          <w:lang w:val="en-GB"/>
        </w:rPr>
        <w:t>parties</w:t>
      </w:r>
      <w:r w:rsidR="00282821" w:rsidRPr="00FC03AA">
        <w:rPr>
          <w:sz w:val="20"/>
          <w:szCs w:val="20"/>
          <w:lang w:val="en-GB"/>
        </w:rPr>
        <w:t xml:space="preserve"> resolve any dispute under the agreement or develop and agree on a plan to bring the payment un</w:t>
      </w:r>
      <w:r w:rsidRPr="00FC03AA">
        <w:rPr>
          <w:sz w:val="20"/>
          <w:szCs w:val="20"/>
          <w:lang w:val="en-GB"/>
        </w:rPr>
        <w:t>der the agreement up to date……</w:t>
      </w:r>
      <w:r w:rsidR="00297D20">
        <w:rPr>
          <w:sz w:val="20"/>
          <w:szCs w:val="20"/>
          <w:lang w:val="en-GB"/>
        </w:rPr>
        <w:t>”</w:t>
      </w:r>
    </w:p>
    <w:p w14:paraId="75F053A6" w14:textId="77777777" w:rsidR="001D6649" w:rsidRPr="004A2C39" w:rsidRDefault="001D6649" w:rsidP="004A2C39">
      <w:pPr>
        <w:spacing w:line="480" w:lineRule="auto"/>
        <w:jc w:val="both"/>
        <w:rPr>
          <w:lang w:val="en-GB"/>
        </w:rPr>
      </w:pPr>
    </w:p>
    <w:p w14:paraId="3A042964" w14:textId="4A73DE4C" w:rsidR="00297D20" w:rsidRDefault="001605CE" w:rsidP="004275E4">
      <w:pPr>
        <w:tabs>
          <w:tab w:val="left" w:pos="851"/>
        </w:tabs>
        <w:spacing w:line="480" w:lineRule="auto"/>
        <w:jc w:val="both"/>
        <w:rPr>
          <w:lang w:val="en-GB"/>
        </w:rPr>
      </w:pPr>
      <w:r>
        <w:rPr>
          <w:lang w:val="en-GB"/>
        </w:rPr>
        <w:t>[14</w:t>
      </w:r>
      <w:r w:rsidR="00317D3C" w:rsidRPr="002F496E">
        <w:rPr>
          <w:lang w:val="en-GB"/>
        </w:rPr>
        <w:t>]</w:t>
      </w:r>
      <w:r w:rsidR="00317D3C" w:rsidRPr="002F496E">
        <w:rPr>
          <w:lang w:val="en-GB"/>
        </w:rPr>
        <w:tab/>
      </w:r>
      <w:r w:rsidR="001D6649" w:rsidRPr="002F496E">
        <w:rPr>
          <w:lang w:val="en-GB"/>
        </w:rPr>
        <w:t xml:space="preserve">In </w:t>
      </w:r>
      <w:r w:rsidR="00FC03AA">
        <w:rPr>
          <w:lang w:val="en-GB"/>
        </w:rPr>
        <w:t>terms of section 129(1)(b), a credit provider is barred from instituting legal proceedings against the defaulting consumer until there has been compliance with the requirements of section 129(1)(a) of the NCA</w:t>
      </w:r>
      <w:r w:rsidR="00297D20">
        <w:rPr>
          <w:lang w:val="en-GB"/>
        </w:rPr>
        <w:t>.</w:t>
      </w:r>
    </w:p>
    <w:p w14:paraId="1016295B" w14:textId="77777777" w:rsidR="00FC03AA" w:rsidRPr="002F496E" w:rsidRDefault="00FC03AA" w:rsidP="004275E4">
      <w:pPr>
        <w:tabs>
          <w:tab w:val="left" w:pos="851"/>
        </w:tabs>
        <w:spacing w:line="480" w:lineRule="auto"/>
        <w:jc w:val="both"/>
        <w:rPr>
          <w:i/>
          <w:u w:val="single"/>
          <w:lang w:val="en-GB"/>
        </w:rPr>
      </w:pPr>
    </w:p>
    <w:p w14:paraId="125F8C8A" w14:textId="2FFBABE1" w:rsidR="00615364" w:rsidRDefault="00FC03AA" w:rsidP="004275E4">
      <w:pPr>
        <w:tabs>
          <w:tab w:val="left" w:pos="851"/>
        </w:tabs>
        <w:spacing w:line="480" w:lineRule="auto"/>
        <w:jc w:val="both"/>
        <w:rPr>
          <w:lang w:val="en-GB"/>
        </w:rPr>
      </w:pPr>
      <w:r>
        <w:rPr>
          <w:lang w:val="en-GB"/>
        </w:rPr>
        <w:lastRenderedPageBreak/>
        <w:t>[</w:t>
      </w:r>
      <w:r w:rsidR="001605CE">
        <w:rPr>
          <w:lang w:val="en-GB"/>
        </w:rPr>
        <w:t>15</w:t>
      </w:r>
      <w:r w:rsidR="00317D3C" w:rsidRPr="002F496E">
        <w:rPr>
          <w:lang w:val="en-GB"/>
        </w:rPr>
        <w:t>]</w:t>
      </w:r>
      <w:r w:rsidR="00317D3C" w:rsidRPr="002F496E">
        <w:rPr>
          <w:lang w:val="en-GB"/>
        </w:rPr>
        <w:tab/>
      </w:r>
      <w:r w:rsidR="00704792">
        <w:rPr>
          <w:lang w:val="en-GB"/>
        </w:rPr>
        <w:t>T</w:t>
      </w:r>
      <w:r w:rsidR="00A76177" w:rsidRPr="002F496E">
        <w:rPr>
          <w:lang w:val="en-GB"/>
        </w:rPr>
        <w:t xml:space="preserve">o </w:t>
      </w:r>
      <w:r w:rsidR="00615364">
        <w:rPr>
          <w:lang w:val="en-GB"/>
        </w:rPr>
        <w:t>oppose the exception</w:t>
      </w:r>
      <w:r w:rsidR="00FA57EB">
        <w:rPr>
          <w:lang w:val="en-GB"/>
        </w:rPr>
        <w:t xml:space="preserve">, the plaintiff referred </w:t>
      </w:r>
      <w:r>
        <w:rPr>
          <w:lang w:val="en-GB"/>
        </w:rPr>
        <w:t>to secti</w:t>
      </w:r>
      <w:r w:rsidR="005F4F3A">
        <w:rPr>
          <w:lang w:val="en-GB"/>
        </w:rPr>
        <w:t>on 4(</w:t>
      </w:r>
      <w:r>
        <w:rPr>
          <w:lang w:val="en-GB"/>
        </w:rPr>
        <w:t>1</w:t>
      </w:r>
      <w:r w:rsidR="005F4F3A">
        <w:rPr>
          <w:lang w:val="en-GB"/>
        </w:rPr>
        <w:t>)</w:t>
      </w:r>
      <w:r>
        <w:rPr>
          <w:lang w:val="en-GB"/>
        </w:rPr>
        <w:t xml:space="preserve"> of the NCA which provides</w:t>
      </w:r>
      <w:r w:rsidR="00297D20">
        <w:rPr>
          <w:lang w:val="en-GB"/>
        </w:rPr>
        <w:t>:</w:t>
      </w:r>
    </w:p>
    <w:p w14:paraId="7EF99657" w14:textId="394E9118" w:rsidR="00615364" w:rsidRPr="00615364" w:rsidRDefault="00FC03AA" w:rsidP="004275E4">
      <w:pPr>
        <w:tabs>
          <w:tab w:val="left" w:pos="851"/>
        </w:tabs>
        <w:spacing w:line="480" w:lineRule="auto"/>
        <w:ind w:left="851"/>
        <w:jc w:val="both"/>
        <w:rPr>
          <w:sz w:val="20"/>
          <w:szCs w:val="20"/>
          <w:lang w:val="en-GB"/>
        </w:rPr>
      </w:pPr>
      <w:r w:rsidRPr="00615364">
        <w:rPr>
          <w:sz w:val="20"/>
          <w:szCs w:val="20"/>
          <w:lang w:val="en-GB"/>
        </w:rPr>
        <w:t>‘</w:t>
      </w:r>
      <w:r w:rsidR="00615364" w:rsidRPr="00615364">
        <w:rPr>
          <w:sz w:val="20"/>
          <w:szCs w:val="20"/>
          <w:lang w:val="en-GB"/>
        </w:rPr>
        <w:t>(1) Subject to sections 5 and 6, this Act applies to every credit agreement between parties dealing at arm’s length and made within, or having an effect</w:t>
      </w:r>
      <w:r w:rsidR="00615364">
        <w:rPr>
          <w:sz w:val="20"/>
          <w:szCs w:val="20"/>
          <w:lang w:val="en-GB"/>
        </w:rPr>
        <w:t xml:space="preserve"> </w:t>
      </w:r>
      <w:r w:rsidR="00615364" w:rsidRPr="00615364">
        <w:rPr>
          <w:sz w:val="20"/>
          <w:szCs w:val="20"/>
          <w:lang w:val="en-GB"/>
        </w:rPr>
        <w:t>within, the Republic, except-</w:t>
      </w:r>
    </w:p>
    <w:p w14:paraId="689D51F7" w14:textId="16EABBD3" w:rsidR="00FC03AA" w:rsidRPr="00E926F0" w:rsidRDefault="00E926F0" w:rsidP="00E926F0">
      <w:pPr>
        <w:tabs>
          <w:tab w:val="left" w:pos="851"/>
        </w:tabs>
        <w:spacing w:line="480" w:lineRule="auto"/>
        <w:ind w:left="1134"/>
        <w:jc w:val="both"/>
        <w:rPr>
          <w:sz w:val="20"/>
          <w:szCs w:val="20"/>
          <w:lang w:val="en-GB"/>
        </w:rPr>
      </w:pPr>
      <w:r w:rsidRPr="00615364">
        <w:rPr>
          <w:sz w:val="20"/>
          <w:szCs w:val="20"/>
          <w:lang w:val="en-GB"/>
        </w:rPr>
        <w:t>(a)</w:t>
      </w:r>
      <w:r w:rsidRPr="00615364">
        <w:rPr>
          <w:sz w:val="20"/>
          <w:szCs w:val="20"/>
          <w:lang w:val="en-GB"/>
        </w:rPr>
        <w:tab/>
      </w:r>
      <w:r w:rsidR="00615364" w:rsidRPr="00E926F0">
        <w:rPr>
          <w:sz w:val="20"/>
          <w:szCs w:val="20"/>
          <w:lang w:val="en-GB"/>
        </w:rPr>
        <w:t xml:space="preserve"> a credit agreement in terms of which the consumer is- </w:t>
      </w:r>
    </w:p>
    <w:p w14:paraId="2A99134C" w14:textId="15522D55" w:rsidR="00297D20" w:rsidRPr="00E926F0" w:rsidRDefault="00E926F0" w:rsidP="00E926F0">
      <w:pPr>
        <w:tabs>
          <w:tab w:val="left" w:pos="851"/>
        </w:tabs>
        <w:spacing w:line="480" w:lineRule="auto"/>
        <w:ind w:left="1996" w:hanging="720"/>
        <w:jc w:val="both"/>
        <w:rPr>
          <w:sz w:val="20"/>
          <w:szCs w:val="20"/>
          <w:lang w:val="en-GB"/>
        </w:rPr>
      </w:pPr>
      <w:r w:rsidRPr="004275E4">
        <w:rPr>
          <w:sz w:val="20"/>
          <w:szCs w:val="20"/>
          <w:lang w:val="en-GB"/>
        </w:rPr>
        <w:t>(i)</w:t>
      </w:r>
      <w:r w:rsidRPr="004275E4">
        <w:rPr>
          <w:sz w:val="20"/>
          <w:szCs w:val="20"/>
          <w:lang w:val="en-GB"/>
        </w:rPr>
        <w:tab/>
      </w:r>
      <w:r w:rsidR="00615364" w:rsidRPr="00E926F0">
        <w:rPr>
          <w:sz w:val="20"/>
          <w:szCs w:val="20"/>
          <w:lang w:val="en-GB"/>
        </w:rPr>
        <w:t>a juristic person whose asset value or annual turnover, together with the combined asset value or annual turnover of all related juristic persons, at the time the agreement is made, equals or exceeds the threshold value determined by the Minister in terms of section 7 (1);……..’</w:t>
      </w:r>
    </w:p>
    <w:p w14:paraId="3118F0C6" w14:textId="77777777" w:rsidR="00FA57EB" w:rsidRPr="00615364" w:rsidRDefault="00FA57EB" w:rsidP="004275E4">
      <w:pPr>
        <w:pStyle w:val="ListParagraph"/>
        <w:tabs>
          <w:tab w:val="left" w:pos="851"/>
        </w:tabs>
        <w:spacing w:line="480" w:lineRule="auto"/>
        <w:ind w:left="1996"/>
        <w:jc w:val="both"/>
        <w:rPr>
          <w:sz w:val="20"/>
          <w:szCs w:val="20"/>
          <w:lang w:val="en-GB"/>
        </w:rPr>
      </w:pPr>
    </w:p>
    <w:p w14:paraId="0E95EEFF" w14:textId="7DD213E8" w:rsidR="0079399A" w:rsidRDefault="001605CE" w:rsidP="004275E4">
      <w:pPr>
        <w:tabs>
          <w:tab w:val="left" w:pos="851"/>
        </w:tabs>
        <w:spacing w:line="480" w:lineRule="auto"/>
        <w:jc w:val="both"/>
        <w:rPr>
          <w:lang w:val="en-GB"/>
        </w:rPr>
      </w:pPr>
      <w:r>
        <w:rPr>
          <w:lang w:val="en-GB"/>
        </w:rPr>
        <w:t>[16</w:t>
      </w:r>
      <w:r w:rsidR="00317D3C" w:rsidRPr="002F496E">
        <w:rPr>
          <w:lang w:val="en-GB"/>
        </w:rPr>
        <w:t>]</w:t>
      </w:r>
      <w:r w:rsidR="00317D3C" w:rsidRPr="002F496E">
        <w:rPr>
          <w:lang w:val="en-GB"/>
        </w:rPr>
        <w:tab/>
      </w:r>
      <w:r w:rsidR="00615364">
        <w:rPr>
          <w:lang w:val="en-GB"/>
        </w:rPr>
        <w:t xml:space="preserve"> </w:t>
      </w:r>
      <w:r w:rsidR="00CD57C5">
        <w:rPr>
          <w:lang w:val="en-GB"/>
        </w:rPr>
        <w:t>In addition to the summary of the amended particulars of claim as alluded to at paragraph</w:t>
      </w:r>
      <w:r w:rsidR="00297D20">
        <w:rPr>
          <w:lang w:val="en-GB"/>
        </w:rPr>
        <w:t>s</w:t>
      </w:r>
      <w:r w:rsidR="00CD57C5">
        <w:rPr>
          <w:lang w:val="en-GB"/>
        </w:rPr>
        <w:t xml:space="preserve"> 4-8 of this judgment</w:t>
      </w:r>
      <w:r w:rsidR="0059436A">
        <w:rPr>
          <w:lang w:val="en-GB"/>
        </w:rPr>
        <w:t>, the following extract</w:t>
      </w:r>
      <w:r w:rsidR="00CD57C5">
        <w:rPr>
          <w:lang w:val="en-GB"/>
        </w:rPr>
        <w:t xml:space="preserve">s </w:t>
      </w:r>
      <w:r w:rsidR="00917735">
        <w:rPr>
          <w:lang w:val="en-GB"/>
        </w:rPr>
        <w:t xml:space="preserve">are </w:t>
      </w:r>
      <w:r w:rsidR="00CD57C5">
        <w:rPr>
          <w:lang w:val="en-GB"/>
        </w:rPr>
        <w:t xml:space="preserve">also </w:t>
      </w:r>
      <w:r w:rsidR="00917735">
        <w:rPr>
          <w:lang w:val="en-GB"/>
        </w:rPr>
        <w:t>pertinent</w:t>
      </w:r>
      <w:r w:rsidR="0079399A">
        <w:rPr>
          <w:lang w:val="en-GB"/>
        </w:rPr>
        <w:t>:</w:t>
      </w:r>
    </w:p>
    <w:p w14:paraId="1F7CD165" w14:textId="34B8F106" w:rsidR="0079399A" w:rsidRPr="00AF3E93" w:rsidRDefault="0079399A" w:rsidP="004275E4">
      <w:pPr>
        <w:tabs>
          <w:tab w:val="left" w:pos="851"/>
        </w:tabs>
        <w:spacing w:line="480" w:lineRule="auto"/>
        <w:ind w:left="851"/>
        <w:jc w:val="both"/>
        <w:rPr>
          <w:sz w:val="20"/>
          <w:szCs w:val="20"/>
          <w:lang w:val="en-GB"/>
        </w:rPr>
      </w:pPr>
      <w:r w:rsidRPr="00970D43">
        <w:rPr>
          <w:sz w:val="20"/>
          <w:szCs w:val="20"/>
          <w:lang w:val="en-GB"/>
        </w:rPr>
        <w:t>‘22. On the 4</w:t>
      </w:r>
      <w:r w:rsidRPr="00970D43">
        <w:rPr>
          <w:sz w:val="20"/>
          <w:szCs w:val="20"/>
          <w:vertAlign w:val="superscript"/>
          <w:lang w:val="en-GB"/>
        </w:rPr>
        <w:t>th</w:t>
      </w:r>
      <w:r w:rsidRPr="00970D43">
        <w:rPr>
          <w:sz w:val="20"/>
          <w:szCs w:val="20"/>
          <w:lang w:val="en-GB"/>
        </w:rPr>
        <w:t xml:space="preserve"> of March 2019 and at East London, the </w:t>
      </w:r>
      <w:r w:rsidRPr="00AF3E93">
        <w:rPr>
          <w:sz w:val="20"/>
          <w:szCs w:val="20"/>
          <w:u w:val="single"/>
          <w:lang w:val="en-GB"/>
        </w:rPr>
        <w:t xml:space="preserve">Second Defendant signed an Agreement of </w:t>
      </w:r>
      <w:r w:rsidR="00F62483" w:rsidRPr="00AF3E93">
        <w:rPr>
          <w:sz w:val="20"/>
          <w:szCs w:val="20"/>
          <w:u w:val="single"/>
          <w:lang w:val="en-GB"/>
        </w:rPr>
        <w:t>surety ship</w:t>
      </w:r>
      <w:r w:rsidRPr="00AF3E93">
        <w:rPr>
          <w:sz w:val="20"/>
          <w:szCs w:val="20"/>
          <w:u w:val="single"/>
          <w:lang w:val="en-GB"/>
        </w:rPr>
        <w:t xml:space="preserve"> with Plaintiff in terms whereof the Second Defendant in writing bound himself as surety </w:t>
      </w:r>
      <w:r w:rsidRPr="00AF3E93">
        <w:rPr>
          <w:i/>
          <w:sz w:val="20"/>
          <w:szCs w:val="20"/>
          <w:u w:val="single"/>
          <w:lang w:val="en-GB"/>
        </w:rPr>
        <w:t>in solidum</w:t>
      </w:r>
      <w:r w:rsidR="009827F4" w:rsidRPr="00AF3E93">
        <w:rPr>
          <w:i/>
          <w:sz w:val="20"/>
          <w:szCs w:val="20"/>
          <w:u w:val="single"/>
          <w:lang w:val="en-GB"/>
        </w:rPr>
        <w:t xml:space="preserve"> </w:t>
      </w:r>
      <w:r w:rsidR="009827F4" w:rsidRPr="00AF3E93">
        <w:rPr>
          <w:sz w:val="20"/>
          <w:szCs w:val="20"/>
          <w:u w:val="single"/>
          <w:lang w:val="en-GB"/>
        </w:rPr>
        <w:t>and co-principal debtor for the punctual payment of all sums due by the First Defendant to Plaintiff.</w:t>
      </w:r>
      <w:r w:rsidR="00AF3E93">
        <w:rPr>
          <w:sz w:val="20"/>
          <w:szCs w:val="20"/>
          <w:u w:val="single"/>
          <w:lang w:val="en-GB"/>
        </w:rPr>
        <w:t>(</w:t>
      </w:r>
      <w:r w:rsidR="00AF3E93" w:rsidRPr="00AF3E93">
        <w:rPr>
          <w:sz w:val="20"/>
          <w:szCs w:val="20"/>
          <w:lang w:val="en-GB"/>
        </w:rPr>
        <w:t>my underlining)</w:t>
      </w:r>
    </w:p>
    <w:p w14:paraId="2543928B" w14:textId="06055DE4" w:rsidR="009827F4" w:rsidRPr="00970D43" w:rsidRDefault="009827F4" w:rsidP="004275E4">
      <w:pPr>
        <w:tabs>
          <w:tab w:val="left" w:pos="851"/>
        </w:tabs>
        <w:spacing w:line="480" w:lineRule="auto"/>
        <w:ind w:left="1134"/>
        <w:jc w:val="both"/>
        <w:rPr>
          <w:b/>
          <w:sz w:val="20"/>
          <w:szCs w:val="20"/>
          <w:lang w:val="en-GB"/>
        </w:rPr>
      </w:pPr>
      <w:r w:rsidRPr="00970D43">
        <w:rPr>
          <w:sz w:val="20"/>
          <w:szCs w:val="20"/>
          <w:lang w:val="en-GB"/>
        </w:rPr>
        <w:t>23. A copy of the Surety ship Agreement (herein referred to as ‘the Surety ship Agreement’’) is annexed hereto marked annexures ‘</w:t>
      </w:r>
      <w:r w:rsidRPr="00970D43">
        <w:rPr>
          <w:b/>
          <w:sz w:val="20"/>
          <w:szCs w:val="20"/>
          <w:lang w:val="en-GB"/>
        </w:rPr>
        <w:t>E1 to E6’.</w:t>
      </w:r>
    </w:p>
    <w:p w14:paraId="22AA1158" w14:textId="7F2C9112" w:rsidR="009827F4" w:rsidRPr="00970D43" w:rsidRDefault="009827F4" w:rsidP="004275E4">
      <w:pPr>
        <w:tabs>
          <w:tab w:val="left" w:pos="851"/>
        </w:tabs>
        <w:spacing w:line="480" w:lineRule="auto"/>
        <w:ind w:left="1134"/>
        <w:jc w:val="both"/>
        <w:rPr>
          <w:sz w:val="20"/>
          <w:szCs w:val="20"/>
          <w:lang w:val="en-GB"/>
        </w:rPr>
      </w:pPr>
      <w:r w:rsidRPr="00970D43">
        <w:rPr>
          <w:sz w:val="20"/>
          <w:szCs w:val="20"/>
          <w:lang w:val="en-GB"/>
        </w:rPr>
        <w:t>24. Express provisions of the Surety ship agreement were-</w:t>
      </w:r>
    </w:p>
    <w:p w14:paraId="142C3652" w14:textId="605F943F" w:rsidR="009827F4" w:rsidRPr="00970D43" w:rsidRDefault="009827F4" w:rsidP="004275E4">
      <w:pPr>
        <w:tabs>
          <w:tab w:val="left" w:pos="851"/>
        </w:tabs>
        <w:spacing w:line="480" w:lineRule="auto"/>
        <w:ind w:left="1134"/>
        <w:jc w:val="both"/>
        <w:rPr>
          <w:sz w:val="20"/>
          <w:szCs w:val="20"/>
          <w:lang w:val="en-GB"/>
        </w:rPr>
      </w:pPr>
      <w:r w:rsidRPr="00970D43">
        <w:rPr>
          <w:sz w:val="20"/>
          <w:szCs w:val="20"/>
          <w:lang w:val="en-GB"/>
        </w:rPr>
        <w:t xml:space="preserve">24.1 The second Defendant bound himself unto and in favour of the Plaintiff as surety </w:t>
      </w:r>
      <w:r w:rsidRPr="00970D43">
        <w:rPr>
          <w:i/>
          <w:sz w:val="20"/>
          <w:szCs w:val="20"/>
          <w:lang w:val="en-GB"/>
        </w:rPr>
        <w:t>in solidum</w:t>
      </w:r>
      <w:r w:rsidRPr="00970D43">
        <w:rPr>
          <w:sz w:val="20"/>
          <w:szCs w:val="20"/>
          <w:lang w:val="en-GB"/>
        </w:rPr>
        <w:t xml:space="preserve"> for and co-</w:t>
      </w:r>
      <w:r w:rsidR="00970D43" w:rsidRPr="00970D43">
        <w:rPr>
          <w:sz w:val="20"/>
          <w:szCs w:val="20"/>
          <w:lang w:val="en-GB"/>
        </w:rPr>
        <w:t>principal</w:t>
      </w:r>
      <w:r w:rsidRPr="00970D43">
        <w:rPr>
          <w:sz w:val="20"/>
          <w:szCs w:val="20"/>
          <w:lang w:val="en-GB"/>
        </w:rPr>
        <w:t xml:space="preserve"> debtor jointly and severally with First </w:t>
      </w:r>
      <w:r w:rsidR="00970D43" w:rsidRPr="00970D43">
        <w:rPr>
          <w:sz w:val="20"/>
          <w:szCs w:val="20"/>
          <w:lang w:val="en-GB"/>
        </w:rPr>
        <w:t>Defendant</w:t>
      </w:r>
      <w:r w:rsidRPr="00970D43">
        <w:rPr>
          <w:sz w:val="20"/>
          <w:szCs w:val="20"/>
          <w:lang w:val="en-GB"/>
        </w:rPr>
        <w:t xml:space="preserve"> for due payment by first Defendant, of all monies which the First </w:t>
      </w:r>
      <w:r w:rsidR="00970D43" w:rsidRPr="00970D43">
        <w:rPr>
          <w:sz w:val="20"/>
          <w:szCs w:val="20"/>
          <w:lang w:val="en-GB"/>
        </w:rPr>
        <w:t>Defendant</w:t>
      </w:r>
      <w:r w:rsidRPr="00970D43">
        <w:rPr>
          <w:sz w:val="20"/>
          <w:szCs w:val="20"/>
          <w:lang w:val="en-GB"/>
        </w:rPr>
        <w:t xml:space="preserve"> may </w:t>
      </w:r>
      <w:r w:rsidR="00970D43" w:rsidRPr="00970D43">
        <w:rPr>
          <w:sz w:val="20"/>
          <w:szCs w:val="20"/>
          <w:lang w:val="en-GB"/>
        </w:rPr>
        <w:t>then or</w:t>
      </w:r>
      <w:r w:rsidRPr="00970D43">
        <w:rPr>
          <w:sz w:val="20"/>
          <w:szCs w:val="20"/>
          <w:lang w:val="en-GB"/>
        </w:rPr>
        <w:t xml:space="preserve"> from time to time thereafter owe to the Plaintiff from whatsoever </w:t>
      </w:r>
      <w:r w:rsidR="00970D43" w:rsidRPr="00970D43">
        <w:rPr>
          <w:sz w:val="20"/>
          <w:szCs w:val="20"/>
          <w:lang w:val="en-GB"/>
        </w:rPr>
        <w:t>cause</w:t>
      </w:r>
      <w:r w:rsidRPr="00970D43">
        <w:rPr>
          <w:sz w:val="20"/>
          <w:szCs w:val="20"/>
          <w:lang w:val="en-GB"/>
        </w:rPr>
        <w:t xml:space="preserve"> and howsoever arising, and whether as principal debtor, guarantor</w:t>
      </w:r>
      <w:r w:rsidR="00970D43" w:rsidRPr="00970D43">
        <w:rPr>
          <w:sz w:val="20"/>
          <w:szCs w:val="20"/>
          <w:lang w:val="en-GB"/>
        </w:rPr>
        <w:t>,</w:t>
      </w:r>
      <w:r w:rsidRPr="00970D43">
        <w:rPr>
          <w:sz w:val="20"/>
          <w:szCs w:val="20"/>
          <w:lang w:val="en-GB"/>
        </w:rPr>
        <w:t xml:space="preserve"> or otherwise.</w:t>
      </w:r>
    </w:p>
    <w:p w14:paraId="4DC70BE1" w14:textId="41A1CA19" w:rsidR="00970D43" w:rsidRPr="00970D43" w:rsidRDefault="00970D43" w:rsidP="004275E4">
      <w:pPr>
        <w:tabs>
          <w:tab w:val="left" w:pos="851"/>
        </w:tabs>
        <w:spacing w:line="480" w:lineRule="auto"/>
        <w:ind w:left="1134"/>
        <w:jc w:val="both"/>
        <w:rPr>
          <w:sz w:val="20"/>
          <w:szCs w:val="20"/>
          <w:lang w:val="en-GB"/>
        </w:rPr>
      </w:pPr>
      <w:r w:rsidRPr="00970D43">
        <w:rPr>
          <w:sz w:val="20"/>
          <w:szCs w:val="20"/>
          <w:lang w:val="en-GB"/>
        </w:rPr>
        <w:t>24.2……………………….</w:t>
      </w:r>
    </w:p>
    <w:p w14:paraId="0FDD8E1E" w14:textId="23A4384E" w:rsidR="00970D43" w:rsidRPr="00970D43" w:rsidRDefault="00970D43" w:rsidP="004275E4">
      <w:pPr>
        <w:tabs>
          <w:tab w:val="left" w:pos="851"/>
        </w:tabs>
        <w:spacing w:line="480" w:lineRule="auto"/>
        <w:ind w:left="1134"/>
        <w:jc w:val="both"/>
        <w:rPr>
          <w:sz w:val="20"/>
          <w:szCs w:val="20"/>
          <w:lang w:val="en-GB"/>
        </w:rPr>
      </w:pPr>
      <w:r w:rsidRPr="00970D43">
        <w:rPr>
          <w:sz w:val="20"/>
          <w:szCs w:val="20"/>
          <w:lang w:val="en-GB"/>
        </w:rPr>
        <w:t>24.3…………………………..</w:t>
      </w:r>
    </w:p>
    <w:p w14:paraId="40C4CC20" w14:textId="1E5382E6" w:rsidR="00970D43" w:rsidRPr="00AF3E93" w:rsidRDefault="00970D43" w:rsidP="004275E4">
      <w:pPr>
        <w:tabs>
          <w:tab w:val="left" w:pos="851"/>
        </w:tabs>
        <w:spacing w:line="480" w:lineRule="auto"/>
        <w:ind w:left="1134"/>
        <w:jc w:val="both"/>
        <w:rPr>
          <w:sz w:val="20"/>
          <w:szCs w:val="20"/>
          <w:lang w:val="en-GB"/>
        </w:rPr>
      </w:pPr>
      <w:r w:rsidRPr="00970D43">
        <w:rPr>
          <w:sz w:val="20"/>
          <w:szCs w:val="20"/>
          <w:lang w:val="en-GB"/>
        </w:rPr>
        <w:t xml:space="preserve">24.5 </w:t>
      </w:r>
      <w:r w:rsidRPr="00AF3E93">
        <w:rPr>
          <w:sz w:val="20"/>
          <w:szCs w:val="20"/>
          <w:u w:val="single"/>
          <w:lang w:val="en-GB"/>
        </w:rPr>
        <w:t>Notwithstanding that the provisions of the NCA are not applicable to the Agreement and the Surety ship Agreement concluded by the First and Second Defendants; the Plaintiff complied with the provisions of the aforesaid Act as follows</w:t>
      </w:r>
      <w:r w:rsidR="00AF3E93" w:rsidRPr="00AF3E93">
        <w:rPr>
          <w:sz w:val="20"/>
          <w:szCs w:val="20"/>
          <w:lang w:val="en-GB"/>
        </w:rPr>
        <w:t>:(my underlining)</w:t>
      </w:r>
    </w:p>
    <w:p w14:paraId="21A3CAB5" w14:textId="0DDCC1C5" w:rsidR="00970D43" w:rsidRDefault="00970D43" w:rsidP="004275E4">
      <w:pPr>
        <w:tabs>
          <w:tab w:val="left" w:pos="851"/>
        </w:tabs>
        <w:spacing w:line="480" w:lineRule="auto"/>
        <w:ind w:left="1134"/>
        <w:jc w:val="both"/>
        <w:rPr>
          <w:sz w:val="20"/>
          <w:szCs w:val="20"/>
          <w:lang w:val="en-GB"/>
        </w:rPr>
      </w:pPr>
      <w:r>
        <w:rPr>
          <w:sz w:val="20"/>
          <w:szCs w:val="20"/>
          <w:lang w:val="en-GB"/>
        </w:rPr>
        <w:lastRenderedPageBreak/>
        <w:t xml:space="preserve">25.1 The plaintiff sent their first Notice in terms of Section 129 of the NCA </w:t>
      </w:r>
      <w:r w:rsidR="00DC111D">
        <w:rPr>
          <w:sz w:val="20"/>
          <w:szCs w:val="20"/>
          <w:lang w:val="en-GB"/>
        </w:rPr>
        <w:t>to</w:t>
      </w:r>
      <w:r>
        <w:rPr>
          <w:sz w:val="20"/>
          <w:szCs w:val="20"/>
          <w:lang w:val="en-GB"/>
        </w:rPr>
        <w:t xml:space="preserve"> </w:t>
      </w:r>
      <w:r w:rsidR="00DC111D">
        <w:rPr>
          <w:sz w:val="20"/>
          <w:szCs w:val="20"/>
          <w:lang w:val="en-GB"/>
        </w:rPr>
        <w:t>the</w:t>
      </w:r>
      <w:r>
        <w:rPr>
          <w:sz w:val="20"/>
          <w:szCs w:val="20"/>
          <w:lang w:val="en-GB"/>
        </w:rPr>
        <w:t xml:space="preserve"> Second Defendant’s wrong email address namely </w:t>
      </w:r>
      <w:r w:rsidRPr="00970D43">
        <w:rPr>
          <w:sz w:val="20"/>
          <w:szCs w:val="20"/>
          <w:u w:val="single"/>
          <w:lang w:val="en-GB"/>
        </w:rPr>
        <w:t>silvex399</w:t>
      </w:r>
      <w:r w:rsidR="00884571">
        <w:rPr>
          <w:sz w:val="20"/>
          <w:szCs w:val="20"/>
          <w:u w:val="single"/>
          <w:lang w:val="en-GB"/>
        </w:rPr>
        <w:t>@</w:t>
      </w:r>
      <w:r w:rsidRPr="00970D43">
        <w:rPr>
          <w:sz w:val="20"/>
          <w:szCs w:val="20"/>
          <w:u w:val="single"/>
          <w:lang w:val="en-GB"/>
        </w:rPr>
        <w:t>webmail.com</w:t>
      </w:r>
      <w:r w:rsidRPr="00970D43">
        <w:rPr>
          <w:sz w:val="20"/>
          <w:szCs w:val="20"/>
          <w:lang w:val="en-GB"/>
        </w:rPr>
        <w:t xml:space="preserve"> </w:t>
      </w:r>
      <w:r>
        <w:rPr>
          <w:sz w:val="20"/>
          <w:szCs w:val="20"/>
          <w:lang w:val="en-GB"/>
        </w:rPr>
        <w:t xml:space="preserve"> calling upon the Second Defendant to make payment of the said arrears within a period of 10 (ten days)from the date of receipt thereof.</w:t>
      </w:r>
    </w:p>
    <w:p w14:paraId="1048385B" w14:textId="77F25E24" w:rsidR="00970D43" w:rsidRDefault="00970D43" w:rsidP="004275E4">
      <w:pPr>
        <w:tabs>
          <w:tab w:val="left" w:pos="851"/>
        </w:tabs>
        <w:spacing w:line="480" w:lineRule="auto"/>
        <w:ind w:left="1134"/>
        <w:jc w:val="both"/>
        <w:rPr>
          <w:sz w:val="20"/>
          <w:szCs w:val="20"/>
          <w:lang w:val="en-GB"/>
        </w:rPr>
      </w:pPr>
      <w:r>
        <w:rPr>
          <w:sz w:val="20"/>
          <w:szCs w:val="20"/>
          <w:lang w:val="en-GB"/>
        </w:rPr>
        <w:t>25.2</w:t>
      </w:r>
      <w:r w:rsidR="00884571">
        <w:rPr>
          <w:sz w:val="20"/>
          <w:szCs w:val="20"/>
          <w:lang w:val="en-GB"/>
        </w:rPr>
        <w:t xml:space="preserve"> Copies of the first Notice in terms of Section 129 of the NCA, proof of transmission together with the Registered communication Certificate sent to the Second Defendant ‘s wrong email address are annexed hereto marked Annexure ‘F1 to F6.</w:t>
      </w:r>
    </w:p>
    <w:p w14:paraId="2B87130B" w14:textId="48AB28E2" w:rsidR="00884571" w:rsidRDefault="00884571" w:rsidP="004275E4">
      <w:pPr>
        <w:tabs>
          <w:tab w:val="left" w:pos="851"/>
        </w:tabs>
        <w:spacing w:line="480" w:lineRule="auto"/>
        <w:ind w:left="1134"/>
        <w:jc w:val="both"/>
        <w:rPr>
          <w:sz w:val="20"/>
          <w:szCs w:val="20"/>
          <w:lang w:val="en-GB"/>
        </w:rPr>
      </w:pPr>
      <w:r>
        <w:rPr>
          <w:sz w:val="20"/>
          <w:szCs w:val="20"/>
          <w:lang w:val="en-GB"/>
        </w:rPr>
        <w:t xml:space="preserve">25.2 The Plaintiff, however sent their second Notice in terms of Section 129 of the NCA to the Second Defendant’s correct address namely </w:t>
      </w:r>
      <w:r w:rsidRPr="00884571">
        <w:rPr>
          <w:sz w:val="20"/>
          <w:szCs w:val="20"/>
          <w:u w:val="single"/>
          <w:lang w:val="en-GB"/>
        </w:rPr>
        <w:t>silvex399@webmail.co.za</w:t>
      </w:r>
      <w:r w:rsidRPr="00884571">
        <w:rPr>
          <w:sz w:val="20"/>
          <w:szCs w:val="20"/>
          <w:lang w:val="en-GB"/>
        </w:rPr>
        <w:t xml:space="preserve"> calling upon the </w:t>
      </w:r>
      <w:r>
        <w:rPr>
          <w:sz w:val="20"/>
          <w:szCs w:val="20"/>
          <w:lang w:val="en-GB"/>
        </w:rPr>
        <w:t>Second Defendant to make payment of the said arrears within a period of 10 (ten) days from date of receipt thereof.</w:t>
      </w:r>
    </w:p>
    <w:p w14:paraId="43B9F698" w14:textId="6FBC8850" w:rsidR="00884571" w:rsidRDefault="00884571" w:rsidP="004275E4">
      <w:pPr>
        <w:tabs>
          <w:tab w:val="left" w:pos="851"/>
        </w:tabs>
        <w:spacing w:line="480" w:lineRule="auto"/>
        <w:ind w:left="1134"/>
        <w:jc w:val="both"/>
        <w:rPr>
          <w:sz w:val="20"/>
          <w:szCs w:val="20"/>
          <w:lang w:val="en-GB"/>
        </w:rPr>
      </w:pPr>
      <w:r>
        <w:rPr>
          <w:sz w:val="20"/>
          <w:szCs w:val="20"/>
          <w:lang w:val="en-GB"/>
        </w:rPr>
        <w:t>25.2.1 Copies of the second Notice in term</w:t>
      </w:r>
      <w:r w:rsidR="00EC126F">
        <w:rPr>
          <w:sz w:val="20"/>
          <w:szCs w:val="20"/>
          <w:lang w:val="en-GB"/>
        </w:rPr>
        <w:t>s of Section 129 of the NCA, pro</w:t>
      </w:r>
      <w:r>
        <w:rPr>
          <w:sz w:val="20"/>
          <w:szCs w:val="20"/>
          <w:lang w:val="en-GB"/>
        </w:rPr>
        <w:t xml:space="preserve">of of transmission together with the Registered Communication Certificate sent to the Second Defendant ‘s correct email address are annexed hereto marked annexure </w:t>
      </w:r>
      <w:r w:rsidRPr="00884571">
        <w:rPr>
          <w:b/>
          <w:sz w:val="20"/>
          <w:szCs w:val="20"/>
          <w:lang w:val="en-GB"/>
        </w:rPr>
        <w:t>‘G1 to G6’</w:t>
      </w:r>
      <w:r>
        <w:rPr>
          <w:b/>
          <w:sz w:val="20"/>
          <w:szCs w:val="20"/>
          <w:lang w:val="en-GB"/>
        </w:rPr>
        <w:t>(</w:t>
      </w:r>
      <w:r>
        <w:rPr>
          <w:sz w:val="20"/>
          <w:szCs w:val="20"/>
          <w:lang w:val="en-GB"/>
        </w:rPr>
        <w:t>(sic)</w:t>
      </w:r>
      <w:r w:rsidR="00AF3E93">
        <w:rPr>
          <w:sz w:val="20"/>
          <w:szCs w:val="20"/>
          <w:lang w:val="en-GB"/>
        </w:rPr>
        <w:t>’…….</w:t>
      </w:r>
    </w:p>
    <w:p w14:paraId="0EDC90BA" w14:textId="77777777" w:rsidR="00651654" w:rsidRPr="004275E4" w:rsidRDefault="00651654" w:rsidP="004275E4">
      <w:pPr>
        <w:tabs>
          <w:tab w:val="left" w:pos="851"/>
        </w:tabs>
        <w:spacing w:line="480" w:lineRule="auto"/>
        <w:ind w:left="1134"/>
        <w:jc w:val="both"/>
        <w:rPr>
          <w:lang w:val="en-GB"/>
        </w:rPr>
      </w:pPr>
    </w:p>
    <w:p w14:paraId="6FE00152" w14:textId="64FDA064" w:rsidR="00297D20" w:rsidRPr="00651654" w:rsidRDefault="00651654" w:rsidP="004275E4">
      <w:pPr>
        <w:tabs>
          <w:tab w:val="left" w:pos="851"/>
        </w:tabs>
        <w:spacing w:line="480" w:lineRule="auto"/>
        <w:jc w:val="both"/>
        <w:rPr>
          <w:b/>
          <w:u w:val="single"/>
          <w:lang w:val="en-GB"/>
        </w:rPr>
      </w:pPr>
      <w:r w:rsidRPr="00651654">
        <w:rPr>
          <w:b/>
          <w:u w:val="single"/>
          <w:lang w:val="en-GB"/>
        </w:rPr>
        <w:t>The application of the law to the facts</w:t>
      </w:r>
    </w:p>
    <w:p w14:paraId="67A81D7F" w14:textId="6439959F" w:rsidR="00CA5923" w:rsidRPr="00651654" w:rsidRDefault="00CA5923" w:rsidP="004275E4">
      <w:pPr>
        <w:tabs>
          <w:tab w:val="left" w:pos="851"/>
        </w:tabs>
        <w:spacing w:line="480" w:lineRule="auto"/>
        <w:jc w:val="both"/>
        <w:rPr>
          <w:i/>
          <w:lang w:val="en-GB"/>
        </w:rPr>
      </w:pPr>
    </w:p>
    <w:p w14:paraId="4A9BBF26" w14:textId="03641CB3" w:rsidR="00247784" w:rsidRDefault="001605CE" w:rsidP="004275E4">
      <w:pPr>
        <w:spacing w:after="200" w:line="480" w:lineRule="auto"/>
        <w:jc w:val="both"/>
      </w:pPr>
      <w:r w:rsidRPr="00651654">
        <w:rPr>
          <w:lang w:val="en-GB"/>
        </w:rPr>
        <w:t>[17</w:t>
      </w:r>
      <w:r w:rsidR="00317D3C" w:rsidRPr="00651654">
        <w:rPr>
          <w:lang w:val="en-GB"/>
        </w:rPr>
        <w:t>]</w:t>
      </w:r>
      <w:r w:rsidR="00317D3C" w:rsidRPr="00651654">
        <w:rPr>
          <w:lang w:val="en-GB"/>
        </w:rPr>
        <w:tab/>
      </w:r>
      <w:r w:rsidR="00F80356" w:rsidRPr="00651654">
        <w:rPr>
          <w:lang w:val="en-GB"/>
        </w:rPr>
        <w:t xml:space="preserve"> </w:t>
      </w:r>
      <w:r w:rsidR="00AF3E93" w:rsidRPr="00651654">
        <w:rPr>
          <w:lang w:val="en-GB"/>
        </w:rPr>
        <w:t xml:space="preserve">The question </w:t>
      </w:r>
      <w:r w:rsidR="006678AF">
        <w:rPr>
          <w:lang w:val="en-GB"/>
        </w:rPr>
        <w:t>pertains to</w:t>
      </w:r>
      <w:r w:rsidR="006678AF" w:rsidRPr="00651654">
        <w:rPr>
          <w:lang w:val="en-GB"/>
        </w:rPr>
        <w:t xml:space="preserve"> </w:t>
      </w:r>
      <w:r w:rsidR="00AF3E93" w:rsidRPr="00651654">
        <w:rPr>
          <w:lang w:val="en-GB"/>
        </w:rPr>
        <w:t>whether the defendants have discharged the onus</w:t>
      </w:r>
      <w:r w:rsidR="00B748A0" w:rsidRPr="00651654">
        <w:rPr>
          <w:lang w:val="en-GB"/>
        </w:rPr>
        <w:t xml:space="preserve"> to </w:t>
      </w:r>
      <w:r w:rsidR="00EC126F">
        <w:rPr>
          <w:lang w:val="en-GB"/>
        </w:rPr>
        <w:t>demonstrat</w:t>
      </w:r>
      <w:r w:rsidR="009C66B6" w:rsidRPr="00651654">
        <w:rPr>
          <w:lang w:val="en-GB"/>
        </w:rPr>
        <w:t>e</w:t>
      </w:r>
      <w:r w:rsidR="00B748A0" w:rsidRPr="00651654">
        <w:rPr>
          <w:lang w:val="en-GB"/>
        </w:rPr>
        <w:t xml:space="preserve"> vagueness and embarrassment </w:t>
      </w:r>
      <w:r w:rsidR="006678AF">
        <w:rPr>
          <w:lang w:val="en-GB"/>
        </w:rPr>
        <w:t>as well as whether</w:t>
      </w:r>
      <w:r w:rsidR="006678AF" w:rsidRPr="00651654">
        <w:rPr>
          <w:lang w:val="en-GB"/>
        </w:rPr>
        <w:t xml:space="preserve"> </w:t>
      </w:r>
      <w:r w:rsidR="003F1B45" w:rsidRPr="00651654">
        <w:rPr>
          <w:lang w:val="en-GB"/>
        </w:rPr>
        <w:t xml:space="preserve">the </w:t>
      </w:r>
      <w:r w:rsidR="009C66B6" w:rsidRPr="00651654">
        <w:rPr>
          <w:lang w:val="en-GB"/>
        </w:rPr>
        <w:t>embarrassment</w:t>
      </w:r>
      <w:r w:rsidR="00EC126F">
        <w:rPr>
          <w:lang w:val="en-GB"/>
        </w:rPr>
        <w:t xml:space="preserve"> (if any)</w:t>
      </w:r>
      <w:r w:rsidR="00B748A0" w:rsidRPr="00651654">
        <w:rPr>
          <w:lang w:val="en-GB"/>
        </w:rPr>
        <w:t xml:space="preserve"> </w:t>
      </w:r>
      <w:r w:rsidR="009C66B6" w:rsidRPr="00651654">
        <w:rPr>
          <w:lang w:val="en-GB"/>
        </w:rPr>
        <w:t>amounts</w:t>
      </w:r>
      <w:r w:rsidR="00B748A0" w:rsidRPr="00651654">
        <w:rPr>
          <w:lang w:val="en-GB"/>
        </w:rPr>
        <w:t xml:space="preserve"> to prejudice</w:t>
      </w:r>
      <w:r w:rsidR="009C66B6">
        <w:rPr>
          <w:rStyle w:val="FootnoteReference"/>
          <w:lang w:val="en-GB"/>
        </w:rPr>
        <w:footnoteReference w:id="7"/>
      </w:r>
      <w:r w:rsidR="009C66B6" w:rsidRPr="00651654">
        <w:rPr>
          <w:lang w:val="en-GB"/>
        </w:rPr>
        <w:t xml:space="preserve">. I am also </w:t>
      </w:r>
      <w:r w:rsidR="006678AF">
        <w:rPr>
          <w:lang w:val="en-GB"/>
        </w:rPr>
        <w:t>tasked</w:t>
      </w:r>
      <w:r w:rsidR="00EC126F">
        <w:rPr>
          <w:lang w:val="en-GB"/>
        </w:rPr>
        <w:t xml:space="preserve"> to</w:t>
      </w:r>
      <w:r w:rsidR="009C66B6" w:rsidRPr="00651654">
        <w:rPr>
          <w:lang w:val="en-GB"/>
        </w:rPr>
        <w:t xml:space="preserve"> ascertain whether the defendants have established that no cause of action was disclosed. In order to</w:t>
      </w:r>
      <w:r w:rsidR="00591217">
        <w:rPr>
          <w:lang w:val="en-GB"/>
        </w:rPr>
        <w:t xml:space="preserve"> fully assess these issues</w:t>
      </w:r>
      <w:r w:rsidR="009C66B6" w:rsidRPr="00651654">
        <w:rPr>
          <w:lang w:val="en-GB"/>
        </w:rPr>
        <w:t xml:space="preserve">, I will accept as true the allegations pleaded by the plaintiff in </w:t>
      </w:r>
      <w:r w:rsidR="00297D20">
        <w:rPr>
          <w:lang w:val="en-GB"/>
        </w:rPr>
        <w:t>the</w:t>
      </w:r>
      <w:r w:rsidR="00297D20" w:rsidRPr="00651654">
        <w:rPr>
          <w:lang w:val="en-GB"/>
        </w:rPr>
        <w:t xml:space="preserve"> </w:t>
      </w:r>
      <w:r w:rsidR="009C66B6" w:rsidRPr="00651654">
        <w:rPr>
          <w:lang w:val="en-GB"/>
        </w:rPr>
        <w:t>particulars of claim</w:t>
      </w:r>
      <w:r>
        <w:rPr>
          <w:rStyle w:val="FootnoteReference"/>
          <w:lang w:val="en-GB"/>
        </w:rPr>
        <w:footnoteReference w:id="8"/>
      </w:r>
      <w:r w:rsidR="009C66B6" w:rsidRPr="00651654">
        <w:rPr>
          <w:lang w:val="en-GB"/>
        </w:rPr>
        <w:t>.</w:t>
      </w:r>
      <w:r w:rsidR="00247784">
        <w:t xml:space="preserve"> </w:t>
      </w:r>
      <w:r w:rsidR="006067D0">
        <w:t>Moreover</w:t>
      </w:r>
      <w:r w:rsidR="00247784">
        <w:t xml:space="preserve">, I </w:t>
      </w:r>
      <w:r w:rsidR="006067D0">
        <w:t>must</w:t>
      </w:r>
      <w:r w:rsidR="00247784">
        <w:t xml:space="preserve"> be persuaded by the excipients that the pleading is excipiable on every interpretation that can be </w:t>
      </w:r>
      <w:r w:rsidR="00297D20">
        <w:t xml:space="preserve">reasonably </w:t>
      </w:r>
      <w:r w:rsidR="00247784">
        <w:t>attached to it.</w:t>
      </w:r>
    </w:p>
    <w:p w14:paraId="653636C1" w14:textId="77777777" w:rsidR="00F80356" w:rsidRPr="004A2C39" w:rsidRDefault="00F80356" w:rsidP="004A2C39">
      <w:pPr>
        <w:spacing w:line="480" w:lineRule="auto"/>
        <w:jc w:val="both"/>
        <w:rPr>
          <w:i/>
          <w:u w:val="single"/>
          <w:lang w:val="en-GB"/>
        </w:rPr>
      </w:pPr>
    </w:p>
    <w:p w14:paraId="0D7E23F0" w14:textId="32ADA2C5" w:rsidR="00297D20" w:rsidRDefault="001605CE" w:rsidP="004275E4">
      <w:pPr>
        <w:pStyle w:val="ListParagraph"/>
        <w:spacing w:after="200" w:line="480" w:lineRule="auto"/>
        <w:ind w:left="0"/>
        <w:jc w:val="both"/>
        <w:rPr>
          <w:lang w:val="en-GB"/>
        </w:rPr>
      </w:pPr>
      <w:r>
        <w:rPr>
          <w:lang w:val="en-GB"/>
        </w:rPr>
        <w:t>[18</w:t>
      </w:r>
      <w:r w:rsidR="00317D3C" w:rsidRPr="002F496E">
        <w:rPr>
          <w:lang w:val="en-GB"/>
        </w:rPr>
        <w:t>]</w:t>
      </w:r>
      <w:r w:rsidR="00317D3C" w:rsidRPr="002F496E">
        <w:rPr>
          <w:lang w:val="en-GB"/>
        </w:rPr>
        <w:tab/>
      </w:r>
      <w:r w:rsidR="00265740">
        <w:rPr>
          <w:lang w:val="en-GB"/>
        </w:rPr>
        <w:t>The plaintiff’s claim</w:t>
      </w:r>
      <w:r w:rsidR="0030362F">
        <w:rPr>
          <w:lang w:val="en-GB"/>
        </w:rPr>
        <w:t xml:space="preserve"> against the defendant</w:t>
      </w:r>
      <w:r w:rsidR="00F76196">
        <w:rPr>
          <w:lang w:val="en-GB"/>
        </w:rPr>
        <w:t>s</w:t>
      </w:r>
      <w:r w:rsidR="0030362F">
        <w:rPr>
          <w:lang w:val="en-GB"/>
        </w:rPr>
        <w:t xml:space="preserve"> relates to</w:t>
      </w:r>
      <w:r w:rsidR="000600D8">
        <w:rPr>
          <w:lang w:val="en-GB"/>
        </w:rPr>
        <w:t xml:space="preserve"> a written credit agreement</w:t>
      </w:r>
      <w:r w:rsidR="00F76196">
        <w:rPr>
          <w:lang w:val="en-GB"/>
        </w:rPr>
        <w:t xml:space="preserve">, </w:t>
      </w:r>
      <w:r w:rsidR="00756BEB">
        <w:rPr>
          <w:lang w:val="en-GB"/>
        </w:rPr>
        <w:t xml:space="preserve">with </w:t>
      </w:r>
      <w:r w:rsidR="00F76196">
        <w:rPr>
          <w:lang w:val="en-GB"/>
        </w:rPr>
        <w:t>the first defendant being a juristic person.</w:t>
      </w:r>
      <w:r w:rsidR="00265740">
        <w:rPr>
          <w:lang w:val="en-GB"/>
        </w:rPr>
        <w:t xml:space="preserve"> </w:t>
      </w:r>
      <w:r w:rsidR="00756BEB">
        <w:rPr>
          <w:lang w:val="en-GB"/>
        </w:rPr>
        <w:t xml:space="preserve">According to the amended particulars of </w:t>
      </w:r>
      <w:r w:rsidR="004345FD">
        <w:rPr>
          <w:lang w:val="en-GB"/>
        </w:rPr>
        <w:t>claim,</w:t>
      </w:r>
      <w:r w:rsidR="0030362F">
        <w:rPr>
          <w:lang w:val="en-GB"/>
        </w:rPr>
        <w:t xml:space="preserve"> </w:t>
      </w:r>
      <w:r w:rsidR="00265740">
        <w:rPr>
          <w:lang w:val="en-GB"/>
        </w:rPr>
        <w:t>the defendants breached the term</w:t>
      </w:r>
      <w:r w:rsidR="000600D8">
        <w:rPr>
          <w:lang w:val="en-GB"/>
        </w:rPr>
        <w:t>s and conditions of the credit agreement</w:t>
      </w:r>
      <w:r w:rsidR="005C69CA">
        <w:rPr>
          <w:lang w:val="en-GB"/>
        </w:rPr>
        <w:t xml:space="preserve">, in that </w:t>
      </w:r>
      <w:r w:rsidR="00756BEB">
        <w:rPr>
          <w:lang w:val="en-GB"/>
        </w:rPr>
        <w:t>they failed to make payments on the agreed deadline</w:t>
      </w:r>
      <w:r w:rsidR="000600D8">
        <w:rPr>
          <w:lang w:val="en-GB"/>
        </w:rPr>
        <w:t xml:space="preserve"> which are clearly set out i</w:t>
      </w:r>
      <w:r w:rsidR="00C22123">
        <w:rPr>
          <w:lang w:val="en-GB"/>
        </w:rPr>
        <w:t>n the amended particulars of claim</w:t>
      </w:r>
      <w:r w:rsidR="00265740">
        <w:rPr>
          <w:lang w:val="en-GB"/>
        </w:rPr>
        <w:t xml:space="preserve">. </w:t>
      </w:r>
      <w:r w:rsidR="0030362F">
        <w:rPr>
          <w:lang w:val="en-GB"/>
        </w:rPr>
        <w:t>The plaintiff</w:t>
      </w:r>
      <w:r w:rsidR="00803F8F">
        <w:rPr>
          <w:lang w:val="en-GB"/>
        </w:rPr>
        <w:t xml:space="preserve"> </w:t>
      </w:r>
      <w:r w:rsidR="00756BEB">
        <w:rPr>
          <w:lang w:val="en-GB"/>
        </w:rPr>
        <w:t xml:space="preserve">contends </w:t>
      </w:r>
      <w:r w:rsidR="00803F8F">
        <w:rPr>
          <w:lang w:val="en-GB"/>
        </w:rPr>
        <w:t xml:space="preserve">that it complied with the provisions of the NCA despite there </w:t>
      </w:r>
      <w:r w:rsidR="00756BEB">
        <w:rPr>
          <w:lang w:val="en-GB"/>
        </w:rPr>
        <w:t xml:space="preserve">being </w:t>
      </w:r>
      <w:r w:rsidR="00803F8F">
        <w:rPr>
          <w:lang w:val="en-GB"/>
        </w:rPr>
        <w:t xml:space="preserve">no obligation to do so. </w:t>
      </w:r>
      <w:r w:rsidR="0034501C">
        <w:rPr>
          <w:lang w:val="en-GB"/>
        </w:rPr>
        <w:t>Although it is unnecessary to decide whether</w:t>
      </w:r>
      <w:r w:rsidR="00756BEB">
        <w:rPr>
          <w:lang w:val="en-GB"/>
        </w:rPr>
        <w:t xml:space="preserve">, </w:t>
      </w:r>
      <w:r w:rsidR="000600D8">
        <w:rPr>
          <w:lang w:val="en-GB"/>
        </w:rPr>
        <w:t>in terms of the credit agreement</w:t>
      </w:r>
      <w:r w:rsidR="00A06A71">
        <w:rPr>
          <w:lang w:val="en-GB"/>
        </w:rPr>
        <w:t>,</w:t>
      </w:r>
      <w:r w:rsidR="0034501C">
        <w:rPr>
          <w:lang w:val="en-GB"/>
        </w:rPr>
        <w:t xml:space="preserve"> the</w:t>
      </w:r>
      <w:r w:rsidR="00F42F96">
        <w:rPr>
          <w:lang w:val="en-GB"/>
        </w:rPr>
        <w:t xml:space="preserve"> provisions of section 129 of the NCA are </w:t>
      </w:r>
      <w:r w:rsidR="000600D8">
        <w:rPr>
          <w:lang w:val="en-GB"/>
        </w:rPr>
        <w:t>applicable or not and whether</w:t>
      </w:r>
      <w:r w:rsidR="00F42F96">
        <w:rPr>
          <w:lang w:val="en-GB"/>
        </w:rPr>
        <w:t xml:space="preserve"> the section 129 notice </w:t>
      </w:r>
      <w:r w:rsidR="00B01401">
        <w:rPr>
          <w:lang w:val="en-GB"/>
        </w:rPr>
        <w:t xml:space="preserve">was brought to the attention of the </w:t>
      </w:r>
      <w:r w:rsidR="005F4F3A">
        <w:rPr>
          <w:lang w:val="en-GB"/>
        </w:rPr>
        <w:t>second</w:t>
      </w:r>
      <w:r w:rsidR="0034501C">
        <w:rPr>
          <w:lang w:val="en-GB"/>
        </w:rPr>
        <w:t xml:space="preserve"> defendant, I </w:t>
      </w:r>
      <w:r w:rsidR="00756BEB">
        <w:rPr>
          <w:lang w:val="en-GB"/>
        </w:rPr>
        <w:t xml:space="preserve">will </w:t>
      </w:r>
      <w:r w:rsidR="00A06A71">
        <w:rPr>
          <w:lang w:val="en-GB"/>
        </w:rPr>
        <w:t xml:space="preserve">accept </w:t>
      </w:r>
      <w:r w:rsidR="0034501C">
        <w:rPr>
          <w:lang w:val="en-GB"/>
        </w:rPr>
        <w:t xml:space="preserve">as true that it was </w:t>
      </w:r>
      <w:r w:rsidR="00756BEB">
        <w:rPr>
          <w:lang w:val="en-GB"/>
        </w:rPr>
        <w:t xml:space="preserve">indeed </w:t>
      </w:r>
      <w:r w:rsidR="00B01401">
        <w:rPr>
          <w:lang w:val="en-GB"/>
        </w:rPr>
        <w:t>brought to his attention</w:t>
      </w:r>
      <w:r w:rsidR="005F4F3A">
        <w:rPr>
          <w:lang w:val="en-GB"/>
        </w:rPr>
        <w:t>.</w:t>
      </w:r>
      <w:r w:rsidR="0034501C">
        <w:rPr>
          <w:lang w:val="en-GB"/>
        </w:rPr>
        <w:t xml:space="preserve"> </w:t>
      </w:r>
      <w:r w:rsidR="005F4F3A">
        <w:rPr>
          <w:lang w:val="en-GB"/>
        </w:rPr>
        <w:t xml:space="preserve">The fact that the second defendant’s correct email address is </w:t>
      </w:r>
      <w:hyperlink r:id="rId12" w:history="1">
        <w:r w:rsidR="005F4F3A" w:rsidRPr="004A2C39">
          <w:rPr>
            <w:rStyle w:val="Hyperlink"/>
            <w:color w:val="auto"/>
            <w:lang w:val="en-GB"/>
          </w:rPr>
          <w:t>silvex399@webmail.co.za</w:t>
        </w:r>
      </w:hyperlink>
      <w:r w:rsidR="007A2E17" w:rsidRPr="004A2C39">
        <w:rPr>
          <w:color w:val="auto"/>
          <w:lang w:val="en-GB"/>
        </w:rPr>
        <w:t xml:space="preserve"> </w:t>
      </w:r>
      <w:r w:rsidR="007A2E17">
        <w:rPr>
          <w:lang w:val="en-GB"/>
        </w:rPr>
        <w:t>remains</w:t>
      </w:r>
      <w:r w:rsidR="005F4F3A">
        <w:rPr>
          <w:lang w:val="en-GB"/>
        </w:rPr>
        <w:t xml:space="preserve"> uncontroverted.</w:t>
      </w:r>
    </w:p>
    <w:p w14:paraId="24630970" w14:textId="77777777" w:rsidR="00F76196" w:rsidRDefault="00F76196" w:rsidP="004275E4">
      <w:pPr>
        <w:pStyle w:val="ListParagraph"/>
        <w:spacing w:after="200" w:line="480" w:lineRule="auto"/>
        <w:ind w:left="0"/>
        <w:jc w:val="both"/>
        <w:rPr>
          <w:lang w:val="en-GB"/>
        </w:rPr>
      </w:pPr>
    </w:p>
    <w:p w14:paraId="5AF4265C" w14:textId="1BA44587" w:rsidR="00917735" w:rsidRDefault="00F76196" w:rsidP="004275E4">
      <w:pPr>
        <w:pStyle w:val="ListParagraph"/>
        <w:spacing w:after="200" w:line="480" w:lineRule="auto"/>
        <w:ind w:left="0"/>
        <w:jc w:val="both"/>
        <w:rPr>
          <w:lang w:val="en-GB"/>
        </w:rPr>
      </w:pPr>
      <w:r>
        <w:rPr>
          <w:lang w:val="en-GB"/>
        </w:rPr>
        <w:t>[19]</w:t>
      </w:r>
      <w:r w:rsidR="00297D20">
        <w:rPr>
          <w:lang w:val="en-GB"/>
        </w:rPr>
        <w:tab/>
      </w:r>
      <w:r w:rsidR="00803F8F">
        <w:rPr>
          <w:lang w:val="en-GB"/>
        </w:rPr>
        <w:t xml:space="preserve">The allegations </w:t>
      </w:r>
      <w:r w:rsidR="00B01401">
        <w:rPr>
          <w:lang w:val="en-GB"/>
        </w:rPr>
        <w:t>of non</w:t>
      </w:r>
      <w:r w:rsidR="00803F8F">
        <w:rPr>
          <w:lang w:val="en-GB"/>
        </w:rPr>
        <w:t xml:space="preserve">-compliance </w:t>
      </w:r>
      <w:r w:rsidR="008F19A5">
        <w:rPr>
          <w:lang w:val="en-GB"/>
        </w:rPr>
        <w:t>with the</w:t>
      </w:r>
      <w:r w:rsidR="0030362F">
        <w:rPr>
          <w:lang w:val="en-GB"/>
        </w:rPr>
        <w:t xml:space="preserve"> </w:t>
      </w:r>
      <w:r w:rsidR="008F19A5">
        <w:rPr>
          <w:lang w:val="en-GB"/>
        </w:rPr>
        <w:t xml:space="preserve">NCA are </w:t>
      </w:r>
      <w:r w:rsidR="00756BEB">
        <w:rPr>
          <w:lang w:val="en-GB"/>
        </w:rPr>
        <w:t xml:space="preserve">intertwined </w:t>
      </w:r>
      <w:r w:rsidR="008F19A5">
        <w:rPr>
          <w:lang w:val="en-GB"/>
        </w:rPr>
        <w:t>with</w:t>
      </w:r>
      <w:r w:rsidR="005C69CA">
        <w:rPr>
          <w:lang w:val="en-GB"/>
        </w:rPr>
        <w:t xml:space="preserve"> the </w:t>
      </w:r>
      <w:r w:rsidR="00756BEB">
        <w:rPr>
          <w:lang w:val="en-GB"/>
        </w:rPr>
        <w:t xml:space="preserve">nature </w:t>
      </w:r>
      <w:r w:rsidR="005C69CA">
        <w:rPr>
          <w:lang w:val="en-GB"/>
        </w:rPr>
        <w:t xml:space="preserve">of </w:t>
      </w:r>
      <w:r w:rsidR="00FE06D7">
        <w:rPr>
          <w:lang w:val="en-GB"/>
        </w:rPr>
        <w:t xml:space="preserve">the </w:t>
      </w:r>
      <w:r w:rsidR="000600D8">
        <w:rPr>
          <w:lang w:val="en-GB"/>
        </w:rPr>
        <w:t>credit agreement</w:t>
      </w:r>
      <w:r w:rsidR="005C69CA">
        <w:rPr>
          <w:lang w:val="en-GB"/>
        </w:rPr>
        <w:t xml:space="preserve"> that exists between the parties</w:t>
      </w:r>
      <w:r w:rsidR="008F19A5">
        <w:rPr>
          <w:lang w:val="en-GB"/>
        </w:rPr>
        <w:t xml:space="preserve">, in that, </w:t>
      </w:r>
      <w:r w:rsidR="00472EE5">
        <w:rPr>
          <w:lang w:val="en-GB"/>
        </w:rPr>
        <w:t>the p</w:t>
      </w:r>
      <w:r w:rsidR="000600D8">
        <w:rPr>
          <w:lang w:val="en-GB"/>
        </w:rPr>
        <w:t>laintiff avers that the credit agreement</w:t>
      </w:r>
      <w:r w:rsidR="00472EE5">
        <w:rPr>
          <w:lang w:val="en-GB"/>
        </w:rPr>
        <w:t xml:space="preserve"> falls outside the NCA</w:t>
      </w:r>
      <w:r w:rsidR="00803F8F">
        <w:rPr>
          <w:lang w:val="en-GB"/>
        </w:rPr>
        <w:t xml:space="preserve">. </w:t>
      </w:r>
      <w:r w:rsidR="000C72D9">
        <w:rPr>
          <w:lang w:val="en-GB"/>
        </w:rPr>
        <w:t>While the</w:t>
      </w:r>
      <w:r w:rsidR="000600D8">
        <w:rPr>
          <w:lang w:val="en-GB"/>
        </w:rPr>
        <w:t xml:space="preserve"> written credit</w:t>
      </w:r>
      <w:r w:rsidR="000C72D9">
        <w:rPr>
          <w:lang w:val="en-GB"/>
        </w:rPr>
        <w:t xml:space="preserve"> agreement referred to at page 22 of the index bundle is titled </w:t>
      </w:r>
      <w:r w:rsidR="000C72D9" w:rsidRPr="0030362F">
        <w:rPr>
          <w:b/>
          <w:sz w:val="20"/>
          <w:szCs w:val="20"/>
          <w:u w:val="single"/>
          <w:lang w:val="en-GB"/>
        </w:rPr>
        <w:t>‘PRE-AGREEMENT STATEMENT FOR INSTALMENT SALE OUTSIDE THE NCA’</w:t>
      </w:r>
      <w:r w:rsidR="000C72D9">
        <w:rPr>
          <w:lang w:val="en-GB"/>
        </w:rPr>
        <w:t>, it is not the duty of this court to pronounce on whether the</w:t>
      </w:r>
      <w:r w:rsidR="000600D8">
        <w:rPr>
          <w:lang w:val="en-GB"/>
        </w:rPr>
        <w:t xml:space="preserve"> credit</w:t>
      </w:r>
      <w:r w:rsidR="000C72D9">
        <w:rPr>
          <w:lang w:val="en-GB"/>
        </w:rPr>
        <w:t xml:space="preserve"> agreement falls within or outside the NCA as envisaged in terms of section 4(1) of the NCA.</w:t>
      </w:r>
      <w:r w:rsidRPr="00F76196">
        <w:rPr>
          <w:lang w:val="en-GB"/>
        </w:rPr>
        <w:t xml:space="preserve"> </w:t>
      </w:r>
      <w:r>
        <w:rPr>
          <w:lang w:val="en-GB"/>
        </w:rPr>
        <w:t>While it is further noted that this fact was not seriously disputed by the defendants, it is submitted that it could be re-argued during the trial proceedings.</w:t>
      </w:r>
      <w:r w:rsidR="00917735" w:rsidRPr="00917735">
        <w:rPr>
          <w:lang w:val="en-GB"/>
        </w:rPr>
        <w:t xml:space="preserve"> </w:t>
      </w:r>
      <w:r w:rsidR="00917735">
        <w:rPr>
          <w:lang w:val="en-GB"/>
        </w:rPr>
        <w:t xml:space="preserve">In my considered view, it would be unfair to both parties, for this court to </w:t>
      </w:r>
      <w:r w:rsidR="005C69CA">
        <w:rPr>
          <w:lang w:val="en-GB"/>
        </w:rPr>
        <w:t xml:space="preserve">classify and interpret </w:t>
      </w:r>
      <w:r w:rsidR="000600D8">
        <w:rPr>
          <w:lang w:val="en-GB"/>
        </w:rPr>
        <w:t>the credit agreement</w:t>
      </w:r>
      <w:r w:rsidR="00917735">
        <w:rPr>
          <w:lang w:val="en-GB"/>
        </w:rPr>
        <w:t xml:space="preserve"> by way of an exception.</w:t>
      </w:r>
    </w:p>
    <w:p w14:paraId="130EB8B4" w14:textId="77777777" w:rsidR="00917735" w:rsidRDefault="00917735" w:rsidP="004275E4">
      <w:pPr>
        <w:pStyle w:val="ListParagraph"/>
        <w:spacing w:after="200" w:line="480" w:lineRule="auto"/>
        <w:ind w:left="0"/>
        <w:jc w:val="both"/>
        <w:rPr>
          <w:lang w:val="en-GB"/>
        </w:rPr>
      </w:pPr>
    </w:p>
    <w:p w14:paraId="7D2C5DCD" w14:textId="51D48647" w:rsidR="00D452B3" w:rsidRDefault="00472EE5" w:rsidP="004275E4">
      <w:pPr>
        <w:pStyle w:val="ListParagraph"/>
        <w:spacing w:after="200" w:line="480" w:lineRule="auto"/>
        <w:ind w:left="0"/>
        <w:jc w:val="both"/>
        <w:rPr>
          <w:color w:val="auto"/>
        </w:rPr>
      </w:pPr>
      <w:r>
        <w:rPr>
          <w:lang w:val="en-GB"/>
        </w:rPr>
        <w:t xml:space="preserve"> </w:t>
      </w:r>
      <w:r w:rsidR="00917735">
        <w:rPr>
          <w:lang w:val="en-GB"/>
        </w:rPr>
        <w:t>[20</w:t>
      </w:r>
      <w:r w:rsidR="000600D8">
        <w:rPr>
          <w:lang w:val="en-GB"/>
        </w:rPr>
        <w:t>]</w:t>
      </w:r>
      <w:r w:rsidR="00297D20">
        <w:rPr>
          <w:lang w:val="en-GB"/>
        </w:rPr>
        <w:tab/>
      </w:r>
      <w:r w:rsidR="006678AF">
        <w:rPr>
          <w:lang w:val="en-GB"/>
        </w:rPr>
        <w:t xml:space="preserve">The argument positing that the plaintiff’s claim </w:t>
      </w:r>
      <w:r w:rsidR="00B01401">
        <w:rPr>
          <w:lang w:val="en-GB"/>
        </w:rPr>
        <w:t>is bad in law is unsustainable.</w:t>
      </w:r>
      <w:r w:rsidR="00297D20">
        <w:rPr>
          <w:lang w:val="en-GB"/>
        </w:rPr>
        <w:t xml:space="preserve"> </w:t>
      </w:r>
      <w:r w:rsidR="006931C5">
        <w:t xml:space="preserve">The rules do not </w:t>
      </w:r>
      <w:r w:rsidR="006678AF">
        <w:t>ma</w:t>
      </w:r>
      <w:r w:rsidR="00B01401">
        <w:t>n</w:t>
      </w:r>
      <w:r w:rsidR="006678AF">
        <w:t xml:space="preserve">date </w:t>
      </w:r>
      <w:r w:rsidR="006931C5">
        <w:t xml:space="preserve">that pleadings be drawn in perfect language, but the </w:t>
      </w:r>
      <w:r w:rsidR="006931C5">
        <w:lastRenderedPageBreak/>
        <w:t xml:space="preserve">allegations of the parties should be </w:t>
      </w:r>
      <w:r w:rsidR="00E80D7C">
        <w:t>identifiable</w:t>
      </w:r>
      <w:r w:rsidR="00F76196">
        <w:rPr>
          <w:color w:val="auto"/>
        </w:rPr>
        <w:t xml:space="preserve">. </w:t>
      </w:r>
      <w:r w:rsidR="00FE06D7">
        <w:rPr>
          <w:color w:val="auto"/>
        </w:rPr>
        <w:t>The</w:t>
      </w:r>
      <w:r w:rsidR="00D452B3">
        <w:rPr>
          <w:color w:val="auto"/>
        </w:rPr>
        <w:t xml:space="preserve"> plaintiff has set out the conclusive</w:t>
      </w:r>
      <w:r w:rsidR="00FE06D7">
        <w:rPr>
          <w:color w:val="auto"/>
        </w:rPr>
        <w:t xml:space="preserve"> terms</w:t>
      </w:r>
      <w:r w:rsidR="00C22123">
        <w:rPr>
          <w:color w:val="auto"/>
        </w:rPr>
        <w:t xml:space="preserve"> and conditions</w:t>
      </w:r>
      <w:r w:rsidR="000600D8">
        <w:rPr>
          <w:color w:val="auto"/>
        </w:rPr>
        <w:t xml:space="preserve"> of the credit agreement</w:t>
      </w:r>
      <w:r w:rsidR="00FE06D7">
        <w:rPr>
          <w:color w:val="auto"/>
        </w:rPr>
        <w:t xml:space="preserve"> and the defendants’ breach without any ambiguity. </w:t>
      </w:r>
      <w:r w:rsidR="006678AF">
        <w:rPr>
          <w:color w:val="auto"/>
        </w:rPr>
        <w:t xml:space="preserve">As a </w:t>
      </w:r>
      <w:r w:rsidR="00FE06D7">
        <w:rPr>
          <w:color w:val="auto"/>
        </w:rPr>
        <w:t xml:space="preserve">consequence of the breach, the plaintiff has suffered damages </w:t>
      </w:r>
      <w:r w:rsidR="006678AF">
        <w:rPr>
          <w:color w:val="auto"/>
        </w:rPr>
        <w:t xml:space="preserve">outlined </w:t>
      </w:r>
      <w:r w:rsidR="00FE06D7">
        <w:rPr>
          <w:color w:val="auto"/>
        </w:rPr>
        <w:t xml:space="preserve">in the amended particulars of claim. </w:t>
      </w:r>
    </w:p>
    <w:p w14:paraId="649CC729" w14:textId="77777777" w:rsidR="00D452B3" w:rsidRDefault="00D452B3" w:rsidP="004275E4">
      <w:pPr>
        <w:pStyle w:val="ListParagraph"/>
        <w:spacing w:after="200" w:line="480" w:lineRule="auto"/>
        <w:ind w:left="0"/>
        <w:jc w:val="both"/>
        <w:rPr>
          <w:color w:val="auto"/>
        </w:rPr>
      </w:pPr>
    </w:p>
    <w:p w14:paraId="721FAEBA" w14:textId="70893132" w:rsidR="00297D20" w:rsidRPr="00472EE5" w:rsidRDefault="00D452B3" w:rsidP="004275E4">
      <w:pPr>
        <w:pStyle w:val="ListParagraph"/>
        <w:spacing w:after="200" w:line="480" w:lineRule="auto"/>
        <w:ind w:left="0"/>
        <w:jc w:val="both"/>
        <w:rPr>
          <w:color w:val="auto"/>
          <w:sz w:val="20"/>
          <w:szCs w:val="20"/>
        </w:rPr>
      </w:pPr>
      <w:r>
        <w:rPr>
          <w:color w:val="auto"/>
        </w:rPr>
        <w:t>[21]</w:t>
      </w:r>
      <w:r w:rsidR="00297D20">
        <w:rPr>
          <w:color w:val="auto"/>
        </w:rPr>
        <w:tab/>
      </w:r>
      <w:r>
        <w:rPr>
          <w:lang w:val="en-GB"/>
        </w:rPr>
        <w:t xml:space="preserve">After consideration, I find that the amended particulars of claim </w:t>
      </w:r>
      <w:r w:rsidRPr="00472EE5">
        <w:rPr>
          <w:color w:val="auto"/>
        </w:rPr>
        <w:t>contain a clear and concise statement of the material facts</w:t>
      </w:r>
      <w:r>
        <w:rPr>
          <w:color w:val="auto"/>
        </w:rPr>
        <w:t xml:space="preserve"> </w:t>
      </w:r>
      <w:r w:rsidRPr="00472EE5">
        <w:rPr>
          <w:color w:val="auto"/>
        </w:rPr>
        <w:t>upon which the plaintiff relies for his claim</w:t>
      </w:r>
      <w:r>
        <w:rPr>
          <w:color w:val="auto"/>
        </w:rPr>
        <w:t>.  T</w:t>
      </w:r>
      <w:r w:rsidR="007042C4">
        <w:rPr>
          <w:color w:val="auto"/>
        </w:rPr>
        <w:t xml:space="preserve">he </w:t>
      </w:r>
      <w:r w:rsidR="00534A42">
        <w:rPr>
          <w:color w:val="auto"/>
        </w:rPr>
        <w:t>substance of the allegations is</w:t>
      </w:r>
      <w:r w:rsidR="007042C4">
        <w:rPr>
          <w:color w:val="auto"/>
        </w:rPr>
        <w:t xml:space="preserve"> such that </w:t>
      </w:r>
      <w:r w:rsidR="00F76196">
        <w:rPr>
          <w:color w:val="auto"/>
        </w:rPr>
        <w:t>the defe</w:t>
      </w:r>
      <w:r w:rsidR="00534A42">
        <w:rPr>
          <w:color w:val="auto"/>
        </w:rPr>
        <w:t xml:space="preserve">ndants </w:t>
      </w:r>
      <w:r w:rsidR="006678AF">
        <w:rPr>
          <w:color w:val="auto"/>
        </w:rPr>
        <w:t>must</w:t>
      </w:r>
      <w:r w:rsidR="00F76196">
        <w:rPr>
          <w:color w:val="auto"/>
        </w:rPr>
        <w:t xml:space="preserve"> know</w:t>
      </w:r>
      <w:r w:rsidR="00534A42">
        <w:rPr>
          <w:color w:val="auto"/>
        </w:rPr>
        <w:t xml:space="preserve"> whether they are in breach of the term</w:t>
      </w:r>
      <w:r w:rsidR="000600D8">
        <w:rPr>
          <w:color w:val="auto"/>
        </w:rPr>
        <w:t>s and conditions of the credit agreement</w:t>
      </w:r>
      <w:r w:rsidR="00534A42">
        <w:rPr>
          <w:color w:val="auto"/>
        </w:rPr>
        <w:t xml:space="preserve"> or</w:t>
      </w:r>
      <w:r w:rsidR="00F76196">
        <w:rPr>
          <w:color w:val="auto"/>
        </w:rPr>
        <w:t xml:space="preserve"> not.</w:t>
      </w:r>
      <w:r w:rsidR="00D1468F">
        <w:rPr>
          <w:color w:val="auto"/>
        </w:rPr>
        <w:t xml:space="preserve"> I endorse the </w:t>
      </w:r>
      <w:r w:rsidR="008F19A5">
        <w:rPr>
          <w:color w:val="auto"/>
        </w:rPr>
        <w:t>principle</w:t>
      </w:r>
      <w:r w:rsidR="00C41686">
        <w:rPr>
          <w:color w:val="auto"/>
        </w:rPr>
        <w:t xml:space="preserve"> distilled in </w:t>
      </w:r>
      <w:r w:rsidR="00C41686" w:rsidRPr="00C41686">
        <w:rPr>
          <w:i/>
          <w:color w:val="auto"/>
        </w:rPr>
        <w:t xml:space="preserve">Living </w:t>
      </w:r>
      <w:r w:rsidR="00297D20">
        <w:rPr>
          <w:i/>
          <w:color w:val="auto"/>
        </w:rPr>
        <w:t>H</w:t>
      </w:r>
      <w:r w:rsidR="00297D20" w:rsidRPr="00C41686">
        <w:rPr>
          <w:i/>
          <w:color w:val="auto"/>
        </w:rPr>
        <w:t xml:space="preserve">ands’s </w:t>
      </w:r>
      <w:r w:rsidR="00C41686" w:rsidRPr="00C41686">
        <w:rPr>
          <w:i/>
          <w:color w:val="auto"/>
        </w:rPr>
        <w:t>case supra</w:t>
      </w:r>
      <w:r w:rsidR="008F19A5">
        <w:rPr>
          <w:color w:val="auto"/>
        </w:rPr>
        <w:t xml:space="preserve"> that the minor obscurities</w:t>
      </w:r>
      <w:r w:rsidR="00FD35D5">
        <w:rPr>
          <w:color w:val="auto"/>
        </w:rPr>
        <w:t>, if any,</w:t>
      </w:r>
      <w:r w:rsidR="00D1468F">
        <w:rPr>
          <w:color w:val="auto"/>
        </w:rPr>
        <w:t xml:space="preserve"> may be cleared up by way of </w:t>
      </w:r>
      <w:r w:rsidR="00CD70FC">
        <w:rPr>
          <w:color w:val="auto"/>
        </w:rPr>
        <w:t xml:space="preserve">the </w:t>
      </w:r>
      <w:r w:rsidR="00D1468F">
        <w:rPr>
          <w:color w:val="auto"/>
        </w:rPr>
        <w:t>request for further particulars.</w:t>
      </w:r>
      <w:r w:rsidR="00C41686">
        <w:rPr>
          <w:color w:val="auto"/>
        </w:rPr>
        <w:t xml:space="preserve"> In conclusion, the defendants have failed to prove </w:t>
      </w:r>
      <w:r w:rsidR="00C41686">
        <w:rPr>
          <w:lang w:val="en-GB"/>
        </w:rPr>
        <w:t>on a balance of probabilities that they are embarrassed by the plaintiff’s amended particulars of claim</w:t>
      </w:r>
      <w:r w:rsidR="00917735">
        <w:rPr>
          <w:lang w:val="en-GB"/>
        </w:rPr>
        <w:t xml:space="preserve">. </w:t>
      </w:r>
      <w:r w:rsidR="006678AF">
        <w:rPr>
          <w:lang w:val="en-GB"/>
        </w:rPr>
        <w:t>Therefore</w:t>
      </w:r>
      <w:r w:rsidR="002E7299">
        <w:rPr>
          <w:lang w:val="en-GB"/>
        </w:rPr>
        <w:t>, no prejudice could be identified</w:t>
      </w:r>
      <w:r w:rsidR="00C41686">
        <w:rPr>
          <w:lang w:val="en-GB"/>
        </w:rPr>
        <w:t xml:space="preserve">. </w:t>
      </w:r>
    </w:p>
    <w:p w14:paraId="6E3284EA" w14:textId="77777777" w:rsidR="006B3925" w:rsidRPr="00297D20" w:rsidRDefault="006B3925" w:rsidP="004275E4">
      <w:pPr>
        <w:pStyle w:val="ListParagraph"/>
        <w:spacing w:after="200" w:line="480" w:lineRule="auto"/>
        <w:ind w:left="0"/>
        <w:jc w:val="both"/>
      </w:pPr>
    </w:p>
    <w:p w14:paraId="0D665CEC" w14:textId="2D850B28" w:rsidR="007818A6" w:rsidRPr="004275E4" w:rsidRDefault="007818A6" w:rsidP="004275E4">
      <w:pPr>
        <w:spacing w:line="480" w:lineRule="auto"/>
        <w:jc w:val="both"/>
        <w:rPr>
          <w:b/>
          <w:bCs/>
          <w:color w:val="111111"/>
          <w:u w:val="single"/>
        </w:rPr>
      </w:pPr>
      <w:r w:rsidRPr="004275E4">
        <w:rPr>
          <w:b/>
          <w:bCs/>
          <w:color w:val="111111"/>
          <w:u w:val="single"/>
        </w:rPr>
        <w:t>Order</w:t>
      </w:r>
    </w:p>
    <w:p w14:paraId="2B077053" w14:textId="77777777" w:rsidR="007818A6" w:rsidRPr="002F496E" w:rsidRDefault="007818A6" w:rsidP="004275E4">
      <w:pPr>
        <w:spacing w:line="480" w:lineRule="auto"/>
        <w:ind w:left="360"/>
        <w:jc w:val="both"/>
        <w:rPr>
          <w:color w:val="111111"/>
          <w:u w:val="single"/>
        </w:rPr>
      </w:pPr>
    </w:p>
    <w:p w14:paraId="576CE888" w14:textId="56644FC7" w:rsidR="0061082D" w:rsidRPr="001B3810" w:rsidRDefault="008F19A5" w:rsidP="004275E4">
      <w:pPr>
        <w:spacing w:line="480" w:lineRule="auto"/>
        <w:jc w:val="both"/>
        <w:rPr>
          <w:color w:val="111111"/>
          <w:u w:val="single"/>
        </w:rPr>
      </w:pPr>
      <w:r>
        <w:rPr>
          <w:color w:val="111111"/>
        </w:rPr>
        <w:t>[</w:t>
      </w:r>
      <w:r w:rsidR="00917735">
        <w:rPr>
          <w:color w:val="111111"/>
        </w:rPr>
        <w:t>2</w:t>
      </w:r>
      <w:r w:rsidR="00E80D7C">
        <w:rPr>
          <w:color w:val="111111"/>
        </w:rPr>
        <w:t>2</w:t>
      </w:r>
      <w:r w:rsidR="00316065" w:rsidRPr="002F496E">
        <w:rPr>
          <w:color w:val="111111"/>
        </w:rPr>
        <w:t>]</w:t>
      </w:r>
      <w:r w:rsidR="00316065" w:rsidRPr="002F496E">
        <w:rPr>
          <w:color w:val="111111"/>
        </w:rPr>
        <w:tab/>
      </w:r>
      <w:r>
        <w:rPr>
          <w:color w:val="111111"/>
        </w:rPr>
        <w:t>The exception is</w:t>
      </w:r>
      <w:r w:rsidR="0061082D" w:rsidRPr="001B3810">
        <w:rPr>
          <w:color w:val="111111"/>
        </w:rPr>
        <w:t xml:space="preserve"> dismissed with costs.</w:t>
      </w:r>
    </w:p>
    <w:p w14:paraId="08219515" w14:textId="77777777" w:rsidR="00034927" w:rsidRPr="002F496E" w:rsidRDefault="00034927" w:rsidP="004275E4">
      <w:pPr>
        <w:spacing w:line="480" w:lineRule="auto"/>
        <w:jc w:val="both"/>
        <w:rPr>
          <w:color w:val="111111"/>
          <w:u w:val="single"/>
        </w:rPr>
      </w:pPr>
    </w:p>
    <w:p w14:paraId="52582F4B" w14:textId="77777777" w:rsidR="00C12FD8" w:rsidRPr="002F496E" w:rsidRDefault="00C12FD8" w:rsidP="004275E4">
      <w:pPr>
        <w:spacing w:line="480" w:lineRule="auto"/>
        <w:jc w:val="both"/>
        <w:rPr>
          <w:b/>
          <w:color w:val="111111"/>
        </w:rPr>
      </w:pPr>
    </w:p>
    <w:p w14:paraId="7E70DF65" w14:textId="1B16BCDD" w:rsidR="00C12FD8" w:rsidRPr="001B3810" w:rsidRDefault="00C12FD8" w:rsidP="004275E4">
      <w:pPr>
        <w:spacing w:line="480" w:lineRule="auto"/>
        <w:jc w:val="both"/>
        <w:rPr>
          <w:b/>
          <w:color w:val="111111"/>
        </w:rPr>
      </w:pPr>
      <w:r w:rsidRPr="001B3810">
        <w:rPr>
          <w:b/>
          <w:color w:val="111111"/>
        </w:rPr>
        <w:t>_________________________________</w:t>
      </w:r>
    </w:p>
    <w:p w14:paraId="0B60FAC8" w14:textId="3E2A7901" w:rsidR="00034927" w:rsidRPr="001B3810" w:rsidRDefault="00034927" w:rsidP="004275E4">
      <w:pPr>
        <w:spacing w:line="480" w:lineRule="auto"/>
        <w:jc w:val="both"/>
        <w:rPr>
          <w:b/>
          <w:color w:val="111111"/>
        </w:rPr>
      </w:pPr>
      <w:r w:rsidRPr="001B3810">
        <w:rPr>
          <w:b/>
          <w:color w:val="111111"/>
        </w:rPr>
        <w:t>N CENGANI-MBAKAZA</w:t>
      </w:r>
    </w:p>
    <w:p w14:paraId="5BE14460" w14:textId="39E65F6C" w:rsidR="00297D20" w:rsidRDefault="00034927" w:rsidP="004275E4">
      <w:pPr>
        <w:spacing w:line="480" w:lineRule="auto"/>
        <w:jc w:val="both"/>
        <w:rPr>
          <w:rFonts w:eastAsia="SimSun"/>
          <w:b/>
          <w:color w:val="auto"/>
          <w:w w:val="104"/>
          <w:lang w:eastAsia="zh-CN"/>
        </w:rPr>
      </w:pPr>
      <w:r w:rsidRPr="001B3810">
        <w:rPr>
          <w:b/>
          <w:color w:val="111111"/>
        </w:rPr>
        <w:t>ACTING JUDGE OF THE HIGH COURT</w:t>
      </w:r>
      <w:r w:rsidR="00C41686">
        <w:rPr>
          <w:b/>
          <w:color w:val="111111"/>
        </w:rPr>
        <w:t xml:space="preserve"> OF SOUTH AFRICA</w:t>
      </w:r>
    </w:p>
    <w:p w14:paraId="40B27A06" w14:textId="2CB2AE86" w:rsidR="00C12FD8" w:rsidRPr="002F496E" w:rsidRDefault="00C12FD8" w:rsidP="004275E4">
      <w:pPr>
        <w:spacing w:before="240" w:after="120" w:line="480" w:lineRule="auto"/>
        <w:jc w:val="both"/>
        <w:rPr>
          <w:lang w:val="en-GB"/>
        </w:rPr>
      </w:pPr>
      <w:r w:rsidRPr="002F496E">
        <w:rPr>
          <w:rFonts w:eastAsia="SimSun"/>
          <w:b/>
          <w:color w:val="auto"/>
          <w:w w:val="104"/>
          <w:lang w:eastAsia="zh-CN"/>
        </w:rPr>
        <w:t>APPEARANCES:</w:t>
      </w:r>
    </w:p>
    <w:p w14:paraId="1A001E03" w14:textId="77777777" w:rsidR="00C12FD8" w:rsidRPr="002F496E" w:rsidRDefault="00C12FD8" w:rsidP="004275E4">
      <w:pPr>
        <w:spacing w:line="480" w:lineRule="auto"/>
        <w:jc w:val="both"/>
        <w:rPr>
          <w:lang w:val="en-GB"/>
        </w:rPr>
      </w:pPr>
    </w:p>
    <w:p w14:paraId="118C06CD" w14:textId="55E7894D" w:rsidR="00C12FD8" w:rsidRDefault="008F19A5" w:rsidP="004275E4">
      <w:pPr>
        <w:spacing w:line="480" w:lineRule="auto"/>
        <w:jc w:val="both"/>
        <w:rPr>
          <w:lang w:val="en-GB"/>
        </w:rPr>
      </w:pPr>
      <w:r>
        <w:rPr>
          <w:lang w:val="en-GB"/>
        </w:rPr>
        <w:lastRenderedPageBreak/>
        <w:t>F</w:t>
      </w:r>
      <w:r w:rsidR="00C12FD8" w:rsidRPr="002F496E">
        <w:rPr>
          <w:lang w:val="en-GB"/>
        </w:rPr>
        <w:t>or the plaintiff</w:t>
      </w:r>
      <w:r w:rsidR="00C12FD8" w:rsidRPr="002F496E">
        <w:rPr>
          <w:lang w:val="en-GB"/>
        </w:rPr>
        <w:tab/>
      </w:r>
      <w:r w:rsidR="00C12FD8" w:rsidRPr="002F496E">
        <w:rPr>
          <w:lang w:val="en-GB"/>
        </w:rPr>
        <w:tab/>
      </w:r>
      <w:r w:rsidR="00C12FD8" w:rsidRPr="002F496E">
        <w:rPr>
          <w:lang w:val="en-GB"/>
        </w:rPr>
        <w:tab/>
      </w:r>
      <w:r w:rsidR="00297D20">
        <w:rPr>
          <w:lang w:val="en-GB"/>
        </w:rPr>
        <w:tab/>
      </w:r>
      <w:r w:rsidR="00C12FD8" w:rsidRPr="002F496E">
        <w:rPr>
          <w:lang w:val="en-GB"/>
        </w:rPr>
        <w:t>:</w:t>
      </w:r>
      <w:r w:rsidR="004A2C39">
        <w:rPr>
          <w:lang w:val="en-GB"/>
        </w:rPr>
        <w:tab/>
      </w:r>
      <w:r w:rsidR="00F82FF4">
        <w:rPr>
          <w:lang w:val="en-GB"/>
        </w:rPr>
        <w:t>D</w:t>
      </w:r>
      <w:r>
        <w:rPr>
          <w:lang w:val="en-GB"/>
        </w:rPr>
        <w:t>ON MAREE ATTORNEYS</w:t>
      </w:r>
    </w:p>
    <w:p w14:paraId="2DEEE53E" w14:textId="2E8B2B5C" w:rsidR="008F19A5" w:rsidRDefault="008F19A5" w:rsidP="004A2C39">
      <w:pPr>
        <w:spacing w:line="480" w:lineRule="auto"/>
        <w:ind w:left="4320" w:firstLine="720"/>
        <w:jc w:val="both"/>
        <w:rPr>
          <w:lang w:val="en-GB"/>
        </w:rPr>
      </w:pPr>
      <w:r>
        <w:rPr>
          <w:lang w:val="en-GB"/>
        </w:rPr>
        <w:t>Plaintiff’s Attorneys</w:t>
      </w:r>
    </w:p>
    <w:p w14:paraId="78CABB30" w14:textId="2C0B40D7" w:rsidR="008F19A5" w:rsidRDefault="008F19A5" w:rsidP="004A2C39">
      <w:pPr>
        <w:spacing w:line="480" w:lineRule="auto"/>
        <w:ind w:left="4320" w:firstLine="720"/>
        <w:jc w:val="both"/>
        <w:rPr>
          <w:lang w:val="en-GB"/>
        </w:rPr>
      </w:pPr>
      <w:r>
        <w:rPr>
          <w:lang w:val="en-GB"/>
        </w:rPr>
        <w:t>Tecoma Street, Bearea</w:t>
      </w:r>
    </w:p>
    <w:p w14:paraId="0BCD1C9B" w14:textId="46C33878" w:rsidR="008F19A5" w:rsidRDefault="00F82FF4" w:rsidP="004A2C39">
      <w:pPr>
        <w:spacing w:line="480" w:lineRule="auto"/>
        <w:ind w:left="4320" w:firstLine="720"/>
        <w:jc w:val="both"/>
        <w:rPr>
          <w:lang w:val="en-GB"/>
        </w:rPr>
      </w:pPr>
      <w:r>
        <w:rPr>
          <w:lang w:val="en-GB"/>
        </w:rPr>
        <w:t>E</w:t>
      </w:r>
      <w:r w:rsidR="008F19A5">
        <w:rPr>
          <w:lang w:val="en-GB"/>
        </w:rPr>
        <w:t>AST LONDON</w:t>
      </w:r>
    </w:p>
    <w:p w14:paraId="0413F0A0" w14:textId="511E6063" w:rsidR="008F19A5" w:rsidRDefault="00B55D76" w:rsidP="004A2C39">
      <w:pPr>
        <w:spacing w:line="480" w:lineRule="auto"/>
        <w:ind w:left="4320" w:firstLine="720"/>
        <w:jc w:val="both"/>
        <w:rPr>
          <w:lang w:val="en-GB"/>
        </w:rPr>
      </w:pPr>
      <w:hyperlink r:id="rId13" w:history="1">
        <w:r w:rsidR="004A2C39" w:rsidRPr="004A2C39">
          <w:rPr>
            <w:rStyle w:val="Hyperlink"/>
            <w:lang w:val="en-GB"/>
          </w:rPr>
          <w:t>E-mail@donmaree.co.za</w:t>
        </w:r>
      </w:hyperlink>
    </w:p>
    <w:p w14:paraId="0B39DAA1" w14:textId="4D07B951" w:rsidR="004A2C39" w:rsidRDefault="00D8074E" w:rsidP="004A2C39">
      <w:pPr>
        <w:spacing w:line="480" w:lineRule="auto"/>
        <w:ind w:left="5040"/>
        <w:jc w:val="both"/>
        <w:rPr>
          <w:lang w:val="en-GB"/>
        </w:rPr>
      </w:pPr>
      <w:r>
        <w:rPr>
          <w:lang w:val="en-GB"/>
        </w:rPr>
        <w:t>Ref: MD MAREE/rsz/MAT8834</w:t>
      </w:r>
    </w:p>
    <w:p w14:paraId="5ECBA42E" w14:textId="3C5D4094" w:rsidR="00C12FD8" w:rsidRPr="002F496E" w:rsidRDefault="00C12FD8" w:rsidP="004A2C39">
      <w:pPr>
        <w:spacing w:line="480" w:lineRule="auto"/>
        <w:ind w:left="5040"/>
        <w:jc w:val="both"/>
        <w:rPr>
          <w:lang w:val="en-GB"/>
        </w:rPr>
      </w:pPr>
    </w:p>
    <w:p w14:paraId="43296EF6" w14:textId="080E01C4" w:rsidR="00D8074E" w:rsidRDefault="00D8074E" w:rsidP="004275E4">
      <w:pPr>
        <w:spacing w:line="480" w:lineRule="auto"/>
        <w:jc w:val="both"/>
        <w:rPr>
          <w:lang w:val="en-GB"/>
        </w:rPr>
      </w:pPr>
      <w:r>
        <w:rPr>
          <w:lang w:val="en-GB"/>
        </w:rPr>
        <w:t>For the defendant</w:t>
      </w:r>
      <w:r w:rsidR="002A3B12">
        <w:rPr>
          <w:lang w:val="en-GB"/>
        </w:rPr>
        <w:t>s</w:t>
      </w:r>
      <w:r w:rsidR="00C12FD8" w:rsidRPr="002F496E">
        <w:rPr>
          <w:lang w:val="en-GB"/>
        </w:rPr>
        <w:tab/>
      </w:r>
      <w:r w:rsidR="00C12FD8" w:rsidRPr="002F496E">
        <w:rPr>
          <w:lang w:val="en-GB"/>
        </w:rPr>
        <w:tab/>
      </w:r>
      <w:r w:rsidR="00C12FD8" w:rsidRPr="002F496E">
        <w:rPr>
          <w:lang w:val="en-GB"/>
        </w:rPr>
        <w:tab/>
      </w:r>
      <w:r w:rsidR="00297D20">
        <w:rPr>
          <w:lang w:val="en-GB"/>
        </w:rPr>
        <w:tab/>
      </w:r>
      <w:r w:rsidR="00FD35D5">
        <w:rPr>
          <w:lang w:val="en-GB"/>
        </w:rPr>
        <w:t>:</w:t>
      </w:r>
      <w:r w:rsidR="00C12FD8" w:rsidRPr="002F496E">
        <w:rPr>
          <w:lang w:val="en-GB"/>
        </w:rPr>
        <w:tab/>
      </w:r>
      <w:r>
        <w:rPr>
          <w:lang w:val="en-GB"/>
        </w:rPr>
        <w:t>CINGA NOHAJI</w:t>
      </w:r>
    </w:p>
    <w:p w14:paraId="3161A307" w14:textId="6B938E63" w:rsidR="004A2C39" w:rsidRDefault="00F82FF4" w:rsidP="004A2C39">
      <w:pPr>
        <w:spacing w:line="480" w:lineRule="auto"/>
        <w:ind w:left="4320" w:firstLine="720"/>
        <w:jc w:val="both"/>
        <w:rPr>
          <w:lang w:val="en-GB"/>
        </w:rPr>
      </w:pPr>
      <w:r>
        <w:rPr>
          <w:lang w:val="en-GB"/>
        </w:rPr>
        <w:t>D</w:t>
      </w:r>
      <w:r w:rsidR="00D8074E">
        <w:rPr>
          <w:lang w:val="en-GB"/>
        </w:rPr>
        <w:t>efendants’ Attorneys</w:t>
      </w:r>
    </w:p>
    <w:p w14:paraId="77896EBE" w14:textId="16CA4D4D" w:rsidR="00D8074E" w:rsidRDefault="00D8074E" w:rsidP="004A2C39">
      <w:pPr>
        <w:spacing w:line="480" w:lineRule="auto"/>
        <w:ind w:left="4320" w:firstLine="720"/>
        <w:jc w:val="both"/>
        <w:rPr>
          <w:lang w:val="en-GB"/>
        </w:rPr>
      </w:pPr>
      <w:r>
        <w:rPr>
          <w:lang w:val="en-GB"/>
        </w:rPr>
        <w:t>8 Chamberlain Road</w:t>
      </w:r>
    </w:p>
    <w:p w14:paraId="5D9A9D5B" w14:textId="6A0434A6" w:rsidR="000B78AB" w:rsidRDefault="00F82FF4" w:rsidP="004A2C39">
      <w:pPr>
        <w:spacing w:line="480" w:lineRule="auto"/>
        <w:ind w:left="4320" w:firstLine="720"/>
        <w:jc w:val="both"/>
        <w:rPr>
          <w:lang w:val="en-GB"/>
        </w:rPr>
      </w:pPr>
      <w:r>
        <w:rPr>
          <w:lang w:val="en-GB"/>
        </w:rPr>
        <w:t>B</w:t>
      </w:r>
      <w:r w:rsidR="00D8074E">
        <w:rPr>
          <w:lang w:val="en-GB"/>
        </w:rPr>
        <w:t>earea</w:t>
      </w:r>
      <w:r w:rsidR="000B78AB">
        <w:rPr>
          <w:lang w:val="en-GB"/>
        </w:rPr>
        <w:t xml:space="preserve">  </w:t>
      </w:r>
    </w:p>
    <w:p w14:paraId="53EF6FC4" w14:textId="3E64AE8E" w:rsidR="000B78AB" w:rsidRDefault="000B78AB" w:rsidP="004A2C39">
      <w:pPr>
        <w:spacing w:line="480" w:lineRule="auto"/>
        <w:ind w:left="4320" w:firstLine="720"/>
        <w:jc w:val="both"/>
        <w:rPr>
          <w:lang w:val="en-GB"/>
        </w:rPr>
      </w:pPr>
      <w:r>
        <w:rPr>
          <w:lang w:val="en-GB"/>
        </w:rPr>
        <w:t>EAST LONDON</w:t>
      </w:r>
    </w:p>
    <w:p w14:paraId="0DA9EE01" w14:textId="286D9EFB" w:rsidR="00D8074E" w:rsidRDefault="004A2C39" w:rsidP="004A2C39">
      <w:pPr>
        <w:spacing w:line="480" w:lineRule="auto"/>
        <w:ind w:left="4320" w:firstLine="720"/>
        <w:jc w:val="both"/>
        <w:rPr>
          <w:u w:val="single"/>
          <w:lang w:val="en-GB"/>
        </w:rPr>
      </w:pPr>
      <w:r>
        <w:rPr>
          <w:u w:val="single"/>
          <w:lang w:val="en-GB"/>
        </w:rPr>
        <w:t>E</w:t>
      </w:r>
      <w:r w:rsidR="00D8074E" w:rsidRPr="00D8074E">
        <w:rPr>
          <w:u w:val="single"/>
          <w:lang w:val="en-GB"/>
        </w:rPr>
        <w:t>-mail:info@cinganohaji.co.za</w:t>
      </w:r>
    </w:p>
    <w:p w14:paraId="1A2C97BB" w14:textId="06D28BB8" w:rsidR="00D8074E" w:rsidRPr="00D8074E" w:rsidRDefault="00F82FF4" w:rsidP="004A2C39">
      <w:pPr>
        <w:spacing w:line="480" w:lineRule="auto"/>
        <w:ind w:left="4320" w:firstLine="720"/>
        <w:jc w:val="both"/>
        <w:rPr>
          <w:lang w:val="en-GB"/>
        </w:rPr>
      </w:pPr>
      <w:r>
        <w:rPr>
          <w:lang w:val="en-GB"/>
        </w:rPr>
        <w:t>R</w:t>
      </w:r>
      <w:r w:rsidR="00D8074E">
        <w:rPr>
          <w:lang w:val="en-GB"/>
        </w:rPr>
        <w:t>ef: CN/MM/0616/XZ</w:t>
      </w:r>
    </w:p>
    <w:p w14:paraId="43ED924E" w14:textId="77777777" w:rsidR="00C12FD8" w:rsidRPr="002F496E" w:rsidRDefault="00C12FD8" w:rsidP="004275E4">
      <w:pPr>
        <w:pStyle w:val="ListParagraph"/>
        <w:spacing w:line="480" w:lineRule="auto"/>
        <w:ind w:left="1080"/>
        <w:jc w:val="both"/>
        <w:rPr>
          <w:lang w:val="en-GB"/>
        </w:rPr>
      </w:pPr>
      <w:r w:rsidRPr="002F496E">
        <w:rPr>
          <w:lang w:val="en-GB"/>
        </w:rPr>
        <w:t xml:space="preserve">         </w:t>
      </w:r>
    </w:p>
    <w:p w14:paraId="35FB9BB3" w14:textId="62626F83" w:rsidR="00C12FD8" w:rsidRPr="002F496E" w:rsidRDefault="00C12FD8" w:rsidP="004275E4">
      <w:pPr>
        <w:tabs>
          <w:tab w:val="left" w:pos="851"/>
        </w:tabs>
        <w:spacing w:line="480" w:lineRule="auto"/>
        <w:jc w:val="both"/>
        <w:rPr>
          <w:b/>
          <w:lang w:val="en-GB"/>
        </w:rPr>
      </w:pPr>
      <w:r w:rsidRPr="002F496E">
        <w:rPr>
          <w:lang w:val="en-GB"/>
        </w:rPr>
        <w:t>Date heard</w:t>
      </w:r>
      <w:r w:rsidRPr="002F496E">
        <w:rPr>
          <w:lang w:val="en-GB"/>
        </w:rPr>
        <w:tab/>
      </w:r>
      <w:r w:rsidRPr="002F496E">
        <w:rPr>
          <w:lang w:val="en-GB"/>
        </w:rPr>
        <w:tab/>
      </w:r>
      <w:r w:rsidRPr="002F496E">
        <w:rPr>
          <w:lang w:val="en-GB"/>
        </w:rPr>
        <w:tab/>
      </w:r>
      <w:r w:rsidRPr="002F496E">
        <w:rPr>
          <w:lang w:val="en-GB"/>
        </w:rPr>
        <w:tab/>
      </w:r>
      <w:r w:rsidR="00C41686">
        <w:rPr>
          <w:lang w:val="en-GB"/>
        </w:rPr>
        <w:t>:</w:t>
      </w:r>
      <w:r w:rsidRPr="002F496E">
        <w:rPr>
          <w:lang w:val="en-GB"/>
        </w:rPr>
        <w:tab/>
      </w:r>
      <w:r w:rsidRPr="002F496E">
        <w:rPr>
          <w:lang w:val="en-GB"/>
        </w:rPr>
        <w:tab/>
      </w:r>
      <w:r w:rsidR="00D8074E">
        <w:rPr>
          <w:b/>
          <w:lang w:val="en-GB"/>
        </w:rPr>
        <w:t>08 February 2024</w:t>
      </w:r>
    </w:p>
    <w:p w14:paraId="1090F13B" w14:textId="77777777" w:rsidR="00C12FD8" w:rsidRPr="002F496E" w:rsidRDefault="00C12FD8" w:rsidP="004275E4">
      <w:pPr>
        <w:tabs>
          <w:tab w:val="left" w:pos="851"/>
        </w:tabs>
        <w:spacing w:line="480" w:lineRule="auto"/>
        <w:jc w:val="both"/>
        <w:rPr>
          <w:b/>
          <w:lang w:val="en-GB"/>
        </w:rPr>
      </w:pPr>
    </w:p>
    <w:p w14:paraId="7CE6A683" w14:textId="3AE77F9A" w:rsidR="00C12FD8" w:rsidRPr="002F496E" w:rsidRDefault="00C41686" w:rsidP="004275E4">
      <w:pPr>
        <w:tabs>
          <w:tab w:val="left" w:pos="851"/>
        </w:tabs>
        <w:spacing w:line="480" w:lineRule="auto"/>
        <w:jc w:val="both"/>
        <w:rPr>
          <w:lang w:val="en-GB"/>
        </w:rPr>
      </w:pPr>
      <w:r w:rsidRPr="00C41686">
        <w:rPr>
          <w:lang w:val="en-GB"/>
        </w:rPr>
        <w:t>Delivered on</w:t>
      </w:r>
      <w:r w:rsidR="00C12FD8" w:rsidRPr="00A24853">
        <w:rPr>
          <w:b/>
          <w:lang w:val="en-GB"/>
        </w:rPr>
        <w:tab/>
      </w:r>
      <w:r w:rsidR="00C12FD8" w:rsidRPr="00A24853">
        <w:rPr>
          <w:b/>
          <w:lang w:val="en-GB"/>
        </w:rPr>
        <w:tab/>
      </w:r>
      <w:r w:rsidR="00C12FD8" w:rsidRPr="00A24853">
        <w:rPr>
          <w:b/>
          <w:lang w:val="en-GB"/>
        </w:rPr>
        <w:tab/>
      </w:r>
      <w:r w:rsidR="00C12FD8" w:rsidRPr="00A24853">
        <w:rPr>
          <w:b/>
          <w:lang w:val="en-GB"/>
        </w:rPr>
        <w:tab/>
      </w:r>
      <w:r w:rsidR="00C12FD8" w:rsidRPr="001A43DC">
        <w:rPr>
          <w:lang w:val="en-GB"/>
        </w:rPr>
        <w:t>:</w:t>
      </w:r>
      <w:r w:rsidR="004A2C39">
        <w:rPr>
          <w:b/>
          <w:lang w:val="en-GB"/>
        </w:rPr>
        <w:tab/>
      </w:r>
      <w:r w:rsidR="004A2C39">
        <w:rPr>
          <w:b/>
          <w:lang w:val="en-GB"/>
        </w:rPr>
        <w:tab/>
      </w:r>
      <w:r w:rsidR="00B01401">
        <w:rPr>
          <w:b/>
          <w:lang w:val="en-GB"/>
        </w:rPr>
        <w:t>19</w:t>
      </w:r>
      <w:r w:rsidR="00D8074E">
        <w:rPr>
          <w:b/>
          <w:lang w:val="en-GB"/>
        </w:rPr>
        <w:t xml:space="preserve"> March 2024</w:t>
      </w:r>
    </w:p>
    <w:p w14:paraId="0E2307F5" w14:textId="77777777" w:rsidR="00C12FD8" w:rsidRPr="002F496E" w:rsidRDefault="00C12FD8" w:rsidP="004275E4">
      <w:pPr>
        <w:pStyle w:val="ListParagraph"/>
        <w:tabs>
          <w:tab w:val="left" w:pos="851"/>
        </w:tabs>
        <w:spacing w:line="480" w:lineRule="auto"/>
        <w:jc w:val="both"/>
        <w:rPr>
          <w:lang w:val="en-GB"/>
        </w:rPr>
      </w:pPr>
    </w:p>
    <w:sectPr w:rsidR="00C12FD8" w:rsidRPr="002F496E" w:rsidSect="00CF2958">
      <w:headerReference w:type="default" r:id="rId14"/>
      <w:footerReference w:type="default" r:id="rId15"/>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6425B" w14:textId="77777777" w:rsidR="00B55D76" w:rsidRDefault="00B55D76" w:rsidP="00C91BD0">
      <w:pPr>
        <w:spacing w:line="240" w:lineRule="auto"/>
      </w:pPr>
      <w:r>
        <w:separator/>
      </w:r>
    </w:p>
  </w:endnote>
  <w:endnote w:type="continuationSeparator" w:id="0">
    <w:p w14:paraId="4353FBA9" w14:textId="77777777" w:rsidR="00B55D76" w:rsidRDefault="00B55D76"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264104964"/>
      <w:docPartObj>
        <w:docPartGallery w:val="Page Numbers (Bottom of Page)"/>
        <w:docPartUnique/>
      </w:docPartObj>
    </w:sdtPr>
    <w:sdtEndPr/>
    <w:sdtContent>
      <w:p w14:paraId="03CDA571" w14:textId="660F5618" w:rsidR="00297D20" w:rsidRDefault="00297D20">
        <w:pPr>
          <w:pStyle w:val="Footer"/>
          <w:jc w:val="right"/>
        </w:pPr>
        <w:r>
          <w:rPr>
            <w:lang w:val="en-GB"/>
          </w:rPr>
          <w:t xml:space="preserve">Page | </w:t>
        </w:r>
        <w:r>
          <w:fldChar w:fldCharType="begin"/>
        </w:r>
        <w:r>
          <w:instrText>PAGE   \* MERGEFORMAT</w:instrText>
        </w:r>
        <w:r>
          <w:fldChar w:fldCharType="separate"/>
        </w:r>
        <w:r w:rsidR="00E926F0" w:rsidRPr="00E926F0">
          <w:rPr>
            <w:noProof/>
            <w:lang w:val="en-GB"/>
          </w:rPr>
          <w:t>11</w:t>
        </w:r>
        <w:r>
          <w:fldChar w:fldCharType="end"/>
        </w:r>
        <w:r>
          <w:rPr>
            <w:lang w:val="en-GB"/>
          </w:rPr>
          <w:t xml:space="preserve"> of 11</w:t>
        </w:r>
      </w:p>
    </w:sdtContent>
  </w:sdt>
  <w:p w14:paraId="2AE08AEB" w14:textId="77777777" w:rsidR="0059436A" w:rsidRDefault="00594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77F0" w14:textId="77777777" w:rsidR="00B55D76" w:rsidRDefault="00B55D76" w:rsidP="00C91BD0">
      <w:pPr>
        <w:spacing w:line="240" w:lineRule="auto"/>
      </w:pPr>
      <w:r>
        <w:separator/>
      </w:r>
    </w:p>
  </w:footnote>
  <w:footnote w:type="continuationSeparator" w:id="0">
    <w:p w14:paraId="045F82C1" w14:textId="77777777" w:rsidR="00B55D76" w:rsidRDefault="00B55D76" w:rsidP="00C91BD0">
      <w:pPr>
        <w:spacing w:line="240" w:lineRule="auto"/>
      </w:pPr>
      <w:r>
        <w:continuationSeparator/>
      </w:r>
    </w:p>
  </w:footnote>
  <w:footnote w:id="1">
    <w:p w14:paraId="26D3EDDC" w14:textId="78065753" w:rsidR="0059436A" w:rsidRDefault="0059436A">
      <w:pPr>
        <w:pStyle w:val="FootnoteText"/>
      </w:pPr>
      <w:r>
        <w:rPr>
          <w:rStyle w:val="FootnoteReference"/>
        </w:rPr>
        <w:footnoteRef/>
      </w:r>
      <w:r>
        <w:t xml:space="preserve"> (42728/2012)[2012] ZAGPJHC 218;2013(2)sa 368 (GSJ) (11 September 2012) at paragraph 15.</w:t>
      </w:r>
    </w:p>
  </w:footnote>
  <w:footnote w:id="2">
    <w:p w14:paraId="6E28514A" w14:textId="5426C1C9" w:rsidR="0059436A" w:rsidRPr="004275E4" w:rsidRDefault="0059436A" w:rsidP="004275E4">
      <w:pPr>
        <w:pStyle w:val="NoSpacing"/>
        <w:jc w:val="both"/>
        <w:rPr>
          <w:sz w:val="20"/>
          <w:szCs w:val="20"/>
        </w:rPr>
      </w:pPr>
      <w:r w:rsidRPr="004275E4">
        <w:rPr>
          <w:rStyle w:val="FootnoteReference"/>
          <w:sz w:val="20"/>
          <w:szCs w:val="20"/>
        </w:rPr>
        <w:footnoteRef/>
      </w:r>
      <w:r w:rsidRPr="004275E4">
        <w:rPr>
          <w:sz w:val="20"/>
          <w:szCs w:val="20"/>
        </w:rPr>
        <w:t xml:space="preserve"> Rule 18(4) every pleading shall contain a clear and concise statement of the material facts upon which the pleader relies for his claim, defence or answer to any pleading, as the case may be, with sufficient particularity to enable the opposite party to reply thereto.</w:t>
      </w:r>
    </w:p>
    <w:p w14:paraId="51C19DDE" w14:textId="2CE09EAD" w:rsidR="0059436A" w:rsidRPr="004275E4" w:rsidRDefault="0059436A" w:rsidP="004275E4">
      <w:pPr>
        <w:pStyle w:val="NoSpacing"/>
        <w:jc w:val="both"/>
        <w:rPr>
          <w:sz w:val="20"/>
          <w:szCs w:val="20"/>
        </w:rPr>
      </w:pPr>
      <w:r w:rsidRPr="004275E4">
        <w:rPr>
          <w:sz w:val="20"/>
          <w:szCs w:val="20"/>
        </w:rPr>
        <w:t xml:space="preserve"> (6) A party who in his pleading relies upon a contract shall state whether the contract is written or oral and when, where and by whom it was concluded, and if the contract is written a true copy thereof or of the part relied on in the pleading shall be annexed to the pleading.</w:t>
      </w:r>
    </w:p>
  </w:footnote>
  <w:footnote w:id="3">
    <w:p w14:paraId="655927EF" w14:textId="634AEDA7" w:rsidR="0059436A" w:rsidRPr="00FC098C" w:rsidRDefault="0059436A" w:rsidP="004275E4">
      <w:pPr>
        <w:pStyle w:val="NoSpacing"/>
        <w:jc w:val="both"/>
      </w:pPr>
      <w:r w:rsidRPr="00FC098C">
        <w:rPr>
          <w:rStyle w:val="FootnoteReference"/>
          <w:sz w:val="20"/>
          <w:szCs w:val="20"/>
        </w:rPr>
        <w:footnoteRef/>
      </w:r>
      <w:r w:rsidRPr="00FC098C">
        <w:rPr>
          <w:sz w:val="20"/>
          <w:szCs w:val="20"/>
        </w:rPr>
        <w:t xml:space="preserve"> Erasmus Uniform Rules of Court October 2023 RSD 21,2023,D1-305</w:t>
      </w:r>
    </w:p>
  </w:footnote>
  <w:footnote w:id="4">
    <w:p w14:paraId="349C2E38" w14:textId="1CE8E6AF" w:rsidR="0059436A" w:rsidRPr="00FC098C" w:rsidRDefault="0059436A" w:rsidP="004275E4">
      <w:pPr>
        <w:pStyle w:val="NoSpacing"/>
        <w:jc w:val="both"/>
      </w:pPr>
      <w:r w:rsidRPr="004275E4">
        <w:rPr>
          <w:rStyle w:val="FootnoteReference"/>
          <w:sz w:val="20"/>
          <w:szCs w:val="20"/>
        </w:rPr>
        <w:footnoteRef/>
      </w:r>
      <w:r w:rsidRPr="004275E4">
        <w:rPr>
          <w:sz w:val="20"/>
          <w:szCs w:val="20"/>
        </w:rPr>
        <w:t xml:space="preserve"> </w:t>
      </w:r>
      <w:bookmarkStart w:id="4" w:name="0-0-0-289683"/>
      <w:bookmarkEnd w:id="4"/>
      <w:r w:rsidRPr="004275E4">
        <w:rPr>
          <w:rFonts w:eastAsia="Times New Roman"/>
          <w:sz w:val="20"/>
          <w:szCs w:val="20"/>
          <w:lang w:eastAsia="en-ZA"/>
        </w:rPr>
        <w:t>Venter and Others NNO v Barritt Venter and Others NNO v Wolfsberg Arch Investments 2 (Pty) LTD 2008 (4) SA 639 (C) para</w:t>
      </w:r>
      <w:r w:rsidR="00297D20" w:rsidRPr="004275E4">
        <w:rPr>
          <w:rFonts w:eastAsia="Times New Roman"/>
          <w:sz w:val="20"/>
          <w:szCs w:val="20"/>
          <w:lang w:eastAsia="en-ZA"/>
        </w:rPr>
        <w:t>s</w:t>
      </w:r>
      <w:r w:rsidRPr="004275E4">
        <w:rPr>
          <w:rFonts w:eastAsia="Times New Roman"/>
          <w:sz w:val="20"/>
          <w:szCs w:val="20"/>
          <w:lang w:eastAsia="en-ZA"/>
        </w:rPr>
        <w:t xml:space="preserve"> [14] and [15] at 644G-645.</w:t>
      </w:r>
    </w:p>
  </w:footnote>
  <w:footnote w:id="5">
    <w:p w14:paraId="3C9EA545" w14:textId="2DE69B7F" w:rsidR="0059436A" w:rsidRDefault="0059436A" w:rsidP="004275E4">
      <w:pPr>
        <w:spacing w:line="240" w:lineRule="auto"/>
        <w:jc w:val="both"/>
      </w:pPr>
      <w:r w:rsidRPr="00FC098C">
        <w:rPr>
          <w:rStyle w:val="FootnoteReference"/>
          <w:sz w:val="20"/>
          <w:szCs w:val="20"/>
        </w:rPr>
        <w:footnoteRef/>
      </w:r>
      <w:r w:rsidRPr="00FC098C">
        <w:rPr>
          <w:sz w:val="20"/>
          <w:szCs w:val="20"/>
        </w:rPr>
        <w:t xml:space="preserve"> Venter and Others NNO v Barrit above fn. 2(at para 17</w:t>
      </w:r>
      <w:r w:rsidRPr="004275E4">
        <w:rPr>
          <w:sz w:val="20"/>
          <w:szCs w:val="20"/>
        </w:rPr>
        <w:t>)</w:t>
      </w:r>
      <w:bookmarkStart w:id="5" w:name="0-0-0-274989"/>
      <w:bookmarkEnd w:id="5"/>
      <w:r w:rsidRPr="009F042E">
        <w:rPr>
          <w:rFonts w:ascii="Times New Roman" w:eastAsia="Times New Roman" w:hAnsi="Times New Roman" w:cs="Times New Roman"/>
          <w:lang w:eastAsia="en-ZA"/>
        </w:rPr>
        <w:t xml:space="preserve"> </w:t>
      </w:r>
    </w:p>
  </w:footnote>
  <w:footnote w:id="6">
    <w:p w14:paraId="54C522F6" w14:textId="06590ED4" w:rsidR="0059436A" w:rsidRPr="00C22123" w:rsidRDefault="0059436A" w:rsidP="00C22123">
      <w:pPr>
        <w:spacing w:line="240" w:lineRule="auto"/>
        <w:rPr>
          <w:rFonts w:eastAsia="Times New Roman"/>
          <w:sz w:val="20"/>
          <w:szCs w:val="20"/>
          <w:lang w:eastAsia="en-ZA"/>
        </w:rPr>
      </w:pPr>
      <w:r w:rsidRPr="00C22123">
        <w:rPr>
          <w:rStyle w:val="FootnoteReference"/>
          <w:sz w:val="20"/>
          <w:szCs w:val="20"/>
        </w:rPr>
        <w:footnoteRef/>
      </w:r>
      <w:r w:rsidRPr="00C22123">
        <w:rPr>
          <w:sz w:val="20"/>
          <w:szCs w:val="20"/>
        </w:rPr>
        <w:t xml:space="preserve"> </w:t>
      </w:r>
      <w:bookmarkStart w:id="6" w:name="0-0-0-482353"/>
      <w:bookmarkEnd w:id="6"/>
      <w:r w:rsidRPr="00C22123">
        <w:rPr>
          <w:rFonts w:eastAsia="Times New Roman"/>
          <w:sz w:val="20"/>
          <w:szCs w:val="20"/>
          <w:lang w:eastAsia="en-ZA"/>
        </w:rPr>
        <w:t xml:space="preserve">Deane v Deane 1955 (3) SA 86 (N) </w:t>
      </w:r>
      <w:r w:rsidR="00297D20">
        <w:rPr>
          <w:rFonts w:eastAsia="Times New Roman"/>
          <w:sz w:val="20"/>
          <w:szCs w:val="20"/>
          <w:lang w:eastAsia="en-ZA"/>
        </w:rPr>
        <w:t xml:space="preserve">at </w:t>
      </w:r>
      <w:r w:rsidRPr="00C22123">
        <w:rPr>
          <w:rFonts w:eastAsia="Times New Roman"/>
          <w:sz w:val="20"/>
          <w:szCs w:val="20"/>
          <w:lang w:eastAsia="en-ZA"/>
        </w:rPr>
        <w:t xml:space="preserve"> 86F</w:t>
      </w:r>
    </w:p>
    <w:p w14:paraId="170635D8" w14:textId="5E422928" w:rsidR="0059436A" w:rsidRDefault="0059436A" w:rsidP="004275E4">
      <w:pPr>
        <w:spacing w:line="240" w:lineRule="auto"/>
      </w:pPr>
    </w:p>
  </w:footnote>
  <w:footnote w:id="7">
    <w:p w14:paraId="3A57E470" w14:textId="5EDC8A2F" w:rsidR="0059436A" w:rsidRDefault="0059436A">
      <w:pPr>
        <w:pStyle w:val="FootnoteText"/>
      </w:pPr>
      <w:r>
        <w:rPr>
          <w:rStyle w:val="FootnoteReference"/>
        </w:rPr>
        <w:footnoteRef/>
      </w:r>
      <w:r>
        <w:t xml:space="preserve"> Venter fn2 (supra); see also Barnard and Another v De Klerk (2015)/2019) [2020] ZAECPEHC 38 (22 October 2020)</w:t>
      </w:r>
    </w:p>
  </w:footnote>
  <w:footnote w:id="8">
    <w:p w14:paraId="75DFE0CA" w14:textId="3AA234B4" w:rsidR="0059436A" w:rsidRPr="001605CE" w:rsidRDefault="0059436A">
      <w:pPr>
        <w:pStyle w:val="FootnoteText"/>
        <w:rPr>
          <w:i/>
        </w:rPr>
      </w:pPr>
      <w:r>
        <w:rPr>
          <w:rStyle w:val="FootnoteReference"/>
        </w:rPr>
        <w:footnoteRef/>
      </w:r>
      <w:r>
        <w:t xml:space="preserve"> Living Hands case </w:t>
      </w:r>
      <w:r w:rsidRPr="001605CE">
        <w:rPr>
          <w:i/>
        </w:rPr>
        <w:t>(supra)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B620" w14:textId="725BAA37" w:rsidR="0059436A" w:rsidRPr="004F0FEF" w:rsidRDefault="00B55D76">
    <w:pPr>
      <w:pStyle w:val="Header"/>
      <w:jc w:val="right"/>
      <w:rPr>
        <w:sz w:val="20"/>
        <w:szCs w:val="20"/>
      </w:rPr>
    </w:pPr>
    <w:sdt>
      <w:sdtPr>
        <w:id w:val="-965504554"/>
        <w:docPartObj>
          <w:docPartGallery w:val="Page Numbers (Top of Page)"/>
          <w:docPartUnique/>
        </w:docPartObj>
      </w:sdtPr>
      <w:sdtEndPr>
        <w:rPr>
          <w:noProof/>
          <w:sz w:val="20"/>
          <w:szCs w:val="20"/>
        </w:rPr>
      </w:sdtEndPr>
      <w:sdtContent>
        <w:r w:rsidR="0059436A" w:rsidRPr="004F0FEF">
          <w:rPr>
            <w:sz w:val="20"/>
            <w:szCs w:val="20"/>
          </w:rPr>
          <w:fldChar w:fldCharType="begin"/>
        </w:r>
        <w:r w:rsidR="0059436A" w:rsidRPr="004F0FEF">
          <w:rPr>
            <w:sz w:val="20"/>
            <w:szCs w:val="20"/>
          </w:rPr>
          <w:instrText xml:space="preserve"> PAGE   \* MERGEFORMAT </w:instrText>
        </w:r>
        <w:r w:rsidR="0059436A" w:rsidRPr="004F0FEF">
          <w:rPr>
            <w:sz w:val="20"/>
            <w:szCs w:val="20"/>
          </w:rPr>
          <w:fldChar w:fldCharType="separate"/>
        </w:r>
        <w:r w:rsidR="00E926F0">
          <w:rPr>
            <w:noProof/>
            <w:sz w:val="20"/>
            <w:szCs w:val="20"/>
          </w:rPr>
          <w:t>11</w:t>
        </w:r>
        <w:r w:rsidR="0059436A" w:rsidRPr="004F0FEF">
          <w:rPr>
            <w:noProof/>
            <w:sz w:val="20"/>
            <w:szCs w:val="20"/>
          </w:rPr>
          <w:fldChar w:fldCharType="end"/>
        </w:r>
      </w:sdtContent>
    </w:sdt>
  </w:p>
  <w:p w14:paraId="5CFAA4F8" w14:textId="77777777" w:rsidR="0059436A" w:rsidRDefault="00594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AF8"/>
    <w:multiLevelType w:val="hybridMultilevel"/>
    <w:tmpl w:val="ECE83EE0"/>
    <w:lvl w:ilvl="0" w:tplc="67243018">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3E7438"/>
    <w:multiLevelType w:val="multilevel"/>
    <w:tmpl w:val="19AEB272"/>
    <w:lvl w:ilvl="0">
      <w:start w:val="1"/>
      <w:numFmt w:val="decimal"/>
      <w:lvlText w:val="%1."/>
      <w:lvlJc w:val="left"/>
      <w:pPr>
        <w:ind w:left="644" w:hanging="360"/>
      </w:pPr>
      <w:rPr>
        <w:rFonts w:hint="default"/>
        <w:b/>
      </w:rPr>
    </w:lvl>
    <w:lvl w:ilvl="1">
      <w:start w:val="1"/>
      <w:numFmt w:val="decimal"/>
      <w:isLgl/>
      <w:lvlText w:val="%1.%2"/>
      <w:lvlJc w:val="left"/>
      <w:pPr>
        <w:ind w:left="82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1B8E3B57"/>
    <w:multiLevelType w:val="hybridMultilevel"/>
    <w:tmpl w:val="83024DD2"/>
    <w:lvl w:ilvl="0" w:tplc="B69E61C6">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2B8D0773"/>
    <w:multiLevelType w:val="hybridMultilevel"/>
    <w:tmpl w:val="F5FA3052"/>
    <w:lvl w:ilvl="0" w:tplc="ECD68418">
      <w:start w:val="1"/>
      <w:numFmt w:val="lowerLetter"/>
      <w:lvlText w:val="(%1)"/>
      <w:lvlJc w:val="left"/>
      <w:pPr>
        <w:ind w:left="1068" w:hanging="360"/>
      </w:pPr>
      <w:rPr>
        <w:rFonts w:ascii="Arial" w:eastAsiaTheme="minorHAnsi" w:hAnsi="Arial" w:cs="Arial"/>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5"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31D331DC"/>
    <w:multiLevelType w:val="hybridMultilevel"/>
    <w:tmpl w:val="E1D2EC3A"/>
    <w:lvl w:ilvl="0" w:tplc="ECD68418">
      <w:start w:val="1"/>
      <w:numFmt w:val="lowerLetter"/>
      <w:lvlText w:val="(%1)"/>
      <w:lvlJc w:val="left"/>
      <w:pPr>
        <w:ind w:left="1210" w:hanging="360"/>
      </w:pPr>
      <w:rPr>
        <w:rFonts w:ascii="Arial" w:eastAsiaTheme="minorHAnsi" w:hAnsi="Arial" w:cs="Arial"/>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8" w15:restartNumberingAfterBreak="0">
    <w:nsid w:val="4A956FD1"/>
    <w:multiLevelType w:val="hybridMultilevel"/>
    <w:tmpl w:val="EFDEAF90"/>
    <w:lvl w:ilvl="0" w:tplc="57D2AEC2">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9" w15:restartNumberingAfterBreak="0">
    <w:nsid w:val="5C626E9A"/>
    <w:multiLevelType w:val="hybridMultilevel"/>
    <w:tmpl w:val="ECE83EE0"/>
    <w:lvl w:ilvl="0" w:tplc="67243018">
      <w:start w:val="1"/>
      <w:numFmt w:val="decimal"/>
      <w:lvlText w:val="%1."/>
      <w:lvlJc w:val="left"/>
      <w:pPr>
        <w:ind w:left="720" w:hanging="360"/>
      </w:pPr>
      <w:rPr>
        <w:rFonts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EB7648C"/>
    <w:multiLevelType w:val="hybridMultilevel"/>
    <w:tmpl w:val="3F08987E"/>
    <w:lvl w:ilvl="0" w:tplc="4BC648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E586573"/>
    <w:multiLevelType w:val="hybridMultilevel"/>
    <w:tmpl w:val="3D10F4E8"/>
    <w:lvl w:ilvl="0" w:tplc="E9AE50A4">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DA525B"/>
    <w:multiLevelType w:val="hybridMultilevel"/>
    <w:tmpl w:val="BE8A4DE4"/>
    <w:lvl w:ilvl="0" w:tplc="727C662E">
      <w:start w:val="1"/>
      <w:numFmt w:val="lowerLetter"/>
      <w:lvlText w:val="(%1)"/>
      <w:lvlJc w:val="left"/>
      <w:pPr>
        <w:ind w:left="1636" w:hanging="360"/>
      </w:pPr>
      <w:rPr>
        <w:rFonts w:hint="default"/>
        <w:i/>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abstractNumId w:val="5"/>
  </w:num>
  <w:num w:numId="2">
    <w:abstractNumId w:val="11"/>
  </w:num>
  <w:num w:numId="3">
    <w:abstractNumId w:val="3"/>
  </w:num>
  <w:num w:numId="4">
    <w:abstractNumId w:val="6"/>
  </w:num>
  <w:num w:numId="5">
    <w:abstractNumId w:val="9"/>
  </w:num>
  <w:num w:numId="6">
    <w:abstractNumId w:val="0"/>
  </w:num>
  <w:num w:numId="7">
    <w:abstractNumId w:val="7"/>
  </w:num>
  <w:num w:numId="8">
    <w:abstractNumId w:val="2"/>
  </w:num>
  <w:num w:numId="9">
    <w:abstractNumId w:val="4"/>
  </w:num>
  <w:num w:numId="10">
    <w:abstractNumId w:val="12"/>
  </w:num>
  <w:num w:numId="11">
    <w:abstractNumId w:val="13"/>
  </w:num>
  <w:num w:numId="12">
    <w:abstractNumId w:val="1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GwMDU2sDA3MTIwNzNU0lEKTi0uzszPAykwqgUA9NKTVCwAAAA="/>
  </w:docVars>
  <w:rsids>
    <w:rsidRoot w:val="00C91BD0"/>
    <w:rsid w:val="000218A2"/>
    <w:rsid w:val="000342A6"/>
    <w:rsid w:val="00034927"/>
    <w:rsid w:val="000356EF"/>
    <w:rsid w:val="000401EF"/>
    <w:rsid w:val="000509AA"/>
    <w:rsid w:val="000600D8"/>
    <w:rsid w:val="00064CE5"/>
    <w:rsid w:val="0008344E"/>
    <w:rsid w:val="00086E0F"/>
    <w:rsid w:val="00087986"/>
    <w:rsid w:val="00093A45"/>
    <w:rsid w:val="0009548F"/>
    <w:rsid w:val="00095598"/>
    <w:rsid w:val="000A0DE1"/>
    <w:rsid w:val="000A61B6"/>
    <w:rsid w:val="000B78AB"/>
    <w:rsid w:val="000C091F"/>
    <w:rsid w:val="000C72D9"/>
    <w:rsid w:val="000F1867"/>
    <w:rsid w:val="0010073D"/>
    <w:rsid w:val="001056AA"/>
    <w:rsid w:val="0012537F"/>
    <w:rsid w:val="001318BD"/>
    <w:rsid w:val="00132F0B"/>
    <w:rsid w:val="001553EA"/>
    <w:rsid w:val="001605CE"/>
    <w:rsid w:val="001778B1"/>
    <w:rsid w:val="001947E2"/>
    <w:rsid w:val="00196E38"/>
    <w:rsid w:val="001A43DC"/>
    <w:rsid w:val="001A4DF7"/>
    <w:rsid w:val="001A51BD"/>
    <w:rsid w:val="001A7535"/>
    <w:rsid w:val="001A75B6"/>
    <w:rsid w:val="001B0F75"/>
    <w:rsid w:val="001B3810"/>
    <w:rsid w:val="001C2606"/>
    <w:rsid w:val="001C6605"/>
    <w:rsid w:val="001D0428"/>
    <w:rsid w:val="001D3044"/>
    <w:rsid w:val="001D6649"/>
    <w:rsid w:val="001E0906"/>
    <w:rsid w:val="001E3874"/>
    <w:rsid w:val="001E6446"/>
    <w:rsid w:val="001F59B0"/>
    <w:rsid w:val="00200101"/>
    <w:rsid w:val="00201EC4"/>
    <w:rsid w:val="002278D8"/>
    <w:rsid w:val="0022794C"/>
    <w:rsid w:val="00230C24"/>
    <w:rsid w:val="002317F1"/>
    <w:rsid w:val="002418F4"/>
    <w:rsid w:val="00247784"/>
    <w:rsid w:val="002571D8"/>
    <w:rsid w:val="002639E9"/>
    <w:rsid w:val="00265740"/>
    <w:rsid w:val="00267914"/>
    <w:rsid w:val="00270A35"/>
    <w:rsid w:val="002712F1"/>
    <w:rsid w:val="00272015"/>
    <w:rsid w:val="0027773B"/>
    <w:rsid w:val="00282821"/>
    <w:rsid w:val="002868AF"/>
    <w:rsid w:val="00297D20"/>
    <w:rsid w:val="002A0B9B"/>
    <w:rsid w:val="002A3B12"/>
    <w:rsid w:val="002A6593"/>
    <w:rsid w:val="002A681F"/>
    <w:rsid w:val="002A6CC7"/>
    <w:rsid w:val="002C1720"/>
    <w:rsid w:val="002D238D"/>
    <w:rsid w:val="002D4700"/>
    <w:rsid w:val="002E7299"/>
    <w:rsid w:val="002F496E"/>
    <w:rsid w:val="0030362F"/>
    <w:rsid w:val="00310D90"/>
    <w:rsid w:val="00313E41"/>
    <w:rsid w:val="0031454A"/>
    <w:rsid w:val="00316065"/>
    <w:rsid w:val="00317D3C"/>
    <w:rsid w:val="00325834"/>
    <w:rsid w:val="00335252"/>
    <w:rsid w:val="0034501C"/>
    <w:rsid w:val="003622A9"/>
    <w:rsid w:val="0036625D"/>
    <w:rsid w:val="00366467"/>
    <w:rsid w:val="0036783F"/>
    <w:rsid w:val="00371E51"/>
    <w:rsid w:val="003A1577"/>
    <w:rsid w:val="003A52ED"/>
    <w:rsid w:val="003B0227"/>
    <w:rsid w:val="003C0A46"/>
    <w:rsid w:val="003C1E65"/>
    <w:rsid w:val="003D46F5"/>
    <w:rsid w:val="003E1897"/>
    <w:rsid w:val="003F1B45"/>
    <w:rsid w:val="003F3178"/>
    <w:rsid w:val="004009C3"/>
    <w:rsid w:val="00413353"/>
    <w:rsid w:val="004275E4"/>
    <w:rsid w:val="004345FD"/>
    <w:rsid w:val="00444170"/>
    <w:rsid w:val="00452D10"/>
    <w:rsid w:val="00463C72"/>
    <w:rsid w:val="00472EE5"/>
    <w:rsid w:val="00476FA3"/>
    <w:rsid w:val="00482E74"/>
    <w:rsid w:val="004907B9"/>
    <w:rsid w:val="00493287"/>
    <w:rsid w:val="0049449E"/>
    <w:rsid w:val="00494A5A"/>
    <w:rsid w:val="004A2C39"/>
    <w:rsid w:val="004A3816"/>
    <w:rsid w:val="004B7AC1"/>
    <w:rsid w:val="004C493E"/>
    <w:rsid w:val="004C5C2A"/>
    <w:rsid w:val="004F0FEF"/>
    <w:rsid w:val="004F1518"/>
    <w:rsid w:val="00500176"/>
    <w:rsid w:val="005028A2"/>
    <w:rsid w:val="005167AA"/>
    <w:rsid w:val="0051698A"/>
    <w:rsid w:val="00522B74"/>
    <w:rsid w:val="005235B6"/>
    <w:rsid w:val="00534A42"/>
    <w:rsid w:val="00536B21"/>
    <w:rsid w:val="00553031"/>
    <w:rsid w:val="00570CF0"/>
    <w:rsid w:val="0057345C"/>
    <w:rsid w:val="005753D5"/>
    <w:rsid w:val="00575D53"/>
    <w:rsid w:val="00586419"/>
    <w:rsid w:val="00591217"/>
    <w:rsid w:val="0059436A"/>
    <w:rsid w:val="005967C4"/>
    <w:rsid w:val="005A50D9"/>
    <w:rsid w:val="005B09BA"/>
    <w:rsid w:val="005B7597"/>
    <w:rsid w:val="005C69CA"/>
    <w:rsid w:val="005D429D"/>
    <w:rsid w:val="005E1780"/>
    <w:rsid w:val="005E7954"/>
    <w:rsid w:val="005F4F3A"/>
    <w:rsid w:val="006067D0"/>
    <w:rsid w:val="0061082D"/>
    <w:rsid w:val="006145F2"/>
    <w:rsid w:val="00615364"/>
    <w:rsid w:val="0061603F"/>
    <w:rsid w:val="00634BA1"/>
    <w:rsid w:val="00634D1E"/>
    <w:rsid w:val="006350E8"/>
    <w:rsid w:val="00644193"/>
    <w:rsid w:val="00651654"/>
    <w:rsid w:val="00651F86"/>
    <w:rsid w:val="00656E28"/>
    <w:rsid w:val="006678AF"/>
    <w:rsid w:val="0067511D"/>
    <w:rsid w:val="006773E9"/>
    <w:rsid w:val="00683A64"/>
    <w:rsid w:val="006931C5"/>
    <w:rsid w:val="00694FFB"/>
    <w:rsid w:val="006A03EC"/>
    <w:rsid w:val="006A52D7"/>
    <w:rsid w:val="006B2B0B"/>
    <w:rsid w:val="006B3925"/>
    <w:rsid w:val="006B43D1"/>
    <w:rsid w:val="006C0CC1"/>
    <w:rsid w:val="006C728B"/>
    <w:rsid w:val="006D22C9"/>
    <w:rsid w:val="006D23D3"/>
    <w:rsid w:val="006D5B4B"/>
    <w:rsid w:val="006D6DE3"/>
    <w:rsid w:val="006F2F34"/>
    <w:rsid w:val="006F4A65"/>
    <w:rsid w:val="00700AE0"/>
    <w:rsid w:val="007042C4"/>
    <w:rsid w:val="00704792"/>
    <w:rsid w:val="0071425B"/>
    <w:rsid w:val="00721F10"/>
    <w:rsid w:val="00724201"/>
    <w:rsid w:val="00736BF7"/>
    <w:rsid w:val="00740887"/>
    <w:rsid w:val="00742B82"/>
    <w:rsid w:val="00750048"/>
    <w:rsid w:val="00753B29"/>
    <w:rsid w:val="007560E9"/>
    <w:rsid w:val="00756BEB"/>
    <w:rsid w:val="007657AF"/>
    <w:rsid w:val="00771ACA"/>
    <w:rsid w:val="007818A6"/>
    <w:rsid w:val="00782560"/>
    <w:rsid w:val="0078497F"/>
    <w:rsid w:val="00787163"/>
    <w:rsid w:val="0079399A"/>
    <w:rsid w:val="007955D5"/>
    <w:rsid w:val="007A2E17"/>
    <w:rsid w:val="007A45BA"/>
    <w:rsid w:val="007B3703"/>
    <w:rsid w:val="007C52D0"/>
    <w:rsid w:val="007C656E"/>
    <w:rsid w:val="007C724B"/>
    <w:rsid w:val="007D3A34"/>
    <w:rsid w:val="007D7D3F"/>
    <w:rsid w:val="007E1086"/>
    <w:rsid w:val="007E4FB7"/>
    <w:rsid w:val="00803F8F"/>
    <w:rsid w:val="00811AFC"/>
    <w:rsid w:val="00824D03"/>
    <w:rsid w:val="00833504"/>
    <w:rsid w:val="00835CF3"/>
    <w:rsid w:val="00846030"/>
    <w:rsid w:val="00846B5E"/>
    <w:rsid w:val="0085718B"/>
    <w:rsid w:val="00870B61"/>
    <w:rsid w:val="00870D33"/>
    <w:rsid w:val="008749F7"/>
    <w:rsid w:val="00876FA7"/>
    <w:rsid w:val="00884571"/>
    <w:rsid w:val="008A143D"/>
    <w:rsid w:val="008A1678"/>
    <w:rsid w:val="008A3FDB"/>
    <w:rsid w:val="008B0118"/>
    <w:rsid w:val="008B36BD"/>
    <w:rsid w:val="008B3F6C"/>
    <w:rsid w:val="008B5555"/>
    <w:rsid w:val="008B68D9"/>
    <w:rsid w:val="008B7812"/>
    <w:rsid w:val="008C2739"/>
    <w:rsid w:val="008C7A24"/>
    <w:rsid w:val="008F19A5"/>
    <w:rsid w:val="008F2285"/>
    <w:rsid w:val="008F4ACF"/>
    <w:rsid w:val="00905269"/>
    <w:rsid w:val="00917735"/>
    <w:rsid w:val="00925877"/>
    <w:rsid w:val="009269DC"/>
    <w:rsid w:val="009305B2"/>
    <w:rsid w:val="00941EA9"/>
    <w:rsid w:val="009455F6"/>
    <w:rsid w:val="00945B7F"/>
    <w:rsid w:val="00952EB7"/>
    <w:rsid w:val="0096472F"/>
    <w:rsid w:val="00965146"/>
    <w:rsid w:val="00970D43"/>
    <w:rsid w:val="00976F35"/>
    <w:rsid w:val="009827F4"/>
    <w:rsid w:val="00985CBA"/>
    <w:rsid w:val="009A0E4F"/>
    <w:rsid w:val="009A47A3"/>
    <w:rsid w:val="009C66B6"/>
    <w:rsid w:val="009D7D9B"/>
    <w:rsid w:val="00A00D0C"/>
    <w:rsid w:val="00A06A71"/>
    <w:rsid w:val="00A12FC4"/>
    <w:rsid w:val="00A13CAA"/>
    <w:rsid w:val="00A24853"/>
    <w:rsid w:val="00A33587"/>
    <w:rsid w:val="00A567A9"/>
    <w:rsid w:val="00A76177"/>
    <w:rsid w:val="00A8401C"/>
    <w:rsid w:val="00A85EE6"/>
    <w:rsid w:val="00A87D64"/>
    <w:rsid w:val="00A9541E"/>
    <w:rsid w:val="00AA4C80"/>
    <w:rsid w:val="00AA6564"/>
    <w:rsid w:val="00AB4CEE"/>
    <w:rsid w:val="00AB787D"/>
    <w:rsid w:val="00AC07C6"/>
    <w:rsid w:val="00AC15A5"/>
    <w:rsid w:val="00AC63B5"/>
    <w:rsid w:val="00AD0475"/>
    <w:rsid w:val="00AD3F0F"/>
    <w:rsid w:val="00AF1111"/>
    <w:rsid w:val="00AF3E93"/>
    <w:rsid w:val="00AF42A2"/>
    <w:rsid w:val="00AF552E"/>
    <w:rsid w:val="00AF6981"/>
    <w:rsid w:val="00B002D7"/>
    <w:rsid w:val="00B01401"/>
    <w:rsid w:val="00B01866"/>
    <w:rsid w:val="00B05631"/>
    <w:rsid w:val="00B056E8"/>
    <w:rsid w:val="00B072B9"/>
    <w:rsid w:val="00B13AFE"/>
    <w:rsid w:val="00B16D07"/>
    <w:rsid w:val="00B17F47"/>
    <w:rsid w:val="00B327A5"/>
    <w:rsid w:val="00B42726"/>
    <w:rsid w:val="00B42EBB"/>
    <w:rsid w:val="00B46147"/>
    <w:rsid w:val="00B46C87"/>
    <w:rsid w:val="00B50080"/>
    <w:rsid w:val="00B5543C"/>
    <w:rsid w:val="00B55D76"/>
    <w:rsid w:val="00B70D0E"/>
    <w:rsid w:val="00B72EE3"/>
    <w:rsid w:val="00B748A0"/>
    <w:rsid w:val="00B917E0"/>
    <w:rsid w:val="00B93A41"/>
    <w:rsid w:val="00BA0E67"/>
    <w:rsid w:val="00BA4E6E"/>
    <w:rsid w:val="00BA6160"/>
    <w:rsid w:val="00BA67EE"/>
    <w:rsid w:val="00BB1F74"/>
    <w:rsid w:val="00BC23F2"/>
    <w:rsid w:val="00BC50E0"/>
    <w:rsid w:val="00BD4895"/>
    <w:rsid w:val="00BD661B"/>
    <w:rsid w:val="00BD75EC"/>
    <w:rsid w:val="00BF00B4"/>
    <w:rsid w:val="00C11F4F"/>
    <w:rsid w:val="00C12FD8"/>
    <w:rsid w:val="00C16D91"/>
    <w:rsid w:val="00C21807"/>
    <w:rsid w:val="00C22123"/>
    <w:rsid w:val="00C2796C"/>
    <w:rsid w:val="00C376E7"/>
    <w:rsid w:val="00C41686"/>
    <w:rsid w:val="00C4574A"/>
    <w:rsid w:val="00C46DDE"/>
    <w:rsid w:val="00C70D9D"/>
    <w:rsid w:val="00C72B13"/>
    <w:rsid w:val="00C7708B"/>
    <w:rsid w:val="00C87EE4"/>
    <w:rsid w:val="00C91BD0"/>
    <w:rsid w:val="00C9202A"/>
    <w:rsid w:val="00C97AB6"/>
    <w:rsid w:val="00CA5923"/>
    <w:rsid w:val="00CB442B"/>
    <w:rsid w:val="00CC45A3"/>
    <w:rsid w:val="00CD32CB"/>
    <w:rsid w:val="00CD57C5"/>
    <w:rsid w:val="00CD70FC"/>
    <w:rsid w:val="00CE4650"/>
    <w:rsid w:val="00CE69E2"/>
    <w:rsid w:val="00CF1785"/>
    <w:rsid w:val="00CF2122"/>
    <w:rsid w:val="00CF2958"/>
    <w:rsid w:val="00CF3999"/>
    <w:rsid w:val="00D05A53"/>
    <w:rsid w:val="00D07A29"/>
    <w:rsid w:val="00D101BF"/>
    <w:rsid w:val="00D1126B"/>
    <w:rsid w:val="00D113C6"/>
    <w:rsid w:val="00D128E1"/>
    <w:rsid w:val="00D1468F"/>
    <w:rsid w:val="00D179DF"/>
    <w:rsid w:val="00D27D8C"/>
    <w:rsid w:val="00D31D25"/>
    <w:rsid w:val="00D33071"/>
    <w:rsid w:val="00D41128"/>
    <w:rsid w:val="00D43AA8"/>
    <w:rsid w:val="00D452B3"/>
    <w:rsid w:val="00D51A92"/>
    <w:rsid w:val="00D52AE1"/>
    <w:rsid w:val="00D562E6"/>
    <w:rsid w:val="00D613DF"/>
    <w:rsid w:val="00D665BE"/>
    <w:rsid w:val="00D7142E"/>
    <w:rsid w:val="00D8074E"/>
    <w:rsid w:val="00D94108"/>
    <w:rsid w:val="00D958F7"/>
    <w:rsid w:val="00DA50FF"/>
    <w:rsid w:val="00DC111D"/>
    <w:rsid w:val="00DC46E5"/>
    <w:rsid w:val="00DD17BE"/>
    <w:rsid w:val="00DD7D48"/>
    <w:rsid w:val="00DE00F0"/>
    <w:rsid w:val="00DE14C5"/>
    <w:rsid w:val="00DE73A7"/>
    <w:rsid w:val="00DF4249"/>
    <w:rsid w:val="00DF7584"/>
    <w:rsid w:val="00E044A8"/>
    <w:rsid w:val="00E062C0"/>
    <w:rsid w:val="00E172F3"/>
    <w:rsid w:val="00E37311"/>
    <w:rsid w:val="00E57A5F"/>
    <w:rsid w:val="00E62020"/>
    <w:rsid w:val="00E70B87"/>
    <w:rsid w:val="00E80D7C"/>
    <w:rsid w:val="00E8206A"/>
    <w:rsid w:val="00E87704"/>
    <w:rsid w:val="00E926F0"/>
    <w:rsid w:val="00EA0E6B"/>
    <w:rsid w:val="00EA263B"/>
    <w:rsid w:val="00EA2998"/>
    <w:rsid w:val="00EA508F"/>
    <w:rsid w:val="00EA5FD7"/>
    <w:rsid w:val="00EA6475"/>
    <w:rsid w:val="00EC126F"/>
    <w:rsid w:val="00EC70C1"/>
    <w:rsid w:val="00ED0DEC"/>
    <w:rsid w:val="00EE1E9D"/>
    <w:rsid w:val="00EF206F"/>
    <w:rsid w:val="00EF2CAE"/>
    <w:rsid w:val="00F015FD"/>
    <w:rsid w:val="00F04733"/>
    <w:rsid w:val="00F42F96"/>
    <w:rsid w:val="00F52BE9"/>
    <w:rsid w:val="00F5362E"/>
    <w:rsid w:val="00F61E9B"/>
    <w:rsid w:val="00F621D2"/>
    <w:rsid w:val="00F62483"/>
    <w:rsid w:val="00F701E0"/>
    <w:rsid w:val="00F76196"/>
    <w:rsid w:val="00F80356"/>
    <w:rsid w:val="00F82FF4"/>
    <w:rsid w:val="00F86924"/>
    <w:rsid w:val="00F875BD"/>
    <w:rsid w:val="00F93711"/>
    <w:rsid w:val="00FA15F5"/>
    <w:rsid w:val="00FA27CB"/>
    <w:rsid w:val="00FA57EB"/>
    <w:rsid w:val="00FC03AA"/>
    <w:rsid w:val="00FC098C"/>
    <w:rsid w:val="00FD35D5"/>
    <w:rsid w:val="00FE06D7"/>
    <w:rsid w:val="00FF1E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0CE40"/>
  <w15:docId w15:val="{F7855ECE-38DA-E74E-A177-CEE9B18C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unhideWhenUsed/>
    <w:rsid w:val="00C91BD0"/>
    <w:rPr>
      <w:sz w:val="20"/>
      <w:szCs w:val="20"/>
    </w:rPr>
  </w:style>
  <w:style w:type="character" w:customStyle="1" w:styleId="FootnoteTextChar">
    <w:name w:val="Footnote Text Char"/>
    <w:basedOn w:val="DefaultParagraphFont"/>
    <w:link w:val="FootnoteText"/>
    <w:uiPriority w:val="99"/>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57345C"/>
    <w:rPr>
      <w:b/>
      <w:bCs/>
    </w:rPr>
  </w:style>
  <w:style w:type="paragraph" w:styleId="Revision">
    <w:name w:val="Revision"/>
    <w:hidden/>
    <w:uiPriority w:val="99"/>
    <w:semiHidden/>
    <w:rsid w:val="003F3178"/>
    <w:pPr>
      <w:spacing w:after="0" w:line="240" w:lineRule="auto"/>
    </w:pPr>
    <w:rPr>
      <w:rFonts w:ascii="Arial" w:hAnsi="Arial" w:cs="Arial"/>
      <w:color w:val="000000" w:themeColor="text1"/>
      <w:sz w:val="24"/>
      <w:szCs w:val="24"/>
    </w:rPr>
  </w:style>
  <w:style w:type="paragraph" w:customStyle="1" w:styleId="Default">
    <w:name w:val="Default"/>
    <w:rsid w:val="002868A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03F8F"/>
    <w:rPr>
      <w:color w:val="0563C1" w:themeColor="hyperlink"/>
      <w:u w:val="single"/>
    </w:rPr>
  </w:style>
  <w:style w:type="character" w:styleId="CommentReference">
    <w:name w:val="annotation reference"/>
    <w:basedOn w:val="DefaultParagraphFont"/>
    <w:uiPriority w:val="99"/>
    <w:semiHidden/>
    <w:unhideWhenUsed/>
    <w:rsid w:val="00C11F4F"/>
    <w:rPr>
      <w:sz w:val="16"/>
      <w:szCs w:val="16"/>
    </w:rPr>
  </w:style>
  <w:style w:type="paragraph" w:styleId="CommentText">
    <w:name w:val="annotation text"/>
    <w:basedOn w:val="Normal"/>
    <w:link w:val="CommentTextChar"/>
    <w:uiPriority w:val="99"/>
    <w:unhideWhenUsed/>
    <w:rsid w:val="00C11F4F"/>
    <w:pPr>
      <w:spacing w:line="240" w:lineRule="auto"/>
    </w:pPr>
    <w:rPr>
      <w:sz w:val="20"/>
      <w:szCs w:val="20"/>
    </w:rPr>
  </w:style>
  <w:style w:type="character" w:customStyle="1" w:styleId="CommentTextChar">
    <w:name w:val="Comment Text Char"/>
    <w:basedOn w:val="DefaultParagraphFont"/>
    <w:link w:val="CommentText"/>
    <w:uiPriority w:val="99"/>
    <w:rsid w:val="00C11F4F"/>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11F4F"/>
    <w:rPr>
      <w:b/>
      <w:bCs/>
    </w:rPr>
  </w:style>
  <w:style w:type="character" w:customStyle="1" w:styleId="CommentSubjectChar">
    <w:name w:val="Comment Subject Char"/>
    <w:basedOn w:val="CommentTextChar"/>
    <w:link w:val="CommentSubject"/>
    <w:uiPriority w:val="99"/>
    <w:semiHidden/>
    <w:rsid w:val="00C11F4F"/>
    <w:rPr>
      <w:rFonts w:ascii="Arial" w:hAnsi="Arial" w:cs="Arial"/>
      <w:b/>
      <w:bCs/>
      <w:color w:val="000000" w:themeColor="text1"/>
      <w:sz w:val="20"/>
      <w:szCs w:val="20"/>
    </w:rPr>
  </w:style>
  <w:style w:type="character" w:customStyle="1" w:styleId="UnresolvedMention1">
    <w:name w:val="Unresolved Mention1"/>
    <w:basedOn w:val="DefaultParagraphFont"/>
    <w:uiPriority w:val="99"/>
    <w:semiHidden/>
    <w:unhideWhenUsed/>
    <w:rsid w:val="00297D20"/>
    <w:rPr>
      <w:color w:val="605E5C"/>
      <w:shd w:val="clear" w:color="auto" w:fill="E1DFDD"/>
    </w:rPr>
  </w:style>
  <w:style w:type="paragraph" w:styleId="NoSpacing">
    <w:name w:val="No Spacing"/>
    <w:uiPriority w:val="1"/>
    <w:qFormat/>
    <w:rsid w:val="00297D20"/>
    <w:pPr>
      <w:spacing w:after="0" w:line="240" w:lineRule="auto"/>
    </w:pPr>
    <w:rPr>
      <w:rFonts w:ascii="Arial" w:hAnsi="Arial" w:cs="Arial"/>
      <w:color w:val="000000" w:themeColor="text1"/>
      <w:sz w:val="24"/>
      <w:szCs w:val="24"/>
    </w:rPr>
  </w:style>
  <w:style w:type="character" w:customStyle="1" w:styleId="UnresolvedMention">
    <w:name w:val="Unresolved Mention"/>
    <w:basedOn w:val="DefaultParagraphFont"/>
    <w:uiPriority w:val="99"/>
    <w:semiHidden/>
    <w:unhideWhenUsed/>
    <w:rsid w:val="004A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1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donmare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ex399@webmail.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3.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0D29B924-0A89-4481-BA7C-D9BD0BA1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Mary Bruce</cp:lastModifiedBy>
  <cp:revision>3</cp:revision>
  <cp:lastPrinted>2024-03-17T12:30:00Z</cp:lastPrinted>
  <dcterms:created xsi:type="dcterms:W3CDTF">2024-03-25T07:20:00Z</dcterms:created>
  <dcterms:modified xsi:type="dcterms:W3CDTF">2024-03-26T17:33:00Z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dffbdef8f9fce0f077fbe2248f7ee22f37a29f64ec19d262df1c44962a947d4d</vt:lpwstr>
  </property>
</Properties>
</file>