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1C" w:rsidRDefault="004C341C" w:rsidP="004C341C">
      <w:pPr>
        <w:jc w:val="center"/>
        <w:rPr>
          <w:rFonts w:ascii="Arial" w:hAnsi="Arial" w:cs="Arial"/>
          <w:b/>
          <w:sz w:val="24"/>
          <w:szCs w:val="24"/>
          <w:lang w:val="en-GB"/>
        </w:rPr>
      </w:pPr>
      <w:bookmarkStart w:id="0" w:name="_GoBack"/>
      <w:bookmarkEnd w:id="0"/>
      <w:r>
        <w:rPr>
          <w:noProof/>
          <w:lang w:eastAsia="en-ZA"/>
        </w:rPr>
        <w:drawing>
          <wp:inline distT="0" distB="0" distL="0" distR="0" wp14:anchorId="38509FAF" wp14:editId="080AC5A2">
            <wp:extent cx="1463040" cy="1096645"/>
            <wp:effectExtent l="0" t="0" r="3810"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096645"/>
                    </a:xfrm>
                    <a:prstGeom prst="rect">
                      <a:avLst/>
                    </a:prstGeom>
                    <a:noFill/>
                  </pic:spPr>
                </pic:pic>
              </a:graphicData>
            </a:graphic>
          </wp:inline>
        </w:drawing>
      </w:r>
    </w:p>
    <w:p w:rsidR="004C341C" w:rsidRPr="00832033" w:rsidRDefault="004C341C" w:rsidP="004C341C">
      <w:pPr>
        <w:jc w:val="center"/>
        <w:rPr>
          <w:rFonts w:ascii="Arial" w:hAnsi="Arial" w:cs="Arial"/>
          <w:b/>
          <w:sz w:val="24"/>
          <w:szCs w:val="24"/>
          <w:lang w:val="en-GB"/>
        </w:rPr>
      </w:pPr>
      <w:r w:rsidRPr="00832033">
        <w:rPr>
          <w:rFonts w:ascii="Arial" w:hAnsi="Arial" w:cs="Arial"/>
          <w:b/>
          <w:sz w:val="24"/>
          <w:szCs w:val="24"/>
          <w:lang w:val="en-GB"/>
        </w:rPr>
        <w:t>IN THE HIGH COURT OF SOUTH AFRICA</w:t>
      </w:r>
    </w:p>
    <w:p w:rsidR="004C341C" w:rsidRPr="00832033" w:rsidRDefault="004C341C" w:rsidP="004C341C">
      <w:pPr>
        <w:jc w:val="center"/>
        <w:rPr>
          <w:rFonts w:ascii="Arial" w:hAnsi="Arial" w:cs="Arial"/>
          <w:b/>
          <w:sz w:val="24"/>
          <w:szCs w:val="24"/>
          <w:lang w:val="en-GB"/>
        </w:rPr>
      </w:pPr>
      <w:r w:rsidRPr="00832033">
        <w:rPr>
          <w:rFonts w:ascii="Arial" w:hAnsi="Arial" w:cs="Arial"/>
          <w:b/>
          <w:sz w:val="24"/>
          <w:szCs w:val="24"/>
          <w:lang w:val="en-GB"/>
        </w:rPr>
        <w:t>[EASTERN CAPE DIVISION: GRAHAMSTOWN]</w:t>
      </w:r>
    </w:p>
    <w:p w:rsidR="004C341C" w:rsidRPr="00832033" w:rsidRDefault="004C341C" w:rsidP="004C341C">
      <w:pPr>
        <w:rPr>
          <w:rFonts w:ascii="Arial" w:hAnsi="Arial" w:cs="Arial"/>
          <w:b/>
          <w:sz w:val="24"/>
          <w:szCs w:val="24"/>
          <w:lang w:val="en-GB"/>
        </w:rPr>
      </w:pP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t xml:space="preserve">CASE NO. </w:t>
      </w:r>
      <w:r>
        <w:rPr>
          <w:rFonts w:ascii="Arial" w:hAnsi="Arial" w:cs="Arial"/>
          <w:b/>
          <w:sz w:val="24"/>
          <w:szCs w:val="24"/>
          <w:lang w:val="en-GB"/>
        </w:rPr>
        <w:t>2202</w:t>
      </w:r>
      <w:r w:rsidRPr="00832033">
        <w:rPr>
          <w:rFonts w:ascii="Arial" w:hAnsi="Arial" w:cs="Arial"/>
          <w:b/>
          <w:sz w:val="24"/>
          <w:szCs w:val="24"/>
          <w:lang w:val="en-GB"/>
        </w:rPr>
        <w:t>/20</w:t>
      </w:r>
      <w:r>
        <w:rPr>
          <w:rFonts w:ascii="Arial" w:hAnsi="Arial" w:cs="Arial"/>
          <w:b/>
          <w:sz w:val="24"/>
          <w:szCs w:val="24"/>
          <w:lang w:val="en-GB"/>
        </w:rPr>
        <w:t>19</w:t>
      </w:r>
    </w:p>
    <w:p w:rsidR="004C341C" w:rsidRPr="00832033" w:rsidRDefault="004C341C" w:rsidP="004C341C">
      <w:pPr>
        <w:rPr>
          <w:rFonts w:ascii="Arial" w:hAnsi="Arial" w:cs="Arial"/>
          <w:sz w:val="24"/>
          <w:szCs w:val="24"/>
          <w:lang w:val="en-GB"/>
        </w:rPr>
      </w:pPr>
      <w:r w:rsidRPr="00832033">
        <w:rPr>
          <w:rFonts w:ascii="Arial" w:hAnsi="Arial" w:cs="Arial"/>
          <w:sz w:val="24"/>
          <w:szCs w:val="24"/>
          <w:lang w:val="en-GB"/>
        </w:rPr>
        <w:t>In the matter between:</w:t>
      </w:r>
    </w:p>
    <w:p w:rsidR="004C341C" w:rsidRPr="00832033" w:rsidRDefault="004C341C" w:rsidP="004C341C">
      <w:pPr>
        <w:rPr>
          <w:rFonts w:ascii="Arial" w:hAnsi="Arial" w:cs="Arial"/>
          <w:b/>
          <w:sz w:val="24"/>
          <w:szCs w:val="24"/>
          <w:lang w:val="en-GB"/>
        </w:rPr>
      </w:pPr>
    </w:p>
    <w:p w:rsidR="004C341C" w:rsidRPr="00832033" w:rsidRDefault="004C341C" w:rsidP="004C341C">
      <w:pPr>
        <w:rPr>
          <w:rFonts w:ascii="Arial" w:hAnsi="Arial" w:cs="Arial"/>
          <w:b/>
          <w:sz w:val="24"/>
          <w:szCs w:val="24"/>
          <w:lang w:val="en-GB"/>
        </w:rPr>
      </w:pPr>
      <w:r>
        <w:rPr>
          <w:rFonts w:ascii="Arial" w:hAnsi="Arial" w:cs="Arial"/>
          <w:b/>
          <w:sz w:val="24"/>
          <w:szCs w:val="24"/>
          <w:lang w:val="en-GB"/>
        </w:rPr>
        <w:t>ALGOA BUS COMPANY (PTY) LIMITED</w:t>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r>
      <w:r w:rsidRPr="00832033">
        <w:rPr>
          <w:rFonts w:ascii="Arial" w:hAnsi="Arial" w:cs="Arial"/>
          <w:b/>
          <w:sz w:val="24"/>
          <w:szCs w:val="24"/>
          <w:lang w:val="en-GB"/>
        </w:rPr>
        <w:tab/>
        <w:t>Applicant</w:t>
      </w:r>
    </w:p>
    <w:p w:rsidR="004C341C" w:rsidRPr="00832033" w:rsidRDefault="004C341C" w:rsidP="004C341C">
      <w:pPr>
        <w:rPr>
          <w:rFonts w:ascii="Arial" w:hAnsi="Arial" w:cs="Arial"/>
          <w:b/>
          <w:sz w:val="24"/>
          <w:szCs w:val="24"/>
          <w:lang w:val="en-GB"/>
        </w:rPr>
      </w:pPr>
    </w:p>
    <w:p w:rsidR="004C341C" w:rsidRPr="00832033" w:rsidRDefault="004C341C" w:rsidP="004C341C">
      <w:pPr>
        <w:rPr>
          <w:rFonts w:ascii="Arial" w:hAnsi="Arial" w:cs="Arial"/>
          <w:b/>
          <w:sz w:val="24"/>
          <w:szCs w:val="24"/>
          <w:lang w:val="en-GB"/>
        </w:rPr>
      </w:pPr>
      <w:r w:rsidRPr="00832033">
        <w:rPr>
          <w:rFonts w:ascii="Arial" w:hAnsi="Arial" w:cs="Arial"/>
          <w:b/>
          <w:sz w:val="24"/>
          <w:szCs w:val="24"/>
          <w:lang w:val="en-GB"/>
        </w:rPr>
        <w:t>and</w:t>
      </w:r>
    </w:p>
    <w:p w:rsidR="004C341C" w:rsidRPr="00832033" w:rsidRDefault="004C341C" w:rsidP="004C341C">
      <w:pPr>
        <w:rPr>
          <w:rFonts w:ascii="Arial" w:hAnsi="Arial" w:cs="Arial"/>
          <w:b/>
          <w:sz w:val="24"/>
          <w:szCs w:val="24"/>
          <w:lang w:val="en-GB"/>
        </w:rPr>
      </w:pPr>
    </w:p>
    <w:p w:rsidR="004C341C" w:rsidRDefault="004C341C" w:rsidP="004C341C">
      <w:pPr>
        <w:rPr>
          <w:rFonts w:ascii="Arial" w:hAnsi="Arial" w:cs="Arial"/>
          <w:b/>
          <w:sz w:val="24"/>
          <w:szCs w:val="24"/>
          <w:lang w:val="en-GB"/>
        </w:rPr>
      </w:pPr>
      <w:r>
        <w:rPr>
          <w:rFonts w:ascii="Arial" w:hAnsi="Arial" w:cs="Arial"/>
          <w:b/>
          <w:sz w:val="24"/>
          <w:szCs w:val="24"/>
          <w:lang w:val="en-GB"/>
        </w:rPr>
        <w:t>NELSON MANDELA BAY METROPOLITAN MUNICIPALITY</w:t>
      </w:r>
      <w:r w:rsidRPr="00832033">
        <w:rPr>
          <w:rFonts w:ascii="Arial" w:hAnsi="Arial" w:cs="Arial"/>
          <w:b/>
          <w:sz w:val="24"/>
          <w:szCs w:val="24"/>
          <w:lang w:val="en-GB"/>
        </w:rPr>
        <w:tab/>
      </w:r>
      <w:r>
        <w:rPr>
          <w:rFonts w:ascii="Arial" w:hAnsi="Arial" w:cs="Arial"/>
          <w:b/>
          <w:sz w:val="24"/>
          <w:szCs w:val="24"/>
          <w:lang w:val="en-GB"/>
        </w:rPr>
        <w:t>1</w:t>
      </w:r>
      <w:r>
        <w:rPr>
          <w:rFonts w:ascii="Arial" w:hAnsi="Arial" w:cs="Arial"/>
          <w:b/>
          <w:sz w:val="24"/>
          <w:szCs w:val="24"/>
          <w:vertAlign w:val="superscript"/>
          <w:lang w:val="en-GB"/>
        </w:rPr>
        <w:t>st</w:t>
      </w:r>
      <w:r>
        <w:rPr>
          <w:rFonts w:ascii="Arial" w:hAnsi="Arial" w:cs="Arial"/>
          <w:b/>
          <w:sz w:val="24"/>
          <w:szCs w:val="24"/>
          <w:lang w:val="en-GB"/>
        </w:rPr>
        <w:t xml:space="preserve"> </w:t>
      </w:r>
      <w:r w:rsidRPr="00832033">
        <w:rPr>
          <w:rFonts w:ascii="Arial" w:hAnsi="Arial" w:cs="Arial"/>
          <w:b/>
          <w:sz w:val="24"/>
          <w:szCs w:val="24"/>
          <w:lang w:val="en-GB"/>
        </w:rPr>
        <w:t>Respondent</w:t>
      </w:r>
    </w:p>
    <w:p w:rsidR="004C341C" w:rsidRDefault="004C341C" w:rsidP="004C341C">
      <w:pPr>
        <w:rPr>
          <w:rFonts w:ascii="Arial" w:hAnsi="Arial" w:cs="Arial"/>
          <w:b/>
          <w:sz w:val="24"/>
          <w:szCs w:val="24"/>
          <w:lang w:val="en-GB"/>
        </w:rPr>
      </w:pPr>
    </w:p>
    <w:p w:rsidR="004C341C" w:rsidRDefault="004C341C" w:rsidP="004C341C">
      <w:pPr>
        <w:rPr>
          <w:rFonts w:ascii="Arial" w:hAnsi="Arial" w:cs="Arial"/>
          <w:b/>
          <w:sz w:val="24"/>
          <w:szCs w:val="24"/>
          <w:lang w:val="en-GB"/>
        </w:rPr>
      </w:pPr>
      <w:r>
        <w:rPr>
          <w:rFonts w:ascii="Arial" w:hAnsi="Arial" w:cs="Arial"/>
          <w:b/>
          <w:sz w:val="24"/>
          <w:szCs w:val="24"/>
          <w:lang w:val="en-GB"/>
        </w:rPr>
        <w:t>SPECTRUM ALERT ITS (PTY)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4C341C">
        <w:rPr>
          <w:rFonts w:ascii="Arial" w:hAnsi="Arial" w:cs="Arial"/>
          <w:b/>
          <w:sz w:val="24"/>
          <w:szCs w:val="24"/>
          <w:vertAlign w:val="superscript"/>
          <w:lang w:val="en-GB"/>
        </w:rPr>
        <w:t>nd</w:t>
      </w:r>
      <w:r>
        <w:rPr>
          <w:rFonts w:ascii="Arial" w:hAnsi="Arial" w:cs="Arial"/>
          <w:b/>
          <w:sz w:val="24"/>
          <w:szCs w:val="24"/>
          <w:lang w:val="en-GB"/>
        </w:rPr>
        <w:t xml:space="preserve"> Respondent</w:t>
      </w:r>
    </w:p>
    <w:p w:rsidR="004C341C" w:rsidRDefault="004C341C" w:rsidP="004C341C">
      <w:pPr>
        <w:rPr>
          <w:rFonts w:ascii="Arial" w:hAnsi="Arial" w:cs="Arial"/>
          <w:b/>
          <w:sz w:val="24"/>
          <w:szCs w:val="24"/>
          <w:lang w:val="en-GB"/>
        </w:rPr>
      </w:pPr>
    </w:p>
    <w:p w:rsidR="004C341C" w:rsidRDefault="004C341C" w:rsidP="004C341C">
      <w:pPr>
        <w:rPr>
          <w:rFonts w:ascii="Arial" w:hAnsi="Arial" w:cs="Arial"/>
          <w:b/>
          <w:sz w:val="24"/>
          <w:szCs w:val="24"/>
          <w:lang w:val="en-GB"/>
        </w:rPr>
      </w:pPr>
      <w:r>
        <w:rPr>
          <w:rFonts w:ascii="Arial" w:hAnsi="Arial" w:cs="Arial"/>
          <w:b/>
          <w:sz w:val="24"/>
          <w:szCs w:val="24"/>
          <w:lang w:val="en-GB"/>
        </w:rPr>
        <w:t>ALGOA TAXI ASSOCIATION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r w:rsidRPr="004C341C">
        <w:rPr>
          <w:rFonts w:ascii="Arial" w:hAnsi="Arial" w:cs="Arial"/>
          <w:b/>
          <w:sz w:val="24"/>
          <w:szCs w:val="24"/>
          <w:vertAlign w:val="superscript"/>
          <w:lang w:val="en-GB"/>
        </w:rPr>
        <w:t>rd</w:t>
      </w:r>
      <w:r>
        <w:rPr>
          <w:rFonts w:ascii="Arial" w:hAnsi="Arial" w:cs="Arial"/>
          <w:b/>
          <w:sz w:val="24"/>
          <w:szCs w:val="24"/>
          <w:lang w:val="en-GB"/>
        </w:rPr>
        <w:t xml:space="preserve"> Respondent</w:t>
      </w:r>
    </w:p>
    <w:p w:rsidR="004C341C" w:rsidRDefault="004C341C" w:rsidP="004C341C">
      <w:pPr>
        <w:rPr>
          <w:rFonts w:ascii="Arial" w:hAnsi="Arial" w:cs="Arial"/>
          <w:b/>
          <w:sz w:val="24"/>
          <w:szCs w:val="24"/>
          <w:lang w:val="en-GB"/>
        </w:rPr>
      </w:pPr>
    </w:p>
    <w:p w:rsidR="004C341C" w:rsidRDefault="004C341C" w:rsidP="004C341C">
      <w:pPr>
        <w:rPr>
          <w:rFonts w:ascii="Arial" w:hAnsi="Arial" w:cs="Arial"/>
          <w:b/>
          <w:sz w:val="24"/>
          <w:szCs w:val="24"/>
          <w:lang w:val="en-GB"/>
        </w:rPr>
      </w:pPr>
      <w:r>
        <w:rPr>
          <w:rFonts w:ascii="Arial" w:hAnsi="Arial" w:cs="Arial"/>
          <w:b/>
          <w:sz w:val="24"/>
          <w:szCs w:val="24"/>
          <w:lang w:val="en-GB"/>
        </w:rPr>
        <w:t>NORTHERN AREAS TAXI ASSOCIATION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w:t>
      </w:r>
      <w:r w:rsidRPr="004C341C">
        <w:rPr>
          <w:rFonts w:ascii="Arial" w:hAnsi="Arial" w:cs="Arial"/>
          <w:b/>
          <w:sz w:val="24"/>
          <w:szCs w:val="24"/>
          <w:vertAlign w:val="superscript"/>
          <w:lang w:val="en-GB"/>
        </w:rPr>
        <w:t>th</w:t>
      </w:r>
      <w:r>
        <w:rPr>
          <w:rFonts w:ascii="Arial" w:hAnsi="Arial" w:cs="Arial"/>
          <w:b/>
          <w:sz w:val="24"/>
          <w:szCs w:val="24"/>
          <w:lang w:val="en-GB"/>
        </w:rPr>
        <w:t xml:space="preserve"> Respondent</w:t>
      </w:r>
    </w:p>
    <w:p w:rsidR="004C341C" w:rsidRDefault="004C341C" w:rsidP="004C341C">
      <w:pPr>
        <w:rPr>
          <w:rFonts w:ascii="Arial" w:hAnsi="Arial" w:cs="Arial"/>
          <w:b/>
          <w:sz w:val="24"/>
          <w:szCs w:val="24"/>
          <w:lang w:val="en-GB"/>
        </w:rPr>
      </w:pPr>
    </w:p>
    <w:p w:rsidR="004C341C" w:rsidRDefault="004C341C" w:rsidP="004C341C">
      <w:pPr>
        <w:rPr>
          <w:rFonts w:ascii="Arial" w:hAnsi="Arial" w:cs="Arial"/>
          <w:b/>
          <w:sz w:val="24"/>
          <w:szCs w:val="24"/>
          <w:lang w:val="en-GB"/>
        </w:rPr>
      </w:pPr>
      <w:r>
        <w:rPr>
          <w:rFonts w:ascii="Arial" w:hAnsi="Arial" w:cs="Arial"/>
          <w:b/>
          <w:sz w:val="24"/>
          <w:szCs w:val="24"/>
          <w:lang w:val="en-GB"/>
        </w:rPr>
        <w:t>MEMBER OF THE EXECUTIVE COUNCIL FOR TRANSPORT</w:t>
      </w:r>
    </w:p>
    <w:p w:rsidR="004C341C" w:rsidRDefault="004C341C" w:rsidP="004C341C">
      <w:pPr>
        <w:rPr>
          <w:rFonts w:ascii="Arial" w:hAnsi="Arial" w:cs="Arial"/>
          <w:b/>
          <w:sz w:val="24"/>
          <w:szCs w:val="24"/>
          <w:lang w:val="en-GB"/>
        </w:rPr>
      </w:pPr>
      <w:r>
        <w:rPr>
          <w:rFonts w:ascii="Arial" w:hAnsi="Arial" w:cs="Arial"/>
          <w:b/>
          <w:sz w:val="24"/>
          <w:szCs w:val="24"/>
          <w:lang w:val="en-GB"/>
        </w:rPr>
        <w:t>AND PUBLIC WORKS EASTERN CAPE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5</w:t>
      </w:r>
      <w:r w:rsidRPr="004C341C">
        <w:rPr>
          <w:rFonts w:ascii="Arial" w:hAnsi="Arial" w:cs="Arial"/>
          <w:b/>
          <w:sz w:val="24"/>
          <w:szCs w:val="24"/>
          <w:vertAlign w:val="superscript"/>
          <w:lang w:val="en-GB"/>
        </w:rPr>
        <w:t>th</w:t>
      </w:r>
      <w:r>
        <w:rPr>
          <w:rFonts w:ascii="Arial" w:hAnsi="Arial" w:cs="Arial"/>
          <w:b/>
          <w:sz w:val="24"/>
          <w:szCs w:val="24"/>
          <w:lang w:val="en-GB"/>
        </w:rPr>
        <w:t xml:space="preserve"> Respondent</w:t>
      </w:r>
    </w:p>
    <w:p w:rsidR="004C341C" w:rsidRDefault="004C341C" w:rsidP="004C341C">
      <w:pPr>
        <w:rPr>
          <w:rFonts w:ascii="Arial" w:hAnsi="Arial" w:cs="Arial"/>
          <w:b/>
          <w:sz w:val="24"/>
          <w:szCs w:val="24"/>
          <w:lang w:val="en-GB"/>
        </w:rPr>
      </w:pPr>
    </w:p>
    <w:p w:rsidR="004C341C" w:rsidRPr="00832033" w:rsidRDefault="004C341C" w:rsidP="004C341C">
      <w:pPr>
        <w:rPr>
          <w:rFonts w:ascii="Arial" w:hAnsi="Arial" w:cs="Arial"/>
          <w:b/>
          <w:sz w:val="24"/>
          <w:szCs w:val="24"/>
          <w:lang w:val="en-GB"/>
        </w:rPr>
      </w:pPr>
      <w:r>
        <w:rPr>
          <w:rFonts w:ascii="Arial" w:hAnsi="Arial" w:cs="Arial"/>
          <w:b/>
          <w:sz w:val="24"/>
          <w:szCs w:val="24"/>
          <w:lang w:val="en-GB"/>
        </w:rPr>
        <w:t>MINISTER OF TRANSPORT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6</w:t>
      </w:r>
      <w:r w:rsidRPr="004C341C">
        <w:rPr>
          <w:rFonts w:ascii="Arial" w:hAnsi="Arial" w:cs="Arial"/>
          <w:b/>
          <w:sz w:val="24"/>
          <w:szCs w:val="24"/>
          <w:vertAlign w:val="superscript"/>
          <w:lang w:val="en-GB"/>
        </w:rPr>
        <w:t>th</w:t>
      </w:r>
      <w:r>
        <w:rPr>
          <w:rFonts w:ascii="Arial" w:hAnsi="Arial" w:cs="Arial"/>
          <w:b/>
          <w:sz w:val="24"/>
          <w:szCs w:val="24"/>
          <w:lang w:val="en-GB"/>
        </w:rPr>
        <w:t xml:space="preserve"> Respondent</w:t>
      </w:r>
    </w:p>
    <w:p w:rsidR="004C341C" w:rsidRPr="00832033" w:rsidRDefault="004C341C" w:rsidP="004C341C">
      <w:pPr>
        <w:rPr>
          <w:rFonts w:ascii="Arial" w:hAnsi="Arial" w:cs="Arial"/>
          <w:b/>
          <w:sz w:val="24"/>
          <w:szCs w:val="24"/>
          <w:lang w:val="en-GB"/>
        </w:rPr>
      </w:pPr>
      <w:r w:rsidRPr="00832033">
        <w:rPr>
          <w:rFonts w:ascii="Arial" w:hAnsi="Arial" w:cs="Arial"/>
          <w:b/>
          <w:sz w:val="24"/>
          <w:szCs w:val="24"/>
          <w:lang w:val="en-GB"/>
        </w:rPr>
        <w:t>___________________________________________________________________</w:t>
      </w:r>
    </w:p>
    <w:p w:rsidR="004C341C" w:rsidRPr="00832033" w:rsidRDefault="004C341C" w:rsidP="004C341C">
      <w:pPr>
        <w:jc w:val="center"/>
        <w:rPr>
          <w:rFonts w:ascii="Arial" w:hAnsi="Arial" w:cs="Arial"/>
          <w:b/>
          <w:sz w:val="24"/>
          <w:szCs w:val="24"/>
          <w:lang w:val="en-GB"/>
        </w:rPr>
      </w:pPr>
      <w:r w:rsidRPr="00832033">
        <w:rPr>
          <w:rFonts w:ascii="Arial" w:hAnsi="Arial" w:cs="Arial"/>
          <w:b/>
          <w:sz w:val="24"/>
          <w:szCs w:val="24"/>
          <w:lang w:val="en-GB"/>
        </w:rPr>
        <w:t>JUDGMENT</w:t>
      </w:r>
    </w:p>
    <w:p w:rsidR="004C341C" w:rsidRPr="00832033" w:rsidRDefault="004C341C" w:rsidP="004C341C">
      <w:pPr>
        <w:rPr>
          <w:rFonts w:ascii="Arial" w:hAnsi="Arial" w:cs="Arial"/>
          <w:b/>
          <w:sz w:val="24"/>
          <w:szCs w:val="24"/>
          <w:lang w:val="en-GB"/>
        </w:rPr>
      </w:pPr>
      <w:r w:rsidRPr="00832033">
        <w:rPr>
          <w:rFonts w:ascii="Arial" w:hAnsi="Arial" w:cs="Arial"/>
          <w:b/>
          <w:sz w:val="24"/>
          <w:szCs w:val="24"/>
          <w:lang w:val="en-GB"/>
        </w:rPr>
        <w:t>___________________________________________________________________</w:t>
      </w:r>
    </w:p>
    <w:p w:rsidR="004C341C" w:rsidRDefault="004C341C" w:rsidP="004C341C">
      <w:pPr>
        <w:spacing w:line="480" w:lineRule="auto"/>
        <w:jc w:val="both"/>
        <w:rPr>
          <w:rFonts w:ascii="Arial" w:hAnsi="Arial" w:cs="Arial"/>
          <w:b/>
          <w:sz w:val="24"/>
          <w:szCs w:val="24"/>
          <w:lang w:val="en-GB"/>
        </w:rPr>
      </w:pPr>
      <w:r w:rsidRPr="00832033">
        <w:rPr>
          <w:rFonts w:ascii="Arial" w:hAnsi="Arial" w:cs="Arial"/>
          <w:b/>
          <w:sz w:val="24"/>
          <w:szCs w:val="24"/>
          <w:lang w:val="en-GB"/>
        </w:rPr>
        <w:t>JOLWANA J:</w:t>
      </w:r>
    </w:p>
    <w:p w:rsidR="004C341C" w:rsidRDefault="004C341C" w:rsidP="004C341C">
      <w:pPr>
        <w:spacing w:line="480" w:lineRule="auto"/>
        <w:jc w:val="both"/>
        <w:rPr>
          <w:rFonts w:ascii="Arial" w:hAnsi="Arial" w:cs="Arial"/>
          <w:sz w:val="24"/>
          <w:szCs w:val="24"/>
          <w:lang w:val="en-GB"/>
        </w:rPr>
      </w:pPr>
      <w:r>
        <w:rPr>
          <w:rFonts w:ascii="Arial" w:hAnsi="Arial" w:cs="Arial"/>
          <w:sz w:val="24"/>
          <w:szCs w:val="24"/>
          <w:lang w:val="en-GB"/>
        </w:rPr>
        <w:t xml:space="preserve">[1] On 15 February 2022 I delivered a judgment </w:t>
      </w:r>
      <w:r w:rsidR="00DA7DF7">
        <w:rPr>
          <w:rFonts w:ascii="Arial" w:hAnsi="Arial" w:cs="Arial"/>
          <w:sz w:val="24"/>
          <w:szCs w:val="24"/>
          <w:lang w:val="en-GB"/>
        </w:rPr>
        <w:t xml:space="preserve">(the judgment) </w:t>
      </w:r>
      <w:r>
        <w:rPr>
          <w:rFonts w:ascii="Arial" w:hAnsi="Arial" w:cs="Arial"/>
          <w:sz w:val="24"/>
          <w:szCs w:val="24"/>
          <w:lang w:val="en-GB"/>
        </w:rPr>
        <w:t>in which I dismissed the plaintiff’s action as a consequence of my dismissal of the plaintiff’s condonation application for its non-compliance with section 7(1) of PAJA.  In it</w:t>
      </w:r>
      <w:r w:rsidR="00481C17">
        <w:rPr>
          <w:rFonts w:ascii="Arial" w:hAnsi="Arial" w:cs="Arial"/>
          <w:sz w:val="24"/>
          <w:szCs w:val="24"/>
          <w:lang w:val="en-GB"/>
        </w:rPr>
        <w:t>s</w:t>
      </w:r>
      <w:r>
        <w:rPr>
          <w:rFonts w:ascii="Arial" w:hAnsi="Arial" w:cs="Arial"/>
          <w:sz w:val="24"/>
          <w:szCs w:val="24"/>
          <w:lang w:val="en-GB"/>
        </w:rPr>
        <w:t xml:space="preserve"> notice of application for leave to appeal the plaintiff lists no less than </w:t>
      </w:r>
      <w:r w:rsidR="00481C17">
        <w:rPr>
          <w:rFonts w:ascii="Arial" w:hAnsi="Arial" w:cs="Arial"/>
          <w:sz w:val="24"/>
          <w:szCs w:val="24"/>
          <w:lang w:val="en-GB"/>
        </w:rPr>
        <w:t xml:space="preserve">37 grounds for seeking leave to appeal on the basis of which it is contended that the appeal would have a reasonable prospect of success and that there are compelling reasons on the basis of </w:t>
      </w:r>
      <w:r w:rsidR="00610008">
        <w:rPr>
          <w:rFonts w:ascii="Arial" w:hAnsi="Arial" w:cs="Arial"/>
          <w:sz w:val="24"/>
          <w:szCs w:val="24"/>
          <w:lang w:val="en-GB"/>
        </w:rPr>
        <w:t>which the appeal should be heard regard being had to what the plaintiff calls a public interest factor in the action.</w:t>
      </w:r>
    </w:p>
    <w:p w:rsidR="00610008" w:rsidRDefault="00610008" w:rsidP="004C341C">
      <w:pPr>
        <w:spacing w:line="480" w:lineRule="auto"/>
        <w:jc w:val="both"/>
        <w:rPr>
          <w:rFonts w:ascii="Arial" w:hAnsi="Arial" w:cs="Arial"/>
          <w:sz w:val="24"/>
          <w:szCs w:val="24"/>
          <w:lang w:val="en-GB"/>
        </w:rPr>
      </w:pPr>
      <w:r>
        <w:rPr>
          <w:rFonts w:ascii="Arial" w:hAnsi="Arial" w:cs="Arial"/>
          <w:sz w:val="24"/>
          <w:szCs w:val="24"/>
          <w:lang w:val="en-GB"/>
        </w:rPr>
        <w:t>[2] I do not intend to deal with each ground of appeal line by line as doing so would lead to the inevitable regurgitation of my reasons in arriving at the conclusion that I did which are contained in my judgment.</w:t>
      </w:r>
      <w:r w:rsidR="00325373">
        <w:rPr>
          <w:rFonts w:ascii="Arial" w:hAnsi="Arial" w:cs="Arial"/>
          <w:sz w:val="24"/>
          <w:szCs w:val="24"/>
          <w:lang w:val="en-GB"/>
        </w:rPr>
        <w:t xml:space="preserve">  I will, however, deal with some of the grounds of appeal essentially to deal with what I consider to be </w:t>
      </w:r>
      <w:r w:rsidR="00DA7DF7">
        <w:rPr>
          <w:rFonts w:ascii="Arial" w:hAnsi="Arial" w:cs="Arial"/>
          <w:sz w:val="24"/>
          <w:szCs w:val="24"/>
          <w:lang w:val="en-GB"/>
        </w:rPr>
        <w:t xml:space="preserve">the </w:t>
      </w:r>
      <w:r w:rsidR="00325373">
        <w:rPr>
          <w:rFonts w:ascii="Arial" w:hAnsi="Arial" w:cs="Arial"/>
          <w:sz w:val="24"/>
          <w:szCs w:val="24"/>
          <w:lang w:val="en-GB"/>
        </w:rPr>
        <w:t>main grou</w:t>
      </w:r>
      <w:r w:rsidR="00D00501">
        <w:rPr>
          <w:rFonts w:ascii="Arial" w:hAnsi="Arial" w:cs="Arial"/>
          <w:sz w:val="24"/>
          <w:szCs w:val="24"/>
          <w:lang w:val="en-GB"/>
        </w:rPr>
        <w:t>nd</w:t>
      </w:r>
      <w:r w:rsidR="00325373">
        <w:rPr>
          <w:rFonts w:ascii="Arial" w:hAnsi="Arial" w:cs="Arial"/>
          <w:sz w:val="24"/>
          <w:szCs w:val="24"/>
          <w:lang w:val="en-GB"/>
        </w:rPr>
        <w:t>s of appeal.</w:t>
      </w:r>
      <w:r w:rsidR="009839D0">
        <w:rPr>
          <w:rFonts w:ascii="Arial" w:hAnsi="Arial" w:cs="Arial"/>
          <w:sz w:val="24"/>
          <w:szCs w:val="24"/>
          <w:lang w:val="en-GB"/>
        </w:rPr>
        <w:t xml:space="preserve">  I must hasten to indicate that I have considered all of the grounds of appeal.</w:t>
      </w:r>
    </w:p>
    <w:p w:rsidR="00610008" w:rsidRDefault="00610008" w:rsidP="004C341C">
      <w:pPr>
        <w:spacing w:line="480" w:lineRule="auto"/>
        <w:jc w:val="both"/>
        <w:rPr>
          <w:rFonts w:ascii="Arial" w:hAnsi="Arial" w:cs="Arial"/>
          <w:sz w:val="24"/>
          <w:szCs w:val="24"/>
          <w:lang w:val="en-GB"/>
        </w:rPr>
      </w:pPr>
      <w:r>
        <w:rPr>
          <w:rFonts w:ascii="Arial" w:hAnsi="Arial" w:cs="Arial"/>
          <w:sz w:val="24"/>
          <w:szCs w:val="24"/>
          <w:lang w:val="en-GB"/>
        </w:rPr>
        <w:t xml:space="preserve">[3] </w:t>
      </w:r>
      <w:r w:rsidR="00325373">
        <w:rPr>
          <w:rFonts w:ascii="Arial" w:hAnsi="Arial" w:cs="Arial"/>
          <w:sz w:val="24"/>
          <w:szCs w:val="24"/>
          <w:lang w:val="en-GB"/>
        </w:rPr>
        <w:t>T</w:t>
      </w:r>
      <w:r>
        <w:rPr>
          <w:rFonts w:ascii="Arial" w:hAnsi="Arial" w:cs="Arial"/>
          <w:sz w:val="24"/>
          <w:szCs w:val="24"/>
          <w:lang w:val="en-GB"/>
        </w:rPr>
        <w:t>he agreement</w:t>
      </w:r>
      <w:r w:rsidR="00325373">
        <w:rPr>
          <w:rFonts w:ascii="Arial" w:hAnsi="Arial" w:cs="Arial"/>
          <w:sz w:val="24"/>
          <w:szCs w:val="24"/>
          <w:lang w:val="en-GB"/>
        </w:rPr>
        <w:t>,</w:t>
      </w:r>
      <w:r>
        <w:rPr>
          <w:rFonts w:ascii="Arial" w:hAnsi="Arial" w:cs="Arial"/>
          <w:sz w:val="24"/>
          <w:szCs w:val="24"/>
          <w:lang w:val="en-GB"/>
        </w:rPr>
        <w:t xml:space="preserve"> the Vehicle Operating Agreement </w:t>
      </w:r>
      <w:r w:rsidR="007F5127">
        <w:rPr>
          <w:rFonts w:ascii="Arial" w:hAnsi="Arial" w:cs="Arial"/>
          <w:sz w:val="24"/>
          <w:szCs w:val="24"/>
          <w:lang w:val="en-GB"/>
        </w:rPr>
        <w:t xml:space="preserve">(annexure “POC3”) and the failure of the first defendant to furnish a copy of such agreement to the plaintiff despite numerous requests made by the plaintiff to the first defendant to furnish it with a copy </w:t>
      </w:r>
      <w:r w:rsidR="00325373">
        <w:rPr>
          <w:rFonts w:ascii="Arial" w:hAnsi="Arial" w:cs="Arial"/>
          <w:sz w:val="24"/>
          <w:szCs w:val="24"/>
          <w:lang w:val="en-GB"/>
        </w:rPr>
        <w:t>thereof has been adequately dealt with in the judgment</w:t>
      </w:r>
      <w:r w:rsidR="007F5127">
        <w:rPr>
          <w:rFonts w:ascii="Arial" w:hAnsi="Arial" w:cs="Arial"/>
          <w:sz w:val="24"/>
          <w:szCs w:val="24"/>
          <w:lang w:val="en-GB"/>
        </w:rPr>
        <w:t xml:space="preserve">.  </w:t>
      </w:r>
      <w:r w:rsidR="00325373">
        <w:rPr>
          <w:rFonts w:ascii="Arial" w:hAnsi="Arial" w:cs="Arial"/>
          <w:sz w:val="24"/>
          <w:szCs w:val="24"/>
          <w:lang w:val="en-GB"/>
        </w:rPr>
        <w:t xml:space="preserve">The </w:t>
      </w:r>
      <w:r w:rsidR="00DA7DF7">
        <w:rPr>
          <w:rFonts w:ascii="Arial" w:hAnsi="Arial" w:cs="Arial"/>
          <w:sz w:val="24"/>
          <w:szCs w:val="24"/>
          <w:lang w:val="en-GB"/>
        </w:rPr>
        <w:t>plaintiff</w:t>
      </w:r>
      <w:r w:rsidR="00325373">
        <w:rPr>
          <w:rFonts w:ascii="Arial" w:hAnsi="Arial" w:cs="Arial"/>
          <w:sz w:val="24"/>
          <w:szCs w:val="24"/>
          <w:lang w:val="en-GB"/>
        </w:rPr>
        <w:t xml:space="preserve"> has not dealt with its failure to invoke the remedies that were readily available.  </w:t>
      </w:r>
      <w:r w:rsidR="007F5127">
        <w:rPr>
          <w:rFonts w:ascii="Arial" w:hAnsi="Arial" w:cs="Arial"/>
          <w:sz w:val="24"/>
          <w:szCs w:val="24"/>
          <w:lang w:val="en-GB"/>
        </w:rPr>
        <w:t xml:space="preserve">Its failure to invoke any of the available remedies should not excuse it from having to comply with PAJA and institute legal action within a reasonable time and not later than 180 days.  </w:t>
      </w:r>
      <w:r w:rsidR="00DA7DF7">
        <w:rPr>
          <w:rFonts w:ascii="Arial" w:hAnsi="Arial" w:cs="Arial"/>
          <w:sz w:val="24"/>
          <w:szCs w:val="24"/>
          <w:lang w:val="en-GB"/>
        </w:rPr>
        <w:t xml:space="preserve">The plaintiff could neither explain nor come with a single cogent reason why it did not do so.  That on its own was an implicit acknowledgment that such remedies were in fact available.  </w:t>
      </w:r>
      <w:r w:rsidR="007F5127">
        <w:rPr>
          <w:rFonts w:ascii="Arial" w:hAnsi="Arial" w:cs="Arial"/>
          <w:sz w:val="24"/>
          <w:szCs w:val="24"/>
          <w:lang w:val="en-GB"/>
        </w:rPr>
        <w:t>The fact that instead of invo</w:t>
      </w:r>
      <w:r w:rsidR="00325373">
        <w:rPr>
          <w:rFonts w:ascii="Arial" w:hAnsi="Arial" w:cs="Arial"/>
          <w:sz w:val="24"/>
          <w:szCs w:val="24"/>
          <w:lang w:val="en-GB"/>
        </w:rPr>
        <w:t>k</w:t>
      </w:r>
      <w:r w:rsidR="007F5127">
        <w:rPr>
          <w:rFonts w:ascii="Arial" w:hAnsi="Arial" w:cs="Arial"/>
          <w:sz w:val="24"/>
          <w:szCs w:val="24"/>
          <w:lang w:val="en-GB"/>
        </w:rPr>
        <w:t xml:space="preserve">ing any of those remedies </w:t>
      </w:r>
      <w:r w:rsidR="00DA7DF7">
        <w:rPr>
          <w:rFonts w:ascii="Arial" w:hAnsi="Arial" w:cs="Arial"/>
          <w:sz w:val="24"/>
          <w:szCs w:val="24"/>
          <w:lang w:val="en-GB"/>
        </w:rPr>
        <w:t>for example,</w:t>
      </w:r>
      <w:r w:rsidR="009839D0">
        <w:rPr>
          <w:rFonts w:ascii="Arial" w:hAnsi="Arial" w:cs="Arial"/>
          <w:sz w:val="24"/>
          <w:szCs w:val="24"/>
          <w:lang w:val="en-GB"/>
        </w:rPr>
        <w:t xml:space="preserve"> interdicting the b</w:t>
      </w:r>
      <w:r w:rsidR="00DA7DF7">
        <w:rPr>
          <w:rFonts w:ascii="Arial" w:hAnsi="Arial" w:cs="Arial"/>
          <w:sz w:val="24"/>
          <w:szCs w:val="24"/>
          <w:lang w:val="en-GB"/>
        </w:rPr>
        <w:t>u</w:t>
      </w:r>
      <w:r w:rsidR="009839D0">
        <w:rPr>
          <w:rFonts w:ascii="Arial" w:hAnsi="Arial" w:cs="Arial"/>
          <w:sz w:val="24"/>
          <w:szCs w:val="24"/>
          <w:lang w:val="en-GB"/>
        </w:rPr>
        <w:t xml:space="preserve">ses from operating </w:t>
      </w:r>
      <w:r w:rsidR="00DA7DF7">
        <w:rPr>
          <w:rFonts w:ascii="Arial" w:hAnsi="Arial" w:cs="Arial"/>
          <w:sz w:val="24"/>
          <w:szCs w:val="24"/>
          <w:lang w:val="en-GB"/>
        </w:rPr>
        <w:t xml:space="preserve">pending an urgent review application </w:t>
      </w:r>
      <w:r w:rsidR="009839D0">
        <w:rPr>
          <w:rFonts w:ascii="Arial" w:hAnsi="Arial" w:cs="Arial"/>
          <w:sz w:val="24"/>
          <w:szCs w:val="24"/>
          <w:lang w:val="en-GB"/>
        </w:rPr>
        <w:t xml:space="preserve">and/or seeking an urgent </w:t>
      </w:r>
      <w:r w:rsidR="00802949">
        <w:rPr>
          <w:rFonts w:ascii="Arial" w:hAnsi="Arial" w:cs="Arial"/>
          <w:sz w:val="24"/>
          <w:szCs w:val="24"/>
          <w:lang w:val="en-GB"/>
        </w:rPr>
        <w:t xml:space="preserve">court </w:t>
      </w:r>
      <w:r w:rsidR="009839D0">
        <w:rPr>
          <w:rFonts w:ascii="Arial" w:hAnsi="Arial" w:cs="Arial"/>
          <w:sz w:val="24"/>
          <w:szCs w:val="24"/>
          <w:lang w:val="en-GB"/>
        </w:rPr>
        <w:t xml:space="preserve">order to be furnished with an agreement on the basis of which the buses were operating </w:t>
      </w:r>
      <w:r w:rsidR="006A437B">
        <w:rPr>
          <w:rFonts w:ascii="Arial" w:hAnsi="Arial" w:cs="Arial"/>
          <w:sz w:val="24"/>
          <w:szCs w:val="24"/>
          <w:lang w:val="en-GB"/>
        </w:rPr>
        <w:t xml:space="preserve">for example </w:t>
      </w:r>
      <w:r w:rsidR="009839D0">
        <w:rPr>
          <w:rFonts w:ascii="Arial" w:hAnsi="Arial" w:cs="Arial"/>
          <w:sz w:val="24"/>
          <w:szCs w:val="24"/>
          <w:lang w:val="en-GB"/>
        </w:rPr>
        <w:t>but</w:t>
      </w:r>
      <w:r w:rsidR="007F5127">
        <w:rPr>
          <w:rFonts w:ascii="Arial" w:hAnsi="Arial" w:cs="Arial"/>
          <w:sz w:val="24"/>
          <w:szCs w:val="24"/>
          <w:lang w:val="en-GB"/>
        </w:rPr>
        <w:t xml:space="preserve"> persisted in sending invoices to the first defendant</w:t>
      </w:r>
      <w:r w:rsidR="00DA7DF7">
        <w:rPr>
          <w:rFonts w:ascii="Arial" w:hAnsi="Arial" w:cs="Arial"/>
          <w:sz w:val="24"/>
          <w:szCs w:val="24"/>
          <w:lang w:val="en-GB"/>
        </w:rPr>
        <w:t xml:space="preserve"> says a lot</w:t>
      </w:r>
      <w:r w:rsidR="009839D0">
        <w:rPr>
          <w:rFonts w:ascii="Arial" w:hAnsi="Arial" w:cs="Arial"/>
          <w:sz w:val="24"/>
          <w:szCs w:val="24"/>
          <w:lang w:val="en-GB"/>
        </w:rPr>
        <w:t xml:space="preserve">.  </w:t>
      </w:r>
      <w:r w:rsidR="00DA7DF7">
        <w:rPr>
          <w:rFonts w:ascii="Arial" w:hAnsi="Arial" w:cs="Arial"/>
          <w:sz w:val="24"/>
          <w:szCs w:val="24"/>
          <w:lang w:val="en-GB"/>
        </w:rPr>
        <w:t xml:space="preserve">In electing to send invoices </w:t>
      </w:r>
      <w:r w:rsidR="009839D0">
        <w:rPr>
          <w:rFonts w:ascii="Arial" w:hAnsi="Arial" w:cs="Arial"/>
          <w:sz w:val="24"/>
          <w:szCs w:val="24"/>
          <w:lang w:val="en-GB"/>
        </w:rPr>
        <w:t>it sought to be paid compensation</w:t>
      </w:r>
      <w:r w:rsidR="007F5127">
        <w:rPr>
          <w:rFonts w:ascii="Arial" w:hAnsi="Arial" w:cs="Arial"/>
          <w:sz w:val="24"/>
          <w:szCs w:val="24"/>
          <w:lang w:val="en-GB"/>
        </w:rPr>
        <w:t xml:space="preserve"> </w:t>
      </w:r>
      <w:r w:rsidR="00DA7DF7">
        <w:rPr>
          <w:rFonts w:ascii="Arial" w:hAnsi="Arial" w:cs="Arial"/>
          <w:sz w:val="24"/>
          <w:szCs w:val="24"/>
          <w:lang w:val="en-GB"/>
        </w:rPr>
        <w:t>while</w:t>
      </w:r>
      <w:r w:rsidR="007F5127">
        <w:rPr>
          <w:rFonts w:ascii="Arial" w:hAnsi="Arial" w:cs="Arial"/>
          <w:sz w:val="24"/>
          <w:szCs w:val="24"/>
          <w:lang w:val="en-GB"/>
        </w:rPr>
        <w:t xml:space="preserve"> allow</w:t>
      </w:r>
      <w:r w:rsidR="00DA7DF7">
        <w:rPr>
          <w:rFonts w:ascii="Arial" w:hAnsi="Arial" w:cs="Arial"/>
          <w:sz w:val="24"/>
          <w:szCs w:val="24"/>
          <w:lang w:val="en-GB"/>
        </w:rPr>
        <w:t>ing</w:t>
      </w:r>
      <w:r w:rsidR="007F5127">
        <w:rPr>
          <w:rFonts w:ascii="Arial" w:hAnsi="Arial" w:cs="Arial"/>
          <w:sz w:val="24"/>
          <w:szCs w:val="24"/>
          <w:lang w:val="en-GB"/>
        </w:rPr>
        <w:t xml:space="preserve"> the amount claimed to accumulate over time in circumstances where the payment would </w:t>
      </w:r>
      <w:r w:rsidR="00325373">
        <w:rPr>
          <w:rFonts w:ascii="Arial" w:hAnsi="Arial" w:cs="Arial"/>
          <w:sz w:val="24"/>
          <w:szCs w:val="24"/>
          <w:lang w:val="en-GB"/>
        </w:rPr>
        <w:t>be in lie</w:t>
      </w:r>
      <w:r w:rsidR="00D00501">
        <w:rPr>
          <w:rFonts w:ascii="Arial" w:hAnsi="Arial" w:cs="Arial"/>
          <w:sz w:val="24"/>
          <w:szCs w:val="24"/>
          <w:lang w:val="en-GB"/>
        </w:rPr>
        <w:t>u of the</w:t>
      </w:r>
      <w:r w:rsidR="00120567">
        <w:rPr>
          <w:rFonts w:ascii="Arial" w:hAnsi="Arial" w:cs="Arial"/>
          <w:sz w:val="24"/>
          <w:szCs w:val="24"/>
          <w:lang w:val="en-GB"/>
        </w:rPr>
        <w:t xml:space="preserve"> plaintiff not raising the issue of the illegality of the contract or non-compliance with section 41 of the Act is </w:t>
      </w:r>
      <w:r w:rsidR="009839D0">
        <w:rPr>
          <w:rFonts w:ascii="Arial" w:hAnsi="Arial" w:cs="Arial"/>
          <w:sz w:val="24"/>
          <w:szCs w:val="24"/>
          <w:lang w:val="en-GB"/>
        </w:rPr>
        <w:t xml:space="preserve">indeed </w:t>
      </w:r>
      <w:r w:rsidR="00120567">
        <w:rPr>
          <w:rFonts w:ascii="Arial" w:hAnsi="Arial" w:cs="Arial"/>
          <w:sz w:val="24"/>
          <w:szCs w:val="24"/>
          <w:lang w:val="en-GB"/>
        </w:rPr>
        <w:t>troubling</w:t>
      </w:r>
      <w:r w:rsidR="009839D0">
        <w:rPr>
          <w:rFonts w:ascii="Arial" w:hAnsi="Arial" w:cs="Arial"/>
          <w:sz w:val="24"/>
          <w:szCs w:val="24"/>
          <w:lang w:val="en-GB"/>
        </w:rPr>
        <w:t xml:space="preserve"> to </w:t>
      </w:r>
      <w:r w:rsidR="007C6286">
        <w:rPr>
          <w:rFonts w:ascii="Arial" w:hAnsi="Arial" w:cs="Arial"/>
          <w:sz w:val="24"/>
          <w:szCs w:val="24"/>
          <w:lang w:val="en-GB"/>
        </w:rPr>
        <w:t>say the</w:t>
      </w:r>
      <w:r w:rsidR="009839D0">
        <w:rPr>
          <w:rFonts w:ascii="Arial" w:hAnsi="Arial" w:cs="Arial"/>
          <w:sz w:val="24"/>
          <w:szCs w:val="24"/>
          <w:lang w:val="en-GB"/>
        </w:rPr>
        <w:t xml:space="preserve"> least</w:t>
      </w:r>
      <w:r w:rsidR="00120567">
        <w:rPr>
          <w:rFonts w:ascii="Arial" w:hAnsi="Arial" w:cs="Arial"/>
          <w:sz w:val="24"/>
          <w:szCs w:val="24"/>
          <w:lang w:val="en-GB"/>
        </w:rPr>
        <w:t>.</w:t>
      </w:r>
      <w:r w:rsidR="00325373">
        <w:rPr>
          <w:rFonts w:ascii="Arial" w:hAnsi="Arial" w:cs="Arial"/>
          <w:sz w:val="24"/>
          <w:szCs w:val="24"/>
          <w:lang w:val="en-GB"/>
        </w:rPr>
        <w:t xml:space="preserve">  </w:t>
      </w:r>
      <w:r w:rsidR="006A437B">
        <w:rPr>
          <w:rFonts w:ascii="Arial" w:hAnsi="Arial" w:cs="Arial"/>
          <w:sz w:val="24"/>
          <w:szCs w:val="24"/>
          <w:lang w:val="en-GB"/>
        </w:rPr>
        <w:t xml:space="preserve">When the action was instituted the amount of compensation claimed had accumulated to more than twenty six million rand.  </w:t>
      </w:r>
      <w:r w:rsidR="00325373">
        <w:rPr>
          <w:rFonts w:ascii="Arial" w:hAnsi="Arial" w:cs="Arial"/>
          <w:sz w:val="24"/>
          <w:szCs w:val="24"/>
          <w:lang w:val="en-GB"/>
        </w:rPr>
        <w:t>This is more so that the plaintiff ca</w:t>
      </w:r>
      <w:r w:rsidR="00D00501">
        <w:rPr>
          <w:rFonts w:ascii="Arial" w:hAnsi="Arial" w:cs="Arial"/>
          <w:sz w:val="24"/>
          <w:szCs w:val="24"/>
          <w:lang w:val="en-GB"/>
        </w:rPr>
        <w:t>m</w:t>
      </w:r>
      <w:r w:rsidR="00325373">
        <w:rPr>
          <w:rFonts w:ascii="Arial" w:hAnsi="Arial" w:cs="Arial"/>
          <w:sz w:val="24"/>
          <w:szCs w:val="24"/>
          <w:lang w:val="en-GB"/>
        </w:rPr>
        <w:t xml:space="preserve">e before court </w:t>
      </w:r>
      <w:r w:rsidR="007C6286">
        <w:rPr>
          <w:rFonts w:ascii="Arial" w:hAnsi="Arial" w:cs="Arial"/>
          <w:sz w:val="24"/>
          <w:szCs w:val="24"/>
          <w:lang w:val="en-GB"/>
        </w:rPr>
        <w:t xml:space="preserve">citing breach of </w:t>
      </w:r>
      <w:r w:rsidR="00325373">
        <w:rPr>
          <w:rFonts w:ascii="Arial" w:hAnsi="Arial" w:cs="Arial"/>
          <w:sz w:val="24"/>
          <w:szCs w:val="24"/>
          <w:lang w:val="en-GB"/>
        </w:rPr>
        <w:t>legality</w:t>
      </w:r>
      <w:r w:rsidR="007C6286">
        <w:rPr>
          <w:rFonts w:ascii="Arial" w:hAnsi="Arial" w:cs="Arial"/>
          <w:sz w:val="24"/>
          <w:szCs w:val="24"/>
          <w:lang w:val="en-GB"/>
        </w:rPr>
        <w:t xml:space="preserve"> as the basis for its entitlement to compensation</w:t>
      </w:r>
      <w:r w:rsidR="00325373">
        <w:rPr>
          <w:rFonts w:ascii="Arial" w:hAnsi="Arial" w:cs="Arial"/>
          <w:sz w:val="24"/>
          <w:szCs w:val="24"/>
          <w:lang w:val="en-GB"/>
        </w:rPr>
        <w:t>.</w:t>
      </w:r>
    </w:p>
    <w:p w:rsidR="00120567" w:rsidRDefault="00120567" w:rsidP="004C341C">
      <w:pPr>
        <w:spacing w:line="480" w:lineRule="auto"/>
        <w:jc w:val="both"/>
        <w:rPr>
          <w:rFonts w:ascii="Arial" w:hAnsi="Arial" w:cs="Arial"/>
          <w:sz w:val="24"/>
          <w:szCs w:val="24"/>
          <w:lang w:val="en-GB"/>
        </w:rPr>
      </w:pPr>
      <w:r>
        <w:rPr>
          <w:rFonts w:ascii="Arial" w:hAnsi="Arial" w:cs="Arial"/>
          <w:sz w:val="24"/>
          <w:szCs w:val="24"/>
          <w:lang w:val="en-GB"/>
        </w:rPr>
        <w:t xml:space="preserve">[4] The plaintiff is in the situation in which it is </w:t>
      </w:r>
      <w:r w:rsidR="00D00501">
        <w:rPr>
          <w:rFonts w:ascii="Arial" w:hAnsi="Arial" w:cs="Arial"/>
          <w:sz w:val="24"/>
          <w:szCs w:val="24"/>
          <w:lang w:val="en-GB"/>
        </w:rPr>
        <w:t>of having failed to comp</w:t>
      </w:r>
      <w:r w:rsidR="009839D0">
        <w:rPr>
          <w:rFonts w:ascii="Arial" w:hAnsi="Arial" w:cs="Arial"/>
          <w:sz w:val="24"/>
          <w:szCs w:val="24"/>
          <w:lang w:val="en-GB"/>
        </w:rPr>
        <w:t>l</w:t>
      </w:r>
      <w:r w:rsidR="00D00501">
        <w:rPr>
          <w:rFonts w:ascii="Arial" w:hAnsi="Arial" w:cs="Arial"/>
          <w:sz w:val="24"/>
          <w:szCs w:val="24"/>
          <w:lang w:val="en-GB"/>
        </w:rPr>
        <w:t xml:space="preserve">y with section 7 (1) of PAJA </w:t>
      </w:r>
      <w:r>
        <w:rPr>
          <w:rFonts w:ascii="Arial" w:hAnsi="Arial" w:cs="Arial"/>
          <w:sz w:val="24"/>
          <w:szCs w:val="24"/>
          <w:lang w:val="en-GB"/>
        </w:rPr>
        <w:t xml:space="preserve">because it opted not to seek remedies and apply to court </w:t>
      </w:r>
      <w:r w:rsidR="00D00501">
        <w:rPr>
          <w:rFonts w:ascii="Arial" w:hAnsi="Arial" w:cs="Arial"/>
          <w:sz w:val="24"/>
          <w:szCs w:val="24"/>
          <w:lang w:val="en-GB"/>
        </w:rPr>
        <w:t xml:space="preserve">timeously </w:t>
      </w:r>
      <w:r>
        <w:rPr>
          <w:rFonts w:ascii="Arial" w:hAnsi="Arial" w:cs="Arial"/>
          <w:sz w:val="24"/>
          <w:szCs w:val="24"/>
          <w:lang w:val="en-GB"/>
        </w:rPr>
        <w:t>to have the contract set aside.  Instead it continued to send invoices and in that process ignored the provisions of PAJA to the extent that it was required to institute review proceedings within 180 days</w:t>
      </w:r>
      <w:r w:rsidR="00D00501">
        <w:rPr>
          <w:rFonts w:ascii="Arial" w:hAnsi="Arial" w:cs="Arial"/>
          <w:sz w:val="24"/>
          <w:szCs w:val="24"/>
          <w:lang w:val="en-GB"/>
        </w:rPr>
        <w:t xml:space="preserve">. </w:t>
      </w:r>
      <w:r>
        <w:rPr>
          <w:rFonts w:ascii="Arial" w:hAnsi="Arial" w:cs="Arial"/>
          <w:sz w:val="24"/>
          <w:szCs w:val="24"/>
          <w:lang w:val="en-GB"/>
        </w:rPr>
        <w:t xml:space="preserve"> I simply do not think that the interests of justice required that the plaintiff be granted condonation</w:t>
      </w:r>
      <w:r w:rsidR="009839D0">
        <w:rPr>
          <w:rFonts w:ascii="Arial" w:hAnsi="Arial" w:cs="Arial"/>
          <w:sz w:val="24"/>
          <w:szCs w:val="24"/>
          <w:lang w:val="en-GB"/>
        </w:rPr>
        <w:t xml:space="preserve"> nor is there a public interest in it being granted </w:t>
      </w:r>
      <w:r w:rsidR="007C6286">
        <w:rPr>
          <w:rFonts w:ascii="Arial" w:hAnsi="Arial" w:cs="Arial"/>
          <w:sz w:val="24"/>
          <w:szCs w:val="24"/>
          <w:lang w:val="en-GB"/>
        </w:rPr>
        <w:t>condonation.  I also see no public interest in the determination of the alleged failure of the first defendant to comply with section 41 of the Act in circumstances where the plaintiff choose the option of sending invoices instead of instituting review proceedings within the period prescribed in PAJA.</w:t>
      </w:r>
      <w:r>
        <w:rPr>
          <w:rFonts w:ascii="Arial" w:hAnsi="Arial" w:cs="Arial"/>
          <w:sz w:val="24"/>
          <w:szCs w:val="24"/>
          <w:lang w:val="en-GB"/>
        </w:rPr>
        <w:t xml:space="preserve">  This</w:t>
      </w:r>
      <w:r w:rsidR="00325373">
        <w:rPr>
          <w:rFonts w:ascii="Arial" w:hAnsi="Arial" w:cs="Arial"/>
          <w:sz w:val="24"/>
          <w:szCs w:val="24"/>
          <w:lang w:val="en-GB"/>
        </w:rPr>
        <w:t>,</w:t>
      </w:r>
      <w:r>
        <w:rPr>
          <w:rFonts w:ascii="Arial" w:hAnsi="Arial" w:cs="Arial"/>
          <w:sz w:val="24"/>
          <w:szCs w:val="24"/>
          <w:lang w:val="en-GB"/>
        </w:rPr>
        <w:t xml:space="preserve"> in my view</w:t>
      </w:r>
      <w:r w:rsidR="00325373">
        <w:rPr>
          <w:rFonts w:ascii="Arial" w:hAnsi="Arial" w:cs="Arial"/>
          <w:sz w:val="24"/>
          <w:szCs w:val="24"/>
          <w:lang w:val="en-GB"/>
        </w:rPr>
        <w:t>,</w:t>
      </w:r>
      <w:r>
        <w:rPr>
          <w:rFonts w:ascii="Arial" w:hAnsi="Arial" w:cs="Arial"/>
          <w:sz w:val="24"/>
          <w:szCs w:val="24"/>
          <w:lang w:val="en-GB"/>
        </w:rPr>
        <w:t xml:space="preserve"> </w:t>
      </w:r>
      <w:r w:rsidR="00325373">
        <w:rPr>
          <w:rFonts w:ascii="Arial" w:hAnsi="Arial" w:cs="Arial"/>
          <w:sz w:val="24"/>
          <w:szCs w:val="24"/>
          <w:lang w:val="en-GB"/>
        </w:rPr>
        <w:t>is especially so</w:t>
      </w:r>
      <w:r>
        <w:rPr>
          <w:rFonts w:ascii="Arial" w:hAnsi="Arial" w:cs="Arial"/>
          <w:sz w:val="24"/>
          <w:szCs w:val="24"/>
          <w:lang w:val="en-GB"/>
        </w:rPr>
        <w:t xml:space="preserve"> in circumstances in which the plaintiff was </w:t>
      </w:r>
      <w:r w:rsidR="00D00501">
        <w:rPr>
          <w:rFonts w:ascii="Arial" w:hAnsi="Arial" w:cs="Arial"/>
          <w:sz w:val="24"/>
          <w:szCs w:val="24"/>
          <w:lang w:val="en-GB"/>
        </w:rPr>
        <w:t xml:space="preserve">always </w:t>
      </w:r>
      <w:r>
        <w:rPr>
          <w:rFonts w:ascii="Arial" w:hAnsi="Arial" w:cs="Arial"/>
          <w:sz w:val="24"/>
          <w:szCs w:val="24"/>
          <w:lang w:val="en-GB"/>
        </w:rPr>
        <w:t xml:space="preserve">of the view that </w:t>
      </w:r>
      <w:r w:rsidR="007C6286">
        <w:rPr>
          <w:rFonts w:ascii="Arial" w:hAnsi="Arial" w:cs="Arial"/>
          <w:sz w:val="24"/>
          <w:szCs w:val="24"/>
          <w:lang w:val="en-GB"/>
        </w:rPr>
        <w:t>first defendant contravened the provisions of section 41 in introducing the buses or allowing the second defendant to operate them on its routes</w:t>
      </w:r>
      <w:r>
        <w:rPr>
          <w:rFonts w:ascii="Arial" w:hAnsi="Arial" w:cs="Arial"/>
          <w:sz w:val="24"/>
          <w:szCs w:val="24"/>
          <w:lang w:val="en-GB"/>
        </w:rPr>
        <w:t>.</w:t>
      </w:r>
      <w:r w:rsidR="006A437B">
        <w:rPr>
          <w:rFonts w:ascii="Arial" w:hAnsi="Arial" w:cs="Arial"/>
          <w:sz w:val="24"/>
          <w:szCs w:val="24"/>
          <w:lang w:val="en-GB"/>
        </w:rPr>
        <w:t xml:space="preserve">  The contract now sought to be reviewed and set aside has run its course.</w:t>
      </w:r>
    </w:p>
    <w:p w:rsidR="00120567" w:rsidRDefault="00120567" w:rsidP="004C341C">
      <w:pPr>
        <w:spacing w:line="480" w:lineRule="auto"/>
        <w:jc w:val="both"/>
        <w:rPr>
          <w:rFonts w:ascii="Arial" w:hAnsi="Arial" w:cs="Arial"/>
          <w:sz w:val="24"/>
          <w:szCs w:val="24"/>
          <w:lang w:val="en-GB"/>
        </w:rPr>
      </w:pPr>
      <w:r>
        <w:rPr>
          <w:rFonts w:ascii="Arial" w:hAnsi="Arial" w:cs="Arial"/>
          <w:sz w:val="24"/>
          <w:szCs w:val="24"/>
          <w:lang w:val="en-GB"/>
        </w:rPr>
        <w:t xml:space="preserve">[5] </w:t>
      </w:r>
      <w:r w:rsidR="009839D0">
        <w:rPr>
          <w:rFonts w:ascii="Arial" w:hAnsi="Arial" w:cs="Arial"/>
          <w:sz w:val="24"/>
          <w:szCs w:val="24"/>
          <w:lang w:val="en-GB"/>
        </w:rPr>
        <w:t>The plaintiff relie</w:t>
      </w:r>
      <w:r w:rsidR="007C6286">
        <w:rPr>
          <w:rFonts w:ascii="Arial" w:hAnsi="Arial" w:cs="Arial"/>
          <w:sz w:val="24"/>
          <w:szCs w:val="24"/>
          <w:lang w:val="en-GB"/>
        </w:rPr>
        <w:t>s</w:t>
      </w:r>
      <w:r w:rsidR="009839D0">
        <w:rPr>
          <w:rFonts w:ascii="Arial" w:hAnsi="Arial" w:cs="Arial"/>
          <w:sz w:val="24"/>
          <w:szCs w:val="24"/>
          <w:lang w:val="en-GB"/>
        </w:rPr>
        <w:t xml:space="preserve"> on its contention</w:t>
      </w:r>
      <w:r>
        <w:rPr>
          <w:rFonts w:ascii="Arial" w:hAnsi="Arial" w:cs="Arial"/>
          <w:sz w:val="24"/>
          <w:szCs w:val="24"/>
          <w:lang w:val="en-GB"/>
        </w:rPr>
        <w:t xml:space="preserve"> that its delay should have been overlooked on the basis that section 172 of the Constitution enjoins a court to declare invalid without hesitation any law or conduct that is inconsistent with the Constitution.  The submission seems to be that it matters not </w:t>
      </w:r>
      <w:r w:rsidR="00380AF1">
        <w:rPr>
          <w:rFonts w:ascii="Arial" w:hAnsi="Arial" w:cs="Arial"/>
          <w:sz w:val="24"/>
          <w:szCs w:val="24"/>
          <w:lang w:val="en-GB"/>
        </w:rPr>
        <w:t>what the delay is and the reasons therefor</w:t>
      </w:r>
      <w:r w:rsidR="007C6286">
        <w:rPr>
          <w:rFonts w:ascii="Arial" w:hAnsi="Arial" w:cs="Arial"/>
          <w:sz w:val="24"/>
          <w:szCs w:val="24"/>
          <w:lang w:val="en-GB"/>
        </w:rPr>
        <w:t>,</w:t>
      </w:r>
      <w:r w:rsidR="00380AF1">
        <w:rPr>
          <w:rFonts w:ascii="Arial" w:hAnsi="Arial" w:cs="Arial"/>
          <w:sz w:val="24"/>
          <w:szCs w:val="24"/>
          <w:lang w:val="en-GB"/>
        </w:rPr>
        <w:t xml:space="preserve"> as long as there is a suggestion or evidence that there was non-compliance with a legislat</w:t>
      </w:r>
      <w:r w:rsidR="00325373">
        <w:rPr>
          <w:rFonts w:ascii="Arial" w:hAnsi="Arial" w:cs="Arial"/>
          <w:sz w:val="24"/>
          <w:szCs w:val="24"/>
          <w:lang w:val="en-GB"/>
        </w:rPr>
        <w:t>ive</w:t>
      </w:r>
      <w:r w:rsidR="00380AF1">
        <w:rPr>
          <w:rFonts w:ascii="Arial" w:hAnsi="Arial" w:cs="Arial"/>
          <w:sz w:val="24"/>
          <w:szCs w:val="24"/>
          <w:lang w:val="en-GB"/>
        </w:rPr>
        <w:t xml:space="preserve"> provision</w:t>
      </w:r>
      <w:r w:rsidR="00361418">
        <w:rPr>
          <w:rFonts w:ascii="Arial" w:hAnsi="Arial" w:cs="Arial"/>
          <w:sz w:val="24"/>
          <w:szCs w:val="24"/>
          <w:lang w:val="en-GB"/>
        </w:rPr>
        <w:t>,</w:t>
      </w:r>
      <w:r w:rsidR="00380AF1">
        <w:rPr>
          <w:rFonts w:ascii="Arial" w:hAnsi="Arial" w:cs="Arial"/>
          <w:sz w:val="24"/>
          <w:szCs w:val="24"/>
          <w:lang w:val="en-GB"/>
        </w:rPr>
        <w:t xml:space="preserve"> a court must overlook the delay.  There a number of problems with this approach.  The first one is that the reasons for the delay play a very crucial role</w:t>
      </w:r>
      <w:r w:rsidR="00D00501">
        <w:rPr>
          <w:rFonts w:ascii="Arial" w:hAnsi="Arial" w:cs="Arial"/>
          <w:sz w:val="24"/>
          <w:szCs w:val="24"/>
          <w:lang w:val="en-GB"/>
        </w:rPr>
        <w:t xml:space="preserve"> in the discretion that the court must exercise</w:t>
      </w:r>
      <w:r w:rsidR="009839D0">
        <w:rPr>
          <w:rFonts w:ascii="Arial" w:hAnsi="Arial" w:cs="Arial"/>
          <w:sz w:val="24"/>
          <w:szCs w:val="24"/>
          <w:lang w:val="en-GB"/>
        </w:rPr>
        <w:t xml:space="preserve"> in deciding whether or not to condone</w:t>
      </w:r>
      <w:r w:rsidR="00380AF1">
        <w:rPr>
          <w:rFonts w:ascii="Arial" w:hAnsi="Arial" w:cs="Arial"/>
          <w:sz w:val="24"/>
          <w:szCs w:val="24"/>
          <w:lang w:val="en-GB"/>
        </w:rPr>
        <w:t xml:space="preserve">.  It clearly cannot be that the reason for the delay becomes irrelevant once the basis for the review is </w:t>
      </w:r>
      <w:r w:rsidR="00D00501">
        <w:rPr>
          <w:rFonts w:ascii="Arial" w:hAnsi="Arial" w:cs="Arial"/>
          <w:sz w:val="24"/>
          <w:szCs w:val="24"/>
          <w:lang w:val="en-GB"/>
        </w:rPr>
        <w:t xml:space="preserve">an </w:t>
      </w:r>
      <w:r w:rsidR="00380AF1">
        <w:rPr>
          <w:rFonts w:ascii="Arial" w:hAnsi="Arial" w:cs="Arial"/>
          <w:sz w:val="24"/>
          <w:szCs w:val="24"/>
          <w:lang w:val="en-GB"/>
        </w:rPr>
        <w:t>alleged non-compliance with a statutory provision.</w:t>
      </w:r>
      <w:r w:rsidR="00361418">
        <w:rPr>
          <w:rFonts w:ascii="Arial" w:hAnsi="Arial" w:cs="Arial"/>
          <w:sz w:val="24"/>
          <w:szCs w:val="24"/>
          <w:lang w:val="en-GB"/>
        </w:rPr>
        <w:t xml:space="preserve">  I certainly do not understand that to be our jurisprudence on condonation applications in general.</w:t>
      </w:r>
    </w:p>
    <w:p w:rsidR="00380AF1" w:rsidRDefault="00380AF1" w:rsidP="004C341C">
      <w:pPr>
        <w:spacing w:line="480" w:lineRule="auto"/>
        <w:jc w:val="both"/>
        <w:rPr>
          <w:rFonts w:ascii="Arial" w:hAnsi="Arial" w:cs="Arial"/>
          <w:sz w:val="24"/>
          <w:szCs w:val="24"/>
          <w:lang w:val="en-GB"/>
        </w:rPr>
      </w:pPr>
      <w:r>
        <w:rPr>
          <w:rFonts w:ascii="Arial" w:hAnsi="Arial" w:cs="Arial"/>
          <w:sz w:val="24"/>
          <w:szCs w:val="24"/>
          <w:lang w:val="en-GB"/>
        </w:rPr>
        <w:t xml:space="preserve">[6] In </w:t>
      </w:r>
      <w:r w:rsidRPr="00380AF1">
        <w:rPr>
          <w:rFonts w:ascii="Arial" w:hAnsi="Arial" w:cs="Arial"/>
          <w:i/>
          <w:sz w:val="24"/>
          <w:szCs w:val="24"/>
          <w:lang w:val="en-GB"/>
        </w:rPr>
        <w:t>Notyawa v Makana Municipality and Others</w:t>
      </w:r>
      <w:r>
        <w:rPr>
          <w:rFonts w:ascii="Arial" w:hAnsi="Arial" w:cs="Arial"/>
          <w:sz w:val="24"/>
          <w:szCs w:val="24"/>
          <w:lang w:val="en-GB"/>
        </w:rPr>
        <w:t xml:space="preserve"> 2020 (2) BCLR 136 (CC) </w:t>
      </w:r>
      <w:r w:rsidR="00361418">
        <w:rPr>
          <w:rFonts w:ascii="Arial" w:hAnsi="Arial" w:cs="Arial"/>
          <w:sz w:val="24"/>
          <w:szCs w:val="24"/>
          <w:lang w:val="en-GB"/>
        </w:rPr>
        <w:t xml:space="preserve">paragraph 48-49 </w:t>
      </w:r>
      <w:r>
        <w:rPr>
          <w:rFonts w:ascii="Arial" w:hAnsi="Arial" w:cs="Arial"/>
          <w:sz w:val="24"/>
          <w:szCs w:val="24"/>
          <w:lang w:val="en-GB"/>
        </w:rPr>
        <w:t>the Constitutional Court said:</w:t>
      </w:r>
    </w:p>
    <w:p w:rsidR="00380AF1" w:rsidRPr="00856319" w:rsidRDefault="00380AF1" w:rsidP="006A437B">
      <w:pPr>
        <w:spacing w:line="360" w:lineRule="auto"/>
        <w:ind w:left="426"/>
        <w:jc w:val="both"/>
        <w:rPr>
          <w:rFonts w:ascii="Arial" w:hAnsi="Arial" w:cs="Arial"/>
          <w:lang w:val="en-GB"/>
        </w:rPr>
      </w:pPr>
      <w:r w:rsidRPr="00856319">
        <w:rPr>
          <w:rFonts w:ascii="Arial" w:hAnsi="Arial" w:cs="Arial"/>
          <w:lang w:val="en-GB"/>
        </w:rPr>
        <w:t xml:space="preserve">“While not taking issue with the approach followed by the High Court, relying on </w:t>
      </w:r>
      <w:r w:rsidRPr="00325373">
        <w:rPr>
          <w:rFonts w:ascii="Arial" w:hAnsi="Arial" w:cs="Arial"/>
          <w:i/>
          <w:lang w:val="en-GB"/>
        </w:rPr>
        <w:t>Gijima</w:t>
      </w:r>
      <w:r w:rsidRPr="00856319">
        <w:rPr>
          <w:rFonts w:ascii="Arial" w:hAnsi="Arial" w:cs="Arial"/>
          <w:lang w:val="en-GB"/>
        </w:rPr>
        <w:t xml:space="preserve"> </w:t>
      </w:r>
      <w:r w:rsidR="006A437B">
        <w:rPr>
          <w:rFonts w:ascii="Arial" w:hAnsi="Arial" w:cs="Arial"/>
          <w:lang w:val="en-GB"/>
        </w:rPr>
        <w:t xml:space="preserve">  </w:t>
      </w:r>
      <w:r w:rsidRPr="00856319">
        <w:rPr>
          <w:rFonts w:ascii="Arial" w:hAnsi="Arial" w:cs="Arial"/>
          <w:lang w:val="en-GB"/>
        </w:rPr>
        <w:t>Mr Notyawa contended that despite the unreasonable delay, the High Court should have ent</w:t>
      </w:r>
      <w:r w:rsidR="003C55C4" w:rsidRPr="00856319">
        <w:rPr>
          <w:rFonts w:ascii="Arial" w:hAnsi="Arial" w:cs="Arial"/>
          <w:lang w:val="en-GB"/>
        </w:rPr>
        <w:t xml:space="preserve">ertained the review application.  It is apparent from the judgment in </w:t>
      </w:r>
      <w:r w:rsidR="003C55C4" w:rsidRPr="00325373">
        <w:rPr>
          <w:rFonts w:ascii="Arial" w:hAnsi="Arial" w:cs="Arial"/>
          <w:i/>
          <w:lang w:val="en-GB"/>
        </w:rPr>
        <w:t>Gijima</w:t>
      </w:r>
      <w:r w:rsidR="003C55C4" w:rsidRPr="00856319">
        <w:rPr>
          <w:rFonts w:ascii="Arial" w:hAnsi="Arial" w:cs="Arial"/>
          <w:lang w:val="en-GB"/>
        </w:rPr>
        <w:t xml:space="preserve"> that a court has discretion to overlook a delay.  And that the discretion must be exercised with reference to facts of a particular case which warrant the overlook.</w:t>
      </w:r>
    </w:p>
    <w:p w:rsidR="00556039" w:rsidRPr="00856319" w:rsidRDefault="003C55C4" w:rsidP="006A437B">
      <w:pPr>
        <w:spacing w:line="360" w:lineRule="auto"/>
        <w:ind w:left="426"/>
        <w:jc w:val="both"/>
        <w:rPr>
          <w:rFonts w:ascii="Arial" w:hAnsi="Arial" w:cs="Arial"/>
          <w:lang w:val="en-GB"/>
        </w:rPr>
      </w:pPr>
      <w:r w:rsidRPr="00856319">
        <w:rPr>
          <w:rFonts w:ascii="Arial" w:hAnsi="Arial" w:cs="Arial"/>
          <w:lang w:val="en-GB"/>
        </w:rPr>
        <w:t xml:space="preserve">The nature and extent of </w:t>
      </w:r>
      <w:r w:rsidR="00361418">
        <w:rPr>
          <w:rFonts w:ascii="Arial" w:hAnsi="Arial" w:cs="Arial"/>
          <w:lang w:val="en-GB"/>
        </w:rPr>
        <w:t xml:space="preserve">the </w:t>
      </w:r>
      <w:r w:rsidRPr="00856319">
        <w:rPr>
          <w:rFonts w:ascii="Arial" w:hAnsi="Arial" w:cs="Arial"/>
          <w:lang w:val="en-GB"/>
        </w:rPr>
        <w:t>illegality raised in r</w:t>
      </w:r>
      <w:r w:rsidR="006A437B">
        <w:rPr>
          <w:rFonts w:ascii="Arial" w:hAnsi="Arial" w:cs="Arial"/>
          <w:lang w:val="en-GB"/>
        </w:rPr>
        <w:t xml:space="preserve">espect of the impugned decision </w:t>
      </w:r>
      <w:r w:rsidRPr="00856319">
        <w:rPr>
          <w:rFonts w:ascii="Arial" w:hAnsi="Arial" w:cs="Arial"/>
          <w:lang w:val="en-GB"/>
        </w:rPr>
        <w:t>constitutes a weight</w:t>
      </w:r>
      <w:r w:rsidR="00D00501">
        <w:rPr>
          <w:rFonts w:ascii="Arial" w:hAnsi="Arial" w:cs="Arial"/>
          <w:lang w:val="en-GB"/>
        </w:rPr>
        <w:t>y</w:t>
      </w:r>
      <w:r w:rsidRPr="00856319">
        <w:rPr>
          <w:rFonts w:ascii="Arial" w:hAnsi="Arial" w:cs="Arial"/>
          <w:lang w:val="en-GB"/>
        </w:rPr>
        <w:t xml:space="preserve"> factor in favour of overlooking a delay.  Where, as in </w:t>
      </w:r>
      <w:r w:rsidRPr="00325373">
        <w:rPr>
          <w:rFonts w:ascii="Arial" w:hAnsi="Arial" w:cs="Arial"/>
          <w:i/>
          <w:lang w:val="en-GB"/>
        </w:rPr>
        <w:t>Gijima</w:t>
      </w:r>
      <w:r w:rsidRPr="00856319">
        <w:rPr>
          <w:rFonts w:ascii="Arial" w:hAnsi="Arial" w:cs="Arial"/>
          <w:lang w:val="en-GB"/>
        </w:rPr>
        <w:t xml:space="preserve"> and </w:t>
      </w:r>
      <w:r w:rsidRPr="00D00501">
        <w:rPr>
          <w:rFonts w:ascii="Arial" w:hAnsi="Arial" w:cs="Arial"/>
          <w:i/>
          <w:lang w:val="en-GB"/>
        </w:rPr>
        <w:t>Tasima1</w:t>
      </w:r>
      <w:r w:rsidRPr="00856319">
        <w:rPr>
          <w:rFonts w:ascii="Arial" w:hAnsi="Arial" w:cs="Arial"/>
          <w:lang w:val="en-GB"/>
        </w:rPr>
        <w:t>, the illegality stems from a serious breach of the Constitution, a court may decide to overlook the delay in order to uphold the Constitution, provided the breach is clearly established on the facts before it.  This flows from the obligation imposed by section 172 (1) (a) of the Constitution which requires every competent court to declare invalid law or conduct that is inconsistent with the Constitution.</w:t>
      </w:r>
      <w:r w:rsidR="00556039" w:rsidRPr="00856319">
        <w:rPr>
          <w:rFonts w:ascii="Arial" w:hAnsi="Arial" w:cs="Arial"/>
          <w:lang w:val="en-GB"/>
        </w:rPr>
        <w:t>”</w:t>
      </w:r>
    </w:p>
    <w:p w:rsidR="00556039" w:rsidRDefault="00556039" w:rsidP="004C341C">
      <w:pPr>
        <w:spacing w:line="480" w:lineRule="auto"/>
        <w:jc w:val="both"/>
        <w:rPr>
          <w:rFonts w:ascii="Arial" w:hAnsi="Arial" w:cs="Arial"/>
          <w:sz w:val="24"/>
          <w:szCs w:val="24"/>
          <w:lang w:val="en-GB"/>
        </w:rPr>
      </w:pPr>
      <w:r>
        <w:rPr>
          <w:rFonts w:ascii="Arial" w:hAnsi="Arial" w:cs="Arial"/>
          <w:sz w:val="24"/>
          <w:szCs w:val="24"/>
          <w:lang w:val="en-GB"/>
        </w:rPr>
        <w:t>[</w:t>
      </w:r>
      <w:r w:rsidR="00A611DD">
        <w:rPr>
          <w:rFonts w:ascii="Arial" w:hAnsi="Arial" w:cs="Arial"/>
          <w:sz w:val="24"/>
          <w:szCs w:val="24"/>
          <w:lang w:val="en-GB"/>
        </w:rPr>
        <w:t>7</w:t>
      </w:r>
      <w:r>
        <w:rPr>
          <w:rFonts w:ascii="Arial" w:hAnsi="Arial" w:cs="Arial"/>
          <w:sz w:val="24"/>
          <w:szCs w:val="24"/>
          <w:lang w:val="en-GB"/>
        </w:rPr>
        <w:t xml:space="preserve">] </w:t>
      </w:r>
      <w:r w:rsidR="00361418">
        <w:rPr>
          <w:rFonts w:ascii="Arial" w:hAnsi="Arial" w:cs="Arial"/>
          <w:sz w:val="24"/>
          <w:szCs w:val="24"/>
          <w:lang w:val="en-GB"/>
        </w:rPr>
        <w:t>O</w:t>
      </w:r>
      <w:r>
        <w:rPr>
          <w:rFonts w:ascii="Arial" w:hAnsi="Arial" w:cs="Arial"/>
          <w:sz w:val="24"/>
          <w:szCs w:val="24"/>
          <w:lang w:val="en-GB"/>
        </w:rPr>
        <w:t xml:space="preserve">ur jurisprudence on the question of whether or not a delay </w:t>
      </w:r>
      <w:r w:rsidR="00BF4162">
        <w:rPr>
          <w:rFonts w:ascii="Arial" w:hAnsi="Arial" w:cs="Arial"/>
          <w:sz w:val="24"/>
          <w:szCs w:val="24"/>
          <w:lang w:val="en-GB"/>
        </w:rPr>
        <w:t>c</w:t>
      </w:r>
      <w:r>
        <w:rPr>
          <w:rFonts w:ascii="Arial" w:hAnsi="Arial" w:cs="Arial"/>
          <w:sz w:val="24"/>
          <w:szCs w:val="24"/>
          <w:lang w:val="en-GB"/>
        </w:rPr>
        <w:t xml:space="preserve">ould be overlooked is that the discretion of the court to </w:t>
      </w:r>
      <w:r w:rsidR="00361418">
        <w:rPr>
          <w:rFonts w:ascii="Arial" w:hAnsi="Arial" w:cs="Arial"/>
          <w:sz w:val="24"/>
          <w:szCs w:val="24"/>
          <w:lang w:val="en-GB"/>
        </w:rPr>
        <w:t>overlook or not to</w:t>
      </w:r>
      <w:r>
        <w:rPr>
          <w:rFonts w:ascii="Arial" w:hAnsi="Arial" w:cs="Arial"/>
          <w:sz w:val="24"/>
          <w:szCs w:val="24"/>
          <w:lang w:val="en-GB"/>
        </w:rPr>
        <w:t xml:space="preserve"> overlook a delay in an appropriate case is still applicable even where the review relates to </w:t>
      </w:r>
      <w:r w:rsidR="00F10BDB">
        <w:rPr>
          <w:rFonts w:ascii="Arial" w:hAnsi="Arial" w:cs="Arial"/>
          <w:sz w:val="24"/>
          <w:szCs w:val="24"/>
          <w:lang w:val="en-GB"/>
        </w:rPr>
        <w:t xml:space="preserve">non-compliance with </w:t>
      </w:r>
      <w:r w:rsidR="00361418">
        <w:rPr>
          <w:rFonts w:ascii="Arial" w:hAnsi="Arial" w:cs="Arial"/>
          <w:sz w:val="24"/>
          <w:szCs w:val="24"/>
          <w:lang w:val="en-GB"/>
        </w:rPr>
        <w:t xml:space="preserve">a </w:t>
      </w:r>
      <w:r w:rsidR="00F10BDB">
        <w:rPr>
          <w:rFonts w:ascii="Arial" w:hAnsi="Arial" w:cs="Arial"/>
          <w:sz w:val="24"/>
          <w:szCs w:val="24"/>
          <w:lang w:val="en-GB"/>
        </w:rPr>
        <w:t>legislat</w:t>
      </w:r>
      <w:r w:rsidR="00112300">
        <w:rPr>
          <w:rFonts w:ascii="Arial" w:hAnsi="Arial" w:cs="Arial"/>
          <w:sz w:val="24"/>
          <w:szCs w:val="24"/>
          <w:lang w:val="en-GB"/>
        </w:rPr>
        <w:t>iv</w:t>
      </w:r>
      <w:r>
        <w:rPr>
          <w:rFonts w:ascii="Arial" w:hAnsi="Arial" w:cs="Arial"/>
          <w:sz w:val="24"/>
          <w:szCs w:val="24"/>
          <w:lang w:val="en-GB"/>
        </w:rPr>
        <w:t xml:space="preserve">e prescript.  </w:t>
      </w:r>
      <w:r w:rsidR="00361418">
        <w:rPr>
          <w:rFonts w:ascii="Arial" w:hAnsi="Arial" w:cs="Arial"/>
          <w:sz w:val="24"/>
          <w:szCs w:val="24"/>
          <w:lang w:val="en-GB"/>
        </w:rPr>
        <w:t>That</w:t>
      </w:r>
      <w:r>
        <w:rPr>
          <w:rFonts w:ascii="Arial" w:hAnsi="Arial" w:cs="Arial"/>
          <w:sz w:val="24"/>
          <w:szCs w:val="24"/>
          <w:lang w:val="en-GB"/>
        </w:rPr>
        <w:t xml:space="preserve"> </w:t>
      </w:r>
      <w:r w:rsidR="00F10BDB">
        <w:rPr>
          <w:rFonts w:ascii="Arial" w:hAnsi="Arial" w:cs="Arial"/>
          <w:sz w:val="24"/>
          <w:szCs w:val="24"/>
          <w:lang w:val="en-GB"/>
        </w:rPr>
        <w:t>the discretion must be exercised with reference to the facts of a particular case.  An assessment must be made o</w:t>
      </w:r>
      <w:r w:rsidR="00112300">
        <w:rPr>
          <w:rFonts w:ascii="Arial" w:hAnsi="Arial" w:cs="Arial"/>
          <w:sz w:val="24"/>
          <w:szCs w:val="24"/>
          <w:lang w:val="en-GB"/>
        </w:rPr>
        <w:t>n</w:t>
      </w:r>
      <w:r w:rsidR="00F10BDB">
        <w:rPr>
          <w:rFonts w:ascii="Arial" w:hAnsi="Arial" w:cs="Arial"/>
          <w:sz w:val="24"/>
          <w:szCs w:val="24"/>
          <w:lang w:val="en-GB"/>
        </w:rPr>
        <w:t xml:space="preserve"> whether </w:t>
      </w:r>
      <w:r w:rsidR="00BF4162">
        <w:rPr>
          <w:rFonts w:ascii="Arial" w:hAnsi="Arial" w:cs="Arial"/>
          <w:sz w:val="24"/>
          <w:szCs w:val="24"/>
          <w:lang w:val="en-GB"/>
        </w:rPr>
        <w:t xml:space="preserve">or not </w:t>
      </w:r>
      <w:r w:rsidR="00F10BDB">
        <w:rPr>
          <w:rFonts w:ascii="Arial" w:hAnsi="Arial" w:cs="Arial"/>
          <w:sz w:val="24"/>
          <w:szCs w:val="24"/>
          <w:lang w:val="en-GB"/>
        </w:rPr>
        <w:t>on the facts of a particular case it is in the interests of justice to overlook a delay.  The question of the seriousness of the alleged breach of the Constitution is also part of the overall considerations</w:t>
      </w:r>
      <w:r w:rsidR="00112300">
        <w:rPr>
          <w:rFonts w:ascii="Arial" w:hAnsi="Arial" w:cs="Arial"/>
          <w:sz w:val="24"/>
          <w:szCs w:val="24"/>
          <w:lang w:val="en-GB"/>
        </w:rPr>
        <w:t xml:space="preserve"> and a </w:t>
      </w:r>
      <w:r w:rsidR="00361418">
        <w:rPr>
          <w:rFonts w:ascii="Arial" w:hAnsi="Arial" w:cs="Arial"/>
          <w:sz w:val="24"/>
          <w:szCs w:val="24"/>
          <w:lang w:val="en-GB"/>
        </w:rPr>
        <w:t xml:space="preserve">very </w:t>
      </w:r>
      <w:r w:rsidR="00112300">
        <w:rPr>
          <w:rFonts w:ascii="Arial" w:hAnsi="Arial" w:cs="Arial"/>
          <w:sz w:val="24"/>
          <w:szCs w:val="24"/>
          <w:lang w:val="en-GB"/>
        </w:rPr>
        <w:t>weighty factor</w:t>
      </w:r>
      <w:r w:rsidR="00BF4162">
        <w:rPr>
          <w:rFonts w:ascii="Arial" w:hAnsi="Arial" w:cs="Arial"/>
          <w:sz w:val="24"/>
          <w:szCs w:val="24"/>
          <w:lang w:val="en-GB"/>
        </w:rPr>
        <w:t xml:space="preserve"> in the court’s exercise of its</w:t>
      </w:r>
      <w:r w:rsidR="000D6B8E">
        <w:rPr>
          <w:rFonts w:ascii="Arial" w:hAnsi="Arial" w:cs="Arial"/>
          <w:sz w:val="24"/>
          <w:szCs w:val="24"/>
          <w:lang w:val="en-GB"/>
        </w:rPr>
        <w:t xml:space="preserve"> </w:t>
      </w:r>
      <w:r w:rsidR="00BF4162">
        <w:rPr>
          <w:rFonts w:ascii="Arial" w:hAnsi="Arial" w:cs="Arial"/>
          <w:sz w:val="24"/>
          <w:szCs w:val="24"/>
          <w:lang w:val="en-GB"/>
        </w:rPr>
        <w:t>discretion</w:t>
      </w:r>
      <w:r w:rsidR="00F10BDB">
        <w:rPr>
          <w:rFonts w:ascii="Arial" w:hAnsi="Arial" w:cs="Arial"/>
          <w:sz w:val="24"/>
          <w:szCs w:val="24"/>
          <w:lang w:val="en-GB"/>
        </w:rPr>
        <w:t>.</w:t>
      </w:r>
    </w:p>
    <w:p w:rsidR="00F10BDB" w:rsidRDefault="00F10BDB" w:rsidP="004C341C">
      <w:pPr>
        <w:spacing w:line="480" w:lineRule="auto"/>
        <w:jc w:val="both"/>
        <w:rPr>
          <w:rFonts w:ascii="Arial" w:hAnsi="Arial" w:cs="Arial"/>
          <w:sz w:val="24"/>
          <w:szCs w:val="24"/>
          <w:lang w:val="en-GB"/>
        </w:rPr>
      </w:pPr>
      <w:r>
        <w:rPr>
          <w:rFonts w:ascii="Arial" w:hAnsi="Arial" w:cs="Arial"/>
          <w:sz w:val="24"/>
          <w:szCs w:val="24"/>
          <w:lang w:val="en-GB"/>
        </w:rPr>
        <w:t>[</w:t>
      </w:r>
      <w:r w:rsidR="00A611DD">
        <w:rPr>
          <w:rFonts w:ascii="Arial" w:hAnsi="Arial" w:cs="Arial"/>
          <w:sz w:val="24"/>
          <w:szCs w:val="24"/>
          <w:lang w:val="en-GB"/>
        </w:rPr>
        <w:t>8</w:t>
      </w:r>
      <w:r>
        <w:rPr>
          <w:rFonts w:ascii="Arial" w:hAnsi="Arial" w:cs="Arial"/>
          <w:sz w:val="24"/>
          <w:szCs w:val="24"/>
          <w:lang w:val="en-GB"/>
        </w:rPr>
        <w:t xml:space="preserve">] It is troubling that the plaintiff was prepared to allow what it calls a serious breach of the Constitution to continue if it was compensated.  </w:t>
      </w:r>
      <w:r w:rsidR="00BF4162">
        <w:rPr>
          <w:rFonts w:ascii="Arial" w:hAnsi="Arial" w:cs="Arial"/>
          <w:sz w:val="24"/>
          <w:szCs w:val="24"/>
          <w:lang w:val="en-GB"/>
        </w:rPr>
        <w:t xml:space="preserve">Even when it was not </w:t>
      </w:r>
      <w:r w:rsidR="00361418">
        <w:rPr>
          <w:rFonts w:ascii="Arial" w:hAnsi="Arial" w:cs="Arial"/>
          <w:sz w:val="24"/>
          <w:szCs w:val="24"/>
          <w:lang w:val="en-GB"/>
        </w:rPr>
        <w:t xml:space="preserve">being </w:t>
      </w:r>
      <w:r w:rsidR="00BF4162">
        <w:rPr>
          <w:rFonts w:ascii="Arial" w:hAnsi="Arial" w:cs="Arial"/>
          <w:sz w:val="24"/>
          <w:szCs w:val="24"/>
          <w:lang w:val="en-GB"/>
        </w:rPr>
        <w:t xml:space="preserve">compensated and its invoices were in fact </w:t>
      </w:r>
      <w:r w:rsidR="00361418">
        <w:rPr>
          <w:rFonts w:ascii="Arial" w:hAnsi="Arial" w:cs="Arial"/>
          <w:sz w:val="24"/>
          <w:szCs w:val="24"/>
          <w:lang w:val="en-GB"/>
        </w:rPr>
        <w:t xml:space="preserve">being </w:t>
      </w:r>
      <w:r w:rsidR="00BF4162">
        <w:rPr>
          <w:rFonts w:ascii="Arial" w:hAnsi="Arial" w:cs="Arial"/>
          <w:sz w:val="24"/>
          <w:szCs w:val="24"/>
          <w:lang w:val="en-GB"/>
        </w:rPr>
        <w:t xml:space="preserve">ignored it still took no action within the timelines provided for in PAJA.  </w:t>
      </w:r>
      <w:r>
        <w:rPr>
          <w:rFonts w:ascii="Arial" w:hAnsi="Arial" w:cs="Arial"/>
          <w:sz w:val="24"/>
          <w:szCs w:val="24"/>
          <w:lang w:val="en-GB"/>
        </w:rPr>
        <w:t>Its reluctance and u</w:t>
      </w:r>
      <w:r w:rsidR="00112300">
        <w:rPr>
          <w:rFonts w:ascii="Arial" w:hAnsi="Arial" w:cs="Arial"/>
          <w:sz w:val="24"/>
          <w:szCs w:val="24"/>
          <w:lang w:val="en-GB"/>
        </w:rPr>
        <w:t xml:space="preserve">ltimate failure </w:t>
      </w:r>
      <w:r w:rsidR="00B46E44">
        <w:rPr>
          <w:rFonts w:ascii="Arial" w:hAnsi="Arial" w:cs="Arial"/>
          <w:sz w:val="24"/>
          <w:szCs w:val="24"/>
          <w:lang w:val="en-GB"/>
        </w:rPr>
        <w:t xml:space="preserve">to institute the review proceedings </w:t>
      </w:r>
      <w:r w:rsidR="00BF4162">
        <w:rPr>
          <w:rFonts w:ascii="Arial" w:hAnsi="Arial" w:cs="Arial"/>
          <w:sz w:val="24"/>
          <w:szCs w:val="24"/>
          <w:lang w:val="en-GB"/>
        </w:rPr>
        <w:t xml:space="preserve">timeously </w:t>
      </w:r>
      <w:r w:rsidR="00B46E44">
        <w:rPr>
          <w:rFonts w:ascii="Arial" w:hAnsi="Arial" w:cs="Arial"/>
          <w:sz w:val="24"/>
          <w:szCs w:val="24"/>
          <w:lang w:val="en-GB"/>
        </w:rPr>
        <w:t xml:space="preserve">was </w:t>
      </w:r>
      <w:r w:rsidR="00EE4466">
        <w:rPr>
          <w:rFonts w:ascii="Arial" w:hAnsi="Arial" w:cs="Arial"/>
          <w:sz w:val="24"/>
          <w:szCs w:val="24"/>
          <w:lang w:val="en-GB"/>
        </w:rPr>
        <w:t xml:space="preserve">largely </w:t>
      </w:r>
      <w:r w:rsidR="00B46E44">
        <w:rPr>
          <w:rFonts w:ascii="Arial" w:hAnsi="Arial" w:cs="Arial"/>
          <w:sz w:val="24"/>
          <w:szCs w:val="24"/>
          <w:lang w:val="en-GB"/>
        </w:rPr>
        <w:t xml:space="preserve">influenced by its willingness to accept compensation that would flow from the first defendant’s alleged contravention of section 41 of the Act.  </w:t>
      </w:r>
      <w:r w:rsidR="00BF4162">
        <w:rPr>
          <w:rFonts w:ascii="Arial" w:hAnsi="Arial" w:cs="Arial"/>
          <w:sz w:val="24"/>
          <w:szCs w:val="24"/>
          <w:lang w:val="en-GB"/>
        </w:rPr>
        <w:t>This is an attitude of a party that is not certain of its legal entitlement to compensation</w:t>
      </w:r>
      <w:r w:rsidR="00EE4466">
        <w:rPr>
          <w:rFonts w:ascii="Arial" w:hAnsi="Arial" w:cs="Arial"/>
          <w:sz w:val="24"/>
          <w:szCs w:val="24"/>
          <w:lang w:val="en-GB"/>
        </w:rPr>
        <w:t xml:space="preserve"> and whose commitment to the rule of law is wavering at best. </w:t>
      </w:r>
      <w:r w:rsidR="00BF4162">
        <w:rPr>
          <w:rFonts w:ascii="Arial" w:hAnsi="Arial" w:cs="Arial"/>
          <w:sz w:val="24"/>
          <w:szCs w:val="24"/>
          <w:lang w:val="en-GB"/>
        </w:rPr>
        <w:t xml:space="preserve"> </w:t>
      </w:r>
      <w:r w:rsidR="00EE4466">
        <w:rPr>
          <w:rFonts w:ascii="Arial" w:hAnsi="Arial" w:cs="Arial"/>
          <w:sz w:val="24"/>
          <w:szCs w:val="24"/>
          <w:lang w:val="en-GB"/>
        </w:rPr>
        <w:t>T</w:t>
      </w:r>
      <w:r w:rsidR="00B46E44">
        <w:rPr>
          <w:rFonts w:ascii="Arial" w:hAnsi="Arial" w:cs="Arial"/>
          <w:sz w:val="24"/>
          <w:szCs w:val="24"/>
          <w:lang w:val="en-GB"/>
        </w:rPr>
        <w:t>he contention that it was lulled into a false sense of security</w:t>
      </w:r>
      <w:r w:rsidR="00BF4162">
        <w:rPr>
          <w:rFonts w:ascii="Arial" w:hAnsi="Arial" w:cs="Arial"/>
          <w:sz w:val="24"/>
          <w:szCs w:val="24"/>
          <w:lang w:val="en-GB"/>
        </w:rPr>
        <w:t xml:space="preserve"> </w:t>
      </w:r>
      <w:r w:rsidR="00EE4466">
        <w:rPr>
          <w:rFonts w:ascii="Arial" w:hAnsi="Arial" w:cs="Arial"/>
          <w:sz w:val="24"/>
          <w:szCs w:val="24"/>
          <w:lang w:val="en-GB"/>
        </w:rPr>
        <w:t>is difficult to understand</w:t>
      </w:r>
      <w:r w:rsidR="00B46E44">
        <w:rPr>
          <w:rFonts w:ascii="Arial" w:hAnsi="Arial" w:cs="Arial"/>
          <w:sz w:val="24"/>
          <w:szCs w:val="24"/>
          <w:lang w:val="en-GB"/>
        </w:rPr>
        <w:t xml:space="preserve">.  How could there have been </w:t>
      </w:r>
      <w:r w:rsidR="000D6B8E">
        <w:rPr>
          <w:rFonts w:ascii="Arial" w:hAnsi="Arial" w:cs="Arial"/>
          <w:sz w:val="24"/>
          <w:szCs w:val="24"/>
          <w:lang w:val="en-GB"/>
        </w:rPr>
        <w:t xml:space="preserve">any sense of </w:t>
      </w:r>
      <w:r w:rsidR="00EE4466">
        <w:rPr>
          <w:rFonts w:ascii="Arial" w:hAnsi="Arial" w:cs="Arial"/>
          <w:sz w:val="24"/>
          <w:szCs w:val="24"/>
          <w:lang w:val="en-GB"/>
        </w:rPr>
        <w:t xml:space="preserve">security </w:t>
      </w:r>
      <w:r w:rsidR="000D6B8E">
        <w:rPr>
          <w:rFonts w:ascii="Arial" w:hAnsi="Arial" w:cs="Arial"/>
          <w:sz w:val="24"/>
          <w:szCs w:val="24"/>
          <w:lang w:val="en-GB"/>
        </w:rPr>
        <w:t xml:space="preserve">based </w:t>
      </w:r>
      <w:r w:rsidR="00EE4466">
        <w:rPr>
          <w:rFonts w:ascii="Arial" w:hAnsi="Arial" w:cs="Arial"/>
          <w:sz w:val="24"/>
          <w:szCs w:val="24"/>
          <w:lang w:val="en-GB"/>
        </w:rPr>
        <w:t xml:space="preserve">on </w:t>
      </w:r>
      <w:r w:rsidR="000D6B8E">
        <w:rPr>
          <w:rFonts w:ascii="Arial" w:hAnsi="Arial" w:cs="Arial"/>
          <w:sz w:val="24"/>
          <w:szCs w:val="24"/>
          <w:lang w:val="en-GB"/>
        </w:rPr>
        <w:t>non-compliance with the law</w:t>
      </w:r>
      <w:r w:rsidR="00EE4466">
        <w:rPr>
          <w:rFonts w:ascii="Arial" w:hAnsi="Arial" w:cs="Arial"/>
          <w:sz w:val="24"/>
          <w:szCs w:val="24"/>
          <w:lang w:val="en-GB"/>
        </w:rPr>
        <w:t xml:space="preserve">? </w:t>
      </w:r>
      <w:r w:rsidR="000D6B8E">
        <w:rPr>
          <w:rFonts w:ascii="Arial" w:hAnsi="Arial" w:cs="Arial"/>
          <w:sz w:val="24"/>
          <w:szCs w:val="24"/>
          <w:lang w:val="en-GB"/>
        </w:rPr>
        <w:t xml:space="preserve"> </w:t>
      </w:r>
      <w:r w:rsidR="00EE4466">
        <w:rPr>
          <w:rFonts w:ascii="Arial" w:hAnsi="Arial" w:cs="Arial"/>
          <w:sz w:val="24"/>
          <w:szCs w:val="24"/>
          <w:lang w:val="en-GB"/>
        </w:rPr>
        <w:t>T</w:t>
      </w:r>
      <w:r w:rsidR="0049571D">
        <w:rPr>
          <w:rFonts w:ascii="Arial" w:hAnsi="Arial" w:cs="Arial"/>
          <w:sz w:val="24"/>
          <w:szCs w:val="24"/>
          <w:lang w:val="en-GB"/>
        </w:rPr>
        <w:t xml:space="preserve">he entitlement of the plaintiff to rely on </w:t>
      </w:r>
      <w:r w:rsidR="000D6B8E">
        <w:rPr>
          <w:rFonts w:ascii="Arial" w:hAnsi="Arial" w:cs="Arial"/>
          <w:sz w:val="24"/>
          <w:szCs w:val="24"/>
          <w:lang w:val="en-GB"/>
        </w:rPr>
        <w:t xml:space="preserve">the so called undertaking </w:t>
      </w:r>
      <w:r w:rsidR="00EE4466">
        <w:rPr>
          <w:rFonts w:ascii="Arial" w:hAnsi="Arial" w:cs="Arial"/>
          <w:sz w:val="24"/>
          <w:szCs w:val="24"/>
          <w:lang w:val="en-GB"/>
        </w:rPr>
        <w:t xml:space="preserve">to pay compensation has no firm legal basis as there was no contractual agreement stipulating the terms on which the </w:t>
      </w:r>
      <w:r w:rsidR="00802949">
        <w:rPr>
          <w:rFonts w:ascii="Arial" w:hAnsi="Arial" w:cs="Arial"/>
          <w:sz w:val="24"/>
          <w:szCs w:val="24"/>
          <w:lang w:val="en-GB"/>
        </w:rPr>
        <w:t xml:space="preserve">first </w:t>
      </w:r>
      <w:r w:rsidR="00EE4466">
        <w:rPr>
          <w:rFonts w:ascii="Arial" w:hAnsi="Arial" w:cs="Arial"/>
          <w:sz w:val="24"/>
          <w:szCs w:val="24"/>
          <w:lang w:val="en-GB"/>
        </w:rPr>
        <w:t>defendant would be liable to pay compensation and how it would be calculated</w:t>
      </w:r>
      <w:r w:rsidR="00110229">
        <w:rPr>
          <w:rFonts w:ascii="Arial" w:hAnsi="Arial" w:cs="Arial"/>
          <w:sz w:val="24"/>
          <w:szCs w:val="24"/>
          <w:lang w:val="en-GB"/>
        </w:rPr>
        <w:t xml:space="preserve"> and for which routes</w:t>
      </w:r>
      <w:r w:rsidR="0049571D">
        <w:rPr>
          <w:rFonts w:ascii="Arial" w:hAnsi="Arial" w:cs="Arial"/>
          <w:sz w:val="24"/>
          <w:szCs w:val="24"/>
          <w:lang w:val="en-GB"/>
        </w:rPr>
        <w:t>.</w:t>
      </w:r>
      <w:r w:rsidR="00BF4162">
        <w:rPr>
          <w:rFonts w:ascii="Arial" w:hAnsi="Arial" w:cs="Arial"/>
          <w:sz w:val="24"/>
          <w:szCs w:val="24"/>
          <w:lang w:val="en-GB"/>
        </w:rPr>
        <w:t xml:space="preserve">  As a country we can ill afford to </w:t>
      </w:r>
      <w:r w:rsidR="000D6B8E">
        <w:rPr>
          <w:rFonts w:ascii="Arial" w:hAnsi="Arial" w:cs="Arial"/>
          <w:sz w:val="24"/>
          <w:szCs w:val="24"/>
          <w:lang w:val="en-GB"/>
        </w:rPr>
        <w:t>blow hot</w:t>
      </w:r>
      <w:r w:rsidR="00BF4162">
        <w:rPr>
          <w:rFonts w:ascii="Arial" w:hAnsi="Arial" w:cs="Arial"/>
          <w:sz w:val="24"/>
          <w:szCs w:val="24"/>
          <w:lang w:val="en-GB"/>
        </w:rPr>
        <w:t xml:space="preserve"> and cold or vacillate </w:t>
      </w:r>
      <w:r w:rsidR="000D6B8E">
        <w:rPr>
          <w:rFonts w:ascii="Arial" w:hAnsi="Arial" w:cs="Arial"/>
          <w:sz w:val="24"/>
          <w:szCs w:val="24"/>
          <w:lang w:val="en-GB"/>
        </w:rPr>
        <w:t xml:space="preserve">between the north and the south poles </w:t>
      </w:r>
      <w:r w:rsidR="00BF4162">
        <w:rPr>
          <w:rFonts w:ascii="Arial" w:hAnsi="Arial" w:cs="Arial"/>
          <w:sz w:val="24"/>
          <w:szCs w:val="24"/>
          <w:lang w:val="en-GB"/>
        </w:rPr>
        <w:t xml:space="preserve">on the fundamental constitutional </w:t>
      </w:r>
      <w:r w:rsidR="00CA6960">
        <w:rPr>
          <w:rFonts w:ascii="Arial" w:hAnsi="Arial" w:cs="Arial"/>
          <w:sz w:val="24"/>
          <w:szCs w:val="24"/>
          <w:lang w:val="en-GB"/>
        </w:rPr>
        <w:t>principle</w:t>
      </w:r>
      <w:r w:rsidR="00BF4162">
        <w:rPr>
          <w:rFonts w:ascii="Arial" w:hAnsi="Arial" w:cs="Arial"/>
          <w:sz w:val="24"/>
          <w:szCs w:val="24"/>
          <w:lang w:val="en-GB"/>
        </w:rPr>
        <w:t xml:space="preserve"> of the rule of law.</w:t>
      </w:r>
      <w:r w:rsidR="000D6B8E">
        <w:rPr>
          <w:rFonts w:ascii="Arial" w:hAnsi="Arial" w:cs="Arial"/>
          <w:sz w:val="24"/>
          <w:szCs w:val="24"/>
          <w:lang w:val="en-GB"/>
        </w:rPr>
        <w:t xml:space="preserve">  </w:t>
      </w:r>
    </w:p>
    <w:p w:rsidR="000D6B8E" w:rsidRDefault="0049571D" w:rsidP="004C341C">
      <w:pPr>
        <w:spacing w:line="480" w:lineRule="auto"/>
        <w:jc w:val="both"/>
        <w:rPr>
          <w:rFonts w:ascii="Arial" w:hAnsi="Arial" w:cs="Arial"/>
          <w:sz w:val="24"/>
          <w:szCs w:val="24"/>
          <w:lang w:val="en-GB"/>
        </w:rPr>
      </w:pPr>
      <w:r>
        <w:rPr>
          <w:rFonts w:ascii="Arial" w:hAnsi="Arial" w:cs="Arial"/>
          <w:sz w:val="24"/>
          <w:szCs w:val="24"/>
          <w:lang w:val="en-GB"/>
        </w:rPr>
        <w:t>[</w:t>
      </w:r>
      <w:r w:rsidR="00A611DD">
        <w:rPr>
          <w:rFonts w:ascii="Arial" w:hAnsi="Arial" w:cs="Arial"/>
          <w:sz w:val="24"/>
          <w:szCs w:val="24"/>
          <w:lang w:val="en-GB"/>
        </w:rPr>
        <w:t>9</w:t>
      </w:r>
      <w:r>
        <w:rPr>
          <w:rFonts w:ascii="Arial" w:hAnsi="Arial" w:cs="Arial"/>
          <w:sz w:val="24"/>
          <w:szCs w:val="24"/>
          <w:lang w:val="en-GB"/>
        </w:rPr>
        <w:t xml:space="preserve">] The </w:t>
      </w:r>
      <w:r w:rsidR="00CA6960">
        <w:rPr>
          <w:rFonts w:ascii="Arial" w:hAnsi="Arial" w:cs="Arial"/>
          <w:sz w:val="24"/>
          <w:szCs w:val="24"/>
          <w:lang w:val="en-GB"/>
        </w:rPr>
        <w:t xml:space="preserve">impugned </w:t>
      </w:r>
      <w:r>
        <w:rPr>
          <w:rFonts w:ascii="Arial" w:hAnsi="Arial" w:cs="Arial"/>
          <w:sz w:val="24"/>
          <w:szCs w:val="24"/>
          <w:lang w:val="en-GB"/>
        </w:rPr>
        <w:t>contract has since expired by effluxion of time having run its course.  Even if the non-compliance was clearly established it remain</w:t>
      </w:r>
      <w:r w:rsidR="00112300">
        <w:rPr>
          <w:rFonts w:ascii="Arial" w:hAnsi="Arial" w:cs="Arial"/>
          <w:sz w:val="24"/>
          <w:szCs w:val="24"/>
          <w:lang w:val="en-GB"/>
        </w:rPr>
        <w:t>s</w:t>
      </w:r>
      <w:r>
        <w:rPr>
          <w:rFonts w:ascii="Arial" w:hAnsi="Arial" w:cs="Arial"/>
          <w:sz w:val="24"/>
          <w:szCs w:val="24"/>
          <w:lang w:val="en-GB"/>
        </w:rPr>
        <w:t xml:space="preserve"> relevant </w:t>
      </w:r>
      <w:r w:rsidR="00CA6960">
        <w:rPr>
          <w:rFonts w:ascii="Arial" w:hAnsi="Arial" w:cs="Arial"/>
          <w:sz w:val="24"/>
          <w:szCs w:val="24"/>
          <w:lang w:val="en-GB"/>
        </w:rPr>
        <w:t xml:space="preserve">in my view </w:t>
      </w:r>
      <w:r>
        <w:rPr>
          <w:rFonts w:ascii="Arial" w:hAnsi="Arial" w:cs="Arial"/>
          <w:sz w:val="24"/>
          <w:szCs w:val="24"/>
          <w:lang w:val="en-GB"/>
        </w:rPr>
        <w:t xml:space="preserve">that it would have been committed in the spirit of trying to put the small role players like the taxi industry </w:t>
      </w:r>
      <w:r w:rsidR="00110229">
        <w:rPr>
          <w:rFonts w:ascii="Arial" w:hAnsi="Arial" w:cs="Arial"/>
          <w:sz w:val="24"/>
          <w:szCs w:val="24"/>
          <w:lang w:val="en-GB"/>
        </w:rPr>
        <w:t xml:space="preserve">and possibly other small bus operators </w:t>
      </w:r>
      <w:r>
        <w:rPr>
          <w:rFonts w:ascii="Arial" w:hAnsi="Arial" w:cs="Arial"/>
          <w:sz w:val="24"/>
          <w:szCs w:val="24"/>
          <w:lang w:val="en-GB"/>
        </w:rPr>
        <w:t xml:space="preserve">in a position where they would be </w:t>
      </w:r>
      <w:r w:rsidR="00112300">
        <w:rPr>
          <w:rFonts w:ascii="Arial" w:hAnsi="Arial" w:cs="Arial"/>
          <w:sz w:val="24"/>
          <w:szCs w:val="24"/>
          <w:lang w:val="en-GB"/>
        </w:rPr>
        <w:t>prepared</w:t>
      </w:r>
      <w:r>
        <w:rPr>
          <w:rFonts w:ascii="Arial" w:hAnsi="Arial" w:cs="Arial"/>
          <w:sz w:val="24"/>
          <w:szCs w:val="24"/>
          <w:lang w:val="en-GB"/>
        </w:rPr>
        <w:t xml:space="preserve"> for the planned integrated public transport network.  </w:t>
      </w:r>
      <w:r w:rsidR="00BF4162">
        <w:rPr>
          <w:rFonts w:ascii="Arial" w:hAnsi="Arial" w:cs="Arial"/>
          <w:sz w:val="24"/>
          <w:szCs w:val="24"/>
          <w:lang w:val="en-GB"/>
        </w:rPr>
        <w:t xml:space="preserve">This was the evidence of the plaintiff’s own witness.  </w:t>
      </w:r>
      <w:r>
        <w:rPr>
          <w:rFonts w:ascii="Arial" w:hAnsi="Arial" w:cs="Arial"/>
          <w:sz w:val="24"/>
          <w:szCs w:val="24"/>
          <w:lang w:val="en-GB"/>
        </w:rPr>
        <w:t>In this regard the bona fides of the first defendant even on the plaintiff’s own evidence are not in doubt and in fact are admitted.  This aspect of the first defendant’</w:t>
      </w:r>
      <w:r w:rsidR="00112300">
        <w:rPr>
          <w:rFonts w:ascii="Arial" w:hAnsi="Arial" w:cs="Arial"/>
          <w:sz w:val="24"/>
          <w:szCs w:val="24"/>
          <w:lang w:val="en-GB"/>
        </w:rPr>
        <w:t xml:space="preserve">s </w:t>
      </w:r>
      <w:r w:rsidR="005D32DF">
        <w:rPr>
          <w:rFonts w:ascii="Arial" w:hAnsi="Arial" w:cs="Arial"/>
          <w:sz w:val="24"/>
          <w:szCs w:val="24"/>
          <w:lang w:val="en-GB"/>
        </w:rPr>
        <w:t>case ma</w:t>
      </w:r>
      <w:r w:rsidR="00112300">
        <w:rPr>
          <w:rFonts w:ascii="Arial" w:hAnsi="Arial" w:cs="Arial"/>
          <w:sz w:val="24"/>
          <w:szCs w:val="24"/>
          <w:lang w:val="en-GB"/>
        </w:rPr>
        <w:t>kes</w:t>
      </w:r>
      <w:r w:rsidR="005D32DF">
        <w:rPr>
          <w:rFonts w:ascii="Arial" w:hAnsi="Arial" w:cs="Arial"/>
          <w:sz w:val="24"/>
          <w:szCs w:val="24"/>
          <w:lang w:val="en-GB"/>
        </w:rPr>
        <w:t xml:space="preserve"> this case distinguishable from any of the cases referred to by the plaintiff.  This is more so if regard is had to the very provisions of section 41 which enjoin contracting authorities to have regard to the promotion of the economic empowerment of small business or persons previously disadvantaged by unfair discrimination.  </w:t>
      </w:r>
    </w:p>
    <w:p w:rsidR="0049571D" w:rsidRDefault="000D6B8E" w:rsidP="004C341C">
      <w:pPr>
        <w:spacing w:line="480" w:lineRule="auto"/>
        <w:jc w:val="both"/>
        <w:rPr>
          <w:rFonts w:ascii="Arial" w:hAnsi="Arial" w:cs="Arial"/>
          <w:sz w:val="24"/>
          <w:szCs w:val="24"/>
          <w:lang w:val="en-GB"/>
        </w:rPr>
      </w:pPr>
      <w:r>
        <w:rPr>
          <w:rFonts w:ascii="Arial" w:hAnsi="Arial" w:cs="Arial"/>
          <w:sz w:val="24"/>
          <w:szCs w:val="24"/>
          <w:lang w:val="en-GB"/>
        </w:rPr>
        <w:t xml:space="preserve">[10] </w:t>
      </w:r>
      <w:r w:rsidR="00BF4162">
        <w:rPr>
          <w:rFonts w:ascii="Arial" w:hAnsi="Arial" w:cs="Arial"/>
          <w:sz w:val="24"/>
          <w:szCs w:val="24"/>
          <w:lang w:val="en-GB"/>
        </w:rPr>
        <w:t>Whe</w:t>
      </w:r>
      <w:r>
        <w:rPr>
          <w:rFonts w:ascii="Arial" w:hAnsi="Arial" w:cs="Arial"/>
          <w:sz w:val="24"/>
          <w:szCs w:val="24"/>
          <w:lang w:val="en-GB"/>
        </w:rPr>
        <w:t>ther or not</w:t>
      </w:r>
      <w:r w:rsidR="00BF4162">
        <w:rPr>
          <w:rFonts w:ascii="Arial" w:hAnsi="Arial" w:cs="Arial"/>
          <w:sz w:val="24"/>
          <w:szCs w:val="24"/>
          <w:lang w:val="en-GB"/>
        </w:rPr>
        <w:t xml:space="preserve"> it would have been correct for the first defendant to </w:t>
      </w:r>
      <w:r w:rsidR="00CA6960">
        <w:rPr>
          <w:rFonts w:ascii="Arial" w:hAnsi="Arial" w:cs="Arial"/>
          <w:sz w:val="24"/>
          <w:szCs w:val="24"/>
          <w:lang w:val="en-GB"/>
        </w:rPr>
        <w:t>assist</w:t>
      </w:r>
      <w:r w:rsidR="00BF4162">
        <w:rPr>
          <w:rFonts w:ascii="Arial" w:hAnsi="Arial" w:cs="Arial"/>
          <w:sz w:val="24"/>
          <w:szCs w:val="24"/>
          <w:lang w:val="en-GB"/>
        </w:rPr>
        <w:t xml:space="preserve"> the small role players in the transport </w:t>
      </w:r>
      <w:r w:rsidR="00895A7D">
        <w:rPr>
          <w:rFonts w:ascii="Arial" w:hAnsi="Arial" w:cs="Arial"/>
          <w:sz w:val="24"/>
          <w:szCs w:val="24"/>
          <w:lang w:val="en-GB"/>
        </w:rPr>
        <w:t xml:space="preserve">sector in that manner is a different matter.  </w:t>
      </w:r>
      <w:r>
        <w:rPr>
          <w:rFonts w:ascii="Arial" w:hAnsi="Arial" w:cs="Arial"/>
          <w:sz w:val="24"/>
          <w:szCs w:val="24"/>
          <w:lang w:val="en-GB"/>
        </w:rPr>
        <w:t>E</w:t>
      </w:r>
      <w:r w:rsidR="005D32DF">
        <w:rPr>
          <w:rFonts w:ascii="Arial" w:hAnsi="Arial" w:cs="Arial"/>
          <w:sz w:val="24"/>
          <w:szCs w:val="24"/>
          <w:lang w:val="en-GB"/>
        </w:rPr>
        <w:t xml:space="preserve">ven if it were to be established that there was a contravention of section 41 its bona fides in the alleged contravention </w:t>
      </w:r>
      <w:r w:rsidR="00110229">
        <w:rPr>
          <w:rFonts w:ascii="Arial" w:hAnsi="Arial" w:cs="Arial"/>
          <w:sz w:val="24"/>
          <w:szCs w:val="24"/>
          <w:lang w:val="en-GB"/>
        </w:rPr>
        <w:t>would</w:t>
      </w:r>
      <w:r w:rsidR="005D32DF">
        <w:rPr>
          <w:rFonts w:ascii="Arial" w:hAnsi="Arial" w:cs="Arial"/>
          <w:sz w:val="24"/>
          <w:szCs w:val="24"/>
          <w:lang w:val="en-GB"/>
        </w:rPr>
        <w:t xml:space="preserve"> minimise the seriousness of the </w:t>
      </w:r>
      <w:r w:rsidR="00110229">
        <w:rPr>
          <w:rFonts w:ascii="Arial" w:hAnsi="Arial" w:cs="Arial"/>
          <w:sz w:val="24"/>
          <w:szCs w:val="24"/>
          <w:lang w:val="en-GB"/>
        </w:rPr>
        <w:t xml:space="preserve">alleged </w:t>
      </w:r>
      <w:r>
        <w:rPr>
          <w:rFonts w:ascii="Arial" w:hAnsi="Arial" w:cs="Arial"/>
          <w:sz w:val="24"/>
          <w:szCs w:val="24"/>
          <w:lang w:val="en-GB"/>
        </w:rPr>
        <w:t xml:space="preserve">constitutional </w:t>
      </w:r>
      <w:r w:rsidR="005D32DF">
        <w:rPr>
          <w:rFonts w:ascii="Arial" w:hAnsi="Arial" w:cs="Arial"/>
          <w:sz w:val="24"/>
          <w:szCs w:val="24"/>
          <w:lang w:val="en-GB"/>
        </w:rPr>
        <w:t>violation</w:t>
      </w:r>
      <w:r w:rsidR="00895A7D">
        <w:rPr>
          <w:rFonts w:ascii="Arial" w:hAnsi="Arial" w:cs="Arial"/>
          <w:sz w:val="24"/>
          <w:szCs w:val="24"/>
          <w:lang w:val="en-GB"/>
        </w:rPr>
        <w:t xml:space="preserve"> in my view</w:t>
      </w:r>
      <w:r w:rsidR="005D32DF">
        <w:rPr>
          <w:rFonts w:ascii="Arial" w:hAnsi="Arial" w:cs="Arial"/>
          <w:sz w:val="24"/>
          <w:szCs w:val="24"/>
          <w:lang w:val="en-GB"/>
        </w:rPr>
        <w:t xml:space="preserve">.  </w:t>
      </w:r>
      <w:r w:rsidR="00895A7D">
        <w:rPr>
          <w:rFonts w:ascii="Arial" w:hAnsi="Arial" w:cs="Arial"/>
          <w:sz w:val="24"/>
          <w:szCs w:val="24"/>
          <w:lang w:val="en-GB"/>
        </w:rPr>
        <w:t>T</w:t>
      </w:r>
      <w:r w:rsidR="005D32DF">
        <w:rPr>
          <w:rFonts w:ascii="Arial" w:hAnsi="Arial" w:cs="Arial"/>
          <w:sz w:val="24"/>
          <w:szCs w:val="24"/>
          <w:lang w:val="en-GB"/>
        </w:rPr>
        <w:t xml:space="preserve">hat </w:t>
      </w:r>
      <w:r w:rsidR="00895A7D">
        <w:rPr>
          <w:rFonts w:ascii="Arial" w:hAnsi="Arial" w:cs="Arial"/>
          <w:sz w:val="24"/>
          <w:szCs w:val="24"/>
          <w:lang w:val="en-GB"/>
        </w:rPr>
        <w:t>must be</w:t>
      </w:r>
      <w:r w:rsidR="005D32DF">
        <w:rPr>
          <w:rFonts w:ascii="Arial" w:hAnsi="Arial" w:cs="Arial"/>
          <w:sz w:val="24"/>
          <w:szCs w:val="24"/>
          <w:lang w:val="en-GB"/>
        </w:rPr>
        <w:t xml:space="preserve"> considered together with the reasons for the delay on the part of the plaintiff and the fact that </w:t>
      </w:r>
      <w:r w:rsidR="009241DD">
        <w:rPr>
          <w:rFonts w:ascii="Arial" w:hAnsi="Arial" w:cs="Arial"/>
          <w:sz w:val="24"/>
          <w:szCs w:val="24"/>
          <w:lang w:val="en-GB"/>
        </w:rPr>
        <w:t xml:space="preserve">the </w:t>
      </w:r>
      <w:r w:rsidR="005D32DF">
        <w:rPr>
          <w:rFonts w:ascii="Arial" w:hAnsi="Arial" w:cs="Arial"/>
          <w:sz w:val="24"/>
          <w:szCs w:val="24"/>
          <w:lang w:val="en-GB"/>
        </w:rPr>
        <w:t xml:space="preserve">delay </w:t>
      </w:r>
      <w:r w:rsidR="00112300">
        <w:rPr>
          <w:rFonts w:ascii="Arial" w:hAnsi="Arial" w:cs="Arial"/>
          <w:sz w:val="24"/>
          <w:szCs w:val="24"/>
          <w:lang w:val="en-GB"/>
        </w:rPr>
        <w:t>led to</w:t>
      </w:r>
      <w:r w:rsidR="005D32DF">
        <w:rPr>
          <w:rFonts w:ascii="Arial" w:hAnsi="Arial" w:cs="Arial"/>
          <w:sz w:val="24"/>
          <w:szCs w:val="24"/>
          <w:lang w:val="en-GB"/>
        </w:rPr>
        <w:t xml:space="preserve"> the contract that is sought to be declared invalid </w:t>
      </w:r>
      <w:r w:rsidR="00112300">
        <w:rPr>
          <w:rFonts w:ascii="Arial" w:hAnsi="Arial" w:cs="Arial"/>
          <w:sz w:val="24"/>
          <w:szCs w:val="24"/>
          <w:lang w:val="en-GB"/>
        </w:rPr>
        <w:t>expiring after having been implemented in full</w:t>
      </w:r>
      <w:r w:rsidR="005D32DF">
        <w:rPr>
          <w:rFonts w:ascii="Arial" w:hAnsi="Arial" w:cs="Arial"/>
          <w:sz w:val="24"/>
          <w:szCs w:val="24"/>
          <w:lang w:val="en-GB"/>
        </w:rPr>
        <w:t>.  All of these considerations are part of the factual matrix that inform as they must</w:t>
      </w:r>
      <w:r w:rsidR="00112300">
        <w:rPr>
          <w:rFonts w:ascii="Arial" w:hAnsi="Arial" w:cs="Arial"/>
          <w:sz w:val="24"/>
          <w:szCs w:val="24"/>
          <w:lang w:val="en-GB"/>
        </w:rPr>
        <w:t>,</w:t>
      </w:r>
      <w:r w:rsidR="005D32DF">
        <w:rPr>
          <w:rFonts w:ascii="Arial" w:hAnsi="Arial" w:cs="Arial"/>
          <w:sz w:val="24"/>
          <w:szCs w:val="24"/>
          <w:lang w:val="en-GB"/>
        </w:rPr>
        <w:t xml:space="preserve"> the discretion of the court on whether or not </w:t>
      </w:r>
      <w:r w:rsidR="00950587">
        <w:rPr>
          <w:rFonts w:ascii="Arial" w:hAnsi="Arial" w:cs="Arial"/>
          <w:sz w:val="24"/>
          <w:szCs w:val="24"/>
          <w:lang w:val="en-GB"/>
        </w:rPr>
        <w:t>the delay should be overlooked.</w:t>
      </w:r>
      <w:r w:rsidR="00112300">
        <w:rPr>
          <w:rFonts w:ascii="Arial" w:hAnsi="Arial" w:cs="Arial"/>
          <w:sz w:val="24"/>
          <w:szCs w:val="24"/>
          <w:lang w:val="en-GB"/>
        </w:rPr>
        <w:t xml:space="preserve">  They do not lose relevance merely because a statutory provision may have been </w:t>
      </w:r>
      <w:r w:rsidR="009241DD">
        <w:rPr>
          <w:rFonts w:ascii="Arial" w:hAnsi="Arial" w:cs="Arial"/>
          <w:sz w:val="24"/>
          <w:szCs w:val="24"/>
          <w:lang w:val="en-GB"/>
        </w:rPr>
        <w:t>contravened</w:t>
      </w:r>
      <w:r w:rsidR="00112300">
        <w:rPr>
          <w:rFonts w:ascii="Arial" w:hAnsi="Arial" w:cs="Arial"/>
          <w:sz w:val="24"/>
          <w:szCs w:val="24"/>
          <w:lang w:val="en-GB"/>
        </w:rPr>
        <w:t>.</w:t>
      </w:r>
    </w:p>
    <w:p w:rsidR="00950587" w:rsidRDefault="00950587" w:rsidP="004C341C">
      <w:pPr>
        <w:spacing w:line="480" w:lineRule="auto"/>
        <w:jc w:val="both"/>
        <w:rPr>
          <w:rFonts w:ascii="Arial" w:hAnsi="Arial" w:cs="Arial"/>
          <w:sz w:val="24"/>
          <w:szCs w:val="24"/>
          <w:lang w:val="en-GB"/>
        </w:rPr>
      </w:pPr>
      <w:r>
        <w:rPr>
          <w:rFonts w:ascii="Arial" w:hAnsi="Arial" w:cs="Arial"/>
          <w:sz w:val="24"/>
          <w:szCs w:val="24"/>
          <w:lang w:val="en-GB"/>
        </w:rPr>
        <w:t>[1</w:t>
      </w:r>
      <w:r w:rsidR="00CA3FB2">
        <w:rPr>
          <w:rFonts w:ascii="Arial" w:hAnsi="Arial" w:cs="Arial"/>
          <w:sz w:val="24"/>
          <w:szCs w:val="24"/>
          <w:lang w:val="en-GB"/>
        </w:rPr>
        <w:t>1</w:t>
      </w:r>
      <w:r>
        <w:rPr>
          <w:rFonts w:ascii="Arial" w:hAnsi="Arial" w:cs="Arial"/>
          <w:sz w:val="24"/>
          <w:szCs w:val="24"/>
          <w:lang w:val="en-GB"/>
        </w:rPr>
        <w:t>] The contention that it was not up to this Court to also consider the prospects of success of the plaintiff in its claim for damages c</w:t>
      </w:r>
      <w:r w:rsidR="00112300">
        <w:rPr>
          <w:rFonts w:ascii="Arial" w:hAnsi="Arial" w:cs="Arial"/>
          <w:sz w:val="24"/>
          <w:szCs w:val="24"/>
          <w:lang w:val="en-GB"/>
        </w:rPr>
        <w:t>anno</w:t>
      </w:r>
      <w:r>
        <w:rPr>
          <w:rFonts w:ascii="Arial" w:hAnsi="Arial" w:cs="Arial"/>
          <w:sz w:val="24"/>
          <w:szCs w:val="24"/>
          <w:lang w:val="en-GB"/>
        </w:rPr>
        <w:t xml:space="preserve">t be correct in my view.  In deciding whether or not a delay should be overlooked the prospects of success for the plaintiff in claiming damages is a </w:t>
      </w:r>
      <w:r w:rsidR="00112300">
        <w:rPr>
          <w:rFonts w:ascii="Arial" w:hAnsi="Arial" w:cs="Arial"/>
          <w:sz w:val="24"/>
          <w:szCs w:val="24"/>
          <w:lang w:val="en-GB"/>
        </w:rPr>
        <w:t xml:space="preserve">very </w:t>
      </w:r>
      <w:r>
        <w:rPr>
          <w:rFonts w:ascii="Arial" w:hAnsi="Arial" w:cs="Arial"/>
          <w:sz w:val="24"/>
          <w:szCs w:val="24"/>
          <w:lang w:val="en-GB"/>
        </w:rPr>
        <w:t xml:space="preserve">relevant consideration.  </w:t>
      </w:r>
      <w:r w:rsidR="00110229">
        <w:rPr>
          <w:rFonts w:ascii="Arial" w:hAnsi="Arial" w:cs="Arial"/>
          <w:sz w:val="24"/>
          <w:szCs w:val="24"/>
          <w:lang w:val="en-GB"/>
        </w:rPr>
        <w:t xml:space="preserve">It would make no sense for the </w:t>
      </w:r>
      <w:r w:rsidR="00802949">
        <w:rPr>
          <w:rFonts w:ascii="Arial" w:hAnsi="Arial" w:cs="Arial"/>
          <w:sz w:val="24"/>
          <w:szCs w:val="24"/>
          <w:lang w:val="en-GB"/>
        </w:rPr>
        <w:t>c</w:t>
      </w:r>
      <w:r w:rsidR="00110229">
        <w:rPr>
          <w:rFonts w:ascii="Arial" w:hAnsi="Arial" w:cs="Arial"/>
          <w:sz w:val="24"/>
          <w:szCs w:val="24"/>
          <w:lang w:val="en-GB"/>
        </w:rPr>
        <w:t>ourt to overlook the delay and allow</w:t>
      </w:r>
      <w:r>
        <w:rPr>
          <w:rFonts w:ascii="Arial" w:hAnsi="Arial" w:cs="Arial"/>
          <w:sz w:val="24"/>
          <w:szCs w:val="24"/>
          <w:lang w:val="en-GB"/>
        </w:rPr>
        <w:t xml:space="preserve"> the plaintiff to go ahead with its case in circumstances where its prospects of success </w:t>
      </w:r>
      <w:r w:rsidR="006B242B">
        <w:rPr>
          <w:rFonts w:ascii="Arial" w:hAnsi="Arial" w:cs="Arial"/>
          <w:sz w:val="24"/>
          <w:szCs w:val="24"/>
          <w:lang w:val="en-GB"/>
        </w:rPr>
        <w:t>may be</w:t>
      </w:r>
      <w:r>
        <w:rPr>
          <w:rFonts w:ascii="Arial" w:hAnsi="Arial" w:cs="Arial"/>
          <w:sz w:val="24"/>
          <w:szCs w:val="24"/>
          <w:lang w:val="en-GB"/>
        </w:rPr>
        <w:t xml:space="preserve"> </w:t>
      </w:r>
      <w:r w:rsidR="00110229">
        <w:rPr>
          <w:rFonts w:ascii="Arial" w:hAnsi="Arial" w:cs="Arial"/>
          <w:sz w:val="24"/>
          <w:szCs w:val="24"/>
          <w:lang w:val="en-GB"/>
        </w:rPr>
        <w:t xml:space="preserve">in </w:t>
      </w:r>
      <w:r>
        <w:rPr>
          <w:rFonts w:ascii="Arial" w:hAnsi="Arial" w:cs="Arial"/>
          <w:sz w:val="24"/>
          <w:szCs w:val="24"/>
          <w:lang w:val="en-GB"/>
        </w:rPr>
        <w:t>serious doubt.  The prospects of success are</w:t>
      </w:r>
      <w:r w:rsidR="00895A7D">
        <w:rPr>
          <w:rFonts w:ascii="Arial" w:hAnsi="Arial" w:cs="Arial"/>
          <w:sz w:val="24"/>
          <w:szCs w:val="24"/>
          <w:lang w:val="en-GB"/>
        </w:rPr>
        <w:t>,</w:t>
      </w:r>
      <w:r>
        <w:rPr>
          <w:rFonts w:ascii="Arial" w:hAnsi="Arial" w:cs="Arial"/>
          <w:sz w:val="24"/>
          <w:szCs w:val="24"/>
          <w:lang w:val="en-GB"/>
        </w:rPr>
        <w:t xml:space="preserve"> as they must be</w:t>
      </w:r>
      <w:r w:rsidR="00895A7D">
        <w:rPr>
          <w:rFonts w:ascii="Arial" w:hAnsi="Arial" w:cs="Arial"/>
          <w:sz w:val="24"/>
          <w:szCs w:val="24"/>
          <w:lang w:val="en-GB"/>
        </w:rPr>
        <w:t>,</w:t>
      </w:r>
      <w:r>
        <w:rPr>
          <w:rFonts w:ascii="Arial" w:hAnsi="Arial" w:cs="Arial"/>
          <w:sz w:val="24"/>
          <w:szCs w:val="24"/>
          <w:lang w:val="en-GB"/>
        </w:rPr>
        <w:t xml:space="preserve"> a weighty consideration</w:t>
      </w:r>
      <w:r w:rsidR="00895A7D">
        <w:rPr>
          <w:rFonts w:ascii="Arial" w:hAnsi="Arial" w:cs="Arial"/>
          <w:sz w:val="24"/>
          <w:szCs w:val="24"/>
          <w:lang w:val="en-GB"/>
        </w:rPr>
        <w:t xml:space="preserve"> as well</w:t>
      </w:r>
      <w:r>
        <w:rPr>
          <w:rFonts w:ascii="Arial" w:hAnsi="Arial" w:cs="Arial"/>
          <w:sz w:val="24"/>
          <w:szCs w:val="24"/>
          <w:lang w:val="en-GB"/>
        </w:rPr>
        <w:t xml:space="preserve">.  This is more so where the consideration involves not just a factual enquiry in proving damages but </w:t>
      </w:r>
      <w:r w:rsidR="003C53E4">
        <w:rPr>
          <w:rFonts w:ascii="Arial" w:hAnsi="Arial" w:cs="Arial"/>
          <w:sz w:val="24"/>
          <w:szCs w:val="24"/>
          <w:lang w:val="en-GB"/>
        </w:rPr>
        <w:t xml:space="preserve">an assessment of </w:t>
      </w:r>
      <w:r>
        <w:rPr>
          <w:rFonts w:ascii="Arial" w:hAnsi="Arial" w:cs="Arial"/>
          <w:sz w:val="24"/>
          <w:szCs w:val="24"/>
          <w:lang w:val="en-GB"/>
        </w:rPr>
        <w:t xml:space="preserve">whether or not as a matter of </w:t>
      </w:r>
      <w:r w:rsidR="003D05CE">
        <w:rPr>
          <w:rFonts w:ascii="Arial" w:hAnsi="Arial" w:cs="Arial"/>
          <w:sz w:val="24"/>
          <w:szCs w:val="24"/>
          <w:lang w:val="en-GB"/>
        </w:rPr>
        <w:t xml:space="preserve">law the plaintiff </w:t>
      </w:r>
      <w:r w:rsidR="009241DD">
        <w:rPr>
          <w:rFonts w:ascii="Arial" w:hAnsi="Arial" w:cs="Arial"/>
          <w:sz w:val="24"/>
          <w:szCs w:val="24"/>
          <w:lang w:val="en-GB"/>
        </w:rPr>
        <w:t>may or may not be</w:t>
      </w:r>
      <w:r w:rsidR="003D05CE">
        <w:rPr>
          <w:rFonts w:ascii="Arial" w:hAnsi="Arial" w:cs="Arial"/>
          <w:sz w:val="24"/>
          <w:szCs w:val="24"/>
          <w:lang w:val="en-GB"/>
        </w:rPr>
        <w:t xml:space="preserve"> entitled to claim damages</w:t>
      </w:r>
      <w:r w:rsidR="003C53E4">
        <w:rPr>
          <w:rFonts w:ascii="Arial" w:hAnsi="Arial" w:cs="Arial"/>
          <w:sz w:val="24"/>
          <w:szCs w:val="24"/>
          <w:lang w:val="en-GB"/>
        </w:rPr>
        <w:t xml:space="preserve">. </w:t>
      </w:r>
      <w:r w:rsidR="003D05CE">
        <w:rPr>
          <w:rFonts w:ascii="Arial" w:hAnsi="Arial" w:cs="Arial"/>
          <w:sz w:val="24"/>
          <w:szCs w:val="24"/>
          <w:lang w:val="en-GB"/>
        </w:rPr>
        <w:t xml:space="preserve"> </w:t>
      </w:r>
      <w:r w:rsidR="003C53E4">
        <w:rPr>
          <w:rFonts w:ascii="Arial" w:hAnsi="Arial" w:cs="Arial"/>
          <w:sz w:val="24"/>
          <w:szCs w:val="24"/>
          <w:lang w:val="en-GB"/>
        </w:rPr>
        <w:t>I</w:t>
      </w:r>
      <w:r w:rsidR="003D05CE">
        <w:rPr>
          <w:rFonts w:ascii="Arial" w:hAnsi="Arial" w:cs="Arial"/>
          <w:sz w:val="24"/>
          <w:szCs w:val="24"/>
          <w:lang w:val="en-GB"/>
        </w:rPr>
        <w:t xml:space="preserve">f the plaintiff might be entitled </w:t>
      </w:r>
      <w:r w:rsidR="003C53E4">
        <w:rPr>
          <w:rFonts w:ascii="Arial" w:hAnsi="Arial" w:cs="Arial"/>
          <w:sz w:val="24"/>
          <w:szCs w:val="24"/>
          <w:lang w:val="en-GB"/>
        </w:rPr>
        <w:t xml:space="preserve">to claim damages its prospects of </w:t>
      </w:r>
      <w:r w:rsidR="00895A7D">
        <w:rPr>
          <w:rFonts w:ascii="Arial" w:hAnsi="Arial" w:cs="Arial"/>
          <w:sz w:val="24"/>
          <w:szCs w:val="24"/>
          <w:lang w:val="en-GB"/>
        </w:rPr>
        <w:t>success</w:t>
      </w:r>
      <w:r w:rsidR="003C53E4">
        <w:rPr>
          <w:rFonts w:ascii="Arial" w:hAnsi="Arial" w:cs="Arial"/>
          <w:sz w:val="24"/>
          <w:szCs w:val="24"/>
          <w:lang w:val="en-GB"/>
        </w:rPr>
        <w:t xml:space="preserve"> are severely limited if they exist</w:t>
      </w:r>
      <w:r w:rsidR="003D05CE">
        <w:rPr>
          <w:rFonts w:ascii="Arial" w:hAnsi="Arial" w:cs="Arial"/>
          <w:sz w:val="24"/>
          <w:szCs w:val="24"/>
          <w:lang w:val="en-GB"/>
        </w:rPr>
        <w:t xml:space="preserve"> at all on the facts of this case.</w:t>
      </w:r>
      <w:r w:rsidR="00110229">
        <w:rPr>
          <w:rFonts w:ascii="Arial" w:hAnsi="Arial" w:cs="Arial"/>
          <w:sz w:val="24"/>
          <w:szCs w:val="24"/>
          <w:lang w:val="en-GB"/>
        </w:rPr>
        <w:t xml:space="preserve">  The plaintiff has not pleaded a firm legal basis for claiming compensation beyond alleging losses that it says are as a result of the contravention of section 41.</w:t>
      </w:r>
    </w:p>
    <w:p w:rsidR="003D05CE" w:rsidRDefault="003D05CE" w:rsidP="004C341C">
      <w:pPr>
        <w:spacing w:line="480" w:lineRule="auto"/>
        <w:jc w:val="both"/>
        <w:rPr>
          <w:rFonts w:ascii="Arial" w:hAnsi="Arial" w:cs="Arial"/>
          <w:sz w:val="24"/>
          <w:szCs w:val="24"/>
          <w:lang w:val="en-GB"/>
        </w:rPr>
      </w:pPr>
      <w:r>
        <w:rPr>
          <w:rFonts w:ascii="Arial" w:hAnsi="Arial" w:cs="Arial"/>
          <w:sz w:val="24"/>
          <w:szCs w:val="24"/>
          <w:lang w:val="en-GB"/>
        </w:rPr>
        <w:t>[1</w:t>
      </w:r>
      <w:r w:rsidR="00CA3FB2">
        <w:rPr>
          <w:rFonts w:ascii="Arial" w:hAnsi="Arial" w:cs="Arial"/>
          <w:sz w:val="24"/>
          <w:szCs w:val="24"/>
          <w:lang w:val="en-GB"/>
        </w:rPr>
        <w:t>2</w:t>
      </w:r>
      <w:r>
        <w:rPr>
          <w:rFonts w:ascii="Arial" w:hAnsi="Arial" w:cs="Arial"/>
          <w:sz w:val="24"/>
          <w:szCs w:val="24"/>
          <w:lang w:val="en-GB"/>
        </w:rPr>
        <w:t xml:space="preserve">] </w:t>
      </w:r>
      <w:r w:rsidR="00C17C29">
        <w:rPr>
          <w:rFonts w:ascii="Arial" w:hAnsi="Arial" w:cs="Arial"/>
          <w:sz w:val="24"/>
          <w:szCs w:val="24"/>
          <w:lang w:val="en-GB"/>
        </w:rPr>
        <w:t xml:space="preserve">For these reasons the plaintiff’s prospects success on appeal are at best arguable and there are no compelling reasons why the appeal should be heard.  I do not see any public interest in a claim for damages which is what ultimately the plaintiff’s case is all about.  Its argument for constitutional probity is undermined quite </w:t>
      </w:r>
      <w:r w:rsidR="002E0A57">
        <w:rPr>
          <w:rFonts w:ascii="Arial" w:hAnsi="Arial" w:cs="Arial"/>
          <w:sz w:val="24"/>
          <w:szCs w:val="24"/>
          <w:lang w:val="en-GB"/>
        </w:rPr>
        <w:t>sever</w:t>
      </w:r>
      <w:r w:rsidR="009241DD">
        <w:rPr>
          <w:rFonts w:ascii="Arial" w:hAnsi="Arial" w:cs="Arial"/>
          <w:sz w:val="24"/>
          <w:szCs w:val="24"/>
          <w:lang w:val="en-GB"/>
        </w:rPr>
        <w:t>ely</w:t>
      </w:r>
      <w:r w:rsidR="00C17C29">
        <w:rPr>
          <w:rFonts w:ascii="Arial" w:hAnsi="Arial" w:cs="Arial"/>
          <w:sz w:val="24"/>
          <w:szCs w:val="24"/>
          <w:lang w:val="en-GB"/>
        </w:rPr>
        <w:t xml:space="preserve"> b</w:t>
      </w:r>
      <w:r w:rsidR="00895A7D">
        <w:rPr>
          <w:rFonts w:ascii="Arial" w:hAnsi="Arial" w:cs="Arial"/>
          <w:sz w:val="24"/>
          <w:szCs w:val="24"/>
          <w:lang w:val="en-GB"/>
        </w:rPr>
        <w:t>y</w:t>
      </w:r>
      <w:r w:rsidR="00C17C29">
        <w:rPr>
          <w:rFonts w:ascii="Arial" w:hAnsi="Arial" w:cs="Arial"/>
          <w:sz w:val="24"/>
          <w:szCs w:val="24"/>
          <w:lang w:val="en-GB"/>
        </w:rPr>
        <w:t xml:space="preserve"> its own prepararedne</w:t>
      </w:r>
      <w:r w:rsidR="003C53E4">
        <w:rPr>
          <w:rFonts w:ascii="Arial" w:hAnsi="Arial" w:cs="Arial"/>
          <w:sz w:val="24"/>
          <w:szCs w:val="24"/>
          <w:lang w:val="en-GB"/>
        </w:rPr>
        <w:t>ss</w:t>
      </w:r>
      <w:r w:rsidR="00C17C29">
        <w:rPr>
          <w:rFonts w:ascii="Arial" w:hAnsi="Arial" w:cs="Arial"/>
          <w:sz w:val="24"/>
          <w:szCs w:val="24"/>
          <w:lang w:val="en-GB"/>
        </w:rPr>
        <w:t xml:space="preserve"> to accept compensation </w:t>
      </w:r>
      <w:r w:rsidR="009241DD">
        <w:rPr>
          <w:rFonts w:ascii="Arial" w:hAnsi="Arial" w:cs="Arial"/>
          <w:sz w:val="24"/>
          <w:szCs w:val="24"/>
          <w:lang w:val="en-GB"/>
        </w:rPr>
        <w:t>in exchange for</w:t>
      </w:r>
      <w:r w:rsidR="00C17C29">
        <w:rPr>
          <w:rFonts w:ascii="Arial" w:hAnsi="Arial" w:cs="Arial"/>
          <w:sz w:val="24"/>
          <w:szCs w:val="24"/>
          <w:lang w:val="en-GB"/>
        </w:rPr>
        <w:t xml:space="preserve"> </w:t>
      </w:r>
      <w:r w:rsidR="00895A7D">
        <w:rPr>
          <w:rFonts w:ascii="Arial" w:hAnsi="Arial" w:cs="Arial"/>
          <w:sz w:val="24"/>
          <w:szCs w:val="24"/>
          <w:lang w:val="en-GB"/>
        </w:rPr>
        <w:t xml:space="preserve">turning a blind eye to what it contends, was </w:t>
      </w:r>
      <w:r w:rsidR="00C17C29">
        <w:rPr>
          <w:rFonts w:ascii="Arial" w:hAnsi="Arial" w:cs="Arial"/>
          <w:sz w:val="24"/>
          <w:szCs w:val="24"/>
          <w:lang w:val="en-GB"/>
        </w:rPr>
        <w:t xml:space="preserve">statutory </w:t>
      </w:r>
      <w:r w:rsidR="00110229">
        <w:rPr>
          <w:rFonts w:ascii="Arial" w:hAnsi="Arial" w:cs="Arial"/>
          <w:sz w:val="24"/>
          <w:szCs w:val="24"/>
          <w:lang w:val="en-GB"/>
        </w:rPr>
        <w:t>contravention</w:t>
      </w:r>
      <w:r w:rsidR="00C17C29">
        <w:rPr>
          <w:rFonts w:ascii="Arial" w:hAnsi="Arial" w:cs="Arial"/>
          <w:sz w:val="24"/>
          <w:szCs w:val="24"/>
          <w:lang w:val="en-GB"/>
        </w:rPr>
        <w:t xml:space="preserve">.  </w:t>
      </w:r>
      <w:r w:rsidR="003C53E4">
        <w:rPr>
          <w:rFonts w:ascii="Arial" w:hAnsi="Arial" w:cs="Arial"/>
          <w:sz w:val="24"/>
          <w:szCs w:val="24"/>
          <w:lang w:val="en-GB"/>
        </w:rPr>
        <w:t xml:space="preserve">That approach would shake the fundamental underpinnings of the constitutional principle of the rule of law if </w:t>
      </w:r>
      <w:r w:rsidR="006B242B">
        <w:rPr>
          <w:rFonts w:ascii="Arial" w:hAnsi="Arial" w:cs="Arial"/>
          <w:sz w:val="24"/>
          <w:szCs w:val="24"/>
          <w:lang w:val="en-GB"/>
        </w:rPr>
        <w:t>its</w:t>
      </w:r>
      <w:r w:rsidR="00895A7D">
        <w:rPr>
          <w:rFonts w:ascii="Arial" w:hAnsi="Arial" w:cs="Arial"/>
          <w:sz w:val="24"/>
          <w:szCs w:val="24"/>
          <w:lang w:val="en-GB"/>
        </w:rPr>
        <w:t xml:space="preserve"> </w:t>
      </w:r>
      <w:r w:rsidR="003C53E4">
        <w:rPr>
          <w:rFonts w:ascii="Arial" w:hAnsi="Arial" w:cs="Arial"/>
          <w:sz w:val="24"/>
          <w:szCs w:val="24"/>
          <w:lang w:val="en-GB"/>
        </w:rPr>
        <w:t xml:space="preserve">violation </w:t>
      </w:r>
      <w:r w:rsidR="00110229">
        <w:rPr>
          <w:rFonts w:ascii="Arial" w:hAnsi="Arial" w:cs="Arial"/>
          <w:sz w:val="24"/>
          <w:szCs w:val="24"/>
          <w:lang w:val="en-GB"/>
        </w:rPr>
        <w:t>were to</w:t>
      </w:r>
      <w:r w:rsidR="003C53E4">
        <w:rPr>
          <w:rFonts w:ascii="Arial" w:hAnsi="Arial" w:cs="Arial"/>
          <w:sz w:val="24"/>
          <w:szCs w:val="24"/>
          <w:lang w:val="en-GB"/>
        </w:rPr>
        <w:t xml:space="preserve"> be countenanced </w:t>
      </w:r>
      <w:r w:rsidR="009241DD">
        <w:rPr>
          <w:rFonts w:ascii="Arial" w:hAnsi="Arial" w:cs="Arial"/>
          <w:sz w:val="24"/>
          <w:szCs w:val="24"/>
          <w:lang w:val="en-GB"/>
        </w:rPr>
        <w:t>in exchange for compensation</w:t>
      </w:r>
      <w:r w:rsidR="003C53E4">
        <w:rPr>
          <w:rFonts w:ascii="Arial" w:hAnsi="Arial" w:cs="Arial"/>
          <w:sz w:val="24"/>
          <w:szCs w:val="24"/>
          <w:lang w:val="en-GB"/>
        </w:rPr>
        <w:t>.</w:t>
      </w:r>
    </w:p>
    <w:p w:rsidR="00C17C29" w:rsidRDefault="00C17C29" w:rsidP="004C341C">
      <w:pPr>
        <w:spacing w:line="480" w:lineRule="auto"/>
        <w:jc w:val="both"/>
        <w:rPr>
          <w:rFonts w:ascii="Arial" w:hAnsi="Arial" w:cs="Arial"/>
          <w:sz w:val="24"/>
          <w:szCs w:val="24"/>
          <w:lang w:val="en-GB"/>
        </w:rPr>
      </w:pPr>
      <w:r>
        <w:rPr>
          <w:rFonts w:ascii="Arial" w:hAnsi="Arial" w:cs="Arial"/>
          <w:sz w:val="24"/>
          <w:szCs w:val="24"/>
          <w:lang w:val="en-GB"/>
        </w:rPr>
        <w:t>[1</w:t>
      </w:r>
      <w:r w:rsidR="00CA3FB2">
        <w:rPr>
          <w:rFonts w:ascii="Arial" w:hAnsi="Arial" w:cs="Arial"/>
          <w:sz w:val="24"/>
          <w:szCs w:val="24"/>
          <w:lang w:val="en-GB"/>
        </w:rPr>
        <w:t>3</w:t>
      </w:r>
      <w:r>
        <w:rPr>
          <w:rFonts w:ascii="Arial" w:hAnsi="Arial" w:cs="Arial"/>
          <w:sz w:val="24"/>
          <w:szCs w:val="24"/>
          <w:lang w:val="en-GB"/>
        </w:rPr>
        <w:t xml:space="preserve">] In </w:t>
      </w:r>
      <w:r w:rsidRPr="003C53E4">
        <w:rPr>
          <w:rFonts w:ascii="Arial" w:hAnsi="Arial" w:cs="Arial"/>
          <w:i/>
          <w:sz w:val="24"/>
          <w:szCs w:val="24"/>
          <w:lang w:val="en-GB"/>
        </w:rPr>
        <w:t>MEC for Health</w:t>
      </w:r>
      <w:r>
        <w:rPr>
          <w:rFonts w:ascii="Arial" w:hAnsi="Arial" w:cs="Arial"/>
          <w:sz w:val="24"/>
          <w:szCs w:val="24"/>
          <w:lang w:val="en-GB"/>
        </w:rPr>
        <w:t xml:space="preserve">, </w:t>
      </w:r>
      <w:r w:rsidRPr="003C53E4">
        <w:rPr>
          <w:rFonts w:ascii="Arial" w:hAnsi="Arial" w:cs="Arial"/>
          <w:i/>
          <w:sz w:val="24"/>
          <w:szCs w:val="24"/>
          <w:lang w:val="en-GB"/>
        </w:rPr>
        <w:t>Eastern Cape v Mkhitha and Another</w:t>
      </w:r>
      <w:r>
        <w:rPr>
          <w:rFonts w:ascii="Arial" w:hAnsi="Arial" w:cs="Arial"/>
          <w:sz w:val="24"/>
          <w:szCs w:val="24"/>
          <w:lang w:val="en-GB"/>
        </w:rPr>
        <w:t xml:space="preserve"> (1221/2015) [2016] ZASCA 176 (25 November 2916) Sclippers AJA stated the test as follows:</w:t>
      </w:r>
    </w:p>
    <w:p w:rsidR="00C17C29" w:rsidRPr="00856319" w:rsidRDefault="00C17C29" w:rsidP="00856319">
      <w:pPr>
        <w:spacing w:line="360" w:lineRule="auto"/>
        <w:ind w:left="993" w:hanging="567"/>
        <w:jc w:val="both"/>
        <w:rPr>
          <w:rFonts w:ascii="Arial" w:hAnsi="Arial" w:cs="Arial"/>
          <w:lang w:val="en-GB"/>
        </w:rPr>
      </w:pPr>
      <w:r w:rsidRPr="00856319">
        <w:rPr>
          <w:rFonts w:ascii="Arial" w:hAnsi="Arial" w:cs="Arial"/>
          <w:lang w:val="en-GB"/>
        </w:rPr>
        <w:t>“[16] On</w:t>
      </w:r>
      <w:r w:rsidR="00374C9A" w:rsidRPr="00856319">
        <w:rPr>
          <w:rFonts w:ascii="Arial" w:hAnsi="Arial" w:cs="Arial"/>
          <w:lang w:val="en-GB"/>
        </w:rPr>
        <w:t>ce again it is necessary to say that leave to appeal, especially to this court’s must not be granted unless there truly is a reasonable prospect of success.  Section 17 (1) (a) of the Superior Courts Act 109</w:t>
      </w:r>
      <w:r w:rsidR="003C53E4">
        <w:rPr>
          <w:rFonts w:ascii="Arial" w:hAnsi="Arial" w:cs="Arial"/>
          <w:lang w:val="en-GB"/>
        </w:rPr>
        <w:t xml:space="preserve"> of</w:t>
      </w:r>
      <w:r w:rsidR="00374C9A" w:rsidRPr="00856319">
        <w:rPr>
          <w:rFonts w:ascii="Arial" w:hAnsi="Arial" w:cs="Arial"/>
          <w:lang w:val="en-GB"/>
        </w:rPr>
        <w:t xml:space="preserve"> 2013 makes it clear that leave to appeal may only be given where the judge concerned is of the opinion that the appeal would have a reasonable prospect of success, or there is some other compelling reason why it should be heard.</w:t>
      </w:r>
    </w:p>
    <w:p w:rsidR="007B45A6" w:rsidRPr="00856319" w:rsidRDefault="00374C9A" w:rsidP="00856319">
      <w:pPr>
        <w:spacing w:line="360" w:lineRule="auto"/>
        <w:ind w:left="852" w:hanging="426"/>
        <w:jc w:val="both"/>
        <w:rPr>
          <w:rFonts w:ascii="Arial" w:hAnsi="Arial" w:cs="Arial"/>
          <w:lang w:val="en-GB"/>
        </w:rPr>
      </w:pPr>
      <w:r w:rsidRPr="00856319">
        <w:rPr>
          <w:rFonts w:ascii="Arial" w:hAnsi="Arial" w:cs="Arial"/>
          <w:lang w:val="en-GB"/>
        </w:rPr>
        <w:t>[17] An applicant for leave to appeal must convince the court on proper grounds that there is a reasonable prospect or realistic chance of success on appeal.  A m</w:t>
      </w:r>
      <w:r w:rsidR="003C53E4">
        <w:rPr>
          <w:rFonts w:ascii="Arial" w:hAnsi="Arial" w:cs="Arial"/>
          <w:lang w:val="en-GB"/>
        </w:rPr>
        <w:t>e</w:t>
      </w:r>
      <w:r w:rsidRPr="00856319">
        <w:rPr>
          <w:rFonts w:ascii="Arial" w:hAnsi="Arial" w:cs="Arial"/>
          <w:lang w:val="en-GB"/>
        </w:rPr>
        <w:t>re possibility of success, a</w:t>
      </w:r>
      <w:r w:rsidR="003C53E4">
        <w:rPr>
          <w:rFonts w:ascii="Arial" w:hAnsi="Arial" w:cs="Arial"/>
          <w:lang w:val="en-GB"/>
        </w:rPr>
        <w:t>n</w:t>
      </w:r>
      <w:r w:rsidRPr="00856319">
        <w:rPr>
          <w:rFonts w:ascii="Arial" w:hAnsi="Arial" w:cs="Arial"/>
          <w:lang w:val="en-GB"/>
        </w:rPr>
        <w:t xml:space="preserve"> arguable case or one that is not hopeless is not enough.  There must be a sound rational basis to conclude that there is a reasonable prospect of success on appeal.”</w:t>
      </w:r>
      <w:r w:rsidR="002E5C93" w:rsidRPr="00856319">
        <w:rPr>
          <w:rFonts w:ascii="Arial" w:hAnsi="Arial" w:cs="Arial"/>
          <w:lang w:val="en-GB"/>
        </w:rPr>
        <w:t xml:space="preserve"> </w:t>
      </w:r>
    </w:p>
    <w:p w:rsidR="002E5C93" w:rsidRDefault="002E5C93" w:rsidP="002E5C93">
      <w:pPr>
        <w:spacing w:line="480" w:lineRule="auto"/>
        <w:jc w:val="both"/>
        <w:rPr>
          <w:rFonts w:ascii="Arial" w:hAnsi="Arial" w:cs="Arial"/>
          <w:sz w:val="24"/>
          <w:szCs w:val="24"/>
          <w:lang w:val="en-GB"/>
        </w:rPr>
      </w:pPr>
      <w:r>
        <w:rPr>
          <w:rFonts w:ascii="Arial" w:hAnsi="Arial" w:cs="Arial"/>
          <w:sz w:val="24"/>
          <w:szCs w:val="24"/>
          <w:lang w:val="en-GB"/>
        </w:rPr>
        <w:t>[1</w:t>
      </w:r>
      <w:r w:rsidR="00CA3FB2">
        <w:rPr>
          <w:rFonts w:ascii="Arial" w:hAnsi="Arial" w:cs="Arial"/>
          <w:sz w:val="24"/>
          <w:szCs w:val="24"/>
          <w:lang w:val="en-GB"/>
        </w:rPr>
        <w:t>4</w:t>
      </w:r>
      <w:r>
        <w:rPr>
          <w:rFonts w:ascii="Arial" w:hAnsi="Arial" w:cs="Arial"/>
          <w:sz w:val="24"/>
          <w:szCs w:val="24"/>
          <w:lang w:val="en-GB"/>
        </w:rPr>
        <w:t xml:space="preserve">] On the facts of </w:t>
      </w:r>
      <w:r w:rsidR="00F757FF">
        <w:rPr>
          <w:rFonts w:ascii="Arial" w:hAnsi="Arial" w:cs="Arial"/>
          <w:sz w:val="24"/>
          <w:szCs w:val="24"/>
          <w:lang w:val="en-GB"/>
        </w:rPr>
        <w:t>this case I am not con</w:t>
      </w:r>
      <w:r w:rsidR="003C53E4">
        <w:rPr>
          <w:rFonts w:ascii="Arial" w:hAnsi="Arial" w:cs="Arial"/>
          <w:sz w:val="24"/>
          <w:szCs w:val="24"/>
          <w:lang w:val="en-GB"/>
        </w:rPr>
        <w:t>vinc</w:t>
      </w:r>
      <w:r w:rsidR="00F757FF">
        <w:rPr>
          <w:rFonts w:ascii="Arial" w:hAnsi="Arial" w:cs="Arial"/>
          <w:sz w:val="24"/>
          <w:szCs w:val="24"/>
          <w:lang w:val="en-GB"/>
        </w:rPr>
        <w:t>ed that the plaintiff enjoys reasonable prospects of success on appeal</w:t>
      </w:r>
      <w:r w:rsidR="00895A7D">
        <w:rPr>
          <w:rFonts w:ascii="Arial" w:hAnsi="Arial" w:cs="Arial"/>
          <w:sz w:val="24"/>
          <w:szCs w:val="24"/>
          <w:lang w:val="en-GB"/>
        </w:rPr>
        <w:t xml:space="preserve">.  </w:t>
      </w:r>
      <w:r w:rsidR="009241DD">
        <w:rPr>
          <w:rFonts w:ascii="Arial" w:hAnsi="Arial" w:cs="Arial"/>
          <w:sz w:val="24"/>
          <w:szCs w:val="24"/>
          <w:lang w:val="en-GB"/>
        </w:rPr>
        <w:t>I cannot find any compelling reason why the appeal should be heard.</w:t>
      </w:r>
    </w:p>
    <w:p w:rsidR="00F757FF" w:rsidRDefault="00F757FF" w:rsidP="002E5C93">
      <w:pPr>
        <w:spacing w:line="480" w:lineRule="auto"/>
        <w:jc w:val="both"/>
        <w:rPr>
          <w:rFonts w:ascii="Arial" w:hAnsi="Arial" w:cs="Arial"/>
          <w:sz w:val="24"/>
          <w:szCs w:val="24"/>
          <w:lang w:val="en-GB"/>
        </w:rPr>
      </w:pPr>
      <w:r>
        <w:rPr>
          <w:rFonts w:ascii="Arial" w:hAnsi="Arial" w:cs="Arial"/>
          <w:sz w:val="24"/>
          <w:szCs w:val="24"/>
          <w:lang w:val="en-GB"/>
        </w:rPr>
        <w:t>[1</w:t>
      </w:r>
      <w:r w:rsidR="00CA3FB2">
        <w:rPr>
          <w:rFonts w:ascii="Arial" w:hAnsi="Arial" w:cs="Arial"/>
          <w:sz w:val="24"/>
          <w:szCs w:val="24"/>
          <w:lang w:val="en-GB"/>
        </w:rPr>
        <w:t>5</w:t>
      </w:r>
      <w:r>
        <w:rPr>
          <w:rFonts w:ascii="Arial" w:hAnsi="Arial" w:cs="Arial"/>
          <w:sz w:val="24"/>
          <w:szCs w:val="24"/>
          <w:lang w:val="en-GB"/>
        </w:rPr>
        <w:t xml:space="preserve">] In the result </w:t>
      </w:r>
      <w:r w:rsidR="007B4D6F">
        <w:rPr>
          <w:rFonts w:ascii="Arial" w:hAnsi="Arial" w:cs="Arial"/>
          <w:sz w:val="24"/>
          <w:szCs w:val="24"/>
          <w:lang w:val="en-GB"/>
        </w:rPr>
        <w:t>the following order will issue:</w:t>
      </w:r>
    </w:p>
    <w:p w:rsidR="00895A7D" w:rsidRDefault="007B4D6F" w:rsidP="009241DD">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1. The application for leave to appeal </w:t>
      </w:r>
      <w:r w:rsidR="00895A7D">
        <w:rPr>
          <w:rFonts w:ascii="Arial" w:hAnsi="Arial" w:cs="Arial"/>
          <w:sz w:val="24"/>
          <w:szCs w:val="24"/>
          <w:lang w:val="en-GB"/>
        </w:rPr>
        <w:t xml:space="preserve">is </w:t>
      </w:r>
      <w:r w:rsidR="009241DD">
        <w:rPr>
          <w:rFonts w:ascii="Arial" w:hAnsi="Arial" w:cs="Arial"/>
          <w:sz w:val="24"/>
          <w:szCs w:val="24"/>
          <w:lang w:val="en-GB"/>
        </w:rPr>
        <w:t>dismissed with costs including costs occasioned by the employment of two counsel.</w:t>
      </w:r>
    </w:p>
    <w:p w:rsidR="00AC6D03" w:rsidRDefault="00AC6D03" w:rsidP="00856319">
      <w:pPr>
        <w:spacing w:line="480" w:lineRule="auto"/>
        <w:ind w:left="284" w:hanging="284"/>
        <w:jc w:val="both"/>
        <w:rPr>
          <w:rFonts w:ascii="Arial" w:hAnsi="Arial" w:cs="Arial"/>
          <w:sz w:val="24"/>
          <w:szCs w:val="24"/>
          <w:lang w:val="en-GB"/>
        </w:rPr>
      </w:pPr>
    </w:p>
    <w:p w:rsidR="00AC6D03" w:rsidRDefault="00AC6D03" w:rsidP="00856319">
      <w:pPr>
        <w:spacing w:line="480" w:lineRule="auto"/>
        <w:ind w:left="284" w:hanging="284"/>
        <w:jc w:val="both"/>
        <w:rPr>
          <w:rFonts w:ascii="Arial" w:hAnsi="Arial" w:cs="Arial"/>
          <w:b/>
          <w:sz w:val="24"/>
          <w:szCs w:val="24"/>
          <w:lang w:val="en-GB"/>
        </w:rPr>
      </w:pPr>
      <w:r>
        <w:rPr>
          <w:rFonts w:ascii="Arial" w:hAnsi="Arial" w:cs="Arial"/>
          <w:b/>
          <w:sz w:val="24"/>
          <w:szCs w:val="24"/>
          <w:lang w:val="en-GB"/>
        </w:rPr>
        <w:t>__________________</w:t>
      </w:r>
    </w:p>
    <w:p w:rsidR="00AC6D03" w:rsidRDefault="00AC6D03" w:rsidP="00856319">
      <w:pPr>
        <w:spacing w:line="480" w:lineRule="auto"/>
        <w:ind w:left="284" w:hanging="284"/>
        <w:jc w:val="both"/>
        <w:rPr>
          <w:rFonts w:ascii="Arial" w:hAnsi="Arial" w:cs="Arial"/>
          <w:b/>
          <w:sz w:val="24"/>
          <w:szCs w:val="24"/>
          <w:lang w:val="en-GB"/>
        </w:rPr>
      </w:pPr>
      <w:r>
        <w:rPr>
          <w:rFonts w:ascii="Arial" w:hAnsi="Arial" w:cs="Arial"/>
          <w:b/>
          <w:sz w:val="24"/>
          <w:szCs w:val="24"/>
          <w:lang w:val="en-GB"/>
        </w:rPr>
        <w:t>M.S. JOLWANA</w:t>
      </w:r>
    </w:p>
    <w:p w:rsidR="00AC6D03" w:rsidRDefault="00AC6D03" w:rsidP="00856319">
      <w:pPr>
        <w:spacing w:line="480" w:lineRule="auto"/>
        <w:ind w:left="284" w:hanging="284"/>
        <w:jc w:val="both"/>
        <w:rPr>
          <w:rFonts w:ascii="Arial" w:hAnsi="Arial" w:cs="Arial"/>
          <w:b/>
          <w:sz w:val="24"/>
          <w:szCs w:val="24"/>
          <w:lang w:val="en-GB"/>
        </w:rPr>
      </w:pPr>
      <w:r>
        <w:rPr>
          <w:rFonts w:ascii="Arial" w:hAnsi="Arial" w:cs="Arial"/>
          <w:b/>
          <w:sz w:val="24"/>
          <w:szCs w:val="24"/>
          <w:lang w:val="en-GB"/>
        </w:rPr>
        <w:t>JUDGE OF THE HIGH COURT</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Appearances:</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Counsel for the plaintiff: A. BEYLEVELD SC</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Instructed by: WHEELDON RUSHMERE &amp; COLE INC.</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GRAHAMSTOWN</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Counsel for the defendant: O.H. RONAASEN SC with L.N. NTSEPE</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Instructed by: MACI INCORPORATED c/o MQEKE ATTORNEYS</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GRAHAMSTOWN</w:t>
      </w:r>
    </w:p>
    <w:p w:rsidR="00802949" w:rsidRDefault="00802949" w:rsidP="00802949">
      <w:pPr>
        <w:spacing w:line="480" w:lineRule="auto"/>
        <w:jc w:val="both"/>
        <w:rPr>
          <w:rFonts w:ascii="Arial" w:hAnsi="Arial" w:cs="Arial"/>
          <w:sz w:val="24"/>
          <w:szCs w:val="24"/>
          <w:lang w:val="en-GB"/>
        </w:rPr>
      </w:pPr>
      <w:r>
        <w:rPr>
          <w:rFonts w:ascii="Arial" w:hAnsi="Arial" w:cs="Arial"/>
          <w:sz w:val="24"/>
          <w:szCs w:val="24"/>
          <w:lang w:val="en-GB"/>
        </w:rPr>
        <w:t>Date heard</w:t>
      </w:r>
      <w:r>
        <w:rPr>
          <w:rFonts w:ascii="Arial" w:hAnsi="Arial" w:cs="Arial"/>
          <w:sz w:val="24"/>
          <w:szCs w:val="24"/>
          <w:lang w:val="en-GB"/>
        </w:rPr>
        <w:tab/>
      </w:r>
      <w:r>
        <w:rPr>
          <w:rFonts w:ascii="Arial" w:hAnsi="Arial" w:cs="Arial"/>
          <w:sz w:val="24"/>
          <w:szCs w:val="24"/>
          <w:lang w:val="en-GB"/>
        </w:rPr>
        <w:tab/>
        <w:t>: 30 March 2022</w:t>
      </w:r>
    </w:p>
    <w:p w:rsidR="00802949" w:rsidRPr="003C328B" w:rsidRDefault="00802949" w:rsidP="00802949">
      <w:pPr>
        <w:spacing w:line="480" w:lineRule="auto"/>
        <w:jc w:val="both"/>
        <w:rPr>
          <w:rFonts w:ascii="Arial" w:hAnsi="Arial" w:cs="Arial"/>
          <w:sz w:val="24"/>
          <w:szCs w:val="24"/>
          <w:lang w:val="en-GB"/>
        </w:rPr>
      </w:pPr>
      <w:r>
        <w:rPr>
          <w:rFonts w:ascii="Arial" w:hAnsi="Arial" w:cs="Arial"/>
          <w:sz w:val="24"/>
          <w:szCs w:val="24"/>
          <w:lang w:val="en-GB"/>
        </w:rPr>
        <w:t>Delivered on</w:t>
      </w:r>
      <w:r>
        <w:rPr>
          <w:rFonts w:ascii="Arial" w:hAnsi="Arial" w:cs="Arial"/>
          <w:sz w:val="24"/>
          <w:szCs w:val="24"/>
          <w:lang w:val="en-GB"/>
        </w:rPr>
        <w:tab/>
      </w:r>
      <w:r>
        <w:rPr>
          <w:rFonts w:ascii="Arial" w:hAnsi="Arial" w:cs="Arial"/>
          <w:sz w:val="24"/>
          <w:szCs w:val="24"/>
          <w:lang w:val="en-GB"/>
        </w:rPr>
        <w:tab/>
        <w:t>: 26 April 2022</w:t>
      </w:r>
    </w:p>
    <w:p w:rsidR="00802949" w:rsidRPr="00802949" w:rsidRDefault="00802949" w:rsidP="00856319">
      <w:pPr>
        <w:spacing w:line="480" w:lineRule="auto"/>
        <w:ind w:left="284" w:hanging="284"/>
        <w:jc w:val="both"/>
        <w:rPr>
          <w:rFonts w:ascii="Arial" w:hAnsi="Arial" w:cs="Arial"/>
          <w:sz w:val="24"/>
          <w:szCs w:val="24"/>
          <w:lang w:val="en-GB"/>
        </w:rPr>
      </w:pPr>
    </w:p>
    <w:sectPr w:rsidR="00802949" w:rsidRPr="008029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06" w:rsidRDefault="00503706" w:rsidP="002E5C93">
      <w:pPr>
        <w:spacing w:after="0" w:line="240" w:lineRule="auto"/>
      </w:pPr>
      <w:r>
        <w:separator/>
      </w:r>
    </w:p>
  </w:endnote>
  <w:endnote w:type="continuationSeparator" w:id="0">
    <w:p w:rsidR="00503706" w:rsidRDefault="00503706" w:rsidP="002E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39420"/>
      <w:docPartObj>
        <w:docPartGallery w:val="Page Numbers (Bottom of Page)"/>
        <w:docPartUnique/>
      </w:docPartObj>
    </w:sdtPr>
    <w:sdtEndPr>
      <w:rPr>
        <w:noProof/>
      </w:rPr>
    </w:sdtEndPr>
    <w:sdtContent>
      <w:p w:rsidR="002E5C93" w:rsidRDefault="002E5C93">
        <w:pPr>
          <w:pStyle w:val="Footer"/>
          <w:jc w:val="right"/>
        </w:pPr>
        <w:r>
          <w:fldChar w:fldCharType="begin"/>
        </w:r>
        <w:r>
          <w:instrText xml:space="preserve"> PAGE   \* MERGEFORMAT </w:instrText>
        </w:r>
        <w:r>
          <w:fldChar w:fldCharType="separate"/>
        </w:r>
        <w:r w:rsidR="00A43B11">
          <w:rPr>
            <w:noProof/>
          </w:rPr>
          <w:t>4</w:t>
        </w:r>
        <w:r>
          <w:rPr>
            <w:noProof/>
          </w:rPr>
          <w:fldChar w:fldCharType="end"/>
        </w:r>
      </w:p>
    </w:sdtContent>
  </w:sdt>
  <w:p w:rsidR="002E5C93" w:rsidRDefault="002E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06" w:rsidRDefault="00503706" w:rsidP="002E5C93">
      <w:pPr>
        <w:spacing w:after="0" w:line="240" w:lineRule="auto"/>
      </w:pPr>
      <w:r>
        <w:separator/>
      </w:r>
    </w:p>
  </w:footnote>
  <w:footnote w:type="continuationSeparator" w:id="0">
    <w:p w:rsidR="00503706" w:rsidRDefault="00503706" w:rsidP="002E5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1C"/>
    <w:rsid w:val="000D6B8E"/>
    <w:rsid w:val="000E4FB8"/>
    <w:rsid w:val="00110229"/>
    <w:rsid w:val="00112300"/>
    <w:rsid w:val="00120567"/>
    <w:rsid w:val="002E0A57"/>
    <w:rsid w:val="002E5C93"/>
    <w:rsid w:val="0031638F"/>
    <w:rsid w:val="00325373"/>
    <w:rsid w:val="00361418"/>
    <w:rsid w:val="00374C9A"/>
    <w:rsid w:val="00380AF1"/>
    <w:rsid w:val="00391E2C"/>
    <w:rsid w:val="003C53E4"/>
    <w:rsid w:val="003C55C4"/>
    <w:rsid w:val="003D05CE"/>
    <w:rsid w:val="003F5296"/>
    <w:rsid w:val="00481C17"/>
    <w:rsid w:val="0049571D"/>
    <w:rsid w:val="004C341C"/>
    <w:rsid w:val="00503706"/>
    <w:rsid w:val="00556039"/>
    <w:rsid w:val="005B1B85"/>
    <w:rsid w:val="005D32DF"/>
    <w:rsid w:val="00610008"/>
    <w:rsid w:val="006A437B"/>
    <w:rsid w:val="006B242B"/>
    <w:rsid w:val="007B4D6F"/>
    <w:rsid w:val="007C6286"/>
    <w:rsid w:val="007F5127"/>
    <w:rsid w:val="00802949"/>
    <w:rsid w:val="008117FB"/>
    <w:rsid w:val="00856319"/>
    <w:rsid w:val="00895A7D"/>
    <w:rsid w:val="008D5E41"/>
    <w:rsid w:val="009241DD"/>
    <w:rsid w:val="00950587"/>
    <w:rsid w:val="00955734"/>
    <w:rsid w:val="009625F8"/>
    <w:rsid w:val="009839D0"/>
    <w:rsid w:val="00A278DB"/>
    <w:rsid w:val="00A43B11"/>
    <w:rsid w:val="00A611DD"/>
    <w:rsid w:val="00A6201D"/>
    <w:rsid w:val="00AA3529"/>
    <w:rsid w:val="00AC6D03"/>
    <w:rsid w:val="00B46E44"/>
    <w:rsid w:val="00B74FDD"/>
    <w:rsid w:val="00BF4162"/>
    <w:rsid w:val="00C17C29"/>
    <w:rsid w:val="00C327A0"/>
    <w:rsid w:val="00CA3FB2"/>
    <w:rsid w:val="00CA6960"/>
    <w:rsid w:val="00D00501"/>
    <w:rsid w:val="00DA6105"/>
    <w:rsid w:val="00DA7DF7"/>
    <w:rsid w:val="00EE4466"/>
    <w:rsid w:val="00F10BDB"/>
    <w:rsid w:val="00F671F1"/>
    <w:rsid w:val="00F757FF"/>
    <w:rsid w:val="00FF06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FC503-0187-46D6-B419-4F878098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93"/>
  </w:style>
  <w:style w:type="paragraph" w:styleId="Footer">
    <w:name w:val="footer"/>
    <w:basedOn w:val="Normal"/>
    <w:link w:val="FooterChar"/>
    <w:uiPriority w:val="99"/>
    <w:unhideWhenUsed/>
    <w:rsid w:val="002E5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93"/>
  </w:style>
  <w:style w:type="paragraph" w:styleId="BalloonText">
    <w:name w:val="Balloon Text"/>
    <w:basedOn w:val="Normal"/>
    <w:link w:val="BalloonTextChar"/>
    <w:uiPriority w:val="99"/>
    <w:semiHidden/>
    <w:unhideWhenUsed/>
    <w:rsid w:val="00A62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cp:lastPrinted>2022-04-25T08:37:00Z</cp:lastPrinted>
  <dcterms:created xsi:type="dcterms:W3CDTF">2022-04-29T17:11:00Z</dcterms:created>
  <dcterms:modified xsi:type="dcterms:W3CDTF">2022-04-29T17:11:00Z</dcterms:modified>
</cp:coreProperties>
</file>