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A59B" w14:textId="77777777" w:rsidR="00AC2344" w:rsidRDefault="00AC2344" w:rsidP="00AC2344">
      <w:pPr>
        <w:pStyle w:val="Subtitle"/>
        <w:spacing w:after="0" w:line="240" w:lineRule="auto"/>
        <w:jc w:val="center"/>
      </w:pPr>
      <w:r>
        <w:rPr>
          <w:noProof/>
          <w:lang w:val="en-ZA" w:eastAsia="en-ZA"/>
        </w:rPr>
        <w:drawing>
          <wp:anchor distT="0" distB="0" distL="114300" distR="114300" simplePos="0" relativeHeight="251658240" behindDoc="0" locked="0" layoutInCell="1" allowOverlap="1" wp14:anchorId="44AD79E3" wp14:editId="4E29DD7E">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02491EA1" w14:textId="77777777" w:rsidR="004D75A6" w:rsidRDefault="004D75A6" w:rsidP="00AC2344">
      <w:pPr>
        <w:pStyle w:val="Subtitle"/>
        <w:spacing w:after="0" w:line="240" w:lineRule="auto"/>
        <w:jc w:val="center"/>
      </w:pPr>
    </w:p>
    <w:p w14:paraId="4A28A895" w14:textId="77777777" w:rsidR="00AC2344" w:rsidRDefault="00AC2344" w:rsidP="00AC2344">
      <w:pPr>
        <w:pStyle w:val="Header"/>
        <w:widowControl w:val="0"/>
        <w:tabs>
          <w:tab w:val="clear" w:pos="4320"/>
          <w:tab w:val="clear" w:pos="8640"/>
        </w:tabs>
        <w:spacing w:line="360" w:lineRule="auto"/>
        <w:jc w:val="center"/>
        <w:rPr>
          <w:rFonts w:cs="Arial"/>
          <w:b/>
          <w:szCs w:val="24"/>
        </w:rPr>
      </w:pPr>
    </w:p>
    <w:p w14:paraId="14D82869" w14:textId="77777777" w:rsidR="00AC2344" w:rsidRDefault="00AC2344" w:rsidP="00AC2344">
      <w:pPr>
        <w:pStyle w:val="Header"/>
        <w:widowControl w:val="0"/>
        <w:tabs>
          <w:tab w:val="clear" w:pos="4320"/>
          <w:tab w:val="clear" w:pos="8640"/>
        </w:tabs>
        <w:spacing w:line="360" w:lineRule="auto"/>
        <w:jc w:val="center"/>
        <w:rPr>
          <w:rFonts w:cs="Arial"/>
          <w:b/>
          <w:szCs w:val="24"/>
        </w:rPr>
      </w:pPr>
    </w:p>
    <w:p w14:paraId="43930B2D" w14:textId="77777777" w:rsidR="004D75A6" w:rsidRPr="004D75A6" w:rsidRDefault="004D75A6" w:rsidP="00AC2344">
      <w:pPr>
        <w:pStyle w:val="Header"/>
        <w:widowControl w:val="0"/>
        <w:tabs>
          <w:tab w:val="clear" w:pos="4320"/>
          <w:tab w:val="clear" w:pos="8640"/>
        </w:tabs>
        <w:spacing w:line="360" w:lineRule="auto"/>
        <w:jc w:val="center"/>
        <w:rPr>
          <w:rFonts w:cs="Arial"/>
          <w:b/>
          <w:szCs w:val="24"/>
        </w:rPr>
      </w:pPr>
      <w:r w:rsidRPr="004D75A6">
        <w:rPr>
          <w:rFonts w:cs="Arial"/>
          <w:b/>
          <w:szCs w:val="24"/>
        </w:rPr>
        <w:t>IN THE HIGH COURT OF SOUTH AFRICA</w:t>
      </w:r>
    </w:p>
    <w:p w14:paraId="7B209EAD" w14:textId="77777777" w:rsidR="004D75A6" w:rsidRPr="004D75A6" w:rsidRDefault="004D75A6" w:rsidP="00AC2344">
      <w:pPr>
        <w:widowControl w:val="0"/>
        <w:tabs>
          <w:tab w:val="right" w:pos="9213"/>
        </w:tabs>
        <w:spacing w:after="0" w:line="360" w:lineRule="auto"/>
        <w:jc w:val="center"/>
        <w:rPr>
          <w:rFonts w:ascii="Arial" w:hAnsi="Arial" w:cs="Arial"/>
          <w:b/>
          <w:sz w:val="24"/>
          <w:szCs w:val="24"/>
        </w:rPr>
      </w:pPr>
      <w:r w:rsidRPr="004D75A6">
        <w:rPr>
          <w:rFonts w:ascii="Arial" w:hAnsi="Arial" w:cs="Arial"/>
          <w:b/>
          <w:sz w:val="24"/>
          <w:szCs w:val="24"/>
        </w:rPr>
        <w:t xml:space="preserve">EASTERN CAPE DIVISION, </w:t>
      </w:r>
      <w:r w:rsidR="00FB3D54">
        <w:rPr>
          <w:rFonts w:ascii="Arial" w:hAnsi="Arial" w:cs="Arial"/>
          <w:b/>
          <w:sz w:val="24"/>
          <w:szCs w:val="24"/>
        </w:rPr>
        <w:t>MAKHANDA</w:t>
      </w:r>
    </w:p>
    <w:p w14:paraId="2D74512E" w14:textId="77777777" w:rsidR="007A1247" w:rsidRDefault="007A1247" w:rsidP="00AC2344">
      <w:pPr>
        <w:widowControl w:val="0"/>
        <w:tabs>
          <w:tab w:val="right" w:pos="9213"/>
        </w:tabs>
        <w:spacing w:after="0" w:line="240" w:lineRule="auto"/>
        <w:rPr>
          <w:rFonts w:ascii="Arial" w:hAnsi="Arial" w:cs="Arial"/>
          <w:b/>
          <w:sz w:val="24"/>
          <w:szCs w:val="24"/>
        </w:rPr>
      </w:pPr>
    </w:p>
    <w:p w14:paraId="625B0EC7" w14:textId="77777777" w:rsidR="004D75A6" w:rsidRDefault="00333CA5" w:rsidP="00CD702E">
      <w:pPr>
        <w:widowControl w:val="0"/>
        <w:tabs>
          <w:tab w:val="right" w:pos="8931"/>
        </w:tabs>
        <w:spacing w:after="0" w:line="240" w:lineRule="auto"/>
        <w:rPr>
          <w:rFonts w:ascii="Arial" w:hAnsi="Arial" w:cs="Arial"/>
          <w:b/>
          <w:sz w:val="24"/>
          <w:szCs w:val="24"/>
        </w:rPr>
      </w:pPr>
      <w:r>
        <w:rPr>
          <w:rFonts w:ascii="Arial" w:hAnsi="Arial" w:cs="Arial"/>
          <w:b/>
          <w:sz w:val="24"/>
          <w:szCs w:val="24"/>
        </w:rPr>
        <w:tab/>
        <w:t>CASE NO:</w:t>
      </w:r>
      <w:r w:rsidR="00FB3D54">
        <w:rPr>
          <w:rFonts w:ascii="Arial" w:hAnsi="Arial" w:cs="Arial"/>
          <w:b/>
          <w:sz w:val="24"/>
          <w:szCs w:val="24"/>
        </w:rPr>
        <w:t xml:space="preserve"> </w:t>
      </w:r>
      <w:r w:rsidR="00850C46">
        <w:rPr>
          <w:rFonts w:ascii="Arial" w:hAnsi="Arial" w:cs="Arial"/>
          <w:b/>
          <w:sz w:val="24"/>
          <w:szCs w:val="24"/>
        </w:rPr>
        <w:t>3581</w:t>
      </w:r>
      <w:r w:rsidR="00FB3D54">
        <w:rPr>
          <w:rFonts w:ascii="Arial" w:hAnsi="Arial" w:cs="Arial"/>
          <w:b/>
          <w:sz w:val="24"/>
          <w:szCs w:val="24"/>
        </w:rPr>
        <w:t>/2021</w:t>
      </w:r>
    </w:p>
    <w:p w14:paraId="5A52C38E" w14:textId="77777777" w:rsidR="00850C46" w:rsidRDefault="00850C46" w:rsidP="00AC2344">
      <w:pPr>
        <w:widowControl w:val="0"/>
        <w:tabs>
          <w:tab w:val="right" w:pos="9213"/>
        </w:tabs>
        <w:spacing w:after="0" w:line="240" w:lineRule="auto"/>
        <w:rPr>
          <w:rFonts w:ascii="Arial" w:hAnsi="Arial" w:cs="Arial"/>
          <w:sz w:val="24"/>
          <w:szCs w:val="24"/>
        </w:rPr>
      </w:pPr>
    </w:p>
    <w:p w14:paraId="34250191" w14:textId="77777777" w:rsidR="007A1247" w:rsidRDefault="007A1247" w:rsidP="00850C46">
      <w:pPr>
        <w:widowControl w:val="0"/>
        <w:tabs>
          <w:tab w:val="right" w:pos="9213"/>
        </w:tabs>
        <w:spacing w:after="0" w:line="360" w:lineRule="auto"/>
        <w:rPr>
          <w:rFonts w:ascii="Arial" w:hAnsi="Arial" w:cs="Arial"/>
          <w:sz w:val="24"/>
          <w:szCs w:val="24"/>
        </w:rPr>
      </w:pPr>
      <w:r w:rsidRPr="007A1247">
        <w:rPr>
          <w:rFonts w:ascii="Arial" w:hAnsi="Arial" w:cs="Arial"/>
          <w:sz w:val="24"/>
          <w:szCs w:val="24"/>
        </w:rPr>
        <w:t>In the matter between:</w:t>
      </w:r>
    </w:p>
    <w:p w14:paraId="0AB9EF7F" w14:textId="77777777" w:rsidR="00850C46" w:rsidRDefault="00850C46" w:rsidP="00850C46">
      <w:pPr>
        <w:widowControl w:val="0"/>
        <w:tabs>
          <w:tab w:val="right" w:pos="8931"/>
          <w:tab w:val="right" w:pos="9026"/>
        </w:tabs>
        <w:spacing w:after="0" w:line="720" w:lineRule="auto"/>
        <w:rPr>
          <w:rFonts w:ascii="Arial" w:hAnsi="Arial" w:cs="Arial"/>
          <w:b/>
          <w:sz w:val="24"/>
          <w:szCs w:val="24"/>
        </w:rPr>
      </w:pPr>
      <w:r>
        <w:rPr>
          <w:rFonts w:ascii="Arial" w:hAnsi="Arial" w:cs="Arial"/>
          <w:b/>
          <w:sz w:val="24"/>
          <w:szCs w:val="24"/>
        </w:rPr>
        <w:t>MONDOCLOX (PTY) LTD</w:t>
      </w:r>
      <w:r w:rsidR="00FB3D54" w:rsidRPr="00FB3D54">
        <w:rPr>
          <w:rFonts w:ascii="Arial" w:hAnsi="Arial" w:cs="Arial"/>
          <w:b/>
          <w:sz w:val="24"/>
          <w:szCs w:val="24"/>
        </w:rPr>
        <w:tab/>
      </w:r>
      <w:r>
        <w:rPr>
          <w:rFonts w:ascii="Arial" w:hAnsi="Arial" w:cs="Arial"/>
          <w:b/>
          <w:sz w:val="24"/>
          <w:szCs w:val="24"/>
        </w:rPr>
        <w:t>Applicant</w:t>
      </w:r>
    </w:p>
    <w:p w14:paraId="1A258A1F" w14:textId="77777777" w:rsidR="00FB3D54" w:rsidRPr="003F4C93" w:rsidRDefault="00FB3D54" w:rsidP="00850C46">
      <w:pPr>
        <w:widowControl w:val="0"/>
        <w:tabs>
          <w:tab w:val="right" w:pos="8931"/>
        </w:tabs>
        <w:spacing w:after="0" w:line="720" w:lineRule="auto"/>
        <w:rPr>
          <w:rFonts w:ascii="Arial" w:hAnsi="Arial" w:cs="Arial"/>
          <w:sz w:val="24"/>
          <w:szCs w:val="24"/>
        </w:rPr>
      </w:pPr>
      <w:r w:rsidRPr="003F4C93">
        <w:rPr>
          <w:rFonts w:ascii="Arial" w:hAnsi="Arial" w:cs="Arial"/>
          <w:sz w:val="24"/>
          <w:szCs w:val="24"/>
        </w:rPr>
        <w:t>and</w:t>
      </w:r>
    </w:p>
    <w:p w14:paraId="2D307678" w14:textId="77777777" w:rsidR="00CE261F" w:rsidRDefault="00850C46" w:rsidP="00356459">
      <w:pPr>
        <w:widowControl w:val="0"/>
        <w:tabs>
          <w:tab w:val="right" w:pos="8931"/>
          <w:tab w:val="right" w:pos="9026"/>
        </w:tabs>
        <w:spacing w:after="0" w:line="360" w:lineRule="auto"/>
        <w:rPr>
          <w:rFonts w:ascii="Arial" w:hAnsi="Arial" w:cs="Arial"/>
          <w:b/>
          <w:sz w:val="24"/>
          <w:szCs w:val="24"/>
        </w:rPr>
      </w:pPr>
      <w:r>
        <w:rPr>
          <w:rFonts w:ascii="Arial" w:hAnsi="Arial" w:cs="Arial"/>
          <w:b/>
          <w:sz w:val="24"/>
          <w:szCs w:val="24"/>
        </w:rPr>
        <w:t>JANET CUMMING BRANCH</w:t>
      </w:r>
      <w:r>
        <w:rPr>
          <w:rFonts w:ascii="Arial" w:hAnsi="Arial" w:cs="Arial"/>
          <w:b/>
          <w:sz w:val="24"/>
          <w:szCs w:val="24"/>
        </w:rPr>
        <w:tab/>
        <w:t>First Respondent</w:t>
      </w:r>
    </w:p>
    <w:p w14:paraId="373D9DB4" w14:textId="77777777" w:rsidR="00850C46" w:rsidRDefault="00850C46" w:rsidP="00850C46">
      <w:pPr>
        <w:widowControl w:val="0"/>
        <w:tabs>
          <w:tab w:val="right" w:pos="8931"/>
          <w:tab w:val="right" w:pos="9026"/>
        </w:tabs>
        <w:spacing w:after="0" w:line="240" w:lineRule="auto"/>
        <w:rPr>
          <w:rFonts w:ascii="Arial" w:hAnsi="Arial" w:cs="Arial"/>
          <w:b/>
          <w:sz w:val="24"/>
          <w:szCs w:val="24"/>
        </w:rPr>
      </w:pPr>
      <w:r>
        <w:rPr>
          <w:rFonts w:ascii="Arial" w:hAnsi="Arial" w:cs="Arial"/>
          <w:b/>
          <w:sz w:val="24"/>
          <w:szCs w:val="24"/>
        </w:rPr>
        <w:t>NDLAMBE MUNICIPALITY</w:t>
      </w:r>
      <w:r>
        <w:rPr>
          <w:rFonts w:ascii="Arial" w:hAnsi="Arial" w:cs="Arial"/>
          <w:b/>
          <w:sz w:val="24"/>
          <w:szCs w:val="24"/>
        </w:rPr>
        <w:tab/>
        <w:t>Second Respondent</w:t>
      </w:r>
    </w:p>
    <w:p w14:paraId="51D7E080" w14:textId="77777777" w:rsidR="00CE261F" w:rsidRDefault="00CE261F" w:rsidP="00CE261F">
      <w:pPr>
        <w:spacing w:after="0" w:line="240" w:lineRule="auto"/>
        <w:rPr>
          <w:rFonts w:ascii="Arial" w:hAnsi="Arial" w:cs="Arial"/>
          <w:b/>
          <w:sz w:val="24"/>
          <w:szCs w:val="24"/>
        </w:rPr>
      </w:pPr>
      <w:r>
        <w:rPr>
          <w:rFonts w:ascii="Arial" w:hAnsi="Arial" w:cs="Arial"/>
          <w:b/>
          <w:sz w:val="24"/>
          <w:szCs w:val="24"/>
        </w:rPr>
        <w:t>___________________________________________________________________</w:t>
      </w:r>
    </w:p>
    <w:p w14:paraId="61CC6DBB" w14:textId="77777777" w:rsidR="00CE261F" w:rsidRDefault="00CE261F" w:rsidP="00356459">
      <w:pPr>
        <w:spacing w:after="0" w:line="360" w:lineRule="auto"/>
        <w:rPr>
          <w:rFonts w:ascii="Arial" w:hAnsi="Arial" w:cs="Arial"/>
          <w:b/>
          <w:sz w:val="24"/>
          <w:szCs w:val="24"/>
        </w:rPr>
      </w:pPr>
    </w:p>
    <w:p w14:paraId="7A9A99F6" w14:textId="77777777" w:rsidR="00CE261F" w:rsidRDefault="00CE261F" w:rsidP="00CE261F">
      <w:pPr>
        <w:spacing w:after="0" w:line="240" w:lineRule="auto"/>
        <w:ind w:firstLine="720"/>
        <w:jc w:val="center"/>
        <w:rPr>
          <w:rFonts w:ascii="Arial" w:hAnsi="Arial" w:cs="Arial"/>
          <w:b/>
          <w:sz w:val="24"/>
          <w:szCs w:val="24"/>
        </w:rPr>
      </w:pPr>
      <w:r>
        <w:rPr>
          <w:rFonts w:ascii="Arial" w:hAnsi="Arial" w:cs="Arial"/>
          <w:b/>
          <w:sz w:val="24"/>
          <w:szCs w:val="24"/>
        </w:rPr>
        <w:t>JUDGMENT</w:t>
      </w:r>
    </w:p>
    <w:p w14:paraId="18117C50" w14:textId="77777777" w:rsidR="00356459" w:rsidRDefault="00356459" w:rsidP="00CE261F">
      <w:pPr>
        <w:spacing w:after="0" w:line="240" w:lineRule="auto"/>
        <w:rPr>
          <w:rFonts w:ascii="Arial" w:hAnsi="Arial" w:cs="Arial"/>
          <w:b/>
          <w:sz w:val="24"/>
          <w:szCs w:val="24"/>
        </w:rPr>
      </w:pPr>
    </w:p>
    <w:p w14:paraId="71DACBF9" w14:textId="77777777" w:rsidR="00CE261F" w:rsidRPr="00CE261F" w:rsidRDefault="00CE261F" w:rsidP="00CE261F">
      <w:pPr>
        <w:spacing w:after="0" w:line="240" w:lineRule="auto"/>
        <w:rPr>
          <w:rFonts w:ascii="Arial" w:hAnsi="Arial" w:cs="Arial"/>
          <w:b/>
          <w:sz w:val="24"/>
          <w:szCs w:val="24"/>
          <w:u w:val="single"/>
        </w:rPr>
      </w:pPr>
      <w:r>
        <w:rPr>
          <w:rFonts w:ascii="Arial" w:hAnsi="Arial" w:cs="Arial"/>
          <w:b/>
          <w:sz w:val="24"/>
          <w:szCs w:val="24"/>
        </w:rPr>
        <w:t>___________________________________________________________________</w:t>
      </w:r>
    </w:p>
    <w:p w14:paraId="71CFF129" w14:textId="77777777" w:rsidR="00CE261F" w:rsidRDefault="00CE261F" w:rsidP="00AC2344">
      <w:pPr>
        <w:spacing w:after="0" w:line="240" w:lineRule="auto"/>
        <w:rPr>
          <w:rFonts w:ascii="Arial" w:hAnsi="Arial" w:cs="Arial"/>
          <w:b/>
          <w:sz w:val="24"/>
          <w:szCs w:val="24"/>
          <w:u w:val="single"/>
        </w:rPr>
      </w:pPr>
    </w:p>
    <w:p w14:paraId="5163ACB4" w14:textId="77777777" w:rsidR="00FD558A" w:rsidRPr="00850C46" w:rsidRDefault="00F66A7F" w:rsidP="00AC2344">
      <w:pPr>
        <w:spacing w:after="0" w:line="240" w:lineRule="auto"/>
        <w:rPr>
          <w:rFonts w:ascii="Arial" w:hAnsi="Arial" w:cs="Arial"/>
          <w:b/>
          <w:sz w:val="24"/>
          <w:szCs w:val="24"/>
        </w:rPr>
      </w:pPr>
      <w:proofErr w:type="spellStart"/>
      <w:r w:rsidRPr="00850C46">
        <w:rPr>
          <w:rFonts w:ascii="Arial" w:hAnsi="Arial" w:cs="Arial"/>
          <w:b/>
          <w:sz w:val="24"/>
          <w:szCs w:val="24"/>
        </w:rPr>
        <w:t>Bloem</w:t>
      </w:r>
      <w:proofErr w:type="spellEnd"/>
      <w:r w:rsidRPr="00850C46">
        <w:rPr>
          <w:rFonts w:ascii="Arial" w:hAnsi="Arial" w:cs="Arial"/>
          <w:b/>
          <w:sz w:val="24"/>
          <w:szCs w:val="24"/>
        </w:rPr>
        <w:t xml:space="preserve"> </w:t>
      </w:r>
      <w:r w:rsidR="00AC2344" w:rsidRPr="00850C46">
        <w:rPr>
          <w:rFonts w:ascii="Arial" w:hAnsi="Arial" w:cs="Arial"/>
          <w:b/>
          <w:sz w:val="24"/>
          <w:szCs w:val="24"/>
        </w:rPr>
        <w:t>J</w:t>
      </w:r>
    </w:p>
    <w:p w14:paraId="77E54423" w14:textId="77777777" w:rsidR="00FB3D54" w:rsidRDefault="00FB3D54" w:rsidP="00AC2344">
      <w:pPr>
        <w:spacing w:after="0" w:line="240" w:lineRule="auto"/>
        <w:rPr>
          <w:rFonts w:ascii="Arial" w:hAnsi="Arial" w:cs="Arial"/>
          <w:b/>
          <w:sz w:val="24"/>
          <w:szCs w:val="24"/>
          <w:u w:val="single"/>
        </w:rPr>
      </w:pPr>
    </w:p>
    <w:p w14:paraId="3173EF3F" w14:textId="0B9BF353" w:rsidR="00D61624"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9C77FF" w:rsidRPr="00A42DEC">
        <w:rPr>
          <w:rFonts w:ascii="Arial" w:hAnsi="Arial" w:cs="Arial"/>
          <w:sz w:val="24"/>
          <w:szCs w:val="24"/>
        </w:rPr>
        <w:t xml:space="preserve">The applicant </w:t>
      </w:r>
      <w:r w:rsidR="00334129" w:rsidRPr="00A42DEC">
        <w:rPr>
          <w:rFonts w:ascii="Arial" w:hAnsi="Arial" w:cs="Arial"/>
          <w:sz w:val="24"/>
          <w:szCs w:val="24"/>
        </w:rPr>
        <w:t xml:space="preserve">seeks an order declaring the erection of a structure unlawful and a directive that it be demolished.  In the alternative, the applicant seeks an order compelling the second respondent to take </w:t>
      </w:r>
      <w:r w:rsidR="00D61624" w:rsidRPr="00A42DEC">
        <w:rPr>
          <w:rFonts w:ascii="Arial" w:hAnsi="Arial" w:cs="Arial"/>
          <w:sz w:val="24"/>
          <w:szCs w:val="24"/>
        </w:rPr>
        <w:t>the</w:t>
      </w:r>
      <w:r w:rsidR="00334129" w:rsidRPr="00A42DEC">
        <w:rPr>
          <w:rFonts w:ascii="Arial" w:hAnsi="Arial" w:cs="Arial"/>
          <w:sz w:val="24"/>
          <w:szCs w:val="24"/>
        </w:rPr>
        <w:t xml:space="preserve"> steps</w:t>
      </w:r>
      <w:r w:rsidR="00D61624" w:rsidRPr="00A42DEC">
        <w:rPr>
          <w:rFonts w:ascii="Arial" w:hAnsi="Arial" w:cs="Arial"/>
          <w:sz w:val="24"/>
          <w:szCs w:val="24"/>
        </w:rPr>
        <w:t xml:space="preserve"> which it is lawfully obliged to take to ensure the d</w:t>
      </w:r>
      <w:r w:rsidR="00334129" w:rsidRPr="00A42DEC">
        <w:rPr>
          <w:rFonts w:ascii="Arial" w:hAnsi="Arial" w:cs="Arial"/>
          <w:sz w:val="24"/>
          <w:szCs w:val="24"/>
        </w:rPr>
        <w:t>emoli</w:t>
      </w:r>
      <w:r w:rsidR="00375CF6" w:rsidRPr="00A42DEC">
        <w:rPr>
          <w:rFonts w:ascii="Arial" w:hAnsi="Arial" w:cs="Arial"/>
          <w:sz w:val="24"/>
          <w:szCs w:val="24"/>
        </w:rPr>
        <w:t>tion</w:t>
      </w:r>
      <w:r w:rsidR="00334129" w:rsidRPr="00A42DEC">
        <w:rPr>
          <w:rFonts w:ascii="Arial" w:hAnsi="Arial" w:cs="Arial"/>
          <w:sz w:val="24"/>
          <w:szCs w:val="24"/>
        </w:rPr>
        <w:t xml:space="preserve"> </w:t>
      </w:r>
      <w:r w:rsidR="00D61624" w:rsidRPr="00A42DEC">
        <w:rPr>
          <w:rFonts w:ascii="Arial" w:hAnsi="Arial" w:cs="Arial"/>
          <w:sz w:val="24"/>
          <w:szCs w:val="24"/>
        </w:rPr>
        <w:t xml:space="preserve">of the </w:t>
      </w:r>
      <w:r w:rsidR="00334129" w:rsidRPr="00A42DEC">
        <w:rPr>
          <w:rFonts w:ascii="Arial" w:hAnsi="Arial" w:cs="Arial"/>
          <w:sz w:val="24"/>
          <w:szCs w:val="24"/>
        </w:rPr>
        <w:t xml:space="preserve">structure.  </w:t>
      </w:r>
    </w:p>
    <w:p w14:paraId="47AE1988" w14:textId="77777777" w:rsidR="00D61624" w:rsidRDefault="00D61624" w:rsidP="00D61624">
      <w:pPr>
        <w:pStyle w:val="ListParagraph"/>
        <w:spacing w:after="0" w:line="360" w:lineRule="auto"/>
        <w:ind w:left="567"/>
        <w:jc w:val="both"/>
        <w:rPr>
          <w:rFonts w:ascii="Arial" w:hAnsi="Arial" w:cs="Arial"/>
          <w:sz w:val="24"/>
          <w:szCs w:val="24"/>
        </w:rPr>
      </w:pPr>
    </w:p>
    <w:p w14:paraId="7D16417B" w14:textId="0A4BC641" w:rsidR="00810B2A"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334129" w:rsidRPr="00A42DEC">
        <w:rPr>
          <w:rFonts w:ascii="Arial" w:hAnsi="Arial" w:cs="Arial"/>
          <w:sz w:val="24"/>
          <w:szCs w:val="24"/>
        </w:rPr>
        <w:t>The applicant is a company.  It is the owner of an immovable property known as erf 156</w:t>
      </w:r>
      <w:r w:rsidR="00D61624" w:rsidRPr="00A42DEC">
        <w:rPr>
          <w:rFonts w:ascii="Arial" w:hAnsi="Arial" w:cs="Arial"/>
          <w:sz w:val="24"/>
          <w:szCs w:val="24"/>
        </w:rPr>
        <w:t>0</w:t>
      </w:r>
      <w:r w:rsidR="00F71E66" w:rsidRPr="00A42DEC">
        <w:rPr>
          <w:rFonts w:ascii="Arial" w:hAnsi="Arial" w:cs="Arial"/>
          <w:sz w:val="24"/>
          <w:szCs w:val="24"/>
        </w:rPr>
        <w:t>,</w:t>
      </w:r>
      <w:r w:rsidR="00334129" w:rsidRPr="00A42DEC">
        <w:rPr>
          <w:rFonts w:ascii="Arial" w:hAnsi="Arial" w:cs="Arial"/>
          <w:sz w:val="24"/>
          <w:szCs w:val="24"/>
        </w:rPr>
        <w:t xml:space="preserve"> Kenton-on-Sea (the applicant’s property)</w:t>
      </w:r>
      <w:r w:rsidR="00D61624" w:rsidRPr="00A42DEC">
        <w:rPr>
          <w:rFonts w:ascii="Arial" w:hAnsi="Arial" w:cs="Arial"/>
          <w:sz w:val="24"/>
          <w:szCs w:val="24"/>
        </w:rPr>
        <w:t xml:space="preserve"> since </w:t>
      </w:r>
      <w:r w:rsidR="00375CF6" w:rsidRPr="00A42DEC">
        <w:rPr>
          <w:rFonts w:ascii="Arial" w:hAnsi="Arial" w:cs="Arial"/>
          <w:sz w:val="24"/>
          <w:szCs w:val="24"/>
        </w:rPr>
        <w:t>2014/</w:t>
      </w:r>
      <w:r w:rsidR="00D61624" w:rsidRPr="00A42DEC">
        <w:rPr>
          <w:rFonts w:ascii="Arial" w:hAnsi="Arial" w:cs="Arial"/>
          <w:sz w:val="24"/>
          <w:szCs w:val="24"/>
        </w:rPr>
        <w:t>2015.  The first respondent is an adult female.  She is the owner of the neighbouring immovable property known as erf 1561</w:t>
      </w:r>
      <w:r w:rsidR="00F71E66" w:rsidRPr="00A42DEC">
        <w:rPr>
          <w:rFonts w:ascii="Arial" w:hAnsi="Arial" w:cs="Arial"/>
          <w:sz w:val="24"/>
          <w:szCs w:val="24"/>
        </w:rPr>
        <w:t>,</w:t>
      </w:r>
      <w:r w:rsidR="00D61624" w:rsidRPr="00A42DEC">
        <w:rPr>
          <w:rFonts w:ascii="Arial" w:hAnsi="Arial" w:cs="Arial"/>
          <w:sz w:val="24"/>
          <w:szCs w:val="24"/>
        </w:rPr>
        <w:t xml:space="preserve"> Kenton-on-Sea (the first respondent’s property)</w:t>
      </w:r>
      <w:r w:rsidR="00810B2A" w:rsidRPr="00A42DEC">
        <w:rPr>
          <w:rFonts w:ascii="Arial" w:hAnsi="Arial" w:cs="Arial"/>
          <w:sz w:val="24"/>
          <w:szCs w:val="24"/>
        </w:rPr>
        <w:t xml:space="preserve"> since 1995</w:t>
      </w:r>
      <w:r w:rsidR="00D61624" w:rsidRPr="00A42DEC">
        <w:rPr>
          <w:rFonts w:ascii="Arial" w:hAnsi="Arial" w:cs="Arial"/>
          <w:sz w:val="24"/>
          <w:szCs w:val="24"/>
        </w:rPr>
        <w:t>.</w:t>
      </w:r>
      <w:r w:rsidR="00810B2A" w:rsidRPr="00A42DEC">
        <w:rPr>
          <w:rFonts w:ascii="Arial" w:hAnsi="Arial" w:cs="Arial"/>
          <w:sz w:val="24"/>
          <w:szCs w:val="24"/>
        </w:rPr>
        <w:t xml:space="preserve">  The applicant’s property abuts the first respondent’s property on the eastern edge.</w:t>
      </w:r>
      <w:r w:rsidR="00D61624" w:rsidRPr="00A42DEC">
        <w:rPr>
          <w:rFonts w:ascii="Arial" w:hAnsi="Arial" w:cs="Arial"/>
          <w:sz w:val="24"/>
          <w:szCs w:val="24"/>
        </w:rPr>
        <w:t xml:space="preserve">  The applicant’s and first respondent’s properties are </w:t>
      </w:r>
      <w:r w:rsidR="00810B2A" w:rsidRPr="00A42DEC">
        <w:rPr>
          <w:rFonts w:ascii="Arial" w:hAnsi="Arial" w:cs="Arial"/>
          <w:sz w:val="24"/>
          <w:szCs w:val="24"/>
        </w:rPr>
        <w:t>situ</w:t>
      </w:r>
      <w:r w:rsidR="00D61624" w:rsidRPr="00A42DEC">
        <w:rPr>
          <w:rFonts w:ascii="Arial" w:hAnsi="Arial" w:cs="Arial"/>
          <w:sz w:val="24"/>
          <w:szCs w:val="24"/>
        </w:rPr>
        <w:t xml:space="preserve">ated within the area of jurisdiction of the </w:t>
      </w:r>
      <w:r w:rsidR="00375CF6" w:rsidRPr="00A42DEC">
        <w:rPr>
          <w:rFonts w:ascii="Arial" w:hAnsi="Arial" w:cs="Arial"/>
          <w:sz w:val="24"/>
          <w:szCs w:val="24"/>
        </w:rPr>
        <w:t xml:space="preserve">second respondent, the </w:t>
      </w:r>
      <w:proofErr w:type="spellStart"/>
      <w:r w:rsidR="00375CF6" w:rsidRPr="00A42DEC">
        <w:rPr>
          <w:rFonts w:ascii="Arial" w:hAnsi="Arial" w:cs="Arial"/>
          <w:sz w:val="24"/>
          <w:szCs w:val="24"/>
        </w:rPr>
        <w:t>Ndlambe</w:t>
      </w:r>
      <w:proofErr w:type="spellEnd"/>
      <w:r w:rsidR="00375CF6" w:rsidRPr="00A42DEC">
        <w:rPr>
          <w:rFonts w:ascii="Arial" w:hAnsi="Arial" w:cs="Arial"/>
          <w:sz w:val="24"/>
          <w:szCs w:val="24"/>
        </w:rPr>
        <w:t xml:space="preserve"> Local Municipality (the municipality)</w:t>
      </w:r>
      <w:r w:rsidR="00D61624" w:rsidRPr="00A42DEC">
        <w:rPr>
          <w:rFonts w:ascii="Arial" w:hAnsi="Arial" w:cs="Arial"/>
          <w:sz w:val="24"/>
          <w:szCs w:val="24"/>
        </w:rPr>
        <w:t xml:space="preserve">. </w:t>
      </w:r>
    </w:p>
    <w:p w14:paraId="59DB0C09" w14:textId="77777777" w:rsidR="00810B2A" w:rsidRPr="00810B2A" w:rsidRDefault="00810B2A" w:rsidP="00810B2A">
      <w:pPr>
        <w:pStyle w:val="ListParagraph"/>
        <w:rPr>
          <w:rFonts w:ascii="Arial" w:hAnsi="Arial" w:cs="Arial"/>
          <w:sz w:val="24"/>
          <w:szCs w:val="24"/>
        </w:rPr>
      </w:pPr>
    </w:p>
    <w:p w14:paraId="436994F4" w14:textId="235AD78E" w:rsidR="00F236FD"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810B2A" w:rsidRPr="00A42DEC">
        <w:rPr>
          <w:rFonts w:ascii="Arial" w:hAnsi="Arial" w:cs="Arial"/>
          <w:sz w:val="24"/>
          <w:szCs w:val="24"/>
        </w:rPr>
        <w:t>When the applicant purchased its property, it was undeve</w:t>
      </w:r>
      <w:r w:rsidR="00375CF6" w:rsidRPr="00A42DEC">
        <w:rPr>
          <w:rFonts w:ascii="Arial" w:hAnsi="Arial" w:cs="Arial"/>
          <w:sz w:val="24"/>
          <w:szCs w:val="24"/>
        </w:rPr>
        <w:t>loped and remains so.  It claimed</w:t>
      </w:r>
      <w:r w:rsidR="00810B2A" w:rsidRPr="00A42DEC">
        <w:rPr>
          <w:rFonts w:ascii="Arial" w:hAnsi="Arial" w:cs="Arial"/>
          <w:sz w:val="24"/>
          <w:szCs w:val="24"/>
        </w:rPr>
        <w:t xml:space="preserve"> that</w:t>
      </w:r>
      <w:r w:rsidR="00356459" w:rsidRPr="00A42DEC">
        <w:rPr>
          <w:rFonts w:ascii="Arial" w:hAnsi="Arial" w:cs="Arial"/>
          <w:sz w:val="24"/>
          <w:szCs w:val="24"/>
        </w:rPr>
        <w:t xml:space="preserve"> during 2015 </w:t>
      </w:r>
      <w:r w:rsidR="00810B2A" w:rsidRPr="00A42DEC">
        <w:rPr>
          <w:rFonts w:ascii="Arial" w:hAnsi="Arial" w:cs="Arial"/>
          <w:sz w:val="24"/>
          <w:szCs w:val="24"/>
        </w:rPr>
        <w:t xml:space="preserve">it </w:t>
      </w:r>
      <w:r w:rsidR="00356459" w:rsidRPr="00A42DEC">
        <w:rPr>
          <w:rFonts w:ascii="Arial" w:hAnsi="Arial" w:cs="Arial"/>
          <w:sz w:val="24"/>
          <w:szCs w:val="24"/>
        </w:rPr>
        <w:t xml:space="preserve">drew plans for the erection of a residential </w:t>
      </w:r>
      <w:r w:rsidR="00375CF6" w:rsidRPr="00A42DEC">
        <w:rPr>
          <w:rFonts w:ascii="Arial" w:hAnsi="Arial" w:cs="Arial"/>
          <w:sz w:val="24"/>
          <w:szCs w:val="24"/>
        </w:rPr>
        <w:t xml:space="preserve">dwelling </w:t>
      </w:r>
      <w:r w:rsidR="00356459" w:rsidRPr="00A42DEC">
        <w:rPr>
          <w:rFonts w:ascii="Arial" w:hAnsi="Arial" w:cs="Arial"/>
          <w:sz w:val="24"/>
          <w:szCs w:val="24"/>
        </w:rPr>
        <w:lastRenderedPageBreak/>
        <w:t xml:space="preserve">in the centre of the property.  It subsequently </w:t>
      </w:r>
      <w:r w:rsidR="00375CF6" w:rsidRPr="00A42DEC">
        <w:rPr>
          <w:rFonts w:ascii="Arial" w:hAnsi="Arial" w:cs="Arial"/>
          <w:sz w:val="24"/>
          <w:szCs w:val="24"/>
        </w:rPr>
        <w:t>amended</w:t>
      </w:r>
      <w:r w:rsidR="001B3CF6" w:rsidRPr="00A42DEC">
        <w:rPr>
          <w:rFonts w:ascii="Arial" w:hAnsi="Arial" w:cs="Arial"/>
          <w:sz w:val="24"/>
          <w:szCs w:val="24"/>
        </w:rPr>
        <w:t xml:space="preserve"> those building </w:t>
      </w:r>
      <w:r w:rsidR="00356459" w:rsidRPr="00A42DEC">
        <w:rPr>
          <w:rFonts w:ascii="Arial" w:hAnsi="Arial" w:cs="Arial"/>
          <w:sz w:val="24"/>
          <w:szCs w:val="24"/>
        </w:rPr>
        <w:t xml:space="preserve">plans </w:t>
      </w:r>
      <w:r w:rsidR="001B3CF6" w:rsidRPr="00A42DEC">
        <w:rPr>
          <w:rFonts w:ascii="Arial" w:hAnsi="Arial" w:cs="Arial"/>
          <w:sz w:val="24"/>
          <w:szCs w:val="24"/>
        </w:rPr>
        <w:t xml:space="preserve">which envisage the proposed dwelling closer to the boundary which </w:t>
      </w:r>
      <w:r w:rsidR="00375CF6" w:rsidRPr="00A42DEC">
        <w:rPr>
          <w:rFonts w:ascii="Arial" w:hAnsi="Arial" w:cs="Arial"/>
          <w:sz w:val="24"/>
          <w:szCs w:val="24"/>
        </w:rPr>
        <w:t>it</w:t>
      </w:r>
      <w:r w:rsidR="001B3CF6" w:rsidRPr="00A42DEC">
        <w:rPr>
          <w:rFonts w:ascii="Arial" w:hAnsi="Arial" w:cs="Arial"/>
          <w:sz w:val="24"/>
          <w:szCs w:val="24"/>
        </w:rPr>
        <w:t xml:space="preserve"> shares with the first respondent.  </w:t>
      </w:r>
      <w:r w:rsidR="00D12516" w:rsidRPr="00A42DEC">
        <w:rPr>
          <w:rFonts w:ascii="Arial" w:hAnsi="Arial" w:cs="Arial"/>
          <w:sz w:val="24"/>
          <w:szCs w:val="24"/>
        </w:rPr>
        <w:t xml:space="preserve">The </w:t>
      </w:r>
      <w:r w:rsidR="001B3CF6" w:rsidRPr="00A42DEC">
        <w:rPr>
          <w:rFonts w:ascii="Arial" w:hAnsi="Arial" w:cs="Arial"/>
          <w:sz w:val="24"/>
          <w:szCs w:val="24"/>
        </w:rPr>
        <w:t>amended building plans have been approved by the municipality.</w:t>
      </w:r>
      <w:r w:rsidR="00DF1D58" w:rsidRPr="00A42DEC">
        <w:rPr>
          <w:rFonts w:ascii="Arial" w:hAnsi="Arial" w:cs="Arial"/>
          <w:sz w:val="24"/>
          <w:szCs w:val="24"/>
        </w:rPr>
        <w:t xml:space="preserve">  </w:t>
      </w:r>
    </w:p>
    <w:p w14:paraId="44842CC2" w14:textId="77777777" w:rsidR="00F236FD" w:rsidRPr="00F236FD" w:rsidRDefault="00F236FD" w:rsidP="00F236FD">
      <w:pPr>
        <w:pStyle w:val="ListParagraph"/>
        <w:rPr>
          <w:rFonts w:ascii="Arial" w:hAnsi="Arial" w:cs="Arial"/>
          <w:sz w:val="24"/>
          <w:szCs w:val="24"/>
        </w:rPr>
      </w:pPr>
    </w:p>
    <w:p w14:paraId="1DB5D955" w14:textId="4A47A663" w:rsidR="00356459"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DF1D58" w:rsidRPr="00A42DEC">
        <w:rPr>
          <w:rFonts w:ascii="Arial" w:hAnsi="Arial" w:cs="Arial"/>
          <w:sz w:val="24"/>
          <w:szCs w:val="24"/>
        </w:rPr>
        <w:t>The applicant alleged that, after the approval of the amended building plans, a survey was carried out of its property.  The survey revealed that</w:t>
      </w:r>
      <w:r w:rsidR="00F236FD" w:rsidRPr="00A42DEC">
        <w:rPr>
          <w:rFonts w:ascii="Arial" w:hAnsi="Arial" w:cs="Arial"/>
          <w:sz w:val="24"/>
          <w:szCs w:val="24"/>
        </w:rPr>
        <w:t xml:space="preserve"> a structure on the first respondent’s property substantially encroaches </w:t>
      </w:r>
      <w:r w:rsidR="00375CF6" w:rsidRPr="00A42DEC">
        <w:rPr>
          <w:rFonts w:ascii="Arial" w:hAnsi="Arial" w:cs="Arial"/>
          <w:sz w:val="24"/>
          <w:szCs w:val="24"/>
        </w:rPr>
        <w:t>over</w:t>
      </w:r>
      <w:r w:rsidR="00F236FD" w:rsidRPr="00A42DEC">
        <w:rPr>
          <w:rFonts w:ascii="Arial" w:hAnsi="Arial" w:cs="Arial"/>
          <w:sz w:val="24"/>
          <w:szCs w:val="24"/>
        </w:rPr>
        <w:t xml:space="preserve"> the building line</w:t>
      </w:r>
      <w:r w:rsidR="00375CF6" w:rsidRPr="00A42DEC">
        <w:rPr>
          <w:rFonts w:ascii="Arial" w:hAnsi="Arial" w:cs="Arial"/>
          <w:sz w:val="24"/>
          <w:szCs w:val="24"/>
        </w:rPr>
        <w:t xml:space="preserve"> close to the boundary between</w:t>
      </w:r>
      <w:r w:rsidR="00F236FD" w:rsidRPr="00A42DEC">
        <w:rPr>
          <w:rFonts w:ascii="Arial" w:hAnsi="Arial" w:cs="Arial"/>
          <w:sz w:val="24"/>
          <w:szCs w:val="24"/>
        </w:rPr>
        <w:t xml:space="preserve"> the two properties.  The applicant</w:t>
      </w:r>
      <w:r w:rsidR="00375CF6" w:rsidRPr="00A42DEC">
        <w:rPr>
          <w:rFonts w:ascii="Arial" w:hAnsi="Arial" w:cs="Arial"/>
          <w:sz w:val="24"/>
          <w:szCs w:val="24"/>
        </w:rPr>
        <w:t xml:space="preserve"> fears</w:t>
      </w:r>
      <w:r w:rsidR="00F236FD" w:rsidRPr="00A42DEC">
        <w:rPr>
          <w:rFonts w:ascii="Arial" w:hAnsi="Arial" w:cs="Arial"/>
          <w:sz w:val="24"/>
          <w:szCs w:val="24"/>
        </w:rPr>
        <w:t xml:space="preserve"> that the required excavations would seriously undermine the foundations of the encroaching structure, which in turn would lead to instability and cause foundation subsidence and damage to the encroaching structure.</w:t>
      </w:r>
      <w:r w:rsidR="00C60F87" w:rsidRPr="00A42DEC">
        <w:rPr>
          <w:rFonts w:ascii="Arial" w:hAnsi="Arial" w:cs="Arial"/>
          <w:sz w:val="24"/>
          <w:szCs w:val="24"/>
        </w:rPr>
        <w:t xml:space="preserve">  The encroaching structure accordingly has complications for the erection of </w:t>
      </w:r>
      <w:r w:rsidR="00BC70C8" w:rsidRPr="00A42DEC">
        <w:rPr>
          <w:rFonts w:ascii="Arial" w:hAnsi="Arial" w:cs="Arial"/>
          <w:sz w:val="24"/>
          <w:szCs w:val="24"/>
        </w:rPr>
        <w:t>the envisaged</w:t>
      </w:r>
      <w:r w:rsidR="00C60F87" w:rsidRPr="00A42DEC">
        <w:rPr>
          <w:rFonts w:ascii="Arial" w:hAnsi="Arial" w:cs="Arial"/>
          <w:sz w:val="24"/>
          <w:szCs w:val="24"/>
        </w:rPr>
        <w:t xml:space="preserve"> residential </w:t>
      </w:r>
      <w:r w:rsidR="00BC70C8" w:rsidRPr="00A42DEC">
        <w:rPr>
          <w:rFonts w:ascii="Arial" w:hAnsi="Arial" w:cs="Arial"/>
          <w:sz w:val="24"/>
          <w:szCs w:val="24"/>
        </w:rPr>
        <w:t>dwelling</w:t>
      </w:r>
      <w:r w:rsidR="00C60F87" w:rsidRPr="00A42DEC">
        <w:rPr>
          <w:rFonts w:ascii="Arial" w:hAnsi="Arial" w:cs="Arial"/>
          <w:sz w:val="24"/>
          <w:szCs w:val="24"/>
        </w:rPr>
        <w:t xml:space="preserve"> on the applicant’s property.</w:t>
      </w:r>
    </w:p>
    <w:p w14:paraId="645F56F6" w14:textId="77777777" w:rsidR="00356459" w:rsidRPr="00356459" w:rsidRDefault="00356459" w:rsidP="00356459">
      <w:pPr>
        <w:pStyle w:val="ListParagraph"/>
        <w:rPr>
          <w:rFonts w:ascii="Arial" w:hAnsi="Arial" w:cs="Arial"/>
          <w:sz w:val="24"/>
          <w:szCs w:val="24"/>
        </w:rPr>
      </w:pPr>
    </w:p>
    <w:p w14:paraId="38980757" w14:textId="79CE809D" w:rsidR="00226AB9"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0D5E51" w:rsidRPr="00A42DEC">
        <w:rPr>
          <w:rFonts w:ascii="Arial" w:hAnsi="Arial" w:cs="Arial"/>
          <w:sz w:val="24"/>
          <w:szCs w:val="24"/>
        </w:rPr>
        <w:t xml:space="preserve">The applicant’s legal representatives met with the municipality’s Director of Infrastructure Developments on 19 March 2019 to discuss the applicant’s concerns.  Several further visits by the applicant’s legal representatives to the municipality followed.  During a meeting on 25 March 2019 the </w:t>
      </w:r>
      <w:r w:rsidR="00226AB9" w:rsidRPr="00A42DEC">
        <w:rPr>
          <w:rFonts w:ascii="Arial" w:hAnsi="Arial" w:cs="Arial"/>
          <w:sz w:val="24"/>
          <w:szCs w:val="24"/>
        </w:rPr>
        <w:t xml:space="preserve">municipality provided the </w:t>
      </w:r>
      <w:r w:rsidR="000D5E51" w:rsidRPr="00A42DEC">
        <w:rPr>
          <w:rFonts w:ascii="Arial" w:hAnsi="Arial" w:cs="Arial"/>
          <w:sz w:val="24"/>
          <w:szCs w:val="24"/>
        </w:rPr>
        <w:t xml:space="preserve">applicant’s legal representatives with copies of the 2007 and 2015 building plans relating to the first respondent’s property. </w:t>
      </w:r>
      <w:r w:rsidR="00226AB9" w:rsidRPr="00A42DEC">
        <w:rPr>
          <w:rFonts w:ascii="Arial" w:hAnsi="Arial" w:cs="Arial"/>
          <w:sz w:val="24"/>
          <w:szCs w:val="24"/>
        </w:rPr>
        <w:t xml:space="preserve"> During that meeting </w:t>
      </w:r>
      <w:r w:rsidR="00BC70C8" w:rsidRPr="00A42DEC">
        <w:rPr>
          <w:rFonts w:ascii="Arial" w:hAnsi="Arial" w:cs="Arial"/>
          <w:sz w:val="24"/>
          <w:szCs w:val="24"/>
        </w:rPr>
        <w:t xml:space="preserve">a certain </w:t>
      </w:r>
      <w:r w:rsidR="00226AB9" w:rsidRPr="00A42DEC">
        <w:rPr>
          <w:rFonts w:ascii="Arial" w:hAnsi="Arial" w:cs="Arial"/>
          <w:sz w:val="24"/>
          <w:szCs w:val="24"/>
        </w:rPr>
        <w:t xml:space="preserve">Ms </w:t>
      </w:r>
      <w:proofErr w:type="spellStart"/>
      <w:r w:rsidR="00226AB9" w:rsidRPr="00A42DEC">
        <w:rPr>
          <w:rFonts w:ascii="Arial" w:hAnsi="Arial" w:cs="Arial"/>
          <w:sz w:val="24"/>
          <w:szCs w:val="24"/>
        </w:rPr>
        <w:t>Ngxashula</w:t>
      </w:r>
      <w:proofErr w:type="spellEnd"/>
      <w:r w:rsidR="00226AB9" w:rsidRPr="00A42DEC">
        <w:rPr>
          <w:rFonts w:ascii="Arial" w:hAnsi="Arial" w:cs="Arial"/>
          <w:sz w:val="24"/>
          <w:szCs w:val="24"/>
        </w:rPr>
        <w:t xml:space="preserve">, of the municipality’s town planning department, informed the applicant’s legal representatives firstly, that there was no application for </w:t>
      </w:r>
      <w:r w:rsidR="00BC70C8" w:rsidRPr="00A42DEC">
        <w:rPr>
          <w:rFonts w:ascii="Arial" w:hAnsi="Arial" w:cs="Arial"/>
          <w:sz w:val="24"/>
          <w:szCs w:val="24"/>
        </w:rPr>
        <w:t>the first respondent to erect the structure over</w:t>
      </w:r>
      <w:r w:rsidR="00226AB9" w:rsidRPr="00A42DEC">
        <w:rPr>
          <w:rFonts w:ascii="Arial" w:hAnsi="Arial" w:cs="Arial"/>
          <w:sz w:val="24"/>
          <w:szCs w:val="24"/>
        </w:rPr>
        <w:t xml:space="preserve"> the building line </w:t>
      </w:r>
      <w:r w:rsidR="00BC70C8" w:rsidRPr="00A42DEC">
        <w:rPr>
          <w:rFonts w:ascii="Arial" w:hAnsi="Arial" w:cs="Arial"/>
          <w:sz w:val="24"/>
          <w:szCs w:val="24"/>
        </w:rPr>
        <w:t>on</w:t>
      </w:r>
      <w:r w:rsidR="00226AB9" w:rsidRPr="00A42DEC">
        <w:rPr>
          <w:rFonts w:ascii="Arial" w:hAnsi="Arial" w:cs="Arial"/>
          <w:sz w:val="24"/>
          <w:szCs w:val="24"/>
        </w:rPr>
        <w:t xml:space="preserve"> the first respondent’s property; and secondly, that there was no application for consent to land use change in respects of the first respondent’s property. </w:t>
      </w:r>
    </w:p>
    <w:p w14:paraId="3B5E64A1" w14:textId="77777777" w:rsidR="00226AB9" w:rsidRPr="00226AB9" w:rsidRDefault="00226AB9" w:rsidP="00226AB9">
      <w:pPr>
        <w:pStyle w:val="ListParagraph"/>
        <w:rPr>
          <w:rFonts w:ascii="Arial" w:hAnsi="Arial" w:cs="Arial"/>
          <w:sz w:val="24"/>
          <w:szCs w:val="24"/>
        </w:rPr>
      </w:pPr>
    </w:p>
    <w:p w14:paraId="2F474E07" w14:textId="015FBDC2" w:rsidR="00356459"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00226AB9" w:rsidRPr="00A42DEC">
        <w:rPr>
          <w:rFonts w:ascii="Arial" w:hAnsi="Arial" w:cs="Arial"/>
          <w:sz w:val="24"/>
          <w:szCs w:val="24"/>
        </w:rPr>
        <w:t>The applicant alleged that the first respondent falsely represented to the municipality that the encroaching structure was an artist’s studio, when it was in fact a flatlet or cottage which is rented out.  A separate flatlet on an immovable property constitutes a second dwelling, which</w:t>
      </w:r>
      <w:r w:rsidR="004F4C97" w:rsidRPr="00A42DEC">
        <w:rPr>
          <w:rFonts w:ascii="Arial" w:hAnsi="Arial" w:cs="Arial"/>
          <w:sz w:val="24"/>
          <w:szCs w:val="24"/>
        </w:rPr>
        <w:t>,</w:t>
      </w:r>
      <w:r w:rsidR="00226AB9" w:rsidRPr="00A42DEC">
        <w:rPr>
          <w:rFonts w:ascii="Arial" w:hAnsi="Arial" w:cs="Arial"/>
          <w:sz w:val="24"/>
          <w:szCs w:val="24"/>
        </w:rPr>
        <w:t xml:space="preserve"> </w:t>
      </w:r>
      <w:r w:rsidR="004F4C97" w:rsidRPr="00A42DEC">
        <w:rPr>
          <w:rFonts w:ascii="Arial" w:hAnsi="Arial" w:cs="Arial"/>
          <w:sz w:val="24"/>
          <w:szCs w:val="24"/>
        </w:rPr>
        <w:t>without specific permission, is not permitted within the prevailing land use scheme which governs the use of both the applicant’s and the first respondent’s properties.</w:t>
      </w:r>
    </w:p>
    <w:p w14:paraId="5D893EB4" w14:textId="77777777" w:rsidR="004F4C97" w:rsidRPr="004F4C97" w:rsidRDefault="004F4C97" w:rsidP="004F4C97">
      <w:pPr>
        <w:pStyle w:val="ListParagraph"/>
        <w:rPr>
          <w:rFonts w:ascii="Arial" w:hAnsi="Arial" w:cs="Arial"/>
          <w:sz w:val="24"/>
          <w:szCs w:val="24"/>
        </w:rPr>
      </w:pPr>
    </w:p>
    <w:p w14:paraId="75376943" w14:textId="5D83DC17" w:rsidR="00471725" w:rsidRPr="00A42DEC" w:rsidRDefault="00A42DEC" w:rsidP="00A42DEC">
      <w:pPr>
        <w:spacing w:after="0" w:line="360" w:lineRule="auto"/>
        <w:ind w:left="567" w:hanging="567"/>
        <w:jc w:val="both"/>
        <w:rPr>
          <w:rFonts w:ascii="Arial" w:hAnsi="Arial" w:cs="Arial"/>
          <w:sz w:val="24"/>
          <w:szCs w:val="24"/>
        </w:rPr>
      </w:pPr>
      <w:r w:rsidRPr="00471725">
        <w:rPr>
          <w:rFonts w:ascii="Arial" w:hAnsi="Arial" w:cs="Arial"/>
          <w:sz w:val="24"/>
          <w:szCs w:val="24"/>
        </w:rPr>
        <w:lastRenderedPageBreak/>
        <w:t>7.</w:t>
      </w:r>
      <w:r w:rsidRPr="00471725">
        <w:rPr>
          <w:rFonts w:ascii="Arial" w:hAnsi="Arial" w:cs="Arial"/>
          <w:sz w:val="24"/>
          <w:szCs w:val="24"/>
        </w:rPr>
        <w:tab/>
      </w:r>
      <w:r w:rsidR="00BC70C8" w:rsidRPr="00A42DEC">
        <w:rPr>
          <w:rFonts w:ascii="Arial" w:hAnsi="Arial" w:cs="Arial"/>
          <w:sz w:val="24"/>
          <w:szCs w:val="24"/>
        </w:rPr>
        <w:t xml:space="preserve">It is common cause that during 1997 </w:t>
      </w:r>
      <w:r w:rsidR="004F4C97" w:rsidRPr="00A42DEC">
        <w:rPr>
          <w:rFonts w:ascii="Arial" w:hAnsi="Arial" w:cs="Arial"/>
          <w:sz w:val="24"/>
          <w:szCs w:val="24"/>
        </w:rPr>
        <w:t>the first respondent</w:t>
      </w:r>
      <w:r w:rsidR="00BC70C8" w:rsidRPr="00A42DEC">
        <w:rPr>
          <w:rFonts w:ascii="Arial" w:hAnsi="Arial" w:cs="Arial"/>
          <w:sz w:val="24"/>
          <w:szCs w:val="24"/>
        </w:rPr>
        <w:t>’s</w:t>
      </w:r>
      <w:r w:rsidR="004F4C97" w:rsidRPr="00A42DEC">
        <w:rPr>
          <w:rFonts w:ascii="Arial" w:hAnsi="Arial" w:cs="Arial"/>
          <w:sz w:val="24"/>
          <w:szCs w:val="24"/>
        </w:rPr>
        <w:t xml:space="preserve"> husband submitted building plans to the municipality for the </w:t>
      </w:r>
      <w:r w:rsidR="00BC70C8" w:rsidRPr="00A42DEC">
        <w:rPr>
          <w:rFonts w:ascii="Arial" w:hAnsi="Arial" w:cs="Arial"/>
          <w:sz w:val="24"/>
          <w:szCs w:val="24"/>
        </w:rPr>
        <w:t>erect</w:t>
      </w:r>
      <w:r w:rsidR="004F4C97" w:rsidRPr="00A42DEC">
        <w:rPr>
          <w:rFonts w:ascii="Arial" w:hAnsi="Arial" w:cs="Arial"/>
          <w:sz w:val="24"/>
          <w:szCs w:val="24"/>
        </w:rPr>
        <w:t xml:space="preserve">ion of </w:t>
      </w:r>
      <w:r w:rsidR="00BC70C8" w:rsidRPr="00A42DEC">
        <w:rPr>
          <w:rFonts w:ascii="Arial" w:hAnsi="Arial" w:cs="Arial"/>
          <w:sz w:val="24"/>
          <w:szCs w:val="24"/>
        </w:rPr>
        <w:t>the structure in question (the outbuilding)</w:t>
      </w:r>
      <w:r w:rsidR="004F4C97" w:rsidRPr="00A42DEC">
        <w:rPr>
          <w:rFonts w:ascii="Arial" w:hAnsi="Arial" w:cs="Arial"/>
          <w:sz w:val="24"/>
          <w:szCs w:val="24"/>
        </w:rPr>
        <w:t xml:space="preserve">.  The municipality approved those building plans on </w:t>
      </w:r>
      <w:r w:rsidR="00BC70C8" w:rsidRPr="00A42DEC">
        <w:rPr>
          <w:rFonts w:ascii="Arial" w:hAnsi="Arial" w:cs="Arial"/>
          <w:sz w:val="24"/>
          <w:szCs w:val="24"/>
        </w:rPr>
        <w:t>19</w:t>
      </w:r>
      <w:r w:rsidR="00863496" w:rsidRPr="00A42DEC">
        <w:rPr>
          <w:rFonts w:ascii="Arial" w:hAnsi="Arial" w:cs="Arial"/>
          <w:sz w:val="24"/>
          <w:szCs w:val="24"/>
        </w:rPr>
        <w:t> </w:t>
      </w:r>
      <w:r w:rsidR="00BC70C8" w:rsidRPr="00A42DEC">
        <w:rPr>
          <w:rFonts w:ascii="Arial" w:hAnsi="Arial" w:cs="Arial"/>
          <w:sz w:val="24"/>
          <w:szCs w:val="24"/>
        </w:rPr>
        <w:t>February</w:t>
      </w:r>
      <w:r w:rsidR="00863496" w:rsidRPr="00A42DEC">
        <w:rPr>
          <w:rFonts w:ascii="Arial" w:hAnsi="Arial" w:cs="Arial"/>
          <w:sz w:val="24"/>
          <w:szCs w:val="24"/>
        </w:rPr>
        <w:t> </w:t>
      </w:r>
      <w:r w:rsidR="00BC70C8" w:rsidRPr="00A42DEC">
        <w:rPr>
          <w:rFonts w:ascii="Arial" w:hAnsi="Arial" w:cs="Arial"/>
          <w:sz w:val="24"/>
          <w:szCs w:val="24"/>
        </w:rPr>
        <w:t>1997</w:t>
      </w:r>
      <w:r w:rsidR="004F4C97" w:rsidRPr="00A42DEC">
        <w:rPr>
          <w:rFonts w:ascii="Arial" w:hAnsi="Arial" w:cs="Arial"/>
          <w:sz w:val="24"/>
          <w:szCs w:val="24"/>
        </w:rPr>
        <w:t xml:space="preserve">.  </w:t>
      </w:r>
      <w:r w:rsidR="00852D39" w:rsidRPr="00A42DEC">
        <w:rPr>
          <w:rFonts w:ascii="Arial" w:hAnsi="Arial" w:cs="Arial"/>
          <w:sz w:val="24"/>
          <w:szCs w:val="24"/>
        </w:rPr>
        <w:t xml:space="preserve">On </w:t>
      </w:r>
      <w:r w:rsidR="00BC70C8" w:rsidRPr="00A42DEC">
        <w:rPr>
          <w:rFonts w:ascii="Arial" w:hAnsi="Arial" w:cs="Arial"/>
          <w:sz w:val="24"/>
          <w:szCs w:val="24"/>
        </w:rPr>
        <w:t>4 October</w:t>
      </w:r>
      <w:r w:rsidR="00852D39" w:rsidRPr="00A42DEC">
        <w:rPr>
          <w:rFonts w:ascii="Arial" w:hAnsi="Arial" w:cs="Arial"/>
          <w:sz w:val="24"/>
          <w:szCs w:val="24"/>
        </w:rPr>
        <w:t xml:space="preserve"> 2007 the first respondent submitted further building plans to the municipality</w:t>
      </w:r>
      <w:r w:rsidR="00CE43A9" w:rsidRPr="00A42DEC">
        <w:rPr>
          <w:rFonts w:ascii="Arial" w:hAnsi="Arial" w:cs="Arial"/>
          <w:sz w:val="24"/>
          <w:szCs w:val="24"/>
        </w:rPr>
        <w:t xml:space="preserve"> for certain alterations and additions to the existing outbuilding.  On 2 April 2008 the municipality approved those plans.  On 23 April 2008 the municipality’s building </w:t>
      </w:r>
      <w:r w:rsidR="00867C41" w:rsidRPr="00A42DEC">
        <w:rPr>
          <w:rFonts w:ascii="Arial" w:hAnsi="Arial" w:cs="Arial"/>
          <w:sz w:val="24"/>
          <w:szCs w:val="24"/>
        </w:rPr>
        <w:t>control officer</w:t>
      </w:r>
      <w:r w:rsidR="00CE43A9" w:rsidRPr="00A42DEC">
        <w:rPr>
          <w:rFonts w:ascii="Arial" w:hAnsi="Arial" w:cs="Arial"/>
          <w:sz w:val="24"/>
          <w:szCs w:val="24"/>
        </w:rPr>
        <w:t xml:space="preserve"> inspected the first respondent’s property during the construction of the envisaged alterations and additions.  From the building </w:t>
      </w:r>
      <w:r w:rsidR="00867C41" w:rsidRPr="00A42DEC">
        <w:rPr>
          <w:rFonts w:ascii="Arial" w:hAnsi="Arial" w:cs="Arial"/>
          <w:sz w:val="24"/>
          <w:szCs w:val="24"/>
        </w:rPr>
        <w:t xml:space="preserve">control </w:t>
      </w:r>
      <w:r w:rsidR="00CE43A9" w:rsidRPr="00A42DEC">
        <w:rPr>
          <w:rFonts w:ascii="Arial" w:hAnsi="Arial" w:cs="Arial"/>
          <w:sz w:val="24"/>
          <w:szCs w:val="24"/>
        </w:rPr>
        <w:t>inspector’s control sheet, it appears that the builder on site identified the boundary pegs.</w:t>
      </w:r>
      <w:r w:rsidR="001E311D" w:rsidRPr="00A42DEC">
        <w:rPr>
          <w:rFonts w:ascii="Arial" w:hAnsi="Arial" w:cs="Arial"/>
          <w:sz w:val="24"/>
          <w:szCs w:val="24"/>
        </w:rPr>
        <w:t xml:space="preserve">  According to the building plans which were approved on 2 April 2008, the building line was 1570mm from the boundary with the applicant’s property</w:t>
      </w:r>
      <w:r w:rsidR="00471725" w:rsidRPr="00A42DEC">
        <w:rPr>
          <w:rFonts w:ascii="Arial" w:hAnsi="Arial" w:cs="Arial"/>
          <w:sz w:val="24"/>
          <w:szCs w:val="24"/>
        </w:rPr>
        <w:t xml:space="preserve"> and</w:t>
      </w:r>
      <w:r w:rsidR="001E311D" w:rsidRPr="00A42DEC">
        <w:rPr>
          <w:rFonts w:ascii="Arial" w:hAnsi="Arial" w:cs="Arial"/>
          <w:sz w:val="24"/>
          <w:szCs w:val="24"/>
        </w:rPr>
        <w:t xml:space="preserve"> the floor plan indicate</w:t>
      </w:r>
      <w:r w:rsidR="00471725" w:rsidRPr="00A42DEC">
        <w:rPr>
          <w:rFonts w:ascii="Arial" w:hAnsi="Arial" w:cs="Arial"/>
          <w:sz w:val="24"/>
          <w:szCs w:val="24"/>
        </w:rPr>
        <w:t>d</w:t>
      </w:r>
      <w:r w:rsidR="001E311D" w:rsidRPr="00A42DEC">
        <w:rPr>
          <w:rFonts w:ascii="Arial" w:hAnsi="Arial" w:cs="Arial"/>
          <w:sz w:val="24"/>
          <w:szCs w:val="24"/>
        </w:rPr>
        <w:t xml:space="preserve"> that the structure </w:t>
      </w:r>
      <w:r w:rsidR="00471725" w:rsidRPr="00A42DEC">
        <w:rPr>
          <w:rFonts w:ascii="Arial" w:hAnsi="Arial" w:cs="Arial"/>
          <w:sz w:val="24"/>
          <w:szCs w:val="24"/>
        </w:rPr>
        <w:t xml:space="preserve">would </w:t>
      </w:r>
      <w:r w:rsidR="001E311D" w:rsidRPr="00A42DEC">
        <w:rPr>
          <w:rFonts w:ascii="Arial" w:hAnsi="Arial" w:cs="Arial"/>
          <w:sz w:val="24"/>
          <w:szCs w:val="24"/>
        </w:rPr>
        <w:t>consist of an art studio, pottery studio and a bathroom.</w:t>
      </w:r>
      <w:r w:rsidR="00471725" w:rsidRPr="00A42DEC">
        <w:rPr>
          <w:rFonts w:ascii="Arial" w:hAnsi="Arial" w:cs="Arial"/>
          <w:sz w:val="24"/>
          <w:szCs w:val="24"/>
        </w:rPr>
        <w:t xml:space="preserve"> </w:t>
      </w:r>
    </w:p>
    <w:p w14:paraId="69CE226D" w14:textId="77777777" w:rsidR="00356459" w:rsidRPr="00356459" w:rsidRDefault="00356459" w:rsidP="00356459">
      <w:pPr>
        <w:pStyle w:val="ListParagraph"/>
        <w:rPr>
          <w:rFonts w:ascii="Arial" w:hAnsi="Arial" w:cs="Arial"/>
          <w:sz w:val="24"/>
          <w:szCs w:val="24"/>
        </w:rPr>
      </w:pPr>
    </w:p>
    <w:p w14:paraId="240BAFCD" w14:textId="26BFB094" w:rsidR="00356459" w:rsidRPr="00A42DEC" w:rsidRDefault="00A42DEC" w:rsidP="00A42DEC">
      <w:pPr>
        <w:spacing w:after="0" w:line="360" w:lineRule="auto"/>
        <w:ind w:left="567" w:hanging="567"/>
        <w:jc w:val="both"/>
        <w:rPr>
          <w:rFonts w:ascii="Arial" w:eastAsia="Times New Roman" w:hAnsi="Arial" w:cs="Arial"/>
          <w:color w:val="424242"/>
          <w:sz w:val="24"/>
          <w:szCs w:val="24"/>
          <w:lang w:val="en-ZA" w:eastAsia="en-ZA"/>
        </w:rPr>
      </w:pPr>
      <w:r w:rsidRPr="00F332E2">
        <w:rPr>
          <w:rFonts w:ascii="Arial" w:eastAsia="Times New Roman" w:hAnsi="Arial" w:cs="Arial"/>
          <w:color w:val="424242"/>
          <w:sz w:val="24"/>
          <w:szCs w:val="24"/>
          <w:lang w:val="en-ZA" w:eastAsia="en-ZA"/>
        </w:rPr>
        <w:t>8.</w:t>
      </w:r>
      <w:r w:rsidRPr="00F332E2">
        <w:rPr>
          <w:rFonts w:ascii="Arial" w:eastAsia="Times New Roman" w:hAnsi="Arial" w:cs="Arial"/>
          <w:color w:val="424242"/>
          <w:sz w:val="24"/>
          <w:szCs w:val="24"/>
          <w:lang w:val="en-ZA" w:eastAsia="en-ZA"/>
        </w:rPr>
        <w:tab/>
      </w:r>
      <w:r w:rsidR="00471725" w:rsidRPr="00A42DEC">
        <w:rPr>
          <w:rFonts w:ascii="Arial" w:hAnsi="Arial" w:cs="Arial"/>
          <w:sz w:val="24"/>
          <w:szCs w:val="24"/>
        </w:rPr>
        <w:t xml:space="preserve">During 2015 the first respondent submitted further building plans </w:t>
      </w:r>
      <w:r w:rsidR="00760465" w:rsidRPr="00A42DEC">
        <w:rPr>
          <w:rFonts w:ascii="Arial" w:hAnsi="Arial" w:cs="Arial"/>
          <w:sz w:val="24"/>
          <w:szCs w:val="24"/>
        </w:rPr>
        <w:t xml:space="preserve">to the municipality </w:t>
      </w:r>
      <w:r w:rsidR="00471725" w:rsidRPr="00A42DEC">
        <w:rPr>
          <w:rFonts w:ascii="Arial" w:hAnsi="Arial" w:cs="Arial"/>
          <w:sz w:val="24"/>
          <w:szCs w:val="24"/>
        </w:rPr>
        <w:t>in respect of her property for yet further alterations and additions to the outbuilding.</w:t>
      </w:r>
      <w:r w:rsidR="00760465" w:rsidRPr="00A42DEC">
        <w:rPr>
          <w:rFonts w:ascii="Arial" w:hAnsi="Arial" w:cs="Arial"/>
          <w:sz w:val="24"/>
          <w:szCs w:val="24"/>
        </w:rPr>
        <w:t xml:space="preserve">  </w:t>
      </w:r>
      <w:r w:rsidR="00BC70C8" w:rsidRPr="00A42DEC">
        <w:rPr>
          <w:rFonts w:ascii="Arial" w:hAnsi="Arial" w:cs="Arial"/>
          <w:sz w:val="24"/>
          <w:szCs w:val="24"/>
        </w:rPr>
        <w:t>T</w:t>
      </w:r>
      <w:r w:rsidR="00760465" w:rsidRPr="00A42DEC">
        <w:rPr>
          <w:rFonts w:ascii="Arial" w:hAnsi="Arial" w:cs="Arial"/>
          <w:sz w:val="24"/>
          <w:szCs w:val="24"/>
        </w:rPr>
        <w:t>he municipality approved the further amended building plans</w:t>
      </w:r>
      <w:r w:rsidR="00252641" w:rsidRPr="00A42DEC">
        <w:rPr>
          <w:rFonts w:ascii="Arial" w:hAnsi="Arial" w:cs="Arial"/>
          <w:sz w:val="24"/>
          <w:szCs w:val="24"/>
        </w:rPr>
        <w:t xml:space="preserve"> on 13 May 2015.</w:t>
      </w:r>
      <w:r w:rsidR="00760465" w:rsidRPr="00A42DEC">
        <w:rPr>
          <w:rFonts w:ascii="Arial" w:hAnsi="Arial" w:cs="Arial"/>
          <w:sz w:val="24"/>
          <w:szCs w:val="24"/>
        </w:rPr>
        <w:t xml:space="preserve"> </w:t>
      </w:r>
      <w:r w:rsidR="00252641" w:rsidRPr="00A42DEC">
        <w:rPr>
          <w:rFonts w:ascii="Arial" w:hAnsi="Arial" w:cs="Arial"/>
          <w:sz w:val="24"/>
          <w:szCs w:val="24"/>
        </w:rPr>
        <w:t xml:space="preserve"> </w:t>
      </w:r>
      <w:r w:rsidR="00760465" w:rsidRPr="00A42DEC">
        <w:rPr>
          <w:rFonts w:ascii="Arial" w:hAnsi="Arial" w:cs="Arial"/>
          <w:sz w:val="24"/>
          <w:szCs w:val="24"/>
        </w:rPr>
        <w:t>The applicant alleged that</w:t>
      </w:r>
      <w:r w:rsidR="00252641" w:rsidRPr="00A42DEC">
        <w:rPr>
          <w:rFonts w:ascii="Arial" w:hAnsi="Arial" w:cs="Arial"/>
          <w:sz w:val="24"/>
          <w:szCs w:val="24"/>
        </w:rPr>
        <w:t xml:space="preserve"> “</w:t>
      </w:r>
      <w:r w:rsidR="00252641" w:rsidRPr="00A42DEC">
        <w:rPr>
          <w:rFonts w:ascii="Arial" w:hAnsi="Arial" w:cs="Arial"/>
          <w:i/>
          <w:sz w:val="24"/>
          <w:szCs w:val="24"/>
        </w:rPr>
        <w:t>it is apparent that the first respondent wished to extend the existing outbuilding structures by adding an office and two stores</w:t>
      </w:r>
      <w:r w:rsidR="00252641" w:rsidRPr="00A42DEC">
        <w:rPr>
          <w:rFonts w:ascii="Arial" w:hAnsi="Arial" w:cs="Arial"/>
          <w:sz w:val="24"/>
          <w:szCs w:val="24"/>
        </w:rPr>
        <w:t>”.</w:t>
      </w:r>
      <w:r w:rsidR="00760465" w:rsidRPr="00A42DEC">
        <w:rPr>
          <w:rFonts w:ascii="Arial" w:hAnsi="Arial" w:cs="Arial"/>
          <w:sz w:val="24"/>
          <w:szCs w:val="24"/>
        </w:rPr>
        <w:t xml:space="preserve"> </w:t>
      </w:r>
      <w:r w:rsidR="00252641" w:rsidRPr="00A42DEC">
        <w:rPr>
          <w:rFonts w:ascii="Arial" w:hAnsi="Arial" w:cs="Arial"/>
          <w:sz w:val="24"/>
          <w:szCs w:val="24"/>
        </w:rPr>
        <w:t xml:space="preserve"> The first respondent erected the structure as envisaged in the further amended building plans, the applicant complaining that “</w:t>
      </w:r>
      <w:r w:rsidR="00252641" w:rsidRPr="00A42DEC">
        <w:rPr>
          <w:rFonts w:ascii="Arial" w:hAnsi="Arial" w:cs="Arial"/>
          <w:i/>
          <w:sz w:val="24"/>
          <w:szCs w:val="24"/>
        </w:rPr>
        <w:t>the result being the unlawful structure</w:t>
      </w:r>
      <w:r w:rsidR="00252641" w:rsidRPr="00A42DEC">
        <w:rPr>
          <w:rFonts w:ascii="Arial" w:hAnsi="Arial" w:cs="Arial"/>
          <w:sz w:val="24"/>
          <w:szCs w:val="24"/>
        </w:rPr>
        <w:t xml:space="preserve">”.  The applicant contended that the erection of the </w:t>
      </w:r>
      <w:r w:rsidR="00BC70C8" w:rsidRPr="00A42DEC">
        <w:rPr>
          <w:rFonts w:ascii="Arial" w:hAnsi="Arial" w:cs="Arial"/>
          <w:sz w:val="24"/>
          <w:szCs w:val="24"/>
        </w:rPr>
        <w:t>outbuilding</w:t>
      </w:r>
      <w:r w:rsidR="00252641" w:rsidRPr="00A42DEC">
        <w:rPr>
          <w:rFonts w:ascii="Arial" w:hAnsi="Arial" w:cs="Arial"/>
          <w:sz w:val="24"/>
          <w:szCs w:val="24"/>
        </w:rPr>
        <w:t xml:space="preserve"> was unlawful for two reasons.</w:t>
      </w:r>
      <w:r w:rsidR="00420508" w:rsidRPr="00A42DEC">
        <w:rPr>
          <w:rFonts w:ascii="Arial" w:hAnsi="Arial" w:cs="Arial"/>
          <w:sz w:val="24"/>
          <w:szCs w:val="24"/>
        </w:rPr>
        <w:t xml:space="preserve"> </w:t>
      </w:r>
      <w:r w:rsidR="00A31B76" w:rsidRPr="00A42DEC">
        <w:rPr>
          <w:rFonts w:ascii="Arial" w:hAnsi="Arial" w:cs="Arial"/>
          <w:sz w:val="24"/>
          <w:szCs w:val="24"/>
        </w:rPr>
        <w:t xml:space="preserve"> Firstly, the entire length of the structure has been erected over the building line “</w:t>
      </w:r>
      <w:r w:rsidR="00BC70C8" w:rsidRPr="00A42DEC">
        <w:rPr>
          <w:rFonts w:ascii="Arial" w:hAnsi="Arial" w:cs="Arial"/>
          <w:i/>
          <w:sz w:val="24"/>
          <w:szCs w:val="24"/>
        </w:rPr>
        <w:t>with its nearest point</w:t>
      </w:r>
      <w:r w:rsidR="00A31B76" w:rsidRPr="00A42DEC">
        <w:rPr>
          <w:rFonts w:ascii="Arial" w:hAnsi="Arial" w:cs="Arial"/>
          <w:i/>
          <w:sz w:val="24"/>
          <w:szCs w:val="24"/>
        </w:rPr>
        <w:t xml:space="preserve"> to be within 290mm of the applicant’s property and with its most distant abutting point to be 830mm</w:t>
      </w:r>
      <w:r w:rsidR="00A31B76" w:rsidRPr="00A42DEC">
        <w:rPr>
          <w:rFonts w:ascii="Arial" w:hAnsi="Arial" w:cs="Arial"/>
          <w:sz w:val="24"/>
          <w:szCs w:val="24"/>
        </w:rPr>
        <w:t xml:space="preserve">”.    Secondly, the structure appears to have a kitchen and a bathroom.  It is plumbed, supplied with </w:t>
      </w:r>
      <w:proofErr w:type="gramStart"/>
      <w:r w:rsidR="00A31B76" w:rsidRPr="00A42DEC">
        <w:rPr>
          <w:rFonts w:ascii="Arial" w:hAnsi="Arial" w:cs="Arial"/>
          <w:sz w:val="24"/>
          <w:szCs w:val="24"/>
        </w:rPr>
        <w:t>electricity</w:t>
      </w:r>
      <w:proofErr w:type="gramEnd"/>
      <w:r w:rsidR="00A31B76" w:rsidRPr="00A42DEC">
        <w:rPr>
          <w:rFonts w:ascii="Arial" w:hAnsi="Arial" w:cs="Arial"/>
          <w:sz w:val="24"/>
          <w:szCs w:val="24"/>
        </w:rPr>
        <w:t xml:space="preserve"> and has two geysers.  It therefore constitutes a second dwelling unit, whereas the area in which the properties are situated is zoned “single residential”.  The applicant alleged that the first respondent did not apply for nor obtain permission to erect the structure in that manner.</w:t>
      </w:r>
      <w:r w:rsidR="00832055" w:rsidRPr="00A42DEC">
        <w:rPr>
          <w:rFonts w:ascii="Arial" w:hAnsi="Arial" w:cs="Arial"/>
          <w:sz w:val="24"/>
          <w:szCs w:val="24"/>
        </w:rPr>
        <w:t xml:space="preserve">  </w:t>
      </w:r>
    </w:p>
    <w:p w14:paraId="6F641D24" w14:textId="77777777" w:rsidR="00356459" w:rsidRPr="00356459" w:rsidRDefault="00356459" w:rsidP="00356459">
      <w:pPr>
        <w:pStyle w:val="ListParagraph"/>
        <w:rPr>
          <w:rFonts w:ascii="Arial" w:hAnsi="Arial" w:cs="Arial"/>
          <w:sz w:val="24"/>
          <w:szCs w:val="24"/>
        </w:rPr>
      </w:pPr>
    </w:p>
    <w:p w14:paraId="6EBEEDD4" w14:textId="245A1368" w:rsidR="00356459"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9.</w:t>
      </w:r>
      <w:r>
        <w:rPr>
          <w:rFonts w:ascii="Arial" w:hAnsi="Arial" w:cs="Arial"/>
          <w:sz w:val="24"/>
          <w:szCs w:val="24"/>
        </w:rPr>
        <w:tab/>
      </w:r>
      <w:r w:rsidR="00F332E2" w:rsidRPr="00A42DEC">
        <w:rPr>
          <w:rFonts w:ascii="Arial" w:hAnsi="Arial" w:cs="Arial"/>
          <w:sz w:val="24"/>
          <w:szCs w:val="24"/>
        </w:rPr>
        <w:t>The applicant based its application on the provisions of the National Building Regulations and Building Standards Act</w:t>
      </w:r>
      <w:r w:rsidR="00F332E2" w:rsidRPr="00832055">
        <w:rPr>
          <w:rStyle w:val="FootnoteReference"/>
          <w:rFonts w:ascii="Arial" w:hAnsi="Arial" w:cs="Arial"/>
          <w:sz w:val="24"/>
          <w:szCs w:val="24"/>
        </w:rPr>
        <w:footnoteReference w:id="1"/>
      </w:r>
      <w:r w:rsidR="00F332E2" w:rsidRPr="00A42DEC">
        <w:rPr>
          <w:rFonts w:ascii="Arial" w:hAnsi="Arial" w:cs="Arial"/>
          <w:sz w:val="24"/>
          <w:szCs w:val="24"/>
        </w:rPr>
        <w:t xml:space="preserve"> (the Building Act) and the </w:t>
      </w:r>
      <w:r w:rsidR="00AC5CDB" w:rsidRPr="00A42DEC">
        <w:rPr>
          <w:rFonts w:ascii="Arial" w:hAnsi="Arial" w:cs="Arial"/>
          <w:sz w:val="24"/>
          <w:szCs w:val="24"/>
        </w:rPr>
        <w:t>N</w:t>
      </w:r>
      <w:r w:rsidR="00DC0647" w:rsidRPr="00A42DEC">
        <w:rPr>
          <w:rFonts w:ascii="Arial" w:hAnsi="Arial" w:cs="Arial"/>
          <w:sz w:val="24"/>
          <w:szCs w:val="24"/>
        </w:rPr>
        <w:t xml:space="preserve">ational </w:t>
      </w:r>
      <w:r w:rsidR="00AC5CDB" w:rsidRPr="00A42DEC">
        <w:rPr>
          <w:rFonts w:ascii="Arial" w:hAnsi="Arial" w:cs="Arial"/>
          <w:sz w:val="24"/>
          <w:szCs w:val="24"/>
        </w:rPr>
        <w:lastRenderedPageBreak/>
        <w:t>B</w:t>
      </w:r>
      <w:r w:rsidR="00DC0647" w:rsidRPr="00A42DEC">
        <w:rPr>
          <w:rFonts w:ascii="Arial" w:hAnsi="Arial" w:cs="Arial"/>
          <w:sz w:val="24"/>
          <w:szCs w:val="24"/>
        </w:rPr>
        <w:t xml:space="preserve">uilding </w:t>
      </w:r>
      <w:r w:rsidR="00AC5CDB" w:rsidRPr="00A42DEC">
        <w:rPr>
          <w:rFonts w:ascii="Arial" w:hAnsi="Arial" w:cs="Arial"/>
          <w:sz w:val="24"/>
          <w:szCs w:val="24"/>
        </w:rPr>
        <w:t>R</w:t>
      </w:r>
      <w:r w:rsidR="00F332E2" w:rsidRPr="00A42DEC">
        <w:rPr>
          <w:rFonts w:ascii="Arial" w:hAnsi="Arial" w:cs="Arial"/>
          <w:sz w:val="24"/>
          <w:szCs w:val="24"/>
        </w:rPr>
        <w:t>egulations</w:t>
      </w:r>
      <w:r w:rsidR="00DC0647" w:rsidRPr="00A42DEC">
        <w:rPr>
          <w:rFonts w:ascii="Arial" w:hAnsi="Arial" w:cs="Arial"/>
          <w:sz w:val="24"/>
          <w:szCs w:val="24"/>
        </w:rPr>
        <w:t>.</w:t>
      </w:r>
      <w:r w:rsidR="00DC0647">
        <w:rPr>
          <w:rStyle w:val="FootnoteReference"/>
          <w:rFonts w:ascii="Arial" w:hAnsi="Arial" w:cs="Arial"/>
          <w:sz w:val="24"/>
          <w:szCs w:val="24"/>
        </w:rPr>
        <w:footnoteReference w:id="2"/>
      </w:r>
      <w:r w:rsidR="00F332E2" w:rsidRPr="00A42DEC">
        <w:rPr>
          <w:rFonts w:ascii="Arial" w:hAnsi="Arial" w:cs="Arial"/>
          <w:color w:val="414043"/>
          <w:sz w:val="24"/>
          <w:szCs w:val="24"/>
        </w:rPr>
        <w:t xml:space="preserve">  It furthermore based </w:t>
      </w:r>
      <w:r w:rsidR="00E93836" w:rsidRPr="00A42DEC">
        <w:rPr>
          <w:rFonts w:ascii="Arial" w:hAnsi="Arial" w:cs="Arial"/>
          <w:color w:val="414043"/>
          <w:sz w:val="24"/>
          <w:szCs w:val="24"/>
        </w:rPr>
        <w:t>its</w:t>
      </w:r>
      <w:r w:rsidR="00574F75" w:rsidRPr="00A42DEC">
        <w:rPr>
          <w:rFonts w:ascii="Arial" w:hAnsi="Arial" w:cs="Arial"/>
          <w:color w:val="414043"/>
          <w:sz w:val="24"/>
          <w:szCs w:val="24"/>
        </w:rPr>
        <w:t xml:space="preserve"> application</w:t>
      </w:r>
      <w:r w:rsidR="00F332E2" w:rsidRPr="00A42DEC">
        <w:rPr>
          <w:rFonts w:ascii="Arial" w:hAnsi="Arial" w:cs="Arial"/>
          <w:color w:val="414043"/>
          <w:sz w:val="24"/>
          <w:szCs w:val="24"/>
        </w:rPr>
        <w:t xml:space="preserve"> on the provisions of the </w:t>
      </w:r>
      <w:proofErr w:type="spellStart"/>
      <w:r w:rsidR="00F332E2" w:rsidRPr="00A42DEC">
        <w:rPr>
          <w:rFonts w:ascii="Arial" w:hAnsi="Arial" w:cs="Arial"/>
          <w:color w:val="414043"/>
          <w:sz w:val="24"/>
          <w:szCs w:val="24"/>
        </w:rPr>
        <w:t>Ndlambe</w:t>
      </w:r>
      <w:proofErr w:type="spellEnd"/>
      <w:r w:rsidR="00F332E2" w:rsidRPr="00A42DEC">
        <w:rPr>
          <w:rFonts w:ascii="Arial" w:hAnsi="Arial" w:cs="Arial"/>
          <w:color w:val="414043"/>
          <w:sz w:val="24"/>
          <w:szCs w:val="24"/>
        </w:rPr>
        <w:t xml:space="preserve"> Local Municipality Spatial Planning and Land Use M</w:t>
      </w:r>
      <w:r w:rsidR="00C03B7E" w:rsidRPr="00A42DEC">
        <w:rPr>
          <w:rFonts w:ascii="Arial" w:hAnsi="Arial" w:cs="Arial"/>
          <w:color w:val="414043"/>
          <w:sz w:val="24"/>
          <w:szCs w:val="24"/>
        </w:rPr>
        <w:t>anagement</w:t>
      </w:r>
      <w:r w:rsidR="00863496" w:rsidRPr="00A42DEC">
        <w:rPr>
          <w:rFonts w:ascii="Arial" w:hAnsi="Arial" w:cs="Arial"/>
          <w:color w:val="414043"/>
          <w:sz w:val="24"/>
          <w:szCs w:val="24"/>
        </w:rPr>
        <w:t> </w:t>
      </w:r>
      <w:r w:rsidR="00F332E2" w:rsidRPr="00A42DEC">
        <w:rPr>
          <w:rFonts w:ascii="Arial" w:hAnsi="Arial" w:cs="Arial"/>
          <w:color w:val="414043"/>
          <w:sz w:val="24"/>
          <w:szCs w:val="24"/>
        </w:rPr>
        <w:t>By</w:t>
      </w:r>
      <w:r w:rsidR="00C03B7E" w:rsidRPr="00A42DEC">
        <w:rPr>
          <w:rFonts w:ascii="Arial" w:hAnsi="Arial" w:cs="Arial"/>
          <w:color w:val="414043"/>
          <w:sz w:val="24"/>
          <w:szCs w:val="24"/>
        </w:rPr>
        <w:t>-</w:t>
      </w:r>
      <w:r w:rsidR="00F332E2" w:rsidRPr="00A42DEC">
        <w:rPr>
          <w:rFonts w:ascii="Arial" w:hAnsi="Arial" w:cs="Arial"/>
          <w:color w:val="414043"/>
          <w:sz w:val="24"/>
          <w:szCs w:val="24"/>
        </w:rPr>
        <w:t>Laws</w:t>
      </w:r>
      <w:r w:rsidR="00E93836">
        <w:rPr>
          <w:rStyle w:val="FootnoteReference"/>
          <w:rFonts w:ascii="Arial" w:hAnsi="Arial" w:cs="Arial"/>
          <w:color w:val="414043"/>
          <w:sz w:val="24"/>
          <w:szCs w:val="24"/>
        </w:rPr>
        <w:footnoteReference w:id="3"/>
      </w:r>
      <w:r w:rsidR="00F332E2" w:rsidRPr="00A42DEC">
        <w:rPr>
          <w:rFonts w:ascii="Arial" w:hAnsi="Arial" w:cs="Arial"/>
          <w:color w:val="414043"/>
          <w:sz w:val="24"/>
          <w:szCs w:val="24"/>
        </w:rPr>
        <w:t xml:space="preserve"> (the by-laws)</w:t>
      </w:r>
      <w:r w:rsidR="00574F75" w:rsidRPr="00A42DEC">
        <w:rPr>
          <w:rFonts w:ascii="Arial" w:hAnsi="Arial" w:cs="Arial"/>
          <w:color w:val="414043"/>
          <w:sz w:val="24"/>
          <w:szCs w:val="24"/>
        </w:rPr>
        <w:t>,</w:t>
      </w:r>
      <w:r w:rsidR="00F332E2" w:rsidRPr="00A42DEC">
        <w:rPr>
          <w:rFonts w:ascii="Arial" w:hAnsi="Arial" w:cs="Arial"/>
          <w:color w:val="414043"/>
          <w:sz w:val="24"/>
          <w:szCs w:val="24"/>
        </w:rPr>
        <w:t xml:space="preserve"> as read with the </w:t>
      </w:r>
      <w:proofErr w:type="spellStart"/>
      <w:r w:rsidR="00F332E2" w:rsidRPr="00A42DEC">
        <w:rPr>
          <w:rFonts w:ascii="Arial" w:hAnsi="Arial" w:cs="Arial"/>
          <w:color w:val="414043"/>
          <w:sz w:val="24"/>
          <w:szCs w:val="24"/>
        </w:rPr>
        <w:t>Ndlambe</w:t>
      </w:r>
      <w:proofErr w:type="spellEnd"/>
      <w:r w:rsidR="00F332E2" w:rsidRPr="00A42DEC">
        <w:rPr>
          <w:rFonts w:ascii="Arial" w:hAnsi="Arial" w:cs="Arial"/>
          <w:color w:val="414043"/>
          <w:sz w:val="24"/>
          <w:szCs w:val="24"/>
        </w:rPr>
        <w:t xml:space="preserve"> </w:t>
      </w:r>
      <w:r w:rsidR="00574F75" w:rsidRPr="00A42DEC">
        <w:rPr>
          <w:rFonts w:ascii="Arial" w:hAnsi="Arial" w:cs="Arial"/>
          <w:color w:val="414043"/>
          <w:sz w:val="24"/>
          <w:szCs w:val="24"/>
        </w:rPr>
        <w:t xml:space="preserve">Municipality </w:t>
      </w:r>
      <w:r w:rsidR="00F332E2" w:rsidRPr="00A42DEC">
        <w:rPr>
          <w:rFonts w:ascii="Arial" w:hAnsi="Arial" w:cs="Arial"/>
          <w:color w:val="414043"/>
          <w:sz w:val="24"/>
          <w:szCs w:val="24"/>
        </w:rPr>
        <w:t>Land Use Scheme</w:t>
      </w:r>
      <w:r w:rsidR="00574F75">
        <w:rPr>
          <w:rStyle w:val="FootnoteReference"/>
          <w:rFonts w:ascii="Arial" w:hAnsi="Arial" w:cs="Arial"/>
          <w:color w:val="414043"/>
          <w:sz w:val="24"/>
          <w:szCs w:val="24"/>
        </w:rPr>
        <w:footnoteReference w:id="4"/>
      </w:r>
      <w:r w:rsidR="00F332E2" w:rsidRPr="00A42DEC">
        <w:rPr>
          <w:rFonts w:ascii="Arial" w:hAnsi="Arial" w:cs="Arial"/>
          <w:color w:val="414043"/>
          <w:sz w:val="24"/>
          <w:szCs w:val="24"/>
        </w:rPr>
        <w:t xml:space="preserve"> (the Scheme)</w:t>
      </w:r>
      <w:r w:rsidR="00C03B7E" w:rsidRPr="00A42DEC">
        <w:rPr>
          <w:rFonts w:ascii="Arial" w:hAnsi="Arial" w:cs="Arial"/>
          <w:color w:val="414043"/>
          <w:sz w:val="24"/>
          <w:szCs w:val="24"/>
        </w:rPr>
        <w:t>.  The by-laws and the Scheme</w:t>
      </w:r>
      <w:r w:rsidR="00F332E2" w:rsidRPr="00A42DEC">
        <w:rPr>
          <w:rFonts w:ascii="Arial" w:hAnsi="Arial" w:cs="Arial"/>
          <w:color w:val="414043"/>
          <w:sz w:val="24"/>
          <w:szCs w:val="24"/>
        </w:rPr>
        <w:t xml:space="preserve"> were promulgated </w:t>
      </w:r>
      <w:r w:rsidR="00C03B7E" w:rsidRPr="00A42DEC">
        <w:rPr>
          <w:rFonts w:ascii="Arial" w:hAnsi="Arial" w:cs="Arial"/>
          <w:color w:val="414043"/>
          <w:sz w:val="24"/>
          <w:szCs w:val="24"/>
        </w:rPr>
        <w:t xml:space="preserve">and adopted </w:t>
      </w:r>
      <w:r w:rsidR="00F332E2" w:rsidRPr="00A42DEC">
        <w:rPr>
          <w:rFonts w:ascii="Arial" w:hAnsi="Arial" w:cs="Arial"/>
          <w:color w:val="414043"/>
          <w:sz w:val="24"/>
          <w:szCs w:val="24"/>
        </w:rPr>
        <w:t>in terms of the Spatial Planning and Land Use Management Act</w:t>
      </w:r>
      <w:r w:rsidR="00C03B7E" w:rsidRPr="00A42DEC">
        <w:rPr>
          <w:rFonts w:ascii="Arial" w:hAnsi="Arial" w:cs="Arial"/>
          <w:color w:val="414043"/>
          <w:sz w:val="24"/>
          <w:szCs w:val="24"/>
        </w:rPr>
        <w:t>.</w:t>
      </w:r>
      <w:r w:rsidR="00F332E2">
        <w:rPr>
          <w:rStyle w:val="FootnoteReference"/>
          <w:rFonts w:ascii="Arial" w:hAnsi="Arial" w:cs="Arial"/>
          <w:color w:val="414043"/>
          <w:sz w:val="24"/>
          <w:szCs w:val="24"/>
        </w:rPr>
        <w:footnoteReference w:id="5"/>
      </w:r>
    </w:p>
    <w:p w14:paraId="2DB6D2AE" w14:textId="77777777" w:rsidR="00356459" w:rsidRPr="00356459" w:rsidRDefault="00356459" w:rsidP="00356459">
      <w:pPr>
        <w:pStyle w:val="ListParagraph"/>
        <w:rPr>
          <w:rFonts w:ascii="Arial" w:hAnsi="Arial" w:cs="Arial"/>
          <w:sz w:val="24"/>
          <w:szCs w:val="24"/>
        </w:rPr>
      </w:pPr>
    </w:p>
    <w:p w14:paraId="59BD3001" w14:textId="05687224" w:rsidR="00356459"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D1898" w:rsidRPr="00A42DEC">
        <w:rPr>
          <w:rFonts w:ascii="Arial" w:hAnsi="Arial" w:cs="Arial"/>
          <w:sz w:val="24"/>
          <w:szCs w:val="24"/>
        </w:rPr>
        <w:t>The applicant’s case is that the building line</w:t>
      </w:r>
      <w:r w:rsidR="004D1898">
        <w:rPr>
          <w:rStyle w:val="FootnoteReference"/>
          <w:rFonts w:ascii="Arial" w:hAnsi="Arial" w:cs="Arial"/>
          <w:sz w:val="24"/>
          <w:szCs w:val="24"/>
        </w:rPr>
        <w:footnoteReference w:id="6"/>
      </w:r>
      <w:r w:rsidR="004D1898" w:rsidRPr="00A42DEC">
        <w:rPr>
          <w:rFonts w:ascii="Arial" w:hAnsi="Arial" w:cs="Arial"/>
          <w:sz w:val="24"/>
          <w:szCs w:val="24"/>
        </w:rPr>
        <w:t xml:space="preserve"> nearest to the boundary</w:t>
      </w:r>
      <w:r w:rsidR="00B76BA8">
        <w:rPr>
          <w:rStyle w:val="FootnoteReference"/>
          <w:rFonts w:ascii="Arial" w:hAnsi="Arial" w:cs="Arial"/>
          <w:sz w:val="24"/>
          <w:szCs w:val="24"/>
        </w:rPr>
        <w:footnoteReference w:id="7"/>
      </w:r>
      <w:r w:rsidR="004D1898" w:rsidRPr="00A42DEC">
        <w:rPr>
          <w:rFonts w:ascii="Arial" w:hAnsi="Arial" w:cs="Arial"/>
          <w:sz w:val="24"/>
          <w:szCs w:val="24"/>
        </w:rPr>
        <w:t xml:space="preserve"> </w:t>
      </w:r>
      <w:r w:rsidR="006305A1" w:rsidRPr="00A42DEC">
        <w:rPr>
          <w:rFonts w:ascii="Arial" w:hAnsi="Arial" w:cs="Arial"/>
          <w:sz w:val="24"/>
          <w:szCs w:val="24"/>
        </w:rPr>
        <w:t>which it shares with the first respondent is 1570mm and that the outbuilding on the first respondent’s property encroache</w:t>
      </w:r>
      <w:r w:rsidR="00BC70C8" w:rsidRPr="00A42DEC">
        <w:rPr>
          <w:rFonts w:ascii="Arial" w:hAnsi="Arial" w:cs="Arial"/>
          <w:sz w:val="24"/>
          <w:szCs w:val="24"/>
        </w:rPr>
        <w:t>s over</w:t>
      </w:r>
      <w:r w:rsidR="006305A1" w:rsidRPr="00A42DEC">
        <w:rPr>
          <w:rFonts w:ascii="Arial" w:hAnsi="Arial" w:cs="Arial"/>
          <w:sz w:val="24"/>
          <w:szCs w:val="24"/>
        </w:rPr>
        <w:t xml:space="preserve"> the building line nearest to that boundary</w:t>
      </w:r>
      <w:r w:rsidR="004D1898" w:rsidRPr="00A42DEC">
        <w:rPr>
          <w:rFonts w:ascii="Arial" w:hAnsi="Arial" w:cs="Arial"/>
          <w:sz w:val="24"/>
          <w:szCs w:val="24"/>
        </w:rPr>
        <w:t xml:space="preserve">.  </w:t>
      </w:r>
      <w:r w:rsidR="0004117F" w:rsidRPr="00A42DEC">
        <w:rPr>
          <w:rFonts w:ascii="Arial" w:hAnsi="Arial" w:cs="Arial"/>
          <w:sz w:val="24"/>
          <w:szCs w:val="24"/>
        </w:rPr>
        <w:t xml:space="preserve">The applicant made that allegation because that distance is </w:t>
      </w:r>
      <w:r w:rsidR="00972CAD" w:rsidRPr="00A42DEC">
        <w:rPr>
          <w:rFonts w:ascii="Arial" w:hAnsi="Arial" w:cs="Arial"/>
          <w:sz w:val="24"/>
          <w:szCs w:val="24"/>
        </w:rPr>
        <w:t>specified</w:t>
      </w:r>
      <w:r w:rsidR="0004117F" w:rsidRPr="00A42DEC">
        <w:rPr>
          <w:rFonts w:ascii="Arial" w:hAnsi="Arial" w:cs="Arial"/>
          <w:sz w:val="24"/>
          <w:szCs w:val="24"/>
        </w:rPr>
        <w:t xml:space="preserve"> on the </w:t>
      </w:r>
      <w:r w:rsidR="00BC70C8" w:rsidRPr="00A42DEC">
        <w:rPr>
          <w:rFonts w:ascii="Arial" w:hAnsi="Arial" w:cs="Arial"/>
          <w:sz w:val="24"/>
          <w:szCs w:val="24"/>
        </w:rPr>
        <w:t xml:space="preserve">first respondent’s </w:t>
      </w:r>
      <w:r w:rsidR="0004117F" w:rsidRPr="00A42DEC">
        <w:rPr>
          <w:rFonts w:ascii="Arial" w:hAnsi="Arial" w:cs="Arial"/>
          <w:sz w:val="24"/>
          <w:szCs w:val="24"/>
        </w:rPr>
        <w:t xml:space="preserve">building plans.  </w:t>
      </w:r>
      <w:r w:rsidR="009B22A0" w:rsidRPr="00A42DEC">
        <w:rPr>
          <w:rFonts w:ascii="Arial" w:hAnsi="Arial" w:cs="Arial"/>
          <w:sz w:val="24"/>
          <w:szCs w:val="24"/>
        </w:rPr>
        <w:t>It is pointed out that</w:t>
      </w:r>
      <w:r w:rsidR="00972CAD" w:rsidRPr="00A42DEC">
        <w:rPr>
          <w:rFonts w:ascii="Arial" w:hAnsi="Arial" w:cs="Arial"/>
          <w:sz w:val="24"/>
          <w:szCs w:val="24"/>
        </w:rPr>
        <w:t xml:space="preserve"> i</w:t>
      </w:r>
      <w:r w:rsidR="0004117F" w:rsidRPr="00A42DEC">
        <w:rPr>
          <w:rFonts w:ascii="Arial" w:hAnsi="Arial" w:cs="Arial"/>
          <w:sz w:val="24"/>
          <w:szCs w:val="24"/>
        </w:rPr>
        <w:t xml:space="preserve">n terms of </w:t>
      </w:r>
      <w:r w:rsidR="007B51D4" w:rsidRPr="00A42DEC">
        <w:rPr>
          <w:rFonts w:ascii="Arial" w:hAnsi="Arial" w:cs="Arial"/>
          <w:sz w:val="24"/>
          <w:szCs w:val="24"/>
        </w:rPr>
        <w:t>sections 2</w:t>
      </w:r>
      <w:r w:rsidR="00B704BB" w:rsidRPr="00A42DEC">
        <w:rPr>
          <w:rFonts w:ascii="Arial" w:hAnsi="Arial" w:cs="Arial"/>
          <w:sz w:val="24"/>
          <w:szCs w:val="24"/>
        </w:rPr>
        <w:t>4</w:t>
      </w:r>
      <w:r w:rsidR="007B51D4" w:rsidRPr="00A42DEC">
        <w:rPr>
          <w:rFonts w:ascii="Arial" w:hAnsi="Arial" w:cs="Arial"/>
          <w:sz w:val="24"/>
          <w:szCs w:val="24"/>
        </w:rPr>
        <w:t xml:space="preserve"> an</w:t>
      </w:r>
      <w:r w:rsidR="000E431D" w:rsidRPr="00A42DEC">
        <w:rPr>
          <w:rFonts w:ascii="Arial" w:hAnsi="Arial" w:cs="Arial"/>
          <w:sz w:val="24"/>
          <w:szCs w:val="24"/>
        </w:rPr>
        <w:t>d 26</w:t>
      </w:r>
      <w:r w:rsidR="007B51D4" w:rsidRPr="00A42DEC">
        <w:rPr>
          <w:rFonts w:ascii="Arial" w:hAnsi="Arial" w:cs="Arial"/>
          <w:sz w:val="24"/>
          <w:szCs w:val="24"/>
        </w:rPr>
        <w:t xml:space="preserve"> of </w:t>
      </w:r>
      <w:r w:rsidR="0004117F" w:rsidRPr="00A42DEC">
        <w:rPr>
          <w:rFonts w:ascii="Arial" w:hAnsi="Arial" w:cs="Arial"/>
          <w:sz w:val="24"/>
          <w:szCs w:val="24"/>
        </w:rPr>
        <w:t xml:space="preserve">the Scheme, </w:t>
      </w:r>
      <w:r w:rsidR="007B51D4" w:rsidRPr="00A42DEC">
        <w:rPr>
          <w:rFonts w:ascii="Arial" w:hAnsi="Arial" w:cs="Arial"/>
          <w:sz w:val="24"/>
          <w:szCs w:val="24"/>
        </w:rPr>
        <w:t xml:space="preserve">the building line is 1500mm from the boundary between the applicant’s and first respondent’s properties.  The applicant </w:t>
      </w:r>
      <w:r w:rsidR="00972CAD" w:rsidRPr="00A42DEC">
        <w:rPr>
          <w:rFonts w:ascii="Arial" w:hAnsi="Arial" w:cs="Arial"/>
          <w:sz w:val="24"/>
          <w:szCs w:val="24"/>
        </w:rPr>
        <w:t xml:space="preserve">employed a professional land surveyor who, after having surveyed the properties, </w:t>
      </w:r>
      <w:r w:rsidR="00BC29A2" w:rsidRPr="00A42DEC">
        <w:rPr>
          <w:rFonts w:ascii="Arial" w:hAnsi="Arial" w:cs="Arial"/>
          <w:sz w:val="24"/>
          <w:szCs w:val="24"/>
        </w:rPr>
        <w:t>alleged that a</w:t>
      </w:r>
      <w:r w:rsidR="004D1898" w:rsidRPr="00A42DEC">
        <w:rPr>
          <w:rFonts w:ascii="Arial" w:hAnsi="Arial" w:cs="Arial"/>
          <w:sz w:val="24"/>
          <w:szCs w:val="24"/>
        </w:rPr>
        <w:t>t its furthest point</w:t>
      </w:r>
      <w:r w:rsidR="00972CAD" w:rsidRPr="00A42DEC">
        <w:rPr>
          <w:rFonts w:ascii="Arial" w:hAnsi="Arial" w:cs="Arial"/>
          <w:sz w:val="24"/>
          <w:szCs w:val="24"/>
        </w:rPr>
        <w:t>,</w:t>
      </w:r>
      <w:r w:rsidR="004D1898" w:rsidRPr="00A42DEC">
        <w:rPr>
          <w:rFonts w:ascii="Arial" w:hAnsi="Arial" w:cs="Arial"/>
          <w:sz w:val="24"/>
          <w:szCs w:val="24"/>
        </w:rPr>
        <w:t xml:space="preserve"> the </w:t>
      </w:r>
      <w:r w:rsidR="009B22A0" w:rsidRPr="00A42DEC">
        <w:rPr>
          <w:rFonts w:ascii="Arial" w:hAnsi="Arial" w:cs="Arial"/>
          <w:sz w:val="24"/>
          <w:szCs w:val="24"/>
        </w:rPr>
        <w:t>outbuilding</w:t>
      </w:r>
      <w:r w:rsidR="004D1898" w:rsidRPr="00A42DEC">
        <w:rPr>
          <w:rFonts w:ascii="Arial" w:hAnsi="Arial" w:cs="Arial"/>
          <w:sz w:val="24"/>
          <w:szCs w:val="24"/>
        </w:rPr>
        <w:t xml:space="preserve"> is situated 830mm from the boundary </w:t>
      </w:r>
      <w:r w:rsidR="00972CAD" w:rsidRPr="00A42DEC">
        <w:rPr>
          <w:rFonts w:ascii="Arial" w:hAnsi="Arial" w:cs="Arial"/>
          <w:sz w:val="24"/>
          <w:szCs w:val="24"/>
        </w:rPr>
        <w:t xml:space="preserve">with the applicant’s property </w:t>
      </w:r>
      <w:r w:rsidR="004D1898" w:rsidRPr="00A42DEC">
        <w:rPr>
          <w:rFonts w:ascii="Arial" w:hAnsi="Arial" w:cs="Arial"/>
          <w:sz w:val="24"/>
          <w:szCs w:val="24"/>
        </w:rPr>
        <w:t>and at its closest point</w:t>
      </w:r>
      <w:r w:rsidR="00972CAD" w:rsidRPr="00A42DEC">
        <w:rPr>
          <w:rFonts w:ascii="Arial" w:hAnsi="Arial" w:cs="Arial"/>
          <w:sz w:val="24"/>
          <w:szCs w:val="24"/>
        </w:rPr>
        <w:t>,</w:t>
      </w:r>
      <w:r w:rsidR="004D1898" w:rsidRPr="00A42DEC">
        <w:rPr>
          <w:rFonts w:ascii="Arial" w:hAnsi="Arial" w:cs="Arial"/>
          <w:sz w:val="24"/>
          <w:szCs w:val="24"/>
        </w:rPr>
        <w:t xml:space="preserve"> it is situated 290mm from that boundary.</w:t>
      </w:r>
      <w:r w:rsidR="006305A1" w:rsidRPr="00A42DEC">
        <w:rPr>
          <w:rFonts w:ascii="Arial" w:hAnsi="Arial" w:cs="Arial"/>
          <w:sz w:val="24"/>
          <w:szCs w:val="24"/>
        </w:rPr>
        <w:t xml:space="preserve">  </w:t>
      </w:r>
      <w:r w:rsidR="00BC29A2" w:rsidRPr="00A42DEC">
        <w:rPr>
          <w:rFonts w:ascii="Arial" w:hAnsi="Arial" w:cs="Arial"/>
          <w:sz w:val="24"/>
          <w:szCs w:val="24"/>
        </w:rPr>
        <w:t xml:space="preserve">The applicant alleged that its enquiries with the municipality revealed that the </w:t>
      </w:r>
      <w:r w:rsidR="00B704BB" w:rsidRPr="00A42DEC">
        <w:rPr>
          <w:rFonts w:ascii="Arial" w:hAnsi="Arial" w:cs="Arial"/>
          <w:sz w:val="24"/>
          <w:szCs w:val="24"/>
        </w:rPr>
        <w:t>first respondent</w:t>
      </w:r>
      <w:r w:rsidR="00BC29A2" w:rsidRPr="00A42DEC">
        <w:rPr>
          <w:rFonts w:ascii="Arial" w:hAnsi="Arial" w:cs="Arial"/>
          <w:sz w:val="24"/>
          <w:szCs w:val="24"/>
        </w:rPr>
        <w:t xml:space="preserve"> has not made an application</w:t>
      </w:r>
      <w:r w:rsidR="009B22A0" w:rsidRPr="00A42DEC">
        <w:rPr>
          <w:rFonts w:ascii="Arial" w:hAnsi="Arial" w:cs="Arial"/>
          <w:sz w:val="24"/>
          <w:szCs w:val="24"/>
        </w:rPr>
        <w:t xml:space="preserve"> for permission</w:t>
      </w:r>
      <w:r w:rsidR="00BC29A2" w:rsidRPr="00A42DEC">
        <w:rPr>
          <w:rFonts w:ascii="Arial" w:hAnsi="Arial" w:cs="Arial"/>
          <w:sz w:val="24"/>
          <w:szCs w:val="24"/>
        </w:rPr>
        <w:t xml:space="preserve"> to encroach the building line.  </w:t>
      </w:r>
      <w:r w:rsidR="006305A1" w:rsidRPr="00A42DEC">
        <w:rPr>
          <w:rFonts w:ascii="Arial" w:hAnsi="Arial" w:cs="Arial"/>
          <w:sz w:val="24"/>
          <w:szCs w:val="24"/>
        </w:rPr>
        <w:t xml:space="preserve">It contended that the encroachment is unlawful and negatively impacts on </w:t>
      </w:r>
      <w:r w:rsidR="009B22A0" w:rsidRPr="00A42DEC">
        <w:rPr>
          <w:rFonts w:ascii="Arial" w:hAnsi="Arial" w:cs="Arial"/>
          <w:sz w:val="24"/>
          <w:szCs w:val="24"/>
        </w:rPr>
        <w:t>it</w:t>
      </w:r>
      <w:r w:rsidR="006305A1" w:rsidRPr="00A42DEC">
        <w:rPr>
          <w:rFonts w:ascii="Arial" w:hAnsi="Arial" w:cs="Arial"/>
          <w:sz w:val="24"/>
          <w:szCs w:val="24"/>
        </w:rPr>
        <w:t>s enjoyment of its property because it limits the extent to which it can develop its property.</w:t>
      </w:r>
    </w:p>
    <w:p w14:paraId="49E78B8D" w14:textId="77777777" w:rsidR="00AE23CC" w:rsidRPr="00AE23CC" w:rsidRDefault="00AE23CC" w:rsidP="00AE23CC">
      <w:pPr>
        <w:pStyle w:val="ListParagraph"/>
        <w:rPr>
          <w:rFonts w:ascii="Arial" w:hAnsi="Arial" w:cs="Arial"/>
          <w:sz w:val="24"/>
          <w:szCs w:val="24"/>
        </w:rPr>
      </w:pPr>
    </w:p>
    <w:p w14:paraId="52E17D5C" w14:textId="172CBA1E" w:rsidR="00AE23CC" w:rsidRPr="00A42DEC" w:rsidRDefault="00A42DEC" w:rsidP="00A42DEC">
      <w:pPr>
        <w:spacing w:after="0" w:line="360" w:lineRule="auto"/>
        <w:ind w:left="567" w:hanging="567"/>
        <w:jc w:val="both"/>
        <w:rPr>
          <w:rFonts w:ascii="Arial" w:hAnsi="Arial" w:cs="Arial"/>
          <w:sz w:val="24"/>
          <w:szCs w:val="24"/>
        </w:rPr>
      </w:pPr>
      <w:r w:rsidRPr="00AA4F96">
        <w:rPr>
          <w:rFonts w:ascii="Arial" w:hAnsi="Arial" w:cs="Arial"/>
          <w:sz w:val="24"/>
          <w:szCs w:val="24"/>
        </w:rPr>
        <w:t>11.</w:t>
      </w:r>
      <w:r w:rsidRPr="00AA4F96">
        <w:rPr>
          <w:rFonts w:ascii="Arial" w:hAnsi="Arial" w:cs="Arial"/>
          <w:sz w:val="24"/>
          <w:szCs w:val="24"/>
        </w:rPr>
        <w:tab/>
      </w:r>
      <w:r w:rsidR="00362F95" w:rsidRPr="00A42DEC">
        <w:rPr>
          <w:rFonts w:ascii="Arial" w:hAnsi="Arial" w:cs="Arial"/>
          <w:sz w:val="24"/>
          <w:szCs w:val="24"/>
        </w:rPr>
        <w:t xml:space="preserve">The applicant </w:t>
      </w:r>
      <w:r w:rsidR="006573B8" w:rsidRPr="00A42DEC">
        <w:rPr>
          <w:rFonts w:ascii="Arial" w:hAnsi="Arial" w:cs="Arial"/>
          <w:sz w:val="24"/>
          <w:szCs w:val="24"/>
        </w:rPr>
        <w:t>alleged</w:t>
      </w:r>
      <w:r w:rsidR="00362F95" w:rsidRPr="00A42DEC">
        <w:rPr>
          <w:rFonts w:ascii="Arial" w:hAnsi="Arial" w:cs="Arial"/>
          <w:sz w:val="24"/>
          <w:szCs w:val="24"/>
        </w:rPr>
        <w:t xml:space="preserve"> that, when it purchased its property, the first respondent’s property was zoned as residential zone 1.  </w:t>
      </w:r>
      <w:r w:rsidR="006573B8" w:rsidRPr="00A42DEC">
        <w:rPr>
          <w:rFonts w:ascii="Arial" w:hAnsi="Arial" w:cs="Arial"/>
          <w:sz w:val="24"/>
          <w:szCs w:val="24"/>
        </w:rPr>
        <w:t xml:space="preserve">In terms of the Scheme, a distinction is made between residential zones 1, 2, 3 and 4.  Zone 1 makes provision for </w:t>
      </w:r>
      <w:r w:rsidR="006573B8" w:rsidRPr="00A42DEC">
        <w:rPr>
          <w:rFonts w:ascii="Arial" w:hAnsi="Arial" w:cs="Arial"/>
          <w:sz w:val="24"/>
          <w:szCs w:val="24"/>
        </w:rPr>
        <w:lastRenderedPageBreak/>
        <w:t xml:space="preserve">single residential purposes, zone 2 makes provision for </w:t>
      </w:r>
      <w:r w:rsidR="0004117F" w:rsidRPr="00A42DEC">
        <w:rPr>
          <w:rFonts w:ascii="Arial" w:hAnsi="Arial" w:cs="Arial"/>
          <w:sz w:val="24"/>
          <w:szCs w:val="24"/>
        </w:rPr>
        <w:t>medium density</w:t>
      </w:r>
      <w:r w:rsidR="006573B8" w:rsidRPr="00A42DEC">
        <w:rPr>
          <w:rFonts w:ascii="Arial" w:hAnsi="Arial" w:cs="Arial"/>
          <w:sz w:val="24"/>
          <w:szCs w:val="24"/>
        </w:rPr>
        <w:t xml:space="preserve"> residential purposes</w:t>
      </w:r>
      <w:r w:rsidR="0004117F" w:rsidRPr="00A42DEC">
        <w:rPr>
          <w:rFonts w:ascii="Arial" w:hAnsi="Arial" w:cs="Arial"/>
          <w:sz w:val="24"/>
          <w:szCs w:val="24"/>
        </w:rPr>
        <w:t xml:space="preserve">, zone 3 makes provision for high density residential purposes and zone 4 makes provision for incremental housing.  </w:t>
      </w:r>
      <w:r w:rsidR="00F262CF" w:rsidRPr="00A42DEC">
        <w:rPr>
          <w:rFonts w:ascii="Arial" w:hAnsi="Arial" w:cs="Arial"/>
          <w:sz w:val="24"/>
          <w:szCs w:val="24"/>
        </w:rPr>
        <w:t xml:space="preserve">According to the Scheme, </w:t>
      </w:r>
      <w:r w:rsidR="00996016" w:rsidRPr="00A42DEC">
        <w:rPr>
          <w:rFonts w:ascii="Arial" w:hAnsi="Arial" w:cs="Arial"/>
          <w:sz w:val="24"/>
          <w:szCs w:val="24"/>
        </w:rPr>
        <w:t>a dwelling unit on a residential zone 1 property “</w:t>
      </w:r>
      <w:r w:rsidR="00972CAD" w:rsidRPr="00A42DEC">
        <w:rPr>
          <w:rFonts w:ascii="Arial" w:hAnsi="Arial" w:cs="Arial"/>
          <w:i/>
          <w:sz w:val="24"/>
          <w:szCs w:val="24"/>
        </w:rPr>
        <w:t>means a self-contained inter-le</w:t>
      </w:r>
      <w:r w:rsidR="00996016" w:rsidRPr="00A42DEC">
        <w:rPr>
          <w:rFonts w:ascii="Arial" w:hAnsi="Arial" w:cs="Arial"/>
          <w:i/>
          <w:sz w:val="24"/>
          <w:szCs w:val="24"/>
        </w:rPr>
        <w:t>ading group of rooms with not more than one kitchen used for human habitation and includes such outbuildings as are ordinarily used therewith and permit a home occupation for a single household</w:t>
      </w:r>
      <w:r w:rsidR="00996016" w:rsidRPr="00A42DEC">
        <w:rPr>
          <w:rFonts w:ascii="Arial" w:hAnsi="Arial" w:cs="Arial"/>
          <w:sz w:val="24"/>
          <w:szCs w:val="24"/>
        </w:rPr>
        <w:t>”.</w:t>
      </w:r>
      <w:r w:rsidR="0004117F" w:rsidRPr="00A42DEC">
        <w:rPr>
          <w:rFonts w:ascii="Arial" w:hAnsi="Arial" w:cs="Arial"/>
          <w:sz w:val="24"/>
          <w:szCs w:val="24"/>
        </w:rPr>
        <w:t xml:space="preserve">  M</w:t>
      </w:r>
      <w:r w:rsidR="006573B8" w:rsidRPr="00A42DEC">
        <w:rPr>
          <w:rFonts w:ascii="Arial" w:hAnsi="Arial" w:cs="Arial"/>
          <w:sz w:val="24"/>
          <w:szCs w:val="24"/>
        </w:rPr>
        <w:t xml:space="preserve">ultiple use of the building on </w:t>
      </w:r>
      <w:r w:rsidR="00996016" w:rsidRPr="00A42DEC">
        <w:rPr>
          <w:rFonts w:ascii="Arial" w:hAnsi="Arial" w:cs="Arial"/>
          <w:sz w:val="24"/>
          <w:szCs w:val="24"/>
        </w:rPr>
        <w:t xml:space="preserve">a residential zone 1 </w:t>
      </w:r>
      <w:r w:rsidR="006573B8" w:rsidRPr="00A42DEC">
        <w:rPr>
          <w:rFonts w:ascii="Arial" w:hAnsi="Arial" w:cs="Arial"/>
          <w:sz w:val="24"/>
          <w:szCs w:val="24"/>
        </w:rPr>
        <w:t xml:space="preserve">property </w:t>
      </w:r>
      <w:proofErr w:type="gramStart"/>
      <w:r w:rsidR="006573B8" w:rsidRPr="00A42DEC">
        <w:rPr>
          <w:rFonts w:ascii="Arial" w:hAnsi="Arial" w:cs="Arial"/>
          <w:sz w:val="24"/>
          <w:szCs w:val="24"/>
        </w:rPr>
        <w:t>ha</w:t>
      </w:r>
      <w:r w:rsidR="00996016" w:rsidRPr="00A42DEC">
        <w:rPr>
          <w:rFonts w:ascii="Arial" w:hAnsi="Arial" w:cs="Arial"/>
          <w:sz w:val="24"/>
          <w:szCs w:val="24"/>
        </w:rPr>
        <w:t>s</w:t>
      </w:r>
      <w:r w:rsidR="006573B8" w:rsidRPr="00A42DEC">
        <w:rPr>
          <w:rFonts w:ascii="Arial" w:hAnsi="Arial" w:cs="Arial"/>
          <w:sz w:val="24"/>
          <w:szCs w:val="24"/>
        </w:rPr>
        <w:t xml:space="preserve"> to</w:t>
      </w:r>
      <w:proofErr w:type="gramEnd"/>
      <w:r w:rsidR="006573B8" w:rsidRPr="00A42DEC">
        <w:rPr>
          <w:rFonts w:ascii="Arial" w:hAnsi="Arial" w:cs="Arial"/>
          <w:sz w:val="24"/>
          <w:szCs w:val="24"/>
        </w:rPr>
        <w:t xml:space="preserve"> be limited to minimise any adverse impact on the residential environment.  </w:t>
      </w:r>
      <w:r w:rsidR="00362F95" w:rsidRPr="00A42DEC">
        <w:rPr>
          <w:rFonts w:ascii="Arial" w:hAnsi="Arial" w:cs="Arial"/>
          <w:sz w:val="24"/>
          <w:szCs w:val="24"/>
        </w:rPr>
        <w:t>Th</w:t>
      </w:r>
      <w:r w:rsidR="006573B8" w:rsidRPr="00A42DEC">
        <w:rPr>
          <w:rFonts w:ascii="Arial" w:hAnsi="Arial" w:cs="Arial"/>
          <w:sz w:val="24"/>
          <w:szCs w:val="24"/>
        </w:rPr>
        <w:t>e first respondent’s</w:t>
      </w:r>
      <w:r w:rsidR="00362F95" w:rsidRPr="00A42DEC">
        <w:rPr>
          <w:rFonts w:ascii="Arial" w:hAnsi="Arial" w:cs="Arial"/>
          <w:sz w:val="24"/>
          <w:szCs w:val="24"/>
        </w:rPr>
        <w:t xml:space="preserve"> property could accordingly be used for single residential purposes</w:t>
      </w:r>
      <w:r w:rsidR="006573B8" w:rsidRPr="00A42DEC">
        <w:rPr>
          <w:rFonts w:ascii="Arial" w:hAnsi="Arial" w:cs="Arial"/>
          <w:sz w:val="24"/>
          <w:szCs w:val="24"/>
        </w:rPr>
        <w:t xml:space="preserve"> only</w:t>
      </w:r>
      <w:r w:rsidR="00362F95" w:rsidRPr="00A42DEC">
        <w:rPr>
          <w:rFonts w:ascii="Arial" w:hAnsi="Arial" w:cs="Arial"/>
          <w:sz w:val="24"/>
          <w:szCs w:val="24"/>
        </w:rPr>
        <w:t xml:space="preserve">.  Consent had to be acquired </w:t>
      </w:r>
      <w:r w:rsidR="00996016" w:rsidRPr="00A42DEC">
        <w:rPr>
          <w:rFonts w:ascii="Arial" w:hAnsi="Arial" w:cs="Arial"/>
          <w:sz w:val="24"/>
          <w:szCs w:val="24"/>
        </w:rPr>
        <w:t xml:space="preserve">from the municipality </w:t>
      </w:r>
      <w:r w:rsidR="00362F95" w:rsidRPr="00A42DEC">
        <w:rPr>
          <w:rFonts w:ascii="Arial" w:hAnsi="Arial" w:cs="Arial"/>
          <w:sz w:val="24"/>
          <w:szCs w:val="24"/>
        </w:rPr>
        <w:t>to</w:t>
      </w:r>
      <w:r w:rsidR="006573B8" w:rsidRPr="00A42DEC">
        <w:rPr>
          <w:rFonts w:ascii="Arial" w:hAnsi="Arial" w:cs="Arial"/>
          <w:sz w:val="24"/>
          <w:szCs w:val="24"/>
        </w:rPr>
        <w:t xml:space="preserve"> erect an additional dwelling, </w:t>
      </w:r>
      <w:proofErr w:type="gramStart"/>
      <w:r w:rsidR="006573B8" w:rsidRPr="00A42DEC">
        <w:rPr>
          <w:rFonts w:ascii="Arial" w:hAnsi="Arial" w:cs="Arial"/>
          <w:sz w:val="24"/>
          <w:szCs w:val="24"/>
        </w:rPr>
        <w:t>crèche</w:t>
      </w:r>
      <w:proofErr w:type="gramEnd"/>
      <w:r w:rsidR="006573B8" w:rsidRPr="00A42DEC">
        <w:rPr>
          <w:rFonts w:ascii="Arial" w:hAnsi="Arial" w:cs="Arial"/>
          <w:sz w:val="24"/>
          <w:szCs w:val="24"/>
        </w:rPr>
        <w:t xml:space="preserve"> or guest house on the property.</w:t>
      </w:r>
      <w:r w:rsidR="00362F95" w:rsidRPr="00A42DEC">
        <w:rPr>
          <w:rFonts w:ascii="Arial" w:hAnsi="Arial" w:cs="Arial"/>
          <w:sz w:val="24"/>
          <w:szCs w:val="24"/>
        </w:rPr>
        <w:t xml:space="preserve"> </w:t>
      </w:r>
      <w:r w:rsidR="00B704BB" w:rsidRPr="00A42DEC">
        <w:rPr>
          <w:rFonts w:ascii="Arial" w:hAnsi="Arial" w:cs="Arial"/>
          <w:sz w:val="24"/>
          <w:szCs w:val="24"/>
        </w:rPr>
        <w:t xml:space="preserve"> The applicant alleged that </w:t>
      </w:r>
      <w:r w:rsidR="00AA4F96" w:rsidRPr="00A42DEC">
        <w:rPr>
          <w:rFonts w:ascii="Arial" w:hAnsi="Arial" w:cs="Arial"/>
          <w:sz w:val="24"/>
          <w:szCs w:val="24"/>
        </w:rPr>
        <w:t xml:space="preserve">the </w:t>
      </w:r>
      <w:r w:rsidR="00B704BB" w:rsidRPr="00A42DEC">
        <w:rPr>
          <w:rFonts w:ascii="Arial" w:hAnsi="Arial" w:cs="Arial"/>
          <w:sz w:val="24"/>
          <w:szCs w:val="24"/>
        </w:rPr>
        <w:t xml:space="preserve">first respondent </w:t>
      </w:r>
      <w:r w:rsidR="00AA4F96" w:rsidRPr="00A42DEC">
        <w:rPr>
          <w:rFonts w:ascii="Arial" w:hAnsi="Arial" w:cs="Arial"/>
          <w:sz w:val="24"/>
          <w:szCs w:val="24"/>
        </w:rPr>
        <w:t>did</w:t>
      </w:r>
      <w:r w:rsidR="00B704BB" w:rsidRPr="00A42DEC">
        <w:rPr>
          <w:rFonts w:ascii="Arial" w:hAnsi="Arial" w:cs="Arial"/>
          <w:sz w:val="24"/>
          <w:szCs w:val="24"/>
        </w:rPr>
        <w:t xml:space="preserve"> not ma</w:t>
      </w:r>
      <w:r w:rsidR="00AA4F96" w:rsidRPr="00A42DEC">
        <w:rPr>
          <w:rFonts w:ascii="Arial" w:hAnsi="Arial" w:cs="Arial"/>
          <w:sz w:val="24"/>
          <w:szCs w:val="24"/>
        </w:rPr>
        <w:t>k</w:t>
      </w:r>
      <w:r w:rsidR="00B704BB" w:rsidRPr="00A42DEC">
        <w:rPr>
          <w:rFonts w:ascii="Arial" w:hAnsi="Arial" w:cs="Arial"/>
          <w:sz w:val="24"/>
          <w:szCs w:val="24"/>
        </w:rPr>
        <w:t xml:space="preserve">e an application </w:t>
      </w:r>
      <w:r w:rsidR="00F262CF" w:rsidRPr="00A42DEC">
        <w:rPr>
          <w:rFonts w:ascii="Arial" w:hAnsi="Arial" w:cs="Arial"/>
          <w:sz w:val="24"/>
          <w:szCs w:val="24"/>
        </w:rPr>
        <w:t xml:space="preserve">to the municipality </w:t>
      </w:r>
      <w:r w:rsidR="00B704BB" w:rsidRPr="00A42DEC">
        <w:rPr>
          <w:rFonts w:ascii="Arial" w:hAnsi="Arial" w:cs="Arial"/>
          <w:sz w:val="24"/>
          <w:szCs w:val="24"/>
        </w:rPr>
        <w:t xml:space="preserve">for the amendment of the land use by </w:t>
      </w:r>
      <w:r w:rsidR="00996016" w:rsidRPr="00A42DEC">
        <w:rPr>
          <w:rFonts w:ascii="Arial" w:hAnsi="Arial" w:cs="Arial"/>
          <w:sz w:val="24"/>
          <w:szCs w:val="24"/>
        </w:rPr>
        <w:t xml:space="preserve">having it </w:t>
      </w:r>
      <w:r w:rsidR="00B704BB" w:rsidRPr="00A42DEC">
        <w:rPr>
          <w:rFonts w:ascii="Arial" w:hAnsi="Arial" w:cs="Arial"/>
          <w:sz w:val="24"/>
          <w:szCs w:val="24"/>
        </w:rPr>
        <w:t>rezon</w:t>
      </w:r>
      <w:r w:rsidR="00996016" w:rsidRPr="00A42DEC">
        <w:rPr>
          <w:rFonts w:ascii="Arial" w:hAnsi="Arial" w:cs="Arial"/>
          <w:sz w:val="24"/>
          <w:szCs w:val="24"/>
        </w:rPr>
        <w:t>ed</w:t>
      </w:r>
      <w:r w:rsidR="00B704BB" w:rsidRPr="00A42DEC">
        <w:rPr>
          <w:rFonts w:ascii="Arial" w:hAnsi="Arial" w:cs="Arial"/>
          <w:sz w:val="24"/>
          <w:szCs w:val="24"/>
        </w:rPr>
        <w:t xml:space="preserve"> to residential zone 2, 3 or 4 or </w:t>
      </w:r>
      <w:r w:rsidR="00F262CF" w:rsidRPr="00A42DEC">
        <w:rPr>
          <w:rFonts w:ascii="Arial" w:hAnsi="Arial" w:cs="Arial"/>
          <w:sz w:val="24"/>
          <w:szCs w:val="24"/>
        </w:rPr>
        <w:t>to a business zone</w:t>
      </w:r>
      <w:r w:rsidR="00B704BB" w:rsidRPr="00A42DEC">
        <w:rPr>
          <w:rFonts w:ascii="Arial" w:hAnsi="Arial" w:cs="Arial"/>
          <w:sz w:val="24"/>
          <w:szCs w:val="24"/>
        </w:rPr>
        <w:t>.</w:t>
      </w:r>
      <w:r w:rsidR="00996016" w:rsidRPr="00A42DEC">
        <w:rPr>
          <w:rFonts w:ascii="Arial" w:hAnsi="Arial" w:cs="Arial"/>
          <w:sz w:val="24"/>
          <w:szCs w:val="24"/>
        </w:rPr>
        <w:t xml:space="preserve">  In this regard, the applicant alleged that the first respondent’s property is used as a guesthouse. </w:t>
      </w:r>
      <w:r w:rsidR="00612A79" w:rsidRPr="00A42DEC">
        <w:rPr>
          <w:rFonts w:ascii="Arial" w:hAnsi="Arial" w:cs="Arial"/>
          <w:sz w:val="24"/>
          <w:szCs w:val="24"/>
        </w:rPr>
        <w:t xml:space="preserve"> In support of that allegation, the applicant referred to an advertisement by an estate agent wherein a 5-bedroom house, with pictures of the outbuilding, is offered to be leased. </w:t>
      </w:r>
    </w:p>
    <w:p w14:paraId="2F9303CC" w14:textId="77777777" w:rsidR="00AE23CC" w:rsidRPr="00AE23CC" w:rsidRDefault="00AE23CC" w:rsidP="00AE23CC">
      <w:pPr>
        <w:pStyle w:val="ListParagraph"/>
        <w:rPr>
          <w:rFonts w:ascii="Arial" w:hAnsi="Arial" w:cs="Arial"/>
          <w:sz w:val="24"/>
          <w:szCs w:val="24"/>
        </w:rPr>
      </w:pPr>
    </w:p>
    <w:p w14:paraId="360566A0" w14:textId="72612DA6" w:rsidR="00AE23CC"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16CD2" w:rsidRPr="00A42DEC">
        <w:rPr>
          <w:rFonts w:ascii="Arial" w:hAnsi="Arial" w:cs="Arial"/>
          <w:sz w:val="24"/>
          <w:szCs w:val="24"/>
        </w:rPr>
        <w:t>By letter dated 5 November 2019 to the municipality the applicant, through its attorney, objected to the encroachment o</w:t>
      </w:r>
      <w:r w:rsidR="00AA4F96" w:rsidRPr="00A42DEC">
        <w:rPr>
          <w:rFonts w:ascii="Arial" w:hAnsi="Arial" w:cs="Arial"/>
          <w:sz w:val="24"/>
          <w:szCs w:val="24"/>
        </w:rPr>
        <w:t>ver</w:t>
      </w:r>
      <w:r w:rsidR="00616CD2" w:rsidRPr="00A42DEC">
        <w:rPr>
          <w:rFonts w:ascii="Arial" w:hAnsi="Arial" w:cs="Arial"/>
          <w:sz w:val="24"/>
          <w:szCs w:val="24"/>
        </w:rPr>
        <w:t xml:space="preserve"> the building line and the use of the first respondent’s property other than for single residential purposes.  It requested the municipality to investigate the two complaints and take the appropriate </w:t>
      </w:r>
      <w:r w:rsidR="00EC7C2E" w:rsidRPr="00A42DEC">
        <w:rPr>
          <w:rFonts w:ascii="Arial" w:hAnsi="Arial" w:cs="Arial"/>
          <w:sz w:val="24"/>
          <w:szCs w:val="24"/>
        </w:rPr>
        <w:t xml:space="preserve">steps.  In a further letter also dated 5 December 2019 the applicant’s attorney informed the municipality that any subsequent or </w:t>
      </w:r>
      <w:r w:rsidR="00EC7C2E" w:rsidRPr="00A42DEC">
        <w:rPr>
          <w:rFonts w:ascii="Arial" w:hAnsi="Arial" w:cs="Arial"/>
          <w:i/>
          <w:sz w:val="24"/>
          <w:szCs w:val="24"/>
        </w:rPr>
        <w:t>post facto</w:t>
      </w:r>
      <w:r w:rsidR="00EC7C2E" w:rsidRPr="00A42DEC">
        <w:rPr>
          <w:rFonts w:ascii="Arial" w:hAnsi="Arial" w:cs="Arial"/>
          <w:sz w:val="24"/>
          <w:szCs w:val="24"/>
        </w:rPr>
        <w:t xml:space="preserve"> application for approval by the municipality or for the rezoning of the property will be met with an objection from the applicant, as such approval will have the effect of significantly diminishing the value of the applicant’s property</w:t>
      </w:r>
      <w:r w:rsidR="00AA4F96" w:rsidRPr="00A42DEC">
        <w:rPr>
          <w:rFonts w:ascii="Arial" w:hAnsi="Arial" w:cs="Arial"/>
          <w:sz w:val="24"/>
          <w:szCs w:val="24"/>
        </w:rPr>
        <w:t>.</w:t>
      </w:r>
    </w:p>
    <w:p w14:paraId="083EE6D7" w14:textId="77777777" w:rsidR="00AE23CC" w:rsidRPr="00AE23CC" w:rsidRDefault="00AE23CC" w:rsidP="00AE23CC">
      <w:pPr>
        <w:pStyle w:val="ListParagraph"/>
        <w:rPr>
          <w:rFonts w:ascii="Arial" w:hAnsi="Arial" w:cs="Arial"/>
          <w:sz w:val="24"/>
          <w:szCs w:val="24"/>
        </w:rPr>
      </w:pPr>
    </w:p>
    <w:p w14:paraId="702A69FE" w14:textId="3FEA12D0" w:rsidR="00AE23CC"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C7C2E" w:rsidRPr="00A42DEC">
        <w:rPr>
          <w:rFonts w:ascii="Arial" w:hAnsi="Arial" w:cs="Arial"/>
          <w:sz w:val="24"/>
          <w:szCs w:val="24"/>
        </w:rPr>
        <w:t>By email dated 15 January 2020, the municipality’s Assistant Town Planner</w:t>
      </w:r>
      <w:r w:rsidR="00090F3C" w:rsidRPr="00A42DEC">
        <w:rPr>
          <w:rFonts w:ascii="Arial" w:hAnsi="Arial" w:cs="Arial"/>
          <w:sz w:val="24"/>
          <w:szCs w:val="24"/>
        </w:rPr>
        <w:t xml:space="preserve"> informed the applicant’s attorney that </w:t>
      </w:r>
      <w:r w:rsidR="006B508C" w:rsidRPr="00A42DEC">
        <w:rPr>
          <w:rFonts w:ascii="Arial" w:hAnsi="Arial" w:cs="Arial"/>
          <w:sz w:val="24"/>
          <w:szCs w:val="24"/>
        </w:rPr>
        <w:t>a site inspection was conducted on 14</w:t>
      </w:r>
      <w:r w:rsidR="00AA4F96" w:rsidRPr="00A42DEC">
        <w:rPr>
          <w:rFonts w:ascii="Arial" w:hAnsi="Arial" w:cs="Arial"/>
          <w:sz w:val="24"/>
          <w:szCs w:val="24"/>
        </w:rPr>
        <w:t> </w:t>
      </w:r>
      <w:r w:rsidR="006B508C" w:rsidRPr="00A42DEC">
        <w:rPr>
          <w:rFonts w:ascii="Arial" w:hAnsi="Arial" w:cs="Arial"/>
          <w:sz w:val="24"/>
          <w:szCs w:val="24"/>
        </w:rPr>
        <w:t xml:space="preserve">January 2020 and that </w:t>
      </w:r>
      <w:r w:rsidR="00090F3C" w:rsidRPr="00A42DEC">
        <w:rPr>
          <w:rFonts w:ascii="Arial" w:hAnsi="Arial" w:cs="Arial"/>
          <w:sz w:val="24"/>
          <w:szCs w:val="24"/>
        </w:rPr>
        <w:t xml:space="preserve">he had spoken to the first respondent who informed him that the outbuilding was used as an art studio and denied that it was used as a guesthouse.  He also informed the applicant’s attorney that the municipality </w:t>
      </w:r>
      <w:r w:rsidR="00AA4F96" w:rsidRPr="00A42DEC">
        <w:rPr>
          <w:rFonts w:ascii="Arial" w:hAnsi="Arial" w:cs="Arial"/>
          <w:sz w:val="24"/>
          <w:szCs w:val="24"/>
        </w:rPr>
        <w:t xml:space="preserve">had </w:t>
      </w:r>
      <w:r w:rsidR="00090F3C" w:rsidRPr="00A42DEC">
        <w:rPr>
          <w:rFonts w:ascii="Arial" w:hAnsi="Arial" w:cs="Arial"/>
          <w:sz w:val="24"/>
          <w:szCs w:val="24"/>
        </w:rPr>
        <w:t xml:space="preserve">approved the outbuilding within the prescribed building lines, but because </w:t>
      </w:r>
      <w:r w:rsidR="00090F3C" w:rsidRPr="00A42DEC">
        <w:rPr>
          <w:rFonts w:ascii="Arial" w:hAnsi="Arial" w:cs="Arial"/>
          <w:sz w:val="24"/>
          <w:szCs w:val="24"/>
        </w:rPr>
        <w:lastRenderedPageBreak/>
        <w:t xml:space="preserve">there was no physical boundary fence between the two properties, </w:t>
      </w:r>
      <w:r w:rsidR="00B141CC" w:rsidRPr="00A42DEC">
        <w:rPr>
          <w:rFonts w:ascii="Arial" w:hAnsi="Arial" w:cs="Arial"/>
          <w:sz w:val="24"/>
          <w:szCs w:val="24"/>
        </w:rPr>
        <w:t>“</w:t>
      </w:r>
      <w:r w:rsidR="00B141CC" w:rsidRPr="00A42DEC">
        <w:rPr>
          <w:rFonts w:ascii="Arial" w:hAnsi="Arial" w:cs="Arial"/>
          <w:i/>
          <w:sz w:val="24"/>
          <w:szCs w:val="24"/>
        </w:rPr>
        <w:t>one cannot be able to determine for sure whether such structure is encroaching on your client’s property [and that it] will therefore be advisable that your client appoints a land surveyor to determine the boundary pegs of their property in order to determine if indeed the structure is encroaching on their property</w:t>
      </w:r>
      <w:r w:rsidR="00B141CC" w:rsidRPr="00A42DEC">
        <w:rPr>
          <w:rFonts w:ascii="Arial" w:hAnsi="Arial" w:cs="Arial"/>
          <w:sz w:val="24"/>
          <w:szCs w:val="24"/>
        </w:rPr>
        <w:t xml:space="preserve">”. </w:t>
      </w:r>
      <w:r w:rsidR="00090F3C" w:rsidRPr="00A42DEC">
        <w:rPr>
          <w:rFonts w:ascii="Arial" w:hAnsi="Arial" w:cs="Arial"/>
          <w:sz w:val="24"/>
          <w:szCs w:val="24"/>
        </w:rPr>
        <w:t xml:space="preserve"> </w:t>
      </w:r>
      <w:r w:rsidR="00B141CC" w:rsidRPr="00A42DEC">
        <w:rPr>
          <w:rFonts w:ascii="Arial" w:hAnsi="Arial" w:cs="Arial"/>
          <w:sz w:val="24"/>
          <w:szCs w:val="24"/>
        </w:rPr>
        <w:t>He concluded that, from a Town Planner’s point of view, the contraventions, as alleged in his letters dated 5 November 2019, were neither established nor witnessed and that the matter was closed.  He nevertheless stated that he copied in the municipality’s Building Control</w:t>
      </w:r>
      <w:r w:rsidR="006B508C" w:rsidRPr="00A42DEC">
        <w:rPr>
          <w:rFonts w:ascii="Arial" w:hAnsi="Arial" w:cs="Arial"/>
          <w:sz w:val="24"/>
          <w:szCs w:val="24"/>
        </w:rPr>
        <w:t xml:space="preserve"> Section to investigate whether there was any contravention of the National Building Regulations.</w:t>
      </w:r>
      <w:r w:rsidR="00B141CC" w:rsidRPr="00A42DEC">
        <w:rPr>
          <w:rFonts w:ascii="Arial" w:hAnsi="Arial" w:cs="Arial"/>
          <w:sz w:val="24"/>
          <w:szCs w:val="24"/>
        </w:rPr>
        <w:t xml:space="preserve"> </w:t>
      </w:r>
    </w:p>
    <w:p w14:paraId="263135B4" w14:textId="77777777" w:rsidR="00AE23CC" w:rsidRPr="00AE23CC" w:rsidRDefault="00AE23CC" w:rsidP="00AE23CC">
      <w:pPr>
        <w:pStyle w:val="ListParagraph"/>
        <w:rPr>
          <w:rFonts w:ascii="Arial" w:hAnsi="Arial" w:cs="Arial"/>
          <w:sz w:val="24"/>
          <w:szCs w:val="24"/>
        </w:rPr>
      </w:pPr>
    </w:p>
    <w:p w14:paraId="48E5FAC1" w14:textId="6735E882" w:rsidR="00AE23CC"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B508C" w:rsidRPr="00A42DEC">
        <w:rPr>
          <w:rFonts w:ascii="Arial" w:hAnsi="Arial" w:cs="Arial"/>
          <w:sz w:val="24"/>
          <w:szCs w:val="24"/>
        </w:rPr>
        <w:t>In a letter dated 17 March 2020 the applicant’s attorney confirmed that on 16</w:t>
      </w:r>
      <w:r w:rsidR="0076045C" w:rsidRPr="00A42DEC">
        <w:rPr>
          <w:rFonts w:ascii="Arial" w:hAnsi="Arial" w:cs="Arial"/>
          <w:sz w:val="24"/>
          <w:szCs w:val="24"/>
        </w:rPr>
        <w:t> </w:t>
      </w:r>
      <w:r w:rsidR="006B508C" w:rsidRPr="00A42DEC">
        <w:rPr>
          <w:rFonts w:ascii="Arial" w:hAnsi="Arial" w:cs="Arial"/>
          <w:sz w:val="24"/>
          <w:szCs w:val="24"/>
        </w:rPr>
        <w:t>March 2020 he met with the municipality’s legal and other representatives.  In that letter he state</w:t>
      </w:r>
      <w:r w:rsidR="0076045C" w:rsidRPr="00A42DEC">
        <w:rPr>
          <w:rFonts w:ascii="Arial" w:hAnsi="Arial" w:cs="Arial"/>
          <w:sz w:val="24"/>
          <w:szCs w:val="24"/>
        </w:rPr>
        <w:t>d</w:t>
      </w:r>
      <w:r w:rsidR="006B508C" w:rsidRPr="00A42DEC">
        <w:rPr>
          <w:rFonts w:ascii="Arial" w:hAnsi="Arial" w:cs="Arial"/>
          <w:sz w:val="24"/>
          <w:szCs w:val="24"/>
        </w:rPr>
        <w:t xml:space="preserve"> that consensus had been reached that the structure was unlawful </w:t>
      </w:r>
      <w:r w:rsidR="00AA4F96" w:rsidRPr="00A42DEC">
        <w:rPr>
          <w:rFonts w:ascii="Arial" w:hAnsi="Arial" w:cs="Arial"/>
          <w:sz w:val="24"/>
          <w:szCs w:val="24"/>
        </w:rPr>
        <w:t>as</w:t>
      </w:r>
      <w:r w:rsidR="006B508C" w:rsidRPr="00A42DEC">
        <w:rPr>
          <w:rFonts w:ascii="Arial" w:hAnsi="Arial" w:cs="Arial"/>
          <w:sz w:val="24"/>
          <w:szCs w:val="24"/>
        </w:rPr>
        <w:t xml:space="preserve"> it encroached </w:t>
      </w:r>
      <w:r w:rsidR="00AA4F96" w:rsidRPr="00A42DEC">
        <w:rPr>
          <w:rFonts w:ascii="Arial" w:hAnsi="Arial" w:cs="Arial"/>
          <w:sz w:val="24"/>
          <w:szCs w:val="24"/>
        </w:rPr>
        <w:t xml:space="preserve">over </w:t>
      </w:r>
      <w:r w:rsidR="006B508C" w:rsidRPr="00A42DEC">
        <w:rPr>
          <w:rFonts w:ascii="Arial" w:hAnsi="Arial" w:cs="Arial"/>
          <w:sz w:val="24"/>
          <w:szCs w:val="24"/>
        </w:rPr>
        <w:t>the building line</w:t>
      </w:r>
      <w:r w:rsidR="0076045C" w:rsidRPr="00A42DEC">
        <w:rPr>
          <w:rFonts w:ascii="Arial" w:hAnsi="Arial" w:cs="Arial"/>
          <w:sz w:val="24"/>
          <w:szCs w:val="24"/>
        </w:rPr>
        <w:t>;</w:t>
      </w:r>
      <w:r w:rsidR="006B508C" w:rsidRPr="00A42DEC">
        <w:rPr>
          <w:rFonts w:ascii="Arial" w:hAnsi="Arial" w:cs="Arial"/>
          <w:sz w:val="24"/>
          <w:szCs w:val="24"/>
        </w:rPr>
        <w:t xml:space="preserve"> that the applicant had</w:t>
      </w:r>
      <w:r w:rsidR="0076045C" w:rsidRPr="00A42DEC">
        <w:rPr>
          <w:rFonts w:ascii="Arial" w:hAnsi="Arial" w:cs="Arial"/>
          <w:sz w:val="24"/>
          <w:szCs w:val="24"/>
        </w:rPr>
        <w:t xml:space="preserve"> employed a land surveyor who verified the beacons of the boundary between the two properties; that the survey confirmed the encroachment; that the construction of the applicant’s envisaged dwelling was likely to cause a collapse of the earth on the first respondent’s property; and that the municipality had undertaken to urgently engage with the first respondent.  The applicant’s attorney addressed letters dated 31 March and 8 May 2020 to the municipality, but received no response.</w:t>
      </w:r>
    </w:p>
    <w:p w14:paraId="39D19914" w14:textId="77777777" w:rsidR="00AE23CC" w:rsidRPr="00AE23CC" w:rsidRDefault="00AE23CC" w:rsidP="00AE23CC">
      <w:pPr>
        <w:pStyle w:val="ListParagraph"/>
        <w:rPr>
          <w:rFonts w:ascii="Arial" w:hAnsi="Arial" w:cs="Arial"/>
          <w:sz w:val="24"/>
          <w:szCs w:val="24"/>
        </w:rPr>
      </w:pPr>
    </w:p>
    <w:p w14:paraId="38EA5B60" w14:textId="0BD6BBFB" w:rsidR="00AE23CC"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B7C90" w:rsidRPr="00A42DEC">
        <w:rPr>
          <w:rFonts w:ascii="Arial" w:hAnsi="Arial" w:cs="Arial"/>
          <w:sz w:val="24"/>
          <w:szCs w:val="24"/>
        </w:rPr>
        <w:t xml:space="preserve">In summary, the applicant’s case is that although the municipality had approved the first respondent’s original and amended building plans, such approval related to the </w:t>
      </w:r>
      <w:r w:rsidR="00811ECD" w:rsidRPr="00A42DEC">
        <w:rPr>
          <w:rFonts w:ascii="Arial" w:hAnsi="Arial" w:cs="Arial"/>
          <w:sz w:val="24"/>
          <w:szCs w:val="24"/>
        </w:rPr>
        <w:t>erect</w:t>
      </w:r>
      <w:r w:rsidR="003B7C90" w:rsidRPr="00A42DEC">
        <w:rPr>
          <w:rFonts w:ascii="Arial" w:hAnsi="Arial" w:cs="Arial"/>
          <w:sz w:val="24"/>
          <w:szCs w:val="24"/>
        </w:rPr>
        <w:t>ion of the outbuilding within the building lines of the first respondent’s property</w:t>
      </w:r>
      <w:r w:rsidR="00DE6168" w:rsidRPr="00A42DEC">
        <w:rPr>
          <w:rFonts w:ascii="Arial" w:hAnsi="Arial" w:cs="Arial"/>
          <w:sz w:val="24"/>
          <w:szCs w:val="24"/>
        </w:rPr>
        <w:t xml:space="preserve"> and th</w:t>
      </w:r>
      <w:r w:rsidR="00811ECD" w:rsidRPr="00A42DEC">
        <w:rPr>
          <w:rFonts w:ascii="Arial" w:hAnsi="Arial" w:cs="Arial"/>
          <w:sz w:val="24"/>
          <w:szCs w:val="24"/>
        </w:rPr>
        <w:t>at</w:t>
      </w:r>
      <w:r w:rsidR="00DE6168" w:rsidRPr="00A42DEC">
        <w:rPr>
          <w:rFonts w:ascii="Arial" w:hAnsi="Arial" w:cs="Arial"/>
          <w:sz w:val="24"/>
          <w:szCs w:val="24"/>
        </w:rPr>
        <w:t xml:space="preserve"> th</w:t>
      </w:r>
      <w:r w:rsidR="00811ECD" w:rsidRPr="00A42DEC">
        <w:rPr>
          <w:rFonts w:ascii="Arial" w:hAnsi="Arial" w:cs="Arial"/>
          <w:sz w:val="24"/>
          <w:szCs w:val="24"/>
        </w:rPr>
        <w:t>e</w:t>
      </w:r>
      <w:r w:rsidR="00DE6168" w:rsidRPr="00A42DEC">
        <w:rPr>
          <w:rFonts w:ascii="Arial" w:hAnsi="Arial" w:cs="Arial"/>
          <w:sz w:val="24"/>
          <w:szCs w:val="24"/>
        </w:rPr>
        <w:t xml:space="preserve"> outbuilding</w:t>
      </w:r>
      <w:r w:rsidR="00811ECD" w:rsidRPr="00A42DEC">
        <w:rPr>
          <w:rFonts w:ascii="Arial" w:hAnsi="Arial" w:cs="Arial"/>
          <w:sz w:val="24"/>
          <w:szCs w:val="24"/>
        </w:rPr>
        <w:t xml:space="preserve"> could be used for </w:t>
      </w:r>
      <w:r w:rsidR="00DE6168" w:rsidRPr="00A42DEC">
        <w:rPr>
          <w:rFonts w:ascii="Arial" w:hAnsi="Arial" w:cs="Arial"/>
          <w:sz w:val="24"/>
          <w:szCs w:val="24"/>
        </w:rPr>
        <w:t>an art studio</w:t>
      </w:r>
      <w:r w:rsidR="00811ECD" w:rsidRPr="00A42DEC">
        <w:rPr>
          <w:rFonts w:ascii="Arial" w:hAnsi="Arial" w:cs="Arial"/>
          <w:sz w:val="24"/>
          <w:szCs w:val="24"/>
        </w:rPr>
        <w:t xml:space="preserve"> only</w:t>
      </w:r>
      <w:r w:rsidR="00DE6168" w:rsidRPr="00A42DEC">
        <w:rPr>
          <w:rFonts w:ascii="Arial" w:hAnsi="Arial" w:cs="Arial"/>
          <w:sz w:val="24"/>
          <w:szCs w:val="24"/>
        </w:rPr>
        <w:t xml:space="preserve">.  </w:t>
      </w:r>
    </w:p>
    <w:p w14:paraId="11C033D1" w14:textId="77777777" w:rsidR="00AE23CC" w:rsidRPr="00AE23CC" w:rsidRDefault="00AE23CC" w:rsidP="00AE23CC">
      <w:pPr>
        <w:pStyle w:val="ListParagraph"/>
        <w:rPr>
          <w:rFonts w:ascii="Arial" w:hAnsi="Arial" w:cs="Arial"/>
          <w:sz w:val="24"/>
          <w:szCs w:val="24"/>
        </w:rPr>
      </w:pPr>
    </w:p>
    <w:p w14:paraId="15908669" w14:textId="6A1AC476" w:rsidR="00085DA9" w:rsidRPr="00A42DEC" w:rsidRDefault="00A42DEC" w:rsidP="00A42DEC">
      <w:pPr>
        <w:spacing w:after="0" w:line="360" w:lineRule="auto"/>
        <w:ind w:left="567" w:hanging="567"/>
        <w:jc w:val="both"/>
        <w:rPr>
          <w:rFonts w:ascii="Arial" w:hAnsi="Arial" w:cs="Arial"/>
          <w:sz w:val="24"/>
          <w:szCs w:val="24"/>
        </w:rPr>
      </w:pPr>
      <w:r w:rsidRPr="00085DA9">
        <w:rPr>
          <w:rFonts w:ascii="Arial" w:hAnsi="Arial" w:cs="Arial"/>
          <w:sz w:val="24"/>
          <w:szCs w:val="24"/>
        </w:rPr>
        <w:t>16.</w:t>
      </w:r>
      <w:r w:rsidRPr="00085DA9">
        <w:rPr>
          <w:rFonts w:ascii="Arial" w:hAnsi="Arial" w:cs="Arial"/>
          <w:sz w:val="24"/>
          <w:szCs w:val="24"/>
        </w:rPr>
        <w:tab/>
      </w:r>
      <w:r w:rsidR="005D09C9" w:rsidRPr="00A42DEC">
        <w:rPr>
          <w:rFonts w:ascii="Arial" w:hAnsi="Arial" w:cs="Arial"/>
          <w:sz w:val="24"/>
          <w:szCs w:val="24"/>
        </w:rPr>
        <w:t>The municipality did not oppose the application.  The first respondent raised t</w:t>
      </w:r>
      <w:r w:rsidR="00F11B09" w:rsidRPr="00A42DEC">
        <w:rPr>
          <w:rFonts w:ascii="Arial" w:hAnsi="Arial" w:cs="Arial"/>
          <w:sz w:val="24"/>
          <w:szCs w:val="24"/>
        </w:rPr>
        <w:t>hree</w:t>
      </w:r>
      <w:r w:rsidR="005D09C9" w:rsidRPr="00A42DEC">
        <w:rPr>
          <w:rFonts w:ascii="Arial" w:hAnsi="Arial" w:cs="Arial"/>
          <w:sz w:val="24"/>
          <w:szCs w:val="24"/>
        </w:rPr>
        <w:t xml:space="preserve"> point</w:t>
      </w:r>
      <w:r w:rsidR="00F11B09" w:rsidRPr="00A42DEC">
        <w:rPr>
          <w:rFonts w:ascii="Arial" w:hAnsi="Arial" w:cs="Arial"/>
          <w:sz w:val="24"/>
          <w:szCs w:val="24"/>
        </w:rPr>
        <w:t>s</w:t>
      </w:r>
      <w:r w:rsidR="005D09C9" w:rsidRPr="00A42DEC">
        <w:rPr>
          <w:rFonts w:ascii="Arial" w:hAnsi="Arial" w:cs="Arial"/>
          <w:sz w:val="24"/>
          <w:szCs w:val="24"/>
        </w:rPr>
        <w:t xml:space="preserve"> </w:t>
      </w:r>
      <w:r w:rsidR="005D09C9" w:rsidRPr="00A42DEC">
        <w:rPr>
          <w:rFonts w:ascii="Arial" w:hAnsi="Arial" w:cs="Arial"/>
          <w:i/>
          <w:sz w:val="24"/>
          <w:szCs w:val="24"/>
        </w:rPr>
        <w:t xml:space="preserve">in </w:t>
      </w:r>
      <w:proofErr w:type="spellStart"/>
      <w:r w:rsidR="005D09C9" w:rsidRPr="00A42DEC">
        <w:rPr>
          <w:rFonts w:ascii="Arial" w:hAnsi="Arial" w:cs="Arial"/>
          <w:i/>
          <w:sz w:val="24"/>
          <w:szCs w:val="24"/>
        </w:rPr>
        <w:t>limine</w:t>
      </w:r>
      <w:proofErr w:type="spellEnd"/>
      <w:r w:rsidR="005D09C9" w:rsidRPr="00A42DEC">
        <w:rPr>
          <w:rFonts w:ascii="Arial" w:hAnsi="Arial" w:cs="Arial"/>
          <w:sz w:val="24"/>
          <w:szCs w:val="24"/>
        </w:rPr>
        <w:t xml:space="preserve"> in her answering affidavit.  The first was that the deviation from the building lines was consented to by the </w:t>
      </w:r>
      <w:r w:rsidR="00811ECD" w:rsidRPr="00A42DEC">
        <w:rPr>
          <w:rFonts w:ascii="Arial" w:hAnsi="Arial" w:cs="Arial"/>
          <w:sz w:val="24"/>
          <w:szCs w:val="24"/>
        </w:rPr>
        <w:t xml:space="preserve">previous </w:t>
      </w:r>
      <w:r w:rsidR="005D09C9" w:rsidRPr="00A42DEC">
        <w:rPr>
          <w:rFonts w:ascii="Arial" w:hAnsi="Arial" w:cs="Arial"/>
          <w:sz w:val="24"/>
          <w:szCs w:val="24"/>
        </w:rPr>
        <w:t>owner of the applicant’s property</w:t>
      </w:r>
      <w:r w:rsidR="00824633" w:rsidRPr="00A42DEC">
        <w:rPr>
          <w:rFonts w:ascii="Arial" w:hAnsi="Arial" w:cs="Arial"/>
          <w:sz w:val="24"/>
          <w:szCs w:val="24"/>
        </w:rPr>
        <w:t>,</w:t>
      </w:r>
      <w:r w:rsidR="005D09C9" w:rsidRPr="00A42DEC">
        <w:rPr>
          <w:rFonts w:ascii="Arial" w:hAnsi="Arial" w:cs="Arial"/>
          <w:sz w:val="24"/>
          <w:szCs w:val="24"/>
        </w:rPr>
        <w:t xml:space="preserve"> that the municipality approved the building plans and that there is accordingly no illegality.  The second </w:t>
      </w:r>
      <w:r w:rsidR="00A874E5" w:rsidRPr="00A42DEC">
        <w:rPr>
          <w:rFonts w:ascii="Arial" w:hAnsi="Arial" w:cs="Arial"/>
          <w:sz w:val="24"/>
          <w:szCs w:val="24"/>
        </w:rPr>
        <w:t xml:space="preserve">is that the applicant relied on the report dated 16 March 2015 with drawings thereto from the land surveyor that it employed.  The second respondent contended that the applicant’s claim to set </w:t>
      </w:r>
      <w:r w:rsidR="00A874E5" w:rsidRPr="00A42DEC">
        <w:rPr>
          <w:rFonts w:ascii="Arial" w:hAnsi="Arial" w:cs="Arial"/>
          <w:sz w:val="24"/>
          <w:szCs w:val="24"/>
        </w:rPr>
        <w:lastRenderedPageBreak/>
        <w:t>aside the plans and obtain a demolition order became due on 16 March 2015 when the applicant became aware of the alleged encroachment.  The first respondent accordingly contended that, because the applicant served the notice of motion and supporting affidavits on her on or about 22 November 2021,</w:t>
      </w:r>
      <w:r w:rsidR="00EE10C3" w:rsidRPr="00A42DEC">
        <w:rPr>
          <w:rFonts w:ascii="Arial" w:hAnsi="Arial" w:cs="Arial"/>
          <w:sz w:val="24"/>
          <w:szCs w:val="24"/>
        </w:rPr>
        <w:t xml:space="preserve"> more than six and a half years,</w:t>
      </w:r>
      <w:r w:rsidR="00A874E5" w:rsidRPr="00A42DEC">
        <w:rPr>
          <w:rFonts w:ascii="Arial" w:hAnsi="Arial" w:cs="Arial"/>
          <w:sz w:val="24"/>
          <w:szCs w:val="24"/>
        </w:rPr>
        <w:t xml:space="preserve"> its claim has become prescribed in terms of section 11 of the Prescription Act.</w:t>
      </w:r>
      <w:r w:rsidR="00A874E5" w:rsidRPr="00A91E1A">
        <w:rPr>
          <w:rStyle w:val="FootnoteReference"/>
          <w:rFonts w:ascii="Arial" w:hAnsi="Arial" w:cs="Arial"/>
          <w:sz w:val="24"/>
          <w:szCs w:val="24"/>
        </w:rPr>
        <w:footnoteReference w:id="8"/>
      </w:r>
      <w:r w:rsidR="00A874E5" w:rsidRPr="00A42DEC">
        <w:rPr>
          <w:rFonts w:ascii="Arial" w:hAnsi="Arial" w:cs="Arial"/>
          <w:sz w:val="24"/>
          <w:szCs w:val="24"/>
        </w:rPr>
        <w:t xml:space="preserve"> </w:t>
      </w:r>
      <w:r w:rsidR="00F11B09" w:rsidRPr="00A42DEC">
        <w:rPr>
          <w:rFonts w:ascii="Arial" w:hAnsi="Arial" w:cs="Arial"/>
          <w:sz w:val="24"/>
          <w:szCs w:val="24"/>
        </w:rPr>
        <w:t>The third point raised by the first respondent was that the applicant relied on legislation that was promulgated during or after 2016 whereas the outbuilding was erected during 1997, it being contended that the legislation cannot operate retrospectively, making the legislation irrelevant to the application.</w:t>
      </w:r>
      <w:r w:rsidR="00085DA9" w:rsidRPr="00A42DEC">
        <w:rPr>
          <w:rFonts w:ascii="Arial" w:hAnsi="Arial" w:cs="Arial"/>
          <w:sz w:val="24"/>
          <w:szCs w:val="24"/>
        </w:rPr>
        <w:t xml:space="preserve"> </w:t>
      </w:r>
      <w:r w:rsidR="002A4790" w:rsidRPr="00A42DEC">
        <w:rPr>
          <w:rFonts w:ascii="Arial" w:hAnsi="Arial" w:cs="Arial"/>
          <w:sz w:val="24"/>
          <w:szCs w:val="24"/>
        </w:rPr>
        <w:t xml:space="preserve"> Mr </w:t>
      </w:r>
      <w:proofErr w:type="spellStart"/>
      <w:r w:rsidR="002A4790" w:rsidRPr="00A42DEC">
        <w:rPr>
          <w:rFonts w:ascii="Arial" w:hAnsi="Arial" w:cs="Arial"/>
          <w:sz w:val="24"/>
          <w:szCs w:val="24"/>
        </w:rPr>
        <w:t>Beyleveld</w:t>
      </w:r>
      <w:proofErr w:type="spellEnd"/>
      <w:r w:rsidR="002A4790" w:rsidRPr="00A42DEC">
        <w:rPr>
          <w:rFonts w:ascii="Arial" w:hAnsi="Arial" w:cs="Arial"/>
          <w:sz w:val="24"/>
          <w:szCs w:val="24"/>
        </w:rPr>
        <w:t>, counsel for the first respondent, did not deal with the third point in his written heads of argument- or at the hearing.  In any event, reference will be made hereunder to only the Building Act and the National Building Regulations.</w:t>
      </w:r>
    </w:p>
    <w:p w14:paraId="6481276F" w14:textId="77777777" w:rsidR="006B508C" w:rsidRPr="00A91E1A" w:rsidRDefault="006B508C" w:rsidP="006B508C">
      <w:pPr>
        <w:pStyle w:val="ListParagraph"/>
        <w:rPr>
          <w:rFonts w:ascii="Arial" w:hAnsi="Arial" w:cs="Arial"/>
          <w:sz w:val="24"/>
          <w:szCs w:val="24"/>
        </w:rPr>
      </w:pPr>
    </w:p>
    <w:p w14:paraId="49D2BD7E" w14:textId="36BF7F7B" w:rsidR="002A4790"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85DA9" w:rsidRPr="00A42DEC">
        <w:rPr>
          <w:rFonts w:ascii="Arial" w:hAnsi="Arial" w:cs="Arial"/>
          <w:sz w:val="24"/>
          <w:szCs w:val="24"/>
        </w:rPr>
        <w:t xml:space="preserve">The first respondent also applied to strike out paragraph 1 of the applicant’s </w:t>
      </w:r>
      <w:proofErr w:type="gramStart"/>
      <w:r w:rsidR="00085DA9" w:rsidRPr="00A42DEC">
        <w:rPr>
          <w:rFonts w:ascii="Arial" w:hAnsi="Arial" w:cs="Arial"/>
          <w:sz w:val="24"/>
          <w:szCs w:val="24"/>
        </w:rPr>
        <w:t>replying</w:t>
      </w:r>
      <w:proofErr w:type="gramEnd"/>
      <w:r w:rsidR="00085DA9" w:rsidRPr="00A42DEC">
        <w:rPr>
          <w:rFonts w:ascii="Arial" w:hAnsi="Arial" w:cs="Arial"/>
          <w:sz w:val="24"/>
          <w:szCs w:val="24"/>
        </w:rPr>
        <w:t xml:space="preserve"> affidavit as well a resolution as proof of the deponent’s disputed authority to institute the application against the respondents.  The first respondent complained that the applicant did not appropriately deal with the deponent’s authority to bring the application in the founding affidavit and that it sought to supplement its case in the replying affidavit.</w:t>
      </w:r>
      <w:r w:rsidR="002B0CCC" w:rsidRPr="00A42DEC">
        <w:rPr>
          <w:rFonts w:ascii="Arial" w:hAnsi="Arial" w:cs="Arial"/>
          <w:sz w:val="24"/>
          <w:szCs w:val="24"/>
        </w:rPr>
        <w:t xml:space="preserve">  In the founding affidavit the deponent described himself as a director in</w:t>
      </w:r>
      <w:r w:rsidR="004653A7" w:rsidRPr="00A42DEC">
        <w:rPr>
          <w:rFonts w:ascii="Arial" w:hAnsi="Arial" w:cs="Arial"/>
          <w:sz w:val="24"/>
          <w:szCs w:val="24"/>
        </w:rPr>
        <w:t xml:space="preserve"> the employ of the applicant.  H</w:t>
      </w:r>
      <w:r w:rsidR="002B0CCC" w:rsidRPr="00A42DEC">
        <w:rPr>
          <w:rFonts w:ascii="Arial" w:hAnsi="Arial" w:cs="Arial"/>
          <w:sz w:val="24"/>
          <w:szCs w:val="24"/>
        </w:rPr>
        <w:t>e also alleged that he was duly authorised by the applicant to depose to the founding affidavit and institute the application o</w:t>
      </w:r>
      <w:r w:rsidR="002A4790" w:rsidRPr="00A42DEC">
        <w:rPr>
          <w:rFonts w:ascii="Arial" w:hAnsi="Arial" w:cs="Arial"/>
          <w:sz w:val="24"/>
          <w:szCs w:val="24"/>
        </w:rPr>
        <w:t>n</w:t>
      </w:r>
      <w:r w:rsidR="002B0CCC" w:rsidRPr="00A42DEC">
        <w:rPr>
          <w:rFonts w:ascii="Arial" w:hAnsi="Arial" w:cs="Arial"/>
          <w:sz w:val="24"/>
          <w:szCs w:val="24"/>
        </w:rPr>
        <w:t xml:space="preserve"> its behalf.  Attached to his founding affidavit was a resolution of the applicant’s directors reflecting his authority to institute the application.</w:t>
      </w:r>
      <w:r w:rsidR="00085DA9" w:rsidRPr="00A42DEC">
        <w:rPr>
          <w:rFonts w:ascii="Arial" w:hAnsi="Arial" w:cs="Arial"/>
          <w:sz w:val="24"/>
          <w:szCs w:val="24"/>
        </w:rPr>
        <w:t xml:space="preserve"> </w:t>
      </w:r>
      <w:r w:rsidR="002B0CCC" w:rsidRPr="00A42DEC">
        <w:rPr>
          <w:rFonts w:ascii="Arial" w:hAnsi="Arial" w:cs="Arial"/>
          <w:sz w:val="24"/>
          <w:szCs w:val="24"/>
        </w:rPr>
        <w:t xml:space="preserve"> That document reflected that the applicant resolved on 2 November 2021, the same date when the founding affidavit was commissioned, that the applicant intended to institute the application against the </w:t>
      </w:r>
      <w:r w:rsidR="000867F9" w:rsidRPr="00A42DEC">
        <w:rPr>
          <w:rFonts w:ascii="Arial" w:hAnsi="Arial" w:cs="Arial"/>
          <w:sz w:val="24"/>
          <w:szCs w:val="24"/>
        </w:rPr>
        <w:t>respondents and resolved that the deponent, in his capacity as the applicant’s director</w:t>
      </w:r>
      <w:r w:rsidR="004653A7" w:rsidRPr="00A42DEC">
        <w:rPr>
          <w:rFonts w:ascii="Arial" w:hAnsi="Arial" w:cs="Arial"/>
          <w:sz w:val="24"/>
          <w:szCs w:val="24"/>
        </w:rPr>
        <w:t>,</w:t>
      </w:r>
      <w:r w:rsidR="000867F9" w:rsidRPr="00A42DEC">
        <w:rPr>
          <w:rFonts w:ascii="Arial" w:hAnsi="Arial" w:cs="Arial"/>
          <w:sz w:val="24"/>
          <w:szCs w:val="24"/>
        </w:rPr>
        <w:t xml:space="preserve"> was authorised to act on behalf of the applicant and sign any documents, inclusive of affidavits</w:t>
      </w:r>
      <w:r w:rsidR="002A4790" w:rsidRPr="00A42DEC">
        <w:rPr>
          <w:rFonts w:ascii="Arial" w:hAnsi="Arial" w:cs="Arial"/>
          <w:sz w:val="24"/>
          <w:szCs w:val="24"/>
        </w:rPr>
        <w:t>,</w:t>
      </w:r>
      <w:r w:rsidR="000867F9" w:rsidRPr="00A42DEC">
        <w:rPr>
          <w:rFonts w:ascii="Arial" w:hAnsi="Arial" w:cs="Arial"/>
          <w:sz w:val="24"/>
          <w:szCs w:val="24"/>
        </w:rPr>
        <w:t xml:space="preserve"> relating to the application.  The first respondent admitted that the deponent was a director of the applicant and many other </w:t>
      </w:r>
      <w:proofErr w:type="gramStart"/>
      <w:r w:rsidR="000867F9" w:rsidRPr="00A42DEC">
        <w:rPr>
          <w:rFonts w:ascii="Arial" w:hAnsi="Arial" w:cs="Arial"/>
          <w:sz w:val="24"/>
          <w:szCs w:val="24"/>
        </w:rPr>
        <w:t>companies, but</w:t>
      </w:r>
      <w:proofErr w:type="gramEnd"/>
      <w:r w:rsidR="000867F9" w:rsidRPr="00A42DEC">
        <w:rPr>
          <w:rFonts w:ascii="Arial" w:hAnsi="Arial" w:cs="Arial"/>
          <w:sz w:val="24"/>
          <w:szCs w:val="24"/>
        </w:rPr>
        <w:t xml:space="preserve"> denied that the resolution constituted sufficient authority to bring the application.  </w:t>
      </w:r>
    </w:p>
    <w:p w14:paraId="34BC6164" w14:textId="77777777" w:rsidR="002A4790" w:rsidRDefault="002A4790" w:rsidP="002A4790">
      <w:pPr>
        <w:pStyle w:val="ListParagraph"/>
        <w:spacing w:after="0" w:line="360" w:lineRule="auto"/>
        <w:ind w:left="567"/>
        <w:jc w:val="both"/>
        <w:rPr>
          <w:rFonts w:ascii="Arial" w:hAnsi="Arial" w:cs="Arial"/>
          <w:sz w:val="24"/>
          <w:szCs w:val="24"/>
        </w:rPr>
      </w:pPr>
    </w:p>
    <w:p w14:paraId="39F11245" w14:textId="1C049B14" w:rsidR="0001300C" w:rsidRPr="00A42DEC" w:rsidRDefault="00A42DEC" w:rsidP="00A42DEC">
      <w:pPr>
        <w:spacing w:after="0" w:line="360" w:lineRule="auto"/>
        <w:ind w:left="567" w:hanging="567"/>
        <w:jc w:val="both"/>
        <w:rPr>
          <w:rFonts w:ascii="Arial" w:hAnsi="Arial" w:cs="Arial"/>
          <w:sz w:val="24"/>
          <w:szCs w:val="24"/>
        </w:rPr>
      </w:pPr>
      <w:r w:rsidRPr="0001300C">
        <w:rPr>
          <w:rFonts w:ascii="Arial" w:hAnsi="Arial" w:cs="Arial"/>
          <w:sz w:val="24"/>
          <w:szCs w:val="24"/>
        </w:rPr>
        <w:lastRenderedPageBreak/>
        <w:t>18.</w:t>
      </w:r>
      <w:r w:rsidRPr="0001300C">
        <w:rPr>
          <w:rFonts w:ascii="Arial" w:hAnsi="Arial" w:cs="Arial"/>
          <w:sz w:val="24"/>
          <w:szCs w:val="24"/>
        </w:rPr>
        <w:tab/>
      </w:r>
      <w:r w:rsidR="004653A7" w:rsidRPr="00A42DEC">
        <w:rPr>
          <w:rFonts w:ascii="Arial" w:hAnsi="Arial" w:cs="Arial"/>
          <w:sz w:val="24"/>
          <w:szCs w:val="24"/>
        </w:rPr>
        <w:t>In this</w:t>
      </w:r>
      <w:r w:rsidR="002A4790" w:rsidRPr="00A42DEC">
        <w:rPr>
          <w:rFonts w:ascii="Arial" w:hAnsi="Arial" w:cs="Arial"/>
          <w:sz w:val="24"/>
          <w:szCs w:val="24"/>
        </w:rPr>
        <w:t xml:space="preserve"> heads of argument Mr </w:t>
      </w:r>
      <w:proofErr w:type="spellStart"/>
      <w:r w:rsidR="002A4790" w:rsidRPr="00A42DEC">
        <w:rPr>
          <w:rFonts w:ascii="Arial" w:hAnsi="Arial" w:cs="Arial"/>
          <w:sz w:val="24"/>
          <w:szCs w:val="24"/>
        </w:rPr>
        <w:t>Beyleveld</w:t>
      </w:r>
      <w:proofErr w:type="spellEnd"/>
      <w:r w:rsidR="004653A7" w:rsidRPr="00A42DEC">
        <w:rPr>
          <w:rFonts w:ascii="Arial" w:hAnsi="Arial" w:cs="Arial"/>
          <w:sz w:val="24"/>
          <w:szCs w:val="24"/>
        </w:rPr>
        <w:t xml:space="preserve"> submitted that the resolution did not in express terms authorise the deponent to bring the application.  I disagree.</w:t>
      </w:r>
      <w:r w:rsidR="000867F9" w:rsidRPr="00A42DEC">
        <w:rPr>
          <w:rFonts w:ascii="Arial" w:hAnsi="Arial" w:cs="Arial"/>
          <w:sz w:val="24"/>
          <w:szCs w:val="24"/>
        </w:rPr>
        <w:t xml:space="preserve">  </w:t>
      </w:r>
      <w:r w:rsidR="00D67AF1" w:rsidRPr="00A42DEC">
        <w:rPr>
          <w:rFonts w:ascii="Arial" w:hAnsi="Arial" w:cs="Arial"/>
          <w:sz w:val="24"/>
          <w:szCs w:val="24"/>
        </w:rPr>
        <w:t xml:space="preserve">I am satisfied that the deponent </w:t>
      </w:r>
      <w:r w:rsidR="0001300C" w:rsidRPr="00A42DEC">
        <w:rPr>
          <w:rFonts w:ascii="Arial" w:hAnsi="Arial" w:cs="Arial"/>
          <w:sz w:val="24"/>
          <w:szCs w:val="24"/>
        </w:rPr>
        <w:t xml:space="preserve">has made sufficient averments and placed enough before the court to warrant the conclusion that he </w:t>
      </w:r>
      <w:r w:rsidR="00D67AF1" w:rsidRPr="00A42DEC">
        <w:rPr>
          <w:rFonts w:ascii="Arial" w:hAnsi="Arial" w:cs="Arial"/>
          <w:sz w:val="24"/>
          <w:szCs w:val="24"/>
        </w:rPr>
        <w:t>was duly authorised to institute the application against the respondents on behalf of the applicant.</w:t>
      </w:r>
      <w:r w:rsidR="005C31A3" w:rsidRPr="00A42DEC">
        <w:rPr>
          <w:rFonts w:ascii="Arial" w:hAnsi="Arial" w:cs="Arial"/>
          <w:sz w:val="24"/>
          <w:szCs w:val="24"/>
        </w:rPr>
        <w:t xml:space="preserve">  </w:t>
      </w:r>
      <w:r w:rsidR="003338EA" w:rsidRPr="00A42DEC">
        <w:rPr>
          <w:rFonts w:ascii="Arial" w:hAnsi="Arial" w:cs="Arial"/>
          <w:sz w:val="24"/>
          <w:szCs w:val="24"/>
        </w:rPr>
        <w:t xml:space="preserve">It was accordingly unnecessary for the applicant to attach a further resolution to the deponent’s replying affidavit wherein his authority to institute the application on behalf of the applicant was reiterated. </w:t>
      </w:r>
    </w:p>
    <w:p w14:paraId="7056ABD8" w14:textId="77777777" w:rsidR="00085DA9" w:rsidRPr="00CB65E2" w:rsidRDefault="00085DA9" w:rsidP="00085DA9">
      <w:pPr>
        <w:pStyle w:val="ListParagraph"/>
        <w:rPr>
          <w:rFonts w:ascii="Arial" w:hAnsi="Arial" w:cs="Arial"/>
          <w:sz w:val="24"/>
          <w:szCs w:val="24"/>
        </w:rPr>
      </w:pPr>
    </w:p>
    <w:p w14:paraId="480B61F3" w14:textId="77E32CF9" w:rsidR="0001300C" w:rsidRPr="00A42DEC" w:rsidRDefault="00A42DEC" w:rsidP="00A42DEC">
      <w:pPr>
        <w:spacing w:after="0" w:line="360" w:lineRule="auto"/>
        <w:ind w:left="567" w:hanging="567"/>
        <w:jc w:val="both"/>
        <w:rPr>
          <w:rFonts w:ascii="Arial" w:hAnsi="Arial" w:cs="Arial"/>
          <w:sz w:val="24"/>
          <w:szCs w:val="24"/>
        </w:rPr>
      </w:pPr>
      <w:r w:rsidRPr="004653A7">
        <w:rPr>
          <w:rFonts w:ascii="Arial" w:hAnsi="Arial" w:cs="Arial"/>
          <w:sz w:val="24"/>
          <w:szCs w:val="24"/>
        </w:rPr>
        <w:t>19.</w:t>
      </w:r>
      <w:r w:rsidRPr="004653A7">
        <w:rPr>
          <w:rFonts w:ascii="Arial" w:hAnsi="Arial" w:cs="Arial"/>
          <w:sz w:val="24"/>
          <w:szCs w:val="24"/>
        </w:rPr>
        <w:tab/>
      </w:r>
      <w:r w:rsidR="0001300C" w:rsidRPr="00A42DEC">
        <w:rPr>
          <w:rFonts w:ascii="Arial" w:hAnsi="Arial" w:cs="Arial"/>
          <w:sz w:val="24"/>
          <w:szCs w:val="24"/>
        </w:rPr>
        <w:t xml:space="preserve">In any event, </w:t>
      </w:r>
      <w:r w:rsidR="0001300C" w:rsidRPr="00A42DEC">
        <w:rPr>
          <w:rFonts w:ascii="Arial" w:hAnsi="Arial" w:cs="Arial"/>
          <w:color w:val="000000"/>
          <w:sz w:val="24"/>
          <w:szCs w:val="24"/>
        </w:rPr>
        <w:t>the remedy of a respondent who wishes to challenge the authority of a person allegedly acting on behalf of an applicant, is provided for in rule 7(1) of the Uniform Rules of Court.</w:t>
      </w:r>
      <w:r w:rsidR="0001300C">
        <w:rPr>
          <w:rStyle w:val="FootnoteReference"/>
          <w:rFonts w:ascii="Arial" w:hAnsi="Arial" w:cs="Arial"/>
          <w:color w:val="000000"/>
          <w:sz w:val="24"/>
          <w:szCs w:val="24"/>
        </w:rPr>
        <w:footnoteReference w:id="9"/>
      </w:r>
      <w:r w:rsidR="0001300C" w:rsidRPr="00A42DEC">
        <w:rPr>
          <w:rFonts w:ascii="Arial" w:hAnsi="Arial" w:cs="Arial"/>
          <w:color w:val="000000"/>
          <w:sz w:val="24"/>
          <w:szCs w:val="24"/>
        </w:rPr>
        <w:t xml:space="preserve">  Rule 7(1) should accordingly be applied when the authority of anyone acting on behalf of a party is challenged.</w:t>
      </w:r>
      <w:r w:rsidR="0001300C" w:rsidRPr="0001300C">
        <w:rPr>
          <w:rStyle w:val="FootnoteReference"/>
          <w:rFonts w:ascii="Arial" w:hAnsi="Arial" w:cs="Arial"/>
          <w:color w:val="000000"/>
          <w:sz w:val="24"/>
          <w:szCs w:val="24"/>
        </w:rPr>
        <w:footnoteReference w:id="10"/>
      </w:r>
      <w:r w:rsidR="0001300C" w:rsidRPr="00A42DEC">
        <w:rPr>
          <w:rFonts w:ascii="Arial" w:hAnsi="Arial" w:cs="Arial"/>
          <w:color w:val="000000"/>
          <w:sz w:val="24"/>
          <w:szCs w:val="24"/>
        </w:rPr>
        <w:t xml:space="preserve">  The first respondent </w:t>
      </w:r>
      <w:r w:rsidR="007E07AF" w:rsidRPr="00A42DEC">
        <w:rPr>
          <w:rFonts w:ascii="Arial" w:hAnsi="Arial" w:cs="Arial"/>
          <w:color w:val="000000"/>
          <w:sz w:val="24"/>
          <w:szCs w:val="24"/>
        </w:rPr>
        <w:t xml:space="preserve">did not </w:t>
      </w:r>
      <w:r w:rsidR="0001300C" w:rsidRPr="00A42DEC">
        <w:rPr>
          <w:rFonts w:ascii="Arial" w:hAnsi="Arial" w:cs="Arial"/>
          <w:color w:val="000000"/>
          <w:sz w:val="24"/>
          <w:szCs w:val="24"/>
        </w:rPr>
        <w:t>use Rule 7(1) to challenge the deponent’s authority to institute the application on behalf of the applicant.  The application to strike out paragraph</w:t>
      </w:r>
      <w:r w:rsidR="007E07AF" w:rsidRPr="00A42DEC">
        <w:rPr>
          <w:rFonts w:ascii="Arial" w:hAnsi="Arial" w:cs="Arial"/>
          <w:color w:val="000000"/>
          <w:sz w:val="24"/>
          <w:szCs w:val="24"/>
        </w:rPr>
        <w:t> </w:t>
      </w:r>
      <w:r w:rsidR="0001300C" w:rsidRPr="00A42DEC">
        <w:rPr>
          <w:rFonts w:ascii="Arial" w:hAnsi="Arial" w:cs="Arial"/>
          <w:color w:val="000000"/>
          <w:sz w:val="24"/>
          <w:szCs w:val="24"/>
        </w:rPr>
        <w:t>1 of the replying affidavit and accompanying annexure must</w:t>
      </w:r>
      <w:r w:rsidR="007E07AF" w:rsidRPr="00A42DEC">
        <w:rPr>
          <w:rFonts w:ascii="Arial" w:hAnsi="Arial" w:cs="Arial"/>
          <w:color w:val="000000"/>
          <w:sz w:val="24"/>
          <w:szCs w:val="24"/>
        </w:rPr>
        <w:t>, in the circumstances,</w:t>
      </w:r>
      <w:r w:rsidR="0001300C" w:rsidRPr="00A42DEC">
        <w:rPr>
          <w:rFonts w:ascii="Arial" w:hAnsi="Arial" w:cs="Arial"/>
          <w:color w:val="000000"/>
          <w:sz w:val="24"/>
          <w:szCs w:val="24"/>
        </w:rPr>
        <w:t xml:space="preserve"> be dismissed.</w:t>
      </w:r>
      <w:r w:rsidR="004653A7" w:rsidRPr="00A42DEC">
        <w:rPr>
          <w:rFonts w:ascii="Arial" w:hAnsi="Arial" w:cs="Arial"/>
          <w:color w:val="000000"/>
          <w:sz w:val="24"/>
          <w:szCs w:val="24"/>
        </w:rPr>
        <w:t xml:space="preserve"> </w:t>
      </w:r>
    </w:p>
    <w:p w14:paraId="77B97114" w14:textId="77777777" w:rsidR="004653A7" w:rsidRPr="004653A7" w:rsidRDefault="004653A7" w:rsidP="004653A7">
      <w:pPr>
        <w:pStyle w:val="ListParagraph"/>
        <w:rPr>
          <w:rFonts w:ascii="Arial" w:hAnsi="Arial" w:cs="Arial"/>
          <w:sz w:val="24"/>
          <w:szCs w:val="24"/>
        </w:rPr>
      </w:pPr>
    </w:p>
    <w:p w14:paraId="20340940" w14:textId="5370F134" w:rsidR="004653A7"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653A7" w:rsidRPr="00A42DEC">
        <w:rPr>
          <w:rFonts w:ascii="Arial" w:hAnsi="Arial" w:cs="Arial"/>
          <w:sz w:val="24"/>
          <w:szCs w:val="24"/>
        </w:rPr>
        <w:t xml:space="preserve">The first respondent made an application to deliver a rejoinder affidavit in response to the applicant’s </w:t>
      </w:r>
      <w:proofErr w:type="gramStart"/>
      <w:r w:rsidR="004653A7" w:rsidRPr="00A42DEC">
        <w:rPr>
          <w:rFonts w:ascii="Arial" w:hAnsi="Arial" w:cs="Arial"/>
          <w:sz w:val="24"/>
          <w:szCs w:val="24"/>
        </w:rPr>
        <w:t>replying</w:t>
      </w:r>
      <w:proofErr w:type="gramEnd"/>
      <w:r w:rsidR="004653A7" w:rsidRPr="00A42DEC">
        <w:rPr>
          <w:rFonts w:ascii="Arial" w:hAnsi="Arial" w:cs="Arial"/>
          <w:sz w:val="24"/>
          <w:szCs w:val="24"/>
        </w:rPr>
        <w:t xml:space="preserve"> affidavit.  That affidavit sought to address two issues, namely annexures </w:t>
      </w:r>
      <w:r w:rsidR="00E234FD" w:rsidRPr="00A42DEC">
        <w:rPr>
          <w:rFonts w:ascii="Arial" w:hAnsi="Arial" w:cs="Arial"/>
          <w:sz w:val="24"/>
          <w:szCs w:val="24"/>
        </w:rPr>
        <w:t>to the answering affidavit which were not initialled by the deponent and commissioner of oaths and the allegation that the affidavit of the first respondent’s daughter was initially not attached to the first respondent’s affidavit.  Both issues have been satisfactorily explained and at the hearing Mr Brown, counsel for the applicant, did not offer serious opposition to the admission of those documents.  The court has had regard to them in preparation of this judgment.</w:t>
      </w:r>
    </w:p>
    <w:p w14:paraId="07538ED5" w14:textId="77777777" w:rsidR="0001300C" w:rsidRPr="0001300C" w:rsidRDefault="0001300C" w:rsidP="0001300C">
      <w:pPr>
        <w:pStyle w:val="ListParagraph"/>
        <w:rPr>
          <w:rFonts w:ascii="Arial" w:hAnsi="Arial" w:cs="Arial"/>
          <w:sz w:val="24"/>
          <w:szCs w:val="24"/>
        </w:rPr>
      </w:pPr>
    </w:p>
    <w:p w14:paraId="2B9B25CC" w14:textId="63B1493A" w:rsidR="00430418" w:rsidRPr="00A42DEC" w:rsidRDefault="00A42DEC" w:rsidP="00A42DEC">
      <w:pPr>
        <w:spacing w:after="0" w:line="360" w:lineRule="auto"/>
        <w:ind w:left="567" w:hanging="567"/>
        <w:jc w:val="both"/>
        <w:rPr>
          <w:rFonts w:ascii="Arial" w:hAnsi="Arial" w:cs="Arial"/>
          <w:sz w:val="24"/>
          <w:szCs w:val="24"/>
        </w:rPr>
      </w:pPr>
      <w:r w:rsidRPr="00430418">
        <w:rPr>
          <w:rFonts w:ascii="Arial" w:hAnsi="Arial" w:cs="Arial"/>
          <w:sz w:val="24"/>
          <w:szCs w:val="24"/>
        </w:rPr>
        <w:t>21.</w:t>
      </w:r>
      <w:r w:rsidRPr="00430418">
        <w:rPr>
          <w:rFonts w:ascii="Arial" w:hAnsi="Arial" w:cs="Arial"/>
          <w:sz w:val="24"/>
          <w:szCs w:val="24"/>
        </w:rPr>
        <w:tab/>
      </w:r>
      <w:r w:rsidR="0001300C" w:rsidRPr="00A42DEC">
        <w:rPr>
          <w:rFonts w:ascii="Arial" w:hAnsi="Arial" w:cs="Arial"/>
          <w:sz w:val="24"/>
          <w:szCs w:val="24"/>
        </w:rPr>
        <w:t xml:space="preserve">Section </w:t>
      </w:r>
      <w:r w:rsidR="00BD6A72" w:rsidRPr="00A42DEC">
        <w:rPr>
          <w:rFonts w:ascii="Arial" w:hAnsi="Arial" w:cs="Arial"/>
          <w:sz w:val="24"/>
          <w:szCs w:val="24"/>
        </w:rPr>
        <w:t xml:space="preserve">10(1) of the Prescription Act provides that, </w:t>
      </w:r>
      <w:r w:rsidR="00BD6A72" w:rsidRPr="00A42DEC">
        <w:rPr>
          <w:rFonts w:ascii="Arial" w:hAnsi="Arial" w:cs="Arial"/>
          <w:color w:val="000000"/>
          <w:sz w:val="24"/>
          <w:szCs w:val="24"/>
        </w:rPr>
        <w:t>subject to the provisions of Chapter</w:t>
      </w:r>
      <w:r w:rsidR="00A91E1A" w:rsidRPr="00A42DEC">
        <w:rPr>
          <w:rFonts w:ascii="Arial" w:hAnsi="Arial" w:cs="Arial"/>
          <w:color w:val="000000"/>
          <w:sz w:val="24"/>
          <w:szCs w:val="24"/>
        </w:rPr>
        <w:t>s</w:t>
      </w:r>
      <w:r w:rsidR="00BD6A72" w:rsidRPr="00A42DEC">
        <w:rPr>
          <w:rFonts w:ascii="Arial" w:hAnsi="Arial" w:cs="Arial"/>
          <w:color w:val="000000"/>
          <w:sz w:val="24"/>
          <w:szCs w:val="24"/>
        </w:rPr>
        <w:t xml:space="preserve"> </w:t>
      </w:r>
      <w:r w:rsidR="00A91E1A" w:rsidRPr="00A42DEC">
        <w:rPr>
          <w:rFonts w:ascii="Arial" w:hAnsi="Arial" w:cs="Arial"/>
          <w:color w:val="000000"/>
          <w:sz w:val="24"/>
          <w:szCs w:val="24"/>
        </w:rPr>
        <w:t xml:space="preserve">III </w:t>
      </w:r>
      <w:r w:rsidR="00BD6A72" w:rsidRPr="00A42DEC">
        <w:rPr>
          <w:rFonts w:ascii="Arial" w:hAnsi="Arial" w:cs="Arial"/>
          <w:color w:val="000000"/>
          <w:sz w:val="24"/>
          <w:szCs w:val="24"/>
        </w:rPr>
        <w:t>and</w:t>
      </w:r>
      <w:r w:rsidR="002A4790" w:rsidRPr="00A42DEC">
        <w:rPr>
          <w:rFonts w:ascii="Arial" w:hAnsi="Arial" w:cs="Arial"/>
          <w:color w:val="000000"/>
          <w:sz w:val="24"/>
          <w:szCs w:val="24"/>
        </w:rPr>
        <w:t xml:space="preserve"> IV thereof</w:t>
      </w:r>
      <w:r w:rsidR="00BD6A72" w:rsidRPr="00A42DEC">
        <w:rPr>
          <w:rFonts w:ascii="Arial" w:hAnsi="Arial" w:cs="Arial"/>
          <w:color w:val="000000"/>
          <w:sz w:val="24"/>
          <w:szCs w:val="24"/>
        </w:rPr>
        <w:t xml:space="preserve">, a debt shall be extinguished by prescription after the </w:t>
      </w:r>
      <w:r w:rsidR="00BD6A72" w:rsidRPr="00A42DEC">
        <w:rPr>
          <w:rFonts w:ascii="Arial" w:hAnsi="Arial" w:cs="Arial"/>
          <w:color w:val="000000"/>
          <w:sz w:val="24"/>
          <w:szCs w:val="24"/>
        </w:rPr>
        <w:lastRenderedPageBreak/>
        <w:t>lapse of the period which in terms of the relevant law applies in respect of the prescription of such debt.</w:t>
      </w:r>
      <w:r w:rsidR="00A91E1A" w:rsidRPr="00A42DEC">
        <w:rPr>
          <w:rFonts w:ascii="Arial" w:hAnsi="Arial" w:cs="Arial"/>
          <w:color w:val="000000"/>
          <w:sz w:val="24"/>
          <w:szCs w:val="24"/>
        </w:rPr>
        <w:t xml:space="preserve">  The periods of prescription of debts are set out in section 11 of the Prescription Act.  They are 30, 15 and 6 years </w:t>
      </w:r>
      <w:r w:rsidR="000C4BC7" w:rsidRPr="00A42DEC">
        <w:rPr>
          <w:rFonts w:ascii="Arial" w:hAnsi="Arial" w:cs="Arial"/>
          <w:color w:val="000000"/>
          <w:sz w:val="24"/>
          <w:szCs w:val="24"/>
        </w:rPr>
        <w:t xml:space="preserve">in terms of section 11(a), (b) and (c) </w:t>
      </w:r>
      <w:r w:rsidR="00A91E1A" w:rsidRPr="00A42DEC">
        <w:rPr>
          <w:rFonts w:ascii="Arial" w:hAnsi="Arial" w:cs="Arial"/>
          <w:color w:val="000000"/>
          <w:sz w:val="24"/>
          <w:szCs w:val="24"/>
        </w:rPr>
        <w:t>respectively.  Section 11(d) provides that</w:t>
      </w:r>
      <w:r w:rsidR="000C4BC7" w:rsidRPr="00A42DEC">
        <w:rPr>
          <w:rFonts w:ascii="Arial" w:hAnsi="Arial" w:cs="Arial"/>
          <w:color w:val="000000"/>
          <w:sz w:val="24"/>
          <w:szCs w:val="24"/>
        </w:rPr>
        <w:t>,</w:t>
      </w:r>
      <w:r w:rsidR="00A91E1A" w:rsidRPr="00A42DEC">
        <w:rPr>
          <w:rFonts w:ascii="Arial" w:hAnsi="Arial" w:cs="Arial"/>
          <w:color w:val="000000"/>
          <w:sz w:val="24"/>
          <w:szCs w:val="24"/>
        </w:rPr>
        <w:t xml:space="preserve"> save where an Act of Parliament provides otherwise, the period </w:t>
      </w:r>
      <w:r w:rsidR="00DF1307" w:rsidRPr="00A42DEC">
        <w:rPr>
          <w:rFonts w:ascii="Arial" w:hAnsi="Arial" w:cs="Arial"/>
          <w:color w:val="000000"/>
          <w:sz w:val="24"/>
          <w:szCs w:val="24"/>
        </w:rPr>
        <w:t xml:space="preserve">of prescription </w:t>
      </w:r>
      <w:r w:rsidR="00A91E1A" w:rsidRPr="00A42DEC">
        <w:rPr>
          <w:rFonts w:ascii="Arial" w:hAnsi="Arial" w:cs="Arial"/>
          <w:color w:val="000000"/>
          <w:sz w:val="24"/>
          <w:szCs w:val="24"/>
        </w:rPr>
        <w:t>shall be three years in respect of any other debt.  The first respondent relied on section 11(d).</w:t>
      </w:r>
    </w:p>
    <w:p w14:paraId="7A05C139" w14:textId="77777777" w:rsidR="00430418" w:rsidRPr="00430418" w:rsidRDefault="00430418" w:rsidP="00430418">
      <w:pPr>
        <w:pStyle w:val="ListParagraph"/>
        <w:rPr>
          <w:rFonts w:ascii="Arial" w:hAnsi="Arial" w:cs="Arial"/>
          <w:sz w:val="24"/>
          <w:szCs w:val="24"/>
        </w:rPr>
      </w:pPr>
    </w:p>
    <w:p w14:paraId="49D297CD" w14:textId="79A8D45F" w:rsidR="000C4BC7" w:rsidRPr="00A42DEC" w:rsidRDefault="00A42DEC" w:rsidP="00A42DEC">
      <w:pPr>
        <w:spacing w:after="0" w:line="360" w:lineRule="auto"/>
        <w:ind w:left="567" w:hanging="567"/>
        <w:jc w:val="both"/>
        <w:rPr>
          <w:rFonts w:ascii="Arial" w:hAnsi="Arial" w:cs="Arial"/>
          <w:sz w:val="24"/>
          <w:szCs w:val="24"/>
        </w:rPr>
      </w:pPr>
      <w:r w:rsidRPr="00430418">
        <w:rPr>
          <w:rFonts w:ascii="Arial" w:hAnsi="Arial" w:cs="Arial"/>
          <w:sz w:val="24"/>
          <w:szCs w:val="24"/>
        </w:rPr>
        <w:t>22.</w:t>
      </w:r>
      <w:r w:rsidRPr="00430418">
        <w:rPr>
          <w:rFonts w:ascii="Arial" w:hAnsi="Arial" w:cs="Arial"/>
          <w:sz w:val="24"/>
          <w:szCs w:val="24"/>
        </w:rPr>
        <w:tab/>
      </w:r>
      <w:r w:rsidR="000C4BC7" w:rsidRPr="00A42DEC">
        <w:rPr>
          <w:rFonts w:ascii="Arial" w:hAnsi="Arial" w:cs="Arial"/>
          <w:sz w:val="24"/>
          <w:szCs w:val="24"/>
        </w:rPr>
        <w:t xml:space="preserve">Mr </w:t>
      </w:r>
      <w:proofErr w:type="spellStart"/>
      <w:r w:rsidR="000C4BC7" w:rsidRPr="00A42DEC">
        <w:rPr>
          <w:rFonts w:ascii="Arial" w:hAnsi="Arial" w:cs="Arial"/>
          <w:sz w:val="24"/>
          <w:szCs w:val="24"/>
        </w:rPr>
        <w:t>Beyleveld</w:t>
      </w:r>
      <w:proofErr w:type="spellEnd"/>
      <w:r w:rsidR="001F59A9" w:rsidRPr="00A42DEC">
        <w:rPr>
          <w:rFonts w:ascii="Arial" w:hAnsi="Arial" w:cs="Arial"/>
          <w:sz w:val="24"/>
          <w:szCs w:val="24"/>
        </w:rPr>
        <w:t xml:space="preserve"> </w:t>
      </w:r>
      <w:r w:rsidR="000C4BC7" w:rsidRPr="00A42DEC">
        <w:rPr>
          <w:rFonts w:ascii="Arial" w:hAnsi="Arial" w:cs="Arial"/>
          <w:sz w:val="24"/>
          <w:szCs w:val="24"/>
        </w:rPr>
        <w:t>submitted that the concept of ‘debt’ is now settled law and</w:t>
      </w:r>
      <w:r w:rsidR="00824633" w:rsidRPr="00A42DEC">
        <w:rPr>
          <w:rFonts w:ascii="Arial" w:hAnsi="Arial" w:cs="Arial"/>
          <w:sz w:val="24"/>
          <w:szCs w:val="24"/>
        </w:rPr>
        <w:t>,</w:t>
      </w:r>
      <w:r w:rsidR="000C4BC7" w:rsidRPr="00A42DEC">
        <w:rPr>
          <w:rFonts w:ascii="Arial" w:hAnsi="Arial" w:cs="Arial"/>
          <w:sz w:val="24"/>
          <w:szCs w:val="24"/>
        </w:rPr>
        <w:t xml:space="preserve"> for purposes of the Prescription Act, means “</w:t>
      </w:r>
      <w:r w:rsidR="000C4BC7" w:rsidRPr="00A42DEC">
        <w:rPr>
          <w:rFonts w:ascii="Arial" w:hAnsi="Arial" w:cs="Arial"/>
          <w:i/>
          <w:sz w:val="24"/>
          <w:szCs w:val="24"/>
        </w:rPr>
        <w:t>Something owed or due</w:t>
      </w:r>
      <w:r w:rsidR="000C4BC7" w:rsidRPr="00A42DEC">
        <w:rPr>
          <w:rFonts w:ascii="Arial" w:hAnsi="Arial" w:cs="Arial"/>
          <w:i/>
          <w:color w:val="000000"/>
          <w:sz w:val="24"/>
          <w:szCs w:val="24"/>
        </w:rPr>
        <w:t xml:space="preserve">: something (as money, </w:t>
      </w:r>
      <w:proofErr w:type="gramStart"/>
      <w:r w:rsidR="000C4BC7" w:rsidRPr="00A42DEC">
        <w:rPr>
          <w:rFonts w:ascii="Arial" w:hAnsi="Arial" w:cs="Arial"/>
          <w:i/>
          <w:color w:val="000000"/>
          <w:sz w:val="24"/>
          <w:szCs w:val="24"/>
        </w:rPr>
        <w:t>goods</w:t>
      </w:r>
      <w:proofErr w:type="gramEnd"/>
      <w:r w:rsidR="000C4BC7" w:rsidRPr="00A42DEC">
        <w:rPr>
          <w:rFonts w:ascii="Arial" w:hAnsi="Arial" w:cs="Arial"/>
          <w:i/>
          <w:color w:val="000000"/>
          <w:sz w:val="24"/>
          <w:szCs w:val="24"/>
        </w:rPr>
        <w:t xml:space="preserve"> or service) which one person is under an obligation to pay or render to another. 2. A liability or obligation to pay or render something; the condition of being so obligated</w:t>
      </w:r>
      <w:r w:rsidR="000C4BC7" w:rsidRPr="00A42DEC">
        <w:rPr>
          <w:rFonts w:ascii="Arial" w:hAnsi="Arial" w:cs="Arial"/>
          <w:color w:val="000000"/>
          <w:sz w:val="24"/>
          <w:szCs w:val="24"/>
        </w:rPr>
        <w:t xml:space="preserve">.” </w:t>
      </w:r>
      <w:r w:rsidR="00824633" w:rsidRPr="00A42DEC">
        <w:rPr>
          <w:rFonts w:ascii="Arial" w:hAnsi="Arial" w:cs="Arial"/>
          <w:color w:val="000000"/>
          <w:sz w:val="24"/>
          <w:szCs w:val="24"/>
        </w:rPr>
        <w:t xml:space="preserve"> </w:t>
      </w:r>
      <w:r w:rsidR="000C4BC7" w:rsidRPr="00A42DEC">
        <w:rPr>
          <w:rFonts w:ascii="Arial" w:hAnsi="Arial" w:cs="Arial"/>
          <w:color w:val="000000"/>
          <w:sz w:val="24"/>
          <w:szCs w:val="24"/>
        </w:rPr>
        <w:t>That is the meaning ascribed to the word ‘debt’ in the </w:t>
      </w:r>
      <w:r w:rsidR="000C4BC7" w:rsidRPr="00A42DEC">
        <w:rPr>
          <w:rFonts w:ascii="Arial" w:hAnsi="Arial" w:cs="Arial"/>
          <w:i/>
          <w:iCs/>
          <w:color w:val="000000"/>
          <w:sz w:val="24"/>
          <w:szCs w:val="24"/>
        </w:rPr>
        <w:t>Shorter Oxford English Dictionary</w:t>
      </w:r>
      <w:r w:rsidR="00A023F4" w:rsidRPr="00A42DEC">
        <w:rPr>
          <w:rFonts w:ascii="Arial" w:hAnsi="Arial" w:cs="Arial"/>
          <w:color w:val="000000"/>
          <w:sz w:val="24"/>
          <w:szCs w:val="24"/>
        </w:rPr>
        <w:t>,</w:t>
      </w:r>
      <w:r w:rsidR="00DF1307" w:rsidRPr="00A023F4">
        <w:rPr>
          <w:rStyle w:val="FootnoteReference"/>
          <w:rFonts w:ascii="Arial" w:hAnsi="Arial" w:cs="Arial"/>
          <w:color w:val="000000"/>
          <w:sz w:val="24"/>
          <w:szCs w:val="24"/>
        </w:rPr>
        <w:footnoteReference w:id="11"/>
      </w:r>
      <w:r w:rsidR="00DF1307" w:rsidRPr="00A42DEC">
        <w:rPr>
          <w:rFonts w:ascii="Arial" w:hAnsi="Arial" w:cs="Arial"/>
          <w:color w:val="000000"/>
          <w:sz w:val="24"/>
          <w:szCs w:val="24"/>
        </w:rPr>
        <w:t xml:space="preserve"> </w:t>
      </w:r>
      <w:r w:rsidR="00A023F4" w:rsidRPr="00A42DEC">
        <w:rPr>
          <w:rFonts w:ascii="Arial" w:hAnsi="Arial" w:cs="Arial"/>
          <w:color w:val="000000"/>
          <w:sz w:val="24"/>
          <w:szCs w:val="24"/>
        </w:rPr>
        <w:t>which was referred to in</w:t>
      </w:r>
      <w:r w:rsidR="000C4BC7" w:rsidRPr="00A42DEC">
        <w:rPr>
          <w:rFonts w:ascii="Arial" w:hAnsi="Arial" w:cs="Arial"/>
          <w:color w:val="000000"/>
          <w:sz w:val="24"/>
          <w:szCs w:val="24"/>
        </w:rPr>
        <w:t> </w:t>
      </w:r>
      <w:r w:rsidR="002A4790" w:rsidRPr="00A42DEC">
        <w:rPr>
          <w:rFonts w:ascii="Arial" w:hAnsi="Arial" w:cs="Arial"/>
          <w:i/>
          <w:iCs/>
          <w:color w:val="000000"/>
          <w:sz w:val="24"/>
          <w:szCs w:val="24"/>
        </w:rPr>
        <w:t xml:space="preserve">Electricity </w:t>
      </w:r>
      <w:r w:rsidR="00DF1307" w:rsidRPr="00A42DEC">
        <w:rPr>
          <w:rFonts w:ascii="Arial" w:hAnsi="Arial" w:cs="Arial"/>
          <w:i/>
          <w:iCs/>
          <w:color w:val="000000"/>
          <w:sz w:val="24"/>
          <w:szCs w:val="24"/>
        </w:rPr>
        <w:t>Supply Commission v Stewarts and Lloyds of SA (Pty) Ltd</w:t>
      </w:r>
      <w:r w:rsidR="00DF1307" w:rsidRPr="00A023F4">
        <w:rPr>
          <w:rStyle w:val="FootnoteReference"/>
          <w:rFonts w:ascii="Arial" w:hAnsi="Arial" w:cs="Arial"/>
          <w:color w:val="000000"/>
          <w:sz w:val="24"/>
          <w:szCs w:val="24"/>
        </w:rPr>
        <w:footnoteReference w:id="12"/>
      </w:r>
      <w:r w:rsidR="000C4BC7" w:rsidRPr="00A42DEC">
        <w:rPr>
          <w:rFonts w:ascii="Arial" w:hAnsi="Arial" w:cs="Arial"/>
          <w:color w:val="000000"/>
          <w:sz w:val="24"/>
          <w:szCs w:val="24"/>
        </w:rPr>
        <w:t> </w:t>
      </w:r>
      <w:r w:rsidR="0038432D" w:rsidRPr="00A42DEC">
        <w:rPr>
          <w:rFonts w:ascii="Arial" w:hAnsi="Arial" w:cs="Arial"/>
          <w:color w:val="000000"/>
          <w:sz w:val="24"/>
          <w:szCs w:val="24"/>
        </w:rPr>
        <w:t xml:space="preserve">wherein </w:t>
      </w:r>
      <w:r w:rsidR="00676131" w:rsidRPr="00A42DEC">
        <w:rPr>
          <w:rFonts w:ascii="Arial" w:hAnsi="Arial" w:cs="Arial"/>
          <w:color w:val="000000"/>
          <w:sz w:val="24"/>
          <w:szCs w:val="24"/>
        </w:rPr>
        <w:t>it was held that a debt is an obligation to pay money, deliver goods or render services.</w:t>
      </w:r>
      <w:r w:rsidR="00740DCF" w:rsidRPr="00A42DEC">
        <w:rPr>
          <w:rFonts w:ascii="Arial" w:hAnsi="Arial" w:cs="Arial"/>
          <w:color w:val="000000"/>
          <w:sz w:val="24"/>
          <w:szCs w:val="24"/>
        </w:rPr>
        <w:t xml:space="preserve">  Counsel furthermore submitted that the word ‘debt’ refers more generally to the claim or right of action and is wider than the technical term </w:t>
      </w:r>
      <w:proofErr w:type="spellStart"/>
      <w:r w:rsidR="00740DCF" w:rsidRPr="00A42DEC">
        <w:rPr>
          <w:rFonts w:ascii="Arial" w:hAnsi="Arial" w:cs="Arial"/>
          <w:color w:val="000000"/>
          <w:sz w:val="24"/>
          <w:szCs w:val="24"/>
        </w:rPr>
        <w:t>‘cause</w:t>
      </w:r>
      <w:proofErr w:type="spellEnd"/>
      <w:r w:rsidR="00740DCF" w:rsidRPr="00A42DEC">
        <w:rPr>
          <w:rFonts w:ascii="Arial" w:hAnsi="Arial" w:cs="Arial"/>
          <w:color w:val="000000"/>
          <w:sz w:val="24"/>
          <w:szCs w:val="24"/>
        </w:rPr>
        <w:t xml:space="preserve"> of action’.</w:t>
      </w:r>
      <w:r w:rsidR="00824633" w:rsidRPr="00A42DEC">
        <w:rPr>
          <w:rFonts w:ascii="Arial" w:hAnsi="Arial" w:cs="Arial"/>
          <w:color w:val="000000"/>
          <w:sz w:val="24"/>
          <w:szCs w:val="24"/>
        </w:rPr>
        <w:t xml:space="preserve">  In </w:t>
      </w:r>
      <w:r w:rsidR="00430418" w:rsidRPr="00A42DEC">
        <w:rPr>
          <w:rFonts w:ascii="Arial" w:hAnsi="Arial" w:cs="Arial"/>
          <w:i/>
          <w:iCs/>
          <w:color w:val="000000"/>
          <w:sz w:val="24"/>
          <w:szCs w:val="24"/>
        </w:rPr>
        <w:t>Desai NO v Desai and Others</w:t>
      </w:r>
      <w:r w:rsidR="00430418" w:rsidRPr="00430418">
        <w:rPr>
          <w:rStyle w:val="FootnoteReference"/>
          <w:rFonts w:ascii="Arial" w:hAnsi="Arial" w:cs="Arial"/>
          <w:color w:val="000000"/>
          <w:sz w:val="24"/>
          <w:szCs w:val="24"/>
        </w:rPr>
        <w:footnoteReference w:id="13"/>
      </w:r>
      <w:r w:rsidR="00430418" w:rsidRPr="00A42DEC">
        <w:rPr>
          <w:rFonts w:ascii="Arial" w:hAnsi="Arial" w:cs="Arial"/>
          <w:i/>
          <w:iCs/>
          <w:color w:val="000000"/>
          <w:sz w:val="24"/>
          <w:szCs w:val="24"/>
        </w:rPr>
        <w:t xml:space="preserve"> </w:t>
      </w:r>
      <w:r w:rsidR="00430418" w:rsidRPr="00A42DEC">
        <w:rPr>
          <w:rFonts w:ascii="Arial" w:hAnsi="Arial" w:cs="Arial"/>
          <w:color w:val="000000"/>
          <w:sz w:val="24"/>
          <w:szCs w:val="24"/>
        </w:rPr>
        <w:t>the the</w:t>
      </w:r>
      <w:r w:rsidR="00344EEE" w:rsidRPr="00A42DEC">
        <w:rPr>
          <w:rFonts w:ascii="Arial" w:hAnsi="Arial" w:cs="Arial"/>
          <w:color w:val="000000"/>
          <w:sz w:val="24"/>
          <w:szCs w:val="24"/>
        </w:rPr>
        <w:t>n</w:t>
      </w:r>
      <w:r w:rsidR="00430418" w:rsidRPr="00A42DEC">
        <w:rPr>
          <w:rFonts w:ascii="Arial" w:hAnsi="Arial" w:cs="Arial"/>
          <w:color w:val="000000"/>
          <w:sz w:val="24"/>
          <w:szCs w:val="24"/>
        </w:rPr>
        <w:t xml:space="preserve"> Appellate Division gave a wide and general meaning to the term 'debt', which includes an obligation to do or refrain from doing something that entails a right on one side and a corresponding obligation on the other.</w:t>
      </w:r>
    </w:p>
    <w:p w14:paraId="2F16631F" w14:textId="77777777" w:rsidR="006B508C" w:rsidRPr="00430418" w:rsidRDefault="006B508C" w:rsidP="006B508C">
      <w:pPr>
        <w:pStyle w:val="ListParagraph"/>
        <w:rPr>
          <w:rFonts w:ascii="Arial" w:hAnsi="Arial" w:cs="Arial"/>
          <w:sz w:val="24"/>
          <w:szCs w:val="24"/>
        </w:rPr>
      </w:pPr>
    </w:p>
    <w:p w14:paraId="08E57954" w14:textId="3984FB44" w:rsidR="006B508C" w:rsidRPr="00A42DEC" w:rsidRDefault="00A42DEC" w:rsidP="00A42DEC">
      <w:pPr>
        <w:spacing w:after="0" w:line="360" w:lineRule="auto"/>
        <w:ind w:left="567" w:hanging="567"/>
        <w:jc w:val="both"/>
        <w:rPr>
          <w:rFonts w:ascii="Arial" w:hAnsi="Arial" w:cs="Arial"/>
          <w:sz w:val="24"/>
          <w:szCs w:val="24"/>
        </w:rPr>
      </w:pPr>
      <w:r w:rsidRPr="00F80F1E">
        <w:rPr>
          <w:rFonts w:ascii="Arial" w:hAnsi="Arial" w:cs="Arial"/>
          <w:sz w:val="24"/>
          <w:szCs w:val="24"/>
        </w:rPr>
        <w:t>23.</w:t>
      </w:r>
      <w:r w:rsidRPr="00F80F1E">
        <w:rPr>
          <w:rFonts w:ascii="Arial" w:hAnsi="Arial" w:cs="Arial"/>
          <w:sz w:val="24"/>
          <w:szCs w:val="24"/>
        </w:rPr>
        <w:tab/>
      </w:r>
      <w:r w:rsidR="00A023F4" w:rsidRPr="00A42DEC">
        <w:rPr>
          <w:rFonts w:ascii="Arial" w:hAnsi="Arial" w:cs="Arial"/>
          <w:sz w:val="24"/>
          <w:szCs w:val="24"/>
        </w:rPr>
        <w:t xml:space="preserve">In </w:t>
      </w:r>
      <w:proofErr w:type="spellStart"/>
      <w:r w:rsidR="00A023F4" w:rsidRPr="00A42DEC">
        <w:rPr>
          <w:rFonts w:ascii="Arial" w:hAnsi="Arial" w:cs="Arial"/>
          <w:i/>
          <w:sz w:val="24"/>
          <w:szCs w:val="24"/>
        </w:rPr>
        <w:t>Makate</w:t>
      </w:r>
      <w:proofErr w:type="spellEnd"/>
      <w:r w:rsidR="00A023F4" w:rsidRPr="00A42DEC">
        <w:rPr>
          <w:rFonts w:ascii="Arial" w:hAnsi="Arial" w:cs="Arial"/>
          <w:i/>
          <w:sz w:val="24"/>
          <w:szCs w:val="24"/>
        </w:rPr>
        <w:t xml:space="preserve"> v Vodacom Ltd</w:t>
      </w:r>
      <w:r w:rsidR="00A023F4" w:rsidRPr="00430418">
        <w:rPr>
          <w:rStyle w:val="FootnoteReference"/>
          <w:rFonts w:ascii="Arial" w:hAnsi="Arial" w:cs="Arial"/>
          <w:sz w:val="24"/>
          <w:szCs w:val="24"/>
        </w:rPr>
        <w:footnoteReference w:id="14"/>
      </w:r>
      <w:r w:rsidR="00A023F4" w:rsidRPr="00A42DEC">
        <w:rPr>
          <w:rFonts w:ascii="Arial" w:hAnsi="Arial" w:cs="Arial"/>
          <w:sz w:val="24"/>
          <w:szCs w:val="24"/>
        </w:rPr>
        <w:t xml:space="preserve"> the Constitutional Court found that</w:t>
      </w:r>
      <w:r w:rsidR="00430418" w:rsidRPr="00A42DEC">
        <w:rPr>
          <w:rFonts w:ascii="Arial" w:hAnsi="Arial" w:cs="Arial"/>
          <w:sz w:val="24"/>
          <w:szCs w:val="24"/>
        </w:rPr>
        <w:t xml:space="preserve"> the meaning given</w:t>
      </w:r>
      <w:r w:rsidR="00344EEE" w:rsidRPr="00A42DEC">
        <w:rPr>
          <w:rFonts w:ascii="Arial" w:hAnsi="Arial" w:cs="Arial"/>
          <w:sz w:val="24"/>
          <w:szCs w:val="24"/>
        </w:rPr>
        <w:t xml:space="preserve"> to the term ‘debt’ in </w:t>
      </w:r>
      <w:r w:rsidR="00344EEE" w:rsidRPr="00A42DEC">
        <w:rPr>
          <w:rFonts w:ascii="Arial" w:hAnsi="Arial" w:cs="Arial"/>
          <w:i/>
          <w:sz w:val="24"/>
          <w:szCs w:val="24"/>
        </w:rPr>
        <w:t>Desai</w:t>
      </w:r>
      <w:r w:rsidR="00344EEE" w:rsidRPr="00A42DEC">
        <w:rPr>
          <w:rFonts w:ascii="Arial" w:hAnsi="Arial" w:cs="Arial"/>
          <w:sz w:val="24"/>
          <w:szCs w:val="24"/>
        </w:rPr>
        <w:t xml:space="preserve"> was erroneous to the extent that it went beyond what was said in</w:t>
      </w:r>
      <w:r w:rsidR="00344EEE" w:rsidRPr="00A42DEC">
        <w:rPr>
          <w:rFonts w:ascii="Arial" w:hAnsi="Arial" w:cs="Arial"/>
          <w:i/>
          <w:iCs/>
          <w:color w:val="000000"/>
          <w:sz w:val="24"/>
          <w:szCs w:val="24"/>
        </w:rPr>
        <w:t xml:space="preserve"> Electricity Supply Commission</w:t>
      </w:r>
      <w:r w:rsidR="00344EEE" w:rsidRPr="00A42DEC">
        <w:rPr>
          <w:rFonts w:ascii="Arial" w:hAnsi="Arial" w:cs="Arial"/>
          <w:sz w:val="24"/>
          <w:szCs w:val="24"/>
        </w:rPr>
        <w:t>.  It held that, because section</w:t>
      </w:r>
      <w:r w:rsidR="00A023F4" w:rsidRPr="00A42DEC">
        <w:rPr>
          <w:rFonts w:ascii="Arial" w:hAnsi="Arial" w:cs="Arial"/>
          <w:sz w:val="24"/>
          <w:szCs w:val="24"/>
        </w:rPr>
        <w:t xml:space="preserve"> 10(1),</w:t>
      </w:r>
      <w:r w:rsidR="00344EEE" w:rsidRPr="00A42DEC">
        <w:rPr>
          <w:rFonts w:ascii="Arial" w:hAnsi="Arial" w:cs="Arial"/>
          <w:sz w:val="24"/>
          <w:szCs w:val="24"/>
        </w:rPr>
        <w:t xml:space="preserve"> as read with sections</w:t>
      </w:r>
      <w:r w:rsidR="00A023F4" w:rsidRPr="00A42DEC">
        <w:rPr>
          <w:rFonts w:ascii="Arial" w:hAnsi="Arial" w:cs="Arial"/>
          <w:sz w:val="24"/>
          <w:szCs w:val="24"/>
        </w:rPr>
        <w:t xml:space="preserve"> 11 and 12 of the Prescription Act</w:t>
      </w:r>
      <w:r w:rsidR="00344EEE" w:rsidRPr="00A42DEC">
        <w:rPr>
          <w:rFonts w:ascii="Arial" w:hAnsi="Arial" w:cs="Arial"/>
          <w:sz w:val="24"/>
          <w:szCs w:val="24"/>
        </w:rPr>
        <w:t>,</w:t>
      </w:r>
      <w:r w:rsidR="00A023F4" w:rsidRPr="00A42DEC">
        <w:rPr>
          <w:rFonts w:ascii="Arial" w:hAnsi="Arial" w:cs="Arial"/>
          <w:sz w:val="24"/>
          <w:szCs w:val="24"/>
        </w:rPr>
        <w:t xml:space="preserve"> limit</w:t>
      </w:r>
      <w:r w:rsidR="00344EEE" w:rsidRPr="00A42DEC">
        <w:rPr>
          <w:rFonts w:ascii="Arial" w:hAnsi="Arial" w:cs="Arial"/>
          <w:sz w:val="24"/>
          <w:szCs w:val="24"/>
        </w:rPr>
        <w:t>s</w:t>
      </w:r>
      <w:r w:rsidR="00A023F4" w:rsidRPr="00A42DEC">
        <w:rPr>
          <w:rFonts w:ascii="Arial" w:hAnsi="Arial" w:cs="Arial"/>
          <w:sz w:val="24"/>
          <w:szCs w:val="24"/>
        </w:rPr>
        <w:t xml:space="preserve"> the rights guaranteed by section 34</w:t>
      </w:r>
      <w:r w:rsidR="00DF33FC" w:rsidRPr="00F80F1E">
        <w:rPr>
          <w:rStyle w:val="FootnoteReference"/>
          <w:rFonts w:ascii="Arial" w:hAnsi="Arial" w:cs="Arial"/>
          <w:sz w:val="24"/>
          <w:szCs w:val="24"/>
        </w:rPr>
        <w:footnoteReference w:id="15"/>
      </w:r>
      <w:r w:rsidR="00A023F4" w:rsidRPr="00A42DEC">
        <w:rPr>
          <w:rFonts w:ascii="Arial" w:hAnsi="Arial" w:cs="Arial"/>
          <w:sz w:val="24"/>
          <w:szCs w:val="24"/>
        </w:rPr>
        <w:t xml:space="preserve"> of the Constitution, the provisions of section 39(2)</w:t>
      </w:r>
      <w:r w:rsidR="00DF33FC" w:rsidRPr="00F80F1E">
        <w:rPr>
          <w:rStyle w:val="FootnoteReference"/>
          <w:rFonts w:ascii="Arial" w:hAnsi="Arial" w:cs="Arial"/>
          <w:sz w:val="24"/>
          <w:szCs w:val="24"/>
        </w:rPr>
        <w:footnoteReference w:id="16"/>
      </w:r>
      <w:r w:rsidR="00A023F4" w:rsidRPr="00A42DEC">
        <w:rPr>
          <w:rFonts w:ascii="Arial" w:hAnsi="Arial" w:cs="Arial"/>
          <w:sz w:val="24"/>
          <w:szCs w:val="24"/>
        </w:rPr>
        <w:t xml:space="preserve"> of the Constitution </w:t>
      </w:r>
      <w:proofErr w:type="gramStart"/>
      <w:r w:rsidR="00A023F4" w:rsidRPr="00A42DEC">
        <w:rPr>
          <w:rFonts w:ascii="Arial" w:hAnsi="Arial" w:cs="Arial"/>
          <w:sz w:val="24"/>
          <w:szCs w:val="24"/>
        </w:rPr>
        <w:t>have to</w:t>
      </w:r>
      <w:proofErr w:type="gramEnd"/>
      <w:r w:rsidR="00A023F4" w:rsidRPr="00A42DEC">
        <w:rPr>
          <w:rFonts w:ascii="Arial" w:hAnsi="Arial" w:cs="Arial"/>
          <w:sz w:val="24"/>
          <w:szCs w:val="24"/>
        </w:rPr>
        <w:t xml:space="preserve"> be followed in construing those provisions.</w:t>
      </w:r>
      <w:r w:rsidR="00676131" w:rsidRPr="00A42DEC">
        <w:rPr>
          <w:rFonts w:ascii="Arial" w:hAnsi="Arial" w:cs="Arial"/>
          <w:sz w:val="24"/>
          <w:szCs w:val="24"/>
        </w:rPr>
        <w:t xml:space="preserve">  The court </w:t>
      </w:r>
      <w:r w:rsidR="00676131" w:rsidRPr="00A42DEC">
        <w:rPr>
          <w:rFonts w:ascii="Arial" w:hAnsi="Arial" w:cs="Arial"/>
          <w:sz w:val="24"/>
          <w:szCs w:val="24"/>
        </w:rPr>
        <w:lastRenderedPageBreak/>
        <w:t>found that an interpretation of ‘debt’ which must be preferred is the one that is least intrusive on the right of access to courts.</w:t>
      </w:r>
      <w:r w:rsidR="0038432D" w:rsidRPr="00A42DEC">
        <w:rPr>
          <w:rFonts w:ascii="Arial" w:hAnsi="Arial" w:cs="Arial"/>
          <w:sz w:val="24"/>
          <w:szCs w:val="24"/>
        </w:rPr>
        <w:t xml:space="preserve">  Jafta JA, writing the majority judgment, found that there was nothing </w:t>
      </w:r>
      <w:r w:rsidR="00740DCF" w:rsidRPr="00A42DEC">
        <w:rPr>
          <w:rFonts w:ascii="Arial" w:hAnsi="Arial" w:cs="Arial"/>
          <w:color w:val="000000"/>
          <w:sz w:val="24"/>
          <w:szCs w:val="24"/>
        </w:rPr>
        <w:t>in </w:t>
      </w:r>
      <w:r w:rsidR="00740DCF" w:rsidRPr="00A42DEC">
        <w:rPr>
          <w:rFonts w:ascii="Arial" w:hAnsi="Arial" w:cs="Arial"/>
          <w:i/>
          <w:iCs/>
          <w:color w:val="000000"/>
          <w:sz w:val="24"/>
          <w:szCs w:val="24"/>
        </w:rPr>
        <w:t>Electricity Supply Commission</w:t>
      </w:r>
      <w:r w:rsidR="0038432D" w:rsidRPr="00A42DEC">
        <w:rPr>
          <w:rFonts w:ascii="Arial" w:hAnsi="Arial" w:cs="Arial"/>
          <w:sz w:val="24"/>
          <w:szCs w:val="24"/>
        </w:rPr>
        <w:t xml:space="preserve"> that “</w:t>
      </w:r>
      <w:r w:rsidR="0038432D" w:rsidRPr="00A42DEC">
        <w:rPr>
          <w:rFonts w:ascii="Arial" w:hAnsi="Arial" w:cs="Arial"/>
          <w:i/>
          <w:sz w:val="24"/>
          <w:szCs w:val="24"/>
        </w:rPr>
        <w:t>remotely suggests that ‘debt’ includes every obligation to do something or refrain from doing something, apart from payment or delivery</w:t>
      </w:r>
      <w:r w:rsidR="0038432D" w:rsidRPr="00A42DEC">
        <w:rPr>
          <w:rFonts w:ascii="Arial" w:hAnsi="Arial" w:cs="Arial"/>
          <w:sz w:val="24"/>
          <w:szCs w:val="24"/>
        </w:rPr>
        <w:t>”</w:t>
      </w:r>
      <w:r w:rsidR="0054483F" w:rsidRPr="00A42DEC">
        <w:rPr>
          <w:rFonts w:ascii="Arial" w:hAnsi="Arial" w:cs="Arial"/>
          <w:sz w:val="24"/>
          <w:szCs w:val="24"/>
        </w:rPr>
        <w:t>.</w:t>
      </w:r>
      <w:r w:rsidR="0038432D" w:rsidRPr="00F80F1E">
        <w:rPr>
          <w:rStyle w:val="FootnoteReference"/>
          <w:rFonts w:ascii="Arial" w:hAnsi="Arial" w:cs="Arial"/>
          <w:sz w:val="24"/>
          <w:szCs w:val="24"/>
        </w:rPr>
        <w:footnoteReference w:id="17"/>
      </w:r>
      <w:r w:rsidR="00740DCF" w:rsidRPr="00A42DEC">
        <w:rPr>
          <w:rFonts w:ascii="Arial" w:hAnsi="Arial" w:cs="Arial"/>
          <w:sz w:val="24"/>
          <w:szCs w:val="24"/>
        </w:rPr>
        <w:t xml:space="preserve"> </w:t>
      </w:r>
      <w:r w:rsidR="00344EEE" w:rsidRPr="00A42DEC">
        <w:rPr>
          <w:rFonts w:ascii="Arial" w:hAnsi="Arial" w:cs="Arial"/>
          <w:sz w:val="24"/>
          <w:szCs w:val="24"/>
        </w:rPr>
        <w:t xml:space="preserve"> </w:t>
      </w:r>
      <w:proofErr w:type="spellStart"/>
      <w:r w:rsidR="00344EEE" w:rsidRPr="00A42DEC">
        <w:rPr>
          <w:rFonts w:ascii="Arial" w:hAnsi="Arial" w:cs="Arial"/>
          <w:i/>
          <w:sz w:val="24"/>
          <w:szCs w:val="24"/>
        </w:rPr>
        <w:t>Makate</w:t>
      </w:r>
      <w:proofErr w:type="spellEnd"/>
      <w:r w:rsidR="00344EEE" w:rsidRPr="00A42DEC">
        <w:rPr>
          <w:rFonts w:ascii="Arial" w:hAnsi="Arial" w:cs="Arial"/>
          <w:sz w:val="24"/>
          <w:szCs w:val="24"/>
        </w:rPr>
        <w:t xml:space="preserve"> was followed in </w:t>
      </w:r>
      <w:r w:rsidR="00344EEE" w:rsidRPr="00A42DEC">
        <w:rPr>
          <w:rFonts w:ascii="Arial" w:hAnsi="Arial" w:cs="Arial"/>
          <w:bCs/>
          <w:i/>
          <w:color w:val="000000"/>
          <w:sz w:val="24"/>
          <w:szCs w:val="24"/>
        </w:rPr>
        <w:t xml:space="preserve">Off-Beat Holiday Club and another v </w:t>
      </w:r>
      <w:proofErr w:type="spellStart"/>
      <w:r w:rsidR="00344EEE" w:rsidRPr="00A42DEC">
        <w:rPr>
          <w:rFonts w:ascii="Arial" w:hAnsi="Arial" w:cs="Arial"/>
          <w:bCs/>
          <w:i/>
          <w:color w:val="000000"/>
          <w:sz w:val="24"/>
          <w:szCs w:val="24"/>
        </w:rPr>
        <w:t>Sanbonani</w:t>
      </w:r>
      <w:proofErr w:type="spellEnd"/>
      <w:r w:rsidR="00344EEE" w:rsidRPr="00A42DEC">
        <w:rPr>
          <w:rFonts w:ascii="Arial" w:hAnsi="Arial" w:cs="Arial"/>
          <w:bCs/>
          <w:i/>
          <w:color w:val="000000"/>
          <w:sz w:val="24"/>
          <w:szCs w:val="24"/>
        </w:rPr>
        <w:t xml:space="preserve"> Holiday Spa </w:t>
      </w:r>
      <w:proofErr w:type="spellStart"/>
      <w:r w:rsidR="00344EEE" w:rsidRPr="00A42DEC">
        <w:rPr>
          <w:rFonts w:ascii="Arial" w:hAnsi="Arial" w:cs="Arial"/>
          <w:bCs/>
          <w:i/>
          <w:color w:val="000000"/>
          <w:sz w:val="24"/>
          <w:szCs w:val="24"/>
        </w:rPr>
        <w:t>Shareblock</w:t>
      </w:r>
      <w:proofErr w:type="spellEnd"/>
      <w:r w:rsidR="00344EEE" w:rsidRPr="00A42DEC">
        <w:rPr>
          <w:rFonts w:ascii="Arial" w:hAnsi="Arial" w:cs="Arial"/>
          <w:bCs/>
          <w:i/>
          <w:color w:val="000000"/>
          <w:sz w:val="24"/>
          <w:szCs w:val="24"/>
        </w:rPr>
        <w:t xml:space="preserve"> Ltd and others</w:t>
      </w:r>
      <w:r w:rsidR="00F80F1E" w:rsidRPr="00F80F1E">
        <w:rPr>
          <w:rStyle w:val="FootnoteReference"/>
          <w:rFonts w:ascii="Arial" w:hAnsi="Arial" w:cs="Arial"/>
          <w:bCs/>
          <w:color w:val="000000"/>
          <w:sz w:val="24"/>
          <w:szCs w:val="24"/>
        </w:rPr>
        <w:footnoteReference w:id="18"/>
      </w:r>
      <w:r w:rsidR="00F80F1E" w:rsidRPr="00A42DEC">
        <w:rPr>
          <w:rFonts w:ascii="Arial" w:hAnsi="Arial" w:cs="Arial"/>
          <w:bCs/>
          <w:color w:val="000000"/>
          <w:sz w:val="24"/>
          <w:szCs w:val="24"/>
        </w:rPr>
        <w:t xml:space="preserve"> wherein </w:t>
      </w:r>
      <w:proofErr w:type="spellStart"/>
      <w:r w:rsidR="00F80F1E" w:rsidRPr="00A42DEC">
        <w:rPr>
          <w:rFonts w:ascii="Arial" w:hAnsi="Arial" w:cs="Arial"/>
          <w:bCs/>
          <w:color w:val="000000"/>
          <w:sz w:val="24"/>
          <w:szCs w:val="24"/>
        </w:rPr>
        <w:t>Mhlantla</w:t>
      </w:r>
      <w:proofErr w:type="spellEnd"/>
      <w:r w:rsidR="00F80F1E" w:rsidRPr="00A42DEC">
        <w:rPr>
          <w:rFonts w:ascii="Arial" w:hAnsi="Arial" w:cs="Arial"/>
          <w:bCs/>
          <w:color w:val="000000"/>
          <w:sz w:val="24"/>
          <w:szCs w:val="24"/>
        </w:rPr>
        <w:t xml:space="preserve"> J, writing the majority judgment, said that she was</w:t>
      </w:r>
      <w:r w:rsidR="00F80F1E" w:rsidRPr="00A42DEC">
        <w:rPr>
          <w:rFonts w:ascii="Arial" w:hAnsi="Arial" w:cs="Arial"/>
          <w:color w:val="000000"/>
          <w:sz w:val="24"/>
          <w:szCs w:val="24"/>
        </w:rPr>
        <w:t xml:space="preserve"> satisfied that in interpreting the meaning of 'debt', </w:t>
      </w:r>
      <w:proofErr w:type="spellStart"/>
      <w:r w:rsidR="00F80F1E" w:rsidRPr="00A42DEC">
        <w:rPr>
          <w:rFonts w:ascii="Arial" w:hAnsi="Arial" w:cs="Arial"/>
          <w:i/>
          <w:iCs/>
          <w:color w:val="000000"/>
          <w:sz w:val="24"/>
          <w:szCs w:val="24"/>
        </w:rPr>
        <w:t>Makate</w:t>
      </w:r>
      <w:proofErr w:type="spellEnd"/>
      <w:r w:rsidR="00F80F1E" w:rsidRPr="00A42DEC">
        <w:rPr>
          <w:rFonts w:ascii="Arial" w:hAnsi="Arial" w:cs="Arial"/>
          <w:color w:val="000000"/>
          <w:sz w:val="24"/>
          <w:szCs w:val="24"/>
        </w:rPr>
        <w:t> functionally overturned the broad test adopted in </w:t>
      </w:r>
      <w:r w:rsidR="00F80F1E" w:rsidRPr="00A42DEC">
        <w:rPr>
          <w:rFonts w:ascii="Arial" w:hAnsi="Arial" w:cs="Arial"/>
          <w:i/>
          <w:iCs/>
          <w:color w:val="000000"/>
          <w:sz w:val="24"/>
          <w:szCs w:val="24"/>
        </w:rPr>
        <w:t>Desai</w:t>
      </w:r>
      <w:r w:rsidR="00F80F1E" w:rsidRPr="00A42DEC">
        <w:rPr>
          <w:rFonts w:ascii="Arial" w:hAnsi="Arial" w:cs="Arial"/>
          <w:color w:val="000000"/>
          <w:sz w:val="24"/>
          <w:szCs w:val="24"/>
        </w:rPr>
        <w:t xml:space="preserve"> to the extent that it went beyond the narrow test </w:t>
      </w:r>
      <w:r w:rsidR="00F80F1E" w:rsidRPr="00A42DEC">
        <w:rPr>
          <w:rFonts w:ascii="Arial" w:hAnsi="Arial" w:cs="Arial"/>
          <w:sz w:val="24"/>
          <w:szCs w:val="24"/>
        </w:rPr>
        <w:t>in</w:t>
      </w:r>
      <w:r w:rsidR="00F80F1E" w:rsidRPr="00A42DEC">
        <w:rPr>
          <w:rFonts w:ascii="Arial" w:hAnsi="Arial" w:cs="Arial"/>
          <w:i/>
          <w:iCs/>
          <w:color w:val="000000"/>
          <w:sz w:val="24"/>
          <w:szCs w:val="24"/>
        </w:rPr>
        <w:t xml:space="preserve"> Electricity Supply Commission</w:t>
      </w:r>
      <w:r w:rsidR="00F80F1E" w:rsidRPr="00A42DEC">
        <w:rPr>
          <w:rFonts w:ascii="Arial" w:hAnsi="Arial" w:cs="Arial"/>
          <w:sz w:val="24"/>
          <w:szCs w:val="24"/>
        </w:rPr>
        <w:t>.</w:t>
      </w:r>
      <w:r w:rsidR="00F80F1E" w:rsidRPr="00A42DEC">
        <w:rPr>
          <w:rFonts w:ascii="Arial" w:hAnsi="Arial" w:cs="Arial"/>
          <w:color w:val="000000"/>
          <w:sz w:val="24"/>
          <w:szCs w:val="24"/>
        </w:rPr>
        <w:t> </w:t>
      </w:r>
    </w:p>
    <w:p w14:paraId="666C2F8E" w14:textId="77777777" w:rsidR="006B508C" w:rsidRPr="00F80F1E" w:rsidRDefault="006B508C" w:rsidP="006B508C">
      <w:pPr>
        <w:pStyle w:val="ListParagraph"/>
        <w:rPr>
          <w:rFonts w:ascii="Arial" w:hAnsi="Arial" w:cs="Arial"/>
          <w:sz w:val="24"/>
          <w:szCs w:val="24"/>
        </w:rPr>
      </w:pPr>
    </w:p>
    <w:p w14:paraId="5F694296" w14:textId="7D502AD6" w:rsidR="006B508C" w:rsidRPr="00A42DEC" w:rsidRDefault="00A42DEC" w:rsidP="00A42DEC">
      <w:pPr>
        <w:spacing w:after="0" w:line="360" w:lineRule="auto"/>
        <w:ind w:left="567" w:hanging="567"/>
        <w:jc w:val="both"/>
        <w:rPr>
          <w:rFonts w:ascii="Arial" w:hAnsi="Arial" w:cs="Arial"/>
          <w:sz w:val="24"/>
          <w:szCs w:val="24"/>
        </w:rPr>
      </w:pPr>
      <w:r w:rsidRPr="00A023F4">
        <w:rPr>
          <w:rFonts w:ascii="Arial" w:hAnsi="Arial" w:cs="Arial"/>
          <w:sz w:val="24"/>
          <w:szCs w:val="24"/>
        </w:rPr>
        <w:t>24.</w:t>
      </w:r>
      <w:r w:rsidRPr="00A023F4">
        <w:rPr>
          <w:rFonts w:ascii="Arial" w:hAnsi="Arial" w:cs="Arial"/>
          <w:sz w:val="24"/>
          <w:szCs w:val="24"/>
        </w:rPr>
        <w:tab/>
      </w:r>
      <w:r w:rsidR="0038432D" w:rsidRPr="00A42DEC">
        <w:rPr>
          <w:rFonts w:ascii="Arial" w:hAnsi="Arial" w:cs="Arial"/>
          <w:sz w:val="24"/>
          <w:szCs w:val="24"/>
        </w:rPr>
        <w:t xml:space="preserve">In the present matter the applicant did not claim the payment of money, the delivery of goods or the rendering of a service.  </w:t>
      </w:r>
      <w:r w:rsidR="0054483F" w:rsidRPr="00A42DEC">
        <w:rPr>
          <w:rFonts w:ascii="Arial" w:hAnsi="Arial" w:cs="Arial"/>
          <w:sz w:val="24"/>
          <w:szCs w:val="24"/>
        </w:rPr>
        <w:t>The applicant</w:t>
      </w:r>
      <w:r w:rsidR="0038432D" w:rsidRPr="00A42DEC">
        <w:rPr>
          <w:rFonts w:ascii="Arial" w:hAnsi="Arial" w:cs="Arial"/>
          <w:sz w:val="24"/>
          <w:szCs w:val="24"/>
        </w:rPr>
        <w:t xml:space="preserve"> claimed </w:t>
      </w:r>
      <w:r w:rsidR="0054483F" w:rsidRPr="00A42DEC">
        <w:rPr>
          <w:rFonts w:ascii="Arial" w:hAnsi="Arial" w:cs="Arial"/>
          <w:sz w:val="24"/>
          <w:szCs w:val="24"/>
        </w:rPr>
        <w:t xml:space="preserve">an order declaring the outbuilding to have been erected in contravention of certain legislative provisions and that the first respondent </w:t>
      </w:r>
      <w:r w:rsidR="00740DCF" w:rsidRPr="00A42DEC">
        <w:rPr>
          <w:rFonts w:ascii="Arial" w:hAnsi="Arial" w:cs="Arial"/>
          <w:sz w:val="24"/>
          <w:szCs w:val="24"/>
        </w:rPr>
        <w:t xml:space="preserve">be directed to </w:t>
      </w:r>
      <w:r w:rsidR="0054483F" w:rsidRPr="00A42DEC">
        <w:rPr>
          <w:rFonts w:ascii="Arial" w:hAnsi="Arial" w:cs="Arial"/>
          <w:sz w:val="24"/>
          <w:szCs w:val="24"/>
        </w:rPr>
        <w:t xml:space="preserve">demolish the outbuilding, alternatively that the second take appropriate steps in terms of certain legislative provisions to demolish the outbuilding and to enforce compliance with those legislative provisions.  </w:t>
      </w:r>
      <w:r w:rsidR="00740DCF" w:rsidRPr="00A42DEC">
        <w:rPr>
          <w:rFonts w:ascii="Arial" w:hAnsi="Arial" w:cs="Arial"/>
          <w:sz w:val="24"/>
          <w:szCs w:val="24"/>
        </w:rPr>
        <w:t>In my view, an order directing the demolition of a structure cannot be equated with an order that a service be rendered.  S</w:t>
      </w:r>
      <w:r w:rsidR="0054483F" w:rsidRPr="00A42DEC">
        <w:rPr>
          <w:rFonts w:ascii="Arial" w:hAnsi="Arial" w:cs="Arial"/>
          <w:sz w:val="24"/>
          <w:szCs w:val="24"/>
        </w:rPr>
        <w:t xml:space="preserve">ection 10 of the Prescription Act </w:t>
      </w:r>
      <w:r w:rsidR="00740DCF" w:rsidRPr="00A42DEC">
        <w:rPr>
          <w:rFonts w:ascii="Arial" w:hAnsi="Arial" w:cs="Arial"/>
          <w:sz w:val="24"/>
          <w:szCs w:val="24"/>
        </w:rPr>
        <w:t xml:space="preserve">accordingly </w:t>
      </w:r>
      <w:r w:rsidR="0054483F" w:rsidRPr="00A42DEC">
        <w:rPr>
          <w:rFonts w:ascii="Arial" w:hAnsi="Arial" w:cs="Arial"/>
          <w:sz w:val="24"/>
          <w:szCs w:val="24"/>
        </w:rPr>
        <w:t>does not apply to the applicant’s claim</w:t>
      </w:r>
      <w:r w:rsidR="001D3FA8" w:rsidRPr="00A42DEC">
        <w:rPr>
          <w:rFonts w:ascii="Arial" w:hAnsi="Arial" w:cs="Arial"/>
          <w:sz w:val="24"/>
          <w:szCs w:val="24"/>
        </w:rPr>
        <w:t xml:space="preserve">.  The submission that the applicant’s right to pursue its application </w:t>
      </w:r>
      <w:r w:rsidR="00F11B09" w:rsidRPr="00A42DEC">
        <w:rPr>
          <w:rFonts w:ascii="Arial" w:hAnsi="Arial" w:cs="Arial"/>
          <w:sz w:val="24"/>
          <w:szCs w:val="24"/>
        </w:rPr>
        <w:t xml:space="preserve">has become prescribed can accordingly not be sustained. </w:t>
      </w:r>
      <w:r w:rsidR="002A4790" w:rsidRPr="00A42DEC">
        <w:rPr>
          <w:rFonts w:ascii="Arial" w:hAnsi="Arial" w:cs="Arial"/>
          <w:sz w:val="24"/>
          <w:szCs w:val="24"/>
        </w:rPr>
        <w:t xml:space="preserve"> </w:t>
      </w:r>
      <w:r w:rsidR="00F11B09" w:rsidRPr="00A42DEC">
        <w:rPr>
          <w:rFonts w:ascii="Arial" w:hAnsi="Arial" w:cs="Arial"/>
          <w:sz w:val="24"/>
          <w:szCs w:val="24"/>
        </w:rPr>
        <w:t>I</w:t>
      </w:r>
      <w:r w:rsidR="00740DCF" w:rsidRPr="00A42DEC">
        <w:rPr>
          <w:rFonts w:ascii="Arial" w:hAnsi="Arial" w:cs="Arial"/>
          <w:sz w:val="24"/>
          <w:szCs w:val="24"/>
        </w:rPr>
        <w:t xml:space="preserve">ts claim </w:t>
      </w:r>
      <w:r w:rsidR="00F11B09" w:rsidRPr="00A42DEC">
        <w:rPr>
          <w:rFonts w:ascii="Arial" w:hAnsi="Arial" w:cs="Arial"/>
          <w:sz w:val="24"/>
          <w:szCs w:val="24"/>
        </w:rPr>
        <w:t xml:space="preserve">has not become </w:t>
      </w:r>
      <w:r w:rsidR="00740DCF" w:rsidRPr="00A42DEC">
        <w:rPr>
          <w:rFonts w:ascii="Arial" w:hAnsi="Arial" w:cs="Arial"/>
          <w:sz w:val="24"/>
          <w:szCs w:val="24"/>
        </w:rPr>
        <w:t>prescribe</w:t>
      </w:r>
      <w:r w:rsidR="00F11B09" w:rsidRPr="00A42DEC">
        <w:rPr>
          <w:rFonts w:ascii="Arial" w:hAnsi="Arial" w:cs="Arial"/>
          <w:sz w:val="24"/>
          <w:szCs w:val="24"/>
        </w:rPr>
        <w:t>d</w:t>
      </w:r>
      <w:r w:rsidR="00740DCF" w:rsidRPr="00A42DEC">
        <w:rPr>
          <w:rFonts w:ascii="Arial" w:hAnsi="Arial" w:cs="Arial"/>
          <w:sz w:val="24"/>
          <w:szCs w:val="24"/>
        </w:rPr>
        <w:t>.</w:t>
      </w:r>
    </w:p>
    <w:p w14:paraId="642C52D3" w14:textId="77777777" w:rsidR="006B508C" w:rsidRPr="00A023F4" w:rsidRDefault="006B508C" w:rsidP="006B508C">
      <w:pPr>
        <w:pStyle w:val="ListParagraph"/>
        <w:rPr>
          <w:rFonts w:ascii="Arial" w:hAnsi="Arial" w:cs="Arial"/>
          <w:sz w:val="24"/>
          <w:szCs w:val="24"/>
        </w:rPr>
      </w:pPr>
    </w:p>
    <w:p w14:paraId="13725CCB" w14:textId="38DBF4D6" w:rsidR="00D9310F"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D7590" w:rsidRPr="00A42DEC">
        <w:rPr>
          <w:rFonts w:ascii="Arial" w:hAnsi="Arial" w:cs="Arial"/>
          <w:sz w:val="24"/>
          <w:szCs w:val="24"/>
        </w:rPr>
        <w:t>It is undisputed that the first respondent’s husband purchased their property on 31 July 1995.  One of the conditions contained in the Deed of Transfer was that no building or structure or any portion thereof, except boundary walls and fences, shall, except with the consent of the Administrator, be erected nearer than 1500mm of the lateral boundary common to any adjoining erf, provided that, with the consent of the municipality, an outbuilding used solely for the housing of motor vehicles may be erected within such side space.</w:t>
      </w:r>
      <w:r w:rsidR="00312F98" w:rsidRPr="00A42DEC">
        <w:rPr>
          <w:rFonts w:ascii="Arial" w:hAnsi="Arial" w:cs="Arial"/>
          <w:sz w:val="24"/>
          <w:szCs w:val="24"/>
        </w:rPr>
        <w:t xml:space="preserve">    </w:t>
      </w:r>
    </w:p>
    <w:p w14:paraId="255EA00E" w14:textId="77777777" w:rsidR="00D9310F" w:rsidRPr="00D9310F" w:rsidRDefault="00D9310F" w:rsidP="00D9310F">
      <w:pPr>
        <w:pStyle w:val="ListParagraph"/>
        <w:rPr>
          <w:rFonts w:ascii="Arial" w:hAnsi="Arial" w:cs="Arial"/>
          <w:sz w:val="24"/>
          <w:szCs w:val="24"/>
        </w:rPr>
      </w:pPr>
    </w:p>
    <w:p w14:paraId="3A2EF76D" w14:textId="26802427" w:rsidR="00E310B1"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312F98" w:rsidRPr="00A42DEC">
        <w:rPr>
          <w:rFonts w:ascii="Arial" w:hAnsi="Arial" w:cs="Arial"/>
          <w:sz w:val="24"/>
          <w:szCs w:val="24"/>
        </w:rPr>
        <w:t xml:space="preserve">The </w:t>
      </w:r>
      <w:r w:rsidR="007F06C0" w:rsidRPr="00A42DEC">
        <w:rPr>
          <w:rFonts w:ascii="Arial" w:hAnsi="Arial" w:cs="Arial"/>
          <w:sz w:val="24"/>
          <w:szCs w:val="24"/>
        </w:rPr>
        <w:t>first</w:t>
      </w:r>
      <w:r w:rsidR="00312F98" w:rsidRPr="00A42DEC">
        <w:rPr>
          <w:rFonts w:ascii="Arial" w:hAnsi="Arial" w:cs="Arial"/>
          <w:sz w:val="24"/>
          <w:szCs w:val="24"/>
        </w:rPr>
        <w:t xml:space="preserve"> respondent alleged that her husband sought and obtained the </w:t>
      </w:r>
      <w:r w:rsidR="007F06C0" w:rsidRPr="00A42DEC">
        <w:rPr>
          <w:rFonts w:ascii="Arial" w:hAnsi="Arial" w:cs="Arial"/>
          <w:sz w:val="24"/>
          <w:szCs w:val="24"/>
        </w:rPr>
        <w:t xml:space="preserve">written </w:t>
      </w:r>
      <w:r w:rsidR="00312F98" w:rsidRPr="00A42DEC">
        <w:rPr>
          <w:rFonts w:ascii="Arial" w:hAnsi="Arial" w:cs="Arial"/>
          <w:sz w:val="24"/>
          <w:szCs w:val="24"/>
        </w:rPr>
        <w:t>consent of Malcolm Baines, the previous owner of the applicant’s property</w:t>
      </w:r>
      <w:r w:rsidR="007F06C0" w:rsidRPr="00A42DEC">
        <w:rPr>
          <w:rFonts w:ascii="Arial" w:hAnsi="Arial" w:cs="Arial"/>
          <w:sz w:val="24"/>
          <w:szCs w:val="24"/>
        </w:rPr>
        <w:t xml:space="preserve">, to erect the </w:t>
      </w:r>
      <w:r w:rsidR="00E310B1" w:rsidRPr="00A42DEC">
        <w:rPr>
          <w:rFonts w:ascii="Arial" w:hAnsi="Arial" w:cs="Arial"/>
          <w:sz w:val="24"/>
          <w:szCs w:val="24"/>
        </w:rPr>
        <w:t>outbuilding</w:t>
      </w:r>
      <w:r w:rsidR="007F06C0" w:rsidRPr="00A42DEC">
        <w:rPr>
          <w:rFonts w:ascii="Arial" w:hAnsi="Arial" w:cs="Arial"/>
          <w:sz w:val="24"/>
          <w:szCs w:val="24"/>
        </w:rPr>
        <w:t xml:space="preserve"> nearer than 1500mm from the boundary between the two properties</w:t>
      </w:r>
      <w:r w:rsidR="00312F98" w:rsidRPr="00A42DEC">
        <w:rPr>
          <w:rFonts w:ascii="Arial" w:hAnsi="Arial" w:cs="Arial"/>
          <w:sz w:val="24"/>
          <w:szCs w:val="24"/>
        </w:rPr>
        <w:t>.</w:t>
      </w:r>
      <w:r w:rsidR="007F06C0" w:rsidRPr="00A42DEC">
        <w:rPr>
          <w:rFonts w:ascii="Arial" w:hAnsi="Arial" w:cs="Arial"/>
          <w:sz w:val="24"/>
          <w:szCs w:val="24"/>
        </w:rPr>
        <w:t xml:space="preserve">  </w:t>
      </w:r>
      <w:r w:rsidR="008461D3" w:rsidRPr="00A42DEC">
        <w:rPr>
          <w:rFonts w:ascii="Arial" w:hAnsi="Arial" w:cs="Arial"/>
          <w:sz w:val="24"/>
          <w:szCs w:val="24"/>
        </w:rPr>
        <w:t xml:space="preserve">She attached a copy of application, with the building plans of the proposed outbuilding, to her affidavit.  </w:t>
      </w:r>
      <w:r w:rsidR="007F06C0" w:rsidRPr="00A42DEC">
        <w:rPr>
          <w:rFonts w:ascii="Arial" w:hAnsi="Arial" w:cs="Arial"/>
          <w:sz w:val="24"/>
          <w:szCs w:val="24"/>
        </w:rPr>
        <w:t xml:space="preserve">The first respondent alleged that the written consent was given to the municipality </w:t>
      </w:r>
      <w:proofErr w:type="gramStart"/>
      <w:r w:rsidR="007F06C0" w:rsidRPr="00A42DEC">
        <w:rPr>
          <w:rFonts w:ascii="Arial" w:hAnsi="Arial" w:cs="Arial"/>
          <w:sz w:val="24"/>
          <w:szCs w:val="24"/>
        </w:rPr>
        <w:t>but,</w:t>
      </w:r>
      <w:proofErr w:type="gramEnd"/>
      <w:r w:rsidR="007F06C0" w:rsidRPr="00A42DEC">
        <w:rPr>
          <w:rFonts w:ascii="Arial" w:hAnsi="Arial" w:cs="Arial"/>
          <w:sz w:val="24"/>
          <w:szCs w:val="24"/>
        </w:rPr>
        <w:t xml:space="preserve"> given the effluxion of time, it is not in the municipality’s files.  She also alleged that Mr Baines orally informed her that her husband </w:t>
      </w:r>
      <w:r w:rsidR="00492777" w:rsidRPr="00A42DEC">
        <w:rPr>
          <w:rFonts w:ascii="Arial" w:hAnsi="Arial" w:cs="Arial"/>
          <w:sz w:val="24"/>
          <w:szCs w:val="24"/>
        </w:rPr>
        <w:t xml:space="preserve">had given consent and her </w:t>
      </w:r>
      <w:r w:rsidR="007F06C0" w:rsidRPr="00A42DEC">
        <w:rPr>
          <w:rFonts w:ascii="Arial" w:hAnsi="Arial" w:cs="Arial"/>
          <w:sz w:val="24"/>
          <w:szCs w:val="24"/>
        </w:rPr>
        <w:t xml:space="preserve">husband </w:t>
      </w:r>
      <w:r w:rsidR="00492777" w:rsidRPr="00A42DEC">
        <w:rPr>
          <w:rFonts w:ascii="Arial" w:hAnsi="Arial" w:cs="Arial"/>
          <w:sz w:val="24"/>
          <w:szCs w:val="24"/>
        </w:rPr>
        <w:t>also informed her that Mr Baines had given his consent</w:t>
      </w:r>
      <w:r w:rsidR="007F06C0" w:rsidRPr="00A42DEC">
        <w:rPr>
          <w:rFonts w:ascii="Arial" w:hAnsi="Arial" w:cs="Arial"/>
          <w:sz w:val="24"/>
          <w:szCs w:val="24"/>
        </w:rPr>
        <w:t xml:space="preserve">.  </w:t>
      </w:r>
      <w:r w:rsidR="00492777" w:rsidRPr="00A42DEC">
        <w:rPr>
          <w:rFonts w:ascii="Arial" w:hAnsi="Arial" w:cs="Arial"/>
          <w:sz w:val="24"/>
          <w:szCs w:val="24"/>
        </w:rPr>
        <w:t>The municipality approved the building plans on 19 February 1997.</w:t>
      </w:r>
      <w:r w:rsidR="00D9310F" w:rsidRPr="00A42DEC">
        <w:rPr>
          <w:rFonts w:ascii="Arial" w:hAnsi="Arial" w:cs="Arial"/>
          <w:sz w:val="24"/>
          <w:szCs w:val="24"/>
        </w:rPr>
        <w:t xml:space="preserve">  The first respondent d</w:t>
      </w:r>
      <w:r w:rsidR="00E310B1" w:rsidRPr="00A42DEC">
        <w:rPr>
          <w:rFonts w:ascii="Arial" w:hAnsi="Arial" w:cs="Arial"/>
          <w:sz w:val="24"/>
          <w:szCs w:val="24"/>
        </w:rPr>
        <w:t>id</w:t>
      </w:r>
      <w:r w:rsidR="00D9310F" w:rsidRPr="00A42DEC">
        <w:rPr>
          <w:rFonts w:ascii="Arial" w:hAnsi="Arial" w:cs="Arial"/>
          <w:sz w:val="24"/>
          <w:szCs w:val="24"/>
        </w:rPr>
        <w:t xml:space="preserve"> not dispute that the outbuilding</w:t>
      </w:r>
      <w:r w:rsidR="003338EA" w:rsidRPr="00A42DEC">
        <w:rPr>
          <w:rFonts w:ascii="Arial" w:hAnsi="Arial" w:cs="Arial"/>
          <w:sz w:val="24"/>
          <w:szCs w:val="24"/>
        </w:rPr>
        <w:t xml:space="preserve"> is about 29</w:t>
      </w:r>
      <w:r w:rsidR="00D9310F" w:rsidRPr="00A42DEC">
        <w:rPr>
          <w:rFonts w:ascii="Arial" w:hAnsi="Arial" w:cs="Arial"/>
          <w:sz w:val="24"/>
          <w:szCs w:val="24"/>
        </w:rPr>
        <w:t xml:space="preserve">0mm at the closest point and </w:t>
      </w:r>
      <w:r w:rsidR="003338EA" w:rsidRPr="00A42DEC">
        <w:rPr>
          <w:rFonts w:ascii="Arial" w:hAnsi="Arial" w:cs="Arial"/>
          <w:sz w:val="24"/>
          <w:szCs w:val="24"/>
        </w:rPr>
        <w:t>830</w:t>
      </w:r>
      <w:r w:rsidR="00D9310F" w:rsidRPr="00A42DEC">
        <w:rPr>
          <w:rFonts w:ascii="Arial" w:hAnsi="Arial" w:cs="Arial"/>
          <w:sz w:val="24"/>
          <w:szCs w:val="24"/>
        </w:rPr>
        <w:t>mm at the furthest point from the boundary between the two properties.  The first respondent’s husband passed away on 28 August 2004 and on 11 January 2008 the property was transferred into her name.</w:t>
      </w:r>
    </w:p>
    <w:p w14:paraId="36D6EF3C" w14:textId="77777777" w:rsidR="00E310B1" w:rsidRPr="00E310B1" w:rsidRDefault="00E310B1" w:rsidP="00E310B1">
      <w:pPr>
        <w:pStyle w:val="ListParagraph"/>
        <w:rPr>
          <w:rFonts w:ascii="Arial" w:hAnsi="Arial" w:cs="Arial"/>
          <w:sz w:val="24"/>
          <w:szCs w:val="24"/>
        </w:rPr>
      </w:pPr>
    </w:p>
    <w:p w14:paraId="6EA49414" w14:textId="7511A7CC" w:rsidR="000D7590" w:rsidRPr="00A42DEC" w:rsidRDefault="00A42DEC" w:rsidP="00A42DEC">
      <w:pPr>
        <w:spacing w:after="0" w:line="360" w:lineRule="auto"/>
        <w:ind w:left="567" w:hanging="567"/>
        <w:jc w:val="both"/>
        <w:rPr>
          <w:rFonts w:ascii="Arial" w:hAnsi="Arial" w:cs="Arial"/>
          <w:sz w:val="24"/>
          <w:szCs w:val="24"/>
        </w:rPr>
      </w:pPr>
      <w:r w:rsidRPr="00E310B1">
        <w:rPr>
          <w:rFonts w:ascii="Arial" w:hAnsi="Arial" w:cs="Arial"/>
          <w:sz w:val="24"/>
          <w:szCs w:val="24"/>
        </w:rPr>
        <w:t>27.</w:t>
      </w:r>
      <w:r w:rsidRPr="00E310B1">
        <w:rPr>
          <w:rFonts w:ascii="Arial" w:hAnsi="Arial" w:cs="Arial"/>
          <w:sz w:val="24"/>
          <w:szCs w:val="24"/>
        </w:rPr>
        <w:tab/>
      </w:r>
      <w:r w:rsidR="00D9310F" w:rsidRPr="00A42DEC">
        <w:rPr>
          <w:rFonts w:ascii="Arial" w:hAnsi="Arial" w:cs="Arial"/>
          <w:sz w:val="24"/>
          <w:szCs w:val="24"/>
        </w:rPr>
        <w:t>The first respondent confirmed the approval by the municipality of the amendment of the building plans on 2 April 2008</w:t>
      </w:r>
      <w:r w:rsidR="007B09D8" w:rsidRPr="00A42DEC">
        <w:rPr>
          <w:rFonts w:ascii="Arial" w:hAnsi="Arial" w:cs="Arial"/>
          <w:sz w:val="24"/>
          <w:szCs w:val="24"/>
        </w:rPr>
        <w:t xml:space="preserve"> and 13 May 2015.  In 2008 the municipality approved the conversion of the garage into a pottery studio and a bathroom and the carport into an art studio.  In 2015 the municipality</w:t>
      </w:r>
      <w:r w:rsidR="00BE32E5" w:rsidRPr="00A42DEC">
        <w:rPr>
          <w:rFonts w:ascii="Arial" w:hAnsi="Arial" w:cs="Arial"/>
          <w:sz w:val="24"/>
          <w:szCs w:val="24"/>
        </w:rPr>
        <w:t xml:space="preserve"> approved the addition of an office and two </w:t>
      </w:r>
      <w:proofErr w:type="gramStart"/>
      <w:r w:rsidR="00BE32E5" w:rsidRPr="00A42DEC">
        <w:rPr>
          <w:rFonts w:ascii="Arial" w:hAnsi="Arial" w:cs="Arial"/>
          <w:sz w:val="24"/>
          <w:szCs w:val="24"/>
        </w:rPr>
        <w:t>store rooms</w:t>
      </w:r>
      <w:proofErr w:type="gramEnd"/>
      <w:r w:rsidR="00BE32E5" w:rsidRPr="00A42DEC">
        <w:rPr>
          <w:rFonts w:ascii="Arial" w:hAnsi="Arial" w:cs="Arial"/>
          <w:sz w:val="24"/>
          <w:szCs w:val="24"/>
        </w:rPr>
        <w:t xml:space="preserve"> to the existing outbuilding.  The 2015 addition is irrelevant for present purposes because it was erected entirely on the first respondent’s property.  It is the side wall of the pottery studio that </w:t>
      </w:r>
      <w:r w:rsidR="00D61C41" w:rsidRPr="00A42DEC">
        <w:rPr>
          <w:rFonts w:ascii="Arial" w:hAnsi="Arial" w:cs="Arial"/>
          <w:sz w:val="24"/>
          <w:szCs w:val="24"/>
        </w:rPr>
        <w:t>encroaches the building line on the first respondent property’s closest to the boundary between the two properties</w:t>
      </w:r>
      <w:r w:rsidR="00BE32E5" w:rsidRPr="00A42DEC">
        <w:rPr>
          <w:rFonts w:ascii="Arial" w:hAnsi="Arial" w:cs="Arial"/>
          <w:sz w:val="24"/>
          <w:szCs w:val="24"/>
        </w:rPr>
        <w:t>.</w:t>
      </w:r>
      <w:r w:rsidR="00D61C41" w:rsidRPr="00A42DEC">
        <w:rPr>
          <w:rFonts w:ascii="Arial" w:hAnsi="Arial" w:cs="Arial"/>
          <w:sz w:val="24"/>
          <w:szCs w:val="24"/>
        </w:rPr>
        <w:t xml:space="preserve">  Although much has been made by the first respondent </w:t>
      </w:r>
      <w:r w:rsidR="00F844A1" w:rsidRPr="00A42DEC">
        <w:rPr>
          <w:rFonts w:ascii="Arial" w:hAnsi="Arial" w:cs="Arial"/>
          <w:sz w:val="24"/>
          <w:szCs w:val="24"/>
        </w:rPr>
        <w:t xml:space="preserve">in her answering affidavit </w:t>
      </w:r>
      <w:r w:rsidR="00D61C41" w:rsidRPr="00A42DEC">
        <w:rPr>
          <w:rFonts w:ascii="Arial" w:hAnsi="Arial" w:cs="Arial"/>
          <w:sz w:val="24"/>
          <w:szCs w:val="24"/>
        </w:rPr>
        <w:t>about the</w:t>
      </w:r>
      <w:r w:rsidR="00F844A1" w:rsidRPr="00A42DEC">
        <w:rPr>
          <w:rFonts w:ascii="Arial" w:hAnsi="Arial" w:cs="Arial"/>
          <w:sz w:val="24"/>
          <w:szCs w:val="24"/>
        </w:rPr>
        <w:t xml:space="preserve"> reasons for the applicant not yet having commenced the construction of its residential dwelling on its property, it is irrelevant</w:t>
      </w:r>
      <w:r w:rsidR="00D61C41" w:rsidRPr="00A42DEC">
        <w:rPr>
          <w:rFonts w:ascii="Arial" w:hAnsi="Arial" w:cs="Arial"/>
          <w:sz w:val="24"/>
          <w:szCs w:val="24"/>
        </w:rPr>
        <w:t xml:space="preserve"> </w:t>
      </w:r>
      <w:r w:rsidR="00F844A1" w:rsidRPr="00A42DEC">
        <w:rPr>
          <w:rFonts w:ascii="Arial" w:hAnsi="Arial" w:cs="Arial"/>
          <w:sz w:val="24"/>
          <w:szCs w:val="24"/>
        </w:rPr>
        <w:t xml:space="preserve">for the determination of the real issue, namely whether the first respondent’s outbuilding encroached the building line with or without Mr Baines’ written consent and with the municipality’s approval. </w:t>
      </w:r>
    </w:p>
    <w:p w14:paraId="3AD1C7D0" w14:textId="77777777" w:rsidR="006B508C" w:rsidRPr="006B508C" w:rsidRDefault="006B508C" w:rsidP="006B508C">
      <w:pPr>
        <w:pStyle w:val="ListParagraph"/>
        <w:rPr>
          <w:rFonts w:ascii="Arial" w:hAnsi="Arial" w:cs="Arial"/>
          <w:sz w:val="24"/>
          <w:szCs w:val="24"/>
        </w:rPr>
      </w:pPr>
    </w:p>
    <w:p w14:paraId="1CEB5CD8" w14:textId="2BC72246" w:rsidR="006B508C"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162D5" w:rsidRPr="00A42DEC">
        <w:rPr>
          <w:rFonts w:ascii="Arial" w:hAnsi="Arial" w:cs="Arial"/>
          <w:sz w:val="24"/>
          <w:szCs w:val="24"/>
        </w:rPr>
        <w:t>What has to be determined is whether or not Mr Baines con</w:t>
      </w:r>
      <w:r w:rsidR="00E310B1" w:rsidRPr="00A42DEC">
        <w:rPr>
          <w:rFonts w:ascii="Arial" w:hAnsi="Arial" w:cs="Arial"/>
          <w:sz w:val="24"/>
          <w:szCs w:val="24"/>
        </w:rPr>
        <w:t>sented to the first respondent</w:t>
      </w:r>
      <w:r w:rsidR="003162D5" w:rsidRPr="00A42DEC">
        <w:rPr>
          <w:rFonts w:ascii="Arial" w:hAnsi="Arial" w:cs="Arial"/>
          <w:sz w:val="24"/>
          <w:szCs w:val="24"/>
        </w:rPr>
        <w:t xml:space="preserve"> </w:t>
      </w:r>
      <w:r w:rsidR="009D0B3D" w:rsidRPr="00A42DEC">
        <w:rPr>
          <w:rFonts w:ascii="Arial" w:hAnsi="Arial" w:cs="Arial"/>
          <w:sz w:val="24"/>
          <w:szCs w:val="24"/>
        </w:rPr>
        <w:t>erecting the outbuilding over the building line</w:t>
      </w:r>
      <w:r w:rsidR="00E310B1" w:rsidRPr="00A42DEC">
        <w:rPr>
          <w:rFonts w:ascii="Arial" w:hAnsi="Arial" w:cs="Arial"/>
          <w:sz w:val="24"/>
          <w:szCs w:val="24"/>
        </w:rPr>
        <w:t xml:space="preserve"> and that the municipality approved the building plans on that basis</w:t>
      </w:r>
      <w:r w:rsidR="009D0B3D" w:rsidRPr="00A42DEC">
        <w:rPr>
          <w:rFonts w:ascii="Arial" w:hAnsi="Arial" w:cs="Arial"/>
          <w:sz w:val="24"/>
          <w:szCs w:val="24"/>
        </w:rPr>
        <w:t xml:space="preserve">.  If it is determined that such consent was granted, the application must be dismissed because the </w:t>
      </w:r>
      <w:r w:rsidR="009D0B3D" w:rsidRPr="00A42DEC">
        <w:rPr>
          <w:rFonts w:ascii="Arial" w:hAnsi="Arial" w:cs="Arial"/>
          <w:sz w:val="24"/>
          <w:szCs w:val="24"/>
        </w:rPr>
        <w:lastRenderedPageBreak/>
        <w:t>erection of the outbuilding would then have been approved by the municipality with the consent of Mr Baines.</w:t>
      </w:r>
      <w:r w:rsidR="003162D5" w:rsidRPr="00A42DEC">
        <w:rPr>
          <w:rFonts w:ascii="Arial" w:hAnsi="Arial" w:cs="Arial"/>
          <w:sz w:val="24"/>
          <w:szCs w:val="24"/>
        </w:rPr>
        <w:t xml:space="preserve"> </w:t>
      </w:r>
    </w:p>
    <w:p w14:paraId="0C557BA0" w14:textId="77777777" w:rsidR="006B508C" w:rsidRPr="006B508C" w:rsidRDefault="006B508C" w:rsidP="006B508C">
      <w:pPr>
        <w:pStyle w:val="ListParagraph"/>
        <w:rPr>
          <w:rFonts w:ascii="Arial" w:hAnsi="Arial" w:cs="Arial"/>
          <w:sz w:val="24"/>
          <w:szCs w:val="24"/>
        </w:rPr>
      </w:pPr>
    </w:p>
    <w:p w14:paraId="46746298" w14:textId="561275EA" w:rsidR="00CB65D4"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D0B3D" w:rsidRPr="00A42DEC">
        <w:rPr>
          <w:rFonts w:ascii="Arial" w:hAnsi="Arial" w:cs="Arial"/>
          <w:sz w:val="24"/>
          <w:szCs w:val="24"/>
        </w:rPr>
        <w:t xml:space="preserve">For her contention that such consent was granted, the first respondent relied on two sources.  The first is the application that her late husband made to the municipality on 17 February 1997, a copy which was attached to her answering affidavit.  The difficulty I have with that application form is that it does not support the allegation that her husband made an application that the outbuilding be erected over the building line.  </w:t>
      </w:r>
      <w:r w:rsidR="00E310B1" w:rsidRPr="00A42DEC">
        <w:rPr>
          <w:rFonts w:ascii="Arial" w:hAnsi="Arial" w:cs="Arial"/>
          <w:sz w:val="24"/>
          <w:szCs w:val="24"/>
        </w:rPr>
        <w:t xml:space="preserve">Neither the application form nor the building plans contained any indication that the first respondent’s husband sought or the municipality approved the erection of the outbuilding over the building line.  </w:t>
      </w:r>
      <w:r w:rsidR="009D0B3D" w:rsidRPr="00A42DEC">
        <w:rPr>
          <w:rFonts w:ascii="Arial" w:hAnsi="Arial" w:cs="Arial"/>
          <w:sz w:val="24"/>
          <w:szCs w:val="24"/>
        </w:rPr>
        <w:t>Both the applicant and the first respondent obtained documents, some of which were attached to their respective affidavits</w:t>
      </w:r>
      <w:r w:rsidR="00265241" w:rsidRPr="00A42DEC">
        <w:rPr>
          <w:rFonts w:ascii="Arial" w:hAnsi="Arial" w:cs="Arial"/>
          <w:sz w:val="24"/>
          <w:szCs w:val="24"/>
        </w:rPr>
        <w:t>, from the municipality</w:t>
      </w:r>
      <w:r w:rsidR="009D0B3D" w:rsidRPr="00A42DEC">
        <w:rPr>
          <w:rFonts w:ascii="Arial" w:hAnsi="Arial" w:cs="Arial"/>
          <w:sz w:val="24"/>
          <w:szCs w:val="24"/>
        </w:rPr>
        <w:t>.</w:t>
      </w:r>
      <w:r w:rsidR="00265241" w:rsidRPr="00A42DEC">
        <w:rPr>
          <w:rFonts w:ascii="Arial" w:hAnsi="Arial" w:cs="Arial"/>
          <w:sz w:val="24"/>
          <w:szCs w:val="24"/>
        </w:rPr>
        <w:t xml:space="preserve">  The only document which, according to the first respondent, could </w:t>
      </w:r>
      <w:r w:rsidR="00E310B1" w:rsidRPr="00A42DEC">
        <w:rPr>
          <w:rFonts w:ascii="Arial" w:hAnsi="Arial" w:cs="Arial"/>
          <w:sz w:val="24"/>
          <w:szCs w:val="24"/>
        </w:rPr>
        <w:t xml:space="preserve">surprisingly </w:t>
      </w:r>
      <w:r w:rsidR="00265241" w:rsidRPr="00A42DEC">
        <w:rPr>
          <w:rFonts w:ascii="Arial" w:hAnsi="Arial" w:cs="Arial"/>
          <w:sz w:val="24"/>
          <w:szCs w:val="24"/>
        </w:rPr>
        <w:t>not be found in the municipality’s files, was the written consent allegedly given by Mr Baines.  The second source upon which the first respondent relied was her daughter, who simply alleged in her confirmatory affidavit that she had read the first respondent’s answering affidavit and confirmed the correctness of the allegations contained therein in so far as they related to her.</w:t>
      </w:r>
      <w:r w:rsidR="00C6778B" w:rsidRPr="00A42DEC">
        <w:rPr>
          <w:rFonts w:ascii="Arial" w:hAnsi="Arial" w:cs="Arial"/>
          <w:sz w:val="24"/>
          <w:szCs w:val="24"/>
        </w:rPr>
        <w:t xml:space="preserve">  Given the fact that the applicant’s deponent stated in his founding affidavit</w:t>
      </w:r>
      <w:r w:rsidR="009D0B3D" w:rsidRPr="00A42DEC">
        <w:rPr>
          <w:rFonts w:ascii="Arial" w:hAnsi="Arial" w:cs="Arial"/>
          <w:sz w:val="24"/>
          <w:szCs w:val="24"/>
        </w:rPr>
        <w:t xml:space="preserve"> </w:t>
      </w:r>
      <w:r w:rsidR="00C6778B" w:rsidRPr="00A42DEC">
        <w:rPr>
          <w:rFonts w:ascii="Arial" w:hAnsi="Arial" w:cs="Arial"/>
          <w:sz w:val="24"/>
          <w:szCs w:val="24"/>
        </w:rPr>
        <w:t>that the first respondent did not obtain approval from the municipality to erect the outbuilding over the building line, one would have expected the first respondent</w:t>
      </w:r>
      <w:r w:rsidR="00DD714A" w:rsidRPr="00A42DEC">
        <w:rPr>
          <w:rFonts w:ascii="Arial" w:hAnsi="Arial" w:cs="Arial"/>
          <w:sz w:val="24"/>
          <w:szCs w:val="24"/>
        </w:rPr>
        <w:t xml:space="preserve"> and her</w:t>
      </w:r>
      <w:r w:rsidR="00C6778B" w:rsidRPr="00A42DEC">
        <w:rPr>
          <w:rFonts w:ascii="Arial" w:hAnsi="Arial" w:cs="Arial"/>
          <w:sz w:val="24"/>
          <w:szCs w:val="24"/>
        </w:rPr>
        <w:t xml:space="preserve"> daughter to </w:t>
      </w:r>
      <w:r w:rsidR="00DD714A" w:rsidRPr="00A42DEC">
        <w:rPr>
          <w:rFonts w:ascii="Arial" w:hAnsi="Arial" w:cs="Arial"/>
          <w:sz w:val="24"/>
          <w:szCs w:val="24"/>
        </w:rPr>
        <w:t xml:space="preserve">have </w:t>
      </w:r>
      <w:r w:rsidR="00C6778B" w:rsidRPr="00A42DEC">
        <w:rPr>
          <w:rFonts w:ascii="Arial" w:hAnsi="Arial" w:cs="Arial"/>
          <w:sz w:val="24"/>
          <w:szCs w:val="24"/>
        </w:rPr>
        <w:t>state</w:t>
      </w:r>
      <w:r w:rsidR="00DD714A" w:rsidRPr="00A42DEC">
        <w:rPr>
          <w:rFonts w:ascii="Arial" w:hAnsi="Arial" w:cs="Arial"/>
          <w:sz w:val="24"/>
          <w:szCs w:val="24"/>
        </w:rPr>
        <w:t>d</w:t>
      </w:r>
      <w:r w:rsidR="00C6778B" w:rsidRPr="00A42DEC">
        <w:rPr>
          <w:rFonts w:ascii="Arial" w:hAnsi="Arial" w:cs="Arial"/>
          <w:sz w:val="24"/>
          <w:szCs w:val="24"/>
        </w:rPr>
        <w:t xml:space="preserve"> when, where and the circumstances under which her late </w:t>
      </w:r>
      <w:r w:rsidR="00DD714A" w:rsidRPr="00A42DEC">
        <w:rPr>
          <w:rFonts w:ascii="Arial" w:hAnsi="Arial" w:cs="Arial"/>
          <w:sz w:val="24"/>
          <w:szCs w:val="24"/>
        </w:rPr>
        <w:t xml:space="preserve">husband and </w:t>
      </w:r>
      <w:r w:rsidR="00C6778B" w:rsidRPr="00A42DEC">
        <w:rPr>
          <w:rFonts w:ascii="Arial" w:hAnsi="Arial" w:cs="Arial"/>
          <w:sz w:val="24"/>
          <w:szCs w:val="24"/>
        </w:rPr>
        <w:t xml:space="preserve">father allegedly informed </w:t>
      </w:r>
      <w:r w:rsidR="00DD714A" w:rsidRPr="00A42DEC">
        <w:rPr>
          <w:rFonts w:ascii="Arial" w:hAnsi="Arial" w:cs="Arial"/>
          <w:sz w:val="24"/>
          <w:szCs w:val="24"/>
        </w:rPr>
        <w:t>them</w:t>
      </w:r>
      <w:r w:rsidR="00C6778B" w:rsidRPr="00A42DEC">
        <w:rPr>
          <w:rFonts w:ascii="Arial" w:hAnsi="Arial" w:cs="Arial"/>
          <w:sz w:val="24"/>
          <w:szCs w:val="24"/>
        </w:rPr>
        <w:t xml:space="preserve"> that he had obtained </w:t>
      </w:r>
      <w:r w:rsidR="008E7692" w:rsidRPr="00A42DEC">
        <w:rPr>
          <w:rFonts w:ascii="Arial" w:hAnsi="Arial" w:cs="Arial"/>
          <w:sz w:val="24"/>
          <w:szCs w:val="24"/>
        </w:rPr>
        <w:t>Mr Baines’</w:t>
      </w:r>
      <w:r w:rsidR="00C6778B" w:rsidRPr="00A42DEC">
        <w:rPr>
          <w:rFonts w:ascii="Arial" w:hAnsi="Arial" w:cs="Arial"/>
          <w:sz w:val="24"/>
          <w:szCs w:val="24"/>
        </w:rPr>
        <w:t xml:space="preserve"> written consent.  </w:t>
      </w:r>
      <w:r w:rsidR="00DD714A" w:rsidRPr="00A42DEC">
        <w:rPr>
          <w:rFonts w:ascii="Arial" w:hAnsi="Arial" w:cs="Arial"/>
          <w:sz w:val="24"/>
          <w:szCs w:val="24"/>
        </w:rPr>
        <w:t xml:space="preserve">Neither one did so.  </w:t>
      </w:r>
      <w:r w:rsidR="00C6778B" w:rsidRPr="00A42DEC">
        <w:rPr>
          <w:rFonts w:ascii="Arial" w:hAnsi="Arial" w:cs="Arial"/>
          <w:sz w:val="24"/>
          <w:szCs w:val="24"/>
        </w:rPr>
        <w:t xml:space="preserve">Furthermore, there </w:t>
      </w:r>
      <w:r w:rsidR="00E310B1" w:rsidRPr="00A42DEC">
        <w:rPr>
          <w:rFonts w:ascii="Arial" w:hAnsi="Arial" w:cs="Arial"/>
          <w:sz w:val="24"/>
          <w:szCs w:val="24"/>
        </w:rPr>
        <w:t>wa</w:t>
      </w:r>
      <w:r w:rsidR="00C6778B" w:rsidRPr="00A42DEC">
        <w:rPr>
          <w:rFonts w:ascii="Arial" w:hAnsi="Arial" w:cs="Arial"/>
          <w:sz w:val="24"/>
          <w:szCs w:val="24"/>
        </w:rPr>
        <w:t xml:space="preserve">s no explanation why Mr Baines could not depose to an affidavit to confirm having given his consent.  </w:t>
      </w:r>
      <w:r w:rsidR="008E7692" w:rsidRPr="00A42DEC">
        <w:rPr>
          <w:rFonts w:ascii="Arial" w:hAnsi="Arial" w:cs="Arial"/>
          <w:sz w:val="24"/>
          <w:szCs w:val="24"/>
        </w:rPr>
        <w:t>The first respondent also did not secure an affidavit from an appropriate person employed by the municipality to either explain wh</w:t>
      </w:r>
      <w:r w:rsidR="000A1D9C" w:rsidRPr="00A42DEC">
        <w:rPr>
          <w:rFonts w:ascii="Arial" w:hAnsi="Arial" w:cs="Arial"/>
          <w:sz w:val="24"/>
          <w:szCs w:val="24"/>
        </w:rPr>
        <w:t>y</w:t>
      </w:r>
      <w:r w:rsidR="008E7692" w:rsidRPr="00A42DEC">
        <w:rPr>
          <w:rFonts w:ascii="Arial" w:hAnsi="Arial" w:cs="Arial"/>
          <w:sz w:val="24"/>
          <w:szCs w:val="24"/>
        </w:rPr>
        <w:t xml:space="preserve"> the alleged missing written consent</w:t>
      </w:r>
      <w:r w:rsidR="000A1D9C" w:rsidRPr="00A42DEC">
        <w:rPr>
          <w:rFonts w:ascii="Arial" w:hAnsi="Arial" w:cs="Arial"/>
          <w:sz w:val="24"/>
          <w:szCs w:val="24"/>
        </w:rPr>
        <w:t xml:space="preserve"> was not in the relevant file</w:t>
      </w:r>
      <w:r w:rsidR="008E7692" w:rsidRPr="00A42DEC">
        <w:rPr>
          <w:rFonts w:ascii="Arial" w:hAnsi="Arial" w:cs="Arial"/>
          <w:sz w:val="24"/>
          <w:szCs w:val="24"/>
        </w:rPr>
        <w:t xml:space="preserve"> or that the municipality would not have approved the outbuilding to be erected over the building line without written consent from Mr</w:t>
      </w:r>
      <w:r w:rsidR="00863496" w:rsidRPr="00A42DEC">
        <w:rPr>
          <w:rFonts w:ascii="Arial" w:hAnsi="Arial" w:cs="Arial"/>
          <w:sz w:val="24"/>
          <w:szCs w:val="24"/>
        </w:rPr>
        <w:t> </w:t>
      </w:r>
      <w:r w:rsidR="008E7692" w:rsidRPr="00A42DEC">
        <w:rPr>
          <w:rFonts w:ascii="Arial" w:hAnsi="Arial" w:cs="Arial"/>
          <w:sz w:val="24"/>
          <w:szCs w:val="24"/>
        </w:rPr>
        <w:t xml:space="preserve">Baines.  Without such affidavit this court cannot, on the say so of the first respondent, make a finding that the municipality would not have approved the building plans of the outbuilding without such written consent.  </w:t>
      </w:r>
      <w:r w:rsidR="000A1D9C" w:rsidRPr="00A42DEC">
        <w:rPr>
          <w:rFonts w:ascii="Arial" w:hAnsi="Arial" w:cs="Arial"/>
          <w:sz w:val="24"/>
          <w:szCs w:val="24"/>
        </w:rPr>
        <w:t xml:space="preserve">Such a finding would be based on speculation.  </w:t>
      </w:r>
    </w:p>
    <w:p w14:paraId="79F74745" w14:textId="77777777" w:rsidR="00CB65D4" w:rsidRDefault="00CB65D4" w:rsidP="00CB65D4">
      <w:pPr>
        <w:pStyle w:val="ListParagraph"/>
        <w:spacing w:after="0" w:line="360" w:lineRule="auto"/>
        <w:ind w:left="567"/>
        <w:jc w:val="both"/>
        <w:rPr>
          <w:rFonts w:ascii="Arial" w:hAnsi="Arial" w:cs="Arial"/>
          <w:sz w:val="24"/>
          <w:szCs w:val="24"/>
        </w:rPr>
      </w:pPr>
    </w:p>
    <w:p w14:paraId="1E760B0B" w14:textId="29EB9D97" w:rsidR="00DD714A"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DD714A" w:rsidRPr="00A42DEC">
        <w:rPr>
          <w:rFonts w:ascii="Arial" w:hAnsi="Arial" w:cs="Arial"/>
          <w:sz w:val="24"/>
          <w:szCs w:val="24"/>
        </w:rPr>
        <w:t>In the circumstances</w:t>
      </w:r>
      <w:r w:rsidR="00CB65D4" w:rsidRPr="00A42DEC">
        <w:rPr>
          <w:rFonts w:ascii="Arial" w:hAnsi="Arial" w:cs="Arial"/>
          <w:sz w:val="24"/>
          <w:szCs w:val="24"/>
        </w:rPr>
        <w:t xml:space="preserve">, I cannot sustain Mr </w:t>
      </w:r>
      <w:proofErr w:type="spellStart"/>
      <w:r w:rsidR="00CB65D4" w:rsidRPr="00A42DEC">
        <w:rPr>
          <w:rFonts w:ascii="Arial" w:hAnsi="Arial" w:cs="Arial"/>
          <w:sz w:val="24"/>
          <w:szCs w:val="24"/>
        </w:rPr>
        <w:t>Beyleveld’s</w:t>
      </w:r>
      <w:proofErr w:type="spellEnd"/>
      <w:r w:rsidR="00CB65D4" w:rsidRPr="00A42DEC">
        <w:rPr>
          <w:rFonts w:ascii="Arial" w:hAnsi="Arial" w:cs="Arial"/>
          <w:sz w:val="24"/>
          <w:szCs w:val="24"/>
        </w:rPr>
        <w:t xml:space="preserve"> submission that the first respondent’s version does not consist of bald or uncreditworthy denials, nor are her explanations palpably implausible, far-fetched or clearly untenable that this court is justified in rejecting them on the papers.  The </w:t>
      </w:r>
      <w:r w:rsidR="00C6778B" w:rsidRPr="00A42DEC">
        <w:rPr>
          <w:rFonts w:ascii="Arial" w:hAnsi="Arial" w:cs="Arial"/>
          <w:sz w:val="24"/>
          <w:szCs w:val="24"/>
        </w:rPr>
        <w:t xml:space="preserve">1997 application </w:t>
      </w:r>
      <w:r w:rsidR="000A1D9C" w:rsidRPr="00A42DEC">
        <w:rPr>
          <w:rFonts w:ascii="Arial" w:hAnsi="Arial" w:cs="Arial"/>
          <w:sz w:val="24"/>
          <w:szCs w:val="24"/>
        </w:rPr>
        <w:t xml:space="preserve">to the municipality </w:t>
      </w:r>
      <w:r w:rsidR="00C6778B" w:rsidRPr="00A42DEC">
        <w:rPr>
          <w:rFonts w:ascii="Arial" w:hAnsi="Arial" w:cs="Arial"/>
          <w:sz w:val="24"/>
          <w:szCs w:val="24"/>
        </w:rPr>
        <w:t xml:space="preserve">and the </w:t>
      </w:r>
      <w:r w:rsidR="008E7692" w:rsidRPr="00A42DEC">
        <w:rPr>
          <w:rFonts w:ascii="Arial" w:hAnsi="Arial" w:cs="Arial"/>
          <w:sz w:val="24"/>
          <w:szCs w:val="24"/>
        </w:rPr>
        <w:t xml:space="preserve">allegations of the </w:t>
      </w:r>
      <w:r w:rsidR="00C6778B" w:rsidRPr="00A42DEC">
        <w:rPr>
          <w:rFonts w:ascii="Arial" w:hAnsi="Arial" w:cs="Arial"/>
          <w:sz w:val="24"/>
          <w:szCs w:val="24"/>
        </w:rPr>
        <w:t xml:space="preserve">first respondent’s daughter </w:t>
      </w:r>
      <w:r w:rsidR="008E7692" w:rsidRPr="00A42DEC">
        <w:rPr>
          <w:rFonts w:ascii="Arial" w:hAnsi="Arial" w:cs="Arial"/>
          <w:sz w:val="24"/>
          <w:szCs w:val="24"/>
        </w:rPr>
        <w:t xml:space="preserve">to </w:t>
      </w:r>
      <w:r w:rsidR="00C6778B" w:rsidRPr="00A42DEC">
        <w:rPr>
          <w:rFonts w:ascii="Arial" w:hAnsi="Arial" w:cs="Arial"/>
          <w:sz w:val="24"/>
          <w:szCs w:val="24"/>
        </w:rPr>
        <w:t xml:space="preserve">her have no or very little </w:t>
      </w:r>
      <w:r w:rsidR="008E7692" w:rsidRPr="00A42DEC">
        <w:rPr>
          <w:rFonts w:ascii="Arial" w:hAnsi="Arial" w:cs="Arial"/>
          <w:sz w:val="24"/>
          <w:szCs w:val="24"/>
        </w:rPr>
        <w:t xml:space="preserve">evidential </w:t>
      </w:r>
      <w:r w:rsidR="00C6778B" w:rsidRPr="00A42DEC">
        <w:rPr>
          <w:rFonts w:ascii="Arial" w:hAnsi="Arial" w:cs="Arial"/>
          <w:sz w:val="24"/>
          <w:szCs w:val="24"/>
        </w:rPr>
        <w:t>value</w:t>
      </w:r>
      <w:r w:rsidR="00DD714A" w:rsidRPr="00A42DEC">
        <w:rPr>
          <w:rFonts w:ascii="Arial" w:hAnsi="Arial" w:cs="Arial"/>
          <w:sz w:val="24"/>
          <w:szCs w:val="24"/>
        </w:rPr>
        <w:t>.  In my view, t</w:t>
      </w:r>
      <w:r w:rsidR="000A1D9C" w:rsidRPr="00A42DEC">
        <w:rPr>
          <w:rFonts w:ascii="Arial" w:hAnsi="Arial" w:cs="Arial"/>
          <w:sz w:val="24"/>
          <w:szCs w:val="24"/>
        </w:rPr>
        <w:t xml:space="preserve">he first respondent’s version in that regard is implausible and </w:t>
      </w:r>
      <w:r w:rsidR="00CB65D4" w:rsidRPr="00A42DEC">
        <w:rPr>
          <w:rFonts w:ascii="Arial" w:hAnsi="Arial" w:cs="Arial"/>
          <w:sz w:val="24"/>
          <w:szCs w:val="24"/>
        </w:rPr>
        <w:t xml:space="preserve">is </w:t>
      </w:r>
      <w:r w:rsidR="000A1D9C" w:rsidRPr="00A42DEC">
        <w:rPr>
          <w:rFonts w:ascii="Arial" w:hAnsi="Arial" w:cs="Arial"/>
          <w:sz w:val="24"/>
          <w:szCs w:val="24"/>
        </w:rPr>
        <w:t xml:space="preserve">rejected.  </w:t>
      </w:r>
      <w:r w:rsidR="00CB65D4" w:rsidRPr="00A42DEC">
        <w:rPr>
          <w:rFonts w:ascii="Arial" w:hAnsi="Arial" w:cs="Arial"/>
          <w:sz w:val="24"/>
          <w:szCs w:val="24"/>
        </w:rPr>
        <w:t>It is t</w:t>
      </w:r>
      <w:r w:rsidR="008E4992" w:rsidRPr="00A42DEC">
        <w:rPr>
          <w:rFonts w:ascii="Arial" w:hAnsi="Arial" w:cs="Arial"/>
          <w:sz w:val="24"/>
          <w:szCs w:val="24"/>
        </w:rPr>
        <w:t xml:space="preserve">he applicant’s denial of the first respondent’s allegations in that regard </w:t>
      </w:r>
      <w:r w:rsidR="00040490" w:rsidRPr="00A42DEC">
        <w:rPr>
          <w:rFonts w:ascii="Arial" w:hAnsi="Arial" w:cs="Arial"/>
          <w:sz w:val="24"/>
          <w:szCs w:val="24"/>
        </w:rPr>
        <w:t xml:space="preserve">that is, in the circumstances, </w:t>
      </w:r>
      <w:r w:rsidR="008E4992" w:rsidRPr="00A42DEC">
        <w:rPr>
          <w:rFonts w:ascii="Arial" w:hAnsi="Arial" w:cs="Arial"/>
          <w:sz w:val="24"/>
          <w:szCs w:val="24"/>
        </w:rPr>
        <w:t>not</w:t>
      </w:r>
      <w:r w:rsidR="000A1D9C" w:rsidRPr="00A42DEC">
        <w:rPr>
          <w:rFonts w:ascii="Arial" w:hAnsi="Arial" w:cs="Arial"/>
          <w:sz w:val="24"/>
          <w:szCs w:val="24"/>
        </w:rPr>
        <w:t xml:space="preserve"> uncreditworthy or </w:t>
      </w:r>
      <w:r w:rsidR="008E4992" w:rsidRPr="00A42DEC">
        <w:rPr>
          <w:rFonts w:ascii="Arial" w:hAnsi="Arial" w:cs="Arial"/>
          <w:sz w:val="24"/>
          <w:szCs w:val="24"/>
        </w:rPr>
        <w:t xml:space="preserve">far-fetched.  </w:t>
      </w:r>
    </w:p>
    <w:p w14:paraId="31926AE8" w14:textId="77777777" w:rsidR="00DD714A" w:rsidRPr="00DD714A" w:rsidRDefault="00DD714A" w:rsidP="00DD714A">
      <w:pPr>
        <w:pStyle w:val="ListParagraph"/>
        <w:rPr>
          <w:rFonts w:ascii="Arial" w:hAnsi="Arial" w:cs="Arial"/>
          <w:sz w:val="24"/>
          <w:szCs w:val="24"/>
        </w:rPr>
      </w:pPr>
    </w:p>
    <w:p w14:paraId="591C0BD0" w14:textId="443A213F" w:rsidR="006B508C" w:rsidRPr="00A42DEC" w:rsidRDefault="00A42DEC" w:rsidP="00A42DEC">
      <w:pPr>
        <w:spacing w:after="0" w:line="360" w:lineRule="auto"/>
        <w:ind w:left="567" w:hanging="567"/>
        <w:jc w:val="both"/>
        <w:rPr>
          <w:rFonts w:ascii="Arial" w:hAnsi="Arial" w:cs="Arial"/>
          <w:sz w:val="24"/>
          <w:szCs w:val="24"/>
        </w:rPr>
      </w:pPr>
      <w:r w:rsidRPr="00CB65D4">
        <w:rPr>
          <w:rFonts w:ascii="Arial" w:hAnsi="Arial" w:cs="Arial"/>
          <w:sz w:val="24"/>
          <w:szCs w:val="24"/>
        </w:rPr>
        <w:t>31.</w:t>
      </w:r>
      <w:r w:rsidRPr="00CB65D4">
        <w:rPr>
          <w:rFonts w:ascii="Arial" w:hAnsi="Arial" w:cs="Arial"/>
          <w:sz w:val="24"/>
          <w:szCs w:val="24"/>
        </w:rPr>
        <w:tab/>
      </w:r>
      <w:r w:rsidR="008E4992" w:rsidRPr="00A42DEC">
        <w:rPr>
          <w:rFonts w:ascii="Arial" w:hAnsi="Arial" w:cs="Arial"/>
          <w:sz w:val="24"/>
          <w:szCs w:val="24"/>
        </w:rPr>
        <w:t>Th</w:t>
      </w:r>
      <w:r w:rsidR="00316424" w:rsidRPr="00A42DEC">
        <w:rPr>
          <w:rFonts w:ascii="Arial" w:hAnsi="Arial" w:cs="Arial"/>
          <w:sz w:val="24"/>
          <w:szCs w:val="24"/>
        </w:rPr>
        <w:t>e</w:t>
      </w:r>
      <w:r w:rsidR="008E4992" w:rsidRPr="00A42DEC">
        <w:rPr>
          <w:rFonts w:ascii="Arial" w:hAnsi="Arial" w:cs="Arial"/>
          <w:sz w:val="24"/>
          <w:szCs w:val="24"/>
        </w:rPr>
        <w:t xml:space="preserve"> result of that finding is that the </w:t>
      </w:r>
      <w:r w:rsidR="000A1D9C" w:rsidRPr="00A42DEC">
        <w:rPr>
          <w:rFonts w:ascii="Arial" w:hAnsi="Arial" w:cs="Arial"/>
          <w:sz w:val="24"/>
          <w:szCs w:val="24"/>
        </w:rPr>
        <w:t xml:space="preserve">approval of the building plans by the municipality and the </w:t>
      </w:r>
      <w:r w:rsidR="008E4992" w:rsidRPr="00A42DEC">
        <w:rPr>
          <w:rFonts w:ascii="Arial" w:hAnsi="Arial" w:cs="Arial"/>
          <w:sz w:val="24"/>
          <w:szCs w:val="24"/>
        </w:rPr>
        <w:t>erection of the outbuilding</w:t>
      </w:r>
      <w:r w:rsidR="00CB65D4" w:rsidRPr="00A42DEC">
        <w:rPr>
          <w:rFonts w:ascii="Arial" w:hAnsi="Arial" w:cs="Arial"/>
          <w:sz w:val="24"/>
          <w:szCs w:val="24"/>
        </w:rPr>
        <w:t xml:space="preserve"> did not happen with</w:t>
      </w:r>
      <w:r w:rsidR="000A1D9C" w:rsidRPr="00A42DEC">
        <w:rPr>
          <w:rFonts w:ascii="Arial" w:hAnsi="Arial" w:cs="Arial"/>
          <w:sz w:val="24"/>
          <w:szCs w:val="24"/>
        </w:rPr>
        <w:t xml:space="preserve"> Mr Baines</w:t>
      </w:r>
      <w:r w:rsidR="00CB65D4" w:rsidRPr="00A42DEC">
        <w:rPr>
          <w:rFonts w:ascii="Arial" w:hAnsi="Arial" w:cs="Arial"/>
          <w:sz w:val="24"/>
          <w:szCs w:val="24"/>
        </w:rPr>
        <w:t>’</w:t>
      </w:r>
      <w:r w:rsidR="000A1D9C" w:rsidRPr="00A42DEC">
        <w:rPr>
          <w:rFonts w:ascii="Arial" w:hAnsi="Arial" w:cs="Arial"/>
          <w:sz w:val="24"/>
          <w:szCs w:val="24"/>
        </w:rPr>
        <w:t xml:space="preserve"> written consent to the first respondent’s late husband for the erection of the outbuilding over the building line</w:t>
      </w:r>
      <w:r w:rsidR="00CB65D4" w:rsidRPr="00A42DEC">
        <w:rPr>
          <w:rFonts w:ascii="Arial" w:hAnsi="Arial" w:cs="Arial"/>
          <w:sz w:val="24"/>
          <w:szCs w:val="24"/>
        </w:rPr>
        <w:t xml:space="preserve">.  The erection of the outbuilding </w:t>
      </w:r>
      <w:r w:rsidR="008E4992" w:rsidRPr="00A42DEC">
        <w:rPr>
          <w:rFonts w:ascii="Arial" w:hAnsi="Arial" w:cs="Arial"/>
          <w:sz w:val="24"/>
          <w:szCs w:val="24"/>
        </w:rPr>
        <w:t xml:space="preserve">contravened </w:t>
      </w:r>
      <w:r w:rsidR="004036F1" w:rsidRPr="00A42DEC">
        <w:rPr>
          <w:rFonts w:ascii="Arial" w:hAnsi="Arial" w:cs="Arial"/>
          <w:sz w:val="24"/>
          <w:szCs w:val="24"/>
        </w:rPr>
        <w:t>the National Building Regulations, which, in terms of the</w:t>
      </w:r>
      <w:r w:rsidR="008E4992" w:rsidRPr="00A42DEC">
        <w:rPr>
          <w:rFonts w:ascii="Arial" w:hAnsi="Arial" w:cs="Arial"/>
          <w:sz w:val="24"/>
          <w:szCs w:val="24"/>
        </w:rPr>
        <w:t xml:space="preserve"> </w:t>
      </w:r>
      <w:r w:rsidR="00AC5CDB" w:rsidRPr="00A42DEC">
        <w:rPr>
          <w:rFonts w:ascii="Arial" w:hAnsi="Arial" w:cs="Arial"/>
          <w:sz w:val="24"/>
          <w:szCs w:val="24"/>
        </w:rPr>
        <w:t xml:space="preserve">Building Act, </w:t>
      </w:r>
      <w:r w:rsidR="004036F1" w:rsidRPr="00A42DEC">
        <w:rPr>
          <w:rFonts w:ascii="Arial" w:hAnsi="Arial" w:cs="Arial"/>
          <w:sz w:val="24"/>
          <w:szCs w:val="24"/>
        </w:rPr>
        <w:t>are included in the Act</w:t>
      </w:r>
      <w:r w:rsidR="00AC5CDB" w:rsidRPr="00A42DEC">
        <w:rPr>
          <w:rFonts w:ascii="Arial" w:hAnsi="Arial" w:cs="Arial"/>
          <w:sz w:val="24"/>
          <w:szCs w:val="24"/>
        </w:rPr>
        <w:t>.</w:t>
      </w:r>
      <w:r w:rsidR="00E676B4">
        <w:rPr>
          <w:rStyle w:val="FootnoteReference"/>
          <w:rFonts w:ascii="Arial" w:hAnsi="Arial" w:cs="Arial"/>
          <w:sz w:val="24"/>
          <w:szCs w:val="24"/>
        </w:rPr>
        <w:footnoteReference w:id="19"/>
      </w:r>
      <w:r w:rsidR="00E676B4" w:rsidRPr="00A42DEC">
        <w:rPr>
          <w:rFonts w:ascii="Arial" w:hAnsi="Arial" w:cs="Arial"/>
          <w:sz w:val="24"/>
          <w:szCs w:val="24"/>
        </w:rPr>
        <w:t xml:space="preserve">  As </w:t>
      </w:r>
      <w:r w:rsidR="00AC5CDB" w:rsidRPr="00A42DEC">
        <w:rPr>
          <w:rFonts w:ascii="Arial" w:hAnsi="Arial" w:cs="Arial"/>
          <w:sz w:val="24"/>
          <w:szCs w:val="24"/>
        </w:rPr>
        <w:t>pointed out above,</w:t>
      </w:r>
      <w:r w:rsidR="004036F1" w:rsidRPr="00A42DEC">
        <w:rPr>
          <w:rFonts w:ascii="Arial" w:hAnsi="Arial" w:cs="Arial"/>
          <w:sz w:val="24"/>
          <w:szCs w:val="24"/>
        </w:rPr>
        <w:t xml:space="preserve"> </w:t>
      </w:r>
      <w:r w:rsidR="00AC5CDB" w:rsidRPr="00A42DEC">
        <w:rPr>
          <w:rFonts w:ascii="Arial" w:hAnsi="Arial" w:cs="Arial"/>
          <w:sz w:val="24"/>
          <w:szCs w:val="24"/>
        </w:rPr>
        <w:t xml:space="preserve">the erection of any building above the ground outside the building line </w:t>
      </w:r>
      <w:r w:rsidR="004036F1" w:rsidRPr="00A42DEC">
        <w:rPr>
          <w:rFonts w:ascii="Arial" w:hAnsi="Arial" w:cs="Arial"/>
          <w:sz w:val="24"/>
          <w:szCs w:val="24"/>
        </w:rPr>
        <w:t>is prohibited by</w:t>
      </w:r>
      <w:r w:rsidR="00AC5CDB" w:rsidRPr="00A42DEC">
        <w:rPr>
          <w:rFonts w:ascii="Arial" w:hAnsi="Arial" w:cs="Arial"/>
          <w:sz w:val="24"/>
          <w:szCs w:val="24"/>
        </w:rPr>
        <w:t xml:space="preserve"> the definition of ‘building line’ in the National Building Regulations.</w:t>
      </w:r>
      <w:r w:rsidR="00E676B4">
        <w:rPr>
          <w:rStyle w:val="FootnoteReference"/>
          <w:rFonts w:ascii="Arial" w:hAnsi="Arial" w:cs="Arial"/>
          <w:sz w:val="24"/>
          <w:szCs w:val="24"/>
        </w:rPr>
        <w:footnoteReference w:id="20"/>
      </w:r>
      <w:r w:rsidR="00AC5CDB" w:rsidRPr="00A42DEC">
        <w:rPr>
          <w:rFonts w:ascii="Arial" w:hAnsi="Arial" w:cs="Arial"/>
          <w:sz w:val="24"/>
          <w:szCs w:val="24"/>
        </w:rPr>
        <w:t xml:space="preserve">  </w:t>
      </w:r>
      <w:r w:rsidR="004B3DFA" w:rsidRPr="00A42DEC">
        <w:rPr>
          <w:rFonts w:ascii="Arial" w:hAnsi="Arial" w:cs="Arial"/>
          <w:sz w:val="24"/>
          <w:szCs w:val="24"/>
        </w:rPr>
        <w:t xml:space="preserve">The erection of the outbuilding was accordingly unlawful, in so far as it was </w:t>
      </w:r>
      <w:r w:rsidR="00316424" w:rsidRPr="00A42DEC">
        <w:rPr>
          <w:rFonts w:ascii="Arial" w:hAnsi="Arial" w:cs="Arial"/>
          <w:sz w:val="24"/>
          <w:szCs w:val="24"/>
        </w:rPr>
        <w:t>erected</w:t>
      </w:r>
      <w:r w:rsidR="004B3DFA" w:rsidRPr="00A42DEC">
        <w:rPr>
          <w:rFonts w:ascii="Arial" w:hAnsi="Arial" w:cs="Arial"/>
          <w:sz w:val="24"/>
          <w:szCs w:val="24"/>
        </w:rPr>
        <w:t xml:space="preserve"> over the building line.</w:t>
      </w:r>
      <w:r w:rsidR="008E4992" w:rsidRPr="00A42DEC">
        <w:rPr>
          <w:rFonts w:ascii="Arial" w:hAnsi="Arial" w:cs="Arial"/>
          <w:sz w:val="24"/>
          <w:szCs w:val="24"/>
        </w:rPr>
        <w:t xml:space="preserve"> </w:t>
      </w:r>
    </w:p>
    <w:p w14:paraId="23FE19FC" w14:textId="77777777" w:rsidR="006B508C" w:rsidRPr="006B508C" w:rsidRDefault="006B508C" w:rsidP="006B508C">
      <w:pPr>
        <w:pStyle w:val="ListParagraph"/>
        <w:rPr>
          <w:rFonts w:ascii="Arial" w:hAnsi="Arial" w:cs="Arial"/>
          <w:sz w:val="24"/>
          <w:szCs w:val="24"/>
        </w:rPr>
      </w:pPr>
    </w:p>
    <w:p w14:paraId="66378FD8" w14:textId="1513147C" w:rsidR="00DD714A"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16424" w:rsidRPr="00A42DEC">
        <w:rPr>
          <w:rFonts w:ascii="Arial" w:hAnsi="Arial" w:cs="Arial"/>
          <w:sz w:val="24"/>
          <w:szCs w:val="24"/>
        </w:rPr>
        <w:t>The applicant’s complaint was not directed at the municipality for having approved the building plans of the outbuilding in 1997 or thereafter.  Its complaint was directed at the first respondent or her late husband’s failure to erect the outbuilding within the building lines o</w:t>
      </w:r>
      <w:r w:rsidR="00DD714A" w:rsidRPr="00A42DEC">
        <w:rPr>
          <w:rFonts w:ascii="Arial" w:hAnsi="Arial" w:cs="Arial"/>
          <w:sz w:val="24"/>
          <w:szCs w:val="24"/>
        </w:rPr>
        <w:t>n</w:t>
      </w:r>
      <w:r w:rsidR="00316424" w:rsidRPr="00A42DEC">
        <w:rPr>
          <w:rFonts w:ascii="Arial" w:hAnsi="Arial" w:cs="Arial"/>
          <w:sz w:val="24"/>
          <w:szCs w:val="24"/>
        </w:rPr>
        <w:t xml:space="preserve"> their property.</w:t>
      </w:r>
      <w:r w:rsidR="00040490" w:rsidRPr="00A42DEC">
        <w:rPr>
          <w:rFonts w:ascii="Arial" w:hAnsi="Arial" w:cs="Arial"/>
          <w:sz w:val="24"/>
          <w:szCs w:val="24"/>
        </w:rPr>
        <w:t xml:space="preserve">  It was submitted on behalf of the first respondent that, absent the successful review of the administrative decision to approve the building plans, the first respondent’s actions consequent thereto remain valid and lawful.  That submission cannot be sustained.  It was premised on the misconception that the building plans were unlawfully approved by the municipality.  I repeat, it </w:t>
      </w:r>
      <w:r w:rsidR="001F59A9" w:rsidRPr="00A42DEC">
        <w:rPr>
          <w:rFonts w:ascii="Arial" w:hAnsi="Arial" w:cs="Arial"/>
          <w:sz w:val="24"/>
          <w:szCs w:val="24"/>
        </w:rPr>
        <w:t>wa</w:t>
      </w:r>
      <w:r w:rsidR="00040490" w:rsidRPr="00A42DEC">
        <w:rPr>
          <w:rFonts w:ascii="Arial" w:hAnsi="Arial" w:cs="Arial"/>
          <w:sz w:val="24"/>
          <w:szCs w:val="24"/>
        </w:rPr>
        <w:t xml:space="preserve">s not the applicant’s case that the municipality approved the building plans in contravention of any legislation.  There was accordingly no need for the applicant to institute an application </w:t>
      </w:r>
      <w:r w:rsidR="004A11BD" w:rsidRPr="00A42DEC">
        <w:rPr>
          <w:rFonts w:ascii="Arial" w:hAnsi="Arial" w:cs="Arial"/>
          <w:sz w:val="24"/>
          <w:szCs w:val="24"/>
        </w:rPr>
        <w:t>for an o</w:t>
      </w:r>
      <w:r w:rsidR="00040490" w:rsidRPr="00A42DEC">
        <w:rPr>
          <w:rFonts w:ascii="Arial" w:hAnsi="Arial" w:cs="Arial"/>
          <w:sz w:val="24"/>
          <w:szCs w:val="24"/>
        </w:rPr>
        <w:t>rder review</w:t>
      </w:r>
      <w:r w:rsidR="004A11BD" w:rsidRPr="00A42DEC">
        <w:rPr>
          <w:rFonts w:ascii="Arial" w:hAnsi="Arial" w:cs="Arial"/>
          <w:sz w:val="24"/>
          <w:szCs w:val="24"/>
        </w:rPr>
        <w:t>ing and setting aside the municipality’s decision to approve the building plans</w:t>
      </w:r>
      <w:r w:rsidR="001F59A9" w:rsidRPr="00A42DEC">
        <w:rPr>
          <w:rFonts w:ascii="Arial" w:hAnsi="Arial" w:cs="Arial"/>
          <w:sz w:val="24"/>
          <w:szCs w:val="24"/>
        </w:rPr>
        <w:t>, as contended by the first respondent.</w:t>
      </w:r>
      <w:r w:rsidR="008567C5" w:rsidRPr="00A42DEC">
        <w:rPr>
          <w:rFonts w:ascii="Arial" w:hAnsi="Arial" w:cs="Arial"/>
          <w:sz w:val="24"/>
          <w:szCs w:val="24"/>
        </w:rPr>
        <w:t xml:space="preserve">  The applicant seeks an order </w:t>
      </w:r>
      <w:r w:rsidR="008567C5" w:rsidRPr="00A42DEC">
        <w:rPr>
          <w:rFonts w:ascii="Arial" w:hAnsi="Arial" w:cs="Arial"/>
          <w:sz w:val="24"/>
          <w:szCs w:val="24"/>
        </w:rPr>
        <w:lastRenderedPageBreak/>
        <w:t xml:space="preserve">declaring that the erection of the outbuilding was unlawful because it was erected over the building line.  The applicant has succeeded </w:t>
      </w:r>
      <w:r w:rsidR="008305DF" w:rsidRPr="00A42DEC">
        <w:rPr>
          <w:rFonts w:ascii="Arial" w:hAnsi="Arial" w:cs="Arial"/>
          <w:sz w:val="24"/>
          <w:szCs w:val="24"/>
        </w:rPr>
        <w:t xml:space="preserve">to show, </w:t>
      </w:r>
      <w:r w:rsidR="008567C5" w:rsidRPr="00A42DEC">
        <w:rPr>
          <w:rFonts w:ascii="Arial" w:hAnsi="Arial" w:cs="Arial"/>
          <w:sz w:val="24"/>
          <w:szCs w:val="24"/>
        </w:rPr>
        <w:t xml:space="preserve">in </w:t>
      </w:r>
      <w:r w:rsidR="008305DF" w:rsidRPr="00A42DEC">
        <w:rPr>
          <w:rFonts w:ascii="Arial" w:hAnsi="Arial" w:cs="Arial"/>
          <w:sz w:val="24"/>
          <w:szCs w:val="24"/>
        </w:rPr>
        <w:t xml:space="preserve">fact it is common cause, that the outbuilding was erected over the building line.  The first respondent has failed to show </w:t>
      </w:r>
      <w:r w:rsidR="008567C5" w:rsidRPr="00A42DEC">
        <w:rPr>
          <w:rFonts w:ascii="Arial" w:hAnsi="Arial" w:cs="Arial"/>
          <w:sz w:val="24"/>
          <w:szCs w:val="24"/>
        </w:rPr>
        <w:t xml:space="preserve">that </w:t>
      </w:r>
      <w:r w:rsidR="008305DF" w:rsidRPr="00A42DEC">
        <w:rPr>
          <w:rFonts w:ascii="Arial" w:hAnsi="Arial" w:cs="Arial"/>
          <w:sz w:val="24"/>
          <w:szCs w:val="24"/>
        </w:rPr>
        <w:t xml:space="preserve">the municipality approved the erection of the outbuilding based on the </w:t>
      </w:r>
      <w:r w:rsidR="00DD714A" w:rsidRPr="00A42DEC">
        <w:rPr>
          <w:rFonts w:ascii="Arial" w:hAnsi="Arial" w:cs="Arial"/>
          <w:sz w:val="24"/>
          <w:szCs w:val="24"/>
        </w:rPr>
        <w:t xml:space="preserve">alleged </w:t>
      </w:r>
      <w:r w:rsidR="008305DF" w:rsidRPr="00A42DEC">
        <w:rPr>
          <w:rFonts w:ascii="Arial" w:hAnsi="Arial" w:cs="Arial"/>
          <w:sz w:val="24"/>
          <w:szCs w:val="24"/>
        </w:rPr>
        <w:t xml:space="preserve">written consent of Mr Baines.  In view of the above finding, it is unnecessary to decide the whether or not the outbuilding constitutes a second dwelling in circumstances </w:t>
      </w:r>
      <w:r w:rsidR="000972DE" w:rsidRPr="00A42DEC">
        <w:rPr>
          <w:rFonts w:ascii="Arial" w:hAnsi="Arial" w:cs="Arial"/>
          <w:sz w:val="24"/>
          <w:szCs w:val="24"/>
        </w:rPr>
        <w:t>where a second dwelling is proh</w:t>
      </w:r>
      <w:r w:rsidR="008305DF" w:rsidRPr="00A42DEC">
        <w:rPr>
          <w:rFonts w:ascii="Arial" w:hAnsi="Arial" w:cs="Arial"/>
          <w:sz w:val="24"/>
          <w:szCs w:val="24"/>
        </w:rPr>
        <w:t>ibited by the Deed</w:t>
      </w:r>
      <w:r w:rsidR="000972DE" w:rsidRPr="00A42DEC">
        <w:rPr>
          <w:rFonts w:ascii="Arial" w:hAnsi="Arial" w:cs="Arial"/>
          <w:sz w:val="24"/>
          <w:szCs w:val="24"/>
        </w:rPr>
        <w:t xml:space="preserve"> of Transfer.</w:t>
      </w:r>
      <w:r w:rsidR="008305DF" w:rsidRPr="00A42DEC">
        <w:rPr>
          <w:rFonts w:ascii="Arial" w:hAnsi="Arial" w:cs="Arial"/>
          <w:sz w:val="24"/>
          <w:szCs w:val="24"/>
        </w:rPr>
        <w:t xml:space="preserve"> </w:t>
      </w:r>
      <w:r w:rsidR="008567C5" w:rsidRPr="00A42DEC">
        <w:rPr>
          <w:rFonts w:ascii="Arial" w:hAnsi="Arial" w:cs="Arial"/>
          <w:sz w:val="24"/>
          <w:szCs w:val="24"/>
        </w:rPr>
        <w:t xml:space="preserve"> </w:t>
      </w:r>
    </w:p>
    <w:p w14:paraId="7C962D41" w14:textId="77777777" w:rsidR="00DD714A" w:rsidRDefault="00DD714A" w:rsidP="00DD714A">
      <w:pPr>
        <w:pStyle w:val="ListParagraph"/>
        <w:spacing w:after="0" w:line="360" w:lineRule="auto"/>
        <w:ind w:left="567"/>
        <w:jc w:val="both"/>
        <w:rPr>
          <w:rFonts w:ascii="Arial" w:hAnsi="Arial" w:cs="Arial"/>
          <w:sz w:val="24"/>
          <w:szCs w:val="24"/>
        </w:rPr>
      </w:pPr>
    </w:p>
    <w:p w14:paraId="28530403" w14:textId="1860CB59" w:rsidR="006F3320" w:rsidRPr="00A42DEC" w:rsidRDefault="00A42DEC" w:rsidP="00A42DEC">
      <w:pPr>
        <w:spacing w:after="0" w:line="360" w:lineRule="auto"/>
        <w:ind w:left="567" w:hanging="567"/>
        <w:jc w:val="both"/>
        <w:rPr>
          <w:rFonts w:ascii="Arial" w:hAnsi="Arial" w:cs="Arial"/>
          <w:sz w:val="24"/>
          <w:szCs w:val="24"/>
        </w:rPr>
      </w:pPr>
      <w:r w:rsidRPr="00DD714A">
        <w:rPr>
          <w:rFonts w:ascii="Arial" w:hAnsi="Arial" w:cs="Arial"/>
          <w:sz w:val="24"/>
          <w:szCs w:val="24"/>
        </w:rPr>
        <w:t>33.</w:t>
      </w:r>
      <w:r w:rsidRPr="00DD714A">
        <w:rPr>
          <w:rFonts w:ascii="Arial" w:hAnsi="Arial" w:cs="Arial"/>
          <w:sz w:val="24"/>
          <w:szCs w:val="24"/>
        </w:rPr>
        <w:tab/>
      </w:r>
      <w:r w:rsidR="00895E10" w:rsidRPr="00A42DEC">
        <w:rPr>
          <w:rFonts w:ascii="Arial" w:hAnsi="Arial" w:cs="Arial"/>
          <w:sz w:val="24"/>
          <w:szCs w:val="24"/>
        </w:rPr>
        <w:t>What needs to be considered is a just and equitable remedy given that the outbuilding encroaches the building line on the first respondent’s property.</w:t>
      </w:r>
      <w:r w:rsidR="0003672C" w:rsidRPr="00A42DEC">
        <w:rPr>
          <w:rFonts w:ascii="Arial" w:hAnsi="Arial" w:cs="Arial"/>
          <w:sz w:val="24"/>
          <w:szCs w:val="24"/>
        </w:rPr>
        <w:t xml:space="preserve">  </w:t>
      </w:r>
      <w:r w:rsidR="00296978" w:rsidRPr="00A42DEC">
        <w:rPr>
          <w:rFonts w:ascii="Arial" w:hAnsi="Arial" w:cs="Arial"/>
          <w:sz w:val="24"/>
          <w:szCs w:val="24"/>
        </w:rPr>
        <w:t xml:space="preserve">It is undisputed that the applicant’s property is on a slope.  After it purchased the property, it had plans drafted for the erection of a residential </w:t>
      </w:r>
      <w:r w:rsidR="00203FEC" w:rsidRPr="00A42DEC">
        <w:rPr>
          <w:rFonts w:ascii="Arial" w:hAnsi="Arial" w:cs="Arial"/>
          <w:sz w:val="24"/>
          <w:szCs w:val="24"/>
        </w:rPr>
        <w:t>dwelling</w:t>
      </w:r>
      <w:r w:rsidR="00296978" w:rsidRPr="00A42DEC">
        <w:rPr>
          <w:rFonts w:ascii="Arial" w:hAnsi="Arial" w:cs="Arial"/>
          <w:sz w:val="24"/>
          <w:szCs w:val="24"/>
        </w:rPr>
        <w:t xml:space="preserve"> in the centre of the property.</w:t>
      </w:r>
      <w:r w:rsidR="00203FEC" w:rsidRPr="00A42DEC">
        <w:rPr>
          <w:rFonts w:ascii="Arial" w:hAnsi="Arial" w:cs="Arial"/>
          <w:sz w:val="24"/>
          <w:szCs w:val="24"/>
        </w:rPr>
        <w:t xml:space="preserve">  It </w:t>
      </w:r>
      <w:r w:rsidR="0003672C" w:rsidRPr="00A42DEC">
        <w:rPr>
          <w:rFonts w:ascii="Arial" w:hAnsi="Arial" w:cs="Arial"/>
          <w:sz w:val="24"/>
          <w:szCs w:val="24"/>
        </w:rPr>
        <w:t xml:space="preserve">was </w:t>
      </w:r>
      <w:r w:rsidR="00203FEC" w:rsidRPr="00A42DEC">
        <w:rPr>
          <w:rFonts w:ascii="Arial" w:hAnsi="Arial" w:cs="Arial"/>
          <w:sz w:val="24"/>
          <w:szCs w:val="24"/>
        </w:rPr>
        <w:t xml:space="preserve">subsequently decided not to erect the dwelling in the middle of the property </w:t>
      </w:r>
      <w:r w:rsidR="0003672C" w:rsidRPr="00A42DEC">
        <w:rPr>
          <w:rFonts w:ascii="Arial" w:hAnsi="Arial" w:cs="Arial"/>
          <w:sz w:val="24"/>
          <w:szCs w:val="24"/>
        </w:rPr>
        <w:t xml:space="preserve">because </w:t>
      </w:r>
      <w:r w:rsidR="00203FEC" w:rsidRPr="00A42DEC">
        <w:rPr>
          <w:rFonts w:ascii="Arial" w:hAnsi="Arial" w:cs="Arial"/>
          <w:sz w:val="24"/>
          <w:szCs w:val="24"/>
        </w:rPr>
        <w:t>firstly, the construction thereof, on a slope, would require costly earth works with high costs</w:t>
      </w:r>
      <w:r w:rsidR="00F359D3" w:rsidRPr="00A42DEC">
        <w:rPr>
          <w:rFonts w:ascii="Arial" w:hAnsi="Arial" w:cs="Arial"/>
          <w:sz w:val="24"/>
          <w:szCs w:val="24"/>
        </w:rPr>
        <w:t xml:space="preserve"> of construction; and secondly, </w:t>
      </w:r>
      <w:r w:rsidR="00203FEC" w:rsidRPr="00A42DEC">
        <w:rPr>
          <w:rFonts w:ascii="Arial" w:hAnsi="Arial" w:cs="Arial"/>
          <w:sz w:val="24"/>
          <w:szCs w:val="24"/>
        </w:rPr>
        <w:t xml:space="preserve">there are many milkwood trees on the property which, in its view, add substantially to the beauty of the property.  It accordingly decided to avoid a layout which would require the removal of those trees.  The amended building plans, which have been approved by the municipality, repositioned the envisaged dwelling </w:t>
      </w:r>
      <w:r w:rsidR="006F3320" w:rsidRPr="00A42DEC">
        <w:rPr>
          <w:rFonts w:ascii="Arial" w:hAnsi="Arial" w:cs="Arial"/>
          <w:sz w:val="24"/>
          <w:szCs w:val="24"/>
        </w:rPr>
        <w:t>closer to the boundary which the applicant shares with the first respondent.</w:t>
      </w:r>
    </w:p>
    <w:p w14:paraId="13CDA210" w14:textId="77777777" w:rsidR="006F3320" w:rsidRPr="006F3320" w:rsidRDefault="006F3320" w:rsidP="006F3320">
      <w:pPr>
        <w:pStyle w:val="ListParagraph"/>
        <w:rPr>
          <w:rFonts w:ascii="Arial" w:hAnsi="Arial" w:cs="Arial"/>
          <w:sz w:val="24"/>
          <w:szCs w:val="24"/>
        </w:rPr>
      </w:pPr>
    </w:p>
    <w:p w14:paraId="52CEF16A" w14:textId="2DD786C0" w:rsidR="00895E10"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34.</w:t>
      </w:r>
      <w:r>
        <w:rPr>
          <w:rFonts w:ascii="Arial" w:hAnsi="Arial" w:cs="Arial"/>
          <w:sz w:val="24"/>
          <w:szCs w:val="24"/>
        </w:rPr>
        <w:tab/>
      </w:r>
      <w:r w:rsidR="006F3320" w:rsidRPr="00A42DEC">
        <w:rPr>
          <w:rFonts w:ascii="Arial" w:hAnsi="Arial" w:cs="Arial"/>
          <w:sz w:val="24"/>
          <w:szCs w:val="24"/>
        </w:rPr>
        <w:t xml:space="preserve">The applicant alleged that the erection of the envisaged dwelling in accordance with the amended building plans will require large scale engineering works, inclusive of subterranean excavations for foundations.  Those excavations will be undertaken immediately adjacent to the first respondent’s outbuilding.  The applicant alleged that those excavations would pose </w:t>
      </w:r>
      <w:proofErr w:type="gramStart"/>
      <w:r w:rsidR="006F3320" w:rsidRPr="00A42DEC">
        <w:rPr>
          <w:rFonts w:ascii="Arial" w:hAnsi="Arial" w:cs="Arial"/>
          <w:sz w:val="24"/>
          <w:szCs w:val="24"/>
        </w:rPr>
        <w:t>a serious danger</w:t>
      </w:r>
      <w:proofErr w:type="gramEnd"/>
      <w:r w:rsidR="006F3320" w:rsidRPr="00A42DEC">
        <w:rPr>
          <w:rFonts w:ascii="Arial" w:hAnsi="Arial" w:cs="Arial"/>
          <w:sz w:val="24"/>
          <w:szCs w:val="24"/>
        </w:rPr>
        <w:t xml:space="preserve"> </w:t>
      </w:r>
      <w:r w:rsidR="00F359D3" w:rsidRPr="00A42DEC">
        <w:rPr>
          <w:rFonts w:ascii="Arial" w:hAnsi="Arial" w:cs="Arial"/>
          <w:sz w:val="24"/>
          <w:szCs w:val="24"/>
        </w:rPr>
        <w:t xml:space="preserve">to the </w:t>
      </w:r>
      <w:r w:rsidR="006F3320" w:rsidRPr="00A42DEC">
        <w:rPr>
          <w:rFonts w:ascii="Arial" w:hAnsi="Arial" w:cs="Arial"/>
          <w:sz w:val="24"/>
          <w:szCs w:val="24"/>
        </w:rPr>
        <w:t xml:space="preserve">foundations of the outbuilding.  The first respondent’s </w:t>
      </w:r>
      <w:r w:rsidR="00F359D3" w:rsidRPr="00A42DEC">
        <w:rPr>
          <w:rFonts w:ascii="Arial" w:hAnsi="Arial" w:cs="Arial"/>
          <w:sz w:val="24"/>
          <w:szCs w:val="24"/>
        </w:rPr>
        <w:t xml:space="preserve">unhelpful </w:t>
      </w:r>
      <w:r w:rsidR="006F3320" w:rsidRPr="00A42DEC">
        <w:rPr>
          <w:rFonts w:ascii="Arial" w:hAnsi="Arial" w:cs="Arial"/>
          <w:sz w:val="24"/>
          <w:szCs w:val="24"/>
        </w:rPr>
        <w:t xml:space="preserve">attitude </w:t>
      </w:r>
      <w:r w:rsidR="00F359D3" w:rsidRPr="00A42DEC">
        <w:rPr>
          <w:rFonts w:ascii="Arial" w:hAnsi="Arial" w:cs="Arial"/>
          <w:sz w:val="24"/>
          <w:szCs w:val="24"/>
        </w:rPr>
        <w:t xml:space="preserve">in this regard </w:t>
      </w:r>
      <w:r w:rsidR="00EF2302" w:rsidRPr="00A42DEC">
        <w:rPr>
          <w:rFonts w:ascii="Arial" w:hAnsi="Arial" w:cs="Arial"/>
          <w:sz w:val="24"/>
          <w:szCs w:val="24"/>
        </w:rPr>
        <w:t>wa</w:t>
      </w:r>
      <w:r w:rsidR="006F3320" w:rsidRPr="00A42DEC">
        <w:rPr>
          <w:rFonts w:ascii="Arial" w:hAnsi="Arial" w:cs="Arial"/>
          <w:sz w:val="24"/>
          <w:szCs w:val="24"/>
        </w:rPr>
        <w:t>s that, because the applicant acknowledged that the execution of its building plans would pose</w:t>
      </w:r>
      <w:r w:rsidR="00203FEC" w:rsidRPr="00A42DEC">
        <w:rPr>
          <w:rFonts w:ascii="Arial" w:hAnsi="Arial" w:cs="Arial"/>
          <w:sz w:val="24"/>
          <w:szCs w:val="24"/>
        </w:rPr>
        <w:t xml:space="preserve"> </w:t>
      </w:r>
      <w:proofErr w:type="gramStart"/>
      <w:r w:rsidR="006F3320" w:rsidRPr="00A42DEC">
        <w:rPr>
          <w:rFonts w:ascii="Arial" w:hAnsi="Arial" w:cs="Arial"/>
          <w:sz w:val="24"/>
          <w:szCs w:val="24"/>
        </w:rPr>
        <w:t>a serious danger</w:t>
      </w:r>
      <w:proofErr w:type="gramEnd"/>
      <w:r w:rsidR="006F3320" w:rsidRPr="00A42DEC">
        <w:rPr>
          <w:rFonts w:ascii="Arial" w:hAnsi="Arial" w:cs="Arial"/>
          <w:sz w:val="24"/>
          <w:szCs w:val="24"/>
        </w:rPr>
        <w:t xml:space="preserve"> of undermining the foundations of the outbuilding, the application should for that reason alone be dismissed with costs.</w:t>
      </w:r>
    </w:p>
    <w:p w14:paraId="681052C9" w14:textId="77777777" w:rsidR="00895E10" w:rsidRPr="00895E10" w:rsidRDefault="00895E10" w:rsidP="00895E10">
      <w:pPr>
        <w:pStyle w:val="ListParagraph"/>
        <w:rPr>
          <w:rFonts w:ascii="Arial" w:hAnsi="Arial" w:cs="Arial"/>
          <w:sz w:val="24"/>
          <w:szCs w:val="24"/>
        </w:rPr>
      </w:pPr>
    </w:p>
    <w:p w14:paraId="5544DCB5" w14:textId="6BAE68A9" w:rsidR="00895E10"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35.</w:t>
      </w:r>
      <w:r>
        <w:rPr>
          <w:rFonts w:ascii="Arial" w:hAnsi="Arial" w:cs="Arial"/>
          <w:sz w:val="24"/>
          <w:szCs w:val="24"/>
        </w:rPr>
        <w:tab/>
      </w:r>
      <w:r w:rsidR="00027180" w:rsidRPr="00A42DEC">
        <w:rPr>
          <w:rFonts w:ascii="Arial" w:hAnsi="Arial" w:cs="Arial"/>
          <w:sz w:val="24"/>
          <w:szCs w:val="24"/>
        </w:rPr>
        <w:t>In</w:t>
      </w:r>
      <w:r w:rsidR="00F359D3" w:rsidRPr="00A42DEC">
        <w:rPr>
          <w:rFonts w:ascii="Arial" w:hAnsi="Arial" w:cs="Arial"/>
          <w:sz w:val="24"/>
          <w:szCs w:val="24"/>
        </w:rPr>
        <w:t xml:space="preserve"> the light of the applicant’s undisputed </w:t>
      </w:r>
      <w:r w:rsidR="00027180" w:rsidRPr="00A42DEC">
        <w:rPr>
          <w:rFonts w:ascii="Arial" w:hAnsi="Arial" w:cs="Arial"/>
          <w:sz w:val="24"/>
          <w:szCs w:val="24"/>
        </w:rPr>
        <w:t xml:space="preserve">evidence, will </w:t>
      </w:r>
      <w:proofErr w:type="gramStart"/>
      <w:r w:rsidR="00027180" w:rsidRPr="00A42DEC">
        <w:rPr>
          <w:rFonts w:ascii="Arial" w:hAnsi="Arial" w:cs="Arial"/>
          <w:sz w:val="24"/>
          <w:szCs w:val="24"/>
        </w:rPr>
        <w:t>a damages</w:t>
      </w:r>
      <w:proofErr w:type="gramEnd"/>
      <w:r w:rsidR="00027180" w:rsidRPr="00A42DEC">
        <w:rPr>
          <w:rFonts w:ascii="Arial" w:hAnsi="Arial" w:cs="Arial"/>
          <w:sz w:val="24"/>
          <w:szCs w:val="24"/>
        </w:rPr>
        <w:t xml:space="preserve"> claim by the applicant against the first respondent be appropriate or should this court order a </w:t>
      </w:r>
      <w:r w:rsidR="00027180" w:rsidRPr="00A42DEC">
        <w:rPr>
          <w:rFonts w:ascii="Arial" w:hAnsi="Arial" w:cs="Arial"/>
          <w:sz w:val="24"/>
          <w:szCs w:val="24"/>
        </w:rPr>
        <w:lastRenderedPageBreak/>
        <w:t>demolition order?  In my view, a damages claim will not undo the above dangers alluded to by the applicant.  The applicant’s fears of damage to the foundations of the outbuilding</w:t>
      </w:r>
      <w:r w:rsidR="00EF2302" w:rsidRPr="00A42DEC">
        <w:rPr>
          <w:rFonts w:ascii="Arial" w:hAnsi="Arial" w:cs="Arial"/>
          <w:sz w:val="24"/>
          <w:szCs w:val="24"/>
        </w:rPr>
        <w:t>,</w:t>
      </w:r>
      <w:r w:rsidR="00027180" w:rsidRPr="00A42DEC">
        <w:rPr>
          <w:rFonts w:ascii="Arial" w:hAnsi="Arial" w:cs="Arial"/>
          <w:sz w:val="24"/>
          <w:szCs w:val="24"/>
        </w:rPr>
        <w:t xml:space="preserve"> with possible adverse consequences to the applicant or its envisaged dwelling are real. </w:t>
      </w:r>
      <w:r w:rsidR="008F5097" w:rsidRPr="00A42DEC">
        <w:rPr>
          <w:rFonts w:ascii="Arial" w:hAnsi="Arial" w:cs="Arial"/>
          <w:sz w:val="24"/>
          <w:szCs w:val="24"/>
        </w:rPr>
        <w:t xml:space="preserve"> </w:t>
      </w:r>
      <w:r w:rsidR="008F5097" w:rsidRPr="00A42DEC">
        <w:rPr>
          <w:rFonts w:ascii="Arial" w:hAnsi="Arial" w:cs="Arial"/>
          <w:color w:val="000000"/>
          <w:sz w:val="24"/>
          <w:szCs w:val="24"/>
        </w:rPr>
        <w:t xml:space="preserve">A remedy in damages </w:t>
      </w:r>
      <w:r w:rsidR="00F359D3" w:rsidRPr="00A42DEC">
        <w:rPr>
          <w:rFonts w:ascii="Arial" w:hAnsi="Arial" w:cs="Arial"/>
          <w:color w:val="000000"/>
          <w:sz w:val="24"/>
          <w:szCs w:val="24"/>
        </w:rPr>
        <w:t xml:space="preserve">might </w:t>
      </w:r>
      <w:r w:rsidR="008F5097" w:rsidRPr="00A42DEC">
        <w:rPr>
          <w:rFonts w:ascii="Arial" w:hAnsi="Arial" w:cs="Arial"/>
          <w:color w:val="000000"/>
          <w:sz w:val="24"/>
          <w:szCs w:val="24"/>
        </w:rPr>
        <w:t xml:space="preserve">not </w:t>
      </w:r>
      <w:r w:rsidR="00F359D3" w:rsidRPr="00A42DEC">
        <w:rPr>
          <w:rFonts w:ascii="Arial" w:hAnsi="Arial" w:cs="Arial"/>
          <w:color w:val="000000"/>
          <w:sz w:val="24"/>
          <w:szCs w:val="24"/>
        </w:rPr>
        <w:t xml:space="preserve">be </w:t>
      </w:r>
      <w:r w:rsidR="008F5097" w:rsidRPr="00A42DEC">
        <w:rPr>
          <w:rFonts w:ascii="Arial" w:hAnsi="Arial" w:cs="Arial"/>
          <w:color w:val="000000"/>
          <w:sz w:val="24"/>
          <w:szCs w:val="24"/>
        </w:rPr>
        <w:t>an answer to that problem.</w:t>
      </w:r>
      <w:r w:rsidR="00027180" w:rsidRPr="00A42DEC">
        <w:rPr>
          <w:rFonts w:ascii="Arial" w:hAnsi="Arial" w:cs="Arial"/>
          <w:sz w:val="24"/>
          <w:szCs w:val="24"/>
        </w:rPr>
        <w:t xml:space="preserve"> </w:t>
      </w:r>
      <w:r w:rsidR="008F5097" w:rsidRPr="00A42DEC">
        <w:rPr>
          <w:rFonts w:ascii="Arial" w:hAnsi="Arial" w:cs="Arial"/>
          <w:sz w:val="24"/>
          <w:szCs w:val="24"/>
        </w:rPr>
        <w:t xml:space="preserve"> </w:t>
      </w:r>
      <w:r w:rsidR="00027180" w:rsidRPr="00A42DEC">
        <w:rPr>
          <w:rFonts w:ascii="Arial" w:hAnsi="Arial" w:cs="Arial"/>
          <w:sz w:val="24"/>
          <w:szCs w:val="24"/>
        </w:rPr>
        <w:t>In my view</w:t>
      </w:r>
      <w:r w:rsidR="008F5097" w:rsidRPr="00A42DEC">
        <w:rPr>
          <w:rFonts w:ascii="Arial" w:hAnsi="Arial" w:cs="Arial"/>
          <w:sz w:val="24"/>
          <w:szCs w:val="24"/>
        </w:rPr>
        <w:t xml:space="preserve"> and </w:t>
      </w:r>
      <w:r w:rsidR="00027180" w:rsidRPr="00A42DEC">
        <w:rPr>
          <w:rFonts w:ascii="Arial" w:hAnsi="Arial" w:cs="Arial"/>
          <w:sz w:val="24"/>
          <w:szCs w:val="24"/>
        </w:rPr>
        <w:t xml:space="preserve">given the circumstances, </w:t>
      </w:r>
      <w:r w:rsidR="008F5097" w:rsidRPr="00A42DEC">
        <w:rPr>
          <w:rFonts w:ascii="Arial" w:hAnsi="Arial" w:cs="Arial"/>
          <w:sz w:val="24"/>
          <w:szCs w:val="24"/>
        </w:rPr>
        <w:t>the appropriate remedy is</w:t>
      </w:r>
      <w:r w:rsidR="00027180" w:rsidRPr="00A42DEC">
        <w:rPr>
          <w:rFonts w:ascii="Arial" w:hAnsi="Arial" w:cs="Arial"/>
          <w:sz w:val="24"/>
          <w:szCs w:val="24"/>
        </w:rPr>
        <w:t xml:space="preserve"> to order the </w:t>
      </w:r>
      <w:r w:rsidR="008F5097" w:rsidRPr="00A42DEC">
        <w:rPr>
          <w:rFonts w:ascii="Arial" w:hAnsi="Arial" w:cs="Arial"/>
          <w:sz w:val="24"/>
          <w:szCs w:val="24"/>
        </w:rPr>
        <w:t>demolition of the outbuilding</w:t>
      </w:r>
      <w:r w:rsidR="00F359D3" w:rsidRPr="00A42DEC">
        <w:rPr>
          <w:rFonts w:ascii="Arial" w:hAnsi="Arial" w:cs="Arial"/>
          <w:sz w:val="24"/>
          <w:szCs w:val="24"/>
        </w:rPr>
        <w:t xml:space="preserve">, but only </w:t>
      </w:r>
      <w:r w:rsidR="008F5097" w:rsidRPr="00A42DEC">
        <w:rPr>
          <w:rFonts w:ascii="Arial" w:hAnsi="Arial" w:cs="Arial"/>
          <w:sz w:val="24"/>
          <w:szCs w:val="24"/>
        </w:rPr>
        <w:t>to the extent that it encroaches over the building line.</w:t>
      </w:r>
      <w:r w:rsidR="00F359D3" w:rsidRPr="00A42DEC">
        <w:rPr>
          <w:rFonts w:ascii="Arial" w:hAnsi="Arial" w:cs="Arial"/>
          <w:sz w:val="24"/>
          <w:szCs w:val="24"/>
        </w:rPr>
        <w:t xml:space="preserve">  However, </w:t>
      </w:r>
      <w:r w:rsidR="002745EF" w:rsidRPr="00A42DEC">
        <w:rPr>
          <w:rFonts w:ascii="Arial" w:hAnsi="Arial" w:cs="Arial"/>
          <w:sz w:val="24"/>
          <w:szCs w:val="24"/>
        </w:rPr>
        <w:t xml:space="preserve">because of the drastic nature of demolition, </w:t>
      </w:r>
      <w:r w:rsidR="00F359D3" w:rsidRPr="00A42DEC">
        <w:rPr>
          <w:rFonts w:ascii="Arial" w:hAnsi="Arial" w:cs="Arial"/>
          <w:sz w:val="24"/>
          <w:szCs w:val="24"/>
        </w:rPr>
        <w:t>the first respondent should be given an opportunity to establish that the construction of the applicant’s envisage</w:t>
      </w:r>
      <w:r w:rsidR="002745EF" w:rsidRPr="00A42DEC">
        <w:rPr>
          <w:rFonts w:ascii="Arial" w:hAnsi="Arial" w:cs="Arial"/>
          <w:sz w:val="24"/>
          <w:szCs w:val="24"/>
        </w:rPr>
        <w:t>d</w:t>
      </w:r>
      <w:r w:rsidR="00F359D3" w:rsidRPr="00A42DEC">
        <w:rPr>
          <w:rFonts w:ascii="Arial" w:hAnsi="Arial" w:cs="Arial"/>
          <w:sz w:val="24"/>
          <w:szCs w:val="24"/>
        </w:rPr>
        <w:t xml:space="preserve"> dwelling will not pose any real risk to the outbuilding or the construction of the applicant’s envisaged dwelling.  It is for that reason that the ord</w:t>
      </w:r>
      <w:r w:rsidR="00EF2302" w:rsidRPr="00A42DEC">
        <w:rPr>
          <w:rFonts w:ascii="Arial" w:hAnsi="Arial" w:cs="Arial"/>
          <w:sz w:val="24"/>
          <w:szCs w:val="24"/>
        </w:rPr>
        <w:t>er has been formulated in the</w:t>
      </w:r>
      <w:r w:rsidR="00F359D3" w:rsidRPr="00A42DEC">
        <w:rPr>
          <w:rFonts w:ascii="Arial" w:hAnsi="Arial" w:cs="Arial"/>
          <w:sz w:val="24"/>
          <w:szCs w:val="24"/>
        </w:rPr>
        <w:t xml:space="preserve"> fashion</w:t>
      </w:r>
      <w:r w:rsidR="00EF2302" w:rsidRPr="00A42DEC">
        <w:rPr>
          <w:rFonts w:ascii="Arial" w:hAnsi="Arial" w:cs="Arial"/>
          <w:sz w:val="24"/>
          <w:szCs w:val="24"/>
        </w:rPr>
        <w:t xml:space="preserve"> set out below</w:t>
      </w:r>
      <w:r w:rsidR="00F359D3" w:rsidRPr="00A42DEC">
        <w:rPr>
          <w:rFonts w:ascii="Arial" w:hAnsi="Arial" w:cs="Arial"/>
          <w:sz w:val="24"/>
          <w:szCs w:val="24"/>
        </w:rPr>
        <w:t>.</w:t>
      </w:r>
    </w:p>
    <w:p w14:paraId="4DD3F6FA" w14:textId="77777777" w:rsidR="008F5097" w:rsidRPr="008F5097" w:rsidRDefault="008F5097" w:rsidP="008F5097">
      <w:pPr>
        <w:pStyle w:val="ListParagraph"/>
        <w:rPr>
          <w:rFonts w:ascii="Arial" w:hAnsi="Arial" w:cs="Arial"/>
          <w:sz w:val="24"/>
          <w:szCs w:val="24"/>
        </w:rPr>
      </w:pPr>
    </w:p>
    <w:p w14:paraId="57B6ABE3" w14:textId="1DE3958F" w:rsidR="008F5097"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F5097" w:rsidRPr="00A42DEC">
        <w:rPr>
          <w:rFonts w:ascii="Arial" w:hAnsi="Arial" w:cs="Arial"/>
          <w:sz w:val="24"/>
          <w:szCs w:val="24"/>
        </w:rPr>
        <w:t xml:space="preserve">Since the applicant has been successful, it is entitled to the costs of the application.  It would be appropriate for each party to pay its or her own costs relating to the first respondent’s application to deliver a rejoinder affidavit in response to the applicant’s </w:t>
      </w:r>
      <w:proofErr w:type="gramStart"/>
      <w:r w:rsidR="008F5097" w:rsidRPr="00A42DEC">
        <w:rPr>
          <w:rFonts w:ascii="Arial" w:hAnsi="Arial" w:cs="Arial"/>
          <w:sz w:val="24"/>
          <w:szCs w:val="24"/>
        </w:rPr>
        <w:t>replying</w:t>
      </w:r>
      <w:proofErr w:type="gramEnd"/>
      <w:r w:rsidR="008F5097" w:rsidRPr="00A42DEC">
        <w:rPr>
          <w:rFonts w:ascii="Arial" w:hAnsi="Arial" w:cs="Arial"/>
          <w:sz w:val="24"/>
          <w:szCs w:val="24"/>
        </w:rPr>
        <w:t xml:space="preserve"> affidavit.</w:t>
      </w:r>
    </w:p>
    <w:p w14:paraId="15ECFFDB" w14:textId="77777777" w:rsidR="008F5097" w:rsidRPr="008F5097" w:rsidRDefault="008F5097" w:rsidP="008F5097">
      <w:pPr>
        <w:pStyle w:val="ListParagraph"/>
        <w:rPr>
          <w:rFonts w:ascii="Arial" w:hAnsi="Arial" w:cs="Arial"/>
          <w:sz w:val="24"/>
          <w:szCs w:val="24"/>
        </w:rPr>
      </w:pPr>
    </w:p>
    <w:p w14:paraId="4020269C" w14:textId="3FC6B4E6" w:rsidR="00885ADD" w:rsidRPr="00A42DEC" w:rsidRDefault="00A42DEC" w:rsidP="00A42DEC">
      <w:pPr>
        <w:spacing w:after="0" w:line="360" w:lineRule="auto"/>
        <w:ind w:left="567" w:hanging="567"/>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F5097" w:rsidRPr="00A42DEC">
        <w:rPr>
          <w:rFonts w:ascii="Arial" w:hAnsi="Arial" w:cs="Arial"/>
          <w:sz w:val="24"/>
          <w:szCs w:val="24"/>
        </w:rPr>
        <w:t>In the result, the following order shall issue:</w:t>
      </w:r>
      <w:r w:rsidR="00885ADD" w:rsidRPr="00A42DEC">
        <w:rPr>
          <w:rFonts w:ascii="Arial" w:hAnsi="Arial" w:cs="Arial"/>
          <w:sz w:val="24"/>
          <w:szCs w:val="24"/>
        </w:rPr>
        <w:t xml:space="preserve"> </w:t>
      </w:r>
    </w:p>
    <w:p w14:paraId="2C761566" w14:textId="77777777" w:rsidR="00885ADD" w:rsidRPr="00885ADD" w:rsidRDefault="00885ADD" w:rsidP="00885ADD">
      <w:pPr>
        <w:pStyle w:val="ListParagraph"/>
        <w:rPr>
          <w:rFonts w:ascii="Arial" w:hAnsi="Arial" w:cs="Arial"/>
          <w:sz w:val="24"/>
          <w:szCs w:val="24"/>
        </w:rPr>
      </w:pPr>
    </w:p>
    <w:p w14:paraId="491FC504" w14:textId="51A288A3" w:rsidR="00F04124" w:rsidRPr="00A42DEC" w:rsidRDefault="00A42DEC" w:rsidP="00A42DEC">
      <w:pPr>
        <w:spacing w:after="0" w:line="360" w:lineRule="auto"/>
        <w:ind w:left="1134"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F04124" w:rsidRPr="00A42DEC">
        <w:rPr>
          <w:rFonts w:ascii="Arial" w:hAnsi="Arial" w:cs="Arial"/>
          <w:sz w:val="24"/>
          <w:szCs w:val="24"/>
        </w:rPr>
        <w:t xml:space="preserve">It is declared that the </w:t>
      </w:r>
      <w:r w:rsidR="00BC27EE" w:rsidRPr="00A42DEC">
        <w:rPr>
          <w:rFonts w:ascii="Arial" w:hAnsi="Arial" w:cs="Arial"/>
          <w:sz w:val="24"/>
          <w:szCs w:val="24"/>
        </w:rPr>
        <w:t xml:space="preserve">structure, </w:t>
      </w:r>
      <w:r w:rsidR="00885ADD" w:rsidRPr="00A42DEC">
        <w:rPr>
          <w:rFonts w:ascii="Arial" w:hAnsi="Arial" w:cs="Arial"/>
          <w:sz w:val="24"/>
          <w:szCs w:val="24"/>
        </w:rPr>
        <w:t xml:space="preserve">erected </w:t>
      </w:r>
      <w:r w:rsidR="00BC27EE" w:rsidRPr="00A42DEC">
        <w:rPr>
          <w:rFonts w:ascii="Arial" w:hAnsi="Arial" w:cs="Arial"/>
          <w:sz w:val="24"/>
          <w:szCs w:val="24"/>
        </w:rPr>
        <w:t>pursuant to building plans approved by the second respondent on 27 February 1997 (the outbuilding)</w:t>
      </w:r>
      <w:r w:rsidR="006630CF" w:rsidRPr="00A42DEC">
        <w:rPr>
          <w:rFonts w:ascii="Arial" w:hAnsi="Arial" w:cs="Arial"/>
          <w:sz w:val="24"/>
          <w:szCs w:val="24"/>
        </w:rPr>
        <w:t>,</w:t>
      </w:r>
      <w:r w:rsidR="00BC27EE" w:rsidRPr="00A42DEC">
        <w:rPr>
          <w:rFonts w:ascii="Arial" w:hAnsi="Arial" w:cs="Arial"/>
          <w:sz w:val="24"/>
          <w:szCs w:val="24"/>
        </w:rPr>
        <w:t xml:space="preserve"> </w:t>
      </w:r>
      <w:r w:rsidR="00885ADD" w:rsidRPr="00A42DEC">
        <w:rPr>
          <w:rFonts w:ascii="Arial" w:hAnsi="Arial" w:cs="Arial"/>
          <w:sz w:val="24"/>
          <w:szCs w:val="24"/>
        </w:rPr>
        <w:t>upon erf 1561, Kenton-on-Sea</w:t>
      </w:r>
      <w:r w:rsidR="00235D91" w:rsidRPr="00A42DEC">
        <w:rPr>
          <w:rFonts w:ascii="Arial" w:hAnsi="Arial" w:cs="Arial"/>
          <w:sz w:val="24"/>
          <w:szCs w:val="24"/>
        </w:rPr>
        <w:t xml:space="preserve">, in the area of jurisdiction of the </w:t>
      </w:r>
      <w:proofErr w:type="spellStart"/>
      <w:r w:rsidR="00235D91" w:rsidRPr="00A42DEC">
        <w:rPr>
          <w:rFonts w:ascii="Arial" w:hAnsi="Arial" w:cs="Arial"/>
          <w:sz w:val="24"/>
          <w:szCs w:val="24"/>
        </w:rPr>
        <w:t>Ndlambe</w:t>
      </w:r>
      <w:proofErr w:type="spellEnd"/>
      <w:r w:rsidR="00235D91" w:rsidRPr="00A42DEC">
        <w:rPr>
          <w:rFonts w:ascii="Arial" w:hAnsi="Arial" w:cs="Arial"/>
          <w:sz w:val="24"/>
          <w:szCs w:val="24"/>
        </w:rPr>
        <w:t xml:space="preserve"> Local Municipality, Province of the Eastern Cape, measuring 933 square metres, </w:t>
      </w:r>
      <w:r w:rsidR="00F04124" w:rsidRPr="00A42DEC">
        <w:rPr>
          <w:rFonts w:ascii="Arial" w:hAnsi="Arial" w:cs="Arial"/>
          <w:sz w:val="24"/>
          <w:szCs w:val="24"/>
        </w:rPr>
        <w:t>has been unlawfully erected since it encroache</w:t>
      </w:r>
      <w:r w:rsidR="00235D91" w:rsidRPr="00A42DEC">
        <w:rPr>
          <w:rFonts w:ascii="Arial" w:hAnsi="Arial" w:cs="Arial"/>
          <w:sz w:val="24"/>
          <w:szCs w:val="24"/>
        </w:rPr>
        <w:t>s</w:t>
      </w:r>
      <w:r w:rsidR="00F04124" w:rsidRPr="00A42DEC">
        <w:rPr>
          <w:rFonts w:ascii="Arial" w:hAnsi="Arial" w:cs="Arial"/>
          <w:sz w:val="24"/>
          <w:szCs w:val="24"/>
        </w:rPr>
        <w:t xml:space="preserve"> the building line</w:t>
      </w:r>
      <w:r w:rsidR="00235D91" w:rsidRPr="00A42DEC">
        <w:rPr>
          <w:rFonts w:ascii="Arial" w:hAnsi="Arial" w:cs="Arial"/>
          <w:sz w:val="24"/>
          <w:szCs w:val="24"/>
        </w:rPr>
        <w:t xml:space="preserve"> closest to the boundary with erf 1560, Kenton-on-Sea</w:t>
      </w:r>
      <w:r w:rsidR="00F04124" w:rsidRPr="00A42DEC">
        <w:rPr>
          <w:rFonts w:ascii="Arial" w:hAnsi="Arial" w:cs="Arial"/>
          <w:sz w:val="24"/>
          <w:szCs w:val="24"/>
        </w:rPr>
        <w:t xml:space="preserve">, in contravention of the National Building Regulations </w:t>
      </w:r>
      <w:r w:rsidR="00885ADD" w:rsidRPr="00A42DEC">
        <w:rPr>
          <w:rFonts w:ascii="Arial" w:hAnsi="Arial" w:cs="Arial"/>
          <w:sz w:val="24"/>
          <w:szCs w:val="24"/>
        </w:rPr>
        <w:t xml:space="preserve">made under the National Building Regulations </w:t>
      </w:r>
      <w:r w:rsidR="00F04124" w:rsidRPr="00A42DEC">
        <w:rPr>
          <w:rFonts w:ascii="Arial" w:hAnsi="Arial" w:cs="Arial"/>
          <w:sz w:val="24"/>
          <w:szCs w:val="24"/>
        </w:rPr>
        <w:t>and Building Standar</w:t>
      </w:r>
      <w:r w:rsidR="00885ADD" w:rsidRPr="00A42DEC">
        <w:rPr>
          <w:rFonts w:ascii="Arial" w:hAnsi="Arial" w:cs="Arial"/>
          <w:sz w:val="24"/>
          <w:szCs w:val="24"/>
        </w:rPr>
        <w:t xml:space="preserve">ds Act, 1977 (Act 103 of 1977). </w:t>
      </w:r>
    </w:p>
    <w:p w14:paraId="62D617EC" w14:textId="77777777" w:rsidR="00885ADD" w:rsidRDefault="00885ADD" w:rsidP="00885ADD">
      <w:pPr>
        <w:pStyle w:val="ListParagraph"/>
        <w:spacing w:after="0" w:line="360" w:lineRule="auto"/>
        <w:ind w:left="1134"/>
        <w:jc w:val="both"/>
        <w:rPr>
          <w:rFonts w:ascii="Arial" w:hAnsi="Arial" w:cs="Arial"/>
          <w:sz w:val="24"/>
          <w:szCs w:val="24"/>
        </w:rPr>
      </w:pPr>
    </w:p>
    <w:p w14:paraId="4A60A109" w14:textId="49E19B93" w:rsidR="00885ADD" w:rsidRPr="00A42DEC" w:rsidRDefault="00A42DEC" w:rsidP="00A42DEC">
      <w:pPr>
        <w:spacing w:after="0" w:line="360" w:lineRule="auto"/>
        <w:ind w:left="1134"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235D91" w:rsidRPr="00A42DEC">
        <w:rPr>
          <w:rFonts w:ascii="Arial" w:hAnsi="Arial" w:cs="Arial"/>
          <w:sz w:val="24"/>
          <w:szCs w:val="24"/>
        </w:rPr>
        <w:t>The first respondent be and is hereby directed to demolish the outbuilding</w:t>
      </w:r>
      <w:r w:rsidR="00DF4AF3" w:rsidRPr="00A42DEC">
        <w:rPr>
          <w:rFonts w:ascii="Arial" w:hAnsi="Arial" w:cs="Arial"/>
          <w:sz w:val="24"/>
          <w:szCs w:val="24"/>
        </w:rPr>
        <w:t>, only to the extent that it encroaches over the building line</w:t>
      </w:r>
      <w:r w:rsidR="00235D91" w:rsidRPr="00A42DEC">
        <w:rPr>
          <w:rFonts w:ascii="Arial" w:hAnsi="Arial" w:cs="Arial"/>
          <w:sz w:val="24"/>
          <w:szCs w:val="24"/>
        </w:rPr>
        <w:t>.</w:t>
      </w:r>
    </w:p>
    <w:p w14:paraId="780EAA1C" w14:textId="77777777" w:rsidR="00885ADD" w:rsidRPr="00885ADD" w:rsidRDefault="00885ADD" w:rsidP="00885ADD">
      <w:pPr>
        <w:pStyle w:val="ListParagraph"/>
        <w:rPr>
          <w:rFonts w:ascii="Arial" w:hAnsi="Arial" w:cs="Arial"/>
          <w:sz w:val="24"/>
          <w:szCs w:val="24"/>
        </w:rPr>
      </w:pPr>
    </w:p>
    <w:p w14:paraId="65A0FE30" w14:textId="35152926" w:rsidR="004D4AF7" w:rsidRPr="00A42DEC" w:rsidRDefault="00A42DEC" w:rsidP="00A42DEC">
      <w:pPr>
        <w:spacing w:after="0" w:line="360" w:lineRule="auto"/>
        <w:ind w:left="1134"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235D91" w:rsidRPr="00A42DEC">
        <w:rPr>
          <w:rFonts w:ascii="Arial" w:hAnsi="Arial" w:cs="Arial"/>
          <w:sz w:val="24"/>
          <w:szCs w:val="24"/>
        </w:rPr>
        <w:t xml:space="preserve">The </w:t>
      </w:r>
      <w:r w:rsidR="00DF4AF3" w:rsidRPr="00A42DEC">
        <w:rPr>
          <w:rFonts w:ascii="Arial" w:hAnsi="Arial" w:cs="Arial"/>
          <w:sz w:val="24"/>
          <w:szCs w:val="24"/>
        </w:rPr>
        <w:t xml:space="preserve">partial </w:t>
      </w:r>
      <w:r w:rsidR="00235D91" w:rsidRPr="00A42DEC">
        <w:rPr>
          <w:rFonts w:ascii="Arial" w:hAnsi="Arial" w:cs="Arial"/>
          <w:sz w:val="24"/>
          <w:szCs w:val="24"/>
        </w:rPr>
        <w:t xml:space="preserve">demolition of the outbuilding shall not take place unless and until a suitably qualified engineer </w:t>
      </w:r>
      <w:r w:rsidR="00D8491C" w:rsidRPr="00A42DEC">
        <w:rPr>
          <w:rFonts w:ascii="Arial" w:hAnsi="Arial" w:cs="Arial"/>
          <w:sz w:val="24"/>
          <w:szCs w:val="24"/>
        </w:rPr>
        <w:t xml:space="preserve">(the engineer) </w:t>
      </w:r>
      <w:r w:rsidR="00235D91" w:rsidRPr="00A42DEC">
        <w:rPr>
          <w:rFonts w:ascii="Arial" w:hAnsi="Arial" w:cs="Arial"/>
          <w:sz w:val="24"/>
          <w:szCs w:val="24"/>
        </w:rPr>
        <w:t xml:space="preserve">has </w:t>
      </w:r>
      <w:r w:rsidR="004D4AF7" w:rsidRPr="00A42DEC">
        <w:rPr>
          <w:rFonts w:ascii="Arial" w:hAnsi="Arial" w:cs="Arial"/>
          <w:sz w:val="24"/>
          <w:szCs w:val="24"/>
        </w:rPr>
        <w:t xml:space="preserve">issued a </w:t>
      </w:r>
      <w:r w:rsidR="00235D91" w:rsidRPr="00A42DEC">
        <w:rPr>
          <w:rFonts w:ascii="Arial" w:hAnsi="Arial" w:cs="Arial"/>
          <w:sz w:val="24"/>
          <w:szCs w:val="24"/>
        </w:rPr>
        <w:t>certified</w:t>
      </w:r>
      <w:r w:rsidR="004D4AF7" w:rsidRPr="00A42DEC">
        <w:rPr>
          <w:rFonts w:ascii="Arial" w:hAnsi="Arial" w:cs="Arial"/>
          <w:sz w:val="24"/>
          <w:szCs w:val="24"/>
        </w:rPr>
        <w:t xml:space="preserve"> as to </w:t>
      </w:r>
      <w:proofErr w:type="gramStart"/>
      <w:r w:rsidR="004D4AF7" w:rsidRPr="00A42DEC">
        <w:rPr>
          <w:rFonts w:ascii="Arial" w:hAnsi="Arial" w:cs="Arial"/>
          <w:sz w:val="24"/>
          <w:szCs w:val="24"/>
        </w:rPr>
        <w:t>whether or not</w:t>
      </w:r>
      <w:proofErr w:type="gramEnd"/>
      <w:r w:rsidR="004D4AF7" w:rsidRPr="00A42DEC">
        <w:rPr>
          <w:rFonts w:ascii="Arial" w:hAnsi="Arial" w:cs="Arial"/>
          <w:sz w:val="24"/>
          <w:szCs w:val="24"/>
        </w:rPr>
        <w:t>:</w:t>
      </w:r>
    </w:p>
    <w:p w14:paraId="6C4467C1" w14:textId="77777777" w:rsidR="004D4AF7" w:rsidRPr="004D4AF7" w:rsidRDefault="004D4AF7" w:rsidP="004D4AF7">
      <w:pPr>
        <w:pStyle w:val="ListParagraph"/>
        <w:rPr>
          <w:rFonts w:ascii="Arial" w:hAnsi="Arial" w:cs="Arial"/>
          <w:sz w:val="24"/>
          <w:szCs w:val="24"/>
        </w:rPr>
      </w:pPr>
    </w:p>
    <w:p w14:paraId="174D3BAB" w14:textId="6817EAF6" w:rsidR="00E92A8D" w:rsidRPr="00A42DEC" w:rsidRDefault="00A42DEC" w:rsidP="00A42DEC">
      <w:pPr>
        <w:spacing w:after="0" w:line="360" w:lineRule="auto"/>
        <w:ind w:left="1701" w:hanging="567"/>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BC27EE" w:rsidRPr="00A42DEC">
        <w:rPr>
          <w:rFonts w:ascii="Arial" w:hAnsi="Arial" w:cs="Arial"/>
          <w:sz w:val="24"/>
          <w:szCs w:val="24"/>
        </w:rPr>
        <w:t>the construction of the applicant’s envisaged residential dwelling</w:t>
      </w:r>
      <w:r w:rsidR="00EF2302" w:rsidRPr="00A42DEC">
        <w:rPr>
          <w:rFonts w:ascii="Arial" w:hAnsi="Arial" w:cs="Arial"/>
          <w:sz w:val="24"/>
          <w:szCs w:val="24"/>
        </w:rPr>
        <w:t>, as envisaged in the approved building plans (Annexure FA4 of the applicant’s founding affidavit),</w:t>
      </w:r>
      <w:r w:rsidR="00BC27EE" w:rsidRPr="00A42DEC">
        <w:rPr>
          <w:rFonts w:ascii="Arial" w:hAnsi="Arial" w:cs="Arial"/>
          <w:sz w:val="24"/>
          <w:szCs w:val="24"/>
        </w:rPr>
        <w:t xml:space="preserve"> will compromise the structural integrity and safety of the first respondent’s outbuilding; and</w:t>
      </w:r>
      <w:r w:rsidR="00060420" w:rsidRPr="00A42DEC">
        <w:rPr>
          <w:rFonts w:ascii="Arial" w:hAnsi="Arial" w:cs="Arial"/>
          <w:sz w:val="24"/>
          <w:szCs w:val="24"/>
        </w:rPr>
        <w:t xml:space="preserve"> </w:t>
      </w:r>
    </w:p>
    <w:p w14:paraId="08F6DFF9" w14:textId="77777777" w:rsidR="00E92A8D" w:rsidRPr="00E92A8D" w:rsidRDefault="00E92A8D" w:rsidP="00E92A8D">
      <w:pPr>
        <w:pStyle w:val="ListParagraph"/>
        <w:rPr>
          <w:rFonts w:ascii="Arial" w:hAnsi="Arial" w:cs="Arial"/>
          <w:sz w:val="24"/>
          <w:szCs w:val="24"/>
        </w:rPr>
      </w:pPr>
    </w:p>
    <w:p w14:paraId="01FB0690" w14:textId="7D21AC82" w:rsidR="00885ADD" w:rsidRPr="00A42DEC" w:rsidRDefault="00A42DEC" w:rsidP="00A42DEC">
      <w:pPr>
        <w:spacing w:after="0" w:line="360" w:lineRule="auto"/>
        <w:ind w:left="1701" w:hanging="567"/>
        <w:jc w:val="both"/>
        <w:rPr>
          <w:rFonts w:ascii="Arial" w:hAnsi="Arial" w:cs="Arial"/>
          <w:sz w:val="24"/>
          <w:szCs w:val="24"/>
        </w:rPr>
      </w:pPr>
      <w:r w:rsidRPr="00BC27EE">
        <w:rPr>
          <w:rFonts w:ascii="Arial" w:hAnsi="Arial" w:cs="Arial"/>
          <w:sz w:val="24"/>
          <w:szCs w:val="24"/>
        </w:rPr>
        <w:t>3.2</w:t>
      </w:r>
      <w:r w:rsidRPr="00BC27EE">
        <w:rPr>
          <w:rFonts w:ascii="Arial" w:hAnsi="Arial" w:cs="Arial"/>
          <w:sz w:val="24"/>
          <w:szCs w:val="24"/>
        </w:rPr>
        <w:tab/>
      </w:r>
      <w:r w:rsidR="00BC27EE" w:rsidRPr="00A42DEC">
        <w:rPr>
          <w:rFonts w:ascii="Arial" w:hAnsi="Arial" w:cs="Arial"/>
          <w:sz w:val="24"/>
          <w:szCs w:val="24"/>
        </w:rPr>
        <w:t xml:space="preserve">the outbuilding will compromise the construction of the applicant’s </w:t>
      </w:r>
      <w:r w:rsidR="00EF2302" w:rsidRPr="00A42DEC">
        <w:rPr>
          <w:rFonts w:ascii="Arial" w:hAnsi="Arial" w:cs="Arial"/>
          <w:sz w:val="24"/>
          <w:szCs w:val="24"/>
        </w:rPr>
        <w:t xml:space="preserve">envisaged </w:t>
      </w:r>
      <w:r w:rsidR="00BC27EE" w:rsidRPr="00A42DEC">
        <w:rPr>
          <w:rFonts w:ascii="Arial" w:hAnsi="Arial" w:cs="Arial"/>
          <w:sz w:val="24"/>
          <w:szCs w:val="24"/>
        </w:rPr>
        <w:t>residential dwelling.</w:t>
      </w:r>
    </w:p>
    <w:p w14:paraId="16377125" w14:textId="77777777" w:rsidR="00885ADD" w:rsidRPr="00885ADD" w:rsidRDefault="00885ADD" w:rsidP="00885ADD">
      <w:pPr>
        <w:pStyle w:val="ListParagraph"/>
        <w:rPr>
          <w:rFonts w:ascii="Arial" w:hAnsi="Arial" w:cs="Arial"/>
          <w:sz w:val="24"/>
          <w:szCs w:val="24"/>
        </w:rPr>
      </w:pPr>
    </w:p>
    <w:p w14:paraId="67FC6013" w14:textId="15F0A6E6" w:rsidR="00885ADD" w:rsidRPr="00A42DEC" w:rsidRDefault="00A42DEC" w:rsidP="00A42DEC">
      <w:pPr>
        <w:spacing w:after="0" w:line="360" w:lineRule="auto"/>
        <w:ind w:left="1134"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D8491C" w:rsidRPr="00A42DEC">
        <w:rPr>
          <w:rFonts w:ascii="Arial" w:hAnsi="Arial" w:cs="Arial"/>
          <w:sz w:val="24"/>
          <w:szCs w:val="24"/>
        </w:rPr>
        <w:t xml:space="preserve">The first respondent shall, at her expense, employ the engineer </w:t>
      </w:r>
      <w:r w:rsidR="007B59D0" w:rsidRPr="00A42DEC">
        <w:rPr>
          <w:rFonts w:ascii="Arial" w:hAnsi="Arial" w:cs="Arial"/>
          <w:sz w:val="24"/>
          <w:szCs w:val="24"/>
        </w:rPr>
        <w:t>to produce the certificate, with reasons for the conclusions at which he or she has arrived.</w:t>
      </w:r>
    </w:p>
    <w:p w14:paraId="57FE9C42" w14:textId="77777777" w:rsidR="00885ADD" w:rsidRPr="00885ADD" w:rsidRDefault="00885ADD" w:rsidP="00885ADD">
      <w:pPr>
        <w:pStyle w:val="ListParagraph"/>
        <w:rPr>
          <w:rFonts w:ascii="Arial" w:hAnsi="Arial" w:cs="Arial"/>
          <w:sz w:val="24"/>
          <w:szCs w:val="24"/>
        </w:rPr>
      </w:pPr>
    </w:p>
    <w:p w14:paraId="5DBD6445" w14:textId="0BF54A01" w:rsidR="00D8491C" w:rsidRPr="00A42DEC" w:rsidRDefault="00A42DEC" w:rsidP="00A42DEC">
      <w:pPr>
        <w:spacing w:after="0" w:line="360" w:lineRule="auto"/>
        <w:ind w:left="1134"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D8491C" w:rsidRPr="00A42DEC">
        <w:rPr>
          <w:rFonts w:ascii="Arial" w:hAnsi="Arial" w:cs="Arial"/>
          <w:sz w:val="24"/>
          <w:szCs w:val="24"/>
        </w:rPr>
        <w:t xml:space="preserve">The first respondent shall serve a copy of the engineer’s certificate on the applicant’s attorney and the </w:t>
      </w:r>
      <w:r w:rsidR="006630CF" w:rsidRPr="00A42DEC">
        <w:rPr>
          <w:rFonts w:ascii="Arial" w:hAnsi="Arial" w:cs="Arial"/>
          <w:sz w:val="24"/>
          <w:szCs w:val="24"/>
        </w:rPr>
        <w:t>second respondent</w:t>
      </w:r>
      <w:r w:rsidR="00D8491C" w:rsidRPr="00A42DEC">
        <w:rPr>
          <w:rFonts w:ascii="Arial" w:hAnsi="Arial" w:cs="Arial"/>
          <w:sz w:val="24"/>
          <w:szCs w:val="24"/>
        </w:rPr>
        <w:t xml:space="preserve"> on or before 28</w:t>
      </w:r>
      <w:r w:rsidR="00863496" w:rsidRPr="00A42DEC">
        <w:rPr>
          <w:rFonts w:ascii="Arial" w:hAnsi="Arial" w:cs="Arial"/>
          <w:sz w:val="24"/>
          <w:szCs w:val="24"/>
        </w:rPr>
        <w:t> </w:t>
      </w:r>
      <w:r w:rsidR="00D8491C" w:rsidRPr="00A42DEC">
        <w:rPr>
          <w:rFonts w:ascii="Arial" w:hAnsi="Arial" w:cs="Arial"/>
          <w:sz w:val="24"/>
          <w:szCs w:val="24"/>
        </w:rPr>
        <w:t>February</w:t>
      </w:r>
      <w:r w:rsidR="00863496" w:rsidRPr="00A42DEC">
        <w:rPr>
          <w:rFonts w:ascii="Arial" w:hAnsi="Arial" w:cs="Arial"/>
          <w:sz w:val="24"/>
          <w:szCs w:val="24"/>
        </w:rPr>
        <w:t> </w:t>
      </w:r>
      <w:r w:rsidR="00D8491C" w:rsidRPr="00A42DEC">
        <w:rPr>
          <w:rFonts w:ascii="Arial" w:hAnsi="Arial" w:cs="Arial"/>
          <w:sz w:val="24"/>
          <w:szCs w:val="24"/>
        </w:rPr>
        <w:t>2023.</w:t>
      </w:r>
    </w:p>
    <w:p w14:paraId="45BC922B" w14:textId="77777777" w:rsidR="00D8491C" w:rsidRPr="00D8491C" w:rsidRDefault="00D8491C" w:rsidP="00D8491C">
      <w:pPr>
        <w:pStyle w:val="ListParagraph"/>
        <w:rPr>
          <w:rFonts w:ascii="Arial" w:hAnsi="Arial" w:cs="Arial"/>
          <w:sz w:val="24"/>
          <w:szCs w:val="24"/>
        </w:rPr>
      </w:pPr>
    </w:p>
    <w:p w14:paraId="6E40530F" w14:textId="5D57883D" w:rsidR="00D8491C" w:rsidRPr="00A42DEC" w:rsidRDefault="00A42DEC" w:rsidP="00A42DEC">
      <w:pPr>
        <w:spacing w:after="0" w:line="360" w:lineRule="auto"/>
        <w:ind w:left="1134"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00D8491C" w:rsidRPr="00A42DEC">
        <w:rPr>
          <w:rFonts w:ascii="Arial" w:hAnsi="Arial" w:cs="Arial"/>
          <w:sz w:val="24"/>
          <w:szCs w:val="24"/>
        </w:rPr>
        <w:t xml:space="preserve">In the event of the first respondent failing to serve the engineer’s certificate on or before 28 February 2023, she shall </w:t>
      </w:r>
      <w:r w:rsidR="006630CF" w:rsidRPr="00A42DEC">
        <w:rPr>
          <w:rFonts w:ascii="Arial" w:hAnsi="Arial" w:cs="Arial"/>
          <w:sz w:val="24"/>
          <w:szCs w:val="24"/>
        </w:rPr>
        <w:t xml:space="preserve">partially </w:t>
      </w:r>
      <w:r w:rsidR="00D8491C" w:rsidRPr="00A42DEC">
        <w:rPr>
          <w:rFonts w:ascii="Arial" w:hAnsi="Arial" w:cs="Arial"/>
          <w:sz w:val="24"/>
          <w:szCs w:val="24"/>
        </w:rPr>
        <w:t xml:space="preserve">demolish the outbuilding on or before </w:t>
      </w:r>
      <w:r w:rsidR="006630CF" w:rsidRPr="00A42DEC">
        <w:rPr>
          <w:rFonts w:ascii="Arial" w:hAnsi="Arial" w:cs="Arial"/>
          <w:sz w:val="24"/>
          <w:szCs w:val="24"/>
        </w:rPr>
        <w:t>17 March</w:t>
      </w:r>
      <w:r w:rsidR="00DF4AF3" w:rsidRPr="00A42DEC">
        <w:rPr>
          <w:rFonts w:ascii="Arial" w:hAnsi="Arial" w:cs="Arial"/>
          <w:sz w:val="24"/>
          <w:szCs w:val="24"/>
        </w:rPr>
        <w:t xml:space="preserve"> 2023.</w:t>
      </w:r>
    </w:p>
    <w:p w14:paraId="34BF65AE" w14:textId="77777777" w:rsidR="00D8491C" w:rsidRPr="00D8491C" w:rsidRDefault="00D8491C" w:rsidP="00D8491C">
      <w:pPr>
        <w:pStyle w:val="ListParagraph"/>
        <w:rPr>
          <w:rFonts w:ascii="Arial" w:hAnsi="Arial" w:cs="Arial"/>
          <w:sz w:val="24"/>
          <w:szCs w:val="24"/>
        </w:rPr>
      </w:pPr>
    </w:p>
    <w:p w14:paraId="2DAC882C" w14:textId="22A65487" w:rsidR="00D8491C" w:rsidRPr="00A42DEC" w:rsidRDefault="00A42DEC" w:rsidP="00A42DEC">
      <w:pPr>
        <w:spacing w:after="0" w:line="360" w:lineRule="auto"/>
        <w:ind w:left="1134" w:hanging="567"/>
        <w:jc w:val="both"/>
        <w:rPr>
          <w:rFonts w:ascii="Arial" w:hAnsi="Arial" w:cs="Arial"/>
          <w:sz w:val="24"/>
          <w:szCs w:val="24"/>
        </w:rPr>
      </w:pPr>
      <w:r w:rsidRPr="00D8491C">
        <w:rPr>
          <w:rFonts w:ascii="Arial" w:hAnsi="Arial" w:cs="Arial"/>
          <w:sz w:val="24"/>
          <w:szCs w:val="24"/>
        </w:rPr>
        <w:t>7.</w:t>
      </w:r>
      <w:r w:rsidRPr="00D8491C">
        <w:rPr>
          <w:rFonts w:ascii="Arial" w:hAnsi="Arial" w:cs="Arial"/>
          <w:sz w:val="24"/>
          <w:szCs w:val="24"/>
        </w:rPr>
        <w:tab/>
      </w:r>
      <w:r w:rsidR="00D8491C" w:rsidRPr="00A42DEC">
        <w:rPr>
          <w:rFonts w:ascii="Arial" w:hAnsi="Arial" w:cs="Arial"/>
          <w:sz w:val="24"/>
          <w:szCs w:val="24"/>
        </w:rPr>
        <w:t xml:space="preserve">The first respondent shall pay the applicant’s costs of the application, save that each party shall pay its or her own costs relating to the first respondent’s application to deliver a rejoinder affidavit in response to the applicant’s </w:t>
      </w:r>
      <w:proofErr w:type="gramStart"/>
      <w:r w:rsidR="00D8491C" w:rsidRPr="00A42DEC">
        <w:rPr>
          <w:rFonts w:ascii="Arial" w:hAnsi="Arial" w:cs="Arial"/>
          <w:sz w:val="24"/>
          <w:szCs w:val="24"/>
        </w:rPr>
        <w:t>replying</w:t>
      </w:r>
      <w:proofErr w:type="gramEnd"/>
      <w:r w:rsidR="00D8491C" w:rsidRPr="00A42DEC">
        <w:rPr>
          <w:rFonts w:ascii="Arial" w:hAnsi="Arial" w:cs="Arial"/>
          <w:sz w:val="24"/>
          <w:szCs w:val="24"/>
        </w:rPr>
        <w:t xml:space="preserve"> affidavit.</w:t>
      </w:r>
    </w:p>
    <w:p w14:paraId="4EF0D028" w14:textId="77777777" w:rsidR="00AE23CC" w:rsidRPr="006630CF" w:rsidRDefault="00AE23CC" w:rsidP="006630CF">
      <w:pPr>
        <w:spacing w:after="0" w:line="360" w:lineRule="auto"/>
        <w:jc w:val="both"/>
        <w:rPr>
          <w:rFonts w:ascii="Arial" w:hAnsi="Arial" w:cs="Arial"/>
          <w:sz w:val="24"/>
          <w:szCs w:val="24"/>
        </w:rPr>
      </w:pPr>
    </w:p>
    <w:p w14:paraId="076E7603" w14:textId="77777777" w:rsidR="00356459" w:rsidRPr="006630CF" w:rsidRDefault="00356459" w:rsidP="006630CF">
      <w:pPr>
        <w:rPr>
          <w:rFonts w:ascii="Arial" w:hAnsi="Arial" w:cs="Arial"/>
          <w:sz w:val="24"/>
          <w:szCs w:val="24"/>
        </w:rPr>
      </w:pPr>
    </w:p>
    <w:p w14:paraId="33B1FEA6" w14:textId="77777777" w:rsidR="00706E56" w:rsidRPr="00885ADD" w:rsidRDefault="00706E56" w:rsidP="006630CF">
      <w:pPr>
        <w:spacing w:after="0" w:line="360" w:lineRule="auto"/>
        <w:jc w:val="both"/>
        <w:rPr>
          <w:rFonts w:ascii="Arial" w:hAnsi="Arial" w:cs="Arial"/>
          <w:sz w:val="24"/>
          <w:szCs w:val="24"/>
        </w:rPr>
      </w:pPr>
    </w:p>
    <w:p w14:paraId="4E82EA90" w14:textId="77777777" w:rsidR="00955B60" w:rsidRPr="00885ADD" w:rsidRDefault="00955B60" w:rsidP="0023151A">
      <w:pPr>
        <w:spacing w:after="0" w:line="240" w:lineRule="auto"/>
        <w:jc w:val="both"/>
        <w:rPr>
          <w:rFonts w:ascii="Arial" w:hAnsi="Arial" w:cs="Arial"/>
          <w:sz w:val="24"/>
          <w:szCs w:val="24"/>
        </w:rPr>
      </w:pPr>
      <w:r w:rsidRPr="00885ADD">
        <w:rPr>
          <w:rFonts w:ascii="Arial" w:hAnsi="Arial" w:cs="Arial"/>
          <w:sz w:val="24"/>
          <w:szCs w:val="24"/>
        </w:rPr>
        <w:t>____________________</w:t>
      </w:r>
    </w:p>
    <w:p w14:paraId="0F6D825D" w14:textId="77777777" w:rsidR="00955B60" w:rsidRPr="0023151A" w:rsidRDefault="00955B60" w:rsidP="0023151A">
      <w:pPr>
        <w:spacing w:before="240" w:after="0" w:line="240" w:lineRule="auto"/>
        <w:jc w:val="both"/>
        <w:rPr>
          <w:rFonts w:ascii="Arial" w:hAnsi="Arial" w:cs="Arial"/>
          <w:sz w:val="24"/>
          <w:szCs w:val="24"/>
        </w:rPr>
      </w:pPr>
      <w:r w:rsidRPr="0023151A">
        <w:rPr>
          <w:rFonts w:ascii="Arial" w:hAnsi="Arial" w:cs="Arial"/>
          <w:sz w:val="24"/>
          <w:szCs w:val="24"/>
        </w:rPr>
        <w:t>G</w:t>
      </w:r>
      <w:r w:rsidR="00B87473" w:rsidRPr="0023151A">
        <w:rPr>
          <w:rFonts w:ascii="Arial" w:hAnsi="Arial" w:cs="Arial"/>
          <w:sz w:val="24"/>
          <w:szCs w:val="24"/>
        </w:rPr>
        <w:t>H</w:t>
      </w:r>
      <w:r w:rsidRPr="0023151A">
        <w:rPr>
          <w:rFonts w:ascii="Arial" w:hAnsi="Arial" w:cs="Arial"/>
          <w:sz w:val="24"/>
          <w:szCs w:val="24"/>
        </w:rPr>
        <w:t xml:space="preserve"> BLOEM</w:t>
      </w:r>
    </w:p>
    <w:p w14:paraId="772EDA69" w14:textId="77777777" w:rsidR="00B35B5A" w:rsidRPr="0023151A" w:rsidRDefault="006273D3" w:rsidP="0023151A">
      <w:pPr>
        <w:spacing w:after="0" w:line="360" w:lineRule="auto"/>
        <w:jc w:val="both"/>
        <w:rPr>
          <w:rFonts w:ascii="Arial" w:hAnsi="Arial" w:cs="Arial"/>
          <w:sz w:val="24"/>
          <w:szCs w:val="24"/>
        </w:rPr>
      </w:pPr>
      <w:r w:rsidRPr="0023151A">
        <w:rPr>
          <w:rFonts w:ascii="Arial" w:hAnsi="Arial" w:cs="Arial"/>
          <w:sz w:val="24"/>
          <w:szCs w:val="24"/>
        </w:rPr>
        <w:t>Judge of the High Court</w:t>
      </w:r>
    </w:p>
    <w:p w14:paraId="5B7DE9ED" w14:textId="77777777" w:rsidR="0023151A" w:rsidRPr="0023151A" w:rsidRDefault="0023151A" w:rsidP="00706E56">
      <w:pPr>
        <w:spacing w:after="0" w:line="360" w:lineRule="auto"/>
        <w:ind w:left="567"/>
        <w:jc w:val="both"/>
        <w:rPr>
          <w:rFonts w:ascii="Arial" w:hAnsi="Arial" w:cs="Arial"/>
          <w:sz w:val="24"/>
          <w:szCs w:val="24"/>
        </w:rPr>
      </w:pPr>
    </w:p>
    <w:p w14:paraId="088405A3" w14:textId="77777777" w:rsidR="00AF5B2B" w:rsidRDefault="00AF5B2B" w:rsidP="00CD36B0">
      <w:pPr>
        <w:tabs>
          <w:tab w:val="num" w:pos="5103"/>
        </w:tabs>
        <w:ind w:left="3686" w:hanging="3686"/>
        <w:jc w:val="both"/>
        <w:rPr>
          <w:rFonts w:ascii="Arial" w:hAnsi="Arial" w:cs="Arial"/>
          <w:sz w:val="24"/>
          <w:szCs w:val="24"/>
        </w:rPr>
      </w:pPr>
    </w:p>
    <w:p w14:paraId="4BD8FE34" w14:textId="77777777" w:rsidR="00AF5B2B" w:rsidRDefault="00AF5B2B" w:rsidP="00CD36B0">
      <w:pPr>
        <w:tabs>
          <w:tab w:val="num" w:pos="5103"/>
        </w:tabs>
        <w:ind w:left="3686" w:hanging="3686"/>
        <w:jc w:val="both"/>
        <w:rPr>
          <w:rFonts w:ascii="Arial" w:hAnsi="Arial" w:cs="Arial"/>
          <w:sz w:val="24"/>
          <w:szCs w:val="24"/>
        </w:rPr>
      </w:pPr>
    </w:p>
    <w:p w14:paraId="5E9CEF60" w14:textId="77777777" w:rsidR="00AF5B2B" w:rsidRDefault="00AF5B2B" w:rsidP="00CD36B0">
      <w:pPr>
        <w:tabs>
          <w:tab w:val="num" w:pos="5103"/>
        </w:tabs>
        <w:ind w:left="3686" w:hanging="3686"/>
        <w:jc w:val="both"/>
        <w:rPr>
          <w:rFonts w:ascii="Arial" w:hAnsi="Arial" w:cs="Arial"/>
          <w:sz w:val="24"/>
          <w:szCs w:val="24"/>
        </w:rPr>
      </w:pPr>
    </w:p>
    <w:p w14:paraId="45981196" w14:textId="77777777" w:rsidR="00AF5B2B" w:rsidRDefault="00AF5B2B" w:rsidP="00CD36B0">
      <w:pPr>
        <w:tabs>
          <w:tab w:val="num" w:pos="5103"/>
        </w:tabs>
        <w:ind w:left="3686" w:hanging="3686"/>
        <w:jc w:val="both"/>
        <w:rPr>
          <w:rFonts w:ascii="Arial" w:hAnsi="Arial" w:cs="Arial"/>
          <w:sz w:val="24"/>
          <w:szCs w:val="24"/>
        </w:rPr>
      </w:pPr>
    </w:p>
    <w:p w14:paraId="75E78DEB" w14:textId="77777777" w:rsidR="00AF5B2B" w:rsidRDefault="00AF5B2B" w:rsidP="00CD36B0">
      <w:pPr>
        <w:tabs>
          <w:tab w:val="num" w:pos="5103"/>
        </w:tabs>
        <w:ind w:left="3686" w:hanging="3686"/>
        <w:jc w:val="both"/>
        <w:rPr>
          <w:rFonts w:ascii="Arial" w:hAnsi="Arial" w:cs="Arial"/>
          <w:sz w:val="24"/>
          <w:szCs w:val="24"/>
        </w:rPr>
      </w:pPr>
    </w:p>
    <w:p w14:paraId="4F3C55D3" w14:textId="77777777" w:rsidR="00AF5B2B" w:rsidRDefault="00AF5B2B" w:rsidP="00CD36B0">
      <w:pPr>
        <w:tabs>
          <w:tab w:val="num" w:pos="5103"/>
        </w:tabs>
        <w:ind w:left="3686" w:hanging="3686"/>
        <w:jc w:val="both"/>
        <w:rPr>
          <w:rFonts w:ascii="Arial" w:hAnsi="Arial" w:cs="Arial"/>
          <w:sz w:val="24"/>
          <w:szCs w:val="24"/>
        </w:rPr>
      </w:pPr>
    </w:p>
    <w:p w14:paraId="58B55764" w14:textId="77777777" w:rsidR="00AF5B2B" w:rsidRDefault="00AF5B2B" w:rsidP="00CD36B0">
      <w:pPr>
        <w:tabs>
          <w:tab w:val="num" w:pos="5103"/>
        </w:tabs>
        <w:ind w:left="3686" w:hanging="3686"/>
        <w:jc w:val="both"/>
        <w:rPr>
          <w:rFonts w:ascii="Arial" w:hAnsi="Arial" w:cs="Arial"/>
          <w:sz w:val="24"/>
          <w:szCs w:val="24"/>
        </w:rPr>
      </w:pPr>
    </w:p>
    <w:p w14:paraId="3FE68C11" w14:textId="77777777" w:rsidR="00AF5B2B" w:rsidRDefault="00AF5B2B" w:rsidP="00CD36B0">
      <w:pPr>
        <w:tabs>
          <w:tab w:val="num" w:pos="5103"/>
        </w:tabs>
        <w:ind w:left="3686" w:hanging="3686"/>
        <w:jc w:val="both"/>
        <w:rPr>
          <w:rFonts w:ascii="Arial" w:hAnsi="Arial" w:cs="Arial"/>
          <w:sz w:val="24"/>
          <w:szCs w:val="24"/>
        </w:rPr>
      </w:pPr>
    </w:p>
    <w:p w14:paraId="0A9841DE" w14:textId="77777777" w:rsidR="00AF5B2B" w:rsidRDefault="00AF5B2B" w:rsidP="00CD36B0">
      <w:pPr>
        <w:tabs>
          <w:tab w:val="num" w:pos="5103"/>
        </w:tabs>
        <w:ind w:left="3686" w:hanging="3686"/>
        <w:jc w:val="both"/>
        <w:rPr>
          <w:rFonts w:ascii="Arial" w:hAnsi="Arial" w:cs="Arial"/>
          <w:sz w:val="24"/>
          <w:szCs w:val="24"/>
        </w:rPr>
      </w:pPr>
    </w:p>
    <w:p w14:paraId="0E23A563" w14:textId="77777777" w:rsidR="00AF5B2B" w:rsidRDefault="00AF5B2B" w:rsidP="00CD36B0">
      <w:pPr>
        <w:tabs>
          <w:tab w:val="num" w:pos="5103"/>
        </w:tabs>
        <w:ind w:left="3686" w:hanging="3686"/>
        <w:jc w:val="both"/>
        <w:rPr>
          <w:rFonts w:ascii="Arial" w:hAnsi="Arial" w:cs="Arial"/>
          <w:sz w:val="24"/>
          <w:szCs w:val="24"/>
        </w:rPr>
      </w:pPr>
    </w:p>
    <w:p w14:paraId="088C823D" w14:textId="77777777" w:rsidR="00AF5B2B" w:rsidRDefault="00AF5B2B" w:rsidP="00CD36B0">
      <w:pPr>
        <w:tabs>
          <w:tab w:val="num" w:pos="5103"/>
        </w:tabs>
        <w:ind w:left="3686" w:hanging="3686"/>
        <w:jc w:val="both"/>
        <w:rPr>
          <w:rFonts w:ascii="Arial" w:hAnsi="Arial" w:cs="Arial"/>
          <w:sz w:val="24"/>
          <w:szCs w:val="24"/>
        </w:rPr>
      </w:pPr>
    </w:p>
    <w:p w14:paraId="116D0547" w14:textId="77777777" w:rsidR="00136DD9" w:rsidRDefault="0023151A" w:rsidP="00CD36B0">
      <w:pPr>
        <w:tabs>
          <w:tab w:val="num" w:pos="5103"/>
        </w:tabs>
        <w:ind w:left="3686" w:hanging="3686"/>
        <w:jc w:val="both"/>
        <w:rPr>
          <w:rFonts w:ascii="Arial" w:hAnsi="Arial" w:cs="Arial"/>
          <w:sz w:val="24"/>
          <w:szCs w:val="24"/>
        </w:rPr>
      </w:pPr>
      <w:r w:rsidRPr="0023151A">
        <w:rPr>
          <w:rFonts w:ascii="Arial" w:hAnsi="Arial" w:cs="Arial"/>
          <w:sz w:val="24"/>
          <w:szCs w:val="24"/>
        </w:rPr>
        <w:t>For the applicant:</w:t>
      </w:r>
      <w:r w:rsidRPr="0023151A">
        <w:rPr>
          <w:rFonts w:ascii="Arial" w:hAnsi="Arial" w:cs="Arial"/>
          <w:sz w:val="24"/>
          <w:szCs w:val="24"/>
        </w:rPr>
        <w:tab/>
        <w:t xml:space="preserve">Mr </w:t>
      </w:r>
      <w:r w:rsidR="0003672C">
        <w:rPr>
          <w:rFonts w:ascii="Arial" w:hAnsi="Arial" w:cs="Arial"/>
          <w:sz w:val="24"/>
          <w:szCs w:val="24"/>
        </w:rPr>
        <w:t>G Brown</w:t>
      </w:r>
      <w:r w:rsidRPr="0023151A">
        <w:rPr>
          <w:rFonts w:ascii="Arial" w:hAnsi="Arial" w:cs="Arial"/>
          <w:sz w:val="24"/>
          <w:szCs w:val="24"/>
        </w:rPr>
        <w:t xml:space="preserve">, instructed by </w:t>
      </w:r>
      <w:r w:rsidR="0003672C">
        <w:rPr>
          <w:rFonts w:ascii="Arial" w:hAnsi="Arial" w:cs="Arial"/>
          <w:sz w:val="24"/>
          <w:szCs w:val="24"/>
        </w:rPr>
        <w:t xml:space="preserve">de Jager &amp; </w:t>
      </w:r>
      <w:proofErr w:type="spellStart"/>
      <w:r w:rsidR="0003672C">
        <w:rPr>
          <w:rFonts w:ascii="Arial" w:hAnsi="Arial" w:cs="Arial"/>
          <w:sz w:val="24"/>
          <w:szCs w:val="24"/>
        </w:rPr>
        <w:t>Lordan</w:t>
      </w:r>
      <w:proofErr w:type="spellEnd"/>
      <w:r w:rsidR="0003672C">
        <w:rPr>
          <w:rFonts w:ascii="Arial" w:hAnsi="Arial" w:cs="Arial"/>
          <w:sz w:val="24"/>
          <w:szCs w:val="24"/>
        </w:rPr>
        <w:t xml:space="preserve"> Inc</w:t>
      </w:r>
      <w:r w:rsidRPr="0023151A">
        <w:rPr>
          <w:rFonts w:ascii="Arial" w:hAnsi="Arial" w:cs="Arial"/>
          <w:sz w:val="24"/>
          <w:szCs w:val="24"/>
        </w:rPr>
        <w:t xml:space="preserve">, </w:t>
      </w:r>
      <w:proofErr w:type="spellStart"/>
      <w:r w:rsidR="0003672C">
        <w:rPr>
          <w:rFonts w:ascii="Arial" w:hAnsi="Arial" w:cs="Arial"/>
          <w:sz w:val="24"/>
          <w:szCs w:val="24"/>
        </w:rPr>
        <w:t>Makhanda</w:t>
      </w:r>
      <w:proofErr w:type="spellEnd"/>
      <w:r w:rsidR="0003672C">
        <w:rPr>
          <w:rFonts w:ascii="Arial" w:hAnsi="Arial" w:cs="Arial"/>
          <w:sz w:val="24"/>
          <w:szCs w:val="24"/>
        </w:rPr>
        <w:t>.</w:t>
      </w:r>
    </w:p>
    <w:p w14:paraId="1E70213A" w14:textId="77777777" w:rsidR="0023151A" w:rsidRPr="0023151A" w:rsidRDefault="0023151A" w:rsidP="00CD36B0">
      <w:pPr>
        <w:tabs>
          <w:tab w:val="num" w:pos="3686"/>
        </w:tabs>
        <w:autoSpaceDE w:val="0"/>
        <w:autoSpaceDN w:val="0"/>
        <w:adjustRightInd w:val="0"/>
        <w:spacing w:before="240"/>
        <w:ind w:left="3686" w:hanging="3686"/>
        <w:jc w:val="both"/>
        <w:rPr>
          <w:rFonts w:ascii="Arial" w:hAnsi="Arial" w:cs="Arial"/>
          <w:sz w:val="24"/>
          <w:szCs w:val="24"/>
        </w:rPr>
      </w:pPr>
      <w:r w:rsidRPr="0023151A">
        <w:rPr>
          <w:rFonts w:ascii="Arial" w:hAnsi="Arial" w:cs="Arial"/>
          <w:sz w:val="24"/>
          <w:szCs w:val="24"/>
        </w:rPr>
        <w:t xml:space="preserve">For the first respondent: </w:t>
      </w:r>
      <w:r w:rsidRPr="0023151A">
        <w:rPr>
          <w:rFonts w:ascii="Arial" w:hAnsi="Arial" w:cs="Arial"/>
          <w:sz w:val="24"/>
          <w:szCs w:val="24"/>
        </w:rPr>
        <w:tab/>
        <w:t xml:space="preserve">Mr </w:t>
      </w:r>
      <w:r w:rsidR="0003672C">
        <w:rPr>
          <w:rFonts w:ascii="Arial" w:hAnsi="Arial" w:cs="Arial"/>
          <w:sz w:val="24"/>
          <w:szCs w:val="24"/>
        </w:rPr>
        <w:t xml:space="preserve">A </w:t>
      </w:r>
      <w:proofErr w:type="spellStart"/>
      <w:r w:rsidR="0003672C">
        <w:rPr>
          <w:rFonts w:ascii="Arial" w:hAnsi="Arial" w:cs="Arial"/>
          <w:sz w:val="24"/>
          <w:szCs w:val="24"/>
        </w:rPr>
        <w:t>Beyleveld</w:t>
      </w:r>
      <w:proofErr w:type="spellEnd"/>
      <w:r w:rsidR="0003672C">
        <w:rPr>
          <w:rFonts w:ascii="Arial" w:hAnsi="Arial" w:cs="Arial"/>
          <w:sz w:val="24"/>
          <w:szCs w:val="24"/>
        </w:rPr>
        <w:t xml:space="preserve"> SC, </w:t>
      </w:r>
      <w:r w:rsidRPr="0023151A">
        <w:rPr>
          <w:rFonts w:ascii="Arial" w:hAnsi="Arial" w:cs="Arial"/>
          <w:sz w:val="24"/>
          <w:szCs w:val="24"/>
        </w:rPr>
        <w:t xml:space="preserve">instructed by </w:t>
      </w:r>
      <w:r w:rsidR="0003672C">
        <w:rPr>
          <w:rFonts w:ascii="Arial" w:hAnsi="Arial" w:cs="Arial"/>
          <w:sz w:val="24"/>
          <w:szCs w:val="24"/>
        </w:rPr>
        <w:t xml:space="preserve">Wheeldon Rushmere and Cole Inc, </w:t>
      </w:r>
      <w:proofErr w:type="spellStart"/>
      <w:r w:rsidR="0003672C">
        <w:rPr>
          <w:rFonts w:ascii="Arial" w:hAnsi="Arial" w:cs="Arial"/>
          <w:sz w:val="24"/>
          <w:szCs w:val="24"/>
        </w:rPr>
        <w:t>Makhanda</w:t>
      </w:r>
      <w:proofErr w:type="spellEnd"/>
      <w:r w:rsidRPr="0023151A">
        <w:rPr>
          <w:rFonts w:ascii="Arial" w:hAnsi="Arial" w:cs="Arial"/>
          <w:sz w:val="24"/>
          <w:szCs w:val="24"/>
        </w:rPr>
        <w:t>.</w:t>
      </w:r>
    </w:p>
    <w:p w14:paraId="4EB77CE5" w14:textId="77777777" w:rsidR="0023151A" w:rsidRPr="0023151A" w:rsidRDefault="0023151A" w:rsidP="00CD36B0">
      <w:pPr>
        <w:tabs>
          <w:tab w:val="num" w:pos="3686"/>
        </w:tabs>
        <w:autoSpaceDE w:val="0"/>
        <w:autoSpaceDN w:val="0"/>
        <w:adjustRightInd w:val="0"/>
        <w:spacing w:before="240"/>
        <w:ind w:left="3686" w:hanging="3686"/>
        <w:jc w:val="both"/>
        <w:rPr>
          <w:rFonts w:ascii="Arial" w:hAnsi="Arial" w:cs="Arial"/>
          <w:sz w:val="24"/>
          <w:szCs w:val="24"/>
        </w:rPr>
      </w:pPr>
      <w:r w:rsidRPr="0023151A">
        <w:rPr>
          <w:rFonts w:ascii="Arial" w:hAnsi="Arial" w:cs="Arial"/>
          <w:sz w:val="24"/>
          <w:szCs w:val="24"/>
        </w:rPr>
        <w:t>Date of hearing:</w:t>
      </w:r>
      <w:r w:rsidRPr="0023151A">
        <w:rPr>
          <w:rFonts w:ascii="Arial" w:hAnsi="Arial" w:cs="Arial"/>
          <w:sz w:val="24"/>
          <w:szCs w:val="24"/>
        </w:rPr>
        <w:tab/>
        <w:t>1</w:t>
      </w:r>
      <w:r w:rsidR="0003672C">
        <w:rPr>
          <w:rFonts w:ascii="Arial" w:hAnsi="Arial" w:cs="Arial"/>
          <w:sz w:val="24"/>
          <w:szCs w:val="24"/>
        </w:rPr>
        <w:t>8 August 2022</w:t>
      </w:r>
      <w:r w:rsidRPr="0023151A">
        <w:rPr>
          <w:rFonts w:ascii="Arial" w:hAnsi="Arial" w:cs="Arial"/>
          <w:sz w:val="24"/>
          <w:szCs w:val="24"/>
        </w:rPr>
        <w:t>.</w:t>
      </w:r>
    </w:p>
    <w:p w14:paraId="703F3A53" w14:textId="77777777" w:rsidR="00AA4F96" w:rsidRPr="0023151A" w:rsidRDefault="0023151A" w:rsidP="00CD36B0">
      <w:pPr>
        <w:widowControl w:val="0"/>
        <w:tabs>
          <w:tab w:val="num" w:pos="3686"/>
          <w:tab w:val="right" w:pos="8640"/>
          <w:tab w:val="right" w:pos="9781"/>
        </w:tabs>
        <w:spacing w:before="240"/>
        <w:ind w:left="3686" w:hanging="3686"/>
        <w:jc w:val="both"/>
        <w:rPr>
          <w:rFonts w:ascii="Arial" w:hAnsi="Arial" w:cs="Arial"/>
          <w:sz w:val="24"/>
          <w:szCs w:val="24"/>
        </w:rPr>
      </w:pPr>
      <w:r w:rsidRPr="0023151A">
        <w:rPr>
          <w:rFonts w:ascii="Arial" w:hAnsi="Arial" w:cs="Arial"/>
          <w:sz w:val="24"/>
          <w:szCs w:val="24"/>
        </w:rPr>
        <w:t>Date of delivery of judgment:</w:t>
      </w:r>
      <w:r w:rsidRPr="0023151A">
        <w:rPr>
          <w:rFonts w:ascii="Arial" w:hAnsi="Arial" w:cs="Arial"/>
          <w:sz w:val="24"/>
          <w:szCs w:val="24"/>
        </w:rPr>
        <w:tab/>
      </w:r>
      <w:r w:rsidR="00136DD9">
        <w:rPr>
          <w:rFonts w:ascii="Arial" w:hAnsi="Arial" w:cs="Arial"/>
          <w:sz w:val="24"/>
          <w:szCs w:val="24"/>
        </w:rPr>
        <w:t>15</w:t>
      </w:r>
      <w:r w:rsidR="0003672C">
        <w:rPr>
          <w:rFonts w:ascii="Arial" w:hAnsi="Arial" w:cs="Arial"/>
          <w:sz w:val="24"/>
          <w:szCs w:val="24"/>
        </w:rPr>
        <w:t xml:space="preserve"> December 2022</w:t>
      </w:r>
      <w:r w:rsidRPr="0023151A">
        <w:rPr>
          <w:rFonts w:ascii="Arial" w:hAnsi="Arial" w:cs="Arial"/>
          <w:sz w:val="24"/>
          <w:szCs w:val="24"/>
        </w:rPr>
        <w:t>.</w:t>
      </w:r>
    </w:p>
    <w:sectPr w:rsidR="00AA4F96" w:rsidRPr="0023151A" w:rsidSect="00375CF6">
      <w:headerReference w:type="default" r:id="rId9"/>
      <w:headerReference w:type="first" r:id="rId10"/>
      <w:pgSz w:w="11906" w:h="16838"/>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DDDB" w14:textId="77777777" w:rsidR="001805D0" w:rsidRDefault="001805D0" w:rsidP="00B356DF">
      <w:pPr>
        <w:spacing w:after="0" w:line="240" w:lineRule="auto"/>
      </w:pPr>
      <w:r>
        <w:separator/>
      </w:r>
    </w:p>
  </w:endnote>
  <w:endnote w:type="continuationSeparator" w:id="0">
    <w:p w14:paraId="57CA7739" w14:textId="77777777" w:rsidR="001805D0" w:rsidRDefault="001805D0" w:rsidP="00B3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21B1" w14:textId="77777777" w:rsidR="001805D0" w:rsidRDefault="001805D0" w:rsidP="00B356DF">
      <w:pPr>
        <w:spacing w:after="0" w:line="240" w:lineRule="auto"/>
      </w:pPr>
      <w:r>
        <w:separator/>
      </w:r>
    </w:p>
  </w:footnote>
  <w:footnote w:type="continuationSeparator" w:id="0">
    <w:p w14:paraId="5BA45E03" w14:textId="77777777" w:rsidR="001805D0" w:rsidRDefault="001805D0" w:rsidP="00B356DF">
      <w:pPr>
        <w:spacing w:after="0" w:line="240" w:lineRule="auto"/>
      </w:pPr>
      <w:r>
        <w:continuationSeparator/>
      </w:r>
    </w:p>
  </w:footnote>
  <w:footnote w:id="1">
    <w:p w14:paraId="1848DDAF" w14:textId="77777777" w:rsidR="00235D91" w:rsidRPr="00F225E8" w:rsidRDefault="00235D91" w:rsidP="00B76BA8">
      <w:pPr>
        <w:pStyle w:val="Heading1"/>
        <w:shd w:val="clear" w:color="auto" w:fill="FFFFFF"/>
        <w:spacing w:before="0" w:beforeAutospacing="0" w:after="0" w:afterAutospacing="0"/>
        <w:jc w:val="both"/>
        <w:rPr>
          <w:rFonts w:ascii="Arial" w:hAnsi="Arial" w:cs="Arial"/>
          <w:sz w:val="20"/>
          <w:szCs w:val="20"/>
          <w:lang w:val="en-US"/>
        </w:rPr>
      </w:pPr>
      <w:r w:rsidRPr="00F225E8">
        <w:rPr>
          <w:rStyle w:val="FootnoteReference"/>
          <w:rFonts w:ascii="Arial" w:hAnsi="Arial" w:cs="Arial"/>
          <w:b w:val="0"/>
          <w:sz w:val="20"/>
          <w:szCs w:val="20"/>
        </w:rPr>
        <w:footnoteRef/>
      </w:r>
      <w:r w:rsidRPr="00F225E8">
        <w:rPr>
          <w:rFonts w:ascii="Arial" w:hAnsi="Arial" w:cs="Arial"/>
          <w:b w:val="0"/>
          <w:sz w:val="20"/>
          <w:szCs w:val="20"/>
        </w:rPr>
        <w:t xml:space="preserve"> National Building Regulations and Building Standards Act, 1977 (Act 103 of 1977), as amended.</w:t>
      </w:r>
      <w:r w:rsidRPr="00F225E8">
        <w:rPr>
          <w:rFonts w:ascii="Arial" w:hAnsi="Arial" w:cs="Arial"/>
          <w:b w:val="0"/>
          <w:color w:val="414043"/>
          <w:sz w:val="20"/>
          <w:szCs w:val="20"/>
        </w:rPr>
        <w:t xml:space="preserve"> </w:t>
      </w:r>
    </w:p>
  </w:footnote>
  <w:footnote w:id="2">
    <w:p w14:paraId="3E6D36E0" w14:textId="77777777" w:rsidR="00235D91" w:rsidRPr="00F225E8" w:rsidRDefault="00235D91" w:rsidP="00B76BA8">
      <w:pPr>
        <w:pStyle w:val="FootnoteText"/>
        <w:jc w:val="both"/>
        <w:rPr>
          <w:rFonts w:ascii="Arial" w:hAnsi="Arial" w:cs="Arial"/>
          <w:lang w:val="en-US"/>
        </w:rPr>
      </w:pPr>
      <w:r w:rsidRPr="00F225E8">
        <w:rPr>
          <w:rStyle w:val="FootnoteReference"/>
          <w:rFonts w:ascii="Arial" w:hAnsi="Arial" w:cs="Arial"/>
        </w:rPr>
        <w:footnoteRef/>
      </w:r>
      <w:r w:rsidRPr="00F225E8">
        <w:rPr>
          <w:rFonts w:ascii="Arial" w:hAnsi="Arial" w:cs="Arial"/>
        </w:rPr>
        <w:t xml:space="preserve"> R</w:t>
      </w:r>
      <w:r w:rsidRPr="00F225E8">
        <w:rPr>
          <w:rFonts w:ascii="Arial" w:hAnsi="Arial" w:cs="Arial"/>
          <w:color w:val="414043"/>
        </w:rPr>
        <w:t xml:space="preserve">egulations made under section 17(1) of the </w:t>
      </w:r>
      <w:r w:rsidRPr="00F225E8">
        <w:rPr>
          <w:rFonts w:ascii="Arial" w:hAnsi="Arial" w:cs="Arial"/>
        </w:rPr>
        <w:t>National Building Regulations and Building Standards Act</w:t>
      </w:r>
      <w:r w:rsidRPr="00F225E8">
        <w:rPr>
          <w:rFonts w:ascii="Arial" w:hAnsi="Arial" w:cs="Arial"/>
          <w:color w:val="414043"/>
        </w:rPr>
        <w:t>, published under Government Notice R2378 in Government Gazette 12780 of 12 October 1990, as amended.</w:t>
      </w:r>
    </w:p>
  </w:footnote>
  <w:footnote w:id="3">
    <w:p w14:paraId="7EDF00F8" w14:textId="77777777" w:rsidR="00235D91" w:rsidRPr="00F225E8" w:rsidRDefault="00235D91" w:rsidP="00B76BA8">
      <w:pPr>
        <w:pStyle w:val="FootnoteText"/>
        <w:jc w:val="both"/>
        <w:rPr>
          <w:rFonts w:ascii="Arial" w:hAnsi="Arial" w:cs="Arial"/>
          <w:lang w:val="en-US"/>
        </w:rPr>
      </w:pPr>
      <w:r w:rsidRPr="00F225E8">
        <w:rPr>
          <w:rStyle w:val="FootnoteReference"/>
          <w:rFonts w:ascii="Arial" w:hAnsi="Arial" w:cs="Arial"/>
        </w:rPr>
        <w:footnoteRef/>
      </w:r>
      <w:r w:rsidRPr="00F225E8">
        <w:rPr>
          <w:rFonts w:ascii="Arial" w:hAnsi="Arial" w:cs="Arial"/>
        </w:rPr>
        <w:t xml:space="preserve"> </w:t>
      </w:r>
      <w:r w:rsidRPr="00F225E8">
        <w:rPr>
          <w:rFonts w:ascii="Arial" w:hAnsi="Arial" w:cs="Arial"/>
          <w:color w:val="414043"/>
        </w:rPr>
        <w:t>Ndlambe Local Municipality Spatial Planning and Land Use Management By-Laws, published under GN 2 in Government Gazette 39733 of 26 February 2016.</w:t>
      </w:r>
    </w:p>
  </w:footnote>
  <w:footnote w:id="4">
    <w:p w14:paraId="4C3522E1" w14:textId="77777777" w:rsidR="00235D91" w:rsidRPr="00F225E8" w:rsidRDefault="00235D91" w:rsidP="00B76BA8">
      <w:pPr>
        <w:pStyle w:val="FootnoteText"/>
        <w:jc w:val="both"/>
        <w:rPr>
          <w:rFonts w:ascii="Arial" w:hAnsi="Arial" w:cs="Arial"/>
          <w:lang w:val="en-US"/>
        </w:rPr>
      </w:pPr>
      <w:r w:rsidRPr="00F225E8">
        <w:rPr>
          <w:rStyle w:val="FootnoteReference"/>
          <w:rFonts w:ascii="Arial" w:hAnsi="Arial" w:cs="Arial"/>
        </w:rPr>
        <w:footnoteRef/>
      </w:r>
      <w:r w:rsidRPr="00F225E8">
        <w:rPr>
          <w:rFonts w:ascii="Arial" w:hAnsi="Arial" w:cs="Arial"/>
        </w:rPr>
        <w:t xml:space="preserve"> </w:t>
      </w:r>
      <w:r w:rsidRPr="00F225E8">
        <w:rPr>
          <w:rFonts w:ascii="Arial" w:hAnsi="Arial" w:cs="Arial"/>
          <w:color w:val="414043"/>
        </w:rPr>
        <w:t>Ndlambe Municipality Land Use Scheme, as approved in terms of section 24(2) of the Ndlambe Local Municipality Spatial Planning and Land Use Management By-Laws, which came into operation on 1 June 2019.</w:t>
      </w:r>
    </w:p>
  </w:footnote>
  <w:footnote w:id="5">
    <w:p w14:paraId="2D87E416" w14:textId="77777777" w:rsidR="00235D91" w:rsidRPr="00F225E8" w:rsidRDefault="00235D91" w:rsidP="00B76BA8">
      <w:pPr>
        <w:pStyle w:val="FootnoteText"/>
        <w:jc w:val="both"/>
        <w:rPr>
          <w:rFonts w:ascii="Arial" w:hAnsi="Arial" w:cs="Arial"/>
          <w:lang w:val="en-US"/>
        </w:rPr>
      </w:pPr>
      <w:r w:rsidRPr="00F225E8">
        <w:rPr>
          <w:rStyle w:val="FootnoteReference"/>
          <w:rFonts w:ascii="Arial" w:hAnsi="Arial" w:cs="Arial"/>
        </w:rPr>
        <w:footnoteRef/>
      </w:r>
      <w:r w:rsidRPr="00F225E8">
        <w:rPr>
          <w:rFonts w:ascii="Arial" w:hAnsi="Arial" w:cs="Arial"/>
        </w:rPr>
        <w:t xml:space="preserve"> </w:t>
      </w:r>
      <w:r w:rsidRPr="00F225E8">
        <w:rPr>
          <w:rFonts w:ascii="Arial" w:hAnsi="Arial" w:cs="Arial"/>
          <w:color w:val="414043"/>
        </w:rPr>
        <w:t>Spatial Planning and Land Use Management Act, 2013 (Act 16 of 2013).</w:t>
      </w:r>
    </w:p>
  </w:footnote>
  <w:footnote w:id="6">
    <w:p w14:paraId="5145EB5F" w14:textId="77777777" w:rsidR="00235D91" w:rsidRPr="00F225E8" w:rsidRDefault="00235D91" w:rsidP="00B76BA8">
      <w:pPr>
        <w:pStyle w:val="FootnoteText"/>
        <w:jc w:val="both"/>
        <w:rPr>
          <w:rFonts w:ascii="Arial" w:hAnsi="Arial" w:cs="Arial"/>
          <w:lang w:val="en-US"/>
        </w:rPr>
      </w:pPr>
      <w:r w:rsidRPr="00F225E8">
        <w:rPr>
          <w:rStyle w:val="FootnoteReference"/>
          <w:rFonts w:ascii="Arial" w:hAnsi="Arial" w:cs="Arial"/>
        </w:rPr>
        <w:footnoteRef/>
      </w:r>
      <w:r w:rsidRPr="00F225E8">
        <w:rPr>
          <w:rFonts w:ascii="Arial" w:hAnsi="Arial" w:cs="Arial"/>
        </w:rPr>
        <w:t xml:space="preserve"> In terms of </w:t>
      </w:r>
      <w:r w:rsidRPr="00F225E8">
        <w:rPr>
          <w:rFonts w:ascii="Arial" w:hAnsi="Arial" w:cs="Arial"/>
          <w:color w:val="414043"/>
        </w:rPr>
        <w:t xml:space="preserve">the </w:t>
      </w:r>
      <w:r w:rsidRPr="00F225E8">
        <w:rPr>
          <w:rFonts w:ascii="Arial" w:hAnsi="Arial" w:cs="Arial"/>
        </w:rPr>
        <w:t>National Building Regulations</w:t>
      </w:r>
      <w:r>
        <w:rPr>
          <w:rFonts w:ascii="Arial" w:hAnsi="Arial" w:cs="Arial"/>
          <w:lang w:val="en-US"/>
        </w:rPr>
        <w:t xml:space="preserve"> ‘building line’</w:t>
      </w:r>
      <w:r w:rsidRPr="00F225E8">
        <w:rPr>
          <w:rFonts w:ascii="Arial" w:hAnsi="Arial" w:cs="Arial"/>
          <w:lang w:val="en-US"/>
        </w:rPr>
        <w:t>, in relation to a site, means a line prescribed in any town planning scheme or any other law designating the boundaries of the area of the site outside of the erection above ground of a</w:t>
      </w:r>
      <w:r>
        <w:rPr>
          <w:rFonts w:ascii="Arial" w:hAnsi="Arial" w:cs="Arial"/>
          <w:lang w:val="en-US"/>
        </w:rPr>
        <w:t>ny building proh</w:t>
      </w:r>
      <w:r w:rsidRPr="00F225E8">
        <w:rPr>
          <w:rFonts w:ascii="Arial" w:hAnsi="Arial" w:cs="Arial"/>
          <w:lang w:val="en-US"/>
        </w:rPr>
        <w:t>ibited</w:t>
      </w:r>
      <w:r>
        <w:rPr>
          <w:rFonts w:ascii="Arial" w:hAnsi="Arial" w:cs="Arial"/>
          <w:lang w:val="en-US"/>
        </w:rPr>
        <w:t xml:space="preserve"> and in terms of the Ndlambe Municipality Land Use Scheme “building line” means the distance from the cadastral line within which no building or structure, excluding a boundary wall, pergola or fence, may be erected.</w:t>
      </w:r>
    </w:p>
  </w:footnote>
  <w:footnote w:id="7">
    <w:p w14:paraId="02636B04" w14:textId="77777777" w:rsidR="00235D91" w:rsidRPr="00B76BA8" w:rsidRDefault="00235D91" w:rsidP="00B76BA8">
      <w:pPr>
        <w:pStyle w:val="FootnoteText"/>
        <w:jc w:val="both"/>
        <w:rPr>
          <w:lang w:val="en-US"/>
        </w:rPr>
      </w:pPr>
      <w:r>
        <w:rPr>
          <w:rStyle w:val="FootnoteReference"/>
        </w:rPr>
        <w:footnoteRef/>
      </w:r>
      <w:r>
        <w:t xml:space="preserve"> </w:t>
      </w:r>
      <w:r>
        <w:rPr>
          <w:rFonts w:ascii="Arial" w:hAnsi="Arial" w:cs="Arial"/>
          <w:lang w:val="en-US"/>
        </w:rPr>
        <w:t xml:space="preserve">In terms of the Ndlambe Municipality Land Use Scheme “cadastral line” means a line representing the official boundary of a land unit as recorded on a diagram or general plan approved by the Surveyor General and registered in the Deeds Office. </w:t>
      </w:r>
    </w:p>
  </w:footnote>
  <w:footnote w:id="8">
    <w:p w14:paraId="3B0D2137" w14:textId="77777777" w:rsidR="00235D91" w:rsidRPr="00430418" w:rsidRDefault="00235D91">
      <w:pPr>
        <w:pStyle w:val="FootnoteText"/>
        <w:rPr>
          <w:rFonts w:ascii="Arial" w:hAnsi="Arial" w:cs="Arial"/>
          <w:lang w:val="en-US"/>
        </w:rPr>
      </w:pPr>
      <w:r w:rsidRPr="00430418">
        <w:rPr>
          <w:rStyle w:val="FootnoteReference"/>
          <w:rFonts w:ascii="Arial" w:hAnsi="Arial" w:cs="Arial"/>
        </w:rPr>
        <w:footnoteRef/>
      </w:r>
      <w:r w:rsidRPr="00430418">
        <w:rPr>
          <w:rFonts w:ascii="Arial" w:hAnsi="Arial" w:cs="Arial"/>
        </w:rPr>
        <w:t xml:space="preserve"> </w:t>
      </w:r>
      <w:r w:rsidRPr="00430418">
        <w:rPr>
          <w:rFonts w:ascii="Arial" w:hAnsi="Arial" w:cs="Arial"/>
          <w:lang w:val="en-US"/>
        </w:rPr>
        <w:t xml:space="preserve">Prescription Act, 1969 (Act 68 of 1969). </w:t>
      </w:r>
    </w:p>
  </w:footnote>
  <w:footnote w:id="9">
    <w:p w14:paraId="01C00DA2" w14:textId="77777777" w:rsidR="00235D91" w:rsidRPr="0001300C" w:rsidRDefault="00235D91" w:rsidP="0001300C">
      <w:pPr>
        <w:pStyle w:val="FootnoteText"/>
        <w:jc w:val="both"/>
        <w:rPr>
          <w:rFonts w:ascii="Arial" w:hAnsi="Arial" w:cs="Arial"/>
          <w:lang w:val="en-US"/>
        </w:rPr>
      </w:pPr>
      <w:r w:rsidRPr="0001300C">
        <w:rPr>
          <w:rStyle w:val="FootnoteReference"/>
          <w:rFonts w:ascii="Arial" w:hAnsi="Arial" w:cs="Arial"/>
        </w:rPr>
        <w:footnoteRef/>
      </w:r>
      <w:r w:rsidRPr="0001300C">
        <w:rPr>
          <w:rFonts w:ascii="Arial" w:hAnsi="Arial" w:cs="Arial"/>
        </w:rPr>
        <w:t xml:space="preserve"> Rule 7</w:t>
      </w:r>
      <w:r w:rsidRPr="0001300C">
        <w:rPr>
          <w:rFonts w:ascii="Arial" w:hAnsi="Arial" w:cs="Arial"/>
          <w:color w:val="000000"/>
        </w:rPr>
        <w:t>(1) provides that “Subject to the provisions of subrules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whereafter such person may no longer act unless he satisfied the court that he is authorised so to act, and to enable him to do so the court may postpone the hearing of the action or application.”</w:t>
      </w:r>
    </w:p>
  </w:footnote>
  <w:footnote w:id="10">
    <w:p w14:paraId="3FD7B161" w14:textId="77777777" w:rsidR="00235D91" w:rsidRPr="0001300C" w:rsidRDefault="00235D91" w:rsidP="0001300C">
      <w:pPr>
        <w:pStyle w:val="FootnoteText"/>
        <w:jc w:val="both"/>
        <w:rPr>
          <w:rFonts w:ascii="Arial" w:hAnsi="Arial" w:cs="Arial"/>
          <w:lang w:val="en-US"/>
        </w:rPr>
      </w:pPr>
      <w:r w:rsidRPr="0001300C">
        <w:rPr>
          <w:rStyle w:val="FootnoteReference"/>
          <w:rFonts w:ascii="Arial" w:hAnsi="Arial" w:cs="Arial"/>
        </w:rPr>
        <w:footnoteRef/>
      </w:r>
      <w:r w:rsidRPr="0001300C">
        <w:rPr>
          <w:rFonts w:ascii="Arial" w:hAnsi="Arial" w:cs="Arial"/>
        </w:rPr>
        <w:t xml:space="preserve"> </w:t>
      </w:r>
      <w:r w:rsidRPr="0001300C">
        <w:rPr>
          <w:rFonts w:ascii="Arial" w:hAnsi="Arial" w:cs="Arial"/>
          <w:i/>
          <w:iCs/>
          <w:color w:val="000000"/>
        </w:rPr>
        <w:t xml:space="preserve">Unlawful Occupiers, School Site v City of Johannesburg </w:t>
      </w:r>
      <w:r w:rsidRPr="0001300C">
        <w:rPr>
          <w:rFonts w:ascii="Arial" w:hAnsi="Arial" w:cs="Arial"/>
          <w:iCs/>
          <w:color w:val="000000"/>
        </w:rPr>
        <w:t>2005 (4) SA 199 (SCA) at 206F-G</w:t>
      </w:r>
      <w:r w:rsidRPr="0001300C">
        <w:rPr>
          <w:rFonts w:ascii="Arial" w:hAnsi="Arial" w:cs="Arial"/>
          <w:i/>
          <w:iCs/>
          <w:color w:val="000000"/>
        </w:rPr>
        <w:t>.</w:t>
      </w:r>
    </w:p>
  </w:footnote>
  <w:footnote w:id="11">
    <w:p w14:paraId="50BCB28D" w14:textId="77777777" w:rsidR="00235D91" w:rsidRPr="0001300C" w:rsidRDefault="00235D91" w:rsidP="0001300C">
      <w:pPr>
        <w:pStyle w:val="FootnoteText"/>
        <w:jc w:val="both"/>
        <w:rPr>
          <w:rFonts w:ascii="Arial" w:hAnsi="Arial" w:cs="Arial"/>
          <w:lang w:val="en-US"/>
        </w:rPr>
      </w:pPr>
      <w:r w:rsidRPr="0001300C">
        <w:rPr>
          <w:rStyle w:val="FootnoteReference"/>
          <w:rFonts w:ascii="Arial" w:hAnsi="Arial" w:cs="Arial"/>
        </w:rPr>
        <w:footnoteRef/>
      </w:r>
      <w:r w:rsidRPr="0001300C">
        <w:rPr>
          <w:rFonts w:ascii="Arial" w:hAnsi="Arial" w:cs="Arial"/>
        </w:rPr>
        <w:t xml:space="preserve"> </w:t>
      </w:r>
      <w:r w:rsidRPr="0001300C">
        <w:rPr>
          <w:rFonts w:ascii="Arial" w:hAnsi="Arial" w:cs="Arial"/>
          <w:lang w:val="en-US"/>
        </w:rPr>
        <w:t xml:space="preserve">The </w:t>
      </w:r>
      <w:r w:rsidRPr="0001300C">
        <w:rPr>
          <w:rFonts w:ascii="Arial" w:hAnsi="Arial" w:cs="Arial"/>
          <w:i/>
          <w:lang w:val="en-US"/>
        </w:rPr>
        <w:t>New Shorter Oxford English Dictionary</w:t>
      </w:r>
      <w:r w:rsidRPr="0001300C">
        <w:rPr>
          <w:rFonts w:ascii="Arial" w:hAnsi="Arial" w:cs="Arial"/>
          <w:lang w:val="en-US"/>
        </w:rPr>
        <w:t xml:space="preserve"> Third Edition (1993) volume 1 at 604.</w:t>
      </w:r>
    </w:p>
  </w:footnote>
  <w:footnote w:id="12">
    <w:p w14:paraId="721AB3AC" w14:textId="77777777" w:rsidR="00235D91" w:rsidRPr="00CB65E2" w:rsidRDefault="00235D91" w:rsidP="0001300C">
      <w:pPr>
        <w:pStyle w:val="FootnoteText"/>
        <w:jc w:val="both"/>
        <w:rPr>
          <w:rFonts w:ascii="Arial" w:hAnsi="Arial" w:cs="Arial"/>
          <w:lang w:val="en-US"/>
        </w:rPr>
      </w:pPr>
      <w:r w:rsidRPr="0001300C">
        <w:rPr>
          <w:rStyle w:val="FootnoteReference"/>
          <w:rFonts w:ascii="Arial" w:hAnsi="Arial" w:cs="Arial"/>
        </w:rPr>
        <w:footnoteRef/>
      </w:r>
      <w:r w:rsidRPr="0001300C">
        <w:rPr>
          <w:rFonts w:ascii="Arial" w:hAnsi="Arial" w:cs="Arial"/>
        </w:rPr>
        <w:t xml:space="preserve"> </w:t>
      </w:r>
      <w:r w:rsidRPr="0001300C">
        <w:rPr>
          <w:rFonts w:ascii="Arial" w:hAnsi="Arial" w:cs="Arial"/>
          <w:i/>
          <w:iCs/>
          <w:color w:val="000000"/>
        </w:rPr>
        <w:t>Electricity Supply Commission v Stewarts and Lloyds of SA (Pty) Ltd</w:t>
      </w:r>
      <w:r w:rsidRPr="0001300C">
        <w:rPr>
          <w:rFonts w:ascii="Arial" w:hAnsi="Arial" w:cs="Arial"/>
          <w:iCs/>
          <w:color w:val="000000"/>
        </w:rPr>
        <w:t xml:space="preserve"> 1981 (3) SA 340 (A) at 344E-G.</w:t>
      </w:r>
    </w:p>
  </w:footnote>
  <w:footnote w:id="13">
    <w:p w14:paraId="056BAF45" w14:textId="77777777" w:rsidR="00235D91" w:rsidRPr="00CB65E2" w:rsidRDefault="00235D91" w:rsidP="00CB65E2">
      <w:pPr>
        <w:pStyle w:val="FootnoteText"/>
        <w:jc w:val="both"/>
        <w:rPr>
          <w:rFonts w:ascii="Arial" w:hAnsi="Arial" w:cs="Arial"/>
          <w:lang w:val="en-US"/>
        </w:rPr>
      </w:pPr>
      <w:r w:rsidRPr="00CB65E2">
        <w:rPr>
          <w:rStyle w:val="FootnoteReference"/>
          <w:rFonts w:ascii="Arial" w:hAnsi="Arial" w:cs="Arial"/>
        </w:rPr>
        <w:footnoteRef/>
      </w:r>
      <w:r w:rsidRPr="00CB65E2">
        <w:rPr>
          <w:rFonts w:ascii="Arial" w:hAnsi="Arial" w:cs="Arial"/>
        </w:rPr>
        <w:t xml:space="preserve"> </w:t>
      </w:r>
      <w:r>
        <w:rPr>
          <w:rFonts w:ascii="Arial" w:hAnsi="Arial" w:cs="Arial"/>
          <w:i/>
          <w:iCs/>
          <w:color w:val="000000"/>
        </w:rPr>
        <w:t>Desai NO v Desai and o</w:t>
      </w:r>
      <w:r w:rsidRPr="00CB65E2">
        <w:rPr>
          <w:rFonts w:ascii="Arial" w:hAnsi="Arial" w:cs="Arial"/>
          <w:i/>
          <w:iCs/>
          <w:color w:val="000000"/>
        </w:rPr>
        <w:t>thers</w:t>
      </w:r>
      <w:r w:rsidRPr="00CB65E2">
        <w:rPr>
          <w:rFonts w:ascii="Arial" w:hAnsi="Arial" w:cs="Arial"/>
          <w:color w:val="000000"/>
        </w:rPr>
        <w:t> 1996 (1) SA 141 (A).</w:t>
      </w:r>
    </w:p>
  </w:footnote>
  <w:footnote w:id="14">
    <w:p w14:paraId="0F2F9F32" w14:textId="77777777" w:rsidR="00235D91" w:rsidRPr="00F80F1E" w:rsidRDefault="00235D91" w:rsidP="00F80F1E">
      <w:pPr>
        <w:pStyle w:val="FootnoteText"/>
        <w:jc w:val="both"/>
        <w:rPr>
          <w:rFonts w:ascii="Arial" w:hAnsi="Arial" w:cs="Arial"/>
          <w:lang w:val="en-US"/>
        </w:rPr>
      </w:pPr>
      <w:r w:rsidRPr="00F80F1E">
        <w:rPr>
          <w:rStyle w:val="FootnoteReference"/>
          <w:rFonts w:ascii="Arial" w:hAnsi="Arial" w:cs="Arial"/>
        </w:rPr>
        <w:footnoteRef/>
      </w:r>
      <w:r w:rsidRPr="00F80F1E">
        <w:rPr>
          <w:rFonts w:ascii="Arial" w:hAnsi="Arial" w:cs="Arial"/>
        </w:rPr>
        <w:t xml:space="preserve"> </w:t>
      </w:r>
      <w:r w:rsidRPr="00F80F1E">
        <w:rPr>
          <w:rFonts w:ascii="Arial" w:hAnsi="Arial" w:cs="Arial"/>
          <w:i/>
        </w:rPr>
        <w:t>Makate v Vodacom Ltd</w:t>
      </w:r>
      <w:r w:rsidRPr="00F80F1E">
        <w:rPr>
          <w:rFonts w:ascii="Arial" w:hAnsi="Arial" w:cs="Arial"/>
        </w:rPr>
        <w:t xml:space="preserve"> 2016 (4) SA 121 (CC) at par 90.</w:t>
      </w:r>
    </w:p>
  </w:footnote>
  <w:footnote w:id="15">
    <w:p w14:paraId="30FAEC53" w14:textId="77777777" w:rsidR="00235D91" w:rsidRPr="00F80F1E" w:rsidRDefault="00235D91" w:rsidP="00F80F1E">
      <w:pPr>
        <w:pStyle w:val="FootnoteText"/>
        <w:jc w:val="both"/>
        <w:rPr>
          <w:rFonts w:ascii="Arial" w:hAnsi="Arial" w:cs="Arial"/>
          <w:lang w:val="en-US"/>
        </w:rPr>
      </w:pPr>
      <w:r w:rsidRPr="00F80F1E">
        <w:rPr>
          <w:rStyle w:val="FootnoteReference"/>
          <w:rFonts w:ascii="Arial" w:hAnsi="Arial" w:cs="Arial"/>
        </w:rPr>
        <w:footnoteRef/>
      </w:r>
      <w:r w:rsidRPr="00F80F1E">
        <w:rPr>
          <w:rFonts w:ascii="Arial" w:hAnsi="Arial" w:cs="Arial"/>
        </w:rPr>
        <w:t xml:space="preserve"> Section 34 of the Constitution provides that e</w:t>
      </w:r>
      <w:r w:rsidRPr="00F80F1E">
        <w:rPr>
          <w:rFonts w:ascii="Arial" w:hAnsi="Arial" w:cs="Arial"/>
          <w:color w:val="000000"/>
        </w:rPr>
        <w:t>veryone has the right to have any dispute that can be resolved by the application of law decided in a fair public hearing before a court or, where appropriate, another independent and impartial tribunal or forum.</w:t>
      </w:r>
    </w:p>
  </w:footnote>
  <w:footnote w:id="16">
    <w:p w14:paraId="2548F79B" w14:textId="77777777" w:rsidR="00235D91" w:rsidRPr="00F80F1E" w:rsidRDefault="00235D91" w:rsidP="00F80F1E">
      <w:pPr>
        <w:pStyle w:val="FootnoteText"/>
        <w:jc w:val="both"/>
        <w:rPr>
          <w:rFonts w:ascii="Arial" w:hAnsi="Arial" w:cs="Arial"/>
          <w:lang w:val="en-US"/>
        </w:rPr>
      </w:pPr>
      <w:r w:rsidRPr="00F80F1E">
        <w:rPr>
          <w:rStyle w:val="FootnoteReference"/>
          <w:rFonts w:ascii="Arial" w:hAnsi="Arial" w:cs="Arial"/>
        </w:rPr>
        <w:footnoteRef/>
      </w:r>
      <w:r w:rsidRPr="00F80F1E">
        <w:rPr>
          <w:rFonts w:ascii="Arial" w:hAnsi="Arial" w:cs="Arial"/>
        </w:rPr>
        <w:t xml:space="preserve"> </w:t>
      </w:r>
      <w:r w:rsidRPr="00F80F1E">
        <w:rPr>
          <w:rFonts w:ascii="Arial" w:hAnsi="Arial" w:cs="Arial"/>
          <w:color w:val="000000"/>
        </w:rPr>
        <w:t>Section 39(2) of the Constitution provides that, when interpreting any legislation, and when developing the common law or customary law, every court, tribunal or forum must promote the spirit, purport and objects of the Bill of Rights.</w:t>
      </w:r>
    </w:p>
  </w:footnote>
  <w:footnote w:id="17">
    <w:p w14:paraId="7B4FCBC6" w14:textId="77777777" w:rsidR="00235D91" w:rsidRPr="00F80F1E" w:rsidRDefault="00235D91" w:rsidP="00F80F1E">
      <w:pPr>
        <w:pStyle w:val="FootnoteText"/>
        <w:jc w:val="both"/>
        <w:rPr>
          <w:rFonts w:ascii="Arial" w:hAnsi="Arial" w:cs="Arial"/>
          <w:lang w:val="en-US"/>
        </w:rPr>
      </w:pPr>
      <w:r w:rsidRPr="00F80F1E">
        <w:rPr>
          <w:rStyle w:val="FootnoteReference"/>
          <w:rFonts w:ascii="Arial" w:hAnsi="Arial" w:cs="Arial"/>
        </w:rPr>
        <w:footnoteRef/>
      </w:r>
      <w:r w:rsidRPr="00F80F1E">
        <w:rPr>
          <w:rFonts w:ascii="Arial" w:hAnsi="Arial" w:cs="Arial"/>
        </w:rPr>
        <w:t xml:space="preserve"> </w:t>
      </w:r>
      <w:r w:rsidRPr="00F80F1E">
        <w:rPr>
          <w:rFonts w:ascii="Arial" w:hAnsi="Arial" w:cs="Arial"/>
          <w:i/>
        </w:rPr>
        <w:t>Makate</w:t>
      </w:r>
      <w:r w:rsidRPr="00F80F1E">
        <w:rPr>
          <w:rFonts w:ascii="Arial" w:hAnsi="Arial" w:cs="Arial"/>
        </w:rPr>
        <w:t xml:space="preserve"> above n 1</w:t>
      </w:r>
      <w:r w:rsidR="00BD03E7">
        <w:rPr>
          <w:rFonts w:ascii="Arial" w:hAnsi="Arial" w:cs="Arial"/>
        </w:rPr>
        <w:t>4</w:t>
      </w:r>
      <w:r w:rsidRPr="00F80F1E">
        <w:rPr>
          <w:rFonts w:ascii="Arial" w:hAnsi="Arial" w:cs="Arial"/>
        </w:rPr>
        <w:t xml:space="preserve"> at par 93.</w:t>
      </w:r>
    </w:p>
  </w:footnote>
  <w:footnote w:id="18">
    <w:p w14:paraId="3F495C4C" w14:textId="77777777" w:rsidR="00235D91" w:rsidRPr="00F80F1E" w:rsidRDefault="00235D91" w:rsidP="00F80F1E">
      <w:pPr>
        <w:pStyle w:val="FootnoteText"/>
        <w:jc w:val="both"/>
        <w:rPr>
          <w:rFonts w:ascii="Arial" w:hAnsi="Arial" w:cs="Arial"/>
          <w:lang w:val="en-US"/>
        </w:rPr>
      </w:pPr>
      <w:r w:rsidRPr="00F80F1E">
        <w:rPr>
          <w:rStyle w:val="FootnoteReference"/>
          <w:rFonts w:ascii="Arial" w:hAnsi="Arial" w:cs="Arial"/>
        </w:rPr>
        <w:footnoteRef/>
      </w:r>
      <w:r w:rsidRPr="00F80F1E">
        <w:rPr>
          <w:rFonts w:ascii="Arial" w:hAnsi="Arial" w:cs="Arial"/>
        </w:rPr>
        <w:t xml:space="preserve"> </w:t>
      </w:r>
      <w:r w:rsidRPr="00F80F1E">
        <w:rPr>
          <w:rFonts w:ascii="Arial" w:hAnsi="Arial" w:cs="Arial"/>
          <w:bCs/>
          <w:i/>
          <w:color w:val="000000"/>
        </w:rPr>
        <w:t>Off-Beat Holiday Club and another v Sanbonani Holiday Spa Shareblock Ltd and others</w:t>
      </w:r>
      <w:r w:rsidRPr="00F80F1E">
        <w:rPr>
          <w:rFonts w:ascii="Arial" w:hAnsi="Arial" w:cs="Arial"/>
          <w:bCs/>
          <w:color w:val="000000"/>
        </w:rPr>
        <w:t xml:space="preserve"> 2017 (5) SA</w:t>
      </w:r>
      <w:r>
        <w:rPr>
          <w:rFonts w:ascii="Arial" w:hAnsi="Arial" w:cs="Arial"/>
          <w:bCs/>
          <w:color w:val="000000"/>
        </w:rPr>
        <w:t> </w:t>
      </w:r>
      <w:r w:rsidRPr="00F80F1E">
        <w:rPr>
          <w:rFonts w:ascii="Arial" w:hAnsi="Arial" w:cs="Arial"/>
          <w:bCs/>
          <w:color w:val="000000"/>
        </w:rPr>
        <w:t>9 (CC)</w:t>
      </w:r>
      <w:r>
        <w:rPr>
          <w:rFonts w:ascii="Arial" w:hAnsi="Arial" w:cs="Arial"/>
          <w:bCs/>
          <w:color w:val="000000"/>
        </w:rPr>
        <w:t xml:space="preserve"> at par 48</w:t>
      </w:r>
      <w:r w:rsidRPr="00F80F1E">
        <w:rPr>
          <w:rFonts w:ascii="Arial" w:hAnsi="Arial" w:cs="Arial"/>
          <w:bCs/>
          <w:color w:val="000000"/>
        </w:rPr>
        <w:t>.</w:t>
      </w:r>
    </w:p>
  </w:footnote>
  <w:footnote w:id="19">
    <w:p w14:paraId="7C66A2B4" w14:textId="77777777" w:rsidR="00235D91" w:rsidRPr="00E676B4" w:rsidRDefault="00235D91">
      <w:pPr>
        <w:pStyle w:val="FootnoteText"/>
        <w:rPr>
          <w:rFonts w:ascii="Arial" w:hAnsi="Arial" w:cs="Arial"/>
          <w:lang w:val="en-US"/>
        </w:rPr>
      </w:pPr>
      <w:r w:rsidRPr="00E676B4">
        <w:rPr>
          <w:rStyle w:val="FootnoteReference"/>
          <w:rFonts w:ascii="Arial" w:hAnsi="Arial" w:cs="Arial"/>
        </w:rPr>
        <w:footnoteRef/>
      </w:r>
      <w:r w:rsidRPr="00E676B4">
        <w:rPr>
          <w:rFonts w:ascii="Arial" w:hAnsi="Arial" w:cs="Arial"/>
        </w:rPr>
        <w:t xml:space="preserve"> In terms of section 1 of the National Building Regulations and Building Standards Act, “this Act” includes the national building regulations made and directives issued in terms of it.</w:t>
      </w:r>
    </w:p>
  </w:footnote>
  <w:footnote w:id="20">
    <w:p w14:paraId="087CBE18" w14:textId="77777777" w:rsidR="00235D91" w:rsidRPr="00E676B4" w:rsidRDefault="00235D91">
      <w:pPr>
        <w:pStyle w:val="FootnoteText"/>
        <w:rPr>
          <w:lang w:val="en-US"/>
        </w:rPr>
      </w:pPr>
      <w:r w:rsidRPr="00E676B4">
        <w:rPr>
          <w:rStyle w:val="FootnoteReference"/>
          <w:rFonts w:ascii="Arial" w:hAnsi="Arial" w:cs="Arial"/>
        </w:rPr>
        <w:footnoteRef/>
      </w:r>
      <w:r w:rsidRPr="00E676B4">
        <w:rPr>
          <w:rFonts w:ascii="Arial" w:hAnsi="Arial" w:cs="Arial"/>
        </w:rPr>
        <w:t xml:space="preserve"> </w:t>
      </w:r>
      <w:r w:rsidRPr="00E676B4">
        <w:rPr>
          <w:rFonts w:ascii="Arial" w:hAnsi="Arial" w:cs="Arial"/>
          <w:lang w:val="en-US"/>
        </w:rPr>
        <w:t>See above n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373182"/>
      <w:docPartObj>
        <w:docPartGallery w:val="Page Numbers (Top of Page)"/>
        <w:docPartUnique/>
      </w:docPartObj>
    </w:sdtPr>
    <w:sdtEndPr>
      <w:rPr>
        <w:noProof/>
      </w:rPr>
    </w:sdtEndPr>
    <w:sdtContent>
      <w:p w14:paraId="279F726B" w14:textId="77777777" w:rsidR="00235D91" w:rsidRDefault="00235D91">
        <w:pPr>
          <w:pStyle w:val="Header"/>
          <w:jc w:val="right"/>
        </w:pPr>
        <w:r>
          <w:fldChar w:fldCharType="begin"/>
        </w:r>
        <w:r>
          <w:instrText xml:space="preserve"> PAGE   \* MERGEFORMAT </w:instrText>
        </w:r>
        <w:r>
          <w:fldChar w:fldCharType="separate"/>
        </w:r>
        <w:r w:rsidR="007B5560">
          <w:rPr>
            <w:noProof/>
          </w:rPr>
          <w:t>4</w:t>
        </w:r>
        <w:r>
          <w:rPr>
            <w:noProof/>
          </w:rPr>
          <w:fldChar w:fldCharType="end"/>
        </w:r>
      </w:p>
    </w:sdtContent>
  </w:sdt>
  <w:p w14:paraId="2AF548AA" w14:textId="77777777" w:rsidR="00235D91" w:rsidRDefault="0023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CFAD" w14:textId="77777777" w:rsidR="00235D91" w:rsidRDefault="00235D91">
    <w:pPr>
      <w:pStyle w:val="Header"/>
      <w:jc w:val="right"/>
    </w:pPr>
  </w:p>
  <w:p w14:paraId="60CF0034" w14:textId="77777777" w:rsidR="00235D91" w:rsidRDefault="00235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B57"/>
    <w:multiLevelType w:val="hybridMultilevel"/>
    <w:tmpl w:val="D6DAE2C0"/>
    <w:lvl w:ilvl="0" w:tplc="9740E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460AD0"/>
    <w:multiLevelType w:val="hybridMultilevel"/>
    <w:tmpl w:val="EC0AC6C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FB7319"/>
    <w:multiLevelType w:val="hybridMultilevel"/>
    <w:tmpl w:val="4EB4C15E"/>
    <w:lvl w:ilvl="0" w:tplc="28326FD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1FCA4556"/>
    <w:multiLevelType w:val="hybridMultilevel"/>
    <w:tmpl w:val="12D01F92"/>
    <w:lvl w:ilvl="0" w:tplc="F90CD2F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25A13B49"/>
    <w:multiLevelType w:val="hybridMultilevel"/>
    <w:tmpl w:val="53E8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4A95315"/>
    <w:multiLevelType w:val="hybridMultilevel"/>
    <w:tmpl w:val="90A46D06"/>
    <w:lvl w:ilvl="0" w:tplc="24B0D1D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4FCE645B"/>
    <w:multiLevelType w:val="hybridMultilevel"/>
    <w:tmpl w:val="0E8688C0"/>
    <w:lvl w:ilvl="0" w:tplc="96744A40">
      <w:start w:val="1"/>
      <w:numFmt w:val="decimal"/>
      <w:lvlText w:val="(%1)"/>
      <w:lvlJc w:val="left"/>
      <w:pPr>
        <w:ind w:left="2263" w:hanging="42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10" w15:restartNumberingAfterBreak="0">
    <w:nsid w:val="5BE07027"/>
    <w:multiLevelType w:val="multilevel"/>
    <w:tmpl w:val="B68A4D8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65D32379"/>
    <w:multiLevelType w:val="hybridMultilevel"/>
    <w:tmpl w:val="EC0AC6C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2B4E52"/>
    <w:multiLevelType w:val="multilevel"/>
    <w:tmpl w:val="E120120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6DA11AEB"/>
    <w:multiLevelType w:val="multilevel"/>
    <w:tmpl w:val="CDDAA18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71CB4B49"/>
    <w:multiLevelType w:val="multilevel"/>
    <w:tmpl w:val="D84A521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num w:numId="1" w16cid:durableId="2023194301">
    <w:abstractNumId w:val="2"/>
  </w:num>
  <w:num w:numId="2" w16cid:durableId="1138956108">
    <w:abstractNumId w:val="7"/>
  </w:num>
  <w:num w:numId="3" w16cid:durableId="1771125178">
    <w:abstractNumId w:val="6"/>
  </w:num>
  <w:num w:numId="4" w16cid:durableId="323169688">
    <w:abstractNumId w:val="5"/>
  </w:num>
  <w:num w:numId="5" w16cid:durableId="195697102">
    <w:abstractNumId w:val="0"/>
  </w:num>
  <w:num w:numId="6" w16cid:durableId="534274187">
    <w:abstractNumId w:val="11"/>
  </w:num>
  <w:num w:numId="7" w16cid:durableId="749155230">
    <w:abstractNumId w:val="9"/>
  </w:num>
  <w:num w:numId="8" w16cid:durableId="1837455759">
    <w:abstractNumId w:val="8"/>
  </w:num>
  <w:num w:numId="9" w16cid:durableId="753892476">
    <w:abstractNumId w:val="1"/>
  </w:num>
  <w:num w:numId="10" w16cid:durableId="750741580">
    <w:abstractNumId w:val="4"/>
  </w:num>
  <w:num w:numId="11" w16cid:durableId="365253026">
    <w:abstractNumId w:val="3"/>
  </w:num>
  <w:num w:numId="12" w16cid:durableId="1087579641">
    <w:abstractNumId w:val="10"/>
  </w:num>
  <w:num w:numId="13" w16cid:durableId="2027320592">
    <w:abstractNumId w:val="12"/>
  </w:num>
  <w:num w:numId="14" w16cid:durableId="1249188946">
    <w:abstractNumId w:val="13"/>
  </w:num>
  <w:num w:numId="15" w16cid:durableId="10800582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6C"/>
    <w:rsid w:val="000001EA"/>
    <w:rsid w:val="0000065F"/>
    <w:rsid w:val="00001022"/>
    <w:rsid w:val="000011C1"/>
    <w:rsid w:val="000019FF"/>
    <w:rsid w:val="000041B1"/>
    <w:rsid w:val="0000503C"/>
    <w:rsid w:val="000056E8"/>
    <w:rsid w:val="000059EE"/>
    <w:rsid w:val="000073EF"/>
    <w:rsid w:val="00007822"/>
    <w:rsid w:val="000105BE"/>
    <w:rsid w:val="00011D85"/>
    <w:rsid w:val="00012D24"/>
    <w:rsid w:val="0001300C"/>
    <w:rsid w:val="00014421"/>
    <w:rsid w:val="000145F0"/>
    <w:rsid w:val="000154F8"/>
    <w:rsid w:val="00015AA6"/>
    <w:rsid w:val="00015DE2"/>
    <w:rsid w:val="0001760B"/>
    <w:rsid w:val="00017F86"/>
    <w:rsid w:val="000205DE"/>
    <w:rsid w:val="000207FA"/>
    <w:rsid w:val="00020F65"/>
    <w:rsid w:val="000212B8"/>
    <w:rsid w:val="000232C6"/>
    <w:rsid w:val="00023695"/>
    <w:rsid w:val="00023F0B"/>
    <w:rsid w:val="0002431A"/>
    <w:rsid w:val="000244EC"/>
    <w:rsid w:val="00026F76"/>
    <w:rsid w:val="00027180"/>
    <w:rsid w:val="00027360"/>
    <w:rsid w:val="0002748C"/>
    <w:rsid w:val="00031890"/>
    <w:rsid w:val="00031BA2"/>
    <w:rsid w:val="00032871"/>
    <w:rsid w:val="00032BED"/>
    <w:rsid w:val="0003405F"/>
    <w:rsid w:val="000360B8"/>
    <w:rsid w:val="0003672C"/>
    <w:rsid w:val="0003736A"/>
    <w:rsid w:val="0004018B"/>
    <w:rsid w:val="00040340"/>
    <w:rsid w:val="00040490"/>
    <w:rsid w:val="0004117F"/>
    <w:rsid w:val="00041CF5"/>
    <w:rsid w:val="00041EA6"/>
    <w:rsid w:val="000425E8"/>
    <w:rsid w:val="00042763"/>
    <w:rsid w:val="00042E45"/>
    <w:rsid w:val="00044519"/>
    <w:rsid w:val="00045688"/>
    <w:rsid w:val="000466E5"/>
    <w:rsid w:val="00046DFB"/>
    <w:rsid w:val="0004798C"/>
    <w:rsid w:val="00047ABF"/>
    <w:rsid w:val="00050688"/>
    <w:rsid w:val="000508AB"/>
    <w:rsid w:val="000519C0"/>
    <w:rsid w:val="0005307E"/>
    <w:rsid w:val="00053649"/>
    <w:rsid w:val="00053652"/>
    <w:rsid w:val="00053B05"/>
    <w:rsid w:val="00055C68"/>
    <w:rsid w:val="00055E9E"/>
    <w:rsid w:val="0005737A"/>
    <w:rsid w:val="000577BE"/>
    <w:rsid w:val="00057E9A"/>
    <w:rsid w:val="00060420"/>
    <w:rsid w:val="000608BE"/>
    <w:rsid w:val="00060C2E"/>
    <w:rsid w:val="000619D7"/>
    <w:rsid w:val="00061BFD"/>
    <w:rsid w:val="000632B2"/>
    <w:rsid w:val="00063476"/>
    <w:rsid w:val="00063F3F"/>
    <w:rsid w:val="00064F75"/>
    <w:rsid w:val="000662E0"/>
    <w:rsid w:val="00066463"/>
    <w:rsid w:val="00066FA5"/>
    <w:rsid w:val="000673A6"/>
    <w:rsid w:val="000674E8"/>
    <w:rsid w:val="00070270"/>
    <w:rsid w:val="000726D0"/>
    <w:rsid w:val="000750DE"/>
    <w:rsid w:val="00075EFB"/>
    <w:rsid w:val="000772B7"/>
    <w:rsid w:val="0008034B"/>
    <w:rsid w:val="00080C2D"/>
    <w:rsid w:val="00081C5F"/>
    <w:rsid w:val="00081D64"/>
    <w:rsid w:val="00082A6F"/>
    <w:rsid w:val="00083A30"/>
    <w:rsid w:val="00083AC3"/>
    <w:rsid w:val="000846BB"/>
    <w:rsid w:val="00084C47"/>
    <w:rsid w:val="00085334"/>
    <w:rsid w:val="00085DA9"/>
    <w:rsid w:val="00085EBF"/>
    <w:rsid w:val="000867F9"/>
    <w:rsid w:val="00086F99"/>
    <w:rsid w:val="0008710A"/>
    <w:rsid w:val="00087251"/>
    <w:rsid w:val="00087B91"/>
    <w:rsid w:val="00090F3C"/>
    <w:rsid w:val="000918D8"/>
    <w:rsid w:val="00091ABA"/>
    <w:rsid w:val="000921B4"/>
    <w:rsid w:val="00092E9F"/>
    <w:rsid w:val="000935AD"/>
    <w:rsid w:val="00094007"/>
    <w:rsid w:val="00094754"/>
    <w:rsid w:val="00094CCA"/>
    <w:rsid w:val="0009501A"/>
    <w:rsid w:val="000953FD"/>
    <w:rsid w:val="00095E59"/>
    <w:rsid w:val="000961F5"/>
    <w:rsid w:val="000970F2"/>
    <w:rsid w:val="000972DE"/>
    <w:rsid w:val="000972F2"/>
    <w:rsid w:val="00097B59"/>
    <w:rsid w:val="000A07EB"/>
    <w:rsid w:val="000A10AC"/>
    <w:rsid w:val="000A146E"/>
    <w:rsid w:val="000A1D9C"/>
    <w:rsid w:val="000A1E26"/>
    <w:rsid w:val="000A36F4"/>
    <w:rsid w:val="000A6461"/>
    <w:rsid w:val="000B109B"/>
    <w:rsid w:val="000B1CBA"/>
    <w:rsid w:val="000B20D9"/>
    <w:rsid w:val="000B3302"/>
    <w:rsid w:val="000B5C33"/>
    <w:rsid w:val="000B69B3"/>
    <w:rsid w:val="000C1CF9"/>
    <w:rsid w:val="000C25C0"/>
    <w:rsid w:val="000C3081"/>
    <w:rsid w:val="000C3432"/>
    <w:rsid w:val="000C409F"/>
    <w:rsid w:val="000C4BC7"/>
    <w:rsid w:val="000C4FAD"/>
    <w:rsid w:val="000C52D6"/>
    <w:rsid w:val="000C5AEA"/>
    <w:rsid w:val="000C5B22"/>
    <w:rsid w:val="000D07C4"/>
    <w:rsid w:val="000D18BF"/>
    <w:rsid w:val="000D2052"/>
    <w:rsid w:val="000D2D7A"/>
    <w:rsid w:val="000D34CD"/>
    <w:rsid w:val="000D3B18"/>
    <w:rsid w:val="000D403B"/>
    <w:rsid w:val="000D53ED"/>
    <w:rsid w:val="000D5E51"/>
    <w:rsid w:val="000D6657"/>
    <w:rsid w:val="000D67A3"/>
    <w:rsid w:val="000D6949"/>
    <w:rsid w:val="000D6D12"/>
    <w:rsid w:val="000D7590"/>
    <w:rsid w:val="000D78C3"/>
    <w:rsid w:val="000E0033"/>
    <w:rsid w:val="000E027C"/>
    <w:rsid w:val="000E049D"/>
    <w:rsid w:val="000E1665"/>
    <w:rsid w:val="000E16C4"/>
    <w:rsid w:val="000E17FD"/>
    <w:rsid w:val="000E254E"/>
    <w:rsid w:val="000E270D"/>
    <w:rsid w:val="000E284D"/>
    <w:rsid w:val="000E306D"/>
    <w:rsid w:val="000E431D"/>
    <w:rsid w:val="000E46C3"/>
    <w:rsid w:val="000E52D2"/>
    <w:rsid w:val="000E5DCF"/>
    <w:rsid w:val="000E63E8"/>
    <w:rsid w:val="000E668B"/>
    <w:rsid w:val="000E6BE2"/>
    <w:rsid w:val="000E70A9"/>
    <w:rsid w:val="000F03A3"/>
    <w:rsid w:val="000F1069"/>
    <w:rsid w:val="000F11E5"/>
    <w:rsid w:val="000F1B76"/>
    <w:rsid w:val="000F1DAB"/>
    <w:rsid w:val="000F210B"/>
    <w:rsid w:val="000F3E9F"/>
    <w:rsid w:val="000F4B8F"/>
    <w:rsid w:val="000F6315"/>
    <w:rsid w:val="000F794D"/>
    <w:rsid w:val="00100D7A"/>
    <w:rsid w:val="0010121A"/>
    <w:rsid w:val="001012E8"/>
    <w:rsid w:val="00102E07"/>
    <w:rsid w:val="001066D3"/>
    <w:rsid w:val="0010721E"/>
    <w:rsid w:val="00107640"/>
    <w:rsid w:val="00107668"/>
    <w:rsid w:val="001076DC"/>
    <w:rsid w:val="00107BEB"/>
    <w:rsid w:val="00107E7A"/>
    <w:rsid w:val="00110A91"/>
    <w:rsid w:val="00111505"/>
    <w:rsid w:val="00111D21"/>
    <w:rsid w:val="001123E8"/>
    <w:rsid w:val="00113415"/>
    <w:rsid w:val="00113BD0"/>
    <w:rsid w:val="001144F1"/>
    <w:rsid w:val="0011462D"/>
    <w:rsid w:val="00114974"/>
    <w:rsid w:val="0011539A"/>
    <w:rsid w:val="0012023E"/>
    <w:rsid w:val="001203BC"/>
    <w:rsid w:val="001206DA"/>
    <w:rsid w:val="00120751"/>
    <w:rsid w:val="00121AD6"/>
    <w:rsid w:val="00122E78"/>
    <w:rsid w:val="00123428"/>
    <w:rsid w:val="001242D3"/>
    <w:rsid w:val="00124A38"/>
    <w:rsid w:val="00124FC2"/>
    <w:rsid w:val="001253E7"/>
    <w:rsid w:val="00125656"/>
    <w:rsid w:val="001266BF"/>
    <w:rsid w:val="001308A8"/>
    <w:rsid w:val="00131E86"/>
    <w:rsid w:val="00133760"/>
    <w:rsid w:val="001349D7"/>
    <w:rsid w:val="00134A40"/>
    <w:rsid w:val="00134B2E"/>
    <w:rsid w:val="001359DC"/>
    <w:rsid w:val="00135F6D"/>
    <w:rsid w:val="001368D2"/>
    <w:rsid w:val="00136C5D"/>
    <w:rsid w:val="00136DD9"/>
    <w:rsid w:val="00136F93"/>
    <w:rsid w:val="001378D8"/>
    <w:rsid w:val="00137F28"/>
    <w:rsid w:val="00140293"/>
    <w:rsid w:val="00141C52"/>
    <w:rsid w:val="00141C73"/>
    <w:rsid w:val="0014239E"/>
    <w:rsid w:val="00143188"/>
    <w:rsid w:val="0014494F"/>
    <w:rsid w:val="00145690"/>
    <w:rsid w:val="00147081"/>
    <w:rsid w:val="00147B25"/>
    <w:rsid w:val="00150C40"/>
    <w:rsid w:val="00151ED1"/>
    <w:rsid w:val="001525AC"/>
    <w:rsid w:val="00152E99"/>
    <w:rsid w:val="00154FC3"/>
    <w:rsid w:val="00155D15"/>
    <w:rsid w:val="0015699C"/>
    <w:rsid w:val="0015722A"/>
    <w:rsid w:val="00157AF2"/>
    <w:rsid w:val="00160D51"/>
    <w:rsid w:val="0016257A"/>
    <w:rsid w:val="00162C0F"/>
    <w:rsid w:val="00163362"/>
    <w:rsid w:val="00163AE8"/>
    <w:rsid w:val="00163C91"/>
    <w:rsid w:val="00164B30"/>
    <w:rsid w:val="00164D20"/>
    <w:rsid w:val="0016541C"/>
    <w:rsid w:val="001658DF"/>
    <w:rsid w:val="00166B6B"/>
    <w:rsid w:val="00166C26"/>
    <w:rsid w:val="00167B33"/>
    <w:rsid w:val="001713E2"/>
    <w:rsid w:val="00171451"/>
    <w:rsid w:val="0017270C"/>
    <w:rsid w:val="00172C88"/>
    <w:rsid w:val="00172EE3"/>
    <w:rsid w:val="00174284"/>
    <w:rsid w:val="00174458"/>
    <w:rsid w:val="00174682"/>
    <w:rsid w:val="0017659E"/>
    <w:rsid w:val="00176D30"/>
    <w:rsid w:val="001805D0"/>
    <w:rsid w:val="0018220F"/>
    <w:rsid w:val="00182835"/>
    <w:rsid w:val="001828E9"/>
    <w:rsid w:val="00182E31"/>
    <w:rsid w:val="00184AC0"/>
    <w:rsid w:val="0018511F"/>
    <w:rsid w:val="00185DC4"/>
    <w:rsid w:val="001866A6"/>
    <w:rsid w:val="0018729A"/>
    <w:rsid w:val="001877B1"/>
    <w:rsid w:val="00187839"/>
    <w:rsid w:val="00190993"/>
    <w:rsid w:val="00190F3C"/>
    <w:rsid w:val="001920F2"/>
    <w:rsid w:val="0019317A"/>
    <w:rsid w:val="00193C35"/>
    <w:rsid w:val="00195487"/>
    <w:rsid w:val="00197836"/>
    <w:rsid w:val="001A0569"/>
    <w:rsid w:val="001A0B22"/>
    <w:rsid w:val="001A1EB1"/>
    <w:rsid w:val="001A2962"/>
    <w:rsid w:val="001A3523"/>
    <w:rsid w:val="001A4673"/>
    <w:rsid w:val="001A52E2"/>
    <w:rsid w:val="001A5817"/>
    <w:rsid w:val="001A6EF5"/>
    <w:rsid w:val="001B0686"/>
    <w:rsid w:val="001B1545"/>
    <w:rsid w:val="001B1713"/>
    <w:rsid w:val="001B20B2"/>
    <w:rsid w:val="001B20F7"/>
    <w:rsid w:val="001B38B3"/>
    <w:rsid w:val="001B3CF6"/>
    <w:rsid w:val="001B485F"/>
    <w:rsid w:val="001B4A7C"/>
    <w:rsid w:val="001B50D2"/>
    <w:rsid w:val="001B638D"/>
    <w:rsid w:val="001B766C"/>
    <w:rsid w:val="001C136E"/>
    <w:rsid w:val="001C1B0A"/>
    <w:rsid w:val="001C1C9B"/>
    <w:rsid w:val="001C274C"/>
    <w:rsid w:val="001C4A4F"/>
    <w:rsid w:val="001C62C3"/>
    <w:rsid w:val="001C643F"/>
    <w:rsid w:val="001C684A"/>
    <w:rsid w:val="001C7371"/>
    <w:rsid w:val="001D0306"/>
    <w:rsid w:val="001D128D"/>
    <w:rsid w:val="001D1E39"/>
    <w:rsid w:val="001D2014"/>
    <w:rsid w:val="001D27A1"/>
    <w:rsid w:val="001D2EBD"/>
    <w:rsid w:val="001D31CF"/>
    <w:rsid w:val="001D392A"/>
    <w:rsid w:val="001D3A28"/>
    <w:rsid w:val="001D3FA8"/>
    <w:rsid w:val="001D46F2"/>
    <w:rsid w:val="001D4E58"/>
    <w:rsid w:val="001D4F01"/>
    <w:rsid w:val="001D5514"/>
    <w:rsid w:val="001D5644"/>
    <w:rsid w:val="001D6206"/>
    <w:rsid w:val="001D620A"/>
    <w:rsid w:val="001D69CF"/>
    <w:rsid w:val="001E0C7B"/>
    <w:rsid w:val="001E1A37"/>
    <w:rsid w:val="001E21FB"/>
    <w:rsid w:val="001E232E"/>
    <w:rsid w:val="001E29CF"/>
    <w:rsid w:val="001E311D"/>
    <w:rsid w:val="001E3E77"/>
    <w:rsid w:val="001E472F"/>
    <w:rsid w:val="001E51CC"/>
    <w:rsid w:val="001E5E04"/>
    <w:rsid w:val="001E6339"/>
    <w:rsid w:val="001E6FFF"/>
    <w:rsid w:val="001F3563"/>
    <w:rsid w:val="001F4394"/>
    <w:rsid w:val="001F50EA"/>
    <w:rsid w:val="001F59A9"/>
    <w:rsid w:val="001F5DEF"/>
    <w:rsid w:val="001F7E60"/>
    <w:rsid w:val="00201173"/>
    <w:rsid w:val="002011AF"/>
    <w:rsid w:val="00201FE0"/>
    <w:rsid w:val="0020245D"/>
    <w:rsid w:val="00202A11"/>
    <w:rsid w:val="00203669"/>
    <w:rsid w:val="00203FEC"/>
    <w:rsid w:val="002044CC"/>
    <w:rsid w:val="002056DA"/>
    <w:rsid w:val="00205938"/>
    <w:rsid w:val="00205B14"/>
    <w:rsid w:val="00205C16"/>
    <w:rsid w:val="00205CF0"/>
    <w:rsid w:val="00206809"/>
    <w:rsid w:val="00207265"/>
    <w:rsid w:val="00207939"/>
    <w:rsid w:val="002101CE"/>
    <w:rsid w:val="002112CF"/>
    <w:rsid w:val="00211912"/>
    <w:rsid w:val="002136CB"/>
    <w:rsid w:val="00213740"/>
    <w:rsid w:val="002139B0"/>
    <w:rsid w:val="002158BD"/>
    <w:rsid w:val="00220EB5"/>
    <w:rsid w:val="00221035"/>
    <w:rsid w:val="002237CF"/>
    <w:rsid w:val="00223EFD"/>
    <w:rsid w:val="00224A81"/>
    <w:rsid w:val="00224C46"/>
    <w:rsid w:val="002257E4"/>
    <w:rsid w:val="00225CB3"/>
    <w:rsid w:val="002266AE"/>
    <w:rsid w:val="00226AB9"/>
    <w:rsid w:val="00226FF4"/>
    <w:rsid w:val="002271E4"/>
    <w:rsid w:val="002307CF"/>
    <w:rsid w:val="00231393"/>
    <w:rsid w:val="0023151A"/>
    <w:rsid w:val="00231B03"/>
    <w:rsid w:val="00232543"/>
    <w:rsid w:val="00232C7A"/>
    <w:rsid w:val="00233B39"/>
    <w:rsid w:val="00234677"/>
    <w:rsid w:val="0023486D"/>
    <w:rsid w:val="00234976"/>
    <w:rsid w:val="002349E4"/>
    <w:rsid w:val="002351B0"/>
    <w:rsid w:val="0023521D"/>
    <w:rsid w:val="00235D91"/>
    <w:rsid w:val="00236502"/>
    <w:rsid w:val="0023672D"/>
    <w:rsid w:val="002379DC"/>
    <w:rsid w:val="002400FD"/>
    <w:rsid w:val="002402F4"/>
    <w:rsid w:val="0024063B"/>
    <w:rsid w:val="0024089A"/>
    <w:rsid w:val="002433C9"/>
    <w:rsid w:val="0024411C"/>
    <w:rsid w:val="00244AA8"/>
    <w:rsid w:val="00244AB0"/>
    <w:rsid w:val="00244CBE"/>
    <w:rsid w:val="0024512D"/>
    <w:rsid w:val="00245193"/>
    <w:rsid w:val="002465B8"/>
    <w:rsid w:val="00247E06"/>
    <w:rsid w:val="002512D5"/>
    <w:rsid w:val="00252641"/>
    <w:rsid w:val="002527F7"/>
    <w:rsid w:val="002539F9"/>
    <w:rsid w:val="00253DAA"/>
    <w:rsid w:val="00255FEF"/>
    <w:rsid w:val="00256758"/>
    <w:rsid w:val="002571A6"/>
    <w:rsid w:val="00257654"/>
    <w:rsid w:val="00257BB1"/>
    <w:rsid w:val="00260928"/>
    <w:rsid w:val="00261942"/>
    <w:rsid w:val="00263C87"/>
    <w:rsid w:val="002650B2"/>
    <w:rsid w:val="00265241"/>
    <w:rsid w:val="00265C0E"/>
    <w:rsid w:val="002662A3"/>
    <w:rsid w:val="00270148"/>
    <w:rsid w:val="00270BBD"/>
    <w:rsid w:val="0027217B"/>
    <w:rsid w:val="002735BC"/>
    <w:rsid w:val="00273D7F"/>
    <w:rsid w:val="00273FD1"/>
    <w:rsid w:val="00274107"/>
    <w:rsid w:val="0027442B"/>
    <w:rsid w:val="002745EF"/>
    <w:rsid w:val="00274A10"/>
    <w:rsid w:val="002765FD"/>
    <w:rsid w:val="00276923"/>
    <w:rsid w:val="00277443"/>
    <w:rsid w:val="00277BB6"/>
    <w:rsid w:val="00277BFA"/>
    <w:rsid w:val="00280304"/>
    <w:rsid w:val="00280481"/>
    <w:rsid w:val="00280513"/>
    <w:rsid w:val="00280F0D"/>
    <w:rsid w:val="0028146C"/>
    <w:rsid w:val="00281DF9"/>
    <w:rsid w:val="00282D42"/>
    <w:rsid w:val="00283EBB"/>
    <w:rsid w:val="0028430D"/>
    <w:rsid w:val="00284915"/>
    <w:rsid w:val="00285A5E"/>
    <w:rsid w:val="002863F1"/>
    <w:rsid w:val="0028681E"/>
    <w:rsid w:val="0029069B"/>
    <w:rsid w:val="002919AE"/>
    <w:rsid w:val="00291D43"/>
    <w:rsid w:val="00292735"/>
    <w:rsid w:val="002934BF"/>
    <w:rsid w:val="002935DC"/>
    <w:rsid w:val="00293AD1"/>
    <w:rsid w:val="00293B4F"/>
    <w:rsid w:val="00296978"/>
    <w:rsid w:val="00296B4F"/>
    <w:rsid w:val="0029797C"/>
    <w:rsid w:val="002A04F4"/>
    <w:rsid w:val="002A12BE"/>
    <w:rsid w:val="002A2CC0"/>
    <w:rsid w:val="002A39BA"/>
    <w:rsid w:val="002A3EBB"/>
    <w:rsid w:val="002A4790"/>
    <w:rsid w:val="002A51D3"/>
    <w:rsid w:val="002A53ED"/>
    <w:rsid w:val="002A5496"/>
    <w:rsid w:val="002A5682"/>
    <w:rsid w:val="002A6AC1"/>
    <w:rsid w:val="002A7D46"/>
    <w:rsid w:val="002B06FA"/>
    <w:rsid w:val="002B0C1D"/>
    <w:rsid w:val="002B0CCC"/>
    <w:rsid w:val="002B1B07"/>
    <w:rsid w:val="002B1F05"/>
    <w:rsid w:val="002B3525"/>
    <w:rsid w:val="002B6180"/>
    <w:rsid w:val="002B62ED"/>
    <w:rsid w:val="002B6300"/>
    <w:rsid w:val="002B686D"/>
    <w:rsid w:val="002B732F"/>
    <w:rsid w:val="002C1F70"/>
    <w:rsid w:val="002C29B1"/>
    <w:rsid w:val="002C2F68"/>
    <w:rsid w:val="002C399E"/>
    <w:rsid w:val="002C3F7C"/>
    <w:rsid w:val="002C4391"/>
    <w:rsid w:val="002C49B9"/>
    <w:rsid w:val="002C4DCE"/>
    <w:rsid w:val="002C56AC"/>
    <w:rsid w:val="002C6535"/>
    <w:rsid w:val="002C6CDF"/>
    <w:rsid w:val="002C7295"/>
    <w:rsid w:val="002D1917"/>
    <w:rsid w:val="002D19F3"/>
    <w:rsid w:val="002D22CF"/>
    <w:rsid w:val="002D2CA4"/>
    <w:rsid w:val="002D3526"/>
    <w:rsid w:val="002D3ACD"/>
    <w:rsid w:val="002D3B26"/>
    <w:rsid w:val="002D4310"/>
    <w:rsid w:val="002D5FCF"/>
    <w:rsid w:val="002D69A2"/>
    <w:rsid w:val="002D760B"/>
    <w:rsid w:val="002D7EBF"/>
    <w:rsid w:val="002E13B6"/>
    <w:rsid w:val="002E192D"/>
    <w:rsid w:val="002E1A2B"/>
    <w:rsid w:val="002E1B12"/>
    <w:rsid w:val="002E2754"/>
    <w:rsid w:val="002E27E8"/>
    <w:rsid w:val="002E29E0"/>
    <w:rsid w:val="002E3119"/>
    <w:rsid w:val="002E3E77"/>
    <w:rsid w:val="002E43AC"/>
    <w:rsid w:val="002E535D"/>
    <w:rsid w:val="002E5AF8"/>
    <w:rsid w:val="002E699A"/>
    <w:rsid w:val="002E73C4"/>
    <w:rsid w:val="002E755A"/>
    <w:rsid w:val="002E7C31"/>
    <w:rsid w:val="002F0DA3"/>
    <w:rsid w:val="002F167F"/>
    <w:rsid w:val="002F1CCE"/>
    <w:rsid w:val="002F3779"/>
    <w:rsid w:val="002F3D42"/>
    <w:rsid w:val="002F3DF6"/>
    <w:rsid w:val="002F4488"/>
    <w:rsid w:val="002F4558"/>
    <w:rsid w:val="002F575B"/>
    <w:rsid w:val="002F5990"/>
    <w:rsid w:val="002F61D3"/>
    <w:rsid w:val="00301F65"/>
    <w:rsid w:val="003022CC"/>
    <w:rsid w:val="00302F48"/>
    <w:rsid w:val="00304427"/>
    <w:rsid w:val="003053BE"/>
    <w:rsid w:val="003058FF"/>
    <w:rsid w:val="00306AC8"/>
    <w:rsid w:val="00306C3D"/>
    <w:rsid w:val="00312F98"/>
    <w:rsid w:val="00314CA2"/>
    <w:rsid w:val="0031537F"/>
    <w:rsid w:val="00316295"/>
    <w:rsid w:val="003162D5"/>
    <w:rsid w:val="00316424"/>
    <w:rsid w:val="00316CAE"/>
    <w:rsid w:val="00317A59"/>
    <w:rsid w:val="00317FC8"/>
    <w:rsid w:val="00320266"/>
    <w:rsid w:val="00320B05"/>
    <w:rsid w:val="00321206"/>
    <w:rsid w:val="00321694"/>
    <w:rsid w:val="00321CD9"/>
    <w:rsid w:val="003228B9"/>
    <w:rsid w:val="00322BD5"/>
    <w:rsid w:val="003235CE"/>
    <w:rsid w:val="00323E4C"/>
    <w:rsid w:val="00323F10"/>
    <w:rsid w:val="00324973"/>
    <w:rsid w:val="003275EE"/>
    <w:rsid w:val="0033062B"/>
    <w:rsid w:val="00330D2A"/>
    <w:rsid w:val="00331B89"/>
    <w:rsid w:val="00331C01"/>
    <w:rsid w:val="00332518"/>
    <w:rsid w:val="0033279C"/>
    <w:rsid w:val="003338EA"/>
    <w:rsid w:val="00333980"/>
    <w:rsid w:val="00333A13"/>
    <w:rsid w:val="00333CA5"/>
    <w:rsid w:val="00334129"/>
    <w:rsid w:val="00334262"/>
    <w:rsid w:val="0033499D"/>
    <w:rsid w:val="00334A4F"/>
    <w:rsid w:val="00334AFA"/>
    <w:rsid w:val="00334F33"/>
    <w:rsid w:val="003357E0"/>
    <w:rsid w:val="00335DF0"/>
    <w:rsid w:val="003363C7"/>
    <w:rsid w:val="00340742"/>
    <w:rsid w:val="003416F7"/>
    <w:rsid w:val="003424D0"/>
    <w:rsid w:val="00343181"/>
    <w:rsid w:val="00344664"/>
    <w:rsid w:val="00344A01"/>
    <w:rsid w:val="00344EEE"/>
    <w:rsid w:val="003454A7"/>
    <w:rsid w:val="00346DCF"/>
    <w:rsid w:val="0034727D"/>
    <w:rsid w:val="003525FC"/>
    <w:rsid w:val="00353765"/>
    <w:rsid w:val="00353E81"/>
    <w:rsid w:val="00354867"/>
    <w:rsid w:val="003550F1"/>
    <w:rsid w:val="0035555A"/>
    <w:rsid w:val="00356054"/>
    <w:rsid w:val="00356459"/>
    <w:rsid w:val="003569E0"/>
    <w:rsid w:val="00357136"/>
    <w:rsid w:val="00357EBE"/>
    <w:rsid w:val="0036190C"/>
    <w:rsid w:val="00362F95"/>
    <w:rsid w:val="003637B7"/>
    <w:rsid w:val="00364110"/>
    <w:rsid w:val="0036442D"/>
    <w:rsid w:val="00364B37"/>
    <w:rsid w:val="00366AD1"/>
    <w:rsid w:val="003674DD"/>
    <w:rsid w:val="00371148"/>
    <w:rsid w:val="00371802"/>
    <w:rsid w:val="00372A7C"/>
    <w:rsid w:val="003737B5"/>
    <w:rsid w:val="003739EB"/>
    <w:rsid w:val="00373D73"/>
    <w:rsid w:val="00375496"/>
    <w:rsid w:val="00375CF6"/>
    <w:rsid w:val="00375D8C"/>
    <w:rsid w:val="0037669B"/>
    <w:rsid w:val="0038140E"/>
    <w:rsid w:val="003817E2"/>
    <w:rsid w:val="003829CA"/>
    <w:rsid w:val="00382ED1"/>
    <w:rsid w:val="00383C76"/>
    <w:rsid w:val="0038432D"/>
    <w:rsid w:val="003843E5"/>
    <w:rsid w:val="003849A2"/>
    <w:rsid w:val="00384E0B"/>
    <w:rsid w:val="00385357"/>
    <w:rsid w:val="00385359"/>
    <w:rsid w:val="00385641"/>
    <w:rsid w:val="00385D3C"/>
    <w:rsid w:val="00385D4F"/>
    <w:rsid w:val="00387CA9"/>
    <w:rsid w:val="00390673"/>
    <w:rsid w:val="00390C55"/>
    <w:rsid w:val="003918A7"/>
    <w:rsid w:val="0039269D"/>
    <w:rsid w:val="003935F5"/>
    <w:rsid w:val="00393AEB"/>
    <w:rsid w:val="0039580F"/>
    <w:rsid w:val="003A0DAF"/>
    <w:rsid w:val="003A2A04"/>
    <w:rsid w:val="003A3A64"/>
    <w:rsid w:val="003A4981"/>
    <w:rsid w:val="003A4CCC"/>
    <w:rsid w:val="003A5698"/>
    <w:rsid w:val="003A5A84"/>
    <w:rsid w:val="003A5EE5"/>
    <w:rsid w:val="003A746E"/>
    <w:rsid w:val="003A7B51"/>
    <w:rsid w:val="003B13E0"/>
    <w:rsid w:val="003B1A71"/>
    <w:rsid w:val="003B31F5"/>
    <w:rsid w:val="003B38AF"/>
    <w:rsid w:val="003B4BCC"/>
    <w:rsid w:val="003B4DCC"/>
    <w:rsid w:val="003B537D"/>
    <w:rsid w:val="003B5CBF"/>
    <w:rsid w:val="003B5CE3"/>
    <w:rsid w:val="003B677C"/>
    <w:rsid w:val="003B6A92"/>
    <w:rsid w:val="003B7434"/>
    <w:rsid w:val="003B786C"/>
    <w:rsid w:val="003B794C"/>
    <w:rsid w:val="003B7B78"/>
    <w:rsid w:val="003B7C90"/>
    <w:rsid w:val="003C02BF"/>
    <w:rsid w:val="003C0841"/>
    <w:rsid w:val="003C0BA4"/>
    <w:rsid w:val="003C0E09"/>
    <w:rsid w:val="003C134B"/>
    <w:rsid w:val="003C2542"/>
    <w:rsid w:val="003C4596"/>
    <w:rsid w:val="003C4B52"/>
    <w:rsid w:val="003C57D5"/>
    <w:rsid w:val="003C5F8A"/>
    <w:rsid w:val="003D0697"/>
    <w:rsid w:val="003D095E"/>
    <w:rsid w:val="003D1EA4"/>
    <w:rsid w:val="003D2F56"/>
    <w:rsid w:val="003D3B87"/>
    <w:rsid w:val="003D3C5D"/>
    <w:rsid w:val="003D3EB6"/>
    <w:rsid w:val="003D4EC8"/>
    <w:rsid w:val="003D58ED"/>
    <w:rsid w:val="003D5F20"/>
    <w:rsid w:val="003D705A"/>
    <w:rsid w:val="003D7280"/>
    <w:rsid w:val="003D7363"/>
    <w:rsid w:val="003D7CFA"/>
    <w:rsid w:val="003E0282"/>
    <w:rsid w:val="003E0317"/>
    <w:rsid w:val="003E1AB9"/>
    <w:rsid w:val="003E1E2F"/>
    <w:rsid w:val="003E2618"/>
    <w:rsid w:val="003E26E0"/>
    <w:rsid w:val="003E3971"/>
    <w:rsid w:val="003E4C2F"/>
    <w:rsid w:val="003E4FCE"/>
    <w:rsid w:val="003E5202"/>
    <w:rsid w:val="003E5C2A"/>
    <w:rsid w:val="003E659D"/>
    <w:rsid w:val="003E670F"/>
    <w:rsid w:val="003F0C46"/>
    <w:rsid w:val="003F145D"/>
    <w:rsid w:val="003F1E64"/>
    <w:rsid w:val="003F2552"/>
    <w:rsid w:val="003F3AEB"/>
    <w:rsid w:val="003F422E"/>
    <w:rsid w:val="003F4A88"/>
    <w:rsid w:val="003F4B9E"/>
    <w:rsid w:val="003F4C93"/>
    <w:rsid w:val="003F5358"/>
    <w:rsid w:val="003F5E4C"/>
    <w:rsid w:val="003F6AD0"/>
    <w:rsid w:val="003F7878"/>
    <w:rsid w:val="00400829"/>
    <w:rsid w:val="00400DBD"/>
    <w:rsid w:val="004012A7"/>
    <w:rsid w:val="00401861"/>
    <w:rsid w:val="00402D0E"/>
    <w:rsid w:val="00402E6F"/>
    <w:rsid w:val="00402FA4"/>
    <w:rsid w:val="004035BC"/>
    <w:rsid w:val="004036F1"/>
    <w:rsid w:val="00403843"/>
    <w:rsid w:val="00403D3E"/>
    <w:rsid w:val="00405FBF"/>
    <w:rsid w:val="00406541"/>
    <w:rsid w:val="00406FA8"/>
    <w:rsid w:val="00407A38"/>
    <w:rsid w:val="00412120"/>
    <w:rsid w:val="0041233A"/>
    <w:rsid w:val="0041317B"/>
    <w:rsid w:val="004138A1"/>
    <w:rsid w:val="00414E0F"/>
    <w:rsid w:val="00415525"/>
    <w:rsid w:val="0041569C"/>
    <w:rsid w:val="004158DD"/>
    <w:rsid w:val="00416184"/>
    <w:rsid w:val="0041748C"/>
    <w:rsid w:val="004174A1"/>
    <w:rsid w:val="004175D2"/>
    <w:rsid w:val="0041766E"/>
    <w:rsid w:val="00417684"/>
    <w:rsid w:val="00420508"/>
    <w:rsid w:val="004209B9"/>
    <w:rsid w:val="004212AC"/>
    <w:rsid w:val="00421AB4"/>
    <w:rsid w:val="00421B16"/>
    <w:rsid w:val="00422D47"/>
    <w:rsid w:val="00423948"/>
    <w:rsid w:val="00425249"/>
    <w:rsid w:val="00425FA6"/>
    <w:rsid w:val="00427D82"/>
    <w:rsid w:val="00430418"/>
    <w:rsid w:val="004305E4"/>
    <w:rsid w:val="0043074C"/>
    <w:rsid w:val="00430DA8"/>
    <w:rsid w:val="0043130A"/>
    <w:rsid w:val="00431604"/>
    <w:rsid w:val="00431E9E"/>
    <w:rsid w:val="0043206F"/>
    <w:rsid w:val="00432E70"/>
    <w:rsid w:val="004333C5"/>
    <w:rsid w:val="0043353E"/>
    <w:rsid w:val="00433814"/>
    <w:rsid w:val="0043712A"/>
    <w:rsid w:val="0043715A"/>
    <w:rsid w:val="00437318"/>
    <w:rsid w:val="00437EA6"/>
    <w:rsid w:val="0044067B"/>
    <w:rsid w:val="00440680"/>
    <w:rsid w:val="00440A4F"/>
    <w:rsid w:val="00440AD8"/>
    <w:rsid w:val="00440E87"/>
    <w:rsid w:val="0044242A"/>
    <w:rsid w:val="00443E46"/>
    <w:rsid w:val="0044548C"/>
    <w:rsid w:val="00445AEA"/>
    <w:rsid w:val="00445BD3"/>
    <w:rsid w:val="00446645"/>
    <w:rsid w:val="00446E43"/>
    <w:rsid w:val="0044784C"/>
    <w:rsid w:val="00447ACD"/>
    <w:rsid w:val="00447EA5"/>
    <w:rsid w:val="00450C09"/>
    <w:rsid w:val="00450E8F"/>
    <w:rsid w:val="00451425"/>
    <w:rsid w:val="00452BA6"/>
    <w:rsid w:val="004531AD"/>
    <w:rsid w:val="004557E8"/>
    <w:rsid w:val="004563AE"/>
    <w:rsid w:val="00456DE8"/>
    <w:rsid w:val="00457557"/>
    <w:rsid w:val="004605B4"/>
    <w:rsid w:val="00460A64"/>
    <w:rsid w:val="00460C01"/>
    <w:rsid w:val="00461940"/>
    <w:rsid w:val="00462A51"/>
    <w:rsid w:val="00462CC5"/>
    <w:rsid w:val="004645FD"/>
    <w:rsid w:val="00464FF8"/>
    <w:rsid w:val="00465238"/>
    <w:rsid w:val="004653A7"/>
    <w:rsid w:val="0046555F"/>
    <w:rsid w:val="00465D70"/>
    <w:rsid w:val="004665CD"/>
    <w:rsid w:val="00470327"/>
    <w:rsid w:val="004708B8"/>
    <w:rsid w:val="004716E6"/>
    <w:rsid w:val="00471725"/>
    <w:rsid w:val="00471C68"/>
    <w:rsid w:val="0047423D"/>
    <w:rsid w:val="004756B1"/>
    <w:rsid w:val="00476442"/>
    <w:rsid w:val="00477AD5"/>
    <w:rsid w:val="004800B6"/>
    <w:rsid w:val="00481849"/>
    <w:rsid w:val="004825A9"/>
    <w:rsid w:val="0048277C"/>
    <w:rsid w:val="00482F3B"/>
    <w:rsid w:val="00483B57"/>
    <w:rsid w:val="0048474B"/>
    <w:rsid w:val="004847F3"/>
    <w:rsid w:val="00484BE2"/>
    <w:rsid w:val="004854C3"/>
    <w:rsid w:val="00485F8A"/>
    <w:rsid w:val="00486082"/>
    <w:rsid w:val="00486E0F"/>
    <w:rsid w:val="00486F7E"/>
    <w:rsid w:val="00487229"/>
    <w:rsid w:val="004874D4"/>
    <w:rsid w:val="0048776E"/>
    <w:rsid w:val="00487788"/>
    <w:rsid w:val="00487984"/>
    <w:rsid w:val="004907F4"/>
    <w:rsid w:val="0049080E"/>
    <w:rsid w:val="00490C27"/>
    <w:rsid w:val="00491E9F"/>
    <w:rsid w:val="00492777"/>
    <w:rsid w:val="00492825"/>
    <w:rsid w:val="00492AF0"/>
    <w:rsid w:val="00493896"/>
    <w:rsid w:val="00493A2C"/>
    <w:rsid w:val="00493B42"/>
    <w:rsid w:val="00493CE7"/>
    <w:rsid w:val="00494CD2"/>
    <w:rsid w:val="00495439"/>
    <w:rsid w:val="00495B2B"/>
    <w:rsid w:val="00496CFF"/>
    <w:rsid w:val="0049713A"/>
    <w:rsid w:val="00497AEB"/>
    <w:rsid w:val="004A07E6"/>
    <w:rsid w:val="004A11BD"/>
    <w:rsid w:val="004A12D2"/>
    <w:rsid w:val="004A2B1B"/>
    <w:rsid w:val="004A2F95"/>
    <w:rsid w:val="004A32AB"/>
    <w:rsid w:val="004A46FA"/>
    <w:rsid w:val="004A470B"/>
    <w:rsid w:val="004A4D0F"/>
    <w:rsid w:val="004A5F53"/>
    <w:rsid w:val="004A7F3C"/>
    <w:rsid w:val="004B0673"/>
    <w:rsid w:val="004B098D"/>
    <w:rsid w:val="004B09C2"/>
    <w:rsid w:val="004B1F18"/>
    <w:rsid w:val="004B3A4A"/>
    <w:rsid w:val="004B3DFA"/>
    <w:rsid w:val="004B4274"/>
    <w:rsid w:val="004B42A2"/>
    <w:rsid w:val="004C04BF"/>
    <w:rsid w:val="004C0D5D"/>
    <w:rsid w:val="004C1785"/>
    <w:rsid w:val="004C1C54"/>
    <w:rsid w:val="004C1FC9"/>
    <w:rsid w:val="004C3585"/>
    <w:rsid w:val="004C6165"/>
    <w:rsid w:val="004C770C"/>
    <w:rsid w:val="004C7861"/>
    <w:rsid w:val="004D0053"/>
    <w:rsid w:val="004D04FD"/>
    <w:rsid w:val="004D0CE2"/>
    <w:rsid w:val="004D0F02"/>
    <w:rsid w:val="004D1898"/>
    <w:rsid w:val="004D2567"/>
    <w:rsid w:val="004D33DF"/>
    <w:rsid w:val="004D375A"/>
    <w:rsid w:val="004D4AF7"/>
    <w:rsid w:val="004D695E"/>
    <w:rsid w:val="004D704C"/>
    <w:rsid w:val="004D75A6"/>
    <w:rsid w:val="004D7C21"/>
    <w:rsid w:val="004E2BC3"/>
    <w:rsid w:val="004E4125"/>
    <w:rsid w:val="004E4C5E"/>
    <w:rsid w:val="004E5116"/>
    <w:rsid w:val="004E527F"/>
    <w:rsid w:val="004E5619"/>
    <w:rsid w:val="004E60AB"/>
    <w:rsid w:val="004E6FB9"/>
    <w:rsid w:val="004E7687"/>
    <w:rsid w:val="004E7E92"/>
    <w:rsid w:val="004E7E9E"/>
    <w:rsid w:val="004F0710"/>
    <w:rsid w:val="004F1BE0"/>
    <w:rsid w:val="004F215F"/>
    <w:rsid w:val="004F3AD3"/>
    <w:rsid w:val="004F415C"/>
    <w:rsid w:val="004F4C97"/>
    <w:rsid w:val="004F59B0"/>
    <w:rsid w:val="004F65F7"/>
    <w:rsid w:val="004F6771"/>
    <w:rsid w:val="004F7B63"/>
    <w:rsid w:val="004F7DAD"/>
    <w:rsid w:val="00500266"/>
    <w:rsid w:val="0050027F"/>
    <w:rsid w:val="00500582"/>
    <w:rsid w:val="00502639"/>
    <w:rsid w:val="00502987"/>
    <w:rsid w:val="00502A8B"/>
    <w:rsid w:val="00502CF5"/>
    <w:rsid w:val="00503467"/>
    <w:rsid w:val="005037F9"/>
    <w:rsid w:val="00504B73"/>
    <w:rsid w:val="00504D31"/>
    <w:rsid w:val="00504F45"/>
    <w:rsid w:val="00505410"/>
    <w:rsid w:val="00505960"/>
    <w:rsid w:val="005065C4"/>
    <w:rsid w:val="00506A00"/>
    <w:rsid w:val="00506F62"/>
    <w:rsid w:val="00507577"/>
    <w:rsid w:val="00507D8A"/>
    <w:rsid w:val="00510D52"/>
    <w:rsid w:val="0051110B"/>
    <w:rsid w:val="005113A6"/>
    <w:rsid w:val="00511E86"/>
    <w:rsid w:val="00512D16"/>
    <w:rsid w:val="0051311B"/>
    <w:rsid w:val="0051395E"/>
    <w:rsid w:val="00515573"/>
    <w:rsid w:val="005158AB"/>
    <w:rsid w:val="00516730"/>
    <w:rsid w:val="00520940"/>
    <w:rsid w:val="00520A4C"/>
    <w:rsid w:val="00520D95"/>
    <w:rsid w:val="005216C0"/>
    <w:rsid w:val="005217D8"/>
    <w:rsid w:val="00521A01"/>
    <w:rsid w:val="00521E5B"/>
    <w:rsid w:val="005226ED"/>
    <w:rsid w:val="005234A2"/>
    <w:rsid w:val="0052367C"/>
    <w:rsid w:val="0052428E"/>
    <w:rsid w:val="00524D77"/>
    <w:rsid w:val="00524F58"/>
    <w:rsid w:val="005264E0"/>
    <w:rsid w:val="005265D4"/>
    <w:rsid w:val="0052677D"/>
    <w:rsid w:val="0052692A"/>
    <w:rsid w:val="005273F6"/>
    <w:rsid w:val="00530889"/>
    <w:rsid w:val="00530960"/>
    <w:rsid w:val="00531A50"/>
    <w:rsid w:val="00531C4B"/>
    <w:rsid w:val="0053215B"/>
    <w:rsid w:val="00532A9D"/>
    <w:rsid w:val="00532F88"/>
    <w:rsid w:val="005340EF"/>
    <w:rsid w:val="005341FF"/>
    <w:rsid w:val="00534853"/>
    <w:rsid w:val="005351CD"/>
    <w:rsid w:val="005354C4"/>
    <w:rsid w:val="005360D2"/>
    <w:rsid w:val="00536DB0"/>
    <w:rsid w:val="00537A09"/>
    <w:rsid w:val="005415F3"/>
    <w:rsid w:val="005417F0"/>
    <w:rsid w:val="005434A9"/>
    <w:rsid w:val="005434C6"/>
    <w:rsid w:val="00543C4F"/>
    <w:rsid w:val="00543EF1"/>
    <w:rsid w:val="0054483F"/>
    <w:rsid w:val="00544E01"/>
    <w:rsid w:val="00544EA7"/>
    <w:rsid w:val="00545413"/>
    <w:rsid w:val="0054561C"/>
    <w:rsid w:val="0054564F"/>
    <w:rsid w:val="00545EF1"/>
    <w:rsid w:val="00546133"/>
    <w:rsid w:val="00546F06"/>
    <w:rsid w:val="00547662"/>
    <w:rsid w:val="00550DF0"/>
    <w:rsid w:val="00552159"/>
    <w:rsid w:val="00552ADB"/>
    <w:rsid w:val="00553EB8"/>
    <w:rsid w:val="00555B3B"/>
    <w:rsid w:val="00555CEC"/>
    <w:rsid w:val="00557D22"/>
    <w:rsid w:val="00557F9A"/>
    <w:rsid w:val="00560837"/>
    <w:rsid w:val="005619B0"/>
    <w:rsid w:val="00562F5D"/>
    <w:rsid w:val="00563840"/>
    <w:rsid w:val="0056695A"/>
    <w:rsid w:val="00570481"/>
    <w:rsid w:val="005704D2"/>
    <w:rsid w:val="005721D2"/>
    <w:rsid w:val="005725FC"/>
    <w:rsid w:val="00573594"/>
    <w:rsid w:val="00573BD6"/>
    <w:rsid w:val="00574B03"/>
    <w:rsid w:val="00574D58"/>
    <w:rsid w:val="00574F75"/>
    <w:rsid w:val="00576B50"/>
    <w:rsid w:val="00580E09"/>
    <w:rsid w:val="00581715"/>
    <w:rsid w:val="005821C7"/>
    <w:rsid w:val="00582557"/>
    <w:rsid w:val="00583146"/>
    <w:rsid w:val="005838D0"/>
    <w:rsid w:val="00584576"/>
    <w:rsid w:val="005857E3"/>
    <w:rsid w:val="00585B84"/>
    <w:rsid w:val="00585DA4"/>
    <w:rsid w:val="00586735"/>
    <w:rsid w:val="0058727B"/>
    <w:rsid w:val="00587594"/>
    <w:rsid w:val="00587A7A"/>
    <w:rsid w:val="00591DB3"/>
    <w:rsid w:val="00593478"/>
    <w:rsid w:val="0059370D"/>
    <w:rsid w:val="005940F8"/>
    <w:rsid w:val="00594720"/>
    <w:rsid w:val="00594AB1"/>
    <w:rsid w:val="00595307"/>
    <w:rsid w:val="005969D2"/>
    <w:rsid w:val="00597351"/>
    <w:rsid w:val="00597FF0"/>
    <w:rsid w:val="005A1B86"/>
    <w:rsid w:val="005A1E4E"/>
    <w:rsid w:val="005A262D"/>
    <w:rsid w:val="005A3682"/>
    <w:rsid w:val="005A4C7E"/>
    <w:rsid w:val="005A517F"/>
    <w:rsid w:val="005A630C"/>
    <w:rsid w:val="005B069C"/>
    <w:rsid w:val="005B0800"/>
    <w:rsid w:val="005B11A1"/>
    <w:rsid w:val="005B1D7D"/>
    <w:rsid w:val="005B2047"/>
    <w:rsid w:val="005B4EC2"/>
    <w:rsid w:val="005B58FD"/>
    <w:rsid w:val="005B595B"/>
    <w:rsid w:val="005B5D9C"/>
    <w:rsid w:val="005B6A04"/>
    <w:rsid w:val="005B7676"/>
    <w:rsid w:val="005C04B6"/>
    <w:rsid w:val="005C1F41"/>
    <w:rsid w:val="005C31A3"/>
    <w:rsid w:val="005C399C"/>
    <w:rsid w:val="005C3DDC"/>
    <w:rsid w:val="005C4946"/>
    <w:rsid w:val="005C524A"/>
    <w:rsid w:val="005C5BE7"/>
    <w:rsid w:val="005C6502"/>
    <w:rsid w:val="005C703B"/>
    <w:rsid w:val="005C789D"/>
    <w:rsid w:val="005D09C9"/>
    <w:rsid w:val="005D1571"/>
    <w:rsid w:val="005D1EFA"/>
    <w:rsid w:val="005D22F0"/>
    <w:rsid w:val="005D4DFF"/>
    <w:rsid w:val="005D5210"/>
    <w:rsid w:val="005D5BC7"/>
    <w:rsid w:val="005D63D7"/>
    <w:rsid w:val="005D6D2C"/>
    <w:rsid w:val="005D78F5"/>
    <w:rsid w:val="005D7B5A"/>
    <w:rsid w:val="005E035B"/>
    <w:rsid w:val="005E0688"/>
    <w:rsid w:val="005E1AFA"/>
    <w:rsid w:val="005E2421"/>
    <w:rsid w:val="005E27C8"/>
    <w:rsid w:val="005E3EF9"/>
    <w:rsid w:val="005E5187"/>
    <w:rsid w:val="005E51C4"/>
    <w:rsid w:val="005E5858"/>
    <w:rsid w:val="005E595E"/>
    <w:rsid w:val="005E5D9B"/>
    <w:rsid w:val="005E6299"/>
    <w:rsid w:val="005F117C"/>
    <w:rsid w:val="005F24A2"/>
    <w:rsid w:val="005F2646"/>
    <w:rsid w:val="005F3CDD"/>
    <w:rsid w:val="005F3DF6"/>
    <w:rsid w:val="005F41ED"/>
    <w:rsid w:val="005F6615"/>
    <w:rsid w:val="005F6B81"/>
    <w:rsid w:val="005F6C65"/>
    <w:rsid w:val="005F7235"/>
    <w:rsid w:val="00600E06"/>
    <w:rsid w:val="00601562"/>
    <w:rsid w:val="006016A3"/>
    <w:rsid w:val="00601B4C"/>
    <w:rsid w:val="00601F8F"/>
    <w:rsid w:val="006021D4"/>
    <w:rsid w:val="00603178"/>
    <w:rsid w:val="0060426E"/>
    <w:rsid w:val="00604353"/>
    <w:rsid w:val="00604A26"/>
    <w:rsid w:val="006052C8"/>
    <w:rsid w:val="0060530F"/>
    <w:rsid w:val="00605862"/>
    <w:rsid w:val="00606273"/>
    <w:rsid w:val="0060783D"/>
    <w:rsid w:val="00607D75"/>
    <w:rsid w:val="00607DE5"/>
    <w:rsid w:val="006104FB"/>
    <w:rsid w:val="00610CCB"/>
    <w:rsid w:val="00611212"/>
    <w:rsid w:val="0061143F"/>
    <w:rsid w:val="006117CF"/>
    <w:rsid w:val="006123EA"/>
    <w:rsid w:val="00612A79"/>
    <w:rsid w:val="00612DFA"/>
    <w:rsid w:val="00613893"/>
    <w:rsid w:val="00613AD2"/>
    <w:rsid w:val="00613F98"/>
    <w:rsid w:val="00614267"/>
    <w:rsid w:val="00614A3F"/>
    <w:rsid w:val="00615369"/>
    <w:rsid w:val="00615732"/>
    <w:rsid w:val="00615B7B"/>
    <w:rsid w:val="00615E02"/>
    <w:rsid w:val="006160F2"/>
    <w:rsid w:val="00616266"/>
    <w:rsid w:val="00616959"/>
    <w:rsid w:val="00616CD2"/>
    <w:rsid w:val="00617103"/>
    <w:rsid w:val="006171A0"/>
    <w:rsid w:val="0061779D"/>
    <w:rsid w:val="00622087"/>
    <w:rsid w:val="006223C9"/>
    <w:rsid w:val="00622592"/>
    <w:rsid w:val="00622B69"/>
    <w:rsid w:val="0062340A"/>
    <w:rsid w:val="006249FE"/>
    <w:rsid w:val="00625036"/>
    <w:rsid w:val="006253A5"/>
    <w:rsid w:val="00625D49"/>
    <w:rsid w:val="006273D3"/>
    <w:rsid w:val="00627401"/>
    <w:rsid w:val="006305A1"/>
    <w:rsid w:val="00630B70"/>
    <w:rsid w:val="00633E15"/>
    <w:rsid w:val="0063408B"/>
    <w:rsid w:val="0063458A"/>
    <w:rsid w:val="00636BA0"/>
    <w:rsid w:val="00636C25"/>
    <w:rsid w:val="00637822"/>
    <w:rsid w:val="006402A0"/>
    <w:rsid w:val="006403A0"/>
    <w:rsid w:val="00640C79"/>
    <w:rsid w:val="00641AD2"/>
    <w:rsid w:val="00642E38"/>
    <w:rsid w:val="006436EE"/>
    <w:rsid w:val="00643C79"/>
    <w:rsid w:val="00650492"/>
    <w:rsid w:val="00650546"/>
    <w:rsid w:val="006506DA"/>
    <w:rsid w:val="006517F1"/>
    <w:rsid w:val="00652DFF"/>
    <w:rsid w:val="006538CF"/>
    <w:rsid w:val="00654639"/>
    <w:rsid w:val="006548CA"/>
    <w:rsid w:val="00654DA6"/>
    <w:rsid w:val="00654E5C"/>
    <w:rsid w:val="00654F1C"/>
    <w:rsid w:val="006555D3"/>
    <w:rsid w:val="006560FA"/>
    <w:rsid w:val="00656118"/>
    <w:rsid w:val="00656678"/>
    <w:rsid w:val="00656B89"/>
    <w:rsid w:val="00656ED8"/>
    <w:rsid w:val="00657272"/>
    <w:rsid w:val="006573B8"/>
    <w:rsid w:val="0065774A"/>
    <w:rsid w:val="00661DD5"/>
    <w:rsid w:val="006628E5"/>
    <w:rsid w:val="006630CF"/>
    <w:rsid w:val="006631BD"/>
    <w:rsid w:val="006635AD"/>
    <w:rsid w:val="006635C9"/>
    <w:rsid w:val="00666735"/>
    <w:rsid w:val="006679F6"/>
    <w:rsid w:val="00667CFC"/>
    <w:rsid w:val="006701D4"/>
    <w:rsid w:val="00670665"/>
    <w:rsid w:val="0067073C"/>
    <w:rsid w:val="006714E9"/>
    <w:rsid w:val="00671EEB"/>
    <w:rsid w:val="00672A1F"/>
    <w:rsid w:val="006734AE"/>
    <w:rsid w:val="0067351B"/>
    <w:rsid w:val="00674300"/>
    <w:rsid w:val="00674596"/>
    <w:rsid w:val="0067510C"/>
    <w:rsid w:val="00675987"/>
    <w:rsid w:val="00676131"/>
    <w:rsid w:val="00676E90"/>
    <w:rsid w:val="00677950"/>
    <w:rsid w:val="0067797F"/>
    <w:rsid w:val="006807C0"/>
    <w:rsid w:val="006819B9"/>
    <w:rsid w:val="00681D07"/>
    <w:rsid w:val="00681D9D"/>
    <w:rsid w:val="00681EF0"/>
    <w:rsid w:val="0068461A"/>
    <w:rsid w:val="00684B4D"/>
    <w:rsid w:val="00685647"/>
    <w:rsid w:val="00686411"/>
    <w:rsid w:val="006870F3"/>
    <w:rsid w:val="006871CD"/>
    <w:rsid w:val="0068795D"/>
    <w:rsid w:val="00690DF6"/>
    <w:rsid w:val="00690FD0"/>
    <w:rsid w:val="00692980"/>
    <w:rsid w:val="00692BFF"/>
    <w:rsid w:val="00692D3B"/>
    <w:rsid w:val="00694714"/>
    <w:rsid w:val="0069575D"/>
    <w:rsid w:val="00696941"/>
    <w:rsid w:val="00696B84"/>
    <w:rsid w:val="00696EA8"/>
    <w:rsid w:val="00697502"/>
    <w:rsid w:val="00697CC8"/>
    <w:rsid w:val="006A0709"/>
    <w:rsid w:val="006A081D"/>
    <w:rsid w:val="006A0918"/>
    <w:rsid w:val="006A1B2B"/>
    <w:rsid w:val="006A1B4A"/>
    <w:rsid w:val="006A4AB5"/>
    <w:rsid w:val="006A56E5"/>
    <w:rsid w:val="006A60CA"/>
    <w:rsid w:val="006A6126"/>
    <w:rsid w:val="006A7BE5"/>
    <w:rsid w:val="006B0536"/>
    <w:rsid w:val="006B0588"/>
    <w:rsid w:val="006B1AA9"/>
    <w:rsid w:val="006B1D6E"/>
    <w:rsid w:val="006B2AF0"/>
    <w:rsid w:val="006B2BFA"/>
    <w:rsid w:val="006B2DAC"/>
    <w:rsid w:val="006B47DE"/>
    <w:rsid w:val="006B4F50"/>
    <w:rsid w:val="006B508C"/>
    <w:rsid w:val="006B5240"/>
    <w:rsid w:val="006B524C"/>
    <w:rsid w:val="006B555B"/>
    <w:rsid w:val="006B58CE"/>
    <w:rsid w:val="006B59AD"/>
    <w:rsid w:val="006B5D64"/>
    <w:rsid w:val="006B68AA"/>
    <w:rsid w:val="006B6DF4"/>
    <w:rsid w:val="006B7C41"/>
    <w:rsid w:val="006B7C73"/>
    <w:rsid w:val="006C0270"/>
    <w:rsid w:val="006C075C"/>
    <w:rsid w:val="006C17E8"/>
    <w:rsid w:val="006C18FE"/>
    <w:rsid w:val="006C2EEC"/>
    <w:rsid w:val="006C3724"/>
    <w:rsid w:val="006C3B65"/>
    <w:rsid w:val="006C429E"/>
    <w:rsid w:val="006C4ECD"/>
    <w:rsid w:val="006C4FCB"/>
    <w:rsid w:val="006C6094"/>
    <w:rsid w:val="006C632E"/>
    <w:rsid w:val="006C7584"/>
    <w:rsid w:val="006C7844"/>
    <w:rsid w:val="006C79DC"/>
    <w:rsid w:val="006D0008"/>
    <w:rsid w:val="006D17FE"/>
    <w:rsid w:val="006D1833"/>
    <w:rsid w:val="006D1FD4"/>
    <w:rsid w:val="006D2BFB"/>
    <w:rsid w:val="006D2BFC"/>
    <w:rsid w:val="006D5317"/>
    <w:rsid w:val="006D69BB"/>
    <w:rsid w:val="006E12CA"/>
    <w:rsid w:val="006E15F0"/>
    <w:rsid w:val="006E177C"/>
    <w:rsid w:val="006E27E7"/>
    <w:rsid w:val="006E3C8E"/>
    <w:rsid w:val="006E45C1"/>
    <w:rsid w:val="006E5ADC"/>
    <w:rsid w:val="006E6D95"/>
    <w:rsid w:val="006E749C"/>
    <w:rsid w:val="006E7541"/>
    <w:rsid w:val="006F201E"/>
    <w:rsid w:val="006F2177"/>
    <w:rsid w:val="006F21F2"/>
    <w:rsid w:val="006F2D92"/>
    <w:rsid w:val="006F3320"/>
    <w:rsid w:val="006F4416"/>
    <w:rsid w:val="006F5D48"/>
    <w:rsid w:val="006F6D2F"/>
    <w:rsid w:val="006F7361"/>
    <w:rsid w:val="00700DA8"/>
    <w:rsid w:val="00701AFC"/>
    <w:rsid w:val="00701E74"/>
    <w:rsid w:val="00702541"/>
    <w:rsid w:val="00702B3D"/>
    <w:rsid w:val="0070318F"/>
    <w:rsid w:val="00703615"/>
    <w:rsid w:val="00704969"/>
    <w:rsid w:val="00705DCC"/>
    <w:rsid w:val="0070658B"/>
    <w:rsid w:val="00706A02"/>
    <w:rsid w:val="00706E56"/>
    <w:rsid w:val="0070729A"/>
    <w:rsid w:val="00707DD9"/>
    <w:rsid w:val="0071073D"/>
    <w:rsid w:val="00711028"/>
    <w:rsid w:val="00711261"/>
    <w:rsid w:val="00711BDD"/>
    <w:rsid w:val="00712BE1"/>
    <w:rsid w:val="00712F99"/>
    <w:rsid w:val="00716307"/>
    <w:rsid w:val="007164AD"/>
    <w:rsid w:val="00720FA6"/>
    <w:rsid w:val="00722976"/>
    <w:rsid w:val="00723681"/>
    <w:rsid w:val="00723A93"/>
    <w:rsid w:val="00724236"/>
    <w:rsid w:val="0072445C"/>
    <w:rsid w:val="00724530"/>
    <w:rsid w:val="0072580C"/>
    <w:rsid w:val="007279EA"/>
    <w:rsid w:val="00730266"/>
    <w:rsid w:val="007306BB"/>
    <w:rsid w:val="00731CFE"/>
    <w:rsid w:val="00731DA2"/>
    <w:rsid w:val="00732A7E"/>
    <w:rsid w:val="0073325B"/>
    <w:rsid w:val="00733AC5"/>
    <w:rsid w:val="007351CC"/>
    <w:rsid w:val="00735781"/>
    <w:rsid w:val="00735D05"/>
    <w:rsid w:val="0073645F"/>
    <w:rsid w:val="00736946"/>
    <w:rsid w:val="00737488"/>
    <w:rsid w:val="00740044"/>
    <w:rsid w:val="007403D4"/>
    <w:rsid w:val="00740DCF"/>
    <w:rsid w:val="00740F24"/>
    <w:rsid w:val="00740F8A"/>
    <w:rsid w:val="00742D19"/>
    <w:rsid w:val="00743D52"/>
    <w:rsid w:val="00745A99"/>
    <w:rsid w:val="00745C3B"/>
    <w:rsid w:val="00745EE1"/>
    <w:rsid w:val="00747009"/>
    <w:rsid w:val="007477EA"/>
    <w:rsid w:val="0075088F"/>
    <w:rsid w:val="00752F6B"/>
    <w:rsid w:val="00753611"/>
    <w:rsid w:val="007546F9"/>
    <w:rsid w:val="00754B82"/>
    <w:rsid w:val="00754BBE"/>
    <w:rsid w:val="00754E99"/>
    <w:rsid w:val="00754F67"/>
    <w:rsid w:val="007554C4"/>
    <w:rsid w:val="00755A0F"/>
    <w:rsid w:val="00756284"/>
    <w:rsid w:val="00756AFC"/>
    <w:rsid w:val="00760385"/>
    <w:rsid w:val="0076045C"/>
    <w:rsid w:val="00760465"/>
    <w:rsid w:val="00760941"/>
    <w:rsid w:val="0076148B"/>
    <w:rsid w:val="0076153B"/>
    <w:rsid w:val="007621F2"/>
    <w:rsid w:val="00762751"/>
    <w:rsid w:val="00763F37"/>
    <w:rsid w:val="0076440F"/>
    <w:rsid w:val="00764AE0"/>
    <w:rsid w:val="00765E19"/>
    <w:rsid w:val="00765F91"/>
    <w:rsid w:val="0076656C"/>
    <w:rsid w:val="007707F2"/>
    <w:rsid w:val="0077088E"/>
    <w:rsid w:val="00770CDF"/>
    <w:rsid w:val="00770D18"/>
    <w:rsid w:val="00771D0B"/>
    <w:rsid w:val="00771DDD"/>
    <w:rsid w:val="007720CC"/>
    <w:rsid w:val="007757D7"/>
    <w:rsid w:val="00775F42"/>
    <w:rsid w:val="0077783E"/>
    <w:rsid w:val="00777CEF"/>
    <w:rsid w:val="00780881"/>
    <w:rsid w:val="00782A4E"/>
    <w:rsid w:val="00782E8C"/>
    <w:rsid w:val="00786A73"/>
    <w:rsid w:val="00787180"/>
    <w:rsid w:val="00787683"/>
    <w:rsid w:val="00790578"/>
    <w:rsid w:val="007911EF"/>
    <w:rsid w:val="007914E9"/>
    <w:rsid w:val="0079169F"/>
    <w:rsid w:val="007920DB"/>
    <w:rsid w:val="00792222"/>
    <w:rsid w:val="007936B9"/>
    <w:rsid w:val="00793795"/>
    <w:rsid w:val="007939DF"/>
    <w:rsid w:val="00793E1B"/>
    <w:rsid w:val="0079416A"/>
    <w:rsid w:val="00795186"/>
    <w:rsid w:val="00795DC6"/>
    <w:rsid w:val="007A0BD2"/>
    <w:rsid w:val="007A1247"/>
    <w:rsid w:val="007A1443"/>
    <w:rsid w:val="007A1515"/>
    <w:rsid w:val="007A1AEE"/>
    <w:rsid w:val="007A1BB7"/>
    <w:rsid w:val="007A22E1"/>
    <w:rsid w:val="007A2DCF"/>
    <w:rsid w:val="007A52C1"/>
    <w:rsid w:val="007A7074"/>
    <w:rsid w:val="007A70C2"/>
    <w:rsid w:val="007A70CE"/>
    <w:rsid w:val="007A7272"/>
    <w:rsid w:val="007B05E3"/>
    <w:rsid w:val="007B0724"/>
    <w:rsid w:val="007B07A1"/>
    <w:rsid w:val="007B09D8"/>
    <w:rsid w:val="007B1F26"/>
    <w:rsid w:val="007B1F39"/>
    <w:rsid w:val="007B2922"/>
    <w:rsid w:val="007B3355"/>
    <w:rsid w:val="007B43C6"/>
    <w:rsid w:val="007B51D4"/>
    <w:rsid w:val="007B5490"/>
    <w:rsid w:val="007B5560"/>
    <w:rsid w:val="007B59D0"/>
    <w:rsid w:val="007B5B12"/>
    <w:rsid w:val="007B67A0"/>
    <w:rsid w:val="007B6E89"/>
    <w:rsid w:val="007B763E"/>
    <w:rsid w:val="007B7B7C"/>
    <w:rsid w:val="007B7DBD"/>
    <w:rsid w:val="007C005C"/>
    <w:rsid w:val="007C06E8"/>
    <w:rsid w:val="007C0D87"/>
    <w:rsid w:val="007C0E3C"/>
    <w:rsid w:val="007C1CC3"/>
    <w:rsid w:val="007C1ED3"/>
    <w:rsid w:val="007C21B9"/>
    <w:rsid w:val="007C242E"/>
    <w:rsid w:val="007C2D7B"/>
    <w:rsid w:val="007C39CE"/>
    <w:rsid w:val="007C3A7B"/>
    <w:rsid w:val="007C4620"/>
    <w:rsid w:val="007C48BD"/>
    <w:rsid w:val="007C48C1"/>
    <w:rsid w:val="007C5A53"/>
    <w:rsid w:val="007C5BD8"/>
    <w:rsid w:val="007C5F0D"/>
    <w:rsid w:val="007C6660"/>
    <w:rsid w:val="007C728B"/>
    <w:rsid w:val="007C77CA"/>
    <w:rsid w:val="007C7C8B"/>
    <w:rsid w:val="007C7CB1"/>
    <w:rsid w:val="007D064F"/>
    <w:rsid w:val="007D0EAD"/>
    <w:rsid w:val="007D199C"/>
    <w:rsid w:val="007D1C2D"/>
    <w:rsid w:val="007D22FB"/>
    <w:rsid w:val="007D2D81"/>
    <w:rsid w:val="007D382B"/>
    <w:rsid w:val="007D3E6F"/>
    <w:rsid w:val="007D5409"/>
    <w:rsid w:val="007D54E3"/>
    <w:rsid w:val="007D59AF"/>
    <w:rsid w:val="007D67C6"/>
    <w:rsid w:val="007E07AF"/>
    <w:rsid w:val="007E0990"/>
    <w:rsid w:val="007E1AF0"/>
    <w:rsid w:val="007E2796"/>
    <w:rsid w:val="007E4EBE"/>
    <w:rsid w:val="007E55C9"/>
    <w:rsid w:val="007E6DA2"/>
    <w:rsid w:val="007F03B4"/>
    <w:rsid w:val="007F06C0"/>
    <w:rsid w:val="007F0A7B"/>
    <w:rsid w:val="007F0C03"/>
    <w:rsid w:val="007F1C08"/>
    <w:rsid w:val="007F280B"/>
    <w:rsid w:val="007F29A9"/>
    <w:rsid w:val="007F29B6"/>
    <w:rsid w:val="007F5030"/>
    <w:rsid w:val="007F742A"/>
    <w:rsid w:val="0080080D"/>
    <w:rsid w:val="00800CED"/>
    <w:rsid w:val="00801037"/>
    <w:rsid w:val="00801104"/>
    <w:rsid w:val="00802AD3"/>
    <w:rsid w:val="008048C4"/>
    <w:rsid w:val="00805372"/>
    <w:rsid w:val="00806004"/>
    <w:rsid w:val="0080668C"/>
    <w:rsid w:val="00806ED5"/>
    <w:rsid w:val="00810B2A"/>
    <w:rsid w:val="00811203"/>
    <w:rsid w:val="00811ECD"/>
    <w:rsid w:val="008123D0"/>
    <w:rsid w:val="008128C8"/>
    <w:rsid w:val="00813552"/>
    <w:rsid w:val="008138FF"/>
    <w:rsid w:val="00813FD3"/>
    <w:rsid w:val="00814A7E"/>
    <w:rsid w:val="00815301"/>
    <w:rsid w:val="008154EF"/>
    <w:rsid w:val="0081657B"/>
    <w:rsid w:val="00816640"/>
    <w:rsid w:val="00816D32"/>
    <w:rsid w:val="00816E7F"/>
    <w:rsid w:val="00816EEE"/>
    <w:rsid w:val="008202E3"/>
    <w:rsid w:val="008216F1"/>
    <w:rsid w:val="00822467"/>
    <w:rsid w:val="00822A8B"/>
    <w:rsid w:val="00823BD9"/>
    <w:rsid w:val="008240CE"/>
    <w:rsid w:val="00824633"/>
    <w:rsid w:val="00824AD4"/>
    <w:rsid w:val="00825187"/>
    <w:rsid w:val="008255C3"/>
    <w:rsid w:val="00826917"/>
    <w:rsid w:val="00827563"/>
    <w:rsid w:val="00827837"/>
    <w:rsid w:val="008305DF"/>
    <w:rsid w:val="00830FFC"/>
    <w:rsid w:val="008311D9"/>
    <w:rsid w:val="00832055"/>
    <w:rsid w:val="00832B96"/>
    <w:rsid w:val="00832CF6"/>
    <w:rsid w:val="008331EA"/>
    <w:rsid w:val="008335B4"/>
    <w:rsid w:val="008338A3"/>
    <w:rsid w:val="00834036"/>
    <w:rsid w:val="008343D9"/>
    <w:rsid w:val="00835159"/>
    <w:rsid w:val="008358B7"/>
    <w:rsid w:val="00835F1E"/>
    <w:rsid w:val="0083640B"/>
    <w:rsid w:val="00836643"/>
    <w:rsid w:val="00836A86"/>
    <w:rsid w:val="00837772"/>
    <w:rsid w:val="008377C6"/>
    <w:rsid w:val="008378FC"/>
    <w:rsid w:val="00840ECA"/>
    <w:rsid w:val="008416C0"/>
    <w:rsid w:val="00841913"/>
    <w:rsid w:val="00841914"/>
    <w:rsid w:val="00842743"/>
    <w:rsid w:val="008439AE"/>
    <w:rsid w:val="00844323"/>
    <w:rsid w:val="0084482D"/>
    <w:rsid w:val="00844B37"/>
    <w:rsid w:val="0084609E"/>
    <w:rsid w:val="008461D3"/>
    <w:rsid w:val="00846692"/>
    <w:rsid w:val="00846A6C"/>
    <w:rsid w:val="008476CE"/>
    <w:rsid w:val="00847E9B"/>
    <w:rsid w:val="00847F9C"/>
    <w:rsid w:val="00850C46"/>
    <w:rsid w:val="00850F86"/>
    <w:rsid w:val="0085190B"/>
    <w:rsid w:val="00852D39"/>
    <w:rsid w:val="00852E76"/>
    <w:rsid w:val="008531D7"/>
    <w:rsid w:val="00853A40"/>
    <w:rsid w:val="00854297"/>
    <w:rsid w:val="00855BD1"/>
    <w:rsid w:val="00855FC8"/>
    <w:rsid w:val="008567C5"/>
    <w:rsid w:val="00856ABC"/>
    <w:rsid w:val="00856C5E"/>
    <w:rsid w:val="00856FBF"/>
    <w:rsid w:val="00857BEA"/>
    <w:rsid w:val="00860EB8"/>
    <w:rsid w:val="00861088"/>
    <w:rsid w:val="00862300"/>
    <w:rsid w:val="008624E8"/>
    <w:rsid w:val="00863496"/>
    <w:rsid w:val="00865229"/>
    <w:rsid w:val="00867C41"/>
    <w:rsid w:val="00871EE7"/>
    <w:rsid w:val="00872148"/>
    <w:rsid w:val="0087409B"/>
    <w:rsid w:val="008740C3"/>
    <w:rsid w:val="00875655"/>
    <w:rsid w:val="008758A7"/>
    <w:rsid w:val="0087726F"/>
    <w:rsid w:val="00881192"/>
    <w:rsid w:val="008813E4"/>
    <w:rsid w:val="008826DD"/>
    <w:rsid w:val="008836E3"/>
    <w:rsid w:val="00883AFB"/>
    <w:rsid w:val="00883BEF"/>
    <w:rsid w:val="0088416E"/>
    <w:rsid w:val="00885ADD"/>
    <w:rsid w:val="00886CF1"/>
    <w:rsid w:val="0088760D"/>
    <w:rsid w:val="00887835"/>
    <w:rsid w:val="008879A5"/>
    <w:rsid w:val="0089006A"/>
    <w:rsid w:val="00890095"/>
    <w:rsid w:val="00890156"/>
    <w:rsid w:val="0089180E"/>
    <w:rsid w:val="00891C7B"/>
    <w:rsid w:val="008921EC"/>
    <w:rsid w:val="0089291A"/>
    <w:rsid w:val="00893684"/>
    <w:rsid w:val="0089390D"/>
    <w:rsid w:val="00894662"/>
    <w:rsid w:val="00894E7C"/>
    <w:rsid w:val="008959CC"/>
    <w:rsid w:val="00895C16"/>
    <w:rsid w:val="00895E10"/>
    <w:rsid w:val="00896D17"/>
    <w:rsid w:val="00896D1C"/>
    <w:rsid w:val="008A0539"/>
    <w:rsid w:val="008A09EC"/>
    <w:rsid w:val="008A1084"/>
    <w:rsid w:val="008A2939"/>
    <w:rsid w:val="008A3318"/>
    <w:rsid w:val="008A38C1"/>
    <w:rsid w:val="008A4BD9"/>
    <w:rsid w:val="008A5E85"/>
    <w:rsid w:val="008A66D0"/>
    <w:rsid w:val="008A6825"/>
    <w:rsid w:val="008A687D"/>
    <w:rsid w:val="008B00D9"/>
    <w:rsid w:val="008B0A7F"/>
    <w:rsid w:val="008B0F17"/>
    <w:rsid w:val="008B123A"/>
    <w:rsid w:val="008B1DA4"/>
    <w:rsid w:val="008B23C8"/>
    <w:rsid w:val="008B4469"/>
    <w:rsid w:val="008B4A36"/>
    <w:rsid w:val="008B4E47"/>
    <w:rsid w:val="008C0768"/>
    <w:rsid w:val="008C26EC"/>
    <w:rsid w:val="008C388F"/>
    <w:rsid w:val="008C39BE"/>
    <w:rsid w:val="008C42C2"/>
    <w:rsid w:val="008C4C62"/>
    <w:rsid w:val="008C562B"/>
    <w:rsid w:val="008C5D11"/>
    <w:rsid w:val="008C686D"/>
    <w:rsid w:val="008C6EC3"/>
    <w:rsid w:val="008C70A7"/>
    <w:rsid w:val="008C7A83"/>
    <w:rsid w:val="008D1A64"/>
    <w:rsid w:val="008D1F0F"/>
    <w:rsid w:val="008D53F9"/>
    <w:rsid w:val="008D6563"/>
    <w:rsid w:val="008D6E7E"/>
    <w:rsid w:val="008D7249"/>
    <w:rsid w:val="008D7C79"/>
    <w:rsid w:val="008D7EF1"/>
    <w:rsid w:val="008E25B5"/>
    <w:rsid w:val="008E3EAA"/>
    <w:rsid w:val="008E4992"/>
    <w:rsid w:val="008E49A1"/>
    <w:rsid w:val="008E51CC"/>
    <w:rsid w:val="008E5C58"/>
    <w:rsid w:val="008E5CEA"/>
    <w:rsid w:val="008E5D5D"/>
    <w:rsid w:val="008E68E3"/>
    <w:rsid w:val="008E6A1D"/>
    <w:rsid w:val="008E6FAC"/>
    <w:rsid w:val="008E70F1"/>
    <w:rsid w:val="008E7692"/>
    <w:rsid w:val="008F0184"/>
    <w:rsid w:val="008F09FD"/>
    <w:rsid w:val="008F1805"/>
    <w:rsid w:val="008F245F"/>
    <w:rsid w:val="008F2475"/>
    <w:rsid w:val="008F28DC"/>
    <w:rsid w:val="008F2AD3"/>
    <w:rsid w:val="008F2B6D"/>
    <w:rsid w:val="008F3516"/>
    <w:rsid w:val="008F3C52"/>
    <w:rsid w:val="008F3E04"/>
    <w:rsid w:val="008F41F3"/>
    <w:rsid w:val="008F4905"/>
    <w:rsid w:val="008F5097"/>
    <w:rsid w:val="008F5396"/>
    <w:rsid w:val="008F5F40"/>
    <w:rsid w:val="008F629E"/>
    <w:rsid w:val="008F6BE2"/>
    <w:rsid w:val="008F6E77"/>
    <w:rsid w:val="008F7002"/>
    <w:rsid w:val="00900923"/>
    <w:rsid w:val="0090192D"/>
    <w:rsid w:val="00901DF3"/>
    <w:rsid w:val="00901E33"/>
    <w:rsid w:val="0090287F"/>
    <w:rsid w:val="00902D20"/>
    <w:rsid w:val="009042A5"/>
    <w:rsid w:val="00904F55"/>
    <w:rsid w:val="00905D7F"/>
    <w:rsid w:val="00905F2B"/>
    <w:rsid w:val="00906FCF"/>
    <w:rsid w:val="00910DF2"/>
    <w:rsid w:val="00910FAB"/>
    <w:rsid w:val="0091152C"/>
    <w:rsid w:val="009122A7"/>
    <w:rsid w:val="00912539"/>
    <w:rsid w:val="00912750"/>
    <w:rsid w:val="00916096"/>
    <w:rsid w:val="00917D4A"/>
    <w:rsid w:val="00917D6C"/>
    <w:rsid w:val="0092165E"/>
    <w:rsid w:val="00922B2A"/>
    <w:rsid w:val="00923888"/>
    <w:rsid w:val="00924ADD"/>
    <w:rsid w:val="00925D76"/>
    <w:rsid w:val="00925D88"/>
    <w:rsid w:val="00926437"/>
    <w:rsid w:val="0092679F"/>
    <w:rsid w:val="009276C4"/>
    <w:rsid w:val="00927DF7"/>
    <w:rsid w:val="00927F6E"/>
    <w:rsid w:val="00930000"/>
    <w:rsid w:val="00930582"/>
    <w:rsid w:val="00930FAE"/>
    <w:rsid w:val="00931302"/>
    <w:rsid w:val="009314A8"/>
    <w:rsid w:val="00931627"/>
    <w:rsid w:val="009317F6"/>
    <w:rsid w:val="009328F8"/>
    <w:rsid w:val="00932C6A"/>
    <w:rsid w:val="00933381"/>
    <w:rsid w:val="00934A2C"/>
    <w:rsid w:val="00934EE5"/>
    <w:rsid w:val="0094136F"/>
    <w:rsid w:val="00943109"/>
    <w:rsid w:val="00943119"/>
    <w:rsid w:val="00943F67"/>
    <w:rsid w:val="0094466B"/>
    <w:rsid w:val="00944C3B"/>
    <w:rsid w:val="00944FD6"/>
    <w:rsid w:val="009464B3"/>
    <w:rsid w:val="00946AB4"/>
    <w:rsid w:val="0094749F"/>
    <w:rsid w:val="009475C7"/>
    <w:rsid w:val="00947B94"/>
    <w:rsid w:val="009510F0"/>
    <w:rsid w:val="00951AAB"/>
    <w:rsid w:val="00952E7A"/>
    <w:rsid w:val="0095391C"/>
    <w:rsid w:val="00955245"/>
    <w:rsid w:val="00955792"/>
    <w:rsid w:val="00955B60"/>
    <w:rsid w:val="009565DD"/>
    <w:rsid w:val="00956860"/>
    <w:rsid w:val="009573DA"/>
    <w:rsid w:val="00957C0C"/>
    <w:rsid w:val="0096003D"/>
    <w:rsid w:val="0096086E"/>
    <w:rsid w:val="009612DF"/>
    <w:rsid w:val="00961F8C"/>
    <w:rsid w:val="0096236F"/>
    <w:rsid w:val="00963CF5"/>
    <w:rsid w:val="0096463D"/>
    <w:rsid w:val="00964A2D"/>
    <w:rsid w:val="0096520C"/>
    <w:rsid w:val="009653BF"/>
    <w:rsid w:val="0096555F"/>
    <w:rsid w:val="0096565A"/>
    <w:rsid w:val="00966D7B"/>
    <w:rsid w:val="009678CE"/>
    <w:rsid w:val="00970182"/>
    <w:rsid w:val="00970582"/>
    <w:rsid w:val="009713A4"/>
    <w:rsid w:val="00971DCB"/>
    <w:rsid w:val="0097293A"/>
    <w:rsid w:val="00972CAD"/>
    <w:rsid w:val="00974278"/>
    <w:rsid w:val="00975726"/>
    <w:rsid w:val="00976C21"/>
    <w:rsid w:val="00977375"/>
    <w:rsid w:val="00977F99"/>
    <w:rsid w:val="009803A9"/>
    <w:rsid w:val="00980548"/>
    <w:rsid w:val="00980DB4"/>
    <w:rsid w:val="009811A9"/>
    <w:rsid w:val="0098183D"/>
    <w:rsid w:val="00981B14"/>
    <w:rsid w:val="0098230D"/>
    <w:rsid w:val="0098269C"/>
    <w:rsid w:val="009843EB"/>
    <w:rsid w:val="00984567"/>
    <w:rsid w:val="00985E53"/>
    <w:rsid w:val="009874A8"/>
    <w:rsid w:val="009876CE"/>
    <w:rsid w:val="00990386"/>
    <w:rsid w:val="009906A7"/>
    <w:rsid w:val="00990AD1"/>
    <w:rsid w:val="00990DFE"/>
    <w:rsid w:val="009915EE"/>
    <w:rsid w:val="00992DC0"/>
    <w:rsid w:val="00992DD4"/>
    <w:rsid w:val="009935D0"/>
    <w:rsid w:val="009939B0"/>
    <w:rsid w:val="00994139"/>
    <w:rsid w:val="009946A4"/>
    <w:rsid w:val="00995441"/>
    <w:rsid w:val="00996016"/>
    <w:rsid w:val="00996465"/>
    <w:rsid w:val="00996D8B"/>
    <w:rsid w:val="00997323"/>
    <w:rsid w:val="0099734A"/>
    <w:rsid w:val="00997487"/>
    <w:rsid w:val="0099799F"/>
    <w:rsid w:val="009979C1"/>
    <w:rsid w:val="009A015F"/>
    <w:rsid w:val="009A0A74"/>
    <w:rsid w:val="009A1E3A"/>
    <w:rsid w:val="009A330A"/>
    <w:rsid w:val="009A3FA6"/>
    <w:rsid w:val="009A42CB"/>
    <w:rsid w:val="009A44FA"/>
    <w:rsid w:val="009A4B5C"/>
    <w:rsid w:val="009A4F0D"/>
    <w:rsid w:val="009A6A11"/>
    <w:rsid w:val="009A6A60"/>
    <w:rsid w:val="009A6E15"/>
    <w:rsid w:val="009B121E"/>
    <w:rsid w:val="009B1580"/>
    <w:rsid w:val="009B18B6"/>
    <w:rsid w:val="009B1DE2"/>
    <w:rsid w:val="009B22A0"/>
    <w:rsid w:val="009B2576"/>
    <w:rsid w:val="009B31E0"/>
    <w:rsid w:val="009B32B9"/>
    <w:rsid w:val="009B45B9"/>
    <w:rsid w:val="009B4665"/>
    <w:rsid w:val="009B4E3B"/>
    <w:rsid w:val="009B5971"/>
    <w:rsid w:val="009B64E1"/>
    <w:rsid w:val="009B77B8"/>
    <w:rsid w:val="009C0299"/>
    <w:rsid w:val="009C1923"/>
    <w:rsid w:val="009C2232"/>
    <w:rsid w:val="009C3A43"/>
    <w:rsid w:val="009C453A"/>
    <w:rsid w:val="009C4CE8"/>
    <w:rsid w:val="009C6B6E"/>
    <w:rsid w:val="009C7450"/>
    <w:rsid w:val="009C77FF"/>
    <w:rsid w:val="009D0302"/>
    <w:rsid w:val="009D0A41"/>
    <w:rsid w:val="009D0B3D"/>
    <w:rsid w:val="009D0C8E"/>
    <w:rsid w:val="009D0E20"/>
    <w:rsid w:val="009D2129"/>
    <w:rsid w:val="009D2F06"/>
    <w:rsid w:val="009D2F2F"/>
    <w:rsid w:val="009D38B2"/>
    <w:rsid w:val="009D3B16"/>
    <w:rsid w:val="009D407D"/>
    <w:rsid w:val="009D4091"/>
    <w:rsid w:val="009D431B"/>
    <w:rsid w:val="009D6A58"/>
    <w:rsid w:val="009E0214"/>
    <w:rsid w:val="009E02BC"/>
    <w:rsid w:val="009E06F9"/>
    <w:rsid w:val="009E117C"/>
    <w:rsid w:val="009E1274"/>
    <w:rsid w:val="009E1E4A"/>
    <w:rsid w:val="009E21B9"/>
    <w:rsid w:val="009E22F5"/>
    <w:rsid w:val="009E26DC"/>
    <w:rsid w:val="009E2C2A"/>
    <w:rsid w:val="009E34B7"/>
    <w:rsid w:val="009E5084"/>
    <w:rsid w:val="009E69EE"/>
    <w:rsid w:val="009E6DCA"/>
    <w:rsid w:val="009E6FCA"/>
    <w:rsid w:val="009E701E"/>
    <w:rsid w:val="009E70E9"/>
    <w:rsid w:val="009E71E4"/>
    <w:rsid w:val="009F00ED"/>
    <w:rsid w:val="009F23E5"/>
    <w:rsid w:val="009F243F"/>
    <w:rsid w:val="009F2BAF"/>
    <w:rsid w:val="009F2E18"/>
    <w:rsid w:val="009F4360"/>
    <w:rsid w:val="009F43A4"/>
    <w:rsid w:val="009F7B71"/>
    <w:rsid w:val="00A01723"/>
    <w:rsid w:val="00A01838"/>
    <w:rsid w:val="00A01F58"/>
    <w:rsid w:val="00A0239D"/>
    <w:rsid w:val="00A023F4"/>
    <w:rsid w:val="00A025A0"/>
    <w:rsid w:val="00A02931"/>
    <w:rsid w:val="00A0528F"/>
    <w:rsid w:val="00A05DE7"/>
    <w:rsid w:val="00A064A0"/>
    <w:rsid w:val="00A0695A"/>
    <w:rsid w:val="00A06F73"/>
    <w:rsid w:val="00A07EEE"/>
    <w:rsid w:val="00A10714"/>
    <w:rsid w:val="00A116A1"/>
    <w:rsid w:val="00A1268B"/>
    <w:rsid w:val="00A12D91"/>
    <w:rsid w:val="00A13343"/>
    <w:rsid w:val="00A136B5"/>
    <w:rsid w:val="00A13BA3"/>
    <w:rsid w:val="00A140F7"/>
    <w:rsid w:val="00A14539"/>
    <w:rsid w:val="00A14967"/>
    <w:rsid w:val="00A14F48"/>
    <w:rsid w:val="00A16DC9"/>
    <w:rsid w:val="00A16FD1"/>
    <w:rsid w:val="00A17AC5"/>
    <w:rsid w:val="00A20145"/>
    <w:rsid w:val="00A235E5"/>
    <w:rsid w:val="00A23A11"/>
    <w:rsid w:val="00A23CE8"/>
    <w:rsid w:val="00A25AA8"/>
    <w:rsid w:val="00A25CE4"/>
    <w:rsid w:val="00A26159"/>
    <w:rsid w:val="00A30DD3"/>
    <w:rsid w:val="00A30E8C"/>
    <w:rsid w:val="00A313CC"/>
    <w:rsid w:val="00A3178A"/>
    <w:rsid w:val="00A31B76"/>
    <w:rsid w:val="00A32C9F"/>
    <w:rsid w:val="00A33B41"/>
    <w:rsid w:val="00A35587"/>
    <w:rsid w:val="00A36001"/>
    <w:rsid w:val="00A362D2"/>
    <w:rsid w:val="00A36379"/>
    <w:rsid w:val="00A36BDC"/>
    <w:rsid w:val="00A37B96"/>
    <w:rsid w:val="00A37E00"/>
    <w:rsid w:val="00A40AAA"/>
    <w:rsid w:val="00A40EC1"/>
    <w:rsid w:val="00A41F46"/>
    <w:rsid w:val="00A42B27"/>
    <w:rsid w:val="00A42DEC"/>
    <w:rsid w:val="00A4313E"/>
    <w:rsid w:val="00A44CBA"/>
    <w:rsid w:val="00A45757"/>
    <w:rsid w:val="00A45C0E"/>
    <w:rsid w:val="00A45E66"/>
    <w:rsid w:val="00A46FE3"/>
    <w:rsid w:val="00A47791"/>
    <w:rsid w:val="00A50475"/>
    <w:rsid w:val="00A534CD"/>
    <w:rsid w:val="00A5519D"/>
    <w:rsid w:val="00A55DA4"/>
    <w:rsid w:val="00A567C2"/>
    <w:rsid w:val="00A56B40"/>
    <w:rsid w:val="00A56B80"/>
    <w:rsid w:val="00A56FE8"/>
    <w:rsid w:val="00A609ED"/>
    <w:rsid w:val="00A60D90"/>
    <w:rsid w:val="00A60DFB"/>
    <w:rsid w:val="00A6170C"/>
    <w:rsid w:val="00A62D7A"/>
    <w:rsid w:val="00A63ABE"/>
    <w:rsid w:val="00A63F63"/>
    <w:rsid w:val="00A6428B"/>
    <w:rsid w:val="00A642F9"/>
    <w:rsid w:val="00A6444C"/>
    <w:rsid w:val="00A65F4A"/>
    <w:rsid w:val="00A6633C"/>
    <w:rsid w:val="00A66D3B"/>
    <w:rsid w:val="00A6705B"/>
    <w:rsid w:val="00A67073"/>
    <w:rsid w:val="00A6735E"/>
    <w:rsid w:val="00A6743F"/>
    <w:rsid w:val="00A70519"/>
    <w:rsid w:val="00A7076B"/>
    <w:rsid w:val="00A709EE"/>
    <w:rsid w:val="00A70BE6"/>
    <w:rsid w:val="00A70BF0"/>
    <w:rsid w:val="00A72D36"/>
    <w:rsid w:val="00A739D1"/>
    <w:rsid w:val="00A74039"/>
    <w:rsid w:val="00A7454B"/>
    <w:rsid w:val="00A74F88"/>
    <w:rsid w:val="00A75582"/>
    <w:rsid w:val="00A775A5"/>
    <w:rsid w:val="00A802C6"/>
    <w:rsid w:val="00A805F7"/>
    <w:rsid w:val="00A80876"/>
    <w:rsid w:val="00A80CA0"/>
    <w:rsid w:val="00A81BA5"/>
    <w:rsid w:val="00A8217D"/>
    <w:rsid w:val="00A82386"/>
    <w:rsid w:val="00A8307E"/>
    <w:rsid w:val="00A83E4E"/>
    <w:rsid w:val="00A84019"/>
    <w:rsid w:val="00A8404C"/>
    <w:rsid w:val="00A8528B"/>
    <w:rsid w:val="00A86418"/>
    <w:rsid w:val="00A874E5"/>
    <w:rsid w:val="00A87F87"/>
    <w:rsid w:val="00A90420"/>
    <w:rsid w:val="00A90448"/>
    <w:rsid w:val="00A91E1A"/>
    <w:rsid w:val="00A92180"/>
    <w:rsid w:val="00A927F3"/>
    <w:rsid w:val="00A9419F"/>
    <w:rsid w:val="00A96FEE"/>
    <w:rsid w:val="00A97F1A"/>
    <w:rsid w:val="00AA038E"/>
    <w:rsid w:val="00AA192A"/>
    <w:rsid w:val="00AA195D"/>
    <w:rsid w:val="00AA196E"/>
    <w:rsid w:val="00AA1B78"/>
    <w:rsid w:val="00AA2831"/>
    <w:rsid w:val="00AA28A3"/>
    <w:rsid w:val="00AA35B2"/>
    <w:rsid w:val="00AA35DB"/>
    <w:rsid w:val="00AA4AA4"/>
    <w:rsid w:val="00AA4E76"/>
    <w:rsid w:val="00AA4F96"/>
    <w:rsid w:val="00AA51E7"/>
    <w:rsid w:val="00AA5854"/>
    <w:rsid w:val="00AA5BE0"/>
    <w:rsid w:val="00AA6B60"/>
    <w:rsid w:val="00AA6CCA"/>
    <w:rsid w:val="00AB0B48"/>
    <w:rsid w:val="00AB0CBB"/>
    <w:rsid w:val="00AB0E0C"/>
    <w:rsid w:val="00AB2083"/>
    <w:rsid w:val="00AB344B"/>
    <w:rsid w:val="00AB3B4E"/>
    <w:rsid w:val="00AB3F85"/>
    <w:rsid w:val="00AB4FFE"/>
    <w:rsid w:val="00AB5D23"/>
    <w:rsid w:val="00AB64ED"/>
    <w:rsid w:val="00AB65CC"/>
    <w:rsid w:val="00AB7739"/>
    <w:rsid w:val="00AB7799"/>
    <w:rsid w:val="00AC071C"/>
    <w:rsid w:val="00AC1AAF"/>
    <w:rsid w:val="00AC1B67"/>
    <w:rsid w:val="00AC2044"/>
    <w:rsid w:val="00AC2344"/>
    <w:rsid w:val="00AC287B"/>
    <w:rsid w:val="00AC380A"/>
    <w:rsid w:val="00AC39C9"/>
    <w:rsid w:val="00AC5AED"/>
    <w:rsid w:val="00AC5B92"/>
    <w:rsid w:val="00AC5C87"/>
    <w:rsid w:val="00AC5CDB"/>
    <w:rsid w:val="00AC68B1"/>
    <w:rsid w:val="00AC691E"/>
    <w:rsid w:val="00AC7406"/>
    <w:rsid w:val="00AC7508"/>
    <w:rsid w:val="00AC7E37"/>
    <w:rsid w:val="00AD0DBC"/>
    <w:rsid w:val="00AD120A"/>
    <w:rsid w:val="00AD1644"/>
    <w:rsid w:val="00AD1787"/>
    <w:rsid w:val="00AD1982"/>
    <w:rsid w:val="00AD1C5A"/>
    <w:rsid w:val="00AD2041"/>
    <w:rsid w:val="00AD20EB"/>
    <w:rsid w:val="00AD2144"/>
    <w:rsid w:val="00AD3779"/>
    <w:rsid w:val="00AD3E93"/>
    <w:rsid w:val="00AD4692"/>
    <w:rsid w:val="00AD55C1"/>
    <w:rsid w:val="00AD5875"/>
    <w:rsid w:val="00AD613F"/>
    <w:rsid w:val="00AD75F4"/>
    <w:rsid w:val="00AE16A1"/>
    <w:rsid w:val="00AE23CC"/>
    <w:rsid w:val="00AE2D3E"/>
    <w:rsid w:val="00AE3CCF"/>
    <w:rsid w:val="00AE3E15"/>
    <w:rsid w:val="00AE4521"/>
    <w:rsid w:val="00AE65A0"/>
    <w:rsid w:val="00AE6BE5"/>
    <w:rsid w:val="00AF037E"/>
    <w:rsid w:val="00AF3098"/>
    <w:rsid w:val="00AF351E"/>
    <w:rsid w:val="00AF3B1A"/>
    <w:rsid w:val="00AF5B2B"/>
    <w:rsid w:val="00AF66D8"/>
    <w:rsid w:val="00AF760E"/>
    <w:rsid w:val="00AF769D"/>
    <w:rsid w:val="00B00591"/>
    <w:rsid w:val="00B006C6"/>
    <w:rsid w:val="00B016D0"/>
    <w:rsid w:val="00B01B83"/>
    <w:rsid w:val="00B038D6"/>
    <w:rsid w:val="00B04085"/>
    <w:rsid w:val="00B06331"/>
    <w:rsid w:val="00B06879"/>
    <w:rsid w:val="00B10229"/>
    <w:rsid w:val="00B10462"/>
    <w:rsid w:val="00B115A2"/>
    <w:rsid w:val="00B11B4E"/>
    <w:rsid w:val="00B1332D"/>
    <w:rsid w:val="00B13D18"/>
    <w:rsid w:val="00B141CC"/>
    <w:rsid w:val="00B14697"/>
    <w:rsid w:val="00B14E3D"/>
    <w:rsid w:val="00B154C9"/>
    <w:rsid w:val="00B155DC"/>
    <w:rsid w:val="00B16E3B"/>
    <w:rsid w:val="00B16E7E"/>
    <w:rsid w:val="00B17E3A"/>
    <w:rsid w:val="00B200B4"/>
    <w:rsid w:val="00B20EF4"/>
    <w:rsid w:val="00B230C2"/>
    <w:rsid w:val="00B23874"/>
    <w:rsid w:val="00B2477A"/>
    <w:rsid w:val="00B257CC"/>
    <w:rsid w:val="00B25B25"/>
    <w:rsid w:val="00B262AF"/>
    <w:rsid w:val="00B26468"/>
    <w:rsid w:val="00B265A8"/>
    <w:rsid w:val="00B2743D"/>
    <w:rsid w:val="00B27DF3"/>
    <w:rsid w:val="00B27E06"/>
    <w:rsid w:val="00B27E49"/>
    <w:rsid w:val="00B304D3"/>
    <w:rsid w:val="00B30772"/>
    <w:rsid w:val="00B30D01"/>
    <w:rsid w:val="00B34B40"/>
    <w:rsid w:val="00B356DF"/>
    <w:rsid w:val="00B35B5A"/>
    <w:rsid w:val="00B36253"/>
    <w:rsid w:val="00B36B37"/>
    <w:rsid w:val="00B40F09"/>
    <w:rsid w:val="00B413EA"/>
    <w:rsid w:val="00B41F2E"/>
    <w:rsid w:val="00B42170"/>
    <w:rsid w:val="00B443FB"/>
    <w:rsid w:val="00B44F06"/>
    <w:rsid w:val="00B450F0"/>
    <w:rsid w:val="00B45969"/>
    <w:rsid w:val="00B46D25"/>
    <w:rsid w:val="00B47ED3"/>
    <w:rsid w:val="00B5042D"/>
    <w:rsid w:val="00B5087E"/>
    <w:rsid w:val="00B50DC2"/>
    <w:rsid w:val="00B514FF"/>
    <w:rsid w:val="00B52480"/>
    <w:rsid w:val="00B52685"/>
    <w:rsid w:val="00B52B8D"/>
    <w:rsid w:val="00B534D1"/>
    <w:rsid w:val="00B5377E"/>
    <w:rsid w:val="00B542B6"/>
    <w:rsid w:val="00B54E74"/>
    <w:rsid w:val="00B54FB4"/>
    <w:rsid w:val="00B5595C"/>
    <w:rsid w:val="00B55A62"/>
    <w:rsid w:val="00B56161"/>
    <w:rsid w:val="00B5641D"/>
    <w:rsid w:val="00B56F43"/>
    <w:rsid w:val="00B56FCB"/>
    <w:rsid w:val="00B57B0F"/>
    <w:rsid w:val="00B57E8B"/>
    <w:rsid w:val="00B60596"/>
    <w:rsid w:val="00B6141F"/>
    <w:rsid w:val="00B61D43"/>
    <w:rsid w:val="00B633A0"/>
    <w:rsid w:val="00B63C44"/>
    <w:rsid w:val="00B63F18"/>
    <w:rsid w:val="00B640B6"/>
    <w:rsid w:val="00B6532D"/>
    <w:rsid w:val="00B662FE"/>
    <w:rsid w:val="00B66AAD"/>
    <w:rsid w:val="00B67C99"/>
    <w:rsid w:val="00B701CF"/>
    <w:rsid w:val="00B70493"/>
    <w:rsid w:val="00B704BB"/>
    <w:rsid w:val="00B715EB"/>
    <w:rsid w:val="00B72F0E"/>
    <w:rsid w:val="00B73376"/>
    <w:rsid w:val="00B739FE"/>
    <w:rsid w:val="00B74049"/>
    <w:rsid w:val="00B74367"/>
    <w:rsid w:val="00B751E5"/>
    <w:rsid w:val="00B758FA"/>
    <w:rsid w:val="00B75FDB"/>
    <w:rsid w:val="00B7629F"/>
    <w:rsid w:val="00B76BA8"/>
    <w:rsid w:val="00B77063"/>
    <w:rsid w:val="00B77C1D"/>
    <w:rsid w:val="00B77EC4"/>
    <w:rsid w:val="00B809BE"/>
    <w:rsid w:val="00B81473"/>
    <w:rsid w:val="00B82342"/>
    <w:rsid w:val="00B83209"/>
    <w:rsid w:val="00B840B2"/>
    <w:rsid w:val="00B84941"/>
    <w:rsid w:val="00B85233"/>
    <w:rsid w:val="00B85C20"/>
    <w:rsid w:val="00B867A2"/>
    <w:rsid w:val="00B8686B"/>
    <w:rsid w:val="00B87473"/>
    <w:rsid w:val="00B90FBE"/>
    <w:rsid w:val="00B92CEE"/>
    <w:rsid w:val="00B93563"/>
    <w:rsid w:val="00B94233"/>
    <w:rsid w:val="00B945D8"/>
    <w:rsid w:val="00B950A2"/>
    <w:rsid w:val="00B9553D"/>
    <w:rsid w:val="00B955B0"/>
    <w:rsid w:val="00B96A08"/>
    <w:rsid w:val="00B9736D"/>
    <w:rsid w:val="00BA0671"/>
    <w:rsid w:val="00BA0D5D"/>
    <w:rsid w:val="00BA0D86"/>
    <w:rsid w:val="00BA1B8E"/>
    <w:rsid w:val="00BA20CF"/>
    <w:rsid w:val="00BA2715"/>
    <w:rsid w:val="00BA547E"/>
    <w:rsid w:val="00BA56C8"/>
    <w:rsid w:val="00BA632B"/>
    <w:rsid w:val="00BA66AC"/>
    <w:rsid w:val="00BB06D0"/>
    <w:rsid w:val="00BB085E"/>
    <w:rsid w:val="00BB0D19"/>
    <w:rsid w:val="00BB12C6"/>
    <w:rsid w:val="00BB2FB0"/>
    <w:rsid w:val="00BB3D2C"/>
    <w:rsid w:val="00BB46C9"/>
    <w:rsid w:val="00BB4B11"/>
    <w:rsid w:val="00BB4B71"/>
    <w:rsid w:val="00BB60CF"/>
    <w:rsid w:val="00BB61EF"/>
    <w:rsid w:val="00BB6D85"/>
    <w:rsid w:val="00BB6E77"/>
    <w:rsid w:val="00BB76F9"/>
    <w:rsid w:val="00BC01D7"/>
    <w:rsid w:val="00BC07B0"/>
    <w:rsid w:val="00BC1211"/>
    <w:rsid w:val="00BC14A3"/>
    <w:rsid w:val="00BC1F0A"/>
    <w:rsid w:val="00BC1FC5"/>
    <w:rsid w:val="00BC2541"/>
    <w:rsid w:val="00BC26DD"/>
    <w:rsid w:val="00BC27EE"/>
    <w:rsid w:val="00BC29A2"/>
    <w:rsid w:val="00BC29CF"/>
    <w:rsid w:val="00BC2E50"/>
    <w:rsid w:val="00BC3BA2"/>
    <w:rsid w:val="00BC41CF"/>
    <w:rsid w:val="00BC44B5"/>
    <w:rsid w:val="00BC58A5"/>
    <w:rsid w:val="00BC5CAC"/>
    <w:rsid w:val="00BC6497"/>
    <w:rsid w:val="00BC70C8"/>
    <w:rsid w:val="00BC711A"/>
    <w:rsid w:val="00BC77C2"/>
    <w:rsid w:val="00BD03E7"/>
    <w:rsid w:val="00BD03E9"/>
    <w:rsid w:val="00BD19F6"/>
    <w:rsid w:val="00BD1CC7"/>
    <w:rsid w:val="00BD3D92"/>
    <w:rsid w:val="00BD53F3"/>
    <w:rsid w:val="00BD6703"/>
    <w:rsid w:val="00BD67BF"/>
    <w:rsid w:val="00BD6A72"/>
    <w:rsid w:val="00BD7A8E"/>
    <w:rsid w:val="00BE0326"/>
    <w:rsid w:val="00BE0361"/>
    <w:rsid w:val="00BE036E"/>
    <w:rsid w:val="00BE0590"/>
    <w:rsid w:val="00BE15DE"/>
    <w:rsid w:val="00BE23F0"/>
    <w:rsid w:val="00BE32E5"/>
    <w:rsid w:val="00BE36FE"/>
    <w:rsid w:val="00BE38A5"/>
    <w:rsid w:val="00BE393D"/>
    <w:rsid w:val="00BE4896"/>
    <w:rsid w:val="00BE6AD6"/>
    <w:rsid w:val="00BE7F3F"/>
    <w:rsid w:val="00BF04B2"/>
    <w:rsid w:val="00BF1575"/>
    <w:rsid w:val="00BF2382"/>
    <w:rsid w:val="00BF2FA5"/>
    <w:rsid w:val="00BF2FEA"/>
    <w:rsid w:val="00BF3F3A"/>
    <w:rsid w:val="00BF434F"/>
    <w:rsid w:val="00BF71AF"/>
    <w:rsid w:val="00BF7A2B"/>
    <w:rsid w:val="00C01316"/>
    <w:rsid w:val="00C01691"/>
    <w:rsid w:val="00C01F3B"/>
    <w:rsid w:val="00C035B0"/>
    <w:rsid w:val="00C03B7E"/>
    <w:rsid w:val="00C0400C"/>
    <w:rsid w:val="00C04A42"/>
    <w:rsid w:val="00C04C80"/>
    <w:rsid w:val="00C04CF0"/>
    <w:rsid w:val="00C05838"/>
    <w:rsid w:val="00C0657A"/>
    <w:rsid w:val="00C0681A"/>
    <w:rsid w:val="00C06CCC"/>
    <w:rsid w:val="00C07F26"/>
    <w:rsid w:val="00C10C1A"/>
    <w:rsid w:val="00C10CD6"/>
    <w:rsid w:val="00C1130D"/>
    <w:rsid w:val="00C12531"/>
    <w:rsid w:val="00C1281F"/>
    <w:rsid w:val="00C13B68"/>
    <w:rsid w:val="00C13F0B"/>
    <w:rsid w:val="00C14BE7"/>
    <w:rsid w:val="00C14C85"/>
    <w:rsid w:val="00C153FD"/>
    <w:rsid w:val="00C15DF8"/>
    <w:rsid w:val="00C166B5"/>
    <w:rsid w:val="00C1708D"/>
    <w:rsid w:val="00C21293"/>
    <w:rsid w:val="00C231C7"/>
    <w:rsid w:val="00C24754"/>
    <w:rsid w:val="00C24758"/>
    <w:rsid w:val="00C25B37"/>
    <w:rsid w:val="00C25FEF"/>
    <w:rsid w:val="00C26C72"/>
    <w:rsid w:val="00C3048B"/>
    <w:rsid w:val="00C32059"/>
    <w:rsid w:val="00C37A97"/>
    <w:rsid w:val="00C37C59"/>
    <w:rsid w:val="00C37D81"/>
    <w:rsid w:val="00C409F1"/>
    <w:rsid w:val="00C41932"/>
    <w:rsid w:val="00C41C9B"/>
    <w:rsid w:val="00C41E39"/>
    <w:rsid w:val="00C42174"/>
    <w:rsid w:val="00C42D38"/>
    <w:rsid w:val="00C42F2F"/>
    <w:rsid w:val="00C43E52"/>
    <w:rsid w:val="00C45BC3"/>
    <w:rsid w:val="00C45CBC"/>
    <w:rsid w:val="00C47D7B"/>
    <w:rsid w:val="00C5035E"/>
    <w:rsid w:val="00C52B23"/>
    <w:rsid w:val="00C52EC4"/>
    <w:rsid w:val="00C534A8"/>
    <w:rsid w:val="00C53837"/>
    <w:rsid w:val="00C55AB3"/>
    <w:rsid w:val="00C56E30"/>
    <w:rsid w:val="00C575BC"/>
    <w:rsid w:val="00C576F7"/>
    <w:rsid w:val="00C57716"/>
    <w:rsid w:val="00C60786"/>
    <w:rsid w:val="00C60B26"/>
    <w:rsid w:val="00C60BC5"/>
    <w:rsid w:val="00C60F87"/>
    <w:rsid w:val="00C6188C"/>
    <w:rsid w:val="00C66863"/>
    <w:rsid w:val="00C6778B"/>
    <w:rsid w:val="00C700F5"/>
    <w:rsid w:val="00C706D2"/>
    <w:rsid w:val="00C70FCD"/>
    <w:rsid w:val="00C71211"/>
    <w:rsid w:val="00C71E41"/>
    <w:rsid w:val="00C7352B"/>
    <w:rsid w:val="00C743C7"/>
    <w:rsid w:val="00C74F98"/>
    <w:rsid w:val="00C758D7"/>
    <w:rsid w:val="00C75E6C"/>
    <w:rsid w:val="00C7762B"/>
    <w:rsid w:val="00C77A52"/>
    <w:rsid w:val="00C804F5"/>
    <w:rsid w:val="00C80766"/>
    <w:rsid w:val="00C81B27"/>
    <w:rsid w:val="00C81E3A"/>
    <w:rsid w:val="00C825F4"/>
    <w:rsid w:val="00C82D9B"/>
    <w:rsid w:val="00C83045"/>
    <w:rsid w:val="00C83872"/>
    <w:rsid w:val="00C83BF7"/>
    <w:rsid w:val="00C842DF"/>
    <w:rsid w:val="00C8519C"/>
    <w:rsid w:val="00C85F79"/>
    <w:rsid w:val="00C86051"/>
    <w:rsid w:val="00C8630F"/>
    <w:rsid w:val="00C8639A"/>
    <w:rsid w:val="00C90EE3"/>
    <w:rsid w:val="00C9255D"/>
    <w:rsid w:val="00C93045"/>
    <w:rsid w:val="00C934F8"/>
    <w:rsid w:val="00C94B93"/>
    <w:rsid w:val="00C94CD7"/>
    <w:rsid w:val="00C958CB"/>
    <w:rsid w:val="00C95B60"/>
    <w:rsid w:val="00C95D94"/>
    <w:rsid w:val="00C963A9"/>
    <w:rsid w:val="00C97128"/>
    <w:rsid w:val="00C97E40"/>
    <w:rsid w:val="00CA1008"/>
    <w:rsid w:val="00CA1034"/>
    <w:rsid w:val="00CA2BBE"/>
    <w:rsid w:val="00CA2C92"/>
    <w:rsid w:val="00CA30EE"/>
    <w:rsid w:val="00CA377B"/>
    <w:rsid w:val="00CA3AE1"/>
    <w:rsid w:val="00CA3CFC"/>
    <w:rsid w:val="00CA454A"/>
    <w:rsid w:val="00CA4ACE"/>
    <w:rsid w:val="00CA4B5C"/>
    <w:rsid w:val="00CA5F0E"/>
    <w:rsid w:val="00CA5FA2"/>
    <w:rsid w:val="00CA626B"/>
    <w:rsid w:val="00CA62A1"/>
    <w:rsid w:val="00CA6543"/>
    <w:rsid w:val="00CA7C2F"/>
    <w:rsid w:val="00CB0506"/>
    <w:rsid w:val="00CB2800"/>
    <w:rsid w:val="00CB2A24"/>
    <w:rsid w:val="00CB39A5"/>
    <w:rsid w:val="00CB3C98"/>
    <w:rsid w:val="00CB579F"/>
    <w:rsid w:val="00CB65D4"/>
    <w:rsid w:val="00CB65E2"/>
    <w:rsid w:val="00CB7864"/>
    <w:rsid w:val="00CC00BE"/>
    <w:rsid w:val="00CC0853"/>
    <w:rsid w:val="00CC0893"/>
    <w:rsid w:val="00CC0C05"/>
    <w:rsid w:val="00CC166A"/>
    <w:rsid w:val="00CC1E84"/>
    <w:rsid w:val="00CC2509"/>
    <w:rsid w:val="00CC2D15"/>
    <w:rsid w:val="00CC42FD"/>
    <w:rsid w:val="00CC4DDE"/>
    <w:rsid w:val="00CC663A"/>
    <w:rsid w:val="00CC6A29"/>
    <w:rsid w:val="00CC78B9"/>
    <w:rsid w:val="00CC7E8D"/>
    <w:rsid w:val="00CD080A"/>
    <w:rsid w:val="00CD0CEC"/>
    <w:rsid w:val="00CD18B0"/>
    <w:rsid w:val="00CD2594"/>
    <w:rsid w:val="00CD36B0"/>
    <w:rsid w:val="00CD396F"/>
    <w:rsid w:val="00CD3EA4"/>
    <w:rsid w:val="00CD5427"/>
    <w:rsid w:val="00CD5C6E"/>
    <w:rsid w:val="00CD62E8"/>
    <w:rsid w:val="00CD702E"/>
    <w:rsid w:val="00CD72D2"/>
    <w:rsid w:val="00CE0321"/>
    <w:rsid w:val="00CE049A"/>
    <w:rsid w:val="00CE144F"/>
    <w:rsid w:val="00CE24D7"/>
    <w:rsid w:val="00CE261F"/>
    <w:rsid w:val="00CE26AE"/>
    <w:rsid w:val="00CE3AED"/>
    <w:rsid w:val="00CE4332"/>
    <w:rsid w:val="00CE43A9"/>
    <w:rsid w:val="00CE44D6"/>
    <w:rsid w:val="00CE5382"/>
    <w:rsid w:val="00CE6DDD"/>
    <w:rsid w:val="00CE7473"/>
    <w:rsid w:val="00CF000C"/>
    <w:rsid w:val="00CF0522"/>
    <w:rsid w:val="00CF162C"/>
    <w:rsid w:val="00CF5147"/>
    <w:rsid w:val="00CF52DB"/>
    <w:rsid w:val="00CF5FDD"/>
    <w:rsid w:val="00CF62E8"/>
    <w:rsid w:val="00CF7156"/>
    <w:rsid w:val="00CF7CE9"/>
    <w:rsid w:val="00D001E8"/>
    <w:rsid w:val="00D02B34"/>
    <w:rsid w:val="00D03E82"/>
    <w:rsid w:val="00D04509"/>
    <w:rsid w:val="00D07674"/>
    <w:rsid w:val="00D07BE9"/>
    <w:rsid w:val="00D10199"/>
    <w:rsid w:val="00D11021"/>
    <w:rsid w:val="00D110FF"/>
    <w:rsid w:val="00D118C9"/>
    <w:rsid w:val="00D124CA"/>
    <w:rsid w:val="00D12516"/>
    <w:rsid w:val="00D12978"/>
    <w:rsid w:val="00D1350E"/>
    <w:rsid w:val="00D14450"/>
    <w:rsid w:val="00D14BA5"/>
    <w:rsid w:val="00D15570"/>
    <w:rsid w:val="00D1581E"/>
    <w:rsid w:val="00D15D58"/>
    <w:rsid w:val="00D167BD"/>
    <w:rsid w:val="00D16887"/>
    <w:rsid w:val="00D16E6B"/>
    <w:rsid w:val="00D17530"/>
    <w:rsid w:val="00D178BF"/>
    <w:rsid w:val="00D17CDE"/>
    <w:rsid w:val="00D20057"/>
    <w:rsid w:val="00D208DB"/>
    <w:rsid w:val="00D21366"/>
    <w:rsid w:val="00D219FA"/>
    <w:rsid w:val="00D22B00"/>
    <w:rsid w:val="00D232CC"/>
    <w:rsid w:val="00D234AC"/>
    <w:rsid w:val="00D244E1"/>
    <w:rsid w:val="00D2507D"/>
    <w:rsid w:val="00D262A5"/>
    <w:rsid w:val="00D2687C"/>
    <w:rsid w:val="00D274ED"/>
    <w:rsid w:val="00D300E4"/>
    <w:rsid w:val="00D30439"/>
    <w:rsid w:val="00D31553"/>
    <w:rsid w:val="00D3174D"/>
    <w:rsid w:val="00D31D63"/>
    <w:rsid w:val="00D31EC7"/>
    <w:rsid w:val="00D3233C"/>
    <w:rsid w:val="00D32BA6"/>
    <w:rsid w:val="00D336A3"/>
    <w:rsid w:val="00D33AF0"/>
    <w:rsid w:val="00D34A93"/>
    <w:rsid w:val="00D351BB"/>
    <w:rsid w:val="00D352EA"/>
    <w:rsid w:val="00D3623E"/>
    <w:rsid w:val="00D37A6B"/>
    <w:rsid w:val="00D37D3E"/>
    <w:rsid w:val="00D40782"/>
    <w:rsid w:val="00D41314"/>
    <w:rsid w:val="00D41456"/>
    <w:rsid w:val="00D4159A"/>
    <w:rsid w:val="00D41946"/>
    <w:rsid w:val="00D41B39"/>
    <w:rsid w:val="00D42A1E"/>
    <w:rsid w:val="00D42CE2"/>
    <w:rsid w:val="00D43209"/>
    <w:rsid w:val="00D44D43"/>
    <w:rsid w:val="00D451C8"/>
    <w:rsid w:val="00D45669"/>
    <w:rsid w:val="00D47A24"/>
    <w:rsid w:val="00D47C70"/>
    <w:rsid w:val="00D516C6"/>
    <w:rsid w:val="00D51A28"/>
    <w:rsid w:val="00D51D75"/>
    <w:rsid w:val="00D52080"/>
    <w:rsid w:val="00D54587"/>
    <w:rsid w:val="00D54A74"/>
    <w:rsid w:val="00D559E2"/>
    <w:rsid w:val="00D55BF0"/>
    <w:rsid w:val="00D560F0"/>
    <w:rsid w:val="00D600E9"/>
    <w:rsid w:val="00D6146A"/>
    <w:rsid w:val="00D6153E"/>
    <w:rsid w:val="00D61624"/>
    <w:rsid w:val="00D61B4D"/>
    <w:rsid w:val="00D61C41"/>
    <w:rsid w:val="00D624B5"/>
    <w:rsid w:val="00D63973"/>
    <w:rsid w:val="00D639C1"/>
    <w:rsid w:val="00D64003"/>
    <w:rsid w:val="00D64408"/>
    <w:rsid w:val="00D64B57"/>
    <w:rsid w:val="00D651C2"/>
    <w:rsid w:val="00D6541E"/>
    <w:rsid w:val="00D663AE"/>
    <w:rsid w:val="00D6687A"/>
    <w:rsid w:val="00D67319"/>
    <w:rsid w:val="00D674F1"/>
    <w:rsid w:val="00D67AF1"/>
    <w:rsid w:val="00D67E93"/>
    <w:rsid w:val="00D70963"/>
    <w:rsid w:val="00D7243A"/>
    <w:rsid w:val="00D7262F"/>
    <w:rsid w:val="00D72BFA"/>
    <w:rsid w:val="00D73072"/>
    <w:rsid w:val="00D73BB1"/>
    <w:rsid w:val="00D7428B"/>
    <w:rsid w:val="00D742DF"/>
    <w:rsid w:val="00D747F8"/>
    <w:rsid w:val="00D74862"/>
    <w:rsid w:val="00D75ECD"/>
    <w:rsid w:val="00D775F1"/>
    <w:rsid w:val="00D80157"/>
    <w:rsid w:val="00D8057C"/>
    <w:rsid w:val="00D80730"/>
    <w:rsid w:val="00D81174"/>
    <w:rsid w:val="00D81C3C"/>
    <w:rsid w:val="00D81DBC"/>
    <w:rsid w:val="00D8216F"/>
    <w:rsid w:val="00D82EB5"/>
    <w:rsid w:val="00D832ED"/>
    <w:rsid w:val="00D83B51"/>
    <w:rsid w:val="00D83EC4"/>
    <w:rsid w:val="00D83F0B"/>
    <w:rsid w:val="00D84081"/>
    <w:rsid w:val="00D848B5"/>
    <w:rsid w:val="00D8491C"/>
    <w:rsid w:val="00D860EA"/>
    <w:rsid w:val="00D86852"/>
    <w:rsid w:val="00D868DE"/>
    <w:rsid w:val="00D909C6"/>
    <w:rsid w:val="00D90F73"/>
    <w:rsid w:val="00D91C50"/>
    <w:rsid w:val="00D91E87"/>
    <w:rsid w:val="00D91F87"/>
    <w:rsid w:val="00D925D4"/>
    <w:rsid w:val="00D92AB7"/>
    <w:rsid w:val="00D9310F"/>
    <w:rsid w:val="00D934AF"/>
    <w:rsid w:val="00D93554"/>
    <w:rsid w:val="00D93F16"/>
    <w:rsid w:val="00D94640"/>
    <w:rsid w:val="00D9541F"/>
    <w:rsid w:val="00D9611F"/>
    <w:rsid w:val="00D97016"/>
    <w:rsid w:val="00D97852"/>
    <w:rsid w:val="00DA197F"/>
    <w:rsid w:val="00DA2A01"/>
    <w:rsid w:val="00DA338D"/>
    <w:rsid w:val="00DA379C"/>
    <w:rsid w:val="00DA3B76"/>
    <w:rsid w:val="00DA49A3"/>
    <w:rsid w:val="00DA5578"/>
    <w:rsid w:val="00DA7719"/>
    <w:rsid w:val="00DB1A87"/>
    <w:rsid w:val="00DB1F86"/>
    <w:rsid w:val="00DB20C9"/>
    <w:rsid w:val="00DB2417"/>
    <w:rsid w:val="00DB2C37"/>
    <w:rsid w:val="00DB5A25"/>
    <w:rsid w:val="00DB5B31"/>
    <w:rsid w:val="00DB6AE6"/>
    <w:rsid w:val="00DB6F07"/>
    <w:rsid w:val="00DB6F26"/>
    <w:rsid w:val="00DB74F4"/>
    <w:rsid w:val="00DC0194"/>
    <w:rsid w:val="00DC0647"/>
    <w:rsid w:val="00DC1CF0"/>
    <w:rsid w:val="00DC28C0"/>
    <w:rsid w:val="00DC5336"/>
    <w:rsid w:val="00DC5878"/>
    <w:rsid w:val="00DC6905"/>
    <w:rsid w:val="00DC69F2"/>
    <w:rsid w:val="00DC6E45"/>
    <w:rsid w:val="00DC70B2"/>
    <w:rsid w:val="00DC719B"/>
    <w:rsid w:val="00DC731F"/>
    <w:rsid w:val="00DC76E1"/>
    <w:rsid w:val="00DD00BC"/>
    <w:rsid w:val="00DD0BC2"/>
    <w:rsid w:val="00DD22B5"/>
    <w:rsid w:val="00DD22C6"/>
    <w:rsid w:val="00DD2336"/>
    <w:rsid w:val="00DD2409"/>
    <w:rsid w:val="00DD2A7C"/>
    <w:rsid w:val="00DD33AA"/>
    <w:rsid w:val="00DD3D14"/>
    <w:rsid w:val="00DD4A6F"/>
    <w:rsid w:val="00DD603D"/>
    <w:rsid w:val="00DD6AB6"/>
    <w:rsid w:val="00DD714A"/>
    <w:rsid w:val="00DD73FF"/>
    <w:rsid w:val="00DD7460"/>
    <w:rsid w:val="00DE0251"/>
    <w:rsid w:val="00DE0476"/>
    <w:rsid w:val="00DE04C5"/>
    <w:rsid w:val="00DE24F0"/>
    <w:rsid w:val="00DE2DD8"/>
    <w:rsid w:val="00DE3903"/>
    <w:rsid w:val="00DE3A3D"/>
    <w:rsid w:val="00DE42B9"/>
    <w:rsid w:val="00DE433D"/>
    <w:rsid w:val="00DE47C9"/>
    <w:rsid w:val="00DE4D9D"/>
    <w:rsid w:val="00DE5A41"/>
    <w:rsid w:val="00DE6168"/>
    <w:rsid w:val="00DE76FC"/>
    <w:rsid w:val="00DF1307"/>
    <w:rsid w:val="00DF1D58"/>
    <w:rsid w:val="00DF1E0B"/>
    <w:rsid w:val="00DF33FC"/>
    <w:rsid w:val="00DF38F0"/>
    <w:rsid w:val="00DF3EC2"/>
    <w:rsid w:val="00DF3F2A"/>
    <w:rsid w:val="00DF4AF3"/>
    <w:rsid w:val="00DF5545"/>
    <w:rsid w:val="00DF68CD"/>
    <w:rsid w:val="00DF6FFA"/>
    <w:rsid w:val="00DF7A3D"/>
    <w:rsid w:val="00DF7E37"/>
    <w:rsid w:val="00E00471"/>
    <w:rsid w:val="00E013ED"/>
    <w:rsid w:val="00E01935"/>
    <w:rsid w:val="00E02C00"/>
    <w:rsid w:val="00E02E71"/>
    <w:rsid w:val="00E0310E"/>
    <w:rsid w:val="00E04003"/>
    <w:rsid w:val="00E05D4A"/>
    <w:rsid w:val="00E063E0"/>
    <w:rsid w:val="00E0692D"/>
    <w:rsid w:val="00E06CB7"/>
    <w:rsid w:val="00E07055"/>
    <w:rsid w:val="00E07AF1"/>
    <w:rsid w:val="00E1055B"/>
    <w:rsid w:val="00E10682"/>
    <w:rsid w:val="00E106F7"/>
    <w:rsid w:val="00E10A46"/>
    <w:rsid w:val="00E1170B"/>
    <w:rsid w:val="00E1309F"/>
    <w:rsid w:val="00E149A0"/>
    <w:rsid w:val="00E14E17"/>
    <w:rsid w:val="00E14F27"/>
    <w:rsid w:val="00E1536C"/>
    <w:rsid w:val="00E157C8"/>
    <w:rsid w:val="00E15C61"/>
    <w:rsid w:val="00E16ABE"/>
    <w:rsid w:val="00E17A35"/>
    <w:rsid w:val="00E17FE6"/>
    <w:rsid w:val="00E200FA"/>
    <w:rsid w:val="00E218A3"/>
    <w:rsid w:val="00E229E9"/>
    <w:rsid w:val="00E23333"/>
    <w:rsid w:val="00E234D6"/>
    <w:rsid w:val="00E234FD"/>
    <w:rsid w:val="00E23A76"/>
    <w:rsid w:val="00E2504A"/>
    <w:rsid w:val="00E25099"/>
    <w:rsid w:val="00E26E78"/>
    <w:rsid w:val="00E274EB"/>
    <w:rsid w:val="00E27C3A"/>
    <w:rsid w:val="00E30257"/>
    <w:rsid w:val="00E310B1"/>
    <w:rsid w:val="00E31461"/>
    <w:rsid w:val="00E3155B"/>
    <w:rsid w:val="00E33446"/>
    <w:rsid w:val="00E3654B"/>
    <w:rsid w:val="00E41171"/>
    <w:rsid w:val="00E41CE8"/>
    <w:rsid w:val="00E4434F"/>
    <w:rsid w:val="00E4441F"/>
    <w:rsid w:val="00E44456"/>
    <w:rsid w:val="00E449E8"/>
    <w:rsid w:val="00E47AD1"/>
    <w:rsid w:val="00E50589"/>
    <w:rsid w:val="00E5073D"/>
    <w:rsid w:val="00E510BC"/>
    <w:rsid w:val="00E51860"/>
    <w:rsid w:val="00E51BB2"/>
    <w:rsid w:val="00E51D78"/>
    <w:rsid w:val="00E522DB"/>
    <w:rsid w:val="00E53AA0"/>
    <w:rsid w:val="00E53FDD"/>
    <w:rsid w:val="00E5556D"/>
    <w:rsid w:val="00E55E73"/>
    <w:rsid w:val="00E57B28"/>
    <w:rsid w:val="00E57BBC"/>
    <w:rsid w:val="00E606B9"/>
    <w:rsid w:val="00E60C6E"/>
    <w:rsid w:val="00E61422"/>
    <w:rsid w:val="00E61FCA"/>
    <w:rsid w:val="00E62807"/>
    <w:rsid w:val="00E643C0"/>
    <w:rsid w:val="00E64BFC"/>
    <w:rsid w:val="00E65180"/>
    <w:rsid w:val="00E65FF4"/>
    <w:rsid w:val="00E66868"/>
    <w:rsid w:val="00E66C60"/>
    <w:rsid w:val="00E676B4"/>
    <w:rsid w:val="00E7010B"/>
    <w:rsid w:val="00E70EE5"/>
    <w:rsid w:val="00E71AAC"/>
    <w:rsid w:val="00E72536"/>
    <w:rsid w:val="00E72BA4"/>
    <w:rsid w:val="00E734A0"/>
    <w:rsid w:val="00E74175"/>
    <w:rsid w:val="00E749F3"/>
    <w:rsid w:val="00E74B3B"/>
    <w:rsid w:val="00E75784"/>
    <w:rsid w:val="00E76813"/>
    <w:rsid w:val="00E770E6"/>
    <w:rsid w:val="00E779D6"/>
    <w:rsid w:val="00E814EA"/>
    <w:rsid w:val="00E822AF"/>
    <w:rsid w:val="00E82718"/>
    <w:rsid w:val="00E8313D"/>
    <w:rsid w:val="00E83E53"/>
    <w:rsid w:val="00E83F9F"/>
    <w:rsid w:val="00E853A3"/>
    <w:rsid w:val="00E855BC"/>
    <w:rsid w:val="00E85655"/>
    <w:rsid w:val="00E86DB4"/>
    <w:rsid w:val="00E8726C"/>
    <w:rsid w:val="00E9021C"/>
    <w:rsid w:val="00E91271"/>
    <w:rsid w:val="00E912DA"/>
    <w:rsid w:val="00E91523"/>
    <w:rsid w:val="00E91D15"/>
    <w:rsid w:val="00E92A8D"/>
    <w:rsid w:val="00E93836"/>
    <w:rsid w:val="00E93C0A"/>
    <w:rsid w:val="00E93D48"/>
    <w:rsid w:val="00E94E4E"/>
    <w:rsid w:val="00E959BE"/>
    <w:rsid w:val="00E95AA3"/>
    <w:rsid w:val="00E95B21"/>
    <w:rsid w:val="00E96264"/>
    <w:rsid w:val="00E97EDA"/>
    <w:rsid w:val="00EA0425"/>
    <w:rsid w:val="00EA093B"/>
    <w:rsid w:val="00EA1223"/>
    <w:rsid w:val="00EA1D5A"/>
    <w:rsid w:val="00EA22A5"/>
    <w:rsid w:val="00EA26D9"/>
    <w:rsid w:val="00EA49C0"/>
    <w:rsid w:val="00EA5161"/>
    <w:rsid w:val="00EA5491"/>
    <w:rsid w:val="00EA56BE"/>
    <w:rsid w:val="00EA6BC8"/>
    <w:rsid w:val="00EA748E"/>
    <w:rsid w:val="00EA7B76"/>
    <w:rsid w:val="00EA7B82"/>
    <w:rsid w:val="00EB1A48"/>
    <w:rsid w:val="00EB23FA"/>
    <w:rsid w:val="00EB2932"/>
    <w:rsid w:val="00EB2C21"/>
    <w:rsid w:val="00EB3782"/>
    <w:rsid w:val="00EB4AA4"/>
    <w:rsid w:val="00EB5BB8"/>
    <w:rsid w:val="00EB60A4"/>
    <w:rsid w:val="00EB778D"/>
    <w:rsid w:val="00EC07E6"/>
    <w:rsid w:val="00EC140A"/>
    <w:rsid w:val="00EC1FA6"/>
    <w:rsid w:val="00EC2C09"/>
    <w:rsid w:val="00EC2F97"/>
    <w:rsid w:val="00EC30C6"/>
    <w:rsid w:val="00EC3C22"/>
    <w:rsid w:val="00EC4A0B"/>
    <w:rsid w:val="00EC4D36"/>
    <w:rsid w:val="00EC56FC"/>
    <w:rsid w:val="00EC6AD2"/>
    <w:rsid w:val="00EC7891"/>
    <w:rsid w:val="00EC7AA8"/>
    <w:rsid w:val="00EC7B32"/>
    <w:rsid w:val="00EC7C2E"/>
    <w:rsid w:val="00ED08E0"/>
    <w:rsid w:val="00ED0D8E"/>
    <w:rsid w:val="00ED3747"/>
    <w:rsid w:val="00ED5A44"/>
    <w:rsid w:val="00ED67F3"/>
    <w:rsid w:val="00ED6942"/>
    <w:rsid w:val="00ED7557"/>
    <w:rsid w:val="00ED767E"/>
    <w:rsid w:val="00EE00ED"/>
    <w:rsid w:val="00EE018C"/>
    <w:rsid w:val="00EE096B"/>
    <w:rsid w:val="00EE10C3"/>
    <w:rsid w:val="00EE4FCA"/>
    <w:rsid w:val="00EE7C89"/>
    <w:rsid w:val="00EF0D47"/>
    <w:rsid w:val="00EF154A"/>
    <w:rsid w:val="00EF19C2"/>
    <w:rsid w:val="00EF2302"/>
    <w:rsid w:val="00EF2381"/>
    <w:rsid w:val="00EF3A27"/>
    <w:rsid w:val="00EF3C99"/>
    <w:rsid w:val="00EF3FDF"/>
    <w:rsid w:val="00EF4DDA"/>
    <w:rsid w:val="00EF4E60"/>
    <w:rsid w:val="00EF4EA7"/>
    <w:rsid w:val="00EF65D6"/>
    <w:rsid w:val="00EF68C8"/>
    <w:rsid w:val="00EF69D9"/>
    <w:rsid w:val="00EF712A"/>
    <w:rsid w:val="00EF7BA5"/>
    <w:rsid w:val="00F0045E"/>
    <w:rsid w:val="00F00A5A"/>
    <w:rsid w:val="00F01443"/>
    <w:rsid w:val="00F015B2"/>
    <w:rsid w:val="00F020DD"/>
    <w:rsid w:val="00F03644"/>
    <w:rsid w:val="00F039AE"/>
    <w:rsid w:val="00F04124"/>
    <w:rsid w:val="00F0476E"/>
    <w:rsid w:val="00F05BC6"/>
    <w:rsid w:val="00F0624D"/>
    <w:rsid w:val="00F064C9"/>
    <w:rsid w:val="00F06B48"/>
    <w:rsid w:val="00F072E2"/>
    <w:rsid w:val="00F072E6"/>
    <w:rsid w:val="00F07983"/>
    <w:rsid w:val="00F10EED"/>
    <w:rsid w:val="00F11A30"/>
    <w:rsid w:val="00F11B09"/>
    <w:rsid w:val="00F12754"/>
    <w:rsid w:val="00F15115"/>
    <w:rsid w:val="00F1533F"/>
    <w:rsid w:val="00F160D5"/>
    <w:rsid w:val="00F202A6"/>
    <w:rsid w:val="00F225E8"/>
    <w:rsid w:val="00F22842"/>
    <w:rsid w:val="00F236FD"/>
    <w:rsid w:val="00F23AD9"/>
    <w:rsid w:val="00F24C60"/>
    <w:rsid w:val="00F25157"/>
    <w:rsid w:val="00F25E6B"/>
    <w:rsid w:val="00F262CF"/>
    <w:rsid w:val="00F26C5D"/>
    <w:rsid w:val="00F306E9"/>
    <w:rsid w:val="00F30705"/>
    <w:rsid w:val="00F30E42"/>
    <w:rsid w:val="00F311FC"/>
    <w:rsid w:val="00F31E4F"/>
    <w:rsid w:val="00F32DE6"/>
    <w:rsid w:val="00F32FCF"/>
    <w:rsid w:val="00F332E2"/>
    <w:rsid w:val="00F33480"/>
    <w:rsid w:val="00F34133"/>
    <w:rsid w:val="00F34EF0"/>
    <w:rsid w:val="00F34EF3"/>
    <w:rsid w:val="00F35065"/>
    <w:rsid w:val="00F35568"/>
    <w:rsid w:val="00F359D3"/>
    <w:rsid w:val="00F35B4C"/>
    <w:rsid w:val="00F36610"/>
    <w:rsid w:val="00F3787F"/>
    <w:rsid w:val="00F40684"/>
    <w:rsid w:val="00F40D91"/>
    <w:rsid w:val="00F4131C"/>
    <w:rsid w:val="00F4372E"/>
    <w:rsid w:val="00F4487A"/>
    <w:rsid w:val="00F47E2C"/>
    <w:rsid w:val="00F50FE6"/>
    <w:rsid w:val="00F5109F"/>
    <w:rsid w:val="00F51720"/>
    <w:rsid w:val="00F5187F"/>
    <w:rsid w:val="00F52306"/>
    <w:rsid w:val="00F5460A"/>
    <w:rsid w:val="00F548E5"/>
    <w:rsid w:val="00F5532C"/>
    <w:rsid w:val="00F553F4"/>
    <w:rsid w:val="00F56893"/>
    <w:rsid w:val="00F56F86"/>
    <w:rsid w:val="00F576D1"/>
    <w:rsid w:val="00F57988"/>
    <w:rsid w:val="00F57D38"/>
    <w:rsid w:val="00F60AED"/>
    <w:rsid w:val="00F60C40"/>
    <w:rsid w:val="00F61B4C"/>
    <w:rsid w:val="00F623D4"/>
    <w:rsid w:val="00F630CE"/>
    <w:rsid w:val="00F636A9"/>
    <w:rsid w:val="00F6481B"/>
    <w:rsid w:val="00F6686D"/>
    <w:rsid w:val="00F66A7F"/>
    <w:rsid w:val="00F70553"/>
    <w:rsid w:val="00F71165"/>
    <w:rsid w:val="00F71E66"/>
    <w:rsid w:val="00F72AFC"/>
    <w:rsid w:val="00F72E4F"/>
    <w:rsid w:val="00F7397F"/>
    <w:rsid w:val="00F73C99"/>
    <w:rsid w:val="00F742FC"/>
    <w:rsid w:val="00F74790"/>
    <w:rsid w:val="00F7580A"/>
    <w:rsid w:val="00F759FC"/>
    <w:rsid w:val="00F75F55"/>
    <w:rsid w:val="00F76441"/>
    <w:rsid w:val="00F77515"/>
    <w:rsid w:val="00F80F1E"/>
    <w:rsid w:val="00F8102E"/>
    <w:rsid w:val="00F83180"/>
    <w:rsid w:val="00F844A1"/>
    <w:rsid w:val="00F84783"/>
    <w:rsid w:val="00F847D7"/>
    <w:rsid w:val="00F854D2"/>
    <w:rsid w:val="00F85771"/>
    <w:rsid w:val="00F860BC"/>
    <w:rsid w:val="00F878FF"/>
    <w:rsid w:val="00F909D8"/>
    <w:rsid w:val="00F90EEE"/>
    <w:rsid w:val="00F9171D"/>
    <w:rsid w:val="00F920B3"/>
    <w:rsid w:val="00F933C8"/>
    <w:rsid w:val="00F93444"/>
    <w:rsid w:val="00F955E1"/>
    <w:rsid w:val="00F95C3E"/>
    <w:rsid w:val="00F95DA2"/>
    <w:rsid w:val="00F97636"/>
    <w:rsid w:val="00F97DE4"/>
    <w:rsid w:val="00FA0844"/>
    <w:rsid w:val="00FA0BB0"/>
    <w:rsid w:val="00FA0FB9"/>
    <w:rsid w:val="00FA2174"/>
    <w:rsid w:val="00FA3350"/>
    <w:rsid w:val="00FA4837"/>
    <w:rsid w:val="00FA4EF9"/>
    <w:rsid w:val="00FA50C0"/>
    <w:rsid w:val="00FA5BFD"/>
    <w:rsid w:val="00FA679A"/>
    <w:rsid w:val="00FA7BDB"/>
    <w:rsid w:val="00FA7C56"/>
    <w:rsid w:val="00FA7C6E"/>
    <w:rsid w:val="00FB02A3"/>
    <w:rsid w:val="00FB03F7"/>
    <w:rsid w:val="00FB257B"/>
    <w:rsid w:val="00FB2BB9"/>
    <w:rsid w:val="00FB3415"/>
    <w:rsid w:val="00FB3D54"/>
    <w:rsid w:val="00FB42AF"/>
    <w:rsid w:val="00FB4AD8"/>
    <w:rsid w:val="00FB4C8E"/>
    <w:rsid w:val="00FB51F3"/>
    <w:rsid w:val="00FB52B1"/>
    <w:rsid w:val="00FB6B8C"/>
    <w:rsid w:val="00FB7B83"/>
    <w:rsid w:val="00FC0353"/>
    <w:rsid w:val="00FC04F1"/>
    <w:rsid w:val="00FC0DAC"/>
    <w:rsid w:val="00FC0E88"/>
    <w:rsid w:val="00FC1BDC"/>
    <w:rsid w:val="00FC1E5F"/>
    <w:rsid w:val="00FC2ABE"/>
    <w:rsid w:val="00FC3B10"/>
    <w:rsid w:val="00FC4C31"/>
    <w:rsid w:val="00FC4C81"/>
    <w:rsid w:val="00FC5A37"/>
    <w:rsid w:val="00FC65C8"/>
    <w:rsid w:val="00FC6EA7"/>
    <w:rsid w:val="00FD27BA"/>
    <w:rsid w:val="00FD3680"/>
    <w:rsid w:val="00FD38EE"/>
    <w:rsid w:val="00FD44CE"/>
    <w:rsid w:val="00FD485B"/>
    <w:rsid w:val="00FD4863"/>
    <w:rsid w:val="00FD492A"/>
    <w:rsid w:val="00FD4DDE"/>
    <w:rsid w:val="00FD558A"/>
    <w:rsid w:val="00FD5753"/>
    <w:rsid w:val="00FD7D2B"/>
    <w:rsid w:val="00FE0F20"/>
    <w:rsid w:val="00FE158A"/>
    <w:rsid w:val="00FE2B86"/>
    <w:rsid w:val="00FE2BCA"/>
    <w:rsid w:val="00FE2CF3"/>
    <w:rsid w:val="00FE2D40"/>
    <w:rsid w:val="00FE40BD"/>
    <w:rsid w:val="00FE45DB"/>
    <w:rsid w:val="00FE5D7D"/>
    <w:rsid w:val="00FE5EE4"/>
    <w:rsid w:val="00FE648C"/>
    <w:rsid w:val="00FE68BA"/>
    <w:rsid w:val="00FE6FE1"/>
    <w:rsid w:val="00FE72C1"/>
    <w:rsid w:val="00FE742B"/>
    <w:rsid w:val="00FE7C41"/>
    <w:rsid w:val="00FE7FC6"/>
    <w:rsid w:val="00FF128A"/>
    <w:rsid w:val="00FF1F2C"/>
    <w:rsid w:val="00FF286D"/>
    <w:rsid w:val="00FF28BB"/>
    <w:rsid w:val="00FF3012"/>
    <w:rsid w:val="00FF3163"/>
    <w:rsid w:val="00FF4691"/>
    <w:rsid w:val="00FF4A12"/>
    <w:rsid w:val="00FF4CCC"/>
    <w:rsid w:val="00FF4F80"/>
    <w:rsid w:val="00FF6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3360"/>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8542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 w:type="paragraph" w:styleId="FootnoteText">
    <w:name w:val="footnote text"/>
    <w:basedOn w:val="Normal"/>
    <w:link w:val="FootnoteTextChar"/>
    <w:uiPriority w:val="99"/>
    <w:semiHidden/>
    <w:unhideWhenUsed/>
    <w:rsid w:val="001A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569"/>
    <w:rPr>
      <w:sz w:val="20"/>
      <w:szCs w:val="20"/>
      <w:lang w:val="en-GB"/>
    </w:rPr>
  </w:style>
  <w:style w:type="character" w:styleId="FootnoteReference">
    <w:name w:val="footnote reference"/>
    <w:basedOn w:val="DefaultParagraphFont"/>
    <w:uiPriority w:val="99"/>
    <w:semiHidden/>
    <w:unhideWhenUsed/>
    <w:rsid w:val="001A0569"/>
    <w:rPr>
      <w:vertAlign w:val="superscript"/>
    </w:rPr>
  </w:style>
  <w:style w:type="character" w:customStyle="1" w:styleId="Heading1Char">
    <w:name w:val="Heading 1 Char"/>
    <w:basedOn w:val="DefaultParagraphFont"/>
    <w:link w:val="Heading1"/>
    <w:uiPriority w:val="9"/>
    <w:rsid w:val="00854297"/>
    <w:rPr>
      <w:rFonts w:ascii="Times New Roman" w:eastAsia="Times New Roman" w:hAnsi="Times New Roman" w:cs="Times New Roman"/>
      <w:b/>
      <w:bCs/>
      <w:kern w:val="36"/>
      <w:sz w:val="48"/>
      <w:szCs w:val="48"/>
      <w:lang w:eastAsia="en-ZA"/>
    </w:rPr>
  </w:style>
  <w:style w:type="character" w:customStyle="1" w:styleId="ant-tag">
    <w:name w:val="ant-tag"/>
    <w:basedOn w:val="DefaultParagraphFont"/>
    <w:rsid w:val="00832055"/>
  </w:style>
  <w:style w:type="character" w:styleId="Strong">
    <w:name w:val="Strong"/>
    <w:basedOn w:val="DefaultParagraphFont"/>
    <w:uiPriority w:val="22"/>
    <w:qFormat/>
    <w:rsid w:val="00832055"/>
    <w:rPr>
      <w:b/>
      <w:bCs/>
    </w:rPr>
  </w:style>
  <w:style w:type="character" w:customStyle="1" w:styleId="g1">
    <w:name w:val="g1"/>
    <w:basedOn w:val="DefaultParagraphFont"/>
    <w:rsid w:val="000C4BC7"/>
  </w:style>
  <w:style w:type="character" w:styleId="Hyperlink">
    <w:name w:val="Hyperlink"/>
    <w:basedOn w:val="DefaultParagraphFont"/>
    <w:uiPriority w:val="99"/>
    <w:semiHidden/>
    <w:unhideWhenUsed/>
    <w:rsid w:val="000C4BC7"/>
    <w:rPr>
      <w:color w:val="0000FF"/>
      <w:u w:val="single"/>
    </w:rPr>
  </w:style>
  <w:style w:type="character" w:customStyle="1" w:styleId="mc">
    <w:name w:val="mc"/>
    <w:basedOn w:val="DefaultParagraphFont"/>
    <w:rsid w:val="000C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12">
      <w:bodyDiv w:val="1"/>
      <w:marLeft w:val="0"/>
      <w:marRight w:val="0"/>
      <w:marTop w:val="0"/>
      <w:marBottom w:val="0"/>
      <w:divBdr>
        <w:top w:val="none" w:sz="0" w:space="0" w:color="auto"/>
        <w:left w:val="none" w:sz="0" w:space="0" w:color="auto"/>
        <w:bottom w:val="none" w:sz="0" w:space="0" w:color="auto"/>
        <w:right w:val="none" w:sz="0" w:space="0" w:color="auto"/>
      </w:divBdr>
      <w:divsChild>
        <w:div w:id="641736016">
          <w:marLeft w:val="0"/>
          <w:marRight w:val="0"/>
          <w:marTop w:val="0"/>
          <w:marBottom w:val="150"/>
          <w:divBdr>
            <w:top w:val="none" w:sz="0" w:space="0" w:color="auto"/>
            <w:left w:val="none" w:sz="0" w:space="0" w:color="auto"/>
            <w:bottom w:val="none" w:sz="0" w:space="0" w:color="auto"/>
            <w:right w:val="none" w:sz="0" w:space="0" w:color="auto"/>
          </w:divBdr>
        </w:div>
      </w:divsChild>
    </w:div>
    <w:div w:id="406459294">
      <w:bodyDiv w:val="1"/>
      <w:marLeft w:val="0"/>
      <w:marRight w:val="0"/>
      <w:marTop w:val="0"/>
      <w:marBottom w:val="0"/>
      <w:divBdr>
        <w:top w:val="none" w:sz="0" w:space="0" w:color="auto"/>
        <w:left w:val="none" w:sz="0" w:space="0" w:color="auto"/>
        <w:bottom w:val="none" w:sz="0" w:space="0" w:color="auto"/>
        <w:right w:val="none" w:sz="0" w:space="0" w:color="auto"/>
      </w:divBdr>
      <w:divsChild>
        <w:div w:id="750467803">
          <w:marLeft w:val="0"/>
          <w:marRight w:val="0"/>
          <w:marTop w:val="120"/>
          <w:marBottom w:val="0"/>
          <w:divBdr>
            <w:top w:val="none" w:sz="0" w:space="0" w:color="auto"/>
            <w:left w:val="none" w:sz="0" w:space="0" w:color="auto"/>
            <w:bottom w:val="none" w:sz="0" w:space="0" w:color="auto"/>
            <w:right w:val="none" w:sz="0" w:space="0" w:color="auto"/>
          </w:divBdr>
        </w:div>
        <w:div w:id="144665735">
          <w:marLeft w:val="0"/>
          <w:marRight w:val="0"/>
          <w:marTop w:val="120"/>
          <w:marBottom w:val="0"/>
          <w:divBdr>
            <w:top w:val="none" w:sz="0" w:space="0" w:color="auto"/>
            <w:left w:val="none" w:sz="0" w:space="0" w:color="auto"/>
            <w:bottom w:val="none" w:sz="0" w:space="0" w:color="auto"/>
            <w:right w:val="none" w:sz="0" w:space="0" w:color="auto"/>
          </w:divBdr>
        </w:div>
      </w:divsChild>
    </w:div>
    <w:div w:id="1219364275">
      <w:bodyDiv w:val="1"/>
      <w:marLeft w:val="0"/>
      <w:marRight w:val="0"/>
      <w:marTop w:val="0"/>
      <w:marBottom w:val="0"/>
      <w:divBdr>
        <w:top w:val="none" w:sz="0" w:space="0" w:color="auto"/>
        <w:left w:val="none" w:sz="0" w:space="0" w:color="auto"/>
        <w:bottom w:val="none" w:sz="0" w:space="0" w:color="auto"/>
        <w:right w:val="none" w:sz="0" w:space="0" w:color="auto"/>
      </w:divBdr>
      <w:divsChild>
        <w:div w:id="1432431337">
          <w:marLeft w:val="0"/>
          <w:marRight w:val="0"/>
          <w:marTop w:val="120"/>
          <w:marBottom w:val="0"/>
          <w:divBdr>
            <w:top w:val="none" w:sz="0" w:space="0" w:color="auto"/>
            <w:left w:val="none" w:sz="0" w:space="0" w:color="auto"/>
            <w:bottom w:val="none" w:sz="0" w:space="0" w:color="auto"/>
            <w:right w:val="none" w:sz="0" w:space="0" w:color="auto"/>
          </w:divBdr>
        </w:div>
        <w:div w:id="1283922866">
          <w:marLeft w:val="0"/>
          <w:marRight w:val="0"/>
          <w:marTop w:val="240"/>
          <w:marBottom w:val="24"/>
          <w:divBdr>
            <w:top w:val="single" w:sz="8" w:space="2" w:color="808080"/>
            <w:left w:val="none" w:sz="0" w:space="0" w:color="auto"/>
            <w:bottom w:val="none" w:sz="0" w:space="0" w:color="auto"/>
            <w:right w:val="none" w:sz="0" w:space="0" w:color="auto"/>
          </w:divBdr>
        </w:div>
        <w:div w:id="419647389">
          <w:marLeft w:val="0"/>
          <w:marRight w:val="0"/>
          <w:marTop w:val="120"/>
          <w:marBottom w:val="0"/>
          <w:divBdr>
            <w:top w:val="none" w:sz="0" w:space="0" w:color="auto"/>
            <w:left w:val="none" w:sz="0" w:space="0" w:color="auto"/>
            <w:bottom w:val="none" w:sz="0" w:space="0" w:color="auto"/>
            <w:right w:val="none" w:sz="0" w:space="0" w:color="auto"/>
          </w:divBdr>
        </w:div>
        <w:div w:id="1332097153">
          <w:marLeft w:val="0"/>
          <w:marRight w:val="0"/>
          <w:marTop w:val="120"/>
          <w:marBottom w:val="0"/>
          <w:divBdr>
            <w:top w:val="none" w:sz="0" w:space="0" w:color="auto"/>
            <w:left w:val="none" w:sz="0" w:space="0" w:color="auto"/>
            <w:bottom w:val="none" w:sz="0" w:space="0" w:color="auto"/>
            <w:right w:val="none" w:sz="0" w:space="0" w:color="auto"/>
          </w:divBdr>
        </w:div>
      </w:divsChild>
    </w:div>
    <w:div w:id="1646163526">
      <w:bodyDiv w:val="1"/>
      <w:marLeft w:val="0"/>
      <w:marRight w:val="0"/>
      <w:marTop w:val="0"/>
      <w:marBottom w:val="0"/>
      <w:divBdr>
        <w:top w:val="none" w:sz="0" w:space="0" w:color="auto"/>
        <w:left w:val="none" w:sz="0" w:space="0" w:color="auto"/>
        <w:bottom w:val="none" w:sz="0" w:space="0" w:color="auto"/>
        <w:right w:val="none" w:sz="0" w:space="0" w:color="auto"/>
      </w:divBdr>
    </w:div>
    <w:div w:id="1713387789">
      <w:bodyDiv w:val="1"/>
      <w:marLeft w:val="0"/>
      <w:marRight w:val="0"/>
      <w:marTop w:val="0"/>
      <w:marBottom w:val="0"/>
      <w:divBdr>
        <w:top w:val="none" w:sz="0" w:space="0" w:color="auto"/>
        <w:left w:val="none" w:sz="0" w:space="0" w:color="auto"/>
        <w:bottom w:val="none" w:sz="0" w:space="0" w:color="auto"/>
        <w:right w:val="none" w:sz="0" w:space="0" w:color="auto"/>
      </w:divBdr>
      <w:divsChild>
        <w:div w:id="11988564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1913-3572-4893-A0C6-8A07FBA7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5228</Words>
  <Characters>29802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Mariana Anguelov</cp:lastModifiedBy>
  <cp:revision>3</cp:revision>
  <cp:lastPrinted>2022-12-15T07:02:00Z</cp:lastPrinted>
  <dcterms:created xsi:type="dcterms:W3CDTF">2023-01-17T10:59:00Z</dcterms:created>
  <dcterms:modified xsi:type="dcterms:W3CDTF">2023-01-27T18:14:00Z</dcterms:modified>
</cp:coreProperties>
</file>