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CB70" w14:textId="77777777" w:rsidR="004C1912" w:rsidRDefault="004C1912" w:rsidP="004C1912">
      <w:pPr>
        <w:spacing w:after="0" w:line="240" w:lineRule="auto"/>
        <w:contextualSpacing/>
        <w:jc w:val="center"/>
        <w:rPr>
          <w:rFonts w:ascii="Times New Roman" w:hAnsi="Times New Roman"/>
          <w:b/>
          <w:sz w:val="28"/>
          <w:szCs w:val="28"/>
        </w:rPr>
      </w:pPr>
      <w:bookmarkStart w:id="0" w:name="_GoBack"/>
      <w:bookmarkEnd w:id="0"/>
      <w:r w:rsidRPr="00443F19">
        <w:rPr>
          <w:rFonts w:ascii="Times New Roman" w:hAnsi="Times New Roman"/>
          <w:noProof/>
          <w:sz w:val="28"/>
          <w:szCs w:val="28"/>
          <w:lang w:val="en-ZA" w:eastAsia="en-ZA"/>
        </w:rPr>
        <w:drawing>
          <wp:inline distT="0" distB="0" distL="0" distR="0" wp14:anchorId="7DB536EC" wp14:editId="2C08EB01">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78155BD4" w14:textId="77777777" w:rsidR="004C1912" w:rsidRDefault="004C1912" w:rsidP="004C1912">
      <w:pPr>
        <w:spacing w:after="0" w:line="240" w:lineRule="auto"/>
        <w:contextualSpacing/>
        <w:jc w:val="right"/>
        <w:rPr>
          <w:rFonts w:ascii="Times New Roman" w:hAnsi="Times New Roman"/>
          <w:b/>
          <w:sz w:val="28"/>
          <w:szCs w:val="28"/>
        </w:rPr>
      </w:pPr>
      <w:r w:rsidRPr="000D03EE">
        <w:rPr>
          <w:rFonts w:ascii="Times New Roman" w:hAnsi="Times New Roman"/>
          <w:b/>
          <w:sz w:val="28"/>
          <w:szCs w:val="28"/>
        </w:rPr>
        <w:t>NOT REPORTABLE</w:t>
      </w:r>
    </w:p>
    <w:p w14:paraId="6670D38B" w14:textId="77777777" w:rsidR="004C1912" w:rsidRPr="000D03EE" w:rsidRDefault="004C1912" w:rsidP="004C1912">
      <w:pPr>
        <w:spacing w:after="0" w:line="240" w:lineRule="auto"/>
        <w:contextualSpacing/>
        <w:jc w:val="right"/>
        <w:rPr>
          <w:rFonts w:ascii="Times New Roman" w:hAnsi="Times New Roman"/>
          <w:b/>
          <w:sz w:val="28"/>
          <w:szCs w:val="28"/>
        </w:rPr>
      </w:pPr>
    </w:p>
    <w:p w14:paraId="11705B55" w14:textId="77777777" w:rsidR="004C1912" w:rsidRDefault="004C1912" w:rsidP="004C1912">
      <w:pPr>
        <w:spacing w:after="0" w:line="24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1E6C8B92" w14:textId="77777777" w:rsidR="004C1912" w:rsidRDefault="004C1912" w:rsidP="004C1912">
      <w:pPr>
        <w:spacing w:after="0" w:line="240" w:lineRule="auto"/>
        <w:contextualSpacing/>
        <w:jc w:val="both"/>
        <w:rPr>
          <w:rFonts w:ascii="Times New Roman" w:hAnsi="Times New Roman"/>
          <w:b/>
          <w:sz w:val="28"/>
          <w:szCs w:val="28"/>
        </w:rPr>
      </w:pPr>
      <w:r>
        <w:rPr>
          <w:rFonts w:ascii="Times New Roman" w:hAnsi="Times New Roman"/>
          <w:b/>
          <w:sz w:val="28"/>
          <w:szCs w:val="28"/>
        </w:rPr>
        <w:t>(EASTERN CAPE DIVISION, MAKHANDA)</w:t>
      </w:r>
    </w:p>
    <w:p w14:paraId="453322A6" w14:textId="77777777" w:rsidR="004C1912" w:rsidRDefault="004C1912" w:rsidP="004C1912">
      <w:pPr>
        <w:spacing w:after="0" w:line="240" w:lineRule="auto"/>
        <w:contextualSpacing/>
        <w:jc w:val="both"/>
        <w:rPr>
          <w:rFonts w:ascii="Times New Roman" w:hAnsi="Times New Roman"/>
          <w:b/>
          <w:sz w:val="28"/>
          <w:szCs w:val="28"/>
        </w:rPr>
      </w:pPr>
    </w:p>
    <w:p w14:paraId="55C52680" w14:textId="77777777" w:rsidR="004C1912" w:rsidRDefault="004C1912" w:rsidP="004C1912">
      <w:pPr>
        <w:widowControl w:val="0"/>
        <w:autoSpaceDE w:val="0"/>
        <w:autoSpaceDN w:val="0"/>
        <w:adjustRightInd w:val="0"/>
        <w:spacing w:after="0" w:line="240" w:lineRule="auto"/>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sidR="00F94882">
        <w:rPr>
          <w:rFonts w:ascii="Times New Roman" w:hAnsi="Times New Roman"/>
          <w:color w:val="000000"/>
          <w:sz w:val="28"/>
          <w:szCs w:val="28"/>
        </w:rPr>
        <w:t>CASE NO. EL 2569/2021</w:t>
      </w:r>
    </w:p>
    <w:p w14:paraId="0762E16F" w14:textId="77777777" w:rsidR="004C1912" w:rsidRDefault="004C1912" w:rsidP="004C1912">
      <w:pPr>
        <w:widowControl w:val="0"/>
        <w:autoSpaceDE w:val="0"/>
        <w:autoSpaceDN w:val="0"/>
        <w:adjustRightInd w:val="0"/>
        <w:spacing w:after="0" w:line="240" w:lineRule="auto"/>
        <w:contextualSpacing/>
        <w:jc w:val="right"/>
        <w:rPr>
          <w:rFonts w:ascii="Times New Roman" w:hAnsi="Times New Roman"/>
          <w:color w:val="000000"/>
          <w:sz w:val="28"/>
          <w:szCs w:val="28"/>
        </w:rPr>
      </w:pPr>
    </w:p>
    <w:p w14:paraId="776F0622" w14:textId="77777777" w:rsidR="004C1912" w:rsidRDefault="004C1912" w:rsidP="004C1912">
      <w:pPr>
        <w:widowControl w:val="0"/>
        <w:autoSpaceDE w:val="0"/>
        <w:autoSpaceDN w:val="0"/>
        <w:adjustRightInd w:val="0"/>
        <w:spacing w:after="0" w:line="240" w:lineRule="auto"/>
        <w:contextualSpacing/>
        <w:rPr>
          <w:rFonts w:ascii="Times New Roman" w:hAnsi="Times New Roman"/>
          <w:color w:val="000000"/>
          <w:sz w:val="28"/>
          <w:szCs w:val="28"/>
        </w:rPr>
      </w:pPr>
    </w:p>
    <w:p w14:paraId="794B49FF" w14:textId="77777777" w:rsidR="004C1912" w:rsidRDefault="004C1912" w:rsidP="004C1912">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In the matter between:</w:t>
      </w:r>
    </w:p>
    <w:p w14:paraId="5862C162" w14:textId="77777777" w:rsidR="004C1912" w:rsidRPr="004F113B" w:rsidRDefault="004C1912" w:rsidP="004C1912">
      <w:pPr>
        <w:widowControl w:val="0"/>
        <w:autoSpaceDE w:val="0"/>
        <w:autoSpaceDN w:val="0"/>
        <w:adjustRightInd w:val="0"/>
        <w:spacing w:after="0" w:line="240" w:lineRule="auto"/>
        <w:contextualSpacing/>
        <w:rPr>
          <w:rFonts w:ascii="Times New Roman" w:hAnsi="Times New Roman"/>
          <w:b/>
          <w:color w:val="000000"/>
          <w:sz w:val="28"/>
          <w:szCs w:val="28"/>
        </w:rPr>
      </w:pPr>
    </w:p>
    <w:p w14:paraId="5FA1AF48" w14:textId="77777777" w:rsidR="004C1912" w:rsidRDefault="004C1912" w:rsidP="004C1912">
      <w:pPr>
        <w:widowControl w:val="0"/>
        <w:autoSpaceDE w:val="0"/>
        <w:autoSpaceDN w:val="0"/>
        <w:adjustRightInd w:val="0"/>
        <w:spacing w:after="0" w:line="240" w:lineRule="auto"/>
        <w:contextualSpacing/>
        <w:rPr>
          <w:rFonts w:ascii="Times New Roman" w:hAnsi="Times New Roman"/>
          <w:b/>
          <w:color w:val="000000"/>
          <w:sz w:val="28"/>
          <w:szCs w:val="28"/>
        </w:rPr>
      </w:pPr>
    </w:p>
    <w:p w14:paraId="58CE3F76" w14:textId="77777777" w:rsidR="004C1912" w:rsidRDefault="00F94882" w:rsidP="004C1912">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THE LEGAL PRACTICE COUNCIL</w:t>
      </w:r>
      <w:r w:rsidR="004C1912">
        <w:rPr>
          <w:rFonts w:ascii="Times New Roman" w:hAnsi="Times New Roman"/>
          <w:b/>
          <w:color w:val="000000"/>
          <w:sz w:val="28"/>
          <w:szCs w:val="28"/>
        </w:rPr>
        <w:tab/>
      </w:r>
      <w:r w:rsidR="004C1912">
        <w:rPr>
          <w:rFonts w:ascii="Times New Roman" w:hAnsi="Times New Roman"/>
          <w:b/>
          <w:color w:val="000000"/>
          <w:sz w:val="28"/>
          <w:szCs w:val="28"/>
        </w:rPr>
        <w:tab/>
      </w:r>
      <w:r w:rsidR="004C1912">
        <w:rPr>
          <w:rFonts w:ascii="Times New Roman" w:hAnsi="Times New Roman"/>
          <w:b/>
          <w:color w:val="000000"/>
          <w:sz w:val="28"/>
          <w:szCs w:val="28"/>
        </w:rPr>
        <w:tab/>
      </w:r>
      <w:r w:rsidRPr="00F94882">
        <w:rPr>
          <w:rFonts w:ascii="Times New Roman" w:hAnsi="Times New Roman"/>
          <w:color w:val="000000"/>
          <w:sz w:val="28"/>
          <w:szCs w:val="28"/>
        </w:rPr>
        <w:t>Applicant</w:t>
      </w:r>
      <w:r w:rsidR="004C1912" w:rsidRPr="00F94882">
        <w:rPr>
          <w:rFonts w:ascii="Times New Roman" w:hAnsi="Times New Roman"/>
          <w:color w:val="000000"/>
          <w:sz w:val="28"/>
          <w:szCs w:val="28"/>
        </w:rPr>
        <w:t xml:space="preserve"> </w:t>
      </w:r>
    </w:p>
    <w:p w14:paraId="7B6577B1" w14:textId="77777777" w:rsidR="004C1912" w:rsidRDefault="004C1912" w:rsidP="004C1912">
      <w:pPr>
        <w:widowControl w:val="0"/>
        <w:autoSpaceDE w:val="0"/>
        <w:autoSpaceDN w:val="0"/>
        <w:adjustRightInd w:val="0"/>
        <w:spacing w:after="0" w:line="240" w:lineRule="auto"/>
        <w:contextualSpacing/>
        <w:rPr>
          <w:rFonts w:ascii="Times New Roman" w:hAnsi="Times New Roman"/>
          <w:color w:val="000000"/>
          <w:sz w:val="28"/>
          <w:szCs w:val="28"/>
        </w:rPr>
      </w:pPr>
    </w:p>
    <w:p w14:paraId="7EADBBBB" w14:textId="77777777" w:rsidR="004C1912" w:rsidRDefault="004C1912" w:rsidP="004C1912">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and</w:t>
      </w:r>
    </w:p>
    <w:p w14:paraId="6A07EDA4" w14:textId="77777777" w:rsidR="004C1912" w:rsidRPr="004F113B" w:rsidRDefault="004C1912" w:rsidP="004C1912">
      <w:pPr>
        <w:widowControl w:val="0"/>
        <w:autoSpaceDE w:val="0"/>
        <w:autoSpaceDN w:val="0"/>
        <w:adjustRightInd w:val="0"/>
        <w:spacing w:after="0" w:line="240" w:lineRule="auto"/>
        <w:contextualSpacing/>
        <w:rPr>
          <w:rFonts w:ascii="Times New Roman" w:hAnsi="Times New Roman"/>
          <w:b/>
          <w:color w:val="000000"/>
          <w:sz w:val="28"/>
          <w:szCs w:val="28"/>
        </w:rPr>
      </w:pPr>
    </w:p>
    <w:p w14:paraId="4D349E65" w14:textId="77777777" w:rsidR="004C1912" w:rsidRDefault="00FE673A" w:rsidP="004C1912">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 xml:space="preserve">COR VAN DEVENTER </w:t>
      </w:r>
      <w:r>
        <w:rPr>
          <w:rFonts w:ascii="Times New Roman" w:hAnsi="Times New Roman"/>
          <w:b/>
          <w:color w:val="000000"/>
          <w:sz w:val="28"/>
          <w:szCs w:val="28"/>
        </w:rPr>
        <w:tab/>
      </w:r>
      <w:r w:rsidR="004C1912">
        <w:rPr>
          <w:rFonts w:ascii="Times New Roman" w:hAnsi="Times New Roman"/>
          <w:b/>
          <w:color w:val="000000"/>
          <w:sz w:val="28"/>
          <w:szCs w:val="28"/>
        </w:rPr>
        <w:t xml:space="preserve"> </w:t>
      </w:r>
      <w:r w:rsidR="004C1912">
        <w:rPr>
          <w:rFonts w:ascii="Times New Roman" w:hAnsi="Times New Roman"/>
          <w:b/>
          <w:color w:val="000000"/>
          <w:sz w:val="28"/>
          <w:szCs w:val="28"/>
        </w:rPr>
        <w:tab/>
        <w:t xml:space="preserve"> </w:t>
      </w:r>
      <w:r w:rsidR="004C1912">
        <w:rPr>
          <w:rFonts w:ascii="Times New Roman" w:hAnsi="Times New Roman"/>
          <w:b/>
          <w:color w:val="000000"/>
          <w:sz w:val="28"/>
          <w:szCs w:val="28"/>
        </w:rPr>
        <w:tab/>
      </w:r>
      <w:r w:rsidR="004C1912">
        <w:rPr>
          <w:rFonts w:ascii="Times New Roman" w:hAnsi="Times New Roman"/>
          <w:b/>
          <w:color w:val="000000"/>
          <w:sz w:val="28"/>
          <w:szCs w:val="28"/>
        </w:rPr>
        <w:tab/>
      </w:r>
      <w:r>
        <w:rPr>
          <w:rFonts w:ascii="Times New Roman" w:hAnsi="Times New Roman"/>
          <w:color w:val="000000"/>
          <w:sz w:val="28"/>
          <w:szCs w:val="28"/>
        </w:rPr>
        <w:tab/>
        <w:t>Respondent</w:t>
      </w:r>
      <w:r w:rsidR="004C1912">
        <w:rPr>
          <w:rFonts w:ascii="Times New Roman" w:hAnsi="Times New Roman"/>
          <w:color w:val="000000"/>
          <w:sz w:val="28"/>
          <w:szCs w:val="28"/>
        </w:rPr>
        <w:t xml:space="preserve"> </w:t>
      </w:r>
    </w:p>
    <w:p w14:paraId="76AD5F28" w14:textId="77777777" w:rsidR="004C1912" w:rsidRDefault="004C1912" w:rsidP="004C1912">
      <w:pPr>
        <w:pBdr>
          <w:bottom w:val="single" w:sz="12" w:space="1" w:color="auto"/>
        </w:pBdr>
        <w:spacing w:after="0" w:line="240" w:lineRule="auto"/>
        <w:contextualSpacing/>
        <w:jc w:val="both"/>
        <w:rPr>
          <w:rFonts w:ascii="Times New Roman" w:hAnsi="Times New Roman"/>
          <w:b/>
          <w:sz w:val="28"/>
          <w:szCs w:val="28"/>
        </w:rPr>
      </w:pPr>
    </w:p>
    <w:p w14:paraId="742872E5" w14:textId="77777777" w:rsidR="004C1912" w:rsidRPr="009379AE" w:rsidRDefault="004C1912" w:rsidP="004C1912">
      <w:pPr>
        <w:pBdr>
          <w:bottom w:val="single" w:sz="12" w:space="1" w:color="auto"/>
        </w:pBdr>
        <w:spacing w:after="0" w:line="240" w:lineRule="auto"/>
        <w:contextualSpacing/>
        <w:jc w:val="both"/>
        <w:rPr>
          <w:rFonts w:ascii="Times New Roman" w:hAnsi="Times New Roman"/>
          <w:b/>
          <w:sz w:val="28"/>
          <w:szCs w:val="28"/>
        </w:rPr>
      </w:pPr>
    </w:p>
    <w:p w14:paraId="4ECCB4A6" w14:textId="77777777" w:rsidR="004C1912" w:rsidRPr="009379AE" w:rsidRDefault="004C1912" w:rsidP="004C1912">
      <w:pPr>
        <w:spacing w:after="0" w:line="240" w:lineRule="auto"/>
        <w:contextualSpacing/>
        <w:jc w:val="both"/>
        <w:rPr>
          <w:rFonts w:ascii="Times New Roman" w:hAnsi="Times New Roman"/>
          <w:sz w:val="28"/>
          <w:szCs w:val="28"/>
        </w:rPr>
      </w:pPr>
      <w:r w:rsidRPr="009379AE">
        <w:rPr>
          <w:rFonts w:ascii="Times New Roman" w:hAnsi="Times New Roman"/>
        </w:rPr>
        <w:t xml:space="preserve"> </w:t>
      </w:r>
    </w:p>
    <w:p w14:paraId="1E3B2F14" w14:textId="77777777" w:rsidR="004C1912" w:rsidRDefault="004C1912" w:rsidP="004C1912">
      <w:pPr>
        <w:pBdr>
          <w:bottom w:val="single" w:sz="12" w:space="1" w:color="auto"/>
        </w:pBdr>
        <w:spacing w:after="0" w:line="240" w:lineRule="auto"/>
        <w:contextualSpacing/>
        <w:jc w:val="center"/>
        <w:rPr>
          <w:rFonts w:ascii="Times New Roman" w:hAnsi="Times New Roman"/>
          <w:b/>
          <w:sz w:val="28"/>
          <w:szCs w:val="28"/>
        </w:rPr>
      </w:pPr>
    </w:p>
    <w:p w14:paraId="5F89E5E2" w14:textId="77777777" w:rsidR="004C1912" w:rsidRDefault="004C1912" w:rsidP="004C1912">
      <w:pPr>
        <w:pBdr>
          <w:bottom w:val="single" w:sz="12" w:space="1" w:color="auto"/>
        </w:pBd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JUDGMENT </w:t>
      </w:r>
      <w:r w:rsidR="00751BDF">
        <w:rPr>
          <w:rFonts w:ascii="Times New Roman" w:hAnsi="Times New Roman"/>
          <w:b/>
          <w:sz w:val="28"/>
          <w:szCs w:val="28"/>
        </w:rPr>
        <w:t>IN RESPECT OF</w:t>
      </w:r>
    </w:p>
    <w:p w14:paraId="48450437" w14:textId="77777777" w:rsidR="00132674" w:rsidRDefault="00751BDF" w:rsidP="004C1912">
      <w:pPr>
        <w:pBdr>
          <w:bottom w:val="single" w:sz="12" w:space="1" w:color="auto"/>
        </w:pBd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APPLICATION </w:t>
      </w:r>
      <w:r w:rsidR="00132674">
        <w:rPr>
          <w:rFonts w:ascii="Times New Roman" w:hAnsi="Times New Roman"/>
          <w:b/>
          <w:sz w:val="28"/>
          <w:szCs w:val="28"/>
        </w:rPr>
        <w:t xml:space="preserve">FOR THE STRIKING OFF </w:t>
      </w:r>
    </w:p>
    <w:p w14:paraId="1ABF8827" w14:textId="77777777" w:rsidR="00132674" w:rsidRDefault="00132674" w:rsidP="004C1912">
      <w:pPr>
        <w:pBdr>
          <w:bottom w:val="single" w:sz="12" w:space="1" w:color="auto"/>
        </w:pBd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OF THE </w:t>
      </w:r>
      <w:r w:rsidR="00751BDF">
        <w:rPr>
          <w:rFonts w:ascii="Times New Roman" w:hAnsi="Times New Roman"/>
          <w:b/>
          <w:sz w:val="28"/>
          <w:szCs w:val="28"/>
        </w:rPr>
        <w:t>RESPONDENT</w:t>
      </w:r>
      <w:r>
        <w:rPr>
          <w:rFonts w:ascii="Times New Roman" w:hAnsi="Times New Roman"/>
          <w:b/>
          <w:sz w:val="28"/>
          <w:szCs w:val="28"/>
        </w:rPr>
        <w:t xml:space="preserve"> FROM THE </w:t>
      </w:r>
    </w:p>
    <w:p w14:paraId="40D6EF4C" w14:textId="77777777" w:rsidR="00751BDF" w:rsidRDefault="00751BDF" w:rsidP="004C1912">
      <w:pPr>
        <w:pBdr>
          <w:bottom w:val="single" w:sz="12" w:space="1" w:color="auto"/>
        </w:pBdr>
        <w:spacing w:after="0" w:line="240" w:lineRule="auto"/>
        <w:contextualSpacing/>
        <w:jc w:val="center"/>
        <w:rPr>
          <w:rFonts w:ascii="Times New Roman" w:hAnsi="Times New Roman"/>
          <w:b/>
          <w:sz w:val="28"/>
          <w:szCs w:val="28"/>
        </w:rPr>
      </w:pPr>
      <w:r>
        <w:rPr>
          <w:rFonts w:ascii="Times New Roman" w:hAnsi="Times New Roman"/>
          <w:b/>
          <w:sz w:val="28"/>
          <w:szCs w:val="28"/>
        </w:rPr>
        <w:t>ROLL OF LEGAL PRACTI</w:t>
      </w:r>
      <w:r w:rsidR="00AE33BE">
        <w:rPr>
          <w:rFonts w:ascii="Times New Roman" w:hAnsi="Times New Roman"/>
          <w:b/>
          <w:sz w:val="28"/>
          <w:szCs w:val="28"/>
        </w:rPr>
        <w:t>TIONERS</w:t>
      </w:r>
    </w:p>
    <w:p w14:paraId="10A71A1E" w14:textId="77777777" w:rsidR="004C1912" w:rsidRDefault="004C1912" w:rsidP="004C1912">
      <w:pPr>
        <w:pBdr>
          <w:bottom w:val="single" w:sz="12" w:space="1" w:color="auto"/>
        </w:pBdr>
        <w:spacing w:after="0" w:line="240" w:lineRule="auto"/>
        <w:contextualSpacing/>
        <w:jc w:val="center"/>
        <w:rPr>
          <w:rFonts w:ascii="Times New Roman" w:hAnsi="Times New Roman"/>
          <w:b/>
          <w:sz w:val="28"/>
          <w:szCs w:val="28"/>
        </w:rPr>
      </w:pPr>
    </w:p>
    <w:p w14:paraId="75A1ACC3" w14:textId="77777777" w:rsidR="004C1912" w:rsidRPr="009379AE" w:rsidRDefault="004C1912" w:rsidP="004C1912">
      <w:pPr>
        <w:tabs>
          <w:tab w:val="left" w:pos="567"/>
        </w:tabs>
        <w:spacing w:after="0"/>
        <w:ind w:hanging="709"/>
        <w:contextualSpacing/>
        <w:jc w:val="both"/>
        <w:rPr>
          <w:rFonts w:ascii="Times New Roman" w:hAnsi="Times New Roman"/>
          <w:sz w:val="28"/>
          <w:szCs w:val="28"/>
        </w:rPr>
      </w:pPr>
    </w:p>
    <w:p w14:paraId="566DBA10" w14:textId="77777777" w:rsidR="004C1912" w:rsidRDefault="004C1912" w:rsidP="004C1912">
      <w:pPr>
        <w:pStyle w:val="ListParagraph"/>
        <w:tabs>
          <w:tab w:val="left" w:pos="0"/>
        </w:tabs>
        <w:spacing w:after="0" w:line="360" w:lineRule="auto"/>
        <w:ind w:left="0"/>
        <w:jc w:val="both"/>
        <w:rPr>
          <w:rFonts w:ascii="Times New Roman" w:hAnsi="Times New Roman"/>
          <w:b/>
          <w:sz w:val="28"/>
          <w:szCs w:val="28"/>
        </w:rPr>
      </w:pPr>
    </w:p>
    <w:p w14:paraId="4A87D027" w14:textId="77777777" w:rsidR="004C1912" w:rsidRDefault="004C1912" w:rsidP="004C1912">
      <w:pPr>
        <w:pStyle w:val="ListParagraph"/>
        <w:tabs>
          <w:tab w:val="left" w:pos="0"/>
        </w:tabs>
        <w:spacing w:after="0" w:line="360" w:lineRule="auto"/>
        <w:ind w:left="0"/>
        <w:jc w:val="both"/>
        <w:rPr>
          <w:rFonts w:ascii="Times New Roman" w:hAnsi="Times New Roman"/>
          <w:b/>
          <w:sz w:val="28"/>
          <w:szCs w:val="28"/>
        </w:rPr>
      </w:pPr>
      <w:r>
        <w:rPr>
          <w:rFonts w:ascii="Times New Roman" w:hAnsi="Times New Roman"/>
          <w:b/>
          <w:sz w:val="28"/>
          <w:szCs w:val="28"/>
        </w:rPr>
        <w:t>HARTLE J</w:t>
      </w:r>
    </w:p>
    <w:p w14:paraId="574947ED" w14:textId="77777777" w:rsidR="004C1912" w:rsidRDefault="004C1912" w:rsidP="00187995">
      <w:pPr>
        <w:spacing w:line="360" w:lineRule="auto"/>
        <w:jc w:val="both"/>
        <w:rPr>
          <w:rFonts w:ascii="Times New Roman" w:hAnsi="Times New Roman" w:cs="Times New Roman"/>
          <w:sz w:val="28"/>
          <w:szCs w:val="28"/>
        </w:rPr>
      </w:pPr>
    </w:p>
    <w:p w14:paraId="553DC85E" w14:textId="3F0A0111" w:rsidR="00DC53D8" w:rsidRDefault="00FB6691"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The applicant</w:t>
      </w:r>
      <w:r w:rsidR="007E6BAE" w:rsidRPr="00187995">
        <w:rPr>
          <w:rFonts w:ascii="Times New Roman" w:hAnsi="Times New Roman" w:cs="Times New Roman"/>
          <w:sz w:val="28"/>
          <w:szCs w:val="28"/>
        </w:rPr>
        <w:t>,</w:t>
      </w:r>
      <w:r w:rsidRPr="00187995">
        <w:rPr>
          <w:rFonts w:ascii="Times New Roman" w:hAnsi="Times New Roman" w:cs="Times New Roman"/>
          <w:sz w:val="28"/>
          <w:szCs w:val="28"/>
        </w:rPr>
        <w:t xml:space="preserve"> although initially praying that the respondent be struck </w:t>
      </w:r>
      <w:r w:rsidR="00751BDF">
        <w:rPr>
          <w:rFonts w:ascii="Times New Roman" w:hAnsi="Times New Roman" w:cs="Times New Roman"/>
          <w:sz w:val="28"/>
          <w:szCs w:val="28"/>
        </w:rPr>
        <w:t xml:space="preserve">off </w:t>
      </w:r>
      <w:r w:rsidRPr="00187995">
        <w:rPr>
          <w:rFonts w:ascii="Times New Roman" w:hAnsi="Times New Roman" w:cs="Times New Roman"/>
          <w:sz w:val="28"/>
          <w:szCs w:val="28"/>
        </w:rPr>
        <w:t xml:space="preserve">the roll of </w:t>
      </w:r>
      <w:r w:rsidR="00DB4653" w:rsidRPr="00187995">
        <w:rPr>
          <w:rFonts w:ascii="Times New Roman" w:hAnsi="Times New Roman" w:cs="Times New Roman"/>
          <w:sz w:val="28"/>
          <w:szCs w:val="28"/>
        </w:rPr>
        <w:t>legal practitioners</w:t>
      </w:r>
      <w:r w:rsidR="007E6BAE" w:rsidRPr="00187995">
        <w:rPr>
          <w:rFonts w:ascii="Times New Roman" w:hAnsi="Times New Roman" w:cs="Times New Roman"/>
          <w:sz w:val="28"/>
          <w:szCs w:val="28"/>
        </w:rPr>
        <w:t>,</w:t>
      </w:r>
      <w:r w:rsidRPr="00187995">
        <w:rPr>
          <w:rFonts w:ascii="Times New Roman" w:hAnsi="Times New Roman" w:cs="Times New Roman"/>
          <w:sz w:val="28"/>
          <w:szCs w:val="28"/>
        </w:rPr>
        <w:t xml:space="preserve"> appeals to this court to</w:t>
      </w:r>
      <w:r w:rsidR="007C1BBC" w:rsidRPr="00187995">
        <w:rPr>
          <w:rFonts w:ascii="Times New Roman" w:hAnsi="Times New Roman" w:cs="Times New Roman"/>
          <w:sz w:val="28"/>
          <w:szCs w:val="28"/>
        </w:rPr>
        <w:t xml:space="preserve"> </w:t>
      </w:r>
      <w:r w:rsidRPr="00187995">
        <w:rPr>
          <w:rFonts w:ascii="Times New Roman" w:hAnsi="Times New Roman" w:cs="Times New Roman"/>
          <w:sz w:val="28"/>
          <w:szCs w:val="28"/>
        </w:rPr>
        <w:t xml:space="preserve">impose a sanction against </w:t>
      </w:r>
      <w:r w:rsidR="00751BDF">
        <w:rPr>
          <w:rFonts w:ascii="Times New Roman" w:hAnsi="Times New Roman" w:cs="Times New Roman"/>
          <w:sz w:val="28"/>
          <w:szCs w:val="28"/>
        </w:rPr>
        <w:t xml:space="preserve">him </w:t>
      </w:r>
      <w:r w:rsidR="00751BDF">
        <w:rPr>
          <w:rFonts w:ascii="Times New Roman" w:hAnsi="Times New Roman" w:cs="Times New Roman"/>
          <w:sz w:val="28"/>
          <w:szCs w:val="28"/>
        </w:rPr>
        <w:lastRenderedPageBreak/>
        <w:t xml:space="preserve">arising from certain </w:t>
      </w:r>
      <w:r w:rsidR="00DF30FC">
        <w:rPr>
          <w:rFonts w:ascii="Times New Roman" w:hAnsi="Times New Roman" w:cs="Times New Roman"/>
          <w:sz w:val="28"/>
          <w:szCs w:val="28"/>
        </w:rPr>
        <w:t>claimed</w:t>
      </w:r>
      <w:r w:rsidRPr="00187995">
        <w:rPr>
          <w:rFonts w:ascii="Times New Roman" w:hAnsi="Times New Roman" w:cs="Times New Roman"/>
          <w:sz w:val="28"/>
          <w:szCs w:val="28"/>
        </w:rPr>
        <w:t xml:space="preserve"> </w:t>
      </w:r>
      <w:r w:rsidR="000B6FA5">
        <w:rPr>
          <w:rFonts w:ascii="Times New Roman" w:hAnsi="Times New Roman" w:cs="Times New Roman"/>
          <w:sz w:val="28"/>
          <w:szCs w:val="28"/>
        </w:rPr>
        <w:t>“</w:t>
      </w:r>
      <w:r w:rsidR="00132674">
        <w:rPr>
          <w:rFonts w:ascii="Times New Roman" w:hAnsi="Times New Roman" w:cs="Times New Roman"/>
          <w:sz w:val="28"/>
          <w:szCs w:val="28"/>
        </w:rPr>
        <w:t>unprofessional conduct</w:t>
      </w:r>
      <w:r w:rsidR="000B6FA5">
        <w:rPr>
          <w:rFonts w:ascii="Times New Roman" w:hAnsi="Times New Roman" w:cs="Times New Roman"/>
          <w:sz w:val="28"/>
          <w:szCs w:val="28"/>
        </w:rPr>
        <w:t>”</w:t>
      </w:r>
      <w:r w:rsidR="00DB4653" w:rsidRPr="00187995">
        <w:rPr>
          <w:rFonts w:ascii="Times New Roman" w:hAnsi="Times New Roman" w:cs="Times New Roman"/>
          <w:sz w:val="28"/>
          <w:szCs w:val="28"/>
        </w:rPr>
        <w:t>.</w:t>
      </w:r>
      <w:r w:rsidR="00BD0F7F">
        <w:rPr>
          <w:rStyle w:val="FootnoteReference"/>
          <w:rFonts w:ascii="Times New Roman" w:hAnsi="Times New Roman" w:cs="Times New Roman"/>
          <w:sz w:val="28"/>
          <w:szCs w:val="28"/>
        </w:rPr>
        <w:footnoteReference w:id="1"/>
      </w:r>
      <w:r w:rsidR="00DB2C68">
        <w:rPr>
          <w:rFonts w:ascii="Times New Roman" w:hAnsi="Times New Roman" w:cs="Times New Roman"/>
          <w:sz w:val="28"/>
          <w:szCs w:val="28"/>
        </w:rPr>
        <w:t xml:space="preserve"> </w:t>
      </w:r>
      <w:r w:rsidR="000B6FA5">
        <w:rPr>
          <w:rFonts w:ascii="Times New Roman" w:hAnsi="Times New Roman" w:cs="Times New Roman"/>
          <w:sz w:val="28"/>
          <w:szCs w:val="28"/>
        </w:rPr>
        <w:t xml:space="preserve">Despite the wide powers afforded to </w:t>
      </w:r>
      <w:r w:rsidR="007501A3">
        <w:rPr>
          <w:rFonts w:ascii="Times New Roman" w:hAnsi="Times New Roman" w:cs="Times New Roman"/>
          <w:sz w:val="28"/>
          <w:szCs w:val="28"/>
        </w:rPr>
        <w:t>the applicant</w:t>
      </w:r>
      <w:r w:rsidR="000B6FA5">
        <w:rPr>
          <w:rFonts w:ascii="Times New Roman" w:hAnsi="Times New Roman" w:cs="Times New Roman"/>
          <w:sz w:val="28"/>
          <w:szCs w:val="28"/>
        </w:rPr>
        <w:t xml:space="preserve"> under the provisions of Chapter 4 of the Legal Practice Act, </w:t>
      </w:r>
      <w:r w:rsidR="00BD0F7F">
        <w:rPr>
          <w:rFonts w:ascii="Times New Roman" w:hAnsi="Times New Roman" w:cs="Times New Roman"/>
          <w:sz w:val="28"/>
          <w:szCs w:val="28"/>
        </w:rPr>
        <w:t>N</w:t>
      </w:r>
      <w:r w:rsidR="000B6FA5">
        <w:rPr>
          <w:rFonts w:ascii="Times New Roman" w:hAnsi="Times New Roman" w:cs="Times New Roman"/>
          <w:sz w:val="28"/>
          <w:szCs w:val="28"/>
        </w:rPr>
        <w:t>o</w:t>
      </w:r>
      <w:r w:rsidR="00BD0F7F">
        <w:rPr>
          <w:rFonts w:ascii="Times New Roman" w:hAnsi="Times New Roman" w:cs="Times New Roman"/>
          <w:sz w:val="28"/>
          <w:szCs w:val="28"/>
        </w:rPr>
        <w:t>.</w:t>
      </w:r>
      <w:r w:rsidR="000B6FA5">
        <w:rPr>
          <w:rFonts w:ascii="Times New Roman" w:hAnsi="Times New Roman" w:cs="Times New Roman"/>
          <w:sz w:val="28"/>
          <w:szCs w:val="28"/>
        </w:rPr>
        <w:t xml:space="preserve"> 28 of 2014 (“LPA”) to effectively discipline legal practitioners under its regulatory authority for misconduct,</w:t>
      </w:r>
      <w:r w:rsidR="00BD0F7F">
        <w:rPr>
          <w:rStyle w:val="FootnoteReference"/>
          <w:rFonts w:ascii="Times New Roman" w:hAnsi="Times New Roman" w:cs="Times New Roman"/>
          <w:sz w:val="28"/>
          <w:szCs w:val="28"/>
        </w:rPr>
        <w:footnoteReference w:id="2"/>
      </w:r>
      <w:r w:rsidR="000B6FA5">
        <w:rPr>
          <w:rFonts w:ascii="Times New Roman" w:hAnsi="Times New Roman" w:cs="Times New Roman"/>
          <w:sz w:val="28"/>
          <w:szCs w:val="28"/>
        </w:rPr>
        <w:t xml:space="preserve"> section 44 (1) of the LPA provides that its provisions do not derogate in any way from the power of the High Court to adjudicate upon and make orders in respect of matters concerning the conduct of a legal practitioner.</w:t>
      </w:r>
      <w:r w:rsidR="00DC53D8">
        <w:rPr>
          <w:rFonts w:ascii="Times New Roman" w:hAnsi="Times New Roman" w:cs="Times New Roman"/>
          <w:sz w:val="28"/>
          <w:szCs w:val="28"/>
        </w:rPr>
        <w:t xml:space="preserve"> </w:t>
      </w:r>
      <w:r w:rsidR="005D19D1">
        <w:rPr>
          <w:rFonts w:ascii="Times New Roman" w:hAnsi="Times New Roman" w:cs="Times New Roman"/>
          <w:sz w:val="28"/>
          <w:szCs w:val="28"/>
        </w:rPr>
        <w:t>In any event the powers of the applicant do not extend to a striking off of a practitioner</w:t>
      </w:r>
      <w:r w:rsidR="00F26CAB">
        <w:rPr>
          <w:rFonts w:ascii="Times New Roman" w:hAnsi="Times New Roman" w:cs="Times New Roman"/>
          <w:sz w:val="28"/>
          <w:szCs w:val="28"/>
        </w:rPr>
        <w:t xml:space="preserve"> from the roll </w:t>
      </w:r>
      <w:r w:rsidR="005D19D1">
        <w:rPr>
          <w:rFonts w:ascii="Times New Roman" w:hAnsi="Times New Roman" w:cs="Times New Roman"/>
          <w:sz w:val="28"/>
          <w:szCs w:val="28"/>
        </w:rPr>
        <w:t>or his/her</w:t>
      </w:r>
      <w:r w:rsidR="00F26CAB">
        <w:rPr>
          <w:rFonts w:ascii="Times New Roman" w:hAnsi="Times New Roman" w:cs="Times New Roman"/>
          <w:sz w:val="28"/>
          <w:szCs w:val="28"/>
        </w:rPr>
        <w:t xml:space="preserve"> final</w:t>
      </w:r>
      <w:r w:rsidR="005D19D1">
        <w:rPr>
          <w:rFonts w:ascii="Times New Roman" w:hAnsi="Times New Roman" w:cs="Times New Roman"/>
          <w:sz w:val="28"/>
          <w:szCs w:val="28"/>
        </w:rPr>
        <w:t xml:space="preserve"> suspension from practice.</w:t>
      </w:r>
      <w:r w:rsidR="00437085">
        <w:rPr>
          <w:rFonts w:ascii="Times New Roman" w:hAnsi="Times New Roman" w:cs="Times New Roman"/>
          <w:sz w:val="28"/>
          <w:szCs w:val="28"/>
        </w:rPr>
        <w:t xml:space="preserve"> This requires an order of this court.</w:t>
      </w:r>
      <w:r w:rsidR="00291380">
        <w:rPr>
          <w:rStyle w:val="FootnoteReference"/>
          <w:rFonts w:ascii="Times New Roman" w:hAnsi="Times New Roman" w:cs="Times New Roman"/>
          <w:sz w:val="28"/>
          <w:szCs w:val="28"/>
        </w:rPr>
        <w:footnoteReference w:id="3"/>
      </w:r>
    </w:p>
    <w:p w14:paraId="6BD14131" w14:textId="77777777" w:rsidR="00DC53D8" w:rsidRDefault="00DC53D8" w:rsidP="00DC53D8">
      <w:pPr>
        <w:pStyle w:val="ListParagraph"/>
        <w:spacing w:line="360" w:lineRule="auto"/>
        <w:ind w:left="0"/>
        <w:jc w:val="both"/>
        <w:rPr>
          <w:rFonts w:ascii="Times New Roman" w:hAnsi="Times New Roman" w:cs="Times New Roman"/>
          <w:sz w:val="28"/>
          <w:szCs w:val="28"/>
        </w:rPr>
      </w:pPr>
    </w:p>
    <w:p w14:paraId="31592E2F" w14:textId="484F5CB9" w:rsidR="00187995" w:rsidRDefault="00DC53D8" w:rsidP="00DC53D8">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In proceedings of this nature the court must first</w:t>
      </w:r>
      <w:r w:rsidR="00437085">
        <w:rPr>
          <w:rFonts w:ascii="Times New Roman" w:hAnsi="Times New Roman" w:cs="Times New Roman"/>
          <w:sz w:val="28"/>
          <w:szCs w:val="28"/>
        </w:rPr>
        <w:t>ly</w:t>
      </w:r>
      <w:r>
        <w:rPr>
          <w:rFonts w:ascii="Times New Roman" w:hAnsi="Times New Roman" w:cs="Times New Roman"/>
          <w:sz w:val="28"/>
          <w:szCs w:val="28"/>
        </w:rPr>
        <w:t xml:space="preserve"> decide whether the alleged offending conduct has been established on a preponderance of probabilities, which is a factual enquiry.  Second</w:t>
      </w:r>
      <w:r w:rsidR="00437085">
        <w:rPr>
          <w:rFonts w:ascii="Times New Roman" w:hAnsi="Times New Roman" w:cs="Times New Roman"/>
          <w:sz w:val="28"/>
          <w:szCs w:val="28"/>
        </w:rPr>
        <w:t>ly</w:t>
      </w:r>
      <w:r>
        <w:rPr>
          <w:rFonts w:ascii="Times New Roman" w:hAnsi="Times New Roman" w:cs="Times New Roman"/>
          <w:sz w:val="28"/>
          <w:szCs w:val="28"/>
        </w:rPr>
        <w:t xml:space="preserve">, the court must consider </w:t>
      </w:r>
      <w:r w:rsidR="00F26CAB">
        <w:rPr>
          <w:rFonts w:ascii="Times New Roman" w:hAnsi="Times New Roman" w:cs="Times New Roman"/>
          <w:sz w:val="28"/>
          <w:szCs w:val="28"/>
        </w:rPr>
        <w:t>(if the ul</w:t>
      </w:r>
      <w:r w:rsidR="00F02AC8">
        <w:rPr>
          <w:rFonts w:ascii="Times New Roman" w:hAnsi="Times New Roman" w:cs="Times New Roman"/>
          <w:sz w:val="28"/>
          <w:szCs w:val="28"/>
        </w:rPr>
        <w:t xml:space="preserve">timate object is to strike the practitioners’ name from the roll or </w:t>
      </w:r>
      <w:r w:rsidR="007424A0">
        <w:rPr>
          <w:rFonts w:ascii="Times New Roman" w:hAnsi="Times New Roman" w:cs="Times New Roman"/>
          <w:sz w:val="28"/>
          <w:szCs w:val="28"/>
        </w:rPr>
        <w:t xml:space="preserve">to </w:t>
      </w:r>
      <w:r w:rsidR="00F02AC8">
        <w:rPr>
          <w:rFonts w:ascii="Times New Roman" w:hAnsi="Times New Roman" w:cs="Times New Roman"/>
          <w:sz w:val="28"/>
          <w:szCs w:val="28"/>
        </w:rPr>
        <w:t>suspend him/her from practic</w:t>
      </w:r>
      <w:r w:rsidR="007424A0">
        <w:rPr>
          <w:rFonts w:ascii="Times New Roman" w:hAnsi="Times New Roman" w:cs="Times New Roman"/>
          <w:sz w:val="28"/>
          <w:szCs w:val="28"/>
        </w:rPr>
        <w:t>e</w:t>
      </w:r>
      <w:r w:rsidR="00F02AC8">
        <w:rPr>
          <w:rFonts w:ascii="Times New Roman" w:hAnsi="Times New Roman" w:cs="Times New Roman"/>
          <w:sz w:val="28"/>
          <w:szCs w:val="28"/>
        </w:rPr>
        <w:t xml:space="preserve">) </w:t>
      </w:r>
      <w:r>
        <w:rPr>
          <w:rFonts w:ascii="Times New Roman" w:hAnsi="Times New Roman" w:cs="Times New Roman"/>
          <w:sz w:val="28"/>
          <w:szCs w:val="28"/>
        </w:rPr>
        <w:t xml:space="preserve">whether the person concerned ‘in the discretion of the court’ is not a fit and proper person to continue to practice.  This involves a weighing-up of the conduct complained of against the conduct expected of an attorney and, to this extent, is a value judgment. </w:t>
      </w:r>
      <w:r w:rsidR="007424A0">
        <w:rPr>
          <w:rFonts w:ascii="Times New Roman" w:hAnsi="Times New Roman" w:cs="Times New Roman"/>
          <w:sz w:val="28"/>
          <w:szCs w:val="28"/>
        </w:rPr>
        <w:t xml:space="preserve"> T</w:t>
      </w:r>
      <w:r>
        <w:rPr>
          <w:rFonts w:ascii="Times New Roman" w:hAnsi="Times New Roman" w:cs="Times New Roman"/>
          <w:sz w:val="28"/>
          <w:szCs w:val="28"/>
        </w:rPr>
        <w:t>hird</w:t>
      </w:r>
      <w:r w:rsidR="00437085">
        <w:rPr>
          <w:rFonts w:ascii="Times New Roman" w:hAnsi="Times New Roman" w:cs="Times New Roman"/>
          <w:sz w:val="28"/>
          <w:szCs w:val="28"/>
        </w:rPr>
        <w:t>ly</w:t>
      </w:r>
      <w:r>
        <w:rPr>
          <w:rFonts w:ascii="Times New Roman" w:hAnsi="Times New Roman" w:cs="Times New Roman"/>
          <w:sz w:val="28"/>
          <w:szCs w:val="28"/>
        </w:rPr>
        <w:t xml:space="preserve">, the court must </w:t>
      </w:r>
      <w:r w:rsidR="00437085">
        <w:rPr>
          <w:rFonts w:ascii="Times New Roman" w:hAnsi="Times New Roman" w:cs="Times New Roman"/>
          <w:sz w:val="28"/>
          <w:szCs w:val="28"/>
        </w:rPr>
        <w:t>e</w:t>
      </w:r>
      <w:r>
        <w:rPr>
          <w:rFonts w:ascii="Times New Roman" w:hAnsi="Times New Roman" w:cs="Times New Roman"/>
          <w:sz w:val="28"/>
          <w:szCs w:val="28"/>
        </w:rPr>
        <w:t xml:space="preserve">nquire whether in all the circumstances </w:t>
      </w:r>
      <w:r>
        <w:rPr>
          <w:rFonts w:ascii="Times New Roman" w:hAnsi="Times New Roman" w:cs="Times New Roman"/>
          <w:sz w:val="28"/>
          <w:szCs w:val="28"/>
        </w:rPr>
        <w:lastRenderedPageBreak/>
        <w:t>the attorney is to be removed from the roll of attorneys or whether an order of suspension from practice would suffice.”</w:t>
      </w:r>
      <w:r>
        <w:rPr>
          <w:rStyle w:val="FootnoteReference"/>
          <w:rFonts w:ascii="Times New Roman" w:hAnsi="Times New Roman" w:cs="Times New Roman"/>
          <w:sz w:val="28"/>
          <w:szCs w:val="28"/>
        </w:rPr>
        <w:footnoteReference w:id="4"/>
      </w:r>
    </w:p>
    <w:p w14:paraId="1BA04E5B" w14:textId="10C05BA1" w:rsidR="00F02AC8" w:rsidRDefault="00F02AC8" w:rsidP="00F02AC8">
      <w:pPr>
        <w:pStyle w:val="ListParagraph"/>
        <w:rPr>
          <w:rFonts w:ascii="Times New Roman" w:hAnsi="Times New Roman" w:cs="Times New Roman"/>
          <w:sz w:val="28"/>
          <w:szCs w:val="28"/>
        </w:rPr>
      </w:pPr>
    </w:p>
    <w:p w14:paraId="66723692" w14:textId="797855AF" w:rsidR="003563DD" w:rsidRDefault="003563DD" w:rsidP="003563DD">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enrolment of a practitioner on the roll in the first place assumes the premise that he is fit and proper to be enrolled and that he </w:t>
      </w:r>
      <w:r w:rsidR="002604D9">
        <w:rPr>
          <w:rFonts w:ascii="Times New Roman" w:hAnsi="Times New Roman" w:cs="Times New Roman"/>
          <w:sz w:val="28"/>
          <w:szCs w:val="28"/>
        </w:rPr>
        <w:t xml:space="preserve">will continue to </w:t>
      </w:r>
      <w:r>
        <w:rPr>
          <w:rFonts w:ascii="Times New Roman" w:hAnsi="Times New Roman" w:cs="Times New Roman"/>
          <w:sz w:val="28"/>
          <w:szCs w:val="28"/>
        </w:rPr>
        <w:t>maintain such a standard of conduct</w:t>
      </w:r>
      <w:r w:rsidR="005D12C2">
        <w:rPr>
          <w:rFonts w:ascii="Times New Roman" w:hAnsi="Times New Roman" w:cs="Times New Roman"/>
          <w:sz w:val="28"/>
          <w:szCs w:val="28"/>
        </w:rPr>
        <w:t>.  A</w:t>
      </w:r>
      <w:r w:rsidR="002604D9">
        <w:rPr>
          <w:rFonts w:ascii="Times New Roman" w:hAnsi="Times New Roman" w:cs="Times New Roman"/>
          <w:sz w:val="28"/>
          <w:szCs w:val="28"/>
        </w:rPr>
        <w:t xml:space="preserve"> legal practitioner serves at the pleasure of the court and the statutory dispensation </w:t>
      </w:r>
      <w:r w:rsidR="005D12C2">
        <w:rPr>
          <w:rFonts w:ascii="Times New Roman" w:hAnsi="Times New Roman" w:cs="Times New Roman"/>
          <w:sz w:val="28"/>
          <w:szCs w:val="28"/>
        </w:rPr>
        <w:t xml:space="preserve">under the LPA </w:t>
      </w:r>
      <w:r w:rsidR="002604D9">
        <w:rPr>
          <w:rFonts w:ascii="Times New Roman" w:hAnsi="Times New Roman" w:cs="Times New Roman"/>
          <w:sz w:val="28"/>
          <w:szCs w:val="28"/>
        </w:rPr>
        <w:t xml:space="preserve">does not deprive it of exercising its </w:t>
      </w:r>
      <w:r w:rsidR="005D12C2">
        <w:rPr>
          <w:rFonts w:ascii="Times New Roman" w:hAnsi="Times New Roman" w:cs="Times New Roman"/>
          <w:sz w:val="28"/>
          <w:szCs w:val="28"/>
        </w:rPr>
        <w:t>common law</w:t>
      </w:r>
      <w:r w:rsidR="002604D9">
        <w:rPr>
          <w:rFonts w:ascii="Times New Roman" w:hAnsi="Times New Roman" w:cs="Times New Roman"/>
          <w:sz w:val="28"/>
          <w:szCs w:val="28"/>
        </w:rPr>
        <w:t xml:space="preserve"> powers over legal practitioners</w:t>
      </w:r>
      <w:r w:rsidR="005D12C2">
        <w:rPr>
          <w:rFonts w:ascii="Times New Roman" w:hAnsi="Times New Roman" w:cs="Times New Roman"/>
          <w:sz w:val="28"/>
          <w:szCs w:val="28"/>
        </w:rPr>
        <w:t xml:space="preserve">.  These powers are </w:t>
      </w:r>
      <w:r w:rsidR="002604D9">
        <w:rPr>
          <w:rFonts w:ascii="Times New Roman" w:hAnsi="Times New Roman" w:cs="Times New Roman"/>
          <w:sz w:val="28"/>
          <w:szCs w:val="28"/>
        </w:rPr>
        <w:t xml:space="preserve">essential for the maintenance of professional standards of conduct of </w:t>
      </w:r>
      <w:r w:rsidR="005D12C2">
        <w:rPr>
          <w:rFonts w:ascii="Times New Roman" w:hAnsi="Times New Roman" w:cs="Times New Roman"/>
          <w:sz w:val="28"/>
          <w:szCs w:val="28"/>
        </w:rPr>
        <w:t>all legal practices</w:t>
      </w:r>
      <w:r w:rsidR="002604D9">
        <w:rPr>
          <w:rFonts w:ascii="Times New Roman" w:hAnsi="Times New Roman" w:cs="Times New Roman"/>
          <w:sz w:val="28"/>
          <w:szCs w:val="28"/>
        </w:rPr>
        <w:t>.</w:t>
      </w:r>
      <w:r w:rsidR="002604D9">
        <w:rPr>
          <w:rStyle w:val="FootnoteReference"/>
          <w:rFonts w:ascii="Times New Roman" w:hAnsi="Times New Roman" w:cs="Times New Roman"/>
          <w:sz w:val="28"/>
          <w:szCs w:val="28"/>
        </w:rPr>
        <w:footnoteReference w:id="5"/>
      </w:r>
    </w:p>
    <w:p w14:paraId="3E87E271" w14:textId="77777777" w:rsidR="003563DD" w:rsidRDefault="003563DD" w:rsidP="00F02AC8">
      <w:pPr>
        <w:pStyle w:val="ListParagraph"/>
        <w:rPr>
          <w:rFonts w:ascii="Times New Roman" w:hAnsi="Times New Roman" w:cs="Times New Roman"/>
          <w:sz w:val="28"/>
          <w:szCs w:val="28"/>
        </w:rPr>
      </w:pPr>
    </w:p>
    <w:p w14:paraId="5994767B" w14:textId="7281B63A" w:rsidR="00187995" w:rsidRDefault="00FB6691" w:rsidP="0033207D">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The applicant is the successor in title to the erstwhile Cape Law Society</w:t>
      </w:r>
      <w:r w:rsidR="007E6BAE" w:rsidRPr="00187995">
        <w:rPr>
          <w:rFonts w:ascii="Times New Roman" w:hAnsi="Times New Roman" w:cs="Times New Roman"/>
          <w:sz w:val="28"/>
          <w:szCs w:val="28"/>
        </w:rPr>
        <w:t xml:space="preserve"> (“CLS”)</w:t>
      </w:r>
      <w:r w:rsidRPr="00187995">
        <w:rPr>
          <w:rFonts w:ascii="Times New Roman" w:hAnsi="Times New Roman" w:cs="Times New Roman"/>
          <w:sz w:val="28"/>
          <w:szCs w:val="28"/>
        </w:rPr>
        <w:t xml:space="preserve"> which served as the statutory regulatory body for attorneys practicing in the Eastern Cape at the time of the </w:t>
      </w:r>
      <w:r w:rsidR="007E6BAE" w:rsidRPr="00187995">
        <w:rPr>
          <w:rFonts w:ascii="Times New Roman" w:hAnsi="Times New Roman" w:cs="Times New Roman"/>
          <w:sz w:val="28"/>
          <w:szCs w:val="28"/>
        </w:rPr>
        <w:t>c</w:t>
      </w:r>
      <w:r w:rsidRPr="00187995">
        <w:rPr>
          <w:rFonts w:ascii="Times New Roman" w:hAnsi="Times New Roman" w:cs="Times New Roman"/>
          <w:sz w:val="28"/>
          <w:szCs w:val="28"/>
        </w:rPr>
        <w:t xml:space="preserve">ommission of the </w:t>
      </w:r>
      <w:r w:rsidR="00291380">
        <w:rPr>
          <w:rFonts w:ascii="Times New Roman" w:hAnsi="Times New Roman" w:cs="Times New Roman"/>
          <w:sz w:val="28"/>
          <w:szCs w:val="28"/>
        </w:rPr>
        <w:t xml:space="preserve">claimed </w:t>
      </w:r>
      <w:r w:rsidR="00132674">
        <w:rPr>
          <w:rFonts w:ascii="Times New Roman" w:hAnsi="Times New Roman" w:cs="Times New Roman"/>
          <w:sz w:val="28"/>
          <w:szCs w:val="28"/>
        </w:rPr>
        <w:t xml:space="preserve">offending </w:t>
      </w:r>
      <w:r w:rsidRPr="00187995">
        <w:rPr>
          <w:rFonts w:ascii="Times New Roman" w:hAnsi="Times New Roman" w:cs="Times New Roman"/>
          <w:sz w:val="28"/>
          <w:szCs w:val="28"/>
        </w:rPr>
        <w:t>conduct</w:t>
      </w:r>
      <w:r w:rsidR="00DB4653" w:rsidRPr="00187995">
        <w:rPr>
          <w:rFonts w:ascii="Times New Roman" w:hAnsi="Times New Roman" w:cs="Times New Roman"/>
          <w:sz w:val="28"/>
          <w:szCs w:val="28"/>
        </w:rPr>
        <w:t xml:space="preserve"> </w:t>
      </w:r>
      <w:r w:rsidR="00291380">
        <w:rPr>
          <w:rFonts w:ascii="Times New Roman" w:hAnsi="Times New Roman" w:cs="Times New Roman"/>
          <w:sz w:val="28"/>
          <w:szCs w:val="28"/>
        </w:rPr>
        <w:t>in</w:t>
      </w:r>
      <w:r w:rsidR="00DB4653" w:rsidRPr="00187995">
        <w:rPr>
          <w:rFonts w:ascii="Times New Roman" w:hAnsi="Times New Roman" w:cs="Times New Roman"/>
          <w:sz w:val="28"/>
          <w:szCs w:val="28"/>
        </w:rPr>
        <w:t xml:space="preserve"> Ma</w:t>
      </w:r>
      <w:r w:rsidR="00132674">
        <w:rPr>
          <w:rFonts w:ascii="Times New Roman" w:hAnsi="Times New Roman" w:cs="Times New Roman"/>
          <w:sz w:val="28"/>
          <w:szCs w:val="28"/>
        </w:rPr>
        <w:t>y</w:t>
      </w:r>
      <w:r w:rsidR="00DB4653" w:rsidRPr="00187995">
        <w:rPr>
          <w:rFonts w:ascii="Times New Roman" w:hAnsi="Times New Roman" w:cs="Times New Roman"/>
          <w:sz w:val="28"/>
          <w:szCs w:val="28"/>
        </w:rPr>
        <w:t xml:space="preserve"> 2014.</w:t>
      </w:r>
      <w:r w:rsidR="00DC53D8">
        <w:rPr>
          <w:rStyle w:val="FootnoteReference"/>
          <w:rFonts w:ascii="Times New Roman" w:hAnsi="Times New Roman" w:cs="Times New Roman"/>
          <w:sz w:val="28"/>
          <w:szCs w:val="28"/>
        </w:rPr>
        <w:footnoteReference w:id="6"/>
      </w:r>
    </w:p>
    <w:p w14:paraId="351D1130" w14:textId="77777777" w:rsidR="0033207D" w:rsidRPr="0033207D" w:rsidRDefault="0033207D" w:rsidP="0033207D">
      <w:pPr>
        <w:pStyle w:val="ListParagraph"/>
        <w:spacing w:line="360" w:lineRule="auto"/>
        <w:ind w:left="0"/>
        <w:jc w:val="both"/>
        <w:rPr>
          <w:rFonts w:ascii="Times New Roman" w:hAnsi="Times New Roman" w:cs="Times New Roman"/>
          <w:sz w:val="28"/>
          <w:szCs w:val="28"/>
        </w:rPr>
      </w:pPr>
    </w:p>
    <w:p w14:paraId="2F922E77" w14:textId="15298C28" w:rsidR="00187995" w:rsidRDefault="00FB6691"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The respondent is an</w:t>
      </w:r>
      <w:r w:rsidR="00751BDF">
        <w:rPr>
          <w:rFonts w:ascii="Times New Roman" w:hAnsi="Times New Roman" w:cs="Times New Roman"/>
          <w:sz w:val="28"/>
          <w:szCs w:val="28"/>
        </w:rPr>
        <w:t xml:space="preserve"> enrolled </w:t>
      </w:r>
      <w:r w:rsidRPr="00187995">
        <w:rPr>
          <w:rFonts w:ascii="Times New Roman" w:hAnsi="Times New Roman" w:cs="Times New Roman"/>
          <w:sz w:val="28"/>
          <w:szCs w:val="28"/>
        </w:rPr>
        <w:t>attorney, notary</w:t>
      </w:r>
      <w:r w:rsidR="00132674">
        <w:rPr>
          <w:rFonts w:ascii="Times New Roman" w:hAnsi="Times New Roman" w:cs="Times New Roman"/>
          <w:sz w:val="28"/>
          <w:szCs w:val="28"/>
        </w:rPr>
        <w:t xml:space="preserve"> public</w:t>
      </w:r>
      <w:r w:rsidRPr="00187995">
        <w:rPr>
          <w:rFonts w:ascii="Times New Roman" w:hAnsi="Times New Roman" w:cs="Times New Roman"/>
          <w:sz w:val="28"/>
          <w:szCs w:val="28"/>
        </w:rPr>
        <w:t>, and conveyancer</w:t>
      </w:r>
      <w:r w:rsidR="00132674">
        <w:rPr>
          <w:rFonts w:ascii="Times New Roman" w:hAnsi="Times New Roman" w:cs="Times New Roman"/>
          <w:sz w:val="28"/>
          <w:szCs w:val="28"/>
        </w:rPr>
        <w:t xml:space="preserve"> with the applicant and</w:t>
      </w:r>
      <w:r w:rsidRPr="00187995">
        <w:rPr>
          <w:rFonts w:ascii="Times New Roman" w:hAnsi="Times New Roman" w:cs="Times New Roman"/>
          <w:sz w:val="28"/>
          <w:szCs w:val="28"/>
        </w:rPr>
        <w:t xml:space="preserve"> of this court current</w:t>
      </w:r>
      <w:r w:rsidR="00187995">
        <w:rPr>
          <w:rFonts w:ascii="Times New Roman" w:hAnsi="Times New Roman" w:cs="Times New Roman"/>
          <w:sz w:val="28"/>
          <w:szCs w:val="28"/>
        </w:rPr>
        <w:t xml:space="preserve">ly practicing </w:t>
      </w:r>
      <w:r w:rsidR="00132674">
        <w:rPr>
          <w:rFonts w:ascii="Times New Roman" w:hAnsi="Times New Roman" w:cs="Times New Roman"/>
          <w:sz w:val="28"/>
          <w:szCs w:val="28"/>
        </w:rPr>
        <w:t xml:space="preserve">as a director of Van Deventer &amp; Van Deventer Inc., a legal practice in Sandton, </w:t>
      </w:r>
      <w:r w:rsidR="00DF30FC">
        <w:rPr>
          <w:rFonts w:ascii="Times New Roman" w:hAnsi="Times New Roman" w:cs="Times New Roman"/>
          <w:sz w:val="28"/>
          <w:szCs w:val="28"/>
        </w:rPr>
        <w:t>Gauteng</w:t>
      </w:r>
      <w:r w:rsidR="00187995">
        <w:rPr>
          <w:rFonts w:ascii="Times New Roman" w:hAnsi="Times New Roman" w:cs="Times New Roman"/>
          <w:sz w:val="28"/>
          <w:szCs w:val="28"/>
        </w:rPr>
        <w:t>. H</w:t>
      </w:r>
      <w:r w:rsidRPr="00187995">
        <w:rPr>
          <w:rFonts w:ascii="Times New Roman" w:hAnsi="Times New Roman" w:cs="Times New Roman"/>
          <w:sz w:val="28"/>
          <w:szCs w:val="28"/>
        </w:rPr>
        <w:t>e was admitted in all three capacities in 2008. It is common cause that except for the complain</w:t>
      </w:r>
      <w:r w:rsidR="007E6BAE" w:rsidRPr="00187995">
        <w:rPr>
          <w:rFonts w:ascii="Times New Roman" w:hAnsi="Times New Roman" w:cs="Times New Roman"/>
          <w:sz w:val="28"/>
          <w:szCs w:val="28"/>
        </w:rPr>
        <w:t>ed of</w:t>
      </w:r>
      <w:r w:rsidRPr="00187995">
        <w:rPr>
          <w:rFonts w:ascii="Times New Roman" w:hAnsi="Times New Roman" w:cs="Times New Roman"/>
          <w:sz w:val="28"/>
          <w:szCs w:val="28"/>
        </w:rPr>
        <w:t xml:space="preserve"> conduct at the </w:t>
      </w:r>
      <w:r w:rsidR="00CF66A6" w:rsidRPr="00187995">
        <w:rPr>
          <w:rFonts w:ascii="Times New Roman" w:hAnsi="Times New Roman" w:cs="Times New Roman"/>
          <w:sz w:val="28"/>
          <w:szCs w:val="28"/>
        </w:rPr>
        <w:t>core</w:t>
      </w:r>
      <w:r w:rsidRPr="00187995">
        <w:rPr>
          <w:rFonts w:ascii="Times New Roman" w:hAnsi="Times New Roman" w:cs="Times New Roman"/>
          <w:sz w:val="28"/>
          <w:szCs w:val="28"/>
        </w:rPr>
        <w:t xml:space="preserve"> of these </w:t>
      </w:r>
      <w:r w:rsidR="00DB4653" w:rsidRPr="00187995">
        <w:rPr>
          <w:rFonts w:ascii="Times New Roman" w:hAnsi="Times New Roman" w:cs="Times New Roman"/>
          <w:sz w:val="28"/>
          <w:szCs w:val="28"/>
        </w:rPr>
        <w:t>proceedings, and</w:t>
      </w:r>
      <w:r w:rsidRPr="00187995">
        <w:rPr>
          <w:rFonts w:ascii="Times New Roman" w:hAnsi="Times New Roman" w:cs="Times New Roman"/>
          <w:sz w:val="28"/>
          <w:szCs w:val="28"/>
        </w:rPr>
        <w:t xml:space="preserve"> one or two frivolous complaints </w:t>
      </w:r>
      <w:r w:rsidR="00DB4653" w:rsidRPr="00187995">
        <w:rPr>
          <w:rFonts w:ascii="Times New Roman" w:hAnsi="Times New Roman" w:cs="Times New Roman"/>
          <w:sz w:val="28"/>
          <w:szCs w:val="28"/>
        </w:rPr>
        <w:t xml:space="preserve">against him over the years </w:t>
      </w:r>
      <w:r w:rsidR="00132674">
        <w:rPr>
          <w:rFonts w:ascii="Times New Roman" w:hAnsi="Times New Roman" w:cs="Times New Roman"/>
          <w:sz w:val="28"/>
          <w:szCs w:val="28"/>
        </w:rPr>
        <w:t>concerning</w:t>
      </w:r>
      <w:r w:rsidRPr="00187995">
        <w:rPr>
          <w:rFonts w:ascii="Times New Roman" w:hAnsi="Times New Roman" w:cs="Times New Roman"/>
          <w:sz w:val="28"/>
          <w:szCs w:val="28"/>
        </w:rPr>
        <w:t xml:space="preserve"> issues that </w:t>
      </w:r>
      <w:r w:rsidR="00D26A11" w:rsidRPr="00187995">
        <w:rPr>
          <w:rFonts w:ascii="Times New Roman" w:hAnsi="Times New Roman" w:cs="Times New Roman"/>
          <w:sz w:val="28"/>
          <w:szCs w:val="28"/>
        </w:rPr>
        <w:t xml:space="preserve">he avers </w:t>
      </w:r>
      <w:r w:rsidRPr="00187995">
        <w:rPr>
          <w:rFonts w:ascii="Times New Roman" w:hAnsi="Times New Roman" w:cs="Times New Roman"/>
          <w:sz w:val="28"/>
          <w:szCs w:val="28"/>
        </w:rPr>
        <w:t xml:space="preserve">were not within his control, he has an </w:t>
      </w:r>
      <w:r w:rsidR="00187995">
        <w:rPr>
          <w:rFonts w:ascii="Times New Roman" w:hAnsi="Times New Roman" w:cs="Times New Roman"/>
          <w:sz w:val="28"/>
          <w:szCs w:val="28"/>
        </w:rPr>
        <w:t>unblemished professional record.</w:t>
      </w:r>
    </w:p>
    <w:p w14:paraId="160D66A5" w14:textId="77777777" w:rsidR="00187995" w:rsidRPr="00187995" w:rsidRDefault="00187995" w:rsidP="00187995">
      <w:pPr>
        <w:pStyle w:val="ListParagraph"/>
        <w:rPr>
          <w:rFonts w:ascii="Times New Roman" w:hAnsi="Times New Roman" w:cs="Times New Roman"/>
          <w:sz w:val="28"/>
          <w:szCs w:val="28"/>
        </w:rPr>
      </w:pPr>
    </w:p>
    <w:p w14:paraId="4892B009" w14:textId="137ECF85" w:rsidR="005D19D1" w:rsidRDefault="00FB6691"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lastRenderedPageBreak/>
        <w:t xml:space="preserve">On 9 March 2016 the </w:t>
      </w:r>
      <w:r w:rsidR="00DF30FC">
        <w:rPr>
          <w:rFonts w:ascii="Times New Roman" w:hAnsi="Times New Roman" w:cs="Times New Roman"/>
          <w:sz w:val="28"/>
          <w:szCs w:val="28"/>
        </w:rPr>
        <w:t>CLS</w:t>
      </w:r>
      <w:r w:rsidRPr="00187995">
        <w:rPr>
          <w:rFonts w:ascii="Times New Roman" w:hAnsi="Times New Roman" w:cs="Times New Roman"/>
          <w:sz w:val="28"/>
          <w:szCs w:val="28"/>
        </w:rPr>
        <w:t xml:space="preserve"> received a complaint </w:t>
      </w:r>
      <w:r w:rsidR="00D26A11" w:rsidRPr="00187995">
        <w:rPr>
          <w:rFonts w:ascii="Times New Roman" w:hAnsi="Times New Roman" w:cs="Times New Roman"/>
          <w:sz w:val="28"/>
          <w:szCs w:val="28"/>
        </w:rPr>
        <w:t xml:space="preserve">directed </w:t>
      </w:r>
      <w:r w:rsidRPr="00187995">
        <w:rPr>
          <w:rFonts w:ascii="Times New Roman" w:hAnsi="Times New Roman" w:cs="Times New Roman"/>
          <w:sz w:val="28"/>
          <w:szCs w:val="28"/>
        </w:rPr>
        <w:t>against him and a</w:t>
      </w:r>
      <w:r w:rsidR="00132674">
        <w:rPr>
          <w:rFonts w:ascii="Times New Roman" w:hAnsi="Times New Roman" w:cs="Times New Roman"/>
          <w:sz w:val="28"/>
          <w:szCs w:val="28"/>
        </w:rPr>
        <w:t>n associate</w:t>
      </w:r>
      <w:r w:rsidR="0033207D">
        <w:rPr>
          <w:rStyle w:val="FootnoteReference"/>
          <w:rFonts w:ascii="Times New Roman" w:hAnsi="Times New Roman" w:cs="Times New Roman"/>
          <w:sz w:val="28"/>
          <w:szCs w:val="28"/>
        </w:rPr>
        <w:footnoteReference w:id="7"/>
      </w:r>
      <w:r w:rsidR="00132674">
        <w:rPr>
          <w:rFonts w:ascii="Times New Roman" w:hAnsi="Times New Roman" w:cs="Times New Roman"/>
          <w:sz w:val="28"/>
          <w:szCs w:val="28"/>
        </w:rPr>
        <w:t xml:space="preserve"> </w:t>
      </w:r>
      <w:r w:rsidRPr="00187995">
        <w:rPr>
          <w:rFonts w:ascii="Times New Roman" w:hAnsi="Times New Roman" w:cs="Times New Roman"/>
          <w:sz w:val="28"/>
          <w:szCs w:val="28"/>
        </w:rPr>
        <w:t>at G</w:t>
      </w:r>
      <w:r w:rsidR="00EA3459" w:rsidRPr="00187995">
        <w:rPr>
          <w:rFonts w:ascii="Times New Roman" w:hAnsi="Times New Roman" w:cs="Times New Roman"/>
          <w:sz w:val="28"/>
          <w:szCs w:val="28"/>
        </w:rPr>
        <w:t>r</w:t>
      </w:r>
      <w:r w:rsidRPr="00187995">
        <w:rPr>
          <w:rFonts w:ascii="Times New Roman" w:hAnsi="Times New Roman" w:cs="Times New Roman"/>
          <w:sz w:val="28"/>
          <w:szCs w:val="28"/>
        </w:rPr>
        <w:t xml:space="preserve">eyvensteins Incorporated where </w:t>
      </w:r>
      <w:r w:rsidR="00132674">
        <w:rPr>
          <w:rFonts w:ascii="Times New Roman" w:hAnsi="Times New Roman" w:cs="Times New Roman"/>
          <w:sz w:val="28"/>
          <w:szCs w:val="28"/>
        </w:rPr>
        <w:t>he was engaged</w:t>
      </w:r>
      <w:r w:rsidR="00751BDF">
        <w:rPr>
          <w:rFonts w:ascii="Times New Roman" w:hAnsi="Times New Roman" w:cs="Times New Roman"/>
          <w:sz w:val="28"/>
          <w:szCs w:val="28"/>
        </w:rPr>
        <w:t xml:space="preserve"> </w:t>
      </w:r>
      <w:r w:rsidR="00DF30FC">
        <w:rPr>
          <w:rFonts w:ascii="Times New Roman" w:hAnsi="Times New Roman" w:cs="Times New Roman"/>
          <w:sz w:val="28"/>
          <w:szCs w:val="28"/>
        </w:rPr>
        <w:t xml:space="preserve">as a practitioner </w:t>
      </w:r>
      <w:r w:rsidR="00751BDF">
        <w:rPr>
          <w:rFonts w:ascii="Times New Roman" w:hAnsi="Times New Roman" w:cs="Times New Roman"/>
          <w:sz w:val="28"/>
          <w:szCs w:val="28"/>
        </w:rPr>
        <w:t>at the time</w:t>
      </w:r>
      <w:r w:rsidR="00EA3459" w:rsidRPr="00187995">
        <w:rPr>
          <w:rFonts w:ascii="Times New Roman" w:hAnsi="Times New Roman" w:cs="Times New Roman"/>
          <w:sz w:val="28"/>
          <w:szCs w:val="28"/>
        </w:rPr>
        <w:t>.</w:t>
      </w:r>
    </w:p>
    <w:p w14:paraId="2B01D06C" w14:textId="77777777" w:rsidR="00F02AC8" w:rsidRPr="00F02AC8" w:rsidRDefault="00F02AC8" w:rsidP="00F02AC8">
      <w:pPr>
        <w:pStyle w:val="ListParagraph"/>
        <w:rPr>
          <w:rFonts w:ascii="Times New Roman" w:hAnsi="Times New Roman" w:cs="Times New Roman"/>
          <w:sz w:val="28"/>
          <w:szCs w:val="28"/>
        </w:rPr>
      </w:pPr>
    </w:p>
    <w:p w14:paraId="02EBCC1B" w14:textId="5A222AB7" w:rsidR="00F02AC8" w:rsidRDefault="00F02AC8"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Under the Rules of Attorney</w:t>
      </w:r>
      <w:r w:rsidR="003563DD">
        <w:rPr>
          <w:rFonts w:ascii="Times New Roman" w:hAnsi="Times New Roman" w:cs="Times New Roman"/>
          <w:sz w:val="28"/>
          <w:szCs w:val="28"/>
        </w:rPr>
        <w:t>s’</w:t>
      </w:r>
      <w:r>
        <w:rPr>
          <w:rFonts w:ascii="Times New Roman" w:hAnsi="Times New Roman" w:cs="Times New Roman"/>
          <w:sz w:val="28"/>
          <w:szCs w:val="28"/>
        </w:rPr>
        <w:t xml:space="preserve"> Profession</w:t>
      </w:r>
      <w:r w:rsidR="00291F97">
        <w:rPr>
          <w:rFonts w:ascii="Times New Roman" w:hAnsi="Times New Roman" w:cs="Times New Roman"/>
          <w:sz w:val="28"/>
          <w:szCs w:val="28"/>
        </w:rPr>
        <w:t>,</w:t>
      </w:r>
      <w:r w:rsidR="003563DD">
        <w:rPr>
          <w:rStyle w:val="FootnoteReference"/>
          <w:rFonts w:ascii="Times New Roman" w:hAnsi="Times New Roman" w:cs="Times New Roman"/>
          <w:sz w:val="28"/>
          <w:szCs w:val="28"/>
        </w:rPr>
        <w:footnoteReference w:id="8"/>
      </w:r>
      <w:r w:rsidR="00291F97">
        <w:rPr>
          <w:rFonts w:ascii="Times New Roman" w:hAnsi="Times New Roman" w:cs="Times New Roman"/>
          <w:sz w:val="28"/>
          <w:szCs w:val="28"/>
        </w:rPr>
        <w:t xml:space="preserve"> the CLS would have followed the unique provisions provided for members under its disciplinary jurisdiction</w:t>
      </w:r>
      <w:r w:rsidR="003563DD">
        <w:rPr>
          <w:rFonts w:ascii="Times New Roman" w:hAnsi="Times New Roman" w:cs="Times New Roman"/>
          <w:sz w:val="28"/>
          <w:szCs w:val="28"/>
        </w:rPr>
        <w:t xml:space="preserve"> to address the respondent’s claimed misconduct</w:t>
      </w:r>
      <w:r w:rsidR="00291F97">
        <w:rPr>
          <w:rFonts w:ascii="Times New Roman" w:hAnsi="Times New Roman" w:cs="Times New Roman"/>
          <w:sz w:val="28"/>
          <w:szCs w:val="28"/>
        </w:rPr>
        <w:t xml:space="preserve"> following receipt of </w:t>
      </w:r>
      <w:r w:rsidR="003563DD">
        <w:rPr>
          <w:rFonts w:ascii="Times New Roman" w:hAnsi="Times New Roman" w:cs="Times New Roman"/>
          <w:sz w:val="28"/>
          <w:szCs w:val="28"/>
        </w:rPr>
        <w:t>an official</w:t>
      </w:r>
      <w:r w:rsidR="00291F97">
        <w:rPr>
          <w:rFonts w:ascii="Times New Roman" w:hAnsi="Times New Roman" w:cs="Times New Roman"/>
          <w:sz w:val="28"/>
          <w:szCs w:val="28"/>
        </w:rPr>
        <w:t xml:space="preserve"> complaint</w:t>
      </w:r>
      <w:r w:rsidR="003563DD">
        <w:rPr>
          <w:rFonts w:ascii="Times New Roman" w:hAnsi="Times New Roman" w:cs="Times New Roman"/>
          <w:sz w:val="28"/>
          <w:szCs w:val="28"/>
        </w:rPr>
        <w:t xml:space="preserve"> form which in the present case reads as follows</w:t>
      </w:r>
      <w:r w:rsidR="00291F97">
        <w:rPr>
          <w:rFonts w:ascii="Times New Roman" w:hAnsi="Times New Roman" w:cs="Times New Roman"/>
          <w:sz w:val="28"/>
          <w:szCs w:val="28"/>
        </w:rPr>
        <w:t xml:space="preserve"> under the rubric of “concise summary of (the complainant’s) complain</w:t>
      </w:r>
      <w:r w:rsidR="00040501">
        <w:rPr>
          <w:rFonts w:ascii="Times New Roman" w:hAnsi="Times New Roman" w:cs="Times New Roman"/>
          <w:sz w:val="28"/>
          <w:szCs w:val="28"/>
        </w:rPr>
        <w:t>t”:</w:t>
      </w:r>
    </w:p>
    <w:p w14:paraId="1D0B1A4B" w14:textId="77777777" w:rsidR="00291F97" w:rsidRPr="00291F97" w:rsidRDefault="00291F97" w:rsidP="00291F97">
      <w:pPr>
        <w:pStyle w:val="ListParagraph"/>
        <w:rPr>
          <w:rFonts w:ascii="Times New Roman" w:hAnsi="Times New Roman" w:cs="Times New Roman"/>
          <w:sz w:val="28"/>
          <w:szCs w:val="28"/>
        </w:rPr>
      </w:pPr>
    </w:p>
    <w:p w14:paraId="2744ABE2" w14:textId="5A1E74A9" w:rsidR="007424A0" w:rsidRPr="00D26559" w:rsidRDefault="007424A0" w:rsidP="00040501">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8"/>
          <w:szCs w:val="28"/>
        </w:rPr>
        <w:t>“</w:t>
      </w:r>
      <w:r w:rsidRPr="00D26559">
        <w:rPr>
          <w:rFonts w:ascii="Times New Roman" w:hAnsi="Times New Roman" w:cs="Times New Roman"/>
          <w:sz w:val="24"/>
          <w:szCs w:val="24"/>
        </w:rPr>
        <w:t>Trustees of the ALC Property Trust is Cor Van Deventer, Director of Greyvensteins Inc. and transferring attorney and seller.</w:t>
      </w:r>
    </w:p>
    <w:p w14:paraId="1082C51C" w14:textId="4AA2700B" w:rsidR="007424A0" w:rsidRPr="00D26559" w:rsidRDefault="007424A0" w:rsidP="00040501">
      <w:pPr>
        <w:spacing w:line="240" w:lineRule="auto"/>
        <w:ind w:left="720"/>
        <w:contextualSpacing/>
        <w:jc w:val="both"/>
        <w:rPr>
          <w:rFonts w:ascii="Times New Roman" w:hAnsi="Times New Roman" w:cs="Times New Roman"/>
          <w:sz w:val="24"/>
          <w:szCs w:val="24"/>
        </w:rPr>
      </w:pPr>
      <w:r w:rsidRPr="00D26559">
        <w:rPr>
          <w:rFonts w:ascii="Times New Roman" w:hAnsi="Times New Roman" w:cs="Times New Roman"/>
          <w:sz w:val="24"/>
          <w:szCs w:val="24"/>
        </w:rPr>
        <w:t>Mrs J A Labuschagne is member of Lauren Nash Business Trust and purchaser of property.  Lauren Nash is the wife of Cor Van Deventer.</w:t>
      </w:r>
    </w:p>
    <w:p w14:paraId="03D08C02" w14:textId="77777777" w:rsidR="007424A0" w:rsidRPr="00D26559" w:rsidRDefault="007424A0" w:rsidP="00040501">
      <w:pPr>
        <w:spacing w:line="240" w:lineRule="auto"/>
        <w:ind w:left="720"/>
        <w:contextualSpacing/>
        <w:jc w:val="both"/>
        <w:rPr>
          <w:rFonts w:ascii="Times New Roman" w:hAnsi="Times New Roman" w:cs="Times New Roman"/>
          <w:sz w:val="24"/>
          <w:szCs w:val="24"/>
        </w:rPr>
      </w:pPr>
      <w:r w:rsidRPr="00D26559">
        <w:rPr>
          <w:rFonts w:ascii="Times New Roman" w:hAnsi="Times New Roman" w:cs="Times New Roman"/>
          <w:sz w:val="24"/>
          <w:szCs w:val="24"/>
        </w:rPr>
        <w:t>Tiaan Labuschagne trustee of Lauren Nash Business Trust and employer of Greyvensteins Inc.</w:t>
      </w:r>
    </w:p>
    <w:p w14:paraId="7297CB1E" w14:textId="77777777" w:rsidR="007424A0" w:rsidRPr="00D26559" w:rsidRDefault="007424A0" w:rsidP="00040501">
      <w:pPr>
        <w:spacing w:line="240" w:lineRule="auto"/>
        <w:ind w:firstLine="720"/>
        <w:contextualSpacing/>
        <w:jc w:val="both"/>
        <w:rPr>
          <w:rFonts w:ascii="Times New Roman" w:hAnsi="Times New Roman" w:cs="Times New Roman"/>
          <w:sz w:val="24"/>
          <w:szCs w:val="24"/>
        </w:rPr>
      </w:pPr>
      <w:r w:rsidRPr="00D26559">
        <w:rPr>
          <w:rFonts w:ascii="Times New Roman" w:hAnsi="Times New Roman" w:cs="Times New Roman"/>
          <w:sz w:val="24"/>
          <w:szCs w:val="24"/>
        </w:rPr>
        <w:t>Mrs Labuschagne is legally married to complainant and married in community of property.</w:t>
      </w:r>
    </w:p>
    <w:p w14:paraId="4458260D" w14:textId="48A96B68" w:rsidR="007424A0" w:rsidRPr="00D26559" w:rsidRDefault="007424A0" w:rsidP="00040501">
      <w:pPr>
        <w:spacing w:line="240" w:lineRule="auto"/>
        <w:ind w:firstLine="720"/>
        <w:contextualSpacing/>
        <w:jc w:val="both"/>
        <w:rPr>
          <w:rFonts w:ascii="Times New Roman" w:hAnsi="Times New Roman" w:cs="Times New Roman"/>
          <w:sz w:val="24"/>
          <w:szCs w:val="24"/>
        </w:rPr>
      </w:pPr>
      <w:r w:rsidRPr="00D26559">
        <w:rPr>
          <w:rFonts w:ascii="Times New Roman" w:hAnsi="Times New Roman" w:cs="Times New Roman"/>
          <w:sz w:val="24"/>
          <w:szCs w:val="24"/>
        </w:rPr>
        <w:t xml:space="preserve">Signature of complainant on consent form is false and </w:t>
      </w:r>
      <w:r w:rsidR="005D12C2">
        <w:rPr>
          <w:rFonts w:ascii="Times New Roman" w:hAnsi="Times New Roman" w:cs="Times New Roman"/>
          <w:sz w:val="24"/>
          <w:szCs w:val="24"/>
        </w:rPr>
        <w:t>w</w:t>
      </w:r>
      <w:r w:rsidRPr="00D26559">
        <w:rPr>
          <w:rFonts w:ascii="Times New Roman" w:hAnsi="Times New Roman" w:cs="Times New Roman"/>
          <w:sz w:val="24"/>
          <w:szCs w:val="24"/>
        </w:rPr>
        <w:t>as never signed.</w:t>
      </w:r>
    </w:p>
    <w:p w14:paraId="04B886C9" w14:textId="0659A935" w:rsidR="007424A0" w:rsidRDefault="007424A0" w:rsidP="00040501">
      <w:pPr>
        <w:spacing w:line="240" w:lineRule="auto"/>
        <w:ind w:left="720"/>
        <w:contextualSpacing/>
        <w:jc w:val="both"/>
      </w:pPr>
      <w:r w:rsidRPr="00D26559">
        <w:rPr>
          <w:rFonts w:ascii="Times New Roman" w:hAnsi="Times New Roman" w:cs="Times New Roman"/>
          <w:sz w:val="24"/>
          <w:szCs w:val="24"/>
        </w:rPr>
        <w:t xml:space="preserve">Cor Van Deventer, son of Mrs Labuschagne </w:t>
      </w:r>
      <w:r w:rsidR="005D12C2">
        <w:rPr>
          <w:rFonts w:ascii="Times New Roman" w:hAnsi="Times New Roman" w:cs="Times New Roman"/>
          <w:sz w:val="24"/>
          <w:szCs w:val="24"/>
        </w:rPr>
        <w:t>m</w:t>
      </w:r>
      <w:r w:rsidRPr="00D26559">
        <w:rPr>
          <w:rFonts w:ascii="Times New Roman" w:hAnsi="Times New Roman" w:cs="Times New Roman"/>
          <w:sz w:val="24"/>
          <w:szCs w:val="24"/>
        </w:rPr>
        <w:t>ust have known that signatures were false as he was the beneficiary of the transaction.”</w:t>
      </w:r>
    </w:p>
    <w:p w14:paraId="3223A8AF" w14:textId="36177A21" w:rsidR="00291F97" w:rsidRDefault="00291F97" w:rsidP="00291F97">
      <w:pPr>
        <w:pStyle w:val="ListParagraph"/>
        <w:spacing w:line="360" w:lineRule="auto"/>
        <w:jc w:val="both"/>
        <w:rPr>
          <w:rFonts w:ascii="Times New Roman" w:hAnsi="Times New Roman" w:cs="Times New Roman"/>
          <w:sz w:val="28"/>
          <w:szCs w:val="28"/>
        </w:rPr>
      </w:pPr>
    </w:p>
    <w:p w14:paraId="27242721" w14:textId="53A76ADD" w:rsidR="00291F97" w:rsidRDefault="00291F97" w:rsidP="005D19D1">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complain</w:t>
      </w:r>
      <w:r w:rsidR="008001A8">
        <w:rPr>
          <w:rFonts w:ascii="Times New Roman" w:hAnsi="Times New Roman" w:cs="Times New Roman"/>
          <w:sz w:val="28"/>
          <w:szCs w:val="28"/>
        </w:rPr>
        <w:t>t</w:t>
      </w:r>
      <w:r>
        <w:rPr>
          <w:rFonts w:ascii="Times New Roman" w:hAnsi="Times New Roman" w:cs="Times New Roman"/>
          <w:sz w:val="28"/>
          <w:szCs w:val="28"/>
        </w:rPr>
        <w:t xml:space="preserve"> was accompanied by </w:t>
      </w:r>
      <w:r w:rsidR="00040501">
        <w:rPr>
          <w:rFonts w:ascii="Times New Roman" w:hAnsi="Times New Roman" w:cs="Times New Roman"/>
          <w:sz w:val="28"/>
          <w:szCs w:val="28"/>
        </w:rPr>
        <w:t>a</w:t>
      </w:r>
      <w:r>
        <w:rPr>
          <w:rFonts w:ascii="Times New Roman" w:hAnsi="Times New Roman" w:cs="Times New Roman"/>
          <w:sz w:val="28"/>
          <w:szCs w:val="28"/>
        </w:rPr>
        <w:t xml:space="preserve"> suretyship which </w:t>
      </w:r>
      <w:r w:rsidR="00040501">
        <w:rPr>
          <w:rFonts w:ascii="Times New Roman" w:hAnsi="Times New Roman" w:cs="Times New Roman"/>
          <w:sz w:val="28"/>
          <w:szCs w:val="28"/>
        </w:rPr>
        <w:t>is</w:t>
      </w:r>
      <w:r>
        <w:rPr>
          <w:rFonts w:ascii="Times New Roman" w:hAnsi="Times New Roman" w:cs="Times New Roman"/>
          <w:sz w:val="28"/>
          <w:szCs w:val="28"/>
        </w:rPr>
        <w:t xml:space="preserve"> the subject matter of the complaint.</w:t>
      </w:r>
    </w:p>
    <w:p w14:paraId="7451E137" w14:textId="77777777" w:rsidR="00291F97" w:rsidRDefault="00291F97" w:rsidP="00291F97">
      <w:pPr>
        <w:pStyle w:val="ListParagraph"/>
        <w:spacing w:line="360" w:lineRule="auto"/>
        <w:ind w:left="0"/>
        <w:jc w:val="both"/>
        <w:rPr>
          <w:rFonts w:ascii="Times New Roman" w:hAnsi="Times New Roman" w:cs="Times New Roman"/>
          <w:sz w:val="28"/>
          <w:szCs w:val="28"/>
        </w:rPr>
      </w:pPr>
    </w:p>
    <w:p w14:paraId="122D6788" w14:textId="067FEA73" w:rsidR="00437085" w:rsidRDefault="00EA3459" w:rsidP="005D19D1">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The complainant was one</w:t>
      </w:r>
      <w:r w:rsidR="00FB6691" w:rsidRPr="00187995">
        <w:rPr>
          <w:rFonts w:ascii="Times New Roman" w:hAnsi="Times New Roman" w:cs="Times New Roman"/>
          <w:sz w:val="28"/>
          <w:szCs w:val="28"/>
        </w:rPr>
        <w:t xml:space="preserve"> Cornelius Petrus Labuschagne</w:t>
      </w:r>
      <w:r w:rsidRPr="00187995">
        <w:rPr>
          <w:rFonts w:ascii="Times New Roman" w:hAnsi="Times New Roman" w:cs="Times New Roman"/>
          <w:sz w:val="28"/>
          <w:szCs w:val="28"/>
        </w:rPr>
        <w:t>.</w:t>
      </w:r>
    </w:p>
    <w:p w14:paraId="72E97623" w14:textId="77777777" w:rsidR="00437085" w:rsidRPr="00437085" w:rsidRDefault="00437085" w:rsidP="00437085">
      <w:pPr>
        <w:pStyle w:val="ListParagraph"/>
        <w:rPr>
          <w:rFonts w:ascii="Times New Roman" w:hAnsi="Times New Roman" w:cs="Times New Roman"/>
          <w:sz w:val="28"/>
          <w:szCs w:val="28"/>
        </w:rPr>
      </w:pPr>
    </w:p>
    <w:p w14:paraId="267ED936" w14:textId="46A9D2B1" w:rsidR="00187995" w:rsidRPr="005D19D1" w:rsidRDefault="00EA3459" w:rsidP="005D19D1">
      <w:pPr>
        <w:pStyle w:val="ListParagraph"/>
        <w:numPr>
          <w:ilvl w:val="0"/>
          <w:numId w:val="1"/>
        </w:numPr>
        <w:spacing w:line="360" w:lineRule="auto"/>
        <w:ind w:left="0" w:firstLine="0"/>
        <w:jc w:val="both"/>
        <w:rPr>
          <w:rFonts w:ascii="Times New Roman" w:hAnsi="Times New Roman" w:cs="Times New Roman"/>
          <w:sz w:val="28"/>
          <w:szCs w:val="28"/>
        </w:rPr>
      </w:pPr>
      <w:r w:rsidRPr="005D19D1">
        <w:rPr>
          <w:rFonts w:ascii="Times New Roman" w:hAnsi="Times New Roman" w:cs="Times New Roman"/>
          <w:sz w:val="28"/>
          <w:szCs w:val="28"/>
        </w:rPr>
        <w:t>I</w:t>
      </w:r>
      <w:r w:rsidR="00FB6691" w:rsidRPr="005D19D1">
        <w:rPr>
          <w:rFonts w:ascii="Times New Roman" w:hAnsi="Times New Roman" w:cs="Times New Roman"/>
          <w:sz w:val="28"/>
          <w:szCs w:val="28"/>
        </w:rPr>
        <w:t>t is common cause</w:t>
      </w:r>
      <w:r w:rsidRPr="005D19D1">
        <w:rPr>
          <w:rFonts w:ascii="Times New Roman" w:hAnsi="Times New Roman" w:cs="Times New Roman"/>
          <w:sz w:val="28"/>
          <w:szCs w:val="28"/>
        </w:rPr>
        <w:t xml:space="preserve"> that</w:t>
      </w:r>
      <w:r w:rsidR="007E6BAE" w:rsidRPr="005D19D1">
        <w:rPr>
          <w:rFonts w:ascii="Times New Roman" w:hAnsi="Times New Roman" w:cs="Times New Roman"/>
          <w:sz w:val="28"/>
          <w:szCs w:val="28"/>
        </w:rPr>
        <w:t xml:space="preserve"> </w:t>
      </w:r>
      <w:r w:rsidR="00040501">
        <w:rPr>
          <w:rFonts w:ascii="Times New Roman" w:hAnsi="Times New Roman" w:cs="Times New Roman"/>
          <w:sz w:val="28"/>
          <w:szCs w:val="28"/>
        </w:rPr>
        <w:t>he</w:t>
      </w:r>
      <w:r w:rsidR="00437085">
        <w:rPr>
          <w:rFonts w:ascii="Times New Roman" w:hAnsi="Times New Roman" w:cs="Times New Roman"/>
          <w:sz w:val="28"/>
          <w:szCs w:val="28"/>
        </w:rPr>
        <w:t xml:space="preserve"> </w:t>
      </w:r>
      <w:r w:rsidR="00CF66A6" w:rsidRPr="005D19D1">
        <w:rPr>
          <w:rFonts w:ascii="Times New Roman" w:hAnsi="Times New Roman" w:cs="Times New Roman"/>
          <w:sz w:val="28"/>
          <w:szCs w:val="28"/>
        </w:rPr>
        <w:t>was</w:t>
      </w:r>
      <w:r w:rsidR="00FB6691" w:rsidRPr="005D19D1">
        <w:rPr>
          <w:rFonts w:ascii="Times New Roman" w:hAnsi="Times New Roman" w:cs="Times New Roman"/>
          <w:sz w:val="28"/>
          <w:szCs w:val="28"/>
        </w:rPr>
        <w:t xml:space="preserve"> married to the respondent’s </w:t>
      </w:r>
      <w:r w:rsidR="00DF30FC" w:rsidRPr="005D19D1">
        <w:rPr>
          <w:rFonts w:ascii="Times New Roman" w:hAnsi="Times New Roman" w:cs="Times New Roman"/>
          <w:sz w:val="28"/>
          <w:szCs w:val="28"/>
        </w:rPr>
        <w:t>mother but</w:t>
      </w:r>
      <w:r w:rsidR="00751BDF" w:rsidRPr="005D19D1">
        <w:rPr>
          <w:rFonts w:ascii="Times New Roman" w:hAnsi="Times New Roman" w:cs="Times New Roman"/>
          <w:sz w:val="28"/>
          <w:szCs w:val="28"/>
        </w:rPr>
        <w:t xml:space="preserve"> </w:t>
      </w:r>
      <w:r w:rsidRPr="005D19D1">
        <w:rPr>
          <w:rFonts w:ascii="Times New Roman" w:hAnsi="Times New Roman" w:cs="Times New Roman"/>
          <w:sz w:val="28"/>
          <w:szCs w:val="28"/>
        </w:rPr>
        <w:t>separated from her</w:t>
      </w:r>
      <w:r w:rsidR="00CF66A6" w:rsidRPr="005D19D1">
        <w:rPr>
          <w:rFonts w:ascii="Times New Roman" w:hAnsi="Times New Roman" w:cs="Times New Roman"/>
          <w:sz w:val="28"/>
          <w:szCs w:val="28"/>
        </w:rPr>
        <w:t xml:space="preserve"> in June 2015</w:t>
      </w:r>
      <w:r w:rsidRPr="005D19D1">
        <w:rPr>
          <w:rFonts w:ascii="Times New Roman" w:hAnsi="Times New Roman" w:cs="Times New Roman"/>
          <w:sz w:val="28"/>
          <w:szCs w:val="28"/>
        </w:rPr>
        <w:t>. The</w:t>
      </w:r>
      <w:r w:rsidR="00132674" w:rsidRPr="005D19D1">
        <w:rPr>
          <w:rFonts w:ascii="Times New Roman" w:hAnsi="Times New Roman" w:cs="Times New Roman"/>
          <w:sz w:val="28"/>
          <w:szCs w:val="28"/>
        </w:rPr>
        <w:t xml:space="preserve"> marriage itself was volatile and an a</w:t>
      </w:r>
      <w:r w:rsidRPr="005D19D1">
        <w:rPr>
          <w:rFonts w:ascii="Times New Roman" w:hAnsi="Times New Roman" w:cs="Times New Roman"/>
          <w:sz w:val="28"/>
          <w:szCs w:val="28"/>
        </w:rPr>
        <w:t>crimonious</w:t>
      </w:r>
      <w:r w:rsidR="00132674" w:rsidRPr="005D19D1">
        <w:rPr>
          <w:rFonts w:ascii="Times New Roman" w:hAnsi="Times New Roman" w:cs="Times New Roman"/>
          <w:sz w:val="28"/>
          <w:szCs w:val="28"/>
        </w:rPr>
        <w:t xml:space="preserve"> divorce ensued</w:t>
      </w:r>
      <w:r w:rsidRPr="005D19D1">
        <w:rPr>
          <w:rFonts w:ascii="Times New Roman" w:hAnsi="Times New Roman" w:cs="Times New Roman"/>
          <w:sz w:val="28"/>
          <w:szCs w:val="28"/>
        </w:rPr>
        <w:t>.</w:t>
      </w:r>
      <w:r w:rsidR="0033207D">
        <w:rPr>
          <w:rStyle w:val="FootnoteReference"/>
          <w:rFonts w:ascii="Times New Roman" w:hAnsi="Times New Roman" w:cs="Times New Roman"/>
          <w:sz w:val="28"/>
          <w:szCs w:val="28"/>
        </w:rPr>
        <w:footnoteReference w:id="9"/>
      </w:r>
      <w:r w:rsidRPr="005D19D1">
        <w:rPr>
          <w:rFonts w:ascii="Times New Roman" w:hAnsi="Times New Roman" w:cs="Times New Roman"/>
          <w:sz w:val="28"/>
          <w:szCs w:val="28"/>
        </w:rPr>
        <w:t xml:space="preserve"> The respondent thought it necessary to mention this </w:t>
      </w:r>
      <w:r w:rsidR="005D19D1">
        <w:rPr>
          <w:rFonts w:ascii="Times New Roman" w:hAnsi="Times New Roman" w:cs="Times New Roman"/>
          <w:sz w:val="28"/>
          <w:szCs w:val="28"/>
        </w:rPr>
        <w:t xml:space="preserve">feature of their relationship </w:t>
      </w:r>
      <w:r w:rsidRPr="005D19D1">
        <w:rPr>
          <w:rFonts w:ascii="Times New Roman" w:hAnsi="Times New Roman" w:cs="Times New Roman"/>
          <w:sz w:val="28"/>
          <w:szCs w:val="28"/>
        </w:rPr>
        <w:t xml:space="preserve">as his perception was that the </w:t>
      </w:r>
      <w:r w:rsidR="00291F97">
        <w:rPr>
          <w:rFonts w:ascii="Times New Roman" w:hAnsi="Times New Roman" w:cs="Times New Roman"/>
          <w:sz w:val="28"/>
          <w:szCs w:val="28"/>
        </w:rPr>
        <w:t>report of his claimed misconduct</w:t>
      </w:r>
      <w:r w:rsidR="00132674" w:rsidRPr="005D19D1">
        <w:rPr>
          <w:rFonts w:ascii="Times New Roman" w:hAnsi="Times New Roman" w:cs="Times New Roman"/>
          <w:sz w:val="28"/>
          <w:szCs w:val="28"/>
        </w:rPr>
        <w:t xml:space="preserve"> had been </w:t>
      </w:r>
      <w:r w:rsidR="00DF30FC" w:rsidRPr="005D19D1">
        <w:rPr>
          <w:rFonts w:ascii="Times New Roman" w:hAnsi="Times New Roman" w:cs="Times New Roman"/>
          <w:sz w:val="28"/>
          <w:szCs w:val="28"/>
        </w:rPr>
        <w:t xml:space="preserve">motivated by spite </w:t>
      </w:r>
      <w:r w:rsidR="00132674" w:rsidRPr="005D19D1">
        <w:rPr>
          <w:rFonts w:ascii="Times New Roman" w:hAnsi="Times New Roman" w:cs="Times New Roman"/>
          <w:sz w:val="28"/>
          <w:szCs w:val="28"/>
        </w:rPr>
        <w:t xml:space="preserve">or was a plain vendetta by the complainant </w:t>
      </w:r>
      <w:r w:rsidR="005D19D1">
        <w:rPr>
          <w:rFonts w:ascii="Times New Roman" w:hAnsi="Times New Roman" w:cs="Times New Roman"/>
          <w:sz w:val="28"/>
          <w:szCs w:val="28"/>
        </w:rPr>
        <w:t xml:space="preserve">directed </w:t>
      </w:r>
      <w:r w:rsidR="00132674" w:rsidRPr="005D19D1">
        <w:rPr>
          <w:rFonts w:ascii="Times New Roman" w:hAnsi="Times New Roman" w:cs="Times New Roman"/>
          <w:sz w:val="28"/>
          <w:szCs w:val="28"/>
        </w:rPr>
        <w:t>against him</w:t>
      </w:r>
      <w:r w:rsidR="005D19D1">
        <w:rPr>
          <w:rFonts w:ascii="Times New Roman" w:hAnsi="Times New Roman" w:cs="Times New Roman"/>
          <w:sz w:val="28"/>
          <w:szCs w:val="28"/>
        </w:rPr>
        <w:t xml:space="preserve">, </w:t>
      </w:r>
      <w:r w:rsidR="00132674" w:rsidRPr="005D19D1">
        <w:rPr>
          <w:rFonts w:ascii="Times New Roman" w:hAnsi="Times New Roman" w:cs="Times New Roman"/>
          <w:sz w:val="28"/>
          <w:szCs w:val="28"/>
        </w:rPr>
        <w:t xml:space="preserve">his </w:t>
      </w:r>
      <w:r w:rsidR="005D19D1" w:rsidRPr="005D19D1">
        <w:rPr>
          <w:rFonts w:ascii="Times New Roman" w:hAnsi="Times New Roman" w:cs="Times New Roman"/>
          <w:sz w:val="28"/>
          <w:szCs w:val="28"/>
        </w:rPr>
        <w:t>mother,</w:t>
      </w:r>
      <w:r w:rsidR="005D19D1">
        <w:rPr>
          <w:rFonts w:ascii="Times New Roman" w:hAnsi="Times New Roman" w:cs="Times New Roman"/>
          <w:sz w:val="28"/>
          <w:szCs w:val="28"/>
        </w:rPr>
        <w:t xml:space="preserve"> or their family</w:t>
      </w:r>
      <w:r w:rsidR="00DF30FC" w:rsidRPr="005D19D1">
        <w:rPr>
          <w:rFonts w:ascii="Times New Roman" w:hAnsi="Times New Roman" w:cs="Times New Roman"/>
          <w:sz w:val="28"/>
          <w:szCs w:val="28"/>
        </w:rPr>
        <w:t>.</w:t>
      </w:r>
      <w:r w:rsidR="00CF66A6" w:rsidRPr="005D19D1">
        <w:rPr>
          <w:rFonts w:ascii="Times New Roman" w:hAnsi="Times New Roman" w:cs="Times New Roman"/>
          <w:sz w:val="28"/>
          <w:szCs w:val="28"/>
        </w:rPr>
        <w:t xml:space="preserve"> </w:t>
      </w:r>
      <w:r w:rsidR="00B455A7" w:rsidRPr="005D19D1">
        <w:rPr>
          <w:rFonts w:ascii="Times New Roman" w:hAnsi="Times New Roman" w:cs="Times New Roman"/>
          <w:sz w:val="28"/>
          <w:szCs w:val="28"/>
        </w:rPr>
        <w:t>The claim forming the subject matter of these proceedings</w:t>
      </w:r>
      <w:r w:rsidR="00132674" w:rsidRPr="005D19D1">
        <w:rPr>
          <w:rFonts w:ascii="Times New Roman" w:hAnsi="Times New Roman" w:cs="Times New Roman"/>
          <w:sz w:val="28"/>
          <w:szCs w:val="28"/>
        </w:rPr>
        <w:t xml:space="preserve"> was</w:t>
      </w:r>
      <w:r w:rsidR="00CF66A6" w:rsidRPr="005D19D1">
        <w:rPr>
          <w:rFonts w:ascii="Times New Roman" w:hAnsi="Times New Roman" w:cs="Times New Roman"/>
          <w:sz w:val="28"/>
          <w:szCs w:val="28"/>
        </w:rPr>
        <w:t xml:space="preserve"> </w:t>
      </w:r>
      <w:r w:rsidR="00291380">
        <w:rPr>
          <w:rFonts w:ascii="Times New Roman" w:hAnsi="Times New Roman" w:cs="Times New Roman"/>
          <w:sz w:val="28"/>
          <w:szCs w:val="28"/>
        </w:rPr>
        <w:t xml:space="preserve">apparently </w:t>
      </w:r>
      <w:r w:rsidR="00CF66A6" w:rsidRPr="005D19D1">
        <w:rPr>
          <w:rFonts w:ascii="Times New Roman" w:hAnsi="Times New Roman" w:cs="Times New Roman"/>
          <w:sz w:val="28"/>
          <w:szCs w:val="28"/>
        </w:rPr>
        <w:t>instituted not long after his mother had commenced divorce proceedings against the complainant.</w:t>
      </w:r>
    </w:p>
    <w:p w14:paraId="6B5FBB24" w14:textId="77777777" w:rsidR="00187995" w:rsidRPr="00187995" w:rsidRDefault="00187995" w:rsidP="00187995">
      <w:pPr>
        <w:pStyle w:val="ListParagraph"/>
        <w:rPr>
          <w:rFonts w:ascii="Times New Roman" w:hAnsi="Times New Roman" w:cs="Times New Roman"/>
          <w:sz w:val="28"/>
          <w:szCs w:val="28"/>
        </w:rPr>
      </w:pPr>
    </w:p>
    <w:p w14:paraId="529B3BB4" w14:textId="43942671" w:rsidR="00187995" w:rsidRDefault="00291F97"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As can be deduced from the summary of the complainant’s complaint above t</w:t>
      </w:r>
      <w:r w:rsidR="00EA3459" w:rsidRPr="00187995">
        <w:rPr>
          <w:rFonts w:ascii="Times New Roman" w:hAnsi="Times New Roman" w:cs="Times New Roman"/>
          <w:sz w:val="28"/>
          <w:szCs w:val="28"/>
        </w:rPr>
        <w:t xml:space="preserve">he </w:t>
      </w:r>
      <w:r w:rsidR="00040501">
        <w:rPr>
          <w:rFonts w:ascii="Times New Roman" w:hAnsi="Times New Roman" w:cs="Times New Roman"/>
          <w:sz w:val="28"/>
          <w:szCs w:val="28"/>
        </w:rPr>
        <w:t>grievance</w:t>
      </w:r>
      <w:r w:rsidR="00EA3459" w:rsidRPr="00187995">
        <w:rPr>
          <w:rFonts w:ascii="Times New Roman" w:hAnsi="Times New Roman" w:cs="Times New Roman"/>
          <w:sz w:val="28"/>
          <w:szCs w:val="28"/>
        </w:rPr>
        <w:t xml:space="preserve"> </w:t>
      </w:r>
      <w:r w:rsidR="00132674">
        <w:rPr>
          <w:rFonts w:ascii="Times New Roman" w:hAnsi="Times New Roman" w:cs="Times New Roman"/>
          <w:sz w:val="28"/>
          <w:szCs w:val="28"/>
        </w:rPr>
        <w:t>against the respondent</w:t>
      </w:r>
      <w:r w:rsidR="005D19D1">
        <w:rPr>
          <w:rFonts w:ascii="Times New Roman" w:hAnsi="Times New Roman" w:cs="Times New Roman"/>
          <w:sz w:val="28"/>
          <w:szCs w:val="28"/>
        </w:rPr>
        <w:t xml:space="preserve"> and his associate</w:t>
      </w:r>
      <w:r w:rsidR="00132674">
        <w:rPr>
          <w:rFonts w:ascii="Times New Roman" w:hAnsi="Times New Roman" w:cs="Times New Roman"/>
          <w:sz w:val="28"/>
          <w:szCs w:val="28"/>
        </w:rPr>
        <w:t xml:space="preserve"> </w:t>
      </w:r>
      <w:r w:rsidR="00040501">
        <w:rPr>
          <w:rFonts w:ascii="Times New Roman" w:hAnsi="Times New Roman" w:cs="Times New Roman"/>
          <w:sz w:val="28"/>
          <w:szCs w:val="28"/>
        </w:rPr>
        <w:t xml:space="preserve">had as its primary concern the fact that his </w:t>
      </w:r>
      <w:r w:rsidR="00EA3459" w:rsidRPr="00187995">
        <w:rPr>
          <w:rFonts w:ascii="Times New Roman" w:hAnsi="Times New Roman" w:cs="Times New Roman"/>
          <w:sz w:val="28"/>
          <w:szCs w:val="28"/>
        </w:rPr>
        <w:t>purported signature on a “consent form”</w:t>
      </w:r>
      <w:r w:rsidR="00187995">
        <w:rPr>
          <w:rFonts w:ascii="Times New Roman" w:hAnsi="Times New Roman" w:cs="Times New Roman"/>
          <w:sz w:val="28"/>
          <w:szCs w:val="28"/>
        </w:rPr>
        <w:t xml:space="preserve"> (</w:t>
      </w:r>
      <w:r w:rsidR="00187995" w:rsidRPr="00187995">
        <w:rPr>
          <w:rFonts w:ascii="Times New Roman" w:hAnsi="Times New Roman" w:cs="Times New Roman"/>
          <w:i/>
          <w:sz w:val="28"/>
          <w:szCs w:val="28"/>
        </w:rPr>
        <w:t>s</w:t>
      </w:r>
      <w:r w:rsidR="00CF4741" w:rsidRPr="00187995">
        <w:rPr>
          <w:rFonts w:ascii="Times New Roman" w:hAnsi="Times New Roman" w:cs="Times New Roman"/>
          <w:i/>
          <w:sz w:val="28"/>
          <w:szCs w:val="28"/>
        </w:rPr>
        <w:t>ic</w:t>
      </w:r>
      <w:r w:rsidR="00CF4741" w:rsidRPr="00187995">
        <w:rPr>
          <w:rFonts w:ascii="Times New Roman" w:hAnsi="Times New Roman" w:cs="Times New Roman"/>
          <w:sz w:val="28"/>
          <w:szCs w:val="28"/>
        </w:rPr>
        <w:t>)</w:t>
      </w:r>
      <w:r w:rsidR="00EA3459" w:rsidRPr="00187995">
        <w:rPr>
          <w:rFonts w:ascii="Times New Roman" w:hAnsi="Times New Roman" w:cs="Times New Roman"/>
          <w:sz w:val="28"/>
          <w:szCs w:val="28"/>
        </w:rPr>
        <w:t xml:space="preserve"> </w:t>
      </w:r>
      <w:r w:rsidR="00CF66A6" w:rsidRPr="00187995">
        <w:rPr>
          <w:rFonts w:ascii="Times New Roman" w:hAnsi="Times New Roman" w:cs="Times New Roman"/>
          <w:sz w:val="28"/>
          <w:szCs w:val="28"/>
        </w:rPr>
        <w:t xml:space="preserve">signed </w:t>
      </w:r>
      <w:r w:rsidR="00B455A7">
        <w:rPr>
          <w:rFonts w:ascii="Times New Roman" w:hAnsi="Times New Roman" w:cs="Times New Roman"/>
          <w:sz w:val="28"/>
          <w:szCs w:val="28"/>
        </w:rPr>
        <w:t>on 2</w:t>
      </w:r>
      <w:r w:rsidR="00132674">
        <w:rPr>
          <w:rFonts w:ascii="Times New Roman" w:hAnsi="Times New Roman" w:cs="Times New Roman"/>
          <w:sz w:val="28"/>
          <w:szCs w:val="28"/>
        </w:rPr>
        <w:t xml:space="preserve"> May 2016 </w:t>
      </w:r>
      <w:r w:rsidR="00EA3459" w:rsidRPr="00187995">
        <w:rPr>
          <w:rFonts w:ascii="Times New Roman" w:hAnsi="Times New Roman" w:cs="Times New Roman"/>
          <w:sz w:val="28"/>
          <w:szCs w:val="28"/>
        </w:rPr>
        <w:t xml:space="preserve">was false. </w:t>
      </w:r>
      <w:r w:rsidR="00CF4741" w:rsidRPr="00187995">
        <w:rPr>
          <w:rFonts w:ascii="Times New Roman" w:hAnsi="Times New Roman" w:cs="Times New Roman"/>
          <w:sz w:val="28"/>
          <w:szCs w:val="28"/>
        </w:rPr>
        <w:t>Th</w:t>
      </w:r>
      <w:r w:rsidR="007E6BAE" w:rsidRPr="00187995">
        <w:rPr>
          <w:rFonts w:ascii="Times New Roman" w:hAnsi="Times New Roman" w:cs="Times New Roman"/>
          <w:sz w:val="28"/>
          <w:szCs w:val="28"/>
        </w:rPr>
        <w:t>is form alluded to by him</w:t>
      </w:r>
      <w:r w:rsidR="00CF4741" w:rsidRPr="00187995">
        <w:rPr>
          <w:rFonts w:ascii="Times New Roman" w:hAnsi="Times New Roman" w:cs="Times New Roman"/>
          <w:sz w:val="28"/>
          <w:szCs w:val="28"/>
        </w:rPr>
        <w:t xml:space="preserve"> was actually </w:t>
      </w:r>
      <w:r w:rsidR="00EA3459" w:rsidRPr="00187995">
        <w:rPr>
          <w:rFonts w:ascii="Times New Roman" w:hAnsi="Times New Roman" w:cs="Times New Roman"/>
          <w:sz w:val="28"/>
          <w:szCs w:val="28"/>
        </w:rPr>
        <w:t xml:space="preserve">a formal suretyship agreement pursuant to which the complainant and his wife “married in community of property to each other” had on the face of it committed themselves as sureties to Standard Bank for the indebtedness of the Lauren Nash </w:t>
      </w:r>
      <w:r w:rsidR="00CF4741" w:rsidRPr="00187995">
        <w:rPr>
          <w:rFonts w:ascii="Times New Roman" w:hAnsi="Times New Roman" w:cs="Times New Roman"/>
          <w:sz w:val="28"/>
          <w:szCs w:val="28"/>
        </w:rPr>
        <w:t>B</w:t>
      </w:r>
      <w:r w:rsidR="00EA3459" w:rsidRPr="00187995">
        <w:rPr>
          <w:rFonts w:ascii="Times New Roman" w:hAnsi="Times New Roman" w:cs="Times New Roman"/>
          <w:sz w:val="28"/>
          <w:szCs w:val="28"/>
        </w:rPr>
        <w:t xml:space="preserve">usiness </w:t>
      </w:r>
      <w:r w:rsidR="00CF4741" w:rsidRPr="00187995">
        <w:rPr>
          <w:rFonts w:ascii="Times New Roman" w:hAnsi="Times New Roman" w:cs="Times New Roman"/>
          <w:sz w:val="28"/>
          <w:szCs w:val="28"/>
        </w:rPr>
        <w:t>T</w:t>
      </w:r>
      <w:r w:rsidR="00EA3459" w:rsidRPr="00187995">
        <w:rPr>
          <w:rFonts w:ascii="Times New Roman" w:hAnsi="Times New Roman" w:cs="Times New Roman"/>
          <w:sz w:val="28"/>
          <w:szCs w:val="28"/>
        </w:rPr>
        <w:t>rust</w:t>
      </w:r>
      <w:r w:rsidR="0083096B">
        <w:rPr>
          <w:rFonts w:ascii="Times New Roman" w:hAnsi="Times New Roman" w:cs="Times New Roman"/>
          <w:sz w:val="28"/>
          <w:szCs w:val="28"/>
        </w:rPr>
        <w:t xml:space="preserve">.  Her name and signature </w:t>
      </w:r>
      <w:r w:rsidR="00DF30FC">
        <w:rPr>
          <w:rFonts w:ascii="Times New Roman" w:hAnsi="Times New Roman" w:cs="Times New Roman"/>
          <w:sz w:val="28"/>
          <w:szCs w:val="28"/>
        </w:rPr>
        <w:t>appear</w:t>
      </w:r>
      <w:r w:rsidR="0083096B">
        <w:rPr>
          <w:rFonts w:ascii="Times New Roman" w:hAnsi="Times New Roman" w:cs="Times New Roman"/>
          <w:sz w:val="28"/>
          <w:szCs w:val="28"/>
        </w:rPr>
        <w:t xml:space="preserve"> </w:t>
      </w:r>
      <w:r w:rsidR="00DF30FC">
        <w:rPr>
          <w:rFonts w:ascii="Times New Roman" w:hAnsi="Times New Roman" w:cs="Times New Roman"/>
          <w:sz w:val="28"/>
          <w:szCs w:val="28"/>
        </w:rPr>
        <w:t>in the places in the deed opposite the designation of</w:t>
      </w:r>
      <w:r w:rsidR="0083096B">
        <w:rPr>
          <w:rFonts w:ascii="Times New Roman" w:hAnsi="Times New Roman" w:cs="Times New Roman"/>
          <w:sz w:val="28"/>
          <w:szCs w:val="28"/>
        </w:rPr>
        <w:t xml:space="preserve"> surety number 1 and his (and purported signatures) </w:t>
      </w:r>
      <w:r w:rsidR="00DF30FC">
        <w:rPr>
          <w:rFonts w:ascii="Times New Roman" w:hAnsi="Times New Roman" w:cs="Times New Roman"/>
          <w:sz w:val="28"/>
          <w:szCs w:val="28"/>
        </w:rPr>
        <w:t>in the places reserved for</w:t>
      </w:r>
      <w:r w:rsidR="0083096B">
        <w:rPr>
          <w:rFonts w:ascii="Times New Roman" w:hAnsi="Times New Roman" w:cs="Times New Roman"/>
          <w:sz w:val="28"/>
          <w:szCs w:val="28"/>
        </w:rPr>
        <w:t xml:space="preserve"> surety number 2</w:t>
      </w:r>
      <w:r w:rsidR="008001A8">
        <w:rPr>
          <w:rFonts w:ascii="Times New Roman" w:hAnsi="Times New Roman" w:cs="Times New Roman"/>
          <w:sz w:val="28"/>
          <w:szCs w:val="28"/>
        </w:rPr>
        <w:t xml:space="preserve"> to sign</w:t>
      </w:r>
      <w:r w:rsidR="0083096B">
        <w:rPr>
          <w:rFonts w:ascii="Times New Roman" w:hAnsi="Times New Roman" w:cs="Times New Roman"/>
          <w:sz w:val="28"/>
          <w:szCs w:val="28"/>
        </w:rPr>
        <w:t xml:space="preserve">.  </w:t>
      </w:r>
      <w:r w:rsidR="00DF30FC">
        <w:rPr>
          <w:rFonts w:ascii="Times New Roman" w:hAnsi="Times New Roman" w:cs="Times New Roman"/>
          <w:sz w:val="28"/>
          <w:szCs w:val="28"/>
        </w:rPr>
        <w:t xml:space="preserve">Separate pages reflect each of them as consenting spouses as well since they </w:t>
      </w:r>
      <w:r w:rsidR="00DF30FC">
        <w:rPr>
          <w:rFonts w:ascii="Times New Roman" w:hAnsi="Times New Roman" w:cs="Times New Roman"/>
          <w:sz w:val="28"/>
          <w:szCs w:val="28"/>
        </w:rPr>
        <w:lastRenderedPageBreak/>
        <w:t>were married to each other in community of property</w:t>
      </w:r>
      <w:r w:rsidR="005E6060">
        <w:rPr>
          <w:rFonts w:ascii="Times New Roman" w:hAnsi="Times New Roman" w:cs="Times New Roman"/>
          <w:sz w:val="28"/>
          <w:szCs w:val="28"/>
        </w:rPr>
        <w:t xml:space="preserve"> and would have been required by virtue of the provisions of section 15 (1) of the Matrimonial Property Act, </w:t>
      </w:r>
      <w:r>
        <w:rPr>
          <w:rFonts w:ascii="Times New Roman" w:hAnsi="Times New Roman" w:cs="Times New Roman"/>
          <w:sz w:val="28"/>
          <w:szCs w:val="28"/>
        </w:rPr>
        <w:t>N</w:t>
      </w:r>
      <w:r w:rsidR="005E6060">
        <w:rPr>
          <w:rFonts w:ascii="Times New Roman" w:hAnsi="Times New Roman" w:cs="Times New Roman"/>
          <w:sz w:val="28"/>
          <w:szCs w:val="28"/>
        </w:rPr>
        <w:t>o</w:t>
      </w:r>
      <w:r>
        <w:rPr>
          <w:rFonts w:ascii="Times New Roman" w:hAnsi="Times New Roman" w:cs="Times New Roman"/>
          <w:sz w:val="28"/>
          <w:szCs w:val="28"/>
        </w:rPr>
        <w:t xml:space="preserve">. 88 of 1984 (“MPA”) </w:t>
      </w:r>
      <w:r w:rsidR="005E6060">
        <w:rPr>
          <w:rFonts w:ascii="Times New Roman" w:hAnsi="Times New Roman" w:cs="Times New Roman"/>
          <w:sz w:val="28"/>
          <w:szCs w:val="28"/>
        </w:rPr>
        <w:t xml:space="preserve">to have consented to </w:t>
      </w:r>
      <w:r w:rsidR="00B455A7">
        <w:rPr>
          <w:rFonts w:ascii="Times New Roman" w:hAnsi="Times New Roman" w:cs="Times New Roman"/>
          <w:sz w:val="28"/>
          <w:szCs w:val="28"/>
        </w:rPr>
        <w:t>each other binding the</w:t>
      </w:r>
      <w:r>
        <w:rPr>
          <w:rFonts w:ascii="Times New Roman" w:hAnsi="Times New Roman" w:cs="Times New Roman"/>
          <w:sz w:val="28"/>
          <w:szCs w:val="28"/>
        </w:rPr>
        <w:t xml:space="preserve">mselves as surety.  </w:t>
      </w:r>
    </w:p>
    <w:p w14:paraId="284E4A53" w14:textId="77777777" w:rsidR="0083096B" w:rsidRPr="0083096B" w:rsidRDefault="0083096B" w:rsidP="0083096B">
      <w:pPr>
        <w:pStyle w:val="ListParagraph"/>
        <w:rPr>
          <w:rFonts w:ascii="Times New Roman" w:hAnsi="Times New Roman" w:cs="Times New Roman"/>
          <w:sz w:val="28"/>
          <w:szCs w:val="28"/>
        </w:rPr>
      </w:pPr>
    </w:p>
    <w:p w14:paraId="5E861523" w14:textId="6DCBC9DA" w:rsidR="0083096B" w:rsidRDefault="00B455A7"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w:t>
      </w:r>
      <w:r w:rsidR="0083096B">
        <w:rPr>
          <w:rFonts w:ascii="Times New Roman" w:hAnsi="Times New Roman" w:cs="Times New Roman"/>
          <w:sz w:val="28"/>
          <w:szCs w:val="28"/>
        </w:rPr>
        <w:t xml:space="preserve"> </w:t>
      </w:r>
      <w:r w:rsidR="005E6060">
        <w:rPr>
          <w:rFonts w:ascii="Times New Roman" w:hAnsi="Times New Roman" w:cs="Times New Roman"/>
          <w:sz w:val="28"/>
          <w:szCs w:val="28"/>
        </w:rPr>
        <w:t xml:space="preserve">surety </w:t>
      </w:r>
      <w:r w:rsidR="0083096B">
        <w:rPr>
          <w:rFonts w:ascii="Times New Roman" w:hAnsi="Times New Roman" w:cs="Times New Roman"/>
          <w:sz w:val="28"/>
          <w:szCs w:val="28"/>
        </w:rPr>
        <w:t xml:space="preserve">related to the purchase by the </w:t>
      </w:r>
      <w:r w:rsidR="005D19D1">
        <w:rPr>
          <w:rFonts w:ascii="Times New Roman" w:hAnsi="Times New Roman" w:cs="Times New Roman"/>
          <w:sz w:val="28"/>
          <w:szCs w:val="28"/>
        </w:rPr>
        <w:t xml:space="preserve">Lauren Nash Business </w:t>
      </w:r>
      <w:r w:rsidR="0083096B">
        <w:rPr>
          <w:rFonts w:ascii="Times New Roman" w:hAnsi="Times New Roman" w:cs="Times New Roman"/>
          <w:sz w:val="28"/>
          <w:szCs w:val="28"/>
        </w:rPr>
        <w:t>Trust of property situated at 21 Kelly Street, North End</w:t>
      </w:r>
      <w:r w:rsidR="005D19D1">
        <w:rPr>
          <w:rFonts w:ascii="Times New Roman" w:hAnsi="Times New Roman" w:cs="Times New Roman"/>
          <w:sz w:val="28"/>
          <w:szCs w:val="28"/>
        </w:rPr>
        <w:t xml:space="preserve"> (“the property”)</w:t>
      </w:r>
      <w:r w:rsidR="0083096B">
        <w:rPr>
          <w:rFonts w:ascii="Times New Roman" w:hAnsi="Times New Roman" w:cs="Times New Roman"/>
          <w:sz w:val="28"/>
          <w:szCs w:val="28"/>
        </w:rPr>
        <w:t xml:space="preserve">.  The </w:t>
      </w:r>
      <w:r w:rsidR="005D19D1">
        <w:rPr>
          <w:rFonts w:ascii="Times New Roman" w:hAnsi="Times New Roman" w:cs="Times New Roman"/>
          <w:sz w:val="28"/>
          <w:szCs w:val="28"/>
        </w:rPr>
        <w:t xml:space="preserve">owner and </w:t>
      </w:r>
      <w:r w:rsidR="0083096B">
        <w:rPr>
          <w:rFonts w:ascii="Times New Roman" w:hAnsi="Times New Roman" w:cs="Times New Roman"/>
          <w:sz w:val="28"/>
          <w:szCs w:val="28"/>
        </w:rPr>
        <w:t xml:space="preserve">seller </w:t>
      </w:r>
      <w:r w:rsidR="005D19D1">
        <w:rPr>
          <w:rFonts w:ascii="Times New Roman" w:hAnsi="Times New Roman" w:cs="Times New Roman"/>
          <w:sz w:val="28"/>
          <w:szCs w:val="28"/>
        </w:rPr>
        <w:t xml:space="preserve">of the property </w:t>
      </w:r>
      <w:r w:rsidR="0083096B">
        <w:rPr>
          <w:rFonts w:ascii="Times New Roman" w:hAnsi="Times New Roman" w:cs="Times New Roman"/>
          <w:sz w:val="28"/>
          <w:szCs w:val="28"/>
        </w:rPr>
        <w:t xml:space="preserve">was the ALC Property </w:t>
      </w:r>
      <w:r w:rsidR="005D19D1">
        <w:rPr>
          <w:rFonts w:ascii="Times New Roman" w:hAnsi="Times New Roman" w:cs="Times New Roman"/>
          <w:sz w:val="28"/>
          <w:szCs w:val="28"/>
        </w:rPr>
        <w:t>Trust,</w:t>
      </w:r>
      <w:r w:rsidR="0083096B">
        <w:rPr>
          <w:rFonts w:ascii="Times New Roman" w:hAnsi="Times New Roman" w:cs="Times New Roman"/>
          <w:sz w:val="28"/>
          <w:szCs w:val="28"/>
        </w:rPr>
        <w:t xml:space="preserve"> of which entity the respondent was a trustee.</w:t>
      </w:r>
    </w:p>
    <w:p w14:paraId="58E5C863" w14:textId="77777777" w:rsidR="0083096B" w:rsidRPr="0083096B" w:rsidRDefault="0083096B" w:rsidP="0083096B">
      <w:pPr>
        <w:pStyle w:val="ListParagraph"/>
        <w:rPr>
          <w:rFonts w:ascii="Times New Roman" w:hAnsi="Times New Roman" w:cs="Times New Roman"/>
          <w:sz w:val="28"/>
          <w:szCs w:val="28"/>
        </w:rPr>
      </w:pPr>
    </w:p>
    <w:p w14:paraId="024574A8" w14:textId="663B1A1F" w:rsidR="0083096B" w:rsidRDefault="0083096B"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trustees of the purchasing trust were his mother, his then wife, and </w:t>
      </w:r>
      <w:r w:rsidR="007F72EF">
        <w:rPr>
          <w:rFonts w:ascii="Times New Roman" w:hAnsi="Times New Roman" w:cs="Times New Roman"/>
          <w:sz w:val="28"/>
          <w:szCs w:val="28"/>
        </w:rPr>
        <w:t>the respondent’s associate aforesaid</w:t>
      </w:r>
      <w:r>
        <w:rPr>
          <w:rFonts w:ascii="Times New Roman" w:hAnsi="Times New Roman" w:cs="Times New Roman"/>
          <w:sz w:val="28"/>
          <w:szCs w:val="28"/>
        </w:rPr>
        <w:t>.  Standard Bank granted a bond of R873 000.00 to finance the purchase consideration.  The suretyship in question</w:t>
      </w:r>
      <w:r w:rsidR="007F72EF">
        <w:rPr>
          <w:rFonts w:ascii="Times New Roman" w:hAnsi="Times New Roman" w:cs="Times New Roman"/>
          <w:sz w:val="28"/>
          <w:szCs w:val="28"/>
        </w:rPr>
        <w:t>,</w:t>
      </w:r>
      <w:r>
        <w:rPr>
          <w:rFonts w:ascii="Times New Roman" w:hAnsi="Times New Roman" w:cs="Times New Roman"/>
          <w:sz w:val="28"/>
          <w:szCs w:val="28"/>
        </w:rPr>
        <w:t xml:space="preserve"> executed on 2 May 2014</w:t>
      </w:r>
      <w:r w:rsidR="007F72EF">
        <w:rPr>
          <w:rFonts w:ascii="Times New Roman" w:hAnsi="Times New Roman" w:cs="Times New Roman"/>
          <w:sz w:val="28"/>
          <w:szCs w:val="28"/>
        </w:rPr>
        <w:t>,</w:t>
      </w:r>
      <w:r>
        <w:rPr>
          <w:rFonts w:ascii="Times New Roman" w:hAnsi="Times New Roman" w:cs="Times New Roman"/>
          <w:sz w:val="28"/>
          <w:szCs w:val="28"/>
        </w:rPr>
        <w:t xml:space="preserve"> was required from his mother in her capacity as trustee for the mortgage loan.  She was married in community of property to the complainant at the time and his signature would ostensibly have been required at the very least as a consenting spouse although he is reflected as a co-surety in the deed.</w:t>
      </w:r>
      <w:r w:rsidR="005E6060">
        <w:rPr>
          <w:rFonts w:ascii="Times New Roman" w:hAnsi="Times New Roman" w:cs="Times New Roman"/>
          <w:sz w:val="28"/>
          <w:szCs w:val="28"/>
        </w:rPr>
        <w:t xml:space="preserve"> There is no question though that his wife was the principal applicant</w:t>
      </w:r>
      <w:r w:rsidR="007F72EF">
        <w:rPr>
          <w:rFonts w:ascii="Times New Roman" w:hAnsi="Times New Roman" w:cs="Times New Roman"/>
          <w:sz w:val="28"/>
          <w:szCs w:val="28"/>
        </w:rPr>
        <w:t xml:space="preserve"> for financial assistance.</w:t>
      </w:r>
    </w:p>
    <w:p w14:paraId="3D98F9B8" w14:textId="77777777" w:rsidR="0083096B" w:rsidRPr="0083096B" w:rsidRDefault="0083096B" w:rsidP="0083096B">
      <w:pPr>
        <w:pStyle w:val="ListParagraph"/>
        <w:rPr>
          <w:rFonts w:ascii="Times New Roman" w:hAnsi="Times New Roman" w:cs="Times New Roman"/>
          <w:sz w:val="28"/>
          <w:szCs w:val="28"/>
        </w:rPr>
      </w:pPr>
    </w:p>
    <w:p w14:paraId="30B0D386" w14:textId="12186DF5" w:rsidR="0083096B" w:rsidRDefault="007F72EF"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Ms.</w:t>
      </w:r>
      <w:r w:rsidR="005E6060">
        <w:rPr>
          <w:rFonts w:ascii="Times New Roman" w:hAnsi="Times New Roman" w:cs="Times New Roman"/>
          <w:sz w:val="28"/>
          <w:szCs w:val="28"/>
        </w:rPr>
        <w:t xml:space="preserve"> </w:t>
      </w:r>
      <w:r w:rsidR="00B455A7">
        <w:rPr>
          <w:rFonts w:ascii="Times New Roman" w:hAnsi="Times New Roman" w:cs="Times New Roman"/>
          <w:sz w:val="28"/>
          <w:szCs w:val="28"/>
        </w:rPr>
        <w:t>Craddock</w:t>
      </w:r>
      <w:r w:rsidR="00291380">
        <w:rPr>
          <w:rFonts w:ascii="Times New Roman" w:hAnsi="Times New Roman" w:cs="Times New Roman"/>
          <w:sz w:val="28"/>
          <w:szCs w:val="28"/>
        </w:rPr>
        <w:t xml:space="preserve"> -</w:t>
      </w:r>
      <w:r w:rsidR="003210C0">
        <w:rPr>
          <w:rFonts w:ascii="Times New Roman" w:hAnsi="Times New Roman" w:cs="Times New Roman"/>
          <w:sz w:val="28"/>
          <w:szCs w:val="28"/>
        </w:rPr>
        <w:t xml:space="preserve"> </w:t>
      </w:r>
      <w:r>
        <w:rPr>
          <w:rFonts w:ascii="Times New Roman" w:hAnsi="Times New Roman" w:cs="Times New Roman"/>
          <w:sz w:val="28"/>
          <w:szCs w:val="28"/>
        </w:rPr>
        <w:t xml:space="preserve">the other attorney disciplined by this court arising from the same </w:t>
      </w:r>
      <w:r w:rsidR="008001A8">
        <w:rPr>
          <w:rFonts w:ascii="Times New Roman" w:hAnsi="Times New Roman" w:cs="Times New Roman"/>
          <w:sz w:val="28"/>
          <w:szCs w:val="28"/>
        </w:rPr>
        <w:t>alleged misconduct</w:t>
      </w:r>
      <w:r>
        <w:rPr>
          <w:rFonts w:ascii="Times New Roman" w:hAnsi="Times New Roman" w:cs="Times New Roman"/>
          <w:sz w:val="28"/>
          <w:szCs w:val="28"/>
        </w:rPr>
        <w:t xml:space="preserve">, </w:t>
      </w:r>
      <w:r w:rsidR="005E6060">
        <w:rPr>
          <w:rFonts w:ascii="Times New Roman" w:hAnsi="Times New Roman" w:cs="Times New Roman"/>
          <w:sz w:val="28"/>
          <w:szCs w:val="28"/>
        </w:rPr>
        <w:t>employed</w:t>
      </w:r>
      <w:r w:rsidR="003210C0">
        <w:rPr>
          <w:rFonts w:ascii="Times New Roman" w:hAnsi="Times New Roman" w:cs="Times New Roman"/>
          <w:sz w:val="28"/>
          <w:szCs w:val="28"/>
        </w:rPr>
        <w:t xml:space="preserve"> the respondent’s mother </w:t>
      </w:r>
      <w:r w:rsidR="005E6060">
        <w:rPr>
          <w:rFonts w:ascii="Times New Roman" w:hAnsi="Times New Roman" w:cs="Times New Roman"/>
          <w:sz w:val="28"/>
          <w:szCs w:val="28"/>
        </w:rPr>
        <w:t>at the time</w:t>
      </w:r>
      <w:r>
        <w:rPr>
          <w:rFonts w:ascii="Times New Roman" w:hAnsi="Times New Roman" w:cs="Times New Roman"/>
          <w:sz w:val="28"/>
          <w:szCs w:val="28"/>
        </w:rPr>
        <w:t>. She</w:t>
      </w:r>
      <w:r w:rsidR="005E6060">
        <w:rPr>
          <w:rFonts w:ascii="Times New Roman" w:hAnsi="Times New Roman" w:cs="Times New Roman"/>
          <w:sz w:val="28"/>
          <w:szCs w:val="28"/>
        </w:rPr>
        <w:t xml:space="preserve"> </w:t>
      </w:r>
      <w:r w:rsidR="003210C0">
        <w:rPr>
          <w:rFonts w:ascii="Times New Roman" w:hAnsi="Times New Roman" w:cs="Times New Roman"/>
          <w:sz w:val="28"/>
          <w:szCs w:val="28"/>
        </w:rPr>
        <w:t>acted as the transferring attorney.</w:t>
      </w:r>
    </w:p>
    <w:p w14:paraId="0AAF97B2" w14:textId="77777777" w:rsidR="003210C0" w:rsidRPr="003210C0" w:rsidRDefault="003210C0" w:rsidP="003210C0">
      <w:pPr>
        <w:pStyle w:val="ListParagraph"/>
        <w:rPr>
          <w:rFonts w:ascii="Times New Roman" w:hAnsi="Times New Roman" w:cs="Times New Roman"/>
          <w:sz w:val="28"/>
          <w:szCs w:val="28"/>
        </w:rPr>
      </w:pPr>
    </w:p>
    <w:p w14:paraId="0D5B3D3E" w14:textId="268A4328" w:rsidR="003210C0" w:rsidRDefault="003210C0"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bond registration was attended to by Bellingham Muller Attorneys.</w:t>
      </w:r>
      <w:r w:rsidR="005D12C2">
        <w:rPr>
          <w:rStyle w:val="FootnoteReference"/>
          <w:rFonts w:ascii="Times New Roman" w:hAnsi="Times New Roman" w:cs="Times New Roman"/>
          <w:sz w:val="28"/>
          <w:szCs w:val="28"/>
        </w:rPr>
        <w:footnoteReference w:id="10"/>
      </w:r>
      <w:r>
        <w:rPr>
          <w:rFonts w:ascii="Times New Roman" w:hAnsi="Times New Roman" w:cs="Times New Roman"/>
          <w:sz w:val="28"/>
          <w:szCs w:val="28"/>
        </w:rPr>
        <w:t xml:space="preserve">  </w:t>
      </w:r>
    </w:p>
    <w:p w14:paraId="00492222" w14:textId="77777777" w:rsidR="003210C0" w:rsidRPr="003210C0" w:rsidRDefault="003210C0" w:rsidP="003210C0">
      <w:pPr>
        <w:pStyle w:val="ListParagraph"/>
        <w:rPr>
          <w:rFonts w:ascii="Times New Roman" w:hAnsi="Times New Roman" w:cs="Times New Roman"/>
          <w:sz w:val="28"/>
          <w:szCs w:val="28"/>
        </w:rPr>
      </w:pPr>
    </w:p>
    <w:p w14:paraId="10AF2515" w14:textId="6466911E" w:rsidR="003210C0" w:rsidRDefault="003210C0"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transaction was registered in 2014.    </w:t>
      </w:r>
    </w:p>
    <w:p w14:paraId="2A2E48FC" w14:textId="77777777" w:rsidR="003210C0" w:rsidRPr="003210C0" w:rsidRDefault="003210C0" w:rsidP="003210C0">
      <w:pPr>
        <w:pStyle w:val="ListParagraph"/>
        <w:rPr>
          <w:rFonts w:ascii="Times New Roman" w:hAnsi="Times New Roman" w:cs="Times New Roman"/>
          <w:sz w:val="28"/>
          <w:szCs w:val="28"/>
        </w:rPr>
      </w:pPr>
    </w:p>
    <w:p w14:paraId="4CB2AFCA" w14:textId="36FD55A8" w:rsidR="003210C0" w:rsidRPr="00291380" w:rsidRDefault="003210C0" w:rsidP="00291380">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The property</w:t>
      </w:r>
      <w:r w:rsidR="00437085">
        <w:rPr>
          <w:rFonts w:ascii="Times New Roman" w:hAnsi="Times New Roman" w:cs="Times New Roman"/>
          <w:sz w:val="28"/>
          <w:szCs w:val="28"/>
        </w:rPr>
        <w:t>, after its transfer to the Lauren Nash Business Trust,</w:t>
      </w:r>
      <w:r>
        <w:rPr>
          <w:rFonts w:ascii="Times New Roman" w:hAnsi="Times New Roman" w:cs="Times New Roman"/>
          <w:sz w:val="28"/>
          <w:szCs w:val="28"/>
        </w:rPr>
        <w:t xml:space="preserve"> was “sectionalized” in March 2015 and the two sections marke</w:t>
      </w:r>
      <w:r w:rsidR="005E6060">
        <w:rPr>
          <w:rFonts w:ascii="Times New Roman" w:hAnsi="Times New Roman" w:cs="Times New Roman"/>
          <w:sz w:val="28"/>
          <w:szCs w:val="28"/>
        </w:rPr>
        <w:t>ted</w:t>
      </w:r>
      <w:r>
        <w:rPr>
          <w:rFonts w:ascii="Times New Roman" w:hAnsi="Times New Roman" w:cs="Times New Roman"/>
          <w:sz w:val="28"/>
          <w:szCs w:val="28"/>
        </w:rPr>
        <w:t xml:space="preserve"> for sale in the same year.  Both were sold and transferred by </w:t>
      </w:r>
      <w:r w:rsidR="005E6060">
        <w:rPr>
          <w:rFonts w:ascii="Times New Roman" w:hAnsi="Times New Roman" w:cs="Times New Roman"/>
          <w:sz w:val="28"/>
          <w:szCs w:val="28"/>
        </w:rPr>
        <w:t>mid-2016</w:t>
      </w:r>
      <w:r w:rsidR="007F72EF">
        <w:rPr>
          <w:rFonts w:ascii="Times New Roman" w:hAnsi="Times New Roman" w:cs="Times New Roman"/>
          <w:sz w:val="28"/>
          <w:szCs w:val="28"/>
        </w:rPr>
        <w:t xml:space="preserve"> so</w:t>
      </w:r>
      <w:r w:rsidR="00040501">
        <w:rPr>
          <w:rFonts w:ascii="Times New Roman" w:hAnsi="Times New Roman" w:cs="Times New Roman"/>
          <w:sz w:val="28"/>
          <w:szCs w:val="28"/>
        </w:rPr>
        <w:t xml:space="preserve"> that</w:t>
      </w:r>
      <w:r w:rsidR="007F72EF">
        <w:rPr>
          <w:rFonts w:ascii="Times New Roman" w:hAnsi="Times New Roman" w:cs="Times New Roman"/>
          <w:sz w:val="28"/>
          <w:szCs w:val="28"/>
        </w:rPr>
        <w:t xml:space="preserve"> b</w:t>
      </w:r>
      <w:r w:rsidRPr="007F72EF">
        <w:rPr>
          <w:rFonts w:ascii="Times New Roman" w:hAnsi="Times New Roman" w:cs="Times New Roman"/>
          <w:sz w:val="28"/>
          <w:szCs w:val="28"/>
        </w:rPr>
        <w:t>y the time the complaint was lodged the bond</w:t>
      </w:r>
      <w:r w:rsidR="00040501">
        <w:rPr>
          <w:rFonts w:ascii="Times New Roman" w:hAnsi="Times New Roman" w:cs="Times New Roman"/>
          <w:sz w:val="28"/>
          <w:szCs w:val="28"/>
        </w:rPr>
        <w:t xml:space="preserve"> as well as the impugned suretyship</w:t>
      </w:r>
      <w:r w:rsidRPr="007F72EF">
        <w:rPr>
          <w:rFonts w:ascii="Times New Roman" w:hAnsi="Times New Roman" w:cs="Times New Roman"/>
          <w:sz w:val="28"/>
          <w:szCs w:val="28"/>
        </w:rPr>
        <w:t xml:space="preserve"> had already been cancelled</w:t>
      </w:r>
      <w:r w:rsidR="00B455A7" w:rsidRPr="007F72EF">
        <w:rPr>
          <w:rFonts w:ascii="Times New Roman" w:hAnsi="Times New Roman" w:cs="Times New Roman"/>
          <w:sz w:val="28"/>
          <w:szCs w:val="28"/>
        </w:rPr>
        <w:t>.</w:t>
      </w:r>
      <w:r w:rsidRPr="007F72EF">
        <w:rPr>
          <w:rFonts w:ascii="Times New Roman" w:hAnsi="Times New Roman" w:cs="Times New Roman"/>
          <w:sz w:val="28"/>
          <w:szCs w:val="28"/>
        </w:rPr>
        <w:t xml:space="preserve">  </w:t>
      </w:r>
      <w:r w:rsidR="007F72EF">
        <w:rPr>
          <w:rFonts w:ascii="Times New Roman" w:hAnsi="Times New Roman" w:cs="Times New Roman"/>
          <w:sz w:val="28"/>
          <w:szCs w:val="28"/>
        </w:rPr>
        <w:t xml:space="preserve">Indeed, </w:t>
      </w:r>
      <w:r w:rsidR="00291380">
        <w:rPr>
          <w:rFonts w:ascii="Times New Roman" w:hAnsi="Times New Roman" w:cs="Times New Roman"/>
          <w:sz w:val="28"/>
          <w:szCs w:val="28"/>
        </w:rPr>
        <w:t>as</w:t>
      </w:r>
      <w:r w:rsidR="007F72EF">
        <w:rPr>
          <w:rFonts w:ascii="Times New Roman" w:hAnsi="Times New Roman" w:cs="Times New Roman"/>
          <w:sz w:val="28"/>
          <w:szCs w:val="28"/>
        </w:rPr>
        <w:t xml:space="preserve"> the respondent pointed out in seeking to dispel the concern that the complainant had been prejudiced by the </w:t>
      </w:r>
      <w:r w:rsidR="00291F97">
        <w:rPr>
          <w:rFonts w:ascii="Times New Roman" w:hAnsi="Times New Roman" w:cs="Times New Roman"/>
          <w:sz w:val="28"/>
          <w:szCs w:val="28"/>
        </w:rPr>
        <w:t>sure</w:t>
      </w:r>
      <w:r w:rsidR="008001A8">
        <w:rPr>
          <w:rFonts w:ascii="Times New Roman" w:hAnsi="Times New Roman" w:cs="Times New Roman"/>
          <w:sz w:val="28"/>
          <w:szCs w:val="28"/>
        </w:rPr>
        <w:t>t</w:t>
      </w:r>
      <w:r w:rsidR="00291F97">
        <w:rPr>
          <w:rFonts w:ascii="Times New Roman" w:hAnsi="Times New Roman" w:cs="Times New Roman"/>
          <w:sz w:val="28"/>
          <w:szCs w:val="28"/>
        </w:rPr>
        <w:t>y</w:t>
      </w:r>
      <w:r w:rsidR="007F72EF">
        <w:rPr>
          <w:rFonts w:ascii="Times New Roman" w:hAnsi="Times New Roman" w:cs="Times New Roman"/>
          <w:sz w:val="28"/>
          <w:szCs w:val="28"/>
        </w:rPr>
        <w:t>, t</w:t>
      </w:r>
      <w:r w:rsidR="007F72EF" w:rsidRPr="007F72EF">
        <w:rPr>
          <w:rFonts w:ascii="Times New Roman" w:hAnsi="Times New Roman" w:cs="Times New Roman"/>
          <w:sz w:val="28"/>
          <w:szCs w:val="28"/>
        </w:rPr>
        <w:t>here</w:t>
      </w:r>
      <w:r w:rsidRPr="007F72EF">
        <w:rPr>
          <w:rFonts w:ascii="Times New Roman" w:hAnsi="Times New Roman" w:cs="Times New Roman"/>
          <w:sz w:val="28"/>
          <w:szCs w:val="28"/>
        </w:rPr>
        <w:t xml:space="preserve"> was only a short period of time when there was an outstanding bond </w:t>
      </w:r>
      <w:r w:rsidR="00757BBC" w:rsidRPr="007F72EF">
        <w:rPr>
          <w:rFonts w:ascii="Times New Roman" w:hAnsi="Times New Roman" w:cs="Times New Roman"/>
          <w:sz w:val="28"/>
          <w:szCs w:val="28"/>
        </w:rPr>
        <w:t xml:space="preserve">for </w:t>
      </w:r>
      <w:r w:rsidRPr="007F72EF">
        <w:rPr>
          <w:rFonts w:ascii="Times New Roman" w:hAnsi="Times New Roman" w:cs="Times New Roman"/>
          <w:sz w:val="28"/>
          <w:szCs w:val="28"/>
        </w:rPr>
        <w:t xml:space="preserve">which </w:t>
      </w:r>
      <w:r w:rsidR="00B455A7" w:rsidRPr="007F72EF">
        <w:rPr>
          <w:rFonts w:ascii="Times New Roman" w:hAnsi="Times New Roman" w:cs="Times New Roman"/>
          <w:sz w:val="28"/>
          <w:szCs w:val="28"/>
        </w:rPr>
        <w:t xml:space="preserve">the </w:t>
      </w:r>
      <w:r w:rsidR="005E6060" w:rsidRPr="007F72EF">
        <w:rPr>
          <w:rFonts w:ascii="Times New Roman" w:hAnsi="Times New Roman" w:cs="Times New Roman"/>
          <w:sz w:val="28"/>
          <w:szCs w:val="28"/>
        </w:rPr>
        <w:t>surety</w:t>
      </w:r>
      <w:r w:rsidR="008001A8">
        <w:rPr>
          <w:rFonts w:ascii="Times New Roman" w:hAnsi="Times New Roman" w:cs="Times New Roman"/>
          <w:sz w:val="28"/>
          <w:szCs w:val="28"/>
        </w:rPr>
        <w:t xml:space="preserve"> </w:t>
      </w:r>
      <w:r w:rsidR="00C228D2">
        <w:rPr>
          <w:rFonts w:ascii="Times New Roman" w:hAnsi="Times New Roman" w:cs="Times New Roman"/>
          <w:sz w:val="28"/>
          <w:szCs w:val="28"/>
        </w:rPr>
        <w:t>commitment</w:t>
      </w:r>
      <w:r w:rsidRPr="007F72EF">
        <w:rPr>
          <w:rFonts w:ascii="Times New Roman" w:hAnsi="Times New Roman" w:cs="Times New Roman"/>
          <w:sz w:val="28"/>
          <w:szCs w:val="28"/>
        </w:rPr>
        <w:t xml:space="preserve"> </w:t>
      </w:r>
      <w:r w:rsidR="00B455A7" w:rsidRPr="007F72EF">
        <w:rPr>
          <w:rFonts w:ascii="Times New Roman" w:hAnsi="Times New Roman" w:cs="Times New Roman"/>
          <w:sz w:val="28"/>
          <w:szCs w:val="28"/>
        </w:rPr>
        <w:t>had been</w:t>
      </w:r>
      <w:r w:rsidRPr="007F72EF">
        <w:rPr>
          <w:rFonts w:ascii="Times New Roman" w:hAnsi="Times New Roman" w:cs="Times New Roman"/>
          <w:sz w:val="28"/>
          <w:szCs w:val="28"/>
        </w:rPr>
        <w:t xml:space="preserve"> </w:t>
      </w:r>
      <w:r w:rsidR="00757BBC" w:rsidRPr="007F72EF">
        <w:rPr>
          <w:rFonts w:ascii="Times New Roman" w:hAnsi="Times New Roman" w:cs="Times New Roman"/>
          <w:sz w:val="28"/>
          <w:szCs w:val="28"/>
        </w:rPr>
        <w:t>a requirement</w:t>
      </w:r>
      <w:r w:rsidRPr="007F72EF">
        <w:rPr>
          <w:rFonts w:ascii="Times New Roman" w:hAnsi="Times New Roman" w:cs="Times New Roman"/>
          <w:sz w:val="28"/>
          <w:szCs w:val="28"/>
        </w:rPr>
        <w:t>.</w:t>
      </w:r>
      <w:r w:rsidR="007F72EF" w:rsidRPr="00291380">
        <w:rPr>
          <w:rFonts w:ascii="Times New Roman" w:hAnsi="Times New Roman" w:cs="Times New Roman"/>
          <w:sz w:val="28"/>
          <w:szCs w:val="28"/>
        </w:rPr>
        <w:t xml:space="preserve"> </w:t>
      </w:r>
      <w:r w:rsidR="00291380">
        <w:rPr>
          <w:rFonts w:ascii="Times New Roman" w:hAnsi="Times New Roman" w:cs="Times New Roman"/>
          <w:sz w:val="28"/>
          <w:szCs w:val="28"/>
        </w:rPr>
        <w:t>(</w:t>
      </w:r>
      <w:r w:rsidR="007F72EF" w:rsidRPr="00291380">
        <w:rPr>
          <w:rFonts w:ascii="Times New Roman" w:hAnsi="Times New Roman" w:cs="Times New Roman"/>
          <w:sz w:val="28"/>
          <w:szCs w:val="28"/>
        </w:rPr>
        <w:t xml:space="preserve">As far as </w:t>
      </w:r>
      <w:r w:rsidR="00291380" w:rsidRPr="00291380">
        <w:rPr>
          <w:rFonts w:ascii="Times New Roman" w:hAnsi="Times New Roman" w:cs="Times New Roman"/>
          <w:sz w:val="28"/>
          <w:szCs w:val="28"/>
        </w:rPr>
        <w:t>he</w:t>
      </w:r>
      <w:r w:rsidR="007F72EF" w:rsidRPr="00291380">
        <w:rPr>
          <w:rFonts w:ascii="Times New Roman" w:hAnsi="Times New Roman" w:cs="Times New Roman"/>
          <w:sz w:val="28"/>
          <w:szCs w:val="28"/>
        </w:rPr>
        <w:t xml:space="preserve"> was concerned this rendered the complaint “academic” and gave fuel to his perception that the complainant was on a mission to get at him and his family.</w:t>
      </w:r>
      <w:r w:rsidR="00291380">
        <w:rPr>
          <w:rFonts w:ascii="Times New Roman" w:hAnsi="Times New Roman" w:cs="Times New Roman"/>
          <w:sz w:val="28"/>
          <w:szCs w:val="28"/>
        </w:rPr>
        <w:t>)</w:t>
      </w:r>
    </w:p>
    <w:p w14:paraId="7E0EA5EE" w14:textId="77777777" w:rsidR="00187995" w:rsidRPr="00187995" w:rsidRDefault="00187995" w:rsidP="00187995">
      <w:pPr>
        <w:pStyle w:val="ListParagraph"/>
        <w:rPr>
          <w:rFonts w:ascii="Times New Roman" w:hAnsi="Times New Roman" w:cs="Times New Roman"/>
          <w:sz w:val="28"/>
          <w:szCs w:val="28"/>
        </w:rPr>
      </w:pPr>
    </w:p>
    <w:p w14:paraId="13009B97" w14:textId="35E8C3D2" w:rsidR="00187995" w:rsidRDefault="00CF4741"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On the relevant page</w:t>
      </w:r>
      <w:r w:rsidR="00751BDF">
        <w:rPr>
          <w:rFonts w:ascii="Times New Roman" w:hAnsi="Times New Roman" w:cs="Times New Roman"/>
          <w:sz w:val="28"/>
          <w:szCs w:val="28"/>
        </w:rPr>
        <w:t xml:space="preserve"> of the deed</w:t>
      </w:r>
      <w:r w:rsidRPr="00187995">
        <w:rPr>
          <w:rFonts w:ascii="Times New Roman" w:hAnsi="Times New Roman" w:cs="Times New Roman"/>
          <w:sz w:val="28"/>
          <w:szCs w:val="28"/>
        </w:rPr>
        <w:t xml:space="preserve"> concerning </w:t>
      </w:r>
      <w:r w:rsidR="00291380">
        <w:rPr>
          <w:rFonts w:ascii="Times New Roman" w:hAnsi="Times New Roman" w:cs="Times New Roman"/>
          <w:sz w:val="28"/>
          <w:szCs w:val="28"/>
        </w:rPr>
        <w:t xml:space="preserve">him </w:t>
      </w:r>
      <w:r w:rsidRPr="00187995">
        <w:rPr>
          <w:rFonts w:ascii="Times New Roman" w:hAnsi="Times New Roman" w:cs="Times New Roman"/>
          <w:sz w:val="28"/>
          <w:szCs w:val="28"/>
        </w:rPr>
        <w:t xml:space="preserve">as surety </w:t>
      </w:r>
      <w:r w:rsidR="008132CA" w:rsidRPr="00187995">
        <w:rPr>
          <w:rFonts w:ascii="Times New Roman" w:hAnsi="Times New Roman" w:cs="Times New Roman"/>
          <w:sz w:val="28"/>
          <w:szCs w:val="28"/>
        </w:rPr>
        <w:t>number 2</w:t>
      </w:r>
      <w:r w:rsidRPr="00187995">
        <w:rPr>
          <w:rFonts w:ascii="Times New Roman" w:hAnsi="Times New Roman" w:cs="Times New Roman"/>
          <w:sz w:val="28"/>
          <w:szCs w:val="28"/>
        </w:rPr>
        <w:t xml:space="preserve"> a signature appears which</w:t>
      </w:r>
      <w:r w:rsidR="00291380">
        <w:rPr>
          <w:rFonts w:ascii="Times New Roman" w:hAnsi="Times New Roman" w:cs="Times New Roman"/>
          <w:sz w:val="28"/>
          <w:szCs w:val="28"/>
        </w:rPr>
        <w:t xml:space="preserve"> the complainant</w:t>
      </w:r>
      <w:r w:rsidR="00291380" w:rsidRPr="00187995">
        <w:rPr>
          <w:rFonts w:ascii="Times New Roman" w:hAnsi="Times New Roman" w:cs="Times New Roman"/>
          <w:sz w:val="28"/>
          <w:szCs w:val="28"/>
        </w:rPr>
        <w:t xml:space="preserve"> </w:t>
      </w:r>
      <w:r w:rsidRPr="00187995">
        <w:rPr>
          <w:rFonts w:ascii="Times New Roman" w:hAnsi="Times New Roman" w:cs="Times New Roman"/>
          <w:sz w:val="28"/>
          <w:szCs w:val="28"/>
        </w:rPr>
        <w:t>disavowed as his own.</w:t>
      </w:r>
      <w:r w:rsidR="001165B0" w:rsidRPr="00187995">
        <w:rPr>
          <w:rFonts w:ascii="Times New Roman" w:hAnsi="Times New Roman" w:cs="Times New Roman"/>
          <w:sz w:val="28"/>
          <w:szCs w:val="28"/>
        </w:rPr>
        <w:t xml:space="preserve"> </w:t>
      </w:r>
      <w:r w:rsidR="00E7350E" w:rsidRPr="00187995">
        <w:rPr>
          <w:rFonts w:ascii="Times New Roman" w:hAnsi="Times New Roman" w:cs="Times New Roman"/>
          <w:sz w:val="28"/>
          <w:szCs w:val="28"/>
        </w:rPr>
        <w:t>Likewise,</w:t>
      </w:r>
      <w:r w:rsidR="001165B0" w:rsidRPr="00187995">
        <w:rPr>
          <w:rFonts w:ascii="Times New Roman" w:hAnsi="Times New Roman" w:cs="Times New Roman"/>
          <w:sz w:val="28"/>
          <w:szCs w:val="28"/>
        </w:rPr>
        <w:t xml:space="preserve"> he alleged that he had not signed as the consenting spouse or in the other places appearing on the deed where </w:t>
      </w:r>
      <w:r w:rsidR="00757BBC">
        <w:rPr>
          <w:rFonts w:ascii="Times New Roman" w:hAnsi="Times New Roman" w:cs="Times New Roman"/>
          <w:sz w:val="28"/>
          <w:szCs w:val="28"/>
        </w:rPr>
        <w:t>the anticipated signatory in either capacity</w:t>
      </w:r>
      <w:r w:rsidR="001165B0" w:rsidRPr="00187995">
        <w:rPr>
          <w:rFonts w:ascii="Times New Roman" w:hAnsi="Times New Roman" w:cs="Times New Roman"/>
          <w:sz w:val="28"/>
          <w:szCs w:val="28"/>
        </w:rPr>
        <w:t xml:space="preserve"> had been expected to sign</w:t>
      </w:r>
      <w:r w:rsidR="00751BDF">
        <w:rPr>
          <w:rFonts w:ascii="Times New Roman" w:hAnsi="Times New Roman" w:cs="Times New Roman"/>
          <w:sz w:val="28"/>
          <w:szCs w:val="28"/>
        </w:rPr>
        <w:t xml:space="preserve"> or place his initial</w:t>
      </w:r>
      <w:r w:rsidR="003210C0">
        <w:rPr>
          <w:rFonts w:ascii="Times New Roman" w:hAnsi="Times New Roman" w:cs="Times New Roman"/>
          <w:sz w:val="28"/>
          <w:szCs w:val="28"/>
        </w:rPr>
        <w:t>s</w:t>
      </w:r>
      <w:r w:rsidR="00751BDF">
        <w:rPr>
          <w:rFonts w:ascii="Times New Roman" w:hAnsi="Times New Roman" w:cs="Times New Roman"/>
          <w:sz w:val="28"/>
          <w:szCs w:val="28"/>
        </w:rPr>
        <w:t xml:space="preserve">.  The person alleged to have </w:t>
      </w:r>
      <w:r w:rsidR="003210C0">
        <w:rPr>
          <w:rFonts w:ascii="Times New Roman" w:hAnsi="Times New Roman" w:cs="Times New Roman"/>
          <w:sz w:val="28"/>
          <w:szCs w:val="28"/>
        </w:rPr>
        <w:t xml:space="preserve">imitated his signature </w:t>
      </w:r>
      <w:r w:rsidR="00751BDF">
        <w:rPr>
          <w:rFonts w:ascii="Times New Roman" w:hAnsi="Times New Roman" w:cs="Times New Roman"/>
          <w:sz w:val="28"/>
          <w:szCs w:val="28"/>
        </w:rPr>
        <w:t>however signed</w:t>
      </w:r>
      <w:r w:rsidR="003210C0">
        <w:rPr>
          <w:rFonts w:ascii="Times New Roman" w:hAnsi="Times New Roman" w:cs="Times New Roman"/>
          <w:sz w:val="28"/>
          <w:szCs w:val="28"/>
        </w:rPr>
        <w:t xml:space="preserve"> on the deed in ten </w:t>
      </w:r>
      <w:r w:rsidR="00751BDF">
        <w:rPr>
          <w:rFonts w:ascii="Times New Roman" w:hAnsi="Times New Roman" w:cs="Times New Roman"/>
          <w:sz w:val="28"/>
          <w:szCs w:val="28"/>
        </w:rPr>
        <w:t>different places</w:t>
      </w:r>
      <w:r w:rsidR="001165B0" w:rsidRPr="00187995">
        <w:rPr>
          <w:rFonts w:ascii="Times New Roman" w:hAnsi="Times New Roman" w:cs="Times New Roman"/>
          <w:sz w:val="28"/>
          <w:szCs w:val="28"/>
        </w:rPr>
        <w:t>.</w:t>
      </w:r>
    </w:p>
    <w:p w14:paraId="195DBAB6" w14:textId="77777777" w:rsidR="00187995" w:rsidRPr="00187995" w:rsidRDefault="00187995" w:rsidP="00187995">
      <w:pPr>
        <w:pStyle w:val="ListParagraph"/>
        <w:rPr>
          <w:rFonts w:ascii="Times New Roman" w:hAnsi="Times New Roman" w:cs="Times New Roman"/>
          <w:sz w:val="28"/>
          <w:szCs w:val="28"/>
        </w:rPr>
      </w:pPr>
    </w:p>
    <w:p w14:paraId="3BD09D34" w14:textId="0AA8E30F" w:rsidR="00187995" w:rsidRDefault="00CF4741"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The</w:t>
      </w:r>
      <w:r w:rsidR="00757BBC">
        <w:rPr>
          <w:rFonts w:ascii="Times New Roman" w:hAnsi="Times New Roman" w:cs="Times New Roman"/>
          <w:sz w:val="28"/>
          <w:szCs w:val="28"/>
        </w:rPr>
        <w:t xml:space="preserve"> </w:t>
      </w:r>
      <w:r w:rsidRPr="00187995">
        <w:rPr>
          <w:rFonts w:ascii="Times New Roman" w:hAnsi="Times New Roman" w:cs="Times New Roman"/>
          <w:sz w:val="28"/>
          <w:szCs w:val="28"/>
        </w:rPr>
        <w:t xml:space="preserve">respondent signed </w:t>
      </w:r>
      <w:r w:rsidR="007E6BAE" w:rsidRPr="00187995">
        <w:rPr>
          <w:rFonts w:ascii="Times New Roman" w:hAnsi="Times New Roman" w:cs="Times New Roman"/>
          <w:sz w:val="28"/>
          <w:szCs w:val="28"/>
        </w:rPr>
        <w:t xml:space="preserve">the deed </w:t>
      </w:r>
      <w:r w:rsidRPr="00187995">
        <w:rPr>
          <w:rFonts w:ascii="Times New Roman" w:hAnsi="Times New Roman" w:cs="Times New Roman"/>
          <w:sz w:val="28"/>
          <w:szCs w:val="28"/>
        </w:rPr>
        <w:t>as witness</w:t>
      </w:r>
      <w:r w:rsidR="005D12C2">
        <w:rPr>
          <w:rFonts w:ascii="Times New Roman" w:hAnsi="Times New Roman" w:cs="Times New Roman"/>
          <w:sz w:val="28"/>
          <w:szCs w:val="28"/>
        </w:rPr>
        <w:t xml:space="preserve"> number 1</w:t>
      </w:r>
      <w:r w:rsidRPr="00187995">
        <w:rPr>
          <w:rFonts w:ascii="Times New Roman" w:hAnsi="Times New Roman" w:cs="Times New Roman"/>
          <w:sz w:val="28"/>
          <w:szCs w:val="28"/>
        </w:rPr>
        <w:t xml:space="preserve"> in confirmation that the designated </w:t>
      </w:r>
      <w:r w:rsidR="00AF6B86" w:rsidRPr="00187995">
        <w:rPr>
          <w:rFonts w:ascii="Times New Roman" w:hAnsi="Times New Roman" w:cs="Times New Roman"/>
          <w:sz w:val="28"/>
          <w:szCs w:val="28"/>
        </w:rPr>
        <w:t>sureties</w:t>
      </w:r>
      <w:r w:rsidR="00757BBC">
        <w:rPr>
          <w:rFonts w:ascii="Times New Roman" w:hAnsi="Times New Roman" w:cs="Times New Roman"/>
          <w:sz w:val="28"/>
          <w:szCs w:val="28"/>
        </w:rPr>
        <w:t xml:space="preserve"> -</w:t>
      </w:r>
      <w:r w:rsidR="001165B0" w:rsidRPr="00187995">
        <w:rPr>
          <w:rFonts w:ascii="Times New Roman" w:hAnsi="Times New Roman" w:cs="Times New Roman"/>
          <w:sz w:val="28"/>
          <w:szCs w:val="28"/>
        </w:rPr>
        <w:t xml:space="preserve"> the complainant and his mother, </w:t>
      </w:r>
      <w:r w:rsidR="00AF6B86" w:rsidRPr="00187995">
        <w:rPr>
          <w:rFonts w:ascii="Times New Roman" w:hAnsi="Times New Roman" w:cs="Times New Roman"/>
          <w:sz w:val="28"/>
          <w:szCs w:val="28"/>
        </w:rPr>
        <w:t>had</w:t>
      </w:r>
      <w:r w:rsidR="008132CA" w:rsidRPr="00187995">
        <w:rPr>
          <w:rFonts w:ascii="Times New Roman" w:hAnsi="Times New Roman" w:cs="Times New Roman"/>
          <w:sz w:val="28"/>
          <w:szCs w:val="28"/>
        </w:rPr>
        <w:t xml:space="preserve"> </w:t>
      </w:r>
      <w:r w:rsidRPr="00187995">
        <w:rPr>
          <w:rFonts w:ascii="Times New Roman" w:hAnsi="Times New Roman" w:cs="Times New Roman"/>
          <w:sz w:val="28"/>
          <w:szCs w:val="28"/>
        </w:rPr>
        <w:t>brought their signature</w:t>
      </w:r>
      <w:r w:rsidR="008132CA" w:rsidRPr="00187995">
        <w:rPr>
          <w:rFonts w:ascii="Times New Roman" w:hAnsi="Times New Roman" w:cs="Times New Roman"/>
          <w:sz w:val="28"/>
          <w:szCs w:val="28"/>
        </w:rPr>
        <w:t>s</w:t>
      </w:r>
      <w:r w:rsidRPr="00187995">
        <w:rPr>
          <w:rFonts w:ascii="Times New Roman" w:hAnsi="Times New Roman" w:cs="Times New Roman"/>
          <w:sz w:val="28"/>
          <w:szCs w:val="28"/>
        </w:rPr>
        <w:t xml:space="preserve"> to bear on the deed of </w:t>
      </w:r>
      <w:r w:rsidR="008132CA" w:rsidRPr="00187995">
        <w:rPr>
          <w:rFonts w:ascii="Times New Roman" w:hAnsi="Times New Roman" w:cs="Times New Roman"/>
          <w:sz w:val="28"/>
          <w:szCs w:val="28"/>
        </w:rPr>
        <w:t>surety</w:t>
      </w:r>
      <w:r w:rsidRPr="00187995">
        <w:rPr>
          <w:rFonts w:ascii="Times New Roman" w:hAnsi="Times New Roman" w:cs="Times New Roman"/>
          <w:sz w:val="28"/>
          <w:szCs w:val="28"/>
        </w:rPr>
        <w:t>ship</w:t>
      </w:r>
      <w:r w:rsidR="00291380">
        <w:rPr>
          <w:rFonts w:ascii="Times New Roman" w:hAnsi="Times New Roman" w:cs="Times New Roman"/>
          <w:sz w:val="28"/>
          <w:szCs w:val="28"/>
        </w:rPr>
        <w:t>,</w:t>
      </w:r>
      <w:r w:rsidRPr="00187995">
        <w:rPr>
          <w:rFonts w:ascii="Times New Roman" w:hAnsi="Times New Roman" w:cs="Times New Roman"/>
          <w:sz w:val="28"/>
          <w:szCs w:val="28"/>
        </w:rPr>
        <w:t xml:space="preserve"> </w:t>
      </w:r>
      <w:r w:rsidR="007E6BAE" w:rsidRPr="00187995">
        <w:rPr>
          <w:rFonts w:ascii="Times New Roman" w:hAnsi="Times New Roman" w:cs="Times New Roman"/>
          <w:sz w:val="28"/>
          <w:szCs w:val="28"/>
        </w:rPr>
        <w:t>and</w:t>
      </w:r>
      <w:r w:rsidRPr="00187995">
        <w:rPr>
          <w:rFonts w:ascii="Times New Roman" w:hAnsi="Times New Roman" w:cs="Times New Roman"/>
          <w:sz w:val="28"/>
          <w:szCs w:val="28"/>
        </w:rPr>
        <w:t xml:space="preserve"> ostensibly </w:t>
      </w:r>
      <w:r w:rsidR="001165B0" w:rsidRPr="00187995">
        <w:rPr>
          <w:rFonts w:ascii="Times New Roman" w:hAnsi="Times New Roman" w:cs="Times New Roman"/>
          <w:sz w:val="28"/>
          <w:szCs w:val="28"/>
        </w:rPr>
        <w:t xml:space="preserve">also </w:t>
      </w:r>
      <w:r w:rsidRPr="00187995">
        <w:rPr>
          <w:rFonts w:ascii="Times New Roman" w:hAnsi="Times New Roman" w:cs="Times New Roman"/>
          <w:sz w:val="28"/>
          <w:szCs w:val="28"/>
        </w:rPr>
        <w:t xml:space="preserve">as one of two competent witnesses </w:t>
      </w:r>
      <w:r w:rsidR="00291380">
        <w:rPr>
          <w:rFonts w:ascii="Times New Roman" w:hAnsi="Times New Roman" w:cs="Times New Roman"/>
          <w:sz w:val="28"/>
          <w:szCs w:val="28"/>
        </w:rPr>
        <w:t>on the basis</w:t>
      </w:r>
      <w:r w:rsidR="00751BDF">
        <w:rPr>
          <w:rFonts w:ascii="Times New Roman" w:hAnsi="Times New Roman" w:cs="Times New Roman"/>
          <w:sz w:val="28"/>
          <w:szCs w:val="28"/>
        </w:rPr>
        <w:t xml:space="preserve"> </w:t>
      </w:r>
      <w:r w:rsidR="007E6BAE" w:rsidRPr="00187995">
        <w:rPr>
          <w:rFonts w:ascii="Times New Roman" w:hAnsi="Times New Roman" w:cs="Times New Roman"/>
          <w:sz w:val="28"/>
          <w:szCs w:val="28"/>
        </w:rPr>
        <w:t>required by the provisions</w:t>
      </w:r>
      <w:r w:rsidRPr="00187995">
        <w:rPr>
          <w:rFonts w:ascii="Times New Roman" w:hAnsi="Times New Roman" w:cs="Times New Roman"/>
          <w:sz w:val="28"/>
          <w:szCs w:val="28"/>
        </w:rPr>
        <w:t xml:space="preserve"> of section 15</w:t>
      </w:r>
      <w:r w:rsidR="00291F97">
        <w:rPr>
          <w:rFonts w:ascii="Times New Roman" w:hAnsi="Times New Roman" w:cs="Times New Roman"/>
          <w:sz w:val="28"/>
          <w:szCs w:val="28"/>
        </w:rPr>
        <w:t xml:space="preserve"> (1)</w:t>
      </w:r>
      <w:r w:rsidRPr="00187995">
        <w:rPr>
          <w:rFonts w:ascii="Times New Roman" w:hAnsi="Times New Roman" w:cs="Times New Roman"/>
          <w:sz w:val="28"/>
          <w:szCs w:val="28"/>
        </w:rPr>
        <w:t xml:space="preserve"> of the </w:t>
      </w:r>
      <w:r w:rsidR="008132CA" w:rsidRPr="00187995">
        <w:rPr>
          <w:rFonts w:ascii="Times New Roman" w:hAnsi="Times New Roman" w:cs="Times New Roman"/>
          <w:sz w:val="28"/>
          <w:szCs w:val="28"/>
        </w:rPr>
        <w:t>M</w:t>
      </w:r>
      <w:r w:rsidRPr="00187995">
        <w:rPr>
          <w:rFonts w:ascii="Times New Roman" w:hAnsi="Times New Roman" w:cs="Times New Roman"/>
          <w:sz w:val="28"/>
          <w:szCs w:val="28"/>
        </w:rPr>
        <w:t xml:space="preserve">atrimonial </w:t>
      </w:r>
      <w:r w:rsidR="008132CA" w:rsidRPr="00187995">
        <w:rPr>
          <w:rFonts w:ascii="Times New Roman" w:hAnsi="Times New Roman" w:cs="Times New Roman"/>
          <w:sz w:val="28"/>
          <w:szCs w:val="28"/>
        </w:rPr>
        <w:t>P</w:t>
      </w:r>
      <w:r w:rsidRPr="00187995">
        <w:rPr>
          <w:rFonts w:ascii="Times New Roman" w:hAnsi="Times New Roman" w:cs="Times New Roman"/>
          <w:sz w:val="28"/>
          <w:szCs w:val="28"/>
        </w:rPr>
        <w:t xml:space="preserve">roperty </w:t>
      </w:r>
      <w:r w:rsidR="008132CA" w:rsidRPr="00187995">
        <w:rPr>
          <w:rFonts w:ascii="Times New Roman" w:hAnsi="Times New Roman" w:cs="Times New Roman"/>
          <w:sz w:val="28"/>
          <w:szCs w:val="28"/>
        </w:rPr>
        <w:t>A</w:t>
      </w:r>
      <w:r w:rsidRPr="00187995">
        <w:rPr>
          <w:rFonts w:ascii="Times New Roman" w:hAnsi="Times New Roman" w:cs="Times New Roman"/>
          <w:sz w:val="28"/>
          <w:szCs w:val="28"/>
        </w:rPr>
        <w:t>c</w:t>
      </w:r>
      <w:r w:rsidR="00FE673A">
        <w:rPr>
          <w:rFonts w:ascii="Times New Roman" w:hAnsi="Times New Roman" w:cs="Times New Roman"/>
          <w:sz w:val="28"/>
          <w:szCs w:val="28"/>
        </w:rPr>
        <w:t>t, No.</w:t>
      </w:r>
      <w:r w:rsidR="008132CA" w:rsidRPr="00187995">
        <w:rPr>
          <w:rFonts w:ascii="Times New Roman" w:hAnsi="Times New Roman" w:cs="Times New Roman"/>
          <w:sz w:val="28"/>
          <w:szCs w:val="28"/>
        </w:rPr>
        <w:t xml:space="preserve"> 88 of 1984,</w:t>
      </w:r>
      <w:r w:rsidRPr="00187995">
        <w:rPr>
          <w:rFonts w:ascii="Times New Roman" w:hAnsi="Times New Roman" w:cs="Times New Roman"/>
          <w:sz w:val="28"/>
          <w:szCs w:val="28"/>
        </w:rPr>
        <w:t xml:space="preserve"> to confirm the signatures of the “consenting sp</w:t>
      </w:r>
      <w:r w:rsidR="008132CA" w:rsidRPr="00187995">
        <w:rPr>
          <w:rFonts w:ascii="Times New Roman" w:hAnsi="Times New Roman" w:cs="Times New Roman"/>
          <w:sz w:val="28"/>
          <w:szCs w:val="28"/>
        </w:rPr>
        <w:t>ouses”</w:t>
      </w:r>
      <w:r w:rsidRPr="00187995">
        <w:rPr>
          <w:rFonts w:ascii="Times New Roman" w:hAnsi="Times New Roman" w:cs="Times New Roman"/>
          <w:sz w:val="28"/>
          <w:szCs w:val="28"/>
        </w:rPr>
        <w:t>. The respondent</w:t>
      </w:r>
      <w:r w:rsidR="008001A8">
        <w:rPr>
          <w:rFonts w:ascii="Times New Roman" w:hAnsi="Times New Roman" w:cs="Times New Roman"/>
          <w:sz w:val="28"/>
          <w:szCs w:val="28"/>
        </w:rPr>
        <w:t>’</w:t>
      </w:r>
      <w:r w:rsidR="00291F97">
        <w:rPr>
          <w:rFonts w:ascii="Times New Roman" w:hAnsi="Times New Roman" w:cs="Times New Roman"/>
          <w:sz w:val="28"/>
          <w:szCs w:val="28"/>
        </w:rPr>
        <w:t xml:space="preserve">s </w:t>
      </w:r>
      <w:r w:rsidR="007E6BAE" w:rsidRPr="00187995">
        <w:rPr>
          <w:rFonts w:ascii="Times New Roman" w:hAnsi="Times New Roman" w:cs="Times New Roman"/>
          <w:sz w:val="28"/>
          <w:szCs w:val="28"/>
        </w:rPr>
        <w:t>professional</w:t>
      </w:r>
      <w:r w:rsidRPr="00187995">
        <w:rPr>
          <w:rFonts w:ascii="Times New Roman" w:hAnsi="Times New Roman" w:cs="Times New Roman"/>
          <w:sz w:val="28"/>
          <w:szCs w:val="28"/>
        </w:rPr>
        <w:t xml:space="preserve"> name stamp </w:t>
      </w:r>
      <w:r w:rsidR="00291F97">
        <w:rPr>
          <w:rFonts w:ascii="Times New Roman" w:hAnsi="Times New Roman" w:cs="Times New Roman"/>
          <w:sz w:val="28"/>
          <w:szCs w:val="28"/>
        </w:rPr>
        <w:t>appears i</w:t>
      </w:r>
      <w:r w:rsidRPr="00187995">
        <w:rPr>
          <w:rFonts w:ascii="Times New Roman" w:hAnsi="Times New Roman" w:cs="Times New Roman"/>
          <w:sz w:val="28"/>
          <w:szCs w:val="28"/>
        </w:rPr>
        <w:t>n four places below his full signature</w:t>
      </w:r>
      <w:r w:rsidR="007E6BAE" w:rsidRPr="00187995">
        <w:rPr>
          <w:rFonts w:ascii="Times New Roman" w:hAnsi="Times New Roman" w:cs="Times New Roman"/>
          <w:sz w:val="28"/>
          <w:szCs w:val="28"/>
        </w:rPr>
        <w:t xml:space="preserve"> where these occur</w:t>
      </w:r>
      <w:r w:rsidR="008132CA" w:rsidRPr="00187995">
        <w:rPr>
          <w:rFonts w:ascii="Times New Roman" w:hAnsi="Times New Roman" w:cs="Times New Roman"/>
          <w:sz w:val="28"/>
          <w:szCs w:val="28"/>
        </w:rPr>
        <w:t xml:space="preserve"> in the document</w:t>
      </w:r>
      <w:r w:rsidR="005D12C2">
        <w:rPr>
          <w:rFonts w:ascii="Times New Roman" w:hAnsi="Times New Roman" w:cs="Times New Roman"/>
          <w:sz w:val="28"/>
          <w:szCs w:val="28"/>
        </w:rPr>
        <w:t xml:space="preserve"> as witness number 1</w:t>
      </w:r>
      <w:r w:rsidR="008E5BC1">
        <w:rPr>
          <w:rFonts w:ascii="Times New Roman" w:hAnsi="Times New Roman" w:cs="Times New Roman"/>
          <w:sz w:val="28"/>
          <w:szCs w:val="28"/>
        </w:rPr>
        <w:t>.</w:t>
      </w:r>
      <w:r w:rsidR="00751BDF">
        <w:rPr>
          <w:rFonts w:ascii="Times New Roman" w:hAnsi="Times New Roman" w:cs="Times New Roman"/>
          <w:sz w:val="28"/>
          <w:szCs w:val="28"/>
        </w:rPr>
        <w:t xml:space="preserve"> </w:t>
      </w:r>
      <w:r w:rsidR="008E5BC1">
        <w:rPr>
          <w:rFonts w:ascii="Times New Roman" w:hAnsi="Times New Roman" w:cs="Times New Roman"/>
          <w:sz w:val="28"/>
          <w:szCs w:val="28"/>
        </w:rPr>
        <w:t>H</w:t>
      </w:r>
      <w:r w:rsidR="00751BDF">
        <w:rPr>
          <w:rFonts w:ascii="Times New Roman" w:hAnsi="Times New Roman" w:cs="Times New Roman"/>
          <w:sz w:val="28"/>
          <w:szCs w:val="28"/>
        </w:rPr>
        <w:t>is initials appear i</w:t>
      </w:r>
      <w:r w:rsidR="007E6BAE" w:rsidRPr="00187995">
        <w:rPr>
          <w:rFonts w:ascii="Times New Roman" w:hAnsi="Times New Roman" w:cs="Times New Roman"/>
          <w:sz w:val="28"/>
          <w:szCs w:val="28"/>
        </w:rPr>
        <w:t>n five</w:t>
      </w:r>
      <w:r w:rsidR="008E5BC1" w:rsidRPr="00187995">
        <w:rPr>
          <w:rFonts w:ascii="Times New Roman" w:hAnsi="Times New Roman" w:cs="Times New Roman"/>
          <w:sz w:val="28"/>
          <w:szCs w:val="28"/>
        </w:rPr>
        <w:t xml:space="preserve"> other </w:t>
      </w:r>
      <w:r w:rsidR="007E6BAE" w:rsidRPr="00187995">
        <w:rPr>
          <w:rFonts w:ascii="Times New Roman" w:hAnsi="Times New Roman" w:cs="Times New Roman"/>
          <w:sz w:val="28"/>
          <w:szCs w:val="28"/>
        </w:rPr>
        <w:t>places in the deed.</w:t>
      </w:r>
      <w:r w:rsidR="001165B0" w:rsidRPr="00187995">
        <w:rPr>
          <w:rFonts w:ascii="Times New Roman" w:hAnsi="Times New Roman" w:cs="Times New Roman"/>
          <w:sz w:val="28"/>
          <w:szCs w:val="28"/>
        </w:rPr>
        <w:t xml:space="preserve"> There is no question that this is his own signature and that he </w:t>
      </w:r>
      <w:r w:rsidR="00291380">
        <w:rPr>
          <w:rFonts w:ascii="Times New Roman" w:hAnsi="Times New Roman" w:cs="Times New Roman"/>
          <w:sz w:val="28"/>
          <w:szCs w:val="28"/>
        </w:rPr>
        <w:t>had acted</w:t>
      </w:r>
      <w:r w:rsidR="001165B0" w:rsidRPr="00187995">
        <w:rPr>
          <w:rFonts w:ascii="Times New Roman" w:hAnsi="Times New Roman" w:cs="Times New Roman"/>
          <w:sz w:val="28"/>
          <w:szCs w:val="28"/>
        </w:rPr>
        <w:t xml:space="preserve"> in a professional capacity</w:t>
      </w:r>
      <w:r w:rsidR="00757BBC">
        <w:rPr>
          <w:rFonts w:ascii="Times New Roman" w:hAnsi="Times New Roman" w:cs="Times New Roman"/>
          <w:sz w:val="28"/>
          <w:szCs w:val="28"/>
        </w:rPr>
        <w:t xml:space="preserve"> (evidenced by the affixing of his professional </w:t>
      </w:r>
      <w:r w:rsidR="00757BBC">
        <w:rPr>
          <w:rFonts w:ascii="Times New Roman" w:hAnsi="Times New Roman" w:cs="Times New Roman"/>
          <w:sz w:val="28"/>
          <w:szCs w:val="28"/>
        </w:rPr>
        <w:lastRenderedPageBreak/>
        <w:t>stamp)</w:t>
      </w:r>
      <w:r w:rsidR="001165B0" w:rsidRPr="00187995">
        <w:rPr>
          <w:rFonts w:ascii="Times New Roman" w:hAnsi="Times New Roman" w:cs="Times New Roman"/>
          <w:sz w:val="28"/>
          <w:szCs w:val="28"/>
        </w:rPr>
        <w:t xml:space="preserve"> in putting it to paper</w:t>
      </w:r>
      <w:r w:rsidR="00291F97">
        <w:rPr>
          <w:rFonts w:ascii="Times New Roman" w:hAnsi="Times New Roman" w:cs="Times New Roman"/>
          <w:sz w:val="28"/>
          <w:szCs w:val="28"/>
        </w:rPr>
        <w:t xml:space="preserve"> and thereby verifying the signatures and promoting the validity of the deed</w:t>
      </w:r>
      <w:r w:rsidR="00040501">
        <w:rPr>
          <w:rFonts w:ascii="Times New Roman" w:hAnsi="Times New Roman" w:cs="Times New Roman"/>
          <w:sz w:val="28"/>
          <w:szCs w:val="28"/>
        </w:rPr>
        <w:t xml:space="preserve"> and the consent of the spouses.</w:t>
      </w:r>
      <w:r w:rsidR="005D12C2">
        <w:rPr>
          <w:rFonts w:ascii="Times New Roman" w:hAnsi="Times New Roman" w:cs="Times New Roman"/>
          <w:sz w:val="28"/>
          <w:szCs w:val="28"/>
        </w:rPr>
        <w:t xml:space="preserve">  In the deed itself a clause dealing with “confirmation of compliance with formalities” invites an expectation that Standard Bank or its agent over</w:t>
      </w:r>
      <w:r w:rsidR="00A36DE3">
        <w:rPr>
          <w:rFonts w:ascii="Times New Roman" w:hAnsi="Times New Roman" w:cs="Times New Roman"/>
          <w:sz w:val="28"/>
          <w:szCs w:val="28"/>
        </w:rPr>
        <w:t>seeing the signing has explained the contents of the deed to signatures and its particular import including the right to get independent legal advice to make sure that they understand their commitment as surety.  It further acknowledges that they have been “given an adequate opportunity to read and understand the terms and conditions” and “have been made aware of the condition … printed in bold”, that the deed has been completed in all respects up to the confirmation clause and that their marital status has been recorded and that the consent of spouses, where applicable, has been completed and signed.</w:t>
      </w:r>
    </w:p>
    <w:p w14:paraId="4D2B9980" w14:textId="77777777" w:rsidR="00187995" w:rsidRPr="00187995" w:rsidRDefault="00187995" w:rsidP="00187995">
      <w:pPr>
        <w:pStyle w:val="ListParagraph"/>
        <w:rPr>
          <w:rFonts w:ascii="Times New Roman" w:hAnsi="Times New Roman" w:cs="Times New Roman"/>
          <w:sz w:val="28"/>
          <w:szCs w:val="28"/>
        </w:rPr>
      </w:pPr>
    </w:p>
    <w:p w14:paraId="23A45539" w14:textId="352B9873" w:rsidR="00187995" w:rsidRPr="00291F97" w:rsidRDefault="00437085" w:rsidP="00457054">
      <w:pPr>
        <w:pStyle w:val="ListParagraph"/>
        <w:numPr>
          <w:ilvl w:val="0"/>
          <w:numId w:val="1"/>
        </w:numPr>
        <w:spacing w:line="360" w:lineRule="auto"/>
        <w:ind w:left="0" w:firstLine="0"/>
        <w:jc w:val="both"/>
        <w:rPr>
          <w:rFonts w:ascii="Times New Roman" w:hAnsi="Times New Roman" w:cs="Times New Roman"/>
          <w:sz w:val="28"/>
          <w:szCs w:val="28"/>
        </w:rPr>
      </w:pPr>
      <w:r w:rsidRPr="00291F97">
        <w:rPr>
          <w:rFonts w:ascii="Times New Roman" w:hAnsi="Times New Roman" w:cs="Times New Roman"/>
          <w:sz w:val="28"/>
          <w:szCs w:val="28"/>
        </w:rPr>
        <w:t xml:space="preserve">On the same date </w:t>
      </w:r>
      <w:r w:rsidR="00291380" w:rsidRPr="00291F97">
        <w:rPr>
          <w:rFonts w:ascii="Times New Roman" w:hAnsi="Times New Roman" w:cs="Times New Roman"/>
          <w:sz w:val="28"/>
          <w:szCs w:val="28"/>
        </w:rPr>
        <w:t xml:space="preserve">Ms. Craddock </w:t>
      </w:r>
      <w:r w:rsidR="008132CA" w:rsidRPr="00291F97">
        <w:rPr>
          <w:rFonts w:ascii="Times New Roman" w:hAnsi="Times New Roman" w:cs="Times New Roman"/>
          <w:sz w:val="28"/>
          <w:szCs w:val="28"/>
        </w:rPr>
        <w:t xml:space="preserve">ostensibly </w:t>
      </w:r>
      <w:r w:rsidR="00291380" w:rsidRPr="00291F97">
        <w:rPr>
          <w:rFonts w:ascii="Times New Roman" w:hAnsi="Times New Roman" w:cs="Times New Roman"/>
          <w:sz w:val="28"/>
          <w:szCs w:val="28"/>
        </w:rPr>
        <w:t xml:space="preserve">also </w:t>
      </w:r>
      <w:r w:rsidR="008132CA" w:rsidRPr="00291F97">
        <w:rPr>
          <w:rFonts w:ascii="Times New Roman" w:hAnsi="Times New Roman" w:cs="Times New Roman"/>
          <w:sz w:val="28"/>
          <w:szCs w:val="28"/>
        </w:rPr>
        <w:t xml:space="preserve">brought her confirmatory signature to bear on the deed </w:t>
      </w:r>
      <w:r w:rsidR="000346E1" w:rsidRPr="00291F97">
        <w:rPr>
          <w:rFonts w:ascii="Times New Roman" w:hAnsi="Times New Roman" w:cs="Times New Roman"/>
          <w:sz w:val="28"/>
          <w:szCs w:val="28"/>
        </w:rPr>
        <w:t xml:space="preserve">as is evidenced from her commissioner of oaths stamp </w:t>
      </w:r>
      <w:r w:rsidR="008132CA" w:rsidRPr="00291F97">
        <w:rPr>
          <w:rFonts w:ascii="Times New Roman" w:hAnsi="Times New Roman" w:cs="Times New Roman"/>
          <w:sz w:val="28"/>
          <w:szCs w:val="28"/>
        </w:rPr>
        <w:t>as the second competent witness</w:t>
      </w:r>
      <w:r w:rsidR="008001A8">
        <w:rPr>
          <w:rFonts w:ascii="Times New Roman" w:hAnsi="Times New Roman" w:cs="Times New Roman"/>
          <w:sz w:val="28"/>
          <w:szCs w:val="28"/>
        </w:rPr>
        <w:t xml:space="preserve"> a</w:t>
      </w:r>
      <w:r w:rsidR="00291F97" w:rsidRPr="00291F97">
        <w:rPr>
          <w:rFonts w:ascii="Times New Roman" w:hAnsi="Times New Roman" w:cs="Times New Roman"/>
          <w:sz w:val="28"/>
          <w:szCs w:val="28"/>
        </w:rPr>
        <w:t xml:space="preserve">lthough in the separate proceedings concerning her </w:t>
      </w:r>
      <w:r w:rsidR="000346E1" w:rsidRPr="00291F97">
        <w:rPr>
          <w:rFonts w:ascii="Times New Roman" w:hAnsi="Times New Roman" w:cs="Times New Roman"/>
          <w:sz w:val="28"/>
          <w:szCs w:val="28"/>
        </w:rPr>
        <w:t xml:space="preserve">she </w:t>
      </w:r>
      <w:r w:rsidR="008132CA" w:rsidRPr="00291F97">
        <w:rPr>
          <w:rFonts w:ascii="Times New Roman" w:hAnsi="Times New Roman" w:cs="Times New Roman"/>
          <w:sz w:val="28"/>
          <w:szCs w:val="28"/>
        </w:rPr>
        <w:t xml:space="preserve">distanced herself from having signed the </w:t>
      </w:r>
      <w:r w:rsidR="00751BDF" w:rsidRPr="00291F97">
        <w:rPr>
          <w:rFonts w:ascii="Times New Roman" w:hAnsi="Times New Roman" w:cs="Times New Roman"/>
          <w:sz w:val="28"/>
          <w:szCs w:val="28"/>
        </w:rPr>
        <w:t>deed</w:t>
      </w:r>
      <w:r w:rsidR="008132CA" w:rsidRPr="00291F97">
        <w:rPr>
          <w:rFonts w:ascii="Times New Roman" w:hAnsi="Times New Roman" w:cs="Times New Roman"/>
          <w:sz w:val="28"/>
          <w:szCs w:val="28"/>
        </w:rPr>
        <w:t xml:space="preserve"> in such capacity.</w:t>
      </w:r>
      <w:r w:rsidR="00291F97" w:rsidRPr="00291F97">
        <w:rPr>
          <w:rFonts w:ascii="Times New Roman" w:hAnsi="Times New Roman" w:cs="Times New Roman"/>
          <w:sz w:val="28"/>
          <w:szCs w:val="28"/>
        </w:rPr>
        <w:t xml:space="preserve">  </w:t>
      </w:r>
      <w:r w:rsidR="008001A8">
        <w:rPr>
          <w:rFonts w:ascii="Times New Roman" w:hAnsi="Times New Roman" w:cs="Times New Roman"/>
          <w:sz w:val="28"/>
          <w:szCs w:val="28"/>
        </w:rPr>
        <w:t>(</w:t>
      </w:r>
      <w:r w:rsidR="007E6BAE" w:rsidRPr="00291F97">
        <w:rPr>
          <w:rFonts w:ascii="Times New Roman" w:hAnsi="Times New Roman" w:cs="Times New Roman"/>
          <w:sz w:val="28"/>
          <w:szCs w:val="28"/>
        </w:rPr>
        <w:t>It is releva</w:t>
      </w:r>
      <w:r w:rsidR="003210C0" w:rsidRPr="00291F97">
        <w:rPr>
          <w:rFonts w:ascii="Times New Roman" w:hAnsi="Times New Roman" w:cs="Times New Roman"/>
          <w:sz w:val="28"/>
          <w:szCs w:val="28"/>
        </w:rPr>
        <w:t>nt to mention her involvement since</w:t>
      </w:r>
      <w:r w:rsidR="007E6BAE" w:rsidRPr="00291F97">
        <w:rPr>
          <w:rFonts w:ascii="Times New Roman" w:hAnsi="Times New Roman" w:cs="Times New Roman"/>
          <w:sz w:val="28"/>
          <w:szCs w:val="28"/>
        </w:rPr>
        <w:t xml:space="preserve"> the applicant brought proceedings in this court to strike her name </w:t>
      </w:r>
      <w:r w:rsidR="00751BDF" w:rsidRPr="00291F97">
        <w:rPr>
          <w:rFonts w:ascii="Times New Roman" w:hAnsi="Times New Roman" w:cs="Times New Roman"/>
          <w:sz w:val="28"/>
          <w:szCs w:val="28"/>
        </w:rPr>
        <w:t>off</w:t>
      </w:r>
      <w:r w:rsidR="007E6BAE" w:rsidRPr="00291F97">
        <w:rPr>
          <w:rFonts w:ascii="Times New Roman" w:hAnsi="Times New Roman" w:cs="Times New Roman"/>
          <w:sz w:val="28"/>
          <w:szCs w:val="28"/>
        </w:rPr>
        <w:t xml:space="preserve"> the roll of legal practitioners as well arising from the selfsame debacle</w:t>
      </w:r>
      <w:r w:rsidR="00E52099" w:rsidRPr="00291F97">
        <w:rPr>
          <w:rFonts w:ascii="Times New Roman" w:hAnsi="Times New Roman" w:cs="Times New Roman"/>
          <w:sz w:val="28"/>
          <w:szCs w:val="28"/>
        </w:rPr>
        <w:t>.</w:t>
      </w:r>
      <w:r w:rsidR="003210C0" w:rsidRPr="00291F97">
        <w:rPr>
          <w:rFonts w:ascii="Times New Roman" w:hAnsi="Times New Roman" w:cs="Times New Roman"/>
          <w:sz w:val="28"/>
          <w:szCs w:val="28"/>
        </w:rPr>
        <w:t xml:space="preserve">  In her instance</w:t>
      </w:r>
      <w:r w:rsidR="00040501">
        <w:rPr>
          <w:rFonts w:ascii="Times New Roman" w:hAnsi="Times New Roman" w:cs="Times New Roman"/>
          <w:sz w:val="28"/>
          <w:szCs w:val="28"/>
        </w:rPr>
        <w:t xml:space="preserve"> two judges of a full </w:t>
      </w:r>
      <w:r w:rsidR="003210C0" w:rsidRPr="00291F97">
        <w:rPr>
          <w:rFonts w:ascii="Times New Roman" w:hAnsi="Times New Roman" w:cs="Times New Roman"/>
          <w:sz w:val="28"/>
          <w:szCs w:val="28"/>
        </w:rPr>
        <w:t>court found on 10 August 2022 that the applicant ha</w:t>
      </w:r>
      <w:r w:rsidR="008E5BC1" w:rsidRPr="00291F97">
        <w:rPr>
          <w:rFonts w:ascii="Times New Roman" w:hAnsi="Times New Roman" w:cs="Times New Roman"/>
          <w:sz w:val="28"/>
          <w:szCs w:val="28"/>
        </w:rPr>
        <w:t>d</w:t>
      </w:r>
      <w:r w:rsidR="003210C0" w:rsidRPr="00291F97">
        <w:rPr>
          <w:rFonts w:ascii="Times New Roman" w:hAnsi="Times New Roman" w:cs="Times New Roman"/>
          <w:sz w:val="28"/>
          <w:szCs w:val="28"/>
        </w:rPr>
        <w:t xml:space="preserve"> not canvassed sufficient facts to establish the offending conduct </w:t>
      </w:r>
      <w:r w:rsidR="008E5BC1" w:rsidRPr="00291F97">
        <w:rPr>
          <w:rFonts w:ascii="Times New Roman" w:hAnsi="Times New Roman" w:cs="Times New Roman"/>
          <w:sz w:val="28"/>
          <w:szCs w:val="28"/>
        </w:rPr>
        <w:t xml:space="preserve">relied upon </w:t>
      </w:r>
      <w:r w:rsidR="003210C0" w:rsidRPr="00291F97">
        <w:rPr>
          <w:rFonts w:ascii="Times New Roman" w:hAnsi="Times New Roman" w:cs="Times New Roman"/>
          <w:sz w:val="28"/>
          <w:szCs w:val="28"/>
        </w:rPr>
        <w:t>and dismissed the application.</w:t>
      </w:r>
      <w:r w:rsidR="008001A8">
        <w:rPr>
          <w:rFonts w:ascii="Times New Roman" w:hAnsi="Times New Roman" w:cs="Times New Roman"/>
          <w:sz w:val="28"/>
          <w:szCs w:val="28"/>
        </w:rPr>
        <w:t>)</w:t>
      </w:r>
    </w:p>
    <w:p w14:paraId="53203BBC" w14:textId="77777777" w:rsidR="00751BDF" w:rsidRPr="00187995" w:rsidRDefault="00751BDF" w:rsidP="00751BDF">
      <w:pPr>
        <w:pStyle w:val="ListParagraph"/>
        <w:rPr>
          <w:rFonts w:ascii="Times New Roman" w:hAnsi="Times New Roman" w:cs="Times New Roman"/>
          <w:sz w:val="28"/>
          <w:szCs w:val="28"/>
        </w:rPr>
      </w:pPr>
    </w:p>
    <w:p w14:paraId="16A08E77" w14:textId="02C94D28" w:rsidR="00751BDF" w:rsidRDefault="00751BDF" w:rsidP="00751BDF">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I</w:t>
      </w:r>
      <w:r w:rsidR="003276C7">
        <w:rPr>
          <w:rFonts w:ascii="Times New Roman" w:hAnsi="Times New Roman" w:cs="Times New Roman"/>
          <w:sz w:val="28"/>
          <w:szCs w:val="28"/>
        </w:rPr>
        <w:t xml:space="preserve">t is </w:t>
      </w:r>
      <w:r w:rsidR="00A36DE3">
        <w:rPr>
          <w:rFonts w:ascii="Times New Roman" w:hAnsi="Times New Roman" w:cs="Times New Roman"/>
          <w:sz w:val="28"/>
          <w:szCs w:val="28"/>
        </w:rPr>
        <w:t>notable</w:t>
      </w:r>
      <w:r w:rsidR="003276C7">
        <w:rPr>
          <w:rFonts w:ascii="Times New Roman" w:hAnsi="Times New Roman" w:cs="Times New Roman"/>
          <w:sz w:val="28"/>
          <w:szCs w:val="28"/>
        </w:rPr>
        <w:t xml:space="preserve"> that in</w:t>
      </w:r>
      <w:r w:rsidRPr="00187995">
        <w:rPr>
          <w:rFonts w:ascii="Times New Roman" w:hAnsi="Times New Roman" w:cs="Times New Roman"/>
          <w:sz w:val="28"/>
          <w:szCs w:val="28"/>
        </w:rPr>
        <w:t xml:space="preserve"> the complaint which underlies the proceedings, the complainant went further than simply alleging that the signatures on the deed of suretyship purporting to be his were false. </w:t>
      </w:r>
      <w:r w:rsidR="00040501">
        <w:rPr>
          <w:rFonts w:ascii="Times New Roman" w:hAnsi="Times New Roman" w:cs="Times New Roman"/>
          <w:sz w:val="28"/>
          <w:szCs w:val="28"/>
        </w:rPr>
        <w:t xml:space="preserve">This is the gravamen of his complaint.  </w:t>
      </w:r>
      <w:r w:rsidR="003276C7">
        <w:rPr>
          <w:rFonts w:ascii="Times New Roman" w:hAnsi="Times New Roman" w:cs="Times New Roman"/>
          <w:sz w:val="28"/>
          <w:szCs w:val="28"/>
        </w:rPr>
        <w:t xml:space="preserve">By stating that the respondent </w:t>
      </w:r>
      <w:r w:rsidRPr="00187995">
        <w:rPr>
          <w:rFonts w:ascii="Times New Roman" w:hAnsi="Times New Roman" w:cs="Times New Roman"/>
          <w:sz w:val="28"/>
          <w:szCs w:val="28"/>
        </w:rPr>
        <w:t>“knew that they were false as he was the beneficiary of this transaction”</w:t>
      </w:r>
      <w:r w:rsidR="00040501">
        <w:rPr>
          <w:rFonts w:ascii="Times New Roman" w:hAnsi="Times New Roman" w:cs="Times New Roman"/>
          <w:sz w:val="28"/>
          <w:szCs w:val="28"/>
        </w:rPr>
        <w:t xml:space="preserve"> </w:t>
      </w:r>
      <w:r w:rsidR="00A36DE3">
        <w:rPr>
          <w:rFonts w:ascii="Times New Roman" w:hAnsi="Times New Roman" w:cs="Times New Roman"/>
          <w:sz w:val="28"/>
          <w:szCs w:val="28"/>
        </w:rPr>
        <w:t xml:space="preserve">he </w:t>
      </w:r>
      <w:r w:rsidR="008001A8">
        <w:rPr>
          <w:rFonts w:ascii="Times New Roman" w:hAnsi="Times New Roman" w:cs="Times New Roman"/>
          <w:sz w:val="28"/>
          <w:szCs w:val="28"/>
        </w:rPr>
        <w:t>was obviously suggesting</w:t>
      </w:r>
      <w:r w:rsidR="00040501">
        <w:rPr>
          <w:rFonts w:ascii="Times New Roman" w:hAnsi="Times New Roman" w:cs="Times New Roman"/>
          <w:sz w:val="28"/>
          <w:szCs w:val="28"/>
        </w:rPr>
        <w:t xml:space="preserve"> that the respondent had implicated </w:t>
      </w:r>
      <w:r w:rsidR="00040501">
        <w:rPr>
          <w:rFonts w:ascii="Times New Roman" w:hAnsi="Times New Roman" w:cs="Times New Roman"/>
          <w:sz w:val="28"/>
          <w:szCs w:val="28"/>
        </w:rPr>
        <w:lastRenderedPageBreak/>
        <w:t>himself</w:t>
      </w:r>
      <w:r w:rsidR="008001A8">
        <w:rPr>
          <w:rFonts w:ascii="Times New Roman" w:hAnsi="Times New Roman" w:cs="Times New Roman"/>
          <w:sz w:val="28"/>
          <w:szCs w:val="28"/>
        </w:rPr>
        <w:t xml:space="preserve"> at the level of a crime having been committed</w:t>
      </w:r>
      <w:r w:rsidR="00040501">
        <w:rPr>
          <w:rFonts w:ascii="Times New Roman" w:hAnsi="Times New Roman" w:cs="Times New Roman"/>
          <w:sz w:val="28"/>
          <w:szCs w:val="28"/>
        </w:rPr>
        <w:t xml:space="preserve"> or facilitated</w:t>
      </w:r>
      <w:r w:rsidR="008001A8">
        <w:rPr>
          <w:rFonts w:ascii="Times New Roman" w:hAnsi="Times New Roman" w:cs="Times New Roman"/>
          <w:sz w:val="28"/>
          <w:szCs w:val="28"/>
        </w:rPr>
        <w:t xml:space="preserve"> and </w:t>
      </w:r>
      <w:r w:rsidR="00A36DE3">
        <w:rPr>
          <w:rFonts w:ascii="Times New Roman" w:hAnsi="Times New Roman" w:cs="Times New Roman"/>
          <w:sz w:val="28"/>
          <w:szCs w:val="28"/>
        </w:rPr>
        <w:t xml:space="preserve">that </w:t>
      </w:r>
      <w:r w:rsidR="00D54853">
        <w:rPr>
          <w:rFonts w:ascii="Times New Roman" w:hAnsi="Times New Roman" w:cs="Times New Roman"/>
          <w:sz w:val="28"/>
          <w:szCs w:val="28"/>
        </w:rPr>
        <w:t>he had done so</w:t>
      </w:r>
      <w:r w:rsidR="008001A8">
        <w:rPr>
          <w:rFonts w:ascii="Times New Roman" w:hAnsi="Times New Roman" w:cs="Times New Roman"/>
          <w:sz w:val="28"/>
          <w:szCs w:val="28"/>
        </w:rPr>
        <w:t xml:space="preserve"> </w:t>
      </w:r>
      <w:r w:rsidR="00A36DE3">
        <w:rPr>
          <w:rFonts w:ascii="Times New Roman" w:hAnsi="Times New Roman" w:cs="Times New Roman"/>
          <w:sz w:val="28"/>
          <w:szCs w:val="28"/>
        </w:rPr>
        <w:t xml:space="preserve">for personal gain. </w:t>
      </w:r>
    </w:p>
    <w:p w14:paraId="288625AD" w14:textId="77777777" w:rsidR="00751BDF" w:rsidRPr="00187995" w:rsidRDefault="00751BDF" w:rsidP="00187995">
      <w:pPr>
        <w:pStyle w:val="ListParagraph"/>
        <w:rPr>
          <w:rFonts w:ascii="Times New Roman" w:hAnsi="Times New Roman" w:cs="Times New Roman"/>
          <w:sz w:val="28"/>
          <w:szCs w:val="28"/>
        </w:rPr>
      </w:pPr>
    </w:p>
    <w:p w14:paraId="3D602B66" w14:textId="7383B798" w:rsidR="00187995" w:rsidRDefault="001165B0"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T</w:t>
      </w:r>
      <w:r w:rsidR="00AF6B86" w:rsidRPr="00187995">
        <w:rPr>
          <w:rFonts w:ascii="Times New Roman" w:hAnsi="Times New Roman" w:cs="Times New Roman"/>
          <w:sz w:val="28"/>
          <w:szCs w:val="28"/>
        </w:rPr>
        <w:t>he respondent</w:t>
      </w:r>
      <w:r w:rsidR="003210C0">
        <w:rPr>
          <w:rFonts w:ascii="Times New Roman" w:hAnsi="Times New Roman" w:cs="Times New Roman"/>
          <w:sz w:val="28"/>
          <w:szCs w:val="28"/>
        </w:rPr>
        <w:t xml:space="preserve"> indeed</w:t>
      </w:r>
      <w:r w:rsidR="00AF6B86" w:rsidRPr="00187995">
        <w:rPr>
          <w:rFonts w:ascii="Times New Roman" w:hAnsi="Times New Roman" w:cs="Times New Roman"/>
          <w:sz w:val="28"/>
          <w:szCs w:val="28"/>
        </w:rPr>
        <w:t xml:space="preserve"> </w:t>
      </w:r>
      <w:r w:rsidR="00751BDF">
        <w:rPr>
          <w:rFonts w:ascii="Times New Roman" w:hAnsi="Times New Roman" w:cs="Times New Roman"/>
          <w:sz w:val="28"/>
          <w:szCs w:val="28"/>
        </w:rPr>
        <w:t xml:space="preserve">had </w:t>
      </w:r>
      <w:r w:rsidR="00AF6B86" w:rsidRPr="00187995">
        <w:rPr>
          <w:rFonts w:ascii="Times New Roman" w:hAnsi="Times New Roman" w:cs="Times New Roman"/>
          <w:sz w:val="28"/>
          <w:szCs w:val="28"/>
        </w:rPr>
        <w:t>a</w:t>
      </w:r>
      <w:r w:rsidRPr="00187995">
        <w:rPr>
          <w:rFonts w:ascii="Times New Roman" w:hAnsi="Times New Roman" w:cs="Times New Roman"/>
          <w:sz w:val="28"/>
          <w:szCs w:val="28"/>
        </w:rPr>
        <w:t xml:space="preserve"> peculiar</w:t>
      </w:r>
      <w:r w:rsidR="00AF6B86" w:rsidRPr="00187995">
        <w:rPr>
          <w:rFonts w:ascii="Times New Roman" w:hAnsi="Times New Roman" w:cs="Times New Roman"/>
          <w:sz w:val="28"/>
          <w:szCs w:val="28"/>
        </w:rPr>
        <w:t xml:space="preserve"> interest in the transaction in the sense that he was a trustee of the seller and his </w:t>
      </w:r>
      <w:r w:rsidR="00E52099" w:rsidRPr="00187995">
        <w:rPr>
          <w:rFonts w:ascii="Times New Roman" w:hAnsi="Times New Roman" w:cs="Times New Roman"/>
          <w:sz w:val="28"/>
          <w:szCs w:val="28"/>
        </w:rPr>
        <w:t>now ex-wife</w:t>
      </w:r>
      <w:r w:rsidR="001B5048" w:rsidRPr="00187995">
        <w:rPr>
          <w:rFonts w:ascii="Times New Roman" w:hAnsi="Times New Roman" w:cs="Times New Roman"/>
          <w:sz w:val="28"/>
          <w:szCs w:val="28"/>
        </w:rPr>
        <w:t>,</w:t>
      </w:r>
      <w:r w:rsidR="00AF6B86" w:rsidRPr="00187995">
        <w:rPr>
          <w:rFonts w:ascii="Times New Roman" w:hAnsi="Times New Roman" w:cs="Times New Roman"/>
          <w:sz w:val="28"/>
          <w:szCs w:val="28"/>
        </w:rPr>
        <w:t xml:space="preserve"> the said Laura Nash, </w:t>
      </w:r>
      <w:r w:rsidR="003210C0">
        <w:rPr>
          <w:rFonts w:ascii="Times New Roman" w:hAnsi="Times New Roman" w:cs="Times New Roman"/>
          <w:sz w:val="28"/>
          <w:szCs w:val="28"/>
        </w:rPr>
        <w:t xml:space="preserve">a </w:t>
      </w:r>
      <w:r w:rsidR="00AF6B86" w:rsidRPr="00187995">
        <w:rPr>
          <w:rFonts w:ascii="Times New Roman" w:hAnsi="Times New Roman" w:cs="Times New Roman"/>
          <w:sz w:val="28"/>
          <w:szCs w:val="28"/>
        </w:rPr>
        <w:t>trustee together with his mother of the purchas</w:t>
      </w:r>
      <w:r w:rsidR="000346E1">
        <w:rPr>
          <w:rFonts w:ascii="Times New Roman" w:hAnsi="Times New Roman" w:cs="Times New Roman"/>
          <w:sz w:val="28"/>
          <w:szCs w:val="28"/>
        </w:rPr>
        <w:t>ing</w:t>
      </w:r>
      <w:r w:rsidR="004122CC">
        <w:rPr>
          <w:rFonts w:ascii="Times New Roman" w:hAnsi="Times New Roman" w:cs="Times New Roman"/>
          <w:sz w:val="28"/>
          <w:szCs w:val="28"/>
        </w:rPr>
        <w:t xml:space="preserve"> trust</w:t>
      </w:r>
      <w:r w:rsidR="00AF6B86" w:rsidRPr="00187995">
        <w:rPr>
          <w:rFonts w:ascii="Times New Roman" w:hAnsi="Times New Roman" w:cs="Times New Roman"/>
          <w:sz w:val="28"/>
          <w:szCs w:val="28"/>
        </w:rPr>
        <w:t>.</w:t>
      </w:r>
      <w:r w:rsidR="006642C8">
        <w:rPr>
          <w:rFonts w:ascii="Times New Roman" w:hAnsi="Times New Roman" w:cs="Times New Roman"/>
          <w:sz w:val="28"/>
          <w:szCs w:val="28"/>
        </w:rPr>
        <w:t xml:space="preserve"> </w:t>
      </w:r>
      <w:r w:rsidR="000346E1">
        <w:rPr>
          <w:rFonts w:ascii="Times New Roman" w:hAnsi="Times New Roman" w:cs="Times New Roman"/>
          <w:sz w:val="28"/>
          <w:szCs w:val="28"/>
        </w:rPr>
        <w:t xml:space="preserve">He also </w:t>
      </w:r>
      <w:r w:rsidR="00935A36">
        <w:rPr>
          <w:rFonts w:ascii="Times New Roman" w:hAnsi="Times New Roman" w:cs="Times New Roman"/>
          <w:sz w:val="28"/>
          <w:szCs w:val="28"/>
        </w:rPr>
        <w:t xml:space="preserve">coincidentally revealed </w:t>
      </w:r>
      <w:r w:rsidR="000346E1">
        <w:rPr>
          <w:rFonts w:ascii="Times New Roman" w:hAnsi="Times New Roman" w:cs="Times New Roman"/>
          <w:sz w:val="28"/>
          <w:szCs w:val="28"/>
        </w:rPr>
        <w:t>that the purpose of the sale had been to raise capital to purchase another property. As trustee of the ALC property trust he would have elected the conveyancing attorneys</w:t>
      </w:r>
      <w:r w:rsidR="00935A36">
        <w:rPr>
          <w:rFonts w:ascii="Times New Roman" w:hAnsi="Times New Roman" w:cs="Times New Roman"/>
          <w:sz w:val="28"/>
          <w:szCs w:val="28"/>
        </w:rPr>
        <w:t xml:space="preserve"> where his mother was employed</w:t>
      </w:r>
      <w:r w:rsidR="000346E1">
        <w:rPr>
          <w:rFonts w:ascii="Times New Roman" w:hAnsi="Times New Roman" w:cs="Times New Roman"/>
          <w:sz w:val="28"/>
          <w:szCs w:val="28"/>
        </w:rPr>
        <w:t xml:space="preserve">, but in theory would </w:t>
      </w:r>
      <w:r w:rsidR="008001A8">
        <w:rPr>
          <w:rFonts w:ascii="Times New Roman" w:hAnsi="Times New Roman" w:cs="Times New Roman"/>
          <w:sz w:val="28"/>
          <w:szCs w:val="28"/>
        </w:rPr>
        <w:t xml:space="preserve">however </w:t>
      </w:r>
      <w:r w:rsidR="000346E1">
        <w:rPr>
          <w:rFonts w:ascii="Times New Roman" w:hAnsi="Times New Roman" w:cs="Times New Roman"/>
          <w:sz w:val="28"/>
          <w:szCs w:val="28"/>
        </w:rPr>
        <w:t xml:space="preserve">have had no control over who Standard Bank appointed to register the bond and </w:t>
      </w:r>
      <w:r w:rsidR="009C5444">
        <w:rPr>
          <w:rFonts w:ascii="Times New Roman" w:hAnsi="Times New Roman" w:cs="Times New Roman"/>
          <w:sz w:val="28"/>
          <w:szCs w:val="28"/>
        </w:rPr>
        <w:t xml:space="preserve">procure whatever </w:t>
      </w:r>
      <w:r w:rsidR="00040501">
        <w:rPr>
          <w:rFonts w:ascii="Times New Roman" w:hAnsi="Times New Roman" w:cs="Times New Roman"/>
          <w:sz w:val="28"/>
          <w:szCs w:val="28"/>
        </w:rPr>
        <w:t xml:space="preserve">secondary </w:t>
      </w:r>
      <w:r w:rsidR="009C5444">
        <w:rPr>
          <w:rFonts w:ascii="Times New Roman" w:hAnsi="Times New Roman" w:cs="Times New Roman"/>
          <w:sz w:val="28"/>
          <w:szCs w:val="28"/>
        </w:rPr>
        <w:t>securities were necessary.</w:t>
      </w:r>
      <w:r w:rsidR="000346E1">
        <w:rPr>
          <w:rFonts w:ascii="Times New Roman" w:hAnsi="Times New Roman" w:cs="Times New Roman"/>
          <w:sz w:val="28"/>
          <w:szCs w:val="28"/>
        </w:rPr>
        <w:t xml:space="preserve"> </w:t>
      </w:r>
    </w:p>
    <w:p w14:paraId="2D6DC1D2" w14:textId="77777777" w:rsidR="00187995" w:rsidRPr="00187995" w:rsidRDefault="00187995" w:rsidP="00187995">
      <w:pPr>
        <w:pStyle w:val="ListParagraph"/>
        <w:rPr>
          <w:rFonts w:ascii="Times New Roman" w:hAnsi="Times New Roman" w:cs="Times New Roman"/>
          <w:sz w:val="28"/>
          <w:szCs w:val="28"/>
        </w:rPr>
      </w:pPr>
    </w:p>
    <w:p w14:paraId="66B15FFE" w14:textId="78396977" w:rsidR="00187995" w:rsidRDefault="006642C8"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As for how it happened that he came to attest the signatures of the signatories in the deed</w:t>
      </w:r>
      <w:r w:rsidR="00040501">
        <w:rPr>
          <w:rFonts w:ascii="Times New Roman" w:hAnsi="Times New Roman" w:cs="Times New Roman"/>
          <w:sz w:val="28"/>
          <w:szCs w:val="28"/>
        </w:rPr>
        <w:t>,</w:t>
      </w:r>
      <w:r>
        <w:rPr>
          <w:rFonts w:ascii="Times New Roman" w:hAnsi="Times New Roman" w:cs="Times New Roman"/>
          <w:sz w:val="28"/>
          <w:szCs w:val="28"/>
        </w:rPr>
        <w:t xml:space="preserve"> t</w:t>
      </w:r>
      <w:r w:rsidR="001B5048" w:rsidRPr="00187995">
        <w:rPr>
          <w:rFonts w:ascii="Times New Roman" w:hAnsi="Times New Roman" w:cs="Times New Roman"/>
          <w:sz w:val="28"/>
          <w:szCs w:val="28"/>
        </w:rPr>
        <w:t>he respondent</w:t>
      </w:r>
      <w:r w:rsidR="004122CC">
        <w:rPr>
          <w:rFonts w:ascii="Times New Roman" w:hAnsi="Times New Roman" w:cs="Times New Roman"/>
          <w:sz w:val="28"/>
          <w:szCs w:val="28"/>
        </w:rPr>
        <w:t xml:space="preserve"> </w:t>
      </w:r>
      <w:r>
        <w:rPr>
          <w:rFonts w:ascii="Times New Roman" w:hAnsi="Times New Roman" w:cs="Times New Roman"/>
          <w:sz w:val="28"/>
          <w:szCs w:val="28"/>
        </w:rPr>
        <w:t>clarified</w:t>
      </w:r>
      <w:r w:rsidR="001B5048" w:rsidRPr="00187995">
        <w:rPr>
          <w:rFonts w:ascii="Times New Roman" w:hAnsi="Times New Roman" w:cs="Times New Roman"/>
          <w:sz w:val="28"/>
          <w:szCs w:val="28"/>
        </w:rPr>
        <w:t xml:space="preserve"> </w:t>
      </w:r>
      <w:r w:rsidR="00AF6B86" w:rsidRPr="00187995">
        <w:rPr>
          <w:rFonts w:ascii="Times New Roman" w:hAnsi="Times New Roman" w:cs="Times New Roman"/>
          <w:sz w:val="28"/>
          <w:szCs w:val="28"/>
        </w:rPr>
        <w:t xml:space="preserve">that </w:t>
      </w:r>
      <w:r w:rsidR="00E52099" w:rsidRPr="00187995">
        <w:rPr>
          <w:rFonts w:ascii="Times New Roman" w:hAnsi="Times New Roman" w:cs="Times New Roman"/>
          <w:sz w:val="28"/>
          <w:szCs w:val="28"/>
        </w:rPr>
        <w:t xml:space="preserve">from 2011 to 2015 the complainant was the rental agent who attended to </w:t>
      </w:r>
      <w:r w:rsidR="001B5048" w:rsidRPr="00187995">
        <w:rPr>
          <w:rFonts w:ascii="Times New Roman" w:hAnsi="Times New Roman" w:cs="Times New Roman"/>
          <w:sz w:val="28"/>
          <w:szCs w:val="28"/>
        </w:rPr>
        <w:t>his</w:t>
      </w:r>
      <w:r w:rsidR="00E52099" w:rsidRPr="00187995">
        <w:rPr>
          <w:rFonts w:ascii="Times New Roman" w:hAnsi="Times New Roman" w:cs="Times New Roman"/>
          <w:sz w:val="28"/>
          <w:szCs w:val="28"/>
        </w:rPr>
        <w:t xml:space="preserve"> and his </w:t>
      </w:r>
      <w:r w:rsidR="001B5048" w:rsidRPr="00187995">
        <w:rPr>
          <w:rFonts w:ascii="Times New Roman" w:hAnsi="Times New Roman" w:cs="Times New Roman"/>
          <w:sz w:val="28"/>
          <w:szCs w:val="28"/>
        </w:rPr>
        <w:t>ex-wife’s</w:t>
      </w:r>
      <w:r w:rsidR="00E52099" w:rsidRPr="00187995">
        <w:rPr>
          <w:rFonts w:ascii="Times New Roman" w:hAnsi="Times New Roman" w:cs="Times New Roman"/>
          <w:sz w:val="28"/>
          <w:szCs w:val="28"/>
        </w:rPr>
        <w:t xml:space="preserve"> as well as their </w:t>
      </w:r>
      <w:r w:rsidR="004122CC">
        <w:rPr>
          <w:rFonts w:ascii="Times New Roman" w:hAnsi="Times New Roman" w:cs="Times New Roman"/>
          <w:sz w:val="28"/>
          <w:szCs w:val="28"/>
        </w:rPr>
        <w:t xml:space="preserve">various </w:t>
      </w:r>
      <w:r w:rsidR="00E52099" w:rsidRPr="00187995">
        <w:rPr>
          <w:rFonts w:ascii="Times New Roman" w:hAnsi="Times New Roman" w:cs="Times New Roman"/>
          <w:sz w:val="28"/>
          <w:szCs w:val="28"/>
        </w:rPr>
        <w:t>trust</w:t>
      </w:r>
      <w:r w:rsidR="001B5048" w:rsidRPr="00187995">
        <w:rPr>
          <w:rFonts w:ascii="Times New Roman" w:hAnsi="Times New Roman" w:cs="Times New Roman"/>
          <w:sz w:val="28"/>
          <w:szCs w:val="28"/>
        </w:rPr>
        <w:t>s’</w:t>
      </w:r>
      <w:r w:rsidR="00E52099" w:rsidRPr="00187995">
        <w:rPr>
          <w:rFonts w:ascii="Times New Roman" w:hAnsi="Times New Roman" w:cs="Times New Roman"/>
          <w:sz w:val="28"/>
          <w:szCs w:val="28"/>
        </w:rPr>
        <w:t xml:space="preserve"> property </w:t>
      </w:r>
      <w:r w:rsidR="004122CC">
        <w:rPr>
          <w:rFonts w:ascii="Times New Roman" w:hAnsi="Times New Roman" w:cs="Times New Roman"/>
          <w:sz w:val="28"/>
          <w:szCs w:val="28"/>
        </w:rPr>
        <w:t>interests</w:t>
      </w:r>
      <w:r w:rsidR="001B5048" w:rsidRPr="00187995">
        <w:rPr>
          <w:rFonts w:ascii="Times New Roman" w:hAnsi="Times New Roman" w:cs="Times New Roman"/>
          <w:sz w:val="28"/>
          <w:szCs w:val="28"/>
        </w:rPr>
        <w:t xml:space="preserve">. The portfolio consisted of approximately 60 rental properties. In the context of their busy engagement, </w:t>
      </w:r>
      <w:r>
        <w:rPr>
          <w:rFonts w:ascii="Times New Roman" w:hAnsi="Times New Roman" w:cs="Times New Roman"/>
          <w:sz w:val="28"/>
          <w:szCs w:val="28"/>
        </w:rPr>
        <w:t>he</w:t>
      </w:r>
      <w:r w:rsidR="001B5048" w:rsidRPr="00187995">
        <w:rPr>
          <w:rFonts w:ascii="Times New Roman" w:hAnsi="Times New Roman" w:cs="Times New Roman"/>
          <w:sz w:val="28"/>
          <w:szCs w:val="28"/>
        </w:rPr>
        <w:t xml:space="preserve"> explained t</w:t>
      </w:r>
      <w:r w:rsidR="001165B0" w:rsidRPr="00187995">
        <w:rPr>
          <w:rFonts w:ascii="Times New Roman" w:hAnsi="Times New Roman" w:cs="Times New Roman"/>
          <w:sz w:val="28"/>
          <w:szCs w:val="28"/>
        </w:rPr>
        <w:t xml:space="preserve">hat </w:t>
      </w:r>
      <w:r w:rsidR="001B5048" w:rsidRPr="00187995">
        <w:rPr>
          <w:rFonts w:ascii="Times New Roman" w:hAnsi="Times New Roman" w:cs="Times New Roman"/>
          <w:sz w:val="28"/>
          <w:szCs w:val="28"/>
        </w:rPr>
        <w:t xml:space="preserve">documents were frequently signed by the </w:t>
      </w:r>
      <w:r w:rsidR="009C5444" w:rsidRPr="00187995">
        <w:rPr>
          <w:rFonts w:ascii="Times New Roman" w:hAnsi="Times New Roman" w:cs="Times New Roman"/>
          <w:sz w:val="28"/>
          <w:szCs w:val="28"/>
        </w:rPr>
        <w:t>complainant</w:t>
      </w:r>
      <w:r w:rsidR="009C5444">
        <w:rPr>
          <w:rFonts w:ascii="Times New Roman" w:hAnsi="Times New Roman" w:cs="Times New Roman"/>
          <w:sz w:val="28"/>
          <w:szCs w:val="28"/>
        </w:rPr>
        <w:t>,</w:t>
      </w:r>
      <w:r w:rsidR="009C5444" w:rsidRPr="00187995">
        <w:rPr>
          <w:rFonts w:ascii="Times New Roman" w:hAnsi="Times New Roman" w:cs="Times New Roman"/>
          <w:sz w:val="28"/>
          <w:szCs w:val="28"/>
        </w:rPr>
        <w:t xml:space="preserve"> his</w:t>
      </w:r>
      <w:r w:rsidR="001B5048" w:rsidRPr="00187995">
        <w:rPr>
          <w:rFonts w:ascii="Times New Roman" w:hAnsi="Times New Roman" w:cs="Times New Roman"/>
          <w:sz w:val="28"/>
          <w:szCs w:val="28"/>
        </w:rPr>
        <w:t xml:space="preserve"> mother</w:t>
      </w:r>
      <w:r w:rsidR="009C5444">
        <w:rPr>
          <w:rFonts w:ascii="Times New Roman" w:hAnsi="Times New Roman" w:cs="Times New Roman"/>
          <w:sz w:val="28"/>
          <w:szCs w:val="28"/>
        </w:rPr>
        <w:t>,</w:t>
      </w:r>
      <w:r w:rsidR="001B5048" w:rsidRPr="00187995">
        <w:rPr>
          <w:rFonts w:ascii="Times New Roman" w:hAnsi="Times New Roman" w:cs="Times New Roman"/>
          <w:sz w:val="28"/>
          <w:szCs w:val="28"/>
        </w:rPr>
        <w:t xml:space="preserve"> and himself</w:t>
      </w:r>
      <w:r w:rsidR="009C5444">
        <w:rPr>
          <w:rFonts w:ascii="Times New Roman" w:hAnsi="Times New Roman" w:cs="Times New Roman"/>
          <w:sz w:val="28"/>
          <w:szCs w:val="28"/>
        </w:rPr>
        <w:t xml:space="preserve"> notably as a witness</w:t>
      </w:r>
      <w:r w:rsidR="001B5048" w:rsidRPr="00187995">
        <w:rPr>
          <w:rFonts w:ascii="Times New Roman" w:hAnsi="Times New Roman" w:cs="Times New Roman"/>
          <w:sz w:val="28"/>
          <w:szCs w:val="28"/>
        </w:rPr>
        <w:t>.</w:t>
      </w:r>
      <w:r w:rsidR="003210C0">
        <w:rPr>
          <w:rFonts w:ascii="Times New Roman" w:hAnsi="Times New Roman" w:cs="Times New Roman"/>
          <w:sz w:val="28"/>
          <w:szCs w:val="28"/>
        </w:rPr>
        <w:t xml:space="preserve"> </w:t>
      </w:r>
      <w:r w:rsidR="009C5444">
        <w:rPr>
          <w:rFonts w:ascii="Times New Roman" w:hAnsi="Times New Roman" w:cs="Times New Roman"/>
          <w:sz w:val="28"/>
          <w:szCs w:val="28"/>
        </w:rPr>
        <w:t xml:space="preserve">In a letter to the CLS he indicated that this happened even after </w:t>
      </w:r>
      <w:r w:rsidR="00437085">
        <w:rPr>
          <w:rFonts w:ascii="Times New Roman" w:hAnsi="Times New Roman" w:cs="Times New Roman"/>
          <w:sz w:val="28"/>
          <w:szCs w:val="28"/>
        </w:rPr>
        <w:t>office hours</w:t>
      </w:r>
      <w:r w:rsidR="009C5444">
        <w:rPr>
          <w:rFonts w:ascii="Times New Roman" w:hAnsi="Times New Roman" w:cs="Times New Roman"/>
          <w:sz w:val="28"/>
          <w:szCs w:val="28"/>
        </w:rPr>
        <w:t>.</w:t>
      </w:r>
      <w:r w:rsidR="003210C0">
        <w:rPr>
          <w:rFonts w:ascii="Times New Roman" w:hAnsi="Times New Roman" w:cs="Times New Roman"/>
          <w:sz w:val="28"/>
          <w:szCs w:val="28"/>
        </w:rPr>
        <w:t xml:space="preserve"> Implicit in this concession is that he sometimes signed documents in the absence of </w:t>
      </w:r>
      <w:r w:rsidR="00437085">
        <w:rPr>
          <w:rFonts w:ascii="Times New Roman" w:hAnsi="Times New Roman" w:cs="Times New Roman"/>
          <w:sz w:val="28"/>
          <w:szCs w:val="28"/>
        </w:rPr>
        <w:t>the complainant and his mother. I</w:t>
      </w:r>
      <w:r w:rsidR="003210C0">
        <w:rPr>
          <w:rFonts w:ascii="Times New Roman" w:hAnsi="Times New Roman" w:cs="Times New Roman"/>
          <w:sz w:val="28"/>
          <w:szCs w:val="28"/>
        </w:rPr>
        <w:t xml:space="preserve">n respect of his attestation of the purported signature </w:t>
      </w:r>
      <w:r w:rsidR="009C5444">
        <w:rPr>
          <w:rFonts w:ascii="Times New Roman" w:hAnsi="Times New Roman" w:cs="Times New Roman"/>
          <w:sz w:val="28"/>
          <w:szCs w:val="28"/>
        </w:rPr>
        <w:t>of the complainant</w:t>
      </w:r>
      <w:r w:rsidR="003276C7">
        <w:rPr>
          <w:rFonts w:ascii="Times New Roman" w:hAnsi="Times New Roman" w:cs="Times New Roman"/>
          <w:sz w:val="28"/>
          <w:szCs w:val="28"/>
        </w:rPr>
        <w:t xml:space="preserve"> on the </w:t>
      </w:r>
      <w:r w:rsidR="00040501">
        <w:rPr>
          <w:rFonts w:ascii="Times New Roman" w:hAnsi="Times New Roman" w:cs="Times New Roman"/>
          <w:sz w:val="28"/>
          <w:szCs w:val="28"/>
        </w:rPr>
        <w:t>suretyship</w:t>
      </w:r>
      <w:r w:rsidR="009C5444">
        <w:rPr>
          <w:rFonts w:ascii="Times New Roman" w:hAnsi="Times New Roman" w:cs="Times New Roman"/>
          <w:i/>
          <w:sz w:val="28"/>
          <w:szCs w:val="28"/>
        </w:rPr>
        <w:t xml:space="preserve">, </w:t>
      </w:r>
      <w:r w:rsidR="009C5444" w:rsidRPr="009C5444">
        <w:rPr>
          <w:rFonts w:ascii="Times New Roman" w:hAnsi="Times New Roman" w:cs="Times New Roman"/>
          <w:iCs/>
          <w:sz w:val="28"/>
          <w:szCs w:val="28"/>
        </w:rPr>
        <w:t>he</w:t>
      </w:r>
      <w:r w:rsidR="003210C0">
        <w:rPr>
          <w:rFonts w:ascii="Times New Roman" w:hAnsi="Times New Roman" w:cs="Times New Roman"/>
          <w:i/>
          <w:sz w:val="28"/>
          <w:szCs w:val="28"/>
        </w:rPr>
        <w:t xml:space="preserve"> </w:t>
      </w:r>
      <w:r w:rsidR="003210C0">
        <w:rPr>
          <w:rFonts w:ascii="Times New Roman" w:hAnsi="Times New Roman" w:cs="Times New Roman"/>
          <w:sz w:val="28"/>
          <w:szCs w:val="28"/>
        </w:rPr>
        <w:t xml:space="preserve">appeared to suggest that </w:t>
      </w:r>
      <w:r w:rsidR="009C5444">
        <w:rPr>
          <w:rFonts w:ascii="Times New Roman" w:hAnsi="Times New Roman" w:cs="Times New Roman"/>
          <w:sz w:val="28"/>
          <w:szCs w:val="28"/>
        </w:rPr>
        <w:t>this</w:t>
      </w:r>
      <w:r w:rsidR="003210C0">
        <w:rPr>
          <w:rFonts w:ascii="Times New Roman" w:hAnsi="Times New Roman" w:cs="Times New Roman"/>
          <w:sz w:val="28"/>
          <w:szCs w:val="28"/>
        </w:rPr>
        <w:t xml:space="preserve"> might have been one of those occasions when he had perfunctorily signed a document presented to him </w:t>
      </w:r>
      <w:r w:rsidR="00E12042">
        <w:rPr>
          <w:rFonts w:ascii="Times New Roman" w:hAnsi="Times New Roman" w:cs="Times New Roman"/>
          <w:sz w:val="28"/>
          <w:szCs w:val="28"/>
        </w:rPr>
        <w:t xml:space="preserve">by his mother on the assumption that her and her husband’s signatures appearing </w:t>
      </w:r>
      <w:r w:rsidR="008001A8">
        <w:rPr>
          <w:rFonts w:ascii="Times New Roman" w:hAnsi="Times New Roman" w:cs="Times New Roman"/>
          <w:sz w:val="28"/>
          <w:szCs w:val="28"/>
        </w:rPr>
        <w:t>in</w:t>
      </w:r>
      <w:r w:rsidR="00E12042">
        <w:rPr>
          <w:rFonts w:ascii="Times New Roman" w:hAnsi="Times New Roman" w:cs="Times New Roman"/>
          <w:sz w:val="28"/>
          <w:szCs w:val="28"/>
        </w:rPr>
        <w:t xml:space="preserve"> the deed were authentic.</w:t>
      </w:r>
    </w:p>
    <w:p w14:paraId="3DBC70C9" w14:textId="77777777" w:rsidR="00187995" w:rsidRPr="00187995" w:rsidRDefault="00187995" w:rsidP="00187995">
      <w:pPr>
        <w:pStyle w:val="ListParagraph"/>
        <w:rPr>
          <w:rFonts w:ascii="Times New Roman" w:hAnsi="Times New Roman" w:cs="Times New Roman"/>
          <w:sz w:val="28"/>
          <w:szCs w:val="28"/>
        </w:rPr>
      </w:pPr>
    </w:p>
    <w:p w14:paraId="2C9C5F1B" w14:textId="7B125B5E" w:rsidR="00E12042" w:rsidRPr="00DB7CEE" w:rsidRDefault="00A66AFC" w:rsidP="00DB7CEE">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 xml:space="preserve">The falsity of </w:t>
      </w:r>
      <w:r w:rsidR="00DB7CEE">
        <w:rPr>
          <w:rFonts w:ascii="Times New Roman" w:hAnsi="Times New Roman" w:cs="Times New Roman"/>
          <w:sz w:val="28"/>
          <w:szCs w:val="28"/>
        </w:rPr>
        <w:t>the complainant’s</w:t>
      </w:r>
      <w:r w:rsidRPr="00187995">
        <w:rPr>
          <w:rFonts w:ascii="Times New Roman" w:hAnsi="Times New Roman" w:cs="Times New Roman"/>
          <w:sz w:val="28"/>
          <w:szCs w:val="28"/>
        </w:rPr>
        <w:t xml:space="preserve"> signature in the various places in the deed of suretyship formed the subject of a criminal investigation by the South African </w:t>
      </w:r>
      <w:r w:rsidR="001B5048" w:rsidRPr="00187995">
        <w:rPr>
          <w:rFonts w:ascii="Times New Roman" w:hAnsi="Times New Roman" w:cs="Times New Roman"/>
          <w:sz w:val="28"/>
          <w:szCs w:val="28"/>
        </w:rPr>
        <w:t>P</w:t>
      </w:r>
      <w:r w:rsidRPr="00187995">
        <w:rPr>
          <w:rFonts w:ascii="Times New Roman" w:hAnsi="Times New Roman" w:cs="Times New Roman"/>
          <w:sz w:val="28"/>
          <w:szCs w:val="28"/>
        </w:rPr>
        <w:t xml:space="preserve">olice </w:t>
      </w:r>
      <w:r w:rsidR="001B5048" w:rsidRPr="00187995">
        <w:rPr>
          <w:rFonts w:ascii="Times New Roman" w:hAnsi="Times New Roman" w:cs="Times New Roman"/>
          <w:sz w:val="28"/>
          <w:szCs w:val="28"/>
        </w:rPr>
        <w:lastRenderedPageBreak/>
        <w:t>Se</w:t>
      </w:r>
      <w:r w:rsidRPr="00187995">
        <w:rPr>
          <w:rFonts w:ascii="Times New Roman" w:hAnsi="Times New Roman" w:cs="Times New Roman"/>
          <w:sz w:val="28"/>
          <w:szCs w:val="28"/>
        </w:rPr>
        <w:t>rvice</w:t>
      </w:r>
      <w:r w:rsidR="00E12042">
        <w:rPr>
          <w:rFonts w:ascii="Times New Roman" w:hAnsi="Times New Roman" w:cs="Times New Roman"/>
          <w:sz w:val="28"/>
          <w:szCs w:val="28"/>
        </w:rPr>
        <w:t>s</w:t>
      </w:r>
      <w:r w:rsidR="00DB7CEE">
        <w:rPr>
          <w:rFonts w:ascii="Times New Roman" w:hAnsi="Times New Roman" w:cs="Times New Roman"/>
          <w:sz w:val="28"/>
          <w:szCs w:val="28"/>
        </w:rPr>
        <w:t xml:space="preserve"> (“SAPS”)</w:t>
      </w:r>
      <w:r w:rsidR="003276C7">
        <w:rPr>
          <w:rFonts w:ascii="Times New Roman" w:hAnsi="Times New Roman" w:cs="Times New Roman"/>
          <w:sz w:val="28"/>
          <w:szCs w:val="28"/>
        </w:rPr>
        <w:t xml:space="preserve">.  </w:t>
      </w:r>
      <w:r w:rsidR="00DB7CEE" w:rsidRPr="00DB7CEE">
        <w:rPr>
          <w:rFonts w:ascii="Times New Roman" w:hAnsi="Times New Roman" w:cs="Times New Roman"/>
          <w:sz w:val="28"/>
          <w:szCs w:val="28"/>
        </w:rPr>
        <w:t>He</w:t>
      </w:r>
      <w:r w:rsidR="00E12042" w:rsidRPr="00DB7CEE">
        <w:rPr>
          <w:rFonts w:ascii="Times New Roman" w:hAnsi="Times New Roman" w:cs="Times New Roman"/>
          <w:sz w:val="28"/>
          <w:szCs w:val="28"/>
        </w:rPr>
        <w:t xml:space="preserve"> </w:t>
      </w:r>
      <w:r w:rsidR="00DB7CEE" w:rsidRPr="00DB7CEE">
        <w:rPr>
          <w:rFonts w:ascii="Times New Roman" w:hAnsi="Times New Roman" w:cs="Times New Roman"/>
          <w:sz w:val="28"/>
          <w:szCs w:val="28"/>
        </w:rPr>
        <w:t>evidently knew</w:t>
      </w:r>
      <w:r w:rsidR="00E12042" w:rsidRPr="00DB7CEE">
        <w:rPr>
          <w:rFonts w:ascii="Times New Roman" w:hAnsi="Times New Roman" w:cs="Times New Roman"/>
          <w:sz w:val="28"/>
          <w:szCs w:val="28"/>
        </w:rPr>
        <w:t xml:space="preserve"> of the falsity of his signature on the deed since October 2015</w:t>
      </w:r>
      <w:r w:rsidR="003276C7">
        <w:rPr>
          <w:rFonts w:ascii="Times New Roman" w:hAnsi="Times New Roman" w:cs="Times New Roman"/>
          <w:sz w:val="28"/>
          <w:szCs w:val="28"/>
        </w:rPr>
        <w:t xml:space="preserve"> but </w:t>
      </w:r>
      <w:r w:rsidR="00E12042" w:rsidRPr="00DB7CEE">
        <w:rPr>
          <w:rFonts w:ascii="Times New Roman" w:hAnsi="Times New Roman" w:cs="Times New Roman"/>
          <w:sz w:val="28"/>
          <w:szCs w:val="28"/>
        </w:rPr>
        <w:t>only formally complained of a forgery in March 2016.</w:t>
      </w:r>
      <w:r w:rsidR="00DB7CEE">
        <w:rPr>
          <w:rStyle w:val="FootnoteReference"/>
          <w:rFonts w:ascii="Times New Roman" w:hAnsi="Times New Roman" w:cs="Times New Roman"/>
          <w:sz w:val="28"/>
          <w:szCs w:val="28"/>
        </w:rPr>
        <w:footnoteReference w:id="11"/>
      </w:r>
    </w:p>
    <w:p w14:paraId="05F952F5" w14:textId="77777777" w:rsidR="00E12042" w:rsidRPr="00E12042" w:rsidRDefault="00E12042" w:rsidP="00E12042">
      <w:pPr>
        <w:pStyle w:val="ListParagraph"/>
        <w:rPr>
          <w:rFonts w:ascii="Times New Roman" w:hAnsi="Times New Roman" w:cs="Times New Roman"/>
          <w:sz w:val="28"/>
          <w:szCs w:val="28"/>
        </w:rPr>
      </w:pPr>
    </w:p>
    <w:p w14:paraId="48F0386A" w14:textId="47BFC202" w:rsidR="00E12042" w:rsidRDefault="00DB7CEE"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As an aside</w:t>
      </w:r>
      <w:r w:rsidR="00E12042">
        <w:rPr>
          <w:rFonts w:ascii="Times New Roman" w:hAnsi="Times New Roman" w:cs="Times New Roman"/>
          <w:sz w:val="28"/>
          <w:szCs w:val="28"/>
        </w:rPr>
        <w:t xml:space="preserve"> it is evident from the judgment </w:t>
      </w:r>
      <w:r w:rsidR="008001A8">
        <w:rPr>
          <w:rFonts w:ascii="Times New Roman" w:hAnsi="Times New Roman" w:cs="Times New Roman"/>
          <w:sz w:val="28"/>
          <w:szCs w:val="28"/>
        </w:rPr>
        <w:t xml:space="preserve">of </w:t>
      </w:r>
      <w:r w:rsidR="00246E75">
        <w:rPr>
          <w:rFonts w:ascii="Times New Roman" w:hAnsi="Times New Roman" w:cs="Times New Roman"/>
          <w:sz w:val="28"/>
          <w:szCs w:val="28"/>
        </w:rPr>
        <w:t xml:space="preserve">this </w:t>
      </w:r>
      <w:r w:rsidR="0052342A">
        <w:rPr>
          <w:rFonts w:ascii="Times New Roman" w:hAnsi="Times New Roman" w:cs="Times New Roman"/>
          <w:sz w:val="28"/>
          <w:szCs w:val="28"/>
        </w:rPr>
        <w:t>court (coincidentally put up as an annexure to the applicant’s founding affidavit)</w:t>
      </w:r>
      <w:r w:rsidR="00E12042">
        <w:rPr>
          <w:rFonts w:ascii="Times New Roman" w:hAnsi="Times New Roman" w:cs="Times New Roman"/>
          <w:sz w:val="28"/>
          <w:szCs w:val="28"/>
        </w:rPr>
        <w:t xml:space="preserve"> in the divorce action between the complainant</w:t>
      </w:r>
      <w:r>
        <w:rPr>
          <w:rFonts w:ascii="Times New Roman" w:hAnsi="Times New Roman" w:cs="Times New Roman"/>
          <w:sz w:val="28"/>
          <w:szCs w:val="28"/>
        </w:rPr>
        <w:t xml:space="preserve"> and his now ex-wife</w:t>
      </w:r>
      <w:r w:rsidR="00E12042">
        <w:rPr>
          <w:rFonts w:ascii="Times New Roman" w:hAnsi="Times New Roman" w:cs="Times New Roman"/>
          <w:sz w:val="28"/>
          <w:szCs w:val="28"/>
        </w:rPr>
        <w:t xml:space="preserve"> that there was</w:t>
      </w:r>
      <w:r w:rsidR="00040501">
        <w:rPr>
          <w:rFonts w:ascii="Times New Roman" w:hAnsi="Times New Roman" w:cs="Times New Roman"/>
          <w:sz w:val="28"/>
          <w:szCs w:val="28"/>
        </w:rPr>
        <w:t>, as the respondent suggested</w:t>
      </w:r>
      <w:r w:rsidR="00E12042">
        <w:rPr>
          <w:rFonts w:ascii="Times New Roman" w:hAnsi="Times New Roman" w:cs="Times New Roman"/>
          <w:sz w:val="28"/>
          <w:szCs w:val="28"/>
        </w:rPr>
        <w:t xml:space="preserve"> no love lost between the</w:t>
      </w:r>
      <w:r w:rsidR="00040501">
        <w:rPr>
          <w:rFonts w:ascii="Times New Roman" w:hAnsi="Times New Roman" w:cs="Times New Roman"/>
          <w:sz w:val="28"/>
          <w:szCs w:val="28"/>
        </w:rPr>
        <w:t>m</w:t>
      </w:r>
      <w:r w:rsidR="00E12042">
        <w:rPr>
          <w:rFonts w:ascii="Times New Roman" w:hAnsi="Times New Roman" w:cs="Times New Roman"/>
          <w:sz w:val="28"/>
          <w:szCs w:val="28"/>
        </w:rPr>
        <w:t>.  His mother’s relationship with the complainant was also described as a volatile one and she permanently left the matrimonial home on 15 June 2015 after which she issued the divorce action.</w:t>
      </w:r>
    </w:p>
    <w:p w14:paraId="42B10D91" w14:textId="77777777" w:rsidR="00E12042" w:rsidRPr="00E12042" w:rsidRDefault="00E12042" w:rsidP="00E12042">
      <w:pPr>
        <w:pStyle w:val="ListParagraph"/>
        <w:rPr>
          <w:rFonts w:ascii="Times New Roman" w:hAnsi="Times New Roman" w:cs="Times New Roman"/>
          <w:sz w:val="28"/>
          <w:szCs w:val="28"/>
        </w:rPr>
      </w:pPr>
    </w:p>
    <w:p w14:paraId="1D6247BF" w14:textId="4309E3AD" w:rsidR="00F651CC" w:rsidRDefault="00DB7CEE"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An accusation that the respondent’s </w:t>
      </w:r>
      <w:r w:rsidR="00E12042">
        <w:rPr>
          <w:rFonts w:ascii="Times New Roman" w:hAnsi="Times New Roman" w:cs="Times New Roman"/>
          <w:sz w:val="28"/>
          <w:szCs w:val="28"/>
        </w:rPr>
        <w:t xml:space="preserve">mother </w:t>
      </w:r>
      <w:r>
        <w:rPr>
          <w:rFonts w:ascii="Times New Roman" w:hAnsi="Times New Roman" w:cs="Times New Roman"/>
          <w:sz w:val="28"/>
          <w:szCs w:val="28"/>
        </w:rPr>
        <w:t>might have been</w:t>
      </w:r>
      <w:r w:rsidR="00E12042">
        <w:rPr>
          <w:rFonts w:ascii="Times New Roman" w:hAnsi="Times New Roman" w:cs="Times New Roman"/>
          <w:sz w:val="28"/>
          <w:szCs w:val="28"/>
        </w:rPr>
        <w:t xml:space="preserve"> responsible for falsifying the complaint’s signature on the deed of suretyship in question </w:t>
      </w:r>
      <w:r w:rsidR="00246E75">
        <w:rPr>
          <w:rFonts w:ascii="Times New Roman" w:hAnsi="Times New Roman" w:cs="Times New Roman"/>
          <w:sz w:val="28"/>
          <w:szCs w:val="28"/>
        </w:rPr>
        <w:t>came up for discussion in the divorce trial</w:t>
      </w:r>
      <w:r w:rsidR="00E12042">
        <w:rPr>
          <w:rFonts w:ascii="Times New Roman" w:hAnsi="Times New Roman" w:cs="Times New Roman"/>
          <w:sz w:val="28"/>
          <w:szCs w:val="28"/>
        </w:rPr>
        <w:t xml:space="preserve">.  In examining her alleged financial misconduct that the complainant prayed should be </w:t>
      </w:r>
      <w:r w:rsidR="0052342A">
        <w:rPr>
          <w:rFonts w:ascii="Times New Roman" w:hAnsi="Times New Roman" w:cs="Times New Roman"/>
          <w:sz w:val="28"/>
          <w:szCs w:val="28"/>
        </w:rPr>
        <w:t>considered</w:t>
      </w:r>
      <w:r w:rsidR="00E12042">
        <w:rPr>
          <w:rFonts w:ascii="Times New Roman" w:hAnsi="Times New Roman" w:cs="Times New Roman"/>
          <w:sz w:val="28"/>
          <w:szCs w:val="28"/>
        </w:rPr>
        <w:t xml:space="preserve"> to justify his claim </w:t>
      </w:r>
      <w:r w:rsidR="00246E75">
        <w:rPr>
          <w:rFonts w:ascii="Times New Roman" w:hAnsi="Times New Roman" w:cs="Times New Roman"/>
          <w:sz w:val="28"/>
          <w:szCs w:val="28"/>
        </w:rPr>
        <w:t xml:space="preserve">for a </w:t>
      </w:r>
      <w:r w:rsidR="00E12042">
        <w:rPr>
          <w:rFonts w:ascii="Times New Roman" w:hAnsi="Times New Roman" w:cs="Times New Roman"/>
          <w:sz w:val="28"/>
          <w:szCs w:val="28"/>
        </w:rPr>
        <w:t>forfeit</w:t>
      </w:r>
      <w:r w:rsidR="00246E75">
        <w:rPr>
          <w:rFonts w:ascii="Times New Roman" w:hAnsi="Times New Roman" w:cs="Times New Roman"/>
          <w:sz w:val="28"/>
          <w:szCs w:val="28"/>
        </w:rPr>
        <w:t>ure of</w:t>
      </w:r>
      <w:r w:rsidR="00E12042">
        <w:rPr>
          <w:rFonts w:ascii="Times New Roman" w:hAnsi="Times New Roman" w:cs="Times New Roman"/>
          <w:sz w:val="28"/>
          <w:szCs w:val="28"/>
        </w:rPr>
        <w:t xml:space="preserve"> benefits arising from the </w:t>
      </w:r>
      <w:r w:rsidR="00246E75">
        <w:rPr>
          <w:rFonts w:ascii="Times New Roman" w:hAnsi="Times New Roman" w:cs="Times New Roman"/>
          <w:sz w:val="28"/>
          <w:szCs w:val="28"/>
        </w:rPr>
        <w:t>marriage</w:t>
      </w:r>
      <w:r w:rsidR="00E12042">
        <w:rPr>
          <w:rFonts w:ascii="Times New Roman" w:hAnsi="Times New Roman" w:cs="Times New Roman"/>
          <w:sz w:val="28"/>
          <w:szCs w:val="28"/>
        </w:rPr>
        <w:t xml:space="preserve">, </w:t>
      </w:r>
      <w:r w:rsidR="008E5BC1">
        <w:rPr>
          <w:rFonts w:ascii="Times New Roman" w:hAnsi="Times New Roman" w:cs="Times New Roman"/>
          <w:sz w:val="28"/>
          <w:szCs w:val="28"/>
        </w:rPr>
        <w:t xml:space="preserve">the court </w:t>
      </w:r>
      <w:r w:rsidR="00246E75">
        <w:rPr>
          <w:rFonts w:ascii="Times New Roman" w:hAnsi="Times New Roman" w:cs="Times New Roman"/>
          <w:sz w:val="28"/>
          <w:szCs w:val="28"/>
        </w:rPr>
        <w:t xml:space="preserve">in its judgment </w:t>
      </w:r>
      <w:r w:rsidR="00E12042">
        <w:rPr>
          <w:rFonts w:ascii="Times New Roman" w:hAnsi="Times New Roman" w:cs="Times New Roman"/>
          <w:sz w:val="28"/>
          <w:szCs w:val="28"/>
        </w:rPr>
        <w:t>related the following detail that is of relevance for present purposes</w:t>
      </w:r>
      <w:r w:rsidR="00F651CC">
        <w:rPr>
          <w:rFonts w:ascii="Times New Roman" w:hAnsi="Times New Roman" w:cs="Times New Roman"/>
          <w:sz w:val="28"/>
          <w:szCs w:val="28"/>
        </w:rPr>
        <w:t>:</w:t>
      </w:r>
      <w:r w:rsidR="008001A8">
        <w:rPr>
          <w:rStyle w:val="FootnoteReference"/>
          <w:rFonts w:ascii="Times New Roman" w:hAnsi="Times New Roman" w:cs="Times New Roman"/>
          <w:sz w:val="28"/>
          <w:szCs w:val="28"/>
        </w:rPr>
        <w:footnoteReference w:id="12"/>
      </w:r>
    </w:p>
    <w:p w14:paraId="5E673C95" w14:textId="77777777" w:rsidR="00F651CC" w:rsidRPr="00F651CC" w:rsidRDefault="00F651CC" w:rsidP="00F651CC">
      <w:pPr>
        <w:pStyle w:val="ListParagraph"/>
        <w:rPr>
          <w:rFonts w:ascii="Times New Roman" w:hAnsi="Times New Roman" w:cs="Times New Roman"/>
          <w:sz w:val="28"/>
          <w:szCs w:val="28"/>
        </w:rPr>
      </w:pPr>
    </w:p>
    <w:p w14:paraId="398C03EF" w14:textId="77777777" w:rsidR="00E12042" w:rsidRPr="00C7608A" w:rsidRDefault="00F651CC" w:rsidP="00C7608A">
      <w:pPr>
        <w:pStyle w:val="ListParagraph"/>
        <w:spacing w:line="240" w:lineRule="auto"/>
        <w:jc w:val="both"/>
        <w:rPr>
          <w:rFonts w:ascii="Times New Roman" w:hAnsi="Times New Roman" w:cs="Times New Roman"/>
          <w:sz w:val="24"/>
          <w:szCs w:val="24"/>
        </w:rPr>
      </w:pPr>
      <w:r w:rsidRPr="00C7608A">
        <w:rPr>
          <w:rFonts w:ascii="Times New Roman" w:hAnsi="Times New Roman" w:cs="Times New Roman"/>
          <w:sz w:val="24"/>
          <w:szCs w:val="24"/>
        </w:rPr>
        <w:t>“[60]</w:t>
      </w:r>
      <w:r w:rsidRPr="00C7608A">
        <w:rPr>
          <w:rFonts w:ascii="Times New Roman" w:hAnsi="Times New Roman" w:cs="Times New Roman"/>
          <w:sz w:val="24"/>
          <w:szCs w:val="24"/>
        </w:rPr>
        <w:tab/>
        <w:t xml:space="preserve">Furthermore, during the subsistence of the marriage the plaintiff stood surety for a mortgage loan which her son entered into in order to purchase an immovable </w:t>
      </w:r>
      <w:r w:rsidR="00C7608A" w:rsidRPr="00C7608A">
        <w:rPr>
          <w:rFonts w:ascii="Times New Roman" w:hAnsi="Times New Roman" w:cs="Times New Roman"/>
          <w:sz w:val="24"/>
          <w:szCs w:val="24"/>
        </w:rPr>
        <w:t>property.  Again she did not acquire the consent of the defendant.  The defendant contends that his signature was forged on the document and he alleges that the plaintiff forged the said signature.  This the plaintiff denies and no evidence has been presented to me upon which I am able to make any finding in this regard. The immovable property concerned has since been sold and the mortgage loan repaid.  The plaintiff’s suretyship had no impact on the joint estate and there is no evidence of any conflict between the parties at the time as a result of the plaintiff’s suretyship.</w:t>
      </w:r>
    </w:p>
    <w:p w14:paraId="4B7FBF91" w14:textId="77777777" w:rsidR="00C7608A" w:rsidRPr="00C7608A" w:rsidRDefault="00C7608A" w:rsidP="00C7608A">
      <w:pPr>
        <w:pStyle w:val="ListParagraph"/>
        <w:spacing w:line="240" w:lineRule="auto"/>
        <w:jc w:val="both"/>
        <w:rPr>
          <w:rFonts w:ascii="Times New Roman" w:hAnsi="Times New Roman" w:cs="Times New Roman"/>
          <w:sz w:val="24"/>
          <w:szCs w:val="24"/>
        </w:rPr>
      </w:pPr>
      <w:r w:rsidRPr="00C7608A">
        <w:rPr>
          <w:rFonts w:ascii="Times New Roman" w:hAnsi="Times New Roman" w:cs="Times New Roman"/>
          <w:sz w:val="24"/>
          <w:szCs w:val="24"/>
        </w:rPr>
        <w:t>…</w:t>
      </w:r>
    </w:p>
    <w:p w14:paraId="7EE4EC0C" w14:textId="77777777" w:rsidR="00C7608A" w:rsidRPr="00C7608A" w:rsidRDefault="00C7608A" w:rsidP="00C7608A">
      <w:pPr>
        <w:pStyle w:val="ListParagraph"/>
        <w:spacing w:line="240" w:lineRule="auto"/>
        <w:jc w:val="both"/>
        <w:rPr>
          <w:rFonts w:ascii="Times New Roman" w:hAnsi="Times New Roman" w:cs="Times New Roman"/>
          <w:sz w:val="24"/>
          <w:szCs w:val="24"/>
        </w:rPr>
      </w:pPr>
      <w:r w:rsidRPr="00C7608A">
        <w:rPr>
          <w:rFonts w:ascii="Times New Roman" w:hAnsi="Times New Roman" w:cs="Times New Roman"/>
          <w:sz w:val="24"/>
          <w:szCs w:val="24"/>
        </w:rPr>
        <w:t>[62]</w:t>
      </w:r>
      <w:r w:rsidRPr="00C7608A">
        <w:rPr>
          <w:rFonts w:ascii="Times New Roman" w:hAnsi="Times New Roman" w:cs="Times New Roman"/>
          <w:sz w:val="24"/>
          <w:szCs w:val="24"/>
        </w:rPr>
        <w:tab/>
        <w:t>… Although the application of the plaintiff’s signature as surety on a mortgage loan agreement whilst she was married in community of property may be categorized as misconduct there is no evidence of the impact which it may have had on the relationship between the parties at the time and it has no effect on the joint estate at all.”</w:t>
      </w:r>
    </w:p>
    <w:p w14:paraId="2F40886A" w14:textId="79FAB43B" w:rsidR="00E12042" w:rsidRDefault="00E12042" w:rsidP="00E12042">
      <w:pPr>
        <w:pStyle w:val="ListParagraph"/>
        <w:rPr>
          <w:rFonts w:ascii="Times New Roman" w:hAnsi="Times New Roman" w:cs="Times New Roman"/>
          <w:sz w:val="28"/>
          <w:szCs w:val="28"/>
        </w:rPr>
      </w:pPr>
    </w:p>
    <w:p w14:paraId="59BE0E51" w14:textId="711640C2" w:rsidR="00187995" w:rsidRDefault="00B27B71"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In the present proceedings t</w:t>
      </w:r>
      <w:r w:rsidR="00A66AFC" w:rsidRPr="00187995">
        <w:rPr>
          <w:rFonts w:ascii="Times New Roman" w:hAnsi="Times New Roman" w:cs="Times New Roman"/>
          <w:sz w:val="28"/>
          <w:szCs w:val="28"/>
        </w:rPr>
        <w:t xml:space="preserve">he applicant put up an affidavit made pursuant to the provisions of section 212 </w:t>
      </w:r>
      <w:r w:rsidR="001B5048" w:rsidRPr="00187995">
        <w:rPr>
          <w:rFonts w:ascii="Times New Roman" w:hAnsi="Times New Roman" w:cs="Times New Roman"/>
          <w:sz w:val="28"/>
          <w:szCs w:val="28"/>
        </w:rPr>
        <w:t>(</w:t>
      </w:r>
      <w:r w:rsidR="00A66AFC" w:rsidRPr="00187995">
        <w:rPr>
          <w:rFonts w:ascii="Times New Roman" w:hAnsi="Times New Roman" w:cs="Times New Roman"/>
          <w:sz w:val="28"/>
          <w:szCs w:val="28"/>
        </w:rPr>
        <w:t>4</w:t>
      </w:r>
      <w:r w:rsidR="001B5048" w:rsidRPr="00187995">
        <w:rPr>
          <w:rFonts w:ascii="Times New Roman" w:hAnsi="Times New Roman" w:cs="Times New Roman"/>
          <w:sz w:val="28"/>
          <w:szCs w:val="28"/>
        </w:rPr>
        <w:t>) (</w:t>
      </w:r>
      <w:r w:rsidR="007C1BBC" w:rsidRPr="00187995">
        <w:rPr>
          <w:rFonts w:ascii="Times New Roman" w:hAnsi="Times New Roman" w:cs="Times New Roman"/>
          <w:sz w:val="28"/>
          <w:szCs w:val="28"/>
        </w:rPr>
        <w:t>a) and</w:t>
      </w:r>
      <w:r w:rsidR="001B5048" w:rsidRPr="00187995">
        <w:rPr>
          <w:rFonts w:ascii="Times New Roman" w:hAnsi="Times New Roman" w:cs="Times New Roman"/>
          <w:sz w:val="28"/>
          <w:szCs w:val="28"/>
        </w:rPr>
        <w:t xml:space="preserve"> (</w:t>
      </w:r>
      <w:r w:rsidR="00A66AFC" w:rsidRPr="00187995">
        <w:rPr>
          <w:rFonts w:ascii="Times New Roman" w:hAnsi="Times New Roman" w:cs="Times New Roman"/>
          <w:sz w:val="28"/>
          <w:szCs w:val="28"/>
        </w:rPr>
        <w:t>8</w:t>
      </w:r>
      <w:r w:rsidR="001B5048" w:rsidRPr="00187995">
        <w:rPr>
          <w:rFonts w:ascii="Times New Roman" w:hAnsi="Times New Roman" w:cs="Times New Roman"/>
          <w:sz w:val="28"/>
          <w:szCs w:val="28"/>
        </w:rPr>
        <w:t>)</w:t>
      </w:r>
      <w:r w:rsidR="00A66AFC" w:rsidRPr="00187995">
        <w:rPr>
          <w:rFonts w:ascii="Times New Roman" w:hAnsi="Times New Roman" w:cs="Times New Roman"/>
          <w:sz w:val="28"/>
          <w:szCs w:val="28"/>
        </w:rPr>
        <w:t xml:space="preserve"> </w:t>
      </w:r>
      <w:r w:rsidR="001B5048" w:rsidRPr="00187995">
        <w:rPr>
          <w:rFonts w:ascii="Times New Roman" w:hAnsi="Times New Roman" w:cs="Times New Roman"/>
          <w:sz w:val="28"/>
          <w:szCs w:val="28"/>
        </w:rPr>
        <w:t>(</w:t>
      </w:r>
      <w:r w:rsidR="00E7350E" w:rsidRPr="00187995">
        <w:rPr>
          <w:rFonts w:ascii="Times New Roman" w:hAnsi="Times New Roman" w:cs="Times New Roman"/>
          <w:sz w:val="28"/>
          <w:szCs w:val="28"/>
        </w:rPr>
        <w:t>a)</w:t>
      </w:r>
      <w:r w:rsidR="001B5048" w:rsidRPr="00187995">
        <w:rPr>
          <w:rFonts w:ascii="Times New Roman" w:hAnsi="Times New Roman" w:cs="Times New Roman"/>
          <w:sz w:val="28"/>
          <w:szCs w:val="28"/>
        </w:rPr>
        <w:t xml:space="preserve"> </w:t>
      </w:r>
      <w:r w:rsidR="00A66AFC" w:rsidRPr="00187995">
        <w:rPr>
          <w:rFonts w:ascii="Times New Roman" w:hAnsi="Times New Roman" w:cs="Times New Roman"/>
          <w:sz w:val="28"/>
          <w:szCs w:val="28"/>
        </w:rPr>
        <w:t xml:space="preserve">of the </w:t>
      </w:r>
      <w:r w:rsidR="001B5048" w:rsidRPr="00187995">
        <w:rPr>
          <w:rFonts w:ascii="Times New Roman" w:hAnsi="Times New Roman" w:cs="Times New Roman"/>
          <w:sz w:val="28"/>
          <w:szCs w:val="28"/>
        </w:rPr>
        <w:t>C</w:t>
      </w:r>
      <w:r w:rsidR="00A66AFC" w:rsidRPr="00187995">
        <w:rPr>
          <w:rFonts w:ascii="Times New Roman" w:hAnsi="Times New Roman" w:cs="Times New Roman"/>
          <w:sz w:val="28"/>
          <w:szCs w:val="28"/>
        </w:rPr>
        <w:t>riminal</w:t>
      </w:r>
      <w:r w:rsidR="001B5048" w:rsidRPr="00187995">
        <w:rPr>
          <w:rFonts w:ascii="Times New Roman" w:hAnsi="Times New Roman" w:cs="Times New Roman"/>
          <w:sz w:val="28"/>
          <w:szCs w:val="28"/>
        </w:rPr>
        <w:t xml:space="preserve"> Pr</w:t>
      </w:r>
      <w:r w:rsidR="00A66AFC" w:rsidRPr="00187995">
        <w:rPr>
          <w:rFonts w:ascii="Times New Roman" w:hAnsi="Times New Roman" w:cs="Times New Roman"/>
          <w:sz w:val="28"/>
          <w:szCs w:val="28"/>
        </w:rPr>
        <w:t xml:space="preserve">ocedure </w:t>
      </w:r>
      <w:r w:rsidR="001B5048" w:rsidRPr="00187995">
        <w:rPr>
          <w:rFonts w:ascii="Times New Roman" w:hAnsi="Times New Roman" w:cs="Times New Roman"/>
          <w:sz w:val="28"/>
          <w:szCs w:val="28"/>
        </w:rPr>
        <w:t>A</w:t>
      </w:r>
      <w:r w:rsidR="00A66AFC" w:rsidRPr="00187995">
        <w:rPr>
          <w:rFonts w:ascii="Times New Roman" w:hAnsi="Times New Roman" w:cs="Times New Roman"/>
          <w:sz w:val="28"/>
          <w:szCs w:val="28"/>
        </w:rPr>
        <w:t>ct</w:t>
      </w:r>
      <w:r w:rsidR="001B5048" w:rsidRPr="00187995">
        <w:rPr>
          <w:rFonts w:ascii="Times New Roman" w:hAnsi="Times New Roman" w:cs="Times New Roman"/>
          <w:sz w:val="28"/>
          <w:szCs w:val="28"/>
        </w:rPr>
        <w:t xml:space="preserve">, No </w:t>
      </w:r>
      <w:r w:rsidR="00A66AFC" w:rsidRPr="00187995">
        <w:rPr>
          <w:rFonts w:ascii="Times New Roman" w:hAnsi="Times New Roman" w:cs="Times New Roman"/>
          <w:sz w:val="28"/>
          <w:szCs w:val="28"/>
        </w:rPr>
        <w:t>51</w:t>
      </w:r>
      <w:r w:rsidR="00187995">
        <w:rPr>
          <w:rFonts w:ascii="Times New Roman" w:hAnsi="Times New Roman" w:cs="Times New Roman"/>
          <w:sz w:val="28"/>
          <w:szCs w:val="28"/>
        </w:rPr>
        <w:t>.</w:t>
      </w:r>
      <w:r w:rsidR="00A66AFC" w:rsidRPr="00187995">
        <w:rPr>
          <w:rFonts w:ascii="Times New Roman" w:hAnsi="Times New Roman" w:cs="Times New Roman"/>
          <w:sz w:val="28"/>
          <w:szCs w:val="28"/>
        </w:rPr>
        <w:t xml:space="preserve"> of 19</w:t>
      </w:r>
      <w:r w:rsidR="001B5048" w:rsidRPr="00187995">
        <w:rPr>
          <w:rFonts w:ascii="Times New Roman" w:hAnsi="Times New Roman" w:cs="Times New Roman"/>
          <w:sz w:val="28"/>
          <w:szCs w:val="28"/>
        </w:rPr>
        <w:t>7</w:t>
      </w:r>
      <w:r w:rsidR="00A66AFC" w:rsidRPr="00187995">
        <w:rPr>
          <w:rFonts w:ascii="Times New Roman" w:hAnsi="Times New Roman" w:cs="Times New Roman"/>
          <w:sz w:val="28"/>
          <w:szCs w:val="28"/>
        </w:rPr>
        <w:t>7 by Warrant Officer</w:t>
      </w:r>
      <w:r w:rsidR="00187995">
        <w:rPr>
          <w:rFonts w:ascii="Times New Roman" w:hAnsi="Times New Roman" w:cs="Times New Roman"/>
          <w:sz w:val="28"/>
          <w:szCs w:val="28"/>
        </w:rPr>
        <w:t xml:space="preserve"> Sinovuyo Ntlanyana</w:t>
      </w:r>
      <w:r w:rsidR="001165B0" w:rsidRPr="00187995">
        <w:rPr>
          <w:rFonts w:ascii="Times New Roman" w:hAnsi="Times New Roman" w:cs="Times New Roman"/>
          <w:sz w:val="28"/>
          <w:szCs w:val="28"/>
        </w:rPr>
        <w:t>,</w:t>
      </w:r>
      <w:r w:rsidR="00A66AFC" w:rsidRPr="00187995">
        <w:rPr>
          <w:rFonts w:ascii="Times New Roman" w:hAnsi="Times New Roman" w:cs="Times New Roman"/>
          <w:sz w:val="28"/>
          <w:szCs w:val="28"/>
        </w:rPr>
        <w:t xml:space="preserve"> a </w:t>
      </w:r>
      <w:r w:rsidR="00935A36">
        <w:rPr>
          <w:rFonts w:ascii="Times New Roman" w:hAnsi="Times New Roman" w:cs="Times New Roman"/>
          <w:sz w:val="28"/>
          <w:szCs w:val="28"/>
        </w:rPr>
        <w:t>“</w:t>
      </w:r>
      <w:r w:rsidR="00A66AFC" w:rsidRPr="00187995">
        <w:rPr>
          <w:rFonts w:ascii="Times New Roman" w:hAnsi="Times New Roman" w:cs="Times New Roman"/>
          <w:sz w:val="28"/>
          <w:szCs w:val="28"/>
        </w:rPr>
        <w:t>forensic questioned analyst</w:t>
      </w:r>
      <w:r w:rsidR="00935A36">
        <w:rPr>
          <w:rFonts w:ascii="Times New Roman" w:hAnsi="Times New Roman" w:cs="Times New Roman"/>
          <w:sz w:val="28"/>
          <w:szCs w:val="28"/>
        </w:rPr>
        <w:t>”</w:t>
      </w:r>
      <w:r w:rsidR="00A66AFC" w:rsidRPr="00187995">
        <w:rPr>
          <w:rFonts w:ascii="Times New Roman" w:hAnsi="Times New Roman" w:cs="Times New Roman"/>
          <w:sz w:val="28"/>
          <w:szCs w:val="28"/>
        </w:rPr>
        <w:t xml:space="preserve"> </w:t>
      </w:r>
      <w:r w:rsidR="00935A36">
        <w:rPr>
          <w:rFonts w:ascii="Times New Roman" w:hAnsi="Times New Roman" w:cs="Times New Roman"/>
          <w:sz w:val="28"/>
          <w:szCs w:val="28"/>
        </w:rPr>
        <w:t xml:space="preserve">(handwriting expert) </w:t>
      </w:r>
      <w:r w:rsidR="00E7350E" w:rsidRPr="00187995">
        <w:rPr>
          <w:rFonts w:ascii="Times New Roman" w:hAnsi="Times New Roman" w:cs="Times New Roman"/>
          <w:sz w:val="28"/>
          <w:szCs w:val="28"/>
        </w:rPr>
        <w:t>in the</w:t>
      </w:r>
      <w:r w:rsidR="001165B0" w:rsidRPr="00187995">
        <w:rPr>
          <w:rFonts w:ascii="Times New Roman" w:hAnsi="Times New Roman" w:cs="Times New Roman"/>
          <w:sz w:val="28"/>
          <w:szCs w:val="28"/>
        </w:rPr>
        <w:t xml:space="preserve"> employ of</w:t>
      </w:r>
      <w:r w:rsidR="00040501">
        <w:rPr>
          <w:rFonts w:ascii="Times New Roman" w:hAnsi="Times New Roman" w:cs="Times New Roman"/>
          <w:sz w:val="28"/>
          <w:szCs w:val="28"/>
        </w:rPr>
        <w:t xml:space="preserve"> the </w:t>
      </w:r>
      <w:r>
        <w:rPr>
          <w:rFonts w:ascii="Times New Roman" w:hAnsi="Times New Roman" w:cs="Times New Roman"/>
          <w:sz w:val="28"/>
          <w:szCs w:val="28"/>
        </w:rPr>
        <w:t>SAPS</w:t>
      </w:r>
      <w:r w:rsidR="001165B0" w:rsidRPr="00187995">
        <w:rPr>
          <w:rFonts w:ascii="Times New Roman" w:hAnsi="Times New Roman" w:cs="Times New Roman"/>
          <w:sz w:val="28"/>
          <w:szCs w:val="28"/>
        </w:rPr>
        <w:t xml:space="preserve">, </w:t>
      </w:r>
      <w:r w:rsidR="00A66AFC" w:rsidRPr="00187995">
        <w:rPr>
          <w:rFonts w:ascii="Times New Roman" w:hAnsi="Times New Roman" w:cs="Times New Roman"/>
          <w:sz w:val="28"/>
          <w:szCs w:val="28"/>
        </w:rPr>
        <w:t>wh</w:t>
      </w:r>
      <w:r w:rsidR="00E7350E" w:rsidRPr="00187995">
        <w:rPr>
          <w:rFonts w:ascii="Times New Roman" w:hAnsi="Times New Roman" w:cs="Times New Roman"/>
          <w:sz w:val="28"/>
          <w:szCs w:val="28"/>
        </w:rPr>
        <w:t>erein</w:t>
      </w:r>
      <w:r w:rsidR="00A66AFC" w:rsidRPr="00187995">
        <w:rPr>
          <w:rFonts w:ascii="Times New Roman" w:hAnsi="Times New Roman" w:cs="Times New Roman"/>
          <w:sz w:val="28"/>
          <w:szCs w:val="28"/>
        </w:rPr>
        <w:t xml:space="preserve"> she confirms </w:t>
      </w:r>
      <w:r w:rsidR="00C83BF8" w:rsidRPr="00187995">
        <w:rPr>
          <w:rFonts w:ascii="Times New Roman" w:hAnsi="Times New Roman" w:cs="Times New Roman"/>
          <w:sz w:val="28"/>
          <w:szCs w:val="28"/>
        </w:rPr>
        <w:t xml:space="preserve">the probability </w:t>
      </w:r>
      <w:r w:rsidR="00A66AFC" w:rsidRPr="00187995">
        <w:rPr>
          <w:rFonts w:ascii="Times New Roman" w:hAnsi="Times New Roman" w:cs="Times New Roman"/>
          <w:sz w:val="28"/>
          <w:szCs w:val="28"/>
        </w:rPr>
        <w:t>that th</w:t>
      </w:r>
      <w:r w:rsidR="001B5048" w:rsidRPr="00187995">
        <w:rPr>
          <w:rFonts w:ascii="Times New Roman" w:hAnsi="Times New Roman" w:cs="Times New Roman"/>
          <w:sz w:val="28"/>
          <w:szCs w:val="28"/>
        </w:rPr>
        <w:t xml:space="preserve">e </w:t>
      </w:r>
      <w:r w:rsidR="004C1AE6" w:rsidRPr="00187995">
        <w:rPr>
          <w:rFonts w:ascii="Times New Roman" w:hAnsi="Times New Roman" w:cs="Times New Roman"/>
          <w:sz w:val="28"/>
          <w:szCs w:val="28"/>
        </w:rPr>
        <w:t>purported</w:t>
      </w:r>
      <w:r w:rsidR="00A66AFC" w:rsidRPr="00187995">
        <w:rPr>
          <w:rFonts w:ascii="Times New Roman" w:hAnsi="Times New Roman" w:cs="Times New Roman"/>
          <w:sz w:val="28"/>
          <w:szCs w:val="28"/>
        </w:rPr>
        <w:t xml:space="preserve"> signature</w:t>
      </w:r>
      <w:r w:rsidR="00C83BF8" w:rsidRPr="00187995">
        <w:rPr>
          <w:rFonts w:ascii="Times New Roman" w:hAnsi="Times New Roman" w:cs="Times New Roman"/>
          <w:sz w:val="28"/>
          <w:szCs w:val="28"/>
        </w:rPr>
        <w:t xml:space="preserve">s of </w:t>
      </w:r>
      <w:r w:rsidR="00A66AFC" w:rsidRPr="00187995">
        <w:rPr>
          <w:rFonts w:ascii="Times New Roman" w:hAnsi="Times New Roman" w:cs="Times New Roman"/>
          <w:sz w:val="28"/>
          <w:szCs w:val="28"/>
        </w:rPr>
        <w:t xml:space="preserve">the complainant on the suretyship </w:t>
      </w:r>
      <w:r w:rsidR="00C83BF8" w:rsidRPr="00187995">
        <w:rPr>
          <w:rFonts w:ascii="Times New Roman" w:hAnsi="Times New Roman" w:cs="Times New Roman"/>
          <w:sz w:val="28"/>
          <w:szCs w:val="28"/>
        </w:rPr>
        <w:t>do</w:t>
      </w:r>
      <w:r w:rsidR="00A66AFC" w:rsidRPr="00187995">
        <w:rPr>
          <w:rFonts w:ascii="Times New Roman" w:hAnsi="Times New Roman" w:cs="Times New Roman"/>
          <w:sz w:val="28"/>
          <w:szCs w:val="28"/>
        </w:rPr>
        <w:t xml:space="preserve"> not</w:t>
      </w:r>
      <w:r w:rsidR="00C83BF8" w:rsidRPr="00187995">
        <w:rPr>
          <w:rFonts w:ascii="Times New Roman" w:hAnsi="Times New Roman" w:cs="Times New Roman"/>
          <w:sz w:val="28"/>
          <w:szCs w:val="28"/>
        </w:rPr>
        <w:t xml:space="preserve"> belong to </w:t>
      </w:r>
      <w:r>
        <w:rPr>
          <w:rFonts w:ascii="Times New Roman" w:hAnsi="Times New Roman" w:cs="Times New Roman"/>
          <w:sz w:val="28"/>
          <w:szCs w:val="28"/>
        </w:rPr>
        <w:t>him</w:t>
      </w:r>
      <w:r w:rsidR="008E5BC1">
        <w:rPr>
          <w:rFonts w:ascii="Times New Roman" w:hAnsi="Times New Roman" w:cs="Times New Roman"/>
          <w:sz w:val="28"/>
          <w:szCs w:val="28"/>
        </w:rPr>
        <w:t>.</w:t>
      </w:r>
    </w:p>
    <w:p w14:paraId="6B382206" w14:textId="77777777" w:rsidR="00187995" w:rsidRDefault="00187995" w:rsidP="00187995">
      <w:pPr>
        <w:pStyle w:val="ListParagraph"/>
        <w:spacing w:line="360" w:lineRule="auto"/>
        <w:ind w:left="0"/>
        <w:jc w:val="both"/>
        <w:rPr>
          <w:rFonts w:ascii="Times New Roman" w:hAnsi="Times New Roman" w:cs="Times New Roman"/>
          <w:sz w:val="28"/>
          <w:szCs w:val="28"/>
        </w:rPr>
      </w:pPr>
    </w:p>
    <w:p w14:paraId="637E2FE5" w14:textId="3B1C828C" w:rsidR="00187995" w:rsidRDefault="00A66AFC"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 xml:space="preserve">Despite </w:t>
      </w:r>
      <w:r w:rsidR="00B27B71">
        <w:rPr>
          <w:rFonts w:ascii="Times New Roman" w:hAnsi="Times New Roman" w:cs="Times New Roman"/>
          <w:sz w:val="28"/>
          <w:szCs w:val="28"/>
        </w:rPr>
        <w:t>Warrant Officer Ntlanyana’ s opinion given</w:t>
      </w:r>
      <w:r w:rsidR="004C1AE6" w:rsidRPr="00187995">
        <w:rPr>
          <w:rFonts w:ascii="Times New Roman" w:hAnsi="Times New Roman" w:cs="Times New Roman"/>
          <w:sz w:val="28"/>
          <w:szCs w:val="28"/>
        </w:rPr>
        <w:t xml:space="preserve"> in July 2016 </w:t>
      </w:r>
      <w:r w:rsidRPr="00187995">
        <w:rPr>
          <w:rFonts w:ascii="Times New Roman" w:hAnsi="Times New Roman" w:cs="Times New Roman"/>
          <w:sz w:val="28"/>
          <w:szCs w:val="28"/>
        </w:rPr>
        <w:t xml:space="preserve">of a probable forgery </w:t>
      </w:r>
      <w:r w:rsidR="00C83BF8" w:rsidRPr="00187995">
        <w:rPr>
          <w:rFonts w:ascii="Times New Roman" w:hAnsi="Times New Roman" w:cs="Times New Roman"/>
          <w:sz w:val="28"/>
          <w:szCs w:val="28"/>
        </w:rPr>
        <w:t xml:space="preserve">(which the respondent accepts but without any imputation to him of any knowledge </w:t>
      </w:r>
      <w:r w:rsidR="00356438">
        <w:rPr>
          <w:rFonts w:ascii="Times New Roman" w:hAnsi="Times New Roman" w:cs="Times New Roman"/>
          <w:sz w:val="28"/>
          <w:szCs w:val="28"/>
        </w:rPr>
        <w:t>that the signatures were forged</w:t>
      </w:r>
      <w:r w:rsidR="00DB4653" w:rsidRPr="00187995">
        <w:rPr>
          <w:rFonts w:ascii="Times New Roman" w:hAnsi="Times New Roman" w:cs="Times New Roman"/>
          <w:sz w:val="28"/>
          <w:szCs w:val="28"/>
        </w:rPr>
        <w:t xml:space="preserve"> or </w:t>
      </w:r>
      <w:r w:rsidR="008001A8">
        <w:rPr>
          <w:rFonts w:ascii="Times New Roman" w:hAnsi="Times New Roman" w:cs="Times New Roman"/>
          <w:sz w:val="28"/>
          <w:szCs w:val="28"/>
        </w:rPr>
        <w:t xml:space="preserve">of </w:t>
      </w:r>
      <w:r w:rsidR="00DB4653" w:rsidRPr="00187995">
        <w:rPr>
          <w:rFonts w:ascii="Times New Roman" w:hAnsi="Times New Roman" w:cs="Times New Roman"/>
          <w:sz w:val="28"/>
          <w:szCs w:val="28"/>
        </w:rPr>
        <w:t>any complicity in the reported crime),</w:t>
      </w:r>
      <w:r w:rsidR="00C83BF8" w:rsidRPr="00187995">
        <w:rPr>
          <w:rFonts w:ascii="Times New Roman" w:hAnsi="Times New Roman" w:cs="Times New Roman"/>
          <w:sz w:val="28"/>
          <w:szCs w:val="28"/>
        </w:rPr>
        <w:t xml:space="preserve"> </w:t>
      </w:r>
      <w:r w:rsidRPr="00187995">
        <w:rPr>
          <w:rFonts w:ascii="Times New Roman" w:hAnsi="Times New Roman" w:cs="Times New Roman"/>
          <w:sz w:val="28"/>
          <w:szCs w:val="28"/>
        </w:rPr>
        <w:t>no prosecution</w:t>
      </w:r>
      <w:r w:rsidR="00C83BF8" w:rsidRPr="00187995">
        <w:rPr>
          <w:rFonts w:ascii="Times New Roman" w:hAnsi="Times New Roman" w:cs="Times New Roman"/>
          <w:sz w:val="28"/>
          <w:szCs w:val="28"/>
        </w:rPr>
        <w:t xml:space="preserve"> </w:t>
      </w:r>
      <w:r w:rsidR="00356438">
        <w:rPr>
          <w:rFonts w:ascii="Times New Roman" w:hAnsi="Times New Roman" w:cs="Times New Roman"/>
          <w:sz w:val="28"/>
          <w:szCs w:val="28"/>
        </w:rPr>
        <w:t xml:space="preserve">has </w:t>
      </w:r>
      <w:r w:rsidR="00C83BF8" w:rsidRPr="00187995">
        <w:rPr>
          <w:rFonts w:ascii="Times New Roman" w:hAnsi="Times New Roman" w:cs="Times New Roman"/>
          <w:sz w:val="28"/>
          <w:szCs w:val="28"/>
        </w:rPr>
        <w:t xml:space="preserve">ever </w:t>
      </w:r>
      <w:r w:rsidRPr="00187995">
        <w:rPr>
          <w:rFonts w:ascii="Times New Roman" w:hAnsi="Times New Roman" w:cs="Times New Roman"/>
          <w:sz w:val="28"/>
          <w:szCs w:val="28"/>
        </w:rPr>
        <w:t>ensued.</w:t>
      </w:r>
    </w:p>
    <w:p w14:paraId="7B005DCC" w14:textId="77777777" w:rsidR="00187995" w:rsidRPr="00187995" w:rsidRDefault="00187995" w:rsidP="00187995">
      <w:pPr>
        <w:pStyle w:val="ListParagraph"/>
        <w:rPr>
          <w:rFonts w:ascii="Times New Roman" w:hAnsi="Times New Roman" w:cs="Times New Roman"/>
          <w:sz w:val="28"/>
          <w:szCs w:val="28"/>
        </w:rPr>
      </w:pPr>
    </w:p>
    <w:p w14:paraId="581B53BE" w14:textId="16382D73" w:rsidR="00187995" w:rsidRDefault="00356438"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Even before the advent of the forensic report, the CLS</w:t>
      </w:r>
      <w:r w:rsidR="00A66AFC" w:rsidRPr="00187995">
        <w:rPr>
          <w:rFonts w:ascii="Times New Roman" w:hAnsi="Times New Roman" w:cs="Times New Roman"/>
          <w:sz w:val="28"/>
          <w:szCs w:val="28"/>
        </w:rPr>
        <w:t>, utilizing the machinery at its disposal at the ti</w:t>
      </w:r>
      <w:r w:rsidR="00187995">
        <w:rPr>
          <w:rFonts w:ascii="Times New Roman" w:hAnsi="Times New Roman" w:cs="Times New Roman"/>
          <w:sz w:val="28"/>
          <w:szCs w:val="28"/>
        </w:rPr>
        <w:t>me under the provisions of the</w:t>
      </w:r>
      <w:r w:rsidR="004122CC">
        <w:rPr>
          <w:rFonts w:ascii="Times New Roman" w:hAnsi="Times New Roman" w:cs="Times New Roman"/>
          <w:sz w:val="28"/>
          <w:szCs w:val="28"/>
        </w:rPr>
        <w:t xml:space="preserve"> now</w:t>
      </w:r>
      <w:r w:rsidR="00187995">
        <w:rPr>
          <w:rFonts w:ascii="Times New Roman" w:hAnsi="Times New Roman" w:cs="Times New Roman"/>
          <w:sz w:val="28"/>
          <w:szCs w:val="28"/>
        </w:rPr>
        <w:t xml:space="preserve"> Repealed Attorneys A</w:t>
      </w:r>
      <w:r w:rsidR="00A66AFC" w:rsidRPr="00187995">
        <w:rPr>
          <w:rFonts w:ascii="Times New Roman" w:hAnsi="Times New Roman" w:cs="Times New Roman"/>
          <w:sz w:val="28"/>
          <w:szCs w:val="28"/>
        </w:rPr>
        <w:t>ct</w:t>
      </w:r>
      <w:r>
        <w:rPr>
          <w:rFonts w:ascii="Times New Roman" w:hAnsi="Times New Roman" w:cs="Times New Roman"/>
          <w:sz w:val="28"/>
          <w:szCs w:val="28"/>
        </w:rPr>
        <w:t xml:space="preserve">, </w:t>
      </w:r>
      <w:r w:rsidR="00DB4653" w:rsidRPr="00187995">
        <w:rPr>
          <w:rFonts w:ascii="Times New Roman" w:hAnsi="Times New Roman" w:cs="Times New Roman"/>
          <w:sz w:val="28"/>
          <w:szCs w:val="28"/>
        </w:rPr>
        <w:t xml:space="preserve">sought to investigate the complaint as a serious one of dishonesty </w:t>
      </w:r>
      <w:r w:rsidR="00D25A75">
        <w:rPr>
          <w:rFonts w:ascii="Times New Roman" w:hAnsi="Times New Roman" w:cs="Times New Roman"/>
          <w:sz w:val="28"/>
          <w:szCs w:val="28"/>
        </w:rPr>
        <w:t>no doubt premised</w:t>
      </w:r>
      <w:r w:rsidR="008001A8">
        <w:rPr>
          <w:rFonts w:ascii="Times New Roman" w:hAnsi="Times New Roman" w:cs="Times New Roman"/>
          <w:sz w:val="28"/>
          <w:szCs w:val="28"/>
        </w:rPr>
        <w:t xml:space="preserve"> -</w:t>
      </w:r>
      <w:r w:rsidR="00D25A75">
        <w:rPr>
          <w:rFonts w:ascii="Times New Roman" w:hAnsi="Times New Roman" w:cs="Times New Roman"/>
          <w:sz w:val="28"/>
          <w:szCs w:val="28"/>
        </w:rPr>
        <w:t xml:space="preserve"> </w:t>
      </w:r>
      <w:r w:rsidR="00CB08F6">
        <w:rPr>
          <w:rFonts w:ascii="Times New Roman" w:hAnsi="Times New Roman" w:cs="Times New Roman"/>
          <w:sz w:val="28"/>
          <w:szCs w:val="28"/>
        </w:rPr>
        <w:t>worst case scenario</w:t>
      </w:r>
      <w:r w:rsidR="00D25A75">
        <w:rPr>
          <w:rFonts w:ascii="Times New Roman" w:hAnsi="Times New Roman" w:cs="Times New Roman"/>
          <w:sz w:val="28"/>
          <w:szCs w:val="28"/>
        </w:rPr>
        <w:t xml:space="preserve">, on one of possible inferences </w:t>
      </w:r>
      <w:r w:rsidR="00CB08F6">
        <w:rPr>
          <w:rFonts w:ascii="Times New Roman" w:hAnsi="Times New Roman" w:cs="Times New Roman"/>
          <w:sz w:val="28"/>
          <w:szCs w:val="28"/>
        </w:rPr>
        <w:t xml:space="preserve">that suggested itself from the facts, namely that </w:t>
      </w:r>
      <w:r w:rsidR="00D25A75">
        <w:rPr>
          <w:rFonts w:ascii="Times New Roman" w:hAnsi="Times New Roman" w:cs="Times New Roman"/>
          <w:sz w:val="28"/>
          <w:szCs w:val="28"/>
        </w:rPr>
        <w:t xml:space="preserve">that </w:t>
      </w:r>
      <w:r>
        <w:rPr>
          <w:rFonts w:ascii="Times New Roman" w:hAnsi="Times New Roman" w:cs="Times New Roman"/>
          <w:sz w:val="28"/>
          <w:szCs w:val="28"/>
        </w:rPr>
        <w:t>t</w:t>
      </w:r>
      <w:r w:rsidR="00D25A75">
        <w:rPr>
          <w:rFonts w:ascii="Times New Roman" w:hAnsi="Times New Roman" w:cs="Times New Roman"/>
          <w:sz w:val="28"/>
          <w:szCs w:val="28"/>
        </w:rPr>
        <w:t xml:space="preserve">he </w:t>
      </w:r>
      <w:r>
        <w:rPr>
          <w:rFonts w:ascii="Times New Roman" w:hAnsi="Times New Roman" w:cs="Times New Roman"/>
          <w:sz w:val="28"/>
          <w:szCs w:val="28"/>
        </w:rPr>
        <w:t xml:space="preserve">respondent </w:t>
      </w:r>
      <w:r w:rsidR="00D25A75" w:rsidRPr="00CB08F6">
        <w:rPr>
          <w:rFonts w:ascii="Times New Roman" w:hAnsi="Times New Roman" w:cs="Times New Roman"/>
          <w:i/>
          <w:iCs/>
          <w:sz w:val="28"/>
          <w:szCs w:val="28"/>
        </w:rPr>
        <w:t>knew</w:t>
      </w:r>
      <w:r w:rsidR="00D25A75">
        <w:rPr>
          <w:rFonts w:ascii="Times New Roman" w:hAnsi="Times New Roman" w:cs="Times New Roman"/>
          <w:sz w:val="28"/>
          <w:szCs w:val="28"/>
        </w:rPr>
        <w:t xml:space="preserve"> the purported signature of the complainant to be false.</w:t>
      </w:r>
      <w:r w:rsidR="003276C7">
        <w:rPr>
          <w:rStyle w:val="FootnoteReference"/>
          <w:rFonts w:ascii="Times New Roman" w:hAnsi="Times New Roman" w:cs="Times New Roman"/>
          <w:sz w:val="28"/>
          <w:szCs w:val="28"/>
        </w:rPr>
        <w:footnoteReference w:id="13"/>
      </w:r>
      <w:r w:rsidR="00D25A75">
        <w:rPr>
          <w:rFonts w:ascii="Times New Roman" w:hAnsi="Times New Roman" w:cs="Times New Roman"/>
          <w:sz w:val="28"/>
          <w:szCs w:val="28"/>
        </w:rPr>
        <w:t xml:space="preserve"> </w:t>
      </w:r>
      <w:r>
        <w:rPr>
          <w:rFonts w:ascii="Times New Roman" w:hAnsi="Times New Roman" w:cs="Times New Roman"/>
          <w:sz w:val="28"/>
          <w:szCs w:val="28"/>
        </w:rPr>
        <w:t xml:space="preserve"> (That scenario would have entailed that he was either complicit with the </w:t>
      </w:r>
      <w:r w:rsidR="0052342A">
        <w:rPr>
          <w:rFonts w:ascii="Times New Roman" w:hAnsi="Times New Roman" w:cs="Times New Roman"/>
          <w:sz w:val="28"/>
          <w:szCs w:val="28"/>
        </w:rPr>
        <w:t>perpetrator</w:t>
      </w:r>
      <w:r w:rsidR="003276C7">
        <w:rPr>
          <w:rFonts w:ascii="Times New Roman" w:hAnsi="Times New Roman" w:cs="Times New Roman"/>
          <w:sz w:val="28"/>
          <w:szCs w:val="28"/>
        </w:rPr>
        <w:t xml:space="preserve"> of the </w:t>
      </w:r>
      <w:r w:rsidR="008001A8">
        <w:rPr>
          <w:rFonts w:ascii="Times New Roman" w:hAnsi="Times New Roman" w:cs="Times New Roman"/>
          <w:sz w:val="28"/>
          <w:szCs w:val="28"/>
        </w:rPr>
        <w:t xml:space="preserve">crime of </w:t>
      </w:r>
      <w:r w:rsidR="003276C7">
        <w:rPr>
          <w:rFonts w:ascii="Times New Roman" w:hAnsi="Times New Roman" w:cs="Times New Roman"/>
          <w:sz w:val="28"/>
          <w:szCs w:val="28"/>
        </w:rPr>
        <w:t xml:space="preserve">forgery and uttering </w:t>
      </w:r>
      <w:r w:rsidR="008001A8">
        <w:rPr>
          <w:rFonts w:ascii="Times New Roman" w:hAnsi="Times New Roman" w:cs="Times New Roman"/>
          <w:sz w:val="28"/>
          <w:szCs w:val="28"/>
        </w:rPr>
        <w:t xml:space="preserve">and/or </w:t>
      </w:r>
      <w:r w:rsidR="0052342A">
        <w:rPr>
          <w:rFonts w:ascii="Times New Roman" w:hAnsi="Times New Roman" w:cs="Times New Roman"/>
          <w:sz w:val="28"/>
          <w:szCs w:val="28"/>
        </w:rPr>
        <w:t>facilitat</w:t>
      </w:r>
      <w:r w:rsidR="003276C7">
        <w:rPr>
          <w:rFonts w:ascii="Times New Roman" w:hAnsi="Times New Roman" w:cs="Times New Roman"/>
          <w:sz w:val="28"/>
          <w:szCs w:val="28"/>
        </w:rPr>
        <w:t>ed</w:t>
      </w:r>
      <w:r w:rsidR="0052342A">
        <w:rPr>
          <w:rFonts w:ascii="Times New Roman" w:hAnsi="Times New Roman" w:cs="Times New Roman"/>
          <w:sz w:val="28"/>
          <w:szCs w:val="28"/>
        </w:rPr>
        <w:t xml:space="preserve"> the commission of the crime</w:t>
      </w:r>
      <w:r>
        <w:rPr>
          <w:rFonts w:ascii="Times New Roman" w:hAnsi="Times New Roman" w:cs="Times New Roman"/>
          <w:sz w:val="28"/>
          <w:szCs w:val="28"/>
        </w:rPr>
        <w:t xml:space="preserve">.) </w:t>
      </w:r>
      <w:r w:rsidR="00D25A75">
        <w:rPr>
          <w:rFonts w:ascii="Times New Roman" w:hAnsi="Times New Roman" w:cs="Times New Roman"/>
          <w:sz w:val="28"/>
          <w:szCs w:val="28"/>
        </w:rPr>
        <w:t xml:space="preserve"> The other possibility </w:t>
      </w:r>
      <w:r>
        <w:rPr>
          <w:rFonts w:ascii="Times New Roman" w:hAnsi="Times New Roman" w:cs="Times New Roman"/>
          <w:sz w:val="28"/>
          <w:szCs w:val="28"/>
        </w:rPr>
        <w:t xml:space="preserve">namely </w:t>
      </w:r>
      <w:r w:rsidR="00D25A75">
        <w:rPr>
          <w:rFonts w:ascii="Times New Roman" w:hAnsi="Times New Roman" w:cs="Times New Roman"/>
          <w:sz w:val="28"/>
          <w:szCs w:val="28"/>
        </w:rPr>
        <w:t xml:space="preserve">that he </w:t>
      </w:r>
      <w:r>
        <w:rPr>
          <w:rFonts w:ascii="Times New Roman" w:hAnsi="Times New Roman" w:cs="Times New Roman"/>
          <w:sz w:val="28"/>
          <w:szCs w:val="28"/>
        </w:rPr>
        <w:t>was nescient of the falsity</w:t>
      </w:r>
      <w:r w:rsidR="00D25A75">
        <w:rPr>
          <w:rFonts w:ascii="Times New Roman" w:hAnsi="Times New Roman" w:cs="Times New Roman"/>
          <w:sz w:val="28"/>
          <w:szCs w:val="28"/>
        </w:rPr>
        <w:t xml:space="preserve"> however equally lent itself to a claim of </w:t>
      </w:r>
      <w:r w:rsidR="003276C7">
        <w:rPr>
          <w:rFonts w:ascii="Times New Roman" w:hAnsi="Times New Roman" w:cs="Times New Roman"/>
          <w:sz w:val="28"/>
          <w:szCs w:val="28"/>
        </w:rPr>
        <w:t>“</w:t>
      </w:r>
      <w:r w:rsidR="00D25A75">
        <w:rPr>
          <w:rFonts w:ascii="Times New Roman" w:hAnsi="Times New Roman" w:cs="Times New Roman"/>
          <w:sz w:val="28"/>
          <w:szCs w:val="28"/>
        </w:rPr>
        <w:t>dishonesty</w:t>
      </w:r>
      <w:r w:rsidR="003276C7">
        <w:rPr>
          <w:rFonts w:ascii="Times New Roman" w:hAnsi="Times New Roman" w:cs="Times New Roman"/>
          <w:sz w:val="28"/>
          <w:szCs w:val="28"/>
        </w:rPr>
        <w:t>”</w:t>
      </w:r>
      <w:r w:rsidR="00D25A75">
        <w:rPr>
          <w:rFonts w:ascii="Times New Roman" w:hAnsi="Times New Roman" w:cs="Times New Roman"/>
          <w:sz w:val="28"/>
          <w:szCs w:val="28"/>
        </w:rPr>
        <w:t xml:space="preserve"> as </w:t>
      </w:r>
      <w:r>
        <w:rPr>
          <w:rFonts w:ascii="Times New Roman" w:hAnsi="Times New Roman" w:cs="Times New Roman"/>
          <w:sz w:val="28"/>
          <w:szCs w:val="28"/>
        </w:rPr>
        <w:t xml:space="preserve">he and Ms. Craddock </w:t>
      </w:r>
      <w:r w:rsidR="00B079F3" w:rsidRPr="00187995">
        <w:rPr>
          <w:rFonts w:ascii="Times New Roman" w:hAnsi="Times New Roman" w:cs="Times New Roman"/>
          <w:sz w:val="28"/>
          <w:szCs w:val="28"/>
        </w:rPr>
        <w:t xml:space="preserve">by their signatures </w:t>
      </w:r>
      <w:r w:rsidR="00671BB0">
        <w:rPr>
          <w:rFonts w:ascii="Times New Roman" w:hAnsi="Times New Roman" w:cs="Times New Roman"/>
          <w:sz w:val="28"/>
          <w:szCs w:val="28"/>
        </w:rPr>
        <w:t>on the deed as witnesses</w:t>
      </w:r>
      <w:r w:rsidR="00935A36">
        <w:rPr>
          <w:rFonts w:ascii="Times New Roman" w:hAnsi="Times New Roman" w:cs="Times New Roman"/>
          <w:sz w:val="28"/>
          <w:szCs w:val="28"/>
        </w:rPr>
        <w:t xml:space="preserve"> number 1 and 2</w:t>
      </w:r>
      <w:r w:rsidR="00671BB0">
        <w:rPr>
          <w:rFonts w:ascii="Times New Roman" w:hAnsi="Times New Roman" w:cs="Times New Roman"/>
          <w:sz w:val="28"/>
          <w:szCs w:val="28"/>
        </w:rPr>
        <w:t xml:space="preserve"> </w:t>
      </w:r>
      <w:r w:rsidR="00B079F3" w:rsidRPr="00187995">
        <w:rPr>
          <w:rFonts w:ascii="Times New Roman" w:hAnsi="Times New Roman" w:cs="Times New Roman"/>
          <w:sz w:val="28"/>
          <w:szCs w:val="28"/>
        </w:rPr>
        <w:t>gave out</w:t>
      </w:r>
      <w:r w:rsidR="004C1AE6" w:rsidRPr="00187995">
        <w:rPr>
          <w:rFonts w:ascii="Times New Roman" w:hAnsi="Times New Roman" w:cs="Times New Roman"/>
          <w:sz w:val="28"/>
          <w:szCs w:val="28"/>
        </w:rPr>
        <w:t>,</w:t>
      </w:r>
      <w:r w:rsidR="00B079F3" w:rsidRPr="00187995">
        <w:rPr>
          <w:rFonts w:ascii="Times New Roman" w:hAnsi="Times New Roman" w:cs="Times New Roman"/>
          <w:sz w:val="28"/>
          <w:szCs w:val="28"/>
        </w:rPr>
        <w:t xml:space="preserve"> at </w:t>
      </w:r>
      <w:r w:rsidR="00B079F3" w:rsidRPr="00187995">
        <w:rPr>
          <w:rFonts w:ascii="Times New Roman" w:hAnsi="Times New Roman" w:cs="Times New Roman"/>
          <w:sz w:val="28"/>
          <w:szCs w:val="28"/>
        </w:rPr>
        <w:lastRenderedPageBreak/>
        <w:t>least as a primary supposition</w:t>
      </w:r>
      <w:r w:rsidR="004C1AE6" w:rsidRPr="00187995">
        <w:rPr>
          <w:rFonts w:ascii="Times New Roman" w:hAnsi="Times New Roman" w:cs="Times New Roman"/>
          <w:sz w:val="28"/>
          <w:szCs w:val="28"/>
        </w:rPr>
        <w:t>,</w:t>
      </w:r>
      <w:r w:rsidR="00B079F3" w:rsidRPr="00187995">
        <w:rPr>
          <w:rFonts w:ascii="Times New Roman" w:hAnsi="Times New Roman" w:cs="Times New Roman"/>
          <w:sz w:val="28"/>
          <w:szCs w:val="28"/>
        </w:rPr>
        <w:t xml:space="preserve"> that the complainant himself had signed </w:t>
      </w:r>
      <w:r w:rsidR="004C1AE6" w:rsidRPr="00187995">
        <w:rPr>
          <w:rFonts w:ascii="Times New Roman" w:hAnsi="Times New Roman" w:cs="Times New Roman"/>
          <w:sz w:val="28"/>
          <w:szCs w:val="28"/>
        </w:rPr>
        <w:t>as surety number 2 in their presence</w:t>
      </w:r>
      <w:r w:rsidR="00671BB0">
        <w:rPr>
          <w:rFonts w:ascii="Times New Roman" w:hAnsi="Times New Roman" w:cs="Times New Roman"/>
          <w:sz w:val="28"/>
          <w:szCs w:val="28"/>
        </w:rPr>
        <w:t>,</w:t>
      </w:r>
      <w:r w:rsidR="00D25A75">
        <w:rPr>
          <w:rFonts w:ascii="Times New Roman" w:hAnsi="Times New Roman" w:cs="Times New Roman"/>
          <w:sz w:val="28"/>
          <w:szCs w:val="28"/>
        </w:rPr>
        <w:t xml:space="preserve"> whereas he obviously could not have.</w:t>
      </w:r>
      <w:r w:rsidR="004C1AE6" w:rsidRPr="00187995">
        <w:rPr>
          <w:rFonts w:ascii="Times New Roman" w:hAnsi="Times New Roman" w:cs="Times New Roman"/>
          <w:sz w:val="28"/>
          <w:szCs w:val="28"/>
        </w:rPr>
        <w:t xml:space="preserve"> </w:t>
      </w:r>
    </w:p>
    <w:p w14:paraId="2B688AF3" w14:textId="77777777" w:rsidR="00187995" w:rsidRPr="00187995" w:rsidRDefault="00187995" w:rsidP="00187995">
      <w:pPr>
        <w:pStyle w:val="ListParagraph"/>
        <w:rPr>
          <w:rFonts w:ascii="Times New Roman" w:hAnsi="Times New Roman" w:cs="Times New Roman"/>
          <w:sz w:val="28"/>
          <w:szCs w:val="28"/>
        </w:rPr>
      </w:pPr>
    </w:p>
    <w:p w14:paraId="64A74778" w14:textId="45866C78" w:rsidR="00187995" w:rsidRDefault="004C1AE6"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At the time the respondent was first asked to provide a response to the complaint in May 2016, he advised that he could neither confirm nor deny whether the complainant had signed the suretyship in his presence.</w:t>
      </w:r>
      <w:r w:rsidR="005A11C2">
        <w:rPr>
          <w:rStyle w:val="FootnoteReference"/>
          <w:rFonts w:ascii="Times New Roman" w:hAnsi="Times New Roman" w:cs="Times New Roman"/>
          <w:sz w:val="28"/>
          <w:szCs w:val="28"/>
        </w:rPr>
        <w:footnoteReference w:id="14"/>
      </w:r>
      <w:r w:rsidRPr="00187995">
        <w:rPr>
          <w:rFonts w:ascii="Times New Roman" w:hAnsi="Times New Roman" w:cs="Times New Roman"/>
          <w:sz w:val="28"/>
          <w:szCs w:val="28"/>
        </w:rPr>
        <w:t xml:space="preserve"> In the context of hi</w:t>
      </w:r>
      <w:r w:rsidR="00CB3C5D" w:rsidRPr="00187995">
        <w:rPr>
          <w:rFonts w:ascii="Times New Roman" w:hAnsi="Times New Roman" w:cs="Times New Roman"/>
          <w:sz w:val="28"/>
          <w:szCs w:val="28"/>
        </w:rPr>
        <w:t xml:space="preserve">s regular </w:t>
      </w:r>
      <w:r w:rsidRPr="00187995">
        <w:rPr>
          <w:rFonts w:ascii="Times New Roman" w:hAnsi="Times New Roman" w:cs="Times New Roman"/>
          <w:sz w:val="28"/>
          <w:szCs w:val="28"/>
        </w:rPr>
        <w:t>dealings with the complainant and the numerous documents being signed</w:t>
      </w:r>
      <w:r w:rsidR="00CB3C5D" w:rsidRPr="00187995">
        <w:rPr>
          <w:rFonts w:ascii="Times New Roman" w:hAnsi="Times New Roman" w:cs="Times New Roman"/>
          <w:sz w:val="28"/>
          <w:szCs w:val="28"/>
        </w:rPr>
        <w:t xml:space="preserve"> by each of them</w:t>
      </w:r>
      <w:r w:rsidR="00671BB0">
        <w:rPr>
          <w:rFonts w:ascii="Times New Roman" w:hAnsi="Times New Roman" w:cs="Times New Roman"/>
          <w:sz w:val="28"/>
          <w:szCs w:val="28"/>
        </w:rPr>
        <w:t xml:space="preserve"> or witnessed by him</w:t>
      </w:r>
      <w:r w:rsidR="00CB3C5D" w:rsidRPr="00187995">
        <w:rPr>
          <w:rFonts w:ascii="Times New Roman" w:hAnsi="Times New Roman" w:cs="Times New Roman"/>
          <w:sz w:val="28"/>
          <w:szCs w:val="28"/>
        </w:rPr>
        <w:t xml:space="preserve"> h</w:t>
      </w:r>
      <w:r w:rsidRPr="00187995">
        <w:rPr>
          <w:rFonts w:ascii="Times New Roman" w:hAnsi="Times New Roman" w:cs="Times New Roman"/>
          <w:sz w:val="28"/>
          <w:szCs w:val="28"/>
        </w:rPr>
        <w:t xml:space="preserve">e </w:t>
      </w:r>
      <w:r w:rsidR="00CB3C5D" w:rsidRPr="00187995">
        <w:rPr>
          <w:rFonts w:ascii="Times New Roman" w:hAnsi="Times New Roman" w:cs="Times New Roman"/>
          <w:sz w:val="28"/>
          <w:szCs w:val="28"/>
        </w:rPr>
        <w:t xml:space="preserve">claimed to have </w:t>
      </w:r>
      <w:r w:rsidRPr="00187995">
        <w:rPr>
          <w:rFonts w:ascii="Times New Roman" w:hAnsi="Times New Roman" w:cs="Times New Roman"/>
          <w:sz w:val="28"/>
          <w:szCs w:val="28"/>
        </w:rPr>
        <w:t>had no independent recollection of the document</w:t>
      </w:r>
      <w:r w:rsidR="00E8503E" w:rsidRPr="00187995">
        <w:rPr>
          <w:rFonts w:ascii="Times New Roman" w:hAnsi="Times New Roman" w:cs="Times New Roman"/>
          <w:sz w:val="28"/>
          <w:szCs w:val="28"/>
        </w:rPr>
        <w:t>’s signing.</w:t>
      </w:r>
      <w:r w:rsidR="00935A36">
        <w:rPr>
          <w:rStyle w:val="FootnoteReference"/>
          <w:rFonts w:ascii="Times New Roman" w:hAnsi="Times New Roman" w:cs="Times New Roman"/>
          <w:sz w:val="28"/>
          <w:szCs w:val="28"/>
        </w:rPr>
        <w:footnoteReference w:id="15"/>
      </w:r>
    </w:p>
    <w:p w14:paraId="006DB378" w14:textId="77777777" w:rsidR="00187995" w:rsidRPr="00187995" w:rsidRDefault="00187995" w:rsidP="00187995">
      <w:pPr>
        <w:pStyle w:val="ListParagraph"/>
        <w:rPr>
          <w:rFonts w:ascii="Times New Roman" w:hAnsi="Times New Roman" w:cs="Times New Roman"/>
          <w:sz w:val="28"/>
          <w:szCs w:val="28"/>
        </w:rPr>
      </w:pPr>
    </w:p>
    <w:p w14:paraId="542DB0EA" w14:textId="1E83E8CB" w:rsidR="005A11C2" w:rsidRDefault="00CB08F6"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 xml:space="preserve">Once </w:t>
      </w:r>
      <w:r>
        <w:rPr>
          <w:rFonts w:ascii="Times New Roman" w:hAnsi="Times New Roman" w:cs="Times New Roman"/>
          <w:sz w:val="28"/>
          <w:szCs w:val="28"/>
        </w:rPr>
        <w:t xml:space="preserve">the Police </w:t>
      </w:r>
      <w:r w:rsidR="00E8503E" w:rsidRPr="00187995">
        <w:rPr>
          <w:rFonts w:ascii="Times New Roman" w:hAnsi="Times New Roman" w:cs="Times New Roman"/>
          <w:sz w:val="28"/>
          <w:szCs w:val="28"/>
        </w:rPr>
        <w:t>Services</w:t>
      </w:r>
      <w:r w:rsidR="00C228D2">
        <w:rPr>
          <w:rFonts w:ascii="Times New Roman" w:hAnsi="Times New Roman" w:cs="Times New Roman"/>
          <w:sz w:val="28"/>
          <w:szCs w:val="28"/>
        </w:rPr>
        <w:t>’</w:t>
      </w:r>
      <w:r w:rsidR="00E8503E" w:rsidRPr="00187995">
        <w:rPr>
          <w:rFonts w:ascii="Times New Roman" w:hAnsi="Times New Roman" w:cs="Times New Roman"/>
          <w:sz w:val="28"/>
          <w:szCs w:val="28"/>
        </w:rPr>
        <w:t xml:space="preserve"> forensic report had come to hand</w:t>
      </w:r>
      <w:r w:rsidR="003276C7">
        <w:rPr>
          <w:rFonts w:ascii="Times New Roman" w:hAnsi="Times New Roman" w:cs="Times New Roman"/>
          <w:sz w:val="28"/>
          <w:szCs w:val="28"/>
        </w:rPr>
        <w:t xml:space="preserve"> </w:t>
      </w:r>
      <w:r w:rsidR="005A11C2">
        <w:rPr>
          <w:rFonts w:ascii="Times New Roman" w:hAnsi="Times New Roman" w:cs="Times New Roman"/>
          <w:sz w:val="28"/>
          <w:szCs w:val="28"/>
        </w:rPr>
        <w:t>and the respondent was requested to advise whether it was his signature on the deed.  He confirmed almost three weeks later that it “appeared” to be his signature.</w:t>
      </w:r>
    </w:p>
    <w:p w14:paraId="77E8D35A" w14:textId="77777777" w:rsidR="005A11C2" w:rsidRPr="005A11C2" w:rsidRDefault="005A11C2" w:rsidP="005A11C2">
      <w:pPr>
        <w:pStyle w:val="ListParagraph"/>
        <w:rPr>
          <w:rFonts w:ascii="Times New Roman" w:hAnsi="Times New Roman" w:cs="Times New Roman"/>
          <w:sz w:val="28"/>
          <w:szCs w:val="28"/>
        </w:rPr>
      </w:pPr>
    </w:p>
    <w:p w14:paraId="0B8AB327" w14:textId="3D3FE23C" w:rsidR="00D25A75" w:rsidRDefault="005A11C2"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E</w:t>
      </w:r>
      <w:r w:rsidR="003276C7">
        <w:rPr>
          <w:rFonts w:ascii="Times New Roman" w:hAnsi="Times New Roman" w:cs="Times New Roman"/>
          <w:sz w:val="28"/>
          <w:szCs w:val="28"/>
        </w:rPr>
        <w:t>vidently not satisfied that the respondent had given an adequate answer to the complaint</w:t>
      </w:r>
      <w:r w:rsidR="00E8503E" w:rsidRPr="00187995">
        <w:rPr>
          <w:rFonts w:ascii="Times New Roman" w:hAnsi="Times New Roman" w:cs="Times New Roman"/>
          <w:sz w:val="28"/>
          <w:szCs w:val="28"/>
        </w:rPr>
        <w:t xml:space="preserve">, the CLS formally charged </w:t>
      </w:r>
      <w:r w:rsidR="00671BB0">
        <w:rPr>
          <w:rFonts w:ascii="Times New Roman" w:hAnsi="Times New Roman" w:cs="Times New Roman"/>
          <w:sz w:val="28"/>
          <w:szCs w:val="28"/>
        </w:rPr>
        <w:t>him</w:t>
      </w:r>
      <w:r w:rsidR="00E8503E" w:rsidRPr="00187995">
        <w:rPr>
          <w:rFonts w:ascii="Times New Roman" w:hAnsi="Times New Roman" w:cs="Times New Roman"/>
          <w:sz w:val="28"/>
          <w:szCs w:val="28"/>
        </w:rPr>
        <w:t xml:space="preserve"> with </w:t>
      </w:r>
      <w:r w:rsidR="00DC526A">
        <w:rPr>
          <w:rFonts w:ascii="Times New Roman" w:hAnsi="Times New Roman" w:cs="Times New Roman"/>
          <w:sz w:val="28"/>
          <w:szCs w:val="28"/>
        </w:rPr>
        <w:t>“</w:t>
      </w:r>
      <w:r w:rsidR="00E8503E" w:rsidRPr="00187995">
        <w:rPr>
          <w:rFonts w:ascii="Times New Roman" w:hAnsi="Times New Roman" w:cs="Times New Roman"/>
          <w:sz w:val="28"/>
          <w:szCs w:val="28"/>
        </w:rPr>
        <w:t>unprofessional conduct</w:t>
      </w:r>
      <w:r w:rsidR="00DC526A">
        <w:rPr>
          <w:rFonts w:ascii="Times New Roman" w:hAnsi="Times New Roman" w:cs="Times New Roman"/>
          <w:sz w:val="28"/>
          <w:szCs w:val="28"/>
        </w:rPr>
        <w:t>”</w:t>
      </w:r>
      <w:r w:rsidR="00E8503E" w:rsidRPr="00187995">
        <w:rPr>
          <w:rFonts w:ascii="Times New Roman" w:hAnsi="Times New Roman" w:cs="Times New Roman"/>
          <w:sz w:val="28"/>
          <w:szCs w:val="28"/>
        </w:rPr>
        <w:t xml:space="preserve"> for contravening Rule 14.3.14</w:t>
      </w:r>
      <w:r w:rsidR="00071728" w:rsidRPr="00187995">
        <w:rPr>
          <w:rFonts w:ascii="Times New Roman" w:hAnsi="Times New Roman" w:cs="Times New Roman"/>
          <w:sz w:val="28"/>
          <w:szCs w:val="28"/>
        </w:rPr>
        <w:t>,</w:t>
      </w:r>
      <w:r w:rsidR="008001A8">
        <w:rPr>
          <w:rStyle w:val="FootnoteReference"/>
          <w:rFonts w:ascii="Times New Roman" w:hAnsi="Times New Roman" w:cs="Times New Roman"/>
          <w:sz w:val="28"/>
          <w:szCs w:val="28"/>
        </w:rPr>
        <w:footnoteReference w:id="16"/>
      </w:r>
      <w:r w:rsidR="00071728" w:rsidRPr="00187995">
        <w:rPr>
          <w:rFonts w:ascii="Times New Roman" w:hAnsi="Times New Roman" w:cs="Times New Roman"/>
          <w:sz w:val="28"/>
          <w:szCs w:val="28"/>
        </w:rPr>
        <w:t xml:space="preserve"> claiming </w:t>
      </w:r>
      <w:r w:rsidR="00E8503E" w:rsidRPr="00187995">
        <w:rPr>
          <w:rFonts w:ascii="Times New Roman" w:hAnsi="Times New Roman" w:cs="Times New Roman"/>
          <w:sz w:val="28"/>
          <w:szCs w:val="28"/>
        </w:rPr>
        <w:t>that he had brought the attorneys</w:t>
      </w:r>
      <w:r w:rsidR="00DC526A">
        <w:rPr>
          <w:rFonts w:ascii="Times New Roman" w:hAnsi="Times New Roman" w:cs="Times New Roman"/>
          <w:sz w:val="28"/>
          <w:szCs w:val="28"/>
        </w:rPr>
        <w:t>’</w:t>
      </w:r>
      <w:r w:rsidR="00E8503E" w:rsidRPr="00187995">
        <w:rPr>
          <w:rFonts w:ascii="Times New Roman" w:hAnsi="Times New Roman" w:cs="Times New Roman"/>
          <w:sz w:val="28"/>
          <w:szCs w:val="28"/>
        </w:rPr>
        <w:t xml:space="preserve"> profession into disrepute by signing a suretyship as a witness to a forged signature</w:t>
      </w:r>
      <w:r w:rsidR="00071728" w:rsidRPr="00187995">
        <w:rPr>
          <w:rFonts w:ascii="Times New Roman" w:hAnsi="Times New Roman" w:cs="Times New Roman"/>
          <w:sz w:val="28"/>
          <w:szCs w:val="28"/>
        </w:rPr>
        <w:t>.  T</w:t>
      </w:r>
      <w:r w:rsidR="00671BB0">
        <w:rPr>
          <w:rFonts w:ascii="Times New Roman" w:hAnsi="Times New Roman" w:cs="Times New Roman"/>
          <w:sz w:val="28"/>
          <w:szCs w:val="28"/>
        </w:rPr>
        <w:t>he forgery then having been established as a fact, t</w:t>
      </w:r>
      <w:r w:rsidR="00071728" w:rsidRPr="00187995">
        <w:rPr>
          <w:rFonts w:ascii="Times New Roman" w:hAnsi="Times New Roman" w:cs="Times New Roman"/>
          <w:sz w:val="28"/>
          <w:szCs w:val="28"/>
        </w:rPr>
        <w:t xml:space="preserve">he implication </w:t>
      </w:r>
      <w:r w:rsidR="00671BB0">
        <w:rPr>
          <w:rFonts w:ascii="Times New Roman" w:hAnsi="Times New Roman" w:cs="Times New Roman"/>
          <w:sz w:val="28"/>
          <w:szCs w:val="28"/>
        </w:rPr>
        <w:t>again made clear</w:t>
      </w:r>
      <w:r w:rsidR="00DC526A">
        <w:rPr>
          <w:rFonts w:ascii="Times New Roman" w:hAnsi="Times New Roman" w:cs="Times New Roman"/>
          <w:sz w:val="28"/>
          <w:szCs w:val="28"/>
        </w:rPr>
        <w:t xml:space="preserve"> from the way in which the charge</w:t>
      </w:r>
      <w:r w:rsidR="0010369B">
        <w:rPr>
          <w:rFonts w:ascii="Times New Roman" w:hAnsi="Times New Roman" w:cs="Times New Roman"/>
          <w:sz w:val="28"/>
          <w:szCs w:val="28"/>
        </w:rPr>
        <w:t xml:space="preserve"> had been formulated</w:t>
      </w:r>
      <w:r w:rsidR="00671BB0">
        <w:rPr>
          <w:rFonts w:ascii="Times New Roman" w:hAnsi="Times New Roman" w:cs="Times New Roman"/>
          <w:sz w:val="28"/>
          <w:szCs w:val="28"/>
        </w:rPr>
        <w:t xml:space="preserve"> </w:t>
      </w:r>
      <w:r w:rsidR="003166CA" w:rsidRPr="00187995">
        <w:rPr>
          <w:rFonts w:ascii="Times New Roman" w:hAnsi="Times New Roman" w:cs="Times New Roman"/>
          <w:sz w:val="28"/>
          <w:szCs w:val="28"/>
        </w:rPr>
        <w:t>was</w:t>
      </w:r>
      <w:r w:rsidR="00071728" w:rsidRPr="00187995">
        <w:rPr>
          <w:rFonts w:ascii="Times New Roman" w:hAnsi="Times New Roman" w:cs="Times New Roman"/>
          <w:sz w:val="28"/>
          <w:szCs w:val="28"/>
        </w:rPr>
        <w:t xml:space="preserve"> that he either </w:t>
      </w:r>
      <w:r w:rsidR="00E8503E" w:rsidRPr="00187995">
        <w:rPr>
          <w:rFonts w:ascii="Times New Roman" w:hAnsi="Times New Roman" w:cs="Times New Roman"/>
          <w:sz w:val="28"/>
          <w:szCs w:val="28"/>
        </w:rPr>
        <w:t>kn</w:t>
      </w:r>
      <w:r w:rsidR="00071728" w:rsidRPr="00187995">
        <w:rPr>
          <w:rFonts w:ascii="Times New Roman" w:hAnsi="Times New Roman" w:cs="Times New Roman"/>
          <w:sz w:val="28"/>
          <w:szCs w:val="28"/>
        </w:rPr>
        <w:t xml:space="preserve">ew that the </w:t>
      </w:r>
      <w:r w:rsidR="00671BB0" w:rsidRPr="00187995">
        <w:rPr>
          <w:rFonts w:ascii="Times New Roman" w:hAnsi="Times New Roman" w:cs="Times New Roman"/>
          <w:sz w:val="28"/>
          <w:szCs w:val="28"/>
        </w:rPr>
        <w:t>signatur</w:t>
      </w:r>
      <w:r w:rsidR="00671BB0">
        <w:rPr>
          <w:rFonts w:ascii="Times New Roman" w:hAnsi="Times New Roman" w:cs="Times New Roman"/>
          <w:sz w:val="28"/>
          <w:szCs w:val="28"/>
        </w:rPr>
        <w:t>es</w:t>
      </w:r>
      <w:r w:rsidR="0010369B">
        <w:rPr>
          <w:rFonts w:ascii="Times New Roman" w:hAnsi="Times New Roman" w:cs="Times New Roman"/>
          <w:sz w:val="28"/>
          <w:szCs w:val="28"/>
        </w:rPr>
        <w:t xml:space="preserve"> on the deed</w:t>
      </w:r>
      <w:r w:rsidR="00071728" w:rsidRPr="00187995">
        <w:rPr>
          <w:rFonts w:ascii="Times New Roman" w:hAnsi="Times New Roman" w:cs="Times New Roman"/>
          <w:sz w:val="28"/>
          <w:szCs w:val="28"/>
        </w:rPr>
        <w:t xml:space="preserve"> </w:t>
      </w:r>
      <w:r w:rsidR="00671BB0">
        <w:rPr>
          <w:rFonts w:ascii="Times New Roman" w:hAnsi="Times New Roman" w:cs="Times New Roman"/>
          <w:sz w:val="28"/>
          <w:szCs w:val="28"/>
        </w:rPr>
        <w:t xml:space="preserve">were </w:t>
      </w:r>
      <w:r w:rsidR="00071728" w:rsidRPr="00187995">
        <w:rPr>
          <w:rFonts w:ascii="Times New Roman" w:hAnsi="Times New Roman" w:cs="Times New Roman"/>
          <w:sz w:val="28"/>
          <w:szCs w:val="28"/>
        </w:rPr>
        <w:t xml:space="preserve">not </w:t>
      </w:r>
      <w:r w:rsidR="00E8503E" w:rsidRPr="00187995">
        <w:rPr>
          <w:rFonts w:ascii="Times New Roman" w:hAnsi="Times New Roman" w:cs="Times New Roman"/>
          <w:sz w:val="28"/>
          <w:szCs w:val="28"/>
        </w:rPr>
        <w:t xml:space="preserve">the </w:t>
      </w:r>
      <w:r w:rsidR="003166CA" w:rsidRPr="00187995">
        <w:rPr>
          <w:rFonts w:ascii="Times New Roman" w:hAnsi="Times New Roman" w:cs="Times New Roman"/>
          <w:sz w:val="28"/>
          <w:szCs w:val="28"/>
        </w:rPr>
        <w:t xml:space="preserve">complainant’s </w:t>
      </w:r>
      <w:r w:rsidR="00DC526A">
        <w:rPr>
          <w:rFonts w:ascii="Times New Roman" w:hAnsi="Times New Roman" w:cs="Times New Roman"/>
          <w:sz w:val="28"/>
          <w:szCs w:val="28"/>
        </w:rPr>
        <w:t xml:space="preserve">(and thereby </w:t>
      </w:r>
      <w:r w:rsidR="00150B58">
        <w:rPr>
          <w:rFonts w:ascii="Times New Roman" w:hAnsi="Times New Roman" w:cs="Times New Roman"/>
          <w:sz w:val="28"/>
          <w:szCs w:val="28"/>
        </w:rPr>
        <w:t xml:space="preserve">attested to them </w:t>
      </w:r>
      <w:r w:rsidR="00DC526A">
        <w:rPr>
          <w:rFonts w:ascii="Times New Roman" w:hAnsi="Times New Roman" w:cs="Times New Roman"/>
          <w:sz w:val="28"/>
          <w:szCs w:val="28"/>
        </w:rPr>
        <w:lastRenderedPageBreak/>
        <w:t>knowing</w:t>
      </w:r>
      <w:r w:rsidR="00150B58">
        <w:rPr>
          <w:rFonts w:ascii="Times New Roman" w:hAnsi="Times New Roman" w:cs="Times New Roman"/>
          <w:sz w:val="28"/>
          <w:szCs w:val="28"/>
        </w:rPr>
        <w:t xml:space="preserve"> of the falsity</w:t>
      </w:r>
      <w:r w:rsidR="00DC526A">
        <w:rPr>
          <w:rFonts w:ascii="Times New Roman" w:hAnsi="Times New Roman" w:cs="Times New Roman"/>
          <w:sz w:val="28"/>
          <w:szCs w:val="28"/>
        </w:rPr>
        <w:t xml:space="preserve">) </w:t>
      </w:r>
      <w:r w:rsidR="003166CA" w:rsidRPr="00187995">
        <w:rPr>
          <w:rFonts w:ascii="Times New Roman" w:hAnsi="Times New Roman" w:cs="Times New Roman"/>
          <w:sz w:val="28"/>
          <w:szCs w:val="28"/>
        </w:rPr>
        <w:t>or</w:t>
      </w:r>
      <w:r w:rsidR="00071728" w:rsidRPr="00187995">
        <w:rPr>
          <w:rFonts w:ascii="Times New Roman" w:hAnsi="Times New Roman" w:cs="Times New Roman"/>
          <w:sz w:val="28"/>
          <w:szCs w:val="28"/>
        </w:rPr>
        <w:t xml:space="preserve"> that he had in any event </w:t>
      </w:r>
      <w:r w:rsidR="00CB08F6">
        <w:rPr>
          <w:rFonts w:ascii="Times New Roman" w:hAnsi="Times New Roman" w:cs="Times New Roman"/>
          <w:sz w:val="28"/>
          <w:szCs w:val="28"/>
        </w:rPr>
        <w:t xml:space="preserve">attested </w:t>
      </w:r>
      <w:r w:rsidR="00671BB0">
        <w:rPr>
          <w:rFonts w:ascii="Times New Roman" w:hAnsi="Times New Roman" w:cs="Times New Roman"/>
          <w:sz w:val="28"/>
          <w:szCs w:val="28"/>
        </w:rPr>
        <w:t>the complainant’s signing as</w:t>
      </w:r>
      <w:r w:rsidR="00CB08F6">
        <w:rPr>
          <w:rFonts w:ascii="Times New Roman" w:hAnsi="Times New Roman" w:cs="Times New Roman"/>
          <w:sz w:val="28"/>
          <w:szCs w:val="28"/>
        </w:rPr>
        <w:t xml:space="preserve"> a witness</w:t>
      </w:r>
      <w:r w:rsidR="00DC526A">
        <w:rPr>
          <w:rFonts w:ascii="Times New Roman" w:hAnsi="Times New Roman" w:cs="Times New Roman"/>
          <w:sz w:val="28"/>
          <w:szCs w:val="28"/>
        </w:rPr>
        <w:t xml:space="preserve"> in </w:t>
      </w:r>
      <w:r w:rsidR="008001A8">
        <w:rPr>
          <w:rFonts w:ascii="Times New Roman" w:hAnsi="Times New Roman" w:cs="Times New Roman"/>
          <w:sz w:val="28"/>
          <w:szCs w:val="28"/>
        </w:rPr>
        <w:t>his absence</w:t>
      </w:r>
      <w:r w:rsidR="00DC526A">
        <w:rPr>
          <w:rFonts w:ascii="Times New Roman" w:hAnsi="Times New Roman" w:cs="Times New Roman"/>
          <w:sz w:val="28"/>
          <w:szCs w:val="28"/>
        </w:rPr>
        <w:t xml:space="preserve">. </w:t>
      </w:r>
      <w:r w:rsidR="00071728" w:rsidRPr="00187995">
        <w:rPr>
          <w:rFonts w:ascii="Times New Roman" w:hAnsi="Times New Roman" w:cs="Times New Roman"/>
          <w:sz w:val="28"/>
          <w:szCs w:val="28"/>
        </w:rPr>
        <w:t xml:space="preserve"> </w:t>
      </w:r>
    </w:p>
    <w:p w14:paraId="0DA21BAB" w14:textId="77777777" w:rsidR="0010369B" w:rsidRPr="0010369B" w:rsidRDefault="0010369B" w:rsidP="0010369B">
      <w:pPr>
        <w:pStyle w:val="ListParagraph"/>
        <w:rPr>
          <w:rFonts w:ascii="Times New Roman" w:hAnsi="Times New Roman" w:cs="Times New Roman"/>
          <w:sz w:val="28"/>
          <w:szCs w:val="28"/>
        </w:rPr>
      </w:pPr>
    </w:p>
    <w:p w14:paraId="56D6E87E" w14:textId="1DDA17B8" w:rsidR="0010369B" w:rsidRDefault="0010369B"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respondent’s answer to the charge was somewhat awkwardly articulated:</w:t>
      </w:r>
    </w:p>
    <w:p w14:paraId="1340CB54" w14:textId="77777777" w:rsidR="0010369B" w:rsidRPr="0010369B" w:rsidRDefault="0010369B" w:rsidP="0010369B">
      <w:pPr>
        <w:pStyle w:val="ListParagraph"/>
        <w:rPr>
          <w:rFonts w:ascii="Times New Roman" w:hAnsi="Times New Roman" w:cs="Times New Roman"/>
          <w:sz w:val="28"/>
          <w:szCs w:val="28"/>
        </w:rPr>
      </w:pPr>
    </w:p>
    <w:p w14:paraId="52CCBB78" w14:textId="0AAD515B" w:rsidR="0010369B" w:rsidRPr="0065279E" w:rsidRDefault="007D103C" w:rsidP="0065279E">
      <w:pPr>
        <w:pStyle w:val="ListParagraph"/>
        <w:spacing w:line="240" w:lineRule="auto"/>
        <w:contextualSpacing w:val="0"/>
        <w:jc w:val="both"/>
        <w:rPr>
          <w:rFonts w:ascii="Times New Roman" w:hAnsi="Times New Roman" w:cs="Times New Roman"/>
          <w:sz w:val="24"/>
          <w:szCs w:val="24"/>
        </w:rPr>
      </w:pPr>
      <w:r w:rsidRPr="0065279E">
        <w:rPr>
          <w:rFonts w:ascii="Times New Roman" w:hAnsi="Times New Roman" w:cs="Times New Roman"/>
          <w:sz w:val="24"/>
          <w:szCs w:val="24"/>
        </w:rPr>
        <w:t xml:space="preserve">“As previously stated, Mr Neels Labuschange was married to my mother and as a result we saw each other frequently.  He attended to various rentals as my agent and documents were frequently signed after hours, I have confirmed that it is my signature as the one witness and the only inference that can be drawn is that he signed it in my presence.  I have stated that I unfortunately cannot recall signature of this specific document as it was one of many documents signed by Mr Labuschagne and is something that I vehemently deny.  As far as it is relevant, Mr Labuschagne hade it his mission to launch a personal </w:t>
      </w:r>
      <w:r w:rsidR="0065279E" w:rsidRPr="0065279E">
        <w:rPr>
          <w:rFonts w:ascii="Times New Roman" w:hAnsi="Times New Roman" w:cs="Times New Roman"/>
          <w:sz w:val="24"/>
          <w:szCs w:val="24"/>
        </w:rPr>
        <w:t>attack on me as a result of the acrimonious divorce.  Their divorce went on trial on 24, 25 and 26 November 2016 and the decision (which is expected any day now) will no doubt make Mr Labuschange’s motives, as well as his credibility as a witness, very clear.</w:t>
      </w:r>
    </w:p>
    <w:p w14:paraId="3616B4C6" w14:textId="2C07759B" w:rsidR="0065279E" w:rsidRPr="0065279E" w:rsidRDefault="0065279E" w:rsidP="0065279E">
      <w:pPr>
        <w:pStyle w:val="ListParagraph"/>
        <w:spacing w:line="240" w:lineRule="auto"/>
        <w:contextualSpacing w:val="0"/>
        <w:jc w:val="both"/>
        <w:rPr>
          <w:rFonts w:ascii="Times New Roman" w:hAnsi="Times New Roman" w:cs="Times New Roman"/>
          <w:sz w:val="24"/>
          <w:szCs w:val="24"/>
        </w:rPr>
      </w:pPr>
      <w:r w:rsidRPr="0065279E">
        <w:rPr>
          <w:rFonts w:ascii="Times New Roman" w:hAnsi="Times New Roman" w:cs="Times New Roman"/>
          <w:sz w:val="24"/>
          <w:szCs w:val="24"/>
        </w:rPr>
        <w:t>The bond (and suretyship) in question was cancelled almost a year ago and I sincerely hope this matter can now be laid to rest.”</w:t>
      </w:r>
    </w:p>
    <w:p w14:paraId="580FDE27" w14:textId="77777777" w:rsidR="00D25A75" w:rsidRPr="00D25A75" w:rsidRDefault="00D25A75" w:rsidP="00D25A75">
      <w:pPr>
        <w:pStyle w:val="ListParagraph"/>
        <w:rPr>
          <w:rFonts w:ascii="Times New Roman" w:hAnsi="Times New Roman" w:cs="Times New Roman"/>
          <w:sz w:val="28"/>
          <w:szCs w:val="28"/>
        </w:rPr>
      </w:pPr>
    </w:p>
    <w:p w14:paraId="34F6C6EB" w14:textId="1CAFC81A" w:rsidR="00DC526A" w:rsidRDefault="003166CA" w:rsidP="005C41D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On 13 February 2017 the C</w:t>
      </w:r>
      <w:r w:rsidR="00D25A75">
        <w:rPr>
          <w:rFonts w:ascii="Times New Roman" w:hAnsi="Times New Roman" w:cs="Times New Roman"/>
          <w:sz w:val="28"/>
          <w:szCs w:val="28"/>
        </w:rPr>
        <w:t>LS</w:t>
      </w:r>
      <w:r w:rsidRPr="00187995">
        <w:rPr>
          <w:rFonts w:ascii="Times New Roman" w:hAnsi="Times New Roman" w:cs="Times New Roman"/>
          <w:sz w:val="28"/>
          <w:szCs w:val="28"/>
        </w:rPr>
        <w:t xml:space="preserve">'s disciplinary committee found </w:t>
      </w:r>
      <w:r w:rsidR="00CB08F6">
        <w:rPr>
          <w:rFonts w:ascii="Times New Roman" w:hAnsi="Times New Roman" w:cs="Times New Roman"/>
          <w:sz w:val="28"/>
          <w:szCs w:val="28"/>
        </w:rPr>
        <w:t xml:space="preserve">that </w:t>
      </w:r>
      <w:r w:rsidR="00671BB0">
        <w:rPr>
          <w:rFonts w:ascii="Times New Roman" w:hAnsi="Times New Roman" w:cs="Times New Roman"/>
          <w:sz w:val="28"/>
          <w:szCs w:val="28"/>
        </w:rPr>
        <w:t>he</w:t>
      </w:r>
      <w:r w:rsidR="00CB08F6">
        <w:rPr>
          <w:rFonts w:ascii="Times New Roman" w:hAnsi="Times New Roman" w:cs="Times New Roman"/>
          <w:sz w:val="28"/>
          <w:szCs w:val="28"/>
        </w:rPr>
        <w:t xml:space="preserve"> had committed </w:t>
      </w:r>
      <w:r w:rsidR="00A1401F">
        <w:rPr>
          <w:rFonts w:ascii="Times New Roman" w:hAnsi="Times New Roman" w:cs="Times New Roman"/>
          <w:sz w:val="28"/>
          <w:szCs w:val="28"/>
        </w:rPr>
        <w:t>“</w:t>
      </w:r>
      <w:r w:rsidRPr="00187995">
        <w:rPr>
          <w:rFonts w:ascii="Times New Roman" w:hAnsi="Times New Roman" w:cs="Times New Roman"/>
          <w:sz w:val="28"/>
          <w:szCs w:val="28"/>
        </w:rPr>
        <w:t>unprofessional conduct</w:t>
      </w:r>
      <w:r w:rsidR="00A1401F">
        <w:rPr>
          <w:rFonts w:ascii="Times New Roman" w:hAnsi="Times New Roman" w:cs="Times New Roman"/>
          <w:sz w:val="28"/>
          <w:szCs w:val="28"/>
        </w:rPr>
        <w:t>”</w:t>
      </w:r>
      <w:r w:rsidRPr="00187995">
        <w:rPr>
          <w:rFonts w:ascii="Times New Roman" w:hAnsi="Times New Roman" w:cs="Times New Roman"/>
          <w:sz w:val="28"/>
          <w:szCs w:val="28"/>
        </w:rPr>
        <w:t xml:space="preserve"> and had brought the attorney's profession into disrepute by signing the suretyship as a witness to a forged signature. </w:t>
      </w:r>
      <w:r w:rsidR="00DC526A">
        <w:rPr>
          <w:rFonts w:ascii="Times New Roman" w:hAnsi="Times New Roman" w:cs="Times New Roman"/>
          <w:sz w:val="28"/>
          <w:szCs w:val="28"/>
        </w:rPr>
        <w:t xml:space="preserve"> It </w:t>
      </w:r>
      <w:r w:rsidR="00150B58">
        <w:rPr>
          <w:rFonts w:ascii="Times New Roman" w:hAnsi="Times New Roman" w:cs="Times New Roman"/>
          <w:sz w:val="28"/>
          <w:szCs w:val="28"/>
        </w:rPr>
        <w:t xml:space="preserve">qualified its finding </w:t>
      </w:r>
      <w:r w:rsidR="00DC526A">
        <w:rPr>
          <w:rFonts w:ascii="Times New Roman" w:hAnsi="Times New Roman" w:cs="Times New Roman"/>
          <w:sz w:val="28"/>
          <w:szCs w:val="28"/>
        </w:rPr>
        <w:t>that he had done so either “knowingly”</w:t>
      </w:r>
      <w:r w:rsidR="004E4582">
        <w:rPr>
          <w:rFonts w:ascii="Times New Roman" w:hAnsi="Times New Roman" w:cs="Times New Roman"/>
          <w:sz w:val="28"/>
          <w:szCs w:val="28"/>
        </w:rPr>
        <w:t>,</w:t>
      </w:r>
      <w:r w:rsidR="00DC526A">
        <w:rPr>
          <w:rFonts w:ascii="Times New Roman" w:hAnsi="Times New Roman" w:cs="Times New Roman"/>
          <w:sz w:val="28"/>
          <w:szCs w:val="28"/>
        </w:rPr>
        <w:t xml:space="preserve"> or in the absence of the signatory.</w:t>
      </w:r>
    </w:p>
    <w:p w14:paraId="1E9C499D" w14:textId="77777777" w:rsidR="0010369B" w:rsidRDefault="0010369B" w:rsidP="0010369B">
      <w:pPr>
        <w:pStyle w:val="ListParagraph"/>
        <w:spacing w:line="360" w:lineRule="auto"/>
        <w:ind w:left="0"/>
        <w:jc w:val="both"/>
        <w:rPr>
          <w:rFonts w:ascii="Times New Roman" w:hAnsi="Times New Roman" w:cs="Times New Roman"/>
          <w:sz w:val="28"/>
          <w:szCs w:val="28"/>
        </w:rPr>
      </w:pPr>
    </w:p>
    <w:p w14:paraId="6E7BC134" w14:textId="541AF9B7" w:rsidR="0010369B" w:rsidRDefault="0010369B" w:rsidP="005C41D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 was invited to address the CLS on the sanction to be imposed.  He was placed on terms to do so by 27 March 2017 because he had not yet done.  On 10 April 2017 the CLS directed that he advance reasons why a resolution should not be taken authorizing it to launch an application for a court-based sanction.</w:t>
      </w:r>
    </w:p>
    <w:p w14:paraId="7A39FED5" w14:textId="77777777" w:rsidR="00DC526A" w:rsidRPr="00DC526A" w:rsidRDefault="00DC526A" w:rsidP="00DC526A">
      <w:pPr>
        <w:pStyle w:val="ListParagraph"/>
        <w:rPr>
          <w:rFonts w:ascii="Times New Roman" w:hAnsi="Times New Roman" w:cs="Times New Roman"/>
          <w:sz w:val="28"/>
          <w:szCs w:val="28"/>
        </w:rPr>
      </w:pPr>
    </w:p>
    <w:p w14:paraId="6093B900" w14:textId="77777777" w:rsidR="00A812AB" w:rsidRDefault="00A7776E" w:rsidP="00C87B26">
      <w:pPr>
        <w:pStyle w:val="ListParagraph"/>
        <w:numPr>
          <w:ilvl w:val="0"/>
          <w:numId w:val="1"/>
        </w:numPr>
        <w:spacing w:line="360" w:lineRule="auto"/>
        <w:ind w:left="0" w:firstLine="0"/>
        <w:jc w:val="both"/>
        <w:rPr>
          <w:rFonts w:ascii="Times New Roman" w:hAnsi="Times New Roman" w:cs="Times New Roman"/>
          <w:sz w:val="28"/>
          <w:szCs w:val="28"/>
        </w:rPr>
      </w:pPr>
      <w:r w:rsidRPr="00A7776E">
        <w:rPr>
          <w:rFonts w:ascii="Times New Roman" w:hAnsi="Times New Roman" w:cs="Times New Roman"/>
          <w:sz w:val="28"/>
          <w:szCs w:val="28"/>
        </w:rPr>
        <w:t xml:space="preserve">This invoked a response the following day (and an apology “due to (his) hectic program).  He repeated that he could not recall the signing of the surety but assured the CLS </w:t>
      </w:r>
      <w:r w:rsidR="00B45562" w:rsidRPr="00A7776E">
        <w:rPr>
          <w:rFonts w:ascii="Times New Roman" w:hAnsi="Times New Roman" w:cs="Times New Roman"/>
          <w:sz w:val="28"/>
          <w:szCs w:val="28"/>
        </w:rPr>
        <w:t>that he had had no inkling that the complainant’s purported signature</w:t>
      </w:r>
      <w:r w:rsidR="00A1401F" w:rsidRPr="00A7776E">
        <w:rPr>
          <w:rFonts w:ascii="Times New Roman" w:hAnsi="Times New Roman" w:cs="Times New Roman"/>
          <w:sz w:val="28"/>
          <w:szCs w:val="28"/>
        </w:rPr>
        <w:t>s</w:t>
      </w:r>
      <w:r w:rsidR="00B45562" w:rsidRPr="00A7776E">
        <w:rPr>
          <w:rFonts w:ascii="Times New Roman" w:hAnsi="Times New Roman" w:cs="Times New Roman"/>
          <w:sz w:val="28"/>
          <w:szCs w:val="28"/>
        </w:rPr>
        <w:t xml:space="preserve"> had </w:t>
      </w:r>
      <w:r w:rsidR="00B45562" w:rsidRPr="00A7776E">
        <w:rPr>
          <w:rFonts w:ascii="Times New Roman" w:hAnsi="Times New Roman" w:cs="Times New Roman"/>
          <w:sz w:val="28"/>
          <w:szCs w:val="28"/>
        </w:rPr>
        <w:lastRenderedPageBreak/>
        <w:t>been forged</w:t>
      </w:r>
      <w:r>
        <w:rPr>
          <w:rFonts w:ascii="Times New Roman" w:hAnsi="Times New Roman" w:cs="Times New Roman"/>
          <w:sz w:val="28"/>
          <w:szCs w:val="28"/>
        </w:rPr>
        <w:t>.  H</w:t>
      </w:r>
      <w:r w:rsidR="00CB08F6" w:rsidRPr="00A7776E">
        <w:rPr>
          <w:rFonts w:ascii="Times New Roman" w:hAnsi="Times New Roman" w:cs="Times New Roman"/>
          <w:sz w:val="28"/>
          <w:szCs w:val="28"/>
        </w:rPr>
        <w:t xml:space="preserve">e </w:t>
      </w:r>
      <w:r>
        <w:rPr>
          <w:rFonts w:ascii="Times New Roman" w:hAnsi="Times New Roman" w:cs="Times New Roman"/>
          <w:sz w:val="28"/>
          <w:szCs w:val="28"/>
        </w:rPr>
        <w:t xml:space="preserve">asserted that he </w:t>
      </w:r>
      <w:r w:rsidR="00B45562" w:rsidRPr="00A7776E">
        <w:rPr>
          <w:rFonts w:ascii="Times New Roman" w:hAnsi="Times New Roman" w:cs="Times New Roman"/>
          <w:sz w:val="28"/>
          <w:szCs w:val="28"/>
        </w:rPr>
        <w:t xml:space="preserve">certainly would not have attested the complainant’s signature if he had been aware that </w:t>
      </w:r>
      <w:r>
        <w:rPr>
          <w:rFonts w:ascii="Times New Roman" w:hAnsi="Times New Roman" w:cs="Times New Roman"/>
          <w:sz w:val="28"/>
          <w:szCs w:val="28"/>
        </w:rPr>
        <w:t xml:space="preserve">his signatures had been falsified </w:t>
      </w:r>
      <w:r w:rsidR="00A812AB">
        <w:rPr>
          <w:rFonts w:ascii="Times New Roman" w:hAnsi="Times New Roman" w:cs="Times New Roman"/>
          <w:sz w:val="28"/>
          <w:szCs w:val="28"/>
        </w:rPr>
        <w:t xml:space="preserve">in </w:t>
      </w:r>
      <w:r w:rsidR="00B45562" w:rsidRPr="00A7776E">
        <w:rPr>
          <w:rFonts w:ascii="Times New Roman" w:hAnsi="Times New Roman" w:cs="Times New Roman"/>
          <w:sz w:val="28"/>
          <w:szCs w:val="28"/>
        </w:rPr>
        <w:t xml:space="preserve">the deed.  </w:t>
      </w:r>
    </w:p>
    <w:p w14:paraId="1E2D3162" w14:textId="77777777" w:rsidR="00A812AB" w:rsidRPr="00A812AB" w:rsidRDefault="00A812AB" w:rsidP="00A812AB">
      <w:pPr>
        <w:pStyle w:val="ListParagraph"/>
        <w:rPr>
          <w:rFonts w:ascii="Times New Roman" w:hAnsi="Times New Roman" w:cs="Times New Roman"/>
          <w:sz w:val="28"/>
          <w:szCs w:val="28"/>
        </w:rPr>
      </w:pPr>
    </w:p>
    <w:p w14:paraId="40F123BE" w14:textId="1C964925" w:rsidR="00A812AB" w:rsidRDefault="00A812AB" w:rsidP="00C87B26">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complainant and his mother were involved in an acrimonious divorce and that the couple had “launched his complaint in an effort to advance his case in the divorce matters”.</w:t>
      </w:r>
      <w:r>
        <w:rPr>
          <w:rStyle w:val="FootnoteReference"/>
          <w:rFonts w:ascii="Times New Roman" w:hAnsi="Times New Roman" w:cs="Times New Roman"/>
          <w:sz w:val="28"/>
          <w:szCs w:val="28"/>
        </w:rPr>
        <w:footnoteReference w:id="17"/>
      </w:r>
    </w:p>
    <w:p w14:paraId="06C5B38F" w14:textId="77777777" w:rsidR="00A812AB" w:rsidRPr="00A812AB" w:rsidRDefault="00A812AB" w:rsidP="00A812AB">
      <w:pPr>
        <w:pStyle w:val="ListParagraph"/>
        <w:rPr>
          <w:rFonts w:ascii="Times New Roman" w:hAnsi="Times New Roman" w:cs="Times New Roman"/>
          <w:sz w:val="28"/>
          <w:szCs w:val="28"/>
        </w:rPr>
      </w:pPr>
    </w:p>
    <w:p w14:paraId="4C80DDB1" w14:textId="10888EDB" w:rsidR="00A812AB" w:rsidRDefault="00A812AB" w:rsidP="00C87B26">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 xml:space="preserve">As for the </w:t>
      </w:r>
      <w:r>
        <w:rPr>
          <w:rFonts w:ascii="Times New Roman" w:hAnsi="Times New Roman" w:cs="Times New Roman"/>
          <w:sz w:val="28"/>
          <w:szCs w:val="28"/>
        </w:rPr>
        <w:t xml:space="preserve">impact of the </w:t>
      </w:r>
      <w:r w:rsidRPr="00187995">
        <w:rPr>
          <w:rFonts w:ascii="Times New Roman" w:hAnsi="Times New Roman" w:cs="Times New Roman"/>
          <w:sz w:val="28"/>
          <w:szCs w:val="28"/>
        </w:rPr>
        <w:t>transaction</w:t>
      </w:r>
      <w:r>
        <w:rPr>
          <w:rFonts w:ascii="Times New Roman" w:hAnsi="Times New Roman" w:cs="Times New Roman"/>
          <w:sz w:val="28"/>
          <w:szCs w:val="28"/>
        </w:rPr>
        <w:t xml:space="preserve"> i</w:t>
      </w:r>
      <w:r w:rsidRPr="00187995">
        <w:rPr>
          <w:rFonts w:ascii="Times New Roman" w:hAnsi="Times New Roman" w:cs="Times New Roman"/>
          <w:sz w:val="28"/>
          <w:szCs w:val="28"/>
        </w:rPr>
        <w:t xml:space="preserve">tself he </w:t>
      </w:r>
      <w:r>
        <w:rPr>
          <w:rFonts w:ascii="Times New Roman" w:hAnsi="Times New Roman" w:cs="Times New Roman"/>
          <w:sz w:val="28"/>
          <w:szCs w:val="28"/>
        </w:rPr>
        <w:t>reported that the need f</w:t>
      </w:r>
      <w:r w:rsidRPr="00187995">
        <w:rPr>
          <w:rFonts w:ascii="Times New Roman" w:hAnsi="Times New Roman" w:cs="Times New Roman"/>
          <w:sz w:val="28"/>
          <w:szCs w:val="28"/>
        </w:rPr>
        <w:t>or the suretyship had fallen away since the bond had been fully settled</w:t>
      </w:r>
      <w:r>
        <w:rPr>
          <w:rFonts w:ascii="Times New Roman" w:hAnsi="Times New Roman" w:cs="Times New Roman"/>
          <w:sz w:val="28"/>
          <w:szCs w:val="28"/>
        </w:rPr>
        <w:t xml:space="preserve">, thus </w:t>
      </w:r>
      <w:r w:rsidRPr="00187995">
        <w:rPr>
          <w:rFonts w:ascii="Times New Roman" w:hAnsi="Times New Roman" w:cs="Times New Roman"/>
          <w:sz w:val="28"/>
          <w:szCs w:val="28"/>
        </w:rPr>
        <w:t xml:space="preserve">ameliorating any risk of harm to the complainant. </w:t>
      </w:r>
      <w:r>
        <w:rPr>
          <w:rFonts w:ascii="Times New Roman" w:hAnsi="Times New Roman" w:cs="Times New Roman"/>
          <w:sz w:val="28"/>
          <w:szCs w:val="28"/>
        </w:rPr>
        <w:t xml:space="preserve"> He</w:t>
      </w:r>
      <w:r w:rsidRPr="00187995">
        <w:rPr>
          <w:rFonts w:ascii="Times New Roman" w:hAnsi="Times New Roman" w:cs="Times New Roman"/>
          <w:sz w:val="28"/>
          <w:szCs w:val="28"/>
        </w:rPr>
        <w:t xml:space="preserve"> requested that a fine be considered as an appropriate </w:t>
      </w:r>
      <w:r>
        <w:rPr>
          <w:rFonts w:ascii="Times New Roman" w:hAnsi="Times New Roman" w:cs="Times New Roman"/>
          <w:sz w:val="28"/>
          <w:szCs w:val="28"/>
        </w:rPr>
        <w:t>penalty for his accepted negligence</w:t>
      </w:r>
      <w:r w:rsidR="0065279E">
        <w:rPr>
          <w:rFonts w:ascii="Times New Roman" w:hAnsi="Times New Roman" w:cs="Times New Roman"/>
          <w:sz w:val="28"/>
          <w:szCs w:val="28"/>
        </w:rPr>
        <w:t>.</w:t>
      </w:r>
    </w:p>
    <w:p w14:paraId="7DF5122D" w14:textId="77777777" w:rsidR="00A812AB" w:rsidRPr="00A812AB" w:rsidRDefault="00A812AB" w:rsidP="00A812AB">
      <w:pPr>
        <w:pStyle w:val="ListParagraph"/>
        <w:rPr>
          <w:rFonts w:ascii="Times New Roman" w:hAnsi="Times New Roman" w:cs="Times New Roman"/>
          <w:sz w:val="28"/>
          <w:szCs w:val="28"/>
        </w:rPr>
      </w:pPr>
    </w:p>
    <w:p w14:paraId="0430425F" w14:textId="68644B94" w:rsidR="00DC526A" w:rsidRPr="00A7776E" w:rsidRDefault="00A812AB" w:rsidP="00C87B26">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Sadly</w:t>
      </w:r>
      <w:r w:rsidR="004E4582" w:rsidRPr="00A7776E">
        <w:rPr>
          <w:rFonts w:ascii="Times New Roman" w:hAnsi="Times New Roman" w:cs="Times New Roman"/>
          <w:sz w:val="28"/>
          <w:szCs w:val="28"/>
        </w:rPr>
        <w:t xml:space="preserve"> he</w:t>
      </w:r>
      <w:r w:rsidR="00DC526A" w:rsidRPr="00A7776E">
        <w:rPr>
          <w:rFonts w:ascii="Times New Roman" w:hAnsi="Times New Roman" w:cs="Times New Roman"/>
          <w:sz w:val="28"/>
          <w:szCs w:val="28"/>
        </w:rPr>
        <w:t xml:space="preserve"> appeared to have missed the import of the alternate premise</w:t>
      </w:r>
      <w:r>
        <w:rPr>
          <w:rFonts w:ascii="Times New Roman" w:hAnsi="Times New Roman" w:cs="Times New Roman"/>
          <w:sz w:val="28"/>
          <w:szCs w:val="28"/>
        </w:rPr>
        <w:t xml:space="preserve"> of the disciplinary committee’s finding,</w:t>
      </w:r>
      <w:r w:rsidR="00DC526A" w:rsidRPr="00A7776E">
        <w:rPr>
          <w:rFonts w:ascii="Times New Roman" w:hAnsi="Times New Roman" w:cs="Times New Roman"/>
          <w:sz w:val="28"/>
          <w:szCs w:val="28"/>
        </w:rPr>
        <w:t xml:space="preserve"> </w:t>
      </w:r>
      <w:r w:rsidR="004E4582" w:rsidRPr="00A7776E">
        <w:rPr>
          <w:rFonts w:ascii="Times New Roman" w:hAnsi="Times New Roman" w:cs="Times New Roman"/>
          <w:sz w:val="28"/>
          <w:szCs w:val="28"/>
        </w:rPr>
        <w:t xml:space="preserve">which is </w:t>
      </w:r>
      <w:r w:rsidR="00DC526A" w:rsidRPr="00A7776E">
        <w:rPr>
          <w:rFonts w:ascii="Times New Roman" w:hAnsi="Times New Roman" w:cs="Times New Roman"/>
          <w:sz w:val="28"/>
          <w:szCs w:val="28"/>
        </w:rPr>
        <w:t>that he had attested the complainant’s signatures in the latter’s absence</w:t>
      </w:r>
      <w:r w:rsidR="00150B58" w:rsidRPr="00A7776E">
        <w:rPr>
          <w:rFonts w:ascii="Times New Roman" w:hAnsi="Times New Roman" w:cs="Times New Roman"/>
          <w:sz w:val="28"/>
          <w:szCs w:val="28"/>
        </w:rPr>
        <w:t xml:space="preserve"> which was also an obvious inference to be drawn from the fact that the complainant’s</w:t>
      </w:r>
      <w:r>
        <w:rPr>
          <w:rFonts w:ascii="Times New Roman" w:hAnsi="Times New Roman" w:cs="Times New Roman"/>
          <w:sz w:val="28"/>
          <w:szCs w:val="28"/>
        </w:rPr>
        <w:t xml:space="preserve"> purported</w:t>
      </w:r>
      <w:r w:rsidR="00150B58" w:rsidRPr="00A7776E">
        <w:rPr>
          <w:rFonts w:ascii="Times New Roman" w:hAnsi="Times New Roman" w:cs="Times New Roman"/>
          <w:sz w:val="28"/>
          <w:szCs w:val="28"/>
        </w:rPr>
        <w:t xml:space="preserve"> signatures</w:t>
      </w:r>
      <w:r w:rsidR="006814FC">
        <w:rPr>
          <w:rFonts w:ascii="Times New Roman" w:hAnsi="Times New Roman" w:cs="Times New Roman"/>
          <w:sz w:val="28"/>
          <w:szCs w:val="28"/>
        </w:rPr>
        <w:t xml:space="preserve"> were not in fact made by him</w:t>
      </w:r>
      <w:r w:rsidR="00150B58" w:rsidRPr="00A7776E">
        <w:rPr>
          <w:rFonts w:ascii="Times New Roman" w:hAnsi="Times New Roman" w:cs="Times New Roman"/>
          <w:sz w:val="28"/>
          <w:szCs w:val="28"/>
        </w:rPr>
        <w:t>.</w:t>
      </w:r>
    </w:p>
    <w:p w14:paraId="4A6EEF02" w14:textId="77777777" w:rsidR="00DC526A" w:rsidRPr="00DC526A" w:rsidRDefault="00DC526A" w:rsidP="00DC526A">
      <w:pPr>
        <w:pStyle w:val="ListParagraph"/>
        <w:rPr>
          <w:rFonts w:ascii="Times New Roman" w:hAnsi="Times New Roman" w:cs="Times New Roman"/>
          <w:sz w:val="28"/>
          <w:szCs w:val="28"/>
        </w:rPr>
      </w:pPr>
    </w:p>
    <w:p w14:paraId="6749252B" w14:textId="6562ADE2" w:rsidR="00187995" w:rsidRDefault="006814FC"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On 15 January 2018 the CLS resolved to bring a strike off application.  </w:t>
      </w:r>
      <w:r w:rsidR="004E4582">
        <w:rPr>
          <w:rFonts w:ascii="Times New Roman" w:hAnsi="Times New Roman" w:cs="Times New Roman"/>
          <w:sz w:val="28"/>
          <w:szCs w:val="28"/>
        </w:rPr>
        <w:t>T</w:t>
      </w:r>
      <w:r w:rsidR="00DC526A">
        <w:rPr>
          <w:rFonts w:ascii="Times New Roman" w:hAnsi="Times New Roman" w:cs="Times New Roman"/>
          <w:sz w:val="28"/>
          <w:szCs w:val="28"/>
        </w:rPr>
        <w:t>his course ultimately followed after finally inviting the respondent’s</w:t>
      </w:r>
      <w:r>
        <w:rPr>
          <w:rFonts w:ascii="Times New Roman" w:hAnsi="Times New Roman" w:cs="Times New Roman"/>
          <w:sz w:val="28"/>
          <w:szCs w:val="28"/>
        </w:rPr>
        <w:t xml:space="preserve"> final</w:t>
      </w:r>
      <w:r w:rsidR="00DC526A">
        <w:rPr>
          <w:rFonts w:ascii="Times New Roman" w:hAnsi="Times New Roman" w:cs="Times New Roman"/>
          <w:sz w:val="28"/>
          <w:szCs w:val="28"/>
        </w:rPr>
        <w:t xml:space="preserve"> input and the applicant seeking legal advice.</w:t>
      </w:r>
    </w:p>
    <w:p w14:paraId="7C23C513" w14:textId="77777777" w:rsidR="00187995" w:rsidRPr="00187995" w:rsidRDefault="00187995" w:rsidP="00187995">
      <w:pPr>
        <w:pStyle w:val="ListParagraph"/>
        <w:rPr>
          <w:rFonts w:ascii="Times New Roman" w:hAnsi="Times New Roman" w:cs="Times New Roman"/>
          <w:sz w:val="28"/>
          <w:szCs w:val="28"/>
        </w:rPr>
      </w:pPr>
    </w:p>
    <w:p w14:paraId="034C5DAC" w14:textId="16DA99AF" w:rsidR="00187995" w:rsidRDefault="009777AD" w:rsidP="005575C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w:t>
      </w:r>
      <w:r w:rsidR="00D25A75">
        <w:rPr>
          <w:rFonts w:ascii="Times New Roman" w:hAnsi="Times New Roman" w:cs="Times New Roman"/>
          <w:sz w:val="28"/>
          <w:szCs w:val="28"/>
        </w:rPr>
        <w:t>fter the applicant had</w:t>
      </w:r>
      <w:r w:rsidR="00987ACE" w:rsidRPr="00187995">
        <w:rPr>
          <w:rFonts w:ascii="Times New Roman" w:hAnsi="Times New Roman" w:cs="Times New Roman"/>
          <w:sz w:val="28"/>
          <w:szCs w:val="28"/>
        </w:rPr>
        <w:t xml:space="preserve"> assumed control over the regulation of the professional conduct of legal practitioners under the ambi</w:t>
      </w:r>
      <w:r w:rsidR="00187995" w:rsidRPr="00187995">
        <w:rPr>
          <w:rFonts w:ascii="Times New Roman" w:hAnsi="Times New Roman" w:cs="Times New Roman"/>
          <w:sz w:val="28"/>
          <w:szCs w:val="28"/>
        </w:rPr>
        <w:t xml:space="preserve">t of the </w:t>
      </w:r>
      <w:r w:rsidR="00D25A75">
        <w:rPr>
          <w:rFonts w:ascii="Times New Roman" w:hAnsi="Times New Roman" w:cs="Times New Roman"/>
          <w:sz w:val="28"/>
          <w:szCs w:val="28"/>
        </w:rPr>
        <w:t xml:space="preserve">new </w:t>
      </w:r>
      <w:r w:rsidR="00187995" w:rsidRPr="00187995">
        <w:rPr>
          <w:rFonts w:ascii="Times New Roman" w:hAnsi="Times New Roman" w:cs="Times New Roman"/>
          <w:sz w:val="28"/>
          <w:szCs w:val="28"/>
        </w:rPr>
        <w:t>L</w:t>
      </w:r>
      <w:r w:rsidR="004E4582">
        <w:rPr>
          <w:rFonts w:ascii="Times New Roman" w:hAnsi="Times New Roman" w:cs="Times New Roman"/>
          <w:sz w:val="28"/>
          <w:szCs w:val="28"/>
        </w:rPr>
        <w:t>PA</w:t>
      </w:r>
      <w:r>
        <w:rPr>
          <w:rFonts w:ascii="Times New Roman" w:hAnsi="Times New Roman" w:cs="Times New Roman"/>
          <w:sz w:val="28"/>
          <w:szCs w:val="28"/>
        </w:rPr>
        <w:t>, a further delay of</w:t>
      </w:r>
      <w:r w:rsidRPr="00187995">
        <w:rPr>
          <w:rFonts w:ascii="Times New Roman" w:hAnsi="Times New Roman" w:cs="Times New Roman"/>
          <w:sz w:val="28"/>
          <w:szCs w:val="28"/>
        </w:rPr>
        <w:t xml:space="preserve"> three years</w:t>
      </w:r>
      <w:r>
        <w:rPr>
          <w:rFonts w:ascii="Times New Roman" w:hAnsi="Times New Roman" w:cs="Times New Roman"/>
          <w:sz w:val="28"/>
          <w:szCs w:val="28"/>
        </w:rPr>
        <w:t xml:space="preserve"> ensued before</w:t>
      </w:r>
      <w:r w:rsidR="006814FC">
        <w:rPr>
          <w:rFonts w:ascii="Times New Roman" w:hAnsi="Times New Roman" w:cs="Times New Roman"/>
          <w:sz w:val="28"/>
          <w:szCs w:val="28"/>
        </w:rPr>
        <w:t xml:space="preserve"> the legal advice </w:t>
      </w:r>
      <w:r>
        <w:rPr>
          <w:rFonts w:ascii="Times New Roman" w:hAnsi="Times New Roman" w:cs="Times New Roman"/>
          <w:sz w:val="28"/>
          <w:szCs w:val="28"/>
        </w:rPr>
        <w:t>was given effect to by the launch of these proceedings</w:t>
      </w:r>
      <w:r w:rsidR="006814FC">
        <w:rPr>
          <w:rFonts w:ascii="Times New Roman" w:hAnsi="Times New Roman" w:cs="Times New Roman"/>
          <w:sz w:val="28"/>
          <w:szCs w:val="28"/>
        </w:rPr>
        <w:t xml:space="preserve"> culminating in the present application in which the CLS successor in </w:t>
      </w:r>
      <w:r w:rsidR="006814FC">
        <w:rPr>
          <w:rFonts w:ascii="Times New Roman" w:hAnsi="Times New Roman" w:cs="Times New Roman"/>
          <w:sz w:val="28"/>
          <w:szCs w:val="28"/>
        </w:rPr>
        <w:lastRenderedPageBreak/>
        <w:t xml:space="preserve">title sought an order striking the respondent from the roll of legal practitioners.  It prayed in the alternative that the court impose a sanction that it deems appropriate.  </w:t>
      </w:r>
    </w:p>
    <w:p w14:paraId="50344530" w14:textId="77777777" w:rsidR="00DC526A" w:rsidRPr="00DC526A" w:rsidRDefault="00DC526A" w:rsidP="00DC526A">
      <w:pPr>
        <w:pStyle w:val="ListParagraph"/>
        <w:rPr>
          <w:rFonts w:ascii="Times New Roman" w:hAnsi="Times New Roman" w:cs="Times New Roman"/>
          <w:sz w:val="28"/>
          <w:szCs w:val="28"/>
        </w:rPr>
      </w:pPr>
    </w:p>
    <w:p w14:paraId="448B312B" w14:textId="5116E473" w:rsidR="00DC526A" w:rsidRDefault="00DC526A"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Despite the austere relief sought in the main, t</w:t>
      </w:r>
      <w:r w:rsidR="0052342A">
        <w:rPr>
          <w:rFonts w:ascii="Times New Roman" w:hAnsi="Times New Roman" w:cs="Times New Roman"/>
          <w:sz w:val="28"/>
          <w:szCs w:val="28"/>
        </w:rPr>
        <w:t>he</w:t>
      </w:r>
      <w:r w:rsidR="00987ACE" w:rsidRPr="00187995">
        <w:rPr>
          <w:rFonts w:ascii="Times New Roman" w:hAnsi="Times New Roman" w:cs="Times New Roman"/>
          <w:sz w:val="28"/>
          <w:szCs w:val="28"/>
        </w:rPr>
        <w:t xml:space="preserve"> applicant did very little by way of independent investigation </w:t>
      </w:r>
      <w:r w:rsidR="00D25A75">
        <w:rPr>
          <w:rFonts w:ascii="Times New Roman" w:hAnsi="Times New Roman" w:cs="Times New Roman"/>
          <w:sz w:val="28"/>
          <w:szCs w:val="28"/>
        </w:rPr>
        <w:t xml:space="preserve">to </w:t>
      </w:r>
      <w:r w:rsidR="009777AD">
        <w:rPr>
          <w:rFonts w:ascii="Times New Roman" w:hAnsi="Times New Roman" w:cs="Times New Roman"/>
          <w:sz w:val="28"/>
          <w:szCs w:val="28"/>
        </w:rPr>
        <w:t xml:space="preserve">investigate how it happened that the complainant’s signature was falsified or how and why the respondent and (ostensibly) Ms. Craddock’s signature came to be on the deed as if they had attested to the complainant’s signing of </w:t>
      </w:r>
      <w:r w:rsidR="00DF71A1">
        <w:rPr>
          <w:rFonts w:ascii="Times New Roman" w:hAnsi="Times New Roman" w:cs="Times New Roman"/>
          <w:sz w:val="28"/>
          <w:szCs w:val="28"/>
        </w:rPr>
        <w:t>it</w:t>
      </w:r>
      <w:r w:rsidR="009777AD">
        <w:rPr>
          <w:rFonts w:ascii="Times New Roman" w:hAnsi="Times New Roman" w:cs="Times New Roman"/>
          <w:sz w:val="28"/>
          <w:szCs w:val="28"/>
        </w:rPr>
        <w:t>.  It might have been entirely innocent</w:t>
      </w:r>
      <w:r w:rsidR="004E4582">
        <w:rPr>
          <w:rFonts w:ascii="Times New Roman" w:hAnsi="Times New Roman" w:cs="Times New Roman"/>
          <w:sz w:val="28"/>
          <w:szCs w:val="28"/>
        </w:rPr>
        <w:t xml:space="preserve"> if,</w:t>
      </w:r>
      <w:r w:rsidR="009777AD">
        <w:rPr>
          <w:rFonts w:ascii="Times New Roman" w:hAnsi="Times New Roman" w:cs="Times New Roman"/>
          <w:sz w:val="28"/>
          <w:szCs w:val="28"/>
        </w:rPr>
        <w:t xml:space="preserve"> for example</w:t>
      </w:r>
      <w:r w:rsidR="004E4582">
        <w:rPr>
          <w:rFonts w:ascii="Times New Roman" w:hAnsi="Times New Roman" w:cs="Times New Roman"/>
          <w:sz w:val="28"/>
          <w:szCs w:val="28"/>
        </w:rPr>
        <w:t>,</w:t>
      </w:r>
      <w:r w:rsidR="009777AD">
        <w:rPr>
          <w:rFonts w:ascii="Times New Roman" w:hAnsi="Times New Roman" w:cs="Times New Roman"/>
          <w:sz w:val="28"/>
          <w:szCs w:val="28"/>
        </w:rPr>
        <w:t xml:space="preserve"> </w:t>
      </w:r>
      <w:r w:rsidR="004E4582">
        <w:rPr>
          <w:rFonts w:ascii="Times New Roman" w:hAnsi="Times New Roman" w:cs="Times New Roman"/>
          <w:sz w:val="28"/>
          <w:szCs w:val="28"/>
        </w:rPr>
        <w:t>t</w:t>
      </w:r>
      <w:r w:rsidR="009777AD">
        <w:rPr>
          <w:rFonts w:ascii="Times New Roman" w:hAnsi="Times New Roman" w:cs="Times New Roman"/>
          <w:sz w:val="28"/>
          <w:szCs w:val="28"/>
        </w:rPr>
        <w:t xml:space="preserve">he complainant had given </w:t>
      </w:r>
      <w:r w:rsidR="00DF71A1">
        <w:rPr>
          <w:rFonts w:ascii="Times New Roman" w:hAnsi="Times New Roman" w:cs="Times New Roman"/>
          <w:sz w:val="28"/>
          <w:szCs w:val="28"/>
        </w:rPr>
        <w:t xml:space="preserve">his authority </w:t>
      </w:r>
      <w:r w:rsidR="009777AD">
        <w:rPr>
          <w:rFonts w:ascii="Times New Roman" w:hAnsi="Times New Roman" w:cs="Times New Roman"/>
          <w:sz w:val="28"/>
          <w:szCs w:val="28"/>
        </w:rPr>
        <w:t xml:space="preserve">in a </w:t>
      </w:r>
      <w:r w:rsidR="00DF71A1">
        <w:rPr>
          <w:rFonts w:ascii="Times New Roman" w:hAnsi="Times New Roman" w:cs="Times New Roman"/>
          <w:sz w:val="28"/>
          <w:szCs w:val="28"/>
        </w:rPr>
        <w:t>separate</w:t>
      </w:r>
      <w:r w:rsidR="009777AD">
        <w:rPr>
          <w:rFonts w:ascii="Times New Roman" w:hAnsi="Times New Roman" w:cs="Times New Roman"/>
          <w:sz w:val="28"/>
          <w:szCs w:val="28"/>
        </w:rPr>
        <w:t xml:space="preserve"> document </w:t>
      </w:r>
      <w:r w:rsidR="00DF71A1">
        <w:rPr>
          <w:rFonts w:ascii="Times New Roman" w:hAnsi="Times New Roman" w:cs="Times New Roman"/>
          <w:sz w:val="28"/>
          <w:szCs w:val="28"/>
        </w:rPr>
        <w:t xml:space="preserve">for someone to have signed the suretyship on his behalf. </w:t>
      </w:r>
      <w:r w:rsidR="006814FC">
        <w:rPr>
          <w:rFonts w:ascii="Times New Roman" w:hAnsi="Times New Roman" w:cs="Times New Roman"/>
          <w:sz w:val="28"/>
          <w:szCs w:val="28"/>
        </w:rPr>
        <w:t xml:space="preserve"> (</w:t>
      </w:r>
      <w:r w:rsidR="00DF71A1">
        <w:rPr>
          <w:rFonts w:ascii="Times New Roman" w:hAnsi="Times New Roman" w:cs="Times New Roman"/>
          <w:sz w:val="28"/>
          <w:szCs w:val="28"/>
        </w:rPr>
        <w:t xml:space="preserve">The respondent did not suggest </w:t>
      </w:r>
      <w:r w:rsidR="0052342A">
        <w:rPr>
          <w:rFonts w:ascii="Times New Roman" w:hAnsi="Times New Roman" w:cs="Times New Roman"/>
          <w:sz w:val="28"/>
          <w:szCs w:val="28"/>
        </w:rPr>
        <w:t>this a possibility however,</w:t>
      </w:r>
      <w:r w:rsidR="00DF71A1">
        <w:rPr>
          <w:rFonts w:ascii="Times New Roman" w:hAnsi="Times New Roman" w:cs="Times New Roman"/>
          <w:sz w:val="28"/>
          <w:szCs w:val="28"/>
        </w:rPr>
        <w:t xml:space="preserve"> </w:t>
      </w:r>
      <w:r w:rsidR="0052342A">
        <w:rPr>
          <w:rFonts w:ascii="Times New Roman" w:hAnsi="Times New Roman" w:cs="Times New Roman"/>
          <w:sz w:val="28"/>
          <w:szCs w:val="28"/>
        </w:rPr>
        <w:t>maintaining</w:t>
      </w:r>
      <w:r w:rsidR="00DF71A1">
        <w:rPr>
          <w:rFonts w:ascii="Times New Roman" w:hAnsi="Times New Roman" w:cs="Times New Roman"/>
          <w:sz w:val="28"/>
          <w:szCs w:val="28"/>
        </w:rPr>
        <w:t xml:space="preserve"> instead</w:t>
      </w:r>
      <w:r>
        <w:rPr>
          <w:rFonts w:ascii="Times New Roman" w:hAnsi="Times New Roman" w:cs="Times New Roman"/>
          <w:sz w:val="28"/>
          <w:szCs w:val="28"/>
        </w:rPr>
        <w:t xml:space="preserve"> </w:t>
      </w:r>
      <w:r w:rsidR="00DF71A1">
        <w:rPr>
          <w:rFonts w:ascii="Times New Roman" w:hAnsi="Times New Roman" w:cs="Times New Roman"/>
          <w:sz w:val="28"/>
          <w:szCs w:val="28"/>
        </w:rPr>
        <w:t>that he had no independent recollection of the document’s signing.</w:t>
      </w:r>
      <w:r w:rsidR="006814FC">
        <w:rPr>
          <w:rFonts w:ascii="Times New Roman" w:hAnsi="Times New Roman" w:cs="Times New Roman"/>
          <w:sz w:val="28"/>
          <w:szCs w:val="28"/>
        </w:rPr>
        <w:t>)</w:t>
      </w:r>
      <w:r w:rsidR="006814FC">
        <w:rPr>
          <w:rStyle w:val="FootnoteReference"/>
          <w:rFonts w:ascii="Times New Roman" w:hAnsi="Times New Roman" w:cs="Times New Roman"/>
          <w:sz w:val="28"/>
          <w:szCs w:val="28"/>
        </w:rPr>
        <w:footnoteReference w:id="18"/>
      </w:r>
      <w:r w:rsidR="00DF71A1">
        <w:rPr>
          <w:rFonts w:ascii="Times New Roman" w:hAnsi="Times New Roman" w:cs="Times New Roman"/>
          <w:sz w:val="28"/>
          <w:szCs w:val="28"/>
        </w:rPr>
        <w:t xml:space="preserve">  </w:t>
      </w:r>
    </w:p>
    <w:p w14:paraId="2AEA1889" w14:textId="77777777" w:rsidR="00DC526A" w:rsidRPr="00DC526A" w:rsidRDefault="00DC526A" w:rsidP="00DC526A">
      <w:pPr>
        <w:pStyle w:val="ListParagraph"/>
        <w:rPr>
          <w:rFonts w:ascii="Times New Roman" w:hAnsi="Times New Roman" w:cs="Times New Roman"/>
          <w:sz w:val="28"/>
          <w:szCs w:val="28"/>
        </w:rPr>
      </w:pPr>
    </w:p>
    <w:p w14:paraId="06A9011A" w14:textId="20BA72EE" w:rsidR="00187995" w:rsidRPr="004E4582" w:rsidRDefault="00DF71A1" w:rsidP="008C7846">
      <w:pPr>
        <w:pStyle w:val="ListParagraph"/>
        <w:numPr>
          <w:ilvl w:val="0"/>
          <w:numId w:val="1"/>
        </w:numPr>
        <w:spacing w:line="360" w:lineRule="auto"/>
        <w:ind w:left="0" w:firstLine="0"/>
        <w:jc w:val="both"/>
        <w:rPr>
          <w:rFonts w:ascii="Times New Roman" w:hAnsi="Times New Roman" w:cs="Times New Roman"/>
          <w:sz w:val="28"/>
          <w:szCs w:val="28"/>
        </w:rPr>
      </w:pPr>
      <w:r w:rsidRPr="004E4582">
        <w:rPr>
          <w:rFonts w:ascii="Times New Roman" w:hAnsi="Times New Roman" w:cs="Times New Roman"/>
          <w:sz w:val="28"/>
          <w:szCs w:val="28"/>
        </w:rPr>
        <w:t>The applicant went no further than putting up</w:t>
      </w:r>
      <w:r w:rsidR="00987ACE" w:rsidRPr="004E4582">
        <w:rPr>
          <w:rFonts w:ascii="Times New Roman" w:hAnsi="Times New Roman" w:cs="Times New Roman"/>
          <w:sz w:val="28"/>
          <w:szCs w:val="28"/>
        </w:rPr>
        <w:t xml:space="preserve"> </w:t>
      </w:r>
      <w:r w:rsidR="001E2B36" w:rsidRPr="004E4582">
        <w:rPr>
          <w:rFonts w:ascii="Times New Roman" w:hAnsi="Times New Roman" w:cs="Times New Roman"/>
          <w:sz w:val="28"/>
          <w:szCs w:val="28"/>
        </w:rPr>
        <w:t>the forensic report referred to above</w:t>
      </w:r>
      <w:r w:rsidRPr="004E4582">
        <w:rPr>
          <w:rFonts w:ascii="Times New Roman" w:hAnsi="Times New Roman" w:cs="Times New Roman"/>
          <w:sz w:val="28"/>
          <w:szCs w:val="28"/>
        </w:rPr>
        <w:t xml:space="preserve"> in proof of </w:t>
      </w:r>
      <w:r w:rsidR="00DC526A" w:rsidRPr="004E4582">
        <w:rPr>
          <w:rFonts w:ascii="Times New Roman" w:hAnsi="Times New Roman" w:cs="Times New Roman"/>
          <w:sz w:val="28"/>
          <w:szCs w:val="28"/>
        </w:rPr>
        <w:t>the allegation</w:t>
      </w:r>
      <w:r w:rsidRPr="004E4582">
        <w:rPr>
          <w:rFonts w:ascii="Times New Roman" w:hAnsi="Times New Roman" w:cs="Times New Roman"/>
          <w:sz w:val="28"/>
          <w:szCs w:val="28"/>
        </w:rPr>
        <w:t xml:space="preserve"> that the signatures on the deed could not have been the complain</w:t>
      </w:r>
      <w:r w:rsidR="00DC526A" w:rsidRPr="004E4582">
        <w:rPr>
          <w:rFonts w:ascii="Times New Roman" w:hAnsi="Times New Roman" w:cs="Times New Roman"/>
          <w:sz w:val="28"/>
          <w:szCs w:val="28"/>
        </w:rPr>
        <w:t>ant’s</w:t>
      </w:r>
      <w:r w:rsidRPr="004E4582">
        <w:rPr>
          <w:rFonts w:ascii="Times New Roman" w:hAnsi="Times New Roman" w:cs="Times New Roman"/>
          <w:sz w:val="28"/>
          <w:szCs w:val="28"/>
        </w:rPr>
        <w:t xml:space="preserve"> </w:t>
      </w:r>
      <w:r w:rsidR="006814FC">
        <w:rPr>
          <w:rFonts w:ascii="Times New Roman" w:hAnsi="Times New Roman" w:cs="Times New Roman"/>
          <w:sz w:val="28"/>
          <w:szCs w:val="28"/>
        </w:rPr>
        <w:t>to justify</w:t>
      </w:r>
      <w:r w:rsidR="00150B58">
        <w:rPr>
          <w:rFonts w:ascii="Times New Roman" w:hAnsi="Times New Roman" w:cs="Times New Roman"/>
          <w:sz w:val="28"/>
          <w:szCs w:val="28"/>
        </w:rPr>
        <w:t xml:space="preserve"> as the</w:t>
      </w:r>
      <w:r w:rsidR="00DC526A" w:rsidRPr="004E4582">
        <w:rPr>
          <w:rFonts w:ascii="Times New Roman" w:hAnsi="Times New Roman" w:cs="Times New Roman"/>
          <w:sz w:val="28"/>
          <w:szCs w:val="28"/>
        </w:rPr>
        <w:t xml:space="preserve"> </w:t>
      </w:r>
      <w:r w:rsidR="004E4582" w:rsidRPr="004E4582">
        <w:rPr>
          <w:rFonts w:ascii="Times New Roman" w:hAnsi="Times New Roman" w:cs="Times New Roman"/>
          <w:sz w:val="28"/>
          <w:szCs w:val="28"/>
        </w:rPr>
        <w:t>more significant premise (</w:t>
      </w:r>
      <w:r w:rsidR="006814FC">
        <w:rPr>
          <w:rFonts w:ascii="Times New Roman" w:hAnsi="Times New Roman" w:cs="Times New Roman"/>
          <w:sz w:val="28"/>
          <w:szCs w:val="28"/>
        </w:rPr>
        <w:t xml:space="preserve">going to </w:t>
      </w:r>
      <w:r w:rsidR="004E4582" w:rsidRPr="004E4582">
        <w:rPr>
          <w:rFonts w:ascii="Times New Roman" w:hAnsi="Times New Roman" w:cs="Times New Roman"/>
          <w:sz w:val="28"/>
          <w:szCs w:val="28"/>
        </w:rPr>
        <w:t xml:space="preserve">the remedy of striking off) </w:t>
      </w:r>
      <w:r w:rsidRPr="004E4582">
        <w:rPr>
          <w:rFonts w:ascii="Times New Roman" w:hAnsi="Times New Roman" w:cs="Times New Roman"/>
          <w:sz w:val="28"/>
          <w:szCs w:val="28"/>
        </w:rPr>
        <w:t xml:space="preserve">that the respondent had </w:t>
      </w:r>
      <w:r w:rsidRPr="004E4582">
        <w:rPr>
          <w:rFonts w:ascii="Times New Roman" w:hAnsi="Times New Roman" w:cs="Times New Roman"/>
          <w:i/>
          <w:iCs/>
          <w:sz w:val="28"/>
          <w:szCs w:val="28"/>
        </w:rPr>
        <w:t>dishonestly</w:t>
      </w:r>
      <w:r w:rsidRPr="004E4582">
        <w:rPr>
          <w:rFonts w:ascii="Times New Roman" w:hAnsi="Times New Roman" w:cs="Times New Roman"/>
          <w:sz w:val="28"/>
          <w:szCs w:val="28"/>
        </w:rPr>
        <w:t xml:space="preserve"> represented that he had attested to</w:t>
      </w:r>
      <w:r w:rsidR="00A7094B" w:rsidRPr="004E4582">
        <w:rPr>
          <w:rFonts w:ascii="Times New Roman" w:hAnsi="Times New Roman" w:cs="Times New Roman"/>
          <w:sz w:val="28"/>
          <w:szCs w:val="28"/>
        </w:rPr>
        <w:t xml:space="preserve"> the false signatures</w:t>
      </w:r>
      <w:r w:rsidR="00987ACE" w:rsidRPr="004E4582">
        <w:rPr>
          <w:rFonts w:ascii="Times New Roman" w:hAnsi="Times New Roman" w:cs="Times New Roman"/>
          <w:sz w:val="28"/>
          <w:szCs w:val="28"/>
        </w:rPr>
        <w:t>.</w:t>
      </w:r>
      <w:r w:rsidR="004E4582" w:rsidRPr="004E4582">
        <w:rPr>
          <w:rFonts w:ascii="Times New Roman" w:hAnsi="Times New Roman" w:cs="Times New Roman"/>
          <w:sz w:val="28"/>
          <w:szCs w:val="28"/>
        </w:rPr>
        <w:t xml:space="preserve">  </w:t>
      </w:r>
      <w:r w:rsidR="00987ACE" w:rsidRPr="004E4582">
        <w:rPr>
          <w:rFonts w:ascii="Times New Roman" w:hAnsi="Times New Roman" w:cs="Times New Roman"/>
          <w:sz w:val="28"/>
          <w:szCs w:val="28"/>
        </w:rPr>
        <w:t xml:space="preserve">It </w:t>
      </w:r>
      <w:r w:rsidR="00150B58">
        <w:rPr>
          <w:rFonts w:ascii="Times New Roman" w:hAnsi="Times New Roman" w:cs="Times New Roman"/>
          <w:sz w:val="28"/>
          <w:szCs w:val="28"/>
        </w:rPr>
        <w:t xml:space="preserve">asserted in its founding affidavit that it </w:t>
      </w:r>
      <w:r w:rsidR="00987ACE" w:rsidRPr="004E4582">
        <w:rPr>
          <w:rFonts w:ascii="Times New Roman" w:hAnsi="Times New Roman" w:cs="Times New Roman"/>
          <w:sz w:val="28"/>
          <w:szCs w:val="28"/>
        </w:rPr>
        <w:t xml:space="preserve">was satisfied that the affidavit of </w:t>
      </w:r>
      <w:r w:rsidR="001E2B36" w:rsidRPr="004E4582">
        <w:rPr>
          <w:rFonts w:ascii="Times New Roman" w:hAnsi="Times New Roman" w:cs="Times New Roman"/>
          <w:sz w:val="28"/>
          <w:szCs w:val="28"/>
        </w:rPr>
        <w:t>Warrant O</w:t>
      </w:r>
      <w:r w:rsidR="00987ACE" w:rsidRPr="004E4582">
        <w:rPr>
          <w:rFonts w:ascii="Times New Roman" w:hAnsi="Times New Roman" w:cs="Times New Roman"/>
          <w:sz w:val="28"/>
          <w:szCs w:val="28"/>
        </w:rPr>
        <w:t xml:space="preserve">fficer </w:t>
      </w:r>
      <w:r w:rsidR="001E2B36" w:rsidRPr="004E4582">
        <w:rPr>
          <w:rFonts w:ascii="Times New Roman" w:hAnsi="Times New Roman" w:cs="Times New Roman"/>
          <w:sz w:val="28"/>
          <w:szCs w:val="28"/>
        </w:rPr>
        <w:t>Ntlanyana “evidence(d) that (the complainant’s signature) was forged</w:t>
      </w:r>
      <w:r w:rsidRPr="004E4582">
        <w:rPr>
          <w:rFonts w:ascii="Times New Roman" w:hAnsi="Times New Roman" w:cs="Times New Roman"/>
          <w:sz w:val="28"/>
          <w:szCs w:val="28"/>
        </w:rPr>
        <w:t>” and reverted to the original supposition</w:t>
      </w:r>
      <w:r w:rsidR="00286DB9" w:rsidRPr="004E4582">
        <w:rPr>
          <w:rFonts w:ascii="Times New Roman" w:hAnsi="Times New Roman" w:cs="Times New Roman"/>
          <w:sz w:val="28"/>
          <w:szCs w:val="28"/>
        </w:rPr>
        <w:t xml:space="preserve"> that “</w:t>
      </w:r>
      <w:r w:rsidR="001E2B36" w:rsidRPr="004E4582">
        <w:rPr>
          <w:rFonts w:ascii="Times New Roman" w:hAnsi="Times New Roman" w:cs="Times New Roman"/>
          <w:sz w:val="28"/>
          <w:szCs w:val="28"/>
        </w:rPr>
        <w:t>accordingly the respondent either knew of the forgery</w:t>
      </w:r>
      <w:r w:rsidR="00A7094B" w:rsidRPr="004E4582">
        <w:rPr>
          <w:rFonts w:ascii="Times New Roman" w:hAnsi="Times New Roman" w:cs="Times New Roman"/>
          <w:sz w:val="28"/>
          <w:szCs w:val="28"/>
        </w:rPr>
        <w:t>,</w:t>
      </w:r>
      <w:r w:rsidR="00072CBF" w:rsidRPr="004E4582">
        <w:rPr>
          <w:rFonts w:ascii="Times New Roman" w:hAnsi="Times New Roman" w:cs="Times New Roman"/>
          <w:sz w:val="28"/>
          <w:szCs w:val="28"/>
        </w:rPr>
        <w:t xml:space="preserve"> </w:t>
      </w:r>
      <w:r w:rsidR="001E2B36" w:rsidRPr="004E4582">
        <w:rPr>
          <w:rFonts w:ascii="Times New Roman" w:hAnsi="Times New Roman" w:cs="Times New Roman"/>
          <w:sz w:val="28"/>
          <w:szCs w:val="28"/>
        </w:rPr>
        <w:t>or did not sign as a witness in the signatory’s presence</w:t>
      </w:r>
      <w:r w:rsidR="004E4582">
        <w:rPr>
          <w:rFonts w:ascii="Times New Roman" w:hAnsi="Times New Roman" w:cs="Times New Roman"/>
          <w:sz w:val="28"/>
          <w:szCs w:val="28"/>
        </w:rPr>
        <w:t>”</w:t>
      </w:r>
      <w:r w:rsidR="001E2B36" w:rsidRPr="004E4582">
        <w:rPr>
          <w:rFonts w:ascii="Times New Roman" w:hAnsi="Times New Roman" w:cs="Times New Roman"/>
          <w:sz w:val="28"/>
          <w:szCs w:val="28"/>
        </w:rPr>
        <w:t>.</w:t>
      </w:r>
      <w:r w:rsidR="00D25210" w:rsidRPr="004E4582">
        <w:rPr>
          <w:rFonts w:ascii="Times New Roman" w:hAnsi="Times New Roman" w:cs="Times New Roman"/>
          <w:sz w:val="28"/>
          <w:szCs w:val="28"/>
        </w:rPr>
        <w:t xml:space="preserve">  On either score, </w:t>
      </w:r>
      <w:r w:rsidR="004E4582">
        <w:rPr>
          <w:rFonts w:ascii="Times New Roman" w:hAnsi="Times New Roman" w:cs="Times New Roman"/>
          <w:sz w:val="28"/>
          <w:szCs w:val="28"/>
        </w:rPr>
        <w:t xml:space="preserve">according </w:t>
      </w:r>
      <w:r w:rsidR="00286DB9" w:rsidRPr="004E4582">
        <w:rPr>
          <w:rFonts w:ascii="Times New Roman" w:hAnsi="Times New Roman" w:cs="Times New Roman"/>
          <w:sz w:val="28"/>
          <w:szCs w:val="28"/>
        </w:rPr>
        <w:t xml:space="preserve">to the applicant, </w:t>
      </w:r>
      <w:r w:rsidR="00D25210" w:rsidRPr="004E4582">
        <w:rPr>
          <w:rFonts w:ascii="Times New Roman" w:hAnsi="Times New Roman" w:cs="Times New Roman"/>
          <w:sz w:val="28"/>
          <w:szCs w:val="28"/>
        </w:rPr>
        <w:t>he was guilty of misconduct</w:t>
      </w:r>
      <w:r w:rsidR="00286DB9" w:rsidRPr="004E4582">
        <w:rPr>
          <w:rFonts w:ascii="Times New Roman" w:hAnsi="Times New Roman" w:cs="Times New Roman"/>
          <w:sz w:val="28"/>
          <w:szCs w:val="28"/>
        </w:rPr>
        <w:t>. The applicant</w:t>
      </w:r>
      <w:r w:rsidR="00F651CC" w:rsidRPr="004E4582">
        <w:rPr>
          <w:rFonts w:ascii="Times New Roman" w:hAnsi="Times New Roman" w:cs="Times New Roman"/>
          <w:sz w:val="28"/>
          <w:szCs w:val="28"/>
        </w:rPr>
        <w:t xml:space="preserve"> appeared to </w:t>
      </w:r>
      <w:r w:rsidR="00286DB9" w:rsidRPr="004E4582">
        <w:rPr>
          <w:rFonts w:ascii="Times New Roman" w:hAnsi="Times New Roman" w:cs="Times New Roman"/>
          <w:sz w:val="28"/>
          <w:szCs w:val="28"/>
        </w:rPr>
        <w:t xml:space="preserve">equivocate, however, </w:t>
      </w:r>
      <w:r w:rsidR="00F651CC" w:rsidRPr="004E4582">
        <w:rPr>
          <w:rFonts w:ascii="Times New Roman" w:hAnsi="Times New Roman" w:cs="Times New Roman"/>
          <w:sz w:val="28"/>
          <w:szCs w:val="28"/>
        </w:rPr>
        <w:t>between the wors</w:t>
      </w:r>
      <w:r w:rsidR="00286DB9" w:rsidRPr="004E4582">
        <w:rPr>
          <w:rFonts w:ascii="Times New Roman" w:hAnsi="Times New Roman" w:cs="Times New Roman"/>
          <w:sz w:val="28"/>
          <w:szCs w:val="28"/>
        </w:rPr>
        <w:t>t</w:t>
      </w:r>
      <w:r w:rsidR="00F651CC" w:rsidRPr="004E4582">
        <w:rPr>
          <w:rFonts w:ascii="Times New Roman" w:hAnsi="Times New Roman" w:cs="Times New Roman"/>
          <w:sz w:val="28"/>
          <w:szCs w:val="28"/>
        </w:rPr>
        <w:t xml:space="preserve"> and the least of the offending </w:t>
      </w:r>
      <w:r w:rsidR="00286DB9" w:rsidRPr="004E4582">
        <w:rPr>
          <w:rFonts w:ascii="Times New Roman" w:hAnsi="Times New Roman" w:cs="Times New Roman"/>
          <w:sz w:val="28"/>
          <w:szCs w:val="28"/>
        </w:rPr>
        <w:t xml:space="preserve">conduct rather than guiding this court as to what aspect of the </w:t>
      </w:r>
      <w:r w:rsidR="00286DB9" w:rsidRPr="004E4582">
        <w:rPr>
          <w:rFonts w:ascii="Times New Roman" w:hAnsi="Times New Roman" w:cs="Times New Roman"/>
          <w:sz w:val="28"/>
          <w:szCs w:val="28"/>
        </w:rPr>
        <w:lastRenderedPageBreak/>
        <w:t xml:space="preserve">respondent’s conduct exactly warranted </w:t>
      </w:r>
      <w:r w:rsidR="00A7094B" w:rsidRPr="004E4582">
        <w:rPr>
          <w:rFonts w:ascii="Times New Roman" w:hAnsi="Times New Roman" w:cs="Times New Roman"/>
          <w:sz w:val="28"/>
          <w:szCs w:val="28"/>
        </w:rPr>
        <w:t>the most serious censure of his name being struck off the roll of</w:t>
      </w:r>
      <w:r w:rsidR="004E4582">
        <w:rPr>
          <w:rFonts w:ascii="Times New Roman" w:hAnsi="Times New Roman" w:cs="Times New Roman"/>
          <w:sz w:val="28"/>
          <w:szCs w:val="28"/>
        </w:rPr>
        <w:t xml:space="preserve"> legal</w:t>
      </w:r>
      <w:r w:rsidR="00A7094B" w:rsidRPr="004E4582">
        <w:rPr>
          <w:rFonts w:ascii="Times New Roman" w:hAnsi="Times New Roman" w:cs="Times New Roman"/>
          <w:sz w:val="28"/>
          <w:szCs w:val="28"/>
        </w:rPr>
        <w:t xml:space="preserve"> practitioners</w:t>
      </w:r>
      <w:r w:rsidR="00286DB9" w:rsidRPr="004E4582">
        <w:rPr>
          <w:rFonts w:ascii="Times New Roman" w:hAnsi="Times New Roman" w:cs="Times New Roman"/>
          <w:sz w:val="28"/>
          <w:szCs w:val="28"/>
        </w:rPr>
        <w:t>.</w:t>
      </w:r>
    </w:p>
    <w:p w14:paraId="1C9BE55D" w14:textId="77777777" w:rsidR="00187995" w:rsidRPr="00187995" w:rsidRDefault="00187995" w:rsidP="00187995">
      <w:pPr>
        <w:pStyle w:val="ListParagraph"/>
        <w:rPr>
          <w:rFonts w:ascii="Times New Roman" w:hAnsi="Times New Roman" w:cs="Times New Roman"/>
          <w:sz w:val="28"/>
          <w:szCs w:val="28"/>
        </w:rPr>
      </w:pPr>
    </w:p>
    <w:p w14:paraId="23BAECFD" w14:textId="7D1329CB" w:rsidR="00187995" w:rsidRDefault="001E2B36" w:rsidP="00187995">
      <w:pPr>
        <w:pStyle w:val="ListParagraph"/>
        <w:numPr>
          <w:ilvl w:val="0"/>
          <w:numId w:val="1"/>
        </w:numPr>
        <w:spacing w:line="360" w:lineRule="auto"/>
        <w:ind w:left="0" w:firstLine="0"/>
        <w:jc w:val="both"/>
        <w:rPr>
          <w:rFonts w:ascii="Times New Roman" w:hAnsi="Times New Roman" w:cs="Times New Roman"/>
          <w:sz w:val="28"/>
          <w:szCs w:val="28"/>
        </w:rPr>
      </w:pPr>
      <w:r w:rsidRPr="00187995">
        <w:rPr>
          <w:rFonts w:ascii="Times New Roman" w:hAnsi="Times New Roman" w:cs="Times New Roman"/>
          <w:sz w:val="28"/>
          <w:szCs w:val="28"/>
        </w:rPr>
        <w:t xml:space="preserve">Justification for its decision </w:t>
      </w:r>
      <w:r w:rsidR="00F651CC">
        <w:rPr>
          <w:rFonts w:ascii="Times New Roman" w:hAnsi="Times New Roman" w:cs="Times New Roman"/>
          <w:sz w:val="28"/>
          <w:szCs w:val="28"/>
        </w:rPr>
        <w:t xml:space="preserve">in </w:t>
      </w:r>
      <w:r w:rsidR="00286DB9">
        <w:rPr>
          <w:rFonts w:ascii="Times New Roman" w:hAnsi="Times New Roman" w:cs="Times New Roman"/>
          <w:sz w:val="28"/>
          <w:szCs w:val="28"/>
        </w:rPr>
        <w:t>appealing to this court to strike him off the roll of legal practitioners</w:t>
      </w:r>
      <w:r w:rsidR="00F651CC">
        <w:rPr>
          <w:rFonts w:ascii="Times New Roman" w:hAnsi="Times New Roman" w:cs="Times New Roman"/>
          <w:sz w:val="28"/>
          <w:szCs w:val="28"/>
        </w:rPr>
        <w:t xml:space="preserve"> </w:t>
      </w:r>
      <w:r w:rsidRPr="00187995">
        <w:rPr>
          <w:rFonts w:ascii="Times New Roman" w:hAnsi="Times New Roman" w:cs="Times New Roman"/>
          <w:sz w:val="28"/>
          <w:szCs w:val="28"/>
        </w:rPr>
        <w:t>came down to this:</w:t>
      </w:r>
    </w:p>
    <w:p w14:paraId="55227555" w14:textId="77777777" w:rsidR="00187995" w:rsidRPr="00187995" w:rsidRDefault="00187995" w:rsidP="00187995">
      <w:pPr>
        <w:pStyle w:val="ListParagraph"/>
        <w:rPr>
          <w:rFonts w:ascii="Times New Roman" w:hAnsi="Times New Roman" w:cs="Times New Roman"/>
          <w:sz w:val="28"/>
          <w:szCs w:val="28"/>
        </w:rPr>
      </w:pPr>
    </w:p>
    <w:p w14:paraId="25FC2C66" w14:textId="633745DB" w:rsidR="00D25210" w:rsidRDefault="00187995" w:rsidP="00AE33BE">
      <w:pPr>
        <w:spacing w:line="240" w:lineRule="auto"/>
        <w:ind w:left="720"/>
        <w:contextualSpacing/>
        <w:jc w:val="both"/>
        <w:rPr>
          <w:rFonts w:ascii="Times New Roman" w:hAnsi="Times New Roman" w:cs="Times New Roman"/>
          <w:sz w:val="24"/>
          <w:szCs w:val="24"/>
        </w:rPr>
      </w:pPr>
      <w:r w:rsidRPr="00187995">
        <w:rPr>
          <w:rFonts w:ascii="Times New Roman" w:hAnsi="Times New Roman" w:cs="Times New Roman"/>
          <w:sz w:val="24"/>
          <w:szCs w:val="24"/>
        </w:rPr>
        <w:t>“The attorneys’ profession places a high premium on the values of honesty, integrity, reliability and accountability. Attorneys can only be described as fit and proper persons to practice the law when they do more than pay mere lip service to these values, but bind and conduct themselves accordingly. The general public should have trust and believe that attorneys are trustworth</w:t>
      </w:r>
      <w:r w:rsidR="00D25210">
        <w:rPr>
          <w:rFonts w:ascii="Times New Roman" w:hAnsi="Times New Roman" w:cs="Times New Roman"/>
          <w:sz w:val="24"/>
          <w:szCs w:val="24"/>
        </w:rPr>
        <w:t xml:space="preserve">y and of high moral character. </w:t>
      </w:r>
    </w:p>
    <w:p w14:paraId="5A7FDF2A" w14:textId="77777777" w:rsidR="00286DB9" w:rsidRDefault="00286DB9" w:rsidP="00AE33BE">
      <w:pPr>
        <w:spacing w:line="240" w:lineRule="auto"/>
        <w:ind w:left="720"/>
        <w:contextualSpacing/>
        <w:jc w:val="both"/>
        <w:rPr>
          <w:rFonts w:ascii="Times New Roman" w:hAnsi="Times New Roman" w:cs="Times New Roman"/>
          <w:sz w:val="24"/>
          <w:szCs w:val="24"/>
        </w:rPr>
      </w:pPr>
    </w:p>
    <w:p w14:paraId="56401BD2" w14:textId="77777777" w:rsidR="00187995" w:rsidRPr="00D25210" w:rsidRDefault="001E2B36" w:rsidP="00AE33BE">
      <w:pPr>
        <w:spacing w:line="240" w:lineRule="auto"/>
        <w:ind w:left="720"/>
        <w:contextualSpacing/>
        <w:jc w:val="both"/>
        <w:rPr>
          <w:rFonts w:ascii="Times New Roman" w:hAnsi="Times New Roman" w:cs="Times New Roman"/>
          <w:sz w:val="24"/>
          <w:szCs w:val="24"/>
        </w:rPr>
      </w:pPr>
      <w:r w:rsidRPr="00D25210">
        <w:rPr>
          <w:rFonts w:ascii="Times New Roman" w:hAnsi="Times New Roman" w:cs="Times New Roman"/>
          <w:sz w:val="24"/>
          <w:szCs w:val="24"/>
        </w:rPr>
        <w:t>From the outset the respondent failed to give a satisfactory response and maintained that he could not recall the signing of the suretyship, despite admitting that it was his signature and that he signed as a witness. One would have expected, as an attorney, that the respondent would be able to, without hesitation, state that he would not have signed a document as a witness without the person whose signature he was witnessing being present, particularly in circumstances in which the document is of such significant importance.”</w:t>
      </w:r>
    </w:p>
    <w:p w14:paraId="74782E2A" w14:textId="77777777" w:rsidR="00187995" w:rsidRDefault="00187995" w:rsidP="00187995">
      <w:pPr>
        <w:pStyle w:val="ListParagraph"/>
        <w:spacing w:line="360" w:lineRule="auto"/>
        <w:ind w:left="0"/>
        <w:jc w:val="both"/>
        <w:rPr>
          <w:rFonts w:ascii="Times New Roman" w:hAnsi="Times New Roman" w:cs="Times New Roman"/>
          <w:sz w:val="28"/>
          <w:szCs w:val="28"/>
        </w:rPr>
      </w:pPr>
    </w:p>
    <w:p w14:paraId="0618FA72" w14:textId="41EAE902" w:rsidR="00A7094B" w:rsidRDefault="00A7094B" w:rsidP="00B51D5A">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In heads of argument filed by Ms. Watt acting on the applicant’s behalf she suggested that the respondent has committed fraud by misrepresenting that he had witnessed the complainant sign the suretyship in his presence</w:t>
      </w:r>
      <w:r w:rsidR="004E4582">
        <w:rPr>
          <w:rFonts w:ascii="Times New Roman" w:hAnsi="Times New Roman" w:cs="Times New Roman"/>
          <w:sz w:val="28"/>
          <w:szCs w:val="28"/>
        </w:rPr>
        <w:t xml:space="preserve"> whereas (because the </w:t>
      </w:r>
      <w:r w:rsidR="002D0EB5">
        <w:rPr>
          <w:rFonts w:ascii="Times New Roman" w:hAnsi="Times New Roman" w:cs="Times New Roman"/>
          <w:sz w:val="28"/>
          <w:szCs w:val="28"/>
        </w:rPr>
        <w:t>latter</w:t>
      </w:r>
      <w:r w:rsidR="004E4582">
        <w:rPr>
          <w:rFonts w:ascii="Times New Roman" w:hAnsi="Times New Roman" w:cs="Times New Roman"/>
          <w:sz w:val="28"/>
          <w:szCs w:val="28"/>
        </w:rPr>
        <w:t>’s signature</w:t>
      </w:r>
      <w:r w:rsidR="002D0EB5">
        <w:rPr>
          <w:rFonts w:ascii="Times New Roman" w:hAnsi="Times New Roman" w:cs="Times New Roman"/>
          <w:sz w:val="28"/>
          <w:szCs w:val="28"/>
        </w:rPr>
        <w:t>s</w:t>
      </w:r>
      <w:r w:rsidR="004E4582">
        <w:rPr>
          <w:rFonts w:ascii="Times New Roman" w:hAnsi="Times New Roman" w:cs="Times New Roman"/>
          <w:sz w:val="28"/>
          <w:szCs w:val="28"/>
        </w:rPr>
        <w:t xml:space="preserve"> w</w:t>
      </w:r>
      <w:r w:rsidR="002D0EB5">
        <w:rPr>
          <w:rFonts w:ascii="Times New Roman" w:hAnsi="Times New Roman" w:cs="Times New Roman"/>
          <w:sz w:val="28"/>
          <w:szCs w:val="28"/>
        </w:rPr>
        <w:t>ere</w:t>
      </w:r>
      <w:r w:rsidR="004E4582">
        <w:rPr>
          <w:rFonts w:ascii="Times New Roman" w:hAnsi="Times New Roman" w:cs="Times New Roman"/>
          <w:sz w:val="28"/>
          <w:szCs w:val="28"/>
        </w:rPr>
        <w:t xml:space="preserve"> established to be false</w:t>
      </w:r>
      <w:r w:rsidR="00150B58">
        <w:rPr>
          <w:rFonts w:ascii="Times New Roman" w:hAnsi="Times New Roman" w:cs="Times New Roman"/>
          <w:sz w:val="28"/>
          <w:szCs w:val="28"/>
        </w:rPr>
        <w:t>)</w:t>
      </w:r>
      <w:r w:rsidR="004E4582">
        <w:rPr>
          <w:rFonts w:ascii="Times New Roman" w:hAnsi="Times New Roman" w:cs="Times New Roman"/>
          <w:sz w:val="28"/>
          <w:szCs w:val="28"/>
        </w:rPr>
        <w:t xml:space="preserve"> this could never have been the case</w:t>
      </w:r>
      <w:r>
        <w:rPr>
          <w:rFonts w:ascii="Times New Roman" w:hAnsi="Times New Roman" w:cs="Times New Roman"/>
          <w:sz w:val="28"/>
          <w:szCs w:val="28"/>
        </w:rPr>
        <w:t>.</w:t>
      </w:r>
    </w:p>
    <w:p w14:paraId="63C681ED" w14:textId="77777777" w:rsidR="00A7094B" w:rsidRDefault="00A7094B" w:rsidP="00A7094B">
      <w:pPr>
        <w:pStyle w:val="ListParagraph"/>
        <w:spacing w:line="360" w:lineRule="auto"/>
        <w:ind w:left="0"/>
        <w:jc w:val="both"/>
        <w:rPr>
          <w:rFonts w:ascii="Times New Roman" w:hAnsi="Times New Roman" w:cs="Times New Roman"/>
          <w:sz w:val="28"/>
          <w:szCs w:val="28"/>
        </w:rPr>
      </w:pPr>
    </w:p>
    <w:p w14:paraId="7A8014D2" w14:textId="6868447C" w:rsidR="0045380D" w:rsidRPr="00B51D5A" w:rsidRDefault="00286DB9" w:rsidP="00B51D5A">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It is apposite to mention that in </w:t>
      </w:r>
      <w:r w:rsidRPr="004E4582">
        <w:rPr>
          <w:rFonts w:ascii="Times New Roman" w:hAnsi="Times New Roman" w:cs="Times New Roman"/>
          <w:i/>
          <w:iCs/>
          <w:sz w:val="28"/>
          <w:szCs w:val="28"/>
        </w:rPr>
        <w:t>Craddock</w:t>
      </w:r>
      <w:r>
        <w:rPr>
          <w:rFonts w:ascii="Times New Roman" w:hAnsi="Times New Roman" w:cs="Times New Roman"/>
          <w:sz w:val="28"/>
          <w:szCs w:val="28"/>
        </w:rPr>
        <w:t xml:space="preserve"> the court criticized the applicant for not having done the least </w:t>
      </w:r>
      <w:r w:rsidR="0045380D">
        <w:rPr>
          <w:rFonts w:ascii="Times New Roman" w:hAnsi="Times New Roman" w:cs="Times New Roman"/>
          <w:sz w:val="28"/>
          <w:szCs w:val="28"/>
        </w:rPr>
        <w:t>it</w:t>
      </w:r>
      <w:r>
        <w:rPr>
          <w:rFonts w:ascii="Times New Roman" w:hAnsi="Times New Roman" w:cs="Times New Roman"/>
          <w:sz w:val="28"/>
          <w:szCs w:val="28"/>
        </w:rPr>
        <w:t xml:space="preserve"> could </w:t>
      </w:r>
      <w:r w:rsidR="0045380D">
        <w:rPr>
          <w:rFonts w:ascii="Times New Roman" w:hAnsi="Times New Roman" w:cs="Times New Roman"/>
          <w:sz w:val="28"/>
          <w:szCs w:val="28"/>
        </w:rPr>
        <w:t>to have gotten to the heart of the matter</w:t>
      </w:r>
      <w:r w:rsidR="00072CBF">
        <w:rPr>
          <w:rFonts w:ascii="Times New Roman" w:hAnsi="Times New Roman" w:cs="Times New Roman"/>
          <w:sz w:val="28"/>
          <w:szCs w:val="28"/>
        </w:rPr>
        <w:t xml:space="preserve"> </w:t>
      </w:r>
      <w:r w:rsidR="0045380D">
        <w:rPr>
          <w:rFonts w:ascii="Times New Roman" w:hAnsi="Times New Roman" w:cs="Times New Roman"/>
          <w:sz w:val="28"/>
          <w:szCs w:val="28"/>
        </w:rPr>
        <w:t xml:space="preserve">once it had accepted that the complainant’s signatures could only have been affixed on the deed through forgery, in establishing </w:t>
      </w:r>
      <w:r w:rsidR="0045380D" w:rsidRPr="0045380D">
        <w:rPr>
          <w:rFonts w:ascii="Times New Roman" w:hAnsi="Times New Roman" w:cs="Times New Roman"/>
          <w:sz w:val="28"/>
          <w:szCs w:val="28"/>
        </w:rPr>
        <w:t xml:space="preserve">how </w:t>
      </w:r>
      <w:r w:rsidR="004E4582">
        <w:rPr>
          <w:rFonts w:ascii="Times New Roman" w:hAnsi="Times New Roman" w:cs="Times New Roman"/>
          <w:sz w:val="28"/>
          <w:szCs w:val="28"/>
        </w:rPr>
        <w:t xml:space="preserve">she </w:t>
      </w:r>
      <w:r w:rsidR="0045380D">
        <w:rPr>
          <w:rFonts w:ascii="Times New Roman" w:hAnsi="Times New Roman" w:cs="Times New Roman"/>
          <w:sz w:val="28"/>
          <w:szCs w:val="28"/>
        </w:rPr>
        <w:t xml:space="preserve">allegedly </w:t>
      </w:r>
      <w:r w:rsidR="0045380D" w:rsidRPr="0045380D">
        <w:rPr>
          <w:rFonts w:ascii="Times New Roman" w:hAnsi="Times New Roman" w:cs="Times New Roman"/>
          <w:sz w:val="28"/>
          <w:szCs w:val="28"/>
        </w:rPr>
        <w:t>abused her position</w:t>
      </w:r>
      <w:r w:rsidR="0045380D">
        <w:rPr>
          <w:rFonts w:ascii="Times New Roman" w:hAnsi="Times New Roman" w:cs="Times New Roman"/>
          <w:sz w:val="28"/>
          <w:szCs w:val="28"/>
        </w:rPr>
        <w:t xml:space="preserve"> by attesting to the false signatures</w:t>
      </w:r>
      <w:r w:rsidR="00B51D5A">
        <w:rPr>
          <w:rFonts w:ascii="Times New Roman" w:hAnsi="Times New Roman" w:cs="Times New Roman"/>
          <w:sz w:val="28"/>
          <w:szCs w:val="28"/>
        </w:rPr>
        <w:t xml:space="preserve">. </w:t>
      </w:r>
      <w:r w:rsidR="00072CBF">
        <w:rPr>
          <w:rFonts w:ascii="Times New Roman" w:hAnsi="Times New Roman" w:cs="Times New Roman"/>
          <w:sz w:val="28"/>
          <w:szCs w:val="28"/>
        </w:rPr>
        <w:t xml:space="preserve"> (The same question</w:t>
      </w:r>
      <w:r w:rsidR="002D0EB5">
        <w:rPr>
          <w:rFonts w:ascii="Times New Roman" w:hAnsi="Times New Roman" w:cs="Times New Roman"/>
          <w:sz w:val="28"/>
          <w:szCs w:val="28"/>
        </w:rPr>
        <w:t xml:space="preserve"> obviously</w:t>
      </w:r>
      <w:r w:rsidR="00072CBF">
        <w:rPr>
          <w:rFonts w:ascii="Times New Roman" w:hAnsi="Times New Roman" w:cs="Times New Roman"/>
          <w:sz w:val="28"/>
          <w:szCs w:val="28"/>
        </w:rPr>
        <w:t xml:space="preserve"> begs itself concerning the respondent’s position)</w:t>
      </w:r>
      <w:r w:rsidR="00A7094B">
        <w:rPr>
          <w:rFonts w:ascii="Times New Roman" w:hAnsi="Times New Roman" w:cs="Times New Roman"/>
          <w:sz w:val="28"/>
          <w:szCs w:val="28"/>
        </w:rPr>
        <w:t xml:space="preserve">. </w:t>
      </w:r>
      <w:r w:rsidR="00072CBF">
        <w:rPr>
          <w:rFonts w:ascii="Times New Roman" w:hAnsi="Times New Roman" w:cs="Times New Roman"/>
          <w:sz w:val="28"/>
          <w:szCs w:val="28"/>
        </w:rPr>
        <w:t xml:space="preserve"> </w:t>
      </w:r>
      <w:r w:rsidR="0045380D" w:rsidRPr="00B51D5A">
        <w:rPr>
          <w:rFonts w:ascii="Times New Roman" w:hAnsi="Times New Roman" w:cs="Times New Roman"/>
          <w:sz w:val="28"/>
          <w:szCs w:val="28"/>
        </w:rPr>
        <w:t xml:space="preserve">It expressed the view that the applicant could have sought to establish where the deed of suretyship emanated from and how it got to be presented to </w:t>
      </w:r>
      <w:r w:rsidR="00B51D5A">
        <w:rPr>
          <w:rFonts w:ascii="Times New Roman" w:hAnsi="Times New Roman" w:cs="Times New Roman"/>
          <w:sz w:val="28"/>
          <w:szCs w:val="28"/>
        </w:rPr>
        <w:t>her</w:t>
      </w:r>
      <w:r w:rsidR="0045380D" w:rsidRPr="00B51D5A">
        <w:rPr>
          <w:rFonts w:ascii="Times New Roman" w:hAnsi="Times New Roman" w:cs="Times New Roman"/>
          <w:sz w:val="28"/>
          <w:szCs w:val="28"/>
        </w:rPr>
        <w:t xml:space="preserve"> for witnessing</w:t>
      </w:r>
      <w:r w:rsidR="00072CBF">
        <w:rPr>
          <w:rFonts w:ascii="Times New Roman" w:hAnsi="Times New Roman" w:cs="Times New Roman"/>
          <w:sz w:val="28"/>
          <w:szCs w:val="28"/>
        </w:rPr>
        <w:t xml:space="preserve">. (The </w:t>
      </w:r>
      <w:r w:rsidR="002D0EB5">
        <w:rPr>
          <w:rFonts w:ascii="Times New Roman" w:hAnsi="Times New Roman" w:cs="Times New Roman"/>
          <w:sz w:val="28"/>
          <w:szCs w:val="28"/>
        </w:rPr>
        <w:t xml:space="preserve">respondent however seems to have conceded </w:t>
      </w:r>
      <w:r w:rsidR="002D0EB5">
        <w:rPr>
          <w:rFonts w:ascii="Times New Roman" w:hAnsi="Times New Roman" w:cs="Times New Roman"/>
          <w:sz w:val="28"/>
          <w:szCs w:val="28"/>
        </w:rPr>
        <w:lastRenderedPageBreak/>
        <w:t>that his mother brought the document to him to sign.) T</w:t>
      </w:r>
      <w:r w:rsidR="0045380D" w:rsidRPr="00B51D5A">
        <w:rPr>
          <w:rFonts w:ascii="Times New Roman" w:hAnsi="Times New Roman" w:cs="Times New Roman"/>
          <w:sz w:val="28"/>
          <w:szCs w:val="28"/>
        </w:rPr>
        <w:t>he applicant apparently dismissed the source of the deed of suretyship as irrelevant in its replying affidavit</w:t>
      </w:r>
      <w:r w:rsidR="00A7094B">
        <w:rPr>
          <w:rFonts w:ascii="Times New Roman" w:hAnsi="Times New Roman" w:cs="Times New Roman"/>
          <w:sz w:val="28"/>
          <w:szCs w:val="28"/>
        </w:rPr>
        <w:t xml:space="preserve"> in</w:t>
      </w:r>
      <w:r w:rsidR="00150B58">
        <w:rPr>
          <w:rFonts w:ascii="Times New Roman" w:hAnsi="Times New Roman" w:cs="Times New Roman"/>
          <w:sz w:val="28"/>
          <w:szCs w:val="28"/>
        </w:rPr>
        <w:t xml:space="preserve"> that matter</w:t>
      </w:r>
      <w:r w:rsidR="00B51D5A">
        <w:rPr>
          <w:rFonts w:ascii="Times New Roman" w:hAnsi="Times New Roman" w:cs="Times New Roman"/>
          <w:sz w:val="28"/>
          <w:szCs w:val="28"/>
        </w:rPr>
        <w:t xml:space="preserve">.  </w:t>
      </w:r>
      <w:r w:rsidR="00072CBF">
        <w:rPr>
          <w:rFonts w:ascii="Times New Roman" w:hAnsi="Times New Roman" w:cs="Times New Roman"/>
          <w:sz w:val="28"/>
          <w:szCs w:val="28"/>
        </w:rPr>
        <w:t xml:space="preserve">The </w:t>
      </w:r>
      <w:r w:rsidR="00072CBF" w:rsidRPr="00B51D5A">
        <w:rPr>
          <w:rFonts w:ascii="Times New Roman" w:hAnsi="Times New Roman" w:cs="Times New Roman"/>
          <w:sz w:val="28"/>
          <w:szCs w:val="28"/>
        </w:rPr>
        <w:t>court</w:t>
      </w:r>
      <w:r w:rsidR="0045380D" w:rsidRPr="00B51D5A">
        <w:rPr>
          <w:rFonts w:ascii="Times New Roman" w:hAnsi="Times New Roman" w:cs="Times New Roman"/>
          <w:sz w:val="28"/>
          <w:szCs w:val="28"/>
        </w:rPr>
        <w:t xml:space="preserve"> was unimpressed with its stance</w:t>
      </w:r>
      <w:r w:rsidR="00B51D5A">
        <w:rPr>
          <w:rFonts w:ascii="Times New Roman" w:hAnsi="Times New Roman" w:cs="Times New Roman"/>
          <w:sz w:val="28"/>
          <w:szCs w:val="28"/>
        </w:rPr>
        <w:t>:</w:t>
      </w:r>
    </w:p>
    <w:p w14:paraId="1EABC0C4" w14:textId="77777777" w:rsidR="0045380D" w:rsidRPr="00C31B23" w:rsidRDefault="0045380D" w:rsidP="0045380D">
      <w:pPr>
        <w:ind w:left="720"/>
        <w:contextualSpacing/>
        <w:rPr>
          <w:rFonts w:ascii="Times New Roman" w:hAnsi="Times New Roman" w:cs="Times New Roman"/>
        </w:rPr>
      </w:pPr>
    </w:p>
    <w:p w14:paraId="3E0ED813" w14:textId="77777777" w:rsidR="0045380D" w:rsidRPr="00C31B23" w:rsidRDefault="0045380D" w:rsidP="0045380D">
      <w:pPr>
        <w:spacing w:line="240" w:lineRule="auto"/>
        <w:ind w:left="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C31B23">
        <w:rPr>
          <w:rFonts w:ascii="Times New Roman" w:hAnsi="Times New Roman" w:cs="Times New Roman"/>
          <w:sz w:val="24"/>
          <w:szCs w:val="24"/>
          <w:lang w:val="en-GB"/>
        </w:rPr>
        <w:t xml:space="preserve">[27] </w:t>
      </w:r>
      <w:r>
        <w:rPr>
          <w:rFonts w:ascii="Times New Roman" w:hAnsi="Times New Roman" w:cs="Times New Roman"/>
          <w:sz w:val="24"/>
          <w:szCs w:val="24"/>
          <w:lang w:val="en-GB"/>
        </w:rPr>
        <w:t xml:space="preserve">… </w:t>
      </w:r>
      <w:r w:rsidRPr="00C31B23">
        <w:rPr>
          <w:rFonts w:ascii="Times New Roman" w:hAnsi="Times New Roman" w:cs="Times New Roman"/>
          <w:sz w:val="24"/>
          <w:szCs w:val="24"/>
          <w:lang w:val="en-GB"/>
        </w:rPr>
        <w:t>I fail to understand how it could be that the source of a document with a forged signature would be irrelevant.  One would have thought that the source of any forged document is part of the factual matrix that would need to be disentangled in getting to the bottom of the forgery.  To simply focus on the witness’ signature in circumstances where forgery was clearly committed is an over simplification and an unfortunate lack of appetite to get to the bottom of how the fraud or forgery was committed.  An investigation might possibly have helped to unmask the role played by the witness or witnesses thereto including the respondent if she had anything to do with it and their degree of participation.  Most importantly, it would have helped to establish whether they were active participants in that crime through directly facilitating it or perhaps unwittingly facilitating it through for instance signing as witnesses when they did not witness the signing of that document.</w:t>
      </w:r>
      <w:r>
        <w:rPr>
          <w:rFonts w:ascii="Times New Roman" w:hAnsi="Times New Roman" w:cs="Times New Roman"/>
          <w:sz w:val="24"/>
          <w:szCs w:val="24"/>
          <w:lang w:val="en-GB"/>
        </w:rPr>
        <w:t>”</w:t>
      </w:r>
    </w:p>
    <w:p w14:paraId="5A842592" w14:textId="77777777" w:rsidR="0045380D" w:rsidRPr="004C1912" w:rsidRDefault="0045380D" w:rsidP="0045380D">
      <w:pPr>
        <w:pStyle w:val="ListParagraph"/>
        <w:rPr>
          <w:rFonts w:ascii="Times New Roman" w:hAnsi="Times New Roman" w:cs="Times New Roman"/>
          <w:sz w:val="28"/>
          <w:szCs w:val="28"/>
        </w:rPr>
      </w:pPr>
    </w:p>
    <w:p w14:paraId="1AA2359F" w14:textId="4F7BA4CD" w:rsidR="0045380D" w:rsidRDefault="0045380D" w:rsidP="0045380D">
      <w:pPr>
        <w:pStyle w:val="ListParagraph"/>
        <w:numPr>
          <w:ilvl w:val="0"/>
          <w:numId w:val="1"/>
        </w:numPr>
        <w:spacing w:line="360" w:lineRule="auto"/>
        <w:ind w:left="0" w:firstLine="0"/>
        <w:jc w:val="both"/>
        <w:rPr>
          <w:rFonts w:ascii="Times New Roman" w:hAnsi="Times New Roman" w:cs="Times New Roman"/>
          <w:sz w:val="28"/>
          <w:szCs w:val="28"/>
        </w:rPr>
      </w:pPr>
      <w:r w:rsidRPr="004C1912">
        <w:rPr>
          <w:rFonts w:ascii="Times New Roman" w:hAnsi="Times New Roman" w:cs="Times New Roman"/>
          <w:sz w:val="28"/>
          <w:szCs w:val="28"/>
        </w:rPr>
        <w:t>The respondent</w:t>
      </w:r>
      <w:r>
        <w:rPr>
          <w:rFonts w:ascii="Times New Roman" w:hAnsi="Times New Roman" w:cs="Times New Roman"/>
          <w:sz w:val="28"/>
          <w:szCs w:val="28"/>
        </w:rPr>
        <w:t xml:space="preserve"> himself</w:t>
      </w:r>
      <w:r w:rsidRPr="004C1912">
        <w:rPr>
          <w:rFonts w:ascii="Times New Roman" w:hAnsi="Times New Roman" w:cs="Times New Roman"/>
          <w:sz w:val="28"/>
          <w:szCs w:val="28"/>
        </w:rPr>
        <w:t xml:space="preserve"> featured large in the court’s speculation </w:t>
      </w:r>
      <w:r w:rsidR="00B51D5A">
        <w:rPr>
          <w:rFonts w:ascii="Times New Roman" w:hAnsi="Times New Roman" w:cs="Times New Roman"/>
          <w:sz w:val="28"/>
          <w:szCs w:val="28"/>
        </w:rPr>
        <w:t xml:space="preserve">in </w:t>
      </w:r>
      <w:r w:rsidR="00B51D5A" w:rsidRPr="00072CBF">
        <w:rPr>
          <w:rFonts w:ascii="Times New Roman" w:hAnsi="Times New Roman" w:cs="Times New Roman"/>
          <w:i/>
          <w:iCs/>
          <w:sz w:val="28"/>
          <w:szCs w:val="28"/>
        </w:rPr>
        <w:t>Craddock</w:t>
      </w:r>
      <w:r w:rsidR="00B51D5A">
        <w:rPr>
          <w:rFonts w:ascii="Times New Roman" w:hAnsi="Times New Roman" w:cs="Times New Roman"/>
          <w:sz w:val="28"/>
          <w:szCs w:val="28"/>
        </w:rPr>
        <w:t xml:space="preserve"> </w:t>
      </w:r>
      <w:r w:rsidRPr="004C1912">
        <w:rPr>
          <w:rFonts w:ascii="Times New Roman" w:hAnsi="Times New Roman" w:cs="Times New Roman"/>
          <w:sz w:val="28"/>
          <w:szCs w:val="28"/>
        </w:rPr>
        <w:t>of what might have happened:</w:t>
      </w:r>
      <w:r w:rsidR="00A7094B">
        <w:rPr>
          <w:rStyle w:val="FootnoteReference"/>
          <w:rFonts w:ascii="Times New Roman" w:hAnsi="Times New Roman" w:cs="Times New Roman"/>
          <w:sz w:val="28"/>
          <w:szCs w:val="28"/>
        </w:rPr>
        <w:footnoteReference w:id="19"/>
      </w:r>
      <w:r w:rsidRPr="004C1912">
        <w:rPr>
          <w:rFonts w:ascii="Times New Roman" w:hAnsi="Times New Roman" w:cs="Times New Roman"/>
          <w:sz w:val="28"/>
          <w:szCs w:val="28"/>
        </w:rPr>
        <w:t xml:space="preserve"> </w:t>
      </w:r>
    </w:p>
    <w:p w14:paraId="5BEFD799" w14:textId="2C559744" w:rsidR="0045380D" w:rsidRPr="00C31B23" w:rsidRDefault="0045380D" w:rsidP="0045380D">
      <w:pPr>
        <w:spacing w:line="240" w:lineRule="auto"/>
        <w:ind w:left="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C31B23">
        <w:rPr>
          <w:rFonts w:ascii="Times New Roman" w:hAnsi="Times New Roman" w:cs="Times New Roman"/>
          <w:sz w:val="24"/>
          <w:szCs w:val="24"/>
          <w:lang w:val="en-GB"/>
        </w:rPr>
        <w:t xml:space="preserve">[28] The respondent </w:t>
      </w:r>
      <w:r w:rsidR="002D0EB5">
        <w:rPr>
          <w:rFonts w:ascii="Times New Roman" w:hAnsi="Times New Roman" w:cs="Times New Roman"/>
          <w:sz w:val="24"/>
          <w:szCs w:val="24"/>
          <w:lang w:val="en-GB"/>
        </w:rPr>
        <w:t xml:space="preserve">(Ms Craddock) </w:t>
      </w:r>
      <w:r w:rsidRPr="00C31B23">
        <w:rPr>
          <w:rFonts w:ascii="Times New Roman" w:hAnsi="Times New Roman" w:cs="Times New Roman"/>
          <w:sz w:val="24"/>
          <w:szCs w:val="24"/>
          <w:lang w:val="en-GB"/>
        </w:rPr>
        <w:t>explains that the transactions which were relevant to the deed of suretyship were the transfer of erf 2460, North End which she handled.  It also appears from the relevant power of attorney to pass transfer that the transfer was from the ALC Property Trust and the trustee who signed for the trust is Cor van Deventer, Mrs Labuschagne’s son.  The conveyancer who was attending to the transfer was the respondent.  The respondent has explained that the simultaneous bond registration process was attended to by a conveyancer at Greyvensteins Incorporated.</w:t>
      </w:r>
      <w:r>
        <w:rPr>
          <w:rStyle w:val="FootnoteReference"/>
          <w:rFonts w:ascii="Times New Roman" w:hAnsi="Times New Roman" w:cs="Times New Roman"/>
          <w:sz w:val="24"/>
          <w:szCs w:val="24"/>
          <w:lang w:val="en-GB"/>
        </w:rPr>
        <w:footnoteReference w:id="20"/>
      </w:r>
      <w:r w:rsidRPr="00C31B23">
        <w:rPr>
          <w:rFonts w:ascii="Times New Roman" w:hAnsi="Times New Roman" w:cs="Times New Roman"/>
          <w:sz w:val="24"/>
          <w:szCs w:val="24"/>
          <w:lang w:val="en-GB"/>
        </w:rPr>
        <w:t xml:space="preserve">  That firm is where Cor and Liesl, his sister worked as attorneys or co-directors both of whom, according to the respondent are Mrs Labuschagne’s children.  It is not clear if Cor was the conveyancer for that bond but his firm attended to the simultaneous bond registration.  As bond registration conveyancers that firm would have created and printed the bond documents which might have included the deed of suretyship on the instructions of Standard Bank.</w:t>
      </w:r>
      <w:r>
        <w:rPr>
          <w:rFonts w:ascii="Times New Roman" w:hAnsi="Times New Roman" w:cs="Times New Roman"/>
          <w:sz w:val="24"/>
          <w:szCs w:val="24"/>
          <w:lang w:val="en-GB"/>
        </w:rPr>
        <w:t>”</w:t>
      </w:r>
    </w:p>
    <w:p w14:paraId="1B2EE353" w14:textId="77777777" w:rsidR="0045380D" w:rsidRDefault="0045380D" w:rsidP="0045380D">
      <w:pPr>
        <w:pStyle w:val="ListParagraph"/>
        <w:spacing w:line="360" w:lineRule="auto"/>
        <w:jc w:val="both"/>
        <w:rPr>
          <w:rFonts w:ascii="Times New Roman" w:hAnsi="Times New Roman" w:cs="Times New Roman"/>
          <w:sz w:val="28"/>
          <w:szCs w:val="28"/>
        </w:rPr>
      </w:pPr>
    </w:p>
    <w:p w14:paraId="1958781E" w14:textId="30BFFF48" w:rsidR="00B51D5A" w:rsidRDefault="00B51D5A" w:rsidP="0045380D">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premise that Greyvensteins Inc </w:t>
      </w:r>
      <w:r w:rsidR="00072CBF">
        <w:rPr>
          <w:rFonts w:ascii="Times New Roman" w:hAnsi="Times New Roman" w:cs="Times New Roman"/>
          <w:sz w:val="28"/>
          <w:szCs w:val="28"/>
        </w:rPr>
        <w:t xml:space="preserve">attended </w:t>
      </w:r>
      <w:r>
        <w:rPr>
          <w:rFonts w:ascii="Times New Roman" w:hAnsi="Times New Roman" w:cs="Times New Roman"/>
          <w:sz w:val="28"/>
          <w:szCs w:val="28"/>
        </w:rPr>
        <w:t>the bond registration is incorrect</w:t>
      </w:r>
      <w:r w:rsidR="00072CBF">
        <w:rPr>
          <w:rFonts w:ascii="Times New Roman" w:hAnsi="Times New Roman" w:cs="Times New Roman"/>
          <w:sz w:val="28"/>
          <w:szCs w:val="28"/>
        </w:rPr>
        <w:t>,</w:t>
      </w:r>
      <w:r>
        <w:rPr>
          <w:rFonts w:ascii="Times New Roman" w:hAnsi="Times New Roman" w:cs="Times New Roman"/>
          <w:sz w:val="28"/>
          <w:szCs w:val="28"/>
        </w:rPr>
        <w:t xml:space="preserve"> but by the same token the applicant could </w:t>
      </w:r>
      <w:r w:rsidR="002D0EB5">
        <w:rPr>
          <w:rFonts w:ascii="Times New Roman" w:hAnsi="Times New Roman" w:cs="Times New Roman"/>
          <w:sz w:val="28"/>
          <w:szCs w:val="28"/>
        </w:rPr>
        <w:t xml:space="preserve">and ought to </w:t>
      </w:r>
      <w:r>
        <w:rPr>
          <w:rFonts w:ascii="Times New Roman" w:hAnsi="Times New Roman" w:cs="Times New Roman"/>
          <w:sz w:val="28"/>
          <w:szCs w:val="28"/>
        </w:rPr>
        <w:t xml:space="preserve">have ascertained how the </w:t>
      </w:r>
      <w:r>
        <w:rPr>
          <w:rFonts w:ascii="Times New Roman" w:hAnsi="Times New Roman" w:cs="Times New Roman"/>
          <w:sz w:val="28"/>
          <w:szCs w:val="28"/>
        </w:rPr>
        <w:lastRenderedPageBreak/>
        <w:t xml:space="preserve">deed of </w:t>
      </w:r>
      <w:r w:rsidR="004E4582">
        <w:rPr>
          <w:rFonts w:ascii="Times New Roman" w:hAnsi="Times New Roman" w:cs="Times New Roman"/>
          <w:sz w:val="28"/>
          <w:szCs w:val="28"/>
        </w:rPr>
        <w:t>surety</w:t>
      </w:r>
      <w:r>
        <w:rPr>
          <w:rFonts w:ascii="Times New Roman" w:hAnsi="Times New Roman" w:cs="Times New Roman"/>
          <w:sz w:val="28"/>
          <w:szCs w:val="28"/>
        </w:rPr>
        <w:t xml:space="preserve"> came to be in the hands of Ms. Craddock and the respondent as attesting witnesses</w:t>
      </w:r>
      <w:r w:rsidR="00150B58">
        <w:rPr>
          <w:rFonts w:ascii="Times New Roman" w:hAnsi="Times New Roman" w:cs="Times New Roman"/>
          <w:sz w:val="28"/>
          <w:szCs w:val="28"/>
        </w:rPr>
        <w:t xml:space="preserve"> respectively when they “attested” to his purported signature</w:t>
      </w:r>
      <w:r w:rsidR="002D0EB5">
        <w:rPr>
          <w:rFonts w:ascii="Times New Roman" w:hAnsi="Times New Roman" w:cs="Times New Roman"/>
          <w:sz w:val="28"/>
          <w:szCs w:val="28"/>
        </w:rPr>
        <w:t>s</w:t>
      </w:r>
      <w:r w:rsidR="00150B58">
        <w:rPr>
          <w:rFonts w:ascii="Times New Roman" w:hAnsi="Times New Roman" w:cs="Times New Roman"/>
          <w:sz w:val="28"/>
          <w:szCs w:val="28"/>
        </w:rPr>
        <w:t>.</w:t>
      </w:r>
      <w:r w:rsidR="002D0EB5">
        <w:rPr>
          <w:rFonts w:ascii="Times New Roman" w:hAnsi="Times New Roman" w:cs="Times New Roman"/>
          <w:sz w:val="28"/>
          <w:szCs w:val="28"/>
        </w:rPr>
        <w:t xml:space="preserve">  (In this instance the respondent appeared to concede but only in his answering affidavit filed in the present proceedings that his mother probably brought the document to him for signature.</w:t>
      </w:r>
      <w:r w:rsidR="003F2687">
        <w:rPr>
          <w:rFonts w:ascii="Times New Roman" w:hAnsi="Times New Roman" w:cs="Times New Roman"/>
          <w:sz w:val="28"/>
          <w:szCs w:val="28"/>
        </w:rPr>
        <w:t>)</w:t>
      </w:r>
      <w:r w:rsidR="002D0EB5">
        <w:rPr>
          <w:rStyle w:val="FootnoteReference"/>
          <w:rFonts w:ascii="Times New Roman" w:hAnsi="Times New Roman" w:cs="Times New Roman"/>
          <w:sz w:val="28"/>
          <w:szCs w:val="28"/>
        </w:rPr>
        <w:footnoteReference w:id="21"/>
      </w:r>
    </w:p>
    <w:p w14:paraId="7ACAA0B8" w14:textId="77777777" w:rsidR="00B51D5A" w:rsidRDefault="00B51D5A" w:rsidP="00B51D5A">
      <w:pPr>
        <w:pStyle w:val="ListParagraph"/>
        <w:spacing w:line="360" w:lineRule="auto"/>
        <w:ind w:left="0"/>
        <w:jc w:val="both"/>
        <w:rPr>
          <w:rFonts w:ascii="Times New Roman" w:hAnsi="Times New Roman" w:cs="Times New Roman"/>
          <w:sz w:val="28"/>
          <w:szCs w:val="28"/>
        </w:rPr>
      </w:pPr>
    </w:p>
    <w:p w14:paraId="6778030F" w14:textId="58DA2F88" w:rsidR="0045380D" w:rsidRDefault="00A7094B" w:rsidP="00A7094B">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court in </w:t>
      </w:r>
      <w:r w:rsidRPr="004E4582">
        <w:rPr>
          <w:rFonts w:ascii="Times New Roman" w:hAnsi="Times New Roman" w:cs="Times New Roman"/>
          <w:i/>
          <w:iCs/>
          <w:sz w:val="28"/>
          <w:szCs w:val="28"/>
        </w:rPr>
        <w:t>Craddock</w:t>
      </w:r>
      <w:r>
        <w:rPr>
          <w:rFonts w:ascii="Times New Roman" w:hAnsi="Times New Roman" w:cs="Times New Roman"/>
          <w:sz w:val="28"/>
          <w:szCs w:val="28"/>
        </w:rPr>
        <w:t xml:space="preserve"> also criticized the applicant for not carefully looking into the conveyancing files of the relevant practitioners and drawing a much clearer picture of the circumstances in which that deed of suretyship </w:t>
      </w:r>
      <w:r w:rsidR="00150B58">
        <w:rPr>
          <w:rFonts w:ascii="Times New Roman" w:hAnsi="Times New Roman" w:cs="Times New Roman"/>
          <w:sz w:val="28"/>
          <w:szCs w:val="28"/>
        </w:rPr>
        <w:t xml:space="preserve">was </w:t>
      </w:r>
      <w:r>
        <w:rPr>
          <w:rFonts w:ascii="Times New Roman" w:hAnsi="Times New Roman" w:cs="Times New Roman"/>
          <w:sz w:val="28"/>
          <w:szCs w:val="28"/>
        </w:rPr>
        <w:t>signed and witnessed.</w:t>
      </w:r>
      <w:r w:rsidR="004E4582">
        <w:rPr>
          <w:rStyle w:val="FootnoteReference"/>
          <w:rFonts w:ascii="Times New Roman" w:hAnsi="Times New Roman" w:cs="Times New Roman"/>
          <w:sz w:val="28"/>
          <w:szCs w:val="28"/>
        </w:rPr>
        <w:footnoteReference w:id="22"/>
      </w:r>
      <w:r>
        <w:rPr>
          <w:rFonts w:ascii="Times New Roman" w:hAnsi="Times New Roman" w:cs="Times New Roman"/>
          <w:sz w:val="28"/>
          <w:szCs w:val="28"/>
        </w:rPr>
        <w:t xml:space="preserve">  </w:t>
      </w:r>
      <w:r w:rsidR="00B20214">
        <w:rPr>
          <w:rFonts w:ascii="Times New Roman" w:hAnsi="Times New Roman" w:cs="Times New Roman"/>
          <w:sz w:val="28"/>
          <w:szCs w:val="28"/>
        </w:rPr>
        <w:t xml:space="preserve">Evidently the input of the bond registering attorney was not obtained to explain how a document ancillary to the bond registration documents had left the offices of Bellingham Muller Attorneys who no doubt and according to clause 16 of the surety which I highlighted above required it as the bank’s agent to seek the necessary confirmation of compliance from the principal surety and her spouse, the complainant.  Conversely, if the respondent was going to be stepping into a colleagues’ shoes and relieving that firm of their obligations to their client (Standard Bank) it would have been a particularly good place for the applicant to begin in their investigations.  It remains unknown, for example, how the deed left their office, under what circumstances, who returned it and what did the return yield?  Was the surety which the complainant availed to the CLS the one prepared by the bond registering attorney and more significantly, was it the one finally presented to Standard Bank as the final executed deed?  Where and under what circumstances the power of attorney to register the bond was signed and who witnessed it?  Perhaps </w:t>
      </w:r>
      <w:r w:rsidR="00B20214">
        <w:rPr>
          <w:rFonts w:ascii="Times New Roman" w:hAnsi="Times New Roman" w:cs="Times New Roman"/>
          <w:sz w:val="28"/>
          <w:szCs w:val="28"/>
        </w:rPr>
        <w:lastRenderedPageBreak/>
        <w:t xml:space="preserve">that document too accompanied the surety when the </w:t>
      </w:r>
      <w:r w:rsidR="009B64FE">
        <w:rPr>
          <w:rFonts w:ascii="Times New Roman" w:hAnsi="Times New Roman" w:cs="Times New Roman"/>
          <w:sz w:val="28"/>
          <w:szCs w:val="28"/>
        </w:rPr>
        <w:t>respondent attested to the signature on it.  There must have been a good reason why Bellingham Muller released the documentation to the respondent’s mother.</w:t>
      </w:r>
    </w:p>
    <w:p w14:paraId="22EC287E" w14:textId="77777777" w:rsidR="009B64FE" w:rsidRDefault="009B64FE" w:rsidP="009B64FE">
      <w:pPr>
        <w:pStyle w:val="ListParagraph"/>
        <w:spacing w:line="360" w:lineRule="auto"/>
        <w:ind w:left="0"/>
        <w:jc w:val="both"/>
        <w:rPr>
          <w:rFonts w:ascii="Times New Roman" w:hAnsi="Times New Roman" w:cs="Times New Roman"/>
          <w:sz w:val="28"/>
          <w:szCs w:val="28"/>
        </w:rPr>
      </w:pPr>
    </w:p>
    <w:p w14:paraId="5EF1A990" w14:textId="112132C4" w:rsidR="009B64FE" w:rsidRDefault="009B64FE" w:rsidP="00A7094B">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It is also not clear to me that he took the steps that a professional person in his opinion would have when confronted with the complaint.  To the contrary as I said above he seemed to miss the significance of his professional misconduct.</w:t>
      </w:r>
    </w:p>
    <w:p w14:paraId="7B5AC4C7" w14:textId="77777777" w:rsidR="009B64FE" w:rsidRPr="009B64FE" w:rsidRDefault="009B64FE" w:rsidP="009B64FE">
      <w:pPr>
        <w:pStyle w:val="ListParagraph"/>
        <w:rPr>
          <w:rFonts w:ascii="Times New Roman" w:hAnsi="Times New Roman" w:cs="Times New Roman"/>
          <w:sz w:val="28"/>
          <w:szCs w:val="28"/>
        </w:rPr>
      </w:pPr>
    </w:p>
    <w:p w14:paraId="41A53E7B" w14:textId="64B89D6E" w:rsidR="009B64FE" w:rsidRPr="004C1912" w:rsidRDefault="009B64FE" w:rsidP="00A7094B">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first and foremost step he should have taken would have been to get to the bottom of how his office could have been abused in all the circumstances.  He did not take the complaint at face value, dismissing it instead as a nuisance.  Even when he was advised of the outcome of the police investigation this did not inspire him to conduct any form of introspection. </w:t>
      </w:r>
    </w:p>
    <w:p w14:paraId="4916E5C2" w14:textId="3BBE0379" w:rsidR="00187995" w:rsidRDefault="00187995" w:rsidP="00187995">
      <w:pPr>
        <w:pStyle w:val="ListParagraph"/>
        <w:rPr>
          <w:rFonts w:ascii="Times New Roman" w:hAnsi="Times New Roman" w:cs="Times New Roman"/>
          <w:sz w:val="28"/>
          <w:szCs w:val="28"/>
        </w:rPr>
      </w:pPr>
    </w:p>
    <w:p w14:paraId="7CF063F3" w14:textId="38705A39" w:rsidR="004A3045" w:rsidRPr="00F46DE6" w:rsidRDefault="009B64FE" w:rsidP="00F46DE6">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Another importance question which begs itself is, as was highlighted by the court in </w:t>
      </w:r>
      <w:r w:rsidRPr="009B64FE">
        <w:rPr>
          <w:rFonts w:ascii="Times New Roman" w:hAnsi="Times New Roman" w:cs="Times New Roman"/>
          <w:i/>
          <w:iCs/>
          <w:sz w:val="28"/>
          <w:szCs w:val="28"/>
        </w:rPr>
        <w:t>Craddock</w:t>
      </w:r>
      <w:r>
        <w:rPr>
          <w:rFonts w:ascii="Times New Roman" w:hAnsi="Times New Roman" w:cs="Times New Roman"/>
          <w:sz w:val="28"/>
          <w:szCs w:val="28"/>
        </w:rPr>
        <w:t>, is what investigations the bank itself undertook, if any, to investigate the significant</w:t>
      </w:r>
      <w:r w:rsidR="00F46DE6">
        <w:rPr>
          <w:rFonts w:ascii="Times New Roman" w:hAnsi="Times New Roman" w:cs="Times New Roman"/>
          <w:sz w:val="28"/>
          <w:szCs w:val="28"/>
        </w:rPr>
        <w:t xml:space="preserve"> breach of their security and the integrity of their documentation.  Is the bank even aware of the complaint?</w:t>
      </w:r>
    </w:p>
    <w:p w14:paraId="0398187F" w14:textId="47724776" w:rsidR="004A3045" w:rsidRDefault="004A3045" w:rsidP="00187995">
      <w:pPr>
        <w:pStyle w:val="ListParagraph"/>
        <w:rPr>
          <w:rFonts w:ascii="Times New Roman" w:hAnsi="Times New Roman" w:cs="Times New Roman"/>
          <w:sz w:val="28"/>
          <w:szCs w:val="28"/>
        </w:rPr>
      </w:pPr>
    </w:p>
    <w:p w14:paraId="0E792C88" w14:textId="70B0AB5C" w:rsidR="001E11C1" w:rsidRDefault="004A3045"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It is ap</w:t>
      </w:r>
      <w:r w:rsidR="00C60342">
        <w:rPr>
          <w:rFonts w:ascii="Times New Roman" w:hAnsi="Times New Roman" w:cs="Times New Roman"/>
          <w:sz w:val="28"/>
          <w:szCs w:val="28"/>
        </w:rPr>
        <w:t xml:space="preserve">posite to mention the respondent’s reply in these proceedings </w:t>
      </w:r>
      <w:r w:rsidR="008C49B6" w:rsidRPr="00187995">
        <w:rPr>
          <w:rFonts w:ascii="Times New Roman" w:hAnsi="Times New Roman" w:cs="Times New Roman"/>
          <w:sz w:val="28"/>
          <w:szCs w:val="28"/>
        </w:rPr>
        <w:t xml:space="preserve">to the allegations of unprofessional conduct: </w:t>
      </w:r>
    </w:p>
    <w:p w14:paraId="59AE03D8" w14:textId="77777777" w:rsidR="001E11C1" w:rsidRPr="001E11C1" w:rsidRDefault="001E11C1" w:rsidP="001E11C1">
      <w:pPr>
        <w:pStyle w:val="ListParagraph"/>
        <w:rPr>
          <w:rFonts w:ascii="Times New Roman" w:hAnsi="Times New Roman" w:cs="Times New Roman"/>
          <w:sz w:val="28"/>
          <w:szCs w:val="28"/>
        </w:rPr>
      </w:pPr>
    </w:p>
    <w:p w14:paraId="03D65648" w14:textId="49421D5D" w:rsidR="00187995" w:rsidRPr="001E11C1" w:rsidRDefault="008C49B6" w:rsidP="00942833">
      <w:pPr>
        <w:pStyle w:val="ListParagraph"/>
        <w:spacing w:line="240" w:lineRule="auto"/>
        <w:jc w:val="both"/>
        <w:rPr>
          <w:rFonts w:ascii="Times New Roman" w:hAnsi="Times New Roman" w:cs="Times New Roman"/>
          <w:sz w:val="24"/>
          <w:szCs w:val="24"/>
        </w:rPr>
      </w:pPr>
      <w:r w:rsidRPr="00187995">
        <w:rPr>
          <w:rFonts w:ascii="Times New Roman" w:hAnsi="Times New Roman" w:cs="Times New Roman"/>
          <w:sz w:val="28"/>
          <w:szCs w:val="28"/>
        </w:rPr>
        <w:t>“</w:t>
      </w:r>
      <w:r w:rsidRPr="001E11C1">
        <w:rPr>
          <w:rFonts w:ascii="Times New Roman" w:hAnsi="Times New Roman" w:cs="Times New Roman"/>
          <w:sz w:val="24"/>
          <w:szCs w:val="24"/>
        </w:rPr>
        <w:t>I deny that I failed to give a satisfactory response. I responded to the allegations honestly and factually as best I could. I categorically state that I was not aware that the signature was allegedly forged, however cannot remember that I witnessed the signature in the absence of the Complainant. I can categorically state that I had no knowledge that the suretyship contained a forged signature (if indeed the signature is forged).</w:t>
      </w:r>
      <w:r w:rsidR="00F46DE6">
        <w:rPr>
          <w:rStyle w:val="FootnoteReference"/>
          <w:rFonts w:ascii="Times New Roman" w:hAnsi="Times New Roman" w:cs="Times New Roman"/>
          <w:sz w:val="24"/>
          <w:szCs w:val="24"/>
        </w:rPr>
        <w:footnoteReference w:id="23"/>
      </w:r>
      <w:r w:rsidRPr="001E11C1">
        <w:rPr>
          <w:rFonts w:ascii="Times New Roman" w:hAnsi="Times New Roman" w:cs="Times New Roman"/>
          <w:sz w:val="24"/>
          <w:szCs w:val="24"/>
        </w:rPr>
        <w:t xml:space="preserve"> Having regard </w:t>
      </w:r>
      <w:r w:rsidRPr="001E11C1">
        <w:rPr>
          <w:rFonts w:ascii="Times New Roman" w:hAnsi="Times New Roman" w:cs="Times New Roman"/>
          <w:sz w:val="24"/>
          <w:szCs w:val="24"/>
        </w:rPr>
        <w:lastRenderedPageBreak/>
        <w:t xml:space="preserve">to the close relationship with my mother (and previously the </w:t>
      </w:r>
      <w:r w:rsidR="00FE673A" w:rsidRPr="001E11C1">
        <w:rPr>
          <w:rFonts w:ascii="Times New Roman" w:hAnsi="Times New Roman" w:cs="Times New Roman"/>
          <w:sz w:val="24"/>
          <w:szCs w:val="24"/>
        </w:rPr>
        <w:t>c</w:t>
      </w:r>
      <w:r w:rsidRPr="001E11C1">
        <w:rPr>
          <w:rFonts w:ascii="Times New Roman" w:hAnsi="Times New Roman" w:cs="Times New Roman"/>
          <w:sz w:val="24"/>
          <w:szCs w:val="24"/>
        </w:rPr>
        <w:t>omplainant as well), there was no reason for me to doubt that documents brought to me for witnessing by my mother were anything but genuine signatures. I submit that such an infraction does not deserve a striking from the roll, particularly if one has regard to the relationship that existed. I accordingly dispute that a striking off is appropriate.”</w:t>
      </w:r>
    </w:p>
    <w:p w14:paraId="1C28A301" w14:textId="77777777" w:rsidR="00187995" w:rsidRPr="00187995" w:rsidRDefault="00187995" w:rsidP="00187995">
      <w:pPr>
        <w:pStyle w:val="ListParagraph"/>
        <w:rPr>
          <w:rFonts w:ascii="Times New Roman" w:hAnsi="Times New Roman" w:cs="Times New Roman"/>
          <w:sz w:val="28"/>
          <w:szCs w:val="28"/>
        </w:rPr>
      </w:pPr>
    </w:p>
    <w:p w14:paraId="10D9B372" w14:textId="77777777" w:rsidR="00187995" w:rsidRPr="00187995" w:rsidRDefault="00187995" w:rsidP="00187995">
      <w:pPr>
        <w:pStyle w:val="ListParagraph"/>
        <w:rPr>
          <w:rFonts w:ascii="Times New Roman" w:hAnsi="Times New Roman" w:cs="Times New Roman"/>
          <w:sz w:val="28"/>
          <w:szCs w:val="28"/>
        </w:rPr>
      </w:pPr>
    </w:p>
    <w:p w14:paraId="732B1566" w14:textId="600F2DF9" w:rsidR="00DE4AC7" w:rsidRDefault="001E11C1" w:rsidP="003D7B6C">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W</w:t>
      </w:r>
      <w:r w:rsidR="00C327CD" w:rsidRPr="00187995">
        <w:rPr>
          <w:rFonts w:ascii="Times New Roman" w:hAnsi="Times New Roman" w:cs="Times New Roman"/>
          <w:sz w:val="28"/>
          <w:szCs w:val="28"/>
        </w:rPr>
        <w:t>hatever the applicant and the C</w:t>
      </w:r>
      <w:r w:rsidR="00150B58">
        <w:rPr>
          <w:rFonts w:ascii="Times New Roman" w:hAnsi="Times New Roman" w:cs="Times New Roman"/>
          <w:sz w:val="28"/>
          <w:szCs w:val="28"/>
        </w:rPr>
        <w:t>LS</w:t>
      </w:r>
      <w:r w:rsidR="00C327CD" w:rsidRPr="00187995">
        <w:rPr>
          <w:rFonts w:ascii="Times New Roman" w:hAnsi="Times New Roman" w:cs="Times New Roman"/>
          <w:sz w:val="28"/>
          <w:szCs w:val="28"/>
        </w:rPr>
        <w:t xml:space="preserve"> before it had considered was the</w:t>
      </w:r>
      <w:r w:rsidR="00C60342">
        <w:rPr>
          <w:rFonts w:ascii="Times New Roman" w:hAnsi="Times New Roman" w:cs="Times New Roman"/>
          <w:sz w:val="28"/>
          <w:szCs w:val="28"/>
        </w:rPr>
        <w:t xml:space="preserve"> high water mark</w:t>
      </w:r>
      <w:r w:rsidR="004E4582">
        <w:rPr>
          <w:rFonts w:ascii="Times New Roman" w:hAnsi="Times New Roman" w:cs="Times New Roman"/>
          <w:sz w:val="28"/>
          <w:szCs w:val="28"/>
        </w:rPr>
        <w:t xml:space="preserve"> of the</w:t>
      </w:r>
      <w:r w:rsidR="00C327CD" w:rsidRPr="00187995">
        <w:rPr>
          <w:rFonts w:ascii="Times New Roman" w:hAnsi="Times New Roman" w:cs="Times New Roman"/>
          <w:sz w:val="28"/>
          <w:szCs w:val="28"/>
        </w:rPr>
        <w:t xml:space="preserve"> “offending conduct”</w:t>
      </w:r>
      <w:r w:rsidR="00CA3737" w:rsidRPr="00187995">
        <w:rPr>
          <w:rFonts w:ascii="Times New Roman" w:hAnsi="Times New Roman" w:cs="Times New Roman"/>
          <w:sz w:val="28"/>
          <w:szCs w:val="28"/>
        </w:rPr>
        <w:t xml:space="preserve">, </w:t>
      </w:r>
      <w:r w:rsidR="00833C48" w:rsidRPr="00187995">
        <w:rPr>
          <w:rFonts w:ascii="Times New Roman" w:hAnsi="Times New Roman" w:cs="Times New Roman"/>
          <w:sz w:val="28"/>
          <w:szCs w:val="28"/>
        </w:rPr>
        <w:t>Ms.</w:t>
      </w:r>
      <w:r w:rsidR="00CA3737" w:rsidRPr="00187995">
        <w:rPr>
          <w:rFonts w:ascii="Times New Roman" w:hAnsi="Times New Roman" w:cs="Times New Roman"/>
          <w:sz w:val="28"/>
          <w:szCs w:val="28"/>
        </w:rPr>
        <w:t xml:space="preserve"> Watt fairly conceded that the worst offence by the respondent’s conduct </w:t>
      </w:r>
      <w:r w:rsidR="00DF0FDB" w:rsidRPr="00187995">
        <w:rPr>
          <w:rFonts w:ascii="Times New Roman" w:hAnsi="Times New Roman" w:cs="Times New Roman"/>
          <w:sz w:val="28"/>
          <w:szCs w:val="28"/>
        </w:rPr>
        <w:t xml:space="preserve">that could be established </w:t>
      </w:r>
      <w:r w:rsidR="004E4582">
        <w:rPr>
          <w:rFonts w:ascii="Times New Roman" w:hAnsi="Times New Roman" w:cs="Times New Roman"/>
          <w:sz w:val="28"/>
          <w:szCs w:val="28"/>
        </w:rPr>
        <w:t xml:space="preserve">from the evidence </w:t>
      </w:r>
      <w:r w:rsidR="00DF0FDB" w:rsidRPr="00187995">
        <w:rPr>
          <w:rFonts w:ascii="Times New Roman" w:hAnsi="Times New Roman" w:cs="Times New Roman"/>
          <w:sz w:val="28"/>
          <w:szCs w:val="28"/>
        </w:rPr>
        <w:t>on a balance of probabilities was that he has attested to the complainant’s signature</w:t>
      </w:r>
      <w:r w:rsidR="00F46DE6">
        <w:rPr>
          <w:rFonts w:ascii="Times New Roman" w:hAnsi="Times New Roman" w:cs="Times New Roman"/>
          <w:sz w:val="28"/>
          <w:szCs w:val="28"/>
        </w:rPr>
        <w:t xml:space="preserve"> purported in </w:t>
      </w:r>
      <w:r w:rsidR="00DF0FDB" w:rsidRPr="00187995">
        <w:rPr>
          <w:rFonts w:ascii="Times New Roman" w:hAnsi="Times New Roman" w:cs="Times New Roman"/>
          <w:sz w:val="28"/>
          <w:szCs w:val="28"/>
        </w:rPr>
        <w:t>clear circumstances where</w:t>
      </w:r>
      <w:r w:rsidR="00F46DE6">
        <w:rPr>
          <w:rFonts w:ascii="Times New Roman" w:hAnsi="Times New Roman" w:cs="Times New Roman"/>
          <w:sz w:val="28"/>
          <w:szCs w:val="28"/>
        </w:rPr>
        <w:t xml:space="preserve"> he was absent</w:t>
      </w:r>
      <w:r w:rsidR="003D7B6C">
        <w:rPr>
          <w:rFonts w:ascii="Times New Roman" w:hAnsi="Times New Roman" w:cs="Times New Roman"/>
          <w:sz w:val="28"/>
          <w:szCs w:val="28"/>
        </w:rPr>
        <w:t xml:space="preserve">.  He had to be if once he accepts that the purported signature was not his own. </w:t>
      </w:r>
      <w:r w:rsidR="00CC3F2F">
        <w:rPr>
          <w:rFonts w:ascii="Times New Roman" w:hAnsi="Times New Roman" w:cs="Times New Roman"/>
          <w:sz w:val="28"/>
          <w:szCs w:val="28"/>
        </w:rPr>
        <w:t>S</w:t>
      </w:r>
      <w:r w:rsidR="00CC3F2F" w:rsidRPr="00187995">
        <w:rPr>
          <w:rFonts w:ascii="Times New Roman" w:hAnsi="Times New Roman" w:cs="Times New Roman"/>
          <w:sz w:val="28"/>
          <w:szCs w:val="28"/>
        </w:rPr>
        <w:t>he conceded that there was no reason to believe that he would have signed as a witness to the suretyship knowing that the complainant’s signature was a forger</w:t>
      </w:r>
      <w:r w:rsidR="001456B2">
        <w:rPr>
          <w:rFonts w:ascii="Times New Roman" w:hAnsi="Times New Roman" w:cs="Times New Roman"/>
          <w:sz w:val="28"/>
          <w:szCs w:val="28"/>
        </w:rPr>
        <w:t>y</w:t>
      </w:r>
      <w:r w:rsidR="001B0AB4">
        <w:rPr>
          <w:rFonts w:ascii="Times New Roman" w:hAnsi="Times New Roman" w:cs="Times New Roman"/>
          <w:sz w:val="28"/>
          <w:szCs w:val="28"/>
        </w:rPr>
        <w:t xml:space="preserve">. </w:t>
      </w:r>
    </w:p>
    <w:p w14:paraId="4163955B" w14:textId="77777777" w:rsidR="003D7B6C" w:rsidRPr="00DE4AC7" w:rsidRDefault="003D7B6C" w:rsidP="003D7B6C">
      <w:pPr>
        <w:pStyle w:val="ListParagraph"/>
        <w:spacing w:line="360" w:lineRule="auto"/>
        <w:ind w:left="0"/>
        <w:jc w:val="both"/>
        <w:rPr>
          <w:rFonts w:ascii="Times New Roman" w:hAnsi="Times New Roman" w:cs="Times New Roman"/>
          <w:sz w:val="28"/>
          <w:szCs w:val="28"/>
        </w:rPr>
      </w:pPr>
    </w:p>
    <w:p w14:paraId="780004C4" w14:textId="693DF022" w:rsidR="00DE4AC7" w:rsidRDefault="003D7B6C" w:rsidP="003D7B6C">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Whilst I accept that the evidence does not establish dishonesty on his part the CLS finding of unprofessional conduct is certainly justified on the papers.  Indeed the respondent has made peace with this although it was contended on his behalf by Mr. Manca who appeared for him that such misconduct is not serious enough to warrant the extreme penalty of striking off or even the sanction of a suspended sentence with conditions which the applicant raises for consideration by this court.  Quite contrary to the view of the applicant that his unwitting attestation of a false signature on the deed remains a serious infraction with its own and negative features, the respondent contents that a reprimand is an appropriate sanction.  …….</w:t>
      </w:r>
    </w:p>
    <w:p w14:paraId="075EF794" w14:textId="61DD2C44" w:rsidR="003D7B6C" w:rsidRDefault="003D7B6C" w:rsidP="003D7B6C">
      <w:pPr>
        <w:pStyle w:val="ListParagraph"/>
        <w:rPr>
          <w:rFonts w:ascii="Times New Roman" w:hAnsi="Times New Roman" w:cs="Times New Roman"/>
          <w:sz w:val="28"/>
          <w:szCs w:val="28"/>
        </w:rPr>
      </w:pPr>
    </w:p>
    <w:p w14:paraId="7005500B" w14:textId="77777777" w:rsidR="006D1AD5" w:rsidRDefault="0065279E" w:rsidP="006D1AD5">
      <w:pPr>
        <w:pStyle w:val="ListParagraph"/>
        <w:jc w:val="both"/>
        <w:rPr>
          <w:rFonts w:ascii="Times New Roman" w:hAnsi="Times New Roman" w:cs="Times New Roman"/>
          <w:sz w:val="28"/>
          <w:szCs w:val="28"/>
        </w:rPr>
      </w:pPr>
      <w:r w:rsidRPr="006D1AD5">
        <w:rPr>
          <w:rFonts w:ascii="Times New Roman" w:hAnsi="Times New Roman" w:cs="Times New Roman"/>
          <w:sz w:val="24"/>
          <w:szCs w:val="24"/>
        </w:rPr>
        <w:t xml:space="preserve">“The conduct complained of, that the Respondent signed as a witness in the absence of the signatory, has then been established on a balance of probabilities.  </w:t>
      </w:r>
      <w:r w:rsidR="006D1AD5" w:rsidRPr="006D1AD5">
        <w:rPr>
          <w:rFonts w:ascii="Times New Roman" w:hAnsi="Times New Roman" w:cs="Times New Roman"/>
          <w:sz w:val="24"/>
          <w:szCs w:val="24"/>
        </w:rPr>
        <w:t xml:space="preserve">As stated in the minority </w:t>
      </w:r>
      <w:r w:rsidR="006D1AD5" w:rsidRPr="006D1AD5">
        <w:rPr>
          <w:rFonts w:ascii="Times New Roman" w:hAnsi="Times New Roman" w:cs="Times New Roman"/>
          <w:sz w:val="24"/>
          <w:szCs w:val="24"/>
        </w:rPr>
        <w:lastRenderedPageBreak/>
        <w:t xml:space="preserve">judgment in the Craddock matter regarding such conduct “it is reflective of a legal practitioner willing to bend the rules and operate unethically in certain circumstances, based on the identity of the parties to transactions before her and courtesy of her own personal relationship with the role-players.  This is unacceptable and worthy of censure.”   </w:t>
      </w:r>
    </w:p>
    <w:p w14:paraId="7CF81C31" w14:textId="48EE10BF" w:rsidR="0065279E" w:rsidRPr="006D1AD5" w:rsidRDefault="006D1AD5" w:rsidP="006D1AD5">
      <w:pPr>
        <w:pStyle w:val="ListParagraph"/>
        <w:jc w:val="both"/>
        <w:rPr>
          <w:rFonts w:ascii="Times New Roman" w:hAnsi="Times New Roman" w:cs="Times New Roman"/>
          <w:sz w:val="28"/>
          <w:szCs w:val="28"/>
        </w:rPr>
      </w:pPr>
      <w:r w:rsidRPr="006D1AD5">
        <w:rPr>
          <w:rFonts w:ascii="Times New Roman" w:hAnsi="Times New Roman" w:cs="Times New Roman"/>
          <w:sz w:val="28"/>
          <w:szCs w:val="28"/>
        </w:rPr>
        <w:t xml:space="preserve">                     </w:t>
      </w:r>
    </w:p>
    <w:p w14:paraId="25F65F6B" w14:textId="356B9688" w:rsidR="00553CE8" w:rsidRDefault="00553CE8"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 disagree.  A valid deed of suretyship is one that must be embodied in a written document signed by or on behalf of the surety.</w:t>
      </w:r>
      <w:r>
        <w:rPr>
          <w:rStyle w:val="FootnoteReference"/>
          <w:rFonts w:ascii="Times New Roman" w:hAnsi="Times New Roman" w:cs="Times New Roman"/>
          <w:sz w:val="28"/>
          <w:szCs w:val="28"/>
        </w:rPr>
        <w:footnoteReference w:id="24"/>
      </w:r>
      <w:r>
        <w:rPr>
          <w:rFonts w:ascii="Times New Roman" w:hAnsi="Times New Roman" w:cs="Times New Roman"/>
          <w:sz w:val="28"/>
          <w:szCs w:val="28"/>
        </w:rPr>
        <w:t xml:space="preserve">  A consent by a spouse also carries with it the unique requirement that it be attested by two competent witnesses.</w:t>
      </w:r>
      <w:r>
        <w:rPr>
          <w:rStyle w:val="FootnoteReference"/>
          <w:rFonts w:ascii="Times New Roman" w:hAnsi="Times New Roman" w:cs="Times New Roman"/>
          <w:sz w:val="28"/>
          <w:szCs w:val="28"/>
        </w:rPr>
        <w:footnoteReference w:id="25"/>
      </w:r>
    </w:p>
    <w:p w14:paraId="2B0DDAFF" w14:textId="77777777" w:rsidR="00553CE8" w:rsidRPr="00553CE8" w:rsidRDefault="00553CE8" w:rsidP="00553CE8">
      <w:pPr>
        <w:pStyle w:val="ListParagraph"/>
        <w:rPr>
          <w:rFonts w:ascii="Times New Roman" w:hAnsi="Times New Roman" w:cs="Times New Roman"/>
          <w:sz w:val="28"/>
          <w:szCs w:val="28"/>
        </w:rPr>
      </w:pPr>
    </w:p>
    <w:p w14:paraId="7B7AA4B6" w14:textId="18333FD4" w:rsidR="00553CE8" w:rsidRDefault="00553CE8"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Both ought to be signed in the signatory’s presence because the very act of attesting to the signature is to provide evidentiary</w:t>
      </w:r>
      <w:r w:rsidR="00E626CE">
        <w:rPr>
          <w:rFonts w:ascii="Times New Roman" w:hAnsi="Times New Roman" w:cs="Times New Roman"/>
          <w:sz w:val="28"/>
          <w:szCs w:val="28"/>
        </w:rPr>
        <w:t xml:space="preserve"> support in case there is a dispute about who signs and more significantly, to protect against forgery.</w:t>
      </w:r>
    </w:p>
    <w:p w14:paraId="69FC4C46" w14:textId="77777777" w:rsidR="00E626CE" w:rsidRPr="00E626CE" w:rsidRDefault="00E626CE" w:rsidP="00E626CE">
      <w:pPr>
        <w:pStyle w:val="ListParagraph"/>
        <w:rPr>
          <w:rFonts w:ascii="Times New Roman" w:hAnsi="Times New Roman" w:cs="Times New Roman"/>
          <w:sz w:val="28"/>
          <w:szCs w:val="28"/>
        </w:rPr>
      </w:pPr>
    </w:p>
    <w:p w14:paraId="012455CD" w14:textId="77266A3D" w:rsidR="00E626CE" w:rsidRDefault="00E626CE"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 person who purports to serve as a witness to a legal document verifies that the signature on the document belongs to that signatory.  By attesting thereto such a person recognizes that he may be called upon later to testify in court that the person who signed his name on the legal document did so in his/her presence.</w:t>
      </w:r>
    </w:p>
    <w:p w14:paraId="3BD4C4EE" w14:textId="77777777" w:rsidR="00E626CE" w:rsidRPr="00E626CE" w:rsidRDefault="00E626CE" w:rsidP="00E626CE">
      <w:pPr>
        <w:pStyle w:val="ListParagraph"/>
        <w:rPr>
          <w:rFonts w:ascii="Times New Roman" w:hAnsi="Times New Roman" w:cs="Times New Roman"/>
          <w:sz w:val="28"/>
          <w:szCs w:val="28"/>
        </w:rPr>
      </w:pPr>
    </w:p>
    <w:p w14:paraId="17C6AC82" w14:textId="085B746F" w:rsidR="00E626CE" w:rsidRDefault="00E626CE"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It may well be excusable in unique circumstances but not desirable for a person who recognizes the signature of the signatory to verify it after the fact and in the absence of seeing this party signing if he is familiar with that person’s signature.  If the surety has given someone the authority to sign in his place a witness will no doubt want to see and examine that authority and thereupon would vouch for the signature of the proxy instead.</w:t>
      </w:r>
    </w:p>
    <w:p w14:paraId="71450F3C" w14:textId="77777777" w:rsidR="00E626CE" w:rsidRPr="00E626CE" w:rsidRDefault="00E626CE" w:rsidP="00E626CE">
      <w:pPr>
        <w:pStyle w:val="ListParagraph"/>
        <w:rPr>
          <w:rFonts w:ascii="Times New Roman" w:hAnsi="Times New Roman" w:cs="Times New Roman"/>
          <w:sz w:val="28"/>
          <w:szCs w:val="28"/>
        </w:rPr>
      </w:pPr>
    </w:p>
    <w:p w14:paraId="378E8304" w14:textId="05AF844E" w:rsidR="00E626CE" w:rsidRDefault="00E626CE"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Ideally a witness to any agreement and here I speak of an ordinary citizen should also not have any personal interest in the document he signs in this capacity because a conflict may arise if he has to testify about it later on.</w:t>
      </w:r>
    </w:p>
    <w:p w14:paraId="1AB46473" w14:textId="77777777" w:rsidR="00E626CE" w:rsidRPr="00E626CE" w:rsidRDefault="00E626CE" w:rsidP="00E626CE">
      <w:pPr>
        <w:pStyle w:val="ListParagraph"/>
        <w:rPr>
          <w:rFonts w:ascii="Times New Roman" w:hAnsi="Times New Roman" w:cs="Times New Roman"/>
          <w:sz w:val="28"/>
          <w:szCs w:val="28"/>
        </w:rPr>
      </w:pPr>
    </w:p>
    <w:p w14:paraId="39736347" w14:textId="23F099BD" w:rsidR="00E626CE" w:rsidRDefault="00E626CE"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It is more compelling when a notary public and conveyancer, on whose signature a high value and import is placed, signs as a witness to a legal document.  In this instance the fact of the related sale transaction and relationship with the parties expected to sign should have been a red flag to a qualified legal practitioner to not get involved.</w:t>
      </w:r>
      <w:r>
        <w:rPr>
          <w:rStyle w:val="FootnoteReference"/>
          <w:rFonts w:ascii="Times New Roman" w:hAnsi="Times New Roman" w:cs="Times New Roman"/>
          <w:sz w:val="28"/>
          <w:szCs w:val="28"/>
        </w:rPr>
        <w:footnoteReference w:id="26"/>
      </w:r>
    </w:p>
    <w:p w14:paraId="14ED4383" w14:textId="77777777" w:rsidR="004D61D8" w:rsidRPr="004D61D8" w:rsidRDefault="004D61D8" w:rsidP="004D61D8">
      <w:pPr>
        <w:pStyle w:val="ListParagraph"/>
        <w:rPr>
          <w:rFonts w:ascii="Times New Roman" w:hAnsi="Times New Roman" w:cs="Times New Roman"/>
          <w:sz w:val="28"/>
          <w:szCs w:val="28"/>
        </w:rPr>
      </w:pPr>
    </w:p>
    <w:p w14:paraId="6046BDD3" w14:textId="4DF818A0" w:rsidR="004D61D8" w:rsidRDefault="004D61D8"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 notary public and trained conveyancer would also have been acutely aware of the hazards and opportunity of fraud if the basic pre-requisite was dispensed with for convenience in any situation.</w:t>
      </w:r>
    </w:p>
    <w:p w14:paraId="399AE691" w14:textId="77777777" w:rsidR="004D61D8" w:rsidRPr="004D61D8" w:rsidRDefault="004D61D8" w:rsidP="004D61D8">
      <w:pPr>
        <w:pStyle w:val="ListParagraph"/>
        <w:rPr>
          <w:rFonts w:ascii="Times New Roman" w:hAnsi="Times New Roman" w:cs="Times New Roman"/>
          <w:sz w:val="28"/>
          <w:szCs w:val="28"/>
        </w:rPr>
      </w:pPr>
    </w:p>
    <w:p w14:paraId="41D593FB" w14:textId="2858818A" w:rsidR="004D61D8" w:rsidRDefault="004D61D8"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Indeed observed as was by the minority court in </w:t>
      </w:r>
      <w:r w:rsidRPr="006D1AD5">
        <w:rPr>
          <w:rFonts w:ascii="Times New Roman" w:hAnsi="Times New Roman" w:cs="Times New Roman"/>
          <w:i/>
          <w:iCs/>
          <w:sz w:val="28"/>
          <w:szCs w:val="28"/>
        </w:rPr>
        <w:t>Craddock</w:t>
      </w:r>
      <w:r>
        <w:rPr>
          <w:rFonts w:ascii="Times New Roman" w:hAnsi="Times New Roman" w:cs="Times New Roman"/>
          <w:sz w:val="28"/>
          <w:szCs w:val="28"/>
        </w:rPr>
        <w:t>:</w:t>
      </w:r>
    </w:p>
    <w:p w14:paraId="2DBF9782" w14:textId="09B1A2C1" w:rsidR="006D1AD5" w:rsidRPr="006D1AD5" w:rsidRDefault="006D1AD5" w:rsidP="00E15A1E">
      <w:pPr>
        <w:spacing w:line="240" w:lineRule="auto"/>
        <w:ind w:left="720"/>
        <w:contextualSpacing/>
        <w:jc w:val="both"/>
        <w:rPr>
          <w:rFonts w:ascii="Times New Roman" w:hAnsi="Times New Roman" w:cs="Times New Roman"/>
          <w:sz w:val="24"/>
          <w:szCs w:val="24"/>
        </w:rPr>
      </w:pPr>
      <w:r w:rsidRPr="006D1AD5">
        <w:rPr>
          <w:rFonts w:ascii="Times New Roman" w:hAnsi="Times New Roman" w:cs="Times New Roman"/>
          <w:sz w:val="24"/>
          <w:szCs w:val="24"/>
        </w:rPr>
        <w:t xml:space="preserve">“most probable inference on the evidence is that the respondent devised and implemented a scheme in terms of which his firm rewarded the estate agencies for the referral of conveyancing work.  Taken as a whole, the evidence establishes on a clear balance of probabilities that the respondent </w:t>
      </w:r>
      <w:r w:rsidRPr="006D1AD5">
        <w:rPr>
          <w:rFonts w:ascii="Times New Roman" w:hAnsi="Times New Roman" w:cs="Times New Roman"/>
          <w:b/>
          <w:sz w:val="24"/>
          <w:szCs w:val="24"/>
          <w:u w:val="single"/>
        </w:rPr>
        <w:t>in fact</w:t>
      </w:r>
      <w:r w:rsidRPr="006D1AD5">
        <w:rPr>
          <w:rFonts w:ascii="Times New Roman" w:hAnsi="Times New Roman" w:cs="Times New Roman"/>
          <w:sz w:val="24"/>
          <w:szCs w:val="24"/>
        </w:rPr>
        <w:t xml:space="preserve"> secured conveyancing work that was solicited by the agencies as a result of their marketing agreements and the understanding with regard to payment.  This clearly constitutes the “soliciting” of professional work within the meaning of Rule 14.6.1.1.  The respondent accordingly breached the said Rule and is guilty of unprofessional conduct in respect of both the charges leveled against him.”</w:t>
      </w:r>
    </w:p>
    <w:p w14:paraId="19AD7990" w14:textId="0021DA47" w:rsidR="004D61D8" w:rsidRDefault="004D61D8" w:rsidP="004D61D8">
      <w:pPr>
        <w:pStyle w:val="ListParagraph"/>
        <w:spacing w:line="360" w:lineRule="auto"/>
        <w:jc w:val="both"/>
        <w:rPr>
          <w:rFonts w:ascii="Times New Roman" w:hAnsi="Times New Roman" w:cs="Times New Roman"/>
          <w:sz w:val="28"/>
          <w:szCs w:val="28"/>
        </w:rPr>
      </w:pPr>
    </w:p>
    <w:p w14:paraId="60F6F467" w14:textId="7775A2E2" w:rsidR="004D61D8" w:rsidRDefault="00E15A1E"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w:t>
      </w:r>
      <w:r w:rsidR="004D61D8">
        <w:rPr>
          <w:rFonts w:ascii="Times New Roman" w:hAnsi="Times New Roman" w:cs="Times New Roman"/>
          <w:sz w:val="28"/>
          <w:szCs w:val="28"/>
        </w:rPr>
        <w:t xml:space="preserve"> qualified conveyancer would know better than to perfunctorily attest to signatures on a document prepared by a colleague which are of specific import requiring explanation (such as in envisaged by clause 16 of the deed).</w:t>
      </w:r>
    </w:p>
    <w:p w14:paraId="180BA171" w14:textId="198A1291" w:rsidR="00A5661F" w:rsidRDefault="00CC3F2F" w:rsidP="0018799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DE4AC7">
        <w:rPr>
          <w:rFonts w:ascii="Times New Roman" w:hAnsi="Times New Roman" w:cs="Times New Roman"/>
          <w:sz w:val="28"/>
          <w:szCs w:val="28"/>
        </w:rPr>
        <w:t xml:space="preserve">legal </w:t>
      </w:r>
      <w:r>
        <w:rPr>
          <w:rFonts w:ascii="Times New Roman" w:hAnsi="Times New Roman" w:cs="Times New Roman"/>
          <w:sz w:val="28"/>
          <w:szCs w:val="28"/>
        </w:rPr>
        <w:t>practitioner, especially one who is not attending to the registration</w:t>
      </w:r>
      <w:r w:rsidR="00DE4AC7">
        <w:rPr>
          <w:rFonts w:ascii="Times New Roman" w:hAnsi="Times New Roman" w:cs="Times New Roman"/>
          <w:sz w:val="28"/>
          <w:szCs w:val="28"/>
        </w:rPr>
        <w:t xml:space="preserve"> of a notarial bond</w:t>
      </w:r>
      <w:r>
        <w:rPr>
          <w:rFonts w:ascii="Times New Roman" w:hAnsi="Times New Roman" w:cs="Times New Roman"/>
          <w:sz w:val="28"/>
          <w:szCs w:val="28"/>
        </w:rPr>
        <w:t xml:space="preserve"> but finds himself attesting </w:t>
      </w:r>
      <w:r w:rsidR="00DE4AC7">
        <w:rPr>
          <w:rFonts w:ascii="Times New Roman" w:hAnsi="Times New Roman" w:cs="Times New Roman"/>
          <w:sz w:val="28"/>
          <w:szCs w:val="28"/>
        </w:rPr>
        <w:t>signatures to</w:t>
      </w:r>
      <w:r>
        <w:rPr>
          <w:rFonts w:ascii="Times New Roman" w:hAnsi="Times New Roman" w:cs="Times New Roman"/>
          <w:sz w:val="28"/>
          <w:szCs w:val="28"/>
        </w:rPr>
        <w:t xml:space="preserve"> a deed of s</w:t>
      </w:r>
      <w:r w:rsidR="00E06532">
        <w:rPr>
          <w:rFonts w:ascii="Times New Roman" w:hAnsi="Times New Roman" w:cs="Times New Roman"/>
          <w:sz w:val="28"/>
          <w:szCs w:val="28"/>
        </w:rPr>
        <w:t>uretyship</w:t>
      </w:r>
      <w:r>
        <w:rPr>
          <w:rFonts w:ascii="Times New Roman" w:hAnsi="Times New Roman" w:cs="Times New Roman"/>
          <w:sz w:val="28"/>
          <w:szCs w:val="28"/>
        </w:rPr>
        <w:t xml:space="preserve"> </w:t>
      </w:r>
      <w:r w:rsidR="00E06532">
        <w:rPr>
          <w:rFonts w:ascii="Times New Roman" w:hAnsi="Times New Roman" w:cs="Times New Roman"/>
          <w:sz w:val="28"/>
          <w:szCs w:val="28"/>
        </w:rPr>
        <w:t xml:space="preserve">related to </w:t>
      </w:r>
      <w:r w:rsidR="00DE4AC7">
        <w:rPr>
          <w:rFonts w:ascii="Times New Roman" w:hAnsi="Times New Roman" w:cs="Times New Roman"/>
          <w:sz w:val="28"/>
          <w:szCs w:val="28"/>
        </w:rPr>
        <w:t xml:space="preserve">a power of attorney to pass transfer </w:t>
      </w:r>
      <w:r>
        <w:rPr>
          <w:rFonts w:ascii="Times New Roman" w:hAnsi="Times New Roman" w:cs="Times New Roman"/>
          <w:sz w:val="28"/>
          <w:szCs w:val="28"/>
        </w:rPr>
        <w:t>that</w:t>
      </w:r>
      <w:r w:rsidR="00DE4AC7">
        <w:rPr>
          <w:rFonts w:ascii="Times New Roman" w:hAnsi="Times New Roman" w:cs="Times New Roman"/>
          <w:sz w:val="28"/>
          <w:szCs w:val="28"/>
        </w:rPr>
        <w:t xml:space="preserve"> a notarial bond</w:t>
      </w:r>
      <w:r>
        <w:rPr>
          <w:rFonts w:ascii="Times New Roman" w:hAnsi="Times New Roman" w:cs="Times New Roman"/>
          <w:sz w:val="28"/>
          <w:szCs w:val="28"/>
        </w:rPr>
        <w:t xml:space="preserve"> also</w:t>
      </w:r>
      <w:r w:rsidR="00DE4AC7">
        <w:rPr>
          <w:rFonts w:ascii="Times New Roman" w:hAnsi="Times New Roman" w:cs="Times New Roman"/>
          <w:sz w:val="28"/>
          <w:szCs w:val="28"/>
        </w:rPr>
        <w:t xml:space="preserve"> </w:t>
      </w:r>
      <w:r>
        <w:rPr>
          <w:rFonts w:ascii="Times New Roman" w:hAnsi="Times New Roman" w:cs="Times New Roman"/>
          <w:sz w:val="28"/>
          <w:szCs w:val="28"/>
        </w:rPr>
        <w:t xml:space="preserve">involves the interests of a spouse of a joint estate would in my view </w:t>
      </w:r>
      <w:r w:rsidR="00DE4AC7">
        <w:rPr>
          <w:rFonts w:ascii="Times New Roman" w:hAnsi="Times New Roman" w:cs="Times New Roman"/>
          <w:sz w:val="28"/>
          <w:szCs w:val="28"/>
        </w:rPr>
        <w:t xml:space="preserve">owe a duty coincidentally </w:t>
      </w:r>
      <w:r>
        <w:rPr>
          <w:rFonts w:ascii="Times New Roman" w:hAnsi="Times New Roman" w:cs="Times New Roman"/>
          <w:sz w:val="28"/>
          <w:szCs w:val="28"/>
        </w:rPr>
        <w:t xml:space="preserve">to be vigilant </w:t>
      </w:r>
      <w:r w:rsidR="00FF5FA5">
        <w:rPr>
          <w:rFonts w:ascii="Times New Roman" w:hAnsi="Times New Roman" w:cs="Times New Roman"/>
          <w:sz w:val="28"/>
          <w:szCs w:val="28"/>
        </w:rPr>
        <w:t xml:space="preserve">in explaining the significance of the </w:t>
      </w:r>
      <w:r w:rsidR="00E06532">
        <w:rPr>
          <w:rFonts w:ascii="Times New Roman" w:hAnsi="Times New Roman" w:cs="Times New Roman"/>
          <w:sz w:val="28"/>
          <w:szCs w:val="28"/>
        </w:rPr>
        <w:t xml:space="preserve">surety </w:t>
      </w:r>
      <w:r w:rsidR="006F0014">
        <w:rPr>
          <w:rFonts w:ascii="Times New Roman" w:hAnsi="Times New Roman" w:cs="Times New Roman"/>
          <w:sz w:val="28"/>
          <w:szCs w:val="28"/>
        </w:rPr>
        <w:t>commitment</w:t>
      </w:r>
      <w:r w:rsidR="00FF5FA5">
        <w:rPr>
          <w:rFonts w:ascii="Times New Roman" w:hAnsi="Times New Roman" w:cs="Times New Roman"/>
          <w:sz w:val="28"/>
          <w:szCs w:val="28"/>
        </w:rPr>
        <w:t xml:space="preserve"> and what the parties would be binding themselves to.  Such a practitioner would</w:t>
      </w:r>
      <w:r w:rsidR="00CF6FE0">
        <w:rPr>
          <w:rFonts w:ascii="Times New Roman" w:hAnsi="Times New Roman" w:cs="Times New Roman"/>
          <w:sz w:val="28"/>
          <w:szCs w:val="28"/>
        </w:rPr>
        <w:t xml:space="preserve"> therefore</w:t>
      </w:r>
      <w:r w:rsidR="00FF5FA5">
        <w:rPr>
          <w:rFonts w:ascii="Times New Roman" w:hAnsi="Times New Roman" w:cs="Times New Roman"/>
          <w:sz w:val="28"/>
          <w:szCs w:val="28"/>
        </w:rPr>
        <w:t xml:space="preserve"> insist on the parties being present before him/her unless the absent party has vouched for his authentic signature on some other basis or authorized another to sign the deed of suretyship on his behalf. </w:t>
      </w:r>
    </w:p>
    <w:p w14:paraId="38E64166" w14:textId="77777777" w:rsidR="004D61D8" w:rsidRDefault="004D61D8" w:rsidP="004D61D8">
      <w:pPr>
        <w:pStyle w:val="ListParagraph"/>
        <w:spacing w:line="360" w:lineRule="auto"/>
        <w:ind w:left="0"/>
        <w:jc w:val="both"/>
        <w:rPr>
          <w:rFonts w:ascii="Times New Roman" w:hAnsi="Times New Roman" w:cs="Times New Roman"/>
          <w:sz w:val="28"/>
          <w:szCs w:val="28"/>
        </w:rPr>
      </w:pPr>
    </w:p>
    <w:p w14:paraId="79291F04" w14:textId="251F1A3C" w:rsidR="00DE4AC7" w:rsidRDefault="00A22831" w:rsidP="00F34D56">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There can hardly be any quibble that a party attesting a formal suretyship such as the present one makes a statement to the world that the signatories </w:t>
      </w:r>
      <w:r w:rsidR="00A3794D">
        <w:rPr>
          <w:rFonts w:ascii="Times New Roman" w:hAnsi="Times New Roman" w:cs="Times New Roman"/>
          <w:sz w:val="28"/>
          <w:szCs w:val="28"/>
        </w:rPr>
        <w:t xml:space="preserve">have </w:t>
      </w:r>
      <w:r>
        <w:rPr>
          <w:rFonts w:ascii="Times New Roman" w:hAnsi="Times New Roman" w:cs="Times New Roman"/>
          <w:sz w:val="28"/>
          <w:szCs w:val="28"/>
        </w:rPr>
        <w:t xml:space="preserve">signed </w:t>
      </w:r>
      <w:r w:rsidR="00A3794D">
        <w:rPr>
          <w:rFonts w:ascii="Times New Roman" w:hAnsi="Times New Roman" w:cs="Times New Roman"/>
          <w:sz w:val="28"/>
          <w:szCs w:val="28"/>
        </w:rPr>
        <w:t xml:space="preserve">the deed </w:t>
      </w:r>
      <w:r>
        <w:rPr>
          <w:rFonts w:ascii="Times New Roman" w:hAnsi="Times New Roman" w:cs="Times New Roman"/>
          <w:sz w:val="28"/>
          <w:szCs w:val="28"/>
        </w:rPr>
        <w:t>in his presence</w:t>
      </w:r>
      <w:r w:rsidR="00DE4AC7">
        <w:rPr>
          <w:rFonts w:ascii="Times New Roman" w:hAnsi="Times New Roman" w:cs="Times New Roman"/>
          <w:sz w:val="28"/>
          <w:szCs w:val="28"/>
        </w:rPr>
        <w:t xml:space="preserve"> as a primary supposition</w:t>
      </w:r>
      <w:r>
        <w:rPr>
          <w:rFonts w:ascii="Times New Roman" w:hAnsi="Times New Roman" w:cs="Times New Roman"/>
          <w:sz w:val="28"/>
          <w:szCs w:val="28"/>
        </w:rPr>
        <w:t>.</w:t>
      </w:r>
      <w:r w:rsidR="00E06532">
        <w:rPr>
          <w:rFonts w:ascii="Times New Roman" w:hAnsi="Times New Roman" w:cs="Times New Roman"/>
          <w:sz w:val="28"/>
          <w:szCs w:val="28"/>
        </w:rPr>
        <w:t xml:space="preserve">  That is the whole purpose of attesting a formal signature and certainly one of a no</w:t>
      </w:r>
      <w:r w:rsidR="004D4A0A">
        <w:rPr>
          <w:rFonts w:ascii="Times New Roman" w:hAnsi="Times New Roman" w:cs="Times New Roman"/>
          <w:sz w:val="28"/>
          <w:szCs w:val="28"/>
        </w:rPr>
        <w:t>tary public’s primary responsibilities.</w:t>
      </w:r>
      <w:r>
        <w:rPr>
          <w:rFonts w:ascii="Times New Roman" w:hAnsi="Times New Roman" w:cs="Times New Roman"/>
          <w:sz w:val="28"/>
          <w:szCs w:val="28"/>
        </w:rPr>
        <w:t xml:space="preserve">  </w:t>
      </w:r>
      <w:r w:rsidR="00A3794D">
        <w:rPr>
          <w:rFonts w:ascii="Times New Roman" w:hAnsi="Times New Roman" w:cs="Times New Roman"/>
          <w:sz w:val="28"/>
          <w:szCs w:val="28"/>
        </w:rPr>
        <w:t xml:space="preserve">In this instance the fact that the signatures in the complainant’s case were </w:t>
      </w:r>
      <w:r w:rsidR="000F3ACB">
        <w:rPr>
          <w:rFonts w:ascii="Times New Roman" w:hAnsi="Times New Roman" w:cs="Times New Roman"/>
          <w:sz w:val="28"/>
          <w:szCs w:val="28"/>
        </w:rPr>
        <w:t xml:space="preserve">found to have been forged (it matters not for present purposes by whom) </w:t>
      </w:r>
      <w:r w:rsidR="00A3794D">
        <w:rPr>
          <w:rFonts w:ascii="Times New Roman" w:hAnsi="Times New Roman" w:cs="Times New Roman"/>
          <w:sz w:val="28"/>
          <w:szCs w:val="28"/>
        </w:rPr>
        <w:t>exposed the fiction that he had in this case properly attested to the complainant’s signature</w:t>
      </w:r>
      <w:r w:rsidR="00DE4AC7">
        <w:rPr>
          <w:rFonts w:ascii="Times New Roman" w:hAnsi="Times New Roman" w:cs="Times New Roman"/>
          <w:sz w:val="28"/>
          <w:szCs w:val="28"/>
        </w:rPr>
        <w:t xml:space="preserve"> wherein</w:t>
      </w:r>
      <w:r w:rsidR="004D61D8">
        <w:rPr>
          <w:rFonts w:ascii="Times New Roman" w:hAnsi="Times New Roman" w:cs="Times New Roman"/>
          <w:sz w:val="28"/>
          <w:szCs w:val="28"/>
        </w:rPr>
        <w:t>,</w:t>
      </w:r>
      <w:r w:rsidR="00DE4AC7">
        <w:rPr>
          <w:rFonts w:ascii="Times New Roman" w:hAnsi="Times New Roman" w:cs="Times New Roman"/>
          <w:sz w:val="28"/>
          <w:szCs w:val="28"/>
        </w:rPr>
        <w:t xml:space="preserve"> lies the embarrassment</w:t>
      </w:r>
      <w:r w:rsidR="004D61D8">
        <w:rPr>
          <w:rFonts w:ascii="Times New Roman" w:hAnsi="Times New Roman" w:cs="Times New Roman"/>
          <w:sz w:val="28"/>
          <w:szCs w:val="28"/>
        </w:rPr>
        <w:t xml:space="preserve"> to the legal profession.  The very professional who is expected to protect against the forgery of legal documents has unwittingly himself facilitated it.</w:t>
      </w:r>
      <w:r w:rsidR="00A3794D">
        <w:rPr>
          <w:rFonts w:ascii="Times New Roman" w:hAnsi="Times New Roman" w:cs="Times New Roman"/>
          <w:sz w:val="28"/>
          <w:szCs w:val="28"/>
        </w:rPr>
        <w:t xml:space="preserve">  </w:t>
      </w:r>
    </w:p>
    <w:p w14:paraId="10F076AE" w14:textId="77777777" w:rsidR="00DE4AC7" w:rsidRDefault="00DE4AC7" w:rsidP="00DE4AC7">
      <w:pPr>
        <w:pStyle w:val="ListParagraph"/>
        <w:spacing w:line="360" w:lineRule="auto"/>
        <w:ind w:left="0"/>
        <w:jc w:val="both"/>
        <w:rPr>
          <w:rFonts w:ascii="Times New Roman" w:hAnsi="Times New Roman" w:cs="Times New Roman"/>
          <w:sz w:val="28"/>
          <w:szCs w:val="28"/>
        </w:rPr>
      </w:pPr>
    </w:p>
    <w:p w14:paraId="4109EDA2" w14:textId="63E925F8" w:rsidR="00FC62FF" w:rsidRDefault="00A3794D"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respondent appears to have missed the significance of this, accusing the complainant of a vendetta</w:t>
      </w:r>
      <w:r w:rsidR="000F3ACB">
        <w:rPr>
          <w:rFonts w:ascii="Times New Roman" w:hAnsi="Times New Roman" w:cs="Times New Roman"/>
          <w:sz w:val="28"/>
          <w:szCs w:val="28"/>
        </w:rPr>
        <w:t>,</w:t>
      </w:r>
      <w:r>
        <w:rPr>
          <w:rFonts w:ascii="Times New Roman" w:hAnsi="Times New Roman" w:cs="Times New Roman"/>
          <w:sz w:val="28"/>
          <w:szCs w:val="28"/>
        </w:rPr>
        <w:t xml:space="preserve"> </w:t>
      </w:r>
      <w:r w:rsidR="00C228D2">
        <w:rPr>
          <w:rFonts w:ascii="Times New Roman" w:hAnsi="Times New Roman" w:cs="Times New Roman"/>
          <w:sz w:val="28"/>
          <w:szCs w:val="28"/>
        </w:rPr>
        <w:t xml:space="preserve">but the forgery was evidently </w:t>
      </w:r>
      <w:r w:rsidR="004D61D8">
        <w:rPr>
          <w:rFonts w:ascii="Times New Roman" w:hAnsi="Times New Roman" w:cs="Times New Roman"/>
          <w:sz w:val="28"/>
          <w:szCs w:val="28"/>
        </w:rPr>
        <w:t xml:space="preserve">as </w:t>
      </w:r>
      <w:r w:rsidR="00C228D2">
        <w:rPr>
          <w:rFonts w:ascii="Times New Roman" w:hAnsi="Times New Roman" w:cs="Times New Roman"/>
          <w:sz w:val="28"/>
          <w:szCs w:val="28"/>
        </w:rPr>
        <w:t>real as his ver</w:t>
      </w:r>
      <w:r w:rsidR="000F3ACB">
        <w:rPr>
          <w:rFonts w:ascii="Times New Roman" w:hAnsi="Times New Roman" w:cs="Times New Roman"/>
          <w:sz w:val="28"/>
          <w:szCs w:val="28"/>
        </w:rPr>
        <w:t>ification of the false signatures</w:t>
      </w:r>
      <w:r>
        <w:rPr>
          <w:rFonts w:ascii="Times New Roman" w:hAnsi="Times New Roman" w:cs="Times New Roman"/>
          <w:sz w:val="28"/>
          <w:szCs w:val="28"/>
        </w:rPr>
        <w:t xml:space="preserve">.  </w:t>
      </w:r>
      <w:r w:rsidR="000F3ACB">
        <w:rPr>
          <w:rFonts w:ascii="Times New Roman" w:hAnsi="Times New Roman" w:cs="Times New Roman"/>
          <w:sz w:val="28"/>
          <w:szCs w:val="28"/>
        </w:rPr>
        <w:t xml:space="preserve">It is a worrying concern, as was emphasized in </w:t>
      </w:r>
      <w:r w:rsidR="000F3ACB" w:rsidRPr="000F3ACB">
        <w:rPr>
          <w:rFonts w:ascii="Times New Roman" w:hAnsi="Times New Roman" w:cs="Times New Roman"/>
          <w:i/>
          <w:iCs/>
          <w:sz w:val="28"/>
          <w:szCs w:val="28"/>
        </w:rPr>
        <w:t>Craddock</w:t>
      </w:r>
      <w:r w:rsidR="000F3ACB">
        <w:rPr>
          <w:rFonts w:ascii="Times New Roman" w:hAnsi="Times New Roman" w:cs="Times New Roman"/>
          <w:sz w:val="28"/>
          <w:szCs w:val="28"/>
        </w:rPr>
        <w:t xml:space="preserve">, that it remains a mystery how </w:t>
      </w:r>
      <w:r w:rsidR="004D61D8">
        <w:rPr>
          <w:rFonts w:ascii="Times New Roman" w:hAnsi="Times New Roman" w:cs="Times New Roman"/>
          <w:sz w:val="28"/>
          <w:szCs w:val="28"/>
        </w:rPr>
        <w:t>it</w:t>
      </w:r>
      <w:r w:rsidR="000F3ACB">
        <w:rPr>
          <w:rFonts w:ascii="Times New Roman" w:hAnsi="Times New Roman" w:cs="Times New Roman"/>
          <w:sz w:val="28"/>
          <w:szCs w:val="28"/>
        </w:rPr>
        <w:t xml:space="preserve"> happened</w:t>
      </w:r>
      <w:r w:rsidR="002545F9">
        <w:rPr>
          <w:rFonts w:ascii="Times New Roman" w:hAnsi="Times New Roman" w:cs="Times New Roman"/>
          <w:sz w:val="28"/>
          <w:szCs w:val="28"/>
        </w:rPr>
        <w:t xml:space="preserve"> </w:t>
      </w:r>
      <w:r w:rsidR="004D61D8">
        <w:rPr>
          <w:rFonts w:ascii="Times New Roman" w:hAnsi="Times New Roman" w:cs="Times New Roman"/>
          <w:sz w:val="28"/>
          <w:szCs w:val="28"/>
        </w:rPr>
        <w:t xml:space="preserve">that the signatures were forged </w:t>
      </w:r>
      <w:r w:rsidR="002545F9">
        <w:rPr>
          <w:rFonts w:ascii="Times New Roman" w:hAnsi="Times New Roman" w:cs="Times New Roman"/>
          <w:sz w:val="28"/>
          <w:szCs w:val="28"/>
        </w:rPr>
        <w:t xml:space="preserve">but the most </w:t>
      </w:r>
      <w:r w:rsidR="004D61D8">
        <w:rPr>
          <w:rFonts w:ascii="Times New Roman" w:hAnsi="Times New Roman" w:cs="Times New Roman"/>
          <w:sz w:val="28"/>
          <w:szCs w:val="28"/>
        </w:rPr>
        <w:t>embarrassing</w:t>
      </w:r>
      <w:r w:rsidR="002545F9">
        <w:rPr>
          <w:rFonts w:ascii="Times New Roman" w:hAnsi="Times New Roman" w:cs="Times New Roman"/>
          <w:sz w:val="28"/>
          <w:szCs w:val="28"/>
        </w:rPr>
        <w:t xml:space="preserve"> consequence of it all </w:t>
      </w:r>
      <w:r w:rsidR="004D4A0A">
        <w:rPr>
          <w:rFonts w:ascii="Times New Roman" w:hAnsi="Times New Roman" w:cs="Times New Roman"/>
          <w:sz w:val="28"/>
          <w:szCs w:val="28"/>
        </w:rPr>
        <w:t xml:space="preserve">is that the </w:t>
      </w:r>
      <w:r w:rsidR="002545F9">
        <w:rPr>
          <w:rFonts w:ascii="Times New Roman" w:hAnsi="Times New Roman" w:cs="Times New Roman"/>
          <w:sz w:val="28"/>
          <w:szCs w:val="28"/>
        </w:rPr>
        <w:t xml:space="preserve">respondent’s </w:t>
      </w:r>
      <w:r w:rsidR="004D4A0A">
        <w:rPr>
          <w:rFonts w:ascii="Times New Roman" w:hAnsi="Times New Roman" w:cs="Times New Roman"/>
          <w:sz w:val="28"/>
          <w:szCs w:val="28"/>
        </w:rPr>
        <w:t>purported a</w:t>
      </w:r>
      <w:r w:rsidR="002545F9">
        <w:rPr>
          <w:rFonts w:ascii="Times New Roman" w:hAnsi="Times New Roman" w:cs="Times New Roman"/>
          <w:sz w:val="28"/>
          <w:szCs w:val="28"/>
        </w:rPr>
        <w:t xml:space="preserve">ttestation </w:t>
      </w:r>
      <w:r w:rsidR="004D4A0A">
        <w:rPr>
          <w:rFonts w:ascii="Times New Roman" w:hAnsi="Times New Roman" w:cs="Times New Roman"/>
          <w:sz w:val="28"/>
          <w:szCs w:val="28"/>
        </w:rPr>
        <w:t xml:space="preserve">of the deed was </w:t>
      </w:r>
      <w:r w:rsidR="00C228D2">
        <w:rPr>
          <w:rFonts w:ascii="Times New Roman" w:hAnsi="Times New Roman" w:cs="Times New Roman"/>
          <w:sz w:val="28"/>
          <w:szCs w:val="28"/>
        </w:rPr>
        <w:t>ex</w:t>
      </w:r>
      <w:r w:rsidR="004D4A0A">
        <w:rPr>
          <w:rFonts w:ascii="Times New Roman" w:hAnsi="Times New Roman" w:cs="Times New Roman"/>
          <w:sz w:val="28"/>
          <w:szCs w:val="28"/>
        </w:rPr>
        <w:t>posed as a lie.  Instead of trying to explain that anomaly</w:t>
      </w:r>
      <w:r w:rsidR="004D61D8">
        <w:rPr>
          <w:rFonts w:ascii="Times New Roman" w:hAnsi="Times New Roman" w:cs="Times New Roman"/>
          <w:sz w:val="28"/>
          <w:szCs w:val="28"/>
        </w:rPr>
        <w:t xml:space="preserve"> (or to </w:t>
      </w:r>
      <w:r w:rsidR="004D61D8">
        <w:rPr>
          <w:rFonts w:ascii="Times New Roman" w:hAnsi="Times New Roman" w:cs="Times New Roman"/>
          <w:sz w:val="28"/>
          <w:szCs w:val="28"/>
        </w:rPr>
        <w:lastRenderedPageBreak/>
        <w:t>investigate it as a prudent legal practitioner would to understand how his signature had come to be abused)</w:t>
      </w:r>
      <w:r w:rsidR="004D4A0A">
        <w:rPr>
          <w:rFonts w:ascii="Times New Roman" w:hAnsi="Times New Roman" w:cs="Times New Roman"/>
          <w:sz w:val="28"/>
          <w:szCs w:val="28"/>
        </w:rPr>
        <w:t xml:space="preserve"> the respondent was more focused on accusing the complainant of a spiteful motive</w:t>
      </w:r>
      <w:r w:rsidR="006F0014">
        <w:rPr>
          <w:rFonts w:ascii="Times New Roman" w:hAnsi="Times New Roman" w:cs="Times New Roman"/>
          <w:sz w:val="28"/>
          <w:szCs w:val="28"/>
        </w:rPr>
        <w:t>.  Whilst there may be merit in the respondent’s suggestion that the complaint was strategically time</w:t>
      </w:r>
      <w:r w:rsidR="00C228D2">
        <w:rPr>
          <w:rFonts w:ascii="Times New Roman" w:hAnsi="Times New Roman" w:cs="Times New Roman"/>
          <w:sz w:val="28"/>
          <w:szCs w:val="28"/>
        </w:rPr>
        <w:t>d</w:t>
      </w:r>
      <w:r w:rsidR="006F0014">
        <w:rPr>
          <w:rFonts w:ascii="Times New Roman" w:hAnsi="Times New Roman" w:cs="Times New Roman"/>
          <w:sz w:val="28"/>
          <w:szCs w:val="28"/>
        </w:rPr>
        <w:t xml:space="preserve"> and possibly used to advance </w:t>
      </w:r>
      <w:r w:rsidR="00C228D2">
        <w:rPr>
          <w:rFonts w:ascii="Times New Roman" w:hAnsi="Times New Roman" w:cs="Times New Roman"/>
          <w:sz w:val="28"/>
          <w:szCs w:val="28"/>
        </w:rPr>
        <w:t>the complainant’s c</w:t>
      </w:r>
      <w:r w:rsidR="006F0014">
        <w:rPr>
          <w:rFonts w:ascii="Times New Roman" w:hAnsi="Times New Roman" w:cs="Times New Roman"/>
          <w:sz w:val="28"/>
          <w:szCs w:val="28"/>
        </w:rPr>
        <w:t xml:space="preserve">ase in the divorce action, the respondent certainly owed an </w:t>
      </w:r>
      <w:r w:rsidR="009F3275">
        <w:rPr>
          <w:rFonts w:ascii="Times New Roman" w:hAnsi="Times New Roman" w:cs="Times New Roman"/>
          <w:sz w:val="28"/>
          <w:szCs w:val="28"/>
        </w:rPr>
        <w:t xml:space="preserve">it to Standard Bank and to the </w:t>
      </w:r>
      <w:r w:rsidR="006F0014">
        <w:rPr>
          <w:rFonts w:ascii="Times New Roman" w:hAnsi="Times New Roman" w:cs="Times New Roman"/>
          <w:sz w:val="28"/>
          <w:szCs w:val="28"/>
        </w:rPr>
        <w:t>applicant</w:t>
      </w:r>
      <w:r w:rsidR="009F3275">
        <w:rPr>
          <w:rFonts w:ascii="Times New Roman" w:hAnsi="Times New Roman" w:cs="Times New Roman"/>
          <w:sz w:val="28"/>
          <w:szCs w:val="28"/>
        </w:rPr>
        <w:t xml:space="preserve"> to investigate</w:t>
      </w:r>
      <w:r w:rsidR="006F0014">
        <w:rPr>
          <w:rFonts w:ascii="Times New Roman" w:hAnsi="Times New Roman" w:cs="Times New Roman"/>
          <w:sz w:val="28"/>
          <w:szCs w:val="28"/>
        </w:rPr>
        <w:t xml:space="preserve"> how the wool could have been p</w:t>
      </w:r>
      <w:r w:rsidR="00C228D2">
        <w:rPr>
          <w:rFonts w:ascii="Times New Roman" w:hAnsi="Times New Roman" w:cs="Times New Roman"/>
          <w:sz w:val="28"/>
          <w:szCs w:val="28"/>
        </w:rPr>
        <w:t>oole</w:t>
      </w:r>
      <w:r w:rsidR="006F0014">
        <w:rPr>
          <w:rFonts w:ascii="Times New Roman" w:hAnsi="Times New Roman" w:cs="Times New Roman"/>
          <w:sz w:val="28"/>
          <w:szCs w:val="28"/>
        </w:rPr>
        <w:t>d over</w:t>
      </w:r>
      <w:r w:rsidR="009F3275">
        <w:rPr>
          <w:rFonts w:ascii="Times New Roman" w:hAnsi="Times New Roman" w:cs="Times New Roman"/>
          <w:sz w:val="28"/>
          <w:szCs w:val="28"/>
        </w:rPr>
        <w:t xml:space="preserve"> his eyes</w:t>
      </w:r>
      <w:r w:rsidR="006F0014">
        <w:rPr>
          <w:rFonts w:ascii="Times New Roman" w:hAnsi="Times New Roman" w:cs="Times New Roman"/>
          <w:sz w:val="28"/>
          <w:szCs w:val="28"/>
        </w:rPr>
        <w:t xml:space="preserve">.  There may well be an innocent explanation for it but I believe that the applicant was justified in complaining of a lack of an adequate answer to the enormity of the </w:t>
      </w:r>
      <w:r w:rsidR="00BB2409">
        <w:rPr>
          <w:rFonts w:ascii="Times New Roman" w:hAnsi="Times New Roman" w:cs="Times New Roman"/>
          <w:sz w:val="28"/>
          <w:szCs w:val="28"/>
        </w:rPr>
        <w:t>accusation</w:t>
      </w:r>
      <w:r w:rsidR="009F3275">
        <w:rPr>
          <w:rFonts w:ascii="Times New Roman" w:hAnsi="Times New Roman" w:cs="Times New Roman"/>
          <w:sz w:val="28"/>
          <w:szCs w:val="28"/>
        </w:rPr>
        <w:t xml:space="preserve"> o</w:t>
      </w:r>
      <w:r w:rsidR="00BB2409">
        <w:rPr>
          <w:rFonts w:ascii="Times New Roman" w:hAnsi="Times New Roman" w:cs="Times New Roman"/>
          <w:sz w:val="28"/>
          <w:szCs w:val="28"/>
        </w:rPr>
        <w:t xml:space="preserve">nce it was established that the complainant’s signatures on the deed were a falsity.  Whilst there may ultimately have been no harm to the bank, or the complainant, it is in my view incorrect to answer that the complaint was “academic”. </w:t>
      </w:r>
      <w:r w:rsidR="009F3275">
        <w:rPr>
          <w:rFonts w:ascii="Times New Roman" w:hAnsi="Times New Roman" w:cs="Times New Roman"/>
          <w:sz w:val="28"/>
          <w:szCs w:val="28"/>
        </w:rPr>
        <w:t xml:space="preserve">  More was required of the respondent to offend the profession rather than his own narrow interests.  It is unfortunate that he believes that his infraction does not deserve a striking off because of his relationship wit his mother and prior close working relationship with the complainant, whereas it is exactly because of these relationships that he should not have brough forth his professional stamp and compromised his office by casually and perfunctorily attesting signatures in a legal document that he should have steered well clear of.</w:t>
      </w:r>
    </w:p>
    <w:p w14:paraId="026278AF" w14:textId="77777777" w:rsidR="009F3275" w:rsidRDefault="009F3275" w:rsidP="009F3275">
      <w:pPr>
        <w:pStyle w:val="ListParagraph"/>
        <w:spacing w:line="360" w:lineRule="auto"/>
        <w:ind w:left="0"/>
        <w:jc w:val="both"/>
        <w:rPr>
          <w:rFonts w:ascii="Times New Roman" w:hAnsi="Times New Roman" w:cs="Times New Roman"/>
          <w:sz w:val="28"/>
          <w:szCs w:val="28"/>
        </w:rPr>
      </w:pPr>
    </w:p>
    <w:p w14:paraId="5B9AFD02" w14:textId="6C8EE5DE" w:rsidR="009F3275" w:rsidRDefault="009F3275"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Even through the surety had run its course by then, it was the known fact that the respondent had unwittingly (negligently as he professed) verified a fake signature that should have prompted him to act.  Righteous indignation should have been a more appropriate reaction.  Once the forgery was established than jumping on the blame wagon and blindly insinuating that the complainant was acting out of spite.</w:t>
      </w:r>
    </w:p>
    <w:p w14:paraId="6A971492" w14:textId="77777777" w:rsidR="00CC4F6E" w:rsidRPr="00CC4F6E" w:rsidRDefault="00CC4F6E" w:rsidP="00CC4F6E">
      <w:pPr>
        <w:pStyle w:val="ListParagraph"/>
        <w:rPr>
          <w:rFonts w:ascii="Times New Roman" w:hAnsi="Times New Roman" w:cs="Times New Roman"/>
          <w:sz w:val="28"/>
          <w:szCs w:val="28"/>
        </w:rPr>
      </w:pPr>
    </w:p>
    <w:p w14:paraId="41155628" w14:textId="51847A64" w:rsidR="00CC4F6E" w:rsidRDefault="00CC4F6E"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When weighed against the expected conduct of an attorney, notary public and conveyancer, in all the circumstances the respondent’s conduct, far from inconsequential as Mr. Manca suggested, comes up severely wanting and demonstrates in my view that he is not a fit and proper person to be an attorney.</w:t>
      </w:r>
    </w:p>
    <w:p w14:paraId="6B5A47AB" w14:textId="77777777" w:rsidR="00CC4F6E" w:rsidRPr="00CC4F6E" w:rsidRDefault="00CC4F6E" w:rsidP="00CC4F6E">
      <w:pPr>
        <w:pStyle w:val="ListParagraph"/>
        <w:rPr>
          <w:rFonts w:ascii="Times New Roman" w:hAnsi="Times New Roman" w:cs="Times New Roman"/>
          <w:sz w:val="28"/>
          <w:szCs w:val="28"/>
        </w:rPr>
      </w:pPr>
    </w:p>
    <w:p w14:paraId="62582A43" w14:textId="13131C7C" w:rsidR="00CC4F6E" w:rsidRDefault="00CC4F6E"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That is however not the end of the matter.  The applicant conceded that his professional misconduct does not warrant that he be struck from the roll.  Indeed if a fear existed that he should not be unleased on an unsuspecting public the applicant would have brough an application to interdict him from practicing pending the outcome of the present application and would certainly have acted with more alacrity to seek the court’s intervention to deal with the respondent’s misconduct which it seems to have hoped to establish on a more severe scale of blatantly dishonest conduct.</w:t>
      </w:r>
    </w:p>
    <w:p w14:paraId="12F234D4" w14:textId="77777777" w:rsidR="00CC4F6E" w:rsidRPr="00CC4F6E" w:rsidRDefault="00CC4F6E" w:rsidP="00CC4F6E">
      <w:pPr>
        <w:pStyle w:val="ListParagraph"/>
        <w:rPr>
          <w:rFonts w:ascii="Times New Roman" w:hAnsi="Times New Roman" w:cs="Times New Roman"/>
          <w:sz w:val="28"/>
          <w:szCs w:val="28"/>
        </w:rPr>
      </w:pPr>
    </w:p>
    <w:p w14:paraId="5F386E74" w14:textId="52C0DE1E" w:rsidR="00CC4F6E" w:rsidRDefault="00CC4F6E"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It is not necessary for this court to find that the respondent’s unprofessional conduct renders him unfit to practice in order to impose the sanction of suspension from practice.</w:t>
      </w:r>
      <w:r>
        <w:rPr>
          <w:rStyle w:val="FootnoteReference"/>
          <w:rFonts w:ascii="Times New Roman" w:hAnsi="Times New Roman" w:cs="Times New Roman"/>
          <w:sz w:val="28"/>
          <w:szCs w:val="28"/>
        </w:rPr>
        <w:footnoteReference w:id="27"/>
      </w:r>
    </w:p>
    <w:p w14:paraId="02C08B80" w14:textId="77777777" w:rsidR="00CC4F6E" w:rsidRPr="00CC4F6E" w:rsidRDefault="00CC4F6E" w:rsidP="00CC4F6E">
      <w:pPr>
        <w:pStyle w:val="ListParagraph"/>
        <w:rPr>
          <w:rFonts w:ascii="Times New Roman" w:hAnsi="Times New Roman" w:cs="Times New Roman"/>
          <w:sz w:val="28"/>
          <w:szCs w:val="28"/>
        </w:rPr>
      </w:pPr>
    </w:p>
    <w:p w14:paraId="4C15FE10" w14:textId="2BC68221" w:rsidR="00CC4F6E" w:rsidRDefault="00CC4F6E"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 suspension on the basis suggested by the A Division with conditions aimed at the respondent’s reform is more appropriate.  Whilst his misconduct is certainly serious enough to warrant a more severe penalty than a reprimand, the drastic steps striking off would not be justified.  Such a sanction (as opposed to a striking off) would be consistent with what the minority court found in Craddock on the assumption that the evidence established on a balance of probabilities in its view that Ms. Craddock had lent her signature to the deed to vouch for what was in fact a fake signature.</w:t>
      </w:r>
      <w:r>
        <w:rPr>
          <w:rStyle w:val="FootnoteReference"/>
          <w:rFonts w:ascii="Times New Roman" w:hAnsi="Times New Roman" w:cs="Times New Roman"/>
          <w:sz w:val="28"/>
          <w:szCs w:val="28"/>
        </w:rPr>
        <w:footnoteReference w:id="28"/>
      </w:r>
    </w:p>
    <w:p w14:paraId="0002E309" w14:textId="77777777" w:rsidR="00CC4F6E" w:rsidRPr="00CC4F6E" w:rsidRDefault="00CC4F6E" w:rsidP="00CC4F6E">
      <w:pPr>
        <w:pStyle w:val="ListParagraph"/>
        <w:rPr>
          <w:rFonts w:ascii="Times New Roman" w:hAnsi="Times New Roman" w:cs="Times New Roman"/>
          <w:sz w:val="28"/>
          <w:szCs w:val="28"/>
        </w:rPr>
      </w:pPr>
    </w:p>
    <w:p w14:paraId="797B0886" w14:textId="58EF57F0" w:rsidR="00CC4F6E" w:rsidRDefault="00CC4F6E"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court was in that instance motivated by its view that Ms. Craddock was not quite forthcoming in admitting her role played in the unfortunate saga.</w:t>
      </w:r>
    </w:p>
    <w:p w14:paraId="29FEE557" w14:textId="77777777" w:rsidR="00CC4F6E" w:rsidRPr="00CC4F6E" w:rsidRDefault="00CC4F6E" w:rsidP="00CC4F6E">
      <w:pPr>
        <w:pStyle w:val="ListParagraph"/>
        <w:rPr>
          <w:rFonts w:ascii="Times New Roman" w:hAnsi="Times New Roman" w:cs="Times New Roman"/>
          <w:sz w:val="28"/>
          <w:szCs w:val="28"/>
        </w:rPr>
      </w:pPr>
    </w:p>
    <w:p w14:paraId="710D6594" w14:textId="7D933009" w:rsidR="00CC4F6E" w:rsidRDefault="00F9793F"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It is not correct as Mr. Manca suggests that the respondent has demonstrated an ability to reform and has done so in the part eight years since the offending conduct was committed.  To the contrary, he has never acknowledged any misconduct although a careful appraisal of the expectation of a legal practitioner in his revealed to him that it was not about blame but vindicating the honour of the profession.</w:t>
      </w:r>
    </w:p>
    <w:p w14:paraId="256EE2FB" w14:textId="77777777" w:rsidR="00F9793F" w:rsidRPr="00F9793F" w:rsidRDefault="00F9793F" w:rsidP="00F9793F">
      <w:pPr>
        <w:pStyle w:val="ListParagraph"/>
        <w:rPr>
          <w:rFonts w:ascii="Times New Roman" w:hAnsi="Times New Roman" w:cs="Times New Roman"/>
          <w:sz w:val="28"/>
          <w:szCs w:val="28"/>
        </w:rPr>
      </w:pPr>
    </w:p>
    <w:p w14:paraId="12A6D610" w14:textId="7BD8E973" w:rsidR="00F9793F" w:rsidRDefault="00F9793F" w:rsidP="00C228D2">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 am surprised that he could not have bothered to find out how it came to be that he was unwittingly misled.</w:t>
      </w:r>
    </w:p>
    <w:p w14:paraId="70289509" w14:textId="77777777" w:rsidR="00C228D2" w:rsidRPr="00C228D2" w:rsidRDefault="00C228D2" w:rsidP="00C228D2">
      <w:pPr>
        <w:pStyle w:val="ListParagraph"/>
        <w:spacing w:line="360" w:lineRule="auto"/>
        <w:ind w:left="0"/>
        <w:jc w:val="both"/>
        <w:rPr>
          <w:rFonts w:ascii="Times New Roman" w:hAnsi="Times New Roman" w:cs="Times New Roman"/>
          <w:sz w:val="28"/>
          <w:szCs w:val="28"/>
        </w:rPr>
      </w:pPr>
    </w:p>
    <w:p w14:paraId="5FEA6591" w14:textId="38B44198" w:rsidR="00C228D2" w:rsidRDefault="00C228D2" w:rsidP="00C228D2">
      <w:pPr>
        <w:pStyle w:val="ListParagraph"/>
        <w:numPr>
          <w:ilvl w:val="0"/>
          <w:numId w:val="1"/>
        </w:numPr>
        <w:spacing w:line="360" w:lineRule="auto"/>
        <w:ind w:left="0" w:firstLine="0"/>
        <w:jc w:val="both"/>
        <w:rPr>
          <w:rFonts w:ascii="Times New Roman" w:hAnsi="Times New Roman" w:cs="Times New Roman"/>
          <w:sz w:val="28"/>
          <w:szCs w:val="28"/>
        </w:rPr>
      </w:pPr>
      <w:r w:rsidRPr="00BB2409">
        <w:rPr>
          <w:rFonts w:ascii="Times New Roman" w:hAnsi="Times New Roman" w:cs="Times New Roman"/>
          <w:sz w:val="28"/>
          <w:szCs w:val="28"/>
        </w:rPr>
        <w:t>The applicant is tasked with maintaining appropriate standards of professional practice and ethical conduct of all legal practitioners, and with promoting and protecting the public interest thereby. It would be remiss of it if it did not act to vindicate the complaint against the respondent and or by letting his conduct slide as a trivial negligent slip.  It therefore cannot be faulted for having sought the intervention of this court</w:t>
      </w:r>
      <w:r w:rsidR="00F9793F">
        <w:rPr>
          <w:rFonts w:ascii="Times New Roman" w:hAnsi="Times New Roman" w:cs="Times New Roman"/>
          <w:sz w:val="28"/>
          <w:szCs w:val="28"/>
        </w:rPr>
        <w:t xml:space="preserve"> even if it delayed substantially in bringing the application</w:t>
      </w:r>
      <w:r w:rsidRPr="00BB2409">
        <w:rPr>
          <w:rFonts w:ascii="Times New Roman" w:hAnsi="Times New Roman" w:cs="Times New Roman"/>
          <w:sz w:val="28"/>
          <w:szCs w:val="28"/>
        </w:rPr>
        <w:t>.  Therefore although the respondent tendered party and party costs the applicant was duty bound in my view to carry out its statutory obligation to bring these proceedings and should be properly indemnified in respect of the costs which it has incurred.</w:t>
      </w:r>
    </w:p>
    <w:p w14:paraId="3238606E" w14:textId="77777777" w:rsidR="00E005CC" w:rsidRPr="00E005CC" w:rsidRDefault="00E005CC" w:rsidP="00E005CC">
      <w:pPr>
        <w:pStyle w:val="ListParagraph"/>
        <w:rPr>
          <w:rFonts w:ascii="Times New Roman" w:hAnsi="Times New Roman" w:cs="Times New Roman"/>
          <w:sz w:val="28"/>
          <w:szCs w:val="28"/>
        </w:rPr>
      </w:pPr>
    </w:p>
    <w:p w14:paraId="3E5E9BB1" w14:textId="6C43CB1A" w:rsidR="00B222B4" w:rsidRPr="00E005CC" w:rsidRDefault="00E005CC" w:rsidP="00E005CC">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 issue the following orde</w:t>
      </w:r>
      <w:r w:rsidR="005E05C3">
        <w:rPr>
          <w:rFonts w:ascii="Times New Roman" w:hAnsi="Times New Roman" w:cs="Times New Roman"/>
          <w:sz w:val="28"/>
          <w:szCs w:val="28"/>
        </w:rPr>
        <w:t>r:</w:t>
      </w:r>
    </w:p>
    <w:p w14:paraId="4E87B6B5" w14:textId="77777777" w:rsidR="004C1912" w:rsidRDefault="004C1912" w:rsidP="00187995">
      <w:pPr>
        <w:spacing w:line="360" w:lineRule="auto"/>
        <w:contextualSpacing/>
        <w:jc w:val="both"/>
        <w:rPr>
          <w:rFonts w:ascii="Times New Roman" w:hAnsi="Times New Roman" w:cs="Times New Roman"/>
          <w:sz w:val="28"/>
          <w:szCs w:val="28"/>
        </w:rPr>
      </w:pPr>
    </w:p>
    <w:p w14:paraId="47791CB0" w14:textId="048B2298" w:rsidR="00FB6691" w:rsidRDefault="00B222B4" w:rsidP="00187995">
      <w:pPr>
        <w:pStyle w:val="ListParagraph"/>
        <w:numPr>
          <w:ilvl w:val="0"/>
          <w:numId w:val="2"/>
        </w:numPr>
        <w:spacing w:line="360" w:lineRule="auto"/>
        <w:jc w:val="both"/>
        <w:rPr>
          <w:rFonts w:ascii="Times New Roman" w:hAnsi="Times New Roman" w:cs="Times New Roman"/>
          <w:sz w:val="28"/>
          <w:szCs w:val="28"/>
        </w:rPr>
      </w:pPr>
      <w:r w:rsidRPr="004C1912">
        <w:rPr>
          <w:rFonts w:ascii="Times New Roman" w:hAnsi="Times New Roman" w:cs="Times New Roman"/>
          <w:sz w:val="28"/>
          <w:szCs w:val="28"/>
        </w:rPr>
        <w:lastRenderedPageBreak/>
        <w:t xml:space="preserve">The </w:t>
      </w:r>
      <w:r w:rsidR="005E05C3">
        <w:rPr>
          <w:rFonts w:ascii="Times New Roman" w:hAnsi="Times New Roman" w:cs="Times New Roman"/>
          <w:sz w:val="28"/>
          <w:szCs w:val="28"/>
        </w:rPr>
        <w:t>responde</w:t>
      </w:r>
      <w:r w:rsidRPr="004C1912">
        <w:rPr>
          <w:rFonts w:ascii="Times New Roman" w:hAnsi="Times New Roman" w:cs="Times New Roman"/>
          <w:sz w:val="28"/>
          <w:szCs w:val="28"/>
        </w:rPr>
        <w:t xml:space="preserve">nt’s admitted conduct in </w:t>
      </w:r>
      <w:r w:rsidR="00E005CC">
        <w:rPr>
          <w:rFonts w:ascii="Times New Roman" w:hAnsi="Times New Roman" w:cs="Times New Roman"/>
          <w:sz w:val="28"/>
          <w:szCs w:val="28"/>
        </w:rPr>
        <w:t>attesting the complainant’s signature as co-surety and consenting spouse on the impugned deed of suretyship</w:t>
      </w:r>
      <w:r w:rsidR="005E05C3">
        <w:rPr>
          <w:rFonts w:ascii="Times New Roman" w:hAnsi="Times New Roman" w:cs="Times New Roman"/>
          <w:sz w:val="28"/>
          <w:szCs w:val="28"/>
        </w:rPr>
        <w:t xml:space="preserve"> in his absence constitutes misconduct within the meaning envisaged in the Legal Practice Act, </w:t>
      </w:r>
      <w:r w:rsidR="005C3588">
        <w:rPr>
          <w:rFonts w:ascii="Times New Roman" w:hAnsi="Times New Roman" w:cs="Times New Roman"/>
          <w:sz w:val="28"/>
          <w:szCs w:val="28"/>
        </w:rPr>
        <w:t>N</w:t>
      </w:r>
      <w:r w:rsidR="005E05C3">
        <w:rPr>
          <w:rFonts w:ascii="Times New Roman" w:hAnsi="Times New Roman" w:cs="Times New Roman"/>
          <w:sz w:val="28"/>
          <w:szCs w:val="28"/>
        </w:rPr>
        <w:t>o</w:t>
      </w:r>
      <w:r w:rsidR="005C3588">
        <w:rPr>
          <w:rFonts w:ascii="Times New Roman" w:hAnsi="Times New Roman" w:cs="Times New Roman"/>
          <w:sz w:val="28"/>
          <w:szCs w:val="28"/>
        </w:rPr>
        <w:t>.</w:t>
      </w:r>
      <w:r w:rsidR="005E05C3">
        <w:rPr>
          <w:rFonts w:ascii="Times New Roman" w:hAnsi="Times New Roman" w:cs="Times New Roman"/>
          <w:sz w:val="28"/>
          <w:szCs w:val="28"/>
        </w:rPr>
        <w:t xml:space="preserve"> 28 of 2014.</w:t>
      </w:r>
    </w:p>
    <w:p w14:paraId="7A1D7EEC" w14:textId="4C30F20E" w:rsidR="005E05C3" w:rsidRDefault="005E05C3" w:rsidP="00187995">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The said misconduct warrants a sanction of suspension from practice for a period of one year, provided that the sanction hereby imposed is suspended for a period of two years on condition that the respondent is not found guilty of misconduct committed during the period of suspension.</w:t>
      </w:r>
    </w:p>
    <w:p w14:paraId="0CC2ECAA" w14:textId="41DECF0D" w:rsidR="005E05C3" w:rsidRDefault="005E05C3" w:rsidP="00187995">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is liable for the costs of these proceeding on the scale of attorney and client. </w:t>
      </w:r>
    </w:p>
    <w:p w14:paraId="0C4E6B1A" w14:textId="77777777" w:rsidR="00413EF7" w:rsidRDefault="00413EF7" w:rsidP="00413EF7">
      <w:pPr>
        <w:spacing w:after="0"/>
        <w:jc w:val="both"/>
        <w:rPr>
          <w:rFonts w:ascii="Times New Roman" w:hAnsi="Times New Roman"/>
          <w:b/>
          <w:sz w:val="28"/>
          <w:szCs w:val="28"/>
        </w:rPr>
      </w:pPr>
    </w:p>
    <w:p w14:paraId="376F6BC9" w14:textId="3862485A" w:rsidR="00413EF7" w:rsidRDefault="00413EF7" w:rsidP="00413EF7">
      <w:pPr>
        <w:spacing w:after="0"/>
        <w:jc w:val="both"/>
        <w:rPr>
          <w:rFonts w:ascii="Times New Roman" w:hAnsi="Times New Roman"/>
          <w:b/>
          <w:sz w:val="28"/>
          <w:szCs w:val="28"/>
        </w:rPr>
      </w:pPr>
    </w:p>
    <w:p w14:paraId="2D7E69B5" w14:textId="77777777" w:rsidR="005C3588" w:rsidRDefault="005C3588" w:rsidP="00413EF7">
      <w:pPr>
        <w:spacing w:after="0"/>
        <w:jc w:val="both"/>
        <w:rPr>
          <w:rFonts w:ascii="Times New Roman" w:hAnsi="Times New Roman"/>
          <w:b/>
          <w:sz w:val="28"/>
          <w:szCs w:val="28"/>
        </w:rPr>
      </w:pPr>
    </w:p>
    <w:p w14:paraId="4886BF5B" w14:textId="77777777" w:rsidR="00413EF7" w:rsidRDefault="00413EF7" w:rsidP="00413EF7">
      <w:pPr>
        <w:spacing w:after="0"/>
        <w:jc w:val="both"/>
        <w:rPr>
          <w:rFonts w:ascii="Times New Roman" w:hAnsi="Times New Roman"/>
          <w:b/>
          <w:sz w:val="28"/>
          <w:szCs w:val="28"/>
        </w:rPr>
      </w:pPr>
    </w:p>
    <w:p w14:paraId="7467EEE1" w14:textId="77777777" w:rsidR="00413EF7" w:rsidRDefault="00413EF7" w:rsidP="00413EF7">
      <w:pPr>
        <w:spacing w:after="0"/>
        <w:jc w:val="both"/>
        <w:rPr>
          <w:rFonts w:ascii="Times New Roman" w:hAnsi="Times New Roman"/>
          <w:b/>
          <w:sz w:val="28"/>
          <w:szCs w:val="28"/>
        </w:rPr>
      </w:pPr>
    </w:p>
    <w:p w14:paraId="5244325C" w14:textId="77777777" w:rsidR="00413EF7" w:rsidRPr="00413EF7" w:rsidRDefault="00413EF7" w:rsidP="00413EF7">
      <w:pPr>
        <w:spacing w:after="0"/>
        <w:jc w:val="both"/>
        <w:rPr>
          <w:rFonts w:ascii="Times New Roman" w:hAnsi="Times New Roman"/>
          <w:b/>
          <w:sz w:val="28"/>
          <w:szCs w:val="28"/>
        </w:rPr>
      </w:pPr>
      <w:r w:rsidRPr="00413EF7">
        <w:rPr>
          <w:rFonts w:ascii="Times New Roman" w:hAnsi="Times New Roman"/>
          <w:b/>
          <w:sz w:val="28"/>
          <w:szCs w:val="28"/>
        </w:rPr>
        <w:t>_______________</w:t>
      </w:r>
    </w:p>
    <w:p w14:paraId="1D4CE0BF" w14:textId="77777777" w:rsidR="00413EF7" w:rsidRPr="00413EF7" w:rsidRDefault="00413EF7" w:rsidP="00413EF7">
      <w:pPr>
        <w:spacing w:after="0"/>
        <w:jc w:val="both"/>
        <w:rPr>
          <w:rFonts w:ascii="Times New Roman" w:hAnsi="Times New Roman"/>
          <w:b/>
          <w:sz w:val="26"/>
          <w:szCs w:val="28"/>
        </w:rPr>
      </w:pPr>
      <w:r w:rsidRPr="00413EF7">
        <w:rPr>
          <w:rFonts w:ascii="Times New Roman" w:hAnsi="Times New Roman"/>
          <w:b/>
          <w:sz w:val="28"/>
          <w:szCs w:val="28"/>
        </w:rPr>
        <w:t xml:space="preserve">B HARTLE </w:t>
      </w:r>
    </w:p>
    <w:p w14:paraId="2956B363" w14:textId="77777777" w:rsidR="00413EF7" w:rsidRDefault="00413EF7" w:rsidP="00413EF7">
      <w:pPr>
        <w:spacing w:after="0"/>
        <w:jc w:val="both"/>
        <w:rPr>
          <w:rFonts w:ascii="Times New Roman" w:hAnsi="Times New Roman"/>
          <w:b/>
          <w:sz w:val="28"/>
          <w:szCs w:val="28"/>
        </w:rPr>
      </w:pPr>
      <w:r w:rsidRPr="00413EF7">
        <w:rPr>
          <w:rFonts w:ascii="Times New Roman" w:hAnsi="Times New Roman"/>
          <w:b/>
          <w:sz w:val="28"/>
          <w:szCs w:val="28"/>
        </w:rPr>
        <w:t>JUDGE OF THE HIGH COURT</w:t>
      </w:r>
    </w:p>
    <w:p w14:paraId="7E2CB90C" w14:textId="77777777" w:rsidR="00F34D56" w:rsidRDefault="00F34D56" w:rsidP="00413EF7">
      <w:pPr>
        <w:spacing w:after="0"/>
        <w:jc w:val="both"/>
        <w:rPr>
          <w:rFonts w:ascii="Times New Roman" w:hAnsi="Times New Roman"/>
          <w:b/>
          <w:sz w:val="28"/>
          <w:szCs w:val="28"/>
        </w:rPr>
      </w:pPr>
    </w:p>
    <w:p w14:paraId="14C40AA2" w14:textId="68BAE1A8" w:rsidR="00F34D56" w:rsidRDefault="00F34D56" w:rsidP="00413EF7">
      <w:pPr>
        <w:spacing w:after="0"/>
        <w:jc w:val="both"/>
        <w:rPr>
          <w:rFonts w:ascii="Times New Roman" w:hAnsi="Times New Roman"/>
          <w:b/>
          <w:sz w:val="28"/>
          <w:szCs w:val="28"/>
        </w:rPr>
      </w:pPr>
    </w:p>
    <w:p w14:paraId="646FCBF6" w14:textId="2FF085B8" w:rsidR="005C3588" w:rsidRDefault="005C3588" w:rsidP="00413EF7">
      <w:pPr>
        <w:spacing w:after="0"/>
        <w:jc w:val="both"/>
        <w:rPr>
          <w:rFonts w:ascii="Times New Roman" w:hAnsi="Times New Roman"/>
          <w:b/>
          <w:sz w:val="28"/>
          <w:szCs w:val="28"/>
        </w:rPr>
      </w:pPr>
    </w:p>
    <w:p w14:paraId="3946A628" w14:textId="66611CDA" w:rsidR="005C3588" w:rsidRDefault="005C3588" w:rsidP="00413EF7">
      <w:pPr>
        <w:spacing w:after="0"/>
        <w:jc w:val="both"/>
        <w:rPr>
          <w:rFonts w:ascii="Times New Roman" w:hAnsi="Times New Roman"/>
          <w:b/>
          <w:sz w:val="28"/>
          <w:szCs w:val="28"/>
        </w:rPr>
      </w:pPr>
    </w:p>
    <w:p w14:paraId="369CCC9C" w14:textId="65AA0364" w:rsidR="005C3588" w:rsidRDefault="005C3588" w:rsidP="00413EF7">
      <w:pPr>
        <w:spacing w:after="0"/>
        <w:jc w:val="both"/>
        <w:rPr>
          <w:rFonts w:ascii="Times New Roman" w:hAnsi="Times New Roman"/>
          <w:b/>
          <w:sz w:val="28"/>
          <w:szCs w:val="28"/>
        </w:rPr>
      </w:pPr>
    </w:p>
    <w:p w14:paraId="46510DD6" w14:textId="77777777" w:rsidR="005C3588" w:rsidRDefault="005C3588" w:rsidP="00413EF7">
      <w:pPr>
        <w:spacing w:after="0"/>
        <w:jc w:val="both"/>
        <w:rPr>
          <w:rFonts w:ascii="Times New Roman" w:hAnsi="Times New Roman"/>
          <w:b/>
          <w:sz w:val="28"/>
          <w:szCs w:val="28"/>
        </w:rPr>
      </w:pPr>
    </w:p>
    <w:p w14:paraId="3FD89356" w14:textId="77777777" w:rsidR="00F34D56" w:rsidRDefault="00F34D56" w:rsidP="00413EF7">
      <w:pPr>
        <w:spacing w:after="0"/>
        <w:jc w:val="both"/>
        <w:rPr>
          <w:rFonts w:ascii="Times New Roman" w:hAnsi="Times New Roman"/>
          <w:b/>
          <w:sz w:val="28"/>
          <w:szCs w:val="28"/>
        </w:rPr>
      </w:pPr>
    </w:p>
    <w:p w14:paraId="729923B4" w14:textId="77777777" w:rsidR="00F34D56" w:rsidRDefault="00F34D56" w:rsidP="00F34D56">
      <w:pPr>
        <w:spacing w:after="0"/>
        <w:jc w:val="both"/>
        <w:rPr>
          <w:rFonts w:ascii="Times New Roman" w:hAnsi="Times New Roman"/>
          <w:b/>
          <w:sz w:val="28"/>
          <w:szCs w:val="28"/>
        </w:rPr>
      </w:pPr>
      <w:r>
        <w:rPr>
          <w:rFonts w:ascii="Times New Roman" w:hAnsi="Times New Roman"/>
          <w:b/>
          <w:sz w:val="28"/>
          <w:szCs w:val="28"/>
        </w:rPr>
        <w:t xml:space="preserve">I AGREE, </w:t>
      </w:r>
    </w:p>
    <w:p w14:paraId="77FBABF2" w14:textId="77777777" w:rsidR="00F34D56" w:rsidRDefault="00F34D56" w:rsidP="00F34D56">
      <w:pPr>
        <w:spacing w:after="0"/>
        <w:jc w:val="both"/>
        <w:rPr>
          <w:rFonts w:ascii="Times New Roman" w:hAnsi="Times New Roman"/>
          <w:b/>
          <w:sz w:val="28"/>
          <w:szCs w:val="28"/>
        </w:rPr>
      </w:pPr>
    </w:p>
    <w:p w14:paraId="0D0050FD" w14:textId="77777777" w:rsidR="00F34D56" w:rsidRDefault="00F34D56" w:rsidP="00F34D56">
      <w:pPr>
        <w:spacing w:after="0"/>
        <w:jc w:val="both"/>
        <w:rPr>
          <w:rFonts w:ascii="Times New Roman" w:hAnsi="Times New Roman"/>
          <w:b/>
          <w:sz w:val="28"/>
          <w:szCs w:val="28"/>
        </w:rPr>
      </w:pPr>
    </w:p>
    <w:p w14:paraId="602FA6F1" w14:textId="77777777" w:rsidR="00F34D56" w:rsidRDefault="00F34D56" w:rsidP="00F34D56">
      <w:pPr>
        <w:spacing w:after="0"/>
        <w:jc w:val="both"/>
        <w:rPr>
          <w:rFonts w:ascii="Times New Roman" w:hAnsi="Times New Roman"/>
          <w:b/>
          <w:sz w:val="28"/>
          <w:szCs w:val="28"/>
        </w:rPr>
      </w:pPr>
    </w:p>
    <w:p w14:paraId="1F244BC3" w14:textId="77777777" w:rsidR="00F34D56" w:rsidRDefault="00F34D56" w:rsidP="00F34D56">
      <w:pPr>
        <w:spacing w:after="0"/>
        <w:jc w:val="both"/>
        <w:rPr>
          <w:rFonts w:ascii="Times New Roman" w:hAnsi="Times New Roman"/>
          <w:b/>
          <w:sz w:val="28"/>
          <w:szCs w:val="28"/>
        </w:rPr>
      </w:pPr>
    </w:p>
    <w:p w14:paraId="4E7B3402" w14:textId="77777777" w:rsidR="00F34D56" w:rsidRPr="00413EF7" w:rsidRDefault="00F34D56" w:rsidP="00F34D56">
      <w:pPr>
        <w:spacing w:after="0"/>
        <w:jc w:val="both"/>
        <w:rPr>
          <w:rFonts w:ascii="Times New Roman" w:hAnsi="Times New Roman"/>
          <w:b/>
          <w:sz w:val="28"/>
          <w:szCs w:val="28"/>
        </w:rPr>
      </w:pPr>
      <w:r w:rsidRPr="00413EF7">
        <w:rPr>
          <w:rFonts w:ascii="Times New Roman" w:hAnsi="Times New Roman"/>
          <w:b/>
          <w:sz w:val="28"/>
          <w:szCs w:val="28"/>
        </w:rPr>
        <w:t>_______________</w:t>
      </w:r>
    </w:p>
    <w:p w14:paraId="67870518" w14:textId="77777777" w:rsidR="00F34D56" w:rsidRPr="00413EF7" w:rsidRDefault="00F34D56" w:rsidP="00F34D56">
      <w:pPr>
        <w:spacing w:after="0"/>
        <w:jc w:val="both"/>
        <w:rPr>
          <w:rFonts w:ascii="Times New Roman" w:hAnsi="Times New Roman"/>
          <w:b/>
          <w:sz w:val="26"/>
          <w:szCs w:val="28"/>
        </w:rPr>
      </w:pPr>
      <w:r>
        <w:rPr>
          <w:rFonts w:ascii="Times New Roman" w:hAnsi="Times New Roman"/>
          <w:b/>
          <w:sz w:val="28"/>
          <w:szCs w:val="28"/>
        </w:rPr>
        <w:t xml:space="preserve">N GQAMANA </w:t>
      </w:r>
      <w:r w:rsidRPr="00413EF7">
        <w:rPr>
          <w:rFonts w:ascii="Times New Roman" w:hAnsi="Times New Roman"/>
          <w:b/>
          <w:sz w:val="28"/>
          <w:szCs w:val="28"/>
        </w:rPr>
        <w:t xml:space="preserve"> </w:t>
      </w:r>
    </w:p>
    <w:p w14:paraId="41DB57CA" w14:textId="77777777" w:rsidR="00F34D56" w:rsidRPr="00413EF7" w:rsidRDefault="00F34D56" w:rsidP="00F34D56">
      <w:pPr>
        <w:spacing w:after="0"/>
        <w:jc w:val="both"/>
        <w:rPr>
          <w:rFonts w:ascii="Times New Roman" w:hAnsi="Times New Roman"/>
          <w:b/>
          <w:sz w:val="28"/>
          <w:szCs w:val="28"/>
        </w:rPr>
      </w:pPr>
      <w:r w:rsidRPr="00413EF7">
        <w:rPr>
          <w:rFonts w:ascii="Times New Roman" w:hAnsi="Times New Roman"/>
          <w:b/>
          <w:sz w:val="28"/>
          <w:szCs w:val="28"/>
        </w:rPr>
        <w:t>JUDGE OF THE HIGH COURT</w:t>
      </w:r>
    </w:p>
    <w:p w14:paraId="16C3B3B5" w14:textId="77777777" w:rsidR="00F34D56" w:rsidRPr="00413EF7" w:rsidRDefault="00F34D56" w:rsidP="00413EF7">
      <w:pPr>
        <w:spacing w:after="0"/>
        <w:jc w:val="both"/>
        <w:rPr>
          <w:rFonts w:ascii="Times New Roman" w:hAnsi="Times New Roman"/>
          <w:b/>
          <w:sz w:val="28"/>
          <w:szCs w:val="28"/>
        </w:rPr>
      </w:pPr>
    </w:p>
    <w:p w14:paraId="6CD1D9A1" w14:textId="77777777" w:rsidR="00413EF7" w:rsidRDefault="00413EF7" w:rsidP="00413EF7">
      <w:pPr>
        <w:pStyle w:val="ListParagraph"/>
        <w:spacing w:after="0"/>
        <w:ind w:left="1080"/>
        <w:jc w:val="both"/>
        <w:rPr>
          <w:rFonts w:ascii="Times New Roman" w:hAnsi="Times New Roman"/>
          <w:b/>
          <w:sz w:val="28"/>
          <w:szCs w:val="28"/>
        </w:rPr>
      </w:pPr>
    </w:p>
    <w:p w14:paraId="4996DC24" w14:textId="77777777" w:rsidR="00413EF7" w:rsidRDefault="00413EF7" w:rsidP="00413EF7">
      <w:pPr>
        <w:pStyle w:val="ListParagraph"/>
        <w:spacing w:after="0"/>
        <w:ind w:left="1080"/>
        <w:jc w:val="both"/>
        <w:rPr>
          <w:rFonts w:ascii="Times New Roman" w:hAnsi="Times New Roman"/>
          <w:b/>
          <w:sz w:val="28"/>
          <w:szCs w:val="28"/>
        </w:rPr>
      </w:pPr>
    </w:p>
    <w:p w14:paraId="3B882539" w14:textId="77777777" w:rsidR="00413EF7" w:rsidRDefault="00413EF7" w:rsidP="00413EF7">
      <w:pPr>
        <w:pStyle w:val="ListParagraph"/>
        <w:spacing w:after="0"/>
        <w:ind w:left="1080"/>
        <w:jc w:val="both"/>
        <w:rPr>
          <w:rFonts w:ascii="Times New Roman" w:hAnsi="Times New Roman"/>
          <w:b/>
          <w:sz w:val="28"/>
          <w:szCs w:val="28"/>
        </w:rPr>
      </w:pPr>
    </w:p>
    <w:p w14:paraId="7108D4DE" w14:textId="77777777" w:rsidR="00413EF7" w:rsidRPr="00413EF7" w:rsidRDefault="00413EF7" w:rsidP="00413EF7">
      <w:pPr>
        <w:pStyle w:val="ListParagraph"/>
        <w:spacing w:after="0"/>
        <w:ind w:left="1080"/>
        <w:jc w:val="both"/>
        <w:rPr>
          <w:rFonts w:ascii="Times New Roman" w:hAnsi="Times New Roman"/>
          <w:b/>
          <w:sz w:val="28"/>
          <w:szCs w:val="28"/>
        </w:rPr>
      </w:pPr>
    </w:p>
    <w:p w14:paraId="7ADB4EB1" w14:textId="77777777" w:rsidR="00413EF7" w:rsidRPr="00413EF7" w:rsidRDefault="00413EF7" w:rsidP="00413EF7">
      <w:pPr>
        <w:spacing w:after="0"/>
        <w:jc w:val="both"/>
        <w:rPr>
          <w:rFonts w:ascii="Times New Roman" w:hAnsi="Times New Roman"/>
          <w:sz w:val="28"/>
          <w:szCs w:val="28"/>
        </w:rPr>
      </w:pPr>
      <w:r w:rsidRPr="00413EF7">
        <w:rPr>
          <w:rFonts w:ascii="Times New Roman" w:hAnsi="Times New Roman"/>
          <w:sz w:val="28"/>
          <w:szCs w:val="28"/>
        </w:rPr>
        <w:t>DATE</w:t>
      </w:r>
      <w:r>
        <w:rPr>
          <w:rFonts w:ascii="Times New Roman" w:hAnsi="Times New Roman"/>
          <w:sz w:val="28"/>
          <w:szCs w:val="28"/>
        </w:rPr>
        <w:t xml:space="preserve"> OF HEARING:</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3 November 2022</w:t>
      </w:r>
    </w:p>
    <w:p w14:paraId="4A66DADB" w14:textId="48701453" w:rsidR="00413EF7" w:rsidRPr="00413EF7" w:rsidRDefault="00413EF7" w:rsidP="00413EF7">
      <w:pPr>
        <w:spacing w:after="0" w:line="360" w:lineRule="auto"/>
        <w:jc w:val="both"/>
        <w:rPr>
          <w:rFonts w:ascii="Times New Roman" w:hAnsi="Times New Roman"/>
          <w:sz w:val="28"/>
          <w:szCs w:val="28"/>
        </w:rPr>
      </w:pPr>
      <w:r w:rsidRPr="00413EF7">
        <w:rPr>
          <w:rFonts w:ascii="Times New Roman" w:hAnsi="Times New Roman"/>
          <w:sz w:val="28"/>
          <w:szCs w:val="28"/>
        </w:rPr>
        <w:t>DATE</w:t>
      </w:r>
      <w:r>
        <w:rPr>
          <w:rFonts w:ascii="Times New Roman" w:hAnsi="Times New Roman"/>
          <w:sz w:val="28"/>
          <w:szCs w:val="28"/>
        </w:rPr>
        <w:t xml:space="preserve"> OF JUDGMENT: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9793F">
        <w:rPr>
          <w:rFonts w:ascii="Times New Roman" w:hAnsi="Times New Roman"/>
          <w:sz w:val="28"/>
          <w:szCs w:val="28"/>
        </w:rPr>
        <w:t>29</w:t>
      </w:r>
      <w:r>
        <w:rPr>
          <w:rFonts w:ascii="Times New Roman" w:hAnsi="Times New Roman"/>
          <w:sz w:val="28"/>
          <w:szCs w:val="28"/>
        </w:rPr>
        <w:t xml:space="preserve"> November 2022</w:t>
      </w:r>
    </w:p>
    <w:p w14:paraId="66E6D574" w14:textId="77777777" w:rsidR="00413EF7" w:rsidRPr="00413EF7" w:rsidRDefault="00413EF7" w:rsidP="00413EF7">
      <w:pPr>
        <w:pStyle w:val="ListParagraph"/>
        <w:spacing w:after="0"/>
        <w:ind w:left="1080"/>
        <w:jc w:val="both"/>
        <w:rPr>
          <w:rFonts w:ascii="Times New Roman" w:hAnsi="Times New Roman"/>
          <w:sz w:val="24"/>
          <w:szCs w:val="24"/>
        </w:rPr>
      </w:pPr>
    </w:p>
    <w:p w14:paraId="4097B16F" w14:textId="77777777" w:rsidR="00413EF7" w:rsidRPr="00413EF7" w:rsidRDefault="00413EF7" w:rsidP="00413EF7">
      <w:pPr>
        <w:pStyle w:val="ListParagraph"/>
        <w:spacing w:after="0"/>
        <w:ind w:left="1080"/>
        <w:jc w:val="both"/>
        <w:rPr>
          <w:rFonts w:ascii="Times New Roman" w:hAnsi="Times New Roman"/>
          <w:sz w:val="24"/>
          <w:szCs w:val="24"/>
        </w:rPr>
      </w:pPr>
    </w:p>
    <w:p w14:paraId="167ED78D" w14:textId="77777777" w:rsidR="00413EF7" w:rsidRPr="00413EF7" w:rsidRDefault="00413EF7" w:rsidP="00413EF7">
      <w:pPr>
        <w:spacing w:after="0"/>
        <w:jc w:val="both"/>
        <w:rPr>
          <w:rFonts w:ascii="Times New Roman" w:hAnsi="Times New Roman"/>
          <w:i/>
          <w:sz w:val="24"/>
          <w:szCs w:val="24"/>
        </w:rPr>
      </w:pPr>
      <w:r w:rsidRPr="00413EF7">
        <w:rPr>
          <w:rFonts w:ascii="Times New Roman" w:hAnsi="Times New Roman"/>
          <w:i/>
          <w:sz w:val="24"/>
          <w:szCs w:val="24"/>
          <w:u w:val="single"/>
        </w:rPr>
        <w:t>APPEARANCES</w:t>
      </w:r>
      <w:r w:rsidRPr="00413EF7">
        <w:rPr>
          <w:rFonts w:ascii="Times New Roman" w:hAnsi="Times New Roman"/>
          <w:i/>
          <w:sz w:val="24"/>
          <w:szCs w:val="24"/>
        </w:rPr>
        <w:t>:</w:t>
      </w:r>
    </w:p>
    <w:p w14:paraId="1B20091A" w14:textId="77777777" w:rsidR="00413EF7" w:rsidRPr="00413EF7" w:rsidRDefault="00413EF7" w:rsidP="00413EF7">
      <w:pPr>
        <w:pStyle w:val="ListParagraph"/>
        <w:spacing w:after="0"/>
        <w:ind w:left="1080"/>
        <w:jc w:val="both"/>
        <w:rPr>
          <w:rFonts w:ascii="Times New Roman" w:hAnsi="Times New Roman"/>
          <w:sz w:val="24"/>
          <w:szCs w:val="24"/>
        </w:rPr>
      </w:pPr>
    </w:p>
    <w:p w14:paraId="3709EBDC" w14:textId="77777777" w:rsidR="00413EF7" w:rsidRPr="00413EF7" w:rsidRDefault="00413EF7" w:rsidP="00413EF7">
      <w:pPr>
        <w:spacing w:after="0"/>
        <w:jc w:val="both"/>
        <w:rPr>
          <w:rFonts w:ascii="Times New Roman" w:hAnsi="Times New Roman"/>
          <w:i/>
          <w:sz w:val="24"/>
          <w:szCs w:val="24"/>
        </w:rPr>
      </w:pPr>
      <w:r w:rsidRPr="00413EF7">
        <w:rPr>
          <w:rFonts w:ascii="Times New Roman" w:hAnsi="Times New Roman"/>
          <w:i/>
          <w:sz w:val="24"/>
          <w:szCs w:val="24"/>
        </w:rPr>
        <w:t xml:space="preserve">For the </w:t>
      </w:r>
      <w:r>
        <w:rPr>
          <w:rFonts w:ascii="Times New Roman" w:hAnsi="Times New Roman"/>
          <w:i/>
          <w:sz w:val="24"/>
          <w:szCs w:val="24"/>
        </w:rPr>
        <w:t>applicant:   Ms. K Watt i</w:t>
      </w:r>
      <w:r w:rsidRPr="00413EF7">
        <w:rPr>
          <w:rFonts w:ascii="Times New Roman" w:hAnsi="Times New Roman"/>
          <w:i/>
          <w:sz w:val="24"/>
          <w:szCs w:val="24"/>
        </w:rPr>
        <w:t xml:space="preserve">nstructed by </w:t>
      </w:r>
      <w:r>
        <w:rPr>
          <w:rFonts w:ascii="Times New Roman" w:hAnsi="Times New Roman"/>
          <w:i/>
          <w:sz w:val="24"/>
          <w:szCs w:val="24"/>
        </w:rPr>
        <w:t xml:space="preserve">Wheeldon Rushmere &amp; Cole Inc. Makhanda (ref. Mr. Brody) </w:t>
      </w:r>
    </w:p>
    <w:p w14:paraId="12AA205B" w14:textId="2F0C7351" w:rsidR="00413EF7" w:rsidRPr="00413EF7" w:rsidRDefault="00413EF7" w:rsidP="00413EF7">
      <w:pPr>
        <w:spacing w:after="0"/>
        <w:jc w:val="both"/>
        <w:rPr>
          <w:rFonts w:ascii="Times New Roman" w:hAnsi="Times New Roman" w:cs="Times New Roman"/>
          <w:sz w:val="28"/>
          <w:szCs w:val="28"/>
        </w:rPr>
      </w:pPr>
      <w:r w:rsidRPr="00413EF7">
        <w:rPr>
          <w:rFonts w:ascii="Times New Roman" w:hAnsi="Times New Roman"/>
          <w:i/>
          <w:sz w:val="24"/>
          <w:szCs w:val="24"/>
        </w:rPr>
        <w:t xml:space="preserve">For the </w:t>
      </w:r>
      <w:r>
        <w:rPr>
          <w:rFonts w:ascii="Times New Roman" w:hAnsi="Times New Roman"/>
          <w:i/>
          <w:sz w:val="24"/>
          <w:szCs w:val="24"/>
        </w:rPr>
        <w:t>respondent</w:t>
      </w:r>
      <w:r w:rsidRPr="00413EF7">
        <w:rPr>
          <w:rFonts w:ascii="Times New Roman" w:hAnsi="Times New Roman"/>
          <w:i/>
          <w:sz w:val="24"/>
          <w:szCs w:val="24"/>
        </w:rPr>
        <w:t xml:space="preserve">: </w:t>
      </w:r>
      <w:r w:rsidR="00F34D56">
        <w:rPr>
          <w:rFonts w:ascii="Times New Roman" w:hAnsi="Times New Roman"/>
          <w:i/>
          <w:sz w:val="24"/>
          <w:szCs w:val="24"/>
        </w:rPr>
        <w:t>Mr. B J Manca</w:t>
      </w:r>
      <w:r w:rsidR="00F9793F">
        <w:rPr>
          <w:rFonts w:ascii="Times New Roman" w:hAnsi="Times New Roman"/>
          <w:i/>
          <w:sz w:val="24"/>
          <w:szCs w:val="24"/>
        </w:rPr>
        <w:t xml:space="preserve"> SC</w:t>
      </w:r>
      <w:r w:rsidR="00F34D56">
        <w:rPr>
          <w:rFonts w:ascii="Times New Roman" w:hAnsi="Times New Roman"/>
          <w:i/>
          <w:sz w:val="24"/>
          <w:szCs w:val="24"/>
        </w:rPr>
        <w:t xml:space="preserve"> &amp; Mrs. T Zietsman</w:t>
      </w:r>
      <w:r>
        <w:rPr>
          <w:rFonts w:ascii="Times New Roman" w:hAnsi="Times New Roman"/>
          <w:i/>
          <w:sz w:val="24"/>
          <w:szCs w:val="24"/>
        </w:rPr>
        <w:t xml:space="preserve"> instructed by Anneke Whelan Attorneys c/o Whitesides Attorneys, Makhanda (ref. Mr. Nunn). </w:t>
      </w:r>
    </w:p>
    <w:p w14:paraId="23A7F6D6" w14:textId="77777777" w:rsidR="00FB6691" w:rsidRPr="00A66AFC" w:rsidRDefault="00FB6691" w:rsidP="00187995">
      <w:pPr>
        <w:spacing w:line="360" w:lineRule="auto"/>
        <w:contextualSpacing/>
        <w:jc w:val="both"/>
        <w:rPr>
          <w:rFonts w:ascii="Times New Roman" w:hAnsi="Times New Roman" w:cs="Times New Roman"/>
          <w:sz w:val="28"/>
          <w:szCs w:val="28"/>
        </w:rPr>
      </w:pPr>
    </w:p>
    <w:sectPr w:rsidR="00FB6691" w:rsidRPr="00A66AFC" w:rsidSect="0018799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853C" w14:textId="77777777" w:rsidR="00A90F1C" w:rsidRDefault="00A90F1C" w:rsidP="00187995">
      <w:pPr>
        <w:spacing w:after="0" w:line="240" w:lineRule="auto"/>
      </w:pPr>
      <w:r>
        <w:separator/>
      </w:r>
    </w:p>
  </w:endnote>
  <w:endnote w:type="continuationSeparator" w:id="0">
    <w:p w14:paraId="0A8A349D" w14:textId="77777777" w:rsidR="00A90F1C" w:rsidRDefault="00A90F1C" w:rsidP="0018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1741" w14:textId="77777777" w:rsidR="00A90F1C" w:rsidRDefault="00A90F1C" w:rsidP="00187995">
      <w:pPr>
        <w:spacing w:after="0" w:line="240" w:lineRule="auto"/>
      </w:pPr>
      <w:r>
        <w:separator/>
      </w:r>
    </w:p>
  </w:footnote>
  <w:footnote w:type="continuationSeparator" w:id="0">
    <w:p w14:paraId="7EB6BF7D" w14:textId="77777777" w:rsidR="00A90F1C" w:rsidRDefault="00A90F1C" w:rsidP="00187995">
      <w:pPr>
        <w:spacing w:after="0" w:line="240" w:lineRule="auto"/>
      </w:pPr>
      <w:r>
        <w:continuationSeparator/>
      </w:r>
    </w:p>
  </w:footnote>
  <w:footnote w:id="1">
    <w:p w14:paraId="46C18817" w14:textId="5BE0ED61" w:rsidR="00BD0F7F" w:rsidRDefault="00BD0F7F" w:rsidP="00BD0F7F">
      <w:pPr>
        <w:pStyle w:val="FootnoteText"/>
        <w:jc w:val="both"/>
      </w:pPr>
      <w:r>
        <w:rPr>
          <w:rStyle w:val="FootnoteReference"/>
        </w:rPr>
        <w:footnoteRef/>
      </w:r>
      <w:r>
        <w:t xml:space="preserve"> Before the coming into operation of Chapter 4 of the Legal Practice Act, No. 28 of 2014 (“the LPA”) on 1 November 2018</w:t>
      </w:r>
      <w:r w:rsidR="007424A0">
        <w:t>,</w:t>
      </w:r>
      <w:r>
        <w:t xml:space="preserve"> offending conduct was categorized as “unprofessional”, “dishonest” or “unworthy”.  The new act adopts the all encompassing concept of “misconduct”.  Section 36 of the LPA provides that the </w:t>
      </w:r>
      <w:r w:rsidR="007424A0">
        <w:t>C</w:t>
      </w:r>
      <w:r>
        <w:t xml:space="preserve">ode of </w:t>
      </w:r>
      <w:r w:rsidR="007424A0">
        <w:t>C</w:t>
      </w:r>
      <w:r>
        <w:t>onduct</w:t>
      </w:r>
      <w:r w:rsidR="00C228D2">
        <w:t>,</w:t>
      </w:r>
      <w:r>
        <w:t xml:space="preserve"> defined in section 1 as meaning “</w:t>
      </w:r>
      <w:r w:rsidR="000C70A5" w:rsidRPr="000C70A5">
        <w:rPr>
          <w:rFonts w:eastAsia="Times New Roman" w:cstheme="minorHAnsi"/>
          <w:color w:val="000000"/>
        </w:rPr>
        <w:t>a written code setting out rules and standards relating to ethics, conduct and practice for legal practitioners and its enforcement through the Council and its structures</w:t>
      </w:r>
      <w:r w:rsidR="002604D9">
        <w:rPr>
          <w:rFonts w:eastAsia="Times New Roman" w:cstheme="minorHAnsi"/>
          <w:color w:val="000000"/>
        </w:rPr>
        <w:t xml:space="preserve"> …</w:t>
      </w:r>
      <w:r>
        <w:t>” serves as the prevailing stand</w:t>
      </w:r>
      <w:r w:rsidR="005D12C2">
        <w:t>ard</w:t>
      </w:r>
      <w:r>
        <w:t xml:space="preserve"> of conduct which legal practitioners must adhere to, and failure to do so constitutes misconduct.</w:t>
      </w:r>
    </w:p>
  </w:footnote>
  <w:footnote w:id="2">
    <w:p w14:paraId="471E634A" w14:textId="60F7849F" w:rsidR="00BD0F7F" w:rsidRPr="00F26CAB" w:rsidRDefault="00BD0F7F">
      <w:pPr>
        <w:pStyle w:val="FootnoteText"/>
        <w:rPr>
          <w:lang w:val="en-ZA"/>
        </w:rPr>
      </w:pPr>
      <w:r>
        <w:rPr>
          <w:rStyle w:val="FootnoteReference"/>
        </w:rPr>
        <w:footnoteRef/>
      </w:r>
      <w:r>
        <w:t xml:space="preserve"> </w:t>
      </w:r>
      <w:r w:rsidR="00F26CAB">
        <w:rPr>
          <w:lang w:val="en-ZA"/>
        </w:rPr>
        <w:t>Section 40 (3) (a) of the LPA.</w:t>
      </w:r>
    </w:p>
  </w:footnote>
  <w:footnote w:id="3">
    <w:p w14:paraId="7C1E6E0F" w14:textId="5EFF8B83" w:rsidR="00291380" w:rsidRPr="00291380" w:rsidRDefault="00291380" w:rsidP="007501A3">
      <w:pPr>
        <w:pStyle w:val="FootnoteText"/>
        <w:jc w:val="both"/>
        <w:rPr>
          <w:lang w:val="en-GB"/>
        </w:rPr>
      </w:pPr>
      <w:r>
        <w:rPr>
          <w:rStyle w:val="FootnoteReference"/>
        </w:rPr>
        <w:footnoteRef/>
      </w:r>
      <w:r>
        <w:t xml:space="preserve"> </w:t>
      </w:r>
      <w:r w:rsidR="00F02AC8">
        <w:t>The applicant can cancel or suspend the enrolment of a legal practitioner if he/she has “erroneously been enrolled”</w:t>
      </w:r>
      <w:r w:rsidR="003563DD">
        <w:t xml:space="preserve"> or has been enrolled on information that is subsequently proved to be false (Section 31 (1)(b)</w:t>
      </w:r>
      <w:r w:rsidR="002604D9">
        <w:t>)</w:t>
      </w:r>
      <w:r w:rsidR="003563DD">
        <w:t>.  In any other case it can only cancel or suspend enrolment</w:t>
      </w:r>
      <w:r w:rsidR="002604D9">
        <w:t xml:space="preserve"> </w:t>
      </w:r>
      <w:r w:rsidR="00F02AC8">
        <w:t>if a high court orders that a practitioner’s name be struck off the roll or that that person be suspended from practice (</w:t>
      </w:r>
      <w:r w:rsidR="007424A0">
        <w:t>S</w:t>
      </w:r>
      <w:r w:rsidR="00F02AC8">
        <w:t>ection 31 (1)</w:t>
      </w:r>
      <w:r w:rsidR="002604D9">
        <w:t>(a)</w:t>
      </w:r>
      <w:r w:rsidR="00F02AC8">
        <w:t xml:space="preserve">).  Such an order will be preceded by a recommendation by the relevant disciplinary committee that the </w:t>
      </w:r>
      <w:r w:rsidR="003563DD">
        <w:t>C</w:t>
      </w:r>
      <w:r w:rsidR="00F02AC8">
        <w:t xml:space="preserve">ouncil apply to the </w:t>
      </w:r>
      <w:r w:rsidR="007424A0">
        <w:t>H</w:t>
      </w:r>
      <w:r w:rsidR="00F02AC8">
        <w:t xml:space="preserve">igh </w:t>
      </w:r>
      <w:r w:rsidR="007424A0">
        <w:t>C</w:t>
      </w:r>
      <w:r w:rsidR="00F02AC8">
        <w:t>ourt for a striking out,</w:t>
      </w:r>
      <w:r w:rsidR="002604D9">
        <w:t xml:space="preserve"> or</w:t>
      </w:r>
      <w:r w:rsidR="00F02AC8">
        <w:t xml:space="preserve"> an order suspending him/her from practice</w:t>
      </w:r>
      <w:r w:rsidR="002604D9">
        <w:t>,</w:t>
      </w:r>
      <w:r w:rsidR="00F02AC8">
        <w:t xml:space="preserve"> or “any other appropriate relief”</w:t>
      </w:r>
      <w:r w:rsidR="002604D9">
        <w:t xml:space="preserve"> (Section 40 (3)(iv)</w:t>
      </w:r>
      <w:r w:rsidR="005D12C2">
        <w:t>)</w:t>
      </w:r>
      <w:r w:rsidR="007424A0">
        <w:t xml:space="preserve"> and obviously an application to justify that relief sought</w:t>
      </w:r>
      <w:r w:rsidR="00F02AC8">
        <w:t>.</w:t>
      </w:r>
    </w:p>
  </w:footnote>
  <w:footnote w:id="4">
    <w:p w14:paraId="2763D75B" w14:textId="77777777" w:rsidR="00DC53D8" w:rsidRPr="003D74F6" w:rsidRDefault="00DC53D8" w:rsidP="00DC53D8">
      <w:pPr>
        <w:pStyle w:val="FootnoteText"/>
        <w:jc w:val="both"/>
        <w:rPr>
          <w:lang w:val="en-GB"/>
        </w:rPr>
      </w:pPr>
      <w:r>
        <w:rPr>
          <w:rStyle w:val="FootnoteReference"/>
        </w:rPr>
        <w:footnoteRef/>
      </w:r>
      <w:r>
        <w:t xml:space="preserve"> </w:t>
      </w:r>
      <w:r w:rsidRPr="00413EF7">
        <w:rPr>
          <w:i/>
          <w:lang w:val="en-GB"/>
        </w:rPr>
        <w:t>Botha v Law Society, Northern</w:t>
      </w:r>
      <w:r>
        <w:rPr>
          <w:lang w:val="en-GB"/>
        </w:rPr>
        <w:t xml:space="preserve"> Provinces 2000 (3) SA 44 (SCA) at para [10]; </w:t>
      </w:r>
      <w:r w:rsidRPr="00413EF7">
        <w:rPr>
          <w:i/>
          <w:lang w:val="en-GB"/>
        </w:rPr>
        <w:t>Malan and Another v Law Society, Northern Provinces</w:t>
      </w:r>
      <w:r>
        <w:rPr>
          <w:lang w:val="en-GB"/>
        </w:rPr>
        <w:t xml:space="preserve"> 2009 (1) SA 216 (SCA) at para [4].</w:t>
      </w:r>
    </w:p>
  </w:footnote>
  <w:footnote w:id="5">
    <w:p w14:paraId="5722B082" w14:textId="25957302" w:rsidR="002604D9" w:rsidRPr="002604D9" w:rsidRDefault="002604D9">
      <w:pPr>
        <w:pStyle w:val="FootnoteText"/>
        <w:rPr>
          <w:lang w:val="en-ZA"/>
        </w:rPr>
      </w:pPr>
      <w:r>
        <w:rPr>
          <w:rStyle w:val="FootnoteReference"/>
        </w:rPr>
        <w:footnoteRef/>
      </w:r>
      <w:r>
        <w:t xml:space="preserve"> </w:t>
      </w:r>
      <w:r w:rsidRPr="002604D9">
        <w:rPr>
          <w:i/>
          <w:iCs/>
          <w:lang w:val="en-ZA"/>
        </w:rPr>
        <w:t>Law Society of the Cape of Good Hope v C</w:t>
      </w:r>
      <w:r>
        <w:rPr>
          <w:lang w:val="en-ZA"/>
        </w:rPr>
        <w:t xml:space="preserve"> 1986 (1) 616 (AD) at 639 D.</w:t>
      </w:r>
    </w:p>
  </w:footnote>
  <w:footnote w:id="6">
    <w:p w14:paraId="5B5F57DA" w14:textId="13FF8E01" w:rsidR="00DC53D8" w:rsidRPr="00DC53D8" w:rsidRDefault="00DC53D8" w:rsidP="007501A3">
      <w:pPr>
        <w:pStyle w:val="FootnoteText"/>
        <w:jc w:val="both"/>
        <w:rPr>
          <w:lang w:val="en-GB"/>
        </w:rPr>
      </w:pPr>
      <w:r>
        <w:rPr>
          <w:rStyle w:val="FootnoteReference"/>
        </w:rPr>
        <w:footnoteRef/>
      </w:r>
      <w:r>
        <w:t xml:space="preserve"> Section 116(1) of the LPA provides for pending proceedings under the old Attorney’s Act, </w:t>
      </w:r>
      <w:r w:rsidR="00F02AC8">
        <w:t>No. 53 of 1979</w:t>
      </w:r>
      <w:r>
        <w:t xml:space="preserve">, to be referred to the applicant to treat any unconcluded proceedings into alleged unprofessional or dishonest or unworthy conduct of a legal practitioner under the old act in the manner it </w:t>
      </w:r>
      <w:r w:rsidR="003563DD">
        <w:t xml:space="preserve">presently </w:t>
      </w:r>
      <w:r>
        <w:t>deems appropriate.</w:t>
      </w:r>
    </w:p>
  </w:footnote>
  <w:footnote w:id="7">
    <w:p w14:paraId="7678064D" w14:textId="3C34D934" w:rsidR="0033207D" w:rsidRPr="0083096B" w:rsidRDefault="0033207D" w:rsidP="0033207D">
      <w:pPr>
        <w:pStyle w:val="FootnoteText"/>
        <w:jc w:val="both"/>
        <w:rPr>
          <w:lang w:val="en-GB"/>
        </w:rPr>
      </w:pPr>
      <w:r>
        <w:rPr>
          <w:rStyle w:val="FootnoteReference"/>
        </w:rPr>
        <w:footnoteRef/>
      </w:r>
      <w:r>
        <w:t xml:space="preserve"> </w:t>
      </w:r>
      <w:r>
        <w:rPr>
          <w:lang w:val="en-GB"/>
        </w:rPr>
        <w:t>The associate</w:t>
      </w:r>
      <w:r w:rsidR="009E6894">
        <w:rPr>
          <w:lang w:val="en-GB"/>
        </w:rPr>
        <w:t>, or a director as may be the more correct designation of him, is</w:t>
      </w:r>
      <w:r>
        <w:rPr>
          <w:lang w:val="en-GB"/>
        </w:rPr>
        <w:t xml:space="preserve"> also a Mr. Labuschagne, although unrelated to the complainant.  In the complainant’s complaint submission form only the respondent and Mr. Labuschagne are mentioned </w:t>
      </w:r>
      <w:r w:rsidR="009E6894">
        <w:rPr>
          <w:lang w:val="en-GB"/>
        </w:rPr>
        <w:t xml:space="preserve">(Greyvensteins Inc being indicated in the form as the “name of attorney against whom the complaint is lodged”) </w:t>
      </w:r>
      <w:r>
        <w:rPr>
          <w:lang w:val="en-GB"/>
        </w:rPr>
        <w:t>but it is apparent from a judgment of this court in</w:t>
      </w:r>
      <w:r w:rsidR="005E46C1">
        <w:rPr>
          <w:lang w:val="en-GB"/>
        </w:rPr>
        <w:t xml:space="preserve"> </w:t>
      </w:r>
      <w:r w:rsidR="005E46C1" w:rsidRPr="00F9793F">
        <w:rPr>
          <w:i/>
          <w:iCs/>
          <w:lang w:val="en-GB"/>
        </w:rPr>
        <w:t>Legal Practice Council v Craddock</w:t>
      </w:r>
      <w:r w:rsidR="005E46C1">
        <w:rPr>
          <w:lang w:val="en-GB"/>
        </w:rPr>
        <w:t xml:space="preserve"> (1967/2020) [2002] ZAECMKHC 48 (10 August 2022)</w:t>
      </w:r>
      <w:r w:rsidR="00040501">
        <w:rPr>
          <w:lang w:val="en-GB"/>
        </w:rPr>
        <w:t xml:space="preserve"> (“</w:t>
      </w:r>
      <w:r w:rsidR="00040501" w:rsidRPr="00040501">
        <w:rPr>
          <w:i/>
          <w:iCs/>
          <w:lang w:val="en-GB"/>
        </w:rPr>
        <w:t>Craddock</w:t>
      </w:r>
      <w:r w:rsidR="00040501">
        <w:rPr>
          <w:lang w:val="en-GB"/>
        </w:rPr>
        <w:t>”)</w:t>
      </w:r>
      <w:r>
        <w:rPr>
          <w:lang w:val="en-GB"/>
        </w:rPr>
        <w:t xml:space="preserve"> that </w:t>
      </w:r>
      <w:r w:rsidR="00DC53D8">
        <w:rPr>
          <w:lang w:val="en-GB"/>
        </w:rPr>
        <w:t xml:space="preserve">a third attorney </w:t>
      </w:r>
      <w:r w:rsidR="009E6894">
        <w:rPr>
          <w:lang w:val="en-GB"/>
        </w:rPr>
        <w:t>was</w:t>
      </w:r>
      <w:r>
        <w:rPr>
          <w:lang w:val="en-GB"/>
        </w:rPr>
        <w:t xml:space="preserve"> asked to account by the applicant for her role played in the </w:t>
      </w:r>
      <w:r w:rsidR="009E6894">
        <w:rPr>
          <w:lang w:val="en-GB"/>
        </w:rPr>
        <w:t xml:space="preserve">same </w:t>
      </w:r>
      <w:r w:rsidRPr="0083096B">
        <w:rPr>
          <w:lang w:val="en-GB"/>
        </w:rPr>
        <w:t>saga</w:t>
      </w:r>
      <w:r w:rsidR="009E6894">
        <w:rPr>
          <w:lang w:val="en-GB"/>
        </w:rPr>
        <w:t xml:space="preserve">. The applicant does not disclose in its founding affidavit what the fate was of the other two </w:t>
      </w:r>
      <w:r w:rsidR="00551D06">
        <w:rPr>
          <w:lang w:val="en-GB"/>
        </w:rPr>
        <w:t>practitioners but</w:t>
      </w:r>
      <w:r w:rsidR="009E6894">
        <w:rPr>
          <w:lang w:val="en-GB"/>
        </w:rPr>
        <w:t xml:space="preserve"> relied on the </w:t>
      </w:r>
      <w:r w:rsidR="009E6894" w:rsidRPr="00F9793F">
        <w:rPr>
          <w:i/>
          <w:iCs/>
          <w:lang w:val="en-GB"/>
        </w:rPr>
        <w:t>Craddock</w:t>
      </w:r>
      <w:r w:rsidR="009E6894">
        <w:rPr>
          <w:lang w:val="en-GB"/>
        </w:rPr>
        <w:t xml:space="preserve"> judgment in its oral submissions before this court</w:t>
      </w:r>
      <w:r>
        <w:rPr>
          <w:lang w:val="en-GB"/>
        </w:rPr>
        <w:t xml:space="preserve"> </w:t>
      </w:r>
      <w:r w:rsidR="009E6894">
        <w:rPr>
          <w:lang w:val="en-GB"/>
        </w:rPr>
        <w:t>to distinguish the respondent’s situation from Ms</w:t>
      </w:r>
      <w:r w:rsidR="00F9793F">
        <w:rPr>
          <w:lang w:val="en-GB"/>
        </w:rPr>
        <w:t>.</w:t>
      </w:r>
      <w:r w:rsidR="009E6894">
        <w:rPr>
          <w:lang w:val="en-GB"/>
        </w:rPr>
        <w:t xml:space="preserve"> Craddock’s</w:t>
      </w:r>
      <w:r w:rsidR="00040501">
        <w:rPr>
          <w:lang w:val="en-GB"/>
        </w:rPr>
        <w:t xml:space="preserve"> and to indicate the co</w:t>
      </w:r>
      <w:r w:rsidR="005D12C2">
        <w:rPr>
          <w:lang w:val="en-GB"/>
        </w:rPr>
        <w:t>urt’s</w:t>
      </w:r>
      <w:r w:rsidR="00040501">
        <w:rPr>
          <w:lang w:val="en-GB"/>
        </w:rPr>
        <w:t xml:space="preserve"> sentiments regarding her misconduct </w:t>
      </w:r>
      <w:r w:rsidR="005D12C2">
        <w:rPr>
          <w:lang w:val="en-GB"/>
        </w:rPr>
        <w:t xml:space="preserve">which </w:t>
      </w:r>
      <w:r w:rsidR="00040501">
        <w:rPr>
          <w:lang w:val="en-GB"/>
        </w:rPr>
        <w:t>the applicant was unable to prove it on a balance of probabilities</w:t>
      </w:r>
      <w:r w:rsidR="009E6894">
        <w:rPr>
          <w:lang w:val="en-GB"/>
        </w:rPr>
        <w:t xml:space="preserve">.  </w:t>
      </w:r>
      <w:r w:rsidR="00F9793F">
        <w:rPr>
          <w:lang w:val="en-GB"/>
        </w:rPr>
        <w:t>I</w:t>
      </w:r>
      <w:r w:rsidR="009E6894">
        <w:rPr>
          <w:lang w:val="en-GB"/>
        </w:rPr>
        <w:t xml:space="preserve">n my view it would have made sense to </w:t>
      </w:r>
      <w:r w:rsidR="00551D06">
        <w:rPr>
          <w:lang w:val="en-GB"/>
        </w:rPr>
        <w:t xml:space="preserve">investigate the matter as a single complaint against several practitioners and to have brought one application for the court to enquire into the alleged misconduct </w:t>
      </w:r>
      <w:r w:rsidR="00B9784E">
        <w:rPr>
          <w:lang w:val="en-GB"/>
        </w:rPr>
        <w:t xml:space="preserve">(although uniquely personal to each) </w:t>
      </w:r>
      <w:r w:rsidR="00551D06">
        <w:rPr>
          <w:lang w:val="en-GB"/>
        </w:rPr>
        <w:t>and to decide the fate of each professional one in relation to the other</w:t>
      </w:r>
      <w:r w:rsidR="008001A8">
        <w:rPr>
          <w:lang w:val="en-GB"/>
        </w:rPr>
        <w:t xml:space="preserve"> and against the measure of the misconduct</w:t>
      </w:r>
      <w:r w:rsidR="00551D06">
        <w:rPr>
          <w:lang w:val="en-GB"/>
        </w:rPr>
        <w:t>.  As it turned out, the splitting of the two matters (I will leave Mr</w:t>
      </w:r>
      <w:r w:rsidR="005D12C2">
        <w:rPr>
          <w:lang w:val="en-GB"/>
        </w:rPr>
        <w:t>.</w:t>
      </w:r>
      <w:r w:rsidR="00551D06">
        <w:rPr>
          <w:lang w:val="en-GB"/>
        </w:rPr>
        <w:t xml:space="preserve"> Labuschagne out of the equation) seems to have invoked speculation </w:t>
      </w:r>
      <w:r w:rsidR="00B9784E">
        <w:rPr>
          <w:lang w:val="en-GB"/>
        </w:rPr>
        <w:t xml:space="preserve">about the respondent’s probable culpability </w:t>
      </w:r>
      <w:r w:rsidR="005D19D1">
        <w:rPr>
          <w:lang w:val="en-GB"/>
        </w:rPr>
        <w:t xml:space="preserve">in the Craddock proceedings to strike her from the roll </w:t>
      </w:r>
      <w:r w:rsidR="00B9784E">
        <w:rPr>
          <w:lang w:val="en-GB"/>
        </w:rPr>
        <w:t>based</w:t>
      </w:r>
      <w:r w:rsidR="00291F97">
        <w:rPr>
          <w:lang w:val="en-GB"/>
        </w:rPr>
        <w:t xml:space="preserve"> </w:t>
      </w:r>
      <w:r w:rsidR="00291F97">
        <w:rPr>
          <w:i/>
          <w:iCs/>
          <w:lang w:val="en-GB"/>
        </w:rPr>
        <w:t>inter alia</w:t>
      </w:r>
      <w:r w:rsidR="00B9784E">
        <w:rPr>
          <w:lang w:val="en-GB"/>
        </w:rPr>
        <w:t xml:space="preserve"> on the incorrect premise that Greyvensteins Inc</w:t>
      </w:r>
      <w:r w:rsidR="005D12C2">
        <w:rPr>
          <w:lang w:val="en-GB"/>
        </w:rPr>
        <w:t>.</w:t>
      </w:r>
      <w:r w:rsidR="00B9784E">
        <w:rPr>
          <w:lang w:val="en-GB"/>
        </w:rPr>
        <w:t xml:space="preserve"> attended to the bond registration.  The logic following that mistaken premise is that the respondent would have drafted the suretyship under scrutiny and would have overseen its execution by his mother and the complainant</w:t>
      </w:r>
      <w:r w:rsidR="008001A8">
        <w:rPr>
          <w:lang w:val="en-GB"/>
        </w:rPr>
        <w:t xml:space="preserve">, in effect being in a position to manipulate the situation for his own </w:t>
      </w:r>
      <w:r w:rsidR="00040501">
        <w:rPr>
          <w:lang w:val="en-GB"/>
        </w:rPr>
        <w:t xml:space="preserve">personal </w:t>
      </w:r>
      <w:r w:rsidR="008001A8">
        <w:rPr>
          <w:lang w:val="en-GB"/>
        </w:rPr>
        <w:t>interest</w:t>
      </w:r>
      <w:r w:rsidR="00040501">
        <w:rPr>
          <w:lang w:val="en-GB"/>
        </w:rPr>
        <w:t>s</w:t>
      </w:r>
      <w:r w:rsidR="008001A8">
        <w:rPr>
          <w:lang w:val="en-GB"/>
        </w:rPr>
        <w:t>.</w:t>
      </w:r>
    </w:p>
  </w:footnote>
  <w:footnote w:id="8">
    <w:p w14:paraId="790C126F" w14:textId="518ABBA5" w:rsidR="003563DD" w:rsidRPr="003563DD" w:rsidRDefault="003563DD">
      <w:pPr>
        <w:pStyle w:val="FootnoteText"/>
        <w:rPr>
          <w:rFonts w:cstheme="minorHAnsi"/>
          <w:lang w:val="en-ZA"/>
        </w:rPr>
      </w:pPr>
      <w:r>
        <w:rPr>
          <w:rStyle w:val="FootnoteReference"/>
        </w:rPr>
        <w:footnoteRef/>
      </w:r>
      <w:r>
        <w:t xml:space="preserve"> </w:t>
      </w:r>
      <w:r w:rsidRPr="003563DD">
        <w:rPr>
          <w:rFonts w:cstheme="minorHAnsi"/>
        </w:rPr>
        <w:t>(GN 2 of 26 February 2016 : Rules of the Attorneys’ Profession (Government Gazette No. 39740) which came into operation on 1 March 2016</w:t>
      </w:r>
    </w:p>
  </w:footnote>
  <w:footnote w:id="9">
    <w:p w14:paraId="2E0297B0" w14:textId="7D7CF2D4" w:rsidR="0033207D" w:rsidRPr="0033207D" w:rsidRDefault="0033207D">
      <w:pPr>
        <w:pStyle w:val="FootnoteText"/>
        <w:rPr>
          <w:lang w:val="en-GB"/>
        </w:rPr>
      </w:pPr>
      <w:r>
        <w:rPr>
          <w:rStyle w:val="FootnoteReference"/>
        </w:rPr>
        <w:footnoteRef/>
      </w:r>
      <w:r>
        <w:t xml:space="preserve"> </w:t>
      </w:r>
      <w:r>
        <w:rPr>
          <w:lang w:val="en-GB"/>
        </w:rPr>
        <w:t xml:space="preserve">The court remarked upon these features in a judgment given in the complainant’s divorce action </w:t>
      </w:r>
      <w:r w:rsidR="007F72EF">
        <w:rPr>
          <w:lang w:val="en-GB"/>
        </w:rPr>
        <w:t>that</w:t>
      </w:r>
      <w:r>
        <w:rPr>
          <w:lang w:val="en-GB"/>
        </w:rPr>
        <w:t xml:space="preserve"> has certain relevance to these proceedings.</w:t>
      </w:r>
    </w:p>
  </w:footnote>
  <w:footnote w:id="10">
    <w:p w14:paraId="213F2F39" w14:textId="37C68A6C" w:rsidR="005D12C2" w:rsidRDefault="005D12C2" w:rsidP="005D12C2">
      <w:pPr>
        <w:pStyle w:val="FootnoteText"/>
        <w:jc w:val="both"/>
      </w:pPr>
      <w:r>
        <w:rPr>
          <w:rStyle w:val="FootnoteReference"/>
        </w:rPr>
        <w:footnoteRef/>
      </w:r>
      <w:r>
        <w:t xml:space="preserve"> Ostensibly no input was obtained from Standard Bank’s attorneys regarding their involvement in the matter.  They would likely have been responsible for drafting the suretyship as an adjunct to their formal conveyancing documents.</w:t>
      </w:r>
    </w:p>
  </w:footnote>
  <w:footnote w:id="11">
    <w:p w14:paraId="06A81133" w14:textId="22A8A48F" w:rsidR="00DB7CEE" w:rsidRPr="00DB7CEE" w:rsidRDefault="00DB7CEE">
      <w:pPr>
        <w:pStyle w:val="FootnoteText"/>
        <w:rPr>
          <w:lang w:val="en-GB"/>
        </w:rPr>
      </w:pPr>
      <w:r>
        <w:rPr>
          <w:rStyle w:val="FootnoteReference"/>
        </w:rPr>
        <w:footnoteRef/>
      </w:r>
      <w:r>
        <w:t xml:space="preserve"> The criminal docket reference number suggests that that complaint too must have been lodged in March 2016.</w:t>
      </w:r>
    </w:p>
  </w:footnote>
  <w:footnote w:id="12">
    <w:p w14:paraId="6D70373E" w14:textId="57D72F10" w:rsidR="008001A8" w:rsidRPr="008001A8" w:rsidRDefault="008001A8" w:rsidP="008001A8">
      <w:pPr>
        <w:pStyle w:val="FootnoteText"/>
        <w:jc w:val="both"/>
        <w:rPr>
          <w:lang w:val="en-ZA"/>
        </w:rPr>
      </w:pPr>
      <w:r>
        <w:rPr>
          <w:rStyle w:val="FootnoteReference"/>
        </w:rPr>
        <w:footnoteRef/>
      </w:r>
      <w:r>
        <w:t xml:space="preserve"> </w:t>
      </w:r>
      <w:r>
        <w:rPr>
          <w:lang w:val="en-ZA"/>
        </w:rPr>
        <w:t>The respondent in an explanatory letter to the CLS had suggested that the complainant had used the facility of the complain</w:t>
      </w:r>
      <w:r w:rsidR="00040501">
        <w:rPr>
          <w:lang w:val="en-ZA"/>
        </w:rPr>
        <w:t>t</w:t>
      </w:r>
      <w:r>
        <w:rPr>
          <w:lang w:val="en-ZA"/>
        </w:rPr>
        <w:t xml:space="preserve"> to advance his case in the </w:t>
      </w:r>
      <w:r w:rsidR="00040501">
        <w:rPr>
          <w:lang w:val="en-ZA"/>
        </w:rPr>
        <w:t>divorce</w:t>
      </w:r>
      <w:r>
        <w:rPr>
          <w:lang w:val="en-ZA"/>
        </w:rPr>
        <w:t xml:space="preserve"> trial.</w:t>
      </w:r>
      <w:r w:rsidR="00935A36">
        <w:rPr>
          <w:lang w:val="en-ZA"/>
        </w:rPr>
        <w:t xml:space="preserve">  As it turned out his insinuation that his wife had forged his signature came to naught.</w:t>
      </w:r>
      <w:r>
        <w:rPr>
          <w:lang w:val="en-ZA"/>
        </w:rPr>
        <w:t xml:space="preserve"> </w:t>
      </w:r>
    </w:p>
  </w:footnote>
  <w:footnote w:id="13">
    <w:p w14:paraId="217817BA" w14:textId="53C9D7ED" w:rsidR="003276C7" w:rsidRPr="003276C7" w:rsidRDefault="003276C7" w:rsidP="003276C7">
      <w:pPr>
        <w:pStyle w:val="FootnoteText"/>
        <w:jc w:val="both"/>
        <w:rPr>
          <w:lang w:val="en-ZA"/>
        </w:rPr>
      </w:pPr>
      <w:r>
        <w:rPr>
          <w:rStyle w:val="FootnoteReference"/>
        </w:rPr>
        <w:footnoteRef/>
      </w:r>
      <w:r>
        <w:t xml:space="preserve"> </w:t>
      </w:r>
      <w:r>
        <w:rPr>
          <w:lang w:val="en-ZA"/>
        </w:rPr>
        <w:t xml:space="preserve">Evidently the CLS held the view that the complainant disclosed a </w:t>
      </w:r>
      <w:r>
        <w:rPr>
          <w:i/>
          <w:iCs/>
          <w:lang w:val="en-ZA"/>
        </w:rPr>
        <w:t>prima facie</w:t>
      </w:r>
      <w:r>
        <w:rPr>
          <w:lang w:val="en-ZA"/>
        </w:rPr>
        <w:t xml:space="preserve"> case of dishonest conduct.</w:t>
      </w:r>
      <w:r w:rsidR="00040501">
        <w:rPr>
          <w:lang w:val="en-ZA"/>
        </w:rPr>
        <w:t xml:space="preserve">  It invited an explanation from the respondent (under </w:t>
      </w:r>
      <w:r w:rsidR="00935A36">
        <w:rPr>
          <w:lang w:val="en-ZA"/>
        </w:rPr>
        <w:t>“</w:t>
      </w:r>
      <w:r w:rsidR="00040501">
        <w:rPr>
          <w:lang w:val="en-ZA"/>
        </w:rPr>
        <w:t>Part VII Disciplinary Proceeding</w:t>
      </w:r>
      <w:r w:rsidR="00935A36">
        <w:rPr>
          <w:lang w:val="en-ZA"/>
        </w:rPr>
        <w:t>s”</w:t>
      </w:r>
      <w:r w:rsidR="00040501">
        <w:rPr>
          <w:lang w:val="en-ZA"/>
        </w:rPr>
        <w:t xml:space="preserve"> of the Rules for</w:t>
      </w:r>
      <w:r w:rsidR="00935A36">
        <w:rPr>
          <w:lang w:val="en-ZA"/>
        </w:rPr>
        <w:t xml:space="preserve"> the</w:t>
      </w:r>
      <w:r w:rsidR="00040501">
        <w:rPr>
          <w:lang w:val="en-ZA"/>
        </w:rPr>
        <w:t xml:space="preserve"> Attorneys’</w:t>
      </w:r>
      <w:r w:rsidR="00150B58">
        <w:rPr>
          <w:lang w:val="en-ZA"/>
        </w:rPr>
        <w:t xml:space="preserve"> Profession.</w:t>
      </w:r>
      <w:r>
        <w:rPr>
          <w:lang w:val="en-ZA"/>
        </w:rPr>
        <w:t xml:space="preserve">  It was not satisfied that an adequate answer to the complaint had been given and thereupon formulated a charge of unprofessional conduct for</w:t>
      </w:r>
      <w:r w:rsidR="00040501">
        <w:rPr>
          <w:lang w:val="en-ZA"/>
        </w:rPr>
        <w:t xml:space="preserve"> contravening</w:t>
      </w:r>
      <w:r>
        <w:rPr>
          <w:lang w:val="en-ZA"/>
        </w:rPr>
        <w:t xml:space="preserve"> Rule 14.3.14 and required the respondent to furnish it with his answer to the charge.</w:t>
      </w:r>
    </w:p>
  </w:footnote>
  <w:footnote w:id="14">
    <w:p w14:paraId="50FBFE53" w14:textId="1D83642D" w:rsidR="005A11C2" w:rsidRDefault="005A11C2" w:rsidP="005A11C2">
      <w:pPr>
        <w:pStyle w:val="FootnoteText"/>
        <w:jc w:val="both"/>
      </w:pPr>
      <w:r>
        <w:rPr>
          <w:rStyle w:val="FootnoteReference"/>
        </w:rPr>
        <w:footnoteRef/>
      </w:r>
      <w:r>
        <w:t xml:space="preserve"> Of concern is that he and Ms. Craddock must have decided to employ a common strategy in answer to the complaint.  This is evident from the fact that in both their initial responses, the same typographical error occurs in their almost identical statements that:</w:t>
      </w:r>
    </w:p>
    <w:p w14:paraId="2B7FE400" w14:textId="77777777" w:rsidR="0010369B" w:rsidRDefault="005A11C2" w:rsidP="0010369B">
      <w:pPr>
        <w:pStyle w:val="FootnoteText"/>
        <w:ind w:left="720"/>
        <w:jc w:val="both"/>
      </w:pPr>
      <w:r>
        <w:t xml:space="preserve">“I regret that I cannot </w:t>
      </w:r>
      <w:r w:rsidRPr="005A11C2">
        <w:rPr>
          <w:i/>
          <w:iCs/>
        </w:rPr>
        <w:t>confer</w:t>
      </w:r>
      <w:r>
        <w:t xml:space="preserve"> (sic) or deny whether Mr Labuschagne had or had not signed in my presence as I have no recollection of the said signature at that time”.  </w:t>
      </w:r>
    </w:p>
    <w:p w14:paraId="54A6C539" w14:textId="37B81163" w:rsidR="005A11C2" w:rsidRDefault="005A11C2" w:rsidP="0010369B">
      <w:pPr>
        <w:pStyle w:val="FootnoteText"/>
        <w:jc w:val="both"/>
      </w:pPr>
      <w:r>
        <w:t xml:space="preserve">See in this regard the court’s summary in Craddock at paragraph [6].  Ms. Craddock coincidentally also suggested a “personal vendetta”, but by the complaint against his wife to aggravate his claims in the divorce action.  </w:t>
      </w:r>
    </w:p>
  </w:footnote>
  <w:footnote w:id="15">
    <w:p w14:paraId="620A06BC" w14:textId="4E2AA1E6" w:rsidR="00935A36" w:rsidRDefault="00935A36" w:rsidP="00935A36">
      <w:pPr>
        <w:pStyle w:val="FootnoteText"/>
        <w:jc w:val="both"/>
      </w:pPr>
      <w:r>
        <w:rPr>
          <w:rStyle w:val="FootnoteReference"/>
        </w:rPr>
        <w:footnoteRef/>
      </w:r>
      <w:r>
        <w:t xml:space="preserve"> It is relevant to mention that he suggests to the CLA that he had requested the suretyship from the Securities Department from the Bank, but never revealed later on whether he subsequently received it or what his investigations in this regard indicated.  He ought to have been curious enough to get to the bottom of the complaint given that he had in fact signed as a witness to the surety.</w:t>
      </w:r>
    </w:p>
  </w:footnote>
  <w:footnote w:id="16">
    <w:p w14:paraId="40653C1C" w14:textId="6AEB2359" w:rsidR="008001A8" w:rsidRPr="008001A8" w:rsidRDefault="008001A8">
      <w:pPr>
        <w:pStyle w:val="FootnoteText"/>
        <w:rPr>
          <w:lang w:val="en-ZA"/>
        </w:rPr>
      </w:pPr>
      <w:r>
        <w:rPr>
          <w:rStyle w:val="FootnoteReference"/>
        </w:rPr>
        <w:footnoteRef/>
      </w:r>
      <w:r>
        <w:t xml:space="preserve"> </w:t>
      </w:r>
      <w:r w:rsidRPr="006F0014">
        <w:rPr>
          <w:highlight w:val="yellow"/>
          <w:lang w:val="en-ZA"/>
        </w:rPr>
        <w:t>The Conduct Rules of the Cape Law Society refer</w:t>
      </w:r>
      <w:r w:rsidR="006F0014" w:rsidRPr="006F0014">
        <w:rPr>
          <w:highlight w:val="yellow"/>
          <w:lang w:val="en-ZA"/>
        </w:rPr>
        <w:t>……</w:t>
      </w:r>
    </w:p>
  </w:footnote>
  <w:footnote w:id="17">
    <w:p w14:paraId="670BD5F5" w14:textId="7D5763A2" w:rsidR="00A812AB" w:rsidRDefault="00A812AB" w:rsidP="00A812AB">
      <w:pPr>
        <w:pStyle w:val="FootnoteText"/>
        <w:jc w:val="both"/>
      </w:pPr>
      <w:r>
        <w:rPr>
          <w:rStyle w:val="FootnoteReference"/>
        </w:rPr>
        <w:footnoteRef/>
      </w:r>
      <w:r>
        <w:t xml:space="preserve"> Judgment in the divorce action was an attachment to this letter, put up by the respondent to bring home the supported malice and all motives of the complainant, leave aside the court’s negative comments made in the judgment against the complainant’s credibility.</w:t>
      </w:r>
    </w:p>
  </w:footnote>
  <w:footnote w:id="18">
    <w:p w14:paraId="7646E0D9" w14:textId="2ACF35EA" w:rsidR="006814FC" w:rsidRDefault="006814FC" w:rsidP="006814FC">
      <w:pPr>
        <w:pStyle w:val="FootnoteText"/>
        <w:jc w:val="both"/>
      </w:pPr>
      <w:r>
        <w:rPr>
          <w:rStyle w:val="FootnoteReference"/>
        </w:rPr>
        <w:footnoteRef/>
      </w:r>
      <w:r>
        <w:t xml:space="preserve"> Since he had advised the CLS that he had asked for the deed from the bank one would have expected some form of introspection by him as a reasonable professional who had allegedly duped or even more so once the forensic report confirmed the complainant’s grievance that the signature on the consent form was indeed false.</w:t>
      </w:r>
    </w:p>
  </w:footnote>
  <w:footnote w:id="19">
    <w:p w14:paraId="7E5C5CB8" w14:textId="0E16E248" w:rsidR="00A7094B" w:rsidRPr="00A7094B" w:rsidRDefault="00A7094B" w:rsidP="005C3588">
      <w:pPr>
        <w:pStyle w:val="FootnoteText"/>
        <w:jc w:val="both"/>
        <w:rPr>
          <w:lang w:val="en-ZA"/>
        </w:rPr>
      </w:pPr>
      <w:r>
        <w:rPr>
          <w:rStyle w:val="FootnoteReference"/>
        </w:rPr>
        <w:footnoteRef/>
      </w:r>
      <w:r>
        <w:t xml:space="preserve"> </w:t>
      </w:r>
      <w:r>
        <w:rPr>
          <w:lang w:val="en-ZA"/>
        </w:rPr>
        <w:t xml:space="preserve">See </w:t>
      </w:r>
      <w:r w:rsidRPr="002D0EB5">
        <w:rPr>
          <w:highlight w:val="yellow"/>
          <w:lang w:val="en-ZA"/>
        </w:rPr>
        <w:t xml:space="preserve">footnote </w:t>
      </w:r>
      <w:r w:rsidR="004E4582" w:rsidRPr="002D0EB5">
        <w:rPr>
          <w:highlight w:val="yellow"/>
          <w:lang w:val="en-ZA"/>
        </w:rPr>
        <w:t>4</w:t>
      </w:r>
      <w:r>
        <w:rPr>
          <w:lang w:val="en-ZA"/>
        </w:rPr>
        <w:t xml:space="preserve"> above.  Speculation could have been avoided if the applicant had investigated the matter as a combined complaint and invited the factual enquiry envisaged in </w:t>
      </w:r>
      <w:r w:rsidRPr="002D0EB5">
        <w:rPr>
          <w:highlight w:val="yellow"/>
          <w:lang w:val="en-ZA"/>
        </w:rPr>
        <w:t>paragraph 2</w:t>
      </w:r>
      <w:r>
        <w:rPr>
          <w:lang w:val="en-ZA"/>
        </w:rPr>
        <w:t xml:space="preserve"> above in one single application</w:t>
      </w:r>
      <w:r w:rsidR="004E4582">
        <w:rPr>
          <w:lang w:val="en-ZA"/>
        </w:rPr>
        <w:t xml:space="preserve"> to this court</w:t>
      </w:r>
      <w:r>
        <w:rPr>
          <w:lang w:val="en-ZA"/>
        </w:rPr>
        <w:t>.</w:t>
      </w:r>
    </w:p>
  </w:footnote>
  <w:footnote w:id="20">
    <w:p w14:paraId="021A4FFD" w14:textId="3E497B01" w:rsidR="0045380D" w:rsidRPr="00AE33BE" w:rsidRDefault="0045380D" w:rsidP="0045380D">
      <w:pPr>
        <w:pStyle w:val="FootnoteText"/>
        <w:rPr>
          <w:lang w:val="en-GB"/>
        </w:rPr>
      </w:pPr>
      <w:r>
        <w:rPr>
          <w:rStyle w:val="FootnoteReference"/>
        </w:rPr>
        <w:footnoteRef/>
      </w:r>
      <w:r>
        <w:t xml:space="preserve"> </w:t>
      </w:r>
      <w:r w:rsidR="00B51D5A">
        <w:rPr>
          <w:lang w:val="en-GB"/>
        </w:rPr>
        <w:t>It was accepted in the present proceedings that this is an incorrect premise.</w:t>
      </w:r>
    </w:p>
  </w:footnote>
  <w:footnote w:id="21">
    <w:p w14:paraId="0997A391" w14:textId="1B42ED37" w:rsidR="002D0EB5" w:rsidRDefault="002D0EB5" w:rsidP="003F2687">
      <w:pPr>
        <w:pStyle w:val="FootnoteText"/>
        <w:jc w:val="both"/>
      </w:pPr>
      <w:r>
        <w:rPr>
          <w:rStyle w:val="FootnoteReference"/>
        </w:rPr>
        <w:footnoteRef/>
      </w:r>
      <w:r>
        <w:t xml:space="preserve"> That would have significantly lifted the lid off the mystery and laid bare the obvious, which is that the respondent</w:t>
      </w:r>
      <w:r w:rsidR="003F2687">
        <w:t>’s mother could have filled in the missing gaps to so many questions.  I saw no indication that the applicant had interviewed the latter.  However, by the same token, the respondent ought to have conducted his own investigation into the obvious abuse of his professional agency impliedly by his own mother.</w:t>
      </w:r>
    </w:p>
  </w:footnote>
  <w:footnote w:id="22">
    <w:p w14:paraId="6E2F1C6E" w14:textId="50BF9C8D" w:rsidR="004E4582" w:rsidRPr="004E4582" w:rsidRDefault="004E4582">
      <w:pPr>
        <w:pStyle w:val="FootnoteText"/>
        <w:rPr>
          <w:lang w:val="en-ZA"/>
        </w:rPr>
      </w:pPr>
      <w:r>
        <w:rPr>
          <w:rStyle w:val="FootnoteReference"/>
        </w:rPr>
        <w:footnoteRef/>
      </w:r>
      <w:r>
        <w:t xml:space="preserve"> </w:t>
      </w:r>
      <w:r>
        <w:rPr>
          <w:lang w:val="en-ZA"/>
        </w:rPr>
        <w:t xml:space="preserve">Paras 29 – 31 of the </w:t>
      </w:r>
      <w:r w:rsidRPr="004E4582">
        <w:rPr>
          <w:i/>
          <w:iCs/>
          <w:lang w:val="en-ZA"/>
        </w:rPr>
        <w:t>Craddock</w:t>
      </w:r>
      <w:r>
        <w:rPr>
          <w:lang w:val="en-ZA"/>
        </w:rPr>
        <w:t xml:space="preserve"> judgment.</w:t>
      </w:r>
    </w:p>
  </w:footnote>
  <w:footnote w:id="23">
    <w:p w14:paraId="086D5EC4" w14:textId="3EE49D6D" w:rsidR="00F46DE6" w:rsidRDefault="00F46DE6" w:rsidP="00F46DE6">
      <w:pPr>
        <w:pStyle w:val="FootnoteText"/>
        <w:jc w:val="both"/>
      </w:pPr>
      <w:r>
        <w:rPr>
          <w:rStyle w:val="FootnoteReference"/>
        </w:rPr>
        <w:footnoteRef/>
      </w:r>
      <w:r>
        <w:t xml:space="preserve"> </w:t>
      </w:r>
      <w:r>
        <w:rPr>
          <w:lang w:val="en-ZA"/>
        </w:rPr>
        <w:t xml:space="preserve">I should point out that the respondent begrudgingly accepted the “proof” of the forgery as set out in the forensic report in the absence of a confirmatory affidavit by Warrant Officer Ntlanyana and the lack of any opportunity to have countered her opinion. He also remarked upon the absence of any enquiry or opportunity under the auspices of the CLS’ disciplinary processes to have had an opportunity to have disputed the evidence of a fraudulent signature or to cross examine witnesses though the CLS was not obliged at the time to hold a hearing.  In a further affidavit filed in February 2022 this year he </w:t>
      </w:r>
      <w:r w:rsidR="003D7B6C">
        <w:rPr>
          <w:lang w:val="en-ZA"/>
        </w:rPr>
        <w:t xml:space="preserve">however </w:t>
      </w:r>
      <w:r>
        <w:rPr>
          <w:lang w:val="en-ZA"/>
        </w:rPr>
        <w:t>confirmed having had the benefit of inspecting the police docket and that he did not wish to supplement his answering affidavit in this respect.</w:t>
      </w:r>
    </w:p>
  </w:footnote>
  <w:footnote w:id="24">
    <w:p w14:paraId="3A941257" w14:textId="1888018D" w:rsidR="00553CE8" w:rsidRDefault="00553CE8" w:rsidP="00553CE8">
      <w:pPr>
        <w:pStyle w:val="FootnoteText"/>
        <w:jc w:val="both"/>
      </w:pPr>
      <w:r>
        <w:rPr>
          <w:rStyle w:val="FootnoteReference"/>
        </w:rPr>
        <w:footnoteRef/>
      </w:r>
      <w:r>
        <w:t xml:space="preserve"> Formalities in respect of contracts of suretyship. – No contracts of suretyship entered into after the commencement of this Act, shall be valid, unless the terms thereof are embodied in a written document signed by or on behalf of the surety: Provided that nothing in this section contained shall effect the liability of the signer of an aval under the laws relating to negotiable instruments.</w:t>
      </w:r>
    </w:p>
  </w:footnote>
  <w:footnote w:id="25">
    <w:p w14:paraId="6BE39A55" w14:textId="1618185E" w:rsidR="00553CE8" w:rsidRDefault="00553CE8">
      <w:pPr>
        <w:pStyle w:val="FootnoteText"/>
      </w:pPr>
      <w:r>
        <w:rPr>
          <w:rStyle w:val="FootnoteReference"/>
        </w:rPr>
        <w:footnoteRef/>
      </w:r>
      <w:r>
        <w:t xml:space="preserve"> Section 15 (5) of the MPA.</w:t>
      </w:r>
    </w:p>
  </w:footnote>
  <w:footnote w:id="26">
    <w:p w14:paraId="69D52943" w14:textId="179AAD21" w:rsidR="00E626CE" w:rsidRDefault="00E626CE" w:rsidP="004D61D8">
      <w:pPr>
        <w:pStyle w:val="FootnoteText"/>
        <w:jc w:val="both"/>
      </w:pPr>
      <w:r>
        <w:rPr>
          <w:rStyle w:val="FootnoteReference"/>
        </w:rPr>
        <w:footnoteRef/>
      </w:r>
      <w:r>
        <w:t xml:space="preserve"> Section 95 (1) of the Deeds Registries </w:t>
      </w:r>
      <w:r w:rsidR="004D61D8">
        <w:t>Act No. 47 of 1937 provides for the signing of any power of attorney executed under the act.  It must be attested by two competent witnesses who will not qualify if he is to derive any benefit.  This should have been the respondent’s guide concerning the attestation of the related surety.</w:t>
      </w:r>
    </w:p>
  </w:footnote>
  <w:footnote w:id="27">
    <w:p w14:paraId="06E03422" w14:textId="31C27264" w:rsidR="00CC4F6E" w:rsidRDefault="00CC4F6E">
      <w:pPr>
        <w:pStyle w:val="FootnoteText"/>
      </w:pPr>
      <w:r>
        <w:rPr>
          <w:rStyle w:val="FootnoteReference"/>
        </w:rPr>
        <w:footnoteRef/>
      </w:r>
      <w:r>
        <w:t xml:space="preserve"> ………case reference.</w:t>
      </w:r>
    </w:p>
  </w:footnote>
  <w:footnote w:id="28">
    <w:p w14:paraId="618DE3F1" w14:textId="7697773E" w:rsidR="00CC4F6E" w:rsidRDefault="00CC4F6E">
      <w:pPr>
        <w:pStyle w:val="FootnoteText"/>
      </w:pPr>
      <w:r>
        <w:rPr>
          <w:rStyle w:val="FootnoteReference"/>
        </w:rPr>
        <w:footnoteRef/>
      </w:r>
      <w:r>
        <w:t xml:space="preserve"> Paragraphs [70] and [71] of the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77450"/>
      <w:docPartObj>
        <w:docPartGallery w:val="Page Numbers (Top of Page)"/>
        <w:docPartUnique/>
      </w:docPartObj>
    </w:sdtPr>
    <w:sdtEndPr>
      <w:rPr>
        <w:noProof/>
      </w:rPr>
    </w:sdtEndPr>
    <w:sdtContent>
      <w:p w14:paraId="2BBA3B38" w14:textId="7071ABD5" w:rsidR="00187995" w:rsidRDefault="00187995">
        <w:pPr>
          <w:pStyle w:val="Header"/>
          <w:jc w:val="center"/>
        </w:pPr>
        <w:r>
          <w:fldChar w:fldCharType="begin"/>
        </w:r>
        <w:r>
          <w:instrText xml:space="preserve"> PAGE   \* MERGEFORMAT </w:instrText>
        </w:r>
        <w:r>
          <w:fldChar w:fldCharType="separate"/>
        </w:r>
        <w:r w:rsidR="00C823B9">
          <w:rPr>
            <w:noProof/>
          </w:rPr>
          <w:t>2</w:t>
        </w:r>
        <w:r>
          <w:rPr>
            <w:noProof/>
          </w:rPr>
          <w:fldChar w:fldCharType="end"/>
        </w:r>
      </w:p>
    </w:sdtContent>
  </w:sdt>
  <w:p w14:paraId="227EA95D" w14:textId="77777777" w:rsidR="00187995" w:rsidRDefault="0018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2F1"/>
    <w:multiLevelType w:val="hybridMultilevel"/>
    <w:tmpl w:val="7B6C75EE"/>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6450ED2"/>
    <w:multiLevelType w:val="hybridMultilevel"/>
    <w:tmpl w:val="266A3E96"/>
    <w:lvl w:ilvl="0" w:tplc="3B385D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2E"/>
    <w:rsid w:val="000346E1"/>
    <w:rsid w:val="00040501"/>
    <w:rsid w:val="00071728"/>
    <w:rsid w:val="00072CBF"/>
    <w:rsid w:val="000B6FA5"/>
    <w:rsid w:val="000C70A5"/>
    <w:rsid w:val="000C743D"/>
    <w:rsid w:val="000F3ACB"/>
    <w:rsid w:val="0010369B"/>
    <w:rsid w:val="001165B0"/>
    <w:rsid w:val="00132674"/>
    <w:rsid w:val="0013781A"/>
    <w:rsid w:val="001456B2"/>
    <w:rsid w:val="00150B58"/>
    <w:rsid w:val="001815D4"/>
    <w:rsid w:val="00187995"/>
    <w:rsid w:val="001B0AB4"/>
    <w:rsid w:val="001B5048"/>
    <w:rsid w:val="001C68F5"/>
    <w:rsid w:val="001D2476"/>
    <w:rsid w:val="001E11C1"/>
    <w:rsid w:val="001E2B36"/>
    <w:rsid w:val="0021756F"/>
    <w:rsid w:val="0021764A"/>
    <w:rsid w:val="00233898"/>
    <w:rsid w:val="00246E75"/>
    <w:rsid w:val="002526AC"/>
    <w:rsid w:val="002545F9"/>
    <w:rsid w:val="002604D9"/>
    <w:rsid w:val="00286DB9"/>
    <w:rsid w:val="00291380"/>
    <w:rsid w:val="00291F97"/>
    <w:rsid w:val="002A174C"/>
    <w:rsid w:val="002D0EB5"/>
    <w:rsid w:val="003166CA"/>
    <w:rsid w:val="003210C0"/>
    <w:rsid w:val="003276C7"/>
    <w:rsid w:val="0033207D"/>
    <w:rsid w:val="003548BE"/>
    <w:rsid w:val="003563DD"/>
    <w:rsid w:val="00356438"/>
    <w:rsid w:val="00390836"/>
    <w:rsid w:val="00390D94"/>
    <w:rsid w:val="003A50B8"/>
    <w:rsid w:val="003D74F6"/>
    <w:rsid w:val="003D7B6C"/>
    <w:rsid w:val="003F008F"/>
    <w:rsid w:val="003F2687"/>
    <w:rsid w:val="004122CC"/>
    <w:rsid w:val="00413EF7"/>
    <w:rsid w:val="00437085"/>
    <w:rsid w:val="0045380D"/>
    <w:rsid w:val="004A3045"/>
    <w:rsid w:val="004C1912"/>
    <w:rsid w:val="004C1AE6"/>
    <w:rsid w:val="004D4A0A"/>
    <w:rsid w:val="004D61D8"/>
    <w:rsid w:val="004E4582"/>
    <w:rsid w:val="0052342A"/>
    <w:rsid w:val="00551D06"/>
    <w:rsid w:val="00553CE8"/>
    <w:rsid w:val="00567025"/>
    <w:rsid w:val="005A11C2"/>
    <w:rsid w:val="005C3588"/>
    <w:rsid w:val="005D12C2"/>
    <w:rsid w:val="005D19D1"/>
    <w:rsid w:val="005E05C3"/>
    <w:rsid w:val="005E46C1"/>
    <w:rsid w:val="005E46F3"/>
    <w:rsid w:val="005E6060"/>
    <w:rsid w:val="005F0493"/>
    <w:rsid w:val="00636034"/>
    <w:rsid w:val="0065279E"/>
    <w:rsid w:val="006642C8"/>
    <w:rsid w:val="00671BB0"/>
    <w:rsid w:val="006814FC"/>
    <w:rsid w:val="006D1AD5"/>
    <w:rsid w:val="006F0014"/>
    <w:rsid w:val="00707794"/>
    <w:rsid w:val="007424A0"/>
    <w:rsid w:val="00743446"/>
    <w:rsid w:val="007501A3"/>
    <w:rsid w:val="00751BDF"/>
    <w:rsid w:val="00756D69"/>
    <w:rsid w:val="00757BBC"/>
    <w:rsid w:val="007B1476"/>
    <w:rsid w:val="007C1BBC"/>
    <w:rsid w:val="007D103C"/>
    <w:rsid w:val="007E6BAE"/>
    <w:rsid w:val="007F4CB0"/>
    <w:rsid w:val="007F72EF"/>
    <w:rsid w:val="008001A8"/>
    <w:rsid w:val="00803FFA"/>
    <w:rsid w:val="008132CA"/>
    <w:rsid w:val="0083096B"/>
    <w:rsid w:val="00833C48"/>
    <w:rsid w:val="008C49B6"/>
    <w:rsid w:val="008E5BC1"/>
    <w:rsid w:val="008F7831"/>
    <w:rsid w:val="00935A36"/>
    <w:rsid w:val="00942833"/>
    <w:rsid w:val="009777AD"/>
    <w:rsid w:val="009844CD"/>
    <w:rsid w:val="00987ACE"/>
    <w:rsid w:val="009B64FE"/>
    <w:rsid w:val="009C5444"/>
    <w:rsid w:val="009E6894"/>
    <w:rsid w:val="009F3275"/>
    <w:rsid w:val="00A1401F"/>
    <w:rsid w:val="00A22831"/>
    <w:rsid w:val="00A36DE3"/>
    <w:rsid w:val="00A3794D"/>
    <w:rsid w:val="00A5661F"/>
    <w:rsid w:val="00A66AFC"/>
    <w:rsid w:val="00A7094B"/>
    <w:rsid w:val="00A7776E"/>
    <w:rsid w:val="00A812AB"/>
    <w:rsid w:val="00A90F1C"/>
    <w:rsid w:val="00AE33BE"/>
    <w:rsid w:val="00AF6B86"/>
    <w:rsid w:val="00B0110E"/>
    <w:rsid w:val="00B05818"/>
    <w:rsid w:val="00B079F3"/>
    <w:rsid w:val="00B20214"/>
    <w:rsid w:val="00B222B4"/>
    <w:rsid w:val="00B27B71"/>
    <w:rsid w:val="00B36B38"/>
    <w:rsid w:val="00B45562"/>
    <w:rsid w:val="00B455A7"/>
    <w:rsid w:val="00B51D5A"/>
    <w:rsid w:val="00B9784E"/>
    <w:rsid w:val="00BB2409"/>
    <w:rsid w:val="00BB4206"/>
    <w:rsid w:val="00BD0F7F"/>
    <w:rsid w:val="00C035E4"/>
    <w:rsid w:val="00C228D2"/>
    <w:rsid w:val="00C327CD"/>
    <w:rsid w:val="00C60342"/>
    <w:rsid w:val="00C7608A"/>
    <w:rsid w:val="00C80559"/>
    <w:rsid w:val="00C823B9"/>
    <w:rsid w:val="00C83BF8"/>
    <w:rsid w:val="00C85A8C"/>
    <w:rsid w:val="00CA3737"/>
    <w:rsid w:val="00CB08F6"/>
    <w:rsid w:val="00CB3C5D"/>
    <w:rsid w:val="00CC3F2F"/>
    <w:rsid w:val="00CC4F6E"/>
    <w:rsid w:val="00CD4095"/>
    <w:rsid w:val="00CF4741"/>
    <w:rsid w:val="00CF66A6"/>
    <w:rsid w:val="00CF6FE0"/>
    <w:rsid w:val="00D05A2E"/>
    <w:rsid w:val="00D214D2"/>
    <w:rsid w:val="00D25210"/>
    <w:rsid w:val="00D25A75"/>
    <w:rsid w:val="00D26A11"/>
    <w:rsid w:val="00D54853"/>
    <w:rsid w:val="00DB2C68"/>
    <w:rsid w:val="00DB4653"/>
    <w:rsid w:val="00DB7CEE"/>
    <w:rsid w:val="00DC526A"/>
    <w:rsid w:val="00DC53D8"/>
    <w:rsid w:val="00DE4705"/>
    <w:rsid w:val="00DE4AC7"/>
    <w:rsid w:val="00DF0FDB"/>
    <w:rsid w:val="00DF30FC"/>
    <w:rsid w:val="00DF4C0D"/>
    <w:rsid w:val="00DF71A1"/>
    <w:rsid w:val="00E005CC"/>
    <w:rsid w:val="00E06532"/>
    <w:rsid w:val="00E12042"/>
    <w:rsid w:val="00E15A1E"/>
    <w:rsid w:val="00E21735"/>
    <w:rsid w:val="00E24227"/>
    <w:rsid w:val="00E52099"/>
    <w:rsid w:val="00E626CE"/>
    <w:rsid w:val="00E7350E"/>
    <w:rsid w:val="00E8503E"/>
    <w:rsid w:val="00EA3459"/>
    <w:rsid w:val="00EB46B5"/>
    <w:rsid w:val="00EF48E5"/>
    <w:rsid w:val="00F02AC8"/>
    <w:rsid w:val="00F21368"/>
    <w:rsid w:val="00F26CAB"/>
    <w:rsid w:val="00F34D56"/>
    <w:rsid w:val="00F40069"/>
    <w:rsid w:val="00F46DE6"/>
    <w:rsid w:val="00F651CC"/>
    <w:rsid w:val="00F94882"/>
    <w:rsid w:val="00F9793F"/>
    <w:rsid w:val="00FB6691"/>
    <w:rsid w:val="00FC0F63"/>
    <w:rsid w:val="00FC62FF"/>
    <w:rsid w:val="00FD0BD2"/>
    <w:rsid w:val="00FE673A"/>
    <w:rsid w:val="00FF5FA5"/>
    <w:rsid w:val="00FF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3AA"/>
  <w15:chartTrackingRefBased/>
  <w15:docId w15:val="{9EB608CB-F277-445D-BB22-911CF5B7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995"/>
  </w:style>
  <w:style w:type="paragraph" w:styleId="Footer">
    <w:name w:val="footer"/>
    <w:basedOn w:val="Normal"/>
    <w:link w:val="FooterChar"/>
    <w:uiPriority w:val="99"/>
    <w:unhideWhenUsed/>
    <w:rsid w:val="00187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995"/>
  </w:style>
  <w:style w:type="paragraph" w:styleId="ListParagraph">
    <w:name w:val="List Paragraph"/>
    <w:basedOn w:val="Normal"/>
    <w:uiPriority w:val="34"/>
    <w:qFormat/>
    <w:rsid w:val="00187995"/>
    <w:pPr>
      <w:ind w:left="720"/>
      <w:contextualSpacing/>
    </w:pPr>
  </w:style>
  <w:style w:type="paragraph" w:styleId="BalloonText">
    <w:name w:val="Balloon Text"/>
    <w:basedOn w:val="Normal"/>
    <w:link w:val="BalloonTextChar"/>
    <w:uiPriority w:val="99"/>
    <w:semiHidden/>
    <w:unhideWhenUsed/>
    <w:rsid w:val="003F0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8F"/>
    <w:rPr>
      <w:rFonts w:ascii="Segoe UI" w:hAnsi="Segoe UI" w:cs="Segoe UI"/>
      <w:sz w:val="18"/>
      <w:szCs w:val="18"/>
    </w:rPr>
  </w:style>
  <w:style w:type="paragraph" w:styleId="FootnoteText">
    <w:name w:val="footnote text"/>
    <w:basedOn w:val="Normal"/>
    <w:link w:val="FootnoteTextChar"/>
    <w:uiPriority w:val="99"/>
    <w:semiHidden/>
    <w:unhideWhenUsed/>
    <w:rsid w:val="00636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034"/>
    <w:rPr>
      <w:sz w:val="20"/>
      <w:szCs w:val="20"/>
    </w:rPr>
  </w:style>
  <w:style w:type="character" w:styleId="FootnoteReference">
    <w:name w:val="footnote reference"/>
    <w:basedOn w:val="DefaultParagraphFont"/>
    <w:uiPriority w:val="99"/>
    <w:semiHidden/>
    <w:unhideWhenUsed/>
    <w:rsid w:val="00636034"/>
    <w:rPr>
      <w:vertAlign w:val="superscript"/>
    </w:rPr>
  </w:style>
  <w:style w:type="paragraph" w:customStyle="1" w:styleId="lg-section">
    <w:name w:val="lg-section"/>
    <w:basedOn w:val="Normal"/>
    <w:rsid w:val="00354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para3">
    <w:name w:val="lg-para3"/>
    <w:basedOn w:val="Normal"/>
    <w:rsid w:val="003548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8BE"/>
    <w:rPr>
      <w:color w:val="0000FF"/>
      <w:u w:val="single"/>
    </w:rPr>
  </w:style>
  <w:style w:type="paragraph" w:customStyle="1" w:styleId="lg-a-1">
    <w:name w:val="lg-a-1"/>
    <w:basedOn w:val="Normal"/>
    <w:rsid w:val="003548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5FCF-C9BB-4AF3-B61F-D032C680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6761</Words>
  <Characters>38542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Judge-Belinda Hartle</dc:creator>
  <cp:keywords/>
  <dc:description/>
  <cp:lastModifiedBy>Nomakorinte Ntliziywana</cp:lastModifiedBy>
  <cp:revision>2</cp:revision>
  <cp:lastPrinted>2022-11-23T10:15:00Z</cp:lastPrinted>
  <dcterms:created xsi:type="dcterms:W3CDTF">2023-03-13T08:43:00Z</dcterms:created>
  <dcterms:modified xsi:type="dcterms:W3CDTF">2023-03-13T08:43:00Z</dcterms:modified>
</cp:coreProperties>
</file>