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40" w:rsidRDefault="00116440" w:rsidP="00116440">
      <w:pPr>
        <w:rPr>
          <w:b/>
        </w:rPr>
      </w:pPr>
      <w:bookmarkStart w:id="0" w:name="_GoBack"/>
      <w:bookmarkEnd w:id="0"/>
      <w:r>
        <w:rPr>
          <w:b/>
        </w:rPr>
        <w:t>IN THE HIGH COURT OF SOUTH AFRICA</w:t>
      </w:r>
    </w:p>
    <w:p w:rsidR="00116440" w:rsidRDefault="00116440" w:rsidP="00116440">
      <w:pPr>
        <w:rPr>
          <w:b/>
        </w:rPr>
      </w:pPr>
      <w:r>
        <w:rPr>
          <w:b/>
        </w:rPr>
        <w:t>(EASTERN CAPE DIVISION, MAKHANDA)</w:t>
      </w:r>
    </w:p>
    <w:p w:rsidR="00116440" w:rsidRDefault="00116440" w:rsidP="00116440">
      <w:pPr>
        <w:rPr>
          <w:b/>
        </w:rPr>
      </w:pPr>
    </w:p>
    <w:p w:rsidR="00116440" w:rsidRDefault="00116440" w:rsidP="00D37F7D">
      <w:pPr>
        <w:jc w:val="right"/>
        <w:rPr>
          <w:b/>
        </w:rPr>
      </w:pPr>
      <w:r>
        <w:rPr>
          <w:b/>
        </w:rPr>
        <w:tab/>
      </w:r>
      <w:r>
        <w:rPr>
          <w:b/>
        </w:rPr>
        <w:tab/>
      </w:r>
      <w:r>
        <w:rPr>
          <w:b/>
        </w:rPr>
        <w:tab/>
      </w:r>
      <w:r>
        <w:rPr>
          <w:b/>
        </w:rPr>
        <w:tab/>
      </w:r>
      <w:r>
        <w:rPr>
          <w:b/>
        </w:rPr>
        <w:tab/>
      </w:r>
      <w:r>
        <w:rPr>
          <w:b/>
        </w:rPr>
        <w:tab/>
      </w:r>
      <w:r>
        <w:rPr>
          <w:b/>
        </w:rPr>
        <w:tab/>
      </w:r>
      <w:r>
        <w:rPr>
          <w:b/>
        </w:rPr>
        <w:tab/>
        <w:t>CASE NO:</w:t>
      </w:r>
      <w:r w:rsidR="00D37F7D">
        <w:rPr>
          <w:b/>
        </w:rPr>
        <w:t>2284/2021</w:t>
      </w:r>
    </w:p>
    <w:p w:rsidR="00116440" w:rsidRDefault="00116440" w:rsidP="00116440">
      <w:pPr>
        <w:rPr>
          <w:b/>
        </w:rPr>
      </w:pPr>
    </w:p>
    <w:p w:rsidR="00116440" w:rsidRDefault="00116440" w:rsidP="00116440">
      <w:pPr>
        <w:rPr>
          <w:b/>
        </w:rPr>
      </w:pPr>
    </w:p>
    <w:p w:rsidR="00116440" w:rsidRDefault="00116440" w:rsidP="00116440">
      <w:r>
        <w:t>In the matter between</w:t>
      </w:r>
    </w:p>
    <w:p w:rsidR="00116440" w:rsidRDefault="00116440" w:rsidP="00116440"/>
    <w:p w:rsidR="00116440" w:rsidRDefault="00D37F7D" w:rsidP="009559CE">
      <w:pPr>
        <w:tabs>
          <w:tab w:val="right" w:pos="9360"/>
        </w:tabs>
        <w:rPr>
          <w:b/>
        </w:rPr>
      </w:pPr>
      <w:r>
        <w:rPr>
          <w:b/>
        </w:rPr>
        <w:t xml:space="preserve">EASTERN CAPE TRANSPORT TERTIARY CO-OPERATIVE </w:t>
      </w:r>
      <w:r w:rsidR="009559CE">
        <w:rPr>
          <w:b/>
        </w:rPr>
        <w:tab/>
      </w:r>
      <w:r>
        <w:rPr>
          <w:b/>
        </w:rPr>
        <w:t>First Applicant</w:t>
      </w:r>
    </w:p>
    <w:p w:rsidR="00D37F7D" w:rsidRDefault="00D37F7D" w:rsidP="00116440">
      <w:pPr>
        <w:rPr>
          <w:b/>
        </w:rPr>
      </w:pPr>
    </w:p>
    <w:p w:rsidR="00D37F7D" w:rsidRDefault="00D37F7D" w:rsidP="009559CE">
      <w:pPr>
        <w:tabs>
          <w:tab w:val="right" w:pos="9360"/>
        </w:tabs>
        <w:rPr>
          <w:b/>
        </w:rPr>
      </w:pPr>
      <w:r>
        <w:rPr>
          <w:b/>
        </w:rPr>
        <w:t xml:space="preserve">QUSTA SECONDARY CO-OPERATIVE LIMITED </w:t>
      </w:r>
      <w:r w:rsidR="009559CE">
        <w:rPr>
          <w:b/>
        </w:rPr>
        <w:tab/>
      </w:r>
      <w:r>
        <w:rPr>
          <w:b/>
        </w:rPr>
        <w:t>Second Applicant</w:t>
      </w:r>
    </w:p>
    <w:p w:rsidR="00D37F7D" w:rsidRDefault="00D37F7D" w:rsidP="00116440">
      <w:pPr>
        <w:rPr>
          <w:b/>
        </w:rPr>
      </w:pPr>
    </w:p>
    <w:p w:rsidR="00D37F7D" w:rsidRDefault="00D37F7D" w:rsidP="00116440">
      <w:pPr>
        <w:rPr>
          <w:b/>
        </w:rPr>
      </w:pPr>
      <w:r>
        <w:rPr>
          <w:b/>
        </w:rPr>
        <w:t>UNCEDO SERVICE TAXI ASS</w:t>
      </w:r>
      <w:r w:rsidR="00AE2A18">
        <w:rPr>
          <w:b/>
        </w:rPr>
        <w:t>OCIATION</w:t>
      </w:r>
      <w:r>
        <w:rPr>
          <w:b/>
        </w:rPr>
        <w:t xml:space="preserve"> MTHATHA PRIMARY</w:t>
      </w:r>
    </w:p>
    <w:p w:rsidR="00D37F7D" w:rsidRDefault="00D37F7D" w:rsidP="009559CE">
      <w:pPr>
        <w:tabs>
          <w:tab w:val="right" w:pos="9360"/>
        </w:tabs>
        <w:rPr>
          <w:b/>
        </w:rPr>
      </w:pPr>
      <w:r>
        <w:rPr>
          <w:b/>
        </w:rPr>
        <w:t xml:space="preserve">TAXI CO-OPERATIVE LIMITED </w:t>
      </w:r>
      <w:r w:rsidR="009559CE">
        <w:rPr>
          <w:b/>
        </w:rPr>
        <w:tab/>
      </w:r>
      <w:r>
        <w:rPr>
          <w:b/>
        </w:rPr>
        <w:t>Third Applicant</w:t>
      </w:r>
    </w:p>
    <w:p w:rsidR="00D37F7D" w:rsidRDefault="00D37F7D" w:rsidP="00116440">
      <w:pPr>
        <w:rPr>
          <w:b/>
        </w:rPr>
      </w:pPr>
    </w:p>
    <w:p w:rsidR="00D37F7D" w:rsidRDefault="00D37F7D" w:rsidP="009559CE">
      <w:pPr>
        <w:tabs>
          <w:tab w:val="right" w:pos="9360"/>
        </w:tabs>
        <w:rPr>
          <w:b/>
        </w:rPr>
      </w:pPr>
      <w:r>
        <w:rPr>
          <w:b/>
        </w:rPr>
        <w:t xml:space="preserve">MELTA TRANSPORT PRIMARY CO-OPERATIVE </w:t>
      </w:r>
      <w:r w:rsidR="00AE2A18">
        <w:rPr>
          <w:b/>
        </w:rPr>
        <w:t>LIMITED</w:t>
      </w:r>
      <w:r w:rsidR="009559CE">
        <w:rPr>
          <w:b/>
        </w:rPr>
        <w:tab/>
      </w:r>
      <w:r>
        <w:rPr>
          <w:b/>
        </w:rPr>
        <w:t>Fourth Applicant</w:t>
      </w:r>
    </w:p>
    <w:p w:rsidR="00D37F7D" w:rsidRDefault="00D37F7D" w:rsidP="00116440">
      <w:pPr>
        <w:rPr>
          <w:b/>
        </w:rPr>
      </w:pPr>
    </w:p>
    <w:p w:rsidR="00D37F7D" w:rsidRDefault="00D37F7D" w:rsidP="009559CE">
      <w:pPr>
        <w:tabs>
          <w:tab w:val="right" w:pos="9360"/>
        </w:tabs>
        <w:rPr>
          <w:b/>
        </w:rPr>
      </w:pPr>
      <w:r>
        <w:rPr>
          <w:b/>
        </w:rPr>
        <w:t>IDUTYWA M</w:t>
      </w:r>
      <w:r w:rsidR="003B477A">
        <w:rPr>
          <w:b/>
        </w:rPr>
        <w:t>U</w:t>
      </w:r>
      <w:r>
        <w:rPr>
          <w:b/>
        </w:rPr>
        <w:t xml:space="preserve">LTI-PURPOSE PRIMARY CO-OPERATIVE LTD </w:t>
      </w:r>
      <w:r w:rsidR="009559CE">
        <w:rPr>
          <w:b/>
        </w:rPr>
        <w:tab/>
      </w:r>
      <w:r>
        <w:rPr>
          <w:b/>
        </w:rPr>
        <w:t>Fifth Applicant</w:t>
      </w:r>
    </w:p>
    <w:p w:rsidR="00D37F7D" w:rsidRDefault="00D37F7D" w:rsidP="00116440">
      <w:pPr>
        <w:rPr>
          <w:b/>
        </w:rPr>
      </w:pPr>
    </w:p>
    <w:p w:rsidR="00D37F7D" w:rsidRDefault="00D37F7D" w:rsidP="009559CE">
      <w:pPr>
        <w:tabs>
          <w:tab w:val="right" w:pos="9360"/>
        </w:tabs>
        <w:rPr>
          <w:b/>
        </w:rPr>
      </w:pPr>
      <w:r>
        <w:rPr>
          <w:b/>
        </w:rPr>
        <w:t xml:space="preserve">DUTYWA TRANSPORT SERVICES CO-OPERATIVE LTD </w:t>
      </w:r>
      <w:r w:rsidR="009559CE">
        <w:rPr>
          <w:b/>
        </w:rPr>
        <w:tab/>
      </w:r>
      <w:r>
        <w:rPr>
          <w:b/>
        </w:rPr>
        <w:t>Sixth Applicant</w:t>
      </w:r>
    </w:p>
    <w:p w:rsidR="006B6B6F" w:rsidRDefault="006B6B6F" w:rsidP="00116440">
      <w:pPr>
        <w:rPr>
          <w:b/>
        </w:rPr>
      </w:pPr>
    </w:p>
    <w:p w:rsidR="00AE2A18" w:rsidRDefault="00AE2A18" w:rsidP="00AE2A18">
      <w:pPr>
        <w:tabs>
          <w:tab w:val="right" w:pos="9360"/>
        </w:tabs>
        <w:rPr>
          <w:b/>
        </w:rPr>
      </w:pPr>
      <w:r>
        <w:rPr>
          <w:b/>
        </w:rPr>
        <w:t xml:space="preserve">DUTYWA DEVELOPMENT LIMITED </w:t>
      </w:r>
      <w:r>
        <w:rPr>
          <w:b/>
        </w:rPr>
        <w:tab/>
        <w:t>Seventh Applicant</w:t>
      </w:r>
    </w:p>
    <w:p w:rsidR="006B6B6F" w:rsidRDefault="006B6B6F" w:rsidP="00116440">
      <w:pPr>
        <w:rPr>
          <w:b/>
        </w:rPr>
      </w:pPr>
    </w:p>
    <w:p w:rsidR="00D37F7D" w:rsidRDefault="00D37F7D" w:rsidP="00116440">
      <w:pPr>
        <w:rPr>
          <w:b/>
        </w:rPr>
      </w:pPr>
      <w:r>
        <w:rPr>
          <w:b/>
        </w:rPr>
        <w:t>BHISHO KIN</w:t>
      </w:r>
      <w:r w:rsidR="006B6B6F">
        <w:rPr>
          <w:b/>
        </w:rPr>
        <w:t>G</w:t>
      </w:r>
      <w:r>
        <w:rPr>
          <w:b/>
        </w:rPr>
        <w:t xml:space="preserve"> TAXI ASSOCIATION PRIMARY CO-OPERATIVE</w:t>
      </w:r>
    </w:p>
    <w:p w:rsidR="00D37F7D" w:rsidRDefault="00D37F7D" w:rsidP="009559CE">
      <w:pPr>
        <w:tabs>
          <w:tab w:val="right" w:pos="9360"/>
        </w:tabs>
        <w:rPr>
          <w:b/>
        </w:rPr>
      </w:pPr>
      <w:r>
        <w:rPr>
          <w:b/>
        </w:rPr>
        <w:t xml:space="preserve">LTD </w:t>
      </w:r>
      <w:r w:rsidR="009559CE">
        <w:rPr>
          <w:b/>
        </w:rPr>
        <w:tab/>
      </w:r>
      <w:r w:rsidR="006B6B6F">
        <w:rPr>
          <w:b/>
        </w:rPr>
        <w:t xml:space="preserve">Eight </w:t>
      </w:r>
      <w:r>
        <w:rPr>
          <w:b/>
        </w:rPr>
        <w:t>Applicant</w:t>
      </w:r>
    </w:p>
    <w:p w:rsidR="00D37F7D" w:rsidRDefault="00D37F7D" w:rsidP="00116440">
      <w:pPr>
        <w:rPr>
          <w:b/>
        </w:rPr>
      </w:pPr>
    </w:p>
    <w:p w:rsidR="00D37F7D" w:rsidRDefault="00D37F7D" w:rsidP="00116440">
      <w:pPr>
        <w:rPr>
          <w:b/>
        </w:rPr>
      </w:pPr>
      <w:r>
        <w:rPr>
          <w:b/>
        </w:rPr>
        <w:t>NTLANZA TRANSPORT SERVICES AND MULTI-PURPOSE</w:t>
      </w:r>
    </w:p>
    <w:p w:rsidR="00D37F7D" w:rsidRDefault="00D37F7D" w:rsidP="009559CE">
      <w:pPr>
        <w:tabs>
          <w:tab w:val="right" w:pos="9360"/>
        </w:tabs>
        <w:rPr>
          <w:b/>
        </w:rPr>
      </w:pPr>
      <w:r>
        <w:rPr>
          <w:b/>
        </w:rPr>
        <w:t xml:space="preserve">CO-OPERATIVE LIMITED </w:t>
      </w:r>
      <w:r w:rsidR="009559CE">
        <w:rPr>
          <w:b/>
        </w:rPr>
        <w:tab/>
      </w:r>
      <w:r>
        <w:rPr>
          <w:b/>
        </w:rPr>
        <w:t xml:space="preserve"> </w:t>
      </w:r>
      <w:r w:rsidR="00AE2A18">
        <w:rPr>
          <w:b/>
        </w:rPr>
        <w:t xml:space="preserve">Ninth </w:t>
      </w:r>
      <w:r>
        <w:rPr>
          <w:b/>
        </w:rPr>
        <w:t>Applicant</w:t>
      </w:r>
    </w:p>
    <w:p w:rsidR="00D37F7D" w:rsidRDefault="00D37F7D" w:rsidP="00116440">
      <w:pPr>
        <w:rPr>
          <w:b/>
        </w:rPr>
      </w:pPr>
    </w:p>
    <w:p w:rsidR="00D37F7D" w:rsidRDefault="00D37F7D" w:rsidP="009559CE">
      <w:pPr>
        <w:tabs>
          <w:tab w:val="right" w:pos="9360"/>
        </w:tabs>
        <w:rPr>
          <w:b/>
        </w:rPr>
      </w:pPr>
      <w:r>
        <w:rPr>
          <w:b/>
        </w:rPr>
        <w:t xml:space="preserve">FABBS TRANSPORT PRIMARY CO-OPERATIVE </w:t>
      </w:r>
      <w:r w:rsidR="009559CE">
        <w:rPr>
          <w:b/>
        </w:rPr>
        <w:tab/>
      </w:r>
      <w:r w:rsidR="00AE2A18">
        <w:rPr>
          <w:b/>
        </w:rPr>
        <w:t xml:space="preserve">Tenth </w:t>
      </w:r>
      <w:r>
        <w:rPr>
          <w:b/>
        </w:rPr>
        <w:t>Applicant</w:t>
      </w:r>
    </w:p>
    <w:p w:rsidR="00D37F7D" w:rsidRDefault="00D37F7D" w:rsidP="00116440">
      <w:pPr>
        <w:rPr>
          <w:b/>
        </w:rPr>
      </w:pPr>
    </w:p>
    <w:p w:rsidR="00D37F7D" w:rsidRDefault="00D37F7D" w:rsidP="009559CE">
      <w:pPr>
        <w:tabs>
          <w:tab w:val="right" w:pos="9360"/>
        </w:tabs>
        <w:rPr>
          <w:b/>
        </w:rPr>
      </w:pPr>
      <w:r>
        <w:rPr>
          <w:b/>
        </w:rPr>
        <w:t xml:space="preserve">HUTA TRANSPORT SERVICES </w:t>
      </w:r>
      <w:r w:rsidR="009559CE">
        <w:rPr>
          <w:b/>
        </w:rPr>
        <w:tab/>
      </w:r>
      <w:r w:rsidR="00AE2A18">
        <w:rPr>
          <w:b/>
        </w:rPr>
        <w:t xml:space="preserve">Eleventh </w:t>
      </w:r>
      <w:r>
        <w:rPr>
          <w:b/>
        </w:rPr>
        <w:t>Applicant</w:t>
      </w:r>
    </w:p>
    <w:p w:rsidR="00D37F7D" w:rsidRDefault="00D37F7D" w:rsidP="00116440">
      <w:pPr>
        <w:rPr>
          <w:b/>
        </w:rPr>
      </w:pPr>
    </w:p>
    <w:p w:rsidR="00D37F7D" w:rsidRDefault="00D37F7D" w:rsidP="009559CE">
      <w:pPr>
        <w:tabs>
          <w:tab w:val="right" w:pos="9360"/>
        </w:tabs>
        <w:rPr>
          <w:b/>
        </w:rPr>
      </w:pPr>
      <w:r>
        <w:rPr>
          <w:b/>
        </w:rPr>
        <w:t xml:space="preserve">PORT ELIZABETH AND DISTRICT TAXI ASSOCIATION </w:t>
      </w:r>
      <w:r w:rsidR="009559CE">
        <w:rPr>
          <w:b/>
        </w:rPr>
        <w:tab/>
      </w:r>
      <w:r w:rsidR="00645B42">
        <w:rPr>
          <w:b/>
        </w:rPr>
        <w:t>Twelfth</w:t>
      </w:r>
      <w:r>
        <w:rPr>
          <w:b/>
        </w:rPr>
        <w:t xml:space="preserve"> Applicant</w:t>
      </w:r>
    </w:p>
    <w:p w:rsidR="00D37F7D" w:rsidRDefault="00D37F7D" w:rsidP="00116440">
      <w:pPr>
        <w:rPr>
          <w:b/>
        </w:rPr>
      </w:pPr>
    </w:p>
    <w:p w:rsidR="00D37F7D" w:rsidRDefault="00D37F7D" w:rsidP="009559CE">
      <w:pPr>
        <w:tabs>
          <w:tab w:val="right" w:pos="9360"/>
        </w:tabs>
        <w:rPr>
          <w:b/>
        </w:rPr>
      </w:pPr>
      <w:r>
        <w:rPr>
          <w:b/>
        </w:rPr>
        <w:t xml:space="preserve">TSOMO TAXI ASSOCIATION PRIMARY CO-OPERATIVE </w:t>
      </w:r>
      <w:r w:rsidR="009559CE">
        <w:rPr>
          <w:b/>
        </w:rPr>
        <w:tab/>
      </w:r>
      <w:r w:rsidR="00AE2A18">
        <w:rPr>
          <w:b/>
        </w:rPr>
        <w:t>Thirteenth</w:t>
      </w:r>
      <w:r>
        <w:rPr>
          <w:b/>
        </w:rPr>
        <w:t xml:space="preserve"> Applicant</w:t>
      </w:r>
    </w:p>
    <w:p w:rsidR="00D37F7D" w:rsidRDefault="00D37F7D" w:rsidP="00116440">
      <w:pPr>
        <w:rPr>
          <w:b/>
        </w:rPr>
      </w:pPr>
    </w:p>
    <w:p w:rsidR="00D37F7D" w:rsidRDefault="00D37F7D" w:rsidP="009559CE">
      <w:pPr>
        <w:tabs>
          <w:tab w:val="right" w:pos="9360"/>
        </w:tabs>
        <w:rPr>
          <w:b/>
        </w:rPr>
      </w:pPr>
      <w:r>
        <w:rPr>
          <w:b/>
        </w:rPr>
        <w:t>INGQI</w:t>
      </w:r>
      <w:r w:rsidR="003B477A">
        <w:rPr>
          <w:b/>
        </w:rPr>
        <w:t>Q</w:t>
      </w:r>
      <w:r>
        <w:rPr>
          <w:b/>
        </w:rPr>
        <w:t xml:space="preserve">O YETHU TRANSPORT PRIMARY CO-OPERATIVE </w:t>
      </w:r>
      <w:r w:rsidR="009559CE">
        <w:rPr>
          <w:b/>
        </w:rPr>
        <w:tab/>
      </w:r>
      <w:r w:rsidR="00AE2A18">
        <w:rPr>
          <w:b/>
        </w:rPr>
        <w:t>Fourteenth</w:t>
      </w:r>
      <w:r>
        <w:rPr>
          <w:b/>
        </w:rPr>
        <w:t xml:space="preserve"> Applicant</w:t>
      </w:r>
    </w:p>
    <w:p w:rsidR="00D37F7D" w:rsidRDefault="00D37F7D" w:rsidP="00116440">
      <w:pPr>
        <w:rPr>
          <w:b/>
        </w:rPr>
      </w:pPr>
    </w:p>
    <w:p w:rsidR="00D37F7D" w:rsidRDefault="00D37F7D" w:rsidP="009559CE">
      <w:pPr>
        <w:tabs>
          <w:tab w:val="right" w:pos="9360"/>
        </w:tabs>
        <w:rPr>
          <w:b/>
        </w:rPr>
      </w:pPr>
      <w:r>
        <w:rPr>
          <w:b/>
        </w:rPr>
        <w:t xml:space="preserve">UBUNYE NGANDANDLA TRANSPORT SERVICES </w:t>
      </w:r>
      <w:r w:rsidR="009559CE">
        <w:rPr>
          <w:b/>
        </w:rPr>
        <w:tab/>
      </w:r>
      <w:r w:rsidR="00AE2A18">
        <w:rPr>
          <w:b/>
        </w:rPr>
        <w:t>Fifteenth</w:t>
      </w:r>
      <w:r>
        <w:rPr>
          <w:b/>
        </w:rPr>
        <w:t xml:space="preserve"> Applicant</w:t>
      </w:r>
    </w:p>
    <w:p w:rsidR="00D37F7D" w:rsidRDefault="00D37F7D" w:rsidP="00116440">
      <w:pPr>
        <w:rPr>
          <w:b/>
        </w:rPr>
      </w:pPr>
    </w:p>
    <w:p w:rsidR="00D37F7D" w:rsidRDefault="00D37F7D" w:rsidP="009559CE">
      <w:pPr>
        <w:tabs>
          <w:tab w:val="right" w:pos="9360"/>
        </w:tabs>
        <w:rPr>
          <w:b/>
        </w:rPr>
      </w:pPr>
      <w:r>
        <w:rPr>
          <w:b/>
        </w:rPr>
        <w:t>ECTTC CO</w:t>
      </w:r>
      <w:r w:rsidR="006B6B6F">
        <w:rPr>
          <w:b/>
        </w:rPr>
        <w:t>-</w:t>
      </w:r>
      <w:r>
        <w:rPr>
          <w:b/>
        </w:rPr>
        <w:t xml:space="preserve">OP FINANCIAL SERVICES (PTY) LTD </w:t>
      </w:r>
      <w:r w:rsidR="009559CE">
        <w:rPr>
          <w:b/>
        </w:rPr>
        <w:tab/>
      </w:r>
      <w:r w:rsidR="00AE2A18">
        <w:rPr>
          <w:b/>
        </w:rPr>
        <w:t>Sixteenth</w:t>
      </w:r>
      <w:r>
        <w:rPr>
          <w:b/>
        </w:rPr>
        <w:t xml:space="preserve"> Applicant</w:t>
      </w:r>
    </w:p>
    <w:p w:rsidR="00D37F7D" w:rsidRDefault="00D37F7D" w:rsidP="00116440">
      <w:pPr>
        <w:rPr>
          <w:b/>
        </w:rPr>
      </w:pPr>
    </w:p>
    <w:p w:rsidR="00D37F7D" w:rsidRDefault="00D37F7D" w:rsidP="009559CE">
      <w:pPr>
        <w:tabs>
          <w:tab w:val="right" w:pos="9360"/>
        </w:tabs>
        <w:rPr>
          <w:b/>
        </w:rPr>
      </w:pPr>
      <w:r>
        <w:rPr>
          <w:b/>
        </w:rPr>
        <w:t xml:space="preserve">SOMILA CONSULTING AGENCY (PTY) LTD </w:t>
      </w:r>
      <w:r w:rsidR="009559CE">
        <w:rPr>
          <w:b/>
        </w:rPr>
        <w:tab/>
      </w:r>
      <w:r w:rsidR="00AE2A18">
        <w:rPr>
          <w:b/>
        </w:rPr>
        <w:t>Seventeenth</w:t>
      </w:r>
      <w:r>
        <w:rPr>
          <w:b/>
        </w:rPr>
        <w:t xml:space="preserve"> Applicant</w:t>
      </w:r>
    </w:p>
    <w:p w:rsidR="00D37F7D" w:rsidRDefault="00D37F7D" w:rsidP="00116440">
      <w:pPr>
        <w:rPr>
          <w:b/>
        </w:rPr>
      </w:pPr>
    </w:p>
    <w:p w:rsidR="00D37F7D" w:rsidRDefault="00D37F7D" w:rsidP="009559CE">
      <w:pPr>
        <w:tabs>
          <w:tab w:val="right" w:pos="9360"/>
        </w:tabs>
        <w:rPr>
          <w:b/>
        </w:rPr>
      </w:pPr>
      <w:r>
        <w:rPr>
          <w:b/>
        </w:rPr>
        <w:t xml:space="preserve">BCM FET COLLEGE (PTY) LTD </w:t>
      </w:r>
      <w:r w:rsidR="009559CE">
        <w:rPr>
          <w:b/>
        </w:rPr>
        <w:tab/>
      </w:r>
      <w:r w:rsidR="00AE2A18">
        <w:rPr>
          <w:b/>
        </w:rPr>
        <w:t>Eighteenth</w:t>
      </w:r>
      <w:r>
        <w:rPr>
          <w:b/>
        </w:rPr>
        <w:t xml:space="preserve"> Applicant</w:t>
      </w:r>
    </w:p>
    <w:p w:rsidR="00D37F7D" w:rsidRDefault="00D37F7D" w:rsidP="00116440">
      <w:pPr>
        <w:rPr>
          <w:b/>
        </w:rPr>
      </w:pPr>
    </w:p>
    <w:p w:rsidR="00D37F7D" w:rsidRDefault="00AE2A18" w:rsidP="009559CE">
      <w:pPr>
        <w:tabs>
          <w:tab w:val="right" w:pos="9360"/>
        </w:tabs>
        <w:rPr>
          <w:b/>
        </w:rPr>
      </w:pPr>
      <w:r>
        <w:rPr>
          <w:b/>
        </w:rPr>
        <w:t xml:space="preserve">BLUE GROUP SERVICES </w:t>
      </w:r>
      <w:r w:rsidR="00D37F7D">
        <w:rPr>
          <w:b/>
        </w:rPr>
        <w:t xml:space="preserve">(PTY) LTD </w:t>
      </w:r>
      <w:r w:rsidR="009559CE">
        <w:rPr>
          <w:b/>
        </w:rPr>
        <w:tab/>
      </w:r>
      <w:r>
        <w:rPr>
          <w:b/>
        </w:rPr>
        <w:t xml:space="preserve">Nineteenth </w:t>
      </w:r>
      <w:r w:rsidR="00D37F7D">
        <w:rPr>
          <w:b/>
        </w:rPr>
        <w:t>Applicant</w:t>
      </w:r>
    </w:p>
    <w:p w:rsidR="00D37F7D" w:rsidRDefault="00D37F7D" w:rsidP="00116440">
      <w:pPr>
        <w:rPr>
          <w:b/>
        </w:rPr>
      </w:pPr>
    </w:p>
    <w:p w:rsidR="00D37F7D" w:rsidRDefault="00D37F7D" w:rsidP="009559CE">
      <w:pPr>
        <w:tabs>
          <w:tab w:val="right" w:pos="9360"/>
        </w:tabs>
        <w:rPr>
          <w:b/>
        </w:rPr>
      </w:pPr>
      <w:r>
        <w:rPr>
          <w:b/>
        </w:rPr>
        <w:t xml:space="preserve">KOUGAKAMMA CO-OPERATIVE LIMITED </w:t>
      </w:r>
      <w:r w:rsidR="009559CE">
        <w:rPr>
          <w:b/>
        </w:rPr>
        <w:tab/>
      </w:r>
      <w:r w:rsidR="00AE2A18">
        <w:rPr>
          <w:b/>
        </w:rPr>
        <w:t xml:space="preserve">Twentieth </w:t>
      </w:r>
      <w:r>
        <w:rPr>
          <w:b/>
        </w:rPr>
        <w:t>Applicant</w:t>
      </w:r>
    </w:p>
    <w:p w:rsidR="00D37F7D" w:rsidRDefault="00D37F7D" w:rsidP="00116440">
      <w:pPr>
        <w:rPr>
          <w:b/>
        </w:rPr>
      </w:pPr>
    </w:p>
    <w:p w:rsidR="009559CE" w:rsidRDefault="00D37F7D" w:rsidP="00116440">
      <w:pPr>
        <w:rPr>
          <w:b/>
        </w:rPr>
      </w:pPr>
      <w:r>
        <w:rPr>
          <w:b/>
        </w:rPr>
        <w:t xml:space="preserve">MATATLELE MALUTI BUS PRIMARY CO-OPERATIVE </w:t>
      </w:r>
    </w:p>
    <w:p w:rsidR="00D37F7D" w:rsidRDefault="00D37F7D" w:rsidP="009559CE">
      <w:pPr>
        <w:tabs>
          <w:tab w:val="right" w:pos="9360"/>
        </w:tabs>
        <w:rPr>
          <w:b/>
        </w:rPr>
      </w:pPr>
      <w:r>
        <w:rPr>
          <w:b/>
        </w:rPr>
        <w:t xml:space="preserve">LIMITED </w:t>
      </w:r>
      <w:r w:rsidR="009559CE">
        <w:rPr>
          <w:b/>
        </w:rPr>
        <w:tab/>
      </w:r>
      <w:r w:rsidR="00AE2A18">
        <w:rPr>
          <w:b/>
        </w:rPr>
        <w:t xml:space="preserve">Twenty-first </w:t>
      </w:r>
      <w:r>
        <w:rPr>
          <w:b/>
        </w:rPr>
        <w:t>Applicant</w:t>
      </w:r>
    </w:p>
    <w:p w:rsidR="009559CE" w:rsidRDefault="009559CE" w:rsidP="00116440">
      <w:pPr>
        <w:rPr>
          <w:b/>
        </w:rPr>
      </w:pPr>
    </w:p>
    <w:p w:rsidR="009559CE" w:rsidRDefault="009559CE" w:rsidP="009559CE">
      <w:pPr>
        <w:tabs>
          <w:tab w:val="right" w:pos="9360"/>
        </w:tabs>
        <w:rPr>
          <w:b/>
        </w:rPr>
      </w:pPr>
      <w:r>
        <w:rPr>
          <w:b/>
        </w:rPr>
        <w:t>BUTTERWORTH MULTI-PUR</w:t>
      </w:r>
      <w:r w:rsidR="00AE2A18">
        <w:rPr>
          <w:b/>
        </w:rPr>
        <w:t xml:space="preserve">POSE CO-OPERATIVE </w:t>
      </w:r>
      <w:r w:rsidR="00AE2A18">
        <w:rPr>
          <w:b/>
        </w:rPr>
        <w:tab/>
        <w:t xml:space="preserve">Twenty-second </w:t>
      </w:r>
      <w:r>
        <w:rPr>
          <w:b/>
        </w:rPr>
        <w:t>Applicant</w:t>
      </w:r>
    </w:p>
    <w:p w:rsidR="009559CE" w:rsidRDefault="009559CE" w:rsidP="00116440">
      <w:pPr>
        <w:rPr>
          <w:b/>
        </w:rPr>
      </w:pPr>
    </w:p>
    <w:p w:rsidR="00AE2A18" w:rsidRDefault="009559CE" w:rsidP="009559CE">
      <w:pPr>
        <w:tabs>
          <w:tab w:val="right" w:pos="9360"/>
        </w:tabs>
        <w:rPr>
          <w:b/>
        </w:rPr>
      </w:pPr>
      <w:r>
        <w:rPr>
          <w:b/>
        </w:rPr>
        <w:t xml:space="preserve">MQANDULI TRANPORT </w:t>
      </w:r>
      <w:r w:rsidR="00AE2A18">
        <w:rPr>
          <w:b/>
        </w:rPr>
        <w:t>SERVICES AND MULITI-PURPOSE</w:t>
      </w:r>
    </w:p>
    <w:p w:rsidR="009559CE" w:rsidRDefault="009559CE" w:rsidP="009559CE">
      <w:pPr>
        <w:tabs>
          <w:tab w:val="right" w:pos="9360"/>
        </w:tabs>
        <w:rPr>
          <w:b/>
        </w:rPr>
      </w:pPr>
      <w:r>
        <w:rPr>
          <w:b/>
        </w:rPr>
        <w:t>PRI</w:t>
      </w:r>
      <w:r w:rsidR="009D6EDD">
        <w:rPr>
          <w:b/>
        </w:rPr>
        <w:t xml:space="preserve">MARY CO-OPERATIVE </w:t>
      </w:r>
      <w:r w:rsidR="009D6EDD">
        <w:rPr>
          <w:b/>
        </w:rPr>
        <w:tab/>
        <w:t>Twenty-third</w:t>
      </w:r>
      <w:r>
        <w:rPr>
          <w:b/>
        </w:rPr>
        <w:t xml:space="preserve"> Applicant</w:t>
      </w:r>
    </w:p>
    <w:p w:rsidR="009559CE" w:rsidRDefault="009559CE" w:rsidP="00116440">
      <w:pPr>
        <w:rPr>
          <w:b/>
        </w:rPr>
      </w:pPr>
    </w:p>
    <w:p w:rsidR="006B6B6F" w:rsidRDefault="009D6EDD" w:rsidP="009D6EDD">
      <w:pPr>
        <w:tabs>
          <w:tab w:val="right" w:pos="9360"/>
        </w:tabs>
        <w:rPr>
          <w:b/>
        </w:rPr>
      </w:pPr>
      <w:r>
        <w:rPr>
          <w:b/>
        </w:rPr>
        <w:t xml:space="preserve">MQANDULI TRANSPORT SECONDARY CO-OPERATIVE </w:t>
      </w:r>
      <w:r>
        <w:rPr>
          <w:b/>
        </w:rPr>
        <w:tab/>
        <w:t>Twenty-fourth Applicant</w:t>
      </w:r>
    </w:p>
    <w:p w:rsidR="006B6B6F" w:rsidRDefault="006B6B6F" w:rsidP="009559CE">
      <w:pPr>
        <w:tabs>
          <w:tab w:val="right" w:pos="9360"/>
        </w:tabs>
        <w:rPr>
          <w:b/>
        </w:rPr>
      </w:pPr>
    </w:p>
    <w:p w:rsidR="009559CE" w:rsidRDefault="009559CE" w:rsidP="009559CE">
      <w:pPr>
        <w:tabs>
          <w:tab w:val="right" w:pos="9360"/>
        </w:tabs>
        <w:rPr>
          <w:b/>
        </w:rPr>
      </w:pPr>
      <w:r>
        <w:rPr>
          <w:b/>
        </w:rPr>
        <w:t xml:space="preserve">LELILLITHA TRANSPORT PRIMARY CO-OPERATIVE LTD </w:t>
      </w:r>
      <w:r>
        <w:rPr>
          <w:b/>
        </w:rPr>
        <w:tab/>
        <w:t>Twenty-</w:t>
      </w:r>
      <w:r w:rsidR="009D6EDD">
        <w:rPr>
          <w:b/>
        </w:rPr>
        <w:t>fifth</w:t>
      </w:r>
      <w:r>
        <w:rPr>
          <w:b/>
        </w:rPr>
        <w:t xml:space="preserve"> Applicant</w:t>
      </w:r>
    </w:p>
    <w:p w:rsidR="009559CE" w:rsidRDefault="009559CE" w:rsidP="00116440">
      <w:pPr>
        <w:rPr>
          <w:b/>
        </w:rPr>
      </w:pPr>
    </w:p>
    <w:p w:rsidR="009559CE" w:rsidRDefault="009559CE" w:rsidP="00116440">
      <w:pPr>
        <w:rPr>
          <w:b/>
        </w:rPr>
      </w:pPr>
      <w:r>
        <w:rPr>
          <w:b/>
        </w:rPr>
        <w:t xml:space="preserve">UNCEDO TRANSPORT AND BUSINESS PRIMARY </w:t>
      </w:r>
    </w:p>
    <w:p w:rsidR="009559CE" w:rsidRDefault="009D6EDD" w:rsidP="009559CE">
      <w:pPr>
        <w:tabs>
          <w:tab w:val="right" w:pos="9360"/>
        </w:tabs>
        <w:rPr>
          <w:b/>
        </w:rPr>
      </w:pPr>
      <w:r>
        <w:rPr>
          <w:b/>
        </w:rPr>
        <w:t xml:space="preserve">CO-OPERATIVE </w:t>
      </w:r>
      <w:r>
        <w:rPr>
          <w:b/>
        </w:rPr>
        <w:tab/>
        <w:t>Twenty-sixth</w:t>
      </w:r>
      <w:r w:rsidR="009559CE">
        <w:rPr>
          <w:b/>
        </w:rPr>
        <w:t xml:space="preserve"> Applicant</w:t>
      </w:r>
    </w:p>
    <w:p w:rsidR="009559CE" w:rsidRDefault="009559CE" w:rsidP="00116440">
      <w:pPr>
        <w:rPr>
          <w:b/>
        </w:rPr>
      </w:pPr>
    </w:p>
    <w:p w:rsidR="009559CE" w:rsidRDefault="009559CE" w:rsidP="00116440">
      <w:pPr>
        <w:rPr>
          <w:b/>
        </w:rPr>
      </w:pPr>
      <w:r>
        <w:rPr>
          <w:b/>
        </w:rPr>
        <w:t>MOUNT FLETHCER – MACLEAR BUS AND TAXI</w:t>
      </w:r>
    </w:p>
    <w:p w:rsidR="009559CE" w:rsidRDefault="009559CE" w:rsidP="009559CE">
      <w:pPr>
        <w:tabs>
          <w:tab w:val="right" w:pos="9360"/>
        </w:tabs>
        <w:rPr>
          <w:b/>
        </w:rPr>
      </w:pPr>
      <w:r>
        <w:rPr>
          <w:b/>
        </w:rPr>
        <w:t>CO</w:t>
      </w:r>
      <w:r w:rsidR="009D6EDD">
        <w:rPr>
          <w:b/>
        </w:rPr>
        <w:t xml:space="preserve">-OPERATIVE LIMITED </w:t>
      </w:r>
      <w:r w:rsidR="009D6EDD">
        <w:rPr>
          <w:b/>
        </w:rPr>
        <w:tab/>
        <w:t>Twenty-seventh</w:t>
      </w:r>
      <w:r>
        <w:rPr>
          <w:b/>
        </w:rPr>
        <w:t xml:space="preserve"> Applicant</w:t>
      </w:r>
    </w:p>
    <w:p w:rsidR="009559CE" w:rsidRDefault="009559CE" w:rsidP="00116440">
      <w:pPr>
        <w:rPr>
          <w:b/>
        </w:rPr>
      </w:pPr>
    </w:p>
    <w:p w:rsidR="009559CE" w:rsidRDefault="009559CE" w:rsidP="00116440">
      <w:pPr>
        <w:rPr>
          <w:b/>
        </w:rPr>
      </w:pPr>
      <w:r>
        <w:rPr>
          <w:b/>
        </w:rPr>
        <w:t>WILLOWVALE TRANSPORT AND MULTI-PURPOSE</w:t>
      </w:r>
    </w:p>
    <w:p w:rsidR="009559CE" w:rsidRDefault="009559CE" w:rsidP="009559CE">
      <w:pPr>
        <w:tabs>
          <w:tab w:val="right" w:pos="9360"/>
        </w:tabs>
        <w:rPr>
          <w:b/>
        </w:rPr>
      </w:pPr>
      <w:r>
        <w:rPr>
          <w:b/>
        </w:rPr>
        <w:t>PRIMARY CO-OPERATIVE LIMIT</w:t>
      </w:r>
      <w:r w:rsidR="008E65F9">
        <w:rPr>
          <w:b/>
        </w:rPr>
        <w:t xml:space="preserve">ED </w:t>
      </w:r>
      <w:r w:rsidR="008E65F9">
        <w:rPr>
          <w:b/>
        </w:rPr>
        <w:tab/>
        <w:t>Twenty-eight</w:t>
      </w:r>
      <w:r>
        <w:rPr>
          <w:b/>
        </w:rPr>
        <w:t xml:space="preserve"> Applicant</w:t>
      </w:r>
    </w:p>
    <w:p w:rsidR="009559CE" w:rsidRDefault="009559CE" w:rsidP="00116440">
      <w:pPr>
        <w:rPr>
          <w:b/>
        </w:rPr>
      </w:pPr>
    </w:p>
    <w:p w:rsidR="009559CE" w:rsidRDefault="009559CE" w:rsidP="009559CE">
      <w:pPr>
        <w:tabs>
          <w:tab w:val="right" w:pos="9360"/>
        </w:tabs>
        <w:rPr>
          <w:b/>
        </w:rPr>
      </w:pPr>
      <w:r>
        <w:rPr>
          <w:b/>
        </w:rPr>
        <w:t>META YELANGA TR</w:t>
      </w:r>
      <w:r w:rsidR="008E65F9">
        <w:rPr>
          <w:b/>
        </w:rPr>
        <w:t xml:space="preserve">ANSPORT SERVICES </w:t>
      </w:r>
      <w:r w:rsidR="008E65F9">
        <w:rPr>
          <w:b/>
        </w:rPr>
        <w:tab/>
        <w:t xml:space="preserve">Twenty-ninth </w:t>
      </w:r>
      <w:r>
        <w:rPr>
          <w:b/>
        </w:rPr>
        <w:t>Applicant</w:t>
      </w:r>
    </w:p>
    <w:p w:rsidR="009559CE" w:rsidRDefault="009559CE" w:rsidP="00116440">
      <w:pPr>
        <w:rPr>
          <w:b/>
        </w:rPr>
      </w:pPr>
    </w:p>
    <w:p w:rsidR="009559CE" w:rsidRDefault="009559CE" w:rsidP="00116440">
      <w:pPr>
        <w:rPr>
          <w:b/>
        </w:rPr>
      </w:pPr>
      <w:r>
        <w:rPr>
          <w:b/>
        </w:rPr>
        <w:t xml:space="preserve">MINILUX TRANSPORT SERVICE AND MULTI-PURPOSE </w:t>
      </w:r>
    </w:p>
    <w:p w:rsidR="009559CE" w:rsidRDefault="009559CE" w:rsidP="009559CE">
      <w:pPr>
        <w:tabs>
          <w:tab w:val="right" w:pos="9360"/>
        </w:tabs>
        <w:rPr>
          <w:b/>
        </w:rPr>
      </w:pPr>
      <w:r>
        <w:rPr>
          <w:b/>
        </w:rPr>
        <w:t xml:space="preserve">PRIMARY CO-OPERATIVE </w:t>
      </w:r>
      <w:r>
        <w:rPr>
          <w:b/>
        </w:rPr>
        <w:tab/>
        <w:t>T</w:t>
      </w:r>
      <w:r w:rsidR="008E65F9">
        <w:rPr>
          <w:b/>
        </w:rPr>
        <w:t xml:space="preserve">hirtieth </w:t>
      </w:r>
      <w:r>
        <w:rPr>
          <w:b/>
        </w:rPr>
        <w:t>Applicant</w:t>
      </w:r>
    </w:p>
    <w:p w:rsidR="008E65F9" w:rsidRDefault="008E65F9" w:rsidP="009559CE">
      <w:pPr>
        <w:tabs>
          <w:tab w:val="right" w:pos="9360"/>
        </w:tabs>
        <w:rPr>
          <w:b/>
        </w:rPr>
      </w:pPr>
    </w:p>
    <w:p w:rsidR="008E65F9" w:rsidRDefault="008E65F9" w:rsidP="009559CE">
      <w:pPr>
        <w:tabs>
          <w:tab w:val="right" w:pos="9360"/>
        </w:tabs>
        <w:rPr>
          <w:b/>
        </w:rPr>
      </w:pPr>
      <w:r>
        <w:rPr>
          <w:b/>
        </w:rPr>
        <w:t>PORT ST. JOHNS TAXI OWNERS ASSOCIATION</w:t>
      </w:r>
    </w:p>
    <w:p w:rsidR="008E65F9" w:rsidRDefault="008E65F9" w:rsidP="008E65F9">
      <w:pPr>
        <w:tabs>
          <w:tab w:val="right" w:pos="9360"/>
        </w:tabs>
        <w:rPr>
          <w:b/>
        </w:rPr>
      </w:pPr>
      <w:r>
        <w:rPr>
          <w:b/>
        </w:rPr>
        <w:t>PRIMARY CO-OPERATIVE</w:t>
      </w:r>
      <w:r w:rsidRPr="008E65F9">
        <w:rPr>
          <w:b/>
        </w:rPr>
        <w:t xml:space="preserve"> </w:t>
      </w:r>
      <w:r>
        <w:rPr>
          <w:b/>
        </w:rPr>
        <w:t xml:space="preserve">LIMITED </w:t>
      </w:r>
      <w:r>
        <w:rPr>
          <w:b/>
        </w:rPr>
        <w:tab/>
        <w:t>Thirty-first Applicant</w:t>
      </w:r>
    </w:p>
    <w:p w:rsidR="008E65F9" w:rsidRDefault="008E65F9" w:rsidP="009559CE">
      <w:pPr>
        <w:tabs>
          <w:tab w:val="right" w:pos="9360"/>
        </w:tabs>
        <w:rPr>
          <w:b/>
        </w:rPr>
      </w:pPr>
    </w:p>
    <w:p w:rsidR="008E65F9" w:rsidRDefault="008E65F9" w:rsidP="009559CE">
      <w:pPr>
        <w:tabs>
          <w:tab w:val="right" w:pos="9360"/>
        </w:tabs>
        <w:rPr>
          <w:b/>
        </w:rPr>
      </w:pPr>
      <w:r>
        <w:rPr>
          <w:b/>
        </w:rPr>
        <w:t xml:space="preserve">KUYASA PROGRESSIVE PRIMARY CO-OPERATIVE </w:t>
      </w:r>
    </w:p>
    <w:p w:rsidR="008E65F9" w:rsidRDefault="008E65F9" w:rsidP="008E65F9">
      <w:pPr>
        <w:tabs>
          <w:tab w:val="right" w:pos="9360"/>
        </w:tabs>
        <w:rPr>
          <w:b/>
        </w:rPr>
      </w:pPr>
      <w:r>
        <w:rPr>
          <w:b/>
        </w:rPr>
        <w:t xml:space="preserve">LIMITED </w:t>
      </w:r>
      <w:r>
        <w:rPr>
          <w:b/>
        </w:rPr>
        <w:tab/>
        <w:t>Thirty-second Applicant</w:t>
      </w:r>
    </w:p>
    <w:p w:rsidR="008E65F9" w:rsidRDefault="008E65F9" w:rsidP="009559CE">
      <w:pPr>
        <w:tabs>
          <w:tab w:val="right" w:pos="9360"/>
        </w:tabs>
        <w:rPr>
          <w:b/>
        </w:rPr>
      </w:pPr>
    </w:p>
    <w:p w:rsidR="008E65F9" w:rsidRDefault="008E65F9" w:rsidP="009559CE">
      <w:pPr>
        <w:tabs>
          <w:tab w:val="right" w:pos="9360"/>
        </w:tabs>
        <w:rPr>
          <w:b/>
        </w:rPr>
      </w:pPr>
      <w:r>
        <w:rPr>
          <w:b/>
        </w:rPr>
        <w:t xml:space="preserve">XESI DEBE TRANSPORT SERVICES PRIMARY </w:t>
      </w:r>
    </w:p>
    <w:p w:rsidR="008E65F9" w:rsidRDefault="008E65F9" w:rsidP="008E65F9">
      <w:pPr>
        <w:tabs>
          <w:tab w:val="right" w:pos="9360"/>
        </w:tabs>
        <w:rPr>
          <w:b/>
        </w:rPr>
      </w:pPr>
      <w:r>
        <w:rPr>
          <w:b/>
        </w:rPr>
        <w:t xml:space="preserve">CO-OPERATIVE </w:t>
      </w:r>
      <w:r>
        <w:rPr>
          <w:b/>
        </w:rPr>
        <w:tab/>
        <w:t>Thirty-third Applicant</w:t>
      </w:r>
    </w:p>
    <w:p w:rsidR="009559CE" w:rsidRDefault="009559CE" w:rsidP="00116440">
      <w:pPr>
        <w:rPr>
          <w:b/>
        </w:rPr>
      </w:pPr>
    </w:p>
    <w:p w:rsidR="008E65F9" w:rsidRDefault="008E65F9" w:rsidP="008E65F9">
      <w:pPr>
        <w:tabs>
          <w:tab w:val="right" w:pos="9360"/>
        </w:tabs>
        <w:rPr>
          <w:b/>
        </w:rPr>
      </w:pPr>
      <w:r>
        <w:rPr>
          <w:b/>
        </w:rPr>
        <w:t xml:space="preserve">KULASANDE EDIMBAZA LOGISTIC CO-OPERATIVE </w:t>
      </w:r>
      <w:r>
        <w:rPr>
          <w:b/>
        </w:rPr>
        <w:tab/>
        <w:t>Thirty-fourth Applicant</w:t>
      </w:r>
    </w:p>
    <w:p w:rsidR="008E65F9" w:rsidRDefault="008E65F9" w:rsidP="00116440">
      <w:pPr>
        <w:rPr>
          <w:b/>
        </w:rPr>
      </w:pPr>
    </w:p>
    <w:p w:rsidR="008E65F9" w:rsidRDefault="008E65F9" w:rsidP="008E65F9">
      <w:pPr>
        <w:tabs>
          <w:tab w:val="right" w:pos="9360"/>
        </w:tabs>
        <w:rPr>
          <w:b/>
        </w:rPr>
      </w:pPr>
      <w:r>
        <w:rPr>
          <w:b/>
        </w:rPr>
        <w:t xml:space="preserve">MACLEAR TAXI ASSOCIATION PRIMARY CO-OPERATIVE </w:t>
      </w:r>
      <w:r>
        <w:rPr>
          <w:b/>
        </w:rPr>
        <w:tab/>
        <w:t>Thirty-fifth Applicant</w:t>
      </w:r>
    </w:p>
    <w:p w:rsidR="008E65F9" w:rsidRDefault="008E65F9" w:rsidP="00116440">
      <w:pPr>
        <w:rPr>
          <w:b/>
        </w:rPr>
      </w:pPr>
    </w:p>
    <w:p w:rsidR="008E65F9" w:rsidRDefault="008E65F9" w:rsidP="00116440">
      <w:pPr>
        <w:rPr>
          <w:b/>
        </w:rPr>
      </w:pPr>
    </w:p>
    <w:p w:rsidR="009559CE" w:rsidRDefault="009559CE" w:rsidP="00116440">
      <w:pPr>
        <w:rPr>
          <w:b/>
        </w:rPr>
      </w:pPr>
      <w:r>
        <w:rPr>
          <w:b/>
        </w:rPr>
        <w:t>and</w:t>
      </w:r>
    </w:p>
    <w:p w:rsidR="009559CE" w:rsidRDefault="009559CE" w:rsidP="00116440">
      <w:pPr>
        <w:rPr>
          <w:b/>
        </w:rPr>
      </w:pPr>
    </w:p>
    <w:p w:rsidR="009559CE" w:rsidRDefault="009559CE" w:rsidP="009559CE">
      <w:pPr>
        <w:tabs>
          <w:tab w:val="right" w:pos="9360"/>
        </w:tabs>
        <w:rPr>
          <w:b/>
        </w:rPr>
      </w:pPr>
      <w:r>
        <w:rPr>
          <w:b/>
        </w:rPr>
        <w:t xml:space="preserve">THE NATIONAL DIRECTOR OF PUBLIC PROSECUTION </w:t>
      </w:r>
      <w:r>
        <w:rPr>
          <w:b/>
        </w:rPr>
        <w:tab/>
      </w:r>
      <w:r w:rsidR="008E65F9">
        <w:rPr>
          <w:b/>
        </w:rPr>
        <w:t xml:space="preserve">First </w:t>
      </w:r>
      <w:r>
        <w:rPr>
          <w:b/>
        </w:rPr>
        <w:t>Respondent</w:t>
      </w:r>
    </w:p>
    <w:p w:rsidR="008E65F9" w:rsidRDefault="008E65F9" w:rsidP="009559CE">
      <w:pPr>
        <w:tabs>
          <w:tab w:val="right" w:pos="9360"/>
        </w:tabs>
        <w:rPr>
          <w:b/>
        </w:rPr>
      </w:pPr>
    </w:p>
    <w:p w:rsidR="008E65F9" w:rsidRDefault="008E65F9" w:rsidP="009559CE">
      <w:pPr>
        <w:tabs>
          <w:tab w:val="right" w:pos="9360"/>
        </w:tabs>
        <w:rPr>
          <w:b/>
        </w:rPr>
      </w:pPr>
      <w:r>
        <w:rPr>
          <w:b/>
        </w:rPr>
        <w:t>ACTING COMMISSIONER: UNEMPLOYMENT INSURANCE</w:t>
      </w:r>
    </w:p>
    <w:p w:rsidR="008E65F9" w:rsidRDefault="008E65F9" w:rsidP="008E65F9">
      <w:pPr>
        <w:tabs>
          <w:tab w:val="right" w:pos="9360"/>
        </w:tabs>
        <w:rPr>
          <w:b/>
        </w:rPr>
      </w:pPr>
      <w:r>
        <w:rPr>
          <w:b/>
        </w:rPr>
        <w:t xml:space="preserve">FUND </w:t>
      </w:r>
      <w:r>
        <w:rPr>
          <w:b/>
        </w:rPr>
        <w:tab/>
        <w:t>Second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DIRECTOR-GENERAL EMPLOYMENT AND LABOUR </w:t>
      </w:r>
      <w:r>
        <w:rPr>
          <w:b/>
        </w:rPr>
        <w:tab/>
        <w:t>Third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MINISTER OF EMPLOYMENT AND LABOUR </w:t>
      </w:r>
      <w:r>
        <w:rPr>
          <w:b/>
        </w:rPr>
        <w:tab/>
        <w:t>Fourth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FIRST NATIONAL BANK </w:t>
      </w:r>
      <w:r>
        <w:rPr>
          <w:b/>
        </w:rPr>
        <w:tab/>
        <w:t>Fifth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NEDBANK LIMITED </w:t>
      </w:r>
      <w:r>
        <w:rPr>
          <w:b/>
        </w:rPr>
        <w:tab/>
        <w:t>Sixth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ABSA BANK LIMITED </w:t>
      </w:r>
      <w:r>
        <w:rPr>
          <w:b/>
        </w:rPr>
        <w:tab/>
        <w:t>Seventh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STANDARD BANK LIMITED </w:t>
      </w:r>
      <w:r>
        <w:rPr>
          <w:b/>
        </w:rPr>
        <w:tab/>
        <w:t>Eight Respondent</w:t>
      </w:r>
    </w:p>
    <w:p w:rsidR="008E65F9" w:rsidRDefault="008E65F9" w:rsidP="009559CE">
      <w:pPr>
        <w:tabs>
          <w:tab w:val="right" w:pos="9360"/>
        </w:tabs>
        <w:rPr>
          <w:b/>
        </w:rPr>
      </w:pPr>
    </w:p>
    <w:p w:rsidR="008E65F9" w:rsidRDefault="008E65F9" w:rsidP="008E65F9">
      <w:pPr>
        <w:tabs>
          <w:tab w:val="right" w:pos="9360"/>
        </w:tabs>
        <w:rPr>
          <w:b/>
        </w:rPr>
      </w:pPr>
      <w:r>
        <w:rPr>
          <w:b/>
        </w:rPr>
        <w:t xml:space="preserve">FINANCIAL INTELLIGENCE CENTRE </w:t>
      </w:r>
      <w:r>
        <w:rPr>
          <w:b/>
        </w:rPr>
        <w:tab/>
        <w:t>Ninth Respondent</w:t>
      </w:r>
    </w:p>
    <w:p w:rsidR="009559CE" w:rsidRDefault="009559CE" w:rsidP="00116440">
      <w:pPr>
        <w:rPr>
          <w:b/>
        </w:rPr>
      </w:pPr>
    </w:p>
    <w:p w:rsidR="009559CE" w:rsidRDefault="009559CE" w:rsidP="00116440">
      <w:pPr>
        <w:rPr>
          <w:b/>
        </w:rPr>
      </w:pPr>
      <w:r>
        <w:rPr>
          <w:b/>
        </w:rPr>
        <w:t>In Re:</w:t>
      </w:r>
    </w:p>
    <w:p w:rsidR="009559CE" w:rsidRDefault="009559CE" w:rsidP="00116440">
      <w:pPr>
        <w:rPr>
          <w:b/>
        </w:rPr>
      </w:pPr>
    </w:p>
    <w:p w:rsidR="009559CE" w:rsidRDefault="009559CE" w:rsidP="009559CE">
      <w:pPr>
        <w:tabs>
          <w:tab w:val="right" w:pos="9360"/>
        </w:tabs>
        <w:rPr>
          <w:b/>
        </w:rPr>
      </w:pPr>
      <w:r>
        <w:rPr>
          <w:b/>
        </w:rPr>
        <w:t xml:space="preserve">THE NATIONAL DIRECTOR OF PUBLIC PROSECUTION </w:t>
      </w:r>
      <w:r>
        <w:rPr>
          <w:b/>
        </w:rPr>
        <w:tab/>
        <w:t>Applicant</w:t>
      </w:r>
    </w:p>
    <w:p w:rsidR="00D37F7D" w:rsidRDefault="00D37F7D" w:rsidP="00116440">
      <w:pPr>
        <w:rPr>
          <w:b/>
        </w:rPr>
      </w:pPr>
    </w:p>
    <w:p w:rsidR="00116440" w:rsidRDefault="00116440" w:rsidP="00116440">
      <w:pPr>
        <w:rPr>
          <w:b/>
        </w:rPr>
      </w:pPr>
    </w:p>
    <w:p w:rsidR="00116440" w:rsidRDefault="00116440" w:rsidP="00116440">
      <w:pPr>
        <w:pBdr>
          <w:bottom w:val="single" w:sz="12" w:space="1" w:color="auto"/>
        </w:pBdr>
        <w:rPr>
          <w:b/>
        </w:rPr>
      </w:pPr>
    </w:p>
    <w:p w:rsidR="00116440" w:rsidRDefault="00116440" w:rsidP="00116440">
      <w:pPr>
        <w:rPr>
          <w:b/>
        </w:rPr>
      </w:pPr>
    </w:p>
    <w:p w:rsidR="00116440" w:rsidRDefault="00116440" w:rsidP="00116440">
      <w:pPr>
        <w:jc w:val="center"/>
        <w:rPr>
          <w:b/>
        </w:rPr>
      </w:pPr>
      <w:r>
        <w:rPr>
          <w:b/>
        </w:rPr>
        <w:t>JUDGMENT</w:t>
      </w:r>
    </w:p>
    <w:p w:rsidR="008D512E" w:rsidRDefault="008D512E" w:rsidP="00116440">
      <w:pPr>
        <w:jc w:val="center"/>
        <w:rPr>
          <w:b/>
        </w:rPr>
      </w:pPr>
      <w:r>
        <w:rPr>
          <w:b/>
        </w:rPr>
        <w:t>(reconsideration of preservation orders)</w:t>
      </w:r>
    </w:p>
    <w:p w:rsidR="00116440" w:rsidRDefault="00116440" w:rsidP="00116440">
      <w:pPr>
        <w:pBdr>
          <w:bottom w:val="single" w:sz="12" w:space="1" w:color="auto"/>
        </w:pBdr>
        <w:jc w:val="center"/>
        <w:rPr>
          <w:b/>
        </w:rPr>
      </w:pPr>
    </w:p>
    <w:p w:rsidR="00116440" w:rsidRDefault="00116440" w:rsidP="00116440">
      <w:pPr>
        <w:jc w:val="center"/>
        <w:rPr>
          <w:b/>
        </w:rPr>
      </w:pPr>
    </w:p>
    <w:p w:rsidR="00116440" w:rsidRDefault="00116440" w:rsidP="00116440">
      <w:r>
        <w:rPr>
          <w:b/>
          <w:u w:val="single"/>
        </w:rPr>
        <w:t>BLOEM J</w:t>
      </w:r>
      <w:r>
        <w:t>:</w:t>
      </w:r>
    </w:p>
    <w:p w:rsidR="00116440" w:rsidRDefault="00116440" w:rsidP="00116440"/>
    <w:p w:rsidR="00116440" w:rsidRDefault="00A6112D" w:rsidP="00A6112D">
      <w:pPr>
        <w:pStyle w:val="ListParagraph"/>
        <w:numPr>
          <w:ilvl w:val="0"/>
          <w:numId w:val="3"/>
        </w:numPr>
        <w:spacing w:line="480" w:lineRule="auto"/>
        <w:ind w:left="720" w:hanging="720"/>
        <w:jc w:val="both"/>
      </w:pPr>
      <w:r>
        <w:t xml:space="preserve">The </w:t>
      </w:r>
      <w:r w:rsidR="00112D96">
        <w:t>N</w:t>
      </w:r>
      <w:r>
        <w:t xml:space="preserve">ational Director of Public Prosecutions (the NDPP) sought and was granted an </w:t>
      </w:r>
      <w:r w:rsidRPr="004F0F8E">
        <w:rPr>
          <w:i/>
        </w:rPr>
        <w:t>ex parte</w:t>
      </w:r>
      <w:r>
        <w:t xml:space="preserve"> order on 30 July 2021 (the first </w:t>
      </w:r>
      <w:r w:rsidR="004F0F8E">
        <w:t xml:space="preserve">preservation </w:t>
      </w:r>
      <w:r>
        <w:t xml:space="preserve">order) in terms whereof the credit balance, including interest (the credit balance), in nineteen bank accounts at First National Bank, two at Nedbank and four at Absa were preserved.  Another </w:t>
      </w:r>
      <w:r w:rsidRPr="004F0F8E">
        <w:rPr>
          <w:i/>
        </w:rPr>
        <w:t>ex parte</w:t>
      </w:r>
      <w:r>
        <w:t xml:space="preserve"> order was granted in favour of the NDPP on 16 August 2021 (the</w:t>
      </w:r>
      <w:r w:rsidR="00645B42">
        <w:t> </w:t>
      </w:r>
      <w:r>
        <w:t xml:space="preserve">second preservation order) in terms whereof </w:t>
      </w:r>
      <w:r w:rsidR="004F0F8E">
        <w:t xml:space="preserve">the </w:t>
      </w:r>
      <w:r>
        <w:t xml:space="preserve">credit balance in another banking account at Nedbank and five at Standard Bank were preserved.  On </w:t>
      </w:r>
      <w:r>
        <w:lastRenderedPageBreak/>
        <w:t>27</w:t>
      </w:r>
      <w:r w:rsidR="00645B42">
        <w:t> </w:t>
      </w:r>
      <w:r>
        <w:t xml:space="preserve">August 2021 the </w:t>
      </w:r>
      <w:r w:rsidR="004F0F8E">
        <w:t>A</w:t>
      </w:r>
      <w:r>
        <w:t xml:space="preserve">cting Unemployment Insurance </w:t>
      </w:r>
      <w:r w:rsidR="004F0F8E">
        <w:t>Commissioner</w:t>
      </w:r>
      <w:r>
        <w:t>, the Director</w:t>
      </w:r>
      <w:r w:rsidR="004F0F8E">
        <w:t>-</w:t>
      </w:r>
      <w:r>
        <w:t xml:space="preserve">General and the Minister of Employment and Labour (the </w:t>
      </w:r>
      <w:r w:rsidR="004F0F8E">
        <w:t>C</w:t>
      </w:r>
      <w:r>
        <w:t xml:space="preserve">ommissioner, DG and Minister) delivered a notice wherein they </w:t>
      </w:r>
      <w:r w:rsidR="004F0F8E">
        <w:t>indicated</w:t>
      </w:r>
      <w:r>
        <w:t xml:space="preserve"> their intention to apply</w:t>
      </w:r>
      <w:r w:rsidR="004F0F8E">
        <w:t>,</w:t>
      </w:r>
      <w:r>
        <w:t xml:space="preserve"> in terms of section 48(4)(b)(i) of the Prevention of Organised Crime Act</w:t>
      </w:r>
      <w:r>
        <w:rPr>
          <w:rStyle w:val="FootnoteReference"/>
        </w:rPr>
        <w:footnoteReference w:id="1"/>
      </w:r>
      <w:r>
        <w:t>(POCA)</w:t>
      </w:r>
      <w:r w:rsidR="004F0F8E">
        <w:t>,</w:t>
      </w:r>
      <w:r>
        <w:t xml:space="preserve"> for an order excluding from any impending forfeiture order, the credit balance</w:t>
      </w:r>
      <w:r w:rsidR="004F0F8E">
        <w:t>s</w:t>
      </w:r>
      <w:r>
        <w:t xml:space="preserve"> in the above banking accounts.  That notice was accompanied by an affidavit contemplated in section 39(5) of POCA wherein the nature and extent of the interest of the </w:t>
      </w:r>
      <w:r w:rsidR="00645B42">
        <w:t xml:space="preserve">Unemployment Insurance Fund </w:t>
      </w:r>
      <w:r>
        <w:t>in the preserved property were set out.</w:t>
      </w:r>
    </w:p>
    <w:p w:rsidR="00AD19CB" w:rsidRDefault="00AD19CB" w:rsidP="00AD19CB">
      <w:pPr>
        <w:spacing w:line="480" w:lineRule="auto"/>
        <w:jc w:val="both"/>
      </w:pPr>
    </w:p>
    <w:p w:rsidR="006938BC" w:rsidRDefault="00AD19CB" w:rsidP="006938BC">
      <w:pPr>
        <w:pStyle w:val="ListParagraph"/>
        <w:numPr>
          <w:ilvl w:val="0"/>
          <w:numId w:val="3"/>
        </w:numPr>
        <w:spacing w:line="480" w:lineRule="auto"/>
        <w:ind w:left="720" w:hanging="720"/>
        <w:jc w:val="both"/>
      </w:pPr>
      <w:r>
        <w:t xml:space="preserve">The NDPP obtained another </w:t>
      </w:r>
      <w:r w:rsidRPr="00112D96">
        <w:rPr>
          <w:i/>
        </w:rPr>
        <w:t>ex parte</w:t>
      </w:r>
      <w:r>
        <w:t xml:space="preserve"> order on 15 September 2021 (the third preservation order) in terms whereof </w:t>
      </w:r>
      <w:r w:rsidR="004F0F8E">
        <w:t xml:space="preserve">the </w:t>
      </w:r>
      <w:r>
        <w:t>credit balance in one bank account at First National Bank, one at Absa and four at Standard Bank were preserved.</w:t>
      </w:r>
    </w:p>
    <w:p w:rsidR="00AD19CB" w:rsidRDefault="00AD19CB" w:rsidP="00AD19CB">
      <w:pPr>
        <w:pStyle w:val="ListParagraph"/>
      </w:pPr>
    </w:p>
    <w:p w:rsidR="00AD19CB" w:rsidRDefault="00AD19CB" w:rsidP="00AD19CB">
      <w:pPr>
        <w:pStyle w:val="ListParagraph"/>
        <w:numPr>
          <w:ilvl w:val="0"/>
          <w:numId w:val="3"/>
        </w:numPr>
        <w:spacing w:line="480" w:lineRule="auto"/>
        <w:ind w:left="720" w:hanging="720"/>
        <w:jc w:val="both"/>
      </w:pPr>
      <w:r>
        <w:t>On 30 September 2021 twenty-eight applicants launched an application for an order that the first preservation order b</w:t>
      </w:r>
      <w:r w:rsidR="00645B42">
        <w:t>e reconsidered.  The applicants wer</w:t>
      </w:r>
      <w:r>
        <w:t>e co-operatives and companies whose credit balances are preserved pursuant to the first preservation order.  The NDPP delivered an answering affidavit on 24</w:t>
      </w:r>
      <w:r w:rsidR="007C09A1">
        <w:t> </w:t>
      </w:r>
      <w:r>
        <w:t xml:space="preserve">November 2021 and heads of argument on 30 November 2021.  </w:t>
      </w:r>
    </w:p>
    <w:p w:rsidR="00AD19CB" w:rsidRDefault="00AD19CB" w:rsidP="00AD19CB">
      <w:pPr>
        <w:pStyle w:val="ListParagraph"/>
      </w:pPr>
    </w:p>
    <w:p w:rsidR="00AD19CB" w:rsidRDefault="00AD19CB" w:rsidP="00AD19CB">
      <w:pPr>
        <w:pStyle w:val="ListParagraph"/>
        <w:numPr>
          <w:ilvl w:val="0"/>
          <w:numId w:val="3"/>
        </w:numPr>
        <w:spacing w:line="480" w:lineRule="auto"/>
        <w:ind w:left="720" w:hanging="720"/>
        <w:jc w:val="both"/>
      </w:pPr>
      <w:r>
        <w:t>On 3 December 2021 Beneke AJ dismissed the application for the reconsideration of the first preservation order on the basis that “</w:t>
      </w:r>
      <w:r>
        <w:rPr>
          <w:i/>
        </w:rPr>
        <w:t xml:space="preserve">the UIF very clearly has an interest </w:t>
      </w:r>
      <w:r>
        <w:rPr>
          <w:i/>
        </w:rPr>
        <w:lastRenderedPageBreak/>
        <w:t>in the funds attached</w:t>
      </w:r>
      <w:r>
        <w:t>” and that the failure to join it was fatal.  The application for reconsideration was accordingly dismissed with costs.</w:t>
      </w:r>
    </w:p>
    <w:p w:rsidR="00AD19CB" w:rsidRDefault="00AD19CB" w:rsidP="00AD19CB">
      <w:pPr>
        <w:pStyle w:val="ListParagraph"/>
      </w:pPr>
    </w:p>
    <w:p w:rsidR="00AD19CB" w:rsidRDefault="00AD19CB" w:rsidP="00AD19CB">
      <w:pPr>
        <w:pStyle w:val="ListParagraph"/>
        <w:numPr>
          <w:ilvl w:val="0"/>
          <w:numId w:val="3"/>
        </w:numPr>
        <w:spacing w:line="480" w:lineRule="auto"/>
        <w:ind w:left="720" w:hanging="720"/>
        <w:jc w:val="both"/>
      </w:pPr>
      <w:r>
        <w:t>On 13 December 2021 the applicants launched another application for an order that the first, second and third preservation orders be reconsidered.  That application was essentially the same as the one that was dismissed by Beneke AJ</w:t>
      </w:r>
      <w:r w:rsidR="00C10161">
        <w:t xml:space="preserve">, save that more applicants, the </w:t>
      </w:r>
      <w:r w:rsidR="004F0F8E">
        <w:t>C</w:t>
      </w:r>
      <w:r w:rsidR="00C10161">
        <w:t>ommissioner, DG and Minister as well as the banks holding the credit balances and the Financial Intelligence Centr</w:t>
      </w:r>
      <w:r w:rsidR="004F0F8E">
        <w:t>e</w:t>
      </w:r>
      <w:r w:rsidR="00C10161">
        <w:t xml:space="preserve"> were added in the heading of the application, not the affidavits in support of that application.</w:t>
      </w:r>
    </w:p>
    <w:p w:rsidR="00C10161" w:rsidRDefault="00C10161" w:rsidP="00C10161">
      <w:pPr>
        <w:pStyle w:val="ListParagraph"/>
      </w:pPr>
    </w:p>
    <w:p w:rsidR="00C10161" w:rsidRDefault="00C10161" w:rsidP="00AD19CB">
      <w:pPr>
        <w:pStyle w:val="ListParagraph"/>
        <w:numPr>
          <w:ilvl w:val="0"/>
          <w:numId w:val="3"/>
        </w:numPr>
        <w:spacing w:line="480" w:lineRule="auto"/>
        <w:ind w:left="720" w:hanging="720"/>
        <w:jc w:val="both"/>
      </w:pPr>
      <w:r>
        <w:t xml:space="preserve">The NDPP did not deliver a new answering affidavit or heads of argument.  At the hearing Mr. Wolmarans, attorney for the NDPP, made submissions based on the answering affidavit and heads of argument </w:t>
      </w:r>
      <w:r w:rsidR="00645B42">
        <w:t xml:space="preserve">which were </w:t>
      </w:r>
      <w:r>
        <w:t>delivered during November</w:t>
      </w:r>
      <w:r w:rsidR="007C09A1">
        <w:t> </w:t>
      </w:r>
      <w:r>
        <w:t xml:space="preserve">2021, as the facts upon which the applicants relied for the relief sought </w:t>
      </w:r>
      <w:r w:rsidR="00645B42">
        <w:t xml:space="preserve">in the application that was dismissed are </w:t>
      </w:r>
      <w:r>
        <w:t xml:space="preserve">the same </w:t>
      </w:r>
      <w:r w:rsidR="00645B42">
        <w:t>in</w:t>
      </w:r>
      <w:r>
        <w:t xml:space="preserve"> the present application.  </w:t>
      </w:r>
    </w:p>
    <w:p w:rsidR="00C10161" w:rsidRDefault="00C10161" w:rsidP="00C10161">
      <w:pPr>
        <w:pStyle w:val="ListParagraph"/>
      </w:pPr>
    </w:p>
    <w:p w:rsidR="00C10161" w:rsidRDefault="00C10161" w:rsidP="00AD19CB">
      <w:pPr>
        <w:pStyle w:val="ListParagraph"/>
        <w:numPr>
          <w:ilvl w:val="0"/>
          <w:numId w:val="3"/>
        </w:numPr>
        <w:spacing w:line="480" w:lineRule="auto"/>
        <w:ind w:left="720" w:hanging="720"/>
        <w:jc w:val="both"/>
      </w:pPr>
      <w:r>
        <w:t xml:space="preserve">The applicants rely on two grounds for the </w:t>
      </w:r>
      <w:r w:rsidR="004F0F8E">
        <w:t>re</w:t>
      </w:r>
      <w:r>
        <w:t>consideration of the preservation orders.  The first is that the deponent of the founding affidavit which culminated in the first preservation order failed to show good faith when he placed incorrect facts before the court.  The second ground was the applicants’ reliance on the audit report which was attached to the founding affidavit in the present application</w:t>
      </w:r>
      <w:r w:rsidR="00645B42">
        <w:t>.  A</w:t>
      </w:r>
      <w:r>
        <w:t>ccording to Mr. Mashavha, counsel for the applicants</w:t>
      </w:r>
      <w:r w:rsidR="004F0F8E">
        <w:t>,</w:t>
      </w:r>
      <w:r>
        <w:t xml:space="preserve"> the applicants</w:t>
      </w:r>
      <w:r w:rsidR="004F0F8E">
        <w:t>’</w:t>
      </w:r>
      <w:r>
        <w:t xml:space="preserve"> defence was set out in chapter and verse</w:t>
      </w:r>
      <w:r w:rsidR="00645B42">
        <w:t xml:space="preserve"> in that report</w:t>
      </w:r>
      <w:r>
        <w:t xml:space="preserve">, which defence, it was submitted, shows that the applicants did not commit theft, fraud or any unlawful </w:t>
      </w:r>
      <w:r w:rsidR="00112D96">
        <w:t>activities</w:t>
      </w:r>
      <w:r>
        <w:t xml:space="preserve">.  To </w:t>
      </w:r>
      <w:r>
        <w:lastRenderedPageBreak/>
        <w:t>deal with those grounds, one has to have regard to the grounds upon which the NDPP relied to obtain the preservation orders.</w:t>
      </w:r>
    </w:p>
    <w:p w:rsidR="00C10161" w:rsidRDefault="00C10161" w:rsidP="00C10161">
      <w:pPr>
        <w:pStyle w:val="ListParagraph"/>
      </w:pPr>
    </w:p>
    <w:p w:rsidR="003D4E32" w:rsidRDefault="00C10161" w:rsidP="00AD19CB">
      <w:pPr>
        <w:pStyle w:val="ListParagraph"/>
        <w:numPr>
          <w:ilvl w:val="0"/>
          <w:numId w:val="3"/>
        </w:numPr>
        <w:spacing w:line="480" w:lineRule="auto"/>
        <w:ind w:left="720" w:hanging="720"/>
        <w:jc w:val="both"/>
      </w:pPr>
      <w:r>
        <w:t xml:space="preserve">On 25 March 2020 the Minister issued a directive </w:t>
      </w:r>
      <w:r w:rsidR="004F0F8E">
        <w:t>which p</w:t>
      </w:r>
      <w:r w:rsidR="008D512E">
        <w:t xml:space="preserve">rovides for a </w:t>
      </w:r>
      <w:r>
        <w:t xml:space="preserve">Covid-19 Temporary Employees/Employer Relief Scheme (TERS).  The purpose of the directive was </w:t>
      </w:r>
      <w:r w:rsidRPr="00112D96">
        <w:rPr>
          <w:i/>
        </w:rPr>
        <w:t>inter alia</w:t>
      </w:r>
      <w:r>
        <w:t xml:space="preserve"> to make provision for the payment of </w:t>
      </w:r>
      <w:r w:rsidR="008D512E">
        <w:t xml:space="preserve">a </w:t>
      </w:r>
      <w:r>
        <w:t xml:space="preserve">benefit to </w:t>
      </w:r>
      <w:r w:rsidR="008D512E">
        <w:t>employers and employees who</w:t>
      </w:r>
      <w:r>
        <w:t xml:space="preserve"> </w:t>
      </w:r>
      <w:r w:rsidR="008D512E">
        <w:t xml:space="preserve">make a </w:t>
      </w:r>
      <w:r>
        <w:t>contribut</w:t>
      </w:r>
      <w:r w:rsidR="008D512E">
        <w:t>ion in terms of the Unemployment Insurance Contributions Act</w:t>
      </w:r>
      <w:r w:rsidR="008D512E">
        <w:rPr>
          <w:rStyle w:val="FootnoteReference"/>
        </w:rPr>
        <w:footnoteReference w:id="2"/>
      </w:r>
      <w:r w:rsidR="008D512E">
        <w:t xml:space="preserve"> and </w:t>
      </w:r>
      <w:r>
        <w:t xml:space="preserve">who have lost income due to the </w:t>
      </w:r>
      <w:r w:rsidR="008D512E">
        <w:t>C</w:t>
      </w:r>
      <w:r>
        <w:t>ovid-19 pandemic</w:t>
      </w:r>
      <w:r w:rsidR="008D512E">
        <w:t xml:space="preserve"> (the pandemic)</w:t>
      </w:r>
      <w:r>
        <w:t xml:space="preserve">; </w:t>
      </w:r>
      <w:r w:rsidR="003D4E32">
        <w:t xml:space="preserve">minimize economic impact of loss of employment because of the pandemic; and to establish TERS to alleviate </w:t>
      </w:r>
      <w:r w:rsidR="008D512E">
        <w:t xml:space="preserve">the </w:t>
      </w:r>
      <w:r w:rsidR="003D4E32">
        <w:t xml:space="preserve">economic impact </w:t>
      </w:r>
      <w:r w:rsidR="003C20CE">
        <w:t xml:space="preserve">of </w:t>
      </w:r>
      <w:r w:rsidR="008D512E">
        <w:t>the pandemic.</w:t>
      </w:r>
      <w:r w:rsidR="004F0F8E">
        <w:t xml:space="preserve">  </w:t>
      </w:r>
      <w:r w:rsidR="003D4E32">
        <w:t>The directive set</w:t>
      </w:r>
      <w:r w:rsidR="008D512E">
        <w:t>s</w:t>
      </w:r>
      <w:r w:rsidR="003D4E32">
        <w:t xml:space="preserve"> out the circumstances under which an employee shall qualify for a </w:t>
      </w:r>
      <w:r w:rsidR="008D512E">
        <w:t>C</w:t>
      </w:r>
      <w:r w:rsidR="003D4E32">
        <w:t>ovi</w:t>
      </w:r>
      <w:r w:rsidR="008D512E">
        <w:t>d</w:t>
      </w:r>
      <w:r w:rsidR="003D4E32">
        <w:t xml:space="preserve">-19 temporary relief </w:t>
      </w:r>
      <w:r w:rsidR="008D512E">
        <w:t>scheme benefi</w:t>
      </w:r>
      <w:r w:rsidR="003D4E32">
        <w:t>t</w:t>
      </w:r>
      <w:r w:rsidR="008D512E">
        <w:t>s (the benefit or benefits)</w:t>
      </w:r>
      <w:r w:rsidR="003D4E32">
        <w:t xml:space="preserve">.  Such benefits will be paid to cover only the costs of salary for the employees during the temporary closure of business operations.  An employee would also qualify for illness benefits </w:t>
      </w:r>
      <w:r w:rsidR="008D512E">
        <w:t xml:space="preserve">if </w:t>
      </w:r>
      <w:r w:rsidR="003D4E32">
        <w:t xml:space="preserve">he or she is in quarantine for fourteen days due to </w:t>
      </w:r>
      <w:r w:rsidR="008D512E">
        <w:t>the pandemic</w:t>
      </w:r>
      <w:r w:rsidR="003D4E32">
        <w:t xml:space="preserve">.  Where an employer submits an application for </w:t>
      </w:r>
      <w:r w:rsidR="008D512E">
        <w:t xml:space="preserve">the </w:t>
      </w:r>
      <w:r w:rsidR="003D4E32">
        <w:t>benefits under TERS, it is required to furnish the Unemployment Insurance Fund with a letter of authority from the company and a signed memorandum of agreement (MOA) from the employer or bargaining council with the Unemployment Insurance Fund.</w:t>
      </w:r>
    </w:p>
    <w:p w:rsidR="003D4E32" w:rsidRDefault="003D4E32" w:rsidP="003D4E32">
      <w:pPr>
        <w:pStyle w:val="ListParagraph"/>
        <w:spacing w:line="480" w:lineRule="auto"/>
        <w:jc w:val="both"/>
      </w:pPr>
    </w:p>
    <w:p w:rsidR="00C10161" w:rsidRDefault="003D4E32" w:rsidP="006B6B6F">
      <w:pPr>
        <w:pStyle w:val="ListParagraph"/>
        <w:numPr>
          <w:ilvl w:val="0"/>
          <w:numId w:val="3"/>
        </w:numPr>
        <w:spacing w:line="480" w:lineRule="auto"/>
        <w:ind w:left="720" w:hanging="720"/>
        <w:jc w:val="both"/>
      </w:pPr>
      <w:r>
        <w:t xml:space="preserve">The MOA was signed on 8 April 2020 for and on behalf of the Unemployment Insurance Fund.  The purpose of the MOA is to give effect to TERS in order to </w:t>
      </w:r>
      <w:r>
        <w:lastRenderedPageBreak/>
        <w:t>expedite the payment of benefits to contributors who lost income due to the pandemic, to alleviate the economic impact of the loss of employment and closure of businesses due to the pandemic and to allow for applications for benefits to be made.</w:t>
      </w:r>
    </w:p>
    <w:p w:rsidR="003D4E32" w:rsidRDefault="003D4E32" w:rsidP="003D4E32">
      <w:pPr>
        <w:pStyle w:val="ListParagraph"/>
      </w:pPr>
    </w:p>
    <w:p w:rsidR="003D4E32" w:rsidRDefault="003D4E32" w:rsidP="006B6B6F">
      <w:pPr>
        <w:pStyle w:val="ListParagraph"/>
        <w:numPr>
          <w:ilvl w:val="0"/>
          <w:numId w:val="3"/>
        </w:numPr>
        <w:spacing w:line="480" w:lineRule="auto"/>
        <w:ind w:left="720" w:hanging="720"/>
        <w:jc w:val="both"/>
      </w:pPr>
      <w:r>
        <w:t>The NDPP’s case is that the benefits paid out to the applicants are the proceeds of unlawful activities because the applications for payment and</w:t>
      </w:r>
      <w:r w:rsidR="004F0F8E">
        <w:t xml:space="preserve">, after receipt of </w:t>
      </w:r>
      <w:r w:rsidR="003C20CE">
        <w:t xml:space="preserve">benefits </w:t>
      </w:r>
      <w:r w:rsidR="004F0F8E">
        <w:t>by the applicants</w:t>
      </w:r>
      <w:r w:rsidR="003C20CE">
        <w:t>,</w:t>
      </w:r>
      <w:r w:rsidR="004F0F8E">
        <w:t xml:space="preserve"> </w:t>
      </w:r>
      <w:r>
        <w:t>the payment to the employees of benefits received from the Unemployment Insurance Fund did not comply with the directive and the MOA.</w:t>
      </w:r>
    </w:p>
    <w:p w:rsidR="003D4E32" w:rsidRDefault="003D4E32" w:rsidP="003D4E32">
      <w:pPr>
        <w:pStyle w:val="ListParagraph"/>
      </w:pPr>
    </w:p>
    <w:p w:rsidR="00B432FB" w:rsidRDefault="003D4E32" w:rsidP="003D4E32">
      <w:pPr>
        <w:pStyle w:val="ListParagraph"/>
        <w:numPr>
          <w:ilvl w:val="0"/>
          <w:numId w:val="3"/>
        </w:numPr>
        <w:spacing w:line="480" w:lineRule="auto"/>
        <w:ind w:left="720" w:hanging="720"/>
        <w:jc w:val="both"/>
      </w:pPr>
      <w:r>
        <w:t xml:space="preserve">One of the requirements in the directive is that an employer, when applying for the benefits, must submit a letter of authority as well as a signed MOA with the </w:t>
      </w:r>
      <w:r w:rsidR="004F0F8E">
        <w:t>Unemployment Insurance Fund</w:t>
      </w:r>
      <w:r>
        <w:t xml:space="preserve">.  The first applicant, after creating a profile, submitted applications for </w:t>
      </w:r>
      <w:r w:rsidR="003C15A7">
        <w:t>b</w:t>
      </w:r>
      <w:r>
        <w:t xml:space="preserve">enefits </w:t>
      </w:r>
      <w:r w:rsidR="003C15A7">
        <w:t xml:space="preserve">on behalf of </w:t>
      </w:r>
      <w:r w:rsidR="003C20CE">
        <w:t xml:space="preserve">the other applicants, as employers, and was </w:t>
      </w:r>
      <w:r>
        <w:t>paid in six instalments in one banking account in the total sum of R19</w:t>
      </w:r>
      <w:r w:rsidR="007C09A1">
        <w:t> </w:t>
      </w:r>
      <w:r>
        <w:t>743</w:t>
      </w:r>
      <w:r w:rsidR="007C09A1">
        <w:t> </w:t>
      </w:r>
      <w:r>
        <w:t xml:space="preserve">977.00.  An interim audit was conducted </w:t>
      </w:r>
      <w:r w:rsidR="003C15A7">
        <w:t xml:space="preserve">at the instance of the Unemployment Insurance Fund </w:t>
      </w:r>
      <w:r>
        <w:t>in response to allegations of large-scale looting of the benefits.  Irregularities which were uncovered included applications made on behalf of persons employed by the South African Government</w:t>
      </w:r>
      <w:r w:rsidR="003C15A7">
        <w:t xml:space="preserve"> and that </w:t>
      </w:r>
      <w:r>
        <w:t xml:space="preserve">applications </w:t>
      </w:r>
      <w:r w:rsidR="003C15A7">
        <w:t xml:space="preserve">were </w:t>
      </w:r>
      <w:r>
        <w:t xml:space="preserve">made on behalf of deceased individuals.  It was also alleged </w:t>
      </w:r>
      <w:r w:rsidR="00B432FB">
        <w:t>that an application was made on behalf of a prisoner.  The NDPP contended that those applications were fraudulent because the intended recipients were not eligible for the benefits, that they amounted to unlawful activities</w:t>
      </w:r>
      <w:r w:rsidR="003C15A7">
        <w:t>,</w:t>
      </w:r>
      <w:r w:rsidR="00B432FB">
        <w:t xml:space="preserve"> as they contravened the MOA which provides that an employer would only qualify for the benefit if the </w:t>
      </w:r>
      <w:r w:rsidR="00B432FB">
        <w:lastRenderedPageBreak/>
        <w:t xml:space="preserve">temporary closure of its business operations is a direct result of the pandemic; and they contravened </w:t>
      </w:r>
      <w:r w:rsidR="003C15A7">
        <w:t>I</w:t>
      </w:r>
      <w:r w:rsidR="00B432FB">
        <w:t xml:space="preserve">tem </w:t>
      </w:r>
      <w:r w:rsidR="003C15A7">
        <w:t>7</w:t>
      </w:r>
      <w:r w:rsidR="00B432FB">
        <w:t xml:space="preserve"> of the MOA which provides that the employer undertakes to use the benefits exclusively and solely for the purpose of paying </w:t>
      </w:r>
      <w:r w:rsidR="003C15A7">
        <w:t xml:space="preserve">the </w:t>
      </w:r>
      <w:r w:rsidR="00B432FB">
        <w:t xml:space="preserve">benefits to its employees.  </w:t>
      </w:r>
    </w:p>
    <w:p w:rsidR="003D4E32" w:rsidRDefault="003D4E32" w:rsidP="00B432FB">
      <w:pPr>
        <w:pStyle w:val="ListParagraph"/>
        <w:spacing w:line="480" w:lineRule="auto"/>
        <w:jc w:val="both"/>
      </w:pPr>
      <w:r>
        <w:t xml:space="preserve">  </w:t>
      </w:r>
    </w:p>
    <w:p w:rsidR="00B432FB" w:rsidRDefault="00B432FB" w:rsidP="00A1307C">
      <w:pPr>
        <w:pStyle w:val="ListParagraph"/>
        <w:numPr>
          <w:ilvl w:val="0"/>
          <w:numId w:val="3"/>
        </w:numPr>
        <w:spacing w:line="480" w:lineRule="auto"/>
        <w:ind w:left="720" w:hanging="720"/>
        <w:jc w:val="both"/>
      </w:pPr>
      <w:r>
        <w:t>In this case the first applicant</w:t>
      </w:r>
      <w:r w:rsidR="003C15A7">
        <w:t>, being a co-operative,</w:t>
      </w:r>
      <w:r>
        <w:t xml:space="preserve"> submitted applications for benefits on behalf of affiliate co-operatives.  A search revealed that sixty-six entities submitted applications for benefits using the same contact details and collectively received R220 552 295.88.  It furthermore revealed how the applicants received very many millions of rands as benefits.</w:t>
      </w:r>
      <w:r w:rsidR="003C15A7">
        <w:t xml:space="preserve">  </w:t>
      </w:r>
      <w:r>
        <w:t xml:space="preserve">It was against the above background that the NDPP sought and obtained the preservation orders.  </w:t>
      </w:r>
    </w:p>
    <w:p w:rsidR="00B432FB" w:rsidRDefault="00B432FB" w:rsidP="00B432FB">
      <w:pPr>
        <w:pStyle w:val="ListParagraph"/>
      </w:pPr>
    </w:p>
    <w:p w:rsidR="00B432FB" w:rsidRDefault="00B432FB" w:rsidP="00AD19CB">
      <w:pPr>
        <w:pStyle w:val="ListParagraph"/>
        <w:numPr>
          <w:ilvl w:val="0"/>
          <w:numId w:val="3"/>
        </w:numPr>
        <w:spacing w:line="480" w:lineRule="auto"/>
        <w:ind w:left="720" w:hanging="720"/>
        <w:jc w:val="both"/>
      </w:pPr>
      <w:r>
        <w:t xml:space="preserve">Regarding the allegation that there was a lack of </w:t>
      </w:r>
      <w:r w:rsidRPr="00B432FB">
        <w:rPr>
          <w:i/>
        </w:rPr>
        <w:t>uberrima fides</w:t>
      </w:r>
      <w:r>
        <w:t xml:space="preserve"> when the </w:t>
      </w:r>
      <w:r w:rsidR="003C20CE">
        <w:t xml:space="preserve">first </w:t>
      </w:r>
      <w:r w:rsidRPr="00112D96">
        <w:rPr>
          <w:i/>
        </w:rPr>
        <w:t>ex parte</w:t>
      </w:r>
      <w:r>
        <w:t xml:space="preserve"> application w</w:t>
      </w:r>
      <w:r w:rsidR="003C20CE">
        <w:t>as</w:t>
      </w:r>
      <w:r>
        <w:t xml:space="preserve"> launched, the applicants pointed out that the NDPP made Smith</w:t>
      </w:r>
      <w:r w:rsidR="00112D96">
        <w:t> </w:t>
      </w:r>
      <w:r>
        <w:t>J</w:t>
      </w:r>
      <w:r w:rsidR="003C15A7">
        <w:t>,</w:t>
      </w:r>
      <w:r>
        <w:t xml:space="preserve"> who granted the first preservation order</w:t>
      </w:r>
      <w:r w:rsidR="003C15A7">
        <w:t>,</w:t>
      </w:r>
      <w:r>
        <w:t xml:space="preserve"> to believe that a claim was submitted on behalf of </w:t>
      </w:r>
      <w:r w:rsidR="003C15A7">
        <w:t>an</w:t>
      </w:r>
      <w:r>
        <w:t xml:space="preserve"> employee who had died and another who was in custody, the contention being that false claims had bee</w:t>
      </w:r>
      <w:r w:rsidR="003C15A7">
        <w:t>n submitted in respect of those two employees.</w:t>
      </w:r>
      <w:r>
        <w:t xml:space="preserve"> </w:t>
      </w:r>
    </w:p>
    <w:p w:rsidR="00B432FB" w:rsidRDefault="00B432FB" w:rsidP="00B432FB">
      <w:pPr>
        <w:pStyle w:val="ListParagraph"/>
      </w:pPr>
    </w:p>
    <w:p w:rsidR="006B6B6F" w:rsidRDefault="00B432FB" w:rsidP="006B6B6F">
      <w:pPr>
        <w:pStyle w:val="ListParagraph"/>
        <w:numPr>
          <w:ilvl w:val="0"/>
          <w:numId w:val="3"/>
        </w:numPr>
        <w:spacing w:line="480" w:lineRule="auto"/>
        <w:ind w:left="720" w:hanging="720"/>
        <w:jc w:val="both"/>
      </w:pPr>
      <w:r>
        <w:t xml:space="preserve">On 10 November 2021 the NDPP launched an application for </w:t>
      </w:r>
      <w:r w:rsidR="00490F62">
        <w:t xml:space="preserve">an order that the money </w:t>
      </w:r>
      <w:r w:rsidR="003C20CE">
        <w:t>preserved</w:t>
      </w:r>
      <w:r w:rsidR="00490F62">
        <w:t xml:space="preserve"> in terms of the preservation orders be forfeited to the state.  In support of that application</w:t>
      </w:r>
      <w:r w:rsidR="003C15A7">
        <w:t>,</w:t>
      </w:r>
      <w:r w:rsidR="00490F62">
        <w:t xml:space="preserve"> the NDPP relied on an affidavit by Sipho Melani who is employed </w:t>
      </w:r>
      <w:r w:rsidR="003C15A7">
        <w:t xml:space="preserve">in the </w:t>
      </w:r>
      <w:r w:rsidR="003C20CE">
        <w:t>f</w:t>
      </w:r>
      <w:r w:rsidR="00490F62">
        <w:t xml:space="preserve">raud and </w:t>
      </w:r>
      <w:r w:rsidR="003C15A7">
        <w:t>a</w:t>
      </w:r>
      <w:r w:rsidR="00490F62">
        <w:t>nti-</w:t>
      </w:r>
      <w:r w:rsidR="003C15A7">
        <w:t>c</w:t>
      </w:r>
      <w:r w:rsidR="00490F62">
        <w:t xml:space="preserve">orruption </w:t>
      </w:r>
      <w:r w:rsidR="003C15A7">
        <w:t xml:space="preserve">section of </w:t>
      </w:r>
      <w:r w:rsidR="00490F62">
        <w:t xml:space="preserve">the Department of Employment and Labour.  The </w:t>
      </w:r>
      <w:r w:rsidR="00112D96">
        <w:t>purpose</w:t>
      </w:r>
      <w:r w:rsidR="00490F62">
        <w:t xml:space="preserve"> of that affidavit was to correct and clear up </w:t>
      </w:r>
      <w:r w:rsidR="00490F62">
        <w:lastRenderedPageBreak/>
        <w:t xml:space="preserve">two errors.  The first was to acknowledge that </w:t>
      </w:r>
      <w:r w:rsidR="003C15A7">
        <w:t>the</w:t>
      </w:r>
      <w:r w:rsidR="00490F62">
        <w:t xml:space="preserve"> person who was alleged to have died was in fact still alive</w:t>
      </w:r>
      <w:r w:rsidR="003C20CE">
        <w:t xml:space="preserve">; and </w:t>
      </w:r>
      <w:r w:rsidR="007C09A1">
        <w:t xml:space="preserve">the </w:t>
      </w:r>
      <w:r w:rsidR="003C20CE">
        <w:t>second</w:t>
      </w:r>
      <w:r w:rsidR="007C09A1">
        <w:t xml:space="preserve"> was </w:t>
      </w:r>
      <w:r w:rsidR="00490F62">
        <w:t xml:space="preserve">that the person who was alleged to have been in custody, was in fact never in custody.  Mr. Melani explained that the mistake regarding the alleged deceased person was made because his identity number was given to the </w:t>
      </w:r>
      <w:r w:rsidR="003C15A7">
        <w:t>Unemployment Insurance Fund</w:t>
      </w:r>
      <w:r w:rsidR="00490F62">
        <w:t xml:space="preserve"> by the first applicant</w:t>
      </w:r>
      <w:r w:rsidR="003C15A7">
        <w:t>.  T</w:t>
      </w:r>
      <w:r w:rsidR="00490F62">
        <w:t xml:space="preserve">hat information was then passed on to the </w:t>
      </w:r>
      <w:r w:rsidR="003C15A7">
        <w:t>A</w:t>
      </w:r>
      <w:r w:rsidR="00490F62">
        <w:t>uditor</w:t>
      </w:r>
      <w:r w:rsidR="003C15A7">
        <w:t>-G</w:t>
      </w:r>
      <w:r w:rsidR="00490F62">
        <w:t xml:space="preserve">eneral, who in turn gave the information to the Department of Employment and Labour.  Mr. Melani then used that incorrect information in his affidavit which was used in support of the application which culminated in the first preservation order.  Mr. Melani </w:t>
      </w:r>
      <w:r w:rsidR="006B6B6F">
        <w:t xml:space="preserve">furthermore pointed out </w:t>
      </w:r>
      <w:r w:rsidR="003C20CE">
        <w:t xml:space="preserve">that </w:t>
      </w:r>
      <w:r w:rsidR="006B6B6F">
        <w:t xml:space="preserve">the information regarding the incarceration of a person was also obtained from the </w:t>
      </w:r>
      <w:r w:rsidR="003C15A7">
        <w:t>A</w:t>
      </w:r>
      <w:r w:rsidR="006B6B6F">
        <w:t>uditor</w:t>
      </w:r>
      <w:r w:rsidR="003C15A7">
        <w:t>-G</w:t>
      </w:r>
      <w:r w:rsidR="006B6B6F">
        <w:t>eneral’s report, which turned out to be incorrect.  Mr.</w:t>
      </w:r>
      <w:r w:rsidR="007C09A1">
        <w:t> </w:t>
      </w:r>
      <w:r w:rsidR="006B6B6F">
        <w:t xml:space="preserve">Melani tendered his apology for the wrong information in respect of those two persons. </w:t>
      </w:r>
    </w:p>
    <w:p w:rsidR="006B6B6F" w:rsidRDefault="006B6B6F" w:rsidP="006B6B6F">
      <w:pPr>
        <w:pStyle w:val="ListParagraph"/>
        <w:spacing w:line="480" w:lineRule="auto"/>
        <w:jc w:val="both"/>
      </w:pPr>
    </w:p>
    <w:p w:rsidR="00C10161" w:rsidRDefault="006B6B6F" w:rsidP="00AE2A18">
      <w:pPr>
        <w:pStyle w:val="ListParagraph"/>
        <w:numPr>
          <w:ilvl w:val="0"/>
          <w:numId w:val="3"/>
        </w:numPr>
        <w:spacing w:line="480" w:lineRule="auto"/>
        <w:ind w:left="720" w:hanging="720"/>
        <w:jc w:val="both"/>
      </w:pPr>
      <w:r>
        <w:t xml:space="preserve">The main affidavit in support </w:t>
      </w:r>
      <w:r w:rsidR="003C15A7">
        <w:t xml:space="preserve">of </w:t>
      </w:r>
      <w:r>
        <w:t xml:space="preserve">all three applications for </w:t>
      </w:r>
      <w:r w:rsidR="003C20CE">
        <w:t xml:space="preserve">the </w:t>
      </w:r>
      <w:r>
        <w:t xml:space="preserve">preservation orders was deposed to by Nkululeko Ndzengu, an attorney and a senior </w:t>
      </w:r>
      <w:r w:rsidR="003C15A7">
        <w:t>D</w:t>
      </w:r>
      <w:r>
        <w:t xml:space="preserve">eputy </w:t>
      </w:r>
      <w:r w:rsidR="003C15A7">
        <w:t>D</w:t>
      </w:r>
      <w:r>
        <w:t xml:space="preserve">irector of </w:t>
      </w:r>
      <w:r w:rsidR="003C15A7">
        <w:t>P</w:t>
      </w:r>
      <w:r>
        <w:t xml:space="preserve">ublic </w:t>
      </w:r>
      <w:r w:rsidR="003C15A7">
        <w:t>P</w:t>
      </w:r>
      <w:r>
        <w:t xml:space="preserve">rosecutions attached to the asset forfeiture unit.  One of the affidavits upon which Dr. Ndzengu relied was Mr. Melani’s affidavit.  Because </w:t>
      </w:r>
      <w:r w:rsidR="003C15A7">
        <w:t>the above</w:t>
      </w:r>
      <w:r>
        <w:t xml:space="preserve"> information in Mr. Melani’s affidavit was incorrect, it follows that Dr. Ndzengu’s affidavit, insofar as it relied on Mr. Melani’s affidavit, was also incorrect in that regard.  It was in that respect that Mr. Mashavha </w:t>
      </w:r>
      <w:r w:rsidR="003C15A7">
        <w:t>criticised</w:t>
      </w:r>
      <w:r>
        <w:t xml:space="preserve"> Dr. Ndzengu because, so he submitted, as an attorney he should have ensured that correct facts were placed before the court.</w:t>
      </w:r>
      <w:r w:rsidR="00AE2A18">
        <w:t xml:space="preserve">  In my view the criticism </w:t>
      </w:r>
      <w:r w:rsidR="003C15A7">
        <w:t xml:space="preserve">of Dr. Ndzengu </w:t>
      </w:r>
      <w:r w:rsidR="00AE2A18">
        <w:t>is unwarranted</w:t>
      </w:r>
      <w:r w:rsidR="003C20CE">
        <w:t xml:space="preserve">.  </w:t>
      </w:r>
      <w:r w:rsidR="00AE2A18">
        <w:lastRenderedPageBreak/>
        <w:t xml:space="preserve">Mr. Melani gave an explanation as to why incorrect facts were placed before the court.  There is no merit in the </w:t>
      </w:r>
      <w:r w:rsidR="003C15A7">
        <w:t>contention</w:t>
      </w:r>
      <w:r w:rsidR="00AE2A18">
        <w:t xml:space="preserve"> that Dr. Ndzengu displayed an absence of </w:t>
      </w:r>
      <w:r w:rsidR="00AE2A18" w:rsidRPr="00B432FB">
        <w:rPr>
          <w:i/>
        </w:rPr>
        <w:t>uberrima fides</w:t>
      </w:r>
      <w:r w:rsidR="00AE2A18">
        <w:rPr>
          <w:i/>
        </w:rPr>
        <w:t>.</w:t>
      </w:r>
      <w:r w:rsidR="00AE2A18">
        <w:t xml:space="preserve">  The fact that he placed incorrect facts before the court does not mean that he intentionally misled the court.  There is </w:t>
      </w:r>
      <w:r w:rsidR="003C15A7">
        <w:t xml:space="preserve">also </w:t>
      </w:r>
      <w:r w:rsidR="00AE2A18">
        <w:t>no merit in the submission that the preservation orders should be set aside because of the alleged absence of good faith on the part of Dr. Ndzengu.</w:t>
      </w:r>
    </w:p>
    <w:p w:rsidR="00AE2A18" w:rsidRDefault="00AE2A18" w:rsidP="00AE2A18">
      <w:pPr>
        <w:pStyle w:val="ListParagraph"/>
        <w:spacing w:line="480" w:lineRule="auto"/>
        <w:jc w:val="both"/>
      </w:pPr>
    </w:p>
    <w:p w:rsidR="00F7063D" w:rsidRDefault="00AE2A18" w:rsidP="00663A9E">
      <w:pPr>
        <w:pStyle w:val="ListParagraph"/>
        <w:numPr>
          <w:ilvl w:val="0"/>
          <w:numId w:val="3"/>
        </w:numPr>
        <w:spacing w:line="480" w:lineRule="auto"/>
        <w:ind w:left="720" w:hanging="720"/>
        <w:jc w:val="both"/>
      </w:pPr>
      <w:r>
        <w:t>I now deal with the applicants’ second ground upon which they rel</w:t>
      </w:r>
      <w:r w:rsidR="003C20CE">
        <w:t>ied</w:t>
      </w:r>
      <w:r>
        <w:t xml:space="preserve"> for the relief sought.</w:t>
      </w:r>
      <w:r w:rsidR="003C15A7">
        <w:t xml:space="preserve">  </w:t>
      </w:r>
      <w:r w:rsidR="00F7063D">
        <w:t>The applicants’ reliance on the audit report is misplaced for two reasons.  The first is that in terms of clause 22 of the MOA</w:t>
      </w:r>
      <w:r w:rsidR="003C20CE">
        <w:t>,</w:t>
      </w:r>
      <w:r w:rsidR="00F7063D">
        <w:t xml:space="preserve"> it is the U</w:t>
      </w:r>
      <w:r w:rsidR="003C20CE">
        <w:t xml:space="preserve">nemployment </w:t>
      </w:r>
      <w:r w:rsidR="00F7063D">
        <w:t>I</w:t>
      </w:r>
      <w:r w:rsidR="003C20CE">
        <w:t xml:space="preserve">nsurance </w:t>
      </w:r>
      <w:r w:rsidR="00F7063D">
        <w:t>F</w:t>
      </w:r>
      <w:r w:rsidR="003C20CE">
        <w:t>und</w:t>
      </w:r>
      <w:r w:rsidR="00F7063D">
        <w:t xml:space="preserve"> which has </w:t>
      </w:r>
      <w:r w:rsidR="003C20CE">
        <w:t xml:space="preserve">the </w:t>
      </w:r>
      <w:r w:rsidR="00F7063D">
        <w:t xml:space="preserve">power to appoint, at its expense and sole discretion, an auditor or a suitably qualified investigator to audit or investigate suspected breach of the MOA and corruption </w:t>
      </w:r>
      <w:r w:rsidR="003C15A7">
        <w:t xml:space="preserve">or </w:t>
      </w:r>
      <w:r w:rsidR="00F7063D">
        <w:t>fraud related to the implementation of the MOA.  Neither the directive nor the MOA gives an employer the power to appoint an auditor to audit or investigate suspected corruption or fraud related to the implementation of the MOA.  Secondly, and more importantly, the main deponent to the application</w:t>
      </w:r>
      <w:r w:rsidR="007C09A1">
        <w:t>, Nokuthula Mbebe,</w:t>
      </w:r>
      <w:r w:rsidR="00F7063D">
        <w:t xml:space="preserve"> attached a </w:t>
      </w:r>
      <w:r w:rsidR="003C20CE">
        <w:t xml:space="preserve">copy of a </w:t>
      </w:r>
      <w:r w:rsidR="00F7063D">
        <w:t>report by a firm of chartered accountants and auditors dated 20 September 2021</w:t>
      </w:r>
      <w:r w:rsidR="007C09A1">
        <w:t xml:space="preserve"> to her affidavit</w:t>
      </w:r>
      <w:r w:rsidR="00F7063D">
        <w:t xml:space="preserve">.  It is apparent </w:t>
      </w:r>
      <w:r w:rsidR="003C15A7">
        <w:t>from</w:t>
      </w:r>
      <w:r w:rsidR="004944AF">
        <w:t xml:space="preserve"> </w:t>
      </w:r>
      <w:r w:rsidR="003C15A7">
        <w:t xml:space="preserve">the covering letter of the report </w:t>
      </w:r>
      <w:r w:rsidR="00F7063D">
        <w:t xml:space="preserve">that </w:t>
      </w:r>
      <w:r w:rsidR="007C09A1">
        <w:t xml:space="preserve">Dr. Mbebe </w:t>
      </w:r>
      <w:r w:rsidR="003C15A7">
        <w:t xml:space="preserve">requested that </w:t>
      </w:r>
      <w:r w:rsidR="004944AF">
        <w:t xml:space="preserve">firm </w:t>
      </w:r>
      <w:r w:rsidR="00F7063D">
        <w:t>to “</w:t>
      </w:r>
      <w:r w:rsidR="00F7063D" w:rsidRPr="003C15A7">
        <w:rPr>
          <w:i/>
        </w:rPr>
        <w:t>perform agreed upon procedures engagement in relation to UIF TERS application and disbursement of the co-operatives and private companies</w:t>
      </w:r>
      <w:r w:rsidR="003C15A7">
        <w:rPr>
          <w:i/>
        </w:rPr>
        <w:t>.</w:t>
      </w:r>
      <w:r w:rsidR="00F7063D">
        <w:t xml:space="preserve">”  Dr. Mbebe described herself in her affidavit as the </w:t>
      </w:r>
      <w:r w:rsidR="004944AF">
        <w:t>applicants’ C</w:t>
      </w:r>
      <w:r w:rsidR="00F7063D">
        <w:t xml:space="preserve">hief </w:t>
      </w:r>
      <w:r w:rsidR="004944AF">
        <w:t>E</w:t>
      </w:r>
      <w:r w:rsidR="00F7063D">
        <w:t xml:space="preserve">xecutive </w:t>
      </w:r>
      <w:r w:rsidR="004944AF">
        <w:t>O</w:t>
      </w:r>
      <w:r w:rsidR="00F7063D">
        <w:t xml:space="preserve">fficer.  The </w:t>
      </w:r>
      <w:r w:rsidR="003C20CE">
        <w:t>writer</w:t>
      </w:r>
      <w:r w:rsidR="00F7063D">
        <w:t>s of that report have not filed affidavits to confirm the correctness of its contents.</w:t>
      </w:r>
      <w:r w:rsidR="003B477A">
        <w:t xml:space="preserve">  A </w:t>
      </w:r>
      <w:r w:rsidR="003B477A">
        <w:lastRenderedPageBreak/>
        <w:t>document that is introduced as evidence in court proceedings must be identified by a witness who is either the writer or signatory thereof.  The most common way to prove the authenticity of the document in question would be to call the author thereof to identify the document.</w:t>
      </w:r>
      <w:r w:rsidR="003B477A">
        <w:rPr>
          <w:rStyle w:val="FootnoteReference"/>
        </w:rPr>
        <w:footnoteReference w:id="3"/>
      </w:r>
      <w:r w:rsidR="003B477A">
        <w:t xml:space="preserve">  The contents of that report can accordingly not be used as evidence, with the result that it is inadmissible.</w:t>
      </w:r>
    </w:p>
    <w:p w:rsidR="00F7063D" w:rsidRDefault="00F7063D" w:rsidP="00F7063D">
      <w:pPr>
        <w:spacing w:line="480" w:lineRule="auto"/>
        <w:jc w:val="both"/>
      </w:pPr>
    </w:p>
    <w:p w:rsidR="00F7063D" w:rsidRDefault="00F7063D" w:rsidP="00F7063D">
      <w:pPr>
        <w:pStyle w:val="ListParagraph"/>
        <w:numPr>
          <w:ilvl w:val="0"/>
          <w:numId w:val="3"/>
        </w:numPr>
        <w:spacing w:line="480" w:lineRule="auto"/>
        <w:ind w:left="720" w:hanging="720"/>
        <w:jc w:val="both"/>
      </w:pPr>
      <w:r>
        <w:t xml:space="preserve">Mr. Mashavha also submitted that neither the directive nor the MOA precludes benefits being paid to persons who are employed by the government, be it </w:t>
      </w:r>
      <w:r w:rsidR="004944AF">
        <w:t xml:space="preserve">at </w:t>
      </w:r>
      <w:r>
        <w:t xml:space="preserve">local, provincial or national level.  It is correct that there is no specific limitation to that effect in either the directive or the MOA.  This issue became relevant because very many employees are employed by the government and they claimed to be also employed by the various applicants.  </w:t>
      </w:r>
      <w:r w:rsidR="004944AF">
        <w:t>T</w:t>
      </w:r>
      <w:r>
        <w:t>hose employees received their full salaries</w:t>
      </w:r>
      <w:r w:rsidR="004944AF">
        <w:t xml:space="preserve"> from government</w:t>
      </w:r>
      <w:r>
        <w:t xml:space="preserve"> since the onset of the pandemic.  </w:t>
      </w:r>
      <w:r w:rsidR="004944AF">
        <w:t>O</w:t>
      </w:r>
      <w:r>
        <w:t xml:space="preserve">n the assumption that they were indeed employed by the applicants, </w:t>
      </w:r>
      <w:r w:rsidR="007F580E">
        <w:t xml:space="preserve">they received </w:t>
      </w:r>
      <w:r>
        <w:t xml:space="preserve">an additional salary from the applicants.  In my view to grant benefits to those employees, albeit that they may have lost a second income due to the pandemic, would be to go against the purpose of the directive, as pointed out above.  It is important to note that the preamble of the directive states that the </w:t>
      </w:r>
      <w:r w:rsidR="004944AF">
        <w:t>M</w:t>
      </w:r>
      <w:r>
        <w:t>inister anticipated that, as a result of the lockdown, companies would “</w:t>
      </w:r>
      <w:r>
        <w:rPr>
          <w:i/>
        </w:rPr>
        <w:t>have to shut down and employees laid off temporarily.  This means that employees are compelled to take leave, which is not out of choice.  We therefore anticipate that employees may lose income</w:t>
      </w:r>
      <w:r>
        <w:t xml:space="preserve">”. </w:t>
      </w:r>
    </w:p>
    <w:p w:rsidR="00F7063D" w:rsidRDefault="00F7063D" w:rsidP="00F7063D">
      <w:pPr>
        <w:spacing w:line="480" w:lineRule="auto"/>
        <w:jc w:val="both"/>
      </w:pPr>
    </w:p>
    <w:p w:rsidR="00607A61" w:rsidRDefault="00F7063D" w:rsidP="00F7063D">
      <w:pPr>
        <w:pStyle w:val="ListParagraph"/>
        <w:numPr>
          <w:ilvl w:val="0"/>
          <w:numId w:val="3"/>
        </w:numPr>
        <w:spacing w:line="480" w:lineRule="auto"/>
        <w:ind w:left="720" w:hanging="720"/>
        <w:jc w:val="both"/>
      </w:pPr>
      <w:r>
        <w:t xml:space="preserve">In my view it is apparent from the directive that the </w:t>
      </w:r>
      <w:r w:rsidR="004944AF">
        <w:t>b</w:t>
      </w:r>
      <w:r>
        <w:t>enefits were meant for persons who, because of the pandemic</w:t>
      </w:r>
      <w:r w:rsidR="004944AF">
        <w:t>,</w:t>
      </w:r>
      <w:r>
        <w:t xml:space="preserve"> would not have an income.  It was not meant for those who, d</w:t>
      </w:r>
      <w:r w:rsidR="004944AF">
        <w:t>e</w:t>
      </w:r>
      <w:r>
        <w:t xml:space="preserve">spite the pandemic, </w:t>
      </w:r>
      <w:r w:rsidR="004944AF">
        <w:t xml:space="preserve">would </w:t>
      </w:r>
      <w:r>
        <w:t>nevertheless receive a full government salary.  To interpret the directive in the way that the applicants have</w:t>
      </w:r>
      <w:r w:rsidR="004944AF">
        <w:t>,</w:t>
      </w:r>
      <w:r>
        <w:t xml:space="preserve"> would, in my view, offend the purpose which the benefits were meant to serve.</w:t>
      </w:r>
    </w:p>
    <w:p w:rsidR="00607A61" w:rsidRDefault="00607A61" w:rsidP="00607A61">
      <w:pPr>
        <w:pStyle w:val="ListParagraph"/>
      </w:pPr>
    </w:p>
    <w:p w:rsidR="00B13773" w:rsidRDefault="00607A61" w:rsidP="00F7063D">
      <w:pPr>
        <w:pStyle w:val="ListParagraph"/>
        <w:numPr>
          <w:ilvl w:val="0"/>
          <w:numId w:val="3"/>
        </w:numPr>
        <w:spacing w:line="480" w:lineRule="auto"/>
        <w:ind w:left="720" w:hanging="720"/>
        <w:jc w:val="both"/>
      </w:pPr>
      <w:r>
        <w:t>In all the circumstances</w:t>
      </w:r>
      <w:r w:rsidR="006938BC">
        <w:t>,</w:t>
      </w:r>
      <w:r>
        <w:t xml:space="preserve"> I am satisfied that the applicants have failed to demonstrate the need for this court to interfere with the preservation orders.  </w:t>
      </w:r>
      <w:r w:rsidR="006938BC">
        <w:t>T</w:t>
      </w:r>
      <w:r>
        <w:t xml:space="preserve">he application should </w:t>
      </w:r>
      <w:r w:rsidR="006938BC">
        <w:t xml:space="preserve">accordingly </w:t>
      </w:r>
      <w:r>
        <w:t>be dismissed.  There is no reason why the applicants should not pay the costs occasioned by the application.</w:t>
      </w:r>
      <w:r w:rsidR="00B13773">
        <w:t xml:space="preserve">  </w:t>
      </w:r>
    </w:p>
    <w:p w:rsidR="00B13773" w:rsidRDefault="00B13773" w:rsidP="00B13773">
      <w:pPr>
        <w:pStyle w:val="ListParagraph"/>
      </w:pPr>
    </w:p>
    <w:p w:rsidR="00B13773" w:rsidRDefault="00B13773" w:rsidP="00F7063D">
      <w:pPr>
        <w:pStyle w:val="ListParagraph"/>
        <w:numPr>
          <w:ilvl w:val="0"/>
          <w:numId w:val="3"/>
        </w:numPr>
        <w:spacing w:line="480" w:lineRule="auto"/>
        <w:ind w:left="720" w:hanging="720"/>
        <w:jc w:val="both"/>
      </w:pPr>
      <w:r>
        <w:t>Mr. Wolmarans pointed to the fact that on 27 August 2021 the Commissioner, DG and Minister entered an appearance in terms of section 39(3) of POCA giving notice of their intention to apply for an order excluding the Unemployment Insurance Fund’s interest in the credit balances from the operation of the impending forfeiture order.  As stated in paragraph 1 above, that notice was accompanied by an affidavit contemplated in section 39(5) of POCA.  Mr.</w:t>
      </w:r>
      <w:r w:rsidR="007C09A1">
        <w:t> </w:t>
      </w:r>
      <w:r>
        <w:t>Wolmarans submitted that this application should be dismissed because the applicants have to date not entered an appearance giving notice of their intention to either oppose the making of a forfeiture order or to apply for an order excluding their interest in the credit balances from the operation thereof, as they were obliged to do in terms of section 39(3).</w:t>
      </w:r>
    </w:p>
    <w:p w:rsidR="00B13773" w:rsidRDefault="00B13773" w:rsidP="00B13773">
      <w:pPr>
        <w:pStyle w:val="ListParagraph"/>
      </w:pPr>
    </w:p>
    <w:p w:rsidR="00B13773" w:rsidRDefault="00B13773" w:rsidP="00F7063D">
      <w:pPr>
        <w:pStyle w:val="ListParagraph"/>
        <w:numPr>
          <w:ilvl w:val="0"/>
          <w:numId w:val="3"/>
        </w:numPr>
        <w:spacing w:line="480" w:lineRule="auto"/>
        <w:ind w:left="720" w:hanging="720"/>
        <w:jc w:val="both"/>
      </w:pPr>
      <w:r>
        <w:lastRenderedPageBreak/>
        <w:t>In response to that submission, Mr. Mashavha submitted that the applicant</w:t>
      </w:r>
      <w:r w:rsidR="007C09A1">
        <w:t>s</w:t>
      </w:r>
      <w:r>
        <w:t xml:space="preserve"> did not enter a notice in terms of section 39(3) because the credit balances should not have been the subject matter of the preservation orders in the first place and that “</w:t>
      </w:r>
      <w:r>
        <w:rPr>
          <w:i/>
        </w:rPr>
        <w:t>there is accordingly nothing to exclude</w:t>
      </w:r>
      <w:r>
        <w:t>”.  Counsel furthermore pointed out that the preservation orders had lapsed because the NDPP did not institute arbitration and/or action proceedings against the applicants within thirty days of 20</w:t>
      </w:r>
      <w:r w:rsidR="007C09A1">
        <w:t> </w:t>
      </w:r>
      <w:r>
        <w:t>August</w:t>
      </w:r>
      <w:r w:rsidR="007C09A1">
        <w:t> </w:t>
      </w:r>
      <w:r>
        <w:t xml:space="preserve">2021, as ordered by this court.  </w:t>
      </w:r>
    </w:p>
    <w:p w:rsidR="00B13773" w:rsidRDefault="00B13773" w:rsidP="00B13773">
      <w:pPr>
        <w:pStyle w:val="ListParagraph"/>
      </w:pPr>
    </w:p>
    <w:p w:rsidR="006938BC" w:rsidRDefault="00B13773" w:rsidP="00F7063D">
      <w:pPr>
        <w:pStyle w:val="ListParagraph"/>
        <w:numPr>
          <w:ilvl w:val="0"/>
          <w:numId w:val="3"/>
        </w:numPr>
        <w:spacing w:line="480" w:lineRule="auto"/>
        <w:ind w:left="720" w:hanging="720"/>
        <w:jc w:val="both"/>
      </w:pPr>
      <w:r>
        <w:t>This court did not make such an order against the NDPP</w:t>
      </w:r>
      <w:r w:rsidR="00291561">
        <w:t>.  On 20 August 2021 this court, at the instance of the Commissioner, the DG and Minister, ordered First National Bank to freeze the bank accounts of the first, second, third, fifth, eight, tenth to nineteenth and twenty-seventh applicants.  The court ordered the Commissioner, DG and Minsiter “</w:t>
      </w:r>
      <w:r w:rsidR="00291561">
        <w:rPr>
          <w:i/>
        </w:rPr>
        <w:t>to institute arbitration proceedings and/or action proceedings against the first to fifteenth respondents within thirty (30) days of the date of this order for recovery monies which the applicants allege were unlawfully and/or erroneously paid to or retained by the first to fifteenth respondents.</w:t>
      </w:r>
      <w:r w:rsidR="00291561">
        <w:t>”</w:t>
      </w:r>
      <w:r w:rsidR="00291561">
        <w:rPr>
          <w:i/>
        </w:rPr>
        <w:t xml:space="preserve">  </w:t>
      </w:r>
      <w:r w:rsidR="00291561" w:rsidRPr="00291561">
        <w:t>The court furthermore ordered that that orde</w:t>
      </w:r>
      <w:r w:rsidR="00291561">
        <w:t>r “</w:t>
      </w:r>
      <w:r w:rsidR="00291561">
        <w:rPr>
          <w:i/>
        </w:rPr>
        <w:t>shall lapse and be of no force or effect</w:t>
      </w:r>
      <w:r w:rsidR="00291561">
        <w:t xml:space="preserve">” in the event of the Commissioner, DG and Minister failing to institute the above proceedings within the period stated above.  </w:t>
      </w:r>
      <w:r w:rsidR="00607A61" w:rsidRPr="00291561">
        <w:t xml:space="preserve">  </w:t>
      </w:r>
    </w:p>
    <w:p w:rsidR="003B477A" w:rsidRDefault="003B477A" w:rsidP="003B477A">
      <w:pPr>
        <w:pStyle w:val="ListParagraph"/>
      </w:pPr>
    </w:p>
    <w:p w:rsidR="003B477A" w:rsidRDefault="003B477A" w:rsidP="00F7063D">
      <w:pPr>
        <w:pStyle w:val="ListParagraph"/>
        <w:numPr>
          <w:ilvl w:val="0"/>
          <w:numId w:val="3"/>
        </w:numPr>
        <w:spacing w:line="480" w:lineRule="auto"/>
        <w:ind w:left="720" w:hanging="720"/>
        <w:jc w:val="both"/>
      </w:pPr>
      <w:r>
        <w:t>At the commencement of the hearing Mr. Barrow pl</w:t>
      </w:r>
      <w:r w:rsidR="00411F3F">
        <w:t>a</w:t>
      </w:r>
      <w:r>
        <w:t>ced on record that he held a watching brief on behalf of the Commissioner, DG and Minister.  After Mr.</w:t>
      </w:r>
      <w:r w:rsidR="007C09A1">
        <w:t> </w:t>
      </w:r>
      <w:r>
        <w:t xml:space="preserve">Mashavha had made submissions in reply, Mr. Barrow sought leave to address the Court in what he deemed to have been a factual inaccuracy in Mr. Mashavha’s address relating to </w:t>
      </w:r>
      <w:r w:rsidR="007C09A1">
        <w:t>the</w:t>
      </w:r>
      <w:r>
        <w:t xml:space="preserve"> order granted by this court on 20 August 2021.</w:t>
      </w:r>
      <w:r w:rsidR="00411F3F">
        <w:t xml:space="preserve">  Despite Mr.</w:t>
      </w:r>
      <w:r w:rsidR="007C09A1">
        <w:t> </w:t>
      </w:r>
      <w:r w:rsidR="00411F3F">
        <w:t xml:space="preserve">Mashavha’s objection to Mr. Barrow’s application, I granted him leave to address the court.  </w:t>
      </w:r>
    </w:p>
    <w:p w:rsidR="00411F3F" w:rsidRDefault="00411F3F" w:rsidP="00411F3F">
      <w:pPr>
        <w:pStyle w:val="ListParagraph"/>
      </w:pPr>
    </w:p>
    <w:p w:rsidR="00411F3F" w:rsidRDefault="00411F3F" w:rsidP="00F7063D">
      <w:pPr>
        <w:pStyle w:val="ListParagraph"/>
        <w:numPr>
          <w:ilvl w:val="0"/>
          <w:numId w:val="3"/>
        </w:numPr>
        <w:spacing w:line="480" w:lineRule="auto"/>
        <w:ind w:left="720" w:hanging="720"/>
        <w:jc w:val="both"/>
      </w:pPr>
      <w:r>
        <w:t xml:space="preserve">Mr. </w:t>
      </w:r>
      <w:r w:rsidR="007C09A1">
        <w:t>B</w:t>
      </w:r>
      <w:r>
        <w:t>arrow pointed out that</w:t>
      </w:r>
      <w:r w:rsidR="007C09A1">
        <w:t>,</w:t>
      </w:r>
      <w:r>
        <w:t xml:space="preserve"> </w:t>
      </w:r>
      <w:r w:rsidR="007C09A1">
        <w:t>in addition to the above relief that the Commissioner, DG and the Minister, the second, third and fourth respondents herein, obtained on 20 August 2021, they were also ordered to institute</w:t>
      </w:r>
      <w:r>
        <w:t xml:space="preserve"> arbitrations and/or action proceedings against, not all but only, </w:t>
      </w:r>
      <w:r w:rsidR="007C09A1">
        <w:t>fifteen</w:t>
      </w:r>
      <w:r>
        <w:t xml:space="preserve"> applicants referred to in that order and that they had complied with that order.  In his response thereto</w:t>
      </w:r>
      <w:r w:rsidR="007C09A1">
        <w:t>,</w:t>
      </w:r>
      <w:r>
        <w:t xml:space="preserve"> Mr. Mashavha denied that there has been compliance with that order.  In light of what Mr.  Barrow had informed the court, I enquired from counsel whether his submission was </w:t>
      </w:r>
      <w:r w:rsidR="007C09A1">
        <w:t xml:space="preserve">that the Commissioner, DG and Minister did not institute those proceedings </w:t>
      </w:r>
      <w:r>
        <w:t>or whether he meant that he, as counsel, was unaware of the alleged compliance.  Counsel then stated, as a fact, that those proceedings had not been instituted.  I then ordered Mr. Barrow to deliver, before 16h00 on 27 May 2022, proof that there has been compliance and Mr. Mashavha or his instructin</w:t>
      </w:r>
      <w:r w:rsidR="007C09A1">
        <w:t>g</w:t>
      </w:r>
      <w:r>
        <w:t xml:space="preserve"> attorney to deliver a response thereto before 16h00 on 30 May 2022.  </w:t>
      </w:r>
    </w:p>
    <w:p w:rsidR="00411F3F" w:rsidRDefault="00411F3F" w:rsidP="00411F3F">
      <w:pPr>
        <w:pStyle w:val="ListParagraph"/>
      </w:pPr>
    </w:p>
    <w:p w:rsidR="00291D85" w:rsidRDefault="00411F3F" w:rsidP="00F7063D">
      <w:pPr>
        <w:pStyle w:val="ListParagraph"/>
        <w:numPr>
          <w:ilvl w:val="0"/>
          <w:numId w:val="3"/>
        </w:numPr>
        <w:spacing w:line="480" w:lineRule="auto"/>
        <w:ind w:left="720" w:hanging="720"/>
        <w:jc w:val="both"/>
      </w:pPr>
      <w:r>
        <w:t xml:space="preserve">On 27 May 2022 Mr. Barrow delivered documents demonstrating that on the last day of the 30 </w:t>
      </w:r>
      <w:r w:rsidR="00B13773">
        <w:t>d</w:t>
      </w:r>
      <w:r>
        <w:t>ay period, the Commissioner, DG and Minister inst</w:t>
      </w:r>
      <w:r w:rsidR="007C09A1">
        <w:t>itu</w:t>
      </w:r>
      <w:r>
        <w:t xml:space="preserve">ted action proceedings in this court against the first, fifteenth, </w:t>
      </w:r>
      <w:r w:rsidR="007C09A1">
        <w:t xml:space="preserve">seventeenth, </w:t>
      </w:r>
      <w:r>
        <w:t xml:space="preserve">eighteenth and nineteenth applicants and on that same day the Commissioner </w:t>
      </w:r>
      <w:r w:rsidR="00B13773">
        <w:t xml:space="preserve">instituted arbitration proceedings under the </w:t>
      </w:r>
      <w:r w:rsidR="007C09A1">
        <w:t>auspices</w:t>
      </w:r>
      <w:r w:rsidR="00B13773">
        <w:t xml:space="preserve"> </w:t>
      </w:r>
      <w:r w:rsidR="007C09A1">
        <w:t>o</w:t>
      </w:r>
      <w:r w:rsidR="00B13773">
        <w:t>f AFSA against the first, second, third, fifth, eig</w:t>
      </w:r>
      <w:r w:rsidR="007C09A1">
        <w:t>ht</w:t>
      </w:r>
      <w:r w:rsidR="00B13773">
        <w:t xml:space="preserve">, tenth to fourteenth and twenty-seventh applicants.  Mr. Barrow furthermore reported, and I </w:t>
      </w:r>
      <w:r w:rsidR="007C09A1">
        <w:t xml:space="preserve">have </w:t>
      </w:r>
      <w:r w:rsidR="00B13773">
        <w:t xml:space="preserve">checked with the </w:t>
      </w:r>
      <w:r w:rsidR="007C09A1">
        <w:t>r</w:t>
      </w:r>
      <w:r w:rsidR="00B13773">
        <w:t>egistrar, that in the action proceedings, the five applicants, represented by Mr. Mashavha’s instructing attorney</w:t>
      </w:r>
      <w:r w:rsidR="007C09A1">
        <w:t>,</w:t>
      </w:r>
      <w:r w:rsidR="00B13773">
        <w:t xml:space="preserve"> who is also his instructing attorney in this application, caused a plea to be delivered on 1</w:t>
      </w:r>
      <w:r w:rsidR="00537A66">
        <w:t>4</w:t>
      </w:r>
      <w:r w:rsidR="00291D85">
        <w:t> </w:t>
      </w:r>
      <w:r w:rsidR="00B13773">
        <w:t>December 2021.</w:t>
      </w:r>
    </w:p>
    <w:p w:rsidR="00291D85" w:rsidRDefault="00291D85" w:rsidP="00291D85">
      <w:pPr>
        <w:pStyle w:val="ListParagraph"/>
      </w:pPr>
    </w:p>
    <w:p w:rsidR="00291D85" w:rsidRDefault="00291D85" w:rsidP="00F7063D">
      <w:pPr>
        <w:pStyle w:val="ListParagraph"/>
        <w:numPr>
          <w:ilvl w:val="0"/>
          <w:numId w:val="3"/>
        </w:numPr>
        <w:spacing w:line="480" w:lineRule="auto"/>
        <w:ind w:left="720" w:hanging="720"/>
        <w:jc w:val="both"/>
      </w:pPr>
      <w:r>
        <w:t xml:space="preserve">On 30 May 2022 the applicants responded to the documents delivered on 27 May 2022 by delivering an affidavit deposed to by their instructing attorney and another by Dr. Mbebe.  The instructing attorney’s affidavit is irrelevant to the order granted on 20 August 2021 or whether or not it had been complied with.  </w:t>
      </w:r>
    </w:p>
    <w:p w:rsidR="00291D85" w:rsidRDefault="00291D85" w:rsidP="00291D85">
      <w:pPr>
        <w:pStyle w:val="ListParagraph"/>
      </w:pPr>
    </w:p>
    <w:p w:rsidR="00291D85" w:rsidRDefault="00291D85" w:rsidP="00F7063D">
      <w:pPr>
        <w:pStyle w:val="ListParagraph"/>
        <w:numPr>
          <w:ilvl w:val="0"/>
          <w:numId w:val="3"/>
        </w:numPr>
        <w:spacing w:line="480" w:lineRule="auto"/>
        <w:ind w:left="720" w:hanging="720"/>
        <w:jc w:val="both"/>
      </w:pPr>
      <w:r>
        <w:t>In paragraph 6 of her affidavit, Dr. Mbebe stated the following:</w:t>
      </w:r>
    </w:p>
    <w:p w:rsidR="00291D85" w:rsidRDefault="00291D85" w:rsidP="00291D85">
      <w:pPr>
        <w:pStyle w:val="ListParagraph"/>
      </w:pPr>
    </w:p>
    <w:p w:rsidR="00291D85" w:rsidRPr="00571541" w:rsidRDefault="00291D85" w:rsidP="00571541">
      <w:pPr>
        <w:spacing w:line="480" w:lineRule="auto"/>
        <w:ind w:left="1440"/>
        <w:jc w:val="both"/>
        <w:rPr>
          <w:sz w:val="22"/>
        </w:rPr>
      </w:pPr>
      <w:r>
        <w:t>“</w:t>
      </w:r>
      <w:r w:rsidRPr="00571541">
        <w:rPr>
          <w:sz w:val="22"/>
        </w:rPr>
        <w:t>The calculation of the said thirty (30) days resumes from the day the order was granted which is the 20</w:t>
      </w:r>
      <w:r w:rsidRPr="00571541">
        <w:rPr>
          <w:sz w:val="22"/>
          <w:vertAlign w:val="superscript"/>
        </w:rPr>
        <w:t>th</w:t>
      </w:r>
      <w:r w:rsidRPr="00571541">
        <w:rPr>
          <w:sz w:val="22"/>
        </w:rPr>
        <w:t xml:space="preserve"> day of August 2021 and it ends on the 18</w:t>
      </w:r>
      <w:r w:rsidRPr="00571541">
        <w:rPr>
          <w:sz w:val="22"/>
          <w:vertAlign w:val="superscript"/>
        </w:rPr>
        <w:t>th</w:t>
      </w:r>
      <w:r w:rsidRPr="00571541">
        <w:rPr>
          <w:sz w:val="22"/>
        </w:rPr>
        <w:t xml:space="preserve"> day of September 2021 and even if we do not include the weekends and holidays the thirty (30) days lapses on the 1</w:t>
      </w:r>
      <w:r w:rsidRPr="00571541">
        <w:rPr>
          <w:sz w:val="22"/>
          <w:vertAlign w:val="superscript"/>
        </w:rPr>
        <w:t>st</w:t>
      </w:r>
      <w:r w:rsidRPr="00571541">
        <w:rPr>
          <w:sz w:val="22"/>
        </w:rPr>
        <w:t xml:space="preserve"> day of October given the fact that the 24</w:t>
      </w:r>
      <w:r w:rsidRPr="00571541">
        <w:rPr>
          <w:sz w:val="22"/>
          <w:vertAlign w:val="superscript"/>
        </w:rPr>
        <w:t>th</w:t>
      </w:r>
      <w:r w:rsidRPr="00571541">
        <w:rPr>
          <w:sz w:val="22"/>
        </w:rPr>
        <w:t xml:space="preserve"> of September was a holiday.”</w:t>
      </w:r>
    </w:p>
    <w:p w:rsidR="00291D85" w:rsidRDefault="00291D85" w:rsidP="00291D85">
      <w:pPr>
        <w:pStyle w:val="ListParagraph"/>
      </w:pPr>
    </w:p>
    <w:p w:rsidR="00291D85" w:rsidRDefault="00291D85" w:rsidP="00F7063D">
      <w:pPr>
        <w:pStyle w:val="ListParagraph"/>
        <w:numPr>
          <w:ilvl w:val="0"/>
          <w:numId w:val="3"/>
        </w:numPr>
        <w:spacing w:line="480" w:lineRule="auto"/>
        <w:ind w:left="720" w:hanging="720"/>
        <w:jc w:val="both"/>
      </w:pPr>
      <w:r>
        <w:t>Dr. Mbebe furthermore alleged that by “</w:t>
      </w:r>
      <w:r>
        <w:rPr>
          <w:i/>
        </w:rPr>
        <w:t>the time we received the combined summons, the above mentioned order had already lapsed.</w:t>
      </w:r>
      <w:r>
        <w:t>”  She also confirmed that the applicants’ instructing attorney caused appearance to defend to be served on 4 October 2021.  She raised an issue as to the institution of the arbitration proceedings because, what was attached to Mr. Barrow’s affidavit, were requests to A</w:t>
      </w:r>
      <w:r w:rsidR="00537A66">
        <w:t>FSA</w:t>
      </w:r>
      <w:r>
        <w:t xml:space="preserve"> for arbitration under its rules.  It is in my view unnecessary to decide whether or not those requests can be equated to the institution of arbitration proceedings, because the Commissioner, DG and Minister have instituted action proceedings.  They were ordered to institute either action or arbitration proceedings or both action and arbitration proceedings.  The institution of one form of those proceedings would constitute compliance with the order granted on 20 August 2021, provided that such proceedings were instituted within thirty days of 20 August 2021.</w:t>
      </w:r>
    </w:p>
    <w:p w:rsidR="00291D85" w:rsidRDefault="00291D85" w:rsidP="00291D85">
      <w:pPr>
        <w:pStyle w:val="ListParagraph"/>
        <w:spacing w:line="480" w:lineRule="auto"/>
        <w:jc w:val="both"/>
      </w:pPr>
    </w:p>
    <w:p w:rsidR="00571541" w:rsidRDefault="00291D85" w:rsidP="006E6876">
      <w:pPr>
        <w:pStyle w:val="ListParagraph"/>
        <w:numPr>
          <w:ilvl w:val="0"/>
          <w:numId w:val="3"/>
        </w:numPr>
        <w:spacing w:line="480" w:lineRule="auto"/>
        <w:ind w:left="720" w:hanging="720"/>
        <w:jc w:val="both"/>
      </w:pPr>
      <w:r>
        <w:t>Only court days are to be included in the computation of time fixed by an order o</w:t>
      </w:r>
      <w:r w:rsidR="00537A66">
        <w:t>f</w:t>
      </w:r>
      <w:r>
        <w:t xml:space="preserve"> court.</w:t>
      </w:r>
      <w:r>
        <w:rPr>
          <w:rStyle w:val="FootnoteReference"/>
        </w:rPr>
        <w:footnoteReference w:id="4"/>
      </w:r>
      <w:r>
        <w:t xml:space="preserve">  If 20 August 2021,</w:t>
      </w:r>
      <w:r w:rsidR="00537A66">
        <w:t xml:space="preserve"> Saturdays and </w:t>
      </w:r>
      <w:r w:rsidR="006E6876">
        <w:t>Sundays</w:t>
      </w:r>
      <w:r w:rsidR="00537A66">
        <w:t xml:space="preserve"> thereafter</w:t>
      </w:r>
      <w:r w:rsidR="006E6876">
        <w:t xml:space="preserve"> and the public holiday on </w:t>
      </w:r>
      <w:r>
        <w:t>24</w:t>
      </w:r>
      <w:r w:rsidR="006E6876">
        <w:t> </w:t>
      </w:r>
      <w:r>
        <w:t xml:space="preserve">September 2021 </w:t>
      </w:r>
      <w:r w:rsidR="006E6876">
        <w:t xml:space="preserve">are </w:t>
      </w:r>
      <w:r>
        <w:t xml:space="preserve">excluded </w:t>
      </w:r>
      <w:r w:rsidR="006E6876">
        <w:t xml:space="preserve">from and the last of the thirtieth day included in the </w:t>
      </w:r>
      <w:r>
        <w:t>computation of the thirty day period referred to in the order that was granted on 20 August 2021, then the Commissioner, DG and Minister had until midnight of 4 October 2021 to comply with that order.</w:t>
      </w:r>
      <w:r w:rsidR="006E6876">
        <w:rPr>
          <w:rStyle w:val="FootnoteReference"/>
        </w:rPr>
        <w:footnoteReference w:id="5"/>
      </w:r>
      <w:r>
        <w:t xml:space="preserve">  They have accordingly complied with the order.  </w:t>
      </w:r>
    </w:p>
    <w:p w:rsidR="00571541" w:rsidRDefault="00571541" w:rsidP="00571541">
      <w:pPr>
        <w:pStyle w:val="ListParagraph"/>
      </w:pPr>
    </w:p>
    <w:p w:rsidR="00B13773" w:rsidRDefault="00571541" w:rsidP="00553B03">
      <w:pPr>
        <w:pStyle w:val="ListParagraph"/>
        <w:numPr>
          <w:ilvl w:val="0"/>
          <w:numId w:val="3"/>
        </w:numPr>
        <w:spacing w:line="480" w:lineRule="auto"/>
        <w:ind w:left="720" w:hanging="720"/>
        <w:jc w:val="both"/>
      </w:pPr>
      <w:r>
        <w:t xml:space="preserve">That the Commissioner, DG and Minister complied with the order is, in my view, at present less important than the concerning issue that counsel stated, as a fact, that those proceedings had not been instituted.  Dr. Mbebe confirmed in her affidavit that the action proceedings had been served on four of the five applicants on 4 October 2021.  The face of the summons indicates that summons was issued against the five applicants whose bank accounts were suspended or frozen pursuant to the order granted on 20 August 2021.  The documents delivered on 27 and 30 May 2022 demonstrate that </w:t>
      </w:r>
      <w:r w:rsidR="00B13773">
        <w:t>Mr. Mashavha’s submission, regarding the non-compliance with the order of 20 August 2021 was indeed factually incorrect.</w:t>
      </w:r>
    </w:p>
    <w:p w:rsidR="00B13773" w:rsidRDefault="00B13773" w:rsidP="00B13773">
      <w:pPr>
        <w:pStyle w:val="ListParagraph"/>
      </w:pPr>
    </w:p>
    <w:p w:rsidR="00411F3F" w:rsidRDefault="00B13773" w:rsidP="00F7063D">
      <w:pPr>
        <w:pStyle w:val="ListParagraph"/>
        <w:numPr>
          <w:ilvl w:val="0"/>
          <w:numId w:val="3"/>
        </w:numPr>
        <w:spacing w:line="480" w:lineRule="auto"/>
        <w:ind w:left="720" w:hanging="720"/>
        <w:jc w:val="both"/>
      </w:pPr>
      <w:r>
        <w:t>As a result of that factually incorrect submission, the second, third and fourth respondents incurred costs by compiling the documents</w:t>
      </w:r>
      <w:r w:rsidR="00571541">
        <w:t xml:space="preserve"> delivered on 27 May 2022 and perusing the documents delivered on 30 May 2022</w:t>
      </w:r>
      <w:r>
        <w:t xml:space="preserve">.  There is no reason why the applicants should not pay those costs.  </w:t>
      </w:r>
      <w:r w:rsidR="00411F3F">
        <w:t xml:space="preserve"> </w:t>
      </w:r>
    </w:p>
    <w:p w:rsidR="00571541" w:rsidRDefault="00571541" w:rsidP="00571541">
      <w:pPr>
        <w:pStyle w:val="ListParagraph"/>
      </w:pPr>
    </w:p>
    <w:p w:rsidR="00571541" w:rsidRDefault="00571541" w:rsidP="00F7063D">
      <w:pPr>
        <w:pStyle w:val="ListParagraph"/>
        <w:numPr>
          <w:ilvl w:val="0"/>
          <w:numId w:val="3"/>
        </w:numPr>
        <w:spacing w:line="480" w:lineRule="auto"/>
        <w:ind w:left="720" w:hanging="720"/>
        <w:jc w:val="both"/>
      </w:pPr>
      <w:r>
        <w:t xml:space="preserve">It is pointed out that, while the order granted on 20 August 2021 remains in place, the present application is academic, insofar as it relates to the fifteen applicants affected thereby, because even if the preservation orders are set aside, the order will still prevent those applicants from having access to the credit balances in the bank accounts concerned.  </w:t>
      </w:r>
    </w:p>
    <w:p w:rsidR="006938BC" w:rsidRDefault="006938BC" w:rsidP="006938BC">
      <w:pPr>
        <w:pStyle w:val="ListParagraph"/>
      </w:pPr>
    </w:p>
    <w:p w:rsidR="00607A61" w:rsidRDefault="00607A61" w:rsidP="00F7063D">
      <w:pPr>
        <w:pStyle w:val="ListParagraph"/>
        <w:numPr>
          <w:ilvl w:val="0"/>
          <w:numId w:val="3"/>
        </w:numPr>
        <w:spacing w:line="480" w:lineRule="auto"/>
        <w:ind w:left="720" w:hanging="720"/>
        <w:jc w:val="both"/>
      </w:pPr>
      <w:r>
        <w:t>In the result, it is ordered that:</w:t>
      </w:r>
    </w:p>
    <w:p w:rsidR="00607A61" w:rsidRDefault="00607A61" w:rsidP="00607A61">
      <w:pPr>
        <w:pStyle w:val="ListParagraph"/>
      </w:pPr>
    </w:p>
    <w:p w:rsidR="006938BC" w:rsidRDefault="006938BC" w:rsidP="006938BC">
      <w:pPr>
        <w:pStyle w:val="ListParagraph"/>
        <w:numPr>
          <w:ilvl w:val="0"/>
          <w:numId w:val="4"/>
        </w:numPr>
        <w:spacing w:line="480" w:lineRule="auto"/>
        <w:ind w:left="1440" w:hanging="720"/>
        <w:jc w:val="both"/>
      </w:pPr>
      <w:r>
        <w:t>T</w:t>
      </w:r>
      <w:r w:rsidR="00607A61">
        <w:t>he applica</w:t>
      </w:r>
      <w:r>
        <w:t>tion for the reconsideration of the preservations orders be and is hereby dismissed.</w:t>
      </w:r>
    </w:p>
    <w:p w:rsidR="00291561" w:rsidRDefault="006938BC" w:rsidP="006938BC">
      <w:pPr>
        <w:pStyle w:val="ListParagraph"/>
        <w:numPr>
          <w:ilvl w:val="0"/>
          <w:numId w:val="4"/>
        </w:numPr>
        <w:spacing w:line="480" w:lineRule="auto"/>
        <w:ind w:left="1440" w:hanging="720"/>
        <w:jc w:val="both"/>
      </w:pPr>
      <w:r>
        <w:t>T</w:t>
      </w:r>
      <w:r w:rsidR="00607A61">
        <w:t>he applicants shall</w:t>
      </w:r>
      <w:r w:rsidR="00291561">
        <w:t xml:space="preserve"> pay</w:t>
      </w:r>
      <w:r w:rsidR="00607A61">
        <w:t>, jointly and severally the one paying the other to be absolved</w:t>
      </w:r>
      <w:r w:rsidR="00291561">
        <w:t>:</w:t>
      </w:r>
    </w:p>
    <w:p w:rsidR="00291561" w:rsidRDefault="00571541" w:rsidP="00291561">
      <w:pPr>
        <w:pStyle w:val="ListParagraph"/>
        <w:numPr>
          <w:ilvl w:val="1"/>
          <w:numId w:val="4"/>
        </w:numPr>
        <w:spacing w:line="480" w:lineRule="auto"/>
        <w:ind w:left="2160" w:hanging="720"/>
        <w:jc w:val="both"/>
      </w:pPr>
      <w:r>
        <w:t>t</w:t>
      </w:r>
      <w:r w:rsidR="00291561">
        <w:t xml:space="preserve">he fist respondent’s costs of the application; and </w:t>
      </w:r>
    </w:p>
    <w:p w:rsidR="00607A61" w:rsidRDefault="00571541" w:rsidP="00291561">
      <w:pPr>
        <w:pStyle w:val="ListParagraph"/>
        <w:numPr>
          <w:ilvl w:val="1"/>
          <w:numId w:val="4"/>
        </w:numPr>
        <w:spacing w:line="480" w:lineRule="auto"/>
        <w:ind w:left="2160" w:hanging="720"/>
        <w:jc w:val="both"/>
      </w:pPr>
      <w:r>
        <w:t>t</w:t>
      </w:r>
      <w:r w:rsidR="00291561">
        <w:t xml:space="preserve">he second, third and fourth </w:t>
      </w:r>
      <w:r w:rsidR="00645B42">
        <w:t>respondents</w:t>
      </w:r>
      <w:r w:rsidR="00291561">
        <w:t xml:space="preserve">’ costs, such costs to be limited to the compilation of the documents </w:t>
      </w:r>
      <w:r w:rsidR="00645B42">
        <w:t>delivered</w:t>
      </w:r>
      <w:r w:rsidR="00291561">
        <w:t xml:space="preserve"> on 27 May 2022 and the </w:t>
      </w:r>
      <w:r w:rsidR="00645B42">
        <w:t>applicants</w:t>
      </w:r>
      <w:r w:rsidR="00291561">
        <w:t>’ response thereto</w:t>
      </w:r>
      <w:r w:rsidR="00645B42">
        <w:t xml:space="preserve"> </w:t>
      </w:r>
      <w:r>
        <w:t xml:space="preserve">delivered </w:t>
      </w:r>
      <w:r w:rsidR="00645B42">
        <w:t>on 30 May 2022</w:t>
      </w:r>
      <w:r w:rsidR="00607A61">
        <w:t>.</w:t>
      </w:r>
    </w:p>
    <w:p w:rsidR="00F7063D" w:rsidRDefault="00F7063D" w:rsidP="00607A61">
      <w:pPr>
        <w:pStyle w:val="ListParagraph"/>
        <w:spacing w:line="480" w:lineRule="auto"/>
        <w:ind w:left="0"/>
        <w:jc w:val="both"/>
      </w:pPr>
    </w:p>
    <w:p w:rsidR="00607A61" w:rsidRDefault="00607A61" w:rsidP="00607A61">
      <w:pPr>
        <w:pStyle w:val="ListParagraph"/>
        <w:spacing w:line="480" w:lineRule="auto"/>
        <w:ind w:left="0"/>
        <w:jc w:val="both"/>
      </w:pPr>
    </w:p>
    <w:p w:rsidR="00607A61" w:rsidRDefault="00607A61" w:rsidP="00607A61">
      <w:pPr>
        <w:pStyle w:val="ListParagraph"/>
        <w:spacing w:line="480" w:lineRule="auto"/>
        <w:ind w:left="0"/>
        <w:jc w:val="both"/>
      </w:pPr>
    </w:p>
    <w:p w:rsidR="00607A61" w:rsidRDefault="00607A61" w:rsidP="00607A61">
      <w:pPr>
        <w:pStyle w:val="ListParagraph"/>
        <w:spacing w:line="276" w:lineRule="auto"/>
        <w:ind w:left="0"/>
        <w:jc w:val="both"/>
      </w:pPr>
      <w:r>
        <w:t xml:space="preserve">______________  </w:t>
      </w:r>
    </w:p>
    <w:p w:rsidR="00607A61" w:rsidRDefault="00607A61" w:rsidP="00607A61">
      <w:pPr>
        <w:pStyle w:val="ListParagraph"/>
        <w:spacing w:line="276" w:lineRule="auto"/>
        <w:ind w:left="0"/>
        <w:jc w:val="both"/>
        <w:rPr>
          <w:b/>
        </w:rPr>
      </w:pPr>
      <w:r>
        <w:rPr>
          <w:b/>
        </w:rPr>
        <w:t>G.H. BLOEM</w:t>
      </w:r>
    </w:p>
    <w:p w:rsidR="00607A61" w:rsidRDefault="00607A61" w:rsidP="00607A61">
      <w:pPr>
        <w:pStyle w:val="ListParagraph"/>
        <w:spacing w:line="276" w:lineRule="auto"/>
        <w:ind w:left="0"/>
        <w:jc w:val="both"/>
        <w:rPr>
          <w:b/>
        </w:rPr>
      </w:pPr>
      <w:r>
        <w:rPr>
          <w:b/>
        </w:rPr>
        <w:t>JUDGE OF THE HIGH COURT</w:t>
      </w:r>
    </w:p>
    <w:p w:rsidR="00607A61" w:rsidRDefault="00607A61" w:rsidP="00607A61">
      <w:pPr>
        <w:pStyle w:val="ListParagraph"/>
        <w:spacing w:line="276" w:lineRule="auto"/>
        <w:ind w:left="0"/>
        <w:jc w:val="both"/>
        <w:rPr>
          <w:b/>
        </w:rPr>
      </w:pPr>
    </w:p>
    <w:p w:rsidR="00607A61" w:rsidRDefault="00607A61" w:rsidP="00607A61">
      <w:pPr>
        <w:pStyle w:val="ListParagraph"/>
        <w:spacing w:line="276" w:lineRule="auto"/>
        <w:ind w:left="0"/>
        <w:jc w:val="both"/>
        <w:rPr>
          <w:b/>
        </w:rPr>
      </w:pPr>
    </w:p>
    <w:p w:rsidR="00607A61" w:rsidRDefault="00225501" w:rsidP="00B13773">
      <w:pPr>
        <w:pStyle w:val="ListParagraph"/>
        <w:spacing w:line="276" w:lineRule="auto"/>
        <w:ind w:left="5040" w:hanging="5040"/>
        <w:jc w:val="both"/>
      </w:pPr>
      <w:r>
        <w:t xml:space="preserve">For </w:t>
      </w:r>
      <w:r w:rsidR="00607A61">
        <w:t xml:space="preserve">the applicants: </w:t>
      </w:r>
      <w:r>
        <w:tab/>
      </w:r>
      <w:r w:rsidR="00607A61">
        <w:t xml:space="preserve">Mr. M.J. Mashavha, instructed by Matiwane </w:t>
      </w:r>
      <w:r w:rsidR="006938BC">
        <w:t>A</w:t>
      </w:r>
      <w:r w:rsidR="00607A61">
        <w:t>ttorneys, East London and Netteltons Attorneys, Grahamstown</w:t>
      </w:r>
      <w:r w:rsidR="003C20CE">
        <w:t>.</w:t>
      </w:r>
    </w:p>
    <w:p w:rsidR="00607A61" w:rsidRDefault="00607A61" w:rsidP="00607A61">
      <w:pPr>
        <w:pStyle w:val="ListParagraph"/>
        <w:spacing w:line="276" w:lineRule="auto"/>
        <w:ind w:left="0"/>
        <w:jc w:val="both"/>
      </w:pPr>
    </w:p>
    <w:p w:rsidR="00607A61" w:rsidRDefault="00607A61" w:rsidP="00607A61">
      <w:pPr>
        <w:pStyle w:val="ListParagraph"/>
        <w:spacing w:line="276" w:lineRule="auto"/>
        <w:ind w:left="0"/>
        <w:jc w:val="both"/>
      </w:pPr>
    </w:p>
    <w:p w:rsidR="00607A61" w:rsidRDefault="00225501" w:rsidP="00B13773">
      <w:pPr>
        <w:pStyle w:val="ListParagraph"/>
        <w:spacing w:line="276" w:lineRule="auto"/>
        <w:ind w:left="5040" w:hanging="5040"/>
        <w:jc w:val="both"/>
      </w:pPr>
      <w:r>
        <w:t xml:space="preserve">For the </w:t>
      </w:r>
      <w:r w:rsidR="00607A61">
        <w:t xml:space="preserve">first respondent: </w:t>
      </w:r>
      <w:r>
        <w:tab/>
      </w:r>
      <w:r w:rsidR="00607A61">
        <w:t xml:space="preserve">Mr. </w:t>
      </w:r>
      <w:r w:rsidR="00B13773">
        <w:t xml:space="preserve">M. </w:t>
      </w:r>
      <w:r w:rsidR="00607A61">
        <w:t>Wolmarans of NN Dullabh and Co, Grahamstown</w:t>
      </w:r>
      <w:r w:rsidR="003C20CE">
        <w:t>.</w:t>
      </w:r>
    </w:p>
    <w:p w:rsidR="00B13773" w:rsidRDefault="00B13773" w:rsidP="00B13773">
      <w:pPr>
        <w:pStyle w:val="ListParagraph"/>
        <w:spacing w:line="276" w:lineRule="auto"/>
        <w:ind w:left="5040" w:hanging="5040"/>
        <w:jc w:val="both"/>
      </w:pPr>
    </w:p>
    <w:p w:rsidR="00B13773" w:rsidRDefault="00B13773" w:rsidP="00B13773">
      <w:pPr>
        <w:pStyle w:val="ListParagraph"/>
        <w:spacing w:line="276" w:lineRule="auto"/>
        <w:ind w:left="5040" w:hanging="5040"/>
        <w:jc w:val="both"/>
      </w:pPr>
      <w:r>
        <w:t xml:space="preserve">For the second, third and fourth respondents: </w:t>
      </w:r>
      <w:r>
        <w:tab/>
        <w:t>Mr. G.  Barrow of Whitesides Attorneys, Grahamstown</w:t>
      </w:r>
      <w:r w:rsidR="003C20CE">
        <w:t>.</w:t>
      </w:r>
    </w:p>
    <w:p w:rsidR="00FD0B6E" w:rsidRDefault="00FD0B6E" w:rsidP="00225501">
      <w:pPr>
        <w:pStyle w:val="ListParagraph"/>
        <w:spacing w:line="276" w:lineRule="auto"/>
        <w:ind w:left="4320" w:hanging="4320"/>
        <w:jc w:val="both"/>
      </w:pPr>
    </w:p>
    <w:p w:rsidR="00607A61" w:rsidRDefault="00607A61" w:rsidP="00B13773">
      <w:pPr>
        <w:pStyle w:val="ListParagraph"/>
        <w:spacing w:line="276" w:lineRule="auto"/>
        <w:ind w:left="5040" w:hanging="5040"/>
        <w:jc w:val="both"/>
      </w:pPr>
      <w:r>
        <w:t xml:space="preserve">Date of hearing: </w:t>
      </w:r>
      <w:r w:rsidR="00225501">
        <w:tab/>
      </w:r>
      <w:r>
        <w:t>26 May 2022</w:t>
      </w:r>
      <w:r w:rsidR="005E5A61">
        <w:t>.</w:t>
      </w:r>
    </w:p>
    <w:p w:rsidR="00607A61" w:rsidRDefault="00607A61" w:rsidP="00607A61">
      <w:pPr>
        <w:pStyle w:val="ListParagraph"/>
        <w:spacing w:line="276" w:lineRule="auto"/>
        <w:ind w:left="0"/>
        <w:jc w:val="both"/>
      </w:pPr>
    </w:p>
    <w:p w:rsidR="00607A61" w:rsidRPr="00607A61" w:rsidRDefault="00607A61" w:rsidP="00B13773">
      <w:pPr>
        <w:pStyle w:val="ListParagraph"/>
        <w:spacing w:line="276" w:lineRule="auto"/>
        <w:ind w:left="5040" w:hanging="5040"/>
        <w:jc w:val="both"/>
      </w:pPr>
      <w:r>
        <w:t xml:space="preserve">Date of delivery of judgment: </w:t>
      </w:r>
      <w:r w:rsidR="00225501">
        <w:tab/>
      </w:r>
      <w:r>
        <w:t>31 May 2022</w:t>
      </w:r>
      <w:r w:rsidR="005E5A61">
        <w:t>.</w:t>
      </w:r>
    </w:p>
    <w:p w:rsidR="00607A61" w:rsidRDefault="00607A61" w:rsidP="00607A61">
      <w:pPr>
        <w:pStyle w:val="ListParagraph"/>
        <w:spacing w:line="480" w:lineRule="auto"/>
        <w:ind w:left="0"/>
        <w:jc w:val="both"/>
      </w:pPr>
    </w:p>
    <w:sectPr w:rsidR="00607A61" w:rsidSect="009559C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6D" w:rsidRDefault="00CB6F6D" w:rsidP="009559CE">
      <w:r>
        <w:separator/>
      </w:r>
    </w:p>
  </w:endnote>
  <w:endnote w:type="continuationSeparator" w:id="0">
    <w:p w:rsidR="00CB6F6D" w:rsidRDefault="00CB6F6D" w:rsidP="009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6D" w:rsidRDefault="00CB6F6D" w:rsidP="009559CE">
      <w:r>
        <w:separator/>
      </w:r>
    </w:p>
  </w:footnote>
  <w:footnote w:type="continuationSeparator" w:id="0">
    <w:p w:rsidR="00CB6F6D" w:rsidRDefault="00CB6F6D" w:rsidP="009559CE">
      <w:r>
        <w:continuationSeparator/>
      </w:r>
    </w:p>
  </w:footnote>
  <w:footnote w:id="1">
    <w:p w:rsidR="006B6B6F" w:rsidRDefault="006B6B6F">
      <w:pPr>
        <w:pStyle w:val="FootnoteText"/>
      </w:pPr>
      <w:r>
        <w:rPr>
          <w:rStyle w:val="FootnoteReference"/>
        </w:rPr>
        <w:footnoteRef/>
      </w:r>
      <w:r>
        <w:t xml:space="preserve"> Prevention of Organised Crime Act, 1998 (Act 121 of 1998).</w:t>
      </w:r>
    </w:p>
  </w:footnote>
  <w:footnote w:id="2">
    <w:p w:rsidR="008D512E" w:rsidRDefault="008D512E">
      <w:pPr>
        <w:pStyle w:val="FootnoteText"/>
      </w:pPr>
      <w:r>
        <w:rPr>
          <w:rStyle w:val="FootnoteReference"/>
        </w:rPr>
        <w:footnoteRef/>
      </w:r>
      <w:r>
        <w:t xml:space="preserve"> </w:t>
      </w:r>
      <w:r w:rsidR="004F0F8E">
        <w:t>Unemployment Insurance Contributions Act</w:t>
      </w:r>
      <w:r>
        <w:t xml:space="preserve">, </w:t>
      </w:r>
      <w:r w:rsidR="004F0F8E">
        <w:t>2002 (Act 4 of 2002).</w:t>
      </w:r>
    </w:p>
  </w:footnote>
  <w:footnote w:id="3">
    <w:p w:rsidR="003B477A" w:rsidRDefault="003B477A">
      <w:pPr>
        <w:pStyle w:val="FootnoteText"/>
      </w:pPr>
      <w:r>
        <w:rPr>
          <w:rStyle w:val="FootnoteReference"/>
        </w:rPr>
        <w:footnoteRef/>
      </w:r>
      <w:r>
        <w:t xml:space="preserve"> </w:t>
      </w:r>
      <w:r w:rsidRPr="003B477A">
        <w:rPr>
          <w:i/>
        </w:rPr>
        <w:t xml:space="preserve">Howard &amp; Decker Witkoppen Agencies and Fourways Estates (Pty) Ltd v </w:t>
      </w:r>
      <w:r w:rsidR="007C09A1">
        <w:rPr>
          <w:i/>
        </w:rPr>
        <w:t>d</w:t>
      </w:r>
      <w:r w:rsidRPr="003B477A">
        <w:rPr>
          <w:i/>
        </w:rPr>
        <w:t>e Sousa</w:t>
      </w:r>
      <w:r>
        <w:t xml:space="preserve"> 1971 (3) SA 937 (T) at 940E – H and </w:t>
      </w:r>
      <w:r w:rsidRPr="003B477A">
        <w:rPr>
          <w:i/>
        </w:rPr>
        <w:t>Maize Board v Hart</w:t>
      </w:r>
      <w:r>
        <w:t xml:space="preserve"> 2005 (5) SA 480 (O) at 484E referred to with approval in the </w:t>
      </w:r>
      <w:r w:rsidR="007C09A1">
        <w:t>minorit</w:t>
      </w:r>
      <w:r>
        <w:t xml:space="preserve">y judgment in </w:t>
      </w:r>
      <w:r w:rsidRPr="003B477A">
        <w:rPr>
          <w:i/>
        </w:rPr>
        <w:t>Hal obo MML v MEC for Health, Free State</w:t>
      </w:r>
      <w:r>
        <w:t xml:space="preserve"> 2022</w:t>
      </w:r>
      <w:r w:rsidR="007C09A1">
        <w:t xml:space="preserve"> </w:t>
      </w:r>
      <w:r>
        <w:t>(3) SA 571 (SCA) at par 117.</w:t>
      </w:r>
    </w:p>
  </w:footnote>
  <w:footnote w:id="4">
    <w:p w:rsidR="00291D85" w:rsidRPr="00291D85" w:rsidRDefault="00291D85">
      <w:pPr>
        <w:pStyle w:val="FootnoteText"/>
      </w:pPr>
      <w:r>
        <w:rPr>
          <w:rStyle w:val="FootnoteReference"/>
        </w:rPr>
        <w:footnoteRef/>
      </w:r>
      <w:r>
        <w:t xml:space="preserve"> </w:t>
      </w:r>
      <w:r w:rsidRPr="00291D85">
        <w:rPr>
          <w:i/>
        </w:rPr>
        <w:t>Pierre Cronje (Pty) Ltd</w:t>
      </w:r>
      <w:r>
        <w:rPr>
          <w:i/>
        </w:rPr>
        <w:t xml:space="preserve"> v Adonis</w:t>
      </w:r>
      <w:r>
        <w:t xml:space="preserve"> 2010 (4) SA 294 (WCC) at par 14.</w:t>
      </w:r>
    </w:p>
  </w:footnote>
  <w:footnote w:id="5">
    <w:p w:rsidR="006E6876" w:rsidRDefault="006E6876">
      <w:pPr>
        <w:pStyle w:val="FootnoteText"/>
      </w:pPr>
      <w:r>
        <w:rPr>
          <w:rStyle w:val="FootnoteReference"/>
        </w:rPr>
        <w:footnoteRef/>
      </w:r>
      <w:r>
        <w:t xml:space="preserve"> Section 4 of the Interpretation Act, 1957 (Act 33 of 1957).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2671"/>
      <w:docPartObj>
        <w:docPartGallery w:val="Page Numbers (Top of Page)"/>
        <w:docPartUnique/>
      </w:docPartObj>
    </w:sdtPr>
    <w:sdtEndPr>
      <w:rPr>
        <w:noProof/>
      </w:rPr>
    </w:sdtEndPr>
    <w:sdtContent>
      <w:p w:rsidR="006B6B6F" w:rsidRDefault="006B6B6F">
        <w:pPr>
          <w:pStyle w:val="Header"/>
          <w:jc w:val="right"/>
        </w:pPr>
        <w:r>
          <w:fldChar w:fldCharType="begin"/>
        </w:r>
        <w:r>
          <w:instrText xml:space="preserve"> PAGE   \* MERGEFORMAT </w:instrText>
        </w:r>
        <w:r>
          <w:fldChar w:fldCharType="separate"/>
        </w:r>
        <w:r w:rsidR="001455AC">
          <w:rPr>
            <w:noProof/>
          </w:rPr>
          <w:t>12</w:t>
        </w:r>
        <w:r>
          <w:rPr>
            <w:noProof/>
          </w:rPr>
          <w:fldChar w:fldCharType="end"/>
        </w:r>
      </w:p>
    </w:sdtContent>
  </w:sdt>
  <w:p w:rsidR="006B6B6F" w:rsidRDefault="006B6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422F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47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C35A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F03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857EF7"/>
    <w:multiLevelType w:val="multilevel"/>
    <w:tmpl w:val="C646F082"/>
    <w:lvl w:ilvl="0">
      <w:start w:val="1"/>
      <w:numFmt w:val="decimal"/>
      <w:lvlText w:val="%1."/>
      <w:lvlJc w:val="left"/>
      <w:pPr>
        <w:ind w:left="1152"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5472"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128" w:hanging="1800"/>
      </w:pPr>
      <w:rPr>
        <w:rFonts w:hint="default"/>
      </w:rPr>
    </w:lvl>
    <w:lvl w:ilvl="8">
      <w:start w:val="1"/>
      <w:numFmt w:val="decimal"/>
      <w:isLgl/>
      <w:lvlText w:val="%1.%2.%3.%4.%5.%6.%7.%8.%9"/>
      <w:lvlJc w:val="left"/>
      <w:pPr>
        <w:ind w:left="7776" w:hanging="1800"/>
      </w:pPr>
      <w:rPr>
        <w:rFonts w:hint="default"/>
      </w:rPr>
    </w:lvl>
  </w:abstractNum>
  <w:abstractNum w:abstractNumId="6" w15:restartNumberingAfterBreak="0">
    <w:nsid w:val="76A56B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78AE0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40"/>
    <w:rsid w:val="00023512"/>
    <w:rsid w:val="000C76BB"/>
    <w:rsid w:val="00101FB9"/>
    <w:rsid w:val="00112D96"/>
    <w:rsid w:val="00116440"/>
    <w:rsid w:val="0013208B"/>
    <w:rsid w:val="001455AC"/>
    <w:rsid w:val="001C7D19"/>
    <w:rsid w:val="001F3B41"/>
    <w:rsid w:val="00225501"/>
    <w:rsid w:val="00225A9C"/>
    <w:rsid w:val="002844D0"/>
    <w:rsid w:val="00291561"/>
    <w:rsid w:val="00291D85"/>
    <w:rsid w:val="003B477A"/>
    <w:rsid w:val="003C15A7"/>
    <w:rsid w:val="003C20CE"/>
    <w:rsid w:val="003D4E32"/>
    <w:rsid w:val="003D7E35"/>
    <w:rsid w:val="00411F3F"/>
    <w:rsid w:val="00490F62"/>
    <w:rsid w:val="004944AF"/>
    <w:rsid w:val="004B3631"/>
    <w:rsid w:val="004F0F8E"/>
    <w:rsid w:val="00537A66"/>
    <w:rsid w:val="00571541"/>
    <w:rsid w:val="005E5A61"/>
    <w:rsid w:val="00607A61"/>
    <w:rsid w:val="00645B42"/>
    <w:rsid w:val="006938BC"/>
    <w:rsid w:val="006B6B6F"/>
    <w:rsid w:val="006E6876"/>
    <w:rsid w:val="007C09A1"/>
    <w:rsid w:val="007F580E"/>
    <w:rsid w:val="008D512E"/>
    <w:rsid w:val="008E65F9"/>
    <w:rsid w:val="009559CE"/>
    <w:rsid w:val="009D6EDD"/>
    <w:rsid w:val="00A6112D"/>
    <w:rsid w:val="00AD19CB"/>
    <w:rsid w:val="00AE2A18"/>
    <w:rsid w:val="00B13773"/>
    <w:rsid w:val="00B432FB"/>
    <w:rsid w:val="00C10161"/>
    <w:rsid w:val="00CB6F6D"/>
    <w:rsid w:val="00D37F7D"/>
    <w:rsid w:val="00E54B96"/>
    <w:rsid w:val="00E738BC"/>
    <w:rsid w:val="00F064C8"/>
    <w:rsid w:val="00F7063D"/>
    <w:rsid w:val="00FD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1291F-F96F-4D68-AA7C-EDAA538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40"/>
    <w:pPr>
      <w:ind w:left="720"/>
      <w:contextualSpacing/>
    </w:pPr>
  </w:style>
  <w:style w:type="paragraph" w:styleId="Header">
    <w:name w:val="header"/>
    <w:basedOn w:val="Normal"/>
    <w:link w:val="HeaderChar"/>
    <w:uiPriority w:val="99"/>
    <w:unhideWhenUsed/>
    <w:rsid w:val="009559CE"/>
    <w:pPr>
      <w:tabs>
        <w:tab w:val="center" w:pos="4680"/>
        <w:tab w:val="right" w:pos="9360"/>
      </w:tabs>
    </w:pPr>
  </w:style>
  <w:style w:type="character" w:customStyle="1" w:styleId="HeaderChar">
    <w:name w:val="Header Char"/>
    <w:basedOn w:val="DefaultParagraphFont"/>
    <w:link w:val="Header"/>
    <w:uiPriority w:val="99"/>
    <w:rsid w:val="009559CE"/>
  </w:style>
  <w:style w:type="paragraph" w:styleId="Footer">
    <w:name w:val="footer"/>
    <w:basedOn w:val="Normal"/>
    <w:link w:val="FooterChar"/>
    <w:uiPriority w:val="99"/>
    <w:unhideWhenUsed/>
    <w:rsid w:val="009559CE"/>
    <w:pPr>
      <w:tabs>
        <w:tab w:val="center" w:pos="4680"/>
        <w:tab w:val="right" w:pos="9360"/>
      </w:tabs>
    </w:pPr>
  </w:style>
  <w:style w:type="character" w:customStyle="1" w:styleId="FooterChar">
    <w:name w:val="Footer Char"/>
    <w:basedOn w:val="DefaultParagraphFont"/>
    <w:link w:val="Footer"/>
    <w:uiPriority w:val="99"/>
    <w:rsid w:val="009559CE"/>
  </w:style>
  <w:style w:type="paragraph" w:styleId="FootnoteText">
    <w:name w:val="footnote text"/>
    <w:basedOn w:val="Normal"/>
    <w:link w:val="FootnoteTextChar"/>
    <w:uiPriority w:val="99"/>
    <w:semiHidden/>
    <w:unhideWhenUsed/>
    <w:rsid w:val="00A6112D"/>
    <w:rPr>
      <w:sz w:val="20"/>
      <w:szCs w:val="20"/>
    </w:rPr>
  </w:style>
  <w:style w:type="character" w:customStyle="1" w:styleId="FootnoteTextChar">
    <w:name w:val="Footnote Text Char"/>
    <w:basedOn w:val="DefaultParagraphFont"/>
    <w:link w:val="FootnoteText"/>
    <w:uiPriority w:val="99"/>
    <w:semiHidden/>
    <w:rsid w:val="00A6112D"/>
    <w:rPr>
      <w:sz w:val="20"/>
      <w:szCs w:val="20"/>
    </w:rPr>
  </w:style>
  <w:style w:type="character" w:styleId="FootnoteReference">
    <w:name w:val="footnote reference"/>
    <w:basedOn w:val="DefaultParagraphFont"/>
    <w:uiPriority w:val="99"/>
    <w:semiHidden/>
    <w:unhideWhenUsed/>
    <w:rsid w:val="00A6112D"/>
    <w:rPr>
      <w:vertAlign w:val="superscript"/>
    </w:rPr>
  </w:style>
  <w:style w:type="paragraph" w:styleId="BalloonText">
    <w:name w:val="Balloon Text"/>
    <w:basedOn w:val="Normal"/>
    <w:link w:val="BalloonTextChar"/>
    <w:uiPriority w:val="99"/>
    <w:semiHidden/>
    <w:unhideWhenUsed/>
    <w:rsid w:val="005E5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Devilliers</dc:creator>
  <cp:keywords/>
  <dc:description/>
  <cp:lastModifiedBy>HOME</cp:lastModifiedBy>
  <cp:revision>2</cp:revision>
  <cp:lastPrinted>2022-05-31T07:03:00Z</cp:lastPrinted>
  <dcterms:created xsi:type="dcterms:W3CDTF">2022-05-31T16:35:00Z</dcterms:created>
  <dcterms:modified xsi:type="dcterms:W3CDTF">2022-05-31T16:35:00Z</dcterms:modified>
</cp:coreProperties>
</file>