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3C22B889" w14:textId="64E5ECFE" w:rsidR="002955D0" w:rsidRDefault="00D450B5" w:rsidP="002955D0">
      <w:pPr>
        <w:ind w:left="6480"/>
        <w:jc w:val="center"/>
        <w:rPr>
          <w:lang w:val="en-GB"/>
        </w:rPr>
      </w:pPr>
      <w:r w:rsidRPr="00044B50">
        <w:rPr>
          <w:lang w:val="en-GB"/>
        </w:rPr>
        <w:t xml:space="preserve">                                                                                           </w:t>
      </w:r>
      <w:r w:rsidR="002955D0">
        <w:rPr>
          <w:b/>
          <w:lang w:val="en-GB"/>
        </w:rPr>
        <w:t xml:space="preserve">         Not reportable</w:t>
      </w:r>
    </w:p>
    <w:p w14:paraId="1B0E3531" w14:textId="0FE32F00" w:rsidR="002955D0" w:rsidRPr="00044B50" w:rsidRDefault="002955D0" w:rsidP="002955D0">
      <w:pPr>
        <w:jc w:val="center"/>
        <w:rPr>
          <w:lang w:val="en-GB"/>
        </w:rPr>
      </w:pPr>
      <w:r w:rsidRPr="00044B50">
        <w:rPr>
          <w:lang w:val="en-GB"/>
        </w:rPr>
        <w:t xml:space="preserve">                                                                  </w:t>
      </w:r>
      <w:r>
        <w:rPr>
          <w:lang w:val="en-GB"/>
        </w:rPr>
        <w:t xml:space="preserve">                       </w:t>
      </w:r>
      <w:r w:rsidRPr="00044B50">
        <w:rPr>
          <w:lang w:val="en-GB"/>
        </w:rPr>
        <w:t xml:space="preserve"> Case no: </w:t>
      </w:r>
      <w:r>
        <w:rPr>
          <w:lang w:val="en-GB"/>
        </w:rPr>
        <w:t>5384/2017</w:t>
      </w:r>
    </w:p>
    <w:p w14:paraId="13EEBE4B" w14:textId="59D0D907" w:rsidR="00D450B5" w:rsidRPr="00044B50" w:rsidRDefault="00D450B5" w:rsidP="002955D0">
      <w:pPr>
        <w:ind w:right="-52"/>
        <w:jc w:val="center"/>
        <w:rPr>
          <w:spacing w:val="14"/>
          <w:kern w:val="2"/>
          <w:lang w:val="en-GB"/>
        </w:rPr>
      </w:pPr>
    </w:p>
    <w:p w14:paraId="49070A0E" w14:textId="60117B8A"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19BD357A" w14:textId="77777777" w:rsidR="002955D0" w:rsidRPr="00044B50" w:rsidRDefault="002955D0" w:rsidP="00772E4B">
      <w:pPr>
        <w:widowControl w:val="0"/>
        <w:jc w:val="both"/>
        <w:rPr>
          <w:spacing w:val="14"/>
          <w:kern w:val="2"/>
          <w:lang w:val="en-GB"/>
        </w:rPr>
      </w:pPr>
    </w:p>
    <w:p w14:paraId="2E198784" w14:textId="333AF2C2" w:rsidR="00D450B5" w:rsidRPr="002955D0" w:rsidRDefault="002955D0" w:rsidP="002955D0">
      <w:pPr>
        <w:widowControl w:val="0"/>
        <w:tabs>
          <w:tab w:val="right" w:pos="8364"/>
        </w:tabs>
        <w:jc w:val="both"/>
        <w:rPr>
          <w:b/>
          <w:spacing w:val="14"/>
          <w:kern w:val="2"/>
          <w:lang w:val="en-GB"/>
        </w:rPr>
      </w:pPr>
      <w:r>
        <w:rPr>
          <w:b/>
          <w:spacing w:val="14"/>
          <w:kern w:val="2"/>
          <w:lang w:val="en-GB"/>
        </w:rPr>
        <w:t>LEJAMO CONSTRUCTION CC</w:t>
      </w:r>
      <w:r>
        <w:rPr>
          <w:b/>
          <w:spacing w:val="14"/>
          <w:kern w:val="2"/>
          <w:lang w:val="en-GB"/>
        </w:rPr>
        <w:tab/>
        <w:t xml:space="preserve"> Applicant</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2EE27C2F" w:rsidR="00C246F2" w:rsidRPr="00044B50" w:rsidRDefault="002955D0" w:rsidP="002955D0">
      <w:pPr>
        <w:tabs>
          <w:tab w:val="center" w:pos="7655"/>
        </w:tabs>
        <w:jc w:val="both"/>
        <w:rPr>
          <w:b/>
          <w:bCs/>
          <w:lang w:val="en-GB"/>
        </w:rPr>
      </w:pPr>
      <w:r>
        <w:rPr>
          <w:b/>
          <w:bCs/>
          <w:lang w:val="en-GB"/>
        </w:rPr>
        <w:t xml:space="preserve">AMATOLA WATER BOARD </w:t>
      </w:r>
      <w:r>
        <w:rPr>
          <w:b/>
          <w:bCs/>
          <w:lang w:val="en-GB"/>
        </w:rPr>
        <w:tab/>
        <w:t xml:space="preserve">Respondent </w:t>
      </w:r>
      <w:r w:rsidR="00772E4B" w:rsidRPr="00044B50">
        <w:rPr>
          <w:b/>
          <w:bCs/>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77777777" w:rsidR="00D468AF" w:rsidRPr="00044B50" w:rsidRDefault="00D468AF" w:rsidP="00682CE5">
      <w:pPr>
        <w:autoSpaceDE w:val="0"/>
        <w:autoSpaceDN w:val="0"/>
        <w:adjustRightInd w:val="0"/>
        <w:jc w:val="both"/>
        <w:rPr>
          <w:lang w:val="en-GB"/>
        </w:rPr>
      </w:pPr>
    </w:p>
    <w:p w14:paraId="5A33CD6A" w14:textId="4D27E52F" w:rsidR="00E922BE" w:rsidRDefault="00C246F2" w:rsidP="00682CE5">
      <w:pPr>
        <w:pStyle w:val="ListParagraph"/>
        <w:numPr>
          <w:ilvl w:val="0"/>
          <w:numId w:val="10"/>
        </w:numPr>
        <w:autoSpaceDE w:val="0"/>
        <w:autoSpaceDN w:val="0"/>
        <w:adjustRightInd w:val="0"/>
        <w:ind w:left="142" w:hanging="142"/>
        <w:jc w:val="both"/>
        <w:rPr>
          <w:lang w:val="en-GB"/>
        </w:rPr>
      </w:pPr>
      <w:r w:rsidRPr="00044B50">
        <w:rPr>
          <w:lang w:val="en-GB"/>
        </w:rPr>
        <w:t xml:space="preserve">The </w:t>
      </w:r>
      <w:r w:rsidR="00DC2EE8">
        <w:rPr>
          <w:lang w:val="en-GB"/>
        </w:rPr>
        <w:t>applicant, as plaintiff, instituted action against the respondent, as defendant, for the payment of five payment certificates totalling R7 373 629.23, together with interest and costs</w:t>
      </w:r>
      <w:r w:rsidR="00181D33">
        <w:rPr>
          <w:lang w:val="en-GB"/>
        </w:rPr>
        <w:t xml:space="preserve"> (‘the action’)</w:t>
      </w:r>
      <w:r w:rsidR="00DC2EE8">
        <w:rPr>
          <w:lang w:val="en-GB"/>
        </w:rPr>
        <w:t xml:space="preserve">. Although the respondent delivered a plea and counterclaim during July 2018, it paid the capital sums between June to October 2019.  </w:t>
      </w:r>
      <w:r w:rsidR="002E0A8E">
        <w:rPr>
          <w:lang w:val="en-GB"/>
        </w:rPr>
        <w:t>What remains it the issue of interest and costs of suit, resulting in this application. The issue</w:t>
      </w:r>
      <w:r w:rsidR="004570F7">
        <w:rPr>
          <w:lang w:val="en-GB"/>
        </w:rPr>
        <w:t>s</w:t>
      </w:r>
      <w:r w:rsidR="002E0A8E">
        <w:rPr>
          <w:lang w:val="en-GB"/>
        </w:rPr>
        <w:t xml:space="preserve"> to be decided </w:t>
      </w:r>
      <w:r w:rsidR="004570F7">
        <w:rPr>
          <w:lang w:val="en-GB"/>
        </w:rPr>
        <w:t>are</w:t>
      </w:r>
      <w:r w:rsidR="002E0A8E">
        <w:rPr>
          <w:lang w:val="en-GB"/>
        </w:rPr>
        <w:t xml:space="preserve"> whether the </w:t>
      </w:r>
      <w:r w:rsidR="00FF1B94">
        <w:rPr>
          <w:lang w:val="en-GB"/>
        </w:rPr>
        <w:t xml:space="preserve">application should be granted, </w:t>
      </w:r>
      <w:r w:rsidR="00FF1B94">
        <w:rPr>
          <w:lang w:val="en-GB"/>
        </w:rPr>
        <w:lastRenderedPageBreak/>
        <w:t xml:space="preserve">or whether the </w:t>
      </w:r>
      <w:r w:rsidR="002E0A8E">
        <w:rPr>
          <w:lang w:val="en-GB"/>
        </w:rPr>
        <w:t xml:space="preserve">defence of </w:t>
      </w:r>
      <w:r w:rsidR="002E0A8E">
        <w:rPr>
          <w:i/>
          <w:iCs/>
          <w:lang w:val="en-GB"/>
        </w:rPr>
        <w:t>lis alibi pendens</w:t>
      </w:r>
      <w:r w:rsidR="002E0A8E">
        <w:rPr>
          <w:lang w:val="en-GB"/>
        </w:rPr>
        <w:t xml:space="preserve"> operates in a manner that results in the </w:t>
      </w:r>
      <w:r w:rsidR="00050F04">
        <w:rPr>
          <w:lang w:val="en-GB"/>
        </w:rPr>
        <w:t>dismissal or stay of the application</w:t>
      </w:r>
      <w:r w:rsidR="002E0A8E">
        <w:rPr>
          <w:lang w:val="en-GB"/>
        </w:rPr>
        <w:t>.</w:t>
      </w:r>
    </w:p>
    <w:p w14:paraId="689EFA84" w14:textId="77777777" w:rsidR="00696BEE" w:rsidRDefault="00696BEE" w:rsidP="00696BEE">
      <w:pPr>
        <w:pStyle w:val="ListParagraph"/>
        <w:autoSpaceDE w:val="0"/>
        <w:autoSpaceDN w:val="0"/>
        <w:adjustRightInd w:val="0"/>
        <w:ind w:left="142"/>
        <w:jc w:val="both"/>
        <w:rPr>
          <w:lang w:val="en-GB"/>
        </w:rPr>
      </w:pPr>
    </w:p>
    <w:p w14:paraId="14F5D484" w14:textId="18912E5F" w:rsidR="00696BEE" w:rsidRDefault="00DC139C" w:rsidP="00682CE5">
      <w:pPr>
        <w:pStyle w:val="ListParagraph"/>
        <w:numPr>
          <w:ilvl w:val="0"/>
          <w:numId w:val="10"/>
        </w:numPr>
        <w:autoSpaceDE w:val="0"/>
        <w:autoSpaceDN w:val="0"/>
        <w:adjustRightInd w:val="0"/>
        <w:ind w:left="142" w:hanging="142"/>
        <w:jc w:val="both"/>
        <w:rPr>
          <w:lang w:val="en-GB"/>
        </w:rPr>
      </w:pPr>
      <w:r>
        <w:rPr>
          <w:lang w:val="en-GB"/>
        </w:rPr>
        <w:t>The contractual terms in operation are not in dispute. The clause relevant to interest provides that:</w:t>
      </w:r>
    </w:p>
    <w:p w14:paraId="14ACB86C" w14:textId="67BB7BE2" w:rsidR="00DC139C" w:rsidRPr="00DC139C" w:rsidRDefault="00DC139C" w:rsidP="00DC139C">
      <w:pPr>
        <w:autoSpaceDE w:val="0"/>
        <w:autoSpaceDN w:val="0"/>
        <w:adjustRightInd w:val="0"/>
        <w:ind w:left="142"/>
        <w:jc w:val="both"/>
        <w:rPr>
          <w:sz w:val="22"/>
          <w:szCs w:val="22"/>
          <w:lang w:val="en-GB"/>
        </w:rPr>
      </w:pPr>
      <w:r>
        <w:rPr>
          <w:sz w:val="22"/>
          <w:szCs w:val="22"/>
          <w:lang w:val="en-GB"/>
        </w:rPr>
        <w:t>‘In the event of failure by the Employer to make the payment by the due date, he shall pay to the Contractor simple interest, at the prime overdraft rate, as charged by the Contractor’s bank, on all overdue payments from the date on which the same should have been paid to the date when payment is effected, without prejudice to the Contractor’s other rights under this contract or by law.’</w:t>
      </w:r>
    </w:p>
    <w:p w14:paraId="693BE91E" w14:textId="77777777" w:rsidR="00DC139C" w:rsidRPr="00DC139C" w:rsidRDefault="00DC139C" w:rsidP="00DC139C">
      <w:pPr>
        <w:pStyle w:val="ListParagraph"/>
        <w:rPr>
          <w:lang w:val="en-GB"/>
        </w:rPr>
      </w:pPr>
    </w:p>
    <w:p w14:paraId="02D2BA26" w14:textId="75A37533" w:rsidR="00DC139C" w:rsidRPr="00044B50" w:rsidRDefault="0034229C" w:rsidP="00682CE5">
      <w:pPr>
        <w:pStyle w:val="ListParagraph"/>
        <w:numPr>
          <w:ilvl w:val="0"/>
          <w:numId w:val="10"/>
        </w:numPr>
        <w:autoSpaceDE w:val="0"/>
        <w:autoSpaceDN w:val="0"/>
        <w:adjustRightInd w:val="0"/>
        <w:ind w:left="142" w:hanging="142"/>
        <w:jc w:val="both"/>
        <w:rPr>
          <w:lang w:val="en-GB"/>
        </w:rPr>
      </w:pPr>
      <w:r>
        <w:rPr>
          <w:lang w:val="en-GB"/>
        </w:rPr>
        <w:t>The applicant’s calculation of interest on the five payment certificates, amounting to R1 634 715.79, is not in dispute.</w:t>
      </w:r>
      <w:r w:rsidR="00D61084">
        <w:rPr>
          <w:lang w:val="en-GB"/>
        </w:rPr>
        <w:t xml:space="preserve"> </w:t>
      </w:r>
      <w:r w:rsidR="00FC5C82">
        <w:rPr>
          <w:lang w:val="en-GB"/>
        </w:rPr>
        <w:t xml:space="preserve">The respondent, in addition to raising </w:t>
      </w:r>
      <w:r w:rsidR="00FC5C82">
        <w:rPr>
          <w:i/>
          <w:iCs/>
          <w:lang w:val="en-GB"/>
        </w:rPr>
        <w:t>lis pendens</w:t>
      </w:r>
      <w:r w:rsidR="00FC5C82">
        <w:rPr>
          <w:lang w:val="en-GB"/>
        </w:rPr>
        <w:t>, denies that the applicant is entitled to costs.</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1FCF0E2F" w14:textId="28D23845" w:rsidR="00B812C0" w:rsidRPr="00B812C0" w:rsidRDefault="00A96BFC" w:rsidP="00B812C0">
      <w:pPr>
        <w:pStyle w:val="ListParagraph"/>
        <w:numPr>
          <w:ilvl w:val="0"/>
          <w:numId w:val="10"/>
        </w:numPr>
        <w:autoSpaceDE w:val="0"/>
        <w:autoSpaceDN w:val="0"/>
        <w:adjustRightInd w:val="0"/>
        <w:ind w:left="142" w:hanging="142"/>
        <w:jc w:val="both"/>
        <w:rPr>
          <w:lang w:val="en-GB"/>
        </w:rPr>
      </w:pPr>
      <w:r>
        <w:rPr>
          <w:lang w:val="en-GB"/>
        </w:rPr>
        <w:t xml:space="preserve">The principle of finality in litigation demands that legal suits are brought </w:t>
      </w:r>
      <w:r w:rsidR="00283169">
        <w:rPr>
          <w:lang w:val="en-GB"/>
        </w:rPr>
        <w:t xml:space="preserve">only once and litigated </w:t>
      </w:r>
      <w:r>
        <w:rPr>
          <w:lang w:val="en-GB"/>
        </w:rPr>
        <w:t>to conclusion rather than being replicated in fresh proceedings.</w:t>
      </w:r>
      <w:r w:rsidR="00283169">
        <w:rPr>
          <w:rStyle w:val="FootnoteReference"/>
          <w:lang w:val="en-GB"/>
        </w:rPr>
        <w:footnoteReference w:id="1"/>
      </w:r>
      <w:r>
        <w:rPr>
          <w:lang w:val="en-GB"/>
        </w:rPr>
        <w:t xml:space="preserve"> </w:t>
      </w:r>
      <w:r w:rsidR="00B812C0">
        <w:rPr>
          <w:lang w:val="en-GB"/>
        </w:rPr>
        <w:t xml:space="preserve">Four requirements must be met for the </w:t>
      </w:r>
      <w:r w:rsidR="00B812C0">
        <w:rPr>
          <w:i/>
          <w:iCs/>
          <w:lang w:val="en-GB"/>
        </w:rPr>
        <w:t xml:space="preserve">lis </w:t>
      </w:r>
      <w:r w:rsidR="002A5D7E">
        <w:rPr>
          <w:i/>
          <w:iCs/>
          <w:lang w:val="en-GB"/>
        </w:rPr>
        <w:t xml:space="preserve">alibi </w:t>
      </w:r>
      <w:r w:rsidR="00B812C0">
        <w:rPr>
          <w:i/>
          <w:iCs/>
          <w:lang w:val="en-GB"/>
        </w:rPr>
        <w:t>pendens</w:t>
      </w:r>
      <w:r w:rsidR="00B812C0">
        <w:rPr>
          <w:lang w:val="en-GB"/>
        </w:rPr>
        <w:t xml:space="preserve"> defence to be successful. They are that:</w:t>
      </w:r>
      <w:r w:rsidR="00EF6266">
        <w:rPr>
          <w:rStyle w:val="FootnoteReference"/>
          <w:lang w:val="en-GB"/>
        </w:rPr>
        <w:footnoteReference w:id="2"/>
      </w:r>
    </w:p>
    <w:p w14:paraId="6A6AD735" w14:textId="1AFDEF0B" w:rsidR="00B812C0" w:rsidRDefault="00B812C0" w:rsidP="00B812C0">
      <w:pPr>
        <w:pStyle w:val="ListParagraph"/>
        <w:numPr>
          <w:ilvl w:val="1"/>
          <w:numId w:val="10"/>
        </w:numPr>
        <w:autoSpaceDE w:val="0"/>
        <w:autoSpaceDN w:val="0"/>
        <w:adjustRightInd w:val="0"/>
        <w:jc w:val="both"/>
        <w:rPr>
          <w:lang w:val="en-GB"/>
        </w:rPr>
      </w:pPr>
      <w:r>
        <w:rPr>
          <w:lang w:val="en-GB"/>
        </w:rPr>
        <w:t>There is litigation pending</w:t>
      </w:r>
    </w:p>
    <w:p w14:paraId="1AC83730" w14:textId="740FC273" w:rsidR="00B812C0" w:rsidRDefault="00B812C0" w:rsidP="00B812C0">
      <w:pPr>
        <w:pStyle w:val="ListParagraph"/>
        <w:numPr>
          <w:ilvl w:val="1"/>
          <w:numId w:val="10"/>
        </w:numPr>
        <w:autoSpaceDE w:val="0"/>
        <w:autoSpaceDN w:val="0"/>
        <w:adjustRightInd w:val="0"/>
        <w:jc w:val="both"/>
        <w:rPr>
          <w:lang w:val="en-GB"/>
        </w:rPr>
      </w:pPr>
      <w:r>
        <w:rPr>
          <w:lang w:val="en-GB"/>
        </w:rPr>
        <w:t>Between the same parties</w:t>
      </w:r>
    </w:p>
    <w:p w14:paraId="1BA3ABF1" w14:textId="3012B4A8" w:rsidR="00B812C0" w:rsidRDefault="00B812C0" w:rsidP="00B812C0">
      <w:pPr>
        <w:pStyle w:val="ListParagraph"/>
        <w:numPr>
          <w:ilvl w:val="1"/>
          <w:numId w:val="10"/>
        </w:numPr>
        <w:autoSpaceDE w:val="0"/>
        <w:autoSpaceDN w:val="0"/>
        <w:adjustRightInd w:val="0"/>
        <w:jc w:val="both"/>
        <w:rPr>
          <w:lang w:val="en-GB"/>
        </w:rPr>
      </w:pPr>
      <w:r>
        <w:rPr>
          <w:lang w:val="en-GB"/>
        </w:rPr>
        <w:t>Based on the same cause of action and</w:t>
      </w:r>
    </w:p>
    <w:p w14:paraId="58A951D8" w14:textId="634B9AC7" w:rsidR="00B812C0" w:rsidRPr="00044B50" w:rsidRDefault="00B812C0" w:rsidP="00B812C0">
      <w:pPr>
        <w:pStyle w:val="ListParagraph"/>
        <w:numPr>
          <w:ilvl w:val="1"/>
          <w:numId w:val="10"/>
        </w:numPr>
        <w:autoSpaceDE w:val="0"/>
        <w:autoSpaceDN w:val="0"/>
        <w:adjustRightInd w:val="0"/>
        <w:jc w:val="both"/>
        <w:rPr>
          <w:lang w:val="en-GB"/>
        </w:rPr>
      </w:pPr>
      <w:r>
        <w:rPr>
          <w:lang w:val="en-GB"/>
        </w:rPr>
        <w:t>In respect of the same subject-matter.</w:t>
      </w:r>
    </w:p>
    <w:p w14:paraId="4CD9AA23" w14:textId="77777777" w:rsidR="00E57C72" w:rsidRPr="00044B50" w:rsidRDefault="00E57C72" w:rsidP="00682CE5">
      <w:pPr>
        <w:pStyle w:val="ListParagraph"/>
        <w:jc w:val="both"/>
        <w:rPr>
          <w:lang w:val="en-GB"/>
        </w:rPr>
      </w:pPr>
    </w:p>
    <w:p w14:paraId="48EF6EC8" w14:textId="2E98F6D2" w:rsidR="00E57C72" w:rsidRPr="00044B50" w:rsidRDefault="00155694" w:rsidP="00682CE5">
      <w:pPr>
        <w:pStyle w:val="ListParagraph"/>
        <w:numPr>
          <w:ilvl w:val="0"/>
          <w:numId w:val="10"/>
        </w:numPr>
        <w:autoSpaceDE w:val="0"/>
        <w:autoSpaceDN w:val="0"/>
        <w:adjustRightInd w:val="0"/>
        <w:ind w:left="142" w:hanging="142"/>
        <w:jc w:val="both"/>
        <w:rPr>
          <w:lang w:val="en-GB"/>
        </w:rPr>
      </w:pPr>
      <w:r>
        <w:rPr>
          <w:lang w:val="en-GB"/>
        </w:rPr>
        <w:t xml:space="preserve">It may be accepted that the respondent has succeeded in proving each of these requirements. </w:t>
      </w:r>
      <w:r w:rsidR="00181D33">
        <w:rPr>
          <w:lang w:val="en-GB"/>
        </w:rPr>
        <w:t xml:space="preserve">The application </w:t>
      </w:r>
      <w:r w:rsidR="009F43C4">
        <w:rPr>
          <w:lang w:val="en-GB"/>
        </w:rPr>
        <w:t>follows a pending action between the parties based on the same cause of action and in respect of the same subject-matter.</w:t>
      </w:r>
      <w:r w:rsidR="00E94FBC">
        <w:rPr>
          <w:rStyle w:val="FootnoteReference"/>
          <w:lang w:val="en-GB"/>
        </w:rPr>
        <w:footnoteReference w:id="3"/>
      </w:r>
      <w:r w:rsidR="009F43C4">
        <w:rPr>
          <w:lang w:val="en-GB"/>
        </w:rPr>
        <w:t xml:space="preserve"> </w:t>
      </w:r>
      <w:r w:rsidR="00CB06A5">
        <w:rPr>
          <w:lang w:val="en-GB"/>
        </w:rPr>
        <w:t xml:space="preserve">While the </w:t>
      </w:r>
      <w:r w:rsidR="00CB06A5">
        <w:rPr>
          <w:lang w:val="en-GB"/>
        </w:rPr>
        <w:lastRenderedPageBreak/>
        <w:t xml:space="preserve">main </w:t>
      </w:r>
      <w:r w:rsidR="00E848D5">
        <w:rPr>
          <w:lang w:val="en-GB"/>
        </w:rPr>
        <w:t>claims have been paid, the interest and costs claimed in the summons have not been satisfied</w:t>
      </w:r>
      <w:r w:rsidR="00B22044">
        <w:rPr>
          <w:lang w:val="en-GB"/>
        </w:rPr>
        <w:t xml:space="preserve"> and t</w:t>
      </w:r>
      <w:r w:rsidR="009F43C4">
        <w:rPr>
          <w:lang w:val="en-GB"/>
        </w:rPr>
        <w:t>he action has not been withdrawn.</w:t>
      </w:r>
      <w:r w:rsidR="009F43C4">
        <w:rPr>
          <w:rStyle w:val="FootnoteReference"/>
          <w:lang w:val="en-GB"/>
        </w:rPr>
        <w:footnoteReference w:id="4"/>
      </w:r>
      <w:r w:rsidR="009F43C4">
        <w:rPr>
          <w:lang w:val="en-GB"/>
        </w:rPr>
        <w:t xml:space="preserve"> </w:t>
      </w:r>
    </w:p>
    <w:p w14:paraId="3225DD1D" w14:textId="6F3974AE" w:rsidR="008C480D" w:rsidRPr="00D30CEE" w:rsidRDefault="008C480D" w:rsidP="00D30CEE">
      <w:pPr>
        <w:autoSpaceDE w:val="0"/>
        <w:autoSpaceDN w:val="0"/>
        <w:adjustRightInd w:val="0"/>
        <w:jc w:val="both"/>
        <w:rPr>
          <w:lang w:val="en-GB"/>
        </w:rPr>
      </w:pPr>
    </w:p>
    <w:p w14:paraId="38E7DD69" w14:textId="4D794CD9" w:rsidR="008C480D" w:rsidRDefault="00396E61" w:rsidP="00AF6DF0">
      <w:pPr>
        <w:pStyle w:val="ListParagraph"/>
        <w:numPr>
          <w:ilvl w:val="0"/>
          <w:numId w:val="10"/>
        </w:numPr>
        <w:autoSpaceDE w:val="0"/>
        <w:autoSpaceDN w:val="0"/>
        <w:adjustRightInd w:val="0"/>
        <w:ind w:left="142" w:hanging="142"/>
        <w:jc w:val="both"/>
        <w:rPr>
          <w:lang w:val="en-GB"/>
        </w:rPr>
      </w:pPr>
      <w:r>
        <w:rPr>
          <w:lang w:val="en-GB"/>
        </w:rPr>
        <w:t xml:space="preserve">But that is not the end of the matter. </w:t>
      </w:r>
      <w:r w:rsidR="003C3428">
        <w:rPr>
          <w:i/>
          <w:iCs/>
          <w:lang w:val="en-GB"/>
        </w:rPr>
        <w:t>Lis</w:t>
      </w:r>
      <w:r w:rsidR="002A5D7E">
        <w:rPr>
          <w:i/>
          <w:iCs/>
          <w:lang w:val="en-GB"/>
        </w:rPr>
        <w:t xml:space="preserve"> alibi</w:t>
      </w:r>
      <w:r w:rsidR="003C3428">
        <w:rPr>
          <w:i/>
          <w:iCs/>
          <w:lang w:val="en-GB"/>
        </w:rPr>
        <w:t xml:space="preserve"> pendens</w:t>
      </w:r>
      <w:r w:rsidR="003C3428">
        <w:rPr>
          <w:lang w:val="en-GB"/>
        </w:rPr>
        <w:t xml:space="preserve"> does not have the effect of an absolute</w:t>
      </w:r>
      <w:r w:rsidR="001813AA">
        <w:rPr>
          <w:lang w:val="en-GB"/>
        </w:rPr>
        <w:t xml:space="preserve"> bar</w:t>
      </w:r>
      <w:r w:rsidR="003C3428">
        <w:rPr>
          <w:lang w:val="en-GB"/>
        </w:rPr>
        <w:t xml:space="preserve"> to these proceedings.</w:t>
      </w:r>
      <w:r w:rsidR="00866554">
        <w:rPr>
          <w:rStyle w:val="FootnoteReference"/>
          <w:lang w:val="en-GB"/>
        </w:rPr>
        <w:footnoteReference w:id="5"/>
      </w:r>
      <w:r w:rsidR="003C3428">
        <w:rPr>
          <w:lang w:val="en-GB"/>
        </w:rPr>
        <w:t xml:space="preserve"> </w:t>
      </w:r>
      <w:r w:rsidR="002A5D7E">
        <w:rPr>
          <w:lang w:val="en-GB"/>
        </w:rPr>
        <w:t xml:space="preserve">Although presumed </w:t>
      </w:r>
      <w:r w:rsidR="0054062B">
        <w:rPr>
          <w:lang w:val="en-GB"/>
        </w:rPr>
        <w:t>as</w:t>
      </w:r>
      <w:r w:rsidR="002A5D7E">
        <w:rPr>
          <w:lang w:val="en-GB"/>
        </w:rPr>
        <w:t xml:space="preserve"> vexatious, the applicant has the opportunity</w:t>
      </w:r>
      <w:r w:rsidR="00E955D0">
        <w:rPr>
          <w:lang w:val="en-GB"/>
        </w:rPr>
        <w:t>, and bears the burden,</w:t>
      </w:r>
      <w:r w:rsidR="002A5D7E">
        <w:rPr>
          <w:lang w:val="en-GB"/>
        </w:rPr>
        <w:t xml:space="preserve"> of satisfying the court that, despite all the elements of </w:t>
      </w:r>
      <w:r w:rsidR="002A5D7E">
        <w:rPr>
          <w:i/>
          <w:iCs/>
          <w:lang w:val="en-GB"/>
        </w:rPr>
        <w:t>lis alibi pendens</w:t>
      </w:r>
      <w:r w:rsidR="002A5D7E">
        <w:rPr>
          <w:lang w:val="en-GB"/>
        </w:rPr>
        <w:t xml:space="preserve"> being present, a discretion should be exercised</w:t>
      </w:r>
      <w:r w:rsidR="00A353E1">
        <w:rPr>
          <w:lang w:val="en-GB"/>
        </w:rPr>
        <w:t xml:space="preserve"> to proceed with these proceeding</w:t>
      </w:r>
      <w:r w:rsidR="00305920">
        <w:rPr>
          <w:lang w:val="en-GB"/>
        </w:rPr>
        <w:t>s</w:t>
      </w:r>
      <w:r w:rsidR="002A5D7E">
        <w:rPr>
          <w:lang w:val="en-GB"/>
        </w:rPr>
        <w:t>.</w:t>
      </w:r>
      <w:r w:rsidR="00391B49">
        <w:rPr>
          <w:rStyle w:val="FootnoteReference"/>
          <w:lang w:val="en-GB"/>
        </w:rPr>
        <w:footnoteReference w:id="6"/>
      </w:r>
      <w:r w:rsidR="002A5D7E">
        <w:rPr>
          <w:lang w:val="en-GB"/>
        </w:rPr>
        <w:t xml:space="preserve"> That discretion is determined with </w:t>
      </w:r>
      <w:r w:rsidR="00196349">
        <w:rPr>
          <w:lang w:val="en-GB"/>
        </w:rPr>
        <w:t>regard</w:t>
      </w:r>
      <w:r w:rsidR="002A5D7E">
        <w:rPr>
          <w:lang w:val="en-GB"/>
        </w:rPr>
        <w:t xml:space="preserve"> to what is just and equitable, and considering the balance of convenience.</w:t>
      </w:r>
      <w:r w:rsidR="00DF7EB0">
        <w:rPr>
          <w:rStyle w:val="FootnoteReference"/>
          <w:lang w:val="en-GB"/>
        </w:rPr>
        <w:footnoteReference w:id="7"/>
      </w:r>
      <w:r w:rsidR="00C74AAE">
        <w:rPr>
          <w:lang w:val="en-GB"/>
        </w:rPr>
        <w:t xml:space="preserve"> </w:t>
      </w:r>
      <w:r w:rsidR="00C465F8">
        <w:rPr>
          <w:lang w:val="en-GB"/>
        </w:rPr>
        <w:t xml:space="preserve">That determination requires </w:t>
      </w:r>
      <w:r w:rsidR="00CB395E">
        <w:rPr>
          <w:lang w:val="en-GB"/>
        </w:rPr>
        <w:t xml:space="preserve">some </w:t>
      </w:r>
      <w:r w:rsidR="00196349">
        <w:rPr>
          <w:lang w:val="en-GB"/>
        </w:rPr>
        <w:t>reference to the action.</w:t>
      </w:r>
      <w:r w:rsidR="00FB27C2">
        <w:rPr>
          <w:rStyle w:val="FootnoteReference"/>
          <w:lang w:val="en-GB"/>
        </w:rPr>
        <w:footnoteReference w:id="8"/>
      </w:r>
    </w:p>
    <w:p w14:paraId="3894CD68" w14:textId="77777777" w:rsidR="00273619" w:rsidRPr="00273619" w:rsidRDefault="00273619" w:rsidP="00273619">
      <w:pPr>
        <w:pStyle w:val="ListParagraph"/>
        <w:rPr>
          <w:lang w:val="en-GB"/>
        </w:rPr>
      </w:pPr>
    </w:p>
    <w:p w14:paraId="46B8BF6F" w14:textId="5C209AA2" w:rsidR="00273619" w:rsidRDefault="00B60699" w:rsidP="00AF6DF0">
      <w:pPr>
        <w:pStyle w:val="ListParagraph"/>
        <w:numPr>
          <w:ilvl w:val="0"/>
          <w:numId w:val="10"/>
        </w:numPr>
        <w:autoSpaceDE w:val="0"/>
        <w:autoSpaceDN w:val="0"/>
        <w:adjustRightInd w:val="0"/>
        <w:ind w:left="142" w:hanging="142"/>
        <w:jc w:val="both"/>
        <w:rPr>
          <w:lang w:val="en-GB"/>
        </w:rPr>
      </w:pPr>
      <w:r>
        <w:rPr>
          <w:lang w:val="en-GB"/>
        </w:rPr>
        <w:t xml:space="preserve">The principles distilled by Plasket J in </w:t>
      </w:r>
      <w:r>
        <w:rPr>
          <w:i/>
          <w:iCs/>
          <w:lang w:val="en-GB"/>
        </w:rPr>
        <w:t>Keyter</w:t>
      </w:r>
      <w:r>
        <w:rPr>
          <w:lang w:val="en-GB"/>
        </w:rPr>
        <w:t xml:space="preserve"> have been consistently applied by the High Court.</w:t>
      </w:r>
      <w:r w:rsidR="004B116F">
        <w:rPr>
          <w:lang w:val="en-GB"/>
        </w:rPr>
        <w:t xml:space="preserve"> In </w:t>
      </w:r>
      <w:r w:rsidR="004B116F">
        <w:rPr>
          <w:i/>
          <w:iCs/>
          <w:lang w:val="en-GB"/>
        </w:rPr>
        <w:t>Ferreira v Minister of Safety and Security and Another</w:t>
      </w:r>
      <w:r w:rsidR="004B116F">
        <w:rPr>
          <w:lang w:val="en-GB"/>
        </w:rPr>
        <w:t>,</w:t>
      </w:r>
      <w:r w:rsidR="004B116F">
        <w:rPr>
          <w:rStyle w:val="FootnoteReference"/>
          <w:lang w:val="en-GB"/>
        </w:rPr>
        <w:footnoteReference w:id="9"/>
      </w:r>
      <w:r w:rsidR="004B116F">
        <w:rPr>
          <w:lang w:val="en-GB"/>
        </w:rPr>
        <w:t xml:space="preserve"> for example, the point was dismissed because of an absence of prejudice and because the matter had been delayed for too long. Considerations of justice and equity and the balance of convenience favoured the holistic determination of the dispute and no purpose would be served by staying part of the relief when the issues we</w:t>
      </w:r>
      <w:r w:rsidR="008C3AF3">
        <w:rPr>
          <w:lang w:val="en-GB"/>
        </w:rPr>
        <w:t>r</w:t>
      </w:r>
      <w:r w:rsidR="004B116F">
        <w:rPr>
          <w:lang w:val="en-GB"/>
        </w:rPr>
        <w:t>e intertwined.</w:t>
      </w:r>
      <w:r w:rsidR="008C3AF3">
        <w:rPr>
          <w:rStyle w:val="FootnoteReference"/>
          <w:lang w:val="en-GB"/>
        </w:rPr>
        <w:footnoteReference w:id="10"/>
      </w:r>
      <w:r w:rsidR="0046335C">
        <w:rPr>
          <w:lang w:val="en-GB"/>
        </w:rPr>
        <w:t xml:space="preserve"> In </w:t>
      </w:r>
      <w:r w:rsidR="0046335C">
        <w:rPr>
          <w:i/>
          <w:iCs/>
          <w:lang w:val="en-GB"/>
        </w:rPr>
        <w:t>Acacia Leasing (Pty) Ltd v JP Krugerrand Deals CC</w:t>
      </w:r>
      <w:r w:rsidR="0046335C">
        <w:rPr>
          <w:lang w:val="en-GB"/>
        </w:rPr>
        <w:t>,</w:t>
      </w:r>
      <w:r w:rsidR="0046335C">
        <w:rPr>
          <w:rStyle w:val="FootnoteReference"/>
          <w:lang w:val="en-GB"/>
        </w:rPr>
        <w:footnoteReference w:id="11"/>
      </w:r>
      <w:r w:rsidR="0046335C">
        <w:rPr>
          <w:lang w:val="en-GB"/>
        </w:rPr>
        <w:t xml:space="preserve"> Sardiwalla J</w:t>
      </w:r>
      <w:r w:rsidR="00310C65">
        <w:rPr>
          <w:lang w:val="en-GB"/>
        </w:rPr>
        <w:t xml:space="preserve"> placed emphasis on s 34 of the Constitution in determining what was ‘just and equitable’.</w:t>
      </w:r>
      <w:r w:rsidR="00D33E43">
        <w:rPr>
          <w:rStyle w:val="FootnoteReference"/>
          <w:lang w:val="en-GB"/>
        </w:rPr>
        <w:footnoteReference w:id="12"/>
      </w:r>
    </w:p>
    <w:p w14:paraId="53DBB8A0" w14:textId="77777777" w:rsidR="004B116F" w:rsidRPr="004B116F" w:rsidRDefault="004B116F" w:rsidP="004B116F">
      <w:pPr>
        <w:pStyle w:val="ListParagraph"/>
        <w:rPr>
          <w:lang w:val="en-GB"/>
        </w:rPr>
      </w:pPr>
    </w:p>
    <w:p w14:paraId="4676BA73" w14:textId="015B9372" w:rsidR="004B116F" w:rsidRDefault="008A35CE" w:rsidP="00AF6DF0">
      <w:pPr>
        <w:pStyle w:val="ListParagraph"/>
        <w:numPr>
          <w:ilvl w:val="0"/>
          <w:numId w:val="10"/>
        </w:numPr>
        <w:autoSpaceDE w:val="0"/>
        <w:autoSpaceDN w:val="0"/>
        <w:adjustRightInd w:val="0"/>
        <w:ind w:left="142" w:hanging="142"/>
        <w:jc w:val="both"/>
        <w:rPr>
          <w:lang w:val="en-GB"/>
        </w:rPr>
      </w:pPr>
      <w:r>
        <w:rPr>
          <w:lang w:val="en-GB"/>
        </w:rPr>
        <w:t xml:space="preserve">In considering </w:t>
      </w:r>
      <w:r w:rsidR="001D322B">
        <w:rPr>
          <w:lang w:val="en-GB"/>
        </w:rPr>
        <w:t xml:space="preserve">what is just and equitable in this instance, the starting point must be that the main </w:t>
      </w:r>
      <w:r w:rsidR="001D322B">
        <w:rPr>
          <w:i/>
          <w:iCs/>
          <w:lang w:val="en-GB"/>
        </w:rPr>
        <w:t>lis</w:t>
      </w:r>
      <w:r w:rsidR="001D322B">
        <w:rPr>
          <w:lang w:val="en-GB"/>
        </w:rPr>
        <w:t xml:space="preserve"> between the parties has been extinguished and that only the ancillary issues of interest and costs remain. The clause in the contract makes provision for payment of interest and the interest calculation is not in dispute. The respondent’s basis for opposing the payment of costs is unclear</w:t>
      </w:r>
      <w:r w:rsidR="004252CB">
        <w:rPr>
          <w:lang w:val="en-GB"/>
        </w:rPr>
        <w:t xml:space="preserve"> and amounts to a bare denial</w:t>
      </w:r>
      <w:r w:rsidR="001D322B">
        <w:rPr>
          <w:lang w:val="en-GB"/>
        </w:rPr>
        <w:t>.</w:t>
      </w:r>
      <w:r w:rsidR="00E47124">
        <w:rPr>
          <w:lang w:val="en-GB"/>
        </w:rPr>
        <w:t xml:space="preserve"> The main basis advanced for launching the present application is cost-effectiveness</w:t>
      </w:r>
      <w:r w:rsidR="00DF4EFC">
        <w:rPr>
          <w:lang w:val="en-GB"/>
        </w:rPr>
        <w:t xml:space="preserve"> in bringing to finality </w:t>
      </w:r>
      <w:r w:rsidR="00267250">
        <w:rPr>
          <w:lang w:val="en-GB"/>
        </w:rPr>
        <w:t xml:space="preserve">matters </w:t>
      </w:r>
      <w:r w:rsidR="00285BA2">
        <w:rPr>
          <w:lang w:val="en-GB"/>
        </w:rPr>
        <w:t>that were ancillary to the action</w:t>
      </w:r>
      <w:r w:rsidR="00B56C32">
        <w:rPr>
          <w:lang w:val="en-GB"/>
        </w:rPr>
        <w:t>, bearing in mind that the respondent is a state entity utilising public funds</w:t>
      </w:r>
      <w:r w:rsidR="00285BA2">
        <w:rPr>
          <w:lang w:val="en-GB"/>
        </w:rPr>
        <w:t xml:space="preserve">. </w:t>
      </w:r>
      <w:r w:rsidR="00DA0078">
        <w:rPr>
          <w:lang w:val="en-GB"/>
        </w:rPr>
        <w:t xml:space="preserve">On my reading, </w:t>
      </w:r>
      <w:r w:rsidR="00325FDD">
        <w:rPr>
          <w:lang w:val="en-GB"/>
        </w:rPr>
        <w:t xml:space="preserve">it is in the interests of justice to do so in this manner, rather than staying the application so that peripheral matters may be resolved in a pending trial. </w:t>
      </w:r>
      <w:r w:rsidR="00615ED2">
        <w:rPr>
          <w:lang w:val="en-GB"/>
        </w:rPr>
        <w:t>This is particularly because the main issue has effectively already been resolved in favour of the applicant and because no cogent basis has been advanced for the need to determine any disputes about interest or costs through the action.</w:t>
      </w:r>
      <w:r w:rsidR="00A83695">
        <w:rPr>
          <w:lang w:val="en-GB"/>
        </w:rPr>
        <w:t xml:space="preserve"> This approach does not, in my view, limit the constitutional right to access to court</w:t>
      </w:r>
      <w:r w:rsidR="00C95C73">
        <w:rPr>
          <w:lang w:val="en-GB"/>
        </w:rPr>
        <w:t>.</w:t>
      </w:r>
      <w:r w:rsidR="002F5665">
        <w:rPr>
          <w:lang w:val="en-GB"/>
        </w:rPr>
        <w:t xml:space="preserve"> As Plasket J indicated in </w:t>
      </w:r>
      <w:r w:rsidR="002F5665">
        <w:rPr>
          <w:i/>
          <w:iCs/>
          <w:lang w:val="en-GB"/>
        </w:rPr>
        <w:t>Keyter</w:t>
      </w:r>
      <w:r w:rsidR="002F5665">
        <w:rPr>
          <w:lang w:val="en-GB"/>
        </w:rPr>
        <w:t xml:space="preserve">, it </w:t>
      </w:r>
      <w:r w:rsidR="00BB5AC3">
        <w:rPr>
          <w:lang w:val="en-GB"/>
        </w:rPr>
        <w:t>may be added</w:t>
      </w:r>
      <w:r w:rsidR="002F5665">
        <w:rPr>
          <w:lang w:val="en-GB"/>
        </w:rPr>
        <w:t xml:space="preserve"> that this approach finds support in Uniform Rule 34(7) in cases where there has been acceptance of an offer or tender.</w:t>
      </w:r>
      <w:r w:rsidR="00BB5AC3">
        <w:rPr>
          <w:lang w:val="en-GB"/>
        </w:rPr>
        <w:t xml:space="preserve"> </w:t>
      </w:r>
    </w:p>
    <w:p w14:paraId="5F6F49C4" w14:textId="77777777" w:rsidR="00AC5ACC" w:rsidRDefault="00AC5ACC" w:rsidP="00AC5ACC">
      <w:pPr>
        <w:pStyle w:val="ListParagraph"/>
        <w:autoSpaceDE w:val="0"/>
        <w:autoSpaceDN w:val="0"/>
        <w:adjustRightInd w:val="0"/>
        <w:ind w:left="142"/>
        <w:jc w:val="both"/>
        <w:rPr>
          <w:lang w:val="en-GB"/>
        </w:rPr>
      </w:pPr>
    </w:p>
    <w:p w14:paraId="5A25B1C2" w14:textId="585F9697" w:rsidR="00AC5ACC" w:rsidRDefault="00AC5ACC" w:rsidP="00AF6DF0">
      <w:pPr>
        <w:pStyle w:val="ListParagraph"/>
        <w:numPr>
          <w:ilvl w:val="0"/>
          <w:numId w:val="10"/>
        </w:numPr>
        <w:autoSpaceDE w:val="0"/>
        <w:autoSpaceDN w:val="0"/>
        <w:adjustRightInd w:val="0"/>
        <w:ind w:left="142" w:hanging="142"/>
        <w:jc w:val="both"/>
        <w:rPr>
          <w:lang w:val="en-GB"/>
        </w:rPr>
      </w:pPr>
      <w:r>
        <w:rPr>
          <w:lang w:val="en-GB"/>
        </w:rPr>
        <w:t xml:space="preserve">In these circumstances, considerations of justice, equity and the balance of convenience favour the determination of the merits of the application despite the pending action. The </w:t>
      </w:r>
      <w:r>
        <w:rPr>
          <w:i/>
          <w:iCs/>
          <w:lang w:val="en-GB"/>
        </w:rPr>
        <w:t>lis alibi pendens</w:t>
      </w:r>
      <w:r>
        <w:rPr>
          <w:lang w:val="en-GB"/>
        </w:rPr>
        <w:t xml:space="preserve"> defence is therefore unsuccessful.</w:t>
      </w:r>
      <w:r w:rsidR="00B65D07">
        <w:rPr>
          <w:lang w:val="en-GB"/>
        </w:rPr>
        <w:t xml:space="preserve"> That aside, there is no basis on the papers not to award the applicant the relief sought in the application and thereby bring the matter to finality.</w:t>
      </w:r>
    </w:p>
    <w:p w14:paraId="3CCDDBFE" w14:textId="59DCC6AF" w:rsidR="00AC5ACC" w:rsidRDefault="00AC5ACC" w:rsidP="00B65D07">
      <w:pPr>
        <w:rPr>
          <w:lang w:val="en-GB"/>
        </w:rPr>
      </w:pPr>
    </w:p>
    <w:p w14:paraId="05BEFD5F" w14:textId="3769D393" w:rsidR="00B65D07" w:rsidRDefault="00B65D07" w:rsidP="00B65D07">
      <w:pPr>
        <w:rPr>
          <w:b/>
          <w:bCs/>
          <w:lang w:val="en-GB"/>
        </w:rPr>
      </w:pPr>
      <w:r>
        <w:rPr>
          <w:b/>
          <w:bCs/>
          <w:lang w:val="en-GB"/>
        </w:rPr>
        <w:t>Order</w:t>
      </w:r>
    </w:p>
    <w:p w14:paraId="71E676C8" w14:textId="77777777" w:rsidR="0069527C" w:rsidRPr="00B65D07" w:rsidRDefault="0069527C" w:rsidP="00B65D07">
      <w:pPr>
        <w:rPr>
          <w:b/>
          <w:bCs/>
          <w:lang w:val="en-GB"/>
        </w:rPr>
      </w:pPr>
    </w:p>
    <w:p w14:paraId="01267E74" w14:textId="152B6CB2" w:rsidR="00AC5ACC" w:rsidRDefault="00B65D07" w:rsidP="00AF6DF0">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3DF59B17" w14:textId="3167C254" w:rsidR="00B65D07" w:rsidRDefault="00B65D07" w:rsidP="00B65D07">
      <w:pPr>
        <w:pStyle w:val="ListParagraph"/>
        <w:autoSpaceDE w:val="0"/>
        <w:autoSpaceDN w:val="0"/>
        <w:adjustRightInd w:val="0"/>
        <w:ind w:left="142"/>
        <w:jc w:val="both"/>
        <w:rPr>
          <w:lang w:val="en-GB"/>
        </w:rPr>
      </w:pPr>
    </w:p>
    <w:p w14:paraId="7496EB1A" w14:textId="5CC63570" w:rsidR="0069527C" w:rsidRDefault="0069527C" w:rsidP="00B65D07">
      <w:pPr>
        <w:pStyle w:val="ListParagraph"/>
        <w:autoSpaceDE w:val="0"/>
        <w:autoSpaceDN w:val="0"/>
        <w:adjustRightInd w:val="0"/>
        <w:ind w:left="142"/>
        <w:jc w:val="both"/>
        <w:rPr>
          <w:lang w:val="en-GB"/>
        </w:rPr>
      </w:pPr>
    </w:p>
    <w:p w14:paraId="3AFCE03B" w14:textId="12330969" w:rsidR="0069527C" w:rsidRDefault="0069527C" w:rsidP="00B65D07">
      <w:pPr>
        <w:pStyle w:val="ListParagraph"/>
        <w:autoSpaceDE w:val="0"/>
        <w:autoSpaceDN w:val="0"/>
        <w:adjustRightInd w:val="0"/>
        <w:ind w:left="142"/>
        <w:jc w:val="both"/>
        <w:rPr>
          <w:lang w:val="en-GB"/>
        </w:rPr>
      </w:pPr>
    </w:p>
    <w:p w14:paraId="4AFCA9AE" w14:textId="5A065C50" w:rsidR="0069527C" w:rsidRDefault="0069527C" w:rsidP="00B65D07">
      <w:pPr>
        <w:pStyle w:val="ListParagraph"/>
        <w:autoSpaceDE w:val="0"/>
        <w:autoSpaceDN w:val="0"/>
        <w:adjustRightInd w:val="0"/>
        <w:ind w:left="142"/>
        <w:jc w:val="both"/>
        <w:rPr>
          <w:lang w:val="en-GB"/>
        </w:rPr>
      </w:pPr>
    </w:p>
    <w:p w14:paraId="41105CAD" w14:textId="2BC03D1A" w:rsidR="0069527C" w:rsidRDefault="0069527C" w:rsidP="00B65D07">
      <w:pPr>
        <w:pStyle w:val="ListParagraph"/>
        <w:autoSpaceDE w:val="0"/>
        <w:autoSpaceDN w:val="0"/>
        <w:adjustRightInd w:val="0"/>
        <w:ind w:left="142"/>
        <w:jc w:val="both"/>
        <w:rPr>
          <w:lang w:val="en-GB"/>
        </w:rPr>
      </w:pPr>
    </w:p>
    <w:p w14:paraId="08F4E9A3" w14:textId="36B3C7DD" w:rsidR="0069527C" w:rsidRDefault="0069527C" w:rsidP="00B65D07">
      <w:pPr>
        <w:pStyle w:val="ListParagraph"/>
        <w:autoSpaceDE w:val="0"/>
        <w:autoSpaceDN w:val="0"/>
        <w:adjustRightInd w:val="0"/>
        <w:ind w:left="142"/>
        <w:jc w:val="both"/>
        <w:rPr>
          <w:lang w:val="en-GB"/>
        </w:rPr>
      </w:pPr>
    </w:p>
    <w:p w14:paraId="2A074539" w14:textId="77777777" w:rsidR="0069527C" w:rsidRDefault="0069527C" w:rsidP="00B65D07">
      <w:pPr>
        <w:pStyle w:val="ListParagraph"/>
        <w:autoSpaceDE w:val="0"/>
        <w:autoSpaceDN w:val="0"/>
        <w:adjustRightInd w:val="0"/>
        <w:ind w:left="142"/>
        <w:jc w:val="both"/>
        <w:rPr>
          <w:lang w:val="en-GB"/>
        </w:rPr>
      </w:pPr>
    </w:p>
    <w:p w14:paraId="211AF909" w14:textId="77777777" w:rsidR="00AB6E08" w:rsidRDefault="00B65D07" w:rsidP="00AB6E08">
      <w:pPr>
        <w:pStyle w:val="ListParagraph"/>
        <w:numPr>
          <w:ilvl w:val="0"/>
          <w:numId w:val="12"/>
        </w:numPr>
        <w:autoSpaceDE w:val="0"/>
        <w:autoSpaceDN w:val="0"/>
        <w:adjustRightInd w:val="0"/>
        <w:jc w:val="both"/>
        <w:rPr>
          <w:lang w:val="en-GB"/>
        </w:rPr>
      </w:pPr>
      <w:r>
        <w:rPr>
          <w:lang w:val="en-GB"/>
        </w:rPr>
        <w:lastRenderedPageBreak/>
        <w:t>The respondent shall make payment to the applicant in the sum of</w:t>
      </w:r>
      <w:r w:rsidR="00AB6E08">
        <w:rPr>
          <w:lang w:val="en-GB"/>
        </w:rPr>
        <w:t xml:space="preserve"> </w:t>
      </w:r>
    </w:p>
    <w:p w14:paraId="435D7C61" w14:textId="5DE6B4E8" w:rsidR="00B65D07" w:rsidRPr="00AB6E08" w:rsidRDefault="00AB6E08" w:rsidP="00AB6E08">
      <w:pPr>
        <w:pStyle w:val="ListParagraph"/>
        <w:autoSpaceDE w:val="0"/>
        <w:autoSpaceDN w:val="0"/>
        <w:adjustRightInd w:val="0"/>
        <w:ind w:left="1080"/>
        <w:jc w:val="both"/>
        <w:rPr>
          <w:lang w:val="en-GB"/>
        </w:rPr>
      </w:pPr>
      <w:r w:rsidRPr="00AB6E08">
        <w:rPr>
          <w:lang w:val="en-GB"/>
        </w:rPr>
        <w:t>R1</w:t>
      </w:r>
      <w:r>
        <w:rPr>
          <w:lang w:val="en-GB"/>
        </w:rPr>
        <w:t> </w:t>
      </w:r>
      <w:r w:rsidRPr="00AB6E08">
        <w:rPr>
          <w:lang w:val="en-GB"/>
        </w:rPr>
        <w:t>634</w:t>
      </w:r>
      <w:r>
        <w:rPr>
          <w:lang w:val="en-GB"/>
        </w:rPr>
        <w:t> </w:t>
      </w:r>
      <w:r w:rsidRPr="00AB6E08">
        <w:rPr>
          <w:lang w:val="en-GB"/>
        </w:rPr>
        <w:t>715</w:t>
      </w:r>
      <w:r>
        <w:rPr>
          <w:lang w:val="en-GB"/>
        </w:rPr>
        <w:t>.</w:t>
      </w:r>
      <w:r w:rsidRPr="00AB6E08">
        <w:rPr>
          <w:lang w:val="en-GB"/>
        </w:rPr>
        <w:t>79</w:t>
      </w:r>
    </w:p>
    <w:p w14:paraId="65560D0D" w14:textId="2F89258C" w:rsidR="00B65D07" w:rsidRDefault="00B65D07" w:rsidP="00B65D07">
      <w:pPr>
        <w:pStyle w:val="ListParagraph"/>
        <w:numPr>
          <w:ilvl w:val="0"/>
          <w:numId w:val="12"/>
        </w:numPr>
        <w:autoSpaceDE w:val="0"/>
        <w:autoSpaceDN w:val="0"/>
        <w:adjustRightInd w:val="0"/>
        <w:jc w:val="both"/>
        <w:rPr>
          <w:lang w:val="en-GB"/>
        </w:rPr>
      </w:pPr>
      <w:r>
        <w:rPr>
          <w:lang w:val="en-GB"/>
        </w:rPr>
        <w:t>The respondent shall make payment of interest to the applicant on the sum of R1 6</w:t>
      </w:r>
      <w:r w:rsidR="00AB6E08">
        <w:rPr>
          <w:lang w:val="en-GB"/>
        </w:rPr>
        <w:t>34</w:t>
      </w:r>
      <w:r>
        <w:rPr>
          <w:lang w:val="en-GB"/>
        </w:rPr>
        <w:t> </w:t>
      </w:r>
      <w:r w:rsidR="00AB6E08">
        <w:rPr>
          <w:lang w:val="en-GB"/>
        </w:rPr>
        <w:t>715</w:t>
      </w:r>
      <w:r>
        <w:rPr>
          <w:lang w:val="en-GB"/>
        </w:rPr>
        <w:t>.</w:t>
      </w:r>
      <w:r w:rsidR="00AB6E08">
        <w:rPr>
          <w:lang w:val="en-GB"/>
        </w:rPr>
        <w:t>79</w:t>
      </w:r>
      <w:r>
        <w:rPr>
          <w:lang w:val="en-GB"/>
        </w:rPr>
        <w:t>, at the prevailing legal rate of interest, from 14 days of the date of this order until date of final payment.</w:t>
      </w:r>
    </w:p>
    <w:p w14:paraId="3945FAC3" w14:textId="4AC2A8AF" w:rsidR="00B65D07" w:rsidRDefault="00B65D07" w:rsidP="00B65D07">
      <w:pPr>
        <w:pStyle w:val="ListParagraph"/>
        <w:numPr>
          <w:ilvl w:val="0"/>
          <w:numId w:val="12"/>
        </w:numPr>
        <w:autoSpaceDE w:val="0"/>
        <w:autoSpaceDN w:val="0"/>
        <w:adjustRightInd w:val="0"/>
        <w:jc w:val="both"/>
        <w:rPr>
          <w:lang w:val="en-GB"/>
        </w:rPr>
      </w:pPr>
      <w:r>
        <w:rPr>
          <w:lang w:val="en-GB"/>
        </w:rPr>
        <w:t>The respondent shall pay the applicant’s costs of suit of the main action between the parties.</w:t>
      </w:r>
    </w:p>
    <w:p w14:paraId="28CE1472" w14:textId="51C1BE56" w:rsidR="00B65D07" w:rsidRPr="00B65D07" w:rsidRDefault="00B65D07" w:rsidP="00B65D07">
      <w:pPr>
        <w:pStyle w:val="ListParagraph"/>
        <w:numPr>
          <w:ilvl w:val="0"/>
          <w:numId w:val="12"/>
        </w:numPr>
        <w:autoSpaceDE w:val="0"/>
        <w:autoSpaceDN w:val="0"/>
        <w:adjustRightInd w:val="0"/>
        <w:jc w:val="both"/>
        <w:rPr>
          <w:lang w:val="en-GB"/>
        </w:rPr>
      </w:pPr>
      <w:r>
        <w:rPr>
          <w:lang w:val="en-GB"/>
        </w:rPr>
        <w:t>The Respondent shall pay the costs of the application.</w:t>
      </w:r>
    </w:p>
    <w:p w14:paraId="37816AB1" w14:textId="77777777" w:rsidR="00AF6DF0" w:rsidRPr="00044B50" w:rsidRDefault="00AF6DF0" w:rsidP="00AF6DF0">
      <w:pPr>
        <w:pStyle w:val="ListParagraph"/>
        <w:rPr>
          <w:lang w:val="en-GB"/>
        </w:rPr>
      </w:pPr>
    </w:p>
    <w:p w14:paraId="1C5235EA" w14:textId="77777777" w:rsidR="00AF6DF0" w:rsidRPr="008C480D" w:rsidRDefault="00AF6DF0" w:rsidP="008C480D">
      <w:pPr>
        <w:autoSpaceDE w:val="0"/>
        <w:autoSpaceDN w:val="0"/>
        <w:adjustRightInd w:val="0"/>
        <w:jc w:val="both"/>
        <w:rPr>
          <w:lang w:val="en-GB"/>
        </w:rPr>
      </w:pPr>
    </w:p>
    <w:p w14:paraId="3117877B" w14:textId="70F35A89" w:rsidR="003C3BC6" w:rsidRDefault="003C3BC6" w:rsidP="00AF6DF0">
      <w:pPr>
        <w:autoSpaceDE w:val="0"/>
        <w:autoSpaceDN w:val="0"/>
        <w:adjustRightInd w:val="0"/>
        <w:jc w:val="both"/>
        <w:rPr>
          <w:lang w:val="en-GB"/>
        </w:rPr>
      </w:pPr>
    </w:p>
    <w:p w14:paraId="42E535C7" w14:textId="6E4CDE72" w:rsidR="00EB20B5" w:rsidRDefault="00EB20B5" w:rsidP="00AF6DF0">
      <w:pPr>
        <w:autoSpaceDE w:val="0"/>
        <w:autoSpaceDN w:val="0"/>
        <w:adjustRightInd w:val="0"/>
        <w:jc w:val="both"/>
        <w:rPr>
          <w:lang w:val="en-GB"/>
        </w:rPr>
      </w:pPr>
    </w:p>
    <w:p w14:paraId="15FE9C60" w14:textId="77777777" w:rsidR="00EB20B5" w:rsidRPr="00044B50" w:rsidRDefault="00EB20B5"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04EEEF0A" w14:textId="47BBD2B1" w:rsidR="007A7BBE" w:rsidRPr="00A87D38" w:rsidRDefault="007A7BBE" w:rsidP="007A7BBE">
      <w:pPr>
        <w:widowControl w:val="0"/>
        <w:jc w:val="right"/>
        <w:rPr>
          <w:spacing w:val="14"/>
          <w:kern w:val="2"/>
          <w:lang w:val="en-GB"/>
        </w:rPr>
      </w:pPr>
      <w:r w:rsidRPr="00A87D38">
        <w:rPr>
          <w:spacing w:val="14"/>
          <w:kern w:val="2"/>
          <w:lang w:val="en-GB"/>
        </w:rPr>
        <w:t>Heard:</w:t>
      </w:r>
      <w:r w:rsidR="00EC448E">
        <w:rPr>
          <w:spacing w:val="14"/>
          <w:kern w:val="2"/>
          <w:lang w:val="en-GB"/>
        </w:rPr>
        <w:t xml:space="preserve"> 9 June 2022</w:t>
      </w:r>
    </w:p>
    <w:p w14:paraId="5D550954" w14:textId="50C6D6A9" w:rsidR="007A7BBE" w:rsidRPr="00A87D38" w:rsidRDefault="007A7BBE" w:rsidP="007A7BBE">
      <w:pPr>
        <w:widowControl w:val="0"/>
        <w:jc w:val="right"/>
        <w:rPr>
          <w:spacing w:val="14"/>
          <w:kern w:val="2"/>
          <w:lang w:val="en-GB"/>
        </w:rPr>
      </w:pPr>
      <w:r w:rsidRPr="00A87D38">
        <w:rPr>
          <w:spacing w:val="14"/>
          <w:kern w:val="2"/>
          <w:lang w:val="en-GB"/>
        </w:rPr>
        <w:t>Delivered:</w:t>
      </w:r>
      <w:r w:rsidR="00EC448E">
        <w:rPr>
          <w:spacing w:val="14"/>
          <w:kern w:val="2"/>
          <w:lang w:val="en-GB"/>
        </w:rPr>
        <w:t xml:space="preserve"> 10 June 2022</w:t>
      </w:r>
    </w:p>
    <w:p w14:paraId="398380BF" w14:textId="77777777" w:rsidR="007A7BBE" w:rsidRPr="00044B50" w:rsidRDefault="007A7BBE" w:rsidP="004A5151">
      <w:pPr>
        <w:autoSpaceDE w:val="0"/>
        <w:autoSpaceDN w:val="0"/>
        <w:adjustRightInd w:val="0"/>
        <w:jc w:val="both"/>
        <w:rPr>
          <w:lang w:val="en-GB"/>
        </w:rPr>
      </w:pPr>
    </w:p>
    <w:p w14:paraId="412BB833" w14:textId="77777777" w:rsidR="007C247A" w:rsidRPr="00044B50" w:rsidRDefault="007C247A" w:rsidP="00772E4B">
      <w:pPr>
        <w:jc w:val="both"/>
        <w:rPr>
          <w:lang w:val="en-GB"/>
        </w:rPr>
      </w:pPr>
    </w:p>
    <w:p w14:paraId="3760FF01" w14:textId="77777777" w:rsidR="002D22D5" w:rsidRDefault="002D22D5" w:rsidP="00E9568E">
      <w:pPr>
        <w:jc w:val="both"/>
        <w:rPr>
          <w:lang w:val="en-GB"/>
        </w:rPr>
      </w:pPr>
    </w:p>
    <w:p w14:paraId="3469DCE0" w14:textId="77777777" w:rsidR="002D22D5" w:rsidRDefault="002D22D5" w:rsidP="00E9568E">
      <w:pPr>
        <w:jc w:val="both"/>
        <w:rPr>
          <w:lang w:val="en-GB"/>
        </w:rPr>
      </w:pPr>
    </w:p>
    <w:p w14:paraId="4FC57D04" w14:textId="77777777" w:rsidR="002D22D5" w:rsidRDefault="002D22D5" w:rsidP="00E9568E">
      <w:pPr>
        <w:jc w:val="both"/>
        <w:rPr>
          <w:lang w:val="en-GB"/>
        </w:rPr>
      </w:pPr>
    </w:p>
    <w:p w14:paraId="21C96AE2" w14:textId="77777777" w:rsidR="002D22D5" w:rsidRDefault="002D22D5" w:rsidP="00E9568E">
      <w:pPr>
        <w:jc w:val="both"/>
        <w:rPr>
          <w:lang w:val="en-GB"/>
        </w:rPr>
      </w:pPr>
    </w:p>
    <w:p w14:paraId="38D0FA35" w14:textId="77777777" w:rsidR="002D22D5" w:rsidRDefault="002D22D5" w:rsidP="00E9568E">
      <w:pPr>
        <w:jc w:val="both"/>
        <w:rPr>
          <w:lang w:val="en-GB"/>
        </w:rPr>
      </w:pPr>
    </w:p>
    <w:p w14:paraId="73D662D6" w14:textId="77777777" w:rsidR="002D22D5" w:rsidRDefault="002D22D5" w:rsidP="00E9568E">
      <w:pPr>
        <w:jc w:val="both"/>
        <w:rPr>
          <w:lang w:val="en-GB"/>
        </w:rPr>
      </w:pPr>
    </w:p>
    <w:p w14:paraId="7E622718" w14:textId="77777777" w:rsidR="002D22D5" w:rsidRDefault="002D22D5" w:rsidP="00E9568E">
      <w:pPr>
        <w:jc w:val="both"/>
        <w:rPr>
          <w:lang w:val="en-GB"/>
        </w:rPr>
      </w:pPr>
    </w:p>
    <w:p w14:paraId="3201F938" w14:textId="77777777" w:rsidR="002D22D5" w:rsidRDefault="002D22D5" w:rsidP="00E9568E">
      <w:pPr>
        <w:jc w:val="both"/>
        <w:rPr>
          <w:lang w:val="en-GB"/>
        </w:rPr>
      </w:pPr>
    </w:p>
    <w:p w14:paraId="14DD2C3A" w14:textId="77777777" w:rsidR="002D22D5" w:rsidRDefault="002D22D5" w:rsidP="00E9568E">
      <w:pPr>
        <w:jc w:val="both"/>
        <w:rPr>
          <w:lang w:val="en-GB"/>
        </w:rPr>
      </w:pPr>
    </w:p>
    <w:p w14:paraId="2166640E" w14:textId="77777777" w:rsidR="002D22D5" w:rsidRDefault="002D22D5" w:rsidP="00E9568E">
      <w:pPr>
        <w:jc w:val="both"/>
        <w:rPr>
          <w:lang w:val="en-GB"/>
        </w:rPr>
      </w:pPr>
    </w:p>
    <w:p w14:paraId="111C8DCE" w14:textId="77777777" w:rsidR="002D22D5" w:rsidRDefault="002D22D5" w:rsidP="00E9568E">
      <w:pPr>
        <w:jc w:val="both"/>
        <w:rPr>
          <w:lang w:val="en-GB"/>
        </w:rPr>
      </w:pPr>
    </w:p>
    <w:p w14:paraId="6120A134" w14:textId="77777777" w:rsidR="002D22D5" w:rsidRDefault="002D22D5" w:rsidP="00E9568E">
      <w:pPr>
        <w:jc w:val="both"/>
        <w:rPr>
          <w:lang w:val="en-GB"/>
        </w:rPr>
      </w:pPr>
    </w:p>
    <w:p w14:paraId="7CBD9A9C" w14:textId="77777777" w:rsidR="002D22D5" w:rsidRDefault="002D22D5" w:rsidP="00E9568E">
      <w:pPr>
        <w:jc w:val="both"/>
        <w:rPr>
          <w:lang w:val="en-GB"/>
        </w:rPr>
      </w:pPr>
    </w:p>
    <w:p w14:paraId="54BCF19F" w14:textId="3BD530CA" w:rsidR="00E9568E" w:rsidRPr="00044B50" w:rsidRDefault="00E9568E" w:rsidP="00E9568E">
      <w:pPr>
        <w:jc w:val="both"/>
        <w:rPr>
          <w:lang w:val="en-GB"/>
        </w:rPr>
      </w:pPr>
      <w:r w:rsidRPr="00044B50">
        <w:rPr>
          <w:lang w:val="en-GB"/>
        </w:rPr>
        <w:t>Appearances:</w:t>
      </w:r>
    </w:p>
    <w:p w14:paraId="6F8E3727" w14:textId="77777777" w:rsidR="00E9568E" w:rsidRPr="00044B50" w:rsidRDefault="00E9568E" w:rsidP="00E9568E">
      <w:pPr>
        <w:jc w:val="both"/>
        <w:rPr>
          <w:lang w:val="en-GB"/>
        </w:rPr>
      </w:pPr>
    </w:p>
    <w:p w14:paraId="3DE6BD91" w14:textId="097E67DB" w:rsidR="00E9568E" w:rsidRPr="008E7830" w:rsidRDefault="00E9568E" w:rsidP="00E9568E">
      <w:pPr>
        <w:tabs>
          <w:tab w:val="left" w:pos="3261"/>
          <w:tab w:val="center" w:pos="4003"/>
        </w:tabs>
        <w:jc w:val="both"/>
        <w:rPr>
          <w:color w:val="auto"/>
        </w:rPr>
      </w:pPr>
      <w:r>
        <w:rPr>
          <w:color w:val="auto"/>
        </w:rPr>
        <w:t>Applicant’s Counsel</w:t>
      </w:r>
      <w:r w:rsidRPr="008E7830">
        <w:rPr>
          <w:color w:val="auto"/>
        </w:rPr>
        <w:t>:</w:t>
      </w:r>
      <w:r w:rsidRPr="008E7830">
        <w:rPr>
          <w:color w:val="auto"/>
        </w:rPr>
        <w:tab/>
        <w:t xml:space="preserve">Adv </w:t>
      </w:r>
      <w:r>
        <w:rPr>
          <w:color w:val="auto"/>
        </w:rPr>
        <w:t xml:space="preserve">K.L Watt </w:t>
      </w:r>
    </w:p>
    <w:p w14:paraId="58033AD1" w14:textId="3D0ACD5D" w:rsidR="00E9568E" w:rsidRPr="008E7830" w:rsidRDefault="00E9568E" w:rsidP="00E9568E">
      <w:pPr>
        <w:tabs>
          <w:tab w:val="left" w:pos="3261"/>
          <w:tab w:val="center" w:pos="4003"/>
        </w:tabs>
        <w:jc w:val="both"/>
        <w:rPr>
          <w:color w:val="auto"/>
        </w:rPr>
      </w:pPr>
      <w:r w:rsidRPr="008E7830">
        <w:rPr>
          <w:color w:val="auto"/>
        </w:rPr>
        <w:tab/>
      </w:r>
      <w:r>
        <w:rPr>
          <w:color w:val="auto"/>
        </w:rPr>
        <w:t>St George’s Chambers in Makhanda</w:t>
      </w:r>
    </w:p>
    <w:p w14:paraId="0EF44749" w14:textId="77777777" w:rsidR="00E9568E" w:rsidRPr="008E7830" w:rsidRDefault="00E9568E" w:rsidP="00E9568E">
      <w:pPr>
        <w:tabs>
          <w:tab w:val="left" w:pos="3261"/>
          <w:tab w:val="center" w:pos="4003"/>
        </w:tabs>
        <w:jc w:val="both"/>
        <w:rPr>
          <w:color w:val="auto"/>
        </w:rPr>
      </w:pPr>
    </w:p>
    <w:p w14:paraId="4C5F6973" w14:textId="5E8415D8" w:rsidR="00E9568E" w:rsidRDefault="00E9568E" w:rsidP="00E9568E">
      <w:pPr>
        <w:tabs>
          <w:tab w:val="left" w:pos="3261"/>
          <w:tab w:val="center" w:pos="4003"/>
        </w:tabs>
        <w:jc w:val="both"/>
        <w:rPr>
          <w:color w:val="auto"/>
        </w:rPr>
      </w:pPr>
      <w:r w:rsidRPr="008E7830">
        <w:rPr>
          <w:color w:val="auto"/>
        </w:rPr>
        <w:t xml:space="preserve">Instructed by                     :      </w:t>
      </w:r>
      <w:r>
        <w:rPr>
          <w:color w:val="auto"/>
        </w:rPr>
        <w:t>Joubert Galpin Searle</w:t>
      </w:r>
    </w:p>
    <w:p w14:paraId="035D47E2" w14:textId="6794EC9B" w:rsidR="00E9568E" w:rsidRDefault="00E9568E" w:rsidP="00E9568E">
      <w:pPr>
        <w:tabs>
          <w:tab w:val="left" w:pos="3261"/>
          <w:tab w:val="center" w:pos="4003"/>
        </w:tabs>
        <w:jc w:val="both"/>
        <w:rPr>
          <w:color w:val="auto"/>
        </w:rPr>
      </w:pPr>
      <w:r>
        <w:rPr>
          <w:color w:val="auto"/>
        </w:rPr>
        <w:tab/>
        <w:t>Gqeberha</w:t>
      </w:r>
    </w:p>
    <w:p w14:paraId="2C9B5A2E" w14:textId="54D9DCB8" w:rsidR="00E9568E" w:rsidRDefault="00E9568E" w:rsidP="00E9568E">
      <w:pPr>
        <w:tabs>
          <w:tab w:val="left" w:pos="3261"/>
          <w:tab w:val="center" w:pos="4003"/>
        </w:tabs>
        <w:jc w:val="both"/>
        <w:rPr>
          <w:color w:val="auto"/>
        </w:rPr>
      </w:pPr>
      <w:r>
        <w:rPr>
          <w:color w:val="auto"/>
        </w:rPr>
        <w:tab/>
        <w:t>Email:lorenb@jgs.co.za</w:t>
      </w:r>
    </w:p>
    <w:p w14:paraId="5EDF6F93" w14:textId="77777777" w:rsidR="00E9568E" w:rsidRDefault="00E9568E" w:rsidP="00E9568E">
      <w:pPr>
        <w:tabs>
          <w:tab w:val="left" w:pos="3261"/>
          <w:tab w:val="center" w:pos="4003"/>
        </w:tabs>
        <w:jc w:val="both"/>
        <w:rPr>
          <w:color w:val="auto"/>
        </w:rPr>
      </w:pPr>
    </w:p>
    <w:p w14:paraId="3CC84494" w14:textId="77777777" w:rsidR="00E9568E" w:rsidRDefault="00E9568E" w:rsidP="00E9568E">
      <w:pPr>
        <w:tabs>
          <w:tab w:val="left" w:pos="3261"/>
          <w:tab w:val="center" w:pos="4003"/>
        </w:tabs>
        <w:jc w:val="both"/>
        <w:rPr>
          <w:color w:val="auto"/>
        </w:rPr>
      </w:pPr>
      <w:r>
        <w:rPr>
          <w:color w:val="auto"/>
        </w:rPr>
        <w:t>c/o</w:t>
      </w:r>
      <w:r>
        <w:rPr>
          <w:color w:val="auto"/>
        </w:rPr>
        <w:tab/>
        <w:t>Huxtable Attorneys</w:t>
      </w:r>
    </w:p>
    <w:p w14:paraId="69FBA400" w14:textId="77777777" w:rsidR="00E9568E" w:rsidRPr="008E7830" w:rsidRDefault="00E9568E" w:rsidP="00E9568E">
      <w:pPr>
        <w:tabs>
          <w:tab w:val="left" w:pos="3261"/>
          <w:tab w:val="center" w:pos="4003"/>
        </w:tabs>
        <w:jc w:val="both"/>
        <w:rPr>
          <w:color w:val="auto"/>
        </w:rPr>
      </w:pPr>
      <w:r>
        <w:rPr>
          <w:color w:val="auto"/>
        </w:rPr>
        <w:tab/>
        <w:t>26 New Street</w:t>
      </w:r>
    </w:p>
    <w:p w14:paraId="75CF83B7" w14:textId="77777777" w:rsidR="00E9568E" w:rsidRDefault="00E9568E" w:rsidP="00E9568E">
      <w:pPr>
        <w:tabs>
          <w:tab w:val="left" w:pos="3261"/>
          <w:tab w:val="center" w:pos="4003"/>
        </w:tabs>
        <w:jc w:val="both"/>
        <w:rPr>
          <w:color w:val="auto"/>
        </w:rPr>
      </w:pPr>
      <w:r w:rsidRPr="008E7830">
        <w:rPr>
          <w:color w:val="auto"/>
        </w:rPr>
        <w:tab/>
      </w:r>
      <w:r>
        <w:rPr>
          <w:color w:val="auto"/>
        </w:rPr>
        <w:t>Makhanda</w:t>
      </w:r>
    </w:p>
    <w:p w14:paraId="34FCFD04" w14:textId="77777777" w:rsidR="00E9568E" w:rsidRPr="008E7830" w:rsidRDefault="00E9568E" w:rsidP="00E9568E">
      <w:pPr>
        <w:tabs>
          <w:tab w:val="left" w:pos="3261"/>
          <w:tab w:val="center" w:pos="4003"/>
        </w:tabs>
        <w:jc w:val="both"/>
        <w:rPr>
          <w:color w:val="auto"/>
        </w:rPr>
      </w:pPr>
      <w:r>
        <w:rPr>
          <w:color w:val="auto"/>
        </w:rPr>
        <w:tab/>
        <w:t>Email:owen@huxattorneys.co.za</w:t>
      </w:r>
    </w:p>
    <w:p w14:paraId="366AEC55" w14:textId="5241BB80" w:rsidR="007C247A" w:rsidRPr="00044B50" w:rsidRDefault="007C247A" w:rsidP="002D22D5">
      <w:pPr>
        <w:tabs>
          <w:tab w:val="left" w:pos="3402"/>
          <w:tab w:val="center" w:pos="4003"/>
        </w:tabs>
        <w:jc w:val="both"/>
        <w:rPr>
          <w:lang w:val="en-GB"/>
        </w:rPr>
      </w:pP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3D89C00E" w14:textId="0837ED82" w:rsidR="00E9568E" w:rsidRDefault="00E9568E" w:rsidP="00E9568E">
      <w:pPr>
        <w:tabs>
          <w:tab w:val="left" w:pos="3261"/>
          <w:tab w:val="center" w:pos="3989"/>
        </w:tabs>
        <w:rPr>
          <w:color w:val="auto"/>
        </w:rPr>
      </w:pPr>
      <w:r>
        <w:rPr>
          <w:color w:val="auto"/>
        </w:rPr>
        <w:t>Respondent’s Counsel:</w:t>
      </w:r>
      <w:r>
        <w:rPr>
          <w:color w:val="auto"/>
        </w:rPr>
        <w:tab/>
        <w:t>Adv S. Conjwa</w:t>
      </w:r>
    </w:p>
    <w:p w14:paraId="6899A2AA" w14:textId="2772471F" w:rsidR="00E9568E" w:rsidRDefault="00E9568E" w:rsidP="00E9568E">
      <w:pPr>
        <w:tabs>
          <w:tab w:val="left" w:pos="3261"/>
          <w:tab w:val="center" w:pos="3989"/>
        </w:tabs>
        <w:rPr>
          <w:color w:val="auto"/>
        </w:rPr>
      </w:pPr>
      <w:r>
        <w:rPr>
          <w:color w:val="auto"/>
        </w:rPr>
        <w:tab/>
        <w:t>Justitia Chambers in East London</w:t>
      </w:r>
    </w:p>
    <w:p w14:paraId="69023BD5" w14:textId="77777777" w:rsidR="00E9568E" w:rsidRDefault="00E9568E" w:rsidP="00E9568E">
      <w:pPr>
        <w:tabs>
          <w:tab w:val="left" w:pos="3261"/>
          <w:tab w:val="center" w:pos="3989"/>
        </w:tabs>
        <w:rPr>
          <w:color w:val="auto"/>
        </w:rPr>
      </w:pPr>
    </w:p>
    <w:p w14:paraId="15BE3FAF" w14:textId="03E29F60" w:rsidR="00E9568E" w:rsidRDefault="00E9568E" w:rsidP="00E9568E">
      <w:pPr>
        <w:tabs>
          <w:tab w:val="left" w:pos="3261"/>
          <w:tab w:val="center" w:pos="3989"/>
        </w:tabs>
        <w:rPr>
          <w:color w:val="auto"/>
        </w:rPr>
      </w:pPr>
      <w:r>
        <w:rPr>
          <w:color w:val="auto"/>
        </w:rPr>
        <w:t>Instructed by                     :</w:t>
      </w:r>
      <w:r>
        <w:rPr>
          <w:color w:val="auto"/>
        </w:rPr>
        <w:tab/>
        <w:t>Taleni Godi Kupiso</w:t>
      </w:r>
    </w:p>
    <w:p w14:paraId="3E9DE63B" w14:textId="1726695D" w:rsidR="00E9568E" w:rsidRDefault="00E9568E" w:rsidP="00E9568E">
      <w:pPr>
        <w:tabs>
          <w:tab w:val="left" w:pos="3261"/>
          <w:tab w:val="center" w:pos="3989"/>
        </w:tabs>
        <w:rPr>
          <w:color w:val="auto"/>
        </w:rPr>
      </w:pPr>
      <w:r>
        <w:rPr>
          <w:color w:val="auto"/>
        </w:rPr>
        <w:tab/>
        <w:t>Berea, East London</w:t>
      </w:r>
    </w:p>
    <w:p w14:paraId="4A962E1D" w14:textId="23B78C7C" w:rsidR="00E9568E" w:rsidRDefault="00E9568E" w:rsidP="00E9568E">
      <w:pPr>
        <w:tabs>
          <w:tab w:val="left" w:pos="3261"/>
          <w:tab w:val="center" w:pos="3989"/>
        </w:tabs>
        <w:rPr>
          <w:color w:val="auto"/>
        </w:rPr>
      </w:pPr>
      <w:r>
        <w:rPr>
          <w:color w:val="auto"/>
        </w:rPr>
        <w:tab/>
        <w:t>Email:xolelwap@tgiattorneys.co.za</w:t>
      </w:r>
    </w:p>
    <w:p w14:paraId="7E73EFB7" w14:textId="77777777" w:rsidR="00E9568E" w:rsidRDefault="00E9568E" w:rsidP="00E9568E">
      <w:pPr>
        <w:tabs>
          <w:tab w:val="left" w:pos="3261"/>
          <w:tab w:val="center" w:pos="3989"/>
        </w:tabs>
        <w:rPr>
          <w:color w:val="auto"/>
        </w:rPr>
      </w:pPr>
    </w:p>
    <w:p w14:paraId="40C02FE0" w14:textId="23ADB054" w:rsidR="00E9568E" w:rsidRDefault="00E9568E" w:rsidP="00E9568E">
      <w:pPr>
        <w:tabs>
          <w:tab w:val="left" w:pos="3261"/>
          <w:tab w:val="center" w:pos="3989"/>
        </w:tabs>
        <w:rPr>
          <w:color w:val="auto"/>
        </w:rPr>
      </w:pPr>
      <w:r>
        <w:rPr>
          <w:color w:val="auto"/>
        </w:rPr>
        <w:t>c/o</w:t>
      </w:r>
      <w:r>
        <w:rPr>
          <w:color w:val="auto"/>
        </w:rPr>
        <w:tab/>
        <w:t>B.A Williams Attorneys</w:t>
      </w:r>
    </w:p>
    <w:p w14:paraId="27F96989" w14:textId="166B6B59" w:rsidR="00E9568E" w:rsidRDefault="00E9568E" w:rsidP="00E9568E">
      <w:pPr>
        <w:tabs>
          <w:tab w:val="left" w:pos="3261"/>
          <w:tab w:val="center" w:pos="3989"/>
        </w:tabs>
        <w:rPr>
          <w:color w:val="auto"/>
        </w:rPr>
      </w:pPr>
      <w:r>
        <w:rPr>
          <w:color w:val="auto"/>
        </w:rPr>
        <w:tab/>
        <w:t>118 High Street</w:t>
      </w:r>
    </w:p>
    <w:p w14:paraId="26527959" w14:textId="77777777" w:rsidR="00E9568E" w:rsidRDefault="00E9568E" w:rsidP="00E9568E">
      <w:pPr>
        <w:tabs>
          <w:tab w:val="left" w:pos="3261"/>
          <w:tab w:val="center" w:pos="3989"/>
        </w:tabs>
        <w:rPr>
          <w:color w:val="auto"/>
        </w:rPr>
      </w:pPr>
      <w:r>
        <w:rPr>
          <w:color w:val="auto"/>
        </w:rPr>
        <w:tab/>
        <w:t>Makhanda</w:t>
      </w:r>
    </w:p>
    <w:p w14:paraId="4506173C" w14:textId="3DD2C427" w:rsidR="00E9568E" w:rsidRPr="00044B50" w:rsidRDefault="00E9568E" w:rsidP="00E9568E">
      <w:pPr>
        <w:tabs>
          <w:tab w:val="left" w:pos="3402"/>
          <w:tab w:val="center" w:pos="3989"/>
        </w:tabs>
        <w:ind w:hanging="142"/>
        <w:jc w:val="both"/>
        <w:rPr>
          <w:lang w:val="en-GB"/>
        </w:rPr>
      </w:pPr>
      <w:r>
        <w:rPr>
          <w:color w:val="auto"/>
        </w:rPr>
        <w:tab/>
        <w:t xml:space="preserve">                                                 084</w:t>
      </w:r>
      <w:r w:rsidR="006041F0">
        <w:rPr>
          <w:color w:val="auto"/>
        </w:rPr>
        <w:t>7632277</w:t>
      </w:r>
      <w:r>
        <w:rPr>
          <w:color w:val="auto"/>
        </w:rPr>
        <w:t xml:space="preserve">      </w:t>
      </w: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4526" w14:textId="77777777" w:rsidR="00DE4C7F" w:rsidRDefault="00DE4C7F" w:rsidP="00005691">
      <w:r>
        <w:separator/>
      </w:r>
    </w:p>
  </w:endnote>
  <w:endnote w:type="continuationSeparator" w:id="0">
    <w:p w14:paraId="1AA1CAF2" w14:textId="77777777" w:rsidR="00DE4C7F" w:rsidRDefault="00DE4C7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FE0E" w14:textId="77777777" w:rsidR="00DE4C7F" w:rsidRDefault="00DE4C7F" w:rsidP="00005691">
      <w:r>
        <w:separator/>
      </w:r>
    </w:p>
  </w:footnote>
  <w:footnote w:type="continuationSeparator" w:id="0">
    <w:p w14:paraId="5EEAEC04" w14:textId="77777777" w:rsidR="00DE4C7F" w:rsidRDefault="00DE4C7F" w:rsidP="00005691">
      <w:r>
        <w:continuationSeparator/>
      </w:r>
    </w:p>
  </w:footnote>
  <w:footnote w:id="1">
    <w:p w14:paraId="4170B420" w14:textId="12066287" w:rsidR="00283169" w:rsidRPr="00A77C5F" w:rsidRDefault="00283169" w:rsidP="002955D0">
      <w:pPr>
        <w:pStyle w:val="FootnoteText"/>
        <w:spacing w:line="240" w:lineRule="auto"/>
        <w:jc w:val="both"/>
        <w:rPr>
          <w:lang w:val="en-US"/>
        </w:rPr>
      </w:pPr>
      <w:r>
        <w:rPr>
          <w:rStyle w:val="FootnoteReference"/>
        </w:rPr>
        <w:footnoteRef/>
      </w:r>
      <w:r>
        <w:t xml:space="preserve"> </w:t>
      </w:r>
      <w:r>
        <w:rPr>
          <w:i/>
          <w:iCs/>
          <w:lang w:val="en-US"/>
        </w:rPr>
        <w:t xml:space="preserve">Nestlé (South Africa) (Pty) Ltd v Mars Inc </w:t>
      </w:r>
      <w:r>
        <w:rPr>
          <w:lang w:val="en-US"/>
        </w:rPr>
        <w:t>2001 (4) SA 542 (SCA) para 16.</w:t>
      </w:r>
      <w:r w:rsidR="00A77C5F">
        <w:rPr>
          <w:lang w:val="en-US"/>
        </w:rPr>
        <w:t xml:space="preserve"> Similarly, the defence </w:t>
      </w:r>
      <w:r w:rsidR="00A77C5F">
        <w:rPr>
          <w:i/>
          <w:iCs/>
          <w:lang w:val="en-US"/>
        </w:rPr>
        <w:t>res judicata</w:t>
      </w:r>
      <w:r w:rsidR="00A77C5F">
        <w:rPr>
          <w:lang w:val="en-US"/>
        </w:rPr>
        <w:t xml:space="preserve"> is based on the non-revival of a suit brought to its proper conclusion.</w:t>
      </w:r>
    </w:p>
  </w:footnote>
  <w:footnote w:id="2">
    <w:p w14:paraId="5D2FB0A3" w14:textId="519A7AA3" w:rsidR="00EF6266" w:rsidRPr="00EF6266" w:rsidRDefault="00EF6266" w:rsidP="002955D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Keyter NO v Van der Meulen and Another</w:t>
      </w:r>
      <w:r>
        <w:rPr>
          <w:lang w:val="en-US"/>
        </w:rPr>
        <w:t xml:space="preserve"> 2014 (5) SA 215 (ECG) (</w:t>
      </w:r>
      <w:r>
        <w:rPr>
          <w:i/>
          <w:iCs/>
          <w:lang w:val="en-US"/>
        </w:rPr>
        <w:t>‘Keyter</w:t>
      </w:r>
      <w:r>
        <w:rPr>
          <w:lang w:val="en-US"/>
        </w:rPr>
        <w:t>’) para 10.</w:t>
      </w:r>
    </w:p>
  </w:footnote>
  <w:footnote w:id="3">
    <w:p w14:paraId="3D41A2F1" w14:textId="4409DFF3" w:rsidR="00E94FBC" w:rsidRPr="00126288" w:rsidRDefault="00E94FBC" w:rsidP="002955D0">
      <w:pPr>
        <w:pStyle w:val="FootnoteText"/>
        <w:spacing w:line="240" w:lineRule="auto"/>
        <w:jc w:val="both"/>
        <w:rPr>
          <w:lang w:val="en-US"/>
        </w:rPr>
      </w:pPr>
      <w:r>
        <w:rPr>
          <w:rStyle w:val="FootnoteReference"/>
        </w:rPr>
        <w:footnoteRef/>
      </w:r>
      <w:r>
        <w:t xml:space="preserve"> </w:t>
      </w:r>
      <w:r w:rsidR="00126288">
        <w:rPr>
          <w:lang w:val="en-US"/>
        </w:rPr>
        <w:t>It is not necessary for the action and application to be identical in form</w:t>
      </w:r>
      <w:r w:rsidR="00CA3C10">
        <w:rPr>
          <w:lang w:val="en-US"/>
        </w:rPr>
        <w:t>, and</w:t>
      </w:r>
      <w:r w:rsidR="005068A8">
        <w:rPr>
          <w:lang w:val="en-US"/>
        </w:rPr>
        <w:t>, in any event,</w:t>
      </w:r>
      <w:r w:rsidR="00CA3C10">
        <w:rPr>
          <w:lang w:val="en-US"/>
        </w:rPr>
        <w:t xml:space="preserve"> this requirement may be relaxed if the circumstances support this</w:t>
      </w:r>
      <w:r w:rsidR="00126288">
        <w:rPr>
          <w:lang w:val="en-US"/>
        </w:rPr>
        <w:t xml:space="preserve">: DE van Loggerenberg </w:t>
      </w:r>
      <w:r w:rsidR="00126288">
        <w:rPr>
          <w:i/>
          <w:iCs/>
          <w:lang w:val="en-US"/>
        </w:rPr>
        <w:t>Erasmus: Superior Court Practice</w:t>
      </w:r>
      <w:r w:rsidR="00126288">
        <w:rPr>
          <w:lang w:val="en-US"/>
        </w:rPr>
        <w:t xml:space="preserve"> RS 17 (2021) D1-280A.</w:t>
      </w:r>
    </w:p>
  </w:footnote>
  <w:footnote w:id="4">
    <w:p w14:paraId="1584A0B7" w14:textId="29FF3C5D" w:rsidR="009F43C4" w:rsidRPr="00994FE8" w:rsidRDefault="009F43C4" w:rsidP="009854C1">
      <w:pPr>
        <w:pStyle w:val="FootnoteText"/>
        <w:spacing w:line="240" w:lineRule="auto"/>
        <w:jc w:val="both"/>
        <w:rPr>
          <w:lang w:val="en-US"/>
        </w:rPr>
      </w:pPr>
      <w:r>
        <w:rPr>
          <w:rStyle w:val="FootnoteReference"/>
        </w:rPr>
        <w:footnoteRef/>
      </w:r>
      <w:r>
        <w:t xml:space="preserve"> </w:t>
      </w:r>
      <w:r>
        <w:rPr>
          <w:lang w:val="en-US"/>
        </w:rPr>
        <w:t xml:space="preserve">See AC Cilliers and </w:t>
      </w:r>
      <w:r w:rsidR="005C3AF7">
        <w:rPr>
          <w:lang w:val="en-US"/>
        </w:rPr>
        <w:t xml:space="preserve">C Loots </w:t>
      </w:r>
      <w:r w:rsidR="005C3AF7">
        <w:rPr>
          <w:i/>
          <w:iCs/>
          <w:lang w:val="en-US"/>
        </w:rPr>
        <w:t>Herbstein and Van Winsen: Civil Practice of the High Courts and the Supreme Court of South Africa</w:t>
      </w:r>
      <w:r w:rsidR="005C3AF7">
        <w:rPr>
          <w:lang w:val="en-US"/>
        </w:rPr>
        <w:t xml:space="preserve"> (5</w:t>
      </w:r>
      <w:r w:rsidR="005C3AF7" w:rsidRPr="005C3AF7">
        <w:rPr>
          <w:vertAlign w:val="superscript"/>
          <w:lang w:val="en-US"/>
        </w:rPr>
        <w:t>th</w:t>
      </w:r>
      <w:r w:rsidR="005C3AF7">
        <w:rPr>
          <w:lang w:val="en-US"/>
        </w:rPr>
        <w:t xml:space="preserve"> Ed) (2009) </w:t>
      </w:r>
      <w:r w:rsidR="00CB0EC0">
        <w:rPr>
          <w:lang w:val="en-US"/>
        </w:rPr>
        <w:t>ch 20</w:t>
      </w:r>
      <w:r w:rsidR="00B07D7D">
        <w:rPr>
          <w:lang w:val="en-US"/>
        </w:rPr>
        <w:t>-p</w:t>
      </w:r>
      <w:r w:rsidR="00CB0EC0">
        <w:rPr>
          <w:lang w:val="en-US"/>
        </w:rPr>
        <w:t>606.</w:t>
      </w:r>
      <w:r w:rsidR="00994FE8">
        <w:rPr>
          <w:lang w:val="en-US"/>
        </w:rPr>
        <w:t xml:space="preserve"> The successful invocation of </w:t>
      </w:r>
      <w:r w:rsidR="00994FE8">
        <w:rPr>
          <w:i/>
          <w:iCs/>
          <w:lang w:val="en-US"/>
        </w:rPr>
        <w:t>lis alibi pendens</w:t>
      </w:r>
      <w:r w:rsidR="00994FE8">
        <w:rPr>
          <w:lang w:val="en-US"/>
        </w:rPr>
        <w:t xml:space="preserve"> does not put an end to an applicant’s case. It allows for the staying of the latter matter pending the final determination of the earlier matter. Once the earlier proceedings are finalised, however, the later proceedings are terminated by the defence of res judicata: </w:t>
      </w:r>
      <w:r w:rsidR="00994FE8">
        <w:rPr>
          <w:i/>
          <w:iCs/>
          <w:lang w:val="en-US"/>
        </w:rPr>
        <w:t xml:space="preserve">Keyter </w:t>
      </w:r>
      <w:r w:rsidR="00994FE8">
        <w:rPr>
          <w:lang w:val="en-US"/>
        </w:rPr>
        <w:t xml:space="preserve">supra </w:t>
      </w:r>
      <w:r w:rsidR="009854C1">
        <w:rPr>
          <w:lang w:val="en-US"/>
        </w:rPr>
        <w:t xml:space="preserve">fn 2 </w:t>
      </w:r>
      <w:r w:rsidR="00994FE8">
        <w:rPr>
          <w:lang w:val="en-US"/>
        </w:rPr>
        <w:t>para 10.</w:t>
      </w:r>
    </w:p>
  </w:footnote>
  <w:footnote w:id="5">
    <w:p w14:paraId="3E2C01F8" w14:textId="386CB756" w:rsidR="00866554" w:rsidRPr="00866554" w:rsidRDefault="00866554" w:rsidP="009854C1">
      <w:pPr>
        <w:pStyle w:val="FootnoteText"/>
        <w:spacing w:line="240" w:lineRule="auto"/>
        <w:jc w:val="both"/>
        <w:rPr>
          <w:lang w:val="en-US"/>
        </w:rPr>
      </w:pPr>
      <w:r>
        <w:rPr>
          <w:rStyle w:val="FootnoteReference"/>
        </w:rPr>
        <w:footnoteRef/>
      </w:r>
      <w:r>
        <w:t xml:space="preserve"> </w:t>
      </w:r>
      <w:r>
        <w:rPr>
          <w:i/>
          <w:iCs/>
          <w:lang w:val="en-US"/>
        </w:rPr>
        <w:t xml:space="preserve">Loader v Dursot Bros (Pty) Ltd </w:t>
      </w:r>
      <w:r>
        <w:rPr>
          <w:lang w:val="en-US"/>
        </w:rPr>
        <w:t xml:space="preserve">1948 (3) SA 136 (T) </w:t>
      </w:r>
      <w:r w:rsidR="00DF7EB0">
        <w:rPr>
          <w:lang w:val="en-US"/>
        </w:rPr>
        <w:t>(‘</w:t>
      </w:r>
      <w:r w:rsidR="00DF7EB0">
        <w:rPr>
          <w:i/>
          <w:iCs/>
          <w:lang w:val="en-US"/>
        </w:rPr>
        <w:t>Loader</w:t>
      </w:r>
      <w:r w:rsidR="00DF7EB0">
        <w:rPr>
          <w:lang w:val="en-US"/>
        </w:rPr>
        <w:t>’)</w:t>
      </w:r>
      <w:r w:rsidR="00DF7EB0">
        <w:rPr>
          <w:i/>
          <w:iCs/>
          <w:lang w:val="en-US"/>
        </w:rPr>
        <w:t xml:space="preserve"> </w:t>
      </w:r>
      <w:r>
        <w:rPr>
          <w:lang w:val="en-US"/>
        </w:rPr>
        <w:t>at 138.</w:t>
      </w:r>
    </w:p>
  </w:footnote>
  <w:footnote w:id="6">
    <w:p w14:paraId="180EDA4D" w14:textId="4DF34123" w:rsidR="00391B49" w:rsidRPr="00391B49" w:rsidRDefault="00391B49" w:rsidP="009854C1">
      <w:pPr>
        <w:pStyle w:val="FootnoteText"/>
        <w:spacing w:line="240" w:lineRule="auto"/>
        <w:jc w:val="both"/>
        <w:rPr>
          <w:lang w:val="en-US"/>
        </w:rPr>
      </w:pPr>
      <w:r>
        <w:rPr>
          <w:rStyle w:val="FootnoteReference"/>
        </w:rPr>
        <w:footnoteRef/>
      </w:r>
      <w:r>
        <w:t xml:space="preserve"> </w:t>
      </w:r>
      <w:r>
        <w:rPr>
          <w:i/>
          <w:iCs/>
          <w:lang w:val="en-US"/>
        </w:rPr>
        <w:t xml:space="preserve">Keyter </w:t>
      </w:r>
      <w:r>
        <w:rPr>
          <w:lang w:val="en-US"/>
        </w:rPr>
        <w:t xml:space="preserve">supra </w:t>
      </w:r>
      <w:r w:rsidR="00AC1CA0">
        <w:rPr>
          <w:lang w:val="en-US"/>
        </w:rPr>
        <w:t xml:space="preserve">fn 2 </w:t>
      </w:r>
      <w:r>
        <w:rPr>
          <w:lang w:val="en-US"/>
        </w:rPr>
        <w:t>para 12.</w:t>
      </w:r>
    </w:p>
  </w:footnote>
  <w:footnote w:id="7">
    <w:p w14:paraId="5E7B5479" w14:textId="7424BE10" w:rsidR="00DF7EB0" w:rsidRPr="00DF7EB0" w:rsidRDefault="00DF7EB0" w:rsidP="009854C1">
      <w:pPr>
        <w:pStyle w:val="FootnoteText"/>
        <w:spacing w:line="240" w:lineRule="auto"/>
        <w:jc w:val="both"/>
        <w:rPr>
          <w:lang w:val="en-US"/>
        </w:rPr>
      </w:pPr>
      <w:r>
        <w:rPr>
          <w:rStyle w:val="FootnoteReference"/>
        </w:rPr>
        <w:footnoteRef/>
      </w:r>
      <w:r>
        <w:t xml:space="preserve"> </w:t>
      </w:r>
      <w:r>
        <w:rPr>
          <w:i/>
          <w:iCs/>
          <w:lang w:val="en-US"/>
        </w:rPr>
        <w:t xml:space="preserve">Loader </w:t>
      </w:r>
      <w:r>
        <w:rPr>
          <w:lang w:val="en-US"/>
        </w:rPr>
        <w:t xml:space="preserve">supra </w:t>
      </w:r>
      <w:r w:rsidR="00AC1CA0">
        <w:rPr>
          <w:lang w:val="en-US"/>
        </w:rPr>
        <w:t xml:space="preserve">fn 5 </w:t>
      </w:r>
      <w:r w:rsidR="00920D37">
        <w:rPr>
          <w:lang w:val="en-US"/>
        </w:rPr>
        <w:t>at 139.</w:t>
      </w:r>
    </w:p>
  </w:footnote>
  <w:footnote w:id="8">
    <w:p w14:paraId="656154E6" w14:textId="1AC70CC5" w:rsidR="00FB27C2" w:rsidRPr="00FB27C2" w:rsidRDefault="00FB27C2" w:rsidP="009854C1">
      <w:pPr>
        <w:pStyle w:val="FootnoteText"/>
        <w:spacing w:line="240" w:lineRule="auto"/>
        <w:jc w:val="both"/>
        <w:rPr>
          <w:lang w:val="en-US"/>
        </w:rPr>
      </w:pPr>
      <w:r>
        <w:rPr>
          <w:rStyle w:val="FootnoteReference"/>
        </w:rPr>
        <w:footnoteRef/>
      </w:r>
      <w:r>
        <w:t xml:space="preserve"> </w:t>
      </w:r>
      <w:r>
        <w:rPr>
          <w:i/>
          <w:iCs/>
          <w:lang w:val="en-US"/>
        </w:rPr>
        <w:t xml:space="preserve">Keyter </w:t>
      </w:r>
      <w:r>
        <w:rPr>
          <w:lang w:val="en-US"/>
        </w:rPr>
        <w:t xml:space="preserve">supra </w:t>
      </w:r>
      <w:r w:rsidR="00AC1CA0">
        <w:rPr>
          <w:lang w:val="en-US"/>
        </w:rPr>
        <w:t xml:space="preserve">fn 2 </w:t>
      </w:r>
      <w:r>
        <w:rPr>
          <w:lang w:val="en-US"/>
        </w:rPr>
        <w:t>para 15.</w:t>
      </w:r>
    </w:p>
  </w:footnote>
  <w:footnote w:id="9">
    <w:p w14:paraId="1EE5D14D" w14:textId="12E3ACA3" w:rsidR="004B116F" w:rsidRPr="004B116F" w:rsidRDefault="004B116F" w:rsidP="009854C1">
      <w:pPr>
        <w:pStyle w:val="FootnoteText"/>
        <w:spacing w:line="240" w:lineRule="auto"/>
        <w:jc w:val="both"/>
        <w:rPr>
          <w:lang w:val="en-US"/>
        </w:rPr>
      </w:pPr>
      <w:r>
        <w:rPr>
          <w:rStyle w:val="FootnoteReference"/>
        </w:rPr>
        <w:footnoteRef/>
      </w:r>
      <w:r>
        <w:t xml:space="preserve"> </w:t>
      </w:r>
      <w:r w:rsidR="00B06292">
        <w:rPr>
          <w:i/>
          <w:iCs/>
        </w:rPr>
        <w:t xml:space="preserve">Ferreira v Minister of Safety and Security and Another </w:t>
      </w:r>
      <w:r>
        <w:rPr>
          <w:lang w:val="en-US"/>
        </w:rPr>
        <w:t>[2015] ZANCHC 14 para 10.</w:t>
      </w:r>
    </w:p>
  </w:footnote>
  <w:footnote w:id="10">
    <w:p w14:paraId="671B97A5" w14:textId="5EB86D0A" w:rsidR="008C3AF3" w:rsidRPr="00FD1AD8" w:rsidRDefault="008C3AF3" w:rsidP="009854C1">
      <w:pPr>
        <w:pStyle w:val="FootnoteText"/>
        <w:spacing w:line="240" w:lineRule="auto"/>
        <w:jc w:val="both"/>
        <w:rPr>
          <w:lang w:val="en-US"/>
        </w:rPr>
      </w:pPr>
      <w:r>
        <w:rPr>
          <w:rStyle w:val="FootnoteReference"/>
        </w:rPr>
        <w:footnoteRef/>
      </w:r>
      <w:r>
        <w:t xml:space="preserve"> </w:t>
      </w:r>
      <w:r>
        <w:rPr>
          <w:lang w:val="en-US"/>
        </w:rPr>
        <w:t xml:space="preserve">Also see </w:t>
      </w:r>
      <w:r>
        <w:rPr>
          <w:i/>
          <w:iCs/>
          <w:lang w:val="en-US"/>
        </w:rPr>
        <w:t>Dintsi and Another v Van Breda and Another</w:t>
      </w:r>
      <w:r>
        <w:rPr>
          <w:lang w:val="en-US"/>
        </w:rPr>
        <w:t xml:space="preserve"> [2019] ZALCC 29 para</w:t>
      </w:r>
      <w:r w:rsidR="00866209">
        <w:rPr>
          <w:lang w:val="en-US"/>
        </w:rPr>
        <w:t>s</w:t>
      </w:r>
      <w:r>
        <w:rPr>
          <w:lang w:val="en-US"/>
        </w:rPr>
        <w:t xml:space="preserve"> 10.</w:t>
      </w:r>
      <w:r w:rsidR="00475949">
        <w:rPr>
          <w:lang w:val="en-US"/>
        </w:rPr>
        <w:t>3-10.5</w:t>
      </w:r>
      <w:r w:rsidR="00FD1AD8">
        <w:rPr>
          <w:lang w:val="en-US"/>
        </w:rPr>
        <w:t xml:space="preserve"> and </w:t>
      </w:r>
      <w:r w:rsidR="00FD1AD8">
        <w:rPr>
          <w:i/>
          <w:iCs/>
          <w:lang w:val="en-US"/>
        </w:rPr>
        <w:t>Land and Agricultural Development Bank of South Africa v Engelbrecht NO and Another</w:t>
      </w:r>
      <w:r w:rsidR="00FD1AD8">
        <w:rPr>
          <w:lang w:val="en-US"/>
        </w:rPr>
        <w:t xml:space="preserve"> [2020] ZALMPPHC 43 paras 17-20.</w:t>
      </w:r>
    </w:p>
  </w:footnote>
  <w:footnote w:id="11">
    <w:p w14:paraId="5AAECF22" w14:textId="3B9ACBB1" w:rsidR="0046335C" w:rsidRPr="0046335C" w:rsidRDefault="0046335C" w:rsidP="009854C1">
      <w:pPr>
        <w:pStyle w:val="FootnoteText"/>
        <w:spacing w:line="240" w:lineRule="auto"/>
        <w:jc w:val="both"/>
        <w:rPr>
          <w:lang w:val="en-US"/>
        </w:rPr>
      </w:pPr>
      <w:r>
        <w:rPr>
          <w:rStyle w:val="FootnoteReference"/>
        </w:rPr>
        <w:footnoteRef/>
      </w:r>
      <w:r>
        <w:t xml:space="preserve"> </w:t>
      </w:r>
      <w:r>
        <w:rPr>
          <w:i/>
          <w:iCs/>
        </w:rPr>
        <w:t>Acacia Leasing</w:t>
      </w:r>
      <w:r>
        <w:t xml:space="preserve"> (</w:t>
      </w:r>
      <w:r>
        <w:rPr>
          <w:i/>
          <w:iCs/>
        </w:rPr>
        <w:t xml:space="preserve">Pty) Ltd v JP Krugerrand Deals CC </w:t>
      </w:r>
      <w:r>
        <w:rPr>
          <w:lang w:val="en-US"/>
        </w:rPr>
        <w:t xml:space="preserve">[2018] ZAGPPHC 884 </w:t>
      </w:r>
      <w:r w:rsidR="00F312FF">
        <w:rPr>
          <w:lang w:val="en-US"/>
        </w:rPr>
        <w:t>(‘</w:t>
      </w:r>
      <w:r w:rsidR="00F312FF">
        <w:rPr>
          <w:i/>
          <w:iCs/>
          <w:lang w:val="en-US"/>
        </w:rPr>
        <w:t>Acacia</w:t>
      </w:r>
      <w:r w:rsidR="00F312FF">
        <w:rPr>
          <w:lang w:val="en-US"/>
        </w:rPr>
        <w:t xml:space="preserve"> </w:t>
      </w:r>
      <w:r w:rsidR="00F312FF">
        <w:rPr>
          <w:i/>
          <w:iCs/>
          <w:lang w:val="en-US"/>
        </w:rPr>
        <w:t>Leasing</w:t>
      </w:r>
      <w:r w:rsidR="00F312FF">
        <w:rPr>
          <w:lang w:val="en-US"/>
        </w:rPr>
        <w:t>’)</w:t>
      </w:r>
      <w:r w:rsidR="00F312FF">
        <w:rPr>
          <w:i/>
          <w:iCs/>
          <w:lang w:val="en-US"/>
        </w:rPr>
        <w:t xml:space="preserve"> </w:t>
      </w:r>
      <w:r>
        <w:rPr>
          <w:lang w:val="en-US"/>
        </w:rPr>
        <w:t>para 7.</w:t>
      </w:r>
    </w:p>
  </w:footnote>
  <w:footnote w:id="12">
    <w:p w14:paraId="69D92D83" w14:textId="7F76F4EB" w:rsidR="00D33E43" w:rsidRPr="00F312FF" w:rsidRDefault="00D33E43" w:rsidP="009854C1">
      <w:pPr>
        <w:pStyle w:val="FootnoteText"/>
        <w:spacing w:line="240" w:lineRule="auto"/>
        <w:jc w:val="both"/>
        <w:rPr>
          <w:lang w:val="en-US"/>
        </w:rPr>
      </w:pPr>
      <w:r>
        <w:rPr>
          <w:rStyle w:val="FootnoteReference"/>
        </w:rPr>
        <w:footnoteRef/>
      </w:r>
      <w:r>
        <w:t xml:space="preserve"> </w:t>
      </w:r>
      <w:r>
        <w:rPr>
          <w:lang w:val="en-US"/>
        </w:rPr>
        <w:t>S 34 of the Constitution provides that everyone has the right to have a dispute that can be resolved by the application of law decided by a court or tribunal in a fair public hearing.</w:t>
      </w:r>
      <w:r w:rsidR="0099272D">
        <w:rPr>
          <w:lang w:val="en-US"/>
        </w:rPr>
        <w:t xml:space="preserve"> It should be noted that the copy of the judgment accessed on SAFLII appears to be incomplete. Paragraphs 8-10 of the judgment appear to have been omitted. It must also be noted that s 34 appears to have been invoked for the benefit of the applicant on the basis that ‘in the absence of proof to the contrary, to stay the proceedings would be infringing on the applicant’s right in terms of section 34.</w:t>
      </w:r>
      <w:r w:rsidR="00F312FF">
        <w:rPr>
          <w:lang w:val="en-US"/>
        </w:rPr>
        <w:t xml:space="preserve">’ See </w:t>
      </w:r>
      <w:r w:rsidR="00F312FF">
        <w:rPr>
          <w:i/>
          <w:iCs/>
          <w:lang w:val="en-US"/>
        </w:rPr>
        <w:t xml:space="preserve">Acacia Leasing </w:t>
      </w:r>
      <w:r w:rsidR="00F312FF">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4656EE15"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07D8">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92A25"/>
    <w:multiLevelType w:val="hybridMultilevel"/>
    <w:tmpl w:val="D4963062"/>
    <w:lvl w:ilvl="0" w:tplc="13565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9355F3"/>
    <w:multiLevelType w:val="hybridMultilevel"/>
    <w:tmpl w:val="395E5436"/>
    <w:lvl w:ilvl="0" w:tplc="4B68330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6"/>
  </w:num>
  <w:num w:numId="7">
    <w:abstractNumId w:val="11"/>
  </w:num>
  <w:num w:numId="8">
    <w:abstractNumId w:val="1"/>
  </w:num>
  <w:num w:numId="9">
    <w:abstractNumId w:val="5"/>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0F04"/>
    <w:rsid w:val="00051F6C"/>
    <w:rsid w:val="000536DD"/>
    <w:rsid w:val="00053D81"/>
    <w:rsid w:val="00054DEC"/>
    <w:rsid w:val="00056042"/>
    <w:rsid w:val="00056FBA"/>
    <w:rsid w:val="000574BF"/>
    <w:rsid w:val="00063188"/>
    <w:rsid w:val="00063C6E"/>
    <w:rsid w:val="00063D5A"/>
    <w:rsid w:val="000671B3"/>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18EA"/>
    <w:rsid w:val="000A3F38"/>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667A"/>
    <w:rsid w:val="000E1C45"/>
    <w:rsid w:val="000E2444"/>
    <w:rsid w:val="000E3E15"/>
    <w:rsid w:val="000E4F0D"/>
    <w:rsid w:val="000E5100"/>
    <w:rsid w:val="000E7ECD"/>
    <w:rsid w:val="000F05E0"/>
    <w:rsid w:val="000F1A95"/>
    <w:rsid w:val="000F6BFE"/>
    <w:rsid w:val="000F7DF4"/>
    <w:rsid w:val="0010068E"/>
    <w:rsid w:val="0010218C"/>
    <w:rsid w:val="00102D5B"/>
    <w:rsid w:val="001044DB"/>
    <w:rsid w:val="00105EB6"/>
    <w:rsid w:val="0010622C"/>
    <w:rsid w:val="001078B5"/>
    <w:rsid w:val="00107A5F"/>
    <w:rsid w:val="0011026A"/>
    <w:rsid w:val="00110EF0"/>
    <w:rsid w:val="001124A5"/>
    <w:rsid w:val="00116EB9"/>
    <w:rsid w:val="00120E93"/>
    <w:rsid w:val="001226DE"/>
    <w:rsid w:val="00123296"/>
    <w:rsid w:val="0012621C"/>
    <w:rsid w:val="00126288"/>
    <w:rsid w:val="00130228"/>
    <w:rsid w:val="00131984"/>
    <w:rsid w:val="00131A28"/>
    <w:rsid w:val="001337CC"/>
    <w:rsid w:val="00134C11"/>
    <w:rsid w:val="00135C81"/>
    <w:rsid w:val="00137E08"/>
    <w:rsid w:val="00142F79"/>
    <w:rsid w:val="001435EB"/>
    <w:rsid w:val="00144974"/>
    <w:rsid w:val="00146BA3"/>
    <w:rsid w:val="001517E0"/>
    <w:rsid w:val="00155694"/>
    <w:rsid w:val="00157785"/>
    <w:rsid w:val="00157898"/>
    <w:rsid w:val="00157C19"/>
    <w:rsid w:val="00160EBC"/>
    <w:rsid w:val="00160F58"/>
    <w:rsid w:val="00163A58"/>
    <w:rsid w:val="00172B5C"/>
    <w:rsid w:val="00173547"/>
    <w:rsid w:val="00174B6D"/>
    <w:rsid w:val="0017614D"/>
    <w:rsid w:val="0018006A"/>
    <w:rsid w:val="00180F4E"/>
    <w:rsid w:val="001813AA"/>
    <w:rsid w:val="00181923"/>
    <w:rsid w:val="00181D33"/>
    <w:rsid w:val="00181E7E"/>
    <w:rsid w:val="00182175"/>
    <w:rsid w:val="00184625"/>
    <w:rsid w:val="00186769"/>
    <w:rsid w:val="001870AF"/>
    <w:rsid w:val="00191768"/>
    <w:rsid w:val="00192869"/>
    <w:rsid w:val="001943D2"/>
    <w:rsid w:val="001954F0"/>
    <w:rsid w:val="00195571"/>
    <w:rsid w:val="001955AB"/>
    <w:rsid w:val="00196349"/>
    <w:rsid w:val="00196742"/>
    <w:rsid w:val="001A4F33"/>
    <w:rsid w:val="001B0D01"/>
    <w:rsid w:val="001B2578"/>
    <w:rsid w:val="001B2FE4"/>
    <w:rsid w:val="001B505F"/>
    <w:rsid w:val="001B69E3"/>
    <w:rsid w:val="001C04BC"/>
    <w:rsid w:val="001C2DD7"/>
    <w:rsid w:val="001C48A5"/>
    <w:rsid w:val="001C7061"/>
    <w:rsid w:val="001D0962"/>
    <w:rsid w:val="001D214B"/>
    <w:rsid w:val="001D322B"/>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430F"/>
    <w:rsid w:val="00215EBC"/>
    <w:rsid w:val="0021730A"/>
    <w:rsid w:val="00217399"/>
    <w:rsid w:val="002203EC"/>
    <w:rsid w:val="00222854"/>
    <w:rsid w:val="00224363"/>
    <w:rsid w:val="00224D46"/>
    <w:rsid w:val="0022594E"/>
    <w:rsid w:val="00226444"/>
    <w:rsid w:val="00226ADA"/>
    <w:rsid w:val="00227379"/>
    <w:rsid w:val="00231325"/>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67250"/>
    <w:rsid w:val="002705E9"/>
    <w:rsid w:val="00273619"/>
    <w:rsid w:val="00273903"/>
    <w:rsid w:val="00274C64"/>
    <w:rsid w:val="00275410"/>
    <w:rsid w:val="00276100"/>
    <w:rsid w:val="00277EB6"/>
    <w:rsid w:val="00283169"/>
    <w:rsid w:val="002852C4"/>
    <w:rsid w:val="00285664"/>
    <w:rsid w:val="00285BA2"/>
    <w:rsid w:val="00287A18"/>
    <w:rsid w:val="00287A26"/>
    <w:rsid w:val="00290DC6"/>
    <w:rsid w:val="00290E92"/>
    <w:rsid w:val="0029395B"/>
    <w:rsid w:val="00294129"/>
    <w:rsid w:val="00294313"/>
    <w:rsid w:val="002955D0"/>
    <w:rsid w:val="002960D0"/>
    <w:rsid w:val="002A01B5"/>
    <w:rsid w:val="002A080F"/>
    <w:rsid w:val="002A0EB5"/>
    <w:rsid w:val="002A157A"/>
    <w:rsid w:val="002A1950"/>
    <w:rsid w:val="002A1D97"/>
    <w:rsid w:val="002A1E2F"/>
    <w:rsid w:val="002A21AF"/>
    <w:rsid w:val="002A2AA4"/>
    <w:rsid w:val="002A3836"/>
    <w:rsid w:val="002A3C5C"/>
    <w:rsid w:val="002A5D7E"/>
    <w:rsid w:val="002A61D9"/>
    <w:rsid w:val="002A6332"/>
    <w:rsid w:val="002A6593"/>
    <w:rsid w:val="002A6B82"/>
    <w:rsid w:val="002A73A7"/>
    <w:rsid w:val="002B31B7"/>
    <w:rsid w:val="002B3FE3"/>
    <w:rsid w:val="002B54B7"/>
    <w:rsid w:val="002B6730"/>
    <w:rsid w:val="002B7874"/>
    <w:rsid w:val="002C1ECF"/>
    <w:rsid w:val="002C3A0D"/>
    <w:rsid w:val="002C45D8"/>
    <w:rsid w:val="002C7128"/>
    <w:rsid w:val="002D0F8E"/>
    <w:rsid w:val="002D22D5"/>
    <w:rsid w:val="002D4CBC"/>
    <w:rsid w:val="002D6D70"/>
    <w:rsid w:val="002E0A8E"/>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5665"/>
    <w:rsid w:val="002F60D3"/>
    <w:rsid w:val="002F7574"/>
    <w:rsid w:val="00300A59"/>
    <w:rsid w:val="0030214A"/>
    <w:rsid w:val="00302E78"/>
    <w:rsid w:val="00305920"/>
    <w:rsid w:val="00306288"/>
    <w:rsid w:val="00310C65"/>
    <w:rsid w:val="003140F9"/>
    <w:rsid w:val="003148EA"/>
    <w:rsid w:val="003150CA"/>
    <w:rsid w:val="00315CB8"/>
    <w:rsid w:val="00315D8D"/>
    <w:rsid w:val="003168ED"/>
    <w:rsid w:val="003172EB"/>
    <w:rsid w:val="00317AB4"/>
    <w:rsid w:val="00321E11"/>
    <w:rsid w:val="003228A7"/>
    <w:rsid w:val="00324CE8"/>
    <w:rsid w:val="00325BD4"/>
    <w:rsid w:val="00325FDD"/>
    <w:rsid w:val="00326A33"/>
    <w:rsid w:val="0032785C"/>
    <w:rsid w:val="00327E36"/>
    <w:rsid w:val="00330795"/>
    <w:rsid w:val="00330E85"/>
    <w:rsid w:val="0033219D"/>
    <w:rsid w:val="00334624"/>
    <w:rsid w:val="00335693"/>
    <w:rsid w:val="00335897"/>
    <w:rsid w:val="0033634C"/>
    <w:rsid w:val="0033669D"/>
    <w:rsid w:val="003367DD"/>
    <w:rsid w:val="0034229C"/>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69D5"/>
    <w:rsid w:val="003905B9"/>
    <w:rsid w:val="00391B49"/>
    <w:rsid w:val="0039206E"/>
    <w:rsid w:val="00392A4B"/>
    <w:rsid w:val="00392AA2"/>
    <w:rsid w:val="00393BA3"/>
    <w:rsid w:val="0039527F"/>
    <w:rsid w:val="00395A71"/>
    <w:rsid w:val="0039682A"/>
    <w:rsid w:val="00396E61"/>
    <w:rsid w:val="003A37F4"/>
    <w:rsid w:val="003A4F1D"/>
    <w:rsid w:val="003A4F95"/>
    <w:rsid w:val="003A6F71"/>
    <w:rsid w:val="003A745C"/>
    <w:rsid w:val="003A7AA6"/>
    <w:rsid w:val="003B01D4"/>
    <w:rsid w:val="003B10EC"/>
    <w:rsid w:val="003B1570"/>
    <w:rsid w:val="003B3C31"/>
    <w:rsid w:val="003B43B8"/>
    <w:rsid w:val="003B5FEE"/>
    <w:rsid w:val="003B76D9"/>
    <w:rsid w:val="003C0CEB"/>
    <w:rsid w:val="003C3428"/>
    <w:rsid w:val="003C351A"/>
    <w:rsid w:val="003C3BC6"/>
    <w:rsid w:val="003C5934"/>
    <w:rsid w:val="003C7080"/>
    <w:rsid w:val="003D11D0"/>
    <w:rsid w:val="003D239A"/>
    <w:rsid w:val="003D2C74"/>
    <w:rsid w:val="003D5245"/>
    <w:rsid w:val="003D5507"/>
    <w:rsid w:val="003D56FB"/>
    <w:rsid w:val="003D5A10"/>
    <w:rsid w:val="003D5E6D"/>
    <w:rsid w:val="003D7CB9"/>
    <w:rsid w:val="003E0F7C"/>
    <w:rsid w:val="003E2B73"/>
    <w:rsid w:val="003E2F03"/>
    <w:rsid w:val="003E3BBF"/>
    <w:rsid w:val="003E424A"/>
    <w:rsid w:val="003E75F3"/>
    <w:rsid w:val="003F0D9E"/>
    <w:rsid w:val="003F1974"/>
    <w:rsid w:val="003F2109"/>
    <w:rsid w:val="003F50FF"/>
    <w:rsid w:val="003F5900"/>
    <w:rsid w:val="003F6355"/>
    <w:rsid w:val="00400266"/>
    <w:rsid w:val="00401A9A"/>
    <w:rsid w:val="00402EEA"/>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52CB"/>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570F7"/>
    <w:rsid w:val="0046335C"/>
    <w:rsid w:val="004652FD"/>
    <w:rsid w:val="004657F4"/>
    <w:rsid w:val="00466979"/>
    <w:rsid w:val="00466D17"/>
    <w:rsid w:val="00467E20"/>
    <w:rsid w:val="00472760"/>
    <w:rsid w:val="00472A4C"/>
    <w:rsid w:val="00472B05"/>
    <w:rsid w:val="00472E85"/>
    <w:rsid w:val="00473068"/>
    <w:rsid w:val="004735D5"/>
    <w:rsid w:val="0047556B"/>
    <w:rsid w:val="00475949"/>
    <w:rsid w:val="00475C2D"/>
    <w:rsid w:val="00477226"/>
    <w:rsid w:val="004813E8"/>
    <w:rsid w:val="004827F3"/>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116F"/>
    <w:rsid w:val="004B3161"/>
    <w:rsid w:val="004B4C05"/>
    <w:rsid w:val="004B5BAF"/>
    <w:rsid w:val="004B5CB4"/>
    <w:rsid w:val="004B632A"/>
    <w:rsid w:val="004B7E82"/>
    <w:rsid w:val="004C06AD"/>
    <w:rsid w:val="004C0946"/>
    <w:rsid w:val="004C0C08"/>
    <w:rsid w:val="004C13CF"/>
    <w:rsid w:val="004C7EB2"/>
    <w:rsid w:val="004D0163"/>
    <w:rsid w:val="004D0AC5"/>
    <w:rsid w:val="004D19EB"/>
    <w:rsid w:val="004D35C6"/>
    <w:rsid w:val="004E06B4"/>
    <w:rsid w:val="004E189A"/>
    <w:rsid w:val="004E1A28"/>
    <w:rsid w:val="004E2076"/>
    <w:rsid w:val="004E318F"/>
    <w:rsid w:val="004E5A0A"/>
    <w:rsid w:val="004E6764"/>
    <w:rsid w:val="004F021C"/>
    <w:rsid w:val="004F1757"/>
    <w:rsid w:val="004F1D20"/>
    <w:rsid w:val="004F326C"/>
    <w:rsid w:val="004F38A6"/>
    <w:rsid w:val="004F444A"/>
    <w:rsid w:val="004F5575"/>
    <w:rsid w:val="004F79D9"/>
    <w:rsid w:val="005014BC"/>
    <w:rsid w:val="00501617"/>
    <w:rsid w:val="00502229"/>
    <w:rsid w:val="005030DE"/>
    <w:rsid w:val="0050634D"/>
    <w:rsid w:val="005068A8"/>
    <w:rsid w:val="005078B2"/>
    <w:rsid w:val="005079C1"/>
    <w:rsid w:val="00507BBF"/>
    <w:rsid w:val="00511260"/>
    <w:rsid w:val="00511565"/>
    <w:rsid w:val="0051172C"/>
    <w:rsid w:val="0051380C"/>
    <w:rsid w:val="00514878"/>
    <w:rsid w:val="0051706E"/>
    <w:rsid w:val="00520E7F"/>
    <w:rsid w:val="00523DBC"/>
    <w:rsid w:val="005244E9"/>
    <w:rsid w:val="00530509"/>
    <w:rsid w:val="00532080"/>
    <w:rsid w:val="0054062B"/>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3AF7"/>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560B"/>
    <w:rsid w:val="005E601A"/>
    <w:rsid w:val="005F03D5"/>
    <w:rsid w:val="005F04A5"/>
    <w:rsid w:val="005F158C"/>
    <w:rsid w:val="005F236B"/>
    <w:rsid w:val="005F6D85"/>
    <w:rsid w:val="005F77BC"/>
    <w:rsid w:val="00600269"/>
    <w:rsid w:val="0060138F"/>
    <w:rsid w:val="0060391E"/>
    <w:rsid w:val="006041F0"/>
    <w:rsid w:val="0060443D"/>
    <w:rsid w:val="0060486E"/>
    <w:rsid w:val="006062FB"/>
    <w:rsid w:val="00606867"/>
    <w:rsid w:val="00607419"/>
    <w:rsid w:val="006101AF"/>
    <w:rsid w:val="00612393"/>
    <w:rsid w:val="00612ACF"/>
    <w:rsid w:val="00613E36"/>
    <w:rsid w:val="00614A7A"/>
    <w:rsid w:val="00615ED2"/>
    <w:rsid w:val="00616B35"/>
    <w:rsid w:val="00617A30"/>
    <w:rsid w:val="00617F99"/>
    <w:rsid w:val="006215E6"/>
    <w:rsid w:val="00621B4B"/>
    <w:rsid w:val="006232F1"/>
    <w:rsid w:val="00623DDE"/>
    <w:rsid w:val="00624695"/>
    <w:rsid w:val="00625D2D"/>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27C"/>
    <w:rsid w:val="0069550C"/>
    <w:rsid w:val="00696BEE"/>
    <w:rsid w:val="00697465"/>
    <w:rsid w:val="00697EB1"/>
    <w:rsid w:val="006A2310"/>
    <w:rsid w:val="006A2706"/>
    <w:rsid w:val="006A498B"/>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30F2"/>
    <w:rsid w:val="00823442"/>
    <w:rsid w:val="008242ED"/>
    <w:rsid w:val="008276BB"/>
    <w:rsid w:val="00830F6A"/>
    <w:rsid w:val="00832EA6"/>
    <w:rsid w:val="00832FD6"/>
    <w:rsid w:val="0083336E"/>
    <w:rsid w:val="00834066"/>
    <w:rsid w:val="008343B4"/>
    <w:rsid w:val="00837B9A"/>
    <w:rsid w:val="00837E1F"/>
    <w:rsid w:val="008405CE"/>
    <w:rsid w:val="008405CF"/>
    <w:rsid w:val="00841726"/>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6209"/>
    <w:rsid w:val="00866554"/>
    <w:rsid w:val="008665C4"/>
    <w:rsid w:val="0086751C"/>
    <w:rsid w:val="008677E3"/>
    <w:rsid w:val="00870B41"/>
    <w:rsid w:val="0087195C"/>
    <w:rsid w:val="00873C6E"/>
    <w:rsid w:val="00873EB9"/>
    <w:rsid w:val="00875D5A"/>
    <w:rsid w:val="00875F1E"/>
    <w:rsid w:val="00880351"/>
    <w:rsid w:val="0088086C"/>
    <w:rsid w:val="00882735"/>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5CE"/>
    <w:rsid w:val="008A3B56"/>
    <w:rsid w:val="008A4281"/>
    <w:rsid w:val="008A537D"/>
    <w:rsid w:val="008A7240"/>
    <w:rsid w:val="008A7BFC"/>
    <w:rsid w:val="008A7CF7"/>
    <w:rsid w:val="008A7FAD"/>
    <w:rsid w:val="008B100F"/>
    <w:rsid w:val="008B1DA6"/>
    <w:rsid w:val="008B3660"/>
    <w:rsid w:val="008C210D"/>
    <w:rsid w:val="008C3AF3"/>
    <w:rsid w:val="008C3E59"/>
    <w:rsid w:val="008C480D"/>
    <w:rsid w:val="008C4C45"/>
    <w:rsid w:val="008C651B"/>
    <w:rsid w:val="008C7138"/>
    <w:rsid w:val="008D2564"/>
    <w:rsid w:val="008D3C26"/>
    <w:rsid w:val="008E1626"/>
    <w:rsid w:val="008E270C"/>
    <w:rsid w:val="008E3AD1"/>
    <w:rsid w:val="008E51D4"/>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AA7"/>
    <w:rsid w:val="00903496"/>
    <w:rsid w:val="00903A37"/>
    <w:rsid w:val="009041F8"/>
    <w:rsid w:val="00904D53"/>
    <w:rsid w:val="00905C49"/>
    <w:rsid w:val="00906C53"/>
    <w:rsid w:val="0090737A"/>
    <w:rsid w:val="0091491D"/>
    <w:rsid w:val="0091517B"/>
    <w:rsid w:val="00920D37"/>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37E6"/>
    <w:rsid w:val="0097492C"/>
    <w:rsid w:val="00974E2D"/>
    <w:rsid w:val="00975DB5"/>
    <w:rsid w:val="00976DCD"/>
    <w:rsid w:val="00976F0D"/>
    <w:rsid w:val="0098066C"/>
    <w:rsid w:val="009812F2"/>
    <w:rsid w:val="009814B0"/>
    <w:rsid w:val="00981871"/>
    <w:rsid w:val="00984181"/>
    <w:rsid w:val="009854C1"/>
    <w:rsid w:val="0098571F"/>
    <w:rsid w:val="00987489"/>
    <w:rsid w:val="00987780"/>
    <w:rsid w:val="0099005D"/>
    <w:rsid w:val="0099272D"/>
    <w:rsid w:val="00992B0D"/>
    <w:rsid w:val="00994FE8"/>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43C4"/>
    <w:rsid w:val="009F5D93"/>
    <w:rsid w:val="009F6F14"/>
    <w:rsid w:val="009F7433"/>
    <w:rsid w:val="00A00F3C"/>
    <w:rsid w:val="00A0144A"/>
    <w:rsid w:val="00A02844"/>
    <w:rsid w:val="00A034F2"/>
    <w:rsid w:val="00A042CC"/>
    <w:rsid w:val="00A06BF5"/>
    <w:rsid w:val="00A076B8"/>
    <w:rsid w:val="00A07E9C"/>
    <w:rsid w:val="00A10F1E"/>
    <w:rsid w:val="00A11066"/>
    <w:rsid w:val="00A1196D"/>
    <w:rsid w:val="00A11A36"/>
    <w:rsid w:val="00A122F8"/>
    <w:rsid w:val="00A12914"/>
    <w:rsid w:val="00A12EEB"/>
    <w:rsid w:val="00A14173"/>
    <w:rsid w:val="00A167B8"/>
    <w:rsid w:val="00A17060"/>
    <w:rsid w:val="00A17ED7"/>
    <w:rsid w:val="00A20492"/>
    <w:rsid w:val="00A2185E"/>
    <w:rsid w:val="00A21919"/>
    <w:rsid w:val="00A26381"/>
    <w:rsid w:val="00A31C08"/>
    <w:rsid w:val="00A32889"/>
    <w:rsid w:val="00A331C2"/>
    <w:rsid w:val="00A353E1"/>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77C5F"/>
    <w:rsid w:val="00A80111"/>
    <w:rsid w:val="00A807D8"/>
    <w:rsid w:val="00A81DF8"/>
    <w:rsid w:val="00A82B55"/>
    <w:rsid w:val="00A83695"/>
    <w:rsid w:val="00A83F39"/>
    <w:rsid w:val="00A84210"/>
    <w:rsid w:val="00A85465"/>
    <w:rsid w:val="00A866AE"/>
    <w:rsid w:val="00A878A5"/>
    <w:rsid w:val="00A87D38"/>
    <w:rsid w:val="00A92225"/>
    <w:rsid w:val="00A9381F"/>
    <w:rsid w:val="00A958D5"/>
    <w:rsid w:val="00A95B9A"/>
    <w:rsid w:val="00A95CB4"/>
    <w:rsid w:val="00A96BFC"/>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E08"/>
    <w:rsid w:val="00AB6F0C"/>
    <w:rsid w:val="00AC1CA0"/>
    <w:rsid w:val="00AC1EC5"/>
    <w:rsid w:val="00AC4AC4"/>
    <w:rsid w:val="00AC5ACC"/>
    <w:rsid w:val="00AC7F40"/>
    <w:rsid w:val="00AC7FDF"/>
    <w:rsid w:val="00AD0544"/>
    <w:rsid w:val="00AD061A"/>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06292"/>
    <w:rsid w:val="00B07D7D"/>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2044"/>
    <w:rsid w:val="00B235FF"/>
    <w:rsid w:val="00B24486"/>
    <w:rsid w:val="00B24846"/>
    <w:rsid w:val="00B26963"/>
    <w:rsid w:val="00B26AA4"/>
    <w:rsid w:val="00B30BDA"/>
    <w:rsid w:val="00B30C98"/>
    <w:rsid w:val="00B32AE8"/>
    <w:rsid w:val="00B3323A"/>
    <w:rsid w:val="00B34ECD"/>
    <w:rsid w:val="00B36696"/>
    <w:rsid w:val="00B418D6"/>
    <w:rsid w:val="00B446F9"/>
    <w:rsid w:val="00B50382"/>
    <w:rsid w:val="00B512A3"/>
    <w:rsid w:val="00B51F04"/>
    <w:rsid w:val="00B53331"/>
    <w:rsid w:val="00B559B2"/>
    <w:rsid w:val="00B565D4"/>
    <w:rsid w:val="00B56BAF"/>
    <w:rsid w:val="00B56C32"/>
    <w:rsid w:val="00B56D2F"/>
    <w:rsid w:val="00B56DA8"/>
    <w:rsid w:val="00B57BF8"/>
    <w:rsid w:val="00B60699"/>
    <w:rsid w:val="00B60E51"/>
    <w:rsid w:val="00B63F7F"/>
    <w:rsid w:val="00B6537F"/>
    <w:rsid w:val="00B65433"/>
    <w:rsid w:val="00B65D07"/>
    <w:rsid w:val="00B65D0C"/>
    <w:rsid w:val="00B65DEE"/>
    <w:rsid w:val="00B673D7"/>
    <w:rsid w:val="00B71571"/>
    <w:rsid w:val="00B715B1"/>
    <w:rsid w:val="00B7619E"/>
    <w:rsid w:val="00B77677"/>
    <w:rsid w:val="00B77BF3"/>
    <w:rsid w:val="00B812C0"/>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B5AC3"/>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1DC3"/>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513F"/>
    <w:rsid w:val="00C355AA"/>
    <w:rsid w:val="00C36223"/>
    <w:rsid w:val="00C40725"/>
    <w:rsid w:val="00C4207E"/>
    <w:rsid w:val="00C451A3"/>
    <w:rsid w:val="00C4577E"/>
    <w:rsid w:val="00C465F8"/>
    <w:rsid w:val="00C50C8F"/>
    <w:rsid w:val="00C51156"/>
    <w:rsid w:val="00C53FD7"/>
    <w:rsid w:val="00C54122"/>
    <w:rsid w:val="00C55C61"/>
    <w:rsid w:val="00C57047"/>
    <w:rsid w:val="00C64F44"/>
    <w:rsid w:val="00C650ED"/>
    <w:rsid w:val="00C65132"/>
    <w:rsid w:val="00C65F6A"/>
    <w:rsid w:val="00C67F3E"/>
    <w:rsid w:val="00C70CD5"/>
    <w:rsid w:val="00C7216F"/>
    <w:rsid w:val="00C730E4"/>
    <w:rsid w:val="00C73BB8"/>
    <w:rsid w:val="00C74AAE"/>
    <w:rsid w:val="00C74CC5"/>
    <w:rsid w:val="00C76B48"/>
    <w:rsid w:val="00C76CC4"/>
    <w:rsid w:val="00C77815"/>
    <w:rsid w:val="00C823C5"/>
    <w:rsid w:val="00C82D42"/>
    <w:rsid w:val="00C8322A"/>
    <w:rsid w:val="00C83583"/>
    <w:rsid w:val="00C84B12"/>
    <w:rsid w:val="00C869BC"/>
    <w:rsid w:val="00C8737E"/>
    <w:rsid w:val="00C9243B"/>
    <w:rsid w:val="00C953C0"/>
    <w:rsid w:val="00C95C73"/>
    <w:rsid w:val="00C962D8"/>
    <w:rsid w:val="00C96E5A"/>
    <w:rsid w:val="00C97ACC"/>
    <w:rsid w:val="00CA181F"/>
    <w:rsid w:val="00CA2A54"/>
    <w:rsid w:val="00CA3219"/>
    <w:rsid w:val="00CA3C10"/>
    <w:rsid w:val="00CB01EB"/>
    <w:rsid w:val="00CB06A5"/>
    <w:rsid w:val="00CB0DFA"/>
    <w:rsid w:val="00CB0EC0"/>
    <w:rsid w:val="00CB250C"/>
    <w:rsid w:val="00CB34D5"/>
    <w:rsid w:val="00CB395E"/>
    <w:rsid w:val="00CB6CB0"/>
    <w:rsid w:val="00CC134C"/>
    <w:rsid w:val="00CC36F9"/>
    <w:rsid w:val="00CC3E8F"/>
    <w:rsid w:val="00CD0BA2"/>
    <w:rsid w:val="00CD18DE"/>
    <w:rsid w:val="00CD643B"/>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D6C"/>
    <w:rsid w:val="00D32B3D"/>
    <w:rsid w:val="00D33C8D"/>
    <w:rsid w:val="00D33E43"/>
    <w:rsid w:val="00D37148"/>
    <w:rsid w:val="00D37A00"/>
    <w:rsid w:val="00D40860"/>
    <w:rsid w:val="00D4280D"/>
    <w:rsid w:val="00D42B76"/>
    <w:rsid w:val="00D43787"/>
    <w:rsid w:val="00D447D8"/>
    <w:rsid w:val="00D450B5"/>
    <w:rsid w:val="00D45623"/>
    <w:rsid w:val="00D45942"/>
    <w:rsid w:val="00D45968"/>
    <w:rsid w:val="00D468AF"/>
    <w:rsid w:val="00D470FA"/>
    <w:rsid w:val="00D47F57"/>
    <w:rsid w:val="00D50983"/>
    <w:rsid w:val="00D53B35"/>
    <w:rsid w:val="00D5648F"/>
    <w:rsid w:val="00D56E3B"/>
    <w:rsid w:val="00D57CC2"/>
    <w:rsid w:val="00D61084"/>
    <w:rsid w:val="00D616EC"/>
    <w:rsid w:val="00D648BA"/>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78"/>
    <w:rsid w:val="00DA00BB"/>
    <w:rsid w:val="00DA38F9"/>
    <w:rsid w:val="00DA776D"/>
    <w:rsid w:val="00DA7AAB"/>
    <w:rsid w:val="00DB0815"/>
    <w:rsid w:val="00DB1859"/>
    <w:rsid w:val="00DB6676"/>
    <w:rsid w:val="00DC139C"/>
    <w:rsid w:val="00DC2ABE"/>
    <w:rsid w:val="00DC2EE8"/>
    <w:rsid w:val="00DC59DE"/>
    <w:rsid w:val="00DC7217"/>
    <w:rsid w:val="00DC79BB"/>
    <w:rsid w:val="00DD11EB"/>
    <w:rsid w:val="00DD1B8B"/>
    <w:rsid w:val="00DD1F32"/>
    <w:rsid w:val="00DD23D6"/>
    <w:rsid w:val="00DD4855"/>
    <w:rsid w:val="00DD75C4"/>
    <w:rsid w:val="00DE1FBA"/>
    <w:rsid w:val="00DE4550"/>
    <w:rsid w:val="00DE4C7F"/>
    <w:rsid w:val="00DE55DE"/>
    <w:rsid w:val="00DE5968"/>
    <w:rsid w:val="00DE6A2A"/>
    <w:rsid w:val="00DF1227"/>
    <w:rsid w:val="00DF131F"/>
    <w:rsid w:val="00DF2C98"/>
    <w:rsid w:val="00DF4EFC"/>
    <w:rsid w:val="00DF77FD"/>
    <w:rsid w:val="00DF7AB6"/>
    <w:rsid w:val="00DF7EB0"/>
    <w:rsid w:val="00E00DCA"/>
    <w:rsid w:val="00E033B7"/>
    <w:rsid w:val="00E038DB"/>
    <w:rsid w:val="00E04FFB"/>
    <w:rsid w:val="00E05EEE"/>
    <w:rsid w:val="00E065DD"/>
    <w:rsid w:val="00E075A8"/>
    <w:rsid w:val="00E07D5A"/>
    <w:rsid w:val="00E105EE"/>
    <w:rsid w:val="00E10D91"/>
    <w:rsid w:val="00E124FE"/>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F34"/>
    <w:rsid w:val="00E45859"/>
    <w:rsid w:val="00E47124"/>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848D5"/>
    <w:rsid w:val="00E901D7"/>
    <w:rsid w:val="00E9172D"/>
    <w:rsid w:val="00E922BE"/>
    <w:rsid w:val="00E9258D"/>
    <w:rsid w:val="00E9268E"/>
    <w:rsid w:val="00E92B00"/>
    <w:rsid w:val="00E9368B"/>
    <w:rsid w:val="00E94D9A"/>
    <w:rsid w:val="00E94FBC"/>
    <w:rsid w:val="00E953FA"/>
    <w:rsid w:val="00E955D0"/>
    <w:rsid w:val="00E9568E"/>
    <w:rsid w:val="00E97E28"/>
    <w:rsid w:val="00EA484D"/>
    <w:rsid w:val="00EA4A96"/>
    <w:rsid w:val="00EB1A14"/>
    <w:rsid w:val="00EB20B5"/>
    <w:rsid w:val="00EB3B0A"/>
    <w:rsid w:val="00EB3DAC"/>
    <w:rsid w:val="00EB4093"/>
    <w:rsid w:val="00EB46F3"/>
    <w:rsid w:val="00EB4958"/>
    <w:rsid w:val="00EC1371"/>
    <w:rsid w:val="00EC2445"/>
    <w:rsid w:val="00EC33B2"/>
    <w:rsid w:val="00EC3796"/>
    <w:rsid w:val="00EC41A4"/>
    <w:rsid w:val="00EC448E"/>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5079"/>
    <w:rsid w:val="00EF6266"/>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2FF"/>
    <w:rsid w:val="00F31B3B"/>
    <w:rsid w:val="00F31E35"/>
    <w:rsid w:val="00F3228A"/>
    <w:rsid w:val="00F32719"/>
    <w:rsid w:val="00F3395E"/>
    <w:rsid w:val="00F33A72"/>
    <w:rsid w:val="00F3415D"/>
    <w:rsid w:val="00F363F1"/>
    <w:rsid w:val="00F37256"/>
    <w:rsid w:val="00F43DFC"/>
    <w:rsid w:val="00F45E5A"/>
    <w:rsid w:val="00F5474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90290"/>
    <w:rsid w:val="00F915B8"/>
    <w:rsid w:val="00F91B3B"/>
    <w:rsid w:val="00F94EC0"/>
    <w:rsid w:val="00F976C6"/>
    <w:rsid w:val="00FA0C52"/>
    <w:rsid w:val="00FA215D"/>
    <w:rsid w:val="00FA2451"/>
    <w:rsid w:val="00FA457D"/>
    <w:rsid w:val="00FA6E33"/>
    <w:rsid w:val="00FA72B1"/>
    <w:rsid w:val="00FB27C2"/>
    <w:rsid w:val="00FC479C"/>
    <w:rsid w:val="00FC5C82"/>
    <w:rsid w:val="00FC6E57"/>
    <w:rsid w:val="00FC7151"/>
    <w:rsid w:val="00FD0C02"/>
    <w:rsid w:val="00FD1AD8"/>
    <w:rsid w:val="00FD1FCF"/>
    <w:rsid w:val="00FD282F"/>
    <w:rsid w:val="00FD6EAA"/>
    <w:rsid w:val="00FE0ABB"/>
    <w:rsid w:val="00FE141F"/>
    <w:rsid w:val="00FE20F0"/>
    <w:rsid w:val="00FE7911"/>
    <w:rsid w:val="00FF1735"/>
    <w:rsid w:val="00FF1B94"/>
    <w:rsid w:val="00FF31C9"/>
    <w:rsid w:val="00FF3D51"/>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9132-635E-439B-9EBA-9881DE6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2022-06-11T08:20:00Z</dcterms:created>
  <dcterms:modified xsi:type="dcterms:W3CDTF">2022-06-11T08:20:00Z</dcterms:modified>
</cp:coreProperties>
</file>