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1C31C" w14:textId="77777777" w:rsidR="00D4284E" w:rsidRDefault="00D4284E" w:rsidP="00D4284E">
      <w:pPr>
        <w:jc w:val="center"/>
        <w:rPr>
          <w:rFonts w:ascii="Arial" w:hAnsi="Arial" w:cs="Arial"/>
          <w:b/>
          <w:sz w:val="24"/>
          <w:szCs w:val="24"/>
          <w:lang w:val="en-GB"/>
        </w:rPr>
      </w:pPr>
      <w:bookmarkStart w:id="0" w:name="_GoBack"/>
      <w:bookmarkEnd w:id="0"/>
      <w:r>
        <w:rPr>
          <w:noProof/>
          <w:lang w:eastAsia="en-ZA"/>
        </w:rPr>
        <w:drawing>
          <wp:inline distT="0" distB="0" distL="0" distR="0" wp14:anchorId="54FB3BBF" wp14:editId="452FE5AE">
            <wp:extent cx="146685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095375"/>
                    </a:xfrm>
                    <a:prstGeom prst="rect">
                      <a:avLst/>
                    </a:prstGeom>
                    <a:noFill/>
                    <a:ln>
                      <a:noFill/>
                    </a:ln>
                  </pic:spPr>
                </pic:pic>
              </a:graphicData>
            </a:graphic>
          </wp:inline>
        </w:drawing>
      </w:r>
    </w:p>
    <w:p w14:paraId="2FF6ED6D" w14:textId="77777777" w:rsidR="00D4284E" w:rsidRDefault="00D4284E" w:rsidP="00D4284E">
      <w:pPr>
        <w:jc w:val="center"/>
        <w:rPr>
          <w:rFonts w:ascii="Arial" w:hAnsi="Arial" w:cs="Arial"/>
          <w:b/>
          <w:sz w:val="24"/>
          <w:szCs w:val="24"/>
          <w:lang w:val="en-GB"/>
        </w:rPr>
      </w:pPr>
      <w:r>
        <w:rPr>
          <w:rFonts w:ascii="Arial" w:hAnsi="Arial" w:cs="Arial"/>
          <w:b/>
          <w:sz w:val="24"/>
          <w:szCs w:val="24"/>
          <w:lang w:val="en-GB"/>
        </w:rPr>
        <w:t>IN THE HIGH COURT OF SOUTH AFRICA</w:t>
      </w:r>
    </w:p>
    <w:p w14:paraId="2EFF49C9" w14:textId="77777777" w:rsidR="00D4284E" w:rsidRDefault="00D4284E" w:rsidP="00D4284E">
      <w:pPr>
        <w:jc w:val="center"/>
        <w:rPr>
          <w:rFonts w:ascii="Arial" w:hAnsi="Arial" w:cs="Arial"/>
          <w:b/>
          <w:sz w:val="24"/>
          <w:szCs w:val="24"/>
          <w:lang w:val="en-GB"/>
        </w:rPr>
      </w:pPr>
      <w:r>
        <w:rPr>
          <w:rFonts w:ascii="Arial" w:hAnsi="Arial" w:cs="Arial"/>
          <w:b/>
          <w:sz w:val="24"/>
          <w:szCs w:val="24"/>
          <w:lang w:val="en-GB"/>
        </w:rPr>
        <w:t xml:space="preserve">[EASTERN CAPE DIVISION: </w:t>
      </w:r>
      <w:r w:rsidR="00DD604B">
        <w:rPr>
          <w:rFonts w:ascii="Arial" w:hAnsi="Arial" w:cs="Arial"/>
          <w:b/>
          <w:sz w:val="24"/>
          <w:szCs w:val="24"/>
          <w:lang w:val="en-GB"/>
        </w:rPr>
        <w:t>MAKHANDA</w:t>
      </w:r>
      <w:r>
        <w:rPr>
          <w:rFonts w:ascii="Arial" w:hAnsi="Arial" w:cs="Arial"/>
          <w:b/>
          <w:sz w:val="24"/>
          <w:szCs w:val="24"/>
          <w:lang w:val="en-GB"/>
        </w:rPr>
        <w:t>]</w:t>
      </w:r>
    </w:p>
    <w:p w14:paraId="12BE8009" w14:textId="77777777" w:rsidR="00D4284E" w:rsidRDefault="00D4284E" w:rsidP="00D4284E">
      <w:pPr>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NO. 181/2020</w:t>
      </w:r>
    </w:p>
    <w:p w14:paraId="31428ED8" w14:textId="77777777" w:rsidR="00D4284E" w:rsidRDefault="00D4284E" w:rsidP="00D4284E">
      <w:pPr>
        <w:rPr>
          <w:rFonts w:ascii="Arial" w:hAnsi="Arial" w:cs="Arial"/>
          <w:sz w:val="24"/>
          <w:szCs w:val="24"/>
          <w:lang w:val="en-GB"/>
        </w:rPr>
      </w:pPr>
      <w:r>
        <w:rPr>
          <w:rFonts w:ascii="Arial" w:hAnsi="Arial" w:cs="Arial"/>
          <w:sz w:val="24"/>
          <w:szCs w:val="24"/>
          <w:lang w:val="en-GB"/>
        </w:rPr>
        <w:t>In the matter between:</w:t>
      </w:r>
    </w:p>
    <w:p w14:paraId="616EC970" w14:textId="77777777" w:rsidR="00D4284E" w:rsidRDefault="00D4284E" w:rsidP="00D4284E">
      <w:pPr>
        <w:rPr>
          <w:rFonts w:ascii="Arial" w:hAnsi="Arial" w:cs="Arial"/>
          <w:b/>
          <w:sz w:val="24"/>
          <w:szCs w:val="24"/>
          <w:lang w:val="en-GB"/>
        </w:rPr>
      </w:pPr>
    </w:p>
    <w:p w14:paraId="7232A6C6" w14:textId="77777777" w:rsidR="00D4284E" w:rsidRDefault="00D4284E" w:rsidP="00D4284E">
      <w:pPr>
        <w:rPr>
          <w:rFonts w:ascii="Arial" w:hAnsi="Arial" w:cs="Arial"/>
          <w:b/>
          <w:sz w:val="24"/>
          <w:szCs w:val="24"/>
          <w:lang w:val="en-GB"/>
        </w:rPr>
      </w:pPr>
      <w:r>
        <w:rPr>
          <w:rFonts w:ascii="Arial" w:hAnsi="Arial" w:cs="Arial"/>
          <w:b/>
          <w:sz w:val="24"/>
          <w:szCs w:val="24"/>
          <w:lang w:val="en-GB"/>
        </w:rPr>
        <w:t>LEGAL PRACTICE COUNCIL</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Applicant</w:t>
      </w:r>
    </w:p>
    <w:p w14:paraId="1C34F903" w14:textId="77777777" w:rsidR="00D4284E" w:rsidRDefault="00D4284E" w:rsidP="00D4284E">
      <w:pPr>
        <w:rPr>
          <w:rFonts w:ascii="Arial" w:hAnsi="Arial" w:cs="Arial"/>
          <w:b/>
          <w:sz w:val="24"/>
          <w:szCs w:val="24"/>
          <w:lang w:val="en-GB"/>
        </w:rPr>
      </w:pPr>
    </w:p>
    <w:p w14:paraId="37419DF7" w14:textId="77777777" w:rsidR="00D4284E" w:rsidRDefault="00D4284E" w:rsidP="00D4284E">
      <w:pPr>
        <w:rPr>
          <w:rFonts w:ascii="Arial" w:hAnsi="Arial" w:cs="Arial"/>
          <w:b/>
          <w:sz w:val="24"/>
          <w:szCs w:val="24"/>
          <w:lang w:val="en-GB"/>
        </w:rPr>
      </w:pPr>
      <w:r>
        <w:rPr>
          <w:rFonts w:ascii="Arial" w:hAnsi="Arial" w:cs="Arial"/>
          <w:b/>
          <w:sz w:val="24"/>
          <w:szCs w:val="24"/>
          <w:lang w:val="en-GB"/>
        </w:rPr>
        <w:t>and</w:t>
      </w:r>
    </w:p>
    <w:p w14:paraId="6B55D735" w14:textId="77777777" w:rsidR="00D4284E" w:rsidRDefault="00D4284E" w:rsidP="00D4284E">
      <w:pPr>
        <w:rPr>
          <w:rFonts w:ascii="Arial" w:hAnsi="Arial" w:cs="Arial"/>
          <w:b/>
          <w:sz w:val="24"/>
          <w:szCs w:val="24"/>
          <w:lang w:val="en-GB"/>
        </w:rPr>
      </w:pPr>
    </w:p>
    <w:p w14:paraId="572DFB39" w14:textId="77777777" w:rsidR="00D4284E" w:rsidRDefault="00D4284E" w:rsidP="00D4284E">
      <w:pPr>
        <w:rPr>
          <w:rFonts w:ascii="Arial" w:hAnsi="Arial" w:cs="Arial"/>
          <w:b/>
          <w:sz w:val="24"/>
          <w:szCs w:val="24"/>
          <w:lang w:val="en-GB"/>
        </w:rPr>
      </w:pPr>
      <w:r>
        <w:rPr>
          <w:rFonts w:ascii="Arial" w:hAnsi="Arial" w:cs="Arial"/>
          <w:b/>
          <w:sz w:val="24"/>
          <w:szCs w:val="24"/>
          <w:lang w:val="en-GB"/>
        </w:rPr>
        <w:t>BULELANI RUBUSHE</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Respondent</w:t>
      </w:r>
    </w:p>
    <w:p w14:paraId="1A0B9400" w14:textId="77777777" w:rsidR="00D4284E" w:rsidRDefault="00D4284E" w:rsidP="00D4284E">
      <w:pPr>
        <w:rPr>
          <w:rFonts w:ascii="Arial" w:hAnsi="Arial" w:cs="Arial"/>
          <w:b/>
          <w:sz w:val="24"/>
          <w:szCs w:val="24"/>
          <w:lang w:val="en-GB"/>
        </w:rPr>
      </w:pPr>
      <w:r>
        <w:rPr>
          <w:rFonts w:ascii="Arial" w:hAnsi="Arial" w:cs="Arial"/>
          <w:b/>
          <w:sz w:val="24"/>
          <w:szCs w:val="24"/>
          <w:lang w:val="en-GB"/>
        </w:rPr>
        <w:t>___________________________________________________________________</w:t>
      </w:r>
    </w:p>
    <w:p w14:paraId="493972C1" w14:textId="77777777" w:rsidR="00D4284E" w:rsidRDefault="00D4284E" w:rsidP="00D4284E">
      <w:pPr>
        <w:jc w:val="center"/>
        <w:rPr>
          <w:rFonts w:ascii="Arial" w:hAnsi="Arial" w:cs="Arial"/>
          <w:b/>
          <w:sz w:val="24"/>
          <w:szCs w:val="24"/>
          <w:lang w:val="en-GB"/>
        </w:rPr>
      </w:pPr>
      <w:r>
        <w:rPr>
          <w:rFonts w:ascii="Arial" w:hAnsi="Arial" w:cs="Arial"/>
          <w:b/>
          <w:sz w:val="24"/>
          <w:szCs w:val="24"/>
          <w:lang w:val="en-GB"/>
        </w:rPr>
        <w:t>JUDGMENT</w:t>
      </w:r>
    </w:p>
    <w:p w14:paraId="3BF43D24" w14:textId="77777777" w:rsidR="00D4284E" w:rsidRDefault="00D4284E" w:rsidP="00D4284E">
      <w:pPr>
        <w:rPr>
          <w:rFonts w:ascii="Arial" w:hAnsi="Arial" w:cs="Arial"/>
          <w:b/>
          <w:sz w:val="24"/>
          <w:szCs w:val="24"/>
          <w:lang w:val="en-GB"/>
        </w:rPr>
      </w:pPr>
      <w:r>
        <w:rPr>
          <w:rFonts w:ascii="Arial" w:hAnsi="Arial" w:cs="Arial"/>
          <w:b/>
          <w:sz w:val="24"/>
          <w:szCs w:val="24"/>
          <w:lang w:val="en-GB"/>
        </w:rPr>
        <w:t>___________________________________________________________________</w:t>
      </w:r>
    </w:p>
    <w:p w14:paraId="23DA5E8E" w14:textId="77777777" w:rsidR="00D4284E" w:rsidRDefault="00D4284E" w:rsidP="00D4284E">
      <w:pPr>
        <w:spacing w:line="480" w:lineRule="auto"/>
        <w:jc w:val="both"/>
        <w:rPr>
          <w:rFonts w:ascii="Arial" w:hAnsi="Arial" w:cs="Arial"/>
          <w:b/>
          <w:sz w:val="24"/>
          <w:szCs w:val="24"/>
          <w:lang w:val="en-GB"/>
        </w:rPr>
      </w:pPr>
      <w:r>
        <w:rPr>
          <w:rFonts w:ascii="Arial" w:hAnsi="Arial" w:cs="Arial"/>
          <w:b/>
          <w:sz w:val="24"/>
          <w:szCs w:val="24"/>
          <w:lang w:val="en-GB"/>
        </w:rPr>
        <w:t>JOLWANA J:</w:t>
      </w:r>
    </w:p>
    <w:p w14:paraId="0B6A2436" w14:textId="77777777" w:rsidR="00D4284E" w:rsidRPr="00746FD0" w:rsidRDefault="00D4284E" w:rsidP="00746FD0">
      <w:pPr>
        <w:spacing w:line="360" w:lineRule="auto"/>
        <w:ind w:left="720"/>
        <w:jc w:val="both"/>
        <w:rPr>
          <w:rFonts w:ascii="Arial" w:hAnsi="Arial" w:cs="Arial"/>
          <w:lang w:val="en-GB"/>
        </w:rPr>
      </w:pPr>
      <w:r w:rsidRPr="00746FD0">
        <w:rPr>
          <w:rFonts w:ascii="Arial" w:hAnsi="Arial" w:cs="Arial"/>
          <w:lang w:val="en-GB"/>
        </w:rPr>
        <w:t>“This is yet another case in which an attorney – an officer of the court who is supposed to act with integrity and comply with the highest ethical standards – is guilt</w:t>
      </w:r>
      <w:r w:rsidR="00E36C00">
        <w:rPr>
          <w:rFonts w:ascii="Arial" w:hAnsi="Arial" w:cs="Arial"/>
          <w:lang w:val="en-GB"/>
        </w:rPr>
        <w:t>y of an attempt to grossly over</w:t>
      </w:r>
      <w:r w:rsidRPr="00746FD0">
        <w:rPr>
          <w:rFonts w:ascii="Arial" w:hAnsi="Arial" w:cs="Arial"/>
          <w:lang w:val="en-GB"/>
        </w:rPr>
        <w:t>reach his client, of rapacious and unconscionable conduct.  Unfortunately, in this jurisdiction, this is a problem that is all too common.  That said, however, it seems to me that the problems in relation to contingency fee agreements that come to the attention of the courts are, in all like</w:t>
      </w:r>
      <w:r w:rsidR="00DD604B">
        <w:rPr>
          <w:rFonts w:ascii="Arial" w:hAnsi="Arial" w:cs="Arial"/>
          <w:lang w:val="en-GB"/>
        </w:rPr>
        <w:t>li</w:t>
      </w:r>
      <w:r w:rsidRPr="00746FD0">
        <w:rPr>
          <w:rFonts w:ascii="Arial" w:hAnsi="Arial" w:cs="Arial"/>
          <w:lang w:val="en-GB"/>
        </w:rPr>
        <w:t>hood, but the tip of the ice-berg.”</w:t>
      </w:r>
    </w:p>
    <w:p w14:paraId="01FBEF0F" w14:textId="77777777" w:rsidR="00D4284E" w:rsidRDefault="00D4284E" w:rsidP="00D4284E">
      <w:pPr>
        <w:spacing w:line="480" w:lineRule="auto"/>
        <w:jc w:val="both"/>
        <w:rPr>
          <w:rFonts w:ascii="Arial" w:hAnsi="Arial" w:cs="Arial"/>
          <w:sz w:val="24"/>
          <w:szCs w:val="24"/>
          <w:lang w:val="en-GB"/>
        </w:rPr>
      </w:pPr>
      <w:r>
        <w:rPr>
          <w:rFonts w:ascii="Arial" w:hAnsi="Arial" w:cs="Arial"/>
          <w:sz w:val="24"/>
          <w:szCs w:val="24"/>
          <w:lang w:val="en-GB"/>
        </w:rPr>
        <w:t xml:space="preserve">[1] These are the words of Plasket J (as he then was) in </w:t>
      </w:r>
      <w:r w:rsidRPr="00E36C00">
        <w:rPr>
          <w:rFonts w:ascii="Arial" w:hAnsi="Arial" w:cs="Arial"/>
          <w:i/>
          <w:sz w:val="24"/>
          <w:szCs w:val="24"/>
          <w:lang w:val="en-GB"/>
        </w:rPr>
        <w:t>Mfengwana</w:t>
      </w:r>
      <w:r>
        <w:rPr>
          <w:rStyle w:val="FootnoteReference"/>
          <w:rFonts w:ascii="Arial" w:hAnsi="Arial" w:cs="Arial"/>
          <w:sz w:val="24"/>
          <w:szCs w:val="24"/>
          <w:lang w:val="en-GB"/>
        </w:rPr>
        <w:footnoteReference w:id="1"/>
      </w:r>
      <w:r>
        <w:rPr>
          <w:rFonts w:ascii="Arial" w:hAnsi="Arial" w:cs="Arial"/>
          <w:sz w:val="24"/>
          <w:szCs w:val="24"/>
          <w:lang w:val="en-GB"/>
        </w:rPr>
        <w:t xml:space="preserve"> describing the conduct of Mr Rubushe, the respondent herein.  Having described the respondent in the manne</w:t>
      </w:r>
      <w:r w:rsidR="00D92EEF">
        <w:rPr>
          <w:rFonts w:ascii="Arial" w:hAnsi="Arial" w:cs="Arial"/>
          <w:sz w:val="24"/>
          <w:szCs w:val="24"/>
          <w:lang w:val="en-GB"/>
        </w:rPr>
        <w:t>r</w:t>
      </w:r>
      <w:r>
        <w:rPr>
          <w:rFonts w:ascii="Arial" w:hAnsi="Arial" w:cs="Arial"/>
          <w:sz w:val="24"/>
          <w:szCs w:val="24"/>
          <w:lang w:val="en-GB"/>
        </w:rPr>
        <w:t xml:space="preserve"> referred to above, he</w:t>
      </w:r>
      <w:r w:rsidR="00E36C00">
        <w:rPr>
          <w:rFonts w:ascii="Arial" w:hAnsi="Arial" w:cs="Arial"/>
          <w:sz w:val="24"/>
          <w:szCs w:val="24"/>
          <w:lang w:val="en-GB"/>
        </w:rPr>
        <w:t>,</w:t>
      </w:r>
      <w:r>
        <w:rPr>
          <w:rFonts w:ascii="Arial" w:hAnsi="Arial" w:cs="Arial"/>
          <w:sz w:val="24"/>
          <w:szCs w:val="24"/>
          <w:lang w:val="en-GB"/>
        </w:rPr>
        <w:t xml:space="preserve"> </w:t>
      </w:r>
      <w:r w:rsidRPr="00D4284E">
        <w:rPr>
          <w:rFonts w:ascii="Arial" w:hAnsi="Arial" w:cs="Arial"/>
          <w:i/>
          <w:sz w:val="24"/>
          <w:szCs w:val="24"/>
          <w:lang w:val="en-GB"/>
        </w:rPr>
        <w:t>inter alia</w:t>
      </w:r>
      <w:r w:rsidR="00E36C00">
        <w:rPr>
          <w:rFonts w:ascii="Arial" w:hAnsi="Arial" w:cs="Arial"/>
          <w:i/>
          <w:sz w:val="24"/>
          <w:szCs w:val="24"/>
          <w:lang w:val="en-GB"/>
        </w:rPr>
        <w:t>,</w:t>
      </w:r>
      <w:r>
        <w:rPr>
          <w:rFonts w:ascii="Arial" w:hAnsi="Arial" w:cs="Arial"/>
          <w:sz w:val="24"/>
          <w:szCs w:val="24"/>
          <w:lang w:val="en-GB"/>
        </w:rPr>
        <w:t xml:space="preserve"> made an order setting aside the </w:t>
      </w:r>
      <w:r>
        <w:rPr>
          <w:rFonts w:ascii="Arial" w:hAnsi="Arial" w:cs="Arial"/>
          <w:sz w:val="24"/>
          <w:szCs w:val="24"/>
          <w:lang w:val="en-GB"/>
        </w:rPr>
        <w:lastRenderedPageBreak/>
        <w:t>contingency fee</w:t>
      </w:r>
      <w:r w:rsidR="00901D78">
        <w:rPr>
          <w:rFonts w:ascii="Arial" w:hAnsi="Arial" w:cs="Arial"/>
          <w:sz w:val="24"/>
          <w:szCs w:val="24"/>
          <w:lang w:val="en-GB"/>
        </w:rPr>
        <w:t>s</w:t>
      </w:r>
      <w:r>
        <w:rPr>
          <w:rFonts w:ascii="Arial" w:hAnsi="Arial" w:cs="Arial"/>
          <w:sz w:val="24"/>
          <w:szCs w:val="24"/>
          <w:lang w:val="en-GB"/>
        </w:rPr>
        <w:t xml:space="preserve"> agreement</w:t>
      </w:r>
      <w:r w:rsidR="00E36C00">
        <w:rPr>
          <w:rFonts w:ascii="Arial" w:hAnsi="Arial" w:cs="Arial"/>
          <w:sz w:val="24"/>
          <w:szCs w:val="24"/>
          <w:lang w:val="en-GB"/>
        </w:rPr>
        <w:t xml:space="preserve"> </w:t>
      </w:r>
      <w:r w:rsidR="00F5219A">
        <w:rPr>
          <w:rFonts w:ascii="Arial" w:hAnsi="Arial" w:cs="Arial"/>
          <w:sz w:val="24"/>
          <w:szCs w:val="24"/>
          <w:lang w:val="en-GB"/>
        </w:rPr>
        <w:t xml:space="preserve">in issue </w:t>
      </w:r>
      <w:r>
        <w:rPr>
          <w:rFonts w:ascii="Arial" w:hAnsi="Arial" w:cs="Arial"/>
          <w:sz w:val="24"/>
          <w:szCs w:val="24"/>
          <w:lang w:val="en-GB"/>
        </w:rPr>
        <w:t>and requested the registrar of this Court to deliver a copy</w:t>
      </w:r>
      <w:r w:rsidR="00DD604B">
        <w:rPr>
          <w:rFonts w:ascii="Arial" w:hAnsi="Arial" w:cs="Arial"/>
          <w:sz w:val="24"/>
          <w:szCs w:val="24"/>
          <w:lang w:val="en-GB"/>
        </w:rPr>
        <w:t xml:space="preserve"> of</w:t>
      </w:r>
      <w:r>
        <w:rPr>
          <w:rFonts w:ascii="Arial" w:hAnsi="Arial" w:cs="Arial"/>
          <w:sz w:val="24"/>
          <w:szCs w:val="24"/>
          <w:lang w:val="en-GB"/>
        </w:rPr>
        <w:t xml:space="preserve"> his judgment to the Cape Law Society.</w:t>
      </w:r>
    </w:p>
    <w:p w14:paraId="390EB1D8" w14:textId="77777777" w:rsidR="00E15F09" w:rsidRDefault="00D4284E" w:rsidP="00AA2AFD">
      <w:pPr>
        <w:spacing w:line="480" w:lineRule="auto"/>
        <w:jc w:val="both"/>
        <w:rPr>
          <w:rFonts w:ascii="Arial" w:hAnsi="Arial" w:cs="Arial"/>
          <w:sz w:val="24"/>
          <w:szCs w:val="24"/>
          <w:lang w:val="en-GB"/>
        </w:rPr>
      </w:pPr>
      <w:r>
        <w:rPr>
          <w:rFonts w:ascii="Arial" w:hAnsi="Arial" w:cs="Arial"/>
          <w:sz w:val="24"/>
          <w:szCs w:val="24"/>
          <w:lang w:val="en-GB"/>
        </w:rPr>
        <w:t>[2] The applicant is the successor in title to the then Cap</w:t>
      </w:r>
      <w:r w:rsidR="00901D78">
        <w:rPr>
          <w:rFonts w:ascii="Arial" w:hAnsi="Arial" w:cs="Arial"/>
          <w:sz w:val="24"/>
          <w:szCs w:val="24"/>
          <w:lang w:val="en-GB"/>
        </w:rPr>
        <w:t>e</w:t>
      </w:r>
      <w:r>
        <w:rPr>
          <w:rFonts w:ascii="Arial" w:hAnsi="Arial" w:cs="Arial"/>
          <w:sz w:val="24"/>
          <w:szCs w:val="24"/>
          <w:lang w:val="en-GB"/>
        </w:rPr>
        <w:t xml:space="preserve"> Law Society which was a statutory body established in terms of the </w:t>
      </w:r>
      <w:r w:rsidR="00DE7814">
        <w:rPr>
          <w:rFonts w:ascii="Arial" w:hAnsi="Arial" w:cs="Arial"/>
          <w:sz w:val="24"/>
          <w:szCs w:val="24"/>
          <w:lang w:val="en-GB"/>
        </w:rPr>
        <w:t>Attorneys Act 53 of 1979</w:t>
      </w:r>
      <w:r w:rsidR="00E018C0">
        <w:rPr>
          <w:rFonts w:ascii="Arial" w:hAnsi="Arial" w:cs="Arial"/>
          <w:sz w:val="24"/>
          <w:szCs w:val="24"/>
          <w:lang w:val="en-GB"/>
        </w:rPr>
        <w:t>,</w:t>
      </w:r>
      <w:r w:rsidR="00DE7814">
        <w:rPr>
          <w:rFonts w:ascii="Arial" w:hAnsi="Arial" w:cs="Arial"/>
          <w:sz w:val="24"/>
          <w:szCs w:val="24"/>
          <w:lang w:val="en-GB"/>
        </w:rPr>
        <w:t xml:space="preserve"> </w:t>
      </w:r>
      <w:r w:rsidR="00074053">
        <w:rPr>
          <w:rFonts w:ascii="Arial" w:hAnsi="Arial" w:cs="Arial"/>
          <w:sz w:val="24"/>
          <w:szCs w:val="24"/>
          <w:lang w:val="en-GB"/>
        </w:rPr>
        <w:t xml:space="preserve">which has since been repealed </w:t>
      </w:r>
      <w:r w:rsidR="00E018C0">
        <w:rPr>
          <w:rFonts w:ascii="Arial" w:hAnsi="Arial" w:cs="Arial"/>
          <w:sz w:val="24"/>
          <w:szCs w:val="24"/>
          <w:lang w:val="en-GB"/>
        </w:rPr>
        <w:t xml:space="preserve">and </w:t>
      </w:r>
      <w:r w:rsidR="00DE7814">
        <w:rPr>
          <w:rFonts w:ascii="Arial" w:hAnsi="Arial" w:cs="Arial"/>
          <w:sz w:val="24"/>
          <w:szCs w:val="24"/>
          <w:lang w:val="en-GB"/>
        </w:rPr>
        <w:t>which served as the regulatory body governing the affairs of all attorneys in the Western Cape</w:t>
      </w:r>
      <w:r w:rsidR="00E36C00">
        <w:rPr>
          <w:rFonts w:ascii="Arial" w:hAnsi="Arial" w:cs="Arial"/>
          <w:sz w:val="24"/>
          <w:szCs w:val="24"/>
          <w:lang w:val="en-GB"/>
        </w:rPr>
        <w:t>, Northern Cape</w:t>
      </w:r>
      <w:r w:rsidR="00DE7814">
        <w:rPr>
          <w:rFonts w:ascii="Arial" w:hAnsi="Arial" w:cs="Arial"/>
          <w:sz w:val="24"/>
          <w:szCs w:val="24"/>
          <w:lang w:val="en-GB"/>
        </w:rPr>
        <w:t xml:space="preserve"> and the Eastern Cape.  One of the duties of the applicant is to regulate all legal practitioners and candidate legal practitioners and to enhance and maintain the integrity and status of the legal profession inclusive of all members </w:t>
      </w:r>
      <w:r w:rsidR="00526FD8">
        <w:rPr>
          <w:rFonts w:ascii="Arial" w:hAnsi="Arial" w:cs="Arial"/>
          <w:sz w:val="24"/>
          <w:szCs w:val="24"/>
          <w:lang w:val="en-GB"/>
        </w:rPr>
        <w:t xml:space="preserve">of what used to be referred to as the </w:t>
      </w:r>
      <w:r w:rsidR="00DE7814">
        <w:rPr>
          <w:rFonts w:ascii="Arial" w:hAnsi="Arial" w:cs="Arial"/>
          <w:sz w:val="24"/>
          <w:szCs w:val="24"/>
          <w:lang w:val="en-GB"/>
        </w:rPr>
        <w:t xml:space="preserve">bar and the </w:t>
      </w:r>
      <w:r w:rsidR="00E36C00">
        <w:rPr>
          <w:rFonts w:ascii="Arial" w:hAnsi="Arial" w:cs="Arial"/>
          <w:sz w:val="24"/>
          <w:szCs w:val="24"/>
          <w:lang w:val="en-GB"/>
        </w:rPr>
        <w:t xml:space="preserve">side </w:t>
      </w:r>
      <w:r w:rsidR="00DE7814">
        <w:rPr>
          <w:rFonts w:ascii="Arial" w:hAnsi="Arial" w:cs="Arial"/>
          <w:sz w:val="24"/>
          <w:szCs w:val="24"/>
          <w:lang w:val="en-GB"/>
        </w:rPr>
        <w:t>bar.</w:t>
      </w:r>
      <w:r w:rsidR="00AA2AFD">
        <w:rPr>
          <w:rFonts w:ascii="Arial" w:hAnsi="Arial" w:cs="Arial"/>
          <w:sz w:val="24"/>
          <w:szCs w:val="24"/>
          <w:lang w:val="en-GB"/>
        </w:rPr>
        <w:t xml:space="preserve">  It was established in terms of the Legal Practice Act 28 of 2014</w:t>
      </w:r>
      <w:r w:rsidR="00E018C0">
        <w:rPr>
          <w:rFonts w:ascii="Arial" w:hAnsi="Arial" w:cs="Arial"/>
          <w:sz w:val="24"/>
          <w:szCs w:val="24"/>
          <w:lang w:val="en-GB"/>
        </w:rPr>
        <w:t>,</w:t>
      </w:r>
      <w:r w:rsidR="00AA2AFD">
        <w:rPr>
          <w:rFonts w:ascii="Arial" w:hAnsi="Arial" w:cs="Arial"/>
          <w:sz w:val="24"/>
          <w:szCs w:val="24"/>
          <w:lang w:val="en-GB"/>
        </w:rPr>
        <w:t xml:space="preserve"> c</w:t>
      </w:r>
      <w:r w:rsidR="00074053">
        <w:rPr>
          <w:rFonts w:ascii="Arial" w:hAnsi="Arial" w:cs="Arial"/>
          <w:sz w:val="24"/>
          <w:szCs w:val="24"/>
          <w:lang w:val="en-GB"/>
        </w:rPr>
        <w:t>oming into effect in its entiret</w:t>
      </w:r>
      <w:r w:rsidR="00AA2AFD">
        <w:rPr>
          <w:rFonts w:ascii="Arial" w:hAnsi="Arial" w:cs="Arial"/>
          <w:sz w:val="24"/>
          <w:szCs w:val="24"/>
          <w:lang w:val="en-GB"/>
        </w:rPr>
        <w:t>y on 1 November 2018.</w:t>
      </w:r>
    </w:p>
    <w:p w14:paraId="03C9896F" w14:textId="77777777" w:rsidR="00AA2AFD" w:rsidRDefault="00AA2AFD" w:rsidP="00AA2AFD">
      <w:pPr>
        <w:spacing w:line="480" w:lineRule="auto"/>
        <w:jc w:val="both"/>
        <w:rPr>
          <w:rFonts w:ascii="Arial" w:hAnsi="Arial" w:cs="Arial"/>
          <w:sz w:val="24"/>
          <w:szCs w:val="24"/>
          <w:lang w:val="en-GB"/>
        </w:rPr>
      </w:pPr>
      <w:r>
        <w:rPr>
          <w:rFonts w:ascii="Arial" w:hAnsi="Arial" w:cs="Arial"/>
          <w:sz w:val="24"/>
          <w:szCs w:val="24"/>
          <w:lang w:val="en-GB"/>
        </w:rPr>
        <w:t>[3] While the applicant made reference to a number of complaints received against the respondent it made it clear in its founding affidavit that this matter primarily concerns the judgment of Plasket J referred to above.   Incidentally on that date</w:t>
      </w:r>
      <w:r w:rsidR="00E36C00">
        <w:rPr>
          <w:rFonts w:ascii="Arial" w:hAnsi="Arial" w:cs="Arial"/>
          <w:sz w:val="24"/>
          <w:szCs w:val="24"/>
          <w:lang w:val="en-GB"/>
        </w:rPr>
        <w:t>, 12 January 2017</w:t>
      </w:r>
      <w:r w:rsidR="00E018C0">
        <w:rPr>
          <w:rFonts w:ascii="Arial" w:hAnsi="Arial" w:cs="Arial"/>
          <w:sz w:val="24"/>
          <w:szCs w:val="24"/>
          <w:lang w:val="en-GB"/>
        </w:rPr>
        <w:t>,</w:t>
      </w:r>
      <w:r>
        <w:rPr>
          <w:rFonts w:ascii="Arial" w:hAnsi="Arial" w:cs="Arial"/>
          <w:sz w:val="24"/>
          <w:szCs w:val="24"/>
          <w:lang w:val="en-GB"/>
        </w:rPr>
        <w:t xml:space="preserve"> the respondent wrote a letter to the applicant.  The gist of the respondent’s letter has been summarised by the applicant as follows:</w:t>
      </w:r>
    </w:p>
    <w:p w14:paraId="65AA2942" w14:textId="77777777" w:rsidR="00AA2AFD" w:rsidRPr="00746FD0" w:rsidRDefault="00AA2AFD" w:rsidP="00746FD0">
      <w:pPr>
        <w:spacing w:line="360" w:lineRule="auto"/>
        <w:ind w:left="1134" w:hanging="567"/>
        <w:jc w:val="both"/>
        <w:rPr>
          <w:rFonts w:ascii="Arial" w:hAnsi="Arial" w:cs="Arial"/>
          <w:lang w:val="en-GB"/>
        </w:rPr>
      </w:pPr>
      <w:r w:rsidRPr="00746FD0">
        <w:rPr>
          <w:rFonts w:ascii="Arial" w:hAnsi="Arial" w:cs="Arial"/>
          <w:lang w:val="en-GB"/>
        </w:rPr>
        <w:t xml:space="preserve">“13.1 A contingency fee entered into with a </w:t>
      </w:r>
      <w:r w:rsidR="00E36C00">
        <w:rPr>
          <w:rFonts w:ascii="Arial" w:hAnsi="Arial" w:cs="Arial"/>
          <w:lang w:val="en-GB"/>
        </w:rPr>
        <w:t>client</w:t>
      </w:r>
      <w:r w:rsidRPr="00746FD0">
        <w:rPr>
          <w:rFonts w:ascii="Arial" w:hAnsi="Arial" w:cs="Arial"/>
          <w:lang w:val="en-GB"/>
        </w:rPr>
        <w:t xml:space="preserve"> can agree that on settlement the attorney is entitled to 25%, as between attorney and client;</w:t>
      </w:r>
    </w:p>
    <w:p w14:paraId="4BFDC32F" w14:textId="77777777" w:rsidR="00AA2AFD" w:rsidRPr="00746FD0" w:rsidRDefault="00AA2AFD" w:rsidP="00746FD0">
      <w:pPr>
        <w:spacing w:line="360" w:lineRule="auto"/>
        <w:ind w:left="1134" w:hanging="567"/>
        <w:jc w:val="both"/>
        <w:rPr>
          <w:rFonts w:ascii="Arial" w:hAnsi="Arial" w:cs="Arial"/>
          <w:lang w:val="en-GB"/>
        </w:rPr>
      </w:pPr>
      <w:r w:rsidRPr="00746FD0">
        <w:rPr>
          <w:rFonts w:ascii="Arial" w:hAnsi="Arial" w:cs="Arial"/>
          <w:lang w:val="en-GB"/>
        </w:rPr>
        <w:t xml:space="preserve">13.2 The majority in the profession are </w:t>
      </w:r>
      <w:r w:rsidR="008746F6" w:rsidRPr="00746FD0">
        <w:rPr>
          <w:rFonts w:ascii="Arial" w:hAnsi="Arial" w:cs="Arial"/>
          <w:lang w:val="en-GB"/>
        </w:rPr>
        <w:t>still using the 25% fee, especially in litigation matters;</w:t>
      </w:r>
    </w:p>
    <w:p w14:paraId="6135C5BA" w14:textId="77777777" w:rsidR="008746F6" w:rsidRPr="00746FD0" w:rsidRDefault="008746F6" w:rsidP="00746FD0">
      <w:pPr>
        <w:spacing w:line="360" w:lineRule="auto"/>
        <w:ind w:left="1134" w:hanging="567"/>
        <w:jc w:val="both"/>
        <w:rPr>
          <w:rFonts w:ascii="Arial" w:hAnsi="Arial" w:cs="Arial"/>
          <w:lang w:val="en-GB"/>
        </w:rPr>
      </w:pPr>
      <w:r w:rsidRPr="00746FD0">
        <w:rPr>
          <w:rFonts w:ascii="Arial" w:hAnsi="Arial" w:cs="Arial"/>
          <w:lang w:val="en-GB"/>
        </w:rPr>
        <w:t>13.3 Judges are interfering with attorney and client agreements and making defamatory remarks “on” attorneys;</w:t>
      </w:r>
    </w:p>
    <w:p w14:paraId="66EF60BC" w14:textId="77777777" w:rsidR="008746F6" w:rsidRPr="00746FD0" w:rsidRDefault="008746F6" w:rsidP="00746FD0">
      <w:pPr>
        <w:spacing w:line="360" w:lineRule="auto"/>
        <w:ind w:left="1134" w:hanging="567"/>
        <w:jc w:val="both"/>
        <w:rPr>
          <w:rFonts w:ascii="Arial" w:hAnsi="Arial" w:cs="Arial"/>
          <w:lang w:val="en-GB"/>
        </w:rPr>
      </w:pPr>
      <w:r w:rsidRPr="00746FD0">
        <w:rPr>
          <w:rFonts w:ascii="Arial" w:hAnsi="Arial" w:cs="Arial"/>
          <w:lang w:val="en-GB"/>
        </w:rPr>
        <w:t>13.4 “The honourable court is trying to guard against overreaching client, which on the other hand is prejudicing the Attorneys …</w:t>
      </w:r>
      <w:r w:rsidR="00E36C00">
        <w:rPr>
          <w:rFonts w:ascii="Arial" w:hAnsi="Arial" w:cs="Arial"/>
          <w:lang w:val="en-GB"/>
        </w:rPr>
        <w:t>”</w:t>
      </w:r>
      <w:r w:rsidRPr="00746FD0">
        <w:rPr>
          <w:rFonts w:ascii="Arial" w:hAnsi="Arial" w:cs="Arial"/>
          <w:lang w:val="en-GB"/>
        </w:rPr>
        <w:t>;</w:t>
      </w:r>
    </w:p>
    <w:p w14:paraId="085F0948" w14:textId="77777777" w:rsidR="008746F6" w:rsidRPr="00746FD0" w:rsidRDefault="008746F6" w:rsidP="00746FD0">
      <w:pPr>
        <w:spacing w:line="360" w:lineRule="auto"/>
        <w:ind w:left="567"/>
        <w:jc w:val="both"/>
        <w:rPr>
          <w:rFonts w:ascii="Arial" w:hAnsi="Arial" w:cs="Arial"/>
          <w:lang w:val="en-GB"/>
        </w:rPr>
      </w:pPr>
      <w:r w:rsidRPr="00746FD0">
        <w:rPr>
          <w:rFonts w:ascii="Arial" w:hAnsi="Arial" w:cs="Arial"/>
          <w:lang w:val="en-GB"/>
        </w:rPr>
        <w:t>13.5 There was an incorrect allegation that the respondent had overreached.”</w:t>
      </w:r>
    </w:p>
    <w:p w14:paraId="40F3C1BC" w14:textId="77777777" w:rsidR="008746F6" w:rsidRDefault="008746F6" w:rsidP="00AA2AFD">
      <w:pPr>
        <w:spacing w:line="480" w:lineRule="auto"/>
        <w:jc w:val="both"/>
        <w:rPr>
          <w:rFonts w:ascii="Arial" w:hAnsi="Arial" w:cs="Arial"/>
          <w:sz w:val="24"/>
          <w:szCs w:val="24"/>
          <w:lang w:val="en-GB"/>
        </w:rPr>
      </w:pPr>
      <w:r>
        <w:rPr>
          <w:rFonts w:ascii="Arial" w:hAnsi="Arial" w:cs="Arial"/>
          <w:sz w:val="24"/>
          <w:szCs w:val="24"/>
          <w:lang w:val="en-GB"/>
        </w:rPr>
        <w:lastRenderedPageBreak/>
        <w:t xml:space="preserve">[4] Four days later on 16 January 2017 the respondent fusilladed with </w:t>
      </w:r>
      <w:r w:rsidR="00E36C00">
        <w:rPr>
          <w:rFonts w:ascii="Arial" w:hAnsi="Arial" w:cs="Arial"/>
          <w:sz w:val="24"/>
          <w:szCs w:val="24"/>
          <w:lang w:val="en-GB"/>
        </w:rPr>
        <w:t>another</w:t>
      </w:r>
      <w:r>
        <w:rPr>
          <w:rFonts w:ascii="Arial" w:hAnsi="Arial" w:cs="Arial"/>
          <w:sz w:val="24"/>
          <w:szCs w:val="24"/>
          <w:lang w:val="en-GB"/>
        </w:rPr>
        <w:t xml:space="preserve"> letter which the applicant has summarised as follows:</w:t>
      </w:r>
    </w:p>
    <w:p w14:paraId="625C1413" w14:textId="77777777" w:rsidR="008746F6" w:rsidRPr="00746FD0" w:rsidRDefault="008746F6" w:rsidP="00746FD0">
      <w:pPr>
        <w:spacing w:line="360" w:lineRule="auto"/>
        <w:ind w:left="1134" w:hanging="567"/>
        <w:jc w:val="both"/>
        <w:rPr>
          <w:rFonts w:ascii="Arial" w:hAnsi="Arial" w:cs="Arial"/>
          <w:lang w:val="en-GB"/>
        </w:rPr>
      </w:pPr>
      <w:r w:rsidRPr="00746FD0">
        <w:rPr>
          <w:rFonts w:ascii="Arial" w:hAnsi="Arial" w:cs="Arial"/>
          <w:lang w:val="en-GB"/>
        </w:rPr>
        <w:t>“14.1 The respondent’s office was in the process of filing an application for leave to appeal the judgment as Judge Plasket had “</w:t>
      </w:r>
      <w:r w:rsidRPr="00E36C00">
        <w:rPr>
          <w:rFonts w:ascii="Arial" w:hAnsi="Arial" w:cs="Arial"/>
          <w:i/>
          <w:u w:val="single"/>
          <w:lang w:val="en-GB"/>
        </w:rPr>
        <w:t>acted ultra vires in posing (sic) his nose of client contingency, as the matter was in Court fo</w:t>
      </w:r>
      <w:r w:rsidR="00526FD8">
        <w:rPr>
          <w:rFonts w:ascii="Arial" w:hAnsi="Arial" w:cs="Arial"/>
          <w:i/>
          <w:u w:val="single"/>
          <w:lang w:val="en-GB"/>
        </w:rPr>
        <w:t>r settlement to be made, in fact</w:t>
      </w:r>
      <w:r w:rsidRPr="00E36C00">
        <w:rPr>
          <w:rFonts w:ascii="Arial" w:hAnsi="Arial" w:cs="Arial"/>
          <w:i/>
          <w:u w:val="single"/>
          <w:lang w:val="en-GB"/>
        </w:rPr>
        <w:t xml:space="preserve"> contract was signed by client.”;</w:t>
      </w:r>
    </w:p>
    <w:p w14:paraId="017B0163" w14:textId="77777777" w:rsidR="008746F6" w:rsidRPr="00746FD0" w:rsidRDefault="008746F6" w:rsidP="00746FD0">
      <w:pPr>
        <w:spacing w:line="360" w:lineRule="auto"/>
        <w:ind w:left="1134" w:hanging="567"/>
        <w:jc w:val="both"/>
        <w:rPr>
          <w:rFonts w:ascii="Arial" w:hAnsi="Arial" w:cs="Arial"/>
          <w:lang w:val="en-GB"/>
        </w:rPr>
      </w:pPr>
      <w:r w:rsidRPr="00746FD0">
        <w:rPr>
          <w:rFonts w:ascii="Arial" w:hAnsi="Arial" w:cs="Arial"/>
          <w:lang w:val="en-GB"/>
        </w:rPr>
        <w:t xml:space="preserve">14.2 The respondent wondered why the Honourable Judge closed one eye when he read the Thulo judgment, </w:t>
      </w:r>
    </w:p>
    <w:p w14:paraId="66F0D654" w14:textId="77777777" w:rsidR="008746F6" w:rsidRPr="00746FD0" w:rsidRDefault="008746F6" w:rsidP="00746FD0">
      <w:pPr>
        <w:spacing w:line="360" w:lineRule="auto"/>
        <w:ind w:left="1134" w:hanging="567"/>
        <w:jc w:val="both"/>
        <w:rPr>
          <w:rFonts w:ascii="Arial" w:hAnsi="Arial" w:cs="Arial"/>
          <w:lang w:val="en-GB"/>
        </w:rPr>
      </w:pPr>
      <w:r w:rsidRPr="00746FD0">
        <w:rPr>
          <w:rFonts w:ascii="Arial" w:hAnsi="Arial" w:cs="Arial"/>
          <w:lang w:val="en-GB"/>
        </w:rPr>
        <w:t>14.3 The Hono</w:t>
      </w:r>
      <w:r w:rsidR="00967EB5">
        <w:rPr>
          <w:rFonts w:ascii="Arial" w:hAnsi="Arial" w:cs="Arial"/>
          <w:lang w:val="en-GB"/>
        </w:rPr>
        <w:t>u</w:t>
      </w:r>
      <w:r w:rsidRPr="00746FD0">
        <w:rPr>
          <w:rFonts w:ascii="Arial" w:hAnsi="Arial" w:cs="Arial"/>
          <w:lang w:val="en-GB"/>
        </w:rPr>
        <w:t>rable Mr Justice Plasket did not follow the Contingency Fee Act by referring the dispute to the applicant;</w:t>
      </w:r>
    </w:p>
    <w:p w14:paraId="405B4A87" w14:textId="77777777" w:rsidR="008746F6" w:rsidRPr="00746FD0" w:rsidRDefault="008746F6" w:rsidP="00746FD0">
      <w:pPr>
        <w:spacing w:line="360" w:lineRule="auto"/>
        <w:ind w:left="1134" w:hanging="567"/>
        <w:jc w:val="both"/>
        <w:rPr>
          <w:rFonts w:ascii="Arial" w:hAnsi="Arial" w:cs="Arial"/>
          <w:lang w:val="en-GB"/>
        </w:rPr>
      </w:pPr>
      <w:r w:rsidRPr="00746FD0">
        <w:rPr>
          <w:rFonts w:ascii="Arial" w:hAnsi="Arial" w:cs="Arial"/>
          <w:lang w:val="en-GB"/>
        </w:rPr>
        <w:t>14.4 That the respondent was of the view that the actions of the Honourable Mr Justice Plasket were “</w:t>
      </w:r>
      <w:r w:rsidRPr="00E36C00">
        <w:rPr>
          <w:rFonts w:ascii="Arial" w:hAnsi="Arial" w:cs="Arial"/>
          <w:i/>
          <w:u w:val="single"/>
          <w:lang w:val="en-GB"/>
        </w:rPr>
        <w:t>malicious, contradictory and acted contrary to the Act.”</w:t>
      </w:r>
    </w:p>
    <w:p w14:paraId="09470592" w14:textId="77777777" w:rsidR="008746F6" w:rsidRDefault="008746F6" w:rsidP="00AA2AFD">
      <w:pPr>
        <w:spacing w:line="480" w:lineRule="auto"/>
        <w:jc w:val="both"/>
        <w:rPr>
          <w:rFonts w:ascii="Arial" w:hAnsi="Arial" w:cs="Arial"/>
          <w:sz w:val="24"/>
          <w:szCs w:val="24"/>
          <w:lang w:val="en-GB"/>
        </w:rPr>
      </w:pPr>
      <w:r>
        <w:rPr>
          <w:rFonts w:ascii="Arial" w:hAnsi="Arial" w:cs="Arial"/>
          <w:sz w:val="24"/>
          <w:szCs w:val="24"/>
          <w:lang w:val="en-GB"/>
        </w:rPr>
        <w:t>[5] The last of these letters</w:t>
      </w:r>
      <w:r w:rsidR="00967EB5">
        <w:rPr>
          <w:rFonts w:ascii="Arial" w:hAnsi="Arial" w:cs="Arial"/>
          <w:sz w:val="24"/>
          <w:szCs w:val="24"/>
          <w:lang w:val="en-GB"/>
        </w:rPr>
        <w:t>,</w:t>
      </w:r>
      <w:r>
        <w:rPr>
          <w:rFonts w:ascii="Arial" w:hAnsi="Arial" w:cs="Arial"/>
          <w:sz w:val="24"/>
          <w:szCs w:val="24"/>
          <w:lang w:val="en-GB"/>
        </w:rPr>
        <w:t xml:space="preserve"> </w:t>
      </w:r>
      <w:r w:rsidR="00E36C00">
        <w:rPr>
          <w:rFonts w:ascii="Arial" w:hAnsi="Arial" w:cs="Arial"/>
          <w:sz w:val="24"/>
          <w:szCs w:val="24"/>
          <w:lang w:val="en-GB"/>
        </w:rPr>
        <w:t xml:space="preserve">all of </w:t>
      </w:r>
      <w:r>
        <w:rPr>
          <w:rFonts w:ascii="Arial" w:hAnsi="Arial" w:cs="Arial"/>
          <w:sz w:val="24"/>
          <w:szCs w:val="24"/>
          <w:lang w:val="en-GB"/>
        </w:rPr>
        <w:t xml:space="preserve">which can only be described as </w:t>
      </w:r>
      <w:r w:rsidR="0098226F">
        <w:rPr>
          <w:rFonts w:ascii="Arial" w:hAnsi="Arial" w:cs="Arial"/>
          <w:sz w:val="24"/>
          <w:szCs w:val="24"/>
          <w:lang w:val="en-GB"/>
        </w:rPr>
        <w:t>pre-emptive</w:t>
      </w:r>
      <w:r>
        <w:rPr>
          <w:rFonts w:ascii="Arial" w:hAnsi="Arial" w:cs="Arial"/>
          <w:sz w:val="24"/>
          <w:szCs w:val="24"/>
          <w:lang w:val="en-GB"/>
        </w:rPr>
        <w:t xml:space="preserve"> strikes against the applicant</w:t>
      </w:r>
      <w:r w:rsidR="00967EB5">
        <w:rPr>
          <w:rFonts w:ascii="Arial" w:hAnsi="Arial" w:cs="Arial"/>
          <w:sz w:val="24"/>
          <w:szCs w:val="24"/>
          <w:lang w:val="en-GB"/>
        </w:rPr>
        <w:t>,</w:t>
      </w:r>
      <w:r>
        <w:rPr>
          <w:rFonts w:ascii="Arial" w:hAnsi="Arial" w:cs="Arial"/>
          <w:sz w:val="24"/>
          <w:szCs w:val="24"/>
          <w:lang w:val="en-GB"/>
        </w:rPr>
        <w:t xml:space="preserve"> is dated 18 January 2017.  The applicant has also summarised</w:t>
      </w:r>
      <w:r w:rsidR="00526FD8">
        <w:rPr>
          <w:rFonts w:ascii="Arial" w:hAnsi="Arial" w:cs="Arial"/>
          <w:sz w:val="24"/>
          <w:szCs w:val="24"/>
          <w:lang w:val="en-GB"/>
        </w:rPr>
        <w:t xml:space="preserve"> it</w:t>
      </w:r>
      <w:r>
        <w:rPr>
          <w:rFonts w:ascii="Arial" w:hAnsi="Arial" w:cs="Arial"/>
          <w:sz w:val="24"/>
          <w:szCs w:val="24"/>
          <w:lang w:val="en-GB"/>
        </w:rPr>
        <w:t xml:space="preserve"> as follows:</w:t>
      </w:r>
    </w:p>
    <w:p w14:paraId="04AD746E" w14:textId="77777777" w:rsidR="0084144C" w:rsidRPr="00746FD0" w:rsidRDefault="00404F58" w:rsidP="00746FD0">
      <w:pPr>
        <w:spacing w:line="360" w:lineRule="auto"/>
        <w:ind w:left="1276" w:hanging="709"/>
        <w:jc w:val="both"/>
        <w:rPr>
          <w:rFonts w:ascii="Arial" w:hAnsi="Arial" w:cs="Arial"/>
          <w:lang w:val="en-GB"/>
        </w:rPr>
      </w:pPr>
      <w:r w:rsidRPr="00746FD0">
        <w:rPr>
          <w:rFonts w:ascii="Arial" w:hAnsi="Arial" w:cs="Arial"/>
          <w:lang w:val="en-GB"/>
        </w:rPr>
        <w:t xml:space="preserve">“16.1 The </w:t>
      </w:r>
      <w:r w:rsidRPr="00E36C00">
        <w:rPr>
          <w:rFonts w:ascii="Arial" w:hAnsi="Arial" w:cs="Arial"/>
          <w:lang w:val="en-GB"/>
        </w:rPr>
        <w:t>Th</w:t>
      </w:r>
      <w:r w:rsidR="00E36C00" w:rsidRPr="00E36C00">
        <w:rPr>
          <w:rFonts w:ascii="Arial" w:hAnsi="Arial" w:cs="Arial"/>
          <w:lang w:val="en-GB"/>
        </w:rPr>
        <w:t>u</w:t>
      </w:r>
      <w:r w:rsidRPr="00E36C00">
        <w:rPr>
          <w:rFonts w:ascii="Arial" w:hAnsi="Arial" w:cs="Arial"/>
          <w:lang w:val="en-GB"/>
        </w:rPr>
        <w:t>l</w:t>
      </w:r>
      <w:r w:rsidR="00E36C00" w:rsidRPr="00E36C00">
        <w:rPr>
          <w:rFonts w:ascii="Arial" w:hAnsi="Arial" w:cs="Arial"/>
          <w:lang w:val="en-GB"/>
        </w:rPr>
        <w:t>o</w:t>
      </w:r>
      <w:r w:rsidRPr="00E36C00">
        <w:rPr>
          <w:rFonts w:ascii="Arial" w:hAnsi="Arial" w:cs="Arial"/>
          <w:lang w:val="en-GB"/>
        </w:rPr>
        <w:t xml:space="preserve"> vs Road Accident Fund </w:t>
      </w:r>
      <w:r w:rsidRPr="00746FD0">
        <w:rPr>
          <w:rFonts w:ascii="Arial" w:hAnsi="Arial" w:cs="Arial"/>
          <w:lang w:val="en-GB"/>
        </w:rPr>
        <w:t xml:space="preserve">case was attached, clearly interpreting the 25% ceiling of contingency fees; </w:t>
      </w:r>
    </w:p>
    <w:p w14:paraId="0D5850E4" w14:textId="77777777" w:rsidR="00404F58" w:rsidRPr="00746FD0" w:rsidRDefault="00404F58" w:rsidP="00746FD0">
      <w:pPr>
        <w:spacing w:line="360" w:lineRule="auto"/>
        <w:ind w:left="1134" w:hanging="567"/>
        <w:jc w:val="both"/>
        <w:rPr>
          <w:rFonts w:ascii="Arial" w:hAnsi="Arial" w:cs="Arial"/>
          <w:lang w:val="en-GB"/>
        </w:rPr>
      </w:pPr>
      <w:r w:rsidRPr="00746FD0">
        <w:rPr>
          <w:rFonts w:ascii="Arial" w:hAnsi="Arial" w:cs="Arial"/>
          <w:lang w:val="en-GB"/>
        </w:rPr>
        <w:t xml:space="preserve">16.2 Mr Mfengwana was contacted the previous day and he had asked </w:t>
      </w:r>
      <w:r w:rsidRPr="00E36C00">
        <w:rPr>
          <w:rFonts w:ascii="Arial" w:hAnsi="Arial" w:cs="Arial"/>
          <w:i/>
          <w:lang w:val="en-GB"/>
        </w:rPr>
        <w:t xml:space="preserve">“who gave instructions the Judge to challenge his agreement </w:t>
      </w:r>
      <w:r w:rsidRPr="00746FD0">
        <w:rPr>
          <w:rFonts w:ascii="Arial" w:hAnsi="Arial" w:cs="Arial"/>
          <w:lang w:val="en-GB"/>
        </w:rPr>
        <w:t>(sic).”</w:t>
      </w:r>
    </w:p>
    <w:p w14:paraId="102405C2" w14:textId="77777777" w:rsidR="00404F58" w:rsidRDefault="00404F58" w:rsidP="00AA2AFD">
      <w:pPr>
        <w:spacing w:line="480" w:lineRule="auto"/>
        <w:jc w:val="both"/>
        <w:rPr>
          <w:rFonts w:ascii="Arial" w:hAnsi="Arial" w:cs="Arial"/>
          <w:sz w:val="24"/>
          <w:szCs w:val="24"/>
          <w:lang w:val="en-GB"/>
        </w:rPr>
      </w:pPr>
      <w:r>
        <w:rPr>
          <w:rFonts w:ascii="Arial" w:hAnsi="Arial" w:cs="Arial"/>
          <w:sz w:val="24"/>
          <w:szCs w:val="24"/>
          <w:lang w:val="en-GB"/>
        </w:rPr>
        <w:t xml:space="preserve">[6] All of these letters predate any of the applicant’s actions about the </w:t>
      </w:r>
      <w:r w:rsidR="00E36C00">
        <w:rPr>
          <w:rFonts w:ascii="Arial" w:hAnsi="Arial" w:cs="Arial"/>
          <w:sz w:val="24"/>
          <w:szCs w:val="24"/>
          <w:lang w:val="en-GB"/>
        </w:rPr>
        <w:t xml:space="preserve">referral of the </w:t>
      </w:r>
      <w:r>
        <w:rPr>
          <w:rFonts w:ascii="Arial" w:hAnsi="Arial" w:cs="Arial"/>
          <w:sz w:val="24"/>
          <w:szCs w:val="24"/>
          <w:lang w:val="en-GB"/>
        </w:rPr>
        <w:t xml:space="preserve">judgment of the court in </w:t>
      </w:r>
      <w:r w:rsidRPr="00526FD8">
        <w:rPr>
          <w:rFonts w:ascii="Arial" w:hAnsi="Arial" w:cs="Arial"/>
          <w:i/>
          <w:sz w:val="24"/>
          <w:szCs w:val="24"/>
          <w:lang w:val="en-GB"/>
        </w:rPr>
        <w:t>Mfengwana</w:t>
      </w:r>
      <w:r w:rsidR="00422EFE">
        <w:rPr>
          <w:rFonts w:ascii="Arial" w:hAnsi="Arial" w:cs="Arial"/>
          <w:sz w:val="24"/>
          <w:szCs w:val="24"/>
          <w:lang w:val="en-GB"/>
        </w:rPr>
        <w:t xml:space="preserve"> to it</w:t>
      </w:r>
      <w:r>
        <w:rPr>
          <w:rFonts w:ascii="Arial" w:hAnsi="Arial" w:cs="Arial"/>
          <w:sz w:val="24"/>
          <w:szCs w:val="24"/>
          <w:lang w:val="en-GB"/>
        </w:rPr>
        <w:t xml:space="preserve">.  It was only on 26 January 2017 that the applicant sent </w:t>
      </w:r>
      <w:r w:rsidR="00422EFE">
        <w:rPr>
          <w:rFonts w:ascii="Arial" w:hAnsi="Arial" w:cs="Arial"/>
          <w:sz w:val="24"/>
          <w:szCs w:val="24"/>
          <w:lang w:val="en-GB"/>
        </w:rPr>
        <w:t xml:space="preserve">the first </w:t>
      </w:r>
      <w:r>
        <w:rPr>
          <w:rFonts w:ascii="Arial" w:hAnsi="Arial" w:cs="Arial"/>
          <w:sz w:val="24"/>
          <w:szCs w:val="24"/>
          <w:lang w:val="en-GB"/>
        </w:rPr>
        <w:t>correspondence to the respondent.  In that correspon</w:t>
      </w:r>
      <w:r w:rsidR="0084144C">
        <w:rPr>
          <w:rFonts w:ascii="Arial" w:hAnsi="Arial" w:cs="Arial"/>
          <w:sz w:val="24"/>
          <w:szCs w:val="24"/>
          <w:lang w:val="en-GB"/>
        </w:rPr>
        <w:t>den</w:t>
      </w:r>
      <w:r>
        <w:rPr>
          <w:rFonts w:ascii="Arial" w:hAnsi="Arial" w:cs="Arial"/>
          <w:sz w:val="24"/>
          <w:szCs w:val="24"/>
          <w:lang w:val="en-GB"/>
        </w:rPr>
        <w:t xml:space="preserve">ce the </w:t>
      </w:r>
      <w:r w:rsidR="0084144C">
        <w:rPr>
          <w:rFonts w:ascii="Arial" w:hAnsi="Arial" w:cs="Arial"/>
          <w:sz w:val="24"/>
          <w:szCs w:val="24"/>
          <w:lang w:val="en-GB"/>
        </w:rPr>
        <w:t xml:space="preserve">applicant acknowledged receipt of the respondent’s letters, attached the judgment in the </w:t>
      </w:r>
      <w:r w:rsidR="0084144C" w:rsidRPr="00526FD8">
        <w:rPr>
          <w:rFonts w:ascii="Arial" w:hAnsi="Arial" w:cs="Arial"/>
          <w:i/>
          <w:sz w:val="24"/>
          <w:szCs w:val="24"/>
          <w:lang w:val="en-GB"/>
        </w:rPr>
        <w:t>Mfengwana</w:t>
      </w:r>
      <w:r w:rsidR="0084144C">
        <w:rPr>
          <w:rFonts w:ascii="Arial" w:hAnsi="Arial" w:cs="Arial"/>
          <w:sz w:val="24"/>
          <w:szCs w:val="24"/>
          <w:lang w:val="en-GB"/>
        </w:rPr>
        <w:t xml:space="preserve"> matter and requested the respondent to furnish it with a copy of the contingency fee agreement with </w:t>
      </w:r>
      <w:r w:rsidR="0084144C" w:rsidRPr="00526FD8">
        <w:rPr>
          <w:rFonts w:ascii="Arial" w:hAnsi="Arial" w:cs="Arial"/>
          <w:sz w:val="24"/>
          <w:szCs w:val="24"/>
          <w:lang w:val="en-GB"/>
        </w:rPr>
        <w:t>Mr Mfengwana</w:t>
      </w:r>
      <w:r w:rsidR="0084144C">
        <w:rPr>
          <w:rFonts w:ascii="Arial" w:hAnsi="Arial" w:cs="Arial"/>
          <w:sz w:val="24"/>
          <w:szCs w:val="24"/>
          <w:lang w:val="en-GB"/>
        </w:rPr>
        <w:t xml:space="preserve"> as well as copies of the affidavits which the court had directed the respondent to file.  It appears from the </w:t>
      </w:r>
      <w:r w:rsidR="0084144C" w:rsidRPr="00526FD8">
        <w:rPr>
          <w:rFonts w:ascii="Arial" w:hAnsi="Arial" w:cs="Arial"/>
          <w:i/>
          <w:sz w:val="24"/>
          <w:szCs w:val="24"/>
          <w:lang w:val="en-GB"/>
        </w:rPr>
        <w:t>Mfengwana</w:t>
      </w:r>
      <w:r w:rsidR="0084144C">
        <w:rPr>
          <w:rFonts w:ascii="Arial" w:hAnsi="Arial" w:cs="Arial"/>
          <w:sz w:val="24"/>
          <w:szCs w:val="24"/>
          <w:lang w:val="en-GB"/>
        </w:rPr>
        <w:t xml:space="preserve"> judgment that the court had issued an order in the following terms:</w:t>
      </w:r>
    </w:p>
    <w:p w14:paraId="50FDAF87" w14:textId="77777777" w:rsidR="0084144C" w:rsidRPr="00746FD0" w:rsidRDefault="0084144C" w:rsidP="00746FD0">
      <w:pPr>
        <w:spacing w:line="360" w:lineRule="auto"/>
        <w:ind w:left="852" w:hanging="284"/>
        <w:jc w:val="both"/>
        <w:rPr>
          <w:rFonts w:ascii="Arial" w:hAnsi="Arial" w:cs="Arial"/>
          <w:lang w:val="en-GB"/>
        </w:rPr>
      </w:pPr>
      <w:r w:rsidRPr="00746FD0">
        <w:rPr>
          <w:rFonts w:ascii="Arial" w:hAnsi="Arial" w:cs="Arial"/>
          <w:lang w:val="en-GB"/>
        </w:rPr>
        <w:lastRenderedPageBreak/>
        <w:t>“1. Mr Bulelani Rubushe</w:t>
      </w:r>
      <w:r w:rsidR="00422EFE">
        <w:rPr>
          <w:rFonts w:ascii="Arial" w:hAnsi="Arial" w:cs="Arial"/>
          <w:lang w:val="en-GB"/>
        </w:rPr>
        <w:t>,</w:t>
      </w:r>
      <w:r w:rsidRPr="00746FD0">
        <w:rPr>
          <w:rFonts w:ascii="Arial" w:hAnsi="Arial" w:cs="Arial"/>
          <w:lang w:val="en-GB"/>
        </w:rPr>
        <w:t xml:space="preserve"> the plaintiff’s attorney</w:t>
      </w:r>
      <w:r w:rsidR="00422EFE">
        <w:rPr>
          <w:rFonts w:ascii="Arial" w:hAnsi="Arial" w:cs="Arial"/>
          <w:lang w:val="en-GB"/>
        </w:rPr>
        <w:t>,</w:t>
      </w:r>
      <w:r w:rsidRPr="00746FD0">
        <w:rPr>
          <w:rFonts w:ascii="Arial" w:hAnsi="Arial" w:cs="Arial"/>
          <w:lang w:val="en-GB"/>
        </w:rPr>
        <w:t xml:space="preserve"> is directed to show cause on Tuesday 13 December 2016 why the contingency fee agreement between him and the plaintiff should not be set aside.</w:t>
      </w:r>
    </w:p>
    <w:p w14:paraId="2F43B5E5" w14:textId="77777777" w:rsidR="0084144C" w:rsidRPr="00746FD0" w:rsidRDefault="0084144C" w:rsidP="00746FD0">
      <w:pPr>
        <w:spacing w:line="360" w:lineRule="auto"/>
        <w:ind w:left="852" w:hanging="284"/>
        <w:jc w:val="both"/>
        <w:rPr>
          <w:rFonts w:ascii="Arial" w:hAnsi="Arial" w:cs="Arial"/>
          <w:lang w:val="en-GB"/>
        </w:rPr>
      </w:pPr>
      <w:r w:rsidRPr="00746FD0">
        <w:rPr>
          <w:rFonts w:ascii="Arial" w:hAnsi="Arial" w:cs="Arial"/>
          <w:lang w:val="en-GB"/>
        </w:rPr>
        <w:t>2. Mr Rubushe is furth</w:t>
      </w:r>
      <w:r w:rsidR="00422EFE">
        <w:rPr>
          <w:rFonts w:ascii="Arial" w:hAnsi="Arial" w:cs="Arial"/>
          <w:lang w:val="en-GB"/>
        </w:rPr>
        <w:t>er</w:t>
      </w:r>
      <w:r w:rsidRPr="00746FD0">
        <w:rPr>
          <w:rFonts w:ascii="Arial" w:hAnsi="Arial" w:cs="Arial"/>
          <w:lang w:val="en-GB"/>
        </w:rPr>
        <w:t>more directed to furnish affidavits deposed to by himself and the plaintiff, by 09h30 on Tuesday 13 December 2016, that comply fully with s</w:t>
      </w:r>
      <w:r w:rsidR="00422EFE">
        <w:rPr>
          <w:rFonts w:ascii="Arial" w:hAnsi="Arial" w:cs="Arial"/>
          <w:lang w:val="en-GB"/>
        </w:rPr>
        <w:t xml:space="preserve"> </w:t>
      </w:r>
      <w:r w:rsidRPr="00746FD0">
        <w:rPr>
          <w:rFonts w:ascii="Arial" w:hAnsi="Arial" w:cs="Arial"/>
          <w:lang w:val="en-GB"/>
        </w:rPr>
        <w:t>4 of the Contingency Fees Act 66 of 1997.”</w:t>
      </w:r>
      <w:r w:rsidRPr="00746FD0">
        <w:rPr>
          <w:rStyle w:val="FootnoteReference"/>
          <w:rFonts w:ascii="Arial" w:hAnsi="Arial" w:cs="Arial"/>
          <w:lang w:val="en-GB"/>
        </w:rPr>
        <w:footnoteReference w:id="2"/>
      </w:r>
    </w:p>
    <w:p w14:paraId="53A5E297" w14:textId="77777777" w:rsidR="0084144C" w:rsidRDefault="0084144C" w:rsidP="00AA2AFD">
      <w:pPr>
        <w:spacing w:line="480" w:lineRule="auto"/>
        <w:jc w:val="both"/>
        <w:rPr>
          <w:rFonts w:ascii="Arial" w:hAnsi="Arial" w:cs="Arial"/>
          <w:sz w:val="24"/>
          <w:szCs w:val="24"/>
          <w:lang w:val="en-GB"/>
        </w:rPr>
      </w:pPr>
      <w:r>
        <w:rPr>
          <w:rFonts w:ascii="Arial" w:hAnsi="Arial" w:cs="Arial"/>
          <w:sz w:val="24"/>
          <w:szCs w:val="24"/>
          <w:lang w:val="en-GB"/>
        </w:rPr>
        <w:t xml:space="preserve">[7] It is apposite to point out in parenthesis that the respondent ignored the order of Plasket J in this regard as he did not file any affidavits </w:t>
      </w:r>
      <w:r w:rsidR="00526FD8">
        <w:rPr>
          <w:rFonts w:ascii="Arial" w:hAnsi="Arial" w:cs="Arial"/>
          <w:sz w:val="24"/>
          <w:szCs w:val="24"/>
          <w:lang w:val="en-GB"/>
        </w:rPr>
        <w:t xml:space="preserve">and </w:t>
      </w:r>
      <w:r>
        <w:rPr>
          <w:rFonts w:ascii="Arial" w:hAnsi="Arial" w:cs="Arial"/>
          <w:sz w:val="24"/>
          <w:szCs w:val="24"/>
          <w:lang w:val="en-GB"/>
        </w:rPr>
        <w:t>in fact spurned the opportunity the court gave him to make representations to the court</w:t>
      </w:r>
      <w:r w:rsidR="00422EFE">
        <w:rPr>
          <w:rFonts w:ascii="Arial" w:hAnsi="Arial" w:cs="Arial"/>
          <w:sz w:val="24"/>
          <w:szCs w:val="24"/>
          <w:lang w:val="en-GB"/>
        </w:rPr>
        <w:t xml:space="preserve"> about why his contingency fee</w:t>
      </w:r>
      <w:r w:rsidR="00074053">
        <w:rPr>
          <w:rFonts w:ascii="Arial" w:hAnsi="Arial" w:cs="Arial"/>
          <w:sz w:val="24"/>
          <w:szCs w:val="24"/>
          <w:lang w:val="en-GB"/>
        </w:rPr>
        <w:t>s</w:t>
      </w:r>
      <w:r w:rsidR="00422EFE">
        <w:rPr>
          <w:rFonts w:ascii="Arial" w:hAnsi="Arial" w:cs="Arial"/>
          <w:sz w:val="24"/>
          <w:szCs w:val="24"/>
          <w:lang w:val="en-GB"/>
        </w:rPr>
        <w:t xml:space="preserve"> agreement with Mr Mfengwana should</w:t>
      </w:r>
      <w:r w:rsidR="00526FD8">
        <w:rPr>
          <w:rFonts w:ascii="Arial" w:hAnsi="Arial" w:cs="Arial"/>
          <w:sz w:val="24"/>
          <w:szCs w:val="24"/>
          <w:lang w:val="en-GB"/>
        </w:rPr>
        <w:t xml:space="preserve"> </w:t>
      </w:r>
      <w:r w:rsidR="00422EFE">
        <w:rPr>
          <w:rFonts w:ascii="Arial" w:hAnsi="Arial" w:cs="Arial"/>
          <w:sz w:val="24"/>
          <w:szCs w:val="24"/>
          <w:lang w:val="en-GB"/>
        </w:rPr>
        <w:t xml:space="preserve">not </w:t>
      </w:r>
      <w:r w:rsidR="00526FD8">
        <w:rPr>
          <w:rFonts w:ascii="Arial" w:hAnsi="Arial" w:cs="Arial"/>
          <w:sz w:val="24"/>
          <w:szCs w:val="24"/>
          <w:lang w:val="en-GB"/>
        </w:rPr>
        <w:t xml:space="preserve">be </w:t>
      </w:r>
      <w:r w:rsidR="00422EFE">
        <w:rPr>
          <w:rFonts w:ascii="Arial" w:hAnsi="Arial" w:cs="Arial"/>
          <w:sz w:val="24"/>
          <w:szCs w:val="24"/>
          <w:lang w:val="en-GB"/>
        </w:rPr>
        <w:t>set aside</w:t>
      </w:r>
      <w:r>
        <w:rPr>
          <w:rFonts w:ascii="Arial" w:hAnsi="Arial" w:cs="Arial"/>
          <w:sz w:val="24"/>
          <w:szCs w:val="24"/>
          <w:lang w:val="en-GB"/>
        </w:rPr>
        <w:t>.</w:t>
      </w:r>
      <w:r w:rsidR="00422EFE">
        <w:rPr>
          <w:rFonts w:ascii="Arial" w:hAnsi="Arial" w:cs="Arial"/>
          <w:sz w:val="24"/>
          <w:szCs w:val="24"/>
          <w:lang w:val="en-GB"/>
        </w:rPr>
        <w:t xml:space="preserve">  It therefore </w:t>
      </w:r>
      <w:r w:rsidR="00A96FE4">
        <w:rPr>
          <w:rFonts w:ascii="Arial" w:hAnsi="Arial" w:cs="Arial"/>
          <w:sz w:val="24"/>
          <w:szCs w:val="24"/>
          <w:lang w:val="en-GB"/>
        </w:rPr>
        <w:t>beggars belief</w:t>
      </w:r>
      <w:r w:rsidR="00422EFE">
        <w:rPr>
          <w:rFonts w:ascii="Arial" w:hAnsi="Arial" w:cs="Arial"/>
          <w:sz w:val="24"/>
          <w:szCs w:val="24"/>
          <w:lang w:val="en-GB"/>
        </w:rPr>
        <w:t xml:space="preserve"> </w:t>
      </w:r>
      <w:r w:rsidR="00526FD8">
        <w:rPr>
          <w:rFonts w:ascii="Arial" w:hAnsi="Arial" w:cs="Arial"/>
          <w:sz w:val="24"/>
          <w:szCs w:val="24"/>
          <w:lang w:val="en-GB"/>
        </w:rPr>
        <w:t xml:space="preserve">and defies all sense of logic </w:t>
      </w:r>
      <w:r w:rsidR="00422EFE">
        <w:rPr>
          <w:rFonts w:ascii="Arial" w:hAnsi="Arial" w:cs="Arial"/>
          <w:sz w:val="24"/>
          <w:szCs w:val="24"/>
          <w:lang w:val="en-GB"/>
        </w:rPr>
        <w:t>that he chose to write his letter dated 12 January 2017 to the applicant</w:t>
      </w:r>
      <w:r w:rsidR="0011410E">
        <w:rPr>
          <w:rFonts w:ascii="Arial" w:hAnsi="Arial" w:cs="Arial"/>
          <w:sz w:val="24"/>
          <w:szCs w:val="24"/>
          <w:lang w:val="en-GB"/>
        </w:rPr>
        <w:t>,</w:t>
      </w:r>
      <w:r w:rsidR="00422EFE">
        <w:rPr>
          <w:rFonts w:ascii="Arial" w:hAnsi="Arial" w:cs="Arial"/>
          <w:sz w:val="24"/>
          <w:szCs w:val="24"/>
          <w:lang w:val="en-GB"/>
        </w:rPr>
        <w:t xml:space="preserve"> effectively insulting Plasket J.</w:t>
      </w:r>
      <w:r w:rsidR="00526FD8">
        <w:rPr>
          <w:rFonts w:ascii="Arial" w:hAnsi="Arial" w:cs="Arial"/>
          <w:sz w:val="24"/>
          <w:szCs w:val="24"/>
          <w:lang w:val="en-GB"/>
        </w:rPr>
        <w:t xml:space="preserve">  He </w:t>
      </w:r>
      <w:r w:rsidR="00A96FE4">
        <w:rPr>
          <w:rFonts w:ascii="Arial" w:hAnsi="Arial" w:cs="Arial"/>
          <w:sz w:val="24"/>
          <w:szCs w:val="24"/>
          <w:lang w:val="en-GB"/>
        </w:rPr>
        <w:t>did not</w:t>
      </w:r>
      <w:r w:rsidR="00526FD8">
        <w:rPr>
          <w:rFonts w:ascii="Arial" w:hAnsi="Arial" w:cs="Arial"/>
          <w:sz w:val="24"/>
          <w:szCs w:val="24"/>
          <w:lang w:val="en-GB"/>
        </w:rPr>
        <w:t xml:space="preserve"> file </w:t>
      </w:r>
      <w:r w:rsidR="00A96FE4">
        <w:rPr>
          <w:rFonts w:ascii="Arial" w:hAnsi="Arial" w:cs="Arial"/>
          <w:sz w:val="24"/>
          <w:szCs w:val="24"/>
          <w:lang w:val="en-GB"/>
        </w:rPr>
        <w:t>the</w:t>
      </w:r>
      <w:r w:rsidR="00526FD8">
        <w:rPr>
          <w:rFonts w:ascii="Arial" w:hAnsi="Arial" w:cs="Arial"/>
          <w:sz w:val="24"/>
          <w:szCs w:val="24"/>
          <w:lang w:val="en-GB"/>
        </w:rPr>
        <w:t xml:space="preserve"> application for leave to appeal the judgment which he indicated he would file in his letter dated 16 January 2017.  In fact, he continued in his disrespectful and insulting language against Plasket</w:t>
      </w:r>
      <w:r w:rsidR="00A96FE4">
        <w:rPr>
          <w:rFonts w:ascii="Arial" w:hAnsi="Arial" w:cs="Arial"/>
          <w:sz w:val="24"/>
          <w:szCs w:val="24"/>
          <w:lang w:val="en-GB"/>
        </w:rPr>
        <w:t xml:space="preserve"> J</w:t>
      </w:r>
      <w:r w:rsidR="00526FD8">
        <w:rPr>
          <w:rFonts w:ascii="Arial" w:hAnsi="Arial" w:cs="Arial"/>
          <w:sz w:val="24"/>
          <w:szCs w:val="24"/>
          <w:lang w:val="en-GB"/>
        </w:rPr>
        <w:t xml:space="preserve"> up to the 18 January 2017 when the </w:t>
      </w:r>
      <w:r w:rsidR="00A96FE4">
        <w:rPr>
          <w:rFonts w:ascii="Arial" w:hAnsi="Arial" w:cs="Arial"/>
          <w:sz w:val="24"/>
          <w:szCs w:val="24"/>
          <w:lang w:val="en-GB"/>
        </w:rPr>
        <w:t>l</w:t>
      </w:r>
      <w:r w:rsidR="00526FD8">
        <w:rPr>
          <w:rFonts w:ascii="Arial" w:hAnsi="Arial" w:cs="Arial"/>
          <w:sz w:val="24"/>
          <w:szCs w:val="24"/>
          <w:lang w:val="en-GB"/>
        </w:rPr>
        <w:t xml:space="preserve">ast of these </w:t>
      </w:r>
      <w:r w:rsidR="005417FB">
        <w:rPr>
          <w:rFonts w:ascii="Arial" w:hAnsi="Arial" w:cs="Arial"/>
          <w:sz w:val="24"/>
          <w:szCs w:val="24"/>
          <w:lang w:val="en-GB"/>
        </w:rPr>
        <w:t>unprovoked</w:t>
      </w:r>
      <w:r w:rsidR="00526FD8">
        <w:rPr>
          <w:rFonts w:ascii="Arial" w:hAnsi="Arial" w:cs="Arial"/>
          <w:sz w:val="24"/>
          <w:szCs w:val="24"/>
          <w:lang w:val="en-GB"/>
        </w:rPr>
        <w:t xml:space="preserve"> letter</w:t>
      </w:r>
      <w:r w:rsidR="00C8279B">
        <w:rPr>
          <w:rFonts w:ascii="Arial" w:hAnsi="Arial" w:cs="Arial"/>
          <w:sz w:val="24"/>
          <w:szCs w:val="24"/>
          <w:lang w:val="en-GB"/>
        </w:rPr>
        <w:t>s</w:t>
      </w:r>
      <w:r w:rsidR="00526FD8">
        <w:rPr>
          <w:rFonts w:ascii="Arial" w:hAnsi="Arial" w:cs="Arial"/>
          <w:sz w:val="24"/>
          <w:szCs w:val="24"/>
          <w:lang w:val="en-GB"/>
        </w:rPr>
        <w:t xml:space="preserve"> </w:t>
      </w:r>
      <w:r w:rsidR="00C8279B">
        <w:rPr>
          <w:rFonts w:ascii="Arial" w:hAnsi="Arial" w:cs="Arial"/>
          <w:sz w:val="24"/>
          <w:szCs w:val="24"/>
          <w:lang w:val="en-GB"/>
        </w:rPr>
        <w:t xml:space="preserve">were </w:t>
      </w:r>
      <w:r w:rsidR="00526FD8">
        <w:rPr>
          <w:rFonts w:ascii="Arial" w:hAnsi="Arial" w:cs="Arial"/>
          <w:sz w:val="24"/>
          <w:szCs w:val="24"/>
          <w:lang w:val="en-GB"/>
        </w:rPr>
        <w:t>written.</w:t>
      </w:r>
    </w:p>
    <w:p w14:paraId="1DF290E0" w14:textId="77777777" w:rsidR="009F6103" w:rsidRDefault="009F6103" w:rsidP="00AA2AFD">
      <w:pPr>
        <w:spacing w:line="480" w:lineRule="auto"/>
        <w:jc w:val="both"/>
        <w:rPr>
          <w:rFonts w:ascii="Arial" w:hAnsi="Arial" w:cs="Arial"/>
          <w:sz w:val="24"/>
          <w:szCs w:val="24"/>
          <w:lang w:val="en-GB"/>
        </w:rPr>
      </w:pPr>
      <w:r>
        <w:rPr>
          <w:rFonts w:ascii="Arial" w:hAnsi="Arial" w:cs="Arial"/>
          <w:sz w:val="24"/>
          <w:szCs w:val="24"/>
          <w:lang w:val="en-GB"/>
        </w:rPr>
        <w:lastRenderedPageBreak/>
        <w:t xml:space="preserve">[8] </w:t>
      </w:r>
      <w:r w:rsidR="00074053">
        <w:rPr>
          <w:rFonts w:ascii="Arial" w:hAnsi="Arial" w:cs="Arial"/>
          <w:sz w:val="24"/>
          <w:szCs w:val="24"/>
          <w:lang w:val="en-GB"/>
        </w:rPr>
        <w:t xml:space="preserve">Having received the said judgment on 12 January 2017 the applicant began investigating the conduct of the respondent as it related to his dealings with his client, Mr Mfengwana.  </w:t>
      </w:r>
      <w:r>
        <w:rPr>
          <w:rFonts w:ascii="Arial" w:hAnsi="Arial" w:cs="Arial"/>
          <w:sz w:val="24"/>
          <w:szCs w:val="24"/>
          <w:lang w:val="en-GB"/>
        </w:rPr>
        <w:t xml:space="preserve">A lot of correspondence was exchanged between the applicant and the respondent as part of the </w:t>
      </w:r>
      <w:r w:rsidR="005417FB">
        <w:rPr>
          <w:rFonts w:ascii="Arial" w:hAnsi="Arial" w:cs="Arial"/>
          <w:sz w:val="24"/>
          <w:szCs w:val="24"/>
          <w:lang w:val="en-GB"/>
        </w:rPr>
        <w:t>applicant</w:t>
      </w:r>
      <w:r w:rsidR="00A96FE4">
        <w:rPr>
          <w:rFonts w:ascii="Arial" w:hAnsi="Arial" w:cs="Arial"/>
          <w:sz w:val="24"/>
          <w:szCs w:val="24"/>
          <w:lang w:val="en-GB"/>
        </w:rPr>
        <w:t>’</w:t>
      </w:r>
      <w:r w:rsidR="005417FB">
        <w:rPr>
          <w:rFonts w:ascii="Arial" w:hAnsi="Arial" w:cs="Arial"/>
          <w:sz w:val="24"/>
          <w:szCs w:val="24"/>
          <w:lang w:val="en-GB"/>
        </w:rPr>
        <w:t>s</w:t>
      </w:r>
      <w:r w:rsidR="00422EFE">
        <w:rPr>
          <w:rFonts w:ascii="Arial" w:hAnsi="Arial" w:cs="Arial"/>
          <w:sz w:val="24"/>
          <w:szCs w:val="24"/>
          <w:lang w:val="en-GB"/>
        </w:rPr>
        <w:t xml:space="preserve"> </w:t>
      </w:r>
      <w:r>
        <w:rPr>
          <w:rFonts w:ascii="Arial" w:hAnsi="Arial" w:cs="Arial"/>
          <w:sz w:val="24"/>
          <w:szCs w:val="24"/>
          <w:lang w:val="en-GB"/>
        </w:rPr>
        <w:t xml:space="preserve">process </w:t>
      </w:r>
      <w:r w:rsidR="005417FB">
        <w:rPr>
          <w:rFonts w:ascii="Arial" w:hAnsi="Arial" w:cs="Arial"/>
          <w:sz w:val="24"/>
          <w:szCs w:val="24"/>
          <w:lang w:val="en-GB"/>
        </w:rPr>
        <w:t xml:space="preserve">of </w:t>
      </w:r>
      <w:r>
        <w:rPr>
          <w:rFonts w:ascii="Arial" w:hAnsi="Arial" w:cs="Arial"/>
          <w:sz w:val="24"/>
          <w:szCs w:val="24"/>
          <w:lang w:val="en-GB"/>
        </w:rPr>
        <w:t>investigati</w:t>
      </w:r>
      <w:r w:rsidR="00422EFE">
        <w:rPr>
          <w:rFonts w:ascii="Arial" w:hAnsi="Arial" w:cs="Arial"/>
          <w:sz w:val="24"/>
          <w:szCs w:val="24"/>
          <w:lang w:val="en-GB"/>
        </w:rPr>
        <w:t>ng</w:t>
      </w:r>
      <w:r>
        <w:rPr>
          <w:rFonts w:ascii="Arial" w:hAnsi="Arial" w:cs="Arial"/>
          <w:sz w:val="24"/>
          <w:szCs w:val="24"/>
          <w:lang w:val="en-GB"/>
        </w:rPr>
        <w:t xml:space="preserve"> the complaint emanating from the </w:t>
      </w:r>
      <w:r w:rsidRPr="005417FB">
        <w:rPr>
          <w:rFonts w:ascii="Arial" w:hAnsi="Arial" w:cs="Arial"/>
          <w:i/>
          <w:sz w:val="24"/>
          <w:szCs w:val="24"/>
          <w:lang w:val="en-GB"/>
        </w:rPr>
        <w:t>Mfengwana</w:t>
      </w:r>
      <w:r>
        <w:rPr>
          <w:rFonts w:ascii="Arial" w:hAnsi="Arial" w:cs="Arial"/>
          <w:sz w:val="24"/>
          <w:szCs w:val="24"/>
          <w:lang w:val="en-GB"/>
        </w:rPr>
        <w:t xml:space="preserve"> judgment</w:t>
      </w:r>
      <w:r w:rsidR="00422EFE">
        <w:rPr>
          <w:rFonts w:ascii="Arial" w:hAnsi="Arial" w:cs="Arial"/>
          <w:sz w:val="24"/>
          <w:szCs w:val="24"/>
          <w:lang w:val="en-GB"/>
        </w:rPr>
        <w:t xml:space="preserve"> and giving the respondent a hearing</w:t>
      </w:r>
      <w:r>
        <w:rPr>
          <w:rFonts w:ascii="Arial" w:hAnsi="Arial" w:cs="Arial"/>
          <w:sz w:val="24"/>
          <w:szCs w:val="24"/>
          <w:lang w:val="en-GB"/>
        </w:rPr>
        <w:t>.  No useful purpose</w:t>
      </w:r>
      <w:r w:rsidR="00E13A9A">
        <w:rPr>
          <w:rFonts w:ascii="Arial" w:hAnsi="Arial" w:cs="Arial"/>
          <w:sz w:val="24"/>
          <w:szCs w:val="24"/>
          <w:lang w:val="en-GB"/>
        </w:rPr>
        <w:t xml:space="preserve"> will be served by analysing the said correspondence.  That correspondence included different bills of costs which had been </w:t>
      </w:r>
      <w:r w:rsidR="00422EFE">
        <w:rPr>
          <w:rFonts w:ascii="Arial" w:hAnsi="Arial" w:cs="Arial"/>
          <w:sz w:val="24"/>
          <w:szCs w:val="24"/>
          <w:lang w:val="en-GB"/>
        </w:rPr>
        <w:t xml:space="preserve">submitted </w:t>
      </w:r>
      <w:r w:rsidR="00E13A9A">
        <w:rPr>
          <w:rFonts w:ascii="Arial" w:hAnsi="Arial" w:cs="Arial"/>
          <w:sz w:val="24"/>
          <w:szCs w:val="24"/>
          <w:lang w:val="en-GB"/>
        </w:rPr>
        <w:t xml:space="preserve">by the respondent to the applicant.  The applicant appointed a cost consultant to advise it regarding the respondent’s bill of costs.  </w:t>
      </w:r>
    </w:p>
    <w:p w14:paraId="7DACA8EE" w14:textId="77777777" w:rsidR="000B72B4" w:rsidRDefault="000B72B4" w:rsidP="00AA2AFD">
      <w:pPr>
        <w:spacing w:line="480" w:lineRule="auto"/>
        <w:jc w:val="both"/>
        <w:rPr>
          <w:rFonts w:ascii="Arial" w:hAnsi="Arial" w:cs="Arial"/>
          <w:sz w:val="24"/>
          <w:szCs w:val="24"/>
          <w:lang w:val="en-GB"/>
        </w:rPr>
      </w:pPr>
      <w:r>
        <w:rPr>
          <w:rFonts w:ascii="Arial" w:hAnsi="Arial" w:cs="Arial"/>
          <w:sz w:val="24"/>
          <w:szCs w:val="24"/>
          <w:lang w:val="en-GB"/>
        </w:rPr>
        <w:t>[</w:t>
      </w:r>
      <w:r w:rsidR="003347AC">
        <w:rPr>
          <w:rFonts w:ascii="Arial" w:hAnsi="Arial" w:cs="Arial"/>
          <w:sz w:val="24"/>
          <w:szCs w:val="24"/>
          <w:lang w:val="en-GB"/>
        </w:rPr>
        <w:t>9</w:t>
      </w:r>
      <w:r>
        <w:rPr>
          <w:rFonts w:ascii="Arial" w:hAnsi="Arial" w:cs="Arial"/>
          <w:sz w:val="24"/>
          <w:szCs w:val="24"/>
          <w:lang w:val="en-GB"/>
        </w:rPr>
        <w:t xml:space="preserve">] </w:t>
      </w:r>
      <w:r w:rsidR="00422EFE">
        <w:rPr>
          <w:rFonts w:ascii="Arial" w:hAnsi="Arial" w:cs="Arial"/>
          <w:sz w:val="24"/>
          <w:szCs w:val="24"/>
          <w:lang w:val="en-GB"/>
        </w:rPr>
        <w:t>After</w:t>
      </w:r>
      <w:r>
        <w:rPr>
          <w:rFonts w:ascii="Arial" w:hAnsi="Arial" w:cs="Arial"/>
          <w:sz w:val="24"/>
          <w:szCs w:val="24"/>
          <w:lang w:val="en-GB"/>
        </w:rPr>
        <w:t xml:space="preserve"> receiv</w:t>
      </w:r>
      <w:r w:rsidR="00422EFE">
        <w:rPr>
          <w:rFonts w:ascii="Arial" w:hAnsi="Arial" w:cs="Arial"/>
          <w:sz w:val="24"/>
          <w:szCs w:val="24"/>
          <w:lang w:val="en-GB"/>
        </w:rPr>
        <w:t>ing</w:t>
      </w:r>
      <w:r>
        <w:rPr>
          <w:rFonts w:ascii="Arial" w:hAnsi="Arial" w:cs="Arial"/>
          <w:sz w:val="24"/>
          <w:szCs w:val="24"/>
          <w:lang w:val="en-GB"/>
        </w:rPr>
        <w:t xml:space="preserve"> </w:t>
      </w:r>
      <w:r w:rsidR="00422EFE">
        <w:rPr>
          <w:rFonts w:ascii="Arial" w:hAnsi="Arial" w:cs="Arial"/>
          <w:sz w:val="24"/>
          <w:szCs w:val="24"/>
          <w:lang w:val="en-GB"/>
        </w:rPr>
        <w:t xml:space="preserve">a </w:t>
      </w:r>
      <w:r>
        <w:rPr>
          <w:rFonts w:ascii="Arial" w:hAnsi="Arial" w:cs="Arial"/>
          <w:sz w:val="24"/>
          <w:szCs w:val="24"/>
          <w:lang w:val="en-GB"/>
        </w:rPr>
        <w:t xml:space="preserve">report </w:t>
      </w:r>
      <w:r w:rsidR="00422EFE">
        <w:rPr>
          <w:rFonts w:ascii="Arial" w:hAnsi="Arial" w:cs="Arial"/>
          <w:sz w:val="24"/>
          <w:szCs w:val="24"/>
          <w:lang w:val="en-GB"/>
        </w:rPr>
        <w:t>from</w:t>
      </w:r>
      <w:r>
        <w:rPr>
          <w:rFonts w:ascii="Arial" w:hAnsi="Arial" w:cs="Arial"/>
          <w:sz w:val="24"/>
          <w:szCs w:val="24"/>
          <w:lang w:val="en-GB"/>
        </w:rPr>
        <w:t xml:space="preserve"> its cost consultant the applicant requested </w:t>
      </w:r>
      <w:r w:rsidR="00422EFE">
        <w:rPr>
          <w:rFonts w:ascii="Arial" w:hAnsi="Arial" w:cs="Arial"/>
          <w:sz w:val="24"/>
          <w:szCs w:val="24"/>
          <w:lang w:val="en-GB"/>
        </w:rPr>
        <w:t xml:space="preserve">the said </w:t>
      </w:r>
      <w:r>
        <w:rPr>
          <w:rFonts w:ascii="Arial" w:hAnsi="Arial" w:cs="Arial"/>
          <w:sz w:val="24"/>
          <w:szCs w:val="24"/>
          <w:lang w:val="en-GB"/>
        </w:rPr>
        <w:t>cost consultant to provide it with a detaile</w:t>
      </w:r>
      <w:r w:rsidR="005417FB">
        <w:rPr>
          <w:rFonts w:ascii="Arial" w:hAnsi="Arial" w:cs="Arial"/>
          <w:sz w:val="24"/>
          <w:szCs w:val="24"/>
          <w:lang w:val="en-GB"/>
        </w:rPr>
        <w:t>d memorandum setting out what he</w:t>
      </w:r>
      <w:r>
        <w:rPr>
          <w:rFonts w:ascii="Arial" w:hAnsi="Arial" w:cs="Arial"/>
          <w:sz w:val="24"/>
          <w:szCs w:val="24"/>
          <w:lang w:val="en-GB"/>
        </w:rPr>
        <w:t xml:space="preserve"> considered to be overreaching of his c</w:t>
      </w:r>
      <w:r w:rsidR="00422EFE">
        <w:rPr>
          <w:rFonts w:ascii="Arial" w:hAnsi="Arial" w:cs="Arial"/>
          <w:sz w:val="24"/>
          <w:szCs w:val="24"/>
          <w:lang w:val="en-GB"/>
        </w:rPr>
        <w:t>lien</w:t>
      </w:r>
      <w:r>
        <w:rPr>
          <w:rFonts w:ascii="Arial" w:hAnsi="Arial" w:cs="Arial"/>
          <w:sz w:val="24"/>
          <w:szCs w:val="24"/>
          <w:lang w:val="en-GB"/>
        </w:rPr>
        <w:t>t by the respondent.  It does not appear</w:t>
      </w:r>
      <w:r w:rsidR="008C3118">
        <w:rPr>
          <w:rFonts w:ascii="Arial" w:hAnsi="Arial" w:cs="Arial"/>
          <w:sz w:val="24"/>
          <w:szCs w:val="24"/>
          <w:lang w:val="en-GB"/>
        </w:rPr>
        <w:t xml:space="preserve"> that the respondent was given a</w:t>
      </w:r>
      <w:r>
        <w:rPr>
          <w:rFonts w:ascii="Arial" w:hAnsi="Arial" w:cs="Arial"/>
          <w:sz w:val="24"/>
          <w:szCs w:val="24"/>
          <w:lang w:val="en-GB"/>
        </w:rPr>
        <w:t>n opportunity to comment on the said report and the memorandum.  However</w:t>
      </w:r>
      <w:r w:rsidR="00A96FE4">
        <w:rPr>
          <w:rFonts w:ascii="Arial" w:hAnsi="Arial" w:cs="Arial"/>
          <w:sz w:val="24"/>
          <w:szCs w:val="24"/>
          <w:lang w:val="en-GB"/>
        </w:rPr>
        <w:t>,</w:t>
      </w:r>
      <w:r>
        <w:rPr>
          <w:rFonts w:ascii="Arial" w:hAnsi="Arial" w:cs="Arial"/>
          <w:sz w:val="24"/>
          <w:szCs w:val="24"/>
          <w:lang w:val="en-GB"/>
        </w:rPr>
        <w:t xml:space="preserve"> in </w:t>
      </w:r>
      <w:r w:rsidR="00422EFE">
        <w:rPr>
          <w:rFonts w:ascii="Arial" w:hAnsi="Arial" w:cs="Arial"/>
          <w:sz w:val="24"/>
          <w:szCs w:val="24"/>
          <w:lang w:val="en-GB"/>
        </w:rPr>
        <w:t>this</w:t>
      </w:r>
      <w:r>
        <w:rPr>
          <w:rFonts w:ascii="Arial" w:hAnsi="Arial" w:cs="Arial"/>
          <w:sz w:val="24"/>
          <w:szCs w:val="24"/>
          <w:lang w:val="en-GB"/>
        </w:rPr>
        <w:t xml:space="preserve"> application the applicant has annexed to its founding affidavit the various bills of costs that the respondent had prepared including the said report and memorandum of the applicant’s cost consultant.  The said memorandum chronicles in quite some </w:t>
      </w:r>
      <w:r w:rsidR="00DC0FEF">
        <w:rPr>
          <w:rFonts w:ascii="Arial" w:hAnsi="Arial" w:cs="Arial"/>
          <w:sz w:val="24"/>
          <w:szCs w:val="24"/>
          <w:lang w:val="en-GB"/>
        </w:rPr>
        <w:t>graphic</w:t>
      </w:r>
      <w:r>
        <w:rPr>
          <w:rFonts w:ascii="Arial" w:hAnsi="Arial" w:cs="Arial"/>
          <w:sz w:val="24"/>
          <w:szCs w:val="24"/>
          <w:lang w:val="en-GB"/>
        </w:rPr>
        <w:t xml:space="preserve"> detail how </w:t>
      </w:r>
      <w:r w:rsidR="00D936E8">
        <w:rPr>
          <w:rFonts w:ascii="Arial" w:hAnsi="Arial" w:cs="Arial"/>
          <w:sz w:val="24"/>
          <w:szCs w:val="24"/>
          <w:lang w:val="en-GB"/>
        </w:rPr>
        <w:t>an attempt was made to take advantage of Mr Mfengwana.</w:t>
      </w:r>
    </w:p>
    <w:p w14:paraId="63D99E35" w14:textId="77777777" w:rsidR="008C3118" w:rsidRDefault="008C3118" w:rsidP="00AA2AFD">
      <w:pPr>
        <w:spacing w:line="480" w:lineRule="auto"/>
        <w:jc w:val="both"/>
        <w:rPr>
          <w:rFonts w:ascii="Arial" w:hAnsi="Arial" w:cs="Arial"/>
          <w:sz w:val="24"/>
          <w:szCs w:val="24"/>
          <w:lang w:val="en-GB"/>
        </w:rPr>
      </w:pPr>
      <w:r>
        <w:rPr>
          <w:rFonts w:ascii="Arial" w:hAnsi="Arial" w:cs="Arial"/>
          <w:sz w:val="24"/>
          <w:szCs w:val="24"/>
          <w:lang w:val="en-GB"/>
        </w:rPr>
        <w:t>[1</w:t>
      </w:r>
      <w:r w:rsidR="003347AC">
        <w:rPr>
          <w:rFonts w:ascii="Arial" w:hAnsi="Arial" w:cs="Arial"/>
          <w:sz w:val="24"/>
          <w:szCs w:val="24"/>
          <w:lang w:val="en-GB"/>
        </w:rPr>
        <w:t>0</w:t>
      </w:r>
      <w:r>
        <w:rPr>
          <w:rFonts w:ascii="Arial" w:hAnsi="Arial" w:cs="Arial"/>
          <w:sz w:val="24"/>
          <w:szCs w:val="24"/>
          <w:lang w:val="en-GB"/>
        </w:rPr>
        <w:t>] The contents of all the documents attached to the founding affidavit</w:t>
      </w:r>
      <w:r w:rsidR="003D2EC3">
        <w:rPr>
          <w:rFonts w:ascii="Arial" w:hAnsi="Arial" w:cs="Arial"/>
          <w:sz w:val="24"/>
          <w:szCs w:val="24"/>
          <w:lang w:val="en-GB"/>
        </w:rPr>
        <w:t>,</w:t>
      </w:r>
      <w:r>
        <w:rPr>
          <w:rFonts w:ascii="Arial" w:hAnsi="Arial" w:cs="Arial"/>
          <w:sz w:val="24"/>
          <w:szCs w:val="24"/>
          <w:lang w:val="en-GB"/>
        </w:rPr>
        <w:t xml:space="preserve"> including the said memorandum</w:t>
      </w:r>
      <w:r w:rsidR="003D2EC3">
        <w:rPr>
          <w:rFonts w:ascii="Arial" w:hAnsi="Arial" w:cs="Arial"/>
          <w:sz w:val="24"/>
          <w:szCs w:val="24"/>
          <w:lang w:val="en-GB"/>
        </w:rPr>
        <w:t>,</w:t>
      </w:r>
      <w:r>
        <w:rPr>
          <w:rFonts w:ascii="Arial" w:hAnsi="Arial" w:cs="Arial"/>
          <w:sz w:val="24"/>
          <w:szCs w:val="24"/>
          <w:lang w:val="en-GB"/>
        </w:rPr>
        <w:t xml:space="preserve"> are not disputed by the respondent in his answering affidavit.  He gives some other explanation without disputing </w:t>
      </w:r>
      <w:r w:rsidR="00A96FE4">
        <w:rPr>
          <w:rFonts w:ascii="Arial" w:hAnsi="Arial" w:cs="Arial"/>
          <w:sz w:val="24"/>
          <w:szCs w:val="24"/>
          <w:lang w:val="en-GB"/>
        </w:rPr>
        <w:t xml:space="preserve">or in any way challenging </w:t>
      </w:r>
      <w:r>
        <w:rPr>
          <w:rFonts w:ascii="Arial" w:hAnsi="Arial" w:cs="Arial"/>
          <w:sz w:val="24"/>
          <w:szCs w:val="24"/>
          <w:lang w:val="en-GB"/>
        </w:rPr>
        <w:t>the findings of the applicant’s cost consultant.  I therefore consider them to be admitted and therefore common cause.  That being the case</w:t>
      </w:r>
      <w:r w:rsidR="00C835D2">
        <w:rPr>
          <w:rFonts w:ascii="Arial" w:hAnsi="Arial" w:cs="Arial"/>
          <w:sz w:val="24"/>
          <w:szCs w:val="24"/>
          <w:lang w:val="en-GB"/>
        </w:rPr>
        <w:t>,</w:t>
      </w:r>
      <w:r>
        <w:rPr>
          <w:rFonts w:ascii="Arial" w:hAnsi="Arial" w:cs="Arial"/>
          <w:sz w:val="24"/>
          <w:szCs w:val="24"/>
          <w:lang w:val="en-GB"/>
        </w:rPr>
        <w:t xml:space="preserve"> and because of the nature of the relief sought by the applicant</w:t>
      </w:r>
      <w:r w:rsidR="00C835D2">
        <w:rPr>
          <w:rFonts w:ascii="Arial" w:hAnsi="Arial" w:cs="Arial"/>
          <w:sz w:val="24"/>
          <w:szCs w:val="24"/>
          <w:lang w:val="en-GB"/>
        </w:rPr>
        <w:t>,</w:t>
      </w:r>
      <w:r>
        <w:rPr>
          <w:rFonts w:ascii="Arial" w:hAnsi="Arial" w:cs="Arial"/>
          <w:sz w:val="24"/>
          <w:szCs w:val="24"/>
          <w:lang w:val="en-GB"/>
        </w:rPr>
        <w:t xml:space="preserve"> I deem it necessary to set out </w:t>
      </w:r>
      <w:r w:rsidR="00D936E8">
        <w:rPr>
          <w:rFonts w:ascii="Arial" w:hAnsi="Arial" w:cs="Arial"/>
          <w:sz w:val="24"/>
          <w:szCs w:val="24"/>
          <w:lang w:val="en-GB"/>
        </w:rPr>
        <w:t xml:space="preserve">the contents of the memorandum </w:t>
      </w:r>
      <w:r>
        <w:rPr>
          <w:rFonts w:ascii="Arial" w:hAnsi="Arial" w:cs="Arial"/>
          <w:sz w:val="24"/>
          <w:szCs w:val="24"/>
          <w:lang w:val="en-GB"/>
        </w:rPr>
        <w:t>as reflected in the founding affidavit</w:t>
      </w:r>
      <w:r w:rsidR="005417FB">
        <w:rPr>
          <w:rFonts w:ascii="Arial" w:hAnsi="Arial" w:cs="Arial"/>
          <w:sz w:val="24"/>
          <w:szCs w:val="24"/>
          <w:lang w:val="en-GB"/>
        </w:rPr>
        <w:t>.  T</w:t>
      </w:r>
      <w:r>
        <w:rPr>
          <w:rFonts w:ascii="Arial" w:hAnsi="Arial" w:cs="Arial"/>
          <w:sz w:val="24"/>
          <w:szCs w:val="24"/>
          <w:lang w:val="en-GB"/>
        </w:rPr>
        <w:t xml:space="preserve">he respondent’s complete </w:t>
      </w:r>
      <w:r>
        <w:rPr>
          <w:rFonts w:ascii="Arial" w:hAnsi="Arial" w:cs="Arial"/>
          <w:sz w:val="24"/>
          <w:szCs w:val="24"/>
          <w:lang w:val="en-GB"/>
        </w:rPr>
        <w:lastRenderedPageBreak/>
        <w:t xml:space="preserve">disregard for ethical probity and integrity </w:t>
      </w:r>
      <w:r w:rsidR="005417FB">
        <w:rPr>
          <w:rFonts w:ascii="Arial" w:hAnsi="Arial" w:cs="Arial"/>
          <w:sz w:val="24"/>
          <w:szCs w:val="24"/>
          <w:lang w:val="en-GB"/>
        </w:rPr>
        <w:t xml:space="preserve">is breath-taking and the memorandum graphically </w:t>
      </w:r>
      <w:r>
        <w:rPr>
          <w:rFonts w:ascii="Arial" w:hAnsi="Arial" w:cs="Arial"/>
          <w:sz w:val="24"/>
          <w:szCs w:val="24"/>
          <w:lang w:val="en-GB"/>
        </w:rPr>
        <w:t>illustrate</w:t>
      </w:r>
      <w:r w:rsidR="00D936E8">
        <w:rPr>
          <w:rFonts w:ascii="Arial" w:hAnsi="Arial" w:cs="Arial"/>
          <w:sz w:val="24"/>
          <w:szCs w:val="24"/>
          <w:lang w:val="en-GB"/>
        </w:rPr>
        <w:t>s</w:t>
      </w:r>
      <w:r>
        <w:rPr>
          <w:rFonts w:ascii="Arial" w:hAnsi="Arial" w:cs="Arial"/>
          <w:sz w:val="24"/>
          <w:szCs w:val="24"/>
          <w:lang w:val="en-GB"/>
        </w:rPr>
        <w:t xml:space="preserve"> the </w:t>
      </w:r>
      <w:r w:rsidR="00A96FE4">
        <w:rPr>
          <w:rFonts w:ascii="Arial" w:hAnsi="Arial" w:cs="Arial"/>
          <w:sz w:val="24"/>
          <w:szCs w:val="24"/>
          <w:lang w:val="en-GB"/>
        </w:rPr>
        <w:t>“</w:t>
      </w:r>
      <w:r>
        <w:rPr>
          <w:rFonts w:ascii="Arial" w:hAnsi="Arial" w:cs="Arial"/>
          <w:sz w:val="24"/>
          <w:szCs w:val="24"/>
          <w:lang w:val="en-GB"/>
        </w:rPr>
        <w:t>rapacious and unconscionable conduct</w:t>
      </w:r>
      <w:r w:rsidR="00A96FE4">
        <w:rPr>
          <w:rFonts w:ascii="Arial" w:hAnsi="Arial" w:cs="Arial"/>
          <w:sz w:val="24"/>
          <w:szCs w:val="24"/>
          <w:lang w:val="en-GB"/>
        </w:rPr>
        <w:t>”</w:t>
      </w:r>
      <w:r>
        <w:rPr>
          <w:rFonts w:ascii="Arial" w:hAnsi="Arial" w:cs="Arial"/>
          <w:sz w:val="24"/>
          <w:szCs w:val="24"/>
          <w:lang w:val="en-GB"/>
        </w:rPr>
        <w:t xml:space="preserve"> of the respondent that the </w:t>
      </w:r>
      <w:r w:rsidR="00D936E8">
        <w:rPr>
          <w:rFonts w:ascii="Arial" w:hAnsi="Arial" w:cs="Arial"/>
          <w:sz w:val="24"/>
          <w:szCs w:val="24"/>
          <w:lang w:val="en-GB"/>
        </w:rPr>
        <w:t>c</w:t>
      </w:r>
      <w:r>
        <w:rPr>
          <w:rFonts w:ascii="Arial" w:hAnsi="Arial" w:cs="Arial"/>
          <w:sz w:val="24"/>
          <w:szCs w:val="24"/>
          <w:lang w:val="en-GB"/>
        </w:rPr>
        <w:t xml:space="preserve">ourt referred to in the </w:t>
      </w:r>
      <w:r w:rsidRPr="00D936E8">
        <w:rPr>
          <w:rFonts w:ascii="Arial" w:hAnsi="Arial" w:cs="Arial"/>
          <w:i/>
          <w:sz w:val="24"/>
          <w:szCs w:val="24"/>
          <w:lang w:val="en-GB"/>
        </w:rPr>
        <w:t xml:space="preserve">Mfengwana </w:t>
      </w:r>
      <w:r>
        <w:rPr>
          <w:rFonts w:ascii="Arial" w:hAnsi="Arial" w:cs="Arial"/>
          <w:sz w:val="24"/>
          <w:szCs w:val="24"/>
          <w:lang w:val="en-GB"/>
        </w:rPr>
        <w:t>judgment.</w:t>
      </w:r>
    </w:p>
    <w:p w14:paraId="2E9738E3" w14:textId="77777777" w:rsidR="008C3118" w:rsidRDefault="008C3118" w:rsidP="00AA2AFD">
      <w:pPr>
        <w:spacing w:line="480" w:lineRule="auto"/>
        <w:jc w:val="both"/>
        <w:rPr>
          <w:rFonts w:ascii="Arial" w:hAnsi="Arial" w:cs="Arial"/>
          <w:sz w:val="24"/>
          <w:szCs w:val="24"/>
          <w:lang w:val="en-GB"/>
        </w:rPr>
      </w:pPr>
      <w:r>
        <w:rPr>
          <w:rFonts w:ascii="Arial" w:hAnsi="Arial" w:cs="Arial"/>
          <w:sz w:val="24"/>
          <w:szCs w:val="24"/>
          <w:lang w:val="en-GB"/>
        </w:rPr>
        <w:t>[1</w:t>
      </w:r>
      <w:r w:rsidR="003347AC">
        <w:rPr>
          <w:rFonts w:ascii="Arial" w:hAnsi="Arial" w:cs="Arial"/>
          <w:sz w:val="24"/>
          <w:szCs w:val="24"/>
          <w:lang w:val="en-GB"/>
        </w:rPr>
        <w:t>1</w:t>
      </w:r>
      <w:r>
        <w:rPr>
          <w:rFonts w:ascii="Arial" w:hAnsi="Arial" w:cs="Arial"/>
          <w:sz w:val="24"/>
          <w:szCs w:val="24"/>
          <w:lang w:val="en-GB"/>
        </w:rPr>
        <w:t>] Some of the contents of the memorandum prepared by the applicant’s costs consult</w:t>
      </w:r>
      <w:r w:rsidR="00A96FE4">
        <w:rPr>
          <w:rFonts w:ascii="Arial" w:hAnsi="Arial" w:cs="Arial"/>
          <w:sz w:val="24"/>
          <w:szCs w:val="24"/>
          <w:lang w:val="en-GB"/>
        </w:rPr>
        <w:t>ant</w:t>
      </w:r>
      <w:r w:rsidR="00C835D2">
        <w:rPr>
          <w:rFonts w:ascii="Arial" w:hAnsi="Arial" w:cs="Arial"/>
          <w:sz w:val="24"/>
          <w:szCs w:val="24"/>
          <w:lang w:val="en-GB"/>
        </w:rPr>
        <w:t>,</w:t>
      </w:r>
      <w:r>
        <w:rPr>
          <w:rFonts w:ascii="Arial" w:hAnsi="Arial" w:cs="Arial"/>
          <w:sz w:val="24"/>
          <w:szCs w:val="24"/>
          <w:lang w:val="en-GB"/>
        </w:rPr>
        <w:t xml:space="preserve"> which in essence the respondent admits to the extent that he does not dispute any of </w:t>
      </w:r>
      <w:r w:rsidR="00D936E8">
        <w:rPr>
          <w:rFonts w:ascii="Arial" w:hAnsi="Arial" w:cs="Arial"/>
          <w:sz w:val="24"/>
          <w:szCs w:val="24"/>
          <w:lang w:val="en-GB"/>
        </w:rPr>
        <w:t xml:space="preserve">them </w:t>
      </w:r>
      <w:r w:rsidR="00A96FE4">
        <w:rPr>
          <w:rFonts w:ascii="Arial" w:hAnsi="Arial" w:cs="Arial"/>
          <w:sz w:val="24"/>
          <w:szCs w:val="24"/>
          <w:lang w:val="en-GB"/>
        </w:rPr>
        <w:t>or confront them</w:t>
      </w:r>
      <w:r w:rsidR="00C835D2">
        <w:rPr>
          <w:rFonts w:ascii="Arial" w:hAnsi="Arial" w:cs="Arial"/>
          <w:sz w:val="24"/>
          <w:szCs w:val="24"/>
          <w:lang w:val="en-GB"/>
        </w:rPr>
        <w:t>,</w:t>
      </w:r>
      <w:r w:rsidR="00A96FE4">
        <w:rPr>
          <w:rFonts w:ascii="Arial" w:hAnsi="Arial" w:cs="Arial"/>
          <w:sz w:val="24"/>
          <w:szCs w:val="24"/>
          <w:lang w:val="en-GB"/>
        </w:rPr>
        <w:t xml:space="preserve"> </w:t>
      </w:r>
      <w:r>
        <w:rPr>
          <w:rFonts w:ascii="Arial" w:hAnsi="Arial" w:cs="Arial"/>
          <w:sz w:val="24"/>
          <w:szCs w:val="24"/>
          <w:lang w:val="en-GB"/>
        </w:rPr>
        <w:t>are detailed as follows in the founding affidavit:</w:t>
      </w:r>
    </w:p>
    <w:p w14:paraId="7A6E29F0" w14:textId="77777777" w:rsidR="008C3118" w:rsidRPr="002E72FB" w:rsidRDefault="008C3118" w:rsidP="002E72FB">
      <w:pPr>
        <w:spacing w:line="360" w:lineRule="auto"/>
        <w:ind w:left="1134" w:hanging="567"/>
        <w:jc w:val="both"/>
        <w:rPr>
          <w:rFonts w:ascii="Arial" w:hAnsi="Arial" w:cs="Arial"/>
          <w:lang w:val="en-GB"/>
        </w:rPr>
      </w:pPr>
      <w:r w:rsidRPr="002E72FB">
        <w:rPr>
          <w:rFonts w:ascii="Arial" w:hAnsi="Arial" w:cs="Arial"/>
          <w:lang w:val="en-GB"/>
        </w:rPr>
        <w:t xml:space="preserve">“28.1 </w:t>
      </w:r>
      <w:r w:rsidR="00746FD0" w:rsidRPr="002E72FB">
        <w:rPr>
          <w:rFonts w:ascii="Arial" w:hAnsi="Arial" w:cs="Arial"/>
          <w:lang w:val="en-GB"/>
        </w:rPr>
        <w:t xml:space="preserve">The </w:t>
      </w:r>
      <w:r w:rsidR="00D936E8">
        <w:rPr>
          <w:rFonts w:ascii="Arial" w:hAnsi="Arial" w:cs="Arial"/>
          <w:lang w:val="en-GB"/>
        </w:rPr>
        <w:t>R</w:t>
      </w:r>
      <w:r w:rsidR="00746FD0" w:rsidRPr="002E72FB">
        <w:rPr>
          <w:rFonts w:ascii="Arial" w:hAnsi="Arial" w:cs="Arial"/>
          <w:lang w:val="en-GB"/>
        </w:rPr>
        <w:t>espondent had drafted and issued four separate bills in the matter, the first with fees in the sum of R84 023.50 and disbursements in the sum of R61 877.57 (the bill had 293 items).  The second bill had fees in the sum of R76 659.50 and disbursements in the sum of R60 737.57 (the bill had 293 items).  The third bill had fees in the sum of R</w:t>
      </w:r>
      <w:r w:rsidR="00214A03" w:rsidRPr="002E72FB">
        <w:rPr>
          <w:rFonts w:ascii="Arial" w:hAnsi="Arial" w:cs="Arial"/>
          <w:lang w:val="en-GB"/>
        </w:rPr>
        <w:t xml:space="preserve">101 630.00 and disbursements in the sum of R101 987.57 (363 items).  The fourth bill had fees in the sum of R268 054.50 and disbursements in the sum of R143 819.68 (687 items); </w:t>
      </w:r>
    </w:p>
    <w:p w14:paraId="6F4BD558" w14:textId="77777777" w:rsidR="00214A03" w:rsidRPr="002E72FB" w:rsidRDefault="00214A03" w:rsidP="002E72FB">
      <w:pPr>
        <w:spacing w:line="360" w:lineRule="auto"/>
        <w:ind w:left="1134" w:hanging="567"/>
        <w:jc w:val="both"/>
        <w:rPr>
          <w:rFonts w:ascii="Arial" w:hAnsi="Arial" w:cs="Arial"/>
          <w:lang w:val="en-GB"/>
        </w:rPr>
      </w:pPr>
      <w:r w:rsidRPr="002E72FB">
        <w:rPr>
          <w:rFonts w:ascii="Arial" w:hAnsi="Arial" w:cs="Arial"/>
          <w:lang w:val="en-GB"/>
        </w:rPr>
        <w:t xml:space="preserve">28.2 The </w:t>
      </w:r>
      <w:r w:rsidR="00D936E8">
        <w:rPr>
          <w:rFonts w:ascii="Arial" w:hAnsi="Arial" w:cs="Arial"/>
          <w:lang w:val="en-GB"/>
        </w:rPr>
        <w:t>R</w:t>
      </w:r>
      <w:r w:rsidRPr="002E72FB">
        <w:rPr>
          <w:rFonts w:ascii="Arial" w:hAnsi="Arial" w:cs="Arial"/>
          <w:lang w:val="en-GB"/>
        </w:rPr>
        <w:t xml:space="preserve">espondent had charged a total of R121 668.00 for travelling time and expenses, with the majority of the attendances reflecting travelling to the Road Accident Fund to deliver correspondence and travelling to the Post Office.  The cost of letters to the Road Accident Fund or to the Post Office, which is billed on the tariff of R105.50, was increased to R1 122.00 when added to the travelling; </w:t>
      </w:r>
    </w:p>
    <w:p w14:paraId="4B44863B" w14:textId="77777777" w:rsidR="00214A03" w:rsidRPr="002E72FB" w:rsidRDefault="00214A03" w:rsidP="002E72FB">
      <w:pPr>
        <w:spacing w:line="360" w:lineRule="auto"/>
        <w:ind w:left="1134" w:hanging="567"/>
        <w:jc w:val="both"/>
        <w:rPr>
          <w:rFonts w:ascii="Arial" w:hAnsi="Arial" w:cs="Arial"/>
          <w:lang w:val="en-GB"/>
        </w:rPr>
      </w:pPr>
      <w:r w:rsidRPr="002E72FB">
        <w:rPr>
          <w:rFonts w:ascii="Arial" w:hAnsi="Arial" w:cs="Arial"/>
          <w:lang w:val="en-GB"/>
        </w:rPr>
        <w:t xml:space="preserve">28.3 The </w:t>
      </w:r>
      <w:r w:rsidR="00D936E8">
        <w:rPr>
          <w:rFonts w:ascii="Arial" w:hAnsi="Arial" w:cs="Arial"/>
          <w:lang w:val="en-GB"/>
        </w:rPr>
        <w:t>R</w:t>
      </w:r>
      <w:r w:rsidRPr="002E72FB">
        <w:rPr>
          <w:rFonts w:ascii="Arial" w:hAnsi="Arial" w:cs="Arial"/>
          <w:lang w:val="en-GB"/>
        </w:rPr>
        <w:t xml:space="preserve">espondent charged R2 204.00 to deliver the summons to the sheriff and to collect same, which is in itself overreaching and which was dealt with by this Honuorable Court in the case of </w:t>
      </w:r>
      <w:r w:rsidRPr="002E72FB">
        <w:rPr>
          <w:rFonts w:ascii="Arial" w:hAnsi="Arial" w:cs="Arial"/>
          <w:i/>
          <w:lang w:val="en-GB"/>
        </w:rPr>
        <w:t>Dumse v Mpambaniso</w:t>
      </w:r>
      <w:r w:rsidRPr="002E72FB">
        <w:rPr>
          <w:rFonts w:ascii="Arial" w:hAnsi="Arial" w:cs="Arial"/>
          <w:lang w:val="en-GB"/>
        </w:rPr>
        <w:t xml:space="preserve">; </w:t>
      </w:r>
    </w:p>
    <w:p w14:paraId="1EDE699D" w14:textId="77777777" w:rsidR="00214A03" w:rsidRPr="002E72FB" w:rsidRDefault="00214A03" w:rsidP="002E72FB">
      <w:pPr>
        <w:spacing w:line="360" w:lineRule="auto"/>
        <w:ind w:left="1134" w:hanging="567"/>
        <w:jc w:val="both"/>
        <w:rPr>
          <w:rFonts w:ascii="Arial" w:hAnsi="Arial" w:cs="Arial"/>
          <w:lang w:val="en-GB"/>
        </w:rPr>
      </w:pPr>
      <w:r w:rsidRPr="002E72FB">
        <w:rPr>
          <w:rFonts w:ascii="Arial" w:hAnsi="Arial" w:cs="Arial"/>
          <w:lang w:val="en-GB"/>
        </w:rPr>
        <w:t xml:space="preserve">28.4 There were various fees that were </w:t>
      </w:r>
      <w:r w:rsidR="00D936E8">
        <w:rPr>
          <w:rFonts w:ascii="Arial" w:hAnsi="Arial" w:cs="Arial"/>
          <w:lang w:val="en-GB"/>
        </w:rPr>
        <w:t xml:space="preserve">charged where </w:t>
      </w:r>
      <w:r w:rsidRPr="002E72FB">
        <w:rPr>
          <w:rFonts w:ascii="Arial" w:hAnsi="Arial" w:cs="Arial"/>
          <w:lang w:val="en-GB"/>
        </w:rPr>
        <w:t xml:space="preserve">the work had not been done by the </w:t>
      </w:r>
      <w:r w:rsidR="00D936E8">
        <w:rPr>
          <w:rFonts w:ascii="Arial" w:hAnsi="Arial" w:cs="Arial"/>
          <w:lang w:val="en-GB"/>
        </w:rPr>
        <w:t>R</w:t>
      </w:r>
      <w:r w:rsidRPr="002E72FB">
        <w:rPr>
          <w:rFonts w:ascii="Arial" w:hAnsi="Arial" w:cs="Arial"/>
          <w:lang w:val="en-GB"/>
        </w:rPr>
        <w:t xml:space="preserve">espondent, which included charging for consultations, inspections in </w:t>
      </w:r>
      <w:r w:rsidRPr="002E72FB">
        <w:rPr>
          <w:rFonts w:ascii="Arial" w:hAnsi="Arial" w:cs="Arial"/>
          <w:i/>
          <w:lang w:val="en-GB"/>
        </w:rPr>
        <w:t>loco</w:t>
      </w:r>
      <w:r w:rsidR="00A11523" w:rsidRPr="002E72FB">
        <w:rPr>
          <w:rFonts w:ascii="Arial" w:hAnsi="Arial" w:cs="Arial"/>
          <w:lang w:val="en-GB"/>
        </w:rPr>
        <w:t xml:space="preserve"> and telephone calls which did not take place;</w:t>
      </w:r>
    </w:p>
    <w:p w14:paraId="55868041" w14:textId="77777777" w:rsidR="00A11523" w:rsidRPr="002E72FB" w:rsidRDefault="00A11523" w:rsidP="002E72FB">
      <w:pPr>
        <w:spacing w:line="360" w:lineRule="auto"/>
        <w:ind w:left="1134" w:hanging="567"/>
        <w:jc w:val="both"/>
        <w:rPr>
          <w:rFonts w:ascii="Arial" w:hAnsi="Arial" w:cs="Arial"/>
          <w:lang w:val="en-GB"/>
        </w:rPr>
      </w:pPr>
      <w:r w:rsidRPr="002E72FB">
        <w:rPr>
          <w:rFonts w:ascii="Arial" w:hAnsi="Arial" w:cs="Arial"/>
          <w:lang w:val="en-GB"/>
        </w:rPr>
        <w:t xml:space="preserve">28.5 The </w:t>
      </w:r>
      <w:r w:rsidR="00D936E8">
        <w:rPr>
          <w:rFonts w:ascii="Arial" w:hAnsi="Arial" w:cs="Arial"/>
          <w:lang w:val="en-GB"/>
        </w:rPr>
        <w:t>R</w:t>
      </w:r>
      <w:r w:rsidRPr="002E72FB">
        <w:rPr>
          <w:rFonts w:ascii="Arial" w:hAnsi="Arial" w:cs="Arial"/>
          <w:lang w:val="en-GB"/>
        </w:rPr>
        <w:t>espondent could not produce any file notes or records for numerous items contained in the bill, including travelling;</w:t>
      </w:r>
    </w:p>
    <w:p w14:paraId="23F31DC0" w14:textId="77777777" w:rsidR="00A11523" w:rsidRPr="002E72FB" w:rsidRDefault="00A11523" w:rsidP="002E72FB">
      <w:pPr>
        <w:spacing w:line="360" w:lineRule="auto"/>
        <w:ind w:left="1134" w:hanging="567"/>
        <w:jc w:val="both"/>
        <w:rPr>
          <w:rFonts w:ascii="Arial" w:hAnsi="Arial" w:cs="Arial"/>
          <w:lang w:val="en-GB"/>
        </w:rPr>
      </w:pPr>
      <w:r w:rsidRPr="002E72FB">
        <w:rPr>
          <w:rFonts w:ascii="Arial" w:hAnsi="Arial" w:cs="Arial"/>
          <w:lang w:val="en-GB"/>
        </w:rPr>
        <w:t xml:space="preserve">28.6 The </w:t>
      </w:r>
      <w:r w:rsidR="00D936E8">
        <w:rPr>
          <w:rFonts w:ascii="Arial" w:hAnsi="Arial" w:cs="Arial"/>
          <w:lang w:val="en-GB"/>
        </w:rPr>
        <w:t>R</w:t>
      </w:r>
      <w:r w:rsidRPr="002E72FB">
        <w:rPr>
          <w:rFonts w:ascii="Arial" w:hAnsi="Arial" w:cs="Arial"/>
          <w:lang w:val="en-GB"/>
        </w:rPr>
        <w:t>espondent charged for arranging for a witness to sign the power of attorney, consent to inspect police records and consent to inspect medical records, which witness was a member of the respondent’s staff;</w:t>
      </w:r>
    </w:p>
    <w:p w14:paraId="40C903F3" w14:textId="77777777" w:rsidR="00A11523" w:rsidRPr="002E72FB" w:rsidRDefault="00A11523" w:rsidP="002E72FB">
      <w:pPr>
        <w:spacing w:line="360" w:lineRule="auto"/>
        <w:ind w:left="1134" w:hanging="567"/>
        <w:jc w:val="both"/>
        <w:rPr>
          <w:rFonts w:ascii="Arial" w:hAnsi="Arial" w:cs="Arial"/>
          <w:lang w:val="en-GB"/>
        </w:rPr>
      </w:pPr>
      <w:r w:rsidRPr="002E72FB">
        <w:rPr>
          <w:rFonts w:ascii="Arial" w:hAnsi="Arial" w:cs="Arial"/>
          <w:lang w:val="en-GB"/>
        </w:rPr>
        <w:t>28.7 The first three bills reflected an initial consultation of one hour, while the fourth bill reflected a consultation lasting two hours;</w:t>
      </w:r>
    </w:p>
    <w:p w14:paraId="7AA959C4" w14:textId="77777777" w:rsidR="00A11523" w:rsidRPr="002E72FB" w:rsidRDefault="00A11523" w:rsidP="002E72FB">
      <w:pPr>
        <w:spacing w:line="360" w:lineRule="auto"/>
        <w:ind w:left="1134" w:hanging="567"/>
        <w:jc w:val="both"/>
        <w:rPr>
          <w:rFonts w:ascii="Arial" w:hAnsi="Arial" w:cs="Arial"/>
          <w:lang w:val="en-GB"/>
        </w:rPr>
      </w:pPr>
      <w:r w:rsidRPr="002E72FB">
        <w:rPr>
          <w:rFonts w:ascii="Arial" w:hAnsi="Arial" w:cs="Arial"/>
          <w:lang w:val="en-GB"/>
        </w:rPr>
        <w:lastRenderedPageBreak/>
        <w:t xml:space="preserve">28.8 The </w:t>
      </w:r>
      <w:r w:rsidR="00D936E8">
        <w:rPr>
          <w:rFonts w:ascii="Arial" w:hAnsi="Arial" w:cs="Arial"/>
          <w:lang w:val="en-GB"/>
        </w:rPr>
        <w:t>R</w:t>
      </w:r>
      <w:r w:rsidRPr="002E72FB">
        <w:rPr>
          <w:rFonts w:ascii="Arial" w:hAnsi="Arial" w:cs="Arial"/>
          <w:lang w:val="en-GB"/>
        </w:rPr>
        <w:t xml:space="preserve">espondent charged for drafting the </w:t>
      </w:r>
      <w:r w:rsidR="00D936E8">
        <w:rPr>
          <w:rFonts w:ascii="Arial" w:hAnsi="Arial" w:cs="Arial"/>
          <w:lang w:val="en-GB"/>
        </w:rPr>
        <w:t>S</w:t>
      </w:r>
      <w:r w:rsidRPr="002E72FB">
        <w:rPr>
          <w:rFonts w:ascii="Arial" w:hAnsi="Arial" w:cs="Arial"/>
          <w:lang w:val="en-GB"/>
        </w:rPr>
        <w:t xml:space="preserve">ummons and </w:t>
      </w:r>
      <w:r w:rsidR="00D936E8">
        <w:rPr>
          <w:rFonts w:ascii="Arial" w:hAnsi="Arial" w:cs="Arial"/>
          <w:lang w:val="en-GB"/>
        </w:rPr>
        <w:t>P</w:t>
      </w:r>
      <w:r w:rsidRPr="002E72FB">
        <w:rPr>
          <w:rFonts w:ascii="Arial" w:hAnsi="Arial" w:cs="Arial"/>
          <w:lang w:val="en-GB"/>
        </w:rPr>
        <w:t xml:space="preserve">articulars of </w:t>
      </w:r>
      <w:r w:rsidR="00D936E8">
        <w:rPr>
          <w:rFonts w:ascii="Arial" w:hAnsi="Arial" w:cs="Arial"/>
          <w:lang w:val="en-GB"/>
        </w:rPr>
        <w:t>C</w:t>
      </w:r>
      <w:r w:rsidRPr="002E72FB">
        <w:rPr>
          <w:rFonts w:ascii="Arial" w:hAnsi="Arial" w:cs="Arial"/>
          <w:lang w:val="en-GB"/>
        </w:rPr>
        <w:t>laim and</w:t>
      </w:r>
      <w:r w:rsidR="00D936E8">
        <w:rPr>
          <w:rFonts w:ascii="Arial" w:hAnsi="Arial" w:cs="Arial"/>
          <w:lang w:val="en-GB"/>
        </w:rPr>
        <w:t>,</w:t>
      </w:r>
      <w:r w:rsidRPr="002E72FB">
        <w:rPr>
          <w:rFonts w:ascii="Arial" w:hAnsi="Arial" w:cs="Arial"/>
          <w:lang w:val="en-GB"/>
        </w:rPr>
        <w:t xml:space="preserve"> after they had been issued, again charged for the perusal thereof;</w:t>
      </w:r>
    </w:p>
    <w:p w14:paraId="4DE5A1E6" w14:textId="77777777" w:rsidR="00A11523" w:rsidRPr="002E72FB" w:rsidRDefault="00A11523" w:rsidP="002E72FB">
      <w:pPr>
        <w:spacing w:line="360" w:lineRule="auto"/>
        <w:ind w:left="1134" w:hanging="567"/>
        <w:jc w:val="both"/>
        <w:rPr>
          <w:rFonts w:ascii="Arial" w:hAnsi="Arial" w:cs="Arial"/>
          <w:lang w:val="en-GB"/>
        </w:rPr>
      </w:pPr>
      <w:r w:rsidRPr="002E72FB">
        <w:rPr>
          <w:rFonts w:ascii="Arial" w:hAnsi="Arial" w:cs="Arial"/>
          <w:lang w:val="en-GB"/>
        </w:rPr>
        <w:t xml:space="preserve">28.9 Despite the </w:t>
      </w:r>
      <w:r w:rsidR="00D936E8">
        <w:rPr>
          <w:rFonts w:ascii="Arial" w:hAnsi="Arial" w:cs="Arial"/>
          <w:lang w:val="en-GB"/>
        </w:rPr>
        <w:t>R</w:t>
      </w:r>
      <w:r w:rsidRPr="002E72FB">
        <w:rPr>
          <w:rFonts w:ascii="Arial" w:hAnsi="Arial" w:cs="Arial"/>
          <w:lang w:val="en-GB"/>
        </w:rPr>
        <w:t xml:space="preserve">espondent practising as an attorney in East London, he charged for a telephone call to phone the </w:t>
      </w:r>
      <w:r w:rsidR="00D936E8">
        <w:rPr>
          <w:rFonts w:ascii="Arial" w:hAnsi="Arial" w:cs="Arial"/>
          <w:lang w:val="en-GB"/>
        </w:rPr>
        <w:t>S</w:t>
      </w:r>
      <w:r w:rsidRPr="002E72FB">
        <w:rPr>
          <w:rFonts w:ascii="Arial" w:hAnsi="Arial" w:cs="Arial"/>
          <w:lang w:val="en-GB"/>
        </w:rPr>
        <w:t>heriff to determine whether the Road Accident Fund was in their jurisdiction;</w:t>
      </w:r>
    </w:p>
    <w:p w14:paraId="7D80CB65" w14:textId="77777777" w:rsidR="00A11523" w:rsidRPr="002E72FB" w:rsidRDefault="00A11523" w:rsidP="002E72FB">
      <w:pPr>
        <w:spacing w:line="360" w:lineRule="auto"/>
        <w:ind w:left="1276" w:hanging="709"/>
        <w:jc w:val="both"/>
        <w:rPr>
          <w:rFonts w:ascii="Arial" w:hAnsi="Arial" w:cs="Arial"/>
          <w:lang w:val="en-GB"/>
        </w:rPr>
      </w:pPr>
      <w:r w:rsidRPr="002E72FB">
        <w:rPr>
          <w:rFonts w:ascii="Arial" w:hAnsi="Arial" w:cs="Arial"/>
          <w:lang w:val="en-GB"/>
        </w:rPr>
        <w:t xml:space="preserve">28.10 The </w:t>
      </w:r>
      <w:r w:rsidR="00D936E8">
        <w:rPr>
          <w:rFonts w:ascii="Arial" w:hAnsi="Arial" w:cs="Arial"/>
          <w:lang w:val="en-GB"/>
        </w:rPr>
        <w:t>R</w:t>
      </w:r>
      <w:r w:rsidRPr="002E72FB">
        <w:rPr>
          <w:rFonts w:ascii="Arial" w:hAnsi="Arial" w:cs="Arial"/>
          <w:lang w:val="en-GB"/>
        </w:rPr>
        <w:t>espondent claimed that there were 168 pages in the index, however the main index comprised 14 pages, and the miscellaneous index 37 pages</w:t>
      </w:r>
      <w:r w:rsidR="002E72FB" w:rsidRPr="002E72FB">
        <w:rPr>
          <w:rFonts w:ascii="Arial" w:hAnsi="Arial" w:cs="Arial"/>
          <w:lang w:val="en-GB"/>
        </w:rPr>
        <w:t>;</w:t>
      </w:r>
    </w:p>
    <w:p w14:paraId="5107CF89" w14:textId="77777777" w:rsidR="002E72FB" w:rsidRPr="002E72FB" w:rsidRDefault="002E72FB" w:rsidP="002E72FB">
      <w:pPr>
        <w:spacing w:line="360" w:lineRule="auto"/>
        <w:ind w:left="1276" w:hanging="709"/>
        <w:jc w:val="both"/>
        <w:rPr>
          <w:rFonts w:ascii="Arial" w:hAnsi="Arial" w:cs="Arial"/>
          <w:lang w:val="en-GB"/>
        </w:rPr>
      </w:pPr>
      <w:r w:rsidRPr="002E72FB">
        <w:rPr>
          <w:rFonts w:ascii="Arial" w:hAnsi="Arial" w:cs="Arial"/>
          <w:lang w:val="en-GB"/>
        </w:rPr>
        <w:t xml:space="preserve">28.11 The respondent charged for items after he withdrew as attorney of record for Mr Mfengwana, and included </w:t>
      </w:r>
      <w:r w:rsidR="00C835D2">
        <w:rPr>
          <w:rFonts w:ascii="Arial" w:hAnsi="Arial" w:cs="Arial"/>
          <w:lang w:val="en-GB"/>
        </w:rPr>
        <w:t xml:space="preserve">an </w:t>
      </w:r>
      <w:r w:rsidRPr="002E72FB">
        <w:rPr>
          <w:rFonts w:ascii="Arial" w:hAnsi="Arial" w:cs="Arial"/>
          <w:lang w:val="en-GB"/>
        </w:rPr>
        <w:t>opinion from an advocate (at a cost of R5 985.00) regarding the validity of his contingency fee agreement.  The respondent further, despite having withdrawn, proceeded to settle the party and party costs on 23 January 2017 and 22 March 2017;</w:t>
      </w:r>
    </w:p>
    <w:p w14:paraId="33B19FB3" w14:textId="77777777" w:rsidR="008C3118" w:rsidRPr="002E72FB" w:rsidRDefault="002E72FB" w:rsidP="002E72FB">
      <w:pPr>
        <w:spacing w:line="360" w:lineRule="auto"/>
        <w:ind w:left="1276" w:hanging="709"/>
        <w:jc w:val="both"/>
        <w:rPr>
          <w:rFonts w:ascii="Arial" w:hAnsi="Arial" w:cs="Arial"/>
          <w:lang w:val="en-GB"/>
        </w:rPr>
      </w:pPr>
      <w:r w:rsidRPr="002E72FB">
        <w:rPr>
          <w:rFonts w:ascii="Arial" w:hAnsi="Arial" w:cs="Arial"/>
          <w:lang w:val="en-GB"/>
        </w:rPr>
        <w:t xml:space="preserve">28.12 The only conclusion to be drawn is that the respondent sought to take unfair advantage of a lay litigant, where he sought to </w:t>
      </w:r>
      <w:r w:rsidR="00D936E8">
        <w:rPr>
          <w:rFonts w:ascii="Arial" w:hAnsi="Arial" w:cs="Arial"/>
          <w:lang w:val="en-GB"/>
        </w:rPr>
        <w:t>re</w:t>
      </w:r>
      <w:r w:rsidRPr="002E72FB">
        <w:rPr>
          <w:rFonts w:ascii="Arial" w:hAnsi="Arial" w:cs="Arial"/>
          <w:lang w:val="en-GB"/>
        </w:rPr>
        <w:t>cover fees to which he was not entitled.”</w:t>
      </w:r>
    </w:p>
    <w:p w14:paraId="40486334" w14:textId="77777777" w:rsidR="008C3118" w:rsidRDefault="00DE14B0" w:rsidP="00AA2AFD">
      <w:pPr>
        <w:spacing w:line="480" w:lineRule="auto"/>
        <w:jc w:val="both"/>
        <w:rPr>
          <w:rFonts w:ascii="Arial" w:hAnsi="Arial" w:cs="Arial"/>
          <w:sz w:val="24"/>
          <w:szCs w:val="24"/>
          <w:lang w:val="en-GB"/>
        </w:rPr>
      </w:pPr>
      <w:r>
        <w:rPr>
          <w:rFonts w:ascii="Arial" w:hAnsi="Arial" w:cs="Arial"/>
          <w:sz w:val="24"/>
          <w:szCs w:val="24"/>
          <w:lang w:val="en-GB"/>
        </w:rPr>
        <w:t>[1</w:t>
      </w:r>
      <w:r w:rsidR="003347AC">
        <w:rPr>
          <w:rFonts w:ascii="Arial" w:hAnsi="Arial" w:cs="Arial"/>
          <w:sz w:val="24"/>
          <w:szCs w:val="24"/>
          <w:lang w:val="en-GB"/>
        </w:rPr>
        <w:t>2</w:t>
      </w:r>
      <w:r>
        <w:rPr>
          <w:rFonts w:ascii="Arial" w:hAnsi="Arial" w:cs="Arial"/>
          <w:sz w:val="24"/>
          <w:szCs w:val="24"/>
          <w:lang w:val="en-GB"/>
        </w:rPr>
        <w:t xml:space="preserve">] Another aspect of the respondent’s shockingly unethical conduct is reflected in an application issued by Mr Mfengwana against his own attorney, the respondent under case number 3469/2017.  In that application Mr Mfengwana sought and obtained relief in </w:t>
      </w:r>
      <w:r w:rsidR="00646A55">
        <w:rPr>
          <w:rFonts w:ascii="Arial" w:hAnsi="Arial" w:cs="Arial"/>
          <w:sz w:val="24"/>
          <w:szCs w:val="24"/>
          <w:lang w:val="en-GB"/>
        </w:rPr>
        <w:t xml:space="preserve">terms of </w:t>
      </w:r>
      <w:r>
        <w:rPr>
          <w:rFonts w:ascii="Arial" w:hAnsi="Arial" w:cs="Arial"/>
          <w:sz w:val="24"/>
          <w:szCs w:val="24"/>
          <w:lang w:val="en-GB"/>
        </w:rPr>
        <w:t xml:space="preserve">which the respondent was ordered to pay to him the sum of R204 889.17.  The respondent was also ordered to make available to Mr Mfengwana his entire original file in respect of his claim against the Road Accident Fund.  That application was not resisted by the respondent </w:t>
      </w:r>
      <w:r w:rsidR="00E62B7E">
        <w:rPr>
          <w:rFonts w:ascii="Arial" w:hAnsi="Arial" w:cs="Arial"/>
          <w:sz w:val="24"/>
          <w:szCs w:val="24"/>
          <w:lang w:val="en-GB"/>
        </w:rPr>
        <w:t>and Mr Mfengwana</w:t>
      </w:r>
      <w:r>
        <w:rPr>
          <w:rFonts w:ascii="Arial" w:hAnsi="Arial" w:cs="Arial"/>
          <w:sz w:val="24"/>
          <w:szCs w:val="24"/>
          <w:lang w:val="en-GB"/>
        </w:rPr>
        <w:t xml:space="preserve"> obtained the relief he sought including an order for costs of the said application on an attorney and </w:t>
      </w:r>
      <w:r w:rsidR="00E62B7E">
        <w:rPr>
          <w:rFonts w:ascii="Arial" w:hAnsi="Arial" w:cs="Arial"/>
          <w:sz w:val="24"/>
          <w:szCs w:val="24"/>
          <w:lang w:val="en-GB"/>
        </w:rPr>
        <w:t>clien</w:t>
      </w:r>
      <w:r>
        <w:rPr>
          <w:rFonts w:ascii="Arial" w:hAnsi="Arial" w:cs="Arial"/>
          <w:sz w:val="24"/>
          <w:szCs w:val="24"/>
          <w:lang w:val="en-GB"/>
        </w:rPr>
        <w:t>t scale.</w:t>
      </w:r>
    </w:p>
    <w:p w14:paraId="34129F2D" w14:textId="77777777" w:rsidR="00DE14B0" w:rsidRDefault="00DE14B0" w:rsidP="00AA2AFD">
      <w:pPr>
        <w:spacing w:line="480" w:lineRule="auto"/>
        <w:jc w:val="both"/>
        <w:rPr>
          <w:rFonts w:ascii="Arial" w:hAnsi="Arial" w:cs="Arial"/>
          <w:sz w:val="24"/>
          <w:szCs w:val="24"/>
          <w:lang w:val="en-GB"/>
        </w:rPr>
      </w:pPr>
      <w:r>
        <w:rPr>
          <w:rFonts w:ascii="Arial" w:hAnsi="Arial" w:cs="Arial"/>
          <w:sz w:val="24"/>
          <w:szCs w:val="24"/>
          <w:lang w:val="en-GB"/>
        </w:rPr>
        <w:t>[1</w:t>
      </w:r>
      <w:r w:rsidR="003347AC">
        <w:rPr>
          <w:rFonts w:ascii="Arial" w:hAnsi="Arial" w:cs="Arial"/>
          <w:sz w:val="24"/>
          <w:szCs w:val="24"/>
          <w:lang w:val="en-GB"/>
        </w:rPr>
        <w:t>3</w:t>
      </w:r>
      <w:r>
        <w:rPr>
          <w:rFonts w:ascii="Arial" w:hAnsi="Arial" w:cs="Arial"/>
          <w:sz w:val="24"/>
          <w:szCs w:val="24"/>
          <w:lang w:val="en-GB"/>
        </w:rPr>
        <w:t xml:space="preserve">] There are many disturbing allegations </w:t>
      </w:r>
      <w:r w:rsidR="00A96FE4">
        <w:rPr>
          <w:rFonts w:ascii="Arial" w:hAnsi="Arial" w:cs="Arial"/>
          <w:sz w:val="24"/>
          <w:szCs w:val="24"/>
          <w:lang w:val="en-GB"/>
        </w:rPr>
        <w:t xml:space="preserve">made </w:t>
      </w:r>
      <w:r>
        <w:rPr>
          <w:rFonts w:ascii="Arial" w:hAnsi="Arial" w:cs="Arial"/>
          <w:sz w:val="24"/>
          <w:szCs w:val="24"/>
          <w:lang w:val="en-GB"/>
        </w:rPr>
        <w:t xml:space="preserve">by Mr Mfengwana against the respondent in case number 3469/2017.  Interestingly, the respondent did not oppose </w:t>
      </w:r>
      <w:r w:rsidR="00646A55">
        <w:rPr>
          <w:rFonts w:ascii="Arial" w:hAnsi="Arial" w:cs="Arial"/>
          <w:sz w:val="24"/>
          <w:szCs w:val="24"/>
          <w:lang w:val="en-GB"/>
        </w:rPr>
        <w:t xml:space="preserve">the </w:t>
      </w:r>
      <w:r w:rsidR="00A96FE4">
        <w:rPr>
          <w:rFonts w:ascii="Arial" w:hAnsi="Arial" w:cs="Arial"/>
          <w:sz w:val="24"/>
          <w:szCs w:val="24"/>
          <w:lang w:val="en-GB"/>
        </w:rPr>
        <w:t xml:space="preserve">said </w:t>
      </w:r>
      <w:r w:rsidR="00646A55">
        <w:rPr>
          <w:rFonts w:ascii="Arial" w:hAnsi="Arial" w:cs="Arial"/>
          <w:sz w:val="24"/>
          <w:szCs w:val="24"/>
          <w:lang w:val="en-GB"/>
        </w:rPr>
        <w:t xml:space="preserve">application or dispute </w:t>
      </w:r>
      <w:r>
        <w:rPr>
          <w:rFonts w:ascii="Arial" w:hAnsi="Arial" w:cs="Arial"/>
          <w:sz w:val="24"/>
          <w:szCs w:val="24"/>
          <w:lang w:val="en-GB"/>
        </w:rPr>
        <w:t>any of the said allegations despite the seriousness thereof.</w:t>
      </w:r>
      <w:r w:rsidR="00382FB8">
        <w:rPr>
          <w:rFonts w:ascii="Arial" w:hAnsi="Arial" w:cs="Arial"/>
          <w:sz w:val="24"/>
          <w:szCs w:val="24"/>
          <w:lang w:val="en-GB"/>
        </w:rPr>
        <w:t xml:space="preserve">  In addition to everything else</w:t>
      </w:r>
      <w:r w:rsidR="00FE0289">
        <w:rPr>
          <w:rFonts w:ascii="Arial" w:hAnsi="Arial" w:cs="Arial"/>
          <w:sz w:val="24"/>
          <w:szCs w:val="24"/>
          <w:lang w:val="en-GB"/>
        </w:rPr>
        <w:t>,</w:t>
      </w:r>
      <w:r w:rsidR="00382FB8">
        <w:rPr>
          <w:rFonts w:ascii="Arial" w:hAnsi="Arial" w:cs="Arial"/>
          <w:sz w:val="24"/>
          <w:szCs w:val="24"/>
          <w:lang w:val="en-GB"/>
        </w:rPr>
        <w:t xml:space="preserve"> but just focusin</w:t>
      </w:r>
      <w:r w:rsidR="00E62B7E">
        <w:rPr>
          <w:rFonts w:ascii="Arial" w:hAnsi="Arial" w:cs="Arial"/>
          <w:sz w:val="24"/>
          <w:szCs w:val="24"/>
          <w:lang w:val="en-GB"/>
        </w:rPr>
        <w:t>g on Mr Mfengwana’s application,</w:t>
      </w:r>
      <w:r w:rsidR="00382FB8">
        <w:rPr>
          <w:rFonts w:ascii="Arial" w:hAnsi="Arial" w:cs="Arial"/>
          <w:sz w:val="24"/>
          <w:szCs w:val="24"/>
          <w:lang w:val="en-GB"/>
        </w:rPr>
        <w:t xml:space="preserve"> I find it particularly disturbing that on 28 November 2016 the matter of </w:t>
      </w:r>
      <w:r w:rsidR="00382FB8">
        <w:rPr>
          <w:rFonts w:ascii="Arial" w:hAnsi="Arial" w:cs="Arial"/>
          <w:sz w:val="24"/>
          <w:szCs w:val="24"/>
          <w:lang w:val="en-GB"/>
        </w:rPr>
        <w:lastRenderedPageBreak/>
        <w:t xml:space="preserve">Mfengwana v </w:t>
      </w:r>
      <w:r w:rsidR="002E72FB">
        <w:rPr>
          <w:rFonts w:ascii="Arial" w:hAnsi="Arial" w:cs="Arial"/>
          <w:sz w:val="24"/>
          <w:szCs w:val="24"/>
          <w:lang w:val="en-GB"/>
        </w:rPr>
        <w:t>R</w:t>
      </w:r>
      <w:r w:rsidR="00382FB8">
        <w:rPr>
          <w:rFonts w:ascii="Arial" w:hAnsi="Arial" w:cs="Arial"/>
          <w:sz w:val="24"/>
          <w:szCs w:val="24"/>
          <w:lang w:val="en-GB"/>
        </w:rPr>
        <w:t xml:space="preserve">oad Accident Fund was before Plasket J who was requested to make a settlement in that matter an order of court.  On that date the respondent was ordered by the court to show cause on 13 December 2016 why his </w:t>
      </w:r>
      <w:r w:rsidR="00E62B7E">
        <w:rPr>
          <w:rFonts w:ascii="Arial" w:hAnsi="Arial" w:cs="Arial"/>
          <w:sz w:val="24"/>
          <w:szCs w:val="24"/>
          <w:lang w:val="en-GB"/>
        </w:rPr>
        <w:t>contingency</w:t>
      </w:r>
      <w:r w:rsidR="00382FB8">
        <w:rPr>
          <w:rFonts w:ascii="Arial" w:hAnsi="Arial" w:cs="Arial"/>
          <w:sz w:val="24"/>
          <w:szCs w:val="24"/>
          <w:lang w:val="en-GB"/>
        </w:rPr>
        <w:t xml:space="preserve"> fee</w:t>
      </w:r>
      <w:r w:rsidR="00A96FE4">
        <w:rPr>
          <w:rFonts w:ascii="Arial" w:hAnsi="Arial" w:cs="Arial"/>
          <w:sz w:val="24"/>
          <w:szCs w:val="24"/>
          <w:lang w:val="en-GB"/>
        </w:rPr>
        <w:t>s</w:t>
      </w:r>
      <w:r w:rsidR="00382FB8">
        <w:rPr>
          <w:rFonts w:ascii="Arial" w:hAnsi="Arial" w:cs="Arial"/>
          <w:sz w:val="24"/>
          <w:szCs w:val="24"/>
          <w:lang w:val="en-GB"/>
        </w:rPr>
        <w:t xml:space="preserve"> agreement with Mr Mfengwana should not be set aside.  He was also ordered to file the affidavits referred in section 4 of the Contingency Fees Act.</w:t>
      </w:r>
    </w:p>
    <w:p w14:paraId="497160A8" w14:textId="77777777" w:rsidR="00382FB8" w:rsidRDefault="00382FB8" w:rsidP="00AA2AFD">
      <w:pPr>
        <w:spacing w:line="480" w:lineRule="auto"/>
        <w:jc w:val="both"/>
        <w:rPr>
          <w:rFonts w:ascii="Arial" w:hAnsi="Arial" w:cs="Arial"/>
          <w:sz w:val="24"/>
          <w:szCs w:val="24"/>
          <w:lang w:val="en-GB"/>
        </w:rPr>
      </w:pPr>
      <w:r>
        <w:rPr>
          <w:rFonts w:ascii="Arial" w:hAnsi="Arial" w:cs="Arial"/>
          <w:sz w:val="24"/>
          <w:szCs w:val="24"/>
          <w:lang w:val="en-GB"/>
        </w:rPr>
        <w:t>[1</w:t>
      </w:r>
      <w:r w:rsidR="003347AC">
        <w:rPr>
          <w:rFonts w:ascii="Arial" w:hAnsi="Arial" w:cs="Arial"/>
          <w:sz w:val="24"/>
          <w:szCs w:val="24"/>
          <w:lang w:val="en-GB"/>
        </w:rPr>
        <w:t>4</w:t>
      </w:r>
      <w:r>
        <w:rPr>
          <w:rFonts w:ascii="Arial" w:hAnsi="Arial" w:cs="Arial"/>
          <w:sz w:val="24"/>
          <w:szCs w:val="24"/>
          <w:lang w:val="en-GB"/>
        </w:rPr>
        <w:t xml:space="preserve">] Not only did the respondent not do any of the above but he, on 12 December 2016, which was the date before the date set out by the court for him to comply as aforementioned, withdrew as Mr Mfengwana’s attorney of record.  Having withdrawn as Mr Mfengwana’s attorney of record on 12 December 2016, the respondent’s correspondent attorneys issued a warrant of execution against the Road Accident Fund on 24 January 2017 for payment in the sum of R904 889.17.  </w:t>
      </w:r>
      <w:r w:rsidR="00646A55">
        <w:rPr>
          <w:rFonts w:ascii="Arial" w:hAnsi="Arial" w:cs="Arial"/>
          <w:sz w:val="24"/>
          <w:szCs w:val="24"/>
          <w:lang w:val="en-GB"/>
        </w:rPr>
        <w:t xml:space="preserve">That amount was paid into the respondent’s trust account.  </w:t>
      </w:r>
      <w:r>
        <w:rPr>
          <w:rFonts w:ascii="Arial" w:hAnsi="Arial" w:cs="Arial"/>
          <w:sz w:val="24"/>
          <w:szCs w:val="24"/>
          <w:lang w:val="en-GB"/>
        </w:rPr>
        <w:t>Of the said amount the respondent paid Mr Mfengwa</w:t>
      </w:r>
      <w:r w:rsidR="00E62B7E">
        <w:rPr>
          <w:rFonts w:ascii="Arial" w:hAnsi="Arial" w:cs="Arial"/>
          <w:sz w:val="24"/>
          <w:szCs w:val="24"/>
          <w:lang w:val="en-GB"/>
        </w:rPr>
        <w:t xml:space="preserve">na </w:t>
      </w:r>
      <w:r w:rsidR="00901D78">
        <w:rPr>
          <w:rFonts w:ascii="Arial" w:hAnsi="Arial" w:cs="Arial"/>
          <w:sz w:val="24"/>
          <w:szCs w:val="24"/>
          <w:lang w:val="en-GB"/>
        </w:rPr>
        <w:t xml:space="preserve">a </w:t>
      </w:r>
      <w:r>
        <w:rPr>
          <w:rFonts w:ascii="Arial" w:hAnsi="Arial" w:cs="Arial"/>
          <w:sz w:val="24"/>
          <w:szCs w:val="24"/>
          <w:lang w:val="en-GB"/>
        </w:rPr>
        <w:t>round figure o</w:t>
      </w:r>
      <w:r w:rsidR="00E62B7E">
        <w:rPr>
          <w:rFonts w:ascii="Arial" w:hAnsi="Arial" w:cs="Arial"/>
          <w:sz w:val="24"/>
          <w:szCs w:val="24"/>
          <w:lang w:val="en-GB"/>
        </w:rPr>
        <w:t>f</w:t>
      </w:r>
      <w:r>
        <w:rPr>
          <w:rFonts w:ascii="Arial" w:hAnsi="Arial" w:cs="Arial"/>
          <w:sz w:val="24"/>
          <w:szCs w:val="24"/>
          <w:lang w:val="en-GB"/>
        </w:rPr>
        <w:t xml:space="preserve"> R700 000.00 on 10 February 2017 thus retaining a staggering amount of R204 889.17.</w:t>
      </w:r>
    </w:p>
    <w:p w14:paraId="1D95E8AC" w14:textId="77777777" w:rsidR="00382FB8" w:rsidRDefault="00382FB8" w:rsidP="00AA2AFD">
      <w:pPr>
        <w:spacing w:line="480" w:lineRule="auto"/>
        <w:jc w:val="both"/>
        <w:rPr>
          <w:rFonts w:ascii="Arial" w:hAnsi="Arial" w:cs="Arial"/>
          <w:sz w:val="24"/>
          <w:szCs w:val="24"/>
          <w:lang w:val="en-GB"/>
        </w:rPr>
      </w:pPr>
      <w:r>
        <w:rPr>
          <w:rFonts w:ascii="Arial" w:hAnsi="Arial" w:cs="Arial"/>
          <w:sz w:val="24"/>
          <w:szCs w:val="24"/>
          <w:lang w:val="en-GB"/>
        </w:rPr>
        <w:t>[1</w:t>
      </w:r>
      <w:r w:rsidR="003347AC">
        <w:rPr>
          <w:rFonts w:ascii="Arial" w:hAnsi="Arial" w:cs="Arial"/>
          <w:sz w:val="24"/>
          <w:szCs w:val="24"/>
          <w:lang w:val="en-GB"/>
        </w:rPr>
        <w:t>5</w:t>
      </w:r>
      <w:r>
        <w:rPr>
          <w:rFonts w:ascii="Arial" w:hAnsi="Arial" w:cs="Arial"/>
          <w:sz w:val="24"/>
          <w:szCs w:val="24"/>
          <w:lang w:val="en-GB"/>
        </w:rPr>
        <w:t xml:space="preserve">] Was this amount justifiable or reasonable regard being had to the quantity and quality of </w:t>
      </w:r>
      <w:r w:rsidR="00A96FE4">
        <w:rPr>
          <w:rFonts w:ascii="Arial" w:hAnsi="Arial" w:cs="Arial"/>
          <w:sz w:val="24"/>
          <w:szCs w:val="24"/>
          <w:lang w:val="en-GB"/>
        </w:rPr>
        <w:t xml:space="preserve">the </w:t>
      </w:r>
      <w:r>
        <w:rPr>
          <w:rFonts w:ascii="Arial" w:hAnsi="Arial" w:cs="Arial"/>
          <w:sz w:val="24"/>
          <w:szCs w:val="24"/>
          <w:lang w:val="en-GB"/>
        </w:rPr>
        <w:t xml:space="preserve">work that the respondent did?  Plasket J did not think so.  </w:t>
      </w:r>
      <w:r w:rsidR="00646A55">
        <w:rPr>
          <w:rFonts w:ascii="Arial" w:hAnsi="Arial" w:cs="Arial"/>
          <w:sz w:val="24"/>
          <w:szCs w:val="24"/>
          <w:lang w:val="en-GB"/>
        </w:rPr>
        <w:t>Th</w:t>
      </w:r>
      <w:r>
        <w:rPr>
          <w:rFonts w:ascii="Arial" w:hAnsi="Arial" w:cs="Arial"/>
          <w:sz w:val="24"/>
          <w:szCs w:val="24"/>
          <w:lang w:val="en-GB"/>
        </w:rPr>
        <w:t xml:space="preserve">e </w:t>
      </w:r>
      <w:r w:rsidR="00646A55">
        <w:rPr>
          <w:rFonts w:ascii="Arial" w:hAnsi="Arial" w:cs="Arial"/>
          <w:sz w:val="24"/>
          <w:szCs w:val="24"/>
          <w:lang w:val="en-GB"/>
        </w:rPr>
        <w:t xml:space="preserve">learned Judge </w:t>
      </w:r>
      <w:r>
        <w:rPr>
          <w:rFonts w:ascii="Arial" w:hAnsi="Arial" w:cs="Arial"/>
          <w:sz w:val="24"/>
          <w:szCs w:val="24"/>
          <w:lang w:val="en-GB"/>
        </w:rPr>
        <w:t>assessed the work that was done after which he expressed himself as follows:</w:t>
      </w:r>
    </w:p>
    <w:p w14:paraId="1B0BC795" w14:textId="77777777" w:rsidR="00E42C9F" w:rsidRPr="002E72FB" w:rsidRDefault="00E42C9F" w:rsidP="002E72FB">
      <w:pPr>
        <w:spacing w:line="360" w:lineRule="auto"/>
        <w:ind w:left="720"/>
        <w:jc w:val="both"/>
        <w:rPr>
          <w:rFonts w:ascii="Arial" w:hAnsi="Arial" w:cs="Arial"/>
          <w:lang w:val="en-GB"/>
        </w:rPr>
      </w:pPr>
      <w:r w:rsidRPr="002E72FB">
        <w:rPr>
          <w:rFonts w:ascii="Arial" w:hAnsi="Arial" w:cs="Arial"/>
          <w:lang w:val="en-GB"/>
        </w:rPr>
        <w:t>“It is clear from what I have said about the amount of work involved in this matter that a ‘fee’ of 25% of R904 889.17 – ie R226 222.30 – is grossly disproportionate and amou</w:t>
      </w:r>
      <w:r w:rsidR="00E62B7E">
        <w:rPr>
          <w:rFonts w:ascii="Arial" w:hAnsi="Arial" w:cs="Arial"/>
          <w:lang w:val="en-GB"/>
        </w:rPr>
        <w:t>nts to over</w:t>
      </w:r>
      <w:r w:rsidRPr="002E72FB">
        <w:rPr>
          <w:rFonts w:ascii="Arial" w:hAnsi="Arial" w:cs="Arial"/>
          <w:lang w:val="en-GB"/>
        </w:rPr>
        <w:t>reaching on an outrageous scale.  When to that is added the poor quality of the work done, Mr Rubushe’s conduct is cause for very serious concern.  It is, p</w:t>
      </w:r>
      <w:r w:rsidR="00E62B7E">
        <w:rPr>
          <w:rFonts w:ascii="Arial" w:hAnsi="Arial" w:cs="Arial"/>
          <w:lang w:val="en-GB"/>
        </w:rPr>
        <w:t>erhaps, apposite to cite the oft</w:t>
      </w:r>
      <w:r w:rsidRPr="002E72FB">
        <w:rPr>
          <w:rFonts w:ascii="Arial" w:hAnsi="Arial" w:cs="Arial"/>
          <w:lang w:val="en-GB"/>
        </w:rPr>
        <w:t xml:space="preserve">-quoted passage from the late judge RPB Davies’ </w:t>
      </w:r>
      <w:r w:rsidR="00112D37" w:rsidRPr="002E72FB">
        <w:rPr>
          <w:rFonts w:ascii="Arial" w:hAnsi="Arial" w:cs="Arial"/>
          <w:lang w:val="en-GB"/>
        </w:rPr>
        <w:t>foreword</w:t>
      </w:r>
      <w:r w:rsidRPr="002E72FB">
        <w:rPr>
          <w:rFonts w:ascii="Arial" w:hAnsi="Arial" w:cs="Arial"/>
          <w:lang w:val="en-GB"/>
        </w:rPr>
        <w:t xml:space="preserve"> to the first edition of Herbstein &amp; Van Winsen’s well-known book on civil procedure:</w:t>
      </w:r>
    </w:p>
    <w:p w14:paraId="2DF46257" w14:textId="77777777" w:rsidR="00112D37" w:rsidRPr="002E72FB" w:rsidRDefault="00112D37" w:rsidP="002E72FB">
      <w:pPr>
        <w:spacing w:line="360" w:lineRule="auto"/>
        <w:ind w:left="1440"/>
        <w:jc w:val="both"/>
        <w:rPr>
          <w:rFonts w:ascii="Arial" w:hAnsi="Arial" w:cs="Arial"/>
          <w:lang w:val="en-GB"/>
        </w:rPr>
      </w:pPr>
      <w:r w:rsidRPr="002E72FB">
        <w:rPr>
          <w:rFonts w:ascii="Arial" w:hAnsi="Arial" w:cs="Arial"/>
          <w:lang w:val="en-GB"/>
        </w:rPr>
        <w:t xml:space="preserve">‘But after all, industry is one of the attributes of an honourable character: no honourable </w:t>
      </w:r>
      <w:r w:rsidR="00E62B7E">
        <w:rPr>
          <w:rFonts w:ascii="Arial" w:hAnsi="Arial" w:cs="Arial"/>
          <w:lang w:val="en-GB"/>
        </w:rPr>
        <w:t xml:space="preserve">and honest </w:t>
      </w:r>
      <w:r w:rsidRPr="002E72FB">
        <w:rPr>
          <w:rFonts w:ascii="Arial" w:hAnsi="Arial" w:cs="Arial"/>
          <w:lang w:val="en-GB"/>
        </w:rPr>
        <w:t xml:space="preserve">legal practitioner will accept a client’s money for doing his work to the best of his ability, and then not do it.  And before he ever accepts </w:t>
      </w:r>
      <w:r w:rsidRPr="002E72FB">
        <w:rPr>
          <w:rFonts w:ascii="Arial" w:hAnsi="Arial" w:cs="Arial"/>
          <w:lang w:val="en-GB"/>
        </w:rPr>
        <w:lastRenderedPageBreak/>
        <w:t>it, he will have qualified himself to do the work properly, for, where skill is required, lack of it is equivalent to negligence.  Indeed, to undertake to do something and the not do it with reasonable efficien</w:t>
      </w:r>
      <w:r w:rsidR="00E62B7E">
        <w:rPr>
          <w:rFonts w:ascii="Arial" w:hAnsi="Arial" w:cs="Arial"/>
          <w:lang w:val="en-GB"/>
        </w:rPr>
        <w:t>c</w:t>
      </w:r>
      <w:r w:rsidRPr="002E72FB">
        <w:rPr>
          <w:rFonts w:ascii="Arial" w:hAnsi="Arial" w:cs="Arial"/>
          <w:lang w:val="en-GB"/>
        </w:rPr>
        <w:t xml:space="preserve">y, either because of unskillfulness or [because] of lack of diligence, is something very closely </w:t>
      </w:r>
      <w:r w:rsidR="00646A55">
        <w:rPr>
          <w:rFonts w:ascii="Arial" w:hAnsi="Arial" w:cs="Arial"/>
          <w:lang w:val="en-GB"/>
        </w:rPr>
        <w:t xml:space="preserve">akin </w:t>
      </w:r>
      <w:r w:rsidRPr="002E72FB">
        <w:rPr>
          <w:rFonts w:ascii="Arial" w:hAnsi="Arial" w:cs="Arial"/>
          <w:lang w:val="en-GB"/>
        </w:rPr>
        <w:t>to obtaining money by false pretences.’</w:t>
      </w:r>
      <w:r w:rsidR="002E72FB" w:rsidRPr="002E72FB">
        <w:rPr>
          <w:rFonts w:ascii="Arial" w:hAnsi="Arial" w:cs="Arial"/>
          <w:lang w:val="en-GB"/>
        </w:rPr>
        <w:t>”</w:t>
      </w:r>
      <w:r w:rsidR="0059769E" w:rsidRPr="002E72FB">
        <w:rPr>
          <w:rStyle w:val="FootnoteReference"/>
          <w:rFonts w:ascii="Arial" w:hAnsi="Arial" w:cs="Arial"/>
          <w:lang w:val="en-GB"/>
        </w:rPr>
        <w:footnoteReference w:id="3"/>
      </w:r>
    </w:p>
    <w:p w14:paraId="136D7AD3" w14:textId="77777777" w:rsidR="0059769E" w:rsidRDefault="0059769E" w:rsidP="0059769E">
      <w:pPr>
        <w:spacing w:line="480" w:lineRule="auto"/>
        <w:jc w:val="both"/>
        <w:rPr>
          <w:rFonts w:ascii="Arial" w:hAnsi="Arial" w:cs="Arial"/>
          <w:sz w:val="24"/>
          <w:szCs w:val="24"/>
          <w:lang w:val="en-GB"/>
        </w:rPr>
      </w:pPr>
      <w:r>
        <w:rPr>
          <w:rFonts w:ascii="Arial" w:hAnsi="Arial" w:cs="Arial"/>
          <w:sz w:val="24"/>
          <w:szCs w:val="24"/>
          <w:lang w:val="en-GB"/>
        </w:rPr>
        <w:t>[1</w:t>
      </w:r>
      <w:r w:rsidR="003347AC">
        <w:rPr>
          <w:rFonts w:ascii="Arial" w:hAnsi="Arial" w:cs="Arial"/>
          <w:sz w:val="24"/>
          <w:szCs w:val="24"/>
          <w:lang w:val="en-GB"/>
        </w:rPr>
        <w:t>6</w:t>
      </w:r>
      <w:r>
        <w:rPr>
          <w:rFonts w:ascii="Arial" w:hAnsi="Arial" w:cs="Arial"/>
          <w:sz w:val="24"/>
          <w:szCs w:val="24"/>
          <w:lang w:val="en-GB"/>
        </w:rPr>
        <w:t xml:space="preserve">] How an attorney, having withdrawn as an attorney of record, still considers himself or herself entitled to </w:t>
      </w:r>
      <w:r w:rsidR="00A43D80">
        <w:rPr>
          <w:rFonts w:ascii="Arial" w:hAnsi="Arial" w:cs="Arial"/>
          <w:sz w:val="24"/>
          <w:szCs w:val="24"/>
          <w:lang w:val="en-GB"/>
        </w:rPr>
        <w:t>have</w:t>
      </w:r>
      <w:r>
        <w:rPr>
          <w:rFonts w:ascii="Arial" w:hAnsi="Arial" w:cs="Arial"/>
          <w:sz w:val="24"/>
          <w:szCs w:val="24"/>
          <w:lang w:val="en-GB"/>
        </w:rPr>
        <w:t xml:space="preserve"> a warrant of execution</w:t>
      </w:r>
      <w:r w:rsidR="00A43D80">
        <w:rPr>
          <w:rFonts w:ascii="Arial" w:hAnsi="Arial" w:cs="Arial"/>
          <w:sz w:val="24"/>
          <w:szCs w:val="24"/>
          <w:lang w:val="en-GB"/>
        </w:rPr>
        <w:t xml:space="preserve"> issued</w:t>
      </w:r>
      <w:r>
        <w:rPr>
          <w:rFonts w:ascii="Arial" w:hAnsi="Arial" w:cs="Arial"/>
          <w:sz w:val="24"/>
          <w:szCs w:val="24"/>
          <w:lang w:val="en-GB"/>
        </w:rPr>
        <w:t xml:space="preserve"> in that same matter, not for costs taxed and allowed but for the capital amount of the damages claimed is beyond comprehension.  It is in fact clear that in withdrawing as an attorney of record in the matter the respondent merely sought</w:t>
      </w:r>
      <w:r w:rsidR="00646A55">
        <w:rPr>
          <w:rFonts w:ascii="Arial" w:hAnsi="Arial" w:cs="Arial"/>
          <w:sz w:val="24"/>
          <w:szCs w:val="24"/>
          <w:lang w:val="en-GB"/>
        </w:rPr>
        <w:t>, with connivance,</w:t>
      </w:r>
      <w:r>
        <w:rPr>
          <w:rFonts w:ascii="Arial" w:hAnsi="Arial" w:cs="Arial"/>
          <w:sz w:val="24"/>
          <w:szCs w:val="24"/>
          <w:lang w:val="en-GB"/>
        </w:rPr>
        <w:t xml:space="preserve"> to avoid having to comply with Plasket J’s order issued on 28 November 2016.  He, at the same time appropriated for himself, unlawfully, the right to still pursue the Road Accident Fund for the capital amount </w:t>
      </w:r>
      <w:r w:rsidR="009743F1">
        <w:rPr>
          <w:rFonts w:ascii="Arial" w:hAnsi="Arial" w:cs="Arial"/>
          <w:sz w:val="24"/>
          <w:szCs w:val="24"/>
          <w:lang w:val="en-GB"/>
        </w:rPr>
        <w:t xml:space="preserve">which the Road Accident Fund was ordered to pay </w:t>
      </w:r>
      <w:r>
        <w:rPr>
          <w:rFonts w:ascii="Arial" w:hAnsi="Arial" w:cs="Arial"/>
          <w:sz w:val="24"/>
          <w:szCs w:val="24"/>
          <w:lang w:val="en-GB"/>
        </w:rPr>
        <w:t>with an obvious intention, again, unlawfully, to retain R204 88</w:t>
      </w:r>
      <w:r w:rsidR="009743F1">
        <w:rPr>
          <w:rFonts w:ascii="Arial" w:hAnsi="Arial" w:cs="Arial"/>
          <w:sz w:val="24"/>
          <w:szCs w:val="24"/>
          <w:lang w:val="en-GB"/>
        </w:rPr>
        <w:t>9</w:t>
      </w:r>
      <w:r>
        <w:rPr>
          <w:rFonts w:ascii="Arial" w:hAnsi="Arial" w:cs="Arial"/>
          <w:sz w:val="24"/>
          <w:szCs w:val="24"/>
          <w:lang w:val="en-GB"/>
        </w:rPr>
        <w:t>.17.  This conduct on its own is of egregious proportions to say the least.</w:t>
      </w:r>
      <w:r w:rsidR="009743F1">
        <w:rPr>
          <w:rFonts w:ascii="Arial" w:hAnsi="Arial" w:cs="Arial"/>
          <w:sz w:val="24"/>
          <w:szCs w:val="24"/>
          <w:lang w:val="en-GB"/>
        </w:rPr>
        <w:t xml:space="preserve">  It is, in my view, also a manifestation of dishonesty and deceitfulness on the part of the respondent.</w:t>
      </w:r>
    </w:p>
    <w:p w14:paraId="6A0DB49C" w14:textId="77777777" w:rsidR="0059769E" w:rsidRDefault="0059769E" w:rsidP="0059769E">
      <w:pPr>
        <w:spacing w:line="480" w:lineRule="auto"/>
        <w:jc w:val="both"/>
        <w:rPr>
          <w:rFonts w:ascii="Arial" w:hAnsi="Arial" w:cs="Arial"/>
          <w:sz w:val="24"/>
          <w:szCs w:val="24"/>
          <w:lang w:val="en-GB"/>
        </w:rPr>
      </w:pPr>
      <w:r>
        <w:rPr>
          <w:rFonts w:ascii="Arial" w:hAnsi="Arial" w:cs="Arial"/>
          <w:sz w:val="24"/>
          <w:szCs w:val="24"/>
          <w:lang w:val="en-GB"/>
        </w:rPr>
        <w:t>[1</w:t>
      </w:r>
      <w:r w:rsidR="003347AC">
        <w:rPr>
          <w:rFonts w:ascii="Arial" w:hAnsi="Arial" w:cs="Arial"/>
          <w:sz w:val="24"/>
          <w:szCs w:val="24"/>
          <w:lang w:val="en-GB"/>
        </w:rPr>
        <w:t>7</w:t>
      </w:r>
      <w:r>
        <w:rPr>
          <w:rFonts w:ascii="Arial" w:hAnsi="Arial" w:cs="Arial"/>
          <w:sz w:val="24"/>
          <w:szCs w:val="24"/>
          <w:lang w:val="en-GB"/>
        </w:rPr>
        <w:t>] The overreaching and rapacious conduct of the respondent is also glaringly demonstrated by him</w:t>
      </w:r>
      <w:r w:rsidR="00FE0289">
        <w:rPr>
          <w:rFonts w:ascii="Arial" w:hAnsi="Arial" w:cs="Arial"/>
          <w:sz w:val="24"/>
          <w:szCs w:val="24"/>
          <w:lang w:val="en-GB"/>
        </w:rPr>
        <w:t>,</w:t>
      </w:r>
      <w:r>
        <w:rPr>
          <w:rFonts w:ascii="Arial" w:hAnsi="Arial" w:cs="Arial"/>
          <w:sz w:val="24"/>
          <w:szCs w:val="24"/>
          <w:lang w:val="en-GB"/>
        </w:rPr>
        <w:t xml:space="preserve"> </w:t>
      </w:r>
      <w:r w:rsidR="00646A55">
        <w:rPr>
          <w:rFonts w:ascii="Arial" w:hAnsi="Arial" w:cs="Arial"/>
          <w:sz w:val="24"/>
          <w:szCs w:val="24"/>
          <w:lang w:val="en-GB"/>
        </w:rPr>
        <w:t xml:space="preserve">inter alia, </w:t>
      </w:r>
      <w:r>
        <w:rPr>
          <w:rFonts w:ascii="Arial" w:hAnsi="Arial" w:cs="Arial"/>
          <w:sz w:val="24"/>
          <w:szCs w:val="24"/>
          <w:lang w:val="en-GB"/>
        </w:rPr>
        <w:t xml:space="preserve">charging a fee for </w:t>
      </w:r>
      <w:r w:rsidR="009743F1">
        <w:rPr>
          <w:rFonts w:ascii="Arial" w:hAnsi="Arial" w:cs="Arial"/>
          <w:sz w:val="24"/>
          <w:szCs w:val="24"/>
          <w:lang w:val="en-GB"/>
        </w:rPr>
        <w:t>re</w:t>
      </w:r>
      <w:r>
        <w:rPr>
          <w:rFonts w:ascii="Arial" w:hAnsi="Arial" w:cs="Arial"/>
          <w:sz w:val="24"/>
          <w:szCs w:val="24"/>
          <w:lang w:val="en-GB"/>
        </w:rPr>
        <w:t xml:space="preserve">drawing a </w:t>
      </w:r>
      <w:r w:rsidRPr="00DF5697">
        <w:rPr>
          <w:rFonts w:ascii="Arial" w:hAnsi="Arial" w:cs="Arial"/>
          <w:sz w:val="24"/>
          <w:szCs w:val="24"/>
          <w:lang w:val="en-GB"/>
        </w:rPr>
        <w:t>contingency fee</w:t>
      </w:r>
      <w:r w:rsidR="009743F1" w:rsidRPr="00DF5697">
        <w:rPr>
          <w:rFonts w:ascii="Arial" w:hAnsi="Arial" w:cs="Arial"/>
          <w:sz w:val="24"/>
          <w:szCs w:val="24"/>
          <w:lang w:val="en-GB"/>
        </w:rPr>
        <w:t>s</w:t>
      </w:r>
      <w:r w:rsidRPr="00DF5697">
        <w:rPr>
          <w:rFonts w:ascii="Arial" w:hAnsi="Arial" w:cs="Arial"/>
          <w:sz w:val="24"/>
          <w:szCs w:val="24"/>
          <w:lang w:val="en-GB"/>
        </w:rPr>
        <w:t xml:space="preserve"> agreement</w:t>
      </w:r>
      <w:r>
        <w:rPr>
          <w:rFonts w:ascii="Arial" w:hAnsi="Arial" w:cs="Arial"/>
          <w:sz w:val="24"/>
          <w:szCs w:val="24"/>
          <w:lang w:val="en-GB"/>
        </w:rPr>
        <w:t xml:space="preserve"> after it had been set aside by the court, charging 15 minutes for every phone call, charging for consultations which never took place</w:t>
      </w:r>
      <w:r w:rsidR="00646A55">
        <w:rPr>
          <w:rFonts w:ascii="Arial" w:hAnsi="Arial" w:cs="Arial"/>
          <w:sz w:val="24"/>
          <w:szCs w:val="24"/>
          <w:lang w:val="en-GB"/>
        </w:rPr>
        <w:t>; changing</w:t>
      </w:r>
      <w:r>
        <w:rPr>
          <w:rFonts w:ascii="Arial" w:hAnsi="Arial" w:cs="Arial"/>
          <w:sz w:val="24"/>
          <w:szCs w:val="24"/>
          <w:lang w:val="en-GB"/>
        </w:rPr>
        <w:t xml:space="preserve"> for work that was never done and charging for travelling to Grahamstown on occasions in which he did not go to Grahamstown.  The list of the respondent’s similar behaviour</w:t>
      </w:r>
      <w:r w:rsidR="00A43D80">
        <w:rPr>
          <w:rFonts w:ascii="Arial" w:hAnsi="Arial" w:cs="Arial"/>
          <w:sz w:val="24"/>
          <w:szCs w:val="24"/>
          <w:lang w:val="en-GB"/>
        </w:rPr>
        <w:t xml:space="preserve"> i</w:t>
      </w:r>
      <w:r>
        <w:rPr>
          <w:rFonts w:ascii="Arial" w:hAnsi="Arial" w:cs="Arial"/>
          <w:sz w:val="24"/>
          <w:szCs w:val="24"/>
          <w:lang w:val="en-GB"/>
        </w:rPr>
        <w:t xml:space="preserve">s endless, at the centre of which is him descending like a vulture on his own client for his own personal, </w:t>
      </w:r>
      <w:r w:rsidR="00646A55">
        <w:rPr>
          <w:rFonts w:ascii="Arial" w:hAnsi="Arial" w:cs="Arial"/>
          <w:sz w:val="24"/>
          <w:szCs w:val="24"/>
          <w:lang w:val="en-GB"/>
        </w:rPr>
        <w:t>unjustified</w:t>
      </w:r>
      <w:r>
        <w:rPr>
          <w:rFonts w:ascii="Arial" w:hAnsi="Arial" w:cs="Arial"/>
          <w:sz w:val="24"/>
          <w:szCs w:val="24"/>
          <w:lang w:val="en-GB"/>
        </w:rPr>
        <w:t xml:space="preserve"> financial benefit.</w:t>
      </w:r>
    </w:p>
    <w:p w14:paraId="2AD6BB36" w14:textId="634264C9" w:rsidR="0059769E" w:rsidRDefault="0059769E" w:rsidP="0059769E">
      <w:pPr>
        <w:spacing w:line="480" w:lineRule="auto"/>
        <w:jc w:val="both"/>
        <w:rPr>
          <w:rFonts w:ascii="Arial" w:hAnsi="Arial" w:cs="Arial"/>
          <w:sz w:val="24"/>
          <w:szCs w:val="24"/>
          <w:lang w:val="en-GB"/>
        </w:rPr>
      </w:pPr>
      <w:r>
        <w:rPr>
          <w:rFonts w:ascii="Arial" w:hAnsi="Arial" w:cs="Arial"/>
          <w:sz w:val="24"/>
          <w:szCs w:val="24"/>
          <w:lang w:val="en-GB"/>
        </w:rPr>
        <w:lastRenderedPageBreak/>
        <w:t>[1</w:t>
      </w:r>
      <w:r w:rsidR="003347AC">
        <w:rPr>
          <w:rFonts w:ascii="Arial" w:hAnsi="Arial" w:cs="Arial"/>
          <w:sz w:val="24"/>
          <w:szCs w:val="24"/>
          <w:lang w:val="en-GB"/>
        </w:rPr>
        <w:t>8</w:t>
      </w:r>
      <w:r>
        <w:rPr>
          <w:rFonts w:ascii="Arial" w:hAnsi="Arial" w:cs="Arial"/>
          <w:sz w:val="24"/>
          <w:szCs w:val="24"/>
          <w:lang w:val="en-GB"/>
        </w:rPr>
        <w:t>] In his answering affidavit</w:t>
      </w:r>
      <w:r w:rsidR="00AF0378">
        <w:rPr>
          <w:rFonts w:ascii="Arial" w:hAnsi="Arial" w:cs="Arial"/>
          <w:sz w:val="24"/>
          <w:szCs w:val="24"/>
          <w:lang w:val="en-GB"/>
        </w:rPr>
        <w:t>,</w:t>
      </w:r>
      <w:r>
        <w:rPr>
          <w:rFonts w:ascii="Arial" w:hAnsi="Arial" w:cs="Arial"/>
          <w:sz w:val="24"/>
          <w:szCs w:val="24"/>
          <w:lang w:val="en-GB"/>
        </w:rPr>
        <w:t xml:space="preserve"> deposed to some three and a half years or so after the </w:t>
      </w:r>
      <w:r w:rsidR="004A4952">
        <w:rPr>
          <w:rFonts w:ascii="Arial" w:hAnsi="Arial" w:cs="Arial"/>
          <w:sz w:val="24"/>
          <w:szCs w:val="24"/>
          <w:lang w:val="en-GB"/>
        </w:rPr>
        <w:t xml:space="preserve">judgment of Plasket J in the </w:t>
      </w:r>
      <w:r w:rsidR="004A4952" w:rsidRPr="00646A55">
        <w:rPr>
          <w:rFonts w:ascii="Arial" w:hAnsi="Arial" w:cs="Arial"/>
          <w:i/>
          <w:sz w:val="24"/>
          <w:szCs w:val="24"/>
          <w:lang w:val="en-GB"/>
        </w:rPr>
        <w:t>Mfengwana</w:t>
      </w:r>
      <w:r w:rsidR="004A4952">
        <w:rPr>
          <w:rFonts w:ascii="Arial" w:hAnsi="Arial" w:cs="Arial"/>
          <w:sz w:val="24"/>
          <w:szCs w:val="24"/>
          <w:lang w:val="en-GB"/>
        </w:rPr>
        <w:t xml:space="preserve"> matter, there is a conditional acceptance by the respondent that the </w:t>
      </w:r>
      <w:r w:rsidR="004A4952" w:rsidRPr="00DF5697">
        <w:rPr>
          <w:rFonts w:ascii="Arial" w:hAnsi="Arial" w:cs="Arial"/>
          <w:sz w:val="24"/>
          <w:szCs w:val="24"/>
          <w:lang w:val="en-GB"/>
        </w:rPr>
        <w:t>contingency fee</w:t>
      </w:r>
      <w:r w:rsidR="009743F1" w:rsidRPr="00DF5697">
        <w:rPr>
          <w:rFonts w:ascii="Arial" w:hAnsi="Arial" w:cs="Arial"/>
          <w:sz w:val="24"/>
          <w:szCs w:val="24"/>
          <w:lang w:val="en-GB"/>
        </w:rPr>
        <w:t>s</w:t>
      </w:r>
      <w:r w:rsidR="004A4952" w:rsidRPr="00DF5697">
        <w:rPr>
          <w:rFonts w:ascii="Arial" w:hAnsi="Arial" w:cs="Arial"/>
          <w:sz w:val="24"/>
          <w:szCs w:val="24"/>
          <w:lang w:val="en-GB"/>
        </w:rPr>
        <w:t xml:space="preserve"> agreement</w:t>
      </w:r>
      <w:r w:rsidR="004A4952">
        <w:rPr>
          <w:rFonts w:ascii="Arial" w:hAnsi="Arial" w:cs="Arial"/>
          <w:sz w:val="24"/>
          <w:szCs w:val="24"/>
          <w:lang w:val="en-GB"/>
        </w:rPr>
        <w:t xml:space="preserve"> that he drew and signed with Mr Mfengwana was defective.  He then blames his professional assistant </w:t>
      </w:r>
      <w:r w:rsidR="00A43D80">
        <w:rPr>
          <w:rFonts w:ascii="Arial" w:hAnsi="Arial" w:cs="Arial"/>
          <w:sz w:val="24"/>
          <w:szCs w:val="24"/>
          <w:lang w:val="en-GB"/>
        </w:rPr>
        <w:t xml:space="preserve">for </w:t>
      </w:r>
      <w:r w:rsidR="004A4952">
        <w:rPr>
          <w:rFonts w:ascii="Arial" w:hAnsi="Arial" w:cs="Arial"/>
          <w:sz w:val="24"/>
          <w:szCs w:val="24"/>
          <w:lang w:val="en-GB"/>
        </w:rPr>
        <w:t>drawing what he calls an amended contingency fee</w:t>
      </w:r>
      <w:r w:rsidR="009743F1">
        <w:rPr>
          <w:rFonts w:ascii="Arial" w:hAnsi="Arial" w:cs="Arial"/>
          <w:sz w:val="24"/>
          <w:szCs w:val="24"/>
          <w:lang w:val="en-GB"/>
        </w:rPr>
        <w:t>s</w:t>
      </w:r>
      <w:r w:rsidR="004A4952">
        <w:rPr>
          <w:rFonts w:ascii="Arial" w:hAnsi="Arial" w:cs="Arial"/>
          <w:sz w:val="24"/>
          <w:szCs w:val="24"/>
          <w:lang w:val="en-GB"/>
        </w:rPr>
        <w:t xml:space="preserve"> agreement incorrectly which he </w:t>
      </w:r>
      <w:r w:rsidR="00646A55">
        <w:rPr>
          <w:rFonts w:ascii="Arial" w:hAnsi="Arial" w:cs="Arial"/>
          <w:sz w:val="24"/>
          <w:szCs w:val="24"/>
          <w:lang w:val="en-GB"/>
        </w:rPr>
        <w:t>false</w:t>
      </w:r>
      <w:r w:rsidR="0077126D">
        <w:rPr>
          <w:rFonts w:ascii="Arial" w:hAnsi="Arial" w:cs="Arial"/>
          <w:sz w:val="24"/>
          <w:szCs w:val="24"/>
          <w:lang w:val="en-GB"/>
        </w:rPr>
        <w:t>ly</w:t>
      </w:r>
      <w:r w:rsidR="00646A55">
        <w:rPr>
          <w:rFonts w:ascii="Arial" w:hAnsi="Arial" w:cs="Arial"/>
          <w:sz w:val="24"/>
          <w:szCs w:val="24"/>
          <w:lang w:val="en-GB"/>
        </w:rPr>
        <w:t xml:space="preserve"> </w:t>
      </w:r>
      <w:r w:rsidR="004A4952">
        <w:rPr>
          <w:rFonts w:ascii="Arial" w:hAnsi="Arial" w:cs="Arial"/>
          <w:sz w:val="24"/>
          <w:szCs w:val="24"/>
          <w:lang w:val="en-GB"/>
        </w:rPr>
        <w:t>claims to have been drawn at the instance of the court.  There is nothing in the judgment to suggest that Plasket J ever ordered or suggested that an amended contingency fee</w:t>
      </w:r>
      <w:r w:rsidR="009743F1">
        <w:rPr>
          <w:rFonts w:ascii="Arial" w:hAnsi="Arial" w:cs="Arial"/>
          <w:sz w:val="24"/>
          <w:szCs w:val="24"/>
          <w:lang w:val="en-GB"/>
        </w:rPr>
        <w:t>s</w:t>
      </w:r>
      <w:r w:rsidR="004A4952">
        <w:rPr>
          <w:rFonts w:ascii="Arial" w:hAnsi="Arial" w:cs="Arial"/>
          <w:sz w:val="24"/>
          <w:szCs w:val="24"/>
          <w:lang w:val="en-GB"/>
        </w:rPr>
        <w:t xml:space="preserve"> agreement should be drawn.  I do not even think that </w:t>
      </w:r>
      <w:r w:rsidR="00A43D80">
        <w:rPr>
          <w:rFonts w:ascii="Arial" w:hAnsi="Arial" w:cs="Arial"/>
          <w:sz w:val="24"/>
          <w:szCs w:val="24"/>
          <w:lang w:val="en-GB"/>
        </w:rPr>
        <w:t>t</w:t>
      </w:r>
      <w:r w:rsidR="004A4952">
        <w:rPr>
          <w:rFonts w:ascii="Arial" w:hAnsi="Arial" w:cs="Arial"/>
          <w:sz w:val="24"/>
          <w:szCs w:val="24"/>
          <w:lang w:val="en-GB"/>
        </w:rPr>
        <w:t xml:space="preserve">he </w:t>
      </w:r>
      <w:r w:rsidR="00A43D80">
        <w:rPr>
          <w:rFonts w:ascii="Arial" w:hAnsi="Arial" w:cs="Arial"/>
          <w:sz w:val="24"/>
          <w:szCs w:val="24"/>
          <w:lang w:val="en-GB"/>
        </w:rPr>
        <w:t xml:space="preserve">court </w:t>
      </w:r>
      <w:r w:rsidR="004A4952">
        <w:rPr>
          <w:rFonts w:ascii="Arial" w:hAnsi="Arial" w:cs="Arial"/>
          <w:sz w:val="24"/>
          <w:szCs w:val="24"/>
          <w:lang w:val="en-GB"/>
        </w:rPr>
        <w:t xml:space="preserve">could have done so for the simple reason that if a contingency fee agreement is defective, no amended agreement </w:t>
      </w:r>
      <w:r w:rsidR="00404ED2">
        <w:rPr>
          <w:rFonts w:ascii="Arial" w:hAnsi="Arial" w:cs="Arial"/>
          <w:sz w:val="24"/>
          <w:szCs w:val="24"/>
          <w:lang w:val="en-GB"/>
        </w:rPr>
        <w:t>should</w:t>
      </w:r>
      <w:r w:rsidR="004A4952">
        <w:rPr>
          <w:rFonts w:ascii="Arial" w:hAnsi="Arial" w:cs="Arial"/>
          <w:sz w:val="24"/>
          <w:szCs w:val="24"/>
          <w:lang w:val="en-GB"/>
        </w:rPr>
        <w:t xml:space="preserve"> be drawn.  The defective one is simply set aside and the fees are ordered to be paid on an attorney and client scale</w:t>
      </w:r>
      <w:r w:rsidR="00404ED2">
        <w:rPr>
          <w:rFonts w:ascii="Arial" w:hAnsi="Arial" w:cs="Arial"/>
          <w:sz w:val="24"/>
          <w:szCs w:val="24"/>
          <w:lang w:val="en-GB"/>
        </w:rPr>
        <w:t xml:space="preserve"> which are then subjected to taxation</w:t>
      </w:r>
      <w:r w:rsidR="004A4952">
        <w:rPr>
          <w:rFonts w:ascii="Arial" w:hAnsi="Arial" w:cs="Arial"/>
          <w:sz w:val="24"/>
          <w:szCs w:val="24"/>
          <w:lang w:val="en-GB"/>
        </w:rPr>
        <w:t>.  As far as I understand the legal position</w:t>
      </w:r>
      <w:r w:rsidR="00404ED2">
        <w:rPr>
          <w:rFonts w:ascii="Arial" w:hAnsi="Arial" w:cs="Arial"/>
          <w:sz w:val="24"/>
          <w:szCs w:val="24"/>
          <w:lang w:val="en-GB"/>
        </w:rPr>
        <w:t>,</w:t>
      </w:r>
      <w:r w:rsidR="004A4952">
        <w:rPr>
          <w:rFonts w:ascii="Arial" w:hAnsi="Arial" w:cs="Arial"/>
          <w:sz w:val="24"/>
          <w:szCs w:val="24"/>
          <w:lang w:val="en-GB"/>
        </w:rPr>
        <w:t xml:space="preserve"> no new agreement can be drawn to make an otherwise defective contingency fee</w:t>
      </w:r>
      <w:r w:rsidR="009743F1">
        <w:rPr>
          <w:rFonts w:ascii="Arial" w:hAnsi="Arial" w:cs="Arial"/>
          <w:sz w:val="24"/>
          <w:szCs w:val="24"/>
          <w:lang w:val="en-GB"/>
        </w:rPr>
        <w:t>s</w:t>
      </w:r>
      <w:r w:rsidR="004A4952">
        <w:rPr>
          <w:rFonts w:ascii="Arial" w:hAnsi="Arial" w:cs="Arial"/>
          <w:sz w:val="24"/>
          <w:szCs w:val="24"/>
          <w:lang w:val="en-GB"/>
        </w:rPr>
        <w:t xml:space="preserve"> agreement compli</w:t>
      </w:r>
      <w:r w:rsidR="00404ED2">
        <w:rPr>
          <w:rFonts w:ascii="Arial" w:hAnsi="Arial" w:cs="Arial"/>
          <w:sz w:val="24"/>
          <w:szCs w:val="24"/>
          <w:lang w:val="en-GB"/>
        </w:rPr>
        <w:t>a</w:t>
      </w:r>
      <w:r w:rsidR="004A4952">
        <w:rPr>
          <w:rFonts w:ascii="Arial" w:hAnsi="Arial" w:cs="Arial"/>
          <w:sz w:val="24"/>
          <w:szCs w:val="24"/>
          <w:lang w:val="en-GB"/>
        </w:rPr>
        <w:t>nt.  It is simply set aside and that is the end of it.  He also claims to have misinterpreted section 2 of the Contingency Fee</w:t>
      </w:r>
      <w:r w:rsidR="00404ED2">
        <w:rPr>
          <w:rFonts w:ascii="Arial" w:hAnsi="Arial" w:cs="Arial"/>
          <w:sz w:val="24"/>
          <w:szCs w:val="24"/>
          <w:lang w:val="en-GB"/>
        </w:rPr>
        <w:t>s</w:t>
      </w:r>
      <w:r w:rsidR="004A4952">
        <w:rPr>
          <w:rFonts w:ascii="Arial" w:hAnsi="Arial" w:cs="Arial"/>
          <w:sz w:val="24"/>
          <w:szCs w:val="24"/>
          <w:lang w:val="en-GB"/>
        </w:rPr>
        <w:t xml:space="preserve"> Act in good faith.  However, the letters that he wrote to the applicant even before he had received a complaint</w:t>
      </w:r>
      <w:r w:rsidR="00FC6FFA">
        <w:rPr>
          <w:rFonts w:ascii="Arial" w:hAnsi="Arial" w:cs="Arial"/>
          <w:sz w:val="24"/>
          <w:szCs w:val="24"/>
          <w:lang w:val="en-GB"/>
        </w:rPr>
        <w:t>,</w:t>
      </w:r>
      <w:r w:rsidR="004A4952">
        <w:rPr>
          <w:rFonts w:ascii="Arial" w:hAnsi="Arial" w:cs="Arial"/>
          <w:sz w:val="24"/>
          <w:szCs w:val="24"/>
          <w:lang w:val="en-GB"/>
        </w:rPr>
        <w:t xml:space="preserve"> which I have referred to </w:t>
      </w:r>
      <w:r w:rsidR="00646A55">
        <w:rPr>
          <w:rFonts w:ascii="Arial" w:hAnsi="Arial" w:cs="Arial"/>
          <w:sz w:val="24"/>
          <w:szCs w:val="24"/>
          <w:lang w:val="en-GB"/>
        </w:rPr>
        <w:t xml:space="preserve">above </w:t>
      </w:r>
      <w:r w:rsidR="004A4952">
        <w:rPr>
          <w:rFonts w:ascii="Arial" w:hAnsi="Arial" w:cs="Arial"/>
          <w:sz w:val="24"/>
          <w:szCs w:val="24"/>
          <w:lang w:val="en-GB"/>
        </w:rPr>
        <w:t>as pre</w:t>
      </w:r>
      <w:r w:rsidR="009743F1">
        <w:rPr>
          <w:rFonts w:ascii="Arial" w:hAnsi="Arial" w:cs="Arial"/>
          <w:sz w:val="24"/>
          <w:szCs w:val="24"/>
          <w:lang w:val="en-GB"/>
        </w:rPr>
        <w:t>-</w:t>
      </w:r>
      <w:r w:rsidR="00404ED2">
        <w:rPr>
          <w:rFonts w:ascii="Arial" w:hAnsi="Arial" w:cs="Arial"/>
          <w:sz w:val="24"/>
          <w:szCs w:val="24"/>
          <w:lang w:val="en-GB"/>
        </w:rPr>
        <w:t>e</w:t>
      </w:r>
      <w:r w:rsidR="004A4952">
        <w:rPr>
          <w:rFonts w:ascii="Arial" w:hAnsi="Arial" w:cs="Arial"/>
          <w:sz w:val="24"/>
          <w:szCs w:val="24"/>
          <w:lang w:val="en-GB"/>
        </w:rPr>
        <w:t xml:space="preserve">mptive strikes against </w:t>
      </w:r>
      <w:r w:rsidR="009743F1">
        <w:rPr>
          <w:rFonts w:ascii="Arial" w:hAnsi="Arial" w:cs="Arial"/>
          <w:sz w:val="24"/>
          <w:szCs w:val="24"/>
          <w:lang w:val="en-GB"/>
        </w:rPr>
        <w:t>Plasket J</w:t>
      </w:r>
      <w:r w:rsidR="00FC6FFA">
        <w:rPr>
          <w:rFonts w:ascii="Arial" w:hAnsi="Arial" w:cs="Arial"/>
          <w:sz w:val="24"/>
          <w:szCs w:val="24"/>
          <w:lang w:val="en-GB"/>
        </w:rPr>
        <w:t>,</w:t>
      </w:r>
      <w:r w:rsidR="004A4952">
        <w:rPr>
          <w:rFonts w:ascii="Arial" w:hAnsi="Arial" w:cs="Arial"/>
          <w:sz w:val="24"/>
          <w:szCs w:val="24"/>
          <w:lang w:val="en-GB"/>
        </w:rPr>
        <w:t xml:space="preserve"> suggest otherwise.</w:t>
      </w:r>
    </w:p>
    <w:p w14:paraId="0AD8C7BC" w14:textId="77777777" w:rsidR="004A4952" w:rsidRDefault="004A4952" w:rsidP="0059769E">
      <w:pPr>
        <w:spacing w:line="480" w:lineRule="auto"/>
        <w:jc w:val="both"/>
        <w:rPr>
          <w:rFonts w:ascii="Arial" w:hAnsi="Arial" w:cs="Arial"/>
          <w:sz w:val="24"/>
          <w:szCs w:val="24"/>
          <w:lang w:val="en-GB"/>
        </w:rPr>
      </w:pPr>
      <w:r>
        <w:rPr>
          <w:rFonts w:ascii="Arial" w:hAnsi="Arial" w:cs="Arial"/>
          <w:sz w:val="24"/>
          <w:szCs w:val="24"/>
          <w:lang w:val="en-GB"/>
        </w:rPr>
        <w:t>[</w:t>
      </w:r>
      <w:r w:rsidR="003347AC">
        <w:rPr>
          <w:rFonts w:ascii="Arial" w:hAnsi="Arial" w:cs="Arial"/>
          <w:sz w:val="24"/>
          <w:szCs w:val="24"/>
          <w:lang w:val="en-GB"/>
        </w:rPr>
        <w:t>19</w:t>
      </w:r>
      <w:r>
        <w:rPr>
          <w:rFonts w:ascii="Arial" w:hAnsi="Arial" w:cs="Arial"/>
          <w:sz w:val="24"/>
          <w:szCs w:val="24"/>
          <w:lang w:val="en-GB"/>
        </w:rPr>
        <w:t>] He claims to have asked one of his legal se</w:t>
      </w:r>
      <w:r w:rsidR="00E15F09">
        <w:rPr>
          <w:rFonts w:ascii="Arial" w:hAnsi="Arial" w:cs="Arial"/>
          <w:sz w:val="24"/>
          <w:szCs w:val="24"/>
          <w:lang w:val="en-GB"/>
        </w:rPr>
        <w:t xml:space="preserve">cretaries to draw the bill of costs which he perused and came to the conclusion that some significant attendances and costs had been omitted and that this required an amendment of the bill of costs.  He says this is what led to another bill of costs having to be drawn.  His desire to ensure that the bill of costs would be “100% correct” led him </w:t>
      </w:r>
      <w:r w:rsidR="00404ED2">
        <w:rPr>
          <w:rFonts w:ascii="Arial" w:hAnsi="Arial" w:cs="Arial"/>
          <w:sz w:val="24"/>
          <w:szCs w:val="24"/>
          <w:lang w:val="en-GB"/>
        </w:rPr>
        <w:t xml:space="preserve">to </w:t>
      </w:r>
      <w:r w:rsidR="00E15F09">
        <w:rPr>
          <w:rFonts w:ascii="Arial" w:hAnsi="Arial" w:cs="Arial"/>
          <w:sz w:val="24"/>
          <w:szCs w:val="24"/>
          <w:lang w:val="en-GB"/>
        </w:rPr>
        <w:t>ask</w:t>
      </w:r>
      <w:r w:rsidR="00404ED2">
        <w:rPr>
          <w:rFonts w:ascii="Arial" w:hAnsi="Arial" w:cs="Arial"/>
          <w:sz w:val="24"/>
          <w:szCs w:val="24"/>
          <w:lang w:val="en-GB"/>
        </w:rPr>
        <w:t xml:space="preserve"> </w:t>
      </w:r>
      <w:r w:rsidR="00E15F09">
        <w:rPr>
          <w:rFonts w:ascii="Arial" w:hAnsi="Arial" w:cs="Arial"/>
          <w:sz w:val="24"/>
          <w:szCs w:val="24"/>
          <w:lang w:val="en-GB"/>
        </w:rPr>
        <w:t>an expert bill of costs consult</w:t>
      </w:r>
      <w:r w:rsidR="00404ED2">
        <w:rPr>
          <w:rFonts w:ascii="Arial" w:hAnsi="Arial" w:cs="Arial"/>
          <w:sz w:val="24"/>
          <w:szCs w:val="24"/>
          <w:lang w:val="en-GB"/>
        </w:rPr>
        <w:t>ant</w:t>
      </w:r>
      <w:r w:rsidR="00E15F09">
        <w:rPr>
          <w:rFonts w:ascii="Arial" w:hAnsi="Arial" w:cs="Arial"/>
          <w:sz w:val="24"/>
          <w:szCs w:val="24"/>
          <w:lang w:val="en-GB"/>
        </w:rPr>
        <w:t xml:space="preserve"> to draw it.  He also seems to admit that some file notes were absent as a result of which his own cost consultant made it clear to the applicant’s costs consultant that he could not confirm the items reflected in the bill or some of them.  For this situation he </w:t>
      </w:r>
      <w:r w:rsidR="00E15F09">
        <w:rPr>
          <w:rFonts w:ascii="Arial" w:hAnsi="Arial" w:cs="Arial"/>
          <w:sz w:val="24"/>
          <w:szCs w:val="24"/>
          <w:lang w:val="en-GB"/>
        </w:rPr>
        <w:lastRenderedPageBreak/>
        <w:t>blames his own cost consultant for not being able “to support” a document he</w:t>
      </w:r>
      <w:r w:rsidR="00EC0024">
        <w:rPr>
          <w:rFonts w:ascii="Arial" w:hAnsi="Arial" w:cs="Arial"/>
          <w:sz w:val="24"/>
          <w:szCs w:val="24"/>
          <w:lang w:val="en-GB"/>
        </w:rPr>
        <w:t>, the court consultant</w:t>
      </w:r>
      <w:r w:rsidR="00C733A4">
        <w:rPr>
          <w:rFonts w:ascii="Arial" w:hAnsi="Arial" w:cs="Arial"/>
          <w:sz w:val="24"/>
          <w:szCs w:val="24"/>
          <w:lang w:val="en-GB"/>
        </w:rPr>
        <w:t>,</w:t>
      </w:r>
      <w:r w:rsidR="00E15F09">
        <w:rPr>
          <w:rFonts w:ascii="Arial" w:hAnsi="Arial" w:cs="Arial"/>
          <w:sz w:val="24"/>
          <w:szCs w:val="24"/>
          <w:lang w:val="en-GB"/>
        </w:rPr>
        <w:t xml:space="preserve"> drew.  This</w:t>
      </w:r>
      <w:r w:rsidR="00646A55">
        <w:rPr>
          <w:rFonts w:ascii="Arial" w:hAnsi="Arial" w:cs="Arial"/>
          <w:sz w:val="24"/>
          <w:szCs w:val="24"/>
          <w:lang w:val="en-GB"/>
        </w:rPr>
        <w:t>,</w:t>
      </w:r>
      <w:r w:rsidR="00E15F09">
        <w:rPr>
          <w:rFonts w:ascii="Arial" w:hAnsi="Arial" w:cs="Arial"/>
          <w:sz w:val="24"/>
          <w:szCs w:val="24"/>
          <w:lang w:val="en-GB"/>
        </w:rPr>
        <w:t xml:space="preserve"> he says</w:t>
      </w:r>
      <w:r w:rsidR="00646A55">
        <w:rPr>
          <w:rFonts w:ascii="Arial" w:hAnsi="Arial" w:cs="Arial"/>
          <w:sz w:val="24"/>
          <w:szCs w:val="24"/>
          <w:lang w:val="en-GB"/>
        </w:rPr>
        <w:t>,</w:t>
      </w:r>
      <w:r w:rsidR="00E15F09">
        <w:rPr>
          <w:rFonts w:ascii="Arial" w:hAnsi="Arial" w:cs="Arial"/>
          <w:sz w:val="24"/>
          <w:szCs w:val="24"/>
          <w:lang w:val="en-GB"/>
        </w:rPr>
        <w:t xml:space="preserve"> led to the applicant’s cost consultant recommending that the matter be settled.  He then </w:t>
      </w:r>
      <w:r w:rsidR="001B5F39">
        <w:rPr>
          <w:rFonts w:ascii="Arial" w:hAnsi="Arial" w:cs="Arial"/>
          <w:sz w:val="24"/>
          <w:szCs w:val="24"/>
          <w:lang w:val="en-GB"/>
        </w:rPr>
        <w:t xml:space="preserve">says he </w:t>
      </w:r>
      <w:r w:rsidR="00E15F09">
        <w:rPr>
          <w:rFonts w:ascii="Arial" w:hAnsi="Arial" w:cs="Arial"/>
          <w:sz w:val="24"/>
          <w:szCs w:val="24"/>
          <w:lang w:val="en-GB"/>
        </w:rPr>
        <w:t xml:space="preserve">indicated his preparedness to settle the matter on the basis of a party and party bill of costs.  He ends his explanation in this regard with a bald averment that no overreaching or excessive charging took </w:t>
      </w:r>
      <w:r w:rsidR="00444D3B">
        <w:rPr>
          <w:rFonts w:ascii="Arial" w:hAnsi="Arial" w:cs="Arial"/>
          <w:sz w:val="24"/>
          <w:szCs w:val="24"/>
          <w:lang w:val="en-GB"/>
        </w:rPr>
        <w:t>place and that Mr Mfengwana received everything he was entitled to.</w:t>
      </w:r>
      <w:r w:rsidR="001B5F39">
        <w:rPr>
          <w:rFonts w:ascii="Arial" w:hAnsi="Arial" w:cs="Arial"/>
          <w:sz w:val="24"/>
          <w:szCs w:val="24"/>
          <w:lang w:val="en-GB"/>
        </w:rPr>
        <w:t xml:space="preserve">  What he fails to explain is his overt attempt to overreach his client.</w:t>
      </w:r>
    </w:p>
    <w:p w14:paraId="397324DB" w14:textId="77777777" w:rsidR="001F4181" w:rsidRDefault="001F4181" w:rsidP="0059769E">
      <w:pPr>
        <w:spacing w:line="480" w:lineRule="auto"/>
        <w:jc w:val="both"/>
        <w:rPr>
          <w:rFonts w:ascii="Arial" w:hAnsi="Arial" w:cs="Arial"/>
          <w:sz w:val="24"/>
          <w:szCs w:val="24"/>
          <w:lang w:val="en-GB"/>
        </w:rPr>
      </w:pPr>
      <w:r>
        <w:rPr>
          <w:rFonts w:ascii="Arial" w:hAnsi="Arial" w:cs="Arial"/>
          <w:sz w:val="24"/>
          <w:szCs w:val="24"/>
          <w:lang w:val="en-GB"/>
        </w:rPr>
        <w:t>[2</w:t>
      </w:r>
      <w:r w:rsidR="003347AC">
        <w:rPr>
          <w:rFonts w:ascii="Arial" w:hAnsi="Arial" w:cs="Arial"/>
          <w:sz w:val="24"/>
          <w:szCs w:val="24"/>
          <w:lang w:val="en-GB"/>
        </w:rPr>
        <w:t>0</w:t>
      </w:r>
      <w:r>
        <w:rPr>
          <w:rFonts w:ascii="Arial" w:hAnsi="Arial" w:cs="Arial"/>
          <w:sz w:val="24"/>
          <w:szCs w:val="24"/>
          <w:lang w:val="en-GB"/>
        </w:rPr>
        <w:t>] H</w:t>
      </w:r>
      <w:r w:rsidR="00EC0024">
        <w:rPr>
          <w:rFonts w:ascii="Arial" w:hAnsi="Arial" w:cs="Arial"/>
          <w:sz w:val="24"/>
          <w:szCs w:val="24"/>
          <w:lang w:val="en-GB"/>
        </w:rPr>
        <w:t>e</w:t>
      </w:r>
      <w:r>
        <w:rPr>
          <w:rFonts w:ascii="Arial" w:hAnsi="Arial" w:cs="Arial"/>
          <w:sz w:val="24"/>
          <w:szCs w:val="24"/>
          <w:lang w:val="en-GB"/>
        </w:rPr>
        <w:t xml:space="preserve"> admits the letters dated 12 January 2017, 16 January 2017 and 18 January 2017</w:t>
      </w:r>
      <w:r w:rsidR="00C733A4">
        <w:rPr>
          <w:rFonts w:ascii="Arial" w:hAnsi="Arial" w:cs="Arial"/>
          <w:sz w:val="24"/>
          <w:szCs w:val="24"/>
          <w:lang w:val="en-GB"/>
        </w:rPr>
        <w:t>,</w:t>
      </w:r>
      <w:r>
        <w:rPr>
          <w:rFonts w:ascii="Arial" w:hAnsi="Arial" w:cs="Arial"/>
          <w:sz w:val="24"/>
          <w:szCs w:val="24"/>
          <w:lang w:val="en-GB"/>
        </w:rPr>
        <w:t xml:space="preserve"> all of which were written before he was even required to respond to the complaint by the applicant.  </w:t>
      </w:r>
      <w:r w:rsidR="00EC0024">
        <w:rPr>
          <w:rFonts w:ascii="Arial" w:hAnsi="Arial" w:cs="Arial"/>
          <w:sz w:val="24"/>
          <w:szCs w:val="24"/>
          <w:lang w:val="en-GB"/>
        </w:rPr>
        <w:t>For the content of those letters, he, for the first time, does not blame anybody</w:t>
      </w:r>
      <w:r w:rsidR="007402AB">
        <w:rPr>
          <w:rFonts w:ascii="Arial" w:hAnsi="Arial" w:cs="Arial"/>
          <w:sz w:val="24"/>
          <w:szCs w:val="24"/>
          <w:lang w:val="en-GB"/>
        </w:rPr>
        <w:t xml:space="preserve">.  </w:t>
      </w:r>
      <w:r>
        <w:rPr>
          <w:rFonts w:ascii="Arial" w:hAnsi="Arial" w:cs="Arial"/>
          <w:sz w:val="24"/>
          <w:szCs w:val="24"/>
          <w:lang w:val="en-GB"/>
        </w:rPr>
        <w:t>His explanation for the content thereof is that at the time he wrote those letters he was “wrestling with the true manner in which the Contingency Fees Act should be inte</w:t>
      </w:r>
      <w:r w:rsidR="007402AB">
        <w:rPr>
          <w:rFonts w:ascii="Arial" w:hAnsi="Arial" w:cs="Arial"/>
          <w:sz w:val="24"/>
          <w:szCs w:val="24"/>
          <w:lang w:val="en-GB"/>
        </w:rPr>
        <w:t>rpreted</w:t>
      </w:r>
      <w:r>
        <w:rPr>
          <w:rFonts w:ascii="Arial" w:hAnsi="Arial" w:cs="Arial"/>
          <w:sz w:val="24"/>
          <w:szCs w:val="24"/>
          <w:lang w:val="en-GB"/>
        </w:rPr>
        <w:t>” and was hoping for clarification or guidance from the applicant.  He was upset as he was genuine and bona fide in drawing the agreement in the manner he did and felt aggrieved about the matter</w:t>
      </w:r>
      <w:r w:rsidR="00B0363C">
        <w:rPr>
          <w:rFonts w:ascii="Arial" w:hAnsi="Arial" w:cs="Arial"/>
          <w:sz w:val="24"/>
          <w:szCs w:val="24"/>
          <w:lang w:val="en-GB"/>
        </w:rPr>
        <w:t>,</w:t>
      </w:r>
      <w:r>
        <w:rPr>
          <w:rFonts w:ascii="Arial" w:hAnsi="Arial" w:cs="Arial"/>
          <w:sz w:val="24"/>
          <w:szCs w:val="24"/>
          <w:lang w:val="en-GB"/>
        </w:rPr>
        <w:t xml:space="preserve"> particularly the newspaper articles that were published at the time.  He says the content of those letters reflected his subjective views at a time when he was upset that his </w:t>
      </w:r>
      <w:r w:rsidR="007402AB">
        <w:rPr>
          <w:rFonts w:ascii="Arial" w:hAnsi="Arial" w:cs="Arial"/>
          <w:sz w:val="24"/>
          <w:szCs w:val="24"/>
          <w:lang w:val="en-GB"/>
        </w:rPr>
        <w:t>“</w:t>
      </w:r>
      <w:r>
        <w:rPr>
          <w:rFonts w:ascii="Arial" w:hAnsi="Arial" w:cs="Arial"/>
          <w:sz w:val="24"/>
          <w:szCs w:val="24"/>
          <w:lang w:val="en-GB"/>
        </w:rPr>
        <w:t xml:space="preserve">bona fide efforts to assist a needy client had given rise to such a </w:t>
      </w:r>
      <w:r w:rsidR="003D7ACB">
        <w:rPr>
          <w:rFonts w:ascii="Arial" w:hAnsi="Arial" w:cs="Arial"/>
          <w:sz w:val="24"/>
          <w:szCs w:val="24"/>
          <w:lang w:val="en-GB"/>
        </w:rPr>
        <w:t>disastrous</w:t>
      </w:r>
      <w:r>
        <w:rPr>
          <w:rFonts w:ascii="Arial" w:hAnsi="Arial" w:cs="Arial"/>
          <w:sz w:val="24"/>
          <w:szCs w:val="24"/>
          <w:lang w:val="en-GB"/>
        </w:rPr>
        <w:t xml:space="preserve"> </w:t>
      </w:r>
      <w:r w:rsidR="003D7ACB">
        <w:rPr>
          <w:rFonts w:ascii="Arial" w:hAnsi="Arial" w:cs="Arial"/>
          <w:sz w:val="24"/>
          <w:szCs w:val="24"/>
          <w:lang w:val="en-GB"/>
        </w:rPr>
        <w:t xml:space="preserve">outcome for </w:t>
      </w:r>
      <w:r w:rsidR="007402AB">
        <w:rPr>
          <w:rFonts w:ascii="Arial" w:hAnsi="Arial" w:cs="Arial"/>
          <w:sz w:val="24"/>
          <w:szCs w:val="24"/>
          <w:lang w:val="en-GB"/>
        </w:rPr>
        <w:t>[</w:t>
      </w:r>
      <w:r w:rsidR="003D7ACB">
        <w:rPr>
          <w:rFonts w:ascii="Arial" w:hAnsi="Arial" w:cs="Arial"/>
          <w:sz w:val="24"/>
          <w:szCs w:val="24"/>
          <w:lang w:val="en-GB"/>
        </w:rPr>
        <w:t>his</w:t>
      </w:r>
      <w:r w:rsidR="007402AB">
        <w:rPr>
          <w:rFonts w:ascii="Arial" w:hAnsi="Arial" w:cs="Arial"/>
          <w:sz w:val="24"/>
          <w:szCs w:val="24"/>
          <w:lang w:val="en-GB"/>
        </w:rPr>
        <w:t>]</w:t>
      </w:r>
      <w:r w:rsidR="003D7ACB">
        <w:rPr>
          <w:rFonts w:ascii="Arial" w:hAnsi="Arial" w:cs="Arial"/>
          <w:sz w:val="24"/>
          <w:szCs w:val="24"/>
          <w:lang w:val="en-GB"/>
        </w:rPr>
        <w:t xml:space="preserve"> firm and for </w:t>
      </w:r>
      <w:r w:rsidR="001B5F39">
        <w:rPr>
          <w:rFonts w:ascii="Arial" w:hAnsi="Arial" w:cs="Arial"/>
          <w:sz w:val="24"/>
          <w:szCs w:val="24"/>
          <w:lang w:val="en-GB"/>
        </w:rPr>
        <w:t>[</w:t>
      </w:r>
      <w:r w:rsidR="003D7ACB">
        <w:rPr>
          <w:rFonts w:ascii="Arial" w:hAnsi="Arial" w:cs="Arial"/>
          <w:sz w:val="24"/>
          <w:szCs w:val="24"/>
          <w:lang w:val="en-GB"/>
        </w:rPr>
        <w:t>his</w:t>
      </w:r>
      <w:r w:rsidR="001B5F39">
        <w:rPr>
          <w:rFonts w:ascii="Arial" w:hAnsi="Arial" w:cs="Arial"/>
          <w:sz w:val="24"/>
          <w:szCs w:val="24"/>
          <w:lang w:val="en-GB"/>
        </w:rPr>
        <w:t>]</w:t>
      </w:r>
      <w:r w:rsidR="003D7ACB">
        <w:rPr>
          <w:rFonts w:ascii="Arial" w:hAnsi="Arial" w:cs="Arial"/>
          <w:sz w:val="24"/>
          <w:szCs w:val="24"/>
          <w:lang w:val="en-GB"/>
        </w:rPr>
        <w:t xml:space="preserve"> reputation</w:t>
      </w:r>
      <w:r w:rsidR="007402AB">
        <w:rPr>
          <w:rFonts w:ascii="Arial" w:hAnsi="Arial" w:cs="Arial"/>
          <w:sz w:val="24"/>
          <w:szCs w:val="24"/>
          <w:lang w:val="en-GB"/>
        </w:rPr>
        <w:t>”</w:t>
      </w:r>
      <w:r w:rsidR="003D7ACB">
        <w:rPr>
          <w:rFonts w:ascii="Arial" w:hAnsi="Arial" w:cs="Arial"/>
          <w:sz w:val="24"/>
          <w:szCs w:val="24"/>
          <w:lang w:val="en-GB"/>
        </w:rPr>
        <w:t>.  He accepted without hesitation or qualification that the “Judge had not erred in any way in his judgment after he had taken time to analyse the Act and the current legal position.</w:t>
      </w:r>
      <w:r w:rsidR="001B5F39">
        <w:rPr>
          <w:rFonts w:ascii="Arial" w:hAnsi="Arial" w:cs="Arial"/>
          <w:sz w:val="24"/>
          <w:szCs w:val="24"/>
          <w:lang w:val="en-GB"/>
        </w:rPr>
        <w:t>”</w:t>
      </w:r>
    </w:p>
    <w:p w14:paraId="1159A9D2" w14:textId="77777777" w:rsidR="003D7ACB" w:rsidRDefault="003D7ACB" w:rsidP="0059769E">
      <w:pPr>
        <w:spacing w:line="480" w:lineRule="auto"/>
        <w:jc w:val="both"/>
        <w:rPr>
          <w:rFonts w:ascii="Arial" w:hAnsi="Arial" w:cs="Arial"/>
          <w:sz w:val="24"/>
          <w:szCs w:val="24"/>
          <w:lang w:val="en-GB"/>
        </w:rPr>
      </w:pPr>
      <w:r>
        <w:rPr>
          <w:rFonts w:ascii="Arial" w:hAnsi="Arial" w:cs="Arial"/>
          <w:sz w:val="24"/>
          <w:szCs w:val="24"/>
          <w:lang w:val="en-GB"/>
        </w:rPr>
        <w:t>[2</w:t>
      </w:r>
      <w:r w:rsidR="003347AC">
        <w:rPr>
          <w:rFonts w:ascii="Arial" w:hAnsi="Arial" w:cs="Arial"/>
          <w:sz w:val="24"/>
          <w:szCs w:val="24"/>
          <w:lang w:val="en-GB"/>
        </w:rPr>
        <w:t>1</w:t>
      </w:r>
      <w:r>
        <w:rPr>
          <w:rFonts w:ascii="Arial" w:hAnsi="Arial" w:cs="Arial"/>
          <w:sz w:val="24"/>
          <w:szCs w:val="24"/>
          <w:lang w:val="en-GB"/>
        </w:rPr>
        <w:t xml:space="preserve">] With regard to the memorandum that the applicant’s costs consultant drew he says that he </w:t>
      </w:r>
      <w:r w:rsidR="007402AB">
        <w:rPr>
          <w:rFonts w:ascii="Arial" w:hAnsi="Arial" w:cs="Arial"/>
          <w:sz w:val="24"/>
          <w:szCs w:val="24"/>
          <w:lang w:val="en-GB"/>
        </w:rPr>
        <w:t>“</w:t>
      </w:r>
      <w:r>
        <w:rPr>
          <w:rFonts w:ascii="Arial" w:hAnsi="Arial" w:cs="Arial"/>
          <w:sz w:val="24"/>
          <w:szCs w:val="24"/>
          <w:lang w:val="en-GB"/>
        </w:rPr>
        <w:t>[h]as no reason to challenge the figures referred to</w:t>
      </w:r>
      <w:r w:rsidR="007402AB">
        <w:rPr>
          <w:rFonts w:ascii="Arial" w:hAnsi="Arial" w:cs="Arial"/>
          <w:sz w:val="24"/>
          <w:szCs w:val="24"/>
          <w:lang w:val="en-GB"/>
        </w:rPr>
        <w:t>”</w:t>
      </w:r>
      <w:r>
        <w:rPr>
          <w:rFonts w:ascii="Arial" w:hAnsi="Arial" w:cs="Arial"/>
          <w:sz w:val="24"/>
          <w:szCs w:val="24"/>
          <w:lang w:val="en-GB"/>
        </w:rPr>
        <w:t xml:space="preserve"> therein.  It was his cost consultant </w:t>
      </w:r>
      <w:r w:rsidR="007402AB">
        <w:rPr>
          <w:rFonts w:ascii="Arial" w:hAnsi="Arial" w:cs="Arial"/>
          <w:sz w:val="24"/>
          <w:szCs w:val="24"/>
          <w:lang w:val="en-GB"/>
        </w:rPr>
        <w:t xml:space="preserve">who </w:t>
      </w:r>
      <w:r>
        <w:rPr>
          <w:rFonts w:ascii="Arial" w:hAnsi="Arial" w:cs="Arial"/>
          <w:sz w:val="24"/>
          <w:szCs w:val="24"/>
          <w:lang w:val="en-GB"/>
        </w:rPr>
        <w:t xml:space="preserve">costed and finalized the fees for travelling time and expenses.  He denies not doing an inspection in </w:t>
      </w:r>
      <w:r w:rsidRPr="001B5F39">
        <w:rPr>
          <w:rFonts w:ascii="Arial" w:hAnsi="Arial" w:cs="Arial"/>
          <w:i/>
          <w:sz w:val="24"/>
          <w:szCs w:val="24"/>
          <w:lang w:val="en-GB"/>
        </w:rPr>
        <w:t>loco</w:t>
      </w:r>
      <w:r>
        <w:rPr>
          <w:rFonts w:ascii="Arial" w:hAnsi="Arial" w:cs="Arial"/>
          <w:sz w:val="24"/>
          <w:szCs w:val="24"/>
          <w:lang w:val="en-GB"/>
        </w:rPr>
        <w:t xml:space="preserve"> and rejects as unfounded “where the </w:t>
      </w:r>
      <w:r w:rsidR="007402AB">
        <w:rPr>
          <w:rFonts w:ascii="Arial" w:hAnsi="Arial" w:cs="Arial"/>
          <w:sz w:val="24"/>
          <w:szCs w:val="24"/>
          <w:lang w:val="en-GB"/>
        </w:rPr>
        <w:t>A</w:t>
      </w:r>
      <w:r>
        <w:rPr>
          <w:rFonts w:ascii="Arial" w:hAnsi="Arial" w:cs="Arial"/>
          <w:sz w:val="24"/>
          <w:szCs w:val="24"/>
          <w:lang w:val="en-GB"/>
        </w:rPr>
        <w:t xml:space="preserve">pplicant </w:t>
      </w:r>
      <w:r>
        <w:rPr>
          <w:rFonts w:ascii="Arial" w:hAnsi="Arial" w:cs="Arial"/>
          <w:sz w:val="24"/>
          <w:szCs w:val="24"/>
          <w:lang w:val="en-GB"/>
        </w:rPr>
        <w:lastRenderedPageBreak/>
        <w:t>gli</w:t>
      </w:r>
      <w:r w:rsidR="007402AB">
        <w:rPr>
          <w:rFonts w:ascii="Arial" w:hAnsi="Arial" w:cs="Arial"/>
          <w:sz w:val="24"/>
          <w:szCs w:val="24"/>
          <w:lang w:val="en-GB"/>
        </w:rPr>
        <w:t>b</w:t>
      </w:r>
      <w:r>
        <w:rPr>
          <w:rFonts w:ascii="Arial" w:hAnsi="Arial" w:cs="Arial"/>
          <w:sz w:val="24"/>
          <w:szCs w:val="24"/>
          <w:lang w:val="en-GB"/>
        </w:rPr>
        <w:t>ly avers that I have charged for services that did not take place.”  He further avers that Mr Mfengwana was not put at any “unfair advantage” (sic)</w:t>
      </w:r>
      <w:r w:rsidR="007402AB">
        <w:rPr>
          <w:rFonts w:ascii="Arial" w:hAnsi="Arial" w:cs="Arial"/>
          <w:sz w:val="24"/>
          <w:szCs w:val="24"/>
          <w:lang w:val="en-GB"/>
        </w:rPr>
        <w:t>,</w:t>
      </w:r>
      <w:r>
        <w:rPr>
          <w:rFonts w:ascii="Arial" w:hAnsi="Arial" w:cs="Arial"/>
          <w:sz w:val="24"/>
          <w:szCs w:val="24"/>
          <w:lang w:val="en-GB"/>
        </w:rPr>
        <w:t xml:space="preserve"> on the contrary Mr Mfengwana received the advantage of his office’s funding his claim to the point of settlement.</w:t>
      </w:r>
    </w:p>
    <w:p w14:paraId="37D4A2F9" w14:textId="77777777" w:rsidR="00831101" w:rsidRDefault="00831101" w:rsidP="0059769E">
      <w:pPr>
        <w:spacing w:line="480" w:lineRule="auto"/>
        <w:jc w:val="both"/>
        <w:rPr>
          <w:rFonts w:ascii="Arial" w:hAnsi="Arial" w:cs="Arial"/>
          <w:sz w:val="24"/>
          <w:szCs w:val="24"/>
          <w:lang w:val="en-GB"/>
        </w:rPr>
      </w:pPr>
      <w:r>
        <w:rPr>
          <w:rFonts w:ascii="Arial" w:hAnsi="Arial" w:cs="Arial"/>
          <w:sz w:val="24"/>
          <w:szCs w:val="24"/>
          <w:lang w:val="en-GB"/>
        </w:rPr>
        <w:t>[2</w:t>
      </w:r>
      <w:r w:rsidR="003347AC">
        <w:rPr>
          <w:rFonts w:ascii="Arial" w:hAnsi="Arial" w:cs="Arial"/>
          <w:sz w:val="24"/>
          <w:szCs w:val="24"/>
          <w:lang w:val="en-GB"/>
        </w:rPr>
        <w:t>2</w:t>
      </w:r>
      <w:r>
        <w:rPr>
          <w:rFonts w:ascii="Arial" w:hAnsi="Arial" w:cs="Arial"/>
          <w:sz w:val="24"/>
          <w:szCs w:val="24"/>
          <w:lang w:val="en-GB"/>
        </w:rPr>
        <w:t xml:space="preserve">] Very </w:t>
      </w:r>
      <w:r w:rsidR="00D205C0">
        <w:rPr>
          <w:rFonts w:ascii="Arial" w:hAnsi="Arial" w:cs="Arial"/>
          <w:sz w:val="24"/>
          <w:szCs w:val="24"/>
          <w:lang w:val="en-GB"/>
        </w:rPr>
        <w:t>strangely</w:t>
      </w:r>
      <w:r w:rsidR="007402AB">
        <w:rPr>
          <w:rFonts w:ascii="Arial" w:hAnsi="Arial" w:cs="Arial"/>
          <w:sz w:val="24"/>
          <w:szCs w:val="24"/>
          <w:lang w:val="en-GB"/>
        </w:rPr>
        <w:t>,</w:t>
      </w:r>
      <w:r>
        <w:rPr>
          <w:rFonts w:ascii="Arial" w:hAnsi="Arial" w:cs="Arial"/>
          <w:sz w:val="24"/>
          <w:szCs w:val="24"/>
          <w:lang w:val="en-GB"/>
        </w:rPr>
        <w:t xml:space="preserve"> the respondent deals with </w:t>
      </w:r>
      <w:r w:rsidR="007402AB">
        <w:rPr>
          <w:rFonts w:ascii="Arial" w:hAnsi="Arial" w:cs="Arial"/>
          <w:sz w:val="24"/>
          <w:szCs w:val="24"/>
          <w:lang w:val="en-GB"/>
        </w:rPr>
        <w:t xml:space="preserve">Mr Mfengwana’s founding affidavit </w:t>
      </w:r>
      <w:r w:rsidR="00554413">
        <w:rPr>
          <w:rFonts w:ascii="Arial" w:hAnsi="Arial" w:cs="Arial"/>
          <w:sz w:val="24"/>
          <w:szCs w:val="24"/>
          <w:lang w:val="en-GB"/>
        </w:rPr>
        <w:t xml:space="preserve">in </w:t>
      </w:r>
      <w:r>
        <w:rPr>
          <w:rFonts w:ascii="Arial" w:hAnsi="Arial" w:cs="Arial"/>
          <w:sz w:val="24"/>
          <w:szCs w:val="24"/>
          <w:lang w:val="en-GB"/>
        </w:rPr>
        <w:t xml:space="preserve">case number 3469/2017, the application which Mr Mfengwana instituted in order to recover R204 889.17 as well as </w:t>
      </w:r>
      <w:r w:rsidR="00554413">
        <w:rPr>
          <w:rFonts w:ascii="Arial" w:hAnsi="Arial" w:cs="Arial"/>
          <w:sz w:val="24"/>
          <w:szCs w:val="24"/>
          <w:lang w:val="en-GB"/>
        </w:rPr>
        <w:t xml:space="preserve">his original </w:t>
      </w:r>
      <w:r>
        <w:rPr>
          <w:rFonts w:ascii="Arial" w:hAnsi="Arial" w:cs="Arial"/>
          <w:sz w:val="24"/>
          <w:szCs w:val="24"/>
          <w:lang w:val="en-GB"/>
        </w:rPr>
        <w:t>file from him.  He attempts</w:t>
      </w:r>
      <w:r w:rsidR="001B5F39">
        <w:rPr>
          <w:rFonts w:ascii="Arial" w:hAnsi="Arial" w:cs="Arial"/>
          <w:sz w:val="24"/>
          <w:szCs w:val="24"/>
          <w:lang w:val="en-GB"/>
        </w:rPr>
        <w:t>,</w:t>
      </w:r>
      <w:r>
        <w:rPr>
          <w:rFonts w:ascii="Arial" w:hAnsi="Arial" w:cs="Arial"/>
          <w:sz w:val="24"/>
          <w:szCs w:val="24"/>
          <w:lang w:val="en-GB"/>
        </w:rPr>
        <w:t xml:space="preserve"> in these proceedings</w:t>
      </w:r>
      <w:r w:rsidR="007402AB">
        <w:rPr>
          <w:rFonts w:ascii="Arial" w:hAnsi="Arial" w:cs="Arial"/>
          <w:sz w:val="24"/>
          <w:szCs w:val="24"/>
          <w:lang w:val="en-GB"/>
        </w:rPr>
        <w:t>,</w:t>
      </w:r>
      <w:r>
        <w:rPr>
          <w:rFonts w:ascii="Arial" w:hAnsi="Arial" w:cs="Arial"/>
          <w:sz w:val="24"/>
          <w:szCs w:val="24"/>
          <w:lang w:val="en-GB"/>
        </w:rPr>
        <w:t xml:space="preserve"> to de</w:t>
      </w:r>
      <w:r w:rsidR="007402AB">
        <w:rPr>
          <w:rFonts w:ascii="Arial" w:hAnsi="Arial" w:cs="Arial"/>
          <w:sz w:val="24"/>
          <w:szCs w:val="24"/>
          <w:lang w:val="en-GB"/>
        </w:rPr>
        <w:t>n</w:t>
      </w:r>
      <w:r>
        <w:rPr>
          <w:rFonts w:ascii="Arial" w:hAnsi="Arial" w:cs="Arial"/>
          <w:sz w:val="24"/>
          <w:szCs w:val="24"/>
          <w:lang w:val="en-GB"/>
        </w:rPr>
        <w:t xml:space="preserve">y the allegations contained therein without dealing with the fact that he never opposed that application </w:t>
      </w:r>
      <w:r w:rsidR="007402AB">
        <w:rPr>
          <w:rFonts w:ascii="Arial" w:hAnsi="Arial" w:cs="Arial"/>
          <w:sz w:val="24"/>
          <w:szCs w:val="24"/>
          <w:lang w:val="en-GB"/>
        </w:rPr>
        <w:t>but</w:t>
      </w:r>
      <w:r>
        <w:rPr>
          <w:rFonts w:ascii="Arial" w:hAnsi="Arial" w:cs="Arial"/>
          <w:sz w:val="24"/>
          <w:szCs w:val="24"/>
          <w:lang w:val="en-GB"/>
        </w:rPr>
        <w:t xml:space="preserve"> tries to do so in this matter.  He</w:t>
      </w:r>
      <w:r w:rsidR="007402AB">
        <w:rPr>
          <w:rFonts w:ascii="Arial" w:hAnsi="Arial" w:cs="Arial"/>
          <w:sz w:val="24"/>
          <w:szCs w:val="24"/>
          <w:lang w:val="en-GB"/>
        </w:rPr>
        <w:t>,</w:t>
      </w:r>
      <w:r>
        <w:rPr>
          <w:rFonts w:ascii="Arial" w:hAnsi="Arial" w:cs="Arial"/>
          <w:sz w:val="24"/>
          <w:szCs w:val="24"/>
          <w:lang w:val="en-GB"/>
        </w:rPr>
        <w:t xml:space="preserve"> however</w:t>
      </w:r>
      <w:r w:rsidR="007402AB">
        <w:rPr>
          <w:rFonts w:ascii="Arial" w:hAnsi="Arial" w:cs="Arial"/>
          <w:sz w:val="24"/>
          <w:szCs w:val="24"/>
          <w:lang w:val="en-GB"/>
        </w:rPr>
        <w:t>,</w:t>
      </w:r>
      <w:r>
        <w:rPr>
          <w:rFonts w:ascii="Arial" w:hAnsi="Arial" w:cs="Arial"/>
          <w:sz w:val="24"/>
          <w:szCs w:val="24"/>
          <w:lang w:val="en-GB"/>
        </w:rPr>
        <w:t xml:space="preserve"> admits that he paid the money </w:t>
      </w:r>
      <w:r w:rsidR="00554413">
        <w:rPr>
          <w:rFonts w:ascii="Arial" w:hAnsi="Arial" w:cs="Arial"/>
          <w:sz w:val="24"/>
          <w:szCs w:val="24"/>
          <w:lang w:val="en-GB"/>
        </w:rPr>
        <w:t>“</w:t>
      </w:r>
      <w:r>
        <w:rPr>
          <w:rFonts w:ascii="Arial" w:hAnsi="Arial" w:cs="Arial"/>
          <w:sz w:val="24"/>
          <w:szCs w:val="24"/>
          <w:lang w:val="en-GB"/>
        </w:rPr>
        <w:t>immediately on re</w:t>
      </w:r>
      <w:r w:rsidR="007402AB">
        <w:rPr>
          <w:rFonts w:ascii="Arial" w:hAnsi="Arial" w:cs="Arial"/>
          <w:sz w:val="24"/>
          <w:szCs w:val="24"/>
          <w:lang w:val="en-GB"/>
        </w:rPr>
        <w:t>ceipt of the application papers”</w:t>
      </w:r>
      <w:r>
        <w:rPr>
          <w:rFonts w:ascii="Arial" w:hAnsi="Arial" w:cs="Arial"/>
          <w:sz w:val="24"/>
          <w:szCs w:val="24"/>
          <w:lang w:val="en-GB"/>
        </w:rPr>
        <w:t>.  He</w:t>
      </w:r>
      <w:r w:rsidR="00B0363C">
        <w:rPr>
          <w:rFonts w:ascii="Arial" w:hAnsi="Arial" w:cs="Arial"/>
          <w:sz w:val="24"/>
          <w:szCs w:val="24"/>
          <w:lang w:val="en-GB"/>
        </w:rPr>
        <w:t>,</w:t>
      </w:r>
      <w:r>
        <w:rPr>
          <w:rFonts w:ascii="Arial" w:hAnsi="Arial" w:cs="Arial"/>
          <w:sz w:val="24"/>
          <w:szCs w:val="24"/>
          <w:lang w:val="en-GB"/>
        </w:rPr>
        <w:t xml:space="preserve"> </w:t>
      </w:r>
      <w:r w:rsidR="007402AB">
        <w:rPr>
          <w:rFonts w:ascii="Arial" w:hAnsi="Arial" w:cs="Arial"/>
          <w:sz w:val="24"/>
          <w:szCs w:val="24"/>
          <w:lang w:val="en-GB"/>
        </w:rPr>
        <w:t xml:space="preserve">however, </w:t>
      </w:r>
      <w:r>
        <w:rPr>
          <w:rFonts w:ascii="Arial" w:hAnsi="Arial" w:cs="Arial"/>
          <w:sz w:val="24"/>
          <w:szCs w:val="24"/>
          <w:lang w:val="en-GB"/>
        </w:rPr>
        <w:t xml:space="preserve">again </w:t>
      </w:r>
      <w:r w:rsidR="00B966FE">
        <w:rPr>
          <w:rFonts w:ascii="Arial" w:hAnsi="Arial" w:cs="Arial"/>
          <w:sz w:val="24"/>
          <w:szCs w:val="24"/>
          <w:lang w:val="en-GB"/>
        </w:rPr>
        <w:t xml:space="preserve">says that it was not necessary </w:t>
      </w:r>
      <w:r>
        <w:rPr>
          <w:rFonts w:ascii="Arial" w:hAnsi="Arial" w:cs="Arial"/>
          <w:sz w:val="24"/>
          <w:szCs w:val="24"/>
          <w:lang w:val="en-GB"/>
        </w:rPr>
        <w:t>for Mr Mfengwana to launch the said application which he resolved not to oppose as doing so would be too time consuming.</w:t>
      </w:r>
    </w:p>
    <w:p w14:paraId="737D0172" w14:textId="77777777" w:rsidR="00831101" w:rsidRDefault="00831101" w:rsidP="0059769E">
      <w:pPr>
        <w:spacing w:line="480" w:lineRule="auto"/>
        <w:jc w:val="both"/>
        <w:rPr>
          <w:rFonts w:ascii="Arial" w:hAnsi="Arial" w:cs="Arial"/>
          <w:sz w:val="24"/>
          <w:szCs w:val="24"/>
          <w:lang w:val="en-GB"/>
        </w:rPr>
      </w:pPr>
      <w:r>
        <w:rPr>
          <w:rFonts w:ascii="Arial" w:hAnsi="Arial" w:cs="Arial"/>
          <w:sz w:val="24"/>
          <w:szCs w:val="24"/>
          <w:lang w:val="en-GB"/>
        </w:rPr>
        <w:t>[2</w:t>
      </w:r>
      <w:r w:rsidR="003347AC">
        <w:rPr>
          <w:rFonts w:ascii="Arial" w:hAnsi="Arial" w:cs="Arial"/>
          <w:sz w:val="24"/>
          <w:szCs w:val="24"/>
          <w:lang w:val="en-GB"/>
        </w:rPr>
        <w:t>3</w:t>
      </w:r>
      <w:r>
        <w:rPr>
          <w:rFonts w:ascii="Arial" w:hAnsi="Arial" w:cs="Arial"/>
          <w:sz w:val="24"/>
          <w:szCs w:val="24"/>
          <w:lang w:val="en-GB"/>
        </w:rPr>
        <w:t xml:space="preserve">] The respondent’s answering affidavit can best be summarised as the respondent’s attempt at explaining the inexplicable.  This he does by blaming everybody else from his staff to his bill of costs </w:t>
      </w:r>
      <w:r w:rsidR="00B966FE">
        <w:rPr>
          <w:rFonts w:ascii="Arial" w:hAnsi="Arial" w:cs="Arial"/>
          <w:sz w:val="24"/>
          <w:szCs w:val="24"/>
          <w:lang w:val="en-GB"/>
        </w:rPr>
        <w:t xml:space="preserve">consultant </w:t>
      </w:r>
      <w:r>
        <w:rPr>
          <w:rFonts w:ascii="Arial" w:hAnsi="Arial" w:cs="Arial"/>
          <w:sz w:val="24"/>
          <w:szCs w:val="24"/>
          <w:lang w:val="en-GB"/>
        </w:rPr>
        <w:t>and the applicant from which he</w:t>
      </w:r>
      <w:r w:rsidR="00B966FE">
        <w:rPr>
          <w:rFonts w:ascii="Arial" w:hAnsi="Arial" w:cs="Arial"/>
          <w:sz w:val="24"/>
          <w:szCs w:val="24"/>
          <w:lang w:val="en-GB"/>
        </w:rPr>
        <w:t xml:space="preserve"> says he </w:t>
      </w:r>
      <w:r>
        <w:rPr>
          <w:rFonts w:ascii="Arial" w:hAnsi="Arial" w:cs="Arial"/>
          <w:sz w:val="24"/>
          <w:szCs w:val="24"/>
          <w:lang w:val="en-GB"/>
        </w:rPr>
        <w:t xml:space="preserve">merely asked for clarification and guidance on the Contingency Fees Act.  He </w:t>
      </w:r>
      <w:r w:rsidR="00EF05F9">
        <w:rPr>
          <w:rFonts w:ascii="Arial" w:hAnsi="Arial" w:cs="Arial"/>
          <w:sz w:val="24"/>
          <w:szCs w:val="24"/>
          <w:lang w:val="en-GB"/>
        </w:rPr>
        <w:t>do</w:t>
      </w:r>
      <w:r w:rsidR="00901D78">
        <w:rPr>
          <w:rFonts w:ascii="Arial" w:hAnsi="Arial" w:cs="Arial"/>
          <w:sz w:val="24"/>
          <w:szCs w:val="24"/>
          <w:lang w:val="en-GB"/>
        </w:rPr>
        <w:t>e</w:t>
      </w:r>
      <w:r w:rsidR="00EF05F9">
        <w:rPr>
          <w:rFonts w:ascii="Arial" w:hAnsi="Arial" w:cs="Arial"/>
          <w:sz w:val="24"/>
          <w:szCs w:val="24"/>
          <w:lang w:val="en-GB"/>
        </w:rPr>
        <w:t>s not even acknowledge the despicable manner in which he atta</w:t>
      </w:r>
      <w:r w:rsidR="00B966FE">
        <w:rPr>
          <w:rFonts w:ascii="Arial" w:hAnsi="Arial" w:cs="Arial"/>
          <w:sz w:val="24"/>
          <w:szCs w:val="24"/>
          <w:lang w:val="en-GB"/>
        </w:rPr>
        <w:t>ck</w:t>
      </w:r>
      <w:r w:rsidR="00EF05F9">
        <w:rPr>
          <w:rFonts w:ascii="Arial" w:hAnsi="Arial" w:cs="Arial"/>
          <w:sz w:val="24"/>
          <w:szCs w:val="24"/>
          <w:lang w:val="en-GB"/>
        </w:rPr>
        <w:t xml:space="preserve">ed a sitting </w:t>
      </w:r>
      <w:r w:rsidR="00554413">
        <w:rPr>
          <w:rFonts w:ascii="Arial" w:hAnsi="Arial" w:cs="Arial"/>
          <w:sz w:val="24"/>
          <w:szCs w:val="24"/>
          <w:lang w:val="en-GB"/>
        </w:rPr>
        <w:t>J</w:t>
      </w:r>
      <w:r w:rsidR="00EF05F9">
        <w:rPr>
          <w:rFonts w:ascii="Arial" w:hAnsi="Arial" w:cs="Arial"/>
          <w:sz w:val="24"/>
          <w:szCs w:val="24"/>
          <w:lang w:val="en-GB"/>
        </w:rPr>
        <w:t xml:space="preserve">udge for making findings that </w:t>
      </w:r>
      <w:r w:rsidR="00B966FE">
        <w:rPr>
          <w:rFonts w:ascii="Arial" w:hAnsi="Arial" w:cs="Arial"/>
          <w:sz w:val="24"/>
          <w:szCs w:val="24"/>
          <w:lang w:val="en-GB"/>
        </w:rPr>
        <w:t>he clearly disagree</w:t>
      </w:r>
      <w:r w:rsidR="00554413">
        <w:rPr>
          <w:rFonts w:ascii="Arial" w:hAnsi="Arial" w:cs="Arial"/>
          <w:sz w:val="24"/>
          <w:szCs w:val="24"/>
          <w:lang w:val="en-GB"/>
        </w:rPr>
        <w:t>d</w:t>
      </w:r>
      <w:r w:rsidR="00B966FE">
        <w:rPr>
          <w:rFonts w:ascii="Arial" w:hAnsi="Arial" w:cs="Arial"/>
          <w:sz w:val="24"/>
          <w:szCs w:val="24"/>
          <w:lang w:val="en-GB"/>
        </w:rPr>
        <w:t xml:space="preserve"> with</w:t>
      </w:r>
      <w:r w:rsidR="00EF05F9">
        <w:rPr>
          <w:rFonts w:ascii="Arial" w:hAnsi="Arial" w:cs="Arial"/>
          <w:sz w:val="24"/>
          <w:szCs w:val="24"/>
          <w:lang w:val="en-GB"/>
        </w:rPr>
        <w:t>.  There is n</w:t>
      </w:r>
      <w:r w:rsidR="00B966FE">
        <w:rPr>
          <w:rFonts w:ascii="Arial" w:hAnsi="Arial" w:cs="Arial"/>
          <w:sz w:val="24"/>
          <w:szCs w:val="24"/>
          <w:lang w:val="en-GB"/>
        </w:rPr>
        <w:t>ot even a remote or even a half-</w:t>
      </w:r>
      <w:r w:rsidR="00EF05F9">
        <w:rPr>
          <w:rFonts w:ascii="Arial" w:hAnsi="Arial" w:cs="Arial"/>
          <w:sz w:val="24"/>
          <w:szCs w:val="24"/>
          <w:lang w:val="en-GB"/>
        </w:rPr>
        <w:t xml:space="preserve">hearted attempt at apologising to the judiciary </w:t>
      </w:r>
      <w:r w:rsidR="00B966FE">
        <w:rPr>
          <w:rFonts w:ascii="Arial" w:hAnsi="Arial" w:cs="Arial"/>
          <w:sz w:val="24"/>
          <w:szCs w:val="24"/>
          <w:lang w:val="en-GB"/>
        </w:rPr>
        <w:t xml:space="preserve">in general </w:t>
      </w:r>
      <w:r w:rsidR="00EF05F9">
        <w:rPr>
          <w:rFonts w:ascii="Arial" w:hAnsi="Arial" w:cs="Arial"/>
          <w:sz w:val="24"/>
          <w:szCs w:val="24"/>
          <w:lang w:val="en-GB"/>
        </w:rPr>
        <w:t xml:space="preserve">and </w:t>
      </w:r>
      <w:r w:rsidR="00554413">
        <w:rPr>
          <w:rFonts w:ascii="Arial" w:hAnsi="Arial" w:cs="Arial"/>
          <w:sz w:val="24"/>
          <w:szCs w:val="24"/>
          <w:lang w:val="en-GB"/>
        </w:rPr>
        <w:t xml:space="preserve">to </w:t>
      </w:r>
      <w:r w:rsidR="00EF05F9">
        <w:rPr>
          <w:rFonts w:ascii="Arial" w:hAnsi="Arial" w:cs="Arial"/>
          <w:sz w:val="24"/>
          <w:szCs w:val="24"/>
          <w:lang w:val="en-GB"/>
        </w:rPr>
        <w:t>Judge Plasket in particular</w:t>
      </w:r>
      <w:r w:rsidR="001B5F39">
        <w:rPr>
          <w:rFonts w:ascii="Arial" w:hAnsi="Arial" w:cs="Arial"/>
          <w:sz w:val="24"/>
          <w:szCs w:val="24"/>
          <w:lang w:val="en-GB"/>
        </w:rPr>
        <w:t xml:space="preserve">. </w:t>
      </w:r>
      <w:r w:rsidR="00EF05F9">
        <w:rPr>
          <w:rFonts w:ascii="Arial" w:hAnsi="Arial" w:cs="Arial"/>
          <w:sz w:val="24"/>
          <w:szCs w:val="24"/>
          <w:lang w:val="en-GB"/>
        </w:rPr>
        <w:t xml:space="preserve"> </w:t>
      </w:r>
      <w:r w:rsidR="001B5F39">
        <w:rPr>
          <w:rFonts w:ascii="Arial" w:hAnsi="Arial" w:cs="Arial"/>
          <w:sz w:val="24"/>
          <w:szCs w:val="24"/>
          <w:lang w:val="en-GB"/>
        </w:rPr>
        <w:t>His was an</w:t>
      </w:r>
      <w:r w:rsidR="00EF05F9">
        <w:rPr>
          <w:rFonts w:ascii="Arial" w:hAnsi="Arial" w:cs="Arial"/>
          <w:sz w:val="24"/>
          <w:szCs w:val="24"/>
          <w:lang w:val="en-GB"/>
        </w:rPr>
        <w:t xml:space="preserve"> unwarranted attack </w:t>
      </w:r>
      <w:r w:rsidR="001B5F39">
        <w:rPr>
          <w:rFonts w:ascii="Arial" w:hAnsi="Arial" w:cs="Arial"/>
          <w:sz w:val="24"/>
          <w:szCs w:val="24"/>
          <w:lang w:val="en-GB"/>
        </w:rPr>
        <w:t xml:space="preserve">which he never withdrew </w:t>
      </w:r>
      <w:r w:rsidR="00EF05F9">
        <w:rPr>
          <w:rFonts w:ascii="Arial" w:hAnsi="Arial" w:cs="Arial"/>
          <w:sz w:val="24"/>
          <w:szCs w:val="24"/>
          <w:lang w:val="en-GB"/>
        </w:rPr>
        <w:t xml:space="preserve">which he again tries to explain by saying </w:t>
      </w:r>
      <w:r w:rsidR="00B966FE">
        <w:rPr>
          <w:rFonts w:ascii="Arial" w:hAnsi="Arial" w:cs="Arial"/>
          <w:sz w:val="24"/>
          <w:szCs w:val="24"/>
          <w:lang w:val="en-GB"/>
        </w:rPr>
        <w:t xml:space="preserve">that </w:t>
      </w:r>
      <w:r w:rsidR="00EF05F9">
        <w:rPr>
          <w:rFonts w:ascii="Arial" w:hAnsi="Arial" w:cs="Arial"/>
          <w:sz w:val="24"/>
          <w:szCs w:val="24"/>
          <w:lang w:val="en-GB"/>
        </w:rPr>
        <w:t>he was upset and did not understand how his bona fide efforts to assist a needy client ended up with such a disastrous outcome.  This again is yet another</w:t>
      </w:r>
      <w:r w:rsidR="00554413">
        <w:rPr>
          <w:rFonts w:ascii="Arial" w:hAnsi="Arial" w:cs="Arial"/>
          <w:sz w:val="24"/>
          <w:szCs w:val="24"/>
          <w:lang w:val="en-GB"/>
        </w:rPr>
        <w:t xml:space="preserve"> of the </w:t>
      </w:r>
      <w:r w:rsidR="00EF05F9">
        <w:rPr>
          <w:rFonts w:ascii="Arial" w:hAnsi="Arial" w:cs="Arial"/>
          <w:sz w:val="24"/>
          <w:szCs w:val="24"/>
          <w:lang w:val="en-GB"/>
        </w:rPr>
        <w:t>respondent’s attempt</w:t>
      </w:r>
      <w:r w:rsidR="00554413">
        <w:rPr>
          <w:rFonts w:ascii="Arial" w:hAnsi="Arial" w:cs="Arial"/>
          <w:sz w:val="24"/>
          <w:szCs w:val="24"/>
          <w:lang w:val="en-GB"/>
        </w:rPr>
        <w:t>s</w:t>
      </w:r>
      <w:r w:rsidR="00EF05F9">
        <w:rPr>
          <w:rFonts w:ascii="Arial" w:hAnsi="Arial" w:cs="Arial"/>
          <w:sz w:val="24"/>
          <w:szCs w:val="24"/>
          <w:lang w:val="en-GB"/>
        </w:rPr>
        <w:t xml:space="preserve"> to blame everything on something </w:t>
      </w:r>
      <w:r w:rsidR="00B966FE">
        <w:rPr>
          <w:rFonts w:ascii="Arial" w:hAnsi="Arial" w:cs="Arial"/>
          <w:sz w:val="24"/>
          <w:szCs w:val="24"/>
          <w:lang w:val="en-GB"/>
        </w:rPr>
        <w:t xml:space="preserve">else </w:t>
      </w:r>
      <w:r w:rsidR="00EF05F9">
        <w:rPr>
          <w:rFonts w:ascii="Arial" w:hAnsi="Arial" w:cs="Arial"/>
          <w:sz w:val="24"/>
          <w:szCs w:val="24"/>
          <w:lang w:val="en-GB"/>
        </w:rPr>
        <w:t xml:space="preserve">or someone else </w:t>
      </w:r>
      <w:r w:rsidR="00B966FE">
        <w:rPr>
          <w:rFonts w:ascii="Arial" w:hAnsi="Arial" w:cs="Arial"/>
          <w:sz w:val="24"/>
          <w:szCs w:val="24"/>
          <w:lang w:val="en-GB"/>
        </w:rPr>
        <w:t>other than himself instead of taking responsibility for his action</w:t>
      </w:r>
      <w:r w:rsidR="00554413">
        <w:rPr>
          <w:rFonts w:ascii="Arial" w:hAnsi="Arial" w:cs="Arial"/>
          <w:sz w:val="24"/>
          <w:szCs w:val="24"/>
          <w:lang w:val="en-GB"/>
        </w:rPr>
        <w:t>s</w:t>
      </w:r>
      <w:r w:rsidR="00EF05F9">
        <w:rPr>
          <w:rFonts w:ascii="Arial" w:hAnsi="Arial" w:cs="Arial"/>
          <w:sz w:val="24"/>
          <w:szCs w:val="24"/>
          <w:lang w:val="en-GB"/>
        </w:rPr>
        <w:t>.</w:t>
      </w:r>
    </w:p>
    <w:p w14:paraId="1DAD6E33" w14:textId="77777777" w:rsidR="00EF05F9" w:rsidRDefault="00EF05F9" w:rsidP="0059769E">
      <w:pPr>
        <w:spacing w:line="480" w:lineRule="auto"/>
        <w:jc w:val="both"/>
        <w:rPr>
          <w:rFonts w:ascii="Arial" w:hAnsi="Arial" w:cs="Arial"/>
          <w:sz w:val="24"/>
          <w:szCs w:val="24"/>
          <w:lang w:val="en-GB"/>
        </w:rPr>
      </w:pPr>
      <w:r>
        <w:rPr>
          <w:rFonts w:ascii="Arial" w:hAnsi="Arial" w:cs="Arial"/>
          <w:sz w:val="24"/>
          <w:szCs w:val="24"/>
          <w:lang w:val="en-GB"/>
        </w:rPr>
        <w:lastRenderedPageBreak/>
        <w:t>[2</w:t>
      </w:r>
      <w:r w:rsidR="003347AC">
        <w:rPr>
          <w:rFonts w:ascii="Arial" w:hAnsi="Arial" w:cs="Arial"/>
          <w:sz w:val="24"/>
          <w:szCs w:val="24"/>
          <w:lang w:val="en-GB"/>
        </w:rPr>
        <w:t>4</w:t>
      </w:r>
      <w:r>
        <w:rPr>
          <w:rFonts w:ascii="Arial" w:hAnsi="Arial" w:cs="Arial"/>
          <w:sz w:val="24"/>
          <w:szCs w:val="24"/>
          <w:lang w:val="en-GB"/>
        </w:rPr>
        <w:t xml:space="preserve">] Nowhere does he take responsibility for anything </w:t>
      </w:r>
      <w:r w:rsidR="00554413">
        <w:rPr>
          <w:rFonts w:ascii="Arial" w:hAnsi="Arial" w:cs="Arial"/>
          <w:sz w:val="24"/>
          <w:szCs w:val="24"/>
          <w:lang w:val="en-GB"/>
        </w:rPr>
        <w:t>he did</w:t>
      </w:r>
      <w:r>
        <w:rPr>
          <w:rFonts w:ascii="Arial" w:hAnsi="Arial" w:cs="Arial"/>
          <w:sz w:val="24"/>
          <w:szCs w:val="24"/>
          <w:lang w:val="en-GB"/>
        </w:rPr>
        <w:t>.  He</w:t>
      </w:r>
      <w:r w:rsidR="00A2413E">
        <w:rPr>
          <w:rFonts w:ascii="Arial" w:hAnsi="Arial" w:cs="Arial"/>
          <w:sz w:val="24"/>
          <w:szCs w:val="24"/>
          <w:lang w:val="en-GB"/>
        </w:rPr>
        <w:t>,</w:t>
      </w:r>
      <w:r>
        <w:rPr>
          <w:rFonts w:ascii="Arial" w:hAnsi="Arial" w:cs="Arial"/>
          <w:sz w:val="24"/>
          <w:szCs w:val="24"/>
          <w:lang w:val="en-GB"/>
        </w:rPr>
        <w:t xml:space="preserve"> on the contrary</w:t>
      </w:r>
      <w:r w:rsidR="00554413">
        <w:rPr>
          <w:rFonts w:ascii="Arial" w:hAnsi="Arial" w:cs="Arial"/>
          <w:sz w:val="24"/>
          <w:szCs w:val="24"/>
          <w:lang w:val="en-GB"/>
        </w:rPr>
        <w:t>, bold</w:t>
      </w:r>
      <w:r w:rsidR="001B5F39">
        <w:rPr>
          <w:rFonts w:ascii="Arial" w:hAnsi="Arial" w:cs="Arial"/>
          <w:sz w:val="24"/>
          <w:szCs w:val="24"/>
          <w:lang w:val="en-GB"/>
        </w:rPr>
        <w:t>ly</w:t>
      </w:r>
      <w:r>
        <w:rPr>
          <w:rFonts w:ascii="Arial" w:hAnsi="Arial" w:cs="Arial"/>
          <w:sz w:val="24"/>
          <w:szCs w:val="24"/>
          <w:lang w:val="en-GB"/>
        </w:rPr>
        <w:t xml:space="preserve"> makes this assertion that Mr Mfengwana ultimately got what he deserved without even acknowledging how he almost got away with a substantial portion of Mr Mfengwana’s money which was not due to him.  The </w:t>
      </w:r>
      <w:r w:rsidR="005B4F39">
        <w:rPr>
          <w:rFonts w:ascii="Arial" w:hAnsi="Arial" w:cs="Arial"/>
          <w:sz w:val="24"/>
          <w:szCs w:val="24"/>
          <w:lang w:val="en-GB"/>
        </w:rPr>
        <w:t>bill of costs itself</w:t>
      </w:r>
      <w:r w:rsidR="00B0363C">
        <w:rPr>
          <w:rFonts w:ascii="Arial" w:hAnsi="Arial" w:cs="Arial"/>
          <w:sz w:val="24"/>
          <w:szCs w:val="24"/>
          <w:lang w:val="en-GB"/>
        </w:rPr>
        <w:t>,</w:t>
      </w:r>
      <w:r w:rsidR="005B4F39">
        <w:rPr>
          <w:rFonts w:ascii="Arial" w:hAnsi="Arial" w:cs="Arial"/>
          <w:sz w:val="24"/>
          <w:szCs w:val="24"/>
          <w:lang w:val="en-GB"/>
        </w:rPr>
        <w:t xml:space="preserve"> which was drawn after the judgment of Plasket J which set aside the contingency fee</w:t>
      </w:r>
      <w:r w:rsidR="001B5F39">
        <w:rPr>
          <w:rFonts w:ascii="Arial" w:hAnsi="Arial" w:cs="Arial"/>
          <w:sz w:val="24"/>
          <w:szCs w:val="24"/>
          <w:lang w:val="en-GB"/>
        </w:rPr>
        <w:t>s</w:t>
      </w:r>
      <w:r w:rsidR="005B4F39">
        <w:rPr>
          <w:rFonts w:ascii="Arial" w:hAnsi="Arial" w:cs="Arial"/>
          <w:sz w:val="24"/>
          <w:szCs w:val="24"/>
          <w:lang w:val="en-GB"/>
        </w:rPr>
        <w:t xml:space="preserve"> </w:t>
      </w:r>
      <w:r w:rsidR="00F96FC0">
        <w:rPr>
          <w:rFonts w:ascii="Arial" w:hAnsi="Arial" w:cs="Arial"/>
          <w:sz w:val="24"/>
          <w:szCs w:val="24"/>
          <w:lang w:val="en-GB"/>
        </w:rPr>
        <w:t>agreement and referred to the rapaciousness of the respondent</w:t>
      </w:r>
      <w:r w:rsidR="00B0363C">
        <w:rPr>
          <w:rFonts w:ascii="Arial" w:hAnsi="Arial" w:cs="Arial"/>
          <w:sz w:val="24"/>
          <w:szCs w:val="24"/>
          <w:lang w:val="en-GB"/>
        </w:rPr>
        <w:t>,</w:t>
      </w:r>
      <w:r w:rsidR="00A2413E">
        <w:rPr>
          <w:rFonts w:ascii="Arial" w:hAnsi="Arial" w:cs="Arial"/>
          <w:sz w:val="24"/>
          <w:szCs w:val="24"/>
          <w:lang w:val="en-GB"/>
        </w:rPr>
        <w:t xml:space="preserve"> reflects yet another attempt by the respondent </w:t>
      </w:r>
      <w:r w:rsidR="00554413">
        <w:rPr>
          <w:rFonts w:ascii="Arial" w:hAnsi="Arial" w:cs="Arial"/>
          <w:sz w:val="24"/>
          <w:szCs w:val="24"/>
          <w:lang w:val="en-GB"/>
        </w:rPr>
        <w:t>at</w:t>
      </w:r>
      <w:r w:rsidR="00A2413E">
        <w:rPr>
          <w:rFonts w:ascii="Arial" w:hAnsi="Arial" w:cs="Arial"/>
          <w:sz w:val="24"/>
          <w:szCs w:val="24"/>
          <w:lang w:val="en-GB"/>
        </w:rPr>
        <w:t xml:space="preserve"> overreaching as if the judgment meant nothing to him</w:t>
      </w:r>
      <w:r w:rsidR="00F96FC0">
        <w:rPr>
          <w:rFonts w:ascii="Arial" w:hAnsi="Arial" w:cs="Arial"/>
          <w:sz w:val="24"/>
          <w:szCs w:val="24"/>
          <w:lang w:val="en-GB"/>
        </w:rPr>
        <w:t xml:space="preserve">.  The respondent clearly paid no attention to what the court said in the </w:t>
      </w:r>
      <w:r w:rsidR="00F96FC0" w:rsidRPr="00554413">
        <w:rPr>
          <w:rFonts w:ascii="Arial" w:hAnsi="Arial" w:cs="Arial"/>
          <w:i/>
          <w:sz w:val="24"/>
          <w:szCs w:val="24"/>
          <w:lang w:val="en-GB"/>
        </w:rPr>
        <w:t>Mfengwana</w:t>
      </w:r>
      <w:r w:rsidR="00F96FC0">
        <w:rPr>
          <w:rFonts w:ascii="Arial" w:hAnsi="Arial" w:cs="Arial"/>
          <w:sz w:val="24"/>
          <w:szCs w:val="24"/>
          <w:lang w:val="en-GB"/>
        </w:rPr>
        <w:t xml:space="preserve"> judgment and took no heed to how absolutely horrified at the overreaching that was in motion in that matter</w:t>
      </w:r>
      <w:r w:rsidR="00A2413E">
        <w:rPr>
          <w:rFonts w:ascii="Arial" w:hAnsi="Arial" w:cs="Arial"/>
          <w:sz w:val="24"/>
          <w:szCs w:val="24"/>
          <w:lang w:val="en-GB"/>
        </w:rPr>
        <w:t xml:space="preserve"> the court was</w:t>
      </w:r>
      <w:r w:rsidR="00F96FC0">
        <w:rPr>
          <w:rFonts w:ascii="Arial" w:hAnsi="Arial" w:cs="Arial"/>
          <w:sz w:val="24"/>
          <w:szCs w:val="24"/>
          <w:lang w:val="en-GB"/>
        </w:rPr>
        <w:t>.  Instead of taking heed of the court’s views on both the law and the facts the respondent c</w:t>
      </w:r>
      <w:r w:rsidR="00A2413E">
        <w:rPr>
          <w:rFonts w:ascii="Arial" w:hAnsi="Arial" w:cs="Arial"/>
          <w:sz w:val="24"/>
          <w:szCs w:val="24"/>
          <w:lang w:val="en-GB"/>
        </w:rPr>
        <w:t>h</w:t>
      </w:r>
      <w:r w:rsidR="00F96FC0">
        <w:rPr>
          <w:rFonts w:ascii="Arial" w:hAnsi="Arial" w:cs="Arial"/>
          <w:sz w:val="24"/>
          <w:szCs w:val="24"/>
          <w:lang w:val="en-GB"/>
        </w:rPr>
        <w:t>ose to attack the presiding judge</w:t>
      </w:r>
      <w:r w:rsidR="001B5F39">
        <w:rPr>
          <w:rFonts w:ascii="Arial" w:hAnsi="Arial" w:cs="Arial"/>
          <w:sz w:val="24"/>
          <w:szCs w:val="24"/>
          <w:lang w:val="en-GB"/>
        </w:rPr>
        <w:t>, effectively saying the judge did not know the law and did not understand the Thulo judgment in order to justify his claimed entitlement to 25% of Mr Mfengwana’s money</w:t>
      </w:r>
      <w:r w:rsidR="00F96FC0">
        <w:rPr>
          <w:rFonts w:ascii="Arial" w:hAnsi="Arial" w:cs="Arial"/>
          <w:sz w:val="24"/>
          <w:szCs w:val="24"/>
          <w:lang w:val="en-GB"/>
        </w:rPr>
        <w:t>.  It did not end there</w:t>
      </w:r>
      <w:r w:rsidR="00B0363C">
        <w:rPr>
          <w:rFonts w:ascii="Arial" w:hAnsi="Arial" w:cs="Arial"/>
          <w:sz w:val="24"/>
          <w:szCs w:val="24"/>
          <w:lang w:val="en-GB"/>
        </w:rPr>
        <w:t>.</w:t>
      </w:r>
      <w:r w:rsidR="00F96FC0">
        <w:rPr>
          <w:rFonts w:ascii="Arial" w:hAnsi="Arial" w:cs="Arial"/>
          <w:sz w:val="24"/>
          <w:szCs w:val="24"/>
          <w:lang w:val="en-GB"/>
        </w:rPr>
        <w:t xml:space="preserve"> </w:t>
      </w:r>
      <w:r w:rsidR="00B0363C">
        <w:rPr>
          <w:rFonts w:ascii="Arial" w:hAnsi="Arial" w:cs="Arial"/>
          <w:sz w:val="24"/>
          <w:szCs w:val="24"/>
          <w:lang w:val="en-GB"/>
        </w:rPr>
        <w:t>H</w:t>
      </w:r>
      <w:r w:rsidR="00F96FC0">
        <w:rPr>
          <w:rFonts w:ascii="Arial" w:hAnsi="Arial" w:cs="Arial"/>
          <w:sz w:val="24"/>
          <w:szCs w:val="24"/>
          <w:lang w:val="en-GB"/>
        </w:rPr>
        <w:t>e then dr</w:t>
      </w:r>
      <w:r w:rsidR="00A2413E">
        <w:rPr>
          <w:rFonts w:ascii="Arial" w:hAnsi="Arial" w:cs="Arial"/>
          <w:sz w:val="24"/>
          <w:szCs w:val="24"/>
          <w:lang w:val="en-GB"/>
        </w:rPr>
        <w:t>e</w:t>
      </w:r>
      <w:r w:rsidR="00F96FC0">
        <w:rPr>
          <w:rFonts w:ascii="Arial" w:hAnsi="Arial" w:cs="Arial"/>
          <w:sz w:val="24"/>
          <w:szCs w:val="24"/>
          <w:lang w:val="en-GB"/>
        </w:rPr>
        <w:t xml:space="preserve">w the bill of costs which reflected the items </w:t>
      </w:r>
      <w:r w:rsidR="001B5F39">
        <w:rPr>
          <w:rFonts w:ascii="Arial" w:hAnsi="Arial" w:cs="Arial"/>
          <w:sz w:val="24"/>
          <w:szCs w:val="24"/>
          <w:lang w:val="en-GB"/>
        </w:rPr>
        <w:t xml:space="preserve">and figures </w:t>
      </w:r>
      <w:r w:rsidR="00F96FC0">
        <w:rPr>
          <w:rFonts w:ascii="Arial" w:hAnsi="Arial" w:cs="Arial"/>
          <w:sz w:val="24"/>
          <w:szCs w:val="24"/>
          <w:lang w:val="en-GB"/>
        </w:rPr>
        <w:t>which the respondent himself say</w:t>
      </w:r>
      <w:r w:rsidR="00A2413E">
        <w:rPr>
          <w:rFonts w:ascii="Arial" w:hAnsi="Arial" w:cs="Arial"/>
          <w:sz w:val="24"/>
          <w:szCs w:val="24"/>
          <w:lang w:val="en-GB"/>
        </w:rPr>
        <w:t>s</w:t>
      </w:r>
      <w:r w:rsidR="00F96FC0">
        <w:rPr>
          <w:rFonts w:ascii="Arial" w:hAnsi="Arial" w:cs="Arial"/>
          <w:sz w:val="24"/>
          <w:szCs w:val="24"/>
          <w:lang w:val="en-GB"/>
        </w:rPr>
        <w:t xml:space="preserve"> he has no reason to challenge.  The said bill is also another instance of the rapaciousness of the respondent in his dealings with his c</w:t>
      </w:r>
      <w:r w:rsidR="00A2413E">
        <w:rPr>
          <w:rFonts w:ascii="Arial" w:hAnsi="Arial" w:cs="Arial"/>
          <w:sz w:val="24"/>
          <w:szCs w:val="24"/>
          <w:lang w:val="en-GB"/>
        </w:rPr>
        <w:t>lient,</w:t>
      </w:r>
      <w:r w:rsidR="00F96FC0">
        <w:rPr>
          <w:rFonts w:ascii="Arial" w:hAnsi="Arial" w:cs="Arial"/>
          <w:sz w:val="24"/>
          <w:szCs w:val="24"/>
          <w:lang w:val="en-GB"/>
        </w:rPr>
        <w:t xml:space="preserve"> Mr Mfengwana</w:t>
      </w:r>
      <w:r w:rsidR="00B0363C">
        <w:rPr>
          <w:rFonts w:ascii="Arial" w:hAnsi="Arial" w:cs="Arial"/>
          <w:sz w:val="24"/>
          <w:szCs w:val="24"/>
          <w:lang w:val="en-GB"/>
        </w:rPr>
        <w:t>,</w:t>
      </w:r>
      <w:r w:rsidR="00F96FC0">
        <w:rPr>
          <w:rFonts w:ascii="Arial" w:hAnsi="Arial" w:cs="Arial"/>
          <w:sz w:val="24"/>
          <w:szCs w:val="24"/>
          <w:lang w:val="en-GB"/>
        </w:rPr>
        <w:t xml:space="preserve"> and his </w:t>
      </w:r>
      <w:r w:rsidR="001B5F39">
        <w:rPr>
          <w:rFonts w:ascii="Arial" w:hAnsi="Arial" w:cs="Arial"/>
          <w:sz w:val="24"/>
          <w:szCs w:val="24"/>
          <w:lang w:val="en-GB"/>
        </w:rPr>
        <w:t xml:space="preserve">dreadful </w:t>
      </w:r>
      <w:r w:rsidR="00A1062A">
        <w:rPr>
          <w:rFonts w:ascii="Arial" w:hAnsi="Arial" w:cs="Arial"/>
          <w:sz w:val="24"/>
          <w:szCs w:val="24"/>
          <w:lang w:val="en-GB"/>
        </w:rPr>
        <w:t xml:space="preserve">handling of his matter.  </w:t>
      </w:r>
    </w:p>
    <w:p w14:paraId="216950B4" w14:textId="77777777" w:rsidR="00A1062A" w:rsidRDefault="00A1062A" w:rsidP="0059769E">
      <w:pPr>
        <w:spacing w:line="480" w:lineRule="auto"/>
        <w:jc w:val="both"/>
        <w:rPr>
          <w:rFonts w:ascii="Arial" w:hAnsi="Arial" w:cs="Arial"/>
          <w:sz w:val="24"/>
          <w:szCs w:val="24"/>
          <w:lang w:val="en-GB"/>
        </w:rPr>
      </w:pPr>
      <w:r>
        <w:rPr>
          <w:rFonts w:ascii="Arial" w:hAnsi="Arial" w:cs="Arial"/>
          <w:sz w:val="24"/>
          <w:szCs w:val="24"/>
          <w:lang w:val="en-GB"/>
        </w:rPr>
        <w:t>[2</w:t>
      </w:r>
      <w:r w:rsidR="003347AC">
        <w:rPr>
          <w:rFonts w:ascii="Arial" w:hAnsi="Arial" w:cs="Arial"/>
          <w:sz w:val="24"/>
          <w:szCs w:val="24"/>
          <w:lang w:val="en-GB"/>
        </w:rPr>
        <w:t>5</w:t>
      </w:r>
      <w:r>
        <w:rPr>
          <w:rFonts w:ascii="Arial" w:hAnsi="Arial" w:cs="Arial"/>
          <w:sz w:val="24"/>
          <w:szCs w:val="24"/>
          <w:lang w:val="en-GB"/>
        </w:rPr>
        <w:t>] The approach that a court should follow in an application of this nature ha</w:t>
      </w:r>
      <w:r w:rsidR="00554413">
        <w:rPr>
          <w:rFonts w:ascii="Arial" w:hAnsi="Arial" w:cs="Arial"/>
          <w:sz w:val="24"/>
          <w:szCs w:val="24"/>
          <w:lang w:val="en-GB"/>
        </w:rPr>
        <w:t>s</w:t>
      </w:r>
      <w:r>
        <w:rPr>
          <w:rFonts w:ascii="Arial" w:hAnsi="Arial" w:cs="Arial"/>
          <w:sz w:val="24"/>
          <w:szCs w:val="24"/>
          <w:lang w:val="en-GB"/>
        </w:rPr>
        <w:t xml:space="preserve"> been pronounced upon by our courts and </w:t>
      </w:r>
      <w:r w:rsidR="00554413">
        <w:rPr>
          <w:rFonts w:ascii="Arial" w:hAnsi="Arial" w:cs="Arial"/>
          <w:sz w:val="24"/>
          <w:szCs w:val="24"/>
          <w:lang w:val="en-GB"/>
        </w:rPr>
        <w:t>is</w:t>
      </w:r>
      <w:r>
        <w:rPr>
          <w:rFonts w:ascii="Arial" w:hAnsi="Arial" w:cs="Arial"/>
          <w:sz w:val="24"/>
          <w:szCs w:val="24"/>
          <w:lang w:val="en-GB"/>
        </w:rPr>
        <w:t xml:space="preserve"> well known.  </w:t>
      </w:r>
      <w:r w:rsidR="00554413">
        <w:rPr>
          <w:rFonts w:ascii="Arial" w:hAnsi="Arial" w:cs="Arial"/>
          <w:sz w:val="24"/>
          <w:szCs w:val="24"/>
          <w:lang w:val="en-GB"/>
        </w:rPr>
        <w:t>It was</w:t>
      </w:r>
      <w:r>
        <w:rPr>
          <w:rFonts w:ascii="Arial" w:hAnsi="Arial" w:cs="Arial"/>
          <w:sz w:val="24"/>
          <w:szCs w:val="24"/>
          <w:lang w:val="en-GB"/>
        </w:rPr>
        <w:t xml:space="preserve"> restated in </w:t>
      </w:r>
      <w:r w:rsidRPr="001B5F39">
        <w:rPr>
          <w:rFonts w:ascii="Arial" w:hAnsi="Arial" w:cs="Arial"/>
          <w:i/>
          <w:sz w:val="24"/>
          <w:szCs w:val="24"/>
          <w:lang w:val="en-GB"/>
        </w:rPr>
        <w:t>Malan</w:t>
      </w:r>
      <w:r w:rsidR="003F77DD">
        <w:rPr>
          <w:rStyle w:val="FootnoteReference"/>
          <w:rFonts w:ascii="Arial" w:hAnsi="Arial" w:cs="Arial"/>
          <w:sz w:val="24"/>
          <w:szCs w:val="24"/>
          <w:lang w:val="en-GB"/>
        </w:rPr>
        <w:footnoteReference w:id="4"/>
      </w:r>
      <w:r>
        <w:rPr>
          <w:rFonts w:ascii="Arial" w:hAnsi="Arial" w:cs="Arial"/>
          <w:sz w:val="24"/>
          <w:szCs w:val="24"/>
          <w:lang w:val="en-GB"/>
        </w:rPr>
        <w:t xml:space="preserve"> in which </w:t>
      </w:r>
      <w:r w:rsidR="003F77DD">
        <w:rPr>
          <w:rFonts w:ascii="Arial" w:hAnsi="Arial" w:cs="Arial"/>
          <w:sz w:val="24"/>
          <w:szCs w:val="24"/>
          <w:lang w:val="en-GB"/>
        </w:rPr>
        <w:t>Har</w:t>
      </w:r>
      <w:r w:rsidR="00A2413E">
        <w:rPr>
          <w:rFonts w:ascii="Arial" w:hAnsi="Arial" w:cs="Arial"/>
          <w:sz w:val="24"/>
          <w:szCs w:val="24"/>
          <w:lang w:val="en-GB"/>
        </w:rPr>
        <w:t>m</w:t>
      </w:r>
      <w:r w:rsidR="003F77DD">
        <w:rPr>
          <w:rFonts w:ascii="Arial" w:hAnsi="Arial" w:cs="Arial"/>
          <w:sz w:val="24"/>
          <w:szCs w:val="24"/>
          <w:lang w:val="en-GB"/>
        </w:rPr>
        <w:t>s ADP said:</w:t>
      </w:r>
    </w:p>
    <w:p w14:paraId="6049C961" w14:textId="77777777" w:rsidR="003F77DD" w:rsidRPr="002E72FB" w:rsidRDefault="003F77DD" w:rsidP="002E72FB">
      <w:pPr>
        <w:spacing w:line="360" w:lineRule="auto"/>
        <w:ind w:left="720"/>
        <w:jc w:val="both"/>
        <w:rPr>
          <w:rFonts w:ascii="Arial" w:hAnsi="Arial" w:cs="Arial"/>
          <w:lang w:val="en-GB"/>
        </w:rPr>
      </w:pPr>
      <w:r w:rsidRPr="002E72FB">
        <w:rPr>
          <w:rFonts w:ascii="Arial" w:hAnsi="Arial" w:cs="Arial"/>
          <w:lang w:val="en-GB"/>
        </w:rPr>
        <w:t xml:space="preserve">“As was said in </w:t>
      </w:r>
      <w:r w:rsidRPr="00EE5C7A">
        <w:rPr>
          <w:rFonts w:ascii="Arial" w:hAnsi="Arial" w:cs="Arial"/>
          <w:i/>
          <w:lang w:val="en-GB"/>
        </w:rPr>
        <w:t>Jasat v Natal Law Society</w:t>
      </w:r>
      <w:r w:rsidRPr="002E72FB">
        <w:rPr>
          <w:rFonts w:ascii="Arial" w:hAnsi="Arial" w:cs="Arial"/>
          <w:lang w:val="en-GB"/>
        </w:rPr>
        <w:t xml:space="preserve"> 2000 (3) SA 44 (SCA) ([2000] 2 A</w:t>
      </w:r>
      <w:r w:rsidR="00A2413E">
        <w:rPr>
          <w:rFonts w:ascii="Arial" w:hAnsi="Arial" w:cs="Arial"/>
          <w:lang w:val="en-GB"/>
        </w:rPr>
        <w:t xml:space="preserve">ll </w:t>
      </w:r>
      <w:r w:rsidRPr="002E72FB">
        <w:rPr>
          <w:rFonts w:ascii="Arial" w:hAnsi="Arial" w:cs="Arial"/>
          <w:lang w:val="en-GB"/>
        </w:rPr>
        <w:t>SA 310) at para 10, s</w:t>
      </w:r>
      <w:r w:rsidR="00A2413E">
        <w:rPr>
          <w:rFonts w:ascii="Arial" w:hAnsi="Arial" w:cs="Arial"/>
          <w:lang w:val="en-GB"/>
        </w:rPr>
        <w:t xml:space="preserve"> </w:t>
      </w:r>
      <w:r w:rsidRPr="002E72FB">
        <w:rPr>
          <w:rFonts w:ascii="Arial" w:hAnsi="Arial" w:cs="Arial"/>
          <w:lang w:val="en-GB"/>
        </w:rPr>
        <w:t>22 (1) (d) contemplates a three – stage inquiry:</w:t>
      </w:r>
    </w:p>
    <w:p w14:paraId="09BF6CBA" w14:textId="77777777" w:rsidR="003F77DD" w:rsidRPr="002E72FB" w:rsidRDefault="003F77DD" w:rsidP="002E72FB">
      <w:pPr>
        <w:spacing w:line="360" w:lineRule="auto"/>
        <w:ind w:left="1440"/>
        <w:jc w:val="both"/>
        <w:rPr>
          <w:rFonts w:ascii="Arial" w:hAnsi="Arial" w:cs="Arial"/>
          <w:lang w:val="en-GB"/>
        </w:rPr>
      </w:pPr>
      <w:r w:rsidRPr="002E72FB">
        <w:rPr>
          <w:rFonts w:ascii="Arial" w:hAnsi="Arial" w:cs="Arial"/>
          <w:lang w:val="en-GB"/>
        </w:rPr>
        <w:t xml:space="preserve">First, the court must decide whether the alleged offending conduct has been established on a </w:t>
      </w:r>
      <w:r w:rsidR="00EE5C7A" w:rsidRPr="002E72FB">
        <w:rPr>
          <w:rFonts w:ascii="Arial" w:hAnsi="Arial" w:cs="Arial"/>
          <w:lang w:val="en-GB"/>
        </w:rPr>
        <w:t>prepondera</w:t>
      </w:r>
      <w:r w:rsidR="00A2413E">
        <w:rPr>
          <w:rFonts w:ascii="Arial" w:hAnsi="Arial" w:cs="Arial"/>
          <w:lang w:val="en-GB"/>
        </w:rPr>
        <w:t>nce</w:t>
      </w:r>
      <w:r w:rsidRPr="002E72FB">
        <w:rPr>
          <w:rFonts w:ascii="Arial" w:hAnsi="Arial" w:cs="Arial"/>
          <w:lang w:val="en-GB"/>
        </w:rPr>
        <w:t xml:space="preserve"> of probabilities which is a factual </w:t>
      </w:r>
      <w:r w:rsidR="00A2413E">
        <w:rPr>
          <w:rFonts w:ascii="Arial" w:hAnsi="Arial" w:cs="Arial"/>
          <w:lang w:val="en-GB"/>
        </w:rPr>
        <w:t>i</w:t>
      </w:r>
      <w:r w:rsidRPr="002E72FB">
        <w:rPr>
          <w:rFonts w:ascii="Arial" w:hAnsi="Arial" w:cs="Arial"/>
          <w:lang w:val="en-GB"/>
        </w:rPr>
        <w:t>nquiry.</w:t>
      </w:r>
    </w:p>
    <w:p w14:paraId="0FBAD0EC" w14:textId="77777777" w:rsidR="003F77DD" w:rsidRPr="002E72FB" w:rsidRDefault="003F77DD" w:rsidP="002E72FB">
      <w:pPr>
        <w:spacing w:line="360" w:lineRule="auto"/>
        <w:ind w:left="1440"/>
        <w:jc w:val="both"/>
        <w:rPr>
          <w:rFonts w:ascii="Arial" w:hAnsi="Arial" w:cs="Arial"/>
          <w:lang w:val="en-GB"/>
        </w:rPr>
      </w:pPr>
      <w:r w:rsidRPr="002E72FB">
        <w:rPr>
          <w:rFonts w:ascii="Arial" w:hAnsi="Arial" w:cs="Arial"/>
          <w:lang w:val="en-GB"/>
        </w:rPr>
        <w:lastRenderedPageBreak/>
        <w:t>Second, it must consider whether the person concerned ‘in the discretion of the court’ is not a fit and prop</w:t>
      </w:r>
      <w:r w:rsidR="00F158F8">
        <w:rPr>
          <w:rFonts w:ascii="Arial" w:hAnsi="Arial" w:cs="Arial"/>
          <w:lang w:val="en-GB"/>
        </w:rPr>
        <w:t>er person to continue to practis</w:t>
      </w:r>
      <w:r w:rsidRPr="002E72FB">
        <w:rPr>
          <w:rFonts w:ascii="Arial" w:hAnsi="Arial" w:cs="Arial"/>
          <w:lang w:val="en-GB"/>
        </w:rPr>
        <w:t>e.  This involves a weighing up of the conduct complained of against the conduct expected of an attorney and to this extent, is a value judgment.</w:t>
      </w:r>
    </w:p>
    <w:p w14:paraId="0CEDADCD" w14:textId="77777777" w:rsidR="003F77DD" w:rsidRPr="002E72FB" w:rsidRDefault="003F77DD" w:rsidP="002E72FB">
      <w:pPr>
        <w:spacing w:line="360" w:lineRule="auto"/>
        <w:ind w:left="1440"/>
        <w:jc w:val="both"/>
        <w:rPr>
          <w:rFonts w:ascii="Arial" w:hAnsi="Arial" w:cs="Arial"/>
          <w:lang w:val="en-GB"/>
        </w:rPr>
      </w:pPr>
      <w:r w:rsidRPr="002E72FB">
        <w:rPr>
          <w:rFonts w:ascii="Arial" w:hAnsi="Arial" w:cs="Arial"/>
          <w:lang w:val="en-GB"/>
        </w:rPr>
        <w:t xml:space="preserve">And thirdly, the court must inquire whether in all the circumstances the person </w:t>
      </w:r>
      <w:r w:rsidR="003916FF" w:rsidRPr="002E72FB">
        <w:rPr>
          <w:rFonts w:ascii="Arial" w:hAnsi="Arial" w:cs="Arial"/>
          <w:lang w:val="en-GB"/>
        </w:rPr>
        <w:t>in question is to be removed from the roll of attorneys or whether an order of suspension from practice would suffice.”</w:t>
      </w:r>
    </w:p>
    <w:p w14:paraId="15315091" w14:textId="77777777" w:rsidR="003916FF" w:rsidRDefault="003916FF" w:rsidP="003916FF">
      <w:pPr>
        <w:spacing w:line="480" w:lineRule="auto"/>
        <w:jc w:val="both"/>
        <w:rPr>
          <w:rFonts w:ascii="Arial" w:hAnsi="Arial" w:cs="Arial"/>
          <w:sz w:val="24"/>
          <w:szCs w:val="24"/>
          <w:lang w:val="en-GB"/>
        </w:rPr>
      </w:pPr>
      <w:r>
        <w:rPr>
          <w:rFonts w:ascii="Arial" w:hAnsi="Arial" w:cs="Arial"/>
          <w:sz w:val="24"/>
          <w:szCs w:val="24"/>
          <w:lang w:val="en-GB"/>
        </w:rPr>
        <w:t>[2</w:t>
      </w:r>
      <w:r w:rsidR="003347AC">
        <w:rPr>
          <w:rFonts w:ascii="Arial" w:hAnsi="Arial" w:cs="Arial"/>
          <w:sz w:val="24"/>
          <w:szCs w:val="24"/>
          <w:lang w:val="en-GB"/>
        </w:rPr>
        <w:t>6</w:t>
      </w:r>
      <w:r>
        <w:rPr>
          <w:rFonts w:ascii="Arial" w:hAnsi="Arial" w:cs="Arial"/>
          <w:sz w:val="24"/>
          <w:szCs w:val="24"/>
          <w:lang w:val="en-GB"/>
        </w:rPr>
        <w:t xml:space="preserve">] While reference to section 22 (1) (d) was to the since repealed Attorneys Act 53 of 1979, the approach is still the same even under </w:t>
      </w:r>
      <w:r w:rsidR="001B5F39">
        <w:rPr>
          <w:rFonts w:ascii="Arial" w:hAnsi="Arial" w:cs="Arial"/>
          <w:sz w:val="24"/>
          <w:szCs w:val="24"/>
          <w:lang w:val="en-GB"/>
        </w:rPr>
        <w:t xml:space="preserve">the new dispensation provided for in </w:t>
      </w:r>
      <w:r>
        <w:rPr>
          <w:rFonts w:ascii="Arial" w:hAnsi="Arial" w:cs="Arial"/>
          <w:sz w:val="24"/>
          <w:szCs w:val="24"/>
          <w:lang w:val="en-GB"/>
        </w:rPr>
        <w:t xml:space="preserve">the Legal Practice Act.  This legal position was recently </w:t>
      </w:r>
      <w:r w:rsidR="00554413">
        <w:rPr>
          <w:rFonts w:ascii="Arial" w:hAnsi="Arial" w:cs="Arial"/>
          <w:sz w:val="24"/>
          <w:szCs w:val="24"/>
          <w:lang w:val="en-GB"/>
        </w:rPr>
        <w:t>pointed out</w:t>
      </w:r>
      <w:r>
        <w:rPr>
          <w:rFonts w:ascii="Arial" w:hAnsi="Arial" w:cs="Arial"/>
          <w:sz w:val="24"/>
          <w:szCs w:val="24"/>
          <w:lang w:val="en-GB"/>
        </w:rPr>
        <w:t xml:space="preserve"> in </w:t>
      </w:r>
      <w:r w:rsidRPr="003F2303">
        <w:rPr>
          <w:rFonts w:ascii="Arial" w:hAnsi="Arial" w:cs="Arial"/>
          <w:i/>
          <w:sz w:val="24"/>
          <w:szCs w:val="24"/>
          <w:lang w:val="en-GB"/>
        </w:rPr>
        <w:t>Bobotyana</w:t>
      </w:r>
      <w:r w:rsidR="00AB77AA">
        <w:rPr>
          <w:rStyle w:val="FootnoteReference"/>
          <w:rFonts w:ascii="Arial" w:hAnsi="Arial" w:cs="Arial"/>
          <w:sz w:val="24"/>
          <w:szCs w:val="24"/>
          <w:lang w:val="en-GB"/>
        </w:rPr>
        <w:footnoteReference w:id="5"/>
      </w:r>
      <w:r>
        <w:rPr>
          <w:rFonts w:ascii="Arial" w:hAnsi="Arial" w:cs="Arial"/>
          <w:sz w:val="24"/>
          <w:szCs w:val="24"/>
          <w:lang w:val="en-GB"/>
        </w:rPr>
        <w:t xml:space="preserve"> where Kroon AJ said:</w:t>
      </w:r>
    </w:p>
    <w:p w14:paraId="1FEC7BE8" w14:textId="77777777" w:rsidR="003916FF" w:rsidRPr="00EE5C7A" w:rsidRDefault="003916FF" w:rsidP="00EE5C7A">
      <w:pPr>
        <w:spacing w:line="360" w:lineRule="auto"/>
        <w:ind w:left="720"/>
        <w:jc w:val="both"/>
        <w:rPr>
          <w:rFonts w:ascii="Arial" w:hAnsi="Arial" w:cs="Arial"/>
          <w:lang w:val="en-GB"/>
        </w:rPr>
      </w:pPr>
      <w:r w:rsidRPr="00EE5C7A">
        <w:rPr>
          <w:rFonts w:ascii="Arial" w:hAnsi="Arial" w:cs="Arial"/>
          <w:lang w:val="en-GB"/>
        </w:rPr>
        <w:t xml:space="preserve">“Borrowing from the language of the Attorneys Act, the LPA similarly requires that a person be fit and proper in order to practice as either an attorney or an advocate.  The LPA expressly provides that this Court retains its power to strike the name of an errant attorney off the roll </w:t>
      </w:r>
      <w:r w:rsidR="00D25D91" w:rsidRPr="00EE5C7A">
        <w:rPr>
          <w:rFonts w:ascii="Arial" w:hAnsi="Arial" w:cs="Arial"/>
          <w:lang w:val="en-GB"/>
        </w:rPr>
        <w:t xml:space="preserve">of practising attorneys.  </w:t>
      </w:r>
    </w:p>
    <w:p w14:paraId="4E5A33B8" w14:textId="77777777" w:rsidR="00AB77AA" w:rsidRPr="00EE5C7A" w:rsidRDefault="00AB77AA" w:rsidP="00EE5C7A">
      <w:pPr>
        <w:spacing w:line="360" w:lineRule="auto"/>
        <w:ind w:left="720"/>
        <w:jc w:val="both"/>
        <w:rPr>
          <w:rFonts w:ascii="Arial" w:hAnsi="Arial" w:cs="Arial"/>
          <w:lang w:val="en-GB"/>
        </w:rPr>
      </w:pPr>
      <w:r w:rsidRPr="00EE5C7A">
        <w:rPr>
          <w:rFonts w:ascii="Arial" w:hAnsi="Arial" w:cs="Arial"/>
          <w:lang w:val="en-GB"/>
        </w:rPr>
        <w:t xml:space="preserve">Thus, as was the position in terms of the Attorneys Act, the central question before the Court remains whether </w:t>
      </w:r>
      <w:r w:rsidRPr="00EE5C7A">
        <w:rPr>
          <w:rFonts w:ascii="Arial" w:hAnsi="Arial" w:cs="Arial"/>
          <w:i/>
          <w:lang w:val="en-GB"/>
        </w:rPr>
        <w:t>Bobotyana</w:t>
      </w:r>
      <w:r w:rsidRPr="00EE5C7A">
        <w:rPr>
          <w:rFonts w:ascii="Arial" w:hAnsi="Arial" w:cs="Arial"/>
          <w:lang w:val="en-GB"/>
        </w:rPr>
        <w:t xml:space="preserve"> is a fit and proper person to practice law and, if not, what order is to be issued.  It follows that the jurisprudence developed under the Attorneys Act will remain applicable to the adjudication of applications of this nature brought in terms of the LPA.”</w:t>
      </w:r>
    </w:p>
    <w:p w14:paraId="757EFBC6" w14:textId="77777777" w:rsidR="00554413" w:rsidRDefault="00AB77AA" w:rsidP="003916FF">
      <w:pPr>
        <w:spacing w:line="480" w:lineRule="auto"/>
        <w:jc w:val="both"/>
        <w:rPr>
          <w:rFonts w:ascii="Arial" w:hAnsi="Arial" w:cs="Arial"/>
          <w:sz w:val="24"/>
          <w:szCs w:val="24"/>
          <w:lang w:val="en-GB"/>
        </w:rPr>
      </w:pPr>
      <w:r>
        <w:rPr>
          <w:rFonts w:ascii="Arial" w:hAnsi="Arial" w:cs="Arial"/>
          <w:sz w:val="24"/>
          <w:szCs w:val="24"/>
          <w:lang w:val="en-GB"/>
        </w:rPr>
        <w:t>[2</w:t>
      </w:r>
      <w:r w:rsidR="003347AC">
        <w:rPr>
          <w:rFonts w:ascii="Arial" w:hAnsi="Arial" w:cs="Arial"/>
          <w:sz w:val="24"/>
          <w:szCs w:val="24"/>
          <w:lang w:val="en-GB"/>
        </w:rPr>
        <w:t>7</w:t>
      </w:r>
      <w:r>
        <w:rPr>
          <w:rFonts w:ascii="Arial" w:hAnsi="Arial" w:cs="Arial"/>
          <w:sz w:val="24"/>
          <w:szCs w:val="24"/>
          <w:lang w:val="en-GB"/>
        </w:rPr>
        <w:t>] In this matter the facts spea</w:t>
      </w:r>
      <w:r w:rsidR="00F158F8">
        <w:rPr>
          <w:rFonts w:ascii="Arial" w:hAnsi="Arial" w:cs="Arial"/>
          <w:sz w:val="24"/>
          <w:szCs w:val="24"/>
          <w:lang w:val="en-GB"/>
        </w:rPr>
        <w:t>k</w:t>
      </w:r>
      <w:r>
        <w:rPr>
          <w:rFonts w:ascii="Arial" w:hAnsi="Arial" w:cs="Arial"/>
          <w:sz w:val="24"/>
          <w:szCs w:val="24"/>
          <w:lang w:val="en-GB"/>
        </w:rPr>
        <w:t xml:space="preserve"> for themselves</w:t>
      </w:r>
      <w:r w:rsidR="00A8767E">
        <w:rPr>
          <w:rFonts w:ascii="Arial" w:hAnsi="Arial" w:cs="Arial"/>
          <w:sz w:val="24"/>
          <w:szCs w:val="24"/>
          <w:lang w:val="en-GB"/>
        </w:rPr>
        <w:t xml:space="preserve"> and do so loudly for all to hear</w:t>
      </w:r>
      <w:r>
        <w:rPr>
          <w:rFonts w:ascii="Arial" w:hAnsi="Arial" w:cs="Arial"/>
          <w:sz w:val="24"/>
          <w:szCs w:val="24"/>
          <w:lang w:val="en-GB"/>
        </w:rPr>
        <w:t xml:space="preserve">.  The judgment in </w:t>
      </w:r>
      <w:r w:rsidRPr="00F158F8">
        <w:rPr>
          <w:rFonts w:ascii="Arial" w:hAnsi="Arial" w:cs="Arial"/>
          <w:i/>
          <w:sz w:val="24"/>
          <w:szCs w:val="24"/>
          <w:lang w:val="en-GB"/>
        </w:rPr>
        <w:t>Mfengwana</w:t>
      </w:r>
      <w:r w:rsidR="00B0363C">
        <w:rPr>
          <w:rFonts w:ascii="Arial" w:hAnsi="Arial" w:cs="Arial"/>
          <w:iCs/>
          <w:sz w:val="24"/>
          <w:szCs w:val="24"/>
          <w:lang w:val="en-GB"/>
        </w:rPr>
        <w:t>,</w:t>
      </w:r>
      <w:r>
        <w:rPr>
          <w:rFonts w:ascii="Arial" w:hAnsi="Arial" w:cs="Arial"/>
          <w:sz w:val="24"/>
          <w:szCs w:val="24"/>
          <w:lang w:val="en-GB"/>
        </w:rPr>
        <w:t xml:space="preserve"> in which the </w:t>
      </w:r>
      <w:r w:rsidR="003F2303">
        <w:rPr>
          <w:rFonts w:ascii="Arial" w:hAnsi="Arial" w:cs="Arial"/>
          <w:sz w:val="24"/>
          <w:szCs w:val="24"/>
          <w:lang w:val="en-GB"/>
        </w:rPr>
        <w:t xml:space="preserve">court was clearly horrified at the greed of the </w:t>
      </w:r>
      <w:r w:rsidR="00F158F8">
        <w:rPr>
          <w:rFonts w:ascii="Arial" w:hAnsi="Arial" w:cs="Arial"/>
          <w:sz w:val="24"/>
          <w:szCs w:val="24"/>
          <w:lang w:val="en-GB"/>
        </w:rPr>
        <w:t xml:space="preserve">respondent </w:t>
      </w:r>
      <w:r w:rsidR="003F2303">
        <w:rPr>
          <w:rFonts w:ascii="Arial" w:hAnsi="Arial" w:cs="Arial"/>
          <w:sz w:val="24"/>
          <w:szCs w:val="24"/>
          <w:lang w:val="en-GB"/>
        </w:rPr>
        <w:t>that was evident in that matter</w:t>
      </w:r>
      <w:r w:rsidR="00B0363C">
        <w:rPr>
          <w:rFonts w:ascii="Arial" w:hAnsi="Arial" w:cs="Arial"/>
          <w:sz w:val="24"/>
          <w:szCs w:val="24"/>
          <w:lang w:val="en-GB"/>
        </w:rPr>
        <w:t>,</w:t>
      </w:r>
      <w:r w:rsidR="00554413">
        <w:rPr>
          <w:rFonts w:ascii="Arial" w:hAnsi="Arial" w:cs="Arial"/>
          <w:sz w:val="24"/>
          <w:szCs w:val="24"/>
          <w:lang w:val="en-GB"/>
        </w:rPr>
        <w:t xml:space="preserve"> has not been challenged</w:t>
      </w:r>
      <w:r w:rsidR="00A8767E">
        <w:rPr>
          <w:rFonts w:ascii="Arial" w:hAnsi="Arial" w:cs="Arial"/>
          <w:sz w:val="24"/>
          <w:szCs w:val="24"/>
          <w:lang w:val="en-GB"/>
        </w:rPr>
        <w:t xml:space="preserve"> and the findings made therein </w:t>
      </w:r>
      <w:r w:rsidR="00901D78">
        <w:rPr>
          <w:rFonts w:ascii="Arial" w:hAnsi="Arial" w:cs="Arial"/>
          <w:sz w:val="24"/>
          <w:szCs w:val="24"/>
          <w:lang w:val="en-GB"/>
        </w:rPr>
        <w:t>remain ext</w:t>
      </w:r>
      <w:r w:rsidR="00D528E4">
        <w:rPr>
          <w:rFonts w:ascii="Arial" w:hAnsi="Arial" w:cs="Arial"/>
          <w:sz w:val="24"/>
          <w:szCs w:val="24"/>
          <w:lang w:val="en-GB"/>
        </w:rPr>
        <w:t>a</w:t>
      </w:r>
      <w:r w:rsidR="00901D78">
        <w:rPr>
          <w:rFonts w:ascii="Arial" w:hAnsi="Arial" w:cs="Arial"/>
          <w:sz w:val="24"/>
          <w:szCs w:val="24"/>
          <w:lang w:val="en-GB"/>
        </w:rPr>
        <w:t>nt</w:t>
      </w:r>
      <w:r w:rsidR="003F2303">
        <w:rPr>
          <w:rFonts w:ascii="Arial" w:hAnsi="Arial" w:cs="Arial"/>
          <w:sz w:val="24"/>
          <w:szCs w:val="24"/>
          <w:lang w:val="en-GB"/>
        </w:rPr>
        <w:t>.  I am also satisfied that there is an abundance of evidence which shows very clearly that the respondent’s conduct leaves much to be desired</w:t>
      </w:r>
      <w:r w:rsidR="00A8767E">
        <w:rPr>
          <w:rFonts w:ascii="Arial" w:hAnsi="Arial" w:cs="Arial"/>
          <w:sz w:val="24"/>
          <w:szCs w:val="24"/>
          <w:lang w:val="en-GB"/>
        </w:rPr>
        <w:t>.  He</w:t>
      </w:r>
      <w:r w:rsidR="003F2303">
        <w:rPr>
          <w:rFonts w:ascii="Arial" w:hAnsi="Arial" w:cs="Arial"/>
          <w:sz w:val="24"/>
          <w:szCs w:val="24"/>
          <w:lang w:val="en-GB"/>
        </w:rPr>
        <w:t xml:space="preserve"> not only dr</w:t>
      </w:r>
      <w:r w:rsidR="00A8767E">
        <w:rPr>
          <w:rFonts w:ascii="Arial" w:hAnsi="Arial" w:cs="Arial"/>
          <w:sz w:val="24"/>
          <w:szCs w:val="24"/>
          <w:lang w:val="en-GB"/>
        </w:rPr>
        <w:t>e</w:t>
      </w:r>
      <w:r w:rsidR="003F2303">
        <w:rPr>
          <w:rFonts w:ascii="Arial" w:hAnsi="Arial" w:cs="Arial"/>
          <w:sz w:val="24"/>
          <w:szCs w:val="24"/>
          <w:lang w:val="en-GB"/>
        </w:rPr>
        <w:t xml:space="preserve">w a </w:t>
      </w:r>
      <w:r w:rsidR="003F2303" w:rsidRPr="0047575B">
        <w:rPr>
          <w:rFonts w:ascii="Arial" w:hAnsi="Arial" w:cs="Arial"/>
          <w:sz w:val="24"/>
          <w:szCs w:val="24"/>
          <w:lang w:val="en-GB"/>
        </w:rPr>
        <w:t xml:space="preserve">contingency fees </w:t>
      </w:r>
      <w:r w:rsidR="00F158F8" w:rsidRPr="0047575B">
        <w:rPr>
          <w:rFonts w:ascii="Arial" w:hAnsi="Arial" w:cs="Arial"/>
          <w:sz w:val="24"/>
          <w:szCs w:val="24"/>
          <w:lang w:val="en-GB"/>
        </w:rPr>
        <w:t>agreement</w:t>
      </w:r>
      <w:r w:rsidR="00F158F8">
        <w:rPr>
          <w:rFonts w:ascii="Arial" w:hAnsi="Arial" w:cs="Arial"/>
          <w:sz w:val="24"/>
          <w:szCs w:val="24"/>
          <w:lang w:val="en-GB"/>
        </w:rPr>
        <w:t xml:space="preserve"> </w:t>
      </w:r>
      <w:r w:rsidR="003F2303">
        <w:rPr>
          <w:rFonts w:ascii="Arial" w:hAnsi="Arial" w:cs="Arial"/>
          <w:sz w:val="24"/>
          <w:szCs w:val="24"/>
          <w:lang w:val="en-GB"/>
        </w:rPr>
        <w:t xml:space="preserve">in the manner described by Plasket J in </w:t>
      </w:r>
      <w:r w:rsidR="003F2303" w:rsidRPr="00554413">
        <w:rPr>
          <w:rFonts w:ascii="Arial" w:hAnsi="Arial" w:cs="Arial"/>
          <w:i/>
          <w:sz w:val="24"/>
          <w:szCs w:val="24"/>
          <w:lang w:val="en-GB"/>
        </w:rPr>
        <w:t>Mfengwana</w:t>
      </w:r>
      <w:r w:rsidR="00554413">
        <w:rPr>
          <w:rFonts w:ascii="Arial" w:hAnsi="Arial" w:cs="Arial"/>
          <w:sz w:val="24"/>
          <w:szCs w:val="24"/>
          <w:lang w:val="en-GB"/>
        </w:rPr>
        <w:t>.</w:t>
      </w:r>
      <w:r w:rsidR="003F2303">
        <w:rPr>
          <w:rFonts w:ascii="Arial" w:hAnsi="Arial" w:cs="Arial"/>
          <w:sz w:val="24"/>
          <w:szCs w:val="24"/>
          <w:lang w:val="en-GB"/>
        </w:rPr>
        <w:t xml:space="preserve"> </w:t>
      </w:r>
      <w:r w:rsidR="00554413">
        <w:rPr>
          <w:rFonts w:ascii="Arial" w:hAnsi="Arial" w:cs="Arial"/>
          <w:sz w:val="24"/>
          <w:szCs w:val="24"/>
          <w:lang w:val="en-GB"/>
        </w:rPr>
        <w:t>He also</w:t>
      </w:r>
      <w:r w:rsidR="003F2303">
        <w:rPr>
          <w:rFonts w:ascii="Arial" w:hAnsi="Arial" w:cs="Arial"/>
          <w:sz w:val="24"/>
          <w:szCs w:val="24"/>
          <w:lang w:val="en-GB"/>
        </w:rPr>
        <w:t xml:space="preserve"> sought to justify his conduct by writing letters to the applicant </w:t>
      </w:r>
      <w:r w:rsidR="003F2303">
        <w:rPr>
          <w:rFonts w:ascii="Arial" w:hAnsi="Arial" w:cs="Arial"/>
          <w:sz w:val="24"/>
          <w:szCs w:val="24"/>
          <w:lang w:val="en-GB"/>
        </w:rPr>
        <w:lastRenderedPageBreak/>
        <w:t xml:space="preserve">in which he </w:t>
      </w:r>
      <w:r w:rsidR="00A8767E">
        <w:rPr>
          <w:rFonts w:ascii="Arial" w:hAnsi="Arial" w:cs="Arial"/>
          <w:sz w:val="24"/>
          <w:szCs w:val="24"/>
          <w:lang w:val="en-GB"/>
        </w:rPr>
        <w:t>sought to mislead the applicant</w:t>
      </w:r>
      <w:r w:rsidR="003F2303">
        <w:rPr>
          <w:rFonts w:ascii="Arial" w:hAnsi="Arial" w:cs="Arial"/>
          <w:sz w:val="24"/>
          <w:szCs w:val="24"/>
          <w:lang w:val="en-GB"/>
        </w:rPr>
        <w:t xml:space="preserve"> but also went further and attac</w:t>
      </w:r>
      <w:r w:rsidR="00F158F8">
        <w:rPr>
          <w:rFonts w:ascii="Arial" w:hAnsi="Arial" w:cs="Arial"/>
          <w:sz w:val="24"/>
          <w:szCs w:val="24"/>
          <w:lang w:val="en-GB"/>
        </w:rPr>
        <w:t>k</w:t>
      </w:r>
      <w:r w:rsidR="003F2303">
        <w:rPr>
          <w:rFonts w:ascii="Arial" w:hAnsi="Arial" w:cs="Arial"/>
          <w:sz w:val="24"/>
          <w:szCs w:val="24"/>
          <w:lang w:val="en-GB"/>
        </w:rPr>
        <w:t xml:space="preserve">ed the presiding </w:t>
      </w:r>
      <w:r w:rsidR="00901D78">
        <w:rPr>
          <w:rFonts w:ascii="Arial" w:hAnsi="Arial" w:cs="Arial"/>
          <w:sz w:val="24"/>
          <w:szCs w:val="24"/>
          <w:lang w:val="en-GB"/>
        </w:rPr>
        <w:t>J</w:t>
      </w:r>
      <w:r w:rsidR="003F2303">
        <w:rPr>
          <w:rFonts w:ascii="Arial" w:hAnsi="Arial" w:cs="Arial"/>
          <w:sz w:val="24"/>
          <w:szCs w:val="24"/>
          <w:lang w:val="en-GB"/>
        </w:rPr>
        <w:t>udge for making the findings that he did.  His attack</w:t>
      </w:r>
      <w:r w:rsidR="00A8767E">
        <w:rPr>
          <w:rFonts w:ascii="Arial" w:hAnsi="Arial" w:cs="Arial"/>
          <w:sz w:val="24"/>
          <w:szCs w:val="24"/>
          <w:lang w:val="en-GB"/>
        </w:rPr>
        <w:t>s</w:t>
      </w:r>
      <w:r w:rsidR="003F2303">
        <w:rPr>
          <w:rFonts w:ascii="Arial" w:hAnsi="Arial" w:cs="Arial"/>
          <w:sz w:val="24"/>
          <w:szCs w:val="24"/>
          <w:lang w:val="en-GB"/>
        </w:rPr>
        <w:t xml:space="preserve"> on Judge Plasket cannot, in my view, be sep</w:t>
      </w:r>
      <w:r w:rsidR="002628F5">
        <w:rPr>
          <w:rFonts w:ascii="Arial" w:hAnsi="Arial" w:cs="Arial"/>
          <w:sz w:val="24"/>
          <w:szCs w:val="24"/>
          <w:lang w:val="en-GB"/>
        </w:rPr>
        <w:t>arated from his attempt to over</w:t>
      </w:r>
      <w:r w:rsidR="003F2303">
        <w:rPr>
          <w:rFonts w:ascii="Arial" w:hAnsi="Arial" w:cs="Arial"/>
          <w:sz w:val="24"/>
          <w:szCs w:val="24"/>
          <w:lang w:val="en-GB"/>
        </w:rPr>
        <w:t>reach his own client</w:t>
      </w:r>
      <w:r w:rsidR="002628F5">
        <w:rPr>
          <w:rFonts w:ascii="Arial" w:hAnsi="Arial" w:cs="Arial"/>
          <w:sz w:val="24"/>
          <w:szCs w:val="24"/>
          <w:lang w:val="en-GB"/>
        </w:rPr>
        <w:t>,</w:t>
      </w:r>
      <w:r w:rsidR="003F2303">
        <w:rPr>
          <w:rFonts w:ascii="Arial" w:hAnsi="Arial" w:cs="Arial"/>
          <w:sz w:val="24"/>
          <w:szCs w:val="24"/>
          <w:lang w:val="en-GB"/>
        </w:rPr>
        <w:t xml:space="preserve"> Mr Mfengwana.  </w:t>
      </w:r>
      <w:r w:rsidR="00A8767E">
        <w:rPr>
          <w:rFonts w:ascii="Arial" w:hAnsi="Arial" w:cs="Arial"/>
          <w:sz w:val="24"/>
          <w:szCs w:val="24"/>
          <w:lang w:val="en-GB"/>
        </w:rPr>
        <w:t xml:space="preserve">They are an aggravating factor.  </w:t>
      </w:r>
      <w:r w:rsidR="003F2303">
        <w:rPr>
          <w:rFonts w:ascii="Arial" w:hAnsi="Arial" w:cs="Arial"/>
          <w:sz w:val="24"/>
          <w:szCs w:val="24"/>
          <w:lang w:val="en-GB"/>
        </w:rPr>
        <w:t>The respondent tried to escape having to comply with the court order of 28 November 2016 by withdrawing from the matter</w:t>
      </w:r>
      <w:r w:rsidR="00DC0D7B">
        <w:rPr>
          <w:rFonts w:ascii="Arial" w:hAnsi="Arial" w:cs="Arial"/>
          <w:sz w:val="24"/>
          <w:szCs w:val="24"/>
          <w:lang w:val="en-GB"/>
        </w:rPr>
        <w:t>,</w:t>
      </w:r>
      <w:r w:rsidR="003F2303">
        <w:rPr>
          <w:rFonts w:ascii="Arial" w:hAnsi="Arial" w:cs="Arial"/>
          <w:sz w:val="24"/>
          <w:szCs w:val="24"/>
          <w:lang w:val="en-GB"/>
        </w:rPr>
        <w:t xml:space="preserve"> only to cause a warrant of executi</w:t>
      </w:r>
      <w:r w:rsidR="00A8767E">
        <w:rPr>
          <w:rFonts w:ascii="Arial" w:hAnsi="Arial" w:cs="Arial"/>
          <w:sz w:val="24"/>
          <w:szCs w:val="24"/>
          <w:lang w:val="en-GB"/>
        </w:rPr>
        <w:t>on</w:t>
      </w:r>
      <w:r w:rsidR="003F2303">
        <w:rPr>
          <w:rFonts w:ascii="Arial" w:hAnsi="Arial" w:cs="Arial"/>
          <w:sz w:val="24"/>
          <w:szCs w:val="24"/>
          <w:lang w:val="en-GB"/>
        </w:rPr>
        <w:t xml:space="preserve"> </w:t>
      </w:r>
      <w:r w:rsidR="00A82FD9">
        <w:rPr>
          <w:rFonts w:ascii="Arial" w:hAnsi="Arial" w:cs="Arial"/>
          <w:sz w:val="24"/>
          <w:szCs w:val="24"/>
          <w:lang w:val="en-GB"/>
        </w:rPr>
        <w:t xml:space="preserve">to be issued against the Road Accident Fund for the capital amount of damages awarded when he had no right to do </w:t>
      </w:r>
      <w:r w:rsidR="009125BF">
        <w:rPr>
          <w:rFonts w:ascii="Arial" w:hAnsi="Arial" w:cs="Arial"/>
          <w:sz w:val="24"/>
          <w:szCs w:val="24"/>
          <w:lang w:val="en-GB"/>
        </w:rPr>
        <w:t xml:space="preserve">so </w:t>
      </w:r>
      <w:r w:rsidR="00A82FD9">
        <w:rPr>
          <w:rFonts w:ascii="Arial" w:hAnsi="Arial" w:cs="Arial"/>
          <w:sz w:val="24"/>
          <w:szCs w:val="24"/>
          <w:lang w:val="en-GB"/>
        </w:rPr>
        <w:t xml:space="preserve">as has he had withdrawn from the matter.  When the money was paid into his bank account he appropriated to himself a sum of R204 889.17 without any bill of costs having been taxed by the taxing master as the court had ordered.  It </w:t>
      </w:r>
      <w:r w:rsidR="002628F5">
        <w:rPr>
          <w:rFonts w:ascii="Arial" w:hAnsi="Arial" w:cs="Arial"/>
          <w:sz w:val="24"/>
          <w:szCs w:val="24"/>
          <w:lang w:val="en-GB"/>
        </w:rPr>
        <w:t>took Mr</w:t>
      </w:r>
      <w:r w:rsidR="00A82FD9">
        <w:rPr>
          <w:rFonts w:ascii="Arial" w:hAnsi="Arial" w:cs="Arial"/>
          <w:sz w:val="24"/>
          <w:szCs w:val="24"/>
          <w:lang w:val="en-GB"/>
        </w:rPr>
        <w:t xml:space="preserve"> Mfengwana another court application to get the money back from the respondent.  </w:t>
      </w:r>
    </w:p>
    <w:p w14:paraId="238DC448" w14:textId="77777777" w:rsidR="00AB77AA" w:rsidRDefault="00554413" w:rsidP="003916FF">
      <w:pPr>
        <w:spacing w:line="480" w:lineRule="auto"/>
        <w:jc w:val="both"/>
        <w:rPr>
          <w:rFonts w:ascii="Arial" w:hAnsi="Arial" w:cs="Arial"/>
          <w:sz w:val="24"/>
          <w:szCs w:val="24"/>
          <w:lang w:val="en-GB"/>
        </w:rPr>
      </w:pPr>
      <w:r>
        <w:rPr>
          <w:rFonts w:ascii="Arial" w:hAnsi="Arial" w:cs="Arial"/>
          <w:sz w:val="24"/>
          <w:szCs w:val="24"/>
          <w:lang w:val="en-GB"/>
        </w:rPr>
        <w:t xml:space="preserve">[28] </w:t>
      </w:r>
      <w:r w:rsidR="00A82FD9">
        <w:rPr>
          <w:rFonts w:ascii="Arial" w:hAnsi="Arial" w:cs="Arial"/>
          <w:sz w:val="24"/>
          <w:szCs w:val="24"/>
          <w:lang w:val="en-GB"/>
        </w:rPr>
        <w:t>All of the</w:t>
      </w:r>
      <w:r>
        <w:rPr>
          <w:rFonts w:ascii="Arial" w:hAnsi="Arial" w:cs="Arial"/>
          <w:sz w:val="24"/>
          <w:szCs w:val="24"/>
          <w:lang w:val="en-GB"/>
        </w:rPr>
        <w:t xml:space="preserve"> above</w:t>
      </w:r>
      <w:r w:rsidR="00A82FD9">
        <w:rPr>
          <w:rFonts w:ascii="Arial" w:hAnsi="Arial" w:cs="Arial"/>
          <w:sz w:val="24"/>
          <w:szCs w:val="24"/>
          <w:lang w:val="en-GB"/>
        </w:rPr>
        <w:t xml:space="preserve"> uncontroverted facts establish</w:t>
      </w:r>
      <w:r w:rsidR="002628F5">
        <w:rPr>
          <w:rFonts w:ascii="Arial" w:hAnsi="Arial" w:cs="Arial"/>
          <w:sz w:val="24"/>
          <w:szCs w:val="24"/>
          <w:lang w:val="en-GB"/>
        </w:rPr>
        <w:t>,</w:t>
      </w:r>
      <w:r w:rsidR="00A82FD9">
        <w:rPr>
          <w:rFonts w:ascii="Arial" w:hAnsi="Arial" w:cs="Arial"/>
          <w:sz w:val="24"/>
          <w:szCs w:val="24"/>
          <w:lang w:val="en-GB"/>
        </w:rPr>
        <w:t xml:space="preserve"> on a preponderance of probabilities</w:t>
      </w:r>
      <w:r w:rsidR="002628F5">
        <w:rPr>
          <w:rFonts w:ascii="Arial" w:hAnsi="Arial" w:cs="Arial"/>
          <w:sz w:val="24"/>
          <w:szCs w:val="24"/>
          <w:lang w:val="en-GB"/>
        </w:rPr>
        <w:t>,</w:t>
      </w:r>
      <w:r w:rsidR="00A82FD9">
        <w:rPr>
          <w:rFonts w:ascii="Arial" w:hAnsi="Arial" w:cs="Arial"/>
          <w:sz w:val="24"/>
          <w:szCs w:val="24"/>
          <w:lang w:val="en-GB"/>
        </w:rPr>
        <w:t xml:space="preserve"> that Mr </w:t>
      </w:r>
      <w:r w:rsidR="00D528E4">
        <w:rPr>
          <w:rFonts w:ascii="Arial" w:hAnsi="Arial" w:cs="Arial"/>
          <w:sz w:val="24"/>
          <w:szCs w:val="24"/>
          <w:lang w:val="en-GB"/>
        </w:rPr>
        <w:t>Rubushe</w:t>
      </w:r>
      <w:r w:rsidR="00A82FD9">
        <w:rPr>
          <w:rFonts w:ascii="Arial" w:hAnsi="Arial" w:cs="Arial"/>
          <w:sz w:val="24"/>
          <w:szCs w:val="24"/>
          <w:lang w:val="en-GB"/>
        </w:rPr>
        <w:t xml:space="preserve"> is indeed guilty of an attempt to overreach Mr Mfengwana.</w:t>
      </w:r>
      <w:r>
        <w:rPr>
          <w:rFonts w:ascii="Arial" w:hAnsi="Arial" w:cs="Arial"/>
          <w:sz w:val="24"/>
          <w:szCs w:val="24"/>
          <w:lang w:val="en-GB"/>
        </w:rPr>
        <w:t xml:space="preserve">  This is over and above his derogatory and insulting language he chose to employ in communicating how he felt about the court and Judge Plasket in particular.  All of this shows the respondent’s ethical deviance of a fundamental nature.</w:t>
      </w:r>
    </w:p>
    <w:p w14:paraId="10AFC09F" w14:textId="77777777" w:rsidR="00A82FD9" w:rsidRDefault="001E1DA6" w:rsidP="003916FF">
      <w:pPr>
        <w:spacing w:line="480" w:lineRule="auto"/>
        <w:jc w:val="both"/>
        <w:rPr>
          <w:rFonts w:ascii="Arial" w:hAnsi="Arial" w:cs="Arial"/>
          <w:sz w:val="24"/>
          <w:szCs w:val="24"/>
          <w:lang w:val="en-GB"/>
        </w:rPr>
      </w:pPr>
      <w:r>
        <w:rPr>
          <w:rFonts w:ascii="Arial" w:hAnsi="Arial" w:cs="Arial"/>
          <w:sz w:val="24"/>
          <w:szCs w:val="24"/>
          <w:lang w:val="en-GB"/>
        </w:rPr>
        <w:t>[2</w:t>
      </w:r>
      <w:r w:rsidR="00015811">
        <w:rPr>
          <w:rFonts w:ascii="Arial" w:hAnsi="Arial" w:cs="Arial"/>
          <w:sz w:val="24"/>
          <w:szCs w:val="24"/>
          <w:lang w:val="en-GB"/>
        </w:rPr>
        <w:t>9</w:t>
      </w:r>
      <w:r>
        <w:rPr>
          <w:rFonts w:ascii="Arial" w:hAnsi="Arial" w:cs="Arial"/>
          <w:sz w:val="24"/>
          <w:szCs w:val="24"/>
          <w:lang w:val="en-GB"/>
        </w:rPr>
        <w:t>] This conclusion brings me to the second stage of the enquir</w:t>
      </w:r>
      <w:r w:rsidR="00901D78">
        <w:rPr>
          <w:rFonts w:ascii="Arial" w:hAnsi="Arial" w:cs="Arial"/>
          <w:sz w:val="24"/>
          <w:szCs w:val="24"/>
          <w:lang w:val="en-GB"/>
        </w:rPr>
        <w:t>y</w:t>
      </w:r>
      <w:r>
        <w:rPr>
          <w:rFonts w:ascii="Arial" w:hAnsi="Arial" w:cs="Arial"/>
          <w:sz w:val="24"/>
          <w:szCs w:val="24"/>
          <w:lang w:val="en-GB"/>
        </w:rPr>
        <w:t xml:space="preserve"> which is whether or not in all the circumstances </w:t>
      </w:r>
      <w:r w:rsidR="00854BA1">
        <w:rPr>
          <w:rFonts w:ascii="Arial" w:hAnsi="Arial" w:cs="Arial"/>
          <w:sz w:val="24"/>
          <w:szCs w:val="24"/>
          <w:lang w:val="en-GB"/>
        </w:rPr>
        <w:t>t</w:t>
      </w:r>
      <w:r>
        <w:rPr>
          <w:rFonts w:ascii="Arial" w:hAnsi="Arial" w:cs="Arial"/>
          <w:sz w:val="24"/>
          <w:szCs w:val="24"/>
          <w:lang w:val="en-GB"/>
        </w:rPr>
        <w:t>he</w:t>
      </w:r>
      <w:r w:rsidR="00854BA1">
        <w:rPr>
          <w:rFonts w:ascii="Arial" w:hAnsi="Arial" w:cs="Arial"/>
          <w:sz w:val="24"/>
          <w:szCs w:val="24"/>
          <w:lang w:val="en-GB"/>
        </w:rPr>
        <w:t xml:space="preserve"> respondent</w:t>
      </w:r>
      <w:r>
        <w:rPr>
          <w:rFonts w:ascii="Arial" w:hAnsi="Arial" w:cs="Arial"/>
          <w:sz w:val="24"/>
          <w:szCs w:val="24"/>
          <w:lang w:val="en-GB"/>
        </w:rPr>
        <w:t xml:space="preserve"> is fit and proper to be allowed to continue to practice as an attorney.  This stage of the inquiry was explained more meaningfully in </w:t>
      </w:r>
      <w:r w:rsidRPr="00554413">
        <w:rPr>
          <w:rFonts w:ascii="Arial" w:hAnsi="Arial" w:cs="Arial"/>
          <w:i/>
          <w:sz w:val="24"/>
          <w:szCs w:val="24"/>
          <w:lang w:val="en-GB"/>
        </w:rPr>
        <w:t>Malan</w:t>
      </w:r>
      <w:r>
        <w:rPr>
          <w:rStyle w:val="FootnoteReference"/>
          <w:rFonts w:ascii="Arial" w:hAnsi="Arial" w:cs="Arial"/>
          <w:sz w:val="24"/>
          <w:szCs w:val="24"/>
          <w:lang w:val="en-GB"/>
        </w:rPr>
        <w:footnoteReference w:id="6"/>
      </w:r>
      <w:r>
        <w:rPr>
          <w:rFonts w:ascii="Arial" w:hAnsi="Arial" w:cs="Arial"/>
          <w:sz w:val="24"/>
          <w:szCs w:val="24"/>
          <w:lang w:val="en-GB"/>
        </w:rPr>
        <w:t xml:space="preserve"> where the court elaborated on the process involved and the </w:t>
      </w:r>
      <w:r w:rsidR="00395FC4">
        <w:rPr>
          <w:rFonts w:ascii="Arial" w:hAnsi="Arial" w:cs="Arial"/>
          <w:sz w:val="24"/>
          <w:szCs w:val="24"/>
          <w:lang w:val="en-GB"/>
        </w:rPr>
        <w:t>applicable considerations as follows:</w:t>
      </w:r>
    </w:p>
    <w:p w14:paraId="417D4BA9" w14:textId="77777777" w:rsidR="00395FC4" w:rsidRPr="00EE5C7A" w:rsidRDefault="00395FC4" w:rsidP="00EE5C7A">
      <w:pPr>
        <w:spacing w:line="360" w:lineRule="auto"/>
        <w:ind w:left="720"/>
        <w:jc w:val="both"/>
        <w:rPr>
          <w:rFonts w:ascii="Arial" w:hAnsi="Arial" w:cs="Arial"/>
          <w:lang w:val="en-GB"/>
        </w:rPr>
      </w:pPr>
      <w:r w:rsidRPr="00EE5C7A">
        <w:rPr>
          <w:rFonts w:ascii="Arial" w:hAnsi="Arial" w:cs="Arial"/>
          <w:lang w:val="en-GB"/>
        </w:rPr>
        <w:t xml:space="preserve">“As far as the second leg of the inquiry is concerned, it is well to remember that the Act contemplates that where an attorney is guilty of unprofessional or dishonourable or unworthy conduct different consequences may follow.  The nature of the conduct </w:t>
      </w:r>
      <w:r w:rsidRPr="00EE5C7A">
        <w:rPr>
          <w:rFonts w:ascii="Arial" w:hAnsi="Arial" w:cs="Arial"/>
          <w:lang w:val="en-GB"/>
        </w:rPr>
        <w:lastRenderedPageBreak/>
        <w:t xml:space="preserve">may be such that it establishes that the person is not a fit and proper person to continue to </w:t>
      </w:r>
      <w:r w:rsidR="009E028D">
        <w:rPr>
          <w:rFonts w:ascii="Arial" w:hAnsi="Arial" w:cs="Arial"/>
          <w:lang w:val="en-GB"/>
        </w:rPr>
        <w:t>practice</w:t>
      </w:r>
      <w:r w:rsidRPr="00EE5C7A">
        <w:rPr>
          <w:rFonts w:ascii="Arial" w:hAnsi="Arial" w:cs="Arial"/>
          <w:lang w:val="en-GB"/>
        </w:rPr>
        <w:t xml:space="preserve">.  In other </w:t>
      </w:r>
      <w:r w:rsidR="00554413" w:rsidRPr="00EE5C7A">
        <w:rPr>
          <w:rFonts w:ascii="Arial" w:hAnsi="Arial" w:cs="Arial"/>
          <w:lang w:val="en-GB"/>
        </w:rPr>
        <w:t>instances,</w:t>
      </w:r>
      <w:r w:rsidRPr="00EE5C7A">
        <w:rPr>
          <w:rFonts w:ascii="Arial" w:hAnsi="Arial" w:cs="Arial"/>
          <w:lang w:val="en-GB"/>
        </w:rPr>
        <w:t xml:space="preserve"> the conduct may not be that serious and a law society may exercise its disciplinary powers</w:t>
      </w:r>
      <w:r w:rsidR="00AA5509">
        <w:rPr>
          <w:rFonts w:ascii="Arial" w:hAnsi="Arial" w:cs="Arial"/>
          <w:lang w:val="en-GB"/>
        </w:rPr>
        <w:t>,</w:t>
      </w:r>
      <w:r w:rsidRPr="00EE5C7A">
        <w:rPr>
          <w:rFonts w:ascii="Arial" w:hAnsi="Arial" w:cs="Arial"/>
          <w:lang w:val="en-GB"/>
        </w:rPr>
        <w:t xml:space="preserve"> particularly by imposing a fine or reprimanding the attorney (s 72 (2) (a)).  This does not, however, mean that a court is powerless if it finds the attorney guilty of unprofessional conduct where such conduct does not make him unfit to continue to practice as an attorney.  In such an event the court may discipline the attorney by suspending him from practice with or without co</w:t>
      </w:r>
      <w:r w:rsidR="00AA5509">
        <w:rPr>
          <w:rFonts w:ascii="Arial" w:hAnsi="Arial" w:cs="Arial"/>
          <w:lang w:val="en-GB"/>
        </w:rPr>
        <w:t>nditions or by reprimanding him:</w:t>
      </w:r>
      <w:r w:rsidRPr="00EE5C7A">
        <w:rPr>
          <w:rFonts w:ascii="Arial" w:hAnsi="Arial" w:cs="Arial"/>
          <w:lang w:val="en-GB"/>
        </w:rPr>
        <w:t xml:space="preserve">  </w:t>
      </w:r>
      <w:r w:rsidRPr="00EE5C7A">
        <w:rPr>
          <w:rFonts w:ascii="Arial" w:hAnsi="Arial" w:cs="Arial"/>
          <w:i/>
          <w:lang w:val="en-GB"/>
        </w:rPr>
        <w:t>Law Society of the Cape of Good Hope v C</w:t>
      </w:r>
      <w:r w:rsidRPr="00EE5C7A">
        <w:rPr>
          <w:rFonts w:ascii="Arial" w:hAnsi="Arial" w:cs="Arial"/>
          <w:lang w:val="en-GB"/>
        </w:rPr>
        <w:t xml:space="preserve"> 1986 (</w:t>
      </w:r>
      <w:r w:rsidR="00AA5509">
        <w:rPr>
          <w:rFonts w:ascii="Arial" w:hAnsi="Arial" w:cs="Arial"/>
          <w:lang w:val="en-GB"/>
        </w:rPr>
        <w:t>l</w:t>
      </w:r>
      <w:r w:rsidRPr="00EE5C7A">
        <w:rPr>
          <w:rFonts w:ascii="Arial" w:hAnsi="Arial" w:cs="Arial"/>
          <w:lang w:val="en-GB"/>
        </w:rPr>
        <w:t>) SA 616 (</w:t>
      </w:r>
      <w:r w:rsidRPr="00EE5C7A">
        <w:rPr>
          <w:rFonts w:ascii="Arial" w:hAnsi="Arial" w:cs="Arial"/>
          <w:i/>
          <w:lang w:val="en-GB"/>
        </w:rPr>
        <w:t>A</w:t>
      </w:r>
      <w:r w:rsidRPr="00EE5C7A">
        <w:rPr>
          <w:rFonts w:ascii="Arial" w:hAnsi="Arial" w:cs="Arial"/>
          <w:lang w:val="en-GB"/>
        </w:rPr>
        <w:t>) at 638 I-</w:t>
      </w:r>
      <w:r w:rsidR="00701C85" w:rsidRPr="00EE5C7A">
        <w:rPr>
          <w:rFonts w:ascii="Arial" w:hAnsi="Arial" w:cs="Arial"/>
          <w:lang w:val="en-GB"/>
        </w:rPr>
        <w:t xml:space="preserve">693 E; </w:t>
      </w:r>
      <w:r w:rsidR="00701C85" w:rsidRPr="00EE5C7A">
        <w:rPr>
          <w:rFonts w:ascii="Arial" w:hAnsi="Arial" w:cs="Arial"/>
          <w:i/>
          <w:lang w:val="en-GB"/>
        </w:rPr>
        <w:t>Law Society of the Cape of Good Hope v Berrange</w:t>
      </w:r>
      <w:r w:rsidR="00701C85" w:rsidRPr="00EE5C7A">
        <w:rPr>
          <w:rFonts w:ascii="Arial" w:hAnsi="Arial" w:cs="Arial"/>
          <w:lang w:val="en-GB"/>
        </w:rPr>
        <w:t xml:space="preserve"> 2005 (5) SA 160 (</w:t>
      </w:r>
      <w:r w:rsidR="00701C85" w:rsidRPr="00EE5C7A">
        <w:rPr>
          <w:rFonts w:ascii="Arial" w:hAnsi="Arial" w:cs="Arial"/>
          <w:i/>
          <w:lang w:val="en-GB"/>
        </w:rPr>
        <w:t>C</w:t>
      </w:r>
      <w:r w:rsidR="00AA5509">
        <w:rPr>
          <w:rFonts w:ascii="Arial" w:hAnsi="Arial" w:cs="Arial"/>
          <w:lang w:val="en-GB"/>
        </w:rPr>
        <w:t xml:space="preserve">) ([2006] I All </w:t>
      </w:r>
      <w:r w:rsidR="00701C85" w:rsidRPr="00EE5C7A">
        <w:rPr>
          <w:rFonts w:ascii="Arial" w:hAnsi="Arial" w:cs="Arial"/>
          <w:lang w:val="en-GB"/>
        </w:rPr>
        <w:t>SA 29</w:t>
      </w:r>
      <w:r w:rsidR="00AA5509">
        <w:rPr>
          <w:rFonts w:ascii="Arial" w:hAnsi="Arial" w:cs="Arial"/>
          <w:lang w:val="en-GB"/>
        </w:rPr>
        <w:t xml:space="preserve">0) at 173G – I (SA) and 302 (All </w:t>
      </w:r>
      <w:r w:rsidR="00701C85" w:rsidRPr="00EE5C7A">
        <w:rPr>
          <w:rFonts w:ascii="Arial" w:hAnsi="Arial" w:cs="Arial"/>
          <w:lang w:val="en-GB"/>
        </w:rPr>
        <w:t xml:space="preserve">SA).” </w:t>
      </w:r>
    </w:p>
    <w:p w14:paraId="7ECC5933" w14:textId="0C8D2CA4" w:rsidR="00701C85" w:rsidRDefault="00701C85" w:rsidP="003916FF">
      <w:pPr>
        <w:spacing w:line="480" w:lineRule="auto"/>
        <w:jc w:val="both"/>
        <w:rPr>
          <w:rFonts w:ascii="Arial" w:hAnsi="Arial" w:cs="Arial"/>
          <w:sz w:val="24"/>
          <w:szCs w:val="24"/>
          <w:lang w:val="en-GB"/>
        </w:rPr>
      </w:pPr>
      <w:r>
        <w:rPr>
          <w:rFonts w:ascii="Arial" w:hAnsi="Arial" w:cs="Arial"/>
          <w:sz w:val="24"/>
          <w:szCs w:val="24"/>
          <w:lang w:val="en-GB"/>
        </w:rPr>
        <w:t>[</w:t>
      </w:r>
      <w:r w:rsidR="00015811">
        <w:rPr>
          <w:rFonts w:ascii="Arial" w:hAnsi="Arial" w:cs="Arial"/>
          <w:sz w:val="24"/>
          <w:szCs w:val="24"/>
          <w:lang w:val="en-GB"/>
        </w:rPr>
        <w:t>30</w:t>
      </w:r>
      <w:r>
        <w:rPr>
          <w:rFonts w:ascii="Arial" w:hAnsi="Arial" w:cs="Arial"/>
          <w:sz w:val="24"/>
          <w:szCs w:val="24"/>
          <w:lang w:val="en-GB"/>
        </w:rPr>
        <w:t xml:space="preserve">] </w:t>
      </w:r>
      <w:r w:rsidR="00DC23E9">
        <w:rPr>
          <w:rFonts w:ascii="Arial" w:hAnsi="Arial" w:cs="Arial"/>
          <w:sz w:val="24"/>
          <w:szCs w:val="24"/>
          <w:lang w:val="en-GB"/>
        </w:rPr>
        <w:t xml:space="preserve">The facts of this matter make it clear that the respondent is not a fit and proper person to continue to practice. </w:t>
      </w:r>
      <w:r>
        <w:rPr>
          <w:rFonts w:ascii="Arial" w:hAnsi="Arial" w:cs="Arial"/>
          <w:sz w:val="24"/>
          <w:szCs w:val="24"/>
          <w:lang w:val="en-GB"/>
        </w:rPr>
        <w:t xml:space="preserve">While the conduct of the respondent is </w:t>
      </w:r>
      <w:r w:rsidR="00854BA1">
        <w:rPr>
          <w:rFonts w:ascii="Arial" w:hAnsi="Arial" w:cs="Arial"/>
          <w:sz w:val="24"/>
          <w:szCs w:val="24"/>
          <w:lang w:val="en-GB"/>
        </w:rPr>
        <w:t xml:space="preserve">indisputably </w:t>
      </w:r>
      <w:r>
        <w:rPr>
          <w:rFonts w:ascii="Arial" w:hAnsi="Arial" w:cs="Arial"/>
          <w:sz w:val="24"/>
          <w:szCs w:val="24"/>
          <w:lang w:val="en-GB"/>
        </w:rPr>
        <w:t>of a seriously egregious nature it is somehow ameliorated by the fact that when all is said and done the respondent did not succeed in overreaching his client, Mr Mfengwana.  I must, however, point out that his lack of success cannot be accounted for by his lack of trying</w:t>
      </w:r>
      <w:r w:rsidR="00554413">
        <w:rPr>
          <w:rFonts w:ascii="Arial" w:hAnsi="Arial" w:cs="Arial"/>
          <w:sz w:val="24"/>
          <w:szCs w:val="24"/>
          <w:lang w:val="en-GB"/>
        </w:rPr>
        <w:t xml:space="preserve">. </w:t>
      </w:r>
      <w:r>
        <w:rPr>
          <w:rFonts w:ascii="Arial" w:hAnsi="Arial" w:cs="Arial"/>
          <w:sz w:val="24"/>
          <w:szCs w:val="24"/>
          <w:lang w:val="en-GB"/>
        </w:rPr>
        <w:t xml:space="preserve"> </w:t>
      </w:r>
      <w:r w:rsidR="00554413">
        <w:rPr>
          <w:rFonts w:ascii="Arial" w:hAnsi="Arial" w:cs="Arial"/>
          <w:sz w:val="24"/>
          <w:szCs w:val="24"/>
          <w:lang w:val="en-GB"/>
        </w:rPr>
        <w:t>It was foiled by</w:t>
      </w:r>
      <w:r>
        <w:rPr>
          <w:rFonts w:ascii="Arial" w:hAnsi="Arial" w:cs="Arial"/>
          <w:sz w:val="24"/>
          <w:szCs w:val="24"/>
          <w:lang w:val="en-GB"/>
        </w:rPr>
        <w:t xml:space="preserve"> Mr Mfengwana and his new attorneys who acted swift</w:t>
      </w:r>
      <w:r w:rsidR="00AA5509">
        <w:rPr>
          <w:rFonts w:ascii="Arial" w:hAnsi="Arial" w:cs="Arial"/>
          <w:sz w:val="24"/>
          <w:szCs w:val="24"/>
          <w:lang w:val="en-GB"/>
        </w:rPr>
        <w:t>l</w:t>
      </w:r>
      <w:r>
        <w:rPr>
          <w:rFonts w:ascii="Arial" w:hAnsi="Arial" w:cs="Arial"/>
          <w:sz w:val="24"/>
          <w:szCs w:val="24"/>
          <w:lang w:val="en-GB"/>
        </w:rPr>
        <w:t xml:space="preserve">y in recovering the amount of R204 889.17 before it was decimated which would most likely have happened had they tarried in moving the application under case no. 3469/2017.  There </w:t>
      </w:r>
      <w:r w:rsidR="00554413">
        <w:rPr>
          <w:rFonts w:ascii="Arial" w:hAnsi="Arial" w:cs="Arial"/>
          <w:sz w:val="24"/>
          <w:szCs w:val="24"/>
          <w:lang w:val="en-GB"/>
        </w:rPr>
        <w:t>must be a clear</w:t>
      </w:r>
      <w:r>
        <w:rPr>
          <w:rFonts w:ascii="Arial" w:hAnsi="Arial" w:cs="Arial"/>
          <w:sz w:val="24"/>
          <w:szCs w:val="24"/>
          <w:lang w:val="en-GB"/>
        </w:rPr>
        <w:t xml:space="preserve"> distinction between an attempt to commit an offence and </w:t>
      </w:r>
      <w:r w:rsidR="00554413">
        <w:rPr>
          <w:rFonts w:ascii="Arial" w:hAnsi="Arial" w:cs="Arial"/>
          <w:sz w:val="24"/>
          <w:szCs w:val="24"/>
          <w:lang w:val="en-GB"/>
        </w:rPr>
        <w:t xml:space="preserve">actually </w:t>
      </w:r>
      <w:r w:rsidR="00FC6FC5">
        <w:rPr>
          <w:rFonts w:ascii="Arial" w:hAnsi="Arial" w:cs="Arial"/>
          <w:sz w:val="24"/>
          <w:szCs w:val="24"/>
          <w:lang w:val="en-GB"/>
        </w:rPr>
        <w:t xml:space="preserve">committing </w:t>
      </w:r>
      <w:r>
        <w:rPr>
          <w:rFonts w:ascii="Arial" w:hAnsi="Arial" w:cs="Arial"/>
          <w:sz w:val="24"/>
          <w:szCs w:val="24"/>
          <w:lang w:val="en-GB"/>
        </w:rPr>
        <w:t>the offending conduct.  That distinction leads me to the conclusion that</w:t>
      </w:r>
      <w:r w:rsidR="00032503">
        <w:rPr>
          <w:rFonts w:ascii="Arial" w:hAnsi="Arial" w:cs="Arial"/>
          <w:sz w:val="24"/>
          <w:szCs w:val="24"/>
          <w:lang w:val="en-GB"/>
        </w:rPr>
        <w:t>,</w:t>
      </w:r>
      <w:r>
        <w:rPr>
          <w:rFonts w:ascii="Arial" w:hAnsi="Arial" w:cs="Arial"/>
          <w:sz w:val="24"/>
          <w:szCs w:val="24"/>
          <w:lang w:val="en-GB"/>
        </w:rPr>
        <w:t xml:space="preserve"> while he is clearly not a fit and proper person to continue to practice, imposing what is essentially the most extreme punishment a court can give to a legal practitioner would not be appropriate.</w:t>
      </w:r>
    </w:p>
    <w:p w14:paraId="0086EC52" w14:textId="047B084E" w:rsidR="007146CE" w:rsidRDefault="00701C85" w:rsidP="003916FF">
      <w:pPr>
        <w:spacing w:line="480" w:lineRule="auto"/>
        <w:jc w:val="both"/>
        <w:rPr>
          <w:rFonts w:ascii="Arial" w:hAnsi="Arial" w:cs="Arial"/>
          <w:sz w:val="24"/>
          <w:szCs w:val="24"/>
          <w:lang w:val="en-GB"/>
        </w:rPr>
      </w:pPr>
      <w:r>
        <w:rPr>
          <w:rFonts w:ascii="Arial" w:hAnsi="Arial" w:cs="Arial"/>
          <w:sz w:val="24"/>
          <w:szCs w:val="24"/>
          <w:lang w:val="en-GB"/>
        </w:rPr>
        <w:t>[3</w:t>
      </w:r>
      <w:r w:rsidR="00015811">
        <w:rPr>
          <w:rFonts w:ascii="Arial" w:hAnsi="Arial" w:cs="Arial"/>
          <w:sz w:val="24"/>
          <w:szCs w:val="24"/>
          <w:lang w:val="en-GB"/>
        </w:rPr>
        <w:t>1</w:t>
      </w:r>
      <w:r>
        <w:rPr>
          <w:rFonts w:ascii="Arial" w:hAnsi="Arial" w:cs="Arial"/>
          <w:sz w:val="24"/>
          <w:szCs w:val="24"/>
          <w:lang w:val="en-GB"/>
        </w:rPr>
        <w:t>] That said</w:t>
      </w:r>
      <w:r w:rsidR="00FC6FC5">
        <w:rPr>
          <w:rFonts w:ascii="Arial" w:hAnsi="Arial" w:cs="Arial"/>
          <w:sz w:val="24"/>
          <w:szCs w:val="24"/>
          <w:lang w:val="en-GB"/>
        </w:rPr>
        <w:t>,</w:t>
      </w:r>
      <w:r>
        <w:rPr>
          <w:rFonts w:ascii="Arial" w:hAnsi="Arial" w:cs="Arial"/>
          <w:sz w:val="24"/>
          <w:szCs w:val="24"/>
          <w:lang w:val="en-GB"/>
        </w:rPr>
        <w:t xml:space="preserve"> a </w:t>
      </w:r>
      <w:r w:rsidR="00854BA1">
        <w:rPr>
          <w:rFonts w:ascii="Arial" w:hAnsi="Arial" w:cs="Arial"/>
          <w:sz w:val="24"/>
          <w:szCs w:val="24"/>
          <w:lang w:val="en-GB"/>
        </w:rPr>
        <w:t>sanction</w:t>
      </w:r>
      <w:r>
        <w:rPr>
          <w:rFonts w:ascii="Arial" w:hAnsi="Arial" w:cs="Arial"/>
          <w:sz w:val="24"/>
          <w:szCs w:val="24"/>
          <w:lang w:val="en-GB"/>
        </w:rPr>
        <w:t xml:space="preserve"> serious enough and which </w:t>
      </w:r>
      <w:r w:rsidR="007146CE">
        <w:rPr>
          <w:rFonts w:ascii="Arial" w:hAnsi="Arial" w:cs="Arial"/>
          <w:sz w:val="24"/>
          <w:szCs w:val="24"/>
          <w:lang w:val="en-GB"/>
        </w:rPr>
        <w:t>gives him an opportunity to re-educate himself and re</w:t>
      </w:r>
      <w:r w:rsidR="00DE7B5B">
        <w:rPr>
          <w:rFonts w:ascii="Arial" w:hAnsi="Arial" w:cs="Arial"/>
          <w:sz w:val="24"/>
          <w:szCs w:val="24"/>
          <w:lang w:val="en-GB"/>
        </w:rPr>
        <w:t>-</w:t>
      </w:r>
      <w:r w:rsidR="007146CE">
        <w:rPr>
          <w:rFonts w:ascii="Arial" w:hAnsi="Arial" w:cs="Arial"/>
          <w:sz w:val="24"/>
          <w:szCs w:val="24"/>
          <w:lang w:val="en-GB"/>
        </w:rPr>
        <w:t>con</w:t>
      </w:r>
      <w:r w:rsidR="00DE7B5B">
        <w:rPr>
          <w:rFonts w:ascii="Arial" w:hAnsi="Arial" w:cs="Arial"/>
          <w:sz w:val="24"/>
          <w:szCs w:val="24"/>
          <w:lang w:val="en-GB"/>
        </w:rPr>
        <w:t>s</w:t>
      </w:r>
      <w:r w:rsidR="007146CE">
        <w:rPr>
          <w:rFonts w:ascii="Arial" w:hAnsi="Arial" w:cs="Arial"/>
          <w:sz w:val="24"/>
          <w:szCs w:val="24"/>
          <w:lang w:val="en-GB"/>
        </w:rPr>
        <w:t>cientise himsel</w:t>
      </w:r>
      <w:r w:rsidR="005033A7">
        <w:rPr>
          <w:rFonts w:ascii="Arial" w:hAnsi="Arial" w:cs="Arial"/>
          <w:sz w:val="24"/>
          <w:szCs w:val="24"/>
          <w:lang w:val="en-GB"/>
        </w:rPr>
        <w:t>f on the ethics of the attorney</w:t>
      </w:r>
      <w:r w:rsidR="007146CE">
        <w:rPr>
          <w:rFonts w:ascii="Arial" w:hAnsi="Arial" w:cs="Arial"/>
          <w:sz w:val="24"/>
          <w:szCs w:val="24"/>
          <w:lang w:val="en-GB"/>
        </w:rPr>
        <w:t>s</w:t>
      </w:r>
      <w:r w:rsidR="005033A7">
        <w:rPr>
          <w:rFonts w:ascii="Arial" w:hAnsi="Arial" w:cs="Arial"/>
          <w:sz w:val="24"/>
          <w:szCs w:val="24"/>
          <w:lang w:val="en-GB"/>
        </w:rPr>
        <w:t>’</w:t>
      </w:r>
      <w:r w:rsidR="007146CE">
        <w:rPr>
          <w:rFonts w:ascii="Arial" w:hAnsi="Arial" w:cs="Arial"/>
          <w:sz w:val="24"/>
          <w:szCs w:val="24"/>
          <w:lang w:val="en-GB"/>
        </w:rPr>
        <w:t xml:space="preserve"> profession and court etiquette generally</w:t>
      </w:r>
      <w:r>
        <w:rPr>
          <w:rFonts w:ascii="Arial" w:hAnsi="Arial" w:cs="Arial"/>
          <w:sz w:val="24"/>
          <w:szCs w:val="24"/>
          <w:lang w:val="en-GB"/>
        </w:rPr>
        <w:t xml:space="preserve"> would be </w:t>
      </w:r>
      <w:r w:rsidR="00854BA1">
        <w:rPr>
          <w:rFonts w:ascii="Arial" w:hAnsi="Arial" w:cs="Arial"/>
          <w:sz w:val="24"/>
          <w:szCs w:val="24"/>
          <w:lang w:val="en-GB"/>
        </w:rPr>
        <w:t xml:space="preserve">the most </w:t>
      </w:r>
      <w:r>
        <w:rPr>
          <w:rFonts w:ascii="Arial" w:hAnsi="Arial" w:cs="Arial"/>
          <w:sz w:val="24"/>
          <w:szCs w:val="24"/>
          <w:lang w:val="en-GB"/>
        </w:rPr>
        <w:t xml:space="preserve">appropriate in the </w:t>
      </w:r>
      <w:r w:rsidR="00274AE8">
        <w:rPr>
          <w:rFonts w:ascii="Arial" w:hAnsi="Arial" w:cs="Arial"/>
          <w:sz w:val="24"/>
          <w:szCs w:val="24"/>
          <w:lang w:val="en-GB"/>
        </w:rPr>
        <w:t xml:space="preserve">circumstances of this matter.  I do think that the appropriate </w:t>
      </w:r>
      <w:r w:rsidR="00854BA1">
        <w:rPr>
          <w:rFonts w:ascii="Arial" w:hAnsi="Arial" w:cs="Arial"/>
          <w:sz w:val="24"/>
          <w:szCs w:val="24"/>
          <w:lang w:val="en-GB"/>
        </w:rPr>
        <w:t>sanction</w:t>
      </w:r>
      <w:r w:rsidR="00274AE8">
        <w:rPr>
          <w:rFonts w:ascii="Arial" w:hAnsi="Arial" w:cs="Arial"/>
          <w:sz w:val="24"/>
          <w:szCs w:val="24"/>
          <w:lang w:val="en-GB"/>
        </w:rPr>
        <w:t xml:space="preserve"> would be one in which the respondent is suspended from practising as an attorney for a period of </w:t>
      </w:r>
      <w:r w:rsidR="00DE07AD">
        <w:rPr>
          <w:rFonts w:ascii="Arial" w:hAnsi="Arial" w:cs="Arial"/>
          <w:sz w:val="24"/>
          <w:szCs w:val="24"/>
          <w:lang w:val="en-GB"/>
        </w:rPr>
        <w:t xml:space="preserve">two </w:t>
      </w:r>
      <w:r w:rsidR="00274AE8">
        <w:rPr>
          <w:rFonts w:ascii="Arial" w:hAnsi="Arial" w:cs="Arial"/>
          <w:sz w:val="24"/>
          <w:szCs w:val="24"/>
          <w:lang w:val="en-GB"/>
        </w:rPr>
        <w:t>years</w:t>
      </w:r>
      <w:r w:rsidR="00DE07AD">
        <w:rPr>
          <w:rFonts w:ascii="Arial" w:hAnsi="Arial" w:cs="Arial"/>
          <w:sz w:val="24"/>
          <w:szCs w:val="24"/>
          <w:lang w:val="en-GB"/>
        </w:rPr>
        <w:t>.</w:t>
      </w:r>
      <w:r w:rsidR="00274AE8">
        <w:rPr>
          <w:rFonts w:ascii="Arial" w:hAnsi="Arial" w:cs="Arial"/>
          <w:sz w:val="24"/>
          <w:szCs w:val="24"/>
          <w:lang w:val="en-GB"/>
        </w:rPr>
        <w:t xml:space="preserve"> </w:t>
      </w:r>
      <w:r w:rsidR="00DE07AD">
        <w:rPr>
          <w:rFonts w:ascii="Arial" w:hAnsi="Arial" w:cs="Arial"/>
          <w:sz w:val="24"/>
          <w:szCs w:val="24"/>
          <w:lang w:val="en-GB"/>
        </w:rPr>
        <w:t xml:space="preserve">At </w:t>
      </w:r>
      <w:r w:rsidR="00DE07AD">
        <w:rPr>
          <w:rFonts w:ascii="Arial" w:hAnsi="Arial" w:cs="Arial"/>
          <w:sz w:val="24"/>
          <w:szCs w:val="24"/>
          <w:lang w:val="en-GB"/>
        </w:rPr>
        <w:lastRenderedPageBreak/>
        <w:t>the end of the two</w:t>
      </w:r>
      <w:r w:rsidR="00A1460F">
        <w:rPr>
          <w:rFonts w:ascii="Arial" w:hAnsi="Arial" w:cs="Arial"/>
          <w:sz w:val="24"/>
          <w:szCs w:val="24"/>
          <w:lang w:val="en-GB"/>
        </w:rPr>
        <w:t>-</w:t>
      </w:r>
      <w:r w:rsidR="00DE07AD">
        <w:rPr>
          <w:rFonts w:ascii="Arial" w:hAnsi="Arial" w:cs="Arial"/>
          <w:sz w:val="24"/>
          <w:szCs w:val="24"/>
          <w:lang w:val="en-GB"/>
        </w:rPr>
        <w:t>year suspension period his re</w:t>
      </w:r>
      <w:r w:rsidR="00E835E6">
        <w:rPr>
          <w:rFonts w:ascii="Arial" w:hAnsi="Arial" w:cs="Arial"/>
          <w:sz w:val="24"/>
          <w:szCs w:val="24"/>
          <w:lang w:val="en-GB"/>
        </w:rPr>
        <w:t>-</w:t>
      </w:r>
      <w:r w:rsidR="00DE07AD">
        <w:rPr>
          <w:rFonts w:ascii="Arial" w:hAnsi="Arial" w:cs="Arial"/>
          <w:sz w:val="24"/>
          <w:szCs w:val="24"/>
          <w:lang w:val="en-GB"/>
        </w:rPr>
        <w:t>entry into the attorneys</w:t>
      </w:r>
      <w:r w:rsidR="005033A7">
        <w:rPr>
          <w:rFonts w:ascii="Arial" w:hAnsi="Arial" w:cs="Arial"/>
          <w:sz w:val="24"/>
          <w:szCs w:val="24"/>
          <w:lang w:val="en-GB"/>
        </w:rPr>
        <w:t>’</w:t>
      </w:r>
      <w:r w:rsidR="00DE07AD">
        <w:rPr>
          <w:rFonts w:ascii="Arial" w:hAnsi="Arial" w:cs="Arial"/>
          <w:sz w:val="24"/>
          <w:szCs w:val="24"/>
          <w:lang w:val="en-GB"/>
        </w:rPr>
        <w:t xml:space="preserve"> profession will not be automatic.  He will have to satisfy the </w:t>
      </w:r>
      <w:r w:rsidR="00F4259A">
        <w:rPr>
          <w:rFonts w:ascii="Arial" w:hAnsi="Arial" w:cs="Arial"/>
          <w:sz w:val="24"/>
          <w:szCs w:val="24"/>
          <w:lang w:val="en-GB"/>
        </w:rPr>
        <w:t>court</w:t>
      </w:r>
      <w:r w:rsidR="00DE07AD">
        <w:rPr>
          <w:rFonts w:ascii="Arial" w:hAnsi="Arial" w:cs="Arial"/>
          <w:sz w:val="24"/>
          <w:szCs w:val="24"/>
          <w:lang w:val="en-GB"/>
        </w:rPr>
        <w:t xml:space="preserve">, with proper </w:t>
      </w:r>
      <w:r w:rsidR="00765145">
        <w:rPr>
          <w:rFonts w:ascii="Arial" w:hAnsi="Arial" w:cs="Arial"/>
          <w:sz w:val="24"/>
          <w:szCs w:val="24"/>
          <w:lang w:val="en-GB"/>
        </w:rPr>
        <w:t xml:space="preserve">supporting </w:t>
      </w:r>
      <w:r w:rsidR="00DE07AD">
        <w:rPr>
          <w:rFonts w:ascii="Arial" w:hAnsi="Arial" w:cs="Arial"/>
          <w:sz w:val="24"/>
          <w:szCs w:val="24"/>
          <w:lang w:val="en-GB"/>
        </w:rPr>
        <w:t>evidence</w:t>
      </w:r>
      <w:r w:rsidR="00765145">
        <w:rPr>
          <w:rFonts w:ascii="Arial" w:hAnsi="Arial" w:cs="Arial"/>
          <w:sz w:val="24"/>
          <w:szCs w:val="24"/>
          <w:lang w:val="en-GB"/>
        </w:rPr>
        <w:t>,</w:t>
      </w:r>
      <w:r w:rsidR="00DE07AD">
        <w:rPr>
          <w:rFonts w:ascii="Arial" w:hAnsi="Arial" w:cs="Arial"/>
          <w:sz w:val="24"/>
          <w:szCs w:val="24"/>
          <w:lang w:val="en-GB"/>
        </w:rPr>
        <w:t xml:space="preserve"> that he is contrite about how he deliberate</w:t>
      </w:r>
      <w:r w:rsidR="00D528E4">
        <w:rPr>
          <w:rFonts w:ascii="Arial" w:hAnsi="Arial" w:cs="Arial"/>
          <w:sz w:val="24"/>
          <w:szCs w:val="24"/>
          <w:lang w:val="en-GB"/>
        </w:rPr>
        <w:t>ly</w:t>
      </w:r>
      <w:r w:rsidR="00DE07AD">
        <w:rPr>
          <w:rFonts w:ascii="Arial" w:hAnsi="Arial" w:cs="Arial"/>
          <w:sz w:val="24"/>
          <w:szCs w:val="24"/>
          <w:lang w:val="en-GB"/>
        </w:rPr>
        <w:t xml:space="preserve"> and shamelessly conducted himself towards his client, Mr Mfengwana.  Evidence of a proper understa</w:t>
      </w:r>
      <w:r w:rsidR="000E2E29">
        <w:rPr>
          <w:rFonts w:ascii="Arial" w:hAnsi="Arial" w:cs="Arial"/>
          <w:sz w:val="24"/>
          <w:szCs w:val="24"/>
          <w:lang w:val="en-GB"/>
        </w:rPr>
        <w:t>n</w:t>
      </w:r>
      <w:r w:rsidR="00DE07AD">
        <w:rPr>
          <w:rFonts w:ascii="Arial" w:hAnsi="Arial" w:cs="Arial"/>
          <w:sz w:val="24"/>
          <w:szCs w:val="24"/>
          <w:lang w:val="en-GB"/>
        </w:rPr>
        <w:t>ding of his obligations as a legal professional and an officer of the court</w:t>
      </w:r>
      <w:r w:rsidR="00765145">
        <w:rPr>
          <w:rFonts w:ascii="Arial" w:hAnsi="Arial" w:cs="Arial"/>
          <w:sz w:val="24"/>
          <w:szCs w:val="24"/>
          <w:lang w:val="en-GB"/>
        </w:rPr>
        <w:t>,</w:t>
      </w:r>
      <w:r w:rsidR="00DE07AD">
        <w:rPr>
          <w:rFonts w:ascii="Arial" w:hAnsi="Arial" w:cs="Arial"/>
          <w:sz w:val="24"/>
          <w:szCs w:val="24"/>
          <w:lang w:val="en-GB"/>
        </w:rPr>
        <w:t xml:space="preserve"> regard being had to his attitude to the courts in general and to Plasket J in particular</w:t>
      </w:r>
      <w:r w:rsidR="00765145">
        <w:rPr>
          <w:rFonts w:ascii="Arial" w:hAnsi="Arial" w:cs="Arial"/>
          <w:sz w:val="24"/>
          <w:szCs w:val="24"/>
          <w:lang w:val="en-GB"/>
        </w:rPr>
        <w:t>,</w:t>
      </w:r>
      <w:r w:rsidR="00DE07AD">
        <w:rPr>
          <w:rFonts w:ascii="Arial" w:hAnsi="Arial" w:cs="Arial"/>
          <w:sz w:val="24"/>
          <w:szCs w:val="24"/>
          <w:lang w:val="en-GB"/>
        </w:rPr>
        <w:t xml:space="preserve"> </w:t>
      </w:r>
      <w:r w:rsidR="005033A7">
        <w:rPr>
          <w:rFonts w:ascii="Arial" w:hAnsi="Arial" w:cs="Arial"/>
          <w:sz w:val="24"/>
          <w:szCs w:val="24"/>
          <w:lang w:val="en-GB"/>
        </w:rPr>
        <w:t>will obviously be one of</w:t>
      </w:r>
      <w:r w:rsidR="00D528E4">
        <w:rPr>
          <w:rFonts w:ascii="Arial" w:hAnsi="Arial" w:cs="Arial"/>
          <w:sz w:val="24"/>
          <w:szCs w:val="24"/>
          <w:lang w:val="en-GB"/>
        </w:rPr>
        <w:t xml:space="preserve"> many considerat</w:t>
      </w:r>
      <w:r w:rsidR="007146CE">
        <w:rPr>
          <w:rFonts w:ascii="Arial" w:hAnsi="Arial" w:cs="Arial"/>
          <w:sz w:val="24"/>
          <w:szCs w:val="24"/>
          <w:lang w:val="en-GB"/>
        </w:rPr>
        <w:t>ions</w:t>
      </w:r>
      <w:r w:rsidR="00DE07AD">
        <w:rPr>
          <w:rFonts w:ascii="Arial" w:hAnsi="Arial" w:cs="Arial"/>
          <w:sz w:val="24"/>
          <w:szCs w:val="24"/>
          <w:lang w:val="en-GB"/>
        </w:rPr>
        <w:t xml:space="preserve">.  There is no doubt that the respondent brought the attorneys’ profession into dispute by his conduct.  </w:t>
      </w:r>
    </w:p>
    <w:p w14:paraId="5324C3C1" w14:textId="2CC66E15" w:rsidR="007E7375" w:rsidRDefault="007146CE" w:rsidP="003916FF">
      <w:pPr>
        <w:spacing w:line="480" w:lineRule="auto"/>
        <w:jc w:val="both"/>
        <w:rPr>
          <w:rFonts w:ascii="Arial" w:hAnsi="Arial" w:cs="Arial"/>
          <w:sz w:val="24"/>
          <w:szCs w:val="24"/>
          <w:lang w:val="en-GB"/>
        </w:rPr>
      </w:pPr>
      <w:r>
        <w:rPr>
          <w:rFonts w:ascii="Arial" w:hAnsi="Arial" w:cs="Arial"/>
          <w:sz w:val="24"/>
          <w:szCs w:val="24"/>
          <w:lang w:val="en-GB"/>
        </w:rPr>
        <w:t xml:space="preserve">[32] </w:t>
      </w:r>
      <w:r w:rsidR="00DE07AD">
        <w:rPr>
          <w:rFonts w:ascii="Arial" w:hAnsi="Arial" w:cs="Arial"/>
          <w:sz w:val="24"/>
          <w:szCs w:val="24"/>
          <w:lang w:val="en-GB"/>
        </w:rPr>
        <w:t>His re</w:t>
      </w:r>
      <w:r w:rsidR="000E2E29">
        <w:rPr>
          <w:rFonts w:ascii="Arial" w:hAnsi="Arial" w:cs="Arial"/>
          <w:sz w:val="24"/>
          <w:szCs w:val="24"/>
          <w:lang w:val="en-GB"/>
        </w:rPr>
        <w:t>-</w:t>
      </w:r>
      <w:r w:rsidR="00DE07AD">
        <w:rPr>
          <w:rFonts w:ascii="Arial" w:hAnsi="Arial" w:cs="Arial"/>
          <w:sz w:val="24"/>
          <w:szCs w:val="24"/>
          <w:lang w:val="en-GB"/>
        </w:rPr>
        <w:t>entry into the profession will not be a matter of an agreement between him and the applicant</w:t>
      </w:r>
      <w:r>
        <w:rPr>
          <w:rFonts w:ascii="Arial" w:hAnsi="Arial" w:cs="Arial"/>
          <w:sz w:val="24"/>
          <w:szCs w:val="24"/>
          <w:lang w:val="en-GB"/>
        </w:rPr>
        <w:t xml:space="preserve"> nor should it be at the whim of the applicant</w:t>
      </w:r>
      <w:r w:rsidR="00DE07AD">
        <w:rPr>
          <w:rFonts w:ascii="Arial" w:hAnsi="Arial" w:cs="Arial"/>
          <w:sz w:val="24"/>
          <w:szCs w:val="24"/>
          <w:lang w:val="en-GB"/>
        </w:rPr>
        <w:t>.  He will have</w:t>
      </w:r>
      <w:r w:rsidR="005033A7">
        <w:rPr>
          <w:rFonts w:ascii="Arial" w:hAnsi="Arial" w:cs="Arial"/>
          <w:sz w:val="24"/>
          <w:szCs w:val="24"/>
          <w:lang w:val="en-GB"/>
        </w:rPr>
        <w:t xml:space="preserve"> to bring a substantive applica</w:t>
      </w:r>
      <w:r w:rsidR="00DE07AD">
        <w:rPr>
          <w:rFonts w:ascii="Arial" w:hAnsi="Arial" w:cs="Arial"/>
          <w:sz w:val="24"/>
          <w:szCs w:val="24"/>
          <w:lang w:val="en-GB"/>
        </w:rPr>
        <w:t>t</w:t>
      </w:r>
      <w:r w:rsidR="005033A7">
        <w:rPr>
          <w:rFonts w:ascii="Arial" w:hAnsi="Arial" w:cs="Arial"/>
          <w:sz w:val="24"/>
          <w:szCs w:val="24"/>
          <w:lang w:val="en-GB"/>
        </w:rPr>
        <w:t>ion</w:t>
      </w:r>
      <w:r w:rsidR="00DE07AD">
        <w:rPr>
          <w:rFonts w:ascii="Arial" w:hAnsi="Arial" w:cs="Arial"/>
          <w:sz w:val="24"/>
          <w:szCs w:val="24"/>
          <w:lang w:val="en-GB"/>
        </w:rPr>
        <w:t xml:space="preserve"> to court</w:t>
      </w:r>
      <w:r w:rsidR="00611797">
        <w:rPr>
          <w:rFonts w:ascii="Arial" w:hAnsi="Arial" w:cs="Arial"/>
          <w:sz w:val="24"/>
          <w:szCs w:val="24"/>
          <w:lang w:val="en-GB"/>
        </w:rPr>
        <w:t>,</w:t>
      </w:r>
      <w:r w:rsidR="00DE07AD">
        <w:rPr>
          <w:rFonts w:ascii="Arial" w:hAnsi="Arial" w:cs="Arial"/>
          <w:sz w:val="24"/>
          <w:szCs w:val="24"/>
          <w:lang w:val="en-GB"/>
        </w:rPr>
        <w:t xml:space="preserve"> which </w:t>
      </w:r>
      <w:r w:rsidR="000E2E29">
        <w:rPr>
          <w:rFonts w:ascii="Arial" w:hAnsi="Arial" w:cs="Arial"/>
          <w:sz w:val="24"/>
          <w:szCs w:val="24"/>
          <w:lang w:val="en-GB"/>
        </w:rPr>
        <w:t xml:space="preserve">must determine if indeed he </w:t>
      </w:r>
      <w:r w:rsidR="00E00FD2">
        <w:rPr>
          <w:rFonts w:ascii="Arial" w:hAnsi="Arial" w:cs="Arial"/>
          <w:sz w:val="24"/>
          <w:szCs w:val="24"/>
          <w:lang w:val="en-GB"/>
        </w:rPr>
        <w:t>has demonstrated that he is fit for practice once more</w:t>
      </w:r>
      <w:r w:rsidR="00E835E6">
        <w:rPr>
          <w:rFonts w:ascii="Arial" w:hAnsi="Arial" w:cs="Arial"/>
          <w:sz w:val="24"/>
          <w:szCs w:val="24"/>
          <w:lang w:val="en-GB"/>
        </w:rPr>
        <w:t>.  It is the court that will hear th</w:t>
      </w:r>
      <w:r>
        <w:rPr>
          <w:rFonts w:ascii="Arial" w:hAnsi="Arial" w:cs="Arial"/>
          <w:sz w:val="24"/>
          <w:szCs w:val="24"/>
          <w:lang w:val="en-GB"/>
        </w:rPr>
        <w:t>e</w:t>
      </w:r>
      <w:r w:rsidR="00E835E6">
        <w:rPr>
          <w:rFonts w:ascii="Arial" w:hAnsi="Arial" w:cs="Arial"/>
          <w:sz w:val="24"/>
          <w:szCs w:val="24"/>
          <w:lang w:val="en-GB"/>
        </w:rPr>
        <w:t xml:space="preserve"> application for his re-entry </w:t>
      </w:r>
      <w:r>
        <w:rPr>
          <w:rFonts w:ascii="Arial" w:hAnsi="Arial" w:cs="Arial"/>
          <w:sz w:val="24"/>
          <w:szCs w:val="24"/>
          <w:lang w:val="en-GB"/>
        </w:rPr>
        <w:t xml:space="preserve">into the profession </w:t>
      </w:r>
      <w:r w:rsidR="00E835E6">
        <w:rPr>
          <w:rFonts w:ascii="Arial" w:hAnsi="Arial" w:cs="Arial"/>
          <w:sz w:val="24"/>
          <w:szCs w:val="24"/>
          <w:lang w:val="en-GB"/>
        </w:rPr>
        <w:t xml:space="preserve">that will consider whatever evidence as shall be presented to it.  It is that court that must consider the application and satisfy itself that the respondent has so undergone a fundamentally positive </w:t>
      </w:r>
      <w:r w:rsidR="005033A7">
        <w:rPr>
          <w:rFonts w:ascii="Arial" w:hAnsi="Arial" w:cs="Arial"/>
          <w:sz w:val="24"/>
          <w:szCs w:val="24"/>
          <w:lang w:val="en-GB"/>
        </w:rPr>
        <w:t>paradigm</w:t>
      </w:r>
      <w:r w:rsidR="00E835E6">
        <w:rPr>
          <w:rFonts w:ascii="Arial" w:hAnsi="Arial" w:cs="Arial"/>
          <w:sz w:val="24"/>
          <w:szCs w:val="24"/>
          <w:lang w:val="en-GB"/>
        </w:rPr>
        <w:t xml:space="preserve"> shift of perspective that he can be allowed to </w:t>
      </w:r>
      <w:r w:rsidR="00611797">
        <w:rPr>
          <w:rFonts w:ascii="Arial" w:hAnsi="Arial" w:cs="Arial"/>
          <w:sz w:val="24"/>
          <w:szCs w:val="24"/>
          <w:lang w:val="en-GB"/>
        </w:rPr>
        <w:t>re</w:t>
      </w:r>
      <w:r w:rsidR="00867F95">
        <w:rPr>
          <w:rFonts w:ascii="Arial" w:hAnsi="Arial" w:cs="Arial"/>
          <w:sz w:val="24"/>
          <w:szCs w:val="24"/>
          <w:lang w:val="en-GB"/>
        </w:rPr>
        <w:t>-</w:t>
      </w:r>
      <w:r w:rsidR="00E835E6">
        <w:rPr>
          <w:rFonts w:ascii="Arial" w:hAnsi="Arial" w:cs="Arial"/>
          <w:sz w:val="24"/>
          <w:szCs w:val="24"/>
          <w:lang w:val="en-GB"/>
        </w:rPr>
        <w:t xml:space="preserve">join </w:t>
      </w:r>
      <w:r w:rsidR="00611797">
        <w:rPr>
          <w:rFonts w:ascii="Arial" w:hAnsi="Arial" w:cs="Arial"/>
          <w:sz w:val="24"/>
          <w:szCs w:val="24"/>
          <w:lang w:val="en-GB"/>
        </w:rPr>
        <w:t xml:space="preserve">the </w:t>
      </w:r>
      <w:r w:rsidR="00E03C4A">
        <w:rPr>
          <w:rFonts w:ascii="Arial" w:hAnsi="Arial" w:cs="Arial"/>
          <w:sz w:val="24"/>
          <w:szCs w:val="24"/>
          <w:lang w:val="en-GB"/>
        </w:rPr>
        <w:t xml:space="preserve">legal </w:t>
      </w:r>
      <w:r w:rsidR="00611797">
        <w:rPr>
          <w:rFonts w:ascii="Arial" w:hAnsi="Arial" w:cs="Arial"/>
          <w:sz w:val="24"/>
          <w:szCs w:val="24"/>
          <w:lang w:val="en-GB"/>
        </w:rPr>
        <w:t>profession</w:t>
      </w:r>
      <w:r w:rsidR="00D528E4">
        <w:rPr>
          <w:rFonts w:ascii="Arial" w:hAnsi="Arial" w:cs="Arial"/>
          <w:sz w:val="24"/>
          <w:szCs w:val="24"/>
          <w:lang w:val="en-GB"/>
        </w:rPr>
        <w:t xml:space="preserve">.  </w:t>
      </w:r>
      <w:r w:rsidR="00DD6593">
        <w:rPr>
          <w:rFonts w:ascii="Arial" w:hAnsi="Arial" w:cs="Arial"/>
          <w:sz w:val="24"/>
          <w:szCs w:val="24"/>
          <w:lang w:val="en-GB"/>
        </w:rPr>
        <w:t xml:space="preserve">The suspension of the respondent from practice for </w:t>
      </w:r>
      <w:r w:rsidR="00854BA1">
        <w:rPr>
          <w:rFonts w:ascii="Arial" w:hAnsi="Arial" w:cs="Arial"/>
          <w:sz w:val="24"/>
          <w:szCs w:val="24"/>
          <w:lang w:val="en-GB"/>
        </w:rPr>
        <w:t xml:space="preserve">an effective period of </w:t>
      </w:r>
      <w:r w:rsidR="008F4C9E">
        <w:rPr>
          <w:rFonts w:ascii="Arial" w:hAnsi="Arial" w:cs="Arial"/>
          <w:sz w:val="24"/>
          <w:szCs w:val="24"/>
          <w:lang w:val="en-GB"/>
        </w:rPr>
        <w:t xml:space="preserve">two </w:t>
      </w:r>
      <w:r w:rsidR="00854BA1">
        <w:rPr>
          <w:rFonts w:ascii="Arial" w:hAnsi="Arial" w:cs="Arial"/>
          <w:sz w:val="24"/>
          <w:szCs w:val="24"/>
          <w:lang w:val="en-GB"/>
        </w:rPr>
        <w:t>year</w:t>
      </w:r>
      <w:r w:rsidR="008F4C9E">
        <w:rPr>
          <w:rFonts w:ascii="Arial" w:hAnsi="Arial" w:cs="Arial"/>
          <w:sz w:val="24"/>
          <w:szCs w:val="24"/>
          <w:lang w:val="en-GB"/>
        </w:rPr>
        <w:t>s</w:t>
      </w:r>
      <w:r w:rsidR="00DD6593">
        <w:rPr>
          <w:rFonts w:ascii="Arial" w:hAnsi="Arial" w:cs="Arial"/>
          <w:sz w:val="24"/>
          <w:szCs w:val="24"/>
          <w:lang w:val="en-GB"/>
        </w:rPr>
        <w:t xml:space="preserve"> will protect the members of the public from his clearly </w:t>
      </w:r>
      <w:r w:rsidR="007E7375">
        <w:rPr>
          <w:rFonts w:ascii="Arial" w:hAnsi="Arial" w:cs="Arial"/>
          <w:sz w:val="24"/>
          <w:szCs w:val="24"/>
          <w:lang w:val="en-GB"/>
        </w:rPr>
        <w:t>deviant</w:t>
      </w:r>
      <w:r w:rsidR="008B2BD5">
        <w:rPr>
          <w:rFonts w:ascii="Arial" w:hAnsi="Arial" w:cs="Arial"/>
          <w:sz w:val="24"/>
          <w:szCs w:val="24"/>
          <w:lang w:val="en-GB"/>
        </w:rPr>
        <w:t xml:space="preserve"> </w:t>
      </w:r>
      <w:r w:rsidR="0020635C">
        <w:rPr>
          <w:rFonts w:ascii="Arial" w:hAnsi="Arial" w:cs="Arial"/>
          <w:sz w:val="24"/>
          <w:szCs w:val="24"/>
          <w:lang w:val="en-GB"/>
        </w:rPr>
        <w:t>ethical predisposition</w:t>
      </w:r>
      <w:r w:rsidR="008F4C9E">
        <w:rPr>
          <w:rFonts w:ascii="Arial" w:hAnsi="Arial" w:cs="Arial"/>
          <w:sz w:val="24"/>
          <w:szCs w:val="24"/>
          <w:lang w:val="en-GB"/>
        </w:rPr>
        <w:t xml:space="preserve"> while he </w:t>
      </w:r>
      <w:r w:rsidR="008D4FFD">
        <w:rPr>
          <w:rFonts w:ascii="Arial" w:hAnsi="Arial" w:cs="Arial"/>
          <w:sz w:val="24"/>
          <w:szCs w:val="24"/>
          <w:lang w:val="en-GB"/>
        </w:rPr>
        <w:t>undergoes</w:t>
      </w:r>
      <w:r w:rsidR="008F4C9E">
        <w:rPr>
          <w:rFonts w:ascii="Arial" w:hAnsi="Arial" w:cs="Arial"/>
          <w:sz w:val="24"/>
          <w:szCs w:val="24"/>
          <w:lang w:val="en-GB"/>
        </w:rPr>
        <w:t xml:space="preserve"> proper introspection</w:t>
      </w:r>
      <w:r w:rsidR="00F60BCF">
        <w:rPr>
          <w:rFonts w:ascii="Arial" w:hAnsi="Arial" w:cs="Arial"/>
          <w:sz w:val="24"/>
          <w:szCs w:val="24"/>
          <w:lang w:val="en-GB"/>
        </w:rPr>
        <w:t xml:space="preserve">, </w:t>
      </w:r>
      <w:r w:rsidR="00D528E4">
        <w:rPr>
          <w:rFonts w:ascii="Arial" w:hAnsi="Arial" w:cs="Arial"/>
          <w:sz w:val="24"/>
          <w:szCs w:val="24"/>
          <w:lang w:val="en-GB"/>
        </w:rPr>
        <w:t>training</w:t>
      </w:r>
      <w:r w:rsidR="00F60BCF">
        <w:rPr>
          <w:rFonts w:ascii="Arial" w:hAnsi="Arial" w:cs="Arial"/>
          <w:sz w:val="24"/>
          <w:szCs w:val="24"/>
          <w:lang w:val="en-GB"/>
        </w:rPr>
        <w:t xml:space="preserve"> and the like</w:t>
      </w:r>
      <w:r w:rsidR="008F4C9E">
        <w:rPr>
          <w:rFonts w:ascii="Arial" w:hAnsi="Arial" w:cs="Arial"/>
          <w:sz w:val="24"/>
          <w:szCs w:val="24"/>
          <w:lang w:val="en-GB"/>
        </w:rPr>
        <w:t>.  This is absolutely necessary as he seems to be blissfully unaware of his serious responsibilities</w:t>
      </w:r>
      <w:r w:rsidR="00AD535F">
        <w:rPr>
          <w:rFonts w:ascii="Arial" w:hAnsi="Arial" w:cs="Arial"/>
          <w:sz w:val="24"/>
          <w:szCs w:val="24"/>
          <w:lang w:val="en-GB"/>
        </w:rPr>
        <w:t xml:space="preserve"> to his clients</w:t>
      </w:r>
      <w:r w:rsidR="00E263E3">
        <w:rPr>
          <w:rFonts w:ascii="Arial" w:hAnsi="Arial" w:cs="Arial"/>
          <w:sz w:val="24"/>
          <w:szCs w:val="24"/>
          <w:lang w:val="en-GB"/>
        </w:rPr>
        <w:t xml:space="preserve"> and the court.</w:t>
      </w:r>
    </w:p>
    <w:p w14:paraId="4476A545" w14:textId="3F2C899F" w:rsidR="00DD6593" w:rsidRDefault="007E7375" w:rsidP="003916FF">
      <w:pPr>
        <w:spacing w:line="480" w:lineRule="auto"/>
        <w:jc w:val="both"/>
        <w:rPr>
          <w:rFonts w:ascii="Arial" w:hAnsi="Arial" w:cs="Arial"/>
          <w:sz w:val="24"/>
          <w:szCs w:val="24"/>
          <w:lang w:val="en-GB"/>
        </w:rPr>
      </w:pPr>
      <w:r>
        <w:rPr>
          <w:rFonts w:ascii="Arial" w:hAnsi="Arial" w:cs="Arial"/>
          <w:sz w:val="24"/>
          <w:szCs w:val="24"/>
          <w:lang w:val="en-GB"/>
        </w:rPr>
        <w:t xml:space="preserve">[33] </w:t>
      </w:r>
      <w:r w:rsidR="00E835E6">
        <w:rPr>
          <w:rFonts w:ascii="Arial" w:hAnsi="Arial" w:cs="Arial"/>
          <w:sz w:val="24"/>
          <w:szCs w:val="24"/>
          <w:lang w:val="en-GB"/>
        </w:rPr>
        <w:t>I am fortified in my views encapsulated</w:t>
      </w:r>
      <w:r w:rsidR="00D528E4">
        <w:rPr>
          <w:rFonts w:ascii="Arial" w:hAnsi="Arial" w:cs="Arial"/>
          <w:sz w:val="24"/>
          <w:szCs w:val="24"/>
          <w:lang w:val="en-GB"/>
        </w:rPr>
        <w:t xml:space="preserve"> herein</w:t>
      </w:r>
      <w:r w:rsidR="001F0127">
        <w:rPr>
          <w:rFonts w:ascii="Arial" w:hAnsi="Arial" w:cs="Arial"/>
          <w:sz w:val="24"/>
          <w:szCs w:val="24"/>
          <w:lang w:val="en-GB"/>
        </w:rPr>
        <w:t xml:space="preserve">before by the sentiments expressed by Harms ADP in </w:t>
      </w:r>
      <w:r w:rsidR="001F0127" w:rsidRPr="007934A2">
        <w:rPr>
          <w:rFonts w:ascii="Arial" w:hAnsi="Arial" w:cs="Arial"/>
          <w:i/>
          <w:sz w:val="24"/>
          <w:szCs w:val="24"/>
          <w:lang w:val="en-GB"/>
        </w:rPr>
        <w:t>Malan</w:t>
      </w:r>
      <w:r w:rsidR="00EC2337">
        <w:rPr>
          <w:rFonts w:ascii="Arial" w:hAnsi="Arial" w:cs="Arial"/>
          <w:iCs/>
          <w:sz w:val="24"/>
          <w:szCs w:val="24"/>
          <w:lang w:val="en-GB"/>
        </w:rPr>
        <w:t>,</w:t>
      </w:r>
      <w:r w:rsidR="001F0127">
        <w:rPr>
          <w:rStyle w:val="FootnoteReference"/>
          <w:rFonts w:ascii="Arial" w:hAnsi="Arial" w:cs="Arial"/>
          <w:sz w:val="24"/>
          <w:szCs w:val="24"/>
          <w:lang w:val="en-GB"/>
        </w:rPr>
        <w:footnoteReference w:id="7"/>
      </w:r>
      <w:r w:rsidR="001F0127">
        <w:rPr>
          <w:rFonts w:ascii="Arial" w:hAnsi="Arial" w:cs="Arial"/>
          <w:sz w:val="24"/>
          <w:szCs w:val="24"/>
          <w:lang w:val="en-GB"/>
        </w:rPr>
        <w:t xml:space="preserve"> where the learned Acting Deputy President, writing for the full court</w:t>
      </w:r>
      <w:r w:rsidR="001F669F">
        <w:rPr>
          <w:rFonts w:ascii="Arial" w:hAnsi="Arial" w:cs="Arial"/>
          <w:sz w:val="24"/>
          <w:szCs w:val="24"/>
          <w:lang w:val="en-GB"/>
        </w:rPr>
        <w:t>,</w:t>
      </w:r>
      <w:r w:rsidR="001F0127">
        <w:rPr>
          <w:rFonts w:ascii="Arial" w:hAnsi="Arial" w:cs="Arial"/>
          <w:sz w:val="24"/>
          <w:szCs w:val="24"/>
          <w:lang w:val="en-GB"/>
        </w:rPr>
        <w:t xml:space="preserve"> stated the legal position as follows:</w:t>
      </w:r>
    </w:p>
    <w:p w14:paraId="16AF2B6D" w14:textId="77777777" w:rsidR="001F0127" w:rsidRPr="005349DB" w:rsidRDefault="001F0127" w:rsidP="005349DB">
      <w:pPr>
        <w:spacing w:line="360" w:lineRule="auto"/>
        <w:ind w:left="720"/>
        <w:jc w:val="both"/>
        <w:rPr>
          <w:rFonts w:ascii="Arial" w:hAnsi="Arial" w:cs="Arial"/>
          <w:lang w:val="en-GB"/>
        </w:rPr>
      </w:pPr>
      <w:r w:rsidRPr="005349DB">
        <w:rPr>
          <w:rFonts w:ascii="Arial" w:hAnsi="Arial" w:cs="Arial"/>
          <w:lang w:val="en-GB"/>
        </w:rPr>
        <w:lastRenderedPageBreak/>
        <w:t xml:space="preserve">“Obviously, if a court finds dishonesty, the circumstances must be exceptional before a court will order a suspension instead of removal.  (Exceptional circumstances were found in </w:t>
      </w:r>
      <w:r w:rsidRPr="007934A2">
        <w:rPr>
          <w:rFonts w:ascii="Arial" w:hAnsi="Arial" w:cs="Arial"/>
          <w:i/>
          <w:lang w:val="en-GB"/>
        </w:rPr>
        <w:t>Summerley</w:t>
      </w:r>
      <w:r w:rsidRPr="005349DB">
        <w:rPr>
          <w:rFonts w:ascii="Arial" w:hAnsi="Arial" w:cs="Arial"/>
          <w:lang w:val="en-GB"/>
        </w:rPr>
        <w:t xml:space="preserve"> and in </w:t>
      </w:r>
      <w:r w:rsidR="007934A2">
        <w:rPr>
          <w:rFonts w:ascii="Arial" w:hAnsi="Arial" w:cs="Arial"/>
          <w:i/>
          <w:lang w:val="en-GB"/>
        </w:rPr>
        <w:t xml:space="preserve">Law Society, Cape of Good Hope </w:t>
      </w:r>
      <w:r w:rsidRPr="007934A2">
        <w:rPr>
          <w:rFonts w:ascii="Arial" w:hAnsi="Arial" w:cs="Arial"/>
          <w:i/>
          <w:lang w:val="en-GB"/>
        </w:rPr>
        <w:t>Peter</w:t>
      </w:r>
      <w:r w:rsidRPr="005349DB">
        <w:rPr>
          <w:rFonts w:ascii="Arial" w:hAnsi="Arial" w:cs="Arial"/>
          <w:lang w:val="en-GB"/>
        </w:rPr>
        <w:t xml:space="preserve"> [2006] ZASCA 37 and the </w:t>
      </w:r>
      <w:r w:rsidR="00D23BC2" w:rsidRPr="005349DB">
        <w:rPr>
          <w:rFonts w:ascii="Arial" w:hAnsi="Arial" w:cs="Arial"/>
          <w:lang w:val="en-GB"/>
        </w:rPr>
        <w:t>court</w:t>
      </w:r>
      <w:r w:rsidRPr="005349DB">
        <w:rPr>
          <w:rFonts w:ascii="Arial" w:hAnsi="Arial" w:cs="Arial"/>
          <w:lang w:val="en-GB"/>
        </w:rPr>
        <w:t xml:space="preserve"> was able in the formulation of its order in those cases to cater for the problem by requiring that the particular attorney had to satisfy the court in a future application that he or she should be permitted to practice unconditionally.) </w:t>
      </w:r>
      <w:r w:rsidR="001F669F">
        <w:rPr>
          <w:rFonts w:ascii="Arial" w:hAnsi="Arial" w:cs="Arial"/>
          <w:lang w:val="en-GB"/>
        </w:rPr>
        <w:t>W</w:t>
      </w:r>
      <w:r w:rsidRPr="005349DB">
        <w:rPr>
          <w:rFonts w:ascii="Arial" w:hAnsi="Arial" w:cs="Arial"/>
          <w:lang w:val="en-GB"/>
        </w:rPr>
        <w:t>here dishonesty has not been established the position is as set out above, namely that a court has to exercise a discretion within the parameters of the facts of the case without any preordained limitations.</w:t>
      </w:r>
    </w:p>
    <w:p w14:paraId="5921A287" w14:textId="77777777" w:rsidR="001F0127" w:rsidRDefault="001F0127" w:rsidP="005349DB">
      <w:pPr>
        <w:spacing w:line="360" w:lineRule="auto"/>
        <w:ind w:left="720"/>
        <w:jc w:val="both"/>
        <w:rPr>
          <w:rFonts w:ascii="Arial" w:hAnsi="Arial" w:cs="Arial"/>
          <w:lang w:val="en-GB"/>
        </w:rPr>
      </w:pPr>
      <w:r w:rsidRPr="005349DB">
        <w:rPr>
          <w:rFonts w:ascii="Arial" w:hAnsi="Arial" w:cs="Arial"/>
          <w:lang w:val="en-GB"/>
        </w:rPr>
        <w:t xml:space="preserve">As mentioned in </w:t>
      </w:r>
      <w:r w:rsidR="00D23BC2" w:rsidRPr="001F669F">
        <w:rPr>
          <w:rFonts w:ascii="Arial" w:hAnsi="Arial" w:cs="Arial"/>
          <w:i/>
          <w:lang w:val="en-GB"/>
        </w:rPr>
        <w:t>Summerly</w:t>
      </w:r>
      <w:r w:rsidRPr="005349DB">
        <w:rPr>
          <w:rFonts w:ascii="Arial" w:hAnsi="Arial" w:cs="Arial"/>
          <w:lang w:val="en-GB"/>
        </w:rPr>
        <w:t xml:space="preserve"> (at para 15), the fact that a court finds that an attorney is unable to administer and conduct a trust account does not mean that s</w:t>
      </w:r>
      <w:r w:rsidR="001F669F">
        <w:rPr>
          <w:rFonts w:ascii="Arial" w:hAnsi="Arial" w:cs="Arial"/>
          <w:lang w:val="en-GB"/>
        </w:rPr>
        <w:t>triking</w:t>
      </w:r>
      <w:r w:rsidRPr="005349DB">
        <w:rPr>
          <w:rFonts w:ascii="Arial" w:hAnsi="Arial" w:cs="Arial"/>
          <w:lang w:val="en-GB"/>
        </w:rPr>
        <w:t>–off should follow as a matter of course.  The converse is, however, also correct</w:t>
      </w:r>
      <w:r w:rsidR="001F669F">
        <w:rPr>
          <w:rFonts w:ascii="Arial" w:hAnsi="Arial" w:cs="Arial"/>
          <w:lang w:val="en-GB"/>
        </w:rPr>
        <w:t>:</w:t>
      </w:r>
      <w:r w:rsidRPr="005349DB">
        <w:rPr>
          <w:rFonts w:ascii="Arial" w:hAnsi="Arial" w:cs="Arial"/>
          <w:lang w:val="en-GB"/>
        </w:rPr>
        <w:t xml:space="preserve"> it does not follow that stri</w:t>
      </w:r>
      <w:r w:rsidR="005349DB" w:rsidRPr="005349DB">
        <w:rPr>
          <w:rFonts w:ascii="Arial" w:hAnsi="Arial" w:cs="Arial"/>
          <w:lang w:val="en-GB"/>
        </w:rPr>
        <w:t xml:space="preserve">king off is not an appropriate order (compare </w:t>
      </w:r>
      <w:r w:rsidR="005349DB" w:rsidRPr="001F669F">
        <w:rPr>
          <w:rFonts w:ascii="Arial" w:hAnsi="Arial" w:cs="Arial"/>
          <w:i/>
          <w:lang w:val="en-GB"/>
        </w:rPr>
        <w:t>Prokureurorder</w:t>
      </w:r>
      <w:r w:rsidR="007934A2">
        <w:rPr>
          <w:rFonts w:ascii="Arial" w:hAnsi="Arial" w:cs="Arial"/>
          <w:lang w:val="en-GB"/>
        </w:rPr>
        <w:t xml:space="preserve"> van </w:t>
      </w:r>
      <w:r w:rsidR="007934A2" w:rsidRPr="007934A2">
        <w:rPr>
          <w:rFonts w:ascii="Arial" w:hAnsi="Arial" w:cs="Arial"/>
          <w:i/>
          <w:lang w:val="en-GB"/>
        </w:rPr>
        <w:t>Transvaa</w:t>
      </w:r>
      <w:r w:rsidR="005349DB" w:rsidRPr="007934A2">
        <w:rPr>
          <w:rFonts w:ascii="Arial" w:hAnsi="Arial" w:cs="Arial"/>
          <w:i/>
          <w:lang w:val="en-GB"/>
        </w:rPr>
        <w:t xml:space="preserve">l </w:t>
      </w:r>
      <w:r w:rsidR="007934A2" w:rsidRPr="007934A2">
        <w:rPr>
          <w:rFonts w:ascii="Arial" w:hAnsi="Arial" w:cs="Arial"/>
          <w:i/>
          <w:lang w:val="en-GB"/>
        </w:rPr>
        <w:t>v</w:t>
      </w:r>
      <w:r w:rsidR="005349DB" w:rsidRPr="007934A2">
        <w:rPr>
          <w:rFonts w:ascii="Arial" w:hAnsi="Arial" w:cs="Arial"/>
          <w:i/>
          <w:lang w:val="en-GB"/>
        </w:rPr>
        <w:t xml:space="preserve"> Landsa</w:t>
      </w:r>
      <w:r w:rsidR="007934A2" w:rsidRPr="007934A2">
        <w:rPr>
          <w:rFonts w:ascii="Arial" w:hAnsi="Arial" w:cs="Arial"/>
          <w:i/>
          <w:lang w:val="en-GB"/>
        </w:rPr>
        <w:t>a</w:t>
      </w:r>
      <w:r w:rsidR="005349DB" w:rsidRPr="007934A2">
        <w:rPr>
          <w:rFonts w:ascii="Arial" w:hAnsi="Arial" w:cs="Arial"/>
          <w:i/>
          <w:lang w:val="en-GB"/>
        </w:rPr>
        <w:t>t</w:t>
      </w:r>
      <w:r w:rsidR="005349DB" w:rsidRPr="005349DB">
        <w:rPr>
          <w:rFonts w:ascii="Arial" w:hAnsi="Arial" w:cs="Arial"/>
          <w:lang w:val="en-GB"/>
        </w:rPr>
        <w:t xml:space="preserve"> 1993 (4) SA 80</w:t>
      </w:r>
      <w:r w:rsidR="007934A2">
        <w:rPr>
          <w:rFonts w:ascii="Arial" w:hAnsi="Arial" w:cs="Arial"/>
          <w:lang w:val="en-GB"/>
        </w:rPr>
        <w:t>7</w:t>
      </w:r>
      <w:r w:rsidR="005349DB" w:rsidRPr="005349DB">
        <w:rPr>
          <w:rFonts w:ascii="Arial" w:hAnsi="Arial" w:cs="Arial"/>
          <w:lang w:val="en-GB"/>
        </w:rPr>
        <w:t xml:space="preserve"> (T); </w:t>
      </w:r>
      <w:r w:rsidR="005349DB" w:rsidRPr="001F669F">
        <w:rPr>
          <w:rFonts w:ascii="Arial" w:hAnsi="Arial" w:cs="Arial"/>
          <w:i/>
          <w:lang w:val="en-GB"/>
        </w:rPr>
        <w:t>Law Society</w:t>
      </w:r>
      <w:r w:rsidR="005349DB" w:rsidRPr="005349DB">
        <w:rPr>
          <w:rFonts w:ascii="Arial" w:hAnsi="Arial" w:cs="Arial"/>
          <w:lang w:val="en-GB"/>
        </w:rPr>
        <w:t xml:space="preserve"> of the </w:t>
      </w:r>
      <w:r w:rsidR="005349DB" w:rsidRPr="00D23BC2">
        <w:rPr>
          <w:rFonts w:ascii="Arial" w:hAnsi="Arial" w:cs="Arial"/>
          <w:i/>
          <w:lang w:val="en-GB"/>
        </w:rPr>
        <w:t>Transvaal v Tloubatla</w:t>
      </w:r>
      <w:r w:rsidR="005349DB" w:rsidRPr="005349DB">
        <w:rPr>
          <w:rFonts w:ascii="Arial" w:hAnsi="Arial" w:cs="Arial"/>
          <w:lang w:val="en-GB"/>
        </w:rPr>
        <w:t xml:space="preserve"> [1999] 4 All SA 59 (T).  To the extent that the judgment in </w:t>
      </w:r>
      <w:r w:rsidR="005349DB" w:rsidRPr="00D23BC2">
        <w:rPr>
          <w:rFonts w:ascii="Arial" w:hAnsi="Arial" w:cs="Arial"/>
          <w:i/>
          <w:lang w:val="en-GB"/>
        </w:rPr>
        <w:t>Law Society of the Cape of</w:t>
      </w:r>
      <w:r w:rsidR="005349DB" w:rsidRPr="005349DB">
        <w:rPr>
          <w:rFonts w:ascii="Arial" w:hAnsi="Arial" w:cs="Arial"/>
          <w:lang w:val="en-GB"/>
        </w:rPr>
        <w:t xml:space="preserve"> </w:t>
      </w:r>
      <w:r w:rsidR="005349DB" w:rsidRPr="00D23BC2">
        <w:rPr>
          <w:rFonts w:ascii="Arial" w:hAnsi="Arial" w:cs="Arial"/>
          <w:i/>
          <w:lang w:val="en-GB"/>
        </w:rPr>
        <w:t>Good Hope v King</w:t>
      </w:r>
      <w:r w:rsidR="005349DB" w:rsidRPr="005349DB">
        <w:rPr>
          <w:rFonts w:ascii="Arial" w:hAnsi="Arial" w:cs="Arial"/>
          <w:lang w:val="en-GB"/>
        </w:rPr>
        <w:t xml:space="preserve"> 1995 (2) SA 887 (C) at 892 G 0 894C propagates an ‘enlightened approach’, requiring courts to deal with misconduct which does not involve dishonesty with (in my</w:t>
      </w:r>
      <w:r w:rsidR="00D23BC2">
        <w:rPr>
          <w:rFonts w:ascii="Arial" w:hAnsi="Arial" w:cs="Arial"/>
          <w:lang w:val="en-GB"/>
        </w:rPr>
        <w:t xml:space="preserve"> </w:t>
      </w:r>
      <w:r w:rsidR="005349DB" w:rsidRPr="005349DB">
        <w:rPr>
          <w:rFonts w:ascii="Arial" w:hAnsi="Arial" w:cs="Arial"/>
          <w:lang w:val="en-GB"/>
        </w:rPr>
        <w:t xml:space="preserve">words) </w:t>
      </w:r>
      <w:r w:rsidR="001F669F">
        <w:rPr>
          <w:rFonts w:ascii="Arial" w:hAnsi="Arial" w:cs="Arial"/>
          <w:lang w:val="en-GB"/>
        </w:rPr>
        <w:t>k</w:t>
      </w:r>
      <w:r w:rsidR="005349DB" w:rsidRPr="005349DB">
        <w:rPr>
          <w:rFonts w:ascii="Arial" w:hAnsi="Arial" w:cs="Arial"/>
          <w:lang w:val="en-GB"/>
        </w:rPr>
        <w:t>id gloves, I disagree.  In order to stem an erosion o</w:t>
      </w:r>
      <w:r w:rsidR="001F669F">
        <w:rPr>
          <w:rFonts w:ascii="Arial" w:hAnsi="Arial" w:cs="Arial"/>
          <w:lang w:val="en-GB"/>
        </w:rPr>
        <w:t>f professional ethical values a</w:t>
      </w:r>
      <w:r w:rsidR="00F4367F">
        <w:rPr>
          <w:rFonts w:ascii="Arial" w:hAnsi="Arial" w:cs="Arial"/>
          <w:lang w:val="en-GB"/>
        </w:rPr>
        <w:t xml:space="preserve"> ‘</w:t>
      </w:r>
      <w:r w:rsidR="005349DB" w:rsidRPr="005349DB">
        <w:rPr>
          <w:rFonts w:ascii="Arial" w:hAnsi="Arial" w:cs="Arial"/>
          <w:lang w:val="en-GB"/>
        </w:rPr>
        <w:t>conservative approach’</w:t>
      </w:r>
      <w:r w:rsidR="00D23BC2">
        <w:rPr>
          <w:rFonts w:ascii="Arial" w:hAnsi="Arial" w:cs="Arial"/>
          <w:lang w:val="en-GB"/>
        </w:rPr>
        <w:t xml:space="preserve"> </w:t>
      </w:r>
      <w:r w:rsidR="005349DB" w:rsidRPr="005349DB">
        <w:rPr>
          <w:rFonts w:ascii="Arial" w:hAnsi="Arial" w:cs="Arial"/>
          <w:lang w:val="en-GB"/>
        </w:rPr>
        <w:t>is more appropriate (</w:t>
      </w:r>
      <w:r w:rsidR="005349DB" w:rsidRPr="00D23BC2">
        <w:rPr>
          <w:rFonts w:ascii="Arial" w:hAnsi="Arial" w:cs="Arial"/>
          <w:i/>
          <w:lang w:val="en-GB"/>
        </w:rPr>
        <w:t xml:space="preserve">Incorporated Law Society </w:t>
      </w:r>
      <w:r w:rsidR="007908DD" w:rsidRPr="00D23BC2">
        <w:rPr>
          <w:rFonts w:ascii="Arial" w:hAnsi="Arial" w:cs="Arial"/>
          <w:i/>
          <w:lang w:val="en-GB"/>
        </w:rPr>
        <w:t>Transv</w:t>
      </w:r>
      <w:r w:rsidR="007908DD">
        <w:rPr>
          <w:rFonts w:ascii="Arial" w:hAnsi="Arial" w:cs="Arial"/>
          <w:i/>
          <w:lang w:val="en-GB"/>
        </w:rPr>
        <w:t>aal</w:t>
      </w:r>
      <w:r w:rsidR="005349DB" w:rsidRPr="00D23BC2">
        <w:rPr>
          <w:rFonts w:ascii="Arial" w:hAnsi="Arial" w:cs="Arial"/>
          <w:i/>
          <w:lang w:val="en-GB"/>
        </w:rPr>
        <w:t xml:space="preserve"> v Goldberg</w:t>
      </w:r>
      <w:r w:rsidR="005349DB" w:rsidRPr="005349DB">
        <w:rPr>
          <w:rFonts w:ascii="Arial" w:hAnsi="Arial" w:cs="Arial"/>
          <w:lang w:val="en-GB"/>
        </w:rPr>
        <w:t xml:space="preserve"> 1964 (4) SA 301 (T) at 304 A-F).”</w:t>
      </w:r>
    </w:p>
    <w:p w14:paraId="7A64FC24" w14:textId="77777777" w:rsidR="001F669F" w:rsidRPr="001F669F" w:rsidRDefault="001F669F" w:rsidP="001F669F">
      <w:pPr>
        <w:spacing w:line="360" w:lineRule="auto"/>
        <w:jc w:val="both"/>
        <w:rPr>
          <w:rFonts w:ascii="Arial" w:hAnsi="Arial" w:cs="Arial"/>
          <w:sz w:val="24"/>
          <w:szCs w:val="24"/>
          <w:lang w:val="en-GB"/>
        </w:rPr>
      </w:pPr>
      <w:r>
        <w:rPr>
          <w:rFonts w:ascii="Arial" w:hAnsi="Arial" w:cs="Arial"/>
          <w:sz w:val="24"/>
          <w:szCs w:val="24"/>
          <w:lang w:val="en-GB"/>
        </w:rPr>
        <w:t xml:space="preserve">[34] It would be inappropriate to attempt to prescribe to the applicant and even the court that will </w:t>
      </w:r>
      <w:r w:rsidR="007E7375">
        <w:rPr>
          <w:rFonts w:ascii="Arial" w:hAnsi="Arial" w:cs="Arial"/>
          <w:sz w:val="24"/>
          <w:szCs w:val="24"/>
          <w:lang w:val="en-GB"/>
        </w:rPr>
        <w:t>assess</w:t>
      </w:r>
      <w:r>
        <w:rPr>
          <w:rFonts w:ascii="Arial" w:hAnsi="Arial" w:cs="Arial"/>
          <w:sz w:val="24"/>
          <w:szCs w:val="24"/>
          <w:lang w:val="en-GB"/>
        </w:rPr>
        <w:t xml:space="preserve"> the </w:t>
      </w:r>
      <w:r w:rsidR="008C6534">
        <w:rPr>
          <w:rFonts w:ascii="Arial" w:hAnsi="Arial" w:cs="Arial"/>
          <w:sz w:val="24"/>
          <w:szCs w:val="24"/>
          <w:lang w:val="en-GB"/>
        </w:rPr>
        <w:t xml:space="preserve">respondent’s suitability to be permitted to practice again </w:t>
      </w:r>
      <w:r w:rsidR="00F4367F">
        <w:rPr>
          <w:rFonts w:ascii="Arial" w:hAnsi="Arial" w:cs="Arial"/>
          <w:sz w:val="24"/>
          <w:szCs w:val="24"/>
          <w:lang w:val="en-GB"/>
        </w:rPr>
        <w:t xml:space="preserve">after </w:t>
      </w:r>
      <w:r w:rsidR="008C6534">
        <w:rPr>
          <w:rFonts w:ascii="Arial" w:hAnsi="Arial" w:cs="Arial"/>
          <w:sz w:val="24"/>
          <w:szCs w:val="24"/>
          <w:lang w:val="en-GB"/>
        </w:rPr>
        <w:t>the hi</w:t>
      </w:r>
      <w:r w:rsidR="00F4367F">
        <w:rPr>
          <w:rFonts w:ascii="Arial" w:hAnsi="Arial" w:cs="Arial"/>
          <w:sz w:val="24"/>
          <w:szCs w:val="24"/>
          <w:lang w:val="en-GB"/>
        </w:rPr>
        <w:t>a</w:t>
      </w:r>
      <w:r w:rsidR="008C6534">
        <w:rPr>
          <w:rFonts w:ascii="Arial" w:hAnsi="Arial" w:cs="Arial"/>
          <w:sz w:val="24"/>
          <w:szCs w:val="24"/>
          <w:lang w:val="en-GB"/>
        </w:rPr>
        <w:t>t</w:t>
      </w:r>
      <w:r w:rsidR="00F4367F">
        <w:rPr>
          <w:rFonts w:ascii="Arial" w:hAnsi="Arial" w:cs="Arial"/>
          <w:sz w:val="24"/>
          <w:szCs w:val="24"/>
          <w:lang w:val="en-GB"/>
        </w:rPr>
        <w:t>u</w:t>
      </w:r>
      <w:r w:rsidR="008C6534">
        <w:rPr>
          <w:rFonts w:ascii="Arial" w:hAnsi="Arial" w:cs="Arial"/>
          <w:sz w:val="24"/>
          <w:szCs w:val="24"/>
          <w:lang w:val="en-GB"/>
        </w:rPr>
        <w:t>s following his suspension.   The facts as shall be presented by the respondent at that stage will have to be considered by the court together with the attitude of th</w:t>
      </w:r>
      <w:r w:rsidR="00F4367F">
        <w:rPr>
          <w:rFonts w:ascii="Arial" w:hAnsi="Arial" w:cs="Arial"/>
          <w:sz w:val="24"/>
          <w:szCs w:val="24"/>
          <w:lang w:val="en-GB"/>
        </w:rPr>
        <w:t>e</w:t>
      </w:r>
      <w:r w:rsidR="008C6534">
        <w:rPr>
          <w:rFonts w:ascii="Arial" w:hAnsi="Arial" w:cs="Arial"/>
          <w:sz w:val="24"/>
          <w:szCs w:val="24"/>
          <w:lang w:val="en-GB"/>
        </w:rPr>
        <w:t xml:space="preserve"> applicant </w:t>
      </w:r>
      <w:r w:rsidR="00F4367F">
        <w:rPr>
          <w:rFonts w:ascii="Arial" w:hAnsi="Arial" w:cs="Arial"/>
          <w:sz w:val="24"/>
          <w:szCs w:val="24"/>
          <w:lang w:val="en-GB"/>
        </w:rPr>
        <w:t xml:space="preserve">and the reasons therefor </w:t>
      </w:r>
      <w:r w:rsidR="008C6534">
        <w:rPr>
          <w:rFonts w:ascii="Arial" w:hAnsi="Arial" w:cs="Arial"/>
          <w:sz w:val="24"/>
          <w:szCs w:val="24"/>
          <w:lang w:val="en-GB"/>
        </w:rPr>
        <w:t>at that stage.</w:t>
      </w:r>
      <w:r w:rsidR="00F4367F">
        <w:rPr>
          <w:rFonts w:ascii="Arial" w:hAnsi="Arial" w:cs="Arial"/>
          <w:sz w:val="24"/>
          <w:szCs w:val="24"/>
          <w:lang w:val="en-GB"/>
        </w:rPr>
        <w:t xml:space="preserve">  As the court said in Malan there should be no pre-ordained limitations to the court exercising its discretion as it considers the facts before it.</w:t>
      </w:r>
    </w:p>
    <w:p w14:paraId="0F29EEE3" w14:textId="77777777" w:rsidR="007B51D5" w:rsidRDefault="007B51D5" w:rsidP="003916FF">
      <w:pPr>
        <w:spacing w:line="480" w:lineRule="auto"/>
        <w:jc w:val="both"/>
        <w:rPr>
          <w:rFonts w:ascii="Arial" w:hAnsi="Arial" w:cs="Arial"/>
          <w:sz w:val="24"/>
          <w:szCs w:val="24"/>
          <w:lang w:val="en-GB"/>
        </w:rPr>
      </w:pPr>
      <w:r>
        <w:rPr>
          <w:rFonts w:ascii="Arial" w:hAnsi="Arial" w:cs="Arial"/>
          <w:sz w:val="24"/>
          <w:szCs w:val="24"/>
          <w:lang w:val="en-GB"/>
        </w:rPr>
        <w:t>[3</w:t>
      </w:r>
      <w:r w:rsidR="008C6534">
        <w:rPr>
          <w:rFonts w:ascii="Arial" w:hAnsi="Arial" w:cs="Arial"/>
          <w:sz w:val="24"/>
          <w:szCs w:val="24"/>
          <w:lang w:val="en-GB"/>
        </w:rPr>
        <w:t>5</w:t>
      </w:r>
      <w:r>
        <w:rPr>
          <w:rFonts w:ascii="Arial" w:hAnsi="Arial" w:cs="Arial"/>
          <w:sz w:val="24"/>
          <w:szCs w:val="24"/>
          <w:lang w:val="en-GB"/>
        </w:rPr>
        <w:t>] In the result the following order shall issue:</w:t>
      </w:r>
    </w:p>
    <w:p w14:paraId="56BE2D0A" w14:textId="4942A90D" w:rsidR="007B51D5" w:rsidRDefault="007B51D5" w:rsidP="00EE5C7A">
      <w:pPr>
        <w:spacing w:line="480" w:lineRule="auto"/>
        <w:ind w:left="284" w:hanging="284"/>
        <w:jc w:val="both"/>
        <w:rPr>
          <w:rFonts w:ascii="Arial" w:hAnsi="Arial" w:cs="Arial"/>
          <w:sz w:val="24"/>
          <w:szCs w:val="24"/>
          <w:lang w:val="en-GB"/>
        </w:rPr>
      </w:pPr>
      <w:r>
        <w:rPr>
          <w:rFonts w:ascii="Arial" w:hAnsi="Arial" w:cs="Arial"/>
          <w:sz w:val="24"/>
          <w:szCs w:val="24"/>
          <w:lang w:val="en-GB"/>
        </w:rPr>
        <w:t>1. The respondent</w:t>
      </w:r>
      <w:r w:rsidR="007908DD">
        <w:rPr>
          <w:rFonts w:ascii="Arial" w:hAnsi="Arial" w:cs="Arial"/>
          <w:sz w:val="24"/>
          <w:szCs w:val="24"/>
          <w:lang w:val="en-GB"/>
        </w:rPr>
        <w:t>, Bulelani Rubushe</w:t>
      </w:r>
      <w:r w:rsidR="00593996">
        <w:rPr>
          <w:rFonts w:ascii="Arial" w:hAnsi="Arial" w:cs="Arial"/>
          <w:sz w:val="24"/>
          <w:szCs w:val="24"/>
          <w:lang w:val="en-GB"/>
        </w:rPr>
        <w:t>,</w:t>
      </w:r>
      <w:r w:rsidR="007908DD">
        <w:rPr>
          <w:rFonts w:ascii="Arial" w:hAnsi="Arial" w:cs="Arial"/>
          <w:sz w:val="24"/>
          <w:szCs w:val="24"/>
          <w:lang w:val="en-GB"/>
        </w:rPr>
        <w:t xml:space="preserve"> </w:t>
      </w:r>
      <w:r>
        <w:rPr>
          <w:rFonts w:ascii="Arial" w:hAnsi="Arial" w:cs="Arial"/>
          <w:sz w:val="24"/>
          <w:szCs w:val="24"/>
          <w:lang w:val="en-GB"/>
        </w:rPr>
        <w:t xml:space="preserve">is suspended from practising as an attorney for a period of </w:t>
      </w:r>
      <w:r w:rsidR="00404852">
        <w:rPr>
          <w:rFonts w:ascii="Arial" w:hAnsi="Arial" w:cs="Arial"/>
          <w:sz w:val="24"/>
          <w:szCs w:val="24"/>
          <w:lang w:val="en-GB"/>
        </w:rPr>
        <w:t>two years</w:t>
      </w:r>
      <w:r w:rsidR="008F4C9E">
        <w:rPr>
          <w:rFonts w:ascii="Arial" w:hAnsi="Arial" w:cs="Arial"/>
          <w:sz w:val="24"/>
          <w:szCs w:val="24"/>
          <w:lang w:val="en-GB"/>
        </w:rPr>
        <w:t>.</w:t>
      </w:r>
    </w:p>
    <w:p w14:paraId="58D2C9C6" w14:textId="77777777" w:rsidR="0073635A" w:rsidRDefault="0073635A" w:rsidP="0073635A">
      <w:pPr>
        <w:spacing w:line="480" w:lineRule="auto"/>
        <w:ind w:left="284" w:hanging="284"/>
        <w:jc w:val="both"/>
        <w:rPr>
          <w:rFonts w:ascii="Arial" w:hAnsi="Arial" w:cs="Arial"/>
          <w:sz w:val="24"/>
          <w:szCs w:val="24"/>
          <w:lang w:val="en-GB"/>
        </w:rPr>
      </w:pPr>
      <w:r>
        <w:rPr>
          <w:rFonts w:ascii="Arial" w:hAnsi="Arial" w:cs="Arial"/>
          <w:sz w:val="24"/>
          <w:szCs w:val="24"/>
          <w:lang w:val="en-GB"/>
        </w:rPr>
        <w:t>2. The respondent shall surrender and deliver to the Registrar of this Court his certificate of enrolment as an attorney within two (2) weeks from date hereof.</w:t>
      </w:r>
    </w:p>
    <w:p w14:paraId="1DD7A6E0" w14:textId="57657608" w:rsidR="00E9744C" w:rsidRDefault="0073635A" w:rsidP="00593996">
      <w:pPr>
        <w:spacing w:line="480" w:lineRule="auto"/>
        <w:ind w:left="284" w:hanging="284"/>
        <w:jc w:val="both"/>
        <w:rPr>
          <w:rFonts w:ascii="Arial" w:hAnsi="Arial" w:cs="Arial"/>
          <w:sz w:val="24"/>
          <w:szCs w:val="24"/>
          <w:lang w:val="en-GB"/>
        </w:rPr>
      </w:pPr>
      <w:r>
        <w:rPr>
          <w:rFonts w:ascii="Arial" w:hAnsi="Arial" w:cs="Arial"/>
          <w:sz w:val="24"/>
          <w:szCs w:val="24"/>
          <w:lang w:val="en-GB"/>
        </w:rPr>
        <w:lastRenderedPageBreak/>
        <w:t>3. Should the respondent fail to comply with the provisions of paragraph 2 above within two (2) weeks from date hereof, the sheriff for the district in which such certificate of enrolment is, is empowered and directed to take possession of and deliver same to the registrar of this Court.</w:t>
      </w:r>
    </w:p>
    <w:p w14:paraId="722FAB80" w14:textId="01B73F0F" w:rsidR="00FE36B5" w:rsidRDefault="00593996" w:rsidP="00FE36B5">
      <w:pPr>
        <w:spacing w:line="480" w:lineRule="auto"/>
        <w:ind w:left="284" w:hanging="284"/>
        <w:jc w:val="both"/>
        <w:rPr>
          <w:rFonts w:ascii="Arial" w:hAnsi="Arial" w:cs="Arial"/>
          <w:sz w:val="24"/>
          <w:szCs w:val="24"/>
          <w:lang w:val="en-GB"/>
        </w:rPr>
      </w:pPr>
      <w:r>
        <w:rPr>
          <w:rFonts w:ascii="Arial" w:hAnsi="Arial" w:cs="Arial"/>
          <w:sz w:val="24"/>
          <w:szCs w:val="24"/>
          <w:lang w:val="en-GB"/>
        </w:rPr>
        <w:t>4</w:t>
      </w:r>
      <w:r w:rsidR="00E9744C">
        <w:rPr>
          <w:rFonts w:ascii="Arial" w:hAnsi="Arial" w:cs="Arial"/>
          <w:sz w:val="24"/>
          <w:szCs w:val="24"/>
          <w:lang w:val="en-GB"/>
        </w:rPr>
        <w:t>. After the expiry of the suspension period</w:t>
      </w:r>
      <w:r>
        <w:rPr>
          <w:rFonts w:ascii="Arial" w:hAnsi="Arial" w:cs="Arial"/>
          <w:sz w:val="24"/>
          <w:szCs w:val="24"/>
          <w:lang w:val="en-GB"/>
        </w:rPr>
        <w:t>,</w:t>
      </w:r>
      <w:r w:rsidR="00E9744C">
        <w:rPr>
          <w:rFonts w:ascii="Arial" w:hAnsi="Arial" w:cs="Arial"/>
          <w:sz w:val="24"/>
          <w:szCs w:val="24"/>
          <w:lang w:val="en-GB"/>
        </w:rPr>
        <w:t xml:space="preserve"> and in the event that the respondent is desirous of practising as an attorney</w:t>
      </w:r>
      <w:r>
        <w:rPr>
          <w:rFonts w:ascii="Arial" w:hAnsi="Arial" w:cs="Arial"/>
          <w:sz w:val="24"/>
          <w:szCs w:val="24"/>
          <w:lang w:val="en-GB"/>
        </w:rPr>
        <w:t>,</w:t>
      </w:r>
      <w:r w:rsidR="00E9744C">
        <w:rPr>
          <w:rFonts w:ascii="Arial" w:hAnsi="Arial" w:cs="Arial"/>
          <w:sz w:val="24"/>
          <w:szCs w:val="24"/>
          <w:lang w:val="en-GB"/>
        </w:rPr>
        <w:t xml:space="preserve"> he shall make a substantive application to the High Court having jurisdiction to be permitted to practise as an attorney and shall serve such application upon the Legal Practice Council.</w:t>
      </w:r>
    </w:p>
    <w:p w14:paraId="0FC76527" w14:textId="0A5A31D4" w:rsidR="004576AF" w:rsidRDefault="00593996" w:rsidP="00593996">
      <w:pPr>
        <w:spacing w:line="480" w:lineRule="auto"/>
        <w:ind w:left="284" w:hanging="284"/>
        <w:jc w:val="both"/>
        <w:rPr>
          <w:rFonts w:ascii="Arial" w:hAnsi="Arial" w:cs="Arial"/>
          <w:sz w:val="24"/>
          <w:szCs w:val="24"/>
          <w:lang w:val="en-GB"/>
        </w:rPr>
      </w:pPr>
      <w:r>
        <w:rPr>
          <w:rFonts w:ascii="Arial" w:hAnsi="Arial" w:cs="Arial"/>
          <w:sz w:val="24"/>
          <w:szCs w:val="24"/>
          <w:lang w:val="en-GB"/>
        </w:rPr>
        <w:t>5</w:t>
      </w:r>
      <w:r w:rsidR="00166C0F">
        <w:rPr>
          <w:rFonts w:ascii="Arial" w:hAnsi="Arial" w:cs="Arial"/>
          <w:sz w:val="24"/>
          <w:szCs w:val="24"/>
          <w:lang w:val="en-GB"/>
        </w:rPr>
        <w:t xml:space="preserve">. </w:t>
      </w:r>
      <w:r>
        <w:rPr>
          <w:rFonts w:ascii="Arial" w:hAnsi="Arial" w:cs="Arial"/>
          <w:sz w:val="24"/>
          <w:szCs w:val="24"/>
          <w:lang w:val="en-GB"/>
        </w:rPr>
        <w:t>T</w:t>
      </w:r>
      <w:r w:rsidR="004D2922">
        <w:rPr>
          <w:rFonts w:ascii="Arial" w:hAnsi="Arial" w:cs="Arial"/>
          <w:sz w:val="24"/>
          <w:szCs w:val="24"/>
          <w:lang w:val="en-GB"/>
        </w:rPr>
        <w:t>he respondent is directed to pay</w:t>
      </w:r>
      <w:r>
        <w:rPr>
          <w:rFonts w:ascii="Arial" w:hAnsi="Arial" w:cs="Arial"/>
          <w:sz w:val="24"/>
          <w:szCs w:val="24"/>
          <w:lang w:val="en-GB"/>
        </w:rPr>
        <w:t xml:space="preserve"> </w:t>
      </w:r>
      <w:r w:rsidR="004D2922">
        <w:rPr>
          <w:rFonts w:ascii="Arial" w:hAnsi="Arial" w:cs="Arial"/>
          <w:sz w:val="24"/>
          <w:szCs w:val="24"/>
          <w:lang w:val="en-GB"/>
        </w:rPr>
        <w:t xml:space="preserve">the costs </w:t>
      </w:r>
      <w:r w:rsidR="004576AF">
        <w:rPr>
          <w:rFonts w:ascii="Arial" w:hAnsi="Arial" w:cs="Arial"/>
          <w:sz w:val="24"/>
          <w:szCs w:val="24"/>
          <w:lang w:val="en-GB"/>
        </w:rPr>
        <w:t>of and incidental to th</w:t>
      </w:r>
      <w:r w:rsidR="00401840">
        <w:rPr>
          <w:rFonts w:ascii="Arial" w:hAnsi="Arial" w:cs="Arial"/>
          <w:sz w:val="24"/>
          <w:szCs w:val="24"/>
          <w:lang w:val="en-GB"/>
        </w:rPr>
        <w:t>is</w:t>
      </w:r>
      <w:r w:rsidR="004576AF">
        <w:rPr>
          <w:rFonts w:ascii="Arial" w:hAnsi="Arial" w:cs="Arial"/>
          <w:sz w:val="24"/>
          <w:szCs w:val="24"/>
          <w:lang w:val="en-GB"/>
        </w:rPr>
        <w:t xml:space="preserve"> application on a scale as between attorney and client.</w:t>
      </w:r>
    </w:p>
    <w:p w14:paraId="75093E00" w14:textId="4C0ECE13" w:rsidR="00687C19" w:rsidRDefault="00593996" w:rsidP="004576AF">
      <w:pPr>
        <w:spacing w:line="480" w:lineRule="auto"/>
        <w:ind w:left="284" w:hanging="284"/>
        <w:jc w:val="both"/>
        <w:rPr>
          <w:rFonts w:ascii="Arial" w:hAnsi="Arial" w:cs="Arial"/>
          <w:sz w:val="24"/>
          <w:szCs w:val="24"/>
          <w:lang w:val="en-GB"/>
        </w:rPr>
      </w:pPr>
      <w:r>
        <w:rPr>
          <w:rFonts w:ascii="Arial" w:hAnsi="Arial" w:cs="Arial"/>
          <w:sz w:val="24"/>
          <w:szCs w:val="24"/>
          <w:lang w:val="en-GB"/>
        </w:rPr>
        <w:t>6</w:t>
      </w:r>
      <w:r w:rsidR="004576AF">
        <w:rPr>
          <w:rFonts w:ascii="Arial" w:hAnsi="Arial" w:cs="Arial"/>
          <w:sz w:val="24"/>
          <w:szCs w:val="24"/>
          <w:lang w:val="en-GB"/>
        </w:rPr>
        <w:t xml:space="preserve">. </w:t>
      </w:r>
      <w:r>
        <w:rPr>
          <w:rFonts w:ascii="Arial" w:hAnsi="Arial" w:cs="Arial"/>
          <w:sz w:val="24"/>
          <w:szCs w:val="24"/>
          <w:lang w:val="en-GB"/>
        </w:rPr>
        <w:t>T</w:t>
      </w:r>
      <w:r w:rsidR="004576AF">
        <w:rPr>
          <w:rFonts w:ascii="Arial" w:hAnsi="Arial" w:cs="Arial"/>
          <w:sz w:val="24"/>
          <w:szCs w:val="24"/>
          <w:lang w:val="en-GB"/>
        </w:rPr>
        <w:t>h</w:t>
      </w:r>
      <w:r>
        <w:rPr>
          <w:rFonts w:ascii="Arial" w:hAnsi="Arial" w:cs="Arial"/>
          <w:sz w:val="24"/>
          <w:szCs w:val="24"/>
          <w:lang w:val="en-GB"/>
        </w:rPr>
        <w:t>is</w:t>
      </w:r>
      <w:r w:rsidR="004576AF">
        <w:rPr>
          <w:rFonts w:ascii="Arial" w:hAnsi="Arial" w:cs="Arial"/>
          <w:sz w:val="24"/>
          <w:szCs w:val="24"/>
          <w:lang w:val="en-GB"/>
        </w:rPr>
        <w:t xml:space="preserve"> order </w:t>
      </w:r>
      <w:r>
        <w:rPr>
          <w:rFonts w:ascii="Arial" w:hAnsi="Arial" w:cs="Arial"/>
          <w:sz w:val="24"/>
          <w:szCs w:val="24"/>
          <w:lang w:val="en-GB"/>
        </w:rPr>
        <w:t xml:space="preserve">shall </w:t>
      </w:r>
      <w:r w:rsidR="004576AF">
        <w:rPr>
          <w:rFonts w:ascii="Arial" w:hAnsi="Arial" w:cs="Arial"/>
          <w:sz w:val="24"/>
          <w:szCs w:val="24"/>
          <w:lang w:val="en-GB"/>
        </w:rPr>
        <w:t>be served on the respondent personally at any place in the Republic of Sout</w:t>
      </w:r>
      <w:r w:rsidR="00C71810">
        <w:rPr>
          <w:rFonts w:ascii="Arial" w:hAnsi="Arial" w:cs="Arial"/>
          <w:sz w:val="24"/>
          <w:szCs w:val="24"/>
          <w:lang w:val="en-GB"/>
        </w:rPr>
        <w:t>h Africa where he may be found.</w:t>
      </w:r>
    </w:p>
    <w:p w14:paraId="23E00BEB" w14:textId="77777777" w:rsidR="004576AF" w:rsidRDefault="004576AF" w:rsidP="004576AF">
      <w:pPr>
        <w:spacing w:line="480" w:lineRule="auto"/>
        <w:jc w:val="both"/>
        <w:rPr>
          <w:rFonts w:ascii="Arial" w:hAnsi="Arial" w:cs="Arial"/>
          <w:sz w:val="24"/>
          <w:szCs w:val="24"/>
          <w:lang w:val="en-GB"/>
        </w:rPr>
      </w:pPr>
    </w:p>
    <w:p w14:paraId="65360AAA" w14:textId="77777777" w:rsidR="004576AF" w:rsidRDefault="004576AF" w:rsidP="004576AF">
      <w:pPr>
        <w:spacing w:line="480" w:lineRule="auto"/>
        <w:jc w:val="both"/>
        <w:rPr>
          <w:rFonts w:ascii="Arial" w:hAnsi="Arial" w:cs="Arial"/>
          <w:b/>
          <w:sz w:val="24"/>
          <w:szCs w:val="24"/>
          <w:lang w:val="en-GB"/>
        </w:rPr>
      </w:pPr>
      <w:r>
        <w:rPr>
          <w:rFonts w:ascii="Arial" w:hAnsi="Arial" w:cs="Arial"/>
          <w:b/>
          <w:sz w:val="24"/>
          <w:szCs w:val="24"/>
          <w:lang w:val="en-GB"/>
        </w:rPr>
        <w:t>___________________</w:t>
      </w:r>
    </w:p>
    <w:p w14:paraId="654402DB" w14:textId="77777777" w:rsidR="004576AF" w:rsidRDefault="004576AF" w:rsidP="004576AF">
      <w:pPr>
        <w:spacing w:line="480" w:lineRule="auto"/>
        <w:jc w:val="both"/>
        <w:rPr>
          <w:rFonts w:ascii="Arial" w:hAnsi="Arial" w:cs="Arial"/>
          <w:b/>
          <w:sz w:val="24"/>
          <w:szCs w:val="24"/>
          <w:lang w:val="en-GB"/>
        </w:rPr>
      </w:pPr>
      <w:r>
        <w:rPr>
          <w:rFonts w:ascii="Arial" w:hAnsi="Arial" w:cs="Arial"/>
          <w:b/>
          <w:sz w:val="24"/>
          <w:szCs w:val="24"/>
          <w:lang w:val="en-GB"/>
        </w:rPr>
        <w:t>M.S. JOLWANA</w:t>
      </w:r>
    </w:p>
    <w:p w14:paraId="7D2E895C" w14:textId="77777777" w:rsidR="004576AF" w:rsidRPr="004576AF" w:rsidRDefault="004576AF" w:rsidP="004576AF">
      <w:pPr>
        <w:spacing w:line="480" w:lineRule="auto"/>
        <w:jc w:val="both"/>
        <w:rPr>
          <w:rFonts w:ascii="Arial" w:hAnsi="Arial" w:cs="Arial"/>
          <w:b/>
          <w:sz w:val="24"/>
          <w:szCs w:val="24"/>
          <w:lang w:val="en-GB"/>
        </w:rPr>
      </w:pPr>
      <w:r>
        <w:rPr>
          <w:rFonts w:ascii="Arial" w:hAnsi="Arial" w:cs="Arial"/>
          <w:b/>
          <w:sz w:val="24"/>
          <w:szCs w:val="24"/>
          <w:lang w:val="en-GB"/>
        </w:rPr>
        <w:t>JUDGE OF THE HIGH COURT</w:t>
      </w:r>
    </w:p>
    <w:p w14:paraId="7D588DA6" w14:textId="77777777" w:rsidR="008C34AB" w:rsidRDefault="008C34AB" w:rsidP="008C34AB">
      <w:pPr>
        <w:spacing w:line="480" w:lineRule="auto"/>
        <w:jc w:val="both"/>
        <w:rPr>
          <w:rFonts w:ascii="Arial" w:hAnsi="Arial" w:cs="Arial"/>
          <w:sz w:val="24"/>
          <w:szCs w:val="24"/>
          <w:lang w:val="en-GB"/>
        </w:rPr>
      </w:pPr>
    </w:p>
    <w:p w14:paraId="493F03A1" w14:textId="77777777" w:rsidR="008C34AB" w:rsidRDefault="008C34AB" w:rsidP="008C34AB">
      <w:pPr>
        <w:spacing w:line="480" w:lineRule="auto"/>
        <w:jc w:val="both"/>
        <w:rPr>
          <w:rFonts w:ascii="Arial" w:hAnsi="Arial" w:cs="Arial"/>
          <w:sz w:val="24"/>
          <w:szCs w:val="24"/>
          <w:lang w:val="en-GB"/>
        </w:rPr>
      </w:pPr>
      <w:r>
        <w:rPr>
          <w:rFonts w:ascii="Arial" w:hAnsi="Arial" w:cs="Arial"/>
          <w:sz w:val="24"/>
          <w:szCs w:val="24"/>
          <w:lang w:val="en-GB"/>
        </w:rPr>
        <w:t>I agree:</w:t>
      </w:r>
    </w:p>
    <w:p w14:paraId="117B07BD" w14:textId="77777777" w:rsidR="008C34AB" w:rsidRDefault="008C34AB" w:rsidP="008C34AB">
      <w:pPr>
        <w:spacing w:line="480" w:lineRule="auto"/>
        <w:jc w:val="both"/>
        <w:rPr>
          <w:rFonts w:ascii="Arial" w:hAnsi="Arial" w:cs="Arial"/>
          <w:sz w:val="24"/>
          <w:szCs w:val="24"/>
          <w:lang w:val="en-GB"/>
        </w:rPr>
      </w:pPr>
    </w:p>
    <w:p w14:paraId="37E4A5BE" w14:textId="77777777" w:rsidR="008C34AB" w:rsidRDefault="008C34AB" w:rsidP="008C34AB">
      <w:pPr>
        <w:spacing w:line="480" w:lineRule="auto"/>
        <w:jc w:val="both"/>
        <w:rPr>
          <w:rFonts w:ascii="Arial" w:hAnsi="Arial" w:cs="Arial"/>
          <w:b/>
          <w:sz w:val="24"/>
          <w:szCs w:val="24"/>
          <w:lang w:val="en-GB"/>
        </w:rPr>
      </w:pPr>
      <w:r>
        <w:rPr>
          <w:rFonts w:ascii="Arial" w:hAnsi="Arial" w:cs="Arial"/>
          <w:b/>
          <w:sz w:val="24"/>
          <w:szCs w:val="24"/>
          <w:lang w:val="en-GB"/>
        </w:rPr>
        <w:t>_________________________</w:t>
      </w:r>
    </w:p>
    <w:p w14:paraId="59B739D2" w14:textId="77777777" w:rsidR="008C34AB" w:rsidRPr="009C65AC" w:rsidRDefault="008C34AB" w:rsidP="008C34AB">
      <w:pPr>
        <w:pStyle w:val="ListParagraph"/>
        <w:numPr>
          <w:ilvl w:val="0"/>
          <w:numId w:val="4"/>
        </w:numPr>
        <w:spacing w:line="480" w:lineRule="auto"/>
        <w:ind w:left="284" w:hanging="284"/>
        <w:jc w:val="both"/>
        <w:rPr>
          <w:rFonts w:ascii="Arial" w:hAnsi="Arial" w:cs="Arial"/>
          <w:b/>
          <w:sz w:val="24"/>
          <w:szCs w:val="24"/>
          <w:lang w:val="en-GB"/>
        </w:rPr>
      </w:pPr>
      <w:r w:rsidRPr="009C65AC">
        <w:rPr>
          <w:rFonts w:ascii="Arial" w:hAnsi="Arial" w:cs="Arial"/>
          <w:b/>
          <w:sz w:val="24"/>
          <w:szCs w:val="24"/>
          <w:lang w:val="en-GB"/>
        </w:rPr>
        <w:t>GOVINDJEE</w:t>
      </w:r>
    </w:p>
    <w:p w14:paraId="65321849" w14:textId="77777777" w:rsidR="008C34AB" w:rsidRPr="00B236DB" w:rsidRDefault="008C34AB" w:rsidP="008C34AB">
      <w:pPr>
        <w:spacing w:line="480" w:lineRule="auto"/>
        <w:jc w:val="both"/>
        <w:rPr>
          <w:rFonts w:ascii="Arial" w:hAnsi="Arial" w:cs="Arial"/>
          <w:b/>
          <w:sz w:val="24"/>
          <w:szCs w:val="24"/>
          <w:lang w:val="en-GB"/>
        </w:rPr>
      </w:pPr>
      <w:r>
        <w:rPr>
          <w:rFonts w:ascii="Arial" w:hAnsi="Arial" w:cs="Arial"/>
          <w:b/>
          <w:sz w:val="24"/>
          <w:szCs w:val="24"/>
          <w:lang w:val="en-GB"/>
        </w:rPr>
        <w:t>JUDGE OF THE HIGH COURT</w:t>
      </w:r>
    </w:p>
    <w:p w14:paraId="49A51AB0" w14:textId="7C7961BD" w:rsidR="00C87279" w:rsidRDefault="00C87279" w:rsidP="00E73855">
      <w:pPr>
        <w:jc w:val="both"/>
        <w:rPr>
          <w:rFonts w:ascii="Arial" w:hAnsi="Arial" w:cs="Arial"/>
          <w:sz w:val="24"/>
          <w:szCs w:val="24"/>
          <w:lang w:val="en-GB"/>
        </w:rPr>
      </w:pPr>
    </w:p>
    <w:p w14:paraId="10B0A673" w14:textId="14B25F7A" w:rsidR="00C87279" w:rsidRPr="00C87279" w:rsidRDefault="00C87279" w:rsidP="00C87279">
      <w:pPr>
        <w:widowControl w:val="0"/>
        <w:rPr>
          <w:rFonts w:ascii="Arial" w:hAnsi="Arial" w:cs="Arial"/>
          <w:b/>
          <w:spacing w:val="14"/>
          <w:kern w:val="2"/>
          <w:sz w:val="24"/>
          <w:szCs w:val="24"/>
          <w:lang w:val="en-GB"/>
        </w:rPr>
      </w:pPr>
      <w:r w:rsidRPr="00C87279">
        <w:rPr>
          <w:rFonts w:ascii="Arial" w:hAnsi="Arial" w:cs="Arial"/>
          <w:b/>
          <w:spacing w:val="14"/>
          <w:kern w:val="2"/>
          <w:sz w:val="24"/>
          <w:szCs w:val="24"/>
          <w:lang w:val="en-GB"/>
        </w:rPr>
        <w:t>Heard:24 March 2022</w:t>
      </w:r>
    </w:p>
    <w:p w14:paraId="63EE542E" w14:textId="77777777" w:rsidR="00C87279" w:rsidRPr="00C87279" w:rsidRDefault="00C87279" w:rsidP="00C87279">
      <w:pPr>
        <w:widowControl w:val="0"/>
        <w:rPr>
          <w:rFonts w:ascii="Arial" w:hAnsi="Arial" w:cs="Arial"/>
          <w:b/>
          <w:spacing w:val="14"/>
          <w:kern w:val="2"/>
          <w:sz w:val="24"/>
          <w:szCs w:val="24"/>
          <w:lang w:val="en-GB"/>
        </w:rPr>
      </w:pPr>
      <w:r w:rsidRPr="00C87279">
        <w:rPr>
          <w:rFonts w:ascii="Arial" w:hAnsi="Arial" w:cs="Arial"/>
          <w:b/>
          <w:spacing w:val="14"/>
          <w:kern w:val="2"/>
          <w:sz w:val="24"/>
          <w:szCs w:val="24"/>
          <w:lang w:val="en-GB"/>
        </w:rPr>
        <w:t>Delivered:07 June 2022</w:t>
      </w:r>
    </w:p>
    <w:p w14:paraId="78DDF4EA" w14:textId="60B95A34" w:rsidR="00C87279" w:rsidRDefault="00C87279" w:rsidP="00E73855">
      <w:pPr>
        <w:jc w:val="both"/>
        <w:rPr>
          <w:rFonts w:ascii="Arial" w:hAnsi="Arial" w:cs="Arial"/>
          <w:sz w:val="24"/>
          <w:szCs w:val="24"/>
          <w:lang w:val="en-GB"/>
        </w:rPr>
      </w:pPr>
    </w:p>
    <w:p w14:paraId="6F321A28" w14:textId="77777777" w:rsidR="00C87279" w:rsidRDefault="00C87279" w:rsidP="00E73855">
      <w:pPr>
        <w:jc w:val="both"/>
        <w:rPr>
          <w:rFonts w:ascii="Arial" w:hAnsi="Arial" w:cs="Arial"/>
          <w:sz w:val="24"/>
          <w:szCs w:val="24"/>
          <w:lang w:val="en-GB"/>
        </w:rPr>
      </w:pPr>
    </w:p>
    <w:p w14:paraId="6F931C57" w14:textId="77777777" w:rsidR="00C87279" w:rsidRDefault="00C87279" w:rsidP="00E73855">
      <w:pPr>
        <w:jc w:val="both"/>
        <w:rPr>
          <w:rFonts w:ascii="Arial" w:hAnsi="Arial" w:cs="Arial"/>
          <w:sz w:val="24"/>
          <w:szCs w:val="24"/>
          <w:lang w:val="en-GB"/>
        </w:rPr>
      </w:pPr>
    </w:p>
    <w:p w14:paraId="517458C5" w14:textId="40BEB784" w:rsidR="00E73855" w:rsidRPr="00E73855" w:rsidRDefault="00E73855" w:rsidP="00E73855">
      <w:pPr>
        <w:jc w:val="both"/>
        <w:rPr>
          <w:rFonts w:ascii="Arial" w:hAnsi="Arial" w:cs="Arial"/>
          <w:sz w:val="24"/>
          <w:szCs w:val="24"/>
          <w:lang w:val="en-GB"/>
        </w:rPr>
      </w:pPr>
      <w:r w:rsidRPr="00E73855">
        <w:rPr>
          <w:rFonts w:ascii="Arial" w:hAnsi="Arial" w:cs="Arial"/>
          <w:sz w:val="24"/>
          <w:szCs w:val="24"/>
          <w:lang w:val="en-GB"/>
        </w:rPr>
        <w:t>Appearances:</w:t>
      </w:r>
    </w:p>
    <w:p w14:paraId="777E700E" w14:textId="77777777" w:rsidR="00E73855" w:rsidRPr="00E73855" w:rsidRDefault="00E73855" w:rsidP="00E73855">
      <w:pPr>
        <w:jc w:val="both"/>
        <w:rPr>
          <w:rFonts w:ascii="Arial" w:hAnsi="Arial" w:cs="Arial"/>
          <w:sz w:val="24"/>
          <w:szCs w:val="24"/>
          <w:lang w:val="en-GB"/>
        </w:rPr>
      </w:pPr>
    </w:p>
    <w:p w14:paraId="489DB7E8" w14:textId="2C66D69A" w:rsidR="00E73855" w:rsidRPr="00E73855" w:rsidRDefault="00E73855" w:rsidP="00E73855">
      <w:pPr>
        <w:tabs>
          <w:tab w:val="left" w:pos="3261"/>
          <w:tab w:val="center" w:pos="4003"/>
        </w:tabs>
        <w:jc w:val="both"/>
        <w:rPr>
          <w:rFonts w:ascii="Arial" w:hAnsi="Arial" w:cs="Arial"/>
          <w:sz w:val="24"/>
          <w:szCs w:val="24"/>
        </w:rPr>
      </w:pPr>
      <w:r w:rsidRPr="00E73855">
        <w:rPr>
          <w:rFonts w:ascii="Arial" w:hAnsi="Arial" w:cs="Arial"/>
          <w:sz w:val="24"/>
          <w:szCs w:val="24"/>
        </w:rPr>
        <w:t>Applicant’s Counsel:</w:t>
      </w:r>
      <w:r w:rsidRPr="00E73855">
        <w:rPr>
          <w:rFonts w:ascii="Arial" w:hAnsi="Arial" w:cs="Arial"/>
          <w:sz w:val="24"/>
          <w:szCs w:val="24"/>
        </w:rPr>
        <w:tab/>
        <w:t xml:space="preserve">Adv </w:t>
      </w:r>
      <w:r>
        <w:rPr>
          <w:rFonts w:ascii="Arial" w:hAnsi="Arial" w:cs="Arial"/>
          <w:sz w:val="24"/>
          <w:szCs w:val="24"/>
        </w:rPr>
        <w:t>K</w:t>
      </w:r>
      <w:r w:rsidRPr="00E73855">
        <w:rPr>
          <w:rFonts w:ascii="Arial" w:hAnsi="Arial" w:cs="Arial"/>
          <w:sz w:val="24"/>
          <w:szCs w:val="24"/>
        </w:rPr>
        <w:t xml:space="preserve">. </w:t>
      </w:r>
      <w:r>
        <w:rPr>
          <w:rFonts w:ascii="Arial" w:hAnsi="Arial" w:cs="Arial"/>
          <w:sz w:val="24"/>
          <w:szCs w:val="24"/>
        </w:rPr>
        <w:t>Watt</w:t>
      </w:r>
      <w:r w:rsidRPr="00E73855">
        <w:rPr>
          <w:rFonts w:ascii="Arial" w:hAnsi="Arial" w:cs="Arial"/>
          <w:sz w:val="24"/>
          <w:szCs w:val="24"/>
        </w:rPr>
        <w:t xml:space="preserve"> </w:t>
      </w:r>
    </w:p>
    <w:p w14:paraId="65A50BA2" w14:textId="2E40759D" w:rsidR="00E73855" w:rsidRPr="00E73855" w:rsidRDefault="00E73855" w:rsidP="00E73855">
      <w:pPr>
        <w:tabs>
          <w:tab w:val="left" w:pos="3261"/>
          <w:tab w:val="center" w:pos="4003"/>
        </w:tabs>
        <w:jc w:val="both"/>
        <w:rPr>
          <w:rFonts w:ascii="Arial" w:hAnsi="Arial" w:cs="Arial"/>
          <w:sz w:val="24"/>
          <w:szCs w:val="24"/>
        </w:rPr>
      </w:pPr>
      <w:r w:rsidRPr="00E73855">
        <w:rPr>
          <w:rFonts w:ascii="Arial" w:hAnsi="Arial" w:cs="Arial"/>
          <w:sz w:val="24"/>
          <w:szCs w:val="24"/>
        </w:rPr>
        <w:tab/>
      </w:r>
      <w:r>
        <w:rPr>
          <w:rFonts w:ascii="Arial" w:hAnsi="Arial" w:cs="Arial"/>
          <w:sz w:val="24"/>
          <w:szCs w:val="24"/>
        </w:rPr>
        <w:t xml:space="preserve">St George’s </w:t>
      </w:r>
      <w:r w:rsidRPr="00E73855">
        <w:rPr>
          <w:rFonts w:ascii="Arial" w:hAnsi="Arial" w:cs="Arial"/>
          <w:sz w:val="24"/>
          <w:szCs w:val="24"/>
        </w:rPr>
        <w:t xml:space="preserve">Chambers in </w:t>
      </w:r>
      <w:r>
        <w:rPr>
          <w:rFonts w:ascii="Arial" w:hAnsi="Arial" w:cs="Arial"/>
          <w:sz w:val="24"/>
          <w:szCs w:val="24"/>
        </w:rPr>
        <w:t>Makhanda</w:t>
      </w:r>
    </w:p>
    <w:p w14:paraId="07BC2337" w14:textId="77777777" w:rsidR="00E73855" w:rsidRPr="00E73855" w:rsidRDefault="00E73855" w:rsidP="00E73855">
      <w:pPr>
        <w:tabs>
          <w:tab w:val="left" w:pos="3261"/>
          <w:tab w:val="center" w:pos="4003"/>
        </w:tabs>
        <w:jc w:val="both"/>
        <w:rPr>
          <w:rFonts w:ascii="Arial" w:hAnsi="Arial" w:cs="Arial"/>
          <w:sz w:val="24"/>
          <w:szCs w:val="24"/>
        </w:rPr>
      </w:pPr>
    </w:p>
    <w:p w14:paraId="579FB4E5" w14:textId="5FBDDECD" w:rsidR="00E73855" w:rsidRPr="00E73855" w:rsidRDefault="00E73855" w:rsidP="00E73855">
      <w:pPr>
        <w:tabs>
          <w:tab w:val="left" w:pos="3261"/>
          <w:tab w:val="center" w:pos="4003"/>
        </w:tabs>
        <w:jc w:val="both"/>
        <w:rPr>
          <w:rFonts w:ascii="Arial" w:hAnsi="Arial" w:cs="Arial"/>
          <w:sz w:val="24"/>
          <w:szCs w:val="24"/>
        </w:rPr>
      </w:pPr>
      <w:r>
        <w:rPr>
          <w:rFonts w:ascii="Arial" w:hAnsi="Arial" w:cs="Arial"/>
          <w:sz w:val="24"/>
          <w:szCs w:val="24"/>
        </w:rPr>
        <w:t>Respondent’s Counsel</w:t>
      </w:r>
      <w:r w:rsidRPr="00E73855">
        <w:rPr>
          <w:rFonts w:ascii="Arial" w:hAnsi="Arial" w:cs="Arial"/>
          <w:sz w:val="24"/>
          <w:szCs w:val="24"/>
        </w:rPr>
        <w:t xml:space="preserve">:      </w:t>
      </w:r>
      <w:r>
        <w:rPr>
          <w:rFonts w:ascii="Arial" w:hAnsi="Arial" w:cs="Arial"/>
          <w:sz w:val="24"/>
          <w:szCs w:val="24"/>
        </w:rPr>
        <w:tab/>
        <w:t>No appearance</w:t>
      </w:r>
    </w:p>
    <w:p w14:paraId="7B81DB95" w14:textId="7BEBA3B3" w:rsidR="00E73855" w:rsidRPr="00E73855" w:rsidRDefault="00E73855" w:rsidP="00E73855">
      <w:pPr>
        <w:tabs>
          <w:tab w:val="left" w:pos="3261"/>
          <w:tab w:val="center" w:pos="4003"/>
        </w:tabs>
        <w:jc w:val="both"/>
        <w:rPr>
          <w:rFonts w:ascii="Arial" w:hAnsi="Arial" w:cs="Arial"/>
          <w:sz w:val="24"/>
          <w:szCs w:val="24"/>
        </w:rPr>
      </w:pPr>
      <w:r w:rsidRPr="00E73855">
        <w:rPr>
          <w:rFonts w:ascii="Arial" w:hAnsi="Arial" w:cs="Arial"/>
          <w:sz w:val="24"/>
          <w:szCs w:val="24"/>
        </w:rPr>
        <w:tab/>
      </w:r>
    </w:p>
    <w:p w14:paraId="3FD1EF8B" w14:textId="77777777" w:rsidR="00E73855" w:rsidRPr="00E73855" w:rsidRDefault="00E73855" w:rsidP="00E73855">
      <w:pPr>
        <w:tabs>
          <w:tab w:val="left" w:pos="3261"/>
          <w:tab w:val="center" w:pos="4003"/>
        </w:tabs>
        <w:jc w:val="both"/>
        <w:rPr>
          <w:rFonts w:ascii="Arial" w:hAnsi="Arial" w:cs="Arial"/>
          <w:sz w:val="24"/>
          <w:szCs w:val="24"/>
        </w:rPr>
      </w:pPr>
    </w:p>
    <w:sectPr w:rsidR="00E73855" w:rsidRPr="00E7385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ED424" w14:textId="77777777" w:rsidR="000F5C0D" w:rsidRDefault="000F5C0D" w:rsidP="00D4284E">
      <w:pPr>
        <w:spacing w:after="0" w:line="240" w:lineRule="auto"/>
      </w:pPr>
      <w:r>
        <w:separator/>
      </w:r>
    </w:p>
  </w:endnote>
  <w:endnote w:type="continuationSeparator" w:id="0">
    <w:p w14:paraId="40F581B3" w14:textId="77777777" w:rsidR="000F5C0D" w:rsidRDefault="000F5C0D" w:rsidP="00D42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895004"/>
      <w:docPartObj>
        <w:docPartGallery w:val="Page Numbers (Bottom of Page)"/>
        <w:docPartUnique/>
      </w:docPartObj>
    </w:sdtPr>
    <w:sdtEndPr>
      <w:rPr>
        <w:noProof/>
      </w:rPr>
    </w:sdtEndPr>
    <w:sdtContent>
      <w:p w14:paraId="353200D5" w14:textId="7CC6AD4C" w:rsidR="00E15F09" w:rsidRDefault="00E15F09">
        <w:pPr>
          <w:pStyle w:val="Footer"/>
          <w:jc w:val="right"/>
        </w:pPr>
        <w:r>
          <w:fldChar w:fldCharType="begin"/>
        </w:r>
        <w:r>
          <w:instrText xml:space="preserve"> PAGE   \* MERGEFORMAT </w:instrText>
        </w:r>
        <w:r>
          <w:fldChar w:fldCharType="separate"/>
        </w:r>
        <w:r w:rsidR="0076067D">
          <w:rPr>
            <w:noProof/>
          </w:rPr>
          <w:t>1</w:t>
        </w:r>
        <w:r>
          <w:rPr>
            <w:noProof/>
          </w:rPr>
          <w:fldChar w:fldCharType="end"/>
        </w:r>
      </w:p>
    </w:sdtContent>
  </w:sdt>
  <w:p w14:paraId="5A56C66A" w14:textId="77777777" w:rsidR="00E15F09" w:rsidRDefault="00E15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02C0A" w14:textId="77777777" w:rsidR="000F5C0D" w:rsidRDefault="000F5C0D" w:rsidP="00D4284E">
      <w:pPr>
        <w:spacing w:after="0" w:line="240" w:lineRule="auto"/>
      </w:pPr>
      <w:r>
        <w:separator/>
      </w:r>
    </w:p>
  </w:footnote>
  <w:footnote w:type="continuationSeparator" w:id="0">
    <w:p w14:paraId="2105245A" w14:textId="77777777" w:rsidR="000F5C0D" w:rsidRDefault="000F5C0D" w:rsidP="00D4284E">
      <w:pPr>
        <w:spacing w:after="0" w:line="240" w:lineRule="auto"/>
      </w:pPr>
      <w:r>
        <w:continuationSeparator/>
      </w:r>
    </w:p>
  </w:footnote>
  <w:footnote w:id="1">
    <w:p w14:paraId="45DFD8F0" w14:textId="77777777" w:rsidR="00E15F09" w:rsidRPr="00D4284E" w:rsidRDefault="00E15F09">
      <w:pPr>
        <w:pStyle w:val="FootnoteText"/>
        <w:rPr>
          <w:lang w:val="en-US"/>
        </w:rPr>
      </w:pPr>
      <w:r>
        <w:rPr>
          <w:rStyle w:val="FootnoteReference"/>
        </w:rPr>
        <w:footnoteRef/>
      </w:r>
      <w:r>
        <w:t xml:space="preserve"> </w:t>
      </w:r>
      <w:r>
        <w:rPr>
          <w:i/>
          <w:lang w:val="en-US"/>
        </w:rPr>
        <w:t xml:space="preserve">Mfengwana v Road Accident Fund </w:t>
      </w:r>
      <w:r>
        <w:rPr>
          <w:lang w:val="en-US"/>
        </w:rPr>
        <w:t xml:space="preserve">2017 (5) SA 445 </w:t>
      </w:r>
      <w:r w:rsidR="00E36C00">
        <w:rPr>
          <w:lang w:val="en-US"/>
        </w:rPr>
        <w:t xml:space="preserve">(ECG) </w:t>
      </w:r>
      <w:r>
        <w:rPr>
          <w:lang w:val="en-US"/>
        </w:rPr>
        <w:t>at 454 para 27.</w:t>
      </w:r>
    </w:p>
  </w:footnote>
  <w:footnote w:id="2">
    <w:p w14:paraId="37924F52" w14:textId="77777777" w:rsidR="00E15F09" w:rsidRDefault="00E15F09">
      <w:pPr>
        <w:pStyle w:val="FootnoteText"/>
        <w:rPr>
          <w:lang w:val="en-US"/>
        </w:rPr>
      </w:pPr>
      <w:r>
        <w:rPr>
          <w:rStyle w:val="FootnoteReference"/>
        </w:rPr>
        <w:footnoteRef/>
      </w:r>
      <w:r>
        <w:t xml:space="preserve"> </w:t>
      </w:r>
      <w:r>
        <w:rPr>
          <w:lang w:val="en-US"/>
        </w:rPr>
        <w:t>Section 4 of the Contingency Fees Act 66 of 1997 provides:</w:t>
      </w:r>
    </w:p>
    <w:p w14:paraId="02F9D85B" w14:textId="77777777" w:rsidR="00C85F46" w:rsidRDefault="00C85F46" w:rsidP="00C85F46">
      <w:pPr>
        <w:pStyle w:val="FootnoteText"/>
        <w:numPr>
          <w:ilvl w:val="0"/>
          <w:numId w:val="1"/>
        </w:numPr>
        <w:rPr>
          <w:lang w:val="en-US"/>
        </w:rPr>
      </w:pPr>
      <w:r>
        <w:rPr>
          <w:lang w:val="en-US"/>
        </w:rPr>
        <w:t xml:space="preserve">Any offer of settlement made to any party who has entered into a contingency fees agreement, </w:t>
      </w:r>
      <w:r w:rsidR="00A96FE4">
        <w:rPr>
          <w:lang w:val="en-US"/>
        </w:rPr>
        <w:t>ma</w:t>
      </w:r>
      <w:r>
        <w:rPr>
          <w:lang w:val="en-US"/>
        </w:rPr>
        <w:t>y be accepted after the legal practitioner has filed an affidavit with the court, if the matter is before court, or has filed an affidavit with the professional controlling body, if the matt</w:t>
      </w:r>
      <w:r w:rsidR="00A96FE4">
        <w:rPr>
          <w:lang w:val="en-US"/>
        </w:rPr>
        <w:t>er is not before court, stating-</w:t>
      </w:r>
    </w:p>
    <w:p w14:paraId="45EDCD30" w14:textId="77777777" w:rsidR="00C85F46" w:rsidRDefault="00C85F46" w:rsidP="00C85F46">
      <w:pPr>
        <w:pStyle w:val="FootnoteText"/>
        <w:numPr>
          <w:ilvl w:val="0"/>
          <w:numId w:val="2"/>
        </w:numPr>
        <w:rPr>
          <w:lang w:val="en-US"/>
        </w:rPr>
      </w:pPr>
      <w:r>
        <w:rPr>
          <w:lang w:val="en-US"/>
        </w:rPr>
        <w:t>the full terms of the settlement;</w:t>
      </w:r>
    </w:p>
    <w:p w14:paraId="4EE571C5" w14:textId="77777777" w:rsidR="00C85F46" w:rsidRDefault="00C85F46" w:rsidP="00C85F46">
      <w:pPr>
        <w:pStyle w:val="FootnoteText"/>
        <w:numPr>
          <w:ilvl w:val="0"/>
          <w:numId w:val="2"/>
        </w:numPr>
        <w:rPr>
          <w:lang w:val="en-US"/>
        </w:rPr>
      </w:pPr>
      <w:r>
        <w:rPr>
          <w:lang w:val="en-US"/>
        </w:rPr>
        <w:t>an estimate of the amount or other relief that may be obtained by taking the matter to trial;</w:t>
      </w:r>
    </w:p>
    <w:p w14:paraId="534A8069" w14:textId="77777777" w:rsidR="00C85F46" w:rsidRDefault="00C85F46" w:rsidP="00C85F46">
      <w:pPr>
        <w:pStyle w:val="FootnoteText"/>
        <w:numPr>
          <w:ilvl w:val="0"/>
          <w:numId w:val="2"/>
        </w:numPr>
        <w:rPr>
          <w:lang w:val="en-US"/>
        </w:rPr>
      </w:pPr>
      <w:r>
        <w:rPr>
          <w:lang w:val="en-US"/>
        </w:rPr>
        <w:t xml:space="preserve">an estimate of the </w:t>
      </w:r>
      <w:r w:rsidR="00A96FE4">
        <w:rPr>
          <w:lang w:val="en-US"/>
        </w:rPr>
        <w:t>chances of success or failure at trial;</w:t>
      </w:r>
    </w:p>
    <w:p w14:paraId="6C2D20EC" w14:textId="77777777" w:rsidR="00C85F46" w:rsidRDefault="00C85F46" w:rsidP="00C85F46">
      <w:pPr>
        <w:pStyle w:val="FootnoteText"/>
        <w:numPr>
          <w:ilvl w:val="0"/>
          <w:numId w:val="2"/>
        </w:numPr>
        <w:rPr>
          <w:lang w:val="en-US"/>
        </w:rPr>
      </w:pPr>
      <w:r>
        <w:rPr>
          <w:lang w:val="en-US"/>
        </w:rPr>
        <w:t>an outline of the legal practitioner’s fees if the matter is settled as compared to taking the matter to trial;</w:t>
      </w:r>
    </w:p>
    <w:p w14:paraId="1A54E357" w14:textId="77777777" w:rsidR="00C85F46" w:rsidRDefault="00C85F46" w:rsidP="00C85F46">
      <w:pPr>
        <w:pStyle w:val="FootnoteText"/>
        <w:numPr>
          <w:ilvl w:val="0"/>
          <w:numId w:val="2"/>
        </w:numPr>
        <w:rPr>
          <w:lang w:val="en-US"/>
        </w:rPr>
      </w:pPr>
      <w:r>
        <w:rPr>
          <w:lang w:val="en-US"/>
        </w:rPr>
        <w:t>the reasons why the settlement is recommended;</w:t>
      </w:r>
    </w:p>
    <w:p w14:paraId="45A23FC5" w14:textId="77777777" w:rsidR="00C85F46" w:rsidRDefault="00C85F46" w:rsidP="00C85F46">
      <w:pPr>
        <w:pStyle w:val="FootnoteText"/>
        <w:numPr>
          <w:ilvl w:val="0"/>
          <w:numId w:val="2"/>
        </w:numPr>
        <w:rPr>
          <w:lang w:val="en-US"/>
        </w:rPr>
      </w:pPr>
      <w:r>
        <w:rPr>
          <w:lang w:val="en-US"/>
        </w:rPr>
        <w:t>that the matters contemplated in paragraphs (a) to (e) were explained to the client, and the steps taken to ensure that the client understands the explanation; and</w:t>
      </w:r>
    </w:p>
    <w:p w14:paraId="7C75471F" w14:textId="77777777" w:rsidR="00C85F46" w:rsidRDefault="00C85F46" w:rsidP="00C85F46">
      <w:pPr>
        <w:pStyle w:val="FootnoteText"/>
        <w:numPr>
          <w:ilvl w:val="0"/>
          <w:numId w:val="2"/>
        </w:numPr>
        <w:rPr>
          <w:lang w:val="en-US"/>
        </w:rPr>
      </w:pPr>
      <w:r>
        <w:rPr>
          <w:lang w:val="en-US"/>
        </w:rPr>
        <w:t xml:space="preserve">that the legal practitioner was informed by the client that he </w:t>
      </w:r>
      <w:r w:rsidR="001E2528">
        <w:rPr>
          <w:lang w:val="en-US"/>
        </w:rPr>
        <w:t>or she understands and accepts the terms of the settlement.</w:t>
      </w:r>
    </w:p>
    <w:p w14:paraId="3A36794E" w14:textId="77777777" w:rsidR="00A96FE4" w:rsidRDefault="005857DB" w:rsidP="00F935F5">
      <w:pPr>
        <w:pStyle w:val="FootnoteText"/>
        <w:numPr>
          <w:ilvl w:val="0"/>
          <w:numId w:val="1"/>
        </w:numPr>
        <w:rPr>
          <w:lang w:val="en-US"/>
        </w:rPr>
      </w:pPr>
      <w:r>
        <w:rPr>
          <w:lang w:val="en-US"/>
        </w:rPr>
        <w:t>The affidavit referred to in subsection (1) must be accompanied by an affidavit by the client, sta</w:t>
      </w:r>
      <w:r w:rsidR="00F935F5">
        <w:rPr>
          <w:lang w:val="en-US"/>
        </w:rPr>
        <w:t xml:space="preserve">ting – </w:t>
      </w:r>
    </w:p>
    <w:p w14:paraId="56D887B7" w14:textId="77777777" w:rsidR="00F935F5" w:rsidRDefault="00F935F5" w:rsidP="00F935F5">
      <w:pPr>
        <w:pStyle w:val="FootnoteText"/>
        <w:numPr>
          <w:ilvl w:val="0"/>
          <w:numId w:val="3"/>
        </w:numPr>
        <w:rPr>
          <w:lang w:val="en-US"/>
        </w:rPr>
      </w:pPr>
      <w:r>
        <w:rPr>
          <w:lang w:val="en-US"/>
        </w:rPr>
        <w:t>that he or she was notified in writing of the terms of the settlement;</w:t>
      </w:r>
    </w:p>
    <w:p w14:paraId="4BDB6447" w14:textId="77777777" w:rsidR="00F935F5" w:rsidRDefault="00F935F5" w:rsidP="00F935F5">
      <w:pPr>
        <w:pStyle w:val="FootnoteText"/>
        <w:numPr>
          <w:ilvl w:val="0"/>
          <w:numId w:val="3"/>
        </w:numPr>
        <w:rPr>
          <w:lang w:val="en-US"/>
        </w:rPr>
      </w:pPr>
      <w:r>
        <w:rPr>
          <w:lang w:val="en-US"/>
        </w:rPr>
        <w:t>that he or she understands and agrees to them; and</w:t>
      </w:r>
    </w:p>
    <w:p w14:paraId="3AA2C7BE" w14:textId="77777777" w:rsidR="00F935F5" w:rsidRDefault="00F935F5" w:rsidP="00F935F5">
      <w:pPr>
        <w:pStyle w:val="FootnoteText"/>
        <w:numPr>
          <w:ilvl w:val="0"/>
          <w:numId w:val="3"/>
        </w:numPr>
        <w:rPr>
          <w:lang w:val="en-US"/>
        </w:rPr>
      </w:pPr>
      <w:r>
        <w:rPr>
          <w:lang w:val="en-US"/>
        </w:rPr>
        <w:t>his or her attitude to the settlement.</w:t>
      </w:r>
    </w:p>
    <w:p w14:paraId="11D59699" w14:textId="77777777" w:rsidR="00A96FE4" w:rsidRPr="0084144C" w:rsidRDefault="00F935F5" w:rsidP="00F935F5">
      <w:pPr>
        <w:pStyle w:val="FootnoteText"/>
        <w:numPr>
          <w:ilvl w:val="0"/>
          <w:numId w:val="1"/>
        </w:numPr>
        <w:rPr>
          <w:lang w:val="en-US"/>
        </w:rPr>
      </w:pPr>
      <w:r>
        <w:rPr>
          <w:lang w:val="en-US"/>
        </w:rPr>
        <w:t>Any settlement made where a contingency fees agreement has been entered into, shall be made an older court, if the matter was before court.”</w:t>
      </w:r>
    </w:p>
  </w:footnote>
  <w:footnote w:id="3">
    <w:p w14:paraId="49FF2580" w14:textId="77777777" w:rsidR="00E15F09" w:rsidRPr="0059769E" w:rsidRDefault="00E15F09">
      <w:pPr>
        <w:pStyle w:val="FootnoteText"/>
        <w:rPr>
          <w:lang w:val="en-US"/>
        </w:rPr>
      </w:pPr>
      <w:r>
        <w:rPr>
          <w:rStyle w:val="FootnoteReference"/>
        </w:rPr>
        <w:footnoteRef/>
      </w:r>
      <w:r>
        <w:t xml:space="preserve"> </w:t>
      </w:r>
      <w:r>
        <w:rPr>
          <w:lang w:val="en-US"/>
        </w:rPr>
        <w:t>Note 1 supra at para 19.</w:t>
      </w:r>
    </w:p>
  </w:footnote>
  <w:footnote w:id="4">
    <w:p w14:paraId="5C4E88FF" w14:textId="77777777" w:rsidR="003F77DD" w:rsidRPr="003F77DD" w:rsidRDefault="003F77DD">
      <w:pPr>
        <w:pStyle w:val="FootnoteText"/>
        <w:rPr>
          <w:lang w:val="en-US"/>
        </w:rPr>
      </w:pPr>
      <w:r>
        <w:rPr>
          <w:rStyle w:val="FootnoteReference"/>
        </w:rPr>
        <w:footnoteRef/>
      </w:r>
      <w:r>
        <w:t xml:space="preserve"> </w:t>
      </w:r>
      <w:r>
        <w:rPr>
          <w:lang w:val="en-US"/>
        </w:rPr>
        <w:t xml:space="preserve">Malan and Another vs Law Society, Northern </w:t>
      </w:r>
      <w:r w:rsidR="00A2413E">
        <w:rPr>
          <w:lang w:val="en-US"/>
        </w:rPr>
        <w:t>P</w:t>
      </w:r>
      <w:r>
        <w:rPr>
          <w:lang w:val="en-US"/>
        </w:rPr>
        <w:t xml:space="preserve">rovinces 2009 (1) SA 216 </w:t>
      </w:r>
      <w:r w:rsidR="00A2413E">
        <w:rPr>
          <w:lang w:val="en-US"/>
        </w:rPr>
        <w:t xml:space="preserve">(SCA) at </w:t>
      </w:r>
      <w:r>
        <w:rPr>
          <w:lang w:val="en-US"/>
        </w:rPr>
        <w:t>para 4</w:t>
      </w:r>
    </w:p>
  </w:footnote>
  <w:footnote w:id="5">
    <w:p w14:paraId="4BEA953F" w14:textId="77777777" w:rsidR="00AB77AA" w:rsidRPr="00AB77AA" w:rsidRDefault="00AB77AA">
      <w:pPr>
        <w:pStyle w:val="FootnoteText"/>
        <w:rPr>
          <w:lang w:val="en-US"/>
        </w:rPr>
      </w:pPr>
      <w:r>
        <w:rPr>
          <w:rStyle w:val="FootnoteReference"/>
        </w:rPr>
        <w:footnoteRef/>
      </w:r>
      <w:r>
        <w:t xml:space="preserve"> </w:t>
      </w:r>
      <w:r w:rsidRPr="00AB77AA">
        <w:rPr>
          <w:i/>
          <w:lang w:val="en-US"/>
        </w:rPr>
        <w:t>South Africa Legal Practice Council v Bobotyana</w:t>
      </w:r>
      <w:r>
        <w:rPr>
          <w:lang w:val="en-US"/>
        </w:rPr>
        <w:t xml:space="preserve"> [2020] 4 A</w:t>
      </w:r>
      <w:r w:rsidR="00F158F8">
        <w:rPr>
          <w:lang w:val="en-US"/>
        </w:rPr>
        <w:t xml:space="preserve">ll </w:t>
      </w:r>
      <w:r>
        <w:rPr>
          <w:lang w:val="en-US"/>
        </w:rPr>
        <w:t>SA 827</w:t>
      </w:r>
      <w:r w:rsidR="00F158F8">
        <w:rPr>
          <w:lang w:val="en-US"/>
        </w:rPr>
        <w:t xml:space="preserve"> (ECG) </w:t>
      </w:r>
      <w:r>
        <w:rPr>
          <w:lang w:val="en-US"/>
        </w:rPr>
        <w:t>para 10 and 11.</w:t>
      </w:r>
    </w:p>
  </w:footnote>
  <w:footnote w:id="6">
    <w:p w14:paraId="016C8056" w14:textId="77777777" w:rsidR="001E1DA6" w:rsidRPr="001E1DA6" w:rsidRDefault="001E1DA6">
      <w:pPr>
        <w:pStyle w:val="FootnoteText"/>
        <w:rPr>
          <w:lang w:val="en-US"/>
        </w:rPr>
      </w:pPr>
      <w:r>
        <w:rPr>
          <w:rStyle w:val="FootnoteReference"/>
        </w:rPr>
        <w:footnoteRef/>
      </w:r>
      <w:r>
        <w:t xml:space="preserve"> </w:t>
      </w:r>
      <w:r>
        <w:rPr>
          <w:lang w:val="en-US"/>
        </w:rPr>
        <w:t>Note 7</w:t>
      </w:r>
      <w:r w:rsidR="00395FC4">
        <w:rPr>
          <w:lang w:val="en-US"/>
        </w:rPr>
        <w:t xml:space="preserve"> supra para 5.</w:t>
      </w:r>
    </w:p>
  </w:footnote>
  <w:footnote w:id="7">
    <w:p w14:paraId="3A840CAE" w14:textId="77777777" w:rsidR="001F0127" w:rsidRPr="001F0127" w:rsidRDefault="001F0127">
      <w:pPr>
        <w:pStyle w:val="FootnoteText"/>
        <w:rPr>
          <w:lang w:val="en-GB"/>
        </w:rPr>
      </w:pPr>
      <w:r>
        <w:rPr>
          <w:rStyle w:val="FootnoteReference"/>
        </w:rPr>
        <w:footnoteRef/>
      </w:r>
      <w:r>
        <w:t xml:space="preserve"> </w:t>
      </w:r>
      <w:r>
        <w:rPr>
          <w:lang w:val="en-GB"/>
        </w:rPr>
        <w:t>Malan note 4 supra page 221 at D-H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47B7C"/>
    <w:multiLevelType w:val="hybridMultilevel"/>
    <w:tmpl w:val="10C6D212"/>
    <w:lvl w:ilvl="0" w:tplc="A7D6540E">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204A7098"/>
    <w:multiLevelType w:val="hybridMultilevel"/>
    <w:tmpl w:val="E11C8E9A"/>
    <w:lvl w:ilvl="0" w:tplc="52526B68">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3305682"/>
    <w:multiLevelType w:val="hybridMultilevel"/>
    <w:tmpl w:val="4AA88674"/>
    <w:lvl w:ilvl="0" w:tplc="E7F0747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4C435F88"/>
    <w:multiLevelType w:val="hybridMultilevel"/>
    <w:tmpl w:val="CE9CAFD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4E"/>
    <w:rsid w:val="00015811"/>
    <w:rsid w:val="00026F78"/>
    <w:rsid w:val="00032503"/>
    <w:rsid w:val="00035C10"/>
    <w:rsid w:val="00061EF2"/>
    <w:rsid w:val="00070087"/>
    <w:rsid w:val="00072F75"/>
    <w:rsid w:val="00074053"/>
    <w:rsid w:val="0009276A"/>
    <w:rsid w:val="000A483B"/>
    <w:rsid w:val="000B72B4"/>
    <w:rsid w:val="000E2E29"/>
    <w:rsid w:val="000F5C0D"/>
    <w:rsid w:val="00112D37"/>
    <w:rsid w:val="0011410E"/>
    <w:rsid w:val="00125061"/>
    <w:rsid w:val="00131556"/>
    <w:rsid w:val="00166C0F"/>
    <w:rsid w:val="001748C3"/>
    <w:rsid w:val="001879D7"/>
    <w:rsid w:val="001B0E00"/>
    <w:rsid w:val="001B5F39"/>
    <w:rsid w:val="001D3F79"/>
    <w:rsid w:val="001D464D"/>
    <w:rsid w:val="001E1DA6"/>
    <w:rsid w:val="001E2528"/>
    <w:rsid w:val="001F0127"/>
    <w:rsid w:val="001F4181"/>
    <w:rsid w:val="001F669F"/>
    <w:rsid w:val="002037FE"/>
    <w:rsid w:val="0020635C"/>
    <w:rsid w:val="00214A03"/>
    <w:rsid w:val="002628F5"/>
    <w:rsid w:val="00262F7F"/>
    <w:rsid w:val="00274AE8"/>
    <w:rsid w:val="002851F7"/>
    <w:rsid w:val="00285A9F"/>
    <w:rsid w:val="002E55B5"/>
    <w:rsid w:val="002E72FB"/>
    <w:rsid w:val="003347AC"/>
    <w:rsid w:val="00382FB8"/>
    <w:rsid w:val="0038628A"/>
    <w:rsid w:val="003916FF"/>
    <w:rsid w:val="00394717"/>
    <w:rsid w:val="00395FC4"/>
    <w:rsid w:val="003A24D9"/>
    <w:rsid w:val="003B478C"/>
    <w:rsid w:val="003B6E76"/>
    <w:rsid w:val="003D2EC3"/>
    <w:rsid w:val="003D34CE"/>
    <w:rsid w:val="003D7ACB"/>
    <w:rsid w:val="003F2303"/>
    <w:rsid w:val="003F39DE"/>
    <w:rsid w:val="003F56B7"/>
    <w:rsid w:val="003F77DD"/>
    <w:rsid w:val="00401840"/>
    <w:rsid w:val="00404852"/>
    <w:rsid w:val="00404ED2"/>
    <w:rsid w:val="00404F58"/>
    <w:rsid w:val="0042137E"/>
    <w:rsid w:val="00422EFE"/>
    <w:rsid w:val="00444D3B"/>
    <w:rsid w:val="004452F2"/>
    <w:rsid w:val="004576AF"/>
    <w:rsid w:val="00474F34"/>
    <w:rsid w:val="0047575B"/>
    <w:rsid w:val="00486C01"/>
    <w:rsid w:val="004A4952"/>
    <w:rsid w:val="004D2922"/>
    <w:rsid w:val="004D317C"/>
    <w:rsid w:val="005033A7"/>
    <w:rsid w:val="00526FD8"/>
    <w:rsid w:val="005349DB"/>
    <w:rsid w:val="005359E4"/>
    <w:rsid w:val="005417FB"/>
    <w:rsid w:val="005523E3"/>
    <w:rsid w:val="00554413"/>
    <w:rsid w:val="00555A89"/>
    <w:rsid w:val="005857DB"/>
    <w:rsid w:val="00593996"/>
    <w:rsid w:val="005957F1"/>
    <w:rsid w:val="0059769E"/>
    <w:rsid w:val="005B1B85"/>
    <w:rsid w:val="005B4F39"/>
    <w:rsid w:val="005F641F"/>
    <w:rsid w:val="005F738F"/>
    <w:rsid w:val="00602DB2"/>
    <w:rsid w:val="00611797"/>
    <w:rsid w:val="0061329C"/>
    <w:rsid w:val="006258D8"/>
    <w:rsid w:val="00644992"/>
    <w:rsid w:val="00646A55"/>
    <w:rsid w:val="006474DE"/>
    <w:rsid w:val="006501DA"/>
    <w:rsid w:val="00687C19"/>
    <w:rsid w:val="006E2B5D"/>
    <w:rsid w:val="00701C85"/>
    <w:rsid w:val="007146CE"/>
    <w:rsid w:val="007155C2"/>
    <w:rsid w:val="00715C72"/>
    <w:rsid w:val="0073635A"/>
    <w:rsid w:val="007402AB"/>
    <w:rsid w:val="00746FD0"/>
    <w:rsid w:val="0076067D"/>
    <w:rsid w:val="00765145"/>
    <w:rsid w:val="0077126D"/>
    <w:rsid w:val="007908DD"/>
    <w:rsid w:val="007934A2"/>
    <w:rsid w:val="007B51D5"/>
    <w:rsid w:val="007C0D66"/>
    <w:rsid w:val="007E7375"/>
    <w:rsid w:val="00800899"/>
    <w:rsid w:val="00831101"/>
    <w:rsid w:val="0084144C"/>
    <w:rsid w:val="00854BA1"/>
    <w:rsid w:val="00867F95"/>
    <w:rsid w:val="008746F6"/>
    <w:rsid w:val="00890DDB"/>
    <w:rsid w:val="008A4078"/>
    <w:rsid w:val="008B2BD5"/>
    <w:rsid w:val="008C3118"/>
    <w:rsid w:val="008C34AB"/>
    <w:rsid w:val="008C6483"/>
    <w:rsid w:val="008C6534"/>
    <w:rsid w:val="008D4FFD"/>
    <w:rsid w:val="008F4C9E"/>
    <w:rsid w:val="00901D78"/>
    <w:rsid w:val="00906EED"/>
    <w:rsid w:val="009125BF"/>
    <w:rsid w:val="009130D0"/>
    <w:rsid w:val="0091584F"/>
    <w:rsid w:val="00937C45"/>
    <w:rsid w:val="00967EB5"/>
    <w:rsid w:val="00972E34"/>
    <w:rsid w:val="009743F1"/>
    <w:rsid w:val="0098226F"/>
    <w:rsid w:val="009B1AB4"/>
    <w:rsid w:val="009B5312"/>
    <w:rsid w:val="009D0452"/>
    <w:rsid w:val="009E028D"/>
    <w:rsid w:val="009F6103"/>
    <w:rsid w:val="00A01972"/>
    <w:rsid w:val="00A1062A"/>
    <w:rsid w:val="00A11523"/>
    <w:rsid w:val="00A1460F"/>
    <w:rsid w:val="00A2413E"/>
    <w:rsid w:val="00A43D80"/>
    <w:rsid w:val="00A82FD9"/>
    <w:rsid w:val="00A8767E"/>
    <w:rsid w:val="00A96FE4"/>
    <w:rsid w:val="00AA2AFD"/>
    <w:rsid w:val="00AA5509"/>
    <w:rsid w:val="00AB58DA"/>
    <w:rsid w:val="00AB77AA"/>
    <w:rsid w:val="00AD535F"/>
    <w:rsid w:val="00AF0378"/>
    <w:rsid w:val="00AF615C"/>
    <w:rsid w:val="00B0363C"/>
    <w:rsid w:val="00B60420"/>
    <w:rsid w:val="00B74FDD"/>
    <w:rsid w:val="00B966FE"/>
    <w:rsid w:val="00BB11B4"/>
    <w:rsid w:val="00BD429B"/>
    <w:rsid w:val="00BD7F5E"/>
    <w:rsid w:val="00BE3221"/>
    <w:rsid w:val="00BF078A"/>
    <w:rsid w:val="00BF7E63"/>
    <w:rsid w:val="00C40B98"/>
    <w:rsid w:val="00C4648F"/>
    <w:rsid w:val="00C64065"/>
    <w:rsid w:val="00C65AF0"/>
    <w:rsid w:val="00C71810"/>
    <w:rsid w:val="00C733A4"/>
    <w:rsid w:val="00C8279B"/>
    <w:rsid w:val="00C835D2"/>
    <w:rsid w:val="00C85F46"/>
    <w:rsid w:val="00C87279"/>
    <w:rsid w:val="00C923E8"/>
    <w:rsid w:val="00CA199E"/>
    <w:rsid w:val="00CD0DA7"/>
    <w:rsid w:val="00CD781F"/>
    <w:rsid w:val="00D205C0"/>
    <w:rsid w:val="00D20EBC"/>
    <w:rsid w:val="00D23BC2"/>
    <w:rsid w:val="00D25D91"/>
    <w:rsid w:val="00D4284E"/>
    <w:rsid w:val="00D42D91"/>
    <w:rsid w:val="00D528E4"/>
    <w:rsid w:val="00D92EEF"/>
    <w:rsid w:val="00D936E8"/>
    <w:rsid w:val="00DA751D"/>
    <w:rsid w:val="00DC0D7B"/>
    <w:rsid w:val="00DC0FEF"/>
    <w:rsid w:val="00DC23E9"/>
    <w:rsid w:val="00DC52C8"/>
    <w:rsid w:val="00DD19F5"/>
    <w:rsid w:val="00DD46EC"/>
    <w:rsid w:val="00DD604B"/>
    <w:rsid w:val="00DD6593"/>
    <w:rsid w:val="00DE07AD"/>
    <w:rsid w:val="00DE14B0"/>
    <w:rsid w:val="00DE7814"/>
    <w:rsid w:val="00DE7B5B"/>
    <w:rsid w:val="00DF5697"/>
    <w:rsid w:val="00E00FD2"/>
    <w:rsid w:val="00E018C0"/>
    <w:rsid w:val="00E03C4A"/>
    <w:rsid w:val="00E13A9A"/>
    <w:rsid w:val="00E15F09"/>
    <w:rsid w:val="00E263E3"/>
    <w:rsid w:val="00E2793E"/>
    <w:rsid w:val="00E36C00"/>
    <w:rsid w:val="00E42C9F"/>
    <w:rsid w:val="00E54D91"/>
    <w:rsid w:val="00E57E5C"/>
    <w:rsid w:val="00E62B7E"/>
    <w:rsid w:val="00E66F13"/>
    <w:rsid w:val="00E7184B"/>
    <w:rsid w:val="00E73855"/>
    <w:rsid w:val="00E74A2C"/>
    <w:rsid w:val="00E835E6"/>
    <w:rsid w:val="00E9744C"/>
    <w:rsid w:val="00EC0024"/>
    <w:rsid w:val="00EC2337"/>
    <w:rsid w:val="00EE5C7A"/>
    <w:rsid w:val="00EF05F9"/>
    <w:rsid w:val="00F158F8"/>
    <w:rsid w:val="00F4259A"/>
    <w:rsid w:val="00F4367F"/>
    <w:rsid w:val="00F5219A"/>
    <w:rsid w:val="00F60BCF"/>
    <w:rsid w:val="00F7333E"/>
    <w:rsid w:val="00F935F5"/>
    <w:rsid w:val="00F96FC0"/>
    <w:rsid w:val="00FA316A"/>
    <w:rsid w:val="00FC2C20"/>
    <w:rsid w:val="00FC6FC5"/>
    <w:rsid w:val="00FC6FFA"/>
    <w:rsid w:val="00FE0289"/>
    <w:rsid w:val="00FE36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3E3C"/>
  <w15:chartTrackingRefBased/>
  <w15:docId w15:val="{BC0A2A12-96ED-415A-A03C-463F7533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84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428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84E"/>
    <w:rPr>
      <w:sz w:val="20"/>
      <w:szCs w:val="20"/>
    </w:rPr>
  </w:style>
  <w:style w:type="character" w:styleId="FootnoteReference">
    <w:name w:val="footnote reference"/>
    <w:basedOn w:val="DefaultParagraphFont"/>
    <w:uiPriority w:val="99"/>
    <w:semiHidden/>
    <w:unhideWhenUsed/>
    <w:rsid w:val="00D4284E"/>
    <w:rPr>
      <w:vertAlign w:val="superscript"/>
    </w:rPr>
  </w:style>
  <w:style w:type="paragraph" w:styleId="Header">
    <w:name w:val="header"/>
    <w:basedOn w:val="Normal"/>
    <w:link w:val="HeaderChar"/>
    <w:uiPriority w:val="99"/>
    <w:unhideWhenUsed/>
    <w:rsid w:val="00AA2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FD"/>
  </w:style>
  <w:style w:type="paragraph" w:styleId="Footer">
    <w:name w:val="footer"/>
    <w:basedOn w:val="Normal"/>
    <w:link w:val="FooterChar"/>
    <w:uiPriority w:val="99"/>
    <w:unhideWhenUsed/>
    <w:rsid w:val="00AA2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FD"/>
  </w:style>
  <w:style w:type="paragraph" w:styleId="BalloonText">
    <w:name w:val="Balloon Text"/>
    <w:basedOn w:val="Normal"/>
    <w:link w:val="BalloonTextChar"/>
    <w:uiPriority w:val="99"/>
    <w:semiHidden/>
    <w:unhideWhenUsed/>
    <w:rsid w:val="00DC0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FEF"/>
    <w:rPr>
      <w:rFonts w:ascii="Segoe UI" w:hAnsi="Segoe UI" w:cs="Segoe UI"/>
      <w:sz w:val="18"/>
      <w:szCs w:val="18"/>
    </w:rPr>
  </w:style>
  <w:style w:type="character" w:styleId="CommentReference">
    <w:name w:val="annotation reference"/>
    <w:basedOn w:val="DefaultParagraphFont"/>
    <w:uiPriority w:val="99"/>
    <w:semiHidden/>
    <w:unhideWhenUsed/>
    <w:rsid w:val="00AF0378"/>
    <w:rPr>
      <w:sz w:val="16"/>
      <w:szCs w:val="16"/>
    </w:rPr>
  </w:style>
  <w:style w:type="paragraph" w:styleId="CommentText">
    <w:name w:val="annotation text"/>
    <w:basedOn w:val="Normal"/>
    <w:link w:val="CommentTextChar"/>
    <w:uiPriority w:val="99"/>
    <w:semiHidden/>
    <w:unhideWhenUsed/>
    <w:rsid w:val="00AF0378"/>
    <w:pPr>
      <w:spacing w:line="240" w:lineRule="auto"/>
    </w:pPr>
    <w:rPr>
      <w:sz w:val="20"/>
      <w:szCs w:val="20"/>
    </w:rPr>
  </w:style>
  <w:style w:type="character" w:customStyle="1" w:styleId="CommentTextChar">
    <w:name w:val="Comment Text Char"/>
    <w:basedOn w:val="DefaultParagraphFont"/>
    <w:link w:val="CommentText"/>
    <w:uiPriority w:val="99"/>
    <w:semiHidden/>
    <w:rsid w:val="00AF0378"/>
    <w:rPr>
      <w:sz w:val="20"/>
      <w:szCs w:val="20"/>
    </w:rPr>
  </w:style>
  <w:style w:type="paragraph" w:styleId="CommentSubject">
    <w:name w:val="annotation subject"/>
    <w:basedOn w:val="CommentText"/>
    <w:next w:val="CommentText"/>
    <w:link w:val="CommentSubjectChar"/>
    <w:uiPriority w:val="99"/>
    <w:semiHidden/>
    <w:unhideWhenUsed/>
    <w:rsid w:val="00AF0378"/>
    <w:rPr>
      <w:b/>
      <w:bCs/>
    </w:rPr>
  </w:style>
  <w:style w:type="character" w:customStyle="1" w:styleId="CommentSubjectChar">
    <w:name w:val="Comment Subject Char"/>
    <w:basedOn w:val="CommentTextChar"/>
    <w:link w:val="CommentSubject"/>
    <w:uiPriority w:val="99"/>
    <w:semiHidden/>
    <w:rsid w:val="00AF0378"/>
    <w:rPr>
      <w:b/>
      <w:bCs/>
      <w:sz w:val="20"/>
      <w:szCs w:val="20"/>
    </w:rPr>
  </w:style>
  <w:style w:type="paragraph" w:styleId="ListParagraph">
    <w:name w:val="List Paragraph"/>
    <w:basedOn w:val="Normal"/>
    <w:uiPriority w:val="34"/>
    <w:qFormat/>
    <w:rsid w:val="008C34AB"/>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97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293AB-49F8-42DE-80B9-5CDEBD04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5396</Words>
  <Characters>30762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Busisiwe Vuko</dc:creator>
  <cp:keywords/>
  <dc:description/>
  <cp:lastModifiedBy>HOME</cp:lastModifiedBy>
  <cp:revision>2</cp:revision>
  <cp:lastPrinted>2022-05-26T10:46:00Z</cp:lastPrinted>
  <dcterms:created xsi:type="dcterms:W3CDTF">2022-06-16T15:30:00Z</dcterms:created>
  <dcterms:modified xsi:type="dcterms:W3CDTF">2022-06-16T15:30:00Z</dcterms:modified>
</cp:coreProperties>
</file>