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772E4B">
      <w:pPr>
        <w:autoSpaceDE w:val="0"/>
        <w:autoSpaceDN w:val="0"/>
        <w:adjustRightInd w:val="0"/>
        <w:jc w:val="right"/>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2186F9C9" w:rsidR="00D450B5" w:rsidRPr="00044B50" w:rsidRDefault="00D450B5" w:rsidP="00772E4B">
      <w:pPr>
        <w:jc w:val="center"/>
        <w:rPr>
          <w:b/>
          <w:bCs/>
          <w:lang w:val="en-GB"/>
        </w:rPr>
      </w:pPr>
      <w:r w:rsidRPr="00044B50">
        <w:rPr>
          <w:b/>
          <w:bCs/>
          <w:lang w:val="en-GB"/>
        </w:rPr>
        <w:t xml:space="preserve">(EASTERN CAPE DIVISION, </w:t>
      </w:r>
      <w:r w:rsidR="00D261EA">
        <w:rPr>
          <w:b/>
          <w:bCs/>
          <w:lang w:val="en-GB"/>
        </w:rPr>
        <w:t>MAKHANDA</w:t>
      </w:r>
      <w:r w:rsidRPr="00044B50">
        <w:rPr>
          <w:b/>
          <w:bCs/>
          <w:lang w:val="en-GB"/>
        </w:rPr>
        <w:t>)</w:t>
      </w:r>
    </w:p>
    <w:p w14:paraId="260381A7" w14:textId="77777777" w:rsidR="00D450B5" w:rsidRPr="00044B50" w:rsidRDefault="00D450B5" w:rsidP="00772E4B">
      <w:pPr>
        <w:widowControl w:val="0"/>
        <w:jc w:val="both"/>
        <w:rPr>
          <w:spacing w:val="14"/>
          <w:kern w:val="2"/>
          <w:u w:val="single"/>
          <w:lang w:val="en-GB"/>
        </w:rPr>
      </w:pPr>
    </w:p>
    <w:p w14:paraId="030ABD88" w14:textId="00A3EB3F" w:rsidR="003C6FE8" w:rsidRDefault="00B7663E" w:rsidP="00B7663E">
      <w:pPr>
        <w:ind w:left="6480"/>
        <w:jc w:val="center"/>
        <w:rPr>
          <w:lang w:val="en-GB"/>
        </w:rPr>
      </w:pPr>
      <w:r>
        <w:rPr>
          <w:b/>
          <w:lang w:val="en-GB"/>
        </w:rPr>
        <w:t xml:space="preserve">       Of Interest</w:t>
      </w:r>
    </w:p>
    <w:p w14:paraId="4934DB4B" w14:textId="0FF35DB1" w:rsidR="00E44987" w:rsidRPr="00044B50" w:rsidRDefault="00E44987" w:rsidP="00772E4B">
      <w:pPr>
        <w:jc w:val="center"/>
        <w:rPr>
          <w:lang w:val="en-GB"/>
        </w:rPr>
      </w:pPr>
      <w:r w:rsidRPr="00044B50">
        <w:rPr>
          <w:lang w:val="en-GB"/>
        </w:rPr>
        <w:t xml:space="preserve">                                                                                                   Case no: </w:t>
      </w:r>
      <w:r w:rsidR="006344D4">
        <w:rPr>
          <w:lang w:val="en-GB"/>
        </w:rPr>
        <w:t>3865/2021</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5B9CFBD" w:rsidR="00D450B5" w:rsidRDefault="00D450B5" w:rsidP="00772E4B">
      <w:pPr>
        <w:widowControl w:val="0"/>
        <w:tabs>
          <w:tab w:val="right" w:pos="8198"/>
        </w:tabs>
        <w:jc w:val="both"/>
        <w:rPr>
          <w:spacing w:val="14"/>
          <w:kern w:val="2"/>
          <w:lang w:val="en-GB"/>
        </w:rPr>
      </w:pPr>
    </w:p>
    <w:p w14:paraId="646344BF" w14:textId="28C75698" w:rsidR="006344D4" w:rsidRDefault="006344D4" w:rsidP="006344D4">
      <w:pPr>
        <w:widowControl w:val="0"/>
        <w:tabs>
          <w:tab w:val="left" w:pos="7088"/>
          <w:tab w:val="right" w:pos="8198"/>
        </w:tabs>
        <w:jc w:val="both"/>
        <w:rPr>
          <w:b/>
          <w:spacing w:val="14"/>
          <w:kern w:val="2"/>
          <w:lang w:val="en-GB"/>
        </w:rPr>
      </w:pPr>
      <w:r w:rsidRPr="006344D4">
        <w:rPr>
          <w:b/>
          <w:spacing w:val="14"/>
          <w:kern w:val="2"/>
          <w:lang w:val="en-GB"/>
        </w:rPr>
        <w:t>BORDER DEEP SEA ANGLING ASSOSCIATION</w:t>
      </w:r>
      <w:r>
        <w:rPr>
          <w:b/>
          <w:spacing w:val="14"/>
          <w:kern w:val="2"/>
          <w:lang w:val="en-GB"/>
        </w:rPr>
        <w:tab/>
        <w:t>First Applicant</w:t>
      </w:r>
    </w:p>
    <w:p w14:paraId="3F55DD89" w14:textId="1EFB3BD8" w:rsidR="006344D4" w:rsidRDefault="006344D4" w:rsidP="006344D4">
      <w:pPr>
        <w:widowControl w:val="0"/>
        <w:tabs>
          <w:tab w:val="left" w:pos="6521"/>
          <w:tab w:val="left" w:pos="6663"/>
          <w:tab w:val="right" w:pos="8198"/>
        </w:tabs>
        <w:jc w:val="both"/>
        <w:rPr>
          <w:b/>
          <w:spacing w:val="14"/>
          <w:kern w:val="2"/>
          <w:lang w:val="en-GB"/>
        </w:rPr>
      </w:pPr>
      <w:r>
        <w:rPr>
          <w:b/>
          <w:spacing w:val="14"/>
          <w:kern w:val="2"/>
          <w:lang w:val="en-GB"/>
        </w:rPr>
        <w:t>KEI MOUNTH SKI BOAT CLUB</w:t>
      </w:r>
      <w:r>
        <w:rPr>
          <w:b/>
          <w:spacing w:val="14"/>
          <w:kern w:val="2"/>
          <w:lang w:val="en-GB"/>
        </w:rPr>
        <w:tab/>
        <w:t xml:space="preserve">   Second Applicant</w:t>
      </w:r>
    </w:p>
    <w:p w14:paraId="6D6A8674" w14:textId="0107DBD1" w:rsidR="006344D4" w:rsidRDefault="006344D4" w:rsidP="006344D4">
      <w:pPr>
        <w:widowControl w:val="0"/>
        <w:tabs>
          <w:tab w:val="left" w:pos="6946"/>
          <w:tab w:val="right" w:pos="8198"/>
        </w:tabs>
        <w:jc w:val="both"/>
        <w:rPr>
          <w:b/>
          <w:spacing w:val="14"/>
          <w:kern w:val="2"/>
          <w:lang w:val="en-GB"/>
        </w:rPr>
      </w:pPr>
      <w:r>
        <w:rPr>
          <w:b/>
          <w:spacing w:val="14"/>
          <w:kern w:val="2"/>
          <w:lang w:val="en-GB"/>
        </w:rPr>
        <w:t xml:space="preserve">NATURAL JUSTICE </w:t>
      </w:r>
      <w:r>
        <w:rPr>
          <w:b/>
          <w:spacing w:val="14"/>
          <w:kern w:val="2"/>
          <w:lang w:val="en-GB"/>
        </w:rPr>
        <w:tab/>
        <w:t xml:space="preserve"> Third Applicant</w:t>
      </w:r>
    </w:p>
    <w:p w14:paraId="77CA437C" w14:textId="4E5A5BAE" w:rsidR="006344D4" w:rsidRPr="006344D4" w:rsidRDefault="006344D4" w:rsidP="006344D4">
      <w:pPr>
        <w:widowControl w:val="0"/>
        <w:tabs>
          <w:tab w:val="left" w:pos="6804"/>
          <w:tab w:val="right" w:pos="8198"/>
        </w:tabs>
        <w:jc w:val="both"/>
        <w:rPr>
          <w:b/>
          <w:spacing w:val="14"/>
          <w:kern w:val="2"/>
          <w:lang w:val="en-GB"/>
        </w:rPr>
      </w:pPr>
      <w:r>
        <w:rPr>
          <w:b/>
          <w:spacing w:val="14"/>
          <w:kern w:val="2"/>
          <w:lang w:val="en-GB"/>
        </w:rPr>
        <w:t>GREENPEACE ENVIRONMENTAL ORGANISATION</w:t>
      </w:r>
      <w:r>
        <w:rPr>
          <w:b/>
          <w:spacing w:val="14"/>
          <w:kern w:val="2"/>
          <w:lang w:val="en-GB"/>
        </w:rPr>
        <w:tab/>
        <w:t xml:space="preserve"> Fourth Applicant</w:t>
      </w:r>
    </w:p>
    <w:p w14:paraId="0D746988" w14:textId="77777777" w:rsidR="00D450B5" w:rsidRPr="00044B50" w:rsidRDefault="00D450B5" w:rsidP="00772E4B">
      <w:pPr>
        <w:tabs>
          <w:tab w:val="right" w:pos="9072"/>
        </w:tabs>
        <w:suppressAutoHyphens/>
        <w:jc w:val="both"/>
        <w:rPr>
          <w:lang w:val="en-GB"/>
        </w:rPr>
      </w:pPr>
    </w:p>
    <w:p w14:paraId="460137EF" w14:textId="16EE4E03" w:rsidR="00D450B5" w:rsidRDefault="009A46FB" w:rsidP="00772E4B">
      <w:pPr>
        <w:jc w:val="both"/>
        <w:rPr>
          <w:lang w:val="en-GB"/>
        </w:rPr>
      </w:pPr>
      <w:r>
        <w:rPr>
          <w:lang w:val="en-GB"/>
        </w:rPr>
        <w:t>a</w:t>
      </w:r>
      <w:r w:rsidR="00D450B5" w:rsidRPr="00044B50">
        <w:rPr>
          <w:lang w:val="en-GB"/>
        </w:rPr>
        <w:t>nd</w:t>
      </w:r>
    </w:p>
    <w:p w14:paraId="673E561E" w14:textId="77777777" w:rsidR="009A46FB" w:rsidRPr="00044B50" w:rsidRDefault="009A46FB" w:rsidP="00772E4B">
      <w:pPr>
        <w:jc w:val="both"/>
        <w:rPr>
          <w:lang w:val="en-GB"/>
        </w:rPr>
      </w:pPr>
    </w:p>
    <w:p w14:paraId="37CBA823" w14:textId="2D219E5D" w:rsidR="00D450B5" w:rsidRDefault="006344D4" w:rsidP="006344D4">
      <w:pPr>
        <w:tabs>
          <w:tab w:val="left" w:pos="6946"/>
        </w:tabs>
        <w:jc w:val="both"/>
        <w:rPr>
          <w:b/>
          <w:lang w:val="en-GB"/>
        </w:rPr>
      </w:pPr>
      <w:r w:rsidRPr="006344D4">
        <w:rPr>
          <w:b/>
          <w:lang w:val="en-GB"/>
        </w:rPr>
        <w:t>MINISTER OF MINERAL RESOURCES AND ENERGY</w:t>
      </w:r>
      <w:r>
        <w:rPr>
          <w:b/>
          <w:lang w:val="en-GB"/>
        </w:rPr>
        <w:tab/>
        <w:t xml:space="preserve"> First Respondent</w:t>
      </w:r>
    </w:p>
    <w:p w14:paraId="7DC52C2D" w14:textId="3D1A72D4" w:rsidR="006344D4" w:rsidRDefault="006344D4" w:rsidP="006344D4">
      <w:pPr>
        <w:tabs>
          <w:tab w:val="left" w:pos="6946"/>
        </w:tabs>
        <w:jc w:val="both"/>
        <w:rPr>
          <w:b/>
          <w:lang w:val="en-GB"/>
        </w:rPr>
      </w:pPr>
      <w:r>
        <w:rPr>
          <w:b/>
          <w:lang w:val="en-GB"/>
        </w:rPr>
        <w:t xml:space="preserve">THE MINISTER OF FORESTRY, FISHERIES AND </w:t>
      </w:r>
    </w:p>
    <w:p w14:paraId="7062CE9A" w14:textId="28C0AA0D" w:rsidR="006344D4" w:rsidRDefault="006344D4" w:rsidP="006344D4">
      <w:pPr>
        <w:tabs>
          <w:tab w:val="left" w:pos="6663"/>
        </w:tabs>
        <w:jc w:val="both"/>
        <w:rPr>
          <w:b/>
          <w:lang w:val="en-GB"/>
        </w:rPr>
      </w:pPr>
      <w:r>
        <w:rPr>
          <w:b/>
          <w:lang w:val="en-GB"/>
        </w:rPr>
        <w:t xml:space="preserve">ENVIRONMENT </w:t>
      </w:r>
      <w:r>
        <w:rPr>
          <w:b/>
          <w:lang w:val="en-GB"/>
        </w:rPr>
        <w:tab/>
        <w:t>Second Respondent</w:t>
      </w:r>
    </w:p>
    <w:p w14:paraId="02487577" w14:textId="150CD121" w:rsidR="006344D4" w:rsidRDefault="006344D4" w:rsidP="006344D4">
      <w:pPr>
        <w:tabs>
          <w:tab w:val="left" w:pos="6521"/>
        </w:tabs>
        <w:jc w:val="both"/>
        <w:rPr>
          <w:b/>
          <w:lang w:val="en-GB"/>
        </w:rPr>
      </w:pPr>
      <w:r>
        <w:rPr>
          <w:b/>
          <w:lang w:val="en-GB"/>
        </w:rPr>
        <w:t xml:space="preserve">BG INTERNATIONAL LIMITED </w:t>
      </w:r>
      <w:r>
        <w:rPr>
          <w:b/>
          <w:lang w:val="en-GB"/>
        </w:rPr>
        <w:tab/>
        <w:t xml:space="preserve">      Third Respondent</w:t>
      </w:r>
    </w:p>
    <w:p w14:paraId="27BFA02D" w14:textId="4AF0CF4C" w:rsidR="006344D4" w:rsidRDefault="006344D4" w:rsidP="006344D4">
      <w:pPr>
        <w:tabs>
          <w:tab w:val="left" w:pos="6521"/>
        </w:tabs>
        <w:jc w:val="both"/>
        <w:rPr>
          <w:b/>
          <w:lang w:val="en-GB"/>
        </w:rPr>
      </w:pPr>
      <w:r>
        <w:rPr>
          <w:b/>
          <w:lang w:val="en-GB"/>
        </w:rPr>
        <w:t>SHELL EXPLORATION AND PRODUCTION</w:t>
      </w:r>
    </w:p>
    <w:p w14:paraId="134D75D9" w14:textId="34F5BCDE" w:rsidR="006344D4" w:rsidRDefault="006344D4" w:rsidP="006344D4">
      <w:pPr>
        <w:tabs>
          <w:tab w:val="left" w:pos="6521"/>
        </w:tabs>
        <w:jc w:val="both"/>
        <w:rPr>
          <w:b/>
          <w:lang w:val="en-GB"/>
        </w:rPr>
      </w:pPr>
      <w:r>
        <w:rPr>
          <w:b/>
          <w:lang w:val="en-GB"/>
        </w:rPr>
        <w:t xml:space="preserve">SOUTH AFRICA BV </w:t>
      </w:r>
      <w:r>
        <w:rPr>
          <w:b/>
          <w:lang w:val="en-GB"/>
        </w:rPr>
        <w:tab/>
        <w:t xml:space="preserve">    Fourth Respondent</w:t>
      </w:r>
    </w:p>
    <w:p w14:paraId="525B5728" w14:textId="7CC5C88D" w:rsidR="006344D4" w:rsidRPr="006344D4" w:rsidRDefault="006344D4" w:rsidP="006344D4">
      <w:pPr>
        <w:tabs>
          <w:tab w:val="left" w:pos="6521"/>
        </w:tabs>
        <w:jc w:val="both"/>
        <w:rPr>
          <w:b/>
          <w:lang w:val="en-GB"/>
        </w:rPr>
      </w:pPr>
      <w:r>
        <w:rPr>
          <w:b/>
          <w:lang w:val="en-GB"/>
        </w:rPr>
        <w:t xml:space="preserve">IMPACT AFRICA LIMITED </w:t>
      </w:r>
      <w:r>
        <w:rPr>
          <w:b/>
          <w:lang w:val="en-GB"/>
        </w:rPr>
        <w:tab/>
        <w:t xml:space="preserve">        Fifth Respondent</w:t>
      </w:r>
    </w:p>
    <w:p w14:paraId="76889E9C" w14:textId="4AE35080" w:rsidR="00D450B5" w:rsidRPr="00044B50" w:rsidRDefault="00CF16EB" w:rsidP="00772E4B">
      <w:pPr>
        <w:jc w:val="both"/>
        <w:rPr>
          <w:lang w:val="en-GB"/>
        </w:rPr>
      </w:pPr>
      <w:r>
        <w:rPr>
          <w:bCs/>
          <w:lang w:val="en-GB"/>
        </w:rPr>
        <w:t>_________</w:t>
      </w:r>
      <w:r w:rsidR="00D450B5" w:rsidRPr="00044B50">
        <w:rPr>
          <w:lang w:val="en-GB"/>
        </w:rPr>
        <w:t>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2EA5AD79" w:rsidR="00D450B5" w:rsidRPr="00044B50" w:rsidRDefault="00CF16EB" w:rsidP="00772E4B">
      <w:pPr>
        <w:jc w:val="center"/>
        <w:rPr>
          <w:b/>
          <w:bCs/>
          <w:lang w:val="en-GB"/>
        </w:rPr>
      </w:pPr>
      <w:r>
        <w:rPr>
          <w:b/>
          <w:bCs/>
          <w:lang w:val="en-GB"/>
        </w:rPr>
        <w:t xml:space="preserve">LEAVE TO APPEAL </w:t>
      </w:r>
      <w:r w:rsidR="00D450B5"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199480EA" w:rsidR="00D468AF" w:rsidRDefault="00D468AF" w:rsidP="00682CE5">
      <w:pPr>
        <w:autoSpaceDE w:val="0"/>
        <w:autoSpaceDN w:val="0"/>
        <w:adjustRightInd w:val="0"/>
        <w:jc w:val="both"/>
        <w:rPr>
          <w:lang w:val="en-GB"/>
        </w:rPr>
      </w:pPr>
    </w:p>
    <w:p w14:paraId="71226214" w14:textId="342F3212" w:rsidR="007E1A71" w:rsidRDefault="007E1A71" w:rsidP="00682CE5">
      <w:pPr>
        <w:autoSpaceDE w:val="0"/>
        <w:autoSpaceDN w:val="0"/>
        <w:adjustRightInd w:val="0"/>
        <w:jc w:val="both"/>
        <w:rPr>
          <w:b/>
          <w:bCs/>
          <w:lang w:val="en-GB"/>
        </w:rPr>
      </w:pPr>
      <w:r>
        <w:rPr>
          <w:b/>
          <w:bCs/>
          <w:lang w:val="en-GB"/>
        </w:rPr>
        <w:t>Background</w:t>
      </w:r>
    </w:p>
    <w:p w14:paraId="11A0A932" w14:textId="77777777" w:rsidR="007E1A71" w:rsidRPr="007E1A71" w:rsidRDefault="007E1A71" w:rsidP="00682CE5">
      <w:pPr>
        <w:autoSpaceDE w:val="0"/>
        <w:autoSpaceDN w:val="0"/>
        <w:adjustRightInd w:val="0"/>
        <w:jc w:val="both"/>
        <w:rPr>
          <w:b/>
          <w:bCs/>
          <w:lang w:val="en-GB"/>
        </w:rPr>
      </w:pPr>
    </w:p>
    <w:p w14:paraId="5A33CD6A" w14:textId="40C5CB94" w:rsidR="00E922BE" w:rsidRPr="00044B50" w:rsidRDefault="00C246F2" w:rsidP="00682CE5">
      <w:pPr>
        <w:pStyle w:val="ListParagraph"/>
        <w:numPr>
          <w:ilvl w:val="0"/>
          <w:numId w:val="10"/>
        </w:numPr>
        <w:autoSpaceDE w:val="0"/>
        <w:autoSpaceDN w:val="0"/>
        <w:adjustRightInd w:val="0"/>
        <w:ind w:left="142" w:hanging="142"/>
        <w:jc w:val="both"/>
        <w:rPr>
          <w:lang w:val="en-GB"/>
        </w:rPr>
      </w:pPr>
      <w:r w:rsidRPr="00044B50">
        <w:rPr>
          <w:lang w:val="en-GB"/>
        </w:rPr>
        <w:t>Th</w:t>
      </w:r>
      <w:r w:rsidR="0063319D">
        <w:rPr>
          <w:lang w:val="en-GB"/>
        </w:rPr>
        <w:t xml:space="preserve">e applicants launched an application to interdict the third, fourth and fifth respondents (described for convenience as ‘Shell’) from undertaking seismic survey operations under Exploration Right 12/3/252 </w:t>
      </w:r>
      <w:r w:rsidR="00A76620">
        <w:rPr>
          <w:lang w:val="en-GB"/>
        </w:rPr>
        <w:t xml:space="preserve">(‘the seismic survey’) </w:t>
      </w:r>
      <w:r w:rsidR="0063319D">
        <w:rPr>
          <w:lang w:val="en-GB"/>
        </w:rPr>
        <w:t>from 1 December 2021 onwards</w:t>
      </w:r>
      <w:r w:rsidR="00391D5F">
        <w:rPr>
          <w:lang w:val="en-GB"/>
        </w:rPr>
        <w:t xml:space="preserve"> (‘the urgent application’)</w:t>
      </w:r>
      <w:r w:rsidR="0063319D">
        <w:rPr>
          <w:lang w:val="en-GB"/>
        </w:rPr>
        <w:t xml:space="preserve">. The </w:t>
      </w:r>
      <w:r w:rsidR="00391D5F">
        <w:rPr>
          <w:lang w:val="en-GB"/>
        </w:rPr>
        <w:t xml:space="preserve">urgent </w:t>
      </w:r>
      <w:r w:rsidR="0063319D">
        <w:rPr>
          <w:lang w:val="en-GB"/>
        </w:rPr>
        <w:t>application was dismissed with costs, to include the costs of two counsel where employed, on 3 December 2021</w:t>
      </w:r>
      <w:r w:rsidR="00192C18">
        <w:rPr>
          <w:lang w:val="en-GB"/>
        </w:rPr>
        <w:t xml:space="preserve"> (‘the judgment’)</w:t>
      </w:r>
      <w:r w:rsidR="0063319D">
        <w:rPr>
          <w:lang w:val="en-GB"/>
        </w:rPr>
        <w:t>.</w:t>
      </w:r>
      <w:r w:rsidR="002A3ACE">
        <w:rPr>
          <w:lang w:val="en-GB"/>
        </w:rPr>
        <w:t xml:space="preserve"> </w:t>
      </w:r>
    </w:p>
    <w:p w14:paraId="06EEF5D7" w14:textId="77777777" w:rsidR="00D45942" w:rsidRPr="00044B50" w:rsidRDefault="00D45942" w:rsidP="00682CE5">
      <w:pPr>
        <w:pStyle w:val="ListParagraph"/>
        <w:autoSpaceDE w:val="0"/>
        <w:autoSpaceDN w:val="0"/>
        <w:adjustRightInd w:val="0"/>
        <w:ind w:left="142"/>
        <w:jc w:val="both"/>
        <w:rPr>
          <w:lang w:val="en-GB"/>
        </w:rPr>
      </w:pPr>
    </w:p>
    <w:p w14:paraId="37266024" w14:textId="11511391" w:rsidR="00546297" w:rsidRDefault="00546297" w:rsidP="00682CE5">
      <w:pPr>
        <w:pStyle w:val="ListParagraph"/>
        <w:numPr>
          <w:ilvl w:val="0"/>
          <w:numId w:val="10"/>
        </w:numPr>
        <w:autoSpaceDE w:val="0"/>
        <w:autoSpaceDN w:val="0"/>
        <w:adjustRightInd w:val="0"/>
        <w:ind w:left="142" w:hanging="142"/>
        <w:jc w:val="both"/>
        <w:rPr>
          <w:lang w:val="en-GB"/>
        </w:rPr>
      </w:pPr>
      <w:r>
        <w:rPr>
          <w:lang w:val="en-GB"/>
        </w:rPr>
        <w:t xml:space="preserve">The applicants’ attorney addressed correspondence to the court on 14 December 2021. Relying on </w:t>
      </w:r>
      <w:r>
        <w:rPr>
          <w:i/>
          <w:iCs/>
          <w:lang w:val="en-GB"/>
        </w:rPr>
        <w:t>Biowatch</w:t>
      </w:r>
      <w:r w:rsidR="000F37BC">
        <w:rPr>
          <w:lang w:val="en-GB"/>
        </w:rPr>
        <w:t>,</w:t>
      </w:r>
      <w:r w:rsidRPr="000F37BC">
        <w:rPr>
          <w:rStyle w:val="FootnoteReference"/>
          <w:lang w:val="en-GB"/>
        </w:rPr>
        <w:footnoteReference w:id="1"/>
      </w:r>
      <w:r w:rsidR="000F37BC">
        <w:rPr>
          <w:lang w:val="en-GB"/>
        </w:rPr>
        <w:t xml:space="preserve"> he</w:t>
      </w:r>
      <w:r w:rsidRPr="000F37BC">
        <w:rPr>
          <w:lang w:val="en-GB"/>
        </w:rPr>
        <w:t xml:space="preserve"> </w:t>
      </w:r>
      <w:r>
        <w:rPr>
          <w:lang w:val="en-GB"/>
        </w:rPr>
        <w:t>enquir</w:t>
      </w:r>
      <w:r w:rsidR="000F37BC">
        <w:rPr>
          <w:lang w:val="en-GB"/>
        </w:rPr>
        <w:t>ed</w:t>
      </w:r>
      <w:r>
        <w:rPr>
          <w:lang w:val="en-GB"/>
        </w:rPr>
        <w:t xml:space="preserve"> whether the court would be inclined to vary its cost order mero motu. </w:t>
      </w:r>
      <w:r w:rsidR="006E6FB8">
        <w:rPr>
          <w:lang w:val="en-GB"/>
        </w:rPr>
        <w:t xml:space="preserve">The court afforded the respondents’ attorneys the opportunity to respond. </w:t>
      </w:r>
      <w:r w:rsidR="00A3707C">
        <w:rPr>
          <w:lang w:val="en-GB"/>
        </w:rPr>
        <w:t>Shell’s view</w:t>
      </w:r>
      <w:r w:rsidR="001337E6">
        <w:rPr>
          <w:lang w:val="en-GB"/>
        </w:rPr>
        <w:t xml:space="preserve"> </w:t>
      </w:r>
      <w:r w:rsidR="000D7D5E">
        <w:rPr>
          <w:lang w:val="en-GB"/>
        </w:rPr>
        <w:t xml:space="preserve">was that variation of the costs order would be inappropriate for various reasons. </w:t>
      </w:r>
      <w:r w:rsidR="006E6FB8">
        <w:rPr>
          <w:lang w:val="en-GB"/>
        </w:rPr>
        <w:t>T</w:t>
      </w:r>
      <w:r>
        <w:rPr>
          <w:lang w:val="en-GB"/>
        </w:rPr>
        <w:t xml:space="preserve">he applicants filed a notice of application for leave to appeal the whole judgment on 20 December 2021.  </w:t>
      </w:r>
      <w:r w:rsidR="000D7D5E">
        <w:rPr>
          <w:lang w:val="en-GB"/>
        </w:rPr>
        <w:t xml:space="preserve">The following directive </w:t>
      </w:r>
      <w:r w:rsidR="00A3707C">
        <w:rPr>
          <w:lang w:val="en-GB"/>
        </w:rPr>
        <w:t>was issued on 28 January 2022:</w:t>
      </w:r>
    </w:p>
    <w:p w14:paraId="2152B431" w14:textId="4F78DB72" w:rsidR="00A3707C" w:rsidRDefault="00A3707C" w:rsidP="006640FE">
      <w:pPr>
        <w:ind w:left="142"/>
        <w:jc w:val="both"/>
        <w:rPr>
          <w:sz w:val="22"/>
          <w:szCs w:val="22"/>
          <w:lang w:val="en-GB"/>
        </w:rPr>
      </w:pPr>
      <w:r>
        <w:rPr>
          <w:sz w:val="22"/>
          <w:szCs w:val="22"/>
          <w:lang w:val="en-GB"/>
        </w:rPr>
        <w:t>‘</w:t>
      </w:r>
      <w:r w:rsidR="00875788">
        <w:rPr>
          <w:sz w:val="22"/>
          <w:szCs w:val="22"/>
          <w:lang w:val="en-GB"/>
        </w:rPr>
        <w:t>1. The court is disinclined to vary its judgment in respect of costs mero motu in terms of Rule 42.</w:t>
      </w:r>
    </w:p>
    <w:p w14:paraId="6A8791F3" w14:textId="7C1BDD9A" w:rsidR="00875788" w:rsidRDefault="001337E6" w:rsidP="006640FE">
      <w:pPr>
        <w:ind w:left="142"/>
        <w:jc w:val="both"/>
        <w:rPr>
          <w:sz w:val="22"/>
          <w:szCs w:val="22"/>
          <w:lang w:val="en-GB"/>
        </w:rPr>
      </w:pPr>
      <w:r>
        <w:rPr>
          <w:sz w:val="22"/>
          <w:szCs w:val="22"/>
          <w:lang w:val="en-GB"/>
        </w:rPr>
        <w:t>2. The presiding judge is available to hear the application for leave to appeal virtually on 23 or 25 March 2022 …</w:t>
      </w:r>
    </w:p>
    <w:p w14:paraId="10FF575B" w14:textId="33A36D8F" w:rsidR="00875788" w:rsidRDefault="00875788" w:rsidP="006640FE">
      <w:pPr>
        <w:ind w:left="142"/>
        <w:jc w:val="both"/>
        <w:rPr>
          <w:sz w:val="22"/>
          <w:szCs w:val="22"/>
          <w:lang w:val="en-GB"/>
        </w:rPr>
      </w:pPr>
      <w:r>
        <w:rPr>
          <w:sz w:val="22"/>
          <w:szCs w:val="22"/>
          <w:lang w:val="en-GB"/>
        </w:rPr>
        <w:t>3. Prior to hearing this application, counsel will be requested to address the court on the following point:</w:t>
      </w:r>
    </w:p>
    <w:p w14:paraId="1FAED6E6" w14:textId="528C7884" w:rsidR="00875788" w:rsidRPr="00875788" w:rsidRDefault="00875788" w:rsidP="006640FE">
      <w:pPr>
        <w:ind w:left="1440" w:hanging="720"/>
        <w:jc w:val="both"/>
        <w:rPr>
          <w:sz w:val="22"/>
          <w:szCs w:val="22"/>
          <w:lang w:val="en-GB"/>
        </w:rPr>
      </w:pPr>
      <w:r>
        <w:rPr>
          <w:sz w:val="22"/>
          <w:szCs w:val="22"/>
          <w:lang w:val="en-GB"/>
        </w:rPr>
        <w:t xml:space="preserve">a. </w:t>
      </w:r>
      <w:r>
        <w:rPr>
          <w:sz w:val="22"/>
          <w:szCs w:val="22"/>
          <w:lang w:val="en-GB"/>
        </w:rPr>
        <w:tab/>
        <w:t xml:space="preserve">Given the judgment in </w:t>
      </w:r>
      <w:r>
        <w:rPr>
          <w:i/>
          <w:iCs/>
          <w:sz w:val="22"/>
          <w:szCs w:val="22"/>
          <w:lang w:val="en-GB"/>
        </w:rPr>
        <w:t xml:space="preserve">Estate Garlick v Commissioner for Inland Revenue </w:t>
      </w:r>
      <w:r>
        <w:rPr>
          <w:sz w:val="22"/>
          <w:szCs w:val="22"/>
          <w:lang w:val="en-GB"/>
        </w:rPr>
        <w:t xml:space="preserve">1934 AD 499 </w:t>
      </w:r>
      <w:r w:rsidR="007634B1">
        <w:rPr>
          <w:sz w:val="22"/>
          <w:szCs w:val="22"/>
          <w:lang w:val="en-GB"/>
        </w:rPr>
        <w:t>[‘</w:t>
      </w:r>
      <w:r w:rsidR="007634B1">
        <w:rPr>
          <w:i/>
          <w:iCs/>
          <w:sz w:val="22"/>
          <w:szCs w:val="22"/>
          <w:lang w:val="en-GB"/>
        </w:rPr>
        <w:t>Estate Garlick</w:t>
      </w:r>
      <w:r w:rsidR="007634B1">
        <w:rPr>
          <w:sz w:val="22"/>
          <w:szCs w:val="22"/>
          <w:lang w:val="en-GB"/>
        </w:rPr>
        <w:t>’]</w:t>
      </w:r>
      <w:r w:rsidR="007634B1">
        <w:rPr>
          <w:i/>
          <w:iCs/>
          <w:sz w:val="22"/>
          <w:szCs w:val="22"/>
          <w:lang w:val="en-GB"/>
        </w:rPr>
        <w:t xml:space="preserve"> </w:t>
      </w:r>
      <w:r>
        <w:rPr>
          <w:sz w:val="22"/>
          <w:szCs w:val="22"/>
          <w:lang w:val="en-GB"/>
        </w:rPr>
        <w:t>at 503, is the court debarred from hearing counsel on the appropriateness of the order of costs and possibly altering the order of costs already pronounced by it?</w:t>
      </w:r>
    </w:p>
    <w:p w14:paraId="60842D12" w14:textId="77777777" w:rsidR="00875788" w:rsidRPr="00A3707C" w:rsidRDefault="00875788" w:rsidP="00A3707C">
      <w:pPr>
        <w:ind w:left="142"/>
        <w:rPr>
          <w:sz w:val="22"/>
          <w:szCs w:val="22"/>
          <w:lang w:val="en-GB"/>
        </w:rPr>
      </w:pPr>
    </w:p>
    <w:p w14:paraId="7D634519" w14:textId="75742B60" w:rsidR="004B7E82" w:rsidRPr="00433620" w:rsidRDefault="00672E50" w:rsidP="00433620">
      <w:pPr>
        <w:pStyle w:val="ListParagraph"/>
        <w:numPr>
          <w:ilvl w:val="0"/>
          <w:numId w:val="10"/>
        </w:numPr>
        <w:autoSpaceDE w:val="0"/>
        <w:autoSpaceDN w:val="0"/>
        <w:adjustRightInd w:val="0"/>
        <w:ind w:left="142" w:hanging="142"/>
        <w:jc w:val="both"/>
        <w:rPr>
          <w:lang w:val="en-GB"/>
        </w:rPr>
      </w:pPr>
      <w:r w:rsidRPr="00433620">
        <w:rPr>
          <w:lang w:val="en-GB"/>
        </w:rPr>
        <w:t xml:space="preserve">The </w:t>
      </w:r>
      <w:r w:rsidR="00433620">
        <w:rPr>
          <w:lang w:val="en-GB"/>
        </w:rPr>
        <w:t xml:space="preserve">opposed </w:t>
      </w:r>
      <w:r w:rsidRPr="00433620">
        <w:rPr>
          <w:lang w:val="en-GB"/>
        </w:rPr>
        <w:t xml:space="preserve">application for leave to appeal was </w:t>
      </w:r>
      <w:r w:rsidR="000D3789">
        <w:rPr>
          <w:lang w:val="en-GB"/>
        </w:rPr>
        <w:t xml:space="preserve">eventually </w:t>
      </w:r>
      <w:r w:rsidRPr="00433620">
        <w:rPr>
          <w:lang w:val="en-GB"/>
        </w:rPr>
        <w:t xml:space="preserve">set down for hearing on 19 May 2022. By that time, the applicants had indicated their intention to proceed only in respect of the question of costs. The remaining grounds for seeking leave to appeal are the following: an appeal would have a reasonable prospect of success because costs should not have been ordered against the applicants in the </w:t>
      </w:r>
      <w:r w:rsidRPr="00433620">
        <w:rPr>
          <w:lang w:val="en-GB"/>
        </w:rPr>
        <w:lastRenderedPageBreak/>
        <w:t xml:space="preserve">circumstances, alternatively </w:t>
      </w:r>
      <w:r w:rsidR="00842E4B" w:rsidRPr="00433620">
        <w:rPr>
          <w:lang w:val="en-GB"/>
        </w:rPr>
        <w:t xml:space="preserve">costs should not have been awarded against the applicants on a proper exercise of the </w:t>
      </w:r>
      <w:r w:rsidR="00CF649D" w:rsidRPr="00433620">
        <w:rPr>
          <w:lang w:val="en-GB"/>
        </w:rPr>
        <w:t xml:space="preserve">court’s </w:t>
      </w:r>
      <w:r w:rsidR="00842E4B" w:rsidRPr="00433620">
        <w:rPr>
          <w:lang w:val="en-GB"/>
        </w:rPr>
        <w:t>discretion in terms of s 32(2) of the National Environmental Management Act, 1998</w:t>
      </w:r>
      <w:r w:rsidR="00B856A3">
        <w:rPr>
          <w:lang w:val="en-GB"/>
        </w:rPr>
        <w:t xml:space="preserve"> (‘NEMA’)</w:t>
      </w:r>
      <w:r w:rsidR="00842E4B" w:rsidRPr="00433620">
        <w:rPr>
          <w:lang w:val="en-GB"/>
        </w:rPr>
        <w:t>.</w:t>
      </w:r>
      <w:r w:rsidR="00842E4B">
        <w:rPr>
          <w:rStyle w:val="FootnoteReference"/>
          <w:lang w:val="en-GB"/>
        </w:rPr>
        <w:footnoteReference w:id="2"/>
      </w:r>
    </w:p>
    <w:p w14:paraId="1FB0A06D" w14:textId="64B83AE6" w:rsidR="00672E50" w:rsidRDefault="00672E50" w:rsidP="00391D5F">
      <w:pPr>
        <w:rPr>
          <w:lang w:val="en-GB"/>
        </w:rPr>
      </w:pPr>
    </w:p>
    <w:p w14:paraId="0AB882DE" w14:textId="74B1F4B7" w:rsidR="00391D5F" w:rsidRDefault="00031E30" w:rsidP="00391D5F">
      <w:pPr>
        <w:rPr>
          <w:b/>
          <w:bCs/>
          <w:lang w:val="en-GB"/>
        </w:rPr>
      </w:pPr>
      <w:r>
        <w:rPr>
          <w:b/>
          <w:bCs/>
          <w:lang w:val="en-GB"/>
        </w:rPr>
        <w:t>T</w:t>
      </w:r>
      <w:r w:rsidR="00804D4B">
        <w:rPr>
          <w:b/>
          <w:bCs/>
          <w:lang w:val="en-GB"/>
        </w:rPr>
        <w:t>he urgent application</w:t>
      </w:r>
      <w:r>
        <w:rPr>
          <w:b/>
          <w:bCs/>
          <w:lang w:val="en-GB"/>
        </w:rPr>
        <w:t xml:space="preserve"> and costs</w:t>
      </w:r>
    </w:p>
    <w:p w14:paraId="2F7B25CE" w14:textId="77777777" w:rsidR="00804D4B" w:rsidRPr="00391D5F" w:rsidRDefault="00804D4B" w:rsidP="00391D5F">
      <w:pPr>
        <w:rPr>
          <w:b/>
          <w:bCs/>
          <w:lang w:val="en-GB"/>
        </w:rPr>
      </w:pPr>
    </w:p>
    <w:p w14:paraId="48527DCB" w14:textId="3E12D29F" w:rsidR="00672E50" w:rsidRPr="00044B50" w:rsidRDefault="005673BF" w:rsidP="00682CE5">
      <w:pPr>
        <w:pStyle w:val="ListParagraph"/>
        <w:numPr>
          <w:ilvl w:val="0"/>
          <w:numId w:val="10"/>
        </w:numPr>
        <w:autoSpaceDE w:val="0"/>
        <w:autoSpaceDN w:val="0"/>
        <w:adjustRightInd w:val="0"/>
        <w:ind w:left="142" w:hanging="142"/>
        <w:jc w:val="both"/>
        <w:rPr>
          <w:lang w:val="en-GB"/>
        </w:rPr>
      </w:pPr>
      <w:r>
        <w:rPr>
          <w:lang w:val="en-GB"/>
        </w:rPr>
        <w:t xml:space="preserve">The applicants sought various forms of relief in their notice of motion dated 29 November 2021. </w:t>
      </w:r>
      <w:r w:rsidR="00A76620">
        <w:rPr>
          <w:lang w:val="en-GB"/>
        </w:rPr>
        <w:t>In addition to applying for a rule nisi interdicting Shell from undertaking the seismic survey, the applicants contemplated the filing of a separate application reviewing and setting aside various decisions of the first respondent</w:t>
      </w:r>
      <w:r w:rsidR="000D3789">
        <w:rPr>
          <w:lang w:val="en-GB"/>
        </w:rPr>
        <w:t xml:space="preserve">. </w:t>
      </w:r>
      <w:r>
        <w:rPr>
          <w:lang w:val="en-GB"/>
        </w:rPr>
        <w:t xml:space="preserve">Relevant for present purposes was the prayer that ‘unless </w:t>
      </w:r>
      <w:r w:rsidR="000B2EE6">
        <w:rPr>
          <w:lang w:val="en-GB"/>
        </w:rPr>
        <w:t>[an]</w:t>
      </w:r>
      <w:r>
        <w:rPr>
          <w:lang w:val="en-GB"/>
        </w:rPr>
        <w:t xml:space="preserve"> application for review and setting aside of the decisions in annexure A has been instituted by 10 January 2022, any order made … shall lapse’ and the prayer ‘that costs stand over for later determination’. </w:t>
      </w:r>
      <w:r w:rsidR="00AD59A4">
        <w:rPr>
          <w:lang w:val="en-GB"/>
        </w:rPr>
        <w:t>Shell argued that the application should be struck from the roll with costs, alternatively be dismissed with costs, including the costs of two counsel.</w:t>
      </w:r>
      <w:r w:rsidR="00835C94">
        <w:rPr>
          <w:lang w:val="en-GB"/>
        </w:rPr>
        <w:t xml:space="preserve"> Similar submissions were advanced in heads of argument</w:t>
      </w:r>
      <w:r w:rsidR="008A6754">
        <w:rPr>
          <w:lang w:val="en-GB"/>
        </w:rPr>
        <w:t>, counsel for the first respondent arguing that the application should be struck from the roll with costs.</w:t>
      </w:r>
      <w:r w:rsidR="005E11A4">
        <w:rPr>
          <w:lang w:val="en-GB"/>
        </w:rPr>
        <w:t xml:space="preserve"> </w:t>
      </w:r>
      <w:r w:rsidR="00154EC2">
        <w:rPr>
          <w:lang w:val="en-GB"/>
        </w:rPr>
        <w:t>T</w:t>
      </w:r>
      <w:r w:rsidR="005E11A4">
        <w:rPr>
          <w:lang w:val="en-GB"/>
        </w:rPr>
        <w:t>he issue of costs was not addressed in any further detail during argument</w:t>
      </w:r>
      <w:r w:rsidR="00B856A3">
        <w:rPr>
          <w:lang w:val="en-GB"/>
        </w:rPr>
        <w:t xml:space="preserve">, and the applicants made no submissions on </w:t>
      </w:r>
      <w:r w:rsidR="00B856A3">
        <w:rPr>
          <w:i/>
          <w:iCs/>
          <w:lang w:val="en-GB"/>
        </w:rPr>
        <w:t>Biowatch</w:t>
      </w:r>
      <w:r w:rsidR="00B856A3">
        <w:rPr>
          <w:lang w:val="en-GB"/>
        </w:rPr>
        <w:t xml:space="preserve"> or s 32(2) of NEMA</w:t>
      </w:r>
      <w:r w:rsidR="005E11A4">
        <w:rPr>
          <w:lang w:val="en-GB"/>
        </w:rPr>
        <w:t xml:space="preserve">. </w:t>
      </w:r>
    </w:p>
    <w:p w14:paraId="4CD9AA23" w14:textId="6C7B177F" w:rsidR="00E57C72" w:rsidRDefault="00E57C72" w:rsidP="002125D8">
      <w:pPr>
        <w:jc w:val="both"/>
        <w:rPr>
          <w:lang w:val="en-GB"/>
        </w:rPr>
      </w:pPr>
    </w:p>
    <w:p w14:paraId="49415D32" w14:textId="3DEAA1BE" w:rsidR="002125D8" w:rsidRDefault="002125D8" w:rsidP="002125D8">
      <w:pPr>
        <w:jc w:val="both"/>
        <w:rPr>
          <w:b/>
          <w:bCs/>
          <w:lang w:val="en-GB"/>
        </w:rPr>
      </w:pPr>
      <w:r>
        <w:rPr>
          <w:b/>
          <w:bCs/>
          <w:lang w:val="en-GB"/>
        </w:rPr>
        <w:t>Reconsider</w:t>
      </w:r>
      <w:r w:rsidR="004007F0">
        <w:rPr>
          <w:b/>
          <w:bCs/>
          <w:lang w:val="en-GB"/>
        </w:rPr>
        <w:t>ation of the</w:t>
      </w:r>
      <w:r>
        <w:rPr>
          <w:b/>
          <w:bCs/>
          <w:lang w:val="en-GB"/>
        </w:rPr>
        <w:t xml:space="preserve"> costs order</w:t>
      </w:r>
    </w:p>
    <w:p w14:paraId="18AEE215" w14:textId="77777777" w:rsidR="002125D8" w:rsidRPr="002125D8" w:rsidRDefault="002125D8" w:rsidP="002125D8">
      <w:pPr>
        <w:jc w:val="both"/>
        <w:rPr>
          <w:b/>
          <w:bCs/>
          <w:lang w:val="en-GB"/>
        </w:rPr>
      </w:pPr>
    </w:p>
    <w:p w14:paraId="48EF6EC8" w14:textId="01688C55" w:rsidR="00E57C72" w:rsidRPr="00044B50" w:rsidRDefault="00540B29" w:rsidP="00682CE5">
      <w:pPr>
        <w:pStyle w:val="ListParagraph"/>
        <w:numPr>
          <w:ilvl w:val="0"/>
          <w:numId w:val="10"/>
        </w:numPr>
        <w:autoSpaceDE w:val="0"/>
        <w:autoSpaceDN w:val="0"/>
        <w:adjustRightInd w:val="0"/>
        <w:ind w:left="142" w:hanging="142"/>
        <w:jc w:val="both"/>
        <w:rPr>
          <w:lang w:val="en-GB"/>
        </w:rPr>
      </w:pPr>
      <w:r>
        <w:rPr>
          <w:lang w:val="en-GB"/>
        </w:rPr>
        <w:t xml:space="preserve">In </w:t>
      </w:r>
      <w:r>
        <w:rPr>
          <w:i/>
          <w:iCs/>
          <w:lang w:val="en-GB"/>
        </w:rPr>
        <w:t>Estate Garlick</w:t>
      </w:r>
      <w:r>
        <w:rPr>
          <w:lang w:val="en-GB"/>
        </w:rPr>
        <w:t xml:space="preserve">, </w:t>
      </w:r>
      <w:r w:rsidR="00B65C89">
        <w:rPr>
          <w:lang w:val="en-GB"/>
        </w:rPr>
        <w:t xml:space="preserve">the court confirmed the general rule that </w:t>
      </w:r>
      <w:r w:rsidR="005A29DE">
        <w:rPr>
          <w:lang w:val="en-GB"/>
        </w:rPr>
        <w:t>an order of court, once pronounced, cannot be altered or amended. Th</w:t>
      </w:r>
      <w:r w:rsidR="00C86E6A">
        <w:rPr>
          <w:lang w:val="en-GB"/>
        </w:rPr>
        <w:t>is is because the court is then functus officio, ‘so that [the judge] cannot thereafter alter, supplement, amend, or correct the judgment.’</w:t>
      </w:r>
      <w:r w:rsidR="000D3FA3">
        <w:rPr>
          <w:rStyle w:val="FootnoteReference"/>
          <w:lang w:val="en-GB"/>
        </w:rPr>
        <w:footnoteReference w:id="3"/>
      </w:r>
      <w:r w:rsidR="00932BA1">
        <w:rPr>
          <w:lang w:val="en-GB"/>
        </w:rPr>
        <w:t xml:space="preserve"> Various exceptions were noted, including the following:</w:t>
      </w:r>
      <w:r w:rsidR="00F308A2">
        <w:rPr>
          <w:rStyle w:val="FootnoteReference"/>
          <w:lang w:val="en-GB"/>
        </w:rPr>
        <w:footnoteReference w:id="4"/>
      </w:r>
    </w:p>
    <w:p w14:paraId="3225DD1D" w14:textId="5A8BB0EC" w:rsidR="008C480D" w:rsidRDefault="00932BA1" w:rsidP="00932BA1">
      <w:pPr>
        <w:autoSpaceDE w:val="0"/>
        <w:autoSpaceDN w:val="0"/>
        <w:adjustRightInd w:val="0"/>
        <w:ind w:left="142"/>
        <w:jc w:val="both"/>
        <w:rPr>
          <w:sz w:val="22"/>
          <w:szCs w:val="22"/>
          <w:lang w:val="en-GB"/>
        </w:rPr>
      </w:pPr>
      <w:r>
        <w:rPr>
          <w:sz w:val="22"/>
          <w:szCs w:val="22"/>
          <w:lang w:val="en-GB"/>
        </w:rPr>
        <w:t>‘</w:t>
      </w:r>
      <w:r w:rsidR="00345F76">
        <w:rPr>
          <w:sz w:val="22"/>
          <w:szCs w:val="22"/>
          <w:lang w:val="en-GB"/>
        </w:rPr>
        <w:t xml:space="preserve">If, however, counsel in arguing on the merits did not deal with questions of costs (as often happens, for good reasons) the Court in giving judgment after the adjournment may take one of two courses. It may give judgment on the merits and then invite counsel to argue on costs </w:t>
      </w:r>
      <w:r w:rsidR="00345F76">
        <w:rPr>
          <w:sz w:val="22"/>
          <w:szCs w:val="22"/>
          <w:lang w:val="en-GB"/>
        </w:rPr>
        <w:lastRenderedPageBreak/>
        <w:t>before making its order as to costs; or it may straightaway make an order of costs, without inviting argument, but in the latter case it always does so with the implied understanding that it is open to the mulcted party, or his counsel, to be heard on the order of costs. If as the result of hearing him the Court alters its views as to the costs, it would not consider itself debarred from altering the order of costs already pronounced by it. It seems therefore that this is another exception to the general Roman-Dutch rule that an order once pronounced is unalterable.’</w:t>
      </w:r>
    </w:p>
    <w:p w14:paraId="3C0F2E18" w14:textId="77777777" w:rsidR="00F308A2" w:rsidRPr="00932BA1" w:rsidRDefault="00F308A2" w:rsidP="00932BA1">
      <w:pPr>
        <w:autoSpaceDE w:val="0"/>
        <w:autoSpaceDN w:val="0"/>
        <w:adjustRightInd w:val="0"/>
        <w:ind w:left="142"/>
        <w:jc w:val="both"/>
        <w:rPr>
          <w:sz w:val="22"/>
          <w:szCs w:val="22"/>
          <w:lang w:val="en-GB"/>
        </w:rPr>
      </w:pPr>
    </w:p>
    <w:p w14:paraId="38E7DD69" w14:textId="133EC821" w:rsidR="008C480D" w:rsidRDefault="007D6B6B" w:rsidP="00AF6DF0">
      <w:pPr>
        <w:pStyle w:val="ListParagraph"/>
        <w:numPr>
          <w:ilvl w:val="0"/>
          <w:numId w:val="10"/>
        </w:numPr>
        <w:autoSpaceDE w:val="0"/>
        <w:autoSpaceDN w:val="0"/>
        <w:adjustRightInd w:val="0"/>
        <w:ind w:left="142" w:hanging="142"/>
        <w:jc w:val="both"/>
        <w:rPr>
          <w:lang w:val="en-GB"/>
        </w:rPr>
      </w:pPr>
      <w:r>
        <w:rPr>
          <w:lang w:val="en-GB"/>
        </w:rPr>
        <w:t>De Villiers JA added the following:</w:t>
      </w:r>
      <w:r w:rsidR="006F684D">
        <w:rPr>
          <w:rStyle w:val="FootnoteReference"/>
          <w:lang w:val="en-GB"/>
        </w:rPr>
        <w:footnoteReference w:id="5"/>
      </w:r>
    </w:p>
    <w:p w14:paraId="122248FD" w14:textId="4A573957" w:rsidR="007D6B6B" w:rsidRDefault="007D6B6B" w:rsidP="007D6B6B">
      <w:pPr>
        <w:pStyle w:val="ListParagraph"/>
        <w:autoSpaceDE w:val="0"/>
        <w:autoSpaceDN w:val="0"/>
        <w:adjustRightInd w:val="0"/>
        <w:ind w:left="142"/>
        <w:jc w:val="both"/>
        <w:rPr>
          <w:sz w:val="22"/>
          <w:szCs w:val="22"/>
          <w:lang w:val="en-GB"/>
        </w:rPr>
      </w:pPr>
      <w:r>
        <w:rPr>
          <w:sz w:val="22"/>
          <w:szCs w:val="22"/>
          <w:lang w:val="en-GB"/>
        </w:rPr>
        <w:t xml:space="preserve">‘The party desiring to be heard must however </w:t>
      </w:r>
      <w:r w:rsidRPr="006640FE">
        <w:rPr>
          <w:i/>
          <w:iCs/>
          <w:sz w:val="22"/>
          <w:szCs w:val="22"/>
          <w:lang w:val="en-GB"/>
        </w:rPr>
        <w:t>apply</w:t>
      </w:r>
      <w:r>
        <w:rPr>
          <w:sz w:val="22"/>
          <w:szCs w:val="22"/>
          <w:lang w:val="en-GB"/>
        </w:rPr>
        <w:t xml:space="preserve"> within a reasonable time </w:t>
      </w:r>
      <w:r w:rsidRPr="006640FE">
        <w:rPr>
          <w:i/>
          <w:iCs/>
          <w:sz w:val="22"/>
          <w:szCs w:val="22"/>
          <w:lang w:val="en-GB"/>
        </w:rPr>
        <w:t>to be heard</w:t>
      </w:r>
      <w:r>
        <w:rPr>
          <w:sz w:val="22"/>
          <w:szCs w:val="22"/>
          <w:lang w:val="en-GB"/>
        </w:rPr>
        <w:t xml:space="preserve"> … </w:t>
      </w:r>
      <w:r w:rsidR="007D5E83">
        <w:rPr>
          <w:sz w:val="22"/>
          <w:szCs w:val="22"/>
          <w:lang w:val="en-GB"/>
        </w:rPr>
        <w:t xml:space="preserve">If he decides to ask </w:t>
      </w:r>
      <w:r w:rsidR="007D5E83" w:rsidRPr="006640FE">
        <w:rPr>
          <w:i/>
          <w:iCs/>
          <w:sz w:val="22"/>
          <w:szCs w:val="22"/>
          <w:lang w:val="en-GB"/>
        </w:rPr>
        <w:t>to be heard</w:t>
      </w:r>
      <w:r w:rsidR="007D5E83">
        <w:rPr>
          <w:sz w:val="22"/>
          <w:szCs w:val="22"/>
          <w:lang w:val="en-GB"/>
        </w:rPr>
        <w:t xml:space="preserve"> as to the costs he </w:t>
      </w:r>
      <w:r w:rsidR="007D5E83" w:rsidRPr="006640FE">
        <w:rPr>
          <w:i/>
          <w:iCs/>
          <w:sz w:val="22"/>
          <w:szCs w:val="22"/>
          <w:lang w:val="en-GB"/>
        </w:rPr>
        <w:t>must then apply</w:t>
      </w:r>
      <w:r w:rsidR="007D5E83">
        <w:rPr>
          <w:sz w:val="22"/>
          <w:szCs w:val="22"/>
          <w:lang w:val="en-GB"/>
        </w:rPr>
        <w:t xml:space="preserve"> to the Registrar of this Court to fix a day for hearing argument on the question of costs … </w:t>
      </w:r>
      <w:r w:rsidRPr="006640FE">
        <w:rPr>
          <w:i/>
          <w:iCs/>
          <w:sz w:val="22"/>
          <w:szCs w:val="22"/>
          <w:lang w:val="en-GB"/>
        </w:rPr>
        <w:t>The essential point is that the party feeling aggrieved by the order of costs must apply to be heard on the questions of such costs within a reasonable time after the order of costs is pronounced by the Judge</w:t>
      </w:r>
      <w:r>
        <w:rPr>
          <w:sz w:val="22"/>
          <w:szCs w:val="22"/>
          <w:lang w:val="en-GB"/>
        </w:rPr>
        <w:t>.’</w:t>
      </w:r>
      <w:r w:rsidR="006640FE">
        <w:rPr>
          <w:sz w:val="22"/>
          <w:szCs w:val="22"/>
          <w:lang w:val="en-GB"/>
        </w:rPr>
        <w:t xml:space="preserve"> (Own emphasis).</w:t>
      </w:r>
    </w:p>
    <w:p w14:paraId="1299A100" w14:textId="77777777" w:rsidR="007D6B6B" w:rsidRPr="007D6B6B" w:rsidRDefault="007D6B6B" w:rsidP="007D6B6B">
      <w:pPr>
        <w:pStyle w:val="ListParagraph"/>
        <w:autoSpaceDE w:val="0"/>
        <w:autoSpaceDN w:val="0"/>
        <w:adjustRightInd w:val="0"/>
        <w:ind w:left="142"/>
        <w:jc w:val="both"/>
        <w:rPr>
          <w:sz w:val="22"/>
          <w:szCs w:val="22"/>
          <w:lang w:val="en-GB"/>
        </w:rPr>
      </w:pPr>
    </w:p>
    <w:p w14:paraId="761C9D79" w14:textId="039918CC" w:rsidR="007D6B6B" w:rsidRDefault="007D5E83" w:rsidP="00AF6DF0">
      <w:pPr>
        <w:pStyle w:val="ListParagraph"/>
        <w:numPr>
          <w:ilvl w:val="0"/>
          <w:numId w:val="10"/>
        </w:numPr>
        <w:autoSpaceDE w:val="0"/>
        <w:autoSpaceDN w:val="0"/>
        <w:adjustRightInd w:val="0"/>
        <w:ind w:left="142" w:hanging="142"/>
        <w:jc w:val="both"/>
        <w:rPr>
          <w:lang w:val="en-GB"/>
        </w:rPr>
      </w:pPr>
      <w:r>
        <w:rPr>
          <w:lang w:val="en-GB"/>
        </w:rPr>
        <w:t xml:space="preserve">In </w:t>
      </w:r>
      <w:r>
        <w:rPr>
          <w:i/>
          <w:iCs/>
          <w:lang w:val="en-GB"/>
        </w:rPr>
        <w:t>Estate Garlick</w:t>
      </w:r>
      <w:r>
        <w:rPr>
          <w:lang w:val="en-GB"/>
        </w:rPr>
        <w:t xml:space="preserve">, </w:t>
      </w:r>
      <w:r w:rsidR="00446AF2">
        <w:rPr>
          <w:lang w:val="en-GB"/>
        </w:rPr>
        <w:t xml:space="preserve">counsel on both sides had refrained from dealing with the issue of the costs of the appeal during their argument. After hearing argument, the court announced that it would take time to consider its judgment, which was delivered some 20 days later, including an order holding Estate Garlick responsible for costs of the appeal. </w:t>
      </w:r>
      <w:r w:rsidR="00012DDB">
        <w:rPr>
          <w:lang w:val="en-GB"/>
        </w:rPr>
        <w:t xml:space="preserve">Although counsel present to note the judgment did not raise any objection at the time, the attorneys representing Estate Garlick </w:t>
      </w:r>
      <w:r w:rsidR="00BE4E85">
        <w:rPr>
          <w:lang w:val="en-GB"/>
        </w:rPr>
        <w:t xml:space="preserve">‘applied to the Registrar of this Court </w:t>
      </w:r>
      <w:r w:rsidR="0043634B">
        <w:rPr>
          <w:lang w:val="en-GB"/>
        </w:rPr>
        <w:t xml:space="preserve">[the following day] </w:t>
      </w:r>
      <w:r w:rsidR="00BE4E85">
        <w:rPr>
          <w:lang w:val="en-GB"/>
        </w:rPr>
        <w:t>to arrange for the hearing of an application praying the Court to stay the issue of the order as to costs until such time as the Court could be reconstituted as composed when the appeal was heard, in order that the Estate Garlick might then be heard on the question of costs</w:t>
      </w:r>
      <w:r w:rsidR="001D361E">
        <w:rPr>
          <w:lang w:val="en-GB"/>
        </w:rPr>
        <w:t>’.</w:t>
      </w:r>
      <w:r w:rsidR="00BE6BBF">
        <w:rPr>
          <w:rStyle w:val="FootnoteReference"/>
          <w:lang w:val="en-GB"/>
        </w:rPr>
        <w:footnoteReference w:id="6"/>
      </w:r>
      <w:r w:rsidR="002C015E">
        <w:rPr>
          <w:lang w:val="en-GB"/>
        </w:rPr>
        <w:t xml:space="preserve"> This prompted De Villiers JA to conclude that the attorneys had acted promptly</w:t>
      </w:r>
      <w:r w:rsidR="00256D0A">
        <w:rPr>
          <w:lang w:val="en-GB"/>
        </w:rPr>
        <w:t>, so that the costs order was stayed and an opportunity afforded for the reconstituted court to hear argument on costs.</w:t>
      </w:r>
      <w:r w:rsidR="001544A5">
        <w:rPr>
          <w:rStyle w:val="FootnoteReference"/>
          <w:lang w:val="en-GB"/>
        </w:rPr>
        <w:footnoteReference w:id="7"/>
      </w:r>
    </w:p>
    <w:p w14:paraId="2359000F" w14:textId="77777777" w:rsidR="00E7762B" w:rsidRDefault="00E7762B" w:rsidP="00E7762B">
      <w:pPr>
        <w:pStyle w:val="ListParagraph"/>
        <w:autoSpaceDE w:val="0"/>
        <w:autoSpaceDN w:val="0"/>
        <w:adjustRightInd w:val="0"/>
        <w:ind w:left="142"/>
        <w:jc w:val="both"/>
        <w:rPr>
          <w:lang w:val="en-GB"/>
        </w:rPr>
      </w:pPr>
    </w:p>
    <w:p w14:paraId="0C47E851" w14:textId="77777777" w:rsidR="00017CCD" w:rsidRDefault="00847042" w:rsidP="00AF6DF0">
      <w:pPr>
        <w:pStyle w:val="ListParagraph"/>
        <w:numPr>
          <w:ilvl w:val="0"/>
          <w:numId w:val="10"/>
        </w:numPr>
        <w:autoSpaceDE w:val="0"/>
        <w:autoSpaceDN w:val="0"/>
        <w:adjustRightInd w:val="0"/>
        <w:ind w:left="142" w:hanging="142"/>
        <w:jc w:val="both"/>
        <w:rPr>
          <w:lang w:val="en-GB"/>
        </w:rPr>
      </w:pPr>
      <w:r>
        <w:rPr>
          <w:lang w:val="en-GB"/>
        </w:rPr>
        <w:t xml:space="preserve">As counsel for the respondents argued, the present </w:t>
      </w:r>
      <w:r w:rsidR="007A1C9D">
        <w:rPr>
          <w:lang w:val="en-GB"/>
        </w:rPr>
        <w:t>setting is different. While there was correspondence requesting the court to vary its costs order</w:t>
      </w:r>
      <w:r w:rsidR="00193882">
        <w:rPr>
          <w:lang w:val="en-GB"/>
        </w:rPr>
        <w:t xml:space="preserve"> mero motu</w:t>
      </w:r>
      <w:r w:rsidR="007A1C9D">
        <w:rPr>
          <w:lang w:val="en-GB"/>
        </w:rPr>
        <w:t xml:space="preserve">, </w:t>
      </w:r>
      <w:r w:rsidR="007A1C9D">
        <w:rPr>
          <w:lang w:val="en-GB"/>
        </w:rPr>
        <w:lastRenderedPageBreak/>
        <w:t xml:space="preserve">there has been no application </w:t>
      </w:r>
      <w:r w:rsidR="00193882">
        <w:rPr>
          <w:lang w:val="en-GB"/>
        </w:rPr>
        <w:t>to be heard on the issue.</w:t>
      </w:r>
      <w:r w:rsidR="000D3789">
        <w:rPr>
          <w:rStyle w:val="FootnoteReference"/>
          <w:lang w:val="en-GB"/>
        </w:rPr>
        <w:footnoteReference w:id="8"/>
      </w:r>
      <w:r w:rsidR="00490905">
        <w:rPr>
          <w:lang w:val="en-GB"/>
        </w:rPr>
        <w:t xml:space="preserve"> </w:t>
      </w:r>
      <w:r w:rsidR="00241C84">
        <w:rPr>
          <w:lang w:val="en-GB"/>
        </w:rPr>
        <w:t>A</w:t>
      </w:r>
      <w:r w:rsidR="000D6D6B">
        <w:rPr>
          <w:lang w:val="en-GB"/>
        </w:rPr>
        <w:t xml:space="preserve"> </w:t>
      </w:r>
      <w:r w:rsidR="00241C84">
        <w:rPr>
          <w:lang w:val="en-GB"/>
        </w:rPr>
        <w:t>s</w:t>
      </w:r>
      <w:r w:rsidR="000D6D6B">
        <w:rPr>
          <w:lang w:val="en-GB"/>
        </w:rPr>
        <w:t>imilar situation arose</w:t>
      </w:r>
      <w:r w:rsidR="00241C84">
        <w:rPr>
          <w:lang w:val="en-GB"/>
        </w:rPr>
        <w:t xml:space="preserve"> in </w:t>
      </w:r>
      <w:r w:rsidR="00241C84">
        <w:rPr>
          <w:i/>
          <w:iCs/>
          <w:lang w:val="en-GB"/>
        </w:rPr>
        <w:t>Union Government v Gass</w:t>
      </w:r>
      <w:r w:rsidR="000D6D6B">
        <w:rPr>
          <w:lang w:val="en-GB"/>
        </w:rPr>
        <w:t>.</w:t>
      </w:r>
      <w:r w:rsidR="00241C84" w:rsidRPr="000D6D6B">
        <w:rPr>
          <w:rStyle w:val="FootnoteReference"/>
          <w:lang w:val="en-GB"/>
        </w:rPr>
        <w:footnoteReference w:id="9"/>
      </w:r>
      <w:r w:rsidR="000D6D6B">
        <w:rPr>
          <w:lang w:val="en-GB"/>
        </w:rPr>
        <w:t xml:space="preserve"> In that matter there had been no argument on costs advanced before court. The Appellate Division held, with reference to </w:t>
      </w:r>
      <w:r w:rsidR="000D6D6B">
        <w:rPr>
          <w:i/>
          <w:iCs/>
          <w:lang w:val="en-GB"/>
        </w:rPr>
        <w:t>Estate Garlick</w:t>
      </w:r>
      <w:r w:rsidR="000D6D6B">
        <w:rPr>
          <w:lang w:val="en-GB"/>
        </w:rPr>
        <w:t>, that it had been open to the appellant to apply to be heard on the issue of costs once it ascertained that costs had been awarded against it. No such application had been made</w:t>
      </w:r>
      <w:r w:rsidR="006C56A6">
        <w:rPr>
          <w:lang w:val="en-GB"/>
        </w:rPr>
        <w:t xml:space="preserve">. </w:t>
      </w:r>
    </w:p>
    <w:p w14:paraId="3DA81CE1" w14:textId="77777777" w:rsidR="00017CCD" w:rsidRPr="00017CCD" w:rsidRDefault="00017CCD" w:rsidP="00017CCD">
      <w:pPr>
        <w:pStyle w:val="ListParagraph"/>
        <w:rPr>
          <w:lang w:val="en-GB"/>
        </w:rPr>
      </w:pPr>
    </w:p>
    <w:p w14:paraId="358BB010" w14:textId="4C2980B4" w:rsidR="00DE35A3" w:rsidRDefault="00490905" w:rsidP="00AF6DF0">
      <w:pPr>
        <w:pStyle w:val="ListParagraph"/>
        <w:numPr>
          <w:ilvl w:val="0"/>
          <w:numId w:val="10"/>
        </w:numPr>
        <w:autoSpaceDE w:val="0"/>
        <w:autoSpaceDN w:val="0"/>
        <w:adjustRightInd w:val="0"/>
        <w:ind w:left="142" w:hanging="142"/>
        <w:jc w:val="both"/>
        <w:rPr>
          <w:lang w:val="en-GB"/>
        </w:rPr>
      </w:pPr>
      <w:r>
        <w:rPr>
          <w:lang w:val="en-GB"/>
        </w:rPr>
        <w:t>The court directive raising the possibility of such a hearing, and even the possibility of an alteration of the costs order, does not change that position.</w:t>
      </w:r>
      <w:r w:rsidR="00BA47BA">
        <w:rPr>
          <w:lang w:val="en-GB"/>
        </w:rPr>
        <w:t xml:space="preserve"> </w:t>
      </w:r>
      <w:r w:rsidR="00DE35A3">
        <w:rPr>
          <w:lang w:val="en-GB"/>
        </w:rPr>
        <w:t>This is not mere formalism. The lack of a proper application negates proper ventilation of the possible reasons for reconsideration</w:t>
      </w:r>
      <w:r w:rsidR="00E216BF">
        <w:rPr>
          <w:lang w:val="en-GB"/>
        </w:rPr>
        <w:t xml:space="preserve">. </w:t>
      </w:r>
      <w:r w:rsidR="002700BE">
        <w:rPr>
          <w:lang w:val="en-GB"/>
        </w:rPr>
        <w:t xml:space="preserve">No transcript of the urgent application was obtained and the parties are not entirely clear as to what was said and what was omitted during argument. </w:t>
      </w:r>
      <w:r w:rsidR="00E216BF">
        <w:rPr>
          <w:lang w:val="en-GB"/>
        </w:rPr>
        <w:t xml:space="preserve">The respondents were expected to argue </w:t>
      </w:r>
      <w:r w:rsidR="00165AD2">
        <w:rPr>
          <w:lang w:val="en-GB"/>
        </w:rPr>
        <w:t>possible reconsideration</w:t>
      </w:r>
      <w:r w:rsidR="00E216BF">
        <w:rPr>
          <w:lang w:val="en-GB"/>
        </w:rPr>
        <w:t xml:space="preserve"> without knowing the precise basis for suggesting that reconsideration was warranted </w:t>
      </w:r>
      <w:r w:rsidR="005410D5">
        <w:rPr>
          <w:lang w:val="en-GB"/>
        </w:rPr>
        <w:t xml:space="preserve">in this instance, </w:t>
      </w:r>
      <w:r w:rsidR="007C437E">
        <w:rPr>
          <w:lang w:val="en-GB"/>
        </w:rPr>
        <w:t>perhaps because of</w:t>
      </w:r>
      <w:r w:rsidR="00E216BF">
        <w:rPr>
          <w:lang w:val="en-GB"/>
        </w:rPr>
        <w:t xml:space="preserve"> </w:t>
      </w:r>
      <w:r w:rsidR="0033298E">
        <w:rPr>
          <w:lang w:val="en-GB"/>
        </w:rPr>
        <w:t>what transpired</w:t>
      </w:r>
      <w:r w:rsidR="00E216BF">
        <w:rPr>
          <w:lang w:val="en-GB"/>
        </w:rPr>
        <w:t xml:space="preserve"> during </w:t>
      </w:r>
      <w:r w:rsidR="00000FD7">
        <w:rPr>
          <w:lang w:val="en-GB"/>
        </w:rPr>
        <w:t xml:space="preserve">argument in </w:t>
      </w:r>
      <w:r w:rsidR="00E216BF">
        <w:rPr>
          <w:lang w:val="en-GB"/>
        </w:rPr>
        <w:t xml:space="preserve">the urgent application. </w:t>
      </w:r>
      <w:r w:rsidR="00FA627E">
        <w:rPr>
          <w:lang w:val="en-GB"/>
        </w:rPr>
        <w:t>Th</w:t>
      </w:r>
      <w:r w:rsidR="00B41B1B">
        <w:rPr>
          <w:lang w:val="en-GB"/>
        </w:rPr>
        <w:t xml:space="preserve">ere </w:t>
      </w:r>
      <w:r w:rsidR="00017CCD">
        <w:rPr>
          <w:lang w:val="en-GB"/>
        </w:rPr>
        <w:t>are</w:t>
      </w:r>
      <w:r w:rsidR="00B41B1B">
        <w:rPr>
          <w:lang w:val="en-GB"/>
        </w:rPr>
        <w:t xml:space="preserve"> material difference</w:t>
      </w:r>
      <w:r w:rsidR="00017CCD">
        <w:rPr>
          <w:lang w:val="en-GB"/>
        </w:rPr>
        <w:t>s</w:t>
      </w:r>
      <w:r w:rsidR="00B41B1B">
        <w:rPr>
          <w:lang w:val="en-GB"/>
        </w:rPr>
        <w:t xml:space="preserve"> </w:t>
      </w:r>
      <w:r w:rsidR="00451D93">
        <w:rPr>
          <w:lang w:val="en-GB"/>
        </w:rPr>
        <w:t>be</w:t>
      </w:r>
      <w:r w:rsidR="00FB132F">
        <w:rPr>
          <w:lang w:val="en-GB"/>
        </w:rPr>
        <w:t>tween</w:t>
      </w:r>
      <w:r w:rsidR="00B41B1B">
        <w:rPr>
          <w:lang w:val="en-GB"/>
        </w:rPr>
        <w:t xml:space="preserve"> a </w:t>
      </w:r>
      <w:r w:rsidR="004763A9">
        <w:rPr>
          <w:lang w:val="en-GB"/>
        </w:rPr>
        <w:t xml:space="preserve">letter </w:t>
      </w:r>
      <w:r w:rsidR="00B41B1B">
        <w:rPr>
          <w:lang w:val="en-GB"/>
        </w:rPr>
        <w:t>request</w:t>
      </w:r>
      <w:r w:rsidR="004763A9">
        <w:rPr>
          <w:lang w:val="en-GB"/>
        </w:rPr>
        <w:t>ing</w:t>
      </w:r>
      <w:r w:rsidR="00B41B1B">
        <w:rPr>
          <w:lang w:val="en-GB"/>
        </w:rPr>
        <w:t xml:space="preserve"> mero motu reconsideration and variation, a directive seeking clarification on whether courts, in general, are permitted to reconsider their orders, and an actual application to be heard </w:t>
      </w:r>
      <w:r w:rsidR="0007021C">
        <w:rPr>
          <w:lang w:val="en-GB"/>
        </w:rPr>
        <w:t>on a</w:t>
      </w:r>
      <w:r w:rsidR="003660AF">
        <w:rPr>
          <w:lang w:val="en-GB"/>
        </w:rPr>
        <w:t>n</w:t>
      </w:r>
      <w:r w:rsidR="0007021C">
        <w:rPr>
          <w:lang w:val="en-GB"/>
        </w:rPr>
        <w:t xml:space="preserve"> issue </w:t>
      </w:r>
      <w:r w:rsidR="00B41B1B">
        <w:rPr>
          <w:lang w:val="en-GB"/>
        </w:rPr>
        <w:t>given the specific facts of a particular matter.</w:t>
      </w:r>
    </w:p>
    <w:p w14:paraId="4AEE3904" w14:textId="77777777" w:rsidR="00DE35A3" w:rsidRPr="00DE35A3" w:rsidRDefault="00DE35A3" w:rsidP="00DE35A3">
      <w:pPr>
        <w:pStyle w:val="ListParagraph"/>
        <w:rPr>
          <w:lang w:val="en-GB"/>
        </w:rPr>
      </w:pPr>
    </w:p>
    <w:p w14:paraId="58597A39" w14:textId="04109253" w:rsidR="00E7762B" w:rsidRDefault="000A5063" w:rsidP="00AF6DF0">
      <w:pPr>
        <w:pStyle w:val="ListParagraph"/>
        <w:numPr>
          <w:ilvl w:val="0"/>
          <w:numId w:val="10"/>
        </w:numPr>
        <w:autoSpaceDE w:val="0"/>
        <w:autoSpaceDN w:val="0"/>
        <w:adjustRightInd w:val="0"/>
        <w:ind w:left="142" w:hanging="142"/>
        <w:jc w:val="both"/>
        <w:rPr>
          <w:lang w:val="en-GB"/>
        </w:rPr>
      </w:pPr>
      <w:r>
        <w:rPr>
          <w:lang w:val="en-GB"/>
        </w:rPr>
        <w:t>It follows that there is no basis for reconsideration of the costs order in the present instance</w:t>
      </w:r>
      <w:r w:rsidR="00EF56C5">
        <w:rPr>
          <w:lang w:val="en-GB"/>
        </w:rPr>
        <w:t>.</w:t>
      </w:r>
      <w:r w:rsidR="00BA47BA">
        <w:rPr>
          <w:lang w:val="en-GB"/>
        </w:rPr>
        <w:t xml:space="preserve"> </w:t>
      </w:r>
      <w:r w:rsidR="008F3E29">
        <w:rPr>
          <w:lang w:val="en-GB"/>
        </w:rPr>
        <w:t xml:space="preserve">It might be added that, in my view, a reasonable time has now elapsed for such an application. </w:t>
      </w:r>
      <w:r w:rsidR="00B70A3C">
        <w:rPr>
          <w:lang w:val="en-GB"/>
        </w:rPr>
        <w:t xml:space="preserve">It may also be completely impractical to allow applications for reconsideration, on the strength of </w:t>
      </w:r>
      <w:r w:rsidR="00B70A3C">
        <w:rPr>
          <w:i/>
          <w:iCs/>
          <w:lang w:val="en-GB"/>
        </w:rPr>
        <w:t>Estate Garlick</w:t>
      </w:r>
      <w:r w:rsidR="00B70A3C">
        <w:rPr>
          <w:lang w:val="en-GB"/>
        </w:rPr>
        <w:t xml:space="preserve">, whenever a full-blown argument on costs has not materialised. </w:t>
      </w:r>
      <w:r w:rsidR="00AA3349">
        <w:rPr>
          <w:lang w:val="en-GB"/>
        </w:rPr>
        <w:t xml:space="preserve">In any event, </w:t>
      </w:r>
      <w:r w:rsidR="00BA47BA">
        <w:rPr>
          <w:lang w:val="en-GB"/>
        </w:rPr>
        <w:t xml:space="preserve">the arguments to be advanced in the event of reconsideration mimic the arguments </w:t>
      </w:r>
      <w:r w:rsidR="001162EB">
        <w:rPr>
          <w:lang w:val="en-GB"/>
        </w:rPr>
        <w:t xml:space="preserve">advanced </w:t>
      </w:r>
      <w:r w:rsidR="00AA3349">
        <w:rPr>
          <w:lang w:val="en-GB"/>
        </w:rPr>
        <w:t xml:space="preserve">in the application for leave to appeal, focusing on </w:t>
      </w:r>
      <w:r w:rsidR="00AA3349">
        <w:rPr>
          <w:i/>
          <w:iCs/>
          <w:lang w:val="en-GB"/>
        </w:rPr>
        <w:t>Biowatch</w:t>
      </w:r>
      <w:r w:rsidR="00AA3349">
        <w:rPr>
          <w:lang w:val="en-GB"/>
        </w:rPr>
        <w:t xml:space="preserve"> and NEMA. For reasons that </w:t>
      </w:r>
      <w:r w:rsidR="00AA3349">
        <w:rPr>
          <w:lang w:val="en-GB"/>
        </w:rPr>
        <w:lastRenderedPageBreak/>
        <w:t>follow, even if an application for reconsideration had been countenanced</w:t>
      </w:r>
      <w:r w:rsidR="00A96615">
        <w:rPr>
          <w:lang w:val="en-GB"/>
        </w:rPr>
        <w:t xml:space="preserve"> on the material presently before the court</w:t>
      </w:r>
      <w:r w:rsidR="00AA3349">
        <w:rPr>
          <w:lang w:val="en-GB"/>
        </w:rPr>
        <w:t>, the outcome would remain the same.</w:t>
      </w:r>
    </w:p>
    <w:p w14:paraId="6CB1C10D" w14:textId="6B79315E" w:rsidR="000F67D0" w:rsidRDefault="000F67D0" w:rsidP="004007F0">
      <w:pPr>
        <w:rPr>
          <w:lang w:val="en-GB"/>
        </w:rPr>
      </w:pPr>
    </w:p>
    <w:p w14:paraId="2367D0B2" w14:textId="49F5FA9B" w:rsidR="004007F0" w:rsidRDefault="004007F0" w:rsidP="004007F0">
      <w:pPr>
        <w:rPr>
          <w:b/>
          <w:bCs/>
          <w:lang w:val="en-GB"/>
        </w:rPr>
      </w:pPr>
      <w:r>
        <w:rPr>
          <w:b/>
          <w:bCs/>
          <w:lang w:val="en-GB"/>
        </w:rPr>
        <w:t>The application for leave to appeal</w:t>
      </w:r>
    </w:p>
    <w:p w14:paraId="7C9BDC2E" w14:textId="77777777" w:rsidR="004007F0" w:rsidRPr="004007F0" w:rsidRDefault="004007F0" w:rsidP="004007F0">
      <w:pPr>
        <w:rPr>
          <w:b/>
          <w:bCs/>
          <w:lang w:val="en-GB"/>
        </w:rPr>
      </w:pPr>
    </w:p>
    <w:p w14:paraId="6788D24F" w14:textId="1C81C692" w:rsidR="000F67D0" w:rsidRDefault="004007F0" w:rsidP="00AF6DF0">
      <w:pPr>
        <w:pStyle w:val="ListParagraph"/>
        <w:numPr>
          <w:ilvl w:val="0"/>
          <w:numId w:val="10"/>
        </w:numPr>
        <w:autoSpaceDE w:val="0"/>
        <w:autoSpaceDN w:val="0"/>
        <w:adjustRightInd w:val="0"/>
        <w:ind w:left="142" w:hanging="142"/>
        <w:jc w:val="both"/>
        <w:rPr>
          <w:lang w:val="en-GB"/>
        </w:rPr>
      </w:pPr>
      <w:r>
        <w:rPr>
          <w:lang w:val="en-GB"/>
        </w:rPr>
        <w:t>Section 17(1) of the Superior Courts Act</w:t>
      </w:r>
      <w:r>
        <w:rPr>
          <w:rStyle w:val="FootnoteReference"/>
          <w:lang w:val="en-GB"/>
        </w:rPr>
        <w:footnoteReference w:id="10"/>
      </w:r>
      <w:r>
        <w:rPr>
          <w:lang w:val="en-GB"/>
        </w:rPr>
        <w:t xml:space="preserve"> provides:</w:t>
      </w:r>
    </w:p>
    <w:p w14:paraId="39AB7D92" w14:textId="099BAAA7" w:rsidR="004007F0" w:rsidRDefault="004007F0" w:rsidP="004007F0">
      <w:pPr>
        <w:autoSpaceDE w:val="0"/>
        <w:autoSpaceDN w:val="0"/>
        <w:adjustRightInd w:val="0"/>
        <w:ind w:left="142"/>
        <w:jc w:val="both"/>
        <w:rPr>
          <w:sz w:val="22"/>
          <w:szCs w:val="22"/>
          <w:lang w:val="en-GB"/>
        </w:rPr>
      </w:pPr>
      <w:r>
        <w:rPr>
          <w:sz w:val="22"/>
          <w:szCs w:val="22"/>
          <w:lang w:val="en-GB"/>
        </w:rPr>
        <w:t xml:space="preserve">‘Leave to appeal may only be given where the judge or judges concerned are of the opinion that – </w:t>
      </w:r>
    </w:p>
    <w:p w14:paraId="55B63DF8" w14:textId="48DCE124" w:rsidR="004007F0" w:rsidRDefault="004007F0" w:rsidP="00B36AEE">
      <w:pPr>
        <w:pStyle w:val="ListParagraph"/>
        <w:numPr>
          <w:ilvl w:val="0"/>
          <w:numId w:val="11"/>
        </w:numPr>
        <w:tabs>
          <w:tab w:val="left" w:pos="851"/>
        </w:tabs>
        <w:autoSpaceDE w:val="0"/>
        <w:autoSpaceDN w:val="0"/>
        <w:adjustRightInd w:val="0"/>
        <w:ind w:left="567" w:hanging="425"/>
        <w:jc w:val="both"/>
        <w:rPr>
          <w:sz w:val="22"/>
          <w:szCs w:val="22"/>
          <w:lang w:val="en-GB"/>
        </w:rPr>
      </w:pPr>
      <w:r>
        <w:rPr>
          <w:sz w:val="22"/>
          <w:szCs w:val="22"/>
          <w:lang w:val="en-GB"/>
        </w:rPr>
        <w:t>(i)</w:t>
      </w:r>
      <w:r>
        <w:rPr>
          <w:sz w:val="22"/>
          <w:szCs w:val="22"/>
          <w:lang w:val="en-GB"/>
        </w:rPr>
        <w:tab/>
        <w:t xml:space="preserve">the appeal would have a reasonable prospect of success; or </w:t>
      </w:r>
    </w:p>
    <w:p w14:paraId="2870D187" w14:textId="4DE59210" w:rsidR="004007F0" w:rsidRDefault="004007F0" w:rsidP="00B36AEE">
      <w:pPr>
        <w:pStyle w:val="ListParagraph"/>
        <w:tabs>
          <w:tab w:val="left" w:pos="851"/>
        </w:tabs>
        <w:autoSpaceDE w:val="0"/>
        <w:autoSpaceDN w:val="0"/>
        <w:adjustRightInd w:val="0"/>
        <w:ind w:left="851" w:hanging="284"/>
        <w:jc w:val="both"/>
        <w:rPr>
          <w:sz w:val="22"/>
          <w:szCs w:val="22"/>
          <w:lang w:val="en-GB"/>
        </w:rPr>
      </w:pPr>
      <w:r>
        <w:rPr>
          <w:sz w:val="22"/>
          <w:szCs w:val="22"/>
          <w:lang w:val="en-GB"/>
        </w:rPr>
        <w:t>(ii)</w:t>
      </w:r>
      <w:r>
        <w:rPr>
          <w:sz w:val="22"/>
          <w:szCs w:val="22"/>
          <w:lang w:val="en-GB"/>
        </w:rPr>
        <w:tab/>
        <w:t>there is some other compelling reason why the appeal should be heard, including conflicting judgments on the matter under consideration.</w:t>
      </w:r>
      <w:r>
        <w:rPr>
          <w:sz w:val="22"/>
          <w:szCs w:val="22"/>
          <w:lang w:val="en-GB"/>
        </w:rPr>
        <w:tab/>
        <w:t xml:space="preserve"> </w:t>
      </w:r>
    </w:p>
    <w:p w14:paraId="4CB8D978" w14:textId="791113C4" w:rsidR="004007F0" w:rsidRDefault="004007F0" w:rsidP="00B36AEE">
      <w:pPr>
        <w:pStyle w:val="ListParagraph"/>
        <w:numPr>
          <w:ilvl w:val="0"/>
          <w:numId w:val="11"/>
        </w:numPr>
        <w:autoSpaceDE w:val="0"/>
        <w:autoSpaceDN w:val="0"/>
        <w:adjustRightInd w:val="0"/>
        <w:ind w:hanging="578"/>
        <w:jc w:val="both"/>
        <w:rPr>
          <w:sz w:val="22"/>
          <w:szCs w:val="22"/>
          <w:lang w:val="en-GB"/>
        </w:rPr>
      </w:pPr>
      <w:r>
        <w:rPr>
          <w:sz w:val="22"/>
          <w:szCs w:val="22"/>
          <w:lang w:val="en-GB"/>
        </w:rPr>
        <w:t>the decision sought on appeal does not fall within the ambit of s 16(2)(a) [i.e the appeal must have a practical result]; and</w:t>
      </w:r>
    </w:p>
    <w:p w14:paraId="575D5FC6" w14:textId="40E78588" w:rsidR="004007F0" w:rsidRDefault="004007F0" w:rsidP="00B36AEE">
      <w:pPr>
        <w:pStyle w:val="ListParagraph"/>
        <w:numPr>
          <w:ilvl w:val="0"/>
          <w:numId w:val="11"/>
        </w:numPr>
        <w:autoSpaceDE w:val="0"/>
        <w:autoSpaceDN w:val="0"/>
        <w:adjustRightInd w:val="0"/>
        <w:ind w:hanging="578"/>
        <w:jc w:val="both"/>
        <w:rPr>
          <w:sz w:val="22"/>
          <w:szCs w:val="22"/>
          <w:lang w:val="en-GB"/>
        </w:rPr>
      </w:pPr>
      <w:r>
        <w:rPr>
          <w:sz w:val="22"/>
          <w:szCs w:val="22"/>
          <w:lang w:val="en-GB"/>
        </w:rPr>
        <w:t>where the decision sought to be appealed does not dispose of all the issues in the case, the appeal would lead to a just and prompt resolution of the real issues between the parties.’</w:t>
      </w:r>
    </w:p>
    <w:p w14:paraId="0CFA782B" w14:textId="77777777" w:rsidR="00507301" w:rsidRPr="004007F0" w:rsidRDefault="00507301" w:rsidP="00507301">
      <w:pPr>
        <w:pStyle w:val="ListParagraph"/>
        <w:autoSpaceDE w:val="0"/>
        <w:autoSpaceDN w:val="0"/>
        <w:adjustRightInd w:val="0"/>
        <w:ind w:left="502"/>
        <w:jc w:val="both"/>
        <w:rPr>
          <w:sz w:val="22"/>
          <w:szCs w:val="22"/>
          <w:lang w:val="en-GB"/>
        </w:rPr>
      </w:pPr>
    </w:p>
    <w:p w14:paraId="1AC89827" w14:textId="26329A2D" w:rsidR="004007F0" w:rsidRDefault="00507301" w:rsidP="00AF6DF0">
      <w:pPr>
        <w:pStyle w:val="ListParagraph"/>
        <w:numPr>
          <w:ilvl w:val="0"/>
          <w:numId w:val="10"/>
        </w:numPr>
        <w:autoSpaceDE w:val="0"/>
        <w:autoSpaceDN w:val="0"/>
        <w:adjustRightInd w:val="0"/>
        <w:ind w:left="142" w:hanging="142"/>
        <w:jc w:val="both"/>
        <w:rPr>
          <w:lang w:val="en-GB"/>
        </w:rPr>
      </w:pPr>
      <w:r>
        <w:rPr>
          <w:lang w:val="en-GB"/>
        </w:rPr>
        <w:t>Section 17(1)</w:t>
      </w:r>
      <w:r w:rsidR="001E2571">
        <w:rPr>
          <w:i/>
          <w:iCs/>
          <w:lang w:val="en-GB"/>
        </w:rPr>
        <w:t>(b)</w:t>
      </w:r>
      <w:r>
        <w:rPr>
          <w:lang w:val="en-GB"/>
        </w:rPr>
        <w:t xml:space="preserve"> establishes that an </w:t>
      </w:r>
      <w:r w:rsidR="001E2571">
        <w:rPr>
          <w:lang w:val="en-GB"/>
        </w:rPr>
        <w:t>appeal may only be granted where the decision sought on appeal does not fall within the ambit of s 16(2)</w:t>
      </w:r>
      <w:r w:rsidR="00B36AEE">
        <w:rPr>
          <w:i/>
          <w:iCs/>
          <w:lang w:val="en-GB"/>
        </w:rPr>
        <w:t>(a)</w:t>
      </w:r>
      <w:r w:rsidR="001E2571">
        <w:rPr>
          <w:lang w:val="en-GB"/>
        </w:rPr>
        <w:t>. That section provides:</w:t>
      </w:r>
    </w:p>
    <w:p w14:paraId="4377E838" w14:textId="4C24C767" w:rsidR="00977755" w:rsidRPr="00977755" w:rsidRDefault="001E2571" w:rsidP="00977755">
      <w:pPr>
        <w:pStyle w:val="ListParagraph"/>
        <w:autoSpaceDE w:val="0"/>
        <w:autoSpaceDN w:val="0"/>
        <w:adjustRightInd w:val="0"/>
        <w:ind w:left="1134" w:hanging="992"/>
        <w:jc w:val="both"/>
        <w:rPr>
          <w:sz w:val="22"/>
          <w:szCs w:val="22"/>
          <w:lang w:val="en-GB"/>
        </w:rPr>
      </w:pPr>
      <w:r>
        <w:rPr>
          <w:sz w:val="22"/>
          <w:szCs w:val="22"/>
          <w:lang w:val="en-GB"/>
        </w:rPr>
        <w:t>‘(2)</w:t>
      </w:r>
      <w:r w:rsidR="00B36AEE">
        <w:rPr>
          <w:i/>
          <w:iCs/>
          <w:sz w:val="22"/>
          <w:szCs w:val="22"/>
          <w:lang w:val="en-GB"/>
        </w:rPr>
        <w:t>(a)</w:t>
      </w:r>
      <w:r w:rsidR="00B36AEE">
        <w:rPr>
          <w:sz w:val="22"/>
          <w:szCs w:val="22"/>
          <w:lang w:val="en-GB"/>
        </w:rPr>
        <w:t>(i)</w:t>
      </w:r>
      <w:r w:rsidR="00B36AEE">
        <w:rPr>
          <w:sz w:val="22"/>
          <w:szCs w:val="22"/>
          <w:lang w:val="en-GB"/>
        </w:rPr>
        <w:tab/>
        <w:t>When at the hearing of an appeal the issues are of such a nature that the decision sought will have no practical effect or result, the appeal may be dismissed on this ground alone.</w:t>
      </w:r>
    </w:p>
    <w:p w14:paraId="702BB990" w14:textId="3A029DD9" w:rsidR="00B36AEE" w:rsidRDefault="00B36AEE" w:rsidP="00977755">
      <w:pPr>
        <w:pStyle w:val="ListParagraph"/>
        <w:tabs>
          <w:tab w:val="left" w:pos="1134"/>
        </w:tabs>
        <w:autoSpaceDE w:val="0"/>
        <w:autoSpaceDN w:val="0"/>
        <w:adjustRightInd w:val="0"/>
        <w:ind w:left="1134" w:hanging="425"/>
        <w:jc w:val="both"/>
        <w:rPr>
          <w:sz w:val="22"/>
          <w:szCs w:val="22"/>
          <w:lang w:val="en-GB"/>
        </w:rPr>
      </w:pPr>
      <w:r>
        <w:rPr>
          <w:sz w:val="22"/>
          <w:szCs w:val="22"/>
          <w:lang w:val="en-GB"/>
        </w:rPr>
        <w:t>(ii)</w:t>
      </w:r>
      <w:r w:rsidR="00977755">
        <w:rPr>
          <w:sz w:val="22"/>
          <w:szCs w:val="22"/>
          <w:lang w:val="en-GB"/>
        </w:rPr>
        <w:tab/>
      </w:r>
      <w:r>
        <w:rPr>
          <w:sz w:val="22"/>
          <w:szCs w:val="22"/>
          <w:lang w:val="en-GB"/>
        </w:rPr>
        <w:t>Save under exceptional circumstances, the question whether the decision would have no practical effect or result is to be determined without reference to any consideration of costs.</w:t>
      </w:r>
      <w:r w:rsidR="00977755">
        <w:rPr>
          <w:sz w:val="22"/>
          <w:szCs w:val="22"/>
          <w:lang w:val="en-GB"/>
        </w:rPr>
        <w:t>’</w:t>
      </w:r>
    </w:p>
    <w:p w14:paraId="116E6919" w14:textId="77777777" w:rsidR="00977755" w:rsidRPr="00B36AEE" w:rsidRDefault="00977755" w:rsidP="00977755">
      <w:pPr>
        <w:pStyle w:val="ListParagraph"/>
        <w:tabs>
          <w:tab w:val="left" w:pos="1134"/>
        </w:tabs>
        <w:autoSpaceDE w:val="0"/>
        <w:autoSpaceDN w:val="0"/>
        <w:adjustRightInd w:val="0"/>
        <w:ind w:left="1134" w:hanging="425"/>
        <w:jc w:val="both"/>
        <w:rPr>
          <w:sz w:val="22"/>
          <w:szCs w:val="22"/>
          <w:lang w:val="en-GB"/>
        </w:rPr>
      </w:pPr>
    </w:p>
    <w:p w14:paraId="35CFC286" w14:textId="59D084E3" w:rsidR="001E2571" w:rsidRDefault="00A37298" w:rsidP="00AF6DF0">
      <w:pPr>
        <w:pStyle w:val="ListParagraph"/>
        <w:numPr>
          <w:ilvl w:val="0"/>
          <w:numId w:val="10"/>
        </w:numPr>
        <w:autoSpaceDE w:val="0"/>
        <w:autoSpaceDN w:val="0"/>
        <w:adjustRightInd w:val="0"/>
        <w:ind w:left="142" w:hanging="142"/>
        <w:jc w:val="both"/>
        <w:rPr>
          <w:lang w:val="en-GB"/>
        </w:rPr>
      </w:pPr>
      <w:r>
        <w:rPr>
          <w:lang w:val="en-GB"/>
        </w:rPr>
        <w:t>The applicants have not made out any case for exceptional circumstances in their notice of application for leave to appeal.</w:t>
      </w:r>
      <w:r w:rsidR="000E7CC5">
        <w:rPr>
          <w:rStyle w:val="FootnoteReference"/>
          <w:lang w:val="en-GB"/>
        </w:rPr>
        <w:footnoteReference w:id="11"/>
      </w:r>
      <w:r>
        <w:rPr>
          <w:lang w:val="en-GB"/>
        </w:rPr>
        <w:t xml:space="preserve"> I accept, nonetheless, </w:t>
      </w:r>
      <w:r w:rsidR="00604EE8">
        <w:rPr>
          <w:lang w:val="en-GB"/>
        </w:rPr>
        <w:t xml:space="preserve">and </w:t>
      </w:r>
      <w:r w:rsidR="009849D3">
        <w:rPr>
          <w:lang w:val="en-GB"/>
        </w:rPr>
        <w:t>notwithstanding</w:t>
      </w:r>
      <w:r w:rsidR="00604EE8">
        <w:rPr>
          <w:lang w:val="en-GB"/>
        </w:rPr>
        <w:t xml:space="preserve"> their failure to argue the point, </w:t>
      </w:r>
      <w:r>
        <w:rPr>
          <w:lang w:val="en-GB"/>
        </w:rPr>
        <w:t xml:space="preserve">that an unjustifiable departure from application of the </w:t>
      </w:r>
      <w:r>
        <w:rPr>
          <w:i/>
          <w:iCs/>
          <w:lang w:val="en-GB"/>
        </w:rPr>
        <w:t>Biowatch</w:t>
      </w:r>
      <w:r>
        <w:rPr>
          <w:lang w:val="en-GB"/>
        </w:rPr>
        <w:t xml:space="preserve"> principles, or failure to exercise a discretion as to costs with full cognisance of s 32 of NEMA, would satisfy that requirement and warrant leave to appeal being granted.</w:t>
      </w:r>
    </w:p>
    <w:p w14:paraId="47DCDBE1" w14:textId="790FA3AA" w:rsidR="0041076A" w:rsidRDefault="00D54448" w:rsidP="00AF6DF0">
      <w:pPr>
        <w:pStyle w:val="ListParagraph"/>
        <w:numPr>
          <w:ilvl w:val="0"/>
          <w:numId w:val="10"/>
        </w:numPr>
        <w:autoSpaceDE w:val="0"/>
        <w:autoSpaceDN w:val="0"/>
        <w:adjustRightInd w:val="0"/>
        <w:ind w:left="142" w:hanging="142"/>
        <w:jc w:val="both"/>
        <w:rPr>
          <w:lang w:val="en-GB"/>
        </w:rPr>
      </w:pPr>
      <w:r>
        <w:rPr>
          <w:lang w:val="en-GB"/>
        </w:rPr>
        <w:lastRenderedPageBreak/>
        <w:t xml:space="preserve">In my view, however, the facts of this matter </w:t>
      </w:r>
      <w:r w:rsidR="00ED0A03">
        <w:rPr>
          <w:lang w:val="en-GB"/>
        </w:rPr>
        <w:t>are such that this is not the case</w:t>
      </w:r>
      <w:r w:rsidR="00334DD6">
        <w:rPr>
          <w:lang w:val="en-GB"/>
        </w:rPr>
        <w:t xml:space="preserve">. </w:t>
      </w:r>
      <w:r w:rsidR="00FB2FE8">
        <w:rPr>
          <w:lang w:val="en-GB"/>
        </w:rPr>
        <w:t>The application was launched to interdict Shell’s seismic survey. The review of decisions of the first and second respondents, possibly engaging constitutional issues more directly, was to be a separate matter</w:t>
      </w:r>
      <w:r w:rsidR="00BB49F6">
        <w:rPr>
          <w:lang w:val="en-GB"/>
        </w:rPr>
        <w:t xml:space="preserve"> and was never launched</w:t>
      </w:r>
      <w:r w:rsidR="00FB2FE8">
        <w:rPr>
          <w:lang w:val="en-GB"/>
        </w:rPr>
        <w:t xml:space="preserve">. Those respondents participated in the proceedings only to add support to Shell’s submissions regarding </w:t>
      </w:r>
      <w:r w:rsidR="00D737F4">
        <w:rPr>
          <w:lang w:val="en-GB"/>
        </w:rPr>
        <w:t>urgency and</w:t>
      </w:r>
      <w:r w:rsidR="00062035">
        <w:rPr>
          <w:lang w:val="en-GB"/>
        </w:rPr>
        <w:t xml:space="preserve"> filed no papers in the matter. </w:t>
      </w:r>
      <w:r w:rsidR="001F6D03">
        <w:rPr>
          <w:lang w:val="en-GB"/>
        </w:rPr>
        <w:t>The focus of the application was on Shell, and not, for example, on the exercise of constitutional rights against an organ of state.</w:t>
      </w:r>
      <w:r w:rsidR="007629DF">
        <w:rPr>
          <w:rStyle w:val="FootnoteReference"/>
          <w:lang w:val="en-GB"/>
        </w:rPr>
        <w:footnoteReference w:id="12"/>
      </w:r>
      <w:r w:rsidR="001F6D03">
        <w:rPr>
          <w:lang w:val="en-GB"/>
        </w:rPr>
        <w:t xml:space="preserve"> </w:t>
      </w:r>
      <w:r w:rsidR="003F2432">
        <w:rPr>
          <w:lang w:val="en-GB"/>
        </w:rPr>
        <w:t xml:space="preserve">While matters ancillary to genuine constitutional cases are covered by </w:t>
      </w:r>
      <w:r w:rsidR="003F2432">
        <w:rPr>
          <w:i/>
          <w:iCs/>
          <w:lang w:val="en-GB"/>
        </w:rPr>
        <w:t>Biowatch</w:t>
      </w:r>
      <w:r w:rsidR="003F2432">
        <w:rPr>
          <w:lang w:val="en-GB"/>
        </w:rPr>
        <w:t>,</w:t>
      </w:r>
      <w:r w:rsidR="007031C6">
        <w:rPr>
          <w:rStyle w:val="FootnoteReference"/>
          <w:lang w:val="en-GB"/>
        </w:rPr>
        <w:footnoteReference w:id="13"/>
      </w:r>
      <w:r w:rsidR="003F2432">
        <w:rPr>
          <w:i/>
          <w:iCs/>
          <w:lang w:val="en-GB"/>
        </w:rPr>
        <w:t xml:space="preserve"> </w:t>
      </w:r>
      <w:r w:rsidR="003F2432">
        <w:rPr>
          <w:lang w:val="en-GB"/>
        </w:rPr>
        <w:t>i</w:t>
      </w:r>
      <w:r w:rsidR="00220649">
        <w:rPr>
          <w:lang w:val="en-GB"/>
        </w:rPr>
        <w:t xml:space="preserve">t cannot be said that the </w:t>
      </w:r>
      <w:r w:rsidR="001F6D03">
        <w:rPr>
          <w:lang w:val="en-GB"/>
        </w:rPr>
        <w:t xml:space="preserve">crux of the urgent application was constitutional in nature. </w:t>
      </w:r>
      <w:r w:rsidR="00A70F03">
        <w:rPr>
          <w:lang w:val="en-GB"/>
        </w:rPr>
        <w:t xml:space="preserve">The </w:t>
      </w:r>
      <w:r w:rsidR="00DB0B11">
        <w:rPr>
          <w:lang w:val="en-GB"/>
        </w:rPr>
        <w:t>matter involved nothing more than the application of the facts, with little dispute on the papers,</w:t>
      </w:r>
      <w:r w:rsidR="00905723">
        <w:rPr>
          <w:rStyle w:val="FootnoteReference"/>
          <w:lang w:val="en-GB"/>
        </w:rPr>
        <w:footnoteReference w:id="14"/>
      </w:r>
      <w:r w:rsidR="00DB0B11">
        <w:rPr>
          <w:lang w:val="en-GB"/>
        </w:rPr>
        <w:t xml:space="preserve"> to the well-established requirements for interim relief. </w:t>
      </w:r>
      <w:r w:rsidR="00A70F03">
        <w:rPr>
          <w:lang w:val="en-GB"/>
        </w:rPr>
        <w:t>Its essence was not constitutional in nature.</w:t>
      </w:r>
      <w:r w:rsidR="000C2D46">
        <w:rPr>
          <w:lang w:val="en-GB"/>
        </w:rPr>
        <w:t xml:space="preserve"> </w:t>
      </w:r>
      <w:r w:rsidR="006D4661">
        <w:rPr>
          <w:lang w:val="en-GB"/>
        </w:rPr>
        <w:t xml:space="preserve">To illustrate the point, it simply cannot be the case that </w:t>
      </w:r>
      <w:r w:rsidR="006D4661">
        <w:rPr>
          <w:i/>
          <w:iCs/>
          <w:lang w:val="en-GB"/>
        </w:rPr>
        <w:t xml:space="preserve">Biowatch </w:t>
      </w:r>
      <w:r w:rsidR="006D4661">
        <w:rPr>
          <w:lang w:val="en-GB"/>
        </w:rPr>
        <w:t xml:space="preserve">applies to every interim interdict application pending a review on the basis that the constitutional right to just administrative </w:t>
      </w:r>
      <w:r w:rsidR="00207FB9">
        <w:rPr>
          <w:lang w:val="en-GB"/>
        </w:rPr>
        <w:t>has been</w:t>
      </w:r>
      <w:r w:rsidR="006D4661">
        <w:rPr>
          <w:lang w:val="en-GB"/>
        </w:rPr>
        <w:t xml:space="preserve"> </w:t>
      </w:r>
      <w:r w:rsidR="00A64DCE">
        <w:rPr>
          <w:lang w:val="en-GB"/>
        </w:rPr>
        <w:t>invoked</w:t>
      </w:r>
      <w:r w:rsidR="006D4661">
        <w:rPr>
          <w:lang w:val="en-GB"/>
        </w:rPr>
        <w:t xml:space="preserve">. </w:t>
      </w:r>
      <w:r w:rsidR="00DB2ED0">
        <w:rPr>
          <w:lang w:val="en-GB"/>
        </w:rPr>
        <w:t xml:space="preserve">The result is that </w:t>
      </w:r>
      <w:r w:rsidR="001702A7">
        <w:rPr>
          <w:lang w:val="en-GB"/>
        </w:rPr>
        <w:t xml:space="preserve">even though it cannot be said that the application was ‘frivolous’ or ‘vexatious’, </w:t>
      </w:r>
      <w:r w:rsidR="00DB2ED0">
        <w:rPr>
          <w:lang w:val="en-GB"/>
        </w:rPr>
        <w:t xml:space="preserve">the </w:t>
      </w:r>
      <w:r w:rsidR="00DB2ED0">
        <w:rPr>
          <w:i/>
          <w:iCs/>
          <w:lang w:val="en-GB"/>
        </w:rPr>
        <w:t xml:space="preserve">Biowatch </w:t>
      </w:r>
      <w:r w:rsidR="00DB2ED0">
        <w:rPr>
          <w:lang w:val="en-GB"/>
        </w:rPr>
        <w:t>principle could not operate in the applicants’ favour</w:t>
      </w:r>
      <w:r w:rsidR="007D363C">
        <w:rPr>
          <w:lang w:val="en-GB"/>
        </w:rPr>
        <w:t xml:space="preserve"> against any of the respondents.</w:t>
      </w:r>
      <w:r w:rsidR="001702A7">
        <w:rPr>
          <w:rStyle w:val="FootnoteReference"/>
          <w:lang w:val="en-GB"/>
        </w:rPr>
        <w:footnoteReference w:id="15"/>
      </w:r>
      <w:r w:rsidR="00DB2ED0">
        <w:rPr>
          <w:lang w:val="en-GB"/>
        </w:rPr>
        <w:t xml:space="preserve"> </w:t>
      </w:r>
    </w:p>
    <w:p w14:paraId="432F0500" w14:textId="77777777" w:rsidR="0041076A" w:rsidRDefault="0041076A" w:rsidP="0041076A">
      <w:pPr>
        <w:pStyle w:val="ListParagraph"/>
        <w:autoSpaceDE w:val="0"/>
        <w:autoSpaceDN w:val="0"/>
        <w:adjustRightInd w:val="0"/>
        <w:ind w:left="142"/>
        <w:jc w:val="both"/>
        <w:rPr>
          <w:lang w:val="en-GB"/>
        </w:rPr>
      </w:pPr>
    </w:p>
    <w:p w14:paraId="446F7875" w14:textId="5A1127DF" w:rsidR="004E1B4F" w:rsidRDefault="00D73457" w:rsidP="00AF6DF0">
      <w:pPr>
        <w:pStyle w:val="ListParagraph"/>
        <w:numPr>
          <w:ilvl w:val="0"/>
          <w:numId w:val="10"/>
        </w:numPr>
        <w:autoSpaceDE w:val="0"/>
        <w:autoSpaceDN w:val="0"/>
        <w:adjustRightInd w:val="0"/>
        <w:ind w:left="142" w:hanging="142"/>
        <w:jc w:val="both"/>
        <w:rPr>
          <w:lang w:val="en-GB"/>
        </w:rPr>
      </w:pPr>
      <w:r>
        <w:rPr>
          <w:lang w:val="en-GB"/>
        </w:rPr>
        <w:t xml:space="preserve">As to the argument based on s 32(2) of NEMA, </w:t>
      </w:r>
      <w:r w:rsidR="00192C18">
        <w:rPr>
          <w:lang w:val="en-GB"/>
        </w:rPr>
        <w:t>it is so that a</w:t>
      </w:r>
      <w:r>
        <w:rPr>
          <w:lang w:val="en-GB"/>
        </w:rPr>
        <w:t xml:space="preserve"> court </w:t>
      </w:r>
      <w:r w:rsidR="00192C18">
        <w:rPr>
          <w:lang w:val="en-GB"/>
        </w:rPr>
        <w:t xml:space="preserve">may </w:t>
      </w:r>
      <w:r>
        <w:rPr>
          <w:lang w:val="en-GB"/>
        </w:rPr>
        <w:t xml:space="preserve">exercise </w:t>
      </w:r>
      <w:r w:rsidR="00192C18">
        <w:rPr>
          <w:lang w:val="en-GB"/>
        </w:rPr>
        <w:t>a</w:t>
      </w:r>
      <w:r>
        <w:rPr>
          <w:lang w:val="en-GB"/>
        </w:rPr>
        <w:t xml:space="preserve"> discretion in deciding not to award costs against an unsuccessful applicant in applicable matters concerned with the protection of the environment</w:t>
      </w:r>
      <w:r w:rsidR="00192C18">
        <w:rPr>
          <w:lang w:val="en-GB"/>
        </w:rPr>
        <w:t xml:space="preserve">. To do so, however, the court should </w:t>
      </w:r>
      <w:r w:rsidR="00CF2F1C">
        <w:rPr>
          <w:lang w:val="en-GB"/>
        </w:rPr>
        <w:t>believe</w:t>
      </w:r>
      <w:r w:rsidR="00192C18">
        <w:rPr>
          <w:lang w:val="en-GB"/>
        </w:rPr>
        <w:t xml:space="preserve"> </w:t>
      </w:r>
      <w:r w:rsidR="00CF2F1C">
        <w:rPr>
          <w:lang w:val="en-GB"/>
        </w:rPr>
        <w:t xml:space="preserve">that </w:t>
      </w:r>
      <w:r w:rsidR="00192C18">
        <w:rPr>
          <w:lang w:val="en-GB"/>
        </w:rPr>
        <w:t>‘the person or group of persons acted reasonably …’ In this instance, as the judgment</w:t>
      </w:r>
      <w:r w:rsidR="00CF2F1C">
        <w:rPr>
          <w:lang w:val="en-GB"/>
        </w:rPr>
        <w:t xml:space="preserve"> explains, </w:t>
      </w:r>
      <w:r w:rsidR="00307B33">
        <w:rPr>
          <w:lang w:val="en-GB"/>
        </w:rPr>
        <w:t xml:space="preserve">the </w:t>
      </w:r>
      <w:r w:rsidR="00325A15">
        <w:rPr>
          <w:lang w:val="en-GB"/>
        </w:rPr>
        <w:t>applicants’</w:t>
      </w:r>
      <w:r w:rsidR="00307B33">
        <w:rPr>
          <w:lang w:val="en-GB"/>
        </w:rPr>
        <w:t xml:space="preserve"> submissions regarding the detrimental impact of the seismic survey on the environment, and marine life in particular, </w:t>
      </w:r>
      <w:r w:rsidR="00325A15">
        <w:rPr>
          <w:lang w:val="en-GB"/>
        </w:rPr>
        <w:t>were</w:t>
      </w:r>
      <w:r w:rsidR="0041076A">
        <w:rPr>
          <w:lang w:val="en-GB"/>
        </w:rPr>
        <w:t>, at best,</w:t>
      </w:r>
      <w:r w:rsidR="00307B33">
        <w:rPr>
          <w:lang w:val="en-GB"/>
        </w:rPr>
        <w:t xml:space="preserve"> speculative</w:t>
      </w:r>
      <w:r w:rsidR="008E1330">
        <w:rPr>
          <w:lang w:val="en-GB"/>
        </w:rPr>
        <w:t>.</w:t>
      </w:r>
      <w:r w:rsidR="00307B33">
        <w:rPr>
          <w:lang w:val="en-GB"/>
        </w:rPr>
        <w:t xml:space="preserve"> </w:t>
      </w:r>
      <w:r w:rsidR="003E4E05">
        <w:rPr>
          <w:lang w:val="en-GB"/>
        </w:rPr>
        <w:t>In complete contrast to</w:t>
      </w:r>
      <w:r w:rsidR="00247B41">
        <w:rPr>
          <w:lang w:val="en-GB"/>
        </w:rPr>
        <w:t xml:space="preserve"> the application that followed in </w:t>
      </w:r>
      <w:r w:rsidR="00247B41">
        <w:rPr>
          <w:i/>
          <w:iCs/>
          <w:lang w:val="en-GB"/>
        </w:rPr>
        <w:t xml:space="preserve">Sustaining the Wild Coast NPC and Others v Minister of Mineral Resources and Energy and </w:t>
      </w:r>
      <w:r w:rsidR="00247B41" w:rsidRPr="00247B41">
        <w:rPr>
          <w:i/>
          <w:iCs/>
          <w:lang w:val="en-GB"/>
        </w:rPr>
        <w:t>Others</w:t>
      </w:r>
      <w:r w:rsidR="00247B41">
        <w:rPr>
          <w:lang w:val="en-GB"/>
        </w:rPr>
        <w:t>,</w:t>
      </w:r>
      <w:r w:rsidR="00247B41">
        <w:rPr>
          <w:rStyle w:val="FootnoteReference"/>
          <w:lang w:val="en-GB"/>
        </w:rPr>
        <w:footnoteReference w:id="16"/>
      </w:r>
      <w:r w:rsidR="00247B41">
        <w:rPr>
          <w:lang w:val="en-GB"/>
        </w:rPr>
        <w:t xml:space="preserve"> </w:t>
      </w:r>
      <w:r w:rsidR="003E4E05">
        <w:rPr>
          <w:lang w:val="en-GB"/>
        </w:rPr>
        <w:t>t</w:t>
      </w:r>
      <w:r w:rsidR="008E1330" w:rsidRPr="00247B41">
        <w:rPr>
          <w:lang w:val="en-GB"/>
        </w:rPr>
        <w:t>here</w:t>
      </w:r>
      <w:r w:rsidR="008E1330">
        <w:rPr>
          <w:lang w:val="en-GB"/>
        </w:rPr>
        <w:t xml:space="preserve"> was</w:t>
      </w:r>
      <w:r w:rsidR="00307B33">
        <w:rPr>
          <w:lang w:val="en-GB"/>
        </w:rPr>
        <w:t xml:space="preserve"> </w:t>
      </w:r>
      <w:r w:rsidR="008E1330">
        <w:rPr>
          <w:lang w:val="en-GB"/>
        </w:rPr>
        <w:t>a paucity of</w:t>
      </w:r>
      <w:r w:rsidR="00A859A3">
        <w:rPr>
          <w:lang w:val="en-GB"/>
        </w:rPr>
        <w:t xml:space="preserve"> </w:t>
      </w:r>
      <w:r w:rsidR="009E2185">
        <w:rPr>
          <w:lang w:val="en-GB"/>
        </w:rPr>
        <w:t xml:space="preserve">supporting </w:t>
      </w:r>
      <w:r w:rsidR="00A859A3">
        <w:rPr>
          <w:lang w:val="en-GB"/>
        </w:rPr>
        <w:lastRenderedPageBreak/>
        <w:t>material</w:t>
      </w:r>
      <w:r w:rsidR="004F1EDC">
        <w:rPr>
          <w:lang w:val="en-GB"/>
        </w:rPr>
        <w:t xml:space="preserve"> on the aspect of ‘</w:t>
      </w:r>
      <w:r w:rsidR="00B14BBD">
        <w:rPr>
          <w:lang w:val="en-GB"/>
        </w:rPr>
        <w:t xml:space="preserve">reasonable apprehension of </w:t>
      </w:r>
      <w:r w:rsidR="004F1EDC">
        <w:rPr>
          <w:lang w:val="en-GB"/>
        </w:rPr>
        <w:t>irreparable harm’.</w:t>
      </w:r>
      <w:r w:rsidR="00B05480">
        <w:rPr>
          <w:rStyle w:val="FootnoteReference"/>
          <w:lang w:val="en-GB"/>
        </w:rPr>
        <w:footnoteReference w:id="17"/>
      </w:r>
      <w:r w:rsidR="00B05480">
        <w:rPr>
          <w:lang w:val="en-GB"/>
        </w:rPr>
        <w:t xml:space="preserve"> </w:t>
      </w:r>
      <w:r w:rsidR="007A1306">
        <w:rPr>
          <w:lang w:val="en-GB"/>
        </w:rPr>
        <w:t xml:space="preserve">The application was, in that sense, premature and launched </w:t>
      </w:r>
      <w:r w:rsidR="00F51047">
        <w:rPr>
          <w:lang w:val="en-GB"/>
        </w:rPr>
        <w:t xml:space="preserve">with haste </w:t>
      </w:r>
      <w:r w:rsidR="007A1306">
        <w:rPr>
          <w:lang w:val="en-GB"/>
        </w:rPr>
        <w:t xml:space="preserve">in an unreasonable fashion with no prospects of success. </w:t>
      </w:r>
      <w:r w:rsidR="00325A15">
        <w:rPr>
          <w:lang w:val="en-GB"/>
        </w:rPr>
        <w:t xml:space="preserve">As a result, and </w:t>
      </w:r>
      <w:r w:rsidR="00C6675F">
        <w:rPr>
          <w:lang w:val="en-GB"/>
        </w:rPr>
        <w:t>a</w:t>
      </w:r>
      <w:r w:rsidR="00D737F4">
        <w:rPr>
          <w:lang w:val="en-GB"/>
        </w:rPr>
        <w:t xml:space="preserve">bsent the application of the </w:t>
      </w:r>
      <w:r w:rsidR="00D737F4">
        <w:rPr>
          <w:i/>
          <w:iCs/>
          <w:lang w:val="en-GB"/>
        </w:rPr>
        <w:t xml:space="preserve">Biowatch </w:t>
      </w:r>
      <w:r w:rsidR="00D737F4">
        <w:rPr>
          <w:lang w:val="en-GB"/>
        </w:rPr>
        <w:t xml:space="preserve">principle, the ordinary approach to costs must apply. </w:t>
      </w:r>
      <w:r w:rsidR="004D3759">
        <w:rPr>
          <w:lang w:val="en-GB"/>
        </w:rPr>
        <w:t xml:space="preserve">The </w:t>
      </w:r>
      <w:r w:rsidR="00C6675F">
        <w:rPr>
          <w:lang w:val="en-GB"/>
        </w:rPr>
        <w:t>exercise of the discretion in awarding costs was therefore</w:t>
      </w:r>
      <w:r w:rsidR="004D3759">
        <w:rPr>
          <w:lang w:val="en-GB"/>
        </w:rPr>
        <w:t xml:space="preserve"> </w:t>
      </w:r>
      <w:r w:rsidR="00604EE8">
        <w:rPr>
          <w:lang w:val="en-GB"/>
        </w:rPr>
        <w:t>based on</w:t>
      </w:r>
      <w:r w:rsidR="004D3759">
        <w:rPr>
          <w:lang w:val="en-GB"/>
        </w:rPr>
        <w:t xml:space="preserve"> the correct facts and legal principles</w:t>
      </w:r>
      <w:r w:rsidR="00C6675F">
        <w:rPr>
          <w:lang w:val="en-GB"/>
        </w:rPr>
        <w:t xml:space="preserve"> and </w:t>
      </w:r>
      <w:r w:rsidR="00104038">
        <w:rPr>
          <w:lang w:val="en-GB"/>
        </w:rPr>
        <w:t>an</w:t>
      </w:r>
      <w:r w:rsidR="00AA5FFD">
        <w:rPr>
          <w:lang w:val="en-GB"/>
        </w:rPr>
        <w:t xml:space="preserve"> appeal on costs has no reasonable prospects of success. There is also no other compelling reason why </w:t>
      </w:r>
      <w:r w:rsidR="00F52E52">
        <w:rPr>
          <w:lang w:val="en-GB"/>
        </w:rPr>
        <w:t>an</w:t>
      </w:r>
      <w:r w:rsidR="00AA5FFD">
        <w:rPr>
          <w:lang w:val="en-GB"/>
        </w:rPr>
        <w:t xml:space="preserve"> appeal on costs should be heard</w:t>
      </w:r>
      <w:r w:rsidR="00F52E52">
        <w:rPr>
          <w:lang w:val="en-GB"/>
        </w:rPr>
        <w:t xml:space="preserve"> in this matter.</w:t>
      </w:r>
    </w:p>
    <w:p w14:paraId="6FDE627D" w14:textId="77777777" w:rsidR="00F3624A" w:rsidRDefault="00F3624A" w:rsidP="00B2572D">
      <w:pPr>
        <w:autoSpaceDE w:val="0"/>
        <w:autoSpaceDN w:val="0"/>
        <w:adjustRightInd w:val="0"/>
        <w:jc w:val="both"/>
        <w:rPr>
          <w:lang w:val="en-GB"/>
        </w:rPr>
      </w:pPr>
    </w:p>
    <w:p w14:paraId="51D54033" w14:textId="7E784ED6" w:rsidR="00B2572D" w:rsidRDefault="00B2572D" w:rsidP="00B2572D">
      <w:pPr>
        <w:autoSpaceDE w:val="0"/>
        <w:autoSpaceDN w:val="0"/>
        <w:adjustRightInd w:val="0"/>
        <w:jc w:val="both"/>
        <w:rPr>
          <w:b/>
          <w:bCs/>
          <w:lang w:val="en-GB"/>
        </w:rPr>
      </w:pPr>
      <w:r>
        <w:rPr>
          <w:b/>
          <w:bCs/>
          <w:lang w:val="en-GB"/>
        </w:rPr>
        <w:t>Order</w:t>
      </w:r>
    </w:p>
    <w:p w14:paraId="687550F0" w14:textId="77777777" w:rsidR="00B2572D" w:rsidRPr="00B2572D" w:rsidRDefault="00B2572D" w:rsidP="00B2572D">
      <w:pPr>
        <w:autoSpaceDE w:val="0"/>
        <w:autoSpaceDN w:val="0"/>
        <w:adjustRightInd w:val="0"/>
        <w:jc w:val="both"/>
        <w:rPr>
          <w:b/>
          <w:bCs/>
          <w:lang w:val="en-GB"/>
        </w:rPr>
      </w:pPr>
    </w:p>
    <w:p w14:paraId="08798552" w14:textId="7549DF73" w:rsidR="006811C2" w:rsidRPr="00044B50" w:rsidRDefault="008F05BD" w:rsidP="00AF6DF0">
      <w:pPr>
        <w:pStyle w:val="ListParagraph"/>
        <w:numPr>
          <w:ilvl w:val="0"/>
          <w:numId w:val="10"/>
        </w:numPr>
        <w:autoSpaceDE w:val="0"/>
        <w:autoSpaceDN w:val="0"/>
        <w:adjustRightInd w:val="0"/>
        <w:ind w:left="142" w:hanging="142"/>
        <w:jc w:val="both"/>
        <w:rPr>
          <w:lang w:val="en-GB"/>
        </w:rPr>
      </w:pPr>
      <w:r>
        <w:rPr>
          <w:lang w:val="en-GB"/>
        </w:rPr>
        <w:t>The application for leave to appeal is dismissed with costs.</w:t>
      </w:r>
    </w:p>
    <w:p w14:paraId="1C5235EA" w14:textId="77777777" w:rsidR="00AF6DF0" w:rsidRPr="008C480D" w:rsidRDefault="00AF6DF0" w:rsidP="008C480D">
      <w:pPr>
        <w:autoSpaceDE w:val="0"/>
        <w:autoSpaceDN w:val="0"/>
        <w:adjustRightInd w:val="0"/>
        <w:jc w:val="both"/>
        <w:rPr>
          <w:lang w:val="en-GB"/>
        </w:rPr>
      </w:pPr>
    </w:p>
    <w:p w14:paraId="3117877B" w14:textId="77777777" w:rsidR="003C3BC6" w:rsidRPr="00044B50" w:rsidRDefault="003C3BC6" w:rsidP="00AF6DF0">
      <w:pPr>
        <w:autoSpaceDE w:val="0"/>
        <w:autoSpaceDN w:val="0"/>
        <w:adjustRightInd w:val="0"/>
        <w:jc w:val="both"/>
        <w:rPr>
          <w:lang w:val="en-GB"/>
        </w:rPr>
      </w:pPr>
    </w:p>
    <w:p w14:paraId="38FC7F46" w14:textId="77777777" w:rsidR="003C3BC6" w:rsidRPr="00044B50" w:rsidRDefault="003C3BC6" w:rsidP="00682CE5">
      <w:pPr>
        <w:autoSpaceDE w:val="0"/>
        <w:autoSpaceDN w:val="0"/>
        <w:adjustRightInd w:val="0"/>
        <w:jc w:val="both"/>
        <w:rPr>
          <w:lang w:val="en-GB"/>
        </w:rPr>
      </w:pPr>
    </w:p>
    <w:p w14:paraId="363DCE68" w14:textId="3C4454A8" w:rsidR="00D450B5" w:rsidRPr="00044B50" w:rsidRDefault="00D450B5" w:rsidP="00D133F0">
      <w:pPr>
        <w:ind w:left="4320" w:firstLine="720"/>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77777777" w:rsidR="00D450B5" w:rsidRPr="00044B50" w:rsidRDefault="00D450B5" w:rsidP="004A5151">
      <w:pPr>
        <w:ind w:left="4320" w:firstLine="720"/>
        <w:jc w:val="both"/>
        <w:rPr>
          <w:b/>
          <w:bCs/>
          <w:lang w:val="en-GB"/>
        </w:rPr>
      </w:pPr>
      <w:r w:rsidRPr="00044B50">
        <w:rPr>
          <w:b/>
          <w:bCs/>
          <w:lang w:val="en-GB"/>
        </w:rPr>
        <w:t xml:space="preserve">A. GOVINDJEE                                                                                                                                                       </w:t>
      </w:r>
    </w:p>
    <w:p w14:paraId="14E92973" w14:textId="73ED5902" w:rsidR="00D450B5" w:rsidRDefault="00D450B5" w:rsidP="004A5151">
      <w:pPr>
        <w:ind w:left="4320" w:firstLine="720"/>
        <w:jc w:val="both"/>
        <w:rPr>
          <w:b/>
          <w:bCs/>
          <w:lang w:val="en-GB"/>
        </w:rPr>
      </w:pPr>
      <w:r w:rsidRPr="00044B50">
        <w:rPr>
          <w:b/>
          <w:bCs/>
          <w:lang w:val="en-GB"/>
        </w:rPr>
        <w:t>JUDGE OF THE HIGH COURT</w:t>
      </w:r>
    </w:p>
    <w:p w14:paraId="737CA3C3" w14:textId="631FA0FB" w:rsidR="00B7663E" w:rsidRDefault="00B7663E" w:rsidP="004A5151">
      <w:pPr>
        <w:ind w:left="4320" w:firstLine="720"/>
        <w:jc w:val="both"/>
        <w:rPr>
          <w:b/>
          <w:bCs/>
          <w:lang w:val="en-GB"/>
        </w:rPr>
      </w:pPr>
    </w:p>
    <w:p w14:paraId="4F6FA81B" w14:textId="77777777" w:rsidR="00B7663E" w:rsidRPr="00044B50" w:rsidRDefault="00B7663E" w:rsidP="004A5151">
      <w:pPr>
        <w:ind w:left="4320" w:firstLine="720"/>
        <w:jc w:val="both"/>
        <w:rPr>
          <w:b/>
          <w:bCs/>
          <w:lang w:val="en-GB"/>
        </w:rPr>
      </w:pPr>
    </w:p>
    <w:p w14:paraId="56442A86" w14:textId="4A1F9AD4" w:rsidR="00AA32DA" w:rsidRDefault="00AA32DA" w:rsidP="004A5151">
      <w:pPr>
        <w:autoSpaceDE w:val="0"/>
        <w:autoSpaceDN w:val="0"/>
        <w:adjustRightInd w:val="0"/>
        <w:jc w:val="both"/>
        <w:rPr>
          <w:lang w:val="en-GB"/>
        </w:rPr>
      </w:pPr>
    </w:p>
    <w:p w14:paraId="04EEEF0A" w14:textId="229BDD2A" w:rsidR="007A7BBE" w:rsidRPr="0078528E" w:rsidRDefault="007A7BBE" w:rsidP="007A7BBE">
      <w:pPr>
        <w:widowControl w:val="0"/>
        <w:jc w:val="right"/>
        <w:rPr>
          <w:b/>
          <w:spacing w:val="14"/>
          <w:kern w:val="2"/>
          <w:lang w:val="en-GB"/>
        </w:rPr>
      </w:pPr>
      <w:r w:rsidRPr="0078528E">
        <w:rPr>
          <w:b/>
          <w:spacing w:val="14"/>
          <w:kern w:val="2"/>
          <w:lang w:val="en-GB"/>
        </w:rPr>
        <w:t>Heard:</w:t>
      </w:r>
      <w:r w:rsidR="0078528E" w:rsidRPr="0078528E">
        <w:rPr>
          <w:b/>
          <w:spacing w:val="14"/>
          <w:kern w:val="2"/>
          <w:lang w:val="en-GB"/>
        </w:rPr>
        <w:t>19 May 2022</w:t>
      </w:r>
    </w:p>
    <w:p w14:paraId="5D550954" w14:textId="103597F6" w:rsidR="007A7BBE" w:rsidRPr="0078528E" w:rsidRDefault="007A7BBE" w:rsidP="007A7BBE">
      <w:pPr>
        <w:widowControl w:val="0"/>
        <w:jc w:val="right"/>
        <w:rPr>
          <w:b/>
          <w:spacing w:val="14"/>
          <w:kern w:val="2"/>
          <w:lang w:val="en-GB"/>
        </w:rPr>
      </w:pPr>
      <w:r w:rsidRPr="0078528E">
        <w:rPr>
          <w:b/>
          <w:spacing w:val="14"/>
          <w:kern w:val="2"/>
          <w:lang w:val="en-GB"/>
        </w:rPr>
        <w:t>Delivered:</w:t>
      </w:r>
      <w:r w:rsidR="0078528E" w:rsidRPr="0078528E">
        <w:rPr>
          <w:b/>
          <w:spacing w:val="14"/>
          <w:kern w:val="2"/>
          <w:lang w:val="en-GB"/>
        </w:rPr>
        <w:t>07 June 2022</w:t>
      </w:r>
    </w:p>
    <w:p w14:paraId="398380BF" w14:textId="02F94413" w:rsidR="007A7BBE" w:rsidRDefault="007A7BBE" w:rsidP="004A5151">
      <w:pPr>
        <w:autoSpaceDE w:val="0"/>
        <w:autoSpaceDN w:val="0"/>
        <w:adjustRightInd w:val="0"/>
        <w:jc w:val="both"/>
        <w:rPr>
          <w:lang w:val="en-GB"/>
        </w:rPr>
      </w:pPr>
    </w:p>
    <w:p w14:paraId="2FB5397C" w14:textId="452C7BB7" w:rsidR="00B7663E" w:rsidRDefault="00B7663E" w:rsidP="004A5151">
      <w:pPr>
        <w:autoSpaceDE w:val="0"/>
        <w:autoSpaceDN w:val="0"/>
        <w:adjustRightInd w:val="0"/>
        <w:jc w:val="both"/>
        <w:rPr>
          <w:lang w:val="en-GB"/>
        </w:rPr>
      </w:pPr>
    </w:p>
    <w:p w14:paraId="5692F372" w14:textId="7F17D5D3" w:rsidR="00B7663E" w:rsidRDefault="00B7663E" w:rsidP="004A5151">
      <w:pPr>
        <w:autoSpaceDE w:val="0"/>
        <w:autoSpaceDN w:val="0"/>
        <w:adjustRightInd w:val="0"/>
        <w:jc w:val="both"/>
        <w:rPr>
          <w:lang w:val="en-GB"/>
        </w:rPr>
      </w:pPr>
    </w:p>
    <w:p w14:paraId="50730E51" w14:textId="2AFE6ECC" w:rsidR="00B7663E" w:rsidRDefault="00B7663E" w:rsidP="004A5151">
      <w:pPr>
        <w:autoSpaceDE w:val="0"/>
        <w:autoSpaceDN w:val="0"/>
        <w:adjustRightInd w:val="0"/>
        <w:jc w:val="both"/>
        <w:rPr>
          <w:lang w:val="en-GB"/>
        </w:rPr>
      </w:pPr>
    </w:p>
    <w:p w14:paraId="7DED6518" w14:textId="34366630" w:rsidR="00B7663E" w:rsidRDefault="00B7663E" w:rsidP="004A5151">
      <w:pPr>
        <w:autoSpaceDE w:val="0"/>
        <w:autoSpaceDN w:val="0"/>
        <w:adjustRightInd w:val="0"/>
        <w:jc w:val="both"/>
        <w:rPr>
          <w:lang w:val="en-GB"/>
        </w:rPr>
      </w:pPr>
    </w:p>
    <w:p w14:paraId="25FB0AF8" w14:textId="638E6330" w:rsidR="00B7663E" w:rsidRDefault="00B7663E" w:rsidP="004A5151">
      <w:pPr>
        <w:autoSpaceDE w:val="0"/>
        <w:autoSpaceDN w:val="0"/>
        <w:adjustRightInd w:val="0"/>
        <w:jc w:val="both"/>
        <w:rPr>
          <w:lang w:val="en-GB"/>
        </w:rPr>
      </w:pPr>
    </w:p>
    <w:p w14:paraId="688024F7" w14:textId="34A4A8CD" w:rsidR="00B7663E" w:rsidRDefault="00B7663E" w:rsidP="004A5151">
      <w:pPr>
        <w:autoSpaceDE w:val="0"/>
        <w:autoSpaceDN w:val="0"/>
        <w:adjustRightInd w:val="0"/>
        <w:jc w:val="both"/>
        <w:rPr>
          <w:lang w:val="en-GB"/>
        </w:rPr>
      </w:pPr>
    </w:p>
    <w:p w14:paraId="2BEC8735" w14:textId="11C48083" w:rsidR="00B7663E" w:rsidRDefault="00B7663E" w:rsidP="004A5151">
      <w:pPr>
        <w:autoSpaceDE w:val="0"/>
        <w:autoSpaceDN w:val="0"/>
        <w:adjustRightInd w:val="0"/>
        <w:jc w:val="both"/>
        <w:rPr>
          <w:lang w:val="en-GB"/>
        </w:rPr>
      </w:pPr>
    </w:p>
    <w:p w14:paraId="3A82DD15" w14:textId="77777777" w:rsidR="00B7663E" w:rsidRPr="00044B50" w:rsidRDefault="00B7663E" w:rsidP="004A5151">
      <w:pPr>
        <w:autoSpaceDE w:val="0"/>
        <w:autoSpaceDN w:val="0"/>
        <w:adjustRightInd w:val="0"/>
        <w:jc w:val="both"/>
        <w:rPr>
          <w:lang w:val="en-GB"/>
        </w:rPr>
      </w:pPr>
    </w:p>
    <w:p w14:paraId="0BAE84DD" w14:textId="77777777" w:rsidR="007C247A" w:rsidRPr="00044B50" w:rsidRDefault="007C247A" w:rsidP="00772E4B">
      <w:pPr>
        <w:jc w:val="both"/>
        <w:rPr>
          <w:lang w:val="en-GB"/>
        </w:rPr>
      </w:pPr>
      <w:r w:rsidRPr="00044B50">
        <w:rPr>
          <w:lang w:val="en-GB"/>
        </w:rPr>
        <w:lastRenderedPageBreak/>
        <w:t>Appearances:</w:t>
      </w:r>
    </w:p>
    <w:p w14:paraId="412BB833" w14:textId="77777777" w:rsidR="007C247A" w:rsidRPr="00044B50" w:rsidRDefault="007C247A" w:rsidP="00772E4B">
      <w:pPr>
        <w:jc w:val="both"/>
        <w:rPr>
          <w:lang w:val="en-GB"/>
        </w:rPr>
      </w:pPr>
    </w:p>
    <w:p w14:paraId="1BB11DFB" w14:textId="7CCC0156" w:rsidR="00B7663E" w:rsidRPr="008E7830" w:rsidRDefault="00B7663E" w:rsidP="00B7663E">
      <w:pPr>
        <w:tabs>
          <w:tab w:val="left" w:pos="3261"/>
          <w:tab w:val="center" w:pos="4003"/>
        </w:tabs>
        <w:jc w:val="both"/>
        <w:rPr>
          <w:color w:val="auto"/>
        </w:rPr>
      </w:pPr>
      <w:r>
        <w:rPr>
          <w:color w:val="auto"/>
        </w:rPr>
        <w:t>3</w:t>
      </w:r>
      <w:r w:rsidRPr="00B7663E">
        <w:rPr>
          <w:color w:val="auto"/>
          <w:vertAlign w:val="superscript"/>
        </w:rPr>
        <w:t>rd</w:t>
      </w:r>
      <w:r>
        <w:rPr>
          <w:color w:val="auto"/>
        </w:rPr>
        <w:t xml:space="preserve"> &amp; 4</w:t>
      </w:r>
      <w:r w:rsidRPr="00B7663E">
        <w:rPr>
          <w:color w:val="auto"/>
          <w:vertAlign w:val="superscript"/>
        </w:rPr>
        <w:t>th</w:t>
      </w:r>
      <w:r>
        <w:rPr>
          <w:color w:val="auto"/>
        </w:rPr>
        <w:t xml:space="preserve"> Applicant’s Counsel</w:t>
      </w:r>
      <w:r w:rsidRPr="008E7830">
        <w:rPr>
          <w:color w:val="auto"/>
        </w:rPr>
        <w:t>:</w:t>
      </w:r>
      <w:r w:rsidRPr="008E7830">
        <w:rPr>
          <w:color w:val="auto"/>
        </w:rPr>
        <w:tab/>
        <w:t xml:space="preserve">Adv </w:t>
      </w:r>
      <w:r>
        <w:rPr>
          <w:color w:val="auto"/>
        </w:rPr>
        <w:t xml:space="preserve">D. Mahon </w:t>
      </w:r>
    </w:p>
    <w:p w14:paraId="74D7D529" w14:textId="67A8F8B5" w:rsidR="00B7663E" w:rsidRPr="008E7830" w:rsidRDefault="00B7663E" w:rsidP="00B7663E">
      <w:pPr>
        <w:tabs>
          <w:tab w:val="left" w:pos="3261"/>
          <w:tab w:val="center" w:pos="4003"/>
        </w:tabs>
        <w:jc w:val="both"/>
        <w:rPr>
          <w:color w:val="auto"/>
        </w:rPr>
      </w:pPr>
      <w:r w:rsidRPr="008E7830">
        <w:rPr>
          <w:color w:val="auto"/>
        </w:rPr>
        <w:tab/>
      </w:r>
      <w:r>
        <w:rPr>
          <w:color w:val="auto"/>
        </w:rPr>
        <w:t>Chambers in Sandton</w:t>
      </w:r>
    </w:p>
    <w:p w14:paraId="171981D4" w14:textId="77777777" w:rsidR="00B7663E" w:rsidRPr="008E7830" w:rsidRDefault="00B7663E" w:rsidP="00B7663E">
      <w:pPr>
        <w:tabs>
          <w:tab w:val="left" w:pos="3261"/>
          <w:tab w:val="center" w:pos="4003"/>
        </w:tabs>
        <w:jc w:val="both"/>
        <w:rPr>
          <w:color w:val="auto"/>
        </w:rPr>
      </w:pPr>
    </w:p>
    <w:p w14:paraId="48966646" w14:textId="62B83C0D" w:rsidR="00B7663E" w:rsidRDefault="00B7663E" w:rsidP="00B7663E">
      <w:pPr>
        <w:tabs>
          <w:tab w:val="left" w:pos="3261"/>
          <w:tab w:val="center" w:pos="4003"/>
        </w:tabs>
        <w:jc w:val="both"/>
        <w:rPr>
          <w:color w:val="auto"/>
        </w:rPr>
      </w:pPr>
      <w:r w:rsidRPr="008E7830">
        <w:rPr>
          <w:color w:val="auto"/>
        </w:rPr>
        <w:t xml:space="preserve">Instructed by                     :      </w:t>
      </w:r>
      <w:r>
        <w:rPr>
          <w:color w:val="auto"/>
        </w:rPr>
        <w:t>Cullinan &amp; Associates</w:t>
      </w:r>
    </w:p>
    <w:p w14:paraId="50E4BA34" w14:textId="175DE909" w:rsidR="00B7663E" w:rsidRDefault="00B7663E" w:rsidP="00B7663E">
      <w:pPr>
        <w:tabs>
          <w:tab w:val="left" w:pos="3261"/>
          <w:tab w:val="center" w:pos="4003"/>
        </w:tabs>
        <w:jc w:val="both"/>
        <w:rPr>
          <w:color w:val="auto"/>
        </w:rPr>
      </w:pPr>
      <w:r>
        <w:rPr>
          <w:color w:val="auto"/>
        </w:rPr>
        <w:tab/>
        <w:t>Cape Town</w:t>
      </w:r>
    </w:p>
    <w:p w14:paraId="08C1BF16" w14:textId="1B7BE12A" w:rsidR="00B7663E" w:rsidRDefault="00B7663E" w:rsidP="00B7663E">
      <w:pPr>
        <w:tabs>
          <w:tab w:val="left" w:pos="3261"/>
          <w:tab w:val="center" w:pos="4003"/>
        </w:tabs>
        <w:jc w:val="both"/>
        <w:rPr>
          <w:color w:val="auto"/>
        </w:rPr>
      </w:pPr>
      <w:r>
        <w:rPr>
          <w:color w:val="auto"/>
        </w:rPr>
        <w:tab/>
        <w:t>Email:Ricky@greencounsel.co.za</w:t>
      </w:r>
    </w:p>
    <w:p w14:paraId="7A79C71F" w14:textId="77777777" w:rsidR="00557DE4" w:rsidRDefault="00557DE4" w:rsidP="00B7663E">
      <w:pPr>
        <w:tabs>
          <w:tab w:val="left" w:pos="3261"/>
          <w:tab w:val="center" w:pos="4003"/>
        </w:tabs>
        <w:jc w:val="both"/>
        <w:rPr>
          <w:color w:val="auto"/>
        </w:rPr>
      </w:pPr>
    </w:p>
    <w:p w14:paraId="4CDE777A" w14:textId="77777777" w:rsidR="00B7663E" w:rsidRDefault="00B7663E" w:rsidP="00B7663E">
      <w:pPr>
        <w:tabs>
          <w:tab w:val="left" w:pos="3261"/>
          <w:tab w:val="center" w:pos="4003"/>
        </w:tabs>
        <w:jc w:val="both"/>
        <w:rPr>
          <w:color w:val="auto"/>
        </w:rPr>
      </w:pPr>
      <w:r>
        <w:rPr>
          <w:color w:val="auto"/>
        </w:rPr>
        <w:t>c/o</w:t>
      </w:r>
      <w:r>
        <w:rPr>
          <w:color w:val="auto"/>
        </w:rPr>
        <w:tab/>
        <w:t>Huxtable Attorneys</w:t>
      </w:r>
    </w:p>
    <w:p w14:paraId="0D9A5A51" w14:textId="77777777" w:rsidR="00B7663E" w:rsidRPr="008E7830" w:rsidRDefault="00B7663E" w:rsidP="00B7663E">
      <w:pPr>
        <w:tabs>
          <w:tab w:val="left" w:pos="3261"/>
          <w:tab w:val="center" w:pos="4003"/>
        </w:tabs>
        <w:jc w:val="both"/>
        <w:rPr>
          <w:color w:val="auto"/>
        </w:rPr>
      </w:pPr>
      <w:r>
        <w:rPr>
          <w:color w:val="auto"/>
        </w:rPr>
        <w:tab/>
        <w:t>26 New Street</w:t>
      </w:r>
    </w:p>
    <w:p w14:paraId="7587847A" w14:textId="77777777" w:rsidR="00B7663E" w:rsidRDefault="00B7663E" w:rsidP="00B7663E">
      <w:pPr>
        <w:tabs>
          <w:tab w:val="left" w:pos="3261"/>
          <w:tab w:val="center" w:pos="4003"/>
        </w:tabs>
        <w:jc w:val="both"/>
        <w:rPr>
          <w:color w:val="auto"/>
        </w:rPr>
      </w:pPr>
      <w:r w:rsidRPr="008E7830">
        <w:rPr>
          <w:color w:val="auto"/>
        </w:rPr>
        <w:tab/>
      </w:r>
      <w:r>
        <w:rPr>
          <w:color w:val="auto"/>
        </w:rPr>
        <w:t>Makhanda</w:t>
      </w:r>
    </w:p>
    <w:p w14:paraId="6AF23F38" w14:textId="77777777" w:rsidR="00B7663E" w:rsidRPr="008E7830" w:rsidRDefault="00B7663E" w:rsidP="00B7663E">
      <w:pPr>
        <w:tabs>
          <w:tab w:val="left" w:pos="3261"/>
          <w:tab w:val="center" w:pos="4003"/>
        </w:tabs>
        <w:jc w:val="both"/>
        <w:rPr>
          <w:color w:val="auto"/>
        </w:rPr>
      </w:pPr>
      <w:r>
        <w:rPr>
          <w:color w:val="auto"/>
        </w:rPr>
        <w:tab/>
        <w:t>Email:owen@huxattorneys.co.za</w:t>
      </w:r>
    </w:p>
    <w:p w14:paraId="6A702DC5" w14:textId="77777777" w:rsidR="00B7663E" w:rsidRPr="008E7830" w:rsidRDefault="00B7663E" w:rsidP="00B7663E">
      <w:pPr>
        <w:tabs>
          <w:tab w:val="left" w:pos="3261"/>
          <w:tab w:val="left" w:pos="3402"/>
          <w:tab w:val="left" w:pos="3686"/>
          <w:tab w:val="center" w:pos="4003"/>
        </w:tabs>
        <w:jc w:val="both"/>
        <w:rPr>
          <w:color w:val="auto"/>
        </w:rPr>
      </w:pPr>
      <w:r w:rsidRPr="008E7830">
        <w:rPr>
          <w:color w:val="auto"/>
        </w:rPr>
        <w:t xml:space="preserve">                                                 </w:t>
      </w:r>
    </w:p>
    <w:p w14:paraId="6C98C418" w14:textId="566D6934" w:rsidR="00B7663E" w:rsidRPr="008E7830" w:rsidRDefault="00B7663E" w:rsidP="00B7663E">
      <w:pPr>
        <w:tabs>
          <w:tab w:val="left" w:pos="3261"/>
          <w:tab w:val="center" w:pos="3989"/>
        </w:tabs>
        <w:jc w:val="both"/>
        <w:rPr>
          <w:color w:val="auto"/>
        </w:rPr>
      </w:pPr>
      <w:r>
        <w:rPr>
          <w:color w:val="auto"/>
        </w:rPr>
        <w:t>1</w:t>
      </w:r>
      <w:r w:rsidRPr="0099571D">
        <w:rPr>
          <w:color w:val="auto"/>
          <w:vertAlign w:val="superscript"/>
        </w:rPr>
        <w:t>st</w:t>
      </w:r>
      <w:r>
        <w:rPr>
          <w:color w:val="auto"/>
        </w:rPr>
        <w:t xml:space="preserve"> R</w:t>
      </w:r>
      <w:r w:rsidRPr="008E7830">
        <w:rPr>
          <w:color w:val="auto"/>
        </w:rPr>
        <w:t>espondent</w:t>
      </w:r>
      <w:r>
        <w:rPr>
          <w:color w:val="auto"/>
        </w:rPr>
        <w:t>’s Counsel</w:t>
      </w:r>
      <w:r w:rsidRPr="008E7830">
        <w:rPr>
          <w:color w:val="auto"/>
        </w:rPr>
        <w:t>:</w:t>
      </w:r>
      <w:r w:rsidRPr="008E7830">
        <w:rPr>
          <w:color w:val="auto"/>
        </w:rPr>
        <w:tab/>
      </w:r>
      <w:r>
        <w:rPr>
          <w:color w:val="auto"/>
        </w:rPr>
        <w:t xml:space="preserve">Adv </w:t>
      </w:r>
      <w:r w:rsidR="00557DE4">
        <w:rPr>
          <w:color w:val="auto"/>
        </w:rPr>
        <w:t xml:space="preserve">A. </w:t>
      </w:r>
      <w:r>
        <w:rPr>
          <w:color w:val="auto"/>
        </w:rPr>
        <w:t>Beyleveld SC</w:t>
      </w:r>
    </w:p>
    <w:p w14:paraId="3BA7AB47" w14:textId="77777777" w:rsidR="00B7663E" w:rsidRDefault="00B7663E" w:rsidP="00B7663E">
      <w:pPr>
        <w:tabs>
          <w:tab w:val="left" w:pos="3119"/>
          <w:tab w:val="center" w:pos="3989"/>
        </w:tabs>
        <w:rPr>
          <w:color w:val="auto"/>
        </w:rPr>
      </w:pPr>
      <w:r>
        <w:rPr>
          <w:color w:val="auto"/>
        </w:rPr>
        <w:tab/>
      </w:r>
      <w:r w:rsidRPr="008E7830">
        <w:rPr>
          <w:color w:val="auto"/>
        </w:rPr>
        <w:t xml:space="preserve">  </w:t>
      </w:r>
      <w:r>
        <w:rPr>
          <w:color w:val="auto"/>
        </w:rPr>
        <w:t>Makhanda</w:t>
      </w:r>
    </w:p>
    <w:p w14:paraId="2A62A5A0" w14:textId="77777777" w:rsidR="00B7663E" w:rsidRPr="008E7830" w:rsidRDefault="00B7663E" w:rsidP="00B7663E">
      <w:pPr>
        <w:tabs>
          <w:tab w:val="left" w:pos="3119"/>
          <w:tab w:val="center" w:pos="3989"/>
        </w:tabs>
        <w:rPr>
          <w:color w:val="auto"/>
        </w:rPr>
      </w:pPr>
    </w:p>
    <w:p w14:paraId="2578B502" w14:textId="77777777" w:rsidR="00B7663E" w:rsidRPr="008E7830" w:rsidRDefault="00B7663E" w:rsidP="00B7663E">
      <w:pPr>
        <w:tabs>
          <w:tab w:val="left" w:pos="3119"/>
          <w:tab w:val="center" w:pos="3989"/>
        </w:tabs>
        <w:rPr>
          <w:color w:val="auto"/>
        </w:rPr>
      </w:pPr>
      <w:r w:rsidRPr="008E7830">
        <w:rPr>
          <w:color w:val="auto"/>
        </w:rPr>
        <w:t>Instructed by               :</w:t>
      </w:r>
      <w:r w:rsidRPr="008E7830">
        <w:rPr>
          <w:color w:val="auto"/>
        </w:rPr>
        <w:tab/>
        <w:t xml:space="preserve">  </w:t>
      </w:r>
      <w:r>
        <w:rPr>
          <w:color w:val="auto"/>
        </w:rPr>
        <w:t>The State Attorney</w:t>
      </w:r>
    </w:p>
    <w:p w14:paraId="22C4C4F3" w14:textId="77777777" w:rsidR="00B7663E" w:rsidRDefault="00B7663E" w:rsidP="00B7663E">
      <w:pPr>
        <w:tabs>
          <w:tab w:val="left" w:pos="3119"/>
          <w:tab w:val="center" w:pos="3989"/>
        </w:tabs>
        <w:rPr>
          <w:color w:val="auto"/>
        </w:rPr>
      </w:pPr>
      <w:r w:rsidRPr="008E7830">
        <w:rPr>
          <w:color w:val="auto"/>
        </w:rPr>
        <w:tab/>
        <w:t xml:space="preserve">  </w:t>
      </w:r>
      <w:r>
        <w:rPr>
          <w:color w:val="auto"/>
        </w:rPr>
        <w:t>First Respondent Attorney</w:t>
      </w:r>
    </w:p>
    <w:p w14:paraId="71C47318" w14:textId="77777777" w:rsidR="00B7663E" w:rsidRDefault="00B7663E" w:rsidP="00B7663E">
      <w:pPr>
        <w:tabs>
          <w:tab w:val="left" w:pos="3119"/>
          <w:tab w:val="center" w:pos="3989"/>
        </w:tabs>
        <w:rPr>
          <w:color w:val="auto"/>
        </w:rPr>
      </w:pPr>
      <w:r>
        <w:rPr>
          <w:color w:val="auto"/>
        </w:rPr>
        <w:tab/>
        <w:t xml:space="preserve">  Email:MicBotha@justice.gov.za</w:t>
      </w:r>
    </w:p>
    <w:p w14:paraId="1880513D" w14:textId="77777777" w:rsidR="00B7663E" w:rsidRDefault="00B7663E" w:rsidP="00B7663E">
      <w:pPr>
        <w:tabs>
          <w:tab w:val="left" w:pos="3119"/>
          <w:tab w:val="center" w:pos="3989"/>
        </w:tabs>
        <w:rPr>
          <w:color w:val="auto"/>
        </w:rPr>
      </w:pPr>
    </w:p>
    <w:p w14:paraId="0963B033" w14:textId="77777777" w:rsidR="00B7663E" w:rsidRDefault="00B7663E" w:rsidP="00B7663E">
      <w:pPr>
        <w:tabs>
          <w:tab w:val="left" w:pos="3261"/>
          <w:tab w:val="center" w:pos="3989"/>
        </w:tabs>
        <w:rPr>
          <w:color w:val="auto"/>
        </w:rPr>
      </w:pPr>
    </w:p>
    <w:p w14:paraId="506B4AED" w14:textId="5B183152" w:rsidR="00B7663E" w:rsidRDefault="00B7663E" w:rsidP="00557DE4">
      <w:pPr>
        <w:tabs>
          <w:tab w:val="left" w:pos="3261"/>
          <w:tab w:val="center" w:pos="3989"/>
        </w:tabs>
        <w:rPr>
          <w:color w:val="auto"/>
        </w:rPr>
      </w:pPr>
      <w:r>
        <w:rPr>
          <w:color w:val="auto"/>
        </w:rPr>
        <w:t>3</w:t>
      </w:r>
      <w:r w:rsidRPr="00B7663E">
        <w:rPr>
          <w:color w:val="auto"/>
          <w:vertAlign w:val="superscript"/>
        </w:rPr>
        <w:t>rd</w:t>
      </w:r>
      <w:r w:rsidR="00557DE4">
        <w:rPr>
          <w:color w:val="auto"/>
        </w:rPr>
        <w:t>- 5</w:t>
      </w:r>
      <w:r w:rsidR="00557DE4" w:rsidRPr="00557DE4">
        <w:rPr>
          <w:color w:val="auto"/>
          <w:vertAlign w:val="superscript"/>
        </w:rPr>
        <w:t>th</w:t>
      </w:r>
      <w:r w:rsidR="00557DE4">
        <w:rPr>
          <w:color w:val="auto"/>
        </w:rPr>
        <w:t xml:space="preserve"> Respondent’s</w:t>
      </w:r>
      <w:r>
        <w:rPr>
          <w:color w:val="auto"/>
        </w:rPr>
        <w:t xml:space="preserve"> Counsel:</w:t>
      </w:r>
      <w:r>
        <w:rPr>
          <w:color w:val="auto"/>
        </w:rPr>
        <w:tab/>
        <w:t xml:space="preserve">Adv </w:t>
      </w:r>
      <w:r w:rsidR="00557DE4">
        <w:rPr>
          <w:color w:val="auto"/>
        </w:rPr>
        <w:t>A. Friedman</w:t>
      </w:r>
      <w:r w:rsidR="009A46FB">
        <w:rPr>
          <w:color w:val="auto"/>
        </w:rPr>
        <w:t xml:space="preserve"> and Adv S Pudifin-Jones</w:t>
      </w:r>
    </w:p>
    <w:p w14:paraId="3F263AFE" w14:textId="75C02498" w:rsidR="00B7663E" w:rsidRDefault="00B7663E" w:rsidP="00B7663E">
      <w:pPr>
        <w:tabs>
          <w:tab w:val="left" w:pos="3261"/>
          <w:tab w:val="center" w:pos="3989"/>
        </w:tabs>
        <w:rPr>
          <w:color w:val="auto"/>
        </w:rPr>
      </w:pPr>
      <w:r>
        <w:rPr>
          <w:color w:val="auto"/>
        </w:rPr>
        <w:tab/>
      </w:r>
      <w:r w:rsidR="00557DE4">
        <w:rPr>
          <w:color w:val="auto"/>
        </w:rPr>
        <w:t>Sandton</w:t>
      </w:r>
    </w:p>
    <w:p w14:paraId="38B1F465" w14:textId="77777777" w:rsidR="00B7663E" w:rsidRDefault="00B7663E" w:rsidP="00B7663E">
      <w:pPr>
        <w:tabs>
          <w:tab w:val="left" w:pos="3261"/>
          <w:tab w:val="center" w:pos="3989"/>
        </w:tabs>
        <w:rPr>
          <w:color w:val="auto"/>
        </w:rPr>
      </w:pPr>
    </w:p>
    <w:p w14:paraId="1DF9A388" w14:textId="0F176DFB" w:rsidR="00B7663E" w:rsidRDefault="00B7663E" w:rsidP="00B7663E">
      <w:pPr>
        <w:tabs>
          <w:tab w:val="left" w:pos="3261"/>
          <w:tab w:val="center" w:pos="3989"/>
        </w:tabs>
        <w:rPr>
          <w:color w:val="auto"/>
        </w:rPr>
      </w:pPr>
      <w:r>
        <w:rPr>
          <w:color w:val="auto"/>
        </w:rPr>
        <w:t>Instructed by                     :</w:t>
      </w:r>
      <w:r>
        <w:rPr>
          <w:color w:val="auto"/>
        </w:rPr>
        <w:tab/>
      </w:r>
      <w:r w:rsidR="00557DE4">
        <w:rPr>
          <w:color w:val="auto"/>
        </w:rPr>
        <w:t>Shepstone Wylie Inc</w:t>
      </w:r>
      <w:r>
        <w:rPr>
          <w:color w:val="auto"/>
        </w:rPr>
        <w:t>.</w:t>
      </w:r>
    </w:p>
    <w:p w14:paraId="0D034DE9" w14:textId="48F7C515" w:rsidR="00B7663E" w:rsidRDefault="00557DE4" w:rsidP="00B7663E">
      <w:pPr>
        <w:tabs>
          <w:tab w:val="left" w:pos="3261"/>
          <w:tab w:val="center" w:pos="3989"/>
        </w:tabs>
        <w:rPr>
          <w:color w:val="auto"/>
        </w:rPr>
      </w:pPr>
      <w:r>
        <w:rPr>
          <w:color w:val="auto"/>
        </w:rPr>
        <w:tab/>
        <w:t>3</w:t>
      </w:r>
      <w:r w:rsidRPr="00557DE4">
        <w:rPr>
          <w:color w:val="auto"/>
          <w:vertAlign w:val="superscript"/>
        </w:rPr>
        <w:t>rd</w:t>
      </w:r>
      <w:r>
        <w:rPr>
          <w:color w:val="auto"/>
        </w:rPr>
        <w:t xml:space="preserve"> – 5</w:t>
      </w:r>
      <w:r w:rsidRPr="00557DE4">
        <w:rPr>
          <w:color w:val="auto"/>
          <w:vertAlign w:val="superscript"/>
        </w:rPr>
        <w:t>th</w:t>
      </w:r>
      <w:r>
        <w:rPr>
          <w:color w:val="auto"/>
        </w:rPr>
        <w:t xml:space="preserve"> </w:t>
      </w:r>
      <w:r w:rsidR="00B7663E">
        <w:rPr>
          <w:color w:val="auto"/>
        </w:rPr>
        <w:t>Respondent’s Attorneys</w:t>
      </w:r>
    </w:p>
    <w:p w14:paraId="52D08B48" w14:textId="76FE694C" w:rsidR="00B7663E" w:rsidRDefault="00B7663E" w:rsidP="00B7663E">
      <w:pPr>
        <w:tabs>
          <w:tab w:val="left" w:pos="3261"/>
          <w:tab w:val="center" w:pos="3989"/>
        </w:tabs>
        <w:rPr>
          <w:color w:val="auto"/>
        </w:rPr>
      </w:pPr>
      <w:r>
        <w:rPr>
          <w:color w:val="auto"/>
        </w:rPr>
        <w:tab/>
        <w:t>Email:</w:t>
      </w:r>
      <w:r w:rsidR="00557DE4">
        <w:rPr>
          <w:color w:val="auto"/>
        </w:rPr>
        <w:t>sampson@wylie.co.za</w:t>
      </w:r>
    </w:p>
    <w:p w14:paraId="257C265E" w14:textId="77777777" w:rsidR="00B7663E" w:rsidRDefault="00B7663E" w:rsidP="00B7663E">
      <w:pPr>
        <w:tabs>
          <w:tab w:val="left" w:pos="3261"/>
          <w:tab w:val="center" w:pos="3989"/>
        </w:tabs>
        <w:rPr>
          <w:color w:val="auto"/>
        </w:rPr>
      </w:pPr>
    </w:p>
    <w:p w14:paraId="26D8BC7E" w14:textId="0BA9FEE7" w:rsidR="00B7663E" w:rsidRDefault="00B7663E" w:rsidP="00B7663E">
      <w:pPr>
        <w:tabs>
          <w:tab w:val="left" w:pos="3261"/>
          <w:tab w:val="center" w:pos="3989"/>
        </w:tabs>
        <w:rPr>
          <w:color w:val="auto"/>
        </w:rPr>
      </w:pPr>
      <w:r>
        <w:rPr>
          <w:color w:val="auto"/>
        </w:rPr>
        <w:t>c/o</w:t>
      </w:r>
      <w:r>
        <w:rPr>
          <w:color w:val="auto"/>
        </w:rPr>
        <w:tab/>
      </w:r>
      <w:r w:rsidR="00557DE4">
        <w:rPr>
          <w:color w:val="auto"/>
        </w:rPr>
        <w:t>Nettelton Attorneys</w:t>
      </w:r>
    </w:p>
    <w:p w14:paraId="63C3E72B" w14:textId="335BEF1C" w:rsidR="00B7663E" w:rsidRDefault="00557DE4" w:rsidP="00B7663E">
      <w:pPr>
        <w:tabs>
          <w:tab w:val="left" w:pos="3261"/>
          <w:tab w:val="center" w:pos="3989"/>
        </w:tabs>
        <w:rPr>
          <w:color w:val="auto"/>
        </w:rPr>
      </w:pPr>
      <w:r>
        <w:rPr>
          <w:color w:val="auto"/>
        </w:rPr>
        <w:tab/>
        <w:t>118</w:t>
      </w:r>
      <w:r w:rsidR="00B7663E">
        <w:rPr>
          <w:color w:val="auto"/>
        </w:rPr>
        <w:t>A High Street</w:t>
      </w:r>
    </w:p>
    <w:p w14:paraId="6D883BB4" w14:textId="77777777" w:rsidR="00B7663E" w:rsidRDefault="00B7663E" w:rsidP="00B7663E">
      <w:pPr>
        <w:tabs>
          <w:tab w:val="left" w:pos="3261"/>
          <w:tab w:val="center" w:pos="3989"/>
        </w:tabs>
        <w:rPr>
          <w:color w:val="auto"/>
        </w:rPr>
      </w:pPr>
      <w:r>
        <w:rPr>
          <w:color w:val="auto"/>
        </w:rPr>
        <w:tab/>
        <w:t>Makhanda</w:t>
      </w:r>
    </w:p>
    <w:p w14:paraId="2C48F6E2" w14:textId="109C230D" w:rsidR="00AA32DA" w:rsidRPr="00044B50" w:rsidRDefault="00B7663E" w:rsidP="00557DE4">
      <w:pPr>
        <w:tabs>
          <w:tab w:val="left" w:pos="3402"/>
          <w:tab w:val="center" w:pos="3989"/>
        </w:tabs>
        <w:ind w:hanging="142"/>
        <w:jc w:val="both"/>
        <w:rPr>
          <w:lang w:val="en-GB"/>
        </w:rPr>
      </w:pPr>
      <w:r>
        <w:rPr>
          <w:color w:val="auto"/>
        </w:rPr>
        <w:tab/>
      </w:r>
      <w:r w:rsidR="00557DE4">
        <w:rPr>
          <w:color w:val="auto"/>
        </w:rPr>
        <w:t xml:space="preserve">                                                 </w:t>
      </w:r>
      <w:r>
        <w:rPr>
          <w:color w:val="auto"/>
        </w:rPr>
        <w:t>Email:</w:t>
      </w:r>
      <w:r w:rsidR="00557DE4">
        <w:rPr>
          <w:color w:val="auto"/>
        </w:rPr>
        <w:t>sam@netteltons.co.za</w:t>
      </w:r>
      <w:r>
        <w:rPr>
          <w:color w:val="auto"/>
        </w:rPr>
        <w:t xml:space="preserve">      </w:t>
      </w:r>
      <w:r w:rsidR="00AA32DA" w:rsidRPr="00044B50">
        <w:rPr>
          <w:lang w:val="en-GB"/>
        </w:rPr>
        <w:t xml:space="preserve">                                         </w:t>
      </w:r>
    </w:p>
    <w:p w14:paraId="631AD31F" w14:textId="77590EF9" w:rsidR="008677E3" w:rsidRPr="00044B50" w:rsidRDefault="008677E3" w:rsidP="00772E4B">
      <w:pPr>
        <w:autoSpaceDE w:val="0"/>
        <w:autoSpaceDN w:val="0"/>
        <w:adjustRightInd w:val="0"/>
        <w:jc w:val="both"/>
        <w:rPr>
          <w:lang w:val="en-GB"/>
        </w:rPr>
      </w:pP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3CE65" w14:textId="77777777" w:rsidR="00872B6C" w:rsidRDefault="00872B6C" w:rsidP="00005691">
      <w:r>
        <w:separator/>
      </w:r>
    </w:p>
  </w:endnote>
  <w:endnote w:type="continuationSeparator" w:id="0">
    <w:p w14:paraId="73A16539" w14:textId="77777777" w:rsidR="00872B6C" w:rsidRDefault="00872B6C"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46C89" w14:textId="77777777" w:rsidR="00872B6C" w:rsidRDefault="00872B6C" w:rsidP="00005691">
      <w:r>
        <w:separator/>
      </w:r>
    </w:p>
  </w:footnote>
  <w:footnote w:type="continuationSeparator" w:id="0">
    <w:p w14:paraId="6B6B796B" w14:textId="77777777" w:rsidR="00872B6C" w:rsidRDefault="00872B6C" w:rsidP="00005691">
      <w:r>
        <w:continuationSeparator/>
      </w:r>
    </w:p>
  </w:footnote>
  <w:footnote w:id="1">
    <w:p w14:paraId="2C55F17C" w14:textId="76762448" w:rsidR="00546297" w:rsidRPr="00546297" w:rsidRDefault="00546297" w:rsidP="00E67410">
      <w:pPr>
        <w:pStyle w:val="FootnoteText"/>
        <w:spacing w:line="240" w:lineRule="auto"/>
        <w:jc w:val="both"/>
        <w:rPr>
          <w:lang w:val="en-US"/>
        </w:rPr>
      </w:pPr>
      <w:r>
        <w:rPr>
          <w:rStyle w:val="FootnoteReference"/>
        </w:rPr>
        <w:footnoteRef/>
      </w:r>
      <w:r>
        <w:t xml:space="preserve"> </w:t>
      </w:r>
      <w:r>
        <w:rPr>
          <w:i/>
          <w:iCs/>
          <w:lang w:val="en-US"/>
        </w:rPr>
        <w:t>Biowatch Trust v Registrar Genetic Resources and Others</w:t>
      </w:r>
      <w:r>
        <w:rPr>
          <w:lang w:val="en-US"/>
        </w:rPr>
        <w:t xml:space="preserve"> 2009 (6) SA 232 (CC).</w:t>
      </w:r>
    </w:p>
  </w:footnote>
  <w:footnote w:id="2">
    <w:p w14:paraId="267D29E2" w14:textId="286A0636" w:rsidR="00842E4B" w:rsidRPr="00842E4B" w:rsidRDefault="00842E4B" w:rsidP="00E67410">
      <w:pPr>
        <w:pStyle w:val="FootnoteText"/>
        <w:spacing w:line="240" w:lineRule="auto"/>
        <w:jc w:val="both"/>
        <w:rPr>
          <w:lang w:val="en-US"/>
        </w:rPr>
      </w:pPr>
      <w:r>
        <w:rPr>
          <w:rStyle w:val="FootnoteReference"/>
        </w:rPr>
        <w:footnoteRef/>
      </w:r>
      <w:r>
        <w:t xml:space="preserve"> </w:t>
      </w:r>
      <w:r>
        <w:rPr>
          <w:lang w:val="en-US"/>
        </w:rPr>
        <w:t>National Environmental Management Act, 1998 (Act 107 of 1998).</w:t>
      </w:r>
    </w:p>
  </w:footnote>
  <w:footnote w:id="3">
    <w:p w14:paraId="10430729" w14:textId="24E99F64" w:rsidR="000D3FA3" w:rsidRPr="00386B00" w:rsidRDefault="000D3FA3" w:rsidP="00E67410">
      <w:pPr>
        <w:pStyle w:val="FootnoteText"/>
        <w:spacing w:line="240" w:lineRule="auto"/>
        <w:jc w:val="both"/>
        <w:rPr>
          <w:lang w:val="en-US"/>
        </w:rPr>
      </w:pPr>
      <w:r>
        <w:rPr>
          <w:rStyle w:val="FootnoteReference"/>
        </w:rPr>
        <w:footnoteRef/>
      </w:r>
      <w:r>
        <w:t xml:space="preserve"> </w:t>
      </w:r>
      <w:r>
        <w:rPr>
          <w:i/>
          <w:iCs/>
          <w:lang w:val="en-US"/>
        </w:rPr>
        <w:t>Estate Garlick v Commissioner for Inland Revenue</w:t>
      </w:r>
      <w:r>
        <w:rPr>
          <w:lang w:val="en-US"/>
        </w:rPr>
        <w:t xml:space="preserve"> 1934 AD 499 </w:t>
      </w:r>
      <w:r w:rsidR="00EB72FC">
        <w:rPr>
          <w:lang w:val="en-US"/>
        </w:rPr>
        <w:t>(‘</w:t>
      </w:r>
      <w:r w:rsidR="00EB72FC">
        <w:rPr>
          <w:i/>
          <w:iCs/>
          <w:lang w:val="en-US"/>
        </w:rPr>
        <w:t>Estate Garlick</w:t>
      </w:r>
      <w:r w:rsidR="00EB72FC">
        <w:rPr>
          <w:lang w:val="en-US"/>
        </w:rPr>
        <w:t>’)</w:t>
      </w:r>
      <w:r w:rsidR="00EB72FC">
        <w:rPr>
          <w:i/>
          <w:iCs/>
          <w:lang w:val="en-US"/>
        </w:rPr>
        <w:t xml:space="preserve"> </w:t>
      </w:r>
      <w:r>
        <w:rPr>
          <w:lang w:val="en-US"/>
        </w:rPr>
        <w:t>at 502.</w:t>
      </w:r>
      <w:r w:rsidR="00386B00">
        <w:rPr>
          <w:lang w:val="en-US"/>
        </w:rPr>
        <w:t xml:space="preserve"> Courts are entitled to base their judgment and to make findings in relation to any matter flowing fairly from the record, the heads of argument or the oral argument itself without forewarning: </w:t>
      </w:r>
      <w:r w:rsidR="00386B00">
        <w:rPr>
          <w:i/>
          <w:iCs/>
          <w:lang w:val="en-US"/>
        </w:rPr>
        <w:t>Thompson v SABC</w:t>
      </w:r>
      <w:r w:rsidR="00386B00">
        <w:rPr>
          <w:lang w:val="en-US"/>
        </w:rPr>
        <w:t xml:space="preserve"> 2001 (3) SA 746 (SCA) at 749H-I.</w:t>
      </w:r>
    </w:p>
  </w:footnote>
  <w:footnote w:id="4">
    <w:p w14:paraId="0D8D22C8" w14:textId="727732A7" w:rsidR="00F308A2" w:rsidRPr="00F308A2" w:rsidRDefault="00F308A2" w:rsidP="00E67410">
      <w:pPr>
        <w:pStyle w:val="FootnoteText"/>
        <w:spacing w:line="240" w:lineRule="auto"/>
        <w:jc w:val="both"/>
        <w:rPr>
          <w:lang w:val="en-US"/>
        </w:rPr>
      </w:pPr>
      <w:r>
        <w:rPr>
          <w:rStyle w:val="FootnoteReference"/>
        </w:rPr>
        <w:footnoteRef/>
      </w:r>
      <w:r>
        <w:t xml:space="preserve"> </w:t>
      </w:r>
      <w:r>
        <w:rPr>
          <w:i/>
          <w:iCs/>
          <w:lang w:val="en-US"/>
        </w:rPr>
        <w:t xml:space="preserve">Estate Garlick </w:t>
      </w:r>
      <w:r>
        <w:rPr>
          <w:lang w:val="en-US"/>
        </w:rPr>
        <w:t>ibid at 503, 504.</w:t>
      </w:r>
    </w:p>
  </w:footnote>
  <w:footnote w:id="5">
    <w:p w14:paraId="6A90601E" w14:textId="2C84F7E1" w:rsidR="006F684D" w:rsidRPr="006F684D" w:rsidRDefault="006F684D" w:rsidP="00E67410">
      <w:pPr>
        <w:pStyle w:val="FootnoteText"/>
        <w:spacing w:line="240" w:lineRule="auto"/>
        <w:jc w:val="both"/>
        <w:rPr>
          <w:lang w:val="en-US"/>
        </w:rPr>
      </w:pPr>
      <w:r>
        <w:rPr>
          <w:rStyle w:val="FootnoteReference"/>
        </w:rPr>
        <w:footnoteRef/>
      </w:r>
      <w:r>
        <w:t xml:space="preserve"> </w:t>
      </w:r>
      <w:r>
        <w:rPr>
          <w:i/>
          <w:iCs/>
          <w:lang w:val="en-US"/>
        </w:rPr>
        <w:t>Estate Garlick</w:t>
      </w:r>
      <w:r>
        <w:rPr>
          <w:lang w:val="en-US"/>
        </w:rPr>
        <w:t xml:space="preserve"> ibid at 505.</w:t>
      </w:r>
    </w:p>
  </w:footnote>
  <w:footnote w:id="6">
    <w:p w14:paraId="715D8AD4" w14:textId="2609656D" w:rsidR="00BE6BBF" w:rsidRPr="00BE6BBF" w:rsidRDefault="00BE6BBF" w:rsidP="00E67410">
      <w:pPr>
        <w:pStyle w:val="FootnoteText"/>
        <w:spacing w:line="240" w:lineRule="auto"/>
        <w:jc w:val="both"/>
        <w:rPr>
          <w:lang w:val="en-US"/>
        </w:rPr>
      </w:pPr>
      <w:r>
        <w:rPr>
          <w:rStyle w:val="FootnoteReference"/>
        </w:rPr>
        <w:footnoteRef/>
      </w:r>
      <w:r>
        <w:t xml:space="preserve"> </w:t>
      </w:r>
      <w:r>
        <w:rPr>
          <w:i/>
          <w:iCs/>
          <w:lang w:val="en-US"/>
        </w:rPr>
        <w:t>Estate Garlick</w:t>
      </w:r>
      <w:r>
        <w:rPr>
          <w:lang w:val="en-US"/>
        </w:rPr>
        <w:t xml:space="preserve"> ibid at 501.</w:t>
      </w:r>
    </w:p>
  </w:footnote>
  <w:footnote w:id="7">
    <w:p w14:paraId="0D2F609F" w14:textId="400E9BE7" w:rsidR="001544A5" w:rsidRPr="001544A5" w:rsidRDefault="001544A5" w:rsidP="00E67410">
      <w:pPr>
        <w:pStyle w:val="FootnoteText"/>
        <w:spacing w:line="240" w:lineRule="auto"/>
        <w:jc w:val="both"/>
        <w:rPr>
          <w:lang w:val="en-US"/>
        </w:rPr>
      </w:pPr>
      <w:r>
        <w:rPr>
          <w:rStyle w:val="FootnoteReference"/>
        </w:rPr>
        <w:footnoteRef/>
      </w:r>
      <w:r>
        <w:t xml:space="preserve"> </w:t>
      </w:r>
      <w:r>
        <w:rPr>
          <w:i/>
          <w:iCs/>
          <w:lang w:val="en-US"/>
        </w:rPr>
        <w:t xml:space="preserve">Estate Garlick </w:t>
      </w:r>
      <w:r>
        <w:rPr>
          <w:lang w:val="en-US"/>
        </w:rPr>
        <w:t>ibid at 505, 506.</w:t>
      </w:r>
    </w:p>
  </w:footnote>
  <w:footnote w:id="8">
    <w:p w14:paraId="3DE7FDDD" w14:textId="41489693" w:rsidR="000D3789" w:rsidRPr="000D3789" w:rsidRDefault="000D3789" w:rsidP="00E67410">
      <w:pPr>
        <w:pStyle w:val="FootnoteText"/>
        <w:spacing w:line="240" w:lineRule="auto"/>
        <w:jc w:val="both"/>
        <w:rPr>
          <w:lang w:val="en-US"/>
        </w:rPr>
      </w:pPr>
      <w:r>
        <w:rPr>
          <w:rStyle w:val="FootnoteReference"/>
        </w:rPr>
        <w:footnoteRef/>
      </w:r>
      <w:r>
        <w:t xml:space="preserve"> </w:t>
      </w:r>
      <w:r>
        <w:rPr>
          <w:lang w:val="en-US"/>
        </w:rPr>
        <w:t xml:space="preserve">The correspondence dated 14 December 2021 indicated as follows: ‘We would be grateful if you could inform us as soon as possible whether or not you intend to vary the judgment </w:t>
      </w:r>
      <w:r>
        <w:rPr>
          <w:i/>
          <w:iCs/>
          <w:lang w:val="en-US"/>
        </w:rPr>
        <w:t>mero motu</w:t>
      </w:r>
      <w:r>
        <w:rPr>
          <w:lang w:val="en-US"/>
        </w:rPr>
        <w:t>. If you are not so inclined, we shall immediately make an application in terms of Rule 42 … this letter should, however, not be construed as a waiver or acquiescence of our clients’ rights of appeal and / or any of their other rights, which remain reserved.’ Other than the application for leave to appeal, no further application for variation or reconsideration followed.</w:t>
      </w:r>
    </w:p>
  </w:footnote>
  <w:footnote w:id="9">
    <w:p w14:paraId="28896C41" w14:textId="71F553FB" w:rsidR="00241C84" w:rsidRPr="00241C84" w:rsidRDefault="00241C84" w:rsidP="00E67410">
      <w:pPr>
        <w:pStyle w:val="FootnoteText"/>
        <w:spacing w:line="240" w:lineRule="auto"/>
        <w:jc w:val="both"/>
        <w:rPr>
          <w:lang w:val="en-US"/>
        </w:rPr>
      </w:pPr>
      <w:r>
        <w:rPr>
          <w:rStyle w:val="FootnoteReference"/>
        </w:rPr>
        <w:footnoteRef/>
      </w:r>
      <w:r>
        <w:t xml:space="preserve"> </w:t>
      </w:r>
      <w:r>
        <w:rPr>
          <w:i/>
          <w:iCs/>
          <w:lang w:val="en-US"/>
        </w:rPr>
        <w:t xml:space="preserve">Union Government v Gass </w:t>
      </w:r>
      <w:r>
        <w:rPr>
          <w:lang w:val="en-US"/>
        </w:rPr>
        <w:t>1959 (4) SA 401 at 412D-H.</w:t>
      </w:r>
    </w:p>
  </w:footnote>
  <w:footnote w:id="10">
    <w:p w14:paraId="4C3F2842" w14:textId="0A50D5EE" w:rsidR="004007F0" w:rsidRPr="004007F0" w:rsidRDefault="004007F0" w:rsidP="00E67410">
      <w:pPr>
        <w:pStyle w:val="FootnoteText"/>
        <w:spacing w:line="240" w:lineRule="auto"/>
        <w:jc w:val="both"/>
        <w:rPr>
          <w:lang w:val="en-US"/>
        </w:rPr>
      </w:pPr>
      <w:r>
        <w:rPr>
          <w:rStyle w:val="FootnoteReference"/>
        </w:rPr>
        <w:footnoteRef/>
      </w:r>
      <w:r>
        <w:t xml:space="preserve"> </w:t>
      </w:r>
      <w:r>
        <w:rPr>
          <w:lang w:val="en-US"/>
        </w:rPr>
        <w:t>Act 10 of 2013.</w:t>
      </w:r>
    </w:p>
  </w:footnote>
  <w:footnote w:id="11">
    <w:p w14:paraId="2F86E4E3" w14:textId="2A020B90" w:rsidR="000E7CC5" w:rsidRPr="000E7CC5" w:rsidRDefault="000E7CC5" w:rsidP="00E67410">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IGS Consulting Engineers &amp; Another v Transnet Soc Limited </w:t>
      </w:r>
      <w:r>
        <w:rPr>
          <w:lang w:val="en-US"/>
        </w:rPr>
        <w:t>[2022] ZASCA 63 para 27.</w:t>
      </w:r>
    </w:p>
  </w:footnote>
  <w:footnote w:id="12">
    <w:p w14:paraId="20E1C200" w14:textId="77777777" w:rsidR="007629DF" w:rsidRPr="000B29EF" w:rsidRDefault="007629DF" w:rsidP="00E67410">
      <w:pPr>
        <w:pStyle w:val="FootnoteText"/>
        <w:spacing w:line="240" w:lineRule="auto"/>
        <w:jc w:val="both"/>
        <w:rPr>
          <w:lang w:val="en-US"/>
        </w:rPr>
      </w:pPr>
      <w:r>
        <w:rPr>
          <w:rStyle w:val="FootnoteReference"/>
        </w:rPr>
        <w:footnoteRef/>
      </w:r>
      <w:r>
        <w:t xml:space="preserve"> </w:t>
      </w:r>
      <w:r>
        <w:rPr>
          <w:i/>
          <w:iCs/>
          <w:lang w:val="en-US"/>
        </w:rPr>
        <w:t xml:space="preserve">Mkhatshwa v Mkhatshwa </w:t>
      </w:r>
      <w:r>
        <w:rPr>
          <w:lang w:val="en-US"/>
        </w:rPr>
        <w:t xml:space="preserve">2021 (5) SA 447 (CC) paras 16, 18. Also see </w:t>
      </w:r>
      <w:r>
        <w:rPr>
          <w:i/>
          <w:iCs/>
          <w:lang w:val="en-US"/>
        </w:rPr>
        <w:t>Minister of Safety and Security and Another v Schuster and Another</w:t>
      </w:r>
      <w:r>
        <w:rPr>
          <w:lang w:val="en-US"/>
        </w:rPr>
        <w:t xml:space="preserve"> [2018] ZASCA 112 (‘</w:t>
      </w:r>
      <w:r>
        <w:rPr>
          <w:i/>
          <w:iCs/>
          <w:lang w:val="en-US"/>
        </w:rPr>
        <w:t>Schuster</w:t>
      </w:r>
      <w:r>
        <w:rPr>
          <w:lang w:val="en-US"/>
        </w:rPr>
        <w:t>’) paras 25, 26.</w:t>
      </w:r>
    </w:p>
  </w:footnote>
  <w:footnote w:id="13">
    <w:p w14:paraId="259CBA90" w14:textId="08E7EE6A" w:rsidR="007031C6" w:rsidRPr="007031C6" w:rsidRDefault="007031C6" w:rsidP="00E67410">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Lawyers for Human Rights v Minister in the Presidency and Others</w:t>
      </w:r>
      <w:r>
        <w:rPr>
          <w:lang w:val="en-US"/>
        </w:rPr>
        <w:t xml:space="preserve"> 2017 (1) SA 645 (CC) para 16.</w:t>
      </w:r>
    </w:p>
  </w:footnote>
  <w:footnote w:id="14">
    <w:p w14:paraId="494EC651" w14:textId="50666CD9" w:rsidR="00905723" w:rsidRPr="00905723" w:rsidRDefault="00905723" w:rsidP="00E67410">
      <w:pPr>
        <w:pStyle w:val="FootnoteText"/>
        <w:spacing w:line="240" w:lineRule="auto"/>
        <w:jc w:val="both"/>
        <w:rPr>
          <w:lang w:val="en-US"/>
        </w:rPr>
      </w:pPr>
      <w:r>
        <w:rPr>
          <w:rStyle w:val="FootnoteReference"/>
        </w:rPr>
        <w:footnoteRef/>
      </w:r>
      <w:r>
        <w:t xml:space="preserve"> </w:t>
      </w:r>
      <w:r>
        <w:rPr>
          <w:lang w:val="en-US"/>
        </w:rPr>
        <w:t xml:space="preserve">Para 16 of the judgment. </w:t>
      </w:r>
    </w:p>
  </w:footnote>
  <w:footnote w:id="15">
    <w:p w14:paraId="7821B8F5" w14:textId="19AFBE02" w:rsidR="001702A7" w:rsidRPr="001702A7" w:rsidRDefault="001702A7" w:rsidP="00E67410">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Schuster </w:t>
      </w:r>
      <w:r>
        <w:rPr>
          <w:lang w:val="en-US"/>
        </w:rPr>
        <w:t>supra fn 1</w:t>
      </w:r>
      <w:r w:rsidR="000D2ACC">
        <w:rPr>
          <w:lang w:val="en-US"/>
        </w:rPr>
        <w:t>1</w:t>
      </w:r>
      <w:r>
        <w:rPr>
          <w:lang w:val="en-US"/>
        </w:rPr>
        <w:t xml:space="preserve"> para 26.</w:t>
      </w:r>
    </w:p>
  </w:footnote>
  <w:footnote w:id="16">
    <w:p w14:paraId="37E92903" w14:textId="0D7567BB" w:rsidR="00247B41" w:rsidRPr="00247B41" w:rsidRDefault="00247B41" w:rsidP="00E67410">
      <w:pPr>
        <w:pStyle w:val="FootnoteText"/>
        <w:spacing w:line="240" w:lineRule="auto"/>
        <w:jc w:val="both"/>
        <w:rPr>
          <w:lang w:val="en-US"/>
        </w:rPr>
      </w:pPr>
      <w:r>
        <w:rPr>
          <w:rStyle w:val="FootnoteReference"/>
        </w:rPr>
        <w:footnoteRef/>
      </w:r>
      <w:r>
        <w:t xml:space="preserve"> </w:t>
      </w:r>
      <w:r w:rsidR="004F4334">
        <w:t xml:space="preserve">Bloem J in </w:t>
      </w:r>
      <w:r>
        <w:rPr>
          <w:i/>
          <w:iCs/>
          <w:lang w:val="en-US"/>
        </w:rPr>
        <w:t>Sustaining the Wild Coast NPC and Others v Minister of Mineral Resources and Energy and Others</w:t>
      </w:r>
      <w:r>
        <w:rPr>
          <w:lang w:val="en-US"/>
        </w:rPr>
        <w:t xml:space="preserve"> 2022 (2) SA 585 (ECG); [2021] ZAECGHC 118 para 65.</w:t>
      </w:r>
    </w:p>
  </w:footnote>
  <w:footnote w:id="17">
    <w:p w14:paraId="64EF6680" w14:textId="1A145287" w:rsidR="00B05480" w:rsidRPr="00B05480" w:rsidRDefault="00B05480" w:rsidP="00E67410">
      <w:pPr>
        <w:pStyle w:val="FootnoteText"/>
        <w:spacing w:line="240" w:lineRule="auto"/>
        <w:jc w:val="both"/>
        <w:rPr>
          <w:lang w:val="en-US"/>
        </w:rPr>
      </w:pPr>
      <w:r>
        <w:rPr>
          <w:rStyle w:val="FootnoteReference"/>
        </w:rPr>
        <w:footnoteRef/>
      </w:r>
      <w:r>
        <w:t xml:space="preserve"> </w:t>
      </w:r>
      <w:r>
        <w:rPr>
          <w:lang w:val="en-US"/>
        </w:rPr>
        <w:t>Paras 34 and 35 of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58097765"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97116">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20B75"/>
    <w:multiLevelType w:val="multilevel"/>
    <w:tmpl w:val="0B3424F2"/>
    <w:lvl w:ilvl="0">
      <w:start w:val="1"/>
      <w:numFmt w:val="lowerLetter"/>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4D75DD"/>
    <w:multiLevelType w:val="hybridMultilevel"/>
    <w:tmpl w:val="864809BC"/>
    <w:lvl w:ilvl="0" w:tplc="2156464C">
      <w:start w:val="1"/>
      <w:numFmt w:val="lowerLetter"/>
      <w:lvlText w:val="(%1)"/>
      <w:lvlJc w:val="left"/>
      <w:pPr>
        <w:ind w:left="720" w:hanging="360"/>
      </w:pPr>
      <w:rPr>
        <w:rFonts w:hint="default"/>
        <w:b w:val="0"/>
        <w: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0"/>
  </w:num>
  <w:num w:numId="6">
    <w:abstractNumId w:val="7"/>
  </w:num>
  <w:num w:numId="7">
    <w:abstractNumId w:val="11"/>
  </w:num>
  <w:num w:numId="8">
    <w:abstractNumId w:val="1"/>
  </w:num>
  <w:num w:numId="9">
    <w:abstractNumId w:val="5"/>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0FD7"/>
    <w:rsid w:val="0000217A"/>
    <w:rsid w:val="00004E1E"/>
    <w:rsid w:val="00005691"/>
    <w:rsid w:val="00005ABB"/>
    <w:rsid w:val="00005BC2"/>
    <w:rsid w:val="0000642E"/>
    <w:rsid w:val="00006EF3"/>
    <w:rsid w:val="00007087"/>
    <w:rsid w:val="00007904"/>
    <w:rsid w:val="000109B4"/>
    <w:rsid w:val="00012A2F"/>
    <w:rsid w:val="00012DDB"/>
    <w:rsid w:val="00014437"/>
    <w:rsid w:val="00014770"/>
    <w:rsid w:val="00016FDA"/>
    <w:rsid w:val="00017CCD"/>
    <w:rsid w:val="000220C3"/>
    <w:rsid w:val="00022804"/>
    <w:rsid w:val="00027DA3"/>
    <w:rsid w:val="00030A25"/>
    <w:rsid w:val="00031E30"/>
    <w:rsid w:val="000323B0"/>
    <w:rsid w:val="000341AF"/>
    <w:rsid w:val="00034B32"/>
    <w:rsid w:val="0003553E"/>
    <w:rsid w:val="0004040E"/>
    <w:rsid w:val="00040F79"/>
    <w:rsid w:val="000422CD"/>
    <w:rsid w:val="0004347D"/>
    <w:rsid w:val="0004373B"/>
    <w:rsid w:val="00044B50"/>
    <w:rsid w:val="000451D0"/>
    <w:rsid w:val="00047035"/>
    <w:rsid w:val="000478E8"/>
    <w:rsid w:val="0005061D"/>
    <w:rsid w:val="00051F6C"/>
    <w:rsid w:val="000536DD"/>
    <w:rsid w:val="00053D81"/>
    <w:rsid w:val="00054DEC"/>
    <w:rsid w:val="00056042"/>
    <w:rsid w:val="00056FBA"/>
    <w:rsid w:val="000574BF"/>
    <w:rsid w:val="00062035"/>
    <w:rsid w:val="00063188"/>
    <w:rsid w:val="00063C6E"/>
    <w:rsid w:val="00063D5A"/>
    <w:rsid w:val="0007021C"/>
    <w:rsid w:val="0007050F"/>
    <w:rsid w:val="0007234C"/>
    <w:rsid w:val="00073EFC"/>
    <w:rsid w:val="000778A4"/>
    <w:rsid w:val="00080D4E"/>
    <w:rsid w:val="000815F5"/>
    <w:rsid w:val="00083322"/>
    <w:rsid w:val="00083386"/>
    <w:rsid w:val="000833DB"/>
    <w:rsid w:val="00084C6F"/>
    <w:rsid w:val="00086278"/>
    <w:rsid w:val="00086A06"/>
    <w:rsid w:val="0009015D"/>
    <w:rsid w:val="000910CD"/>
    <w:rsid w:val="00091F8C"/>
    <w:rsid w:val="0009497C"/>
    <w:rsid w:val="00096BC1"/>
    <w:rsid w:val="000976CA"/>
    <w:rsid w:val="000A5063"/>
    <w:rsid w:val="000A59DC"/>
    <w:rsid w:val="000B0946"/>
    <w:rsid w:val="000B0DC8"/>
    <w:rsid w:val="000B26AE"/>
    <w:rsid w:val="000B26CF"/>
    <w:rsid w:val="000B29EF"/>
    <w:rsid w:val="000B2EE6"/>
    <w:rsid w:val="000B5790"/>
    <w:rsid w:val="000B5FBC"/>
    <w:rsid w:val="000B6309"/>
    <w:rsid w:val="000B643B"/>
    <w:rsid w:val="000B78EC"/>
    <w:rsid w:val="000C2D21"/>
    <w:rsid w:val="000C2D46"/>
    <w:rsid w:val="000C3531"/>
    <w:rsid w:val="000C3620"/>
    <w:rsid w:val="000C39A5"/>
    <w:rsid w:val="000C450C"/>
    <w:rsid w:val="000C7746"/>
    <w:rsid w:val="000C7A27"/>
    <w:rsid w:val="000D085B"/>
    <w:rsid w:val="000D0D78"/>
    <w:rsid w:val="000D22FB"/>
    <w:rsid w:val="000D2ACC"/>
    <w:rsid w:val="000D3789"/>
    <w:rsid w:val="000D3FA3"/>
    <w:rsid w:val="000D487F"/>
    <w:rsid w:val="000D4BFA"/>
    <w:rsid w:val="000D667A"/>
    <w:rsid w:val="000D6BC4"/>
    <w:rsid w:val="000D6D6B"/>
    <w:rsid w:val="000D7D5E"/>
    <w:rsid w:val="000E1C45"/>
    <w:rsid w:val="000E2444"/>
    <w:rsid w:val="000E3E15"/>
    <w:rsid w:val="000E4F0D"/>
    <w:rsid w:val="000E5100"/>
    <w:rsid w:val="000E6DAC"/>
    <w:rsid w:val="000E7CC5"/>
    <w:rsid w:val="000E7ECD"/>
    <w:rsid w:val="000F05E0"/>
    <w:rsid w:val="000F1A95"/>
    <w:rsid w:val="000F37BC"/>
    <w:rsid w:val="000F67D0"/>
    <w:rsid w:val="000F6BFE"/>
    <w:rsid w:val="000F7DF4"/>
    <w:rsid w:val="0010068E"/>
    <w:rsid w:val="00100B08"/>
    <w:rsid w:val="00101BF1"/>
    <w:rsid w:val="0010218C"/>
    <w:rsid w:val="00102D5B"/>
    <w:rsid w:val="00104038"/>
    <w:rsid w:val="001044DB"/>
    <w:rsid w:val="00105EB6"/>
    <w:rsid w:val="0010622C"/>
    <w:rsid w:val="001078B5"/>
    <w:rsid w:val="00107A5F"/>
    <w:rsid w:val="0011026A"/>
    <w:rsid w:val="00110EF0"/>
    <w:rsid w:val="001124A5"/>
    <w:rsid w:val="001162EB"/>
    <w:rsid w:val="00116EB9"/>
    <w:rsid w:val="00120E93"/>
    <w:rsid w:val="001226DE"/>
    <w:rsid w:val="00123296"/>
    <w:rsid w:val="00125515"/>
    <w:rsid w:val="0012621C"/>
    <w:rsid w:val="00130228"/>
    <w:rsid w:val="00131984"/>
    <w:rsid w:val="00131A28"/>
    <w:rsid w:val="001337CC"/>
    <w:rsid w:val="001337E6"/>
    <w:rsid w:val="00134C11"/>
    <w:rsid w:val="00135C81"/>
    <w:rsid w:val="00137E08"/>
    <w:rsid w:val="0014037A"/>
    <w:rsid w:val="00142F79"/>
    <w:rsid w:val="001435EB"/>
    <w:rsid w:val="00144974"/>
    <w:rsid w:val="00146BA3"/>
    <w:rsid w:val="001517E0"/>
    <w:rsid w:val="001544A5"/>
    <w:rsid w:val="00154EC2"/>
    <w:rsid w:val="00157785"/>
    <w:rsid w:val="00157898"/>
    <w:rsid w:val="00157C19"/>
    <w:rsid w:val="00160EBC"/>
    <w:rsid w:val="00160F58"/>
    <w:rsid w:val="00163A58"/>
    <w:rsid w:val="00165AD2"/>
    <w:rsid w:val="001702A7"/>
    <w:rsid w:val="00172B5C"/>
    <w:rsid w:val="00173547"/>
    <w:rsid w:val="00174B6D"/>
    <w:rsid w:val="0017614D"/>
    <w:rsid w:val="0018006A"/>
    <w:rsid w:val="00180F4E"/>
    <w:rsid w:val="00181923"/>
    <w:rsid w:val="00181E7E"/>
    <w:rsid w:val="00182175"/>
    <w:rsid w:val="00184625"/>
    <w:rsid w:val="00186769"/>
    <w:rsid w:val="001870AF"/>
    <w:rsid w:val="001871E0"/>
    <w:rsid w:val="00191768"/>
    <w:rsid w:val="00192869"/>
    <w:rsid w:val="00192C18"/>
    <w:rsid w:val="00193882"/>
    <w:rsid w:val="001943D2"/>
    <w:rsid w:val="001954F0"/>
    <w:rsid w:val="00195571"/>
    <w:rsid w:val="001955AB"/>
    <w:rsid w:val="00196742"/>
    <w:rsid w:val="001A248D"/>
    <w:rsid w:val="001A4F33"/>
    <w:rsid w:val="001B0D01"/>
    <w:rsid w:val="001B2578"/>
    <w:rsid w:val="001B2FE4"/>
    <w:rsid w:val="001B505F"/>
    <w:rsid w:val="001B69E3"/>
    <w:rsid w:val="001C04BC"/>
    <w:rsid w:val="001C2DD7"/>
    <w:rsid w:val="001C48A5"/>
    <w:rsid w:val="001C7061"/>
    <w:rsid w:val="001D0962"/>
    <w:rsid w:val="001D214B"/>
    <w:rsid w:val="001D361E"/>
    <w:rsid w:val="001D5A9D"/>
    <w:rsid w:val="001D5F83"/>
    <w:rsid w:val="001D61C8"/>
    <w:rsid w:val="001E0F36"/>
    <w:rsid w:val="001E1834"/>
    <w:rsid w:val="001E1B07"/>
    <w:rsid w:val="001E24E0"/>
    <w:rsid w:val="001E2571"/>
    <w:rsid w:val="001E4824"/>
    <w:rsid w:val="001E640A"/>
    <w:rsid w:val="001E6A6E"/>
    <w:rsid w:val="001E701F"/>
    <w:rsid w:val="001E7844"/>
    <w:rsid w:val="001E78D5"/>
    <w:rsid w:val="001E7C8F"/>
    <w:rsid w:val="001F2276"/>
    <w:rsid w:val="001F335C"/>
    <w:rsid w:val="001F3A41"/>
    <w:rsid w:val="001F3A89"/>
    <w:rsid w:val="001F59AB"/>
    <w:rsid w:val="001F6D03"/>
    <w:rsid w:val="00201DC6"/>
    <w:rsid w:val="00201F12"/>
    <w:rsid w:val="00206D6C"/>
    <w:rsid w:val="00207573"/>
    <w:rsid w:val="00207FB9"/>
    <w:rsid w:val="002115FE"/>
    <w:rsid w:val="002125D8"/>
    <w:rsid w:val="002128F1"/>
    <w:rsid w:val="0021430F"/>
    <w:rsid w:val="00215EBC"/>
    <w:rsid w:val="0021730A"/>
    <w:rsid w:val="00217399"/>
    <w:rsid w:val="002203EC"/>
    <w:rsid w:val="00220649"/>
    <w:rsid w:val="00222854"/>
    <w:rsid w:val="00224363"/>
    <w:rsid w:val="0022594E"/>
    <w:rsid w:val="00226444"/>
    <w:rsid w:val="00226ADA"/>
    <w:rsid w:val="00227379"/>
    <w:rsid w:val="00231325"/>
    <w:rsid w:val="0023410F"/>
    <w:rsid w:val="0023677B"/>
    <w:rsid w:val="00236B9D"/>
    <w:rsid w:val="0023768E"/>
    <w:rsid w:val="002402F6"/>
    <w:rsid w:val="00241C84"/>
    <w:rsid w:val="00243211"/>
    <w:rsid w:val="00244721"/>
    <w:rsid w:val="00245504"/>
    <w:rsid w:val="00245BEB"/>
    <w:rsid w:val="00247551"/>
    <w:rsid w:val="00247B41"/>
    <w:rsid w:val="00250530"/>
    <w:rsid w:val="0025056A"/>
    <w:rsid w:val="00252FC1"/>
    <w:rsid w:val="00253273"/>
    <w:rsid w:val="00256208"/>
    <w:rsid w:val="00256D0A"/>
    <w:rsid w:val="00256FCC"/>
    <w:rsid w:val="00257A15"/>
    <w:rsid w:val="002606D8"/>
    <w:rsid w:val="00260A94"/>
    <w:rsid w:val="00260B67"/>
    <w:rsid w:val="002612A5"/>
    <w:rsid w:val="00261583"/>
    <w:rsid w:val="0026158F"/>
    <w:rsid w:val="00262D2A"/>
    <w:rsid w:val="002635B7"/>
    <w:rsid w:val="00263B8D"/>
    <w:rsid w:val="0026495C"/>
    <w:rsid w:val="00265010"/>
    <w:rsid w:val="00265180"/>
    <w:rsid w:val="00265AEB"/>
    <w:rsid w:val="0026634E"/>
    <w:rsid w:val="0026645C"/>
    <w:rsid w:val="002700BE"/>
    <w:rsid w:val="002705E9"/>
    <w:rsid w:val="00273903"/>
    <w:rsid w:val="00274C64"/>
    <w:rsid w:val="00275410"/>
    <w:rsid w:val="00276100"/>
    <w:rsid w:val="00277EB6"/>
    <w:rsid w:val="002852C4"/>
    <w:rsid w:val="00285664"/>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ACE"/>
    <w:rsid w:val="002A3C5C"/>
    <w:rsid w:val="002A61D9"/>
    <w:rsid w:val="002A6332"/>
    <w:rsid w:val="002A6593"/>
    <w:rsid w:val="002A6B82"/>
    <w:rsid w:val="002A73A7"/>
    <w:rsid w:val="002B07E7"/>
    <w:rsid w:val="002B31B7"/>
    <w:rsid w:val="002B3FE3"/>
    <w:rsid w:val="002B54B7"/>
    <w:rsid w:val="002B6730"/>
    <w:rsid w:val="002B7874"/>
    <w:rsid w:val="002C015E"/>
    <w:rsid w:val="002C1ECF"/>
    <w:rsid w:val="002C3A0D"/>
    <w:rsid w:val="002C45D8"/>
    <w:rsid w:val="002C7128"/>
    <w:rsid w:val="002D0B99"/>
    <w:rsid w:val="002D4CBC"/>
    <w:rsid w:val="002D6D70"/>
    <w:rsid w:val="002E0CCA"/>
    <w:rsid w:val="002E141A"/>
    <w:rsid w:val="002E1B95"/>
    <w:rsid w:val="002E3EC7"/>
    <w:rsid w:val="002E4808"/>
    <w:rsid w:val="002E483E"/>
    <w:rsid w:val="002E7045"/>
    <w:rsid w:val="002E7199"/>
    <w:rsid w:val="002F012F"/>
    <w:rsid w:val="002F0513"/>
    <w:rsid w:val="002F0990"/>
    <w:rsid w:val="002F0C58"/>
    <w:rsid w:val="002F13D1"/>
    <w:rsid w:val="002F37F8"/>
    <w:rsid w:val="002F4EDB"/>
    <w:rsid w:val="002F60D3"/>
    <w:rsid w:val="002F7574"/>
    <w:rsid w:val="00300A59"/>
    <w:rsid w:val="0030214A"/>
    <w:rsid w:val="00302E78"/>
    <w:rsid w:val="00306288"/>
    <w:rsid w:val="00307B33"/>
    <w:rsid w:val="003140F9"/>
    <w:rsid w:val="003148EA"/>
    <w:rsid w:val="003150CA"/>
    <w:rsid w:val="00315CB8"/>
    <w:rsid w:val="00315D8D"/>
    <w:rsid w:val="003168ED"/>
    <w:rsid w:val="003172EB"/>
    <w:rsid w:val="00317AB4"/>
    <w:rsid w:val="00321E11"/>
    <w:rsid w:val="003228A7"/>
    <w:rsid w:val="00324CE8"/>
    <w:rsid w:val="00325A15"/>
    <w:rsid w:val="00325BD4"/>
    <w:rsid w:val="00326A33"/>
    <w:rsid w:val="0032785C"/>
    <w:rsid w:val="00327E36"/>
    <w:rsid w:val="00330795"/>
    <w:rsid w:val="00330E85"/>
    <w:rsid w:val="0033219D"/>
    <w:rsid w:val="0033298E"/>
    <w:rsid w:val="00334624"/>
    <w:rsid w:val="00334DD6"/>
    <w:rsid w:val="00335693"/>
    <w:rsid w:val="00335897"/>
    <w:rsid w:val="0033634C"/>
    <w:rsid w:val="0033669D"/>
    <w:rsid w:val="003367DD"/>
    <w:rsid w:val="00341CD6"/>
    <w:rsid w:val="00343E5D"/>
    <w:rsid w:val="0034439B"/>
    <w:rsid w:val="003455A7"/>
    <w:rsid w:val="00345F76"/>
    <w:rsid w:val="003469BB"/>
    <w:rsid w:val="00350743"/>
    <w:rsid w:val="00350A47"/>
    <w:rsid w:val="003513CA"/>
    <w:rsid w:val="00351FAC"/>
    <w:rsid w:val="003529AF"/>
    <w:rsid w:val="00353652"/>
    <w:rsid w:val="003564CA"/>
    <w:rsid w:val="0035756C"/>
    <w:rsid w:val="00357751"/>
    <w:rsid w:val="003601F1"/>
    <w:rsid w:val="00360BFC"/>
    <w:rsid w:val="00362A40"/>
    <w:rsid w:val="00363BF3"/>
    <w:rsid w:val="00363D0F"/>
    <w:rsid w:val="003649E8"/>
    <w:rsid w:val="003660AF"/>
    <w:rsid w:val="00366631"/>
    <w:rsid w:val="003679D5"/>
    <w:rsid w:val="00367B79"/>
    <w:rsid w:val="003700BB"/>
    <w:rsid w:val="0037015D"/>
    <w:rsid w:val="0037217E"/>
    <w:rsid w:val="00373BB6"/>
    <w:rsid w:val="00374F02"/>
    <w:rsid w:val="00375614"/>
    <w:rsid w:val="00380E60"/>
    <w:rsid w:val="00381483"/>
    <w:rsid w:val="00381C36"/>
    <w:rsid w:val="00381D62"/>
    <w:rsid w:val="003869D5"/>
    <w:rsid w:val="00386B00"/>
    <w:rsid w:val="003905B9"/>
    <w:rsid w:val="00391D5F"/>
    <w:rsid w:val="0039206E"/>
    <w:rsid w:val="00392A4B"/>
    <w:rsid w:val="00392AA2"/>
    <w:rsid w:val="00393BA3"/>
    <w:rsid w:val="0039527F"/>
    <w:rsid w:val="00395A71"/>
    <w:rsid w:val="0039682A"/>
    <w:rsid w:val="003A37F4"/>
    <w:rsid w:val="003A4F1D"/>
    <w:rsid w:val="003A4F95"/>
    <w:rsid w:val="003A6F71"/>
    <w:rsid w:val="003A745C"/>
    <w:rsid w:val="003A7AA6"/>
    <w:rsid w:val="003B01D4"/>
    <w:rsid w:val="003B10EC"/>
    <w:rsid w:val="003B1570"/>
    <w:rsid w:val="003B3C31"/>
    <w:rsid w:val="003B43B8"/>
    <w:rsid w:val="003B5FEE"/>
    <w:rsid w:val="003B76D9"/>
    <w:rsid w:val="003C0CEB"/>
    <w:rsid w:val="003C351A"/>
    <w:rsid w:val="003C3BC6"/>
    <w:rsid w:val="003C5934"/>
    <w:rsid w:val="003C6FE8"/>
    <w:rsid w:val="003C7080"/>
    <w:rsid w:val="003D11D0"/>
    <w:rsid w:val="003D239A"/>
    <w:rsid w:val="003D2C74"/>
    <w:rsid w:val="003D465D"/>
    <w:rsid w:val="003D5245"/>
    <w:rsid w:val="003D5507"/>
    <w:rsid w:val="003D5A10"/>
    <w:rsid w:val="003D5E6D"/>
    <w:rsid w:val="003D678E"/>
    <w:rsid w:val="003D7CB9"/>
    <w:rsid w:val="003E0F7C"/>
    <w:rsid w:val="003E2B73"/>
    <w:rsid w:val="003E2F03"/>
    <w:rsid w:val="003E3BBF"/>
    <w:rsid w:val="003E424A"/>
    <w:rsid w:val="003E4E05"/>
    <w:rsid w:val="003E75F3"/>
    <w:rsid w:val="003F0D9E"/>
    <w:rsid w:val="003F1974"/>
    <w:rsid w:val="003F2109"/>
    <w:rsid w:val="003F2432"/>
    <w:rsid w:val="003F50FF"/>
    <w:rsid w:val="003F5900"/>
    <w:rsid w:val="003F6355"/>
    <w:rsid w:val="00400266"/>
    <w:rsid w:val="004007F0"/>
    <w:rsid w:val="00401A9A"/>
    <w:rsid w:val="00402EEA"/>
    <w:rsid w:val="00405CEF"/>
    <w:rsid w:val="00406337"/>
    <w:rsid w:val="00406A00"/>
    <w:rsid w:val="004074B3"/>
    <w:rsid w:val="004075EA"/>
    <w:rsid w:val="0041076A"/>
    <w:rsid w:val="00410C82"/>
    <w:rsid w:val="0041108E"/>
    <w:rsid w:val="00412DF2"/>
    <w:rsid w:val="004138F5"/>
    <w:rsid w:val="00413D22"/>
    <w:rsid w:val="00414C90"/>
    <w:rsid w:val="004165B0"/>
    <w:rsid w:val="004165D6"/>
    <w:rsid w:val="0042163E"/>
    <w:rsid w:val="00423163"/>
    <w:rsid w:val="00427318"/>
    <w:rsid w:val="004276CD"/>
    <w:rsid w:val="0042778E"/>
    <w:rsid w:val="00427843"/>
    <w:rsid w:val="004302B6"/>
    <w:rsid w:val="0043230A"/>
    <w:rsid w:val="00433620"/>
    <w:rsid w:val="0043511C"/>
    <w:rsid w:val="00435538"/>
    <w:rsid w:val="0043634B"/>
    <w:rsid w:val="00437E88"/>
    <w:rsid w:val="00440672"/>
    <w:rsid w:val="00441E70"/>
    <w:rsid w:val="00443779"/>
    <w:rsid w:val="00443CCC"/>
    <w:rsid w:val="004441E4"/>
    <w:rsid w:val="004448E8"/>
    <w:rsid w:val="00446AF2"/>
    <w:rsid w:val="004474FB"/>
    <w:rsid w:val="00451D93"/>
    <w:rsid w:val="004528CC"/>
    <w:rsid w:val="004529C3"/>
    <w:rsid w:val="0045608B"/>
    <w:rsid w:val="004652FD"/>
    <w:rsid w:val="004657F4"/>
    <w:rsid w:val="00466979"/>
    <w:rsid w:val="00466D17"/>
    <w:rsid w:val="00467E20"/>
    <w:rsid w:val="00472A4C"/>
    <w:rsid w:val="00472B05"/>
    <w:rsid w:val="00472E85"/>
    <w:rsid w:val="00473068"/>
    <w:rsid w:val="004735D5"/>
    <w:rsid w:val="0047556B"/>
    <w:rsid w:val="00475C2D"/>
    <w:rsid w:val="004763A9"/>
    <w:rsid w:val="00477226"/>
    <w:rsid w:val="004813E8"/>
    <w:rsid w:val="004827F3"/>
    <w:rsid w:val="00486114"/>
    <w:rsid w:val="004863E4"/>
    <w:rsid w:val="00487264"/>
    <w:rsid w:val="00490905"/>
    <w:rsid w:val="00490D2A"/>
    <w:rsid w:val="0049105D"/>
    <w:rsid w:val="004918C4"/>
    <w:rsid w:val="004932A2"/>
    <w:rsid w:val="0049505F"/>
    <w:rsid w:val="00496E8C"/>
    <w:rsid w:val="00496EAA"/>
    <w:rsid w:val="004A00B9"/>
    <w:rsid w:val="004A08D7"/>
    <w:rsid w:val="004A1564"/>
    <w:rsid w:val="004A5151"/>
    <w:rsid w:val="004A5DB1"/>
    <w:rsid w:val="004A687F"/>
    <w:rsid w:val="004A7359"/>
    <w:rsid w:val="004B3161"/>
    <w:rsid w:val="004B5BAF"/>
    <w:rsid w:val="004B5CB4"/>
    <w:rsid w:val="004B632A"/>
    <w:rsid w:val="004B7E82"/>
    <w:rsid w:val="004C06AD"/>
    <w:rsid w:val="004C0946"/>
    <w:rsid w:val="004C0C08"/>
    <w:rsid w:val="004C13CF"/>
    <w:rsid w:val="004C7EB2"/>
    <w:rsid w:val="004D0163"/>
    <w:rsid w:val="004D0AC5"/>
    <w:rsid w:val="004D19EB"/>
    <w:rsid w:val="004D35C6"/>
    <w:rsid w:val="004D3759"/>
    <w:rsid w:val="004E06B4"/>
    <w:rsid w:val="004E189A"/>
    <w:rsid w:val="004E1A28"/>
    <w:rsid w:val="004E1B4F"/>
    <w:rsid w:val="004E2076"/>
    <w:rsid w:val="004E318F"/>
    <w:rsid w:val="004E5A0A"/>
    <w:rsid w:val="004E6764"/>
    <w:rsid w:val="004F021C"/>
    <w:rsid w:val="004F1757"/>
    <w:rsid w:val="004F1D20"/>
    <w:rsid w:val="004F1EDC"/>
    <w:rsid w:val="004F326C"/>
    <w:rsid w:val="004F38A6"/>
    <w:rsid w:val="004F4334"/>
    <w:rsid w:val="004F444A"/>
    <w:rsid w:val="004F5575"/>
    <w:rsid w:val="004F79D9"/>
    <w:rsid w:val="005014BC"/>
    <w:rsid w:val="00501617"/>
    <w:rsid w:val="00502229"/>
    <w:rsid w:val="005030DE"/>
    <w:rsid w:val="0050634D"/>
    <w:rsid w:val="00507301"/>
    <w:rsid w:val="005078B2"/>
    <w:rsid w:val="005079C1"/>
    <w:rsid w:val="00507BBF"/>
    <w:rsid w:val="00511260"/>
    <w:rsid w:val="00511565"/>
    <w:rsid w:val="0051172C"/>
    <w:rsid w:val="0051380C"/>
    <w:rsid w:val="00514878"/>
    <w:rsid w:val="0051706E"/>
    <w:rsid w:val="00520E7F"/>
    <w:rsid w:val="00523DBC"/>
    <w:rsid w:val="005244E9"/>
    <w:rsid w:val="00530509"/>
    <w:rsid w:val="00532080"/>
    <w:rsid w:val="00540B29"/>
    <w:rsid w:val="005410D5"/>
    <w:rsid w:val="00545009"/>
    <w:rsid w:val="00545140"/>
    <w:rsid w:val="00545668"/>
    <w:rsid w:val="00546297"/>
    <w:rsid w:val="0055098F"/>
    <w:rsid w:val="005517B9"/>
    <w:rsid w:val="00553E7D"/>
    <w:rsid w:val="005542BD"/>
    <w:rsid w:val="00556489"/>
    <w:rsid w:val="00556EDA"/>
    <w:rsid w:val="00556FC7"/>
    <w:rsid w:val="005573D6"/>
    <w:rsid w:val="00557DE4"/>
    <w:rsid w:val="0056029F"/>
    <w:rsid w:val="0056509F"/>
    <w:rsid w:val="00565326"/>
    <w:rsid w:val="005673BF"/>
    <w:rsid w:val="00570A0D"/>
    <w:rsid w:val="005754FC"/>
    <w:rsid w:val="00575F9C"/>
    <w:rsid w:val="00576979"/>
    <w:rsid w:val="00577D50"/>
    <w:rsid w:val="00580D85"/>
    <w:rsid w:val="005813AC"/>
    <w:rsid w:val="0058354A"/>
    <w:rsid w:val="00584BA7"/>
    <w:rsid w:val="00586CFB"/>
    <w:rsid w:val="00587D29"/>
    <w:rsid w:val="00591072"/>
    <w:rsid w:val="005934B8"/>
    <w:rsid w:val="00594C9D"/>
    <w:rsid w:val="00595C65"/>
    <w:rsid w:val="005964E5"/>
    <w:rsid w:val="005969E2"/>
    <w:rsid w:val="00597705"/>
    <w:rsid w:val="005A2449"/>
    <w:rsid w:val="005A29DE"/>
    <w:rsid w:val="005A2C73"/>
    <w:rsid w:val="005A3E4D"/>
    <w:rsid w:val="005A4FC0"/>
    <w:rsid w:val="005A71F7"/>
    <w:rsid w:val="005B1333"/>
    <w:rsid w:val="005B1872"/>
    <w:rsid w:val="005B3749"/>
    <w:rsid w:val="005B649F"/>
    <w:rsid w:val="005B7922"/>
    <w:rsid w:val="005B7CEE"/>
    <w:rsid w:val="005C1439"/>
    <w:rsid w:val="005C15DC"/>
    <w:rsid w:val="005C1DEC"/>
    <w:rsid w:val="005C28AE"/>
    <w:rsid w:val="005C36E4"/>
    <w:rsid w:val="005C4FDA"/>
    <w:rsid w:val="005C5C47"/>
    <w:rsid w:val="005C6A41"/>
    <w:rsid w:val="005D0320"/>
    <w:rsid w:val="005D0B78"/>
    <w:rsid w:val="005D25D6"/>
    <w:rsid w:val="005D2B4A"/>
    <w:rsid w:val="005D3407"/>
    <w:rsid w:val="005D3941"/>
    <w:rsid w:val="005D411A"/>
    <w:rsid w:val="005D47C3"/>
    <w:rsid w:val="005D5E9D"/>
    <w:rsid w:val="005D6BF3"/>
    <w:rsid w:val="005D6D77"/>
    <w:rsid w:val="005E11A4"/>
    <w:rsid w:val="005E2F30"/>
    <w:rsid w:val="005E3541"/>
    <w:rsid w:val="005E560B"/>
    <w:rsid w:val="005E601A"/>
    <w:rsid w:val="005F03D5"/>
    <w:rsid w:val="005F04A5"/>
    <w:rsid w:val="005F158C"/>
    <w:rsid w:val="005F236B"/>
    <w:rsid w:val="005F6D85"/>
    <w:rsid w:val="005F77BC"/>
    <w:rsid w:val="00600269"/>
    <w:rsid w:val="0060138F"/>
    <w:rsid w:val="0060391E"/>
    <w:rsid w:val="0060443D"/>
    <w:rsid w:val="0060486E"/>
    <w:rsid w:val="00604EE8"/>
    <w:rsid w:val="006062FB"/>
    <w:rsid w:val="00606867"/>
    <w:rsid w:val="00607419"/>
    <w:rsid w:val="006101AF"/>
    <w:rsid w:val="00612393"/>
    <w:rsid w:val="00612ACF"/>
    <w:rsid w:val="00613E36"/>
    <w:rsid w:val="00614A7A"/>
    <w:rsid w:val="00616B35"/>
    <w:rsid w:val="00617A30"/>
    <w:rsid w:val="00617F99"/>
    <w:rsid w:val="006215E6"/>
    <w:rsid w:val="00621B4B"/>
    <w:rsid w:val="006232F1"/>
    <w:rsid w:val="00623DDE"/>
    <w:rsid w:val="00624695"/>
    <w:rsid w:val="00625D2D"/>
    <w:rsid w:val="006271A4"/>
    <w:rsid w:val="00630138"/>
    <w:rsid w:val="006313FC"/>
    <w:rsid w:val="0063319D"/>
    <w:rsid w:val="006332F2"/>
    <w:rsid w:val="006344D4"/>
    <w:rsid w:val="00634B17"/>
    <w:rsid w:val="00637A17"/>
    <w:rsid w:val="00641035"/>
    <w:rsid w:val="00641661"/>
    <w:rsid w:val="00644FB0"/>
    <w:rsid w:val="006476E6"/>
    <w:rsid w:val="00650EE2"/>
    <w:rsid w:val="006511A4"/>
    <w:rsid w:val="006513E2"/>
    <w:rsid w:val="00651916"/>
    <w:rsid w:val="00651DE7"/>
    <w:rsid w:val="006531C9"/>
    <w:rsid w:val="006535E1"/>
    <w:rsid w:val="0066025E"/>
    <w:rsid w:val="00661D64"/>
    <w:rsid w:val="00662682"/>
    <w:rsid w:val="006639A0"/>
    <w:rsid w:val="00663D7F"/>
    <w:rsid w:val="006640FE"/>
    <w:rsid w:val="00664CD0"/>
    <w:rsid w:val="00665D94"/>
    <w:rsid w:val="006668FE"/>
    <w:rsid w:val="00667591"/>
    <w:rsid w:val="00667F9F"/>
    <w:rsid w:val="006710E7"/>
    <w:rsid w:val="00671A0B"/>
    <w:rsid w:val="0067210D"/>
    <w:rsid w:val="00672E50"/>
    <w:rsid w:val="00675C81"/>
    <w:rsid w:val="0068034D"/>
    <w:rsid w:val="00681152"/>
    <w:rsid w:val="006811C2"/>
    <w:rsid w:val="00682987"/>
    <w:rsid w:val="00682CE5"/>
    <w:rsid w:val="006841DC"/>
    <w:rsid w:val="0068468E"/>
    <w:rsid w:val="00685DAD"/>
    <w:rsid w:val="0068615D"/>
    <w:rsid w:val="0068675A"/>
    <w:rsid w:val="0069106B"/>
    <w:rsid w:val="00691AF2"/>
    <w:rsid w:val="00691CB2"/>
    <w:rsid w:val="00694527"/>
    <w:rsid w:val="0069550C"/>
    <w:rsid w:val="00697465"/>
    <w:rsid w:val="00697EB1"/>
    <w:rsid w:val="006A2310"/>
    <w:rsid w:val="006A2706"/>
    <w:rsid w:val="006A498B"/>
    <w:rsid w:val="006B150C"/>
    <w:rsid w:val="006B1DCE"/>
    <w:rsid w:val="006B42B2"/>
    <w:rsid w:val="006B6180"/>
    <w:rsid w:val="006B692B"/>
    <w:rsid w:val="006C177A"/>
    <w:rsid w:val="006C1B13"/>
    <w:rsid w:val="006C32C4"/>
    <w:rsid w:val="006C56A6"/>
    <w:rsid w:val="006C5D7B"/>
    <w:rsid w:val="006D067F"/>
    <w:rsid w:val="006D07FB"/>
    <w:rsid w:val="006D4661"/>
    <w:rsid w:val="006D5A67"/>
    <w:rsid w:val="006D762E"/>
    <w:rsid w:val="006D7DFD"/>
    <w:rsid w:val="006E16D1"/>
    <w:rsid w:val="006E2B6D"/>
    <w:rsid w:val="006E3C88"/>
    <w:rsid w:val="006E4C1C"/>
    <w:rsid w:val="006E6FB8"/>
    <w:rsid w:val="006F09D8"/>
    <w:rsid w:val="006F1624"/>
    <w:rsid w:val="006F3052"/>
    <w:rsid w:val="006F31BD"/>
    <w:rsid w:val="006F3259"/>
    <w:rsid w:val="006F3C00"/>
    <w:rsid w:val="006F684D"/>
    <w:rsid w:val="006F78DB"/>
    <w:rsid w:val="00702C42"/>
    <w:rsid w:val="007031C6"/>
    <w:rsid w:val="00704A2E"/>
    <w:rsid w:val="007057AB"/>
    <w:rsid w:val="00707343"/>
    <w:rsid w:val="007073FB"/>
    <w:rsid w:val="00710C28"/>
    <w:rsid w:val="00711C08"/>
    <w:rsid w:val="00711CC1"/>
    <w:rsid w:val="00712ED3"/>
    <w:rsid w:val="00714697"/>
    <w:rsid w:val="00714C9E"/>
    <w:rsid w:val="00715651"/>
    <w:rsid w:val="00717903"/>
    <w:rsid w:val="00717B10"/>
    <w:rsid w:val="00724B29"/>
    <w:rsid w:val="00727A78"/>
    <w:rsid w:val="00730A5A"/>
    <w:rsid w:val="00731207"/>
    <w:rsid w:val="00734430"/>
    <w:rsid w:val="0074053C"/>
    <w:rsid w:val="00743D4D"/>
    <w:rsid w:val="00743EB1"/>
    <w:rsid w:val="0074485F"/>
    <w:rsid w:val="007451A8"/>
    <w:rsid w:val="00745BF2"/>
    <w:rsid w:val="00745E2B"/>
    <w:rsid w:val="00746757"/>
    <w:rsid w:val="00751ADD"/>
    <w:rsid w:val="007520F6"/>
    <w:rsid w:val="007532C0"/>
    <w:rsid w:val="00756020"/>
    <w:rsid w:val="00756098"/>
    <w:rsid w:val="00757F3C"/>
    <w:rsid w:val="007629DF"/>
    <w:rsid w:val="007631E0"/>
    <w:rsid w:val="007634B1"/>
    <w:rsid w:val="00763628"/>
    <w:rsid w:val="00763BF3"/>
    <w:rsid w:val="00764F87"/>
    <w:rsid w:val="00767A6B"/>
    <w:rsid w:val="00771094"/>
    <w:rsid w:val="00771421"/>
    <w:rsid w:val="00772E4B"/>
    <w:rsid w:val="007744D5"/>
    <w:rsid w:val="0077459E"/>
    <w:rsid w:val="00775448"/>
    <w:rsid w:val="0077676B"/>
    <w:rsid w:val="00782782"/>
    <w:rsid w:val="007841E0"/>
    <w:rsid w:val="0078528E"/>
    <w:rsid w:val="007863FC"/>
    <w:rsid w:val="007866DC"/>
    <w:rsid w:val="00791465"/>
    <w:rsid w:val="0079276A"/>
    <w:rsid w:val="00794AA8"/>
    <w:rsid w:val="00796986"/>
    <w:rsid w:val="00796F39"/>
    <w:rsid w:val="00796F7A"/>
    <w:rsid w:val="00797A49"/>
    <w:rsid w:val="007A1306"/>
    <w:rsid w:val="007A1488"/>
    <w:rsid w:val="007A1A81"/>
    <w:rsid w:val="007A1C9D"/>
    <w:rsid w:val="007A2884"/>
    <w:rsid w:val="007A3705"/>
    <w:rsid w:val="007A39B0"/>
    <w:rsid w:val="007A7BBE"/>
    <w:rsid w:val="007B196E"/>
    <w:rsid w:val="007B1F09"/>
    <w:rsid w:val="007B566C"/>
    <w:rsid w:val="007B686F"/>
    <w:rsid w:val="007B6CEF"/>
    <w:rsid w:val="007C17AD"/>
    <w:rsid w:val="007C247A"/>
    <w:rsid w:val="007C437E"/>
    <w:rsid w:val="007C4731"/>
    <w:rsid w:val="007C546A"/>
    <w:rsid w:val="007D0644"/>
    <w:rsid w:val="007D0A2D"/>
    <w:rsid w:val="007D363C"/>
    <w:rsid w:val="007D3ACE"/>
    <w:rsid w:val="007D5E83"/>
    <w:rsid w:val="007D64EC"/>
    <w:rsid w:val="007D6B6B"/>
    <w:rsid w:val="007E05A2"/>
    <w:rsid w:val="007E1089"/>
    <w:rsid w:val="007E1A71"/>
    <w:rsid w:val="007E1B26"/>
    <w:rsid w:val="007E1F8D"/>
    <w:rsid w:val="007E5E24"/>
    <w:rsid w:val="007F1E72"/>
    <w:rsid w:val="007F2C37"/>
    <w:rsid w:val="007F4798"/>
    <w:rsid w:val="00800438"/>
    <w:rsid w:val="008019A5"/>
    <w:rsid w:val="008020C2"/>
    <w:rsid w:val="008020CD"/>
    <w:rsid w:val="00803543"/>
    <w:rsid w:val="00804D4B"/>
    <w:rsid w:val="00806AFC"/>
    <w:rsid w:val="00810336"/>
    <w:rsid w:val="0081156D"/>
    <w:rsid w:val="00811B30"/>
    <w:rsid w:val="00812D95"/>
    <w:rsid w:val="00813448"/>
    <w:rsid w:val="00814EDE"/>
    <w:rsid w:val="0081612B"/>
    <w:rsid w:val="00816ED1"/>
    <w:rsid w:val="00821D82"/>
    <w:rsid w:val="008230F2"/>
    <w:rsid w:val="00823442"/>
    <w:rsid w:val="008242ED"/>
    <w:rsid w:val="008276BB"/>
    <w:rsid w:val="00830F6A"/>
    <w:rsid w:val="00832EA6"/>
    <w:rsid w:val="00832FD6"/>
    <w:rsid w:val="0083336E"/>
    <w:rsid w:val="00834066"/>
    <w:rsid w:val="008343B4"/>
    <w:rsid w:val="00835C94"/>
    <w:rsid w:val="00837B9A"/>
    <w:rsid w:val="00837E1F"/>
    <w:rsid w:val="008405CE"/>
    <w:rsid w:val="008405CF"/>
    <w:rsid w:val="00841726"/>
    <w:rsid w:val="008426AA"/>
    <w:rsid w:val="0084295A"/>
    <w:rsid w:val="00842E4B"/>
    <w:rsid w:val="0084393F"/>
    <w:rsid w:val="00846269"/>
    <w:rsid w:val="00847042"/>
    <w:rsid w:val="00851511"/>
    <w:rsid w:val="008536CA"/>
    <w:rsid w:val="008547C2"/>
    <w:rsid w:val="00854A89"/>
    <w:rsid w:val="00855355"/>
    <w:rsid w:val="008557C2"/>
    <w:rsid w:val="00855F97"/>
    <w:rsid w:val="0086080D"/>
    <w:rsid w:val="008634DE"/>
    <w:rsid w:val="008647BD"/>
    <w:rsid w:val="008665C4"/>
    <w:rsid w:val="0086751C"/>
    <w:rsid w:val="008677E3"/>
    <w:rsid w:val="00870B41"/>
    <w:rsid w:val="0087195C"/>
    <w:rsid w:val="00872B6C"/>
    <w:rsid w:val="00873C6E"/>
    <w:rsid w:val="00873EB9"/>
    <w:rsid w:val="00875788"/>
    <w:rsid w:val="00875D5A"/>
    <w:rsid w:val="00875F1E"/>
    <w:rsid w:val="00880351"/>
    <w:rsid w:val="0088086C"/>
    <w:rsid w:val="00882735"/>
    <w:rsid w:val="00882EFE"/>
    <w:rsid w:val="00885C05"/>
    <w:rsid w:val="00885F6F"/>
    <w:rsid w:val="00890F28"/>
    <w:rsid w:val="00892541"/>
    <w:rsid w:val="0089372D"/>
    <w:rsid w:val="00893E14"/>
    <w:rsid w:val="0089533C"/>
    <w:rsid w:val="00895554"/>
    <w:rsid w:val="008957A8"/>
    <w:rsid w:val="00895A54"/>
    <w:rsid w:val="00896B6A"/>
    <w:rsid w:val="008A0454"/>
    <w:rsid w:val="008A1381"/>
    <w:rsid w:val="008A1A60"/>
    <w:rsid w:val="008A3B56"/>
    <w:rsid w:val="008A4281"/>
    <w:rsid w:val="008A537D"/>
    <w:rsid w:val="008A6754"/>
    <w:rsid w:val="008A7240"/>
    <w:rsid w:val="008A7BFC"/>
    <w:rsid w:val="008A7CF7"/>
    <w:rsid w:val="008A7FAD"/>
    <w:rsid w:val="008B100F"/>
    <w:rsid w:val="008B1DA6"/>
    <w:rsid w:val="008B3660"/>
    <w:rsid w:val="008C210D"/>
    <w:rsid w:val="008C3E59"/>
    <w:rsid w:val="008C480D"/>
    <w:rsid w:val="008C4C45"/>
    <w:rsid w:val="008C651B"/>
    <w:rsid w:val="008C7138"/>
    <w:rsid w:val="008D2564"/>
    <w:rsid w:val="008D3C26"/>
    <w:rsid w:val="008E1330"/>
    <w:rsid w:val="008E1626"/>
    <w:rsid w:val="008E270C"/>
    <w:rsid w:val="008E51D4"/>
    <w:rsid w:val="008E66F8"/>
    <w:rsid w:val="008E74EF"/>
    <w:rsid w:val="008E7904"/>
    <w:rsid w:val="008E7EFA"/>
    <w:rsid w:val="008F051D"/>
    <w:rsid w:val="008F05BD"/>
    <w:rsid w:val="008F0FC5"/>
    <w:rsid w:val="008F0FD2"/>
    <w:rsid w:val="008F17A3"/>
    <w:rsid w:val="008F3E29"/>
    <w:rsid w:val="008F4376"/>
    <w:rsid w:val="008F59AF"/>
    <w:rsid w:val="008F5B07"/>
    <w:rsid w:val="008F61FC"/>
    <w:rsid w:val="008F74A5"/>
    <w:rsid w:val="0090112B"/>
    <w:rsid w:val="00901474"/>
    <w:rsid w:val="009014FD"/>
    <w:rsid w:val="00902AA7"/>
    <w:rsid w:val="00903496"/>
    <w:rsid w:val="00903A37"/>
    <w:rsid w:val="00903B3F"/>
    <w:rsid w:val="009041F8"/>
    <w:rsid w:val="00904D53"/>
    <w:rsid w:val="00905723"/>
    <w:rsid w:val="00905C49"/>
    <w:rsid w:val="00906C53"/>
    <w:rsid w:val="0090737A"/>
    <w:rsid w:val="0091491D"/>
    <w:rsid w:val="0091517B"/>
    <w:rsid w:val="00921597"/>
    <w:rsid w:val="00921696"/>
    <w:rsid w:val="0092525C"/>
    <w:rsid w:val="009257EE"/>
    <w:rsid w:val="009262E3"/>
    <w:rsid w:val="00927E7F"/>
    <w:rsid w:val="009300E6"/>
    <w:rsid w:val="00931856"/>
    <w:rsid w:val="00931957"/>
    <w:rsid w:val="00932259"/>
    <w:rsid w:val="00932BA1"/>
    <w:rsid w:val="00937B2D"/>
    <w:rsid w:val="00937F6E"/>
    <w:rsid w:val="00940225"/>
    <w:rsid w:val="009429D4"/>
    <w:rsid w:val="00943D4D"/>
    <w:rsid w:val="00944464"/>
    <w:rsid w:val="00945BC4"/>
    <w:rsid w:val="009503FE"/>
    <w:rsid w:val="0095291D"/>
    <w:rsid w:val="00954778"/>
    <w:rsid w:val="0095687B"/>
    <w:rsid w:val="00957142"/>
    <w:rsid w:val="00957730"/>
    <w:rsid w:val="00960CDB"/>
    <w:rsid w:val="00962E0E"/>
    <w:rsid w:val="00964882"/>
    <w:rsid w:val="009648F1"/>
    <w:rsid w:val="00964C44"/>
    <w:rsid w:val="00964DFA"/>
    <w:rsid w:val="0096634B"/>
    <w:rsid w:val="0097136D"/>
    <w:rsid w:val="009737E6"/>
    <w:rsid w:val="0097469E"/>
    <w:rsid w:val="0097492C"/>
    <w:rsid w:val="00974E2D"/>
    <w:rsid w:val="00975DB5"/>
    <w:rsid w:val="00976DCD"/>
    <w:rsid w:val="00976F0D"/>
    <w:rsid w:val="00977755"/>
    <w:rsid w:val="0098066C"/>
    <w:rsid w:val="009812F2"/>
    <w:rsid w:val="009814B0"/>
    <w:rsid w:val="00981871"/>
    <w:rsid w:val="00984181"/>
    <w:rsid w:val="009849D3"/>
    <w:rsid w:val="0098571F"/>
    <w:rsid w:val="00987780"/>
    <w:rsid w:val="0099005D"/>
    <w:rsid w:val="00992B0D"/>
    <w:rsid w:val="009969E0"/>
    <w:rsid w:val="00996B5C"/>
    <w:rsid w:val="009A0545"/>
    <w:rsid w:val="009A0B4E"/>
    <w:rsid w:val="009A1EC2"/>
    <w:rsid w:val="009A36AF"/>
    <w:rsid w:val="009A3E97"/>
    <w:rsid w:val="009A46FB"/>
    <w:rsid w:val="009A591E"/>
    <w:rsid w:val="009A6117"/>
    <w:rsid w:val="009A77E7"/>
    <w:rsid w:val="009B1B5C"/>
    <w:rsid w:val="009B306D"/>
    <w:rsid w:val="009B5983"/>
    <w:rsid w:val="009B7B65"/>
    <w:rsid w:val="009C052D"/>
    <w:rsid w:val="009C09A0"/>
    <w:rsid w:val="009C2135"/>
    <w:rsid w:val="009C323D"/>
    <w:rsid w:val="009C36F1"/>
    <w:rsid w:val="009C3E3C"/>
    <w:rsid w:val="009C4F54"/>
    <w:rsid w:val="009C5271"/>
    <w:rsid w:val="009C63A4"/>
    <w:rsid w:val="009C63D5"/>
    <w:rsid w:val="009C6B5F"/>
    <w:rsid w:val="009C787C"/>
    <w:rsid w:val="009C7FC6"/>
    <w:rsid w:val="009D161A"/>
    <w:rsid w:val="009D1693"/>
    <w:rsid w:val="009D1BCC"/>
    <w:rsid w:val="009D4AB7"/>
    <w:rsid w:val="009D5302"/>
    <w:rsid w:val="009D62F3"/>
    <w:rsid w:val="009D754F"/>
    <w:rsid w:val="009E1896"/>
    <w:rsid w:val="009E1980"/>
    <w:rsid w:val="009E1ACC"/>
    <w:rsid w:val="009E2185"/>
    <w:rsid w:val="009E2833"/>
    <w:rsid w:val="009E2BB3"/>
    <w:rsid w:val="009E325E"/>
    <w:rsid w:val="009E3484"/>
    <w:rsid w:val="009E569F"/>
    <w:rsid w:val="009E5FDA"/>
    <w:rsid w:val="009E646F"/>
    <w:rsid w:val="009E776E"/>
    <w:rsid w:val="009F1760"/>
    <w:rsid w:val="009F4396"/>
    <w:rsid w:val="009F5D93"/>
    <w:rsid w:val="009F6F14"/>
    <w:rsid w:val="009F7433"/>
    <w:rsid w:val="00A00F3C"/>
    <w:rsid w:val="00A0144A"/>
    <w:rsid w:val="00A02844"/>
    <w:rsid w:val="00A034F2"/>
    <w:rsid w:val="00A042CC"/>
    <w:rsid w:val="00A06BF5"/>
    <w:rsid w:val="00A076B8"/>
    <w:rsid w:val="00A07E9C"/>
    <w:rsid w:val="00A11066"/>
    <w:rsid w:val="00A1196D"/>
    <w:rsid w:val="00A11A36"/>
    <w:rsid w:val="00A122F8"/>
    <w:rsid w:val="00A12914"/>
    <w:rsid w:val="00A12EEB"/>
    <w:rsid w:val="00A14173"/>
    <w:rsid w:val="00A167B8"/>
    <w:rsid w:val="00A17060"/>
    <w:rsid w:val="00A17ED7"/>
    <w:rsid w:val="00A20492"/>
    <w:rsid w:val="00A2185E"/>
    <w:rsid w:val="00A21919"/>
    <w:rsid w:val="00A26381"/>
    <w:rsid w:val="00A31C08"/>
    <w:rsid w:val="00A32889"/>
    <w:rsid w:val="00A331C2"/>
    <w:rsid w:val="00A36A40"/>
    <w:rsid w:val="00A36D42"/>
    <w:rsid w:val="00A3707C"/>
    <w:rsid w:val="00A37298"/>
    <w:rsid w:val="00A414A1"/>
    <w:rsid w:val="00A41BC0"/>
    <w:rsid w:val="00A42893"/>
    <w:rsid w:val="00A42906"/>
    <w:rsid w:val="00A43E5D"/>
    <w:rsid w:val="00A45490"/>
    <w:rsid w:val="00A4723D"/>
    <w:rsid w:val="00A47250"/>
    <w:rsid w:val="00A5180C"/>
    <w:rsid w:val="00A521EE"/>
    <w:rsid w:val="00A5427C"/>
    <w:rsid w:val="00A603C3"/>
    <w:rsid w:val="00A61267"/>
    <w:rsid w:val="00A63829"/>
    <w:rsid w:val="00A64250"/>
    <w:rsid w:val="00A64DCE"/>
    <w:rsid w:val="00A64FD8"/>
    <w:rsid w:val="00A6550F"/>
    <w:rsid w:val="00A67C97"/>
    <w:rsid w:val="00A70F03"/>
    <w:rsid w:val="00A711F9"/>
    <w:rsid w:val="00A71783"/>
    <w:rsid w:val="00A719FE"/>
    <w:rsid w:val="00A74937"/>
    <w:rsid w:val="00A75B8E"/>
    <w:rsid w:val="00A76620"/>
    <w:rsid w:val="00A80111"/>
    <w:rsid w:val="00A81DF8"/>
    <w:rsid w:val="00A82B55"/>
    <w:rsid w:val="00A83F39"/>
    <w:rsid w:val="00A84210"/>
    <w:rsid w:val="00A85465"/>
    <w:rsid w:val="00A859A3"/>
    <w:rsid w:val="00A866AE"/>
    <w:rsid w:val="00A878A5"/>
    <w:rsid w:val="00A87D38"/>
    <w:rsid w:val="00A92225"/>
    <w:rsid w:val="00A9381F"/>
    <w:rsid w:val="00A958D5"/>
    <w:rsid w:val="00A95B9A"/>
    <w:rsid w:val="00A95CB4"/>
    <w:rsid w:val="00A96615"/>
    <w:rsid w:val="00A976E6"/>
    <w:rsid w:val="00AA00D8"/>
    <w:rsid w:val="00AA1296"/>
    <w:rsid w:val="00AA32DA"/>
    <w:rsid w:val="00AA3349"/>
    <w:rsid w:val="00AA45A4"/>
    <w:rsid w:val="00AA4712"/>
    <w:rsid w:val="00AA4FAB"/>
    <w:rsid w:val="00AA5FFD"/>
    <w:rsid w:val="00AA65F4"/>
    <w:rsid w:val="00AA7A71"/>
    <w:rsid w:val="00AB01B3"/>
    <w:rsid w:val="00AB1B2B"/>
    <w:rsid w:val="00AB43EE"/>
    <w:rsid w:val="00AB4F07"/>
    <w:rsid w:val="00AB5121"/>
    <w:rsid w:val="00AB51EA"/>
    <w:rsid w:val="00AB6F0C"/>
    <w:rsid w:val="00AC1EC5"/>
    <w:rsid w:val="00AC4AC4"/>
    <w:rsid w:val="00AC7F40"/>
    <w:rsid w:val="00AC7FDF"/>
    <w:rsid w:val="00AD0544"/>
    <w:rsid w:val="00AD061A"/>
    <w:rsid w:val="00AD59A4"/>
    <w:rsid w:val="00AE099A"/>
    <w:rsid w:val="00AE154F"/>
    <w:rsid w:val="00AE18E1"/>
    <w:rsid w:val="00AE1EE1"/>
    <w:rsid w:val="00AE207E"/>
    <w:rsid w:val="00AE2782"/>
    <w:rsid w:val="00AE2C20"/>
    <w:rsid w:val="00AE3DAE"/>
    <w:rsid w:val="00AE412E"/>
    <w:rsid w:val="00AE5E46"/>
    <w:rsid w:val="00AF05EC"/>
    <w:rsid w:val="00AF2AE0"/>
    <w:rsid w:val="00AF399D"/>
    <w:rsid w:val="00AF3D6B"/>
    <w:rsid w:val="00AF4917"/>
    <w:rsid w:val="00AF4DC9"/>
    <w:rsid w:val="00AF6292"/>
    <w:rsid w:val="00AF680F"/>
    <w:rsid w:val="00AF6DF0"/>
    <w:rsid w:val="00B00514"/>
    <w:rsid w:val="00B00C04"/>
    <w:rsid w:val="00B01C2D"/>
    <w:rsid w:val="00B01FAF"/>
    <w:rsid w:val="00B04260"/>
    <w:rsid w:val="00B04A4E"/>
    <w:rsid w:val="00B0511A"/>
    <w:rsid w:val="00B05480"/>
    <w:rsid w:val="00B05D39"/>
    <w:rsid w:val="00B100BE"/>
    <w:rsid w:val="00B11284"/>
    <w:rsid w:val="00B11F80"/>
    <w:rsid w:val="00B12F0B"/>
    <w:rsid w:val="00B13A6B"/>
    <w:rsid w:val="00B14BBD"/>
    <w:rsid w:val="00B14FF9"/>
    <w:rsid w:val="00B15D9A"/>
    <w:rsid w:val="00B160F4"/>
    <w:rsid w:val="00B1684F"/>
    <w:rsid w:val="00B1722F"/>
    <w:rsid w:val="00B17CCB"/>
    <w:rsid w:val="00B207AC"/>
    <w:rsid w:val="00B20D36"/>
    <w:rsid w:val="00B21512"/>
    <w:rsid w:val="00B21FA2"/>
    <w:rsid w:val="00B235FF"/>
    <w:rsid w:val="00B24486"/>
    <w:rsid w:val="00B24846"/>
    <w:rsid w:val="00B2572D"/>
    <w:rsid w:val="00B26963"/>
    <w:rsid w:val="00B26AA4"/>
    <w:rsid w:val="00B30BDA"/>
    <w:rsid w:val="00B30C98"/>
    <w:rsid w:val="00B32AE8"/>
    <w:rsid w:val="00B3323A"/>
    <w:rsid w:val="00B34ECD"/>
    <w:rsid w:val="00B36696"/>
    <w:rsid w:val="00B36AEE"/>
    <w:rsid w:val="00B418D6"/>
    <w:rsid w:val="00B41B1B"/>
    <w:rsid w:val="00B446F9"/>
    <w:rsid w:val="00B50382"/>
    <w:rsid w:val="00B512A3"/>
    <w:rsid w:val="00B51F04"/>
    <w:rsid w:val="00B53331"/>
    <w:rsid w:val="00B559B2"/>
    <w:rsid w:val="00B565D4"/>
    <w:rsid w:val="00B56BAF"/>
    <w:rsid w:val="00B56D2F"/>
    <w:rsid w:val="00B56DA8"/>
    <w:rsid w:val="00B57BF8"/>
    <w:rsid w:val="00B60E51"/>
    <w:rsid w:val="00B63F7F"/>
    <w:rsid w:val="00B6537F"/>
    <w:rsid w:val="00B65433"/>
    <w:rsid w:val="00B65C89"/>
    <w:rsid w:val="00B65D0C"/>
    <w:rsid w:val="00B65DEE"/>
    <w:rsid w:val="00B673D7"/>
    <w:rsid w:val="00B70A3C"/>
    <w:rsid w:val="00B71571"/>
    <w:rsid w:val="00B715B1"/>
    <w:rsid w:val="00B7619E"/>
    <w:rsid w:val="00B7663E"/>
    <w:rsid w:val="00B77677"/>
    <w:rsid w:val="00B77BF3"/>
    <w:rsid w:val="00B83257"/>
    <w:rsid w:val="00B8381D"/>
    <w:rsid w:val="00B84964"/>
    <w:rsid w:val="00B849F3"/>
    <w:rsid w:val="00B856A3"/>
    <w:rsid w:val="00B85F87"/>
    <w:rsid w:val="00B9092D"/>
    <w:rsid w:val="00B91527"/>
    <w:rsid w:val="00B92470"/>
    <w:rsid w:val="00B929D1"/>
    <w:rsid w:val="00B93AC6"/>
    <w:rsid w:val="00B95349"/>
    <w:rsid w:val="00B955C0"/>
    <w:rsid w:val="00B95B9C"/>
    <w:rsid w:val="00B961E2"/>
    <w:rsid w:val="00BA0067"/>
    <w:rsid w:val="00BA0F9A"/>
    <w:rsid w:val="00BA2179"/>
    <w:rsid w:val="00BA47BA"/>
    <w:rsid w:val="00BA65AC"/>
    <w:rsid w:val="00BB2985"/>
    <w:rsid w:val="00BB49F6"/>
    <w:rsid w:val="00BC0A20"/>
    <w:rsid w:val="00BC21A0"/>
    <w:rsid w:val="00BC4EF3"/>
    <w:rsid w:val="00BC77C0"/>
    <w:rsid w:val="00BD0B25"/>
    <w:rsid w:val="00BD234D"/>
    <w:rsid w:val="00BD2561"/>
    <w:rsid w:val="00BD2814"/>
    <w:rsid w:val="00BD5DCD"/>
    <w:rsid w:val="00BD616D"/>
    <w:rsid w:val="00BD6C4D"/>
    <w:rsid w:val="00BE0997"/>
    <w:rsid w:val="00BE1907"/>
    <w:rsid w:val="00BE1A97"/>
    <w:rsid w:val="00BE3AF3"/>
    <w:rsid w:val="00BE485B"/>
    <w:rsid w:val="00BE4E85"/>
    <w:rsid w:val="00BE6A74"/>
    <w:rsid w:val="00BE6BBF"/>
    <w:rsid w:val="00BE7D08"/>
    <w:rsid w:val="00BF0840"/>
    <w:rsid w:val="00BF0DFF"/>
    <w:rsid w:val="00BF22B8"/>
    <w:rsid w:val="00BF2603"/>
    <w:rsid w:val="00BF51CE"/>
    <w:rsid w:val="00BF6541"/>
    <w:rsid w:val="00C01A0D"/>
    <w:rsid w:val="00C028D9"/>
    <w:rsid w:val="00C036E4"/>
    <w:rsid w:val="00C038B8"/>
    <w:rsid w:val="00C03B35"/>
    <w:rsid w:val="00C06574"/>
    <w:rsid w:val="00C06F31"/>
    <w:rsid w:val="00C11EE9"/>
    <w:rsid w:val="00C12B8C"/>
    <w:rsid w:val="00C155D9"/>
    <w:rsid w:val="00C1568A"/>
    <w:rsid w:val="00C2211D"/>
    <w:rsid w:val="00C2344F"/>
    <w:rsid w:val="00C246F2"/>
    <w:rsid w:val="00C26707"/>
    <w:rsid w:val="00C27719"/>
    <w:rsid w:val="00C31BCD"/>
    <w:rsid w:val="00C320EB"/>
    <w:rsid w:val="00C32F7B"/>
    <w:rsid w:val="00C3513F"/>
    <w:rsid w:val="00C355AA"/>
    <w:rsid w:val="00C36223"/>
    <w:rsid w:val="00C40725"/>
    <w:rsid w:val="00C4207E"/>
    <w:rsid w:val="00C451A3"/>
    <w:rsid w:val="00C4577E"/>
    <w:rsid w:val="00C50C8F"/>
    <w:rsid w:val="00C51156"/>
    <w:rsid w:val="00C53FD7"/>
    <w:rsid w:val="00C55C61"/>
    <w:rsid w:val="00C57047"/>
    <w:rsid w:val="00C64F44"/>
    <w:rsid w:val="00C650ED"/>
    <w:rsid w:val="00C65132"/>
    <w:rsid w:val="00C65F6A"/>
    <w:rsid w:val="00C6675F"/>
    <w:rsid w:val="00C67F3E"/>
    <w:rsid w:val="00C70CD5"/>
    <w:rsid w:val="00C7216F"/>
    <w:rsid w:val="00C730E4"/>
    <w:rsid w:val="00C73BB8"/>
    <w:rsid w:val="00C74CC5"/>
    <w:rsid w:val="00C76B48"/>
    <w:rsid w:val="00C76CC4"/>
    <w:rsid w:val="00C77815"/>
    <w:rsid w:val="00C823C5"/>
    <w:rsid w:val="00C82D42"/>
    <w:rsid w:val="00C8322A"/>
    <w:rsid w:val="00C83583"/>
    <w:rsid w:val="00C84B12"/>
    <w:rsid w:val="00C869BC"/>
    <w:rsid w:val="00C86E6A"/>
    <w:rsid w:val="00C8737E"/>
    <w:rsid w:val="00C9243B"/>
    <w:rsid w:val="00C953C0"/>
    <w:rsid w:val="00C96E5A"/>
    <w:rsid w:val="00C97ACC"/>
    <w:rsid w:val="00CA181F"/>
    <w:rsid w:val="00CA1F35"/>
    <w:rsid w:val="00CA2A54"/>
    <w:rsid w:val="00CA3219"/>
    <w:rsid w:val="00CA60EB"/>
    <w:rsid w:val="00CB01EB"/>
    <w:rsid w:val="00CB0DFA"/>
    <w:rsid w:val="00CB250C"/>
    <w:rsid w:val="00CB34D5"/>
    <w:rsid w:val="00CB6CB0"/>
    <w:rsid w:val="00CC134C"/>
    <w:rsid w:val="00CC36F9"/>
    <w:rsid w:val="00CC3E8F"/>
    <w:rsid w:val="00CD0BA2"/>
    <w:rsid w:val="00CD18DE"/>
    <w:rsid w:val="00CD643B"/>
    <w:rsid w:val="00CE0D42"/>
    <w:rsid w:val="00CE19D1"/>
    <w:rsid w:val="00CE23EF"/>
    <w:rsid w:val="00CE6055"/>
    <w:rsid w:val="00CE6197"/>
    <w:rsid w:val="00CE6490"/>
    <w:rsid w:val="00CE6BEE"/>
    <w:rsid w:val="00CE702E"/>
    <w:rsid w:val="00CE7723"/>
    <w:rsid w:val="00CF088A"/>
    <w:rsid w:val="00CF16EB"/>
    <w:rsid w:val="00CF1AEC"/>
    <w:rsid w:val="00CF2F1C"/>
    <w:rsid w:val="00CF38F2"/>
    <w:rsid w:val="00CF5CD7"/>
    <w:rsid w:val="00CF649D"/>
    <w:rsid w:val="00CF79DF"/>
    <w:rsid w:val="00D00702"/>
    <w:rsid w:val="00D01E61"/>
    <w:rsid w:val="00D02296"/>
    <w:rsid w:val="00D02B99"/>
    <w:rsid w:val="00D0306C"/>
    <w:rsid w:val="00D034FA"/>
    <w:rsid w:val="00D06027"/>
    <w:rsid w:val="00D0751A"/>
    <w:rsid w:val="00D078F8"/>
    <w:rsid w:val="00D07D25"/>
    <w:rsid w:val="00D110F0"/>
    <w:rsid w:val="00D116BA"/>
    <w:rsid w:val="00D12852"/>
    <w:rsid w:val="00D13010"/>
    <w:rsid w:val="00D133F0"/>
    <w:rsid w:val="00D143ED"/>
    <w:rsid w:val="00D16C5A"/>
    <w:rsid w:val="00D16DAA"/>
    <w:rsid w:val="00D17E12"/>
    <w:rsid w:val="00D21B84"/>
    <w:rsid w:val="00D22983"/>
    <w:rsid w:val="00D25359"/>
    <w:rsid w:val="00D25E7D"/>
    <w:rsid w:val="00D261EA"/>
    <w:rsid w:val="00D26D6A"/>
    <w:rsid w:val="00D27842"/>
    <w:rsid w:val="00D30628"/>
    <w:rsid w:val="00D30CEE"/>
    <w:rsid w:val="00D31D6C"/>
    <w:rsid w:val="00D327E8"/>
    <w:rsid w:val="00D32B3D"/>
    <w:rsid w:val="00D33C8D"/>
    <w:rsid w:val="00D34DB8"/>
    <w:rsid w:val="00D37148"/>
    <w:rsid w:val="00D37A00"/>
    <w:rsid w:val="00D40860"/>
    <w:rsid w:val="00D4280D"/>
    <w:rsid w:val="00D42B76"/>
    <w:rsid w:val="00D43787"/>
    <w:rsid w:val="00D447D8"/>
    <w:rsid w:val="00D450B5"/>
    <w:rsid w:val="00D45623"/>
    <w:rsid w:val="00D45942"/>
    <w:rsid w:val="00D45968"/>
    <w:rsid w:val="00D468AF"/>
    <w:rsid w:val="00D4692C"/>
    <w:rsid w:val="00D470FA"/>
    <w:rsid w:val="00D47F57"/>
    <w:rsid w:val="00D50983"/>
    <w:rsid w:val="00D53B35"/>
    <w:rsid w:val="00D54448"/>
    <w:rsid w:val="00D5648F"/>
    <w:rsid w:val="00D56E3B"/>
    <w:rsid w:val="00D57CC2"/>
    <w:rsid w:val="00D616EC"/>
    <w:rsid w:val="00D648BA"/>
    <w:rsid w:val="00D66A4D"/>
    <w:rsid w:val="00D724E1"/>
    <w:rsid w:val="00D7332B"/>
    <w:rsid w:val="00D73457"/>
    <w:rsid w:val="00D737F4"/>
    <w:rsid w:val="00D76A95"/>
    <w:rsid w:val="00D801E1"/>
    <w:rsid w:val="00D82515"/>
    <w:rsid w:val="00D82682"/>
    <w:rsid w:val="00D82E21"/>
    <w:rsid w:val="00D840E2"/>
    <w:rsid w:val="00D846FE"/>
    <w:rsid w:val="00D860CB"/>
    <w:rsid w:val="00D87C68"/>
    <w:rsid w:val="00D92783"/>
    <w:rsid w:val="00D92B70"/>
    <w:rsid w:val="00D92D3B"/>
    <w:rsid w:val="00D9456A"/>
    <w:rsid w:val="00D94B4E"/>
    <w:rsid w:val="00D94DBD"/>
    <w:rsid w:val="00DA00BB"/>
    <w:rsid w:val="00DA38F9"/>
    <w:rsid w:val="00DA776D"/>
    <w:rsid w:val="00DA7AAB"/>
    <w:rsid w:val="00DB0815"/>
    <w:rsid w:val="00DB0B11"/>
    <w:rsid w:val="00DB1859"/>
    <w:rsid w:val="00DB2ED0"/>
    <w:rsid w:val="00DB6676"/>
    <w:rsid w:val="00DC2ABE"/>
    <w:rsid w:val="00DC59DE"/>
    <w:rsid w:val="00DC7217"/>
    <w:rsid w:val="00DC79BB"/>
    <w:rsid w:val="00DD11EB"/>
    <w:rsid w:val="00DD1B8B"/>
    <w:rsid w:val="00DD1F32"/>
    <w:rsid w:val="00DD23D6"/>
    <w:rsid w:val="00DD4855"/>
    <w:rsid w:val="00DD6CED"/>
    <w:rsid w:val="00DD75C4"/>
    <w:rsid w:val="00DE1FBA"/>
    <w:rsid w:val="00DE35A3"/>
    <w:rsid w:val="00DE4550"/>
    <w:rsid w:val="00DE55DE"/>
    <w:rsid w:val="00DE5968"/>
    <w:rsid w:val="00DE6A2A"/>
    <w:rsid w:val="00DF1227"/>
    <w:rsid w:val="00DF131F"/>
    <w:rsid w:val="00DF2C98"/>
    <w:rsid w:val="00DF77FD"/>
    <w:rsid w:val="00DF7AB6"/>
    <w:rsid w:val="00E00DCA"/>
    <w:rsid w:val="00E033B7"/>
    <w:rsid w:val="00E038DB"/>
    <w:rsid w:val="00E039BF"/>
    <w:rsid w:val="00E04FFB"/>
    <w:rsid w:val="00E05EEE"/>
    <w:rsid w:val="00E065DD"/>
    <w:rsid w:val="00E075A8"/>
    <w:rsid w:val="00E07D5A"/>
    <w:rsid w:val="00E105EE"/>
    <w:rsid w:val="00E10D91"/>
    <w:rsid w:val="00E134FC"/>
    <w:rsid w:val="00E1436B"/>
    <w:rsid w:val="00E14F22"/>
    <w:rsid w:val="00E151BD"/>
    <w:rsid w:val="00E170FA"/>
    <w:rsid w:val="00E2020E"/>
    <w:rsid w:val="00E20D15"/>
    <w:rsid w:val="00E216BF"/>
    <w:rsid w:val="00E25A13"/>
    <w:rsid w:val="00E26F75"/>
    <w:rsid w:val="00E3064C"/>
    <w:rsid w:val="00E33007"/>
    <w:rsid w:val="00E34483"/>
    <w:rsid w:val="00E3456D"/>
    <w:rsid w:val="00E406B2"/>
    <w:rsid w:val="00E4190D"/>
    <w:rsid w:val="00E44987"/>
    <w:rsid w:val="00E44F34"/>
    <w:rsid w:val="00E45859"/>
    <w:rsid w:val="00E47666"/>
    <w:rsid w:val="00E47C2B"/>
    <w:rsid w:val="00E504E9"/>
    <w:rsid w:val="00E507A9"/>
    <w:rsid w:val="00E5253D"/>
    <w:rsid w:val="00E53860"/>
    <w:rsid w:val="00E554E7"/>
    <w:rsid w:val="00E5688C"/>
    <w:rsid w:val="00E57C72"/>
    <w:rsid w:val="00E60AEE"/>
    <w:rsid w:val="00E6547E"/>
    <w:rsid w:val="00E65E36"/>
    <w:rsid w:val="00E669A1"/>
    <w:rsid w:val="00E67410"/>
    <w:rsid w:val="00E67625"/>
    <w:rsid w:val="00E700D9"/>
    <w:rsid w:val="00E72930"/>
    <w:rsid w:val="00E75FF6"/>
    <w:rsid w:val="00E7762B"/>
    <w:rsid w:val="00E77A6F"/>
    <w:rsid w:val="00E8390A"/>
    <w:rsid w:val="00E83A3B"/>
    <w:rsid w:val="00E83D44"/>
    <w:rsid w:val="00E901D7"/>
    <w:rsid w:val="00E9172D"/>
    <w:rsid w:val="00E922BE"/>
    <w:rsid w:val="00E9258D"/>
    <w:rsid w:val="00E9268E"/>
    <w:rsid w:val="00E92B00"/>
    <w:rsid w:val="00E9368B"/>
    <w:rsid w:val="00E94D9A"/>
    <w:rsid w:val="00E953FA"/>
    <w:rsid w:val="00E97E28"/>
    <w:rsid w:val="00EA05F2"/>
    <w:rsid w:val="00EA484D"/>
    <w:rsid w:val="00EA4A96"/>
    <w:rsid w:val="00EB1A14"/>
    <w:rsid w:val="00EB3B0A"/>
    <w:rsid w:val="00EB3DAC"/>
    <w:rsid w:val="00EB4093"/>
    <w:rsid w:val="00EB46F3"/>
    <w:rsid w:val="00EB4958"/>
    <w:rsid w:val="00EB72FC"/>
    <w:rsid w:val="00EC1371"/>
    <w:rsid w:val="00EC2445"/>
    <w:rsid w:val="00EC33B2"/>
    <w:rsid w:val="00EC3796"/>
    <w:rsid w:val="00EC41A4"/>
    <w:rsid w:val="00EC5D78"/>
    <w:rsid w:val="00EC6563"/>
    <w:rsid w:val="00EC7294"/>
    <w:rsid w:val="00EC7555"/>
    <w:rsid w:val="00EC7728"/>
    <w:rsid w:val="00ED0109"/>
    <w:rsid w:val="00ED0680"/>
    <w:rsid w:val="00ED0A03"/>
    <w:rsid w:val="00ED10A6"/>
    <w:rsid w:val="00ED27B9"/>
    <w:rsid w:val="00ED2905"/>
    <w:rsid w:val="00ED3D65"/>
    <w:rsid w:val="00ED7E7A"/>
    <w:rsid w:val="00EE0D8C"/>
    <w:rsid w:val="00EE149D"/>
    <w:rsid w:val="00EE172B"/>
    <w:rsid w:val="00EE3F56"/>
    <w:rsid w:val="00EE4BB2"/>
    <w:rsid w:val="00EE560A"/>
    <w:rsid w:val="00EE6B47"/>
    <w:rsid w:val="00EE733B"/>
    <w:rsid w:val="00EE7B6D"/>
    <w:rsid w:val="00EF128C"/>
    <w:rsid w:val="00EF13A5"/>
    <w:rsid w:val="00EF1724"/>
    <w:rsid w:val="00EF1AA9"/>
    <w:rsid w:val="00EF1B4E"/>
    <w:rsid w:val="00EF1CC2"/>
    <w:rsid w:val="00EF5079"/>
    <w:rsid w:val="00EF56C5"/>
    <w:rsid w:val="00EF7A77"/>
    <w:rsid w:val="00EF7DE3"/>
    <w:rsid w:val="00F006C9"/>
    <w:rsid w:val="00F02F54"/>
    <w:rsid w:val="00F0319A"/>
    <w:rsid w:val="00F03638"/>
    <w:rsid w:val="00F039ED"/>
    <w:rsid w:val="00F03F16"/>
    <w:rsid w:val="00F0620D"/>
    <w:rsid w:val="00F07ECC"/>
    <w:rsid w:val="00F10116"/>
    <w:rsid w:val="00F11B23"/>
    <w:rsid w:val="00F1344F"/>
    <w:rsid w:val="00F13850"/>
    <w:rsid w:val="00F13A34"/>
    <w:rsid w:val="00F146CB"/>
    <w:rsid w:val="00F14B1E"/>
    <w:rsid w:val="00F15D92"/>
    <w:rsid w:val="00F220EF"/>
    <w:rsid w:val="00F2298C"/>
    <w:rsid w:val="00F24CF2"/>
    <w:rsid w:val="00F25235"/>
    <w:rsid w:val="00F254F6"/>
    <w:rsid w:val="00F3022D"/>
    <w:rsid w:val="00F30708"/>
    <w:rsid w:val="00F308A2"/>
    <w:rsid w:val="00F31ACC"/>
    <w:rsid w:val="00F31B3B"/>
    <w:rsid w:val="00F31E35"/>
    <w:rsid w:val="00F3228A"/>
    <w:rsid w:val="00F3395E"/>
    <w:rsid w:val="00F33A72"/>
    <w:rsid w:val="00F3415D"/>
    <w:rsid w:val="00F3624A"/>
    <w:rsid w:val="00F363F1"/>
    <w:rsid w:val="00F37256"/>
    <w:rsid w:val="00F43DFC"/>
    <w:rsid w:val="00F45E5A"/>
    <w:rsid w:val="00F51047"/>
    <w:rsid w:val="00F52E52"/>
    <w:rsid w:val="00F5301B"/>
    <w:rsid w:val="00F54740"/>
    <w:rsid w:val="00F57A3E"/>
    <w:rsid w:val="00F62899"/>
    <w:rsid w:val="00F62A26"/>
    <w:rsid w:val="00F637A9"/>
    <w:rsid w:val="00F63A4A"/>
    <w:rsid w:val="00F63E31"/>
    <w:rsid w:val="00F645AE"/>
    <w:rsid w:val="00F67D00"/>
    <w:rsid w:val="00F67D2C"/>
    <w:rsid w:val="00F70011"/>
    <w:rsid w:val="00F720FA"/>
    <w:rsid w:val="00F7338E"/>
    <w:rsid w:val="00F733B2"/>
    <w:rsid w:val="00F75DF6"/>
    <w:rsid w:val="00F772EA"/>
    <w:rsid w:val="00F77698"/>
    <w:rsid w:val="00F83BC2"/>
    <w:rsid w:val="00F84ED2"/>
    <w:rsid w:val="00F90290"/>
    <w:rsid w:val="00F915B8"/>
    <w:rsid w:val="00F91B3B"/>
    <w:rsid w:val="00F94EC0"/>
    <w:rsid w:val="00F97116"/>
    <w:rsid w:val="00F976C6"/>
    <w:rsid w:val="00FA0C52"/>
    <w:rsid w:val="00FA215D"/>
    <w:rsid w:val="00FA2451"/>
    <w:rsid w:val="00FA457D"/>
    <w:rsid w:val="00FA627E"/>
    <w:rsid w:val="00FA6E33"/>
    <w:rsid w:val="00FA72B1"/>
    <w:rsid w:val="00FB132F"/>
    <w:rsid w:val="00FB2FE8"/>
    <w:rsid w:val="00FC479C"/>
    <w:rsid w:val="00FC6E57"/>
    <w:rsid w:val="00FC7151"/>
    <w:rsid w:val="00FD0C02"/>
    <w:rsid w:val="00FD1F51"/>
    <w:rsid w:val="00FD1FCF"/>
    <w:rsid w:val="00FD282F"/>
    <w:rsid w:val="00FD6EAA"/>
    <w:rsid w:val="00FE0ABB"/>
    <w:rsid w:val="00FE141F"/>
    <w:rsid w:val="00FE20F0"/>
    <w:rsid w:val="00FE7911"/>
    <w:rsid w:val="00FF1735"/>
    <w:rsid w:val="00FF31C9"/>
    <w:rsid w:val="00FF3D51"/>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9CD2-5073-4EEF-802E-ED58909A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HOME</cp:lastModifiedBy>
  <cp:revision>2</cp:revision>
  <dcterms:created xsi:type="dcterms:W3CDTF">2022-06-16T17:02:00Z</dcterms:created>
  <dcterms:modified xsi:type="dcterms:W3CDTF">2022-06-16T17:02:00Z</dcterms:modified>
</cp:coreProperties>
</file>