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2186F9C9" w:rsidR="00D450B5" w:rsidRPr="00044B50" w:rsidRDefault="00D450B5" w:rsidP="00772E4B">
      <w:pPr>
        <w:jc w:val="center"/>
        <w:rPr>
          <w:b/>
          <w:bCs/>
          <w:lang w:val="en-GB"/>
        </w:rPr>
      </w:pPr>
      <w:r w:rsidRPr="00044B50">
        <w:rPr>
          <w:b/>
          <w:bCs/>
          <w:lang w:val="en-GB"/>
        </w:rPr>
        <w:t xml:space="preserve">(EASTERN CAPE DIVISION, </w:t>
      </w:r>
      <w:r w:rsidR="00D261EA">
        <w:rPr>
          <w:b/>
          <w:bCs/>
          <w:lang w:val="en-GB"/>
        </w:rPr>
        <w:t>MAKHANDA</w:t>
      </w:r>
      <w:r w:rsidRPr="00044B50">
        <w:rPr>
          <w:b/>
          <w:bCs/>
          <w:lang w:val="en-GB"/>
        </w:rPr>
        <w:t>)</w:t>
      </w:r>
    </w:p>
    <w:p w14:paraId="454368F9" w14:textId="77777777" w:rsidR="0089565C" w:rsidRDefault="00D450B5" w:rsidP="0089565C">
      <w:pPr>
        <w:ind w:left="5760" w:right="-52" w:firstLine="720"/>
        <w:jc w:val="right"/>
        <w:rPr>
          <w:b/>
          <w:lang w:val="en-GB"/>
        </w:rPr>
      </w:pPr>
      <w:r w:rsidRPr="00044B50">
        <w:rPr>
          <w:lang w:val="en-GB"/>
        </w:rPr>
        <w:t xml:space="preserve">                                                                                           </w:t>
      </w:r>
      <w:r w:rsidR="0089565C" w:rsidRPr="00245CF8">
        <w:rPr>
          <w:b/>
          <w:lang w:val="en-GB"/>
        </w:rPr>
        <w:t>Not Reportable</w:t>
      </w:r>
    </w:p>
    <w:p w14:paraId="461EEB1A" w14:textId="1C9CA356" w:rsidR="0089565C" w:rsidRPr="00044B50" w:rsidRDefault="0089565C" w:rsidP="0089565C">
      <w:pPr>
        <w:ind w:right="-52"/>
        <w:jc w:val="center"/>
        <w:rPr>
          <w:spacing w:val="14"/>
          <w:kern w:val="2"/>
          <w:lang w:val="en-GB"/>
        </w:rPr>
      </w:pPr>
      <w:r>
        <w:rPr>
          <w:bCs/>
          <w:lang w:val="en-GB"/>
        </w:rPr>
        <w:t xml:space="preserve">                        </w:t>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t xml:space="preserve">          </w:t>
      </w:r>
      <w:r w:rsidRPr="00245CF8">
        <w:rPr>
          <w:bCs/>
          <w:lang w:val="en-GB"/>
        </w:rPr>
        <w:t xml:space="preserve">Case no: </w:t>
      </w:r>
      <w:r w:rsidR="006E28F7">
        <w:rPr>
          <w:bCs/>
          <w:lang w:val="en-GB"/>
        </w:rPr>
        <w:t>15</w:t>
      </w:r>
      <w:r w:rsidRPr="00245CF8">
        <w:rPr>
          <w:bCs/>
          <w:lang w:val="en-GB"/>
        </w:rPr>
        <w:t>/202</w:t>
      </w:r>
      <w:r>
        <w:rPr>
          <w:bCs/>
          <w:lang w:val="en-GB"/>
        </w:rPr>
        <w:t>2</w:t>
      </w:r>
    </w:p>
    <w:p w14:paraId="13EEBE4B" w14:textId="78A0A0BD" w:rsidR="00D450B5" w:rsidRPr="00044B50" w:rsidRDefault="00D450B5" w:rsidP="0089565C">
      <w:pPr>
        <w:ind w:right="-52"/>
        <w:jc w:val="center"/>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5F1017F0" w14:textId="317224CA" w:rsidR="00C246F2" w:rsidRPr="00044B50" w:rsidRDefault="00D133F0" w:rsidP="00772E4B">
      <w:pPr>
        <w:widowControl w:val="0"/>
        <w:tabs>
          <w:tab w:val="right" w:pos="8198"/>
        </w:tabs>
        <w:jc w:val="both"/>
        <w:rPr>
          <w:b/>
          <w:bCs/>
          <w:spacing w:val="14"/>
          <w:kern w:val="2"/>
          <w:lang w:val="en-GB"/>
        </w:rPr>
      </w:pPr>
      <w:r w:rsidRPr="00044B50">
        <w:rPr>
          <w:b/>
          <w:bCs/>
          <w:spacing w:val="14"/>
          <w:kern w:val="2"/>
          <w:lang w:val="en-GB"/>
        </w:rPr>
        <w:t>THE STATE</w:t>
      </w:r>
    </w:p>
    <w:p w14:paraId="0D746988" w14:textId="77777777" w:rsidR="00D450B5" w:rsidRPr="00044B50" w:rsidRDefault="00D450B5"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5887372B" w:rsidR="00C246F2" w:rsidRPr="00044B50" w:rsidRDefault="006E28F7" w:rsidP="00772E4B">
      <w:pPr>
        <w:jc w:val="both"/>
        <w:rPr>
          <w:b/>
          <w:bCs/>
          <w:lang w:val="en-GB"/>
        </w:rPr>
      </w:pPr>
      <w:r>
        <w:rPr>
          <w:b/>
          <w:bCs/>
          <w:lang w:val="en-GB"/>
        </w:rPr>
        <w:t>PHUMLANI TELEKE</w:t>
      </w:r>
      <w:r w:rsidR="005220B3">
        <w:rPr>
          <w:b/>
          <w:bCs/>
          <w:lang w:val="en-GB"/>
        </w:rPr>
        <w:tab/>
      </w:r>
      <w:r w:rsidR="00C246F2" w:rsidRPr="00044B50">
        <w:rPr>
          <w:lang w:val="en-GB"/>
        </w:rPr>
        <w:tab/>
      </w:r>
      <w:r w:rsidR="00C246F2" w:rsidRPr="00044B50">
        <w:rPr>
          <w:lang w:val="en-GB"/>
        </w:rPr>
        <w:tab/>
      </w:r>
      <w:r w:rsidR="00C246F2" w:rsidRPr="00044B50">
        <w:rPr>
          <w:lang w:val="en-GB"/>
        </w:rPr>
        <w:tab/>
      </w:r>
      <w:r w:rsidR="00C246F2" w:rsidRPr="00044B50">
        <w:rPr>
          <w:lang w:val="en-GB"/>
        </w:rPr>
        <w:tab/>
      </w:r>
      <w:r w:rsidR="00C246F2" w:rsidRPr="00044B50">
        <w:rPr>
          <w:lang w:val="en-GB"/>
        </w:rPr>
        <w:tab/>
      </w:r>
      <w:r w:rsidR="00C246F2" w:rsidRPr="00044B50">
        <w:rPr>
          <w:lang w:val="en-GB"/>
        </w:rPr>
        <w:tab/>
      </w:r>
      <w:r w:rsidR="00C246F2" w:rsidRPr="00044B50">
        <w:rPr>
          <w:lang w:val="en-GB"/>
        </w:rPr>
        <w:tab/>
      </w:r>
      <w:r w:rsidR="00C246F2" w:rsidRPr="00044B50">
        <w:rPr>
          <w:b/>
          <w:bCs/>
          <w:lang w:val="en-GB"/>
        </w:rPr>
        <w:t>Accused</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2C44FDE2" w:rsidR="00D450B5" w:rsidRPr="00044B50" w:rsidRDefault="00C530EE" w:rsidP="00772E4B">
      <w:pPr>
        <w:jc w:val="center"/>
        <w:rPr>
          <w:b/>
          <w:bCs/>
          <w:lang w:val="en-GB"/>
        </w:rPr>
      </w:pPr>
      <w:r>
        <w:rPr>
          <w:b/>
          <w:bCs/>
          <w:lang w:val="en-GB"/>
        </w:rPr>
        <w:t>SENTENCE</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5B72F230"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2E150ABB" w14:textId="77777777" w:rsidR="002F5913" w:rsidRPr="002F5913" w:rsidRDefault="002F5913" w:rsidP="00682CE5">
      <w:pPr>
        <w:autoSpaceDE w:val="0"/>
        <w:autoSpaceDN w:val="0"/>
        <w:adjustRightInd w:val="0"/>
        <w:jc w:val="both"/>
        <w:rPr>
          <w:b/>
          <w:bCs/>
          <w:lang w:val="en-GB"/>
        </w:rPr>
      </w:pPr>
    </w:p>
    <w:p w14:paraId="7616A77F" w14:textId="029E0C26" w:rsidR="006E28F7" w:rsidRDefault="005220B3" w:rsidP="00682CE5">
      <w:pPr>
        <w:pStyle w:val="ListParagraph"/>
        <w:numPr>
          <w:ilvl w:val="0"/>
          <w:numId w:val="10"/>
        </w:numPr>
        <w:autoSpaceDE w:val="0"/>
        <w:autoSpaceDN w:val="0"/>
        <w:adjustRightInd w:val="0"/>
        <w:ind w:left="142" w:hanging="142"/>
        <w:jc w:val="both"/>
        <w:rPr>
          <w:lang w:val="en-GB"/>
        </w:rPr>
      </w:pPr>
      <w:r>
        <w:rPr>
          <w:lang w:val="en-GB"/>
        </w:rPr>
        <w:t xml:space="preserve">Mr </w:t>
      </w:r>
      <w:r w:rsidR="006E28F7">
        <w:rPr>
          <w:lang w:val="en-GB"/>
        </w:rPr>
        <w:t>Teleke was found guilty of housebreaking with intent to commit rape and rape. He broke into the home of the complainant</w:t>
      </w:r>
      <w:r w:rsidR="00926B09">
        <w:rPr>
          <w:lang w:val="en-GB"/>
        </w:rPr>
        <w:t>, an elderly woman,</w:t>
      </w:r>
      <w:r w:rsidR="006E28F7">
        <w:rPr>
          <w:lang w:val="en-GB"/>
        </w:rPr>
        <w:t xml:space="preserve"> on 7 November 2021</w:t>
      </w:r>
      <w:r w:rsidR="00926B09">
        <w:rPr>
          <w:lang w:val="en-GB"/>
        </w:rPr>
        <w:t xml:space="preserve"> before pushing her into her bedroom and raping her twice, once </w:t>
      </w:r>
      <w:r w:rsidR="00926B09" w:rsidRPr="0008519B">
        <w:rPr>
          <w:i/>
          <w:iCs/>
          <w:lang w:val="en-GB"/>
        </w:rPr>
        <w:t>per vagina</w:t>
      </w:r>
      <w:r w:rsidR="000F5338" w:rsidRPr="0008519B">
        <w:rPr>
          <w:i/>
          <w:iCs/>
          <w:lang w:val="en-GB"/>
        </w:rPr>
        <w:t>m</w:t>
      </w:r>
      <w:r w:rsidR="00926B09">
        <w:rPr>
          <w:lang w:val="en-GB"/>
        </w:rPr>
        <w:t xml:space="preserve"> and once </w:t>
      </w:r>
      <w:r w:rsidR="00926B09" w:rsidRPr="0008519B">
        <w:rPr>
          <w:i/>
          <w:iCs/>
          <w:lang w:val="en-GB"/>
        </w:rPr>
        <w:t>per anum</w:t>
      </w:r>
      <w:r w:rsidR="00926B09">
        <w:rPr>
          <w:lang w:val="en-GB"/>
        </w:rPr>
        <w:t xml:space="preserve">. He also struck her with his fists while demanding money from her during the time of the intercourse. </w:t>
      </w:r>
    </w:p>
    <w:p w14:paraId="5F36D7B5" w14:textId="77777777" w:rsidR="000703FF" w:rsidRDefault="000703FF" w:rsidP="000703FF">
      <w:pPr>
        <w:pStyle w:val="ListParagraph"/>
        <w:autoSpaceDE w:val="0"/>
        <w:autoSpaceDN w:val="0"/>
        <w:adjustRightInd w:val="0"/>
        <w:ind w:left="142"/>
        <w:jc w:val="both"/>
        <w:rPr>
          <w:lang w:val="en-GB"/>
        </w:rPr>
      </w:pPr>
    </w:p>
    <w:p w14:paraId="563BE6F0" w14:textId="36D63F05" w:rsidR="000703FF" w:rsidRPr="000703FF" w:rsidRDefault="00356C9E" w:rsidP="000703FF">
      <w:pPr>
        <w:pStyle w:val="ListParagraph"/>
        <w:numPr>
          <w:ilvl w:val="0"/>
          <w:numId w:val="10"/>
        </w:numPr>
        <w:autoSpaceDE w:val="0"/>
        <w:autoSpaceDN w:val="0"/>
        <w:adjustRightInd w:val="0"/>
        <w:ind w:left="142" w:hanging="142"/>
        <w:jc w:val="both"/>
        <w:rPr>
          <w:lang w:val="en-GB"/>
        </w:rPr>
      </w:pPr>
      <w:r w:rsidRPr="000703FF">
        <w:rPr>
          <w:lang w:val="en-GB"/>
        </w:rPr>
        <w:t xml:space="preserve">In respect of the rape conviction, the Director of Public Prosecutions relied on the provisions of s 51(1), read with Part </w:t>
      </w:r>
      <w:r w:rsidR="00F148D0">
        <w:rPr>
          <w:lang w:val="en-GB"/>
        </w:rPr>
        <w:t>I</w:t>
      </w:r>
      <w:r w:rsidRPr="000703FF">
        <w:rPr>
          <w:lang w:val="en-GB"/>
        </w:rPr>
        <w:t xml:space="preserve"> of Schedule 2, of the Criminal Law </w:t>
      </w:r>
      <w:r w:rsidRPr="000703FF">
        <w:rPr>
          <w:lang w:val="en-GB"/>
        </w:rPr>
        <w:lastRenderedPageBreak/>
        <w:t>Amendment Act, 1997,</w:t>
      </w:r>
      <w:r>
        <w:rPr>
          <w:rStyle w:val="FootnoteReference"/>
          <w:lang w:val="en-GB"/>
        </w:rPr>
        <w:footnoteReference w:id="1"/>
      </w:r>
      <w:r w:rsidRPr="000703FF">
        <w:rPr>
          <w:lang w:val="en-GB"/>
        </w:rPr>
        <w:t xml:space="preserve"> </w:t>
      </w:r>
      <w:r w:rsidR="000E1DF5">
        <w:rPr>
          <w:lang w:val="en-GB"/>
        </w:rPr>
        <w:t xml:space="preserve">(‘the Minimum Sentences Act’) </w:t>
      </w:r>
      <w:r w:rsidRPr="000703FF">
        <w:rPr>
          <w:lang w:val="en-GB"/>
        </w:rPr>
        <w:t>in seeking life imprisonment. The basis for this relates to the age of the complainant, who is defined as an older person in s 1 of the Older Persons Act, 2006,</w:t>
      </w:r>
      <w:r>
        <w:rPr>
          <w:rStyle w:val="FootnoteReference"/>
          <w:lang w:val="en-GB"/>
        </w:rPr>
        <w:footnoteReference w:id="2"/>
      </w:r>
      <w:r w:rsidRPr="000703FF">
        <w:rPr>
          <w:lang w:val="en-GB"/>
        </w:rPr>
        <w:t xml:space="preserve"> </w:t>
      </w:r>
      <w:r w:rsidR="00303903" w:rsidRPr="000703FF">
        <w:rPr>
          <w:lang w:val="en-GB"/>
        </w:rPr>
        <w:t>that she was raped more than once, and that the rape involved the infliction of grievous bodily harm.</w:t>
      </w:r>
      <w:r w:rsidR="000703FF" w:rsidRPr="000703FF">
        <w:rPr>
          <w:lang w:val="en-GB"/>
        </w:rPr>
        <w:t xml:space="preserve"> A court that is satisfied that substantial and compelling circumstances exist to justify the imposition of a lesser sentence than that prescribed by the Minimum Sentences Act must impose a lesser sentence, entering the relevant circumstances on the record of proceedings.</w:t>
      </w:r>
      <w:r w:rsidR="000703FF" w:rsidRPr="00430469">
        <w:rPr>
          <w:rStyle w:val="FootnoteReference"/>
          <w:lang w:val="en-GB"/>
        </w:rPr>
        <w:footnoteReference w:id="3"/>
      </w:r>
    </w:p>
    <w:p w14:paraId="335FC9CC" w14:textId="77777777" w:rsidR="000703FF" w:rsidRPr="00430469" w:rsidRDefault="000703FF" w:rsidP="000703FF">
      <w:pPr>
        <w:pStyle w:val="ListParagraph"/>
        <w:jc w:val="both"/>
        <w:rPr>
          <w:lang w:val="en-GB"/>
        </w:rPr>
      </w:pPr>
    </w:p>
    <w:p w14:paraId="51E461B0" w14:textId="0444B84B" w:rsidR="000703FF" w:rsidRPr="000703FF" w:rsidRDefault="000703FF" w:rsidP="000703FF">
      <w:pPr>
        <w:pStyle w:val="ListParagraph"/>
        <w:numPr>
          <w:ilvl w:val="0"/>
          <w:numId w:val="10"/>
        </w:numPr>
        <w:autoSpaceDE w:val="0"/>
        <w:autoSpaceDN w:val="0"/>
        <w:adjustRightInd w:val="0"/>
        <w:ind w:left="142" w:hanging="142"/>
        <w:jc w:val="both"/>
        <w:rPr>
          <w:lang w:val="en-GB"/>
        </w:rPr>
      </w:pPr>
      <w:r w:rsidRPr="000703FF">
        <w:rPr>
          <w:lang w:val="en-GB"/>
        </w:rPr>
        <w:t xml:space="preserve">Section 276 of the </w:t>
      </w:r>
      <w:r w:rsidRPr="000703FF">
        <w:rPr>
          <w:bCs/>
          <w:lang w:val="en-GB"/>
        </w:rPr>
        <w:t>Criminal Procedure Act,</w:t>
      </w:r>
      <w:r w:rsidRPr="000703FF">
        <w:rPr>
          <w:lang w:val="en-GB"/>
        </w:rPr>
        <w:t xml:space="preserve"> 1977</w:t>
      </w:r>
      <w:r w:rsidRPr="00430469">
        <w:rPr>
          <w:rStyle w:val="FootnoteReference"/>
          <w:lang w:val="en-GB"/>
        </w:rPr>
        <w:footnoteReference w:id="4"/>
      </w:r>
      <w:r w:rsidRPr="000703FF">
        <w:rPr>
          <w:lang w:val="en-GB"/>
        </w:rPr>
        <w:t xml:space="preserve"> provides for the sentences which courts can impose. The imposition of sentence is pre-eminently a matter for the discretion of the trial court, which is free to impose whatever sentence it deems appropriate provided it exercises its discretion judicially and properly. The general purpose of imposing a sentence is fourfold: retributive, preventative, rehabilitative (reformative) and to act as a general deterrent.</w:t>
      </w:r>
      <w:r w:rsidRPr="00430469">
        <w:rPr>
          <w:rStyle w:val="FootnoteReference"/>
          <w:lang w:val="en-GB"/>
        </w:rPr>
        <w:footnoteReference w:id="5"/>
      </w:r>
      <w:r w:rsidRPr="000703FF">
        <w:rPr>
          <w:lang w:val="en-GB"/>
        </w:rPr>
        <w:t xml:space="preserve"> While the retributive aspect tends to dominate, courts are enjoined to temper the punishment with a measure of mercy.</w:t>
      </w:r>
      <w:r w:rsidRPr="00430469">
        <w:rPr>
          <w:rStyle w:val="FootnoteReference"/>
          <w:lang w:val="en-GB"/>
        </w:rPr>
        <w:footnoteReference w:id="6"/>
      </w:r>
    </w:p>
    <w:p w14:paraId="6D5873F4" w14:textId="77777777" w:rsidR="00D75F7A" w:rsidRPr="000703FF" w:rsidRDefault="00D75F7A" w:rsidP="000703FF">
      <w:pPr>
        <w:autoSpaceDE w:val="0"/>
        <w:autoSpaceDN w:val="0"/>
        <w:adjustRightInd w:val="0"/>
        <w:jc w:val="both"/>
        <w:rPr>
          <w:lang w:val="en-GB"/>
        </w:rPr>
      </w:pPr>
    </w:p>
    <w:p w14:paraId="6669C6E9" w14:textId="68A43413" w:rsidR="005368A1" w:rsidRDefault="005368A1" w:rsidP="005368A1">
      <w:pPr>
        <w:pStyle w:val="ListParagraph"/>
        <w:numPr>
          <w:ilvl w:val="0"/>
          <w:numId w:val="10"/>
        </w:numPr>
        <w:autoSpaceDE w:val="0"/>
        <w:autoSpaceDN w:val="0"/>
        <w:adjustRightInd w:val="0"/>
        <w:ind w:left="142" w:hanging="142"/>
        <w:jc w:val="both"/>
        <w:rPr>
          <w:lang w:val="en-GB"/>
        </w:rPr>
      </w:pPr>
      <w:r w:rsidRPr="005368A1">
        <w:rPr>
          <w:lang w:val="en-GB"/>
        </w:rPr>
        <w:t>In this regard, the sentencing court must attempt to achieve a balance in its sentence, and not approach its task in a spirit of anger, but in one of equity. Hastiness, the striving after severity and misplaced pity are out of place, as are so-called exemplary sentences designed to use the crime to set an example for others in society.</w:t>
      </w:r>
      <w:r w:rsidRPr="00430469">
        <w:rPr>
          <w:rStyle w:val="FootnoteReference"/>
          <w:lang w:val="en-GB"/>
        </w:rPr>
        <w:footnoteReference w:id="7"/>
      </w:r>
      <w:r w:rsidRPr="005368A1">
        <w:rPr>
          <w:lang w:val="en-GB"/>
        </w:rPr>
        <w:t xml:space="preserve"> Still, more serious cases clearly require severity, with a certain moderation of generosity, for the appropriate balance to be struck. The object of sentencing is not to satisfy public opinion, but to serve the public interest.</w:t>
      </w:r>
      <w:r w:rsidRPr="00430469">
        <w:rPr>
          <w:rStyle w:val="FootnoteReference"/>
          <w:lang w:val="en-GB"/>
        </w:rPr>
        <w:footnoteReference w:id="8"/>
      </w:r>
    </w:p>
    <w:p w14:paraId="074BFD2F" w14:textId="77777777" w:rsidR="006E28F7" w:rsidRPr="005008A0" w:rsidRDefault="006E28F7" w:rsidP="005008A0">
      <w:pPr>
        <w:autoSpaceDE w:val="0"/>
        <w:autoSpaceDN w:val="0"/>
        <w:adjustRightInd w:val="0"/>
        <w:jc w:val="both"/>
        <w:rPr>
          <w:lang w:val="en-GB"/>
        </w:rPr>
      </w:pPr>
    </w:p>
    <w:p w14:paraId="13C80AB7" w14:textId="77777777" w:rsidR="00F55373" w:rsidRPr="00F55373" w:rsidRDefault="00F55373" w:rsidP="00F55373">
      <w:pPr>
        <w:pStyle w:val="ListParagraph"/>
        <w:numPr>
          <w:ilvl w:val="0"/>
          <w:numId w:val="10"/>
        </w:numPr>
        <w:autoSpaceDE w:val="0"/>
        <w:autoSpaceDN w:val="0"/>
        <w:adjustRightInd w:val="0"/>
        <w:ind w:left="142" w:hanging="142"/>
        <w:jc w:val="both"/>
        <w:rPr>
          <w:lang w:val="en-GB"/>
        </w:rPr>
      </w:pPr>
      <w:r w:rsidRPr="00F55373">
        <w:rPr>
          <w:lang w:val="en-GB"/>
        </w:rPr>
        <w:t xml:space="preserve">In terms of s 280(1) of the CPA, sentencing courts have the jurisdiction to impose a separate sentence for each conviction, as it would have done if all the </w:t>
      </w:r>
      <w:r w:rsidRPr="00F55373">
        <w:rPr>
          <w:lang w:val="en-GB"/>
        </w:rPr>
        <w:lastRenderedPageBreak/>
        <w:t>offences had been tried separately, before considering the cumulative effect of multiple sentences and the appropriateness thereof.</w:t>
      </w:r>
      <w:r w:rsidRPr="00430469">
        <w:rPr>
          <w:rStyle w:val="FootnoteReference"/>
          <w:lang w:val="en-GB"/>
        </w:rPr>
        <w:footnoteReference w:id="9"/>
      </w:r>
      <w:r w:rsidRPr="00F55373">
        <w:rPr>
          <w:lang w:val="en-GB"/>
        </w:rPr>
        <w:t xml:space="preserve"> In practice, a court should:</w:t>
      </w:r>
      <w:r w:rsidRPr="00430469">
        <w:rPr>
          <w:rStyle w:val="FootnoteReference"/>
          <w:lang w:val="en-GB"/>
        </w:rPr>
        <w:footnoteReference w:id="10"/>
      </w:r>
    </w:p>
    <w:p w14:paraId="7C4FCDDE" w14:textId="77777777" w:rsidR="00F55373" w:rsidRPr="00430469" w:rsidRDefault="00F55373" w:rsidP="00F55373">
      <w:pPr>
        <w:pStyle w:val="ListParagraph"/>
        <w:numPr>
          <w:ilvl w:val="1"/>
          <w:numId w:val="14"/>
        </w:numPr>
        <w:ind w:right="89"/>
        <w:jc w:val="both"/>
        <w:rPr>
          <w:lang w:val="en-GB"/>
        </w:rPr>
      </w:pPr>
      <w:r w:rsidRPr="00430469">
        <w:rPr>
          <w:lang w:val="en-GB"/>
        </w:rPr>
        <w:t>determine the appropriate sentence for each individual offence;</w:t>
      </w:r>
      <w:r w:rsidRPr="00430469">
        <w:rPr>
          <w:rStyle w:val="FootnoteReference"/>
          <w:lang w:val="en-GB"/>
        </w:rPr>
        <w:footnoteReference w:id="11"/>
      </w:r>
    </w:p>
    <w:p w14:paraId="1C99B11E" w14:textId="77777777" w:rsidR="00F55373" w:rsidRPr="00430469" w:rsidRDefault="00F55373" w:rsidP="00F55373">
      <w:pPr>
        <w:pStyle w:val="ListParagraph"/>
        <w:numPr>
          <w:ilvl w:val="1"/>
          <w:numId w:val="14"/>
        </w:numPr>
        <w:ind w:right="89"/>
        <w:jc w:val="both"/>
        <w:rPr>
          <w:lang w:val="en-GB"/>
        </w:rPr>
      </w:pPr>
      <w:r w:rsidRPr="00430469">
        <w:rPr>
          <w:lang w:val="en-GB"/>
        </w:rPr>
        <w:t>determine what an appropriate total punishment would be for the totality of the criminal behaviour; and</w:t>
      </w:r>
    </w:p>
    <w:p w14:paraId="4F2C7BED" w14:textId="77777777" w:rsidR="00F55373" w:rsidRPr="00430469" w:rsidRDefault="00F55373" w:rsidP="00F55373">
      <w:pPr>
        <w:pStyle w:val="ListParagraph"/>
        <w:numPr>
          <w:ilvl w:val="1"/>
          <w:numId w:val="14"/>
        </w:numPr>
        <w:ind w:right="89"/>
        <w:jc w:val="both"/>
        <w:rPr>
          <w:lang w:val="en-GB"/>
        </w:rPr>
      </w:pPr>
      <w:r w:rsidRPr="00430469">
        <w:rPr>
          <w:lang w:val="en-GB"/>
        </w:rPr>
        <w:t>take such measure or measures as are required for the sentence determined in (b) above to become the effective sentence.</w:t>
      </w:r>
    </w:p>
    <w:p w14:paraId="353D8299" w14:textId="77777777" w:rsidR="00F55373" w:rsidRPr="00F55373" w:rsidRDefault="00F55373" w:rsidP="00F55373">
      <w:pPr>
        <w:autoSpaceDE w:val="0"/>
        <w:autoSpaceDN w:val="0"/>
        <w:adjustRightInd w:val="0"/>
        <w:jc w:val="both"/>
        <w:rPr>
          <w:lang w:val="en-GB"/>
        </w:rPr>
      </w:pPr>
    </w:p>
    <w:p w14:paraId="49E297B8" w14:textId="0EEBD419" w:rsidR="000C791F" w:rsidRDefault="004402A9" w:rsidP="00682CE5">
      <w:pPr>
        <w:pStyle w:val="ListParagraph"/>
        <w:numPr>
          <w:ilvl w:val="0"/>
          <w:numId w:val="10"/>
        </w:numPr>
        <w:autoSpaceDE w:val="0"/>
        <w:autoSpaceDN w:val="0"/>
        <w:adjustRightInd w:val="0"/>
        <w:ind w:left="142" w:hanging="142"/>
        <w:jc w:val="both"/>
        <w:rPr>
          <w:lang w:val="en-GB"/>
        </w:rPr>
      </w:pPr>
      <w:r>
        <w:rPr>
          <w:lang w:val="en-GB"/>
        </w:rPr>
        <w:t>The complainant suffered bruising around her left eye and both lips. A gynaecological examination revealed tears around her vagina and anus. She had also suffered shock as a result of her ordeal.</w:t>
      </w:r>
    </w:p>
    <w:p w14:paraId="08346EC5" w14:textId="77777777" w:rsidR="004402A9" w:rsidRDefault="004402A9" w:rsidP="004402A9">
      <w:pPr>
        <w:pStyle w:val="ListParagraph"/>
        <w:autoSpaceDE w:val="0"/>
        <w:autoSpaceDN w:val="0"/>
        <w:adjustRightInd w:val="0"/>
        <w:ind w:left="142"/>
        <w:jc w:val="both"/>
        <w:rPr>
          <w:lang w:val="en-GB"/>
        </w:rPr>
      </w:pPr>
    </w:p>
    <w:p w14:paraId="186251E1" w14:textId="52D9ABEE" w:rsidR="004402A9" w:rsidRDefault="00F148D0" w:rsidP="00682CE5">
      <w:pPr>
        <w:pStyle w:val="ListParagraph"/>
        <w:numPr>
          <w:ilvl w:val="0"/>
          <w:numId w:val="10"/>
        </w:numPr>
        <w:autoSpaceDE w:val="0"/>
        <w:autoSpaceDN w:val="0"/>
        <w:adjustRightInd w:val="0"/>
        <w:ind w:left="142" w:hanging="142"/>
        <w:jc w:val="both"/>
        <w:rPr>
          <w:lang w:val="en-GB"/>
        </w:rPr>
      </w:pPr>
      <w:r>
        <w:rPr>
          <w:lang w:val="en-GB"/>
        </w:rPr>
        <w:t>Rape when committed in circumstances where the victim was raped more than once by the accused is listed in Part I of Schedule 2 of the</w:t>
      </w:r>
      <w:r w:rsidR="000E1DF5">
        <w:rPr>
          <w:lang w:val="en-GB"/>
        </w:rPr>
        <w:t xml:space="preserve"> Minimum Sentences Act, as is rape where the victim is an older person as defined in the Older Persons Act, 2006.</w:t>
      </w:r>
      <w:r w:rsidR="00061F1B">
        <w:rPr>
          <w:lang w:val="en-GB"/>
        </w:rPr>
        <w:t xml:space="preserve"> In these circumstances, the rapes perpetrated on the complainant, who was 79 years of age at the time, </w:t>
      </w:r>
      <w:r w:rsidR="003A5A3F">
        <w:rPr>
          <w:lang w:val="en-GB"/>
        </w:rPr>
        <w:t>result in a prescribed sentence of life imprisonment in terms of s 51(1) of the Minimum Sentences Act. For adult offenders, any exception is based on the court being satisfied ‘that substantial and compelling circumstances exist which justify the imposition of a lesser sentence</w:t>
      </w:r>
      <w:r w:rsidR="00C75696">
        <w:rPr>
          <w:lang w:val="en-GB"/>
        </w:rPr>
        <w:t xml:space="preserve"> than the sentence </w:t>
      </w:r>
      <w:r w:rsidR="00F17552">
        <w:rPr>
          <w:lang w:val="en-GB"/>
        </w:rPr>
        <w:t xml:space="preserve">      </w:t>
      </w:r>
      <w:r w:rsidR="00C75696">
        <w:rPr>
          <w:lang w:val="en-GB"/>
        </w:rPr>
        <w:t>prescribed …</w:t>
      </w:r>
      <w:r w:rsidR="003A5A3F">
        <w:rPr>
          <w:lang w:val="en-GB"/>
        </w:rPr>
        <w:t>’</w:t>
      </w:r>
      <w:r w:rsidR="007859F6">
        <w:rPr>
          <w:rStyle w:val="FootnoteReference"/>
          <w:lang w:val="en-GB"/>
        </w:rPr>
        <w:footnoteReference w:id="12"/>
      </w:r>
    </w:p>
    <w:p w14:paraId="19993338" w14:textId="77777777" w:rsidR="00061F1B" w:rsidRPr="00061F1B" w:rsidRDefault="00061F1B" w:rsidP="00061F1B">
      <w:pPr>
        <w:pStyle w:val="ListParagraph"/>
        <w:rPr>
          <w:lang w:val="en-GB"/>
        </w:rPr>
      </w:pPr>
    </w:p>
    <w:p w14:paraId="502019F2" w14:textId="4A581BC0" w:rsidR="005008A0" w:rsidRPr="005368A1" w:rsidRDefault="005008A0" w:rsidP="005008A0">
      <w:pPr>
        <w:pStyle w:val="ListParagraph"/>
        <w:numPr>
          <w:ilvl w:val="0"/>
          <w:numId w:val="10"/>
        </w:numPr>
        <w:autoSpaceDE w:val="0"/>
        <w:autoSpaceDN w:val="0"/>
        <w:adjustRightInd w:val="0"/>
        <w:ind w:left="142" w:hanging="142"/>
        <w:jc w:val="both"/>
        <w:rPr>
          <w:lang w:val="en-GB"/>
        </w:rPr>
      </w:pPr>
      <w:r>
        <w:rPr>
          <w:lang w:val="en-GB"/>
        </w:rPr>
        <w:t xml:space="preserve">The </w:t>
      </w:r>
      <w:r w:rsidRPr="005368A1">
        <w:rPr>
          <w:lang w:val="en-GB"/>
        </w:rPr>
        <w:t>triad of factors to be considered consists of the crime, the offender and the interests of society,</w:t>
      </w:r>
      <w:r w:rsidRPr="00430469">
        <w:rPr>
          <w:rStyle w:val="FootnoteReference"/>
          <w:lang w:val="en-GB"/>
        </w:rPr>
        <w:footnoteReference w:id="13"/>
      </w:r>
      <w:r w:rsidRPr="005368A1">
        <w:rPr>
          <w:lang w:val="en-GB"/>
        </w:rPr>
        <w:t xml:space="preserve"> and these factors must be applied, in accordance with </w:t>
      </w:r>
      <w:r w:rsidRPr="005368A1">
        <w:rPr>
          <w:bCs/>
          <w:i/>
          <w:iCs/>
          <w:lang w:val="en-GB"/>
        </w:rPr>
        <w:t>S v Malgas</w:t>
      </w:r>
      <w:r w:rsidRPr="005368A1">
        <w:rPr>
          <w:bCs/>
          <w:lang w:val="en-GB"/>
        </w:rPr>
        <w:t>,</w:t>
      </w:r>
      <w:r w:rsidRPr="00430469">
        <w:rPr>
          <w:rStyle w:val="FootnoteReference"/>
          <w:lang w:val="en-GB"/>
        </w:rPr>
        <w:footnoteReference w:id="14"/>
      </w:r>
      <w:r w:rsidRPr="005368A1">
        <w:rPr>
          <w:lang w:val="en-GB"/>
        </w:rPr>
        <w:t xml:space="preserve"> to consider whether substantial and compelling circumstances exist to </w:t>
      </w:r>
      <w:r w:rsidRPr="005368A1">
        <w:rPr>
          <w:lang w:val="en-GB"/>
        </w:rPr>
        <w:lastRenderedPageBreak/>
        <w:t>deviate from any prescribed minimum sentence.</w:t>
      </w:r>
      <w:r w:rsidRPr="00430469">
        <w:rPr>
          <w:rStyle w:val="FootnoteReference"/>
          <w:lang w:val="en-GB"/>
        </w:rPr>
        <w:footnoteReference w:id="15"/>
      </w:r>
      <w:r w:rsidRPr="005368A1">
        <w:rPr>
          <w:lang w:val="en-GB"/>
        </w:rPr>
        <w:t xml:space="preserve"> In </w:t>
      </w:r>
      <w:r w:rsidRPr="005368A1">
        <w:rPr>
          <w:bCs/>
          <w:i/>
          <w:iCs/>
          <w:lang w:val="en-GB"/>
        </w:rPr>
        <w:t>S v Matyityi</w:t>
      </w:r>
      <w:r w:rsidRPr="005368A1">
        <w:rPr>
          <w:bCs/>
          <w:lang w:val="en-GB"/>
        </w:rPr>
        <w:t>,</w:t>
      </w:r>
      <w:r w:rsidRPr="00430469">
        <w:rPr>
          <w:rStyle w:val="FootnoteReference"/>
          <w:lang w:val="en-GB"/>
        </w:rPr>
        <w:footnoteReference w:id="16"/>
      </w:r>
      <w:r w:rsidRPr="005368A1">
        <w:rPr>
          <w:lang w:val="en-GB"/>
        </w:rPr>
        <w:t xml:space="preserve"> Ponnan JA held that Parliament:</w:t>
      </w:r>
    </w:p>
    <w:p w14:paraId="7A9039A5" w14:textId="3599B84E" w:rsidR="005008A0" w:rsidRDefault="005008A0" w:rsidP="005008A0">
      <w:pPr>
        <w:ind w:left="142" w:right="-52"/>
        <w:jc w:val="both"/>
        <w:rPr>
          <w:sz w:val="22"/>
          <w:szCs w:val="22"/>
          <w:lang w:val="en-GB"/>
        </w:rPr>
      </w:pPr>
      <w:r w:rsidRPr="00F55373">
        <w:rPr>
          <w:sz w:val="22"/>
          <w:szCs w:val="22"/>
          <w:lang w:val="en-GB"/>
        </w:rPr>
        <w:t>‘…has ordained minimum sentences for certain specified offences. Courts are obliged to impose those sentences unless there are truly convincing reasons for departing from them. Courts are not free to subvert the will of the legislature by resort to vague, ill-defined concepts…and ill-founded hypotheses that appear to fit the particular sentencing officer’s personal notion of fairness. Predictable outcomes, not outcomes based on the whim of an individual judicial officer, [are] foundational to the rule of law which lies at the heart of our constitutional order’.</w:t>
      </w:r>
    </w:p>
    <w:p w14:paraId="654065C5" w14:textId="77777777" w:rsidR="005008A0" w:rsidRPr="00F55373" w:rsidRDefault="005008A0" w:rsidP="005008A0">
      <w:pPr>
        <w:ind w:left="142" w:right="-52"/>
        <w:jc w:val="both"/>
        <w:rPr>
          <w:sz w:val="22"/>
          <w:szCs w:val="22"/>
          <w:lang w:val="en-GB"/>
        </w:rPr>
      </w:pPr>
    </w:p>
    <w:p w14:paraId="5989EEBF" w14:textId="738EAF7E" w:rsidR="00EC4578" w:rsidRPr="005008A0" w:rsidRDefault="00B422B0" w:rsidP="005008A0">
      <w:pPr>
        <w:pStyle w:val="ListParagraph"/>
        <w:numPr>
          <w:ilvl w:val="0"/>
          <w:numId w:val="10"/>
        </w:numPr>
        <w:autoSpaceDE w:val="0"/>
        <w:autoSpaceDN w:val="0"/>
        <w:adjustRightInd w:val="0"/>
        <w:ind w:left="142" w:hanging="142"/>
        <w:jc w:val="both"/>
        <w:rPr>
          <w:lang w:val="en-GB"/>
        </w:rPr>
      </w:pPr>
      <w:r>
        <w:rPr>
          <w:lang w:val="en-GB"/>
        </w:rPr>
        <w:t xml:space="preserve">A court must exercise a reasoned discretion in determining an appropriate sentence. </w:t>
      </w:r>
      <w:r w:rsidR="00EC4578" w:rsidRPr="005008A0">
        <w:rPr>
          <w:lang w:val="en-GB"/>
        </w:rPr>
        <w:t xml:space="preserve">The approach to be applied </w:t>
      </w:r>
      <w:r w:rsidR="003638BC" w:rsidRPr="005008A0">
        <w:rPr>
          <w:lang w:val="en-GB"/>
        </w:rPr>
        <w:t xml:space="preserve">in imposing </w:t>
      </w:r>
      <w:r w:rsidR="00D8622A" w:rsidRPr="005008A0">
        <w:rPr>
          <w:lang w:val="en-GB"/>
        </w:rPr>
        <w:t xml:space="preserve">a </w:t>
      </w:r>
      <w:r w:rsidR="003638BC" w:rsidRPr="005008A0">
        <w:rPr>
          <w:lang w:val="en-GB"/>
        </w:rPr>
        <w:t xml:space="preserve">sentence when the Minimum Sentences Act applies has been set out by Nugent JA in </w:t>
      </w:r>
      <w:r w:rsidR="003638BC" w:rsidRPr="005008A0">
        <w:rPr>
          <w:i/>
          <w:iCs/>
          <w:lang w:val="en-GB"/>
        </w:rPr>
        <w:t>S v Vilakazi</w:t>
      </w:r>
      <w:r w:rsidR="003638BC" w:rsidRPr="005008A0">
        <w:rPr>
          <w:lang w:val="en-GB"/>
        </w:rPr>
        <w:t>:</w:t>
      </w:r>
      <w:r w:rsidR="003638BC">
        <w:rPr>
          <w:rStyle w:val="FootnoteReference"/>
          <w:lang w:val="en-GB"/>
        </w:rPr>
        <w:footnoteReference w:id="17"/>
      </w:r>
    </w:p>
    <w:p w14:paraId="6A92554A" w14:textId="75320FEA" w:rsidR="009E19D6" w:rsidRDefault="009E19D6" w:rsidP="00771C95">
      <w:pPr>
        <w:ind w:left="142"/>
        <w:jc w:val="both"/>
        <w:rPr>
          <w:sz w:val="22"/>
          <w:szCs w:val="22"/>
          <w:lang w:val="en-GB"/>
        </w:rPr>
      </w:pPr>
      <w:r>
        <w:rPr>
          <w:sz w:val="22"/>
          <w:szCs w:val="22"/>
          <w:lang w:val="en-GB"/>
        </w:rPr>
        <w:t xml:space="preserve">‘It is clear from the terms in which the test was framed in </w:t>
      </w:r>
      <w:r>
        <w:rPr>
          <w:i/>
          <w:iCs/>
          <w:sz w:val="22"/>
          <w:szCs w:val="22"/>
          <w:lang w:val="en-GB"/>
        </w:rPr>
        <w:t>Malgas</w:t>
      </w:r>
      <w:r>
        <w:rPr>
          <w:sz w:val="22"/>
          <w:szCs w:val="22"/>
          <w:lang w:val="en-GB"/>
        </w:rPr>
        <w:t xml:space="preserve"> and endorsed in </w:t>
      </w:r>
      <w:r>
        <w:rPr>
          <w:i/>
          <w:iCs/>
          <w:sz w:val="22"/>
          <w:szCs w:val="22"/>
          <w:lang w:val="en-GB"/>
        </w:rPr>
        <w:t>Dodo</w:t>
      </w:r>
      <w:r>
        <w:rPr>
          <w:sz w:val="22"/>
          <w:szCs w:val="22"/>
          <w:lang w:val="en-GB"/>
        </w:rPr>
        <w:t xml:space="preserve"> that it is incumbent upon a court in every case, before it imposes a prescribed sentence, to assess, upon a consideration of all the circumstances of the particular case, whether the prescribed sentence is indeed proportionate to the particular offence. The Constitutional Court made it clear that what is meant by the “offence” in the context … “consists of all factors relevant to the nature and seriousness of the criminal act itself, as well as all relevant personal and other circumstances relating to the offender which could have a bearing on the seriousness of the offence and the culpability of the offender”.</w:t>
      </w:r>
      <w:r w:rsidR="005510B8">
        <w:rPr>
          <w:sz w:val="22"/>
          <w:szCs w:val="22"/>
          <w:lang w:val="en-GB"/>
        </w:rPr>
        <w:t xml:space="preserve"> If a court is indeed satisfied that a lesser sentence is called for in the particular case, thus justifying a departure from the prescribed sentence, then it hardly needs saying </w:t>
      </w:r>
      <w:r w:rsidR="00242184">
        <w:rPr>
          <w:sz w:val="22"/>
          <w:szCs w:val="22"/>
          <w:lang w:val="en-GB"/>
        </w:rPr>
        <w:t>that the court is bound to impose that lesser sentence.’</w:t>
      </w:r>
    </w:p>
    <w:p w14:paraId="1C997873" w14:textId="77777777" w:rsidR="00575102" w:rsidRPr="009E19D6" w:rsidRDefault="00575102" w:rsidP="009E19D6">
      <w:pPr>
        <w:ind w:left="142"/>
        <w:rPr>
          <w:sz w:val="22"/>
          <w:szCs w:val="22"/>
          <w:lang w:val="en-GB"/>
        </w:rPr>
      </w:pPr>
    </w:p>
    <w:p w14:paraId="2EC9C435" w14:textId="44675B45" w:rsidR="001D31FD" w:rsidRDefault="005008A0" w:rsidP="00AF6DF0">
      <w:pPr>
        <w:pStyle w:val="ListParagraph"/>
        <w:numPr>
          <w:ilvl w:val="0"/>
          <w:numId w:val="10"/>
        </w:numPr>
        <w:autoSpaceDE w:val="0"/>
        <w:autoSpaceDN w:val="0"/>
        <w:adjustRightInd w:val="0"/>
        <w:ind w:left="142" w:hanging="142"/>
        <w:jc w:val="both"/>
        <w:rPr>
          <w:lang w:val="en-GB"/>
        </w:rPr>
      </w:pPr>
      <w:r>
        <w:rPr>
          <w:lang w:val="en-GB"/>
        </w:rPr>
        <w:t>P</w:t>
      </w:r>
      <w:r w:rsidR="0017409D">
        <w:rPr>
          <w:lang w:val="en-GB"/>
        </w:rPr>
        <w:t xml:space="preserve">ersonal aversion to life imprisonment or doubts as to the efficacy of the policy implicit in the Minimum Sentences Act cannot be elevated to ‘substantial and compelling’ factors. </w:t>
      </w:r>
      <w:r w:rsidR="00F25096">
        <w:rPr>
          <w:lang w:val="en-GB"/>
        </w:rPr>
        <w:t>The prescribed minimum sentences must be imposed unless there are ‘truly convincing reasons’ for departure.</w:t>
      </w:r>
      <w:r w:rsidR="00F25096">
        <w:rPr>
          <w:rStyle w:val="FootnoteReference"/>
          <w:lang w:val="en-GB"/>
        </w:rPr>
        <w:footnoteReference w:id="18"/>
      </w:r>
      <w:r w:rsidR="00F25096">
        <w:rPr>
          <w:lang w:val="en-GB"/>
        </w:rPr>
        <w:t xml:space="preserve"> </w:t>
      </w:r>
      <w:r w:rsidR="001D31FD">
        <w:rPr>
          <w:lang w:val="en-GB"/>
        </w:rPr>
        <w:t xml:space="preserve">These are sentences to be </w:t>
      </w:r>
      <w:r w:rsidR="001D31FD">
        <w:rPr>
          <w:lang w:val="en-GB"/>
        </w:rPr>
        <w:lastRenderedPageBreak/>
        <w:t>imposed ‘ordinarily and in the absence of weighty justification’.</w:t>
      </w:r>
      <w:r w:rsidR="001D31FD">
        <w:rPr>
          <w:rStyle w:val="FootnoteReference"/>
          <w:lang w:val="en-GB"/>
        </w:rPr>
        <w:footnoteReference w:id="19"/>
      </w:r>
      <w:r w:rsidR="00C01120">
        <w:rPr>
          <w:lang w:val="en-GB"/>
        </w:rPr>
        <w:t xml:space="preserve"> If the sentencing court, on consideration of the circumstances of the particular case, is satisfied that they render the prescribed sentence unjust in that it would be disproportionate to the crime, the criminal and the needs of society, so that an injustice would be done by imposing that sentence, it is entitled to impose a lesser sentence.</w:t>
      </w:r>
      <w:r w:rsidR="00475898">
        <w:rPr>
          <w:rStyle w:val="FootnoteReference"/>
          <w:lang w:val="en-GB"/>
        </w:rPr>
        <w:footnoteReference w:id="20"/>
      </w:r>
    </w:p>
    <w:p w14:paraId="7110C4BD" w14:textId="77777777" w:rsidR="001D31FD" w:rsidRDefault="001D31FD" w:rsidP="001D31FD">
      <w:pPr>
        <w:pStyle w:val="ListParagraph"/>
        <w:autoSpaceDE w:val="0"/>
        <w:autoSpaceDN w:val="0"/>
        <w:adjustRightInd w:val="0"/>
        <w:ind w:left="142"/>
        <w:jc w:val="both"/>
        <w:rPr>
          <w:lang w:val="en-GB"/>
        </w:rPr>
      </w:pPr>
    </w:p>
    <w:p w14:paraId="56E12B26" w14:textId="756ACCE3" w:rsidR="00701995" w:rsidRDefault="00701995" w:rsidP="00AF6DF0">
      <w:pPr>
        <w:pStyle w:val="ListParagraph"/>
        <w:numPr>
          <w:ilvl w:val="0"/>
          <w:numId w:val="10"/>
        </w:numPr>
        <w:autoSpaceDE w:val="0"/>
        <w:autoSpaceDN w:val="0"/>
        <w:adjustRightInd w:val="0"/>
        <w:ind w:left="142" w:hanging="142"/>
        <w:jc w:val="both"/>
        <w:rPr>
          <w:lang w:val="en-GB"/>
        </w:rPr>
      </w:pPr>
      <w:r>
        <w:rPr>
          <w:lang w:val="en-GB"/>
        </w:rPr>
        <w:t>Mr Teleke is a first offender</w:t>
      </w:r>
      <w:r w:rsidR="00CB6B60">
        <w:rPr>
          <w:lang w:val="en-GB"/>
        </w:rPr>
        <w:t>, aged 35</w:t>
      </w:r>
      <w:r>
        <w:rPr>
          <w:lang w:val="en-GB"/>
        </w:rPr>
        <w:t xml:space="preserve">. He has been in custody since November 2021. He is unmarried with one child, aged six. He </w:t>
      </w:r>
      <w:r w:rsidR="00E60B7E">
        <w:rPr>
          <w:lang w:val="en-GB"/>
        </w:rPr>
        <w:t xml:space="preserve">has passed grade seven and </w:t>
      </w:r>
      <w:r>
        <w:rPr>
          <w:lang w:val="en-GB"/>
        </w:rPr>
        <w:t xml:space="preserve">was employed </w:t>
      </w:r>
      <w:r w:rsidR="00D87786">
        <w:rPr>
          <w:lang w:val="en-GB"/>
        </w:rPr>
        <w:t xml:space="preserve">as a general worker </w:t>
      </w:r>
      <w:r>
        <w:rPr>
          <w:lang w:val="en-GB"/>
        </w:rPr>
        <w:t>at a funeral parlour prior to his arrest, earning R800 per week. R500 per month is paid for his child’s support.</w:t>
      </w:r>
      <w:r w:rsidR="0093723D">
        <w:rPr>
          <w:lang w:val="en-GB"/>
        </w:rPr>
        <w:t xml:space="preserve"> Mr Solani argued that </w:t>
      </w:r>
      <w:r w:rsidR="00CB6B60">
        <w:rPr>
          <w:lang w:val="en-GB"/>
        </w:rPr>
        <w:t>the alcohol and drugs consumed by Mr Teleke may have played a major role in giving hi</w:t>
      </w:r>
      <w:r w:rsidR="0011466E">
        <w:rPr>
          <w:lang w:val="en-GB"/>
        </w:rPr>
        <w:t>m</w:t>
      </w:r>
      <w:r w:rsidR="00CB6B60">
        <w:rPr>
          <w:lang w:val="en-GB"/>
        </w:rPr>
        <w:t xml:space="preserve"> courage to proceed with his crimes. </w:t>
      </w:r>
      <w:r w:rsidR="00E60B7E">
        <w:rPr>
          <w:lang w:val="en-GB"/>
        </w:rPr>
        <w:t>It was submitted that, cumulatively, this amounted to substantial and compelling circumstances justifying deviation from the prescribed minimum sentence.</w:t>
      </w:r>
    </w:p>
    <w:p w14:paraId="17413C7B" w14:textId="77777777" w:rsidR="00701995" w:rsidRPr="00701995" w:rsidRDefault="00701995" w:rsidP="00701995">
      <w:pPr>
        <w:pStyle w:val="ListParagraph"/>
        <w:rPr>
          <w:lang w:val="en-GB"/>
        </w:rPr>
      </w:pPr>
    </w:p>
    <w:p w14:paraId="2F693E2F" w14:textId="6102E6AB" w:rsidR="007A1E59" w:rsidRDefault="007A1E59" w:rsidP="00AF6DF0">
      <w:pPr>
        <w:pStyle w:val="ListParagraph"/>
        <w:numPr>
          <w:ilvl w:val="0"/>
          <w:numId w:val="10"/>
        </w:numPr>
        <w:autoSpaceDE w:val="0"/>
        <w:autoSpaceDN w:val="0"/>
        <w:adjustRightInd w:val="0"/>
        <w:ind w:left="142" w:hanging="142"/>
        <w:jc w:val="both"/>
        <w:rPr>
          <w:lang w:val="en-GB"/>
        </w:rPr>
      </w:pPr>
      <w:r>
        <w:rPr>
          <w:lang w:val="en-GB"/>
        </w:rPr>
        <w:t xml:space="preserve">By contrast, the state highlighted the serious nature of the offence of rape. The complainant had also been assaulted and threatened. While no victim impact statement was submitted, the evidence during the trial was that </w:t>
      </w:r>
      <w:r w:rsidR="00115702">
        <w:rPr>
          <w:lang w:val="en-GB"/>
        </w:rPr>
        <w:t xml:space="preserve">the complainant remained fearful. There can be </w:t>
      </w:r>
      <w:r w:rsidR="00F8616B">
        <w:rPr>
          <w:lang w:val="en-GB"/>
        </w:rPr>
        <w:t>little</w:t>
      </w:r>
      <w:r w:rsidR="00115702">
        <w:rPr>
          <w:lang w:val="en-GB"/>
        </w:rPr>
        <w:t xml:space="preserve"> doubt that </w:t>
      </w:r>
      <w:r w:rsidR="008E22FB">
        <w:rPr>
          <w:lang w:val="en-GB"/>
        </w:rPr>
        <w:t>this experience will remain with her.</w:t>
      </w:r>
      <w:r w:rsidR="001B1C7E">
        <w:rPr>
          <w:lang w:val="en-GB"/>
        </w:rPr>
        <w:t xml:space="preserve"> It was submitted that the manner in which the defenceless complainant had been attacked demonstrated that Mr Teleke was a danger to society and that there was a flimsy basis for deviating from the prescribed minimum sentence for rape.</w:t>
      </w:r>
    </w:p>
    <w:p w14:paraId="7383600C" w14:textId="77777777" w:rsidR="007A1E59" w:rsidRPr="007A1E59" w:rsidRDefault="007A1E59" w:rsidP="007A1E59">
      <w:pPr>
        <w:pStyle w:val="ListParagraph"/>
        <w:rPr>
          <w:lang w:val="en-GB"/>
        </w:rPr>
      </w:pPr>
    </w:p>
    <w:p w14:paraId="6C322A3F" w14:textId="51B8F93B" w:rsidR="007F6DDE" w:rsidRDefault="00DF5E96" w:rsidP="003F353D">
      <w:pPr>
        <w:pStyle w:val="ListParagraph"/>
        <w:numPr>
          <w:ilvl w:val="0"/>
          <w:numId w:val="10"/>
        </w:numPr>
        <w:autoSpaceDE w:val="0"/>
        <w:autoSpaceDN w:val="0"/>
        <w:adjustRightInd w:val="0"/>
        <w:ind w:left="142" w:hanging="142"/>
        <w:jc w:val="both"/>
        <w:rPr>
          <w:lang w:val="en-GB"/>
        </w:rPr>
      </w:pPr>
      <w:r>
        <w:rPr>
          <w:lang w:val="en-GB"/>
        </w:rPr>
        <w:t>Rape is a scourge in South Africa. It violates a range of constitutionally-entrenched human rights</w:t>
      </w:r>
      <w:r w:rsidR="00C1396B">
        <w:rPr>
          <w:lang w:val="en-GB"/>
        </w:rPr>
        <w:t xml:space="preserve"> and causes irreparable harm to its victims and society as a whole. </w:t>
      </w:r>
      <w:r w:rsidR="002753E7">
        <w:rPr>
          <w:lang w:val="en-GB"/>
        </w:rPr>
        <w:t>In this case, the victim was a woman who was 79 years of age at the time. She was raped twice and beaten by a person known to her. In determining whether the prescribed minimum sentence is proportionate, all of the traditional mitigating factors are to be considered and the court is required to assess whether there are substantial and compelling circumstances to depart from the sentence prescribed.</w:t>
      </w:r>
    </w:p>
    <w:p w14:paraId="40EE4ADF" w14:textId="77777777" w:rsidR="00C1396B" w:rsidRPr="00C1396B" w:rsidRDefault="00C1396B" w:rsidP="00C1396B">
      <w:pPr>
        <w:pStyle w:val="ListParagraph"/>
        <w:rPr>
          <w:lang w:val="en-GB"/>
        </w:rPr>
      </w:pPr>
    </w:p>
    <w:p w14:paraId="0D6042C5" w14:textId="382D3D80" w:rsidR="00C1396B" w:rsidRDefault="00A738DD" w:rsidP="00A738DD">
      <w:pPr>
        <w:pStyle w:val="ListParagraph"/>
        <w:numPr>
          <w:ilvl w:val="0"/>
          <w:numId w:val="10"/>
        </w:numPr>
        <w:autoSpaceDE w:val="0"/>
        <w:autoSpaceDN w:val="0"/>
        <w:adjustRightInd w:val="0"/>
        <w:ind w:left="142" w:hanging="142"/>
        <w:jc w:val="both"/>
        <w:rPr>
          <w:lang w:val="en-GB"/>
        </w:rPr>
      </w:pPr>
      <w:r>
        <w:rPr>
          <w:lang w:val="en-GB"/>
        </w:rPr>
        <w:lastRenderedPageBreak/>
        <w:t xml:space="preserve">In </w:t>
      </w:r>
      <w:r w:rsidR="00E07733">
        <w:rPr>
          <w:i/>
          <w:iCs/>
          <w:lang w:val="en-GB"/>
        </w:rPr>
        <w:t>S v Weideman</w:t>
      </w:r>
      <w:r w:rsidR="00156A59">
        <w:rPr>
          <w:i/>
          <w:iCs/>
          <w:lang w:val="en-GB"/>
        </w:rPr>
        <w:t xml:space="preserve"> </w:t>
      </w:r>
      <w:r w:rsidR="00156A59">
        <w:rPr>
          <w:lang w:val="en-GB"/>
        </w:rPr>
        <w:t>(‘</w:t>
      </w:r>
      <w:r w:rsidR="00156A59">
        <w:rPr>
          <w:i/>
          <w:iCs/>
          <w:lang w:val="en-GB"/>
        </w:rPr>
        <w:t>Weideman</w:t>
      </w:r>
      <w:r w:rsidR="00156A59">
        <w:rPr>
          <w:lang w:val="en-GB"/>
        </w:rPr>
        <w:t>’)</w:t>
      </w:r>
      <w:r>
        <w:rPr>
          <w:lang w:val="en-GB"/>
        </w:rPr>
        <w:t>, Goosen J reflected on the appropriateness of life imprisonment in the case of a first offender who was under the influence of alcohol, as follows:</w:t>
      </w:r>
      <w:r w:rsidR="00E07733">
        <w:rPr>
          <w:rStyle w:val="FootnoteReference"/>
          <w:lang w:val="en-GB"/>
        </w:rPr>
        <w:footnoteReference w:id="21"/>
      </w:r>
    </w:p>
    <w:p w14:paraId="6EAEF722" w14:textId="77A62BD7" w:rsidR="00A738DD" w:rsidRDefault="00A738DD" w:rsidP="00A738DD">
      <w:pPr>
        <w:ind w:left="142"/>
        <w:jc w:val="both"/>
        <w:rPr>
          <w:i/>
          <w:iCs/>
          <w:sz w:val="22"/>
          <w:szCs w:val="22"/>
          <w:lang w:val="en-GB"/>
        </w:rPr>
      </w:pPr>
      <w:r>
        <w:rPr>
          <w:sz w:val="22"/>
          <w:szCs w:val="22"/>
          <w:lang w:val="en-GB"/>
        </w:rPr>
        <w:t xml:space="preserve">‘Life imprisonment is the most severe sentence that can be imposed by a court. For this reason it is, generally speaking, reserved for the most serious and egregious criminal acts. It is also reserved for those instances where the criminal poses a clear and present danger to the society and where there is little or no prospect of rehabilitation of the criminal and reintegration of that individual into society. This does not however mean that a court should keep something in reserve on the basis that some more serious manifestation of the crime can be imagined (see </w:t>
      </w:r>
      <w:r>
        <w:rPr>
          <w:i/>
          <w:iCs/>
          <w:sz w:val="22"/>
          <w:szCs w:val="22"/>
          <w:lang w:val="en-GB"/>
        </w:rPr>
        <w:t>S v Mahamotsa</w:t>
      </w:r>
      <w:r>
        <w:rPr>
          <w:sz w:val="22"/>
          <w:szCs w:val="22"/>
          <w:lang w:val="en-GB"/>
        </w:rPr>
        <w:t xml:space="preserve"> 2002 (2) SACR 435 (SCA) par</w:t>
      </w:r>
      <w:r w:rsidR="00EA4B5C">
        <w:rPr>
          <w:sz w:val="22"/>
          <w:szCs w:val="22"/>
          <w:lang w:val="en-GB"/>
        </w:rPr>
        <w:t xml:space="preserve"> 19)</w:t>
      </w:r>
      <w:r w:rsidR="00E07733">
        <w:rPr>
          <w:sz w:val="22"/>
          <w:szCs w:val="22"/>
          <w:lang w:val="en-GB"/>
        </w:rPr>
        <w:t>. It means only that the sentence of life imprisonment must be proportionate to the nature of crime for which it is imposed.’</w:t>
      </w:r>
      <w:r>
        <w:rPr>
          <w:i/>
          <w:iCs/>
          <w:sz w:val="22"/>
          <w:szCs w:val="22"/>
          <w:lang w:val="en-GB"/>
        </w:rPr>
        <w:t xml:space="preserve"> </w:t>
      </w:r>
    </w:p>
    <w:p w14:paraId="3CECBDE8" w14:textId="77777777" w:rsidR="00E07733" w:rsidRPr="00A738DD" w:rsidRDefault="00E07733" w:rsidP="00A738DD">
      <w:pPr>
        <w:ind w:left="142"/>
        <w:jc w:val="both"/>
        <w:rPr>
          <w:sz w:val="22"/>
          <w:szCs w:val="22"/>
          <w:lang w:val="en-GB"/>
        </w:rPr>
      </w:pPr>
    </w:p>
    <w:p w14:paraId="58EBF1FA" w14:textId="612CA5F0" w:rsidR="00A738DD" w:rsidRDefault="00156A59" w:rsidP="003F353D">
      <w:pPr>
        <w:pStyle w:val="ListParagraph"/>
        <w:numPr>
          <w:ilvl w:val="0"/>
          <w:numId w:val="10"/>
        </w:numPr>
        <w:autoSpaceDE w:val="0"/>
        <w:autoSpaceDN w:val="0"/>
        <w:adjustRightInd w:val="0"/>
        <w:ind w:left="142" w:hanging="142"/>
        <w:jc w:val="both"/>
        <w:rPr>
          <w:lang w:val="en-GB"/>
        </w:rPr>
      </w:pPr>
      <w:r>
        <w:rPr>
          <w:lang w:val="en-GB"/>
        </w:rPr>
        <w:t xml:space="preserve">As in </w:t>
      </w:r>
      <w:r w:rsidR="00BA0B1B">
        <w:rPr>
          <w:i/>
          <w:iCs/>
          <w:lang w:val="en-GB"/>
        </w:rPr>
        <w:t>Weideman</w:t>
      </w:r>
      <w:r w:rsidR="00BA0B1B">
        <w:rPr>
          <w:lang w:val="en-GB"/>
        </w:rPr>
        <w:t xml:space="preserve">, it is appropriate to note that there is no doubt that life imprisonment is an appropriate sentence to impose upon a criminal who </w:t>
      </w:r>
      <w:r w:rsidR="00E562CC">
        <w:rPr>
          <w:lang w:val="en-GB"/>
        </w:rPr>
        <w:t xml:space="preserve">rapes an elderly lady. More so when she is raped more than once. </w:t>
      </w:r>
      <w:r w:rsidR="00550DE2">
        <w:rPr>
          <w:lang w:val="en-GB"/>
        </w:rPr>
        <w:t>The question, however, remains whether it is the appropriate sentence in this instance</w:t>
      </w:r>
      <w:r w:rsidR="00E215ED">
        <w:rPr>
          <w:lang w:val="en-GB"/>
        </w:rPr>
        <w:t>.</w:t>
      </w:r>
    </w:p>
    <w:p w14:paraId="5F4E7D60" w14:textId="77777777" w:rsidR="00E215ED" w:rsidRDefault="00E215ED" w:rsidP="00E215ED">
      <w:pPr>
        <w:pStyle w:val="ListParagraph"/>
        <w:autoSpaceDE w:val="0"/>
        <w:autoSpaceDN w:val="0"/>
        <w:adjustRightInd w:val="0"/>
        <w:ind w:left="142"/>
        <w:jc w:val="both"/>
        <w:rPr>
          <w:lang w:val="en-GB"/>
        </w:rPr>
      </w:pPr>
    </w:p>
    <w:p w14:paraId="20493C8B" w14:textId="052B5908" w:rsidR="009F26AB" w:rsidRPr="009F26AB" w:rsidRDefault="009F26AB" w:rsidP="009F26AB">
      <w:pPr>
        <w:pStyle w:val="ListParagraph"/>
        <w:numPr>
          <w:ilvl w:val="0"/>
          <w:numId w:val="10"/>
        </w:numPr>
        <w:autoSpaceDE w:val="0"/>
        <w:autoSpaceDN w:val="0"/>
        <w:adjustRightInd w:val="0"/>
        <w:ind w:left="142" w:hanging="142"/>
        <w:jc w:val="both"/>
        <w:rPr>
          <w:lang w:val="en-GB"/>
        </w:rPr>
      </w:pPr>
      <w:r>
        <w:rPr>
          <w:lang w:val="en-GB"/>
        </w:rPr>
        <w:t xml:space="preserve">One relevant factor is that the rape did not ‘involve’ the infliction of grievous bodily harm, as </w:t>
      </w:r>
      <w:r w:rsidR="00FA22DB">
        <w:rPr>
          <w:lang w:val="en-GB"/>
        </w:rPr>
        <w:t>argued</w:t>
      </w:r>
      <w:r>
        <w:rPr>
          <w:lang w:val="en-GB"/>
        </w:rPr>
        <w:t xml:space="preserve">. </w:t>
      </w:r>
      <w:r w:rsidRPr="009F26AB">
        <w:rPr>
          <w:lang w:val="en-GB"/>
        </w:rPr>
        <w:t xml:space="preserve">The court in </w:t>
      </w:r>
      <w:r w:rsidRPr="009F26AB">
        <w:rPr>
          <w:i/>
          <w:iCs/>
          <w:lang w:val="en-GB"/>
        </w:rPr>
        <w:t>S v Thole</w:t>
      </w:r>
      <w:r w:rsidRPr="00430469">
        <w:rPr>
          <w:rStyle w:val="FootnoteReference"/>
          <w:lang w:val="en-GB"/>
        </w:rPr>
        <w:footnoteReference w:id="22"/>
      </w:r>
      <w:r w:rsidRPr="009F26AB">
        <w:rPr>
          <w:lang w:val="en-GB"/>
        </w:rPr>
        <w:t xml:space="preserve"> noted that one of the dictionary meanings of the word ‘involved’ is: ‘to include something as a necessary part of an activity, event or situation’. In </w:t>
      </w:r>
      <w:r w:rsidRPr="009F26AB">
        <w:rPr>
          <w:i/>
          <w:iCs/>
          <w:lang w:val="en-GB"/>
        </w:rPr>
        <w:t>Rabako</w:t>
      </w:r>
      <w:r w:rsidR="00BE6F61">
        <w:rPr>
          <w:i/>
          <w:iCs/>
          <w:lang w:val="en-GB"/>
        </w:rPr>
        <w:t xml:space="preserve"> v S</w:t>
      </w:r>
      <w:r w:rsidRPr="009F26AB">
        <w:rPr>
          <w:lang w:val="en-GB"/>
        </w:rPr>
        <w:t>, Musi J equated ‘grievous’ with ‘actually serious’, as follows:</w:t>
      </w:r>
      <w:r w:rsidRPr="00430469">
        <w:rPr>
          <w:rStyle w:val="FootnoteReference"/>
          <w:lang w:val="en-GB"/>
        </w:rPr>
        <w:footnoteReference w:id="23"/>
      </w:r>
      <w:r w:rsidRPr="009F26AB">
        <w:rPr>
          <w:lang w:val="en-GB"/>
        </w:rPr>
        <w:t xml:space="preserve"> </w:t>
      </w:r>
    </w:p>
    <w:p w14:paraId="34A45D30" w14:textId="5EA83545" w:rsidR="009F26AB" w:rsidRDefault="009F26AB" w:rsidP="00FA22DB">
      <w:pPr>
        <w:ind w:left="142"/>
        <w:jc w:val="both"/>
        <w:rPr>
          <w:sz w:val="22"/>
          <w:szCs w:val="22"/>
          <w:lang w:val="en-GB"/>
        </w:rPr>
      </w:pPr>
      <w:r w:rsidRPr="00430469">
        <w:rPr>
          <w:sz w:val="22"/>
          <w:szCs w:val="22"/>
          <w:lang w:val="en-GB"/>
        </w:rPr>
        <w:t xml:space="preserve">‘In essence then, if the injury inflicted by the accused on the body of the rape survivor is serious, then it involves the infliction of grievous bodily harm. A serious injury at one extreme may mean an injury so serious as to endanger life, necessitate hospitalization or result in permanent loss of bodily or mental faculty; at the other, it may include a wound that heals rapidly. It should not be a trivial or insignificant injury…Whether an injury is serious will depend on the facts and circumstances of every case’.  </w:t>
      </w:r>
    </w:p>
    <w:p w14:paraId="761086CF" w14:textId="77777777" w:rsidR="00FA22DB" w:rsidRPr="00430469" w:rsidRDefault="00FA22DB" w:rsidP="00FA22DB">
      <w:pPr>
        <w:ind w:left="142"/>
        <w:jc w:val="both"/>
        <w:rPr>
          <w:sz w:val="22"/>
          <w:szCs w:val="22"/>
          <w:lang w:val="en-GB"/>
        </w:rPr>
      </w:pPr>
    </w:p>
    <w:p w14:paraId="369D57A9" w14:textId="74C97944" w:rsidR="00CC5394" w:rsidRDefault="009F26AB" w:rsidP="003F353D">
      <w:pPr>
        <w:pStyle w:val="ListParagraph"/>
        <w:numPr>
          <w:ilvl w:val="0"/>
          <w:numId w:val="10"/>
        </w:numPr>
        <w:autoSpaceDE w:val="0"/>
        <w:autoSpaceDN w:val="0"/>
        <w:adjustRightInd w:val="0"/>
        <w:ind w:left="142" w:hanging="142"/>
        <w:jc w:val="both"/>
        <w:rPr>
          <w:lang w:val="en-GB"/>
        </w:rPr>
      </w:pPr>
      <w:r>
        <w:rPr>
          <w:lang w:val="en-GB"/>
        </w:rPr>
        <w:lastRenderedPageBreak/>
        <w:t xml:space="preserve"> </w:t>
      </w:r>
      <w:r w:rsidR="002838FF">
        <w:rPr>
          <w:lang w:val="en-GB"/>
        </w:rPr>
        <w:t xml:space="preserve">While the provisions of the Minimum Sentences Act have been triggered for other reasons, the facts do not support a finding of rape involving the infliction of grievous bodily harm. </w:t>
      </w:r>
      <w:r w:rsidR="0008519B">
        <w:rPr>
          <w:lang w:val="en-GB"/>
        </w:rPr>
        <w:t xml:space="preserve">This is confirmed by the judgment of Plasket J in </w:t>
      </w:r>
      <w:r w:rsidR="0008519B">
        <w:rPr>
          <w:i/>
          <w:iCs/>
          <w:lang w:val="en-GB"/>
        </w:rPr>
        <w:t>S v Nkawu</w:t>
      </w:r>
      <w:r w:rsidR="0008519B">
        <w:rPr>
          <w:lang w:val="en-GB"/>
        </w:rPr>
        <w:t>.</w:t>
      </w:r>
      <w:r w:rsidR="0008519B" w:rsidRPr="0008519B">
        <w:rPr>
          <w:rStyle w:val="FootnoteReference"/>
          <w:lang w:val="en-GB"/>
        </w:rPr>
        <w:footnoteReference w:id="24"/>
      </w:r>
      <w:r w:rsidR="0008519B" w:rsidRPr="0008519B">
        <w:rPr>
          <w:lang w:val="en-GB"/>
        </w:rPr>
        <w:t xml:space="preserve"> </w:t>
      </w:r>
      <w:r w:rsidR="0008519B">
        <w:rPr>
          <w:lang w:val="en-GB"/>
        </w:rPr>
        <w:t>In that matter, the accused was convicted of housebreaking with intent to rape and rape. A ten</w:t>
      </w:r>
      <w:r w:rsidR="00885F24">
        <w:rPr>
          <w:lang w:val="en-GB"/>
        </w:rPr>
        <w:t>-</w:t>
      </w:r>
      <w:r w:rsidR="0008519B">
        <w:rPr>
          <w:lang w:val="en-GB"/>
        </w:rPr>
        <w:t xml:space="preserve">year old had been abducted from her home, taken to a secluded spot and raped </w:t>
      </w:r>
      <w:r w:rsidR="0008519B" w:rsidRPr="0008519B">
        <w:rPr>
          <w:i/>
          <w:iCs/>
          <w:lang w:val="en-GB"/>
        </w:rPr>
        <w:t>per anum.</w:t>
      </w:r>
      <w:r w:rsidR="00885F24">
        <w:rPr>
          <w:lang w:val="en-GB"/>
        </w:rPr>
        <w:t xml:space="preserve"> The court held that the psychological trauma suffered was as would be expected and that the injuries, which caused some discomfort and pain, followed relatively minor use of force and were impermanent</w:t>
      </w:r>
      <w:r w:rsidR="00600005">
        <w:rPr>
          <w:lang w:val="en-GB"/>
        </w:rPr>
        <w:t>. The court considered this to be significant in finding the existence of substantial and compelling circumstances.</w:t>
      </w:r>
      <w:r w:rsidR="00600005">
        <w:rPr>
          <w:rStyle w:val="FootnoteReference"/>
          <w:lang w:val="en-GB"/>
        </w:rPr>
        <w:footnoteReference w:id="25"/>
      </w:r>
    </w:p>
    <w:p w14:paraId="14B46B00" w14:textId="77777777" w:rsidR="00CC5394" w:rsidRDefault="00CC5394" w:rsidP="00CC5394">
      <w:pPr>
        <w:pStyle w:val="ListParagraph"/>
        <w:autoSpaceDE w:val="0"/>
        <w:autoSpaceDN w:val="0"/>
        <w:adjustRightInd w:val="0"/>
        <w:ind w:left="142"/>
        <w:jc w:val="both"/>
        <w:rPr>
          <w:lang w:val="en-GB"/>
        </w:rPr>
      </w:pPr>
    </w:p>
    <w:p w14:paraId="44373B49" w14:textId="6010245D" w:rsidR="00550DE2" w:rsidRDefault="00CC5394" w:rsidP="003F353D">
      <w:pPr>
        <w:pStyle w:val="ListParagraph"/>
        <w:numPr>
          <w:ilvl w:val="0"/>
          <w:numId w:val="10"/>
        </w:numPr>
        <w:autoSpaceDE w:val="0"/>
        <w:autoSpaceDN w:val="0"/>
        <w:adjustRightInd w:val="0"/>
        <w:ind w:left="142" w:hanging="142"/>
        <w:jc w:val="both"/>
        <w:rPr>
          <w:lang w:val="en-GB"/>
        </w:rPr>
      </w:pPr>
      <w:r>
        <w:rPr>
          <w:lang w:val="en-GB"/>
        </w:rPr>
        <w:t xml:space="preserve">Courts are reluctant to appear to reward those who seek to utilise intoxication as a defence or excuse for their criminal conduct. </w:t>
      </w:r>
      <w:r w:rsidR="00D73101">
        <w:rPr>
          <w:lang w:val="en-GB"/>
        </w:rPr>
        <w:t>In this case there was testimony about the excessive consumption of alcohol, combined with the use of drugs. The effects were manifest</w:t>
      </w:r>
      <w:r w:rsidR="00AF3D1A">
        <w:rPr>
          <w:lang w:val="en-GB"/>
        </w:rPr>
        <w:t>, resulting in very serious crimes</w:t>
      </w:r>
      <w:r w:rsidR="000F4F4D">
        <w:rPr>
          <w:lang w:val="en-GB"/>
        </w:rPr>
        <w:t xml:space="preserve">. </w:t>
      </w:r>
      <w:r w:rsidR="00D73101">
        <w:rPr>
          <w:lang w:val="en-GB"/>
        </w:rPr>
        <w:t>Mr Teleke fell asleep immediately after raping the complainant, with his pants still down</w:t>
      </w:r>
      <w:r w:rsidR="00186928">
        <w:rPr>
          <w:lang w:val="en-GB"/>
        </w:rPr>
        <w:t>.</w:t>
      </w:r>
      <w:r w:rsidR="00D73101">
        <w:rPr>
          <w:lang w:val="en-GB"/>
        </w:rPr>
        <w:t xml:space="preserve"> </w:t>
      </w:r>
      <w:r w:rsidR="00186928">
        <w:rPr>
          <w:lang w:val="en-GB"/>
        </w:rPr>
        <w:t>He</w:t>
      </w:r>
      <w:r w:rsidR="00D73101">
        <w:rPr>
          <w:lang w:val="en-GB"/>
        </w:rPr>
        <w:t xml:space="preserve"> was found in that state sometime later</w:t>
      </w:r>
      <w:r w:rsidR="00186928">
        <w:rPr>
          <w:lang w:val="en-GB"/>
        </w:rPr>
        <w:t xml:space="preserve"> and</w:t>
      </w:r>
      <w:r w:rsidR="00F556C0">
        <w:rPr>
          <w:lang w:val="en-GB"/>
        </w:rPr>
        <w:t xml:space="preserve"> was disorientated. </w:t>
      </w:r>
      <w:r w:rsidR="00626C29">
        <w:rPr>
          <w:lang w:val="en-GB"/>
        </w:rPr>
        <w:t>While it has been found that Mr Teleke did not lack criminal capacity, and that his various actions were voluntarily and intentionally performed, his state of mind at the time cannot be ignored for purposes of sentencing</w:t>
      </w:r>
      <w:r w:rsidR="003E2855">
        <w:rPr>
          <w:lang w:val="en-GB"/>
        </w:rPr>
        <w:t xml:space="preserve">, </w:t>
      </w:r>
      <w:r w:rsidR="00935EF0">
        <w:rPr>
          <w:lang w:val="en-GB"/>
        </w:rPr>
        <w:t>having contributed to</w:t>
      </w:r>
      <w:r w:rsidR="003E2855">
        <w:rPr>
          <w:lang w:val="en-GB"/>
        </w:rPr>
        <w:t xml:space="preserve"> spontaneous criminal behaviour</w:t>
      </w:r>
      <w:r w:rsidR="00626C29">
        <w:rPr>
          <w:lang w:val="en-GB"/>
        </w:rPr>
        <w:t xml:space="preserve">. </w:t>
      </w:r>
      <w:r w:rsidR="00414D46">
        <w:rPr>
          <w:lang w:val="en-GB"/>
        </w:rPr>
        <w:t xml:space="preserve">Considering the available facts in their totality, in particular that Mr Teleke is a first offender and that the court has accepted that alcohol and drugs played a major role in his conduct, I am of the view that substantial and compelling circumstances exist. </w:t>
      </w:r>
      <w:r w:rsidR="00E853A3">
        <w:rPr>
          <w:lang w:val="en-GB"/>
        </w:rPr>
        <w:t>In this instance these considerations are, in my view, not light or flimsy</w:t>
      </w:r>
      <w:r w:rsidR="00FB5307">
        <w:rPr>
          <w:lang w:val="en-GB"/>
        </w:rPr>
        <w:t xml:space="preserve">. </w:t>
      </w:r>
      <w:r w:rsidR="00414D46">
        <w:rPr>
          <w:lang w:val="en-GB"/>
        </w:rPr>
        <w:t xml:space="preserve">The retributive dimensions of punishment may be satisfied through imposition of a lengthy </w:t>
      </w:r>
      <w:r w:rsidR="00941BDA">
        <w:rPr>
          <w:lang w:val="en-GB"/>
        </w:rPr>
        <w:t>period</w:t>
      </w:r>
      <w:r w:rsidR="00414D46">
        <w:rPr>
          <w:lang w:val="en-GB"/>
        </w:rPr>
        <w:t xml:space="preserve"> of imprisonment. </w:t>
      </w:r>
    </w:p>
    <w:p w14:paraId="261C37B7" w14:textId="77777777" w:rsidR="00D24417" w:rsidRPr="00D24417" w:rsidRDefault="00D24417" w:rsidP="00D24417">
      <w:pPr>
        <w:pStyle w:val="ListParagraph"/>
        <w:rPr>
          <w:lang w:val="en-GB"/>
        </w:rPr>
      </w:pPr>
    </w:p>
    <w:p w14:paraId="1286F352" w14:textId="77777777" w:rsidR="00F70D10" w:rsidRDefault="00400EB6" w:rsidP="008A0931">
      <w:pPr>
        <w:pStyle w:val="ListParagraph"/>
        <w:numPr>
          <w:ilvl w:val="0"/>
          <w:numId w:val="10"/>
        </w:numPr>
        <w:autoSpaceDE w:val="0"/>
        <w:autoSpaceDN w:val="0"/>
        <w:adjustRightInd w:val="0"/>
        <w:ind w:left="142" w:hanging="142"/>
        <w:jc w:val="both"/>
        <w:rPr>
          <w:lang w:val="en-GB"/>
        </w:rPr>
      </w:pPr>
      <w:r w:rsidRPr="00084262">
        <w:rPr>
          <w:lang w:val="en-GB"/>
        </w:rPr>
        <w:t>It is so that sentencing courts cannot keep on imposing more and more severe sentences simply because the particular crime is prevalent or on the increase.</w:t>
      </w:r>
      <w:r>
        <w:rPr>
          <w:rStyle w:val="FootnoteReference"/>
          <w:lang w:val="en-GB"/>
        </w:rPr>
        <w:footnoteReference w:id="26"/>
      </w:r>
      <w:r w:rsidRPr="00084262">
        <w:rPr>
          <w:lang w:val="en-GB"/>
        </w:rPr>
        <w:t xml:space="preserve"> </w:t>
      </w:r>
      <w:r w:rsidR="00DD4464">
        <w:rPr>
          <w:lang w:val="en-GB"/>
        </w:rPr>
        <w:t xml:space="preserve">In </w:t>
      </w:r>
      <w:r w:rsidR="00DD4464">
        <w:rPr>
          <w:i/>
          <w:iCs/>
          <w:lang w:val="en-GB"/>
        </w:rPr>
        <w:lastRenderedPageBreak/>
        <w:t>Madolwana v The State</w:t>
      </w:r>
      <w:r w:rsidR="00DD4464">
        <w:rPr>
          <w:lang w:val="en-GB"/>
        </w:rPr>
        <w:t>,</w:t>
      </w:r>
      <w:r w:rsidR="00DD4464">
        <w:rPr>
          <w:rStyle w:val="FootnoteReference"/>
          <w:lang w:val="en-GB"/>
        </w:rPr>
        <w:footnoteReference w:id="27"/>
      </w:r>
      <w:r w:rsidR="00DD4464">
        <w:rPr>
          <w:lang w:val="en-GB"/>
        </w:rPr>
        <w:t xml:space="preserve"> an elderly woman aged 70 was severely assaulted and raped, slipping in and out of consciousness during her attack. Substantial and compelling circumstances existed in the form of a lack of premeditation and the effect of alcohol on the appellant’s actions. The appellant was not a first offender, having been sentenced to four years’ imprisonment for indecent assault. The trial court’s conclusion and the 25-year period of imprisonment that was the outcome were confirmed by the court on appeal. </w:t>
      </w:r>
      <w:r w:rsidR="00DD4464">
        <w:rPr>
          <w:i/>
          <w:iCs/>
          <w:lang w:val="en-GB"/>
        </w:rPr>
        <w:t xml:space="preserve"> </w:t>
      </w:r>
      <w:r w:rsidR="00DD4464">
        <w:rPr>
          <w:lang w:val="en-GB"/>
        </w:rPr>
        <w:t xml:space="preserve">The facts in that matter are a useful starting point in considering an appropriate sentence in this instance. </w:t>
      </w:r>
    </w:p>
    <w:p w14:paraId="5E315772" w14:textId="77777777" w:rsidR="00F70D10" w:rsidRPr="00F70D10" w:rsidRDefault="00F70D10" w:rsidP="00F70D10">
      <w:pPr>
        <w:pStyle w:val="ListParagraph"/>
        <w:rPr>
          <w:lang w:val="en-GB"/>
        </w:rPr>
      </w:pPr>
    </w:p>
    <w:p w14:paraId="1AE30B23" w14:textId="7EE999A2" w:rsidR="008A0931" w:rsidRDefault="00FB5307" w:rsidP="008A0931">
      <w:pPr>
        <w:pStyle w:val="ListParagraph"/>
        <w:numPr>
          <w:ilvl w:val="0"/>
          <w:numId w:val="10"/>
        </w:numPr>
        <w:autoSpaceDE w:val="0"/>
        <w:autoSpaceDN w:val="0"/>
        <w:adjustRightInd w:val="0"/>
        <w:ind w:left="142" w:hanging="142"/>
        <w:jc w:val="both"/>
        <w:rPr>
          <w:lang w:val="en-GB"/>
        </w:rPr>
      </w:pPr>
      <w:r w:rsidRPr="00084262">
        <w:rPr>
          <w:lang w:val="en-GB"/>
        </w:rPr>
        <w:t>The nature of the crime and society’s interest in protecting vulnerable persons from horrendous experiences, and in tackling rape as an affront to an acceptable way of life</w:t>
      </w:r>
      <w:r w:rsidR="009A6B7A">
        <w:rPr>
          <w:lang w:val="en-GB"/>
        </w:rPr>
        <w:t>,</w:t>
      </w:r>
      <w:r w:rsidRPr="00084262">
        <w:rPr>
          <w:lang w:val="en-GB"/>
        </w:rPr>
        <w:t xml:space="preserve"> warrants a severe sentence. </w:t>
      </w:r>
      <w:r w:rsidR="00F06A47">
        <w:rPr>
          <w:lang w:val="en-GB"/>
        </w:rPr>
        <w:t xml:space="preserve">In addition to the complainant’s age, </w:t>
      </w:r>
      <w:r w:rsidR="00F03286">
        <w:rPr>
          <w:lang w:val="en-GB"/>
        </w:rPr>
        <w:t xml:space="preserve">I am particularly cognisant </w:t>
      </w:r>
      <w:r w:rsidR="00855600">
        <w:rPr>
          <w:lang w:val="en-GB"/>
        </w:rPr>
        <w:t xml:space="preserve">of the fact that the complainant was raped more than once, on the second occasion being forced to turn over, and </w:t>
      </w:r>
      <w:r w:rsidR="00233297">
        <w:rPr>
          <w:lang w:val="en-GB"/>
        </w:rPr>
        <w:t>also</w:t>
      </w:r>
      <w:r w:rsidR="00855600">
        <w:rPr>
          <w:lang w:val="en-GB"/>
        </w:rPr>
        <w:t xml:space="preserve"> being hit with fists.</w:t>
      </w:r>
      <w:r w:rsidR="00761C36">
        <w:rPr>
          <w:rStyle w:val="FootnoteReference"/>
          <w:lang w:val="en-GB"/>
        </w:rPr>
        <w:footnoteReference w:id="28"/>
      </w:r>
      <w:r w:rsidR="009A6B7A">
        <w:rPr>
          <w:lang w:val="en-GB"/>
        </w:rPr>
        <w:t xml:space="preserve"> </w:t>
      </w:r>
      <w:r w:rsidRPr="00084262">
        <w:rPr>
          <w:lang w:val="en-GB"/>
        </w:rPr>
        <w:t xml:space="preserve">These factors far outweigh Mr Teleke’s personal situation and the circumstances that resulted in his </w:t>
      </w:r>
      <w:r w:rsidR="00307B60" w:rsidRPr="00084262">
        <w:rPr>
          <w:lang w:val="en-GB"/>
        </w:rPr>
        <w:t>criminal behaviour.</w:t>
      </w:r>
      <w:r w:rsidR="00F03286">
        <w:rPr>
          <w:lang w:val="en-GB"/>
        </w:rPr>
        <w:t xml:space="preserve"> </w:t>
      </w:r>
      <w:r w:rsidR="00307B60" w:rsidRPr="00084262">
        <w:rPr>
          <w:lang w:val="en-GB"/>
        </w:rPr>
        <w:t xml:space="preserve"> Bearing in mind </w:t>
      </w:r>
      <w:r w:rsidR="002763E0" w:rsidRPr="00084262">
        <w:rPr>
          <w:lang w:val="en-GB"/>
        </w:rPr>
        <w:t>the time already spent in custody, I consider a sentence of 2</w:t>
      </w:r>
      <w:r w:rsidR="00CA7A32">
        <w:rPr>
          <w:lang w:val="en-GB"/>
        </w:rPr>
        <w:t>2</w:t>
      </w:r>
      <w:r w:rsidR="002763E0" w:rsidRPr="00084262">
        <w:rPr>
          <w:lang w:val="en-GB"/>
        </w:rPr>
        <w:t xml:space="preserve"> years’ imprisonment to be appropriate for the rape conviction. </w:t>
      </w:r>
      <w:r w:rsidR="00320D2B" w:rsidRPr="00084262">
        <w:rPr>
          <w:lang w:val="en-GB"/>
        </w:rPr>
        <w:t xml:space="preserve"> </w:t>
      </w:r>
      <w:r w:rsidR="00034033">
        <w:rPr>
          <w:lang w:val="en-GB"/>
        </w:rPr>
        <w:t>As to the crime of housebreaking with intent to commit rape, a sentence of five years’ imprisonment is appropriate.</w:t>
      </w:r>
      <w:r w:rsidR="0008519B">
        <w:rPr>
          <w:lang w:val="en-GB"/>
        </w:rPr>
        <w:t xml:space="preserve"> </w:t>
      </w:r>
      <w:r w:rsidR="00D03D80">
        <w:rPr>
          <w:lang w:val="en-GB"/>
        </w:rPr>
        <w:t>These sentences are to run concurrently.</w:t>
      </w:r>
    </w:p>
    <w:p w14:paraId="0E35668C" w14:textId="2E73EB61" w:rsidR="00BF5519" w:rsidRDefault="00BF5519" w:rsidP="00BF5519">
      <w:pPr>
        <w:autoSpaceDE w:val="0"/>
        <w:autoSpaceDN w:val="0"/>
        <w:adjustRightInd w:val="0"/>
        <w:jc w:val="both"/>
        <w:rPr>
          <w:lang w:val="en-GB"/>
        </w:rPr>
      </w:pPr>
    </w:p>
    <w:p w14:paraId="3019A8D4" w14:textId="77777777" w:rsidR="00C562B6" w:rsidRDefault="00C562B6" w:rsidP="00BF5519">
      <w:pPr>
        <w:autoSpaceDE w:val="0"/>
        <w:autoSpaceDN w:val="0"/>
        <w:adjustRightInd w:val="0"/>
        <w:jc w:val="both"/>
        <w:rPr>
          <w:lang w:val="en-GB"/>
        </w:rPr>
      </w:pPr>
    </w:p>
    <w:p w14:paraId="49128F04" w14:textId="7C21FC45" w:rsidR="00034140" w:rsidRDefault="00BF5519" w:rsidP="00BF5519">
      <w:pPr>
        <w:autoSpaceDE w:val="0"/>
        <w:autoSpaceDN w:val="0"/>
        <w:adjustRightInd w:val="0"/>
        <w:jc w:val="both"/>
        <w:rPr>
          <w:b/>
          <w:bCs/>
          <w:lang w:val="en-GB"/>
        </w:rPr>
      </w:pPr>
      <w:r>
        <w:rPr>
          <w:b/>
          <w:bCs/>
          <w:lang w:val="en-GB"/>
        </w:rPr>
        <w:t>Order</w:t>
      </w:r>
    </w:p>
    <w:p w14:paraId="3ED7EE95" w14:textId="77777777" w:rsidR="00034140" w:rsidRPr="00BF5519" w:rsidRDefault="00034140" w:rsidP="00BF5519">
      <w:pPr>
        <w:autoSpaceDE w:val="0"/>
        <w:autoSpaceDN w:val="0"/>
        <w:adjustRightInd w:val="0"/>
        <w:jc w:val="both"/>
        <w:rPr>
          <w:b/>
          <w:bCs/>
          <w:lang w:val="en-GB"/>
        </w:rPr>
      </w:pPr>
    </w:p>
    <w:p w14:paraId="1AAFABE0" w14:textId="0F16C5BB" w:rsidR="004941FB" w:rsidRDefault="00BF5519" w:rsidP="009668FC">
      <w:pPr>
        <w:pStyle w:val="ListParagraph"/>
        <w:numPr>
          <w:ilvl w:val="0"/>
          <w:numId w:val="10"/>
        </w:numPr>
        <w:autoSpaceDE w:val="0"/>
        <w:autoSpaceDN w:val="0"/>
        <w:adjustRightInd w:val="0"/>
        <w:ind w:left="142" w:hanging="142"/>
        <w:jc w:val="both"/>
        <w:rPr>
          <w:lang w:val="en-GB"/>
        </w:rPr>
      </w:pPr>
      <w:r>
        <w:rPr>
          <w:lang w:val="en-GB"/>
        </w:rPr>
        <w:t>The accused is sentenced as follows:</w:t>
      </w:r>
    </w:p>
    <w:p w14:paraId="77AC4443" w14:textId="77777777" w:rsidR="00C530EE" w:rsidRDefault="00C530EE" w:rsidP="00C530EE">
      <w:pPr>
        <w:pStyle w:val="ListParagraph"/>
        <w:autoSpaceDE w:val="0"/>
        <w:autoSpaceDN w:val="0"/>
        <w:adjustRightInd w:val="0"/>
        <w:ind w:left="142"/>
        <w:jc w:val="both"/>
        <w:rPr>
          <w:lang w:val="en-GB"/>
        </w:rPr>
      </w:pPr>
    </w:p>
    <w:p w14:paraId="4B2F6552" w14:textId="6F9122A2" w:rsidR="00BF5519" w:rsidRDefault="00BF5519" w:rsidP="00BF5519">
      <w:pPr>
        <w:pStyle w:val="ListParagraph"/>
        <w:numPr>
          <w:ilvl w:val="0"/>
          <w:numId w:val="13"/>
        </w:numPr>
        <w:autoSpaceDE w:val="0"/>
        <w:autoSpaceDN w:val="0"/>
        <w:adjustRightInd w:val="0"/>
        <w:jc w:val="both"/>
        <w:rPr>
          <w:lang w:val="en-GB"/>
        </w:rPr>
      </w:pPr>
      <w:r>
        <w:rPr>
          <w:lang w:val="en-GB"/>
        </w:rPr>
        <w:t xml:space="preserve">Count 1: </w:t>
      </w:r>
      <w:r w:rsidR="00C562B6">
        <w:rPr>
          <w:lang w:val="en-GB"/>
        </w:rPr>
        <w:t>Housebreaking with intent to commit rape: 5 years’ imprisonment;</w:t>
      </w:r>
    </w:p>
    <w:p w14:paraId="51579051" w14:textId="77777777" w:rsidR="0047684B" w:rsidRDefault="0047684B" w:rsidP="0047684B">
      <w:pPr>
        <w:pStyle w:val="ListParagraph"/>
        <w:autoSpaceDE w:val="0"/>
        <w:autoSpaceDN w:val="0"/>
        <w:adjustRightInd w:val="0"/>
        <w:ind w:left="1080"/>
        <w:jc w:val="both"/>
        <w:rPr>
          <w:lang w:val="en-GB"/>
        </w:rPr>
      </w:pPr>
    </w:p>
    <w:p w14:paraId="187ED652" w14:textId="2EB85BEF" w:rsidR="00BF5519" w:rsidRDefault="00BF5519" w:rsidP="00BF5519">
      <w:pPr>
        <w:pStyle w:val="ListParagraph"/>
        <w:numPr>
          <w:ilvl w:val="0"/>
          <w:numId w:val="13"/>
        </w:numPr>
        <w:autoSpaceDE w:val="0"/>
        <w:autoSpaceDN w:val="0"/>
        <w:adjustRightInd w:val="0"/>
        <w:jc w:val="both"/>
        <w:rPr>
          <w:lang w:val="en-GB"/>
        </w:rPr>
      </w:pPr>
      <w:r>
        <w:rPr>
          <w:lang w:val="en-GB"/>
        </w:rPr>
        <w:t xml:space="preserve">Count 2: </w:t>
      </w:r>
      <w:r w:rsidR="00C562B6">
        <w:rPr>
          <w:lang w:val="en-GB"/>
        </w:rPr>
        <w:t>Rape: 2</w:t>
      </w:r>
      <w:r w:rsidR="00CA7A32">
        <w:rPr>
          <w:lang w:val="en-GB"/>
        </w:rPr>
        <w:t>2</w:t>
      </w:r>
      <w:r w:rsidR="00C562B6">
        <w:rPr>
          <w:lang w:val="en-GB"/>
        </w:rPr>
        <w:t xml:space="preserve"> years’ imprisonment.</w:t>
      </w:r>
    </w:p>
    <w:p w14:paraId="3D055CA9" w14:textId="5E69D346" w:rsidR="0047684B" w:rsidRPr="00CA7A32" w:rsidRDefault="0047684B" w:rsidP="00CA7A32">
      <w:pPr>
        <w:autoSpaceDE w:val="0"/>
        <w:autoSpaceDN w:val="0"/>
        <w:adjustRightInd w:val="0"/>
        <w:jc w:val="both"/>
        <w:rPr>
          <w:lang w:val="en-GB"/>
        </w:rPr>
      </w:pPr>
    </w:p>
    <w:p w14:paraId="333AF964" w14:textId="5FE4A755" w:rsidR="00C44FCC" w:rsidRDefault="0078534D" w:rsidP="00CA7A32">
      <w:pPr>
        <w:autoSpaceDE w:val="0"/>
        <w:autoSpaceDN w:val="0"/>
        <w:adjustRightInd w:val="0"/>
        <w:ind w:left="720"/>
        <w:jc w:val="both"/>
        <w:rPr>
          <w:lang w:val="en-GB"/>
        </w:rPr>
      </w:pPr>
      <w:r w:rsidRPr="00CA7A32">
        <w:rPr>
          <w:lang w:val="en-GB"/>
        </w:rPr>
        <w:lastRenderedPageBreak/>
        <w:t>It is directed that t</w:t>
      </w:r>
      <w:r w:rsidR="00C44FCC" w:rsidRPr="00CA7A32">
        <w:rPr>
          <w:lang w:val="en-GB"/>
        </w:rPr>
        <w:t xml:space="preserve">he sentence </w:t>
      </w:r>
      <w:r w:rsidRPr="00CA7A32">
        <w:rPr>
          <w:lang w:val="en-GB"/>
        </w:rPr>
        <w:t>imposed in respect of</w:t>
      </w:r>
      <w:r w:rsidR="00C44FCC" w:rsidRPr="00CA7A32">
        <w:rPr>
          <w:lang w:val="en-GB"/>
        </w:rPr>
        <w:t xml:space="preserve"> count </w:t>
      </w:r>
      <w:r w:rsidR="00CA7A32">
        <w:rPr>
          <w:lang w:val="en-GB"/>
        </w:rPr>
        <w:t>1</w:t>
      </w:r>
      <w:r w:rsidR="00C44FCC" w:rsidRPr="00CA7A32">
        <w:rPr>
          <w:lang w:val="en-GB"/>
        </w:rPr>
        <w:t xml:space="preserve"> </w:t>
      </w:r>
      <w:r w:rsidR="00684559" w:rsidRPr="00CA7A32">
        <w:rPr>
          <w:lang w:val="en-GB"/>
        </w:rPr>
        <w:t xml:space="preserve">shall be served concurrently with the sentence imposed in respect of count </w:t>
      </w:r>
      <w:r w:rsidR="00CA7A32">
        <w:rPr>
          <w:lang w:val="en-GB"/>
        </w:rPr>
        <w:t>2</w:t>
      </w:r>
      <w:r w:rsidR="00684559" w:rsidRPr="00CA7A32">
        <w:rPr>
          <w:lang w:val="en-GB"/>
        </w:rPr>
        <w:t>, giving an effective sentence of 2</w:t>
      </w:r>
      <w:r w:rsidR="00CA7A32">
        <w:rPr>
          <w:lang w:val="en-GB"/>
        </w:rPr>
        <w:t>2</w:t>
      </w:r>
      <w:r w:rsidR="00684559" w:rsidRPr="00CA7A32">
        <w:rPr>
          <w:lang w:val="en-GB"/>
        </w:rPr>
        <w:t xml:space="preserve"> years.</w:t>
      </w:r>
    </w:p>
    <w:p w14:paraId="61F45AAB" w14:textId="76473672" w:rsidR="00A75B14" w:rsidRDefault="00A75B14" w:rsidP="00CA7A32">
      <w:pPr>
        <w:autoSpaceDE w:val="0"/>
        <w:autoSpaceDN w:val="0"/>
        <w:adjustRightInd w:val="0"/>
        <w:ind w:left="720"/>
        <w:jc w:val="both"/>
        <w:rPr>
          <w:lang w:val="en-GB"/>
        </w:rPr>
      </w:pPr>
    </w:p>
    <w:p w14:paraId="2500BBEF" w14:textId="283697DE" w:rsidR="00A75B14" w:rsidRDefault="00A75B14" w:rsidP="00CA7A32">
      <w:pPr>
        <w:autoSpaceDE w:val="0"/>
        <w:autoSpaceDN w:val="0"/>
        <w:adjustRightInd w:val="0"/>
        <w:ind w:left="720"/>
        <w:jc w:val="both"/>
        <w:rPr>
          <w:lang w:val="en-GB"/>
        </w:rPr>
      </w:pPr>
    </w:p>
    <w:p w14:paraId="516CE388" w14:textId="77777777" w:rsidR="00A75B14" w:rsidRPr="00CA7A32" w:rsidRDefault="00A75B14" w:rsidP="00CA7A32">
      <w:pPr>
        <w:autoSpaceDE w:val="0"/>
        <w:autoSpaceDN w:val="0"/>
        <w:adjustRightInd w:val="0"/>
        <w:ind w:left="720"/>
        <w:jc w:val="both"/>
        <w:rPr>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77777777" w:rsidR="00D450B5" w:rsidRPr="00044B50" w:rsidRDefault="00D450B5" w:rsidP="004A5151">
      <w:pPr>
        <w:ind w:left="4320" w:firstLine="720"/>
        <w:jc w:val="both"/>
        <w:rPr>
          <w:b/>
          <w:bCs/>
          <w:lang w:val="en-GB"/>
        </w:rPr>
      </w:pPr>
      <w:r w:rsidRPr="00044B50">
        <w:rPr>
          <w:b/>
          <w:bCs/>
          <w:lang w:val="en-GB"/>
        </w:rPr>
        <w:t>JUDGE OF THE HIGH COURT</w:t>
      </w:r>
    </w:p>
    <w:p w14:paraId="56442A86" w14:textId="6924A04D" w:rsidR="00AA32DA" w:rsidRDefault="00AA32DA" w:rsidP="004A5151">
      <w:pPr>
        <w:autoSpaceDE w:val="0"/>
        <w:autoSpaceDN w:val="0"/>
        <w:adjustRightInd w:val="0"/>
        <w:jc w:val="both"/>
        <w:rPr>
          <w:lang w:val="en-GB"/>
        </w:rPr>
      </w:pPr>
    </w:p>
    <w:p w14:paraId="3D26A2FB" w14:textId="77777777" w:rsidR="00E00FCD" w:rsidRDefault="00E00FCD" w:rsidP="004A5151">
      <w:pPr>
        <w:autoSpaceDE w:val="0"/>
        <w:autoSpaceDN w:val="0"/>
        <w:adjustRightInd w:val="0"/>
        <w:jc w:val="both"/>
        <w:rPr>
          <w:lang w:val="en-GB"/>
        </w:rPr>
      </w:pPr>
    </w:p>
    <w:p w14:paraId="04EEEF0A" w14:textId="3805F9E9" w:rsidR="007A7BBE" w:rsidRPr="0047684B" w:rsidRDefault="007A7BBE" w:rsidP="007A7BBE">
      <w:pPr>
        <w:widowControl w:val="0"/>
        <w:jc w:val="right"/>
        <w:rPr>
          <w:b/>
          <w:spacing w:val="14"/>
          <w:kern w:val="2"/>
          <w:lang w:val="en-GB"/>
        </w:rPr>
      </w:pPr>
      <w:r w:rsidRPr="0047684B">
        <w:rPr>
          <w:b/>
          <w:spacing w:val="14"/>
          <w:kern w:val="2"/>
          <w:lang w:val="en-GB"/>
        </w:rPr>
        <w:t>Heard:</w:t>
      </w:r>
      <w:r w:rsidR="00034140">
        <w:rPr>
          <w:b/>
          <w:spacing w:val="14"/>
          <w:kern w:val="2"/>
          <w:lang w:val="en-GB"/>
        </w:rPr>
        <w:t>12 April 2022</w:t>
      </w:r>
    </w:p>
    <w:p w14:paraId="5D550954" w14:textId="71E6A1BB" w:rsidR="007A7BBE" w:rsidRPr="0047684B" w:rsidRDefault="007A7BBE" w:rsidP="007A7BBE">
      <w:pPr>
        <w:widowControl w:val="0"/>
        <w:jc w:val="right"/>
        <w:rPr>
          <w:b/>
          <w:spacing w:val="14"/>
          <w:kern w:val="2"/>
          <w:lang w:val="en-GB"/>
        </w:rPr>
      </w:pPr>
      <w:r w:rsidRPr="0047684B">
        <w:rPr>
          <w:b/>
          <w:spacing w:val="14"/>
          <w:kern w:val="2"/>
          <w:lang w:val="en-GB"/>
        </w:rPr>
        <w:t>Delivered:</w:t>
      </w:r>
      <w:r w:rsidR="00D0537F">
        <w:rPr>
          <w:b/>
          <w:spacing w:val="14"/>
          <w:kern w:val="2"/>
          <w:lang w:val="en-GB"/>
        </w:rPr>
        <w:t>15 June</w:t>
      </w:r>
      <w:r w:rsidR="00034140">
        <w:rPr>
          <w:b/>
          <w:spacing w:val="14"/>
          <w:kern w:val="2"/>
          <w:lang w:val="en-GB"/>
        </w:rPr>
        <w:t xml:space="preserve"> 2022</w:t>
      </w:r>
    </w:p>
    <w:p w14:paraId="2EB52A27" w14:textId="77777777" w:rsidR="0047684B" w:rsidRPr="00451115" w:rsidRDefault="0047684B" w:rsidP="007A7BBE">
      <w:pPr>
        <w:widowControl w:val="0"/>
        <w:jc w:val="right"/>
        <w:rPr>
          <w:spacing w:val="14"/>
          <w:kern w:val="2"/>
          <w:lang w:val="en-GB"/>
        </w:rPr>
      </w:pPr>
    </w:p>
    <w:p w14:paraId="57EE545D" w14:textId="77777777" w:rsidR="00034140" w:rsidRPr="00245CF8" w:rsidRDefault="00034140" w:rsidP="00034140">
      <w:pPr>
        <w:jc w:val="both"/>
        <w:rPr>
          <w:color w:val="auto"/>
          <w:lang w:val="en-GB"/>
        </w:rPr>
      </w:pPr>
      <w:r w:rsidRPr="00245CF8">
        <w:rPr>
          <w:color w:val="auto"/>
          <w:lang w:val="en-GB"/>
        </w:rPr>
        <w:t>Appearances:</w:t>
      </w:r>
    </w:p>
    <w:p w14:paraId="6D276034" w14:textId="77777777" w:rsidR="00034140" w:rsidRPr="00245CF8" w:rsidRDefault="00034140" w:rsidP="00034140">
      <w:pPr>
        <w:jc w:val="both"/>
        <w:rPr>
          <w:color w:val="auto"/>
          <w:lang w:val="en-GB"/>
        </w:rPr>
      </w:pPr>
    </w:p>
    <w:p w14:paraId="1AA2A4BA" w14:textId="09ACEF78" w:rsidR="00034140" w:rsidRDefault="00034140" w:rsidP="00214200">
      <w:pPr>
        <w:tabs>
          <w:tab w:val="left" w:pos="3261"/>
          <w:tab w:val="center" w:pos="4003"/>
        </w:tabs>
        <w:jc w:val="both"/>
        <w:rPr>
          <w:color w:val="auto"/>
        </w:rPr>
      </w:pPr>
      <w:r w:rsidRPr="00245CF8">
        <w:rPr>
          <w:color w:val="auto"/>
        </w:rPr>
        <w:t>Counsel for the State:</w:t>
      </w:r>
      <w:r w:rsidRPr="00245CF8">
        <w:rPr>
          <w:color w:val="auto"/>
        </w:rPr>
        <w:tab/>
        <w:t xml:space="preserve">Adv </w:t>
      </w:r>
      <w:r>
        <w:rPr>
          <w:color w:val="auto"/>
        </w:rPr>
        <w:t>H.</w:t>
      </w:r>
      <w:r w:rsidRPr="00245CF8">
        <w:rPr>
          <w:color w:val="auto"/>
        </w:rPr>
        <w:t xml:space="preserve"> </w:t>
      </w:r>
      <w:r>
        <w:rPr>
          <w:color w:val="auto"/>
        </w:rPr>
        <w:t>Pienaa</w:t>
      </w:r>
      <w:r w:rsidR="00A86419">
        <w:rPr>
          <w:color w:val="auto"/>
        </w:rPr>
        <w:t>r</w:t>
      </w:r>
    </w:p>
    <w:p w14:paraId="6C963488" w14:textId="77777777" w:rsidR="00034140" w:rsidRPr="00245CF8" w:rsidRDefault="00034140" w:rsidP="00034140">
      <w:pPr>
        <w:tabs>
          <w:tab w:val="left" w:pos="3261"/>
          <w:tab w:val="center" w:pos="4003"/>
        </w:tabs>
        <w:jc w:val="both"/>
        <w:rPr>
          <w:color w:val="auto"/>
        </w:rPr>
      </w:pPr>
      <w:r>
        <w:rPr>
          <w:color w:val="auto"/>
        </w:rPr>
        <w:tab/>
      </w:r>
      <w:r w:rsidRPr="00245CF8">
        <w:rPr>
          <w:color w:val="auto"/>
        </w:rPr>
        <w:t>Director of Public Prosecutions</w:t>
      </w:r>
    </w:p>
    <w:p w14:paraId="596A31C0" w14:textId="77777777" w:rsidR="00034140" w:rsidRPr="00245CF8" w:rsidRDefault="00034140" w:rsidP="00034140">
      <w:pPr>
        <w:tabs>
          <w:tab w:val="left" w:pos="3261"/>
          <w:tab w:val="center" w:pos="4003"/>
        </w:tabs>
        <w:jc w:val="both"/>
        <w:rPr>
          <w:color w:val="auto"/>
        </w:rPr>
      </w:pPr>
      <w:r w:rsidRPr="00245CF8">
        <w:rPr>
          <w:color w:val="auto"/>
        </w:rPr>
        <w:t xml:space="preserve">                                                 Makhanda</w:t>
      </w:r>
    </w:p>
    <w:p w14:paraId="5A0385C3" w14:textId="77777777" w:rsidR="00034140" w:rsidRPr="00245CF8" w:rsidRDefault="00034140" w:rsidP="00034140">
      <w:pPr>
        <w:tabs>
          <w:tab w:val="left" w:pos="3261"/>
          <w:tab w:val="left" w:pos="3402"/>
          <w:tab w:val="left" w:pos="3686"/>
          <w:tab w:val="center" w:pos="4003"/>
        </w:tabs>
        <w:jc w:val="both"/>
        <w:rPr>
          <w:color w:val="auto"/>
        </w:rPr>
      </w:pPr>
      <w:r w:rsidRPr="00245CF8">
        <w:rPr>
          <w:color w:val="auto"/>
        </w:rPr>
        <w:t xml:space="preserve">                                                 046 602 3000</w:t>
      </w:r>
    </w:p>
    <w:p w14:paraId="542F8313" w14:textId="77777777" w:rsidR="00034140" w:rsidRDefault="00034140" w:rsidP="00034140">
      <w:pPr>
        <w:tabs>
          <w:tab w:val="center" w:pos="3989"/>
        </w:tabs>
        <w:rPr>
          <w:color w:val="auto"/>
        </w:rPr>
      </w:pPr>
    </w:p>
    <w:p w14:paraId="3DC445B2" w14:textId="0B3BF3D9" w:rsidR="00034140" w:rsidRPr="00245CF8" w:rsidRDefault="00034140" w:rsidP="00214200">
      <w:pPr>
        <w:tabs>
          <w:tab w:val="left" w:pos="3261"/>
        </w:tabs>
        <w:rPr>
          <w:color w:val="auto"/>
        </w:rPr>
      </w:pPr>
      <w:r>
        <w:rPr>
          <w:color w:val="auto"/>
        </w:rPr>
        <w:t xml:space="preserve">Attorney for </w:t>
      </w:r>
      <w:r w:rsidR="00214200">
        <w:rPr>
          <w:color w:val="auto"/>
        </w:rPr>
        <w:t>Accused:</w:t>
      </w:r>
      <w:r w:rsidR="00214200">
        <w:rPr>
          <w:color w:val="auto"/>
        </w:rPr>
        <w:tab/>
      </w:r>
      <w:r w:rsidRPr="00245CF8">
        <w:rPr>
          <w:color w:val="auto"/>
        </w:rPr>
        <w:t xml:space="preserve">Mr </w:t>
      </w:r>
      <w:r>
        <w:rPr>
          <w:color w:val="auto"/>
        </w:rPr>
        <w:t>T.</w:t>
      </w:r>
      <w:r w:rsidRPr="00245CF8">
        <w:rPr>
          <w:color w:val="auto"/>
        </w:rPr>
        <w:t xml:space="preserve"> </w:t>
      </w:r>
      <w:r>
        <w:rPr>
          <w:color w:val="auto"/>
        </w:rPr>
        <w:t>Solani</w:t>
      </w:r>
    </w:p>
    <w:p w14:paraId="2DB296AE" w14:textId="6F9728F9" w:rsidR="00034140" w:rsidRPr="00245CF8" w:rsidRDefault="00034140" w:rsidP="00034140">
      <w:pPr>
        <w:tabs>
          <w:tab w:val="left" w:pos="3261"/>
          <w:tab w:val="center" w:pos="3989"/>
        </w:tabs>
        <w:rPr>
          <w:color w:val="auto"/>
        </w:rPr>
      </w:pPr>
      <w:r w:rsidRPr="00245CF8">
        <w:rPr>
          <w:color w:val="auto"/>
        </w:rPr>
        <w:t xml:space="preserve">                 </w:t>
      </w:r>
      <w:r w:rsidR="00214200">
        <w:rPr>
          <w:color w:val="auto"/>
        </w:rPr>
        <w:t xml:space="preserve">                      </w:t>
      </w:r>
      <w:r w:rsidR="00214200">
        <w:rPr>
          <w:color w:val="auto"/>
        </w:rPr>
        <w:tab/>
      </w:r>
      <w:r w:rsidR="00214200">
        <w:rPr>
          <w:color w:val="auto"/>
        </w:rPr>
        <w:tab/>
      </w:r>
      <w:r w:rsidRPr="00245CF8">
        <w:rPr>
          <w:color w:val="auto"/>
        </w:rPr>
        <w:t>Legal Aid of South Africa</w:t>
      </w:r>
      <w:r w:rsidRPr="00245CF8">
        <w:rPr>
          <w:color w:val="auto"/>
        </w:rPr>
        <w:tab/>
      </w:r>
    </w:p>
    <w:p w14:paraId="374B62F5" w14:textId="77777777" w:rsidR="00034140" w:rsidRPr="00245CF8" w:rsidRDefault="00034140" w:rsidP="00034140">
      <w:pPr>
        <w:tabs>
          <w:tab w:val="center" w:pos="3989"/>
        </w:tabs>
        <w:rPr>
          <w:color w:val="auto"/>
        </w:rPr>
      </w:pPr>
      <w:r w:rsidRPr="00245CF8">
        <w:rPr>
          <w:color w:val="auto"/>
        </w:rPr>
        <w:t xml:space="preserve">                                                 Makhanda</w:t>
      </w:r>
    </w:p>
    <w:p w14:paraId="6220315C" w14:textId="77777777" w:rsidR="00034140" w:rsidRPr="00245CF8" w:rsidRDefault="00034140" w:rsidP="00034140">
      <w:pPr>
        <w:tabs>
          <w:tab w:val="left" w:pos="3402"/>
          <w:tab w:val="center" w:pos="3989"/>
        </w:tabs>
        <w:rPr>
          <w:color w:val="auto"/>
        </w:rPr>
      </w:pPr>
      <w:r w:rsidRPr="00245CF8">
        <w:rPr>
          <w:color w:val="auto"/>
        </w:rPr>
        <w:t xml:space="preserve">                                                 046 622 9350</w:t>
      </w:r>
    </w:p>
    <w:p w14:paraId="081286E5" w14:textId="77777777" w:rsidR="00034140" w:rsidRPr="00245CF8" w:rsidRDefault="00034140" w:rsidP="00034140">
      <w:pPr>
        <w:autoSpaceDE w:val="0"/>
        <w:autoSpaceDN w:val="0"/>
        <w:adjustRightInd w:val="0"/>
        <w:jc w:val="both"/>
        <w:rPr>
          <w:color w:val="auto"/>
          <w:lang w:val="en-GB"/>
        </w:rPr>
      </w:pPr>
    </w:p>
    <w:p w14:paraId="1A11C499" w14:textId="77777777" w:rsidR="00034140" w:rsidRPr="00245CF8" w:rsidRDefault="00034140" w:rsidP="00034140">
      <w:pPr>
        <w:autoSpaceDE w:val="0"/>
        <w:autoSpaceDN w:val="0"/>
        <w:adjustRightInd w:val="0"/>
        <w:jc w:val="both"/>
        <w:rPr>
          <w:color w:val="auto"/>
          <w:lang w:val="en-GB"/>
        </w:rPr>
      </w:pPr>
    </w:p>
    <w:p w14:paraId="36AFD116" w14:textId="77777777" w:rsidR="00034140" w:rsidRPr="00044B50" w:rsidRDefault="00034140" w:rsidP="00034140">
      <w:pPr>
        <w:tabs>
          <w:tab w:val="left" w:pos="3402"/>
          <w:tab w:val="center" w:pos="4003"/>
        </w:tabs>
        <w:ind w:hanging="142"/>
        <w:jc w:val="both"/>
        <w:rPr>
          <w:lang w:val="en-GB"/>
        </w:rPr>
      </w:pPr>
    </w:p>
    <w:p w14:paraId="11F518FA" w14:textId="77777777" w:rsidR="00034140" w:rsidRPr="00044B50" w:rsidRDefault="00034140" w:rsidP="00034140">
      <w:pPr>
        <w:tabs>
          <w:tab w:val="left" w:pos="3402"/>
          <w:tab w:val="center" w:pos="4003"/>
        </w:tabs>
        <w:ind w:hanging="142"/>
        <w:jc w:val="both"/>
        <w:rPr>
          <w:lang w:val="en-GB"/>
        </w:rPr>
      </w:pPr>
      <w:r w:rsidRPr="00044B50">
        <w:rPr>
          <w:lang w:val="en-GB"/>
        </w:rPr>
        <w:tab/>
      </w:r>
    </w:p>
    <w:p w14:paraId="02CBFC73" w14:textId="77777777" w:rsidR="00034140" w:rsidRPr="00044B50" w:rsidRDefault="00034140" w:rsidP="00034140">
      <w:pPr>
        <w:tabs>
          <w:tab w:val="left" w:pos="3261"/>
          <w:tab w:val="left" w:pos="3544"/>
        </w:tabs>
        <w:jc w:val="both"/>
        <w:rPr>
          <w:lang w:val="en-GB"/>
        </w:rPr>
      </w:pPr>
      <w:r w:rsidRPr="00044B50">
        <w:rPr>
          <w:lang w:val="en-GB"/>
        </w:rPr>
        <w:t xml:space="preserve">                                                 </w:t>
      </w: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631AD31F" w14:textId="0D7E8DAD" w:rsidR="008677E3" w:rsidRPr="00044B50" w:rsidRDefault="007C247A" w:rsidP="00A55D40">
      <w:pPr>
        <w:tabs>
          <w:tab w:val="left" w:pos="3261"/>
          <w:tab w:val="left" w:pos="3544"/>
        </w:tabs>
        <w:jc w:val="both"/>
        <w:rPr>
          <w:lang w:val="en-GB"/>
        </w:rPr>
      </w:pPr>
      <w:r w:rsidRPr="00044B50">
        <w:rPr>
          <w:lang w:val="en-GB"/>
        </w:rPr>
        <w:t xml:space="preserve">                           </w:t>
      </w: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69771" w14:textId="77777777" w:rsidR="007A23E0" w:rsidRDefault="007A23E0" w:rsidP="00005691">
      <w:r>
        <w:separator/>
      </w:r>
    </w:p>
  </w:endnote>
  <w:endnote w:type="continuationSeparator" w:id="0">
    <w:p w14:paraId="6A3C4C71" w14:textId="77777777" w:rsidR="007A23E0" w:rsidRDefault="007A23E0"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D42C3" w14:textId="77777777" w:rsidR="007A23E0" w:rsidRDefault="007A23E0" w:rsidP="00005691">
      <w:r>
        <w:separator/>
      </w:r>
    </w:p>
  </w:footnote>
  <w:footnote w:type="continuationSeparator" w:id="0">
    <w:p w14:paraId="5956329A" w14:textId="77777777" w:rsidR="007A23E0" w:rsidRDefault="007A23E0" w:rsidP="00005691">
      <w:r>
        <w:continuationSeparator/>
      </w:r>
    </w:p>
  </w:footnote>
  <w:footnote w:id="1">
    <w:p w14:paraId="07055E70" w14:textId="7DF534A5" w:rsidR="00356C9E" w:rsidRPr="00356C9E" w:rsidRDefault="00356C9E" w:rsidP="00761C36">
      <w:pPr>
        <w:pStyle w:val="FootnoteText"/>
        <w:spacing w:line="240" w:lineRule="auto"/>
        <w:jc w:val="both"/>
        <w:rPr>
          <w:lang w:val="en-US"/>
        </w:rPr>
      </w:pPr>
      <w:r>
        <w:rPr>
          <w:rStyle w:val="FootnoteReference"/>
        </w:rPr>
        <w:footnoteRef/>
      </w:r>
      <w:r>
        <w:t xml:space="preserve"> </w:t>
      </w:r>
      <w:r>
        <w:rPr>
          <w:lang w:val="en-US"/>
        </w:rPr>
        <w:t>Act 105 of 1997.</w:t>
      </w:r>
    </w:p>
  </w:footnote>
  <w:footnote w:id="2">
    <w:p w14:paraId="600F4F17" w14:textId="33AF9B9C" w:rsidR="00356C9E" w:rsidRPr="00356C9E" w:rsidRDefault="00356C9E" w:rsidP="00761C36">
      <w:pPr>
        <w:pStyle w:val="FootnoteText"/>
        <w:spacing w:line="240" w:lineRule="auto"/>
        <w:jc w:val="both"/>
        <w:rPr>
          <w:lang w:val="en-US"/>
        </w:rPr>
      </w:pPr>
      <w:r>
        <w:rPr>
          <w:rStyle w:val="FootnoteReference"/>
        </w:rPr>
        <w:footnoteRef/>
      </w:r>
      <w:r>
        <w:t xml:space="preserve"> </w:t>
      </w:r>
      <w:r>
        <w:rPr>
          <w:lang w:val="en-US"/>
        </w:rPr>
        <w:t>Act 13 of 2006.</w:t>
      </w:r>
    </w:p>
  </w:footnote>
  <w:footnote w:id="3">
    <w:p w14:paraId="43B3950F" w14:textId="77777777" w:rsidR="000703FF" w:rsidRPr="000904A1" w:rsidRDefault="000703FF" w:rsidP="00761C36">
      <w:pPr>
        <w:pStyle w:val="FootnoteText"/>
        <w:spacing w:line="240" w:lineRule="auto"/>
        <w:jc w:val="both"/>
        <w:rPr>
          <w:lang w:val="en-GB"/>
        </w:rPr>
      </w:pPr>
      <w:r w:rsidRPr="000904A1">
        <w:rPr>
          <w:rStyle w:val="FootnoteReference"/>
          <w:lang w:val="en-GB"/>
        </w:rPr>
        <w:footnoteRef/>
      </w:r>
      <w:r w:rsidRPr="000904A1">
        <w:rPr>
          <w:lang w:val="en-GB"/>
        </w:rPr>
        <w:t xml:space="preserve"> S 51(3)(</w:t>
      </w:r>
      <w:r w:rsidRPr="000904A1">
        <w:rPr>
          <w:i/>
          <w:iCs/>
          <w:lang w:val="en-GB"/>
        </w:rPr>
        <w:t>a</w:t>
      </w:r>
      <w:r w:rsidRPr="000904A1">
        <w:rPr>
          <w:lang w:val="en-GB"/>
        </w:rPr>
        <w:t>) of the Minimum Sentences Act.</w:t>
      </w:r>
    </w:p>
  </w:footnote>
  <w:footnote w:id="4">
    <w:p w14:paraId="418479C6" w14:textId="77777777" w:rsidR="000703FF" w:rsidRPr="000904A1" w:rsidRDefault="000703FF" w:rsidP="00761C36">
      <w:pPr>
        <w:pStyle w:val="FootnoteText"/>
        <w:spacing w:line="240" w:lineRule="auto"/>
        <w:jc w:val="both"/>
        <w:rPr>
          <w:lang w:val="en-GB"/>
        </w:rPr>
      </w:pPr>
      <w:r w:rsidRPr="000904A1">
        <w:rPr>
          <w:rStyle w:val="FootnoteReference"/>
          <w:lang w:val="en-GB"/>
        </w:rPr>
        <w:footnoteRef/>
      </w:r>
      <w:r w:rsidRPr="000904A1">
        <w:rPr>
          <w:lang w:val="en-GB"/>
        </w:rPr>
        <w:t xml:space="preserve"> Act 51 of 1977 (‘the CPA’).</w:t>
      </w:r>
    </w:p>
  </w:footnote>
  <w:footnote w:id="5">
    <w:p w14:paraId="12407CCB" w14:textId="52AF08F0" w:rsidR="000703FF" w:rsidRPr="000904A1" w:rsidRDefault="000703FF" w:rsidP="00761C36">
      <w:pPr>
        <w:pStyle w:val="FootnoteText"/>
        <w:spacing w:line="240" w:lineRule="auto"/>
        <w:jc w:val="both"/>
        <w:rPr>
          <w:lang w:val="en-GB"/>
        </w:rPr>
      </w:pPr>
      <w:r w:rsidRPr="000904A1">
        <w:rPr>
          <w:rStyle w:val="FootnoteReference"/>
          <w:lang w:val="en-GB"/>
        </w:rPr>
        <w:footnoteRef/>
      </w:r>
      <w:r w:rsidRPr="000904A1">
        <w:rPr>
          <w:lang w:val="en-GB"/>
        </w:rPr>
        <w:t xml:space="preserve"> </w:t>
      </w:r>
      <w:r w:rsidRPr="000904A1">
        <w:rPr>
          <w:i/>
          <w:iCs/>
          <w:lang w:val="en-GB"/>
        </w:rPr>
        <w:t>S v Rabie</w:t>
      </w:r>
      <w:r w:rsidRPr="000904A1">
        <w:rPr>
          <w:lang w:val="en-GB"/>
        </w:rPr>
        <w:t xml:space="preserve"> 1975 (4) SA 855 (A)</w:t>
      </w:r>
      <w:r w:rsidR="002031B5">
        <w:rPr>
          <w:lang w:val="en-GB"/>
        </w:rPr>
        <w:t xml:space="preserve"> (‘</w:t>
      </w:r>
      <w:r w:rsidR="002031B5">
        <w:rPr>
          <w:i/>
          <w:iCs/>
          <w:lang w:val="en-GB"/>
        </w:rPr>
        <w:t>Rabie</w:t>
      </w:r>
      <w:r w:rsidR="002031B5">
        <w:rPr>
          <w:lang w:val="en-GB"/>
        </w:rPr>
        <w:t>’)</w:t>
      </w:r>
      <w:r w:rsidRPr="000904A1">
        <w:rPr>
          <w:lang w:val="en-GB"/>
        </w:rPr>
        <w:t>.</w:t>
      </w:r>
    </w:p>
  </w:footnote>
  <w:footnote w:id="6">
    <w:p w14:paraId="4F0045BF" w14:textId="39A29D14" w:rsidR="000703FF" w:rsidRPr="00B422B0" w:rsidRDefault="000703FF" w:rsidP="00761C36">
      <w:pPr>
        <w:pStyle w:val="FootnoteText"/>
        <w:spacing w:line="240" w:lineRule="auto"/>
        <w:jc w:val="both"/>
        <w:rPr>
          <w:lang w:val="en-US"/>
        </w:rPr>
      </w:pPr>
      <w:r w:rsidRPr="000904A1">
        <w:rPr>
          <w:rStyle w:val="FootnoteReference"/>
          <w:lang w:val="en-GB"/>
        </w:rPr>
        <w:footnoteRef/>
      </w:r>
      <w:r w:rsidRPr="000904A1">
        <w:rPr>
          <w:lang w:val="en-GB"/>
        </w:rPr>
        <w:t xml:space="preserve"> </w:t>
      </w:r>
      <w:r w:rsidRPr="000904A1">
        <w:rPr>
          <w:i/>
          <w:iCs/>
          <w:lang w:val="en-GB"/>
        </w:rPr>
        <w:t>Rabie</w:t>
      </w:r>
      <w:r w:rsidRPr="000904A1">
        <w:rPr>
          <w:lang w:val="en-GB"/>
        </w:rPr>
        <w:t xml:space="preserve"> </w:t>
      </w:r>
      <w:r w:rsidR="002031B5">
        <w:rPr>
          <w:lang w:val="en-GB"/>
        </w:rPr>
        <w:t xml:space="preserve">ibid </w:t>
      </w:r>
      <w:r w:rsidRPr="000904A1">
        <w:rPr>
          <w:lang w:val="en-GB"/>
        </w:rPr>
        <w:t>at 862G-H.</w:t>
      </w:r>
      <w:r w:rsidR="00B422B0">
        <w:rPr>
          <w:lang w:val="en-GB"/>
        </w:rPr>
        <w:t xml:space="preserve"> </w:t>
      </w:r>
      <w:r w:rsidR="00B422B0">
        <w:rPr>
          <w:i/>
          <w:iCs/>
          <w:lang w:val="en-US"/>
        </w:rPr>
        <w:t>S v Khulu</w:t>
      </w:r>
      <w:r w:rsidR="00B422B0">
        <w:rPr>
          <w:lang w:val="en-US"/>
        </w:rPr>
        <w:t xml:space="preserve"> 1975 (2) SA 518 (N) </w:t>
      </w:r>
      <w:r w:rsidR="00236E11">
        <w:rPr>
          <w:lang w:val="en-US"/>
        </w:rPr>
        <w:t>(‘</w:t>
      </w:r>
      <w:r w:rsidR="00236E11">
        <w:rPr>
          <w:i/>
          <w:iCs/>
          <w:lang w:val="en-US"/>
        </w:rPr>
        <w:t>Khulu</w:t>
      </w:r>
      <w:r w:rsidR="00236E11">
        <w:rPr>
          <w:lang w:val="en-US"/>
        </w:rPr>
        <w:t xml:space="preserve">’) </w:t>
      </w:r>
      <w:r w:rsidR="00B422B0">
        <w:rPr>
          <w:lang w:val="en-US"/>
        </w:rPr>
        <w:t>at 521-522.</w:t>
      </w:r>
    </w:p>
  </w:footnote>
  <w:footnote w:id="7">
    <w:p w14:paraId="1BF4A220" w14:textId="7D65E0F7" w:rsidR="005368A1" w:rsidRPr="000904A1" w:rsidRDefault="005368A1" w:rsidP="00761C36">
      <w:pPr>
        <w:pStyle w:val="FootnoteText"/>
        <w:spacing w:line="240" w:lineRule="auto"/>
        <w:jc w:val="both"/>
        <w:rPr>
          <w:lang w:val="en-GB"/>
        </w:rPr>
      </w:pPr>
      <w:r w:rsidRPr="000904A1">
        <w:rPr>
          <w:rStyle w:val="FootnoteReference"/>
          <w:lang w:val="en-GB"/>
        </w:rPr>
        <w:footnoteRef/>
      </w:r>
      <w:r w:rsidRPr="000904A1">
        <w:rPr>
          <w:lang w:val="en-GB"/>
        </w:rPr>
        <w:t xml:space="preserve"> See </w:t>
      </w:r>
      <w:r w:rsidRPr="000904A1">
        <w:rPr>
          <w:i/>
          <w:iCs/>
          <w:lang w:val="en-GB"/>
        </w:rPr>
        <w:t>Khulu</w:t>
      </w:r>
      <w:r w:rsidRPr="000904A1">
        <w:rPr>
          <w:lang w:val="en-GB"/>
        </w:rPr>
        <w:t xml:space="preserve"> </w:t>
      </w:r>
      <w:r w:rsidR="00236E11">
        <w:rPr>
          <w:lang w:val="en-GB"/>
        </w:rPr>
        <w:t>ibid.</w:t>
      </w:r>
    </w:p>
  </w:footnote>
  <w:footnote w:id="8">
    <w:p w14:paraId="12FC6338" w14:textId="77777777" w:rsidR="005368A1" w:rsidRPr="000904A1" w:rsidRDefault="005368A1" w:rsidP="00761C36">
      <w:pPr>
        <w:pStyle w:val="FootnoteText"/>
        <w:spacing w:line="240" w:lineRule="auto"/>
        <w:jc w:val="both"/>
        <w:rPr>
          <w:lang w:val="en-GB"/>
        </w:rPr>
      </w:pPr>
      <w:r w:rsidRPr="000904A1">
        <w:rPr>
          <w:rStyle w:val="FootnoteReference"/>
          <w:lang w:val="en-GB"/>
        </w:rPr>
        <w:footnoteRef/>
      </w:r>
      <w:r w:rsidRPr="000904A1">
        <w:rPr>
          <w:lang w:val="en-GB"/>
        </w:rPr>
        <w:t xml:space="preserve"> </w:t>
      </w:r>
      <w:r w:rsidRPr="000904A1">
        <w:rPr>
          <w:i/>
          <w:iCs/>
          <w:lang w:val="en-GB"/>
        </w:rPr>
        <w:t>S v Mhlakhaza and Another</w:t>
      </w:r>
      <w:r w:rsidRPr="000904A1">
        <w:rPr>
          <w:lang w:val="en-GB"/>
        </w:rPr>
        <w:t xml:space="preserve"> [1997] 2 All SA 185 (A) at 189. Also see </w:t>
      </w:r>
      <w:r w:rsidRPr="000904A1">
        <w:rPr>
          <w:i/>
          <w:iCs/>
          <w:lang w:val="en-GB"/>
        </w:rPr>
        <w:t xml:space="preserve">S v M </w:t>
      </w:r>
      <w:r w:rsidRPr="000904A1">
        <w:rPr>
          <w:lang w:val="en-GB"/>
        </w:rPr>
        <w:t xml:space="preserve">(Centre for Child Law as </w:t>
      </w:r>
      <w:r w:rsidRPr="000904A1">
        <w:rPr>
          <w:i/>
          <w:iCs/>
          <w:lang w:val="en-GB"/>
        </w:rPr>
        <w:t>amicus curiae</w:t>
      </w:r>
      <w:r w:rsidRPr="000904A1">
        <w:rPr>
          <w:lang w:val="en-GB"/>
        </w:rPr>
        <w:t>) 2007 (2) SACR 539 (CC).</w:t>
      </w:r>
    </w:p>
  </w:footnote>
  <w:footnote w:id="9">
    <w:p w14:paraId="1604190C" w14:textId="77777777" w:rsidR="00F55373" w:rsidRPr="000904A1" w:rsidRDefault="00F55373" w:rsidP="00761C36">
      <w:pPr>
        <w:pStyle w:val="FootnoteText"/>
        <w:spacing w:line="240" w:lineRule="auto"/>
        <w:jc w:val="both"/>
        <w:rPr>
          <w:lang w:val="en-GB"/>
        </w:rPr>
      </w:pPr>
      <w:r w:rsidRPr="000904A1">
        <w:rPr>
          <w:rStyle w:val="FootnoteReference"/>
          <w:lang w:val="en-GB"/>
        </w:rPr>
        <w:footnoteRef/>
      </w:r>
      <w:r w:rsidRPr="000904A1">
        <w:rPr>
          <w:lang w:val="en-GB"/>
        </w:rPr>
        <w:t xml:space="preserve"> S 280(1) provides, in part, that ‘When a person is at any trial convicted of two or more offences…the court may sentence him to such several punishments for such offences…’ </w:t>
      </w:r>
    </w:p>
  </w:footnote>
  <w:footnote w:id="10">
    <w:p w14:paraId="3641A4F2" w14:textId="77777777" w:rsidR="00F55373" w:rsidRPr="000904A1" w:rsidRDefault="00F55373" w:rsidP="00761C36">
      <w:pPr>
        <w:pStyle w:val="FootnoteText"/>
        <w:spacing w:line="240" w:lineRule="auto"/>
        <w:jc w:val="both"/>
        <w:rPr>
          <w:lang w:val="en-GB"/>
        </w:rPr>
      </w:pPr>
      <w:r w:rsidRPr="000904A1">
        <w:rPr>
          <w:rStyle w:val="FootnoteReference"/>
          <w:lang w:val="en-GB"/>
        </w:rPr>
        <w:footnoteRef/>
      </w:r>
      <w:r w:rsidRPr="000904A1">
        <w:rPr>
          <w:lang w:val="en-GB"/>
        </w:rPr>
        <w:t xml:space="preserve"> SS Terblanche </w:t>
      </w:r>
      <w:r w:rsidRPr="000904A1">
        <w:rPr>
          <w:i/>
          <w:iCs/>
          <w:lang w:val="en-GB"/>
        </w:rPr>
        <w:t>A guide to sentencing in South Africa</w:t>
      </w:r>
      <w:r w:rsidRPr="000904A1">
        <w:rPr>
          <w:lang w:val="en-GB"/>
        </w:rPr>
        <w:t xml:space="preserve"> (3</w:t>
      </w:r>
      <w:r w:rsidRPr="000904A1">
        <w:rPr>
          <w:vertAlign w:val="superscript"/>
          <w:lang w:val="en-GB"/>
        </w:rPr>
        <w:t>rd</w:t>
      </w:r>
      <w:r w:rsidRPr="000904A1">
        <w:rPr>
          <w:lang w:val="en-GB"/>
        </w:rPr>
        <w:t xml:space="preserve"> Ed) (LexisNexis) (2016) 199.</w:t>
      </w:r>
    </w:p>
  </w:footnote>
  <w:footnote w:id="11">
    <w:p w14:paraId="0F61AB9D" w14:textId="5133BD4A" w:rsidR="00F55373" w:rsidRPr="000904A1" w:rsidRDefault="00F55373" w:rsidP="00761C36">
      <w:pPr>
        <w:pStyle w:val="FootnoteText"/>
        <w:spacing w:line="240" w:lineRule="auto"/>
        <w:jc w:val="both"/>
        <w:rPr>
          <w:lang w:val="en-GB"/>
        </w:rPr>
      </w:pPr>
      <w:r w:rsidRPr="000904A1">
        <w:rPr>
          <w:rStyle w:val="FootnoteReference"/>
          <w:lang w:val="en-GB"/>
        </w:rPr>
        <w:footnoteRef/>
      </w:r>
      <w:r w:rsidRPr="000904A1">
        <w:rPr>
          <w:lang w:val="en-GB"/>
        </w:rPr>
        <w:t xml:space="preserve"> In doing so, the established principles in respect of multiple crimes sharing aggravating features, and the avoidance of a double consideration of aggravation, must be considered: Terblanche </w:t>
      </w:r>
      <w:r w:rsidR="00EB2937">
        <w:rPr>
          <w:lang w:val="en-GB"/>
        </w:rPr>
        <w:t xml:space="preserve">ibid </w:t>
      </w:r>
      <w:r w:rsidR="00BE3F28">
        <w:rPr>
          <w:lang w:val="en-GB"/>
        </w:rPr>
        <w:t xml:space="preserve">at </w:t>
      </w:r>
      <w:r w:rsidRPr="000904A1">
        <w:rPr>
          <w:lang w:val="en-GB"/>
        </w:rPr>
        <w:t xml:space="preserve">204-205. </w:t>
      </w:r>
    </w:p>
  </w:footnote>
  <w:footnote w:id="12">
    <w:p w14:paraId="07613709" w14:textId="746DF580" w:rsidR="007859F6" w:rsidRPr="004031EE" w:rsidRDefault="007859F6" w:rsidP="00761C36">
      <w:pPr>
        <w:pStyle w:val="FootnoteText"/>
        <w:spacing w:line="240" w:lineRule="auto"/>
        <w:jc w:val="both"/>
        <w:rPr>
          <w:lang w:val="en-US"/>
        </w:rPr>
      </w:pPr>
      <w:r>
        <w:rPr>
          <w:rStyle w:val="FootnoteReference"/>
        </w:rPr>
        <w:footnoteRef/>
      </w:r>
      <w:r>
        <w:t xml:space="preserve"> </w:t>
      </w:r>
      <w:r w:rsidR="004031EE">
        <w:rPr>
          <w:lang w:val="en-US"/>
        </w:rPr>
        <w:t>S 51(3)</w:t>
      </w:r>
      <w:r w:rsidR="004031EE">
        <w:rPr>
          <w:i/>
          <w:iCs/>
          <w:lang w:val="en-US"/>
        </w:rPr>
        <w:t xml:space="preserve">(a) </w:t>
      </w:r>
      <w:r w:rsidR="004031EE">
        <w:rPr>
          <w:lang w:val="en-US"/>
        </w:rPr>
        <w:t xml:space="preserve">of the Minimum Sentences Act. </w:t>
      </w:r>
    </w:p>
  </w:footnote>
  <w:footnote w:id="13">
    <w:p w14:paraId="0A005BE4" w14:textId="77777777" w:rsidR="005008A0" w:rsidRPr="000904A1" w:rsidRDefault="005008A0" w:rsidP="00761C36">
      <w:pPr>
        <w:pStyle w:val="FootnoteText"/>
        <w:spacing w:line="240" w:lineRule="auto"/>
        <w:jc w:val="both"/>
        <w:rPr>
          <w:lang w:val="en-GB"/>
        </w:rPr>
      </w:pPr>
      <w:r w:rsidRPr="000904A1">
        <w:rPr>
          <w:rStyle w:val="FootnoteReference"/>
          <w:lang w:val="en-GB"/>
        </w:rPr>
        <w:footnoteRef/>
      </w:r>
      <w:r w:rsidRPr="000904A1">
        <w:rPr>
          <w:lang w:val="en-GB"/>
        </w:rPr>
        <w:t xml:space="preserve"> </w:t>
      </w:r>
      <w:r w:rsidRPr="000904A1">
        <w:rPr>
          <w:i/>
          <w:iCs/>
          <w:lang w:val="en-GB"/>
        </w:rPr>
        <w:t>S v Zinn</w:t>
      </w:r>
      <w:r w:rsidRPr="000904A1">
        <w:rPr>
          <w:lang w:val="en-GB"/>
        </w:rPr>
        <w:t xml:space="preserve"> [1969] 3 All SA 57 (A) at 540G-H.</w:t>
      </w:r>
    </w:p>
  </w:footnote>
  <w:footnote w:id="14">
    <w:p w14:paraId="4AD1F180" w14:textId="52ACBE73" w:rsidR="005008A0" w:rsidRPr="000904A1" w:rsidRDefault="005008A0" w:rsidP="00761C36">
      <w:pPr>
        <w:pStyle w:val="FootnoteText"/>
        <w:spacing w:line="240" w:lineRule="auto"/>
        <w:jc w:val="both"/>
        <w:rPr>
          <w:lang w:val="en-GB"/>
        </w:rPr>
      </w:pPr>
      <w:r w:rsidRPr="000904A1">
        <w:rPr>
          <w:rStyle w:val="FootnoteReference"/>
          <w:lang w:val="en-GB"/>
        </w:rPr>
        <w:footnoteRef/>
      </w:r>
      <w:r w:rsidRPr="000904A1">
        <w:rPr>
          <w:lang w:val="en-GB"/>
        </w:rPr>
        <w:t xml:space="preserve"> </w:t>
      </w:r>
      <w:r w:rsidR="00587E30">
        <w:rPr>
          <w:i/>
          <w:iCs/>
          <w:lang w:val="en-GB"/>
        </w:rPr>
        <w:t xml:space="preserve">S v Malgas </w:t>
      </w:r>
      <w:r w:rsidRPr="000904A1">
        <w:rPr>
          <w:lang w:val="en-GB"/>
        </w:rPr>
        <w:t>2001 (1) SACR 469 (SCA)</w:t>
      </w:r>
      <w:r w:rsidR="00587E30">
        <w:rPr>
          <w:lang w:val="en-GB"/>
        </w:rPr>
        <w:t xml:space="preserve"> (‘</w:t>
      </w:r>
      <w:r w:rsidR="00587E30">
        <w:rPr>
          <w:i/>
          <w:iCs/>
          <w:lang w:val="en-GB"/>
        </w:rPr>
        <w:t>Malgas</w:t>
      </w:r>
      <w:r w:rsidR="00587E30">
        <w:rPr>
          <w:lang w:val="en-GB"/>
        </w:rPr>
        <w:t>’)</w:t>
      </w:r>
      <w:r w:rsidRPr="000904A1">
        <w:rPr>
          <w:lang w:val="en-GB"/>
        </w:rPr>
        <w:t>.</w:t>
      </w:r>
    </w:p>
  </w:footnote>
  <w:footnote w:id="15">
    <w:p w14:paraId="732A93C3" w14:textId="77777777" w:rsidR="005008A0" w:rsidRPr="000904A1" w:rsidRDefault="005008A0" w:rsidP="00761C36">
      <w:pPr>
        <w:pStyle w:val="FootnoteText"/>
        <w:spacing w:line="240" w:lineRule="auto"/>
        <w:jc w:val="both"/>
        <w:rPr>
          <w:lang w:val="en-GB"/>
        </w:rPr>
      </w:pPr>
      <w:r w:rsidRPr="000904A1">
        <w:rPr>
          <w:rStyle w:val="FootnoteReference"/>
          <w:lang w:val="en-GB"/>
        </w:rPr>
        <w:footnoteRef/>
      </w:r>
      <w:r w:rsidRPr="000904A1">
        <w:rPr>
          <w:lang w:val="en-GB"/>
        </w:rPr>
        <w:t xml:space="preserve"> See </w:t>
      </w:r>
      <w:r w:rsidRPr="000904A1">
        <w:rPr>
          <w:i/>
          <w:iCs/>
          <w:lang w:val="en-GB"/>
        </w:rPr>
        <w:t>Radebe v The State</w:t>
      </w:r>
      <w:r w:rsidRPr="000904A1">
        <w:rPr>
          <w:lang w:val="en-GB"/>
        </w:rPr>
        <w:t xml:space="preserve"> [2019] ZAGPPHC 406 at para 12.</w:t>
      </w:r>
    </w:p>
  </w:footnote>
  <w:footnote w:id="16">
    <w:p w14:paraId="43739EFE" w14:textId="68A967D8" w:rsidR="005008A0" w:rsidRPr="000904A1" w:rsidRDefault="005008A0" w:rsidP="00761C36">
      <w:pPr>
        <w:pStyle w:val="FootnoteText"/>
        <w:spacing w:line="240" w:lineRule="auto"/>
        <w:jc w:val="both"/>
        <w:rPr>
          <w:lang w:val="en-GB"/>
        </w:rPr>
      </w:pPr>
      <w:r w:rsidRPr="000904A1">
        <w:rPr>
          <w:rStyle w:val="FootnoteReference"/>
          <w:lang w:val="en-GB"/>
        </w:rPr>
        <w:footnoteRef/>
      </w:r>
      <w:r w:rsidRPr="000904A1">
        <w:rPr>
          <w:lang w:val="en-GB"/>
        </w:rPr>
        <w:t xml:space="preserve"> </w:t>
      </w:r>
      <w:r w:rsidR="003257F0">
        <w:rPr>
          <w:i/>
          <w:iCs/>
          <w:lang w:val="en-GB"/>
        </w:rPr>
        <w:t xml:space="preserve">S v Matyityi </w:t>
      </w:r>
      <w:r w:rsidRPr="000904A1">
        <w:rPr>
          <w:lang w:val="en-GB"/>
        </w:rPr>
        <w:t>2011 (1) SACR 40 (SCA) at para 23. Also see</w:t>
      </w:r>
      <w:r>
        <w:rPr>
          <w:lang w:val="en-GB"/>
        </w:rPr>
        <w:t xml:space="preserve"> </w:t>
      </w:r>
      <w:r w:rsidRPr="000904A1">
        <w:rPr>
          <w:i/>
          <w:iCs/>
          <w:lang w:val="en-GB"/>
        </w:rPr>
        <w:t>Malgas</w:t>
      </w:r>
      <w:r w:rsidRPr="000904A1">
        <w:rPr>
          <w:lang w:val="en-GB"/>
        </w:rPr>
        <w:t xml:space="preserve"> </w:t>
      </w:r>
      <w:r>
        <w:rPr>
          <w:i/>
          <w:iCs/>
          <w:lang w:val="en-GB"/>
        </w:rPr>
        <w:t>supra</w:t>
      </w:r>
      <w:r w:rsidR="00587E30">
        <w:rPr>
          <w:i/>
          <w:iCs/>
          <w:lang w:val="en-GB"/>
        </w:rPr>
        <w:t xml:space="preserve"> </w:t>
      </w:r>
      <w:r w:rsidR="00587E30">
        <w:rPr>
          <w:lang w:val="en-GB"/>
        </w:rPr>
        <w:t>fn 14</w:t>
      </w:r>
      <w:r w:rsidRPr="000904A1">
        <w:rPr>
          <w:lang w:val="en-GB"/>
        </w:rPr>
        <w:t>, in respect of the prescribed period of imprisonment in the Minimum Sentences Act ordinarily</w:t>
      </w:r>
      <w:r w:rsidRPr="000904A1">
        <w:rPr>
          <w:i/>
          <w:iCs/>
          <w:lang w:val="en-GB"/>
        </w:rPr>
        <w:t xml:space="preserve"> </w:t>
      </w:r>
      <w:r w:rsidRPr="000904A1">
        <w:rPr>
          <w:lang w:val="en-GB"/>
        </w:rPr>
        <w:t xml:space="preserve">being imposed for the commission of the listed crimes in the specified circumstances, </w:t>
      </w:r>
      <w:r>
        <w:rPr>
          <w:lang w:val="en-GB"/>
        </w:rPr>
        <w:t xml:space="preserve">in the absence of weighty justification, </w:t>
      </w:r>
      <w:r w:rsidRPr="000904A1">
        <w:rPr>
          <w:lang w:val="en-GB"/>
        </w:rPr>
        <w:t xml:space="preserve">as quoted in </w:t>
      </w:r>
      <w:r w:rsidRPr="000904A1">
        <w:rPr>
          <w:i/>
          <w:iCs/>
          <w:lang w:val="en-GB"/>
        </w:rPr>
        <w:t xml:space="preserve">Otto v S </w:t>
      </w:r>
      <w:r w:rsidRPr="000904A1">
        <w:rPr>
          <w:lang w:val="en-GB"/>
        </w:rPr>
        <w:t>[2017] ZASCA 114 at para 21.</w:t>
      </w:r>
    </w:p>
  </w:footnote>
  <w:footnote w:id="17">
    <w:p w14:paraId="4121DD17" w14:textId="655B7810" w:rsidR="003638BC" w:rsidRPr="003638BC" w:rsidRDefault="003638BC" w:rsidP="00761C36">
      <w:pPr>
        <w:pStyle w:val="FootnoteText"/>
        <w:spacing w:line="240" w:lineRule="auto"/>
        <w:jc w:val="both"/>
        <w:rPr>
          <w:lang w:val="en-US"/>
        </w:rPr>
      </w:pPr>
      <w:r>
        <w:rPr>
          <w:rStyle w:val="FootnoteReference"/>
        </w:rPr>
        <w:footnoteRef/>
      </w:r>
      <w:r>
        <w:t xml:space="preserve"> </w:t>
      </w:r>
      <w:r>
        <w:rPr>
          <w:i/>
          <w:iCs/>
          <w:lang w:val="en-US"/>
        </w:rPr>
        <w:t>S v Vilakazi</w:t>
      </w:r>
      <w:r>
        <w:rPr>
          <w:lang w:val="en-US"/>
        </w:rPr>
        <w:t xml:space="preserve"> 2009 (1) SACR 552 (SCA) </w:t>
      </w:r>
      <w:r w:rsidR="001D31FD">
        <w:rPr>
          <w:lang w:val="en-US"/>
        </w:rPr>
        <w:t>(‘</w:t>
      </w:r>
      <w:r w:rsidR="001D31FD">
        <w:rPr>
          <w:i/>
          <w:iCs/>
          <w:lang w:val="en-US"/>
        </w:rPr>
        <w:t>Vilakazi</w:t>
      </w:r>
      <w:r w:rsidR="001D31FD">
        <w:rPr>
          <w:lang w:val="en-US"/>
        </w:rPr>
        <w:t>’)</w:t>
      </w:r>
      <w:r w:rsidR="001D31FD">
        <w:rPr>
          <w:i/>
          <w:iCs/>
          <w:lang w:val="en-US"/>
        </w:rPr>
        <w:t xml:space="preserve"> </w:t>
      </w:r>
      <w:r>
        <w:rPr>
          <w:lang w:val="en-US"/>
        </w:rPr>
        <w:t>para 15.</w:t>
      </w:r>
    </w:p>
  </w:footnote>
  <w:footnote w:id="18">
    <w:p w14:paraId="3777FC5A" w14:textId="54499619" w:rsidR="00F25096" w:rsidRPr="00F25096" w:rsidRDefault="00F25096" w:rsidP="00761C36">
      <w:pPr>
        <w:pStyle w:val="FootnoteText"/>
        <w:spacing w:line="240" w:lineRule="auto"/>
        <w:jc w:val="both"/>
        <w:rPr>
          <w:lang w:val="en-US"/>
        </w:rPr>
      </w:pPr>
      <w:r>
        <w:rPr>
          <w:rStyle w:val="FootnoteReference"/>
        </w:rPr>
        <w:footnoteRef/>
      </w:r>
      <w:r>
        <w:t xml:space="preserve"> </w:t>
      </w:r>
      <w:r>
        <w:rPr>
          <w:i/>
          <w:iCs/>
          <w:lang w:val="en-US"/>
        </w:rPr>
        <w:t xml:space="preserve">Malgas </w:t>
      </w:r>
      <w:r>
        <w:rPr>
          <w:lang w:val="en-US"/>
        </w:rPr>
        <w:t xml:space="preserve">supra </w:t>
      </w:r>
      <w:r w:rsidR="00C530EE">
        <w:rPr>
          <w:lang w:val="en-US"/>
        </w:rPr>
        <w:t>fn</w:t>
      </w:r>
      <w:r w:rsidR="003D39A1">
        <w:rPr>
          <w:lang w:val="en-US"/>
        </w:rPr>
        <w:t xml:space="preserve"> 14</w:t>
      </w:r>
      <w:r w:rsidR="00C530EE">
        <w:rPr>
          <w:lang w:val="en-US"/>
        </w:rPr>
        <w:t xml:space="preserve"> </w:t>
      </w:r>
      <w:r>
        <w:rPr>
          <w:lang w:val="en-US"/>
        </w:rPr>
        <w:t>para 23.</w:t>
      </w:r>
    </w:p>
  </w:footnote>
  <w:footnote w:id="19">
    <w:p w14:paraId="5C7DDE3B" w14:textId="1D7CB054" w:rsidR="001D31FD" w:rsidRPr="001D31FD" w:rsidRDefault="001D31FD" w:rsidP="00761C36">
      <w:pPr>
        <w:pStyle w:val="FootnoteText"/>
        <w:spacing w:line="240" w:lineRule="auto"/>
        <w:jc w:val="both"/>
        <w:rPr>
          <w:lang w:val="en-US"/>
        </w:rPr>
      </w:pPr>
      <w:r>
        <w:rPr>
          <w:rStyle w:val="FootnoteReference"/>
        </w:rPr>
        <w:footnoteRef/>
      </w:r>
      <w:r>
        <w:t xml:space="preserve"> </w:t>
      </w:r>
      <w:r>
        <w:rPr>
          <w:i/>
          <w:iCs/>
        </w:rPr>
        <w:t>Vilakazi</w:t>
      </w:r>
      <w:r>
        <w:t xml:space="preserve"> supra</w:t>
      </w:r>
      <w:r w:rsidR="00C530EE">
        <w:t xml:space="preserve"> fn </w:t>
      </w:r>
      <w:r w:rsidR="00585FC9">
        <w:t>17</w:t>
      </w:r>
      <w:r>
        <w:t xml:space="preserve"> para 16.</w:t>
      </w:r>
    </w:p>
  </w:footnote>
  <w:footnote w:id="20">
    <w:p w14:paraId="3F9EB8A2" w14:textId="7A86DC9D" w:rsidR="00475898" w:rsidRPr="00475898" w:rsidRDefault="00475898" w:rsidP="00761C36">
      <w:pPr>
        <w:pStyle w:val="FootnoteText"/>
        <w:spacing w:line="240" w:lineRule="auto"/>
        <w:jc w:val="both"/>
        <w:rPr>
          <w:lang w:val="en-US"/>
        </w:rPr>
      </w:pPr>
      <w:r>
        <w:rPr>
          <w:rStyle w:val="FootnoteReference"/>
        </w:rPr>
        <w:footnoteRef/>
      </w:r>
      <w:r>
        <w:t xml:space="preserve"> </w:t>
      </w:r>
      <w:r>
        <w:rPr>
          <w:lang w:val="en-US"/>
        </w:rPr>
        <w:t>Ibid para 14.</w:t>
      </w:r>
    </w:p>
  </w:footnote>
  <w:footnote w:id="21">
    <w:p w14:paraId="0B6396D5" w14:textId="32553848" w:rsidR="00E07733" w:rsidRPr="00AA12D6" w:rsidRDefault="00E07733" w:rsidP="00761C36">
      <w:pPr>
        <w:pStyle w:val="FootnoteText"/>
        <w:spacing w:line="240" w:lineRule="auto"/>
        <w:jc w:val="both"/>
        <w:rPr>
          <w:lang w:val="en-US"/>
        </w:rPr>
      </w:pPr>
      <w:r>
        <w:rPr>
          <w:rStyle w:val="FootnoteReference"/>
        </w:rPr>
        <w:footnoteRef/>
      </w:r>
      <w:r>
        <w:t xml:space="preserve"> </w:t>
      </w:r>
      <w:r>
        <w:rPr>
          <w:i/>
          <w:iCs/>
        </w:rPr>
        <w:t xml:space="preserve">S v Weideman </w:t>
      </w:r>
      <w:r>
        <w:t>[2014] ZAECPEHC 62 para 14.</w:t>
      </w:r>
      <w:r w:rsidR="00AA12D6">
        <w:t xml:space="preserve"> It must be noted that the sentencing outcome in </w:t>
      </w:r>
      <w:r w:rsidR="00AA12D6">
        <w:rPr>
          <w:i/>
          <w:iCs/>
        </w:rPr>
        <w:t>Weideman</w:t>
      </w:r>
      <w:r w:rsidR="00AA12D6">
        <w:t xml:space="preserve"> turned on the accused’s realisation of the full impact of his criminal conduct, suggesting that rehabilitation and reintegration into society was possible.</w:t>
      </w:r>
    </w:p>
  </w:footnote>
  <w:footnote w:id="22">
    <w:p w14:paraId="2097D939" w14:textId="6AC61656" w:rsidR="009F26AB" w:rsidRPr="000904A1" w:rsidRDefault="009F26AB" w:rsidP="00761C36">
      <w:pPr>
        <w:pStyle w:val="FootnoteText"/>
        <w:spacing w:line="240" w:lineRule="auto"/>
        <w:jc w:val="both"/>
        <w:rPr>
          <w:lang w:val="en-GB"/>
        </w:rPr>
      </w:pPr>
      <w:r w:rsidRPr="000904A1">
        <w:rPr>
          <w:rStyle w:val="FootnoteReference"/>
          <w:lang w:val="en-GB"/>
        </w:rPr>
        <w:footnoteRef/>
      </w:r>
      <w:r w:rsidRPr="000904A1">
        <w:rPr>
          <w:lang w:val="en-GB"/>
        </w:rPr>
        <w:t xml:space="preserve"> </w:t>
      </w:r>
      <w:r w:rsidR="00BE6F61">
        <w:rPr>
          <w:i/>
          <w:iCs/>
          <w:lang w:val="en-GB"/>
        </w:rPr>
        <w:t xml:space="preserve">S v Thole </w:t>
      </w:r>
      <w:r w:rsidRPr="000904A1">
        <w:rPr>
          <w:lang w:val="en-GB"/>
        </w:rPr>
        <w:t>2012 (2) SACR 306 (FB).</w:t>
      </w:r>
    </w:p>
  </w:footnote>
  <w:footnote w:id="23">
    <w:p w14:paraId="7C7530ED" w14:textId="5D71A301" w:rsidR="009F26AB" w:rsidRPr="000904A1" w:rsidRDefault="009F26AB" w:rsidP="00761C36">
      <w:pPr>
        <w:pStyle w:val="FootnoteText"/>
        <w:spacing w:line="240" w:lineRule="auto"/>
        <w:jc w:val="both"/>
        <w:rPr>
          <w:lang w:val="en-GB"/>
        </w:rPr>
      </w:pPr>
      <w:r w:rsidRPr="000904A1">
        <w:rPr>
          <w:rStyle w:val="FootnoteReference"/>
          <w:lang w:val="en-GB"/>
        </w:rPr>
        <w:footnoteRef/>
      </w:r>
      <w:r w:rsidRPr="000904A1">
        <w:rPr>
          <w:lang w:val="en-GB"/>
        </w:rPr>
        <w:t xml:space="preserve"> </w:t>
      </w:r>
      <w:r w:rsidR="00BE6F61">
        <w:rPr>
          <w:i/>
          <w:iCs/>
          <w:lang w:val="en-GB"/>
        </w:rPr>
        <w:t xml:space="preserve">Rabako v S </w:t>
      </w:r>
      <w:r w:rsidR="00BE6F61">
        <w:rPr>
          <w:lang w:val="en-GB"/>
        </w:rPr>
        <w:t>[2008] JOL 21549 (O)</w:t>
      </w:r>
      <w:r w:rsidRPr="000904A1">
        <w:rPr>
          <w:i/>
          <w:iCs/>
          <w:lang w:val="en-GB"/>
        </w:rPr>
        <w:t xml:space="preserve"> </w:t>
      </w:r>
      <w:r w:rsidRPr="000904A1">
        <w:rPr>
          <w:lang w:val="en-GB"/>
        </w:rPr>
        <w:t>para 7.</w:t>
      </w:r>
    </w:p>
  </w:footnote>
  <w:footnote w:id="24">
    <w:p w14:paraId="3FAA26B6" w14:textId="24E555BF" w:rsidR="0008519B" w:rsidRPr="0008519B" w:rsidRDefault="0008519B" w:rsidP="00761C36">
      <w:pPr>
        <w:pStyle w:val="FootnoteText"/>
        <w:spacing w:line="240" w:lineRule="auto"/>
        <w:jc w:val="both"/>
        <w:rPr>
          <w:lang w:val="en-US"/>
        </w:rPr>
      </w:pPr>
      <w:r>
        <w:rPr>
          <w:rStyle w:val="FootnoteReference"/>
        </w:rPr>
        <w:footnoteRef/>
      </w:r>
      <w:r>
        <w:t xml:space="preserve"> </w:t>
      </w:r>
      <w:r w:rsidR="008F51E0">
        <w:rPr>
          <w:i/>
          <w:iCs/>
        </w:rPr>
        <w:t xml:space="preserve">S v Nkawu </w:t>
      </w:r>
      <w:r>
        <w:rPr>
          <w:lang w:val="en-US"/>
        </w:rPr>
        <w:t xml:space="preserve">[2009] ZAECGHC 21. </w:t>
      </w:r>
    </w:p>
  </w:footnote>
  <w:footnote w:id="25">
    <w:p w14:paraId="703E26CD" w14:textId="5A0D73D5" w:rsidR="00600005" w:rsidRPr="00600005" w:rsidRDefault="00600005" w:rsidP="00761C36">
      <w:pPr>
        <w:pStyle w:val="FootnoteText"/>
        <w:spacing w:line="240" w:lineRule="auto"/>
        <w:jc w:val="both"/>
        <w:rPr>
          <w:lang w:val="en-US"/>
        </w:rPr>
      </w:pPr>
      <w:r>
        <w:rPr>
          <w:rStyle w:val="FootnoteReference"/>
        </w:rPr>
        <w:footnoteRef/>
      </w:r>
      <w:r>
        <w:t xml:space="preserve"> </w:t>
      </w:r>
      <w:r>
        <w:rPr>
          <w:lang w:val="en-US"/>
        </w:rPr>
        <w:t>The accused was sentenced, in that matter, to twenty years imprisonment for rape and three years’ imprisonment for housebreaking with intent to commit rape, t</w:t>
      </w:r>
      <w:r w:rsidR="006D4AF5">
        <w:rPr>
          <w:lang w:val="en-US"/>
        </w:rPr>
        <w:t>o run concurrently.</w:t>
      </w:r>
    </w:p>
  </w:footnote>
  <w:footnote w:id="26">
    <w:p w14:paraId="58ACF709" w14:textId="77777777" w:rsidR="00400EB6" w:rsidRPr="00B751E2" w:rsidRDefault="00400EB6" w:rsidP="00761C36">
      <w:pPr>
        <w:pStyle w:val="FootnoteText"/>
        <w:spacing w:line="240" w:lineRule="auto"/>
        <w:jc w:val="both"/>
        <w:rPr>
          <w:lang w:val="en-US"/>
        </w:rPr>
      </w:pPr>
      <w:r>
        <w:rPr>
          <w:rStyle w:val="FootnoteReference"/>
        </w:rPr>
        <w:footnoteRef/>
      </w:r>
      <w:r>
        <w:t xml:space="preserve"> </w:t>
      </w:r>
      <w:r>
        <w:rPr>
          <w:i/>
          <w:iCs/>
          <w:lang w:val="en-US"/>
        </w:rPr>
        <w:t xml:space="preserve">S v Qamata </w:t>
      </w:r>
      <w:r>
        <w:rPr>
          <w:lang w:val="en-US"/>
        </w:rPr>
        <w:t>1997 (1) SACR 479 (E) at 482</w:t>
      </w:r>
      <w:r>
        <w:rPr>
          <w:i/>
          <w:iCs/>
          <w:lang w:val="en-US"/>
        </w:rPr>
        <w:t>c-d</w:t>
      </w:r>
      <w:r>
        <w:rPr>
          <w:lang w:val="en-US"/>
        </w:rPr>
        <w:t xml:space="preserve">. Cf </w:t>
      </w:r>
      <w:r>
        <w:rPr>
          <w:i/>
          <w:iCs/>
          <w:lang w:val="en-US"/>
        </w:rPr>
        <w:t>S v Ndou</w:t>
      </w:r>
      <w:r>
        <w:rPr>
          <w:lang w:val="en-US"/>
        </w:rPr>
        <w:t xml:space="preserve"> 2019 (2) SACR 243 (SCA) para 23.</w:t>
      </w:r>
    </w:p>
  </w:footnote>
  <w:footnote w:id="27">
    <w:p w14:paraId="48A96147" w14:textId="77777777" w:rsidR="00DD4464" w:rsidRPr="00E107FA" w:rsidRDefault="00DD4464" w:rsidP="00761C36">
      <w:pPr>
        <w:pStyle w:val="FootnoteText"/>
        <w:spacing w:line="240" w:lineRule="auto"/>
        <w:jc w:val="both"/>
        <w:rPr>
          <w:lang w:val="en-US"/>
        </w:rPr>
      </w:pPr>
      <w:r>
        <w:rPr>
          <w:rStyle w:val="FootnoteReference"/>
        </w:rPr>
        <w:footnoteRef/>
      </w:r>
      <w:r>
        <w:t xml:space="preserve"> </w:t>
      </w:r>
      <w:r>
        <w:rPr>
          <w:i/>
          <w:iCs/>
          <w:lang w:val="en-US"/>
        </w:rPr>
        <w:t>Madolwana v S</w:t>
      </w:r>
      <w:r>
        <w:rPr>
          <w:lang w:val="en-US"/>
        </w:rPr>
        <w:t xml:space="preserve"> [2013] ZAECGHC 67.</w:t>
      </w:r>
    </w:p>
  </w:footnote>
  <w:footnote w:id="28">
    <w:p w14:paraId="62B7D635" w14:textId="62EFF570" w:rsidR="00761C36" w:rsidRPr="00761C36" w:rsidRDefault="00761C36" w:rsidP="00761C36">
      <w:pPr>
        <w:pStyle w:val="FootnoteText"/>
        <w:spacing w:line="240" w:lineRule="auto"/>
        <w:jc w:val="both"/>
        <w:rPr>
          <w:lang w:val="en-US"/>
        </w:rPr>
      </w:pPr>
      <w:r>
        <w:rPr>
          <w:rStyle w:val="FootnoteReference"/>
        </w:rPr>
        <w:footnoteRef/>
      </w:r>
      <w:r>
        <w:t xml:space="preserve"> </w:t>
      </w:r>
      <w:r>
        <w:rPr>
          <w:lang w:val="en-US"/>
        </w:rPr>
        <w:t>The consequence of conviction of an offence involving sexual abuse of an older person, in addition to constituting an aggravating circumstance in terms of s 30(4) of the Older Persons Act, 2006 (Act 13 of 2006), is that the convicted person’s name must appear in the National Register contemplated in s 31 of that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59F94CDC"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5125">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727A43"/>
    <w:multiLevelType w:val="hybridMultilevel"/>
    <w:tmpl w:val="95FEDB2A"/>
    <w:lvl w:ilvl="0" w:tplc="E5384C9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56507F1F"/>
    <w:multiLevelType w:val="hybridMultilevel"/>
    <w:tmpl w:val="40F8D6EE"/>
    <w:lvl w:ilvl="0" w:tplc="3EEEC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C8A71B4"/>
    <w:multiLevelType w:val="hybridMultilevel"/>
    <w:tmpl w:val="03F658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99015EE"/>
    <w:multiLevelType w:val="hybridMultilevel"/>
    <w:tmpl w:val="070C9E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607B5"/>
    <w:multiLevelType w:val="hybridMultilevel"/>
    <w:tmpl w:val="03F6587E"/>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2"/>
  </w:num>
  <w:num w:numId="6">
    <w:abstractNumId w:val="6"/>
  </w:num>
  <w:num w:numId="7">
    <w:abstractNumId w:val="14"/>
  </w:num>
  <w:num w:numId="8">
    <w:abstractNumId w:val="1"/>
  </w:num>
  <w:num w:numId="9">
    <w:abstractNumId w:val="5"/>
  </w:num>
  <w:num w:numId="10">
    <w:abstractNumId w:val="7"/>
  </w:num>
  <w:num w:numId="11">
    <w:abstractNumId w:val="11"/>
  </w:num>
  <w:num w:numId="12">
    <w:abstractNumId w:val="8"/>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0C99"/>
    <w:rsid w:val="0000217A"/>
    <w:rsid w:val="00003CA8"/>
    <w:rsid w:val="00004E1E"/>
    <w:rsid w:val="00005691"/>
    <w:rsid w:val="00005ABB"/>
    <w:rsid w:val="00005BC2"/>
    <w:rsid w:val="0000642E"/>
    <w:rsid w:val="00006EF3"/>
    <w:rsid w:val="00007087"/>
    <w:rsid w:val="00007904"/>
    <w:rsid w:val="000109B4"/>
    <w:rsid w:val="00012A2F"/>
    <w:rsid w:val="00014437"/>
    <w:rsid w:val="00014770"/>
    <w:rsid w:val="00015759"/>
    <w:rsid w:val="00016FDA"/>
    <w:rsid w:val="00017D8D"/>
    <w:rsid w:val="000220C3"/>
    <w:rsid w:val="00022804"/>
    <w:rsid w:val="000264DE"/>
    <w:rsid w:val="00027DA3"/>
    <w:rsid w:val="00030A25"/>
    <w:rsid w:val="00031A17"/>
    <w:rsid w:val="000323B0"/>
    <w:rsid w:val="000325DB"/>
    <w:rsid w:val="00034033"/>
    <w:rsid w:val="00034140"/>
    <w:rsid w:val="000341AF"/>
    <w:rsid w:val="00034B32"/>
    <w:rsid w:val="0003553E"/>
    <w:rsid w:val="0004040E"/>
    <w:rsid w:val="00040F79"/>
    <w:rsid w:val="000422CD"/>
    <w:rsid w:val="0004347D"/>
    <w:rsid w:val="0004373B"/>
    <w:rsid w:val="00044B50"/>
    <w:rsid w:val="000451D0"/>
    <w:rsid w:val="000460AC"/>
    <w:rsid w:val="00047035"/>
    <w:rsid w:val="000478E8"/>
    <w:rsid w:val="00047962"/>
    <w:rsid w:val="0005061D"/>
    <w:rsid w:val="00051F6C"/>
    <w:rsid w:val="000536DD"/>
    <w:rsid w:val="00053D81"/>
    <w:rsid w:val="00054DEC"/>
    <w:rsid w:val="00056042"/>
    <w:rsid w:val="00056FBA"/>
    <w:rsid w:val="000574BF"/>
    <w:rsid w:val="00061F1B"/>
    <w:rsid w:val="00063188"/>
    <w:rsid w:val="00063C6E"/>
    <w:rsid w:val="00063D5A"/>
    <w:rsid w:val="00066B9E"/>
    <w:rsid w:val="00066BB6"/>
    <w:rsid w:val="00066D66"/>
    <w:rsid w:val="000703FF"/>
    <w:rsid w:val="0007050F"/>
    <w:rsid w:val="000706E8"/>
    <w:rsid w:val="000722A3"/>
    <w:rsid w:val="0007234C"/>
    <w:rsid w:val="00073B24"/>
    <w:rsid w:val="00073EFC"/>
    <w:rsid w:val="00074CED"/>
    <w:rsid w:val="00075125"/>
    <w:rsid w:val="00076035"/>
    <w:rsid w:val="00076D05"/>
    <w:rsid w:val="000778A4"/>
    <w:rsid w:val="00080D4E"/>
    <w:rsid w:val="000815F5"/>
    <w:rsid w:val="00082639"/>
    <w:rsid w:val="00083322"/>
    <w:rsid w:val="00083386"/>
    <w:rsid w:val="000833DB"/>
    <w:rsid w:val="00084262"/>
    <w:rsid w:val="00084C6F"/>
    <w:rsid w:val="0008519B"/>
    <w:rsid w:val="00085961"/>
    <w:rsid w:val="00086278"/>
    <w:rsid w:val="00086A06"/>
    <w:rsid w:val="0009015D"/>
    <w:rsid w:val="000910CD"/>
    <w:rsid w:val="00091F8C"/>
    <w:rsid w:val="0009497C"/>
    <w:rsid w:val="00094FB3"/>
    <w:rsid w:val="00096BC1"/>
    <w:rsid w:val="000976CA"/>
    <w:rsid w:val="000A59DC"/>
    <w:rsid w:val="000B0946"/>
    <w:rsid w:val="000B0DC8"/>
    <w:rsid w:val="000B26AE"/>
    <w:rsid w:val="000B26CF"/>
    <w:rsid w:val="000B3467"/>
    <w:rsid w:val="000B5790"/>
    <w:rsid w:val="000B5FBC"/>
    <w:rsid w:val="000B6309"/>
    <w:rsid w:val="000B643B"/>
    <w:rsid w:val="000B7359"/>
    <w:rsid w:val="000B78EC"/>
    <w:rsid w:val="000C020D"/>
    <w:rsid w:val="000C22C0"/>
    <w:rsid w:val="000C2D21"/>
    <w:rsid w:val="000C3531"/>
    <w:rsid w:val="000C3620"/>
    <w:rsid w:val="000C39A5"/>
    <w:rsid w:val="000C3E68"/>
    <w:rsid w:val="000C4064"/>
    <w:rsid w:val="000C450C"/>
    <w:rsid w:val="000C7746"/>
    <w:rsid w:val="000C791F"/>
    <w:rsid w:val="000C7A27"/>
    <w:rsid w:val="000D085B"/>
    <w:rsid w:val="000D0D78"/>
    <w:rsid w:val="000D22FB"/>
    <w:rsid w:val="000D3151"/>
    <w:rsid w:val="000D487F"/>
    <w:rsid w:val="000D4BFA"/>
    <w:rsid w:val="000D667A"/>
    <w:rsid w:val="000E07B6"/>
    <w:rsid w:val="000E1C45"/>
    <w:rsid w:val="000E1DF5"/>
    <w:rsid w:val="000E2444"/>
    <w:rsid w:val="000E3E15"/>
    <w:rsid w:val="000E4F0D"/>
    <w:rsid w:val="000E5100"/>
    <w:rsid w:val="000E6E92"/>
    <w:rsid w:val="000E754F"/>
    <w:rsid w:val="000E7ECD"/>
    <w:rsid w:val="000F05E0"/>
    <w:rsid w:val="000F1A95"/>
    <w:rsid w:val="000F4F4D"/>
    <w:rsid w:val="000F5338"/>
    <w:rsid w:val="000F6BFE"/>
    <w:rsid w:val="000F7DF4"/>
    <w:rsid w:val="0010022D"/>
    <w:rsid w:val="0010068E"/>
    <w:rsid w:val="0010218C"/>
    <w:rsid w:val="00102A2A"/>
    <w:rsid w:val="00102D5B"/>
    <w:rsid w:val="001044DB"/>
    <w:rsid w:val="001049F4"/>
    <w:rsid w:val="001054A7"/>
    <w:rsid w:val="0010563E"/>
    <w:rsid w:val="0010622C"/>
    <w:rsid w:val="001078B5"/>
    <w:rsid w:val="00107A5F"/>
    <w:rsid w:val="0011026A"/>
    <w:rsid w:val="00110EF0"/>
    <w:rsid w:val="001124A5"/>
    <w:rsid w:val="0011466E"/>
    <w:rsid w:val="00115702"/>
    <w:rsid w:val="00115A75"/>
    <w:rsid w:val="00116EB9"/>
    <w:rsid w:val="00120E93"/>
    <w:rsid w:val="00121B47"/>
    <w:rsid w:val="001226DE"/>
    <w:rsid w:val="00123296"/>
    <w:rsid w:val="00125449"/>
    <w:rsid w:val="0012621C"/>
    <w:rsid w:val="00130228"/>
    <w:rsid w:val="0013134D"/>
    <w:rsid w:val="00131984"/>
    <w:rsid w:val="00131A28"/>
    <w:rsid w:val="001337CC"/>
    <w:rsid w:val="00133DA2"/>
    <w:rsid w:val="00134C11"/>
    <w:rsid w:val="00135C81"/>
    <w:rsid w:val="0013758A"/>
    <w:rsid w:val="00137E08"/>
    <w:rsid w:val="0014281B"/>
    <w:rsid w:val="00142F79"/>
    <w:rsid w:val="001435EB"/>
    <w:rsid w:val="00144974"/>
    <w:rsid w:val="00146BA3"/>
    <w:rsid w:val="001517E0"/>
    <w:rsid w:val="00152640"/>
    <w:rsid w:val="00156A59"/>
    <w:rsid w:val="00156F74"/>
    <w:rsid w:val="0015711B"/>
    <w:rsid w:val="00157785"/>
    <w:rsid w:val="00157898"/>
    <w:rsid w:val="00157C19"/>
    <w:rsid w:val="00160EBC"/>
    <w:rsid w:val="00160F58"/>
    <w:rsid w:val="001619A6"/>
    <w:rsid w:val="00163A58"/>
    <w:rsid w:val="00170BAF"/>
    <w:rsid w:val="001719E4"/>
    <w:rsid w:val="00172B5C"/>
    <w:rsid w:val="00173547"/>
    <w:rsid w:val="0017409D"/>
    <w:rsid w:val="00174B6D"/>
    <w:rsid w:val="0017614D"/>
    <w:rsid w:val="001776B3"/>
    <w:rsid w:val="0018006A"/>
    <w:rsid w:val="00180F4E"/>
    <w:rsid w:val="00181923"/>
    <w:rsid w:val="00181E7E"/>
    <w:rsid w:val="00182175"/>
    <w:rsid w:val="00184625"/>
    <w:rsid w:val="00186769"/>
    <w:rsid w:val="00186928"/>
    <w:rsid w:val="001870AF"/>
    <w:rsid w:val="00191768"/>
    <w:rsid w:val="00192869"/>
    <w:rsid w:val="001943D2"/>
    <w:rsid w:val="001954F0"/>
    <w:rsid w:val="00195571"/>
    <w:rsid w:val="001955AB"/>
    <w:rsid w:val="00196742"/>
    <w:rsid w:val="001A4F33"/>
    <w:rsid w:val="001A55B6"/>
    <w:rsid w:val="001B0D01"/>
    <w:rsid w:val="001B1C7E"/>
    <w:rsid w:val="001B2578"/>
    <w:rsid w:val="001B2FE4"/>
    <w:rsid w:val="001B505F"/>
    <w:rsid w:val="001B69E3"/>
    <w:rsid w:val="001C04BC"/>
    <w:rsid w:val="001C096A"/>
    <w:rsid w:val="001C2DD7"/>
    <w:rsid w:val="001C48A5"/>
    <w:rsid w:val="001C7061"/>
    <w:rsid w:val="001D0962"/>
    <w:rsid w:val="001D214B"/>
    <w:rsid w:val="001D31FD"/>
    <w:rsid w:val="001D5A9D"/>
    <w:rsid w:val="001D5F83"/>
    <w:rsid w:val="001D61C8"/>
    <w:rsid w:val="001E0F36"/>
    <w:rsid w:val="001E1810"/>
    <w:rsid w:val="001E1834"/>
    <w:rsid w:val="001E1B07"/>
    <w:rsid w:val="001E24E0"/>
    <w:rsid w:val="001E4824"/>
    <w:rsid w:val="001E640A"/>
    <w:rsid w:val="001E6A6E"/>
    <w:rsid w:val="001E701F"/>
    <w:rsid w:val="001E7844"/>
    <w:rsid w:val="001E78D5"/>
    <w:rsid w:val="001E7C8F"/>
    <w:rsid w:val="001F0047"/>
    <w:rsid w:val="001F2219"/>
    <w:rsid w:val="001F2276"/>
    <w:rsid w:val="001F335C"/>
    <w:rsid w:val="001F3A41"/>
    <w:rsid w:val="001F59AB"/>
    <w:rsid w:val="00200C57"/>
    <w:rsid w:val="00201DC6"/>
    <w:rsid w:val="00201F12"/>
    <w:rsid w:val="002031B5"/>
    <w:rsid w:val="00206D6C"/>
    <w:rsid w:val="00207573"/>
    <w:rsid w:val="002115FE"/>
    <w:rsid w:val="00214200"/>
    <w:rsid w:val="0021430F"/>
    <w:rsid w:val="00215EBC"/>
    <w:rsid w:val="0021730A"/>
    <w:rsid w:val="00217399"/>
    <w:rsid w:val="002203EC"/>
    <w:rsid w:val="00222854"/>
    <w:rsid w:val="00224363"/>
    <w:rsid w:val="0022594E"/>
    <w:rsid w:val="002262D5"/>
    <w:rsid w:val="00226444"/>
    <w:rsid w:val="00226ADA"/>
    <w:rsid w:val="00227379"/>
    <w:rsid w:val="00231325"/>
    <w:rsid w:val="00231C6D"/>
    <w:rsid w:val="00233297"/>
    <w:rsid w:val="0023410F"/>
    <w:rsid w:val="00234238"/>
    <w:rsid w:val="00234FA7"/>
    <w:rsid w:val="0023677B"/>
    <w:rsid w:val="00236B9D"/>
    <w:rsid w:val="00236E11"/>
    <w:rsid w:val="0023768E"/>
    <w:rsid w:val="0023772E"/>
    <w:rsid w:val="002402F6"/>
    <w:rsid w:val="002409B7"/>
    <w:rsid w:val="00241EE0"/>
    <w:rsid w:val="00242184"/>
    <w:rsid w:val="00245504"/>
    <w:rsid w:val="00245BEB"/>
    <w:rsid w:val="00247551"/>
    <w:rsid w:val="00250530"/>
    <w:rsid w:val="0025056A"/>
    <w:rsid w:val="00252FC1"/>
    <w:rsid w:val="00253273"/>
    <w:rsid w:val="00253923"/>
    <w:rsid w:val="00256208"/>
    <w:rsid w:val="00256FCC"/>
    <w:rsid w:val="00257A15"/>
    <w:rsid w:val="00260404"/>
    <w:rsid w:val="002606D8"/>
    <w:rsid w:val="00260725"/>
    <w:rsid w:val="00260A94"/>
    <w:rsid w:val="00260B67"/>
    <w:rsid w:val="002612A5"/>
    <w:rsid w:val="00261583"/>
    <w:rsid w:val="0026158F"/>
    <w:rsid w:val="00262D2A"/>
    <w:rsid w:val="00263057"/>
    <w:rsid w:val="002635B7"/>
    <w:rsid w:val="00263B8D"/>
    <w:rsid w:val="0026495C"/>
    <w:rsid w:val="00265010"/>
    <w:rsid w:val="00265180"/>
    <w:rsid w:val="00265AEB"/>
    <w:rsid w:val="0026634E"/>
    <w:rsid w:val="0026645C"/>
    <w:rsid w:val="002705E9"/>
    <w:rsid w:val="00271FFA"/>
    <w:rsid w:val="00274C64"/>
    <w:rsid w:val="002753E7"/>
    <w:rsid w:val="00275410"/>
    <w:rsid w:val="00276100"/>
    <w:rsid w:val="002763E0"/>
    <w:rsid w:val="00276B34"/>
    <w:rsid w:val="002770FB"/>
    <w:rsid w:val="00277EB6"/>
    <w:rsid w:val="002838FF"/>
    <w:rsid w:val="002852C4"/>
    <w:rsid w:val="00285664"/>
    <w:rsid w:val="00287A18"/>
    <w:rsid w:val="00287A26"/>
    <w:rsid w:val="00287D2F"/>
    <w:rsid w:val="00290DC6"/>
    <w:rsid w:val="00290E92"/>
    <w:rsid w:val="00293619"/>
    <w:rsid w:val="0029395B"/>
    <w:rsid w:val="00294129"/>
    <w:rsid w:val="00294313"/>
    <w:rsid w:val="00294E65"/>
    <w:rsid w:val="002959FD"/>
    <w:rsid w:val="002960D0"/>
    <w:rsid w:val="002A01B5"/>
    <w:rsid w:val="002A080F"/>
    <w:rsid w:val="002A0EB5"/>
    <w:rsid w:val="002A157A"/>
    <w:rsid w:val="002A1950"/>
    <w:rsid w:val="002A1D97"/>
    <w:rsid w:val="002A1DD2"/>
    <w:rsid w:val="002A1E2F"/>
    <w:rsid w:val="002A21AF"/>
    <w:rsid w:val="002A25CB"/>
    <w:rsid w:val="002A2AA4"/>
    <w:rsid w:val="002A3836"/>
    <w:rsid w:val="002A3C5C"/>
    <w:rsid w:val="002A61D9"/>
    <w:rsid w:val="002A6332"/>
    <w:rsid w:val="002A6593"/>
    <w:rsid w:val="002A6B82"/>
    <w:rsid w:val="002A73A7"/>
    <w:rsid w:val="002B287C"/>
    <w:rsid w:val="002B31B7"/>
    <w:rsid w:val="002B3FE3"/>
    <w:rsid w:val="002B4303"/>
    <w:rsid w:val="002B54B7"/>
    <w:rsid w:val="002B6730"/>
    <w:rsid w:val="002B7874"/>
    <w:rsid w:val="002C0D2D"/>
    <w:rsid w:val="002C1ECF"/>
    <w:rsid w:val="002C35A5"/>
    <w:rsid w:val="002C3A0D"/>
    <w:rsid w:val="002C45D8"/>
    <w:rsid w:val="002C7128"/>
    <w:rsid w:val="002C7CD1"/>
    <w:rsid w:val="002D1093"/>
    <w:rsid w:val="002D26D4"/>
    <w:rsid w:val="002D373B"/>
    <w:rsid w:val="002D4CBC"/>
    <w:rsid w:val="002D600B"/>
    <w:rsid w:val="002D6D70"/>
    <w:rsid w:val="002E0CCA"/>
    <w:rsid w:val="002E141A"/>
    <w:rsid w:val="002E1B95"/>
    <w:rsid w:val="002E2821"/>
    <w:rsid w:val="002E29D5"/>
    <w:rsid w:val="002E3EC7"/>
    <w:rsid w:val="002E4808"/>
    <w:rsid w:val="002E483E"/>
    <w:rsid w:val="002E7045"/>
    <w:rsid w:val="002E7199"/>
    <w:rsid w:val="002F012F"/>
    <w:rsid w:val="002F0513"/>
    <w:rsid w:val="002F0990"/>
    <w:rsid w:val="002F0C58"/>
    <w:rsid w:val="002F13D1"/>
    <w:rsid w:val="002F37F8"/>
    <w:rsid w:val="002F4EDB"/>
    <w:rsid w:val="002F5913"/>
    <w:rsid w:val="002F60D3"/>
    <w:rsid w:val="002F7574"/>
    <w:rsid w:val="00300A59"/>
    <w:rsid w:val="0030214A"/>
    <w:rsid w:val="00302E78"/>
    <w:rsid w:val="00303903"/>
    <w:rsid w:val="00305E00"/>
    <w:rsid w:val="00306288"/>
    <w:rsid w:val="00307B60"/>
    <w:rsid w:val="003140F9"/>
    <w:rsid w:val="003148EA"/>
    <w:rsid w:val="003150CA"/>
    <w:rsid w:val="00315CB8"/>
    <w:rsid w:val="00315D8D"/>
    <w:rsid w:val="003168ED"/>
    <w:rsid w:val="00317279"/>
    <w:rsid w:val="003172EB"/>
    <w:rsid w:val="00317AB4"/>
    <w:rsid w:val="00320D2B"/>
    <w:rsid w:val="00321E11"/>
    <w:rsid w:val="003228A7"/>
    <w:rsid w:val="00324CE8"/>
    <w:rsid w:val="003257F0"/>
    <w:rsid w:val="00325BD4"/>
    <w:rsid w:val="00326A33"/>
    <w:rsid w:val="0032785C"/>
    <w:rsid w:val="00327E36"/>
    <w:rsid w:val="00330795"/>
    <w:rsid w:val="00330E85"/>
    <w:rsid w:val="0033219D"/>
    <w:rsid w:val="00332E4A"/>
    <w:rsid w:val="00334624"/>
    <w:rsid w:val="00335693"/>
    <w:rsid w:val="00335897"/>
    <w:rsid w:val="0033634C"/>
    <w:rsid w:val="0033669D"/>
    <w:rsid w:val="003367DD"/>
    <w:rsid w:val="00341ACD"/>
    <w:rsid w:val="00343E5D"/>
    <w:rsid w:val="0034439B"/>
    <w:rsid w:val="003455A7"/>
    <w:rsid w:val="003469BB"/>
    <w:rsid w:val="00346C79"/>
    <w:rsid w:val="00350743"/>
    <w:rsid w:val="00350A47"/>
    <w:rsid w:val="003513CA"/>
    <w:rsid w:val="00351FAC"/>
    <w:rsid w:val="003529AF"/>
    <w:rsid w:val="00352B0A"/>
    <w:rsid w:val="00353652"/>
    <w:rsid w:val="003538A2"/>
    <w:rsid w:val="00353EE6"/>
    <w:rsid w:val="003564CA"/>
    <w:rsid w:val="00356C9E"/>
    <w:rsid w:val="0035756C"/>
    <w:rsid w:val="00357751"/>
    <w:rsid w:val="003601F1"/>
    <w:rsid w:val="00360BFC"/>
    <w:rsid w:val="00362A40"/>
    <w:rsid w:val="003638BC"/>
    <w:rsid w:val="00363BF3"/>
    <w:rsid w:val="003643EC"/>
    <w:rsid w:val="003649E8"/>
    <w:rsid w:val="00365617"/>
    <w:rsid w:val="00366631"/>
    <w:rsid w:val="003679D5"/>
    <w:rsid w:val="00367B79"/>
    <w:rsid w:val="003700BB"/>
    <w:rsid w:val="0037015D"/>
    <w:rsid w:val="003709E4"/>
    <w:rsid w:val="0037217E"/>
    <w:rsid w:val="00373275"/>
    <w:rsid w:val="00373BB6"/>
    <w:rsid w:val="00373F1C"/>
    <w:rsid w:val="00374158"/>
    <w:rsid w:val="00374F02"/>
    <w:rsid w:val="00375614"/>
    <w:rsid w:val="0037584F"/>
    <w:rsid w:val="0037647C"/>
    <w:rsid w:val="00376D8C"/>
    <w:rsid w:val="00380E60"/>
    <w:rsid w:val="00381483"/>
    <w:rsid w:val="00381C36"/>
    <w:rsid w:val="00381D62"/>
    <w:rsid w:val="00383846"/>
    <w:rsid w:val="003869D5"/>
    <w:rsid w:val="00390403"/>
    <w:rsid w:val="003905B9"/>
    <w:rsid w:val="00391537"/>
    <w:rsid w:val="0039206E"/>
    <w:rsid w:val="003926BF"/>
    <w:rsid w:val="00392A4B"/>
    <w:rsid w:val="00392AA2"/>
    <w:rsid w:val="00393BA3"/>
    <w:rsid w:val="00394EED"/>
    <w:rsid w:val="0039527F"/>
    <w:rsid w:val="00395A71"/>
    <w:rsid w:val="0039682A"/>
    <w:rsid w:val="003A37F4"/>
    <w:rsid w:val="003A43DC"/>
    <w:rsid w:val="003A4F1D"/>
    <w:rsid w:val="003A4F95"/>
    <w:rsid w:val="003A5A3F"/>
    <w:rsid w:val="003A6F71"/>
    <w:rsid w:val="003A745C"/>
    <w:rsid w:val="003A7AA6"/>
    <w:rsid w:val="003B01D4"/>
    <w:rsid w:val="003B10EC"/>
    <w:rsid w:val="003B1570"/>
    <w:rsid w:val="003B3C31"/>
    <w:rsid w:val="003B43B8"/>
    <w:rsid w:val="003B5FEE"/>
    <w:rsid w:val="003B74EA"/>
    <w:rsid w:val="003B76D9"/>
    <w:rsid w:val="003C0CEB"/>
    <w:rsid w:val="003C351A"/>
    <w:rsid w:val="003C3BC6"/>
    <w:rsid w:val="003C431C"/>
    <w:rsid w:val="003C5934"/>
    <w:rsid w:val="003C59EE"/>
    <w:rsid w:val="003C6CB4"/>
    <w:rsid w:val="003C7080"/>
    <w:rsid w:val="003D11D0"/>
    <w:rsid w:val="003D239A"/>
    <w:rsid w:val="003D2C74"/>
    <w:rsid w:val="003D39A1"/>
    <w:rsid w:val="003D4294"/>
    <w:rsid w:val="003D5245"/>
    <w:rsid w:val="003D5507"/>
    <w:rsid w:val="003D5A10"/>
    <w:rsid w:val="003D5E6D"/>
    <w:rsid w:val="003D7CB9"/>
    <w:rsid w:val="003E0F7C"/>
    <w:rsid w:val="003E2552"/>
    <w:rsid w:val="003E2855"/>
    <w:rsid w:val="003E2B73"/>
    <w:rsid w:val="003E2F03"/>
    <w:rsid w:val="003E3BBF"/>
    <w:rsid w:val="003E424A"/>
    <w:rsid w:val="003E60EC"/>
    <w:rsid w:val="003E75F3"/>
    <w:rsid w:val="003F0D9E"/>
    <w:rsid w:val="003F1788"/>
    <w:rsid w:val="003F1974"/>
    <w:rsid w:val="003F1E75"/>
    <w:rsid w:val="003F1EE9"/>
    <w:rsid w:val="003F2109"/>
    <w:rsid w:val="003F353D"/>
    <w:rsid w:val="003F50FF"/>
    <w:rsid w:val="003F5900"/>
    <w:rsid w:val="003F6355"/>
    <w:rsid w:val="00400266"/>
    <w:rsid w:val="00400EB6"/>
    <w:rsid w:val="00401A9A"/>
    <w:rsid w:val="00402EEA"/>
    <w:rsid w:val="004031EE"/>
    <w:rsid w:val="00405CEF"/>
    <w:rsid w:val="00406337"/>
    <w:rsid w:val="00406A00"/>
    <w:rsid w:val="004074B3"/>
    <w:rsid w:val="004075EA"/>
    <w:rsid w:val="004103A8"/>
    <w:rsid w:val="00410C82"/>
    <w:rsid w:val="0041108E"/>
    <w:rsid w:val="00411FE8"/>
    <w:rsid w:val="00412DF2"/>
    <w:rsid w:val="004136F2"/>
    <w:rsid w:val="004138F5"/>
    <w:rsid w:val="00413D22"/>
    <w:rsid w:val="00414C90"/>
    <w:rsid w:val="00414D46"/>
    <w:rsid w:val="0041510B"/>
    <w:rsid w:val="004151DF"/>
    <w:rsid w:val="00415640"/>
    <w:rsid w:val="004160A7"/>
    <w:rsid w:val="004165B0"/>
    <w:rsid w:val="004165D6"/>
    <w:rsid w:val="0042163E"/>
    <w:rsid w:val="0042235C"/>
    <w:rsid w:val="00422790"/>
    <w:rsid w:val="00423163"/>
    <w:rsid w:val="00427318"/>
    <w:rsid w:val="004276CD"/>
    <w:rsid w:val="0042778E"/>
    <w:rsid w:val="00427843"/>
    <w:rsid w:val="004302B6"/>
    <w:rsid w:val="0043127D"/>
    <w:rsid w:val="0043230A"/>
    <w:rsid w:val="00433ACA"/>
    <w:rsid w:val="0043511C"/>
    <w:rsid w:val="00435538"/>
    <w:rsid w:val="00437E88"/>
    <w:rsid w:val="004402A9"/>
    <w:rsid w:val="00440672"/>
    <w:rsid w:val="00441332"/>
    <w:rsid w:val="00441E70"/>
    <w:rsid w:val="004420CF"/>
    <w:rsid w:val="00443779"/>
    <w:rsid w:val="00443CCC"/>
    <w:rsid w:val="004441E4"/>
    <w:rsid w:val="004448A6"/>
    <w:rsid w:val="004448E8"/>
    <w:rsid w:val="004474FB"/>
    <w:rsid w:val="00451115"/>
    <w:rsid w:val="0045164F"/>
    <w:rsid w:val="004528CC"/>
    <w:rsid w:val="004529C3"/>
    <w:rsid w:val="0045608B"/>
    <w:rsid w:val="00462368"/>
    <w:rsid w:val="004652FD"/>
    <w:rsid w:val="004657F4"/>
    <w:rsid w:val="00466979"/>
    <w:rsid w:val="00466D17"/>
    <w:rsid w:val="00467E20"/>
    <w:rsid w:val="00472A4C"/>
    <w:rsid w:val="00472B05"/>
    <w:rsid w:val="00472E85"/>
    <w:rsid w:val="00473068"/>
    <w:rsid w:val="004735D5"/>
    <w:rsid w:val="0047556B"/>
    <w:rsid w:val="00475898"/>
    <w:rsid w:val="00475C2D"/>
    <w:rsid w:val="0047684B"/>
    <w:rsid w:val="00477226"/>
    <w:rsid w:val="004802BA"/>
    <w:rsid w:val="004813E8"/>
    <w:rsid w:val="004827F3"/>
    <w:rsid w:val="00486114"/>
    <w:rsid w:val="004863E4"/>
    <w:rsid w:val="00487264"/>
    <w:rsid w:val="00490530"/>
    <w:rsid w:val="00490D2A"/>
    <w:rsid w:val="0049105D"/>
    <w:rsid w:val="004910A7"/>
    <w:rsid w:val="004918C4"/>
    <w:rsid w:val="004932A2"/>
    <w:rsid w:val="004941FB"/>
    <w:rsid w:val="00496E8C"/>
    <w:rsid w:val="00496EAA"/>
    <w:rsid w:val="004A00B9"/>
    <w:rsid w:val="004A08D7"/>
    <w:rsid w:val="004A5151"/>
    <w:rsid w:val="004A5DB1"/>
    <w:rsid w:val="004A687F"/>
    <w:rsid w:val="004A7359"/>
    <w:rsid w:val="004B1FD8"/>
    <w:rsid w:val="004B3161"/>
    <w:rsid w:val="004B5BAF"/>
    <w:rsid w:val="004B5CB4"/>
    <w:rsid w:val="004B5D40"/>
    <w:rsid w:val="004B632A"/>
    <w:rsid w:val="004B7E82"/>
    <w:rsid w:val="004C06AD"/>
    <w:rsid w:val="004C0946"/>
    <w:rsid w:val="004C0C08"/>
    <w:rsid w:val="004C13CF"/>
    <w:rsid w:val="004C7EB2"/>
    <w:rsid w:val="004D0163"/>
    <w:rsid w:val="004D0AC5"/>
    <w:rsid w:val="004D16FD"/>
    <w:rsid w:val="004D19EB"/>
    <w:rsid w:val="004D35C6"/>
    <w:rsid w:val="004D76FA"/>
    <w:rsid w:val="004D7EFD"/>
    <w:rsid w:val="004E06B4"/>
    <w:rsid w:val="004E189A"/>
    <w:rsid w:val="004E2076"/>
    <w:rsid w:val="004E318F"/>
    <w:rsid w:val="004E5A0A"/>
    <w:rsid w:val="004E6764"/>
    <w:rsid w:val="004F021C"/>
    <w:rsid w:val="004F1757"/>
    <w:rsid w:val="004F1D20"/>
    <w:rsid w:val="004F326C"/>
    <w:rsid w:val="004F38A6"/>
    <w:rsid w:val="004F43B8"/>
    <w:rsid w:val="004F444A"/>
    <w:rsid w:val="004F5575"/>
    <w:rsid w:val="004F6EFC"/>
    <w:rsid w:val="004F79D9"/>
    <w:rsid w:val="0050043E"/>
    <w:rsid w:val="005008A0"/>
    <w:rsid w:val="005014BC"/>
    <w:rsid w:val="00501617"/>
    <w:rsid w:val="00502229"/>
    <w:rsid w:val="005030DE"/>
    <w:rsid w:val="0050634D"/>
    <w:rsid w:val="005078B2"/>
    <w:rsid w:val="005079C1"/>
    <w:rsid w:val="00507BBF"/>
    <w:rsid w:val="00507CE6"/>
    <w:rsid w:val="00511260"/>
    <w:rsid w:val="00511565"/>
    <w:rsid w:val="0051172C"/>
    <w:rsid w:val="00511884"/>
    <w:rsid w:val="005133DB"/>
    <w:rsid w:val="0051380C"/>
    <w:rsid w:val="00514878"/>
    <w:rsid w:val="0051706E"/>
    <w:rsid w:val="00520E7F"/>
    <w:rsid w:val="005220B3"/>
    <w:rsid w:val="00523DBC"/>
    <w:rsid w:val="005244E9"/>
    <w:rsid w:val="00530509"/>
    <w:rsid w:val="00532080"/>
    <w:rsid w:val="005368A1"/>
    <w:rsid w:val="00537971"/>
    <w:rsid w:val="005379EC"/>
    <w:rsid w:val="00540989"/>
    <w:rsid w:val="00541BFB"/>
    <w:rsid w:val="00545009"/>
    <w:rsid w:val="00545140"/>
    <w:rsid w:val="00545668"/>
    <w:rsid w:val="0055098F"/>
    <w:rsid w:val="00550DE2"/>
    <w:rsid w:val="005510B8"/>
    <w:rsid w:val="005512B0"/>
    <w:rsid w:val="005517B9"/>
    <w:rsid w:val="0055245D"/>
    <w:rsid w:val="00553E7D"/>
    <w:rsid w:val="005542BD"/>
    <w:rsid w:val="005543D4"/>
    <w:rsid w:val="00556489"/>
    <w:rsid w:val="00556EDA"/>
    <w:rsid w:val="00556FC7"/>
    <w:rsid w:val="005573D6"/>
    <w:rsid w:val="0056029F"/>
    <w:rsid w:val="005623DC"/>
    <w:rsid w:val="00562DAF"/>
    <w:rsid w:val="005648AC"/>
    <w:rsid w:val="0056509F"/>
    <w:rsid w:val="00565326"/>
    <w:rsid w:val="00570A0D"/>
    <w:rsid w:val="00575102"/>
    <w:rsid w:val="005754FC"/>
    <w:rsid w:val="00575F9C"/>
    <w:rsid w:val="00576979"/>
    <w:rsid w:val="00577D50"/>
    <w:rsid w:val="00580D85"/>
    <w:rsid w:val="005813AC"/>
    <w:rsid w:val="0058354A"/>
    <w:rsid w:val="00584BA7"/>
    <w:rsid w:val="00585FC9"/>
    <w:rsid w:val="00586CFB"/>
    <w:rsid w:val="00587D29"/>
    <w:rsid w:val="00587E30"/>
    <w:rsid w:val="00591072"/>
    <w:rsid w:val="005934B8"/>
    <w:rsid w:val="00594C9D"/>
    <w:rsid w:val="00595C65"/>
    <w:rsid w:val="005964E5"/>
    <w:rsid w:val="005969E2"/>
    <w:rsid w:val="00597705"/>
    <w:rsid w:val="005A0866"/>
    <w:rsid w:val="005A2449"/>
    <w:rsid w:val="005A2623"/>
    <w:rsid w:val="005A2C73"/>
    <w:rsid w:val="005A3E4D"/>
    <w:rsid w:val="005A446D"/>
    <w:rsid w:val="005A4FC0"/>
    <w:rsid w:val="005A71F7"/>
    <w:rsid w:val="005A7D45"/>
    <w:rsid w:val="005B1333"/>
    <w:rsid w:val="005B1872"/>
    <w:rsid w:val="005B247F"/>
    <w:rsid w:val="005B649F"/>
    <w:rsid w:val="005B771E"/>
    <w:rsid w:val="005B7922"/>
    <w:rsid w:val="005B7CEE"/>
    <w:rsid w:val="005C1439"/>
    <w:rsid w:val="005C15DC"/>
    <w:rsid w:val="005C1DEC"/>
    <w:rsid w:val="005C2603"/>
    <w:rsid w:val="005C28AE"/>
    <w:rsid w:val="005C36E4"/>
    <w:rsid w:val="005C4FDA"/>
    <w:rsid w:val="005C5C47"/>
    <w:rsid w:val="005C6A41"/>
    <w:rsid w:val="005C6DF0"/>
    <w:rsid w:val="005D0320"/>
    <w:rsid w:val="005D0B78"/>
    <w:rsid w:val="005D25D6"/>
    <w:rsid w:val="005D2EE1"/>
    <w:rsid w:val="005D3407"/>
    <w:rsid w:val="005D3941"/>
    <w:rsid w:val="005D411A"/>
    <w:rsid w:val="005D47C3"/>
    <w:rsid w:val="005D4CBA"/>
    <w:rsid w:val="005D5E9D"/>
    <w:rsid w:val="005D6A44"/>
    <w:rsid w:val="005D6BF3"/>
    <w:rsid w:val="005D6D77"/>
    <w:rsid w:val="005E1195"/>
    <w:rsid w:val="005E2F30"/>
    <w:rsid w:val="005E3541"/>
    <w:rsid w:val="005E560B"/>
    <w:rsid w:val="005E601A"/>
    <w:rsid w:val="005F03D5"/>
    <w:rsid w:val="005F04A5"/>
    <w:rsid w:val="005F158C"/>
    <w:rsid w:val="005F236B"/>
    <w:rsid w:val="005F4FD7"/>
    <w:rsid w:val="005F6D85"/>
    <w:rsid w:val="005F77BC"/>
    <w:rsid w:val="005F7AAB"/>
    <w:rsid w:val="00600005"/>
    <w:rsid w:val="00600269"/>
    <w:rsid w:val="0060138F"/>
    <w:rsid w:val="0060391E"/>
    <w:rsid w:val="0060443D"/>
    <w:rsid w:val="0060486E"/>
    <w:rsid w:val="006062FB"/>
    <w:rsid w:val="00606867"/>
    <w:rsid w:val="00607419"/>
    <w:rsid w:val="006101AF"/>
    <w:rsid w:val="00611AFF"/>
    <w:rsid w:val="00612393"/>
    <w:rsid w:val="00612AA0"/>
    <w:rsid w:val="00612ACF"/>
    <w:rsid w:val="0061328B"/>
    <w:rsid w:val="00613E36"/>
    <w:rsid w:val="00614A7A"/>
    <w:rsid w:val="00614B7F"/>
    <w:rsid w:val="00616B35"/>
    <w:rsid w:val="00617A30"/>
    <w:rsid w:val="00617F99"/>
    <w:rsid w:val="006215E6"/>
    <w:rsid w:val="00621B4B"/>
    <w:rsid w:val="00622991"/>
    <w:rsid w:val="006232F1"/>
    <w:rsid w:val="00623AFA"/>
    <w:rsid w:val="00623DDE"/>
    <w:rsid w:val="00624695"/>
    <w:rsid w:val="00625D2D"/>
    <w:rsid w:val="00626C29"/>
    <w:rsid w:val="006271A4"/>
    <w:rsid w:val="00630138"/>
    <w:rsid w:val="006313FC"/>
    <w:rsid w:val="0063231B"/>
    <w:rsid w:val="00632E1F"/>
    <w:rsid w:val="006332F2"/>
    <w:rsid w:val="00634B17"/>
    <w:rsid w:val="00634F96"/>
    <w:rsid w:val="00637A17"/>
    <w:rsid w:val="00640A6A"/>
    <w:rsid w:val="00641035"/>
    <w:rsid w:val="00641661"/>
    <w:rsid w:val="00644FB0"/>
    <w:rsid w:val="006476E6"/>
    <w:rsid w:val="00650545"/>
    <w:rsid w:val="00650EE2"/>
    <w:rsid w:val="006511A4"/>
    <w:rsid w:val="006513E2"/>
    <w:rsid w:val="00651916"/>
    <w:rsid w:val="00651BCA"/>
    <w:rsid w:val="00651DE7"/>
    <w:rsid w:val="00651EE3"/>
    <w:rsid w:val="006531C9"/>
    <w:rsid w:val="006535E1"/>
    <w:rsid w:val="00656E14"/>
    <w:rsid w:val="0066025E"/>
    <w:rsid w:val="00661D64"/>
    <w:rsid w:val="0066200A"/>
    <w:rsid w:val="00662682"/>
    <w:rsid w:val="0066366D"/>
    <w:rsid w:val="006639A0"/>
    <w:rsid w:val="00663D7F"/>
    <w:rsid w:val="00664CD0"/>
    <w:rsid w:val="00665D94"/>
    <w:rsid w:val="006668FE"/>
    <w:rsid w:val="00667591"/>
    <w:rsid w:val="00667F9F"/>
    <w:rsid w:val="006710E7"/>
    <w:rsid w:val="00671A0B"/>
    <w:rsid w:val="00671EE6"/>
    <w:rsid w:val="0067210D"/>
    <w:rsid w:val="00672F69"/>
    <w:rsid w:val="00675515"/>
    <w:rsid w:val="00675C81"/>
    <w:rsid w:val="006779BD"/>
    <w:rsid w:val="0068034D"/>
    <w:rsid w:val="00681152"/>
    <w:rsid w:val="00682987"/>
    <w:rsid w:val="00682CE5"/>
    <w:rsid w:val="006841DC"/>
    <w:rsid w:val="00684559"/>
    <w:rsid w:val="0068468E"/>
    <w:rsid w:val="00685DAD"/>
    <w:rsid w:val="0068615D"/>
    <w:rsid w:val="0068675A"/>
    <w:rsid w:val="00687392"/>
    <w:rsid w:val="006875E6"/>
    <w:rsid w:val="00687D53"/>
    <w:rsid w:val="0069106B"/>
    <w:rsid w:val="00691AF2"/>
    <w:rsid w:val="00691CB2"/>
    <w:rsid w:val="00692F48"/>
    <w:rsid w:val="00694527"/>
    <w:rsid w:val="0069550C"/>
    <w:rsid w:val="00697465"/>
    <w:rsid w:val="00697EB1"/>
    <w:rsid w:val="006A2310"/>
    <w:rsid w:val="006A2706"/>
    <w:rsid w:val="006A498B"/>
    <w:rsid w:val="006A504A"/>
    <w:rsid w:val="006A7FE9"/>
    <w:rsid w:val="006B150C"/>
    <w:rsid w:val="006B1DCE"/>
    <w:rsid w:val="006B1EEF"/>
    <w:rsid w:val="006B24BE"/>
    <w:rsid w:val="006B42B2"/>
    <w:rsid w:val="006B6180"/>
    <w:rsid w:val="006B692B"/>
    <w:rsid w:val="006B6D66"/>
    <w:rsid w:val="006C177A"/>
    <w:rsid w:val="006C1B13"/>
    <w:rsid w:val="006C32C4"/>
    <w:rsid w:val="006D067F"/>
    <w:rsid w:val="006D07FB"/>
    <w:rsid w:val="006D4156"/>
    <w:rsid w:val="006D4AF5"/>
    <w:rsid w:val="006D5A67"/>
    <w:rsid w:val="006D762E"/>
    <w:rsid w:val="006D7DFD"/>
    <w:rsid w:val="006E16D1"/>
    <w:rsid w:val="006E1D9A"/>
    <w:rsid w:val="006E28F7"/>
    <w:rsid w:val="006E2B6D"/>
    <w:rsid w:val="006E2D5F"/>
    <w:rsid w:val="006E3C88"/>
    <w:rsid w:val="006E4C1C"/>
    <w:rsid w:val="006E5C66"/>
    <w:rsid w:val="006F09D8"/>
    <w:rsid w:val="006F1624"/>
    <w:rsid w:val="006F282C"/>
    <w:rsid w:val="006F3052"/>
    <w:rsid w:val="006F31BD"/>
    <w:rsid w:val="006F3259"/>
    <w:rsid w:val="006F3C00"/>
    <w:rsid w:val="006F78DB"/>
    <w:rsid w:val="006F7DAF"/>
    <w:rsid w:val="00701995"/>
    <w:rsid w:val="00702046"/>
    <w:rsid w:val="00702C42"/>
    <w:rsid w:val="00704A2E"/>
    <w:rsid w:val="007057AB"/>
    <w:rsid w:val="00707343"/>
    <w:rsid w:val="007073FB"/>
    <w:rsid w:val="00710C28"/>
    <w:rsid w:val="00711C08"/>
    <w:rsid w:val="00711CC1"/>
    <w:rsid w:val="00712ED3"/>
    <w:rsid w:val="00714697"/>
    <w:rsid w:val="00714C9E"/>
    <w:rsid w:val="00715651"/>
    <w:rsid w:val="00717903"/>
    <w:rsid w:val="00717B10"/>
    <w:rsid w:val="00724B29"/>
    <w:rsid w:val="0072753D"/>
    <w:rsid w:val="00727A78"/>
    <w:rsid w:val="007300B4"/>
    <w:rsid w:val="007308AC"/>
    <w:rsid w:val="00730A5A"/>
    <w:rsid w:val="00731207"/>
    <w:rsid w:val="00731A48"/>
    <w:rsid w:val="00734430"/>
    <w:rsid w:val="007348F1"/>
    <w:rsid w:val="00735A7A"/>
    <w:rsid w:val="00737455"/>
    <w:rsid w:val="0074053C"/>
    <w:rsid w:val="00743D4D"/>
    <w:rsid w:val="00743EB1"/>
    <w:rsid w:val="0074485F"/>
    <w:rsid w:val="007451A8"/>
    <w:rsid w:val="00745BF2"/>
    <w:rsid w:val="00745E2B"/>
    <w:rsid w:val="00746757"/>
    <w:rsid w:val="00751ADD"/>
    <w:rsid w:val="007520F6"/>
    <w:rsid w:val="007532C0"/>
    <w:rsid w:val="007537D1"/>
    <w:rsid w:val="00753800"/>
    <w:rsid w:val="0075466D"/>
    <w:rsid w:val="00756020"/>
    <w:rsid w:val="00756098"/>
    <w:rsid w:val="00757F3C"/>
    <w:rsid w:val="00761C36"/>
    <w:rsid w:val="007631E0"/>
    <w:rsid w:val="00763628"/>
    <w:rsid w:val="00763BF3"/>
    <w:rsid w:val="00764F87"/>
    <w:rsid w:val="00766824"/>
    <w:rsid w:val="0076723C"/>
    <w:rsid w:val="00767A6B"/>
    <w:rsid w:val="007709AD"/>
    <w:rsid w:val="00771094"/>
    <w:rsid w:val="00771421"/>
    <w:rsid w:val="00771C95"/>
    <w:rsid w:val="00772E4B"/>
    <w:rsid w:val="007744D5"/>
    <w:rsid w:val="0077459E"/>
    <w:rsid w:val="00775448"/>
    <w:rsid w:val="0077676B"/>
    <w:rsid w:val="00782782"/>
    <w:rsid w:val="007837F0"/>
    <w:rsid w:val="007841E0"/>
    <w:rsid w:val="0078534D"/>
    <w:rsid w:val="007859F6"/>
    <w:rsid w:val="007863FC"/>
    <w:rsid w:val="007866DC"/>
    <w:rsid w:val="00791465"/>
    <w:rsid w:val="0079276A"/>
    <w:rsid w:val="00794AA8"/>
    <w:rsid w:val="00796986"/>
    <w:rsid w:val="00796F39"/>
    <w:rsid w:val="00796F7A"/>
    <w:rsid w:val="00797A49"/>
    <w:rsid w:val="007A0F8C"/>
    <w:rsid w:val="007A1488"/>
    <w:rsid w:val="007A1A81"/>
    <w:rsid w:val="007A1E59"/>
    <w:rsid w:val="007A23E0"/>
    <w:rsid w:val="007A244B"/>
    <w:rsid w:val="007A2884"/>
    <w:rsid w:val="007A3705"/>
    <w:rsid w:val="007A39B0"/>
    <w:rsid w:val="007A41D7"/>
    <w:rsid w:val="007A4E13"/>
    <w:rsid w:val="007A5C4E"/>
    <w:rsid w:val="007A7BBE"/>
    <w:rsid w:val="007B1617"/>
    <w:rsid w:val="007B196E"/>
    <w:rsid w:val="007B1F09"/>
    <w:rsid w:val="007B566C"/>
    <w:rsid w:val="007B686F"/>
    <w:rsid w:val="007B6CEF"/>
    <w:rsid w:val="007C17AD"/>
    <w:rsid w:val="007C247A"/>
    <w:rsid w:val="007C4731"/>
    <w:rsid w:val="007C546A"/>
    <w:rsid w:val="007C6FB2"/>
    <w:rsid w:val="007C72E3"/>
    <w:rsid w:val="007D0644"/>
    <w:rsid w:val="007D0A2D"/>
    <w:rsid w:val="007D2359"/>
    <w:rsid w:val="007D3ACE"/>
    <w:rsid w:val="007D64EC"/>
    <w:rsid w:val="007E0079"/>
    <w:rsid w:val="007E05A2"/>
    <w:rsid w:val="007E1089"/>
    <w:rsid w:val="007E1B26"/>
    <w:rsid w:val="007E1F8D"/>
    <w:rsid w:val="007E5E24"/>
    <w:rsid w:val="007E6413"/>
    <w:rsid w:val="007F1E72"/>
    <w:rsid w:val="007F2C37"/>
    <w:rsid w:val="007F4798"/>
    <w:rsid w:val="007F6DDE"/>
    <w:rsid w:val="00800438"/>
    <w:rsid w:val="008019A5"/>
    <w:rsid w:val="008020C2"/>
    <w:rsid w:val="008020CD"/>
    <w:rsid w:val="00803543"/>
    <w:rsid w:val="00806AFC"/>
    <w:rsid w:val="00810336"/>
    <w:rsid w:val="0081156D"/>
    <w:rsid w:val="00811B30"/>
    <w:rsid w:val="00812D95"/>
    <w:rsid w:val="00813448"/>
    <w:rsid w:val="00814EDE"/>
    <w:rsid w:val="0081612B"/>
    <w:rsid w:val="00816D62"/>
    <w:rsid w:val="00816ED1"/>
    <w:rsid w:val="00821D82"/>
    <w:rsid w:val="008230F2"/>
    <w:rsid w:val="00823442"/>
    <w:rsid w:val="008242ED"/>
    <w:rsid w:val="00825593"/>
    <w:rsid w:val="008276BB"/>
    <w:rsid w:val="00830F6A"/>
    <w:rsid w:val="00831589"/>
    <w:rsid w:val="00831C13"/>
    <w:rsid w:val="00832EA6"/>
    <w:rsid w:val="00832FD6"/>
    <w:rsid w:val="0083336E"/>
    <w:rsid w:val="00834066"/>
    <w:rsid w:val="008343B4"/>
    <w:rsid w:val="00837B9A"/>
    <w:rsid w:val="00837E1F"/>
    <w:rsid w:val="00840086"/>
    <w:rsid w:val="008405CE"/>
    <w:rsid w:val="008405CF"/>
    <w:rsid w:val="00841726"/>
    <w:rsid w:val="008426AA"/>
    <w:rsid w:val="0084295A"/>
    <w:rsid w:val="0084393F"/>
    <w:rsid w:val="00846269"/>
    <w:rsid w:val="00850E95"/>
    <w:rsid w:val="00851511"/>
    <w:rsid w:val="008536CA"/>
    <w:rsid w:val="008547C2"/>
    <w:rsid w:val="00854A89"/>
    <w:rsid w:val="00855355"/>
    <w:rsid w:val="00855600"/>
    <w:rsid w:val="008557C2"/>
    <w:rsid w:val="00855F97"/>
    <w:rsid w:val="00857AA4"/>
    <w:rsid w:val="00857C88"/>
    <w:rsid w:val="0086080D"/>
    <w:rsid w:val="008626AC"/>
    <w:rsid w:val="008634DE"/>
    <w:rsid w:val="008647BD"/>
    <w:rsid w:val="008665C4"/>
    <w:rsid w:val="0086679A"/>
    <w:rsid w:val="0086751C"/>
    <w:rsid w:val="008677E3"/>
    <w:rsid w:val="00867E2A"/>
    <w:rsid w:val="00870B41"/>
    <w:rsid w:val="0087195C"/>
    <w:rsid w:val="00873C6E"/>
    <w:rsid w:val="00875D5A"/>
    <w:rsid w:val="00875F1E"/>
    <w:rsid w:val="00877536"/>
    <w:rsid w:val="00880351"/>
    <w:rsid w:val="0088086C"/>
    <w:rsid w:val="00882735"/>
    <w:rsid w:val="00882EFE"/>
    <w:rsid w:val="00883512"/>
    <w:rsid w:val="00885C05"/>
    <w:rsid w:val="00885F24"/>
    <w:rsid w:val="00885F6F"/>
    <w:rsid w:val="00886D5F"/>
    <w:rsid w:val="00890F28"/>
    <w:rsid w:val="00892541"/>
    <w:rsid w:val="0089372D"/>
    <w:rsid w:val="00893E14"/>
    <w:rsid w:val="0089533C"/>
    <w:rsid w:val="00895554"/>
    <w:rsid w:val="0089565C"/>
    <w:rsid w:val="008957A8"/>
    <w:rsid w:val="00895A54"/>
    <w:rsid w:val="00895B93"/>
    <w:rsid w:val="00896B6A"/>
    <w:rsid w:val="008A0454"/>
    <w:rsid w:val="008A0931"/>
    <w:rsid w:val="008A1381"/>
    <w:rsid w:val="008A1A60"/>
    <w:rsid w:val="008A3B56"/>
    <w:rsid w:val="008A4281"/>
    <w:rsid w:val="008A537D"/>
    <w:rsid w:val="008A7240"/>
    <w:rsid w:val="008A7715"/>
    <w:rsid w:val="008A7BFC"/>
    <w:rsid w:val="008A7CF7"/>
    <w:rsid w:val="008A7FAD"/>
    <w:rsid w:val="008B100F"/>
    <w:rsid w:val="008B1311"/>
    <w:rsid w:val="008B1DA6"/>
    <w:rsid w:val="008B3660"/>
    <w:rsid w:val="008B4543"/>
    <w:rsid w:val="008B64EF"/>
    <w:rsid w:val="008C0436"/>
    <w:rsid w:val="008C210D"/>
    <w:rsid w:val="008C3E59"/>
    <w:rsid w:val="008C480D"/>
    <w:rsid w:val="008C4C45"/>
    <w:rsid w:val="008C522E"/>
    <w:rsid w:val="008C651B"/>
    <w:rsid w:val="008C7138"/>
    <w:rsid w:val="008D2564"/>
    <w:rsid w:val="008D3C26"/>
    <w:rsid w:val="008D7246"/>
    <w:rsid w:val="008D75D5"/>
    <w:rsid w:val="008E1626"/>
    <w:rsid w:val="008E22FB"/>
    <w:rsid w:val="008E270C"/>
    <w:rsid w:val="008E51D4"/>
    <w:rsid w:val="008E66F8"/>
    <w:rsid w:val="008E74EF"/>
    <w:rsid w:val="008E7904"/>
    <w:rsid w:val="008E7EFA"/>
    <w:rsid w:val="008F051D"/>
    <w:rsid w:val="008F0FC5"/>
    <w:rsid w:val="008F0FD2"/>
    <w:rsid w:val="008F17A3"/>
    <w:rsid w:val="008F4376"/>
    <w:rsid w:val="008F51E0"/>
    <w:rsid w:val="008F53AB"/>
    <w:rsid w:val="008F59AF"/>
    <w:rsid w:val="008F5B07"/>
    <w:rsid w:val="008F61FC"/>
    <w:rsid w:val="008F74A5"/>
    <w:rsid w:val="009005B5"/>
    <w:rsid w:val="00901474"/>
    <w:rsid w:val="009014FD"/>
    <w:rsid w:val="00902AA7"/>
    <w:rsid w:val="00903496"/>
    <w:rsid w:val="00903A37"/>
    <w:rsid w:val="009041F8"/>
    <w:rsid w:val="00904D53"/>
    <w:rsid w:val="00905C49"/>
    <w:rsid w:val="00906C53"/>
    <w:rsid w:val="0090737A"/>
    <w:rsid w:val="0091491D"/>
    <w:rsid w:val="00914CED"/>
    <w:rsid w:val="0091517B"/>
    <w:rsid w:val="0091707F"/>
    <w:rsid w:val="0092024B"/>
    <w:rsid w:val="009208FB"/>
    <w:rsid w:val="00921597"/>
    <w:rsid w:val="00921696"/>
    <w:rsid w:val="0092525C"/>
    <w:rsid w:val="009257EE"/>
    <w:rsid w:val="009262E3"/>
    <w:rsid w:val="00926B09"/>
    <w:rsid w:val="00927E7F"/>
    <w:rsid w:val="009300E6"/>
    <w:rsid w:val="00931856"/>
    <w:rsid w:val="00931957"/>
    <w:rsid w:val="00932217"/>
    <w:rsid w:val="00932259"/>
    <w:rsid w:val="00932565"/>
    <w:rsid w:val="00932831"/>
    <w:rsid w:val="00935EF0"/>
    <w:rsid w:val="0093723D"/>
    <w:rsid w:val="00937B2D"/>
    <w:rsid w:val="00937F6E"/>
    <w:rsid w:val="00940225"/>
    <w:rsid w:val="00941BDA"/>
    <w:rsid w:val="009428DF"/>
    <w:rsid w:val="009429D4"/>
    <w:rsid w:val="00943C4C"/>
    <w:rsid w:val="00943D4D"/>
    <w:rsid w:val="00944464"/>
    <w:rsid w:val="00945BC4"/>
    <w:rsid w:val="009503FE"/>
    <w:rsid w:val="0095291D"/>
    <w:rsid w:val="009534A1"/>
    <w:rsid w:val="00954778"/>
    <w:rsid w:val="0095687B"/>
    <w:rsid w:val="00957168"/>
    <w:rsid w:val="00957730"/>
    <w:rsid w:val="009577E8"/>
    <w:rsid w:val="00960199"/>
    <w:rsid w:val="00960CDB"/>
    <w:rsid w:val="00962E0E"/>
    <w:rsid w:val="00964882"/>
    <w:rsid w:val="009648F1"/>
    <w:rsid w:val="00964C44"/>
    <w:rsid w:val="00964DFA"/>
    <w:rsid w:val="0096634B"/>
    <w:rsid w:val="009668FC"/>
    <w:rsid w:val="00967F5D"/>
    <w:rsid w:val="0097136D"/>
    <w:rsid w:val="00971B18"/>
    <w:rsid w:val="009737E6"/>
    <w:rsid w:val="0097492C"/>
    <w:rsid w:val="00974E2D"/>
    <w:rsid w:val="00975DB5"/>
    <w:rsid w:val="00976DCD"/>
    <w:rsid w:val="00976F0D"/>
    <w:rsid w:val="0098066C"/>
    <w:rsid w:val="009812F2"/>
    <w:rsid w:val="009814B0"/>
    <w:rsid w:val="00981871"/>
    <w:rsid w:val="00984181"/>
    <w:rsid w:val="0098571F"/>
    <w:rsid w:val="00985BE3"/>
    <w:rsid w:val="00987780"/>
    <w:rsid w:val="00987CE1"/>
    <w:rsid w:val="0099005D"/>
    <w:rsid w:val="00992B0D"/>
    <w:rsid w:val="00992C8B"/>
    <w:rsid w:val="009969E0"/>
    <w:rsid w:val="00996B5C"/>
    <w:rsid w:val="009A0545"/>
    <w:rsid w:val="009A0B4E"/>
    <w:rsid w:val="009A1EC2"/>
    <w:rsid w:val="009A2F84"/>
    <w:rsid w:val="009A36AF"/>
    <w:rsid w:val="009A3E97"/>
    <w:rsid w:val="009A591E"/>
    <w:rsid w:val="009A6B7A"/>
    <w:rsid w:val="009A77E7"/>
    <w:rsid w:val="009B1B5C"/>
    <w:rsid w:val="009B306D"/>
    <w:rsid w:val="009B5983"/>
    <w:rsid w:val="009B7B65"/>
    <w:rsid w:val="009C052D"/>
    <w:rsid w:val="009C09A0"/>
    <w:rsid w:val="009C2135"/>
    <w:rsid w:val="009C323D"/>
    <w:rsid w:val="009C36F1"/>
    <w:rsid w:val="009C3BC3"/>
    <w:rsid w:val="009C3E3C"/>
    <w:rsid w:val="009C4F54"/>
    <w:rsid w:val="009C5271"/>
    <w:rsid w:val="009C63A4"/>
    <w:rsid w:val="009C63D5"/>
    <w:rsid w:val="009C6B5F"/>
    <w:rsid w:val="009C787C"/>
    <w:rsid w:val="009C7FC6"/>
    <w:rsid w:val="009D161A"/>
    <w:rsid w:val="009D1693"/>
    <w:rsid w:val="009D1BCC"/>
    <w:rsid w:val="009D4AB7"/>
    <w:rsid w:val="009D5302"/>
    <w:rsid w:val="009D62F3"/>
    <w:rsid w:val="009D6894"/>
    <w:rsid w:val="009D754F"/>
    <w:rsid w:val="009E1896"/>
    <w:rsid w:val="009E1980"/>
    <w:rsid w:val="009E19D6"/>
    <w:rsid w:val="009E1ACC"/>
    <w:rsid w:val="009E2833"/>
    <w:rsid w:val="009E2BB3"/>
    <w:rsid w:val="009E325E"/>
    <w:rsid w:val="009E3484"/>
    <w:rsid w:val="009E569F"/>
    <w:rsid w:val="009E5FDA"/>
    <w:rsid w:val="009E646F"/>
    <w:rsid w:val="009E776E"/>
    <w:rsid w:val="009F1760"/>
    <w:rsid w:val="009F1878"/>
    <w:rsid w:val="009F1970"/>
    <w:rsid w:val="009F26AB"/>
    <w:rsid w:val="009F3A44"/>
    <w:rsid w:val="009F4396"/>
    <w:rsid w:val="009F5D93"/>
    <w:rsid w:val="009F6F14"/>
    <w:rsid w:val="009F7433"/>
    <w:rsid w:val="00A00F3C"/>
    <w:rsid w:val="00A0144A"/>
    <w:rsid w:val="00A02844"/>
    <w:rsid w:val="00A034F2"/>
    <w:rsid w:val="00A042CC"/>
    <w:rsid w:val="00A06BF5"/>
    <w:rsid w:val="00A073E8"/>
    <w:rsid w:val="00A076B8"/>
    <w:rsid w:val="00A07E9C"/>
    <w:rsid w:val="00A10D46"/>
    <w:rsid w:val="00A11066"/>
    <w:rsid w:val="00A1196D"/>
    <w:rsid w:val="00A11A36"/>
    <w:rsid w:val="00A122F8"/>
    <w:rsid w:val="00A12914"/>
    <w:rsid w:val="00A12A8E"/>
    <w:rsid w:val="00A12EEB"/>
    <w:rsid w:val="00A1367A"/>
    <w:rsid w:val="00A14173"/>
    <w:rsid w:val="00A167B8"/>
    <w:rsid w:val="00A17060"/>
    <w:rsid w:val="00A17ED7"/>
    <w:rsid w:val="00A20492"/>
    <w:rsid w:val="00A2185E"/>
    <w:rsid w:val="00A21919"/>
    <w:rsid w:val="00A23601"/>
    <w:rsid w:val="00A26381"/>
    <w:rsid w:val="00A31C08"/>
    <w:rsid w:val="00A32889"/>
    <w:rsid w:val="00A331C2"/>
    <w:rsid w:val="00A3457A"/>
    <w:rsid w:val="00A36A40"/>
    <w:rsid w:val="00A36D42"/>
    <w:rsid w:val="00A414A1"/>
    <w:rsid w:val="00A41BC0"/>
    <w:rsid w:val="00A42893"/>
    <w:rsid w:val="00A42906"/>
    <w:rsid w:val="00A43118"/>
    <w:rsid w:val="00A43E5D"/>
    <w:rsid w:val="00A45490"/>
    <w:rsid w:val="00A4723D"/>
    <w:rsid w:val="00A47250"/>
    <w:rsid w:val="00A4793C"/>
    <w:rsid w:val="00A5180C"/>
    <w:rsid w:val="00A521EE"/>
    <w:rsid w:val="00A5427C"/>
    <w:rsid w:val="00A55822"/>
    <w:rsid w:val="00A55D40"/>
    <w:rsid w:val="00A603C3"/>
    <w:rsid w:val="00A61267"/>
    <w:rsid w:val="00A61F0A"/>
    <w:rsid w:val="00A63829"/>
    <w:rsid w:val="00A64250"/>
    <w:rsid w:val="00A64FD8"/>
    <w:rsid w:val="00A6550F"/>
    <w:rsid w:val="00A66B50"/>
    <w:rsid w:val="00A67C97"/>
    <w:rsid w:val="00A70770"/>
    <w:rsid w:val="00A711F9"/>
    <w:rsid w:val="00A71783"/>
    <w:rsid w:val="00A719FE"/>
    <w:rsid w:val="00A7254F"/>
    <w:rsid w:val="00A738DD"/>
    <w:rsid w:val="00A73CDC"/>
    <w:rsid w:val="00A74937"/>
    <w:rsid w:val="00A75B14"/>
    <w:rsid w:val="00A75B8E"/>
    <w:rsid w:val="00A768FF"/>
    <w:rsid w:val="00A80111"/>
    <w:rsid w:val="00A817F5"/>
    <w:rsid w:val="00A81DF8"/>
    <w:rsid w:val="00A82B55"/>
    <w:rsid w:val="00A82BBA"/>
    <w:rsid w:val="00A83F39"/>
    <w:rsid w:val="00A84210"/>
    <w:rsid w:val="00A85465"/>
    <w:rsid w:val="00A86419"/>
    <w:rsid w:val="00A866AE"/>
    <w:rsid w:val="00A878A5"/>
    <w:rsid w:val="00A92225"/>
    <w:rsid w:val="00A9381F"/>
    <w:rsid w:val="00A958D5"/>
    <w:rsid w:val="00A95B9A"/>
    <w:rsid w:val="00A95BEF"/>
    <w:rsid w:val="00A95CB4"/>
    <w:rsid w:val="00A96EF7"/>
    <w:rsid w:val="00A976E6"/>
    <w:rsid w:val="00AA00D8"/>
    <w:rsid w:val="00AA12D6"/>
    <w:rsid w:val="00AA32DA"/>
    <w:rsid w:val="00AA45A4"/>
    <w:rsid w:val="00AA4712"/>
    <w:rsid w:val="00AA4FAB"/>
    <w:rsid w:val="00AA65F4"/>
    <w:rsid w:val="00AA7A71"/>
    <w:rsid w:val="00AA7C4D"/>
    <w:rsid w:val="00AA7D47"/>
    <w:rsid w:val="00AB01B3"/>
    <w:rsid w:val="00AB1B2B"/>
    <w:rsid w:val="00AB2D22"/>
    <w:rsid w:val="00AB43EE"/>
    <w:rsid w:val="00AB4F07"/>
    <w:rsid w:val="00AB5121"/>
    <w:rsid w:val="00AB51EA"/>
    <w:rsid w:val="00AB64D4"/>
    <w:rsid w:val="00AB6F0C"/>
    <w:rsid w:val="00AB7962"/>
    <w:rsid w:val="00AC0546"/>
    <w:rsid w:val="00AC1895"/>
    <w:rsid w:val="00AC1EC5"/>
    <w:rsid w:val="00AC4AC4"/>
    <w:rsid w:val="00AC656A"/>
    <w:rsid w:val="00AC7B31"/>
    <w:rsid w:val="00AC7F40"/>
    <w:rsid w:val="00AC7FDF"/>
    <w:rsid w:val="00AD0544"/>
    <w:rsid w:val="00AD061A"/>
    <w:rsid w:val="00AD15A5"/>
    <w:rsid w:val="00AD4D80"/>
    <w:rsid w:val="00AE099A"/>
    <w:rsid w:val="00AE154F"/>
    <w:rsid w:val="00AE1731"/>
    <w:rsid w:val="00AE18E1"/>
    <w:rsid w:val="00AE1EE1"/>
    <w:rsid w:val="00AE207E"/>
    <w:rsid w:val="00AE2782"/>
    <w:rsid w:val="00AE2C20"/>
    <w:rsid w:val="00AE3DAE"/>
    <w:rsid w:val="00AE412E"/>
    <w:rsid w:val="00AE570F"/>
    <w:rsid w:val="00AE5E46"/>
    <w:rsid w:val="00AF05EC"/>
    <w:rsid w:val="00AF2AE0"/>
    <w:rsid w:val="00AF399D"/>
    <w:rsid w:val="00AF3D1A"/>
    <w:rsid w:val="00AF3D6B"/>
    <w:rsid w:val="00AF4917"/>
    <w:rsid w:val="00AF4DC9"/>
    <w:rsid w:val="00AF6292"/>
    <w:rsid w:val="00AF680F"/>
    <w:rsid w:val="00AF6DF0"/>
    <w:rsid w:val="00B00514"/>
    <w:rsid w:val="00B006E1"/>
    <w:rsid w:val="00B00763"/>
    <w:rsid w:val="00B00C04"/>
    <w:rsid w:val="00B01C2D"/>
    <w:rsid w:val="00B01FAF"/>
    <w:rsid w:val="00B04260"/>
    <w:rsid w:val="00B04A4E"/>
    <w:rsid w:val="00B0511A"/>
    <w:rsid w:val="00B05D39"/>
    <w:rsid w:val="00B100BE"/>
    <w:rsid w:val="00B11284"/>
    <w:rsid w:val="00B11F80"/>
    <w:rsid w:val="00B12541"/>
    <w:rsid w:val="00B13A6B"/>
    <w:rsid w:val="00B14FF9"/>
    <w:rsid w:val="00B15D9A"/>
    <w:rsid w:val="00B160F4"/>
    <w:rsid w:val="00B1684F"/>
    <w:rsid w:val="00B1722F"/>
    <w:rsid w:val="00B17322"/>
    <w:rsid w:val="00B1792E"/>
    <w:rsid w:val="00B17A09"/>
    <w:rsid w:val="00B17C6C"/>
    <w:rsid w:val="00B17CCB"/>
    <w:rsid w:val="00B17D99"/>
    <w:rsid w:val="00B20267"/>
    <w:rsid w:val="00B207AC"/>
    <w:rsid w:val="00B20D36"/>
    <w:rsid w:val="00B21512"/>
    <w:rsid w:val="00B21FA2"/>
    <w:rsid w:val="00B235FF"/>
    <w:rsid w:val="00B24486"/>
    <w:rsid w:val="00B24846"/>
    <w:rsid w:val="00B26261"/>
    <w:rsid w:val="00B26963"/>
    <w:rsid w:val="00B26AA4"/>
    <w:rsid w:val="00B30BDA"/>
    <w:rsid w:val="00B30C98"/>
    <w:rsid w:val="00B32AE8"/>
    <w:rsid w:val="00B3323A"/>
    <w:rsid w:val="00B34ECD"/>
    <w:rsid w:val="00B36696"/>
    <w:rsid w:val="00B40005"/>
    <w:rsid w:val="00B41372"/>
    <w:rsid w:val="00B4169E"/>
    <w:rsid w:val="00B418D6"/>
    <w:rsid w:val="00B422B0"/>
    <w:rsid w:val="00B42EDF"/>
    <w:rsid w:val="00B446F9"/>
    <w:rsid w:val="00B45FAE"/>
    <w:rsid w:val="00B5010F"/>
    <w:rsid w:val="00B50382"/>
    <w:rsid w:val="00B512A3"/>
    <w:rsid w:val="00B5143D"/>
    <w:rsid w:val="00B51D10"/>
    <w:rsid w:val="00B51F04"/>
    <w:rsid w:val="00B53331"/>
    <w:rsid w:val="00B559B2"/>
    <w:rsid w:val="00B565D4"/>
    <w:rsid w:val="00B56BAF"/>
    <w:rsid w:val="00B56D2F"/>
    <w:rsid w:val="00B56DA8"/>
    <w:rsid w:val="00B57BF8"/>
    <w:rsid w:val="00B60E51"/>
    <w:rsid w:val="00B63F7F"/>
    <w:rsid w:val="00B6537F"/>
    <w:rsid w:val="00B65433"/>
    <w:rsid w:val="00B65D0C"/>
    <w:rsid w:val="00B65DEE"/>
    <w:rsid w:val="00B673D7"/>
    <w:rsid w:val="00B71571"/>
    <w:rsid w:val="00B715B1"/>
    <w:rsid w:val="00B74A88"/>
    <w:rsid w:val="00B751E2"/>
    <w:rsid w:val="00B759E8"/>
    <w:rsid w:val="00B7619E"/>
    <w:rsid w:val="00B77677"/>
    <w:rsid w:val="00B77BF3"/>
    <w:rsid w:val="00B82E78"/>
    <w:rsid w:val="00B83257"/>
    <w:rsid w:val="00B8381D"/>
    <w:rsid w:val="00B84964"/>
    <w:rsid w:val="00B849F3"/>
    <w:rsid w:val="00B85F87"/>
    <w:rsid w:val="00B9092D"/>
    <w:rsid w:val="00B91527"/>
    <w:rsid w:val="00B92470"/>
    <w:rsid w:val="00B9262A"/>
    <w:rsid w:val="00B92826"/>
    <w:rsid w:val="00B929D1"/>
    <w:rsid w:val="00B93AC6"/>
    <w:rsid w:val="00B95349"/>
    <w:rsid w:val="00B955C0"/>
    <w:rsid w:val="00B95B9C"/>
    <w:rsid w:val="00B961E2"/>
    <w:rsid w:val="00BA0067"/>
    <w:rsid w:val="00BA0B1B"/>
    <w:rsid w:val="00BA0F9A"/>
    <w:rsid w:val="00BA1479"/>
    <w:rsid w:val="00BA2179"/>
    <w:rsid w:val="00BA3D7E"/>
    <w:rsid w:val="00BA4D71"/>
    <w:rsid w:val="00BA54C1"/>
    <w:rsid w:val="00BA5594"/>
    <w:rsid w:val="00BA65AC"/>
    <w:rsid w:val="00BB2985"/>
    <w:rsid w:val="00BB2C35"/>
    <w:rsid w:val="00BC0A20"/>
    <w:rsid w:val="00BC0E67"/>
    <w:rsid w:val="00BC21A0"/>
    <w:rsid w:val="00BC4EF3"/>
    <w:rsid w:val="00BC66C8"/>
    <w:rsid w:val="00BC683A"/>
    <w:rsid w:val="00BC77C0"/>
    <w:rsid w:val="00BD0B25"/>
    <w:rsid w:val="00BD234D"/>
    <w:rsid w:val="00BD2561"/>
    <w:rsid w:val="00BD5DCD"/>
    <w:rsid w:val="00BD616D"/>
    <w:rsid w:val="00BD6C4D"/>
    <w:rsid w:val="00BD7772"/>
    <w:rsid w:val="00BE0997"/>
    <w:rsid w:val="00BE1907"/>
    <w:rsid w:val="00BE1A97"/>
    <w:rsid w:val="00BE3016"/>
    <w:rsid w:val="00BE3AF3"/>
    <w:rsid w:val="00BE3F28"/>
    <w:rsid w:val="00BE485B"/>
    <w:rsid w:val="00BE6A74"/>
    <w:rsid w:val="00BE6F61"/>
    <w:rsid w:val="00BE7D08"/>
    <w:rsid w:val="00BF0840"/>
    <w:rsid w:val="00BF0DFF"/>
    <w:rsid w:val="00BF22B8"/>
    <w:rsid w:val="00BF2603"/>
    <w:rsid w:val="00BF51CE"/>
    <w:rsid w:val="00BF5519"/>
    <w:rsid w:val="00BF5D60"/>
    <w:rsid w:val="00BF6541"/>
    <w:rsid w:val="00C01120"/>
    <w:rsid w:val="00C01A0D"/>
    <w:rsid w:val="00C028D9"/>
    <w:rsid w:val="00C036E4"/>
    <w:rsid w:val="00C038B8"/>
    <w:rsid w:val="00C03B35"/>
    <w:rsid w:val="00C04B28"/>
    <w:rsid w:val="00C06574"/>
    <w:rsid w:val="00C0688E"/>
    <w:rsid w:val="00C06F31"/>
    <w:rsid w:val="00C077E0"/>
    <w:rsid w:val="00C11EE9"/>
    <w:rsid w:val="00C12B8C"/>
    <w:rsid w:val="00C1396B"/>
    <w:rsid w:val="00C155D9"/>
    <w:rsid w:val="00C16834"/>
    <w:rsid w:val="00C2211D"/>
    <w:rsid w:val="00C2344F"/>
    <w:rsid w:val="00C246F2"/>
    <w:rsid w:val="00C247CC"/>
    <w:rsid w:val="00C24989"/>
    <w:rsid w:val="00C25302"/>
    <w:rsid w:val="00C26707"/>
    <w:rsid w:val="00C26A23"/>
    <w:rsid w:val="00C27719"/>
    <w:rsid w:val="00C30D22"/>
    <w:rsid w:val="00C31BCD"/>
    <w:rsid w:val="00C320EB"/>
    <w:rsid w:val="00C32F7B"/>
    <w:rsid w:val="00C3513F"/>
    <w:rsid w:val="00C355AA"/>
    <w:rsid w:val="00C36223"/>
    <w:rsid w:val="00C36A97"/>
    <w:rsid w:val="00C37552"/>
    <w:rsid w:val="00C40725"/>
    <w:rsid w:val="00C4207E"/>
    <w:rsid w:val="00C420B9"/>
    <w:rsid w:val="00C44FCC"/>
    <w:rsid w:val="00C451A3"/>
    <w:rsid w:val="00C4577E"/>
    <w:rsid w:val="00C50C8F"/>
    <w:rsid w:val="00C51156"/>
    <w:rsid w:val="00C51DCC"/>
    <w:rsid w:val="00C530EE"/>
    <w:rsid w:val="00C5382A"/>
    <w:rsid w:val="00C53FD7"/>
    <w:rsid w:val="00C55C61"/>
    <w:rsid w:val="00C562B6"/>
    <w:rsid w:val="00C57047"/>
    <w:rsid w:val="00C64085"/>
    <w:rsid w:val="00C64F44"/>
    <w:rsid w:val="00C650ED"/>
    <w:rsid w:val="00C65132"/>
    <w:rsid w:val="00C65F6A"/>
    <w:rsid w:val="00C679A9"/>
    <w:rsid w:val="00C67F3E"/>
    <w:rsid w:val="00C70CD5"/>
    <w:rsid w:val="00C7216F"/>
    <w:rsid w:val="00C730E4"/>
    <w:rsid w:val="00C73BB8"/>
    <w:rsid w:val="00C74CC5"/>
    <w:rsid w:val="00C75696"/>
    <w:rsid w:val="00C75CC9"/>
    <w:rsid w:val="00C76818"/>
    <w:rsid w:val="00C76B48"/>
    <w:rsid w:val="00C76CC4"/>
    <w:rsid w:val="00C77815"/>
    <w:rsid w:val="00C823C5"/>
    <w:rsid w:val="00C82D42"/>
    <w:rsid w:val="00C8322A"/>
    <w:rsid w:val="00C83583"/>
    <w:rsid w:val="00C837E5"/>
    <w:rsid w:val="00C84B12"/>
    <w:rsid w:val="00C869BC"/>
    <w:rsid w:val="00C8737E"/>
    <w:rsid w:val="00C9243B"/>
    <w:rsid w:val="00C953C0"/>
    <w:rsid w:val="00C96B8B"/>
    <w:rsid w:val="00C96E5A"/>
    <w:rsid w:val="00C97ACC"/>
    <w:rsid w:val="00CA181F"/>
    <w:rsid w:val="00CA2A54"/>
    <w:rsid w:val="00CA3219"/>
    <w:rsid w:val="00CA7A32"/>
    <w:rsid w:val="00CB01EB"/>
    <w:rsid w:val="00CB0DFA"/>
    <w:rsid w:val="00CB250C"/>
    <w:rsid w:val="00CB34D5"/>
    <w:rsid w:val="00CB43BF"/>
    <w:rsid w:val="00CB6B60"/>
    <w:rsid w:val="00CB6CB0"/>
    <w:rsid w:val="00CC03A9"/>
    <w:rsid w:val="00CC134C"/>
    <w:rsid w:val="00CC1F76"/>
    <w:rsid w:val="00CC36F9"/>
    <w:rsid w:val="00CC3E8F"/>
    <w:rsid w:val="00CC5394"/>
    <w:rsid w:val="00CC6551"/>
    <w:rsid w:val="00CD0BA2"/>
    <w:rsid w:val="00CD18DE"/>
    <w:rsid w:val="00CD43F8"/>
    <w:rsid w:val="00CD6218"/>
    <w:rsid w:val="00CD643B"/>
    <w:rsid w:val="00CE0D42"/>
    <w:rsid w:val="00CE1023"/>
    <w:rsid w:val="00CE19D1"/>
    <w:rsid w:val="00CE1BE8"/>
    <w:rsid w:val="00CE23EF"/>
    <w:rsid w:val="00CE6197"/>
    <w:rsid w:val="00CE6490"/>
    <w:rsid w:val="00CE6BEE"/>
    <w:rsid w:val="00CE702E"/>
    <w:rsid w:val="00CE75DD"/>
    <w:rsid w:val="00CE7723"/>
    <w:rsid w:val="00CF088A"/>
    <w:rsid w:val="00CF1AEC"/>
    <w:rsid w:val="00CF38F2"/>
    <w:rsid w:val="00CF4A3E"/>
    <w:rsid w:val="00CF5CD7"/>
    <w:rsid w:val="00CF7767"/>
    <w:rsid w:val="00CF79DF"/>
    <w:rsid w:val="00D00702"/>
    <w:rsid w:val="00D00CEC"/>
    <w:rsid w:val="00D01E61"/>
    <w:rsid w:val="00D02296"/>
    <w:rsid w:val="00D02B99"/>
    <w:rsid w:val="00D0306C"/>
    <w:rsid w:val="00D034FA"/>
    <w:rsid w:val="00D03D80"/>
    <w:rsid w:val="00D0537F"/>
    <w:rsid w:val="00D06027"/>
    <w:rsid w:val="00D068F0"/>
    <w:rsid w:val="00D0751A"/>
    <w:rsid w:val="00D078F8"/>
    <w:rsid w:val="00D07D25"/>
    <w:rsid w:val="00D1005F"/>
    <w:rsid w:val="00D110F0"/>
    <w:rsid w:val="00D116BA"/>
    <w:rsid w:val="00D11DBC"/>
    <w:rsid w:val="00D12327"/>
    <w:rsid w:val="00D12852"/>
    <w:rsid w:val="00D13010"/>
    <w:rsid w:val="00D133F0"/>
    <w:rsid w:val="00D143ED"/>
    <w:rsid w:val="00D16C5A"/>
    <w:rsid w:val="00D16DAA"/>
    <w:rsid w:val="00D17E12"/>
    <w:rsid w:val="00D21B84"/>
    <w:rsid w:val="00D22983"/>
    <w:rsid w:val="00D24417"/>
    <w:rsid w:val="00D25359"/>
    <w:rsid w:val="00D25E7D"/>
    <w:rsid w:val="00D261EA"/>
    <w:rsid w:val="00D26D6A"/>
    <w:rsid w:val="00D27842"/>
    <w:rsid w:val="00D30628"/>
    <w:rsid w:val="00D30CEE"/>
    <w:rsid w:val="00D31D6C"/>
    <w:rsid w:val="00D3282C"/>
    <w:rsid w:val="00D32B3D"/>
    <w:rsid w:val="00D33C8D"/>
    <w:rsid w:val="00D3467C"/>
    <w:rsid w:val="00D37148"/>
    <w:rsid w:val="00D37A00"/>
    <w:rsid w:val="00D40860"/>
    <w:rsid w:val="00D4280D"/>
    <w:rsid w:val="00D42B76"/>
    <w:rsid w:val="00D43787"/>
    <w:rsid w:val="00D447D8"/>
    <w:rsid w:val="00D450B5"/>
    <w:rsid w:val="00D45623"/>
    <w:rsid w:val="00D45942"/>
    <w:rsid w:val="00D45968"/>
    <w:rsid w:val="00D468AF"/>
    <w:rsid w:val="00D470FA"/>
    <w:rsid w:val="00D47F57"/>
    <w:rsid w:val="00D50983"/>
    <w:rsid w:val="00D52B36"/>
    <w:rsid w:val="00D53B35"/>
    <w:rsid w:val="00D5648F"/>
    <w:rsid w:val="00D5686A"/>
    <w:rsid w:val="00D56E3B"/>
    <w:rsid w:val="00D57CC2"/>
    <w:rsid w:val="00D616EC"/>
    <w:rsid w:val="00D637B9"/>
    <w:rsid w:val="00D648BA"/>
    <w:rsid w:val="00D66A4D"/>
    <w:rsid w:val="00D66CAE"/>
    <w:rsid w:val="00D70338"/>
    <w:rsid w:val="00D724E1"/>
    <w:rsid w:val="00D73101"/>
    <w:rsid w:val="00D75F7A"/>
    <w:rsid w:val="00D76A95"/>
    <w:rsid w:val="00D801E1"/>
    <w:rsid w:val="00D82515"/>
    <w:rsid w:val="00D82682"/>
    <w:rsid w:val="00D82E21"/>
    <w:rsid w:val="00D83F64"/>
    <w:rsid w:val="00D840E2"/>
    <w:rsid w:val="00D846FE"/>
    <w:rsid w:val="00D860CB"/>
    <w:rsid w:val="00D8622A"/>
    <w:rsid w:val="00D87786"/>
    <w:rsid w:val="00D87C68"/>
    <w:rsid w:val="00D92783"/>
    <w:rsid w:val="00D92B70"/>
    <w:rsid w:val="00D92D3B"/>
    <w:rsid w:val="00D9456A"/>
    <w:rsid w:val="00D94B4E"/>
    <w:rsid w:val="00D94DBD"/>
    <w:rsid w:val="00D9751A"/>
    <w:rsid w:val="00D97B76"/>
    <w:rsid w:val="00DA00BB"/>
    <w:rsid w:val="00DA38F9"/>
    <w:rsid w:val="00DA776D"/>
    <w:rsid w:val="00DA7AAB"/>
    <w:rsid w:val="00DB0815"/>
    <w:rsid w:val="00DB1859"/>
    <w:rsid w:val="00DB6676"/>
    <w:rsid w:val="00DC2ABE"/>
    <w:rsid w:val="00DC39EA"/>
    <w:rsid w:val="00DC59DE"/>
    <w:rsid w:val="00DC7217"/>
    <w:rsid w:val="00DC79BB"/>
    <w:rsid w:val="00DC7DF5"/>
    <w:rsid w:val="00DD11EB"/>
    <w:rsid w:val="00DD13F1"/>
    <w:rsid w:val="00DD1B8B"/>
    <w:rsid w:val="00DD1F32"/>
    <w:rsid w:val="00DD23D6"/>
    <w:rsid w:val="00DD4464"/>
    <w:rsid w:val="00DD4855"/>
    <w:rsid w:val="00DD75C4"/>
    <w:rsid w:val="00DE1FBA"/>
    <w:rsid w:val="00DE4550"/>
    <w:rsid w:val="00DE55DE"/>
    <w:rsid w:val="00DE5968"/>
    <w:rsid w:val="00DE59E0"/>
    <w:rsid w:val="00DE6A2A"/>
    <w:rsid w:val="00DF1227"/>
    <w:rsid w:val="00DF131F"/>
    <w:rsid w:val="00DF2C98"/>
    <w:rsid w:val="00DF4430"/>
    <w:rsid w:val="00DF5E96"/>
    <w:rsid w:val="00DF77FD"/>
    <w:rsid w:val="00DF7AB6"/>
    <w:rsid w:val="00E00DCA"/>
    <w:rsid w:val="00E00FCD"/>
    <w:rsid w:val="00E033B7"/>
    <w:rsid w:val="00E038DB"/>
    <w:rsid w:val="00E04FFB"/>
    <w:rsid w:val="00E05EEE"/>
    <w:rsid w:val="00E065DD"/>
    <w:rsid w:val="00E075A8"/>
    <w:rsid w:val="00E07733"/>
    <w:rsid w:val="00E07D5A"/>
    <w:rsid w:val="00E105EE"/>
    <w:rsid w:val="00E107FA"/>
    <w:rsid w:val="00E10D91"/>
    <w:rsid w:val="00E12A08"/>
    <w:rsid w:val="00E134FC"/>
    <w:rsid w:val="00E1436B"/>
    <w:rsid w:val="00E14F22"/>
    <w:rsid w:val="00E151BD"/>
    <w:rsid w:val="00E170FA"/>
    <w:rsid w:val="00E2020E"/>
    <w:rsid w:val="00E20D15"/>
    <w:rsid w:val="00E215ED"/>
    <w:rsid w:val="00E2486C"/>
    <w:rsid w:val="00E25A13"/>
    <w:rsid w:val="00E262A8"/>
    <w:rsid w:val="00E26F75"/>
    <w:rsid w:val="00E3035F"/>
    <w:rsid w:val="00E3064C"/>
    <w:rsid w:val="00E328D2"/>
    <w:rsid w:val="00E33007"/>
    <w:rsid w:val="00E34483"/>
    <w:rsid w:val="00E3456D"/>
    <w:rsid w:val="00E3517E"/>
    <w:rsid w:val="00E406B2"/>
    <w:rsid w:val="00E4190D"/>
    <w:rsid w:val="00E41E40"/>
    <w:rsid w:val="00E44987"/>
    <w:rsid w:val="00E44F34"/>
    <w:rsid w:val="00E45859"/>
    <w:rsid w:val="00E47666"/>
    <w:rsid w:val="00E47C2B"/>
    <w:rsid w:val="00E504E9"/>
    <w:rsid w:val="00E507A9"/>
    <w:rsid w:val="00E5253D"/>
    <w:rsid w:val="00E52E3C"/>
    <w:rsid w:val="00E53860"/>
    <w:rsid w:val="00E554E7"/>
    <w:rsid w:val="00E562CC"/>
    <w:rsid w:val="00E5688C"/>
    <w:rsid w:val="00E57235"/>
    <w:rsid w:val="00E57C72"/>
    <w:rsid w:val="00E60AEE"/>
    <w:rsid w:val="00E60B7E"/>
    <w:rsid w:val="00E6547E"/>
    <w:rsid w:val="00E65E36"/>
    <w:rsid w:val="00E669A1"/>
    <w:rsid w:val="00E67625"/>
    <w:rsid w:val="00E700D9"/>
    <w:rsid w:val="00E75AB2"/>
    <w:rsid w:val="00E75FF6"/>
    <w:rsid w:val="00E77488"/>
    <w:rsid w:val="00E77A6F"/>
    <w:rsid w:val="00E80BC0"/>
    <w:rsid w:val="00E8390A"/>
    <w:rsid w:val="00E83A3B"/>
    <w:rsid w:val="00E853A3"/>
    <w:rsid w:val="00E87F61"/>
    <w:rsid w:val="00E901D7"/>
    <w:rsid w:val="00E91594"/>
    <w:rsid w:val="00E9172D"/>
    <w:rsid w:val="00E922BE"/>
    <w:rsid w:val="00E9258D"/>
    <w:rsid w:val="00E9268E"/>
    <w:rsid w:val="00E92B00"/>
    <w:rsid w:val="00E9368B"/>
    <w:rsid w:val="00E93D67"/>
    <w:rsid w:val="00E94D9A"/>
    <w:rsid w:val="00E953FA"/>
    <w:rsid w:val="00E97E28"/>
    <w:rsid w:val="00EA1839"/>
    <w:rsid w:val="00EA36D7"/>
    <w:rsid w:val="00EA484D"/>
    <w:rsid w:val="00EA4A96"/>
    <w:rsid w:val="00EA4B5C"/>
    <w:rsid w:val="00EB1A14"/>
    <w:rsid w:val="00EB240B"/>
    <w:rsid w:val="00EB2937"/>
    <w:rsid w:val="00EB2EEA"/>
    <w:rsid w:val="00EB3B0A"/>
    <w:rsid w:val="00EB3DAC"/>
    <w:rsid w:val="00EB4093"/>
    <w:rsid w:val="00EB46F3"/>
    <w:rsid w:val="00EB4958"/>
    <w:rsid w:val="00EB5716"/>
    <w:rsid w:val="00EC1371"/>
    <w:rsid w:val="00EC2445"/>
    <w:rsid w:val="00EC2844"/>
    <w:rsid w:val="00EC33B2"/>
    <w:rsid w:val="00EC3796"/>
    <w:rsid w:val="00EC41A4"/>
    <w:rsid w:val="00EC4578"/>
    <w:rsid w:val="00EC5D78"/>
    <w:rsid w:val="00EC6563"/>
    <w:rsid w:val="00EC7294"/>
    <w:rsid w:val="00EC7555"/>
    <w:rsid w:val="00EC7728"/>
    <w:rsid w:val="00ED0109"/>
    <w:rsid w:val="00ED0680"/>
    <w:rsid w:val="00ED10A6"/>
    <w:rsid w:val="00ED27B9"/>
    <w:rsid w:val="00ED2905"/>
    <w:rsid w:val="00ED3D65"/>
    <w:rsid w:val="00ED4AC2"/>
    <w:rsid w:val="00ED72B5"/>
    <w:rsid w:val="00ED7E7A"/>
    <w:rsid w:val="00EE0B2C"/>
    <w:rsid w:val="00EE0D8C"/>
    <w:rsid w:val="00EE149D"/>
    <w:rsid w:val="00EE172B"/>
    <w:rsid w:val="00EE3F56"/>
    <w:rsid w:val="00EE4606"/>
    <w:rsid w:val="00EE4BB2"/>
    <w:rsid w:val="00EE5206"/>
    <w:rsid w:val="00EE560A"/>
    <w:rsid w:val="00EE6B47"/>
    <w:rsid w:val="00EE733B"/>
    <w:rsid w:val="00EE7B6D"/>
    <w:rsid w:val="00EF13A5"/>
    <w:rsid w:val="00EF1724"/>
    <w:rsid w:val="00EF1AA9"/>
    <w:rsid w:val="00EF1B4E"/>
    <w:rsid w:val="00EF1CC2"/>
    <w:rsid w:val="00EF28B7"/>
    <w:rsid w:val="00EF5079"/>
    <w:rsid w:val="00EF7A77"/>
    <w:rsid w:val="00EF7DE3"/>
    <w:rsid w:val="00F006C9"/>
    <w:rsid w:val="00F02F54"/>
    <w:rsid w:val="00F03278"/>
    <w:rsid w:val="00F03286"/>
    <w:rsid w:val="00F03638"/>
    <w:rsid w:val="00F039ED"/>
    <w:rsid w:val="00F03F16"/>
    <w:rsid w:val="00F0620D"/>
    <w:rsid w:val="00F06391"/>
    <w:rsid w:val="00F06775"/>
    <w:rsid w:val="00F06A47"/>
    <w:rsid w:val="00F07ECC"/>
    <w:rsid w:val="00F10116"/>
    <w:rsid w:val="00F11B23"/>
    <w:rsid w:val="00F1261A"/>
    <w:rsid w:val="00F1344F"/>
    <w:rsid w:val="00F13850"/>
    <w:rsid w:val="00F13A34"/>
    <w:rsid w:val="00F146CB"/>
    <w:rsid w:val="00F148D0"/>
    <w:rsid w:val="00F14B1E"/>
    <w:rsid w:val="00F15D92"/>
    <w:rsid w:val="00F173D1"/>
    <w:rsid w:val="00F17552"/>
    <w:rsid w:val="00F220EF"/>
    <w:rsid w:val="00F221EE"/>
    <w:rsid w:val="00F22379"/>
    <w:rsid w:val="00F2298C"/>
    <w:rsid w:val="00F23E39"/>
    <w:rsid w:val="00F24CF2"/>
    <w:rsid w:val="00F25096"/>
    <w:rsid w:val="00F25235"/>
    <w:rsid w:val="00F254F6"/>
    <w:rsid w:val="00F267B1"/>
    <w:rsid w:val="00F3022D"/>
    <w:rsid w:val="00F30708"/>
    <w:rsid w:val="00F31B3B"/>
    <w:rsid w:val="00F31E35"/>
    <w:rsid w:val="00F3228A"/>
    <w:rsid w:val="00F3395E"/>
    <w:rsid w:val="00F33A72"/>
    <w:rsid w:val="00F3415D"/>
    <w:rsid w:val="00F363F1"/>
    <w:rsid w:val="00F37256"/>
    <w:rsid w:val="00F37E10"/>
    <w:rsid w:val="00F37FB9"/>
    <w:rsid w:val="00F40F89"/>
    <w:rsid w:val="00F43DFC"/>
    <w:rsid w:val="00F45E5A"/>
    <w:rsid w:val="00F4786D"/>
    <w:rsid w:val="00F5125B"/>
    <w:rsid w:val="00F54740"/>
    <w:rsid w:val="00F55373"/>
    <w:rsid w:val="00F556C0"/>
    <w:rsid w:val="00F57A3E"/>
    <w:rsid w:val="00F62899"/>
    <w:rsid w:val="00F637A9"/>
    <w:rsid w:val="00F63A4A"/>
    <w:rsid w:val="00F63E31"/>
    <w:rsid w:val="00F645AE"/>
    <w:rsid w:val="00F67D00"/>
    <w:rsid w:val="00F67D2C"/>
    <w:rsid w:val="00F70011"/>
    <w:rsid w:val="00F70D10"/>
    <w:rsid w:val="00F720FA"/>
    <w:rsid w:val="00F733B2"/>
    <w:rsid w:val="00F74F1B"/>
    <w:rsid w:val="00F7530E"/>
    <w:rsid w:val="00F75DF6"/>
    <w:rsid w:val="00F772EA"/>
    <w:rsid w:val="00F77698"/>
    <w:rsid w:val="00F81C49"/>
    <w:rsid w:val="00F83BC2"/>
    <w:rsid w:val="00F84ED2"/>
    <w:rsid w:val="00F8616B"/>
    <w:rsid w:val="00F90290"/>
    <w:rsid w:val="00F915B8"/>
    <w:rsid w:val="00F91B3B"/>
    <w:rsid w:val="00F92370"/>
    <w:rsid w:val="00F94EC0"/>
    <w:rsid w:val="00F976C6"/>
    <w:rsid w:val="00FA093E"/>
    <w:rsid w:val="00FA0C52"/>
    <w:rsid w:val="00FA215D"/>
    <w:rsid w:val="00FA22DB"/>
    <w:rsid w:val="00FA2451"/>
    <w:rsid w:val="00FA457D"/>
    <w:rsid w:val="00FA6E33"/>
    <w:rsid w:val="00FA72B1"/>
    <w:rsid w:val="00FB4E75"/>
    <w:rsid w:val="00FB5307"/>
    <w:rsid w:val="00FC0614"/>
    <w:rsid w:val="00FC0B28"/>
    <w:rsid w:val="00FC479C"/>
    <w:rsid w:val="00FC548B"/>
    <w:rsid w:val="00FC6E57"/>
    <w:rsid w:val="00FC7151"/>
    <w:rsid w:val="00FD0C02"/>
    <w:rsid w:val="00FD1FCF"/>
    <w:rsid w:val="00FD282F"/>
    <w:rsid w:val="00FD29CF"/>
    <w:rsid w:val="00FD6EAA"/>
    <w:rsid w:val="00FD7D55"/>
    <w:rsid w:val="00FE0ABB"/>
    <w:rsid w:val="00FE141F"/>
    <w:rsid w:val="00FE16CB"/>
    <w:rsid w:val="00FE20F0"/>
    <w:rsid w:val="00FE3AD7"/>
    <w:rsid w:val="00FE461D"/>
    <w:rsid w:val="00FE4EE8"/>
    <w:rsid w:val="00FE53D7"/>
    <w:rsid w:val="00FE7911"/>
    <w:rsid w:val="00FF1735"/>
    <w:rsid w:val="00FF31C9"/>
    <w:rsid w:val="00FF3D51"/>
    <w:rsid w:val="00FF663F"/>
    <w:rsid w:val="00FF69A5"/>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BalloonText">
    <w:name w:val="Balloon Text"/>
    <w:basedOn w:val="Normal"/>
    <w:link w:val="BalloonTextChar"/>
    <w:uiPriority w:val="99"/>
    <w:semiHidden/>
    <w:unhideWhenUsed/>
    <w:rsid w:val="00D053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A963-2C0E-4F45-8CB1-878B7C23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2</cp:revision>
  <cp:lastPrinted>2022-06-14T11:22:00Z</cp:lastPrinted>
  <dcterms:created xsi:type="dcterms:W3CDTF">2022-06-20T17:13:00Z</dcterms:created>
  <dcterms:modified xsi:type="dcterms:W3CDTF">2022-06-20T17:13:00Z</dcterms:modified>
</cp:coreProperties>
</file>