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810" w:rsidRPr="00B05C5F" w:rsidRDefault="008D0810" w:rsidP="008D0810">
      <w:pPr>
        <w:widowControl w:val="0"/>
        <w:spacing w:after="0" w:line="360" w:lineRule="auto"/>
        <w:jc w:val="center"/>
        <w:rPr>
          <w:rFonts w:ascii="Arial" w:eastAsia="Times New Roman" w:hAnsi="Arial" w:cs="Arial"/>
          <w:sz w:val="24"/>
          <w:szCs w:val="24"/>
        </w:rPr>
      </w:pPr>
      <w:bookmarkStart w:id="0" w:name="_GoBack"/>
      <w:bookmarkEnd w:id="0"/>
      <w:r w:rsidRPr="00B05C5F">
        <w:rPr>
          <w:rFonts w:ascii="Arial" w:eastAsia="Times New Roman" w:hAnsi="Arial" w:cs="Arial"/>
          <w:noProof/>
          <w:sz w:val="24"/>
          <w:szCs w:val="24"/>
          <w:lang w:eastAsia="en-ZA"/>
        </w:rPr>
        <w:drawing>
          <wp:inline distT="0" distB="0" distL="0" distR="0" wp14:anchorId="58B22811" wp14:editId="45B7F0F0">
            <wp:extent cx="987425" cy="987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inline>
        </w:drawing>
      </w:r>
    </w:p>
    <w:p w:rsidR="008D0810" w:rsidRPr="00B05C5F" w:rsidRDefault="008D0810" w:rsidP="008D0810">
      <w:pPr>
        <w:widowControl w:val="0"/>
        <w:spacing w:after="0" w:line="360" w:lineRule="auto"/>
        <w:jc w:val="center"/>
        <w:rPr>
          <w:rFonts w:ascii="Arial" w:eastAsia="Times New Roman" w:hAnsi="Arial" w:cs="Arial"/>
          <w:b/>
          <w:sz w:val="24"/>
          <w:szCs w:val="24"/>
        </w:rPr>
      </w:pPr>
      <w:r w:rsidRPr="00B05C5F">
        <w:rPr>
          <w:rFonts w:ascii="Arial" w:eastAsia="Times New Roman" w:hAnsi="Arial" w:cs="Arial"/>
          <w:b/>
          <w:sz w:val="24"/>
          <w:szCs w:val="24"/>
        </w:rPr>
        <w:t>IN THE HIGH COURT OF SOUTH AFRICA</w:t>
      </w:r>
    </w:p>
    <w:p w:rsidR="008D0810" w:rsidRPr="00B05C5F" w:rsidRDefault="008D0810" w:rsidP="008D0810">
      <w:pPr>
        <w:widowControl w:val="0"/>
        <w:tabs>
          <w:tab w:val="right" w:pos="9213"/>
        </w:tabs>
        <w:spacing w:line="360" w:lineRule="auto"/>
        <w:jc w:val="center"/>
        <w:rPr>
          <w:rFonts w:ascii="Arial" w:hAnsi="Arial" w:cs="Arial"/>
          <w:b/>
          <w:sz w:val="24"/>
          <w:szCs w:val="24"/>
        </w:rPr>
      </w:pPr>
      <w:r w:rsidRPr="00B05C5F">
        <w:rPr>
          <w:rFonts w:ascii="Arial" w:hAnsi="Arial" w:cs="Arial"/>
          <w:b/>
          <w:sz w:val="24"/>
          <w:szCs w:val="24"/>
        </w:rPr>
        <w:t xml:space="preserve">EASTERN CAPE DIVISION, </w:t>
      </w:r>
      <w:r>
        <w:rPr>
          <w:rFonts w:ascii="Arial" w:hAnsi="Arial" w:cs="Arial"/>
          <w:b/>
          <w:sz w:val="24"/>
          <w:szCs w:val="24"/>
        </w:rPr>
        <w:t>MAKHANDA</w:t>
      </w:r>
    </w:p>
    <w:p w:rsidR="008D0810" w:rsidRDefault="008D0810" w:rsidP="008D0810">
      <w:pPr>
        <w:widowControl w:val="0"/>
        <w:tabs>
          <w:tab w:val="right" w:pos="9213"/>
        </w:tabs>
        <w:spacing w:line="240" w:lineRule="auto"/>
        <w:rPr>
          <w:rFonts w:ascii="Arial" w:hAnsi="Arial" w:cs="Arial"/>
          <w:sz w:val="24"/>
          <w:szCs w:val="24"/>
        </w:rPr>
      </w:pPr>
      <w:r w:rsidRPr="00B05C5F">
        <w:rPr>
          <w:rFonts w:ascii="Arial" w:hAnsi="Arial" w:cs="Arial"/>
          <w:sz w:val="24"/>
          <w:szCs w:val="24"/>
        </w:rPr>
        <w:tab/>
        <w:t xml:space="preserve">CASE NO. </w:t>
      </w:r>
      <w:r>
        <w:rPr>
          <w:rFonts w:ascii="Arial" w:hAnsi="Arial" w:cs="Arial"/>
          <w:sz w:val="24"/>
          <w:szCs w:val="24"/>
        </w:rPr>
        <w:t>CA&amp;R 38/2022</w:t>
      </w:r>
    </w:p>
    <w:p w:rsidR="008D0810" w:rsidRDefault="008D0810" w:rsidP="008D0810">
      <w:pPr>
        <w:widowControl w:val="0"/>
        <w:tabs>
          <w:tab w:val="right" w:pos="9213"/>
        </w:tabs>
        <w:spacing w:line="240" w:lineRule="auto"/>
        <w:rPr>
          <w:rFonts w:ascii="Arial" w:hAnsi="Arial" w:cs="Arial"/>
          <w:sz w:val="24"/>
          <w:szCs w:val="24"/>
        </w:rPr>
      </w:pPr>
    </w:p>
    <w:p w:rsidR="008D0810" w:rsidRDefault="008D0810" w:rsidP="008D0810">
      <w:pPr>
        <w:widowControl w:val="0"/>
        <w:tabs>
          <w:tab w:val="right" w:pos="9213"/>
        </w:tabs>
        <w:spacing w:line="360" w:lineRule="auto"/>
        <w:rPr>
          <w:rFonts w:ascii="Arial" w:hAnsi="Arial" w:cs="Arial"/>
          <w:sz w:val="24"/>
          <w:szCs w:val="24"/>
        </w:rPr>
      </w:pPr>
      <w:r>
        <w:rPr>
          <w:rFonts w:ascii="Arial" w:hAnsi="Arial" w:cs="Arial"/>
          <w:sz w:val="24"/>
          <w:szCs w:val="24"/>
        </w:rPr>
        <w:t>In the matter between:</w:t>
      </w:r>
    </w:p>
    <w:p w:rsidR="00FF0F76" w:rsidRDefault="008D0810" w:rsidP="008D0810">
      <w:pPr>
        <w:widowControl w:val="0"/>
        <w:tabs>
          <w:tab w:val="right" w:pos="8931"/>
        </w:tabs>
        <w:spacing w:line="240" w:lineRule="auto"/>
        <w:rPr>
          <w:rFonts w:ascii="Arial" w:hAnsi="Arial" w:cs="Arial"/>
          <w:b/>
          <w:sz w:val="24"/>
          <w:szCs w:val="24"/>
        </w:rPr>
      </w:pPr>
      <w:r>
        <w:rPr>
          <w:rFonts w:ascii="Arial" w:hAnsi="Arial" w:cs="Arial"/>
          <w:b/>
          <w:bCs/>
          <w:sz w:val="24"/>
          <w:szCs w:val="24"/>
        </w:rPr>
        <w:t>ELIAS CELE</w:t>
      </w:r>
      <w:r w:rsidRPr="00B05C5F">
        <w:rPr>
          <w:rFonts w:ascii="Arial" w:hAnsi="Arial" w:cs="Arial"/>
          <w:b/>
          <w:sz w:val="24"/>
          <w:szCs w:val="24"/>
        </w:rPr>
        <w:tab/>
        <w:t>Appellant</w:t>
      </w:r>
    </w:p>
    <w:p w:rsidR="008D0810" w:rsidRDefault="008D0810" w:rsidP="008D0810">
      <w:pPr>
        <w:widowControl w:val="0"/>
        <w:tabs>
          <w:tab w:val="right" w:pos="8931"/>
        </w:tabs>
        <w:spacing w:line="240" w:lineRule="auto"/>
        <w:rPr>
          <w:rFonts w:ascii="Arial" w:hAnsi="Arial" w:cs="Arial"/>
          <w:b/>
          <w:sz w:val="24"/>
          <w:szCs w:val="24"/>
        </w:rPr>
      </w:pPr>
    </w:p>
    <w:p w:rsidR="008D0810" w:rsidRDefault="008D0810" w:rsidP="008D0810">
      <w:pPr>
        <w:widowControl w:val="0"/>
        <w:tabs>
          <w:tab w:val="right" w:pos="9213"/>
        </w:tabs>
        <w:spacing w:line="240" w:lineRule="auto"/>
        <w:rPr>
          <w:rFonts w:ascii="Arial" w:hAnsi="Arial" w:cs="Arial"/>
          <w:b/>
          <w:sz w:val="24"/>
          <w:szCs w:val="24"/>
        </w:rPr>
      </w:pPr>
      <w:r>
        <w:rPr>
          <w:rFonts w:ascii="Arial" w:hAnsi="Arial" w:cs="Arial"/>
          <w:b/>
          <w:sz w:val="24"/>
          <w:szCs w:val="24"/>
        </w:rPr>
        <w:t xml:space="preserve">and </w:t>
      </w:r>
    </w:p>
    <w:p w:rsidR="008D0810" w:rsidRDefault="008D0810" w:rsidP="008D0810">
      <w:pPr>
        <w:widowControl w:val="0"/>
        <w:tabs>
          <w:tab w:val="right" w:pos="9213"/>
        </w:tabs>
        <w:spacing w:line="240" w:lineRule="auto"/>
        <w:rPr>
          <w:rFonts w:ascii="Arial" w:hAnsi="Arial" w:cs="Arial"/>
          <w:b/>
          <w:sz w:val="24"/>
          <w:szCs w:val="24"/>
        </w:rPr>
      </w:pPr>
    </w:p>
    <w:p w:rsidR="008D0810" w:rsidRPr="008D0810" w:rsidRDefault="008D0810" w:rsidP="008D0810">
      <w:pPr>
        <w:widowControl w:val="0"/>
        <w:tabs>
          <w:tab w:val="right" w:pos="8931"/>
        </w:tabs>
        <w:spacing w:line="240" w:lineRule="auto"/>
        <w:rPr>
          <w:rFonts w:ascii="Arial" w:hAnsi="Arial" w:cs="Arial"/>
          <w:b/>
          <w:sz w:val="24"/>
          <w:szCs w:val="24"/>
        </w:rPr>
      </w:pPr>
      <w:r>
        <w:rPr>
          <w:rFonts w:ascii="Arial" w:hAnsi="Arial" w:cs="Arial"/>
          <w:b/>
          <w:sz w:val="24"/>
          <w:szCs w:val="24"/>
        </w:rPr>
        <w:t>THE STATE</w:t>
      </w:r>
      <w:r>
        <w:rPr>
          <w:rFonts w:ascii="Arial" w:hAnsi="Arial" w:cs="Arial"/>
          <w:b/>
          <w:sz w:val="24"/>
          <w:szCs w:val="24"/>
        </w:rPr>
        <w:tab/>
        <w:t>Respondent</w:t>
      </w:r>
    </w:p>
    <w:p w:rsidR="00E5653A" w:rsidRPr="00FF0F76" w:rsidRDefault="00E5653A" w:rsidP="00FF0F76">
      <w:pPr>
        <w:spacing w:line="360" w:lineRule="auto"/>
        <w:rPr>
          <w:rFonts w:ascii="Arial" w:hAnsi="Arial" w:cs="Arial"/>
          <w:sz w:val="24"/>
          <w:szCs w:val="24"/>
          <w:lang w:val="en-GB"/>
        </w:rPr>
      </w:pPr>
      <w:r w:rsidRPr="00FF0F76">
        <w:rPr>
          <w:rFonts w:ascii="Arial" w:hAnsi="Arial" w:cs="Arial"/>
          <w:sz w:val="24"/>
          <w:szCs w:val="24"/>
          <w:lang w:val="en-GB"/>
        </w:rPr>
        <w:t>__________________________________________________</w:t>
      </w:r>
      <w:r w:rsidR="00FF0F76">
        <w:rPr>
          <w:rFonts w:ascii="Arial" w:hAnsi="Arial" w:cs="Arial"/>
          <w:sz w:val="24"/>
          <w:szCs w:val="24"/>
          <w:lang w:val="en-GB"/>
        </w:rPr>
        <w:t>_________________</w:t>
      </w:r>
    </w:p>
    <w:p w:rsidR="00E5653A" w:rsidRPr="00FF0F76" w:rsidRDefault="00E5653A" w:rsidP="00FF0F76">
      <w:pPr>
        <w:spacing w:line="360" w:lineRule="auto"/>
        <w:jc w:val="center"/>
        <w:rPr>
          <w:rFonts w:ascii="Arial" w:hAnsi="Arial" w:cs="Arial"/>
          <w:b/>
          <w:sz w:val="24"/>
          <w:szCs w:val="24"/>
          <w:lang w:val="en-GB"/>
        </w:rPr>
      </w:pPr>
      <w:r w:rsidRPr="00FF0F76">
        <w:rPr>
          <w:rFonts w:ascii="Arial" w:hAnsi="Arial" w:cs="Arial"/>
          <w:b/>
          <w:sz w:val="24"/>
          <w:szCs w:val="24"/>
          <w:lang w:val="en-GB"/>
        </w:rPr>
        <w:t>JUDGMENT</w:t>
      </w:r>
    </w:p>
    <w:p w:rsidR="00E5653A" w:rsidRPr="00FF0F76" w:rsidRDefault="00E5653A" w:rsidP="00FF0F76">
      <w:pPr>
        <w:spacing w:line="360" w:lineRule="auto"/>
        <w:rPr>
          <w:rFonts w:ascii="Arial" w:hAnsi="Arial" w:cs="Arial"/>
          <w:sz w:val="24"/>
          <w:szCs w:val="24"/>
          <w:lang w:val="en-GB"/>
        </w:rPr>
      </w:pPr>
      <w:r w:rsidRPr="00FF0F76">
        <w:rPr>
          <w:rFonts w:ascii="Arial" w:hAnsi="Arial" w:cs="Arial"/>
          <w:sz w:val="24"/>
          <w:szCs w:val="24"/>
          <w:lang w:val="en-GB"/>
        </w:rPr>
        <w:t>__________________________________________________</w:t>
      </w:r>
      <w:r w:rsidR="00FF0F76">
        <w:rPr>
          <w:rFonts w:ascii="Arial" w:hAnsi="Arial" w:cs="Arial"/>
          <w:sz w:val="24"/>
          <w:szCs w:val="24"/>
          <w:lang w:val="en-GB"/>
        </w:rPr>
        <w:t>_________________</w:t>
      </w:r>
    </w:p>
    <w:p w:rsidR="008D0810" w:rsidRDefault="00E5653A" w:rsidP="00FF0F76">
      <w:pPr>
        <w:spacing w:line="360" w:lineRule="auto"/>
        <w:rPr>
          <w:rFonts w:ascii="Arial" w:hAnsi="Arial" w:cs="Arial"/>
          <w:b/>
          <w:sz w:val="24"/>
          <w:szCs w:val="24"/>
          <w:lang w:val="en-GB"/>
        </w:rPr>
      </w:pPr>
      <w:r w:rsidRPr="00FF0F76">
        <w:rPr>
          <w:rFonts w:ascii="Arial" w:hAnsi="Arial" w:cs="Arial"/>
          <w:b/>
          <w:sz w:val="24"/>
          <w:szCs w:val="24"/>
          <w:lang w:val="en-GB"/>
        </w:rPr>
        <w:t xml:space="preserve">LAING J </w:t>
      </w:r>
    </w:p>
    <w:p w:rsidR="008D0810" w:rsidRPr="008D0810" w:rsidRDefault="00E5653A" w:rsidP="00FF0F76">
      <w:pPr>
        <w:pStyle w:val="ListParagraph"/>
        <w:numPr>
          <w:ilvl w:val="0"/>
          <w:numId w:val="9"/>
        </w:numPr>
        <w:spacing w:line="360" w:lineRule="auto"/>
        <w:ind w:left="0" w:firstLine="0"/>
        <w:jc w:val="both"/>
        <w:rPr>
          <w:rFonts w:ascii="Arial" w:hAnsi="Arial" w:cs="Arial"/>
          <w:b/>
          <w:sz w:val="24"/>
          <w:szCs w:val="24"/>
          <w:lang w:val="en-GB"/>
        </w:rPr>
      </w:pPr>
      <w:r w:rsidRPr="008D0810">
        <w:rPr>
          <w:rFonts w:ascii="Arial" w:hAnsi="Arial" w:cs="Arial"/>
          <w:sz w:val="24"/>
          <w:szCs w:val="24"/>
          <w:lang w:val="en-GB"/>
        </w:rPr>
        <w:t>This is an appeal against the refusal of the magistrate for the East London Regional Court to grant bail to the appellant, pending the finalisation of his criminal trial.</w:t>
      </w:r>
    </w:p>
    <w:p w:rsidR="008D0810" w:rsidRPr="008D0810" w:rsidRDefault="008D0810" w:rsidP="008D0810">
      <w:pPr>
        <w:pStyle w:val="ListParagraph"/>
        <w:spacing w:line="360" w:lineRule="auto"/>
        <w:ind w:left="0"/>
        <w:jc w:val="both"/>
        <w:rPr>
          <w:rFonts w:ascii="Arial" w:hAnsi="Arial" w:cs="Arial"/>
          <w:b/>
          <w:sz w:val="24"/>
          <w:szCs w:val="24"/>
          <w:lang w:val="en-GB"/>
        </w:rPr>
      </w:pPr>
    </w:p>
    <w:p w:rsidR="008D0810" w:rsidRPr="008D0810" w:rsidRDefault="00E5653A" w:rsidP="00FF0F76">
      <w:pPr>
        <w:pStyle w:val="ListParagraph"/>
        <w:numPr>
          <w:ilvl w:val="0"/>
          <w:numId w:val="9"/>
        </w:numPr>
        <w:spacing w:line="360" w:lineRule="auto"/>
        <w:ind w:left="0" w:firstLine="0"/>
        <w:jc w:val="both"/>
        <w:rPr>
          <w:rFonts w:ascii="Arial" w:hAnsi="Arial" w:cs="Arial"/>
          <w:b/>
          <w:sz w:val="24"/>
          <w:szCs w:val="24"/>
          <w:lang w:val="en-GB"/>
        </w:rPr>
      </w:pPr>
      <w:r w:rsidRPr="008D0810">
        <w:rPr>
          <w:rFonts w:ascii="Arial" w:hAnsi="Arial" w:cs="Arial"/>
          <w:sz w:val="24"/>
          <w:szCs w:val="24"/>
          <w:lang w:val="en-GB"/>
        </w:rPr>
        <w:t>The bail application is premised on the argument that the magistrate found that the appellant is charged with an offence listed in Schedule 5 of the Cr</w:t>
      </w:r>
      <w:r w:rsidR="00FF0F76" w:rsidRPr="008D0810">
        <w:rPr>
          <w:rFonts w:ascii="Arial" w:hAnsi="Arial" w:cs="Arial"/>
          <w:sz w:val="24"/>
          <w:szCs w:val="24"/>
          <w:lang w:val="en-GB"/>
        </w:rPr>
        <w:t>i</w:t>
      </w:r>
      <w:r w:rsidRPr="008D0810">
        <w:rPr>
          <w:rFonts w:ascii="Arial" w:hAnsi="Arial" w:cs="Arial"/>
          <w:sz w:val="24"/>
          <w:szCs w:val="24"/>
          <w:lang w:val="en-GB"/>
        </w:rPr>
        <w:t xml:space="preserve">minal Procedure Act 51 of 1977 (‘the CPA’), instead of Schedule 1. Furthermore, it is premised on the assertion that the magistrate failed to attach due weight to the personal circumstances of the appellant, including the interests of his minor children; that the appellant’s evidence stood unchallenged at the end of his case; that his evidence in relation to the likelihoods set out in section 60(4) of the CPA was not challenged; that the magistrate erred in failing to find that the investigating officer’s reasons for opposing bail were spurious; that the magistrate erred in finding that he was a flight risk, that he </w:t>
      </w:r>
      <w:r w:rsidRPr="008D0810">
        <w:rPr>
          <w:rFonts w:ascii="Arial" w:hAnsi="Arial" w:cs="Arial"/>
          <w:sz w:val="24"/>
          <w:szCs w:val="24"/>
          <w:lang w:val="en-GB"/>
        </w:rPr>
        <w:lastRenderedPageBreak/>
        <w:t xml:space="preserve">would influence or intimidate state witnesses, that he would attempt to evade trial, that he would </w:t>
      </w:r>
      <w:r w:rsidR="00AD375E" w:rsidRPr="008D0810">
        <w:rPr>
          <w:rFonts w:ascii="Arial" w:hAnsi="Arial" w:cs="Arial"/>
          <w:sz w:val="24"/>
          <w:szCs w:val="24"/>
          <w:lang w:val="en-GB"/>
        </w:rPr>
        <w:t>commit a Schedule 1 offence, and that the interests of justice did not permit the appellant’s release on bail.</w:t>
      </w:r>
    </w:p>
    <w:p w:rsidR="008D0810" w:rsidRPr="008D0810" w:rsidRDefault="008D0810" w:rsidP="008D0810">
      <w:pPr>
        <w:pStyle w:val="ListParagraph"/>
        <w:rPr>
          <w:rFonts w:ascii="Arial" w:hAnsi="Arial" w:cs="Arial"/>
          <w:sz w:val="24"/>
          <w:szCs w:val="24"/>
          <w:lang w:val="en-GB"/>
        </w:rPr>
      </w:pPr>
    </w:p>
    <w:p w:rsidR="008D0810" w:rsidRPr="008D0810" w:rsidRDefault="00AD375E" w:rsidP="00FF0F76">
      <w:pPr>
        <w:pStyle w:val="ListParagraph"/>
        <w:numPr>
          <w:ilvl w:val="0"/>
          <w:numId w:val="9"/>
        </w:numPr>
        <w:spacing w:line="360" w:lineRule="auto"/>
        <w:ind w:left="0" w:firstLine="0"/>
        <w:jc w:val="both"/>
        <w:rPr>
          <w:rFonts w:ascii="Arial" w:hAnsi="Arial" w:cs="Arial"/>
          <w:b/>
          <w:sz w:val="24"/>
          <w:szCs w:val="24"/>
          <w:lang w:val="en-GB"/>
        </w:rPr>
      </w:pPr>
      <w:r w:rsidRPr="008D0810">
        <w:rPr>
          <w:rFonts w:ascii="Arial" w:hAnsi="Arial" w:cs="Arial"/>
          <w:sz w:val="24"/>
          <w:szCs w:val="24"/>
          <w:lang w:val="en-GB"/>
        </w:rPr>
        <w:t>The appellant has been charged</w:t>
      </w:r>
      <w:r w:rsidR="00E5653A" w:rsidRPr="008D0810">
        <w:rPr>
          <w:rFonts w:ascii="Arial" w:hAnsi="Arial" w:cs="Arial"/>
          <w:sz w:val="24"/>
          <w:szCs w:val="24"/>
          <w:lang w:val="en-GB"/>
        </w:rPr>
        <w:t xml:space="preserve"> </w:t>
      </w:r>
      <w:r w:rsidRPr="008D0810">
        <w:rPr>
          <w:rFonts w:ascii="Arial" w:hAnsi="Arial" w:cs="Arial"/>
          <w:sz w:val="24"/>
          <w:szCs w:val="24"/>
          <w:lang w:val="en-GB"/>
        </w:rPr>
        <w:t xml:space="preserve">with fraud. </w:t>
      </w:r>
      <w:r w:rsidR="00DE1B08" w:rsidRPr="008D0810">
        <w:rPr>
          <w:rFonts w:ascii="Arial" w:hAnsi="Arial" w:cs="Arial"/>
          <w:sz w:val="24"/>
          <w:szCs w:val="24"/>
          <w:lang w:val="en-GB"/>
        </w:rPr>
        <w:t xml:space="preserve">There was a dispute at the commencement of the bail application about the </w:t>
      </w:r>
      <w:r w:rsidR="00112817" w:rsidRPr="008D0810">
        <w:rPr>
          <w:rFonts w:ascii="Arial" w:hAnsi="Arial" w:cs="Arial"/>
          <w:sz w:val="24"/>
          <w:szCs w:val="24"/>
          <w:lang w:val="en-GB"/>
        </w:rPr>
        <w:t xml:space="preserve">exact </w:t>
      </w:r>
      <w:r w:rsidR="00DE1B08" w:rsidRPr="008D0810">
        <w:rPr>
          <w:rFonts w:ascii="Arial" w:hAnsi="Arial" w:cs="Arial"/>
          <w:sz w:val="24"/>
          <w:szCs w:val="24"/>
          <w:lang w:val="en-GB"/>
        </w:rPr>
        <w:t>nature of the charge and under which Schedule of the CPA it fell to be included. The relevance of this was that whether it was a Schedule 1, 5 or 6 offence would determine where the onus of proof lay in relation to the basis upon which bai</w:t>
      </w:r>
      <w:r w:rsidR="00494BB7" w:rsidRPr="008D0810">
        <w:rPr>
          <w:rFonts w:ascii="Arial" w:hAnsi="Arial" w:cs="Arial"/>
          <w:sz w:val="24"/>
          <w:szCs w:val="24"/>
          <w:lang w:val="en-GB"/>
        </w:rPr>
        <w:t>l should be granted or refused.</w:t>
      </w:r>
      <w:r w:rsidR="00A9616B">
        <w:rPr>
          <w:rStyle w:val="FootnoteReference"/>
          <w:rFonts w:ascii="Arial" w:hAnsi="Arial" w:cs="Arial"/>
          <w:sz w:val="24"/>
          <w:szCs w:val="24"/>
          <w:lang w:val="en-GB"/>
        </w:rPr>
        <w:footnoteReference w:id="1"/>
      </w:r>
      <w:r w:rsidR="00494BB7" w:rsidRPr="008D0810">
        <w:rPr>
          <w:rFonts w:ascii="Arial" w:hAnsi="Arial" w:cs="Arial"/>
          <w:sz w:val="24"/>
          <w:szCs w:val="24"/>
          <w:lang w:val="en-GB"/>
        </w:rPr>
        <w:t xml:space="preserve"> Ultimately, the court </w:t>
      </w:r>
      <w:r w:rsidR="00494BB7" w:rsidRPr="008D0810">
        <w:rPr>
          <w:rFonts w:ascii="Arial" w:hAnsi="Arial" w:cs="Arial"/>
          <w:i/>
          <w:sz w:val="24"/>
          <w:szCs w:val="24"/>
          <w:lang w:val="en-GB"/>
        </w:rPr>
        <w:t>a quo</w:t>
      </w:r>
      <w:r w:rsidR="00494BB7" w:rsidRPr="008D0810">
        <w:rPr>
          <w:rFonts w:ascii="Arial" w:hAnsi="Arial" w:cs="Arial"/>
          <w:sz w:val="24"/>
          <w:szCs w:val="24"/>
          <w:lang w:val="en-GB"/>
        </w:rPr>
        <w:t xml:space="preserve"> found that it was a Schedule 5 offence, thereby placing the onus on the appellant in terms of section 60(11)(b) to adduce evidence to demonstrate that the interests of justice permitted his release. </w:t>
      </w:r>
    </w:p>
    <w:p w:rsidR="008D0810" w:rsidRPr="008D0810" w:rsidRDefault="008D0810" w:rsidP="008D0810">
      <w:pPr>
        <w:pStyle w:val="ListParagraph"/>
        <w:rPr>
          <w:rFonts w:ascii="Arial" w:hAnsi="Arial" w:cs="Arial"/>
          <w:sz w:val="24"/>
          <w:szCs w:val="24"/>
          <w:lang w:val="en-GB"/>
        </w:rPr>
      </w:pPr>
    </w:p>
    <w:p w:rsidR="008D0810" w:rsidRPr="008D0810" w:rsidRDefault="00DE1B08" w:rsidP="00E253E5">
      <w:pPr>
        <w:pStyle w:val="ListParagraph"/>
        <w:numPr>
          <w:ilvl w:val="0"/>
          <w:numId w:val="9"/>
        </w:numPr>
        <w:spacing w:line="360" w:lineRule="auto"/>
        <w:ind w:left="0" w:firstLine="0"/>
        <w:jc w:val="both"/>
        <w:rPr>
          <w:rFonts w:ascii="Arial" w:hAnsi="Arial" w:cs="Arial"/>
          <w:b/>
          <w:sz w:val="24"/>
          <w:szCs w:val="24"/>
          <w:lang w:val="en-GB"/>
        </w:rPr>
      </w:pPr>
      <w:r w:rsidRPr="008D0810">
        <w:rPr>
          <w:rFonts w:ascii="Arial" w:hAnsi="Arial" w:cs="Arial"/>
          <w:sz w:val="24"/>
          <w:szCs w:val="24"/>
          <w:lang w:val="en-GB"/>
        </w:rPr>
        <w:t xml:space="preserve">It was argued on the appellant’s </w:t>
      </w:r>
      <w:r w:rsidR="00FF0F76" w:rsidRPr="008D0810">
        <w:rPr>
          <w:rFonts w:ascii="Arial" w:hAnsi="Arial" w:cs="Arial"/>
          <w:sz w:val="24"/>
          <w:szCs w:val="24"/>
          <w:lang w:val="en-GB"/>
        </w:rPr>
        <w:t>beh</w:t>
      </w:r>
      <w:r w:rsidRPr="008D0810">
        <w:rPr>
          <w:rFonts w:ascii="Arial" w:hAnsi="Arial" w:cs="Arial"/>
          <w:sz w:val="24"/>
          <w:szCs w:val="24"/>
          <w:lang w:val="en-GB"/>
        </w:rPr>
        <w:t>alf that there was no reason for</w:t>
      </w:r>
      <w:r w:rsidR="00FF0F76" w:rsidRPr="008D0810">
        <w:rPr>
          <w:rFonts w:ascii="Arial" w:hAnsi="Arial" w:cs="Arial"/>
          <w:sz w:val="24"/>
          <w:szCs w:val="24"/>
          <w:lang w:val="en-GB"/>
        </w:rPr>
        <w:t xml:space="preserve"> the court </w:t>
      </w:r>
      <w:r w:rsidR="00FF0F76" w:rsidRPr="008D0810">
        <w:rPr>
          <w:rFonts w:ascii="Arial" w:hAnsi="Arial" w:cs="Arial"/>
          <w:i/>
          <w:sz w:val="24"/>
          <w:szCs w:val="24"/>
          <w:lang w:val="en-GB"/>
        </w:rPr>
        <w:t>a quo</w:t>
      </w:r>
      <w:r w:rsidR="00FF0F76" w:rsidRPr="008D0810">
        <w:rPr>
          <w:rFonts w:ascii="Arial" w:hAnsi="Arial" w:cs="Arial"/>
          <w:sz w:val="24"/>
          <w:szCs w:val="24"/>
          <w:lang w:val="en-GB"/>
        </w:rPr>
        <w:t xml:space="preserve"> to have found that the matter pertained to a Schedule 5 offence. The charge sheet simply referred to fraud, with no further elaboration.</w:t>
      </w:r>
      <w:r w:rsidR="00494BB7">
        <w:rPr>
          <w:rStyle w:val="FootnoteReference"/>
          <w:rFonts w:ascii="Arial" w:hAnsi="Arial" w:cs="Arial"/>
          <w:sz w:val="24"/>
          <w:szCs w:val="24"/>
          <w:lang w:val="en-GB"/>
        </w:rPr>
        <w:footnoteReference w:id="2"/>
      </w:r>
      <w:r w:rsidR="00FF0F76" w:rsidRPr="008D0810">
        <w:rPr>
          <w:rFonts w:ascii="Arial" w:hAnsi="Arial" w:cs="Arial"/>
          <w:sz w:val="24"/>
          <w:szCs w:val="24"/>
          <w:lang w:val="en-GB"/>
        </w:rPr>
        <w:t xml:space="preserve"> When the appellant’s legal representative reque</w:t>
      </w:r>
      <w:r w:rsidR="00494BB7" w:rsidRPr="008D0810">
        <w:rPr>
          <w:rFonts w:ascii="Arial" w:hAnsi="Arial" w:cs="Arial"/>
          <w:sz w:val="24"/>
          <w:szCs w:val="24"/>
          <w:lang w:val="en-GB"/>
        </w:rPr>
        <w:t xml:space="preserve">sted a copy of the complete charge sheet, counsel for the state refused, saying that the case was still under investigation. </w:t>
      </w:r>
    </w:p>
    <w:p w:rsidR="008D0810" w:rsidRPr="008D0810" w:rsidRDefault="008D0810" w:rsidP="008D0810">
      <w:pPr>
        <w:pStyle w:val="ListParagraph"/>
        <w:rPr>
          <w:rFonts w:ascii="Arial" w:hAnsi="Arial" w:cs="Arial"/>
          <w:sz w:val="24"/>
          <w:szCs w:val="24"/>
          <w:lang w:val="en-GB"/>
        </w:rPr>
      </w:pPr>
    </w:p>
    <w:p w:rsidR="008D0810" w:rsidRPr="008D0810" w:rsidRDefault="00E253E5" w:rsidP="00FF0F76">
      <w:pPr>
        <w:pStyle w:val="ListParagraph"/>
        <w:numPr>
          <w:ilvl w:val="0"/>
          <w:numId w:val="9"/>
        </w:numPr>
        <w:spacing w:line="360" w:lineRule="auto"/>
        <w:ind w:left="0" w:firstLine="0"/>
        <w:jc w:val="both"/>
        <w:rPr>
          <w:rFonts w:ascii="Arial" w:hAnsi="Arial" w:cs="Arial"/>
          <w:b/>
          <w:sz w:val="24"/>
          <w:szCs w:val="24"/>
          <w:lang w:val="en-GB"/>
        </w:rPr>
      </w:pPr>
      <w:r w:rsidRPr="008D0810">
        <w:rPr>
          <w:rFonts w:ascii="Arial" w:hAnsi="Arial" w:cs="Arial"/>
          <w:sz w:val="24"/>
          <w:szCs w:val="24"/>
          <w:lang w:val="en-GB"/>
        </w:rPr>
        <w:t>The provisions of section 35(1)(f) and sub-section (3)(a) of the Constitution are pertinent, which provide as follows:</w:t>
      </w:r>
    </w:p>
    <w:p w:rsidR="008D0810" w:rsidRPr="008D0810" w:rsidRDefault="008D0810" w:rsidP="00E13FA2">
      <w:pPr>
        <w:pStyle w:val="ListParagraph"/>
        <w:jc w:val="both"/>
        <w:rPr>
          <w:rFonts w:ascii="Arial" w:hAnsi="Arial" w:cs="Arial"/>
          <w:b/>
          <w:sz w:val="24"/>
          <w:szCs w:val="24"/>
          <w:lang w:val="en-GB"/>
        </w:rPr>
      </w:pPr>
    </w:p>
    <w:p w:rsidR="008D0810" w:rsidRPr="00F5604E" w:rsidRDefault="008D0810" w:rsidP="00E13FA2">
      <w:pPr>
        <w:numPr>
          <w:ilvl w:val="0"/>
          <w:numId w:val="4"/>
        </w:numPr>
        <w:spacing w:line="360" w:lineRule="auto"/>
        <w:ind w:left="1276" w:hanging="567"/>
        <w:contextualSpacing/>
        <w:jc w:val="both"/>
        <w:rPr>
          <w:rFonts w:ascii="Arial" w:hAnsi="Arial" w:cs="Arial"/>
          <w:lang w:val="en-GB"/>
        </w:rPr>
      </w:pPr>
      <w:r w:rsidRPr="008D0810">
        <w:rPr>
          <w:rFonts w:ascii="Arial" w:hAnsi="Arial" w:cs="Arial"/>
          <w:lang w:val="en-GB"/>
        </w:rPr>
        <w:t>Everyone who is arrested for allegedly committing an offence has the right—</w:t>
      </w:r>
    </w:p>
    <w:p w:rsidR="00E13FA2" w:rsidRPr="00F5604E" w:rsidRDefault="00E13FA2" w:rsidP="00E13FA2">
      <w:pPr>
        <w:spacing w:line="360" w:lineRule="auto"/>
        <w:ind w:left="1276"/>
        <w:contextualSpacing/>
        <w:jc w:val="both"/>
        <w:rPr>
          <w:rFonts w:ascii="Arial" w:hAnsi="Arial" w:cs="Arial"/>
          <w:lang w:val="en-GB"/>
        </w:rPr>
      </w:pPr>
    </w:p>
    <w:p w:rsidR="008D0810" w:rsidRPr="00F5604E" w:rsidRDefault="00E13FA2" w:rsidP="00E13FA2">
      <w:pPr>
        <w:pStyle w:val="ListParagraph"/>
        <w:numPr>
          <w:ilvl w:val="0"/>
          <w:numId w:val="10"/>
        </w:numPr>
        <w:spacing w:line="360" w:lineRule="auto"/>
        <w:jc w:val="both"/>
        <w:rPr>
          <w:rFonts w:ascii="Arial" w:hAnsi="Arial" w:cs="Arial"/>
          <w:lang w:val="en-GB"/>
        </w:rPr>
      </w:pPr>
      <w:r w:rsidRPr="00F5604E">
        <w:rPr>
          <w:rFonts w:ascii="Arial" w:hAnsi="Arial" w:cs="Arial"/>
          <w:lang w:val="en-GB"/>
        </w:rPr>
        <w:t>– (</w:t>
      </w:r>
      <w:r w:rsidR="00C852E3" w:rsidRPr="00F5604E">
        <w:rPr>
          <w:rFonts w:ascii="Arial" w:hAnsi="Arial" w:cs="Arial"/>
          <w:lang w:val="en-GB"/>
        </w:rPr>
        <w:t>e) …</w:t>
      </w:r>
    </w:p>
    <w:p w:rsidR="008D0810" w:rsidRPr="008D0810" w:rsidRDefault="008D0810" w:rsidP="00E13FA2">
      <w:pPr>
        <w:spacing w:line="360" w:lineRule="auto"/>
        <w:ind w:left="1843" w:hanging="567"/>
        <w:contextualSpacing/>
        <w:jc w:val="both"/>
        <w:rPr>
          <w:rFonts w:ascii="Arial" w:hAnsi="Arial" w:cs="Arial"/>
          <w:lang w:val="en-GB"/>
        </w:rPr>
      </w:pPr>
      <w:r w:rsidRPr="008D0810">
        <w:rPr>
          <w:rFonts w:ascii="Arial" w:hAnsi="Arial" w:cs="Arial"/>
          <w:lang w:val="en-GB"/>
        </w:rPr>
        <w:t>(f)</w:t>
      </w:r>
      <w:r w:rsidRPr="008D0810">
        <w:rPr>
          <w:rFonts w:ascii="Arial" w:hAnsi="Arial" w:cs="Arial"/>
          <w:lang w:val="en-GB"/>
        </w:rPr>
        <w:tab/>
        <w:t>to be released from detention if the interests of justice permit, subject to reasonable conditions.</w:t>
      </w:r>
    </w:p>
    <w:p w:rsidR="008D0810" w:rsidRPr="008D0810" w:rsidRDefault="00E13FA2" w:rsidP="00E13FA2">
      <w:pPr>
        <w:spacing w:line="360" w:lineRule="auto"/>
        <w:ind w:firstLine="720"/>
        <w:jc w:val="both"/>
        <w:rPr>
          <w:rFonts w:ascii="Arial" w:hAnsi="Arial" w:cs="Arial"/>
          <w:lang w:val="en-GB"/>
        </w:rPr>
      </w:pPr>
      <w:r w:rsidRPr="00F5604E">
        <w:rPr>
          <w:rFonts w:ascii="Arial" w:hAnsi="Arial" w:cs="Arial"/>
          <w:lang w:val="en-GB"/>
        </w:rPr>
        <w:t>(2)</w:t>
      </w:r>
      <w:r w:rsidR="008D0810" w:rsidRPr="008D0810">
        <w:rPr>
          <w:rFonts w:ascii="Arial" w:hAnsi="Arial" w:cs="Arial"/>
          <w:lang w:val="en-GB"/>
        </w:rPr>
        <w:t xml:space="preserve"> </w:t>
      </w:r>
      <w:r w:rsidR="008D0810" w:rsidRPr="008D0810">
        <w:rPr>
          <w:rFonts w:ascii="Arial" w:hAnsi="Arial" w:cs="Arial"/>
          <w:lang w:val="en-GB"/>
        </w:rPr>
        <w:tab/>
        <w:t>…</w:t>
      </w:r>
    </w:p>
    <w:p w:rsidR="008D0810" w:rsidRPr="008D0810" w:rsidRDefault="008D0810" w:rsidP="00E13FA2">
      <w:pPr>
        <w:spacing w:line="360" w:lineRule="auto"/>
        <w:ind w:left="1134" w:hanging="414"/>
        <w:jc w:val="both"/>
        <w:rPr>
          <w:rFonts w:ascii="Arial" w:hAnsi="Arial" w:cs="Arial"/>
          <w:lang w:val="en-GB"/>
        </w:rPr>
      </w:pPr>
      <w:r w:rsidRPr="008D0810">
        <w:rPr>
          <w:rFonts w:ascii="Arial" w:hAnsi="Arial" w:cs="Arial"/>
          <w:lang w:val="en-GB"/>
        </w:rPr>
        <w:lastRenderedPageBreak/>
        <w:t>(3)</w:t>
      </w:r>
      <w:r w:rsidRPr="008D0810">
        <w:rPr>
          <w:rFonts w:ascii="Arial" w:hAnsi="Arial" w:cs="Arial"/>
          <w:lang w:val="en-GB"/>
        </w:rPr>
        <w:tab/>
      </w:r>
      <w:r w:rsidR="00E13FA2" w:rsidRPr="00F5604E">
        <w:rPr>
          <w:rFonts w:ascii="Arial" w:hAnsi="Arial" w:cs="Arial"/>
          <w:lang w:val="en-GB"/>
        </w:rPr>
        <w:tab/>
      </w:r>
      <w:r w:rsidRPr="008D0810">
        <w:rPr>
          <w:rFonts w:ascii="Arial" w:hAnsi="Arial" w:cs="Arial"/>
          <w:lang w:val="en-GB"/>
        </w:rPr>
        <w:t>Every accused person has a right to a fair trial, which includes the right—</w:t>
      </w:r>
    </w:p>
    <w:p w:rsidR="008D0810" w:rsidRPr="008D0810" w:rsidRDefault="008D0810" w:rsidP="00E13FA2">
      <w:pPr>
        <w:numPr>
          <w:ilvl w:val="0"/>
          <w:numId w:val="3"/>
        </w:numPr>
        <w:spacing w:line="360" w:lineRule="auto"/>
        <w:ind w:left="1134" w:firstLine="284"/>
        <w:jc w:val="both"/>
        <w:rPr>
          <w:rFonts w:ascii="Arial" w:hAnsi="Arial" w:cs="Arial"/>
          <w:lang w:val="en-GB"/>
        </w:rPr>
      </w:pPr>
      <w:r w:rsidRPr="008D0810">
        <w:rPr>
          <w:rFonts w:ascii="Arial" w:hAnsi="Arial" w:cs="Arial"/>
          <w:lang w:val="en-GB"/>
        </w:rPr>
        <w:t>to be informed of the charge with sufficient detail to answer it…</w:t>
      </w:r>
    </w:p>
    <w:p w:rsidR="008D0810" w:rsidRPr="008D0810" w:rsidRDefault="00E13FA2" w:rsidP="00E13FA2">
      <w:pPr>
        <w:spacing w:line="360" w:lineRule="auto"/>
        <w:ind w:left="1418"/>
        <w:jc w:val="both"/>
        <w:rPr>
          <w:rFonts w:ascii="Arial" w:hAnsi="Arial" w:cs="Arial"/>
          <w:lang w:val="en-GB"/>
        </w:rPr>
      </w:pPr>
      <w:r w:rsidRPr="00F5604E">
        <w:rPr>
          <w:rFonts w:ascii="Arial" w:hAnsi="Arial" w:cs="Arial"/>
          <w:lang w:val="en-GB"/>
        </w:rPr>
        <w:t>(b)</w:t>
      </w:r>
      <w:r w:rsidR="008D0810" w:rsidRPr="008D0810">
        <w:rPr>
          <w:rFonts w:ascii="Arial" w:hAnsi="Arial" w:cs="Arial"/>
          <w:lang w:val="en-GB"/>
        </w:rPr>
        <w:t xml:space="preserve"> - (o)</w:t>
      </w:r>
      <w:r w:rsidR="008D0810" w:rsidRPr="008D0810">
        <w:rPr>
          <w:rFonts w:ascii="Arial" w:hAnsi="Arial" w:cs="Arial"/>
          <w:lang w:val="en-GB"/>
        </w:rPr>
        <w:tab/>
        <w:t>…</w:t>
      </w:r>
    </w:p>
    <w:p w:rsidR="008D0810" w:rsidRPr="008D0810" w:rsidRDefault="008D0810" w:rsidP="008D0810">
      <w:pPr>
        <w:pStyle w:val="ListParagraph"/>
        <w:rPr>
          <w:rFonts w:ascii="Arial" w:hAnsi="Arial" w:cs="Arial"/>
          <w:sz w:val="24"/>
          <w:szCs w:val="24"/>
          <w:lang w:val="en-GB"/>
        </w:rPr>
      </w:pPr>
    </w:p>
    <w:p w:rsidR="00333DDF" w:rsidRPr="00E13FA2" w:rsidRDefault="00333DDF" w:rsidP="00FF0F76">
      <w:pPr>
        <w:pStyle w:val="ListParagraph"/>
        <w:numPr>
          <w:ilvl w:val="0"/>
          <w:numId w:val="9"/>
        </w:numPr>
        <w:spacing w:line="360" w:lineRule="auto"/>
        <w:ind w:left="0" w:firstLine="0"/>
        <w:jc w:val="both"/>
        <w:rPr>
          <w:rFonts w:ascii="Arial" w:hAnsi="Arial" w:cs="Arial"/>
          <w:b/>
          <w:sz w:val="24"/>
          <w:szCs w:val="24"/>
          <w:lang w:val="en-GB"/>
        </w:rPr>
      </w:pPr>
      <w:r w:rsidRPr="008D0810">
        <w:rPr>
          <w:rFonts w:ascii="Arial" w:hAnsi="Arial" w:cs="Arial"/>
          <w:sz w:val="24"/>
          <w:szCs w:val="24"/>
          <w:lang w:val="en-GB"/>
        </w:rPr>
        <w:t>Furthermore, section 84(1) of the CPA deals with the essentials of the charge. The text reads:</w:t>
      </w:r>
    </w:p>
    <w:p w:rsidR="00E13FA2" w:rsidRPr="008D0810" w:rsidRDefault="00E13FA2" w:rsidP="00E13FA2">
      <w:pPr>
        <w:pStyle w:val="ListParagraph"/>
        <w:spacing w:line="360" w:lineRule="auto"/>
        <w:ind w:left="0"/>
        <w:jc w:val="both"/>
        <w:rPr>
          <w:rFonts w:ascii="Arial" w:hAnsi="Arial" w:cs="Arial"/>
          <w:b/>
          <w:sz w:val="24"/>
          <w:szCs w:val="24"/>
          <w:lang w:val="en-GB"/>
        </w:rPr>
      </w:pPr>
    </w:p>
    <w:p w:rsidR="00333DDF" w:rsidRPr="00F5604E" w:rsidRDefault="00F5604E" w:rsidP="00F5604E">
      <w:pPr>
        <w:spacing w:line="360" w:lineRule="auto"/>
        <w:ind w:left="1418" w:hanging="709"/>
        <w:jc w:val="both"/>
        <w:rPr>
          <w:rFonts w:ascii="Arial" w:hAnsi="Arial" w:cs="Arial"/>
          <w:lang w:val="en-GB"/>
        </w:rPr>
      </w:pPr>
      <w:r>
        <w:rPr>
          <w:rFonts w:ascii="Arial" w:hAnsi="Arial" w:cs="Arial"/>
          <w:lang w:val="en-GB"/>
        </w:rPr>
        <w:t>(1)</w:t>
      </w:r>
      <w:r>
        <w:rPr>
          <w:rFonts w:ascii="Arial" w:hAnsi="Arial" w:cs="Arial"/>
          <w:lang w:val="en-GB"/>
        </w:rPr>
        <w:tab/>
      </w:r>
      <w:r w:rsidR="00333DDF" w:rsidRPr="00F5604E">
        <w:rPr>
          <w:rFonts w:ascii="Arial" w:hAnsi="Arial" w:cs="Arial"/>
          <w:lang w:val="en-GB"/>
        </w:rPr>
        <w:t>Subject to the provisions of this Act and of any other law relating to any particular offence, a charge shall set forth the relevant offence in such manner and with such particulars as to the time and place at which the offence is alleged to have been committed, as may be reasonably sufficient to inform the accused of the nature of the charge.</w:t>
      </w:r>
    </w:p>
    <w:p w:rsidR="00333DDF" w:rsidRDefault="00333DDF" w:rsidP="00FF0F76">
      <w:pPr>
        <w:spacing w:line="360" w:lineRule="auto"/>
        <w:rPr>
          <w:rFonts w:ascii="Arial" w:hAnsi="Arial" w:cs="Arial"/>
          <w:sz w:val="24"/>
          <w:szCs w:val="24"/>
          <w:lang w:val="en-GB"/>
        </w:rPr>
      </w:pPr>
    </w:p>
    <w:p w:rsidR="00E13FA2" w:rsidRDefault="00F77D27" w:rsidP="00FF0F76">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I</w:t>
      </w:r>
      <w:r w:rsidR="00502C23" w:rsidRPr="00E13FA2">
        <w:rPr>
          <w:rFonts w:ascii="Arial" w:hAnsi="Arial" w:cs="Arial"/>
          <w:sz w:val="24"/>
          <w:szCs w:val="24"/>
          <w:lang w:val="en-GB"/>
        </w:rPr>
        <w:t xml:space="preserve">t is trite that the right to a fair trial extends to the proceedings in a bail application. </w:t>
      </w:r>
      <w:r w:rsidR="004450C7" w:rsidRPr="00E13FA2">
        <w:rPr>
          <w:rFonts w:ascii="Arial" w:hAnsi="Arial" w:cs="Arial"/>
          <w:sz w:val="24"/>
          <w:szCs w:val="24"/>
          <w:lang w:val="en-GB"/>
        </w:rPr>
        <w:t>T</w:t>
      </w:r>
      <w:r w:rsidR="00502C23" w:rsidRPr="00E13FA2">
        <w:rPr>
          <w:rFonts w:ascii="Arial" w:hAnsi="Arial" w:cs="Arial"/>
          <w:sz w:val="24"/>
          <w:szCs w:val="24"/>
          <w:lang w:val="en-GB"/>
        </w:rPr>
        <w:t xml:space="preserve">he </w:t>
      </w:r>
      <w:r w:rsidR="004450C7" w:rsidRPr="00E13FA2">
        <w:rPr>
          <w:rFonts w:ascii="Arial" w:hAnsi="Arial" w:cs="Arial"/>
          <w:sz w:val="24"/>
          <w:szCs w:val="24"/>
          <w:lang w:val="en-GB"/>
        </w:rPr>
        <w:t xml:space="preserve">accused </w:t>
      </w:r>
      <w:r w:rsidR="00502C23" w:rsidRPr="00E13FA2">
        <w:rPr>
          <w:rFonts w:ascii="Arial" w:hAnsi="Arial" w:cs="Arial"/>
          <w:sz w:val="24"/>
          <w:szCs w:val="24"/>
          <w:lang w:val="en-GB"/>
        </w:rPr>
        <w:t xml:space="preserve">must know precisely what charge has been brought against him or her so that he or she can respond thereto </w:t>
      </w:r>
      <w:r w:rsidR="004450C7" w:rsidRPr="00E13FA2">
        <w:rPr>
          <w:rFonts w:ascii="Arial" w:hAnsi="Arial" w:cs="Arial"/>
          <w:sz w:val="24"/>
          <w:szCs w:val="24"/>
          <w:lang w:val="en-GB"/>
        </w:rPr>
        <w:t xml:space="preserve">for purposes of enabling the court to determine whether the interests of justice permit release. </w:t>
      </w:r>
    </w:p>
    <w:p w:rsidR="00E13FA2" w:rsidRDefault="00E13FA2" w:rsidP="00E13FA2">
      <w:pPr>
        <w:pStyle w:val="ListParagraph"/>
        <w:spacing w:line="360" w:lineRule="auto"/>
        <w:ind w:left="0"/>
        <w:jc w:val="both"/>
        <w:rPr>
          <w:rFonts w:ascii="Arial" w:hAnsi="Arial" w:cs="Arial"/>
          <w:sz w:val="24"/>
          <w:szCs w:val="24"/>
          <w:lang w:val="en-GB"/>
        </w:rPr>
      </w:pPr>
    </w:p>
    <w:p w:rsidR="00F77D27" w:rsidRPr="00E13FA2" w:rsidRDefault="00F77D27" w:rsidP="00FF0F76">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 xml:space="preserve">In </w:t>
      </w:r>
      <w:r w:rsidRPr="00E13FA2">
        <w:rPr>
          <w:rFonts w:ascii="Arial" w:hAnsi="Arial" w:cs="Arial"/>
          <w:i/>
          <w:sz w:val="24"/>
          <w:szCs w:val="24"/>
          <w:lang w:val="en-GB"/>
        </w:rPr>
        <w:t>R v Alexander and others</w:t>
      </w:r>
      <w:r w:rsidRPr="00E13FA2">
        <w:rPr>
          <w:rFonts w:ascii="Arial" w:hAnsi="Arial" w:cs="Arial"/>
          <w:sz w:val="24"/>
          <w:szCs w:val="24"/>
          <w:lang w:val="en-GB"/>
        </w:rPr>
        <w:t xml:space="preserve"> 1936 AD 445, W</w:t>
      </w:r>
      <w:r w:rsidR="00F15FD1" w:rsidRPr="00E13FA2">
        <w:rPr>
          <w:rFonts w:ascii="Arial" w:hAnsi="Arial" w:cs="Arial"/>
          <w:sz w:val="24"/>
          <w:szCs w:val="24"/>
          <w:lang w:val="en-GB"/>
        </w:rPr>
        <w:t>essels J remarked as follows, at 457:</w:t>
      </w:r>
    </w:p>
    <w:p w:rsidR="00F77D27" w:rsidRPr="00E13FA2" w:rsidRDefault="00F77D27" w:rsidP="00E13FA2">
      <w:pPr>
        <w:spacing w:line="360" w:lineRule="auto"/>
        <w:ind w:left="720"/>
        <w:jc w:val="both"/>
        <w:rPr>
          <w:rFonts w:ascii="Arial" w:hAnsi="Arial" w:cs="Arial"/>
          <w:lang w:val="en-GB"/>
        </w:rPr>
      </w:pPr>
      <w:r w:rsidRPr="00E13FA2">
        <w:rPr>
          <w:rFonts w:ascii="Arial" w:hAnsi="Arial" w:cs="Arial"/>
          <w:lang w:val="en-GB"/>
        </w:rPr>
        <w:t>‘What is the object of an indictment? Its real purpose is to inform the accused in clear and unmistakeable language what the charge is or what the charges are which he has to meet. It must not be framed in such a way</w:t>
      </w:r>
      <w:r w:rsidR="005964ED" w:rsidRPr="00E13FA2">
        <w:rPr>
          <w:rFonts w:ascii="Arial" w:hAnsi="Arial" w:cs="Arial"/>
          <w:lang w:val="en-GB"/>
        </w:rPr>
        <w:t xml:space="preserve"> that an accused person has to guess or puzzle out by piecing sections of the indictment or portions of sections together what the real charge is which the Crown intends to lay against him.’</w:t>
      </w:r>
    </w:p>
    <w:p w:rsidR="005964ED" w:rsidRDefault="005964ED" w:rsidP="00FF0F76">
      <w:pPr>
        <w:spacing w:line="360" w:lineRule="auto"/>
        <w:rPr>
          <w:rFonts w:ascii="Arial" w:hAnsi="Arial" w:cs="Arial"/>
          <w:sz w:val="24"/>
          <w:szCs w:val="24"/>
          <w:lang w:val="en-GB"/>
        </w:rPr>
      </w:pPr>
    </w:p>
    <w:p w:rsidR="00E13FA2" w:rsidRDefault="005964ED" w:rsidP="00FF0F76">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 xml:space="preserve">The principles reflected above have survived and remain applicable. See, for example, </w:t>
      </w:r>
      <w:r w:rsidRPr="00E13FA2">
        <w:rPr>
          <w:rFonts w:ascii="Arial" w:hAnsi="Arial" w:cs="Arial"/>
          <w:i/>
          <w:sz w:val="24"/>
          <w:szCs w:val="24"/>
          <w:lang w:val="en-GB"/>
        </w:rPr>
        <w:t>S v Hugo</w:t>
      </w:r>
      <w:r w:rsidRPr="00E13FA2">
        <w:rPr>
          <w:rFonts w:ascii="Arial" w:hAnsi="Arial" w:cs="Arial"/>
          <w:sz w:val="24"/>
          <w:szCs w:val="24"/>
          <w:lang w:val="en-GB"/>
        </w:rPr>
        <w:t xml:space="preserve"> 1976 (4) SA 536 (A), at 540E; and more recently, </w:t>
      </w:r>
      <w:r w:rsidRPr="00E13FA2">
        <w:rPr>
          <w:rFonts w:ascii="Arial" w:hAnsi="Arial" w:cs="Arial"/>
          <w:i/>
          <w:sz w:val="24"/>
          <w:szCs w:val="24"/>
          <w:lang w:val="en-GB"/>
        </w:rPr>
        <w:t>Levenstein v S</w:t>
      </w:r>
      <w:r w:rsidRPr="00E13FA2">
        <w:rPr>
          <w:rFonts w:ascii="Arial" w:hAnsi="Arial" w:cs="Arial"/>
          <w:sz w:val="24"/>
          <w:szCs w:val="24"/>
          <w:lang w:val="en-GB"/>
        </w:rPr>
        <w:t xml:space="preserve"> [2013] 4 All SA 528 (SCA), at [98].</w:t>
      </w:r>
    </w:p>
    <w:p w:rsidR="00E13FA2" w:rsidRDefault="00E13FA2" w:rsidP="00E13FA2">
      <w:pPr>
        <w:pStyle w:val="ListParagraph"/>
        <w:spacing w:line="360" w:lineRule="auto"/>
        <w:ind w:left="0"/>
        <w:jc w:val="both"/>
        <w:rPr>
          <w:rFonts w:ascii="Arial" w:hAnsi="Arial" w:cs="Arial"/>
          <w:sz w:val="24"/>
          <w:szCs w:val="24"/>
          <w:lang w:val="en-GB"/>
        </w:rPr>
      </w:pPr>
    </w:p>
    <w:p w:rsidR="00E13FA2" w:rsidRDefault="005964ED" w:rsidP="00FF0F76">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lastRenderedPageBreak/>
        <w:t>Within the context of the lower courts, t</w:t>
      </w:r>
      <w:r w:rsidR="004450C7" w:rsidRPr="00E13FA2">
        <w:rPr>
          <w:rFonts w:ascii="Arial" w:hAnsi="Arial" w:cs="Arial"/>
          <w:sz w:val="24"/>
          <w:szCs w:val="24"/>
          <w:lang w:val="en-GB"/>
        </w:rPr>
        <w:t>he starting point is the charge sheet.</w:t>
      </w:r>
      <w:r>
        <w:rPr>
          <w:rStyle w:val="FootnoteReference"/>
          <w:rFonts w:ascii="Arial" w:hAnsi="Arial" w:cs="Arial"/>
          <w:sz w:val="24"/>
          <w:szCs w:val="24"/>
          <w:lang w:val="en-GB"/>
        </w:rPr>
        <w:footnoteReference w:id="3"/>
      </w:r>
      <w:r w:rsidR="004450C7" w:rsidRPr="00E13FA2">
        <w:rPr>
          <w:rFonts w:ascii="Arial" w:hAnsi="Arial" w:cs="Arial"/>
          <w:sz w:val="24"/>
          <w:szCs w:val="24"/>
          <w:lang w:val="en-GB"/>
        </w:rPr>
        <w:t xml:space="preserve"> If there are further details in relation to the offence indicated on the charge sheet, then these must be conveyed to the accused prior to the commencement of the bail application proceedings so that he or she can answer them. The nature of the charge must be sufficiently clear for the accused to deal with it properly before the hearing commenc</w:t>
      </w:r>
      <w:r w:rsidR="00112817" w:rsidRPr="00E13FA2">
        <w:rPr>
          <w:rFonts w:ascii="Arial" w:hAnsi="Arial" w:cs="Arial"/>
          <w:sz w:val="24"/>
          <w:szCs w:val="24"/>
          <w:lang w:val="en-GB"/>
        </w:rPr>
        <w:t>es; further</w:t>
      </w:r>
      <w:r w:rsidR="004450C7" w:rsidRPr="00E13FA2">
        <w:rPr>
          <w:rFonts w:ascii="Arial" w:hAnsi="Arial" w:cs="Arial"/>
          <w:sz w:val="24"/>
          <w:szCs w:val="24"/>
          <w:lang w:val="en-GB"/>
        </w:rPr>
        <w:t xml:space="preserve"> de</w:t>
      </w:r>
      <w:r w:rsidR="00112817" w:rsidRPr="00E13FA2">
        <w:rPr>
          <w:rFonts w:ascii="Arial" w:hAnsi="Arial" w:cs="Arial"/>
          <w:sz w:val="24"/>
          <w:szCs w:val="24"/>
          <w:lang w:val="en-GB"/>
        </w:rPr>
        <w:t>tails cannot be withheld or sprung upon the accused at the last moment</w:t>
      </w:r>
      <w:r w:rsidR="004450C7" w:rsidRPr="00E13FA2">
        <w:rPr>
          <w:rFonts w:ascii="Arial" w:hAnsi="Arial" w:cs="Arial"/>
          <w:sz w:val="24"/>
          <w:szCs w:val="24"/>
          <w:lang w:val="en-GB"/>
        </w:rPr>
        <w:t>.</w:t>
      </w:r>
      <w:r w:rsidR="00112817">
        <w:rPr>
          <w:rStyle w:val="FootnoteReference"/>
          <w:rFonts w:ascii="Arial" w:hAnsi="Arial" w:cs="Arial"/>
          <w:sz w:val="24"/>
          <w:szCs w:val="24"/>
          <w:lang w:val="en-GB"/>
        </w:rPr>
        <w:footnoteReference w:id="4"/>
      </w:r>
      <w:r w:rsidR="004450C7" w:rsidRPr="00E13FA2">
        <w:rPr>
          <w:rFonts w:ascii="Arial" w:hAnsi="Arial" w:cs="Arial"/>
          <w:sz w:val="24"/>
          <w:szCs w:val="24"/>
          <w:lang w:val="en-GB"/>
        </w:rPr>
        <w:t xml:space="preserve"> </w:t>
      </w:r>
    </w:p>
    <w:p w:rsidR="00E13FA2" w:rsidRDefault="00E13FA2" w:rsidP="00E13FA2">
      <w:pPr>
        <w:pStyle w:val="ListParagraph"/>
        <w:spacing w:line="360" w:lineRule="auto"/>
        <w:ind w:left="0"/>
        <w:jc w:val="both"/>
        <w:rPr>
          <w:rFonts w:ascii="Arial" w:hAnsi="Arial" w:cs="Arial"/>
          <w:sz w:val="24"/>
          <w:szCs w:val="24"/>
          <w:lang w:val="en-GB"/>
        </w:rPr>
      </w:pPr>
    </w:p>
    <w:p w:rsidR="00E565BC" w:rsidRPr="00E13FA2" w:rsidRDefault="00E565BC" w:rsidP="00FF0F76">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 xml:space="preserve">In </w:t>
      </w:r>
      <w:r w:rsidRPr="00E13FA2">
        <w:rPr>
          <w:rFonts w:ascii="Arial" w:hAnsi="Arial" w:cs="Arial"/>
          <w:i/>
          <w:sz w:val="24"/>
          <w:szCs w:val="24"/>
          <w:lang w:val="en-GB"/>
        </w:rPr>
        <w:t>S v Msimango</w:t>
      </w:r>
      <w:r w:rsidRPr="00E13FA2">
        <w:rPr>
          <w:rFonts w:ascii="Arial" w:hAnsi="Arial" w:cs="Arial"/>
          <w:sz w:val="24"/>
          <w:szCs w:val="24"/>
          <w:lang w:val="en-GB"/>
        </w:rPr>
        <w:t xml:space="preserve"> 2018 (1) SACR 276 (SCA), Bo</w:t>
      </w:r>
      <w:r w:rsidR="00F15FD1" w:rsidRPr="00E13FA2">
        <w:rPr>
          <w:rFonts w:ascii="Arial" w:hAnsi="Arial" w:cs="Arial"/>
          <w:sz w:val="24"/>
          <w:szCs w:val="24"/>
          <w:lang w:val="en-GB"/>
        </w:rPr>
        <w:t>sielo J observed, at [16], that</w:t>
      </w:r>
      <w:r w:rsidR="00906BB2">
        <w:rPr>
          <w:rFonts w:ascii="Arial" w:hAnsi="Arial" w:cs="Arial"/>
          <w:sz w:val="24"/>
          <w:szCs w:val="24"/>
          <w:lang w:val="en-GB"/>
        </w:rPr>
        <w:t>:</w:t>
      </w:r>
    </w:p>
    <w:p w:rsidR="00E565BC" w:rsidRDefault="00E565BC" w:rsidP="00E13FA2">
      <w:pPr>
        <w:spacing w:line="360" w:lineRule="auto"/>
        <w:ind w:left="720"/>
        <w:jc w:val="both"/>
        <w:rPr>
          <w:rFonts w:ascii="Arial" w:hAnsi="Arial" w:cs="Arial"/>
          <w:lang w:val="en-GB"/>
        </w:rPr>
      </w:pPr>
      <w:r w:rsidRPr="00E13FA2">
        <w:rPr>
          <w:rFonts w:ascii="Arial" w:hAnsi="Arial" w:cs="Arial"/>
          <w:lang w:val="en-GB"/>
        </w:rPr>
        <w:t>‘In the language of s 35(3)(a), this is intended to enable… an accused… to answer and defend himself or herself in the ensuing trial. Its main purpose is to banish any trial by ambush. This is so because our criminal justice is both adversarial and accusatory.’</w:t>
      </w:r>
    </w:p>
    <w:p w:rsidR="00E13FA2" w:rsidRPr="00E13FA2" w:rsidRDefault="00E13FA2" w:rsidP="00E565BC">
      <w:pPr>
        <w:spacing w:line="360" w:lineRule="auto"/>
        <w:ind w:left="720"/>
        <w:rPr>
          <w:rFonts w:ascii="Arial" w:hAnsi="Arial" w:cs="Arial"/>
          <w:lang w:val="en-GB"/>
        </w:rPr>
      </w:pPr>
    </w:p>
    <w:p w:rsidR="00E13FA2" w:rsidRDefault="004450C7" w:rsidP="00FF0F76">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 xml:space="preserve">In the present matter, the information contained in the charge sheet merely referred to fraud, nothing more. </w:t>
      </w:r>
      <w:r w:rsidR="00996E15" w:rsidRPr="00E13FA2">
        <w:rPr>
          <w:rFonts w:ascii="Arial" w:hAnsi="Arial" w:cs="Arial"/>
          <w:sz w:val="24"/>
          <w:szCs w:val="24"/>
          <w:lang w:val="en-GB"/>
        </w:rPr>
        <w:t xml:space="preserve">Consequently, that is the charge that the appellant was required to have met. The court </w:t>
      </w:r>
      <w:r w:rsidR="00996E15" w:rsidRPr="00E13FA2">
        <w:rPr>
          <w:rFonts w:ascii="Arial" w:hAnsi="Arial" w:cs="Arial"/>
          <w:i/>
          <w:sz w:val="24"/>
          <w:szCs w:val="24"/>
          <w:lang w:val="en-GB"/>
        </w:rPr>
        <w:t>a quo</w:t>
      </w:r>
      <w:r w:rsidR="00996E15" w:rsidRPr="00E13FA2">
        <w:rPr>
          <w:rFonts w:ascii="Arial" w:hAnsi="Arial" w:cs="Arial"/>
          <w:sz w:val="24"/>
          <w:szCs w:val="24"/>
          <w:lang w:val="en-GB"/>
        </w:rPr>
        <w:t xml:space="preserve"> was incorrect to have held that the offence fell under Schedule 5; on its own, without further detail, it could only have fallen under Schedule 1.</w:t>
      </w:r>
    </w:p>
    <w:p w:rsidR="00E13FA2" w:rsidRDefault="00E13FA2" w:rsidP="00E13FA2">
      <w:pPr>
        <w:pStyle w:val="ListParagraph"/>
        <w:spacing w:line="360" w:lineRule="auto"/>
        <w:ind w:left="0"/>
        <w:jc w:val="both"/>
        <w:rPr>
          <w:rFonts w:ascii="Arial" w:hAnsi="Arial" w:cs="Arial"/>
          <w:sz w:val="24"/>
          <w:szCs w:val="24"/>
          <w:lang w:val="en-GB"/>
        </w:rPr>
      </w:pPr>
    </w:p>
    <w:p w:rsidR="00E13FA2" w:rsidRDefault="00996E15" w:rsidP="00C54A5D">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 xml:space="preserve">Turning to section 35(1)(f) of the Constitution, there is authority to the effect that the onus remains with the prosecution in all instances, except those specifically mentioned in terms of section </w:t>
      </w:r>
      <w:r w:rsidR="00A9616B" w:rsidRPr="00E13FA2">
        <w:rPr>
          <w:rFonts w:ascii="Arial" w:hAnsi="Arial" w:cs="Arial"/>
          <w:sz w:val="24"/>
          <w:szCs w:val="24"/>
          <w:lang w:val="en-GB"/>
        </w:rPr>
        <w:t>60(</w:t>
      </w:r>
      <w:r w:rsidRPr="00E13FA2">
        <w:rPr>
          <w:rFonts w:ascii="Arial" w:hAnsi="Arial" w:cs="Arial"/>
          <w:sz w:val="24"/>
          <w:szCs w:val="24"/>
          <w:lang w:val="en-GB"/>
        </w:rPr>
        <w:t>11</w:t>
      </w:r>
      <w:r w:rsidR="00A9616B" w:rsidRPr="00E13FA2">
        <w:rPr>
          <w:rFonts w:ascii="Arial" w:hAnsi="Arial" w:cs="Arial"/>
          <w:sz w:val="24"/>
          <w:szCs w:val="24"/>
          <w:lang w:val="en-GB"/>
        </w:rPr>
        <w:t>) of the CPA</w:t>
      </w:r>
      <w:r w:rsidRPr="00E13FA2">
        <w:rPr>
          <w:rFonts w:ascii="Arial" w:hAnsi="Arial" w:cs="Arial"/>
          <w:sz w:val="24"/>
          <w:szCs w:val="24"/>
          <w:lang w:val="en-GB"/>
        </w:rPr>
        <w:t>.</w:t>
      </w:r>
      <w:r w:rsidR="00380B33">
        <w:rPr>
          <w:rStyle w:val="FootnoteReference"/>
          <w:rFonts w:ascii="Arial" w:hAnsi="Arial" w:cs="Arial"/>
          <w:sz w:val="24"/>
          <w:szCs w:val="24"/>
          <w:lang w:val="en-GB"/>
        </w:rPr>
        <w:footnoteReference w:id="5"/>
      </w:r>
      <w:r w:rsidRPr="00E13FA2">
        <w:rPr>
          <w:rFonts w:ascii="Arial" w:hAnsi="Arial" w:cs="Arial"/>
          <w:sz w:val="24"/>
          <w:szCs w:val="24"/>
          <w:lang w:val="en-GB"/>
        </w:rPr>
        <w:t xml:space="preserve"> See E du Toit (et al) </w:t>
      </w:r>
      <w:r w:rsidRPr="00E13FA2">
        <w:rPr>
          <w:rFonts w:ascii="Arial" w:hAnsi="Arial" w:cs="Arial"/>
          <w:i/>
          <w:sz w:val="24"/>
          <w:szCs w:val="24"/>
          <w:lang w:val="en-GB"/>
        </w:rPr>
        <w:t>Commentary on the Criminal Procedure Act</w:t>
      </w:r>
      <w:r w:rsidRPr="00E13FA2">
        <w:rPr>
          <w:rFonts w:ascii="Arial" w:hAnsi="Arial" w:cs="Arial"/>
          <w:sz w:val="24"/>
          <w:szCs w:val="24"/>
          <w:lang w:val="en-GB"/>
        </w:rPr>
        <w:t xml:space="preserve"> (Jutastat, RS 61, 2018), at ch9-p54H.  </w:t>
      </w:r>
      <w:r w:rsidR="00380B33" w:rsidRPr="00E13FA2">
        <w:rPr>
          <w:rFonts w:ascii="Arial" w:hAnsi="Arial" w:cs="Arial"/>
          <w:sz w:val="24"/>
          <w:szCs w:val="24"/>
          <w:lang w:val="en-GB"/>
        </w:rPr>
        <w:t xml:space="preserve">If it was </w:t>
      </w:r>
      <w:r w:rsidRPr="00E13FA2">
        <w:rPr>
          <w:rFonts w:ascii="Arial" w:hAnsi="Arial" w:cs="Arial"/>
          <w:sz w:val="24"/>
          <w:szCs w:val="24"/>
          <w:lang w:val="en-GB"/>
        </w:rPr>
        <w:t>established</w:t>
      </w:r>
      <w:r w:rsidR="00380B33" w:rsidRPr="00E13FA2">
        <w:rPr>
          <w:rFonts w:ascii="Arial" w:hAnsi="Arial" w:cs="Arial"/>
          <w:sz w:val="24"/>
          <w:szCs w:val="24"/>
          <w:lang w:val="en-GB"/>
        </w:rPr>
        <w:t>, as it ought to have been, that the offence did</w:t>
      </w:r>
      <w:r w:rsidRPr="00E13FA2">
        <w:rPr>
          <w:rFonts w:ascii="Arial" w:hAnsi="Arial" w:cs="Arial"/>
          <w:sz w:val="24"/>
          <w:szCs w:val="24"/>
          <w:lang w:val="en-GB"/>
        </w:rPr>
        <w:t xml:space="preserve"> not fall under either Schedule 5 or 6</w:t>
      </w:r>
      <w:r w:rsidR="00C54A5D" w:rsidRPr="00E13FA2">
        <w:rPr>
          <w:rFonts w:ascii="Arial" w:hAnsi="Arial" w:cs="Arial"/>
          <w:sz w:val="24"/>
          <w:szCs w:val="24"/>
          <w:lang w:val="en-GB"/>
        </w:rPr>
        <w:t xml:space="preserve">, then the state bore the onus to demonstrate that </w:t>
      </w:r>
      <w:r w:rsidRPr="00E13FA2">
        <w:rPr>
          <w:rFonts w:ascii="Arial" w:hAnsi="Arial" w:cs="Arial"/>
          <w:sz w:val="24"/>
          <w:szCs w:val="24"/>
          <w:lang w:val="en-GB"/>
        </w:rPr>
        <w:t xml:space="preserve">the interests of justice </w:t>
      </w:r>
      <w:r w:rsidR="00C54A5D" w:rsidRPr="00E13FA2">
        <w:rPr>
          <w:rFonts w:ascii="Arial" w:hAnsi="Arial" w:cs="Arial"/>
          <w:sz w:val="24"/>
          <w:szCs w:val="24"/>
          <w:lang w:val="en-GB"/>
        </w:rPr>
        <w:t xml:space="preserve">did not </w:t>
      </w:r>
      <w:r w:rsidRPr="00E13FA2">
        <w:rPr>
          <w:rFonts w:ascii="Arial" w:hAnsi="Arial" w:cs="Arial"/>
          <w:sz w:val="24"/>
          <w:szCs w:val="24"/>
          <w:lang w:val="en-GB"/>
        </w:rPr>
        <w:t>permit</w:t>
      </w:r>
      <w:r w:rsidR="00C54A5D" w:rsidRPr="00E13FA2">
        <w:rPr>
          <w:rFonts w:ascii="Arial" w:hAnsi="Arial" w:cs="Arial"/>
          <w:sz w:val="24"/>
          <w:szCs w:val="24"/>
          <w:lang w:val="en-GB"/>
        </w:rPr>
        <w:t xml:space="preserve"> </w:t>
      </w:r>
      <w:r w:rsidRPr="00E13FA2">
        <w:rPr>
          <w:rFonts w:ascii="Arial" w:hAnsi="Arial" w:cs="Arial"/>
          <w:sz w:val="24"/>
          <w:szCs w:val="24"/>
          <w:lang w:val="en-GB"/>
        </w:rPr>
        <w:t>the release o</w:t>
      </w:r>
      <w:r w:rsidR="00C54A5D" w:rsidRPr="00E13FA2">
        <w:rPr>
          <w:rFonts w:ascii="Arial" w:hAnsi="Arial" w:cs="Arial"/>
          <w:sz w:val="24"/>
          <w:szCs w:val="24"/>
          <w:lang w:val="en-GB"/>
        </w:rPr>
        <w:t>f the appellant.</w:t>
      </w:r>
    </w:p>
    <w:p w:rsidR="00E13FA2" w:rsidRPr="00E13FA2" w:rsidRDefault="00E13FA2" w:rsidP="00E13FA2">
      <w:pPr>
        <w:pStyle w:val="ListParagraph"/>
        <w:rPr>
          <w:rFonts w:ascii="Arial" w:hAnsi="Arial" w:cs="Arial"/>
          <w:sz w:val="24"/>
          <w:szCs w:val="24"/>
          <w:lang w:val="en-GB"/>
        </w:rPr>
      </w:pPr>
    </w:p>
    <w:p w:rsidR="00E13FA2" w:rsidRDefault="00112817" w:rsidP="00FF0F76">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The pertinenc</w:t>
      </w:r>
      <w:r w:rsidR="00380B33" w:rsidRPr="00E13FA2">
        <w:rPr>
          <w:rFonts w:ascii="Arial" w:hAnsi="Arial" w:cs="Arial"/>
          <w:sz w:val="24"/>
          <w:szCs w:val="24"/>
          <w:lang w:val="en-GB"/>
        </w:rPr>
        <w:t>e of the in</w:t>
      </w:r>
      <w:r w:rsidRPr="00E13FA2">
        <w:rPr>
          <w:rFonts w:ascii="Arial" w:hAnsi="Arial" w:cs="Arial"/>
          <w:sz w:val="24"/>
          <w:szCs w:val="24"/>
          <w:lang w:val="en-GB"/>
        </w:rPr>
        <w:t>terests of justice appears from</w:t>
      </w:r>
      <w:r w:rsidR="00380B33" w:rsidRPr="00E13FA2">
        <w:rPr>
          <w:rFonts w:ascii="Arial" w:hAnsi="Arial" w:cs="Arial"/>
          <w:sz w:val="24"/>
          <w:szCs w:val="24"/>
          <w:lang w:val="en-GB"/>
        </w:rPr>
        <w:t xml:space="preserve"> section 60(4) of the CPA. In that regard, the text provides that t</w:t>
      </w:r>
      <w:r w:rsidR="005322DC" w:rsidRPr="00E13FA2">
        <w:rPr>
          <w:rFonts w:ascii="Arial" w:hAnsi="Arial" w:cs="Arial"/>
          <w:sz w:val="24"/>
          <w:szCs w:val="24"/>
          <w:lang w:val="en-GB"/>
        </w:rPr>
        <w:t xml:space="preserve">he interests of justice do not permit the release </w:t>
      </w:r>
      <w:r w:rsidR="005322DC" w:rsidRPr="00E13FA2">
        <w:rPr>
          <w:rFonts w:ascii="Arial" w:hAnsi="Arial" w:cs="Arial"/>
          <w:sz w:val="24"/>
          <w:szCs w:val="24"/>
          <w:lang w:val="en-GB"/>
        </w:rPr>
        <w:lastRenderedPageBreak/>
        <w:t>of an accused</w:t>
      </w:r>
      <w:r w:rsidR="00380B33" w:rsidRPr="00E13FA2">
        <w:rPr>
          <w:rFonts w:ascii="Arial" w:hAnsi="Arial" w:cs="Arial"/>
          <w:sz w:val="24"/>
          <w:szCs w:val="24"/>
          <w:lang w:val="en-GB"/>
        </w:rPr>
        <w:t xml:space="preserve"> when one or more of the </w:t>
      </w:r>
      <w:r w:rsidR="005322DC" w:rsidRPr="00E13FA2">
        <w:rPr>
          <w:rFonts w:ascii="Arial" w:hAnsi="Arial" w:cs="Arial"/>
          <w:sz w:val="24"/>
          <w:szCs w:val="24"/>
          <w:lang w:val="en-GB"/>
        </w:rPr>
        <w:t xml:space="preserve">grounds </w:t>
      </w:r>
      <w:r w:rsidR="00380B33" w:rsidRPr="00E13FA2">
        <w:rPr>
          <w:rFonts w:ascii="Arial" w:hAnsi="Arial" w:cs="Arial"/>
          <w:sz w:val="24"/>
          <w:szCs w:val="24"/>
          <w:lang w:val="en-GB"/>
        </w:rPr>
        <w:t xml:space="preserve">listed in sub-sections (a) to (e) </w:t>
      </w:r>
      <w:r w:rsidR="005322DC" w:rsidRPr="00E13FA2">
        <w:rPr>
          <w:rFonts w:ascii="Arial" w:hAnsi="Arial" w:cs="Arial"/>
          <w:sz w:val="24"/>
          <w:szCs w:val="24"/>
          <w:lang w:val="en-GB"/>
        </w:rPr>
        <w:t xml:space="preserve">are established. The grounds are based on the likelihood of certain events occurring. </w:t>
      </w:r>
    </w:p>
    <w:p w:rsidR="00E13FA2" w:rsidRPr="00E13FA2" w:rsidRDefault="00E13FA2" w:rsidP="00E13FA2">
      <w:pPr>
        <w:pStyle w:val="ListParagraph"/>
        <w:rPr>
          <w:rFonts w:ascii="Arial" w:hAnsi="Arial" w:cs="Arial"/>
          <w:sz w:val="24"/>
          <w:szCs w:val="24"/>
          <w:lang w:val="en-GB"/>
        </w:rPr>
      </w:pPr>
    </w:p>
    <w:p w:rsidR="00380B33" w:rsidRPr="00E13FA2" w:rsidRDefault="00380B33" w:rsidP="00FF0F76">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 xml:space="preserve">The following general observations about section 60(4) were made by Flemming DJP in </w:t>
      </w:r>
      <w:r w:rsidRPr="00E13FA2">
        <w:rPr>
          <w:rFonts w:ascii="Arial" w:hAnsi="Arial" w:cs="Arial"/>
          <w:i/>
          <w:sz w:val="24"/>
          <w:szCs w:val="24"/>
          <w:lang w:val="en-GB"/>
        </w:rPr>
        <w:t>S v Hudson</w:t>
      </w:r>
      <w:r w:rsidRPr="00E13FA2">
        <w:rPr>
          <w:rFonts w:ascii="Arial" w:hAnsi="Arial" w:cs="Arial"/>
          <w:sz w:val="24"/>
          <w:szCs w:val="24"/>
          <w:lang w:val="en-GB"/>
        </w:rPr>
        <w:t xml:space="preserve"> 1996 (1) SACR 431 (W), at 433e-f:</w:t>
      </w:r>
    </w:p>
    <w:p w:rsidR="00380B33" w:rsidRPr="00E13FA2" w:rsidRDefault="00112817" w:rsidP="00E13FA2">
      <w:pPr>
        <w:spacing w:line="360" w:lineRule="auto"/>
        <w:ind w:left="720"/>
        <w:jc w:val="both"/>
        <w:rPr>
          <w:rFonts w:ascii="Arial" w:hAnsi="Arial" w:cs="Arial"/>
          <w:lang w:val="en-GB"/>
        </w:rPr>
      </w:pPr>
      <w:r w:rsidRPr="00E13FA2">
        <w:rPr>
          <w:rFonts w:ascii="Arial" w:hAnsi="Arial" w:cs="Arial"/>
          <w:lang w:val="en-GB"/>
        </w:rPr>
        <w:t>‘Considering the granting of bail involves, as is well known, a balancing of the interests of the administration of justice against the wishes of the accused. But that is, of course, not accurate. Those interests are not fully in opposition. It is also to the public good and part of public policy that a person should enjoy freedom of movement, of occupation, of association, etc. That public interest is qualified, when appropriate, in the interests of the administration of justice. Secondly, considering bail involves a balance between unequal considerations. Risk of harm to the administration of justice involves unquantifiable and unprovable future possibilities. The interests of the accused generally turn upon extant facts and intentions. But it remains the chances that the administration of justice may be harmed which may justify the impact of detention despite a pending appeal.’</w:t>
      </w:r>
    </w:p>
    <w:p w:rsidR="00E565BC" w:rsidRDefault="00E565BC" w:rsidP="00380B33">
      <w:pPr>
        <w:spacing w:line="360" w:lineRule="auto"/>
        <w:rPr>
          <w:rFonts w:ascii="Arial" w:hAnsi="Arial" w:cs="Arial"/>
          <w:sz w:val="24"/>
          <w:szCs w:val="24"/>
          <w:lang w:val="en-GB"/>
        </w:rPr>
      </w:pPr>
    </w:p>
    <w:p w:rsidR="00380B33" w:rsidRPr="00E13FA2" w:rsidRDefault="00380B33" w:rsidP="00E13FA2">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 xml:space="preserve">More recently, the nature of the interpretation to be given to section 60(4) was considered in </w:t>
      </w:r>
      <w:r w:rsidRPr="00E13FA2">
        <w:rPr>
          <w:rFonts w:ascii="Arial" w:hAnsi="Arial" w:cs="Arial"/>
          <w:i/>
          <w:sz w:val="24"/>
          <w:szCs w:val="24"/>
          <w:lang w:val="en-GB"/>
        </w:rPr>
        <w:t>S v Mwaka</w:t>
      </w:r>
      <w:r w:rsidRPr="00E13FA2">
        <w:rPr>
          <w:rFonts w:ascii="Arial" w:hAnsi="Arial" w:cs="Arial"/>
          <w:sz w:val="24"/>
          <w:szCs w:val="24"/>
          <w:lang w:val="en-GB"/>
        </w:rPr>
        <w:t xml:space="preserve"> 2015 (2) SACR 306 (WCC), where Le Grange J held, at [16], that</w:t>
      </w:r>
    </w:p>
    <w:p w:rsidR="00380B33" w:rsidRDefault="00380B33" w:rsidP="00E13FA2">
      <w:pPr>
        <w:spacing w:line="360" w:lineRule="auto"/>
        <w:ind w:left="720"/>
        <w:jc w:val="both"/>
        <w:rPr>
          <w:rFonts w:ascii="Arial" w:hAnsi="Arial" w:cs="Arial"/>
          <w:lang w:val="en-GB"/>
        </w:rPr>
      </w:pPr>
      <w:r w:rsidRPr="00E13FA2">
        <w:rPr>
          <w:rFonts w:ascii="Arial" w:hAnsi="Arial" w:cs="Arial"/>
          <w:lang w:val="en-GB"/>
        </w:rPr>
        <w:t>‘[i]n terms of section 60(4)… the basic principle in our law is that bail ought to be granted… unless it is not in the interests of justice.’</w:t>
      </w:r>
      <w:r w:rsidR="00ED346E" w:rsidRPr="00E13FA2">
        <w:rPr>
          <w:rStyle w:val="FootnoteReference"/>
          <w:rFonts w:ascii="Arial" w:hAnsi="Arial" w:cs="Arial"/>
          <w:lang w:val="en-GB"/>
        </w:rPr>
        <w:footnoteReference w:id="6"/>
      </w:r>
    </w:p>
    <w:p w:rsidR="00E13FA2" w:rsidRPr="00E13FA2" w:rsidRDefault="00E13FA2" w:rsidP="00E13FA2">
      <w:pPr>
        <w:spacing w:line="360" w:lineRule="auto"/>
        <w:ind w:left="720"/>
        <w:jc w:val="both"/>
        <w:rPr>
          <w:rFonts w:ascii="Arial" w:hAnsi="Arial" w:cs="Arial"/>
          <w:lang w:val="en-GB"/>
        </w:rPr>
      </w:pPr>
    </w:p>
    <w:p w:rsidR="00E13FA2" w:rsidRDefault="00ED346E" w:rsidP="00FF0F76">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 xml:space="preserve">Turning to the grounds themselves, the first </w:t>
      </w:r>
      <w:r w:rsidR="005322DC" w:rsidRPr="00E13FA2">
        <w:rPr>
          <w:rFonts w:ascii="Arial" w:hAnsi="Arial" w:cs="Arial"/>
          <w:sz w:val="24"/>
          <w:szCs w:val="24"/>
          <w:lang w:val="en-GB"/>
        </w:rPr>
        <w:t>concerns whether the appellant would endanger the safety of the public or a particular person or commit a Schedule 1 offence.</w:t>
      </w:r>
      <w:r w:rsidRPr="00E13FA2">
        <w:rPr>
          <w:rFonts w:ascii="Arial" w:hAnsi="Arial" w:cs="Arial"/>
          <w:sz w:val="24"/>
          <w:szCs w:val="24"/>
          <w:lang w:val="en-GB"/>
        </w:rPr>
        <w:t xml:space="preserve"> From a perusal</w:t>
      </w:r>
      <w:r w:rsidR="005322DC" w:rsidRPr="00E13FA2">
        <w:rPr>
          <w:rFonts w:ascii="Arial" w:hAnsi="Arial" w:cs="Arial"/>
          <w:sz w:val="24"/>
          <w:szCs w:val="24"/>
          <w:lang w:val="en-GB"/>
        </w:rPr>
        <w:t xml:space="preserve"> of the record, there was </w:t>
      </w:r>
      <w:r w:rsidR="004808D8" w:rsidRPr="00E13FA2">
        <w:rPr>
          <w:rFonts w:ascii="Arial" w:hAnsi="Arial" w:cs="Arial"/>
          <w:sz w:val="24"/>
          <w:szCs w:val="24"/>
          <w:lang w:val="en-GB"/>
        </w:rPr>
        <w:t xml:space="preserve">simply </w:t>
      </w:r>
      <w:r w:rsidR="005322DC" w:rsidRPr="00E13FA2">
        <w:rPr>
          <w:rFonts w:ascii="Arial" w:hAnsi="Arial" w:cs="Arial"/>
          <w:sz w:val="24"/>
          <w:szCs w:val="24"/>
          <w:lang w:val="en-GB"/>
        </w:rPr>
        <w:t xml:space="preserve">no evidence to that effect. </w:t>
      </w:r>
      <w:r w:rsidR="00875AEF" w:rsidRPr="00E13FA2">
        <w:rPr>
          <w:rFonts w:ascii="Arial" w:hAnsi="Arial" w:cs="Arial"/>
          <w:sz w:val="24"/>
          <w:szCs w:val="24"/>
          <w:lang w:val="en-GB"/>
        </w:rPr>
        <w:t>It was alleged that the appellant had hired</w:t>
      </w:r>
      <w:r w:rsidR="001051A5" w:rsidRPr="00E13FA2">
        <w:rPr>
          <w:rFonts w:ascii="Arial" w:hAnsi="Arial" w:cs="Arial"/>
          <w:sz w:val="24"/>
          <w:szCs w:val="24"/>
          <w:lang w:val="en-GB"/>
        </w:rPr>
        <w:t xml:space="preserve"> a hitman to kill his wife</w:t>
      </w:r>
      <w:r w:rsidR="00875AEF" w:rsidRPr="00E13FA2">
        <w:rPr>
          <w:rFonts w:ascii="Arial" w:hAnsi="Arial" w:cs="Arial"/>
          <w:sz w:val="24"/>
          <w:szCs w:val="24"/>
          <w:lang w:val="en-GB"/>
        </w:rPr>
        <w:t xml:space="preserve"> </w:t>
      </w:r>
      <w:r w:rsidR="001051A5" w:rsidRPr="00E13FA2">
        <w:rPr>
          <w:rFonts w:ascii="Arial" w:hAnsi="Arial" w:cs="Arial"/>
          <w:sz w:val="24"/>
          <w:szCs w:val="24"/>
          <w:lang w:val="en-GB"/>
        </w:rPr>
        <w:t xml:space="preserve">(his co-accused) </w:t>
      </w:r>
      <w:r w:rsidR="00875AEF" w:rsidRPr="00E13FA2">
        <w:rPr>
          <w:rFonts w:ascii="Arial" w:hAnsi="Arial" w:cs="Arial"/>
          <w:sz w:val="24"/>
          <w:szCs w:val="24"/>
          <w:lang w:val="en-GB"/>
        </w:rPr>
        <w:t xml:space="preserve">but the source and precise details of such allegation </w:t>
      </w:r>
      <w:r w:rsidR="00B82F71" w:rsidRPr="00E13FA2">
        <w:rPr>
          <w:rFonts w:ascii="Arial" w:hAnsi="Arial" w:cs="Arial"/>
          <w:sz w:val="24"/>
          <w:szCs w:val="24"/>
          <w:lang w:val="en-GB"/>
        </w:rPr>
        <w:t xml:space="preserve">were never disclosed; the court </w:t>
      </w:r>
      <w:r w:rsidR="00B82F71" w:rsidRPr="00E13FA2">
        <w:rPr>
          <w:rFonts w:ascii="Arial" w:hAnsi="Arial" w:cs="Arial"/>
          <w:i/>
          <w:sz w:val="24"/>
          <w:szCs w:val="24"/>
          <w:lang w:val="en-GB"/>
        </w:rPr>
        <w:t>a quo</w:t>
      </w:r>
      <w:r w:rsidR="00B82F71" w:rsidRPr="00E13FA2">
        <w:rPr>
          <w:rFonts w:ascii="Arial" w:hAnsi="Arial" w:cs="Arial"/>
          <w:sz w:val="24"/>
          <w:szCs w:val="24"/>
          <w:lang w:val="en-GB"/>
        </w:rPr>
        <w:t xml:space="preserve"> was correct in treating it </w:t>
      </w:r>
      <w:r w:rsidR="002971C2" w:rsidRPr="00E13FA2">
        <w:rPr>
          <w:rFonts w:ascii="Arial" w:hAnsi="Arial" w:cs="Arial"/>
          <w:sz w:val="24"/>
          <w:szCs w:val="24"/>
          <w:lang w:val="en-GB"/>
        </w:rPr>
        <w:t xml:space="preserve">as </w:t>
      </w:r>
      <w:r w:rsidR="00875AEF" w:rsidRPr="00E13FA2">
        <w:rPr>
          <w:rFonts w:ascii="Arial" w:hAnsi="Arial" w:cs="Arial"/>
          <w:sz w:val="24"/>
          <w:szCs w:val="24"/>
          <w:lang w:val="en-GB"/>
        </w:rPr>
        <w:t>a</w:t>
      </w:r>
      <w:r w:rsidR="00B82F71" w:rsidRPr="00E13FA2">
        <w:rPr>
          <w:rFonts w:ascii="Arial" w:hAnsi="Arial" w:cs="Arial"/>
          <w:sz w:val="24"/>
          <w:szCs w:val="24"/>
          <w:lang w:val="en-GB"/>
        </w:rPr>
        <w:t>n unfounded rumour.</w:t>
      </w:r>
      <w:r w:rsidR="004808D8" w:rsidRPr="00E13FA2">
        <w:rPr>
          <w:rFonts w:ascii="Arial" w:hAnsi="Arial" w:cs="Arial"/>
          <w:sz w:val="24"/>
          <w:szCs w:val="24"/>
          <w:lang w:val="en-GB"/>
        </w:rPr>
        <w:t xml:space="preserve"> No evidence was presented by the state to indicate, too, that the appellant had a disposition towards violence. </w:t>
      </w:r>
      <w:r w:rsidR="00EB7173" w:rsidRPr="00E13FA2">
        <w:rPr>
          <w:rFonts w:ascii="Arial" w:hAnsi="Arial" w:cs="Arial"/>
          <w:sz w:val="24"/>
          <w:szCs w:val="24"/>
          <w:lang w:val="en-GB"/>
        </w:rPr>
        <w:t xml:space="preserve">As a youth, he had been </w:t>
      </w:r>
      <w:r w:rsidR="004808D8" w:rsidRPr="00E13FA2">
        <w:rPr>
          <w:rFonts w:ascii="Arial" w:hAnsi="Arial" w:cs="Arial"/>
          <w:sz w:val="24"/>
          <w:szCs w:val="24"/>
          <w:lang w:val="en-GB"/>
        </w:rPr>
        <w:t xml:space="preserve">convicted </w:t>
      </w:r>
      <w:r w:rsidR="00EB7173" w:rsidRPr="00E13FA2">
        <w:rPr>
          <w:rFonts w:ascii="Arial" w:hAnsi="Arial" w:cs="Arial"/>
          <w:sz w:val="24"/>
          <w:szCs w:val="24"/>
          <w:lang w:val="en-GB"/>
        </w:rPr>
        <w:t xml:space="preserve">for the possession of dagga. Furthermore, he had previously </w:t>
      </w:r>
      <w:r w:rsidR="00EB7173" w:rsidRPr="00E13FA2">
        <w:rPr>
          <w:rFonts w:ascii="Arial" w:hAnsi="Arial" w:cs="Arial"/>
          <w:sz w:val="24"/>
          <w:szCs w:val="24"/>
          <w:lang w:val="en-GB"/>
        </w:rPr>
        <w:lastRenderedPageBreak/>
        <w:t>been charged for the unlawful possession of a firearm and also for malicious injury to property; neither case appears to have been finalised. Importantly, none of the cases mentioned above convincingly disclose</w:t>
      </w:r>
      <w:r w:rsidRPr="00E13FA2">
        <w:rPr>
          <w:rFonts w:ascii="Arial" w:hAnsi="Arial" w:cs="Arial"/>
          <w:sz w:val="24"/>
          <w:szCs w:val="24"/>
          <w:lang w:val="en-GB"/>
        </w:rPr>
        <w:t>d</w:t>
      </w:r>
      <w:r w:rsidR="00EB7173" w:rsidRPr="00E13FA2">
        <w:rPr>
          <w:rFonts w:ascii="Arial" w:hAnsi="Arial" w:cs="Arial"/>
          <w:sz w:val="24"/>
          <w:szCs w:val="24"/>
          <w:lang w:val="en-GB"/>
        </w:rPr>
        <w:t xml:space="preserve"> a propensity for violence. With regard to the likelihood that the appellant would commit a further Schedule 1 offence, no facts were placed before</w:t>
      </w:r>
      <w:r w:rsidRPr="00E13FA2">
        <w:rPr>
          <w:rFonts w:ascii="Arial" w:hAnsi="Arial" w:cs="Arial"/>
          <w:sz w:val="24"/>
          <w:szCs w:val="24"/>
          <w:lang w:val="en-GB"/>
        </w:rPr>
        <w:t xml:space="preserve"> the court </w:t>
      </w:r>
      <w:r w:rsidRPr="00E13FA2">
        <w:rPr>
          <w:rFonts w:ascii="Arial" w:hAnsi="Arial" w:cs="Arial"/>
          <w:i/>
          <w:sz w:val="24"/>
          <w:szCs w:val="24"/>
          <w:lang w:val="en-GB"/>
        </w:rPr>
        <w:t>a quo</w:t>
      </w:r>
      <w:r w:rsidRPr="00E13FA2">
        <w:rPr>
          <w:rFonts w:ascii="Arial" w:hAnsi="Arial" w:cs="Arial"/>
          <w:sz w:val="24"/>
          <w:szCs w:val="24"/>
          <w:lang w:val="en-GB"/>
        </w:rPr>
        <w:t>.</w:t>
      </w:r>
      <w:r w:rsidR="00EB7173" w:rsidRPr="00E13FA2">
        <w:rPr>
          <w:rFonts w:ascii="Arial" w:hAnsi="Arial" w:cs="Arial"/>
          <w:sz w:val="24"/>
          <w:szCs w:val="24"/>
          <w:lang w:val="en-GB"/>
        </w:rPr>
        <w:t xml:space="preserve"> In the absence of evidence, for the state to suggest that because the appellant is alleged to have committed numerous acts of fraud he would probably commit a further act of fraud upon his release amounts to no more than speculation. </w:t>
      </w:r>
      <w:r w:rsidR="00DA0CAD" w:rsidRPr="00E13FA2">
        <w:rPr>
          <w:rFonts w:ascii="Arial" w:hAnsi="Arial" w:cs="Arial"/>
          <w:sz w:val="24"/>
          <w:szCs w:val="24"/>
          <w:lang w:val="en-GB"/>
        </w:rPr>
        <w:t xml:space="preserve">The court </w:t>
      </w:r>
      <w:r w:rsidR="00DA0CAD" w:rsidRPr="00E13FA2">
        <w:rPr>
          <w:rFonts w:ascii="Arial" w:hAnsi="Arial" w:cs="Arial"/>
          <w:i/>
          <w:sz w:val="24"/>
          <w:szCs w:val="24"/>
          <w:lang w:val="en-GB"/>
        </w:rPr>
        <w:t>a quo</w:t>
      </w:r>
      <w:r w:rsidR="00DA0CAD" w:rsidRPr="00E13FA2">
        <w:rPr>
          <w:rFonts w:ascii="Arial" w:hAnsi="Arial" w:cs="Arial"/>
          <w:sz w:val="24"/>
          <w:szCs w:val="24"/>
          <w:lang w:val="en-GB"/>
        </w:rPr>
        <w:t xml:space="preserve"> was incorrect in having accepted such argument.</w:t>
      </w:r>
    </w:p>
    <w:p w:rsidR="00E13FA2" w:rsidRDefault="00E13FA2" w:rsidP="00E13FA2">
      <w:pPr>
        <w:pStyle w:val="ListParagraph"/>
        <w:spacing w:line="360" w:lineRule="auto"/>
        <w:ind w:left="0"/>
        <w:jc w:val="both"/>
        <w:rPr>
          <w:rFonts w:ascii="Arial" w:hAnsi="Arial" w:cs="Arial"/>
          <w:sz w:val="24"/>
          <w:szCs w:val="24"/>
          <w:lang w:val="en-GB"/>
        </w:rPr>
      </w:pPr>
    </w:p>
    <w:p w:rsidR="00E13FA2" w:rsidRDefault="002971C2" w:rsidP="00FF0F76">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 xml:space="preserve">The second ground pertains to whether the appellant would attempt to evade his trial. </w:t>
      </w:r>
      <w:r w:rsidR="00CF0179" w:rsidRPr="00E13FA2">
        <w:rPr>
          <w:rFonts w:ascii="Arial" w:hAnsi="Arial" w:cs="Arial"/>
          <w:sz w:val="24"/>
          <w:szCs w:val="24"/>
          <w:lang w:val="en-GB"/>
        </w:rPr>
        <w:t xml:space="preserve">The court </w:t>
      </w:r>
      <w:r w:rsidR="00CF0179" w:rsidRPr="00E13FA2">
        <w:rPr>
          <w:rFonts w:ascii="Arial" w:hAnsi="Arial" w:cs="Arial"/>
          <w:i/>
          <w:sz w:val="24"/>
          <w:szCs w:val="24"/>
          <w:lang w:val="en-GB"/>
        </w:rPr>
        <w:t>a quo</w:t>
      </w:r>
      <w:r w:rsidR="00CF0179" w:rsidRPr="00E13FA2">
        <w:rPr>
          <w:rFonts w:ascii="Arial" w:hAnsi="Arial" w:cs="Arial"/>
          <w:sz w:val="24"/>
          <w:szCs w:val="24"/>
          <w:lang w:val="en-GB"/>
        </w:rPr>
        <w:t xml:space="preserve"> held </w:t>
      </w:r>
      <w:r w:rsidR="001051A5" w:rsidRPr="00E13FA2">
        <w:rPr>
          <w:rFonts w:ascii="Arial" w:hAnsi="Arial" w:cs="Arial"/>
          <w:sz w:val="24"/>
          <w:szCs w:val="24"/>
          <w:lang w:val="en-GB"/>
        </w:rPr>
        <w:t xml:space="preserve">that </w:t>
      </w:r>
      <w:r w:rsidR="00722192" w:rsidRPr="00E13FA2">
        <w:rPr>
          <w:rFonts w:ascii="Arial" w:hAnsi="Arial" w:cs="Arial"/>
          <w:sz w:val="24"/>
          <w:szCs w:val="24"/>
          <w:lang w:val="en-GB"/>
        </w:rPr>
        <w:t>he pose</w:t>
      </w:r>
      <w:r w:rsidR="00CF0179" w:rsidRPr="00E13FA2">
        <w:rPr>
          <w:rFonts w:ascii="Arial" w:hAnsi="Arial" w:cs="Arial"/>
          <w:sz w:val="24"/>
          <w:szCs w:val="24"/>
          <w:lang w:val="en-GB"/>
        </w:rPr>
        <w:t>d</w:t>
      </w:r>
      <w:r w:rsidR="00722192" w:rsidRPr="00E13FA2">
        <w:rPr>
          <w:rFonts w:ascii="Arial" w:hAnsi="Arial" w:cs="Arial"/>
          <w:sz w:val="24"/>
          <w:szCs w:val="24"/>
          <w:lang w:val="en-GB"/>
        </w:rPr>
        <w:t xml:space="preserve"> a flight risk. This</w:t>
      </w:r>
      <w:r w:rsidR="00DA0CAD" w:rsidRPr="00E13FA2">
        <w:rPr>
          <w:rFonts w:ascii="Arial" w:hAnsi="Arial" w:cs="Arial"/>
          <w:sz w:val="24"/>
          <w:szCs w:val="24"/>
          <w:lang w:val="en-GB"/>
        </w:rPr>
        <w:t xml:space="preserve"> finding, however,</w:t>
      </w:r>
      <w:r w:rsidR="00722192" w:rsidRPr="00E13FA2">
        <w:rPr>
          <w:rFonts w:ascii="Arial" w:hAnsi="Arial" w:cs="Arial"/>
          <w:sz w:val="24"/>
          <w:szCs w:val="24"/>
          <w:lang w:val="en-GB"/>
        </w:rPr>
        <w:t xml:space="preserve"> does not properly take into his business interests in East London, his substantial property portfolio</w:t>
      </w:r>
      <w:r w:rsidR="00DA0CAD" w:rsidRPr="00E13FA2">
        <w:rPr>
          <w:rFonts w:ascii="Arial" w:hAnsi="Arial" w:cs="Arial"/>
          <w:sz w:val="24"/>
          <w:szCs w:val="24"/>
          <w:lang w:val="en-GB"/>
        </w:rPr>
        <w:t xml:space="preserve"> in KwaZulu-Natal</w:t>
      </w:r>
      <w:r w:rsidR="00722192" w:rsidRPr="00E13FA2">
        <w:rPr>
          <w:rFonts w:ascii="Arial" w:hAnsi="Arial" w:cs="Arial"/>
          <w:sz w:val="24"/>
          <w:szCs w:val="24"/>
          <w:lang w:val="en-GB"/>
        </w:rPr>
        <w:t>, his reputation as a successful business person, and his extensiv</w:t>
      </w:r>
      <w:r w:rsidR="00DA0CAD" w:rsidRPr="00E13FA2">
        <w:rPr>
          <w:rFonts w:ascii="Arial" w:hAnsi="Arial" w:cs="Arial"/>
          <w:sz w:val="24"/>
          <w:szCs w:val="24"/>
          <w:lang w:val="en-GB"/>
        </w:rPr>
        <w:t>e family network, with</w:t>
      </w:r>
      <w:r w:rsidR="00722192" w:rsidRPr="00E13FA2">
        <w:rPr>
          <w:rFonts w:ascii="Arial" w:hAnsi="Arial" w:cs="Arial"/>
          <w:sz w:val="24"/>
          <w:szCs w:val="24"/>
          <w:lang w:val="en-GB"/>
        </w:rPr>
        <w:t xml:space="preserve"> numerous minor children for whom he is the main breadwinner.</w:t>
      </w:r>
      <w:r w:rsidR="00CF0179" w:rsidRPr="00E13FA2">
        <w:rPr>
          <w:rFonts w:ascii="Arial" w:hAnsi="Arial" w:cs="Arial"/>
          <w:sz w:val="24"/>
          <w:szCs w:val="24"/>
          <w:lang w:val="en-GB"/>
        </w:rPr>
        <w:t xml:space="preserve"> Furthermore, reliance was placed on old warrants of arrest that had not yet been executed and with regard to which the appellant had</w:t>
      </w:r>
      <w:r w:rsidR="00DA0CAD" w:rsidRPr="00E13FA2">
        <w:rPr>
          <w:rFonts w:ascii="Arial" w:hAnsi="Arial" w:cs="Arial"/>
          <w:sz w:val="24"/>
          <w:szCs w:val="24"/>
          <w:lang w:val="en-GB"/>
        </w:rPr>
        <w:t xml:space="preserve"> not yet been charged. There were at least two</w:t>
      </w:r>
      <w:r w:rsidR="00CF0179" w:rsidRPr="00E13FA2">
        <w:rPr>
          <w:rFonts w:ascii="Arial" w:hAnsi="Arial" w:cs="Arial"/>
          <w:sz w:val="24"/>
          <w:szCs w:val="24"/>
          <w:lang w:val="en-GB"/>
        </w:rPr>
        <w:t xml:space="preserve"> warrant</w:t>
      </w:r>
      <w:r w:rsidR="00DA0CAD" w:rsidRPr="00E13FA2">
        <w:rPr>
          <w:rFonts w:ascii="Arial" w:hAnsi="Arial" w:cs="Arial"/>
          <w:sz w:val="24"/>
          <w:szCs w:val="24"/>
          <w:lang w:val="en-GB"/>
        </w:rPr>
        <w:t>s that were</w:t>
      </w:r>
      <w:r w:rsidR="00CF0179" w:rsidRPr="00E13FA2">
        <w:rPr>
          <w:rFonts w:ascii="Arial" w:hAnsi="Arial" w:cs="Arial"/>
          <w:sz w:val="24"/>
          <w:szCs w:val="24"/>
          <w:lang w:val="en-GB"/>
        </w:rPr>
        <w:t xml:space="preserve"> more than ten years old and </w:t>
      </w:r>
      <w:r w:rsidR="00DA0CAD" w:rsidRPr="00E13FA2">
        <w:rPr>
          <w:rFonts w:ascii="Arial" w:hAnsi="Arial" w:cs="Arial"/>
          <w:sz w:val="24"/>
          <w:szCs w:val="24"/>
          <w:lang w:val="en-GB"/>
        </w:rPr>
        <w:t xml:space="preserve">one </w:t>
      </w:r>
      <w:r w:rsidR="00CF0179" w:rsidRPr="00E13FA2">
        <w:rPr>
          <w:rFonts w:ascii="Arial" w:hAnsi="Arial" w:cs="Arial"/>
          <w:sz w:val="24"/>
          <w:szCs w:val="24"/>
          <w:lang w:val="en-GB"/>
        </w:rPr>
        <w:t>that w</w:t>
      </w:r>
      <w:r w:rsidR="00DA0CAD" w:rsidRPr="00E13FA2">
        <w:rPr>
          <w:rFonts w:ascii="Arial" w:hAnsi="Arial" w:cs="Arial"/>
          <w:sz w:val="24"/>
          <w:szCs w:val="24"/>
          <w:lang w:val="en-GB"/>
        </w:rPr>
        <w:t>as</w:t>
      </w:r>
      <w:r w:rsidR="00CF0179" w:rsidRPr="00E13FA2">
        <w:rPr>
          <w:rFonts w:ascii="Arial" w:hAnsi="Arial" w:cs="Arial"/>
          <w:sz w:val="24"/>
          <w:szCs w:val="24"/>
          <w:lang w:val="en-GB"/>
        </w:rPr>
        <w:t xml:space="preserve"> more than nine years old. The investigating officer explained that the police were unable to trace the appellant. In light of the uncontested evidence that the appellant is a well-known business person in Amamzimtoti and that he owns a property that is situated a few hundred metres away from the local police station, the explanation given by the investigating officer was improbable and ought to have been rejected.</w:t>
      </w:r>
      <w:r w:rsidR="00DA0CAD" w:rsidRPr="00E13FA2">
        <w:rPr>
          <w:rFonts w:ascii="Arial" w:hAnsi="Arial" w:cs="Arial"/>
          <w:sz w:val="24"/>
          <w:szCs w:val="24"/>
          <w:lang w:val="en-GB"/>
        </w:rPr>
        <w:t xml:space="preserve"> In argument before this court,</w:t>
      </w:r>
      <w:r w:rsidR="00ED346E" w:rsidRPr="00E13FA2">
        <w:rPr>
          <w:rFonts w:ascii="Arial" w:hAnsi="Arial" w:cs="Arial"/>
          <w:sz w:val="24"/>
          <w:szCs w:val="24"/>
          <w:lang w:val="en-GB"/>
        </w:rPr>
        <w:t xml:space="preserve"> counsel for the state</w:t>
      </w:r>
      <w:r w:rsidR="00DA0CAD" w:rsidRPr="00E13FA2">
        <w:rPr>
          <w:rFonts w:ascii="Arial" w:hAnsi="Arial" w:cs="Arial"/>
          <w:sz w:val="24"/>
          <w:szCs w:val="24"/>
          <w:lang w:val="en-GB"/>
        </w:rPr>
        <w:t xml:space="preserve"> con</w:t>
      </w:r>
      <w:r w:rsidR="00487833" w:rsidRPr="00E13FA2">
        <w:rPr>
          <w:rFonts w:ascii="Arial" w:hAnsi="Arial" w:cs="Arial"/>
          <w:sz w:val="24"/>
          <w:szCs w:val="24"/>
          <w:lang w:val="en-GB"/>
        </w:rPr>
        <w:t xml:space="preserve">ceded that he had no answer </w:t>
      </w:r>
      <w:r w:rsidR="00DA0CAD" w:rsidRPr="00E13FA2">
        <w:rPr>
          <w:rFonts w:ascii="Arial" w:hAnsi="Arial" w:cs="Arial"/>
          <w:sz w:val="24"/>
          <w:szCs w:val="24"/>
          <w:lang w:val="en-GB"/>
        </w:rPr>
        <w:t xml:space="preserve">for why the </w:t>
      </w:r>
      <w:r w:rsidR="00487833" w:rsidRPr="00E13FA2">
        <w:rPr>
          <w:rFonts w:ascii="Arial" w:hAnsi="Arial" w:cs="Arial"/>
          <w:sz w:val="24"/>
          <w:szCs w:val="24"/>
          <w:lang w:val="en-GB"/>
        </w:rPr>
        <w:t xml:space="preserve">police had not executed the warrants in question. The court </w:t>
      </w:r>
      <w:r w:rsidR="00487833" w:rsidRPr="00E13FA2">
        <w:rPr>
          <w:rFonts w:ascii="Arial" w:hAnsi="Arial" w:cs="Arial"/>
          <w:i/>
          <w:sz w:val="24"/>
          <w:szCs w:val="24"/>
          <w:lang w:val="en-GB"/>
        </w:rPr>
        <w:t>a quo</w:t>
      </w:r>
      <w:r w:rsidR="00487833" w:rsidRPr="00E13FA2">
        <w:rPr>
          <w:rFonts w:ascii="Arial" w:hAnsi="Arial" w:cs="Arial"/>
          <w:sz w:val="24"/>
          <w:szCs w:val="24"/>
          <w:lang w:val="en-GB"/>
        </w:rPr>
        <w:t xml:space="preserve"> was incorrect in having declined to exclude the outstanding warrants for purposes of deciding whether the appellant would attempt to evade his trial.</w:t>
      </w:r>
    </w:p>
    <w:p w:rsidR="00E13FA2" w:rsidRDefault="00E13FA2" w:rsidP="00E13FA2">
      <w:pPr>
        <w:pStyle w:val="ListParagraph"/>
        <w:spacing w:line="360" w:lineRule="auto"/>
        <w:ind w:left="0"/>
        <w:jc w:val="both"/>
        <w:rPr>
          <w:rFonts w:ascii="Arial" w:hAnsi="Arial" w:cs="Arial"/>
          <w:sz w:val="24"/>
          <w:szCs w:val="24"/>
          <w:lang w:val="en-GB"/>
        </w:rPr>
      </w:pPr>
    </w:p>
    <w:p w:rsidR="00E13FA2" w:rsidRDefault="00CF0179" w:rsidP="00FF0F76">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The third ground is whether the appellant would attempt to influence or intimidate witnesses or conceal or destroy evidence</w:t>
      </w:r>
      <w:r w:rsidR="00F859F6" w:rsidRPr="00E13FA2">
        <w:rPr>
          <w:rFonts w:ascii="Arial" w:hAnsi="Arial" w:cs="Arial"/>
          <w:sz w:val="24"/>
          <w:szCs w:val="24"/>
          <w:lang w:val="en-GB"/>
        </w:rPr>
        <w:t xml:space="preserve">. There is a slight overlap in relation to the first ground, which has already been </w:t>
      </w:r>
      <w:r w:rsidR="00487833" w:rsidRPr="00E13FA2">
        <w:rPr>
          <w:rFonts w:ascii="Arial" w:hAnsi="Arial" w:cs="Arial"/>
          <w:sz w:val="24"/>
          <w:szCs w:val="24"/>
          <w:lang w:val="en-GB"/>
        </w:rPr>
        <w:t>addressed insofar as it concerns</w:t>
      </w:r>
      <w:r w:rsidR="00F859F6" w:rsidRPr="00E13FA2">
        <w:rPr>
          <w:rFonts w:ascii="Arial" w:hAnsi="Arial" w:cs="Arial"/>
          <w:sz w:val="24"/>
          <w:szCs w:val="24"/>
          <w:lang w:val="en-GB"/>
        </w:rPr>
        <w:t xml:space="preserve"> the alleged plot of the appellant to kill his wife. Nothing further needs to be said in that regard. However, in relation to the remaining issues, the co</w:t>
      </w:r>
      <w:r w:rsidR="00487833" w:rsidRPr="00E13FA2">
        <w:rPr>
          <w:rFonts w:ascii="Arial" w:hAnsi="Arial" w:cs="Arial"/>
          <w:sz w:val="24"/>
          <w:szCs w:val="24"/>
          <w:lang w:val="en-GB"/>
        </w:rPr>
        <w:t xml:space="preserve">urt </w:t>
      </w:r>
      <w:r w:rsidR="00487833" w:rsidRPr="00E13FA2">
        <w:rPr>
          <w:rFonts w:ascii="Arial" w:hAnsi="Arial" w:cs="Arial"/>
          <w:i/>
          <w:sz w:val="24"/>
          <w:szCs w:val="24"/>
          <w:lang w:val="en-GB"/>
        </w:rPr>
        <w:t>a quo</w:t>
      </w:r>
      <w:r w:rsidR="00487833" w:rsidRPr="00E13FA2">
        <w:rPr>
          <w:rFonts w:ascii="Arial" w:hAnsi="Arial" w:cs="Arial"/>
          <w:sz w:val="24"/>
          <w:szCs w:val="24"/>
          <w:lang w:val="en-GB"/>
        </w:rPr>
        <w:t xml:space="preserve"> merely made a </w:t>
      </w:r>
      <w:r w:rsidR="00F859F6" w:rsidRPr="00E13FA2">
        <w:rPr>
          <w:rFonts w:ascii="Arial" w:hAnsi="Arial" w:cs="Arial"/>
          <w:sz w:val="24"/>
          <w:szCs w:val="24"/>
          <w:lang w:val="en-GB"/>
        </w:rPr>
        <w:t xml:space="preserve">general assertion to the effect that the appellant knew the witnesses and accordingly there was a risk that he might influence or intimidate them. No further details were mentioned, such as the nature of his relationship with them, whether the witnesses had already made statements and agreed to testify, how familiar he was with the evidence that was to be brought against him, the extent to which the witnesses could be influenced or intimidated, and so forth. </w:t>
      </w:r>
      <w:r w:rsidR="00487833" w:rsidRPr="00E13FA2">
        <w:rPr>
          <w:rFonts w:ascii="Arial" w:hAnsi="Arial" w:cs="Arial"/>
          <w:sz w:val="24"/>
          <w:szCs w:val="24"/>
          <w:lang w:val="en-GB"/>
        </w:rPr>
        <w:t>There was no evi</w:t>
      </w:r>
      <w:r w:rsidR="008A4C86" w:rsidRPr="00E13FA2">
        <w:rPr>
          <w:rFonts w:ascii="Arial" w:hAnsi="Arial" w:cs="Arial"/>
          <w:sz w:val="24"/>
          <w:szCs w:val="24"/>
          <w:lang w:val="en-GB"/>
        </w:rPr>
        <w:t xml:space="preserve">dence presented by the state to raise the likelihood that such event would occur to more than a remote possibility. The court </w:t>
      </w:r>
      <w:r w:rsidR="008A4C86" w:rsidRPr="00E13FA2">
        <w:rPr>
          <w:rFonts w:ascii="Arial" w:hAnsi="Arial" w:cs="Arial"/>
          <w:i/>
          <w:sz w:val="24"/>
          <w:szCs w:val="24"/>
          <w:lang w:val="en-GB"/>
        </w:rPr>
        <w:t>a quo</w:t>
      </w:r>
      <w:r w:rsidR="008A4C86" w:rsidRPr="00E13FA2">
        <w:rPr>
          <w:rFonts w:ascii="Arial" w:hAnsi="Arial" w:cs="Arial"/>
          <w:sz w:val="24"/>
          <w:szCs w:val="24"/>
          <w:lang w:val="en-GB"/>
        </w:rPr>
        <w:t xml:space="preserve"> was incorrect to have made a finding on the basis of speculation. </w:t>
      </w:r>
    </w:p>
    <w:p w:rsidR="00E13FA2" w:rsidRPr="00E13FA2" w:rsidRDefault="00E13FA2" w:rsidP="00E13FA2">
      <w:pPr>
        <w:pStyle w:val="ListParagraph"/>
        <w:rPr>
          <w:rFonts w:ascii="Arial" w:hAnsi="Arial" w:cs="Arial"/>
          <w:sz w:val="24"/>
          <w:szCs w:val="24"/>
          <w:lang w:val="en-GB"/>
        </w:rPr>
      </w:pPr>
    </w:p>
    <w:p w:rsidR="00E13FA2" w:rsidRDefault="00F859F6" w:rsidP="00FF0F76">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The fourth ground pertains to whether the appellant would undermine or jeopardise the objectives or proper functioning of the criminal justice system.</w:t>
      </w:r>
      <w:r w:rsidR="00B82F71" w:rsidRPr="00E13FA2">
        <w:rPr>
          <w:rFonts w:ascii="Arial" w:hAnsi="Arial" w:cs="Arial"/>
          <w:sz w:val="24"/>
          <w:szCs w:val="24"/>
          <w:lang w:val="en-GB"/>
        </w:rPr>
        <w:t xml:space="preserve"> If it was considered at all, then this ground was treated superficially at best. There was no indication from the record to suggest that he had supplied false information, previously failed to comply with bail conditions, or that there was evidence of any similar conduct. </w:t>
      </w:r>
    </w:p>
    <w:p w:rsidR="00E13FA2" w:rsidRPr="00E13FA2" w:rsidRDefault="00E13FA2" w:rsidP="00E13FA2">
      <w:pPr>
        <w:pStyle w:val="ListParagraph"/>
        <w:rPr>
          <w:rFonts w:ascii="Arial" w:hAnsi="Arial" w:cs="Arial"/>
          <w:sz w:val="24"/>
          <w:szCs w:val="24"/>
          <w:lang w:val="en-GB"/>
        </w:rPr>
      </w:pPr>
    </w:p>
    <w:p w:rsidR="00E13FA2" w:rsidRDefault="00B82F71" w:rsidP="0010071D">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The fifth and final ground is whether, in exceptional circumstances, the release of the appellant would disturb the public order or undermine the public peace. This ground, too, was not adequately considered.</w:t>
      </w:r>
    </w:p>
    <w:p w:rsidR="00E13FA2" w:rsidRPr="00E13FA2" w:rsidRDefault="00E13FA2" w:rsidP="00E13FA2">
      <w:pPr>
        <w:pStyle w:val="ListParagraph"/>
        <w:rPr>
          <w:rFonts w:ascii="Arial" w:hAnsi="Arial" w:cs="Arial"/>
          <w:sz w:val="24"/>
          <w:szCs w:val="24"/>
          <w:lang w:val="en-GB"/>
        </w:rPr>
      </w:pPr>
    </w:p>
    <w:p w:rsidR="00E13FA2" w:rsidRDefault="008A4C86" w:rsidP="00FF0F76">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 xml:space="preserve">Ultimately, the state bore the onus. Very little evidence was placed before the court </w:t>
      </w:r>
      <w:r w:rsidRPr="00E13FA2">
        <w:rPr>
          <w:rFonts w:ascii="Arial" w:hAnsi="Arial" w:cs="Arial"/>
          <w:i/>
          <w:sz w:val="24"/>
          <w:szCs w:val="24"/>
          <w:lang w:val="en-GB"/>
        </w:rPr>
        <w:t>a quo</w:t>
      </w:r>
      <w:r w:rsidRPr="00E13FA2">
        <w:rPr>
          <w:rFonts w:ascii="Arial" w:hAnsi="Arial" w:cs="Arial"/>
          <w:sz w:val="24"/>
          <w:szCs w:val="24"/>
          <w:lang w:val="en-GB"/>
        </w:rPr>
        <w:t xml:space="preserve"> to </w:t>
      </w:r>
      <w:r w:rsidR="0010071D" w:rsidRPr="00E13FA2">
        <w:rPr>
          <w:rFonts w:ascii="Arial" w:hAnsi="Arial" w:cs="Arial"/>
          <w:sz w:val="24"/>
          <w:szCs w:val="24"/>
          <w:lang w:val="en-GB"/>
        </w:rPr>
        <w:t>indicate that the likelihood that the events listed in section 60(4) would occur was more than mere speculation. Crucially, the legal representative for the appellant argued that the latter’s testimony was, in the main, undisputed.</w:t>
      </w:r>
      <w:r w:rsidR="004808D8" w:rsidRPr="00E13FA2">
        <w:rPr>
          <w:rFonts w:ascii="Arial" w:hAnsi="Arial" w:cs="Arial"/>
          <w:sz w:val="24"/>
          <w:szCs w:val="24"/>
          <w:lang w:val="en-GB"/>
        </w:rPr>
        <w:t xml:space="preserve"> </w:t>
      </w:r>
      <w:r w:rsidR="0010071D" w:rsidRPr="00E13FA2">
        <w:rPr>
          <w:rFonts w:ascii="Arial" w:hAnsi="Arial" w:cs="Arial"/>
          <w:sz w:val="24"/>
          <w:szCs w:val="24"/>
          <w:lang w:val="en-GB"/>
        </w:rPr>
        <w:t xml:space="preserve">From the record, it seems that the state was focused more on the merits of the case than the </w:t>
      </w:r>
      <w:r w:rsidR="00A61D7E" w:rsidRPr="00E13FA2">
        <w:rPr>
          <w:rFonts w:ascii="Arial" w:hAnsi="Arial" w:cs="Arial"/>
          <w:sz w:val="24"/>
          <w:szCs w:val="24"/>
          <w:lang w:val="en-GB"/>
        </w:rPr>
        <w:t>factors listed in sections 60(4) to (9) of the CPA.</w:t>
      </w:r>
      <w:r w:rsidR="0010071D" w:rsidRPr="00E13FA2">
        <w:rPr>
          <w:rFonts w:ascii="Arial" w:hAnsi="Arial" w:cs="Arial"/>
          <w:sz w:val="24"/>
          <w:szCs w:val="24"/>
          <w:lang w:val="en-GB"/>
        </w:rPr>
        <w:t xml:space="preserve"> </w:t>
      </w:r>
      <w:r w:rsidR="00E565BC" w:rsidRPr="00E13FA2">
        <w:rPr>
          <w:rFonts w:ascii="Arial" w:hAnsi="Arial" w:cs="Arial"/>
          <w:sz w:val="24"/>
          <w:szCs w:val="24"/>
          <w:lang w:val="en-GB"/>
        </w:rPr>
        <w:t>Consequently, the facts alleged by the appella</w:t>
      </w:r>
      <w:r w:rsidR="00DE7848" w:rsidRPr="00E13FA2">
        <w:rPr>
          <w:rFonts w:ascii="Arial" w:hAnsi="Arial" w:cs="Arial"/>
          <w:sz w:val="24"/>
          <w:szCs w:val="24"/>
          <w:lang w:val="en-GB"/>
        </w:rPr>
        <w:t>nt must be accepted as true.</w:t>
      </w:r>
    </w:p>
    <w:p w:rsidR="00E13FA2" w:rsidRPr="00E13FA2" w:rsidRDefault="00E13FA2" w:rsidP="00E13FA2">
      <w:pPr>
        <w:pStyle w:val="ListParagraph"/>
        <w:rPr>
          <w:rFonts w:ascii="Arial" w:hAnsi="Arial" w:cs="Arial"/>
          <w:sz w:val="24"/>
          <w:szCs w:val="24"/>
          <w:lang w:val="en-GB"/>
        </w:rPr>
      </w:pPr>
    </w:p>
    <w:p w:rsidR="00852CD7" w:rsidRDefault="00A61D7E" w:rsidP="00FF0F76">
      <w:pPr>
        <w:pStyle w:val="ListParagraph"/>
        <w:numPr>
          <w:ilvl w:val="0"/>
          <w:numId w:val="9"/>
        </w:numPr>
        <w:spacing w:line="360" w:lineRule="auto"/>
        <w:ind w:left="0" w:firstLine="0"/>
        <w:jc w:val="both"/>
        <w:rPr>
          <w:rFonts w:ascii="Arial" w:hAnsi="Arial" w:cs="Arial"/>
          <w:sz w:val="24"/>
          <w:szCs w:val="24"/>
          <w:lang w:val="en-GB"/>
        </w:rPr>
      </w:pPr>
      <w:r w:rsidRPr="00E13FA2">
        <w:rPr>
          <w:rFonts w:ascii="Arial" w:hAnsi="Arial" w:cs="Arial"/>
          <w:sz w:val="24"/>
          <w:szCs w:val="24"/>
          <w:lang w:val="en-GB"/>
        </w:rPr>
        <w:t xml:space="preserve">With specific regard to </w:t>
      </w:r>
      <w:r w:rsidR="00315EE9" w:rsidRPr="00E13FA2">
        <w:rPr>
          <w:rFonts w:ascii="Arial" w:hAnsi="Arial" w:cs="Arial"/>
          <w:sz w:val="24"/>
          <w:szCs w:val="24"/>
          <w:lang w:val="en-GB"/>
        </w:rPr>
        <w:t xml:space="preserve">section 60(9) of the CPA, a court is required to weigh the interests of justice against the right of the accused to his or her personal freedom, especially in relation to the prejudice that he or she would suffer should he </w:t>
      </w:r>
      <w:r w:rsidRPr="00E13FA2">
        <w:rPr>
          <w:rFonts w:ascii="Arial" w:hAnsi="Arial" w:cs="Arial"/>
          <w:sz w:val="24"/>
          <w:szCs w:val="24"/>
          <w:lang w:val="en-GB"/>
        </w:rPr>
        <w:t>or she continue to be detained. In the present case</w:t>
      </w:r>
      <w:r w:rsidR="00315EE9" w:rsidRPr="00E13FA2">
        <w:rPr>
          <w:rFonts w:ascii="Arial" w:hAnsi="Arial" w:cs="Arial"/>
          <w:sz w:val="24"/>
          <w:szCs w:val="24"/>
          <w:lang w:val="en-GB"/>
        </w:rPr>
        <w:t xml:space="preserve">, the record reveals that the appellant has significant business interests that </w:t>
      </w:r>
      <w:r w:rsidR="00BA4EDC" w:rsidRPr="00E13FA2">
        <w:rPr>
          <w:rFonts w:ascii="Arial" w:hAnsi="Arial" w:cs="Arial"/>
          <w:sz w:val="24"/>
          <w:szCs w:val="24"/>
          <w:lang w:val="en-GB"/>
        </w:rPr>
        <w:t xml:space="preserve">have already been </w:t>
      </w:r>
      <w:r w:rsidR="00315EE9" w:rsidRPr="00E13FA2">
        <w:rPr>
          <w:rFonts w:ascii="Arial" w:hAnsi="Arial" w:cs="Arial"/>
          <w:sz w:val="24"/>
          <w:szCs w:val="24"/>
          <w:lang w:val="en-GB"/>
        </w:rPr>
        <w:t xml:space="preserve">affected by his incarceration, threatening the livelihoods of some 1,300 employees. More importantly, his incarceration has a direct impact on his immediate and wider family. </w:t>
      </w:r>
      <w:r w:rsidR="00BA4EDC" w:rsidRPr="00E13FA2">
        <w:rPr>
          <w:rFonts w:ascii="Arial" w:hAnsi="Arial" w:cs="Arial"/>
          <w:sz w:val="24"/>
          <w:szCs w:val="24"/>
          <w:lang w:val="en-GB"/>
        </w:rPr>
        <w:t xml:space="preserve">It was not disputed that he has at least six minor children who depend upon him as </w:t>
      </w:r>
      <w:r w:rsidR="00DE7848" w:rsidRPr="00E13FA2">
        <w:rPr>
          <w:rFonts w:ascii="Arial" w:hAnsi="Arial" w:cs="Arial"/>
          <w:sz w:val="24"/>
          <w:szCs w:val="24"/>
          <w:lang w:val="en-GB"/>
        </w:rPr>
        <w:t xml:space="preserve">the main </w:t>
      </w:r>
      <w:r w:rsidR="00BA4EDC" w:rsidRPr="00E13FA2">
        <w:rPr>
          <w:rFonts w:ascii="Arial" w:hAnsi="Arial" w:cs="Arial"/>
          <w:sz w:val="24"/>
          <w:szCs w:val="24"/>
          <w:lang w:val="en-GB"/>
        </w:rPr>
        <w:t xml:space="preserve">breadwinner. </w:t>
      </w:r>
      <w:r w:rsidR="00315EE9" w:rsidRPr="00E13FA2">
        <w:rPr>
          <w:rFonts w:ascii="Arial" w:hAnsi="Arial" w:cs="Arial"/>
          <w:sz w:val="24"/>
          <w:szCs w:val="24"/>
          <w:lang w:val="en-GB"/>
        </w:rPr>
        <w:t xml:space="preserve">His release on bail would enable him to </w:t>
      </w:r>
      <w:r w:rsidR="00BA4EDC" w:rsidRPr="00E13FA2">
        <w:rPr>
          <w:rFonts w:ascii="Arial" w:hAnsi="Arial" w:cs="Arial"/>
          <w:sz w:val="24"/>
          <w:szCs w:val="24"/>
          <w:lang w:val="en-GB"/>
        </w:rPr>
        <w:t xml:space="preserve">address his business concerns and </w:t>
      </w:r>
      <w:r w:rsidR="00315EE9" w:rsidRPr="00E13FA2">
        <w:rPr>
          <w:rFonts w:ascii="Arial" w:hAnsi="Arial" w:cs="Arial"/>
          <w:sz w:val="24"/>
          <w:szCs w:val="24"/>
          <w:lang w:val="en-GB"/>
        </w:rPr>
        <w:t>to provide for the needs of his fami</w:t>
      </w:r>
      <w:r w:rsidR="00BA4EDC" w:rsidRPr="00E13FA2">
        <w:rPr>
          <w:rFonts w:ascii="Arial" w:hAnsi="Arial" w:cs="Arial"/>
          <w:sz w:val="24"/>
          <w:szCs w:val="24"/>
          <w:lang w:val="en-GB"/>
        </w:rPr>
        <w:t>ly, including his dependents</w:t>
      </w:r>
      <w:r w:rsidR="00315EE9" w:rsidRPr="00E13FA2">
        <w:rPr>
          <w:rFonts w:ascii="Arial" w:hAnsi="Arial" w:cs="Arial"/>
          <w:sz w:val="24"/>
          <w:szCs w:val="24"/>
          <w:lang w:val="en-GB"/>
        </w:rPr>
        <w:t>.</w:t>
      </w:r>
    </w:p>
    <w:p w:rsidR="00852CD7" w:rsidRPr="00852CD7" w:rsidRDefault="00852CD7" w:rsidP="00852CD7">
      <w:pPr>
        <w:pStyle w:val="ListParagraph"/>
        <w:rPr>
          <w:rFonts w:ascii="Arial" w:hAnsi="Arial" w:cs="Arial"/>
          <w:sz w:val="24"/>
          <w:szCs w:val="24"/>
          <w:lang w:val="en-GB"/>
        </w:rPr>
      </w:pPr>
    </w:p>
    <w:p w:rsidR="00852CD7" w:rsidRDefault="00A61D7E" w:rsidP="00FF0F76">
      <w:pPr>
        <w:pStyle w:val="ListParagraph"/>
        <w:numPr>
          <w:ilvl w:val="0"/>
          <w:numId w:val="9"/>
        </w:numPr>
        <w:spacing w:line="360" w:lineRule="auto"/>
        <w:ind w:left="0" w:firstLine="0"/>
        <w:jc w:val="both"/>
        <w:rPr>
          <w:rFonts w:ascii="Arial" w:hAnsi="Arial" w:cs="Arial"/>
          <w:sz w:val="24"/>
          <w:szCs w:val="24"/>
          <w:lang w:val="en-GB"/>
        </w:rPr>
      </w:pPr>
      <w:r w:rsidRPr="00852CD7">
        <w:rPr>
          <w:rFonts w:ascii="Arial" w:hAnsi="Arial" w:cs="Arial"/>
          <w:sz w:val="24"/>
          <w:szCs w:val="24"/>
          <w:lang w:val="en-GB"/>
        </w:rPr>
        <w:t xml:space="preserve">In the circumstances, this court is satisfied that the </w:t>
      </w:r>
      <w:r w:rsidR="00DC0E35" w:rsidRPr="00852CD7">
        <w:rPr>
          <w:rFonts w:ascii="Arial" w:hAnsi="Arial" w:cs="Arial"/>
          <w:sz w:val="24"/>
          <w:szCs w:val="24"/>
          <w:lang w:val="en-GB"/>
        </w:rPr>
        <w:t xml:space="preserve">state </w:t>
      </w:r>
      <w:r w:rsidR="00DE7848" w:rsidRPr="00852CD7">
        <w:rPr>
          <w:rFonts w:ascii="Arial" w:hAnsi="Arial" w:cs="Arial"/>
          <w:sz w:val="24"/>
          <w:szCs w:val="24"/>
          <w:lang w:val="en-GB"/>
        </w:rPr>
        <w:t xml:space="preserve">failed to discharge the onus and to demonstrate that </w:t>
      </w:r>
      <w:r w:rsidRPr="00852CD7">
        <w:rPr>
          <w:rFonts w:ascii="Arial" w:hAnsi="Arial" w:cs="Arial"/>
          <w:sz w:val="24"/>
          <w:szCs w:val="24"/>
          <w:lang w:val="en-GB"/>
        </w:rPr>
        <w:t xml:space="preserve">the interests of justice </w:t>
      </w:r>
      <w:r w:rsidR="00DC0E35" w:rsidRPr="00852CD7">
        <w:rPr>
          <w:rFonts w:ascii="Arial" w:hAnsi="Arial" w:cs="Arial"/>
          <w:sz w:val="24"/>
          <w:szCs w:val="24"/>
          <w:lang w:val="en-GB"/>
        </w:rPr>
        <w:t>did</w:t>
      </w:r>
      <w:r w:rsidR="0070518C" w:rsidRPr="00852CD7">
        <w:rPr>
          <w:rFonts w:ascii="Arial" w:hAnsi="Arial" w:cs="Arial"/>
          <w:sz w:val="24"/>
          <w:szCs w:val="24"/>
          <w:lang w:val="en-GB"/>
        </w:rPr>
        <w:t xml:space="preserve"> not </w:t>
      </w:r>
      <w:r w:rsidRPr="00852CD7">
        <w:rPr>
          <w:rFonts w:ascii="Arial" w:hAnsi="Arial" w:cs="Arial"/>
          <w:sz w:val="24"/>
          <w:szCs w:val="24"/>
          <w:lang w:val="en-GB"/>
        </w:rPr>
        <w:t>pe</w:t>
      </w:r>
      <w:r w:rsidR="0070518C" w:rsidRPr="00852CD7">
        <w:rPr>
          <w:rFonts w:ascii="Arial" w:hAnsi="Arial" w:cs="Arial"/>
          <w:sz w:val="24"/>
          <w:szCs w:val="24"/>
          <w:lang w:val="en-GB"/>
        </w:rPr>
        <w:t>rmit the appellant’s release.</w:t>
      </w:r>
      <w:r w:rsidR="00DC0E35" w:rsidRPr="00852CD7">
        <w:rPr>
          <w:rFonts w:ascii="Arial" w:hAnsi="Arial" w:cs="Arial"/>
          <w:sz w:val="24"/>
          <w:szCs w:val="24"/>
          <w:lang w:val="en-GB"/>
        </w:rPr>
        <w:t xml:space="preserve"> </w:t>
      </w:r>
      <w:r w:rsidR="0070518C" w:rsidRPr="00852CD7">
        <w:rPr>
          <w:rFonts w:ascii="Arial" w:hAnsi="Arial" w:cs="Arial"/>
          <w:sz w:val="24"/>
          <w:szCs w:val="24"/>
          <w:lang w:val="en-GB"/>
        </w:rPr>
        <w:t xml:space="preserve">With regard to the bail amount, the legal representative for the appellant submitted in the court </w:t>
      </w:r>
      <w:r w:rsidR="0070518C" w:rsidRPr="00852CD7">
        <w:rPr>
          <w:rFonts w:ascii="Arial" w:hAnsi="Arial" w:cs="Arial"/>
          <w:i/>
          <w:sz w:val="24"/>
          <w:szCs w:val="24"/>
          <w:lang w:val="en-GB"/>
        </w:rPr>
        <w:t>a quo</w:t>
      </w:r>
      <w:r w:rsidR="0070518C" w:rsidRPr="00852CD7">
        <w:rPr>
          <w:rFonts w:ascii="Arial" w:hAnsi="Arial" w:cs="Arial"/>
          <w:sz w:val="24"/>
          <w:szCs w:val="24"/>
          <w:lang w:val="en-GB"/>
        </w:rPr>
        <w:t xml:space="preserve"> that his client could afford payment of R3,000. In argument before this court, </w:t>
      </w:r>
      <w:r w:rsidR="00EC2D98" w:rsidRPr="00852CD7">
        <w:rPr>
          <w:rFonts w:ascii="Arial" w:hAnsi="Arial" w:cs="Arial"/>
          <w:sz w:val="24"/>
          <w:szCs w:val="24"/>
          <w:lang w:val="en-GB"/>
        </w:rPr>
        <w:t>no further submissions were made</w:t>
      </w:r>
      <w:r w:rsidR="00F15FD1" w:rsidRPr="00852CD7">
        <w:rPr>
          <w:rFonts w:ascii="Arial" w:hAnsi="Arial" w:cs="Arial"/>
          <w:sz w:val="24"/>
          <w:szCs w:val="24"/>
          <w:lang w:val="en-GB"/>
        </w:rPr>
        <w:t xml:space="preserve"> on behalf of either the appellant or the state</w:t>
      </w:r>
      <w:r w:rsidR="00EC2D98" w:rsidRPr="00852CD7">
        <w:rPr>
          <w:rFonts w:ascii="Arial" w:hAnsi="Arial" w:cs="Arial"/>
          <w:sz w:val="24"/>
          <w:szCs w:val="24"/>
          <w:lang w:val="en-GB"/>
        </w:rPr>
        <w:t>. Mindful of the appellant’s financial standing, including testimony in relation to the scale of his monthly income at the time of his arrest,</w:t>
      </w:r>
      <w:r w:rsidR="00DC0E35">
        <w:rPr>
          <w:rStyle w:val="FootnoteReference"/>
          <w:rFonts w:ascii="Arial" w:hAnsi="Arial" w:cs="Arial"/>
          <w:sz w:val="24"/>
          <w:szCs w:val="24"/>
          <w:lang w:val="en-GB"/>
        </w:rPr>
        <w:footnoteReference w:id="7"/>
      </w:r>
      <w:r w:rsidR="00EC2D98" w:rsidRPr="00852CD7">
        <w:rPr>
          <w:rFonts w:ascii="Arial" w:hAnsi="Arial" w:cs="Arial"/>
          <w:sz w:val="24"/>
          <w:szCs w:val="24"/>
          <w:lang w:val="en-GB"/>
        </w:rPr>
        <w:t xml:space="preserve"> </w:t>
      </w:r>
      <w:r w:rsidR="00DC0E35" w:rsidRPr="00852CD7">
        <w:rPr>
          <w:rFonts w:ascii="Arial" w:hAnsi="Arial" w:cs="Arial"/>
          <w:sz w:val="24"/>
          <w:szCs w:val="24"/>
          <w:lang w:val="en-GB"/>
        </w:rPr>
        <w:t>the above amount is not appropriate. I</w:t>
      </w:r>
      <w:r w:rsidR="00F15FD1" w:rsidRPr="00852CD7">
        <w:rPr>
          <w:rFonts w:ascii="Arial" w:hAnsi="Arial" w:cs="Arial"/>
          <w:sz w:val="24"/>
          <w:szCs w:val="24"/>
          <w:lang w:val="en-GB"/>
        </w:rPr>
        <w:t>t would not be unfair to set the amount at R10,000. Furthermore</w:t>
      </w:r>
      <w:r w:rsidR="00EC2D98" w:rsidRPr="00852CD7">
        <w:rPr>
          <w:rFonts w:ascii="Arial" w:hAnsi="Arial" w:cs="Arial"/>
          <w:sz w:val="24"/>
          <w:szCs w:val="24"/>
          <w:lang w:val="en-GB"/>
        </w:rPr>
        <w:t xml:space="preserve">, given that his family and occupational ties are not to the Eastern Cape and that his assets are situated in KwaZulu-Natal, it would </w:t>
      </w:r>
      <w:r w:rsidR="00F15FD1" w:rsidRPr="00852CD7">
        <w:rPr>
          <w:rFonts w:ascii="Arial" w:hAnsi="Arial" w:cs="Arial"/>
          <w:sz w:val="24"/>
          <w:szCs w:val="24"/>
          <w:lang w:val="en-GB"/>
        </w:rPr>
        <w:t xml:space="preserve">not be unfair to attach stringent </w:t>
      </w:r>
      <w:r w:rsidR="00EC2D98" w:rsidRPr="00852CD7">
        <w:rPr>
          <w:rFonts w:ascii="Arial" w:hAnsi="Arial" w:cs="Arial"/>
          <w:sz w:val="24"/>
          <w:szCs w:val="24"/>
          <w:lang w:val="en-GB"/>
        </w:rPr>
        <w:t>conditions</w:t>
      </w:r>
      <w:r w:rsidR="00F15FD1" w:rsidRPr="00852CD7">
        <w:rPr>
          <w:rFonts w:ascii="Arial" w:hAnsi="Arial" w:cs="Arial"/>
          <w:sz w:val="24"/>
          <w:szCs w:val="24"/>
          <w:lang w:val="en-GB"/>
        </w:rPr>
        <w:t xml:space="preserve"> to the granting of bail</w:t>
      </w:r>
      <w:r w:rsidR="00EC2D98" w:rsidRPr="00852CD7">
        <w:rPr>
          <w:rFonts w:ascii="Arial" w:hAnsi="Arial" w:cs="Arial"/>
          <w:sz w:val="24"/>
          <w:szCs w:val="24"/>
          <w:lang w:val="en-GB"/>
        </w:rPr>
        <w:t xml:space="preserve">. </w:t>
      </w:r>
    </w:p>
    <w:p w:rsidR="00852CD7" w:rsidRPr="00852CD7" w:rsidRDefault="00852CD7" w:rsidP="00852CD7">
      <w:pPr>
        <w:pStyle w:val="ListParagraph"/>
        <w:rPr>
          <w:rFonts w:ascii="Arial" w:hAnsi="Arial" w:cs="Arial"/>
          <w:sz w:val="24"/>
          <w:szCs w:val="24"/>
          <w:lang w:val="en-GB"/>
        </w:rPr>
      </w:pPr>
    </w:p>
    <w:p w:rsidR="00A61D7E" w:rsidRPr="00852CD7" w:rsidRDefault="00F15FD1" w:rsidP="00FF0F76">
      <w:pPr>
        <w:pStyle w:val="ListParagraph"/>
        <w:numPr>
          <w:ilvl w:val="0"/>
          <w:numId w:val="9"/>
        </w:numPr>
        <w:spacing w:line="360" w:lineRule="auto"/>
        <w:ind w:left="0" w:firstLine="0"/>
        <w:jc w:val="both"/>
        <w:rPr>
          <w:rFonts w:ascii="Arial" w:hAnsi="Arial" w:cs="Arial"/>
          <w:sz w:val="24"/>
          <w:szCs w:val="24"/>
          <w:lang w:val="en-GB"/>
        </w:rPr>
      </w:pPr>
      <w:r w:rsidRPr="00852CD7">
        <w:rPr>
          <w:rFonts w:ascii="Arial" w:hAnsi="Arial" w:cs="Arial"/>
          <w:sz w:val="24"/>
          <w:szCs w:val="24"/>
          <w:lang w:val="en-GB"/>
        </w:rPr>
        <w:t>Accordingly, t</w:t>
      </w:r>
      <w:r w:rsidR="00A61D7E" w:rsidRPr="00852CD7">
        <w:rPr>
          <w:rFonts w:ascii="Arial" w:hAnsi="Arial" w:cs="Arial"/>
          <w:sz w:val="24"/>
          <w:szCs w:val="24"/>
          <w:lang w:val="en-GB"/>
        </w:rPr>
        <w:t>he following order is made:</w:t>
      </w:r>
    </w:p>
    <w:p w:rsidR="00BA4EDC" w:rsidRDefault="00BA4EDC" w:rsidP="00BA4EDC">
      <w:pPr>
        <w:pStyle w:val="ListParagraph"/>
        <w:spacing w:line="360" w:lineRule="auto"/>
        <w:rPr>
          <w:rFonts w:ascii="Arial" w:hAnsi="Arial" w:cs="Arial"/>
          <w:sz w:val="24"/>
          <w:szCs w:val="24"/>
          <w:lang w:val="en-GB"/>
        </w:rPr>
      </w:pPr>
    </w:p>
    <w:p w:rsidR="00A61D7E" w:rsidRPr="00FF0F76" w:rsidRDefault="00FD6D1F" w:rsidP="00852CD7">
      <w:pPr>
        <w:pStyle w:val="ListParagraph"/>
        <w:numPr>
          <w:ilvl w:val="0"/>
          <w:numId w:val="1"/>
        </w:numPr>
        <w:spacing w:line="360" w:lineRule="auto"/>
        <w:ind w:hanging="11"/>
        <w:jc w:val="both"/>
        <w:rPr>
          <w:rFonts w:ascii="Arial" w:hAnsi="Arial" w:cs="Arial"/>
          <w:sz w:val="24"/>
          <w:szCs w:val="24"/>
          <w:lang w:val="en-GB"/>
        </w:rPr>
      </w:pPr>
      <w:r>
        <w:rPr>
          <w:rFonts w:ascii="Arial" w:hAnsi="Arial" w:cs="Arial"/>
          <w:sz w:val="24"/>
          <w:szCs w:val="24"/>
          <w:lang w:val="en-GB"/>
        </w:rPr>
        <w:t>t</w:t>
      </w:r>
      <w:r w:rsidR="003F634B" w:rsidRPr="00FF0F76">
        <w:rPr>
          <w:rFonts w:ascii="Arial" w:hAnsi="Arial" w:cs="Arial"/>
          <w:sz w:val="24"/>
          <w:szCs w:val="24"/>
          <w:lang w:val="en-GB"/>
        </w:rPr>
        <w:t>he appeal is upheld;</w:t>
      </w:r>
    </w:p>
    <w:p w:rsidR="00BA4EDC" w:rsidRDefault="00BA4EDC" w:rsidP="00852CD7">
      <w:pPr>
        <w:pStyle w:val="ListParagraph"/>
        <w:spacing w:line="360" w:lineRule="auto"/>
        <w:jc w:val="both"/>
        <w:rPr>
          <w:rFonts w:ascii="Arial" w:hAnsi="Arial" w:cs="Arial"/>
          <w:sz w:val="24"/>
          <w:szCs w:val="24"/>
          <w:lang w:val="en-GB"/>
        </w:rPr>
      </w:pPr>
    </w:p>
    <w:p w:rsidR="003F634B" w:rsidRPr="00FF0F76" w:rsidRDefault="00BA4EDC" w:rsidP="00852CD7">
      <w:pPr>
        <w:pStyle w:val="ListParagraph"/>
        <w:numPr>
          <w:ilvl w:val="0"/>
          <w:numId w:val="1"/>
        </w:numPr>
        <w:spacing w:line="360" w:lineRule="auto"/>
        <w:ind w:hanging="11"/>
        <w:jc w:val="both"/>
        <w:rPr>
          <w:rFonts w:ascii="Arial" w:hAnsi="Arial" w:cs="Arial"/>
          <w:sz w:val="24"/>
          <w:szCs w:val="24"/>
          <w:lang w:val="en-GB"/>
        </w:rPr>
      </w:pPr>
      <w:r>
        <w:rPr>
          <w:rFonts w:ascii="Arial" w:hAnsi="Arial" w:cs="Arial"/>
          <w:sz w:val="24"/>
          <w:szCs w:val="24"/>
          <w:lang w:val="en-GB"/>
        </w:rPr>
        <w:t>t</w:t>
      </w:r>
      <w:r w:rsidR="003F634B" w:rsidRPr="00FF0F76">
        <w:rPr>
          <w:rFonts w:ascii="Arial" w:hAnsi="Arial" w:cs="Arial"/>
          <w:sz w:val="24"/>
          <w:szCs w:val="24"/>
          <w:lang w:val="en-GB"/>
        </w:rPr>
        <w:t xml:space="preserve">he order of the court </w:t>
      </w:r>
      <w:r w:rsidR="003F634B" w:rsidRPr="00DC0E35">
        <w:rPr>
          <w:rFonts w:ascii="Arial" w:hAnsi="Arial" w:cs="Arial"/>
          <w:i/>
          <w:sz w:val="24"/>
          <w:szCs w:val="24"/>
          <w:lang w:val="en-GB"/>
        </w:rPr>
        <w:t>a quo</w:t>
      </w:r>
      <w:r w:rsidR="003F634B" w:rsidRPr="00FF0F76">
        <w:rPr>
          <w:rFonts w:ascii="Arial" w:hAnsi="Arial" w:cs="Arial"/>
          <w:sz w:val="24"/>
          <w:szCs w:val="24"/>
          <w:lang w:val="en-GB"/>
        </w:rPr>
        <w:t xml:space="preserve"> is set aside and replaced with the following:</w:t>
      </w:r>
    </w:p>
    <w:p w:rsidR="00BA4EDC" w:rsidRDefault="00BA4EDC" w:rsidP="00852CD7">
      <w:pPr>
        <w:pStyle w:val="ListParagraph"/>
        <w:spacing w:line="360" w:lineRule="auto"/>
        <w:ind w:left="1440"/>
        <w:jc w:val="both"/>
        <w:rPr>
          <w:rFonts w:ascii="Arial" w:hAnsi="Arial" w:cs="Arial"/>
          <w:sz w:val="24"/>
          <w:szCs w:val="24"/>
          <w:lang w:val="en-GB"/>
        </w:rPr>
      </w:pPr>
    </w:p>
    <w:p w:rsidR="00BA4EDC" w:rsidRDefault="00BA4EDC" w:rsidP="00852CD7">
      <w:pPr>
        <w:pStyle w:val="ListParagraph"/>
        <w:numPr>
          <w:ilvl w:val="0"/>
          <w:numId w:val="2"/>
        </w:numPr>
        <w:spacing w:line="360" w:lineRule="auto"/>
        <w:ind w:left="2127" w:hanging="709"/>
        <w:jc w:val="both"/>
        <w:rPr>
          <w:rFonts w:ascii="Arial" w:hAnsi="Arial" w:cs="Arial"/>
          <w:sz w:val="24"/>
          <w:szCs w:val="24"/>
          <w:lang w:val="en-GB"/>
        </w:rPr>
      </w:pPr>
      <w:r>
        <w:rPr>
          <w:rFonts w:ascii="Arial" w:hAnsi="Arial" w:cs="Arial"/>
          <w:sz w:val="24"/>
          <w:szCs w:val="24"/>
          <w:lang w:val="en-GB"/>
        </w:rPr>
        <w:t>t</w:t>
      </w:r>
      <w:r w:rsidR="003F634B" w:rsidRPr="00FF0F76">
        <w:rPr>
          <w:rFonts w:ascii="Arial" w:hAnsi="Arial" w:cs="Arial"/>
          <w:sz w:val="24"/>
          <w:szCs w:val="24"/>
          <w:lang w:val="en-GB"/>
        </w:rPr>
        <w:t>he ap</w:t>
      </w:r>
      <w:r w:rsidR="0070518C">
        <w:rPr>
          <w:rFonts w:ascii="Arial" w:hAnsi="Arial" w:cs="Arial"/>
          <w:sz w:val="24"/>
          <w:szCs w:val="24"/>
          <w:lang w:val="en-GB"/>
        </w:rPr>
        <w:t xml:space="preserve">pellant’s application for bail </w:t>
      </w:r>
      <w:r w:rsidR="003F634B" w:rsidRPr="00FF0F76">
        <w:rPr>
          <w:rFonts w:ascii="Arial" w:hAnsi="Arial" w:cs="Arial"/>
          <w:sz w:val="24"/>
          <w:szCs w:val="24"/>
          <w:lang w:val="en-GB"/>
        </w:rPr>
        <w:t>is gran</w:t>
      </w:r>
      <w:r>
        <w:rPr>
          <w:rFonts w:ascii="Arial" w:hAnsi="Arial" w:cs="Arial"/>
          <w:sz w:val="24"/>
          <w:szCs w:val="24"/>
          <w:lang w:val="en-GB"/>
        </w:rPr>
        <w:t>ted and he is released on bail</w:t>
      </w:r>
      <w:r w:rsidR="0070518C">
        <w:rPr>
          <w:rFonts w:ascii="Arial" w:hAnsi="Arial" w:cs="Arial"/>
          <w:sz w:val="24"/>
          <w:szCs w:val="24"/>
          <w:lang w:val="en-GB"/>
        </w:rPr>
        <w:t>,</w:t>
      </w:r>
      <w:r w:rsidR="0070518C" w:rsidRPr="0070518C">
        <w:rPr>
          <w:rFonts w:ascii="Arial" w:hAnsi="Arial" w:cs="Arial"/>
          <w:sz w:val="24"/>
          <w:szCs w:val="24"/>
          <w:lang w:val="en-GB"/>
        </w:rPr>
        <w:t xml:space="preserve"> pending the completion of his trial</w:t>
      </w:r>
      <w:r>
        <w:rPr>
          <w:rFonts w:ascii="Arial" w:hAnsi="Arial" w:cs="Arial"/>
          <w:sz w:val="24"/>
          <w:szCs w:val="24"/>
          <w:lang w:val="en-GB"/>
        </w:rPr>
        <w:t>;</w:t>
      </w:r>
    </w:p>
    <w:p w:rsidR="00BA4EDC" w:rsidRDefault="00BA4EDC" w:rsidP="00852CD7">
      <w:pPr>
        <w:pStyle w:val="ListParagraph"/>
        <w:spacing w:line="360" w:lineRule="auto"/>
        <w:ind w:left="1440"/>
        <w:jc w:val="both"/>
        <w:rPr>
          <w:rFonts w:ascii="Arial" w:hAnsi="Arial" w:cs="Arial"/>
          <w:sz w:val="24"/>
          <w:szCs w:val="24"/>
          <w:lang w:val="en-GB"/>
        </w:rPr>
      </w:pPr>
    </w:p>
    <w:p w:rsidR="003F634B" w:rsidRPr="00FF0F76" w:rsidRDefault="00BA4EDC" w:rsidP="00852CD7">
      <w:pPr>
        <w:pStyle w:val="ListParagraph"/>
        <w:numPr>
          <w:ilvl w:val="0"/>
          <w:numId w:val="2"/>
        </w:numPr>
        <w:spacing w:line="360" w:lineRule="auto"/>
        <w:ind w:hanging="22"/>
        <w:jc w:val="both"/>
        <w:rPr>
          <w:rFonts w:ascii="Arial" w:hAnsi="Arial" w:cs="Arial"/>
          <w:sz w:val="24"/>
          <w:szCs w:val="24"/>
          <w:lang w:val="en-GB"/>
        </w:rPr>
      </w:pPr>
      <w:r>
        <w:rPr>
          <w:rFonts w:ascii="Arial" w:hAnsi="Arial" w:cs="Arial"/>
          <w:sz w:val="24"/>
          <w:szCs w:val="24"/>
          <w:lang w:val="en-GB"/>
        </w:rPr>
        <w:t xml:space="preserve">the </w:t>
      </w:r>
      <w:r w:rsidR="003F634B" w:rsidRPr="00FF0F76">
        <w:rPr>
          <w:rFonts w:ascii="Arial" w:hAnsi="Arial" w:cs="Arial"/>
          <w:sz w:val="24"/>
          <w:szCs w:val="24"/>
          <w:lang w:val="en-GB"/>
        </w:rPr>
        <w:t>following conditions</w:t>
      </w:r>
      <w:r>
        <w:rPr>
          <w:rFonts w:ascii="Arial" w:hAnsi="Arial" w:cs="Arial"/>
          <w:sz w:val="24"/>
          <w:szCs w:val="24"/>
          <w:lang w:val="en-GB"/>
        </w:rPr>
        <w:t xml:space="preserve"> apply</w:t>
      </w:r>
      <w:r w:rsidR="003F634B" w:rsidRPr="00FF0F76">
        <w:rPr>
          <w:rFonts w:ascii="Arial" w:hAnsi="Arial" w:cs="Arial"/>
          <w:sz w:val="24"/>
          <w:szCs w:val="24"/>
          <w:lang w:val="en-GB"/>
        </w:rPr>
        <w:t>:</w:t>
      </w:r>
    </w:p>
    <w:p w:rsidR="00BA4EDC" w:rsidRDefault="00BA4EDC" w:rsidP="00852CD7">
      <w:pPr>
        <w:pStyle w:val="ListParagraph"/>
        <w:spacing w:line="360" w:lineRule="auto"/>
        <w:ind w:left="1440"/>
        <w:jc w:val="both"/>
        <w:rPr>
          <w:rFonts w:ascii="Arial" w:hAnsi="Arial" w:cs="Arial"/>
          <w:sz w:val="24"/>
          <w:szCs w:val="24"/>
          <w:lang w:val="en-GB"/>
        </w:rPr>
      </w:pPr>
    </w:p>
    <w:p w:rsidR="003F634B" w:rsidRPr="00FF0F76" w:rsidRDefault="003F634B" w:rsidP="00852CD7">
      <w:pPr>
        <w:pStyle w:val="ListParagraph"/>
        <w:spacing w:line="360" w:lineRule="auto"/>
        <w:ind w:left="2877" w:hanging="750"/>
        <w:jc w:val="both"/>
        <w:rPr>
          <w:rFonts w:ascii="Arial" w:hAnsi="Arial" w:cs="Arial"/>
          <w:sz w:val="24"/>
          <w:szCs w:val="24"/>
          <w:lang w:val="en-GB"/>
        </w:rPr>
      </w:pPr>
      <w:r w:rsidRPr="00FF0F76">
        <w:rPr>
          <w:rFonts w:ascii="Arial" w:hAnsi="Arial" w:cs="Arial"/>
          <w:sz w:val="24"/>
          <w:szCs w:val="24"/>
          <w:lang w:val="en-GB"/>
        </w:rPr>
        <w:t xml:space="preserve">(aa) </w:t>
      </w:r>
      <w:r w:rsidR="00BA4EDC">
        <w:rPr>
          <w:rFonts w:ascii="Arial" w:hAnsi="Arial" w:cs="Arial"/>
          <w:sz w:val="24"/>
          <w:szCs w:val="24"/>
          <w:lang w:val="en-GB"/>
        </w:rPr>
        <w:tab/>
      </w:r>
      <w:r w:rsidRPr="00FF0F76">
        <w:rPr>
          <w:rFonts w:ascii="Arial" w:hAnsi="Arial" w:cs="Arial"/>
          <w:sz w:val="24"/>
          <w:szCs w:val="24"/>
          <w:lang w:val="en-GB"/>
        </w:rPr>
        <w:t>the appellant shall deposit the sum of R10,000 in accordance with the provisions of section 60(13)(a) of the CPA;</w:t>
      </w:r>
    </w:p>
    <w:p w:rsidR="00BA4EDC" w:rsidRDefault="00BA4EDC" w:rsidP="00852CD7">
      <w:pPr>
        <w:pStyle w:val="ListParagraph"/>
        <w:spacing w:line="360" w:lineRule="auto"/>
        <w:ind w:left="1440"/>
        <w:jc w:val="both"/>
        <w:rPr>
          <w:rFonts w:ascii="Arial" w:hAnsi="Arial" w:cs="Arial"/>
          <w:sz w:val="24"/>
          <w:szCs w:val="24"/>
          <w:lang w:val="en-GB"/>
        </w:rPr>
      </w:pPr>
    </w:p>
    <w:p w:rsidR="003F634B" w:rsidRDefault="003F634B" w:rsidP="00852CD7">
      <w:pPr>
        <w:pStyle w:val="ListParagraph"/>
        <w:spacing w:line="360" w:lineRule="auto"/>
        <w:ind w:left="2877" w:hanging="750"/>
        <w:jc w:val="both"/>
        <w:rPr>
          <w:rFonts w:ascii="Arial" w:hAnsi="Arial" w:cs="Arial"/>
          <w:sz w:val="24"/>
          <w:szCs w:val="24"/>
          <w:lang w:val="en-GB"/>
        </w:rPr>
      </w:pPr>
      <w:r w:rsidRPr="00FF0F76">
        <w:rPr>
          <w:rFonts w:ascii="Arial" w:hAnsi="Arial" w:cs="Arial"/>
          <w:sz w:val="24"/>
          <w:szCs w:val="24"/>
          <w:lang w:val="en-GB"/>
        </w:rPr>
        <w:t xml:space="preserve">(bb) </w:t>
      </w:r>
      <w:r w:rsidR="00BA4EDC">
        <w:rPr>
          <w:rFonts w:ascii="Arial" w:hAnsi="Arial" w:cs="Arial"/>
          <w:sz w:val="24"/>
          <w:szCs w:val="24"/>
          <w:lang w:val="en-GB"/>
        </w:rPr>
        <w:tab/>
      </w:r>
      <w:r w:rsidRPr="00FF0F76">
        <w:rPr>
          <w:rFonts w:ascii="Arial" w:hAnsi="Arial" w:cs="Arial"/>
          <w:sz w:val="24"/>
          <w:szCs w:val="24"/>
          <w:lang w:val="en-GB"/>
        </w:rPr>
        <w:t>the appellant shall reside at</w:t>
      </w:r>
      <w:r w:rsidR="00DC0E35">
        <w:rPr>
          <w:rFonts w:ascii="Arial" w:hAnsi="Arial" w:cs="Arial"/>
          <w:sz w:val="24"/>
          <w:szCs w:val="24"/>
          <w:lang w:val="en-GB"/>
        </w:rPr>
        <w:t xml:space="preserve"> the house situated at 269 Impah</w:t>
      </w:r>
      <w:r w:rsidRPr="00FF0F76">
        <w:rPr>
          <w:rFonts w:ascii="Arial" w:hAnsi="Arial" w:cs="Arial"/>
          <w:sz w:val="24"/>
          <w:szCs w:val="24"/>
          <w:lang w:val="en-GB"/>
        </w:rPr>
        <w:t>la Road, Amamzimtoti;</w:t>
      </w:r>
    </w:p>
    <w:p w:rsidR="003F634B" w:rsidRDefault="003F634B" w:rsidP="00852CD7">
      <w:pPr>
        <w:pStyle w:val="ListParagraph"/>
        <w:spacing w:line="360" w:lineRule="auto"/>
        <w:ind w:left="2877" w:hanging="750"/>
        <w:jc w:val="both"/>
        <w:rPr>
          <w:rFonts w:ascii="Arial" w:hAnsi="Arial" w:cs="Arial"/>
          <w:sz w:val="24"/>
          <w:szCs w:val="24"/>
          <w:lang w:val="en-GB"/>
        </w:rPr>
      </w:pPr>
      <w:r w:rsidRPr="00FF0F76">
        <w:rPr>
          <w:rFonts w:ascii="Arial" w:hAnsi="Arial" w:cs="Arial"/>
          <w:sz w:val="24"/>
          <w:szCs w:val="24"/>
          <w:lang w:val="en-GB"/>
        </w:rPr>
        <w:t xml:space="preserve">(cc) </w:t>
      </w:r>
      <w:r w:rsidR="00BA4EDC">
        <w:rPr>
          <w:rFonts w:ascii="Arial" w:hAnsi="Arial" w:cs="Arial"/>
          <w:sz w:val="24"/>
          <w:szCs w:val="24"/>
          <w:lang w:val="en-GB"/>
        </w:rPr>
        <w:tab/>
      </w:r>
      <w:r w:rsidRPr="00FF0F76">
        <w:rPr>
          <w:rFonts w:ascii="Arial" w:hAnsi="Arial" w:cs="Arial"/>
          <w:sz w:val="24"/>
          <w:szCs w:val="24"/>
          <w:lang w:val="en-GB"/>
        </w:rPr>
        <w:t xml:space="preserve">the appellant </w:t>
      </w:r>
      <w:r w:rsidR="00BA4EDC">
        <w:rPr>
          <w:rFonts w:ascii="Arial" w:hAnsi="Arial" w:cs="Arial"/>
          <w:sz w:val="24"/>
          <w:szCs w:val="24"/>
          <w:lang w:val="en-GB"/>
        </w:rPr>
        <w:t>shall, not less than two (2) days prior to his departure from KwaZulu-Natal for legitimate purposes, notify the commanding officer</w:t>
      </w:r>
      <w:r w:rsidR="00FD6D1F">
        <w:rPr>
          <w:rFonts w:ascii="Arial" w:hAnsi="Arial" w:cs="Arial"/>
          <w:sz w:val="24"/>
          <w:szCs w:val="24"/>
          <w:lang w:val="en-GB"/>
        </w:rPr>
        <w:t xml:space="preserve"> or a duly delegated member of his or her staff</w:t>
      </w:r>
      <w:r w:rsidR="00BA4EDC">
        <w:rPr>
          <w:rFonts w:ascii="Arial" w:hAnsi="Arial" w:cs="Arial"/>
          <w:sz w:val="24"/>
          <w:szCs w:val="24"/>
          <w:lang w:val="en-GB"/>
        </w:rPr>
        <w:t>, in person,</w:t>
      </w:r>
      <w:r w:rsidR="009E1EE4">
        <w:rPr>
          <w:rFonts w:ascii="Arial" w:hAnsi="Arial" w:cs="Arial"/>
          <w:sz w:val="24"/>
          <w:szCs w:val="24"/>
          <w:lang w:val="en-GB"/>
        </w:rPr>
        <w:t xml:space="preserve"> at the police station in</w:t>
      </w:r>
      <w:r w:rsidR="00BA4EDC">
        <w:rPr>
          <w:rFonts w:ascii="Arial" w:hAnsi="Arial" w:cs="Arial"/>
          <w:sz w:val="24"/>
          <w:szCs w:val="24"/>
          <w:lang w:val="en-GB"/>
        </w:rPr>
        <w:t xml:space="preserve"> Amamzimtoti and furnish </w:t>
      </w:r>
      <w:r w:rsidR="009E1EE4">
        <w:rPr>
          <w:rFonts w:ascii="Arial" w:hAnsi="Arial" w:cs="Arial"/>
          <w:sz w:val="24"/>
          <w:szCs w:val="24"/>
          <w:lang w:val="en-GB"/>
        </w:rPr>
        <w:t xml:space="preserve">to him or her </w:t>
      </w:r>
      <w:r w:rsidR="00BA4EDC">
        <w:rPr>
          <w:rFonts w:ascii="Arial" w:hAnsi="Arial" w:cs="Arial"/>
          <w:sz w:val="24"/>
          <w:szCs w:val="24"/>
          <w:lang w:val="en-GB"/>
        </w:rPr>
        <w:t xml:space="preserve">the details </w:t>
      </w:r>
      <w:r w:rsidR="009E1EE4">
        <w:rPr>
          <w:rFonts w:ascii="Arial" w:hAnsi="Arial" w:cs="Arial"/>
          <w:sz w:val="24"/>
          <w:szCs w:val="24"/>
          <w:lang w:val="en-GB"/>
        </w:rPr>
        <w:t xml:space="preserve">of his itinerary, including the duration of his absence and </w:t>
      </w:r>
      <w:r w:rsidR="00DC0E35">
        <w:rPr>
          <w:rFonts w:ascii="Arial" w:hAnsi="Arial" w:cs="Arial"/>
          <w:sz w:val="24"/>
          <w:szCs w:val="24"/>
          <w:lang w:val="en-GB"/>
        </w:rPr>
        <w:t xml:space="preserve">his </w:t>
      </w:r>
      <w:r w:rsidR="009E1EE4">
        <w:rPr>
          <w:rFonts w:ascii="Arial" w:hAnsi="Arial" w:cs="Arial"/>
          <w:sz w:val="24"/>
          <w:szCs w:val="24"/>
          <w:lang w:val="en-GB"/>
        </w:rPr>
        <w:t>whereabouts for the period in question</w:t>
      </w:r>
      <w:r w:rsidR="00DC0E35">
        <w:rPr>
          <w:rFonts w:ascii="Arial" w:hAnsi="Arial" w:cs="Arial"/>
          <w:sz w:val="24"/>
          <w:szCs w:val="24"/>
          <w:lang w:val="en-GB"/>
        </w:rPr>
        <w:t>, as well as the cellphone number at which he can be contacted</w:t>
      </w:r>
      <w:r w:rsidR="009E1EE4">
        <w:rPr>
          <w:rFonts w:ascii="Arial" w:hAnsi="Arial" w:cs="Arial"/>
          <w:sz w:val="24"/>
          <w:szCs w:val="24"/>
          <w:lang w:val="en-GB"/>
        </w:rPr>
        <w:t>;</w:t>
      </w:r>
    </w:p>
    <w:p w:rsidR="009E1EE4" w:rsidRDefault="009E1EE4" w:rsidP="00852CD7">
      <w:pPr>
        <w:pStyle w:val="ListParagraph"/>
        <w:spacing w:line="360" w:lineRule="auto"/>
        <w:ind w:left="1440"/>
        <w:jc w:val="both"/>
        <w:rPr>
          <w:rFonts w:ascii="Arial" w:hAnsi="Arial" w:cs="Arial"/>
          <w:sz w:val="24"/>
          <w:szCs w:val="24"/>
          <w:lang w:val="en-GB"/>
        </w:rPr>
      </w:pPr>
    </w:p>
    <w:p w:rsidR="009E1EE4" w:rsidRDefault="009E1EE4" w:rsidP="00852CD7">
      <w:pPr>
        <w:pStyle w:val="ListParagraph"/>
        <w:spacing w:line="360" w:lineRule="auto"/>
        <w:ind w:left="2877" w:hanging="750"/>
        <w:jc w:val="both"/>
        <w:rPr>
          <w:rFonts w:ascii="Arial" w:hAnsi="Arial" w:cs="Arial"/>
          <w:sz w:val="24"/>
          <w:szCs w:val="24"/>
          <w:lang w:val="en-GB"/>
        </w:rPr>
      </w:pPr>
      <w:r>
        <w:rPr>
          <w:rFonts w:ascii="Arial" w:hAnsi="Arial" w:cs="Arial"/>
          <w:sz w:val="24"/>
          <w:szCs w:val="24"/>
          <w:lang w:val="en-GB"/>
        </w:rPr>
        <w:t>(dd)</w:t>
      </w:r>
      <w:r>
        <w:rPr>
          <w:rFonts w:ascii="Arial" w:hAnsi="Arial" w:cs="Arial"/>
          <w:sz w:val="24"/>
          <w:szCs w:val="24"/>
          <w:lang w:val="en-GB"/>
        </w:rPr>
        <w:tab/>
        <w:t xml:space="preserve">the appellant shall report to the police station in Amamzimtoti between the hours of 06h00 and 18h00, on </w:t>
      </w:r>
      <w:r w:rsidR="00DC0E35">
        <w:rPr>
          <w:rFonts w:ascii="Arial" w:hAnsi="Arial" w:cs="Arial"/>
          <w:sz w:val="24"/>
          <w:szCs w:val="24"/>
          <w:lang w:val="en-GB"/>
        </w:rPr>
        <w:t xml:space="preserve">the </w:t>
      </w:r>
      <w:r>
        <w:rPr>
          <w:rFonts w:ascii="Arial" w:hAnsi="Arial" w:cs="Arial"/>
          <w:sz w:val="24"/>
          <w:szCs w:val="24"/>
          <w:lang w:val="en-GB"/>
        </w:rPr>
        <w:t>Wednesday of each week, provided that he shall report to the nearest police station between the same hours and on the same day when outside KwaZulu-Natal for legitimate purposes;</w:t>
      </w:r>
    </w:p>
    <w:p w:rsidR="009E1EE4" w:rsidRDefault="009E1EE4" w:rsidP="00852CD7">
      <w:pPr>
        <w:pStyle w:val="ListParagraph"/>
        <w:spacing w:line="360" w:lineRule="auto"/>
        <w:ind w:left="1440"/>
        <w:jc w:val="both"/>
        <w:rPr>
          <w:rFonts w:ascii="Arial" w:hAnsi="Arial" w:cs="Arial"/>
          <w:sz w:val="24"/>
          <w:szCs w:val="24"/>
          <w:lang w:val="en-GB"/>
        </w:rPr>
      </w:pPr>
    </w:p>
    <w:p w:rsidR="009E1EE4" w:rsidRDefault="009E1EE4" w:rsidP="00852CD7">
      <w:pPr>
        <w:pStyle w:val="ListParagraph"/>
        <w:spacing w:line="360" w:lineRule="auto"/>
        <w:ind w:left="2877" w:hanging="750"/>
        <w:jc w:val="both"/>
        <w:rPr>
          <w:rFonts w:ascii="Arial" w:hAnsi="Arial" w:cs="Arial"/>
          <w:sz w:val="24"/>
          <w:szCs w:val="24"/>
          <w:lang w:val="en-GB"/>
        </w:rPr>
      </w:pPr>
      <w:r>
        <w:rPr>
          <w:rFonts w:ascii="Arial" w:hAnsi="Arial" w:cs="Arial"/>
          <w:sz w:val="24"/>
          <w:szCs w:val="24"/>
          <w:lang w:val="en-GB"/>
        </w:rPr>
        <w:t>(ee)</w:t>
      </w:r>
      <w:r>
        <w:rPr>
          <w:rFonts w:ascii="Arial" w:hAnsi="Arial" w:cs="Arial"/>
          <w:sz w:val="24"/>
          <w:szCs w:val="24"/>
          <w:lang w:val="en-GB"/>
        </w:rPr>
        <w:tab/>
        <w:t xml:space="preserve">the appellant shall notify the commanding officer </w:t>
      </w:r>
      <w:r w:rsidR="00D93A13">
        <w:rPr>
          <w:rFonts w:ascii="Arial" w:hAnsi="Arial" w:cs="Arial"/>
          <w:sz w:val="24"/>
          <w:szCs w:val="24"/>
          <w:lang w:val="en-GB"/>
        </w:rPr>
        <w:t xml:space="preserve">or duly delegated member of staff </w:t>
      </w:r>
      <w:r>
        <w:rPr>
          <w:rFonts w:ascii="Arial" w:hAnsi="Arial" w:cs="Arial"/>
          <w:sz w:val="24"/>
          <w:szCs w:val="24"/>
          <w:lang w:val="en-GB"/>
        </w:rPr>
        <w:t>in (cc), above, and the registrar of this court, in writing, of any change in his residential address at least two (2) weeks prior to any such change;</w:t>
      </w:r>
    </w:p>
    <w:p w:rsidR="002A40D0" w:rsidRDefault="002A40D0" w:rsidP="00852CD7">
      <w:pPr>
        <w:pStyle w:val="ListParagraph"/>
        <w:spacing w:line="360" w:lineRule="auto"/>
        <w:ind w:left="2877" w:hanging="750"/>
        <w:jc w:val="both"/>
        <w:rPr>
          <w:rFonts w:ascii="Arial" w:hAnsi="Arial" w:cs="Arial"/>
          <w:sz w:val="24"/>
          <w:szCs w:val="24"/>
          <w:lang w:val="en-GB"/>
        </w:rPr>
      </w:pPr>
    </w:p>
    <w:p w:rsidR="002A40D0" w:rsidRDefault="002A40D0" w:rsidP="00852CD7">
      <w:pPr>
        <w:pStyle w:val="ListParagraph"/>
        <w:spacing w:line="360" w:lineRule="auto"/>
        <w:ind w:left="2877" w:hanging="750"/>
        <w:jc w:val="both"/>
        <w:rPr>
          <w:rFonts w:ascii="Arial" w:hAnsi="Arial" w:cs="Arial"/>
          <w:sz w:val="24"/>
          <w:szCs w:val="24"/>
          <w:lang w:val="en-GB"/>
        </w:rPr>
      </w:pPr>
      <w:r>
        <w:rPr>
          <w:rFonts w:ascii="Arial" w:hAnsi="Arial" w:cs="Arial"/>
          <w:sz w:val="24"/>
          <w:szCs w:val="24"/>
          <w:lang w:val="en-GB"/>
        </w:rPr>
        <w:t>(ff)</w:t>
      </w:r>
      <w:r>
        <w:rPr>
          <w:rFonts w:ascii="Arial" w:hAnsi="Arial" w:cs="Arial"/>
          <w:sz w:val="24"/>
          <w:szCs w:val="24"/>
          <w:lang w:val="en-GB"/>
        </w:rPr>
        <w:tab/>
        <w:t>the appellant shall not influence, intimidate or harm any witness;</w:t>
      </w:r>
    </w:p>
    <w:p w:rsidR="009E1EE4" w:rsidRDefault="009E1EE4" w:rsidP="00852CD7">
      <w:pPr>
        <w:pStyle w:val="ListParagraph"/>
        <w:spacing w:line="360" w:lineRule="auto"/>
        <w:ind w:left="2160" w:hanging="720"/>
        <w:jc w:val="both"/>
        <w:rPr>
          <w:rFonts w:ascii="Arial" w:hAnsi="Arial" w:cs="Arial"/>
          <w:sz w:val="24"/>
          <w:szCs w:val="24"/>
          <w:lang w:val="en-GB"/>
        </w:rPr>
      </w:pPr>
    </w:p>
    <w:p w:rsidR="009E1EE4" w:rsidRDefault="009E1EE4" w:rsidP="00852CD7">
      <w:pPr>
        <w:pStyle w:val="ListParagraph"/>
        <w:spacing w:line="360" w:lineRule="auto"/>
        <w:ind w:left="2877" w:hanging="750"/>
        <w:jc w:val="both"/>
        <w:rPr>
          <w:rFonts w:ascii="Arial" w:hAnsi="Arial" w:cs="Arial"/>
          <w:sz w:val="24"/>
          <w:szCs w:val="24"/>
          <w:lang w:val="en-GB"/>
        </w:rPr>
      </w:pPr>
      <w:r>
        <w:rPr>
          <w:rFonts w:ascii="Arial" w:hAnsi="Arial" w:cs="Arial"/>
          <w:sz w:val="24"/>
          <w:szCs w:val="24"/>
          <w:lang w:val="en-GB"/>
        </w:rPr>
        <w:t>(</w:t>
      </w:r>
      <w:r w:rsidR="002A40D0">
        <w:rPr>
          <w:rFonts w:ascii="Arial" w:hAnsi="Arial" w:cs="Arial"/>
          <w:sz w:val="24"/>
          <w:szCs w:val="24"/>
          <w:lang w:val="en-GB"/>
        </w:rPr>
        <w:t>gg)</w:t>
      </w:r>
      <w:r>
        <w:rPr>
          <w:rFonts w:ascii="Arial" w:hAnsi="Arial" w:cs="Arial"/>
          <w:sz w:val="24"/>
          <w:szCs w:val="24"/>
          <w:lang w:val="en-GB"/>
        </w:rPr>
        <w:tab/>
        <w:t xml:space="preserve">the appellant shall report to the police station in Amamzimtoti within 48 hours of a written notice to that effect having been delivered to his </w:t>
      </w:r>
      <w:r w:rsidR="00FD6D1F">
        <w:rPr>
          <w:rFonts w:ascii="Arial" w:hAnsi="Arial" w:cs="Arial"/>
          <w:sz w:val="24"/>
          <w:szCs w:val="24"/>
          <w:lang w:val="en-GB"/>
        </w:rPr>
        <w:t>legal representative at the time, in the event that he is convicted and sentenced to a period of imprisonment;</w:t>
      </w:r>
    </w:p>
    <w:p w:rsidR="00FD6D1F" w:rsidRDefault="00FD6D1F" w:rsidP="00852CD7">
      <w:pPr>
        <w:pStyle w:val="ListParagraph"/>
        <w:spacing w:line="360" w:lineRule="auto"/>
        <w:ind w:left="2160" w:hanging="720"/>
        <w:jc w:val="both"/>
        <w:rPr>
          <w:rFonts w:ascii="Arial" w:hAnsi="Arial" w:cs="Arial"/>
          <w:sz w:val="24"/>
          <w:szCs w:val="24"/>
          <w:lang w:val="en-GB"/>
        </w:rPr>
      </w:pPr>
    </w:p>
    <w:p w:rsidR="00FD6D1F" w:rsidRDefault="00FD6D1F" w:rsidP="00852CD7">
      <w:pPr>
        <w:pStyle w:val="ListParagraph"/>
        <w:spacing w:line="360" w:lineRule="auto"/>
        <w:ind w:left="2877" w:hanging="750"/>
        <w:jc w:val="both"/>
        <w:rPr>
          <w:rFonts w:ascii="Arial" w:hAnsi="Arial" w:cs="Arial"/>
          <w:sz w:val="24"/>
          <w:szCs w:val="24"/>
          <w:lang w:val="en-GB"/>
        </w:rPr>
      </w:pPr>
      <w:r>
        <w:rPr>
          <w:rFonts w:ascii="Arial" w:hAnsi="Arial" w:cs="Arial"/>
          <w:sz w:val="24"/>
          <w:szCs w:val="24"/>
          <w:lang w:val="en-GB"/>
        </w:rPr>
        <w:t>(</w:t>
      </w:r>
      <w:r w:rsidR="002A40D0">
        <w:rPr>
          <w:rFonts w:ascii="Arial" w:hAnsi="Arial" w:cs="Arial"/>
          <w:sz w:val="24"/>
          <w:szCs w:val="24"/>
          <w:lang w:val="en-GB"/>
        </w:rPr>
        <w:t>hh</w:t>
      </w:r>
      <w:r>
        <w:rPr>
          <w:rFonts w:ascii="Arial" w:hAnsi="Arial" w:cs="Arial"/>
          <w:sz w:val="24"/>
          <w:szCs w:val="24"/>
          <w:lang w:val="en-GB"/>
        </w:rPr>
        <w:t>)</w:t>
      </w:r>
      <w:r>
        <w:rPr>
          <w:rFonts w:ascii="Arial" w:hAnsi="Arial" w:cs="Arial"/>
          <w:sz w:val="24"/>
          <w:szCs w:val="24"/>
          <w:lang w:val="en-GB"/>
        </w:rPr>
        <w:tab/>
        <w:t>the appellant is prohibited from applying for and being granted a passport for the duration of the trial proceedings;</w:t>
      </w:r>
    </w:p>
    <w:p w:rsidR="00FD6D1F" w:rsidRDefault="00FD6D1F" w:rsidP="00852CD7">
      <w:pPr>
        <w:spacing w:line="360" w:lineRule="auto"/>
        <w:jc w:val="both"/>
        <w:rPr>
          <w:rFonts w:ascii="Arial" w:hAnsi="Arial" w:cs="Arial"/>
          <w:sz w:val="24"/>
          <w:szCs w:val="24"/>
          <w:lang w:val="en-GB"/>
        </w:rPr>
      </w:pPr>
    </w:p>
    <w:p w:rsidR="00FD6D1F" w:rsidRDefault="00FD6D1F" w:rsidP="00852CD7">
      <w:pPr>
        <w:pStyle w:val="ListParagraph"/>
        <w:numPr>
          <w:ilvl w:val="0"/>
          <w:numId w:val="2"/>
        </w:numPr>
        <w:spacing w:line="360" w:lineRule="auto"/>
        <w:ind w:left="2127" w:hanging="687"/>
        <w:jc w:val="both"/>
        <w:rPr>
          <w:rFonts w:ascii="Arial" w:hAnsi="Arial" w:cs="Arial"/>
          <w:sz w:val="24"/>
          <w:szCs w:val="24"/>
          <w:lang w:val="en-GB"/>
        </w:rPr>
      </w:pPr>
      <w:r>
        <w:rPr>
          <w:rFonts w:ascii="Arial" w:hAnsi="Arial" w:cs="Arial"/>
          <w:sz w:val="24"/>
          <w:szCs w:val="24"/>
          <w:lang w:val="en-GB"/>
        </w:rPr>
        <w:t>a copy of this order must be provided to the Director-General for the Department of Home Affairs.</w:t>
      </w:r>
    </w:p>
    <w:p w:rsidR="002A40D0" w:rsidRDefault="002A40D0" w:rsidP="002A40D0">
      <w:pPr>
        <w:spacing w:line="360" w:lineRule="auto"/>
        <w:jc w:val="both"/>
        <w:rPr>
          <w:rFonts w:ascii="Arial" w:hAnsi="Arial" w:cs="Arial"/>
          <w:sz w:val="24"/>
          <w:szCs w:val="24"/>
          <w:lang w:val="en-GB"/>
        </w:rPr>
      </w:pPr>
    </w:p>
    <w:p w:rsidR="002A40D0" w:rsidRPr="002A40D0" w:rsidRDefault="002A40D0" w:rsidP="002A40D0">
      <w:pPr>
        <w:spacing w:line="360" w:lineRule="auto"/>
        <w:jc w:val="both"/>
        <w:rPr>
          <w:rFonts w:ascii="Arial" w:hAnsi="Arial" w:cs="Arial"/>
          <w:sz w:val="24"/>
          <w:szCs w:val="24"/>
          <w:lang w:val="en-GB"/>
        </w:rPr>
      </w:pPr>
    </w:p>
    <w:p w:rsidR="00FD6D1F" w:rsidRDefault="00FD6D1F" w:rsidP="00852CD7">
      <w:pPr>
        <w:spacing w:line="240" w:lineRule="auto"/>
        <w:jc w:val="both"/>
        <w:rPr>
          <w:rFonts w:ascii="Arial" w:hAnsi="Arial" w:cs="Arial"/>
          <w:sz w:val="24"/>
          <w:szCs w:val="24"/>
          <w:lang w:val="en-GB"/>
        </w:rPr>
      </w:pPr>
      <w:r>
        <w:rPr>
          <w:rFonts w:ascii="Arial" w:hAnsi="Arial" w:cs="Arial"/>
          <w:sz w:val="24"/>
          <w:szCs w:val="24"/>
          <w:lang w:val="en-GB"/>
        </w:rPr>
        <w:t>_________________________</w:t>
      </w:r>
    </w:p>
    <w:p w:rsidR="00FD6D1F" w:rsidRPr="00FD6D1F" w:rsidRDefault="00FD6D1F" w:rsidP="00852CD7">
      <w:pPr>
        <w:spacing w:line="240" w:lineRule="auto"/>
        <w:jc w:val="both"/>
        <w:rPr>
          <w:rFonts w:ascii="Arial" w:hAnsi="Arial" w:cs="Arial"/>
          <w:b/>
          <w:sz w:val="24"/>
          <w:szCs w:val="24"/>
          <w:lang w:val="en-GB"/>
        </w:rPr>
      </w:pPr>
      <w:r w:rsidRPr="00FD6D1F">
        <w:rPr>
          <w:rFonts w:ascii="Arial" w:hAnsi="Arial" w:cs="Arial"/>
          <w:b/>
          <w:sz w:val="24"/>
          <w:szCs w:val="24"/>
          <w:lang w:val="en-GB"/>
        </w:rPr>
        <w:t>JGA LAING</w:t>
      </w:r>
    </w:p>
    <w:p w:rsidR="00FD6D1F" w:rsidRDefault="00FD6D1F" w:rsidP="00852CD7">
      <w:pPr>
        <w:spacing w:line="240" w:lineRule="auto"/>
        <w:jc w:val="both"/>
        <w:rPr>
          <w:rFonts w:ascii="Arial" w:hAnsi="Arial" w:cs="Arial"/>
          <w:b/>
          <w:sz w:val="24"/>
          <w:szCs w:val="24"/>
          <w:lang w:val="en-GB"/>
        </w:rPr>
      </w:pPr>
      <w:r w:rsidRPr="00FD6D1F">
        <w:rPr>
          <w:rFonts w:ascii="Arial" w:hAnsi="Arial" w:cs="Arial"/>
          <w:b/>
          <w:sz w:val="24"/>
          <w:szCs w:val="24"/>
          <w:lang w:val="en-GB"/>
        </w:rPr>
        <w:t>JUDGE OF THE HIGH COURT</w:t>
      </w:r>
    </w:p>
    <w:p w:rsidR="00852CD7" w:rsidRDefault="00852CD7" w:rsidP="00852CD7">
      <w:pPr>
        <w:spacing w:line="240" w:lineRule="auto"/>
        <w:jc w:val="both"/>
        <w:rPr>
          <w:rFonts w:ascii="Arial" w:hAnsi="Arial" w:cs="Arial"/>
          <w:b/>
          <w:sz w:val="24"/>
          <w:szCs w:val="24"/>
          <w:lang w:val="en-GB"/>
        </w:rPr>
      </w:pPr>
    </w:p>
    <w:p w:rsidR="00852CD7" w:rsidRDefault="00852CD7" w:rsidP="00852CD7">
      <w:pPr>
        <w:spacing w:line="240" w:lineRule="auto"/>
        <w:jc w:val="both"/>
        <w:rPr>
          <w:rFonts w:ascii="Arial" w:hAnsi="Arial" w:cs="Arial"/>
          <w:sz w:val="24"/>
          <w:szCs w:val="24"/>
          <w:lang w:val="en-GB"/>
        </w:rPr>
      </w:pPr>
    </w:p>
    <w:p w:rsidR="00852CD7" w:rsidRDefault="00852CD7" w:rsidP="00852CD7">
      <w:pPr>
        <w:spacing w:line="240" w:lineRule="auto"/>
        <w:jc w:val="both"/>
        <w:rPr>
          <w:rFonts w:ascii="Arial" w:hAnsi="Arial" w:cs="Arial"/>
          <w:sz w:val="24"/>
          <w:szCs w:val="24"/>
          <w:lang w:val="en-GB"/>
        </w:rPr>
      </w:pPr>
    </w:p>
    <w:p w:rsidR="00852CD7" w:rsidRDefault="00852CD7" w:rsidP="00852CD7">
      <w:pPr>
        <w:spacing w:line="240" w:lineRule="auto"/>
        <w:jc w:val="both"/>
        <w:rPr>
          <w:rFonts w:ascii="Arial" w:hAnsi="Arial" w:cs="Arial"/>
          <w:sz w:val="24"/>
          <w:szCs w:val="24"/>
          <w:lang w:val="en-GB"/>
        </w:rPr>
      </w:pPr>
      <w:r w:rsidRPr="00852CD7">
        <w:rPr>
          <w:rFonts w:ascii="Arial" w:hAnsi="Arial" w:cs="Arial"/>
          <w:sz w:val="24"/>
          <w:szCs w:val="24"/>
          <w:lang w:val="en-GB"/>
        </w:rPr>
        <w:t xml:space="preserve">APPEARANCE </w:t>
      </w:r>
    </w:p>
    <w:p w:rsidR="00852CD7" w:rsidRDefault="00852CD7" w:rsidP="00852CD7">
      <w:pPr>
        <w:spacing w:line="240" w:lineRule="auto"/>
        <w:ind w:left="3600" w:hanging="3600"/>
        <w:jc w:val="both"/>
        <w:rPr>
          <w:rFonts w:ascii="Arial" w:hAnsi="Arial" w:cs="Arial"/>
          <w:sz w:val="24"/>
          <w:szCs w:val="24"/>
        </w:rPr>
      </w:pPr>
      <w:r>
        <w:rPr>
          <w:rFonts w:ascii="Arial" w:hAnsi="Arial" w:cs="Arial"/>
          <w:sz w:val="24"/>
          <w:szCs w:val="24"/>
          <w:lang w:val="en-GB"/>
        </w:rPr>
        <w:t>Attorney for the appellant:</w:t>
      </w:r>
      <w:r>
        <w:rPr>
          <w:rFonts w:ascii="Arial" w:hAnsi="Arial" w:cs="Arial"/>
          <w:sz w:val="24"/>
          <w:szCs w:val="24"/>
          <w:lang w:val="en-GB"/>
        </w:rPr>
        <w:tab/>
        <w:t xml:space="preserve">Mr Daubermann, instructed by </w:t>
      </w:r>
      <w:r w:rsidRPr="00852CD7">
        <w:rPr>
          <w:rFonts w:ascii="Arial" w:hAnsi="Arial" w:cs="Arial"/>
          <w:sz w:val="24"/>
          <w:szCs w:val="24"/>
        </w:rPr>
        <w:t>Peter Daubermann Attorneys</w:t>
      </w:r>
      <w:r>
        <w:rPr>
          <w:rFonts w:ascii="Arial" w:hAnsi="Arial" w:cs="Arial"/>
          <w:sz w:val="24"/>
          <w:szCs w:val="24"/>
        </w:rPr>
        <w:t xml:space="preserve">, Gqeberha. </w:t>
      </w:r>
    </w:p>
    <w:p w:rsidR="00852CD7" w:rsidRDefault="00852CD7" w:rsidP="00852CD7">
      <w:pPr>
        <w:spacing w:line="240" w:lineRule="auto"/>
        <w:ind w:left="3600" w:hanging="3600"/>
        <w:jc w:val="both"/>
        <w:rPr>
          <w:rFonts w:ascii="Arial" w:hAnsi="Arial" w:cs="Arial"/>
          <w:sz w:val="24"/>
          <w:szCs w:val="24"/>
        </w:rPr>
      </w:pPr>
    </w:p>
    <w:p w:rsidR="00852CD7" w:rsidRDefault="00852CD7" w:rsidP="00852CD7">
      <w:pPr>
        <w:spacing w:line="240" w:lineRule="auto"/>
        <w:ind w:left="3600" w:hanging="3600"/>
        <w:jc w:val="both"/>
        <w:rPr>
          <w:rFonts w:ascii="Arial" w:hAnsi="Arial" w:cs="Arial"/>
          <w:sz w:val="24"/>
          <w:szCs w:val="24"/>
        </w:rPr>
      </w:pPr>
      <w:r>
        <w:rPr>
          <w:rFonts w:ascii="Arial" w:hAnsi="Arial" w:cs="Arial"/>
          <w:sz w:val="24"/>
          <w:szCs w:val="24"/>
        </w:rPr>
        <w:t>Counsel for the respondent:</w:t>
      </w:r>
      <w:r>
        <w:rPr>
          <w:rFonts w:ascii="Arial" w:hAnsi="Arial" w:cs="Arial"/>
          <w:sz w:val="24"/>
          <w:szCs w:val="24"/>
        </w:rPr>
        <w:tab/>
        <w:t xml:space="preserve">Adv Mati, instructed by the Office of the Director of Public Prosecutions, </w:t>
      </w:r>
      <w:r w:rsidR="0036414B">
        <w:rPr>
          <w:rFonts w:ascii="Arial" w:hAnsi="Arial" w:cs="Arial"/>
          <w:sz w:val="24"/>
          <w:szCs w:val="24"/>
        </w:rPr>
        <w:t>Makhanda</w:t>
      </w:r>
      <w:r>
        <w:rPr>
          <w:rFonts w:ascii="Arial" w:hAnsi="Arial" w:cs="Arial"/>
          <w:sz w:val="24"/>
          <w:szCs w:val="24"/>
        </w:rPr>
        <w:t xml:space="preserve">. </w:t>
      </w:r>
    </w:p>
    <w:p w:rsidR="00852CD7" w:rsidRDefault="00852CD7" w:rsidP="00852CD7">
      <w:pPr>
        <w:spacing w:line="240" w:lineRule="auto"/>
        <w:ind w:left="3600" w:hanging="3600"/>
        <w:jc w:val="both"/>
        <w:rPr>
          <w:rFonts w:ascii="Arial" w:hAnsi="Arial" w:cs="Arial"/>
          <w:sz w:val="24"/>
          <w:szCs w:val="24"/>
        </w:rPr>
      </w:pPr>
    </w:p>
    <w:p w:rsidR="00852CD7" w:rsidRDefault="00852CD7" w:rsidP="00852CD7">
      <w:pPr>
        <w:spacing w:line="240" w:lineRule="auto"/>
        <w:ind w:left="3600" w:hanging="3600"/>
        <w:jc w:val="both"/>
        <w:rPr>
          <w:rFonts w:ascii="Arial" w:hAnsi="Arial" w:cs="Arial"/>
          <w:sz w:val="24"/>
          <w:szCs w:val="24"/>
        </w:rPr>
      </w:pPr>
      <w:r>
        <w:rPr>
          <w:rFonts w:ascii="Arial" w:hAnsi="Arial" w:cs="Arial"/>
          <w:sz w:val="24"/>
          <w:szCs w:val="24"/>
        </w:rPr>
        <w:t>Date of hearing:</w:t>
      </w:r>
      <w:r>
        <w:rPr>
          <w:rFonts w:ascii="Arial" w:hAnsi="Arial" w:cs="Arial"/>
          <w:sz w:val="24"/>
          <w:szCs w:val="24"/>
        </w:rPr>
        <w:tab/>
        <w:t>31 May 2022</w:t>
      </w:r>
    </w:p>
    <w:p w:rsidR="00852CD7" w:rsidRPr="00852CD7" w:rsidRDefault="00852CD7" w:rsidP="00852CD7">
      <w:pPr>
        <w:spacing w:line="240" w:lineRule="auto"/>
        <w:ind w:left="3600" w:hanging="3600"/>
        <w:jc w:val="both"/>
        <w:rPr>
          <w:rFonts w:ascii="Arial" w:hAnsi="Arial" w:cs="Arial"/>
          <w:sz w:val="24"/>
          <w:szCs w:val="24"/>
        </w:rPr>
      </w:pPr>
      <w:r>
        <w:rPr>
          <w:rFonts w:ascii="Arial" w:hAnsi="Arial" w:cs="Arial"/>
          <w:sz w:val="24"/>
          <w:szCs w:val="24"/>
        </w:rPr>
        <w:t>Date of delivery of judgment:</w:t>
      </w:r>
      <w:r>
        <w:rPr>
          <w:rFonts w:ascii="Arial" w:hAnsi="Arial" w:cs="Arial"/>
          <w:sz w:val="24"/>
          <w:szCs w:val="24"/>
        </w:rPr>
        <w:tab/>
      </w:r>
      <w:r w:rsidR="00F5604E">
        <w:rPr>
          <w:rFonts w:ascii="Arial" w:hAnsi="Arial" w:cs="Arial"/>
          <w:sz w:val="24"/>
          <w:szCs w:val="24"/>
        </w:rPr>
        <w:t>07 June 2022</w:t>
      </w:r>
    </w:p>
    <w:p w:rsidR="00852CD7" w:rsidRPr="00852CD7" w:rsidRDefault="00852CD7" w:rsidP="00852CD7">
      <w:pPr>
        <w:spacing w:line="240" w:lineRule="auto"/>
        <w:jc w:val="both"/>
        <w:rPr>
          <w:rFonts w:ascii="Arial" w:hAnsi="Arial" w:cs="Arial"/>
          <w:sz w:val="24"/>
          <w:szCs w:val="24"/>
          <w:lang w:val="en-GB"/>
        </w:rPr>
      </w:pPr>
    </w:p>
    <w:sectPr w:rsidR="00852CD7" w:rsidRPr="00852CD7" w:rsidSect="00F5604E">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3A" w:rsidRDefault="00515F3A" w:rsidP="00494BB7">
      <w:pPr>
        <w:spacing w:after="0" w:line="240" w:lineRule="auto"/>
      </w:pPr>
      <w:r>
        <w:separator/>
      </w:r>
    </w:p>
  </w:endnote>
  <w:endnote w:type="continuationSeparator" w:id="0">
    <w:p w:rsidR="00515F3A" w:rsidRDefault="00515F3A" w:rsidP="0049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3A" w:rsidRDefault="00515F3A" w:rsidP="00494BB7">
      <w:pPr>
        <w:spacing w:after="0" w:line="240" w:lineRule="auto"/>
      </w:pPr>
      <w:r>
        <w:separator/>
      </w:r>
    </w:p>
  </w:footnote>
  <w:footnote w:type="continuationSeparator" w:id="0">
    <w:p w:rsidR="00515F3A" w:rsidRDefault="00515F3A" w:rsidP="00494BB7">
      <w:pPr>
        <w:spacing w:after="0" w:line="240" w:lineRule="auto"/>
      </w:pPr>
      <w:r>
        <w:continuationSeparator/>
      </w:r>
    </w:p>
  </w:footnote>
  <w:footnote w:id="1">
    <w:p w:rsidR="00A9616B" w:rsidRPr="00A9616B" w:rsidRDefault="00A9616B" w:rsidP="00E13FA2">
      <w:pPr>
        <w:pStyle w:val="FootnoteText"/>
        <w:jc w:val="both"/>
        <w:rPr>
          <w:lang w:val="en-GB"/>
        </w:rPr>
      </w:pPr>
      <w:r>
        <w:rPr>
          <w:rStyle w:val="FootnoteReference"/>
        </w:rPr>
        <w:footnoteRef/>
      </w:r>
      <w:r>
        <w:t xml:space="preserve"> </w:t>
      </w:r>
      <w:r>
        <w:rPr>
          <w:lang w:val="en-GB"/>
        </w:rPr>
        <w:t xml:space="preserve">If the offence falls under Schedule 5, then the provisions of section 60(11)(b) indicate that the onus rests with the accused to demonstrate that the interest of justice permit his or her release. However, if the offence falls under Schedule 6, then </w:t>
      </w:r>
      <w:r w:rsidR="00380B33">
        <w:rPr>
          <w:lang w:val="en-GB"/>
        </w:rPr>
        <w:t>the provisions of section 60(11)(a) place a heavier onus</w:t>
      </w:r>
      <w:r>
        <w:rPr>
          <w:lang w:val="en-GB"/>
        </w:rPr>
        <w:t xml:space="preserve"> on the accused. He or she is required to demonst</w:t>
      </w:r>
      <w:r w:rsidR="00380B33">
        <w:rPr>
          <w:lang w:val="en-GB"/>
        </w:rPr>
        <w:t>r</w:t>
      </w:r>
      <w:r>
        <w:rPr>
          <w:lang w:val="en-GB"/>
        </w:rPr>
        <w:t xml:space="preserve">ate that there are exceptional circumstances </w:t>
      </w:r>
      <w:r w:rsidR="00380B33">
        <w:rPr>
          <w:lang w:val="en-GB"/>
        </w:rPr>
        <w:t xml:space="preserve">which, in the interests of justice, permit his or her release. </w:t>
      </w:r>
    </w:p>
  </w:footnote>
  <w:footnote w:id="2">
    <w:p w:rsidR="00494BB7" w:rsidRPr="00494BB7" w:rsidRDefault="00494BB7" w:rsidP="00E13FA2">
      <w:pPr>
        <w:pStyle w:val="FootnoteText"/>
        <w:jc w:val="both"/>
        <w:rPr>
          <w:lang w:val="en-GB"/>
        </w:rPr>
      </w:pPr>
      <w:r>
        <w:rPr>
          <w:rStyle w:val="FootnoteReference"/>
        </w:rPr>
        <w:footnoteRef/>
      </w:r>
      <w:r>
        <w:t xml:space="preserve"> </w:t>
      </w:r>
      <w:r>
        <w:rPr>
          <w:lang w:val="en-GB"/>
        </w:rPr>
        <w:t>This is apparent from the J15 included in the record at (i). The form referred to an Annexure A</w:t>
      </w:r>
      <w:r w:rsidR="00E253E5">
        <w:rPr>
          <w:lang w:val="en-GB"/>
        </w:rPr>
        <w:t>, purportedly containing details of the offences with which the appellant had been charged, but no such document was attached.</w:t>
      </w:r>
    </w:p>
  </w:footnote>
  <w:footnote w:id="3">
    <w:p w:rsidR="005964ED" w:rsidRPr="005964ED" w:rsidRDefault="005964ED" w:rsidP="00E13FA2">
      <w:pPr>
        <w:pStyle w:val="FootnoteText"/>
        <w:jc w:val="both"/>
        <w:rPr>
          <w:lang w:val="en-GB"/>
        </w:rPr>
      </w:pPr>
      <w:r>
        <w:rPr>
          <w:rStyle w:val="FootnoteReference"/>
        </w:rPr>
        <w:footnoteRef/>
      </w:r>
      <w:r>
        <w:t xml:space="preserve"> </w:t>
      </w:r>
      <w:r>
        <w:rPr>
          <w:lang w:val="en-GB"/>
        </w:rPr>
        <w:t>The charge sheet is an official form, described as a J15. Also see n 2, supra.</w:t>
      </w:r>
    </w:p>
  </w:footnote>
  <w:footnote w:id="4">
    <w:p w:rsidR="00112817" w:rsidRPr="00112817" w:rsidRDefault="00112817" w:rsidP="00E13FA2">
      <w:pPr>
        <w:pStyle w:val="FootnoteText"/>
        <w:jc w:val="both"/>
        <w:rPr>
          <w:lang w:val="en-GB"/>
        </w:rPr>
      </w:pPr>
      <w:r>
        <w:rPr>
          <w:rStyle w:val="FootnoteReference"/>
        </w:rPr>
        <w:footnoteRef/>
      </w:r>
      <w:r>
        <w:t xml:space="preserve"> </w:t>
      </w:r>
      <w:r>
        <w:rPr>
          <w:lang w:val="en-GB"/>
        </w:rPr>
        <w:t>This does not prevent the state, of course, from amending or supplementing the charges, on application where necessary, provided that this is done in advance of the bail application or trial and in such a way as not to infringe the accused’s right to a fair trial.</w:t>
      </w:r>
    </w:p>
  </w:footnote>
  <w:footnote w:id="5">
    <w:p w:rsidR="00380B33" w:rsidRPr="00380B33" w:rsidRDefault="00380B33" w:rsidP="00E13FA2">
      <w:pPr>
        <w:pStyle w:val="FootnoteText"/>
        <w:jc w:val="both"/>
        <w:rPr>
          <w:lang w:val="en-GB"/>
        </w:rPr>
      </w:pPr>
      <w:r>
        <w:rPr>
          <w:rStyle w:val="FootnoteReference"/>
        </w:rPr>
        <w:footnoteRef/>
      </w:r>
      <w:r>
        <w:t xml:space="preserve"> </w:t>
      </w:r>
      <w:r>
        <w:rPr>
          <w:lang w:val="en-GB"/>
        </w:rPr>
        <w:t>See n 1, supra.</w:t>
      </w:r>
    </w:p>
  </w:footnote>
  <w:footnote w:id="6">
    <w:p w:rsidR="00ED346E" w:rsidRPr="00ED346E" w:rsidRDefault="00ED346E" w:rsidP="00F5604E">
      <w:pPr>
        <w:pStyle w:val="FootnoteText"/>
        <w:jc w:val="both"/>
        <w:rPr>
          <w:lang w:val="en-GB"/>
        </w:rPr>
      </w:pPr>
      <w:r>
        <w:rPr>
          <w:rStyle w:val="FootnoteReference"/>
        </w:rPr>
        <w:footnoteRef/>
      </w:r>
      <w:r>
        <w:t xml:space="preserve"> </w:t>
      </w:r>
      <w:r>
        <w:rPr>
          <w:lang w:val="en-GB"/>
        </w:rPr>
        <w:t>See, too, the discussion in Du Toit, at ch9-p30A-32A.</w:t>
      </w:r>
    </w:p>
  </w:footnote>
  <w:footnote w:id="7">
    <w:p w:rsidR="00DC0E35" w:rsidRPr="00DC0E35" w:rsidRDefault="00DC0E35">
      <w:pPr>
        <w:pStyle w:val="FootnoteText"/>
        <w:rPr>
          <w:lang w:val="en-GB"/>
        </w:rPr>
      </w:pPr>
      <w:r>
        <w:rPr>
          <w:rStyle w:val="FootnoteReference"/>
        </w:rPr>
        <w:footnoteRef/>
      </w:r>
      <w:r>
        <w:t xml:space="preserve"> </w:t>
      </w:r>
      <w:r>
        <w:rPr>
          <w:lang w:val="en-GB"/>
        </w:rPr>
        <w:t>The appellant indicated that he was earning a monthly income of approximately R115,000. It is not known whether this represented his gross income; nevertheless, it is a substantial amount.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689484"/>
      <w:docPartObj>
        <w:docPartGallery w:val="Page Numbers (Top of Page)"/>
        <w:docPartUnique/>
      </w:docPartObj>
    </w:sdtPr>
    <w:sdtEndPr>
      <w:rPr>
        <w:noProof/>
      </w:rPr>
    </w:sdtEndPr>
    <w:sdtContent>
      <w:p w:rsidR="00F5604E" w:rsidRDefault="00F5604E">
        <w:pPr>
          <w:pStyle w:val="Header"/>
          <w:jc w:val="center"/>
        </w:pPr>
        <w:r>
          <w:fldChar w:fldCharType="begin"/>
        </w:r>
        <w:r>
          <w:instrText xml:space="preserve"> PAGE   \* MERGEFORMAT </w:instrText>
        </w:r>
        <w:r>
          <w:fldChar w:fldCharType="separate"/>
        </w:r>
        <w:r w:rsidR="001E6227">
          <w:rPr>
            <w:noProof/>
          </w:rPr>
          <w:t>5</w:t>
        </w:r>
        <w:r>
          <w:rPr>
            <w:noProof/>
          </w:rPr>
          <w:fldChar w:fldCharType="end"/>
        </w:r>
      </w:p>
    </w:sdtContent>
  </w:sdt>
  <w:p w:rsidR="00F5604E" w:rsidRDefault="00F560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764CC"/>
    <w:multiLevelType w:val="hybridMultilevel"/>
    <w:tmpl w:val="48625760"/>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A125F03"/>
    <w:multiLevelType w:val="hybridMultilevel"/>
    <w:tmpl w:val="7A74181E"/>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A4B71C5"/>
    <w:multiLevelType w:val="hybridMultilevel"/>
    <w:tmpl w:val="AD4A65FC"/>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EF26BCE"/>
    <w:multiLevelType w:val="hybridMultilevel"/>
    <w:tmpl w:val="1D8CFFEA"/>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DA4255"/>
    <w:multiLevelType w:val="hybridMultilevel"/>
    <w:tmpl w:val="6CA2020A"/>
    <w:lvl w:ilvl="0" w:tplc="46360F1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62974FB"/>
    <w:multiLevelType w:val="hybridMultilevel"/>
    <w:tmpl w:val="CAC2E77A"/>
    <w:lvl w:ilvl="0" w:tplc="836E737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44B10E46"/>
    <w:multiLevelType w:val="hybridMultilevel"/>
    <w:tmpl w:val="9D80DD62"/>
    <w:lvl w:ilvl="0" w:tplc="836E737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F32423E"/>
    <w:multiLevelType w:val="hybridMultilevel"/>
    <w:tmpl w:val="797ADF10"/>
    <w:lvl w:ilvl="0" w:tplc="555AD3C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650F3DBC"/>
    <w:multiLevelType w:val="hybridMultilevel"/>
    <w:tmpl w:val="0B369BE8"/>
    <w:lvl w:ilvl="0" w:tplc="AD32FE9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68460E31"/>
    <w:multiLevelType w:val="hybridMultilevel"/>
    <w:tmpl w:val="4712D28C"/>
    <w:lvl w:ilvl="0" w:tplc="E1AAB0C6">
      <w:start w:val="1"/>
      <w:numFmt w:val="lowerLetter"/>
      <w:lvlText w:val="(%1)"/>
      <w:lvlJc w:val="left"/>
      <w:pPr>
        <w:ind w:left="2368" w:hanging="360"/>
      </w:pPr>
      <w:rPr>
        <w:rFonts w:hint="default"/>
      </w:rPr>
    </w:lvl>
    <w:lvl w:ilvl="1" w:tplc="1C090019">
      <w:start w:val="1"/>
      <w:numFmt w:val="lowerLetter"/>
      <w:lvlText w:val="%2."/>
      <w:lvlJc w:val="left"/>
      <w:pPr>
        <w:ind w:left="3088" w:hanging="360"/>
      </w:pPr>
    </w:lvl>
    <w:lvl w:ilvl="2" w:tplc="1C09001B" w:tentative="1">
      <w:start w:val="1"/>
      <w:numFmt w:val="lowerRoman"/>
      <w:lvlText w:val="%3."/>
      <w:lvlJc w:val="right"/>
      <w:pPr>
        <w:ind w:left="3808" w:hanging="180"/>
      </w:pPr>
    </w:lvl>
    <w:lvl w:ilvl="3" w:tplc="1C09000F" w:tentative="1">
      <w:start w:val="1"/>
      <w:numFmt w:val="decimal"/>
      <w:lvlText w:val="%4."/>
      <w:lvlJc w:val="left"/>
      <w:pPr>
        <w:ind w:left="4528" w:hanging="360"/>
      </w:pPr>
    </w:lvl>
    <w:lvl w:ilvl="4" w:tplc="1C090019" w:tentative="1">
      <w:start w:val="1"/>
      <w:numFmt w:val="lowerLetter"/>
      <w:lvlText w:val="%5."/>
      <w:lvlJc w:val="left"/>
      <w:pPr>
        <w:ind w:left="5248" w:hanging="360"/>
      </w:pPr>
    </w:lvl>
    <w:lvl w:ilvl="5" w:tplc="1C09001B" w:tentative="1">
      <w:start w:val="1"/>
      <w:numFmt w:val="lowerRoman"/>
      <w:lvlText w:val="%6."/>
      <w:lvlJc w:val="right"/>
      <w:pPr>
        <w:ind w:left="5968" w:hanging="180"/>
      </w:pPr>
    </w:lvl>
    <w:lvl w:ilvl="6" w:tplc="1C09000F" w:tentative="1">
      <w:start w:val="1"/>
      <w:numFmt w:val="decimal"/>
      <w:lvlText w:val="%7."/>
      <w:lvlJc w:val="left"/>
      <w:pPr>
        <w:ind w:left="6688" w:hanging="360"/>
      </w:pPr>
    </w:lvl>
    <w:lvl w:ilvl="7" w:tplc="1C090019" w:tentative="1">
      <w:start w:val="1"/>
      <w:numFmt w:val="lowerLetter"/>
      <w:lvlText w:val="%8."/>
      <w:lvlJc w:val="left"/>
      <w:pPr>
        <w:ind w:left="7408" w:hanging="360"/>
      </w:pPr>
    </w:lvl>
    <w:lvl w:ilvl="8" w:tplc="1C09001B" w:tentative="1">
      <w:start w:val="1"/>
      <w:numFmt w:val="lowerRoman"/>
      <w:lvlText w:val="%9."/>
      <w:lvlJc w:val="right"/>
      <w:pPr>
        <w:ind w:left="8128" w:hanging="180"/>
      </w:pPr>
    </w:lvl>
  </w:abstractNum>
  <w:abstractNum w:abstractNumId="10" w15:restartNumberingAfterBreak="0">
    <w:nsid w:val="70C752C7"/>
    <w:multiLevelType w:val="hybridMultilevel"/>
    <w:tmpl w:val="F3468E12"/>
    <w:lvl w:ilvl="0" w:tplc="52D8AE3E">
      <w:start w:val="1"/>
      <w:numFmt w:val="lowerRoman"/>
      <w:lvlText w:val="(%1)"/>
      <w:lvlJc w:val="left"/>
      <w:pPr>
        <w:ind w:left="1462" w:hanging="720"/>
      </w:pPr>
      <w:rPr>
        <w:rFonts w:hint="default"/>
      </w:rPr>
    </w:lvl>
    <w:lvl w:ilvl="1" w:tplc="1C090019">
      <w:start w:val="1"/>
      <w:numFmt w:val="lowerLetter"/>
      <w:lvlText w:val="%2."/>
      <w:lvlJc w:val="left"/>
      <w:pPr>
        <w:ind w:left="1822" w:hanging="360"/>
      </w:pPr>
    </w:lvl>
    <w:lvl w:ilvl="2" w:tplc="1C09001B" w:tentative="1">
      <w:start w:val="1"/>
      <w:numFmt w:val="lowerRoman"/>
      <w:lvlText w:val="%3."/>
      <w:lvlJc w:val="right"/>
      <w:pPr>
        <w:ind w:left="2542" w:hanging="180"/>
      </w:pPr>
    </w:lvl>
    <w:lvl w:ilvl="3" w:tplc="1C09000F" w:tentative="1">
      <w:start w:val="1"/>
      <w:numFmt w:val="decimal"/>
      <w:lvlText w:val="%4."/>
      <w:lvlJc w:val="left"/>
      <w:pPr>
        <w:ind w:left="3262" w:hanging="360"/>
      </w:pPr>
    </w:lvl>
    <w:lvl w:ilvl="4" w:tplc="1C090019" w:tentative="1">
      <w:start w:val="1"/>
      <w:numFmt w:val="lowerLetter"/>
      <w:lvlText w:val="%5."/>
      <w:lvlJc w:val="left"/>
      <w:pPr>
        <w:ind w:left="3982" w:hanging="360"/>
      </w:pPr>
    </w:lvl>
    <w:lvl w:ilvl="5" w:tplc="1C09001B" w:tentative="1">
      <w:start w:val="1"/>
      <w:numFmt w:val="lowerRoman"/>
      <w:lvlText w:val="%6."/>
      <w:lvlJc w:val="right"/>
      <w:pPr>
        <w:ind w:left="4702" w:hanging="180"/>
      </w:pPr>
    </w:lvl>
    <w:lvl w:ilvl="6" w:tplc="1C09000F" w:tentative="1">
      <w:start w:val="1"/>
      <w:numFmt w:val="decimal"/>
      <w:lvlText w:val="%7."/>
      <w:lvlJc w:val="left"/>
      <w:pPr>
        <w:ind w:left="5422" w:hanging="360"/>
      </w:pPr>
    </w:lvl>
    <w:lvl w:ilvl="7" w:tplc="1C090019" w:tentative="1">
      <w:start w:val="1"/>
      <w:numFmt w:val="lowerLetter"/>
      <w:lvlText w:val="%8."/>
      <w:lvlJc w:val="left"/>
      <w:pPr>
        <w:ind w:left="6142" w:hanging="360"/>
      </w:pPr>
    </w:lvl>
    <w:lvl w:ilvl="8" w:tplc="1C09001B" w:tentative="1">
      <w:start w:val="1"/>
      <w:numFmt w:val="lowerRoman"/>
      <w:lvlText w:val="%9."/>
      <w:lvlJc w:val="right"/>
      <w:pPr>
        <w:ind w:left="6862" w:hanging="180"/>
      </w:pPr>
    </w:lvl>
  </w:abstractNum>
  <w:abstractNum w:abstractNumId="11" w15:restartNumberingAfterBreak="0">
    <w:nsid w:val="77D56E91"/>
    <w:multiLevelType w:val="hybridMultilevel"/>
    <w:tmpl w:val="2C42249C"/>
    <w:lvl w:ilvl="0" w:tplc="E894F96C">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83B307A"/>
    <w:multiLevelType w:val="hybridMultilevel"/>
    <w:tmpl w:val="5610315A"/>
    <w:lvl w:ilvl="0" w:tplc="075EEA1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798F3AEA"/>
    <w:multiLevelType w:val="hybridMultilevel"/>
    <w:tmpl w:val="CA02401E"/>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99F098E"/>
    <w:multiLevelType w:val="hybridMultilevel"/>
    <w:tmpl w:val="0E949B4C"/>
    <w:lvl w:ilvl="0" w:tplc="B0949C2E">
      <w:start w:val="1"/>
      <w:numFmt w:val="lowerLetter"/>
      <w:lvlText w:val="(%1)"/>
      <w:lvlJc w:val="left"/>
      <w:pPr>
        <w:ind w:left="1636" w:hanging="360"/>
      </w:pPr>
      <w:rPr>
        <w:rFonts w:hint="default"/>
      </w:rPr>
    </w:lvl>
    <w:lvl w:ilvl="1" w:tplc="1C090019" w:tentative="1">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5" w15:restartNumberingAfterBreak="0">
    <w:nsid w:val="7DFF0460"/>
    <w:multiLevelType w:val="hybridMultilevel"/>
    <w:tmpl w:val="F5845ADA"/>
    <w:lvl w:ilvl="0" w:tplc="1E46CEC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
  </w:num>
  <w:num w:numId="2">
    <w:abstractNumId w:val="10"/>
  </w:num>
  <w:num w:numId="3">
    <w:abstractNumId w:val="9"/>
  </w:num>
  <w:num w:numId="4">
    <w:abstractNumId w:val="11"/>
  </w:num>
  <w:num w:numId="5">
    <w:abstractNumId w:val="12"/>
  </w:num>
  <w:num w:numId="6">
    <w:abstractNumId w:val="7"/>
  </w:num>
  <w:num w:numId="7">
    <w:abstractNumId w:val="15"/>
  </w:num>
  <w:num w:numId="8">
    <w:abstractNumId w:val="8"/>
  </w:num>
  <w:num w:numId="9">
    <w:abstractNumId w:val="5"/>
  </w:num>
  <w:num w:numId="10">
    <w:abstractNumId w:val="14"/>
  </w:num>
  <w:num w:numId="11">
    <w:abstractNumId w:val="0"/>
  </w:num>
  <w:num w:numId="12">
    <w:abstractNumId w:val="1"/>
  </w:num>
  <w:num w:numId="13">
    <w:abstractNumId w:val="3"/>
  </w:num>
  <w:num w:numId="14">
    <w:abstractNumId w:val="6"/>
  </w:num>
  <w:num w:numId="15">
    <w:abstractNumId w:val="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53A"/>
    <w:rsid w:val="0010071D"/>
    <w:rsid w:val="001051A5"/>
    <w:rsid w:val="00112817"/>
    <w:rsid w:val="001E6227"/>
    <w:rsid w:val="00230996"/>
    <w:rsid w:val="002971C2"/>
    <w:rsid w:val="002A40D0"/>
    <w:rsid w:val="00315EE9"/>
    <w:rsid w:val="00333DDF"/>
    <w:rsid w:val="0036414B"/>
    <w:rsid w:val="00365AEA"/>
    <w:rsid w:val="00380B33"/>
    <w:rsid w:val="003814BB"/>
    <w:rsid w:val="003F634B"/>
    <w:rsid w:val="004450C7"/>
    <w:rsid w:val="004808D8"/>
    <w:rsid w:val="00487833"/>
    <w:rsid w:val="00494BB7"/>
    <w:rsid w:val="00502C23"/>
    <w:rsid w:val="00515F3A"/>
    <w:rsid w:val="005322DC"/>
    <w:rsid w:val="005964ED"/>
    <w:rsid w:val="005B42D6"/>
    <w:rsid w:val="0062065A"/>
    <w:rsid w:val="0070518C"/>
    <w:rsid w:val="00722192"/>
    <w:rsid w:val="00852CD7"/>
    <w:rsid w:val="00875AEF"/>
    <w:rsid w:val="008A4C86"/>
    <w:rsid w:val="008D0810"/>
    <w:rsid w:val="00906BB2"/>
    <w:rsid w:val="00930949"/>
    <w:rsid w:val="00996E15"/>
    <w:rsid w:val="009E1EE4"/>
    <w:rsid w:val="009F5841"/>
    <w:rsid w:val="00A61D7E"/>
    <w:rsid w:val="00A9616B"/>
    <w:rsid w:val="00AD375E"/>
    <w:rsid w:val="00B82F71"/>
    <w:rsid w:val="00BA4EDC"/>
    <w:rsid w:val="00C54A5D"/>
    <w:rsid w:val="00C852E3"/>
    <w:rsid w:val="00CF0179"/>
    <w:rsid w:val="00D85522"/>
    <w:rsid w:val="00D93A13"/>
    <w:rsid w:val="00DA0CAD"/>
    <w:rsid w:val="00DC0E35"/>
    <w:rsid w:val="00DE1B08"/>
    <w:rsid w:val="00DE7848"/>
    <w:rsid w:val="00E13FA2"/>
    <w:rsid w:val="00E253E5"/>
    <w:rsid w:val="00E5653A"/>
    <w:rsid w:val="00E565BC"/>
    <w:rsid w:val="00EA12CA"/>
    <w:rsid w:val="00EB7173"/>
    <w:rsid w:val="00EC2D98"/>
    <w:rsid w:val="00ED346E"/>
    <w:rsid w:val="00F15FD1"/>
    <w:rsid w:val="00F5604E"/>
    <w:rsid w:val="00F77D27"/>
    <w:rsid w:val="00F859F6"/>
    <w:rsid w:val="00FD6D1F"/>
    <w:rsid w:val="00FF0F7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577875-A1BB-43F2-88D1-98BCD1FF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D7E"/>
    <w:pPr>
      <w:ind w:left="720"/>
      <w:contextualSpacing/>
    </w:pPr>
  </w:style>
  <w:style w:type="paragraph" w:styleId="FootnoteText">
    <w:name w:val="footnote text"/>
    <w:basedOn w:val="Normal"/>
    <w:link w:val="FootnoteTextChar"/>
    <w:uiPriority w:val="99"/>
    <w:semiHidden/>
    <w:unhideWhenUsed/>
    <w:rsid w:val="00494B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4BB7"/>
    <w:rPr>
      <w:sz w:val="20"/>
      <w:szCs w:val="20"/>
    </w:rPr>
  </w:style>
  <w:style w:type="character" w:styleId="FootnoteReference">
    <w:name w:val="footnote reference"/>
    <w:basedOn w:val="DefaultParagraphFont"/>
    <w:uiPriority w:val="99"/>
    <w:semiHidden/>
    <w:unhideWhenUsed/>
    <w:rsid w:val="00494BB7"/>
    <w:rPr>
      <w:vertAlign w:val="superscript"/>
    </w:rPr>
  </w:style>
  <w:style w:type="paragraph" w:styleId="Header">
    <w:name w:val="header"/>
    <w:basedOn w:val="Normal"/>
    <w:link w:val="HeaderChar"/>
    <w:uiPriority w:val="99"/>
    <w:unhideWhenUsed/>
    <w:rsid w:val="00F560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04E"/>
  </w:style>
  <w:style w:type="paragraph" w:styleId="Footer">
    <w:name w:val="footer"/>
    <w:basedOn w:val="Normal"/>
    <w:link w:val="FooterChar"/>
    <w:uiPriority w:val="99"/>
    <w:unhideWhenUsed/>
    <w:rsid w:val="00F560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04E"/>
  </w:style>
  <w:style w:type="paragraph" w:styleId="BalloonText">
    <w:name w:val="Balloon Text"/>
    <w:basedOn w:val="Normal"/>
    <w:link w:val="BalloonTextChar"/>
    <w:uiPriority w:val="99"/>
    <w:semiHidden/>
    <w:unhideWhenUsed/>
    <w:rsid w:val="003641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1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1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2536</Words>
  <Characters>14458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Justin Laing</dc:creator>
  <cp:keywords/>
  <dc:description/>
  <cp:lastModifiedBy>HOME</cp:lastModifiedBy>
  <cp:revision>2</cp:revision>
  <cp:lastPrinted>2022-06-01T13:13:00Z</cp:lastPrinted>
  <dcterms:created xsi:type="dcterms:W3CDTF">2022-07-19T05:46:00Z</dcterms:created>
  <dcterms:modified xsi:type="dcterms:W3CDTF">2022-07-19T05:46:00Z</dcterms:modified>
</cp:coreProperties>
</file>